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3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附件1：</w:t>
      </w:r>
    </w:p>
    <w:p>
      <w:pPr>
        <w:jc w:val="center"/>
        <w:outlineLvl w:val="3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税务师事务所等级认定标准</w:t>
      </w:r>
    </w:p>
    <w:p>
      <w:pPr>
        <w:jc w:val="center"/>
        <w:outlineLvl w:val="3"/>
        <w:rPr>
          <w:rFonts w:ascii="仿宋_GB2312" w:hAnsi="宋体" w:eastAsia="仿宋_GB2312"/>
          <w:b/>
          <w:sz w:val="32"/>
          <w:szCs w:val="32"/>
        </w:rPr>
      </w:pPr>
    </w:p>
    <w:tbl>
      <w:tblPr>
        <w:tblStyle w:val="4"/>
        <w:tblpPr w:leftFromText="180" w:rightFromText="180" w:vertAnchor="text" w:tblpXSpec="center" w:tblpY="147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23"/>
        <w:gridCol w:w="5065"/>
        <w:gridCol w:w="621"/>
        <w:gridCol w:w="106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考评项目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506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考评内容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扣分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扣分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原因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质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5065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1.在人员、编制、财务、职能、名称等方面与税务机关彻底脱钩，自主经营，独立核算，自负盈亏，与税务机关无不正当经济利益来往。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2.设立分支机构经过主管部门批准，没有以各种形式挂靠的分支机构。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3.没有税务师只挂靠不执业的行为, 没有在职税务人员以税务师身份执业的情况。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4.没有其它违反国家法律法规和政策规定的执业资质方面的问题。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营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模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绩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10分</w:t>
            </w:r>
          </w:p>
        </w:tc>
        <w:tc>
          <w:tcPr>
            <w:tcW w:w="506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1.税务师××人。</w:t>
            </w:r>
          </w:p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2.注册资本金×××万元。</w:t>
            </w:r>
          </w:p>
          <w:p>
            <w:pPr>
              <w:ind w:left="480" w:hanging="480" w:hanging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3.年经营收入达到×××万元。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3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范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和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诚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信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40分</w:t>
            </w:r>
          </w:p>
        </w:tc>
        <w:tc>
          <w:tcPr>
            <w:tcW w:w="5065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抽查相关的业务档案十份进行下列重点审核：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1.开展的各类业务均有相应的业务工作程序且程序完整，审查目标明确、步骤恰当、要点突出，可操作性强。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2.签订的业务委托协议书内容详细具体规范。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3.编制的工作底稿符合规定的格式和要求，资料真实，记录清晰、内容连贯、勾稽关系严谨、审核过程清楚且经过三级复核。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4.前三年没有发生违法、违规执业的行为，或没有因执业质量受到税务机关处罚、行业惩戒、通报批评的。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管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30分</w:t>
            </w:r>
          </w:p>
        </w:tc>
        <w:tc>
          <w:tcPr>
            <w:tcW w:w="5065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1.人力资源管理制度健全，与所内员工签订劳动合同，购买相关保险，有合理的奖惩制度。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2.财务管理制度健全，会计核算真实、准确。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3.风险控制制度健全，达到三级审核，按规定足额提取风险基金。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4.业务培训制度健全，按要求参加中税协和地方税协组织的培训，所内对员工的培训有计划有安排，培训课时数符合相关规定。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5.档案管理制度健全，档案管理规范，有专人保管。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6.没有隐匿、转移业务收入、虚报亏损，不按时足额缴纳税款的问题；没有不履行会员义务，不及时足额缴纳会费的现象。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7.上年度年检合格。</w:t>
            </w:r>
          </w:p>
        </w:tc>
        <w:tc>
          <w:tcPr>
            <w:tcW w:w="621" w:type="dxa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党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建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作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5065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1.是否建立党支部，是否设有党务工作者。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2.有场所、有设施、有标志、有党旗、有书报、有制度的“六有”标准化建设。</w:t>
            </w: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3.党支部发挥政治核心作用，党员发挥模范带头作用。</w:t>
            </w:r>
          </w:p>
        </w:tc>
        <w:tc>
          <w:tcPr>
            <w:tcW w:w="621" w:type="dxa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4"/>
          <w:szCs w:val="24"/>
        </w:rPr>
        <w:t>注： AAAA级、AAAAA级事务所经营规模及业绩标准：AAAA级事务所最低经营收入3000万元，税务师15人，授牌分支机构最低经营收入1000万元；AAAAA级事务所最低经营收入1亿元，税务师50人，授牌分支机构最低经营收入1400万元；AAAA级、AAAAA级事务所年度经营利润不得亏损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43BDF"/>
    <w:rsid w:val="3E202A18"/>
    <w:rsid w:val="49143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2017-06-14T08:08:00Z</dcterms:created>
  <dc:creator>lenovo</dc:creator>
  <cp:lastModifiedBy>lenovo</cp:lastModifiedBy>
  <dcterms:modified xsi:type="dcterms:W3CDTF">2017-06-14T08:11:51Z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