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left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宋体" w:eastAsia="方正小标宋_GBK"/>
          <w:sz w:val="36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宋体" w:eastAsia="方正小标宋_GBK"/>
          <w:sz w:val="36"/>
          <w:szCs w:val="36"/>
          <w:highlight w:val="none"/>
          <w:lang w:eastAsia="zh-CN"/>
        </w:rPr>
      </w:pPr>
      <w:r>
        <w:rPr>
          <w:rFonts w:hint="eastAsia" w:ascii="方正小标宋_GBK" w:hAnsi="宋体" w:eastAsia="方正小标宋_GBK"/>
          <w:sz w:val="36"/>
          <w:szCs w:val="36"/>
          <w:highlight w:val="none"/>
          <w:lang w:eastAsia="zh-CN"/>
        </w:rPr>
        <w:t>管理提升建议书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/>
          <w:highlight w:val="none"/>
          <w:lang w:val="en-US" w:eastAsia="zh-CN"/>
        </w:rPr>
        <w:t>**公司</w:t>
      </w:r>
      <w:r>
        <w:rPr>
          <w:rFonts w:hint="eastAsia" w:ascii="仿宋_GB2312" w:hAnsi="仿宋_GB2312" w:eastAsia="仿宋_GB231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为做深责任追究成果运用后半篇文章，形成以追责为“再起点”的联动机制，针对**问题，深入挖掘反映的监管风险，研究提出了相关工作建议，进一步强化“治已病、防未病”作用。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left="640" w:leftChars="200" w:right="0" w:rightChars="0" w:firstLine="0" w:firstLineChars="0"/>
        <w:rPr>
          <w:rFonts w:hint="eastAsia" w:ascii="黑体" w:hAnsi="黑体" w:eastAsia="黑体"/>
          <w:snapToGrid/>
          <w:sz w:val="32"/>
          <w:highlight w:val="none"/>
          <w:lang w:eastAsia="zh-CN"/>
        </w:rPr>
      </w:pPr>
      <w:r>
        <w:rPr>
          <w:rFonts w:hint="eastAsia" w:ascii="黑体" w:hAnsi="黑体" w:eastAsia="黑体"/>
          <w:snapToGrid/>
          <w:sz w:val="32"/>
          <w:highlight w:val="none"/>
          <w:lang w:eastAsia="zh-CN"/>
        </w:rPr>
        <w:t>一、主要问题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right="0" w:rightChars="0"/>
        <w:rPr>
          <w:rFonts w:hint="eastAsia" w:ascii="仿宋_GB2312" w:hAnsi="仿宋_GB2312"/>
          <w:snapToGrid/>
          <w:sz w:val="32"/>
          <w:highlight w:val="none"/>
          <w:lang w:val="en-US" w:eastAsia="zh-CN"/>
        </w:rPr>
      </w:pPr>
      <w:r>
        <w:rPr>
          <w:rFonts w:hint="eastAsia" w:ascii="仿宋_GB2312" w:hAnsi="仿宋_GB2312"/>
          <w:snapToGrid/>
          <w:spacing w:val="0"/>
          <w:kern w:val="1"/>
          <w:sz w:val="31"/>
          <w:shd w:val="clear" w:color="auto" w:fill="FFFFFF"/>
          <w:lang w:val="en-US" w:eastAsia="zh-CN"/>
        </w:rPr>
        <w:t xml:space="preserve">    问题移送时间，移送方，问题情形，造成的资产损失或不良后果等。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right="0" w:rightChars="0" w:firstLine="640" w:firstLineChars="200"/>
        <w:rPr>
          <w:rFonts w:hint="eastAsia" w:ascii="黑体" w:hAnsi="黑体" w:eastAsia="黑体"/>
          <w:snapToGrid/>
          <w:sz w:val="32"/>
          <w:highlight w:val="none"/>
          <w:lang w:val="en-US" w:eastAsia="zh-CN"/>
        </w:rPr>
      </w:pPr>
      <w:r>
        <w:rPr>
          <w:rFonts w:hint="eastAsia" w:ascii="黑体" w:hAnsi="黑体" w:eastAsia="黑体"/>
          <w:snapToGrid/>
          <w:sz w:val="32"/>
          <w:highlight w:val="none"/>
          <w:lang w:val="en-US" w:eastAsia="zh-CN"/>
        </w:rPr>
        <w:t>二、需关注的监管风险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beforeLines="0" w:after="0" w:afterLines="0" w:line="560" w:lineRule="exact"/>
        <w:ind w:right="0" w:rightChars="0"/>
        <w:rPr>
          <w:rFonts w:hint="eastAsia" w:ascii="仿宋_GB2312" w:hAnsi="仿宋_GB2312" w:eastAsia="仿宋_GB2312" w:cs="仿宋_GB2312"/>
          <w:snapToGrid/>
          <w:sz w:val="32"/>
          <w:highlight w:val="none"/>
          <w:lang w:val="en-US" w:eastAsia="zh-CN"/>
        </w:rPr>
      </w:pPr>
      <w:r>
        <w:rPr>
          <w:rFonts w:hint="eastAsia" w:ascii="仿宋_GB2312" w:hAnsi="仿宋_GB2312"/>
          <w:snapToGrid/>
          <w:sz w:val="32"/>
          <w:highlight w:val="none"/>
          <w:lang w:val="en-US" w:eastAsia="zh-CN"/>
        </w:rPr>
        <w:t xml:space="preserve">    在督促指导整改问题的同时，对**问题进行深入研究分析，提出如下需关注的监管风险</w:t>
      </w:r>
      <w:r>
        <w:rPr>
          <w:rFonts w:hint="eastAsia" w:ascii="仿宋_GB2312" w:hAnsi="仿宋_GB2312" w:eastAsia="仿宋_GB2312" w:cs="仿宋_GB2312"/>
          <w:snapToGrid/>
          <w:sz w:val="32"/>
          <w:highlight w:val="none"/>
          <w:lang w:val="en-US" w:eastAsia="zh-CN"/>
        </w:rPr>
        <w:t>：如制度建设、执行实施、监督检查、风险应对等方面存在的漏洞、缺失和不足等。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highlight w:val="none"/>
          <w:lang w:val="en-US" w:eastAsia="zh-CN"/>
        </w:rPr>
        <w:t xml:space="preserve">    三、有关工作建议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针对监管风险，提出有关完善制度、细化流程、规范授权、加强管控、过程监测等方面的管理建议。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Lines="0" w:beforeAutospacing="0" w:after="0" w:afterLines="0" w:afterAutospacing="0" w:line="560" w:lineRule="exact"/>
        <w:ind w:left="0" w:leftChars="0" w:right="0" w:rightChars="0" w:firstLine="0" w:firstLineChars="0"/>
        <w:textAlignment w:val="baseline"/>
        <w:rPr>
          <w:rFonts w:hint="eastAsia" w:ascii="仿宋_GB2312" w:hAnsi="仿宋_GB231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/>
          <w:highlight w:val="none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/>
          <w:b w:val="0"/>
          <w:bCs w:val="0"/>
          <w:sz w:val="32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EE9DE3"/>
    <w:rsid w:val="526473B3"/>
    <w:rsid w:val="5FB7DE30"/>
    <w:rsid w:val="62C733CC"/>
    <w:rsid w:val="DEF91044"/>
    <w:rsid w:val="E57B21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0"/>
      <w:kern w:val="2"/>
      <w:sz w:val="32"/>
      <w:lang w:val="en-US" w:eastAsia="zh-CN"/>
    </w:rPr>
  </w:style>
  <w:style w:type="character" w:default="1" w:styleId="7">
    <w:name w:val="Default Paragraph Font"/>
    <w:link w:val="8"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5">
    <w:name w:val="Body Text Indent 3"/>
    <w:basedOn w:val="1"/>
    <w:uiPriority w:val="0"/>
    <w:pPr>
      <w:adjustRightInd w:val="0"/>
    </w:pPr>
  </w:style>
  <w:style w:type="paragraph" w:customStyle="1" w:styleId="8">
    <w:name w:val=" Char Char Char Char"/>
    <w:basedOn w:val="1"/>
    <w:link w:val="7"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</w:style>
  <w:style w:type="character" w:styleId="9">
    <w:name w:val="page number"/>
    <w:basedOn w:val="7"/>
    <w:uiPriority w:val="0"/>
  </w:style>
  <w:style w:type="paragraph" w:customStyle="1" w:styleId="10">
    <w:name w:val="正文文本1"/>
    <w:basedOn w:val="1"/>
    <w:uiPriority w:val="0"/>
    <w:pPr>
      <w:ind w:firstLine="200" w:firstLineChars="200"/>
    </w:pPr>
    <w:rPr>
      <w:rFonts w:ascii="Calibri" w:hAnsi="Calibri"/>
    </w:rPr>
  </w:style>
  <w:style w:type="paragraph" w:customStyle="1" w:styleId="11">
    <w:name w:val="_Style 1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殷丰收</cp:lastModifiedBy>
  <cp:lastPrinted>2022-02-22T18:10:52Z</cp:lastPrinted>
  <dcterms:modified xsi:type="dcterms:W3CDTF">2022-03-21T09:19:26Z</dcterms:modified>
  <dc:title>各厅局：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07A0A4DBE8734700809FE58D02BB0DE9</vt:lpwstr>
  </property>
</Properties>
</file>