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s="宋体"/>
          <w:bCs/>
          <w:kern w:val="0"/>
          <w:sz w:val="72"/>
          <w:szCs w:val="72"/>
          <w:highlight w:val="none"/>
        </w:rPr>
      </w:pPr>
    </w:p>
    <w:p>
      <w:pPr>
        <w:widowControl/>
        <w:jc w:val="center"/>
        <w:rPr>
          <w:rFonts w:ascii="黑体" w:hAnsi="宋体" w:eastAsia="黑体" w:cs="宋体"/>
          <w:bCs/>
          <w:kern w:val="0"/>
          <w:sz w:val="72"/>
          <w:szCs w:val="72"/>
          <w:highlight w:val="none"/>
        </w:rPr>
      </w:pPr>
    </w:p>
    <w:p>
      <w:pPr>
        <w:widowControl/>
        <w:jc w:val="center"/>
        <w:rPr>
          <w:rFonts w:ascii="黑体" w:hAnsi="宋体" w:eastAsia="黑体" w:cs="宋体"/>
          <w:bCs/>
          <w:kern w:val="0"/>
          <w:sz w:val="72"/>
          <w:szCs w:val="72"/>
          <w:highlight w:val="none"/>
        </w:rPr>
      </w:pPr>
    </w:p>
    <w:p>
      <w:pPr>
        <w:jc w:val="center"/>
        <w:rPr>
          <w:rFonts w:ascii="黑体" w:hAnsi="宋体" w:eastAsia="黑体" w:cs="宋体"/>
          <w:bCs/>
          <w:kern w:val="0"/>
          <w:sz w:val="72"/>
          <w:szCs w:val="72"/>
          <w:highlight w:val="none"/>
        </w:rPr>
      </w:pPr>
      <w:r>
        <w:rPr>
          <w:rFonts w:hint="eastAsia" w:ascii="黑体" w:hAnsi="宋体" w:eastAsia="黑体" w:cs="宋体"/>
          <w:bCs/>
          <w:kern w:val="0"/>
          <w:sz w:val="72"/>
          <w:szCs w:val="72"/>
          <w:highlight w:val="none"/>
        </w:rPr>
        <w:t>上海证券交易所基金业务指南第2号——上市基金做市业务</w:t>
      </w:r>
    </w:p>
    <w:p>
      <w:pPr>
        <w:spacing w:line="540" w:lineRule="exact"/>
        <w:jc w:val="center"/>
        <w:rPr>
          <w:rFonts w:ascii="仿宋_GB2312" w:hAnsi="Times New Roman" w:eastAsia="仿宋_GB2312"/>
          <w:b/>
          <w:sz w:val="30"/>
          <w:szCs w:val="30"/>
          <w:highlight w:val="none"/>
        </w:rPr>
      </w:pPr>
      <w:r>
        <w:rPr>
          <w:rFonts w:hint="eastAsia" w:ascii="仿宋_GB2312" w:hAnsi="Times New Roman" w:eastAsia="仿宋_GB2312"/>
          <w:b/>
          <w:sz w:val="30"/>
          <w:szCs w:val="30"/>
          <w:highlight w:val="none"/>
        </w:rPr>
        <w:t>（2023年修订）</w:t>
      </w:r>
    </w:p>
    <w:p>
      <w:pPr>
        <w:widowControl/>
        <w:jc w:val="center"/>
        <w:rPr>
          <w:rFonts w:ascii="黑体" w:hAnsi="宋体" w:eastAsia="黑体" w:cs="宋体"/>
          <w:bCs/>
          <w:kern w:val="0"/>
          <w:sz w:val="40"/>
          <w:szCs w:val="72"/>
          <w:highlight w:val="none"/>
        </w:rPr>
      </w:pPr>
    </w:p>
    <w:p>
      <w:pPr>
        <w:widowControl/>
        <w:spacing w:line="600" w:lineRule="exact"/>
        <w:rPr>
          <w:rFonts w:ascii="宋体" w:hAnsi="宋体"/>
          <w:b/>
          <w:sz w:val="72"/>
          <w:szCs w:val="72"/>
          <w:highlight w:val="none"/>
        </w:rPr>
      </w:pPr>
    </w:p>
    <w:p>
      <w:pPr>
        <w:widowControl/>
        <w:spacing w:line="600" w:lineRule="exact"/>
        <w:rPr>
          <w:rFonts w:ascii="宋体" w:hAnsi="宋体"/>
          <w:b/>
          <w:sz w:val="72"/>
          <w:szCs w:val="72"/>
          <w:highlight w:val="none"/>
        </w:rPr>
      </w:pPr>
    </w:p>
    <w:p>
      <w:pPr>
        <w:widowControl/>
        <w:spacing w:line="600" w:lineRule="exact"/>
        <w:rPr>
          <w:rFonts w:ascii="宋体" w:hAnsi="宋体"/>
          <w:b/>
          <w:sz w:val="72"/>
          <w:szCs w:val="72"/>
          <w:highlight w:val="none"/>
        </w:rPr>
      </w:pPr>
    </w:p>
    <w:p>
      <w:pPr>
        <w:widowControl/>
        <w:spacing w:line="600" w:lineRule="exact"/>
        <w:jc w:val="center"/>
        <w:rPr>
          <w:rFonts w:ascii="宋体" w:hAnsi="宋体" w:cs="宋体"/>
          <w:b/>
          <w:kern w:val="0"/>
          <w:sz w:val="32"/>
          <w:szCs w:val="32"/>
          <w:highlight w:val="none"/>
        </w:rPr>
      </w:pPr>
      <w:r>
        <w:rPr>
          <w:rFonts w:hint="eastAsia" w:ascii="宋体" w:hAnsi="宋体" w:cs="宋体"/>
          <w:b/>
          <w:kern w:val="0"/>
          <w:sz w:val="32"/>
          <w:szCs w:val="32"/>
          <w:highlight w:val="none"/>
        </w:rPr>
        <w:t>上海证券交易所</w:t>
      </w:r>
    </w:p>
    <w:p>
      <w:pPr>
        <w:widowControl/>
        <w:spacing w:line="600" w:lineRule="exact"/>
        <w:jc w:val="center"/>
        <w:rPr>
          <w:rFonts w:ascii="宋体" w:hAnsi="宋体" w:cs="宋体"/>
          <w:b/>
          <w:kern w:val="0"/>
          <w:sz w:val="32"/>
          <w:szCs w:val="32"/>
          <w:highlight w:val="none"/>
        </w:rPr>
      </w:pPr>
      <w:r>
        <w:rPr>
          <w:rFonts w:hint="eastAsia" w:ascii="宋体" w:hAnsi="宋体" w:cs="宋体"/>
          <w:b/>
          <w:kern w:val="0"/>
          <w:sz w:val="32"/>
          <w:szCs w:val="32"/>
          <w:highlight w:val="none"/>
        </w:rPr>
        <w:t>2023年11月</w:t>
      </w:r>
    </w:p>
    <w:p>
      <w:pPr>
        <w:spacing w:line="600" w:lineRule="exact"/>
        <w:jc w:val="center"/>
        <w:rPr>
          <w:rFonts w:ascii="仿宋" w:hAnsi="仿宋" w:eastAsia="仿宋"/>
          <w:b/>
          <w:sz w:val="36"/>
          <w:szCs w:val="28"/>
          <w:highlight w:val="none"/>
        </w:rPr>
      </w:pPr>
    </w:p>
    <w:p>
      <w:pPr>
        <w:spacing w:line="600" w:lineRule="exact"/>
        <w:rPr>
          <w:rFonts w:ascii="仿宋" w:hAnsi="仿宋" w:eastAsia="仿宋"/>
          <w:b/>
          <w:sz w:val="52"/>
          <w:szCs w:val="52"/>
          <w:highlight w:val="none"/>
        </w:rPr>
      </w:pPr>
    </w:p>
    <w:p>
      <w:pPr>
        <w:widowControl/>
        <w:spacing w:line="600" w:lineRule="exact"/>
        <w:jc w:val="left"/>
        <w:rPr>
          <w:rFonts w:ascii="仿宋_GB2312" w:hAnsi="黑体" w:eastAsia="仿宋_GB2312"/>
          <w:sz w:val="30"/>
          <w:szCs w:val="30"/>
          <w:highlight w:val="none"/>
        </w:rPr>
      </w:pPr>
      <w:r>
        <w:rPr>
          <w:rFonts w:hint="eastAsia" w:ascii="仿宋" w:hAnsi="仿宋" w:eastAsia="仿宋"/>
          <w:kern w:val="0"/>
          <w:sz w:val="28"/>
          <w:szCs w:val="28"/>
          <w:highlight w:val="none"/>
        </w:rPr>
        <w:br w:type="page"/>
      </w:r>
    </w:p>
    <w:sdt>
      <w:sdtPr>
        <w:rPr>
          <w:rFonts w:ascii="Calibri" w:hAnsi="Calibri" w:eastAsia="宋体" w:cs="Times New Roman"/>
          <w:b w:val="0"/>
          <w:bCs w:val="0"/>
          <w:color w:val="auto"/>
          <w:kern w:val="2"/>
          <w:sz w:val="21"/>
          <w:szCs w:val="22"/>
          <w:highlight w:val="none"/>
          <w:lang w:val="zh-CN"/>
        </w:rPr>
        <w:id w:val="875383933"/>
        <w:docPartObj>
          <w:docPartGallery w:val="Table of Contents"/>
          <w:docPartUnique/>
        </w:docPartObj>
      </w:sdtPr>
      <w:sdtEndPr>
        <w:rPr>
          <w:rFonts w:hint="eastAsia" w:ascii="仿宋_GB2312" w:hAnsi="Calibri" w:eastAsia="仿宋_GB2312" w:cs="Times New Roman"/>
          <w:b/>
          <w:bCs/>
          <w:color w:val="auto"/>
          <w:kern w:val="44"/>
          <w:sz w:val="44"/>
          <w:szCs w:val="44"/>
          <w:highlight w:val="none"/>
          <w:lang w:val="zh-CN"/>
        </w:rPr>
      </w:sdtEndPr>
      <w:sdtContent>
        <w:p>
          <w:pPr>
            <w:pStyle w:val="39"/>
            <w:spacing w:line="600" w:lineRule="exact"/>
            <w:jc w:val="center"/>
            <w:rPr>
              <w:highlight w:val="none"/>
            </w:rPr>
          </w:pPr>
          <w:r>
            <w:rPr>
              <w:rFonts w:hint="eastAsia"/>
              <w:color w:val="auto"/>
              <w:sz w:val="44"/>
              <w:szCs w:val="44"/>
              <w:highlight w:val="none"/>
              <w:lang w:val="zh-CN"/>
            </w:rPr>
            <w:t>目</w:t>
          </w:r>
          <w:r>
            <w:rPr>
              <w:color w:val="auto"/>
              <w:sz w:val="44"/>
              <w:szCs w:val="44"/>
              <w:highlight w:val="none"/>
              <w:lang w:val="zh-CN"/>
            </w:rPr>
            <w:t xml:space="preserve">    </w:t>
          </w:r>
          <w:r>
            <w:rPr>
              <w:rFonts w:hint="eastAsia"/>
              <w:color w:val="auto"/>
              <w:sz w:val="44"/>
              <w:szCs w:val="44"/>
              <w:highlight w:val="none"/>
              <w:lang w:val="zh-CN"/>
            </w:rPr>
            <w:t>录</w:t>
          </w:r>
        </w:p>
        <w:p>
          <w:pPr>
            <w:pStyle w:val="11"/>
            <w:tabs>
              <w:tab w:val="right" w:leader="dot" w:pos="8306"/>
              <w:tab w:val="clear" w:pos="1050"/>
              <w:tab w:val="clear" w:pos="8296"/>
            </w:tabs>
            <w:rPr>
              <w:rFonts w:hint="default" w:ascii="Times New Roman" w:hAnsi="Times New Roman" w:eastAsia="仿宋_GB2312" w:cs="Times New Roman"/>
            </w:rPr>
          </w:pPr>
          <w:r>
            <w:rPr>
              <w:rFonts w:hint="eastAsia" w:ascii="仿宋_GB2312" w:eastAsia="仿宋_GB2312"/>
              <w:highlight w:val="none"/>
            </w:rPr>
            <w:fldChar w:fldCharType="begin"/>
          </w:r>
          <w:r>
            <w:rPr>
              <w:rFonts w:hint="eastAsia" w:ascii="仿宋_GB2312" w:eastAsia="仿宋_GB2312"/>
              <w:highlight w:val="none"/>
            </w:rPr>
            <w:instrText xml:space="preserve"> TOC \o "1-3" \h \z \u </w:instrText>
          </w:r>
          <w:r>
            <w:rPr>
              <w:rFonts w:hint="eastAsia" w:ascii="仿宋_GB2312" w:eastAsia="仿宋_GB2312"/>
              <w:highlight w:val="none"/>
            </w:rPr>
            <w:fldChar w:fldCharType="separate"/>
          </w: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_Toc30226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szCs w:val="30"/>
              <w:highlight w:val="none"/>
            </w:rPr>
            <w:t>说明及声明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_Toc30226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1"/>
            <w:tabs>
              <w:tab w:val="right" w:leader="dot" w:pos="8306"/>
              <w:tab w:val="clear" w:pos="1050"/>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_Toc21349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szCs w:val="30"/>
              <w:highlight w:val="none"/>
            </w:rPr>
            <w:t>第一章</w:t>
          </w:r>
          <w:r>
            <w:rPr>
              <w:rFonts w:hint="default" w:ascii="Times New Roman" w:hAnsi="Times New Roman" w:eastAsia="仿宋_GB2312" w:cs="Times New Roman"/>
              <w:szCs w:val="30"/>
              <w:highlight w:val="none"/>
              <w:lang w:val="en-US" w:eastAsia="zh-CN"/>
            </w:rPr>
            <w:t xml:space="preserve">  </w:t>
          </w:r>
          <w:r>
            <w:rPr>
              <w:rFonts w:hint="default" w:ascii="Times New Roman" w:hAnsi="Times New Roman" w:eastAsia="仿宋_GB2312" w:cs="Times New Roman"/>
              <w:szCs w:val="30"/>
              <w:highlight w:val="none"/>
            </w:rPr>
            <w:t>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_Toc21349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_Toc5498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一、概述</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_Toc5498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_Toc9600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二、组织架构与岗位设置</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_Toc9600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_Toc1360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三、制度与流程</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_Toc1360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1"/>
            <w:tabs>
              <w:tab w:val="right" w:leader="dot" w:pos="8306"/>
              <w:tab w:val="clear" w:pos="1050"/>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_Toc15916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bCs w:val="0"/>
              <w:kern w:val="0"/>
              <w:szCs w:val="30"/>
              <w:highlight w:val="none"/>
            </w:rPr>
            <w:t>第二章</w:t>
          </w:r>
          <w:r>
            <w:rPr>
              <w:rFonts w:hint="default" w:ascii="Times New Roman" w:hAnsi="Times New Roman" w:eastAsia="仿宋_GB2312" w:cs="Times New Roman"/>
              <w:bCs w:val="0"/>
              <w:kern w:val="0"/>
              <w:szCs w:val="30"/>
              <w:highlight w:val="none"/>
              <w:lang w:val="en-US" w:eastAsia="zh-CN"/>
            </w:rPr>
            <w:t xml:space="preserve">  </w:t>
          </w:r>
          <w:r>
            <w:rPr>
              <w:rFonts w:hint="default" w:ascii="Times New Roman" w:hAnsi="Times New Roman" w:eastAsia="仿宋_GB2312" w:cs="Times New Roman"/>
              <w:bCs w:val="0"/>
              <w:kern w:val="0"/>
              <w:szCs w:val="30"/>
              <w:highlight w:val="none"/>
            </w:rPr>
            <w:t>业务申请与受理流程</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_Toc15916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_Toc13027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一、</w:t>
          </w:r>
          <w:r>
            <w:rPr>
              <w:rFonts w:hint="default" w:ascii="Times New Roman" w:hAnsi="Times New Roman" w:eastAsia="仿宋_GB2312" w:cs="Times New Roman"/>
              <w:bCs w:val="0"/>
              <w:szCs w:val="30"/>
              <w:highlight w:val="none"/>
            </w:rPr>
            <w:t>做市业务申请与受理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_Toc13027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_Toc15947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二、做市商申请为基金产品提供做市服务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_Toc15947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8</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_Toc18713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三、做市业务账户报备</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_Toc18713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_Toc9361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四、做市商</w:t>
          </w:r>
          <w:r>
            <w:rPr>
              <w:rFonts w:hint="default" w:ascii="Times New Roman" w:hAnsi="Times New Roman" w:eastAsia="仿宋_GB2312" w:cs="Times New Roman"/>
              <w:kern w:val="44"/>
              <w:szCs w:val="30"/>
              <w:highlight w:val="none"/>
              <w:lang w:eastAsia="zh-CN"/>
            </w:rPr>
            <w:t>协商确定</w:t>
          </w:r>
          <w:r>
            <w:rPr>
              <w:rFonts w:hint="default" w:ascii="Times New Roman" w:hAnsi="Times New Roman" w:eastAsia="仿宋_GB2312" w:cs="Times New Roman"/>
              <w:kern w:val="44"/>
              <w:szCs w:val="30"/>
              <w:highlight w:val="none"/>
            </w:rPr>
            <w:t>机制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_Toc9361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_Toc21933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五、主动申请终止做市服务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_Toc21933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_Toc4670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六、相关材料报送方式</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_Toc4670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1"/>
            <w:tabs>
              <w:tab w:val="right" w:leader="dot" w:pos="8306"/>
              <w:tab w:val="clear" w:pos="1050"/>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_Toc23951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szCs w:val="30"/>
              <w:highlight w:val="none"/>
            </w:rPr>
            <w:t>第三章</w:t>
          </w:r>
          <w:r>
            <w:rPr>
              <w:rFonts w:hint="default" w:ascii="Times New Roman" w:hAnsi="Times New Roman" w:eastAsia="仿宋_GB2312" w:cs="Times New Roman"/>
              <w:szCs w:val="30"/>
              <w:highlight w:val="none"/>
              <w:lang w:val="en-US" w:eastAsia="zh-CN"/>
            </w:rPr>
            <w:t xml:space="preserve">  </w:t>
          </w:r>
          <w:r>
            <w:rPr>
              <w:rFonts w:hint="default" w:ascii="Times New Roman" w:hAnsi="Times New Roman" w:eastAsia="仿宋_GB2312" w:cs="Times New Roman"/>
              <w:szCs w:val="30"/>
              <w:highlight w:val="none"/>
            </w:rPr>
            <w:t>义务与评价</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_Toc23951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_Toc26243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一、评价周期</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_Toc26243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_Toc287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二、报价义务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_Toc287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_Toc28243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三、流动性预先分类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_Toc28243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_Toc5972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四、评价指标</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_Toc5972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14</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_Toc4968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五、评价方法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_Toc4968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_Toc7955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bCs w:val="0"/>
              <w:kern w:val="44"/>
              <w:szCs w:val="30"/>
              <w:highlight w:val="none"/>
            </w:rPr>
            <w:t>六、年度末位淘汰</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_Toc7955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21</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_Toc3271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七、评价调整</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_Toc3271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22</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_Toc8257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八、评价结果的通告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_Toc8257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22</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1"/>
            <w:tabs>
              <w:tab w:val="right" w:leader="dot" w:pos="8306"/>
              <w:tab w:val="clear" w:pos="1050"/>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_Toc25605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szCs w:val="30"/>
              <w:highlight w:val="none"/>
            </w:rPr>
            <w:t>第四章</w:t>
          </w:r>
          <w:r>
            <w:rPr>
              <w:rFonts w:hint="default" w:ascii="Times New Roman" w:hAnsi="Times New Roman" w:eastAsia="仿宋_GB2312" w:cs="Times New Roman"/>
              <w:szCs w:val="30"/>
              <w:highlight w:val="none"/>
              <w:lang w:val="en-US" w:eastAsia="zh-CN"/>
            </w:rPr>
            <w:t xml:space="preserve">  </w:t>
          </w:r>
          <w:r>
            <w:rPr>
              <w:rFonts w:hint="default" w:ascii="Times New Roman" w:hAnsi="Times New Roman" w:eastAsia="仿宋_GB2312" w:cs="Times New Roman"/>
              <w:szCs w:val="30"/>
              <w:highlight w:val="none"/>
            </w:rPr>
            <w:t>权利、激励与监督管理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_Toc25605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22</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_Toc8784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一、做市商报价义务豁免</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_Toc8784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23</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_Toc32285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二、做市服务激励</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_Toc32285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23</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_Toc19547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三、终止做市商做市服务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_Toc19547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24</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_Toc2974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四、终止开展做市业务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_Toc2974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24</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_Toc8979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五、日常监管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_Toc8979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_Toc9063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六、违规处理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_Toc9063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1"/>
            <w:tabs>
              <w:tab w:val="right" w:leader="dot" w:pos="8306"/>
              <w:tab w:val="clear" w:pos="1050"/>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_Toc15106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bCs w:val="0"/>
              <w:kern w:val="0"/>
              <w:szCs w:val="30"/>
              <w:highlight w:val="none"/>
            </w:rPr>
            <w:t>第五章  风险管理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_Toc15106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_Toc9310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一、做市业务部门风险管理机制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_Toc9310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_Toc10735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二、公司层面风险管理机制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_Toc10735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26</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1"/>
            <w:tabs>
              <w:tab w:val="right" w:leader="dot" w:pos="8306"/>
              <w:tab w:val="clear" w:pos="1050"/>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_Toc7617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bCs w:val="0"/>
              <w:kern w:val="0"/>
              <w:szCs w:val="30"/>
              <w:highlight w:val="none"/>
            </w:rPr>
            <w:t xml:space="preserve">第六章  </w:t>
          </w:r>
          <w:r>
            <w:rPr>
              <w:rFonts w:hint="default" w:ascii="Times New Roman" w:hAnsi="Times New Roman" w:eastAsia="仿宋_GB2312" w:cs="Times New Roman"/>
              <w:szCs w:val="30"/>
              <w:highlight w:val="none"/>
            </w:rPr>
            <w:t>合规和内部控制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_Toc7617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28</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_Toc6252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一、内部控制制度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_Toc6252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28</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_Toc15097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二、业务隔离制度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_Toc15097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28</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_Toc7383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0"/>
              <w:highlight w:val="none"/>
            </w:rPr>
            <w:t>三、禁止行为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_Toc7383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29</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_Toc22302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附件1：专项检查要点</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_Toc22302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30</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_Toc4946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附件2：做市业务申请</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_Toc4946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33</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_Toc15759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附件3：做市业务人员情况表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_Toc15759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35</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_Toc634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附件4：提供做市服务申请</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_Toc634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37</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_Toc2119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附件5：基金管理人认可函</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_Toc2119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38</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_Toc23273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附件6：做市服务专用账户信息报备表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_Toc23273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39</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_Toc20948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附件7：专用证券账户变更申请表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_Toc20948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40</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_Toc4047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附件8：申请终止做市服务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_Toc4047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tabs>
              <w:tab w:val="right" w:leader="dot" w:pos="8306"/>
              <w:tab w:val="clear" w:pos="8296"/>
            </w:tabs>
          </w:pP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\l _Toc24608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kern w:val="44"/>
              <w:szCs w:val="36"/>
              <w:highlight w:val="none"/>
            </w:rPr>
            <w:t>附件9：数字证书申请流程</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_Toc24608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42</w:t>
          </w:r>
          <w:r>
            <w:rPr>
              <w:rFonts w:hint="default" w:ascii="Times New Roman" w:hAnsi="Times New Roman" w:eastAsia="仿宋_GB2312" w:cs="Times New Roman"/>
            </w:rPr>
            <w:fldChar w:fldCharType="end"/>
          </w:r>
          <w:r>
            <w:rPr>
              <w:rFonts w:hint="default" w:ascii="Times New Roman" w:hAnsi="Times New Roman" w:eastAsia="仿宋_GB2312" w:cs="Times New Roman"/>
              <w:highlight w:val="none"/>
            </w:rPr>
            <w:fldChar w:fldCharType="end"/>
          </w:r>
        </w:p>
        <w:p>
          <w:pPr>
            <w:pStyle w:val="13"/>
            <w:ind w:left="0" w:leftChars="0"/>
            <w:rPr>
              <w:rFonts w:hAnsiTheme="minorHAnsi" w:cstheme="minorBidi"/>
              <w:highlight w:val="none"/>
            </w:rPr>
          </w:pPr>
          <w:r>
            <w:rPr>
              <w:rFonts w:hint="eastAsia"/>
              <w:highlight w:val="none"/>
            </w:rPr>
            <w:fldChar w:fldCharType="end"/>
          </w:r>
        </w:p>
      </w:sdtContent>
    </w:sdt>
    <w:p>
      <w:pPr>
        <w:pStyle w:val="2"/>
        <w:spacing w:before="0" w:after="0" w:line="600" w:lineRule="exact"/>
        <w:ind w:firstLine="602"/>
        <w:jc w:val="center"/>
        <w:rPr>
          <w:rFonts w:ascii="黑体" w:hAnsi="黑体" w:eastAsia="黑体" w:cs="宋体"/>
          <w:b w:val="0"/>
          <w:sz w:val="30"/>
          <w:szCs w:val="30"/>
          <w:highlight w:val="none"/>
        </w:rPr>
      </w:pPr>
      <w:bookmarkStart w:id="0" w:name="_Toc120180527"/>
      <w:bookmarkStart w:id="1" w:name="_Toc30226"/>
      <w:bookmarkStart w:id="2" w:name="_Toc29139"/>
      <w:bookmarkStart w:id="3" w:name="_Toc709"/>
      <w:r>
        <w:rPr>
          <w:rFonts w:hint="eastAsia" w:ascii="黑体" w:hAnsi="黑体" w:eastAsia="黑体" w:cs="宋体"/>
          <w:sz w:val="30"/>
          <w:szCs w:val="30"/>
          <w:highlight w:val="none"/>
        </w:rPr>
        <w:t>说明及声明</w:t>
      </w:r>
      <w:bookmarkEnd w:id="0"/>
      <w:bookmarkEnd w:id="1"/>
      <w:bookmarkEnd w:id="2"/>
      <w:bookmarkEnd w:id="3"/>
    </w:p>
    <w:p>
      <w:pPr>
        <w:spacing w:line="600" w:lineRule="exact"/>
        <w:ind w:firstLine="600" w:firstLineChars="200"/>
        <w:rPr>
          <w:rFonts w:ascii="Times New Roman" w:hAnsi="Times New Roman" w:eastAsia="仿宋_GB2312"/>
          <w:sz w:val="30"/>
          <w:szCs w:val="30"/>
          <w:highlight w:val="none"/>
        </w:rPr>
      </w:pPr>
      <w:r>
        <w:rPr>
          <w:rFonts w:hint="eastAsia" w:ascii="仿宋_GB2312" w:eastAsia="仿宋_GB2312"/>
          <w:sz w:val="30"/>
          <w:szCs w:val="30"/>
          <w:highlight w:val="none"/>
        </w:rPr>
        <w:t>为规范上海证券交易所（以下简称本所）上市基金做市业务，提高市场流动性，</w:t>
      </w:r>
      <w:r>
        <w:rPr>
          <w:rFonts w:hint="eastAsia" w:ascii="Times New Roman" w:hAnsi="Times New Roman" w:eastAsia="仿宋_GB2312"/>
          <w:sz w:val="30"/>
          <w:szCs w:val="30"/>
          <w:highlight w:val="none"/>
        </w:rPr>
        <w:t>根据《上海证券交易所证券投资基金上市规则》《上海证券交易所交易型开放式指数基金业务实施细则》《上海证券交易所开放式基金业务管理办法》《上海证券交易所基金自律监管规则适用指引第2号——上市基金做市业务》（以下简称《基金做市指引》）及其他相关规定，制定本指南。本指南主要内容包括基金做市业务的总体要求、业务申请条件与受理流程、基金做市商的报价义务、权利、评价、风险管理、合规与内部控制、监督管理等方面。本指南仅供基金做市商开展做市业务时参考，如有内容与本所基金业务规则不一致，以本所基金业务规则为准。本所将根据基金业务的进展情况，对本指南进行持续更新和调整。</w:t>
      </w:r>
    </w:p>
    <w:p>
      <w:pPr>
        <w:spacing w:line="600" w:lineRule="exact"/>
        <w:ind w:firstLine="600" w:firstLineChars="200"/>
        <w:rPr>
          <w:rFonts w:ascii="Times New Roman" w:hAnsi="Times New Roman" w:eastAsia="仿宋_GB2312"/>
          <w:sz w:val="30"/>
          <w:szCs w:val="30"/>
          <w:highlight w:val="none"/>
        </w:rPr>
      </w:pPr>
    </w:p>
    <w:p>
      <w:pPr>
        <w:pStyle w:val="2"/>
        <w:spacing w:before="0" w:after="0" w:line="600" w:lineRule="exact"/>
        <w:jc w:val="center"/>
        <w:rPr>
          <w:rFonts w:ascii="黑体" w:hAnsi="黑体" w:eastAsia="黑体" w:cs="宋体"/>
          <w:b w:val="0"/>
          <w:sz w:val="30"/>
          <w:szCs w:val="30"/>
          <w:highlight w:val="none"/>
        </w:rPr>
      </w:pPr>
      <w:bookmarkStart w:id="4" w:name="_Toc21349"/>
      <w:bookmarkStart w:id="5" w:name="_Toc14749"/>
      <w:bookmarkStart w:id="6" w:name="_Toc120180528"/>
      <w:bookmarkStart w:id="7" w:name="_Toc32066"/>
      <w:r>
        <w:rPr>
          <w:rFonts w:hint="eastAsia" w:ascii="黑体" w:hAnsi="黑体" w:eastAsia="黑体" w:cs="宋体"/>
          <w:sz w:val="30"/>
          <w:szCs w:val="30"/>
          <w:highlight w:val="none"/>
        </w:rPr>
        <w:t>第一章</w:t>
      </w:r>
      <w:r>
        <w:rPr>
          <w:rFonts w:hint="eastAsia" w:ascii="黑体" w:hAnsi="黑体" w:eastAsia="黑体" w:cs="宋体"/>
          <w:sz w:val="30"/>
          <w:szCs w:val="30"/>
          <w:highlight w:val="none"/>
          <w:lang w:val="en-US" w:eastAsia="zh-CN"/>
        </w:rPr>
        <w:t xml:space="preserve">  </w:t>
      </w:r>
      <w:r>
        <w:rPr>
          <w:rFonts w:hint="eastAsia" w:ascii="黑体" w:hAnsi="黑体" w:eastAsia="黑体" w:cs="宋体"/>
          <w:sz w:val="30"/>
          <w:szCs w:val="30"/>
          <w:highlight w:val="none"/>
        </w:rPr>
        <w:t>总体要求</w:t>
      </w:r>
      <w:bookmarkEnd w:id="4"/>
      <w:bookmarkEnd w:id="5"/>
      <w:bookmarkEnd w:id="6"/>
      <w:bookmarkEnd w:id="7"/>
    </w:p>
    <w:p>
      <w:pPr>
        <w:pStyle w:val="3"/>
        <w:spacing w:line="600" w:lineRule="exact"/>
        <w:ind w:firstLine="562"/>
        <w:rPr>
          <w:rFonts w:ascii="仿宋_GB2312" w:hAnsi="黑体" w:eastAsia="仿宋_GB2312"/>
          <w:b w:val="0"/>
          <w:kern w:val="44"/>
          <w:sz w:val="30"/>
          <w:szCs w:val="30"/>
          <w:highlight w:val="none"/>
        </w:rPr>
      </w:pPr>
      <w:bookmarkStart w:id="8" w:name="_Toc120180529"/>
      <w:bookmarkStart w:id="9" w:name="_Toc9997"/>
      <w:bookmarkStart w:id="10" w:name="_Toc5498"/>
      <w:bookmarkStart w:id="11" w:name="_Toc15392"/>
      <w:r>
        <w:rPr>
          <w:rFonts w:hint="eastAsia" w:ascii="仿宋_GB2312" w:hAnsi="黑体" w:eastAsia="仿宋_GB2312"/>
          <w:kern w:val="44"/>
          <w:sz w:val="30"/>
          <w:szCs w:val="30"/>
          <w:highlight w:val="none"/>
        </w:rPr>
        <w:t>一、概述</w:t>
      </w:r>
      <w:bookmarkEnd w:id="8"/>
      <w:bookmarkEnd w:id="9"/>
      <w:bookmarkEnd w:id="10"/>
      <w:bookmarkEnd w:id="11"/>
    </w:p>
    <w:p>
      <w:pPr>
        <w:spacing w:line="54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本指南所称做市服务，是指符合条件的证券公司及本所认可的其他专业机构（以下统称做市商），按照</w:t>
      </w:r>
      <w:r>
        <w:rPr>
          <w:rFonts w:hint="eastAsia" w:ascii="Times New Roman" w:hAnsi="Times New Roman" w:eastAsia="仿宋_GB2312"/>
          <w:sz w:val="30"/>
          <w:szCs w:val="30"/>
          <w:highlight w:val="none"/>
        </w:rPr>
        <w:t>《基金做市指引》</w:t>
      </w:r>
      <w:r>
        <w:rPr>
          <w:rFonts w:hint="eastAsia" w:ascii="仿宋_GB2312" w:eastAsia="仿宋_GB2312"/>
          <w:sz w:val="30"/>
          <w:szCs w:val="30"/>
          <w:highlight w:val="none"/>
        </w:rPr>
        <w:t>的规定，为本所上市基金提供的持续双边报价等做市服务。</w:t>
      </w:r>
    </w:p>
    <w:p>
      <w:pPr>
        <w:spacing w:line="540" w:lineRule="exact"/>
        <w:ind w:firstLine="600" w:firstLineChars="200"/>
        <w:rPr>
          <w:rFonts w:ascii="仿宋_GB2312" w:eastAsia="仿宋_GB2312"/>
          <w:sz w:val="30"/>
          <w:szCs w:val="30"/>
          <w:highlight w:val="none"/>
        </w:rPr>
      </w:pPr>
      <w:r>
        <w:rPr>
          <w:rFonts w:hint="eastAsia" w:ascii="仿宋_GB2312" w:hAnsi="宋体" w:eastAsia="仿宋_GB2312" w:cs="宋体"/>
          <w:sz w:val="30"/>
          <w:szCs w:val="30"/>
          <w:highlight w:val="none"/>
        </w:rPr>
        <w:t>本所对做市服务实施差异化管理，分为主做市服务和一般做市服务。经本所认可，可以为本所上市基金提供主做市服务和一般做市服务的专业机构为主做市商；仅可以为本所上市基金提供一般做市服务的专业机构为一般做市商。本所对主做市商在管理、评价等方面的要求更为严格，同时进行适当激励。</w:t>
      </w:r>
    </w:p>
    <w:p>
      <w:pPr>
        <w:pStyle w:val="3"/>
        <w:spacing w:line="600" w:lineRule="exact"/>
        <w:ind w:firstLine="562"/>
        <w:rPr>
          <w:rFonts w:ascii="仿宋_GB2312" w:hAnsi="黑体" w:eastAsia="仿宋_GB2312"/>
          <w:b w:val="0"/>
          <w:kern w:val="44"/>
          <w:sz w:val="30"/>
          <w:szCs w:val="30"/>
          <w:highlight w:val="none"/>
        </w:rPr>
      </w:pPr>
      <w:bookmarkStart w:id="12" w:name="_Toc9600"/>
      <w:bookmarkStart w:id="13" w:name="_Toc2169"/>
      <w:bookmarkStart w:id="14" w:name="_Toc120180530"/>
      <w:bookmarkStart w:id="15" w:name="_Toc29191"/>
      <w:r>
        <w:rPr>
          <w:rFonts w:hint="eastAsia" w:ascii="仿宋_GB2312" w:hAnsi="黑体" w:eastAsia="仿宋_GB2312"/>
          <w:kern w:val="44"/>
          <w:sz w:val="30"/>
          <w:szCs w:val="30"/>
          <w:highlight w:val="none"/>
        </w:rPr>
        <w:t>二、组织架构与岗位设置</w:t>
      </w:r>
      <w:bookmarkEnd w:id="12"/>
      <w:bookmarkEnd w:id="13"/>
      <w:bookmarkEnd w:id="14"/>
      <w:bookmarkEnd w:id="15"/>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指定专门的业务部门作为基金做市业务负责部门，负责制定并组织实施具体的基金做市业务方案。做市商须配置专门的基金做市团队开展基金做市业务，不得将基金做市业务外包，或交给第三方机构开展。做市商开展基金做市业务须设立交易岗、风险控制岗、技术运维等岗位，并建立备岗机制。</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基金做市业务涉及风控、合规、清算、信息技术等多个业务和功能支持部门。上述支持部门须设立专门的岗位并建立备岗机制，负责与基金做市业务相关的工作，内容包括但不限于基金做市业务风险管理、内控与合规管理、清算、资金管理、技术支持等。做市业务应当与经纪、自营、资产管理等业务进行有效隔离，防止敏感信息的不当流动和使用。</w:t>
      </w:r>
    </w:p>
    <w:p>
      <w:pPr>
        <w:pStyle w:val="3"/>
        <w:spacing w:line="600" w:lineRule="exact"/>
        <w:ind w:firstLine="562"/>
        <w:rPr>
          <w:rFonts w:ascii="仿宋_GB2312" w:hAnsi="黑体" w:eastAsia="仿宋_GB2312"/>
          <w:b w:val="0"/>
          <w:kern w:val="44"/>
          <w:sz w:val="30"/>
          <w:szCs w:val="30"/>
          <w:highlight w:val="none"/>
        </w:rPr>
      </w:pPr>
      <w:bookmarkStart w:id="16" w:name="_Toc3268"/>
      <w:bookmarkStart w:id="17" w:name="_Toc120180531"/>
      <w:bookmarkStart w:id="18" w:name="_Toc1360"/>
      <w:bookmarkStart w:id="19" w:name="_Toc29227"/>
      <w:r>
        <w:rPr>
          <w:rFonts w:hint="eastAsia" w:ascii="仿宋_GB2312" w:hAnsi="黑体" w:eastAsia="仿宋_GB2312"/>
          <w:kern w:val="44"/>
          <w:sz w:val="30"/>
          <w:szCs w:val="30"/>
          <w:highlight w:val="none"/>
        </w:rPr>
        <w:t>三、制度与流程</w:t>
      </w:r>
      <w:bookmarkEnd w:id="16"/>
      <w:bookmarkEnd w:id="17"/>
      <w:bookmarkEnd w:id="18"/>
      <w:bookmarkEnd w:id="19"/>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做市商应当制定健全的业务制度和完备的业务流程，涵盖做市业务管理、交易管理、结算、风险管理、内部控制、应急等各个业务环节，并明确各相关部门的职责和岗位设置。</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做市商应当制定做市业务管理办法，保障业务规范开展，内容包括但不限于做市业务实施机制、决策流程、授权体系、风险管理、合规与内部控制、考评及问责机制等。</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制定做市业务风险管理制度，加强对做市业务的风险管理，有效防范和化解业务风险，内容包括但不限于做市业务风险管理基本原则、风险指标设计、风险识别与评估、风险控制与处置、风险定期报告机制、压力测试的情景设置和分析等。</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做市商应当制定做市业务应急预案，以应对做市业务中的突发事件，保障做市业务平稳开展。</w:t>
      </w:r>
    </w:p>
    <w:p>
      <w:pPr>
        <w:spacing w:line="600" w:lineRule="exact"/>
        <w:ind w:firstLine="600" w:firstLineChars="200"/>
        <w:rPr>
          <w:rFonts w:ascii="仿宋_GB2312" w:eastAsia="仿宋_GB2312"/>
          <w:sz w:val="30"/>
          <w:szCs w:val="30"/>
          <w:highlight w:val="none"/>
        </w:rPr>
      </w:pPr>
    </w:p>
    <w:p>
      <w:pPr>
        <w:pStyle w:val="2"/>
        <w:spacing w:before="240" w:after="240" w:line="600" w:lineRule="exact"/>
        <w:jc w:val="center"/>
        <w:rPr>
          <w:rFonts w:ascii="黑体" w:hAnsi="宋体" w:eastAsia="黑体" w:cs="宋体"/>
          <w:bCs w:val="0"/>
          <w:kern w:val="0"/>
          <w:sz w:val="30"/>
          <w:szCs w:val="30"/>
          <w:highlight w:val="none"/>
        </w:rPr>
      </w:pPr>
      <w:bookmarkStart w:id="20" w:name="_Toc120180532"/>
      <w:bookmarkStart w:id="21" w:name="_Toc30543"/>
      <w:bookmarkStart w:id="22" w:name="_Toc15916"/>
      <w:bookmarkStart w:id="23" w:name="_Toc15802"/>
      <w:r>
        <w:rPr>
          <w:rFonts w:hint="eastAsia" w:ascii="黑体" w:hAnsi="宋体" w:eastAsia="黑体" w:cs="宋体"/>
          <w:bCs w:val="0"/>
          <w:kern w:val="0"/>
          <w:sz w:val="30"/>
          <w:szCs w:val="30"/>
          <w:highlight w:val="none"/>
        </w:rPr>
        <w:t>第二章</w:t>
      </w:r>
      <w:r>
        <w:rPr>
          <w:rFonts w:hint="eastAsia" w:ascii="黑体" w:hAnsi="宋体" w:eastAsia="黑体" w:cs="宋体"/>
          <w:bCs w:val="0"/>
          <w:kern w:val="0"/>
          <w:sz w:val="30"/>
          <w:szCs w:val="30"/>
          <w:highlight w:val="none"/>
          <w:lang w:val="en-US" w:eastAsia="zh-CN"/>
        </w:rPr>
        <w:t xml:space="preserve">  </w:t>
      </w:r>
      <w:r>
        <w:rPr>
          <w:rFonts w:hint="eastAsia" w:ascii="黑体" w:hAnsi="宋体" w:eastAsia="黑体" w:cs="宋体"/>
          <w:bCs w:val="0"/>
          <w:kern w:val="0"/>
          <w:sz w:val="30"/>
          <w:szCs w:val="30"/>
          <w:highlight w:val="none"/>
        </w:rPr>
        <w:t>业务申请与受理流程</w:t>
      </w:r>
      <w:bookmarkEnd w:id="20"/>
      <w:bookmarkEnd w:id="21"/>
      <w:bookmarkEnd w:id="22"/>
      <w:bookmarkEnd w:id="23"/>
    </w:p>
    <w:p>
      <w:pPr>
        <w:pStyle w:val="3"/>
        <w:spacing w:line="600" w:lineRule="exact"/>
        <w:ind w:firstLine="562"/>
        <w:rPr>
          <w:rFonts w:ascii="Times New Roman" w:hAnsi="Times New Roman" w:eastAsia="仿宋_GB2312" w:cstheme="minorBidi"/>
          <w:bCs w:val="0"/>
          <w:sz w:val="30"/>
          <w:szCs w:val="30"/>
          <w:highlight w:val="none"/>
        </w:rPr>
      </w:pPr>
      <w:bookmarkStart w:id="24" w:name="_Toc30487"/>
      <w:bookmarkStart w:id="25" w:name="_Toc27023"/>
      <w:bookmarkStart w:id="26" w:name="_Toc120180533"/>
      <w:bookmarkStart w:id="27" w:name="_Toc13027"/>
      <w:r>
        <w:rPr>
          <w:rFonts w:hint="eastAsia" w:ascii="仿宋_GB2312" w:hAnsi="黑体" w:eastAsia="仿宋_GB2312"/>
          <w:kern w:val="44"/>
          <w:sz w:val="30"/>
          <w:szCs w:val="30"/>
          <w:highlight w:val="none"/>
        </w:rPr>
        <w:t>一、</w:t>
      </w:r>
      <w:r>
        <w:rPr>
          <w:rFonts w:hint="eastAsia" w:ascii="Times New Roman" w:hAnsi="Times New Roman" w:eastAsia="仿宋_GB2312" w:cstheme="minorBidi"/>
          <w:bCs w:val="0"/>
          <w:sz w:val="30"/>
          <w:szCs w:val="30"/>
          <w:highlight w:val="none"/>
        </w:rPr>
        <w:t>做市业务申请与受理</w:t>
      </w:r>
      <w:bookmarkEnd w:id="24"/>
      <w:bookmarkEnd w:id="25"/>
      <w:bookmarkEnd w:id="26"/>
      <w:bookmarkEnd w:id="27"/>
    </w:p>
    <w:p>
      <w:pPr>
        <w:spacing w:line="600" w:lineRule="exact"/>
        <w:ind w:firstLine="602" w:firstLineChars="200"/>
        <w:rPr>
          <w:rFonts w:ascii="Times New Roman" w:hAnsi="Times New Roman" w:eastAsia="仿宋_GB2312"/>
          <w:b/>
          <w:sz w:val="30"/>
          <w:szCs w:val="30"/>
          <w:highlight w:val="none"/>
        </w:rPr>
      </w:pPr>
      <w:r>
        <w:rPr>
          <w:rFonts w:hint="eastAsia" w:ascii="Times New Roman" w:hAnsi="Times New Roman" w:eastAsia="仿宋_GB2312"/>
          <w:b/>
          <w:sz w:val="30"/>
          <w:szCs w:val="30"/>
          <w:highlight w:val="none"/>
        </w:rPr>
        <w:t>（一）申请条件</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证券公司、商业银行、保险机构、信托公司、基金管理公司、财务公司等专业机构及其子公司，或本所认可的其他专业机构，可向本所申请成为基金做市商。</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专业机构申请成为本所基金做市商的，须符合下列条件：</w:t>
      </w:r>
    </w:p>
    <w:p>
      <w:pPr>
        <w:spacing w:line="54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1、拟申请机构为证券公司的，须取得经国务院证券监督管理机构核准的证券做市交易业务许可；</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2、具备开展做市业务所需的专业人员和技术系统；</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3、以自有资金开展做市业务；</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4、制定完备的做市业务实施方案、业务管理办法、风险管理制度、应急预案等有关内部管理制度；</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5、过去一年内未因做市业务的违法违规行为被中国证监会或本所采取监管措施、纪律处分或行政处罚；</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6、中国证监会及本所规定的其他条件。</w:t>
      </w:r>
    </w:p>
    <w:p>
      <w:pPr>
        <w:spacing w:line="540" w:lineRule="exact"/>
        <w:ind w:firstLine="600" w:firstLineChars="200"/>
        <w:rPr>
          <w:rFonts w:hint="eastAsia" w:ascii="仿宋_GB2312" w:eastAsia="仿宋_GB2312"/>
          <w:sz w:val="30"/>
          <w:szCs w:val="30"/>
          <w:highlight w:val="none"/>
          <w:lang w:eastAsia="zh-CN"/>
        </w:rPr>
      </w:pPr>
      <w:r>
        <w:rPr>
          <w:rFonts w:hint="eastAsia" w:ascii="仿宋_GB2312" w:hAnsi="宋体" w:eastAsia="仿宋_GB2312" w:cs="宋体"/>
          <w:sz w:val="30"/>
          <w:szCs w:val="30"/>
          <w:highlight w:val="none"/>
        </w:rPr>
        <w:t>申请成为本所基金</w:t>
      </w:r>
      <w:r>
        <w:rPr>
          <w:rFonts w:hint="eastAsia" w:ascii="仿宋_GB2312" w:eastAsia="仿宋_GB2312"/>
          <w:sz w:val="30"/>
          <w:szCs w:val="30"/>
          <w:highlight w:val="none"/>
        </w:rPr>
        <w:t>做市商的专业机构，除应当符合上述条件外，还应当通过本所组织的专项检查（检查要点见附件1）</w:t>
      </w:r>
      <w:r>
        <w:rPr>
          <w:rFonts w:hint="eastAsia" w:ascii="仿宋_GB2312" w:eastAsia="仿宋_GB2312"/>
          <w:sz w:val="30"/>
          <w:szCs w:val="30"/>
          <w:highlight w:val="none"/>
          <w:lang w:eastAsia="zh-CN"/>
        </w:rPr>
        <w:t>和技术测试</w:t>
      </w:r>
      <w:r>
        <w:rPr>
          <w:rFonts w:hint="eastAsia" w:ascii="仿宋_GB2312" w:eastAsia="仿宋_GB2312"/>
          <w:sz w:val="30"/>
          <w:szCs w:val="30"/>
          <w:highlight w:val="none"/>
        </w:rPr>
        <w:t>。专项检查重点内容包括基金做市业务相关制度流程、组织架构、方案策略、交易管理、风控合规、技术系统等。</w:t>
      </w:r>
      <w:r>
        <w:rPr>
          <w:rFonts w:hint="eastAsia" w:ascii="仿宋_GB2312" w:eastAsia="仿宋_GB2312"/>
          <w:sz w:val="30"/>
          <w:szCs w:val="30"/>
          <w:highlight w:val="none"/>
          <w:lang w:eastAsia="zh-CN"/>
        </w:rPr>
        <w:t>技术测试主要内容包括交易功能测试等。</w:t>
      </w:r>
      <w:bookmarkStart w:id="179" w:name="_GoBack"/>
      <w:bookmarkEnd w:id="179"/>
    </w:p>
    <w:p>
      <w:pPr>
        <w:spacing w:line="600" w:lineRule="exact"/>
        <w:ind w:firstLine="602" w:firstLineChars="200"/>
        <w:rPr>
          <w:rFonts w:hint="default" w:ascii="Times New Roman" w:hAnsi="Times New Roman" w:eastAsia="仿宋_GB2312"/>
          <w:b/>
          <w:sz w:val="30"/>
          <w:szCs w:val="30"/>
          <w:highlight w:val="none"/>
          <w:lang w:val="en-US"/>
        </w:rPr>
      </w:pPr>
      <w:r>
        <w:rPr>
          <w:rFonts w:hint="eastAsia" w:ascii="Times New Roman" w:hAnsi="Times New Roman" w:eastAsia="仿宋_GB2312"/>
          <w:b/>
          <w:sz w:val="30"/>
          <w:szCs w:val="30"/>
          <w:highlight w:val="none"/>
        </w:rPr>
        <w:t>（二）申请材料</w:t>
      </w:r>
    </w:p>
    <w:p>
      <w:pPr>
        <w:spacing w:line="600" w:lineRule="exact"/>
        <w:ind w:firstLine="600" w:firstLineChars="200"/>
        <w:rPr>
          <w:rFonts w:ascii="仿宋_GB2312" w:eastAsia="仿宋_GB2312"/>
          <w:sz w:val="30"/>
          <w:szCs w:val="30"/>
          <w:highlight w:val="none"/>
        </w:rPr>
      </w:pPr>
      <w:r>
        <w:rPr>
          <w:rFonts w:hint="eastAsia" w:ascii="Times New Roman" w:hAnsi="Times New Roman" w:eastAsia="仿宋_GB2312"/>
          <w:sz w:val="30"/>
          <w:szCs w:val="30"/>
          <w:highlight w:val="none"/>
        </w:rPr>
        <w:t>专业机构申请成为本所基金做市商的</w:t>
      </w:r>
      <w:r>
        <w:rPr>
          <w:rFonts w:hint="eastAsia" w:ascii="仿宋_GB2312" w:eastAsia="仿宋_GB2312"/>
          <w:sz w:val="30"/>
          <w:szCs w:val="30"/>
          <w:highlight w:val="none"/>
        </w:rPr>
        <w:t>，应当向本所提交下列材料:</w:t>
      </w:r>
    </w:p>
    <w:p>
      <w:pPr>
        <w:spacing w:line="600" w:lineRule="exact"/>
        <w:ind w:firstLine="600" w:firstLineChars="200"/>
        <w:rPr>
          <w:rFonts w:ascii="仿宋_GB2312" w:hAnsi="宋体" w:eastAsia="仿宋_GB2312" w:cs="宋体"/>
          <w:sz w:val="30"/>
          <w:szCs w:val="30"/>
          <w:highlight w:val="none"/>
        </w:rPr>
      </w:pPr>
      <w:r>
        <w:rPr>
          <w:rFonts w:hint="eastAsia" w:ascii="仿宋_GB2312" w:eastAsia="仿宋_GB2312"/>
          <w:sz w:val="30"/>
          <w:szCs w:val="30"/>
          <w:highlight w:val="none"/>
        </w:rPr>
        <w:t>1、经法定代表人或授权代表签字并加盖单位公章</w:t>
      </w:r>
      <w:r>
        <w:rPr>
          <w:rFonts w:hint="eastAsia" w:ascii="仿宋_GB2312" w:hAnsi="宋体" w:eastAsia="仿宋_GB2312" w:cs="宋体"/>
          <w:sz w:val="30"/>
          <w:szCs w:val="30"/>
          <w:highlight w:val="none"/>
        </w:rPr>
        <w:t>的申请书（模板见附件2）；</w:t>
      </w:r>
    </w:p>
    <w:p>
      <w:pPr>
        <w:spacing w:line="600" w:lineRule="exact"/>
        <w:ind w:firstLine="600" w:firstLineChars="200"/>
        <w:rPr>
          <w:rFonts w:ascii="仿宋_GB2312" w:eastAsia="仿宋_GB2312"/>
          <w:sz w:val="30"/>
          <w:szCs w:val="30"/>
          <w:highlight w:val="none"/>
        </w:rPr>
      </w:pPr>
      <w:r>
        <w:rPr>
          <w:rFonts w:hint="eastAsia" w:ascii="仿宋_GB2312" w:hAnsi="宋体" w:eastAsia="仿宋_GB2312" w:cs="宋体"/>
          <w:sz w:val="30"/>
          <w:szCs w:val="30"/>
          <w:highlight w:val="none"/>
        </w:rPr>
        <w:t>2、</w:t>
      </w:r>
      <w:r>
        <w:rPr>
          <w:rFonts w:hint="eastAsia" w:ascii="仿宋_GB2312" w:eastAsia="仿宋_GB2312"/>
          <w:sz w:val="30"/>
          <w:szCs w:val="30"/>
          <w:highlight w:val="none"/>
        </w:rPr>
        <w:t>做市业务总体性方案、业务管理办法、风险管理制度、应急预案等有关内部管理制度、技术系统准备情况的书面材料（加盖单位公章）；</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3、负责做市业务的部门、岗位设置、人员情况说明（模板见附件3），若负责做市业务的负责人和联络人出现调整，应及时报备本所；</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4、本所要求的其他材料。</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申请机构的法定代表人或授权代表应在申请书上签字，并做出如下承诺：申请人提交的申请材料内容真实、准确、完整，如存在虚假记载、误导性陈述和重大遗漏，将承担相关法律责任。</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上述材料如有变更，应当再次向本所报送。</w:t>
      </w:r>
    </w:p>
    <w:p>
      <w:pPr>
        <w:spacing w:line="600" w:lineRule="exact"/>
        <w:ind w:firstLine="602" w:firstLineChars="200"/>
        <w:rPr>
          <w:rFonts w:ascii="Times New Roman" w:hAnsi="Times New Roman" w:eastAsia="仿宋_GB2312"/>
          <w:b/>
          <w:sz w:val="30"/>
          <w:szCs w:val="30"/>
          <w:highlight w:val="none"/>
        </w:rPr>
      </w:pPr>
      <w:r>
        <w:rPr>
          <w:rFonts w:hint="eastAsia" w:ascii="Times New Roman" w:hAnsi="Times New Roman" w:eastAsia="仿宋_GB2312"/>
          <w:b/>
          <w:sz w:val="30"/>
          <w:szCs w:val="30"/>
          <w:highlight w:val="none"/>
        </w:rPr>
        <w:t>（三）申请受理</w:t>
      </w:r>
    </w:p>
    <w:p>
      <w:pPr>
        <w:widowControl/>
        <w:adjustRightInd w:val="0"/>
        <w:spacing w:line="600" w:lineRule="exact"/>
        <w:ind w:firstLine="600"/>
        <w:rPr>
          <w:rFonts w:hint="eastAsia" w:ascii="仿宋_GB2312" w:eastAsia="仿宋_GB2312"/>
          <w:sz w:val="30"/>
          <w:szCs w:val="30"/>
          <w:highlight w:val="none"/>
        </w:rPr>
      </w:pPr>
      <w:r>
        <w:rPr>
          <w:rFonts w:hint="eastAsia" w:ascii="仿宋_GB2312" w:eastAsia="仿宋_GB2312"/>
          <w:sz w:val="30"/>
          <w:szCs w:val="30"/>
          <w:highlight w:val="none"/>
        </w:rPr>
        <w:t>本所将根据《基金做市指引》有关规定，对申请材料进行审核。申请机构符合条件且材料齐备的，本所于文件齐备后的</w:t>
      </w: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个交易日内组织专项检查</w:t>
      </w:r>
      <w:r>
        <w:rPr>
          <w:rFonts w:hint="eastAsia" w:ascii="仿宋_GB2312" w:eastAsia="仿宋_GB2312"/>
          <w:sz w:val="30"/>
          <w:szCs w:val="30"/>
          <w:highlight w:val="none"/>
          <w:lang w:eastAsia="zh-CN"/>
        </w:rPr>
        <w:t>和技术测试</w:t>
      </w:r>
      <w:r>
        <w:rPr>
          <w:rFonts w:hint="eastAsia" w:ascii="仿宋_GB2312" w:eastAsia="仿宋_GB2312"/>
          <w:sz w:val="30"/>
          <w:szCs w:val="30"/>
          <w:highlight w:val="none"/>
        </w:rPr>
        <w:t>。机构</w:t>
      </w:r>
      <w:r>
        <w:rPr>
          <w:rFonts w:hint="eastAsia" w:ascii="仿宋_GB2312" w:eastAsia="仿宋_GB2312"/>
          <w:sz w:val="30"/>
          <w:szCs w:val="30"/>
          <w:highlight w:val="none"/>
          <w:lang w:eastAsia="zh-CN"/>
        </w:rPr>
        <w:t>通过</w:t>
      </w:r>
      <w:r>
        <w:rPr>
          <w:rFonts w:hint="eastAsia" w:ascii="仿宋_GB2312" w:eastAsia="仿宋_GB2312"/>
          <w:sz w:val="30"/>
          <w:szCs w:val="30"/>
          <w:highlight w:val="none"/>
        </w:rPr>
        <w:t>专项检查和技术测试</w:t>
      </w:r>
      <w:r>
        <w:rPr>
          <w:rFonts w:hint="eastAsia" w:ascii="Times New Roman" w:hAnsi="Times New Roman" w:eastAsia="仿宋_GB2312"/>
          <w:sz w:val="30"/>
          <w:szCs w:val="30"/>
          <w:highlight w:val="none"/>
          <w:lang w:eastAsia="zh-CN"/>
        </w:rPr>
        <w:t>的</w:t>
      </w:r>
      <w:r>
        <w:rPr>
          <w:rFonts w:hint="eastAsia" w:ascii="Times New Roman" w:hAnsi="Times New Roman" w:eastAsia="仿宋_GB2312"/>
          <w:sz w:val="30"/>
          <w:szCs w:val="30"/>
          <w:highlight w:val="none"/>
        </w:rPr>
        <w:t>，</w:t>
      </w:r>
      <w:r>
        <w:rPr>
          <w:rFonts w:hint="eastAsia" w:ascii="仿宋_GB2312" w:eastAsia="仿宋_GB2312"/>
          <w:sz w:val="30"/>
          <w:szCs w:val="30"/>
          <w:highlight w:val="none"/>
        </w:rPr>
        <w:t>本所于10个交易日内作出决定，并通知申请人。</w:t>
      </w:r>
      <w:r>
        <w:rPr>
          <w:rFonts w:hint="eastAsia" w:ascii="仿宋_GB2312" w:hAnsi="宋体" w:eastAsia="仿宋_GB2312" w:cs="宋体"/>
          <w:sz w:val="30"/>
          <w:szCs w:val="30"/>
          <w:highlight w:val="none"/>
        </w:rPr>
        <w:t>对</w:t>
      </w:r>
      <w:r>
        <w:rPr>
          <w:rFonts w:hint="eastAsia" w:ascii="仿宋_GB2312" w:eastAsia="仿宋_GB2312"/>
          <w:sz w:val="30"/>
          <w:szCs w:val="30"/>
          <w:highlight w:val="none"/>
        </w:rPr>
        <w:t>机构开展的专项检查</w:t>
      </w:r>
      <w:r>
        <w:rPr>
          <w:rFonts w:hint="eastAsia" w:ascii="仿宋_GB2312" w:eastAsia="仿宋_GB2312"/>
          <w:sz w:val="30"/>
          <w:szCs w:val="30"/>
          <w:highlight w:val="none"/>
          <w:lang w:eastAsia="zh-CN"/>
        </w:rPr>
        <w:t>和技术测试</w:t>
      </w:r>
      <w:r>
        <w:rPr>
          <w:rFonts w:hint="eastAsia" w:ascii="仿宋_GB2312" w:eastAsia="仿宋_GB2312"/>
          <w:sz w:val="30"/>
          <w:szCs w:val="30"/>
          <w:highlight w:val="none"/>
        </w:rPr>
        <w:t>不计入上述期限。做市商申请通过的，本所将向市场公告。</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取得本所同意成为主做市商的专业机构应当在收到本所通知后及时与本所签订做市商协议，明确双方的权利和义务。未签订做市商协议的，不得以主做市商身份提供做市服务。若协议内容有补充或变更，须签订补充协议予以更新。</w:t>
      </w:r>
    </w:p>
    <w:p>
      <w:pPr>
        <w:pStyle w:val="3"/>
        <w:spacing w:line="600" w:lineRule="exact"/>
        <w:ind w:firstLine="562"/>
        <w:rPr>
          <w:rFonts w:ascii="仿宋_GB2312" w:hAnsi="黑体" w:eastAsia="仿宋_GB2312"/>
          <w:b w:val="0"/>
          <w:kern w:val="44"/>
          <w:sz w:val="30"/>
          <w:szCs w:val="30"/>
          <w:highlight w:val="none"/>
        </w:rPr>
      </w:pPr>
      <w:bookmarkStart w:id="28" w:name="_Toc2170"/>
      <w:bookmarkStart w:id="29" w:name="_Toc9016"/>
      <w:bookmarkStart w:id="30" w:name="_Toc15947"/>
      <w:bookmarkStart w:id="31" w:name="_Toc120180534"/>
      <w:r>
        <w:rPr>
          <w:rFonts w:hint="eastAsia" w:ascii="仿宋_GB2312" w:hAnsi="黑体" w:eastAsia="仿宋_GB2312"/>
          <w:kern w:val="44"/>
          <w:sz w:val="30"/>
          <w:szCs w:val="30"/>
          <w:highlight w:val="none"/>
        </w:rPr>
        <w:t>二、做市商申请为基金产品提供做市服务</w:t>
      </w:r>
      <w:bookmarkEnd w:id="28"/>
      <w:bookmarkEnd w:id="29"/>
      <w:bookmarkEnd w:id="30"/>
      <w:bookmarkEnd w:id="31"/>
    </w:p>
    <w:p>
      <w:pPr>
        <w:spacing w:line="600" w:lineRule="exact"/>
        <w:ind w:firstLine="600" w:firstLineChars="200"/>
        <w:rPr>
          <w:rFonts w:ascii="仿宋_GB2312" w:eastAsia="仿宋_GB2312"/>
          <w:sz w:val="30"/>
          <w:szCs w:val="30"/>
          <w:highlight w:val="none"/>
        </w:rPr>
      </w:pPr>
      <w:r>
        <w:rPr>
          <w:rFonts w:hint="eastAsia" w:ascii="Times New Roman" w:hAnsi="Times New Roman" w:eastAsia="仿宋_GB2312"/>
          <w:sz w:val="30"/>
          <w:szCs w:val="30"/>
          <w:highlight w:val="none"/>
        </w:rPr>
        <w:t>做市商申请为基金产品提供做市服务的</w:t>
      </w:r>
      <w:r>
        <w:rPr>
          <w:rFonts w:hint="eastAsia" w:ascii="仿宋_GB2312" w:eastAsia="仿宋_GB2312"/>
          <w:sz w:val="30"/>
          <w:szCs w:val="30"/>
          <w:highlight w:val="none"/>
        </w:rPr>
        <w:t>，应当向本所提交下列材料：</w:t>
      </w:r>
    </w:p>
    <w:p>
      <w:pPr>
        <w:spacing w:line="600" w:lineRule="exact"/>
        <w:ind w:firstLine="600" w:firstLineChars="200"/>
        <w:rPr>
          <w:rFonts w:ascii="仿宋_GB2312" w:hAnsi="宋体" w:eastAsia="仿宋_GB2312" w:cs="宋体"/>
          <w:sz w:val="30"/>
          <w:szCs w:val="30"/>
          <w:highlight w:val="none"/>
        </w:rPr>
      </w:pPr>
      <w:r>
        <w:rPr>
          <w:rFonts w:hint="eastAsia" w:ascii="仿宋_GB2312" w:eastAsia="仿宋_GB2312"/>
          <w:sz w:val="30"/>
          <w:szCs w:val="30"/>
          <w:highlight w:val="none"/>
        </w:rPr>
        <w:t>1、</w:t>
      </w:r>
      <w:r>
        <w:rPr>
          <w:rFonts w:hint="eastAsia" w:ascii="仿宋_GB2312" w:hAnsi="宋体" w:eastAsia="仿宋_GB2312" w:cs="宋体"/>
          <w:sz w:val="30"/>
          <w:szCs w:val="30"/>
          <w:highlight w:val="none"/>
        </w:rPr>
        <w:t>加盖单位公章的为基金产品提供主做市服务或一般做市服务的申请书（模板见附件4）；</w:t>
      </w:r>
    </w:p>
    <w:p>
      <w:pPr>
        <w:spacing w:line="600" w:lineRule="exact"/>
        <w:ind w:firstLine="600" w:firstLineChars="2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2、基金公司的书面认可函（模板见附件5）；</w:t>
      </w:r>
    </w:p>
    <w:p>
      <w:pPr>
        <w:spacing w:line="600" w:lineRule="exact"/>
        <w:ind w:firstLine="600" w:firstLineChars="2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3、做市业务专用账户信息报备表（模板见附件6）</w:t>
      </w:r>
      <w:r>
        <w:rPr>
          <w:rFonts w:hint="eastAsia" w:ascii="仿宋_GB2312" w:eastAsia="仿宋_GB2312"/>
          <w:sz w:val="30"/>
          <w:szCs w:val="30"/>
          <w:highlight w:val="none"/>
        </w:rPr>
        <w:t>；</w:t>
      </w:r>
      <w:r>
        <w:rPr>
          <w:rFonts w:hint="eastAsia" w:ascii="仿宋_GB2312" w:hAnsi="宋体" w:eastAsia="仿宋_GB2312" w:cs="宋体"/>
          <w:sz w:val="30"/>
          <w:szCs w:val="30"/>
          <w:highlight w:val="none"/>
        </w:rPr>
        <w:t xml:space="preserve"> </w:t>
      </w:r>
    </w:p>
    <w:p>
      <w:pPr>
        <w:spacing w:line="600" w:lineRule="exact"/>
        <w:ind w:firstLine="600" w:firstLineChars="200"/>
        <w:rPr>
          <w:rFonts w:ascii="仿宋_GB2312" w:eastAsia="仿宋_GB2312"/>
          <w:sz w:val="30"/>
          <w:szCs w:val="30"/>
          <w:highlight w:val="none"/>
        </w:rPr>
      </w:pPr>
      <w:r>
        <w:rPr>
          <w:rFonts w:hint="eastAsia" w:ascii="仿宋_GB2312" w:hAnsi="宋体" w:eastAsia="仿宋_GB2312" w:cs="宋体"/>
          <w:sz w:val="30"/>
          <w:szCs w:val="30"/>
          <w:highlight w:val="none"/>
        </w:rPr>
        <w:t>4、基金产品做市业务实施方案、业务管理办法、风险管理制度、应急预案等有关内部管理制度、技术系统准备情况的书面材料（</w:t>
      </w:r>
      <w:r>
        <w:rPr>
          <w:rFonts w:hint="eastAsia" w:ascii="仿宋_GB2312" w:eastAsia="仿宋_GB2312"/>
          <w:sz w:val="30"/>
          <w:szCs w:val="30"/>
          <w:highlight w:val="none"/>
        </w:rPr>
        <w:t>加盖单位公章）。</w:t>
      </w:r>
      <w:r>
        <w:rPr>
          <w:rFonts w:hint="eastAsia" w:ascii="仿宋_GB2312" w:hAnsi="宋体" w:eastAsia="仿宋_GB2312" w:cs="宋体"/>
          <w:sz w:val="30"/>
          <w:szCs w:val="30"/>
          <w:highlight w:val="none"/>
        </w:rPr>
        <w:t>如材料与申请成为做市商提交的材料内容一致，可免予提交；</w:t>
      </w:r>
    </w:p>
    <w:p>
      <w:pPr>
        <w:spacing w:line="60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5、本所要求的其他材料。</w:t>
      </w:r>
    </w:p>
    <w:p>
      <w:pPr>
        <w:spacing w:line="600" w:lineRule="exact"/>
        <w:ind w:firstLine="600" w:firstLineChars="200"/>
        <w:rPr>
          <w:rFonts w:ascii="Times New Roman" w:hAnsi="Times New Roman" w:eastAsia="仿宋_GB2312"/>
          <w:sz w:val="30"/>
          <w:szCs w:val="30"/>
          <w:highlight w:val="none"/>
        </w:rPr>
      </w:pPr>
      <w:r>
        <w:rPr>
          <w:rFonts w:ascii="仿宋_GB2312" w:eastAsia="仿宋_GB2312"/>
          <w:sz w:val="30"/>
          <w:szCs w:val="30"/>
          <w:highlight w:val="none"/>
        </w:rPr>
        <w:t>做市商提交的做市服务申请文件齐备的，本所自文件齐备之日起3个交易日内予以确认，申请人</w:t>
      </w:r>
      <w:r>
        <w:rPr>
          <w:rFonts w:hint="eastAsia" w:ascii="仿宋_GB2312" w:eastAsia="仿宋_GB2312"/>
          <w:sz w:val="30"/>
          <w:szCs w:val="30"/>
          <w:highlight w:val="none"/>
        </w:rPr>
        <w:t>可自行在业务系统查询受理进度</w:t>
      </w:r>
      <w:r>
        <w:rPr>
          <w:rFonts w:ascii="仿宋_GB2312" w:eastAsia="仿宋_GB2312"/>
          <w:sz w:val="30"/>
          <w:szCs w:val="30"/>
          <w:highlight w:val="none"/>
        </w:rPr>
        <w:t>。本所向市场公告为特定基金提供做市服务的做市商名单，自公告中载明的做市服务起始日起，做市商可以为申请的基金产品提供做市服务</w:t>
      </w:r>
      <w:r>
        <w:rPr>
          <w:rFonts w:hint="eastAsia" w:ascii="仿宋_GB2312" w:eastAsia="仿宋_GB2312"/>
          <w:sz w:val="30"/>
          <w:szCs w:val="30"/>
          <w:highlight w:val="none"/>
        </w:rPr>
        <w:t>,并接受本所</w:t>
      </w:r>
      <w:r>
        <w:rPr>
          <w:rFonts w:hint="eastAsia" w:ascii="Times New Roman" w:hAnsi="Times New Roman" w:eastAsia="仿宋_GB2312"/>
          <w:sz w:val="30"/>
          <w:szCs w:val="30"/>
          <w:highlight w:val="none"/>
        </w:rPr>
        <w:t>考评，获得相应激励。</w:t>
      </w:r>
    </w:p>
    <w:p>
      <w:pPr>
        <w:pStyle w:val="3"/>
        <w:spacing w:line="600" w:lineRule="exact"/>
        <w:ind w:firstLine="562"/>
        <w:rPr>
          <w:rFonts w:ascii="仿宋_GB2312" w:hAnsi="黑体" w:eastAsia="仿宋_GB2312"/>
          <w:b w:val="0"/>
          <w:kern w:val="44"/>
          <w:sz w:val="30"/>
          <w:szCs w:val="30"/>
          <w:highlight w:val="none"/>
        </w:rPr>
      </w:pPr>
      <w:bookmarkStart w:id="32" w:name="_Toc18713"/>
      <w:bookmarkStart w:id="33" w:name="_Toc17587"/>
      <w:bookmarkStart w:id="34" w:name="_Toc30031"/>
      <w:bookmarkStart w:id="35" w:name="_Toc120180535"/>
      <w:r>
        <w:rPr>
          <w:rFonts w:hint="eastAsia" w:ascii="仿宋_GB2312" w:hAnsi="黑体" w:eastAsia="仿宋_GB2312"/>
          <w:kern w:val="44"/>
          <w:sz w:val="30"/>
          <w:szCs w:val="30"/>
          <w:highlight w:val="none"/>
        </w:rPr>
        <w:t>三、做市业务账户报备</w:t>
      </w:r>
      <w:bookmarkEnd w:id="32"/>
      <w:bookmarkEnd w:id="33"/>
      <w:bookmarkEnd w:id="34"/>
      <w:bookmarkEnd w:id="35"/>
    </w:p>
    <w:p>
      <w:pPr>
        <w:ind w:firstLine="600" w:firstLineChars="200"/>
        <w:rPr>
          <w:rFonts w:ascii="仿宋_GB2312" w:eastAsia="仿宋_GB2312"/>
          <w:sz w:val="30"/>
          <w:szCs w:val="30"/>
          <w:highlight w:val="none"/>
        </w:rPr>
      </w:pPr>
      <w:r>
        <w:rPr>
          <w:rFonts w:hint="eastAsia" w:ascii="仿宋_GB2312" w:eastAsia="仿宋_GB2312"/>
          <w:sz w:val="30"/>
          <w:szCs w:val="30"/>
          <w:highlight w:val="none"/>
        </w:rPr>
        <w:t>做市商提供做市服务，应当指定专用证券账户和对应的交易单元，报本所备案。专用证券账户不得用于提供做市服务以外的用途。做市服务起始日的前5个交易日内，可通过专用证券账户单向买入建仓。做市商为单只基金产品提供做市服务应使用唯一的专用证券账户。专用证券账户可用于为多个基金产品提供做市服务。为实现期现隔离、加强风险管理，原则上专用证券账户与期权做市业务对应的现货账户应为不同的账户。</w:t>
      </w:r>
    </w:p>
    <w:p>
      <w:pPr>
        <w:spacing w:line="600" w:lineRule="exact"/>
        <w:ind w:firstLine="600" w:firstLineChars="200"/>
        <w:rPr>
          <w:rFonts w:ascii="Times New Roman" w:hAnsi="Times New Roman" w:eastAsia="仿宋_GB2312"/>
          <w:sz w:val="30"/>
          <w:szCs w:val="30"/>
          <w:highlight w:val="none"/>
        </w:rPr>
      </w:pPr>
      <w:r>
        <w:rPr>
          <w:rFonts w:hint="eastAsia" w:ascii="仿宋_GB2312" w:eastAsia="仿宋_GB2312"/>
          <w:sz w:val="30"/>
          <w:szCs w:val="30"/>
          <w:highlight w:val="none"/>
        </w:rPr>
        <w:t>做市商变更上述专用证券账户的，应当提前5个交易日向本所提交变更账户的情况说明（模板见附件7），经本所确认后实施。未经本所允许，不得变更上述账户。</w:t>
      </w:r>
    </w:p>
    <w:p>
      <w:pPr>
        <w:pStyle w:val="3"/>
        <w:spacing w:line="600" w:lineRule="exact"/>
        <w:ind w:firstLine="562"/>
        <w:rPr>
          <w:rFonts w:ascii="仿宋_GB2312" w:hAnsi="黑体" w:eastAsia="仿宋_GB2312"/>
          <w:b w:val="0"/>
          <w:kern w:val="44"/>
          <w:sz w:val="30"/>
          <w:szCs w:val="30"/>
          <w:highlight w:val="none"/>
        </w:rPr>
      </w:pPr>
      <w:bookmarkStart w:id="36" w:name="_Toc120180536"/>
      <w:bookmarkStart w:id="37" w:name="_Toc4674"/>
      <w:bookmarkStart w:id="38" w:name="_Toc8975"/>
      <w:bookmarkStart w:id="39" w:name="_Toc9361"/>
      <w:r>
        <w:rPr>
          <w:rFonts w:hint="eastAsia" w:ascii="仿宋_GB2312" w:hAnsi="黑体" w:eastAsia="仿宋_GB2312"/>
          <w:kern w:val="44"/>
          <w:sz w:val="30"/>
          <w:szCs w:val="30"/>
          <w:highlight w:val="none"/>
        </w:rPr>
        <w:t>四、做市商</w:t>
      </w:r>
      <w:r>
        <w:rPr>
          <w:rFonts w:hint="eastAsia" w:ascii="仿宋_GB2312" w:hAnsi="黑体" w:eastAsia="仿宋_GB2312"/>
          <w:kern w:val="44"/>
          <w:sz w:val="30"/>
          <w:szCs w:val="30"/>
          <w:highlight w:val="none"/>
          <w:lang w:eastAsia="zh-CN"/>
        </w:rPr>
        <w:t>协商确定</w:t>
      </w:r>
      <w:r>
        <w:rPr>
          <w:rFonts w:hint="eastAsia" w:ascii="仿宋_GB2312" w:hAnsi="黑体" w:eastAsia="仿宋_GB2312"/>
          <w:kern w:val="44"/>
          <w:sz w:val="30"/>
          <w:szCs w:val="30"/>
          <w:highlight w:val="none"/>
        </w:rPr>
        <w:t>机制</w:t>
      </w:r>
      <w:bookmarkEnd w:id="36"/>
      <w:bookmarkEnd w:id="37"/>
      <w:bookmarkEnd w:id="38"/>
      <w:bookmarkEnd w:id="39"/>
    </w:p>
    <w:p>
      <w:pPr>
        <w:spacing w:line="600" w:lineRule="exact"/>
        <w:ind w:firstLine="600" w:firstLineChars="200"/>
        <w:rPr>
          <w:rFonts w:hint="default" w:ascii="仿宋_GB2312" w:eastAsia="仿宋_GB2312"/>
          <w:sz w:val="30"/>
          <w:szCs w:val="30"/>
          <w:highlight w:val="none"/>
          <w:lang w:val="en-US"/>
        </w:rPr>
      </w:pPr>
      <w:r>
        <w:rPr>
          <w:rFonts w:hint="eastAsia" w:ascii="仿宋_GB2312" w:eastAsia="仿宋_GB2312"/>
          <w:sz w:val="30"/>
          <w:szCs w:val="30"/>
          <w:highlight w:val="none"/>
        </w:rPr>
        <w:t>本所可以根据基金管理人的申请、基金产品特性等因素，确定特定基金产品的主做市商家数。本所认为为特定基金产品提供做市服务的主做市商数量不足的，</w:t>
      </w:r>
      <w:r>
        <w:rPr>
          <w:rFonts w:hint="eastAsia" w:ascii="仿宋_GB2312" w:hAnsi="宋体" w:eastAsia="仿宋_GB2312" w:cs="宋体"/>
          <w:sz w:val="30"/>
          <w:szCs w:val="30"/>
          <w:highlight w:val="none"/>
        </w:rPr>
        <w:t>可以</w:t>
      </w:r>
      <w:r>
        <w:rPr>
          <w:rFonts w:hint="eastAsia" w:ascii="仿宋_GB2312" w:hAnsi="宋体" w:eastAsia="仿宋_GB2312" w:cs="宋体"/>
          <w:sz w:val="30"/>
          <w:szCs w:val="30"/>
          <w:highlight w:val="none"/>
          <w:lang w:eastAsia="zh-CN"/>
        </w:rPr>
        <w:t>协商确定</w:t>
      </w:r>
      <w:r>
        <w:rPr>
          <w:rFonts w:hint="eastAsia" w:ascii="仿宋_GB2312" w:hAnsi="宋体" w:eastAsia="仿宋_GB2312" w:cs="宋体"/>
          <w:sz w:val="30"/>
          <w:szCs w:val="30"/>
          <w:highlight w:val="none"/>
        </w:rPr>
        <w:t>主做市商为其提供做市服务。</w:t>
      </w:r>
    </w:p>
    <w:p>
      <w:pPr>
        <w:pStyle w:val="3"/>
        <w:spacing w:line="600" w:lineRule="exact"/>
        <w:ind w:firstLine="560"/>
        <w:rPr>
          <w:rFonts w:ascii="仿宋_GB2312" w:hAnsi="黑体" w:eastAsia="仿宋_GB2312"/>
          <w:b w:val="0"/>
          <w:kern w:val="44"/>
          <w:sz w:val="30"/>
          <w:szCs w:val="30"/>
          <w:highlight w:val="none"/>
        </w:rPr>
      </w:pPr>
      <w:bookmarkStart w:id="40" w:name="_Toc29953"/>
      <w:bookmarkStart w:id="41" w:name="_Toc120180537"/>
      <w:bookmarkStart w:id="42" w:name="_Toc32192"/>
      <w:bookmarkStart w:id="43" w:name="_Toc21933"/>
      <w:r>
        <w:rPr>
          <w:rFonts w:hint="eastAsia" w:ascii="仿宋_GB2312" w:hAnsi="黑体" w:eastAsia="仿宋_GB2312"/>
          <w:kern w:val="44"/>
          <w:sz w:val="30"/>
          <w:szCs w:val="30"/>
          <w:highlight w:val="none"/>
        </w:rPr>
        <w:t>五、主动申请终止做市服务</w:t>
      </w:r>
      <w:bookmarkEnd w:id="40"/>
      <w:bookmarkEnd w:id="41"/>
      <w:bookmarkEnd w:id="42"/>
      <w:bookmarkEnd w:id="43"/>
    </w:p>
    <w:p>
      <w:pPr>
        <w:ind w:firstLine="600" w:firstLineChars="2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做市商主动申请终止对全部或者部分基金提供做市服务的，应当提前5个交易日</w:t>
      </w:r>
      <w:r>
        <w:rPr>
          <w:rFonts w:hint="eastAsia" w:ascii="仿宋_GB2312" w:eastAsia="仿宋_GB2312"/>
          <w:sz w:val="30"/>
          <w:szCs w:val="30"/>
          <w:highlight w:val="none"/>
        </w:rPr>
        <w:t>向本所提交终止申请（模板见附件8）。</w:t>
      </w:r>
      <w:r>
        <w:rPr>
          <w:rFonts w:hint="eastAsia" w:ascii="仿宋_GB2312" w:hAnsi="宋体" w:eastAsia="仿宋_GB2312" w:cs="宋体"/>
          <w:sz w:val="30"/>
          <w:szCs w:val="30"/>
          <w:highlight w:val="none"/>
        </w:rPr>
        <w:t>材料中须注明拟终止的生效时间。经本所确认后，做市商方可终止为相应基金产品提供做市服务。</w:t>
      </w:r>
      <w:r>
        <w:rPr>
          <w:rFonts w:hint="eastAsia" w:ascii="仿宋_GB2312" w:eastAsia="仿宋_GB2312"/>
          <w:sz w:val="30"/>
          <w:szCs w:val="30"/>
          <w:highlight w:val="none"/>
        </w:rPr>
        <w:t>终止生效日起的20个交易日内，不再做市的基金可通过专用证券账户单向卖出。</w:t>
      </w:r>
    </w:p>
    <w:p>
      <w:pPr>
        <w:ind w:firstLine="600" w:firstLineChars="200"/>
        <w:rPr>
          <w:rFonts w:ascii="仿宋_GB2312" w:eastAsia="仿宋_GB2312"/>
          <w:sz w:val="30"/>
          <w:szCs w:val="30"/>
          <w:highlight w:val="none"/>
        </w:rPr>
      </w:pPr>
      <w:r>
        <w:rPr>
          <w:rFonts w:hint="eastAsia" w:ascii="仿宋_GB2312" w:hAnsi="宋体" w:eastAsia="仿宋_GB2312" w:cs="宋体"/>
          <w:sz w:val="30"/>
          <w:szCs w:val="30"/>
          <w:highlight w:val="none"/>
        </w:rPr>
        <w:t>一般做市商原为特定基金提供做市服务，在成为主做市商后为同一基金提供主做市服务的，不</w:t>
      </w:r>
      <w:r>
        <w:rPr>
          <w:rFonts w:hint="eastAsia" w:ascii="仿宋_GB2312" w:hAnsi="宋体" w:eastAsia="仿宋_GB2312" w:cs="宋体"/>
          <w:sz w:val="30"/>
          <w:szCs w:val="30"/>
          <w:highlight w:val="none"/>
          <w:lang w:eastAsia="zh-CN"/>
        </w:rPr>
        <w:t>属于</w:t>
      </w:r>
      <w:r>
        <w:rPr>
          <w:rFonts w:hint="eastAsia" w:ascii="仿宋_GB2312" w:hAnsi="宋体" w:eastAsia="仿宋_GB2312" w:cs="宋体"/>
          <w:sz w:val="30"/>
          <w:szCs w:val="30"/>
          <w:highlight w:val="none"/>
        </w:rPr>
        <w:t>主动终止做市服务。</w:t>
      </w:r>
      <w:r>
        <w:rPr>
          <w:rFonts w:hint="eastAsia" w:ascii="Times New Roman" w:hAnsi="Times New Roman" w:eastAsia="仿宋_GB2312"/>
          <w:sz w:val="30"/>
          <w:szCs w:val="30"/>
          <w:highlight w:val="none"/>
        </w:rPr>
        <w:t>做市商主动申请终止</w:t>
      </w:r>
      <w:r>
        <w:rPr>
          <w:rFonts w:hint="eastAsia" w:ascii="仿宋_GB2312" w:hAnsi="宋体" w:eastAsia="仿宋_GB2312" w:cs="宋体"/>
          <w:sz w:val="30"/>
          <w:szCs w:val="30"/>
          <w:highlight w:val="none"/>
        </w:rPr>
        <w:t>对全部或者部分基金提供</w:t>
      </w:r>
      <w:r>
        <w:rPr>
          <w:rFonts w:hint="eastAsia" w:ascii="Times New Roman" w:hAnsi="Times New Roman" w:eastAsia="仿宋_GB2312"/>
          <w:sz w:val="30"/>
          <w:szCs w:val="30"/>
          <w:highlight w:val="none"/>
        </w:rPr>
        <w:t>做市服务的，6个月内不得重新申请为相应基金提供做市服务。</w:t>
      </w:r>
    </w:p>
    <w:p>
      <w:pPr>
        <w:pStyle w:val="3"/>
        <w:spacing w:line="600" w:lineRule="exact"/>
        <w:ind w:firstLine="560"/>
        <w:rPr>
          <w:rFonts w:ascii="仿宋_GB2312" w:hAnsi="黑体" w:eastAsia="仿宋_GB2312"/>
          <w:kern w:val="44"/>
          <w:sz w:val="30"/>
          <w:szCs w:val="30"/>
          <w:highlight w:val="none"/>
        </w:rPr>
      </w:pPr>
      <w:bookmarkStart w:id="44" w:name="_Toc22477"/>
      <w:bookmarkStart w:id="45" w:name="_Toc4670"/>
      <w:bookmarkStart w:id="46" w:name="_Toc28214"/>
      <w:bookmarkStart w:id="47" w:name="_Toc120180538"/>
      <w:r>
        <w:rPr>
          <w:rFonts w:hint="eastAsia" w:ascii="仿宋_GB2312" w:hAnsi="黑体" w:eastAsia="仿宋_GB2312"/>
          <w:kern w:val="44"/>
          <w:sz w:val="30"/>
          <w:szCs w:val="30"/>
          <w:highlight w:val="none"/>
        </w:rPr>
        <w:t>六、相关材料报送方式</w:t>
      </w:r>
      <w:bookmarkEnd w:id="44"/>
      <w:bookmarkEnd w:id="45"/>
      <w:bookmarkEnd w:id="46"/>
      <w:bookmarkEnd w:id="47"/>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做市商通过业务系统办理各项业务</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申请</w:t>
      </w:r>
      <w:r>
        <w:rPr>
          <w:rFonts w:ascii="Times New Roman" w:hAnsi="Times New Roman" w:eastAsia="仿宋_GB2312"/>
          <w:sz w:val="30"/>
          <w:szCs w:val="30"/>
          <w:highlight w:val="none"/>
        </w:rPr>
        <w:t>EKey</w:t>
      </w:r>
      <w:r>
        <w:rPr>
          <w:rFonts w:hint="eastAsia" w:ascii="Times New Roman" w:hAnsi="Times New Roman" w:eastAsia="仿宋_GB2312"/>
          <w:sz w:val="30"/>
          <w:szCs w:val="30"/>
          <w:highlight w:val="none"/>
        </w:rPr>
        <w:t>流程见附件9</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，系统访问地址</w:t>
      </w:r>
      <w:r>
        <w:rPr>
          <w:rFonts w:ascii="Times New Roman" w:hAnsi="Times New Roman" w:eastAsia="仿宋_GB2312"/>
          <w:sz w:val="30"/>
          <w:szCs w:val="30"/>
          <w:highlight w:val="none"/>
        </w:rPr>
        <w:t xml:space="preserve">: </w:t>
      </w:r>
      <w:r>
        <w:rPr>
          <w:highlight w:val="none"/>
        </w:rPr>
        <w:fldChar w:fldCharType="begin"/>
      </w:r>
      <w:r>
        <w:rPr>
          <w:highlight w:val="none"/>
        </w:rPr>
        <w:instrText xml:space="preserve"> HYPERLINK "https://bmsp.uap.sse.com.cn" </w:instrText>
      </w:r>
      <w:r>
        <w:rPr>
          <w:highlight w:val="none"/>
        </w:rPr>
        <w:fldChar w:fldCharType="separate"/>
      </w:r>
      <w:r>
        <w:rPr>
          <w:rFonts w:ascii="Times New Roman" w:hAnsi="Times New Roman" w:eastAsia="仿宋_GB2312"/>
          <w:sz w:val="30"/>
          <w:szCs w:val="30"/>
          <w:highlight w:val="none"/>
        </w:rPr>
        <w:t>https://bmsp.uap.sse.com.cn</w:t>
      </w:r>
      <w:r>
        <w:rPr>
          <w:rFonts w:ascii="Times New Roman" w:hAnsi="Times New Roman" w:eastAsia="仿宋_GB2312"/>
          <w:sz w:val="30"/>
          <w:szCs w:val="30"/>
          <w:highlight w:val="none"/>
        </w:rPr>
        <w:fldChar w:fldCharType="end"/>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 xml:space="preserve"> </w:t>
      </w:r>
    </w:p>
    <w:p>
      <w:pPr>
        <w:spacing w:line="600" w:lineRule="exact"/>
        <w:ind w:firstLine="600" w:firstLineChars="200"/>
        <w:rPr>
          <w:rFonts w:ascii="仿宋_GB2312" w:eastAsia="仿宋_GB2312" w:cs="宋体" w:hAnsiTheme="minorEastAsia"/>
          <w:bCs/>
          <w:color w:val="333333"/>
          <w:kern w:val="0"/>
          <w:sz w:val="30"/>
          <w:szCs w:val="30"/>
          <w:highlight w:val="none"/>
        </w:rPr>
      </w:pPr>
    </w:p>
    <w:p>
      <w:pPr>
        <w:pStyle w:val="2"/>
        <w:spacing w:before="0" w:after="0" w:line="600" w:lineRule="exact"/>
        <w:jc w:val="center"/>
        <w:rPr>
          <w:rFonts w:ascii="黑体" w:hAnsi="黑体" w:eastAsia="黑体" w:cs="宋体"/>
          <w:sz w:val="30"/>
          <w:szCs w:val="30"/>
          <w:highlight w:val="none"/>
        </w:rPr>
      </w:pPr>
      <w:bookmarkStart w:id="48" w:name="_Toc1647"/>
      <w:bookmarkStart w:id="49" w:name="_Toc23951"/>
      <w:bookmarkStart w:id="50" w:name="_Toc120180539"/>
      <w:bookmarkStart w:id="51" w:name="_Toc22070"/>
      <w:r>
        <w:rPr>
          <w:rFonts w:hint="eastAsia" w:ascii="黑体" w:hAnsi="黑体" w:eastAsia="黑体" w:cs="宋体"/>
          <w:sz w:val="30"/>
          <w:szCs w:val="30"/>
          <w:highlight w:val="none"/>
        </w:rPr>
        <w:t>第三章</w:t>
      </w:r>
      <w:r>
        <w:rPr>
          <w:rFonts w:hint="eastAsia" w:ascii="黑体" w:hAnsi="黑体" w:eastAsia="黑体" w:cs="宋体"/>
          <w:sz w:val="30"/>
          <w:szCs w:val="30"/>
          <w:highlight w:val="none"/>
          <w:lang w:val="en-US" w:eastAsia="zh-CN"/>
        </w:rPr>
        <w:t xml:space="preserve">  </w:t>
      </w:r>
      <w:r>
        <w:rPr>
          <w:rFonts w:hint="eastAsia" w:ascii="黑体" w:hAnsi="黑体" w:eastAsia="黑体" w:cs="宋体"/>
          <w:sz w:val="30"/>
          <w:szCs w:val="30"/>
          <w:highlight w:val="none"/>
        </w:rPr>
        <w:t>义务与评价</w:t>
      </w:r>
      <w:bookmarkEnd w:id="48"/>
      <w:bookmarkEnd w:id="49"/>
      <w:bookmarkEnd w:id="50"/>
      <w:bookmarkEnd w:id="51"/>
    </w:p>
    <w:p>
      <w:pPr>
        <w:spacing w:line="600" w:lineRule="exact"/>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做市商开展做市业务，应当符合《基金做市指引》、与本所签订的做市商协议所规定的做市服务评价指标要求。</w:t>
      </w:r>
    </w:p>
    <w:p>
      <w:pPr>
        <w:pStyle w:val="3"/>
        <w:spacing w:line="600" w:lineRule="exact"/>
        <w:ind w:firstLine="602" w:firstLineChars="200"/>
        <w:rPr>
          <w:rFonts w:ascii="仿宋_GB2312" w:hAnsi="黑体" w:eastAsia="仿宋_GB2312"/>
          <w:b w:val="0"/>
          <w:kern w:val="44"/>
          <w:sz w:val="30"/>
          <w:szCs w:val="30"/>
          <w:highlight w:val="none"/>
        </w:rPr>
      </w:pPr>
      <w:bookmarkStart w:id="52" w:name="_Toc15227"/>
      <w:bookmarkStart w:id="53" w:name="_Toc26243"/>
      <w:bookmarkStart w:id="54" w:name="_Toc4778"/>
      <w:bookmarkStart w:id="55" w:name="_Toc120180540"/>
      <w:r>
        <w:rPr>
          <w:rFonts w:hint="eastAsia" w:ascii="仿宋_GB2312" w:hAnsi="黑体" w:eastAsia="仿宋_GB2312"/>
          <w:kern w:val="44"/>
          <w:sz w:val="30"/>
          <w:szCs w:val="30"/>
          <w:highlight w:val="none"/>
        </w:rPr>
        <w:t>一、评价周期</w:t>
      </w:r>
      <w:bookmarkEnd w:id="52"/>
      <w:bookmarkEnd w:id="53"/>
      <w:bookmarkEnd w:id="54"/>
      <w:bookmarkEnd w:id="55"/>
    </w:p>
    <w:p>
      <w:pPr>
        <w:spacing w:line="600" w:lineRule="exact"/>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本所根据做市服务评价指标，定期评价主做市商和一般做市商的做市服务情况，分为月度评价和年度综合评价。月度评价是每个月（以下称考评月度或月度）对做市商的做市服务情况进行考评。每个考评月度是从上个月21日至本月20日（每年第一个考评月度是从上一年度</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21</w:t>
      </w:r>
      <w:r>
        <w:rPr>
          <w:rFonts w:hint="eastAsia" w:ascii="Times New Roman" w:hAnsi="Times New Roman" w:eastAsia="仿宋_GB2312"/>
          <w:sz w:val="30"/>
          <w:szCs w:val="30"/>
          <w:highlight w:val="none"/>
        </w:rPr>
        <w:t>日至本年度1月</w:t>
      </w:r>
      <w:r>
        <w:rPr>
          <w:rFonts w:ascii="Times New Roman" w:hAnsi="Times New Roman" w:eastAsia="仿宋_GB2312"/>
          <w:sz w:val="30"/>
          <w:szCs w:val="30"/>
          <w:highlight w:val="none"/>
        </w:rPr>
        <w:t>20</w:t>
      </w:r>
      <w:r>
        <w:rPr>
          <w:rFonts w:hint="eastAsia" w:ascii="Times New Roman" w:hAnsi="Times New Roman" w:eastAsia="仿宋_GB2312"/>
          <w:sz w:val="30"/>
          <w:szCs w:val="30"/>
          <w:highlight w:val="none"/>
        </w:rPr>
        <w:t>日）。为特定基金提供做市服务的首个月度评价周期内，做市不满10个交易日的做市商不参与当月月度评价。年度综合评价是每年</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月对做市商从上年度</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21</w:t>
      </w:r>
      <w:r>
        <w:rPr>
          <w:rFonts w:hint="eastAsia" w:ascii="Times New Roman" w:hAnsi="Times New Roman" w:eastAsia="仿宋_GB2312"/>
          <w:sz w:val="30"/>
          <w:szCs w:val="30"/>
          <w:highlight w:val="none"/>
        </w:rPr>
        <w:t>日至本年度</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20</w:t>
      </w:r>
      <w:r>
        <w:rPr>
          <w:rFonts w:hint="eastAsia" w:ascii="Times New Roman" w:hAnsi="Times New Roman" w:eastAsia="仿宋_GB2312"/>
          <w:sz w:val="30"/>
          <w:szCs w:val="30"/>
          <w:highlight w:val="none"/>
        </w:rPr>
        <w:t>日的做市服务情况进行综合考评。</w:t>
      </w:r>
    </w:p>
    <w:p>
      <w:pPr>
        <w:pStyle w:val="3"/>
        <w:spacing w:line="600" w:lineRule="exact"/>
        <w:ind w:firstLine="562"/>
        <w:rPr>
          <w:rFonts w:ascii="仿宋_GB2312" w:hAnsi="黑体"/>
          <w:b w:val="0"/>
          <w:kern w:val="44"/>
          <w:sz w:val="30"/>
          <w:szCs w:val="30"/>
          <w:highlight w:val="none"/>
        </w:rPr>
      </w:pPr>
      <w:bookmarkStart w:id="56" w:name="_Toc287"/>
      <w:bookmarkStart w:id="57" w:name="_Toc6031"/>
      <w:bookmarkStart w:id="58" w:name="_Toc120180541"/>
      <w:bookmarkStart w:id="59" w:name="_Toc3594"/>
      <w:r>
        <w:rPr>
          <w:rFonts w:hint="eastAsia" w:ascii="仿宋_GB2312" w:hAnsi="黑体" w:eastAsia="仿宋_GB2312"/>
          <w:kern w:val="44"/>
          <w:sz w:val="30"/>
          <w:szCs w:val="30"/>
          <w:highlight w:val="none"/>
        </w:rPr>
        <w:t>二、报价义务</w:t>
      </w:r>
      <w:bookmarkEnd w:id="56"/>
      <w:bookmarkEnd w:id="57"/>
      <w:bookmarkEnd w:id="58"/>
      <w:bookmarkEnd w:id="59"/>
    </w:p>
    <w:p>
      <w:pPr>
        <w:widowControl/>
        <w:snapToGrid w:val="0"/>
        <w:spacing w:beforeLines="50" w:line="600" w:lineRule="exact"/>
        <w:ind w:firstLine="420"/>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（一）报价义务概览</w:t>
      </w:r>
    </w:p>
    <w:p>
      <w:pPr>
        <w:widowControl/>
        <w:snapToGrid w:val="0"/>
        <w:spacing w:beforeLines="50" w:line="600" w:lineRule="exact"/>
        <w:ind w:firstLine="600" w:firstLineChars="200"/>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考虑到不同类别基金产品在价格水平、流动性等方面的特性差异，本所根据上市基金资产类别设置做市服务报价义务，具体要求如表</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所示：</w:t>
      </w:r>
    </w:p>
    <w:p>
      <w:pPr>
        <w:widowControl/>
        <w:snapToGrid w:val="0"/>
        <w:spacing w:beforeLines="50" w:line="600" w:lineRule="exact"/>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表1：不同资产类别上市基金的报价要求</w:t>
      </w:r>
    </w:p>
    <w:tbl>
      <w:tblPr>
        <w:tblStyle w:val="16"/>
        <w:tblW w:w="8647" w:type="dxa"/>
        <w:tblInd w:w="-34" w:type="dxa"/>
        <w:tblLayout w:type="autofit"/>
        <w:tblCellMar>
          <w:top w:w="0" w:type="dxa"/>
          <w:left w:w="108" w:type="dxa"/>
          <w:bottom w:w="0" w:type="dxa"/>
          <w:right w:w="108" w:type="dxa"/>
        </w:tblCellMar>
      </w:tblPr>
      <w:tblGrid>
        <w:gridCol w:w="1452"/>
        <w:gridCol w:w="1242"/>
        <w:gridCol w:w="1276"/>
        <w:gridCol w:w="1701"/>
        <w:gridCol w:w="1559"/>
        <w:gridCol w:w="1417"/>
      </w:tblGrid>
      <w:tr>
        <w:tblPrEx>
          <w:tblCellMar>
            <w:top w:w="0" w:type="dxa"/>
            <w:left w:w="108" w:type="dxa"/>
            <w:bottom w:w="0" w:type="dxa"/>
            <w:right w:w="108" w:type="dxa"/>
          </w:tblCellMar>
        </w:tblPrEx>
        <w:trPr>
          <w:trHeight w:val="790" w:hRule="atLeast"/>
        </w:trPr>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　</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最小申报金额</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最大买卖价差</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最小平均每笔申报金额</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最低集合竞价参与率</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最低连续竞价参与率</w:t>
            </w:r>
          </w:p>
        </w:tc>
      </w:tr>
      <w:tr>
        <w:tblPrEx>
          <w:tblCellMar>
            <w:top w:w="0" w:type="dxa"/>
            <w:left w:w="108" w:type="dxa"/>
            <w:bottom w:w="0" w:type="dxa"/>
            <w:right w:w="108" w:type="dxa"/>
          </w:tblCellMar>
        </w:tblPrEx>
        <w:trPr>
          <w:trHeight w:val="56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股票型ETF、跨境型ETF</w:t>
            </w:r>
          </w:p>
          <w:p>
            <w:pPr>
              <w:widowControl/>
              <w:jc w:val="both"/>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、股票型LOF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60%</w:t>
            </w:r>
          </w:p>
        </w:tc>
      </w:tr>
      <w:tr>
        <w:tblPrEx>
          <w:tblCellMar>
            <w:top w:w="0" w:type="dxa"/>
            <w:left w:w="108" w:type="dxa"/>
            <w:bottom w:w="0" w:type="dxa"/>
            <w:right w:w="108" w:type="dxa"/>
          </w:tblCellMar>
        </w:tblPrEx>
        <w:trPr>
          <w:trHeight w:val="28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债券ETF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30 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0.40 %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60%</w:t>
            </w:r>
          </w:p>
        </w:tc>
      </w:tr>
      <w:tr>
        <w:tblPrEx>
          <w:tblCellMar>
            <w:top w:w="0" w:type="dxa"/>
            <w:left w:w="108" w:type="dxa"/>
            <w:bottom w:w="0" w:type="dxa"/>
            <w:right w:w="108" w:type="dxa"/>
          </w:tblCellMar>
        </w:tblPrEx>
        <w:trPr>
          <w:trHeight w:val="56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交易型货币市场基金</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100万元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0.01%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60%</w:t>
            </w:r>
          </w:p>
        </w:tc>
      </w:tr>
      <w:tr>
        <w:tblPrEx>
          <w:tblCellMar>
            <w:top w:w="0" w:type="dxa"/>
            <w:left w:w="108" w:type="dxa"/>
            <w:bottom w:w="0" w:type="dxa"/>
            <w:right w:w="108" w:type="dxa"/>
          </w:tblCellMar>
        </w:tblPrEx>
        <w:trPr>
          <w:trHeight w:val="28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商品ETF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0.50%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60%</w:t>
            </w:r>
          </w:p>
        </w:tc>
      </w:tr>
      <w:tr>
        <w:tblPrEx>
          <w:tblCellMar>
            <w:top w:w="0" w:type="dxa"/>
            <w:left w:w="108" w:type="dxa"/>
            <w:bottom w:w="0" w:type="dxa"/>
            <w:right w:w="108" w:type="dxa"/>
          </w:tblCellMar>
        </w:tblPrEx>
        <w:trPr>
          <w:trHeight w:val="280" w:hRule="atLeast"/>
        </w:trPr>
        <w:tc>
          <w:tcPr>
            <w:tcW w:w="1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公募REITs</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 xml:space="preserve">80%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 xml:space="preserve">60% </w:t>
            </w:r>
          </w:p>
        </w:tc>
      </w:tr>
      <w:tr>
        <w:tblPrEx>
          <w:tblCellMar>
            <w:top w:w="0" w:type="dxa"/>
            <w:left w:w="108" w:type="dxa"/>
            <w:bottom w:w="0" w:type="dxa"/>
            <w:right w:w="108" w:type="dxa"/>
          </w:tblCellMar>
        </w:tblPrEx>
        <w:trPr>
          <w:trHeight w:val="280" w:hRule="atLeast"/>
        </w:trPr>
        <w:tc>
          <w:tcPr>
            <w:tcW w:w="14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混合型LOF、科创板相关LOF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0.80%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40%</w:t>
            </w:r>
          </w:p>
        </w:tc>
      </w:tr>
      <w:tr>
        <w:tblPrEx>
          <w:tblCellMar>
            <w:top w:w="0" w:type="dxa"/>
            <w:left w:w="108" w:type="dxa"/>
            <w:bottom w:w="0" w:type="dxa"/>
            <w:right w:w="108" w:type="dxa"/>
          </w:tblCellMar>
        </w:tblPrEx>
        <w:trPr>
          <w:trHeight w:val="280" w:hRule="atLeast"/>
        </w:trPr>
        <w:tc>
          <w:tcPr>
            <w:tcW w:w="14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跨境型L0F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40%</w:t>
            </w:r>
          </w:p>
        </w:tc>
      </w:tr>
    </w:tbl>
    <w:p>
      <w:pPr>
        <w:widowControl/>
        <w:adjustRightInd w:val="0"/>
        <w:spacing w:line="600" w:lineRule="exact"/>
        <w:rPr>
          <w:rFonts w:ascii="Times New Roman" w:hAnsi="Times New Roman" w:eastAsia="仿宋_GB2312"/>
          <w:sz w:val="30"/>
          <w:szCs w:val="30"/>
          <w:highlight w:val="none"/>
        </w:rPr>
      </w:pP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（二）指标说明</w:t>
      </w:r>
    </w:p>
    <w:p>
      <w:pPr>
        <w:widowControl/>
        <w:adjustRightInd w:val="0"/>
        <w:spacing w:line="60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、最小申报金额</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做市账户存量买单的总计金额和存量卖单的总计金额，应分别不低于最小申报金额。</w:t>
      </w:r>
    </w:p>
    <w:p>
      <w:pPr>
        <w:widowControl/>
        <w:adjustRightInd w:val="0"/>
        <w:spacing w:line="60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、最大买卖价差</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做市账户最小报价差应不高于最大买卖价差，其中：</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最小报价差</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（最高卖报价</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最低买报价）</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（（最高卖报价</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最低买报价）</w:t>
      </w: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最高卖报价及最低买报价定义如下：将订单簿中的存量卖单按申报价格从低到高进行累加，直到申报金额累加值满足最小申报金额，则该笔卖单价格即为最高卖报价；将订单簿中的存量买单按申报价格从高到低进行累加，直到申报金额累加值满足最小申报金额，则该笔买单价格即为最低买报价。</w:t>
      </w:r>
    </w:p>
    <w:p>
      <w:pPr>
        <w:widowControl/>
        <w:adjustRightInd w:val="0"/>
        <w:spacing w:line="60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3</w:t>
      </w:r>
      <w:r>
        <w:rPr>
          <w:rFonts w:hint="eastAsia" w:ascii="Times New Roman" w:hAnsi="Times New Roman" w:eastAsia="仿宋_GB2312"/>
          <w:sz w:val="30"/>
          <w:szCs w:val="30"/>
          <w:highlight w:val="none"/>
        </w:rPr>
        <w:t>、平均每笔申报金额</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考评周期内做市商申报总金额与申报笔数的比值，包含集合竞价及连续竞价。</w:t>
      </w:r>
    </w:p>
    <w:p>
      <w:pPr>
        <w:widowControl/>
        <w:adjustRightInd w:val="0"/>
        <w:spacing w:line="60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4</w:t>
      </w:r>
      <w:r>
        <w:rPr>
          <w:rFonts w:hint="eastAsia" w:ascii="Times New Roman" w:hAnsi="Times New Roman" w:eastAsia="仿宋_GB2312"/>
          <w:sz w:val="30"/>
          <w:szCs w:val="30"/>
          <w:highlight w:val="none"/>
        </w:rPr>
        <w:t>、集合竞价参与率</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考评周期内做市商参与集合竞价天数与交易日天数的比值。其中，做市商做市账户在集合竞价阶段对提供做市服务的基金有申报，即认为参与了当日集合竞价。</w:t>
      </w:r>
    </w:p>
    <w:p>
      <w:pPr>
        <w:widowControl/>
        <w:adjustRightInd w:val="0"/>
        <w:spacing w:line="60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5</w:t>
      </w:r>
      <w:r>
        <w:rPr>
          <w:rFonts w:hint="eastAsia" w:ascii="Times New Roman" w:hAnsi="Times New Roman" w:eastAsia="仿宋_GB2312"/>
          <w:sz w:val="30"/>
          <w:szCs w:val="30"/>
          <w:highlight w:val="none"/>
        </w:rPr>
        <w:t>、连续竞价参与率</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考评周期内做市商报价时间与连续竞价时间的比值。其中，做市商做市账户在某采样点对提供做市服务的基金有申报，该采样点即计入报价时间。</w:t>
      </w:r>
    </w:p>
    <w:p>
      <w:pPr>
        <w:pStyle w:val="3"/>
        <w:spacing w:line="600" w:lineRule="exact"/>
        <w:ind w:firstLine="562"/>
        <w:rPr>
          <w:rFonts w:ascii="仿宋_GB2312" w:hAnsi="黑体" w:eastAsia="仿宋_GB2312"/>
          <w:b w:val="0"/>
          <w:kern w:val="44"/>
          <w:sz w:val="30"/>
          <w:szCs w:val="30"/>
          <w:highlight w:val="none"/>
        </w:rPr>
      </w:pPr>
      <w:bookmarkStart w:id="60" w:name="_Toc120180542"/>
      <w:bookmarkStart w:id="61" w:name="_Toc28243"/>
      <w:bookmarkStart w:id="62" w:name="_Toc29857"/>
      <w:bookmarkStart w:id="63" w:name="_Toc16995"/>
      <w:r>
        <w:rPr>
          <w:rFonts w:hint="eastAsia" w:ascii="仿宋_GB2312" w:hAnsi="黑体" w:eastAsia="仿宋_GB2312"/>
          <w:kern w:val="44"/>
          <w:sz w:val="30"/>
          <w:szCs w:val="30"/>
          <w:highlight w:val="none"/>
        </w:rPr>
        <w:t>三、流动性预先分类</w:t>
      </w:r>
      <w:bookmarkEnd w:id="60"/>
      <w:bookmarkEnd w:id="61"/>
      <w:bookmarkEnd w:id="62"/>
      <w:bookmarkEnd w:id="63"/>
    </w:p>
    <w:p>
      <w:pPr>
        <w:spacing w:line="360" w:lineRule="auto"/>
        <w:ind w:firstLine="600" w:firstLineChars="200"/>
        <w:rPr>
          <w:sz w:val="30"/>
          <w:szCs w:val="30"/>
          <w:highlight w:val="none"/>
        </w:rPr>
      </w:pPr>
      <w:r>
        <w:rPr>
          <w:rFonts w:hint="eastAsia" w:ascii="Times New Roman" w:hAnsi="Times New Roman" w:eastAsia="仿宋_GB2312"/>
          <w:sz w:val="30"/>
          <w:szCs w:val="30"/>
          <w:highlight w:val="none"/>
        </w:rPr>
        <w:t>本所每年6月初和12月初对ETF按流动性高低进行预先分类，并向相关主体公布。依据过去半个年度（分别为上年度</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日至本年度</w:t>
      </w:r>
      <w:r>
        <w:rPr>
          <w:rFonts w:ascii="Times New Roman" w:hAnsi="Times New Roman" w:eastAsia="仿宋_GB2312"/>
          <w:sz w:val="30"/>
          <w:szCs w:val="30"/>
          <w:highlight w:val="none"/>
        </w:rPr>
        <w:t>5</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31</w:t>
      </w:r>
      <w:r>
        <w:rPr>
          <w:rFonts w:hint="eastAsia" w:ascii="Times New Roman" w:hAnsi="Times New Roman" w:eastAsia="仿宋_GB2312"/>
          <w:sz w:val="30"/>
          <w:szCs w:val="30"/>
          <w:highlight w:val="none"/>
        </w:rPr>
        <w:t>日，及本年度</w:t>
      </w:r>
      <w:r>
        <w:rPr>
          <w:rFonts w:ascii="Times New Roman" w:hAnsi="Times New Roman" w:eastAsia="仿宋_GB2312"/>
          <w:sz w:val="30"/>
          <w:szCs w:val="30"/>
          <w:highlight w:val="none"/>
        </w:rPr>
        <w:t>6</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日至本年度</w:t>
      </w:r>
      <w:r>
        <w:rPr>
          <w:rFonts w:ascii="Times New Roman" w:hAnsi="Times New Roman" w:eastAsia="仿宋_GB2312"/>
          <w:sz w:val="30"/>
          <w:szCs w:val="30"/>
          <w:highlight w:val="none"/>
        </w:rPr>
        <w:t>11</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30</w:t>
      </w:r>
      <w:r>
        <w:rPr>
          <w:rFonts w:hint="eastAsia" w:ascii="Times New Roman" w:hAnsi="Times New Roman" w:eastAsia="仿宋_GB2312"/>
          <w:sz w:val="30"/>
          <w:szCs w:val="30"/>
          <w:highlight w:val="none"/>
        </w:rPr>
        <w:t>日）市场表现，包括日均成交额、日均换手率和申购效率等指标，将ETF预先分成流动性“高”、“中”、“低”三类。</w:t>
      </w:r>
      <w:r>
        <w:rPr>
          <w:rFonts w:ascii="Times New Roman" w:hAnsi="Times New Roman" w:eastAsia="仿宋_GB2312"/>
          <w:sz w:val="30"/>
          <w:szCs w:val="30"/>
          <w:highlight w:val="none"/>
        </w:rPr>
        <w:t>6</w:t>
      </w:r>
      <w:r>
        <w:rPr>
          <w:rFonts w:hint="eastAsia" w:ascii="Times New Roman" w:hAnsi="Times New Roman" w:eastAsia="仿宋_GB2312"/>
          <w:sz w:val="30"/>
          <w:szCs w:val="30"/>
          <w:highlight w:val="none"/>
        </w:rPr>
        <w:t>月初流动性分类结果适用于本年度</w:t>
      </w:r>
      <w:r>
        <w:rPr>
          <w:rFonts w:ascii="Times New Roman" w:hAnsi="Times New Roman" w:eastAsia="仿宋_GB2312"/>
          <w:sz w:val="30"/>
          <w:szCs w:val="30"/>
          <w:highlight w:val="none"/>
        </w:rPr>
        <w:t>6</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21</w:t>
      </w:r>
      <w:r>
        <w:rPr>
          <w:rFonts w:hint="eastAsia" w:ascii="Times New Roman" w:hAnsi="Times New Roman" w:eastAsia="仿宋_GB2312"/>
          <w:sz w:val="30"/>
          <w:szCs w:val="30"/>
          <w:highlight w:val="none"/>
        </w:rPr>
        <w:t>日至</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20</w:t>
      </w:r>
      <w:r>
        <w:rPr>
          <w:rFonts w:hint="eastAsia" w:ascii="Times New Roman" w:hAnsi="Times New Roman" w:eastAsia="仿宋_GB2312"/>
          <w:sz w:val="30"/>
          <w:szCs w:val="30"/>
          <w:highlight w:val="none"/>
        </w:rPr>
        <w:t>日，</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月初流动性分类结果适用于本年度</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21</w:t>
      </w:r>
      <w:r>
        <w:rPr>
          <w:rFonts w:hint="eastAsia" w:ascii="Times New Roman" w:hAnsi="Times New Roman" w:eastAsia="仿宋_GB2312"/>
          <w:sz w:val="30"/>
          <w:szCs w:val="30"/>
          <w:highlight w:val="none"/>
        </w:rPr>
        <w:t>日至下一年度</w:t>
      </w:r>
      <w:r>
        <w:rPr>
          <w:rFonts w:ascii="Times New Roman" w:hAnsi="Times New Roman" w:eastAsia="仿宋_GB2312"/>
          <w:sz w:val="30"/>
          <w:szCs w:val="30"/>
          <w:highlight w:val="none"/>
        </w:rPr>
        <w:t>6</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20</w:t>
      </w:r>
      <w:r>
        <w:rPr>
          <w:rFonts w:hint="eastAsia" w:ascii="Times New Roman" w:hAnsi="Times New Roman" w:eastAsia="仿宋_GB2312"/>
          <w:sz w:val="30"/>
          <w:szCs w:val="30"/>
          <w:highlight w:val="none"/>
        </w:rPr>
        <w:t>日。</w:t>
      </w:r>
    </w:p>
    <w:p>
      <w:pPr>
        <w:spacing w:line="360" w:lineRule="auto"/>
        <w:ind w:firstLine="600" w:firstLineChars="200"/>
        <w:rPr>
          <w:rFonts w:hint="eastAsia" w:ascii="仿宋_GB2312" w:eastAsia="仿宋_GB2312"/>
          <w:sz w:val="30"/>
          <w:szCs w:val="30"/>
          <w:highlight w:val="none"/>
        </w:rPr>
      </w:pPr>
      <w:r>
        <w:rPr>
          <w:rFonts w:hint="eastAsia" w:ascii="Times New Roman" w:hAnsi="Times New Roman" w:eastAsia="仿宋_GB2312"/>
          <w:sz w:val="30"/>
          <w:szCs w:val="30"/>
          <w:highlight w:val="none"/>
        </w:rPr>
        <w:t>其中，以</w:t>
      </w:r>
      <w:r>
        <w:rPr>
          <w:rFonts w:ascii="Times New Roman" w:hAnsi="Times New Roman" w:eastAsia="仿宋_GB2312"/>
          <w:sz w:val="30"/>
          <w:szCs w:val="30"/>
          <w:highlight w:val="none"/>
        </w:rPr>
        <w:t>5</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31</w:t>
      </w:r>
      <w:r>
        <w:rPr>
          <w:rFonts w:hint="eastAsia" w:ascii="Times New Roman" w:hAnsi="Times New Roman" w:eastAsia="仿宋_GB2312"/>
          <w:sz w:val="30"/>
          <w:szCs w:val="30"/>
          <w:highlight w:val="none"/>
        </w:rPr>
        <w:t>日或</w:t>
      </w:r>
      <w:r>
        <w:rPr>
          <w:rFonts w:ascii="Times New Roman" w:hAnsi="Times New Roman" w:eastAsia="仿宋_GB2312"/>
          <w:sz w:val="30"/>
          <w:szCs w:val="30"/>
          <w:highlight w:val="none"/>
        </w:rPr>
        <w:t>11</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30</w:t>
      </w:r>
      <w:r>
        <w:rPr>
          <w:rFonts w:hint="eastAsia" w:ascii="Times New Roman" w:hAnsi="Times New Roman" w:eastAsia="仿宋_GB2312"/>
          <w:sz w:val="30"/>
          <w:szCs w:val="30"/>
          <w:highlight w:val="none"/>
        </w:rPr>
        <w:t>日为基期，上市未满半年的ETF设定为</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低</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级流动性。例如，ETF_</w:t>
      </w:r>
      <w:r>
        <w:rPr>
          <w:rFonts w:ascii="Times New Roman" w:hAnsi="Times New Roman" w:eastAsia="仿宋_GB2312"/>
          <w:sz w:val="30"/>
          <w:szCs w:val="30"/>
          <w:highlight w:val="none"/>
        </w:rPr>
        <w:t>A</w:t>
      </w:r>
      <w:r>
        <w:rPr>
          <w:rFonts w:hint="eastAsia" w:ascii="Times New Roman" w:hAnsi="Times New Roman" w:eastAsia="仿宋_GB2312"/>
          <w:sz w:val="30"/>
          <w:szCs w:val="30"/>
          <w:highlight w:val="none"/>
        </w:rPr>
        <w:t>于</w:t>
      </w:r>
      <w:r>
        <w:rPr>
          <w:rFonts w:ascii="Times New Roman" w:hAnsi="Times New Roman" w:eastAsia="仿宋_GB2312"/>
          <w:sz w:val="30"/>
          <w:szCs w:val="30"/>
          <w:highlight w:val="none"/>
        </w:rPr>
        <w:t>2016</w:t>
      </w:r>
      <w:r>
        <w:rPr>
          <w:rFonts w:hint="eastAsia" w:ascii="Times New Roman" w:hAnsi="Times New Roman" w:eastAsia="仿宋_GB2312"/>
          <w:sz w:val="30"/>
          <w:szCs w:val="30"/>
          <w:highlight w:val="none"/>
        </w:rPr>
        <w:t>年</w:t>
      </w:r>
      <w:r>
        <w:rPr>
          <w:rFonts w:ascii="Times New Roman" w:hAnsi="Times New Roman" w:eastAsia="仿宋_GB2312"/>
          <w:sz w:val="30"/>
          <w:szCs w:val="30"/>
          <w:highlight w:val="none"/>
        </w:rPr>
        <w:t>10</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15</w:t>
      </w:r>
      <w:r>
        <w:rPr>
          <w:rFonts w:hint="eastAsia" w:ascii="Times New Roman" w:hAnsi="Times New Roman" w:eastAsia="仿宋_GB2312"/>
          <w:sz w:val="30"/>
          <w:szCs w:val="30"/>
          <w:highlight w:val="none"/>
        </w:rPr>
        <w:t>日上市，则自上市日至</w:t>
      </w:r>
      <w:r>
        <w:rPr>
          <w:rFonts w:ascii="Times New Roman" w:hAnsi="Times New Roman" w:eastAsia="仿宋_GB2312"/>
          <w:sz w:val="30"/>
          <w:szCs w:val="30"/>
          <w:highlight w:val="none"/>
        </w:rPr>
        <w:t>2017</w:t>
      </w:r>
      <w:r>
        <w:rPr>
          <w:rFonts w:hint="eastAsia" w:ascii="Times New Roman" w:hAnsi="Times New Roman" w:eastAsia="仿宋_GB2312"/>
          <w:sz w:val="30"/>
          <w:szCs w:val="30"/>
          <w:highlight w:val="none"/>
        </w:rPr>
        <w:t>年</w:t>
      </w:r>
      <w:r>
        <w:rPr>
          <w:rFonts w:ascii="Times New Roman" w:hAnsi="Times New Roman" w:eastAsia="仿宋_GB2312"/>
          <w:sz w:val="30"/>
          <w:szCs w:val="30"/>
          <w:highlight w:val="none"/>
        </w:rPr>
        <w:t>6</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20</w:t>
      </w:r>
      <w:r>
        <w:rPr>
          <w:rFonts w:hint="eastAsia" w:ascii="Times New Roman" w:hAnsi="Times New Roman" w:eastAsia="仿宋_GB2312"/>
          <w:sz w:val="30"/>
          <w:szCs w:val="30"/>
          <w:highlight w:val="none"/>
        </w:rPr>
        <w:t>日适用“低”级流动性；ETF_</w:t>
      </w:r>
      <w:r>
        <w:rPr>
          <w:rFonts w:ascii="Times New Roman" w:hAnsi="Times New Roman" w:eastAsia="仿宋_GB2312"/>
          <w:sz w:val="30"/>
          <w:szCs w:val="30"/>
          <w:highlight w:val="none"/>
        </w:rPr>
        <w:t>B</w:t>
      </w:r>
      <w:r>
        <w:rPr>
          <w:rFonts w:hint="eastAsia" w:ascii="Times New Roman" w:hAnsi="Times New Roman" w:eastAsia="仿宋_GB2312"/>
          <w:sz w:val="30"/>
          <w:szCs w:val="30"/>
          <w:highlight w:val="none"/>
        </w:rPr>
        <w:t>于</w:t>
      </w:r>
      <w:r>
        <w:rPr>
          <w:rFonts w:ascii="Times New Roman" w:hAnsi="Times New Roman" w:eastAsia="仿宋_GB2312"/>
          <w:sz w:val="30"/>
          <w:szCs w:val="30"/>
          <w:highlight w:val="none"/>
        </w:rPr>
        <w:t>2016</w:t>
      </w:r>
      <w:r>
        <w:rPr>
          <w:rFonts w:hint="eastAsia" w:ascii="Times New Roman" w:hAnsi="Times New Roman" w:eastAsia="仿宋_GB2312"/>
          <w:sz w:val="30"/>
          <w:szCs w:val="30"/>
          <w:highlight w:val="none"/>
        </w:rPr>
        <w:t>年</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15</w:t>
      </w:r>
      <w:r>
        <w:rPr>
          <w:rFonts w:hint="eastAsia" w:ascii="Times New Roman" w:hAnsi="Times New Roman" w:eastAsia="仿宋_GB2312"/>
          <w:sz w:val="30"/>
          <w:szCs w:val="30"/>
          <w:highlight w:val="none"/>
        </w:rPr>
        <w:t>日上市，则自上市日至</w:t>
      </w:r>
      <w:r>
        <w:rPr>
          <w:rFonts w:ascii="Times New Roman" w:hAnsi="Times New Roman" w:eastAsia="仿宋_GB2312"/>
          <w:sz w:val="30"/>
          <w:szCs w:val="30"/>
          <w:highlight w:val="none"/>
        </w:rPr>
        <w:t>2017</w:t>
      </w:r>
      <w:r>
        <w:rPr>
          <w:rFonts w:hint="eastAsia" w:ascii="Times New Roman" w:hAnsi="Times New Roman" w:eastAsia="仿宋_GB2312"/>
          <w:sz w:val="30"/>
          <w:szCs w:val="30"/>
          <w:highlight w:val="none"/>
        </w:rPr>
        <w:t>年</w:t>
      </w:r>
      <w:r>
        <w:rPr>
          <w:rFonts w:ascii="Times New Roman" w:hAnsi="Times New Roman" w:eastAsia="仿宋_GB2312"/>
          <w:sz w:val="30"/>
          <w:szCs w:val="30"/>
          <w:highlight w:val="none"/>
        </w:rPr>
        <w:t>12</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20</w:t>
      </w:r>
      <w:r>
        <w:rPr>
          <w:rFonts w:hint="eastAsia" w:ascii="Times New Roman" w:hAnsi="Times New Roman" w:eastAsia="仿宋_GB2312"/>
          <w:sz w:val="30"/>
          <w:szCs w:val="30"/>
          <w:highlight w:val="none"/>
        </w:rPr>
        <w:t>日适用“低”级流动性。做市商考评时，按流动性的“高”、“中”、“低”三个类别划分三个评价标准，流动性越高的类别评价标准越严格，流动性越低的类别评价标准越宽松。</w:t>
      </w:r>
      <w:r>
        <w:rPr>
          <w:rFonts w:hint="eastAsia" w:ascii="仿宋_GB2312" w:eastAsia="仿宋_GB2312"/>
          <w:sz w:val="30"/>
          <w:szCs w:val="30"/>
          <w:highlight w:val="none"/>
        </w:rPr>
        <w:t>LOF和公募REITs按</w:t>
      </w:r>
      <w:r>
        <w:rPr>
          <w:rFonts w:hint="eastAsia" w:ascii="Times New Roman" w:hAnsi="Times New Roman" w:eastAsia="仿宋_GB2312"/>
          <w:sz w:val="30"/>
          <w:szCs w:val="30"/>
          <w:highlight w:val="none"/>
        </w:rPr>
        <w:t>流动性 “低”进行做市考评</w:t>
      </w:r>
      <w:r>
        <w:rPr>
          <w:rFonts w:hint="eastAsia" w:ascii="仿宋_GB2312" w:eastAsia="仿宋_GB2312"/>
          <w:sz w:val="30"/>
          <w:szCs w:val="30"/>
          <w:highlight w:val="none"/>
        </w:rPr>
        <w:t>。</w:t>
      </w:r>
    </w:p>
    <w:p>
      <w:pPr>
        <w:pStyle w:val="3"/>
        <w:spacing w:line="600" w:lineRule="exact"/>
        <w:ind w:firstLine="562"/>
        <w:rPr>
          <w:rFonts w:ascii="仿宋_GB2312" w:hAnsi="黑体"/>
          <w:b w:val="0"/>
          <w:kern w:val="44"/>
          <w:sz w:val="30"/>
          <w:szCs w:val="30"/>
          <w:highlight w:val="none"/>
        </w:rPr>
      </w:pPr>
      <w:bookmarkStart w:id="64" w:name="_Toc2734"/>
      <w:bookmarkStart w:id="65" w:name="_Toc24026"/>
      <w:bookmarkStart w:id="66" w:name="_Toc5972"/>
      <w:bookmarkStart w:id="67" w:name="_Toc120180543"/>
      <w:r>
        <w:rPr>
          <w:rFonts w:hint="eastAsia" w:ascii="仿宋_GB2312" w:hAnsi="黑体" w:eastAsia="仿宋_GB2312"/>
          <w:kern w:val="44"/>
          <w:sz w:val="30"/>
          <w:szCs w:val="30"/>
          <w:highlight w:val="none"/>
        </w:rPr>
        <w:t>四、评价指标</w:t>
      </w:r>
      <w:bookmarkEnd w:id="64"/>
      <w:bookmarkEnd w:id="65"/>
      <w:bookmarkEnd w:id="66"/>
      <w:bookmarkEnd w:id="67"/>
    </w:p>
    <w:p>
      <w:pPr>
        <w:pStyle w:val="38"/>
        <w:spacing w:line="600" w:lineRule="exact"/>
        <w:ind w:firstLine="600"/>
        <w:rPr>
          <w:sz w:val="30"/>
          <w:szCs w:val="30"/>
          <w:highlight w:val="none"/>
        </w:rPr>
      </w:pPr>
      <w:r>
        <w:rPr>
          <w:rFonts w:hint="eastAsia"/>
          <w:sz w:val="30"/>
          <w:szCs w:val="30"/>
          <w:highlight w:val="none"/>
        </w:rPr>
        <w:t>本所对做市商做市服务的评价指标为时间加权报价差和连续竞价有效参与率。</w:t>
      </w:r>
    </w:p>
    <w:p>
      <w:pPr>
        <w:pStyle w:val="38"/>
        <w:spacing w:line="600" w:lineRule="exact"/>
        <w:ind w:firstLine="602"/>
        <w:rPr>
          <w:b/>
          <w:sz w:val="30"/>
          <w:szCs w:val="30"/>
          <w:highlight w:val="none"/>
        </w:rPr>
      </w:pPr>
      <w:r>
        <w:rPr>
          <w:rFonts w:hint="eastAsia"/>
          <w:b/>
          <w:sz w:val="30"/>
          <w:szCs w:val="30"/>
          <w:highlight w:val="none"/>
        </w:rPr>
        <w:t>（一）</w:t>
      </w:r>
      <w:r>
        <w:rPr>
          <w:rFonts w:hint="eastAsia"/>
          <w:sz w:val="30"/>
          <w:szCs w:val="30"/>
          <w:highlight w:val="none"/>
        </w:rPr>
        <w:t>时间加权报价差</w:t>
      </w:r>
    </w:p>
    <w:p>
      <w:pPr>
        <w:pStyle w:val="38"/>
        <w:spacing w:line="600" w:lineRule="exact"/>
        <w:ind w:firstLine="600"/>
        <w:rPr>
          <w:sz w:val="30"/>
          <w:szCs w:val="30"/>
          <w:highlight w:val="none"/>
        </w:rPr>
      </w:pPr>
      <w:r>
        <w:rPr>
          <w:rFonts w:hint="eastAsia"/>
          <w:sz w:val="30"/>
          <w:szCs w:val="30"/>
          <w:highlight w:val="none"/>
        </w:rPr>
        <w:t>每日时间加权报价差计算公式为：</w:t>
      </w:r>
    </w:p>
    <w:p>
      <w:pPr>
        <w:pStyle w:val="38"/>
        <w:spacing w:line="600" w:lineRule="exact"/>
        <w:ind w:firstLine="600"/>
        <w:rPr>
          <w:position w:val="-26"/>
          <w:sz w:val="30"/>
          <w:szCs w:val="30"/>
          <w:highlight w:val="none"/>
        </w:rPr>
      </w:pPr>
      <w:r>
        <w:rPr>
          <w:rFonts w:hint="eastAsia"/>
          <w:sz w:val="30"/>
          <w:szCs w:val="30"/>
          <w:highlight w:val="none"/>
        </w:rPr>
        <w:t>时间加权报价差=</w:t>
      </w:r>
      <w:r>
        <w:rPr>
          <w:sz w:val="30"/>
          <w:szCs w:val="30"/>
          <w:highlight w:val="none"/>
        </w:rPr>
        <w:t xml:space="preserve"> </w:t>
      </w:r>
      <m:oMath>
        <m:f>
          <m:fPr>
            <m:ctrlPr>
              <w:rPr>
                <w:rFonts w:ascii="Cambria Math" w:hAnsi="Cambria Math"/>
                <w:sz w:val="24"/>
                <w:szCs w:val="24"/>
                <w:highlight w:val="none"/>
              </w:rPr>
            </m:ctrlPr>
          </m:fPr>
          <m:num>
            <m:nary>
              <m:naryPr>
                <m:chr m:val="∑"/>
                <m:limLoc m:val="undOvr"/>
                <m:subHide m:val="1"/>
                <m:supHide m:val="1"/>
                <m:ctrlPr>
                  <w:rPr>
                    <w:rFonts w:ascii="Cambria Math" w:hAnsi="Cambria Math"/>
                    <w:sz w:val="24"/>
                    <w:szCs w:val="24"/>
                    <w:highlight w:val="none"/>
                  </w:rPr>
                </m:ctrlPr>
              </m:naryPr>
              <m:sub>
                <m:ctrlPr>
                  <w:rPr>
                    <w:rFonts w:ascii="Cambria Math" w:hAnsi="Cambria Math"/>
                    <w:sz w:val="24"/>
                    <w:szCs w:val="24"/>
                    <w:highlight w:val="none"/>
                  </w:rPr>
                </m:ctrlPr>
              </m:sub>
              <m:sup>
                <m:ctrlPr>
                  <w:rPr>
                    <w:rFonts w:ascii="Cambria Math" w:hAnsi="Cambria Math"/>
                    <w:sz w:val="24"/>
                    <w:szCs w:val="24"/>
                    <w:highlight w:val="none"/>
                  </w:rPr>
                </m:ctrlPr>
              </m:sup>
              <m:e>
                <m:r>
                  <m:rPr>
                    <m:sty m:val="p"/>
                  </m:rPr>
                  <w:rPr>
                    <w:rFonts w:ascii="Cambria Math" w:hAnsi="Cambria Math"/>
                    <w:sz w:val="24"/>
                    <w:szCs w:val="24"/>
                    <w:highlight w:val="none"/>
                  </w:rPr>
                  <m:t>有效采样点最小报价差</m:t>
                </m:r>
                <m:ctrlPr>
                  <w:rPr>
                    <w:rFonts w:ascii="Cambria Math" w:hAnsi="Cambria Math"/>
                    <w:sz w:val="24"/>
                    <w:szCs w:val="24"/>
                    <w:highlight w:val="none"/>
                  </w:rPr>
                </m:ctrlPr>
              </m:e>
            </m:nary>
            <m:ctrlPr>
              <w:rPr>
                <w:rFonts w:ascii="Cambria Math" w:hAnsi="Cambria Math"/>
                <w:sz w:val="24"/>
                <w:szCs w:val="24"/>
                <w:highlight w:val="none"/>
              </w:rPr>
            </m:ctrlPr>
          </m:num>
          <m:den>
            <m:r>
              <m:rPr>
                <m:sty m:val="p"/>
              </m:rPr>
              <w:rPr>
                <w:rFonts w:ascii="Cambria Math" w:hAnsi="Cambria Math"/>
                <w:sz w:val="24"/>
                <w:szCs w:val="24"/>
                <w:highlight w:val="none"/>
              </w:rPr>
              <m:t>14400</m:t>
            </m:r>
            <m:r>
              <m:rPr>
                <m:sty m:val="p"/>
              </m:rPr>
              <w:rPr>
                <w:rFonts w:hint="eastAsia" w:ascii="Cambria Math" w:hAnsi="Cambria Math" w:eastAsia="MS Mincho" w:cs="MS Mincho"/>
                <w:sz w:val="24"/>
                <w:szCs w:val="24"/>
                <w:highlight w:val="none"/>
              </w:rPr>
              <m:t>−</m:t>
            </m:r>
            <m:r>
              <m:rPr>
                <m:sty m:val="p"/>
              </m:rPr>
              <w:rPr>
                <w:rFonts w:ascii="Cambria Math" w:hAnsi="Cambria Math"/>
                <w:sz w:val="24"/>
                <w:szCs w:val="24"/>
                <w:highlight w:val="none"/>
              </w:rPr>
              <m:t>无效采样点数</m:t>
            </m:r>
            <m:ctrlPr>
              <w:rPr>
                <w:rFonts w:ascii="Cambria Math" w:hAnsi="Cambria Math"/>
                <w:sz w:val="24"/>
                <w:szCs w:val="24"/>
                <w:highlight w:val="none"/>
              </w:rPr>
            </m:ctrlPr>
          </m:den>
        </m:f>
      </m:oMath>
      <w:r>
        <w:rPr>
          <w:rFonts w:hint="eastAsia"/>
          <w:sz w:val="24"/>
          <w:szCs w:val="24"/>
          <w:highlight w:val="none"/>
        </w:rPr>
        <w:t xml:space="preserve"> </w:t>
      </w:r>
      <w:r>
        <w:rPr>
          <w:sz w:val="30"/>
          <w:szCs w:val="30"/>
          <w:highlight w:val="none"/>
        </w:rPr>
        <w:t xml:space="preserve"> </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其中，有效采样点是指做市账户在该采样点上，存量买卖订单申报金额均不低于该基金最小申报金额。采样时间为连续竞价阶段，每秒进行采样。</w:t>
      </w:r>
    </w:p>
    <w:p>
      <w:pPr>
        <w:widowControl/>
        <w:spacing w:line="60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将每日</w:t>
      </w:r>
      <w:r>
        <w:rPr>
          <w:rFonts w:hint="eastAsia" w:ascii="仿宋_GB2312" w:eastAsia="仿宋_GB2312"/>
          <w:sz w:val="30"/>
          <w:szCs w:val="30"/>
          <w:highlight w:val="none"/>
        </w:rPr>
        <w:t>时间加权报价差进行算数平均得到月度时间加权报价差。</w:t>
      </w:r>
    </w:p>
    <w:p>
      <w:pPr>
        <w:spacing w:line="600" w:lineRule="exact"/>
        <w:ind w:firstLine="420"/>
        <w:rPr>
          <w:sz w:val="30"/>
          <w:szCs w:val="30"/>
          <w:highlight w:val="none"/>
        </w:rPr>
      </w:pPr>
      <w:r>
        <w:rPr>
          <w:rFonts w:hint="eastAsia" w:ascii="Times New Roman" w:hAnsi="Times New Roman" w:eastAsia="仿宋_GB2312"/>
          <w:sz w:val="30"/>
          <w:szCs w:val="30"/>
          <w:highlight w:val="none"/>
        </w:rPr>
        <w:t>（二）连续竞价有效参与率</w:t>
      </w:r>
    </w:p>
    <w:p>
      <w:pPr>
        <w:pStyle w:val="38"/>
        <w:spacing w:line="600" w:lineRule="exact"/>
        <w:ind w:firstLine="600" w:firstLineChars="0"/>
        <w:rPr>
          <w:sz w:val="30"/>
          <w:szCs w:val="30"/>
          <w:highlight w:val="none"/>
        </w:rPr>
      </w:pPr>
      <w:r>
        <w:rPr>
          <w:rFonts w:hint="eastAsia"/>
          <w:sz w:val="30"/>
          <w:szCs w:val="30"/>
          <w:highlight w:val="none"/>
        </w:rPr>
        <w:t>每日连续竞价有效参与率计算公式为：</w:t>
      </w:r>
    </w:p>
    <w:p>
      <w:pPr>
        <w:pStyle w:val="38"/>
        <w:spacing w:line="600" w:lineRule="exact"/>
        <w:ind w:firstLine="0" w:firstLineChars="0"/>
        <w:jc w:val="center"/>
        <w:rPr>
          <w:rFonts w:eastAsiaTheme="minorEastAsia"/>
          <w:sz w:val="24"/>
          <w:szCs w:val="24"/>
          <w:highlight w:val="none"/>
        </w:rPr>
      </w:pPr>
      <m:oMath>
        <m:r>
          <m:rPr>
            <m:sty m:val="p"/>
          </m:rPr>
          <w:rPr>
            <w:rFonts w:hint="eastAsia" w:ascii="Cambria Math" w:hAnsi="Cambria Math" w:eastAsiaTheme="minorEastAsia"/>
            <w:sz w:val="24"/>
            <w:szCs w:val="24"/>
            <w:highlight w:val="none"/>
          </w:rPr>
          <m:t>连续竞价有效参与率</m:t>
        </m:r>
        <m:r>
          <m:rPr>
            <m:sty m:val="p"/>
          </m:rPr>
          <w:rPr>
            <w:rFonts w:ascii="Cambria Math" w:hAnsi="Cambria Math" w:eastAsiaTheme="minorEastAsia"/>
            <w:sz w:val="24"/>
            <w:szCs w:val="24"/>
            <w:highlight w:val="none"/>
          </w:rPr>
          <m:t>=</m:t>
        </m:r>
        <m:f>
          <m:fPr>
            <m:ctrlPr>
              <w:rPr>
                <w:rFonts w:ascii="Cambria Math" w:hAnsi="Cambria Math" w:eastAsiaTheme="minorEastAsia"/>
                <w:color w:val="000000" w:themeColor="text1"/>
                <w:sz w:val="24"/>
                <w:szCs w:val="24"/>
                <w:highlight w:val="none"/>
              </w:rPr>
            </m:ctrlPr>
          </m:fPr>
          <m:num>
            <m:r>
              <m:rPr>
                <m:sty m:val="p"/>
              </m:rPr>
              <w:rPr>
                <w:rFonts w:hint="eastAsia" w:ascii="Cambria Math" w:hAnsi="Cambria Math" w:eastAsiaTheme="minorEastAsia"/>
                <w:color w:val="000000" w:themeColor="text1"/>
                <w:sz w:val="24"/>
                <w:szCs w:val="24"/>
                <w:highlight w:val="none"/>
              </w:rPr>
              <m:t>有效采样点数</m:t>
            </m:r>
            <m:r>
              <m:rPr>
                <m:sty m:val="p"/>
              </m:rPr>
              <w:rPr>
                <w:rFonts w:ascii="Cambria Math" w:hAnsi="Cambria Math" w:eastAsiaTheme="minorEastAsia"/>
                <w:color w:val="000000" w:themeColor="text1"/>
                <w:sz w:val="24"/>
                <w:szCs w:val="24"/>
                <w:highlight w:val="none"/>
              </w:rPr>
              <m:t>−</m:t>
            </m:r>
            <m:r>
              <m:rPr>
                <m:sty m:val="p"/>
              </m:rPr>
              <w:rPr>
                <w:rFonts w:hint="eastAsia" w:ascii="Cambria Math" w:hAnsi="Cambria Math" w:eastAsiaTheme="minorEastAsia"/>
                <w:color w:val="000000" w:themeColor="text1"/>
                <w:sz w:val="24"/>
                <w:szCs w:val="24"/>
                <w:highlight w:val="none"/>
              </w:rPr>
              <m:t>停牌及豁免双边报价义务时间内的有效采样点数</m:t>
            </m:r>
            <m:ctrlPr>
              <w:rPr>
                <w:rFonts w:ascii="Cambria Math" w:hAnsi="Cambria Math" w:eastAsiaTheme="minorEastAsia"/>
                <w:color w:val="000000" w:themeColor="text1"/>
                <w:sz w:val="24"/>
                <w:szCs w:val="24"/>
                <w:highlight w:val="none"/>
              </w:rPr>
            </m:ctrlPr>
          </m:num>
          <m:den>
            <m:r>
              <m:rPr>
                <m:sty m:val="p"/>
              </m:rPr>
              <w:rPr>
                <w:rFonts w:ascii="Cambria Math" w:hAnsi="Cambria Math" w:eastAsiaTheme="minorEastAsia"/>
                <w:color w:val="000000" w:themeColor="text1"/>
                <w:sz w:val="24"/>
                <w:szCs w:val="24"/>
                <w:highlight w:val="none"/>
              </w:rPr>
              <m:t>14400−</m:t>
            </m:r>
            <m:r>
              <m:rPr>
                <m:sty m:val="p"/>
              </m:rPr>
              <w:rPr>
                <w:rFonts w:hint="eastAsia" w:ascii="Cambria Math" w:hAnsi="Cambria Math" w:eastAsiaTheme="minorEastAsia"/>
                <w:color w:val="000000" w:themeColor="text1"/>
                <w:sz w:val="24"/>
                <w:szCs w:val="24"/>
                <w:highlight w:val="none"/>
              </w:rPr>
              <m:t>停牌及豁免双边报价义务的时间</m:t>
            </m:r>
            <m:ctrlPr>
              <w:rPr>
                <w:rFonts w:ascii="Cambria Math" w:hAnsi="Cambria Math" w:eastAsiaTheme="minorEastAsia"/>
                <w:color w:val="000000" w:themeColor="text1"/>
                <w:sz w:val="24"/>
                <w:szCs w:val="24"/>
                <w:highlight w:val="none"/>
              </w:rPr>
            </m:ctrlPr>
          </m:den>
        </m:f>
      </m:oMath>
      <w:r>
        <w:rPr>
          <w:rFonts w:eastAsiaTheme="minorEastAsia"/>
          <w:sz w:val="24"/>
          <w:szCs w:val="24"/>
          <w:highlight w:val="none"/>
        </w:rPr>
        <w:t xml:space="preserve"> </w:t>
      </w:r>
    </w:p>
    <w:p>
      <w:pPr>
        <w:pStyle w:val="38"/>
        <w:spacing w:line="600" w:lineRule="exact"/>
        <w:ind w:firstLine="600"/>
        <w:rPr>
          <w:sz w:val="30"/>
          <w:szCs w:val="30"/>
          <w:highlight w:val="none"/>
        </w:rPr>
      </w:pPr>
      <w:r>
        <w:rPr>
          <w:rFonts w:hint="eastAsia"/>
          <w:sz w:val="30"/>
          <w:szCs w:val="30"/>
          <w:highlight w:val="none"/>
        </w:rPr>
        <w:t>其中，有效采样点是指做市账户在该采样点上，存量买卖订单申报金额均不低于该基金最小申报金额，且该采样点最小报价差不高于最大买卖价差要求值。采样时间为连续竞价阶段，每秒进行采样。</w:t>
      </w:r>
    </w:p>
    <w:p>
      <w:pPr>
        <w:widowControl/>
        <w:spacing w:line="600" w:lineRule="exact"/>
        <w:ind w:firstLine="600" w:firstLineChars="200"/>
        <w:rPr>
          <w:rFonts w:ascii="仿宋_GB2312" w:eastAsia="仿宋_GB2312"/>
          <w:sz w:val="30"/>
          <w:szCs w:val="30"/>
          <w:highlight w:val="none"/>
        </w:rPr>
      </w:pPr>
      <w:r>
        <w:rPr>
          <w:rFonts w:hint="eastAsia" w:ascii="仿宋_GB2312" w:hAnsi="Times New Roman" w:eastAsia="仿宋_GB2312"/>
          <w:sz w:val="30"/>
          <w:szCs w:val="30"/>
          <w:highlight w:val="none"/>
        </w:rPr>
        <w:t>将每日</w:t>
      </w:r>
      <w:r>
        <w:rPr>
          <w:rFonts w:hint="eastAsia" w:ascii="仿宋_GB2312" w:eastAsia="仿宋_GB2312"/>
          <w:sz w:val="30"/>
          <w:szCs w:val="30"/>
          <w:highlight w:val="none"/>
        </w:rPr>
        <w:t>连续竞价有效参与率进行算数平均得到月度连续竞价有效参与率。</w:t>
      </w:r>
    </w:p>
    <w:p>
      <w:pPr>
        <w:pStyle w:val="3"/>
        <w:spacing w:line="600" w:lineRule="exact"/>
        <w:ind w:firstLine="562"/>
        <w:rPr>
          <w:rFonts w:ascii="仿宋_GB2312" w:hAnsi="黑体" w:eastAsia="仿宋_GB2312"/>
          <w:b w:val="0"/>
          <w:kern w:val="44"/>
          <w:sz w:val="30"/>
          <w:szCs w:val="30"/>
          <w:highlight w:val="none"/>
        </w:rPr>
      </w:pPr>
      <w:bookmarkStart w:id="68" w:name="_Toc7713"/>
      <w:bookmarkStart w:id="69" w:name="_Toc120180544"/>
      <w:bookmarkStart w:id="70" w:name="_Toc4968"/>
      <w:bookmarkStart w:id="71" w:name="_Toc32042"/>
      <w:r>
        <w:rPr>
          <w:rFonts w:hint="eastAsia" w:ascii="仿宋_GB2312" w:hAnsi="黑体" w:eastAsia="仿宋_GB2312"/>
          <w:kern w:val="44"/>
          <w:sz w:val="30"/>
          <w:szCs w:val="30"/>
          <w:highlight w:val="none"/>
        </w:rPr>
        <w:t>五、评价方法</w:t>
      </w:r>
      <w:bookmarkEnd w:id="68"/>
      <w:bookmarkEnd w:id="69"/>
      <w:bookmarkEnd w:id="70"/>
      <w:bookmarkEnd w:id="71"/>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做市商做市服务评价分为月度评价和年度综合评价。主做市商为基金产品提供一般做市服务的，仅进行一般做市服务月度评价，相应评价结果不计入主做市商年度综合评价。</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（一）月度评价</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主做市商为基金产品提供主做市服务的，按主做市服务评价标准进行评价。主做市商为基金产品提供一般做市服务的，或一般做市商为基金产品提供一般做市服务的，按一般做市服务评价标准进行评价。</w:t>
      </w:r>
    </w:p>
    <w:p>
      <w:pPr>
        <w:widowControl/>
        <w:spacing w:line="60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、主做市服务评价标准</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本所根据时间加权报价差、连续竞价有效参与率和成交量占主做市服务平均成交量比重等评价指标，对主做市商为特定基金提供主做市服务情况进行月度评价，评价结果分为</w:t>
      </w:r>
      <w:r>
        <w:rPr>
          <w:rFonts w:ascii="Times New Roman" w:hAnsi="Times New Roman" w:eastAsia="仿宋_GB2312"/>
          <w:sz w:val="30"/>
          <w:szCs w:val="30"/>
          <w:highlight w:val="none"/>
        </w:rPr>
        <w:t>AA</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A</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B</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C</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五档，</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档为不合格。具体评价步骤如下：</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第一，依据时间加权报价差和连续竞价有效参与率两项指标对当月度主做市商为特定基金提供主做市服务情况进行评价，每项指标均分为优秀、良好、合格、不合格四档（如表</w:t>
      </w: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所示）：</w:t>
      </w:r>
    </w:p>
    <w:p>
      <w:pPr>
        <w:widowControl/>
        <w:spacing w:beforeLines="100" w:line="600" w:lineRule="exact"/>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表2：产品做市服务的评价标准</w:t>
      </w:r>
    </w:p>
    <w:tbl>
      <w:tblPr>
        <w:tblStyle w:val="16"/>
        <w:tblW w:w="7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100"/>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149" w:type="dxa"/>
            <w:tcBorders>
              <w:top w:val="single" w:color="auto" w:sz="4" w:space="0"/>
              <w:left w:val="single" w:color="auto" w:sz="4" w:space="0"/>
              <w:bottom w:val="single" w:color="auto" w:sz="12" w:space="0"/>
              <w:right w:val="single" w:color="auto" w:sz="4" w:space="0"/>
            </w:tcBorders>
          </w:tcPr>
          <w:p>
            <w:pPr>
              <w:widowControl/>
              <w:spacing w:line="600" w:lineRule="exact"/>
              <w:jc w:val="left"/>
              <w:rPr>
                <w:rFonts w:hint="eastAsia" w:ascii="仿宋_GB2312" w:hAnsi="仿宋_GB2312" w:eastAsia="仿宋_GB2312" w:cs="仿宋_GB2312"/>
                <w:highlight w:val="none"/>
              </w:rPr>
            </w:pPr>
          </w:p>
        </w:tc>
        <w:tc>
          <w:tcPr>
            <w:tcW w:w="3100" w:type="dxa"/>
            <w:tcBorders>
              <w:top w:val="single" w:color="auto" w:sz="4" w:space="0"/>
              <w:left w:val="single" w:color="auto" w:sz="4" w:space="0"/>
              <w:bottom w:val="single" w:color="auto" w:sz="12" w:space="0"/>
              <w:right w:val="single" w:color="auto" w:sz="4" w:space="0"/>
            </w:tcBorders>
          </w:tcPr>
          <w:p>
            <w:pPr>
              <w:pStyle w:val="36"/>
              <w:spacing w:beforeLines="50" w:afterLines="50" w:line="600" w:lineRule="exact"/>
              <w:rPr>
                <w:rFonts w:hint="eastAsia" w:ascii="仿宋_GB2312" w:hAnsi="仿宋_GB2312" w:eastAsia="仿宋_GB2312" w:cs="仿宋_GB2312"/>
                <w:b/>
                <w:bCs/>
                <w:kern w:val="2"/>
                <w:szCs w:val="18"/>
                <w:highlight w:val="none"/>
              </w:rPr>
            </w:pPr>
            <w:r>
              <w:rPr>
                <w:rFonts w:hint="eastAsia" w:ascii="仿宋_GB2312" w:hAnsi="仿宋_GB2312" w:eastAsia="仿宋_GB2312" w:cs="仿宋_GB2312"/>
                <w:b/>
                <w:kern w:val="2"/>
                <w:szCs w:val="18"/>
                <w:highlight w:val="none"/>
              </w:rPr>
              <w:t>指标</w:t>
            </w:r>
          </w:p>
        </w:tc>
        <w:tc>
          <w:tcPr>
            <w:tcW w:w="3355" w:type="dxa"/>
            <w:tcBorders>
              <w:top w:val="single" w:color="auto" w:sz="4" w:space="0"/>
              <w:left w:val="single" w:color="auto" w:sz="4" w:space="0"/>
              <w:bottom w:val="single" w:color="auto" w:sz="12" w:space="0"/>
              <w:right w:val="single" w:color="auto" w:sz="4" w:space="0"/>
            </w:tcBorders>
          </w:tcPr>
          <w:p>
            <w:pPr>
              <w:pStyle w:val="36"/>
              <w:spacing w:beforeLines="50" w:afterLines="50" w:line="600" w:lineRule="exact"/>
              <w:rPr>
                <w:rFonts w:hint="eastAsia" w:ascii="仿宋_GB2312" w:hAnsi="仿宋_GB2312" w:eastAsia="仿宋_GB2312" w:cs="仿宋_GB2312"/>
                <w:b/>
                <w:bCs/>
                <w:kern w:val="2"/>
                <w:szCs w:val="20"/>
                <w:highlight w:val="none"/>
              </w:rPr>
            </w:pPr>
            <w:r>
              <w:rPr>
                <w:rFonts w:hint="eastAsia" w:ascii="仿宋_GB2312" w:hAnsi="仿宋_GB2312" w:eastAsia="仿宋_GB2312" w:cs="仿宋_GB2312"/>
                <w:b/>
                <w:kern w:val="2"/>
                <w:szCs w:val="20"/>
                <w:highlight w:val="none"/>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49" w:type="dxa"/>
            <w:vMerge w:val="restart"/>
            <w:tcBorders>
              <w:top w:val="single" w:color="auto" w:sz="12" w:space="0"/>
              <w:left w:val="single" w:color="auto" w:sz="4" w:space="0"/>
              <w:bottom w:val="single" w:color="auto" w:sz="4" w:space="0"/>
              <w:right w:val="single" w:color="auto" w:sz="4" w:space="0"/>
            </w:tcBorders>
            <w:vAlign w:val="center"/>
          </w:tcPr>
          <w:p>
            <w:pPr>
              <w:pStyle w:val="36"/>
              <w:snapToGrid w:val="0"/>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20"/>
                <w:highlight w:val="none"/>
              </w:rPr>
              <w:t>流动性分类为高的基金产品</w:t>
            </w:r>
          </w:p>
        </w:tc>
        <w:tc>
          <w:tcPr>
            <w:tcW w:w="3100" w:type="dxa"/>
            <w:tcBorders>
              <w:top w:val="single" w:color="auto" w:sz="12" w:space="0"/>
              <w:left w:val="single" w:color="auto" w:sz="4" w:space="0"/>
              <w:bottom w:val="single" w:color="auto" w:sz="4" w:space="0"/>
              <w:right w:val="single" w:color="auto" w:sz="4" w:space="0"/>
            </w:tcBorders>
            <w:vAlign w:val="center"/>
          </w:tcPr>
          <w:p>
            <w:pPr>
              <w:pStyle w:val="36"/>
              <w:spacing w:line="600" w:lineRule="exact"/>
              <w:jc w:val="both"/>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时间加权报价差／最大买卖价差</w:t>
            </w:r>
          </w:p>
        </w:tc>
        <w:tc>
          <w:tcPr>
            <w:tcW w:w="3355" w:type="dxa"/>
            <w:tcBorders>
              <w:top w:val="single" w:color="auto" w:sz="12" w:space="0"/>
              <w:left w:val="single" w:color="auto" w:sz="4" w:space="0"/>
              <w:bottom w:val="single" w:color="auto" w:sz="4" w:space="0"/>
              <w:right w:val="single" w:color="auto" w:sz="4" w:space="0"/>
            </w:tcBorders>
          </w:tcPr>
          <w:p>
            <w:pPr>
              <w:pStyle w:val="36"/>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18"/>
                <w:highlight w:val="none"/>
              </w:rPr>
              <w:t xml:space="preserve">优秀          </w:t>
            </w:r>
            <w:r>
              <w:rPr>
                <w:rFonts w:hint="eastAsia" w:ascii="仿宋_GB2312" w:hAnsi="仿宋_GB2312" w:eastAsia="仿宋_GB2312" w:cs="仿宋_GB2312"/>
                <w:kern w:val="2"/>
                <w:szCs w:val="20"/>
                <w:highlight w:val="none"/>
              </w:rPr>
              <w:t>数值≤40%</w:t>
            </w:r>
          </w:p>
          <w:p>
            <w:pPr>
              <w:pStyle w:val="36"/>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20"/>
                <w:highlight w:val="none"/>
              </w:rPr>
              <w:t>良好     40%&lt;数值≤60%</w:t>
            </w:r>
          </w:p>
          <w:p>
            <w:pPr>
              <w:pStyle w:val="36"/>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20"/>
                <w:highlight w:val="none"/>
              </w:rPr>
              <w:t>合格     60%&lt;数值≤80%</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20"/>
                <w:highlight w:val="none"/>
              </w:rPr>
              <w:t>不合格        80%&lt;数值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9"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600" w:lineRule="exact"/>
              <w:jc w:val="left"/>
              <w:rPr>
                <w:rFonts w:hint="eastAsia" w:ascii="仿宋_GB2312" w:hAnsi="仿宋_GB2312" w:eastAsia="仿宋_GB2312" w:cs="仿宋_GB2312"/>
                <w:color w:val="000000"/>
                <w:sz w:val="24"/>
                <w:szCs w:val="20"/>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6"/>
              <w:spacing w:line="600" w:lineRule="exact"/>
              <w:jc w:val="both"/>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连续竞价有效参与率／最低连续竞价参与率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 xml:space="preserve">优秀         </w:t>
            </w:r>
            <w:r>
              <w:rPr>
                <w:rFonts w:hint="eastAsia" w:ascii="仿宋_GB2312" w:hAnsi="仿宋_GB2312" w:eastAsia="仿宋_GB2312" w:cs="仿宋_GB2312"/>
                <w:kern w:val="2"/>
                <w:szCs w:val="20"/>
                <w:highlight w:val="none"/>
              </w:rPr>
              <w:t>数值</w:t>
            </w:r>
            <w:r>
              <w:rPr>
                <w:rFonts w:hint="eastAsia" w:ascii="仿宋_GB2312" w:hAnsi="仿宋_GB2312" w:eastAsia="仿宋_GB2312" w:cs="仿宋_GB2312"/>
                <w:kern w:val="2"/>
                <w:szCs w:val="18"/>
                <w:highlight w:val="none"/>
              </w:rPr>
              <w:t>≥145%</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20"/>
                <w:highlight w:val="none"/>
              </w:rPr>
              <w:t>良好</w:t>
            </w:r>
            <w:r>
              <w:rPr>
                <w:rFonts w:hint="eastAsia" w:ascii="仿宋_GB2312" w:hAnsi="仿宋_GB2312" w:eastAsia="仿宋_GB2312" w:cs="仿宋_GB2312"/>
                <w:kern w:val="2"/>
                <w:szCs w:val="18"/>
                <w:highlight w:val="none"/>
              </w:rPr>
              <w:t xml:space="preserve">   130%</w:t>
            </w:r>
            <w:r>
              <w:rPr>
                <w:rFonts w:hint="eastAsia" w:ascii="仿宋_GB2312" w:hAnsi="仿宋_GB2312" w:eastAsia="仿宋_GB2312" w:cs="仿宋_GB2312"/>
                <w:kern w:val="2"/>
                <w:szCs w:val="20"/>
                <w:highlight w:val="none"/>
              </w:rPr>
              <w:t>≤数值</w:t>
            </w:r>
            <w:r>
              <w:rPr>
                <w:rFonts w:hint="eastAsia" w:ascii="仿宋_GB2312" w:hAnsi="仿宋_GB2312" w:eastAsia="仿宋_GB2312" w:cs="仿宋_GB2312"/>
                <w:kern w:val="2"/>
                <w:szCs w:val="18"/>
                <w:highlight w:val="none"/>
              </w:rPr>
              <w:t>&lt;145%</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20"/>
                <w:highlight w:val="none"/>
              </w:rPr>
              <w:t>合格</w:t>
            </w:r>
            <w:r>
              <w:rPr>
                <w:rFonts w:hint="eastAsia" w:ascii="仿宋_GB2312" w:hAnsi="仿宋_GB2312" w:eastAsia="仿宋_GB2312" w:cs="仿宋_GB2312"/>
                <w:kern w:val="2"/>
                <w:szCs w:val="18"/>
                <w:highlight w:val="none"/>
              </w:rPr>
              <w:t xml:space="preserve">   115%</w:t>
            </w:r>
            <w:r>
              <w:rPr>
                <w:rFonts w:hint="eastAsia" w:ascii="仿宋_GB2312" w:hAnsi="仿宋_GB2312" w:eastAsia="仿宋_GB2312" w:cs="仿宋_GB2312"/>
                <w:kern w:val="2"/>
                <w:szCs w:val="20"/>
                <w:highlight w:val="none"/>
              </w:rPr>
              <w:t>≤数值</w:t>
            </w:r>
            <w:r>
              <w:rPr>
                <w:rFonts w:hint="eastAsia" w:ascii="仿宋_GB2312" w:hAnsi="仿宋_GB2312" w:eastAsia="仿宋_GB2312" w:cs="仿宋_GB2312"/>
                <w:kern w:val="2"/>
                <w:szCs w:val="18"/>
                <w:highlight w:val="none"/>
              </w:rPr>
              <w:t>&lt;130%</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 xml:space="preserve">不合格       </w:t>
            </w:r>
            <w:r>
              <w:rPr>
                <w:rFonts w:hint="eastAsia" w:ascii="仿宋_GB2312" w:hAnsi="仿宋_GB2312" w:eastAsia="仿宋_GB2312" w:cs="仿宋_GB2312"/>
                <w:kern w:val="2"/>
                <w:szCs w:val="20"/>
                <w:highlight w:val="none"/>
              </w:rPr>
              <w:t>数值</w:t>
            </w:r>
            <w:r>
              <w:rPr>
                <w:rFonts w:hint="eastAsia" w:ascii="仿宋_GB2312" w:hAnsi="仿宋_GB2312" w:eastAsia="仿宋_GB2312" w:cs="仿宋_GB2312"/>
                <w:kern w:val="2"/>
                <w:szCs w:val="18"/>
                <w:highlight w:val="none"/>
              </w:rPr>
              <w:t>&lt;115%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pStyle w:val="36"/>
              <w:snapToGrid w:val="0"/>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20"/>
                <w:highlight w:val="none"/>
              </w:rPr>
              <w:t>流动性分类为中的基金产品</w:t>
            </w:r>
          </w:p>
        </w:tc>
        <w:tc>
          <w:tcPr>
            <w:tcW w:w="3100" w:type="dxa"/>
            <w:tcBorders>
              <w:top w:val="single" w:color="auto" w:sz="4" w:space="0"/>
              <w:left w:val="single" w:color="auto" w:sz="4" w:space="0"/>
              <w:bottom w:val="single" w:color="auto" w:sz="4" w:space="0"/>
              <w:right w:val="single" w:color="auto" w:sz="4" w:space="0"/>
            </w:tcBorders>
            <w:vAlign w:val="center"/>
          </w:tcPr>
          <w:p>
            <w:pPr>
              <w:pStyle w:val="36"/>
              <w:spacing w:line="600" w:lineRule="exact"/>
              <w:jc w:val="both"/>
              <w:rPr>
                <w:rFonts w:hint="eastAsia" w:ascii="仿宋_GB2312" w:hAnsi="仿宋_GB2312" w:eastAsia="仿宋_GB2312" w:cs="仿宋_GB2312"/>
                <w:color w:val="auto"/>
                <w:kern w:val="2"/>
                <w:szCs w:val="18"/>
                <w:highlight w:val="none"/>
              </w:rPr>
            </w:pPr>
            <w:r>
              <w:rPr>
                <w:rFonts w:hint="eastAsia" w:ascii="仿宋_GB2312" w:hAnsi="仿宋_GB2312" w:eastAsia="仿宋_GB2312" w:cs="仿宋_GB2312"/>
                <w:color w:val="auto"/>
                <w:kern w:val="2"/>
                <w:szCs w:val="18"/>
                <w:highlight w:val="none"/>
              </w:rPr>
              <w:t>时间加权报价差／最大买卖价差</w:t>
            </w:r>
          </w:p>
        </w:tc>
        <w:tc>
          <w:tcPr>
            <w:tcW w:w="3355" w:type="dxa"/>
            <w:tcBorders>
              <w:top w:val="single" w:color="auto" w:sz="4" w:space="0"/>
              <w:left w:val="single" w:color="auto" w:sz="4" w:space="0"/>
              <w:bottom w:val="single" w:color="auto" w:sz="4" w:space="0"/>
              <w:right w:val="single" w:color="auto" w:sz="4" w:space="0"/>
            </w:tcBorders>
          </w:tcPr>
          <w:p>
            <w:pPr>
              <w:pStyle w:val="36"/>
              <w:spacing w:line="600" w:lineRule="exact"/>
              <w:jc w:val="left"/>
              <w:rPr>
                <w:rFonts w:hint="eastAsia" w:ascii="仿宋_GB2312" w:hAnsi="仿宋_GB2312" w:eastAsia="仿宋_GB2312" w:cs="仿宋_GB2312"/>
                <w:color w:val="auto"/>
                <w:kern w:val="2"/>
                <w:szCs w:val="20"/>
                <w:highlight w:val="none"/>
              </w:rPr>
            </w:pPr>
            <w:r>
              <w:rPr>
                <w:rFonts w:hint="eastAsia" w:ascii="仿宋_GB2312" w:hAnsi="仿宋_GB2312" w:eastAsia="仿宋_GB2312" w:cs="仿宋_GB2312"/>
                <w:color w:val="auto"/>
                <w:kern w:val="2"/>
                <w:szCs w:val="18"/>
                <w:highlight w:val="none"/>
              </w:rPr>
              <w:t xml:space="preserve">优秀          </w:t>
            </w:r>
            <w:r>
              <w:rPr>
                <w:rFonts w:hint="eastAsia" w:ascii="仿宋_GB2312" w:hAnsi="仿宋_GB2312" w:eastAsia="仿宋_GB2312" w:cs="仿宋_GB2312"/>
                <w:color w:val="auto"/>
                <w:kern w:val="2"/>
                <w:szCs w:val="20"/>
                <w:highlight w:val="none"/>
              </w:rPr>
              <w:t>数值≤60%</w:t>
            </w:r>
          </w:p>
          <w:p>
            <w:pPr>
              <w:pStyle w:val="36"/>
              <w:spacing w:line="600" w:lineRule="exact"/>
              <w:jc w:val="left"/>
              <w:rPr>
                <w:rFonts w:hint="eastAsia" w:ascii="仿宋_GB2312" w:hAnsi="仿宋_GB2312" w:eastAsia="仿宋_GB2312" w:cs="仿宋_GB2312"/>
                <w:color w:val="auto"/>
                <w:kern w:val="2"/>
                <w:szCs w:val="20"/>
                <w:highlight w:val="none"/>
              </w:rPr>
            </w:pPr>
            <w:r>
              <w:rPr>
                <w:rFonts w:hint="eastAsia" w:ascii="仿宋_GB2312" w:hAnsi="仿宋_GB2312" w:eastAsia="仿宋_GB2312" w:cs="仿宋_GB2312"/>
                <w:color w:val="auto"/>
                <w:kern w:val="2"/>
                <w:szCs w:val="20"/>
                <w:highlight w:val="none"/>
              </w:rPr>
              <w:t>良好     60%&lt;数值≤80%</w:t>
            </w:r>
          </w:p>
          <w:p>
            <w:pPr>
              <w:pStyle w:val="36"/>
              <w:spacing w:line="600" w:lineRule="exact"/>
              <w:jc w:val="left"/>
              <w:rPr>
                <w:rFonts w:hint="eastAsia" w:ascii="仿宋_GB2312" w:hAnsi="仿宋_GB2312" w:eastAsia="仿宋_GB2312" w:cs="仿宋_GB2312"/>
                <w:color w:val="auto"/>
                <w:kern w:val="2"/>
                <w:szCs w:val="20"/>
                <w:highlight w:val="none"/>
              </w:rPr>
            </w:pPr>
            <w:r>
              <w:rPr>
                <w:rFonts w:hint="eastAsia" w:ascii="仿宋_GB2312" w:hAnsi="仿宋_GB2312" w:eastAsia="仿宋_GB2312" w:cs="仿宋_GB2312"/>
                <w:color w:val="auto"/>
                <w:kern w:val="2"/>
                <w:szCs w:val="20"/>
                <w:highlight w:val="none"/>
              </w:rPr>
              <w:t>合格    80%&lt;数值≤100%</w:t>
            </w:r>
          </w:p>
          <w:p>
            <w:pPr>
              <w:pStyle w:val="36"/>
              <w:spacing w:line="600" w:lineRule="exact"/>
              <w:jc w:val="left"/>
              <w:rPr>
                <w:rFonts w:hint="eastAsia" w:ascii="仿宋_GB2312" w:hAnsi="仿宋_GB2312" w:eastAsia="仿宋_GB2312" w:cs="仿宋_GB2312"/>
                <w:color w:val="auto"/>
                <w:kern w:val="2"/>
                <w:szCs w:val="18"/>
                <w:highlight w:val="none"/>
              </w:rPr>
            </w:pPr>
            <w:r>
              <w:rPr>
                <w:rFonts w:hint="eastAsia" w:ascii="仿宋_GB2312" w:hAnsi="仿宋_GB2312" w:eastAsia="仿宋_GB2312" w:cs="仿宋_GB2312"/>
                <w:color w:val="auto"/>
                <w:kern w:val="2"/>
                <w:szCs w:val="20"/>
                <w:highlight w:val="none"/>
              </w:rPr>
              <w:t>不合格        100%&lt;数值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仿宋_GB2312" w:hAnsi="仿宋_GB2312" w:eastAsia="仿宋_GB2312" w:cs="仿宋_GB2312"/>
                <w:color w:val="000000"/>
                <w:sz w:val="24"/>
                <w:szCs w:val="20"/>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6"/>
              <w:spacing w:line="600" w:lineRule="exact"/>
              <w:jc w:val="both"/>
              <w:rPr>
                <w:rFonts w:hint="eastAsia" w:ascii="仿宋_GB2312" w:hAnsi="仿宋_GB2312" w:eastAsia="仿宋_GB2312" w:cs="仿宋_GB2312"/>
                <w:color w:val="auto"/>
                <w:kern w:val="2"/>
                <w:szCs w:val="18"/>
                <w:highlight w:val="none"/>
              </w:rPr>
            </w:pPr>
            <w:r>
              <w:rPr>
                <w:rFonts w:hint="eastAsia" w:ascii="仿宋_GB2312" w:hAnsi="仿宋_GB2312" w:eastAsia="仿宋_GB2312" w:cs="仿宋_GB2312"/>
                <w:color w:val="auto"/>
                <w:kern w:val="2"/>
                <w:szCs w:val="18"/>
                <w:highlight w:val="none"/>
              </w:rPr>
              <w:t>连续竞价</w:t>
            </w:r>
            <w:r>
              <w:rPr>
                <w:rFonts w:hint="eastAsia" w:ascii="仿宋_GB2312" w:hAnsi="仿宋_GB2312" w:eastAsia="仿宋_GB2312" w:cs="仿宋_GB2312"/>
                <w:kern w:val="2"/>
                <w:szCs w:val="18"/>
                <w:highlight w:val="none"/>
              </w:rPr>
              <w:t>有效</w:t>
            </w:r>
            <w:r>
              <w:rPr>
                <w:rFonts w:hint="eastAsia" w:ascii="仿宋_GB2312" w:hAnsi="仿宋_GB2312" w:eastAsia="仿宋_GB2312" w:cs="仿宋_GB2312"/>
                <w:color w:val="auto"/>
                <w:kern w:val="2"/>
                <w:szCs w:val="18"/>
                <w:highlight w:val="none"/>
              </w:rPr>
              <w:t>参与率／最低</w:t>
            </w:r>
            <w:r>
              <w:rPr>
                <w:rFonts w:hint="eastAsia" w:ascii="仿宋_GB2312" w:hAnsi="仿宋_GB2312" w:eastAsia="仿宋_GB2312" w:cs="仿宋_GB2312"/>
                <w:kern w:val="2"/>
                <w:szCs w:val="18"/>
                <w:highlight w:val="none"/>
              </w:rPr>
              <w:t>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6"/>
              <w:spacing w:line="600" w:lineRule="exact"/>
              <w:jc w:val="left"/>
              <w:rPr>
                <w:rFonts w:hint="eastAsia" w:ascii="仿宋_GB2312" w:hAnsi="仿宋_GB2312" w:eastAsia="仿宋_GB2312" w:cs="仿宋_GB2312"/>
                <w:color w:val="auto"/>
                <w:kern w:val="2"/>
                <w:szCs w:val="18"/>
                <w:highlight w:val="none"/>
              </w:rPr>
            </w:pPr>
            <w:r>
              <w:rPr>
                <w:rFonts w:hint="eastAsia" w:ascii="仿宋_GB2312" w:hAnsi="仿宋_GB2312" w:eastAsia="仿宋_GB2312" w:cs="仿宋_GB2312"/>
                <w:color w:val="auto"/>
                <w:kern w:val="2"/>
                <w:szCs w:val="18"/>
                <w:highlight w:val="none"/>
              </w:rPr>
              <w:t xml:space="preserve">优秀         </w:t>
            </w:r>
            <w:r>
              <w:rPr>
                <w:rFonts w:hint="eastAsia" w:ascii="仿宋_GB2312" w:hAnsi="仿宋_GB2312" w:eastAsia="仿宋_GB2312" w:cs="仿宋_GB2312"/>
                <w:color w:val="auto"/>
                <w:kern w:val="2"/>
                <w:szCs w:val="20"/>
                <w:highlight w:val="none"/>
              </w:rPr>
              <w:t>数值</w:t>
            </w:r>
            <w:r>
              <w:rPr>
                <w:rFonts w:hint="eastAsia" w:ascii="仿宋_GB2312" w:hAnsi="仿宋_GB2312" w:eastAsia="仿宋_GB2312" w:cs="仿宋_GB2312"/>
                <w:color w:val="auto"/>
                <w:kern w:val="2"/>
                <w:szCs w:val="18"/>
                <w:highlight w:val="none"/>
              </w:rPr>
              <w:t>≥130%</w:t>
            </w:r>
          </w:p>
          <w:p>
            <w:pPr>
              <w:pStyle w:val="36"/>
              <w:spacing w:line="600" w:lineRule="exact"/>
              <w:jc w:val="left"/>
              <w:rPr>
                <w:rFonts w:hint="eastAsia" w:ascii="仿宋_GB2312" w:hAnsi="仿宋_GB2312" w:eastAsia="仿宋_GB2312" w:cs="仿宋_GB2312"/>
                <w:color w:val="auto"/>
                <w:kern w:val="2"/>
                <w:szCs w:val="18"/>
                <w:highlight w:val="none"/>
              </w:rPr>
            </w:pPr>
            <w:r>
              <w:rPr>
                <w:rFonts w:hint="eastAsia" w:ascii="仿宋_GB2312" w:hAnsi="仿宋_GB2312" w:eastAsia="仿宋_GB2312" w:cs="仿宋_GB2312"/>
                <w:color w:val="auto"/>
                <w:kern w:val="2"/>
                <w:szCs w:val="20"/>
                <w:highlight w:val="none"/>
              </w:rPr>
              <w:t>良好</w:t>
            </w:r>
            <w:r>
              <w:rPr>
                <w:rFonts w:hint="eastAsia" w:ascii="仿宋_GB2312" w:hAnsi="仿宋_GB2312" w:eastAsia="仿宋_GB2312" w:cs="仿宋_GB2312"/>
                <w:color w:val="auto"/>
                <w:kern w:val="2"/>
                <w:szCs w:val="18"/>
                <w:highlight w:val="none"/>
              </w:rPr>
              <w:t xml:space="preserve">   115%</w:t>
            </w:r>
            <w:r>
              <w:rPr>
                <w:rFonts w:hint="eastAsia" w:ascii="仿宋_GB2312" w:hAnsi="仿宋_GB2312" w:eastAsia="仿宋_GB2312" w:cs="仿宋_GB2312"/>
                <w:color w:val="auto"/>
                <w:kern w:val="2"/>
                <w:szCs w:val="20"/>
                <w:highlight w:val="none"/>
              </w:rPr>
              <w:t>≤数值</w:t>
            </w:r>
            <w:r>
              <w:rPr>
                <w:rFonts w:hint="eastAsia" w:ascii="仿宋_GB2312" w:hAnsi="仿宋_GB2312" w:eastAsia="仿宋_GB2312" w:cs="仿宋_GB2312"/>
                <w:color w:val="auto"/>
                <w:kern w:val="2"/>
                <w:szCs w:val="18"/>
                <w:highlight w:val="none"/>
              </w:rPr>
              <w:t>&lt;130%</w:t>
            </w:r>
          </w:p>
          <w:p>
            <w:pPr>
              <w:pStyle w:val="36"/>
              <w:spacing w:line="600" w:lineRule="exact"/>
              <w:jc w:val="left"/>
              <w:rPr>
                <w:rFonts w:hint="eastAsia" w:ascii="仿宋_GB2312" w:hAnsi="仿宋_GB2312" w:eastAsia="仿宋_GB2312" w:cs="仿宋_GB2312"/>
                <w:color w:val="auto"/>
                <w:kern w:val="2"/>
                <w:szCs w:val="18"/>
                <w:highlight w:val="none"/>
              </w:rPr>
            </w:pPr>
            <w:r>
              <w:rPr>
                <w:rFonts w:hint="eastAsia" w:ascii="仿宋_GB2312" w:hAnsi="仿宋_GB2312" w:eastAsia="仿宋_GB2312" w:cs="仿宋_GB2312"/>
                <w:color w:val="auto"/>
                <w:kern w:val="2"/>
                <w:szCs w:val="20"/>
                <w:highlight w:val="none"/>
              </w:rPr>
              <w:t>合格</w:t>
            </w:r>
            <w:r>
              <w:rPr>
                <w:rFonts w:hint="eastAsia" w:ascii="仿宋_GB2312" w:hAnsi="仿宋_GB2312" w:eastAsia="仿宋_GB2312" w:cs="仿宋_GB2312"/>
                <w:color w:val="auto"/>
                <w:kern w:val="2"/>
                <w:szCs w:val="18"/>
                <w:highlight w:val="none"/>
              </w:rPr>
              <w:t xml:space="preserve">    100%</w:t>
            </w:r>
            <w:r>
              <w:rPr>
                <w:rFonts w:hint="eastAsia" w:ascii="仿宋_GB2312" w:hAnsi="仿宋_GB2312" w:eastAsia="仿宋_GB2312" w:cs="仿宋_GB2312"/>
                <w:color w:val="auto"/>
                <w:kern w:val="2"/>
                <w:szCs w:val="20"/>
                <w:highlight w:val="none"/>
              </w:rPr>
              <w:t>≤数值</w:t>
            </w:r>
            <w:r>
              <w:rPr>
                <w:rFonts w:hint="eastAsia" w:ascii="仿宋_GB2312" w:hAnsi="仿宋_GB2312" w:eastAsia="仿宋_GB2312" w:cs="仿宋_GB2312"/>
                <w:color w:val="auto"/>
                <w:kern w:val="2"/>
                <w:szCs w:val="18"/>
                <w:highlight w:val="none"/>
              </w:rPr>
              <w:t>&lt;115%</w:t>
            </w:r>
          </w:p>
          <w:p>
            <w:pPr>
              <w:pStyle w:val="36"/>
              <w:spacing w:line="600" w:lineRule="exact"/>
              <w:jc w:val="left"/>
              <w:rPr>
                <w:rFonts w:hint="eastAsia" w:ascii="仿宋_GB2312" w:hAnsi="仿宋_GB2312" w:eastAsia="仿宋_GB2312" w:cs="仿宋_GB2312"/>
                <w:color w:val="auto"/>
                <w:kern w:val="2"/>
                <w:szCs w:val="18"/>
                <w:highlight w:val="none"/>
              </w:rPr>
            </w:pPr>
            <w:r>
              <w:rPr>
                <w:rFonts w:hint="eastAsia" w:ascii="仿宋_GB2312" w:hAnsi="仿宋_GB2312" w:eastAsia="仿宋_GB2312" w:cs="仿宋_GB2312"/>
                <w:color w:val="auto"/>
                <w:kern w:val="2"/>
                <w:szCs w:val="18"/>
                <w:highlight w:val="none"/>
              </w:rPr>
              <w:t>不合格        数值&lt;100%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pStyle w:val="36"/>
              <w:snapToGrid w:val="0"/>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20"/>
                <w:highlight w:val="none"/>
              </w:rPr>
              <w:t>流动性分类为低的基金产品</w:t>
            </w:r>
          </w:p>
        </w:tc>
        <w:tc>
          <w:tcPr>
            <w:tcW w:w="3100" w:type="dxa"/>
            <w:tcBorders>
              <w:top w:val="single" w:color="auto" w:sz="4" w:space="0"/>
              <w:left w:val="single" w:color="auto" w:sz="4" w:space="0"/>
              <w:bottom w:val="single" w:color="auto" w:sz="4" w:space="0"/>
              <w:right w:val="single" w:color="auto" w:sz="4" w:space="0"/>
            </w:tcBorders>
            <w:vAlign w:val="center"/>
          </w:tcPr>
          <w:p>
            <w:pPr>
              <w:pStyle w:val="36"/>
              <w:spacing w:line="600" w:lineRule="exact"/>
              <w:jc w:val="both"/>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时间加权报价差／最大</w:t>
            </w:r>
            <w:r>
              <w:rPr>
                <w:rFonts w:hint="eastAsia" w:ascii="仿宋_GB2312" w:hAnsi="仿宋_GB2312" w:eastAsia="仿宋_GB2312" w:cs="仿宋_GB2312"/>
                <w:color w:val="auto"/>
                <w:kern w:val="2"/>
                <w:szCs w:val="18"/>
                <w:highlight w:val="none"/>
              </w:rPr>
              <w:t>买卖价差</w:t>
            </w:r>
          </w:p>
        </w:tc>
        <w:tc>
          <w:tcPr>
            <w:tcW w:w="3355" w:type="dxa"/>
            <w:tcBorders>
              <w:top w:val="single" w:color="auto" w:sz="4" w:space="0"/>
              <w:left w:val="single" w:color="auto" w:sz="4" w:space="0"/>
              <w:bottom w:val="single" w:color="auto" w:sz="4" w:space="0"/>
              <w:right w:val="single" w:color="auto" w:sz="4" w:space="0"/>
            </w:tcBorders>
          </w:tcPr>
          <w:p>
            <w:pPr>
              <w:pStyle w:val="36"/>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18"/>
                <w:highlight w:val="none"/>
              </w:rPr>
              <w:t xml:space="preserve">优秀          </w:t>
            </w:r>
            <w:r>
              <w:rPr>
                <w:rFonts w:hint="eastAsia" w:ascii="仿宋_GB2312" w:hAnsi="仿宋_GB2312" w:eastAsia="仿宋_GB2312" w:cs="仿宋_GB2312"/>
                <w:kern w:val="2"/>
                <w:szCs w:val="20"/>
                <w:highlight w:val="none"/>
              </w:rPr>
              <w:t>数值≤80%</w:t>
            </w:r>
          </w:p>
          <w:p>
            <w:pPr>
              <w:pStyle w:val="36"/>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20"/>
                <w:highlight w:val="none"/>
              </w:rPr>
              <w:t>良好    80%&lt;数值≤100%</w:t>
            </w:r>
          </w:p>
          <w:p>
            <w:pPr>
              <w:pStyle w:val="36"/>
              <w:spacing w:line="600" w:lineRule="exact"/>
              <w:jc w:val="left"/>
              <w:rPr>
                <w:rFonts w:hint="eastAsia" w:ascii="仿宋_GB2312" w:hAnsi="仿宋_GB2312" w:eastAsia="仿宋_GB2312" w:cs="仿宋_GB2312"/>
                <w:kern w:val="2"/>
                <w:szCs w:val="20"/>
                <w:highlight w:val="none"/>
              </w:rPr>
            </w:pPr>
            <w:r>
              <w:rPr>
                <w:rFonts w:hint="eastAsia" w:ascii="仿宋_GB2312" w:hAnsi="仿宋_GB2312" w:eastAsia="仿宋_GB2312" w:cs="仿宋_GB2312"/>
                <w:kern w:val="2"/>
                <w:szCs w:val="20"/>
                <w:highlight w:val="none"/>
              </w:rPr>
              <w:t>合格   100%&lt;数值≤120%</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20"/>
                <w:highlight w:val="none"/>
              </w:rPr>
              <w:t>不合格       120%&lt;数值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仿宋_GB2312" w:hAnsi="仿宋_GB2312" w:eastAsia="仿宋_GB2312" w:cs="仿宋_GB2312"/>
                <w:color w:val="000000"/>
                <w:sz w:val="24"/>
                <w:szCs w:val="20"/>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6"/>
              <w:spacing w:line="600" w:lineRule="exact"/>
              <w:jc w:val="both"/>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连续竞价有效参与率／最低连续竞价参与率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 xml:space="preserve">优秀         </w:t>
            </w:r>
            <w:r>
              <w:rPr>
                <w:rFonts w:hint="eastAsia" w:ascii="仿宋_GB2312" w:hAnsi="仿宋_GB2312" w:eastAsia="仿宋_GB2312" w:cs="仿宋_GB2312"/>
                <w:kern w:val="2"/>
                <w:szCs w:val="20"/>
                <w:highlight w:val="none"/>
              </w:rPr>
              <w:t>数值</w:t>
            </w:r>
            <w:r>
              <w:rPr>
                <w:rFonts w:hint="eastAsia" w:ascii="仿宋_GB2312" w:hAnsi="仿宋_GB2312" w:eastAsia="仿宋_GB2312" w:cs="仿宋_GB2312"/>
                <w:kern w:val="2"/>
                <w:szCs w:val="18"/>
                <w:highlight w:val="none"/>
              </w:rPr>
              <w:t>≥115%</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20"/>
                <w:highlight w:val="none"/>
              </w:rPr>
              <w:t>良好</w:t>
            </w:r>
            <w:r>
              <w:rPr>
                <w:rFonts w:hint="eastAsia" w:ascii="仿宋_GB2312" w:hAnsi="仿宋_GB2312" w:eastAsia="仿宋_GB2312" w:cs="仿宋_GB2312"/>
                <w:kern w:val="2"/>
                <w:szCs w:val="18"/>
                <w:highlight w:val="none"/>
              </w:rPr>
              <w:t xml:space="preserve">    100%</w:t>
            </w:r>
            <w:r>
              <w:rPr>
                <w:rFonts w:hint="eastAsia" w:ascii="仿宋_GB2312" w:hAnsi="仿宋_GB2312" w:eastAsia="仿宋_GB2312" w:cs="仿宋_GB2312"/>
                <w:kern w:val="2"/>
                <w:szCs w:val="20"/>
                <w:highlight w:val="none"/>
              </w:rPr>
              <w:t>≤数值</w:t>
            </w:r>
            <w:r>
              <w:rPr>
                <w:rFonts w:hint="eastAsia" w:ascii="仿宋_GB2312" w:hAnsi="仿宋_GB2312" w:eastAsia="仿宋_GB2312" w:cs="仿宋_GB2312"/>
                <w:kern w:val="2"/>
                <w:szCs w:val="18"/>
                <w:highlight w:val="none"/>
              </w:rPr>
              <w:t>&lt;115%</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20"/>
                <w:highlight w:val="none"/>
              </w:rPr>
              <w:t>合格</w:t>
            </w:r>
            <w:r>
              <w:rPr>
                <w:rFonts w:hint="eastAsia" w:ascii="仿宋_GB2312" w:hAnsi="仿宋_GB2312" w:eastAsia="仿宋_GB2312" w:cs="仿宋_GB2312"/>
                <w:kern w:val="2"/>
                <w:szCs w:val="18"/>
                <w:highlight w:val="none"/>
              </w:rPr>
              <w:t xml:space="preserve">     85%</w:t>
            </w:r>
            <w:r>
              <w:rPr>
                <w:rFonts w:hint="eastAsia" w:ascii="仿宋_GB2312" w:hAnsi="仿宋_GB2312" w:eastAsia="仿宋_GB2312" w:cs="仿宋_GB2312"/>
                <w:kern w:val="2"/>
                <w:szCs w:val="20"/>
                <w:highlight w:val="none"/>
              </w:rPr>
              <w:t>≤数值</w:t>
            </w:r>
            <w:r>
              <w:rPr>
                <w:rFonts w:hint="eastAsia" w:ascii="仿宋_GB2312" w:hAnsi="仿宋_GB2312" w:eastAsia="仿宋_GB2312" w:cs="仿宋_GB2312"/>
                <w:kern w:val="2"/>
                <w:szCs w:val="18"/>
                <w:highlight w:val="none"/>
              </w:rPr>
              <w:t>&lt;100%</w:t>
            </w:r>
          </w:p>
          <w:p>
            <w:pPr>
              <w:pStyle w:val="36"/>
              <w:spacing w:line="600" w:lineRule="exact"/>
              <w:jc w:val="left"/>
              <w:rPr>
                <w:rFonts w:hint="eastAsia" w:ascii="仿宋_GB2312" w:hAnsi="仿宋_GB2312" w:eastAsia="仿宋_GB2312" w:cs="仿宋_GB2312"/>
                <w:kern w:val="2"/>
                <w:szCs w:val="18"/>
                <w:highlight w:val="none"/>
              </w:rPr>
            </w:pPr>
            <w:r>
              <w:rPr>
                <w:rFonts w:hint="eastAsia" w:ascii="仿宋_GB2312" w:hAnsi="仿宋_GB2312" w:eastAsia="仿宋_GB2312" w:cs="仿宋_GB2312"/>
                <w:kern w:val="2"/>
                <w:szCs w:val="18"/>
                <w:highlight w:val="none"/>
              </w:rPr>
              <w:t>不合格        数值&lt;85%</w:t>
            </w:r>
          </w:p>
        </w:tc>
      </w:tr>
    </w:tbl>
    <w:p>
      <w:pPr>
        <w:spacing w:line="600" w:lineRule="exact"/>
        <w:ind w:firstLine="600" w:firstLineChars="200"/>
        <w:rPr>
          <w:rFonts w:ascii="Times New Roman" w:hAnsi="Times New Roman" w:eastAsia="仿宋_GB2312"/>
          <w:sz w:val="30"/>
          <w:szCs w:val="30"/>
          <w:highlight w:val="none"/>
        </w:rPr>
      </w:pPr>
    </w:p>
    <w:p>
      <w:pPr>
        <w:spacing w:beforeLines="100" w:line="600" w:lineRule="exact"/>
        <w:ind w:firstLine="900" w:firstLineChars="300"/>
        <w:jc w:val="center"/>
        <w:rPr>
          <w:rFonts w:hint="eastAsia" w:ascii="仿宋_GB2312" w:hAnsi="仿宋_GB2312" w:eastAsia="仿宋_GB2312" w:cs="仿宋_GB2312"/>
          <w:b/>
          <w:sz w:val="24"/>
          <w:szCs w:val="24"/>
          <w:highlight w:val="none"/>
        </w:rPr>
      </w:pPr>
      <w:r>
        <w:rPr>
          <w:rFonts w:hint="eastAsia" w:ascii="Times New Roman" w:hAnsi="Times New Roman" w:eastAsia="仿宋_GB2312"/>
          <w:sz w:val="30"/>
          <w:szCs w:val="30"/>
          <w:highlight w:val="none"/>
        </w:rPr>
        <w:t>第二，根据上述两项指标的评价结果，得到当月度主做市商为特定基金提供主做市服务的评价结果（如表</w:t>
      </w:r>
      <w:r>
        <w:rPr>
          <w:rFonts w:ascii="Times New Roman" w:hAnsi="Times New Roman" w:eastAsia="仿宋_GB2312"/>
          <w:sz w:val="30"/>
          <w:szCs w:val="30"/>
          <w:highlight w:val="none"/>
        </w:rPr>
        <w:t>3</w:t>
      </w:r>
      <w:r>
        <w:rPr>
          <w:rFonts w:hint="eastAsia" w:ascii="Times New Roman" w:hAnsi="Times New Roman" w:eastAsia="仿宋_GB2312"/>
          <w:sz w:val="30"/>
          <w:szCs w:val="30"/>
          <w:highlight w:val="none"/>
        </w:rPr>
        <w:t>所示）：</w:t>
      </w:r>
      <w:r>
        <w:rPr>
          <w:rFonts w:hint="eastAsia" w:ascii="Times New Roman" w:hAnsi="Times New Roman" w:eastAsia="仿宋_GB2312"/>
          <w:sz w:val="30"/>
          <w:szCs w:val="30"/>
          <w:highlight w:val="none"/>
          <w:lang w:val="en-US" w:eastAsia="zh-CN"/>
        </w:rPr>
        <w:t xml:space="preserve">            </w:t>
      </w:r>
      <w:r>
        <w:rPr>
          <w:rFonts w:hint="eastAsia" w:ascii="仿宋_GB2312" w:hAnsi="仿宋_GB2312" w:eastAsia="仿宋_GB2312" w:cs="仿宋_GB2312"/>
          <w:b/>
          <w:sz w:val="24"/>
          <w:szCs w:val="24"/>
          <w:highlight w:val="none"/>
        </w:rPr>
        <w:t>表3：做市商为特定基金提供做市服务的评价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36"/>
        <w:gridCol w:w="1344"/>
        <w:gridCol w:w="1345"/>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4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hint="eastAsia" w:ascii="仿宋_GB2312" w:hAnsi="仿宋_GB2312" w:eastAsia="仿宋_GB2312" w:cs="仿宋_GB2312"/>
                <w:sz w:val="24"/>
                <w:szCs w:val="24"/>
                <w:highlight w:val="none"/>
              </w:rPr>
            </w:pPr>
          </w:p>
        </w:tc>
        <w:tc>
          <w:tcPr>
            <w:tcW w:w="5375"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时间加权报价差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仿宋_GB2312" w:hAnsi="仿宋_GB2312" w:eastAsia="仿宋_GB2312" w:cs="仿宋_GB2312"/>
                <w:b/>
                <w:bCs/>
                <w:kern w:val="44"/>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优秀</w:t>
            </w:r>
          </w:p>
        </w:tc>
        <w:tc>
          <w:tcPr>
            <w:tcW w:w="1345"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良好</w:t>
            </w:r>
          </w:p>
        </w:tc>
        <w:tc>
          <w:tcPr>
            <w:tcW w:w="1343"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jc w:val="righ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合格</w:t>
            </w:r>
          </w:p>
        </w:tc>
        <w:tc>
          <w:tcPr>
            <w:tcW w:w="1343"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04"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0"/>
                <w:highlight w:val="none"/>
              </w:rPr>
              <w:t>连续竞价有效参与率</w:t>
            </w: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优秀</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A</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A</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B</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仿宋_GB2312" w:hAnsi="仿宋_GB2312" w:eastAsia="仿宋_GB2312" w:cs="仿宋_GB2312"/>
                <w:b/>
                <w:bCs/>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良好</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A</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B</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仿宋_GB2312" w:hAnsi="仿宋_GB2312" w:eastAsia="仿宋_GB2312" w:cs="仿宋_GB2312"/>
                <w:b/>
                <w:bCs/>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合格</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B</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仿宋_GB2312" w:hAnsi="仿宋_GB2312" w:eastAsia="仿宋_GB2312" w:cs="仿宋_GB2312"/>
                <w:b/>
                <w:bCs/>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不合格</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D</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D</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D</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rPr>
              <w:t>D</w:t>
            </w:r>
          </w:p>
        </w:tc>
      </w:tr>
    </w:tbl>
    <w:p>
      <w:pPr>
        <w:spacing w:line="600" w:lineRule="exact"/>
        <w:ind w:firstLine="560" w:firstLineChars="200"/>
        <w:rPr>
          <w:rFonts w:ascii="仿宋_GB2312" w:eastAsia="仿宋_GB2312"/>
          <w:sz w:val="28"/>
          <w:szCs w:val="28"/>
          <w:highlight w:val="none"/>
        </w:rPr>
      </w:pP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第三，在考评周期内，若主做市商为特定基金提供主做市服务出现下列情形之一的，则该主做市商该产品的月度评价为</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）未达到最小平均每笔申报金额；</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）未达到最低集合竞价参与率；</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3</w:t>
      </w:r>
      <w:r>
        <w:rPr>
          <w:rFonts w:hint="eastAsia" w:ascii="Times New Roman" w:hAnsi="Times New Roman" w:eastAsia="仿宋_GB2312"/>
          <w:sz w:val="30"/>
          <w:szCs w:val="30"/>
          <w:highlight w:val="none"/>
        </w:rPr>
        <w:t>）未达到最低连续竞价参与率。</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第四，主做市商提供主做市服务满一个完整月度的，月度评价按成交量调整。成交量达到主做市服务平均成交量</w:t>
      </w:r>
      <w:r>
        <w:rPr>
          <w:rFonts w:ascii="Times New Roman" w:hAnsi="Times New Roman" w:eastAsia="仿宋_GB2312"/>
          <w:sz w:val="30"/>
          <w:szCs w:val="30"/>
          <w:highlight w:val="none"/>
        </w:rPr>
        <w:t>150%</w:t>
      </w:r>
      <w:r>
        <w:rPr>
          <w:rFonts w:hint="eastAsia" w:ascii="Times New Roman" w:hAnsi="Times New Roman" w:eastAsia="仿宋_GB2312"/>
          <w:sz w:val="30"/>
          <w:szCs w:val="30"/>
          <w:highlight w:val="none"/>
        </w:rPr>
        <w:t>的，评价结果上调一档（评价为</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的除外）。成交量低于主做市服务平均成交量</w:t>
      </w:r>
      <w:r>
        <w:rPr>
          <w:rFonts w:ascii="Times New Roman" w:hAnsi="Times New Roman" w:eastAsia="仿宋_GB2312"/>
          <w:sz w:val="30"/>
          <w:szCs w:val="30"/>
          <w:highlight w:val="none"/>
        </w:rPr>
        <w:t>50%</w:t>
      </w:r>
      <w:r>
        <w:rPr>
          <w:rFonts w:hint="eastAsia" w:ascii="Times New Roman" w:hAnsi="Times New Roman" w:eastAsia="仿宋_GB2312"/>
          <w:sz w:val="30"/>
          <w:szCs w:val="30"/>
          <w:highlight w:val="none"/>
        </w:rPr>
        <w:t>的，评价结果下调一档（评价为</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的除外）。</w:t>
      </w:r>
    </w:p>
    <w:p>
      <w:pPr>
        <w:widowControl/>
        <w:adjustRightInd w:val="0"/>
        <w:spacing w:line="600" w:lineRule="exact"/>
        <w:ind w:firstLine="600" w:firstLineChars="200"/>
        <w:contextualSpacing/>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第五，主做市商提供主做市服务满一个完整月度的，月度评价按净申购量调整。净申购量大于等于2000万份或净申购金额大于等于2000万元，且净申购量达到主做市服务平均净申购量</w:t>
      </w:r>
      <w:r>
        <w:rPr>
          <w:rFonts w:ascii="Times New Roman" w:hAnsi="Times New Roman" w:eastAsia="仿宋_GB2312"/>
          <w:sz w:val="30"/>
          <w:szCs w:val="30"/>
          <w:highlight w:val="none"/>
        </w:rPr>
        <w:t>150%</w:t>
      </w:r>
      <w:r>
        <w:rPr>
          <w:rFonts w:hint="eastAsia" w:ascii="Times New Roman" w:hAnsi="Times New Roman" w:eastAsia="仿宋_GB2312"/>
          <w:sz w:val="30"/>
          <w:szCs w:val="30"/>
          <w:highlight w:val="none"/>
        </w:rPr>
        <w:t>的，评价结果上调一档（评价最高为AA,评价为D的不予上调）。其中，净申购量=max(申购量-赎回量, 0)。</w:t>
      </w:r>
    </w:p>
    <w:p>
      <w:pPr>
        <w:widowControl/>
        <w:adjustRightInd w:val="0"/>
        <w:spacing w:line="600" w:lineRule="exact"/>
        <w:ind w:left="420" w:firstLine="180" w:firstLineChars="60"/>
        <w:contextualSpacing/>
        <w:rPr>
          <w:rFonts w:ascii="Times New Roman" w:hAnsi="Times New Roman" w:eastAsia="仿宋_GB2312"/>
          <w:sz w:val="30"/>
          <w:szCs w:val="30"/>
          <w:highlight w:val="none"/>
        </w:rPr>
      </w:pP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、一般做市服务标准</w:t>
      </w:r>
    </w:p>
    <w:p>
      <w:pPr>
        <w:widowControl/>
        <w:spacing w:line="600" w:lineRule="exact"/>
        <w:ind w:firstLine="600" w:firstLineChars="200"/>
        <w:rPr>
          <w:rFonts w:ascii="仿宋_GB2312" w:eastAsia="仿宋_GB2312"/>
          <w:sz w:val="30"/>
          <w:szCs w:val="30"/>
          <w:highlight w:val="none"/>
        </w:rPr>
      </w:pPr>
      <w:r>
        <w:rPr>
          <w:rFonts w:hint="eastAsia" w:ascii="Times New Roman" w:hAnsi="Times New Roman" w:eastAsia="仿宋_GB2312"/>
          <w:sz w:val="30"/>
          <w:szCs w:val="30"/>
          <w:highlight w:val="none"/>
        </w:rPr>
        <w:t>本所根据时间加权报价差、连续竞价有效参与率等评价指标，对主做市商为基金产品提供一般做市服务，或一般做市商为基金产品提供一般做市服务情况，按基金产品进行月度评价，分为</w:t>
      </w:r>
      <w:r>
        <w:rPr>
          <w:rFonts w:ascii="Times New Roman" w:hAnsi="Times New Roman" w:eastAsia="仿宋_GB2312"/>
          <w:sz w:val="30"/>
          <w:szCs w:val="30"/>
          <w:highlight w:val="none"/>
        </w:rPr>
        <w:t>A</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B</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C</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四档，</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档为不合格。具体评价步骤如下：</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第一，依据时间加权报价差和连续竞价有效参与率两项指标对特定上市基金当月度做市服务进行评价，每项指标均分为优秀、良好、合格、不合格四档（如表</w:t>
      </w: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所示）。</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第二，根据时间加权报价差和连续竞价有效参与率两项指标的评价结果，得到特定基金当月度做市服务评价（如表</w:t>
      </w:r>
      <w:r>
        <w:rPr>
          <w:rFonts w:ascii="Times New Roman" w:hAnsi="Times New Roman" w:eastAsia="仿宋_GB2312"/>
          <w:sz w:val="30"/>
          <w:szCs w:val="30"/>
          <w:highlight w:val="none"/>
        </w:rPr>
        <w:t>3</w:t>
      </w:r>
      <w:r>
        <w:rPr>
          <w:rFonts w:hint="eastAsia" w:ascii="Times New Roman" w:hAnsi="Times New Roman" w:eastAsia="仿宋_GB2312"/>
          <w:sz w:val="30"/>
          <w:szCs w:val="30"/>
          <w:highlight w:val="none"/>
        </w:rPr>
        <w:t>所示）。</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第三，在考评周期内，若做市商特定基金做市服务出现下列情形之一的，则该做市商该产品的月度评价为</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）未达到最小平均每笔申报金额；</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）未达到最低集合竞价参与率；</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3</w:t>
      </w:r>
      <w:r>
        <w:rPr>
          <w:rFonts w:hint="eastAsia" w:ascii="Times New Roman" w:hAnsi="Times New Roman" w:eastAsia="仿宋_GB2312"/>
          <w:sz w:val="30"/>
          <w:szCs w:val="30"/>
          <w:highlight w:val="none"/>
        </w:rPr>
        <w:t>）未达到最低连续竞价参与率。</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（二）主做市商年度综合评价</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根据主做市商为基金产品提供主做市服务的月度评价情况，进行主做市商年度综合评价。主做市商为基金产品提供一般做市服务情况不纳入主做市商年度综合评价。具体评价步骤如下：</w:t>
      </w:r>
    </w:p>
    <w:p>
      <w:pPr>
        <w:spacing w:line="600" w:lineRule="exact"/>
        <w:ind w:firstLine="600" w:firstLineChars="200"/>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第一，主做市商为多个基金产品提供主做市服务的，将各月度评价按照表</w:t>
      </w:r>
      <w:r>
        <w:rPr>
          <w:rFonts w:ascii="Times New Roman" w:hAnsi="Times New Roman" w:eastAsia="仿宋_GB2312"/>
          <w:sz w:val="30"/>
          <w:szCs w:val="30"/>
          <w:highlight w:val="none"/>
        </w:rPr>
        <w:t>4</w:t>
      </w:r>
      <w:r>
        <w:rPr>
          <w:rFonts w:hint="eastAsia" w:ascii="Times New Roman" w:hAnsi="Times New Roman" w:eastAsia="仿宋_GB2312"/>
          <w:sz w:val="30"/>
          <w:szCs w:val="30"/>
          <w:highlight w:val="none"/>
        </w:rPr>
        <w:t>中的对应关系转换为评分，加总后得到年度总分。</w:t>
      </w:r>
    </w:p>
    <w:p>
      <w:pPr>
        <w:spacing w:beforeLines="100" w:line="600" w:lineRule="exact"/>
        <w:ind w:firstLine="361"/>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表4：做市服务评价赋值</w:t>
      </w:r>
    </w:p>
    <w:tbl>
      <w:tblPr>
        <w:tblStyle w:val="16"/>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做市服务评价</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评分赋值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C</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D</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r>
    </w:tbl>
    <w:p>
      <w:pPr>
        <w:widowControl/>
        <w:adjustRightInd w:val="0"/>
        <w:spacing w:line="600" w:lineRule="exact"/>
        <w:ind w:firstLine="600" w:firstLineChars="200"/>
        <w:rPr>
          <w:rFonts w:eastAsia="仿宋_GB2312"/>
          <w:sz w:val="30"/>
          <w:szCs w:val="30"/>
          <w:highlight w:val="none"/>
        </w:rPr>
      </w:pPr>
      <w:r>
        <w:rPr>
          <w:rFonts w:hint="eastAsia" w:ascii="仿宋_GB2312" w:hAnsi="仿宋" w:eastAsia="仿宋_GB2312"/>
          <w:sz w:val="30"/>
          <w:szCs w:val="30"/>
          <w:highlight w:val="none"/>
        </w:rPr>
        <w:t>第二，根据公募REITs做市评价，调高年度总分。对提供主做市服务的特定公募REITs，每次标的月度做市评价达到A，年度总分可增加1分; 每次达到AA，年度总分可增加2分。</w:t>
      </w:r>
    </w:p>
    <w:p>
      <w:pPr>
        <w:ind w:firstLine="600"/>
        <w:rPr>
          <w:rFonts w:ascii="仿宋_GB2312" w:eastAsia="仿宋_GB2312"/>
          <w:sz w:val="30"/>
          <w:szCs w:val="30"/>
          <w:highlight w:val="none"/>
        </w:rPr>
      </w:pPr>
      <w:r>
        <w:rPr>
          <w:rFonts w:hint="eastAsia" w:ascii="仿宋_GB2312" w:hAnsi="仿宋" w:eastAsia="仿宋_GB2312"/>
          <w:sz w:val="30"/>
          <w:szCs w:val="30"/>
          <w:highlight w:val="none"/>
        </w:rPr>
        <w:t>第三，根据</w:t>
      </w:r>
      <w:r>
        <w:rPr>
          <w:rFonts w:hint="eastAsia" w:ascii="仿宋_GB2312" w:eastAsia="仿宋_GB2312"/>
          <w:sz w:val="30"/>
          <w:szCs w:val="30"/>
          <w:highlight w:val="none"/>
        </w:rPr>
        <w:t>债券ETF</w:t>
      </w:r>
      <w:r>
        <w:rPr>
          <w:rFonts w:hint="eastAsia" w:ascii="仿宋_GB2312" w:hAnsi="仿宋" w:eastAsia="仿宋_GB2312"/>
          <w:sz w:val="30"/>
          <w:szCs w:val="30"/>
          <w:highlight w:val="none"/>
        </w:rPr>
        <w:t>做市评价，调高年度总分。</w:t>
      </w:r>
      <w:r>
        <w:rPr>
          <w:rFonts w:hint="eastAsia" w:ascii="仿宋_GB2312" w:eastAsia="仿宋_GB2312"/>
          <w:sz w:val="30"/>
          <w:szCs w:val="30"/>
          <w:highlight w:val="none"/>
        </w:rPr>
        <w:t>对提供主做市服务的特定债券ETF，每次标的月度做市评价达到A，年度总分可增加1分; 每次达到AA，年度总分可增加2分。</w:t>
      </w:r>
    </w:p>
    <w:p>
      <w:pPr>
        <w:spacing w:line="600" w:lineRule="exact"/>
        <w:ind w:firstLine="600" w:firstLineChars="200"/>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第四，对</w:t>
      </w:r>
      <w:r>
        <w:rPr>
          <w:rFonts w:hint="eastAsia" w:ascii="仿宋_GB2312" w:hAnsi="仿宋" w:eastAsia="仿宋_GB2312"/>
          <w:sz w:val="30"/>
          <w:szCs w:val="30"/>
          <w:highlight w:val="none"/>
        </w:rPr>
        <w:t>年度总分进行</w:t>
      </w:r>
      <w:r>
        <w:rPr>
          <w:rFonts w:hint="eastAsia" w:ascii="Times New Roman" w:hAnsi="Times New Roman" w:eastAsia="仿宋_GB2312"/>
          <w:sz w:val="30"/>
          <w:szCs w:val="30"/>
          <w:highlight w:val="none"/>
        </w:rPr>
        <w:t>算术平均。</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第五，统计主做市商考评年度中提供主做市服务满120个交易日的基金总数，并求得中位数数量。主做市商提供主做市服务的基金数量达到中位数</w:t>
      </w:r>
      <w:r>
        <w:rPr>
          <w:rFonts w:ascii="Times New Roman" w:hAnsi="Times New Roman" w:eastAsia="仿宋_GB2312"/>
          <w:sz w:val="30"/>
          <w:szCs w:val="30"/>
          <w:highlight w:val="none"/>
        </w:rPr>
        <w:t>150%</w:t>
      </w:r>
      <w:r>
        <w:rPr>
          <w:rFonts w:hint="eastAsia" w:ascii="Times New Roman" w:hAnsi="Times New Roman" w:eastAsia="仿宋_GB2312"/>
          <w:sz w:val="30"/>
          <w:szCs w:val="30"/>
          <w:highlight w:val="none"/>
        </w:rPr>
        <w:t>（含）的，上调平均分</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分（最高到7 分，原有评分低于</w:t>
      </w:r>
      <w:r>
        <w:rPr>
          <w:rFonts w:ascii="Times New Roman" w:hAnsi="Times New Roman" w:eastAsia="仿宋_GB2312"/>
          <w:sz w:val="30"/>
          <w:szCs w:val="30"/>
          <w:highlight w:val="none"/>
        </w:rPr>
        <w:t>1.0</w:t>
      </w:r>
      <w:r>
        <w:rPr>
          <w:rFonts w:hint="eastAsia" w:ascii="Times New Roman" w:hAnsi="Times New Roman" w:eastAsia="仿宋_GB2312"/>
          <w:sz w:val="30"/>
          <w:szCs w:val="30"/>
          <w:highlight w:val="none"/>
        </w:rPr>
        <w:t xml:space="preserve">的不予上调）；不到中位数30 </w:t>
      </w: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（不含）的，下调平均分</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分（原有评分低于</w:t>
      </w:r>
      <w:r>
        <w:rPr>
          <w:rFonts w:ascii="Times New Roman" w:hAnsi="Times New Roman" w:eastAsia="仿宋_GB2312"/>
          <w:sz w:val="30"/>
          <w:szCs w:val="30"/>
          <w:highlight w:val="none"/>
        </w:rPr>
        <w:t>1.0</w:t>
      </w:r>
      <w:r>
        <w:rPr>
          <w:rFonts w:hint="eastAsia" w:ascii="Times New Roman" w:hAnsi="Times New Roman" w:eastAsia="仿宋_GB2312"/>
          <w:sz w:val="30"/>
          <w:szCs w:val="30"/>
          <w:highlight w:val="none"/>
        </w:rPr>
        <w:t>的，最低调至</w:t>
      </w:r>
      <w:r>
        <w:rPr>
          <w:rFonts w:ascii="Times New Roman" w:hAnsi="Times New Roman" w:eastAsia="仿宋_GB2312"/>
          <w:sz w:val="30"/>
          <w:szCs w:val="30"/>
          <w:highlight w:val="none"/>
        </w:rPr>
        <w:t>0</w:t>
      </w:r>
      <w:r>
        <w:rPr>
          <w:rFonts w:hint="eastAsia" w:ascii="Times New Roman" w:hAnsi="Times New Roman" w:eastAsia="仿宋_GB2312"/>
          <w:sz w:val="30"/>
          <w:szCs w:val="30"/>
          <w:highlight w:val="none"/>
        </w:rPr>
        <w:t>分</w:t>
      </w:r>
      <w:r>
        <w:rPr>
          <w:rFonts w:hint="eastAsia" w:ascii="仿宋_GB2312" w:hAnsi="Times New Roman" w:eastAsia="仿宋_GB2312"/>
          <w:sz w:val="30"/>
          <w:szCs w:val="30"/>
          <w:highlight w:val="none"/>
        </w:rPr>
        <w:t>；</w:t>
      </w:r>
      <w:r>
        <w:rPr>
          <w:rFonts w:hint="eastAsia" w:ascii="仿宋_GB2312" w:hAnsi="黑体" w:eastAsia="仿宋_GB2312"/>
          <w:sz w:val="30"/>
          <w:szCs w:val="30"/>
          <w:highlight w:val="none"/>
        </w:rPr>
        <w:t>成为主做市商不满12个月的机构，其数量纳入中位数统计,但可豁免下调</w:t>
      </w:r>
      <w:r>
        <w:rPr>
          <w:rFonts w:hint="eastAsia" w:ascii="Times New Roman" w:hAnsi="Times New Roman" w:eastAsia="仿宋_GB2312"/>
          <w:sz w:val="30"/>
          <w:szCs w:val="30"/>
          <w:highlight w:val="none"/>
        </w:rPr>
        <w:t>）。得到初始年度平均分。</w:t>
      </w:r>
    </w:p>
    <w:p>
      <w:pPr>
        <w:spacing w:line="600" w:lineRule="exact"/>
        <w:ind w:firstLine="600" w:firstLineChars="200"/>
        <w:jc w:val="left"/>
        <w:rPr>
          <w:rFonts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第六，计算调整后年度平均分。豁免债券ETF和货币ETF的考评，其他步骤不变，按照第一到第五步进行计算。得到调整后年度平均分。</w:t>
      </w:r>
    </w:p>
    <w:p>
      <w:pPr>
        <w:spacing w:line="600" w:lineRule="exact"/>
        <w:ind w:firstLine="600" w:firstLineChars="200"/>
        <w:jc w:val="left"/>
        <w:rPr>
          <w:rFonts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第七，比较初始年度平均分和调整后年度平均分：若前者分数更高，将前者作为年度综合评分；反之将后者作为年度综合评分。</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第八，按照表</w:t>
      </w:r>
      <w:r>
        <w:rPr>
          <w:rFonts w:ascii="Times New Roman" w:hAnsi="Times New Roman" w:eastAsia="仿宋_GB2312"/>
          <w:sz w:val="30"/>
          <w:szCs w:val="30"/>
          <w:highlight w:val="none"/>
        </w:rPr>
        <w:t>5</w:t>
      </w:r>
      <w:r>
        <w:rPr>
          <w:rFonts w:hint="eastAsia" w:ascii="Times New Roman" w:hAnsi="Times New Roman" w:eastAsia="仿宋_GB2312"/>
          <w:sz w:val="30"/>
          <w:szCs w:val="30"/>
          <w:highlight w:val="none"/>
        </w:rPr>
        <w:t>中的对应关系，将年度综合评分转换为综合评价，分为</w:t>
      </w:r>
      <w:r>
        <w:rPr>
          <w:rFonts w:ascii="Times New Roman" w:hAnsi="Times New Roman" w:eastAsia="仿宋_GB2312"/>
          <w:sz w:val="30"/>
          <w:szCs w:val="30"/>
          <w:highlight w:val="none"/>
        </w:rPr>
        <w:t>AA</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A</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B</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C</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五档。</w:t>
      </w:r>
    </w:p>
    <w:p>
      <w:pPr>
        <w:spacing w:line="600" w:lineRule="exact"/>
        <w:ind w:firstLine="363"/>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表5：主做市商年度评分转换评价</w:t>
      </w:r>
    </w:p>
    <w:tbl>
      <w:tblPr>
        <w:tblStyle w:val="16"/>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年度综合评分</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做市服务评价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[3.75,7.0]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[2.75,3.75)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[1.75,2.75)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[1.0,1.75)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[0,1.0)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D</w:t>
            </w:r>
          </w:p>
        </w:tc>
      </w:tr>
    </w:tbl>
    <w:p>
      <w:pPr>
        <w:spacing w:line="600" w:lineRule="exact"/>
        <w:rPr>
          <w:rFonts w:ascii="Times New Roman" w:hAnsi="Times New Roman" w:eastAsia="仿宋_GB2312"/>
          <w:sz w:val="30"/>
          <w:szCs w:val="30"/>
          <w:highlight w:val="none"/>
        </w:rPr>
      </w:pP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（三）一般做市商年度综合评价</w:t>
      </w:r>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根据一般做市商为基金产品提供一般做市服务的月度评价情况，进行年度综合评价。具体评价步骤如下：</w:t>
      </w:r>
    </w:p>
    <w:p>
      <w:pPr>
        <w:spacing w:line="600" w:lineRule="exact"/>
        <w:ind w:firstLine="600" w:firstLineChars="200"/>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第一，一般做市商为多个基金产品提供一般做市服务的，将各月度评价按照表6中的对应关系转换为评分，进行算术平均，得到年度综合评分。</w:t>
      </w:r>
    </w:p>
    <w:p>
      <w:pPr>
        <w:spacing w:line="600" w:lineRule="exact"/>
        <w:ind w:firstLine="363"/>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表6：做市服务评价赋值</w:t>
      </w:r>
    </w:p>
    <w:tbl>
      <w:tblPr>
        <w:tblStyle w:val="16"/>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做市服务评价</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评分赋值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C</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D</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r>
    </w:tbl>
    <w:p>
      <w:pPr>
        <w:spacing w:beforeLines="100" w:line="600" w:lineRule="exact"/>
        <w:ind w:firstLine="600" w:firstLineChars="200"/>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第二，按照表7中的对应关系，将年度综合评分转换为综合评价，分为</w:t>
      </w:r>
      <w:r>
        <w:rPr>
          <w:rFonts w:ascii="Times New Roman" w:hAnsi="Times New Roman" w:eastAsia="仿宋_GB2312"/>
          <w:sz w:val="30"/>
          <w:szCs w:val="30"/>
          <w:highlight w:val="none"/>
        </w:rPr>
        <w:t>A</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B</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C</w:t>
      </w:r>
      <w:r>
        <w:rPr>
          <w:rFonts w:hint="eastAsia" w:ascii="Times New Roman" w:hAnsi="Times New Roman" w:eastAsia="仿宋_GB2312"/>
          <w:sz w:val="30"/>
          <w:szCs w:val="30"/>
          <w:highlight w:val="none"/>
        </w:rPr>
        <w:t>、</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四档。</w:t>
      </w:r>
    </w:p>
    <w:p>
      <w:pPr>
        <w:spacing w:line="600" w:lineRule="exact"/>
        <w:ind w:firstLine="361"/>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表7：一般做市商年度评分转换评价</w:t>
      </w:r>
    </w:p>
    <w:tbl>
      <w:tblPr>
        <w:tblStyle w:val="16"/>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年度综合评分</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做市服务评价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[2.75，3.0]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[1.75,2.75)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[1.0,1.75)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[0,1.0)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D</w:t>
            </w:r>
          </w:p>
        </w:tc>
      </w:tr>
    </w:tbl>
    <w:p>
      <w:pPr>
        <w:widowControl/>
        <w:spacing w:line="600" w:lineRule="exact"/>
        <w:rPr>
          <w:rFonts w:hint="eastAsia" w:ascii="仿宋_GB2312" w:hAnsi="仿宋_GB2312" w:eastAsia="仿宋_GB2312" w:cs="仿宋_GB2312"/>
          <w:sz w:val="24"/>
          <w:szCs w:val="24"/>
          <w:highlight w:val="none"/>
        </w:rPr>
      </w:pPr>
    </w:p>
    <w:p>
      <w:pPr>
        <w:pStyle w:val="3"/>
        <w:spacing w:before="156" w:line="600" w:lineRule="exact"/>
        <w:ind w:firstLine="562"/>
        <w:rPr>
          <w:rFonts w:ascii="仿宋_GB2312" w:hAnsi="黑体" w:eastAsia="仿宋_GB2312"/>
          <w:kern w:val="44"/>
          <w:sz w:val="30"/>
          <w:szCs w:val="30"/>
          <w:highlight w:val="none"/>
        </w:rPr>
      </w:pPr>
      <w:bookmarkStart w:id="72" w:name="_Toc120180545"/>
      <w:bookmarkStart w:id="73" w:name="_Toc4734"/>
      <w:bookmarkStart w:id="74" w:name="_Toc12472"/>
      <w:bookmarkStart w:id="75" w:name="_Toc7955"/>
      <w:r>
        <w:rPr>
          <w:rFonts w:hint="eastAsia" w:ascii="仿宋_GB2312" w:hAnsi="黑体" w:eastAsia="仿宋_GB2312"/>
          <w:bCs w:val="0"/>
          <w:kern w:val="44"/>
          <w:sz w:val="30"/>
          <w:szCs w:val="30"/>
          <w:highlight w:val="none"/>
        </w:rPr>
        <w:t>六、年度末位淘汰</w:t>
      </w:r>
      <w:bookmarkEnd w:id="72"/>
      <w:bookmarkEnd w:id="73"/>
      <w:bookmarkEnd w:id="74"/>
      <w:bookmarkEnd w:id="75"/>
    </w:p>
    <w:p>
      <w:pPr>
        <w:widowControl/>
        <w:adjustRightInd w:val="0"/>
        <w:spacing w:beforeLines="50"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（一）主做市商</w:t>
      </w:r>
    </w:p>
    <w:p>
      <w:pPr>
        <w:pStyle w:val="34"/>
        <w:snapToGrid w:val="0"/>
        <w:spacing w:before="156" w:line="600" w:lineRule="exact"/>
        <w:ind w:firstLine="600"/>
        <w:rPr>
          <w:rFonts w:hint="eastAsia" w:ascii="仿宋_GB2312" w:hAnsi="宋体" w:eastAsia="仿宋_GB2312" w:cs="宋体"/>
          <w:sz w:val="30"/>
          <w:szCs w:val="30"/>
          <w:highlight w:val="none"/>
          <w:lang w:eastAsia="zh-CN"/>
        </w:rPr>
      </w:pPr>
      <w:r>
        <w:rPr>
          <w:rFonts w:hint="eastAsia" w:ascii="Times New Roman" w:hAnsi="Times New Roman" w:eastAsia="仿宋_GB2312"/>
          <w:sz w:val="30"/>
          <w:szCs w:val="30"/>
          <w:highlight w:val="none"/>
        </w:rPr>
        <w:t>成为主做市商满6个月，且年度综合评价为</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；或者年度综合考评为</w:t>
      </w:r>
      <w:r>
        <w:rPr>
          <w:rFonts w:ascii="Times New Roman" w:hAnsi="Times New Roman" w:eastAsia="仿宋_GB2312"/>
          <w:sz w:val="30"/>
          <w:szCs w:val="30"/>
          <w:highlight w:val="none"/>
        </w:rPr>
        <w:t>C</w:t>
      </w:r>
      <w:r>
        <w:rPr>
          <w:rFonts w:hint="eastAsia" w:ascii="Times New Roman" w:hAnsi="Times New Roman" w:eastAsia="仿宋_GB2312"/>
          <w:sz w:val="30"/>
          <w:szCs w:val="30"/>
          <w:highlight w:val="none"/>
        </w:rPr>
        <w:t>且排名处于末位</w:t>
      </w:r>
      <w:r>
        <w:rPr>
          <w:rFonts w:ascii="Times New Roman" w:hAnsi="Times New Roman" w:eastAsia="仿宋_GB2312"/>
          <w:sz w:val="30"/>
          <w:szCs w:val="30"/>
          <w:highlight w:val="none"/>
        </w:rPr>
        <w:t>10%</w:t>
      </w:r>
      <w:r>
        <w:rPr>
          <w:rFonts w:hint="eastAsia" w:ascii="Times New Roman" w:hAnsi="Times New Roman" w:eastAsia="仿宋_GB2312"/>
          <w:sz w:val="30"/>
          <w:szCs w:val="30"/>
          <w:highlight w:val="none"/>
        </w:rPr>
        <w:t>的主做市商；或者</w:t>
      </w:r>
      <w:r>
        <w:rPr>
          <w:rFonts w:hint="eastAsia" w:ascii="仿宋_GB2312" w:hAnsi="宋体" w:eastAsia="仿宋_GB2312" w:cs="宋体"/>
          <w:sz w:val="30"/>
          <w:szCs w:val="30"/>
          <w:highlight w:val="none"/>
        </w:rPr>
        <w:t>超过6个月不为任何基金提供</w:t>
      </w:r>
      <w:r>
        <w:rPr>
          <w:rFonts w:hint="eastAsia" w:ascii="仿宋_GB2312" w:hAnsi="宋体" w:eastAsia="仿宋_GB2312" w:cs="宋体"/>
          <w:sz w:val="30"/>
          <w:szCs w:val="30"/>
          <w:highlight w:val="none"/>
          <w:lang w:eastAsia="zh-CN"/>
        </w:rPr>
        <w:t>主</w:t>
      </w:r>
      <w:r>
        <w:rPr>
          <w:rFonts w:hint="eastAsia" w:ascii="仿宋_GB2312" w:hAnsi="宋体" w:eastAsia="仿宋_GB2312" w:cs="宋体"/>
          <w:sz w:val="30"/>
          <w:szCs w:val="30"/>
          <w:highlight w:val="none"/>
        </w:rPr>
        <w:t>做市服务</w:t>
      </w:r>
      <w:r>
        <w:rPr>
          <w:rFonts w:hint="eastAsia" w:ascii="仿宋_GB2312" w:hAnsi="宋体" w:eastAsia="仿宋_GB2312" w:cs="宋体"/>
          <w:sz w:val="30"/>
          <w:szCs w:val="30"/>
          <w:highlight w:val="none"/>
          <w:lang w:eastAsia="zh-CN"/>
        </w:rPr>
        <w:t>。</w:t>
      </w:r>
    </w:p>
    <w:p>
      <w:pPr>
        <w:pStyle w:val="34"/>
        <w:snapToGrid w:val="0"/>
        <w:spacing w:before="156" w:line="600" w:lineRule="exact"/>
        <w:ind w:firstLine="600"/>
        <w:rPr>
          <w:rFonts w:ascii="仿宋_GB2312" w:hAnsi="宋体" w:eastAsia="仿宋_GB2312" w:cs="宋体"/>
          <w:sz w:val="30"/>
          <w:szCs w:val="30"/>
          <w:highlight w:val="none"/>
        </w:rPr>
      </w:pPr>
      <w:r>
        <w:rPr>
          <w:rFonts w:hint="eastAsia" w:ascii="Times New Roman" w:hAnsi="Times New Roman" w:eastAsia="仿宋_GB2312"/>
          <w:sz w:val="30"/>
          <w:szCs w:val="30"/>
          <w:highlight w:val="none"/>
        </w:rPr>
        <w:t>予以淘汰</w:t>
      </w:r>
      <w:r>
        <w:rPr>
          <w:rFonts w:hint="eastAsia" w:ascii="仿宋_GB2312" w:hAnsi="宋体" w:eastAsia="仿宋_GB2312" w:cs="宋体"/>
          <w:sz w:val="30"/>
          <w:szCs w:val="30"/>
          <w:highlight w:val="none"/>
        </w:rPr>
        <w:t>为一般做市商，且6个月内不得重新申请主做市商。</w:t>
      </w:r>
    </w:p>
    <w:p>
      <w:pPr>
        <w:widowControl/>
        <w:adjustRightInd w:val="0"/>
        <w:spacing w:beforeLines="50"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（二）一般做市商</w:t>
      </w:r>
    </w:p>
    <w:p>
      <w:pPr>
        <w:widowControl/>
        <w:adjustRightInd w:val="0"/>
        <w:spacing w:beforeLines="50"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对于一般做市商，不进行年度末位淘汰。</w:t>
      </w:r>
    </w:p>
    <w:p>
      <w:pPr>
        <w:pStyle w:val="3"/>
        <w:spacing w:before="156" w:line="600" w:lineRule="exact"/>
        <w:ind w:firstLine="562"/>
        <w:rPr>
          <w:rFonts w:ascii="仿宋_GB2312" w:hAnsi="黑体" w:eastAsia="仿宋_GB2312"/>
          <w:b w:val="0"/>
          <w:kern w:val="44"/>
          <w:sz w:val="30"/>
          <w:szCs w:val="30"/>
          <w:highlight w:val="none"/>
        </w:rPr>
      </w:pPr>
      <w:bookmarkStart w:id="76" w:name="_Toc120180546"/>
      <w:bookmarkStart w:id="77" w:name="_Toc11292"/>
      <w:bookmarkStart w:id="78" w:name="_Toc7262"/>
      <w:bookmarkStart w:id="79" w:name="_Toc3271"/>
      <w:r>
        <w:rPr>
          <w:rFonts w:hint="eastAsia" w:ascii="仿宋_GB2312" w:hAnsi="黑体" w:eastAsia="仿宋_GB2312"/>
          <w:kern w:val="44"/>
          <w:sz w:val="30"/>
          <w:szCs w:val="30"/>
          <w:highlight w:val="none"/>
        </w:rPr>
        <w:t>七、评价调整</w:t>
      </w:r>
      <w:bookmarkEnd w:id="76"/>
      <w:bookmarkEnd w:id="77"/>
      <w:bookmarkEnd w:id="78"/>
      <w:bookmarkEnd w:id="79"/>
    </w:p>
    <w:p>
      <w:pPr>
        <w:widowControl/>
        <w:adjustRightInd w:val="0"/>
        <w:spacing w:beforeLines="50"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本所可根据有关规定对做市商评价结果进行调整。</w:t>
      </w:r>
    </w:p>
    <w:p>
      <w:pPr>
        <w:widowControl/>
        <w:adjustRightInd w:val="0"/>
        <w:spacing w:beforeLines="50"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（一）做市商月度评价调整</w:t>
      </w:r>
    </w:p>
    <w:p>
      <w:pPr>
        <w:ind w:firstLine="600" w:firstLineChars="200"/>
        <w:rPr>
          <w:rFonts w:ascii="仿宋_GB2312" w:hAnsi="Times New Roman" w:eastAsia="仿宋_GB2312"/>
          <w:sz w:val="28"/>
          <w:szCs w:val="28"/>
          <w:highlight w:val="none"/>
        </w:rPr>
      </w:pPr>
      <w:r>
        <w:rPr>
          <w:rFonts w:hint="eastAsia" w:ascii="Times New Roman" w:hAnsi="Times New Roman" w:eastAsia="仿宋_GB2312"/>
          <w:sz w:val="30"/>
          <w:szCs w:val="30"/>
          <w:highlight w:val="none"/>
        </w:rPr>
        <w:t>做市商月度评价周期内</w:t>
      </w:r>
      <w:r>
        <w:rPr>
          <w:rFonts w:hint="eastAsia" w:ascii="Times New Roman" w:hAnsi="Times New Roman" w:eastAsia="仿宋_GB2312"/>
          <w:sz w:val="30"/>
          <w:szCs w:val="30"/>
          <w:highlight w:val="none"/>
          <w:lang w:eastAsia="zh-CN"/>
        </w:rPr>
        <w:t>会员</w:t>
      </w:r>
      <w:r>
        <w:rPr>
          <w:rFonts w:hint="eastAsia" w:ascii="Times New Roman" w:hAnsi="Times New Roman" w:eastAsia="仿宋_GB2312"/>
          <w:sz w:val="30"/>
          <w:szCs w:val="30"/>
          <w:highlight w:val="none"/>
        </w:rPr>
        <w:t>因做市业务被本所采取监管措施</w:t>
      </w:r>
      <w:r>
        <w:rPr>
          <w:rFonts w:ascii="Times New Roman" w:hAnsi="Times New Roman" w:eastAsia="仿宋_GB2312"/>
          <w:sz w:val="30"/>
          <w:szCs w:val="30"/>
          <w:highlight w:val="none"/>
        </w:rPr>
        <w:t>1</w:t>
      </w:r>
      <w:r>
        <w:rPr>
          <w:rFonts w:hint="eastAsia" w:ascii="Times New Roman" w:hAnsi="Times New Roman" w:eastAsia="仿宋_GB2312"/>
          <w:sz w:val="30"/>
          <w:szCs w:val="30"/>
          <w:highlight w:val="none"/>
        </w:rPr>
        <w:t>次的，当月</w:t>
      </w:r>
      <w:r>
        <w:rPr>
          <w:rFonts w:hint="eastAsia" w:ascii="仿宋_GB2312" w:hAnsi="Times New Roman" w:eastAsia="仿宋_GB2312"/>
          <w:sz w:val="30"/>
          <w:szCs w:val="30"/>
          <w:highlight w:val="none"/>
        </w:rPr>
        <w:t>所有月度</w:t>
      </w:r>
      <w:r>
        <w:rPr>
          <w:rFonts w:hint="eastAsia" w:ascii="Times New Roman" w:hAnsi="Times New Roman" w:eastAsia="仿宋_GB2312"/>
          <w:sz w:val="30"/>
          <w:szCs w:val="30"/>
          <w:highlight w:val="none"/>
        </w:rPr>
        <w:t>评价下调一档；</w:t>
      </w:r>
      <w:r>
        <w:rPr>
          <w:rFonts w:hint="eastAsia" w:ascii="仿宋_GB2312" w:hAnsi="宋体" w:eastAsia="仿宋_GB2312" w:cs="宋体"/>
          <w:color w:val="000000"/>
          <w:kern w:val="0"/>
          <w:sz w:val="30"/>
          <w:szCs w:val="30"/>
          <w:highlight w:val="none"/>
        </w:rPr>
        <w:t>会员</w:t>
      </w:r>
      <w:r>
        <w:rPr>
          <w:rFonts w:hint="eastAsia" w:ascii="Times New Roman" w:hAnsi="Times New Roman" w:eastAsia="仿宋_GB2312"/>
          <w:sz w:val="30"/>
          <w:szCs w:val="30"/>
          <w:highlight w:val="none"/>
        </w:rPr>
        <w:t>被本所采取监管措施</w:t>
      </w:r>
      <w:r>
        <w:rPr>
          <w:rFonts w:ascii="Times New Roman" w:hAnsi="Times New Roman" w:eastAsia="仿宋_GB2312"/>
          <w:sz w:val="30"/>
          <w:szCs w:val="30"/>
          <w:highlight w:val="none"/>
        </w:rPr>
        <w:t>2</w:t>
      </w:r>
      <w:r>
        <w:rPr>
          <w:rFonts w:hint="eastAsia" w:ascii="Times New Roman" w:hAnsi="Times New Roman" w:eastAsia="仿宋_GB2312"/>
          <w:sz w:val="30"/>
          <w:szCs w:val="30"/>
          <w:highlight w:val="none"/>
        </w:rPr>
        <w:t>次及以上的，当月</w:t>
      </w:r>
      <w:r>
        <w:rPr>
          <w:rFonts w:hint="eastAsia" w:ascii="仿宋_GB2312" w:hAnsi="Times New Roman" w:eastAsia="仿宋_GB2312"/>
          <w:sz w:val="30"/>
          <w:szCs w:val="30"/>
          <w:highlight w:val="none"/>
        </w:rPr>
        <w:t>所有月度</w:t>
      </w:r>
      <w:r>
        <w:rPr>
          <w:rFonts w:hint="eastAsia" w:ascii="Times New Roman" w:hAnsi="Times New Roman" w:eastAsia="仿宋_GB2312"/>
          <w:sz w:val="30"/>
          <w:szCs w:val="30"/>
          <w:highlight w:val="none"/>
        </w:rPr>
        <w:t>评价下调至</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w:t>
      </w:r>
    </w:p>
    <w:p>
      <w:pPr>
        <w:widowControl/>
        <w:adjustRightInd w:val="0"/>
        <w:spacing w:beforeLines="50"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（二）做市商年度评价调整</w:t>
      </w:r>
    </w:p>
    <w:p>
      <w:pPr>
        <w:widowControl/>
        <w:adjustRightInd w:val="0"/>
        <w:spacing w:line="600" w:lineRule="exact"/>
        <w:ind w:firstLine="600" w:firstLineChars="200"/>
        <w:rPr>
          <w:rFonts w:hint="default" w:ascii="Times New Roman" w:hAnsi="Times New Roman" w:eastAsia="仿宋_GB2312"/>
          <w:sz w:val="30"/>
          <w:szCs w:val="30"/>
          <w:highlight w:val="none"/>
          <w:lang w:val="en-US"/>
        </w:rPr>
      </w:pPr>
      <w:r>
        <w:rPr>
          <w:rFonts w:hint="eastAsia" w:ascii="Times New Roman" w:hAnsi="Times New Roman" w:eastAsia="仿宋_GB2312"/>
          <w:sz w:val="30"/>
          <w:szCs w:val="30"/>
          <w:highlight w:val="none"/>
        </w:rPr>
        <w:t>做市商年度评价周期内</w:t>
      </w:r>
      <w:r>
        <w:rPr>
          <w:rFonts w:hint="eastAsia" w:ascii="仿宋_GB2312" w:hAnsi="宋体" w:eastAsia="仿宋_GB2312" w:cs="宋体"/>
          <w:color w:val="000000"/>
          <w:kern w:val="0"/>
          <w:sz w:val="30"/>
          <w:szCs w:val="30"/>
          <w:highlight w:val="none"/>
        </w:rPr>
        <w:t>会员</w:t>
      </w:r>
      <w:r>
        <w:rPr>
          <w:rFonts w:hint="eastAsia" w:ascii="Times New Roman" w:hAnsi="Times New Roman" w:eastAsia="仿宋_GB2312"/>
          <w:sz w:val="30"/>
          <w:szCs w:val="30"/>
          <w:highlight w:val="none"/>
        </w:rPr>
        <w:t>因做市业务被本所采取监管措施</w:t>
      </w:r>
      <w:r>
        <w:rPr>
          <w:rFonts w:ascii="Times New Roman" w:hAnsi="Times New Roman" w:eastAsia="仿宋_GB2312"/>
          <w:sz w:val="30"/>
          <w:szCs w:val="30"/>
          <w:highlight w:val="none"/>
        </w:rPr>
        <w:t>3</w:t>
      </w:r>
      <w:r>
        <w:rPr>
          <w:rFonts w:hint="eastAsia" w:ascii="Times New Roman" w:hAnsi="Times New Roman" w:eastAsia="仿宋_GB2312"/>
          <w:sz w:val="30"/>
          <w:szCs w:val="30"/>
          <w:highlight w:val="none"/>
        </w:rPr>
        <w:t>次及以上的，当年年度综合评价为</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（三）做市商因做市业务违规情节严重、受到中国证监会行政处罚或本所纪律处分的，当月</w:t>
      </w:r>
      <w:r>
        <w:rPr>
          <w:rFonts w:hint="eastAsia" w:ascii="仿宋_GB2312" w:hAnsi="Times New Roman" w:eastAsia="仿宋_GB2312"/>
          <w:sz w:val="30"/>
          <w:szCs w:val="30"/>
          <w:highlight w:val="none"/>
        </w:rPr>
        <w:t>所有月度</w:t>
      </w:r>
      <w:r>
        <w:rPr>
          <w:rFonts w:hint="eastAsia" w:ascii="Times New Roman" w:hAnsi="Times New Roman" w:eastAsia="仿宋_GB2312"/>
          <w:sz w:val="30"/>
          <w:szCs w:val="30"/>
          <w:highlight w:val="none"/>
        </w:rPr>
        <w:t>评价及年度综合评价为</w:t>
      </w:r>
      <w:r>
        <w:rPr>
          <w:rFonts w:ascii="Times New Roman" w:hAnsi="Times New Roman" w:eastAsia="仿宋_GB2312"/>
          <w:sz w:val="30"/>
          <w:szCs w:val="30"/>
          <w:highlight w:val="none"/>
        </w:rPr>
        <w:t>D</w:t>
      </w:r>
      <w:r>
        <w:rPr>
          <w:rFonts w:hint="eastAsia" w:ascii="Times New Roman" w:hAnsi="Times New Roman" w:eastAsia="仿宋_GB2312"/>
          <w:sz w:val="30"/>
          <w:szCs w:val="30"/>
          <w:highlight w:val="none"/>
        </w:rPr>
        <w:t>。</w:t>
      </w:r>
    </w:p>
    <w:p>
      <w:pPr>
        <w:pStyle w:val="3"/>
        <w:spacing w:line="600" w:lineRule="exact"/>
        <w:ind w:firstLine="562"/>
        <w:rPr>
          <w:rFonts w:ascii="仿宋_GB2312" w:hAnsi="黑体" w:eastAsia="仿宋_GB2312"/>
          <w:b w:val="0"/>
          <w:kern w:val="44"/>
          <w:sz w:val="30"/>
          <w:szCs w:val="30"/>
          <w:highlight w:val="none"/>
        </w:rPr>
      </w:pPr>
      <w:bookmarkStart w:id="80" w:name="_Toc120180547"/>
      <w:bookmarkStart w:id="81" w:name="_Toc12963"/>
      <w:bookmarkStart w:id="82" w:name="_Toc22037"/>
      <w:bookmarkStart w:id="83" w:name="_Toc8257"/>
      <w:r>
        <w:rPr>
          <w:rFonts w:hint="eastAsia" w:ascii="仿宋_GB2312" w:hAnsi="黑体" w:eastAsia="仿宋_GB2312"/>
          <w:kern w:val="44"/>
          <w:sz w:val="30"/>
          <w:szCs w:val="30"/>
          <w:highlight w:val="none"/>
        </w:rPr>
        <w:t>八、评价结果的通告</w:t>
      </w:r>
      <w:bookmarkEnd w:id="80"/>
      <w:bookmarkEnd w:id="81"/>
      <w:bookmarkEnd w:id="82"/>
      <w:bookmarkEnd w:id="83"/>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本所向基金产品所属的基金管理人和相关做市商通告每月度做市服务评价结果，供其参考。本所向市场公告做市商年度综合评价结果。</w:t>
      </w:r>
    </w:p>
    <w:p>
      <w:pPr>
        <w:spacing w:line="600" w:lineRule="exact"/>
        <w:ind w:firstLine="600" w:firstLineChars="200"/>
        <w:rPr>
          <w:rFonts w:ascii="黑体" w:hAnsi="宋体" w:eastAsia="黑体" w:cs="宋体"/>
          <w:bCs/>
          <w:kern w:val="0"/>
          <w:sz w:val="30"/>
          <w:szCs w:val="30"/>
          <w:highlight w:val="none"/>
        </w:rPr>
      </w:pPr>
    </w:p>
    <w:p>
      <w:pPr>
        <w:pStyle w:val="2"/>
        <w:spacing w:before="0" w:after="0" w:line="600" w:lineRule="exact"/>
        <w:jc w:val="center"/>
        <w:rPr>
          <w:rFonts w:ascii="黑体" w:hAnsi="黑体" w:eastAsia="黑体" w:cs="宋体"/>
          <w:sz w:val="30"/>
          <w:szCs w:val="30"/>
          <w:highlight w:val="none"/>
        </w:rPr>
      </w:pPr>
      <w:bookmarkStart w:id="84" w:name="_Toc120180548"/>
      <w:bookmarkStart w:id="85" w:name="_Toc17497"/>
      <w:bookmarkStart w:id="86" w:name="_Toc15910"/>
      <w:bookmarkStart w:id="87" w:name="_Toc25605"/>
      <w:r>
        <w:rPr>
          <w:rFonts w:hint="eastAsia" w:ascii="黑体" w:hAnsi="黑体" w:eastAsia="黑体" w:cs="宋体"/>
          <w:sz w:val="30"/>
          <w:szCs w:val="30"/>
          <w:highlight w:val="none"/>
        </w:rPr>
        <w:t>第四章</w:t>
      </w:r>
      <w:r>
        <w:rPr>
          <w:rFonts w:hint="eastAsia" w:ascii="黑体" w:hAnsi="黑体" w:eastAsia="黑体" w:cs="宋体"/>
          <w:sz w:val="30"/>
          <w:szCs w:val="30"/>
          <w:highlight w:val="none"/>
          <w:lang w:val="en-US" w:eastAsia="zh-CN"/>
        </w:rPr>
        <w:t xml:space="preserve">  </w:t>
      </w:r>
      <w:r>
        <w:rPr>
          <w:rFonts w:hint="eastAsia" w:ascii="黑体" w:hAnsi="黑体" w:eastAsia="黑体" w:cs="宋体"/>
          <w:sz w:val="30"/>
          <w:szCs w:val="30"/>
          <w:highlight w:val="none"/>
        </w:rPr>
        <w:t>权利、激励与监督管理</w:t>
      </w:r>
      <w:bookmarkEnd w:id="84"/>
      <w:bookmarkEnd w:id="85"/>
      <w:bookmarkEnd w:id="86"/>
      <w:bookmarkEnd w:id="87"/>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为提高做市商提供做市服务的积极性，本所在适当情形下豁免做市商义务。此外，根据主做市服务评价结果，对主做市商给予适当激励。</w:t>
      </w:r>
    </w:p>
    <w:p>
      <w:pPr>
        <w:pStyle w:val="3"/>
        <w:spacing w:before="156" w:line="600" w:lineRule="exact"/>
        <w:ind w:firstLine="562"/>
        <w:rPr>
          <w:rFonts w:ascii="仿宋_GB2312" w:hAnsi="黑体" w:eastAsia="仿宋_GB2312"/>
          <w:b w:val="0"/>
          <w:kern w:val="44"/>
          <w:sz w:val="30"/>
          <w:szCs w:val="30"/>
          <w:highlight w:val="none"/>
        </w:rPr>
      </w:pPr>
      <w:bookmarkStart w:id="88" w:name="_Toc120180549"/>
      <w:bookmarkStart w:id="89" w:name="_Toc258"/>
      <w:bookmarkStart w:id="90" w:name="_Toc25797"/>
      <w:bookmarkStart w:id="91" w:name="_Toc8784"/>
      <w:r>
        <w:rPr>
          <w:rFonts w:hint="eastAsia" w:ascii="仿宋_GB2312" w:hAnsi="黑体" w:eastAsia="仿宋_GB2312"/>
          <w:kern w:val="44"/>
          <w:sz w:val="30"/>
          <w:szCs w:val="30"/>
          <w:highlight w:val="none"/>
        </w:rPr>
        <w:t>一、做市商报价义务豁免</w:t>
      </w:r>
      <w:bookmarkEnd w:id="88"/>
      <w:bookmarkEnd w:id="89"/>
      <w:bookmarkEnd w:id="90"/>
      <w:bookmarkEnd w:id="91"/>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出现下列情形之一，导致做市商无法继续提供做市服务的，本所可以根据市场情况或者做市商申请，相应豁免做市商的做市义务：</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（一）基金交易价格（即最新成交价）达到涨停或跌停价格，做市商可以仅提供单边报价；</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（二）因不可抗力、意外事件或者技术故障等导致无法继续提供做市服务，做市商可以暂停对部分或者全部基金产品提供做市服务，并及时向本所报告；</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（三）本所规定的其他情形。</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前款规定的情形消失后，做市商应当立即恢复相应做市服务。</w:t>
      </w:r>
    </w:p>
    <w:p>
      <w:pPr>
        <w:widowControl/>
        <w:adjustRightInd w:val="0"/>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出现前款第（二）项规定情形，做市商应在当日17:00前向本所提交书面豁免申请并说明原因。</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基金做市商月度报价义务被豁免的，该月度的考评予以取消，激励标准视同月度考评结果为</w:t>
      </w:r>
      <w:r>
        <w:rPr>
          <w:rFonts w:ascii="Times New Roman" w:hAnsi="Times New Roman" w:eastAsia="仿宋_GB2312"/>
          <w:sz w:val="30"/>
          <w:szCs w:val="30"/>
          <w:highlight w:val="none"/>
        </w:rPr>
        <w:t>C</w:t>
      </w:r>
      <w:r>
        <w:rPr>
          <w:rFonts w:hint="eastAsia" w:ascii="Times New Roman" w:hAnsi="Times New Roman" w:eastAsia="仿宋_GB2312"/>
          <w:sz w:val="30"/>
          <w:szCs w:val="30"/>
          <w:highlight w:val="none"/>
        </w:rPr>
        <w:t>。特定一天报价义务被豁免的，当天的指标不纳入统计。</w:t>
      </w:r>
    </w:p>
    <w:p>
      <w:pPr>
        <w:pStyle w:val="3"/>
        <w:spacing w:line="600" w:lineRule="exact"/>
        <w:ind w:firstLine="562"/>
        <w:rPr>
          <w:rFonts w:ascii="仿宋_GB2312" w:hAnsi="黑体" w:eastAsia="仿宋_GB2312"/>
          <w:b w:val="0"/>
          <w:kern w:val="44"/>
          <w:sz w:val="30"/>
          <w:szCs w:val="30"/>
          <w:highlight w:val="none"/>
        </w:rPr>
      </w:pPr>
      <w:bookmarkStart w:id="92" w:name="_Toc120180550"/>
      <w:bookmarkStart w:id="93" w:name="_Toc4249"/>
      <w:bookmarkStart w:id="94" w:name="_Toc14628"/>
      <w:bookmarkStart w:id="95" w:name="_Toc32285"/>
      <w:r>
        <w:rPr>
          <w:rFonts w:hint="eastAsia" w:ascii="仿宋_GB2312" w:hAnsi="黑体" w:eastAsia="仿宋_GB2312"/>
          <w:kern w:val="44"/>
          <w:sz w:val="30"/>
          <w:szCs w:val="30"/>
          <w:highlight w:val="none"/>
        </w:rPr>
        <w:t>二、做市服务激励</w:t>
      </w:r>
      <w:bookmarkEnd w:id="92"/>
      <w:bookmarkEnd w:id="93"/>
      <w:bookmarkEnd w:id="94"/>
      <w:bookmarkEnd w:id="95"/>
    </w:p>
    <w:p>
      <w:pPr>
        <w:widowControl/>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本所根据上月度特定基金主做市服务评价结果，对主做市商</w:t>
      </w:r>
      <w:r>
        <w:rPr>
          <w:rFonts w:hint="eastAsia" w:ascii="仿宋_GB2312" w:hAnsi="宋体" w:eastAsia="仿宋_GB2312" w:cs="宋体"/>
          <w:sz w:val="30"/>
          <w:szCs w:val="30"/>
          <w:highlight w:val="none"/>
        </w:rPr>
        <w:t>提供的主做市服务</w:t>
      </w:r>
      <w:r>
        <w:rPr>
          <w:rFonts w:hint="eastAsia" w:ascii="Times New Roman" w:hAnsi="Times New Roman" w:eastAsia="仿宋_GB2312"/>
          <w:sz w:val="30"/>
          <w:szCs w:val="30"/>
          <w:highlight w:val="none"/>
        </w:rPr>
        <w:t>予以适当费用减免和激励，具体标准通过做市商协议约定。</w:t>
      </w:r>
    </w:p>
    <w:p>
      <w:pPr>
        <w:pStyle w:val="3"/>
        <w:spacing w:line="600" w:lineRule="exact"/>
        <w:ind w:firstLine="562"/>
        <w:rPr>
          <w:rFonts w:ascii="仿宋_GB2312" w:hAnsi="黑体" w:eastAsia="仿宋_GB2312"/>
          <w:b w:val="0"/>
          <w:kern w:val="44"/>
          <w:sz w:val="30"/>
          <w:szCs w:val="30"/>
          <w:highlight w:val="none"/>
        </w:rPr>
      </w:pPr>
      <w:bookmarkStart w:id="96" w:name="_Toc120180551"/>
      <w:bookmarkStart w:id="97" w:name="_Toc80"/>
      <w:bookmarkStart w:id="98" w:name="_Toc30020"/>
      <w:bookmarkStart w:id="99" w:name="_Toc19547"/>
      <w:r>
        <w:rPr>
          <w:rFonts w:hint="eastAsia" w:ascii="仿宋_GB2312" w:hAnsi="黑体" w:eastAsia="仿宋_GB2312"/>
          <w:kern w:val="44"/>
          <w:sz w:val="30"/>
          <w:szCs w:val="30"/>
          <w:highlight w:val="none"/>
        </w:rPr>
        <w:t>三、终止做市商做市服务</w:t>
      </w:r>
      <w:bookmarkEnd w:id="96"/>
      <w:bookmarkEnd w:id="97"/>
      <w:bookmarkEnd w:id="98"/>
      <w:bookmarkEnd w:id="99"/>
    </w:p>
    <w:p>
      <w:pPr>
        <w:spacing w:line="600" w:lineRule="exact"/>
        <w:ind w:firstLine="600" w:firstLineChars="2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做市商有下列情形之一的，本所可以终止其为特定上市基金提供做市服务，书面通知做市商并向市场公告：</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（一）基金管理人</w:t>
      </w:r>
      <w:r>
        <w:rPr>
          <w:rFonts w:hint="eastAsia" w:ascii="Times New Roman" w:hAnsi="Times New Roman" w:eastAsia="仿宋_GB2312"/>
          <w:sz w:val="30"/>
          <w:szCs w:val="30"/>
          <w:highlight w:val="none"/>
        </w:rPr>
        <w:t>提供充分理由</w:t>
      </w:r>
      <w:r>
        <w:rPr>
          <w:rFonts w:hint="eastAsia" w:ascii="仿宋_GB2312" w:hAnsi="宋体" w:eastAsia="仿宋_GB2312" w:cs="宋体"/>
          <w:sz w:val="30"/>
          <w:szCs w:val="30"/>
          <w:highlight w:val="none"/>
        </w:rPr>
        <w:t>书面要求终止做市商为其管理的</w:t>
      </w:r>
      <w:r>
        <w:rPr>
          <w:rFonts w:hint="eastAsia" w:ascii="Times New Roman" w:hAnsi="Times New Roman" w:eastAsia="仿宋_GB2312"/>
          <w:sz w:val="30"/>
          <w:szCs w:val="30"/>
          <w:highlight w:val="none"/>
        </w:rPr>
        <w:t>基金提供做市服务的</w:t>
      </w:r>
      <w:r>
        <w:rPr>
          <w:rFonts w:hint="eastAsia" w:ascii="仿宋_GB2312" w:hAnsi="宋体" w:eastAsia="仿宋_GB2312" w:cs="宋体"/>
          <w:sz w:val="30"/>
          <w:szCs w:val="30"/>
          <w:highlight w:val="none"/>
        </w:rPr>
        <w:t>；</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xml:space="preserve">（二）主做市商在考评年度内，为特定基金提供主做市服务或一般做市服务所获的月度评价出现三次C与三次D或更低评价的； </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（三）本所规定或者做市商协议约定的其他情形。</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做市商被本所终止为特定上市基金提供做市服务的，6个月内不得重新申请为同一上市基金提供做市服务。</w:t>
      </w:r>
    </w:p>
    <w:p>
      <w:pPr>
        <w:pStyle w:val="3"/>
        <w:spacing w:line="600" w:lineRule="exact"/>
        <w:ind w:firstLine="562"/>
        <w:rPr>
          <w:rFonts w:ascii="仿宋_GB2312" w:hAnsi="黑体" w:eastAsia="仿宋_GB2312"/>
          <w:b w:val="0"/>
          <w:kern w:val="44"/>
          <w:sz w:val="30"/>
          <w:szCs w:val="30"/>
          <w:highlight w:val="none"/>
        </w:rPr>
      </w:pPr>
      <w:bookmarkStart w:id="100" w:name="_Toc120180552"/>
      <w:bookmarkStart w:id="101" w:name="_Toc18477"/>
      <w:bookmarkStart w:id="102" w:name="_Toc8028"/>
      <w:bookmarkStart w:id="103" w:name="_Toc2974"/>
      <w:r>
        <w:rPr>
          <w:rFonts w:hint="eastAsia" w:ascii="仿宋_GB2312" w:hAnsi="黑体" w:eastAsia="仿宋_GB2312"/>
          <w:kern w:val="44"/>
          <w:sz w:val="30"/>
          <w:szCs w:val="30"/>
          <w:highlight w:val="none"/>
        </w:rPr>
        <w:t>四、终止开展做市业务</w:t>
      </w:r>
      <w:bookmarkEnd w:id="100"/>
      <w:bookmarkEnd w:id="101"/>
      <w:bookmarkEnd w:id="102"/>
      <w:bookmarkEnd w:id="103"/>
    </w:p>
    <w:p>
      <w:pPr>
        <w:pStyle w:val="34"/>
        <w:snapToGrid w:val="0"/>
        <w:spacing w:line="54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做市商有下列情形之一的，本所可以终止其开展做市业务，书面通知做市商并向市场公告：</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（一）不再符合《基金做市指引》第六条规定的条件；</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（二）超过6个月不为任何基金提供做市服务；</w:t>
      </w:r>
    </w:p>
    <w:p>
      <w:pPr>
        <w:pStyle w:val="34"/>
        <w:snapToGrid w:val="0"/>
        <w:spacing w:line="600" w:lineRule="exact"/>
        <w:ind w:firstLine="600"/>
        <w:rPr>
          <w:rFonts w:ascii="仿宋_GB2312" w:eastAsia="仿宋_GB2312"/>
          <w:sz w:val="30"/>
          <w:szCs w:val="30"/>
          <w:highlight w:val="none"/>
        </w:rPr>
      </w:pPr>
      <w:r>
        <w:rPr>
          <w:rFonts w:hint="eastAsia" w:ascii="仿宋_GB2312" w:hAnsi="宋体" w:eastAsia="仿宋_GB2312" w:cs="宋体"/>
          <w:sz w:val="30"/>
          <w:szCs w:val="30"/>
          <w:highlight w:val="none"/>
        </w:rPr>
        <w:t>（三）出现严重</w:t>
      </w:r>
      <w:r>
        <w:rPr>
          <w:rFonts w:hint="eastAsia" w:ascii="仿宋_GB2312" w:eastAsia="仿宋_GB2312"/>
          <w:sz w:val="30"/>
          <w:szCs w:val="30"/>
          <w:highlight w:val="none"/>
        </w:rPr>
        <w:t>违法违规、谋取不当利益、损害客户或基金份额持有人利益的行为；</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（四）本所规定或者做市商协议约定的其他情形。</w:t>
      </w:r>
    </w:p>
    <w:p>
      <w:pPr>
        <w:pStyle w:val="34"/>
        <w:snapToGrid w:val="0"/>
        <w:spacing w:line="600" w:lineRule="exact"/>
        <w:ind w:firstLine="6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做市商被终止开展做市业务的，</w:t>
      </w:r>
      <w:r>
        <w:rPr>
          <w:rFonts w:ascii="仿宋_GB2312" w:hAnsi="宋体" w:eastAsia="仿宋_GB2312" w:cs="宋体"/>
          <w:sz w:val="30"/>
          <w:szCs w:val="30"/>
          <w:highlight w:val="none"/>
        </w:rPr>
        <w:t>1</w:t>
      </w:r>
      <w:r>
        <w:rPr>
          <w:rFonts w:hint="eastAsia" w:ascii="仿宋_GB2312" w:hAnsi="宋体" w:eastAsia="仿宋_GB2312" w:cs="宋体"/>
          <w:sz w:val="30"/>
          <w:szCs w:val="30"/>
          <w:highlight w:val="none"/>
        </w:rPr>
        <w:t>年内不得重新申请开展做市业务。</w:t>
      </w:r>
    </w:p>
    <w:p>
      <w:pPr>
        <w:pStyle w:val="3"/>
        <w:spacing w:line="600" w:lineRule="exact"/>
        <w:ind w:firstLine="562"/>
        <w:rPr>
          <w:rFonts w:ascii="仿宋_GB2312" w:hAnsi="黑体" w:eastAsia="仿宋_GB2312"/>
          <w:b w:val="0"/>
          <w:kern w:val="44"/>
          <w:sz w:val="30"/>
          <w:szCs w:val="30"/>
          <w:highlight w:val="none"/>
        </w:rPr>
      </w:pPr>
      <w:bookmarkStart w:id="104" w:name="_Toc120180553"/>
      <w:bookmarkStart w:id="105" w:name="_Toc5182"/>
      <w:bookmarkStart w:id="106" w:name="_Toc10009"/>
      <w:bookmarkStart w:id="107" w:name="_Toc8979"/>
      <w:r>
        <w:rPr>
          <w:rFonts w:hint="eastAsia" w:ascii="仿宋_GB2312" w:hAnsi="黑体" w:eastAsia="仿宋_GB2312"/>
          <w:kern w:val="44"/>
          <w:sz w:val="30"/>
          <w:szCs w:val="30"/>
          <w:highlight w:val="none"/>
        </w:rPr>
        <w:t>五、日常监管</w:t>
      </w:r>
      <w:bookmarkEnd w:id="104"/>
      <w:bookmarkEnd w:id="105"/>
      <w:bookmarkEnd w:id="106"/>
      <w:bookmarkEnd w:id="107"/>
    </w:p>
    <w:p>
      <w:pPr>
        <w:spacing w:line="600" w:lineRule="exact"/>
        <w:ind w:firstLine="600" w:firstLineChars="20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本所可以对做市商的风险管理、交易行为及相关系统安全运行等情况，进行监督检查；本所可以要求做市商提供有关资料和任意一段时间内的交易记录，包括执行交易的交易员信息等；做市商对上述资料的保存期限不得少于二十年，任何人不得隐匿、伪造、篡改或者毁损。做市商应当按照本所的相关要求，进行数据报送。</w:t>
      </w:r>
    </w:p>
    <w:p>
      <w:pPr>
        <w:pStyle w:val="3"/>
        <w:spacing w:line="600" w:lineRule="exact"/>
        <w:ind w:firstLine="562"/>
        <w:rPr>
          <w:rFonts w:ascii="仿宋_GB2312" w:hAnsi="黑体" w:eastAsia="仿宋_GB2312"/>
          <w:b w:val="0"/>
          <w:kern w:val="44"/>
          <w:sz w:val="30"/>
          <w:szCs w:val="30"/>
          <w:highlight w:val="none"/>
        </w:rPr>
      </w:pPr>
      <w:bookmarkStart w:id="108" w:name="_Toc120180554"/>
      <w:bookmarkStart w:id="109" w:name="_Toc19199"/>
      <w:bookmarkStart w:id="110" w:name="_Toc22921"/>
      <w:bookmarkStart w:id="111" w:name="_Toc9063"/>
      <w:r>
        <w:rPr>
          <w:rFonts w:hint="eastAsia" w:ascii="仿宋_GB2312" w:hAnsi="黑体" w:eastAsia="仿宋_GB2312"/>
          <w:kern w:val="44"/>
          <w:sz w:val="30"/>
          <w:szCs w:val="30"/>
          <w:highlight w:val="none"/>
        </w:rPr>
        <w:t>六、违规处理</w:t>
      </w:r>
      <w:bookmarkEnd w:id="108"/>
      <w:bookmarkEnd w:id="109"/>
      <w:bookmarkEnd w:id="110"/>
      <w:bookmarkEnd w:id="111"/>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做市商做市业务违反本所相关规定的，本所可以根据相关规定采取相应监管措施或实施纪律处分，并记入诚信档案；情节严重的，提请立案调查。</w:t>
      </w:r>
    </w:p>
    <w:p>
      <w:pPr>
        <w:spacing w:line="600" w:lineRule="exact"/>
        <w:ind w:firstLine="600" w:firstLineChars="200"/>
        <w:rPr>
          <w:rFonts w:ascii="Times New Roman" w:hAnsi="Times New Roman" w:eastAsia="仿宋_GB2312"/>
          <w:sz w:val="30"/>
          <w:szCs w:val="30"/>
          <w:highlight w:val="none"/>
        </w:rPr>
      </w:pPr>
    </w:p>
    <w:p>
      <w:pPr>
        <w:pStyle w:val="2"/>
        <w:spacing w:before="0" w:after="0" w:line="600" w:lineRule="exact"/>
        <w:jc w:val="center"/>
        <w:rPr>
          <w:rFonts w:ascii="黑体" w:hAnsi="宋体" w:eastAsia="黑体" w:cs="宋体"/>
          <w:bCs w:val="0"/>
          <w:kern w:val="0"/>
          <w:sz w:val="30"/>
          <w:szCs w:val="30"/>
          <w:highlight w:val="none"/>
        </w:rPr>
      </w:pPr>
      <w:bookmarkStart w:id="112" w:name="_Toc452023003"/>
      <w:bookmarkStart w:id="113" w:name="_Toc120180555"/>
      <w:bookmarkStart w:id="114" w:name="_Toc1036"/>
      <w:bookmarkStart w:id="115" w:name="_Toc4662"/>
      <w:bookmarkStart w:id="116" w:name="_Toc15106"/>
      <w:r>
        <w:rPr>
          <w:rFonts w:hint="eastAsia" w:ascii="黑体" w:hAnsi="宋体" w:eastAsia="黑体" w:cs="宋体"/>
          <w:bCs w:val="0"/>
          <w:kern w:val="0"/>
          <w:sz w:val="30"/>
          <w:szCs w:val="30"/>
          <w:highlight w:val="none"/>
        </w:rPr>
        <w:t>第五章  风险管理</w:t>
      </w:r>
      <w:bookmarkEnd w:id="112"/>
      <w:bookmarkEnd w:id="113"/>
      <w:bookmarkEnd w:id="114"/>
      <w:bookmarkEnd w:id="115"/>
      <w:bookmarkEnd w:id="116"/>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做市商应当具备符合要求的技术系统、风险管理和内部控制制度、动态风险监控系统，加强对市场风险、模型风险、存货风险、做市风险、操作风险等业务风险的识别、监测和控制。</w:t>
      </w:r>
    </w:p>
    <w:p>
      <w:pPr>
        <w:pStyle w:val="3"/>
        <w:spacing w:line="600" w:lineRule="exact"/>
        <w:ind w:firstLine="562"/>
        <w:rPr>
          <w:rFonts w:ascii="仿宋_GB2312" w:hAnsi="黑体" w:eastAsia="仿宋_GB2312"/>
          <w:b w:val="0"/>
          <w:kern w:val="44"/>
          <w:sz w:val="30"/>
          <w:szCs w:val="30"/>
          <w:highlight w:val="none"/>
        </w:rPr>
      </w:pPr>
      <w:bookmarkStart w:id="117" w:name="_Toc120180556"/>
      <w:bookmarkStart w:id="118" w:name="_Toc30312"/>
      <w:bookmarkStart w:id="119" w:name="_Toc12649"/>
      <w:bookmarkStart w:id="120" w:name="_Toc9310"/>
      <w:r>
        <w:rPr>
          <w:rFonts w:hint="eastAsia" w:ascii="仿宋_GB2312" w:hAnsi="黑体" w:eastAsia="仿宋_GB2312"/>
          <w:kern w:val="44"/>
          <w:sz w:val="30"/>
          <w:szCs w:val="30"/>
          <w:highlight w:val="none"/>
        </w:rPr>
        <w:t>一、做市业务部门风险管理机制</w:t>
      </w:r>
      <w:bookmarkEnd w:id="117"/>
      <w:bookmarkEnd w:id="118"/>
      <w:bookmarkEnd w:id="119"/>
      <w:bookmarkEnd w:id="120"/>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（一）风险管理制度</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业务部门应当制定基金做市业务风险管理制度，内容包括但不限于基金做市业务风险管理方案、风险指标设计、风险识别与评估、风险控制与处置、定期报告机制、压力测试的情景设置和分析、风险处置流程等。</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做市业务部门应当制定基金做市业务应急预案，以应对基金做市业务中的突发事件，保障做市业务平稳开展。</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（二）监控与预警</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业务部门应当科学、合理设计做市业务风险指标，并进行实时监控和预警，包括但不限于存货风险指标、流动性风险管理、自成交管理、折溢价偏离管理、申报笔数管理指标、可投资标的管理等方面；同时需要对交易员误操作风险进行有效监控与预警。</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（三）内部风险报告机制</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做市业务部门应当建立做市业务的风险报告机制。报告分为定期报告和临时报告。</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定期报告由做市业务部门每日定期提交公司风险管理部。报告内容包括但不限于各项风险指标情况、做市业务规模等。</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临时报告由做市业务部门及相关职能部门在做市业务开展过程中就出现的与做市业务有关的风险事件，包括业务差错、系统运作故障、突发性的紧急事件等，按照公司内部报告制度的要求向公司提交。</w:t>
      </w:r>
    </w:p>
    <w:p>
      <w:pPr>
        <w:pStyle w:val="3"/>
        <w:spacing w:line="600" w:lineRule="exact"/>
        <w:ind w:firstLine="562"/>
        <w:rPr>
          <w:rFonts w:ascii="仿宋_GB2312" w:hAnsi="黑体" w:eastAsia="仿宋_GB2312"/>
          <w:b w:val="0"/>
          <w:kern w:val="44"/>
          <w:sz w:val="30"/>
          <w:szCs w:val="30"/>
          <w:highlight w:val="none"/>
        </w:rPr>
      </w:pPr>
      <w:bookmarkStart w:id="121" w:name="_Toc120180557"/>
      <w:bookmarkStart w:id="122" w:name="_Toc26231"/>
      <w:bookmarkStart w:id="123" w:name="_Toc3215"/>
      <w:bookmarkStart w:id="124" w:name="_Toc10735"/>
      <w:r>
        <w:rPr>
          <w:rFonts w:hint="eastAsia" w:ascii="仿宋_GB2312" w:hAnsi="黑体" w:eastAsia="仿宋_GB2312"/>
          <w:kern w:val="44"/>
          <w:sz w:val="30"/>
          <w:szCs w:val="30"/>
          <w:highlight w:val="none"/>
        </w:rPr>
        <w:t>二、公司层面风险管理机制</w:t>
      </w:r>
      <w:bookmarkEnd w:id="121"/>
      <w:bookmarkEnd w:id="122"/>
      <w:bookmarkEnd w:id="123"/>
      <w:bookmarkEnd w:id="124"/>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（一）风险管理制度</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做市商应当在公司层面制定做市业务风险管理制度和流程，建立风险限额授权、风险监控、定期压力测试、风险报告等机制。</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（二）风险限额授权制度</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做市商应当根据业务发展状况、资金状况以及风险控制水平等因素对做市业务进行风险限额授权，授权内容包括累计盈亏限额、</w:t>
      </w:r>
      <w:r>
        <w:rPr>
          <w:rFonts w:ascii="Times New Roman" w:hAnsi="Times New Roman" w:eastAsia="仿宋_GB2312"/>
          <w:sz w:val="30"/>
          <w:szCs w:val="30"/>
          <w:highlight w:val="none"/>
        </w:rPr>
        <w:t>VaR</w:t>
      </w:r>
      <w:r>
        <w:rPr>
          <w:rFonts w:hint="eastAsia" w:ascii="Times New Roman" w:hAnsi="Times New Roman" w:eastAsia="仿宋_GB2312"/>
          <w:sz w:val="30"/>
          <w:szCs w:val="30"/>
          <w:highlight w:val="none"/>
        </w:rPr>
        <w:t>限额、单一证券合计持仓市值占该证券总市值比限额等内容。</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（三）风险监控</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在公司层面设立做市业务风险监控系统，该风险监控系统与做市业务部门的风控系统保持独立，并采用单独的模型进行风险指标监控。做市商针对做市业务每日实施独立监控，包括但不限于对库存、资金、极端情况等风险指标监控和预警，并制作风险监控日报。对于在监控中发现的超限、违规或者其他需关注的情况做出书面记录，及时处理，如有必要的应当向做市业务部门发出风险提示书，限期整改并持续跟踪。</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（四）压力测试</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在公司层面对做市业务开展压力测试，以度量极端不利市场环境（即压力情景）下公司可能遭受的潜在的损失风险，并将其结果运用于公司净资本的计算和资本充足率的考量，确保在压力情景下风险可测、可控、可承受，保障公司可持续经营。</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主做市商应当建立压力测试机制，并按季度向本所提交压力测试报告。</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（五）风险报告</w:t>
      </w:r>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做市商应当按照监管部门和本所相关要求，提交做市业务相关报告。</w:t>
      </w:r>
    </w:p>
    <w:p>
      <w:pPr>
        <w:pStyle w:val="2"/>
        <w:spacing w:before="0" w:after="0" w:line="600" w:lineRule="exact"/>
        <w:jc w:val="center"/>
        <w:rPr>
          <w:rFonts w:ascii="黑体" w:hAnsi="黑体" w:eastAsia="黑体"/>
          <w:sz w:val="30"/>
          <w:szCs w:val="30"/>
          <w:highlight w:val="none"/>
        </w:rPr>
      </w:pPr>
      <w:bookmarkStart w:id="125" w:name="_Toc120180558"/>
      <w:bookmarkStart w:id="126" w:name="_Toc8656"/>
      <w:bookmarkStart w:id="127" w:name="_Toc21385"/>
      <w:bookmarkStart w:id="128" w:name="_Toc7617"/>
      <w:r>
        <w:rPr>
          <w:rFonts w:hint="eastAsia" w:ascii="黑体" w:hAnsi="宋体" w:eastAsia="黑体" w:cs="宋体"/>
          <w:bCs w:val="0"/>
          <w:kern w:val="0"/>
          <w:sz w:val="30"/>
          <w:szCs w:val="30"/>
          <w:highlight w:val="none"/>
        </w:rPr>
        <w:t xml:space="preserve">第六章  </w:t>
      </w:r>
      <w:r>
        <w:rPr>
          <w:rFonts w:hint="eastAsia" w:ascii="黑体" w:hAnsi="黑体" w:eastAsia="黑体"/>
          <w:sz w:val="30"/>
          <w:szCs w:val="30"/>
          <w:highlight w:val="none"/>
        </w:rPr>
        <w:t>合规和内部控制</w:t>
      </w:r>
      <w:bookmarkEnd w:id="125"/>
      <w:bookmarkEnd w:id="126"/>
      <w:bookmarkEnd w:id="127"/>
      <w:bookmarkEnd w:id="128"/>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做市商应当建立健全内部控制制度和隔离墙管理机制，依法合规开展做市业务。</w:t>
      </w:r>
    </w:p>
    <w:p>
      <w:pPr>
        <w:pStyle w:val="3"/>
        <w:spacing w:line="600" w:lineRule="exact"/>
        <w:ind w:firstLine="562"/>
        <w:rPr>
          <w:rFonts w:ascii="仿宋_GB2312" w:hAnsi="黑体" w:eastAsia="仿宋_GB2312"/>
          <w:b w:val="0"/>
          <w:kern w:val="44"/>
          <w:sz w:val="30"/>
          <w:szCs w:val="30"/>
          <w:highlight w:val="none"/>
        </w:rPr>
      </w:pPr>
      <w:bookmarkStart w:id="129" w:name="_Toc120180559"/>
      <w:bookmarkStart w:id="130" w:name="_Toc27239"/>
      <w:bookmarkStart w:id="131" w:name="_Toc11588"/>
      <w:bookmarkStart w:id="132" w:name="_Toc6252"/>
      <w:r>
        <w:rPr>
          <w:rFonts w:hint="eastAsia" w:ascii="仿宋_GB2312" w:hAnsi="黑体" w:eastAsia="仿宋_GB2312"/>
          <w:kern w:val="44"/>
          <w:sz w:val="30"/>
          <w:szCs w:val="30"/>
          <w:highlight w:val="none"/>
        </w:rPr>
        <w:t>一、内部控制制度</w:t>
      </w:r>
      <w:bookmarkEnd w:id="129"/>
      <w:bookmarkEnd w:id="130"/>
      <w:bookmarkEnd w:id="131"/>
      <w:bookmarkEnd w:id="132"/>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做市商应当建立严格的内部控制制度，对做市业务制定严格的授权管理制度和投资决策流程，建立有效的岗位分工和制衡机制，规范业务操作流程，确保研究分析、投资决策、交易执行等相关环节的独立运作。</w:t>
      </w:r>
    </w:p>
    <w:p>
      <w:pPr>
        <w:pStyle w:val="3"/>
        <w:spacing w:line="600" w:lineRule="exact"/>
        <w:ind w:firstLine="562"/>
        <w:rPr>
          <w:rFonts w:ascii="仿宋_GB2312" w:hAnsi="黑体" w:eastAsia="仿宋_GB2312"/>
          <w:b w:val="0"/>
          <w:kern w:val="44"/>
          <w:sz w:val="30"/>
          <w:szCs w:val="30"/>
          <w:highlight w:val="none"/>
        </w:rPr>
      </w:pPr>
      <w:bookmarkStart w:id="133" w:name="_Toc120180560"/>
      <w:bookmarkStart w:id="134" w:name="_Toc2355"/>
      <w:bookmarkStart w:id="135" w:name="_Toc11341"/>
      <w:bookmarkStart w:id="136" w:name="_Toc15097"/>
      <w:r>
        <w:rPr>
          <w:rFonts w:hint="eastAsia" w:ascii="仿宋_GB2312" w:hAnsi="黑体" w:eastAsia="仿宋_GB2312"/>
          <w:kern w:val="44"/>
          <w:sz w:val="30"/>
          <w:szCs w:val="30"/>
          <w:highlight w:val="none"/>
        </w:rPr>
        <w:t>二、业务隔离制度</w:t>
      </w:r>
      <w:bookmarkEnd w:id="133"/>
      <w:bookmarkEnd w:id="134"/>
      <w:bookmarkEnd w:id="135"/>
      <w:bookmarkEnd w:id="136"/>
    </w:p>
    <w:p>
      <w:pPr>
        <w:spacing w:line="600" w:lineRule="exact"/>
        <w:ind w:firstLine="600" w:firstLineChars="2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做市商应当建立风险防范与业务隔离制度，将做市业务与可能形成利益冲突或利益密切相关的自营、经纪、资产管理、投资咨询等业务在账户、资金、人员、办公场所等方面进行分开管理，有效隔离，包括：</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（一）使用专用证券账户开展做市业务；</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（二）做市业务资金与自营业务资金、客户资金严格分离，独立运作；</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（三）做市业务办公场所与其他业务办公场所应有效隔离，建议进行物理隔离、实行门禁制度；做市业务与自营、经纪、资产管理、投资咨询等部门的业务交流，建议在会议室进行，并做好相应留痕工作；</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四）做好跨墙人员管理。需要处于信息隔离墙另一侧的部门派员跨墙协作的，应当事先向合规部门申请。跨墙人员在跨墙期间不应泄漏或不当使用跨墙后知悉的未公开信息，不应获取与跨墙业务无关的未公开信息。</w:t>
      </w:r>
    </w:p>
    <w:p>
      <w:pPr>
        <w:pStyle w:val="3"/>
        <w:spacing w:line="600" w:lineRule="exact"/>
        <w:ind w:firstLine="422"/>
        <w:rPr>
          <w:rFonts w:ascii="仿宋_GB2312" w:hAnsi="黑体" w:eastAsia="仿宋_GB2312"/>
          <w:b w:val="0"/>
          <w:kern w:val="44"/>
          <w:sz w:val="30"/>
          <w:szCs w:val="30"/>
          <w:highlight w:val="none"/>
        </w:rPr>
      </w:pPr>
      <w:bookmarkStart w:id="137" w:name="_Toc120180561"/>
      <w:bookmarkStart w:id="138" w:name="_Toc18889"/>
      <w:bookmarkStart w:id="139" w:name="_Toc508"/>
      <w:bookmarkStart w:id="140" w:name="_Toc7383"/>
      <w:r>
        <w:rPr>
          <w:rFonts w:hint="eastAsia" w:ascii="仿宋_GB2312" w:hAnsi="黑体" w:eastAsia="仿宋_GB2312"/>
          <w:kern w:val="44"/>
          <w:sz w:val="30"/>
          <w:szCs w:val="30"/>
          <w:highlight w:val="none"/>
        </w:rPr>
        <w:t>三、禁止行为</w:t>
      </w:r>
      <w:bookmarkEnd w:id="137"/>
      <w:bookmarkEnd w:id="138"/>
      <w:bookmarkEnd w:id="139"/>
      <w:bookmarkEnd w:id="140"/>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做市商及相关业务人员不得从事下列行为：</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（一）利用内幕信息进行投资决策和交易；</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（二）利用信息优势和资金优势，单独或者通过合谋（包括与自营的合谋），制造异常价格波动；</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（三）以不正当方式影响其他做市商做市；</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（四）与其他做市商通过串通报价或私下交换做市策略等信息谋取不正当利益；</w:t>
      </w:r>
    </w:p>
    <w:p>
      <w:pPr>
        <w:spacing w:line="600" w:lineRule="exact"/>
        <w:ind w:firstLine="42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（五）做市业务人员通过做市业务向自身或利益相关者进行利益输送；</w:t>
      </w:r>
    </w:p>
    <w:p>
      <w:pPr>
        <w:spacing w:line="600" w:lineRule="exact"/>
        <w:ind w:firstLine="420"/>
        <w:rPr>
          <w:rFonts w:hint="eastAsia" w:ascii="Times New Roman" w:hAnsi="Times New Roman" w:eastAsia="仿宋_GB2312"/>
          <w:sz w:val="30"/>
          <w:szCs w:val="30"/>
          <w:highlight w:val="none"/>
        </w:rPr>
      </w:pPr>
      <w:r>
        <w:rPr>
          <w:rFonts w:hint="eastAsia" w:ascii="Times New Roman" w:hAnsi="Times New Roman" w:eastAsia="仿宋_GB2312"/>
          <w:sz w:val="30"/>
          <w:szCs w:val="30"/>
          <w:highlight w:val="none"/>
        </w:rPr>
        <w:t>（六）其他操纵或干扰市场，</w:t>
      </w:r>
      <w:r>
        <w:rPr>
          <w:rFonts w:hint="eastAsia" w:ascii="仿宋_GB2312" w:eastAsia="仿宋_GB2312"/>
          <w:sz w:val="30"/>
          <w:szCs w:val="30"/>
          <w:highlight w:val="none"/>
        </w:rPr>
        <w:t>损害客户或者基金份额持有人利益</w:t>
      </w:r>
      <w:r>
        <w:rPr>
          <w:rFonts w:hint="eastAsia" w:ascii="Times New Roman" w:hAnsi="Times New Roman" w:eastAsia="仿宋_GB2312"/>
          <w:sz w:val="30"/>
          <w:szCs w:val="30"/>
          <w:highlight w:val="none"/>
        </w:rPr>
        <w:t>等违法违规行为。</w:t>
      </w:r>
    </w:p>
    <w:p>
      <w:pPr>
        <w:spacing w:line="600" w:lineRule="exact"/>
        <w:ind w:firstLine="420"/>
        <w:rPr>
          <w:rFonts w:hint="eastAsia" w:ascii="Times New Roman" w:hAnsi="Times New Roman" w:eastAsia="仿宋_GB2312"/>
          <w:sz w:val="30"/>
          <w:szCs w:val="30"/>
          <w:highlight w:val="none"/>
        </w:rPr>
      </w:pPr>
    </w:p>
    <w:p>
      <w:pPr>
        <w:spacing w:line="600" w:lineRule="exact"/>
        <w:ind w:firstLine="420"/>
        <w:rPr>
          <w:rFonts w:hint="eastAsia" w:ascii="Times New Roman" w:hAnsi="Times New Roman" w:eastAsia="仿宋_GB2312"/>
          <w:sz w:val="30"/>
          <w:szCs w:val="30"/>
          <w:highlight w:val="none"/>
        </w:rPr>
      </w:pPr>
    </w:p>
    <w:p>
      <w:pPr>
        <w:spacing w:line="600" w:lineRule="exact"/>
        <w:ind w:firstLine="420"/>
        <w:rPr>
          <w:rFonts w:hint="eastAsia" w:ascii="Times New Roman" w:hAnsi="Times New Roman" w:eastAsia="仿宋_GB2312"/>
          <w:sz w:val="30"/>
          <w:szCs w:val="30"/>
          <w:highlight w:val="none"/>
        </w:rPr>
      </w:pPr>
    </w:p>
    <w:p>
      <w:pPr>
        <w:spacing w:line="600" w:lineRule="exact"/>
        <w:ind w:firstLine="420"/>
        <w:rPr>
          <w:rFonts w:hint="eastAsia" w:ascii="Times New Roman" w:hAnsi="Times New Roman" w:eastAsia="仿宋_GB2312"/>
          <w:sz w:val="30"/>
          <w:szCs w:val="30"/>
          <w:highlight w:val="none"/>
        </w:rPr>
      </w:pPr>
    </w:p>
    <w:p>
      <w:pPr>
        <w:spacing w:line="600" w:lineRule="exact"/>
        <w:ind w:firstLine="420"/>
        <w:rPr>
          <w:rFonts w:hint="eastAsia" w:ascii="Times New Roman" w:hAnsi="Times New Roman" w:eastAsia="仿宋_GB2312"/>
          <w:sz w:val="30"/>
          <w:szCs w:val="30"/>
          <w:highlight w:val="none"/>
        </w:rPr>
      </w:pPr>
    </w:p>
    <w:p>
      <w:pPr>
        <w:pStyle w:val="3"/>
        <w:spacing w:line="600" w:lineRule="exact"/>
        <w:rPr>
          <w:rFonts w:ascii="仿宋_GB2312" w:hAnsi="黑体" w:eastAsia="仿宋_GB2312"/>
          <w:kern w:val="44"/>
          <w:sz w:val="28"/>
          <w:szCs w:val="36"/>
          <w:highlight w:val="none"/>
        </w:rPr>
      </w:pPr>
      <w:bookmarkStart w:id="141" w:name="_Toc120180562"/>
      <w:bookmarkStart w:id="142" w:name="_Toc23817"/>
      <w:bookmarkStart w:id="143" w:name="_Toc25149"/>
      <w:bookmarkStart w:id="144" w:name="_Toc22302"/>
      <w:r>
        <w:rPr>
          <w:rFonts w:hint="eastAsia" w:ascii="仿宋_GB2312" w:hAnsi="黑体" w:eastAsia="仿宋_GB2312"/>
          <w:kern w:val="44"/>
          <w:sz w:val="28"/>
          <w:szCs w:val="36"/>
          <w:highlight w:val="none"/>
        </w:rPr>
        <w:t>附件1：专项检查要点</w:t>
      </w:r>
      <w:bookmarkEnd w:id="141"/>
      <w:bookmarkEnd w:id="142"/>
      <w:bookmarkEnd w:id="143"/>
      <w:bookmarkEnd w:id="144"/>
    </w:p>
    <w:p>
      <w:pPr>
        <w:snapToGrid w:val="0"/>
        <w:contextualSpacing/>
        <w:jc w:val="left"/>
        <w:rPr>
          <w:rFonts w:ascii="仿宋_GB2312" w:hAnsi="华文细黑"/>
          <w:b/>
          <w:szCs w:val="28"/>
          <w:highlight w:val="none"/>
        </w:rPr>
      </w:pPr>
    </w:p>
    <w:tbl>
      <w:tblPr>
        <w:tblStyle w:val="16"/>
        <w:tblW w:w="5000" w:type="pct"/>
        <w:tblInd w:w="0" w:type="dxa"/>
        <w:tblLayout w:type="autofit"/>
        <w:tblCellMar>
          <w:top w:w="0" w:type="dxa"/>
          <w:left w:w="108" w:type="dxa"/>
          <w:bottom w:w="0" w:type="dxa"/>
          <w:right w:w="108" w:type="dxa"/>
        </w:tblCellMar>
      </w:tblPr>
      <w:tblGrid>
        <w:gridCol w:w="1123"/>
        <w:gridCol w:w="1403"/>
        <w:gridCol w:w="5996"/>
      </w:tblGrid>
      <w:tr>
        <w:tblPrEx>
          <w:tblCellMar>
            <w:top w:w="0" w:type="dxa"/>
            <w:left w:w="108" w:type="dxa"/>
            <w:bottom w:w="0" w:type="dxa"/>
            <w:right w:w="108" w:type="dxa"/>
          </w:tblCellMar>
        </w:tblPrEx>
        <w:trPr>
          <w:trHeight w:val="720" w:hRule="atLeast"/>
        </w:trPr>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highlight w:val="none"/>
              </w:rPr>
            </w:pPr>
            <w:r>
              <w:rPr>
                <w:rFonts w:hint="eastAsia" w:ascii="仿宋_GB2312" w:hAnsi="华文细黑" w:eastAsia="仿宋_GB2312"/>
                <w:sz w:val="30"/>
                <w:szCs w:val="30"/>
                <w:highlight w:val="none"/>
              </w:rPr>
              <w:t xml:space="preserve"> </w:t>
            </w:r>
            <w:r>
              <w:rPr>
                <w:rFonts w:hint="eastAsia" w:ascii="仿宋_GB2312" w:hAnsi="宋体" w:eastAsia="仿宋_GB2312" w:cs="宋体"/>
                <w:b/>
                <w:bCs/>
                <w:color w:val="000000"/>
                <w:kern w:val="0"/>
                <w:sz w:val="24"/>
                <w:szCs w:val="24"/>
                <w:highlight w:val="none"/>
              </w:rPr>
              <w:t>编号</w:t>
            </w:r>
          </w:p>
        </w:tc>
        <w:tc>
          <w:tcPr>
            <w:tcW w:w="8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highlight w:val="none"/>
              </w:rPr>
            </w:pPr>
            <w:r>
              <w:rPr>
                <w:rFonts w:hint="eastAsia" w:ascii="仿宋_GB2312" w:hAnsi="宋体" w:eastAsia="仿宋_GB2312" w:cs="宋体"/>
                <w:b/>
                <w:bCs/>
                <w:color w:val="000000"/>
                <w:kern w:val="0"/>
                <w:sz w:val="24"/>
                <w:szCs w:val="24"/>
                <w:highlight w:val="none"/>
              </w:rPr>
              <w:t>评价项目</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highlight w:val="none"/>
              </w:rPr>
            </w:pPr>
            <w:r>
              <w:rPr>
                <w:rFonts w:hint="eastAsia" w:ascii="仿宋_GB2312" w:hAnsi="宋体" w:eastAsia="仿宋_GB2312" w:cs="宋体"/>
                <w:b/>
                <w:bCs/>
                <w:color w:val="000000"/>
                <w:kern w:val="0"/>
                <w:sz w:val="24"/>
                <w:szCs w:val="24"/>
                <w:highlight w:val="none"/>
              </w:rPr>
              <w:t>评价项目</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组织架构</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（1）设立独立业务团队，人员权责清晰；</w:t>
            </w:r>
          </w:p>
        </w:tc>
      </w:tr>
      <w:tr>
        <w:tblPrEx>
          <w:tblCellMar>
            <w:top w:w="0" w:type="dxa"/>
            <w:left w:w="108" w:type="dxa"/>
            <w:bottom w:w="0" w:type="dxa"/>
            <w:right w:w="108" w:type="dxa"/>
          </w:tblCellMar>
        </w:tblPrEx>
        <w:trPr>
          <w:trHeight w:val="109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（2）设立了包括交易岗、风险控制岗、技术运维岗等岗位，并建立备岗制度；</w:t>
            </w:r>
          </w:p>
        </w:tc>
      </w:tr>
      <w:tr>
        <w:tblPrEx>
          <w:tblCellMar>
            <w:top w:w="0" w:type="dxa"/>
            <w:left w:w="108" w:type="dxa"/>
            <w:bottom w:w="0" w:type="dxa"/>
            <w:right w:w="108" w:type="dxa"/>
          </w:tblCellMar>
        </w:tblPrEx>
        <w:trPr>
          <w:trHeight w:val="97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（3）明确做市业务部门与自营、风控、合规、结算等相关部门职能和责任；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（4）做市业务与其他自营业务实现隔离；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（5）团队成员具备相应专业背景和工作经历。</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业务相关制度方案</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（1）制定了基金做市业务实施方案, 包括业务定位、组织架构、业务决策、策略研究、系统建设、盈利分析、风险报告和压力测试机制等；</w:t>
            </w:r>
          </w:p>
        </w:tc>
      </w:tr>
      <w:tr>
        <w:tblPrEx>
          <w:tblCellMar>
            <w:top w:w="0" w:type="dxa"/>
            <w:left w:w="108" w:type="dxa"/>
            <w:bottom w:w="0" w:type="dxa"/>
            <w:right w:w="108" w:type="dxa"/>
          </w:tblCellMar>
        </w:tblPrEx>
        <w:trPr>
          <w:trHeight w:val="68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（2）制定了业务相关内部控制制度，包括权限管理、激励与约束、资金预核算管理、内部报告和内部审计等；</w:t>
            </w:r>
          </w:p>
        </w:tc>
      </w:tr>
      <w:tr>
        <w:tblPrEx>
          <w:tblCellMar>
            <w:top w:w="0" w:type="dxa"/>
            <w:left w:w="108" w:type="dxa"/>
            <w:bottom w:w="0" w:type="dxa"/>
            <w:right w:w="108" w:type="dxa"/>
          </w:tblCellMar>
        </w:tblPrEx>
        <w:trPr>
          <w:trHeight w:val="55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（3）制定了业务相关合规、风控制度，需细化至业务层面；</w:t>
            </w:r>
          </w:p>
        </w:tc>
      </w:tr>
      <w:tr>
        <w:tblPrEx>
          <w:tblCellMar>
            <w:top w:w="0" w:type="dxa"/>
            <w:left w:w="108" w:type="dxa"/>
            <w:bottom w:w="0" w:type="dxa"/>
            <w:right w:w="108" w:type="dxa"/>
          </w:tblCellMar>
        </w:tblPrEx>
        <w:trPr>
          <w:trHeight w:val="55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（4）制定了相关业务流程，包括决策流程、操作规范、流程控制管理等。</w:t>
            </w:r>
          </w:p>
        </w:tc>
      </w:tr>
      <w:tr>
        <w:tblPrEx>
          <w:tblCellMar>
            <w:top w:w="0" w:type="dxa"/>
            <w:left w:w="108" w:type="dxa"/>
            <w:bottom w:w="0" w:type="dxa"/>
            <w:right w:w="108" w:type="dxa"/>
          </w:tblCellMar>
        </w:tblPrEx>
        <w:trPr>
          <w:trHeight w:val="83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做市经验</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（1）做市业务经验及义务履行情况；</w:t>
            </w:r>
          </w:p>
        </w:tc>
      </w:tr>
      <w:tr>
        <w:tblPrEx>
          <w:tblCellMar>
            <w:top w:w="0" w:type="dxa"/>
            <w:left w:w="108" w:type="dxa"/>
            <w:bottom w:w="0" w:type="dxa"/>
            <w:right w:w="108" w:type="dxa"/>
          </w:tblCellMar>
        </w:tblPrEx>
        <w:trPr>
          <w:trHeight w:val="841"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（2）做市期间违规情况。</w:t>
            </w:r>
          </w:p>
        </w:tc>
      </w:tr>
      <w:tr>
        <w:tblPrEx>
          <w:tblCellMar>
            <w:top w:w="0" w:type="dxa"/>
            <w:left w:w="108" w:type="dxa"/>
            <w:bottom w:w="0" w:type="dxa"/>
            <w:right w:w="108" w:type="dxa"/>
          </w:tblCellMar>
        </w:tblPrEx>
        <w:trPr>
          <w:trHeight w:val="1494"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4</w:t>
            </w:r>
          </w:p>
        </w:tc>
        <w:tc>
          <w:tcPr>
            <w:tcW w:w="823" w:type="pct"/>
            <w:vMerge w:val="restart"/>
            <w:tcBorders>
              <w:top w:val="nil"/>
              <w:left w:val="nil"/>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做市策略</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（1）制定基金做市服务策略，涵盖定价模型、不同情况下的报价策略、对冲策略、存货管理策略等；</w:t>
            </w:r>
          </w:p>
        </w:tc>
      </w:tr>
      <w:tr>
        <w:tblPrEx>
          <w:tblCellMar>
            <w:top w:w="0" w:type="dxa"/>
            <w:left w:w="108" w:type="dxa"/>
            <w:bottom w:w="0" w:type="dxa"/>
            <w:right w:w="108" w:type="dxa"/>
          </w:tblCellMar>
        </w:tblPrEx>
        <w:trPr>
          <w:trHeight w:val="1124"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p>
        </w:tc>
        <w:tc>
          <w:tcPr>
            <w:tcW w:w="823" w:type="pct"/>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（2）做市策略符合合规风控要求。</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交易管理</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（1）基本交易指令、做市策略报价指令；</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（2）最大买卖价差、最小申报金额的设置；</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（3）持仓管理、订单管理、报价参数管理、报价模型管理；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（4）估值管理和估值偏离度监控；</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（5）申赎管理，包括申赎权限管理和申赎清单管理；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（6）行情数据接收管理；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（7）PBU和账户管理；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（8）盘前校验机制；</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（9）交易相关的前端控制（如每秒下单笔数、防对敲、超出风控阀值禁止下单等）；</w:t>
            </w:r>
          </w:p>
        </w:tc>
      </w:tr>
      <w:tr>
        <w:tblPrEx>
          <w:tblCellMar>
            <w:top w:w="0" w:type="dxa"/>
            <w:left w:w="108" w:type="dxa"/>
            <w:bottom w:w="0" w:type="dxa"/>
            <w:right w:w="108" w:type="dxa"/>
          </w:tblCellMar>
        </w:tblPrEx>
        <w:trPr>
          <w:trHeight w:val="503"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（10）风险对冲管理；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（11）批量撤单、一键撤单；</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 xml:space="preserve">（12）基金做市业务指标的监控及预警； </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（13）做市业务情况报告。</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风险控制</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 xml:space="preserve">（1）公司层面与部门层面制定了做市业务风险管理制度和业务方案； </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（2）公司层面与部门层面设置了总体风控指标和做市业务风控指标并进行实时监控和预警；</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（3）公司层面建立了风险限额制度，对做市业务每日实施独立监控；</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kern w:val="0"/>
                <w:sz w:val="24"/>
                <w:szCs w:val="24"/>
                <w:highlight w:val="none"/>
              </w:rPr>
              <w:t>（4）公司层面建立了关联股票交易限制等相关风控指标和应对机制；</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 xml:space="preserve">（5）公司层面建立了压力测试制度； </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（6）制定了详细、可行的应急预案;</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（7）建立了极端情况预警机制及处理流程；</w:t>
            </w:r>
          </w:p>
        </w:tc>
      </w:tr>
      <w:tr>
        <w:tblPrEx>
          <w:tblCellMar>
            <w:top w:w="0" w:type="dxa"/>
            <w:left w:w="108" w:type="dxa"/>
            <w:bottom w:w="0" w:type="dxa"/>
            <w:right w:w="108" w:type="dxa"/>
          </w:tblCellMar>
        </w:tblPrEx>
        <w:trPr>
          <w:trHeight w:val="55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（8）建立了风险报告制度。</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7</w:t>
            </w:r>
          </w:p>
        </w:tc>
        <w:tc>
          <w:tcPr>
            <w:tcW w:w="823" w:type="pct"/>
            <w:vMerge w:val="restart"/>
            <w:tcBorders>
              <w:top w:val="nil"/>
              <w:left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合规稽核</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（1）公司层面建立了完备的合规稽核机制；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（2）有针对做市业务的专门合规稽核机制；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（3）有针对业务人员的风控合规培训。</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highlight w:val="none"/>
              </w:rPr>
            </w:pPr>
            <w:r>
              <w:rPr>
                <w:rFonts w:hint="eastAsia" w:ascii="仿宋_GB2312" w:hAnsi="宋体" w:eastAsia="仿宋_GB2312" w:cs="宋体"/>
                <w:b/>
                <w:color w:val="000000"/>
                <w:kern w:val="0"/>
                <w:sz w:val="24"/>
                <w:szCs w:val="24"/>
                <w:highlight w:val="none"/>
              </w:rPr>
              <w:t>系统建设</w:t>
            </w: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（1）制定有完整系统建设方案；</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（2）有齐备系统交付物；</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（3）有完备系统配置和部署；</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（4）建立系统运维相关制度方案和流程；</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（5）建立业务系统运维团队，能够满足运维要求；</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（6）有定期系统测试机制；</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（7）有系统升级、变更的相关管理规范；</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（8）业务系统能实现做市业务各项基本功能要求；</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（9）业务系统建设满足业务隔离、控制风险、统一规划以及高可用性原则；</w:t>
            </w:r>
          </w:p>
        </w:tc>
      </w:tr>
      <w:tr>
        <w:tblPrEx>
          <w:tblCellMar>
            <w:top w:w="0" w:type="dxa"/>
            <w:left w:w="108" w:type="dxa"/>
            <w:bottom w:w="0" w:type="dxa"/>
            <w:right w:w="108" w:type="dxa"/>
          </w:tblCellMar>
        </w:tblPrEx>
        <w:trPr>
          <w:trHeight w:val="557"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highlight w:val="none"/>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（10）有系统切换、故障演练。</w:t>
            </w:r>
          </w:p>
        </w:tc>
      </w:tr>
    </w:tbl>
    <w:p>
      <w:pPr>
        <w:spacing w:line="600" w:lineRule="exact"/>
        <w:ind w:firstLine="600" w:firstLineChars="200"/>
        <w:rPr>
          <w:rFonts w:ascii="Times New Roman" w:hAnsi="Times New Roman" w:eastAsia="仿宋_GB2312"/>
          <w:sz w:val="30"/>
          <w:szCs w:val="30"/>
          <w:highlight w:val="none"/>
        </w:rPr>
      </w:pPr>
    </w:p>
    <w:p>
      <w:pPr>
        <w:spacing w:line="600" w:lineRule="exact"/>
        <w:ind w:firstLine="600" w:firstLineChars="200"/>
        <w:rPr>
          <w:rFonts w:ascii="Times New Roman" w:hAnsi="Times New Roman" w:eastAsia="仿宋_GB2312"/>
          <w:sz w:val="30"/>
          <w:szCs w:val="30"/>
          <w:highlight w:val="none"/>
        </w:rPr>
      </w:pPr>
    </w:p>
    <w:p>
      <w:pPr>
        <w:spacing w:line="600" w:lineRule="exact"/>
        <w:ind w:firstLine="600" w:firstLineChars="200"/>
        <w:rPr>
          <w:rFonts w:ascii="Times New Roman" w:hAnsi="Times New Roman" w:eastAsia="仿宋_GB2312"/>
          <w:sz w:val="30"/>
          <w:szCs w:val="30"/>
          <w:highlight w:val="none"/>
        </w:rPr>
      </w:pPr>
    </w:p>
    <w:p>
      <w:pPr>
        <w:spacing w:line="600" w:lineRule="exact"/>
        <w:ind w:firstLine="600" w:firstLineChars="200"/>
        <w:rPr>
          <w:rFonts w:ascii="Times New Roman" w:hAnsi="Times New Roman" w:eastAsia="仿宋_GB2312"/>
          <w:sz w:val="30"/>
          <w:szCs w:val="30"/>
          <w:highlight w:val="none"/>
        </w:rPr>
      </w:pPr>
    </w:p>
    <w:p>
      <w:pPr>
        <w:pStyle w:val="3"/>
        <w:spacing w:line="600" w:lineRule="exact"/>
        <w:rPr>
          <w:rFonts w:ascii="仿宋_GB2312" w:hAnsi="黑体" w:eastAsia="仿宋_GB2312"/>
          <w:kern w:val="44"/>
          <w:sz w:val="28"/>
          <w:szCs w:val="36"/>
          <w:highlight w:val="none"/>
        </w:rPr>
      </w:pPr>
      <w:bookmarkStart w:id="145" w:name="_Toc120180563"/>
      <w:bookmarkStart w:id="146" w:name="_Toc24693"/>
      <w:bookmarkStart w:id="147" w:name="_Toc20603"/>
      <w:bookmarkStart w:id="148" w:name="_Toc4946"/>
      <w:r>
        <w:rPr>
          <w:rFonts w:hint="eastAsia" w:ascii="仿宋_GB2312" w:hAnsi="黑体" w:eastAsia="仿宋_GB2312"/>
          <w:kern w:val="44"/>
          <w:sz w:val="28"/>
          <w:szCs w:val="36"/>
          <w:highlight w:val="none"/>
        </w:rPr>
        <w:t>附件2：做市业务申请</w:t>
      </w:r>
      <w:bookmarkEnd w:id="145"/>
      <w:bookmarkEnd w:id="146"/>
      <w:bookmarkEnd w:id="147"/>
      <w:bookmarkEnd w:id="148"/>
    </w:p>
    <w:p>
      <w:pPr>
        <w:jc w:val="center"/>
        <w:rPr>
          <w:rFonts w:ascii="仿宋_GB2312" w:hAnsi="宋体" w:eastAsia="仿宋_GB2312" w:cs="Times New Roman"/>
          <w:b/>
          <w:color w:val="FF0000"/>
          <w:spacing w:val="100"/>
          <w:sz w:val="44"/>
          <w:szCs w:val="44"/>
          <w:highlight w:val="none"/>
        </w:rPr>
      </w:pPr>
      <w:r>
        <w:rPr>
          <w:rFonts w:hint="eastAsia" w:ascii="仿宋_GB2312" w:hAnsi="宋体" w:eastAsia="仿宋_GB2312"/>
          <w:b/>
          <w:color w:val="FF0000"/>
          <w:spacing w:val="100"/>
          <w:sz w:val="44"/>
          <w:szCs w:val="44"/>
          <w:highlight w:val="none"/>
        </w:rPr>
        <w:t xml:space="preserve"> XX公司</w:t>
      </w:r>
    </w:p>
    <w:p>
      <w:pPr>
        <w:jc w:val="center"/>
        <w:rPr>
          <w:rFonts w:ascii="黑体" w:hAnsi="Calibri" w:eastAsia="黑体" w:cs="Times New Roman"/>
          <w:b/>
          <w:color w:val="FF0000"/>
          <w:sz w:val="32"/>
          <w:szCs w:val="32"/>
          <w:highlight w:val="none"/>
        </w:rPr>
      </w:pPr>
      <w:r>
        <w:rPr>
          <w:rFonts w:hint="eastAsia" w:ascii="宋体" w:hAnsi="宋体" w:eastAsia="宋体" w:cs="Times New Roman"/>
          <w:b/>
          <w:color w:val="FF0000"/>
          <w:sz w:val="52"/>
          <w:highlight w:val="none"/>
        </w:rPr>
        <w:t>───────────────</w:t>
      </w:r>
    </w:p>
    <w:p>
      <w:pPr>
        <w:pStyle w:val="6"/>
        <w:spacing w:line="500" w:lineRule="exact"/>
        <w:ind w:right="1264" w:firstLine="0" w:firstLineChars="0"/>
        <w:jc w:val="center"/>
        <w:rPr>
          <w:rFonts w:ascii="方正大标宋简体" w:eastAsia="方正大标宋简体"/>
          <w:b/>
          <w:color w:val="000000"/>
          <w:sz w:val="44"/>
          <w:szCs w:val="44"/>
          <w:highlight w:val="none"/>
        </w:rPr>
      </w:pPr>
      <w:r>
        <w:rPr>
          <w:rFonts w:hint="eastAsia"/>
          <w:b/>
          <w:color w:val="000000"/>
          <w:sz w:val="28"/>
          <w:highlight w:val="none"/>
        </w:rPr>
        <w:t xml:space="preserve">     </w:t>
      </w:r>
      <w:r>
        <w:rPr>
          <w:rFonts w:hint="eastAsia"/>
          <w:b/>
          <w:color w:val="000000"/>
          <w:sz w:val="44"/>
          <w:szCs w:val="44"/>
          <w:highlight w:val="none"/>
        </w:rPr>
        <w:t xml:space="preserve">  函号</w:t>
      </w:r>
    </w:p>
    <w:p>
      <w:pPr>
        <w:jc w:val="center"/>
        <w:rPr>
          <w:rFonts w:ascii="黑体" w:hAnsi="黑体" w:eastAsia="黑体"/>
          <w:b/>
          <w:color w:val="000000"/>
          <w:sz w:val="32"/>
          <w:szCs w:val="32"/>
          <w:highlight w:val="none"/>
        </w:rPr>
      </w:pPr>
    </w:p>
    <w:p>
      <w:pPr>
        <w:jc w:val="center"/>
        <w:rPr>
          <w:rFonts w:ascii="黑体" w:hAnsi="黑体" w:eastAsia="黑体"/>
          <w:b/>
          <w:sz w:val="36"/>
          <w:szCs w:val="36"/>
          <w:highlight w:val="none"/>
        </w:rPr>
      </w:pPr>
      <w:r>
        <w:rPr>
          <w:rFonts w:hint="eastAsia" w:ascii="黑体" w:hAnsi="黑体" w:eastAsia="黑体"/>
          <w:b/>
          <w:sz w:val="36"/>
          <w:szCs w:val="36"/>
          <w:highlight w:val="none"/>
        </w:rPr>
        <w:t>XX公司关于申请成为上海证券交易所上市基金主（一般）做市商的函</w:t>
      </w:r>
    </w:p>
    <w:p>
      <w:pPr>
        <w:rPr>
          <w:rFonts w:ascii="仿宋_GB2312" w:eastAsia="仿宋_GB2312"/>
          <w:sz w:val="28"/>
          <w:szCs w:val="28"/>
          <w:highlight w:val="none"/>
        </w:rPr>
      </w:pPr>
      <w:r>
        <w:rPr>
          <w:rFonts w:hint="eastAsia" w:ascii="仿宋_GB2312" w:eastAsia="仿宋_GB2312"/>
          <w:sz w:val="28"/>
          <w:szCs w:val="28"/>
          <w:highlight w:val="none"/>
        </w:rPr>
        <w:t>上海证券交易所：</w:t>
      </w:r>
    </w:p>
    <w:p>
      <w:pPr>
        <w:ind w:firstLine="560" w:firstLineChars="200"/>
        <w:jc w:val="left"/>
        <w:rPr>
          <w:rFonts w:ascii="仿宋_GB2312" w:hAnsi="Times New Roman" w:eastAsia="仿宋_GB2312" w:cs="Times New Roman"/>
          <w:sz w:val="28"/>
          <w:szCs w:val="28"/>
          <w:highlight w:val="none"/>
        </w:rPr>
      </w:pPr>
      <w:r>
        <w:rPr>
          <w:rFonts w:hint="eastAsia" w:ascii="仿宋_GB2312" w:eastAsia="仿宋_GB2312"/>
          <w:sz w:val="28"/>
          <w:szCs w:val="28"/>
          <w:highlight w:val="none"/>
        </w:rPr>
        <w:t>根据《上海证券交易所基金自律监管规则适用指引第2号——上市基金做市业务》等相关规定，我司向你所申请成为上市基金主（一般）做市商，同时申请基金做市业务专项检查和技术测试。</w:t>
      </w:r>
      <w:r>
        <w:rPr>
          <w:rFonts w:hint="eastAsia" w:ascii="仿宋_GB2312" w:hAnsi="Times New Roman" w:eastAsia="仿宋_GB2312" w:cs="Times New Roman"/>
          <w:sz w:val="28"/>
          <w:szCs w:val="28"/>
          <w:highlight w:val="none"/>
        </w:rPr>
        <w:t>现将有关情况汇报如下：</w:t>
      </w:r>
    </w:p>
    <w:p>
      <w:pPr>
        <w:pStyle w:val="34"/>
        <w:numPr>
          <w:ilvl w:val="0"/>
          <w:numId w:val="1"/>
        </w:numPr>
        <w:ind w:firstLineChars="0"/>
        <w:rPr>
          <w:rFonts w:ascii="仿宋_GB2312" w:eastAsia="仿宋_GB2312"/>
          <w:b/>
          <w:sz w:val="28"/>
          <w:szCs w:val="28"/>
          <w:highlight w:val="none"/>
        </w:rPr>
      </w:pPr>
      <w:r>
        <w:rPr>
          <w:rFonts w:hint="eastAsia" w:ascii="仿宋_GB2312" w:eastAsia="仿宋_GB2312"/>
          <w:b/>
          <w:sz w:val="28"/>
          <w:szCs w:val="28"/>
          <w:highlight w:val="none"/>
        </w:rPr>
        <w:t>公司基本情况</w:t>
      </w:r>
    </w:p>
    <w:p>
      <w:pPr>
        <w:pStyle w:val="34"/>
        <w:numPr>
          <w:ilvl w:val="0"/>
          <w:numId w:val="1"/>
        </w:numPr>
        <w:ind w:firstLineChars="0"/>
        <w:rPr>
          <w:rFonts w:ascii="仿宋_GB2312" w:eastAsia="仿宋_GB2312"/>
          <w:b/>
          <w:sz w:val="28"/>
          <w:szCs w:val="28"/>
          <w:highlight w:val="none"/>
        </w:rPr>
      </w:pPr>
      <w:r>
        <w:rPr>
          <w:rFonts w:hint="eastAsia" w:ascii="仿宋_GB2312" w:eastAsia="仿宋_GB2312"/>
          <w:b/>
          <w:sz w:val="28"/>
          <w:szCs w:val="28"/>
          <w:highlight w:val="none"/>
        </w:rPr>
        <w:t>申请成为做市商的条件与优势</w:t>
      </w:r>
    </w:p>
    <w:p>
      <w:pPr>
        <w:pStyle w:val="34"/>
        <w:numPr>
          <w:ilvl w:val="0"/>
          <w:numId w:val="2"/>
        </w:numPr>
        <w:ind w:firstLineChars="0"/>
        <w:rPr>
          <w:rFonts w:ascii="仿宋_GB2312" w:eastAsia="仿宋_GB2312"/>
          <w:sz w:val="28"/>
          <w:szCs w:val="28"/>
          <w:highlight w:val="none"/>
        </w:rPr>
      </w:pPr>
      <w:r>
        <w:rPr>
          <w:rFonts w:hint="eastAsia" w:ascii="仿宋_GB2312" w:eastAsia="仿宋_GB2312"/>
          <w:sz w:val="28"/>
          <w:szCs w:val="28"/>
          <w:highlight w:val="none"/>
        </w:rPr>
        <w:t>论述公司符合申请条件</w:t>
      </w:r>
    </w:p>
    <w:p>
      <w:pPr>
        <w:ind w:left="0" w:firstLine="840" w:firstLineChars="300"/>
        <w:rPr>
          <w:rFonts w:ascii="仿宋_GB2312" w:eastAsia="仿宋_GB2312"/>
          <w:sz w:val="28"/>
          <w:szCs w:val="28"/>
          <w:highlight w:val="none"/>
        </w:rPr>
      </w:pPr>
      <w:r>
        <w:rPr>
          <w:rFonts w:hint="eastAsia" w:ascii="仿宋_GB2312" w:eastAsia="仿宋_GB2312"/>
          <w:sz w:val="28"/>
          <w:szCs w:val="28"/>
          <w:highlight w:val="none"/>
        </w:rPr>
        <w:t>须包括公司以自有资金开展做市业务（</w:t>
      </w:r>
      <w:r>
        <w:rPr>
          <w:rFonts w:hint="eastAsia" w:ascii="仿宋_GB2312" w:hAnsi="宋体" w:eastAsia="仿宋_GB2312" w:cs="宋体"/>
          <w:sz w:val="28"/>
          <w:szCs w:val="28"/>
          <w:highlight w:val="none"/>
        </w:rPr>
        <w:t>用于做市业务资金规模）；</w:t>
      </w:r>
      <w:r>
        <w:rPr>
          <w:rFonts w:hint="eastAsia" w:ascii="仿宋_GB2312" w:eastAsia="仿宋_GB2312"/>
          <w:sz w:val="28"/>
          <w:szCs w:val="28"/>
          <w:highlight w:val="none"/>
        </w:rPr>
        <w:t>过去一年内未因做市业务的违法违规行为被中国证监会或本所采取监管措施、纪律处分或行政处罚。</w:t>
      </w:r>
    </w:p>
    <w:p>
      <w:pPr>
        <w:pStyle w:val="34"/>
        <w:numPr>
          <w:ilvl w:val="0"/>
          <w:numId w:val="2"/>
        </w:numPr>
        <w:ind w:firstLineChars="0"/>
        <w:rPr>
          <w:rFonts w:ascii="仿宋_GB2312" w:eastAsia="仿宋_GB2312"/>
          <w:sz w:val="28"/>
          <w:szCs w:val="28"/>
          <w:highlight w:val="none"/>
        </w:rPr>
      </w:pPr>
      <w:r>
        <w:rPr>
          <w:rFonts w:hint="eastAsia" w:ascii="仿宋_GB2312" w:eastAsia="仿宋_GB2312"/>
          <w:sz w:val="28"/>
          <w:szCs w:val="28"/>
          <w:highlight w:val="none"/>
        </w:rPr>
        <w:t>公司开展做市业务的相关优势</w:t>
      </w:r>
    </w:p>
    <w:p>
      <w:pPr>
        <w:pStyle w:val="34"/>
        <w:numPr>
          <w:ilvl w:val="0"/>
          <w:numId w:val="1"/>
        </w:numPr>
        <w:ind w:firstLineChars="0"/>
        <w:rPr>
          <w:rFonts w:ascii="仿宋_GB2312" w:eastAsia="仿宋_GB2312"/>
          <w:b/>
          <w:sz w:val="28"/>
          <w:szCs w:val="28"/>
          <w:highlight w:val="none"/>
        </w:rPr>
      </w:pPr>
      <w:r>
        <w:rPr>
          <w:rFonts w:hint="eastAsia" w:ascii="仿宋_GB2312" w:eastAsia="仿宋_GB2312"/>
          <w:b/>
          <w:sz w:val="28"/>
          <w:szCs w:val="28"/>
          <w:highlight w:val="none"/>
        </w:rPr>
        <w:t>申请材料说明</w:t>
      </w:r>
    </w:p>
    <w:p>
      <w:pPr>
        <w:pStyle w:val="34"/>
        <w:ind w:left="1282" w:firstLine="0" w:firstLineChars="0"/>
        <w:rPr>
          <w:rFonts w:ascii="仿宋_GB2312" w:eastAsia="仿宋_GB2312"/>
          <w:sz w:val="28"/>
          <w:szCs w:val="28"/>
          <w:highlight w:val="none"/>
        </w:rPr>
      </w:pPr>
      <w:r>
        <w:rPr>
          <w:rFonts w:hint="eastAsia" w:ascii="仿宋_GB2312" w:eastAsia="仿宋_GB2312"/>
          <w:sz w:val="28"/>
          <w:szCs w:val="28"/>
          <w:highlight w:val="none"/>
        </w:rPr>
        <w:t>列明申请材料清单。</w:t>
      </w:r>
    </w:p>
    <w:p>
      <w:pPr>
        <w:pStyle w:val="34"/>
        <w:ind w:left="1282" w:firstLine="0" w:firstLineChars="0"/>
        <w:rPr>
          <w:rFonts w:ascii="仿宋_GB2312" w:eastAsia="仿宋_GB2312"/>
          <w:sz w:val="28"/>
          <w:szCs w:val="28"/>
          <w:highlight w:val="none"/>
        </w:rPr>
      </w:pPr>
    </w:p>
    <w:p>
      <w:pPr>
        <w:rPr>
          <w:rFonts w:ascii="仿宋_GB2312" w:eastAsia="仿宋_GB2312"/>
          <w:sz w:val="28"/>
          <w:szCs w:val="28"/>
          <w:highlight w:val="none"/>
        </w:rPr>
      </w:pPr>
      <w:r>
        <w:rPr>
          <w:rFonts w:hint="eastAsia" w:ascii="仿宋_GB2312" w:hAnsi="Times New Roman" w:eastAsia="仿宋_GB2312" w:cs="Times New Roman"/>
          <w:b/>
          <w:sz w:val="28"/>
          <w:szCs w:val="28"/>
          <w:highlight w:val="none"/>
        </w:rPr>
        <w:tab/>
      </w:r>
      <w:r>
        <w:rPr>
          <w:rFonts w:hint="eastAsia" w:ascii="仿宋_GB2312" w:hAnsi="Times New Roman" w:eastAsia="仿宋_GB2312" w:cs="Times New Roman"/>
          <w:b/>
          <w:sz w:val="28"/>
          <w:szCs w:val="28"/>
          <w:highlight w:val="none"/>
        </w:rPr>
        <w:t xml:space="preserve"> </w:t>
      </w:r>
      <w:r>
        <w:rPr>
          <w:rFonts w:hint="eastAsia" w:ascii="仿宋_GB2312" w:hAnsi="Times New Roman" w:eastAsia="仿宋_GB2312" w:cs="Times New Roman"/>
          <w:sz w:val="28"/>
          <w:szCs w:val="28"/>
          <w:highlight w:val="none"/>
        </w:rPr>
        <w:t>综上所述，我司</w:t>
      </w:r>
      <w:r>
        <w:rPr>
          <w:rFonts w:hint="eastAsia" w:ascii="仿宋_GB2312" w:eastAsia="仿宋_GB2312"/>
          <w:sz w:val="28"/>
          <w:szCs w:val="28"/>
          <w:highlight w:val="none"/>
        </w:rPr>
        <w:t>已做好相关准备工作，现向你所申请成为上市基金主（一般）做市商。</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我司承诺，提交的申请材料内容真实、准确、完整，如存在虚假记载、误导性陈述和重大遗漏，将承担相关法律责任。</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特此致函。</w:t>
      </w:r>
    </w:p>
    <w:p>
      <w:pPr>
        <w:ind w:firstLine="420"/>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XX公司（盖章）</w:t>
      </w: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法定代表人或授权代表（签字）</w:t>
      </w: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XX年XX月XX日</w:t>
      </w:r>
    </w:p>
    <w:p>
      <w:pPr>
        <w:widowControl/>
        <w:jc w:val="left"/>
        <w:rPr>
          <w:rFonts w:ascii="仿宋_GB2312" w:eastAsia="仿宋_GB2312"/>
          <w:sz w:val="30"/>
          <w:szCs w:val="30"/>
          <w:highlight w:val="none"/>
        </w:rPr>
      </w:pPr>
      <w:r>
        <w:rPr>
          <w:rFonts w:ascii="仿宋_GB2312" w:eastAsia="仿宋_GB2312"/>
          <w:b/>
          <w:bCs/>
          <w:sz w:val="30"/>
          <w:szCs w:val="30"/>
          <w:highlight w:val="none"/>
        </w:rPr>
        <w:br w:type="page"/>
      </w:r>
    </w:p>
    <w:p>
      <w:pPr>
        <w:pStyle w:val="3"/>
        <w:spacing w:line="600" w:lineRule="exact"/>
        <w:rPr>
          <w:rFonts w:ascii="仿宋_GB2312" w:hAnsi="黑体" w:eastAsia="仿宋_GB2312"/>
          <w:b w:val="0"/>
          <w:kern w:val="44"/>
          <w:sz w:val="28"/>
          <w:szCs w:val="36"/>
          <w:highlight w:val="none"/>
        </w:rPr>
      </w:pPr>
      <w:bookmarkStart w:id="149" w:name="_Toc120180564"/>
      <w:bookmarkStart w:id="150" w:name="_Toc32754"/>
      <w:bookmarkStart w:id="151" w:name="_Toc15759"/>
      <w:bookmarkStart w:id="152" w:name="_Toc10779"/>
      <w:r>
        <w:rPr>
          <w:rFonts w:hint="eastAsia" w:ascii="仿宋_GB2312" w:hAnsi="黑体" w:eastAsia="仿宋_GB2312"/>
          <w:kern w:val="44"/>
          <w:sz w:val="28"/>
          <w:szCs w:val="36"/>
          <w:highlight w:val="none"/>
        </w:rPr>
        <w:t>附件3：做市业务人员情况表</w:t>
      </w:r>
      <w:bookmarkEnd w:id="149"/>
      <w:bookmarkEnd w:id="150"/>
      <w:bookmarkEnd w:id="151"/>
      <w:bookmarkEnd w:id="152"/>
    </w:p>
    <w:p>
      <w:pPr>
        <w:widowControl/>
        <w:spacing w:line="600" w:lineRule="exact"/>
        <w:jc w:val="left"/>
        <w:rPr>
          <w:rFonts w:ascii="Times New Roman" w:hAnsi="Times New Roman" w:eastAsia="仿宋_GB2312"/>
          <w:sz w:val="30"/>
          <w:szCs w:val="3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183"/>
        <w:gridCol w:w="1559"/>
        <w:gridCol w:w="422"/>
        <w:gridCol w:w="1279"/>
        <w:gridCol w:w="138"/>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公司名称</w:t>
            </w:r>
          </w:p>
        </w:tc>
        <w:tc>
          <w:tcPr>
            <w:tcW w:w="6901"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做市业务负责人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姓名</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部门</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电话</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做市业务联络人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姓名</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部门</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电话</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shd w:val="clear" w:color="auto" w:fill="F2F2F2"/>
            <w:vAlign w:val="center"/>
          </w:tcPr>
          <w:p>
            <w:pPr>
              <w:spacing w:line="600" w:lineRule="exact"/>
              <w:rPr>
                <w:rFonts w:ascii="仿宋_GB2312" w:hAnsi="仿宋" w:eastAsia="仿宋_GB2312"/>
                <w:b/>
                <w:sz w:val="20"/>
                <w:szCs w:val="20"/>
                <w:highlight w:val="none"/>
              </w:rPr>
            </w:pPr>
            <w:r>
              <w:rPr>
                <w:rFonts w:hint="eastAsia" w:ascii="仿宋_GB2312" w:hAnsi="仿宋" w:eastAsia="仿宋_GB2312"/>
                <w:b/>
                <w:sz w:val="20"/>
                <w:szCs w:val="20"/>
                <w:highlight w:val="none"/>
              </w:rPr>
              <w:t>部门与岗位设置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（部门名称1）工作职责包括：</w:t>
            </w:r>
          </w:p>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（1）</w:t>
            </w:r>
          </w:p>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职责描述（标明人员为主岗或备岗）</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教育背景与工作履历（做市部门人员须填写教育背景）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i/>
                <w:sz w:val="20"/>
                <w:szCs w:val="20"/>
                <w:highlight w:val="none"/>
              </w:rPr>
            </w:pPr>
            <w:r>
              <w:rPr>
                <w:rFonts w:hint="eastAsia" w:ascii="仿宋_GB2312" w:hAnsi="仿宋" w:eastAsia="仿宋_GB2312"/>
                <w:i/>
                <w:sz w:val="20"/>
                <w:szCs w:val="20"/>
                <w:highlight w:val="none"/>
              </w:rPr>
              <w:t>（部门负责人）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i/>
                <w:sz w:val="20"/>
                <w:szCs w:val="20"/>
                <w:highlight w:val="none"/>
              </w:rPr>
            </w:pPr>
            <w:r>
              <w:rPr>
                <w:rFonts w:hint="eastAsia" w:ascii="仿宋_GB2312" w:hAnsi="仿宋" w:eastAsia="仿宋_GB2312"/>
                <w:i/>
                <w:sz w:val="20"/>
                <w:szCs w:val="20"/>
                <w:highlight w:val="none"/>
              </w:rPr>
              <w:t>（座机）</w:t>
            </w:r>
          </w:p>
          <w:p>
            <w:pPr>
              <w:spacing w:line="600" w:lineRule="exact"/>
              <w:rPr>
                <w:rFonts w:ascii="仿宋_GB2312" w:hAnsi="仿宋" w:eastAsia="仿宋_GB2312"/>
                <w:i/>
                <w:sz w:val="20"/>
                <w:szCs w:val="20"/>
                <w:highlight w:val="none"/>
              </w:rPr>
            </w:pPr>
            <w:r>
              <w:rPr>
                <w:rFonts w:hint="eastAsia" w:ascii="仿宋_GB2312" w:hAnsi="仿宋" w:eastAsia="仿宋_GB2312"/>
                <w:i/>
                <w:sz w:val="20"/>
                <w:szCs w:val="20"/>
                <w:highlight w:val="none"/>
              </w:rPr>
              <w:t>（手机）</w:t>
            </w:r>
          </w:p>
          <w:p>
            <w:pPr>
              <w:spacing w:line="600" w:lineRule="exact"/>
              <w:rPr>
                <w:rFonts w:ascii="仿宋_GB2312" w:hAnsi="仿宋" w:eastAsia="仿宋_GB2312"/>
                <w:sz w:val="20"/>
                <w:szCs w:val="20"/>
                <w:highlight w:val="none"/>
              </w:rPr>
            </w:pPr>
            <w:r>
              <w:rPr>
                <w:rFonts w:hint="eastAsia" w:ascii="仿宋_GB2312" w:hAnsi="仿宋" w:eastAsia="仿宋_GB2312"/>
                <w:i/>
                <w:sz w:val="20"/>
                <w:szCs w:val="20"/>
                <w:highlight w:val="none"/>
              </w:rPr>
              <w:t>（邮件）</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i/>
                <w:sz w:val="20"/>
                <w:szCs w:val="20"/>
                <w:highlight w:val="none"/>
              </w:rPr>
            </w:pPr>
            <w:r>
              <w:rPr>
                <w:rFonts w:hint="eastAsia" w:ascii="仿宋_GB2312" w:hAnsi="仿宋" w:eastAsia="仿宋_GB2312"/>
                <w:i/>
                <w:sz w:val="20"/>
                <w:szCs w:val="20"/>
                <w:highlight w:val="none"/>
              </w:rPr>
              <w:t>教育背景：</w:t>
            </w:r>
          </w:p>
          <w:p>
            <w:pPr>
              <w:rPr>
                <w:rFonts w:ascii="仿宋_GB2312" w:hAnsi="仿宋" w:eastAsia="仿宋_GB2312"/>
                <w:i/>
                <w:sz w:val="20"/>
                <w:szCs w:val="20"/>
                <w:highlight w:val="none"/>
              </w:rPr>
            </w:pPr>
            <w:r>
              <w:rPr>
                <w:rFonts w:hint="eastAsia" w:ascii="仿宋_GB2312" w:hAnsi="仿宋" w:eastAsia="仿宋_GB2312"/>
                <w:i/>
                <w:sz w:val="20"/>
                <w:szCs w:val="20"/>
                <w:highlight w:val="none"/>
              </w:rPr>
              <w:t>（从本科写到最高学历：年份-毕业学校-专业-学位）</w:t>
            </w:r>
          </w:p>
          <w:p>
            <w:pPr>
              <w:spacing w:line="600" w:lineRule="exact"/>
              <w:rPr>
                <w:rFonts w:ascii="仿宋_GB2312" w:hAnsi="仿宋" w:eastAsia="仿宋_GB2312"/>
                <w:i/>
                <w:sz w:val="20"/>
                <w:szCs w:val="20"/>
                <w:highlight w:val="none"/>
              </w:rPr>
            </w:pPr>
            <w:r>
              <w:rPr>
                <w:rFonts w:hint="eastAsia" w:ascii="仿宋_GB2312" w:hAnsi="仿宋" w:eastAsia="仿宋_GB2312"/>
                <w:i/>
                <w:sz w:val="20"/>
                <w:szCs w:val="20"/>
                <w:highlight w:val="none"/>
              </w:rPr>
              <w:t>工作履历：</w:t>
            </w:r>
          </w:p>
          <w:p>
            <w:pPr>
              <w:rPr>
                <w:rFonts w:ascii="仿宋_GB2312" w:hAnsi="仿宋" w:eastAsia="仿宋_GB2312"/>
                <w:i/>
                <w:sz w:val="20"/>
                <w:szCs w:val="20"/>
                <w:highlight w:val="none"/>
              </w:rPr>
            </w:pPr>
            <w:r>
              <w:rPr>
                <w:rFonts w:hint="eastAsia" w:ascii="仿宋_GB2312" w:hAnsi="仿宋" w:eastAsia="仿宋_GB2312"/>
                <w:i/>
                <w:sz w:val="20"/>
                <w:szCs w:val="20"/>
                <w:highlight w:val="none"/>
              </w:rPr>
              <w:t>（年份-单位-职责）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（部门名称2）工作职责包括：</w:t>
            </w:r>
          </w:p>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（1）</w:t>
            </w:r>
          </w:p>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（部门名称3）工作职责包括：</w:t>
            </w:r>
          </w:p>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（1）</w:t>
            </w:r>
          </w:p>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highlight w:val="none"/>
              </w:rPr>
            </w:pPr>
            <w:r>
              <w:rPr>
                <w:rFonts w:hint="eastAsia" w:ascii="仿宋_GB2312" w:hAnsi="仿宋" w:eastAsia="仿宋_GB2312"/>
                <w:sz w:val="20"/>
                <w:szCs w:val="20"/>
                <w:highlight w:val="none"/>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highlight w:val="none"/>
              </w:rPr>
            </w:pPr>
          </w:p>
        </w:tc>
      </w:tr>
    </w:tbl>
    <w:p>
      <w:pPr>
        <w:widowControl/>
        <w:spacing w:line="600" w:lineRule="exact"/>
        <w:jc w:val="left"/>
        <w:rPr>
          <w:rFonts w:ascii="仿宋_GB2312" w:hAnsi="仿宋" w:eastAsia="仿宋_GB2312"/>
          <w:sz w:val="20"/>
          <w:szCs w:val="20"/>
          <w:highlight w:val="none"/>
        </w:rPr>
      </w:pPr>
    </w:p>
    <w:p>
      <w:pPr>
        <w:widowControl/>
        <w:spacing w:line="600" w:lineRule="exact"/>
        <w:jc w:val="left"/>
        <w:rPr>
          <w:rFonts w:ascii="仿宋_GB2312" w:hAnsi="仿宋" w:eastAsia="仿宋_GB2312"/>
          <w:sz w:val="20"/>
          <w:szCs w:val="20"/>
          <w:highlight w:val="none"/>
        </w:rPr>
      </w:pPr>
      <w:r>
        <w:rPr>
          <w:rFonts w:hint="eastAsia" w:ascii="仿宋_GB2312" w:hAnsi="仿宋" w:eastAsia="仿宋_GB2312"/>
          <w:sz w:val="20"/>
          <w:szCs w:val="20"/>
          <w:highlight w:val="none"/>
        </w:rPr>
        <w:t>备注：做市部门人员包括做市部门负责人、交易岗（包括备岗）、风险控制岗、技术支持岗等。</w:t>
      </w:r>
    </w:p>
    <w:p>
      <w:pPr>
        <w:widowControl/>
        <w:spacing w:line="600" w:lineRule="exact"/>
        <w:jc w:val="left"/>
        <w:rPr>
          <w:rFonts w:ascii="仿宋_GB2312" w:hAnsi="仿宋" w:eastAsia="仿宋_GB2312"/>
          <w:sz w:val="20"/>
          <w:szCs w:val="20"/>
          <w:highlight w:val="none"/>
        </w:rPr>
      </w:pPr>
    </w:p>
    <w:p>
      <w:pPr>
        <w:widowControl/>
        <w:spacing w:line="600" w:lineRule="exact"/>
        <w:jc w:val="right"/>
        <w:rPr>
          <w:rFonts w:ascii="仿宋_GB2312" w:hAnsi="黑体" w:eastAsia="仿宋_GB2312"/>
          <w:kern w:val="44"/>
          <w:sz w:val="28"/>
          <w:szCs w:val="36"/>
          <w:highlight w:val="none"/>
        </w:rPr>
      </w:pPr>
      <w:r>
        <w:rPr>
          <w:rFonts w:hint="eastAsia" w:ascii="仿宋_GB2312" w:hAnsi="黑体" w:eastAsia="仿宋_GB2312"/>
          <w:kern w:val="44"/>
          <w:sz w:val="28"/>
          <w:szCs w:val="36"/>
          <w:highlight w:val="none"/>
        </w:rPr>
        <w:t>年   月   日</w:t>
      </w:r>
    </w:p>
    <w:p>
      <w:pPr>
        <w:widowControl/>
        <w:spacing w:line="600" w:lineRule="exact"/>
        <w:jc w:val="right"/>
        <w:rPr>
          <w:rFonts w:ascii="仿宋_GB2312" w:hAnsi="黑体" w:eastAsia="仿宋_GB2312"/>
          <w:kern w:val="44"/>
          <w:sz w:val="28"/>
          <w:szCs w:val="36"/>
          <w:highlight w:val="none"/>
        </w:rPr>
      </w:pPr>
      <w:r>
        <w:rPr>
          <w:rFonts w:hint="eastAsia" w:ascii="仿宋_GB2312" w:hAnsi="黑体" w:eastAsia="仿宋_GB2312"/>
          <w:kern w:val="44"/>
          <w:sz w:val="28"/>
          <w:szCs w:val="36"/>
          <w:highlight w:val="none"/>
        </w:rPr>
        <w:t>（加盖单位公章）</w:t>
      </w:r>
    </w:p>
    <w:p>
      <w:pPr>
        <w:widowControl/>
        <w:spacing w:line="600" w:lineRule="exact"/>
        <w:ind w:right="500"/>
        <w:jc w:val="right"/>
        <w:rPr>
          <w:rFonts w:ascii="仿宋_GB2312" w:hAnsi="黑体" w:eastAsia="仿宋_GB2312"/>
          <w:kern w:val="44"/>
          <w:sz w:val="28"/>
          <w:szCs w:val="36"/>
          <w:highlight w:val="none"/>
        </w:rPr>
      </w:pPr>
      <w:r>
        <w:rPr>
          <w:rFonts w:ascii="Times New Roman" w:hAnsi="Times New Roman" w:eastAsia="仿宋_GB2312"/>
          <w:kern w:val="0"/>
          <w:sz w:val="30"/>
          <w:szCs w:val="30"/>
          <w:highlight w:val="none"/>
        </w:rPr>
        <w:br w:type="page"/>
      </w:r>
    </w:p>
    <w:p>
      <w:pPr>
        <w:pStyle w:val="3"/>
        <w:spacing w:line="600" w:lineRule="exact"/>
        <w:rPr>
          <w:rFonts w:ascii="仿宋_GB2312" w:hAnsi="黑体" w:eastAsia="仿宋_GB2312"/>
          <w:kern w:val="44"/>
          <w:sz w:val="28"/>
          <w:szCs w:val="36"/>
          <w:highlight w:val="none"/>
        </w:rPr>
      </w:pPr>
      <w:bookmarkStart w:id="153" w:name="_Toc634"/>
      <w:bookmarkStart w:id="154" w:name="_Toc19822"/>
      <w:bookmarkStart w:id="155" w:name="_Toc28440"/>
      <w:bookmarkStart w:id="156" w:name="_Toc120180566"/>
      <w:r>
        <w:rPr>
          <w:rFonts w:hint="eastAsia" w:ascii="仿宋_GB2312" w:hAnsi="黑体" w:eastAsia="仿宋_GB2312"/>
          <w:kern w:val="44"/>
          <w:sz w:val="28"/>
          <w:szCs w:val="36"/>
          <w:highlight w:val="none"/>
        </w:rPr>
        <w:t>附件4：提供做市服务申请</w:t>
      </w:r>
      <w:bookmarkEnd w:id="153"/>
      <w:bookmarkEnd w:id="154"/>
      <w:bookmarkEnd w:id="155"/>
      <w:bookmarkEnd w:id="156"/>
    </w:p>
    <w:p>
      <w:pPr>
        <w:jc w:val="center"/>
        <w:rPr>
          <w:rFonts w:ascii="黑体" w:hAnsi="黑体" w:eastAsia="黑体"/>
          <w:b/>
          <w:sz w:val="36"/>
          <w:szCs w:val="36"/>
          <w:highlight w:val="none"/>
        </w:rPr>
      </w:pPr>
      <w:bookmarkStart w:id="157" w:name="_Toc25665883"/>
      <w:r>
        <w:rPr>
          <w:rFonts w:hint="eastAsia" w:ascii="黑体" w:hAnsi="黑体" w:eastAsia="黑体"/>
          <w:b/>
          <w:sz w:val="36"/>
          <w:szCs w:val="36"/>
          <w:highlight w:val="none"/>
        </w:rPr>
        <w:t>XX公司关于为XX基金（等X只基金）提供          主（一般）做市服务的申请</w:t>
      </w:r>
      <w:bookmarkEnd w:id="157"/>
    </w:p>
    <w:p>
      <w:pPr>
        <w:spacing w:beforeLines="50"/>
        <w:rPr>
          <w:rFonts w:ascii="仿宋_GB2312" w:eastAsia="仿宋_GB2312"/>
          <w:sz w:val="28"/>
          <w:szCs w:val="28"/>
          <w:highlight w:val="none"/>
        </w:rPr>
      </w:pPr>
      <w:r>
        <w:rPr>
          <w:rFonts w:hint="eastAsia" w:ascii="仿宋_GB2312" w:eastAsia="仿宋_GB2312"/>
          <w:sz w:val="28"/>
          <w:szCs w:val="28"/>
          <w:highlight w:val="none"/>
        </w:rPr>
        <w:t>上海证券交易所：</w:t>
      </w:r>
    </w:p>
    <w:p>
      <w:pPr>
        <w:ind w:firstLine="560" w:firstLineChars="200"/>
        <w:rPr>
          <w:rFonts w:ascii="仿宋_GB2312" w:hAnsi="仿宋" w:eastAsia="仿宋_GB2312" w:cs="Arial"/>
          <w:kern w:val="0"/>
          <w:sz w:val="28"/>
          <w:szCs w:val="28"/>
          <w:highlight w:val="none"/>
        </w:rPr>
      </w:pPr>
      <w:r>
        <w:rPr>
          <w:rFonts w:hint="eastAsia" w:ascii="仿宋_GB2312" w:hAnsi="仿宋" w:eastAsia="仿宋_GB2312" w:cs="Arial"/>
          <w:kern w:val="0"/>
          <w:sz w:val="28"/>
          <w:szCs w:val="28"/>
          <w:highlight w:val="none"/>
        </w:rPr>
        <w:t>根据《上海证券交易所基金自律监管规则适用指引第2号——上市基金做市业务》等相关规定，我司向你所申请为XX基金</w:t>
      </w:r>
      <w:r>
        <w:rPr>
          <w:rFonts w:hint="eastAsia" w:ascii="仿宋_GB2312" w:hAnsi="仿宋" w:eastAsia="仿宋_GB2312"/>
          <w:sz w:val="28"/>
          <w:szCs w:val="28"/>
          <w:highlight w:val="none"/>
        </w:rPr>
        <w:t>（全称）</w:t>
      </w:r>
      <w:r>
        <w:rPr>
          <w:rFonts w:hint="eastAsia" w:ascii="仿宋_GB2312" w:hAnsi="仿宋" w:eastAsia="仿宋_GB2312" w:cs="Arial"/>
          <w:kern w:val="0"/>
          <w:sz w:val="28"/>
          <w:szCs w:val="28"/>
          <w:highlight w:val="none"/>
        </w:rPr>
        <w:t>（简称：XX，基金代码：XX）提供主(一般)做市服务。</w:t>
      </w:r>
    </w:p>
    <w:p>
      <w:pPr>
        <w:ind w:firstLine="560" w:firstLineChars="200"/>
        <w:rPr>
          <w:rFonts w:ascii="仿宋_GB2312" w:hAnsi="仿宋" w:eastAsia="仿宋_GB2312" w:cs="Arial"/>
          <w:kern w:val="0"/>
          <w:sz w:val="28"/>
          <w:szCs w:val="28"/>
          <w:highlight w:val="none"/>
        </w:rPr>
      </w:pPr>
      <w:r>
        <w:rPr>
          <w:rFonts w:hint="eastAsia" w:ascii="仿宋_GB2312" w:hAnsi="仿宋" w:eastAsia="仿宋_GB2312" w:cs="Arial"/>
          <w:kern w:val="0"/>
          <w:sz w:val="28"/>
          <w:szCs w:val="28"/>
          <w:highlight w:val="none"/>
        </w:rPr>
        <w:t>我司已成为你所上市基金主（一般）做市商，并取得XX基金管理有限公司书面认可。我司具备开展业务所需的技术系统、人员和业务经验，有能力为上述基金产品提供做市服务。</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我司承诺，提交的申请材料内容真实、准确、完整，如存在虚假记载、误导性陈述和重大遗漏，将承担相关法律责任。</w:t>
      </w:r>
      <w:r>
        <w:rPr>
          <w:rFonts w:ascii="仿宋_GB2312" w:eastAsia="仿宋_GB2312"/>
          <w:sz w:val="28"/>
          <w:szCs w:val="28"/>
          <w:highlight w:val="none"/>
        </w:rPr>
        <w:t>特此申请</w:t>
      </w:r>
      <w:r>
        <w:rPr>
          <w:rFonts w:hint="eastAsia" w:ascii="仿宋_GB2312" w:eastAsia="仿宋_GB2312"/>
          <w:sz w:val="28"/>
          <w:szCs w:val="28"/>
          <w:highlight w:val="none"/>
        </w:rPr>
        <w:t>。</w:t>
      </w: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XX公司（盖章）</w:t>
      </w: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XX年XX月XX日</w:t>
      </w: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pStyle w:val="3"/>
        <w:spacing w:line="600" w:lineRule="exact"/>
        <w:rPr>
          <w:rFonts w:ascii="仿宋_GB2312" w:hAnsi="黑体" w:eastAsia="仿宋_GB2312"/>
          <w:kern w:val="44"/>
          <w:sz w:val="28"/>
          <w:szCs w:val="36"/>
          <w:highlight w:val="none"/>
        </w:rPr>
      </w:pPr>
      <w:bookmarkStart w:id="158" w:name="_Toc8521"/>
      <w:bookmarkStart w:id="159" w:name="_Toc120180567"/>
      <w:bookmarkStart w:id="160" w:name="_Toc12808"/>
      <w:bookmarkStart w:id="161" w:name="_Toc2119"/>
      <w:r>
        <w:rPr>
          <w:rFonts w:hint="eastAsia" w:ascii="仿宋_GB2312" w:hAnsi="黑体" w:eastAsia="仿宋_GB2312"/>
          <w:kern w:val="44"/>
          <w:sz w:val="28"/>
          <w:szCs w:val="36"/>
          <w:highlight w:val="none"/>
        </w:rPr>
        <w:t>附件5：基金管理人认可函</w:t>
      </w:r>
      <w:bookmarkEnd w:id="158"/>
      <w:bookmarkEnd w:id="159"/>
      <w:bookmarkEnd w:id="160"/>
      <w:bookmarkEnd w:id="161"/>
    </w:p>
    <w:p>
      <w:pPr>
        <w:ind w:firstLine="560" w:firstLineChars="200"/>
        <w:jc w:val="right"/>
        <w:rPr>
          <w:rFonts w:ascii="仿宋_GB2312" w:eastAsia="仿宋_GB2312"/>
          <w:sz w:val="28"/>
          <w:szCs w:val="28"/>
          <w:highlight w:val="none"/>
        </w:rPr>
      </w:pPr>
    </w:p>
    <w:p>
      <w:pPr>
        <w:ind w:firstLine="723" w:firstLineChars="200"/>
        <w:jc w:val="center"/>
        <w:rPr>
          <w:rFonts w:ascii="黑体" w:hAnsi="黑体" w:eastAsia="黑体"/>
          <w:b/>
          <w:sz w:val="36"/>
          <w:szCs w:val="36"/>
          <w:highlight w:val="none"/>
        </w:rPr>
      </w:pPr>
      <w:r>
        <w:rPr>
          <w:rFonts w:hint="eastAsia" w:ascii="黑体" w:hAnsi="黑体" w:eastAsia="黑体"/>
          <w:b/>
          <w:kern w:val="44"/>
          <w:sz w:val="36"/>
          <w:szCs w:val="36"/>
          <w:highlight w:val="none"/>
        </w:rPr>
        <w:t>关于认可XX公司为XX基金提供做市服务的函</w:t>
      </w:r>
    </w:p>
    <w:p>
      <w:pPr>
        <w:ind w:firstLine="560" w:firstLineChars="200"/>
        <w:jc w:val="left"/>
        <w:rPr>
          <w:rFonts w:ascii="仿宋_GB2312" w:eastAsia="仿宋_GB2312"/>
          <w:sz w:val="28"/>
          <w:szCs w:val="28"/>
          <w:highlight w:val="none"/>
        </w:rPr>
      </w:pPr>
    </w:p>
    <w:p>
      <w:pPr>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为促进XX基金（基金扩位简称：XX，基金代码：XX）的市场流动性和平稳运行，我司认可XX公司为XX基金提供做市服务。</w:t>
      </w:r>
    </w:p>
    <w:p>
      <w:pPr>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本认可函自盖章日起1年内有效。</w:t>
      </w: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XX公司（盖章）</w:t>
      </w: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XX年XX月XX日</w:t>
      </w: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pStyle w:val="3"/>
        <w:spacing w:line="600" w:lineRule="exact"/>
        <w:rPr>
          <w:rFonts w:ascii="仿宋_GB2312" w:hAnsi="黑体" w:eastAsia="仿宋_GB2312"/>
          <w:kern w:val="44"/>
          <w:sz w:val="28"/>
          <w:szCs w:val="36"/>
          <w:highlight w:val="none"/>
        </w:rPr>
      </w:pPr>
      <w:bookmarkStart w:id="162" w:name="_Toc120180568"/>
      <w:bookmarkStart w:id="163" w:name="_Toc4714"/>
      <w:bookmarkStart w:id="164" w:name="_Toc15101"/>
      <w:bookmarkStart w:id="165" w:name="_Toc23273"/>
      <w:r>
        <w:rPr>
          <w:rFonts w:hint="eastAsia" w:ascii="仿宋_GB2312" w:hAnsi="黑体" w:eastAsia="仿宋_GB2312"/>
          <w:kern w:val="44"/>
          <w:sz w:val="28"/>
          <w:szCs w:val="36"/>
          <w:highlight w:val="none"/>
        </w:rPr>
        <w:t>附件6：做市服务专用账户信息报备表</w:t>
      </w:r>
      <w:bookmarkEnd w:id="162"/>
      <w:bookmarkEnd w:id="163"/>
      <w:bookmarkEnd w:id="164"/>
      <w:bookmarkEnd w:id="165"/>
    </w:p>
    <w:p>
      <w:pPr>
        <w:rPr>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127"/>
        <w:gridCol w:w="198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highlight w:val="none"/>
              </w:rPr>
            </w:pPr>
            <w:r>
              <w:rPr>
                <w:rFonts w:hint="eastAsia" w:ascii="仿宋_GB2312" w:hAnsi="仿宋" w:eastAsia="仿宋_GB2312"/>
                <w:b/>
                <w:sz w:val="24"/>
                <w:szCs w:val="20"/>
                <w:highlight w:val="none"/>
              </w:rPr>
              <w:t>公司名称</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highlight w:val="none"/>
              </w:rPr>
            </w:pPr>
            <w:r>
              <w:rPr>
                <w:rFonts w:hint="eastAsia" w:ascii="仿宋_GB2312" w:hAnsi="仿宋" w:eastAsia="仿宋_GB2312"/>
                <w:b/>
                <w:sz w:val="24"/>
                <w:szCs w:val="20"/>
                <w:highlight w:val="none"/>
              </w:rPr>
              <w:t>申请提供做市服务的基金（名称、代码）</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highlight w:val="none"/>
              </w:rPr>
            </w:pPr>
          </w:p>
          <w:p>
            <w:pPr>
              <w:spacing w:line="600" w:lineRule="exact"/>
              <w:rPr>
                <w:rFonts w:ascii="仿宋_GB2312" w:hAnsi="仿宋" w:eastAsia="仿宋_GB2312" w:cs="Times New Roman"/>
                <w:b/>
                <w:bCs/>
                <w:kern w:val="44"/>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highlight w:val="none"/>
              </w:rPr>
            </w:pPr>
            <w:r>
              <w:rPr>
                <w:rFonts w:hint="eastAsia" w:ascii="仿宋_GB2312" w:hAnsi="仿宋" w:eastAsia="仿宋_GB2312"/>
                <w:b/>
                <w:sz w:val="24"/>
                <w:szCs w:val="20"/>
                <w:highlight w:val="none"/>
              </w:rPr>
              <w:t>申请提供做市服务类型</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ind w:firstLine="420" w:firstLineChars="150"/>
              <w:rPr>
                <w:rFonts w:ascii="仿宋_GB2312" w:hAnsi="仿宋" w:eastAsia="仿宋_GB2312"/>
                <w:b/>
                <w:sz w:val="24"/>
                <w:szCs w:val="20"/>
                <w:highlight w:val="none"/>
              </w:rPr>
            </w:pPr>
            <w:r>
              <w:rPr>
                <w:rFonts w:hint="eastAsia" w:ascii="仿宋_GB2312" w:hAnsi="仿宋" w:eastAsia="仿宋_GB2312"/>
                <w:sz w:val="28"/>
                <w:szCs w:val="28"/>
                <w:highlight w:val="none"/>
              </w:rPr>
              <w:t>□主做市服务      □一般做市服务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highlight w:val="none"/>
              </w:rPr>
            </w:pPr>
            <w:r>
              <w:rPr>
                <w:rFonts w:hint="eastAsia" w:ascii="仿宋_GB2312" w:hAnsi="仿宋" w:eastAsia="仿宋_GB2312"/>
                <w:b/>
                <w:sz w:val="24"/>
                <w:szCs w:val="20"/>
                <w:highlight w:val="none"/>
              </w:rPr>
              <w:t>交易单元</w:t>
            </w: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_GB2312" w:hAnsi="仿宋" w:eastAsia="仿宋_GB2312" w:cs="Times New Roman"/>
                <w:b/>
                <w:bCs/>
                <w:kern w:val="44"/>
                <w:sz w:val="24"/>
                <w:szCs w:val="20"/>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highlight w:val="none"/>
              </w:rPr>
            </w:pPr>
            <w:r>
              <w:rPr>
                <w:rFonts w:hint="eastAsia" w:ascii="仿宋_GB2312" w:hAnsi="仿宋" w:eastAsia="仿宋_GB2312"/>
                <w:b/>
                <w:sz w:val="24"/>
                <w:szCs w:val="20"/>
                <w:highlight w:val="none"/>
              </w:rPr>
              <w:t>专用证券账户</w:t>
            </w:r>
          </w:p>
        </w:tc>
        <w:tc>
          <w:tcPr>
            <w:tcW w:w="203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_GB2312" w:hAnsi="仿宋" w:eastAsia="仿宋_GB2312"/>
                <w:b/>
                <w:sz w:val="24"/>
                <w:szCs w:val="20"/>
                <w:highlight w:val="none"/>
              </w:rPr>
            </w:pPr>
            <w:r>
              <w:rPr>
                <w:rFonts w:hint="eastAsia" w:ascii="仿宋_GB2312" w:hAnsi="仿宋" w:eastAsia="仿宋_GB2312"/>
                <w:b/>
                <w:sz w:val="24"/>
                <w:szCs w:val="20"/>
                <w:highlight w:val="none"/>
              </w:rPr>
              <w:t>拟开始提供做市服务日期</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highlight w:val="none"/>
              </w:rPr>
            </w:pPr>
          </w:p>
          <w:p>
            <w:pPr>
              <w:spacing w:line="600" w:lineRule="exact"/>
              <w:rPr>
                <w:rFonts w:ascii="仿宋_GB2312" w:hAnsi="仿宋" w:eastAsia="仿宋_GB2312" w:cs="Times New Roman"/>
                <w:b/>
                <w:bCs/>
                <w:kern w:val="44"/>
                <w:sz w:val="24"/>
                <w:szCs w:val="20"/>
                <w:highlight w:val="none"/>
              </w:rPr>
            </w:pPr>
          </w:p>
        </w:tc>
      </w:tr>
    </w:tbl>
    <w:p>
      <w:pPr>
        <w:widowControl/>
        <w:spacing w:line="600" w:lineRule="exact"/>
        <w:jc w:val="right"/>
        <w:rPr>
          <w:rFonts w:ascii="仿宋_GB2312" w:hAnsi="黑体" w:eastAsia="仿宋_GB2312"/>
          <w:kern w:val="44"/>
          <w:sz w:val="28"/>
          <w:szCs w:val="36"/>
          <w:highlight w:val="none"/>
        </w:rPr>
      </w:pPr>
    </w:p>
    <w:p>
      <w:pPr>
        <w:widowControl/>
        <w:spacing w:line="600" w:lineRule="exact"/>
        <w:jc w:val="right"/>
        <w:rPr>
          <w:rFonts w:ascii="仿宋_GB2312" w:hAnsi="黑体" w:eastAsia="仿宋_GB2312"/>
          <w:kern w:val="44"/>
          <w:sz w:val="28"/>
          <w:szCs w:val="36"/>
          <w:highlight w:val="none"/>
        </w:rPr>
      </w:pPr>
    </w:p>
    <w:p>
      <w:pPr>
        <w:widowControl/>
        <w:spacing w:line="600" w:lineRule="exact"/>
        <w:jc w:val="right"/>
        <w:rPr>
          <w:rFonts w:ascii="仿宋_GB2312" w:hAnsi="黑体" w:eastAsia="仿宋_GB2312"/>
          <w:kern w:val="44"/>
          <w:sz w:val="28"/>
          <w:szCs w:val="36"/>
          <w:highlight w:val="none"/>
        </w:rPr>
      </w:pPr>
      <w:r>
        <w:rPr>
          <w:rFonts w:hint="eastAsia" w:ascii="仿宋_GB2312" w:hAnsi="黑体" w:eastAsia="仿宋_GB2312"/>
          <w:kern w:val="44"/>
          <w:sz w:val="28"/>
          <w:szCs w:val="36"/>
          <w:highlight w:val="none"/>
        </w:rPr>
        <w:t>年   月   日</w:t>
      </w:r>
    </w:p>
    <w:p>
      <w:pPr>
        <w:widowControl/>
        <w:spacing w:line="600" w:lineRule="exact"/>
        <w:jc w:val="right"/>
        <w:rPr>
          <w:rFonts w:ascii="仿宋_GB2312" w:hAnsi="黑体" w:eastAsia="仿宋_GB2312"/>
          <w:kern w:val="44"/>
          <w:sz w:val="28"/>
          <w:szCs w:val="36"/>
          <w:highlight w:val="none"/>
        </w:rPr>
      </w:pPr>
      <w:r>
        <w:rPr>
          <w:rFonts w:hint="eastAsia" w:ascii="仿宋_GB2312" w:hAnsi="黑体" w:eastAsia="仿宋_GB2312"/>
          <w:kern w:val="44"/>
          <w:sz w:val="28"/>
          <w:szCs w:val="36"/>
          <w:highlight w:val="none"/>
        </w:rPr>
        <w:t>（加盖单位公章）</w:t>
      </w:r>
    </w:p>
    <w:p>
      <w:pPr>
        <w:spacing w:beforeLines="50"/>
        <w:jc w:val="center"/>
        <w:rPr>
          <w:rFonts w:ascii="黑体" w:hAnsi="黑体" w:eastAsia="黑体"/>
          <w:b/>
          <w:sz w:val="36"/>
          <w:szCs w:val="36"/>
          <w:highlight w:val="none"/>
        </w:rPr>
      </w:pPr>
    </w:p>
    <w:p>
      <w:pPr>
        <w:spacing w:beforeLines="50"/>
        <w:jc w:val="center"/>
        <w:rPr>
          <w:rFonts w:ascii="黑体" w:hAnsi="黑体" w:eastAsia="黑体"/>
          <w:b/>
          <w:sz w:val="36"/>
          <w:szCs w:val="36"/>
          <w:highlight w:val="none"/>
        </w:rPr>
      </w:pPr>
    </w:p>
    <w:p>
      <w:pPr>
        <w:spacing w:beforeLines="50"/>
        <w:jc w:val="center"/>
        <w:rPr>
          <w:rFonts w:ascii="黑体" w:hAnsi="黑体" w:eastAsia="黑体"/>
          <w:b/>
          <w:sz w:val="36"/>
          <w:szCs w:val="36"/>
          <w:highlight w:val="none"/>
        </w:rPr>
      </w:pPr>
    </w:p>
    <w:p>
      <w:pPr>
        <w:spacing w:beforeLines="50"/>
        <w:jc w:val="center"/>
        <w:rPr>
          <w:rFonts w:ascii="黑体" w:hAnsi="黑体" w:eastAsia="黑体"/>
          <w:b/>
          <w:sz w:val="36"/>
          <w:szCs w:val="36"/>
          <w:highlight w:val="none"/>
        </w:rPr>
      </w:pPr>
    </w:p>
    <w:p>
      <w:pPr>
        <w:spacing w:beforeLines="50"/>
        <w:jc w:val="center"/>
        <w:rPr>
          <w:rFonts w:ascii="黑体" w:hAnsi="黑体" w:eastAsia="黑体"/>
          <w:b/>
          <w:sz w:val="36"/>
          <w:szCs w:val="36"/>
          <w:highlight w:val="none"/>
        </w:rPr>
      </w:pPr>
    </w:p>
    <w:p>
      <w:pPr>
        <w:pStyle w:val="3"/>
        <w:spacing w:line="600" w:lineRule="exact"/>
        <w:rPr>
          <w:rFonts w:ascii="仿宋_GB2312" w:hAnsi="黑体" w:eastAsia="仿宋_GB2312"/>
          <w:b w:val="0"/>
          <w:kern w:val="44"/>
          <w:sz w:val="28"/>
          <w:szCs w:val="36"/>
          <w:highlight w:val="none"/>
        </w:rPr>
      </w:pPr>
      <w:bookmarkStart w:id="166" w:name="_Toc120180569"/>
      <w:bookmarkStart w:id="167" w:name="_Toc18009"/>
      <w:bookmarkStart w:id="168" w:name="_Toc25091"/>
      <w:bookmarkStart w:id="169" w:name="_Toc20948"/>
      <w:r>
        <w:rPr>
          <w:rFonts w:hint="eastAsia" w:ascii="仿宋_GB2312" w:hAnsi="黑体" w:eastAsia="仿宋_GB2312"/>
          <w:kern w:val="44"/>
          <w:sz w:val="28"/>
          <w:szCs w:val="36"/>
          <w:highlight w:val="none"/>
        </w:rPr>
        <w:t>附件7：专用证券账户变更申请表</w:t>
      </w:r>
      <w:bookmarkEnd w:id="166"/>
      <w:bookmarkEnd w:id="167"/>
      <w:bookmarkEnd w:id="168"/>
      <w:bookmarkEnd w:id="169"/>
    </w:p>
    <w:p>
      <w:pPr>
        <w:spacing w:beforeLines="50"/>
        <w:jc w:val="center"/>
        <w:rPr>
          <w:rFonts w:ascii="黑体" w:hAnsi="黑体" w:eastAsia="黑体"/>
          <w:b/>
          <w:sz w:val="36"/>
          <w:szCs w:val="36"/>
          <w:highlight w:val="none"/>
        </w:rPr>
      </w:pPr>
    </w:p>
    <w:p>
      <w:pPr>
        <w:spacing w:beforeLines="50"/>
        <w:jc w:val="center"/>
        <w:rPr>
          <w:rFonts w:ascii="黑体" w:hAnsi="黑体" w:eastAsia="黑体"/>
          <w:b/>
          <w:sz w:val="36"/>
          <w:szCs w:val="36"/>
          <w:highlight w:val="none"/>
        </w:rPr>
      </w:pPr>
      <w:r>
        <w:rPr>
          <w:rFonts w:hint="eastAsia" w:ascii="黑体" w:hAnsi="黑体" w:eastAsia="黑体"/>
          <w:b/>
          <w:sz w:val="36"/>
          <w:szCs w:val="36"/>
          <w:highlight w:val="none"/>
        </w:rPr>
        <w:t>XX公司关于专用</w:t>
      </w:r>
      <w:r>
        <w:rPr>
          <w:rFonts w:ascii="黑体" w:hAnsi="黑体" w:eastAsia="黑体"/>
          <w:b/>
          <w:sz w:val="36"/>
          <w:szCs w:val="36"/>
          <w:highlight w:val="none"/>
        </w:rPr>
        <w:t>证券账户</w:t>
      </w:r>
      <w:r>
        <w:rPr>
          <w:rFonts w:hint="eastAsia" w:ascii="黑体" w:hAnsi="黑体" w:eastAsia="黑体"/>
          <w:b/>
          <w:sz w:val="36"/>
          <w:szCs w:val="36"/>
          <w:highlight w:val="none"/>
        </w:rPr>
        <w:t>变更的申请</w:t>
      </w:r>
    </w:p>
    <w:p>
      <w:pPr>
        <w:rPr>
          <w:rFonts w:ascii="仿宋_GB2312" w:eastAsia="仿宋_GB2312"/>
          <w:sz w:val="28"/>
          <w:szCs w:val="28"/>
          <w:highlight w:val="none"/>
        </w:rPr>
      </w:pPr>
    </w:p>
    <w:p>
      <w:pPr>
        <w:rPr>
          <w:rFonts w:ascii="仿宋_GB2312" w:eastAsia="仿宋_GB2312"/>
          <w:sz w:val="28"/>
          <w:szCs w:val="28"/>
          <w:highlight w:val="none"/>
        </w:rPr>
      </w:pPr>
      <w:r>
        <w:rPr>
          <w:rFonts w:hint="eastAsia" w:ascii="仿宋_GB2312" w:eastAsia="仿宋_GB2312"/>
          <w:sz w:val="28"/>
          <w:szCs w:val="28"/>
          <w:highlight w:val="none"/>
        </w:rPr>
        <w:t>上海证券交易所：</w:t>
      </w:r>
    </w:p>
    <w:p>
      <w:pPr>
        <w:ind w:firstLine="560" w:firstLineChars="200"/>
        <w:rPr>
          <w:rFonts w:ascii="仿宋_GB2312" w:hAnsi="仿宋" w:eastAsia="仿宋_GB2312" w:cs="Arial"/>
          <w:kern w:val="0"/>
          <w:sz w:val="28"/>
          <w:szCs w:val="28"/>
          <w:highlight w:val="none"/>
        </w:rPr>
      </w:pPr>
      <w:r>
        <w:rPr>
          <w:rFonts w:hint="eastAsia" w:ascii="仿宋_GB2312" w:hAnsi="仿宋" w:eastAsia="仿宋_GB2312" w:cs="Arial"/>
          <w:kern w:val="0"/>
          <w:sz w:val="28"/>
          <w:szCs w:val="28"/>
          <w:highlight w:val="none"/>
        </w:rPr>
        <w:t>根据《上海证券交易所基金自律监管规则适用指引第2号——上市基金做市业务》等相关规定，我司向你所申请变更专用，原因如下：XXX。</w:t>
      </w:r>
    </w:p>
    <w:p>
      <w:pPr>
        <w:ind w:firstLine="560" w:firstLineChars="200"/>
        <w:rPr>
          <w:rFonts w:ascii="仿宋_GB2312" w:eastAsia="仿宋_GB2312"/>
          <w:sz w:val="28"/>
          <w:szCs w:val="28"/>
          <w:highlight w:val="none"/>
        </w:rPr>
      </w:pPr>
      <w:r>
        <w:rPr>
          <w:rFonts w:hint="eastAsia" w:ascii="仿宋_GB2312" w:hAnsi="仿宋" w:eastAsia="仿宋_GB2312" w:cs="Arial"/>
          <w:kern w:val="0"/>
          <w:sz w:val="28"/>
          <w:szCs w:val="28"/>
          <w:highlight w:val="none"/>
        </w:rPr>
        <w:t>拟于</w:t>
      </w:r>
      <w:r>
        <w:rPr>
          <w:rFonts w:ascii="仿宋_GB2312" w:hAnsi="仿宋" w:eastAsia="仿宋_GB2312" w:cs="Arial"/>
          <w:kern w:val="0"/>
          <w:sz w:val="28"/>
          <w:szCs w:val="28"/>
          <w:highlight w:val="none"/>
        </w:rPr>
        <w:t>XXXX年XX月XX日，</w:t>
      </w:r>
      <w:r>
        <w:rPr>
          <w:rFonts w:hint="eastAsia" w:ascii="仿宋_GB2312" w:hAnsi="仿宋" w:eastAsia="仿宋_GB2312" w:cs="Arial"/>
          <w:kern w:val="0"/>
          <w:sz w:val="28"/>
          <w:szCs w:val="28"/>
          <w:highlight w:val="none"/>
        </w:rPr>
        <w:t>开始使用新专用证券账户。</w:t>
      </w:r>
    </w:p>
    <w:p>
      <w:pPr>
        <w:ind w:firstLine="562" w:firstLineChars="200"/>
        <w:rPr>
          <w:rFonts w:ascii="仿宋_GB2312" w:hAnsi="仿宋" w:eastAsia="仿宋_GB2312" w:cs="Arial"/>
          <w:kern w:val="0"/>
          <w:sz w:val="28"/>
          <w:szCs w:val="28"/>
          <w:highlight w:val="none"/>
        </w:rPr>
      </w:pPr>
      <w:r>
        <w:rPr>
          <w:rFonts w:hint="eastAsia" w:ascii="仿宋_GB2312" w:hAnsi="仿宋" w:eastAsia="仿宋_GB2312" w:cs="Arial"/>
          <w:b/>
          <w:kern w:val="0"/>
          <w:sz w:val="28"/>
          <w:szCs w:val="28"/>
          <w:highlight w:val="none"/>
        </w:rPr>
        <w:t>原有</w:t>
      </w:r>
      <w:r>
        <w:rPr>
          <w:rFonts w:hint="eastAsia" w:ascii="仿宋_GB2312" w:hAnsi="仿宋" w:eastAsia="仿宋_GB2312" w:cs="Arial"/>
          <w:kern w:val="0"/>
          <w:sz w:val="28"/>
          <w:szCs w:val="28"/>
          <w:highlight w:val="none"/>
        </w:rPr>
        <w:t>专用证券账户和</w:t>
      </w:r>
      <w:r>
        <w:rPr>
          <w:rFonts w:hint="eastAsia" w:ascii="仿宋_GB2312" w:hAnsi="仿宋" w:eastAsia="仿宋_GB2312" w:cs="Arial"/>
          <w:b/>
          <w:kern w:val="0"/>
          <w:sz w:val="28"/>
          <w:szCs w:val="28"/>
          <w:highlight w:val="none"/>
        </w:rPr>
        <w:t>变更后</w:t>
      </w:r>
      <w:r>
        <w:rPr>
          <w:rFonts w:hint="eastAsia" w:ascii="仿宋_GB2312" w:hAnsi="仿宋" w:eastAsia="仿宋_GB2312" w:cs="Arial"/>
          <w:kern w:val="0"/>
          <w:sz w:val="28"/>
          <w:szCs w:val="28"/>
          <w:highlight w:val="none"/>
        </w:rPr>
        <w:t>专用证券账户如下表所示：</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01"/>
        <w:gridCol w:w="255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highlight w:val="none"/>
              </w:rPr>
            </w:pPr>
            <w:r>
              <w:rPr>
                <w:rFonts w:hint="eastAsia" w:ascii="仿宋_GB2312" w:eastAsia="仿宋_GB2312"/>
                <w:sz w:val="28"/>
                <w:szCs w:val="28"/>
                <w:highlight w:val="none"/>
              </w:rPr>
              <w:t>基金简称</w:t>
            </w:r>
          </w:p>
        </w:tc>
        <w:tc>
          <w:tcPr>
            <w:tcW w:w="1701" w:type="dxa"/>
          </w:tcPr>
          <w:p>
            <w:pPr>
              <w:rPr>
                <w:rFonts w:ascii="仿宋_GB2312" w:eastAsia="仿宋_GB2312"/>
                <w:sz w:val="28"/>
                <w:szCs w:val="28"/>
                <w:highlight w:val="none"/>
              </w:rPr>
            </w:pPr>
            <w:r>
              <w:rPr>
                <w:rFonts w:hint="eastAsia" w:ascii="仿宋_GB2312" w:eastAsia="仿宋_GB2312"/>
                <w:sz w:val="28"/>
                <w:szCs w:val="28"/>
                <w:highlight w:val="none"/>
              </w:rPr>
              <w:t>基金代码</w:t>
            </w:r>
          </w:p>
        </w:tc>
        <w:tc>
          <w:tcPr>
            <w:tcW w:w="2551" w:type="dxa"/>
          </w:tcPr>
          <w:p>
            <w:pPr>
              <w:rPr>
                <w:rFonts w:ascii="仿宋_GB2312" w:eastAsia="仿宋_GB2312"/>
                <w:sz w:val="28"/>
                <w:szCs w:val="28"/>
                <w:highlight w:val="none"/>
              </w:rPr>
            </w:pPr>
            <w:r>
              <w:rPr>
                <w:rFonts w:hint="eastAsia" w:ascii="仿宋_GB2312" w:eastAsia="仿宋_GB2312"/>
                <w:b/>
                <w:sz w:val="28"/>
                <w:szCs w:val="28"/>
                <w:highlight w:val="none"/>
              </w:rPr>
              <w:t>原有</w:t>
            </w:r>
            <w:r>
              <w:rPr>
                <w:rFonts w:hint="eastAsia" w:ascii="仿宋_GB2312" w:eastAsia="仿宋_GB2312"/>
                <w:sz w:val="28"/>
                <w:szCs w:val="28"/>
                <w:highlight w:val="none"/>
              </w:rPr>
              <w:t>专用证券账户</w:t>
            </w:r>
          </w:p>
        </w:tc>
        <w:tc>
          <w:tcPr>
            <w:tcW w:w="2835" w:type="dxa"/>
          </w:tcPr>
          <w:p>
            <w:pPr>
              <w:rPr>
                <w:rFonts w:ascii="仿宋_GB2312" w:eastAsia="仿宋_GB2312"/>
                <w:sz w:val="28"/>
                <w:szCs w:val="28"/>
                <w:highlight w:val="none"/>
              </w:rPr>
            </w:pPr>
            <w:r>
              <w:rPr>
                <w:rFonts w:hint="eastAsia" w:ascii="仿宋_GB2312" w:hAnsi="仿宋" w:eastAsia="仿宋_GB2312" w:cs="Arial"/>
                <w:b/>
                <w:kern w:val="0"/>
                <w:sz w:val="28"/>
                <w:szCs w:val="28"/>
                <w:highlight w:val="none"/>
              </w:rPr>
              <w:t>变更后</w:t>
            </w:r>
            <w:r>
              <w:rPr>
                <w:rFonts w:hint="eastAsia" w:ascii="仿宋_GB2312" w:hAnsi="仿宋" w:eastAsia="仿宋_GB2312" w:cs="Arial"/>
                <w:kern w:val="0"/>
                <w:sz w:val="28"/>
                <w:szCs w:val="28"/>
                <w:highlight w:val="none"/>
              </w:rPr>
              <w:t>专用证券账户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highlight w:val="none"/>
              </w:rPr>
            </w:pPr>
          </w:p>
        </w:tc>
        <w:tc>
          <w:tcPr>
            <w:tcW w:w="1701" w:type="dxa"/>
          </w:tcPr>
          <w:p>
            <w:pPr>
              <w:rPr>
                <w:rFonts w:ascii="仿宋_GB2312" w:eastAsia="仿宋_GB2312"/>
                <w:sz w:val="28"/>
                <w:szCs w:val="28"/>
                <w:highlight w:val="none"/>
              </w:rPr>
            </w:pPr>
          </w:p>
        </w:tc>
        <w:tc>
          <w:tcPr>
            <w:tcW w:w="2551" w:type="dxa"/>
          </w:tcPr>
          <w:p>
            <w:pPr>
              <w:rPr>
                <w:rFonts w:ascii="仿宋_GB2312" w:eastAsia="仿宋_GB2312"/>
                <w:sz w:val="28"/>
                <w:szCs w:val="28"/>
                <w:highlight w:val="none"/>
              </w:rPr>
            </w:pPr>
          </w:p>
        </w:tc>
        <w:tc>
          <w:tcPr>
            <w:tcW w:w="2835" w:type="dxa"/>
          </w:tcPr>
          <w:p>
            <w:pP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highlight w:val="none"/>
              </w:rPr>
            </w:pPr>
          </w:p>
        </w:tc>
        <w:tc>
          <w:tcPr>
            <w:tcW w:w="1701" w:type="dxa"/>
          </w:tcPr>
          <w:p>
            <w:pPr>
              <w:rPr>
                <w:rFonts w:ascii="仿宋_GB2312" w:eastAsia="仿宋_GB2312"/>
                <w:sz w:val="28"/>
                <w:szCs w:val="28"/>
                <w:highlight w:val="none"/>
              </w:rPr>
            </w:pPr>
          </w:p>
        </w:tc>
        <w:tc>
          <w:tcPr>
            <w:tcW w:w="2551" w:type="dxa"/>
          </w:tcPr>
          <w:p>
            <w:pPr>
              <w:rPr>
                <w:rFonts w:ascii="仿宋_GB2312" w:eastAsia="仿宋_GB2312"/>
                <w:sz w:val="28"/>
                <w:szCs w:val="28"/>
                <w:highlight w:val="none"/>
              </w:rPr>
            </w:pPr>
          </w:p>
        </w:tc>
        <w:tc>
          <w:tcPr>
            <w:tcW w:w="2835" w:type="dxa"/>
          </w:tcPr>
          <w:p>
            <w:pPr>
              <w:rPr>
                <w:rFonts w:ascii="仿宋_GB2312" w:eastAsia="仿宋_GB2312"/>
                <w:sz w:val="28"/>
                <w:szCs w:val="28"/>
                <w:highlight w:val="none"/>
              </w:rPr>
            </w:pPr>
          </w:p>
        </w:tc>
      </w:tr>
    </w:tbl>
    <w:p>
      <w:pPr>
        <w:ind w:firstLine="560" w:firstLineChars="200"/>
        <w:rPr>
          <w:rFonts w:ascii="仿宋_GB2312" w:eastAsia="仿宋_GB2312"/>
          <w:sz w:val="28"/>
          <w:szCs w:val="28"/>
          <w:highlight w:val="none"/>
        </w:rPr>
      </w:pPr>
    </w:p>
    <w:p>
      <w:pPr>
        <w:ind w:firstLine="560" w:firstLineChars="200"/>
        <w:rPr>
          <w:rFonts w:ascii="仿宋_GB2312" w:eastAsia="仿宋_GB2312"/>
          <w:sz w:val="28"/>
          <w:szCs w:val="28"/>
          <w:highlight w:val="none"/>
        </w:rPr>
      </w:pP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特此申请。</w:t>
      </w: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XX公司（盖章）</w:t>
      </w: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XX年XX月XX日</w:t>
      </w:r>
    </w:p>
    <w:p>
      <w:pPr>
        <w:rPr>
          <w:highlight w:val="none"/>
        </w:rPr>
      </w:pPr>
    </w:p>
    <w:p>
      <w:pPr>
        <w:pStyle w:val="3"/>
        <w:spacing w:line="600" w:lineRule="exact"/>
        <w:rPr>
          <w:rFonts w:ascii="仿宋_GB2312" w:hAnsi="黑体" w:eastAsia="仿宋_GB2312"/>
          <w:kern w:val="44"/>
          <w:sz w:val="28"/>
          <w:szCs w:val="36"/>
          <w:highlight w:val="none"/>
        </w:rPr>
      </w:pPr>
      <w:bookmarkStart w:id="170" w:name="_Toc120180570"/>
      <w:bookmarkStart w:id="171" w:name="_Toc31049"/>
      <w:bookmarkStart w:id="172" w:name="_Toc13489"/>
      <w:bookmarkStart w:id="173" w:name="_Toc4047"/>
      <w:r>
        <w:rPr>
          <w:rFonts w:hint="eastAsia" w:ascii="仿宋_GB2312" w:hAnsi="黑体" w:eastAsia="仿宋_GB2312"/>
          <w:kern w:val="44"/>
          <w:sz w:val="28"/>
          <w:szCs w:val="36"/>
          <w:highlight w:val="none"/>
        </w:rPr>
        <w:t>附件8：申请终止做市服务</w:t>
      </w:r>
      <w:bookmarkEnd w:id="170"/>
      <w:bookmarkEnd w:id="171"/>
      <w:bookmarkEnd w:id="172"/>
      <w:bookmarkEnd w:id="173"/>
    </w:p>
    <w:p>
      <w:pPr>
        <w:pStyle w:val="6"/>
        <w:spacing w:line="500" w:lineRule="exact"/>
        <w:ind w:right="1264" w:firstLine="0" w:firstLineChars="0"/>
        <w:jc w:val="center"/>
        <w:rPr>
          <w:rFonts w:ascii="方正大标宋简体" w:eastAsia="方正大标宋简体"/>
          <w:b/>
          <w:color w:val="000000"/>
          <w:sz w:val="44"/>
          <w:szCs w:val="44"/>
          <w:highlight w:val="none"/>
        </w:rPr>
      </w:pPr>
      <w:bookmarkStart w:id="174" w:name="_Toc25665886"/>
      <w:r>
        <w:rPr>
          <w:rFonts w:hint="eastAsia"/>
          <w:b/>
          <w:color w:val="000000"/>
          <w:sz w:val="28"/>
          <w:highlight w:val="none"/>
        </w:rPr>
        <w:t xml:space="preserve">     </w:t>
      </w:r>
      <w:r>
        <w:rPr>
          <w:rFonts w:hint="eastAsia"/>
          <w:b/>
          <w:color w:val="000000"/>
          <w:sz w:val="44"/>
          <w:szCs w:val="44"/>
          <w:highlight w:val="none"/>
        </w:rPr>
        <w:t xml:space="preserve">  </w:t>
      </w:r>
    </w:p>
    <w:p>
      <w:pPr>
        <w:spacing w:beforeLines="50"/>
        <w:jc w:val="center"/>
        <w:rPr>
          <w:rFonts w:ascii="黑体" w:hAnsi="黑体" w:eastAsia="黑体"/>
          <w:b/>
          <w:sz w:val="36"/>
          <w:szCs w:val="36"/>
          <w:highlight w:val="none"/>
        </w:rPr>
      </w:pPr>
      <w:r>
        <w:rPr>
          <w:rFonts w:hint="eastAsia" w:ascii="黑体" w:hAnsi="黑体" w:eastAsia="黑体"/>
          <w:b/>
          <w:sz w:val="36"/>
          <w:szCs w:val="36"/>
          <w:highlight w:val="none"/>
        </w:rPr>
        <w:t>XX公司关于终止为XX基金等X只基金提供</w:t>
      </w:r>
    </w:p>
    <w:p>
      <w:pPr>
        <w:spacing w:beforeLines="50"/>
        <w:jc w:val="center"/>
        <w:rPr>
          <w:rFonts w:ascii="黑体" w:hAnsi="黑体" w:eastAsia="黑体"/>
          <w:b/>
          <w:sz w:val="36"/>
          <w:szCs w:val="36"/>
          <w:highlight w:val="none"/>
        </w:rPr>
      </w:pPr>
      <w:r>
        <w:rPr>
          <w:rFonts w:hint="eastAsia" w:ascii="黑体" w:hAnsi="黑体" w:eastAsia="黑体"/>
          <w:b/>
          <w:sz w:val="36"/>
          <w:szCs w:val="36"/>
          <w:highlight w:val="none"/>
        </w:rPr>
        <w:t>主（一般）做市服务的</w:t>
      </w:r>
      <w:bookmarkEnd w:id="174"/>
      <w:r>
        <w:rPr>
          <w:rFonts w:hint="eastAsia" w:ascii="黑体" w:hAnsi="黑体" w:eastAsia="黑体"/>
          <w:b/>
          <w:sz w:val="36"/>
          <w:szCs w:val="36"/>
          <w:highlight w:val="none"/>
        </w:rPr>
        <w:t>申请</w:t>
      </w:r>
    </w:p>
    <w:p>
      <w:pPr>
        <w:rPr>
          <w:rFonts w:ascii="仿宋_GB2312" w:eastAsia="仿宋_GB2312"/>
          <w:sz w:val="28"/>
          <w:szCs w:val="28"/>
          <w:highlight w:val="none"/>
        </w:rPr>
      </w:pPr>
      <w:r>
        <w:rPr>
          <w:rFonts w:hint="eastAsia" w:ascii="仿宋_GB2312" w:eastAsia="仿宋_GB2312"/>
          <w:sz w:val="28"/>
          <w:szCs w:val="28"/>
          <w:highlight w:val="none"/>
        </w:rPr>
        <w:t>上海证券交易所：</w:t>
      </w:r>
    </w:p>
    <w:p>
      <w:pPr>
        <w:ind w:firstLine="560" w:firstLineChars="200"/>
        <w:rPr>
          <w:rFonts w:ascii="仿宋_GB2312" w:hAnsi="仿宋" w:eastAsia="仿宋_GB2312" w:cs="Arial"/>
          <w:kern w:val="0"/>
          <w:sz w:val="28"/>
          <w:szCs w:val="28"/>
          <w:highlight w:val="none"/>
        </w:rPr>
      </w:pPr>
      <w:r>
        <w:rPr>
          <w:rFonts w:hint="eastAsia" w:ascii="仿宋_GB2312" w:hAnsi="仿宋" w:eastAsia="仿宋_GB2312" w:cs="Arial"/>
          <w:kern w:val="0"/>
          <w:sz w:val="28"/>
          <w:szCs w:val="28"/>
          <w:highlight w:val="none"/>
        </w:rPr>
        <w:t>根据《上海证券交易所基金自律监管规则适用指引第2号——上市基金做市业务》等相关规定，我司向你所申请终止为XX基金</w:t>
      </w:r>
      <w:r>
        <w:rPr>
          <w:rFonts w:hint="eastAsia" w:ascii="仿宋_GB2312" w:hAnsi="仿宋" w:eastAsia="仿宋_GB2312"/>
          <w:sz w:val="28"/>
          <w:szCs w:val="28"/>
          <w:highlight w:val="none"/>
        </w:rPr>
        <w:t>（全称）</w:t>
      </w:r>
      <w:r>
        <w:rPr>
          <w:rFonts w:hint="eastAsia" w:ascii="仿宋_GB2312" w:hAnsi="仿宋" w:eastAsia="仿宋_GB2312" w:cs="Arial"/>
          <w:kern w:val="0"/>
          <w:sz w:val="28"/>
          <w:szCs w:val="28"/>
          <w:highlight w:val="none"/>
        </w:rPr>
        <w:t>（简称XX，基金代码XX）提供主(一般)做市服务。我司已与XX基金管理公司协商一致，拟自xx年x月x日起终止为上述基金提供主(一般)做市服务。基金产品对应做市服务交易单元号和专用证券账户如下表所示：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01"/>
        <w:gridCol w:w="240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highlight w:val="none"/>
              </w:rPr>
            </w:pPr>
            <w:r>
              <w:rPr>
                <w:rFonts w:hint="eastAsia" w:ascii="仿宋_GB2312" w:eastAsia="仿宋_GB2312"/>
                <w:sz w:val="28"/>
                <w:szCs w:val="28"/>
                <w:highlight w:val="none"/>
              </w:rPr>
              <w:t>基金简称</w:t>
            </w:r>
          </w:p>
        </w:tc>
        <w:tc>
          <w:tcPr>
            <w:tcW w:w="1701" w:type="dxa"/>
          </w:tcPr>
          <w:p>
            <w:pPr>
              <w:rPr>
                <w:rFonts w:ascii="仿宋_GB2312" w:eastAsia="仿宋_GB2312"/>
                <w:sz w:val="28"/>
                <w:szCs w:val="28"/>
                <w:highlight w:val="none"/>
              </w:rPr>
            </w:pPr>
            <w:r>
              <w:rPr>
                <w:rFonts w:hint="eastAsia" w:ascii="仿宋_GB2312" w:eastAsia="仿宋_GB2312"/>
                <w:sz w:val="28"/>
                <w:szCs w:val="28"/>
                <w:highlight w:val="none"/>
              </w:rPr>
              <w:t>基金代码</w:t>
            </w:r>
          </w:p>
        </w:tc>
        <w:tc>
          <w:tcPr>
            <w:tcW w:w="2409" w:type="dxa"/>
          </w:tcPr>
          <w:p>
            <w:pPr>
              <w:rPr>
                <w:rFonts w:ascii="仿宋_GB2312" w:eastAsia="仿宋_GB2312"/>
                <w:sz w:val="28"/>
                <w:szCs w:val="28"/>
                <w:highlight w:val="none"/>
              </w:rPr>
            </w:pPr>
            <w:r>
              <w:rPr>
                <w:rFonts w:hint="eastAsia" w:ascii="仿宋_GB2312" w:eastAsia="仿宋_GB2312"/>
                <w:sz w:val="28"/>
                <w:szCs w:val="28"/>
                <w:highlight w:val="none"/>
              </w:rPr>
              <w:t>交易单元号</w:t>
            </w:r>
          </w:p>
        </w:tc>
        <w:tc>
          <w:tcPr>
            <w:tcW w:w="2744" w:type="dxa"/>
          </w:tcPr>
          <w:p>
            <w:pPr>
              <w:rPr>
                <w:rFonts w:ascii="仿宋_GB2312" w:eastAsia="仿宋_GB2312"/>
                <w:sz w:val="28"/>
                <w:szCs w:val="28"/>
                <w:highlight w:val="none"/>
              </w:rPr>
            </w:pPr>
            <w:r>
              <w:rPr>
                <w:rFonts w:hint="eastAsia" w:ascii="仿宋_GB2312" w:eastAsia="仿宋_GB2312"/>
                <w:sz w:val="28"/>
                <w:szCs w:val="28"/>
                <w:highlight w:val="none"/>
              </w:rPr>
              <w:t>专用证券账户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highlight w:val="none"/>
              </w:rPr>
            </w:pPr>
          </w:p>
        </w:tc>
        <w:tc>
          <w:tcPr>
            <w:tcW w:w="1701" w:type="dxa"/>
          </w:tcPr>
          <w:p>
            <w:pPr>
              <w:rPr>
                <w:rFonts w:ascii="仿宋_GB2312" w:eastAsia="仿宋_GB2312"/>
                <w:sz w:val="28"/>
                <w:szCs w:val="28"/>
                <w:highlight w:val="none"/>
              </w:rPr>
            </w:pPr>
          </w:p>
        </w:tc>
        <w:tc>
          <w:tcPr>
            <w:tcW w:w="2409" w:type="dxa"/>
          </w:tcPr>
          <w:p>
            <w:pPr>
              <w:rPr>
                <w:rFonts w:ascii="仿宋_GB2312" w:eastAsia="仿宋_GB2312"/>
                <w:sz w:val="28"/>
                <w:szCs w:val="28"/>
                <w:highlight w:val="none"/>
              </w:rPr>
            </w:pPr>
          </w:p>
        </w:tc>
        <w:tc>
          <w:tcPr>
            <w:tcW w:w="2744" w:type="dxa"/>
          </w:tcPr>
          <w:p>
            <w:pP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highlight w:val="none"/>
              </w:rPr>
            </w:pPr>
          </w:p>
        </w:tc>
        <w:tc>
          <w:tcPr>
            <w:tcW w:w="1701" w:type="dxa"/>
          </w:tcPr>
          <w:p>
            <w:pPr>
              <w:rPr>
                <w:rFonts w:ascii="仿宋_GB2312" w:eastAsia="仿宋_GB2312"/>
                <w:sz w:val="28"/>
                <w:szCs w:val="28"/>
                <w:highlight w:val="none"/>
              </w:rPr>
            </w:pPr>
          </w:p>
        </w:tc>
        <w:tc>
          <w:tcPr>
            <w:tcW w:w="2409" w:type="dxa"/>
          </w:tcPr>
          <w:p>
            <w:pPr>
              <w:rPr>
                <w:rFonts w:ascii="仿宋_GB2312" w:eastAsia="仿宋_GB2312"/>
                <w:sz w:val="28"/>
                <w:szCs w:val="28"/>
                <w:highlight w:val="none"/>
              </w:rPr>
            </w:pPr>
          </w:p>
        </w:tc>
        <w:tc>
          <w:tcPr>
            <w:tcW w:w="2744" w:type="dxa"/>
          </w:tcPr>
          <w:p>
            <w:pPr>
              <w:rPr>
                <w:rFonts w:ascii="仿宋_GB2312" w:eastAsia="仿宋_GB2312"/>
                <w:sz w:val="28"/>
                <w:szCs w:val="28"/>
                <w:highlight w:val="none"/>
              </w:rPr>
            </w:pPr>
          </w:p>
        </w:tc>
      </w:tr>
    </w:tbl>
    <w:p>
      <w:pPr>
        <w:ind w:firstLine="560" w:firstLineChars="200"/>
        <w:rPr>
          <w:rFonts w:ascii="仿宋_GB2312" w:eastAsia="仿宋_GB2312"/>
          <w:sz w:val="28"/>
          <w:szCs w:val="28"/>
          <w:highlight w:val="none"/>
        </w:rPr>
      </w:pP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特此致函。</w:t>
      </w:r>
    </w:p>
    <w:p>
      <w:pPr>
        <w:ind w:firstLine="560" w:firstLineChars="200"/>
        <w:jc w:val="right"/>
        <w:rPr>
          <w:rFonts w:ascii="仿宋_GB2312" w:eastAsia="仿宋_GB2312"/>
          <w:sz w:val="28"/>
          <w:szCs w:val="28"/>
          <w:highlight w:val="none"/>
        </w:rPr>
      </w:pP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XX公司（盖章）</w:t>
      </w:r>
    </w:p>
    <w:p>
      <w:pPr>
        <w:ind w:firstLine="560" w:firstLineChars="200"/>
        <w:jc w:val="right"/>
        <w:rPr>
          <w:rFonts w:ascii="仿宋_GB2312" w:eastAsia="仿宋_GB2312"/>
          <w:sz w:val="28"/>
          <w:szCs w:val="28"/>
          <w:highlight w:val="none"/>
        </w:rPr>
      </w:pPr>
      <w:r>
        <w:rPr>
          <w:rFonts w:hint="eastAsia" w:ascii="仿宋_GB2312" w:eastAsia="仿宋_GB2312"/>
          <w:sz w:val="28"/>
          <w:szCs w:val="28"/>
          <w:highlight w:val="none"/>
        </w:rPr>
        <w:t>XX年XX月XX日</w:t>
      </w:r>
    </w:p>
    <w:p>
      <w:pPr>
        <w:rPr>
          <w:highlight w:val="none"/>
        </w:rPr>
      </w:pPr>
    </w:p>
    <w:p>
      <w:pPr>
        <w:rPr>
          <w:highlight w:val="none"/>
        </w:rPr>
      </w:pPr>
    </w:p>
    <w:p>
      <w:pPr>
        <w:rPr>
          <w:highlight w:val="none"/>
        </w:rPr>
      </w:pPr>
    </w:p>
    <w:p>
      <w:pPr>
        <w:rPr>
          <w:highlight w:val="none"/>
        </w:rPr>
      </w:pPr>
    </w:p>
    <w:p>
      <w:pPr>
        <w:rPr>
          <w:highlight w:val="none"/>
        </w:rPr>
      </w:pPr>
    </w:p>
    <w:p>
      <w:pPr>
        <w:pStyle w:val="3"/>
        <w:spacing w:before="312" w:line="600" w:lineRule="exact"/>
        <w:rPr>
          <w:rFonts w:ascii="仿宋_GB2312" w:hAnsi="黑体" w:eastAsia="仿宋_GB2312"/>
          <w:b w:val="0"/>
          <w:bCs w:val="0"/>
          <w:kern w:val="44"/>
          <w:sz w:val="28"/>
          <w:szCs w:val="36"/>
          <w:highlight w:val="none"/>
        </w:rPr>
      </w:pPr>
      <w:bookmarkStart w:id="175" w:name="_Toc120180571"/>
      <w:bookmarkStart w:id="176" w:name="_Toc1590"/>
      <w:bookmarkStart w:id="177" w:name="_Toc32018"/>
      <w:bookmarkStart w:id="178" w:name="_Toc24608"/>
      <w:r>
        <w:rPr>
          <w:rFonts w:hint="eastAsia" w:ascii="仿宋_GB2312" w:hAnsi="黑体" w:eastAsia="仿宋_GB2312"/>
          <w:kern w:val="44"/>
          <w:sz w:val="28"/>
          <w:szCs w:val="36"/>
          <w:highlight w:val="none"/>
        </w:rPr>
        <w:t>附件9：数字证书申请流程</w:t>
      </w:r>
      <w:bookmarkEnd w:id="175"/>
      <w:bookmarkEnd w:id="176"/>
      <w:bookmarkEnd w:id="177"/>
      <w:bookmarkEnd w:id="178"/>
    </w:p>
    <w:p>
      <w:pPr>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基金做市商通过业务管理系统平台交易参与人模块（以下简称业管交参模块）办理业务。业管交参模块采用本所</w:t>
      </w:r>
      <w:r>
        <w:rPr>
          <w:rFonts w:ascii="仿宋_GB2312" w:hAnsi="仿宋" w:eastAsia="仿宋_GB2312" w:cs="Times New Roman"/>
          <w:sz w:val="28"/>
          <w:szCs w:val="28"/>
          <w:highlight w:val="none"/>
        </w:rPr>
        <w:t>CnSCA</w:t>
      </w:r>
      <w:r>
        <w:rPr>
          <w:rFonts w:hint="eastAsia" w:ascii="仿宋_GB2312" w:hAnsi="仿宋" w:eastAsia="仿宋_GB2312" w:cs="Times New Roman"/>
          <w:sz w:val="28"/>
          <w:szCs w:val="28"/>
          <w:highlight w:val="none"/>
        </w:rPr>
        <w:t>颁发的数字证书（以下简称</w:t>
      </w:r>
      <w:r>
        <w:rPr>
          <w:rFonts w:ascii="仿宋_GB2312" w:hAnsi="仿宋" w:eastAsia="仿宋_GB2312" w:cs="Times New Roman"/>
          <w:sz w:val="28"/>
          <w:szCs w:val="28"/>
          <w:highlight w:val="none"/>
        </w:rPr>
        <w:t>EKey</w:t>
      </w:r>
      <w:r>
        <w:rPr>
          <w:rFonts w:hint="eastAsia" w:ascii="仿宋_GB2312" w:hAnsi="仿宋" w:eastAsia="仿宋_GB2312" w:cs="Times New Roman"/>
          <w:sz w:val="28"/>
          <w:szCs w:val="28"/>
          <w:highlight w:val="none"/>
        </w:rPr>
        <w:t>）来确保信息安全，机构须持数字证书方能登录相关系统办理业务。</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（一）申请程序</w:t>
      </w:r>
    </w:p>
    <w:p>
      <w:pPr>
        <w:spacing w:line="600" w:lineRule="exact"/>
        <w:ind w:firstLine="560" w:firstLineChars="200"/>
        <w:rPr>
          <w:rFonts w:ascii="仿宋_GB2312" w:hAnsi="仿宋" w:eastAsia="仿宋_GB2312" w:cs="Times New Roman"/>
          <w:sz w:val="28"/>
          <w:szCs w:val="28"/>
          <w:highlight w:val="none"/>
        </w:rPr>
      </w:pPr>
      <w:r>
        <w:rPr>
          <w:rFonts w:ascii="仿宋_GB2312" w:hAnsi="仿宋" w:eastAsia="仿宋_GB2312" w:cs="Times New Roman"/>
          <w:sz w:val="28"/>
          <w:szCs w:val="28"/>
          <w:highlight w:val="none"/>
        </w:rPr>
        <w:t>1.EKey申请采用电子化方式，机构应登录本所信息公司CA在线业务系统</w:t>
      </w:r>
      <w:r>
        <w:rPr>
          <w:rFonts w:hint="eastAsia" w:ascii="仿宋_GB2312" w:hAnsi="仿宋" w:eastAsia="仿宋_GB2312" w:cs="Times New Roman"/>
          <w:sz w:val="28"/>
          <w:szCs w:val="28"/>
          <w:highlight w:val="none"/>
        </w:rPr>
        <w:t>（</w:t>
      </w:r>
      <w:r>
        <w:rPr>
          <w:highlight w:val="none"/>
        </w:rPr>
        <w:fldChar w:fldCharType="begin"/>
      </w:r>
      <w:r>
        <w:rPr>
          <w:highlight w:val="none"/>
        </w:rPr>
        <w:instrText xml:space="preserve"> HYPERLINK "https://cnsca.sse.com.cn/" </w:instrText>
      </w:r>
      <w:r>
        <w:rPr>
          <w:highlight w:val="none"/>
        </w:rPr>
        <w:fldChar w:fldCharType="separate"/>
      </w:r>
      <w:r>
        <w:rPr>
          <w:rFonts w:ascii="仿宋_GB2312" w:hAnsi="仿宋" w:eastAsia="仿宋_GB2312" w:cs="Times New Roman"/>
          <w:sz w:val="28"/>
          <w:szCs w:val="28"/>
          <w:highlight w:val="none"/>
        </w:rPr>
        <w:t>https://cnsca.sse.com.cn/</w:t>
      </w:r>
      <w:r>
        <w:rPr>
          <w:rFonts w:ascii="仿宋_GB2312" w:hAnsi="仿宋" w:eastAsia="仿宋_GB2312" w:cs="Times New Roman"/>
          <w:sz w:val="28"/>
          <w:szCs w:val="28"/>
          <w:highlight w:val="none"/>
        </w:rPr>
        <w:fldChar w:fldCharType="end"/>
      </w:r>
      <w:r>
        <w:rPr>
          <w:rFonts w:hint="eastAsia" w:ascii="仿宋_GB2312" w:hAnsi="仿宋" w:eastAsia="仿宋_GB2312" w:cs="Times New Roman"/>
          <w:sz w:val="28"/>
          <w:szCs w:val="28"/>
          <w:highlight w:val="none"/>
        </w:rPr>
        <w:t>）。选择的证书</w:t>
      </w:r>
      <w:r>
        <w:rPr>
          <w:rFonts w:ascii="仿宋_GB2312" w:hAnsi="仿宋" w:eastAsia="仿宋_GB2312" w:cs="Times New Roman"/>
          <w:sz w:val="28"/>
          <w:szCs w:val="28"/>
          <w:highlight w:val="none"/>
        </w:rPr>
        <w:t>类型</w:t>
      </w:r>
      <w:r>
        <w:rPr>
          <w:rFonts w:hint="eastAsia" w:ascii="仿宋_GB2312" w:hAnsi="仿宋" w:eastAsia="仿宋_GB2312" w:cs="Times New Roman"/>
          <w:sz w:val="28"/>
          <w:szCs w:val="28"/>
          <w:highlight w:val="none"/>
        </w:rPr>
        <w:t>为</w:t>
      </w:r>
      <w:r>
        <w:rPr>
          <w:rFonts w:ascii="仿宋_GB2312" w:hAnsi="仿宋" w:eastAsia="仿宋_GB2312" w:cs="Times New Roman"/>
          <w:sz w:val="28"/>
          <w:szCs w:val="28"/>
          <w:highlight w:val="none"/>
        </w:rPr>
        <w:t>“</w:t>
      </w:r>
      <w:r>
        <w:rPr>
          <w:rFonts w:hint="eastAsia" w:ascii="仿宋_GB2312" w:hAnsi="仿宋" w:eastAsia="仿宋_GB2312" w:cs="Times New Roman"/>
          <w:sz w:val="28"/>
          <w:szCs w:val="28"/>
          <w:highlight w:val="none"/>
        </w:rPr>
        <w:t>基金做市商业务</w:t>
      </w:r>
      <w:r>
        <w:rPr>
          <w:rFonts w:ascii="仿宋_GB2312" w:hAnsi="仿宋" w:eastAsia="仿宋_GB2312" w:cs="Times New Roman"/>
          <w:sz w:val="28"/>
          <w:szCs w:val="28"/>
          <w:highlight w:val="none"/>
        </w:rPr>
        <w:t>”</w:t>
      </w:r>
      <w:r>
        <w:rPr>
          <w:rFonts w:hint="eastAsia" w:ascii="仿宋_GB2312" w:hAnsi="仿宋" w:eastAsia="仿宋_GB2312" w:cs="Times New Roman"/>
          <w:sz w:val="28"/>
          <w:szCs w:val="28"/>
          <w:highlight w:val="none"/>
        </w:rPr>
        <w:t>。根据页面要求如实填写相关</w:t>
      </w:r>
      <w:r>
        <w:rPr>
          <w:rFonts w:ascii="仿宋_GB2312" w:hAnsi="仿宋" w:eastAsia="仿宋_GB2312" w:cs="Times New Roman"/>
          <w:sz w:val="28"/>
          <w:szCs w:val="28"/>
          <w:highlight w:val="none"/>
        </w:rPr>
        <w:t>内容</w:t>
      </w:r>
      <w:r>
        <w:rPr>
          <w:rFonts w:hint="eastAsia" w:ascii="仿宋_GB2312" w:hAnsi="仿宋" w:eastAsia="仿宋_GB2312" w:cs="Times New Roman"/>
          <w:sz w:val="28"/>
          <w:szCs w:val="28"/>
          <w:highlight w:val="none"/>
        </w:rPr>
        <w:t>。</w:t>
      </w:r>
    </w:p>
    <w:p>
      <w:pPr>
        <w:spacing w:line="600" w:lineRule="exact"/>
        <w:ind w:firstLine="560" w:firstLineChars="200"/>
        <w:rPr>
          <w:rFonts w:ascii="仿宋_GB2312" w:hAnsi="仿宋" w:eastAsia="仿宋_GB2312" w:cs="Times New Roman"/>
          <w:sz w:val="28"/>
          <w:szCs w:val="28"/>
          <w:highlight w:val="none"/>
        </w:rPr>
      </w:pPr>
      <w:r>
        <w:rPr>
          <w:rFonts w:ascii="仿宋_GB2312" w:hAnsi="仿宋" w:eastAsia="仿宋_GB2312" w:cs="Times New Roman"/>
          <w:sz w:val="28"/>
          <w:szCs w:val="28"/>
          <w:highlight w:val="none"/>
        </w:rPr>
        <w:t>2.按页面要求</w:t>
      </w:r>
      <w:r>
        <w:rPr>
          <w:rFonts w:hint="eastAsia" w:ascii="仿宋_GB2312" w:hAnsi="仿宋" w:eastAsia="仿宋_GB2312" w:cs="Times New Roman"/>
          <w:sz w:val="28"/>
          <w:szCs w:val="28"/>
          <w:highlight w:val="none"/>
        </w:rPr>
        <w:t>下载打印《申请表》和《</w:t>
      </w:r>
      <w:r>
        <w:rPr>
          <w:rFonts w:ascii="仿宋_GB2312" w:hAnsi="仿宋" w:eastAsia="仿宋_GB2312" w:cs="Times New Roman"/>
          <w:sz w:val="28"/>
          <w:szCs w:val="28"/>
          <w:highlight w:val="none"/>
        </w:rPr>
        <w:t>CnSCA</w:t>
      </w:r>
      <w:r>
        <w:rPr>
          <w:rFonts w:hint="eastAsia" w:ascii="仿宋_GB2312" w:hAnsi="仿宋" w:eastAsia="仿宋_GB2312" w:cs="Times New Roman"/>
          <w:sz w:val="28"/>
          <w:szCs w:val="28"/>
          <w:highlight w:val="none"/>
        </w:rPr>
        <w:t>数字证书申请责任书》等材料，填写完成并加盖公章，将上述材料分别扫描，通过</w:t>
      </w:r>
      <w:r>
        <w:rPr>
          <w:rFonts w:ascii="仿宋_GB2312" w:hAnsi="仿宋" w:eastAsia="仿宋_GB2312" w:cs="Times New Roman"/>
          <w:sz w:val="28"/>
          <w:szCs w:val="28"/>
          <w:highlight w:val="none"/>
        </w:rPr>
        <w:t>CA在线业务系统</w:t>
      </w:r>
      <w:r>
        <w:rPr>
          <w:rFonts w:hint="eastAsia" w:ascii="仿宋_GB2312" w:hAnsi="仿宋" w:eastAsia="仿宋_GB2312" w:cs="Times New Roman"/>
          <w:sz w:val="28"/>
          <w:szCs w:val="28"/>
          <w:highlight w:val="none"/>
        </w:rPr>
        <w:t>提交。</w:t>
      </w:r>
    </w:p>
    <w:p>
      <w:pPr>
        <w:spacing w:line="600" w:lineRule="exact"/>
        <w:ind w:firstLine="560" w:firstLineChars="200"/>
        <w:rPr>
          <w:rFonts w:ascii="仿宋_GB2312" w:hAnsi="仿宋" w:eastAsia="仿宋_GB2312" w:cs="Times New Roman"/>
          <w:sz w:val="28"/>
          <w:szCs w:val="28"/>
          <w:highlight w:val="none"/>
        </w:rPr>
      </w:pPr>
      <w:r>
        <w:rPr>
          <w:rFonts w:ascii="仿宋_GB2312" w:hAnsi="仿宋" w:eastAsia="仿宋_GB2312" w:cs="Times New Roman"/>
          <w:sz w:val="28"/>
          <w:szCs w:val="28"/>
          <w:highlight w:val="none"/>
        </w:rPr>
        <w:t>3.通过EKey</w:t>
      </w:r>
      <w:r>
        <w:rPr>
          <w:rFonts w:hint="eastAsia" w:ascii="仿宋_GB2312" w:hAnsi="仿宋" w:eastAsia="仿宋_GB2312" w:cs="Times New Roman"/>
          <w:sz w:val="28"/>
          <w:szCs w:val="28"/>
          <w:highlight w:val="none"/>
        </w:rPr>
        <w:t>登录</w:t>
      </w:r>
      <w:r>
        <w:rPr>
          <w:rFonts w:ascii="仿宋_GB2312" w:hAnsi="仿宋" w:eastAsia="仿宋_GB2312" w:cs="Times New Roman"/>
          <w:sz w:val="28"/>
          <w:szCs w:val="28"/>
          <w:highlight w:val="none"/>
        </w:rPr>
        <w:t>CA在线业务系统提交申请的，不需寄送申请材料原件。通过口令登录CA在线业务系统提交申请的，</w:t>
      </w:r>
      <w:r>
        <w:rPr>
          <w:rFonts w:hint="eastAsia" w:ascii="仿宋_GB2312" w:hAnsi="仿宋" w:eastAsia="仿宋_GB2312" w:cs="Times New Roman"/>
          <w:sz w:val="28"/>
          <w:szCs w:val="28"/>
          <w:highlight w:val="none"/>
        </w:rPr>
        <w:t>需将上述申请材料原件寄送至本所信息公司</w:t>
      </w:r>
      <w:r>
        <w:rPr>
          <w:rFonts w:ascii="仿宋_GB2312" w:hAnsi="仿宋" w:eastAsia="仿宋_GB2312" w:cs="Times New Roman"/>
          <w:sz w:val="28"/>
          <w:szCs w:val="28"/>
          <w:highlight w:val="none"/>
        </w:rPr>
        <w:t>CA中心。</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邮寄地址如下：</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上海市浦东新区张东路</w:t>
      </w:r>
      <w:r>
        <w:rPr>
          <w:rFonts w:ascii="仿宋_GB2312" w:hAnsi="仿宋" w:eastAsia="仿宋_GB2312" w:cs="Times New Roman"/>
          <w:sz w:val="28"/>
          <w:szCs w:val="28"/>
          <w:highlight w:val="none"/>
        </w:rPr>
        <w:t xml:space="preserve">1387号37栋  </w:t>
      </w:r>
      <w:r>
        <w:rPr>
          <w:rFonts w:hint="eastAsia" w:ascii="仿宋_GB2312" w:hAnsi="仿宋" w:eastAsia="仿宋_GB2312" w:cs="Times New Roman"/>
          <w:sz w:val="28"/>
          <w:szCs w:val="28"/>
          <w:highlight w:val="none"/>
        </w:rPr>
        <w:t>邮编：</w:t>
      </w:r>
      <w:r>
        <w:rPr>
          <w:rFonts w:ascii="仿宋_GB2312" w:hAnsi="仿宋" w:eastAsia="仿宋_GB2312" w:cs="Times New Roman"/>
          <w:sz w:val="28"/>
          <w:szCs w:val="28"/>
          <w:highlight w:val="none"/>
        </w:rPr>
        <w:t>201203</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收件：上证所信息网络有限公司</w:t>
      </w:r>
      <w:r>
        <w:rPr>
          <w:rFonts w:ascii="仿宋_GB2312" w:hAnsi="仿宋" w:eastAsia="仿宋_GB2312" w:cs="Times New Roman"/>
          <w:sz w:val="28"/>
          <w:szCs w:val="28"/>
          <w:highlight w:val="none"/>
        </w:rPr>
        <w:t>CA中心</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（二）申请费用</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对于业管交参模块，暂免每家机构前</w:t>
      </w:r>
      <w:r>
        <w:rPr>
          <w:rFonts w:ascii="仿宋_GB2312" w:hAnsi="仿宋" w:eastAsia="仿宋_GB2312" w:cs="Times New Roman"/>
          <w:sz w:val="28"/>
          <w:szCs w:val="28"/>
          <w:highlight w:val="none"/>
        </w:rPr>
        <w:t>5个证书的服务费。额外申请的证书服务费500元/年；如一次性支付三年服务费用的，收费优惠为400元/年。</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（三）证书发放</w:t>
      </w:r>
    </w:p>
    <w:p>
      <w:pPr>
        <w:spacing w:line="600" w:lineRule="exact"/>
        <w:ind w:firstLine="560" w:firstLineChars="200"/>
        <w:rPr>
          <w:rFonts w:ascii="仿宋_GB2312" w:hAnsi="仿宋" w:eastAsia="仿宋_GB2312" w:cs="Times New Roman"/>
          <w:sz w:val="28"/>
          <w:szCs w:val="28"/>
          <w:highlight w:val="none"/>
        </w:rPr>
      </w:pPr>
      <w:r>
        <w:rPr>
          <w:rFonts w:ascii="仿宋_GB2312" w:hAnsi="仿宋" w:eastAsia="仿宋_GB2312" w:cs="Times New Roman"/>
          <w:sz w:val="28"/>
          <w:szCs w:val="28"/>
          <w:highlight w:val="none"/>
        </w:rPr>
        <w:t>EKey</w:t>
      </w:r>
      <w:r>
        <w:rPr>
          <w:rFonts w:hint="eastAsia" w:ascii="仿宋_GB2312" w:hAnsi="仿宋" w:eastAsia="仿宋_GB2312" w:cs="Times New Roman"/>
          <w:sz w:val="28"/>
          <w:szCs w:val="28"/>
          <w:highlight w:val="none"/>
        </w:rPr>
        <w:t>制作周期一般为</w:t>
      </w:r>
      <w:r>
        <w:rPr>
          <w:rFonts w:ascii="仿宋_GB2312" w:hAnsi="仿宋" w:eastAsia="仿宋_GB2312" w:cs="Times New Roman"/>
          <w:sz w:val="28"/>
          <w:szCs w:val="28"/>
          <w:highlight w:val="none"/>
        </w:rPr>
        <w:t>5个工作日，EKey</w:t>
      </w:r>
      <w:r>
        <w:rPr>
          <w:rFonts w:hint="eastAsia" w:ascii="仿宋_GB2312" w:hAnsi="仿宋" w:eastAsia="仿宋_GB2312" w:cs="Times New Roman"/>
          <w:sz w:val="28"/>
          <w:szCs w:val="28"/>
          <w:highlight w:val="none"/>
        </w:rPr>
        <w:t>制作完成后，本所信息公司将按各家机构申请</w:t>
      </w:r>
      <w:r>
        <w:rPr>
          <w:rFonts w:ascii="仿宋_GB2312" w:hAnsi="仿宋" w:eastAsia="仿宋_GB2312" w:cs="Times New Roman"/>
          <w:sz w:val="28"/>
          <w:szCs w:val="28"/>
          <w:highlight w:val="none"/>
        </w:rPr>
        <w:t>EKey</w:t>
      </w:r>
      <w:r>
        <w:rPr>
          <w:rFonts w:hint="eastAsia" w:ascii="仿宋_GB2312" w:hAnsi="仿宋" w:eastAsia="仿宋_GB2312" w:cs="Times New Roman"/>
          <w:sz w:val="28"/>
          <w:szCs w:val="28"/>
          <w:highlight w:val="none"/>
        </w:rPr>
        <w:t>时选择的方式，快递送达或通知现场领取。</w:t>
      </w:r>
    </w:p>
    <w:p>
      <w:pPr>
        <w:spacing w:line="600" w:lineRule="exact"/>
        <w:ind w:firstLine="560" w:firstLineChars="200"/>
        <w:rPr>
          <w:rFonts w:ascii="仿宋_GB2312" w:hAnsi="仿宋" w:eastAsia="仿宋_GB2312" w:cs="Times New Roman"/>
          <w:sz w:val="28"/>
          <w:szCs w:val="28"/>
          <w:highlight w:val="none"/>
        </w:rPr>
      </w:pPr>
      <w:r>
        <w:rPr>
          <w:rFonts w:ascii="仿宋_GB2312" w:hAnsi="仿宋" w:eastAsia="仿宋_GB2312" w:cs="Times New Roman"/>
          <w:sz w:val="28"/>
          <w:szCs w:val="28"/>
          <w:highlight w:val="none"/>
        </w:rPr>
        <w:t>EKey</w:t>
      </w:r>
      <w:r>
        <w:rPr>
          <w:rFonts w:hint="eastAsia" w:ascii="仿宋_GB2312" w:hAnsi="仿宋" w:eastAsia="仿宋_GB2312" w:cs="Times New Roman"/>
          <w:sz w:val="28"/>
          <w:szCs w:val="28"/>
          <w:highlight w:val="none"/>
        </w:rPr>
        <w:t>领取事宜咨询联系电话：</w:t>
      </w:r>
      <w:r>
        <w:rPr>
          <w:rFonts w:ascii="仿宋_GB2312" w:hAnsi="仿宋" w:eastAsia="仿宋_GB2312" w:cs="Times New Roman"/>
          <w:sz w:val="28"/>
          <w:szCs w:val="28"/>
          <w:highlight w:val="none"/>
        </w:rPr>
        <w:t>021-68814725</w:t>
      </w:r>
      <w:r>
        <w:rPr>
          <w:rFonts w:hint="eastAsia" w:ascii="仿宋_GB2312" w:hAnsi="仿宋" w:eastAsia="仿宋_GB2312" w:cs="Times New Roman"/>
          <w:sz w:val="28"/>
          <w:szCs w:val="28"/>
          <w:highlight w:val="none"/>
        </w:rPr>
        <w:t>。</w:t>
      </w:r>
    </w:p>
    <w:p>
      <w:pPr>
        <w:spacing w:line="600" w:lineRule="exact"/>
        <w:ind w:firstLine="560" w:firstLineChars="200"/>
        <w:rPr>
          <w:rFonts w:ascii="仿宋_GB2312" w:hAnsi="仿宋" w:eastAsia="仿宋_GB2312" w:cs="Times New Roman"/>
          <w:sz w:val="28"/>
          <w:szCs w:val="28"/>
          <w:highlight w:val="none"/>
        </w:rPr>
      </w:pPr>
      <w:r>
        <w:rPr>
          <w:rFonts w:ascii="仿宋_GB2312" w:hAnsi="仿宋" w:eastAsia="仿宋_GB2312" w:cs="Times New Roman"/>
          <w:sz w:val="28"/>
          <w:szCs w:val="28"/>
          <w:highlight w:val="none"/>
        </w:rPr>
        <w:t>EKey</w:t>
      </w:r>
      <w:r>
        <w:rPr>
          <w:rFonts w:hint="eastAsia" w:ascii="仿宋_GB2312" w:hAnsi="仿宋" w:eastAsia="仿宋_GB2312" w:cs="Times New Roman"/>
          <w:sz w:val="28"/>
          <w:szCs w:val="28"/>
          <w:highlight w:val="none"/>
        </w:rPr>
        <w:t>技术</w:t>
      </w:r>
      <w:r>
        <w:rPr>
          <w:rFonts w:ascii="仿宋_GB2312" w:hAnsi="仿宋" w:eastAsia="仿宋_GB2312" w:cs="Times New Roman"/>
          <w:sz w:val="28"/>
          <w:szCs w:val="28"/>
          <w:highlight w:val="none"/>
        </w:rPr>
        <w:t>支持电话：021-58654194, 021-58654154。</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（四）操作指引</w:t>
      </w:r>
    </w:p>
    <w:p>
      <w:pPr>
        <w:spacing w:line="600" w:lineRule="exact"/>
        <w:ind w:firstLine="560" w:firstLineChars="200"/>
        <w:rPr>
          <w:rFonts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业管交参模块需插入</w:t>
      </w:r>
      <w:r>
        <w:rPr>
          <w:rFonts w:ascii="仿宋_GB2312" w:hAnsi="仿宋" w:eastAsia="仿宋_GB2312" w:cs="Times New Roman"/>
          <w:sz w:val="28"/>
          <w:szCs w:val="28"/>
          <w:highlight w:val="none"/>
        </w:rPr>
        <w:t>EKey</w:t>
      </w:r>
      <w:r>
        <w:rPr>
          <w:rFonts w:hint="eastAsia" w:ascii="仿宋_GB2312" w:hAnsi="仿宋" w:eastAsia="仿宋_GB2312" w:cs="Times New Roman"/>
          <w:sz w:val="28"/>
          <w:szCs w:val="28"/>
          <w:highlight w:val="none"/>
        </w:rPr>
        <w:t>验证后，通过网络浏览器使用账号及密码登录访问。建议使用最新</w:t>
      </w:r>
      <w:r>
        <w:rPr>
          <w:rFonts w:ascii="仿宋_GB2312" w:hAnsi="仿宋" w:eastAsia="仿宋_GB2312" w:cs="Times New Roman"/>
          <w:sz w:val="28"/>
          <w:szCs w:val="28"/>
          <w:highlight w:val="none"/>
        </w:rPr>
        <w:t>chrome浏览器，系统访问地址: https://bmsp.uap.sse.com.cn，登录账号及密码将随EKey</w:t>
      </w:r>
      <w:r>
        <w:rPr>
          <w:rFonts w:hint="eastAsia" w:ascii="仿宋_GB2312" w:hAnsi="仿宋" w:eastAsia="仿宋_GB2312" w:cs="Times New Roman"/>
          <w:sz w:val="28"/>
          <w:szCs w:val="28"/>
          <w:highlight w:val="none"/>
        </w:rPr>
        <w:t>同步发放。</w:t>
      </w:r>
    </w:p>
    <w:p>
      <w:pPr>
        <w:rPr>
          <w:rFonts w:ascii="仿宋_GB2312" w:hAnsi="仿宋" w:eastAsia="仿宋_GB2312" w:cs="Times New Roman"/>
          <w:sz w:val="28"/>
          <w:szCs w:val="28"/>
          <w:highlight w:val="none"/>
        </w:rPr>
      </w:pPr>
    </w:p>
    <w:p>
      <w:pPr>
        <w:jc w:val="left"/>
        <w:rPr>
          <w:rFonts w:ascii="仿宋_GB2312" w:eastAsia="仿宋_GB2312"/>
          <w:sz w:val="28"/>
          <w:szCs w:val="28"/>
          <w:highlight w:val="none"/>
        </w:rPr>
      </w:pPr>
    </w:p>
    <w:p>
      <w:pPr>
        <w:rPr>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方正大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23</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36927"/>
    <w:multiLevelType w:val="multilevel"/>
    <w:tmpl w:val="02436927"/>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77C520BA"/>
    <w:multiLevelType w:val="multilevel"/>
    <w:tmpl w:val="77C520BA"/>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B6D4B"/>
    <w:rsid w:val="00001DC1"/>
    <w:rsid w:val="00012248"/>
    <w:rsid w:val="0001441D"/>
    <w:rsid w:val="0002107F"/>
    <w:rsid w:val="00034C93"/>
    <w:rsid w:val="000355D4"/>
    <w:rsid w:val="00037B39"/>
    <w:rsid w:val="00046384"/>
    <w:rsid w:val="00067135"/>
    <w:rsid w:val="000678E7"/>
    <w:rsid w:val="00074DD6"/>
    <w:rsid w:val="00076377"/>
    <w:rsid w:val="00084AFD"/>
    <w:rsid w:val="000879D9"/>
    <w:rsid w:val="00096760"/>
    <w:rsid w:val="000B1595"/>
    <w:rsid w:val="000B1BEE"/>
    <w:rsid w:val="000C1C55"/>
    <w:rsid w:val="000D6E4F"/>
    <w:rsid w:val="000E6885"/>
    <w:rsid w:val="0011614D"/>
    <w:rsid w:val="001373AB"/>
    <w:rsid w:val="00145E1B"/>
    <w:rsid w:val="00152912"/>
    <w:rsid w:val="0015354E"/>
    <w:rsid w:val="001544BC"/>
    <w:rsid w:val="00175074"/>
    <w:rsid w:val="001934B9"/>
    <w:rsid w:val="001939B2"/>
    <w:rsid w:val="001A0426"/>
    <w:rsid w:val="001A2343"/>
    <w:rsid w:val="001A4F9E"/>
    <w:rsid w:val="001D1E7E"/>
    <w:rsid w:val="001F1AFE"/>
    <w:rsid w:val="002047CD"/>
    <w:rsid w:val="0021582B"/>
    <w:rsid w:val="0021621F"/>
    <w:rsid w:val="002252D7"/>
    <w:rsid w:val="00235804"/>
    <w:rsid w:val="002378B2"/>
    <w:rsid w:val="002612A8"/>
    <w:rsid w:val="0026231D"/>
    <w:rsid w:val="002625A8"/>
    <w:rsid w:val="002A6704"/>
    <w:rsid w:val="002F6ABC"/>
    <w:rsid w:val="00302606"/>
    <w:rsid w:val="00307A3A"/>
    <w:rsid w:val="003113AC"/>
    <w:rsid w:val="00315C55"/>
    <w:rsid w:val="00324F45"/>
    <w:rsid w:val="003479F7"/>
    <w:rsid w:val="00352365"/>
    <w:rsid w:val="00374B54"/>
    <w:rsid w:val="0039078B"/>
    <w:rsid w:val="00397669"/>
    <w:rsid w:val="003B4591"/>
    <w:rsid w:val="003C5AD1"/>
    <w:rsid w:val="003E38CD"/>
    <w:rsid w:val="003E3DB0"/>
    <w:rsid w:val="003F1A37"/>
    <w:rsid w:val="004137A5"/>
    <w:rsid w:val="004206BB"/>
    <w:rsid w:val="004249AB"/>
    <w:rsid w:val="004303B1"/>
    <w:rsid w:val="00430B0B"/>
    <w:rsid w:val="00433616"/>
    <w:rsid w:val="00433C7E"/>
    <w:rsid w:val="00440832"/>
    <w:rsid w:val="004463F7"/>
    <w:rsid w:val="004748E3"/>
    <w:rsid w:val="00486525"/>
    <w:rsid w:val="0049260F"/>
    <w:rsid w:val="004A379A"/>
    <w:rsid w:val="004B06E7"/>
    <w:rsid w:val="004C323D"/>
    <w:rsid w:val="004C5B12"/>
    <w:rsid w:val="004D696B"/>
    <w:rsid w:val="004D7356"/>
    <w:rsid w:val="004E4E74"/>
    <w:rsid w:val="00510BD6"/>
    <w:rsid w:val="00513821"/>
    <w:rsid w:val="005321F4"/>
    <w:rsid w:val="005518ED"/>
    <w:rsid w:val="00555D78"/>
    <w:rsid w:val="00556EB6"/>
    <w:rsid w:val="00596BDD"/>
    <w:rsid w:val="005A2B91"/>
    <w:rsid w:val="005B765C"/>
    <w:rsid w:val="005C3AAE"/>
    <w:rsid w:val="006012D4"/>
    <w:rsid w:val="00644262"/>
    <w:rsid w:val="00650D5A"/>
    <w:rsid w:val="00655C6B"/>
    <w:rsid w:val="0066741D"/>
    <w:rsid w:val="0068200A"/>
    <w:rsid w:val="006836A0"/>
    <w:rsid w:val="00685600"/>
    <w:rsid w:val="00685ADA"/>
    <w:rsid w:val="00690102"/>
    <w:rsid w:val="00691240"/>
    <w:rsid w:val="006A68D0"/>
    <w:rsid w:val="006A6F8E"/>
    <w:rsid w:val="006A7878"/>
    <w:rsid w:val="006C6E4B"/>
    <w:rsid w:val="006D673C"/>
    <w:rsid w:val="006E1374"/>
    <w:rsid w:val="006F52F7"/>
    <w:rsid w:val="006F5E1C"/>
    <w:rsid w:val="007140D5"/>
    <w:rsid w:val="00727B3D"/>
    <w:rsid w:val="0073113F"/>
    <w:rsid w:val="00742D5C"/>
    <w:rsid w:val="007551B6"/>
    <w:rsid w:val="0075725F"/>
    <w:rsid w:val="00760F8C"/>
    <w:rsid w:val="00763C63"/>
    <w:rsid w:val="00764FB0"/>
    <w:rsid w:val="007657B2"/>
    <w:rsid w:val="00766215"/>
    <w:rsid w:val="00775B3E"/>
    <w:rsid w:val="007778BA"/>
    <w:rsid w:val="0078642B"/>
    <w:rsid w:val="00791FFC"/>
    <w:rsid w:val="007A07C4"/>
    <w:rsid w:val="007B2B20"/>
    <w:rsid w:val="007C2B9F"/>
    <w:rsid w:val="007C3268"/>
    <w:rsid w:val="007C4557"/>
    <w:rsid w:val="00807783"/>
    <w:rsid w:val="008468BE"/>
    <w:rsid w:val="00854885"/>
    <w:rsid w:val="0087160E"/>
    <w:rsid w:val="008726B8"/>
    <w:rsid w:val="0087591F"/>
    <w:rsid w:val="0087750E"/>
    <w:rsid w:val="00881EBE"/>
    <w:rsid w:val="00882FC9"/>
    <w:rsid w:val="008845F2"/>
    <w:rsid w:val="008872F0"/>
    <w:rsid w:val="008A41B6"/>
    <w:rsid w:val="008A41D8"/>
    <w:rsid w:val="008B6E6F"/>
    <w:rsid w:val="00901CC0"/>
    <w:rsid w:val="0092599C"/>
    <w:rsid w:val="009344A0"/>
    <w:rsid w:val="00936CA0"/>
    <w:rsid w:val="0094571D"/>
    <w:rsid w:val="0095382D"/>
    <w:rsid w:val="009616DC"/>
    <w:rsid w:val="00977832"/>
    <w:rsid w:val="009C6322"/>
    <w:rsid w:val="009C76E9"/>
    <w:rsid w:val="009D464A"/>
    <w:rsid w:val="009D7AC6"/>
    <w:rsid w:val="009E05E2"/>
    <w:rsid w:val="009E0FA9"/>
    <w:rsid w:val="009E4D9E"/>
    <w:rsid w:val="009F006C"/>
    <w:rsid w:val="00A21779"/>
    <w:rsid w:val="00A22CE1"/>
    <w:rsid w:val="00A243EA"/>
    <w:rsid w:val="00A27501"/>
    <w:rsid w:val="00A2764C"/>
    <w:rsid w:val="00A41742"/>
    <w:rsid w:val="00A560DA"/>
    <w:rsid w:val="00A65C12"/>
    <w:rsid w:val="00A91419"/>
    <w:rsid w:val="00AB4F09"/>
    <w:rsid w:val="00AB7421"/>
    <w:rsid w:val="00AD07A3"/>
    <w:rsid w:val="00AD2ACE"/>
    <w:rsid w:val="00AD6E6F"/>
    <w:rsid w:val="00AF24B3"/>
    <w:rsid w:val="00AF3041"/>
    <w:rsid w:val="00AF4093"/>
    <w:rsid w:val="00B01586"/>
    <w:rsid w:val="00B0531F"/>
    <w:rsid w:val="00B2196D"/>
    <w:rsid w:val="00B26DD2"/>
    <w:rsid w:val="00B3201F"/>
    <w:rsid w:val="00B75000"/>
    <w:rsid w:val="00B94CF5"/>
    <w:rsid w:val="00B970F6"/>
    <w:rsid w:val="00BF1B03"/>
    <w:rsid w:val="00BF2AB9"/>
    <w:rsid w:val="00BF674B"/>
    <w:rsid w:val="00C1167F"/>
    <w:rsid w:val="00C13788"/>
    <w:rsid w:val="00C14C30"/>
    <w:rsid w:val="00C2356B"/>
    <w:rsid w:val="00C23CD6"/>
    <w:rsid w:val="00C37460"/>
    <w:rsid w:val="00C47136"/>
    <w:rsid w:val="00C568A8"/>
    <w:rsid w:val="00C61969"/>
    <w:rsid w:val="00C65968"/>
    <w:rsid w:val="00C71D62"/>
    <w:rsid w:val="00C87FEF"/>
    <w:rsid w:val="00C92462"/>
    <w:rsid w:val="00CA4487"/>
    <w:rsid w:val="00CB01C3"/>
    <w:rsid w:val="00CB326A"/>
    <w:rsid w:val="00CB7FA7"/>
    <w:rsid w:val="00CC23A7"/>
    <w:rsid w:val="00CE4044"/>
    <w:rsid w:val="00CE5188"/>
    <w:rsid w:val="00D26DD0"/>
    <w:rsid w:val="00D277F0"/>
    <w:rsid w:val="00D30953"/>
    <w:rsid w:val="00D32FB9"/>
    <w:rsid w:val="00D37ACC"/>
    <w:rsid w:val="00D44BEC"/>
    <w:rsid w:val="00D477D4"/>
    <w:rsid w:val="00D619F1"/>
    <w:rsid w:val="00D6281C"/>
    <w:rsid w:val="00D814CC"/>
    <w:rsid w:val="00D928A9"/>
    <w:rsid w:val="00D97544"/>
    <w:rsid w:val="00DA5AF1"/>
    <w:rsid w:val="00DA6186"/>
    <w:rsid w:val="00DB255C"/>
    <w:rsid w:val="00DE01D2"/>
    <w:rsid w:val="00DF0A10"/>
    <w:rsid w:val="00DF534E"/>
    <w:rsid w:val="00E04FE9"/>
    <w:rsid w:val="00E079E0"/>
    <w:rsid w:val="00E12DC3"/>
    <w:rsid w:val="00E43C62"/>
    <w:rsid w:val="00E64B95"/>
    <w:rsid w:val="00EB6D4B"/>
    <w:rsid w:val="00ED49D2"/>
    <w:rsid w:val="00EF1713"/>
    <w:rsid w:val="00EF7DDB"/>
    <w:rsid w:val="00F16713"/>
    <w:rsid w:val="00F25AB5"/>
    <w:rsid w:val="00F26FAB"/>
    <w:rsid w:val="00F3201F"/>
    <w:rsid w:val="00F34AE1"/>
    <w:rsid w:val="00F579BE"/>
    <w:rsid w:val="00F92DD8"/>
    <w:rsid w:val="00FA25FE"/>
    <w:rsid w:val="00FE1371"/>
    <w:rsid w:val="00FE709B"/>
    <w:rsid w:val="01B63A33"/>
    <w:rsid w:val="02261430"/>
    <w:rsid w:val="024E2576"/>
    <w:rsid w:val="036E01A6"/>
    <w:rsid w:val="060914B4"/>
    <w:rsid w:val="070A5738"/>
    <w:rsid w:val="08E027E3"/>
    <w:rsid w:val="0A7A4A29"/>
    <w:rsid w:val="0AE53811"/>
    <w:rsid w:val="0C702ABC"/>
    <w:rsid w:val="0CA230CA"/>
    <w:rsid w:val="0D1702E4"/>
    <w:rsid w:val="10154594"/>
    <w:rsid w:val="120E7229"/>
    <w:rsid w:val="12A460C1"/>
    <w:rsid w:val="131B1A7D"/>
    <w:rsid w:val="19266CBF"/>
    <w:rsid w:val="1A494467"/>
    <w:rsid w:val="1B32775E"/>
    <w:rsid w:val="1D4A7298"/>
    <w:rsid w:val="1DCE5749"/>
    <w:rsid w:val="204E750E"/>
    <w:rsid w:val="20C52D36"/>
    <w:rsid w:val="224E0A48"/>
    <w:rsid w:val="25A4045A"/>
    <w:rsid w:val="27E712A2"/>
    <w:rsid w:val="28D041C3"/>
    <w:rsid w:val="2A795B4A"/>
    <w:rsid w:val="2B143BB9"/>
    <w:rsid w:val="2C3B3ACE"/>
    <w:rsid w:val="2C6874A0"/>
    <w:rsid w:val="2D921CFB"/>
    <w:rsid w:val="2DF17BDC"/>
    <w:rsid w:val="2E1974D7"/>
    <w:rsid w:val="2E3A0C42"/>
    <w:rsid w:val="2FAE2F24"/>
    <w:rsid w:val="305B3745"/>
    <w:rsid w:val="31413C35"/>
    <w:rsid w:val="31B07F9F"/>
    <w:rsid w:val="36CA6554"/>
    <w:rsid w:val="380503E8"/>
    <w:rsid w:val="3A2F55D8"/>
    <w:rsid w:val="3C0774A8"/>
    <w:rsid w:val="3CFD3CC3"/>
    <w:rsid w:val="3D350C15"/>
    <w:rsid w:val="3DF639DD"/>
    <w:rsid w:val="3F175238"/>
    <w:rsid w:val="3F881AAB"/>
    <w:rsid w:val="400C4038"/>
    <w:rsid w:val="45712B72"/>
    <w:rsid w:val="475E0544"/>
    <w:rsid w:val="48F17CC4"/>
    <w:rsid w:val="4D210A97"/>
    <w:rsid w:val="51A727CC"/>
    <w:rsid w:val="52AD32EB"/>
    <w:rsid w:val="53191722"/>
    <w:rsid w:val="54D32071"/>
    <w:rsid w:val="59320EE4"/>
    <w:rsid w:val="5E396C2B"/>
    <w:rsid w:val="5F3A0220"/>
    <w:rsid w:val="60273873"/>
    <w:rsid w:val="63060047"/>
    <w:rsid w:val="63765A4A"/>
    <w:rsid w:val="64CB64A9"/>
    <w:rsid w:val="656E4C1F"/>
    <w:rsid w:val="67976B83"/>
    <w:rsid w:val="681A38D9"/>
    <w:rsid w:val="68FA7CB7"/>
    <w:rsid w:val="69921880"/>
    <w:rsid w:val="6C004D10"/>
    <w:rsid w:val="6D705D75"/>
    <w:rsid w:val="723423EA"/>
    <w:rsid w:val="76A90886"/>
    <w:rsid w:val="78E6547C"/>
    <w:rsid w:val="78F65437"/>
    <w:rsid w:val="79AA283F"/>
    <w:rsid w:val="7A026B06"/>
    <w:rsid w:val="7A5D6D9F"/>
    <w:rsid w:val="7B3F165E"/>
    <w:rsid w:val="7B61154C"/>
    <w:rsid w:val="7D96620F"/>
    <w:rsid w:val="7DB06B11"/>
    <w:rsid w:val="7DDB2B1F"/>
    <w:rsid w:val="7E921B9F"/>
    <w:rsid w:val="7EB625EF"/>
    <w:rsid w:val="7EF1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link w:val="24"/>
    <w:unhideWhenUsed/>
    <w:qFormat/>
    <w:uiPriority w:val="9"/>
    <w:pPr>
      <w:keepNext/>
      <w:keepLines/>
      <w:spacing w:before="260" w:after="260" w:line="412" w:lineRule="auto"/>
      <w:outlineLvl w:val="1"/>
    </w:pPr>
    <w:rPr>
      <w:rFonts w:ascii="Cambria" w:hAnsi="Cambria" w:eastAsia="宋体" w:cs="宋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4"/>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rPr>
      <w:rFonts w:ascii="Calibri" w:hAnsi="Calibri" w:eastAsia="宋体" w:cs="Times New Roman"/>
    </w:rPr>
  </w:style>
  <w:style w:type="paragraph" w:styleId="6">
    <w:name w:val="Body Text Indent"/>
    <w:basedOn w:val="1"/>
    <w:link w:val="41"/>
    <w:qFormat/>
    <w:uiPriority w:val="0"/>
    <w:pPr>
      <w:tabs>
        <w:tab w:val="left" w:pos="7020"/>
      </w:tabs>
      <w:spacing w:line="600" w:lineRule="exact"/>
      <w:ind w:firstLine="600" w:firstLineChars="200"/>
    </w:pPr>
    <w:rPr>
      <w:rFonts w:ascii="仿宋_GB2312" w:hAnsi="Times New Roman" w:eastAsia="仿宋_GB2312" w:cs="Times New Roman"/>
      <w:sz w:val="30"/>
      <w:szCs w:val="24"/>
    </w:rPr>
  </w:style>
  <w:style w:type="paragraph" w:styleId="7">
    <w:name w:val="toc 3"/>
    <w:basedOn w:val="1"/>
    <w:next w:val="1"/>
    <w:unhideWhenUsed/>
    <w:qFormat/>
    <w:uiPriority w:val="39"/>
    <w:pPr>
      <w:ind w:left="840" w:leftChars="400"/>
    </w:pPr>
  </w:style>
  <w:style w:type="paragraph" w:styleId="8">
    <w:name w:val="Balloon Text"/>
    <w:basedOn w:val="1"/>
    <w:link w:val="32"/>
    <w:semiHidden/>
    <w:unhideWhenUsed/>
    <w:qFormat/>
    <w:uiPriority w:val="99"/>
    <w:rPr>
      <w:rFonts w:ascii="Calibri" w:hAnsi="Calibri" w:eastAsia="宋体" w:cs="Times New Roman"/>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050"/>
        <w:tab w:val="right" w:leader="dot" w:pos="8296"/>
      </w:tabs>
      <w:spacing w:line="600" w:lineRule="exact"/>
    </w:pPr>
    <w:rPr>
      <w:rFonts w:ascii="Calibri" w:hAnsi="Calibri" w:eastAsia="宋体" w:cs="Times New Roman"/>
    </w:rPr>
  </w:style>
  <w:style w:type="paragraph" w:styleId="12">
    <w:name w:val="footnote text"/>
    <w:basedOn w:val="1"/>
    <w:link w:val="45"/>
    <w:semiHidden/>
    <w:unhideWhenUsed/>
    <w:qFormat/>
    <w:uiPriority w:val="99"/>
    <w:pPr>
      <w:snapToGrid w:val="0"/>
      <w:ind w:firstLine="200" w:firstLineChars="200"/>
      <w:jc w:val="left"/>
    </w:pPr>
    <w:rPr>
      <w:sz w:val="18"/>
      <w:szCs w:val="18"/>
    </w:rPr>
  </w:style>
  <w:style w:type="paragraph" w:styleId="13">
    <w:name w:val="toc 2"/>
    <w:basedOn w:val="1"/>
    <w:next w:val="1"/>
    <w:unhideWhenUsed/>
    <w:qFormat/>
    <w:uiPriority w:val="39"/>
    <w:pPr>
      <w:tabs>
        <w:tab w:val="right" w:leader="dot" w:pos="8296"/>
      </w:tabs>
      <w:spacing w:line="600" w:lineRule="exact"/>
      <w:ind w:left="420" w:leftChars="200"/>
    </w:pPr>
    <w:rPr>
      <w:rFonts w:ascii="Calibri" w:hAnsi="Calibri" w:eastAsia="宋体" w:cs="Times New Roman"/>
    </w:rPr>
  </w:style>
  <w:style w:type="paragraph" w:styleId="14">
    <w:name w:val="Title"/>
    <w:basedOn w:val="1"/>
    <w:next w:val="1"/>
    <w:link w:val="42"/>
    <w:qFormat/>
    <w:uiPriority w:val="1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5"/>
    <w:next w:val="5"/>
    <w:link w:val="30"/>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20"/>
    <w:rPr>
      <w:i/>
    </w:rPr>
  </w:style>
  <w:style w:type="character" w:styleId="20">
    <w:name w:val="Hyperlink"/>
    <w:basedOn w:val="18"/>
    <w:unhideWhenUsed/>
    <w:qFormat/>
    <w:uiPriority w:val="99"/>
    <w:rPr>
      <w:color w:val="0000FF"/>
      <w:u w:val="single"/>
    </w:rPr>
  </w:style>
  <w:style w:type="character" w:styleId="21">
    <w:name w:val="annotation reference"/>
    <w:basedOn w:val="18"/>
    <w:semiHidden/>
    <w:unhideWhenUsed/>
    <w:qFormat/>
    <w:uiPriority w:val="99"/>
    <w:rPr>
      <w:sz w:val="21"/>
      <w:szCs w:val="21"/>
    </w:rPr>
  </w:style>
  <w:style w:type="character" w:styleId="22">
    <w:name w:val="footnote reference"/>
    <w:basedOn w:val="18"/>
    <w:semiHidden/>
    <w:unhideWhenUsed/>
    <w:qFormat/>
    <w:uiPriority w:val="99"/>
    <w:rPr>
      <w:vertAlign w:val="superscript"/>
    </w:rPr>
  </w:style>
  <w:style w:type="character" w:customStyle="1" w:styleId="23">
    <w:name w:val="标题 1 Char"/>
    <w:basedOn w:val="18"/>
    <w:link w:val="2"/>
    <w:qFormat/>
    <w:uiPriority w:val="9"/>
    <w:rPr>
      <w:rFonts w:ascii="Calibri" w:hAnsi="Calibri" w:eastAsia="宋体" w:cs="Times New Roman"/>
      <w:b/>
      <w:bCs/>
      <w:kern w:val="44"/>
      <w:sz w:val="44"/>
      <w:szCs w:val="44"/>
    </w:rPr>
  </w:style>
  <w:style w:type="character" w:customStyle="1" w:styleId="24">
    <w:name w:val="标题 2 Char"/>
    <w:basedOn w:val="18"/>
    <w:link w:val="3"/>
    <w:qFormat/>
    <w:uiPriority w:val="9"/>
    <w:rPr>
      <w:rFonts w:ascii="Cambria" w:hAnsi="Cambria" w:eastAsia="宋体" w:cs="宋体"/>
      <w:b/>
      <w:bCs/>
      <w:sz w:val="32"/>
      <w:szCs w:val="32"/>
    </w:rPr>
  </w:style>
  <w:style w:type="character" w:customStyle="1" w:styleId="25">
    <w:name w:val="页眉 Char"/>
    <w:basedOn w:val="18"/>
    <w:link w:val="10"/>
    <w:semiHidden/>
    <w:qFormat/>
    <w:uiPriority w:val="99"/>
    <w:rPr>
      <w:sz w:val="18"/>
      <w:szCs w:val="18"/>
    </w:rPr>
  </w:style>
  <w:style w:type="character" w:customStyle="1" w:styleId="26">
    <w:name w:val="页脚 Char"/>
    <w:basedOn w:val="18"/>
    <w:link w:val="9"/>
    <w:qFormat/>
    <w:uiPriority w:val="99"/>
    <w:rPr>
      <w:sz w:val="18"/>
      <w:szCs w:val="18"/>
    </w:rPr>
  </w:style>
  <w:style w:type="character" w:customStyle="1" w:styleId="27">
    <w:name w:val="批注文字 Char"/>
    <w:basedOn w:val="18"/>
    <w:link w:val="5"/>
    <w:semiHidden/>
    <w:qFormat/>
    <w:uiPriority w:val="99"/>
  </w:style>
  <w:style w:type="character" w:customStyle="1" w:styleId="28">
    <w:name w:val="批注文字 Char1"/>
    <w:basedOn w:val="18"/>
    <w:link w:val="5"/>
    <w:semiHidden/>
    <w:qFormat/>
    <w:locked/>
    <w:uiPriority w:val="99"/>
    <w:rPr>
      <w:rFonts w:ascii="Calibri" w:hAnsi="Calibri" w:eastAsia="宋体" w:cs="Times New Roman"/>
    </w:rPr>
  </w:style>
  <w:style w:type="character" w:customStyle="1" w:styleId="29">
    <w:name w:val="批注主题 Char"/>
    <w:basedOn w:val="27"/>
    <w:link w:val="15"/>
    <w:semiHidden/>
    <w:qFormat/>
    <w:uiPriority w:val="99"/>
    <w:rPr>
      <w:b/>
      <w:bCs/>
    </w:rPr>
  </w:style>
  <w:style w:type="character" w:customStyle="1" w:styleId="30">
    <w:name w:val="批注主题 Char1"/>
    <w:basedOn w:val="28"/>
    <w:link w:val="15"/>
    <w:semiHidden/>
    <w:qFormat/>
    <w:locked/>
    <w:uiPriority w:val="99"/>
    <w:rPr>
      <w:b/>
      <w:bCs/>
    </w:rPr>
  </w:style>
  <w:style w:type="character" w:customStyle="1" w:styleId="31">
    <w:name w:val="批注框文本 Char"/>
    <w:basedOn w:val="18"/>
    <w:link w:val="8"/>
    <w:semiHidden/>
    <w:qFormat/>
    <w:uiPriority w:val="99"/>
    <w:rPr>
      <w:sz w:val="18"/>
      <w:szCs w:val="18"/>
    </w:rPr>
  </w:style>
  <w:style w:type="character" w:customStyle="1" w:styleId="32">
    <w:name w:val="批注框文本 Char1"/>
    <w:basedOn w:val="18"/>
    <w:link w:val="8"/>
    <w:semiHidden/>
    <w:qFormat/>
    <w:locked/>
    <w:uiPriority w:val="99"/>
    <w:rPr>
      <w:rFonts w:ascii="Calibri" w:hAnsi="Calibri" w:eastAsia="宋体" w:cs="Times New Roman"/>
      <w:sz w:val="18"/>
      <w:szCs w:val="18"/>
    </w:rPr>
  </w:style>
  <w:style w:type="character" w:customStyle="1" w:styleId="33">
    <w:name w:val="列出段落 Char"/>
    <w:link w:val="34"/>
    <w:qFormat/>
    <w:locked/>
    <w:uiPriority w:val="34"/>
    <w:rPr>
      <w:rFonts w:ascii="Calibri" w:hAnsi="Calibri" w:eastAsia="宋体" w:cs="Times New Roman"/>
      <w:kern w:val="0"/>
      <w:sz w:val="20"/>
      <w:szCs w:val="20"/>
    </w:rPr>
  </w:style>
  <w:style w:type="paragraph" w:styleId="34">
    <w:name w:val="List Paragraph"/>
    <w:basedOn w:val="1"/>
    <w:link w:val="33"/>
    <w:qFormat/>
    <w:uiPriority w:val="34"/>
    <w:pPr>
      <w:ind w:firstLine="420" w:firstLineChars="200"/>
    </w:pPr>
    <w:rPr>
      <w:rFonts w:ascii="Calibri" w:hAnsi="Calibri" w:eastAsia="宋体" w:cs="Times New Roman"/>
      <w:kern w:val="0"/>
      <w:sz w:val="20"/>
      <w:szCs w:val="20"/>
    </w:rPr>
  </w:style>
  <w:style w:type="character" w:customStyle="1" w:styleId="35">
    <w:name w:val="SSE表格文字 Char"/>
    <w:basedOn w:val="18"/>
    <w:link w:val="36"/>
    <w:qFormat/>
    <w:locked/>
    <w:uiPriority w:val="0"/>
    <w:rPr>
      <w:rFonts w:ascii="Times New Roman" w:hAnsi="Times New Roman" w:eastAsia="仿宋_GB2312" w:cs="Times New Roman"/>
      <w:color w:val="000000"/>
      <w:kern w:val="0"/>
      <w:sz w:val="24"/>
      <w:szCs w:val="24"/>
    </w:rPr>
  </w:style>
  <w:style w:type="paragraph" w:customStyle="1" w:styleId="36">
    <w:name w:val="SSE表格文字"/>
    <w:basedOn w:val="1"/>
    <w:link w:val="35"/>
    <w:qFormat/>
    <w:uiPriority w:val="0"/>
    <w:pPr>
      <w:widowControl/>
      <w:jc w:val="center"/>
    </w:pPr>
    <w:rPr>
      <w:rFonts w:ascii="Times New Roman" w:hAnsi="Times New Roman" w:eastAsia="仿宋_GB2312" w:cs="Times New Roman"/>
      <w:color w:val="000000"/>
      <w:kern w:val="0"/>
      <w:sz w:val="24"/>
      <w:szCs w:val="24"/>
    </w:rPr>
  </w:style>
  <w:style w:type="character" w:customStyle="1" w:styleId="37">
    <w:name w:val="SSE正文 Char"/>
    <w:basedOn w:val="18"/>
    <w:link w:val="38"/>
    <w:qFormat/>
    <w:locked/>
    <w:uiPriority w:val="0"/>
    <w:rPr>
      <w:rFonts w:ascii="Times New Roman" w:hAnsi="Times New Roman" w:eastAsia="仿宋_GB2312" w:cs="Times New Roman"/>
      <w:sz w:val="28"/>
      <w:szCs w:val="28"/>
    </w:rPr>
  </w:style>
  <w:style w:type="paragraph" w:customStyle="1" w:styleId="38">
    <w:name w:val="SSE正文"/>
    <w:basedOn w:val="1"/>
    <w:link w:val="37"/>
    <w:qFormat/>
    <w:uiPriority w:val="0"/>
    <w:pPr>
      <w:ind w:firstLine="200" w:firstLineChars="200"/>
    </w:pPr>
    <w:rPr>
      <w:rFonts w:ascii="Times New Roman" w:hAnsi="Times New Roman" w:eastAsia="仿宋_GB2312" w:cs="Times New Roman"/>
      <w:sz w:val="28"/>
      <w:szCs w:val="28"/>
    </w:rPr>
  </w:style>
  <w:style w:type="paragraph" w:customStyle="1" w:styleId="3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styleId="40">
    <w:name w:val="Placeholder Text"/>
    <w:basedOn w:val="18"/>
    <w:semiHidden/>
    <w:qFormat/>
    <w:uiPriority w:val="99"/>
    <w:rPr>
      <w:color w:val="808080"/>
    </w:rPr>
  </w:style>
  <w:style w:type="character" w:customStyle="1" w:styleId="41">
    <w:name w:val="正文文本缩进 Char"/>
    <w:basedOn w:val="18"/>
    <w:link w:val="6"/>
    <w:qFormat/>
    <w:uiPriority w:val="0"/>
    <w:rPr>
      <w:rFonts w:ascii="仿宋_GB2312" w:hAnsi="Times New Roman" w:eastAsia="仿宋_GB2312" w:cs="Times New Roman"/>
      <w:sz w:val="30"/>
      <w:szCs w:val="24"/>
    </w:rPr>
  </w:style>
  <w:style w:type="character" w:customStyle="1" w:styleId="42">
    <w:name w:val="标题 Char"/>
    <w:basedOn w:val="18"/>
    <w:link w:val="14"/>
    <w:qFormat/>
    <w:uiPriority w:val="10"/>
    <w:rPr>
      <w:rFonts w:eastAsia="宋体" w:asciiTheme="majorHAnsi" w:hAnsiTheme="majorHAnsi" w:cstheme="majorBidi"/>
      <w:b/>
      <w:bCs/>
      <w:sz w:val="32"/>
      <w:szCs w:val="32"/>
    </w:rPr>
  </w:style>
  <w:style w:type="paragraph" w:customStyle="1" w:styleId="4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4">
    <w:name w:val="文档结构图 Char"/>
    <w:basedOn w:val="18"/>
    <w:link w:val="4"/>
    <w:semiHidden/>
    <w:qFormat/>
    <w:uiPriority w:val="99"/>
    <w:rPr>
      <w:rFonts w:ascii="宋体" w:eastAsia="宋体"/>
      <w:sz w:val="18"/>
      <w:szCs w:val="18"/>
    </w:rPr>
  </w:style>
  <w:style w:type="character" w:customStyle="1" w:styleId="45">
    <w:name w:val="脚注文本 Char"/>
    <w:basedOn w:val="18"/>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7360B-28EF-4468-9B7B-99FE8CEE604A}">
  <ds:schemaRefs/>
</ds:datastoreItem>
</file>

<file path=docProps/app.xml><?xml version="1.0" encoding="utf-8"?>
<Properties xmlns="http://schemas.openxmlformats.org/officeDocument/2006/extended-properties" xmlns:vt="http://schemas.openxmlformats.org/officeDocument/2006/docPropsVTypes">
  <Template>Normal</Template>
  <Pages>44</Pages>
  <Words>2951</Words>
  <Characters>16822</Characters>
  <Lines>140</Lines>
  <Paragraphs>39</Paragraphs>
  <TotalTime>8</TotalTime>
  <ScaleCrop>false</ScaleCrop>
  <LinksUpToDate>false</LinksUpToDate>
  <CharactersWithSpaces>19734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2021-03-10T02:03:00Z</dcterms:created>
  <dc:creator>tek</dc:creator>
  <cp:lastModifiedBy>zxu</cp:lastModifiedBy>
  <cp:lastPrinted>2023-11-01T05:18:46Z</cp:lastPrinted>
  <dcterms:modified xsi:type="dcterms:W3CDTF">2023-11-01T06:09:48Z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E5F1978BA46A4E7F837282306E3252F6</vt:lpwstr>
  </property>
</Properties>
</file>