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7A" w:rsidRDefault="00222E7A" w:rsidP="00222E7A">
      <w:pPr>
        <w:spacing w:line="360" w:lineRule="auto"/>
        <w:rPr>
          <w:rFonts w:ascii="仿宋_GB2312" w:eastAsia="仿宋_GB2312" w:hAnsi="华文中宋" w:cs="Times New Roman"/>
          <w:b/>
          <w:sz w:val="32"/>
          <w:szCs w:val="32"/>
        </w:rPr>
      </w:pPr>
      <w:r w:rsidRPr="00222E7A">
        <w:rPr>
          <w:rFonts w:ascii="仿宋_GB2312" w:eastAsia="仿宋_GB2312" w:hAnsi="华文中宋" w:cs="Times New Roman" w:hint="eastAsia"/>
          <w:b/>
          <w:sz w:val="32"/>
          <w:szCs w:val="32"/>
        </w:rPr>
        <w:t>附件1：</w:t>
      </w:r>
    </w:p>
    <w:p w:rsidR="00222E7A" w:rsidRPr="00222E7A" w:rsidRDefault="00222E7A" w:rsidP="00222E7A">
      <w:pPr>
        <w:spacing w:line="360" w:lineRule="auto"/>
        <w:rPr>
          <w:rFonts w:ascii="仿宋_GB2312" w:eastAsia="仿宋_GB2312" w:hAnsi="华文中宋" w:cs="Times New Roman"/>
          <w:b/>
          <w:sz w:val="32"/>
          <w:szCs w:val="32"/>
        </w:rPr>
      </w:pPr>
    </w:p>
    <w:p w:rsidR="00D44D2F" w:rsidRDefault="00AB11DD" w:rsidP="00D44D2F">
      <w:pPr>
        <w:spacing w:line="360" w:lineRule="auto"/>
        <w:jc w:val="center"/>
        <w:rPr>
          <w:rFonts w:ascii="华文中宋" w:eastAsia="华文中宋" w:hAnsi="华文中宋" w:cs="Times New Roman"/>
          <w:sz w:val="36"/>
          <w:szCs w:val="36"/>
        </w:rPr>
      </w:pPr>
      <w:r w:rsidRPr="00AB11DD">
        <w:rPr>
          <w:rFonts w:ascii="华文中宋" w:eastAsia="华文中宋" w:hAnsi="华文中宋" w:cs="Times New Roman" w:hint="eastAsia"/>
          <w:sz w:val="36"/>
          <w:szCs w:val="36"/>
        </w:rPr>
        <w:t>《</w:t>
      </w:r>
      <w:r w:rsidR="0084316D" w:rsidRPr="0084316D">
        <w:rPr>
          <w:rFonts w:ascii="华文中宋" w:eastAsia="华文中宋" w:hAnsi="华文中宋" w:cs="Times New Roman" w:hint="eastAsia"/>
          <w:sz w:val="36"/>
          <w:szCs w:val="36"/>
        </w:rPr>
        <w:t>非公共受托责任子公司的披露简化</w:t>
      </w:r>
      <w:r w:rsidRPr="00AB11DD">
        <w:rPr>
          <w:rFonts w:ascii="华文中宋" w:eastAsia="华文中宋" w:hAnsi="华文中宋" w:cs="Times New Roman" w:hint="eastAsia"/>
          <w:sz w:val="36"/>
          <w:szCs w:val="36"/>
        </w:rPr>
        <w:t>（征求意见稿）》</w:t>
      </w:r>
    </w:p>
    <w:p w:rsidR="00AB11DD" w:rsidRDefault="00AB11DD" w:rsidP="00D44D2F">
      <w:pPr>
        <w:spacing w:line="360" w:lineRule="auto"/>
        <w:jc w:val="center"/>
        <w:rPr>
          <w:rFonts w:ascii="华文中宋" w:eastAsia="华文中宋" w:hAnsi="华文中宋" w:cs="Times New Roman"/>
          <w:sz w:val="36"/>
          <w:szCs w:val="36"/>
        </w:rPr>
      </w:pPr>
      <w:r w:rsidRPr="00AB11DD">
        <w:rPr>
          <w:rFonts w:ascii="华文中宋" w:eastAsia="华文中宋" w:hAnsi="华文中宋" w:cs="Times New Roman" w:hint="eastAsia"/>
          <w:sz w:val="36"/>
          <w:szCs w:val="36"/>
        </w:rPr>
        <w:t>中文</w:t>
      </w:r>
      <w:r w:rsidRPr="00AB11DD">
        <w:rPr>
          <w:rFonts w:ascii="华文中宋" w:eastAsia="华文中宋" w:hAnsi="华文中宋" w:cs="Times New Roman"/>
          <w:sz w:val="36"/>
          <w:szCs w:val="36"/>
        </w:rPr>
        <w:t>简介</w:t>
      </w:r>
    </w:p>
    <w:p w:rsidR="00222E7A" w:rsidRPr="00AB11DD" w:rsidRDefault="00222E7A" w:rsidP="00222E7A">
      <w:pPr>
        <w:spacing w:line="360" w:lineRule="auto"/>
        <w:jc w:val="center"/>
        <w:rPr>
          <w:rFonts w:ascii="华文中宋" w:eastAsia="华文中宋" w:hAnsi="华文中宋" w:cs="Times New Roman"/>
          <w:sz w:val="36"/>
          <w:szCs w:val="36"/>
        </w:rPr>
      </w:pPr>
    </w:p>
    <w:p w:rsidR="0084316D" w:rsidRDefault="0084316D" w:rsidP="0084316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日，国际会计准则理事会（</w:t>
      </w:r>
      <w:r>
        <w:rPr>
          <w:rFonts w:ascii="Times New Roman" w:eastAsia="仿宋_GB2312" w:hAnsi="Times New Roman" w:cs="Times New Roman" w:hint="eastAsia"/>
          <w:sz w:val="32"/>
          <w:szCs w:val="32"/>
        </w:rPr>
        <w:t>IASB</w:t>
      </w:r>
      <w:r>
        <w:rPr>
          <w:rFonts w:ascii="Times New Roman" w:eastAsia="仿宋_GB2312" w:hAnsi="Times New Roman" w:cs="Times New Roman" w:hint="eastAsia"/>
          <w:sz w:val="32"/>
          <w:szCs w:val="32"/>
        </w:rPr>
        <w:t>，以下简称理事会）发布了《非公共受托责任子公司的披露简化（</w:t>
      </w:r>
      <w:r>
        <w:rPr>
          <w:rFonts w:ascii="Times New Roman" w:eastAsia="仿宋_GB2312" w:hAnsi="Times New Roman" w:cs="Times New Roman"/>
          <w:sz w:val="32"/>
          <w:szCs w:val="32"/>
        </w:rPr>
        <w:t>Subsidiaries without Public Accountability: Disclosures</w:t>
      </w:r>
      <w:r>
        <w:rPr>
          <w:rFonts w:ascii="Times New Roman" w:eastAsia="仿宋_GB2312" w:hAnsi="Times New Roman" w:cs="Times New Roman" w:hint="eastAsia"/>
          <w:sz w:val="32"/>
          <w:szCs w:val="32"/>
        </w:rPr>
        <w:t>）（征求意见稿）》（以下简称征求意见稿），征求意见截止日期为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日。理事会最终将对征求意见</w:t>
      </w:r>
      <w:proofErr w:type="gramStart"/>
      <w:r>
        <w:rPr>
          <w:rFonts w:ascii="Times New Roman" w:eastAsia="仿宋_GB2312" w:hAnsi="Times New Roman" w:cs="Times New Roman" w:hint="eastAsia"/>
          <w:sz w:val="32"/>
          <w:szCs w:val="32"/>
        </w:rPr>
        <w:t>稿内容</w:t>
      </w:r>
      <w:proofErr w:type="gramEnd"/>
      <w:r>
        <w:rPr>
          <w:rFonts w:ascii="Times New Roman" w:eastAsia="仿宋_GB2312" w:hAnsi="Times New Roman" w:cs="Times New Roman" w:hint="eastAsia"/>
          <w:sz w:val="32"/>
          <w:szCs w:val="32"/>
        </w:rPr>
        <w:t>修改完善，并发布一项新的国际财务报告准则。</w:t>
      </w:r>
    </w:p>
    <w:p w:rsidR="0084316D" w:rsidRDefault="0084316D" w:rsidP="0084316D">
      <w:pPr>
        <w:ind w:firstLineChars="200" w:firstLine="640"/>
        <w:rPr>
          <w:rFonts w:ascii="黑体" w:eastAsia="黑体" w:hAnsi="黑体" w:cs="Times New Roman"/>
          <w:sz w:val="32"/>
          <w:szCs w:val="32"/>
        </w:rPr>
      </w:pPr>
      <w:r>
        <w:rPr>
          <w:rFonts w:ascii="黑体" w:eastAsia="黑体" w:hAnsi="黑体" w:cs="Times New Roman" w:hint="eastAsia"/>
          <w:sz w:val="32"/>
          <w:szCs w:val="32"/>
        </w:rPr>
        <w:t>一、有关背景</w:t>
      </w:r>
    </w:p>
    <w:p w:rsidR="0084316D" w:rsidRDefault="0084316D" w:rsidP="0084316D">
      <w:pPr>
        <w:ind w:firstLineChars="200" w:firstLine="640"/>
        <w:rPr>
          <w:rFonts w:ascii="Times New Roman" w:eastAsia="仿宋_GB2312" w:hAnsi="Times New Roman" w:cs="Times New Roman"/>
          <w:sz w:val="32"/>
          <w:szCs w:val="32"/>
        </w:rPr>
      </w:pPr>
      <w:bookmarkStart w:id="0" w:name="_Hlk34924890"/>
      <w:r>
        <w:rPr>
          <w:rFonts w:ascii="Times New Roman" w:eastAsia="仿宋_GB2312" w:hAnsi="Times New Roman" w:cs="Times New Roman" w:hint="eastAsia"/>
          <w:sz w:val="32"/>
          <w:szCs w:val="32"/>
        </w:rPr>
        <w:t>在集团中，如果母</w:t>
      </w:r>
      <w:r w:rsidR="00EB2C7C">
        <w:rPr>
          <w:rFonts w:ascii="Times New Roman" w:eastAsia="仿宋_GB2312" w:hAnsi="Times New Roman" w:cs="Times New Roman" w:hint="eastAsia"/>
          <w:sz w:val="32"/>
          <w:szCs w:val="32"/>
        </w:rPr>
        <w:t>公司遵循的是国际财务报告准则，那么其非公共受托责任子公司出于母公司编制合并财务报表</w:t>
      </w:r>
      <w:r>
        <w:rPr>
          <w:rFonts w:ascii="Times New Roman" w:eastAsia="仿宋_GB2312" w:hAnsi="Times New Roman" w:cs="Times New Roman" w:hint="eastAsia"/>
          <w:sz w:val="32"/>
          <w:szCs w:val="32"/>
        </w:rPr>
        <w:t>目的，也通常会采用国际财务报告准则编制财务报表，对于这些非公共受托责任子公司采用国际财务报告准则，主要存在两个问题：</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一是</w:t>
      </w:r>
      <w:r>
        <w:rPr>
          <w:rFonts w:ascii="Times New Roman" w:eastAsia="仿宋_GB2312" w:hAnsi="Times New Roman" w:cs="Times New Roman" w:hint="eastAsia"/>
          <w:sz w:val="32"/>
          <w:szCs w:val="32"/>
        </w:rPr>
        <w:t>由于这些子公司是非公共受托责任公司，本可以采用中小主体国际财务报告准则（以下简称中小主体准则）。但是，由于中小主体准则的</w:t>
      </w:r>
      <w:r w:rsidR="00EB2C7C">
        <w:rPr>
          <w:rFonts w:ascii="Times New Roman" w:eastAsia="仿宋_GB2312" w:hAnsi="Times New Roman" w:cs="Times New Roman" w:hint="eastAsia"/>
          <w:sz w:val="32"/>
          <w:szCs w:val="32"/>
        </w:rPr>
        <w:t>某些</w:t>
      </w:r>
      <w:r>
        <w:rPr>
          <w:rFonts w:ascii="Times New Roman" w:eastAsia="仿宋_GB2312" w:hAnsi="Times New Roman" w:cs="Times New Roman" w:hint="eastAsia"/>
          <w:sz w:val="32"/>
          <w:szCs w:val="32"/>
        </w:rPr>
        <w:t>确认、计量要求与国际财务报告准则不同，因此非公共受托责任子公司一般不会采用中小主体准则</w:t>
      </w:r>
      <w:proofErr w:type="gramStart"/>
      <w:r w:rsidR="00EB2C7C">
        <w:rPr>
          <w:rFonts w:ascii="Times New Roman" w:eastAsia="仿宋_GB2312" w:hAnsi="Times New Roman" w:cs="Times New Roman" w:hint="eastAsia"/>
          <w:sz w:val="32"/>
          <w:szCs w:val="32"/>
        </w:rPr>
        <w:t>来供母公司</w:t>
      </w:r>
      <w:proofErr w:type="gramEnd"/>
      <w:r>
        <w:rPr>
          <w:rFonts w:ascii="Times New Roman" w:eastAsia="仿宋_GB2312" w:hAnsi="Times New Roman" w:cs="Times New Roman" w:hint="eastAsia"/>
          <w:sz w:val="32"/>
          <w:szCs w:val="32"/>
        </w:rPr>
        <w:t>编制合并财务报</w:t>
      </w:r>
      <w:r w:rsidR="00EB2C7C">
        <w:rPr>
          <w:rFonts w:ascii="Times New Roman" w:eastAsia="仿宋_GB2312" w:hAnsi="Times New Roman" w:cs="Times New Roman" w:hint="eastAsia"/>
          <w:sz w:val="32"/>
          <w:szCs w:val="32"/>
        </w:rPr>
        <w:t>表，而是</w:t>
      </w:r>
      <w:r>
        <w:rPr>
          <w:rFonts w:ascii="Times New Roman" w:eastAsia="仿宋_GB2312" w:hAnsi="Times New Roman" w:cs="Times New Roman" w:hint="eastAsia"/>
          <w:sz w:val="32"/>
          <w:szCs w:val="32"/>
        </w:rPr>
        <w:t>采用国际财</w:t>
      </w:r>
      <w:r>
        <w:rPr>
          <w:rFonts w:ascii="Times New Roman" w:eastAsia="仿宋_GB2312" w:hAnsi="Times New Roman" w:cs="Times New Roman" w:hint="eastAsia"/>
          <w:sz w:val="32"/>
          <w:szCs w:val="32"/>
        </w:rPr>
        <w:lastRenderedPageBreak/>
        <w:t>务报告准则。</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如果这些子公司在编制个别财务报表时采用了中小主体准则，但在</w:t>
      </w:r>
      <w:r w:rsidR="00EB2C7C">
        <w:rPr>
          <w:rFonts w:ascii="Times New Roman" w:eastAsia="仿宋_GB2312" w:hAnsi="Times New Roman" w:cs="Times New Roman" w:hint="eastAsia"/>
          <w:sz w:val="32"/>
          <w:szCs w:val="32"/>
        </w:rPr>
        <w:t>母公司</w:t>
      </w:r>
      <w:r>
        <w:rPr>
          <w:rFonts w:ascii="Times New Roman" w:eastAsia="仿宋_GB2312" w:hAnsi="Times New Roman" w:cs="Times New Roman" w:hint="eastAsia"/>
          <w:sz w:val="32"/>
          <w:szCs w:val="32"/>
        </w:rPr>
        <w:t>编制合并财务报表时仍需</w:t>
      </w:r>
      <w:r w:rsidR="00EB2C7C">
        <w:rPr>
          <w:rFonts w:ascii="Times New Roman" w:eastAsia="仿宋_GB2312" w:hAnsi="Times New Roman" w:cs="Times New Roman" w:hint="eastAsia"/>
          <w:sz w:val="32"/>
          <w:szCs w:val="32"/>
        </w:rPr>
        <w:t>提供子公司</w:t>
      </w:r>
      <w:r>
        <w:rPr>
          <w:rFonts w:ascii="Times New Roman" w:eastAsia="仿宋_GB2312" w:hAnsi="Times New Roman" w:cs="Times New Roman" w:hint="eastAsia"/>
          <w:sz w:val="32"/>
          <w:szCs w:val="32"/>
        </w:rPr>
        <w:t>采用国际财务报告准则</w:t>
      </w:r>
      <w:r w:rsidR="00EB2C7C">
        <w:rPr>
          <w:rFonts w:ascii="Times New Roman" w:eastAsia="仿宋_GB2312" w:hAnsi="Times New Roman" w:cs="Times New Roman" w:hint="eastAsia"/>
          <w:sz w:val="32"/>
          <w:szCs w:val="32"/>
        </w:rPr>
        <w:t>的会计信息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因此</w:t>
      </w:r>
      <w:r>
        <w:rPr>
          <w:rFonts w:ascii="Times New Roman" w:eastAsia="仿宋_GB2312" w:hAnsi="Times New Roman" w:cs="Times New Roman"/>
          <w:sz w:val="32"/>
          <w:szCs w:val="32"/>
        </w:rPr>
        <w:t>需要</w:t>
      </w:r>
      <w:r>
        <w:rPr>
          <w:rFonts w:ascii="Times New Roman" w:eastAsia="仿宋_GB2312" w:hAnsi="Times New Roman" w:cs="Times New Roman" w:hint="eastAsia"/>
          <w:sz w:val="32"/>
          <w:szCs w:val="32"/>
        </w:rPr>
        <w:t>维护两套会计记录，编报成本较高。</w:t>
      </w:r>
    </w:p>
    <w:p w:rsidR="0084316D" w:rsidRDefault="0084316D" w:rsidP="0084316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理事会收到的反馈意见中有利益相关者提出，上述非公共受托责任子公司普遍倾向于采用国际财务报告准则编制财务报表，但希望能够简化相关信息披露要求。因此，理事会提出发布一项新的国际财务报告准则，即《非公共受托责任子公司的披露简化》（以下简称该准则），允许非公共受托责任子公司采用与国际财务报告准则一致的确认、计量和列示原则，并对披露部分的要求进行了简化。</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制定该准则的简化披露要求时，理事会首先将国际财务报告准则与中小主体准则的确认、计量要求进行比较，如无差异则采用中小主体准则的披露要求；如有差异则在国际财务报告准则的披露要求上进行简化。具体如下图所示：</w:t>
      </w: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2E6BE6" w:rsidP="0084316D">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pict>
          <v:rect id="_x0000_s1026" style="position:absolute;left:0;text-align:left;margin-left:5.25pt;margin-top:8.7pt;width:403.85pt;height:39.3pt;z-index:251652096;mso-width-relative:page;mso-height-relative:page" fillcolor="#a5a5a5" strokecolor="#f2f2f2" strokeweight="3pt">
            <v:shadow on="t" type="perspective" color="#525252" opacity=".5" offset="1pt" offset2="-1pt,-2pt"/>
            <v:textbox>
              <w:txbxContent>
                <w:p w:rsidR="0084316D" w:rsidRDefault="0084316D" w:rsidP="0084316D">
                  <w:pPr>
                    <w:jc w:val="center"/>
                    <w:rPr>
                      <w:rFonts w:ascii="仿宋_GB2312" w:eastAsia="仿宋_GB2312"/>
                    </w:rPr>
                  </w:pPr>
                  <w:r>
                    <w:rPr>
                      <w:rFonts w:ascii="仿宋_GB2312" w:eastAsia="仿宋_GB2312" w:hint="eastAsia"/>
                    </w:rPr>
                    <w:t>《国际财务报告准则》与《中小主体国际财务报告准则》是否存在</w:t>
                  </w:r>
                </w:p>
                <w:p w:rsidR="0084316D" w:rsidRDefault="0084316D" w:rsidP="0084316D">
                  <w:pPr>
                    <w:jc w:val="center"/>
                    <w:rPr>
                      <w:rFonts w:ascii="仿宋_GB2312" w:eastAsia="仿宋_GB2312"/>
                    </w:rPr>
                  </w:pPr>
                  <w:r>
                    <w:rPr>
                      <w:rFonts w:ascii="仿宋_GB2312" w:eastAsia="仿宋_GB2312" w:hint="eastAsia"/>
                    </w:rPr>
                    <w:t>确认或计量上的差异</w:t>
                  </w:r>
                </w:p>
              </w:txbxContent>
            </v:textbox>
          </v:rect>
        </w:pict>
      </w:r>
    </w:p>
    <w:p w:rsidR="0084316D" w:rsidRDefault="002E6BE6" w:rsidP="0084316D">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pict>
          <v:shapetype id="_x0000_t32" coordsize="21600,21600" o:spt="32" o:oned="t" path="m,l21600,21600e" filled="f">
            <v:path arrowok="t" fillok="f" o:connecttype="none"/>
            <o:lock v:ext="edit" shapetype="t"/>
          </v:shapetype>
          <v:shape id="_x0000_s1032" type="#_x0000_t32" style="position:absolute;left:0;text-align:left;margin-left:98.25pt;margin-top:19.55pt;width:0;height:39.35pt;z-index:251653120;mso-width-relative:page;mso-height-relative:page" o:connectortype="straight">
            <v:stroke endarrow="block"/>
          </v:shape>
        </w:pict>
      </w:r>
      <w:r>
        <w:rPr>
          <w:rFonts w:ascii="Times New Roman" w:eastAsia="仿宋_GB2312" w:hAnsi="Times New Roman" w:cs="Times New Roman"/>
          <w:sz w:val="32"/>
          <w:szCs w:val="32"/>
        </w:rPr>
        <w:pict>
          <v:shape id="_x0000_s1033" type="#_x0000_t32" style="position:absolute;left:0;text-align:left;margin-left:311.25pt;margin-top:19.55pt;width:0;height:39.35pt;z-index:251654144;mso-width-relative:page;mso-height-relative:page" o:connectortype="straight">
            <v:stroke endarrow="block"/>
          </v:shape>
        </w:pict>
      </w:r>
      <w:r>
        <w:rPr>
          <w:rFonts w:ascii="Times New Roman" w:eastAsia="仿宋_GB2312" w:hAnsi="Times New Roman" w:cs="Times New Roman"/>
          <w:sz w:val="32"/>
          <w:szCs w:val="32"/>
        </w:rPr>
        <w:pict>
          <v:rect id="_x0000_s1037" style="position:absolute;left:0;text-align:left;margin-left:314.25pt;margin-top:24pt;width:41.15pt;height:21pt;z-index:251655168;mso-width-relative:page;mso-height-relative:page" strokecolor="white">
            <v:textbox>
              <w:txbxContent>
                <w:p w:rsidR="0084316D" w:rsidRDefault="0084316D" w:rsidP="0084316D">
                  <w:pPr>
                    <w:rPr>
                      <w:rFonts w:ascii="仿宋_GB2312" w:eastAsia="仿宋_GB2312"/>
                    </w:rPr>
                  </w:pPr>
                  <w:r>
                    <w:rPr>
                      <w:rFonts w:ascii="仿宋_GB2312" w:eastAsia="仿宋_GB2312" w:hint="eastAsia"/>
                    </w:rPr>
                    <w:t>有</w:t>
                  </w:r>
                </w:p>
              </w:txbxContent>
            </v:textbox>
          </v:rect>
        </w:pict>
      </w:r>
      <w:r>
        <w:rPr>
          <w:rFonts w:ascii="Times New Roman" w:eastAsia="仿宋_GB2312" w:hAnsi="Times New Roman" w:cs="Times New Roman"/>
          <w:sz w:val="32"/>
          <w:szCs w:val="32"/>
        </w:rPr>
        <w:pict>
          <v:rect id="_x0000_s1036" style="position:absolute;left:0;text-align:left;margin-left:100.5pt;margin-top:24pt;width:41.15pt;height:21pt;z-index:251656192;mso-width-relative:page;mso-height-relative:page" strokecolor="white">
            <v:textbox>
              <w:txbxContent>
                <w:p w:rsidR="0084316D" w:rsidRDefault="0084316D" w:rsidP="0084316D">
                  <w:pPr>
                    <w:rPr>
                      <w:rFonts w:ascii="仿宋_GB2312" w:eastAsia="仿宋_GB2312"/>
                    </w:rPr>
                  </w:pPr>
                  <w:r>
                    <w:rPr>
                      <w:rFonts w:ascii="仿宋_GB2312" w:eastAsia="仿宋_GB2312" w:hint="eastAsia"/>
                    </w:rPr>
                    <w:t>没有</w:t>
                  </w:r>
                </w:p>
              </w:txbxContent>
            </v:textbox>
          </v:rect>
        </w:pict>
      </w:r>
    </w:p>
    <w:p w:rsidR="0084316D" w:rsidRDefault="002E6BE6" w:rsidP="0084316D">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pict>
          <v:rect id="_x0000_s1028" style="position:absolute;left:0;text-align:left;margin-left:223.05pt;margin-top:27.7pt;width:189.6pt;height:88.55pt;z-index:251657216;mso-width-relative:page;mso-height-relative:page" fillcolor="#e7e6e6">
            <v:textbox>
              <w:txbxContent>
                <w:p w:rsidR="0084316D" w:rsidRDefault="0084316D" w:rsidP="0084316D">
                  <w:pPr>
                    <w:jc w:val="center"/>
                    <w:rPr>
                      <w:rFonts w:ascii="仿宋_GB2312" w:eastAsia="仿宋_GB2312"/>
                    </w:rPr>
                  </w:pPr>
                  <w:r>
                    <w:rPr>
                      <w:rFonts w:ascii="仿宋_GB2312" w:eastAsia="仿宋_GB2312" w:hint="eastAsia"/>
                    </w:rPr>
                    <w:t>简化《国际财务报告准则》中的</w:t>
                  </w:r>
                </w:p>
                <w:p w:rsidR="0084316D" w:rsidRDefault="0084316D" w:rsidP="0084316D">
                  <w:pPr>
                    <w:jc w:val="center"/>
                    <w:rPr>
                      <w:rFonts w:ascii="仿宋_GB2312" w:eastAsia="仿宋_GB2312"/>
                    </w:rPr>
                  </w:pPr>
                  <w:r>
                    <w:rPr>
                      <w:rFonts w:ascii="仿宋_GB2312" w:eastAsia="仿宋_GB2312" w:hint="eastAsia"/>
                    </w:rPr>
                    <w:t>披露要求</w:t>
                  </w:r>
                </w:p>
              </w:txbxContent>
            </v:textbox>
          </v:rect>
        </w:pict>
      </w:r>
      <w:r>
        <w:rPr>
          <w:rFonts w:ascii="Times New Roman" w:eastAsia="仿宋_GB2312" w:hAnsi="Times New Roman" w:cs="Times New Roman"/>
          <w:sz w:val="32"/>
          <w:szCs w:val="32"/>
        </w:rPr>
        <w:pict>
          <v:rect id="_x0000_s1027" style="position:absolute;left:0;text-align:left;margin-left:5.25pt;margin-top:27.7pt;width:189.6pt;height:88.55pt;z-index:251658240;mso-width-relative:page;mso-height-relative:page" fillcolor="#e7e6e6">
            <v:textbox>
              <w:txbxContent>
                <w:p w:rsidR="0084316D" w:rsidRDefault="0084316D" w:rsidP="0084316D">
                  <w:pPr>
                    <w:jc w:val="center"/>
                    <w:rPr>
                      <w:rFonts w:ascii="仿宋_GB2312" w:eastAsia="仿宋_GB2312"/>
                    </w:rPr>
                  </w:pPr>
                  <w:r>
                    <w:rPr>
                      <w:rFonts w:ascii="仿宋_GB2312" w:eastAsia="仿宋_GB2312" w:hint="eastAsia"/>
                    </w:rPr>
                    <w:t>采用《中小主体国际财务报告准则》中的披露要求</w:t>
                  </w:r>
                </w:p>
              </w:txbxContent>
            </v:textbox>
          </v:rect>
        </w:pict>
      </w:r>
    </w:p>
    <w:p w:rsidR="0084316D" w:rsidRDefault="0084316D" w:rsidP="0084316D">
      <w:pPr>
        <w:spacing w:line="360" w:lineRule="auto"/>
        <w:rPr>
          <w:rFonts w:ascii="Times New Roman" w:eastAsia="仿宋_GB2312" w:hAnsi="Times New Roman" w:cs="Times New Roman"/>
          <w:sz w:val="32"/>
          <w:szCs w:val="32"/>
        </w:rPr>
      </w:pPr>
    </w:p>
    <w:p w:rsidR="0084316D" w:rsidRDefault="002E6BE6" w:rsidP="0084316D">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pict>
          <v:rect id="_x0000_s1029" style="position:absolute;left:0;text-align:left;margin-left:30.75pt;margin-top:2.4pt;width:137.75pt;height:98.35pt;z-index:251659264;mso-width-relative:page;mso-height-relative:page">
            <v:textbox>
              <w:txbxContent>
                <w:p w:rsidR="0084316D" w:rsidRDefault="0084316D" w:rsidP="0084316D">
                  <w:pPr>
                    <w:jc w:val="center"/>
                    <w:rPr>
                      <w:rFonts w:ascii="仿宋_GB2312" w:eastAsia="仿宋_GB2312"/>
                    </w:rPr>
                  </w:pPr>
                  <w:r>
                    <w:rPr>
                      <w:rFonts w:ascii="仿宋_GB2312" w:eastAsia="仿宋_GB2312" w:hint="eastAsia"/>
                    </w:rPr>
                    <w:t>微小的调整：</w:t>
                  </w:r>
                </w:p>
                <w:p w:rsidR="0084316D" w:rsidRDefault="0084316D" w:rsidP="0084316D">
                  <w:pPr>
                    <w:rPr>
                      <w:rFonts w:ascii="仿宋_GB2312" w:eastAsia="仿宋_GB2312"/>
                    </w:rPr>
                  </w:pPr>
                  <w:r>
                    <w:rPr>
                      <w:rFonts w:ascii="宋体" w:eastAsia="宋体" w:hAnsi="宋体" w:cs="宋体" w:hint="eastAsia"/>
                    </w:rPr>
                    <w:t>•</w:t>
                  </w:r>
                  <w:r>
                    <w:rPr>
                      <w:rFonts w:ascii="仿宋_GB2312" w:eastAsia="仿宋_GB2312" w:hint="eastAsia"/>
                    </w:rPr>
                    <w:t xml:space="preserve"> 使条款和语言符合《国际财务报告准则》</w:t>
                  </w:r>
                </w:p>
                <w:p w:rsidR="0084316D" w:rsidRDefault="0084316D" w:rsidP="0084316D">
                  <w:pPr>
                    <w:rPr>
                      <w:rFonts w:ascii="仿宋_GB2312" w:eastAsia="仿宋_GB2312"/>
                    </w:rPr>
                  </w:pPr>
                  <w:r>
                    <w:rPr>
                      <w:rFonts w:ascii="宋体" w:eastAsia="宋体" w:hAnsi="宋体" w:cs="宋体" w:hint="eastAsia"/>
                    </w:rPr>
                    <w:t>•</w:t>
                  </w:r>
                  <w:r>
                    <w:rPr>
                      <w:rFonts w:ascii="仿宋_GB2312" w:eastAsia="仿宋_GB2312" w:hint="eastAsia"/>
                    </w:rPr>
                    <w:t xml:space="preserve"> 更新段落间的交叉指引</w:t>
                  </w:r>
                </w:p>
              </w:txbxContent>
            </v:textbox>
          </v:rect>
        </w:pict>
      </w:r>
      <w:r>
        <w:rPr>
          <w:rFonts w:ascii="Times New Roman" w:eastAsia="仿宋_GB2312" w:hAnsi="Times New Roman" w:cs="Times New Roman"/>
          <w:sz w:val="32"/>
          <w:szCs w:val="32"/>
        </w:rPr>
        <w:pict>
          <v:rect id="_x0000_s1030" style="position:absolute;left:0;text-align:left;margin-left:248.45pt;margin-top:2.4pt;width:137.75pt;height:98.35pt;z-index:251660288;mso-width-relative:page;mso-height-relative:page">
            <v:textbox>
              <w:txbxContent>
                <w:p w:rsidR="0084316D" w:rsidRDefault="0084316D" w:rsidP="0084316D">
                  <w:pPr>
                    <w:jc w:val="center"/>
                    <w:rPr>
                      <w:rFonts w:ascii="仿宋_GB2312" w:eastAsia="仿宋_GB2312"/>
                    </w:rPr>
                  </w:pPr>
                  <w:r>
                    <w:rPr>
                      <w:rFonts w:ascii="仿宋_GB2312" w:eastAsia="仿宋_GB2312" w:hint="eastAsia"/>
                    </w:rPr>
                    <w:t>如何简化：</w:t>
                  </w:r>
                </w:p>
                <w:p w:rsidR="0084316D" w:rsidRDefault="0084316D" w:rsidP="0084316D">
                  <w:pPr>
                    <w:ind w:firstLineChars="200" w:firstLine="420"/>
                    <w:rPr>
                      <w:rFonts w:ascii="仿宋_GB2312" w:eastAsia="仿宋_GB2312"/>
                    </w:rPr>
                  </w:pPr>
                  <w:r>
                    <w:rPr>
                      <w:rFonts w:ascii="仿宋_GB2312" w:eastAsia="仿宋_GB2312" w:hint="eastAsia"/>
                    </w:rPr>
                    <w:t>按照制定《中小主体国际财务报告准则》披露要求时遵循的原则，来简化《国际财务报告准则》中的披露要求</w:t>
                  </w:r>
                </w:p>
              </w:txbxContent>
            </v:textbox>
          </v:rect>
        </w:pict>
      </w:r>
    </w:p>
    <w:p w:rsidR="0084316D" w:rsidRDefault="0084316D" w:rsidP="0084316D">
      <w:pPr>
        <w:spacing w:line="360" w:lineRule="auto"/>
        <w:rPr>
          <w:rFonts w:ascii="Times New Roman" w:eastAsia="仿宋_GB2312" w:hAnsi="Times New Roman" w:cs="Times New Roman"/>
          <w:sz w:val="32"/>
          <w:szCs w:val="32"/>
        </w:rPr>
      </w:pPr>
    </w:p>
    <w:p w:rsidR="0084316D" w:rsidRDefault="0084316D" w:rsidP="0084316D">
      <w:pPr>
        <w:spacing w:line="360" w:lineRule="auto"/>
        <w:rPr>
          <w:rFonts w:ascii="Times New Roman" w:eastAsia="仿宋_GB2312" w:hAnsi="Times New Roman" w:cs="Times New Roman"/>
          <w:sz w:val="32"/>
          <w:szCs w:val="32"/>
        </w:rPr>
      </w:pPr>
    </w:p>
    <w:p w:rsidR="0084316D" w:rsidRDefault="002E6BE6" w:rsidP="0084316D">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pict>
          <v:shape id="_x0000_s1035" type="#_x0000_t32" style="position:absolute;left:0;text-align:left;margin-left:311.15pt;margin-top:10.3pt;width:.05pt;height:39.35pt;z-index:251661312;mso-width-relative:page;mso-height-relative:page" o:connectortype="straight"/>
        </w:pict>
      </w:r>
      <w:r>
        <w:rPr>
          <w:rFonts w:ascii="Times New Roman" w:eastAsia="仿宋_GB2312" w:hAnsi="Times New Roman" w:cs="Times New Roman"/>
          <w:sz w:val="32"/>
          <w:szCs w:val="32"/>
        </w:rPr>
        <w:pict>
          <v:shape id="_x0000_s1034" type="#_x0000_t32" style="position:absolute;left:0;text-align:left;margin-left:95.6pt;margin-top:10.3pt;width:.05pt;height:39.35pt;z-index:251662336;mso-width-relative:page;mso-height-relative:page" o:connectortype="straight"/>
        </w:pict>
      </w:r>
    </w:p>
    <w:p w:rsidR="0084316D" w:rsidRDefault="002E6BE6" w:rsidP="0084316D">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pict>
          <v:rect id="_x0000_s1031" style="position:absolute;left:0;text-align:left;margin-left:2.1pt;margin-top:22pt;width:403.85pt;height:79.45pt;z-index:251663360;mso-width-relative:page;mso-height-relative:page" fillcolor="#e7e6e6" strokecolor="#f2f2f2" strokeweight="3pt">
            <v:shadow on="t" type="perspective" color="#525252" opacity=".5" offset="1pt" offset2="-1pt,-2pt"/>
            <v:textbox>
              <w:txbxContent>
                <w:p w:rsidR="0084316D" w:rsidRDefault="0084316D" w:rsidP="0084316D">
                  <w:pPr>
                    <w:jc w:val="center"/>
                    <w:rPr>
                      <w:rFonts w:ascii="仿宋_GB2312" w:eastAsia="仿宋_GB2312"/>
                    </w:rPr>
                  </w:pPr>
                  <w:r>
                    <w:rPr>
                      <w:rFonts w:ascii="仿宋_GB2312" w:eastAsia="仿宋_GB2312" w:hint="eastAsia"/>
                    </w:rPr>
                    <w:t>上图方法中的一些例外情况：</w:t>
                  </w:r>
                </w:p>
                <w:p w:rsidR="0084316D" w:rsidRDefault="0084316D" w:rsidP="0084316D">
                  <w:pPr>
                    <w:rPr>
                      <w:rFonts w:ascii="仿宋_GB2312" w:eastAsia="仿宋_GB2312"/>
                    </w:rPr>
                  </w:pPr>
                  <w:r>
                    <w:rPr>
                      <w:rFonts w:ascii="仿宋_GB2312" w:eastAsia="仿宋_GB2312" w:hint="eastAsia"/>
                    </w:rPr>
                    <w:t xml:space="preserve">    </w:t>
                  </w:r>
                  <w:r>
                    <w:rPr>
                      <w:rFonts w:ascii="宋体" w:eastAsia="宋体" w:hAnsi="宋体" w:cs="宋体" w:hint="eastAsia"/>
                    </w:rPr>
                    <w:t>•</w:t>
                  </w:r>
                  <w:r>
                    <w:rPr>
                      <w:rFonts w:ascii="仿宋_GB2312" w:eastAsia="仿宋_GB2312" w:hint="eastAsia"/>
                    </w:rPr>
                    <w:t xml:space="preserve"> 个别为满足使用者信息需求的情况；</w:t>
                  </w:r>
                </w:p>
                <w:p w:rsidR="0084316D" w:rsidRDefault="0084316D" w:rsidP="0084316D">
                  <w:pPr>
                    <w:ind w:firstLineChars="200" w:firstLine="420"/>
                    <w:rPr>
                      <w:rFonts w:ascii="仿宋_GB2312" w:eastAsia="仿宋_GB2312"/>
                    </w:rPr>
                  </w:pPr>
                  <w:r>
                    <w:rPr>
                      <w:rFonts w:ascii="宋体" w:eastAsia="宋体" w:hAnsi="宋体" w:cs="宋体" w:hint="eastAsia"/>
                    </w:rPr>
                    <w:t>•</w:t>
                  </w:r>
                  <w:r>
                    <w:rPr>
                      <w:rFonts w:ascii="仿宋_GB2312" w:eastAsia="仿宋_GB2312" w:hint="eastAsia"/>
                    </w:rPr>
                    <w:t xml:space="preserve"> 当新制定或新修订《国际财务报告准则》后，还未对《中小主体国际财务报告准则》进行修订之前的一些披露要求的考虑。</w:t>
                  </w:r>
                </w:p>
              </w:txbxContent>
            </v:textbox>
          </v:rect>
        </w:pict>
      </w:r>
    </w:p>
    <w:p w:rsidR="0084316D" w:rsidRDefault="0084316D" w:rsidP="0084316D">
      <w:pPr>
        <w:spacing w:line="360" w:lineRule="auto"/>
        <w:ind w:firstLineChars="200" w:firstLine="643"/>
        <w:rPr>
          <w:rFonts w:ascii="Times New Roman" w:eastAsia="仿宋_GB2312" w:hAnsi="Times New Roman" w:cs="Times New Roman"/>
          <w:b/>
          <w:sz w:val="32"/>
          <w:szCs w:val="32"/>
        </w:rPr>
      </w:pPr>
    </w:p>
    <w:p w:rsidR="0084316D" w:rsidRDefault="0084316D" w:rsidP="0084316D">
      <w:pPr>
        <w:spacing w:line="360" w:lineRule="auto"/>
        <w:rPr>
          <w:rFonts w:ascii="Times New Roman" w:eastAsia="仿宋_GB2312" w:hAnsi="Times New Roman" w:cs="Times New Roman"/>
          <w:b/>
          <w:sz w:val="32"/>
          <w:szCs w:val="32"/>
        </w:rPr>
      </w:pPr>
    </w:p>
    <w:p w:rsidR="0084316D" w:rsidRDefault="0084316D" w:rsidP="0084316D">
      <w:pPr>
        <w:spacing w:line="360" w:lineRule="auto"/>
        <w:rPr>
          <w:rFonts w:ascii="Times New Roman" w:eastAsia="仿宋_GB2312" w:hAnsi="Times New Roman" w:cs="Times New Roman"/>
          <w:b/>
          <w:sz w:val="32"/>
          <w:szCs w:val="32"/>
        </w:rPr>
      </w:pPr>
    </w:p>
    <w:bookmarkEnd w:id="0"/>
    <w:p w:rsidR="0084316D" w:rsidRDefault="0084316D" w:rsidP="0084316D">
      <w:pPr>
        <w:ind w:firstLineChars="200" w:firstLine="640"/>
        <w:rPr>
          <w:rFonts w:ascii="黑体" w:eastAsia="黑体" w:hAnsi="黑体" w:cs="Times New Roman"/>
          <w:sz w:val="32"/>
          <w:szCs w:val="32"/>
        </w:rPr>
      </w:pPr>
      <w:r>
        <w:rPr>
          <w:rFonts w:ascii="黑体" w:eastAsia="黑体" w:hAnsi="黑体" w:cs="Times New Roman" w:hint="eastAsia"/>
          <w:sz w:val="32"/>
          <w:szCs w:val="32"/>
        </w:rPr>
        <w:t>二、征求意见稿主要内容</w:t>
      </w:r>
    </w:p>
    <w:p w:rsidR="0084316D" w:rsidRDefault="0084316D" w:rsidP="0084316D">
      <w:pPr>
        <w:spacing w:line="360" w:lineRule="auto"/>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（一）准则的目标</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该准则的目标是为符合条件的子公司适当简化信息披露内容，使其在采用该准则披露要求的同时，又能遵循《国际财务报告准则》中的确认、计量和列示要求。</w:t>
      </w:r>
    </w:p>
    <w:p w:rsidR="0084316D" w:rsidRDefault="0084316D" w:rsidP="0084316D">
      <w:pPr>
        <w:spacing w:line="360" w:lineRule="auto"/>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lastRenderedPageBreak/>
        <w:t>（二）准则的适用范围</w:t>
      </w:r>
    </w:p>
    <w:p w:rsidR="0084316D" w:rsidRDefault="0084316D" w:rsidP="0084316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允许</w:t>
      </w:r>
      <w:r w:rsidR="00C73D2D" w:rsidRPr="00C73D2D">
        <w:rPr>
          <w:rFonts w:ascii="Times New Roman" w:eastAsia="仿宋_GB2312" w:hAnsi="Times New Roman" w:cs="Times New Roman" w:hint="eastAsia"/>
          <w:sz w:val="32"/>
          <w:szCs w:val="32"/>
        </w:rPr>
        <w:t>当且仅当主体在其报告期末符合以下条件</w:t>
      </w:r>
      <w:r w:rsidR="00C73D2D">
        <w:rPr>
          <w:rFonts w:ascii="Times New Roman" w:eastAsia="仿宋_GB2312" w:hAnsi="Times New Roman" w:cs="Times New Roman" w:hint="eastAsia"/>
          <w:sz w:val="32"/>
          <w:szCs w:val="32"/>
        </w:rPr>
        <w:t>时，</w:t>
      </w:r>
      <w:r>
        <w:rPr>
          <w:rFonts w:ascii="Times New Roman" w:eastAsia="仿宋_GB2312" w:hAnsi="Times New Roman" w:cs="Times New Roman" w:hint="eastAsia"/>
          <w:sz w:val="32"/>
          <w:szCs w:val="32"/>
        </w:rPr>
        <w:t>在其合并、单独</w:t>
      </w:r>
      <w:r w:rsidR="00C73D2D">
        <w:rPr>
          <w:rFonts w:ascii="Times New Roman" w:eastAsia="仿宋_GB2312" w:hAnsi="Times New Roman" w:cs="Times New Roman" w:hint="eastAsia"/>
          <w:sz w:val="32"/>
          <w:szCs w:val="32"/>
        </w:rPr>
        <w:t>财务报表中采用该准则</w:t>
      </w:r>
      <w:r>
        <w:rPr>
          <w:rFonts w:ascii="Times New Roman" w:eastAsia="仿宋_GB2312" w:hAnsi="Times New Roman" w:cs="Times New Roman" w:hint="eastAsia"/>
          <w:sz w:val="32"/>
          <w:szCs w:val="32"/>
        </w:rPr>
        <w:t>：</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一是</w:t>
      </w:r>
      <w:r>
        <w:rPr>
          <w:rFonts w:ascii="Times New Roman" w:eastAsia="仿宋_GB2312" w:hAnsi="Times New Roman" w:cs="Times New Roman" w:hint="eastAsia"/>
          <w:sz w:val="32"/>
          <w:szCs w:val="32"/>
        </w:rPr>
        <w:t>主体为子公司；</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主体没有公共受托责任；</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三是</w:t>
      </w:r>
      <w:r w:rsidR="00D95DD3">
        <w:rPr>
          <w:rFonts w:ascii="Times New Roman" w:eastAsia="仿宋_GB2312" w:hAnsi="Times New Roman" w:cs="Times New Roman" w:hint="eastAsia"/>
          <w:sz w:val="32"/>
          <w:szCs w:val="32"/>
        </w:rPr>
        <w:t>主体母公司编制的合并财务报表遵循国际财务报告准则，并且</w:t>
      </w:r>
      <w:bookmarkStart w:id="1" w:name="_GoBack"/>
      <w:bookmarkEnd w:id="1"/>
      <w:r>
        <w:rPr>
          <w:rFonts w:ascii="Times New Roman" w:eastAsia="仿宋_GB2312" w:hAnsi="Times New Roman" w:cs="Times New Roman" w:hint="eastAsia"/>
          <w:sz w:val="32"/>
          <w:szCs w:val="32"/>
        </w:rPr>
        <w:t>供公众使用。</w:t>
      </w:r>
    </w:p>
    <w:p w:rsidR="0084316D" w:rsidRDefault="0084316D" w:rsidP="0084316D">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sz w:val="32"/>
          <w:szCs w:val="32"/>
        </w:rPr>
        <w:t>（三）准则的采用规定</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符合条件的主体可自愿采用或终止采用该准则。例如，主体在以前期间曾采用该准则，在上一期间未采用该准则，当前期间仍然可以选择采用该准则。</w:t>
      </w:r>
    </w:p>
    <w:p w:rsidR="0084316D" w:rsidRDefault="0084316D" w:rsidP="0084316D">
      <w:pPr>
        <w:spacing w:line="360" w:lineRule="auto"/>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（四）生效日期</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该准则将于发布后的一年半至两年之后开始的会计年度生效。允许企业提前采用。</w:t>
      </w:r>
    </w:p>
    <w:p w:rsidR="0084316D" w:rsidRDefault="0084316D" w:rsidP="0084316D">
      <w:pPr>
        <w:spacing w:line="360" w:lineRule="auto"/>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（五）其他注意事项</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符合条件的主体在采用该准则时应注意以下几点：</w:t>
      </w:r>
    </w:p>
    <w:p w:rsidR="0084316D" w:rsidRDefault="0084316D" w:rsidP="0084316D">
      <w:pPr>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一是</w:t>
      </w:r>
      <w:r>
        <w:rPr>
          <w:rFonts w:ascii="Times New Roman" w:eastAsia="仿宋_GB2312" w:hAnsi="Times New Roman" w:cs="Times New Roman" w:hint="eastAsia"/>
          <w:sz w:val="32"/>
          <w:szCs w:val="32"/>
        </w:rPr>
        <w:t>主体应声明其采用了该准则，且应与主体采用国际财务报告准则的合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声明放在一起；</w:t>
      </w:r>
    </w:p>
    <w:p w:rsidR="0084316D" w:rsidRDefault="0084316D" w:rsidP="0084316D">
      <w:pPr>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二是</w:t>
      </w:r>
      <w:r>
        <w:rPr>
          <w:rFonts w:ascii="Times New Roman" w:eastAsia="仿宋_GB2312" w:hAnsi="Times New Roman" w:cs="Times New Roman" w:hint="eastAsia"/>
          <w:sz w:val="32"/>
          <w:szCs w:val="32"/>
        </w:rPr>
        <w:t>主体采用该准则时，对新制定或修订的国际财务报告准则的过渡的披露要求仍然适用；</w:t>
      </w:r>
      <w:r>
        <w:rPr>
          <w:rFonts w:ascii="Times New Roman" w:eastAsia="仿宋_GB2312" w:hAnsi="Times New Roman" w:cs="Times New Roman"/>
          <w:sz w:val="32"/>
          <w:szCs w:val="32"/>
        </w:rPr>
        <w:t xml:space="preserve"> </w:t>
      </w:r>
    </w:p>
    <w:p w:rsidR="0084316D" w:rsidRDefault="0084316D" w:rsidP="0084316D">
      <w:pPr>
        <w:spacing w:line="360" w:lineRule="auto"/>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三是</w:t>
      </w:r>
      <w:r>
        <w:rPr>
          <w:rFonts w:ascii="Times New Roman" w:eastAsia="仿宋_GB2312" w:hAnsi="Times New Roman" w:cs="Times New Roman" w:hint="eastAsia"/>
          <w:sz w:val="32"/>
          <w:szCs w:val="32"/>
        </w:rPr>
        <w:t>该准则未对《国际财务报告准则第</w:t>
      </w:r>
      <w:r>
        <w:rPr>
          <w:rFonts w:ascii="Times New Roman" w:eastAsia="仿宋_GB2312" w:hAnsi="Times New Roman" w:cs="Times New Roman"/>
          <w:sz w:val="32"/>
          <w:szCs w:val="32"/>
        </w:rPr>
        <w:t xml:space="preserve"> 8</w:t>
      </w:r>
      <w:r>
        <w:rPr>
          <w:rFonts w:ascii="Times New Roman" w:eastAsia="仿宋_GB2312" w:hAnsi="Times New Roman" w:cs="Times New Roman" w:hint="eastAsia"/>
          <w:sz w:val="32"/>
          <w:szCs w:val="32"/>
        </w:rPr>
        <w:t>号</w:t>
      </w:r>
      <w:r>
        <w:rPr>
          <w:rFonts w:ascii="Times New Roman" w:eastAsia="仿宋_GB2312" w:hAnsi="Times New Roman" w:cs="Times New Roman" w:hint="cs"/>
          <w:sz w:val="32"/>
          <w:szCs w:val="32"/>
        </w:rPr>
        <w:t>——</w:t>
      </w:r>
      <w:r>
        <w:rPr>
          <w:rFonts w:ascii="Times New Roman" w:eastAsia="仿宋_GB2312" w:hAnsi="Times New Roman" w:cs="Times New Roman" w:hint="eastAsia"/>
          <w:sz w:val="32"/>
          <w:szCs w:val="32"/>
        </w:rPr>
        <w:t>经营分部》、《国际财务报告准则第</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号</w:t>
      </w:r>
      <w:r>
        <w:rPr>
          <w:rFonts w:ascii="Times New Roman" w:eastAsia="仿宋_GB2312" w:hAnsi="Times New Roman" w:cs="Times New Roman" w:hint="cs"/>
          <w:sz w:val="32"/>
          <w:szCs w:val="32"/>
        </w:rPr>
        <w:t>——</w:t>
      </w:r>
      <w:r>
        <w:rPr>
          <w:rFonts w:ascii="Times New Roman" w:eastAsia="仿宋_GB2312" w:hAnsi="Times New Roman" w:cs="Times New Roman" w:hint="eastAsia"/>
          <w:sz w:val="32"/>
          <w:szCs w:val="32"/>
        </w:rPr>
        <w:t>保险合同》以及《国</w:t>
      </w:r>
      <w:r>
        <w:rPr>
          <w:rFonts w:ascii="Times New Roman" w:eastAsia="仿宋_GB2312" w:hAnsi="Times New Roman" w:cs="Times New Roman" w:hint="eastAsia"/>
          <w:sz w:val="32"/>
          <w:szCs w:val="32"/>
        </w:rPr>
        <w:lastRenderedPageBreak/>
        <w:t>际会计准则第</w:t>
      </w: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号</w:t>
      </w:r>
      <w:r>
        <w:rPr>
          <w:rFonts w:ascii="Times New Roman" w:eastAsia="仿宋_GB2312" w:hAnsi="Times New Roman" w:cs="Times New Roman" w:hint="cs"/>
          <w:sz w:val="32"/>
          <w:szCs w:val="32"/>
        </w:rPr>
        <w:t>——</w:t>
      </w:r>
      <w:r>
        <w:rPr>
          <w:rFonts w:ascii="Times New Roman" w:eastAsia="仿宋_GB2312" w:hAnsi="Times New Roman" w:cs="Times New Roman" w:hint="eastAsia"/>
          <w:sz w:val="32"/>
          <w:szCs w:val="32"/>
        </w:rPr>
        <w:t>每股收益》的披露要求进行简化。因此，采用该准则</w:t>
      </w:r>
      <w:r>
        <w:rPr>
          <w:rFonts w:ascii="Times New Roman" w:eastAsia="仿宋_GB2312" w:hAnsi="Times New Roman" w:cs="Times New Roman"/>
          <w:sz w:val="32"/>
          <w:szCs w:val="32"/>
        </w:rPr>
        <w:t>的主体仍需</w:t>
      </w:r>
      <w:r>
        <w:rPr>
          <w:rFonts w:ascii="Times New Roman" w:eastAsia="仿宋_GB2312" w:hAnsi="Times New Roman" w:cs="Times New Roman" w:hint="eastAsia"/>
          <w:sz w:val="32"/>
          <w:szCs w:val="32"/>
        </w:rPr>
        <w:t>遵循以上</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项国际财务报告准则</w:t>
      </w:r>
      <w:r>
        <w:rPr>
          <w:rFonts w:ascii="Times New Roman" w:eastAsia="仿宋_GB2312" w:hAnsi="Times New Roman" w:cs="Times New Roman"/>
          <w:sz w:val="32"/>
          <w:szCs w:val="32"/>
        </w:rPr>
        <w:t>中的披露要求。</w:t>
      </w:r>
      <w:r>
        <w:rPr>
          <w:rFonts w:ascii="Times New Roman" w:eastAsia="仿宋_GB2312" w:hAnsi="Times New Roman" w:cs="Times New Roman"/>
          <w:b/>
          <w:sz w:val="32"/>
          <w:szCs w:val="32"/>
        </w:rPr>
        <w:t xml:space="preserve"> </w:t>
      </w:r>
    </w:p>
    <w:p w:rsidR="0084316D" w:rsidRDefault="0084316D" w:rsidP="0084316D">
      <w:pPr>
        <w:ind w:firstLineChars="200" w:firstLine="640"/>
        <w:rPr>
          <w:rFonts w:ascii="黑体" w:eastAsia="黑体" w:hAnsi="黑体" w:cs="Times New Roman"/>
          <w:sz w:val="32"/>
          <w:szCs w:val="32"/>
        </w:rPr>
      </w:pPr>
      <w:r>
        <w:rPr>
          <w:rFonts w:ascii="黑体" w:eastAsia="黑体" w:hAnsi="黑体" w:cs="Times New Roman" w:hint="eastAsia"/>
          <w:sz w:val="32"/>
          <w:szCs w:val="32"/>
        </w:rPr>
        <w:t>三、征求意见稿的潜在影响</w:t>
      </w:r>
    </w:p>
    <w:p w:rsidR="0084316D" w:rsidRDefault="0084316D" w:rsidP="0084316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由于该准则为自愿采用，子公司选择采用该准则应认为其实施效益超过实施成本。</w:t>
      </w:r>
    </w:p>
    <w:p w:rsidR="0084316D" w:rsidRDefault="0084316D" w:rsidP="0084316D">
      <w:pPr>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在实施效益方面，</w:t>
      </w:r>
      <w:r>
        <w:rPr>
          <w:rFonts w:ascii="Times New Roman" w:eastAsia="仿宋_GB2312" w:hAnsi="Times New Roman" w:cs="Times New Roman" w:hint="eastAsia"/>
          <w:sz w:val="32"/>
          <w:szCs w:val="32"/>
        </w:rPr>
        <w:t>理事会认为该准则的制定降低了部分子公司维护两套会计记录的成本。此外，该准则保持了财务报表的有用性，因为简化的披露要求是根据使用者需求而制定的。同时，该准则也减少了利益相关者的培训和翻译成本。虽然这是一项新准则，但其披露要求都是基于中小主体准则或国际财务报告准则制定的，学习新内容的成本较低。</w:t>
      </w:r>
    </w:p>
    <w:p w:rsidR="0084316D" w:rsidRDefault="0084316D" w:rsidP="0084316D">
      <w:pPr>
        <w:spacing w:line="360" w:lineRule="auto"/>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在实施成本方面，</w:t>
      </w:r>
      <w:r>
        <w:rPr>
          <w:rFonts w:ascii="Times New Roman" w:eastAsia="仿宋_GB2312" w:hAnsi="Times New Roman" w:cs="Times New Roman" w:hint="eastAsia"/>
          <w:sz w:val="32"/>
          <w:szCs w:val="32"/>
        </w:rPr>
        <w:t>若子公司在以前期间采用的是中小主体准则或本国准则，那么在采用该准则时，还需采用《国际财务报告准则第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w:t>
      </w:r>
      <w:r>
        <w:rPr>
          <w:rFonts w:ascii="Times New Roman" w:eastAsia="仿宋_GB2312" w:hAnsi="Times New Roman" w:cs="Times New Roman" w:hint="cs"/>
          <w:sz w:val="32"/>
          <w:szCs w:val="32"/>
        </w:rPr>
        <w:t>——</w:t>
      </w:r>
      <w:r>
        <w:rPr>
          <w:rFonts w:ascii="Times New Roman" w:eastAsia="仿宋_GB2312" w:hAnsi="Times New Roman" w:cs="Times New Roman" w:hint="eastAsia"/>
          <w:sz w:val="32"/>
          <w:szCs w:val="32"/>
        </w:rPr>
        <w:t>首次采用国际财务报告准则》。若子公司在以前期间采用的是国际财务报告准则，那么在采用该准则时，会产生一定的过渡成本，例如子公司需识别哪些披露是被简化的。</w:t>
      </w:r>
    </w:p>
    <w:p w:rsidR="0084316D" w:rsidRDefault="0084316D" w:rsidP="0084316D">
      <w:pPr>
        <w:ind w:firstLineChars="200" w:firstLine="640"/>
        <w:rPr>
          <w:rFonts w:ascii="黑体" w:eastAsia="黑体" w:hAnsi="黑体" w:cs="Times New Roman"/>
          <w:sz w:val="32"/>
          <w:szCs w:val="32"/>
        </w:rPr>
      </w:pPr>
      <w:r>
        <w:rPr>
          <w:rFonts w:ascii="黑体" w:eastAsia="黑体" w:hAnsi="黑体" w:cs="Times New Roman" w:hint="eastAsia"/>
          <w:sz w:val="32"/>
          <w:szCs w:val="32"/>
        </w:rPr>
        <w:t>四、征求意见稿的主要问题</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1</w:t>
      </w:r>
      <w:r w:rsidRPr="004F2966">
        <w:rPr>
          <w:rFonts w:ascii="Times New Roman" w:eastAsia="仿宋_GB2312" w:hAnsi="Times New Roman" w:cs="Times New Roman"/>
          <w:b/>
          <w:bCs/>
          <w:sz w:val="32"/>
          <w:szCs w:val="36"/>
        </w:rPr>
        <w:t>：目标</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hint="eastAsia"/>
          <w:sz w:val="32"/>
          <w:szCs w:val="36"/>
        </w:rPr>
        <w:t>《</w:t>
      </w:r>
      <w:r>
        <w:rPr>
          <w:rFonts w:ascii="Times New Roman" w:eastAsia="仿宋_GB2312" w:hAnsi="Times New Roman" w:cs="Times New Roman" w:hint="eastAsia"/>
          <w:sz w:val="32"/>
          <w:szCs w:val="36"/>
        </w:rPr>
        <w:t>非公共受托责任子公司的披露简化</w:t>
      </w:r>
      <w:r w:rsidRPr="004F2966">
        <w:rPr>
          <w:rFonts w:ascii="Times New Roman" w:eastAsia="仿宋_GB2312" w:hAnsi="Times New Roman" w:cs="Times New Roman" w:hint="eastAsia"/>
          <w:sz w:val="32"/>
          <w:szCs w:val="36"/>
        </w:rPr>
        <w:t>（草案）》</w:t>
      </w:r>
      <w:r>
        <w:rPr>
          <w:rFonts w:ascii="Times New Roman" w:eastAsia="仿宋_GB2312" w:hAnsi="Times New Roman" w:cs="Times New Roman" w:hint="eastAsia"/>
          <w:sz w:val="32"/>
          <w:szCs w:val="36"/>
        </w:rPr>
        <w:t>（以下简称该准则）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段提出了</w:t>
      </w:r>
      <w:r>
        <w:rPr>
          <w:rFonts w:ascii="Times New Roman" w:eastAsia="仿宋_GB2312" w:hAnsi="Times New Roman" w:cs="Times New Roman" w:hint="eastAsia"/>
          <w:sz w:val="32"/>
          <w:szCs w:val="36"/>
        </w:rPr>
        <w:t>目标，即</w:t>
      </w:r>
      <w:r w:rsidRPr="004F2966">
        <w:rPr>
          <w:rFonts w:ascii="Times New Roman" w:eastAsia="仿宋_GB2312" w:hAnsi="Times New Roman" w:cs="Times New Roman"/>
          <w:sz w:val="32"/>
          <w:szCs w:val="36"/>
        </w:rPr>
        <w:t>为符合条件的子公司适当</w:t>
      </w:r>
      <w:r w:rsidRPr="004F2966">
        <w:rPr>
          <w:rFonts w:ascii="Times New Roman" w:eastAsia="仿宋_GB2312" w:hAnsi="Times New Roman" w:cs="Times New Roman"/>
          <w:sz w:val="32"/>
          <w:szCs w:val="36"/>
        </w:rPr>
        <w:lastRenderedPageBreak/>
        <w:t>简化信息披露内容，使其在采用该准则的披露要求的同时，又能遵循《国际财务报告准则》中的确认、计量和</w:t>
      </w:r>
      <w:r>
        <w:rPr>
          <w:rFonts w:ascii="Times New Roman" w:eastAsia="仿宋_GB2312" w:hAnsi="Times New Roman" w:cs="Times New Roman" w:hint="eastAsia"/>
          <w:sz w:val="32"/>
          <w:szCs w:val="36"/>
        </w:rPr>
        <w:t>列示</w:t>
      </w:r>
      <w:r w:rsidRPr="004F2966">
        <w:rPr>
          <w:rFonts w:ascii="Times New Roman" w:eastAsia="仿宋_GB2312" w:hAnsi="Times New Roman" w:cs="Times New Roman"/>
          <w:sz w:val="32"/>
          <w:szCs w:val="36"/>
        </w:rPr>
        <w:t>要求。</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您是否认同</w:t>
      </w:r>
      <w:r>
        <w:rPr>
          <w:rFonts w:ascii="Times New Roman" w:eastAsia="仿宋_GB2312" w:hAnsi="Times New Roman" w:cs="Times New Roman" w:hint="eastAsia"/>
          <w:sz w:val="32"/>
          <w:szCs w:val="36"/>
        </w:rPr>
        <w:t>该</w:t>
      </w:r>
      <w:r w:rsidRPr="004F2966">
        <w:rPr>
          <w:rFonts w:ascii="Times New Roman" w:eastAsia="仿宋_GB2312" w:hAnsi="Times New Roman" w:cs="Times New Roman"/>
          <w:sz w:val="32"/>
          <w:szCs w:val="36"/>
        </w:rPr>
        <w:t>目标？请说明您的理由。如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2</w:t>
      </w:r>
      <w:r w:rsidRPr="004F2966">
        <w:rPr>
          <w:rFonts w:ascii="Times New Roman" w:eastAsia="仿宋_GB2312" w:hAnsi="Times New Roman" w:cs="Times New Roman"/>
          <w:b/>
          <w:bCs/>
          <w:sz w:val="32"/>
          <w:szCs w:val="36"/>
        </w:rPr>
        <w:t>：范围</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6-8</w:t>
      </w:r>
      <w:r w:rsidRPr="004F2966">
        <w:rPr>
          <w:rFonts w:ascii="Times New Roman" w:eastAsia="仿宋_GB2312" w:hAnsi="Times New Roman" w:cs="Times New Roman"/>
          <w:sz w:val="32"/>
          <w:szCs w:val="36"/>
        </w:rPr>
        <w:t>段规定了范围</w:t>
      </w:r>
      <w:r>
        <w:rPr>
          <w:rFonts w:ascii="Times New Roman" w:eastAsia="仿宋_GB2312" w:hAnsi="Times New Roman" w:cs="Times New Roman" w:hint="eastAsia"/>
          <w:sz w:val="32"/>
          <w:szCs w:val="36"/>
        </w:rPr>
        <w:t>，</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BC12-BC22</w:t>
      </w:r>
      <w:r>
        <w:rPr>
          <w:rFonts w:ascii="Times New Roman" w:eastAsia="仿宋_GB2312" w:hAnsi="Times New Roman" w:cs="Times New Roman" w:hint="eastAsia"/>
          <w:sz w:val="32"/>
          <w:szCs w:val="36"/>
        </w:rPr>
        <w:t>段</w:t>
      </w:r>
      <w:r w:rsidRPr="004F2966">
        <w:rPr>
          <w:rFonts w:ascii="Times New Roman" w:eastAsia="仿宋_GB2312" w:hAnsi="Times New Roman" w:cs="Times New Roman"/>
          <w:sz w:val="32"/>
          <w:szCs w:val="36"/>
        </w:rPr>
        <w:t>说明了理事会提出这些提议的理由。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对此您是否认同？请说明您的理由。如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3</w:t>
      </w:r>
      <w:r w:rsidRPr="004F2966">
        <w:rPr>
          <w:rFonts w:ascii="Times New Roman" w:eastAsia="仿宋_GB2312" w:hAnsi="Times New Roman" w:cs="Times New Roman"/>
          <w:b/>
          <w:bCs/>
          <w:sz w:val="32"/>
          <w:szCs w:val="36"/>
        </w:rPr>
        <w:t>：制定披露要求的方法</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w:t>
      </w:r>
      <w:proofErr w:type="gramStart"/>
      <w:r>
        <w:rPr>
          <w:rFonts w:ascii="Times New Roman" w:eastAsia="仿宋_GB2312" w:hAnsi="Times New Roman" w:cs="Times New Roman" w:hint="eastAsia"/>
          <w:sz w:val="32"/>
          <w:szCs w:val="36"/>
        </w:rPr>
        <w:t>准则</w:t>
      </w:r>
      <w:r w:rsidRPr="004F2966">
        <w:rPr>
          <w:rFonts w:ascii="Times New Roman" w:eastAsia="仿宋_GB2312" w:hAnsi="Times New Roman" w:cs="Times New Roman"/>
          <w:sz w:val="32"/>
          <w:szCs w:val="36"/>
        </w:rPr>
        <w:t>第</w:t>
      </w:r>
      <w:proofErr w:type="gramEnd"/>
      <w:r w:rsidRPr="004F2966">
        <w:rPr>
          <w:rFonts w:ascii="Times New Roman" w:eastAsia="仿宋_GB2312" w:hAnsi="Times New Roman" w:cs="Times New Roman"/>
          <w:sz w:val="32"/>
          <w:szCs w:val="36"/>
        </w:rPr>
        <w:t>BC23-BC39</w:t>
      </w:r>
      <w:r w:rsidRPr="004F2966">
        <w:rPr>
          <w:rFonts w:ascii="Times New Roman" w:eastAsia="仿宋_GB2312" w:hAnsi="Times New Roman" w:cs="Times New Roman"/>
          <w:sz w:val="32"/>
          <w:szCs w:val="36"/>
        </w:rPr>
        <w:t>段说明了理事会制定披露要求的方法和理由。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对此您是否认同？请说明您的理由。如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4</w:t>
      </w:r>
      <w:r w:rsidRPr="004F2966">
        <w:rPr>
          <w:rFonts w:ascii="Times New Roman" w:eastAsia="仿宋_GB2312" w:hAnsi="Times New Roman" w:cs="Times New Roman"/>
          <w:b/>
          <w:bCs/>
          <w:sz w:val="32"/>
          <w:szCs w:val="36"/>
        </w:rPr>
        <w:t>：方法的例外情况</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w:t>
      </w:r>
      <w:proofErr w:type="gramStart"/>
      <w:r>
        <w:rPr>
          <w:rFonts w:ascii="Times New Roman" w:eastAsia="仿宋_GB2312" w:hAnsi="Times New Roman" w:cs="Times New Roman" w:hint="eastAsia"/>
          <w:sz w:val="32"/>
          <w:szCs w:val="36"/>
        </w:rPr>
        <w:t>准则</w:t>
      </w:r>
      <w:r w:rsidRPr="004F2966">
        <w:rPr>
          <w:rFonts w:ascii="Times New Roman" w:eastAsia="仿宋_GB2312" w:hAnsi="Times New Roman" w:cs="Times New Roman"/>
          <w:sz w:val="32"/>
          <w:szCs w:val="36"/>
        </w:rPr>
        <w:t>第</w:t>
      </w:r>
      <w:proofErr w:type="gramEnd"/>
      <w:r w:rsidRPr="004F2966">
        <w:rPr>
          <w:rFonts w:ascii="Times New Roman" w:eastAsia="仿宋_GB2312" w:hAnsi="Times New Roman" w:cs="Times New Roman"/>
          <w:sz w:val="32"/>
          <w:szCs w:val="36"/>
        </w:rPr>
        <w:t>BC40-BC52</w:t>
      </w:r>
      <w:r w:rsidRPr="004F2966">
        <w:rPr>
          <w:rFonts w:ascii="Times New Roman" w:eastAsia="仿宋_GB2312" w:hAnsi="Times New Roman" w:cs="Times New Roman"/>
          <w:sz w:val="32"/>
          <w:szCs w:val="36"/>
        </w:rPr>
        <w:t>段说明了理事会制定披露要求的方法的例外情况（第</w:t>
      </w:r>
      <w:r w:rsidRPr="004F2966">
        <w:rPr>
          <w:rFonts w:ascii="Times New Roman" w:eastAsia="仿宋_GB2312" w:hAnsi="Times New Roman" w:cs="Times New Roman"/>
          <w:sz w:val="32"/>
          <w:szCs w:val="36"/>
        </w:rPr>
        <w:t>130</w:t>
      </w:r>
      <w:r w:rsidRPr="004F2966">
        <w:rPr>
          <w:rFonts w:ascii="Times New Roman" w:eastAsia="仿宋_GB2312" w:hAnsi="Times New Roman" w:cs="Times New Roman"/>
          <w:sz w:val="32"/>
          <w:szCs w:val="36"/>
        </w:rPr>
        <w:t>段除外）</w:t>
      </w:r>
      <w:r>
        <w:rPr>
          <w:rFonts w:ascii="Times New Roman" w:eastAsia="仿宋_GB2312" w:hAnsi="Times New Roman" w:cs="Times New Roman" w:hint="eastAsia"/>
          <w:sz w:val="32"/>
          <w:szCs w:val="36"/>
        </w:rPr>
        <w:t>，包括</w:t>
      </w:r>
      <w:r w:rsidRPr="004F2966">
        <w:rPr>
          <w:rFonts w:ascii="Times New Roman" w:eastAsia="仿宋_GB2312" w:hAnsi="Times New Roman" w:cs="Times New Roman"/>
          <w:sz w:val="32"/>
          <w:szCs w:val="36"/>
        </w:rPr>
        <w:t>：</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披露目标（第</w:t>
      </w:r>
      <w:r w:rsidRPr="004F2966">
        <w:rPr>
          <w:rFonts w:ascii="Times New Roman" w:eastAsia="仿宋_GB2312" w:hAnsi="Times New Roman" w:cs="Times New Roman"/>
          <w:sz w:val="32"/>
          <w:szCs w:val="36"/>
        </w:rPr>
        <w:t>BC41</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投资主体（第</w:t>
      </w:r>
      <w:r w:rsidRPr="004F2966">
        <w:rPr>
          <w:rFonts w:ascii="Times New Roman" w:eastAsia="仿宋_GB2312" w:hAnsi="Times New Roman" w:cs="Times New Roman"/>
          <w:sz w:val="32"/>
          <w:szCs w:val="36"/>
        </w:rPr>
        <w:t>BC42-BC45</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筹资活动中负债的变化（第</w:t>
      </w:r>
      <w:r w:rsidRPr="004F2966">
        <w:rPr>
          <w:rFonts w:ascii="Times New Roman" w:eastAsia="仿宋_GB2312" w:hAnsi="Times New Roman" w:cs="Times New Roman"/>
          <w:sz w:val="32"/>
          <w:szCs w:val="36"/>
        </w:rPr>
        <w:t>BC46</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矿产资源的勘探和评估（第</w:t>
      </w:r>
      <w:r w:rsidRPr="004F2966">
        <w:rPr>
          <w:rFonts w:ascii="Times New Roman" w:eastAsia="仿宋_GB2312" w:hAnsi="Times New Roman" w:cs="Times New Roman"/>
          <w:sz w:val="32"/>
          <w:szCs w:val="36"/>
        </w:rPr>
        <w:t>BC47-BC49</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确定的福利义务（第</w:t>
      </w:r>
      <w:r w:rsidRPr="004F2966">
        <w:rPr>
          <w:rFonts w:ascii="Times New Roman" w:eastAsia="仿宋_GB2312" w:hAnsi="Times New Roman" w:cs="Times New Roman"/>
          <w:sz w:val="32"/>
          <w:szCs w:val="36"/>
        </w:rPr>
        <w:t>BC50</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lastRenderedPageBreak/>
        <w:t>•</w:t>
      </w:r>
      <w:r w:rsidRPr="004F2966">
        <w:rPr>
          <w:rFonts w:ascii="Times New Roman" w:eastAsia="仿宋_GB2312" w:hAnsi="Times New Roman" w:cs="Times New Roman"/>
          <w:sz w:val="32"/>
          <w:szCs w:val="36"/>
        </w:rPr>
        <w:t>改进</w:t>
      </w:r>
      <w:r w:rsidRPr="009A4374">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中的披露要求（第</w:t>
      </w:r>
      <w:r w:rsidRPr="004F2966">
        <w:rPr>
          <w:rFonts w:ascii="Times New Roman" w:eastAsia="仿宋_GB2312" w:hAnsi="Times New Roman" w:cs="Times New Roman"/>
          <w:sz w:val="32"/>
          <w:szCs w:val="36"/>
        </w:rPr>
        <w:t>BC51</w:t>
      </w:r>
      <w:r w:rsidRPr="004F2966">
        <w:rPr>
          <w:rFonts w:ascii="Times New Roman" w:eastAsia="仿宋_GB2312" w:hAnsi="Times New Roman" w:cs="Times New Roman"/>
          <w:sz w:val="32"/>
          <w:szCs w:val="36"/>
        </w:rPr>
        <w:t>段）；</w:t>
      </w:r>
      <w:r w:rsidRPr="004F2966">
        <w:rPr>
          <w:rFonts w:ascii="Times New Roman" w:eastAsia="仿宋_GB2312" w:hAnsi="Times New Roman" w:cs="Times New Roman"/>
          <w:sz w:val="32"/>
          <w:szCs w:val="36"/>
        </w:rPr>
        <w:t xml:space="preserve"> </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《中小主体国际财务报告准则》中的额外披露要求（第</w:t>
      </w:r>
      <w:r w:rsidRPr="004F2966">
        <w:rPr>
          <w:rFonts w:ascii="Times New Roman" w:eastAsia="仿宋_GB2312" w:hAnsi="Times New Roman" w:cs="Times New Roman"/>
          <w:sz w:val="32"/>
          <w:szCs w:val="36"/>
        </w:rPr>
        <w:t>BC52</w:t>
      </w:r>
      <w:r w:rsidRPr="004F2966">
        <w:rPr>
          <w:rFonts w:ascii="Times New Roman" w:eastAsia="仿宋_GB2312" w:hAnsi="Times New Roman" w:cs="Times New Roman"/>
          <w:sz w:val="32"/>
          <w:szCs w:val="36"/>
        </w:rPr>
        <w:t>段）。</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您是否认同该例外情况？请说明您的理由。如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认同，请指出您</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认同的例外情况，并说明理由。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您对其他例外情况是否有任何建议？如若有，请提出您的建议并说明理由。</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w:t>
      </w:r>
      <w:r>
        <w:rPr>
          <w:rFonts w:ascii="Times New Roman" w:eastAsia="仿宋_GB2312" w:hAnsi="Times New Roman" w:cs="Times New Roman" w:hint="eastAsia"/>
          <w:sz w:val="32"/>
          <w:szCs w:val="36"/>
        </w:rPr>
        <w:t>b</w:t>
      </w:r>
      <w:r w:rsidRPr="004F2966">
        <w:rPr>
          <w:rFonts w:ascii="Times New Roman" w:eastAsia="仿宋_GB2312" w:hAnsi="Times New Roman" w:cs="Times New Roman"/>
          <w:sz w:val="32"/>
          <w:szCs w:val="36"/>
        </w:rPr>
        <w:t>)</w:t>
      </w:r>
      <w:r w:rsidRPr="003940B7">
        <w:rPr>
          <w:rFonts w:ascii="Times New Roman" w:eastAsia="仿宋_GB2312" w:hAnsi="Times New Roman" w:cs="Times New Roman" w:hint="eastAsia"/>
          <w:sz w:val="32"/>
          <w:szCs w:val="36"/>
        </w:rPr>
        <w:t xml:space="preserve"> </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130</w:t>
      </w:r>
      <w:r w:rsidRPr="004F2966">
        <w:rPr>
          <w:rFonts w:ascii="Times New Roman" w:eastAsia="仿宋_GB2312" w:hAnsi="Times New Roman" w:cs="Times New Roman"/>
          <w:sz w:val="32"/>
          <w:szCs w:val="36"/>
        </w:rPr>
        <w:t>段建议，主体应在财务报表中披露因筹资活动而产生的负债的期初余额和期末余额之间的对账情况。披露的要求是《国际会计准则第</w:t>
      </w:r>
      <w:r w:rsidRPr="004F2966">
        <w:rPr>
          <w:rFonts w:ascii="Times New Roman" w:eastAsia="仿宋_GB2312" w:hAnsi="Times New Roman" w:cs="Times New Roman"/>
          <w:sz w:val="32"/>
          <w:szCs w:val="36"/>
        </w:rPr>
        <w:t>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2"/>
        </w:rPr>
        <w:t>——</w:t>
      </w:r>
      <w:r w:rsidRPr="004F2966">
        <w:rPr>
          <w:rFonts w:ascii="Times New Roman" w:eastAsia="仿宋_GB2312" w:hAnsi="Times New Roman" w:cs="Times New Roman"/>
          <w:sz w:val="32"/>
          <w:szCs w:val="36"/>
        </w:rPr>
        <w:t>现金流量表》第</w:t>
      </w:r>
      <w:r w:rsidRPr="004F2966">
        <w:rPr>
          <w:rFonts w:ascii="Times New Roman" w:eastAsia="仿宋_GB2312" w:hAnsi="Times New Roman" w:cs="Times New Roman"/>
          <w:sz w:val="32"/>
          <w:szCs w:val="36"/>
        </w:rPr>
        <w:t>44A-44E</w:t>
      </w:r>
      <w:r w:rsidRPr="004F2966">
        <w:rPr>
          <w:rFonts w:ascii="Times New Roman" w:eastAsia="仿宋_GB2312" w:hAnsi="Times New Roman" w:cs="Times New Roman"/>
          <w:sz w:val="32"/>
          <w:szCs w:val="36"/>
        </w:rPr>
        <w:t>段的简化版本。</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(i)</w:t>
      </w:r>
      <w:r w:rsidRPr="004F2966">
        <w:rPr>
          <w:rFonts w:ascii="Times New Roman" w:eastAsia="仿宋_GB2312" w:hAnsi="Times New Roman" w:cs="Times New Roman"/>
          <w:sz w:val="32"/>
          <w:szCs w:val="36"/>
        </w:rPr>
        <w:t>符合条件的</w:t>
      </w:r>
      <w:r>
        <w:rPr>
          <w:rFonts w:ascii="Times New Roman" w:eastAsia="仿宋_GB2312" w:hAnsi="Times New Roman" w:cs="Times New Roman"/>
          <w:sz w:val="32"/>
          <w:szCs w:val="36"/>
        </w:rPr>
        <w:t>、</w:t>
      </w:r>
      <w:r>
        <w:rPr>
          <w:rFonts w:ascii="Times New Roman" w:eastAsia="仿宋_GB2312" w:hAnsi="Times New Roman" w:cs="Times New Roman" w:hint="eastAsia"/>
          <w:sz w:val="32"/>
          <w:szCs w:val="36"/>
        </w:rPr>
        <w:t>采用该准则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130</w:t>
      </w:r>
      <w:r w:rsidRPr="004F2966">
        <w:rPr>
          <w:rFonts w:ascii="Times New Roman" w:eastAsia="仿宋_GB2312" w:hAnsi="Times New Roman" w:cs="Times New Roman"/>
          <w:sz w:val="32"/>
          <w:szCs w:val="36"/>
        </w:rPr>
        <w:t>段的子公司在其财务报表中报告的信息，是否不同于它向其母公司报告的信息（根据《国际财务报告准则第</w:t>
      </w:r>
      <w:r w:rsidRPr="004F2966">
        <w:rPr>
          <w:rFonts w:ascii="Times New Roman" w:eastAsia="仿宋_GB2312" w:hAnsi="Times New Roman" w:cs="Times New Roman"/>
          <w:sz w:val="32"/>
          <w:szCs w:val="36"/>
        </w:rPr>
        <w:t>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金融工具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披露》第</w:t>
      </w:r>
      <w:r w:rsidRPr="004F2966">
        <w:rPr>
          <w:rFonts w:ascii="Times New Roman" w:eastAsia="仿宋_GB2312" w:hAnsi="Times New Roman" w:cs="Times New Roman"/>
          <w:sz w:val="32"/>
          <w:szCs w:val="36"/>
        </w:rPr>
        <w:t>44A-44E</w:t>
      </w:r>
      <w:r w:rsidRPr="004F2966">
        <w:rPr>
          <w:rFonts w:ascii="Times New Roman" w:eastAsia="仿宋_GB2312" w:hAnsi="Times New Roman" w:cs="Times New Roman"/>
          <w:sz w:val="32"/>
          <w:szCs w:val="36"/>
        </w:rPr>
        <w:t>段的要求），以便其母公司可以编制合并财务报表？如若是，在哪些方面有所不同？</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(ii)</w:t>
      </w:r>
      <w:r w:rsidRPr="004F2966">
        <w:rPr>
          <w:rFonts w:ascii="Times New Roman" w:eastAsia="仿宋_GB2312" w:hAnsi="Times New Roman" w:cs="Times New Roman"/>
          <w:sz w:val="32"/>
          <w:szCs w:val="36"/>
        </w:rPr>
        <w:t>根据您的经验，为满足《国际会计准则第</w:t>
      </w:r>
      <w:r w:rsidRPr="004F2966">
        <w:rPr>
          <w:rFonts w:ascii="Times New Roman" w:eastAsia="仿宋_GB2312" w:hAnsi="Times New Roman" w:cs="Times New Roman"/>
          <w:sz w:val="32"/>
          <w:szCs w:val="36"/>
        </w:rPr>
        <w:t>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现金流量表》第</w:t>
      </w:r>
      <w:r w:rsidRPr="004F2966">
        <w:rPr>
          <w:rFonts w:ascii="Times New Roman" w:eastAsia="仿宋_GB2312" w:hAnsi="Times New Roman" w:cs="Times New Roman"/>
          <w:sz w:val="32"/>
          <w:szCs w:val="36"/>
        </w:rPr>
        <w:t>44A-44E</w:t>
      </w:r>
      <w:r w:rsidRPr="004F2966">
        <w:rPr>
          <w:rFonts w:ascii="Times New Roman" w:eastAsia="仿宋_GB2312" w:hAnsi="Times New Roman" w:cs="Times New Roman"/>
          <w:sz w:val="32"/>
          <w:szCs w:val="36"/>
        </w:rPr>
        <w:t>段的要求，合并财务报表是否通常包括了期初余额和期末余额之间的对账，以反映筹资活动产生的负债的财务状况？</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5</w:t>
      </w:r>
      <w:r w:rsidRPr="004F2966">
        <w:rPr>
          <w:rFonts w:ascii="Times New Roman" w:eastAsia="仿宋_GB2312" w:hAnsi="Times New Roman" w:cs="Times New Roman"/>
          <w:b/>
          <w:bCs/>
          <w:sz w:val="32"/>
          <w:szCs w:val="36"/>
        </w:rPr>
        <w:t>：关于过渡到其他《国际财务报告准则》中的披露要求</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lastRenderedPageBreak/>
        <w:t>《国际财务报告准则》或其修订中规定的关于主体过渡到该准则或其修订的任何披露要求仍然适用。第</w:t>
      </w:r>
      <w:r w:rsidRPr="004F2966">
        <w:rPr>
          <w:rFonts w:ascii="Times New Roman" w:eastAsia="仿宋_GB2312" w:hAnsi="Times New Roman" w:cs="Times New Roman"/>
          <w:sz w:val="32"/>
          <w:szCs w:val="36"/>
        </w:rPr>
        <w:t>BC57-BC59</w:t>
      </w:r>
      <w:r w:rsidRPr="004F2966">
        <w:rPr>
          <w:rFonts w:ascii="Times New Roman" w:eastAsia="仿宋_GB2312" w:hAnsi="Times New Roman" w:cs="Times New Roman"/>
          <w:sz w:val="32"/>
          <w:szCs w:val="36"/>
        </w:rPr>
        <w:t>段说明了理事会提出这些提议的理由。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您是否认同这些提议？请说明您的理由。如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6</w:t>
      </w:r>
      <w:r w:rsidRPr="004F2966">
        <w:rPr>
          <w:rFonts w:ascii="Times New Roman" w:eastAsia="仿宋_GB2312" w:hAnsi="Times New Roman" w:cs="Times New Roman"/>
          <w:b/>
          <w:bCs/>
          <w:sz w:val="32"/>
          <w:szCs w:val="36"/>
        </w:rPr>
        <w:t>：有关保险合同的披露要求</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不建议</w:t>
      </w:r>
      <w:r>
        <w:rPr>
          <w:rFonts w:ascii="Times New Roman" w:eastAsia="仿宋_GB2312" w:hAnsi="Times New Roman" w:cs="Times New Roman" w:hint="eastAsia"/>
          <w:sz w:val="32"/>
          <w:szCs w:val="36"/>
        </w:rPr>
        <w:t>简化</w:t>
      </w:r>
      <w:r w:rsidRPr="004F2966">
        <w:rPr>
          <w:rFonts w:ascii="Times New Roman" w:eastAsia="仿宋_GB2312" w:hAnsi="Times New Roman" w:cs="Times New Roman"/>
          <w:sz w:val="32"/>
          <w:szCs w:val="36"/>
        </w:rPr>
        <w:t>《国际财务报告准则第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保险合同》中的披露要求。因此，采用该准则和《国际财务报告准则第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保险合同》的主体仍需遵守《国际财务报告准则第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保险合同》中的披露要求。第</w:t>
      </w:r>
      <w:r w:rsidRPr="004F2966">
        <w:rPr>
          <w:rFonts w:ascii="Times New Roman" w:eastAsia="仿宋_GB2312" w:hAnsi="Times New Roman" w:cs="Times New Roman"/>
          <w:sz w:val="32"/>
          <w:szCs w:val="36"/>
        </w:rPr>
        <w:t>BC61-BC64</w:t>
      </w:r>
      <w:r w:rsidRPr="004F2966">
        <w:rPr>
          <w:rFonts w:ascii="Times New Roman" w:eastAsia="仿宋_GB2312" w:hAnsi="Times New Roman" w:cs="Times New Roman"/>
          <w:sz w:val="32"/>
          <w:szCs w:val="36"/>
        </w:rPr>
        <w:t>段说明了理事会不建议</w:t>
      </w:r>
      <w:r>
        <w:rPr>
          <w:rFonts w:ascii="Times New Roman" w:eastAsia="仿宋_GB2312" w:hAnsi="Times New Roman" w:cs="Times New Roman" w:hint="eastAsia"/>
          <w:sz w:val="32"/>
          <w:szCs w:val="36"/>
        </w:rPr>
        <w:t>简化</w:t>
      </w:r>
      <w:r w:rsidRPr="004F2966">
        <w:rPr>
          <w:rFonts w:ascii="Times New Roman" w:eastAsia="仿宋_GB2312" w:hAnsi="Times New Roman" w:cs="Times New Roman"/>
          <w:sz w:val="32"/>
          <w:szCs w:val="36"/>
        </w:rPr>
        <w:t>《国际财务报告准则第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保险合同》中的披露要求的原因。</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您是否认同</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不应在《国际财务报告准则第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保险合同》的范围内</w:t>
      </w:r>
      <w:r>
        <w:rPr>
          <w:rFonts w:ascii="Times New Roman" w:eastAsia="仿宋_GB2312" w:hAnsi="Times New Roman" w:cs="Times New Roman" w:hint="eastAsia"/>
          <w:sz w:val="32"/>
          <w:szCs w:val="36"/>
        </w:rPr>
        <w:t>简化</w:t>
      </w:r>
      <w:r w:rsidRPr="004F2966">
        <w:rPr>
          <w:rFonts w:ascii="Times New Roman" w:eastAsia="仿宋_GB2312" w:hAnsi="Times New Roman" w:cs="Times New Roman"/>
          <w:sz w:val="32"/>
          <w:szCs w:val="36"/>
        </w:rPr>
        <w:t>披露要求？请说明您的理由。如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认同，请提出采用该准则的主体应免除《国际财务报告准则第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保险合同》中的哪些披露要求，并说明理由。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(b)</w:t>
      </w:r>
      <w:r w:rsidRPr="004F2966">
        <w:rPr>
          <w:rFonts w:ascii="Times New Roman" w:eastAsia="仿宋_GB2312" w:hAnsi="Times New Roman" w:cs="Times New Roman"/>
          <w:sz w:val="32"/>
          <w:szCs w:val="36"/>
        </w:rPr>
        <w:t>您是否知道有在《国际财务报告准则第</w:t>
      </w:r>
      <w:r w:rsidRPr="004F2966">
        <w:rPr>
          <w:rFonts w:ascii="Times New Roman" w:eastAsia="仿宋_GB2312" w:hAnsi="Times New Roman" w:cs="Times New Roman"/>
          <w:sz w:val="32"/>
          <w:szCs w:val="36"/>
        </w:rPr>
        <w:t xml:space="preserve"> 17</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保险合同》范围内发布保险合同并有资格采用</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的主体？如若有，请说明此类主体在您</w:t>
      </w:r>
      <w:r>
        <w:rPr>
          <w:rFonts w:ascii="Times New Roman" w:eastAsia="仿宋_GB2312" w:hAnsi="Times New Roman" w:cs="Times New Roman" w:hint="eastAsia"/>
          <w:sz w:val="32"/>
          <w:szCs w:val="36"/>
        </w:rPr>
        <w:t>所在</w:t>
      </w:r>
      <w:r w:rsidRPr="004F2966">
        <w:rPr>
          <w:rFonts w:ascii="Times New Roman" w:eastAsia="仿宋_GB2312" w:hAnsi="Times New Roman" w:cs="Times New Roman"/>
          <w:sz w:val="32"/>
          <w:szCs w:val="36"/>
        </w:rPr>
        <w:t>的</w:t>
      </w:r>
      <w:r>
        <w:rPr>
          <w:rFonts w:ascii="Times New Roman" w:eastAsia="仿宋_GB2312" w:hAnsi="Times New Roman" w:cs="Times New Roman" w:hint="eastAsia"/>
          <w:sz w:val="32"/>
          <w:szCs w:val="36"/>
        </w:rPr>
        <w:t>国家或地区</w:t>
      </w:r>
      <w:r w:rsidRPr="004F2966">
        <w:rPr>
          <w:rFonts w:ascii="Times New Roman" w:eastAsia="仿宋_GB2312" w:hAnsi="Times New Roman" w:cs="Times New Roman"/>
          <w:sz w:val="32"/>
          <w:szCs w:val="36"/>
        </w:rPr>
        <w:t>是否常见，以及它们被视为非公共受托责任主体的理由。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7</w:t>
      </w:r>
      <w:r w:rsidRPr="004F2966">
        <w:rPr>
          <w:rFonts w:ascii="Times New Roman" w:eastAsia="仿宋_GB2312" w:hAnsi="Times New Roman" w:cs="Times New Roman"/>
          <w:b/>
          <w:bCs/>
          <w:sz w:val="32"/>
          <w:szCs w:val="36"/>
        </w:rPr>
        <w:t>：与《国际财务报告准则第</w:t>
      </w:r>
      <w:r w:rsidRPr="004F2966">
        <w:rPr>
          <w:rFonts w:ascii="Times New Roman" w:eastAsia="仿宋_GB2312" w:hAnsi="Times New Roman" w:cs="Times New Roman"/>
          <w:b/>
          <w:bCs/>
          <w:sz w:val="32"/>
          <w:szCs w:val="36"/>
        </w:rPr>
        <w:t>1</w:t>
      </w:r>
      <w:r w:rsidRPr="004F2966">
        <w:rPr>
          <w:rFonts w:ascii="Times New Roman" w:eastAsia="仿宋_GB2312" w:hAnsi="Times New Roman" w:cs="Times New Roman"/>
          <w:b/>
          <w:bCs/>
          <w:sz w:val="32"/>
          <w:szCs w:val="36"/>
        </w:rPr>
        <w:t>号</w:t>
      </w:r>
      <w:r w:rsidRPr="004F2966">
        <w:rPr>
          <w:rFonts w:ascii="Times New Roman" w:eastAsia="仿宋_GB2312" w:hAnsi="Times New Roman" w:cs="Times New Roman"/>
          <w:b/>
          <w:bCs/>
          <w:sz w:val="32"/>
          <w:szCs w:val="36"/>
        </w:rPr>
        <w:t>——</w:t>
      </w:r>
      <w:r w:rsidRPr="004F2966">
        <w:rPr>
          <w:rFonts w:ascii="Times New Roman" w:eastAsia="仿宋_GB2312" w:hAnsi="Times New Roman" w:cs="Times New Roman"/>
          <w:b/>
          <w:bCs/>
          <w:sz w:val="32"/>
          <w:szCs w:val="36"/>
        </w:rPr>
        <w:t>首次采用国</w:t>
      </w:r>
      <w:r w:rsidRPr="004F2966">
        <w:rPr>
          <w:rFonts w:ascii="Times New Roman" w:eastAsia="仿宋_GB2312" w:hAnsi="Times New Roman" w:cs="Times New Roman"/>
          <w:b/>
          <w:bCs/>
          <w:sz w:val="32"/>
          <w:szCs w:val="36"/>
        </w:rPr>
        <w:lastRenderedPageBreak/>
        <w:t>际财务报告准则》的相互作用</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23-30</w:t>
      </w:r>
      <w:r w:rsidRPr="004F2966">
        <w:rPr>
          <w:rFonts w:ascii="Times New Roman" w:eastAsia="仿宋_GB2312" w:hAnsi="Times New Roman" w:cs="Times New Roman"/>
          <w:sz w:val="32"/>
          <w:szCs w:val="36"/>
        </w:rPr>
        <w:t>段提议减少披露要求，适用于</w:t>
      </w:r>
      <w:r>
        <w:rPr>
          <w:rFonts w:ascii="Times New Roman" w:eastAsia="仿宋_GB2312" w:hAnsi="Times New Roman" w:cs="Times New Roman" w:hint="eastAsia"/>
          <w:sz w:val="32"/>
          <w:szCs w:val="36"/>
        </w:rPr>
        <w:t>首次采用</w:t>
      </w:r>
      <w:r w:rsidRPr="00332AB9">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并在编制财务报表时已选择采用该准则的主体。如果</w:t>
      </w:r>
      <w:r w:rsidRPr="00822B89">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的首次采用者选择采用</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，主体将：</w:t>
      </w:r>
    </w:p>
    <w:p w:rsidR="0084316D" w:rsidRPr="004F2966" w:rsidRDefault="0084316D" w:rsidP="0084316D">
      <w:pPr>
        <w:ind w:firstLineChars="200" w:firstLine="643"/>
        <w:rPr>
          <w:rFonts w:ascii="Times New Roman" w:eastAsia="仿宋_GB2312" w:hAnsi="Times New Roman" w:cs="Times New Roman"/>
          <w:sz w:val="32"/>
          <w:szCs w:val="36"/>
        </w:rPr>
      </w:pPr>
      <w:r w:rsidRPr="00CF3916">
        <w:rPr>
          <w:rFonts w:ascii="Times New Roman" w:eastAsia="仿宋_GB2312" w:hAnsi="Times New Roman" w:cs="Times New Roman" w:hint="eastAsia"/>
          <w:b/>
          <w:sz w:val="32"/>
          <w:szCs w:val="36"/>
        </w:rPr>
        <w:t>一是</w:t>
      </w:r>
      <w:r w:rsidRPr="004F2966">
        <w:rPr>
          <w:rFonts w:ascii="Times New Roman" w:eastAsia="仿宋_GB2312" w:hAnsi="Times New Roman" w:cs="Times New Roman"/>
          <w:sz w:val="32"/>
          <w:szCs w:val="36"/>
        </w:rPr>
        <w:t>采用《国际财务报告准则第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首次采用国际财务报告准则》，但</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附录</w:t>
      </w: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A1(a)</w:t>
      </w:r>
      <w:r w:rsidRPr="004F2966">
        <w:rPr>
          <w:rFonts w:ascii="Times New Roman" w:eastAsia="仿宋_GB2312" w:hAnsi="Times New Roman" w:cs="Times New Roman"/>
          <w:sz w:val="32"/>
          <w:szCs w:val="36"/>
        </w:rPr>
        <w:t>段所列《国际财务报告准则第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首次采用国际财务报告准则》的披露要求除外；</w:t>
      </w:r>
      <w:r w:rsidRPr="00CF3916">
        <w:rPr>
          <w:rFonts w:ascii="Times New Roman" w:eastAsia="仿宋_GB2312" w:hAnsi="Times New Roman" w:cs="Times New Roman" w:hint="eastAsia"/>
          <w:b/>
          <w:sz w:val="32"/>
          <w:szCs w:val="36"/>
        </w:rPr>
        <w:t>二是</w:t>
      </w:r>
      <w:r w:rsidRPr="004F2966">
        <w:rPr>
          <w:rFonts w:ascii="Times New Roman" w:eastAsia="仿宋_GB2312" w:hAnsi="Times New Roman" w:cs="Times New Roman"/>
          <w:sz w:val="32"/>
          <w:szCs w:val="36"/>
        </w:rPr>
        <w:t>采用</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23-30</w:t>
      </w:r>
      <w:r w:rsidRPr="004F2966">
        <w:rPr>
          <w:rFonts w:ascii="Times New Roman" w:eastAsia="仿宋_GB2312" w:hAnsi="Times New Roman" w:cs="Times New Roman"/>
          <w:sz w:val="32"/>
          <w:szCs w:val="36"/>
        </w:rPr>
        <w:t>段中的披露要求。这种方法与理事会关于</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如何与其他《国际财务报告准则》相互</w:t>
      </w:r>
      <w:r>
        <w:rPr>
          <w:rFonts w:ascii="Times New Roman" w:eastAsia="仿宋_GB2312" w:hAnsi="Times New Roman" w:cs="Times New Roman" w:hint="eastAsia"/>
          <w:sz w:val="32"/>
          <w:szCs w:val="36"/>
        </w:rPr>
        <w:t>作用</w:t>
      </w:r>
      <w:r w:rsidRPr="004F2966">
        <w:rPr>
          <w:rFonts w:ascii="Times New Roman" w:eastAsia="仿宋_GB2312" w:hAnsi="Times New Roman" w:cs="Times New Roman"/>
          <w:sz w:val="32"/>
          <w:szCs w:val="36"/>
        </w:rPr>
        <w:t>的提议一致。</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然而，《国际财务报告准则第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首次采用国际财务报告准则》与其他《国际财务报告准则》不同</w:t>
      </w:r>
      <w:r>
        <w:rPr>
          <w:rFonts w:ascii="Times New Roman" w:eastAsia="仿宋_GB2312" w:hAnsi="Times New Roman" w:cs="Times New Roman" w:hint="eastAsia"/>
          <w:sz w:val="32"/>
          <w:szCs w:val="36"/>
        </w:rPr>
        <w:t>，《</w:t>
      </w:r>
      <w:r w:rsidRPr="004F2966">
        <w:rPr>
          <w:rFonts w:ascii="Times New Roman" w:eastAsia="仿宋_GB2312" w:hAnsi="Times New Roman" w:cs="Times New Roman"/>
          <w:sz w:val="32"/>
          <w:szCs w:val="36"/>
        </w:rPr>
        <w:t>国际财务报告准则第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号</w:t>
      </w:r>
      <w:r>
        <w:rPr>
          <w:rFonts w:ascii="Times New Roman" w:eastAsia="仿宋_GB2312" w:hAnsi="Times New Roman" w:cs="Times New Roman" w:hint="eastAsia"/>
          <w:sz w:val="32"/>
          <w:szCs w:val="36"/>
        </w:rPr>
        <w:t>》</w:t>
      </w:r>
      <w:r w:rsidRPr="004F2966">
        <w:rPr>
          <w:rFonts w:ascii="Times New Roman" w:eastAsia="仿宋_GB2312" w:hAnsi="Times New Roman" w:cs="Times New Roman"/>
          <w:sz w:val="32"/>
          <w:szCs w:val="36"/>
        </w:rPr>
        <w:t>仅适用于主体首次采用《国际财务报告准则》并规定了</w:t>
      </w:r>
      <w:r>
        <w:rPr>
          <w:rFonts w:ascii="Times New Roman" w:eastAsia="仿宋_GB2312" w:hAnsi="Times New Roman" w:cs="Times New Roman" w:hint="eastAsia"/>
          <w:sz w:val="32"/>
          <w:szCs w:val="36"/>
        </w:rPr>
        <w:t>主体</w:t>
      </w:r>
      <w:r w:rsidRPr="004F2966">
        <w:rPr>
          <w:rFonts w:ascii="Times New Roman" w:eastAsia="仿宋_GB2312" w:hAnsi="Times New Roman" w:cs="Times New Roman"/>
          <w:sz w:val="32"/>
          <w:szCs w:val="36"/>
        </w:rPr>
        <w:t>应如何进行过渡。</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您是否认同在</w:t>
      </w:r>
      <w:r>
        <w:rPr>
          <w:rFonts w:ascii="Times New Roman" w:eastAsia="仿宋_GB2312" w:hAnsi="Times New Roman" w:cs="Times New Roman" w:hint="eastAsia"/>
          <w:sz w:val="32"/>
          <w:szCs w:val="36"/>
        </w:rPr>
        <w:t>该准则</w:t>
      </w:r>
      <w:r>
        <w:rPr>
          <w:rFonts w:ascii="Times New Roman" w:eastAsia="仿宋_GB2312" w:hAnsi="Times New Roman" w:cs="Times New Roman"/>
          <w:sz w:val="32"/>
          <w:szCs w:val="36"/>
        </w:rPr>
        <w:t>中</w:t>
      </w:r>
      <w:r>
        <w:rPr>
          <w:rFonts w:ascii="Times New Roman" w:eastAsia="仿宋_GB2312" w:hAnsi="Times New Roman" w:cs="Times New Roman" w:hint="eastAsia"/>
          <w:sz w:val="32"/>
          <w:szCs w:val="36"/>
        </w:rPr>
        <w:t>包括</w:t>
      </w:r>
      <w:r w:rsidRPr="004F2966">
        <w:rPr>
          <w:rFonts w:ascii="Times New Roman" w:eastAsia="仿宋_GB2312" w:hAnsi="Times New Roman" w:cs="Times New Roman"/>
          <w:sz w:val="32"/>
          <w:szCs w:val="36"/>
        </w:rPr>
        <w:t>《国际财务报告准则第</w:t>
      </w:r>
      <w:r w:rsidRPr="004F2966">
        <w:rPr>
          <w:rFonts w:ascii="Times New Roman" w:eastAsia="仿宋_GB2312" w:hAnsi="Times New Roman" w:cs="Times New Roman"/>
          <w:sz w:val="32"/>
          <w:szCs w:val="36"/>
        </w:rPr>
        <w:t>1</w:t>
      </w:r>
      <w:r w:rsidRPr="009038C6">
        <w:rPr>
          <w:rFonts w:ascii="Times New Roman" w:eastAsia="仿宋_GB2312" w:hAnsi="Times New Roman" w:cs="Times New Roman"/>
          <w:sz w:val="32"/>
          <w:szCs w:val="36"/>
        </w:rPr>
        <w:t>号</w:t>
      </w:r>
      <w:r w:rsidRPr="009038C6">
        <w:rPr>
          <w:rFonts w:ascii="Times New Roman" w:eastAsia="仿宋_GB2312" w:hAnsi="Times New Roman" w:cs="Times New Roman"/>
          <w:sz w:val="32"/>
          <w:szCs w:val="36"/>
        </w:rPr>
        <w:t>——</w:t>
      </w:r>
      <w:r w:rsidRPr="009038C6">
        <w:rPr>
          <w:rFonts w:ascii="Times New Roman" w:eastAsia="仿宋_GB2312" w:hAnsi="Times New Roman" w:cs="Times New Roman"/>
          <w:sz w:val="32"/>
          <w:szCs w:val="36"/>
        </w:rPr>
        <w:t>首次采用国际财务报告准则》</w:t>
      </w:r>
      <w:r w:rsidRPr="009038C6">
        <w:rPr>
          <w:rFonts w:ascii="Times New Roman" w:eastAsia="仿宋_GB2312" w:hAnsi="Times New Roman" w:cs="Times New Roman" w:hint="eastAsia"/>
          <w:sz w:val="32"/>
          <w:szCs w:val="36"/>
        </w:rPr>
        <w:t>的简化披露要求，而非在《国际财务报告准则第</w:t>
      </w:r>
      <w:r w:rsidRPr="009038C6">
        <w:rPr>
          <w:rFonts w:ascii="Times New Roman" w:eastAsia="仿宋_GB2312" w:hAnsi="Times New Roman" w:cs="Times New Roman"/>
          <w:sz w:val="32"/>
          <w:szCs w:val="36"/>
        </w:rPr>
        <w:t>1</w:t>
      </w:r>
      <w:r w:rsidRPr="009038C6">
        <w:rPr>
          <w:rFonts w:ascii="Times New Roman" w:eastAsia="仿宋_GB2312" w:hAnsi="Times New Roman" w:cs="Times New Roman" w:hint="eastAsia"/>
          <w:sz w:val="32"/>
          <w:szCs w:val="36"/>
        </w:rPr>
        <w:t>号</w:t>
      </w:r>
      <w:r w:rsidRPr="009038C6">
        <w:rPr>
          <w:rFonts w:ascii="Times New Roman" w:eastAsia="仿宋_GB2312" w:hAnsi="Times New Roman" w:cs="Times New Roman"/>
          <w:sz w:val="32"/>
          <w:szCs w:val="36"/>
        </w:rPr>
        <w:t>——</w:t>
      </w:r>
      <w:r w:rsidRPr="009038C6">
        <w:rPr>
          <w:rFonts w:ascii="Times New Roman" w:eastAsia="仿宋_GB2312" w:hAnsi="Times New Roman" w:cs="Times New Roman" w:hint="eastAsia"/>
          <w:sz w:val="32"/>
          <w:szCs w:val="36"/>
        </w:rPr>
        <w:t>首次采用国际财务报告准则》中保留这些披露要求？</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12-14</w:t>
      </w:r>
      <w:r w:rsidRPr="004F2966">
        <w:rPr>
          <w:rFonts w:ascii="Times New Roman" w:eastAsia="仿宋_GB2312" w:hAnsi="Times New Roman" w:cs="Times New Roman"/>
          <w:sz w:val="32"/>
          <w:szCs w:val="36"/>
        </w:rPr>
        <w:t>段说明了与《国际财务报告准则第</w:t>
      </w:r>
      <w:r w:rsidRPr="004F2966">
        <w:rPr>
          <w:rFonts w:ascii="Times New Roman" w:eastAsia="仿宋_GB2312" w:hAnsi="Times New Roman" w:cs="Times New Roman"/>
          <w:sz w:val="32"/>
          <w:szCs w:val="36"/>
        </w:rPr>
        <w:t>1</w:t>
      </w:r>
      <w:r w:rsidRPr="004F2966">
        <w:rPr>
          <w:rFonts w:ascii="Times New Roman" w:eastAsia="仿宋_GB2312" w:hAnsi="Times New Roman" w:cs="Times New Roman"/>
          <w:sz w:val="32"/>
          <w:szCs w:val="36"/>
        </w:rPr>
        <w:t>号</w:t>
      </w:r>
      <w:r w:rsidRPr="004F2966">
        <w:rPr>
          <w:rFonts w:ascii="Times New Roman" w:eastAsia="仿宋_GB2312" w:hAnsi="Times New Roman" w:cs="Times New Roman"/>
          <w:sz w:val="32"/>
          <w:szCs w:val="36"/>
        </w:rPr>
        <w:t>——</w:t>
      </w:r>
      <w:r w:rsidRPr="004F2966">
        <w:rPr>
          <w:rFonts w:ascii="Times New Roman" w:eastAsia="仿宋_GB2312" w:hAnsi="Times New Roman" w:cs="Times New Roman"/>
          <w:sz w:val="32"/>
          <w:szCs w:val="36"/>
        </w:rPr>
        <w:t>首次采用国际财务报告准则》之间的关系。</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(b)</w:t>
      </w:r>
      <w:r w:rsidRPr="004F2966">
        <w:rPr>
          <w:rFonts w:ascii="Times New Roman" w:eastAsia="仿宋_GB2312" w:hAnsi="Times New Roman" w:cs="Times New Roman"/>
          <w:sz w:val="32"/>
          <w:szCs w:val="36"/>
        </w:rPr>
        <w:t>您是否认同</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12-14</w:t>
      </w:r>
      <w:r w:rsidRPr="004F2966">
        <w:rPr>
          <w:rFonts w:ascii="Times New Roman" w:eastAsia="仿宋_GB2312" w:hAnsi="Times New Roman" w:cs="Times New Roman"/>
          <w:sz w:val="32"/>
          <w:szCs w:val="36"/>
        </w:rPr>
        <w:t>段中的建议？请说明您的</w:t>
      </w:r>
      <w:r w:rsidRPr="004F2966">
        <w:rPr>
          <w:rFonts w:ascii="Times New Roman" w:eastAsia="仿宋_GB2312" w:hAnsi="Times New Roman" w:cs="Times New Roman"/>
          <w:sz w:val="32"/>
          <w:szCs w:val="36"/>
        </w:rPr>
        <w:lastRenderedPageBreak/>
        <w:t>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8</w:t>
      </w:r>
      <w:r w:rsidRPr="004F2966">
        <w:rPr>
          <w:rFonts w:ascii="Times New Roman" w:eastAsia="仿宋_GB2312" w:hAnsi="Times New Roman" w:cs="Times New Roman"/>
          <w:b/>
          <w:bCs/>
          <w:sz w:val="32"/>
          <w:szCs w:val="36"/>
        </w:rPr>
        <w:t>：建议的披露要求</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22-213</w:t>
      </w:r>
      <w:r w:rsidRPr="004F2966">
        <w:rPr>
          <w:rFonts w:ascii="Times New Roman" w:eastAsia="仿宋_GB2312" w:hAnsi="Times New Roman" w:cs="Times New Roman"/>
          <w:sz w:val="32"/>
          <w:szCs w:val="36"/>
        </w:rPr>
        <w:t>段规定了</w:t>
      </w:r>
      <w:r>
        <w:rPr>
          <w:rFonts w:ascii="Times New Roman" w:eastAsia="仿宋_GB2312" w:hAnsi="Times New Roman" w:cs="Times New Roman" w:hint="eastAsia"/>
          <w:sz w:val="32"/>
          <w:szCs w:val="36"/>
        </w:rPr>
        <w:t>采用</w:t>
      </w:r>
      <w:r w:rsidRPr="004F2966">
        <w:rPr>
          <w:rFonts w:ascii="Times New Roman" w:eastAsia="仿宋_GB2312" w:hAnsi="Times New Roman" w:cs="Times New Roman"/>
          <w:sz w:val="32"/>
          <w:szCs w:val="36"/>
        </w:rPr>
        <w:t>该准则的主体的披露要求。除了您对问题</w:t>
      </w:r>
      <w:r w:rsidRPr="004F2966">
        <w:rPr>
          <w:rFonts w:ascii="Times New Roman" w:eastAsia="仿宋_GB2312" w:hAnsi="Times New Roman" w:cs="Times New Roman"/>
          <w:sz w:val="32"/>
          <w:szCs w:val="36"/>
        </w:rPr>
        <w:t>4</w:t>
      </w:r>
      <w:r w:rsidRPr="004F2966">
        <w:rPr>
          <w:rFonts w:ascii="Times New Roman" w:eastAsia="仿宋_GB2312" w:hAnsi="Times New Roman" w:cs="Times New Roman"/>
          <w:sz w:val="32"/>
          <w:szCs w:val="36"/>
        </w:rPr>
        <w:t>至</w:t>
      </w:r>
      <w:r w:rsidRPr="004F2966">
        <w:rPr>
          <w:rFonts w:ascii="Times New Roman" w:eastAsia="仿宋_GB2312" w:hAnsi="Times New Roman" w:cs="Times New Roman"/>
          <w:sz w:val="32"/>
          <w:szCs w:val="36"/>
        </w:rPr>
        <w:t>7</w:t>
      </w:r>
      <w:r w:rsidRPr="004F2966">
        <w:rPr>
          <w:rFonts w:ascii="Times New Roman" w:eastAsia="仿宋_GB2312" w:hAnsi="Times New Roman" w:cs="Times New Roman"/>
          <w:sz w:val="32"/>
          <w:szCs w:val="36"/>
        </w:rPr>
        <w:t>的回答：</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您是否认同这些提议？请说明您的理由。如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认同，请指出您</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认同的提议，并说明理由。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(b)</w:t>
      </w:r>
      <w:r>
        <w:rPr>
          <w:rFonts w:ascii="Times New Roman" w:eastAsia="仿宋_GB2312" w:hAnsi="Times New Roman" w:cs="Times New Roman"/>
          <w:sz w:val="32"/>
          <w:szCs w:val="36"/>
        </w:rPr>
        <w:t>您是否建议进一步降低</w:t>
      </w:r>
      <w:r>
        <w:rPr>
          <w:rFonts w:ascii="Times New Roman" w:eastAsia="仿宋_GB2312" w:hAnsi="Times New Roman" w:cs="Times New Roman" w:hint="eastAsia"/>
          <w:sz w:val="32"/>
          <w:szCs w:val="36"/>
        </w:rPr>
        <w:t>采用</w:t>
      </w:r>
      <w:r w:rsidRPr="004F2966">
        <w:rPr>
          <w:rFonts w:ascii="Times New Roman" w:eastAsia="仿宋_GB2312" w:hAnsi="Times New Roman" w:cs="Times New Roman"/>
          <w:sz w:val="32"/>
          <w:szCs w:val="36"/>
        </w:rPr>
        <w:t>该准则的主体的披露要求？如若是，哪些提议的披露要求应从准则</w:t>
      </w:r>
      <w:r>
        <w:rPr>
          <w:rFonts w:ascii="Times New Roman" w:eastAsia="仿宋_GB2312" w:hAnsi="Times New Roman" w:cs="Times New Roman"/>
          <w:sz w:val="32"/>
          <w:szCs w:val="36"/>
        </w:rPr>
        <w:t>中</w:t>
      </w:r>
      <w:r>
        <w:rPr>
          <w:rFonts w:ascii="Times New Roman" w:eastAsia="仿宋_GB2312" w:hAnsi="Times New Roman" w:cs="Times New Roman" w:hint="eastAsia"/>
          <w:sz w:val="32"/>
          <w:szCs w:val="36"/>
        </w:rPr>
        <w:t>删除</w:t>
      </w:r>
      <w:r w:rsidRPr="004F2966">
        <w:rPr>
          <w:rFonts w:ascii="Times New Roman" w:eastAsia="仿宋_GB2312" w:hAnsi="Times New Roman" w:cs="Times New Roman"/>
          <w:sz w:val="32"/>
          <w:szCs w:val="36"/>
        </w:rPr>
        <w:t>？请说明您的理由。</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(c)</w:t>
      </w:r>
      <w:r>
        <w:rPr>
          <w:rFonts w:ascii="Times New Roman" w:eastAsia="仿宋_GB2312" w:hAnsi="Times New Roman" w:cs="Times New Roman"/>
          <w:sz w:val="32"/>
          <w:szCs w:val="36"/>
        </w:rPr>
        <w:t>您是否建议对</w:t>
      </w:r>
      <w:r>
        <w:rPr>
          <w:rFonts w:ascii="Times New Roman" w:eastAsia="仿宋_GB2312" w:hAnsi="Times New Roman" w:cs="Times New Roman" w:hint="eastAsia"/>
          <w:sz w:val="32"/>
          <w:szCs w:val="36"/>
        </w:rPr>
        <w:t>采用</w:t>
      </w:r>
      <w:r w:rsidRPr="004F2966">
        <w:rPr>
          <w:rFonts w:ascii="Times New Roman" w:eastAsia="仿宋_GB2312" w:hAnsi="Times New Roman" w:cs="Times New Roman"/>
          <w:sz w:val="32"/>
          <w:szCs w:val="36"/>
        </w:rPr>
        <w:t>该准则的主体</w:t>
      </w:r>
      <w:r>
        <w:rPr>
          <w:rFonts w:ascii="Times New Roman" w:eastAsia="仿宋_GB2312" w:hAnsi="Times New Roman" w:cs="Times New Roman"/>
          <w:sz w:val="32"/>
          <w:szCs w:val="36"/>
        </w:rPr>
        <w:t>提出</w:t>
      </w:r>
      <w:r>
        <w:rPr>
          <w:rFonts w:ascii="Times New Roman" w:eastAsia="仿宋_GB2312" w:hAnsi="Times New Roman" w:cs="Times New Roman" w:hint="eastAsia"/>
          <w:sz w:val="32"/>
          <w:szCs w:val="36"/>
        </w:rPr>
        <w:t>其他</w:t>
      </w:r>
      <w:r w:rsidRPr="004F2966">
        <w:rPr>
          <w:rFonts w:ascii="Times New Roman" w:eastAsia="仿宋_GB2312" w:hAnsi="Times New Roman" w:cs="Times New Roman"/>
          <w:sz w:val="32"/>
          <w:szCs w:val="36"/>
        </w:rPr>
        <w:t>额外的披露要求？如若是，其他</w:t>
      </w:r>
      <w:r w:rsidRPr="0019520D">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的哪些披露要求应包括在该准则中？请说明您的理由。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t>问题</w:t>
      </w:r>
      <w:r w:rsidRPr="004F2966">
        <w:rPr>
          <w:rFonts w:ascii="Times New Roman" w:eastAsia="仿宋_GB2312" w:hAnsi="Times New Roman" w:cs="Times New Roman"/>
          <w:b/>
          <w:bCs/>
          <w:sz w:val="32"/>
          <w:szCs w:val="36"/>
        </w:rPr>
        <w:t>9</w:t>
      </w:r>
      <w:r w:rsidRPr="004F2966">
        <w:rPr>
          <w:rFonts w:ascii="Times New Roman" w:eastAsia="仿宋_GB2312" w:hAnsi="Times New Roman" w:cs="Times New Roman"/>
          <w:b/>
          <w:bCs/>
          <w:sz w:val="32"/>
          <w:szCs w:val="36"/>
        </w:rPr>
        <w:t>：</w:t>
      </w:r>
      <w:r w:rsidRPr="00B0290B">
        <w:rPr>
          <w:rFonts w:ascii="Times New Roman" w:eastAsia="仿宋_GB2312" w:hAnsi="Times New Roman" w:cs="Times New Roman" w:hint="eastAsia"/>
          <w:b/>
          <w:sz w:val="32"/>
          <w:szCs w:val="36"/>
        </w:rPr>
        <w:t>该准则</w:t>
      </w:r>
      <w:r w:rsidRPr="004F2966">
        <w:rPr>
          <w:rFonts w:ascii="Times New Roman" w:eastAsia="仿宋_GB2312" w:hAnsi="Times New Roman" w:cs="Times New Roman"/>
          <w:b/>
          <w:bCs/>
          <w:sz w:val="32"/>
          <w:szCs w:val="36"/>
        </w:rPr>
        <w:t>的结构</w:t>
      </w:r>
    </w:p>
    <w:p w:rsidR="0084316D" w:rsidRPr="004F2966" w:rsidRDefault="0084316D" w:rsidP="0084316D">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22-213</w:t>
      </w:r>
      <w:r>
        <w:rPr>
          <w:rFonts w:ascii="Times New Roman" w:eastAsia="仿宋_GB2312" w:hAnsi="Times New Roman" w:cs="Times New Roman"/>
          <w:sz w:val="32"/>
          <w:szCs w:val="36"/>
        </w:rPr>
        <w:t>段列出了</w:t>
      </w:r>
      <w:r>
        <w:rPr>
          <w:rFonts w:ascii="Times New Roman" w:eastAsia="仿宋_GB2312" w:hAnsi="Times New Roman" w:cs="Times New Roman" w:hint="eastAsia"/>
          <w:sz w:val="32"/>
          <w:szCs w:val="36"/>
        </w:rPr>
        <w:t>采用该</w:t>
      </w:r>
      <w:r w:rsidRPr="004F2966">
        <w:rPr>
          <w:rFonts w:ascii="Times New Roman" w:eastAsia="仿宋_GB2312" w:hAnsi="Times New Roman" w:cs="Times New Roman"/>
          <w:sz w:val="32"/>
          <w:szCs w:val="36"/>
        </w:rPr>
        <w:t>准则的主体</w:t>
      </w:r>
      <w:r>
        <w:rPr>
          <w:rFonts w:ascii="Times New Roman" w:eastAsia="仿宋_GB2312" w:hAnsi="Times New Roman" w:cs="Times New Roman"/>
          <w:sz w:val="32"/>
          <w:szCs w:val="36"/>
        </w:rPr>
        <w:t>的披露要求。这些披露要求</w:t>
      </w:r>
      <w:r>
        <w:rPr>
          <w:rFonts w:ascii="Times New Roman" w:eastAsia="仿宋_GB2312" w:hAnsi="Times New Roman" w:cs="Times New Roman" w:hint="eastAsia"/>
          <w:sz w:val="32"/>
          <w:szCs w:val="36"/>
        </w:rPr>
        <w:t>按照</w:t>
      </w:r>
      <w:r w:rsidRPr="00E82F3D">
        <w:rPr>
          <w:rFonts w:ascii="Times New Roman" w:eastAsia="仿宋_GB2312" w:hAnsi="Times New Roman" w:cs="Times New Roman" w:hint="eastAsia"/>
          <w:sz w:val="32"/>
          <w:szCs w:val="36"/>
        </w:rPr>
        <w:t>《国际财务报告准则》</w:t>
      </w:r>
      <w:r>
        <w:rPr>
          <w:rFonts w:ascii="Times New Roman" w:eastAsia="仿宋_GB2312" w:hAnsi="Times New Roman" w:cs="Times New Roman" w:hint="eastAsia"/>
          <w:sz w:val="32"/>
          <w:szCs w:val="36"/>
        </w:rPr>
        <w:t>的顺序列出</w:t>
      </w:r>
      <w:r w:rsidRPr="004F2966">
        <w:rPr>
          <w:rFonts w:ascii="Times New Roman" w:eastAsia="仿宋_GB2312" w:hAnsi="Times New Roman" w:cs="Times New Roman"/>
          <w:sz w:val="32"/>
          <w:szCs w:val="36"/>
        </w:rPr>
        <w:t>，将代替附录</w:t>
      </w: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中列出的其他</w:t>
      </w:r>
      <w:r w:rsidRPr="001F77A9">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中的披露要求。附录</w:t>
      </w: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中未列出但仍然适用的披露要求</w:t>
      </w:r>
      <w:r>
        <w:rPr>
          <w:rFonts w:ascii="Times New Roman" w:eastAsia="仿宋_GB2312" w:hAnsi="Times New Roman" w:cs="Times New Roman" w:hint="eastAsia"/>
          <w:sz w:val="32"/>
          <w:szCs w:val="36"/>
        </w:rPr>
        <w:t>通常在与之相关的《国际财务报告准则》子标题的附注中注明</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BC68-BC70</w:t>
      </w:r>
      <w:r w:rsidRPr="004F2966">
        <w:rPr>
          <w:rFonts w:ascii="Times New Roman" w:eastAsia="仿宋_GB2312" w:hAnsi="Times New Roman" w:cs="Times New Roman"/>
          <w:sz w:val="32"/>
          <w:szCs w:val="36"/>
        </w:rPr>
        <w:t>段说明了</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的结构。</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您是否认同</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的结构，包括附录</w:t>
      </w:r>
      <w:r w:rsidRPr="004F2966">
        <w:rPr>
          <w:rFonts w:ascii="Times New Roman" w:eastAsia="仿宋_GB2312" w:hAnsi="Times New Roman" w:cs="Times New Roman"/>
          <w:sz w:val="32"/>
          <w:szCs w:val="36"/>
        </w:rPr>
        <w:t>A</w:t>
      </w:r>
      <w:r w:rsidRPr="004F2966">
        <w:rPr>
          <w:rFonts w:ascii="Times New Roman" w:eastAsia="仿宋_GB2312" w:hAnsi="Times New Roman" w:cs="Times New Roman"/>
          <w:sz w:val="32"/>
          <w:szCs w:val="36"/>
        </w:rPr>
        <w:t>，其中列出了被</w:t>
      </w:r>
      <w:r>
        <w:rPr>
          <w:rFonts w:ascii="Times New Roman" w:eastAsia="仿宋_GB2312" w:hAnsi="Times New Roman" w:cs="Times New Roman" w:hint="eastAsia"/>
          <w:sz w:val="32"/>
          <w:szCs w:val="36"/>
        </w:rPr>
        <w:t>该准则</w:t>
      </w:r>
      <w:r>
        <w:rPr>
          <w:rFonts w:ascii="Times New Roman" w:eastAsia="仿宋_GB2312" w:hAnsi="Times New Roman" w:cs="Times New Roman"/>
          <w:sz w:val="32"/>
          <w:szCs w:val="36"/>
        </w:rPr>
        <w:t>取代</w:t>
      </w:r>
      <w:r>
        <w:rPr>
          <w:rFonts w:ascii="Times New Roman" w:eastAsia="仿宋_GB2312" w:hAnsi="Times New Roman" w:cs="Times New Roman" w:hint="eastAsia"/>
          <w:sz w:val="32"/>
          <w:szCs w:val="36"/>
        </w:rPr>
        <w:t>的</w:t>
      </w:r>
      <w:r w:rsidRPr="001F77A9">
        <w:rPr>
          <w:rFonts w:ascii="Times New Roman" w:eastAsia="仿宋_GB2312" w:hAnsi="Times New Roman" w:cs="Times New Roman" w:hint="eastAsia"/>
          <w:sz w:val="32"/>
          <w:szCs w:val="36"/>
        </w:rPr>
        <w:t>《国际财务报告准则》</w:t>
      </w:r>
      <w:r w:rsidRPr="004F2966">
        <w:rPr>
          <w:rFonts w:ascii="Times New Roman" w:eastAsia="仿宋_GB2312" w:hAnsi="Times New Roman" w:cs="Times New Roman"/>
          <w:sz w:val="32"/>
          <w:szCs w:val="36"/>
        </w:rPr>
        <w:t>中的披露要求？请说明您的理由。如</w:t>
      </w:r>
      <w:proofErr w:type="gramStart"/>
      <w:r w:rsidRPr="004F2966">
        <w:rPr>
          <w:rFonts w:ascii="Times New Roman" w:eastAsia="仿宋_GB2312" w:hAnsi="Times New Roman" w:cs="Times New Roman"/>
          <w:sz w:val="32"/>
          <w:szCs w:val="36"/>
        </w:rPr>
        <w:t>不</w:t>
      </w:r>
      <w:proofErr w:type="gramEnd"/>
      <w:r w:rsidRPr="004F2966">
        <w:rPr>
          <w:rFonts w:ascii="Times New Roman" w:eastAsia="仿宋_GB2312" w:hAnsi="Times New Roman" w:cs="Times New Roman"/>
          <w:sz w:val="32"/>
          <w:szCs w:val="36"/>
        </w:rPr>
        <w:t>认同，请提出您的建议并说明理由。</w:t>
      </w:r>
    </w:p>
    <w:p w:rsidR="0084316D" w:rsidRPr="004F2966" w:rsidRDefault="0084316D" w:rsidP="0084316D">
      <w:pPr>
        <w:ind w:firstLineChars="200" w:firstLine="643"/>
        <w:rPr>
          <w:rFonts w:ascii="Times New Roman" w:eastAsia="仿宋_GB2312" w:hAnsi="Times New Roman" w:cs="Times New Roman"/>
          <w:b/>
          <w:bCs/>
          <w:sz w:val="32"/>
          <w:szCs w:val="36"/>
        </w:rPr>
      </w:pPr>
      <w:r w:rsidRPr="004F2966">
        <w:rPr>
          <w:rFonts w:ascii="Times New Roman" w:eastAsia="仿宋_GB2312" w:hAnsi="Times New Roman" w:cs="Times New Roman"/>
          <w:b/>
          <w:bCs/>
          <w:sz w:val="32"/>
          <w:szCs w:val="36"/>
        </w:rPr>
        <w:lastRenderedPageBreak/>
        <w:t>问题</w:t>
      </w:r>
      <w:r w:rsidRPr="004F2966">
        <w:rPr>
          <w:rFonts w:ascii="Times New Roman" w:eastAsia="仿宋_GB2312" w:hAnsi="Times New Roman" w:cs="Times New Roman"/>
          <w:b/>
          <w:bCs/>
          <w:sz w:val="32"/>
          <w:szCs w:val="36"/>
        </w:rPr>
        <w:t>10</w:t>
      </w:r>
      <w:r w:rsidRPr="004F2966">
        <w:rPr>
          <w:rFonts w:ascii="Times New Roman" w:eastAsia="仿宋_GB2312" w:hAnsi="Times New Roman" w:cs="Times New Roman"/>
          <w:b/>
          <w:bCs/>
          <w:sz w:val="32"/>
          <w:szCs w:val="36"/>
        </w:rPr>
        <w:t>：其他意见</w:t>
      </w:r>
    </w:p>
    <w:p w:rsidR="0084316D" w:rsidRPr="004F2966" w:rsidRDefault="0084316D" w:rsidP="0084316D">
      <w:pPr>
        <w:ind w:firstLineChars="200" w:firstLine="640"/>
        <w:rPr>
          <w:rFonts w:ascii="Times New Roman" w:eastAsia="仿宋_GB2312" w:hAnsi="Times New Roman" w:cs="Times New Roman"/>
          <w:sz w:val="32"/>
          <w:szCs w:val="36"/>
        </w:rPr>
      </w:pPr>
      <w:r w:rsidRPr="004F2966">
        <w:rPr>
          <w:rFonts w:ascii="Times New Roman" w:eastAsia="仿宋_GB2312" w:hAnsi="Times New Roman" w:cs="Times New Roman"/>
          <w:sz w:val="32"/>
          <w:szCs w:val="36"/>
        </w:rPr>
        <w:t>对于</w:t>
      </w:r>
      <w:r>
        <w:rPr>
          <w:rFonts w:ascii="Times New Roman" w:eastAsia="仿宋_GB2312" w:hAnsi="Times New Roman" w:cs="Times New Roman" w:hint="eastAsia"/>
          <w:sz w:val="32"/>
          <w:szCs w:val="36"/>
        </w:rPr>
        <w:t>该准则</w:t>
      </w:r>
      <w:r w:rsidRPr="004F2966">
        <w:rPr>
          <w:rFonts w:ascii="Times New Roman" w:eastAsia="仿宋_GB2312" w:hAnsi="Times New Roman" w:cs="Times New Roman"/>
          <w:sz w:val="32"/>
          <w:szCs w:val="36"/>
        </w:rPr>
        <w:t>的提议或征求意见稿中的其他事项，包括</w:t>
      </w:r>
      <w:r w:rsidRPr="000E3B9F">
        <w:rPr>
          <w:rFonts w:ascii="Times New Roman" w:eastAsia="仿宋_GB2312" w:hAnsi="Times New Roman" w:cs="Times New Roman" w:hint="eastAsia"/>
          <w:sz w:val="32"/>
          <w:szCs w:val="36"/>
        </w:rPr>
        <w:t>潜在影响</w:t>
      </w:r>
      <w:r w:rsidRPr="004F2966">
        <w:rPr>
          <w:rFonts w:ascii="Times New Roman" w:eastAsia="仿宋_GB2312" w:hAnsi="Times New Roman" w:cs="Times New Roman"/>
          <w:sz w:val="32"/>
          <w:szCs w:val="36"/>
        </w:rPr>
        <w:t>（第</w:t>
      </w:r>
      <w:r w:rsidRPr="004F2966">
        <w:rPr>
          <w:rFonts w:ascii="Times New Roman" w:eastAsia="仿宋_GB2312" w:hAnsi="Times New Roman" w:cs="Times New Roman"/>
          <w:sz w:val="32"/>
          <w:szCs w:val="36"/>
        </w:rPr>
        <w:t>BC92-BC101</w:t>
      </w:r>
      <w:r w:rsidRPr="004F2966">
        <w:rPr>
          <w:rFonts w:ascii="Times New Roman" w:eastAsia="仿宋_GB2312" w:hAnsi="Times New Roman" w:cs="Times New Roman"/>
          <w:sz w:val="32"/>
          <w:szCs w:val="36"/>
        </w:rPr>
        <w:t>段），您是否有其他意见？</w:t>
      </w:r>
    </w:p>
    <w:p w:rsidR="0084316D" w:rsidRPr="0084316D" w:rsidRDefault="0084316D" w:rsidP="0084316D">
      <w:pPr>
        <w:spacing w:line="360" w:lineRule="auto"/>
        <w:ind w:firstLineChars="200" w:firstLine="640"/>
        <w:rPr>
          <w:rFonts w:ascii="Times New Roman" w:eastAsia="仿宋_GB2312" w:hAnsi="Times New Roman" w:cs="Times New Roman"/>
          <w:sz w:val="32"/>
          <w:szCs w:val="32"/>
        </w:rPr>
      </w:pPr>
    </w:p>
    <w:p w:rsidR="0084316D" w:rsidRDefault="0084316D" w:rsidP="0084316D">
      <w:pPr>
        <w:spacing w:line="360" w:lineRule="auto"/>
        <w:rPr>
          <w:rFonts w:ascii="Times New Roman" w:eastAsia="仿宋_GB2312" w:hAnsi="Times New Roman" w:cs="Times New Roman"/>
          <w:b/>
          <w:sz w:val="32"/>
          <w:szCs w:val="32"/>
        </w:rPr>
      </w:pPr>
    </w:p>
    <w:p w:rsidR="0084316D" w:rsidRDefault="0084316D" w:rsidP="0084316D">
      <w:pPr>
        <w:spacing w:beforeLines="100" w:before="312"/>
        <w:rPr>
          <w:rFonts w:ascii="楷体_GB2312" w:eastAsia="楷体_GB2312" w:hAnsi="Times New Roman" w:cs="Times New Roman"/>
          <w:sz w:val="32"/>
          <w:szCs w:val="32"/>
        </w:rPr>
      </w:pPr>
    </w:p>
    <w:p w:rsidR="00AB6BD9" w:rsidRPr="0084316D" w:rsidRDefault="00AB6BD9" w:rsidP="00AB6BD9">
      <w:pPr>
        <w:ind w:firstLineChars="200" w:firstLine="640"/>
        <w:rPr>
          <w:rFonts w:ascii="仿宋_GB2312" w:eastAsia="仿宋_GB2312" w:hAnsi="仿宋"/>
          <w:sz w:val="32"/>
          <w:szCs w:val="36"/>
        </w:rPr>
      </w:pPr>
    </w:p>
    <w:sectPr w:rsidR="00AB6BD9" w:rsidRPr="0084316D" w:rsidSect="00C86E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E6" w:rsidRDefault="002E6BE6" w:rsidP="000159C1">
      <w:r>
        <w:separator/>
      </w:r>
    </w:p>
  </w:endnote>
  <w:endnote w:type="continuationSeparator" w:id="0">
    <w:p w:rsidR="002E6BE6" w:rsidRDefault="002E6BE6" w:rsidP="0001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351"/>
      <w:docPartObj>
        <w:docPartGallery w:val="Page Numbers (Bottom of Page)"/>
        <w:docPartUnique/>
      </w:docPartObj>
    </w:sdtPr>
    <w:sdtEndPr/>
    <w:sdtContent>
      <w:p w:rsidR="007E01C3" w:rsidRDefault="00F00C9E">
        <w:pPr>
          <w:pStyle w:val="a5"/>
          <w:jc w:val="center"/>
        </w:pPr>
        <w:r w:rsidRPr="00C33D56">
          <w:rPr>
            <w:rFonts w:ascii="仿宋_GB2312" w:eastAsia="仿宋_GB2312" w:hint="eastAsia"/>
            <w:sz w:val="24"/>
            <w:szCs w:val="24"/>
          </w:rPr>
          <w:fldChar w:fldCharType="begin"/>
        </w:r>
        <w:r w:rsidR="007E01C3" w:rsidRPr="00C33D56">
          <w:rPr>
            <w:rFonts w:ascii="仿宋_GB2312" w:eastAsia="仿宋_GB2312" w:hint="eastAsia"/>
            <w:sz w:val="24"/>
            <w:szCs w:val="24"/>
          </w:rPr>
          <w:instrText xml:space="preserve"> PAGE   \* MERGEFORMAT </w:instrText>
        </w:r>
        <w:r w:rsidRPr="00C33D56">
          <w:rPr>
            <w:rFonts w:ascii="仿宋_GB2312" w:eastAsia="仿宋_GB2312" w:hint="eastAsia"/>
            <w:sz w:val="24"/>
            <w:szCs w:val="24"/>
          </w:rPr>
          <w:fldChar w:fldCharType="separate"/>
        </w:r>
        <w:r w:rsidR="00D95DD3" w:rsidRPr="00D95DD3">
          <w:rPr>
            <w:rFonts w:ascii="仿宋_GB2312" w:eastAsia="仿宋_GB2312"/>
            <w:noProof/>
            <w:sz w:val="24"/>
            <w:szCs w:val="24"/>
            <w:lang w:val="zh-CN"/>
          </w:rPr>
          <w:t>3</w:t>
        </w:r>
        <w:r w:rsidRPr="00C33D56">
          <w:rPr>
            <w:rFonts w:ascii="仿宋_GB2312" w:eastAsia="仿宋_GB2312" w:hint="eastAsia"/>
            <w:sz w:val="24"/>
            <w:szCs w:val="24"/>
          </w:rPr>
          <w:fldChar w:fldCharType="end"/>
        </w:r>
      </w:p>
    </w:sdtContent>
  </w:sdt>
  <w:p w:rsidR="007E01C3" w:rsidRDefault="007E01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E6" w:rsidRDefault="002E6BE6" w:rsidP="000159C1">
      <w:r>
        <w:separator/>
      </w:r>
    </w:p>
  </w:footnote>
  <w:footnote w:type="continuationSeparator" w:id="0">
    <w:p w:rsidR="002E6BE6" w:rsidRDefault="002E6BE6" w:rsidP="00015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D79"/>
    <w:multiLevelType w:val="hybridMultilevel"/>
    <w:tmpl w:val="DF0C6D58"/>
    <w:lvl w:ilvl="0" w:tplc="37FE5FEC">
      <w:start w:val="1"/>
      <w:numFmt w:val="lowerLetter"/>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5537E5"/>
    <w:multiLevelType w:val="hybridMultilevel"/>
    <w:tmpl w:val="33D03846"/>
    <w:lvl w:ilvl="0" w:tplc="A440A368">
      <w:start w:val="1"/>
      <w:numFmt w:val="decimal"/>
      <w:lvlText w:val="（%1）"/>
      <w:lvlJc w:val="left"/>
      <w:pPr>
        <w:ind w:left="20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2D034D"/>
    <w:multiLevelType w:val="hybridMultilevel"/>
    <w:tmpl w:val="57A0EAE2"/>
    <w:lvl w:ilvl="0" w:tplc="93AA5E64">
      <w:start w:val="1"/>
      <w:numFmt w:val="none"/>
      <w:lvlText w:val="一、"/>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A9640BE"/>
    <w:multiLevelType w:val="hybridMultilevel"/>
    <w:tmpl w:val="FBA0F04A"/>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0FF4C88"/>
    <w:multiLevelType w:val="hybridMultilevel"/>
    <w:tmpl w:val="DB0290DA"/>
    <w:lvl w:ilvl="0" w:tplc="43F8D0F4">
      <w:start w:val="1"/>
      <w:numFmt w:val="lowerLetter"/>
      <w:suff w:val="nothing"/>
      <w:lvlText w:val="（%1）"/>
      <w:lvlJc w:val="left"/>
      <w:pPr>
        <w:ind w:left="567" w:firstLine="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5">
    <w:nsid w:val="1BBF372D"/>
    <w:multiLevelType w:val="hybridMultilevel"/>
    <w:tmpl w:val="7A14C8DC"/>
    <w:lvl w:ilvl="0" w:tplc="222680CC">
      <w:start w:val="1"/>
      <w:numFmt w:val="lowerLetter"/>
      <w:suff w:val="nothing"/>
      <w:lvlText w:val="（%1）"/>
      <w:lvlJc w:val="left"/>
      <w:pPr>
        <w:ind w:left="179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ED1383"/>
    <w:multiLevelType w:val="hybridMultilevel"/>
    <w:tmpl w:val="FE9C5932"/>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18396A"/>
    <w:multiLevelType w:val="hybridMultilevel"/>
    <w:tmpl w:val="D1F2AA44"/>
    <w:lvl w:ilvl="0" w:tplc="A80EC140">
      <w:start w:val="1"/>
      <w:numFmt w:val="lowerLetter"/>
      <w:suff w:val="nothing"/>
      <w:lvlText w:val="（%1）"/>
      <w:lvlJc w:val="left"/>
      <w:pPr>
        <w:ind w:left="1647"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CD660C"/>
    <w:multiLevelType w:val="hybridMultilevel"/>
    <w:tmpl w:val="EC9CCC2E"/>
    <w:lvl w:ilvl="0" w:tplc="A440A368">
      <w:start w:val="1"/>
      <w:numFmt w:val="decimal"/>
      <w:lvlText w:val="（%1）"/>
      <w:lvlJc w:val="left"/>
      <w:pPr>
        <w:ind w:left="2040" w:hanging="1080"/>
      </w:pPr>
      <w:rPr>
        <w:rFonts w:hint="default"/>
      </w:rPr>
    </w:lvl>
    <w:lvl w:ilvl="1" w:tplc="7E78264C">
      <w:start w:val="1"/>
      <w:numFmt w:val="lowerLetter"/>
      <w:lvlText w:val="（%2）"/>
      <w:lvlJc w:val="left"/>
      <w:pPr>
        <w:ind w:left="2460" w:hanging="1080"/>
      </w:pPr>
      <w:rPr>
        <w:rFonts w:hint="default"/>
      </w:r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9">
    <w:nsid w:val="34C1039B"/>
    <w:multiLevelType w:val="hybridMultilevel"/>
    <w:tmpl w:val="36FE31D8"/>
    <w:lvl w:ilvl="0" w:tplc="AA785D70">
      <w:start w:val="1"/>
      <w:numFmt w:val="lowerLetter"/>
      <w:suff w:val="nothing"/>
      <w:lvlText w:val="（%1）"/>
      <w:lvlJc w:val="left"/>
      <w:pPr>
        <w:ind w:left="179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71D2454"/>
    <w:multiLevelType w:val="hybridMultilevel"/>
    <w:tmpl w:val="3F6685CE"/>
    <w:lvl w:ilvl="0" w:tplc="50C63BC4">
      <w:start w:val="1"/>
      <w:numFmt w:val="lowerLetter"/>
      <w:suff w:val="nothing"/>
      <w:lvlText w:val="（%1）"/>
      <w:lvlJc w:val="left"/>
      <w:pPr>
        <w:ind w:left="179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387568"/>
    <w:multiLevelType w:val="hybridMultilevel"/>
    <w:tmpl w:val="D480BE82"/>
    <w:lvl w:ilvl="0" w:tplc="12DA7EBA">
      <w:start w:val="1"/>
      <w:numFmt w:val="lowerLetter"/>
      <w:lvlText w:val="（%1）"/>
      <w:lvlJc w:val="left"/>
      <w:pPr>
        <w:ind w:left="1470" w:hanging="42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nsid w:val="3E56346C"/>
    <w:multiLevelType w:val="hybridMultilevel"/>
    <w:tmpl w:val="B25E2D14"/>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0A5F41"/>
    <w:multiLevelType w:val="hybridMultilevel"/>
    <w:tmpl w:val="491E5C1A"/>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8B399C"/>
    <w:multiLevelType w:val="hybridMultilevel"/>
    <w:tmpl w:val="83FAA660"/>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EB00906"/>
    <w:multiLevelType w:val="hybridMultilevel"/>
    <w:tmpl w:val="074E7EE6"/>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CB1466"/>
    <w:multiLevelType w:val="hybridMultilevel"/>
    <w:tmpl w:val="9ABCAC60"/>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134E7B"/>
    <w:multiLevelType w:val="hybridMultilevel"/>
    <w:tmpl w:val="001475DA"/>
    <w:lvl w:ilvl="0" w:tplc="0409001B">
      <w:start w:val="1"/>
      <w:numFmt w:val="lowerRoman"/>
      <w:lvlText w:val="%1."/>
      <w:lvlJc w:val="righ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8">
    <w:nsid w:val="56D201FE"/>
    <w:multiLevelType w:val="hybridMultilevel"/>
    <w:tmpl w:val="7A745AAA"/>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CC718F"/>
    <w:multiLevelType w:val="hybridMultilevel"/>
    <w:tmpl w:val="561A9FD2"/>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CFF710E"/>
    <w:multiLevelType w:val="hybridMultilevel"/>
    <w:tmpl w:val="B380DB48"/>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E05F35"/>
    <w:multiLevelType w:val="hybridMultilevel"/>
    <w:tmpl w:val="695C68DA"/>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26B6905"/>
    <w:multiLevelType w:val="hybridMultilevel"/>
    <w:tmpl w:val="8B8E3A00"/>
    <w:lvl w:ilvl="0" w:tplc="7C5409AC">
      <w:start w:val="1"/>
      <w:numFmt w:val="lowerLetter"/>
      <w:suff w:val="nothing"/>
      <w:lvlText w:val="（%1）"/>
      <w:lvlJc w:val="left"/>
      <w:pPr>
        <w:ind w:left="179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DA399A"/>
    <w:multiLevelType w:val="hybridMultilevel"/>
    <w:tmpl w:val="EDE288F4"/>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DB7069"/>
    <w:multiLevelType w:val="hybridMultilevel"/>
    <w:tmpl w:val="C0C260C4"/>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142BA1"/>
    <w:multiLevelType w:val="hybridMultilevel"/>
    <w:tmpl w:val="ED38296C"/>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490A51"/>
    <w:multiLevelType w:val="hybridMultilevel"/>
    <w:tmpl w:val="74C2C530"/>
    <w:lvl w:ilvl="0" w:tplc="45FE8F22">
      <w:start w:val="1"/>
      <w:numFmt w:val="lowerLetter"/>
      <w:suff w:val="nothing"/>
      <w:lvlText w:val="（%1）"/>
      <w:lvlJc w:val="left"/>
      <w:pPr>
        <w:ind w:left="1647" w:hanging="1080"/>
      </w:pPr>
      <w:rPr>
        <w:rFonts w:hint="default"/>
      </w:rPr>
    </w:lvl>
    <w:lvl w:ilvl="1" w:tplc="04090019" w:tentative="1">
      <w:start w:val="1"/>
      <w:numFmt w:val="lowerLetter"/>
      <w:lvlText w:val="%2)"/>
      <w:lvlJc w:val="left"/>
      <w:pPr>
        <w:ind w:left="7218" w:hanging="420"/>
      </w:pPr>
    </w:lvl>
    <w:lvl w:ilvl="2" w:tplc="0409001B" w:tentative="1">
      <w:start w:val="1"/>
      <w:numFmt w:val="lowerRoman"/>
      <w:lvlText w:val="%3."/>
      <w:lvlJc w:val="right"/>
      <w:pPr>
        <w:ind w:left="7638" w:hanging="420"/>
      </w:pPr>
    </w:lvl>
    <w:lvl w:ilvl="3" w:tplc="0409000F" w:tentative="1">
      <w:start w:val="1"/>
      <w:numFmt w:val="decimal"/>
      <w:lvlText w:val="%4."/>
      <w:lvlJc w:val="left"/>
      <w:pPr>
        <w:ind w:left="8058" w:hanging="420"/>
      </w:pPr>
    </w:lvl>
    <w:lvl w:ilvl="4" w:tplc="04090019" w:tentative="1">
      <w:start w:val="1"/>
      <w:numFmt w:val="lowerLetter"/>
      <w:lvlText w:val="%5)"/>
      <w:lvlJc w:val="left"/>
      <w:pPr>
        <w:ind w:left="8478" w:hanging="420"/>
      </w:pPr>
    </w:lvl>
    <w:lvl w:ilvl="5" w:tplc="0409001B" w:tentative="1">
      <w:start w:val="1"/>
      <w:numFmt w:val="lowerRoman"/>
      <w:lvlText w:val="%6."/>
      <w:lvlJc w:val="right"/>
      <w:pPr>
        <w:ind w:left="8898" w:hanging="420"/>
      </w:pPr>
    </w:lvl>
    <w:lvl w:ilvl="6" w:tplc="0409000F" w:tentative="1">
      <w:start w:val="1"/>
      <w:numFmt w:val="decimal"/>
      <w:lvlText w:val="%7."/>
      <w:lvlJc w:val="left"/>
      <w:pPr>
        <w:ind w:left="9318" w:hanging="420"/>
      </w:pPr>
    </w:lvl>
    <w:lvl w:ilvl="7" w:tplc="04090019" w:tentative="1">
      <w:start w:val="1"/>
      <w:numFmt w:val="lowerLetter"/>
      <w:lvlText w:val="%8)"/>
      <w:lvlJc w:val="left"/>
      <w:pPr>
        <w:ind w:left="9738" w:hanging="420"/>
      </w:pPr>
    </w:lvl>
    <w:lvl w:ilvl="8" w:tplc="0409001B" w:tentative="1">
      <w:start w:val="1"/>
      <w:numFmt w:val="lowerRoman"/>
      <w:lvlText w:val="%9."/>
      <w:lvlJc w:val="right"/>
      <w:pPr>
        <w:ind w:left="10158" w:hanging="420"/>
      </w:pPr>
    </w:lvl>
  </w:abstractNum>
  <w:abstractNum w:abstractNumId="27">
    <w:nsid w:val="6E3C5173"/>
    <w:multiLevelType w:val="hybridMultilevel"/>
    <w:tmpl w:val="5F0E0866"/>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3C343E3"/>
    <w:multiLevelType w:val="hybridMultilevel"/>
    <w:tmpl w:val="1750C514"/>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0A7C97"/>
    <w:multiLevelType w:val="hybridMultilevel"/>
    <w:tmpl w:val="6324BC54"/>
    <w:lvl w:ilvl="0" w:tplc="D4181AE6">
      <w:start w:val="1"/>
      <w:numFmt w:val="bullet"/>
      <w:lvlText w:val=""/>
      <w:lvlJc w:val="left"/>
      <w:pPr>
        <w:ind w:left="42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5285930"/>
    <w:multiLevelType w:val="hybridMultilevel"/>
    <w:tmpl w:val="B2C817C0"/>
    <w:lvl w:ilvl="0" w:tplc="12DA7EB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C1A3FF4"/>
    <w:multiLevelType w:val="hybridMultilevel"/>
    <w:tmpl w:val="3790069A"/>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AD6E8B"/>
    <w:multiLevelType w:val="hybridMultilevel"/>
    <w:tmpl w:val="B5CC07E0"/>
    <w:lvl w:ilvl="0" w:tplc="12DA7EBA">
      <w:start w:val="1"/>
      <w:numFmt w:val="lowerLetter"/>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32"/>
  </w:num>
  <w:num w:numId="3">
    <w:abstractNumId w:val="17"/>
  </w:num>
  <w:num w:numId="4">
    <w:abstractNumId w:val="8"/>
  </w:num>
  <w:num w:numId="5">
    <w:abstractNumId w:val="23"/>
  </w:num>
  <w:num w:numId="6">
    <w:abstractNumId w:val="15"/>
  </w:num>
  <w:num w:numId="7">
    <w:abstractNumId w:val="13"/>
  </w:num>
  <w:num w:numId="8">
    <w:abstractNumId w:val="31"/>
  </w:num>
  <w:num w:numId="9">
    <w:abstractNumId w:val="16"/>
  </w:num>
  <w:num w:numId="10">
    <w:abstractNumId w:val="1"/>
  </w:num>
  <w:num w:numId="11">
    <w:abstractNumId w:val="28"/>
  </w:num>
  <w:num w:numId="12">
    <w:abstractNumId w:val="25"/>
  </w:num>
  <w:num w:numId="13">
    <w:abstractNumId w:val="12"/>
  </w:num>
  <w:num w:numId="14">
    <w:abstractNumId w:val="0"/>
  </w:num>
  <w:num w:numId="15">
    <w:abstractNumId w:val="26"/>
  </w:num>
  <w:num w:numId="16">
    <w:abstractNumId w:val="30"/>
  </w:num>
  <w:num w:numId="17">
    <w:abstractNumId w:val="7"/>
  </w:num>
  <w:num w:numId="18">
    <w:abstractNumId w:val="22"/>
  </w:num>
  <w:num w:numId="19">
    <w:abstractNumId w:val="5"/>
  </w:num>
  <w:num w:numId="20">
    <w:abstractNumId w:val="10"/>
  </w:num>
  <w:num w:numId="21">
    <w:abstractNumId w:val="14"/>
  </w:num>
  <w:num w:numId="22">
    <w:abstractNumId w:val="11"/>
  </w:num>
  <w:num w:numId="23">
    <w:abstractNumId w:val="24"/>
  </w:num>
  <w:num w:numId="24">
    <w:abstractNumId w:val="4"/>
  </w:num>
  <w:num w:numId="25">
    <w:abstractNumId w:val="9"/>
  </w:num>
  <w:num w:numId="26">
    <w:abstractNumId w:val="19"/>
  </w:num>
  <w:num w:numId="27">
    <w:abstractNumId w:val="29"/>
  </w:num>
  <w:num w:numId="28">
    <w:abstractNumId w:val="3"/>
  </w:num>
  <w:num w:numId="29">
    <w:abstractNumId w:val="21"/>
  </w:num>
  <w:num w:numId="30">
    <w:abstractNumId w:val="20"/>
  </w:num>
  <w:num w:numId="31">
    <w:abstractNumId w:val="6"/>
  </w:num>
  <w:num w:numId="32">
    <w:abstractNumId w:val="2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4BA2"/>
    <w:rsid w:val="0000618A"/>
    <w:rsid w:val="00014F0D"/>
    <w:rsid w:val="000159C1"/>
    <w:rsid w:val="00017E25"/>
    <w:rsid w:val="000221E4"/>
    <w:rsid w:val="00023CCA"/>
    <w:rsid w:val="00031C6D"/>
    <w:rsid w:val="00054E2B"/>
    <w:rsid w:val="00064D24"/>
    <w:rsid w:val="000763CC"/>
    <w:rsid w:val="00083A79"/>
    <w:rsid w:val="000B302C"/>
    <w:rsid w:val="000D2D80"/>
    <w:rsid w:val="000D6956"/>
    <w:rsid w:val="000E4BA2"/>
    <w:rsid w:val="000F712D"/>
    <w:rsid w:val="00105DD4"/>
    <w:rsid w:val="00111618"/>
    <w:rsid w:val="00120517"/>
    <w:rsid w:val="0012124B"/>
    <w:rsid w:val="00126870"/>
    <w:rsid w:val="0014366F"/>
    <w:rsid w:val="00154E8A"/>
    <w:rsid w:val="00156191"/>
    <w:rsid w:val="00161922"/>
    <w:rsid w:val="00172735"/>
    <w:rsid w:val="00174ED6"/>
    <w:rsid w:val="001922AD"/>
    <w:rsid w:val="00195247"/>
    <w:rsid w:val="00196573"/>
    <w:rsid w:val="001A58A9"/>
    <w:rsid w:val="001C7C31"/>
    <w:rsid w:val="001C7FDC"/>
    <w:rsid w:val="001E6BB0"/>
    <w:rsid w:val="00200063"/>
    <w:rsid w:val="00211EC3"/>
    <w:rsid w:val="00222E7A"/>
    <w:rsid w:val="002412FF"/>
    <w:rsid w:val="00253432"/>
    <w:rsid w:val="002555DC"/>
    <w:rsid w:val="0026111C"/>
    <w:rsid w:val="0028131C"/>
    <w:rsid w:val="00284BC6"/>
    <w:rsid w:val="002867A3"/>
    <w:rsid w:val="00290FD9"/>
    <w:rsid w:val="002A3246"/>
    <w:rsid w:val="002B529B"/>
    <w:rsid w:val="002D169A"/>
    <w:rsid w:val="002D2465"/>
    <w:rsid w:val="002D5D5F"/>
    <w:rsid w:val="002E237B"/>
    <w:rsid w:val="002E6BE6"/>
    <w:rsid w:val="00304327"/>
    <w:rsid w:val="00324194"/>
    <w:rsid w:val="003279E6"/>
    <w:rsid w:val="0033598F"/>
    <w:rsid w:val="00355EC5"/>
    <w:rsid w:val="00357124"/>
    <w:rsid w:val="0036456A"/>
    <w:rsid w:val="0036794C"/>
    <w:rsid w:val="00373DE3"/>
    <w:rsid w:val="00385A1F"/>
    <w:rsid w:val="00395301"/>
    <w:rsid w:val="003968C2"/>
    <w:rsid w:val="00397ED6"/>
    <w:rsid w:val="003A1FB0"/>
    <w:rsid w:val="003B1181"/>
    <w:rsid w:val="003B3B67"/>
    <w:rsid w:val="003C16B7"/>
    <w:rsid w:val="003C229D"/>
    <w:rsid w:val="003D5D76"/>
    <w:rsid w:val="003E170A"/>
    <w:rsid w:val="004004A2"/>
    <w:rsid w:val="00400FF7"/>
    <w:rsid w:val="004150A0"/>
    <w:rsid w:val="00417585"/>
    <w:rsid w:val="0042088D"/>
    <w:rsid w:val="00440A43"/>
    <w:rsid w:val="00482A30"/>
    <w:rsid w:val="004B063C"/>
    <w:rsid w:val="004B6717"/>
    <w:rsid w:val="004B67F3"/>
    <w:rsid w:val="004C6A6D"/>
    <w:rsid w:val="004D3C71"/>
    <w:rsid w:val="004D5709"/>
    <w:rsid w:val="004F1C60"/>
    <w:rsid w:val="0053464B"/>
    <w:rsid w:val="005627BE"/>
    <w:rsid w:val="0056658A"/>
    <w:rsid w:val="00571D01"/>
    <w:rsid w:val="005834C1"/>
    <w:rsid w:val="00583C4F"/>
    <w:rsid w:val="00585047"/>
    <w:rsid w:val="005C16B4"/>
    <w:rsid w:val="005C4A2E"/>
    <w:rsid w:val="005C6C8F"/>
    <w:rsid w:val="005D1AD8"/>
    <w:rsid w:val="005E48D0"/>
    <w:rsid w:val="005F1501"/>
    <w:rsid w:val="005F7DFD"/>
    <w:rsid w:val="00606E3D"/>
    <w:rsid w:val="00637628"/>
    <w:rsid w:val="00646B6A"/>
    <w:rsid w:val="00650C1F"/>
    <w:rsid w:val="00685971"/>
    <w:rsid w:val="006871AD"/>
    <w:rsid w:val="00687871"/>
    <w:rsid w:val="00693556"/>
    <w:rsid w:val="0069498D"/>
    <w:rsid w:val="006A025C"/>
    <w:rsid w:val="006B70CB"/>
    <w:rsid w:val="006C18D6"/>
    <w:rsid w:val="006C2021"/>
    <w:rsid w:val="006C655C"/>
    <w:rsid w:val="006F56F0"/>
    <w:rsid w:val="006F5827"/>
    <w:rsid w:val="00703783"/>
    <w:rsid w:val="00715E1E"/>
    <w:rsid w:val="00723CC6"/>
    <w:rsid w:val="00745D68"/>
    <w:rsid w:val="007A2DB9"/>
    <w:rsid w:val="007B72C2"/>
    <w:rsid w:val="007B791D"/>
    <w:rsid w:val="007C2638"/>
    <w:rsid w:val="007E01C3"/>
    <w:rsid w:val="007E31BB"/>
    <w:rsid w:val="00807C49"/>
    <w:rsid w:val="00812D5B"/>
    <w:rsid w:val="00814944"/>
    <w:rsid w:val="00814B93"/>
    <w:rsid w:val="008154C5"/>
    <w:rsid w:val="00816DF4"/>
    <w:rsid w:val="008175F3"/>
    <w:rsid w:val="0082717E"/>
    <w:rsid w:val="00834135"/>
    <w:rsid w:val="008362B0"/>
    <w:rsid w:val="0084316D"/>
    <w:rsid w:val="00853F95"/>
    <w:rsid w:val="00854223"/>
    <w:rsid w:val="008761C4"/>
    <w:rsid w:val="0088793B"/>
    <w:rsid w:val="008944F6"/>
    <w:rsid w:val="008B2CDD"/>
    <w:rsid w:val="008C2539"/>
    <w:rsid w:val="008C4FA5"/>
    <w:rsid w:val="008D3FC2"/>
    <w:rsid w:val="008F1B24"/>
    <w:rsid w:val="00907F87"/>
    <w:rsid w:val="00933531"/>
    <w:rsid w:val="009377FC"/>
    <w:rsid w:val="00943F3E"/>
    <w:rsid w:val="00957FDE"/>
    <w:rsid w:val="009662C8"/>
    <w:rsid w:val="0096693D"/>
    <w:rsid w:val="00972BCB"/>
    <w:rsid w:val="00975217"/>
    <w:rsid w:val="009A2796"/>
    <w:rsid w:val="009A4E1F"/>
    <w:rsid w:val="009B3409"/>
    <w:rsid w:val="009B3585"/>
    <w:rsid w:val="009B5F2B"/>
    <w:rsid w:val="009C2CA1"/>
    <w:rsid w:val="009C3F15"/>
    <w:rsid w:val="009D389F"/>
    <w:rsid w:val="009E1ABC"/>
    <w:rsid w:val="00A019D5"/>
    <w:rsid w:val="00A41019"/>
    <w:rsid w:val="00A41089"/>
    <w:rsid w:val="00A45066"/>
    <w:rsid w:val="00A53980"/>
    <w:rsid w:val="00A66446"/>
    <w:rsid w:val="00A86A64"/>
    <w:rsid w:val="00AA7058"/>
    <w:rsid w:val="00AB11C0"/>
    <w:rsid w:val="00AB11DD"/>
    <w:rsid w:val="00AB300A"/>
    <w:rsid w:val="00AB6BD9"/>
    <w:rsid w:val="00AC42E4"/>
    <w:rsid w:val="00AC4906"/>
    <w:rsid w:val="00AD3A24"/>
    <w:rsid w:val="00AF3607"/>
    <w:rsid w:val="00B05F8B"/>
    <w:rsid w:val="00B20C98"/>
    <w:rsid w:val="00B2580E"/>
    <w:rsid w:val="00B3439A"/>
    <w:rsid w:val="00B37702"/>
    <w:rsid w:val="00B42F70"/>
    <w:rsid w:val="00B6708E"/>
    <w:rsid w:val="00B82A65"/>
    <w:rsid w:val="00B94C3C"/>
    <w:rsid w:val="00BA1F5F"/>
    <w:rsid w:val="00BB3908"/>
    <w:rsid w:val="00BB5A5C"/>
    <w:rsid w:val="00BE133F"/>
    <w:rsid w:val="00C22959"/>
    <w:rsid w:val="00C33D56"/>
    <w:rsid w:val="00C46BD6"/>
    <w:rsid w:val="00C66D46"/>
    <w:rsid w:val="00C72E06"/>
    <w:rsid w:val="00C73D2D"/>
    <w:rsid w:val="00C80078"/>
    <w:rsid w:val="00C84444"/>
    <w:rsid w:val="00C86E05"/>
    <w:rsid w:val="00CB79E7"/>
    <w:rsid w:val="00CD1A3B"/>
    <w:rsid w:val="00CF1A65"/>
    <w:rsid w:val="00D03087"/>
    <w:rsid w:val="00D0742B"/>
    <w:rsid w:val="00D41973"/>
    <w:rsid w:val="00D44D2F"/>
    <w:rsid w:val="00D46817"/>
    <w:rsid w:val="00D5762C"/>
    <w:rsid w:val="00D62814"/>
    <w:rsid w:val="00D74A85"/>
    <w:rsid w:val="00D7615C"/>
    <w:rsid w:val="00D7662F"/>
    <w:rsid w:val="00D77887"/>
    <w:rsid w:val="00D95DD3"/>
    <w:rsid w:val="00DA3A2C"/>
    <w:rsid w:val="00DA563F"/>
    <w:rsid w:val="00DB2819"/>
    <w:rsid w:val="00DD5EEF"/>
    <w:rsid w:val="00DE1D8E"/>
    <w:rsid w:val="00DE7AD7"/>
    <w:rsid w:val="00E1106D"/>
    <w:rsid w:val="00E17879"/>
    <w:rsid w:val="00E20589"/>
    <w:rsid w:val="00E254E1"/>
    <w:rsid w:val="00E319E6"/>
    <w:rsid w:val="00E31B70"/>
    <w:rsid w:val="00E37BB9"/>
    <w:rsid w:val="00E541B4"/>
    <w:rsid w:val="00E57C74"/>
    <w:rsid w:val="00E67F2A"/>
    <w:rsid w:val="00E71129"/>
    <w:rsid w:val="00E725F7"/>
    <w:rsid w:val="00E74E57"/>
    <w:rsid w:val="00E9383B"/>
    <w:rsid w:val="00EA403C"/>
    <w:rsid w:val="00EA70A4"/>
    <w:rsid w:val="00EB1978"/>
    <w:rsid w:val="00EB2C7C"/>
    <w:rsid w:val="00EB5A0B"/>
    <w:rsid w:val="00EC4F22"/>
    <w:rsid w:val="00ED2020"/>
    <w:rsid w:val="00ED43D3"/>
    <w:rsid w:val="00F00C9E"/>
    <w:rsid w:val="00F00E1D"/>
    <w:rsid w:val="00F0163F"/>
    <w:rsid w:val="00F02C1F"/>
    <w:rsid w:val="00F24570"/>
    <w:rsid w:val="00F35628"/>
    <w:rsid w:val="00F447E8"/>
    <w:rsid w:val="00F67FF7"/>
    <w:rsid w:val="00F67FF9"/>
    <w:rsid w:val="00F86B3C"/>
    <w:rsid w:val="00F904C9"/>
    <w:rsid w:val="00FA152A"/>
    <w:rsid w:val="00FE7BDE"/>
    <w:rsid w:val="00FF2728"/>
    <w:rsid w:val="00FF7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33"/>
        <o:r id="V:Rule3" type="connector" idref="#_x0000_s1034"/>
        <o:r id="V:Rule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908"/>
    <w:pPr>
      <w:ind w:firstLineChars="200" w:firstLine="420"/>
    </w:pPr>
  </w:style>
  <w:style w:type="paragraph" w:styleId="a4">
    <w:name w:val="header"/>
    <w:basedOn w:val="a"/>
    <w:link w:val="Char"/>
    <w:uiPriority w:val="99"/>
    <w:unhideWhenUsed/>
    <w:rsid w:val="00015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59C1"/>
    <w:rPr>
      <w:sz w:val="18"/>
      <w:szCs w:val="18"/>
    </w:rPr>
  </w:style>
  <w:style w:type="paragraph" w:styleId="a5">
    <w:name w:val="footer"/>
    <w:basedOn w:val="a"/>
    <w:link w:val="Char0"/>
    <w:uiPriority w:val="99"/>
    <w:unhideWhenUsed/>
    <w:rsid w:val="000159C1"/>
    <w:pPr>
      <w:tabs>
        <w:tab w:val="center" w:pos="4153"/>
        <w:tab w:val="right" w:pos="8306"/>
      </w:tabs>
      <w:snapToGrid w:val="0"/>
      <w:jc w:val="left"/>
    </w:pPr>
    <w:rPr>
      <w:sz w:val="18"/>
      <w:szCs w:val="18"/>
    </w:rPr>
  </w:style>
  <w:style w:type="character" w:customStyle="1" w:styleId="Char0">
    <w:name w:val="页脚 Char"/>
    <w:basedOn w:val="a0"/>
    <w:link w:val="a5"/>
    <w:uiPriority w:val="99"/>
    <w:rsid w:val="000159C1"/>
    <w:rPr>
      <w:sz w:val="18"/>
      <w:szCs w:val="18"/>
    </w:rPr>
  </w:style>
  <w:style w:type="paragraph" w:styleId="a6">
    <w:name w:val="Balloon Text"/>
    <w:basedOn w:val="a"/>
    <w:link w:val="Char1"/>
    <w:uiPriority w:val="99"/>
    <w:semiHidden/>
    <w:unhideWhenUsed/>
    <w:rsid w:val="000159C1"/>
    <w:rPr>
      <w:sz w:val="18"/>
      <w:szCs w:val="18"/>
    </w:rPr>
  </w:style>
  <w:style w:type="character" w:customStyle="1" w:styleId="Char1">
    <w:name w:val="批注框文本 Char"/>
    <w:basedOn w:val="a0"/>
    <w:link w:val="a6"/>
    <w:uiPriority w:val="99"/>
    <w:semiHidden/>
    <w:rsid w:val="000159C1"/>
    <w:rPr>
      <w:sz w:val="18"/>
      <w:szCs w:val="18"/>
    </w:rPr>
  </w:style>
  <w:style w:type="table" w:customStyle="1" w:styleId="2">
    <w:name w:val="网格型2"/>
    <w:basedOn w:val="a1"/>
    <w:uiPriority w:val="59"/>
    <w:rsid w:val="00AB11DD"/>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 一</dc:creator>
  <cp:lastModifiedBy>SABRINA</cp:lastModifiedBy>
  <cp:revision>23</cp:revision>
  <cp:lastPrinted>2021-11-26T02:39:00Z</cp:lastPrinted>
  <dcterms:created xsi:type="dcterms:W3CDTF">2021-04-09T02:09:00Z</dcterms:created>
  <dcterms:modified xsi:type="dcterms:W3CDTF">2021-12-09T01:46:00Z</dcterms:modified>
</cp:coreProperties>
</file>