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C2453" w14:textId="5806F5AB" w:rsidR="00B71EA3" w:rsidRPr="00B71EA3" w:rsidRDefault="00B71EA3" w:rsidP="00B71EA3">
      <w:pPr>
        <w:spacing w:line="600" w:lineRule="exact"/>
        <w:jc w:val="center"/>
        <w:outlineLvl w:val="0"/>
        <w:rPr>
          <w:rFonts w:ascii="黑体" w:eastAsia="黑体" w:hAnsi="黑体" w:cs="Times New Roman"/>
          <w:b/>
          <w:sz w:val="36"/>
          <w:szCs w:val="36"/>
        </w:rPr>
      </w:pPr>
      <w:bookmarkStart w:id="0" w:name="_Toc356840120"/>
      <w:bookmarkStart w:id="1" w:name="_GoBack"/>
      <w:bookmarkEnd w:id="1"/>
      <w:r w:rsidRPr="00B71EA3">
        <w:rPr>
          <w:rFonts w:ascii="黑体" w:eastAsia="黑体" w:hAnsi="黑体" w:cs="Times New Roman" w:hint="eastAsia"/>
          <w:b/>
          <w:sz w:val="36"/>
          <w:szCs w:val="36"/>
        </w:rPr>
        <w:t xml:space="preserve">第三号 </w:t>
      </w:r>
      <w:proofErr w:type="gramStart"/>
      <w:r w:rsidRPr="00B71EA3">
        <w:rPr>
          <w:rFonts w:ascii="黑体" w:eastAsia="黑体" w:hAnsi="黑体" w:cs="Times New Roman" w:hint="eastAsia"/>
          <w:b/>
          <w:sz w:val="36"/>
          <w:szCs w:val="36"/>
        </w:rPr>
        <w:t>科创板</w:t>
      </w:r>
      <w:proofErr w:type="gramEnd"/>
      <w:r w:rsidRPr="00B71EA3">
        <w:rPr>
          <w:rFonts w:ascii="黑体" w:eastAsia="黑体" w:hAnsi="黑体" w:cs="Times New Roman" w:hint="eastAsia"/>
          <w:b/>
          <w:sz w:val="36"/>
          <w:szCs w:val="36"/>
        </w:rPr>
        <w:t>上市公司股票撤销风险警示公告</w:t>
      </w:r>
      <w:bookmarkEnd w:id="0"/>
    </w:p>
    <w:p w14:paraId="08EA500F" w14:textId="77777777" w:rsidR="00B71EA3" w:rsidRPr="00B71EA3" w:rsidRDefault="00B71EA3" w:rsidP="00B71EA3">
      <w:pPr>
        <w:spacing w:line="600" w:lineRule="exact"/>
        <w:rPr>
          <w:rFonts w:ascii="仿宋_GB2312" w:eastAsia="仿宋_GB2312" w:hAnsi="Calibri" w:cs="Times New Roman"/>
          <w:sz w:val="30"/>
          <w:szCs w:val="30"/>
        </w:rPr>
      </w:pPr>
    </w:p>
    <w:p w14:paraId="200E0301" w14:textId="77777777" w:rsidR="00B71EA3" w:rsidRPr="00B71EA3" w:rsidRDefault="00B71EA3" w:rsidP="00B71EA3">
      <w:pPr>
        <w:spacing w:line="600" w:lineRule="exact"/>
        <w:rPr>
          <w:rFonts w:ascii="仿宋_GB2312" w:eastAsia="仿宋_GB2312" w:hAnsi="宋体" w:cs="Times New Roman"/>
          <w:b/>
          <w:bCs/>
          <w:sz w:val="30"/>
          <w:szCs w:val="30"/>
        </w:rPr>
      </w:pPr>
      <w:r w:rsidRPr="00B71EA3">
        <w:rPr>
          <w:rFonts w:ascii="仿宋_GB2312" w:eastAsia="仿宋_GB2312" w:hAnsi="宋体" w:cs="Times New Roman" w:hint="eastAsia"/>
          <w:b/>
          <w:bCs/>
          <w:sz w:val="30"/>
          <w:szCs w:val="30"/>
        </w:rPr>
        <w:t>适用情形：</w:t>
      </w:r>
    </w:p>
    <w:p w14:paraId="5495EFA4" w14:textId="1277B358" w:rsidR="00B71EA3" w:rsidRPr="00B71EA3" w:rsidRDefault="00B71EA3" w:rsidP="00B71EA3">
      <w:pPr>
        <w:spacing w:line="600" w:lineRule="exact"/>
        <w:ind w:firstLineChars="200" w:firstLine="600"/>
        <w:rPr>
          <w:rFonts w:ascii="仿宋_GB2312" w:eastAsia="仿宋_GB2312" w:hAnsi="宋体" w:cs="Times New Roman"/>
          <w:bCs/>
          <w:sz w:val="30"/>
          <w:szCs w:val="30"/>
        </w:rPr>
      </w:pPr>
      <w:r w:rsidRPr="00B71EA3">
        <w:rPr>
          <w:rFonts w:ascii="仿宋_GB2312" w:eastAsia="仿宋_GB2312" w:hAnsi="宋体" w:cs="Times New Roman" w:hint="eastAsia"/>
          <w:bCs/>
          <w:sz w:val="30"/>
          <w:szCs w:val="30"/>
        </w:rPr>
        <w:t>被实施风险警示的</w:t>
      </w:r>
      <w:proofErr w:type="gramStart"/>
      <w:r w:rsidRPr="00B71EA3">
        <w:rPr>
          <w:rFonts w:ascii="仿宋_GB2312" w:eastAsia="仿宋_GB2312" w:hAnsi="宋体" w:cs="Times New Roman" w:hint="eastAsia"/>
          <w:sz w:val="30"/>
          <w:szCs w:val="30"/>
        </w:rPr>
        <w:t>科创板</w:t>
      </w:r>
      <w:proofErr w:type="gramEnd"/>
      <w:r w:rsidRPr="00B71EA3">
        <w:rPr>
          <w:rFonts w:ascii="仿宋_GB2312" w:eastAsia="仿宋_GB2312" w:hAnsi="宋体" w:cs="Times New Roman" w:hint="eastAsia"/>
          <w:sz w:val="30"/>
          <w:szCs w:val="30"/>
        </w:rPr>
        <w:t>上市公司根据</w:t>
      </w:r>
      <w:r w:rsidRPr="00B71EA3">
        <w:rPr>
          <w:rFonts w:ascii="仿宋_GB2312" w:eastAsia="仿宋_GB2312" w:hAnsi="宋体" w:cs="Times New Roman" w:hint="eastAsia"/>
          <w:bCs/>
          <w:sz w:val="30"/>
          <w:szCs w:val="30"/>
        </w:rPr>
        <w:t>《上海证券交易所科创板股票上市规则》（以下简称《科创板上市规则》）第十二章的规定被撤销风险警示的</w:t>
      </w:r>
      <w:r w:rsidRPr="00B71EA3">
        <w:rPr>
          <w:rFonts w:ascii="仿宋_GB2312" w:eastAsia="仿宋_GB2312" w:hAnsi="宋体" w:cs="Times New Roman" w:hint="eastAsia"/>
          <w:sz w:val="30"/>
          <w:szCs w:val="30"/>
        </w:rPr>
        <w:t>，需履行信息披露义务，适用本公告格式指引</w:t>
      </w:r>
      <w:r w:rsidRPr="00B71EA3">
        <w:rPr>
          <w:rFonts w:ascii="仿宋_GB2312" w:eastAsia="仿宋_GB2312" w:hAnsi="宋体" w:cs="Times New Roman" w:hint="eastAsia"/>
          <w:bCs/>
          <w:sz w:val="30"/>
          <w:szCs w:val="30"/>
        </w:rPr>
        <w:t>。</w:t>
      </w:r>
    </w:p>
    <w:p w14:paraId="17173BD9" w14:textId="77777777" w:rsidR="00B71EA3" w:rsidRPr="00B71EA3" w:rsidRDefault="00B71EA3" w:rsidP="00B71EA3">
      <w:pPr>
        <w:spacing w:line="600" w:lineRule="exact"/>
        <w:ind w:firstLineChars="200" w:firstLine="600"/>
        <w:rPr>
          <w:rFonts w:ascii="仿宋_GB2312" w:eastAsia="仿宋_GB2312" w:hAnsi="宋体" w:cs="Times New Roman"/>
          <w:bCs/>
          <w:sz w:val="30"/>
          <w:szCs w:val="30"/>
        </w:rPr>
      </w:pPr>
    </w:p>
    <w:p w14:paraId="715FC26E" w14:textId="77777777" w:rsidR="00B71EA3" w:rsidRPr="00B71EA3" w:rsidRDefault="00B71EA3" w:rsidP="00B71EA3">
      <w:pPr>
        <w:adjustRightInd w:val="0"/>
        <w:snapToGrid w:val="0"/>
        <w:spacing w:line="600" w:lineRule="exact"/>
        <w:jc w:val="center"/>
        <w:rPr>
          <w:rFonts w:ascii="仿宋_GB2312" w:eastAsia="仿宋_GB2312" w:hAnsi="宋体" w:cs="Times New Roman"/>
          <w:sz w:val="30"/>
          <w:szCs w:val="30"/>
        </w:rPr>
      </w:pPr>
      <w:r w:rsidRPr="00B71EA3">
        <w:rPr>
          <w:rFonts w:ascii="仿宋_GB2312" w:eastAsia="仿宋_GB2312" w:hAnsi="宋体" w:cs="Times New Roman" w:hint="eastAsia"/>
          <w:sz w:val="30"/>
          <w:szCs w:val="30"/>
        </w:rPr>
        <w:t>证券代码：             证券简称：            公告编号：</w:t>
      </w:r>
    </w:p>
    <w:p w14:paraId="01B2E48F" w14:textId="77777777" w:rsidR="00B71EA3" w:rsidRPr="00B71EA3" w:rsidRDefault="00B71EA3" w:rsidP="00B71EA3">
      <w:pPr>
        <w:adjustRightInd w:val="0"/>
        <w:snapToGrid w:val="0"/>
        <w:spacing w:line="600" w:lineRule="exact"/>
        <w:ind w:firstLineChars="200" w:firstLine="600"/>
        <w:jc w:val="left"/>
        <w:rPr>
          <w:rFonts w:ascii="仿宋_GB2312" w:eastAsia="仿宋_GB2312" w:hAnsi="宋体" w:cs="Times New Roman"/>
          <w:sz w:val="30"/>
          <w:szCs w:val="30"/>
        </w:rPr>
      </w:pPr>
    </w:p>
    <w:p w14:paraId="46F6F952" w14:textId="1527ED25" w:rsidR="00B71EA3" w:rsidRPr="00B71EA3" w:rsidRDefault="00B71EA3" w:rsidP="00B71EA3">
      <w:pPr>
        <w:adjustRightInd w:val="0"/>
        <w:snapToGrid w:val="0"/>
        <w:spacing w:line="600" w:lineRule="exact"/>
        <w:jc w:val="center"/>
        <w:rPr>
          <w:rFonts w:ascii="仿宋_GB2312" w:eastAsia="仿宋_GB2312" w:hAnsi="宋体" w:cs="Times New Roman"/>
          <w:bCs/>
          <w:color w:val="000000"/>
          <w:sz w:val="30"/>
          <w:szCs w:val="30"/>
        </w:rPr>
      </w:pPr>
      <w:r w:rsidRPr="00B71EA3">
        <w:rPr>
          <w:rFonts w:ascii="仿宋_GB2312" w:eastAsia="仿宋_GB2312" w:hAnsi="宋体" w:cs="Times New Roman" w:hint="eastAsia"/>
          <w:bCs/>
          <w:color w:val="000000"/>
          <w:sz w:val="30"/>
          <w:szCs w:val="30"/>
        </w:rPr>
        <w:t>XXXX股份有限公司股票撤销风险警示公告</w:t>
      </w:r>
    </w:p>
    <w:p w14:paraId="0BC7A18D" w14:textId="77777777" w:rsidR="00B71EA3" w:rsidRPr="00B71EA3" w:rsidRDefault="00B71EA3" w:rsidP="00B71EA3">
      <w:pPr>
        <w:adjustRightInd w:val="0"/>
        <w:snapToGrid w:val="0"/>
        <w:spacing w:line="600" w:lineRule="exact"/>
        <w:jc w:val="center"/>
        <w:rPr>
          <w:rFonts w:ascii="仿宋_GB2312" w:eastAsia="仿宋_GB2312" w:hAnsi="宋体" w:cs="Times New Roman"/>
          <w:bCs/>
          <w:color w:val="000000"/>
          <w:sz w:val="30"/>
          <w:szCs w:val="30"/>
        </w:rPr>
      </w:pPr>
    </w:p>
    <w:p w14:paraId="048D51C7" w14:textId="77777777" w:rsidR="00B71EA3" w:rsidRPr="00B71EA3" w:rsidRDefault="00B71EA3" w:rsidP="00B71EA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本公司董事会及全体董事保证本公告内容不存在任何虚假记载、误导性陈述或者重大遗漏，并对其内容的真实性、准确性和完整性依法承担法律责任。</w:t>
      </w:r>
    </w:p>
    <w:p w14:paraId="3C86F192" w14:textId="77777777" w:rsidR="00B71EA3" w:rsidRPr="00B71EA3" w:rsidRDefault="00B71EA3" w:rsidP="00B71EA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如有董事对临时公告内容的真实性、准确性和完整性无法保证或存在异议的，公司应当在公告中作特别提示。</w:t>
      </w:r>
    </w:p>
    <w:p w14:paraId="1FEE434F" w14:textId="77777777" w:rsidR="00B71EA3" w:rsidRPr="00B71EA3" w:rsidRDefault="00B71EA3" w:rsidP="00B71EA3">
      <w:pPr>
        <w:spacing w:line="600" w:lineRule="exact"/>
        <w:ind w:firstLineChars="200" w:firstLine="600"/>
        <w:rPr>
          <w:rFonts w:ascii="仿宋_GB2312" w:eastAsia="仿宋_GB2312" w:hAnsi="Calibri" w:cs="Times New Roman"/>
          <w:sz w:val="30"/>
          <w:szCs w:val="30"/>
        </w:rPr>
      </w:pPr>
    </w:p>
    <w:p w14:paraId="1298FC4D" w14:textId="77777777" w:rsidR="00B71EA3" w:rsidRPr="00B71EA3" w:rsidRDefault="00B71EA3" w:rsidP="00B71EA3">
      <w:pPr>
        <w:adjustRightInd w:val="0"/>
        <w:snapToGrid w:val="0"/>
        <w:spacing w:line="600" w:lineRule="exact"/>
        <w:ind w:firstLineChars="200" w:firstLine="602"/>
        <w:rPr>
          <w:rFonts w:ascii="仿宋_GB2312" w:eastAsia="仿宋_GB2312" w:hAnsi="宋体" w:cs="Times New Roman"/>
          <w:b/>
          <w:sz w:val="30"/>
          <w:szCs w:val="30"/>
        </w:rPr>
      </w:pPr>
      <w:r w:rsidRPr="00B71EA3">
        <w:rPr>
          <w:rFonts w:ascii="仿宋_GB2312" w:eastAsia="仿宋_GB2312" w:hAnsi="宋体" w:cs="Times New Roman" w:hint="eastAsia"/>
          <w:b/>
          <w:sz w:val="30"/>
          <w:szCs w:val="30"/>
        </w:rPr>
        <w:t>重要内容提示：</w:t>
      </w:r>
    </w:p>
    <w:p w14:paraId="1213DE35" w14:textId="77777777" w:rsidR="00B71EA3" w:rsidRPr="00B71EA3" w:rsidRDefault="00B71EA3" w:rsidP="00B71EA3">
      <w:pPr>
        <w:numPr>
          <w:ilvl w:val="0"/>
          <w:numId w:val="1"/>
        </w:numPr>
        <w:adjustRightInd w:val="0"/>
        <w:snapToGrid w:val="0"/>
        <w:spacing w:line="600" w:lineRule="exact"/>
        <w:ind w:left="0" w:firstLineChars="200" w:firstLine="600"/>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停牌</w:t>
      </w:r>
      <w:r w:rsidRPr="00B71EA3">
        <w:rPr>
          <w:rFonts w:ascii="仿宋_GB2312" w:eastAsia="仿宋_GB2312" w:hAnsi="宋体" w:cs="Times New Roman"/>
          <w:color w:val="000000"/>
          <w:sz w:val="30"/>
          <w:szCs w:val="30"/>
        </w:rPr>
        <w:t>安排</w:t>
      </w:r>
    </w:p>
    <w:p w14:paraId="1F404EA1" w14:textId="37C1646E" w:rsidR="00B71EA3" w:rsidRPr="00B71EA3" w:rsidRDefault="00B71EA3" w:rsidP="00B71EA3">
      <w:pPr>
        <w:numPr>
          <w:ilvl w:val="0"/>
          <w:numId w:val="1"/>
        </w:numPr>
        <w:adjustRightInd w:val="0"/>
        <w:snapToGrid w:val="0"/>
        <w:spacing w:line="600" w:lineRule="exact"/>
        <w:ind w:left="0" w:firstLineChars="200" w:firstLine="600"/>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撤销风险警示的起始日</w:t>
      </w:r>
    </w:p>
    <w:p w14:paraId="011532E2" w14:textId="1136AE73" w:rsidR="00B71EA3" w:rsidRPr="00B71EA3" w:rsidRDefault="00B71EA3" w:rsidP="00B71EA3">
      <w:pPr>
        <w:numPr>
          <w:ilvl w:val="0"/>
          <w:numId w:val="1"/>
        </w:numPr>
        <w:adjustRightInd w:val="0"/>
        <w:snapToGrid w:val="0"/>
        <w:spacing w:line="600" w:lineRule="exact"/>
        <w:ind w:left="0" w:firstLineChars="200" w:firstLine="600"/>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撤销风险警示后的证券简称、</w:t>
      </w:r>
      <w:proofErr w:type="gramStart"/>
      <w:r w:rsidRPr="00B71EA3">
        <w:rPr>
          <w:rFonts w:ascii="仿宋_GB2312" w:eastAsia="仿宋_GB2312" w:hAnsi="宋体" w:cs="Times New Roman" w:hint="eastAsia"/>
          <w:color w:val="000000"/>
          <w:sz w:val="30"/>
          <w:szCs w:val="30"/>
        </w:rPr>
        <w:t>扩位证券</w:t>
      </w:r>
      <w:proofErr w:type="gramEnd"/>
      <w:r w:rsidRPr="00B71EA3">
        <w:rPr>
          <w:rFonts w:ascii="仿宋_GB2312" w:eastAsia="仿宋_GB2312" w:hAnsi="宋体" w:cs="Times New Roman" w:hint="eastAsia"/>
          <w:color w:val="000000"/>
          <w:sz w:val="30"/>
          <w:szCs w:val="30"/>
        </w:rPr>
        <w:t>简称、证券代码</w:t>
      </w:r>
    </w:p>
    <w:p w14:paraId="254DCB04" w14:textId="1B1CDD0E" w:rsidR="00B71EA3" w:rsidRPr="00B71EA3" w:rsidRDefault="00B71EA3" w:rsidP="00B71EA3">
      <w:pPr>
        <w:numPr>
          <w:ilvl w:val="0"/>
          <w:numId w:val="1"/>
        </w:numPr>
        <w:adjustRightInd w:val="0"/>
        <w:snapToGrid w:val="0"/>
        <w:spacing w:line="600" w:lineRule="exact"/>
        <w:ind w:left="0" w:firstLineChars="200" w:firstLine="600"/>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撤销风险警示后，投资者当日通过竞价交易、大宗交易和</w:t>
      </w:r>
      <w:r w:rsidRPr="00B71EA3">
        <w:rPr>
          <w:rFonts w:ascii="仿宋_GB2312" w:eastAsia="仿宋_GB2312" w:hAnsi="宋体" w:cs="Times New Roman" w:hint="eastAsia"/>
          <w:color w:val="000000"/>
          <w:sz w:val="30"/>
          <w:szCs w:val="30"/>
        </w:rPr>
        <w:lastRenderedPageBreak/>
        <w:t>盘后固定价格交易累计买入的公司股票数量</w:t>
      </w:r>
      <w:r w:rsidRPr="00B71EA3">
        <w:rPr>
          <w:rFonts w:ascii="仿宋_GB2312" w:eastAsia="仿宋_GB2312" w:hAnsi="宋体" w:cs="Times New Roman"/>
          <w:color w:val="000000"/>
          <w:sz w:val="30"/>
          <w:szCs w:val="30"/>
        </w:rPr>
        <w:t>不</w:t>
      </w:r>
      <w:r w:rsidRPr="00B71EA3">
        <w:rPr>
          <w:rFonts w:ascii="仿宋_GB2312" w:eastAsia="仿宋_GB2312" w:hAnsi="宋体" w:cs="Times New Roman" w:hint="eastAsia"/>
          <w:color w:val="000000"/>
          <w:sz w:val="30"/>
          <w:szCs w:val="30"/>
        </w:rPr>
        <w:t>再适用《科创板</w:t>
      </w:r>
      <w:r w:rsidRPr="00B71EA3">
        <w:rPr>
          <w:rFonts w:ascii="仿宋_GB2312" w:eastAsia="仿宋_GB2312" w:hAnsi="宋体" w:cs="Times New Roman"/>
          <w:color w:val="000000"/>
          <w:sz w:val="30"/>
          <w:szCs w:val="30"/>
        </w:rPr>
        <w:t>上市规则</w:t>
      </w:r>
      <w:r w:rsidRPr="00B71EA3">
        <w:rPr>
          <w:rFonts w:ascii="仿宋_GB2312" w:eastAsia="仿宋_GB2312" w:hAnsi="宋体" w:cs="Times New Roman" w:hint="eastAsia"/>
          <w:color w:val="000000"/>
          <w:sz w:val="30"/>
          <w:szCs w:val="30"/>
        </w:rPr>
        <w:t>》第</w:t>
      </w:r>
      <w:r w:rsidRPr="00B71EA3">
        <w:rPr>
          <w:rFonts w:ascii="仿宋_GB2312" w:eastAsia="仿宋_GB2312" w:hAnsi="宋体" w:cs="Times New Roman"/>
          <w:color w:val="000000"/>
          <w:sz w:val="30"/>
          <w:szCs w:val="30"/>
        </w:rPr>
        <w:t>12.1.</w:t>
      </w:r>
      <w:r w:rsidR="00D5026E">
        <w:rPr>
          <w:rFonts w:ascii="仿宋_GB2312" w:eastAsia="仿宋_GB2312" w:hAnsi="宋体" w:cs="Times New Roman"/>
          <w:color w:val="000000"/>
          <w:sz w:val="30"/>
          <w:szCs w:val="30"/>
        </w:rPr>
        <w:t>4</w:t>
      </w:r>
      <w:r w:rsidRPr="00B71EA3">
        <w:rPr>
          <w:rFonts w:ascii="仿宋_GB2312" w:eastAsia="仿宋_GB2312" w:hAnsi="宋体" w:cs="Times New Roman"/>
          <w:color w:val="000000"/>
          <w:sz w:val="30"/>
          <w:szCs w:val="30"/>
        </w:rPr>
        <w:t>条有关规定</w:t>
      </w:r>
      <w:r w:rsidRPr="00B71EA3">
        <w:rPr>
          <w:rFonts w:ascii="仿宋_GB2312" w:eastAsia="仿宋_GB2312" w:hAnsi="宋体" w:cs="Times New Roman" w:hint="eastAsia"/>
          <w:color w:val="000000"/>
          <w:sz w:val="30"/>
          <w:szCs w:val="30"/>
        </w:rPr>
        <w:t>。公司股票的涨跌幅不变，仍为</w:t>
      </w:r>
      <w:r w:rsidRPr="00B71EA3">
        <w:rPr>
          <w:rFonts w:ascii="仿宋_GB2312" w:eastAsia="仿宋_GB2312" w:hAnsi="宋体" w:cs="Times New Roman"/>
          <w:color w:val="000000"/>
          <w:sz w:val="30"/>
          <w:szCs w:val="30"/>
        </w:rPr>
        <w:t>20%。</w:t>
      </w:r>
    </w:p>
    <w:p w14:paraId="347213CC" w14:textId="77777777" w:rsidR="00B71EA3" w:rsidRPr="00B71EA3" w:rsidRDefault="00B71EA3" w:rsidP="00B71EA3">
      <w:pPr>
        <w:adjustRightInd w:val="0"/>
        <w:snapToGrid w:val="0"/>
        <w:spacing w:line="600" w:lineRule="exact"/>
        <w:ind w:left="420"/>
        <w:rPr>
          <w:rFonts w:ascii="仿宋_GB2312" w:eastAsia="仿宋_GB2312" w:hAnsi="宋体" w:cs="Times New Roman"/>
          <w:color w:val="000000"/>
          <w:sz w:val="30"/>
          <w:szCs w:val="30"/>
        </w:rPr>
      </w:pPr>
    </w:p>
    <w:p w14:paraId="176E590F" w14:textId="3D592140" w:rsidR="00B71EA3" w:rsidRPr="00B71EA3" w:rsidRDefault="00B71EA3" w:rsidP="00B71EA3">
      <w:pPr>
        <w:adjustRightInd w:val="0"/>
        <w:snapToGrid w:val="0"/>
        <w:spacing w:line="600" w:lineRule="exact"/>
        <w:ind w:firstLineChars="200" w:firstLine="643"/>
        <w:rPr>
          <w:rFonts w:ascii="黑体" w:eastAsia="黑体" w:hAnsi="黑体" w:cs="Times New Roman"/>
          <w:b/>
          <w:sz w:val="32"/>
          <w:szCs w:val="30"/>
        </w:rPr>
      </w:pPr>
      <w:r w:rsidRPr="00B71EA3">
        <w:rPr>
          <w:rFonts w:ascii="黑体" w:eastAsia="黑体" w:hAnsi="黑体" w:cs="Times New Roman" w:hint="eastAsia"/>
          <w:b/>
          <w:color w:val="000000"/>
          <w:sz w:val="32"/>
          <w:szCs w:val="30"/>
        </w:rPr>
        <w:t>一</w:t>
      </w:r>
      <w:r w:rsidRPr="00B71EA3">
        <w:rPr>
          <w:rFonts w:ascii="黑体" w:eastAsia="黑体" w:hAnsi="黑体" w:cs="Times New Roman" w:hint="eastAsia"/>
          <w:b/>
          <w:sz w:val="32"/>
          <w:szCs w:val="30"/>
        </w:rPr>
        <w:t>、</w:t>
      </w:r>
      <w:r w:rsidRPr="00B71EA3">
        <w:rPr>
          <w:rFonts w:ascii="黑体" w:eastAsia="黑体" w:hAnsi="黑体" w:cs="Times New Roman" w:hint="eastAsia"/>
          <w:b/>
          <w:color w:val="000000"/>
          <w:sz w:val="32"/>
          <w:szCs w:val="30"/>
        </w:rPr>
        <w:t>证券简称、证券代码以及撤销</w:t>
      </w:r>
      <w:r w:rsidRPr="00B71EA3">
        <w:rPr>
          <w:rFonts w:ascii="黑体" w:eastAsia="黑体" w:hAnsi="黑体" w:cs="Times New Roman" w:hint="eastAsia"/>
          <w:b/>
          <w:sz w:val="32"/>
          <w:szCs w:val="30"/>
        </w:rPr>
        <w:t>风险警示的起始日</w:t>
      </w:r>
    </w:p>
    <w:p w14:paraId="7F5B4B68"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（一）证券简称：证券简称由“XX”变更为“XX”；</w:t>
      </w:r>
    </w:p>
    <w:p w14:paraId="6C68CAC1"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 xml:space="preserve">      </w:t>
      </w:r>
      <w:proofErr w:type="gramStart"/>
      <w:r w:rsidRPr="00B71EA3">
        <w:rPr>
          <w:rFonts w:ascii="仿宋_GB2312" w:eastAsia="仿宋_GB2312" w:hAnsi="宋体" w:cs="Times New Roman" w:hint="eastAsia"/>
          <w:color w:val="000000"/>
          <w:sz w:val="30"/>
          <w:szCs w:val="30"/>
        </w:rPr>
        <w:t>扩位证券</w:t>
      </w:r>
      <w:proofErr w:type="gramEnd"/>
      <w:r w:rsidRPr="00B71EA3">
        <w:rPr>
          <w:rFonts w:ascii="仿宋_GB2312" w:eastAsia="仿宋_GB2312" w:hAnsi="宋体" w:cs="Times New Roman" w:hint="eastAsia"/>
          <w:color w:val="000000"/>
          <w:sz w:val="30"/>
          <w:szCs w:val="30"/>
        </w:rPr>
        <w:t>简称：</w:t>
      </w:r>
      <w:proofErr w:type="gramStart"/>
      <w:r w:rsidRPr="00B71EA3">
        <w:rPr>
          <w:rFonts w:ascii="仿宋_GB2312" w:eastAsia="仿宋_GB2312" w:hAnsi="宋体" w:cs="Times New Roman" w:hint="eastAsia"/>
          <w:sz w:val="30"/>
          <w:szCs w:val="30"/>
        </w:rPr>
        <w:t>扩位证券</w:t>
      </w:r>
      <w:proofErr w:type="gramEnd"/>
      <w:r w:rsidRPr="00B71EA3">
        <w:rPr>
          <w:rFonts w:ascii="仿宋_GB2312" w:eastAsia="仿宋_GB2312" w:hAnsi="宋体" w:cs="Times New Roman" w:hint="eastAsia"/>
          <w:sz w:val="30"/>
          <w:szCs w:val="30"/>
        </w:rPr>
        <w:t>简称由“XX”变更为“XX”；</w:t>
      </w:r>
    </w:p>
    <w:p w14:paraId="0B373AFD"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（二）证券代码仍为“XX”；</w:t>
      </w:r>
    </w:p>
    <w:p w14:paraId="60DEAC89" w14:textId="1F5D72D0"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（三）撤销风险警示的起始日：XX年X月X日。</w:t>
      </w:r>
    </w:p>
    <w:p w14:paraId="598DFF8D" w14:textId="77777777" w:rsidR="00B71EA3" w:rsidRPr="00B71EA3" w:rsidRDefault="00B71EA3" w:rsidP="00B71EA3">
      <w:pPr>
        <w:adjustRightInd w:val="0"/>
        <w:snapToGrid w:val="0"/>
        <w:spacing w:line="600" w:lineRule="exact"/>
        <w:ind w:firstLineChars="200" w:firstLine="602"/>
        <w:rPr>
          <w:rFonts w:ascii="仿宋_GB2312" w:eastAsia="仿宋_GB2312" w:hAnsi="宋体" w:cs="Times New Roman"/>
          <w:b/>
          <w:sz w:val="30"/>
          <w:szCs w:val="30"/>
        </w:rPr>
      </w:pPr>
    </w:p>
    <w:p w14:paraId="3791A0C3" w14:textId="5F0A51E1" w:rsidR="00B71EA3" w:rsidRPr="00B71EA3" w:rsidRDefault="00B71EA3" w:rsidP="00B71EA3">
      <w:pPr>
        <w:adjustRightInd w:val="0"/>
        <w:snapToGrid w:val="0"/>
        <w:spacing w:line="600" w:lineRule="exact"/>
        <w:ind w:firstLineChars="200" w:firstLine="643"/>
        <w:rPr>
          <w:rFonts w:ascii="黑体" w:eastAsia="黑体" w:hAnsi="黑体" w:cs="Times New Roman"/>
          <w:b/>
          <w:sz w:val="32"/>
          <w:szCs w:val="30"/>
        </w:rPr>
      </w:pPr>
      <w:r w:rsidRPr="00B71EA3">
        <w:rPr>
          <w:rFonts w:ascii="黑体" w:eastAsia="黑体" w:hAnsi="黑体" w:cs="Times New Roman" w:hint="eastAsia"/>
          <w:b/>
          <w:sz w:val="32"/>
          <w:szCs w:val="30"/>
        </w:rPr>
        <w:t>二、撤销风险警示的适用情形</w:t>
      </w:r>
    </w:p>
    <w:p w14:paraId="68D118D4" w14:textId="29F4070C"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简要说明公司符合撤销风险警示情形的有关情况。</w:t>
      </w:r>
    </w:p>
    <w:p w14:paraId="38B25B80" w14:textId="11BF16D4"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根据《科创板上市规则》第XX条等相关规定，公司股票将被撤销风险警示。</w:t>
      </w:r>
    </w:p>
    <w:p w14:paraId="2D6D1937"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说明公司履行相关内部决策程序以及向上海证券交易所提交相关申请、上海证券交易所</w:t>
      </w:r>
      <w:proofErr w:type="gramStart"/>
      <w:r w:rsidRPr="00B71EA3">
        <w:rPr>
          <w:rFonts w:ascii="仿宋_GB2312" w:eastAsia="仿宋_GB2312" w:hAnsi="宋体" w:cs="Times New Roman" w:hint="eastAsia"/>
          <w:sz w:val="30"/>
          <w:szCs w:val="30"/>
        </w:rPr>
        <w:t>作出</w:t>
      </w:r>
      <w:proofErr w:type="gramEnd"/>
      <w:r w:rsidRPr="00B71EA3">
        <w:rPr>
          <w:rFonts w:ascii="仿宋_GB2312" w:eastAsia="仿宋_GB2312" w:hAnsi="宋体" w:cs="Times New Roman" w:hint="eastAsia"/>
          <w:sz w:val="30"/>
          <w:szCs w:val="30"/>
        </w:rPr>
        <w:t>相关决定的情况。</w:t>
      </w:r>
    </w:p>
    <w:p w14:paraId="4D6D130B"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p>
    <w:p w14:paraId="6C807272" w14:textId="6ADB70B8" w:rsidR="00B71EA3" w:rsidRPr="00B71EA3" w:rsidRDefault="00B71EA3" w:rsidP="00B71EA3">
      <w:pPr>
        <w:adjustRightInd w:val="0"/>
        <w:snapToGrid w:val="0"/>
        <w:spacing w:line="600" w:lineRule="exact"/>
        <w:ind w:firstLineChars="200" w:firstLine="643"/>
        <w:rPr>
          <w:rFonts w:ascii="黑体" w:eastAsia="黑体" w:hAnsi="黑体" w:cs="Times New Roman"/>
          <w:b/>
          <w:sz w:val="32"/>
          <w:szCs w:val="30"/>
        </w:rPr>
      </w:pPr>
      <w:r w:rsidRPr="00B71EA3">
        <w:rPr>
          <w:rFonts w:ascii="黑体" w:eastAsia="黑体" w:hAnsi="黑体" w:cs="Times New Roman" w:hint="eastAsia"/>
          <w:b/>
          <w:sz w:val="32"/>
          <w:szCs w:val="30"/>
        </w:rPr>
        <w:t>三、撤销风险警示的有关事项提示</w:t>
      </w:r>
    </w:p>
    <w:p w14:paraId="16B37D5F" w14:textId="7F803B66"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根据《科创板上市规则》第XX条等相关规定，公司股票将于XX年X月X日停牌1天，自X月X日起复牌并撤销风险警示。</w:t>
      </w:r>
    </w:p>
    <w:p w14:paraId="7EDD6605" w14:textId="74F1BC64"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sz w:val="30"/>
          <w:szCs w:val="30"/>
        </w:rPr>
        <w:t>撤销风险警示后，</w:t>
      </w:r>
      <w:r w:rsidRPr="00B71EA3">
        <w:rPr>
          <w:rFonts w:ascii="仿宋_GB2312" w:eastAsia="仿宋_GB2312" w:hAnsi="宋体" w:cs="Times New Roman" w:hint="eastAsia"/>
          <w:color w:val="000000"/>
          <w:sz w:val="30"/>
          <w:szCs w:val="30"/>
        </w:rPr>
        <w:t>投资者当日通过竞价交易、大宗交易和盘后固定价格交易累计买入的公司股票数量</w:t>
      </w:r>
      <w:r w:rsidRPr="00B71EA3">
        <w:rPr>
          <w:rFonts w:ascii="仿宋_GB2312" w:eastAsia="仿宋_GB2312" w:hAnsi="宋体" w:cs="Times New Roman"/>
          <w:color w:val="000000"/>
          <w:sz w:val="30"/>
          <w:szCs w:val="30"/>
        </w:rPr>
        <w:t>不</w:t>
      </w:r>
      <w:r w:rsidRPr="00B71EA3">
        <w:rPr>
          <w:rFonts w:ascii="仿宋_GB2312" w:eastAsia="仿宋_GB2312" w:hAnsi="宋体" w:cs="Times New Roman" w:hint="eastAsia"/>
          <w:color w:val="000000"/>
          <w:sz w:val="30"/>
          <w:szCs w:val="30"/>
        </w:rPr>
        <w:t>再适用《科创板</w:t>
      </w:r>
      <w:r w:rsidRPr="00B71EA3">
        <w:rPr>
          <w:rFonts w:ascii="仿宋_GB2312" w:eastAsia="仿宋_GB2312" w:hAnsi="宋体" w:cs="Times New Roman"/>
          <w:color w:val="000000"/>
          <w:sz w:val="30"/>
          <w:szCs w:val="30"/>
        </w:rPr>
        <w:t>上市规则</w:t>
      </w:r>
      <w:r w:rsidRPr="00B71EA3">
        <w:rPr>
          <w:rFonts w:ascii="仿宋_GB2312" w:eastAsia="仿宋_GB2312" w:hAnsi="宋体" w:cs="Times New Roman" w:hint="eastAsia"/>
          <w:color w:val="000000"/>
          <w:sz w:val="30"/>
          <w:szCs w:val="30"/>
        </w:rPr>
        <w:t>》第12.1.</w:t>
      </w:r>
      <w:r w:rsidR="00393091">
        <w:rPr>
          <w:rFonts w:ascii="仿宋_GB2312" w:eastAsia="仿宋_GB2312" w:hAnsi="宋体" w:cs="Times New Roman"/>
          <w:color w:val="000000"/>
          <w:sz w:val="30"/>
          <w:szCs w:val="30"/>
        </w:rPr>
        <w:t>4</w:t>
      </w:r>
      <w:r w:rsidRPr="00B71EA3">
        <w:rPr>
          <w:rFonts w:ascii="仿宋_GB2312" w:eastAsia="仿宋_GB2312" w:hAnsi="宋体" w:cs="Times New Roman" w:hint="eastAsia"/>
          <w:color w:val="000000"/>
          <w:sz w:val="30"/>
          <w:szCs w:val="30"/>
        </w:rPr>
        <w:t>条有关</w:t>
      </w:r>
      <w:r w:rsidRPr="00B71EA3">
        <w:rPr>
          <w:rFonts w:ascii="仿宋_GB2312" w:eastAsia="仿宋_GB2312" w:hAnsi="宋体" w:cs="Times New Roman"/>
          <w:color w:val="000000"/>
          <w:sz w:val="30"/>
          <w:szCs w:val="30"/>
        </w:rPr>
        <w:t>规定</w:t>
      </w:r>
      <w:r w:rsidRPr="00B71EA3">
        <w:rPr>
          <w:rFonts w:ascii="仿宋_GB2312" w:eastAsia="仿宋_GB2312" w:hAnsi="宋体" w:cs="Times New Roman" w:hint="eastAsia"/>
          <w:color w:val="000000"/>
          <w:sz w:val="30"/>
          <w:szCs w:val="30"/>
        </w:rPr>
        <w:t>。公司</w:t>
      </w:r>
      <w:r w:rsidRPr="00B71EA3">
        <w:rPr>
          <w:rFonts w:ascii="仿宋_GB2312" w:eastAsia="仿宋_GB2312" w:hAnsi="宋体" w:cs="Times New Roman"/>
          <w:sz w:val="30"/>
          <w:szCs w:val="30"/>
        </w:rPr>
        <w:t>股票</w:t>
      </w:r>
      <w:r w:rsidRPr="00B71EA3">
        <w:rPr>
          <w:rFonts w:ascii="仿宋_GB2312" w:eastAsia="仿宋_GB2312" w:hAnsi="宋体" w:cs="Times New Roman" w:hint="eastAsia"/>
          <w:sz w:val="30"/>
          <w:szCs w:val="30"/>
        </w:rPr>
        <w:t>的</w:t>
      </w:r>
      <w:r w:rsidRPr="00B71EA3">
        <w:rPr>
          <w:rFonts w:ascii="仿宋_GB2312" w:eastAsia="仿宋_GB2312" w:hAnsi="宋体" w:cs="Times New Roman"/>
          <w:sz w:val="30"/>
          <w:szCs w:val="30"/>
        </w:rPr>
        <w:t>涨跌幅不变，仍为20%。</w:t>
      </w:r>
    </w:p>
    <w:p w14:paraId="0E9FDD15"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p>
    <w:p w14:paraId="25F12D7F" w14:textId="77777777" w:rsidR="00B71EA3" w:rsidRPr="00B71EA3" w:rsidRDefault="00B71EA3" w:rsidP="00B71EA3">
      <w:pPr>
        <w:adjustRightInd w:val="0"/>
        <w:snapToGrid w:val="0"/>
        <w:spacing w:line="600" w:lineRule="exact"/>
        <w:ind w:firstLineChars="200" w:firstLine="643"/>
        <w:rPr>
          <w:rFonts w:ascii="黑体" w:eastAsia="黑体" w:hAnsi="黑体" w:cs="Times New Roman"/>
          <w:b/>
          <w:sz w:val="32"/>
          <w:szCs w:val="30"/>
        </w:rPr>
      </w:pPr>
      <w:r w:rsidRPr="00B71EA3">
        <w:rPr>
          <w:rFonts w:ascii="黑体" w:eastAsia="黑体" w:hAnsi="黑体" w:cs="Times New Roman" w:hint="eastAsia"/>
          <w:b/>
          <w:sz w:val="32"/>
          <w:szCs w:val="30"/>
        </w:rPr>
        <w:t>四、其他风险提示或者需要提醒投资者重点关注的事项</w:t>
      </w:r>
    </w:p>
    <w:p w14:paraId="306B23D3"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公司应就主营业务、财务状况、盈利能力、行业与市场等方面存在的风险进行必要的说明。</w:t>
      </w:r>
    </w:p>
    <w:p w14:paraId="194A2275"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提醒投资者关注的其他事项。</w:t>
      </w:r>
    </w:p>
    <w:p w14:paraId="4C189CF3"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p>
    <w:p w14:paraId="6749E3D3" w14:textId="77777777" w:rsidR="00B71EA3" w:rsidRPr="00B71EA3" w:rsidRDefault="00B71EA3" w:rsidP="00B71EA3">
      <w:pPr>
        <w:adjustRightInd w:val="0"/>
        <w:snapToGrid w:val="0"/>
        <w:spacing w:line="600" w:lineRule="exact"/>
        <w:ind w:firstLineChars="200" w:firstLine="600"/>
        <w:rPr>
          <w:rFonts w:ascii="仿宋_GB2312" w:eastAsia="仿宋_GB2312" w:hAnsi="宋体" w:cs="Times New Roman"/>
          <w:sz w:val="30"/>
          <w:szCs w:val="30"/>
        </w:rPr>
      </w:pPr>
      <w:r w:rsidRPr="00B71EA3">
        <w:rPr>
          <w:rFonts w:ascii="仿宋_GB2312" w:eastAsia="仿宋_GB2312" w:hAnsi="宋体" w:cs="Times New Roman" w:hint="eastAsia"/>
          <w:sz w:val="30"/>
          <w:szCs w:val="30"/>
        </w:rPr>
        <w:t>特此公告。</w:t>
      </w:r>
    </w:p>
    <w:p w14:paraId="18B615C8" w14:textId="77777777" w:rsidR="00B71EA3" w:rsidRPr="00B71EA3" w:rsidRDefault="00B71EA3" w:rsidP="00B71EA3">
      <w:pPr>
        <w:snapToGrid w:val="0"/>
        <w:spacing w:line="600" w:lineRule="exact"/>
        <w:rPr>
          <w:rFonts w:ascii="仿宋_GB2312" w:eastAsia="仿宋_GB2312" w:hAnsi="宋体" w:cs="Times New Roman"/>
          <w:sz w:val="30"/>
          <w:szCs w:val="30"/>
        </w:rPr>
      </w:pPr>
    </w:p>
    <w:p w14:paraId="1C6E645D" w14:textId="77777777" w:rsidR="00B71EA3" w:rsidRPr="00B71EA3" w:rsidRDefault="00B71EA3" w:rsidP="00B71EA3">
      <w:pPr>
        <w:adjustRightInd w:val="0"/>
        <w:snapToGrid w:val="0"/>
        <w:spacing w:line="600" w:lineRule="exact"/>
        <w:ind w:firstLineChars="200" w:firstLine="600"/>
        <w:jc w:val="right"/>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XXXX股份有限公司董事会</w:t>
      </w:r>
    </w:p>
    <w:p w14:paraId="520CFAEE" w14:textId="77777777" w:rsidR="00B71EA3" w:rsidRPr="00B71EA3" w:rsidRDefault="00B71EA3" w:rsidP="00B71EA3">
      <w:pPr>
        <w:spacing w:line="600" w:lineRule="exact"/>
        <w:jc w:val="right"/>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年  月  日</w:t>
      </w:r>
    </w:p>
    <w:p w14:paraId="570370AC" w14:textId="77777777" w:rsidR="00B71EA3" w:rsidRPr="00B71EA3" w:rsidRDefault="00B71EA3" w:rsidP="00B71EA3">
      <w:pPr>
        <w:spacing w:line="600" w:lineRule="exact"/>
        <w:jc w:val="left"/>
        <w:rPr>
          <w:rFonts w:ascii="仿宋_GB2312" w:eastAsia="仿宋_GB2312" w:hAnsi="宋体" w:cs="Times New Roman"/>
          <w:color w:val="000000"/>
          <w:sz w:val="30"/>
          <w:szCs w:val="30"/>
        </w:rPr>
      </w:pPr>
    </w:p>
    <w:p w14:paraId="3A066C1F" w14:textId="77777777" w:rsidR="00B71EA3" w:rsidRPr="00B71EA3" w:rsidRDefault="00B71EA3" w:rsidP="00B71EA3">
      <w:pPr>
        <w:spacing w:line="600" w:lineRule="exact"/>
        <w:jc w:val="left"/>
        <w:rPr>
          <w:rFonts w:ascii="仿宋_GB2312" w:eastAsia="仿宋_GB2312" w:hAnsi="宋体" w:cs="Times New Roman"/>
          <w:color w:val="000000"/>
          <w:sz w:val="30"/>
          <w:szCs w:val="30"/>
        </w:rPr>
      </w:pPr>
    </w:p>
    <w:p w14:paraId="236EC1D9" w14:textId="77777777" w:rsidR="00B71EA3" w:rsidRPr="00B71EA3" w:rsidRDefault="00B71EA3" w:rsidP="00B71EA3">
      <w:pPr>
        <w:numPr>
          <w:ilvl w:val="0"/>
          <w:numId w:val="2"/>
        </w:numPr>
        <w:spacing w:line="600" w:lineRule="exact"/>
        <w:jc w:val="left"/>
        <w:rPr>
          <w:rFonts w:ascii="仿宋_GB2312" w:eastAsia="仿宋_GB2312" w:hAnsi="宋体" w:cs="Times New Roman"/>
          <w:b/>
          <w:color w:val="000000"/>
          <w:sz w:val="30"/>
          <w:szCs w:val="30"/>
        </w:rPr>
      </w:pPr>
      <w:r w:rsidRPr="00B71EA3">
        <w:rPr>
          <w:rFonts w:ascii="仿宋_GB2312" w:eastAsia="仿宋_GB2312" w:hAnsi="宋体" w:cs="Times New Roman" w:hint="eastAsia"/>
          <w:b/>
          <w:color w:val="000000"/>
          <w:sz w:val="30"/>
          <w:szCs w:val="30"/>
        </w:rPr>
        <w:t>报备文件</w:t>
      </w:r>
    </w:p>
    <w:p w14:paraId="6B0F5A7A" w14:textId="77777777" w:rsidR="00B71EA3" w:rsidRPr="00B71EA3" w:rsidRDefault="00B71EA3" w:rsidP="00B71EA3">
      <w:pPr>
        <w:spacing w:line="600" w:lineRule="exact"/>
        <w:ind w:firstLineChars="200" w:firstLine="600"/>
        <w:jc w:val="left"/>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1.证券公司、年审会计师等中介机构专项核查意见（如适用）</w:t>
      </w:r>
    </w:p>
    <w:p w14:paraId="20C5656F" w14:textId="55F6A010" w:rsidR="00B71EA3" w:rsidRPr="00B71EA3" w:rsidRDefault="00E737FA" w:rsidP="00B71EA3">
      <w:pPr>
        <w:spacing w:line="600" w:lineRule="exact"/>
        <w:ind w:firstLineChars="200" w:firstLine="600"/>
        <w:jc w:val="left"/>
        <w:rPr>
          <w:rFonts w:ascii="仿宋_GB2312" w:eastAsia="仿宋_GB2312" w:hAnsi="宋体" w:cs="Times New Roman"/>
          <w:color w:val="000000"/>
          <w:sz w:val="30"/>
          <w:szCs w:val="30"/>
        </w:rPr>
      </w:pPr>
      <w:r>
        <w:rPr>
          <w:rFonts w:ascii="仿宋_GB2312" w:eastAsia="仿宋_GB2312" w:hAnsi="宋体" w:cs="Times New Roman"/>
          <w:color w:val="000000"/>
          <w:sz w:val="30"/>
          <w:szCs w:val="30"/>
        </w:rPr>
        <w:t>2</w:t>
      </w:r>
      <w:r w:rsidR="00B71EA3" w:rsidRPr="00B71EA3">
        <w:rPr>
          <w:rFonts w:ascii="仿宋_GB2312" w:eastAsia="仿宋_GB2312" w:hAnsi="宋体" w:cs="Times New Roman" w:hint="eastAsia"/>
          <w:color w:val="000000"/>
          <w:sz w:val="30"/>
          <w:szCs w:val="30"/>
        </w:rPr>
        <w:t>.最近一年内部控制审计报告（如适用）</w:t>
      </w:r>
    </w:p>
    <w:p w14:paraId="4FD11C01" w14:textId="716778E6" w:rsidR="00B71EA3" w:rsidRPr="00B71EA3" w:rsidRDefault="00E737FA" w:rsidP="00B71EA3">
      <w:pPr>
        <w:spacing w:line="600" w:lineRule="exact"/>
        <w:ind w:firstLineChars="200" w:firstLine="600"/>
        <w:jc w:val="left"/>
        <w:rPr>
          <w:rFonts w:ascii="仿宋_GB2312" w:eastAsia="仿宋_GB2312" w:hAnsi="宋体" w:cs="Times New Roman"/>
          <w:color w:val="000000"/>
          <w:sz w:val="30"/>
          <w:szCs w:val="30"/>
        </w:rPr>
      </w:pPr>
      <w:r>
        <w:rPr>
          <w:rFonts w:ascii="仿宋_GB2312" w:eastAsia="仿宋_GB2312" w:hAnsi="宋体" w:cs="Times New Roman"/>
          <w:color w:val="000000"/>
          <w:sz w:val="30"/>
          <w:szCs w:val="30"/>
        </w:rPr>
        <w:t>3</w:t>
      </w:r>
      <w:r w:rsidR="00B71EA3" w:rsidRPr="00B71EA3">
        <w:rPr>
          <w:rFonts w:ascii="仿宋_GB2312" w:eastAsia="仿宋_GB2312" w:hAnsi="宋体" w:cs="Times New Roman" w:hint="eastAsia"/>
          <w:color w:val="000000"/>
          <w:sz w:val="30"/>
          <w:szCs w:val="30"/>
        </w:rPr>
        <w:t>.最近一年审计报告（如适用）</w:t>
      </w:r>
    </w:p>
    <w:p w14:paraId="242C338C" w14:textId="29960FC2" w:rsidR="00B71EA3" w:rsidRPr="00B71EA3" w:rsidRDefault="00E737FA" w:rsidP="00B71EA3">
      <w:pPr>
        <w:spacing w:line="600" w:lineRule="exact"/>
        <w:ind w:firstLineChars="200" w:firstLine="600"/>
        <w:jc w:val="left"/>
        <w:rPr>
          <w:rFonts w:ascii="仿宋_GB2312" w:eastAsia="仿宋_GB2312" w:hAnsi="宋体" w:cs="Times New Roman"/>
          <w:color w:val="000000"/>
          <w:sz w:val="30"/>
          <w:szCs w:val="30"/>
        </w:rPr>
      </w:pPr>
      <w:r>
        <w:rPr>
          <w:rFonts w:ascii="仿宋_GB2312" w:eastAsia="仿宋_GB2312" w:hAnsi="宋体" w:cs="Times New Roman"/>
          <w:color w:val="000000"/>
          <w:sz w:val="30"/>
          <w:szCs w:val="30"/>
        </w:rPr>
        <w:t>4</w:t>
      </w:r>
      <w:r w:rsidR="00B71EA3" w:rsidRPr="00B71EA3">
        <w:rPr>
          <w:rFonts w:ascii="仿宋_GB2312" w:eastAsia="仿宋_GB2312" w:hAnsi="宋体" w:cs="Times New Roman" w:hint="eastAsia"/>
          <w:color w:val="000000"/>
          <w:sz w:val="30"/>
          <w:szCs w:val="30"/>
        </w:rPr>
        <w:t>.律师事务所法律意见书（如适用）</w:t>
      </w:r>
    </w:p>
    <w:p w14:paraId="0EE62EFE" w14:textId="7CE75738" w:rsidR="00B71EA3" w:rsidRPr="00B71EA3" w:rsidRDefault="00E737FA" w:rsidP="00B71EA3">
      <w:pPr>
        <w:spacing w:line="600" w:lineRule="exact"/>
        <w:ind w:firstLineChars="200" w:firstLine="600"/>
        <w:jc w:val="left"/>
        <w:rPr>
          <w:rFonts w:ascii="仿宋_GB2312" w:eastAsia="仿宋_GB2312" w:hAnsi="宋体" w:cs="Times New Roman"/>
          <w:color w:val="000000"/>
          <w:sz w:val="30"/>
          <w:szCs w:val="30"/>
        </w:rPr>
      </w:pPr>
      <w:r>
        <w:rPr>
          <w:rFonts w:ascii="仿宋_GB2312" w:eastAsia="仿宋_GB2312" w:hAnsi="宋体" w:cs="Times New Roman"/>
          <w:color w:val="000000"/>
          <w:sz w:val="30"/>
          <w:szCs w:val="30"/>
        </w:rPr>
        <w:t>5</w:t>
      </w:r>
      <w:r w:rsidR="00B71EA3" w:rsidRPr="00B71EA3">
        <w:rPr>
          <w:rFonts w:ascii="仿宋_GB2312" w:eastAsia="仿宋_GB2312" w:hAnsi="宋体" w:cs="Times New Roman"/>
          <w:color w:val="000000"/>
          <w:sz w:val="30"/>
          <w:szCs w:val="30"/>
        </w:rPr>
        <w:t>.</w:t>
      </w:r>
      <w:r w:rsidR="00B71EA3" w:rsidRPr="00B71EA3">
        <w:rPr>
          <w:rFonts w:ascii="仿宋_GB2312" w:eastAsia="仿宋_GB2312" w:hAnsi="宋体" w:cs="Times New Roman" w:hint="eastAsia"/>
          <w:color w:val="000000"/>
          <w:sz w:val="30"/>
          <w:szCs w:val="30"/>
        </w:rPr>
        <w:t>破产管理人出具的监督报告（如适用）</w:t>
      </w:r>
    </w:p>
    <w:p w14:paraId="2FA56C7D" w14:textId="77777777" w:rsidR="00B71EA3" w:rsidRDefault="00B71EA3" w:rsidP="00B71EA3">
      <w:pPr>
        <w:spacing w:line="600" w:lineRule="exact"/>
        <w:jc w:val="left"/>
        <w:rPr>
          <w:rFonts w:ascii="仿宋_GB2312" w:eastAsia="仿宋_GB2312" w:hAnsi="宋体" w:cs="Times New Roman"/>
          <w:color w:val="000000"/>
          <w:sz w:val="30"/>
          <w:szCs w:val="30"/>
        </w:rPr>
      </w:pPr>
    </w:p>
    <w:p w14:paraId="783FC34F" w14:textId="77777777" w:rsidR="00B71EA3" w:rsidRPr="00B71EA3" w:rsidRDefault="00B71EA3" w:rsidP="00B71EA3">
      <w:pPr>
        <w:spacing w:line="600" w:lineRule="exact"/>
        <w:jc w:val="left"/>
        <w:rPr>
          <w:rFonts w:ascii="仿宋_GB2312" w:eastAsia="仿宋_GB2312" w:hAnsi="宋体" w:cs="Times New Roman"/>
          <w:color w:val="000000"/>
          <w:sz w:val="30"/>
          <w:szCs w:val="30"/>
        </w:rPr>
      </w:pPr>
    </w:p>
    <w:p w14:paraId="4134ADFA" w14:textId="77777777" w:rsidR="00B71EA3" w:rsidRPr="00B71EA3" w:rsidRDefault="00B71EA3" w:rsidP="00B71EA3">
      <w:pPr>
        <w:numPr>
          <w:ilvl w:val="0"/>
          <w:numId w:val="3"/>
        </w:numPr>
        <w:spacing w:line="600" w:lineRule="exact"/>
        <w:jc w:val="left"/>
        <w:rPr>
          <w:rFonts w:ascii="仿宋_GB2312" w:eastAsia="仿宋_GB2312" w:hAnsi="宋体" w:cs="Times New Roman"/>
          <w:b/>
          <w:color w:val="000000"/>
          <w:sz w:val="30"/>
          <w:szCs w:val="30"/>
        </w:rPr>
      </w:pPr>
      <w:r w:rsidRPr="00B71EA3">
        <w:rPr>
          <w:rFonts w:ascii="仿宋_GB2312" w:eastAsia="仿宋_GB2312" w:hAnsi="宋体" w:cs="Times New Roman" w:hint="eastAsia"/>
          <w:b/>
          <w:color w:val="000000"/>
          <w:sz w:val="30"/>
          <w:szCs w:val="30"/>
        </w:rPr>
        <w:t>注意事项</w:t>
      </w:r>
    </w:p>
    <w:p w14:paraId="1D032877" w14:textId="6BE4AEC1" w:rsidR="00B71EA3" w:rsidRPr="00B71EA3" w:rsidRDefault="00B71EA3" w:rsidP="00B71EA3">
      <w:pPr>
        <w:spacing w:line="600" w:lineRule="exact"/>
        <w:jc w:val="left"/>
        <w:rPr>
          <w:rFonts w:ascii="仿宋_GB2312" w:eastAsia="仿宋_GB2312" w:hAnsi="宋体" w:cs="Times New Roman"/>
          <w:color w:val="000000"/>
          <w:sz w:val="30"/>
          <w:szCs w:val="30"/>
        </w:rPr>
      </w:pPr>
      <w:r w:rsidRPr="00B71EA3">
        <w:rPr>
          <w:rFonts w:ascii="仿宋_GB2312" w:eastAsia="仿宋_GB2312" w:hAnsi="宋体" w:cs="Times New Roman" w:hint="eastAsia"/>
          <w:color w:val="000000"/>
          <w:sz w:val="30"/>
          <w:szCs w:val="30"/>
        </w:rPr>
        <w:t xml:space="preserve">    如公司同时存在多项风险警示情形，仅满足部分风险警示</w:t>
      </w:r>
      <w:r w:rsidRPr="00B71EA3">
        <w:rPr>
          <w:rFonts w:ascii="仿宋_GB2312" w:eastAsia="仿宋_GB2312" w:hAnsi="宋体" w:cs="Times New Roman" w:hint="eastAsia"/>
          <w:color w:val="000000"/>
          <w:sz w:val="30"/>
          <w:szCs w:val="30"/>
        </w:rPr>
        <w:lastRenderedPageBreak/>
        <w:t>情形的撤销条件的，需在公告中列明申请撤销风险警示的情形为哪些，仍触及何种风险警示情形。</w:t>
      </w:r>
    </w:p>
    <w:p w14:paraId="1D340C23" w14:textId="77777777" w:rsidR="00D07469" w:rsidRPr="00B71EA3" w:rsidRDefault="00D07469"/>
    <w:sectPr w:rsidR="00D07469" w:rsidRPr="00B71E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39EFF" w14:textId="77777777" w:rsidR="000C2581" w:rsidRDefault="000C2581" w:rsidP="00A37E77">
      <w:r>
        <w:separator/>
      </w:r>
    </w:p>
  </w:endnote>
  <w:endnote w:type="continuationSeparator" w:id="0">
    <w:p w14:paraId="6B1A05A1" w14:textId="77777777" w:rsidR="000C2581" w:rsidRDefault="000C2581" w:rsidP="00A3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DejaVu San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048501"/>
      <w:docPartObj>
        <w:docPartGallery w:val="Page Numbers (Bottom of Page)"/>
        <w:docPartUnique/>
      </w:docPartObj>
    </w:sdtPr>
    <w:sdtEndPr/>
    <w:sdtContent>
      <w:p w14:paraId="24037EF7" w14:textId="7B2B9D45" w:rsidR="00A37E77" w:rsidRDefault="00A37E77">
        <w:pPr>
          <w:pStyle w:val="a5"/>
          <w:jc w:val="center"/>
        </w:pPr>
        <w:r>
          <w:fldChar w:fldCharType="begin"/>
        </w:r>
        <w:r>
          <w:instrText>PAGE   \* MERGEFORMAT</w:instrText>
        </w:r>
        <w:r>
          <w:fldChar w:fldCharType="separate"/>
        </w:r>
        <w:r w:rsidR="00BD63C6" w:rsidRPr="00BD63C6">
          <w:rPr>
            <w:noProof/>
            <w:lang w:val="zh-CN"/>
          </w:rPr>
          <w:t>4</w:t>
        </w:r>
        <w:r>
          <w:fldChar w:fldCharType="end"/>
        </w:r>
      </w:p>
    </w:sdtContent>
  </w:sdt>
  <w:p w14:paraId="352A7EDB" w14:textId="77777777" w:rsidR="00A37E77" w:rsidRDefault="00A37E7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DA43B" w14:textId="77777777" w:rsidR="000C2581" w:rsidRDefault="000C2581" w:rsidP="00A37E77">
      <w:r>
        <w:separator/>
      </w:r>
    </w:p>
  </w:footnote>
  <w:footnote w:type="continuationSeparator" w:id="0">
    <w:p w14:paraId="1F3A4D5E" w14:textId="77777777" w:rsidR="000C2581" w:rsidRDefault="000C2581" w:rsidP="00A37E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hybridMultilevel"/>
    <w:tmpl w:val="D422B692"/>
    <w:lvl w:ilvl="0" w:tplc="04090001">
      <w:start w:val="1"/>
      <w:numFmt w:val="bullet"/>
      <w:lvlText w:val=""/>
      <w:lvlJc w:val="left"/>
      <w:pPr>
        <w:tabs>
          <w:tab w:val="num" w:pos="987"/>
        </w:tabs>
        <w:ind w:left="987"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771710FD"/>
    <w:multiLevelType w:val="hybridMultilevel"/>
    <w:tmpl w:val="F33A8414"/>
    <w:lvl w:ilvl="0" w:tplc="04090001">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A3"/>
    <w:rsid w:val="000C2581"/>
    <w:rsid w:val="00393091"/>
    <w:rsid w:val="003D5A7B"/>
    <w:rsid w:val="00581DDA"/>
    <w:rsid w:val="0060005B"/>
    <w:rsid w:val="007605CF"/>
    <w:rsid w:val="007A07C6"/>
    <w:rsid w:val="00812652"/>
    <w:rsid w:val="008B6CA6"/>
    <w:rsid w:val="00A37E77"/>
    <w:rsid w:val="00A636A1"/>
    <w:rsid w:val="00A6556F"/>
    <w:rsid w:val="00B71EA3"/>
    <w:rsid w:val="00BD63C6"/>
    <w:rsid w:val="00BF20F4"/>
    <w:rsid w:val="00C62CC4"/>
    <w:rsid w:val="00D07469"/>
    <w:rsid w:val="00D31DCF"/>
    <w:rsid w:val="00D5026E"/>
    <w:rsid w:val="00D50E9A"/>
    <w:rsid w:val="00DE09A2"/>
    <w:rsid w:val="00E311E4"/>
    <w:rsid w:val="00E737FA"/>
    <w:rsid w:val="00EA2656"/>
    <w:rsid w:val="00EF6608"/>
    <w:rsid w:val="00F046EA"/>
    <w:rsid w:val="00FD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75C15"/>
  <w15:chartTrackingRefBased/>
  <w15:docId w15:val="{0349884E-7EA6-453D-B6F0-A5C1EAD6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E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7E77"/>
    <w:rPr>
      <w:sz w:val="18"/>
      <w:szCs w:val="18"/>
    </w:rPr>
  </w:style>
  <w:style w:type="paragraph" w:styleId="a5">
    <w:name w:val="footer"/>
    <w:basedOn w:val="a"/>
    <w:link w:val="a6"/>
    <w:uiPriority w:val="99"/>
    <w:unhideWhenUsed/>
    <w:rsid w:val="00A37E77"/>
    <w:pPr>
      <w:tabs>
        <w:tab w:val="center" w:pos="4153"/>
        <w:tab w:val="right" w:pos="8306"/>
      </w:tabs>
      <w:snapToGrid w:val="0"/>
      <w:jc w:val="left"/>
    </w:pPr>
    <w:rPr>
      <w:sz w:val="18"/>
      <w:szCs w:val="18"/>
    </w:rPr>
  </w:style>
  <w:style w:type="character" w:customStyle="1" w:styleId="a6">
    <w:name w:val="页脚 字符"/>
    <w:basedOn w:val="a0"/>
    <w:link w:val="a5"/>
    <w:uiPriority w:val="99"/>
    <w:rsid w:val="00A37E77"/>
    <w:rPr>
      <w:sz w:val="18"/>
      <w:szCs w:val="18"/>
    </w:rPr>
  </w:style>
  <w:style w:type="paragraph" w:styleId="a7">
    <w:name w:val="Revision"/>
    <w:hidden/>
    <w:uiPriority w:val="99"/>
    <w:semiHidden/>
    <w:rsid w:val="00EF6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170</Words>
  <Characters>972</Characters>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2023-01-13T06:10:00Z</dcterms:created>
  <dcterms:modified xsi:type="dcterms:W3CDTF">2024-04-26T06:04:00Z</dcterms:modified>
</cp:coreProperties>
</file>