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宋体" w:eastAsia="黑体" w:cs="宋体"/>
          <w:bCs/>
          <w:kern w:val="0"/>
          <w:sz w:val="72"/>
          <w:szCs w:val="72"/>
          <w:highlight w:val="none"/>
        </w:rPr>
      </w:pPr>
      <w:bookmarkStart w:id="223" w:name="_GoBack"/>
      <w:bookmarkEnd w:id="223"/>
    </w:p>
    <w:p>
      <w:pPr>
        <w:widowControl/>
        <w:jc w:val="center"/>
        <w:rPr>
          <w:rFonts w:ascii="黑体" w:hAnsi="宋体" w:eastAsia="黑体" w:cs="宋体"/>
          <w:bCs/>
          <w:kern w:val="0"/>
          <w:sz w:val="72"/>
          <w:szCs w:val="72"/>
          <w:highlight w:val="none"/>
        </w:rPr>
      </w:pPr>
    </w:p>
    <w:p>
      <w:pPr>
        <w:widowControl/>
        <w:jc w:val="center"/>
        <w:rPr>
          <w:rFonts w:ascii="黑体" w:hAnsi="宋体" w:eastAsia="黑体" w:cs="宋体"/>
          <w:bCs/>
          <w:kern w:val="0"/>
          <w:sz w:val="72"/>
          <w:szCs w:val="72"/>
          <w:highlight w:val="none"/>
        </w:rPr>
      </w:pPr>
    </w:p>
    <w:p>
      <w:pPr>
        <w:widowControl/>
        <w:jc w:val="center"/>
        <w:rPr>
          <w:rFonts w:ascii="黑体" w:hAnsi="宋体" w:eastAsia="黑体" w:cs="宋体"/>
          <w:bCs/>
          <w:kern w:val="0"/>
          <w:sz w:val="72"/>
          <w:szCs w:val="72"/>
          <w:highlight w:val="none"/>
        </w:rPr>
      </w:pPr>
    </w:p>
    <w:p>
      <w:pPr>
        <w:jc w:val="center"/>
        <w:rPr>
          <w:rFonts w:ascii="黑体" w:hAnsi="宋体" w:eastAsia="黑体" w:cs="宋体"/>
          <w:bCs/>
          <w:kern w:val="0"/>
          <w:sz w:val="72"/>
          <w:szCs w:val="72"/>
          <w:highlight w:val="none"/>
        </w:rPr>
      </w:pPr>
      <w:r>
        <w:rPr>
          <w:rFonts w:hint="eastAsia" w:ascii="黑体" w:hAnsi="宋体" w:eastAsia="黑体" w:cs="宋体"/>
          <w:bCs/>
          <w:kern w:val="0"/>
          <w:sz w:val="72"/>
          <w:szCs w:val="72"/>
          <w:highlight w:val="none"/>
        </w:rPr>
        <w:t>上海证券交易所基金业务指南第2号——上市基金做市业务</w:t>
      </w:r>
    </w:p>
    <w:p>
      <w:pPr>
        <w:spacing w:line="540" w:lineRule="exact"/>
        <w:jc w:val="center"/>
        <w:rPr>
          <w:rFonts w:ascii="仿宋_GB2312" w:hAnsi="Times New Roman" w:eastAsia="仿宋_GB2312"/>
          <w:b/>
          <w:sz w:val="30"/>
          <w:szCs w:val="30"/>
          <w:highlight w:val="none"/>
        </w:rPr>
      </w:pPr>
      <w:r>
        <w:rPr>
          <w:rFonts w:hint="eastAsia" w:ascii="仿宋_GB2312" w:hAnsi="Times New Roman" w:eastAsia="仿宋_GB2312"/>
          <w:b/>
          <w:sz w:val="30"/>
          <w:szCs w:val="30"/>
          <w:highlight w:val="none"/>
        </w:rPr>
        <w:t>（202</w:t>
      </w:r>
      <w:r>
        <w:rPr>
          <w:rFonts w:hint="eastAsia" w:ascii="仿宋_GB2312" w:hAnsi="Times New Roman" w:eastAsia="仿宋_GB2312"/>
          <w:b/>
          <w:sz w:val="30"/>
          <w:szCs w:val="30"/>
          <w:highlight w:val="none"/>
          <w:lang w:val="en-US" w:eastAsia="zh-CN"/>
        </w:rPr>
        <w:t>4</w:t>
      </w:r>
      <w:r>
        <w:rPr>
          <w:rFonts w:hint="eastAsia" w:ascii="仿宋_GB2312" w:hAnsi="Times New Roman" w:eastAsia="仿宋_GB2312"/>
          <w:b/>
          <w:sz w:val="30"/>
          <w:szCs w:val="30"/>
          <w:highlight w:val="none"/>
        </w:rPr>
        <w:t>年修订）</w:t>
      </w:r>
    </w:p>
    <w:p>
      <w:pPr>
        <w:widowControl/>
        <w:jc w:val="center"/>
        <w:rPr>
          <w:rFonts w:ascii="黑体" w:hAnsi="宋体" w:eastAsia="黑体" w:cs="宋体"/>
          <w:bCs/>
          <w:kern w:val="0"/>
          <w:sz w:val="40"/>
          <w:szCs w:val="72"/>
          <w:highlight w:val="none"/>
        </w:rPr>
      </w:pPr>
    </w:p>
    <w:p>
      <w:pPr>
        <w:widowControl/>
        <w:spacing w:line="600" w:lineRule="exact"/>
        <w:rPr>
          <w:rFonts w:ascii="宋体" w:hAnsi="宋体"/>
          <w:b/>
          <w:sz w:val="72"/>
          <w:szCs w:val="72"/>
          <w:highlight w:val="none"/>
        </w:rPr>
      </w:pPr>
    </w:p>
    <w:p>
      <w:pPr>
        <w:widowControl/>
        <w:spacing w:line="600" w:lineRule="exact"/>
        <w:rPr>
          <w:rFonts w:ascii="宋体" w:hAnsi="宋体"/>
          <w:b/>
          <w:sz w:val="72"/>
          <w:szCs w:val="72"/>
          <w:highlight w:val="none"/>
        </w:rPr>
      </w:pPr>
    </w:p>
    <w:p>
      <w:pPr>
        <w:widowControl/>
        <w:spacing w:line="600" w:lineRule="exact"/>
        <w:rPr>
          <w:rFonts w:ascii="宋体" w:hAnsi="宋体"/>
          <w:b/>
          <w:sz w:val="72"/>
          <w:szCs w:val="72"/>
          <w:highlight w:val="none"/>
        </w:rPr>
      </w:pPr>
    </w:p>
    <w:p>
      <w:pPr>
        <w:widowControl/>
        <w:spacing w:line="600" w:lineRule="exact"/>
        <w:jc w:val="center"/>
        <w:rPr>
          <w:rFonts w:ascii="宋体" w:hAnsi="宋体" w:cs="宋体"/>
          <w:b/>
          <w:kern w:val="0"/>
          <w:sz w:val="32"/>
          <w:szCs w:val="32"/>
          <w:highlight w:val="none"/>
        </w:rPr>
      </w:pPr>
      <w:r>
        <w:rPr>
          <w:rFonts w:hint="eastAsia" w:ascii="宋体" w:hAnsi="宋体" w:cs="宋体"/>
          <w:b/>
          <w:kern w:val="0"/>
          <w:sz w:val="32"/>
          <w:szCs w:val="32"/>
          <w:highlight w:val="none"/>
        </w:rPr>
        <w:t>上海证券交易所</w:t>
      </w:r>
    </w:p>
    <w:p>
      <w:pPr>
        <w:widowControl/>
        <w:spacing w:line="600" w:lineRule="exact"/>
        <w:jc w:val="center"/>
        <w:rPr>
          <w:rFonts w:ascii="宋体" w:hAnsi="宋体" w:cs="宋体"/>
          <w:b/>
          <w:kern w:val="0"/>
          <w:sz w:val="32"/>
          <w:szCs w:val="32"/>
          <w:highlight w:val="none"/>
        </w:rPr>
      </w:pPr>
      <w:r>
        <w:rPr>
          <w:rFonts w:hint="eastAsia" w:ascii="宋体" w:hAnsi="宋体" w:cs="宋体"/>
          <w:b/>
          <w:kern w:val="0"/>
          <w:sz w:val="32"/>
          <w:szCs w:val="32"/>
          <w:highlight w:val="none"/>
        </w:rPr>
        <w:t>202</w:t>
      </w:r>
      <w:r>
        <w:rPr>
          <w:rFonts w:hint="eastAsia" w:ascii="宋体" w:hAnsi="宋体" w:cs="宋体"/>
          <w:b/>
          <w:kern w:val="0"/>
          <w:sz w:val="32"/>
          <w:szCs w:val="32"/>
          <w:highlight w:val="none"/>
          <w:lang w:val="en-US" w:eastAsia="zh-CN"/>
        </w:rPr>
        <w:t>4</w:t>
      </w:r>
      <w:r>
        <w:rPr>
          <w:rFonts w:hint="eastAsia" w:ascii="宋体" w:hAnsi="宋体" w:cs="宋体"/>
          <w:b/>
          <w:kern w:val="0"/>
          <w:sz w:val="32"/>
          <w:szCs w:val="32"/>
          <w:highlight w:val="none"/>
        </w:rPr>
        <w:t>年</w:t>
      </w:r>
      <w:r>
        <w:rPr>
          <w:rFonts w:hint="eastAsia" w:ascii="宋体" w:hAnsi="宋体" w:cs="宋体"/>
          <w:b/>
          <w:kern w:val="0"/>
          <w:sz w:val="32"/>
          <w:szCs w:val="32"/>
          <w:highlight w:val="none"/>
          <w:lang w:val="en-US" w:eastAsia="zh-CN"/>
        </w:rPr>
        <w:t>7</w:t>
      </w:r>
      <w:r>
        <w:rPr>
          <w:rFonts w:hint="eastAsia" w:ascii="宋体" w:hAnsi="宋体" w:cs="宋体"/>
          <w:b/>
          <w:kern w:val="0"/>
          <w:sz w:val="32"/>
          <w:szCs w:val="32"/>
          <w:highlight w:val="none"/>
        </w:rPr>
        <w:t>月</w:t>
      </w:r>
    </w:p>
    <w:p>
      <w:pPr>
        <w:spacing w:line="600" w:lineRule="exact"/>
        <w:jc w:val="center"/>
        <w:rPr>
          <w:rFonts w:ascii="仿宋" w:hAnsi="仿宋" w:eastAsia="仿宋"/>
          <w:b/>
          <w:sz w:val="36"/>
          <w:szCs w:val="28"/>
          <w:highlight w:val="none"/>
        </w:rPr>
      </w:pPr>
    </w:p>
    <w:p>
      <w:pPr>
        <w:spacing w:line="600" w:lineRule="exact"/>
        <w:rPr>
          <w:rFonts w:ascii="仿宋" w:hAnsi="仿宋" w:eastAsia="仿宋"/>
          <w:b/>
          <w:sz w:val="52"/>
          <w:szCs w:val="52"/>
          <w:highlight w:val="none"/>
        </w:rPr>
      </w:pPr>
    </w:p>
    <w:p>
      <w:pPr>
        <w:widowControl/>
        <w:spacing w:line="600" w:lineRule="exact"/>
        <w:jc w:val="left"/>
        <w:rPr>
          <w:highlight w:val="none"/>
        </w:rPr>
      </w:pPr>
    </w:p>
    <w:sdt>
      <w:sdtPr>
        <w:rPr>
          <w:rFonts w:ascii="Calibri" w:hAnsi="Calibri" w:eastAsia="宋体" w:cs="Times New Roman"/>
          <w:b w:val="0"/>
          <w:bCs w:val="0"/>
          <w:color w:val="auto"/>
          <w:kern w:val="2"/>
          <w:sz w:val="21"/>
          <w:szCs w:val="22"/>
          <w:lang w:val="zh-CN"/>
        </w:rPr>
        <w:id w:val="875383933"/>
        <w:docPartObj>
          <w:docPartGallery w:val="Table of Contents"/>
          <w:docPartUnique/>
        </w:docPartObj>
      </w:sdtPr>
      <w:sdtEndPr>
        <w:rPr>
          <w:rFonts w:hint="eastAsia" w:ascii="仿宋_GB2312" w:hAnsi="Calibri" w:eastAsia="仿宋_GB2312" w:cs="Times New Roman"/>
          <w:b/>
          <w:bCs/>
          <w:color w:val="auto"/>
          <w:kern w:val="44"/>
          <w:sz w:val="44"/>
          <w:szCs w:val="44"/>
          <w:lang w:val="zh-CN"/>
        </w:rPr>
      </w:sdtEndPr>
      <w:sdtContent>
        <w:p>
          <w:pPr>
            <w:pStyle w:val="40"/>
            <w:spacing w:line="600" w:lineRule="exact"/>
            <w:jc w:val="center"/>
          </w:pPr>
          <w:r>
            <w:rPr>
              <w:rFonts w:hint="eastAsia"/>
              <w:color w:val="auto"/>
              <w:sz w:val="44"/>
              <w:szCs w:val="44"/>
              <w:lang w:val="zh-CN"/>
            </w:rPr>
            <w:t>目</w:t>
          </w:r>
          <w:r>
            <w:rPr>
              <w:color w:val="auto"/>
              <w:sz w:val="44"/>
              <w:szCs w:val="44"/>
              <w:lang w:val="zh-CN"/>
            </w:rPr>
            <w:t xml:space="preserve">    </w:t>
          </w:r>
          <w:r>
            <w:rPr>
              <w:rFonts w:hint="eastAsia"/>
              <w:color w:val="auto"/>
              <w:sz w:val="44"/>
              <w:szCs w:val="44"/>
              <w:lang w:val="zh-CN"/>
            </w:rPr>
            <w:t>录</w:t>
          </w:r>
        </w:p>
        <w:p>
          <w:pPr>
            <w:pStyle w:val="12"/>
            <w:tabs>
              <w:tab w:val="right" w:leader="dot" w:pos="8306"/>
              <w:tab w:val="clear" w:pos="1050"/>
              <w:tab w:val="clear" w:pos="8296"/>
            </w:tabs>
          </w:pPr>
          <w:r>
            <w:rPr>
              <w:rFonts w:hint="eastAsia" w:ascii="仿宋_GB2312" w:eastAsia="仿宋_GB2312"/>
            </w:rPr>
            <w:fldChar w:fldCharType="begin"/>
          </w:r>
          <w:r>
            <w:rPr>
              <w:rFonts w:hint="eastAsia" w:ascii="仿宋_GB2312" w:eastAsia="仿宋_GB2312"/>
            </w:rPr>
            <w:instrText xml:space="preserve"> TOC \o "1-3" \h \z \u </w:instrText>
          </w:r>
          <w:r>
            <w:rPr>
              <w:rFonts w:hint="eastAsia" w:ascii="仿宋_GB2312" w:eastAsia="仿宋_GB2312"/>
            </w:rPr>
            <w:fldChar w:fldCharType="separate"/>
          </w:r>
          <w:r>
            <w:rPr>
              <w:rFonts w:hint="eastAsia"/>
            </w:rPr>
            <w:fldChar w:fldCharType="begin"/>
          </w:r>
          <w:r>
            <w:rPr>
              <w:rFonts w:hint="eastAsia"/>
            </w:rPr>
            <w:instrText xml:space="preserve"> HYPERLINK \l _Toc256587826 </w:instrText>
          </w:r>
          <w:r>
            <w:rPr>
              <w:rFonts w:hint="eastAsia"/>
            </w:rPr>
            <w:fldChar w:fldCharType="separate"/>
          </w:r>
          <w:r>
            <w:rPr>
              <w:rFonts w:hint="eastAsia" w:ascii="黑体" w:hAnsi="黑体" w:eastAsia="黑体" w:cs="宋体"/>
              <w:szCs w:val="30"/>
            </w:rPr>
            <w:t>说明及声明</w:t>
          </w:r>
          <w:r>
            <w:tab/>
          </w:r>
          <w:r>
            <w:fldChar w:fldCharType="begin"/>
          </w:r>
          <w:r>
            <w:instrText xml:space="preserve"> PAGEREF _Toc256587826 \h </w:instrText>
          </w:r>
          <w:r>
            <w:fldChar w:fldCharType="separate"/>
          </w:r>
          <w:r>
            <w:t>4</w:t>
          </w:r>
          <w:r>
            <w:fldChar w:fldCharType="end"/>
          </w:r>
          <w:r>
            <w:rPr>
              <w:rFonts w:hint="eastAsia"/>
            </w:rPr>
            <w:fldChar w:fldCharType="end"/>
          </w:r>
        </w:p>
        <w:p>
          <w:pPr>
            <w:pStyle w:val="12"/>
            <w:tabs>
              <w:tab w:val="right" w:leader="dot" w:pos="8306"/>
              <w:tab w:val="clear" w:pos="1050"/>
              <w:tab w:val="clear" w:pos="8296"/>
            </w:tabs>
          </w:pPr>
          <w:r>
            <w:rPr>
              <w:rFonts w:hint="eastAsia"/>
            </w:rPr>
            <w:fldChar w:fldCharType="begin"/>
          </w:r>
          <w:r>
            <w:rPr>
              <w:rFonts w:hint="eastAsia"/>
            </w:rPr>
            <w:instrText xml:space="preserve"> HYPERLINK \l _Toc1465916305 </w:instrText>
          </w:r>
          <w:r>
            <w:rPr>
              <w:rFonts w:hint="eastAsia"/>
            </w:rPr>
            <w:fldChar w:fldCharType="separate"/>
          </w:r>
          <w:r>
            <w:rPr>
              <w:rFonts w:hint="eastAsia" w:ascii="黑体" w:hAnsi="黑体" w:eastAsia="黑体" w:cs="宋体"/>
              <w:szCs w:val="30"/>
            </w:rPr>
            <w:t>第一章  总体要求</w:t>
          </w:r>
          <w:r>
            <w:tab/>
          </w:r>
          <w:r>
            <w:fldChar w:fldCharType="begin"/>
          </w:r>
          <w:r>
            <w:instrText xml:space="preserve"> PAGEREF _Toc1465916305 \h </w:instrText>
          </w:r>
          <w:r>
            <w:fldChar w:fldCharType="separate"/>
          </w:r>
          <w:r>
            <w:t>4</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_Toc1116136019 </w:instrText>
          </w:r>
          <w:r>
            <w:rPr>
              <w:rFonts w:hint="eastAsia"/>
            </w:rPr>
            <w:fldChar w:fldCharType="separate"/>
          </w:r>
          <w:r>
            <w:rPr>
              <w:rFonts w:hint="eastAsia" w:ascii="仿宋_GB2312" w:hAnsi="黑体" w:eastAsia="仿宋_GB2312"/>
              <w:kern w:val="44"/>
              <w:szCs w:val="30"/>
            </w:rPr>
            <w:t>一、概述</w:t>
          </w:r>
          <w:r>
            <w:tab/>
          </w:r>
          <w:r>
            <w:fldChar w:fldCharType="begin"/>
          </w:r>
          <w:r>
            <w:instrText xml:space="preserve"> PAGEREF _Toc1116136019 \h </w:instrText>
          </w:r>
          <w:r>
            <w:fldChar w:fldCharType="separate"/>
          </w:r>
          <w:r>
            <w:t>4</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_Toc402720225 </w:instrText>
          </w:r>
          <w:r>
            <w:rPr>
              <w:rFonts w:hint="eastAsia"/>
            </w:rPr>
            <w:fldChar w:fldCharType="separate"/>
          </w:r>
          <w:r>
            <w:rPr>
              <w:rFonts w:hint="eastAsia" w:ascii="仿宋_GB2312" w:hAnsi="黑体" w:eastAsia="仿宋_GB2312"/>
              <w:kern w:val="44"/>
              <w:szCs w:val="30"/>
            </w:rPr>
            <w:t>二、组织架构与岗位设置</w:t>
          </w:r>
          <w:r>
            <w:tab/>
          </w:r>
          <w:r>
            <w:fldChar w:fldCharType="begin"/>
          </w:r>
          <w:r>
            <w:instrText xml:space="preserve"> PAGEREF _Toc402720225 \h </w:instrText>
          </w:r>
          <w:r>
            <w:fldChar w:fldCharType="separate"/>
          </w:r>
          <w:r>
            <w:t>5</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_Toc2036292576 </w:instrText>
          </w:r>
          <w:r>
            <w:rPr>
              <w:rFonts w:hint="eastAsia"/>
            </w:rPr>
            <w:fldChar w:fldCharType="separate"/>
          </w:r>
          <w:r>
            <w:rPr>
              <w:rFonts w:hint="eastAsia" w:ascii="仿宋_GB2312" w:hAnsi="黑体" w:eastAsia="仿宋_GB2312"/>
              <w:kern w:val="44"/>
              <w:szCs w:val="30"/>
            </w:rPr>
            <w:t>三、制度与流程</w:t>
          </w:r>
          <w:r>
            <w:tab/>
          </w:r>
          <w:r>
            <w:fldChar w:fldCharType="begin"/>
          </w:r>
          <w:r>
            <w:instrText xml:space="preserve"> PAGEREF _Toc2036292576 \h </w:instrText>
          </w:r>
          <w:r>
            <w:fldChar w:fldCharType="separate"/>
          </w:r>
          <w:r>
            <w:t>5</w:t>
          </w:r>
          <w:r>
            <w:fldChar w:fldCharType="end"/>
          </w:r>
          <w:r>
            <w:rPr>
              <w:rFonts w:hint="eastAsia"/>
            </w:rPr>
            <w:fldChar w:fldCharType="end"/>
          </w:r>
        </w:p>
        <w:p>
          <w:pPr>
            <w:pStyle w:val="12"/>
            <w:tabs>
              <w:tab w:val="right" w:leader="dot" w:pos="8306"/>
              <w:tab w:val="clear" w:pos="1050"/>
              <w:tab w:val="clear" w:pos="8296"/>
            </w:tabs>
          </w:pPr>
          <w:r>
            <w:rPr>
              <w:rFonts w:hint="eastAsia"/>
            </w:rPr>
            <w:fldChar w:fldCharType="begin"/>
          </w:r>
          <w:r>
            <w:rPr>
              <w:rFonts w:hint="eastAsia"/>
            </w:rPr>
            <w:instrText xml:space="preserve"> HYPERLINK \l _Toc1770380892 </w:instrText>
          </w:r>
          <w:r>
            <w:rPr>
              <w:rFonts w:hint="eastAsia"/>
            </w:rPr>
            <w:fldChar w:fldCharType="separate"/>
          </w:r>
          <w:r>
            <w:rPr>
              <w:rFonts w:hint="eastAsia" w:ascii="黑体" w:hAnsi="宋体" w:eastAsia="黑体" w:cs="宋体"/>
              <w:bCs w:val="0"/>
              <w:kern w:val="0"/>
              <w:szCs w:val="30"/>
            </w:rPr>
            <w:t>第二章  业务申请与受理流程</w:t>
          </w:r>
          <w:r>
            <w:tab/>
          </w:r>
          <w:r>
            <w:fldChar w:fldCharType="begin"/>
          </w:r>
          <w:r>
            <w:instrText xml:space="preserve"> PAGEREF _Toc1770380892 \h </w:instrText>
          </w:r>
          <w:r>
            <w:fldChar w:fldCharType="separate"/>
          </w:r>
          <w:r>
            <w:t>6</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_Toc1171703447 </w:instrText>
          </w:r>
          <w:r>
            <w:rPr>
              <w:rFonts w:hint="eastAsia"/>
            </w:rPr>
            <w:fldChar w:fldCharType="separate"/>
          </w:r>
          <w:r>
            <w:rPr>
              <w:rFonts w:hint="eastAsia" w:ascii="仿宋_GB2312" w:hAnsi="黑体" w:eastAsia="仿宋_GB2312"/>
              <w:kern w:val="44"/>
              <w:szCs w:val="30"/>
            </w:rPr>
            <w:t>一、</w:t>
          </w:r>
          <w:r>
            <w:rPr>
              <w:rFonts w:hint="eastAsia" w:ascii="Times New Roman" w:hAnsi="Times New Roman" w:eastAsia="仿宋_GB2312" w:cstheme="minorBidi"/>
              <w:bCs w:val="0"/>
              <w:szCs w:val="30"/>
            </w:rPr>
            <w:t>做市业务申请与受理</w:t>
          </w:r>
          <w:r>
            <w:tab/>
          </w:r>
          <w:r>
            <w:fldChar w:fldCharType="begin"/>
          </w:r>
          <w:r>
            <w:instrText xml:space="preserve"> PAGEREF _Toc1171703447 \h </w:instrText>
          </w:r>
          <w:r>
            <w:fldChar w:fldCharType="separate"/>
          </w:r>
          <w:r>
            <w:t>6</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_Toc812416854 </w:instrText>
          </w:r>
          <w:r>
            <w:rPr>
              <w:rFonts w:hint="eastAsia"/>
            </w:rPr>
            <w:fldChar w:fldCharType="separate"/>
          </w:r>
          <w:r>
            <w:rPr>
              <w:rFonts w:hint="eastAsia" w:ascii="仿宋_GB2312" w:hAnsi="黑体" w:eastAsia="仿宋_GB2312"/>
              <w:kern w:val="44"/>
              <w:szCs w:val="30"/>
            </w:rPr>
            <w:t>二、做市商申请为基金产品提供做市服务</w:t>
          </w:r>
          <w:r>
            <w:tab/>
          </w:r>
          <w:r>
            <w:fldChar w:fldCharType="begin"/>
          </w:r>
          <w:r>
            <w:instrText xml:space="preserve"> PAGEREF _Toc812416854 \h </w:instrText>
          </w:r>
          <w:r>
            <w:fldChar w:fldCharType="separate"/>
          </w:r>
          <w:r>
            <w:t>8</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_Toc715508790 </w:instrText>
          </w:r>
          <w:r>
            <w:rPr>
              <w:rFonts w:hint="eastAsia"/>
            </w:rPr>
            <w:fldChar w:fldCharType="separate"/>
          </w:r>
          <w:r>
            <w:rPr>
              <w:rFonts w:hint="eastAsia" w:ascii="仿宋_GB2312" w:hAnsi="黑体" w:eastAsia="仿宋_GB2312"/>
              <w:kern w:val="44"/>
              <w:szCs w:val="30"/>
            </w:rPr>
            <w:t>三、做市专用证券账户报备与管理</w:t>
          </w:r>
          <w:r>
            <w:tab/>
          </w:r>
          <w:r>
            <w:fldChar w:fldCharType="begin"/>
          </w:r>
          <w:r>
            <w:instrText xml:space="preserve"> PAGEREF _Toc715508790 \h </w:instrText>
          </w:r>
          <w:r>
            <w:fldChar w:fldCharType="separate"/>
          </w:r>
          <w:r>
            <w:t>9</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_Toc2082831087 </w:instrText>
          </w:r>
          <w:r>
            <w:rPr>
              <w:rFonts w:hint="eastAsia"/>
            </w:rPr>
            <w:fldChar w:fldCharType="separate"/>
          </w:r>
          <w:r>
            <w:rPr>
              <w:rFonts w:hint="eastAsia" w:ascii="仿宋_GB2312" w:hAnsi="黑体" w:eastAsia="仿宋_GB2312"/>
              <w:kern w:val="44"/>
              <w:szCs w:val="30"/>
            </w:rPr>
            <w:t>四、做市商协商确定机制</w:t>
          </w:r>
          <w:r>
            <w:tab/>
          </w:r>
          <w:r>
            <w:fldChar w:fldCharType="begin"/>
          </w:r>
          <w:r>
            <w:instrText xml:space="preserve"> PAGEREF _Toc2082831087 \h </w:instrText>
          </w:r>
          <w:r>
            <w:fldChar w:fldCharType="separate"/>
          </w:r>
          <w:r>
            <w:t>10</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_Toc475664102 </w:instrText>
          </w:r>
          <w:r>
            <w:rPr>
              <w:rFonts w:hint="eastAsia"/>
            </w:rPr>
            <w:fldChar w:fldCharType="separate"/>
          </w:r>
          <w:r>
            <w:rPr>
              <w:rFonts w:hint="eastAsia" w:ascii="仿宋_GB2312" w:hAnsi="黑体" w:eastAsia="仿宋_GB2312"/>
              <w:kern w:val="44"/>
              <w:szCs w:val="30"/>
            </w:rPr>
            <w:t>五、主动申请终止做市服务</w:t>
          </w:r>
          <w:r>
            <w:tab/>
          </w:r>
          <w:r>
            <w:fldChar w:fldCharType="begin"/>
          </w:r>
          <w:r>
            <w:instrText xml:space="preserve"> PAGEREF _Toc475664102 \h </w:instrText>
          </w:r>
          <w:r>
            <w:fldChar w:fldCharType="separate"/>
          </w:r>
          <w:r>
            <w:t>10</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_Toc1892279794 </w:instrText>
          </w:r>
          <w:r>
            <w:rPr>
              <w:rFonts w:hint="eastAsia"/>
            </w:rPr>
            <w:fldChar w:fldCharType="separate"/>
          </w:r>
          <w:r>
            <w:rPr>
              <w:rFonts w:hint="eastAsia" w:ascii="仿宋_GB2312" w:hAnsi="黑体" w:eastAsia="仿宋_GB2312"/>
              <w:kern w:val="44"/>
              <w:szCs w:val="30"/>
            </w:rPr>
            <w:t>六、相关材料报送方式</w:t>
          </w:r>
          <w:r>
            <w:tab/>
          </w:r>
          <w:r>
            <w:fldChar w:fldCharType="begin"/>
          </w:r>
          <w:r>
            <w:instrText xml:space="preserve"> PAGEREF _Toc1892279794 \h </w:instrText>
          </w:r>
          <w:r>
            <w:fldChar w:fldCharType="separate"/>
          </w:r>
          <w:r>
            <w:t>11</w:t>
          </w:r>
          <w:r>
            <w:fldChar w:fldCharType="end"/>
          </w:r>
          <w:r>
            <w:rPr>
              <w:rFonts w:hint="eastAsia"/>
            </w:rPr>
            <w:fldChar w:fldCharType="end"/>
          </w:r>
        </w:p>
        <w:p>
          <w:pPr>
            <w:pStyle w:val="12"/>
            <w:tabs>
              <w:tab w:val="right" w:leader="dot" w:pos="8306"/>
              <w:tab w:val="clear" w:pos="1050"/>
              <w:tab w:val="clear" w:pos="8296"/>
            </w:tabs>
          </w:pPr>
          <w:r>
            <w:rPr>
              <w:rFonts w:hint="eastAsia"/>
            </w:rPr>
            <w:fldChar w:fldCharType="begin"/>
          </w:r>
          <w:r>
            <w:rPr>
              <w:rFonts w:hint="eastAsia"/>
            </w:rPr>
            <w:instrText xml:space="preserve"> HYPERLINK \l _Toc620792395 </w:instrText>
          </w:r>
          <w:r>
            <w:rPr>
              <w:rFonts w:hint="eastAsia"/>
            </w:rPr>
            <w:fldChar w:fldCharType="separate"/>
          </w:r>
          <w:r>
            <w:rPr>
              <w:rFonts w:hint="eastAsia" w:ascii="黑体" w:hAnsi="黑体" w:eastAsia="黑体" w:cs="宋体"/>
              <w:szCs w:val="30"/>
            </w:rPr>
            <w:t>第三章  义务与评价</w:t>
          </w:r>
          <w:r>
            <w:tab/>
          </w:r>
          <w:r>
            <w:fldChar w:fldCharType="begin"/>
          </w:r>
          <w:r>
            <w:instrText xml:space="preserve"> PAGEREF _Toc620792395 \h </w:instrText>
          </w:r>
          <w:r>
            <w:fldChar w:fldCharType="separate"/>
          </w:r>
          <w:r>
            <w:t>11</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_Toc535704461 </w:instrText>
          </w:r>
          <w:r>
            <w:rPr>
              <w:rFonts w:hint="eastAsia"/>
            </w:rPr>
            <w:fldChar w:fldCharType="separate"/>
          </w:r>
          <w:r>
            <w:rPr>
              <w:rFonts w:hint="eastAsia" w:ascii="仿宋_GB2312" w:hAnsi="黑体" w:eastAsia="仿宋_GB2312"/>
              <w:kern w:val="44"/>
              <w:szCs w:val="30"/>
            </w:rPr>
            <w:t>一、评价周期</w:t>
          </w:r>
          <w:r>
            <w:tab/>
          </w:r>
          <w:r>
            <w:fldChar w:fldCharType="begin"/>
          </w:r>
          <w:r>
            <w:instrText xml:space="preserve"> PAGEREF _Toc535704461 \h </w:instrText>
          </w:r>
          <w:r>
            <w:fldChar w:fldCharType="separate"/>
          </w:r>
          <w:r>
            <w:t>11</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_Toc1180651555 </w:instrText>
          </w:r>
          <w:r>
            <w:rPr>
              <w:rFonts w:hint="eastAsia"/>
            </w:rPr>
            <w:fldChar w:fldCharType="separate"/>
          </w:r>
          <w:r>
            <w:rPr>
              <w:rFonts w:hint="eastAsia" w:ascii="仿宋_GB2312" w:hAnsi="黑体" w:eastAsia="仿宋_GB2312"/>
              <w:kern w:val="44"/>
              <w:szCs w:val="30"/>
            </w:rPr>
            <w:t>二、报价义务</w:t>
          </w:r>
          <w:r>
            <w:tab/>
          </w:r>
          <w:r>
            <w:fldChar w:fldCharType="begin"/>
          </w:r>
          <w:r>
            <w:instrText xml:space="preserve"> PAGEREF _Toc1180651555 \h </w:instrText>
          </w:r>
          <w:r>
            <w:fldChar w:fldCharType="separate"/>
          </w:r>
          <w:r>
            <w:t>12</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_Toc1149790810 </w:instrText>
          </w:r>
          <w:r>
            <w:rPr>
              <w:rFonts w:hint="eastAsia"/>
            </w:rPr>
            <w:fldChar w:fldCharType="separate"/>
          </w:r>
          <w:r>
            <w:rPr>
              <w:rFonts w:hint="eastAsia" w:ascii="仿宋_GB2312" w:hAnsi="黑体" w:eastAsia="仿宋_GB2312"/>
              <w:kern w:val="44"/>
              <w:szCs w:val="30"/>
            </w:rPr>
            <w:t>三、流动性预先分类</w:t>
          </w:r>
          <w:r>
            <w:tab/>
          </w:r>
          <w:r>
            <w:fldChar w:fldCharType="begin"/>
          </w:r>
          <w:r>
            <w:instrText xml:space="preserve"> PAGEREF _Toc1149790810 \h </w:instrText>
          </w:r>
          <w:r>
            <w:fldChar w:fldCharType="separate"/>
          </w:r>
          <w:r>
            <w:t>13</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_Toc536637711 </w:instrText>
          </w:r>
          <w:r>
            <w:rPr>
              <w:rFonts w:hint="eastAsia"/>
            </w:rPr>
            <w:fldChar w:fldCharType="separate"/>
          </w:r>
          <w:r>
            <w:rPr>
              <w:rFonts w:hint="eastAsia" w:ascii="仿宋_GB2312" w:hAnsi="黑体" w:eastAsia="仿宋_GB2312"/>
              <w:kern w:val="44"/>
              <w:szCs w:val="30"/>
            </w:rPr>
            <w:t>四、评价指标</w:t>
          </w:r>
          <w:r>
            <w:tab/>
          </w:r>
          <w:r>
            <w:fldChar w:fldCharType="begin"/>
          </w:r>
          <w:r>
            <w:instrText xml:space="preserve"> PAGEREF _Toc536637711 \h </w:instrText>
          </w:r>
          <w:r>
            <w:fldChar w:fldCharType="separate"/>
          </w:r>
          <w:r>
            <w:t>14</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_Toc979948455 </w:instrText>
          </w:r>
          <w:r>
            <w:rPr>
              <w:rFonts w:hint="eastAsia"/>
            </w:rPr>
            <w:fldChar w:fldCharType="separate"/>
          </w:r>
          <w:r>
            <w:rPr>
              <w:rFonts w:hint="eastAsia" w:ascii="仿宋_GB2312" w:hAnsi="黑体" w:eastAsia="仿宋_GB2312"/>
              <w:kern w:val="44"/>
              <w:szCs w:val="30"/>
            </w:rPr>
            <w:t>五、评价方法</w:t>
          </w:r>
          <w:r>
            <w:tab/>
          </w:r>
          <w:r>
            <w:fldChar w:fldCharType="begin"/>
          </w:r>
          <w:r>
            <w:instrText xml:space="preserve"> PAGEREF _Toc979948455 \h </w:instrText>
          </w:r>
          <w:r>
            <w:fldChar w:fldCharType="separate"/>
          </w:r>
          <w:r>
            <w:t>15</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_Toc1366058598 </w:instrText>
          </w:r>
          <w:r>
            <w:rPr>
              <w:rFonts w:hint="eastAsia"/>
            </w:rPr>
            <w:fldChar w:fldCharType="separate"/>
          </w:r>
          <w:r>
            <w:rPr>
              <w:rFonts w:hint="eastAsia" w:ascii="仿宋_GB2312" w:hAnsi="黑体" w:eastAsia="仿宋_GB2312"/>
              <w:bCs w:val="0"/>
              <w:kern w:val="44"/>
              <w:szCs w:val="30"/>
            </w:rPr>
            <w:t>六、年度末位淘汰</w:t>
          </w:r>
          <w:r>
            <w:tab/>
          </w:r>
          <w:r>
            <w:fldChar w:fldCharType="begin"/>
          </w:r>
          <w:r>
            <w:instrText xml:space="preserve"> PAGEREF _Toc1366058598 \h </w:instrText>
          </w:r>
          <w:r>
            <w:fldChar w:fldCharType="separate"/>
          </w:r>
          <w:r>
            <w:t>22</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_Toc1576850739 </w:instrText>
          </w:r>
          <w:r>
            <w:rPr>
              <w:rFonts w:hint="eastAsia"/>
            </w:rPr>
            <w:fldChar w:fldCharType="separate"/>
          </w:r>
          <w:r>
            <w:rPr>
              <w:rFonts w:hint="eastAsia" w:ascii="仿宋_GB2312" w:hAnsi="黑体" w:eastAsia="仿宋_GB2312"/>
              <w:kern w:val="44"/>
              <w:szCs w:val="30"/>
            </w:rPr>
            <w:t>七、评价调整</w:t>
          </w:r>
          <w:r>
            <w:tab/>
          </w:r>
          <w:r>
            <w:fldChar w:fldCharType="begin"/>
          </w:r>
          <w:r>
            <w:instrText xml:space="preserve"> PAGEREF _Toc1576850739 \h </w:instrText>
          </w:r>
          <w:r>
            <w:fldChar w:fldCharType="separate"/>
          </w:r>
          <w:r>
            <w:t>22</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_Toc1764661464 </w:instrText>
          </w:r>
          <w:r>
            <w:rPr>
              <w:rFonts w:hint="eastAsia"/>
            </w:rPr>
            <w:fldChar w:fldCharType="separate"/>
          </w:r>
          <w:r>
            <w:rPr>
              <w:rFonts w:hint="eastAsia" w:ascii="仿宋_GB2312" w:hAnsi="黑体" w:eastAsia="仿宋_GB2312"/>
              <w:kern w:val="44"/>
              <w:szCs w:val="30"/>
            </w:rPr>
            <w:t>八、评价结果的通告</w:t>
          </w:r>
          <w:r>
            <w:tab/>
          </w:r>
          <w:r>
            <w:fldChar w:fldCharType="begin"/>
          </w:r>
          <w:r>
            <w:instrText xml:space="preserve"> PAGEREF _Toc1764661464 \h </w:instrText>
          </w:r>
          <w:r>
            <w:fldChar w:fldCharType="separate"/>
          </w:r>
          <w:r>
            <w:t>23</w:t>
          </w:r>
          <w:r>
            <w:fldChar w:fldCharType="end"/>
          </w:r>
          <w:r>
            <w:rPr>
              <w:rFonts w:hint="eastAsia"/>
            </w:rPr>
            <w:fldChar w:fldCharType="end"/>
          </w:r>
        </w:p>
        <w:p>
          <w:pPr>
            <w:pStyle w:val="12"/>
            <w:tabs>
              <w:tab w:val="right" w:leader="dot" w:pos="8306"/>
              <w:tab w:val="clear" w:pos="1050"/>
              <w:tab w:val="clear" w:pos="8296"/>
            </w:tabs>
          </w:pPr>
          <w:r>
            <w:rPr>
              <w:rFonts w:hint="eastAsia"/>
            </w:rPr>
            <w:fldChar w:fldCharType="begin"/>
          </w:r>
          <w:r>
            <w:rPr>
              <w:rFonts w:hint="eastAsia"/>
            </w:rPr>
            <w:instrText xml:space="preserve"> HYPERLINK \l _Toc724698546 </w:instrText>
          </w:r>
          <w:r>
            <w:rPr>
              <w:rFonts w:hint="eastAsia"/>
            </w:rPr>
            <w:fldChar w:fldCharType="separate"/>
          </w:r>
          <w:r>
            <w:rPr>
              <w:rFonts w:hint="eastAsia" w:ascii="黑体" w:hAnsi="黑体" w:eastAsia="黑体" w:cs="宋体"/>
              <w:szCs w:val="30"/>
            </w:rPr>
            <w:t>第四章  权利、激励与监督管理</w:t>
          </w:r>
          <w:r>
            <w:tab/>
          </w:r>
          <w:r>
            <w:fldChar w:fldCharType="begin"/>
          </w:r>
          <w:r>
            <w:instrText xml:space="preserve"> PAGEREF _Toc724698546 \h </w:instrText>
          </w:r>
          <w:r>
            <w:fldChar w:fldCharType="separate"/>
          </w:r>
          <w:r>
            <w:t>23</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_Toc996636349 </w:instrText>
          </w:r>
          <w:r>
            <w:rPr>
              <w:rFonts w:hint="eastAsia"/>
            </w:rPr>
            <w:fldChar w:fldCharType="separate"/>
          </w:r>
          <w:r>
            <w:rPr>
              <w:rFonts w:hint="eastAsia" w:ascii="仿宋_GB2312" w:hAnsi="黑体" w:eastAsia="仿宋_GB2312"/>
              <w:kern w:val="44"/>
              <w:szCs w:val="30"/>
            </w:rPr>
            <w:t>一、做市商报价义务豁免</w:t>
          </w:r>
          <w:r>
            <w:tab/>
          </w:r>
          <w:r>
            <w:fldChar w:fldCharType="begin"/>
          </w:r>
          <w:r>
            <w:instrText xml:space="preserve"> PAGEREF _Toc996636349 \h </w:instrText>
          </w:r>
          <w:r>
            <w:fldChar w:fldCharType="separate"/>
          </w:r>
          <w:r>
            <w:t>23</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_Toc1186209789 </w:instrText>
          </w:r>
          <w:r>
            <w:rPr>
              <w:rFonts w:hint="eastAsia"/>
            </w:rPr>
            <w:fldChar w:fldCharType="separate"/>
          </w:r>
          <w:r>
            <w:rPr>
              <w:rFonts w:hint="eastAsia" w:ascii="仿宋_GB2312" w:hAnsi="黑体" w:eastAsia="仿宋_GB2312"/>
              <w:kern w:val="44"/>
              <w:szCs w:val="30"/>
            </w:rPr>
            <w:t>二、做市服务激励</w:t>
          </w:r>
          <w:r>
            <w:tab/>
          </w:r>
          <w:r>
            <w:fldChar w:fldCharType="begin"/>
          </w:r>
          <w:r>
            <w:instrText xml:space="preserve"> PAGEREF _Toc1186209789 \h </w:instrText>
          </w:r>
          <w:r>
            <w:fldChar w:fldCharType="separate"/>
          </w:r>
          <w:r>
            <w:t>24</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_Toc26127532 </w:instrText>
          </w:r>
          <w:r>
            <w:rPr>
              <w:rFonts w:hint="eastAsia"/>
            </w:rPr>
            <w:fldChar w:fldCharType="separate"/>
          </w:r>
          <w:r>
            <w:rPr>
              <w:rFonts w:hint="eastAsia" w:ascii="仿宋_GB2312" w:hAnsi="黑体" w:eastAsia="仿宋_GB2312"/>
              <w:kern w:val="44"/>
              <w:szCs w:val="30"/>
            </w:rPr>
            <w:t>三、终止做市商做市服务</w:t>
          </w:r>
          <w:r>
            <w:tab/>
          </w:r>
          <w:r>
            <w:fldChar w:fldCharType="begin"/>
          </w:r>
          <w:r>
            <w:instrText xml:space="preserve"> PAGEREF _Toc26127532 \h </w:instrText>
          </w:r>
          <w:r>
            <w:fldChar w:fldCharType="separate"/>
          </w:r>
          <w:r>
            <w:t>25</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_Toc94660079 </w:instrText>
          </w:r>
          <w:r>
            <w:rPr>
              <w:rFonts w:hint="eastAsia"/>
            </w:rPr>
            <w:fldChar w:fldCharType="separate"/>
          </w:r>
          <w:r>
            <w:rPr>
              <w:rFonts w:hint="eastAsia" w:ascii="仿宋_GB2312" w:hAnsi="黑体" w:eastAsia="仿宋_GB2312"/>
              <w:kern w:val="44"/>
              <w:szCs w:val="30"/>
            </w:rPr>
            <w:t>四、终止开展做市业务</w:t>
          </w:r>
          <w:r>
            <w:tab/>
          </w:r>
          <w:r>
            <w:fldChar w:fldCharType="begin"/>
          </w:r>
          <w:r>
            <w:instrText xml:space="preserve"> PAGEREF _Toc94660079 \h </w:instrText>
          </w:r>
          <w:r>
            <w:fldChar w:fldCharType="separate"/>
          </w:r>
          <w:r>
            <w:t>25</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_Toc1105305532 </w:instrText>
          </w:r>
          <w:r>
            <w:rPr>
              <w:rFonts w:hint="eastAsia"/>
            </w:rPr>
            <w:fldChar w:fldCharType="separate"/>
          </w:r>
          <w:r>
            <w:rPr>
              <w:rFonts w:hint="eastAsia" w:ascii="仿宋_GB2312" w:hAnsi="黑体" w:eastAsia="仿宋_GB2312"/>
              <w:kern w:val="44"/>
              <w:szCs w:val="30"/>
            </w:rPr>
            <w:t>五、日常监管</w:t>
          </w:r>
          <w:r>
            <w:tab/>
          </w:r>
          <w:r>
            <w:fldChar w:fldCharType="begin"/>
          </w:r>
          <w:r>
            <w:instrText xml:space="preserve"> PAGEREF _Toc1105305532 \h </w:instrText>
          </w:r>
          <w:r>
            <w:fldChar w:fldCharType="separate"/>
          </w:r>
          <w:r>
            <w:t>26</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_Toc1267157706 </w:instrText>
          </w:r>
          <w:r>
            <w:rPr>
              <w:rFonts w:hint="eastAsia"/>
            </w:rPr>
            <w:fldChar w:fldCharType="separate"/>
          </w:r>
          <w:r>
            <w:rPr>
              <w:rFonts w:hint="eastAsia" w:ascii="仿宋_GB2312" w:hAnsi="黑体" w:eastAsia="仿宋_GB2312"/>
              <w:kern w:val="44"/>
              <w:szCs w:val="30"/>
            </w:rPr>
            <w:t>六、违规处理</w:t>
          </w:r>
          <w:r>
            <w:tab/>
          </w:r>
          <w:r>
            <w:fldChar w:fldCharType="begin"/>
          </w:r>
          <w:r>
            <w:instrText xml:space="preserve"> PAGEREF _Toc1267157706 \h </w:instrText>
          </w:r>
          <w:r>
            <w:fldChar w:fldCharType="separate"/>
          </w:r>
          <w:r>
            <w:t>26</w:t>
          </w:r>
          <w:r>
            <w:fldChar w:fldCharType="end"/>
          </w:r>
          <w:r>
            <w:rPr>
              <w:rFonts w:hint="eastAsia"/>
            </w:rPr>
            <w:fldChar w:fldCharType="end"/>
          </w:r>
        </w:p>
        <w:p>
          <w:pPr>
            <w:pStyle w:val="12"/>
            <w:tabs>
              <w:tab w:val="right" w:leader="dot" w:pos="8306"/>
              <w:tab w:val="clear" w:pos="1050"/>
              <w:tab w:val="clear" w:pos="8296"/>
            </w:tabs>
          </w:pPr>
          <w:r>
            <w:rPr>
              <w:rFonts w:hint="eastAsia"/>
            </w:rPr>
            <w:fldChar w:fldCharType="begin"/>
          </w:r>
          <w:r>
            <w:rPr>
              <w:rFonts w:hint="eastAsia"/>
            </w:rPr>
            <w:instrText xml:space="preserve"> HYPERLINK \l _Toc1263486397 </w:instrText>
          </w:r>
          <w:r>
            <w:rPr>
              <w:rFonts w:hint="eastAsia"/>
            </w:rPr>
            <w:fldChar w:fldCharType="separate"/>
          </w:r>
          <w:r>
            <w:rPr>
              <w:rFonts w:hint="eastAsia" w:ascii="黑体" w:hAnsi="宋体" w:eastAsia="黑体" w:cs="宋体"/>
              <w:bCs w:val="0"/>
              <w:kern w:val="0"/>
              <w:szCs w:val="30"/>
            </w:rPr>
            <w:t>第五章  风险管理</w:t>
          </w:r>
          <w:r>
            <w:tab/>
          </w:r>
          <w:r>
            <w:fldChar w:fldCharType="begin"/>
          </w:r>
          <w:r>
            <w:instrText xml:space="preserve"> PAGEREF _Toc1263486397 \h </w:instrText>
          </w:r>
          <w:r>
            <w:fldChar w:fldCharType="separate"/>
          </w:r>
          <w:r>
            <w:t>26</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_Toc144219916 </w:instrText>
          </w:r>
          <w:r>
            <w:rPr>
              <w:rFonts w:hint="eastAsia"/>
            </w:rPr>
            <w:fldChar w:fldCharType="separate"/>
          </w:r>
          <w:r>
            <w:rPr>
              <w:rFonts w:hint="eastAsia" w:ascii="仿宋_GB2312" w:hAnsi="黑体" w:eastAsia="仿宋_GB2312"/>
              <w:kern w:val="44"/>
              <w:szCs w:val="30"/>
            </w:rPr>
            <w:t>一、做市业务部门风险管理机制</w:t>
          </w:r>
          <w:r>
            <w:tab/>
          </w:r>
          <w:r>
            <w:fldChar w:fldCharType="begin"/>
          </w:r>
          <w:r>
            <w:instrText xml:space="preserve"> PAGEREF _Toc144219916 \h </w:instrText>
          </w:r>
          <w:r>
            <w:fldChar w:fldCharType="separate"/>
          </w:r>
          <w:r>
            <w:t>26</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_Toc2134535487 </w:instrText>
          </w:r>
          <w:r>
            <w:rPr>
              <w:rFonts w:hint="eastAsia"/>
            </w:rPr>
            <w:fldChar w:fldCharType="separate"/>
          </w:r>
          <w:r>
            <w:rPr>
              <w:rFonts w:hint="eastAsia" w:ascii="仿宋_GB2312" w:hAnsi="黑体" w:eastAsia="仿宋_GB2312"/>
              <w:kern w:val="44"/>
              <w:szCs w:val="30"/>
            </w:rPr>
            <w:t>二、公司层面风险管理机制</w:t>
          </w:r>
          <w:r>
            <w:tab/>
          </w:r>
          <w:r>
            <w:fldChar w:fldCharType="begin"/>
          </w:r>
          <w:r>
            <w:instrText xml:space="preserve"> PAGEREF _Toc2134535487 \h </w:instrText>
          </w:r>
          <w:r>
            <w:fldChar w:fldCharType="separate"/>
          </w:r>
          <w:r>
            <w:t>27</w:t>
          </w:r>
          <w:r>
            <w:fldChar w:fldCharType="end"/>
          </w:r>
          <w:r>
            <w:rPr>
              <w:rFonts w:hint="eastAsia"/>
            </w:rPr>
            <w:fldChar w:fldCharType="end"/>
          </w:r>
        </w:p>
        <w:p>
          <w:pPr>
            <w:pStyle w:val="12"/>
            <w:tabs>
              <w:tab w:val="right" w:leader="dot" w:pos="8306"/>
              <w:tab w:val="clear" w:pos="1050"/>
              <w:tab w:val="clear" w:pos="8296"/>
            </w:tabs>
          </w:pPr>
          <w:r>
            <w:rPr>
              <w:rFonts w:hint="eastAsia"/>
            </w:rPr>
            <w:fldChar w:fldCharType="begin"/>
          </w:r>
          <w:r>
            <w:rPr>
              <w:rFonts w:hint="eastAsia"/>
            </w:rPr>
            <w:instrText xml:space="preserve"> HYPERLINK \l _Toc1520074223 </w:instrText>
          </w:r>
          <w:r>
            <w:rPr>
              <w:rFonts w:hint="eastAsia"/>
            </w:rPr>
            <w:fldChar w:fldCharType="separate"/>
          </w:r>
          <w:r>
            <w:rPr>
              <w:rFonts w:hint="eastAsia" w:ascii="黑体" w:hAnsi="宋体" w:eastAsia="黑体" w:cs="宋体"/>
              <w:bCs w:val="0"/>
              <w:kern w:val="0"/>
              <w:szCs w:val="30"/>
            </w:rPr>
            <w:t xml:space="preserve">第六章  </w:t>
          </w:r>
          <w:r>
            <w:rPr>
              <w:rFonts w:hint="eastAsia" w:ascii="黑体" w:hAnsi="黑体" w:eastAsia="黑体"/>
              <w:szCs w:val="30"/>
            </w:rPr>
            <w:t>合规和内部控制</w:t>
          </w:r>
          <w:r>
            <w:tab/>
          </w:r>
          <w:r>
            <w:fldChar w:fldCharType="begin"/>
          </w:r>
          <w:r>
            <w:instrText xml:space="preserve"> PAGEREF _Toc1520074223 \h </w:instrText>
          </w:r>
          <w:r>
            <w:fldChar w:fldCharType="separate"/>
          </w:r>
          <w:r>
            <w:t>29</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_Toc1610136221 </w:instrText>
          </w:r>
          <w:r>
            <w:rPr>
              <w:rFonts w:hint="eastAsia"/>
            </w:rPr>
            <w:fldChar w:fldCharType="separate"/>
          </w:r>
          <w:r>
            <w:rPr>
              <w:rFonts w:hint="eastAsia" w:ascii="仿宋_GB2312" w:hAnsi="黑体" w:eastAsia="仿宋_GB2312"/>
              <w:kern w:val="44"/>
              <w:szCs w:val="30"/>
            </w:rPr>
            <w:t>一、内部控制制度</w:t>
          </w:r>
          <w:r>
            <w:tab/>
          </w:r>
          <w:r>
            <w:fldChar w:fldCharType="begin"/>
          </w:r>
          <w:r>
            <w:instrText xml:space="preserve"> PAGEREF _Toc1610136221 \h </w:instrText>
          </w:r>
          <w:r>
            <w:fldChar w:fldCharType="separate"/>
          </w:r>
          <w:r>
            <w:t>29</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_Toc1103187858 </w:instrText>
          </w:r>
          <w:r>
            <w:rPr>
              <w:rFonts w:hint="eastAsia"/>
            </w:rPr>
            <w:fldChar w:fldCharType="separate"/>
          </w:r>
          <w:r>
            <w:rPr>
              <w:rFonts w:hint="eastAsia" w:ascii="仿宋_GB2312" w:hAnsi="黑体" w:eastAsia="仿宋_GB2312"/>
              <w:kern w:val="44"/>
              <w:szCs w:val="30"/>
            </w:rPr>
            <w:t>二、业务隔离制度</w:t>
          </w:r>
          <w:r>
            <w:tab/>
          </w:r>
          <w:r>
            <w:fldChar w:fldCharType="begin"/>
          </w:r>
          <w:r>
            <w:instrText xml:space="preserve"> PAGEREF _Toc1103187858 \h </w:instrText>
          </w:r>
          <w:r>
            <w:fldChar w:fldCharType="separate"/>
          </w:r>
          <w:r>
            <w:t>29</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_Toc1922794448 </w:instrText>
          </w:r>
          <w:r>
            <w:rPr>
              <w:rFonts w:hint="eastAsia"/>
            </w:rPr>
            <w:fldChar w:fldCharType="separate"/>
          </w:r>
          <w:r>
            <w:rPr>
              <w:rFonts w:hint="eastAsia" w:ascii="仿宋_GB2312" w:hAnsi="黑体" w:eastAsia="仿宋_GB2312"/>
              <w:kern w:val="44"/>
              <w:szCs w:val="30"/>
            </w:rPr>
            <w:t>三、禁止行为</w:t>
          </w:r>
          <w:r>
            <w:tab/>
          </w:r>
          <w:r>
            <w:fldChar w:fldCharType="begin"/>
          </w:r>
          <w:r>
            <w:instrText xml:space="preserve"> PAGEREF _Toc1922794448 \h </w:instrText>
          </w:r>
          <w:r>
            <w:fldChar w:fldCharType="separate"/>
          </w:r>
          <w:r>
            <w:t>30</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_Toc1498945149 </w:instrText>
          </w:r>
          <w:r>
            <w:rPr>
              <w:rFonts w:hint="eastAsia"/>
            </w:rPr>
            <w:fldChar w:fldCharType="separate"/>
          </w:r>
          <w:r>
            <w:rPr>
              <w:rFonts w:hint="eastAsia" w:ascii="仿宋_GB2312" w:hAnsi="黑体" w:eastAsia="仿宋_GB2312"/>
              <w:kern w:val="44"/>
              <w:szCs w:val="36"/>
            </w:rPr>
            <w:t>附件1：专项检查要点</w:t>
          </w:r>
          <w:r>
            <w:tab/>
          </w:r>
          <w:r>
            <w:fldChar w:fldCharType="begin"/>
          </w:r>
          <w:r>
            <w:instrText xml:space="preserve"> PAGEREF _Toc1498945149 \h </w:instrText>
          </w:r>
          <w:r>
            <w:fldChar w:fldCharType="separate"/>
          </w:r>
          <w:r>
            <w:t>31</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_Toc726085102 </w:instrText>
          </w:r>
          <w:r>
            <w:rPr>
              <w:rFonts w:hint="eastAsia"/>
            </w:rPr>
            <w:fldChar w:fldCharType="separate"/>
          </w:r>
          <w:r>
            <w:rPr>
              <w:rFonts w:hint="eastAsia" w:ascii="仿宋_GB2312" w:hAnsi="黑体" w:eastAsia="仿宋_GB2312"/>
              <w:kern w:val="44"/>
              <w:szCs w:val="36"/>
            </w:rPr>
            <w:t>附件2：做市业务申请</w:t>
          </w:r>
          <w:r>
            <w:tab/>
          </w:r>
          <w:r>
            <w:fldChar w:fldCharType="begin"/>
          </w:r>
          <w:r>
            <w:instrText xml:space="preserve"> PAGEREF _Toc726085102 \h </w:instrText>
          </w:r>
          <w:r>
            <w:fldChar w:fldCharType="separate"/>
          </w:r>
          <w:r>
            <w:t>34</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_Toc947014247 </w:instrText>
          </w:r>
          <w:r>
            <w:rPr>
              <w:rFonts w:hint="eastAsia"/>
            </w:rPr>
            <w:fldChar w:fldCharType="separate"/>
          </w:r>
          <w:r>
            <w:rPr>
              <w:rFonts w:hint="eastAsia" w:ascii="仿宋_GB2312" w:hAnsi="黑体" w:eastAsia="仿宋_GB2312"/>
              <w:kern w:val="44"/>
              <w:szCs w:val="36"/>
            </w:rPr>
            <w:t>附件3：做市业务人员情况表</w:t>
          </w:r>
          <w:r>
            <w:tab/>
          </w:r>
          <w:r>
            <w:fldChar w:fldCharType="begin"/>
          </w:r>
          <w:r>
            <w:instrText xml:space="preserve"> PAGEREF _Toc947014247 \h </w:instrText>
          </w:r>
          <w:r>
            <w:fldChar w:fldCharType="separate"/>
          </w:r>
          <w:r>
            <w:t>36</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_Toc163878355 </w:instrText>
          </w:r>
          <w:r>
            <w:rPr>
              <w:rFonts w:hint="eastAsia"/>
            </w:rPr>
            <w:fldChar w:fldCharType="separate"/>
          </w:r>
          <w:r>
            <w:rPr>
              <w:rFonts w:hint="eastAsia" w:ascii="仿宋_GB2312" w:hAnsi="黑体" w:eastAsia="仿宋_GB2312"/>
              <w:kern w:val="44"/>
              <w:szCs w:val="36"/>
            </w:rPr>
            <w:t>附件4：提供做市服务申请</w:t>
          </w:r>
          <w:r>
            <w:tab/>
          </w:r>
          <w:r>
            <w:fldChar w:fldCharType="begin"/>
          </w:r>
          <w:r>
            <w:instrText xml:space="preserve"> PAGEREF _Toc163878355 \h </w:instrText>
          </w:r>
          <w:r>
            <w:fldChar w:fldCharType="separate"/>
          </w:r>
          <w:r>
            <w:t>38</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_Toc1441593892 </w:instrText>
          </w:r>
          <w:r>
            <w:rPr>
              <w:rFonts w:hint="eastAsia"/>
            </w:rPr>
            <w:fldChar w:fldCharType="separate"/>
          </w:r>
          <w:r>
            <w:rPr>
              <w:rFonts w:hint="eastAsia" w:ascii="仿宋_GB2312" w:hAnsi="黑体" w:eastAsia="仿宋_GB2312"/>
              <w:kern w:val="44"/>
              <w:szCs w:val="36"/>
            </w:rPr>
            <w:t>附件5：基金管理人认可函</w:t>
          </w:r>
          <w:r>
            <w:tab/>
          </w:r>
          <w:r>
            <w:fldChar w:fldCharType="begin"/>
          </w:r>
          <w:r>
            <w:instrText xml:space="preserve"> PAGEREF _Toc1441593892 \h </w:instrText>
          </w:r>
          <w:r>
            <w:fldChar w:fldCharType="separate"/>
          </w:r>
          <w:r>
            <w:t>39</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_Toc882361687 </w:instrText>
          </w:r>
          <w:r>
            <w:rPr>
              <w:rFonts w:hint="eastAsia"/>
            </w:rPr>
            <w:fldChar w:fldCharType="separate"/>
          </w:r>
          <w:r>
            <w:rPr>
              <w:rFonts w:hint="eastAsia" w:ascii="仿宋_GB2312" w:hAnsi="黑体" w:eastAsia="仿宋_GB2312"/>
              <w:kern w:val="44"/>
              <w:szCs w:val="36"/>
            </w:rPr>
            <w:t>附件6：做市服务专用账户信息报备表</w:t>
          </w:r>
          <w:r>
            <w:tab/>
          </w:r>
          <w:r>
            <w:fldChar w:fldCharType="begin"/>
          </w:r>
          <w:r>
            <w:instrText xml:space="preserve"> PAGEREF _Toc882361687 \h </w:instrText>
          </w:r>
          <w:r>
            <w:fldChar w:fldCharType="separate"/>
          </w:r>
          <w:r>
            <w:t>40</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_Toc639542457 </w:instrText>
          </w:r>
          <w:r>
            <w:rPr>
              <w:rFonts w:hint="eastAsia"/>
            </w:rPr>
            <w:fldChar w:fldCharType="separate"/>
          </w:r>
          <w:r>
            <w:rPr>
              <w:rFonts w:hint="eastAsia" w:ascii="仿宋_GB2312" w:hAnsi="黑体" w:eastAsia="仿宋_GB2312"/>
              <w:kern w:val="44"/>
              <w:szCs w:val="36"/>
            </w:rPr>
            <w:t>附件7：专用证券账户变更申请表</w:t>
          </w:r>
          <w:r>
            <w:tab/>
          </w:r>
          <w:r>
            <w:fldChar w:fldCharType="begin"/>
          </w:r>
          <w:r>
            <w:instrText xml:space="preserve"> PAGEREF _Toc639542457 \h </w:instrText>
          </w:r>
          <w:r>
            <w:fldChar w:fldCharType="separate"/>
          </w:r>
          <w:r>
            <w:t>41</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_Toc1186390038 </w:instrText>
          </w:r>
          <w:r>
            <w:rPr>
              <w:rFonts w:hint="eastAsia"/>
            </w:rPr>
            <w:fldChar w:fldCharType="separate"/>
          </w:r>
          <w:r>
            <w:rPr>
              <w:rFonts w:hint="eastAsia" w:ascii="仿宋_GB2312" w:hAnsi="黑体" w:eastAsia="仿宋_GB2312"/>
              <w:kern w:val="44"/>
              <w:szCs w:val="36"/>
            </w:rPr>
            <w:t>附件8：申请终止做市服务</w:t>
          </w:r>
          <w:r>
            <w:tab/>
          </w:r>
          <w:r>
            <w:fldChar w:fldCharType="begin"/>
          </w:r>
          <w:r>
            <w:instrText xml:space="preserve"> PAGEREF _Toc1186390038 \h </w:instrText>
          </w:r>
          <w:r>
            <w:fldChar w:fldCharType="separate"/>
          </w:r>
          <w:r>
            <w:t>42</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_Toc1503154082 </w:instrText>
          </w:r>
          <w:r>
            <w:rPr>
              <w:rFonts w:hint="eastAsia"/>
            </w:rPr>
            <w:fldChar w:fldCharType="separate"/>
          </w:r>
          <w:r>
            <w:rPr>
              <w:rFonts w:hint="eastAsia" w:ascii="仿宋_GB2312" w:hAnsi="黑体" w:eastAsia="仿宋_GB2312"/>
              <w:kern w:val="44"/>
              <w:szCs w:val="36"/>
            </w:rPr>
            <w:t>附件9：数字证书申请流程</w:t>
          </w:r>
          <w:r>
            <w:tab/>
          </w:r>
          <w:r>
            <w:fldChar w:fldCharType="begin"/>
          </w:r>
          <w:r>
            <w:instrText xml:space="preserve"> PAGEREF _Toc1503154082 \h </w:instrText>
          </w:r>
          <w:r>
            <w:fldChar w:fldCharType="separate"/>
          </w:r>
          <w:r>
            <w:t>43</w:t>
          </w:r>
          <w:r>
            <w:fldChar w:fldCharType="end"/>
          </w:r>
          <w:r>
            <w:rPr>
              <w:rFonts w:hint="eastAsia"/>
            </w:rPr>
            <w:fldChar w:fldCharType="end"/>
          </w:r>
        </w:p>
        <w:p>
          <w:pPr>
            <w:pStyle w:val="14"/>
            <w:ind w:left="0" w:leftChars="0"/>
            <w:rPr>
              <w:rFonts w:hAnsiTheme="minorHAnsi" w:cstheme="minorBidi"/>
            </w:rPr>
          </w:pPr>
          <w:r>
            <w:rPr>
              <w:rFonts w:hint="eastAsia"/>
            </w:rPr>
            <w:fldChar w:fldCharType="end"/>
          </w:r>
        </w:p>
      </w:sdtContent>
    </w:sdt>
    <w:p>
      <w:pPr>
        <w:pStyle w:val="2"/>
        <w:spacing w:before="0" w:after="0" w:line="600" w:lineRule="exact"/>
        <w:ind w:firstLine="602"/>
        <w:jc w:val="center"/>
        <w:rPr>
          <w:rFonts w:ascii="黑体" w:hAnsi="黑体" w:eastAsia="黑体" w:cs="宋体"/>
          <w:b w:val="0"/>
          <w:sz w:val="30"/>
          <w:szCs w:val="30"/>
        </w:rPr>
      </w:pPr>
      <w:bookmarkStart w:id="0" w:name="_Toc120180527"/>
      <w:bookmarkStart w:id="1" w:name="_Toc256587826"/>
      <w:bookmarkStart w:id="2" w:name="_Toc168666316"/>
      <w:bookmarkStart w:id="3" w:name="_Toc709"/>
      <w:bookmarkStart w:id="4" w:name="_Toc29139"/>
      <w:r>
        <w:rPr>
          <w:rFonts w:hint="eastAsia" w:ascii="黑体" w:hAnsi="黑体" w:eastAsia="黑体" w:cs="宋体"/>
          <w:sz w:val="30"/>
          <w:szCs w:val="30"/>
        </w:rPr>
        <w:t>说明及声明</w:t>
      </w:r>
      <w:bookmarkEnd w:id="0"/>
      <w:bookmarkEnd w:id="1"/>
      <w:bookmarkEnd w:id="2"/>
      <w:bookmarkEnd w:id="3"/>
      <w:bookmarkEnd w:id="4"/>
    </w:p>
    <w:p>
      <w:pPr>
        <w:spacing w:line="600" w:lineRule="exact"/>
        <w:ind w:firstLine="600" w:firstLineChars="200"/>
        <w:rPr>
          <w:rFonts w:ascii="Times New Roman" w:hAnsi="Times New Roman" w:eastAsia="仿宋_GB2312"/>
          <w:sz w:val="30"/>
          <w:szCs w:val="30"/>
        </w:rPr>
      </w:pPr>
      <w:r>
        <w:rPr>
          <w:rFonts w:hint="eastAsia" w:ascii="仿宋_GB2312" w:eastAsia="仿宋_GB2312"/>
          <w:sz w:val="30"/>
          <w:szCs w:val="30"/>
        </w:rPr>
        <w:t>为规范上海证券交易所（以下简称本所）上市基金做市业务，提高市场流动性，</w:t>
      </w:r>
      <w:r>
        <w:rPr>
          <w:rFonts w:hint="eastAsia" w:ascii="Times New Roman" w:hAnsi="Times New Roman" w:eastAsia="仿宋_GB2312"/>
          <w:sz w:val="30"/>
          <w:szCs w:val="30"/>
        </w:rPr>
        <w:t>根据《上海证券交易所证券投资基金上市规则》《上海证券交易所交易型开放式指数基金业务实施细则》《上海证券交易所开放式基金业务管理办法》《上海证券交易所基金自律监管规则适用指引第2号——上市基金做市业务》（以下简称《基金做市指引》）及其他相关规定，制定本指南。本指南主要内容包括基金做市业务的总体要求、业务申请条件与受理流程、基金做市商的报价义务、权利、评价、风险管理、合规与内部控制、监督管理等方面。本指南仅供基金做市商开展做市业务时参考，如有内容与本所基金业务规则不一致，以本所基金业务规则为准。本所将根据基金业务的进展情况，对本指南进行持续更新和调整。</w:t>
      </w:r>
    </w:p>
    <w:p>
      <w:pPr>
        <w:spacing w:line="600" w:lineRule="exact"/>
        <w:ind w:firstLine="600" w:firstLineChars="200"/>
        <w:rPr>
          <w:rFonts w:ascii="Times New Roman" w:hAnsi="Times New Roman" w:eastAsia="仿宋_GB2312"/>
          <w:sz w:val="30"/>
          <w:szCs w:val="30"/>
        </w:rPr>
      </w:pPr>
    </w:p>
    <w:p>
      <w:pPr>
        <w:pStyle w:val="2"/>
        <w:spacing w:before="0" w:after="0" w:line="600" w:lineRule="exact"/>
        <w:jc w:val="center"/>
        <w:rPr>
          <w:rFonts w:ascii="黑体" w:hAnsi="黑体" w:eastAsia="黑体" w:cs="宋体"/>
          <w:b w:val="0"/>
          <w:sz w:val="30"/>
          <w:szCs w:val="30"/>
        </w:rPr>
      </w:pPr>
      <w:bookmarkStart w:id="5" w:name="_Toc32066"/>
      <w:bookmarkStart w:id="6" w:name="_Toc1465916305"/>
      <w:bookmarkStart w:id="7" w:name="_Toc14749"/>
      <w:bookmarkStart w:id="8" w:name="_Toc120180528"/>
      <w:bookmarkStart w:id="9" w:name="_Toc168666317"/>
      <w:r>
        <w:rPr>
          <w:rFonts w:hint="eastAsia" w:ascii="黑体" w:hAnsi="黑体" w:eastAsia="黑体" w:cs="宋体"/>
          <w:sz w:val="30"/>
          <w:szCs w:val="30"/>
        </w:rPr>
        <w:t>第一章  总体要求</w:t>
      </w:r>
      <w:bookmarkEnd w:id="5"/>
      <w:bookmarkEnd w:id="6"/>
      <w:bookmarkEnd w:id="7"/>
      <w:bookmarkEnd w:id="8"/>
      <w:bookmarkEnd w:id="9"/>
    </w:p>
    <w:p>
      <w:pPr>
        <w:pStyle w:val="3"/>
        <w:spacing w:line="600" w:lineRule="exact"/>
        <w:ind w:firstLine="562"/>
        <w:rPr>
          <w:rFonts w:ascii="仿宋_GB2312" w:hAnsi="黑体" w:eastAsia="仿宋_GB2312"/>
          <w:b w:val="0"/>
          <w:kern w:val="44"/>
          <w:sz w:val="30"/>
          <w:szCs w:val="30"/>
        </w:rPr>
      </w:pPr>
      <w:bookmarkStart w:id="10" w:name="_Toc15392"/>
      <w:bookmarkStart w:id="11" w:name="_Toc9997"/>
      <w:bookmarkStart w:id="12" w:name="_Toc1116136019"/>
      <w:bookmarkStart w:id="13" w:name="_Toc168666318"/>
      <w:bookmarkStart w:id="14" w:name="_Toc120180529"/>
      <w:r>
        <w:rPr>
          <w:rFonts w:hint="eastAsia" w:ascii="仿宋_GB2312" w:hAnsi="黑体" w:eastAsia="仿宋_GB2312"/>
          <w:kern w:val="44"/>
          <w:sz w:val="30"/>
          <w:szCs w:val="30"/>
        </w:rPr>
        <w:t>一、概述</w:t>
      </w:r>
      <w:bookmarkEnd w:id="10"/>
      <w:bookmarkEnd w:id="11"/>
      <w:bookmarkEnd w:id="12"/>
      <w:bookmarkEnd w:id="13"/>
      <w:bookmarkEnd w:id="14"/>
    </w:p>
    <w:p>
      <w:pPr>
        <w:spacing w:line="540" w:lineRule="exact"/>
        <w:ind w:firstLine="600" w:firstLineChars="200"/>
        <w:rPr>
          <w:rFonts w:ascii="仿宋_GB2312" w:eastAsia="仿宋_GB2312"/>
          <w:sz w:val="30"/>
          <w:szCs w:val="30"/>
        </w:rPr>
      </w:pPr>
      <w:r>
        <w:rPr>
          <w:rFonts w:hint="eastAsia" w:ascii="仿宋_GB2312" w:eastAsia="仿宋_GB2312"/>
          <w:sz w:val="30"/>
          <w:szCs w:val="30"/>
        </w:rPr>
        <w:t>本指南所称做市服务，是指符合条件的证券公司及本所认可的其他专业机构（以下统称做市商），按照</w:t>
      </w:r>
      <w:r>
        <w:rPr>
          <w:rFonts w:hint="eastAsia" w:ascii="Times New Roman" w:hAnsi="Times New Roman" w:eastAsia="仿宋_GB2312"/>
          <w:sz w:val="30"/>
          <w:szCs w:val="30"/>
        </w:rPr>
        <w:t>《基金做市指引》</w:t>
      </w:r>
      <w:r>
        <w:rPr>
          <w:rFonts w:hint="eastAsia" w:ascii="仿宋_GB2312" w:eastAsia="仿宋_GB2312"/>
          <w:sz w:val="30"/>
          <w:szCs w:val="30"/>
        </w:rPr>
        <w:t>的规定，为本所上市基金提供的持续双边报价等做市服务。</w:t>
      </w:r>
    </w:p>
    <w:p>
      <w:pPr>
        <w:spacing w:line="540" w:lineRule="exact"/>
        <w:ind w:firstLine="600" w:firstLineChars="200"/>
        <w:rPr>
          <w:rFonts w:ascii="仿宋_GB2312" w:eastAsia="仿宋_GB2312"/>
          <w:sz w:val="30"/>
          <w:szCs w:val="30"/>
        </w:rPr>
      </w:pPr>
      <w:r>
        <w:rPr>
          <w:rFonts w:hint="eastAsia" w:ascii="仿宋_GB2312" w:hAnsi="宋体" w:eastAsia="仿宋_GB2312" w:cs="宋体"/>
          <w:sz w:val="30"/>
          <w:szCs w:val="30"/>
        </w:rPr>
        <w:t>本所对做市服务实施差异化管理，分为主做市服务和一般做市服务。经本所认可，可以为本所上市基金提供主做市服务和一般做市服务的专业机构为主做市商；仅可以为本所上市基金提供一般做市服务的专业机构为一般做市商。本所对主做市商在管理、评价等方面的要求更为严格，同时进行适当激励。</w:t>
      </w:r>
    </w:p>
    <w:p>
      <w:pPr>
        <w:pStyle w:val="3"/>
        <w:spacing w:line="600" w:lineRule="exact"/>
        <w:ind w:firstLine="562"/>
        <w:rPr>
          <w:rFonts w:ascii="仿宋_GB2312" w:hAnsi="黑体" w:eastAsia="仿宋_GB2312"/>
          <w:b w:val="0"/>
          <w:kern w:val="44"/>
          <w:sz w:val="30"/>
          <w:szCs w:val="30"/>
        </w:rPr>
      </w:pPr>
      <w:bookmarkStart w:id="15" w:name="_Toc29191"/>
      <w:bookmarkStart w:id="16" w:name="_Toc2169"/>
      <w:bookmarkStart w:id="17" w:name="_Toc168666319"/>
      <w:bookmarkStart w:id="18" w:name="_Toc402720225"/>
      <w:bookmarkStart w:id="19" w:name="_Toc120180530"/>
      <w:r>
        <w:rPr>
          <w:rFonts w:hint="eastAsia" w:ascii="仿宋_GB2312" w:hAnsi="黑体" w:eastAsia="仿宋_GB2312"/>
          <w:kern w:val="44"/>
          <w:sz w:val="30"/>
          <w:szCs w:val="30"/>
        </w:rPr>
        <w:t>二、组织架构与岗位设置</w:t>
      </w:r>
      <w:bookmarkEnd w:id="15"/>
      <w:bookmarkEnd w:id="16"/>
      <w:bookmarkEnd w:id="17"/>
      <w:bookmarkEnd w:id="18"/>
      <w:bookmarkEnd w:id="19"/>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指定专门的业务部门作为基金做市业务负责部门，负责制定并组织实施具体的基金做市业务方案。做市商须配置专门的基金做市团队开展基金做市业务，不得将基金做市业务外包，或交给第三方机构开展。做市商开展基金做市业务须设立交易岗、风险控制岗、技术运维等岗位，并建立备岗机制。</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基金做市业务涉及风控、合规、清算、信息技术等多个业务和功能支持部门。上述支持部门须设立专门的岗位并建立备岗机制，负责与基金做市业务相关的工作，内容包括但不限于基金做市业务风险管理、内控与合规管理、清算、资金管理、技术支持等。做市业务应当与经纪、自营、资产管理等业务进行有效隔离，防止敏感信息的不当流动和使用。</w:t>
      </w:r>
    </w:p>
    <w:p>
      <w:pPr>
        <w:pStyle w:val="3"/>
        <w:spacing w:line="600" w:lineRule="exact"/>
        <w:ind w:firstLine="562"/>
        <w:rPr>
          <w:rFonts w:ascii="仿宋_GB2312" w:hAnsi="黑体" w:eastAsia="仿宋_GB2312"/>
          <w:b w:val="0"/>
          <w:kern w:val="44"/>
          <w:sz w:val="30"/>
          <w:szCs w:val="30"/>
        </w:rPr>
      </w:pPr>
      <w:bookmarkStart w:id="20" w:name="_Toc2036292576"/>
      <w:bookmarkStart w:id="21" w:name="_Toc29227"/>
      <w:bookmarkStart w:id="22" w:name="_Toc120180531"/>
      <w:bookmarkStart w:id="23" w:name="_Toc3268"/>
      <w:bookmarkStart w:id="24" w:name="_Toc168666320"/>
      <w:r>
        <w:rPr>
          <w:rFonts w:hint="eastAsia" w:ascii="仿宋_GB2312" w:hAnsi="黑体" w:eastAsia="仿宋_GB2312"/>
          <w:kern w:val="44"/>
          <w:sz w:val="30"/>
          <w:szCs w:val="30"/>
        </w:rPr>
        <w:t>三、制度与流程</w:t>
      </w:r>
      <w:bookmarkEnd w:id="20"/>
      <w:bookmarkEnd w:id="21"/>
      <w:bookmarkEnd w:id="22"/>
      <w:bookmarkEnd w:id="23"/>
      <w:bookmarkEnd w:id="24"/>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做市商应当制定健全的业务制度和完备的业务流程，涵盖做市业务管理、交易管理、结算、风险管理、内部控制、应急等各个业务环节，并明确各相关部门的职责和岗位设置。</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做市商应当制定做市业务管理办法，保障业务规范开展，内容包括但不限于做市业务实施机制、决策流程、授权体系、风险管理、合规与内部控制、考评及问责机制等。</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制定做市业务风险管理制度，加强对做市业务的风险管理，有效防范和化解业务风险，内容包括但不限于做市业务风险管理基本原则、风险指标设计、风险识别与评估、风险控制与处置、风险定期报告机制、压力测试的情景设置和分析等。</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做市商应当制定做市业务应急预案，以应对做市业务中的突发事件，保障做市业务平稳开展。</w:t>
      </w:r>
    </w:p>
    <w:p>
      <w:pPr>
        <w:spacing w:line="600" w:lineRule="exact"/>
        <w:ind w:firstLine="600" w:firstLineChars="200"/>
        <w:rPr>
          <w:rFonts w:ascii="仿宋_GB2312" w:eastAsia="仿宋_GB2312"/>
          <w:sz w:val="30"/>
          <w:szCs w:val="30"/>
        </w:rPr>
      </w:pPr>
    </w:p>
    <w:p>
      <w:pPr>
        <w:pStyle w:val="2"/>
        <w:spacing w:before="240" w:after="240" w:line="600" w:lineRule="exact"/>
        <w:jc w:val="center"/>
        <w:rPr>
          <w:rFonts w:ascii="黑体" w:hAnsi="宋体" w:eastAsia="黑体" w:cs="宋体"/>
          <w:bCs w:val="0"/>
          <w:kern w:val="0"/>
          <w:sz w:val="30"/>
          <w:szCs w:val="30"/>
        </w:rPr>
      </w:pPr>
      <w:bookmarkStart w:id="25" w:name="_Toc15802"/>
      <w:bookmarkStart w:id="26" w:name="_Toc168666321"/>
      <w:bookmarkStart w:id="27" w:name="_Toc120180532"/>
      <w:bookmarkStart w:id="28" w:name="_Toc30543"/>
      <w:bookmarkStart w:id="29" w:name="_Toc1770380892"/>
      <w:r>
        <w:rPr>
          <w:rFonts w:hint="eastAsia" w:ascii="黑体" w:hAnsi="宋体" w:eastAsia="黑体" w:cs="宋体"/>
          <w:bCs w:val="0"/>
          <w:kern w:val="0"/>
          <w:sz w:val="30"/>
          <w:szCs w:val="30"/>
        </w:rPr>
        <w:t>第二章  业务申请与受理流程</w:t>
      </w:r>
      <w:bookmarkEnd w:id="25"/>
      <w:bookmarkEnd w:id="26"/>
      <w:bookmarkEnd w:id="27"/>
      <w:bookmarkEnd w:id="28"/>
      <w:bookmarkEnd w:id="29"/>
    </w:p>
    <w:p>
      <w:pPr>
        <w:pStyle w:val="3"/>
        <w:spacing w:line="600" w:lineRule="exact"/>
        <w:ind w:firstLine="562"/>
        <w:rPr>
          <w:rFonts w:ascii="Times New Roman" w:hAnsi="Times New Roman" w:eastAsia="仿宋_GB2312" w:cstheme="minorBidi"/>
          <w:bCs w:val="0"/>
          <w:sz w:val="30"/>
          <w:szCs w:val="30"/>
        </w:rPr>
      </w:pPr>
      <w:bookmarkStart w:id="30" w:name="_Toc27023"/>
      <w:bookmarkStart w:id="31" w:name="_Toc1171703447"/>
      <w:bookmarkStart w:id="32" w:name="_Toc120180533"/>
      <w:bookmarkStart w:id="33" w:name="_Toc168666322"/>
      <w:bookmarkStart w:id="34" w:name="_Toc30487"/>
      <w:r>
        <w:rPr>
          <w:rFonts w:hint="eastAsia" w:ascii="仿宋_GB2312" w:hAnsi="黑体" w:eastAsia="仿宋_GB2312"/>
          <w:kern w:val="44"/>
          <w:sz w:val="30"/>
          <w:szCs w:val="30"/>
        </w:rPr>
        <w:t>一、</w:t>
      </w:r>
      <w:r>
        <w:rPr>
          <w:rFonts w:hint="eastAsia" w:ascii="Times New Roman" w:hAnsi="Times New Roman" w:eastAsia="仿宋_GB2312" w:cstheme="minorBidi"/>
          <w:bCs w:val="0"/>
          <w:sz w:val="30"/>
          <w:szCs w:val="30"/>
        </w:rPr>
        <w:t>做市业务申请与受理</w:t>
      </w:r>
      <w:bookmarkEnd w:id="30"/>
      <w:bookmarkEnd w:id="31"/>
      <w:bookmarkEnd w:id="32"/>
      <w:bookmarkEnd w:id="33"/>
      <w:bookmarkEnd w:id="34"/>
    </w:p>
    <w:p>
      <w:pPr>
        <w:spacing w:line="600" w:lineRule="exact"/>
        <w:ind w:firstLine="602" w:firstLineChars="200"/>
        <w:rPr>
          <w:rFonts w:ascii="Times New Roman" w:hAnsi="Times New Roman" w:eastAsia="仿宋_GB2312"/>
          <w:b/>
          <w:sz w:val="30"/>
          <w:szCs w:val="30"/>
        </w:rPr>
      </w:pPr>
      <w:r>
        <w:rPr>
          <w:rFonts w:hint="eastAsia" w:ascii="Times New Roman" w:hAnsi="Times New Roman" w:eastAsia="仿宋_GB2312"/>
          <w:b/>
          <w:sz w:val="30"/>
          <w:szCs w:val="30"/>
        </w:rPr>
        <w:t>（一）申请条件</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证券公司、商业银行、保险机构、信托公司、基金管理公司、财务公司等专业机构及其子公司，或本所认可的其他专业机构，可向本所申请成为基金做市商。</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专业机构申请成为本所基金做市商的，须符合下列条件：</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1、拟申请机构为证券公司的，须取得经国务院证券监督管理机构核准的证券做市交易业务许可；</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2、具备开展做市业务所需的专业人员和技术系统；</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3、以自有资金开展做市业务；</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4、制定完备的做市业务实施方案、业务管理办法、风险管理制度、应急预案等有关内部管理制度；</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5、过去一年内未因做市业务的违法违规行为被中国证监会或本所采取监管措施、纪律处分或行政处罚；</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6、中国证监会及本所规定的其他条件。</w:t>
      </w:r>
    </w:p>
    <w:p>
      <w:pPr>
        <w:spacing w:line="540" w:lineRule="exact"/>
        <w:ind w:firstLine="600" w:firstLineChars="200"/>
        <w:rPr>
          <w:rFonts w:ascii="仿宋_GB2312" w:eastAsia="仿宋_GB2312"/>
          <w:sz w:val="30"/>
          <w:szCs w:val="30"/>
        </w:rPr>
      </w:pPr>
      <w:r>
        <w:rPr>
          <w:rFonts w:hint="eastAsia" w:ascii="仿宋_GB2312" w:hAnsi="宋体" w:eastAsia="仿宋_GB2312" w:cs="宋体"/>
          <w:sz w:val="30"/>
          <w:szCs w:val="30"/>
        </w:rPr>
        <w:t>申请成为本所基金</w:t>
      </w:r>
      <w:r>
        <w:rPr>
          <w:rFonts w:hint="eastAsia" w:ascii="仿宋_GB2312" w:eastAsia="仿宋_GB2312"/>
          <w:sz w:val="30"/>
          <w:szCs w:val="30"/>
        </w:rPr>
        <w:t>做市商的专业机构，除应当符合上述条件外，还应当通过本所组织的专项检查（检查要点见附件1）和技术测试。专项检查重点内容包括基金做市业务相关制度流程、组织架构、方案策略、交易管理、风控合规、技术系统等。技术测试主要内容包括交易功能测试等。</w:t>
      </w:r>
    </w:p>
    <w:p>
      <w:pPr>
        <w:spacing w:line="600" w:lineRule="exact"/>
        <w:ind w:firstLine="602" w:firstLineChars="200"/>
        <w:rPr>
          <w:rFonts w:ascii="Times New Roman" w:hAnsi="Times New Roman" w:eastAsia="仿宋_GB2312"/>
          <w:b/>
          <w:sz w:val="30"/>
          <w:szCs w:val="30"/>
        </w:rPr>
      </w:pPr>
      <w:r>
        <w:rPr>
          <w:rFonts w:hint="eastAsia" w:ascii="Times New Roman" w:hAnsi="Times New Roman" w:eastAsia="仿宋_GB2312"/>
          <w:b/>
          <w:sz w:val="30"/>
          <w:szCs w:val="30"/>
        </w:rPr>
        <w:t>（二）申请材料</w:t>
      </w:r>
    </w:p>
    <w:p>
      <w:pPr>
        <w:spacing w:line="600" w:lineRule="exact"/>
        <w:ind w:firstLine="600" w:firstLineChars="200"/>
        <w:rPr>
          <w:rFonts w:ascii="仿宋_GB2312" w:eastAsia="仿宋_GB2312"/>
          <w:sz w:val="30"/>
          <w:szCs w:val="30"/>
        </w:rPr>
      </w:pPr>
      <w:r>
        <w:rPr>
          <w:rFonts w:hint="eastAsia" w:ascii="Times New Roman" w:hAnsi="Times New Roman" w:eastAsia="仿宋_GB2312"/>
          <w:sz w:val="30"/>
          <w:szCs w:val="30"/>
        </w:rPr>
        <w:t>专业机构申请成为本所基金做市商的</w:t>
      </w:r>
      <w:r>
        <w:rPr>
          <w:rFonts w:hint="eastAsia" w:ascii="仿宋_GB2312" w:eastAsia="仿宋_GB2312"/>
          <w:sz w:val="30"/>
          <w:szCs w:val="30"/>
        </w:rPr>
        <w:t>，应当向本所提交下列材料:</w:t>
      </w:r>
    </w:p>
    <w:p>
      <w:pPr>
        <w:spacing w:line="600" w:lineRule="exact"/>
        <w:ind w:firstLine="600" w:firstLineChars="200"/>
        <w:rPr>
          <w:rFonts w:ascii="仿宋_GB2312" w:hAnsi="宋体" w:eastAsia="仿宋_GB2312" w:cs="宋体"/>
          <w:sz w:val="30"/>
          <w:szCs w:val="30"/>
        </w:rPr>
      </w:pPr>
      <w:r>
        <w:rPr>
          <w:rFonts w:hint="eastAsia" w:ascii="仿宋_GB2312" w:eastAsia="仿宋_GB2312"/>
          <w:sz w:val="30"/>
          <w:szCs w:val="30"/>
        </w:rPr>
        <w:t>1、经法定代表人或授权代表签字并加盖单位公章</w:t>
      </w:r>
      <w:r>
        <w:rPr>
          <w:rFonts w:hint="eastAsia" w:ascii="仿宋_GB2312" w:hAnsi="宋体" w:eastAsia="仿宋_GB2312" w:cs="宋体"/>
          <w:sz w:val="30"/>
          <w:szCs w:val="30"/>
        </w:rPr>
        <w:t>的申请书（模板见附件2）；</w:t>
      </w:r>
    </w:p>
    <w:p>
      <w:pPr>
        <w:spacing w:line="600" w:lineRule="exact"/>
        <w:ind w:firstLine="600" w:firstLineChars="200"/>
        <w:rPr>
          <w:rFonts w:ascii="仿宋_GB2312" w:eastAsia="仿宋_GB2312"/>
          <w:sz w:val="30"/>
          <w:szCs w:val="30"/>
        </w:rPr>
      </w:pPr>
      <w:r>
        <w:rPr>
          <w:rFonts w:hint="eastAsia" w:ascii="仿宋_GB2312" w:hAnsi="宋体" w:eastAsia="仿宋_GB2312" w:cs="宋体"/>
          <w:sz w:val="30"/>
          <w:szCs w:val="30"/>
        </w:rPr>
        <w:t>2、</w:t>
      </w:r>
      <w:r>
        <w:rPr>
          <w:rFonts w:hint="eastAsia" w:ascii="仿宋_GB2312" w:eastAsia="仿宋_GB2312"/>
          <w:sz w:val="30"/>
          <w:szCs w:val="30"/>
        </w:rPr>
        <w:t>做市业务总体性方案、业务管理办法、风险管理制度、应急预案等有关内部管理制度、技术系统准备情况的书面材料（加盖单位公章）；</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3、负责做市业务的部门、岗位设置、人员情况说明（模板见附件3），若负责做市业务的负责人和联络人出现调整，应及时报备本所；</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4、本所要求的其他材料。</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申请机构的法定代表人或授权代表应在申请书上签字，并做出如下承诺：申请人提交的申请材料内容真实、准确、完整，如存在虚假记载、误导性陈述和重大遗漏，将承担相关法律责任。</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上述材料如有变更，应当再次向本所报送。</w:t>
      </w:r>
    </w:p>
    <w:p>
      <w:pPr>
        <w:spacing w:line="600" w:lineRule="exact"/>
        <w:ind w:firstLine="600" w:firstLineChars="200"/>
        <w:rPr>
          <w:rFonts w:ascii="仿宋_GB2312" w:eastAsia="仿宋_GB2312"/>
          <w:sz w:val="30"/>
          <w:szCs w:val="30"/>
        </w:rPr>
      </w:pPr>
    </w:p>
    <w:p>
      <w:pPr>
        <w:spacing w:line="600" w:lineRule="exact"/>
        <w:ind w:firstLine="600" w:firstLineChars="200"/>
        <w:rPr>
          <w:rFonts w:ascii="仿宋_GB2312" w:eastAsia="仿宋_GB2312"/>
          <w:sz w:val="30"/>
          <w:szCs w:val="30"/>
        </w:rPr>
      </w:pPr>
    </w:p>
    <w:p>
      <w:pPr>
        <w:spacing w:line="600" w:lineRule="exact"/>
        <w:ind w:firstLine="602" w:firstLineChars="200"/>
        <w:rPr>
          <w:rFonts w:ascii="Times New Roman" w:hAnsi="Times New Roman" w:eastAsia="仿宋_GB2312"/>
          <w:b/>
          <w:sz w:val="30"/>
          <w:szCs w:val="30"/>
        </w:rPr>
      </w:pPr>
      <w:r>
        <w:rPr>
          <w:rFonts w:hint="eastAsia" w:ascii="Times New Roman" w:hAnsi="Times New Roman" w:eastAsia="仿宋_GB2312"/>
          <w:b/>
          <w:sz w:val="30"/>
          <w:szCs w:val="30"/>
        </w:rPr>
        <w:t>（三）申请受理</w:t>
      </w:r>
    </w:p>
    <w:p>
      <w:pPr>
        <w:widowControl/>
        <w:adjustRightInd w:val="0"/>
        <w:spacing w:line="600" w:lineRule="exact"/>
        <w:ind w:firstLine="600"/>
        <w:rPr>
          <w:rFonts w:ascii="仿宋_GB2312" w:eastAsia="仿宋_GB2312"/>
          <w:sz w:val="30"/>
          <w:szCs w:val="30"/>
        </w:rPr>
      </w:pPr>
      <w:r>
        <w:rPr>
          <w:rFonts w:hint="eastAsia" w:ascii="仿宋_GB2312" w:eastAsia="仿宋_GB2312"/>
          <w:sz w:val="30"/>
          <w:szCs w:val="30"/>
        </w:rPr>
        <w:t>本所将根据《基金做市指引》有关规定，对申请材料进行审核。申请机构符合条件且材料齐备的，本所于文件齐备后的5个交易日内组织专项检查和技术测试。机构通过专项检查和技术测试</w:t>
      </w:r>
      <w:r>
        <w:rPr>
          <w:rFonts w:hint="eastAsia" w:ascii="Times New Roman" w:hAnsi="Times New Roman" w:eastAsia="仿宋_GB2312"/>
          <w:sz w:val="30"/>
          <w:szCs w:val="30"/>
        </w:rPr>
        <w:t>的，</w:t>
      </w:r>
      <w:r>
        <w:rPr>
          <w:rFonts w:hint="eastAsia" w:ascii="仿宋_GB2312" w:eastAsia="仿宋_GB2312"/>
          <w:sz w:val="30"/>
          <w:szCs w:val="30"/>
        </w:rPr>
        <w:t>本所于10个交易日内作出决定，并通知申请人。</w:t>
      </w:r>
      <w:r>
        <w:rPr>
          <w:rFonts w:hint="eastAsia" w:ascii="仿宋_GB2312" w:hAnsi="宋体" w:eastAsia="仿宋_GB2312" w:cs="宋体"/>
          <w:sz w:val="30"/>
          <w:szCs w:val="30"/>
        </w:rPr>
        <w:t>对</w:t>
      </w:r>
      <w:r>
        <w:rPr>
          <w:rFonts w:hint="eastAsia" w:ascii="仿宋_GB2312" w:eastAsia="仿宋_GB2312"/>
          <w:sz w:val="30"/>
          <w:szCs w:val="30"/>
        </w:rPr>
        <w:t>机构开展的专项检查和技术测试不计入上述期限。做市商申请通过的，本所将向市场公告。</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取得本所同意成为主做市商的专业机构应当在收到本所通知后及时与本所签订做市商协议，明确双方的权利和义务。未签订做市商协议的，不得以主做市商身份提供做市服务。若协议内容有补充或变更，须签订补充协议予以更新。</w:t>
      </w:r>
    </w:p>
    <w:p>
      <w:pPr>
        <w:pStyle w:val="3"/>
        <w:spacing w:line="600" w:lineRule="exact"/>
        <w:ind w:firstLine="562"/>
        <w:rPr>
          <w:rFonts w:ascii="仿宋_GB2312" w:hAnsi="黑体" w:eastAsia="仿宋_GB2312"/>
          <w:b w:val="0"/>
          <w:kern w:val="44"/>
          <w:sz w:val="30"/>
          <w:szCs w:val="30"/>
        </w:rPr>
      </w:pPr>
      <w:bookmarkStart w:id="35" w:name="_Toc9016"/>
      <w:bookmarkStart w:id="36" w:name="_Toc120180534"/>
      <w:bookmarkStart w:id="37" w:name="_Toc2170"/>
      <w:bookmarkStart w:id="38" w:name="_Toc168666323"/>
      <w:bookmarkStart w:id="39" w:name="_Toc812416854"/>
      <w:r>
        <w:rPr>
          <w:rFonts w:hint="eastAsia" w:ascii="仿宋_GB2312" w:hAnsi="黑体" w:eastAsia="仿宋_GB2312"/>
          <w:kern w:val="44"/>
          <w:sz w:val="30"/>
          <w:szCs w:val="30"/>
        </w:rPr>
        <w:t>二、做市商申请为基金产品提供做市服务</w:t>
      </w:r>
      <w:bookmarkEnd w:id="35"/>
      <w:bookmarkEnd w:id="36"/>
      <w:bookmarkEnd w:id="37"/>
      <w:bookmarkEnd w:id="38"/>
      <w:bookmarkEnd w:id="39"/>
    </w:p>
    <w:p>
      <w:pPr>
        <w:spacing w:line="600" w:lineRule="exact"/>
        <w:ind w:firstLine="600" w:firstLineChars="200"/>
        <w:rPr>
          <w:rFonts w:ascii="仿宋_GB2312" w:eastAsia="仿宋_GB2312"/>
          <w:sz w:val="30"/>
          <w:szCs w:val="30"/>
        </w:rPr>
      </w:pPr>
      <w:r>
        <w:rPr>
          <w:rFonts w:hint="eastAsia" w:ascii="Times New Roman" w:hAnsi="Times New Roman" w:eastAsia="仿宋_GB2312"/>
          <w:sz w:val="30"/>
          <w:szCs w:val="30"/>
        </w:rPr>
        <w:t>做市商申请为基金产品提供做市服务的</w:t>
      </w:r>
      <w:r>
        <w:rPr>
          <w:rFonts w:hint="eastAsia" w:ascii="仿宋_GB2312" w:eastAsia="仿宋_GB2312"/>
          <w:sz w:val="30"/>
          <w:szCs w:val="30"/>
        </w:rPr>
        <w:t>，应当向本所提交下列材料：</w:t>
      </w:r>
    </w:p>
    <w:p>
      <w:pPr>
        <w:spacing w:line="600" w:lineRule="exact"/>
        <w:ind w:firstLine="600" w:firstLineChars="200"/>
        <w:rPr>
          <w:rFonts w:ascii="仿宋_GB2312" w:hAnsi="宋体" w:eastAsia="仿宋_GB2312" w:cs="宋体"/>
          <w:sz w:val="30"/>
          <w:szCs w:val="30"/>
        </w:rPr>
      </w:pPr>
      <w:r>
        <w:rPr>
          <w:rFonts w:hint="eastAsia" w:ascii="仿宋_GB2312" w:eastAsia="仿宋_GB2312"/>
          <w:sz w:val="30"/>
          <w:szCs w:val="30"/>
        </w:rPr>
        <w:t>1、</w:t>
      </w:r>
      <w:r>
        <w:rPr>
          <w:rFonts w:hint="eastAsia" w:ascii="仿宋_GB2312" w:hAnsi="宋体" w:eastAsia="仿宋_GB2312" w:cs="宋体"/>
          <w:sz w:val="30"/>
          <w:szCs w:val="30"/>
        </w:rPr>
        <w:t>加盖单位公章的为基金产品提供主做市服务或一般做市服务的申请书（模板见附件4）；</w:t>
      </w:r>
    </w:p>
    <w:p>
      <w:pPr>
        <w:spacing w:line="600" w:lineRule="exact"/>
        <w:ind w:firstLine="600" w:firstLineChars="200"/>
        <w:rPr>
          <w:rFonts w:ascii="仿宋_GB2312" w:hAnsi="宋体" w:eastAsia="仿宋_GB2312" w:cs="宋体"/>
          <w:sz w:val="30"/>
          <w:szCs w:val="30"/>
        </w:rPr>
      </w:pPr>
      <w:r>
        <w:rPr>
          <w:rFonts w:hint="eastAsia" w:ascii="仿宋_GB2312" w:hAnsi="宋体" w:eastAsia="仿宋_GB2312" w:cs="宋体"/>
          <w:sz w:val="30"/>
          <w:szCs w:val="30"/>
        </w:rPr>
        <w:t>2、基金公司的书面认可函（模板见附件5）；</w:t>
      </w:r>
    </w:p>
    <w:p>
      <w:pPr>
        <w:spacing w:line="600" w:lineRule="exact"/>
        <w:ind w:firstLine="600" w:firstLineChars="200"/>
        <w:rPr>
          <w:rFonts w:ascii="仿宋_GB2312" w:hAnsi="宋体" w:eastAsia="仿宋_GB2312" w:cs="宋体"/>
          <w:sz w:val="30"/>
          <w:szCs w:val="30"/>
        </w:rPr>
      </w:pPr>
      <w:r>
        <w:rPr>
          <w:rFonts w:hint="eastAsia" w:ascii="仿宋_GB2312" w:hAnsi="宋体" w:eastAsia="仿宋_GB2312" w:cs="宋体"/>
          <w:sz w:val="30"/>
          <w:szCs w:val="30"/>
        </w:rPr>
        <w:t>3、做市业务专用账户信息报备表（模板见附件6）</w:t>
      </w:r>
      <w:r>
        <w:rPr>
          <w:rFonts w:hint="eastAsia" w:ascii="仿宋_GB2312" w:eastAsia="仿宋_GB2312"/>
          <w:sz w:val="30"/>
          <w:szCs w:val="30"/>
        </w:rPr>
        <w:t>；</w:t>
      </w:r>
      <w:r>
        <w:rPr>
          <w:rFonts w:hint="eastAsia" w:ascii="仿宋_GB2312" w:hAnsi="宋体" w:eastAsia="仿宋_GB2312" w:cs="宋体"/>
          <w:sz w:val="30"/>
          <w:szCs w:val="30"/>
        </w:rPr>
        <w:t xml:space="preserve"> </w:t>
      </w:r>
    </w:p>
    <w:p>
      <w:pPr>
        <w:spacing w:line="600" w:lineRule="exact"/>
        <w:ind w:firstLine="600" w:firstLineChars="200"/>
        <w:rPr>
          <w:rFonts w:ascii="仿宋_GB2312" w:eastAsia="仿宋_GB2312"/>
          <w:sz w:val="30"/>
          <w:szCs w:val="30"/>
        </w:rPr>
      </w:pPr>
      <w:r>
        <w:rPr>
          <w:rFonts w:hint="eastAsia" w:ascii="仿宋_GB2312" w:hAnsi="宋体" w:eastAsia="仿宋_GB2312" w:cs="宋体"/>
          <w:sz w:val="30"/>
          <w:szCs w:val="30"/>
        </w:rPr>
        <w:t>4、基金产品做市业务实施方案、业务管理办法、风险管理制度、应急预案等有关内部管理制度、技术系统准备情况的书面材料（</w:t>
      </w:r>
      <w:r>
        <w:rPr>
          <w:rFonts w:hint="eastAsia" w:ascii="仿宋_GB2312" w:eastAsia="仿宋_GB2312"/>
          <w:sz w:val="30"/>
          <w:szCs w:val="30"/>
        </w:rPr>
        <w:t>加盖单位公章）。</w:t>
      </w:r>
      <w:r>
        <w:rPr>
          <w:rFonts w:hint="eastAsia" w:ascii="仿宋_GB2312" w:hAnsi="宋体" w:eastAsia="仿宋_GB2312" w:cs="宋体"/>
          <w:sz w:val="30"/>
          <w:szCs w:val="30"/>
        </w:rPr>
        <w:t>如材料与申请成为做市商提交的材料内容一致，可免予提交；</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5、本所要求的其他材料。</w:t>
      </w:r>
    </w:p>
    <w:p>
      <w:pPr>
        <w:spacing w:line="600" w:lineRule="exact"/>
        <w:ind w:firstLine="600" w:firstLineChars="200"/>
        <w:rPr>
          <w:rFonts w:ascii="Times New Roman" w:hAnsi="Times New Roman" w:eastAsia="仿宋_GB2312"/>
          <w:sz w:val="30"/>
          <w:szCs w:val="30"/>
        </w:rPr>
      </w:pPr>
      <w:r>
        <w:rPr>
          <w:rFonts w:ascii="仿宋_GB2312" w:eastAsia="仿宋_GB2312"/>
          <w:sz w:val="30"/>
          <w:szCs w:val="30"/>
        </w:rPr>
        <w:t>做市商提交的做市服务申请文件齐备的，本所自文件齐备之日起3个交易日内予以确认，申请人</w:t>
      </w:r>
      <w:r>
        <w:rPr>
          <w:rFonts w:hint="eastAsia" w:ascii="仿宋_GB2312" w:eastAsia="仿宋_GB2312"/>
          <w:sz w:val="30"/>
          <w:szCs w:val="30"/>
        </w:rPr>
        <w:t>可自行在业务系统查询受理进度</w:t>
      </w:r>
      <w:r>
        <w:rPr>
          <w:rFonts w:ascii="仿宋_GB2312" w:eastAsia="仿宋_GB2312"/>
          <w:sz w:val="30"/>
          <w:szCs w:val="30"/>
        </w:rPr>
        <w:t>。本所向市场公告为特定基金提供做市服务的做市商名单，自公告中载明的做市服务起始日起，做市商可以为申请的基金产品提供做市服务</w:t>
      </w:r>
      <w:r>
        <w:rPr>
          <w:rFonts w:hint="eastAsia" w:ascii="仿宋_GB2312" w:eastAsia="仿宋_GB2312"/>
          <w:sz w:val="30"/>
          <w:szCs w:val="30"/>
        </w:rPr>
        <w:t>,并接受本所</w:t>
      </w:r>
      <w:r>
        <w:rPr>
          <w:rFonts w:hint="eastAsia" w:ascii="Times New Roman" w:hAnsi="Times New Roman" w:eastAsia="仿宋_GB2312"/>
          <w:sz w:val="30"/>
          <w:szCs w:val="30"/>
        </w:rPr>
        <w:t>考评，获得相应激励。</w:t>
      </w:r>
    </w:p>
    <w:p>
      <w:pPr>
        <w:pStyle w:val="3"/>
        <w:spacing w:line="600" w:lineRule="exact"/>
        <w:ind w:firstLine="562"/>
        <w:rPr>
          <w:rFonts w:ascii="仿宋_GB2312" w:hAnsi="黑体" w:eastAsia="仿宋_GB2312"/>
          <w:b w:val="0"/>
          <w:kern w:val="44"/>
          <w:sz w:val="30"/>
          <w:szCs w:val="30"/>
        </w:rPr>
      </w:pPr>
      <w:bookmarkStart w:id="40" w:name="_Toc30031"/>
      <w:bookmarkStart w:id="41" w:name="_Toc17587"/>
      <w:bookmarkStart w:id="42" w:name="_Toc120180535"/>
      <w:bookmarkStart w:id="43" w:name="_Toc168666324"/>
      <w:bookmarkStart w:id="44" w:name="_Toc715508790"/>
      <w:r>
        <w:rPr>
          <w:rFonts w:hint="eastAsia" w:ascii="仿宋_GB2312" w:hAnsi="黑体" w:eastAsia="仿宋_GB2312"/>
          <w:kern w:val="44"/>
          <w:sz w:val="30"/>
          <w:szCs w:val="30"/>
        </w:rPr>
        <w:t>三、做市专用证券账户报备</w:t>
      </w:r>
      <w:bookmarkEnd w:id="40"/>
      <w:bookmarkEnd w:id="41"/>
      <w:bookmarkEnd w:id="42"/>
      <w:r>
        <w:rPr>
          <w:rFonts w:hint="eastAsia" w:ascii="仿宋_GB2312" w:hAnsi="黑体" w:eastAsia="仿宋_GB2312"/>
          <w:kern w:val="44"/>
          <w:sz w:val="30"/>
          <w:szCs w:val="30"/>
        </w:rPr>
        <w:t>与管理</w:t>
      </w:r>
      <w:bookmarkEnd w:id="43"/>
      <w:bookmarkEnd w:id="44"/>
    </w:p>
    <w:p>
      <w:pPr>
        <w:spacing w:line="600" w:lineRule="exact"/>
        <w:ind w:firstLine="602" w:firstLineChars="200"/>
        <w:rPr>
          <w:rFonts w:ascii="仿宋_GB2312" w:eastAsia="仿宋_GB2312"/>
          <w:b/>
          <w:bCs/>
          <w:sz w:val="30"/>
          <w:szCs w:val="30"/>
        </w:rPr>
      </w:pPr>
      <w:r>
        <w:rPr>
          <w:rFonts w:hint="eastAsia" w:ascii="仿宋_GB2312" w:eastAsia="仿宋_GB2312"/>
          <w:b/>
          <w:bCs/>
          <w:sz w:val="30"/>
          <w:szCs w:val="30"/>
        </w:rPr>
        <w:t>（一）</w:t>
      </w:r>
      <w:r>
        <w:rPr>
          <w:rFonts w:hint="eastAsia" w:ascii="仿宋_GB2312" w:hAnsi="黑体" w:eastAsia="仿宋_GB2312"/>
          <w:b/>
          <w:bCs/>
          <w:kern w:val="44"/>
          <w:sz w:val="30"/>
          <w:szCs w:val="30"/>
        </w:rPr>
        <w:t>做市专用证券账户报备</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做市商提供做市服务，应当指定专用证券账户和对应的交易单元，报本所备案。</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做市商变更上述专用证券账户的，应当提前5个交易日向本所提交变更账户的情况说明（模板见附件7），经本所确认后实施。</w:t>
      </w:r>
    </w:p>
    <w:p>
      <w:pPr>
        <w:spacing w:line="600" w:lineRule="exact"/>
        <w:ind w:firstLine="602" w:firstLineChars="200"/>
        <w:rPr>
          <w:rFonts w:ascii="仿宋_GB2312" w:eastAsia="仿宋_GB2312"/>
          <w:b/>
          <w:bCs/>
          <w:sz w:val="30"/>
          <w:szCs w:val="30"/>
        </w:rPr>
      </w:pPr>
      <w:r>
        <w:rPr>
          <w:rFonts w:hint="eastAsia" w:ascii="仿宋_GB2312" w:eastAsia="仿宋_GB2312"/>
          <w:b/>
          <w:bCs/>
          <w:sz w:val="30"/>
          <w:szCs w:val="30"/>
        </w:rPr>
        <w:t>（二）</w:t>
      </w:r>
      <w:r>
        <w:rPr>
          <w:rFonts w:hint="eastAsia" w:ascii="仿宋_GB2312" w:hAnsi="黑体" w:eastAsia="仿宋_GB2312"/>
          <w:b/>
          <w:bCs/>
          <w:kern w:val="44"/>
          <w:sz w:val="30"/>
          <w:szCs w:val="30"/>
        </w:rPr>
        <w:t>做市专用证券账户管理</w:t>
      </w:r>
    </w:p>
    <w:p>
      <w:pPr>
        <w:ind w:firstLine="600" w:firstLineChars="200"/>
        <w:rPr>
          <w:rFonts w:ascii="仿宋_GB2312" w:eastAsia="仿宋_GB2312"/>
          <w:sz w:val="30"/>
          <w:szCs w:val="30"/>
        </w:rPr>
      </w:pPr>
      <w:r>
        <w:rPr>
          <w:rFonts w:hint="eastAsia" w:ascii="仿宋_GB2312" w:eastAsia="仿宋_GB2312"/>
          <w:sz w:val="30"/>
          <w:szCs w:val="30"/>
        </w:rPr>
        <w:t>专用证券账户不得用于提供做市服务以外的用途。专用证券账户内可持有做市标的基金和做市标的基金的成分券。做市商为单只基金产品提供做市服务应当使用唯一的专用证券账户。专用证券账户可以用于为多个基金产品提供做市服务。</w:t>
      </w:r>
    </w:p>
    <w:p>
      <w:pPr>
        <w:ind w:firstLine="600" w:firstLineChars="200"/>
        <w:rPr>
          <w:rFonts w:ascii="仿宋_GB2312" w:eastAsia="仿宋_GB2312"/>
          <w:sz w:val="30"/>
          <w:szCs w:val="30"/>
        </w:rPr>
      </w:pPr>
      <w:r>
        <w:rPr>
          <w:rFonts w:hint="eastAsia" w:ascii="仿宋_GB2312" w:eastAsia="仿宋_GB2312"/>
          <w:sz w:val="30"/>
          <w:szCs w:val="30"/>
        </w:rPr>
        <w:t>做市服务起始日的前5个交易日内，做市商可以通过专用证券账户申购或单向买入做市标的基金。做市标的基金尚未上市的，做市商可以通过专用证券账户认购相关基金。</w:t>
      </w:r>
    </w:p>
    <w:p>
      <w:pPr>
        <w:ind w:firstLine="600" w:firstLineChars="200"/>
        <w:rPr>
          <w:rFonts w:ascii="仿宋_GB2312" w:eastAsia="仿宋_GB2312"/>
          <w:sz w:val="30"/>
          <w:szCs w:val="30"/>
        </w:rPr>
      </w:pPr>
      <w:r>
        <w:rPr>
          <w:rFonts w:hint="eastAsia" w:ascii="仿宋_GB2312" w:eastAsia="仿宋_GB2312"/>
          <w:sz w:val="30"/>
          <w:szCs w:val="30"/>
        </w:rPr>
        <w:t>做市服务期间内，为补充做市库存，做市商可以通过专用证券账户参与做市标的基金的集合申购，集合申购的份额仅可用于做市服务。</w:t>
      </w:r>
    </w:p>
    <w:p>
      <w:pPr>
        <w:ind w:firstLine="600" w:firstLineChars="200"/>
        <w:rPr>
          <w:rFonts w:ascii="仿宋_GB2312" w:eastAsia="仿宋_GB2312"/>
          <w:sz w:val="30"/>
          <w:szCs w:val="30"/>
        </w:rPr>
      </w:pPr>
      <w:r>
        <w:rPr>
          <w:rFonts w:hint="eastAsia" w:ascii="仿宋_GB2312" w:eastAsia="仿宋_GB2312"/>
          <w:sz w:val="30"/>
          <w:szCs w:val="30"/>
        </w:rPr>
        <w:t>为实现期现隔离、加强风险管理，原则上专用证券账户与期权做市业务对应的现货账户应当为不同的账户。</w:t>
      </w:r>
    </w:p>
    <w:p>
      <w:pPr>
        <w:pStyle w:val="3"/>
        <w:spacing w:line="600" w:lineRule="exact"/>
        <w:ind w:firstLine="562"/>
        <w:rPr>
          <w:rFonts w:ascii="仿宋_GB2312" w:hAnsi="黑体" w:eastAsia="仿宋_GB2312"/>
          <w:b w:val="0"/>
          <w:kern w:val="44"/>
          <w:sz w:val="30"/>
          <w:szCs w:val="30"/>
        </w:rPr>
      </w:pPr>
      <w:bookmarkStart w:id="45" w:name="_Toc4674"/>
      <w:bookmarkStart w:id="46" w:name="_Toc120180536"/>
      <w:bookmarkStart w:id="47" w:name="_Toc168666325"/>
      <w:bookmarkStart w:id="48" w:name="_Toc2082831087"/>
      <w:bookmarkStart w:id="49" w:name="_Toc8975"/>
      <w:r>
        <w:rPr>
          <w:rFonts w:hint="eastAsia" w:ascii="仿宋_GB2312" w:hAnsi="黑体" w:eastAsia="仿宋_GB2312"/>
          <w:kern w:val="44"/>
          <w:sz w:val="30"/>
          <w:szCs w:val="30"/>
        </w:rPr>
        <w:t>四、做市商协商确定机制</w:t>
      </w:r>
      <w:bookmarkEnd w:id="45"/>
      <w:bookmarkEnd w:id="46"/>
      <w:bookmarkEnd w:id="47"/>
      <w:bookmarkEnd w:id="48"/>
      <w:bookmarkEnd w:id="49"/>
    </w:p>
    <w:p>
      <w:pPr>
        <w:spacing w:line="600" w:lineRule="exact"/>
        <w:ind w:firstLine="600" w:firstLineChars="200"/>
        <w:rPr>
          <w:rFonts w:ascii="仿宋_GB2312" w:eastAsia="仿宋_GB2312"/>
          <w:sz w:val="30"/>
          <w:szCs w:val="30"/>
        </w:rPr>
      </w:pPr>
      <w:r>
        <w:rPr>
          <w:rFonts w:hint="eastAsia" w:ascii="仿宋_GB2312" w:eastAsia="仿宋_GB2312"/>
          <w:sz w:val="30"/>
          <w:szCs w:val="30"/>
        </w:rPr>
        <w:t>本所可以根据基金管理人的申请、基金产品特性等因素，确定特定基金产品的主做市商家数。本所认为为特定基金产品提供做市服务的主做市商数量不足的，</w:t>
      </w:r>
      <w:r>
        <w:rPr>
          <w:rFonts w:hint="eastAsia" w:ascii="仿宋_GB2312" w:hAnsi="宋体" w:eastAsia="仿宋_GB2312" w:cs="宋体"/>
          <w:sz w:val="30"/>
          <w:szCs w:val="30"/>
        </w:rPr>
        <w:t>可以协商确定主做市商为其提供做市服务。</w:t>
      </w:r>
    </w:p>
    <w:p>
      <w:pPr>
        <w:pStyle w:val="3"/>
        <w:spacing w:line="600" w:lineRule="exact"/>
        <w:ind w:firstLine="560"/>
        <w:rPr>
          <w:rFonts w:ascii="仿宋_GB2312" w:hAnsi="黑体" w:eastAsia="仿宋_GB2312"/>
          <w:b w:val="0"/>
          <w:kern w:val="44"/>
          <w:sz w:val="30"/>
          <w:szCs w:val="30"/>
        </w:rPr>
      </w:pPr>
      <w:bookmarkStart w:id="50" w:name="_Toc120180537"/>
      <w:bookmarkStart w:id="51" w:name="_Toc475664102"/>
      <w:bookmarkStart w:id="52" w:name="_Toc29953"/>
      <w:bookmarkStart w:id="53" w:name="_Toc32192"/>
      <w:bookmarkStart w:id="54" w:name="_Toc168666326"/>
      <w:r>
        <w:rPr>
          <w:rFonts w:hint="eastAsia" w:ascii="仿宋_GB2312" w:hAnsi="黑体" w:eastAsia="仿宋_GB2312"/>
          <w:kern w:val="44"/>
          <w:sz w:val="30"/>
          <w:szCs w:val="30"/>
        </w:rPr>
        <w:t>五、主动申请终止做市服务</w:t>
      </w:r>
      <w:bookmarkEnd w:id="50"/>
      <w:bookmarkEnd w:id="51"/>
      <w:bookmarkEnd w:id="52"/>
      <w:bookmarkEnd w:id="53"/>
      <w:bookmarkEnd w:id="54"/>
    </w:p>
    <w:p>
      <w:pPr>
        <w:widowControl/>
        <w:adjustRightInd w:val="0"/>
        <w:spacing w:line="600" w:lineRule="exact"/>
        <w:ind w:firstLine="560"/>
        <w:rPr>
          <w:rFonts w:ascii="仿宋_GB2312" w:hAnsi="宋体" w:eastAsia="仿宋_GB2312" w:cs="宋体"/>
          <w:sz w:val="30"/>
          <w:szCs w:val="30"/>
        </w:rPr>
      </w:pPr>
      <w:r>
        <w:rPr>
          <w:rFonts w:hint="eastAsia" w:ascii="仿宋_GB2312" w:hAnsi="宋体" w:eastAsia="仿宋_GB2312" w:cs="宋体"/>
          <w:sz w:val="30"/>
          <w:szCs w:val="30"/>
        </w:rPr>
        <w:t>做市商主动申请终止对全部或者部分基金提供做市服务的，应当提前5个交易日</w:t>
      </w:r>
      <w:r>
        <w:rPr>
          <w:rFonts w:hint="eastAsia" w:ascii="仿宋_GB2312" w:eastAsia="仿宋_GB2312"/>
          <w:sz w:val="30"/>
          <w:szCs w:val="30"/>
        </w:rPr>
        <w:t>向本所提交终止申请（模板见附件8）。</w:t>
      </w:r>
      <w:r>
        <w:rPr>
          <w:rFonts w:hint="eastAsia" w:ascii="仿宋_GB2312" w:hAnsi="宋体" w:eastAsia="仿宋_GB2312" w:cs="宋体"/>
          <w:sz w:val="30"/>
          <w:szCs w:val="30"/>
        </w:rPr>
        <w:t>材料中须注明拟终止做市服务的时间。经本所确认后，做市商方可终止为相应基金产品提供做市服务。</w:t>
      </w:r>
    </w:p>
    <w:p>
      <w:pPr>
        <w:widowControl/>
        <w:adjustRightInd w:val="0"/>
        <w:spacing w:line="600" w:lineRule="exact"/>
        <w:ind w:firstLine="560"/>
        <w:rPr>
          <w:rFonts w:ascii="仿宋_GB2312" w:hAnsi="宋体" w:eastAsia="仿宋_GB2312" w:cs="宋体"/>
          <w:sz w:val="30"/>
          <w:szCs w:val="30"/>
        </w:rPr>
      </w:pPr>
      <w:r>
        <w:rPr>
          <w:rFonts w:hint="eastAsia" w:ascii="仿宋_GB2312" w:eastAsia="仿宋_GB2312"/>
          <w:sz w:val="30"/>
          <w:szCs w:val="30"/>
        </w:rPr>
        <w:t>做市商不再为相关基金提供做市服务或者专用证券账户内持有的成份券被调出指数的，做市商可以单向卖出相关证券。做市商原则上应当在相关情形发生之日起的20个交易日内卖出全部相关证券，因市场流动性等因素无法全部卖出的，可以适当延长时间。</w:t>
      </w:r>
    </w:p>
    <w:p>
      <w:pPr>
        <w:ind w:firstLine="600" w:firstLineChars="200"/>
        <w:rPr>
          <w:rFonts w:ascii="仿宋_GB2312" w:eastAsia="仿宋_GB2312"/>
          <w:sz w:val="30"/>
          <w:szCs w:val="30"/>
        </w:rPr>
      </w:pPr>
      <w:r>
        <w:rPr>
          <w:rFonts w:hint="eastAsia" w:ascii="Times New Roman" w:hAnsi="Times New Roman" w:eastAsia="仿宋_GB2312"/>
          <w:sz w:val="30"/>
          <w:szCs w:val="30"/>
        </w:rPr>
        <w:t>做市商主动申请终止</w:t>
      </w:r>
      <w:r>
        <w:rPr>
          <w:rFonts w:hint="eastAsia" w:ascii="仿宋_GB2312" w:hAnsi="宋体" w:eastAsia="仿宋_GB2312" w:cs="宋体"/>
          <w:sz w:val="30"/>
          <w:szCs w:val="30"/>
        </w:rPr>
        <w:t>对全部或者部分基金提供</w:t>
      </w:r>
      <w:r>
        <w:rPr>
          <w:rFonts w:hint="eastAsia" w:ascii="Times New Roman" w:hAnsi="Times New Roman" w:eastAsia="仿宋_GB2312"/>
          <w:sz w:val="30"/>
          <w:szCs w:val="30"/>
        </w:rPr>
        <w:t>做市服务的，6个月内不得重新申请为相应基金提供做市服务。</w:t>
      </w:r>
      <w:r>
        <w:rPr>
          <w:rFonts w:hint="eastAsia" w:ascii="仿宋_GB2312" w:hAnsi="宋体" w:eastAsia="仿宋_GB2312" w:cs="宋体"/>
          <w:sz w:val="30"/>
          <w:szCs w:val="30"/>
        </w:rPr>
        <w:t>做市商原为特定基金提供一般做市服务，在成为主做市商后为同一基金提供主做市服务的，不属于主动终止做市服务。</w:t>
      </w:r>
    </w:p>
    <w:p>
      <w:pPr>
        <w:pStyle w:val="3"/>
        <w:spacing w:line="600" w:lineRule="exact"/>
        <w:ind w:firstLine="560"/>
        <w:rPr>
          <w:rFonts w:ascii="仿宋_GB2312" w:hAnsi="黑体" w:eastAsia="仿宋_GB2312"/>
          <w:kern w:val="44"/>
          <w:sz w:val="30"/>
          <w:szCs w:val="30"/>
        </w:rPr>
      </w:pPr>
      <w:bookmarkStart w:id="55" w:name="_Toc1892279794"/>
      <w:bookmarkStart w:id="56" w:name="_Toc28214"/>
      <w:bookmarkStart w:id="57" w:name="_Toc22477"/>
      <w:bookmarkStart w:id="58" w:name="_Toc168666327"/>
      <w:bookmarkStart w:id="59" w:name="_Toc120180538"/>
      <w:r>
        <w:rPr>
          <w:rFonts w:hint="eastAsia" w:ascii="仿宋_GB2312" w:hAnsi="黑体" w:eastAsia="仿宋_GB2312"/>
          <w:kern w:val="44"/>
          <w:sz w:val="30"/>
          <w:szCs w:val="30"/>
        </w:rPr>
        <w:t>六、相关材料报送方式</w:t>
      </w:r>
      <w:bookmarkEnd w:id="55"/>
      <w:bookmarkEnd w:id="56"/>
      <w:bookmarkEnd w:id="57"/>
      <w:bookmarkEnd w:id="58"/>
      <w:bookmarkEnd w:id="59"/>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做市商通过业务系统办理各项业务</w:t>
      </w:r>
      <w:r>
        <w:rPr>
          <w:rFonts w:ascii="Times New Roman" w:hAnsi="Times New Roman" w:eastAsia="仿宋_GB2312"/>
          <w:sz w:val="30"/>
          <w:szCs w:val="30"/>
        </w:rPr>
        <w:t>(</w:t>
      </w:r>
      <w:r>
        <w:rPr>
          <w:rFonts w:hint="eastAsia" w:ascii="Times New Roman" w:hAnsi="Times New Roman" w:eastAsia="仿宋_GB2312"/>
          <w:sz w:val="30"/>
          <w:szCs w:val="30"/>
        </w:rPr>
        <w:t>申请</w:t>
      </w:r>
      <w:r>
        <w:rPr>
          <w:rFonts w:ascii="Times New Roman" w:hAnsi="Times New Roman" w:eastAsia="仿宋_GB2312"/>
          <w:sz w:val="30"/>
          <w:szCs w:val="30"/>
        </w:rPr>
        <w:t>EKey</w:t>
      </w:r>
      <w:r>
        <w:rPr>
          <w:rFonts w:hint="eastAsia" w:ascii="Times New Roman" w:hAnsi="Times New Roman" w:eastAsia="仿宋_GB2312"/>
          <w:sz w:val="30"/>
          <w:szCs w:val="30"/>
        </w:rPr>
        <w:t>流程见附件9</w:t>
      </w:r>
      <w:r>
        <w:rPr>
          <w:rFonts w:ascii="Times New Roman" w:hAnsi="Times New Roman" w:eastAsia="仿宋_GB2312"/>
          <w:sz w:val="30"/>
          <w:szCs w:val="30"/>
        </w:rPr>
        <w:t>)</w:t>
      </w:r>
      <w:r>
        <w:rPr>
          <w:rFonts w:hint="eastAsia" w:ascii="Times New Roman" w:hAnsi="Times New Roman" w:eastAsia="仿宋_GB2312"/>
          <w:sz w:val="30"/>
          <w:szCs w:val="30"/>
        </w:rPr>
        <w:t>，系统访问地址</w:t>
      </w:r>
      <w:r>
        <w:rPr>
          <w:rFonts w:ascii="Times New Roman" w:hAnsi="Times New Roman" w:eastAsia="仿宋_GB2312"/>
          <w:sz w:val="30"/>
          <w:szCs w:val="30"/>
        </w:rPr>
        <w:t xml:space="preserve">: </w:t>
      </w:r>
      <w:r>
        <w:fldChar w:fldCharType="begin"/>
      </w:r>
      <w:r>
        <w:instrText xml:space="preserve"> HYPERLINK "https://bmsp.uap.sse.com.cn" </w:instrText>
      </w:r>
      <w:r>
        <w:fldChar w:fldCharType="separate"/>
      </w:r>
      <w:r>
        <w:rPr>
          <w:rFonts w:ascii="Times New Roman" w:hAnsi="Times New Roman" w:eastAsia="仿宋_GB2312"/>
          <w:sz w:val="30"/>
          <w:szCs w:val="30"/>
        </w:rPr>
        <w:t>https://bmsp.uap.sse.com.cn</w:t>
      </w:r>
      <w:r>
        <w:rPr>
          <w:rFonts w:ascii="Times New Roman" w:hAnsi="Times New Roman" w:eastAsia="仿宋_GB2312"/>
          <w:sz w:val="30"/>
          <w:szCs w:val="30"/>
        </w:rPr>
        <w:fldChar w:fldCharType="end"/>
      </w:r>
      <w:r>
        <w:rPr>
          <w:rFonts w:hint="eastAsia" w:ascii="Times New Roman" w:hAnsi="Times New Roman" w:eastAsia="仿宋_GB2312"/>
          <w:sz w:val="30"/>
          <w:szCs w:val="30"/>
        </w:rPr>
        <w:t>。</w:t>
      </w:r>
      <w:r>
        <w:rPr>
          <w:rFonts w:ascii="Times New Roman" w:hAnsi="Times New Roman" w:eastAsia="仿宋_GB2312"/>
          <w:sz w:val="30"/>
          <w:szCs w:val="30"/>
        </w:rPr>
        <w:t xml:space="preserve"> </w:t>
      </w:r>
    </w:p>
    <w:p>
      <w:pPr>
        <w:spacing w:line="600" w:lineRule="exact"/>
        <w:ind w:firstLine="600" w:firstLineChars="200"/>
        <w:rPr>
          <w:rFonts w:ascii="仿宋_GB2312" w:eastAsia="仿宋_GB2312" w:cs="宋体" w:hAnsiTheme="minorEastAsia"/>
          <w:bCs/>
          <w:color w:val="333333"/>
          <w:kern w:val="0"/>
          <w:sz w:val="30"/>
          <w:szCs w:val="30"/>
        </w:rPr>
      </w:pPr>
    </w:p>
    <w:p>
      <w:pPr>
        <w:pStyle w:val="2"/>
        <w:spacing w:before="0" w:after="0" w:line="600" w:lineRule="exact"/>
        <w:jc w:val="center"/>
        <w:rPr>
          <w:rFonts w:ascii="黑体" w:hAnsi="黑体" w:eastAsia="黑体" w:cs="宋体"/>
          <w:sz w:val="30"/>
          <w:szCs w:val="30"/>
        </w:rPr>
      </w:pPr>
      <w:bookmarkStart w:id="60" w:name="_Toc22070"/>
      <w:bookmarkStart w:id="61" w:name="_Toc620792395"/>
      <w:bookmarkStart w:id="62" w:name="_Toc168666328"/>
      <w:bookmarkStart w:id="63" w:name="_Toc120180539"/>
      <w:bookmarkStart w:id="64" w:name="_Toc1647"/>
      <w:r>
        <w:rPr>
          <w:rFonts w:hint="eastAsia" w:ascii="黑体" w:hAnsi="黑体" w:eastAsia="黑体" w:cs="宋体"/>
          <w:sz w:val="30"/>
          <w:szCs w:val="30"/>
        </w:rPr>
        <w:t>第三章  义务与评价</w:t>
      </w:r>
      <w:bookmarkEnd w:id="60"/>
      <w:bookmarkEnd w:id="61"/>
      <w:bookmarkEnd w:id="62"/>
      <w:bookmarkEnd w:id="63"/>
      <w:bookmarkEnd w:id="64"/>
    </w:p>
    <w:p>
      <w:pPr>
        <w:spacing w:line="600" w:lineRule="exact"/>
        <w:ind w:firstLine="600"/>
        <w:rPr>
          <w:rFonts w:ascii="Times New Roman" w:hAnsi="Times New Roman" w:eastAsia="仿宋_GB2312"/>
          <w:sz w:val="30"/>
          <w:szCs w:val="30"/>
        </w:rPr>
      </w:pPr>
      <w:r>
        <w:rPr>
          <w:rFonts w:hint="eastAsia" w:ascii="Times New Roman" w:hAnsi="Times New Roman" w:eastAsia="仿宋_GB2312"/>
          <w:sz w:val="30"/>
          <w:szCs w:val="30"/>
        </w:rPr>
        <w:t>做市商开展做市业务，应当符合《基金做市指引》、与本所签订的做市商协议所规定的做市服务评价指标要求。</w:t>
      </w:r>
    </w:p>
    <w:p>
      <w:pPr>
        <w:pStyle w:val="3"/>
        <w:spacing w:line="600" w:lineRule="exact"/>
        <w:ind w:firstLine="602" w:firstLineChars="200"/>
        <w:rPr>
          <w:rFonts w:ascii="仿宋_GB2312" w:hAnsi="黑体" w:eastAsia="仿宋_GB2312"/>
          <w:b w:val="0"/>
          <w:kern w:val="44"/>
          <w:sz w:val="30"/>
          <w:szCs w:val="30"/>
        </w:rPr>
      </w:pPr>
      <w:bookmarkStart w:id="65" w:name="_Toc168666329"/>
      <w:bookmarkStart w:id="66" w:name="_Toc15227"/>
      <w:bookmarkStart w:id="67" w:name="_Toc4778"/>
      <w:bookmarkStart w:id="68" w:name="_Toc535704461"/>
      <w:bookmarkStart w:id="69" w:name="_Toc120180540"/>
      <w:r>
        <w:rPr>
          <w:rFonts w:hint="eastAsia" w:ascii="仿宋_GB2312" w:hAnsi="黑体" w:eastAsia="仿宋_GB2312"/>
          <w:kern w:val="44"/>
          <w:sz w:val="30"/>
          <w:szCs w:val="30"/>
        </w:rPr>
        <w:t>一、评价周期</w:t>
      </w:r>
      <w:bookmarkEnd w:id="65"/>
      <w:bookmarkEnd w:id="66"/>
      <w:bookmarkEnd w:id="67"/>
      <w:bookmarkEnd w:id="68"/>
      <w:bookmarkEnd w:id="69"/>
    </w:p>
    <w:p>
      <w:pPr>
        <w:spacing w:line="600" w:lineRule="exact"/>
        <w:ind w:firstLine="600"/>
        <w:rPr>
          <w:rFonts w:ascii="Times New Roman" w:hAnsi="Times New Roman" w:eastAsia="仿宋_GB2312"/>
          <w:sz w:val="30"/>
          <w:szCs w:val="30"/>
        </w:rPr>
      </w:pPr>
      <w:r>
        <w:rPr>
          <w:rFonts w:hint="eastAsia" w:ascii="Times New Roman" w:hAnsi="Times New Roman" w:eastAsia="仿宋_GB2312"/>
          <w:sz w:val="30"/>
          <w:szCs w:val="30"/>
        </w:rPr>
        <w:t>本所根据做市服务评价指标，定期评价主做市商和一般做市商的做市服务情况，分为月度评价和年度综合评价。月度评价是每个月（以下称考评月度或月度）对做市商的做市服务情况进行考评。每个考评月度是从上个月21日至本月20日（每年第一个考评月度是从上一年度</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21</w:t>
      </w:r>
      <w:r>
        <w:rPr>
          <w:rFonts w:hint="eastAsia" w:ascii="Times New Roman" w:hAnsi="Times New Roman" w:eastAsia="仿宋_GB2312"/>
          <w:sz w:val="30"/>
          <w:szCs w:val="30"/>
        </w:rPr>
        <w:t>日至本年度1月</w:t>
      </w:r>
      <w:r>
        <w:rPr>
          <w:rFonts w:ascii="Times New Roman" w:hAnsi="Times New Roman" w:eastAsia="仿宋_GB2312"/>
          <w:sz w:val="30"/>
          <w:szCs w:val="30"/>
        </w:rPr>
        <w:t>20</w:t>
      </w:r>
      <w:r>
        <w:rPr>
          <w:rFonts w:hint="eastAsia" w:ascii="Times New Roman" w:hAnsi="Times New Roman" w:eastAsia="仿宋_GB2312"/>
          <w:sz w:val="30"/>
          <w:szCs w:val="30"/>
        </w:rPr>
        <w:t>日）。为特定基金提供做市服务的首个月度评价周期内，做市不满10个交易日的做市商不参与当月月度评价。年度综合评价是每年</w:t>
      </w:r>
      <w:r>
        <w:rPr>
          <w:rFonts w:ascii="Times New Roman" w:hAnsi="Times New Roman" w:eastAsia="仿宋_GB2312"/>
          <w:sz w:val="30"/>
          <w:szCs w:val="30"/>
        </w:rPr>
        <w:t>12</w:t>
      </w:r>
      <w:r>
        <w:rPr>
          <w:rFonts w:hint="eastAsia" w:ascii="Times New Roman" w:hAnsi="Times New Roman" w:eastAsia="仿宋_GB2312"/>
          <w:sz w:val="30"/>
          <w:szCs w:val="30"/>
        </w:rPr>
        <w:t>月对做市商从上年度</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21</w:t>
      </w:r>
      <w:r>
        <w:rPr>
          <w:rFonts w:hint="eastAsia" w:ascii="Times New Roman" w:hAnsi="Times New Roman" w:eastAsia="仿宋_GB2312"/>
          <w:sz w:val="30"/>
          <w:szCs w:val="30"/>
        </w:rPr>
        <w:t>日至本年度</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20</w:t>
      </w:r>
      <w:r>
        <w:rPr>
          <w:rFonts w:hint="eastAsia" w:ascii="Times New Roman" w:hAnsi="Times New Roman" w:eastAsia="仿宋_GB2312"/>
          <w:sz w:val="30"/>
          <w:szCs w:val="30"/>
        </w:rPr>
        <w:t>日的做市服务情况进行综合考评。</w:t>
      </w:r>
    </w:p>
    <w:p>
      <w:pPr>
        <w:pStyle w:val="3"/>
        <w:spacing w:line="600" w:lineRule="exact"/>
        <w:ind w:firstLine="562"/>
        <w:rPr>
          <w:rFonts w:ascii="仿宋_GB2312" w:hAnsi="黑体"/>
          <w:b w:val="0"/>
          <w:kern w:val="44"/>
          <w:sz w:val="30"/>
          <w:szCs w:val="30"/>
        </w:rPr>
      </w:pPr>
      <w:bookmarkStart w:id="70" w:name="_Toc1180651555"/>
      <w:bookmarkStart w:id="71" w:name="_Toc168666330"/>
      <w:bookmarkStart w:id="72" w:name="_Toc120180541"/>
      <w:bookmarkStart w:id="73" w:name="_Toc6031"/>
      <w:bookmarkStart w:id="74" w:name="_Toc3594"/>
      <w:r>
        <w:rPr>
          <w:rFonts w:hint="eastAsia" w:ascii="仿宋_GB2312" w:hAnsi="黑体" w:eastAsia="仿宋_GB2312"/>
          <w:kern w:val="44"/>
          <w:sz w:val="30"/>
          <w:szCs w:val="30"/>
        </w:rPr>
        <w:t>二、报价义务</w:t>
      </w:r>
      <w:bookmarkEnd w:id="70"/>
      <w:bookmarkEnd w:id="71"/>
      <w:bookmarkEnd w:id="72"/>
      <w:bookmarkEnd w:id="73"/>
      <w:bookmarkEnd w:id="74"/>
    </w:p>
    <w:p>
      <w:pPr>
        <w:widowControl/>
        <w:snapToGrid w:val="0"/>
        <w:spacing w:beforeLines="50" w:line="600" w:lineRule="exact"/>
        <w:ind w:firstLine="420"/>
        <w:jc w:val="left"/>
        <w:rPr>
          <w:rFonts w:ascii="Times New Roman" w:hAnsi="Times New Roman" w:eastAsia="仿宋_GB2312"/>
          <w:b/>
          <w:bCs/>
          <w:sz w:val="30"/>
          <w:szCs w:val="30"/>
        </w:rPr>
      </w:pPr>
      <w:r>
        <w:rPr>
          <w:rFonts w:hint="eastAsia" w:ascii="Times New Roman" w:hAnsi="Times New Roman" w:eastAsia="仿宋_GB2312"/>
          <w:b/>
          <w:bCs/>
          <w:sz w:val="30"/>
          <w:szCs w:val="30"/>
        </w:rPr>
        <w:t>（一）报价义务概览</w:t>
      </w:r>
    </w:p>
    <w:p>
      <w:pPr>
        <w:widowControl/>
        <w:snapToGrid w:val="0"/>
        <w:spacing w:beforeLines="50" w:line="600" w:lineRule="exact"/>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考虑到不同类别基金产品在价格水平、流动性等方面的特性差异，本所根据上市基金资产类别设置做市服务报价义务，具体要求如表</w:t>
      </w:r>
      <w:r>
        <w:rPr>
          <w:rFonts w:ascii="Times New Roman" w:hAnsi="Times New Roman" w:eastAsia="仿宋_GB2312"/>
          <w:sz w:val="30"/>
          <w:szCs w:val="30"/>
        </w:rPr>
        <w:t>1</w:t>
      </w:r>
      <w:r>
        <w:rPr>
          <w:rFonts w:hint="eastAsia" w:ascii="Times New Roman" w:hAnsi="Times New Roman" w:eastAsia="仿宋_GB2312"/>
          <w:sz w:val="30"/>
          <w:szCs w:val="30"/>
        </w:rPr>
        <w:t>所示：</w:t>
      </w:r>
    </w:p>
    <w:p>
      <w:pPr>
        <w:widowControl/>
        <w:snapToGrid w:val="0"/>
        <w:spacing w:beforeLines="50" w:line="60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表1：不同资产类别上市基金的报价要求</w:t>
      </w:r>
    </w:p>
    <w:tbl>
      <w:tblPr>
        <w:tblStyle w:val="17"/>
        <w:tblW w:w="8769" w:type="dxa"/>
        <w:tblInd w:w="-156" w:type="dxa"/>
        <w:tblLayout w:type="autofit"/>
        <w:tblCellMar>
          <w:top w:w="0" w:type="dxa"/>
          <w:left w:w="108" w:type="dxa"/>
          <w:bottom w:w="0" w:type="dxa"/>
          <w:right w:w="108" w:type="dxa"/>
        </w:tblCellMar>
      </w:tblPr>
      <w:tblGrid>
        <w:gridCol w:w="1574"/>
        <w:gridCol w:w="1242"/>
        <w:gridCol w:w="1276"/>
        <w:gridCol w:w="1701"/>
        <w:gridCol w:w="1559"/>
        <w:gridCol w:w="1417"/>
      </w:tblGrid>
      <w:tr>
        <w:tblPrEx>
          <w:tblCellMar>
            <w:top w:w="0" w:type="dxa"/>
            <w:left w:w="108" w:type="dxa"/>
            <w:bottom w:w="0" w:type="dxa"/>
            <w:right w:w="108" w:type="dxa"/>
          </w:tblCellMar>
        </w:tblPrEx>
        <w:trPr>
          <w:trHeight w:val="790" w:hRule="atLeast"/>
        </w:trPr>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最小申报金额</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最大买卖价差</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最小平均每笔申报金额</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最低集合竞价参与率</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最低连续竞价参与率</w:t>
            </w:r>
          </w:p>
        </w:tc>
      </w:tr>
      <w:tr>
        <w:tblPrEx>
          <w:tblCellMar>
            <w:top w:w="0" w:type="dxa"/>
            <w:left w:w="108" w:type="dxa"/>
            <w:bottom w:w="0" w:type="dxa"/>
            <w:right w:w="108" w:type="dxa"/>
          </w:tblCellMar>
        </w:tblPrEx>
        <w:trPr>
          <w:trHeight w:val="56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股票型ETF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r>
      <w:tr>
        <w:tblPrEx>
          <w:tblCellMar>
            <w:top w:w="0" w:type="dxa"/>
            <w:left w:w="108" w:type="dxa"/>
            <w:bottom w:w="0" w:type="dxa"/>
            <w:right w:w="108" w:type="dxa"/>
          </w:tblCellMar>
        </w:tblPrEx>
        <w:trPr>
          <w:trHeight w:val="56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跨境型ETF、</w:t>
            </w:r>
          </w:p>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股票型LOF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r>
      <w:tr>
        <w:tblPrEx>
          <w:tblCellMar>
            <w:top w:w="0" w:type="dxa"/>
            <w:left w:w="108" w:type="dxa"/>
            <w:bottom w:w="0" w:type="dxa"/>
            <w:right w:w="108" w:type="dxa"/>
          </w:tblCellMar>
        </w:tblPrEx>
        <w:trPr>
          <w:trHeight w:val="28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债券ETF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30 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0.40 %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r>
      <w:tr>
        <w:tblPrEx>
          <w:tblCellMar>
            <w:top w:w="0" w:type="dxa"/>
            <w:left w:w="108" w:type="dxa"/>
            <w:bottom w:w="0" w:type="dxa"/>
            <w:right w:w="108" w:type="dxa"/>
          </w:tblCellMar>
        </w:tblPrEx>
        <w:trPr>
          <w:trHeight w:val="56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交易型货币市场基金</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0.01%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r>
      <w:tr>
        <w:tblPrEx>
          <w:tblCellMar>
            <w:top w:w="0" w:type="dxa"/>
            <w:left w:w="108" w:type="dxa"/>
            <w:bottom w:w="0" w:type="dxa"/>
            <w:right w:w="108" w:type="dxa"/>
          </w:tblCellMar>
        </w:tblPrEx>
        <w:trPr>
          <w:trHeight w:val="28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商品ETF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r>
      <w:tr>
        <w:tblPrEx>
          <w:tblCellMar>
            <w:top w:w="0" w:type="dxa"/>
            <w:left w:w="108" w:type="dxa"/>
            <w:bottom w:w="0" w:type="dxa"/>
            <w:right w:w="108" w:type="dxa"/>
          </w:tblCellMar>
        </w:tblPrEx>
        <w:trPr>
          <w:trHeight w:val="280" w:hRule="atLeast"/>
        </w:trPr>
        <w:tc>
          <w:tcPr>
            <w:tcW w:w="15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公募REITs</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80%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60% </w:t>
            </w:r>
          </w:p>
        </w:tc>
      </w:tr>
      <w:tr>
        <w:tblPrEx>
          <w:tblCellMar>
            <w:top w:w="0" w:type="dxa"/>
            <w:left w:w="108" w:type="dxa"/>
            <w:bottom w:w="0" w:type="dxa"/>
            <w:right w:w="108" w:type="dxa"/>
          </w:tblCellMar>
        </w:tblPrEx>
        <w:trPr>
          <w:trHeight w:val="280" w:hRule="atLeast"/>
        </w:trPr>
        <w:tc>
          <w:tcPr>
            <w:tcW w:w="15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混合型LOF、科创板相关LOF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0.80%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w:t>
            </w:r>
          </w:p>
        </w:tc>
      </w:tr>
      <w:tr>
        <w:tblPrEx>
          <w:tblCellMar>
            <w:top w:w="0" w:type="dxa"/>
            <w:left w:w="108" w:type="dxa"/>
            <w:bottom w:w="0" w:type="dxa"/>
            <w:right w:w="108" w:type="dxa"/>
          </w:tblCellMar>
        </w:tblPrEx>
        <w:trPr>
          <w:trHeight w:val="28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跨境型L0F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w:t>
            </w:r>
          </w:p>
        </w:tc>
      </w:tr>
    </w:tbl>
    <w:p>
      <w:pPr>
        <w:widowControl/>
        <w:adjustRightInd w:val="0"/>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（二）指标说明</w:t>
      </w:r>
    </w:p>
    <w:p>
      <w:pPr>
        <w:widowControl/>
        <w:adjustRightInd w:val="0"/>
        <w:spacing w:line="6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w:t>
      </w:r>
      <w:r>
        <w:rPr>
          <w:rFonts w:hint="eastAsia" w:ascii="Times New Roman" w:hAnsi="Times New Roman" w:eastAsia="仿宋_GB2312"/>
          <w:sz w:val="30"/>
          <w:szCs w:val="30"/>
        </w:rPr>
        <w:t>、最小申报金额</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做市账户存量买单的总计金额和存量卖单的总计金额，应分别不低于最小申报金额。</w:t>
      </w:r>
    </w:p>
    <w:p>
      <w:pPr>
        <w:widowControl/>
        <w:adjustRightInd w:val="0"/>
        <w:spacing w:line="6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w:t>
      </w:r>
      <w:r>
        <w:rPr>
          <w:rFonts w:hint="eastAsia" w:ascii="Times New Roman" w:hAnsi="Times New Roman" w:eastAsia="仿宋_GB2312"/>
          <w:sz w:val="30"/>
          <w:szCs w:val="30"/>
        </w:rPr>
        <w:t>、最大买卖价差</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做市账户最小报价差应不高于最大买卖价差，其中：</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最小报价差</w:t>
      </w:r>
      <w:r>
        <w:rPr>
          <w:rFonts w:ascii="Times New Roman" w:hAnsi="Times New Roman" w:eastAsia="仿宋_GB2312"/>
          <w:sz w:val="30"/>
          <w:szCs w:val="30"/>
        </w:rPr>
        <w:t>=</w:t>
      </w:r>
      <w:r>
        <w:rPr>
          <w:rFonts w:hint="eastAsia" w:ascii="Times New Roman" w:hAnsi="Times New Roman" w:eastAsia="仿宋_GB2312"/>
          <w:sz w:val="30"/>
          <w:szCs w:val="30"/>
        </w:rPr>
        <w:t>（最高卖报价</w:t>
      </w:r>
      <w:r>
        <w:rPr>
          <w:rFonts w:ascii="Times New Roman" w:hAnsi="Times New Roman" w:eastAsia="仿宋_GB2312"/>
          <w:sz w:val="30"/>
          <w:szCs w:val="30"/>
        </w:rPr>
        <w:t>-</w:t>
      </w:r>
      <w:r>
        <w:rPr>
          <w:rFonts w:hint="eastAsia" w:ascii="Times New Roman" w:hAnsi="Times New Roman" w:eastAsia="仿宋_GB2312"/>
          <w:sz w:val="30"/>
          <w:szCs w:val="30"/>
        </w:rPr>
        <w:t>最低买报价）</w:t>
      </w:r>
      <w:r>
        <w:rPr>
          <w:rFonts w:ascii="Times New Roman" w:hAnsi="Times New Roman" w:eastAsia="仿宋_GB2312"/>
          <w:sz w:val="30"/>
          <w:szCs w:val="30"/>
        </w:rPr>
        <w:t>/</w:t>
      </w:r>
      <w:r>
        <w:rPr>
          <w:rFonts w:hint="eastAsia" w:ascii="Times New Roman" w:hAnsi="Times New Roman" w:eastAsia="仿宋_GB2312"/>
          <w:sz w:val="30"/>
          <w:szCs w:val="30"/>
        </w:rPr>
        <w:t>【max（最高卖报价</w:t>
      </w:r>
      <w:r>
        <w:rPr>
          <w:rFonts w:ascii="Times New Roman" w:hAnsi="Times New Roman" w:eastAsia="仿宋_GB2312"/>
          <w:sz w:val="30"/>
          <w:szCs w:val="30"/>
        </w:rPr>
        <w:t>+</w:t>
      </w:r>
      <w:r>
        <w:rPr>
          <w:rFonts w:hint="eastAsia" w:ascii="Times New Roman" w:hAnsi="Times New Roman" w:eastAsia="仿宋_GB2312"/>
          <w:sz w:val="30"/>
          <w:szCs w:val="30"/>
        </w:rPr>
        <w:t>最低买报价,2）</w:t>
      </w:r>
      <w:r>
        <w:rPr>
          <w:rFonts w:ascii="Times New Roman" w:hAnsi="Times New Roman" w:eastAsia="仿宋_GB2312"/>
          <w:sz w:val="30"/>
          <w:szCs w:val="30"/>
        </w:rPr>
        <w:t>/2</w:t>
      </w:r>
      <w:r>
        <w:rPr>
          <w:rFonts w:hint="eastAsia" w:ascii="Times New Roman" w:hAnsi="Times New Roman" w:eastAsia="仿宋_GB2312"/>
          <w:sz w:val="30"/>
          <w:szCs w:val="30"/>
        </w:rPr>
        <w:t>】。</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最高卖报价及最低买报价定义如下：将订单簿中的存量卖单按申报价格从低到高进行累加，直到申报金额累加值满足最小申报金额，则该笔卖单价格即为最高卖报价；将订单簿中的存量买单按申报价格从高到低进行累加，直到申报金额累加值满足最小申报金额，则该笔买单价格即为最低买报价。</w:t>
      </w:r>
    </w:p>
    <w:p>
      <w:pPr>
        <w:widowControl/>
        <w:adjustRightInd w:val="0"/>
        <w:spacing w:line="6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w:t>
      </w:r>
      <w:r>
        <w:rPr>
          <w:rFonts w:hint="eastAsia" w:ascii="Times New Roman" w:hAnsi="Times New Roman" w:eastAsia="仿宋_GB2312"/>
          <w:sz w:val="30"/>
          <w:szCs w:val="30"/>
        </w:rPr>
        <w:t>、平均每笔申报金额</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考评周期内做市商申报总金额与申报笔数的比值，包含集合竞价及连续竞价。</w:t>
      </w:r>
    </w:p>
    <w:p>
      <w:pPr>
        <w:widowControl/>
        <w:adjustRightInd w:val="0"/>
        <w:spacing w:line="6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w:t>
      </w:r>
      <w:r>
        <w:rPr>
          <w:rFonts w:hint="eastAsia" w:ascii="Times New Roman" w:hAnsi="Times New Roman" w:eastAsia="仿宋_GB2312"/>
          <w:sz w:val="30"/>
          <w:szCs w:val="30"/>
        </w:rPr>
        <w:t>、集合竞价参与率</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考评周期内做市商参与集合竞价天数与交易日天数的比值。其中，做市商做市账户在集合竞价阶段对提供做市服务的基金有申报，即认为参与了当日集合竞价。</w:t>
      </w:r>
    </w:p>
    <w:p>
      <w:pPr>
        <w:widowControl/>
        <w:adjustRightInd w:val="0"/>
        <w:spacing w:line="6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w:t>
      </w:r>
      <w:r>
        <w:rPr>
          <w:rFonts w:hint="eastAsia" w:ascii="Times New Roman" w:hAnsi="Times New Roman" w:eastAsia="仿宋_GB2312"/>
          <w:sz w:val="30"/>
          <w:szCs w:val="30"/>
        </w:rPr>
        <w:t>、连续竞价参与率</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考评周期内做市商报价时间与连续竞价时间的比值。其中，做市商做市账户在某采样点对提供做市服务的基金有申报，该采样点即计入报价时间。</w:t>
      </w:r>
    </w:p>
    <w:p>
      <w:pPr>
        <w:pStyle w:val="3"/>
        <w:spacing w:line="600" w:lineRule="exact"/>
        <w:ind w:firstLine="562"/>
        <w:rPr>
          <w:rFonts w:ascii="仿宋_GB2312" w:hAnsi="黑体" w:eastAsia="仿宋_GB2312"/>
          <w:b w:val="0"/>
          <w:kern w:val="44"/>
          <w:sz w:val="30"/>
          <w:szCs w:val="30"/>
        </w:rPr>
      </w:pPr>
      <w:bookmarkStart w:id="75" w:name="_Toc120180542"/>
      <w:bookmarkStart w:id="76" w:name="_Toc16995"/>
      <w:bookmarkStart w:id="77" w:name="_Toc1149790810"/>
      <w:bookmarkStart w:id="78" w:name="_Toc29857"/>
      <w:bookmarkStart w:id="79" w:name="_Toc168666331"/>
      <w:r>
        <w:rPr>
          <w:rFonts w:hint="eastAsia" w:ascii="仿宋_GB2312" w:hAnsi="黑体" w:eastAsia="仿宋_GB2312"/>
          <w:kern w:val="44"/>
          <w:sz w:val="30"/>
          <w:szCs w:val="30"/>
        </w:rPr>
        <w:t>三、流动性预先分类</w:t>
      </w:r>
      <w:bookmarkEnd w:id="75"/>
      <w:bookmarkEnd w:id="76"/>
      <w:bookmarkEnd w:id="77"/>
      <w:bookmarkEnd w:id="78"/>
      <w:bookmarkEnd w:id="79"/>
    </w:p>
    <w:p>
      <w:pPr>
        <w:spacing w:line="360" w:lineRule="auto"/>
        <w:ind w:firstLine="600" w:firstLineChars="200"/>
        <w:rPr>
          <w:sz w:val="30"/>
          <w:szCs w:val="30"/>
        </w:rPr>
      </w:pPr>
      <w:r>
        <w:rPr>
          <w:rFonts w:hint="eastAsia" w:ascii="Times New Roman" w:hAnsi="Times New Roman" w:eastAsia="仿宋_GB2312"/>
          <w:sz w:val="30"/>
          <w:szCs w:val="30"/>
        </w:rPr>
        <w:t>本所每年6月初和12月初对ETF按流动性高低进行预先分类，并向相关主体公布。依据过去半个年度（分别为上年度</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1</w:t>
      </w:r>
      <w:r>
        <w:rPr>
          <w:rFonts w:hint="eastAsia" w:ascii="Times New Roman" w:hAnsi="Times New Roman" w:eastAsia="仿宋_GB2312"/>
          <w:sz w:val="30"/>
          <w:szCs w:val="30"/>
        </w:rPr>
        <w:t>日至本年度</w:t>
      </w:r>
      <w:r>
        <w:rPr>
          <w:rFonts w:ascii="Times New Roman" w:hAnsi="Times New Roman" w:eastAsia="仿宋_GB2312"/>
          <w:sz w:val="30"/>
          <w:szCs w:val="30"/>
        </w:rPr>
        <w:t>5</w:t>
      </w:r>
      <w:r>
        <w:rPr>
          <w:rFonts w:hint="eastAsia" w:ascii="Times New Roman" w:hAnsi="Times New Roman" w:eastAsia="仿宋_GB2312"/>
          <w:sz w:val="30"/>
          <w:szCs w:val="30"/>
        </w:rPr>
        <w:t>月</w:t>
      </w:r>
      <w:r>
        <w:rPr>
          <w:rFonts w:ascii="Times New Roman" w:hAnsi="Times New Roman" w:eastAsia="仿宋_GB2312"/>
          <w:sz w:val="30"/>
          <w:szCs w:val="30"/>
        </w:rPr>
        <w:t>31</w:t>
      </w:r>
      <w:r>
        <w:rPr>
          <w:rFonts w:hint="eastAsia" w:ascii="Times New Roman" w:hAnsi="Times New Roman" w:eastAsia="仿宋_GB2312"/>
          <w:sz w:val="30"/>
          <w:szCs w:val="30"/>
        </w:rPr>
        <w:t>日，及本年度</w:t>
      </w:r>
      <w:r>
        <w:rPr>
          <w:rFonts w:ascii="Times New Roman" w:hAnsi="Times New Roman" w:eastAsia="仿宋_GB2312"/>
          <w:sz w:val="30"/>
          <w:szCs w:val="30"/>
        </w:rPr>
        <w:t>6</w:t>
      </w:r>
      <w:r>
        <w:rPr>
          <w:rFonts w:hint="eastAsia" w:ascii="Times New Roman" w:hAnsi="Times New Roman" w:eastAsia="仿宋_GB2312"/>
          <w:sz w:val="30"/>
          <w:szCs w:val="30"/>
        </w:rPr>
        <w:t>月</w:t>
      </w:r>
      <w:r>
        <w:rPr>
          <w:rFonts w:ascii="Times New Roman" w:hAnsi="Times New Roman" w:eastAsia="仿宋_GB2312"/>
          <w:sz w:val="30"/>
          <w:szCs w:val="30"/>
        </w:rPr>
        <w:t>1</w:t>
      </w:r>
      <w:r>
        <w:rPr>
          <w:rFonts w:hint="eastAsia" w:ascii="Times New Roman" w:hAnsi="Times New Roman" w:eastAsia="仿宋_GB2312"/>
          <w:sz w:val="30"/>
          <w:szCs w:val="30"/>
        </w:rPr>
        <w:t>日至本年度</w:t>
      </w:r>
      <w:r>
        <w:rPr>
          <w:rFonts w:ascii="Times New Roman" w:hAnsi="Times New Roman" w:eastAsia="仿宋_GB2312"/>
          <w:sz w:val="30"/>
          <w:szCs w:val="30"/>
        </w:rPr>
        <w:t>11</w:t>
      </w:r>
      <w:r>
        <w:rPr>
          <w:rFonts w:hint="eastAsia" w:ascii="Times New Roman" w:hAnsi="Times New Roman" w:eastAsia="仿宋_GB2312"/>
          <w:sz w:val="30"/>
          <w:szCs w:val="30"/>
        </w:rPr>
        <w:t>月</w:t>
      </w:r>
      <w:r>
        <w:rPr>
          <w:rFonts w:ascii="Times New Roman" w:hAnsi="Times New Roman" w:eastAsia="仿宋_GB2312"/>
          <w:sz w:val="30"/>
          <w:szCs w:val="30"/>
        </w:rPr>
        <w:t>30</w:t>
      </w:r>
      <w:r>
        <w:rPr>
          <w:rFonts w:hint="eastAsia" w:ascii="Times New Roman" w:hAnsi="Times New Roman" w:eastAsia="仿宋_GB2312"/>
          <w:sz w:val="30"/>
          <w:szCs w:val="30"/>
        </w:rPr>
        <w:t>日）市场表现，包括日均成交额、日均换手率和申购效率等指标，将ETF预先分成流动性“高”、“中”、“低”三类。</w:t>
      </w:r>
      <w:r>
        <w:rPr>
          <w:rFonts w:ascii="Times New Roman" w:hAnsi="Times New Roman" w:eastAsia="仿宋_GB2312"/>
          <w:sz w:val="30"/>
          <w:szCs w:val="30"/>
        </w:rPr>
        <w:t>6</w:t>
      </w:r>
      <w:r>
        <w:rPr>
          <w:rFonts w:hint="eastAsia" w:ascii="Times New Roman" w:hAnsi="Times New Roman" w:eastAsia="仿宋_GB2312"/>
          <w:sz w:val="30"/>
          <w:szCs w:val="30"/>
        </w:rPr>
        <w:t>月初流动性分类结果适用于本年度</w:t>
      </w:r>
      <w:r>
        <w:rPr>
          <w:rFonts w:ascii="Times New Roman" w:hAnsi="Times New Roman" w:eastAsia="仿宋_GB2312"/>
          <w:sz w:val="30"/>
          <w:szCs w:val="30"/>
        </w:rPr>
        <w:t>6</w:t>
      </w:r>
      <w:r>
        <w:rPr>
          <w:rFonts w:hint="eastAsia" w:ascii="Times New Roman" w:hAnsi="Times New Roman" w:eastAsia="仿宋_GB2312"/>
          <w:sz w:val="30"/>
          <w:szCs w:val="30"/>
        </w:rPr>
        <w:t>月</w:t>
      </w:r>
      <w:r>
        <w:rPr>
          <w:rFonts w:ascii="Times New Roman" w:hAnsi="Times New Roman" w:eastAsia="仿宋_GB2312"/>
          <w:sz w:val="30"/>
          <w:szCs w:val="30"/>
        </w:rPr>
        <w:t>21</w:t>
      </w:r>
      <w:r>
        <w:rPr>
          <w:rFonts w:hint="eastAsia" w:ascii="Times New Roman" w:hAnsi="Times New Roman" w:eastAsia="仿宋_GB2312"/>
          <w:sz w:val="30"/>
          <w:szCs w:val="30"/>
        </w:rPr>
        <w:t>日至</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20</w:t>
      </w:r>
      <w:r>
        <w:rPr>
          <w:rFonts w:hint="eastAsia" w:ascii="Times New Roman" w:hAnsi="Times New Roman" w:eastAsia="仿宋_GB2312"/>
          <w:sz w:val="30"/>
          <w:szCs w:val="30"/>
        </w:rPr>
        <w:t>日，</w:t>
      </w:r>
      <w:r>
        <w:rPr>
          <w:rFonts w:ascii="Times New Roman" w:hAnsi="Times New Roman" w:eastAsia="仿宋_GB2312"/>
          <w:sz w:val="30"/>
          <w:szCs w:val="30"/>
        </w:rPr>
        <w:t>12</w:t>
      </w:r>
      <w:r>
        <w:rPr>
          <w:rFonts w:hint="eastAsia" w:ascii="Times New Roman" w:hAnsi="Times New Roman" w:eastAsia="仿宋_GB2312"/>
          <w:sz w:val="30"/>
          <w:szCs w:val="30"/>
        </w:rPr>
        <w:t>月初流动性分类结果适用于本年度</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21</w:t>
      </w:r>
      <w:r>
        <w:rPr>
          <w:rFonts w:hint="eastAsia" w:ascii="Times New Roman" w:hAnsi="Times New Roman" w:eastAsia="仿宋_GB2312"/>
          <w:sz w:val="30"/>
          <w:szCs w:val="30"/>
        </w:rPr>
        <w:t>日至下一年度</w:t>
      </w:r>
      <w:r>
        <w:rPr>
          <w:rFonts w:ascii="Times New Roman" w:hAnsi="Times New Roman" w:eastAsia="仿宋_GB2312"/>
          <w:sz w:val="30"/>
          <w:szCs w:val="30"/>
        </w:rPr>
        <w:t>6</w:t>
      </w:r>
      <w:r>
        <w:rPr>
          <w:rFonts w:hint="eastAsia" w:ascii="Times New Roman" w:hAnsi="Times New Roman" w:eastAsia="仿宋_GB2312"/>
          <w:sz w:val="30"/>
          <w:szCs w:val="30"/>
        </w:rPr>
        <w:t>月</w:t>
      </w:r>
      <w:r>
        <w:rPr>
          <w:rFonts w:ascii="Times New Roman" w:hAnsi="Times New Roman" w:eastAsia="仿宋_GB2312"/>
          <w:sz w:val="30"/>
          <w:szCs w:val="30"/>
        </w:rPr>
        <w:t>20</w:t>
      </w:r>
      <w:r>
        <w:rPr>
          <w:rFonts w:hint="eastAsia" w:ascii="Times New Roman" w:hAnsi="Times New Roman" w:eastAsia="仿宋_GB2312"/>
          <w:sz w:val="30"/>
          <w:szCs w:val="30"/>
        </w:rPr>
        <w:t>日。</w:t>
      </w:r>
    </w:p>
    <w:p>
      <w:pPr>
        <w:spacing w:line="360" w:lineRule="auto"/>
        <w:ind w:firstLine="600" w:firstLineChars="200"/>
        <w:rPr>
          <w:rFonts w:ascii="仿宋_GB2312" w:eastAsia="仿宋_GB2312"/>
          <w:sz w:val="30"/>
          <w:szCs w:val="30"/>
        </w:rPr>
      </w:pPr>
      <w:r>
        <w:rPr>
          <w:rFonts w:hint="eastAsia" w:ascii="Times New Roman" w:hAnsi="Times New Roman" w:eastAsia="仿宋_GB2312"/>
          <w:sz w:val="30"/>
          <w:szCs w:val="30"/>
        </w:rPr>
        <w:t>其中，以</w:t>
      </w:r>
      <w:r>
        <w:rPr>
          <w:rFonts w:ascii="Times New Roman" w:hAnsi="Times New Roman" w:eastAsia="仿宋_GB2312"/>
          <w:sz w:val="30"/>
          <w:szCs w:val="30"/>
        </w:rPr>
        <w:t>5</w:t>
      </w:r>
      <w:r>
        <w:rPr>
          <w:rFonts w:hint="eastAsia" w:ascii="Times New Roman" w:hAnsi="Times New Roman" w:eastAsia="仿宋_GB2312"/>
          <w:sz w:val="30"/>
          <w:szCs w:val="30"/>
        </w:rPr>
        <w:t>月</w:t>
      </w:r>
      <w:r>
        <w:rPr>
          <w:rFonts w:ascii="Times New Roman" w:hAnsi="Times New Roman" w:eastAsia="仿宋_GB2312"/>
          <w:sz w:val="30"/>
          <w:szCs w:val="30"/>
        </w:rPr>
        <w:t>31</w:t>
      </w:r>
      <w:r>
        <w:rPr>
          <w:rFonts w:hint="eastAsia" w:ascii="Times New Roman" w:hAnsi="Times New Roman" w:eastAsia="仿宋_GB2312"/>
          <w:sz w:val="30"/>
          <w:szCs w:val="30"/>
        </w:rPr>
        <w:t>日或</w:t>
      </w:r>
      <w:r>
        <w:rPr>
          <w:rFonts w:ascii="Times New Roman" w:hAnsi="Times New Roman" w:eastAsia="仿宋_GB2312"/>
          <w:sz w:val="30"/>
          <w:szCs w:val="30"/>
        </w:rPr>
        <w:t>11</w:t>
      </w:r>
      <w:r>
        <w:rPr>
          <w:rFonts w:hint="eastAsia" w:ascii="Times New Roman" w:hAnsi="Times New Roman" w:eastAsia="仿宋_GB2312"/>
          <w:sz w:val="30"/>
          <w:szCs w:val="30"/>
        </w:rPr>
        <w:t>月</w:t>
      </w:r>
      <w:r>
        <w:rPr>
          <w:rFonts w:ascii="Times New Roman" w:hAnsi="Times New Roman" w:eastAsia="仿宋_GB2312"/>
          <w:sz w:val="30"/>
          <w:szCs w:val="30"/>
        </w:rPr>
        <w:t>30</w:t>
      </w:r>
      <w:r>
        <w:rPr>
          <w:rFonts w:hint="eastAsia" w:ascii="Times New Roman" w:hAnsi="Times New Roman" w:eastAsia="仿宋_GB2312"/>
          <w:sz w:val="30"/>
          <w:szCs w:val="30"/>
        </w:rPr>
        <w:t>日为基期，上市未满半年的ETF设定为</w:t>
      </w:r>
      <w:r>
        <w:rPr>
          <w:rFonts w:ascii="Times New Roman" w:hAnsi="Times New Roman" w:eastAsia="仿宋_GB2312"/>
          <w:sz w:val="30"/>
          <w:szCs w:val="30"/>
        </w:rPr>
        <w:t>“</w:t>
      </w:r>
      <w:r>
        <w:rPr>
          <w:rFonts w:hint="eastAsia" w:ascii="Times New Roman" w:hAnsi="Times New Roman" w:eastAsia="仿宋_GB2312"/>
          <w:sz w:val="30"/>
          <w:szCs w:val="30"/>
        </w:rPr>
        <w:t>低</w:t>
      </w:r>
      <w:r>
        <w:rPr>
          <w:rFonts w:ascii="Times New Roman" w:hAnsi="Times New Roman" w:eastAsia="仿宋_GB2312"/>
          <w:sz w:val="30"/>
          <w:szCs w:val="30"/>
        </w:rPr>
        <w:t>”</w:t>
      </w:r>
      <w:r>
        <w:rPr>
          <w:rFonts w:hint="eastAsia" w:ascii="Times New Roman" w:hAnsi="Times New Roman" w:eastAsia="仿宋_GB2312"/>
          <w:sz w:val="30"/>
          <w:szCs w:val="30"/>
        </w:rPr>
        <w:t>级流动性。例如，ETF_</w:t>
      </w:r>
      <w:r>
        <w:rPr>
          <w:rFonts w:ascii="Times New Roman" w:hAnsi="Times New Roman" w:eastAsia="仿宋_GB2312"/>
          <w:sz w:val="30"/>
          <w:szCs w:val="30"/>
        </w:rPr>
        <w:t>A</w:t>
      </w:r>
      <w:r>
        <w:rPr>
          <w:rFonts w:hint="eastAsia" w:ascii="Times New Roman" w:hAnsi="Times New Roman" w:eastAsia="仿宋_GB2312"/>
          <w:sz w:val="30"/>
          <w:szCs w:val="30"/>
        </w:rPr>
        <w:t>于</w:t>
      </w:r>
      <w:r>
        <w:rPr>
          <w:rFonts w:ascii="Times New Roman" w:hAnsi="Times New Roman" w:eastAsia="仿宋_GB2312"/>
          <w:sz w:val="30"/>
          <w:szCs w:val="30"/>
        </w:rPr>
        <w:t>2016</w:t>
      </w:r>
      <w:r>
        <w:rPr>
          <w:rFonts w:hint="eastAsia" w:ascii="Times New Roman" w:hAnsi="Times New Roman" w:eastAsia="仿宋_GB2312"/>
          <w:sz w:val="30"/>
          <w:szCs w:val="30"/>
        </w:rPr>
        <w:t>年</w:t>
      </w:r>
      <w:r>
        <w:rPr>
          <w:rFonts w:ascii="Times New Roman" w:hAnsi="Times New Roman" w:eastAsia="仿宋_GB2312"/>
          <w:sz w:val="30"/>
          <w:szCs w:val="30"/>
        </w:rPr>
        <w:t>10</w:t>
      </w:r>
      <w:r>
        <w:rPr>
          <w:rFonts w:hint="eastAsia" w:ascii="Times New Roman" w:hAnsi="Times New Roman" w:eastAsia="仿宋_GB2312"/>
          <w:sz w:val="30"/>
          <w:szCs w:val="30"/>
        </w:rPr>
        <w:t>月</w:t>
      </w:r>
      <w:r>
        <w:rPr>
          <w:rFonts w:ascii="Times New Roman" w:hAnsi="Times New Roman" w:eastAsia="仿宋_GB2312"/>
          <w:sz w:val="30"/>
          <w:szCs w:val="30"/>
        </w:rPr>
        <w:t>15</w:t>
      </w:r>
      <w:r>
        <w:rPr>
          <w:rFonts w:hint="eastAsia" w:ascii="Times New Roman" w:hAnsi="Times New Roman" w:eastAsia="仿宋_GB2312"/>
          <w:sz w:val="30"/>
          <w:szCs w:val="30"/>
        </w:rPr>
        <w:t>日上市，则自上市日至</w:t>
      </w:r>
      <w:r>
        <w:rPr>
          <w:rFonts w:ascii="Times New Roman" w:hAnsi="Times New Roman" w:eastAsia="仿宋_GB2312"/>
          <w:sz w:val="30"/>
          <w:szCs w:val="30"/>
        </w:rPr>
        <w:t>2017</w:t>
      </w:r>
      <w:r>
        <w:rPr>
          <w:rFonts w:hint="eastAsia" w:ascii="Times New Roman" w:hAnsi="Times New Roman" w:eastAsia="仿宋_GB2312"/>
          <w:sz w:val="30"/>
          <w:szCs w:val="30"/>
        </w:rPr>
        <w:t>年</w:t>
      </w:r>
      <w:r>
        <w:rPr>
          <w:rFonts w:ascii="Times New Roman" w:hAnsi="Times New Roman" w:eastAsia="仿宋_GB2312"/>
          <w:sz w:val="30"/>
          <w:szCs w:val="30"/>
        </w:rPr>
        <w:t>6</w:t>
      </w:r>
      <w:r>
        <w:rPr>
          <w:rFonts w:hint="eastAsia" w:ascii="Times New Roman" w:hAnsi="Times New Roman" w:eastAsia="仿宋_GB2312"/>
          <w:sz w:val="30"/>
          <w:szCs w:val="30"/>
        </w:rPr>
        <w:t>月</w:t>
      </w:r>
      <w:r>
        <w:rPr>
          <w:rFonts w:ascii="Times New Roman" w:hAnsi="Times New Roman" w:eastAsia="仿宋_GB2312"/>
          <w:sz w:val="30"/>
          <w:szCs w:val="30"/>
        </w:rPr>
        <w:t>20</w:t>
      </w:r>
      <w:r>
        <w:rPr>
          <w:rFonts w:hint="eastAsia" w:ascii="Times New Roman" w:hAnsi="Times New Roman" w:eastAsia="仿宋_GB2312"/>
          <w:sz w:val="30"/>
          <w:szCs w:val="30"/>
        </w:rPr>
        <w:t>日适用“低”级流动性；ETF_</w:t>
      </w:r>
      <w:r>
        <w:rPr>
          <w:rFonts w:ascii="Times New Roman" w:hAnsi="Times New Roman" w:eastAsia="仿宋_GB2312"/>
          <w:sz w:val="30"/>
          <w:szCs w:val="30"/>
        </w:rPr>
        <w:t>B</w:t>
      </w:r>
      <w:r>
        <w:rPr>
          <w:rFonts w:hint="eastAsia" w:ascii="Times New Roman" w:hAnsi="Times New Roman" w:eastAsia="仿宋_GB2312"/>
          <w:sz w:val="30"/>
          <w:szCs w:val="30"/>
        </w:rPr>
        <w:t>于</w:t>
      </w:r>
      <w:r>
        <w:rPr>
          <w:rFonts w:ascii="Times New Roman" w:hAnsi="Times New Roman" w:eastAsia="仿宋_GB2312"/>
          <w:sz w:val="30"/>
          <w:szCs w:val="30"/>
        </w:rPr>
        <w:t>2016</w:t>
      </w:r>
      <w:r>
        <w:rPr>
          <w:rFonts w:hint="eastAsia" w:ascii="Times New Roman" w:hAnsi="Times New Roman" w:eastAsia="仿宋_GB2312"/>
          <w:sz w:val="30"/>
          <w:szCs w:val="30"/>
        </w:rPr>
        <w:t>年</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15</w:t>
      </w:r>
      <w:r>
        <w:rPr>
          <w:rFonts w:hint="eastAsia" w:ascii="Times New Roman" w:hAnsi="Times New Roman" w:eastAsia="仿宋_GB2312"/>
          <w:sz w:val="30"/>
          <w:szCs w:val="30"/>
        </w:rPr>
        <w:t>日上市，则自上市日至</w:t>
      </w:r>
      <w:r>
        <w:rPr>
          <w:rFonts w:ascii="Times New Roman" w:hAnsi="Times New Roman" w:eastAsia="仿宋_GB2312"/>
          <w:sz w:val="30"/>
          <w:szCs w:val="30"/>
        </w:rPr>
        <w:t>2017</w:t>
      </w:r>
      <w:r>
        <w:rPr>
          <w:rFonts w:hint="eastAsia" w:ascii="Times New Roman" w:hAnsi="Times New Roman" w:eastAsia="仿宋_GB2312"/>
          <w:sz w:val="30"/>
          <w:szCs w:val="30"/>
        </w:rPr>
        <w:t>年</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20</w:t>
      </w:r>
      <w:r>
        <w:rPr>
          <w:rFonts w:hint="eastAsia" w:ascii="Times New Roman" w:hAnsi="Times New Roman" w:eastAsia="仿宋_GB2312"/>
          <w:sz w:val="30"/>
          <w:szCs w:val="30"/>
        </w:rPr>
        <w:t>日适用“低”级流动性。做市商考评时，按流动性的“高”、“中”、“低”三个类别划分三个评价标准，流动性越高的类别评价标准越严格，流动性越低的类别评价标准越宽松。</w:t>
      </w:r>
      <w:r>
        <w:rPr>
          <w:rFonts w:hint="eastAsia" w:ascii="仿宋_GB2312" w:eastAsia="仿宋_GB2312"/>
          <w:sz w:val="30"/>
          <w:szCs w:val="30"/>
        </w:rPr>
        <w:t>LOF和公募REITs按</w:t>
      </w:r>
      <w:r>
        <w:rPr>
          <w:rFonts w:hint="eastAsia" w:ascii="Times New Roman" w:hAnsi="Times New Roman" w:eastAsia="仿宋_GB2312"/>
          <w:sz w:val="30"/>
          <w:szCs w:val="30"/>
        </w:rPr>
        <w:t>流动性 “低”进行做市考评</w:t>
      </w:r>
      <w:r>
        <w:rPr>
          <w:rFonts w:hint="eastAsia" w:ascii="仿宋_GB2312" w:eastAsia="仿宋_GB2312"/>
          <w:sz w:val="30"/>
          <w:szCs w:val="30"/>
        </w:rPr>
        <w:t>。</w:t>
      </w:r>
    </w:p>
    <w:p>
      <w:pPr>
        <w:pStyle w:val="3"/>
        <w:spacing w:line="600" w:lineRule="exact"/>
        <w:ind w:firstLine="562"/>
        <w:rPr>
          <w:rFonts w:ascii="仿宋_GB2312" w:hAnsi="黑体"/>
          <w:b w:val="0"/>
          <w:kern w:val="44"/>
          <w:sz w:val="30"/>
          <w:szCs w:val="30"/>
        </w:rPr>
      </w:pPr>
      <w:bookmarkStart w:id="80" w:name="_Toc24026"/>
      <w:bookmarkStart w:id="81" w:name="_Toc2734"/>
      <w:bookmarkStart w:id="82" w:name="_Toc168666332"/>
      <w:bookmarkStart w:id="83" w:name="_Toc536637711"/>
      <w:bookmarkStart w:id="84" w:name="_Toc120180543"/>
      <w:r>
        <w:rPr>
          <w:rFonts w:hint="eastAsia" w:ascii="仿宋_GB2312" w:hAnsi="黑体" w:eastAsia="仿宋_GB2312"/>
          <w:kern w:val="44"/>
          <w:sz w:val="30"/>
          <w:szCs w:val="30"/>
        </w:rPr>
        <w:t>四、评价指标</w:t>
      </w:r>
      <w:bookmarkEnd w:id="80"/>
      <w:bookmarkEnd w:id="81"/>
      <w:bookmarkEnd w:id="82"/>
      <w:bookmarkEnd w:id="83"/>
      <w:bookmarkEnd w:id="84"/>
    </w:p>
    <w:p>
      <w:pPr>
        <w:pStyle w:val="39"/>
        <w:spacing w:line="600" w:lineRule="exact"/>
        <w:ind w:firstLine="600"/>
        <w:rPr>
          <w:sz w:val="30"/>
          <w:szCs w:val="30"/>
        </w:rPr>
      </w:pPr>
      <w:r>
        <w:rPr>
          <w:rFonts w:hint="eastAsia"/>
          <w:sz w:val="30"/>
          <w:szCs w:val="30"/>
        </w:rPr>
        <w:t>本所对做市商做市服务的评价指标为时间加权报价差和连续竞价有效参与率。</w:t>
      </w:r>
    </w:p>
    <w:p>
      <w:pPr>
        <w:pStyle w:val="39"/>
        <w:spacing w:line="600" w:lineRule="exact"/>
        <w:ind w:firstLine="602"/>
        <w:rPr>
          <w:b/>
          <w:sz w:val="30"/>
          <w:szCs w:val="30"/>
        </w:rPr>
      </w:pPr>
      <w:r>
        <w:rPr>
          <w:rFonts w:hint="eastAsia"/>
          <w:b/>
          <w:sz w:val="30"/>
          <w:szCs w:val="30"/>
        </w:rPr>
        <w:t>（一）时间加权报价差</w:t>
      </w:r>
    </w:p>
    <w:p>
      <w:pPr>
        <w:pStyle w:val="39"/>
        <w:spacing w:line="600" w:lineRule="exact"/>
        <w:ind w:firstLine="600"/>
        <w:rPr>
          <w:sz w:val="30"/>
          <w:szCs w:val="30"/>
        </w:rPr>
      </w:pPr>
      <w:r>
        <w:rPr>
          <w:rFonts w:hint="eastAsia"/>
          <w:sz w:val="30"/>
          <w:szCs w:val="30"/>
        </w:rPr>
        <w:t>每日时间加权报价差计算公式为：</w:t>
      </w:r>
    </w:p>
    <w:p>
      <w:pPr>
        <w:pStyle w:val="39"/>
        <w:spacing w:line="600" w:lineRule="exact"/>
        <w:ind w:firstLine="600"/>
        <w:rPr>
          <w:position w:val="-26"/>
          <w:sz w:val="30"/>
          <w:szCs w:val="30"/>
        </w:rPr>
      </w:pPr>
      <w:r>
        <w:rPr>
          <w:rFonts w:hint="eastAsia"/>
          <w:sz w:val="30"/>
          <w:szCs w:val="30"/>
        </w:rPr>
        <w:t>时间加权报价差=</w:t>
      </w:r>
      <w:r>
        <w:rPr>
          <w:sz w:val="30"/>
          <w:szCs w:val="30"/>
        </w:rPr>
        <w:t xml:space="preserve"> </w:t>
      </w:r>
      <m:oMath>
        <m:f>
          <m:fPr>
            <m:ctrlPr>
              <w:rPr>
                <w:rFonts w:ascii="Cambria Math" w:hAnsi="Cambria Math"/>
                <w:sz w:val="24"/>
                <w:szCs w:val="24"/>
              </w:rPr>
            </m:ctrlPr>
          </m:fPr>
          <m:num>
            <m:nary>
              <m:naryPr>
                <m:chr m:val="∑"/>
                <m:limLoc m:val="undOvr"/>
                <m:subHide m:val="1"/>
                <m:supHide m:val="1"/>
                <m:ctrlPr>
                  <w:rPr>
                    <w:rFonts w:ascii="Cambria Math" w:hAnsi="Cambria Math"/>
                    <w:sz w:val="24"/>
                    <w:szCs w:val="24"/>
                  </w:rPr>
                </m:ctrlPr>
              </m:naryPr>
              <m:sub>
                <m:ctrlPr>
                  <w:rPr>
                    <w:rFonts w:ascii="Cambria Math" w:hAnsi="Cambria Math"/>
                    <w:sz w:val="24"/>
                    <w:szCs w:val="24"/>
                  </w:rPr>
                </m:ctrlPr>
              </m:sub>
              <m:sup>
                <m:ctrlPr>
                  <w:rPr>
                    <w:rFonts w:ascii="Cambria Math" w:hAnsi="Cambria Math"/>
                    <w:sz w:val="24"/>
                    <w:szCs w:val="24"/>
                  </w:rPr>
                </m:ctrlPr>
              </m:sup>
              <m:e>
                <m:r>
                  <m:rPr>
                    <m:sty m:val="p"/>
                  </m:rPr>
                  <w:rPr>
                    <w:rFonts w:ascii="Cambria Math" w:hAnsi="Cambria Math"/>
                    <w:sz w:val="24"/>
                    <w:szCs w:val="24"/>
                  </w:rPr>
                  <m:t>有效采样点最小报价差</m:t>
                </m:r>
                <m:ctrlPr>
                  <w:rPr>
                    <w:rFonts w:ascii="Cambria Math" w:hAnsi="Cambria Math"/>
                    <w:sz w:val="24"/>
                    <w:szCs w:val="24"/>
                  </w:rPr>
                </m:ctrlPr>
              </m:e>
            </m:nary>
            <m:ctrlPr>
              <w:rPr>
                <w:rFonts w:ascii="Cambria Math" w:hAnsi="Cambria Math"/>
                <w:sz w:val="24"/>
                <w:szCs w:val="24"/>
              </w:rPr>
            </m:ctrlPr>
          </m:num>
          <m:den>
            <m:r>
              <m:rPr>
                <m:sty m:val="p"/>
              </m:rPr>
              <w:rPr>
                <w:rFonts w:ascii="Cambria Math" w:hAnsi="Cambria Math"/>
                <w:sz w:val="24"/>
                <w:szCs w:val="24"/>
              </w:rPr>
              <m:t>14400</m:t>
            </m:r>
            <m:r>
              <m:rPr>
                <m:sty m:val="p"/>
              </m:rPr>
              <w:rPr>
                <w:rFonts w:hint="eastAsia" w:ascii="Cambria Math" w:hAnsi="Cambria Math" w:eastAsia="MS Mincho" w:cs="MS Mincho"/>
                <w:sz w:val="24"/>
                <w:szCs w:val="24"/>
              </w:rPr>
              <m:t>−</m:t>
            </m:r>
            <m:r>
              <m:rPr>
                <m:sty m:val="p"/>
              </m:rPr>
              <w:rPr>
                <w:rFonts w:ascii="Cambria Math" w:hAnsi="Cambria Math"/>
                <w:sz w:val="24"/>
                <w:szCs w:val="24"/>
              </w:rPr>
              <m:t>无效采样点数</m:t>
            </m:r>
            <m:ctrlPr>
              <w:rPr>
                <w:rFonts w:ascii="Cambria Math" w:hAnsi="Cambria Math"/>
                <w:sz w:val="24"/>
                <w:szCs w:val="24"/>
              </w:rPr>
            </m:ctrlPr>
          </m:den>
        </m:f>
      </m:oMath>
      <w:r>
        <w:rPr>
          <w:rFonts w:hint="eastAsia"/>
          <w:sz w:val="24"/>
          <w:szCs w:val="24"/>
        </w:rPr>
        <w:t xml:space="preserve"> </w:t>
      </w:r>
      <w:r>
        <w:rPr>
          <w:sz w:val="30"/>
          <w:szCs w:val="30"/>
        </w:rPr>
        <w:t xml:space="preserve"> </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其中，有效采样点是指做市账户在该采样点上，存量买卖订单申报金额均不低于该基金最小申报金额。采样时间为连续竞价阶段，每秒进行采样。</w:t>
      </w:r>
    </w:p>
    <w:p>
      <w:pPr>
        <w:widowControl/>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将每日</w:t>
      </w:r>
      <w:r>
        <w:rPr>
          <w:rFonts w:hint="eastAsia" w:ascii="仿宋_GB2312" w:eastAsia="仿宋_GB2312"/>
          <w:sz w:val="30"/>
          <w:szCs w:val="30"/>
        </w:rPr>
        <w:t>时间加权报价差进行算数平均得到月度时间加权报价差。</w:t>
      </w:r>
    </w:p>
    <w:p>
      <w:pPr>
        <w:spacing w:line="600" w:lineRule="exact"/>
        <w:ind w:firstLine="420"/>
        <w:rPr>
          <w:b/>
          <w:bCs/>
          <w:sz w:val="30"/>
          <w:szCs w:val="30"/>
        </w:rPr>
      </w:pPr>
      <w:r>
        <w:rPr>
          <w:rFonts w:hint="eastAsia" w:ascii="Times New Roman" w:hAnsi="Times New Roman" w:eastAsia="仿宋_GB2312"/>
          <w:b/>
          <w:bCs/>
          <w:sz w:val="30"/>
          <w:szCs w:val="30"/>
        </w:rPr>
        <w:t>（二）连续竞价有效参与率</w:t>
      </w:r>
    </w:p>
    <w:p>
      <w:pPr>
        <w:pStyle w:val="39"/>
        <w:spacing w:line="600" w:lineRule="exact"/>
        <w:ind w:firstLine="600" w:firstLineChars="0"/>
        <w:rPr>
          <w:sz w:val="30"/>
          <w:szCs w:val="30"/>
        </w:rPr>
      </w:pPr>
      <w:r>
        <w:rPr>
          <w:rFonts w:hint="eastAsia"/>
          <w:sz w:val="30"/>
          <w:szCs w:val="30"/>
        </w:rPr>
        <w:t>每日连续竞价有效参与率计算公式为：</w:t>
      </w:r>
    </w:p>
    <w:p>
      <w:pPr>
        <w:pStyle w:val="39"/>
        <w:spacing w:line="600" w:lineRule="exact"/>
        <w:ind w:firstLine="0" w:firstLineChars="0"/>
        <w:jc w:val="center"/>
        <w:rPr>
          <w:rFonts w:eastAsiaTheme="minorEastAsia"/>
          <w:sz w:val="24"/>
          <w:szCs w:val="24"/>
        </w:rPr>
      </w:pPr>
      <m:oMath>
        <m:r>
          <m:rPr>
            <m:sty m:val="p"/>
          </m:rPr>
          <w:rPr>
            <w:rFonts w:hint="eastAsia" w:ascii="Cambria Math" w:hAnsi="Cambria Math" w:eastAsiaTheme="minorEastAsia"/>
            <w:sz w:val="24"/>
            <w:szCs w:val="24"/>
          </w:rPr>
          <m:t>连续竞价有效参与率</m:t>
        </m:r>
        <m:r>
          <m:rPr>
            <m:sty m:val="p"/>
          </m:rPr>
          <w:rPr>
            <w:rFonts w:ascii="Cambria Math" w:hAnsi="Cambria Math" w:eastAsiaTheme="minorEastAsia"/>
            <w:sz w:val="24"/>
            <w:szCs w:val="24"/>
          </w:rPr>
          <m:t>=</m:t>
        </m:r>
        <m:f>
          <m:fPr>
            <m:ctrlPr>
              <w:rPr>
                <w:rFonts w:ascii="Cambria Math" w:hAnsi="Cambria Math" w:eastAsiaTheme="minorEastAsia"/>
                <w:color w:val="000000" w:themeColor="text1"/>
                <w:sz w:val="24"/>
                <w:szCs w:val="24"/>
              </w:rPr>
            </m:ctrlPr>
          </m:fPr>
          <m:num>
            <m:r>
              <m:rPr>
                <m:sty m:val="p"/>
              </m:rPr>
              <w:rPr>
                <w:rFonts w:hint="eastAsia" w:ascii="Cambria Math" w:hAnsi="Cambria Math" w:eastAsiaTheme="minorEastAsia"/>
                <w:color w:val="000000" w:themeColor="text1"/>
                <w:sz w:val="24"/>
                <w:szCs w:val="24"/>
              </w:rPr>
              <m:t>有效采样点数</m:t>
            </m:r>
            <m:r>
              <m:rPr>
                <m:sty m:val="p"/>
              </m:rPr>
              <w:rPr>
                <w:rFonts w:ascii="Cambria Math" w:hAnsi="Cambria Math" w:eastAsiaTheme="minorEastAsia"/>
                <w:color w:val="000000" w:themeColor="text1"/>
                <w:sz w:val="24"/>
                <w:szCs w:val="24"/>
              </w:rPr>
              <m:t>−</m:t>
            </m:r>
            <m:r>
              <m:rPr>
                <m:sty m:val="p"/>
              </m:rPr>
              <w:rPr>
                <w:rFonts w:hint="eastAsia" w:ascii="Cambria Math" w:hAnsi="Cambria Math" w:eastAsiaTheme="minorEastAsia"/>
                <w:color w:val="000000" w:themeColor="text1"/>
                <w:sz w:val="24"/>
                <w:szCs w:val="24"/>
              </w:rPr>
              <m:t>停牌及豁免双边报价义务时间内的有效采样点数</m:t>
            </m:r>
            <m:ctrlPr>
              <w:rPr>
                <w:rFonts w:ascii="Cambria Math" w:hAnsi="Cambria Math" w:eastAsiaTheme="minorEastAsia"/>
                <w:color w:val="000000" w:themeColor="text1"/>
                <w:sz w:val="24"/>
                <w:szCs w:val="24"/>
              </w:rPr>
            </m:ctrlPr>
          </m:num>
          <m:den>
            <m:r>
              <m:rPr>
                <m:sty m:val="p"/>
              </m:rPr>
              <w:rPr>
                <w:rFonts w:ascii="Cambria Math" w:hAnsi="Cambria Math" w:eastAsiaTheme="minorEastAsia"/>
                <w:color w:val="000000" w:themeColor="text1"/>
                <w:sz w:val="24"/>
                <w:szCs w:val="24"/>
              </w:rPr>
              <m:t>14400−</m:t>
            </m:r>
            <m:r>
              <m:rPr>
                <m:sty m:val="p"/>
              </m:rPr>
              <w:rPr>
                <w:rFonts w:hint="eastAsia" w:ascii="Cambria Math" w:hAnsi="Cambria Math" w:eastAsiaTheme="minorEastAsia"/>
                <w:color w:val="000000" w:themeColor="text1"/>
                <w:sz w:val="24"/>
                <w:szCs w:val="24"/>
              </w:rPr>
              <m:t>停牌及豁免双边报价义务的时间</m:t>
            </m:r>
            <m:ctrlPr>
              <w:rPr>
                <w:rFonts w:ascii="Cambria Math" w:hAnsi="Cambria Math" w:eastAsiaTheme="minorEastAsia"/>
                <w:color w:val="000000" w:themeColor="text1"/>
                <w:sz w:val="24"/>
                <w:szCs w:val="24"/>
              </w:rPr>
            </m:ctrlPr>
          </m:den>
        </m:f>
      </m:oMath>
      <w:r>
        <w:rPr>
          <w:rFonts w:eastAsiaTheme="minorEastAsia"/>
          <w:sz w:val="24"/>
          <w:szCs w:val="24"/>
        </w:rPr>
        <w:t xml:space="preserve"> </w:t>
      </w:r>
    </w:p>
    <w:p>
      <w:pPr>
        <w:pStyle w:val="39"/>
        <w:spacing w:line="600" w:lineRule="exact"/>
        <w:ind w:firstLine="600"/>
        <w:rPr>
          <w:sz w:val="30"/>
          <w:szCs w:val="30"/>
        </w:rPr>
      </w:pPr>
      <w:r>
        <w:rPr>
          <w:rFonts w:hint="eastAsia"/>
          <w:sz w:val="30"/>
          <w:szCs w:val="30"/>
        </w:rPr>
        <w:t>其中，有效采样点是指做市账户在该采样点上，存量买卖订单申报金额均不低于该基金最小申报金额，且该采样点最小报价差不高于最大买卖价差要求值。采样时间为连续竞价阶段，每秒进行采样。</w:t>
      </w:r>
    </w:p>
    <w:p>
      <w:pPr>
        <w:widowControl/>
        <w:spacing w:line="600" w:lineRule="exact"/>
        <w:ind w:firstLine="600" w:firstLineChars="200"/>
        <w:rPr>
          <w:rFonts w:ascii="仿宋_GB2312" w:eastAsia="仿宋_GB2312"/>
          <w:sz w:val="30"/>
          <w:szCs w:val="30"/>
        </w:rPr>
      </w:pPr>
      <w:r>
        <w:rPr>
          <w:rFonts w:hint="eastAsia" w:ascii="仿宋_GB2312" w:hAnsi="Times New Roman" w:eastAsia="仿宋_GB2312"/>
          <w:sz w:val="30"/>
          <w:szCs w:val="30"/>
        </w:rPr>
        <w:t>将每日</w:t>
      </w:r>
      <w:r>
        <w:rPr>
          <w:rFonts w:hint="eastAsia" w:ascii="仿宋_GB2312" w:eastAsia="仿宋_GB2312"/>
          <w:sz w:val="30"/>
          <w:szCs w:val="30"/>
        </w:rPr>
        <w:t>连续竞价有效参与率进行算数平均得到月度连续竞价有效参与率。</w:t>
      </w:r>
    </w:p>
    <w:p>
      <w:pPr>
        <w:pStyle w:val="3"/>
        <w:spacing w:line="600" w:lineRule="exact"/>
        <w:ind w:firstLine="562"/>
        <w:rPr>
          <w:rFonts w:ascii="仿宋_GB2312" w:hAnsi="黑体" w:eastAsia="仿宋_GB2312"/>
          <w:b w:val="0"/>
          <w:kern w:val="44"/>
          <w:sz w:val="30"/>
          <w:szCs w:val="30"/>
        </w:rPr>
      </w:pPr>
      <w:bookmarkStart w:id="85" w:name="_Toc120180544"/>
      <w:bookmarkStart w:id="86" w:name="_Toc979948455"/>
      <w:bookmarkStart w:id="87" w:name="_Toc32042"/>
      <w:bookmarkStart w:id="88" w:name="_Toc7713"/>
      <w:bookmarkStart w:id="89" w:name="_Toc168666333"/>
      <w:r>
        <w:rPr>
          <w:rFonts w:hint="eastAsia" w:ascii="仿宋_GB2312" w:hAnsi="黑体" w:eastAsia="仿宋_GB2312"/>
          <w:kern w:val="44"/>
          <w:sz w:val="30"/>
          <w:szCs w:val="30"/>
        </w:rPr>
        <w:t>五、评价方法</w:t>
      </w:r>
      <w:bookmarkEnd w:id="85"/>
      <w:bookmarkEnd w:id="86"/>
      <w:bookmarkEnd w:id="87"/>
      <w:bookmarkEnd w:id="88"/>
      <w:bookmarkEnd w:id="89"/>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做市商做市服务评价分为月度评价和年度综合评价。主做市商为基金产品提供一般做市服务的，仅进行一般做市服务月度评价，相应评价结果不计入主做市商年度综合评价。</w:t>
      </w:r>
    </w:p>
    <w:p>
      <w:pPr>
        <w:widowControl/>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（一）月度评价</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主做市商为基金产品提供主做市服务的，按主做市服务评价标准进行评价。主做市商为基金产品提供一般做市服务的，或一般做市商为基金产品提供一般做市服务的，按一般做市服务评价标准进行评价。</w:t>
      </w:r>
    </w:p>
    <w:p>
      <w:pPr>
        <w:widowControl/>
        <w:spacing w:line="600" w:lineRule="exact"/>
        <w:ind w:firstLine="600" w:firstLineChars="200"/>
        <w:rPr>
          <w:rFonts w:ascii="Times New Roman" w:hAnsi="Times New Roman" w:eastAsia="仿宋_GB2312"/>
          <w:sz w:val="30"/>
          <w:szCs w:val="30"/>
        </w:rPr>
      </w:pPr>
    </w:p>
    <w:p>
      <w:pPr>
        <w:widowControl/>
        <w:spacing w:line="600" w:lineRule="exact"/>
        <w:ind w:firstLine="600" w:firstLineChars="200"/>
        <w:rPr>
          <w:rFonts w:ascii="Times New Roman" w:hAnsi="Times New Roman" w:eastAsia="仿宋_GB2312"/>
          <w:sz w:val="30"/>
          <w:szCs w:val="30"/>
        </w:rPr>
      </w:pPr>
    </w:p>
    <w:p>
      <w:pPr>
        <w:widowControl/>
        <w:spacing w:line="6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w:t>
      </w:r>
      <w:r>
        <w:rPr>
          <w:rFonts w:hint="eastAsia" w:ascii="Times New Roman" w:hAnsi="Times New Roman" w:eastAsia="仿宋_GB2312"/>
          <w:sz w:val="30"/>
          <w:szCs w:val="30"/>
        </w:rPr>
        <w:t>、主做市服务评价标准</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本所根据时间加权报价差、连续竞价有效参与率和成交量占主做市服务平均成交量比重等评价指标，对主做市商为特定基金提供主做市服务情况进行月度评价，评价结果分为</w:t>
      </w:r>
      <w:r>
        <w:rPr>
          <w:rFonts w:ascii="Times New Roman" w:hAnsi="Times New Roman" w:eastAsia="仿宋_GB2312"/>
          <w:sz w:val="30"/>
          <w:szCs w:val="30"/>
        </w:rPr>
        <w:t>AA</w:t>
      </w:r>
      <w:r>
        <w:rPr>
          <w:rFonts w:hint="eastAsia" w:ascii="Times New Roman" w:hAnsi="Times New Roman" w:eastAsia="仿宋_GB2312"/>
          <w:sz w:val="30"/>
          <w:szCs w:val="30"/>
        </w:rPr>
        <w:t>、</w:t>
      </w:r>
      <w:r>
        <w:rPr>
          <w:rFonts w:ascii="Times New Roman" w:hAnsi="Times New Roman" w:eastAsia="仿宋_GB2312"/>
          <w:sz w:val="30"/>
          <w:szCs w:val="30"/>
        </w:rPr>
        <w:t>A</w:t>
      </w:r>
      <w:r>
        <w:rPr>
          <w:rFonts w:hint="eastAsia" w:ascii="Times New Roman" w:hAnsi="Times New Roman" w:eastAsia="仿宋_GB2312"/>
          <w:sz w:val="30"/>
          <w:szCs w:val="30"/>
        </w:rPr>
        <w:t>、</w:t>
      </w:r>
      <w:r>
        <w:rPr>
          <w:rFonts w:ascii="Times New Roman" w:hAnsi="Times New Roman" w:eastAsia="仿宋_GB2312"/>
          <w:sz w:val="30"/>
          <w:szCs w:val="30"/>
        </w:rPr>
        <w:t>B</w:t>
      </w:r>
      <w:r>
        <w:rPr>
          <w:rFonts w:hint="eastAsia" w:ascii="Times New Roman" w:hAnsi="Times New Roman" w:eastAsia="仿宋_GB2312"/>
          <w:sz w:val="30"/>
          <w:szCs w:val="30"/>
        </w:rPr>
        <w:t>、</w:t>
      </w:r>
      <w:r>
        <w:rPr>
          <w:rFonts w:ascii="Times New Roman" w:hAnsi="Times New Roman" w:eastAsia="仿宋_GB2312"/>
          <w:sz w:val="30"/>
          <w:szCs w:val="30"/>
        </w:rPr>
        <w:t>C</w:t>
      </w:r>
      <w:r>
        <w:rPr>
          <w:rFonts w:hint="eastAsia" w:ascii="Times New Roman" w:hAnsi="Times New Roman" w:eastAsia="仿宋_GB2312"/>
          <w:sz w:val="30"/>
          <w:szCs w:val="30"/>
        </w:rPr>
        <w:t>、</w:t>
      </w:r>
      <w:r>
        <w:rPr>
          <w:rFonts w:ascii="Times New Roman" w:hAnsi="Times New Roman" w:eastAsia="仿宋_GB2312"/>
          <w:sz w:val="30"/>
          <w:szCs w:val="30"/>
        </w:rPr>
        <w:t>D</w:t>
      </w:r>
      <w:r>
        <w:rPr>
          <w:rFonts w:hint="eastAsia" w:ascii="Times New Roman" w:hAnsi="Times New Roman" w:eastAsia="仿宋_GB2312"/>
          <w:sz w:val="30"/>
          <w:szCs w:val="30"/>
        </w:rPr>
        <w:t>五档，</w:t>
      </w:r>
      <w:r>
        <w:rPr>
          <w:rFonts w:ascii="Times New Roman" w:hAnsi="Times New Roman" w:eastAsia="仿宋_GB2312"/>
          <w:sz w:val="30"/>
          <w:szCs w:val="30"/>
        </w:rPr>
        <w:t>D</w:t>
      </w:r>
      <w:r>
        <w:rPr>
          <w:rFonts w:hint="eastAsia" w:ascii="Times New Roman" w:hAnsi="Times New Roman" w:eastAsia="仿宋_GB2312"/>
          <w:sz w:val="30"/>
          <w:szCs w:val="30"/>
        </w:rPr>
        <w:t>档为不合格。具体评价步骤如下：</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第一，依据时间加权报价差和连续竞价有效参与率两项指标对当月度主做市商为特定基金提供主做市服务情况进行评价，每项指标均分为优秀、良好、合格、不合格四档（如表</w:t>
      </w:r>
      <w:r>
        <w:rPr>
          <w:rFonts w:ascii="Times New Roman" w:hAnsi="Times New Roman" w:eastAsia="仿宋_GB2312"/>
          <w:sz w:val="30"/>
          <w:szCs w:val="30"/>
        </w:rPr>
        <w:t>2</w:t>
      </w:r>
      <w:r>
        <w:rPr>
          <w:rFonts w:hint="eastAsia" w:ascii="Times New Roman" w:hAnsi="Times New Roman" w:eastAsia="仿宋_GB2312"/>
          <w:sz w:val="30"/>
          <w:szCs w:val="30"/>
        </w:rPr>
        <w:t>所示）：</w:t>
      </w:r>
    </w:p>
    <w:p>
      <w:pPr>
        <w:widowControl/>
        <w:spacing w:line="60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表2：产品做市服务的评价标准</w:t>
      </w:r>
    </w:p>
    <w:tbl>
      <w:tblPr>
        <w:tblStyle w:val="17"/>
        <w:tblW w:w="7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3100"/>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149" w:type="dxa"/>
            <w:tcBorders>
              <w:top w:val="single" w:color="auto" w:sz="4" w:space="0"/>
              <w:left w:val="single" w:color="auto" w:sz="4" w:space="0"/>
              <w:bottom w:val="single" w:color="auto" w:sz="12" w:space="0"/>
              <w:right w:val="single" w:color="auto" w:sz="4" w:space="0"/>
            </w:tcBorders>
          </w:tcPr>
          <w:p>
            <w:pPr>
              <w:widowControl/>
              <w:spacing w:line="600" w:lineRule="exact"/>
              <w:jc w:val="left"/>
              <w:rPr>
                <w:rFonts w:ascii="仿宋_GB2312" w:hAnsi="仿宋_GB2312" w:eastAsia="仿宋_GB2312" w:cs="仿宋_GB2312"/>
              </w:rPr>
            </w:pPr>
          </w:p>
        </w:tc>
        <w:tc>
          <w:tcPr>
            <w:tcW w:w="3100" w:type="dxa"/>
            <w:tcBorders>
              <w:top w:val="single" w:color="auto" w:sz="4" w:space="0"/>
              <w:left w:val="single" w:color="auto" w:sz="4" w:space="0"/>
              <w:bottom w:val="single" w:color="auto" w:sz="12" w:space="0"/>
              <w:right w:val="single" w:color="auto" w:sz="4" w:space="0"/>
            </w:tcBorders>
          </w:tcPr>
          <w:p>
            <w:pPr>
              <w:pStyle w:val="37"/>
              <w:spacing w:beforeLines="50" w:afterLines="50" w:line="600" w:lineRule="exact"/>
              <w:rPr>
                <w:rFonts w:ascii="仿宋_GB2312" w:hAnsi="仿宋_GB2312" w:cs="仿宋_GB2312"/>
                <w:b/>
                <w:bCs/>
                <w:kern w:val="2"/>
                <w:szCs w:val="18"/>
              </w:rPr>
            </w:pPr>
            <w:r>
              <w:rPr>
                <w:rFonts w:hint="eastAsia" w:ascii="仿宋_GB2312" w:hAnsi="仿宋_GB2312" w:cs="仿宋_GB2312"/>
                <w:b/>
                <w:kern w:val="2"/>
                <w:szCs w:val="18"/>
              </w:rPr>
              <w:t>指标</w:t>
            </w:r>
          </w:p>
        </w:tc>
        <w:tc>
          <w:tcPr>
            <w:tcW w:w="3355" w:type="dxa"/>
            <w:tcBorders>
              <w:top w:val="single" w:color="auto" w:sz="4" w:space="0"/>
              <w:left w:val="single" w:color="auto" w:sz="4" w:space="0"/>
              <w:bottom w:val="single" w:color="auto" w:sz="12" w:space="0"/>
              <w:right w:val="single" w:color="auto" w:sz="4" w:space="0"/>
            </w:tcBorders>
          </w:tcPr>
          <w:p>
            <w:pPr>
              <w:pStyle w:val="37"/>
              <w:spacing w:beforeLines="50" w:afterLines="50" w:line="600" w:lineRule="exact"/>
              <w:rPr>
                <w:rFonts w:ascii="仿宋_GB2312" w:hAnsi="仿宋_GB2312" w:cs="仿宋_GB2312"/>
                <w:b/>
                <w:bCs/>
                <w:kern w:val="2"/>
                <w:szCs w:val="20"/>
              </w:rPr>
            </w:pPr>
            <w:r>
              <w:rPr>
                <w:rFonts w:hint="eastAsia" w:ascii="仿宋_GB2312" w:hAnsi="仿宋_GB2312" w:cs="仿宋_GB2312"/>
                <w:b/>
                <w:kern w:val="2"/>
                <w:szCs w:val="2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49" w:type="dxa"/>
            <w:vMerge w:val="restart"/>
            <w:tcBorders>
              <w:top w:val="single" w:color="auto" w:sz="12" w:space="0"/>
              <w:left w:val="single" w:color="auto" w:sz="4" w:space="0"/>
              <w:bottom w:val="single" w:color="auto" w:sz="4" w:space="0"/>
              <w:right w:val="single" w:color="auto" w:sz="4" w:space="0"/>
            </w:tcBorders>
            <w:vAlign w:val="center"/>
          </w:tcPr>
          <w:p>
            <w:pPr>
              <w:pStyle w:val="37"/>
              <w:snapToGrid w:val="0"/>
              <w:spacing w:line="600" w:lineRule="exact"/>
              <w:jc w:val="left"/>
              <w:rPr>
                <w:rFonts w:ascii="仿宋_GB2312" w:hAnsi="仿宋_GB2312" w:cs="仿宋_GB2312"/>
                <w:kern w:val="2"/>
                <w:szCs w:val="20"/>
              </w:rPr>
            </w:pPr>
            <w:r>
              <w:rPr>
                <w:rFonts w:hint="eastAsia" w:ascii="仿宋_GB2312" w:hAnsi="仿宋_GB2312" w:cs="仿宋_GB2312"/>
                <w:kern w:val="2"/>
                <w:szCs w:val="20"/>
              </w:rPr>
              <w:t>流动性分类为高的基金产品</w:t>
            </w:r>
          </w:p>
        </w:tc>
        <w:tc>
          <w:tcPr>
            <w:tcW w:w="3100" w:type="dxa"/>
            <w:tcBorders>
              <w:top w:val="single" w:color="auto" w:sz="12" w:space="0"/>
              <w:left w:val="single" w:color="auto" w:sz="4" w:space="0"/>
              <w:bottom w:val="single" w:color="auto" w:sz="4" w:space="0"/>
              <w:right w:val="single" w:color="auto" w:sz="4" w:space="0"/>
            </w:tcBorders>
            <w:vAlign w:val="center"/>
          </w:tcPr>
          <w:p>
            <w:pPr>
              <w:pStyle w:val="37"/>
              <w:spacing w:line="600" w:lineRule="exact"/>
              <w:jc w:val="both"/>
              <w:rPr>
                <w:rFonts w:ascii="仿宋_GB2312" w:hAnsi="仿宋_GB2312" w:cs="仿宋_GB2312"/>
                <w:kern w:val="2"/>
                <w:szCs w:val="18"/>
              </w:rPr>
            </w:pPr>
            <w:r>
              <w:rPr>
                <w:rFonts w:hint="eastAsia" w:ascii="仿宋_GB2312" w:hAnsi="仿宋_GB2312" w:cs="仿宋_GB2312"/>
                <w:kern w:val="2"/>
                <w:szCs w:val="18"/>
              </w:rPr>
              <w:t>时间加权报价差／最大买卖价差</w:t>
            </w:r>
          </w:p>
        </w:tc>
        <w:tc>
          <w:tcPr>
            <w:tcW w:w="3355" w:type="dxa"/>
            <w:tcBorders>
              <w:top w:val="single" w:color="auto" w:sz="12" w:space="0"/>
              <w:left w:val="single" w:color="auto" w:sz="4" w:space="0"/>
              <w:bottom w:val="single" w:color="auto" w:sz="4" w:space="0"/>
              <w:right w:val="single" w:color="auto" w:sz="4" w:space="0"/>
            </w:tcBorders>
          </w:tcPr>
          <w:p>
            <w:pPr>
              <w:pStyle w:val="37"/>
              <w:spacing w:line="600" w:lineRule="exact"/>
              <w:jc w:val="left"/>
              <w:rPr>
                <w:rFonts w:ascii="仿宋_GB2312" w:hAnsi="仿宋_GB2312" w:cs="仿宋_GB2312"/>
                <w:kern w:val="2"/>
                <w:szCs w:val="20"/>
              </w:rPr>
            </w:pPr>
            <w:r>
              <w:rPr>
                <w:rFonts w:hint="eastAsia" w:ascii="仿宋_GB2312" w:hAnsi="仿宋_GB2312" w:cs="仿宋_GB2312"/>
                <w:kern w:val="2"/>
                <w:szCs w:val="18"/>
              </w:rPr>
              <w:t xml:space="preserve">优秀          </w:t>
            </w:r>
            <w:r>
              <w:rPr>
                <w:rFonts w:hint="eastAsia" w:ascii="仿宋_GB2312" w:hAnsi="仿宋_GB2312" w:cs="仿宋_GB2312"/>
                <w:kern w:val="2"/>
                <w:szCs w:val="20"/>
              </w:rPr>
              <w:t>数值≤40%</w:t>
            </w:r>
          </w:p>
          <w:p>
            <w:pPr>
              <w:pStyle w:val="37"/>
              <w:spacing w:line="600" w:lineRule="exact"/>
              <w:jc w:val="left"/>
              <w:rPr>
                <w:rFonts w:ascii="仿宋_GB2312" w:hAnsi="仿宋_GB2312" w:cs="仿宋_GB2312"/>
                <w:kern w:val="2"/>
                <w:szCs w:val="20"/>
              </w:rPr>
            </w:pPr>
            <w:r>
              <w:rPr>
                <w:rFonts w:hint="eastAsia" w:ascii="仿宋_GB2312" w:hAnsi="仿宋_GB2312" w:cs="仿宋_GB2312"/>
                <w:kern w:val="2"/>
                <w:szCs w:val="20"/>
              </w:rPr>
              <w:t>良好     40%&lt;数值≤60%</w:t>
            </w:r>
          </w:p>
          <w:p>
            <w:pPr>
              <w:pStyle w:val="37"/>
              <w:spacing w:line="600" w:lineRule="exact"/>
              <w:jc w:val="left"/>
              <w:rPr>
                <w:rFonts w:ascii="仿宋_GB2312" w:hAnsi="仿宋_GB2312" w:cs="仿宋_GB2312"/>
                <w:kern w:val="2"/>
                <w:szCs w:val="20"/>
              </w:rPr>
            </w:pPr>
            <w:r>
              <w:rPr>
                <w:rFonts w:hint="eastAsia" w:ascii="仿宋_GB2312" w:hAnsi="仿宋_GB2312" w:cs="仿宋_GB2312"/>
                <w:kern w:val="2"/>
                <w:szCs w:val="20"/>
              </w:rPr>
              <w:t>合格     60%&lt;数值≤80%</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20"/>
              </w:rPr>
              <w:t>不合格        80%&lt;数值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49" w:type="dxa"/>
            <w:vMerge w:val="continue"/>
            <w:tcBorders>
              <w:top w:val="single" w:color="auto" w:sz="12"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_GB2312" w:eastAsia="仿宋_GB2312" w:cs="仿宋_GB2312"/>
                <w:color w:val="000000"/>
                <w:sz w:val="24"/>
                <w:szCs w:val="20"/>
              </w:rPr>
            </w:pPr>
          </w:p>
        </w:tc>
        <w:tc>
          <w:tcPr>
            <w:tcW w:w="3100" w:type="dxa"/>
            <w:tcBorders>
              <w:top w:val="single" w:color="auto" w:sz="4" w:space="0"/>
              <w:left w:val="single" w:color="auto" w:sz="4" w:space="0"/>
              <w:bottom w:val="single" w:color="auto" w:sz="4" w:space="0"/>
              <w:right w:val="single" w:color="auto" w:sz="4" w:space="0"/>
            </w:tcBorders>
            <w:vAlign w:val="center"/>
          </w:tcPr>
          <w:p>
            <w:pPr>
              <w:pStyle w:val="37"/>
              <w:spacing w:line="600" w:lineRule="exact"/>
              <w:jc w:val="both"/>
              <w:rPr>
                <w:rFonts w:ascii="仿宋_GB2312" w:hAnsi="仿宋_GB2312" w:cs="仿宋_GB2312"/>
                <w:kern w:val="2"/>
                <w:szCs w:val="18"/>
              </w:rPr>
            </w:pPr>
            <w:r>
              <w:rPr>
                <w:rFonts w:hint="eastAsia" w:ascii="仿宋_GB2312" w:hAnsi="仿宋_GB2312" w:cs="仿宋_GB2312"/>
                <w:kern w:val="2"/>
                <w:szCs w:val="18"/>
              </w:rPr>
              <w:t>连续竞价有效参与率／最低连续竞价参与率</w:t>
            </w:r>
          </w:p>
        </w:tc>
        <w:tc>
          <w:tcPr>
            <w:tcW w:w="3355" w:type="dxa"/>
            <w:tcBorders>
              <w:top w:val="single" w:color="auto" w:sz="4" w:space="0"/>
              <w:left w:val="single" w:color="auto" w:sz="4" w:space="0"/>
              <w:bottom w:val="single" w:color="auto" w:sz="4" w:space="0"/>
              <w:right w:val="single" w:color="auto" w:sz="4" w:space="0"/>
            </w:tcBorders>
          </w:tcPr>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18"/>
              </w:rPr>
              <w:t xml:space="preserve">优秀         </w:t>
            </w:r>
            <w:r>
              <w:rPr>
                <w:rFonts w:hint="eastAsia" w:ascii="仿宋_GB2312" w:hAnsi="仿宋_GB2312" w:cs="仿宋_GB2312"/>
                <w:kern w:val="2"/>
                <w:szCs w:val="20"/>
              </w:rPr>
              <w:t>数值</w:t>
            </w:r>
            <w:r>
              <w:rPr>
                <w:rFonts w:hint="eastAsia" w:ascii="仿宋_GB2312" w:hAnsi="仿宋_GB2312" w:cs="仿宋_GB2312"/>
                <w:kern w:val="2"/>
                <w:szCs w:val="18"/>
              </w:rPr>
              <w:t>≥145%</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20"/>
              </w:rPr>
              <w:t>良好</w:t>
            </w:r>
            <w:r>
              <w:rPr>
                <w:rFonts w:hint="eastAsia" w:ascii="仿宋_GB2312" w:hAnsi="仿宋_GB2312" w:cs="仿宋_GB2312"/>
                <w:kern w:val="2"/>
                <w:szCs w:val="18"/>
              </w:rPr>
              <w:t xml:space="preserve">   130%</w:t>
            </w:r>
            <w:r>
              <w:rPr>
                <w:rFonts w:hint="eastAsia" w:ascii="仿宋_GB2312" w:hAnsi="仿宋_GB2312" w:cs="仿宋_GB2312"/>
                <w:kern w:val="2"/>
                <w:szCs w:val="20"/>
              </w:rPr>
              <w:t>≤数值</w:t>
            </w:r>
            <w:r>
              <w:rPr>
                <w:rFonts w:hint="eastAsia" w:ascii="仿宋_GB2312" w:hAnsi="仿宋_GB2312" w:cs="仿宋_GB2312"/>
                <w:kern w:val="2"/>
                <w:szCs w:val="18"/>
              </w:rPr>
              <w:t>&lt;145%</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20"/>
              </w:rPr>
              <w:t>合格</w:t>
            </w:r>
            <w:r>
              <w:rPr>
                <w:rFonts w:hint="eastAsia" w:ascii="仿宋_GB2312" w:hAnsi="仿宋_GB2312" w:cs="仿宋_GB2312"/>
                <w:kern w:val="2"/>
                <w:szCs w:val="18"/>
              </w:rPr>
              <w:t xml:space="preserve">   115%</w:t>
            </w:r>
            <w:r>
              <w:rPr>
                <w:rFonts w:hint="eastAsia" w:ascii="仿宋_GB2312" w:hAnsi="仿宋_GB2312" w:cs="仿宋_GB2312"/>
                <w:kern w:val="2"/>
                <w:szCs w:val="20"/>
              </w:rPr>
              <w:t>≤数值</w:t>
            </w:r>
            <w:r>
              <w:rPr>
                <w:rFonts w:hint="eastAsia" w:ascii="仿宋_GB2312" w:hAnsi="仿宋_GB2312" w:cs="仿宋_GB2312"/>
                <w:kern w:val="2"/>
                <w:szCs w:val="18"/>
              </w:rPr>
              <w:t>&lt;130%</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18"/>
              </w:rPr>
              <w:t xml:space="preserve">不合格       </w:t>
            </w:r>
            <w:r>
              <w:rPr>
                <w:rFonts w:hint="eastAsia" w:ascii="仿宋_GB2312" w:hAnsi="仿宋_GB2312" w:cs="仿宋_GB2312"/>
                <w:kern w:val="2"/>
                <w:szCs w:val="20"/>
              </w:rPr>
              <w:t>数值</w:t>
            </w:r>
            <w:r>
              <w:rPr>
                <w:rFonts w:hint="eastAsia" w:ascii="仿宋_GB2312" w:hAnsi="仿宋_GB2312" w:cs="仿宋_GB2312"/>
                <w:kern w:val="2"/>
                <w:szCs w:val="18"/>
              </w:rPr>
              <w:t>&lt;115%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49" w:type="dxa"/>
            <w:vMerge w:val="restart"/>
            <w:tcBorders>
              <w:top w:val="single" w:color="auto" w:sz="4" w:space="0"/>
              <w:left w:val="single" w:color="auto" w:sz="4" w:space="0"/>
              <w:bottom w:val="single" w:color="auto" w:sz="4" w:space="0"/>
              <w:right w:val="single" w:color="auto" w:sz="4" w:space="0"/>
            </w:tcBorders>
            <w:vAlign w:val="center"/>
          </w:tcPr>
          <w:p>
            <w:pPr>
              <w:pStyle w:val="37"/>
              <w:snapToGrid w:val="0"/>
              <w:spacing w:line="600" w:lineRule="exact"/>
              <w:jc w:val="left"/>
              <w:rPr>
                <w:rFonts w:ascii="仿宋_GB2312" w:hAnsi="仿宋_GB2312" w:cs="仿宋_GB2312"/>
                <w:kern w:val="2"/>
                <w:szCs w:val="20"/>
              </w:rPr>
            </w:pPr>
            <w:r>
              <w:rPr>
                <w:rFonts w:hint="eastAsia" w:ascii="仿宋_GB2312" w:hAnsi="仿宋_GB2312" w:cs="仿宋_GB2312"/>
                <w:kern w:val="2"/>
                <w:szCs w:val="20"/>
              </w:rPr>
              <w:t>流动性分类为中的基金产品</w:t>
            </w:r>
          </w:p>
        </w:tc>
        <w:tc>
          <w:tcPr>
            <w:tcW w:w="3100" w:type="dxa"/>
            <w:tcBorders>
              <w:top w:val="single" w:color="auto" w:sz="4" w:space="0"/>
              <w:left w:val="single" w:color="auto" w:sz="4" w:space="0"/>
              <w:bottom w:val="single" w:color="auto" w:sz="4" w:space="0"/>
              <w:right w:val="single" w:color="auto" w:sz="4" w:space="0"/>
            </w:tcBorders>
            <w:vAlign w:val="center"/>
          </w:tcPr>
          <w:p>
            <w:pPr>
              <w:pStyle w:val="37"/>
              <w:spacing w:line="600" w:lineRule="exact"/>
              <w:jc w:val="both"/>
              <w:rPr>
                <w:rFonts w:ascii="仿宋_GB2312" w:hAnsi="仿宋_GB2312" w:cs="仿宋_GB2312"/>
                <w:color w:val="auto"/>
                <w:kern w:val="2"/>
                <w:szCs w:val="18"/>
              </w:rPr>
            </w:pPr>
            <w:r>
              <w:rPr>
                <w:rFonts w:hint="eastAsia" w:ascii="仿宋_GB2312" w:hAnsi="仿宋_GB2312" w:cs="仿宋_GB2312"/>
                <w:color w:val="auto"/>
                <w:kern w:val="2"/>
                <w:szCs w:val="18"/>
              </w:rPr>
              <w:t>时间加权报价差／最大买卖价差</w:t>
            </w:r>
          </w:p>
        </w:tc>
        <w:tc>
          <w:tcPr>
            <w:tcW w:w="3355" w:type="dxa"/>
            <w:tcBorders>
              <w:top w:val="single" w:color="auto" w:sz="4" w:space="0"/>
              <w:left w:val="single" w:color="auto" w:sz="4" w:space="0"/>
              <w:bottom w:val="single" w:color="auto" w:sz="4" w:space="0"/>
              <w:right w:val="single" w:color="auto" w:sz="4" w:space="0"/>
            </w:tcBorders>
          </w:tcPr>
          <w:p>
            <w:pPr>
              <w:pStyle w:val="37"/>
              <w:spacing w:line="600" w:lineRule="exact"/>
              <w:jc w:val="left"/>
              <w:rPr>
                <w:rFonts w:ascii="仿宋_GB2312" w:hAnsi="仿宋_GB2312" w:cs="仿宋_GB2312"/>
                <w:color w:val="auto"/>
                <w:kern w:val="2"/>
                <w:szCs w:val="20"/>
              </w:rPr>
            </w:pPr>
            <w:r>
              <w:rPr>
                <w:rFonts w:hint="eastAsia" w:ascii="仿宋_GB2312" w:hAnsi="仿宋_GB2312" w:cs="仿宋_GB2312"/>
                <w:color w:val="auto"/>
                <w:kern w:val="2"/>
                <w:szCs w:val="18"/>
              </w:rPr>
              <w:t xml:space="preserve">优秀          </w:t>
            </w:r>
            <w:r>
              <w:rPr>
                <w:rFonts w:hint="eastAsia" w:ascii="仿宋_GB2312" w:hAnsi="仿宋_GB2312" w:cs="仿宋_GB2312"/>
                <w:color w:val="auto"/>
                <w:kern w:val="2"/>
                <w:szCs w:val="20"/>
              </w:rPr>
              <w:t>数值≤60%</w:t>
            </w:r>
          </w:p>
          <w:p>
            <w:pPr>
              <w:pStyle w:val="37"/>
              <w:spacing w:line="600" w:lineRule="exact"/>
              <w:jc w:val="left"/>
              <w:rPr>
                <w:rFonts w:ascii="仿宋_GB2312" w:hAnsi="仿宋_GB2312" w:cs="仿宋_GB2312"/>
                <w:color w:val="auto"/>
                <w:kern w:val="2"/>
                <w:szCs w:val="20"/>
              </w:rPr>
            </w:pPr>
            <w:r>
              <w:rPr>
                <w:rFonts w:hint="eastAsia" w:ascii="仿宋_GB2312" w:hAnsi="仿宋_GB2312" w:cs="仿宋_GB2312"/>
                <w:color w:val="auto"/>
                <w:kern w:val="2"/>
                <w:szCs w:val="20"/>
              </w:rPr>
              <w:t>良好     60%&lt;数值≤80%</w:t>
            </w:r>
          </w:p>
          <w:p>
            <w:pPr>
              <w:pStyle w:val="37"/>
              <w:spacing w:line="600" w:lineRule="exact"/>
              <w:jc w:val="left"/>
              <w:rPr>
                <w:rFonts w:ascii="仿宋_GB2312" w:hAnsi="仿宋_GB2312" w:cs="仿宋_GB2312"/>
                <w:color w:val="auto"/>
                <w:kern w:val="2"/>
                <w:szCs w:val="20"/>
              </w:rPr>
            </w:pPr>
            <w:r>
              <w:rPr>
                <w:rFonts w:hint="eastAsia" w:ascii="仿宋_GB2312" w:hAnsi="仿宋_GB2312" w:cs="仿宋_GB2312"/>
                <w:color w:val="auto"/>
                <w:kern w:val="2"/>
                <w:szCs w:val="20"/>
              </w:rPr>
              <w:t>合格    80%&lt;数值≤100%</w:t>
            </w:r>
          </w:p>
          <w:p>
            <w:pPr>
              <w:pStyle w:val="37"/>
              <w:spacing w:line="600" w:lineRule="exact"/>
              <w:jc w:val="left"/>
              <w:rPr>
                <w:rFonts w:ascii="仿宋_GB2312" w:hAnsi="仿宋_GB2312" w:cs="仿宋_GB2312"/>
                <w:color w:val="auto"/>
                <w:kern w:val="2"/>
                <w:szCs w:val="18"/>
              </w:rPr>
            </w:pPr>
            <w:r>
              <w:rPr>
                <w:rFonts w:hint="eastAsia" w:ascii="仿宋_GB2312" w:hAnsi="仿宋_GB2312" w:cs="仿宋_GB2312"/>
                <w:color w:val="auto"/>
                <w:kern w:val="2"/>
                <w:szCs w:val="20"/>
              </w:rPr>
              <w:t>不合格        100%&lt;数值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_GB2312" w:eastAsia="仿宋_GB2312" w:cs="仿宋_GB2312"/>
                <w:color w:val="000000"/>
                <w:sz w:val="24"/>
                <w:szCs w:val="20"/>
              </w:rPr>
            </w:pPr>
          </w:p>
        </w:tc>
        <w:tc>
          <w:tcPr>
            <w:tcW w:w="3100" w:type="dxa"/>
            <w:tcBorders>
              <w:top w:val="single" w:color="auto" w:sz="4" w:space="0"/>
              <w:left w:val="single" w:color="auto" w:sz="4" w:space="0"/>
              <w:bottom w:val="single" w:color="auto" w:sz="4" w:space="0"/>
              <w:right w:val="single" w:color="auto" w:sz="4" w:space="0"/>
            </w:tcBorders>
            <w:vAlign w:val="center"/>
          </w:tcPr>
          <w:p>
            <w:pPr>
              <w:pStyle w:val="37"/>
              <w:spacing w:line="600" w:lineRule="exact"/>
              <w:jc w:val="both"/>
              <w:rPr>
                <w:rFonts w:ascii="仿宋_GB2312" w:hAnsi="仿宋_GB2312" w:cs="仿宋_GB2312"/>
                <w:color w:val="auto"/>
                <w:kern w:val="2"/>
                <w:szCs w:val="18"/>
              </w:rPr>
            </w:pPr>
            <w:r>
              <w:rPr>
                <w:rFonts w:hint="eastAsia" w:ascii="仿宋_GB2312" w:hAnsi="仿宋_GB2312" w:cs="仿宋_GB2312"/>
                <w:color w:val="auto"/>
                <w:kern w:val="2"/>
                <w:szCs w:val="18"/>
              </w:rPr>
              <w:t>连续竞价</w:t>
            </w:r>
            <w:r>
              <w:rPr>
                <w:rFonts w:hint="eastAsia" w:ascii="仿宋_GB2312" w:hAnsi="仿宋_GB2312" w:cs="仿宋_GB2312"/>
                <w:kern w:val="2"/>
                <w:szCs w:val="18"/>
              </w:rPr>
              <w:t>有效</w:t>
            </w:r>
            <w:r>
              <w:rPr>
                <w:rFonts w:hint="eastAsia" w:ascii="仿宋_GB2312" w:hAnsi="仿宋_GB2312" w:cs="仿宋_GB2312"/>
                <w:color w:val="auto"/>
                <w:kern w:val="2"/>
                <w:szCs w:val="18"/>
              </w:rPr>
              <w:t>参与率／最低</w:t>
            </w:r>
            <w:r>
              <w:rPr>
                <w:rFonts w:hint="eastAsia" w:ascii="仿宋_GB2312" w:hAnsi="仿宋_GB2312" w:cs="仿宋_GB2312"/>
                <w:kern w:val="2"/>
                <w:szCs w:val="18"/>
              </w:rPr>
              <w:t>连续竞价参与率</w:t>
            </w:r>
          </w:p>
        </w:tc>
        <w:tc>
          <w:tcPr>
            <w:tcW w:w="3355" w:type="dxa"/>
            <w:tcBorders>
              <w:top w:val="single" w:color="auto" w:sz="4" w:space="0"/>
              <w:left w:val="single" w:color="auto" w:sz="4" w:space="0"/>
              <w:bottom w:val="single" w:color="auto" w:sz="4" w:space="0"/>
              <w:right w:val="single" w:color="auto" w:sz="4" w:space="0"/>
            </w:tcBorders>
          </w:tcPr>
          <w:p>
            <w:pPr>
              <w:pStyle w:val="37"/>
              <w:spacing w:line="600" w:lineRule="exact"/>
              <w:jc w:val="left"/>
              <w:rPr>
                <w:rFonts w:ascii="仿宋_GB2312" w:hAnsi="仿宋_GB2312" w:cs="仿宋_GB2312"/>
                <w:color w:val="auto"/>
                <w:kern w:val="2"/>
                <w:szCs w:val="18"/>
              </w:rPr>
            </w:pPr>
            <w:r>
              <w:rPr>
                <w:rFonts w:hint="eastAsia" w:ascii="仿宋_GB2312" w:hAnsi="仿宋_GB2312" w:cs="仿宋_GB2312"/>
                <w:color w:val="auto"/>
                <w:kern w:val="2"/>
                <w:szCs w:val="18"/>
              </w:rPr>
              <w:t xml:space="preserve">优秀         </w:t>
            </w:r>
            <w:r>
              <w:rPr>
                <w:rFonts w:hint="eastAsia" w:ascii="仿宋_GB2312" w:hAnsi="仿宋_GB2312" w:cs="仿宋_GB2312"/>
                <w:color w:val="auto"/>
                <w:kern w:val="2"/>
                <w:szCs w:val="20"/>
              </w:rPr>
              <w:t>数值</w:t>
            </w:r>
            <w:r>
              <w:rPr>
                <w:rFonts w:hint="eastAsia" w:ascii="仿宋_GB2312" w:hAnsi="仿宋_GB2312" w:cs="仿宋_GB2312"/>
                <w:color w:val="auto"/>
                <w:kern w:val="2"/>
                <w:szCs w:val="18"/>
              </w:rPr>
              <w:t>≥130%</w:t>
            </w:r>
          </w:p>
          <w:p>
            <w:pPr>
              <w:pStyle w:val="37"/>
              <w:spacing w:line="600" w:lineRule="exact"/>
              <w:jc w:val="left"/>
              <w:rPr>
                <w:rFonts w:ascii="仿宋_GB2312" w:hAnsi="仿宋_GB2312" w:cs="仿宋_GB2312"/>
                <w:color w:val="auto"/>
                <w:kern w:val="2"/>
                <w:szCs w:val="18"/>
              </w:rPr>
            </w:pPr>
            <w:r>
              <w:rPr>
                <w:rFonts w:hint="eastAsia" w:ascii="仿宋_GB2312" w:hAnsi="仿宋_GB2312" w:cs="仿宋_GB2312"/>
                <w:color w:val="auto"/>
                <w:kern w:val="2"/>
                <w:szCs w:val="20"/>
              </w:rPr>
              <w:t>良好</w:t>
            </w:r>
            <w:r>
              <w:rPr>
                <w:rFonts w:hint="eastAsia" w:ascii="仿宋_GB2312" w:hAnsi="仿宋_GB2312" w:cs="仿宋_GB2312"/>
                <w:color w:val="auto"/>
                <w:kern w:val="2"/>
                <w:szCs w:val="18"/>
              </w:rPr>
              <w:t xml:space="preserve">   115%</w:t>
            </w:r>
            <w:r>
              <w:rPr>
                <w:rFonts w:hint="eastAsia" w:ascii="仿宋_GB2312" w:hAnsi="仿宋_GB2312" w:cs="仿宋_GB2312"/>
                <w:color w:val="auto"/>
                <w:kern w:val="2"/>
                <w:szCs w:val="20"/>
              </w:rPr>
              <w:t>≤数值</w:t>
            </w:r>
            <w:r>
              <w:rPr>
                <w:rFonts w:hint="eastAsia" w:ascii="仿宋_GB2312" w:hAnsi="仿宋_GB2312" w:cs="仿宋_GB2312"/>
                <w:color w:val="auto"/>
                <w:kern w:val="2"/>
                <w:szCs w:val="18"/>
              </w:rPr>
              <w:t>&lt;130%</w:t>
            </w:r>
          </w:p>
          <w:p>
            <w:pPr>
              <w:pStyle w:val="37"/>
              <w:spacing w:line="600" w:lineRule="exact"/>
              <w:jc w:val="left"/>
              <w:rPr>
                <w:rFonts w:ascii="仿宋_GB2312" w:hAnsi="仿宋_GB2312" w:cs="仿宋_GB2312"/>
                <w:color w:val="auto"/>
                <w:kern w:val="2"/>
                <w:szCs w:val="18"/>
              </w:rPr>
            </w:pPr>
            <w:r>
              <w:rPr>
                <w:rFonts w:hint="eastAsia" w:ascii="仿宋_GB2312" w:hAnsi="仿宋_GB2312" w:cs="仿宋_GB2312"/>
                <w:color w:val="auto"/>
                <w:kern w:val="2"/>
                <w:szCs w:val="20"/>
              </w:rPr>
              <w:t>合格</w:t>
            </w:r>
            <w:r>
              <w:rPr>
                <w:rFonts w:hint="eastAsia" w:ascii="仿宋_GB2312" w:hAnsi="仿宋_GB2312" w:cs="仿宋_GB2312"/>
                <w:color w:val="auto"/>
                <w:kern w:val="2"/>
                <w:szCs w:val="18"/>
              </w:rPr>
              <w:t xml:space="preserve">    100%</w:t>
            </w:r>
            <w:r>
              <w:rPr>
                <w:rFonts w:hint="eastAsia" w:ascii="仿宋_GB2312" w:hAnsi="仿宋_GB2312" w:cs="仿宋_GB2312"/>
                <w:color w:val="auto"/>
                <w:kern w:val="2"/>
                <w:szCs w:val="20"/>
              </w:rPr>
              <w:t>≤数值</w:t>
            </w:r>
            <w:r>
              <w:rPr>
                <w:rFonts w:hint="eastAsia" w:ascii="仿宋_GB2312" w:hAnsi="仿宋_GB2312" w:cs="仿宋_GB2312"/>
                <w:color w:val="auto"/>
                <w:kern w:val="2"/>
                <w:szCs w:val="18"/>
              </w:rPr>
              <w:t>&lt;115%</w:t>
            </w:r>
          </w:p>
          <w:p>
            <w:pPr>
              <w:pStyle w:val="37"/>
              <w:spacing w:line="600" w:lineRule="exact"/>
              <w:jc w:val="left"/>
              <w:rPr>
                <w:rFonts w:ascii="仿宋_GB2312" w:hAnsi="仿宋_GB2312" w:cs="仿宋_GB2312"/>
                <w:color w:val="auto"/>
                <w:kern w:val="2"/>
                <w:szCs w:val="18"/>
              </w:rPr>
            </w:pPr>
            <w:r>
              <w:rPr>
                <w:rFonts w:hint="eastAsia" w:ascii="仿宋_GB2312" w:hAnsi="仿宋_GB2312" w:cs="仿宋_GB2312"/>
                <w:color w:val="auto"/>
                <w:kern w:val="2"/>
                <w:szCs w:val="18"/>
              </w:rPr>
              <w:t>不合格        数值&lt;100%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49" w:type="dxa"/>
            <w:vMerge w:val="restart"/>
            <w:tcBorders>
              <w:top w:val="single" w:color="auto" w:sz="4" w:space="0"/>
              <w:left w:val="single" w:color="auto" w:sz="4" w:space="0"/>
              <w:bottom w:val="single" w:color="auto" w:sz="4" w:space="0"/>
              <w:right w:val="single" w:color="auto" w:sz="4" w:space="0"/>
            </w:tcBorders>
            <w:vAlign w:val="center"/>
          </w:tcPr>
          <w:p>
            <w:pPr>
              <w:pStyle w:val="37"/>
              <w:snapToGrid w:val="0"/>
              <w:spacing w:line="600" w:lineRule="exact"/>
              <w:jc w:val="left"/>
              <w:rPr>
                <w:rFonts w:ascii="仿宋_GB2312" w:hAnsi="仿宋_GB2312" w:cs="仿宋_GB2312"/>
                <w:kern w:val="2"/>
                <w:szCs w:val="20"/>
              </w:rPr>
            </w:pPr>
            <w:r>
              <w:rPr>
                <w:rFonts w:hint="eastAsia" w:ascii="仿宋_GB2312" w:hAnsi="仿宋_GB2312" w:cs="仿宋_GB2312"/>
                <w:kern w:val="2"/>
                <w:szCs w:val="20"/>
              </w:rPr>
              <w:t>流动性分类为低的基金产品</w:t>
            </w:r>
          </w:p>
        </w:tc>
        <w:tc>
          <w:tcPr>
            <w:tcW w:w="3100" w:type="dxa"/>
            <w:tcBorders>
              <w:top w:val="single" w:color="auto" w:sz="4" w:space="0"/>
              <w:left w:val="single" w:color="auto" w:sz="4" w:space="0"/>
              <w:bottom w:val="single" w:color="auto" w:sz="4" w:space="0"/>
              <w:right w:val="single" w:color="auto" w:sz="4" w:space="0"/>
            </w:tcBorders>
            <w:vAlign w:val="center"/>
          </w:tcPr>
          <w:p>
            <w:pPr>
              <w:pStyle w:val="37"/>
              <w:spacing w:line="600" w:lineRule="exact"/>
              <w:jc w:val="both"/>
              <w:rPr>
                <w:rFonts w:ascii="仿宋_GB2312" w:hAnsi="仿宋_GB2312" w:cs="仿宋_GB2312"/>
                <w:kern w:val="2"/>
                <w:szCs w:val="18"/>
              </w:rPr>
            </w:pPr>
            <w:r>
              <w:rPr>
                <w:rFonts w:hint="eastAsia" w:ascii="仿宋_GB2312" w:hAnsi="仿宋_GB2312" w:cs="仿宋_GB2312"/>
                <w:kern w:val="2"/>
                <w:szCs w:val="18"/>
              </w:rPr>
              <w:t>时间加权报价差／最大</w:t>
            </w:r>
            <w:r>
              <w:rPr>
                <w:rFonts w:hint="eastAsia" w:ascii="仿宋_GB2312" w:hAnsi="仿宋_GB2312" w:cs="仿宋_GB2312"/>
                <w:color w:val="auto"/>
                <w:kern w:val="2"/>
                <w:szCs w:val="18"/>
              </w:rPr>
              <w:t>买卖价差</w:t>
            </w:r>
          </w:p>
        </w:tc>
        <w:tc>
          <w:tcPr>
            <w:tcW w:w="3355" w:type="dxa"/>
            <w:tcBorders>
              <w:top w:val="single" w:color="auto" w:sz="4" w:space="0"/>
              <w:left w:val="single" w:color="auto" w:sz="4" w:space="0"/>
              <w:bottom w:val="single" w:color="auto" w:sz="4" w:space="0"/>
              <w:right w:val="single" w:color="auto" w:sz="4" w:space="0"/>
            </w:tcBorders>
          </w:tcPr>
          <w:p>
            <w:pPr>
              <w:pStyle w:val="37"/>
              <w:spacing w:line="600" w:lineRule="exact"/>
              <w:jc w:val="left"/>
              <w:rPr>
                <w:rFonts w:ascii="仿宋_GB2312" w:hAnsi="仿宋_GB2312" w:cs="仿宋_GB2312"/>
                <w:kern w:val="2"/>
                <w:szCs w:val="20"/>
              </w:rPr>
            </w:pPr>
            <w:r>
              <w:rPr>
                <w:rFonts w:hint="eastAsia" w:ascii="仿宋_GB2312" w:hAnsi="仿宋_GB2312" w:cs="仿宋_GB2312"/>
                <w:kern w:val="2"/>
                <w:szCs w:val="18"/>
              </w:rPr>
              <w:t xml:space="preserve">优秀          </w:t>
            </w:r>
            <w:r>
              <w:rPr>
                <w:rFonts w:hint="eastAsia" w:ascii="仿宋_GB2312" w:hAnsi="仿宋_GB2312" w:cs="仿宋_GB2312"/>
                <w:kern w:val="2"/>
                <w:szCs w:val="20"/>
              </w:rPr>
              <w:t>数值≤80%</w:t>
            </w:r>
          </w:p>
          <w:p>
            <w:pPr>
              <w:pStyle w:val="37"/>
              <w:spacing w:line="600" w:lineRule="exact"/>
              <w:jc w:val="left"/>
              <w:rPr>
                <w:rFonts w:ascii="仿宋_GB2312" w:hAnsi="仿宋_GB2312" w:cs="仿宋_GB2312"/>
                <w:kern w:val="2"/>
                <w:szCs w:val="20"/>
              </w:rPr>
            </w:pPr>
            <w:r>
              <w:rPr>
                <w:rFonts w:hint="eastAsia" w:ascii="仿宋_GB2312" w:hAnsi="仿宋_GB2312" w:cs="仿宋_GB2312"/>
                <w:kern w:val="2"/>
                <w:szCs w:val="20"/>
              </w:rPr>
              <w:t>良好    80%&lt;数值≤100%</w:t>
            </w:r>
          </w:p>
          <w:p>
            <w:pPr>
              <w:pStyle w:val="37"/>
              <w:spacing w:line="600" w:lineRule="exact"/>
              <w:jc w:val="left"/>
              <w:rPr>
                <w:rFonts w:ascii="仿宋_GB2312" w:hAnsi="仿宋_GB2312" w:cs="仿宋_GB2312"/>
                <w:kern w:val="2"/>
                <w:szCs w:val="20"/>
              </w:rPr>
            </w:pPr>
            <w:r>
              <w:rPr>
                <w:rFonts w:hint="eastAsia" w:ascii="仿宋_GB2312" w:hAnsi="仿宋_GB2312" w:cs="仿宋_GB2312"/>
                <w:kern w:val="2"/>
                <w:szCs w:val="20"/>
              </w:rPr>
              <w:t>合格   100%&lt;数值≤120%</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20"/>
              </w:rPr>
              <w:t>不合格       120%&lt;数值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_GB2312" w:eastAsia="仿宋_GB2312" w:cs="仿宋_GB2312"/>
                <w:color w:val="000000"/>
                <w:sz w:val="24"/>
                <w:szCs w:val="20"/>
              </w:rPr>
            </w:pPr>
          </w:p>
        </w:tc>
        <w:tc>
          <w:tcPr>
            <w:tcW w:w="3100" w:type="dxa"/>
            <w:tcBorders>
              <w:top w:val="single" w:color="auto" w:sz="4" w:space="0"/>
              <w:left w:val="single" w:color="auto" w:sz="4" w:space="0"/>
              <w:bottom w:val="single" w:color="auto" w:sz="4" w:space="0"/>
              <w:right w:val="single" w:color="auto" w:sz="4" w:space="0"/>
            </w:tcBorders>
            <w:vAlign w:val="center"/>
          </w:tcPr>
          <w:p>
            <w:pPr>
              <w:pStyle w:val="37"/>
              <w:spacing w:line="600" w:lineRule="exact"/>
              <w:jc w:val="both"/>
              <w:rPr>
                <w:rFonts w:ascii="仿宋_GB2312" w:hAnsi="仿宋_GB2312" w:cs="仿宋_GB2312"/>
                <w:kern w:val="2"/>
                <w:szCs w:val="18"/>
              </w:rPr>
            </w:pPr>
            <w:r>
              <w:rPr>
                <w:rFonts w:hint="eastAsia" w:ascii="仿宋_GB2312" w:hAnsi="仿宋_GB2312" w:cs="仿宋_GB2312"/>
                <w:kern w:val="2"/>
                <w:szCs w:val="18"/>
              </w:rPr>
              <w:t>连续竞价有效参与率／最低连续竞价参与率</w:t>
            </w:r>
          </w:p>
        </w:tc>
        <w:tc>
          <w:tcPr>
            <w:tcW w:w="3355" w:type="dxa"/>
            <w:tcBorders>
              <w:top w:val="single" w:color="auto" w:sz="4" w:space="0"/>
              <w:left w:val="single" w:color="auto" w:sz="4" w:space="0"/>
              <w:bottom w:val="single" w:color="auto" w:sz="4" w:space="0"/>
              <w:right w:val="single" w:color="auto" w:sz="4" w:space="0"/>
            </w:tcBorders>
          </w:tcPr>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18"/>
              </w:rPr>
              <w:t xml:space="preserve">优秀         </w:t>
            </w:r>
            <w:r>
              <w:rPr>
                <w:rFonts w:hint="eastAsia" w:ascii="仿宋_GB2312" w:hAnsi="仿宋_GB2312" w:cs="仿宋_GB2312"/>
                <w:kern w:val="2"/>
                <w:szCs w:val="20"/>
              </w:rPr>
              <w:t>数值</w:t>
            </w:r>
            <w:r>
              <w:rPr>
                <w:rFonts w:hint="eastAsia" w:ascii="仿宋_GB2312" w:hAnsi="仿宋_GB2312" w:cs="仿宋_GB2312"/>
                <w:kern w:val="2"/>
                <w:szCs w:val="18"/>
              </w:rPr>
              <w:t>≥115%</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20"/>
              </w:rPr>
              <w:t>良好</w:t>
            </w:r>
            <w:r>
              <w:rPr>
                <w:rFonts w:hint="eastAsia" w:ascii="仿宋_GB2312" w:hAnsi="仿宋_GB2312" w:cs="仿宋_GB2312"/>
                <w:kern w:val="2"/>
                <w:szCs w:val="18"/>
              </w:rPr>
              <w:t xml:space="preserve">    100%</w:t>
            </w:r>
            <w:r>
              <w:rPr>
                <w:rFonts w:hint="eastAsia" w:ascii="仿宋_GB2312" w:hAnsi="仿宋_GB2312" w:cs="仿宋_GB2312"/>
                <w:kern w:val="2"/>
                <w:szCs w:val="20"/>
              </w:rPr>
              <w:t>≤数值</w:t>
            </w:r>
            <w:r>
              <w:rPr>
                <w:rFonts w:hint="eastAsia" w:ascii="仿宋_GB2312" w:hAnsi="仿宋_GB2312" w:cs="仿宋_GB2312"/>
                <w:kern w:val="2"/>
                <w:szCs w:val="18"/>
              </w:rPr>
              <w:t>&lt;115%</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20"/>
              </w:rPr>
              <w:t>合格</w:t>
            </w:r>
            <w:r>
              <w:rPr>
                <w:rFonts w:hint="eastAsia" w:ascii="仿宋_GB2312" w:hAnsi="仿宋_GB2312" w:cs="仿宋_GB2312"/>
                <w:kern w:val="2"/>
                <w:szCs w:val="18"/>
              </w:rPr>
              <w:t xml:space="preserve">     85%</w:t>
            </w:r>
            <w:r>
              <w:rPr>
                <w:rFonts w:hint="eastAsia" w:ascii="仿宋_GB2312" w:hAnsi="仿宋_GB2312" w:cs="仿宋_GB2312"/>
                <w:kern w:val="2"/>
                <w:szCs w:val="20"/>
              </w:rPr>
              <w:t>≤数值</w:t>
            </w:r>
            <w:r>
              <w:rPr>
                <w:rFonts w:hint="eastAsia" w:ascii="仿宋_GB2312" w:hAnsi="仿宋_GB2312" w:cs="仿宋_GB2312"/>
                <w:kern w:val="2"/>
                <w:szCs w:val="18"/>
              </w:rPr>
              <w:t>&lt;100%</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18"/>
              </w:rPr>
              <w:t>不合格        数值&lt;85%</w:t>
            </w:r>
          </w:p>
        </w:tc>
      </w:tr>
    </w:tbl>
    <w:p>
      <w:pPr>
        <w:spacing w:beforeLines="100" w:line="600" w:lineRule="exact"/>
        <w:ind w:firstLine="900" w:firstLineChars="300"/>
        <w:jc w:val="center"/>
        <w:rPr>
          <w:rFonts w:ascii="仿宋_GB2312" w:hAnsi="仿宋_GB2312" w:eastAsia="仿宋_GB2312" w:cs="仿宋_GB2312"/>
          <w:b/>
          <w:sz w:val="24"/>
          <w:szCs w:val="24"/>
        </w:rPr>
      </w:pPr>
      <w:r>
        <w:rPr>
          <w:rFonts w:hint="eastAsia" w:ascii="Times New Roman" w:hAnsi="Times New Roman" w:eastAsia="仿宋_GB2312"/>
          <w:sz w:val="30"/>
          <w:szCs w:val="30"/>
        </w:rPr>
        <w:t>第二，根据上述两项指标的评价结果，得到当月度主做市商为特定基金提供主做市服务的评价结果（如表</w:t>
      </w:r>
      <w:r>
        <w:rPr>
          <w:rFonts w:ascii="Times New Roman" w:hAnsi="Times New Roman" w:eastAsia="仿宋_GB2312"/>
          <w:sz w:val="30"/>
          <w:szCs w:val="30"/>
        </w:rPr>
        <w:t>3</w:t>
      </w:r>
      <w:r>
        <w:rPr>
          <w:rFonts w:hint="eastAsia" w:ascii="Times New Roman" w:hAnsi="Times New Roman" w:eastAsia="仿宋_GB2312"/>
          <w:sz w:val="30"/>
          <w:szCs w:val="30"/>
        </w:rPr>
        <w:t xml:space="preserve">所示）：            </w:t>
      </w:r>
      <w:r>
        <w:rPr>
          <w:rFonts w:hint="eastAsia" w:ascii="仿宋_GB2312" w:hAnsi="仿宋_GB2312" w:eastAsia="仿宋_GB2312" w:cs="仿宋_GB2312"/>
          <w:b/>
          <w:sz w:val="24"/>
          <w:szCs w:val="24"/>
        </w:rPr>
        <w:t>表3：做市商为特定基金提供做市服务的评价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936"/>
        <w:gridCol w:w="1344"/>
        <w:gridCol w:w="1345"/>
        <w:gridCol w:w="134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4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4"/>
                <w:szCs w:val="24"/>
              </w:rPr>
            </w:pPr>
          </w:p>
        </w:tc>
        <w:tc>
          <w:tcPr>
            <w:tcW w:w="5375"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时间加权报价差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0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_GB2312" w:eastAsia="仿宋_GB2312" w:cs="仿宋_GB2312"/>
                <w:b/>
                <w:bCs/>
                <w:kern w:val="44"/>
                <w:sz w:val="24"/>
                <w:szCs w:val="24"/>
              </w:rPr>
            </w:pPr>
          </w:p>
        </w:tc>
        <w:tc>
          <w:tcPr>
            <w:tcW w:w="1344"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优秀</w:t>
            </w:r>
          </w:p>
        </w:tc>
        <w:tc>
          <w:tcPr>
            <w:tcW w:w="1345"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良好</w:t>
            </w:r>
          </w:p>
        </w:tc>
        <w:tc>
          <w:tcPr>
            <w:tcW w:w="1343"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jc w:val="righ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合格</w:t>
            </w:r>
          </w:p>
        </w:tc>
        <w:tc>
          <w:tcPr>
            <w:tcW w:w="1343"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 xml:space="preserve">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04"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0"/>
              </w:rPr>
              <w:t>连续竞价有效参与率</w:t>
            </w:r>
          </w:p>
        </w:tc>
        <w:tc>
          <w:tcPr>
            <w:tcW w:w="936"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优秀</w:t>
            </w:r>
          </w:p>
        </w:tc>
        <w:tc>
          <w:tcPr>
            <w:tcW w:w="134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A</w:t>
            </w:r>
          </w:p>
        </w:tc>
        <w:tc>
          <w:tcPr>
            <w:tcW w:w="134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A</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B</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righ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_GB2312" w:eastAsia="仿宋_GB2312" w:cs="仿宋_GB2312"/>
                <w:b/>
                <w:bCs/>
                <w:sz w:val="24"/>
                <w:szCs w:val="24"/>
              </w:rPr>
            </w:pPr>
          </w:p>
        </w:tc>
        <w:tc>
          <w:tcPr>
            <w:tcW w:w="936"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良好</w:t>
            </w:r>
          </w:p>
        </w:tc>
        <w:tc>
          <w:tcPr>
            <w:tcW w:w="134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A</w:t>
            </w:r>
          </w:p>
        </w:tc>
        <w:tc>
          <w:tcPr>
            <w:tcW w:w="134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B</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C</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righ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_GB2312" w:eastAsia="仿宋_GB2312" w:cs="仿宋_GB2312"/>
                <w:b/>
                <w:bCs/>
                <w:sz w:val="24"/>
                <w:szCs w:val="24"/>
              </w:rPr>
            </w:pPr>
          </w:p>
        </w:tc>
        <w:tc>
          <w:tcPr>
            <w:tcW w:w="936"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合格</w:t>
            </w:r>
          </w:p>
        </w:tc>
        <w:tc>
          <w:tcPr>
            <w:tcW w:w="134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B</w:t>
            </w:r>
          </w:p>
        </w:tc>
        <w:tc>
          <w:tcPr>
            <w:tcW w:w="134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C</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C</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righ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_GB2312" w:eastAsia="仿宋_GB2312" w:cs="仿宋_GB2312"/>
                <w:b/>
                <w:bCs/>
                <w:sz w:val="24"/>
                <w:szCs w:val="24"/>
              </w:rPr>
            </w:pPr>
          </w:p>
        </w:tc>
        <w:tc>
          <w:tcPr>
            <w:tcW w:w="936"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不合格</w:t>
            </w:r>
          </w:p>
        </w:tc>
        <w:tc>
          <w:tcPr>
            <w:tcW w:w="134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D</w:t>
            </w:r>
          </w:p>
        </w:tc>
        <w:tc>
          <w:tcPr>
            <w:tcW w:w="134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D</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D</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righ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D</w:t>
            </w:r>
          </w:p>
        </w:tc>
      </w:tr>
    </w:tbl>
    <w:p>
      <w:pPr>
        <w:spacing w:line="600" w:lineRule="exact"/>
        <w:ind w:firstLine="560" w:firstLineChars="200"/>
        <w:rPr>
          <w:rFonts w:ascii="仿宋_GB2312" w:eastAsia="仿宋_GB2312"/>
          <w:sz w:val="28"/>
          <w:szCs w:val="28"/>
        </w:rPr>
      </w:pP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第三，在考评周期内，若主做市商为特定基金提供主做市服务出现下列情形之一的，则该主做市商该产品的月度评价为</w:t>
      </w:r>
      <w:r>
        <w:rPr>
          <w:rFonts w:ascii="Times New Roman" w:hAnsi="Times New Roman" w:eastAsia="仿宋_GB2312"/>
          <w:sz w:val="30"/>
          <w:szCs w:val="30"/>
        </w:rPr>
        <w:t>D</w:t>
      </w:r>
      <w:r>
        <w:rPr>
          <w:rFonts w:hint="eastAsia" w:ascii="Times New Roman" w:hAnsi="Times New Roman" w:eastAsia="仿宋_GB2312"/>
          <w:sz w:val="30"/>
          <w:szCs w:val="30"/>
        </w:rPr>
        <w:t>：</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1</w:t>
      </w:r>
      <w:r>
        <w:rPr>
          <w:rFonts w:hint="eastAsia" w:ascii="Times New Roman" w:hAnsi="Times New Roman" w:eastAsia="仿宋_GB2312"/>
          <w:sz w:val="30"/>
          <w:szCs w:val="30"/>
        </w:rPr>
        <w:t>）未达到最小平均每笔申报金额；</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2</w:t>
      </w:r>
      <w:r>
        <w:rPr>
          <w:rFonts w:hint="eastAsia" w:ascii="Times New Roman" w:hAnsi="Times New Roman" w:eastAsia="仿宋_GB2312"/>
          <w:sz w:val="30"/>
          <w:szCs w:val="30"/>
        </w:rPr>
        <w:t>）未达到最低集合竞价参与率；</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3</w:t>
      </w:r>
      <w:r>
        <w:rPr>
          <w:rFonts w:hint="eastAsia" w:ascii="Times New Roman" w:hAnsi="Times New Roman" w:eastAsia="仿宋_GB2312"/>
          <w:sz w:val="30"/>
          <w:szCs w:val="30"/>
        </w:rPr>
        <w:t>）未达到最低连续竞价参与率。</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第四，主做市商提供主做市服务满一个完整月度的，月度评价按成交量调整。成交量达到主做市服务平均成交量</w:t>
      </w:r>
      <w:r>
        <w:rPr>
          <w:rFonts w:ascii="Times New Roman" w:hAnsi="Times New Roman" w:eastAsia="仿宋_GB2312"/>
          <w:sz w:val="30"/>
          <w:szCs w:val="30"/>
        </w:rPr>
        <w:t>150%</w:t>
      </w:r>
      <w:r>
        <w:rPr>
          <w:rFonts w:hint="eastAsia" w:ascii="Times New Roman" w:hAnsi="Times New Roman" w:eastAsia="仿宋_GB2312"/>
          <w:sz w:val="30"/>
          <w:szCs w:val="30"/>
        </w:rPr>
        <w:t>的，评价结果上调一档（评价为</w:t>
      </w:r>
      <w:r>
        <w:rPr>
          <w:rFonts w:ascii="Times New Roman" w:hAnsi="Times New Roman" w:eastAsia="仿宋_GB2312"/>
          <w:sz w:val="30"/>
          <w:szCs w:val="30"/>
        </w:rPr>
        <w:t>D</w:t>
      </w:r>
      <w:r>
        <w:rPr>
          <w:rFonts w:hint="eastAsia" w:ascii="Times New Roman" w:hAnsi="Times New Roman" w:eastAsia="仿宋_GB2312"/>
          <w:sz w:val="30"/>
          <w:szCs w:val="30"/>
        </w:rPr>
        <w:t>的除外）。成交量低于主做市服务平均成交量</w:t>
      </w:r>
      <w:r>
        <w:rPr>
          <w:rFonts w:ascii="Times New Roman" w:hAnsi="Times New Roman" w:eastAsia="仿宋_GB2312"/>
          <w:sz w:val="30"/>
          <w:szCs w:val="30"/>
        </w:rPr>
        <w:t>50%</w:t>
      </w:r>
      <w:r>
        <w:rPr>
          <w:rFonts w:hint="eastAsia" w:ascii="Times New Roman" w:hAnsi="Times New Roman" w:eastAsia="仿宋_GB2312"/>
          <w:sz w:val="30"/>
          <w:szCs w:val="30"/>
        </w:rPr>
        <w:t>的，评价结果下调一档（评价为</w:t>
      </w:r>
      <w:r>
        <w:rPr>
          <w:rFonts w:ascii="Times New Roman" w:hAnsi="Times New Roman" w:eastAsia="仿宋_GB2312"/>
          <w:sz w:val="30"/>
          <w:szCs w:val="30"/>
        </w:rPr>
        <w:t>D</w:t>
      </w:r>
      <w:r>
        <w:rPr>
          <w:rFonts w:hint="eastAsia" w:ascii="Times New Roman" w:hAnsi="Times New Roman" w:eastAsia="仿宋_GB2312"/>
          <w:sz w:val="30"/>
          <w:szCs w:val="30"/>
        </w:rPr>
        <w:t>的除外）。</w:t>
      </w:r>
    </w:p>
    <w:p>
      <w:pPr>
        <w:widowControl/>
        <w:adjustRightInd w:val="0"/>
        <w:spacing w:line="600" w:lineRule="exact"/>
        <w:ind w:firstLine="600" w:firstLineChars="200"/>
        <w:contextualSpacing/>
        <w:rPr>
          <w:rFonts w:ascii="Times New Roman" w:hAnsi="Times New Roman" w:eastAsia="仿宋_GB2312"/>
          <w:sz w:val="30"/>
          <w:szCs w:val="30"/>
        </w:rPr>
      </w:pPr>
      <w:r>
        <w:rPr>
          <w:rFonts w:hint="eastAsia" w:ascii="Times New Roman" w:hAnsi="Times New Roman" w:eastAsia="仿宋_GB2312"/>
          <w:sz w:val="30"/>
          <w:szCs w:val="30"/>
        </w:rPr>
        <w:t>第五，主做市商提供主做市服务满一个完整月度的，月度评价按净申购量调整。净申购量大于等于2000万份或净申购金额大于等于2000万元，且净申购量达到主做市服务平均净申购量</w:t>
      </w:r>
      <w:r>
        <w:rPr>
          <w:rFonts w:ascii="Times New Roman" w:hAnsi="Times New Roman" w:eastAsia="仿宋_GB2312"/>
          <w:sz w:val="30"/>
          <w:szCs w:val="30"/>
        </w:rPr>
        <w:t>150%</w:t>
      </w:r>
      <w:r>
        <w:rPr>
          <w:rFonts w:hint="eastAsia" w:ascii="Times New Roman" w:hAnsi="Times New Roman" w:eastAsia="仿宋_GB2312"/>
          <w:sz w:val="30"/>
          <w:szCs w:val="30"/>
        </w:rPr>
        <w:t>的，评价结果上调一档（评价最高为AA,评价为D的不予上调）。其中，净申购量=max(申购量-赎回量, 0)。</w:t>
      </w:r>
    </w:p>
    <w:p>
      <w:pPr>
        <w:widowControl/>
        <w:adjustRightInd w:val="0"/>
        <w:spacing w:line="600" w:lineRule="exact"/>
        <w:ind w:left="420" w:firstLine="180" w:firstLineChars="60"/>
        <w:contextualSpacing/>
        <w:rPr>
          <w:rFonts w:ascii="Times New Roman" w:hAnsi="Times New Roman" w:eastAsia="仿宋_GB2312"/>
          <w:sz w:val="30"/>
          <w:szCs w:val="30"/>
        </w:rPr>
      </w:pPr>
      <w:r>
        <w:rPr>
          <w:rFonts w:ascii="Times New Roman" w:hAnsi="Times New Roman" w:eastAsia="仿宋_GB2312"/>
          <w:sz w:val="30"/>
          <w:szCs w:val="30"/>
        </w:rPr>
        <w:t>2</w:t>
      </w:r>
      <w:r>
        <w:rPr>
          <w:rFonts w:hint="eastAsia" w:ascii="Times New Roman" w:hAnsi="Times New Roman" w:eastAsia="仿宋_GB2312"/>
          <w:sz w:val="30"/>
          <w:szCs w:val="30"/>
        </w:rPr>
        <w:t>、一般做市服务标准</w:t>
      </w:r>
    </w:p>
    <w:p>
      <w:pPr>
        <w:widowControl/>
        <w:spacing w:line="600" w:lineRule="exact"/>
        <w:ind w:firstLine="600" w:firstLineChars="200"/>
        <w:rPr>
          <w:rFonts w:ascii="仿宋_GB2312" w:eastAsia="仿宋_GB2312"/>
          <w:sz w:val="30"/>
          <w:szCs w:val="30"/>
        </w:rPr>
      </w:pPr>
      <w:r>
        <w:rPr>
          <w:rFonts w:hint="eastAsia" w:ascii="Times New Roman" w:hAnsi="Times New Roman" w:eastAsia="仿宋_GB2312"/>
          <w:sz w:val="30"/>
          <w:szCs w:val="30"/>
        </w:rPr>
        <w:t>本所根据时间加权报价差、连续竞价有效参与率等评价指标，对主做市商为基金产品提供一般做市服务，或一般做市商为基金产品提供一般做市服务情况，按基金产品进行月度评价，分为</w:t>
      </w:r>
      <w:r>
        <w:rPr>
          <w:rFonts w:ascii="Times New Roman" w:hAnsi="Times New Roman" w:eastAsia="仿宋_GB2312"/>
          <w:sz w:val="30"/>
          <w:szCs w:val="30"/>
        </w:rPr>
        <w:t>A</w:t>
      </w:r>
      <w:r>
        <w:rPr>
          <w:rFonts w:hint="eastAsia" w:ascii="Times New Roman" w:hAnsi="Times New Roman" w:eastAsia="仿宋_GB2312"/>
          <w:sz w:val="30"/>
          <w:szCs w:val="30"/>
        </w:rPr>
        <w:t>、</w:t>
      </w:r>
      <w:r>
        <w:rPr>
          <w:rFonts w:ascii="Times New Roman" w:hAnsi="Times New Roman" w:eastAsia="仿宋_GB2312"/>
          <w:sz w:val="30"/>
          <w:szCs w:val="30"/>
        </w:rPr>
        <w:t>B</w:t>
      </w:r>
      <w:r>
        <w:rPr>
          <w:rFonts w:hint="eastAsia" w:ascii="Times New Roman" w:hAnsi="Times New Roman" w:eastAsia="仿宋_GB2312"/>
          <w:sz w:val="30"/>
          <w:szCs w:val="30"/>
        </w:rPr>
        <w:t>、</w:t>
      </w:r>
      <w:r>
        <w:rPr>
          <w:rFonts w:ascii="Times New Roman" w:hAnsi="Times New Roman" w:eastAsia="仿宋_GB2312"/>
          <w:sz w:val="30"/>
          <w:szCs w:val="30"/>
        </w:rPr>
        <w:t>C</w:t>
      </w:r>
      <w:r>
        <w:rPr>
          <w:rFonts w:hint="eastAsia" w:ascii="Times New Roman" w:hAnsi="Times New Roman" w:eastAsia="仿宋_GB2312"/>
          <w:sz w:val="30"/>
          <w:szCs w:val="30"/>
        </w:rPr>
        <w:t>、</w:t>
      </w:r>
      <w:r>
        <w:rPr>
          <w:rFonts w:ascii="Times New Roman" w:hAnsi="Times New Roman" w:eastAsia="仿宋_GB2312"/>
          <w:sz w:val="30"/>
          <w:szCs w:val="30"/>
        </w:rPr>
        <w:t>D</w:t>
      </w:r>
      <w:r>
        <w:rPr>
          <w:rFonts w:hint="eastAsia" w:ascii="Times New Roman" w:hAnsi="Times New Roman" w:eastAsia="仿宋_GB2312"/>
          <w:sz w:val="30"/>
          <w:szCs w:val="30"/>
        </w:rPr>
        <w:t>四档，</w:t>
      </w:r>
      <w:r>
        <w:rPr>
          <w:rFonts w:ascii="Times New Roman" w:hAnsi="Times New Roman" w:eastAsia="仿宋_GB2312"/>
          <w:sz w:val="30"/>
          <w:szCs w:val="30"/>
        </w:rPr>
        <w:t>D</w:t>
      </w:r>
      <w:r>
        <w:rPr>
          <w:rFonts w:hint="eastAsia" w:ascii="Times New Roman" w:hAnsi="Times New Roman" w:eastAsia="仿宋_GB2312"/>
          <w:sz w:val="30"/>
          <w:szCs w:val="30"/>
        </w:rPr>
        <w:t>档为不合格。具体评价步骤如下：</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第一，依据时间加权报价差和连续竞价有效参与率两项指标对特定上市基金当月度做市服务进行评价，每项指标均分为优秀、良好、合格、不合格四档（如表</w:t>
      </w:r>
      <w:r>
        <w:rPr>
          <w:rFonts w:ascii="Times New Roman" w:hAnsi="Times New Roman" w:eastAsia="仿宋_GB2312"/>
          <w:sz w:val="30"/>
          <w:szCs w:val="30"/>
        </w:rPr>
        <w:t>2</w:t>
      </w:r>
      <w:r>
        <w:rPr>
          <w:rFonts w:hint="eastAsia" w:ascii="Times New Roman" w:hAnsi="Times New Roman" w:eastAsia="仿宋_GB2312"/>
          <w:sz w:val="30"/>
          <w:szCs w:val="30"/>
        </w:rPr>
        <w:t>所示）。</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第二，根据时间加权报价差和连续竞价有效参与率两项指标的评价结果，得到特定基金当月度做市服务评价（如表</w:t>
      </w:r>
      <w:r>
        <w:rPr>
          <w:rFonts w:ascii="Times New Roman" w:hAnsi="Times New Roman" w:eastAsia="仿宋_GB2312"/>
          <w:sz w:val="30"/>
          <w:szCs w:val="30"/>
        </w:rPr>
        <w:t>3</w:t>
      </w:r>
      <w:r>
        <w:rPr>
          <w:rFonts w:hint="eastAsia" w:ascii="Times New Roman" w:hAnsi="Times New Roman" w:eastAsia="仿宋_GB2312"/>
          <w:sz w:val="30"/>
          <w:szCs w:val="30"/>
        </w:rPr>
        <w:t>所示）。</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第三，在考评周期内，若做市商特定基金做市服务出现下列情形之一的，则该做市商该产品的月度评价为</w:t>
      </w:r>
      <w:r>
        <w:rPr>
          <w:rFonts w:ascii="Times New Roman" w:hAnsi="Times New Roman" w:eastAsia="仿宋_GB2312"/>
          <w:sz w:val="30"/>
          <w:szCs w:val="30"/>
        </w:rPr>
        <w:t>D</w:t>
      </w:r>
      <w:r>
        <w:rPr>
          <w:rFonts w:hint="eastAsia" w:ascii="Times New Roman" w:hAnsi="Times New Roman" w:eastAsia="仿宋_GB2312"/>
          <w:sz w:val="30"/>
          <w:szCs w:val="30"/>
        </w:rPr>
        <w:t>：</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1</w:t>
      </w:r>
      <w:r>
        <w:rPr>
          <w:rFonts w:hint="eastAsia" w:ascii="Times New Roman" w:hAnsi="Times New Roman" w:eastAsia="仿宋_GB2312"/>
          <w:sz w:val="30"/>
          <w:szCs w:val="30"/>
        </w:rPr>
        <w:t>）未达到最小平均每笔申报金额；</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2</w:t>
      </w:r>
      <w:r>
        <w:rPr>
          <w:rFonts w:hint="eastAsia" w:ascii="Times New Roman" w:hAnsi="Times New Roman" w:eastAsia="仿宋_GB2312"/>
          <w:sz w:val="30"/>
          <w:szCs w:val="30"/>
        </w:rPr>
        <w:t>）未达到最低集合竞价参与率；</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3</w:t>
      </w:r>
      <w:r>
        <w:rPr>
          <w:rFonts w:hint="eastAsia" w:ascii="Times New Roman" w:hAnsi="Times New Roman" w:eastAsia="仿宋_GB2312"/>
          <w:sz w:val="30"/>
          <w:szCs w:val="30"/>
        </w:rPr>
        <w:t>）未达到最低连续竞价参与率。</w:t>
      </w:r>
    </w:p>
    <w:p>
      <w:pPr>
        <w:widowControl/>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（二）主做市商年度综合评价</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根据主做市商为基金产品提供主做市服务的月度评价情况，进行主做市商年度综合评价。主做市商为基金产品提供一般做市服务情况不纳入主做市商年度综合评价。具体评价步骤如下：</w:t>
      </w:r>
    </w:p>
    <w:p>
      <w:pPr>
        <w:spacing w:line="600" w:lineRule="exact"/>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第一，主做市商为多个基金产品提供主做市服务的，将各月度评价按照表</w:t>
      </w:r>
      <w:r>
        <w:rPr>
          <w:rFonts w:ascii="Times New Roman" w:hAnsi="Times New Roman" w:eastAsia="仿宋_GB2312"/>
          <w:sz w:val="30"/>
          <w:szCs w:val="30"/>
        </w:rPr>
        <w:t>4</w:t>
      </w:r>
      <w:r>
        <w:rPr>
          <w:rFonts w:hint="eastAsia" w:ascii="Times New Roman" w:hAnsi="Times New Roman" w:eastAsia="仿宋_GB2312"/>
          <w:sz w:val="30"/>
          <w:szCs w:val="30"/>
        </w:rPr>
        <w:t>中的对应关系转换为评分，加总后得到年度总分。</w:t>
      </w:r>
    </w:p>
    <w:p>
      <w:pPr>
        <w:spacing w:line="600" w:lineRule="exact"/>
        <w:ind w:firstLine="363"/>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表4：做市服务评价赋值</w:t>
      </w:r>
    </w:p>
    <w:tbl>
      <w:tblPr>
        <w:tblStyle w:val="17"/>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做市服务评价</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评分赋值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AA</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r>
    </w:tbl>
    <w:p>
      <w:pPr>
        <w:widowControl/>
        <w:adjustRightInd w:val="0"/>
        <w:spacing w:line="600" w:lineRule="exact"/>
        <w:ind w:firstLine="600" w:firstLineChars="200"/>
        <w:rPr>
          <w:rFonts w:eastAsia="仿宋_GB2312"/>
          <w:sz w:val="30"/>
          <w:szCs w:val="30"/>
        </w:rPr>
      </w:pPr>
      <w:r>
        <w:rPr>
          <w:rFonts w:hint="eastAsia" w:ascii="仿宋_GB2312" w:hAnsi="仿宋" w:eastAsia="仿宋_GB2312"/>
          <w:sz w:val="30"/>
          <w:szCs w:val="30"/>
        </w:rPr>
        <w:t>第二，根据公募REITs做市评价，调高年度总分。对提供主做市服务的特定公募REITs，每次标的月度做市评价达到A，年度总分可增加1分; 每次达到AA，年度总分可增加2分。</w:t>
      </w:r>
    </w:p>
    <w:p>
      <w:pPr>
        <w:ind w:firstLine="600"/>
        <w:rPr>
          <w:rFonts w:ascii="仿宋_GB2312" w:eastAsia="仿宋_GB2312"/>
          <w:sz w:val="30"/>
          <w:szCs w:val="30"/>
        </w:rPr>
      </w:pPr>
      <w:r>
        <w:rPr>
          <w:rFonts w:hint="eastAsia" w:ascii="仿宋_GB2312" w:hAnsi="仿宋" w:eastAsia="仿宋_GB2312"/>
          <w:sz w:val="30"/>
          <w:szCs w:val="30"/>
        </w:rPr>
        <w:t>第三，根据</w:t>
      </w:r>
      <w:r>
        <w:rPr>
          <w:rFonts w:hint="eastAsia" w:ascii="仿宋_GB2312" w:eastAsia="仿宋_GB2312"/>
          <w:sz w:val="30"/>
          <w:szCs w:val="30"/>
        </w:rPr>
        <w:t>债券ETF</w:t>
      </w:r>
      <w:r>
        <w:rPr>
          <w:rFonts w:hint="eastAsia" w:ascii="仿宋_GB2312" w:hAnsi="仿宋" w:eastAsia="仿宋_GB2312"/>
          <w:sz w:val="30"/>
          <w:szCs w:val="30"/>
        </w:rPr>
        <w:t>做市评价，调高年度总分。</w:t>
      </w:r>
      <w:r>
        <w:rPr>
          <w:rFonts w:hint="eastAsia" w:ascii="仿宋_GB2312" w:eastAsia="仿宋_GB2312"/>
          <w:sz w:val="30"/>
          <w:szCs w:val="30"/>
        </w:rPr>
        <w:t>对提供主做市服务的特定债券ETF，每次标的月度做市评价达到A，年度总分可增加1分; 每次达到AA，年度总分可增加2分。</w:t>
      </w:r>
    </w:p>
    <w:p>
      <w:pPr>
        <w:spacing w:line="600" w:lineRule="exact"/>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第四，对</w:t>
      </w:r>
      <w:r>
        <w:rPr>
          <w:rFonts w:hint="eastAsia" w:ascii="仿宋_GB2312" w:hAnsi="仿宋" w:eastAsia="仿宋_GB2312"/>
          <w:sz w:val="30"/>
          <w:szCs w:val="30"/>
        </w:rPr>
        <w:t>年度总分进行</w:t>
      </w:r>
      <w:r>
        <w:rPr>
          <w:rFonts w:hint="eastAsia" w:ascii="Times New Roman" w:hAnsi="Times New Roman" w:eastAsia="仿宋_GB2312"/>
          <w:sz w:val="30"/>
          <w:szCs w:val="30"/>
        </w:rPr>
        <w:t>算术平均。</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第五，统计主做市商考评年度中提供主做市服务满120个交易日的基金总数，并求得中位数数量。主做市商提供主做市服务的基金数量达到中位数</w:t>
      </w:r>
      <w:r>
        <w:rPr>
          <w:rFonts w:ascii="Times New Roman" w:hAnsi="Times New Roman" w:eastAsia="仿宋_GB2312"/>
          <w:sz w:val="30"/>
          <w:szCs w:val="30"/>
        </w:rPr>
        <w:t>150%</w:t>
      </w:r>
      <w:r>
        <w:rPr>
          <w:rFonts w:hint="eastAsia" w:ascii="Times New Roman" w:hAnsi="Times New Roman" w:eastAsia="仿宋_GB2312"/>
          <w:sz w:val="30"/>
          <w:szCs w:val="30"/>
        </w:rPr>
        <w:t>（含）的，上调平均分</w:t>
      </w:r>
      <w:r>
        <w:rPr>
          <w:rFonts w:ascii="Times New Roman" w:hAnsi="Times New Roman" w:eastAsia="仿宋_GB2312"/>
          <w:sz w:val="30"/>
          <w:szCs w:val="30"/>
        </w:rPr>
        <w:t>1</w:t>
      </w:r>
      <w:r>
        <w:rPr>
          <w:rFonts w:hint="eastAsia" w:ascii="Times New Roman" w:hAnsi="Times New Roman" w:eastAsia="仿宋_GB2312"/>
          <w:sz w:val="30"/>
          <w:szCs w:val="30"/>
        </w:rPr>
        <w:t>分（最高到7 分，原有评分低于</w:t>
      </w:r>
      <w:r>
        <w:rPr>
          <w:rFonts w:ascii="Times New Roman" w:hAnsi="Times New Roman" w:eastAsia="仿宋_GB2312"/>
          <w:sz w:val="30"/>
          <w:szCs w:val="30"/>
        </w:rPr>
        <w:t>1.0</w:t>
      </w:r>
      <w:r>
        <w:rPr>
          <w:rFonts w:hint="eastAsia" w:ascii="Times New Roman" w:hAnsi="Times New Roman" w:eastAsia="仿宋_GB2312"/>
          <w:sz w:val="30"/>
          <w:szCs w:val="30"/>
        </w:rPr>
        <w:t xml:space="preserve">的不予上调）；不到中位数30 </w:t>
      </w:r>
      <w:r>
        <w:rPr>
          <w:rFonts w:ascii="Times New Roman" w:hAnsi="Times New Roman" w:eastAsia="仿宋_GB2312"/>
          <w:sz w:val="30"/>
          <w:szCs w:val="30"/>
        </w:rPr>
        <w:t>%</w:t>
      </w:r>
      <w:r>
        <w:rPr>
          <w:rFonts w:hint="eastAsia" w:ascii="Times New Roman" w:hAnsi="Times New Roman" w:eastAsia="仿宋_GB2312"/>
          <w:sz w:val="30"/>
          <w:szCs w:val="30"/>
        </w:rPr>
        <w:t>（不含）的，下调平均分</w:t>
      </w:r>
      <w:r>
        <w:rPr>
          <w:rFonts w:ascii="Times New Roman" w:hAnsi="Times New Roman" w:eastAsia="仿宋_GB2312"/>
          <w:sz w:val="30"/>
          <w:szCs w:val="30"/>
        </w:rPr>
        <w:t>1</w:t>
      </w:r>
      <w:r>
        <w:rPr>
          <w:rFonts w:hint="eastAsia" w:ascii="Times New Roman" w:hAnsi="Times New Roman" w:eastAsia="仿宋_GB2312"/>
          <w:sz w:val="30"/>
          <w:szCs w:val="30"/>
        </w:rPr>
        <w:t>分（原有评分低于</w:t>
      </w:r>
      <w:r>
        <w:rPr>
          <w:rFonts w:ascii="Times New Roman" w:hAnsi="Times New Roman" w:eastAsia="仿宋_GB2312"/>
          <w:sz w:val="30"/>
          <w:szCs w:val="30"/>
        </w:rPr>
        <w:t>1.0</w:t>
      </w:r>
      <w:r>
        <w:rPr>
          <w:rFonts w:hint="eastAsia" w:ascii="Times New Roman" w:hAnsi="Times New Roman" w:eastAsia="仿宋_GB2312"/>
          <w:sz w:val="30"/>
          <w:szCs w:val="30"/>
        </w:rPr>
        <w:t>的，最低调至</w:t>
      </w:r>
      <w:r>
        <w:rPr>
          <w:rFonts w:ascii="Times New Roman" w:hAnsi="Times New Roman" w:eastAsia="仿宋_GB2312"/>
          <w:sz w:val="30"/>
          <w:szCs w:val="30"/>
        </w:rPr>
        <w:t>0</w:t>
      </w:r>
      <w:r>
        <w:rPr>
          <w:rFonts w:hint="eastAsia" w:ascii="Times New Roman" w:hAnsi="Times New Roman" w:eastAsia="仿宋_GB2312"/>
          <w:sz w:val="30"/>
          <w:szCs w:val="30"/>
        </w:rPr>
        <w:t>分</w:t>
      </w:r>
      <w:r>
        <w:rPr>
          <w:rFonts w:hint="eastAsia" w:ascii="仿宋_GB2312" w:hAnsi="Times New Roman" w:eastAsia="仿宋_GB2312"/>
          <w:sz w:val="30"/>
          <w:szCs w:val="30"/>
        </w:rPr>
        <w:t>；</w:t>
      </w:r>
      <w:r>
        <w:rPr>
          <w:rFonts w:hint="eastAsia" w:ascii="仿宋_GB2312" w:hAnsi="黑体" w:eastAsia="仿宋_GB2312"/>
          <w:sz w:val="30"/>
          <w:szCs w:val="30"/>
        </w:rPr>
        <w:t>成为主做市商不满12个月的机构，其数量纳入中位数统计,但可豁免下调</w:t>
      </w:r>
      <w:r>
        <w:rPr>
          <w:rFonts w:hint="eastAsia" w:ascii="Times New Roman" w:hAnsi="Times New Roman" w:eastAsia="仿宋_GB2312"/>
          <w:sz w:val="30"/>
          <w:szCs w:val="30"/>
        </w:rPr>
        <w:t>）。得到初始年度平均分。</w:t>
      </w:r>
    </w:p>
    <w:p>
      <w:pPr>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第六，计算调整后年度平均分。豁免债券ETF和货币ETF的考评，其他步骤不变，按照第一到第五步进行计算。得到调整后年度平均分。</w:t>
      </w:r>
    </w:p>
    <w:p>
      <w:pPr>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第七，比较初始年度平均分和调整后年度平均分：若前者分数更高，将前者作为年度综合评分；反之将后者作为年度综合评分。</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第八，按照表</w:t>
      </w:r>
      <w:r>
        <w:rPr>
          <w:rFonts w:ascii="Times New Roman" w:hAnsi="Times New Roman" w:eastAsia="仿宋_GB2312"/>
          <w:sz w:val="30"/>
          <w:szCs w:val="30"/>
        </w:rPr>
        <w:t>5</w:t>
      </w:r>
      <w:r>
        <w:rPr>
          <w:rFonts w:hint="eastAsia" w:ascii="Times New Roman" w:hAnsi="Times New Roman" w:eastAsia="仿宋_GB2312"/>
          <w:sz w:val="30"/>
          <w:szCs w:val="30"/>
        </w:rPr>
        <w:t>中的对应关系，将年度综合评分转换为综合评价，分为</w:t>
      </w:r>
      <w:r>
        <w:rPr>
          <w:rFonts w:ascii="Times New Roman" w:hAnsi="Times New Roman" w:eastAsia="仿宋_GB2312"/>
          <w:sz w:val="30"/>
          <w:szCs w:val="30"/>
        </w:rPr>
        <w:t>AA</w:t>
      </w:r>
      <w:r>
        <w:rPr>
          <w:rFonts w:hint="eastAsia" w:ascii="Times New Roman" w:hAnsi="Times New Roman" w:eastAsia="仿宋_GB2312"/>
          <w:sz w:val="30"/>
          <w:szCs w:val="30"/>
        </w:rPr>
        <w:t>、</w:t>
      </w:r>
      <w:r>
        <w:rPr>
          <w:rFonts w:ascii="Times New Roman" w:hAnsi="Times New Roman" w:eastAsia="仿宋_GB2312"/>
          <w:sz w:val="30"/>
          <w:szCs w:val="30"/>
        </w:rPr>
        <w:t>A</w:t>
      </w:r>
      <w:r>
        <w:rPr>
          <w:rFonts w:hint="eastAsia" w:ascii="Times New Roman" w:hAnsi="Times New Roman" w:eastAsia="仿宋_GB2312"/>
          <w:sz w:val="30"/>
          <w:szCs w:val="30"/>
        </w:rPr>
        <w:t>、</w:t>
      </w:r>
      <w:r>
        <w:rPr>
          <w:rFonts w:ascii="Times New Roman" w:hAnsi="Times New Roman" w:eastAsia="仿宋_GB2312"/>
          <w:sz w:val="30"/>
          <w:szCs w:val="30"/>
        </w:rPr>
        <w:t>B</w:t>
      </w:r>
      <w:r>
        <w:rPr>
          <w:rFonts w:hint="eastAsia" w:ascii="Times New Roman" w:hAnsi="Times New Roman" w:eastAsia="仿宋_GB2312"/>
          <w:sz w:val="30"/>
          <w:szCs w:val="30"/>
        </w:rPr>
        <w:t>、</w:t>
      </w:r>
      <w:r>
        <w:rPr>
          <w:rFonts w:ascii="Times New Roman" w:hAnsi="Times New Roman" w:eastAsia="仿宋_GB2312"/>
          <w:sz w:val="30"/>
          <w:szCs w:val="30"/>
        </w:rPr>
        <w:t>C</w:t>
      </w:r>
      <w:r>
        <w:rPr>
          <w:rFonts w:hint="eastAsia" w:ascii="Times New Roman" w:hAnsi="Times New Roman" w:eastAsia="仿宋_GB2312"/>
          <w:sz w:val="30"/>
          <w:szCs w:val="30"/>
        </w:rPr>
        <w:t>、</w:t>
      </w:r>
      <w:r>
        <w:rPr>
          <w:rFonts w:ascii="Times New Roman" w:hAnsi="Times New Roman" w:eastAsia="仿宋_GB2312"/>
          <w:sz w:val="30"/>
          <w:szCs w:val="30"/>
        </w:rPr>
        <w:t>D</w:t>
      </w:r>
      <w:r>
        <w:rPr>
          <w:rFonts w:hint="eastAsia" w:ascii="Times New Roman" w:hAnsi="Times New Roman" w:eastAsia="仿宋_GB2312"/>
          <w:sz w:val="30"/>
          <w:szCs w:val="30"/>
        </w:rPr>
        <w:t>五档。</w:t>
      </w:r>
    </w:p>
    <w:p>
      <w:pPr>
        <w:spacing w:line="600" w:lineRule="exact"/>
        <w:ind w:firstLine="363"/>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表5：主做市商年度评分转换评价</w:t>
      </w:r>
    </w:p>
    <w:tbl>
      <w:tblPr>
        <w:tblStyle w:val="17"/>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年度综合评分</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做市服务评价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[3.75,7.0]</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[2.75,3.75)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[1.75,2.75)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[1.0,1.75)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[0,1.0)</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w:t>
            </w:r>
          </w:p>
        </w:tc>
      </w:tr>
    </w:tbl>
    <w:p>
      <w:pPr>
        <w:widowControl/>
        <w:spacing w:line="600" w:lineRule="exact"/>
        <w:ind w:firstLine="602" w:firstLineChars="200"/>
        <w:rPr>
          <w:rFonts w:ascii="Times New Roman" w:hAnsi="Times New Roman" w:eastAsia="仿宋_GB2312"/>
          <w:b/>
          <w:bCs/>
          <w:sz w:val="30"/>
          <w:szCs w:val="30"/>
        </w:rPr>
      </w:pPr>
    </w:p>
    <w:p>
      <w:pPr>
        <w:widowControl/>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（三）一般做市商年度综合评价</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根据一般做市商为基金产品提供一般做市服务的月度评价情况，进行年度综合评价。具体评价步骤如下：</w:t>
      </w:r>
    </w:p>
    <w:p>
      <w:pPr>
        <w:spacing w:line="600" w:lineRule="exact"/>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第一，一般做市商为多个基金产品提供一般做市服务的，将各月度评价按照表6中的对应关系转换为评分，进行算术平均，得到年度综合评分。</w:t>
      </w:r>
    </w:p>
    <w:p>
      <w:pPr>
        <w:spacing w:line="600" w:lineRule="exact"/>
        <w:ind w:firstLine="363"/>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表6：做市服务评价赋值</w:t>
      </w:r>
    </w:p>
    <w:tbl>
      <w:tblPr>
        <w:tblStyle w:val="17"/>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做市服务评价</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评分赋值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r>
    </w:tbl>
    <w:p>
      <w:pPr>
        <w:spacing w:beforeLines="100" w:line="600" w:lineRule="exact"/>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第二，按照表7中的对应关系，将年度综合评分转换为综合评价，分为</w:t>
      </w:r>
      <w:r>
        <w:rPr>
          <w:rFonts w:ascii="Times New Roman" w:hAnsi="Times New Roman" w:eastAsia="仿宋_GB2312"/>
          <w:sz w:val="30"/>
          <w:szCs w:val="30"/>
        </w:rPr>
        <w:t>A</w:t>
      </w:r>
      <w:r>
        <w:rPr>
          <w:rFonts w:hint="eastAsia" w:ascii="Times New Roman" w:hAnsi="Times New Roman" w:eastAsia="仿宋_GB2312"/>
          <w:sz w:val="30"/>
          <w:szCs w:val="30"/>
        </w:rPr>
        <w:t>、</w:t>
      </w:r>
      <w:r>
        <w:rPr>
          <w:rFonts w:ascii="Times New Roman" w:hAnsi="Times New Roman" w:eastAsia="仿宋_GB2312"/>
          <w:sz w:val="30"/>
          <w:szCs w:val="30"/>
        </w:rPr>
        <w:t>B</w:t>
      </w:r>
      <w:r>
        <w:rPr>
          <w:rFonts w:hint="eastAsia" w:ascii="Times New Roman" w:hAnsi="Times New Roman" w:eastAsia="仿宋_GB2312"/>
          <w:sz w:val="30"/>
          <w:szCs w:val="30"/>
        </w:rPr>
        <w:t>、</w:t>
      </w:r>
      <w:r>
        <w:rPr>
          <w:rFonts w:ascii="Times New Roman" w:hAnsi="Times New Roman" w:eastAsia="仿宋_GB2312"/>
          <w:sz w:val="30"/>
          <w:szCs w:val="30"/>
        </w:rPr>
        <w:t>C</w:t>
      </w:r>
      <w:r>
        <w:rPr>
          <w:rFonts w:hint="eastAsia" w:ascii="Times New Roman" w:hAnsi="Times New Roman" w:eastAsia="仿宋_GB2312"/>
          <w:sz w:val="30"/>
          <w:szCs w:val="30"/>
        </w:rPr>
        <w:t>、</w:t>
      </w:r>
      <w:r>
        <w:rPr>
          <w:rFonts w:ascii="Times New Roman" w:hAnsi="Times New Roman" w:eastAsia="仿宋_GB2312"/>
          <w:sz w:val="30"/>
          <w:szCs w:val="30"/>
        </w:rPr>
        <w:t>D</w:t>
      </w:r>
      <w:r>
        <w:rPr>
          <w:rFonts w:hint="eastAsia" w:ascii="Times New Roman" w:hAnsi="Times New Roman" w:eastAsia="仿宋_GB2312"/>
          <w:sz w:val="30"/>
          <w:szCs w:val="30"/>
        </w:rPr>
        <w:t>四档。</w:t>
      </w:r>
    </w:p>
    <w:p>
      <w:pPr>
        <w:spacing w:line="600" w:lineRule="exact"/>
        <w:ind w:firstLine="361"/>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表7：一般做市商年度评分转换评价</w:t>
      </w:r>
    </w:p>
    <w:tbl>
      <w:tblPr>
        <w:tblStyle w:val="17"/>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年度综合评分</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做市服务评价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[2.75，3.0]</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[1.75,2.75)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[1.0,1.75)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[0,1.0)</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w:t>
            </w:r>
          </w:p>
        </w:tc>
      </w:tr>
    </w:tbl>
    <w:p>
      <w:pPr>
        <w:widowControl/>
        <w:spacing w:line="600" w:lineRule="exact"/>
        <w:rPr>
          <w:rFonts w:ascii="仿宋_GB2312" w:hAnsi="仿宋_GB2312" w:eastAsia="仿宋_GB2312" w:cs="仿宋_GB2312"/>
          <w:sz w:val="24"/>
          <w:szCs w:val="24"/>
        </w:rPr>
      </w:pPr>
    </w:p>
    <w:p>
      <w:pPr>
        <w:pStyle w:val="3"/>
        <w:spacing w:before="156" w:line="600" w:lineRule="exact"/>
        <w:ind w:firstLine="562"/>
        <w:rPr>
          <w:rFonts w:ascii="仿宋_GB2312" w:hAnsi="黑体" w:eastAsia="仿宋_GB2312"/>
          <w:kern w:val="44"/>
          <w:sz w:val="30"/>
          <w:szCs w:val="30"/>
        </w:rPr>
      </w:pPr>
      <w:bookmarkStart w:id="90" w:name="_Toc120180545"/>
      <w:bookmarkStart w:id="91" w:name="_Toc12472"/>
      <w:bookmarkStart w:id="92" w:name="_Toc1366058598"/>
      <w:bookmarkStart w:id="93" w:name="_Toc168666334"/>
      <w:bookmarkStart w:id="94" w:name="_Toc4734"/>
      <w:r>
        <w:rPr>
          <w:rFonts w:hint="eastAsia" w:ascii="仿宋_GB2312" w:hAnsi="黑体" w:eastAsia="仿宋_GB2312"/>
          <w:bCs w:val="0"/>
          <w:kern w:val="44"/>
          <w:sz w:val="30"/>
          <w:szCs w:val="30"/>
        </w:rPr>
        <w:t>六、年度末位淘汰</w:t>
      </w:r>
      <w:bookmarkEnd w:id="90"/>
      <w:bookmarkEnd w:id="91"/>
      <w:bookmarkEnd w:id="92"/>
      <w:bookmarkEnd w:id="93"/>
      <w:bookmarkEnd w:id="94"/>
    </w:p>
    <w:p>
      <w:pPr>
        <w:widowControl/>
        <w:adjustRightInd w:val="0"/>
        <w:spacing w:beforeLines="50"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（一）主做市商</w:t>
      </w:r>
    </w:p>
    <w:p>
      <w:pPr>
        <w:pStyle w:val="35"/>
        <w:snapToGrid w:val="0"/>
        <w:spacing w:before="156" w:line="600" w:lineRule="exact"/>
        <w:ind w:firstLine="600"/>
        <w:rPr>
          <w:rFonts w:ascii="仿宋_GB2312" w:hAnsi="宋体" w:eastAsia="仿宋_GB2312" w:cs="宋体"/>
          <w:sz w:val="30"/>
          <w:szCs w:val="30"/>
        </w:rPr>
      </w:pPr>
      <w:r>
        <w:rPr>
          <w:rFonts w:hint="eastAsia" w:ascii="Times New Roman" w:hAnsi="Times New Roman" w:eastAsia="仿宋_GB2312"/>
          <w:sz w:val="30"/>
          <w:szCs w:val="30"/>
        </w:rPr>
        <w:t>成为主做市商满6个月，且年度综合评价为</w:t>
      </w:r>
      <w:r>
        <w:rPr>
          <w:rFonts w:ascii="Times New Roman" w:hAnsi="Times New Roman" w:eastAsia="仿宋_GB2312"/>
          <w:sz w:val="30"/>
          <w:szCs w:val="30"/>
        </w:rPr>
        <w:t>D</w:t>
      </w:r>
      <w:r>
        <w:rPr>
          <w:rFonts w:hint="eastAsia" w:ascii="Times New Roman" w:hAnsi="Times New Roman" w:eastAsia="仿宋_GB2312"/>
          <w:sz w:val="30"/>
          <w:szCs w:val="30"/>
        </w:rPr>
        <w:t>；或者年度综合考评为</w:t>
      </w:r>
      <w:r>
        <w:rPr>
          <w:rFonts w:ascii="Times New Roman" w:hAnsi="Times New Roman" w:eastAsia="仿宋_GB2312"/>
          <w:sz w:val="30"/>
          <w:szCs w:val="30"/>
        </w:rPr>
        <w:t>C</w:t>
      </w:r>
      <w:r>
        <w:rPr>
          <w:rFonts w:hint="eastAsia" w:ascii="Times New Roman" w:hAnsi="Times New Roman" w:eastAsia="仿宋_GB2312"/>
          <w:sz w:val="30"/>
          <w:szCs w:val="30"/>
        </w:rPr>
        <w:t>且排名处于末位</w:t>
      </w:r>
      <w:r>
        <w:rPr>
          <w:rFonts w:ascii="Times New Roman" w:hAnsi="Times New Roman" w:eastAsia="仿宋_GB2312"/>
          <w:sz w:val="30"/>
          <w:szCs w:val="30"/>
        </w:rPr>
        <w:t>10%</w:t>
      </w:r>
      <w:r>
        <w:rPr>
          <w:rFonts w:hint="eastAsia" w:ascii="Times New Roman" w:hAnsi="Times New Roman" w:eastAsia="仿宋_GB2312"/>
          <w:sz w:val="30"/>
          <w:szCs w:val="30"/>
        </w:rPr>
        <w:t>的主做市商；或者</w:t>
      </w:r>
      <w:r>
        <w:rPr>
          <w:rFonts w:hint="eastAsia" w:ascii="仿宋_GB2312" w:hAnsi="宋体" w:eastAsia="仿宋_GB2312" w:cs="宋体"/>
          <w:sz w:val="30"/>
          <w:szCs w:val="30"/>
        </w:rPr>
        <w:t>超过6个月不为任何基金提供主做市服务。</w:t>
      </w:r>
    </w:p>
    <w:p>
      <w:pPr>
        <w:pStyle w:val="35"/>
        <w:snapToGrid w:val="0"/>
        <w:spacing w:before="156" w:line="600" w:lineRule="exact"/>
        <w:ind w:firstLine="600"/>
        <w:rPr>
          <w:rFonts w:ascii="仿宋_GB2312" w:hAnsi="宋体" w:eastAsia="仿宋_GB2312" w:cs="宋体"/>
          <w:sz w:val="30"/>
          <w:szCs w:val="30"/>
        </w:rPr>
      </w:pPr>
      <w:r>
        <w:rPr>
          <w:rFonts w:hint="eastAsia" w:ascii="Times New Roman" w:hAnsi="Times New Roman" w:eastAsia="仿宋_GB2312"/>
          <w:sz w:val="30"/>
          <w:szCs w:val="30"/>
        </w:rPr>
        <w:t>予以淘汰</w:t>
      </w:r>
      <w:r>
        <w:rPr>
          <w:rFonts w:hint="eastAsia" w:ascii="仿宋_GB2312" w:hAnsi="宋体" w:eastAsia="仿宋_GB2312" w:cs="宋体"/>
          <w:sz w:val="30"/>
          <w:szCs w:val="30"/>
        </w:rPr>
        <w:t>为一般做市商，且6个月内不得重新申请主做市商。</w:t>
      </w:r>
    </w:p>
    <w:p>
      <w:pPr>
        <w:widowControl/>
        <w:adjustRightInd w:val="0"/>
        <w:spacing w:beforeLines="50"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（二）一般做市商</w:t>
      </w:r>
    </w:p>
    <w:p>
      <w:pPr>
        <w:widowControl/>
        <w:adjustRightInd w:val="0"/>
        <w:spacing w:beforeLines="50"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对于一般做市商，不进行年度末位淘汰。</w:t>
      </w:r>
    </w:p>
    <w:p>
      <w:pPr>
        <w:pStyle w:val="3"/>
        <w:spacing w:before="156" w:line="600" w:lineRule="exact"/>
        <w:ind w:firstLine="562"/>
        <w:rPr>
          <w:rFonts w:ascii="仿宋_GB2312" w:hAnsi="黑体" w:eastAsia="仿宋_GB2312"/>
          <w:b w:val="0"/>
          <w:kern w:val="44"/>
          <w:sz w:val="30"/>
          <w:szCs w:val="30"/>
        </w:rPr>
      </w:pPr>
      <w:bookmarkStart w:id="95" w:name="_Toc168666335"/>
      <w:bookmarkStart w:id="96" w:name="_Toc1576850739"/>
      <w:bookmarkStart w:id="97" w:name="_Toc11292"/>
      <w:bookmarkStart w:id="98" w:name="_Toc120180546"/>
      <w:bookmarkStart w:id="99" w:name="_Toc7262"/>
      <w:r>
        <w:rPr>
          <w:rFonts w:hint="eastAsia" w:ascii="仿宋_GB2312" w:hAnsi="黑体" w:eastAsia="仿宋_GB2312"/>
          <w:kern w:val="44"/>
          <w:sz w:val="30"/>
          <w:szCs w:val="30"/>
        </w:rPr>
        <w:t>七、评价调整</w:t>
      </w:r>
      <w:bookmarkEnd w:id="95"/>
      <w:bookmarkEnd w:id="96"/>
      <w:bookmarkEnd w:id="97"/>
      <w:bookmarkEnd w:id="98"/>
      <w:bookmarkEnd w:id="99"/>
    </w:p>
    <w:p>
      <w:pPr>
        <w:widowControl/>
        <w:adjustRightInd w:val="0"/>
        <w:spacing w:beforeLines="50"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本所可根据有关规定对做市商评价结果进行调整。</w:t>
      </w:r>
    </w:p>
    <w:p>
      <w:pPr>
        <w:widowControl/>
        <w:adjustRightInd w:val="0"/>
        <w:spacing w:beforeLines="50"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（一）做市商月度评价调整</w:t>
      </w:r>
    </w:p>
    <w:p>
      <w:pPr>
        <w:ind w:firstLine="600" w:firstLineChars="200"/>
        <w:rPr>
          <w:rFonts w:ascii="仿宋_GB2312" w:hAnsi="Times New Roman" w:eastAsia="仿宋_GB2312"/>
          <w:sz w:val="28"/>
          <w:szCs w:val="28"/>
        </w:rPr>
      </w:pPr>
      <w:r>
        <w:rPr>
          <w:rFonts w:hint="eastAsia" w:ascii="Times New Roman" w:hAnsi="Times New Roman" w:eastAsia="仿宋_GB2312"/>
          <w:sz w:val="30"/>
          <w:szCs w:val="30"/>
        </w:rPr>
        <w:t>做市商月度评价周期内会员因做市业务被本所采取监管措施</w:t>
      </w:r>
      <w:r>
        <w:rPr>
          <w:rFonts w:ascii="Times New Roman" w:hAnsi="Times New Roman" w:eastAsia="仿宋_GB2312"/>
          <w:sz w:val="30"/>
          <w:szCs w:val="30"/>
        </w:rPr>
        <w:t>1</w:t>
      </w:r>
      <w:r>
        <w:rPr>
          <w:rFonts w:hint="eastAsia" w:ascii="Times New Roman" w:hAnsi="Times New Roman" w:eastAsia="仿宋_GB2312"/>
          <w:sz w:val="30"/>
          <w:szCs w:val="30"/>
        </w:rPr>
        <w:t>次的，当月</w:t>
      </w:r>
      <w:r>
        <w:rPr>
          <w:rFonts w:hint="eastAsia" w:ascii="仿宋_GB2312" w:hAnsi="Times New Roman" w:eastAsia="仿宋_GB2312"/>
          <w:sz w:val="30"/>
          <w:szCs w:val="30"/>
        </w:rPr>
        <w:t>所有月度</w:t>
      </w:r>
      <w:r>
        <w:rPr>
          <w:rFonts w:hint="eastAsia" w:ascii="Times New Roman" w:hAnsi="Times New Roman" w:eastAsia="仿宋_GB2312"/>
          <w:sz w:val="30"/>
          <w:szCs w:val="30"/>
        </w:rPr>
        <w:t>评价下调一档；</w:t>
      </w:r>
      <w:r>
        <w:rPr>
          <w:rFonts w:hint="eastAsia" w:ascii="仿宋_GB2312" w:hAnsi="宋体" w:eastAsia="仿宋_GB2312" w:cs="宋体"/>
          <w:color w:val="000000"/>
          <w:kern w:val="0"/>
          <w:sz w:val="30"/>
          <w:szCs w:val="30"/>
        </w:rPr>
        <w:t>会员</w:t>
      </w:r>
      <w:r>
        <w:rPr>
          <w:rFonts w:hint="eastAsia" w:ascii="Times New Roman" w:hAnsi="Times New Roman" w:eastAsia="仿宋_GB2312"/>
          <w:sz w:val="30"/>
          <w:szCs w:val="30"/>
        </w:rPr>
        <w:t>因做市业务被本所采取监管措施</w:t>
      </w:r>
      <w:r>
        <w:rPr>
          <w:rFonts w:ascii="Times New Roman" w:hAnsi="Times New Roman" w:eastAsia="仿宋_GB2312"/>
          <w:sz w:val="30"/>
          <w:szCs w:val="30"/>
        </w:rPr>
        <w:t>2</w:t>
      </w:r>
      <w:r>
        <w:rPr>
          <w:rFonts w:hint="eastAsia" w:ascii="Times New Roman" w:hAnsi="Times New Roman" w:eastAsia="仿宋_GB2312"/>
          <w:sz w:val="30"/>
          <w:szCs w:val="30"/>
        </w:rPr>
        <w:t>次及以上的，当月</w:t>
      </w:r>
      <w:r>
        <w:rPr>
          <w:rFonts w:hint="eastAsia" w:ascii="仿宋_GB2312" w:hAnsi="Times New Roman" w:eastAsia="仿宋_GB2312"/>
          <w:sz w:val="30"/>
          <w:szCs w:val="30"/>
        </w:rPr>
        <w:t>所有月度</w:t>
      </w:r>
      <w:r>
        <w:rPr>
          <w:rFonts w:hint="eastAsia" w:ascii="Times New Roman" w:hAnsi="Times New Roman" w:eastAsia="仿宋_GB2312"/>
          <w:sz w:val="30"/>
          <w:szCs w:val="30"/>
        </w:rPr>
        <w:t>评价下调至</w:t>
      </w:r>
      <w:r>
        <w:rPr>
          <w:rFonts w:ascii="Times New Roman" w:hAnsi="Times New Roman" w:eastAsia="仿宋_GB2312"/>
          <w:sz w:val="30"/>
          <w:szCs w:val="30"/>
        </w:rPr>
        <w:t>D</w:t>
      </w:r>
      <w:r>
        <w:rPr>
          <w:rFonts w:hint="eastAsia" w:ascii="Times New Roman" w:hAnsi="Times New Roman" w:eastAsia="仿宋_GB2312"/>
          <w:sz w:val="30"/>
          <w:szCs w:val="30"/>
        </w:rPr>
        <w:t>。</w:t>
      </w:r>
    </w:p>
    <w:p>
      <w:pPr>
        <w:widowControl/>
        <w:adjustRightInd w:val="0"/>
        <w:spacing w:beforeLines="50"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（二）做市商年度评价调整</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做市商年度评价周期内</w:t>
      </w:r>
      <w:r>
        <w:rPr>
          <w:rFonts w:hint="eastAsia" w:ascii="仿宋_GB2312" w:hAnsi="宋体" w:eastAsia="仿宋_GB2312" w:cs="宋体"/>
          <w:color w:val="000000"/>
          <w:kern w:val="0"/>
          <w:sz w:val="30"/>
          <w:szCs w:val="30"/>
        </w:rPr>
        <w:t>会员</w:t>
      </w:r>
      <w:r>
        <w:rPr>
          <w:rFonts w:hint="eastAsia" w:ascii="Times New Roman" w:hAnsi="Times New Roman" w:eastAsia="仿宋_GB2312"/>
          <w:sz w:val="30"/>
          <w:szCs w:val="30"/>
        </w:rPr>
        <w:t>因做市业务被本所采取监管措施</w:t>
      </w:r>
      <w:r>
        <w:rPr>
          <w:rFonts w:ascii="Times New Roman" w:hAnsi="Times New Roman" w:eastAsia="仿宋_GB2312"/>
          <w:sz w:val="30"/>
          <w:szCs w:val="30"/>
        </w:rPr>
        <w:t>3</w:t>
      </w:r>
      <w:r>
        <w:rPr>
          <w:rFonts w:hint="eastAsia" w:ascii="Times New Roman" w:hAnsi="Times New Roman" w:eastAsia="仿宋_GB2312"/>
          <w:sz w:val="30"/>
          <w:szCs w:val="30"/>
        </w:rPr>
        <w:t>次及以上的，当年年度综合评价为</w:t>
      </w:r>
      <w:r>
        <w:rPr>
          <w:rFonts w:ascii="Times New Roman" w:hAnsi="Times New Roman" w:eastAsia="仿宋_GB2312"/>
          <w:sz w:val="30"/>
          <w:szCs w:val="30"/>
        </w:rPr>
        <w:t>D</w:t>
      </w:r>
      <w:r>
        <w:rPr>
          <w:rFonts w:hint="eastAsia" w:ascii="Times New Roman" w:hAnsi="Times New Roman" w:eastAsia="仿宋_GB2312"/>
          <w:sz w:val="30"/>
          <w:szCs w:val="30"/>
        </w:rPr>
        <w:t>。</w:t>
      </w:r>
    </w:p>
    <w:p>
      <w:pPr>
        <w:spacing w:line="60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（三）</w:t>
      </w:r>
      <w:r>
        <w:rPr>
          <w:rFonts w:hint="eastAsia" w:ascii="Times New Roman" w:hAnsi="Times New Roman" w:eastAsia="仿宋_GB2312"/>
          <w:sz w:val="30"/>
          <w:szCs w:val="30"/>
        </w:rPr>
        <w:t>做市商因做市业务违规情节严重、受到中国证监会行政处罚或本所纪律处分的，当月</w:t>
      </w:r>
      <w:r>
        <w:rPr>
          <w:rFonts w:hint="eastAsia" w:ascii="仿宋_GB2312" w:hAnsi="Times New Roman" w:eastAsia="仿宋_GB2312"/>
          <w:sz w:val="30"/>
          <w:szCs w:val="30"/>
        </w:rPr>
        <w:t>所有月度</w:t>
      </w:r>
      <w:r>
        <w:rPr>
          <w:rFonts w:hint="eastAsia" w:ascii="Times New Roman" w:hAnsi="Times New Roman" w:eastAsia="仿宋_GB2312"/>
          <w:sz w:val="30"/>
          <w:szCs w:val="30"/>
        </w:rPr>
        <w:t>评价及年度综合评价为</w:t>
      </w:r>
      <w:r>
        <w:rPr>
          <w:rFonts w:ascii="Times New Roman" w:hAnsi="Times New Roman" w:eastAsia="仿宋_GB2312"/>
          <w:sz w:val="30"/>
          <w:szCs w:val="30"/>
        </w:rPr>
        <w:t>D</w:t>
      </w:r>
      <w:r>
        <w:rPr>
          <w:rFonts w:hint="eastAsia" w:ascii="Times New Roman" w:hAnsi="Times New Roman" w:eastAsia="仿宋_GB2312"/>
          <w:sz w:val="30"/>
          <w:szCs w:val="30"/>
        </w:rPr>
        <w:t>。</w:t>
      </w:r>
    </w:p>
    <w:p>
      <w:pPr>
        <w:pStyle w:val="3"/>
        <w:spacing w:line="600" w:lineRule="exact"/>
        <w:ind w:firstLine="562"/>
        <w:rPr>
          <w:rFonts w:ascii="仿宋_GB2312" w:hAnsi="黑体" w:eastAsia="仿宋_GB2312"/>
          <w:b w:val="0"/>
          <w:kern w:val="44"/>
          <w:sz w:val="30"/>
          <w:szCs w:val="30"/>
        </w:rPr>
      </w:pPr>
      <w:bookmarkStart w:id="100" w:name="_Toc168666336"/>
      <w:bookmarkStart w:id="101" w:name="_Toc22037"/>
      <w:bookmarkStart w:id="102" w:name="_Toc120180547"/>
      <w:bookmarkStart w:id="103" w:name="_Toc1764661464"/>
      <w:bookmarkStart w:id="104" w:name="_Toc12963"/>
      <w:r>
        <w:rPr>
          <w:rFonts w:hint="eastAsia" w:ascii="仿宋_GB2312" w:hAnsi="黑体" w:eastAsia="仿宋_GB2312"/>
          <w:kern w:val="44"/>
          <w:sz w:val="30"/>
          <w:szCs w:val="30"/>
        </w:rPr>
        <w:t>八、评价结果的通告</w:t>
      </w:r>
      <w:bookmarkEnd w:id="100"/>
      <w:bookmarkEnd w:id="101"/>
      <w:bookmarkEnd w:id="102"/>
      <w:bookmarkEnd w:id="103"/>
      <w:bookmarkEnd w:id="104"/>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本所向基金产品所属的基金管理人和相关做市商通告每月度做市服务评价结果，供其参考。本所向市场公告做市商年度综合评价结果。</w:t>
      </w:r>
    </w:p>
    <w:p>
      <w:pPr>
        <w:spacing w:line="600" w:lineRule="exact"/>
        <w:ind w:firstLine="600" w:firstLineChars="200"/>
        <w:rPr>
          <w:rFonts w:ascii="黑体" w:hAnsi="宋体" w:eastAsia="黑体" w:cs="宋体"/>
          <w:bCs/>
          <w:kern w:val="0"/>
          <w:sz w:val="30"/>
          <w:szCs w:val="30"/>
        </w:rPr>
      </w:pPr>
    </w:p>
    <w:p>
      <w:pPr>
        <w:pStyle w:val="2"/>
        <w:spacing w:before="0" w:after="0" w:line="600" w:lineRule="exact"/>
        <w:jc w:val="center"/>
        <w:rPr>
          <w:rFonts w:ascii="黑体" w:hAnsi="黑体" w:eastAsia="黑体" w:cs="宋体"/>
          <w:sz w:val="30"/>
          <w:szCs w:val="30"/>
        </w:rPr>
      </w:pPr>
      <w:bookmarkStart w:id="105" w:name="_Toc15910"/>
      <w:bookmarkStart w:id="106" w:name="_Toc724698546"/>
      <w:bookmarkStart w:id="107" w:name="_Toc17497"/>
      <w:bookmarkStart w:id="108" w:name="_Toc168666337"/>
      <w:bookmarkStart w:id="109" w:name="_Toc120180548"/>
      <w:r>
        <w:rPr>
          <w:rFonts w:hint="eastAsia" w:ascii="黑体" w:hAnsi="黑体" w:eastAsia="黑体" w:cs="宋体"/>
          <w:sz w:val="30"/>
          <w:szCs w:val="30"/>
        </w:rPr>
        <w:t>第四章  权利、激励与监督管理</w:t>
      </w:r>
      <w:bookmarkEnd w:id="105"/>
      <w:bookmarkEnd w:id="106"/>
      <w:bookmarkEnd w:id="107"/>
      <w:bookmarkEnd w:id="108"/>
      <w:bookmarkEnd w:id="109"/>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为提高做市商提供做市服务的积极性，本所在适当情形下豁免做市商义务。此外，根据主做市服务评价结果，对主做市商给予适当激励。</w:t>
      </w:r>
    </w:p>
    <w:p>
      <w:pPr>
        <w:pStyle w:val="3"/>
        <w:spacing w:before="156" w:line="600" w:lineRule="exact"/>
        <w:ind w:firstLine="562"/>
        <w:rPr>
          <w:rFonts w:ascii="仿宋_GB2312" w:hAnsi="黑体" w:eastAsia="仿宋_GB2312"/>
          <w:b w:val="0"/>
          <w:kern w:val="44"/>
          <w:sz w:val="30"/>
          <w:szCs w:val="30"/>
        </w:rPr>
      </w:pPr>
      <w:bookmarkStart w:id="110" w:name="_Toc996636349"/>
      <w:bookmarkStart w:id="111" w:name="_Toc25797"/>
      <w:bookmarkStart w:id="112" w:name="_Toc120180549"/>
      <w:bookmarkStart w:id="113" w:name="_Toc258"/>
      <w:bookmarkStart w:id="114" w:name="_Toc168666338"/>
      <w:r>
        <w:rPr>
          <w:rFonts w:hint="eastAsia" w:ascii="仿宋_GB2312" w:hAnsi="黑体" w:eastAsia="仿宋_GB2312"/>
          <w:kern w:val="44"/>
          <w:sz w:val="30"/>
          <w:szCs w:val="30"/>
        </w:rPr>
        <w:t>一、做市商报价义务豁免</w:t>
      </w:r>
      <w:bookmarkEnd w:id="110"/>
      <w:bookmarkEnd w:id="111"/>
      <w:bookmarkEnd w:id="112"/>
      <w:bookmarkEnd w:id="113"/>
      <w:bookmarkEnd w:id="114"/>
    </w:p>
    <w:p>
      <w:pPr>
        <w:widowControl/>
        <w:adjustRightInd w:val="0"/>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（一）豁免情形</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出现下列情形之一，导致做市商无法继续提供做市服务的，本所可以根据市场情况或者做市商申请，相应豁免做市商的做市义务：</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1、基金最新成交价格达到涨停或者跌停价格；</w:t>
      </w:r>
    </w:p>
    <w:p>
      <w:pPr>
        <w:widowControl/>
        <w:adjustRightInd w:val="0"/>
        <w:spacing w:line="600" w:lineRule="exact"/>
        <w:ind w:firstLine="600" w:firstLineChars="200"/>
        <w:rPr>
          <w:rFonts w:ascii="仿宋_GB2312" w:hAnsi="宋体" w:eastAsia="仿宋_GB2312" w:cs="宋体"/>
          <w:sz w:val="30"/>
          <w:szCs w:val="30"/>
        </w:rPr>
      </w:pPr>
      <w:r>
        <w:rPr>
          <w:rFonts w:hint="eastAsia" w:ascii="仿宋_GB2312" w:hAnsi="宋体" w:eastAsia="仿宋_GB2312" w:cs="宋体"/>
          <w:sz w:val="30"/>
          <w:szCs w:val="30"/>
        </w:rPr>
        <w:t>2、交易型开放式指数证券投资基金或者上市开放式基金的</w:t>
      </w:r>
      <w:r>
        <w:rPr>
          <w:rFonts w:hint="eastAsia" w:ascii="Times New Roman" w:hAnsi="Times New Roman" w:eastAsia="仿宋_GB2312"/>
          <w:sz w:val="30"/>
          <w:szCs w:val="30"/>
        </w:rPr>
        <w:t>最新成交价格较基金份额参考净值偏离幅度达到10%以上，相关基金没有基金份额参考净值的，以上一交易日基金份额净值为基础计算偏离幅度</w:t>
      </w:r>
      <w:r>
        <w:rPr>
          <w:rFonts w:hint="eastAsia" w:ascii="仿宋_GB2312" w:eastAsia="仿宋_GB2312"/>
          <w:sz w:val="30"/>
          <w:szCs w:val="30"/>
        </w:rPr>
        <w:t>；</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3、发生不可抗力、意外事件等突发性事件；</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4、发生非做市商原因导致的技术故障；</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5、做市商在非交易日进行技术系统升级，升级后首个交易日进行实盘测试；</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6、本所认可的其他情形。</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豁免情形消失后，做市商应当立即恢复相应做市服务。出现第1项和第2项规定情形的，做市商可以根据自身业务安排继续提供与市场波动方向相反的单边报价。</w:t>
      </w:r>
    </w:p>
    <w:p>
      <w:pPr>
        <w:widowControl/>
        <w:adjustRightInd w:val="0"/>
        <w:spacing w:line="600" w:lineRule="exact"/>
        <w:rPr>
          <w:rFonts w:ascii="Times New Roman" w:hAnsi="Times New Roman" w:eastAsia="仿宋_GB2312"/>
          <w:sz w:val="30"/>
          <w:szCs w:val="30"/>
        </w:rPr>
      </w:pPr>
      <w:r>
        <w:rPr>
          <w:rFonts w:hint="eastAsia" w:ascii="Times New Roman" w:hAnsi="Times New Roman" w:eastAsia="仿宋_GB2312"/>
          <w:sz w:val="30"/>
          <w:szCs w:val="30"/>
        </w:rPr>
        <w:t xml:space="preserve">   </w:t>
      </w:r>
      <w:r>
        <w:rPr>
          <w:rFonts w:hint="eastAsia" w:ascii="Times New Roman" w:hAnsi="Times New Roman" w:eastAsia="仿宋_GB2312"/>
          <w:b/>
          <w:bCs/>
          <w:sz w:val="30"/>
          <w:szCs w:val="30"/>
        </w:rPr>
        <w:t>（二）豁免申请</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在技术系统升级后首个交易日进行实盘测试需要申请豁免的，应当至少在技术系统升级前1个交易日向本所申请，且申请的豁免时长不得超过1个交易日；做市商因其他情形申请豁免的，应当在情形发生后5个交易日内向本所提交书面豁免申请并说明原因。</w:t>
      </w:r>
    </w:p>
    <w:p>
      <w:pPr>
        <w:widowControl/>
        <w:adjustRightInd w:val="0"/>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（三）考评影响</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基金做市商月度报价义务被豁免的，该月度的考评予以取消，激励标准视同月度考评结果为</w:t>
      </w:r>
      <w:r>
        <w:rPr>
          <w:rFonts w:ascii="Times New Roman" w:hAnsi="Times New Roman" w:eastAsia="仿宋_GB2312"/>
          <w:sz w:val="30"/>
          <w:szCs w:val="30"/>
        </w:rPr>
        <w:t>C</w:t>
      </w:r>
      <w:r>
        <w:rPr>
          <w:rFonts w:hint="eastAsia" w:ascii="Times New Roman" w:hAnsi="Times New Roman" w:eastAsia="仿宋_GB2312"/>
          <w:sz w:val="30"/>
          <w:szCs w:val="30"/>
        </w:rPr>
        <w:t>。特定一天报价义务被豁免的，当天的指标不纳入统计。</w:t>
      </w:r>
    </w:p>
    <w:p>
      <w:pPr>
        <w:pStyle w:val="3"/>
        <w:spacing w:line="600" w:lineRule="exact"/>
        <w:ind w:firstLine="562"/>
        <w:rPr>
          <w:rFonts w:ascii="仿宋_GB2312" w:hAnsi="黑体" w:eastAsia="仿宋_GB2312"/>
          <w:b w:val="0"/>
          <w:kern w:val="44"/>
          <w:sz w:val="30"/>
          <w:szCs w:val="30"/>
        </w:rPr>
      </w:pPr>
      <w:bookmarkStart w:id="115" w:name="_Toc168666339"/>
      <w:bookmarkStart w:id="116" w:name="_Toc14628"/>
      <w:bookmarkStart w:id="117" w:name="_Toc4249"/>
      <w:bookmarkStart w:id="118" w:name="_Toc120180550"/>
      <w:bookmarkStart w:id="119" w:name="_Toc1186209789"/>
      <w:r>
        <w:rPr>
          <w:rFonts w:hint="eastAsia" w:ascii="仿宋_GB2312" w:hAnsi="黑体" w:eastAsia="仿宋_GB2312"/>
          <w:kern w:val="44"/>
          <w:sz w:val="30"/>
          <w:szCs w:val="30"/>
        </w:rPr>
        <w:t>二、做市服务激励</w:t>
      </w:r>
      <w:bookmarkEnd w:id="115"/>
      <w:bookmarkEnd w:id="116"/>
      <w:bookmarkEnd w:id="117"/>
      <w:bookmarkEnd w:id="118"/>
      <w:bookmarkEnd w:id="119"/>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本所根据上月度特定基金主做市服务评价结果，对主做市商</w:t>
      </w:r>
      <w:r>
        <w:rPr>
          <w:rFonts w:hint="eastAsia" w:ascii="仿宋_GB2312" w:hAnsi="宋体" w:eastAsia="仿宋_GB2312" w:cs="宋体"/>
          <w:sz w:val="30"/>
          <w:szCs w:val="30"/>
        </w:rPr>
        <w:t>提供的主做市服务</w:t>
      </w:r>
      <w:r>
        <w:rPr>
          <w:rFonts w:hint="eastAsia" w:ascii="Times New Roman" w:hAnsi="Times New Roman" w:eastAsia="仿宋_GB2312"/>
          <w:sz w:val="30"/>
          <w:szCs w:val="30"/>
        </w:rPr>
        <w:t>予以适当费用减免和激励，具体标准通过做市商协议约定。</w:t>
      </w:r>
    </w:p>
    <w:p>
      <w:pPr>
        <w:pStyle w:val="3"/>
        <w:spacing w:line="600" w:lineRule="exact"/>
        <w:ind w:firstLine="562"/>
        <w:rPr>
          <w:rFonts w:ascii="仿宋_GB2312" w:hAnsi="黑体" w:eastAsia="仿宋_GB2312"/>
          <w:b w:val="0"/>
          <w:kern w:val="44"/>
          <w:sz w:val="30"/>
          <w:szCs w:val="30"/>
        </w:rPr>
      </w:pPr>
      <w:bookmarkStart w:id="120" w:name="_Toc30020"/>
      <w:bookmarkStart w:id="121" w:name="_Toc168666340"/>
      <w:bookmarkStart w:id="122" w:name="_Toc26127532"/>
      <w:bookmarkStart w:id="123" w:name="_Toc120180551"/>
      <w:bookmarkStart w:id="124" w:name="_Toc80"/>
      <w:r>
        <w:rPr>
          <w:rFonts w:hint="eastAsia" w:ascii="仿宋_GB2312" w:hAnsi="黑体" w:eastAsia="仿宋_GB2312"/>
          <w:kern w:val="44"/>
          <w:sz w:val="30"/>
          <w:szCs w:val="30"/>
        </w:rPr>
        <w:t>三、终止做市商做市服务</w:t>
      </w:r>
      <w:bookmarkEnd w:id="120"/>
      <w:bookmarkEnd w:id="121"/>
      <w:bookmarkEnd w:id="122"/>
      <w:bookmarkEnd w:id="123"/>
      <w:bookmarkEnd w:id="124"/>
    </w:p>
    <w:p>
      <w:pPr>
        <w:spacing w:line="600" w:lineRule="exact"/>
        <w:ind w:firstLine="600" w:firstLineChars="200"/>
        <w:rPr>
          <w:rFonts w:ascii="仿宋_GB2312" w:hAnsi="宋体" w:eastAsia="仿宋_GB2312" w:cs="宋体"/>
          <w:sz w:val="30"/>
          <w:szCs w:val="30"/>
        </w:rPr>
      </w:pPr>
      <w:r>
        <w:rPr>
          <w:rFonts w:hint="eastAsia" w:ascii="仿宋_GB2312" w:hAnsi="宋体" w:eastAsia="仿宋_GB2312" w:cs="宋体"/>
          <w:sz w:val="30"/>
          <w:szCs w:val="30"/>
        </w:rPr>
        <w:t>做市商有下列情形之一的，本所可以终止其为特定上市基金提供做市服务，书面通知做市商并向市场公告：</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（一）基金管理人</w:t>
      </w:r>
      <w:r>
        <w:rPr>
          <w:rFonts w:hint="eastAsia" w:ascii="Times New Roman" w:hAnsi="Times New Roman" w:eastAsia="仿宋_GB2312"/>
          <w:sz w:val="30"/>
          <w:szCs w:val="30"/>
        </w:rPr>
        <w:t>提供充分理由</w:t>
      </w:r>
      <w:r>
        <w:rPr>
          <w:rFonts w:hint="eastAsia" w:ascii="仿宋_GB2312" w:hAnsi="宋体" w:eastAsia="仿宋_GB2312" w:cs="宋体"/>
          <w:sz w:val="30"/>
          <w:szCs w:val="30"/>
        </w:rPr>
        <w:t>书面要求终止做市商为其管理的</w:t>
      </w:r>
      <w:r>
        <w:rPr>
          <w:rFonts w:hint="eastAsia" w:ascii="Times New Roman" w:hAnsi="Times New Roman" w:eastAsia="仿宋_GB2312"/>
          <w:sz w:val="30"/>
          <w:szCs w:val="30"/>
        </w:rPr>
        <w:t>基金提供做市服务的</w:t>
      </w:r>
      <w:r>
        <w:rPr>
          <w:rFonts w:hint="eastAsia" w:ascii="仿宋_GB2312" w:hAnsi="宋体" w:eastAsia="仿宋_GB2312" w:cs="宋体"/>
          <w:sz w:val="30"/>
          <w:szCs w:val="30"/>
        </w:rPr>
        <w:t>；</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 xml:space="preserve">（二）主做市商在考评年度内，为特定基金提供主做市服务或一般做市服务所获的月度评价出现三次C与三次D或更低评价的； </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（三）本所规定或者做市商协议约定的其他情形。</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做市商被本所终止为特定上市基金提供做市服务的，6个月内不得重新申请为同一上市基金提供做市服务。</w:t>
      </w:r>
    </w:p>
    <w:p>
      <w:pPr>
        <w:pStyle w:val="3"/>
        <w:spacing w:line="600" w:lineRule="exact"/>
        <w:ind w:firstLine="562"/>
        <w:rPr>
          <w:rFonts w:ascii="仿宋_GB2312" w:hAnsi="黑体" w:eastAsia="仿宋_GB2312"/>
          <w:b w:val="0"/>
          <w:kern w:val="44"/>
          <w:sz w:val="30"/>
          <w:szCs w:val="30"/>
        </w:rPr>
      </w:pPr>
      <w:bookmarkStart w:id="125" w:name="_Toc8028"/>
      <w:bookmarkStart w:id="126" w:name="_Toc120180552"/>
      <w:bookmarkStart w:id="127" w:name="_Toc94660079"/>
      <w:bookmarkStart w:id="128" w:name="_Toc168666341"/>
      <w:bookmarkStart w:id="129" w:name="_Toc18477"/>
      <w:r>
        <w:rPr>
          <w:rFonts w:hint="eastAsia" w:ascii="仿宋_GB2312" w:hAnsi="黑体" w:eastAsia="仿宋_GB2312"/>
          <w:kern w:val="44"/>
          <w:sz w:val="30"/>
          <w:szCs w:val="30"/>
        </w:rPr>
        <w:t>四、终止开展做市业务</w:t>
      </w:r>
      <w:bookmarkEnd w:id="125"/>
      <w:bookmarkEnd w:id="126"/>
      <w:bookmarkEnd w:id="127"/>
      <w:bookmarkEnd w:id="128"/>
      <w:bookmarkEnd w:id="129"/>
    </w:p>
    <w:p>
      <w:pPr>
        <w:pStyle w:val="35"/>
        <w:snapToGrid w:val="0"/>
        <w:spacing w:line="540" w:lineRule="exact"/>
        <w:ind w:firstLine="600"/>
        <w:rPr>
          <w:rFonts w:ascii="仿宋_GB2312" w:hAnsi="宋体" w:eastAsia="仿宋_GB2312" w:cs="宋体"/>
          <w:sz w:val="30"/>
          <w:szCs w:val="30"/>
        </w:rPr>
      </w:pPr>
      <w:r>
        <w:rPr>
          <w:rFonts w:hint="eastAsia" w:ascii="仿宋_GB2312" w:hAnsi="宋体" w:eastAsia="仿宋_GB2312" w:cs="宋体"/>
          <w:sz w:val="30"/>
          <w:szCs w:val="30"/>
        </w:rPr>
        <w:t>做市商有下列情形之一的，本所可以终止其开展做市业务，书面通知做市商并向市场公告：</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（一）不再符合《基金做市指引》第六条规定的条件；</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（二）超过6个月不为任何基金提供做市服务；</w:t>
      </w:r>
    </w:p>
    <w:p>
      <w:pPr>
        <w:pStyle w:val="35"/>
        <w:snapToGrid w:val="0"/>
        <w:spacing w:line="600" w:lineRule="exact"/>
        <w:ind w:firstLine="600"/>
        <w:rPr>
          <w:rFonts w:ascii="仿宋_GB2312" w:eastAsia="仿宋_GB2312"/>
          <w:sz w:val="30"/>
          <w:szCs w:val="30"/>
        </w:rPr>
      </w:pPr>
      <w:r>
        <w:rPr>
          <w:rFonts w:hint="eastAsia" w:ascii="仿宋_GB2312" w:hAnsi="宋体" w:eastAsia="仿宋_GB2312" w:cs="宋体"/>
          <w:sz w:val="30"/>
          <w:szCs w:val="30"/>
        </w:rPr>
        <w:t>（三）出现严重</w:t>
      </w:r>
      <w:r>
        <w:rPr>
          <w:rFonts w:hint="eastAsia" w:ascii="仿宋_GB2312" w:eastAsia="仿宋_GB2312"/>
          <w:sz w:val="30"/>
          <w:szCs w:val="30"/>
        </w:rPr>
        <w:t>违法违规、谋取不当利益、损害客户或基金份额持有人利益的行为；</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（四）本所规定或者做市商协议约定的其他情形。</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做市商被终止开展做市业务的，</w:t>
      </w:r>
      <w:r>
        <w:rPr>
          <w:rFonts w:ascii="仿宋_GB2312" w:hAnsi="宋体" w:eastAsia="仿宋_GB2312" w:cs="宋体"/>
          <w:sz w:val="30"/>
          <w:szCs w:val="30"/>
        </w:rPr>
        <w:t>1</w:t>
      </w:r>
      <w:r>
        <w:rPr>
          <w:rFonts w:hint="eastAsia" w:ascii="仿宋_GB2312" w:hAnsi="宋体" w:eastAsia="仿宋_GB2312" w:cs="宋体"/>
          <w:sz w:val="30"/>
          <w:szCs w:val="30"/>
        </w:rPr>
        <w:t>年内不得重新申请开展做市业务。</w:t>
      </w:r>
    </w:p>
    <w:p>
      <w:pPr>
        <w:pStyle w:val="3"/>
        <w:spacing w:line="600" w:lineRule="exact"/>
        <w:ind w:firstLine="562"/>
        <w:rPr>
          <w:rFonts w:ascii="仿宋_GB2312" w:hAnsi="黑体" w:eastAsia="仿宋_GB2312"/>
          <w:b w:val="0"/>
          <w:kern w:val="44"/>
          <w:sz w:val="30"/>
          <w:szCs w:val="30"/>
        </w:rPr>
      </w:pPr>
      <w:bookmarkStart w:id="130" w:name="_Toc1105305532"/>
      <w:bookmarkStart w:id="131" w:name="_Toc120180553"/>
      <w:bookmarkStart w:id="132" w:name="_Toc168666342"/>
      <w:bookmarkStart w:id="133" w:name="_Toc5182"/>
      <w:bookmarkStart w:id="134" w:name="_Toc10009"/>
      <w:r>
        <w:rPr>
          <w:rFonts w:hint="eastAsia" w:ascii="仿宋_GB2312" w:hAnsi="黑体" w:eastAsia="仿宋_GB2312"/>
          <w:kern w:val="44"/>
          <w:sz w:val="30"/>
          <w:szCs w:val="30"/>
        </w:rPr>
        <w:t>五、日常监管</w:t>
      </w:r>
      <w:bookmarkEnd w:id="130"/>
      <w:bookmarkEnd w:id="131"/>
      <w:bookmarkEnd w:id="132"/>
      <w:bookmarkEnd w:id="133"/>
      <w:bookmarkEnd w:id="134"/>
    </w:p>
    <w:p>
      <w:pPr>
        <w:spacing w:line="600" w:lineRule="exact"/>
        <w:ind w:firstLine="600" w:firstLineChars="200"/>
        <w:rPr>
          <w:rFonts w:ascii="仿宋_GB2312" w:hAnsi="宋体" w:eastAsia="仿宋_GB2312" w:cs="宋体"/>
          <w:sz w:val="30"/>
          <w:szCs w:val="30"/>
        </w:rPr>
      </w:pPr>
      <w:r>
        <w:rPr>
          <w:rFonts w:hint="eastAsia" w:ascii="仿宋_GB2312" w:hAnsi="宋体" w:eastAsia="仿宋_GB2312" w:cs="宋体"/>
          <w:sz w:val="30"/>
          <w:szCs w:val="30"/>
        </w:rPr>
        <w:t>本所可以对做市商的风险管理、交易行为及相关系统安全运行等情况，进行监督检查；本所可以要求做市商提供有关资料和任意一段时间内的交易记录，包括执行交易的交易员信息等；做市商对上述资料的保存期限不得少于二十年，任何人不得隐匿、伪造、篡改或者毁损。做市商应当按照本所的相关要求，进行数据报送。</w:t>
      </w:r>
    </w:p>
    <w:p>
      <w:pPr>
        <w:pStyle w:val="3"/>
        <w:spacing w:line="600" w:lineRule="exact"/>
        <w:ind w:firstLine="562"/>
        <w:rPr>
          <w:rFonts w:ascii="仿宋_GB2312" w:hAnsi="黑体" w:eastAsia="仿宋_GB2312"/>
          <w:b w:val="0"/>
          <w:kern w:val="44"/>
          <w:sz w:val="30"/>
          <w:szCs w:val="30"/>
        </w:rPr>
      </w:pPr>
      <w:bookmarkStart w:id="135" w:name="_Toc168666343"/>
      <w:bookmarkStart w:id="136" w:name="_Toc1267157706"/>
      <w:bookmarkStart w:id="137" w:name="_Toc120180554"/>
      <w:bookmarkStart w:id="138" w:name="_Toc22921"/>
      <w:bookmarkStart w:id="139" w:name="_Toc19199"/>
      <w:r>
        <w:rPr>
          <w:rFonts w:hint="eastAsia" w:ascii="仿宋_GB2312" w:hAnsi="黑体" w:eastAsia="仿宋_GB2312"/>
          <w:kern w:val="44"/>
          <w:sz w:val="30"/>
          <w:szCs w:val="30"/>
        </w:rPr>
        <w:t>六、违规处理</w:t>
      </w:r>
      <w:bookmarkEnd w:id="135"/>
      <w:bookmarkEnd w:id="136"/>
      <w:bookmarkEnd w:id="137"/>
      <w:bookmarkEnd w:id="138"/>
      <w:bookmarkEnd w:id="139"/>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做市商做市业务违反本所相关规定的，本所可以根据相关规定采取相应监管措施或实施纪律处分，并记入诚信档案；情节严重的，提请立案调查。</w:t>
      </w:r>
    </w:p>
    <w:p>
      <w:pPr>
        <w:spacing w:line="600" w:lineRule="exact"/>
        <w:ind w:firstLine="600" w:firstLineChars="200"/>
        <w:rPr>
          <w:rFonts w:ascii="Times New Roman" w:hAnsi="Times New Roman" w:eastAsia="仿宋_GB2312"/>
          <w:sz w:val="30"/>
          <w:szCs w:val="30"/>
        </w:rPr>
      </w:pPr>
    </w:p>
    <w:p>
      <w:pPr>
        <w:pStyle w:val="2"/>
        <w:spacing w:before="0" w:after="0" w:line="600" w:lineRule="exact"/>
        <w:jc w:val="center"/>
        <w:rPr>
          <w:rFonts w:ascii="黑体" w:hAnsi="宋体" w:eastAsia="黑体" w:cs="宋体"/>
          <w:bCs w:val="0"/>
          <w:kern w:val="0"/>
          <w:sz w:val="30"/>
          <w:szCs w:val="30"/>
        </w:rPr>
      </w:pPr>
      <w:bookmarkStart w:id="140" w:name="_Toc452023003"/>
      <w:bookmarkStart w:id="141" w:name="_Toc1036"/>
      <w:bookmarkStart w:id="142" w:name="_Toc168666344"/>
      <w:bookmarkStart w:id="143" w:name="_Toc120180555"/>
      <w:bookmarkStart w:id="144" w:name="_Toc4662"/>
      <w:bookmarkStart w:id="145" w:name="_Toc1263486397"/>
      <w:r>
        <w:rPr>
          <w:rFonts w:hint="eastAsia" w:ascii="黑体" w:hAnsi="宋体" w:eastAsia="黑体" w:cs="宋体"/>
          <w:bCs w:val="0"/>
          <w:kern w:val="0"/>
          <w:sz w:val="30"/>
          <w:szCs w:val="30"/>
        </w:rPr>
        <w:t>第五章  风险管理</w:t>
      </w:r>
      <w:bookmarkEnd w:id="140"/>
      <w:bookmarkEnd w:id="141"/>
      <w:bookmarkEnd w:id="142"/>
      <w:bookmarkEnd w:id="143"/>
      <w:bookmarkEnd w:id="144"/>
      <w:bookmarkEnd w:id="145"/>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做市商应当具备符合要求的技术系统、风险管理和内部控制制度、动态风险监控系统，加强对市场风险、模型风险、存货风险、做市风险、操作风险等业务风险的识别、监测和控制。</w:t>
      </w:r>
    </w:p>
    <w:p>
      <w:pPr>
        <w:pStyle w:val="3"/>
        <w:spacing w:line="600" w:lineRule="exact"/>
        <w:ind w:firstLine="562"/>
        <w:rPr>
          <w:rFonts w:ascii="仿宋_GB2312" w:hAnsi="黑体" w:eastAsia="仿宋_GB2312"/>
          <w:b w:val="0"/>
          <w:kern w:val="44"/>
          <w:sz w:val="30"/>
          <w:szCs w:val="30"/>
        </w:rPr>
      </w:pPr>
      <w:bookmarkStart w:id="146" w:name="_Toc120180556"/>
      <w:bookmarkStart w:id="147" w:name="_Toc12649"/>
      <w:bookmarkStart w:id="148" w:name="_Toc168666345"/>
      <w:bookmarkStart w:id="149" w:name="_Toc144219916"/>
      <w:bookmarkStart w:id="150" w:name="_Toc30312"/>
      <w:r>
        <w:rPr>
          <w:rFonts w:hint="eastAsia" w:ascii="仿宋_GB2312" w:hAnsi="黑体" w:eastAsia="仿宋_GB2312"/>
          <w:kern w:val="44"/>
          <w:sz w:val="30"/>
          <w:szCs w:val="30"/>
        </w:rPr>
        <w:t>一、做市业务部门风险管理机制</w:t>
      </w:r>
      <w:bookmarkEnd w:id="146"/>
      <w:bookmarkEnd w:id="147"/>
      <w:bookmarkEnd w:id="148"/>
      <w:bookmarkEnd w:id="149"/>
      <w:bookmarkEnd w:id="150"/>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（一）风险管理制度</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业务部门应当制定基金做市业务风险管理制度，内容包括但不限于基金做市业务风险管理方案、风险指标设计、风险识别与评估、风险控制与处置、定期报告机制、压力测试的情景设置和分析、风险处置流程等。</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做市业务部门应当制定基金做市业务应急预案，以应对基金做市业务中的突发事件，保障做市业务平稳开展。</w:t>
      </w:r>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（二）监控与预警</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业务部门应当科学、合理设计做市业务风险指标，并进行实时监控和预警，包括但不限于存货风险指标、流动性风险管理、自成交管理、折溢价偏离管理、申报笔数管理指标、可投资标的管理等方面；同时需要对交易员误操作风险进行有效监控与预警。</w:t>
      </w:r>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（三）内部风险报告机制</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做市业务部门应当建立做市业务的风险报告机制。报告分为定期报告和临时报告。</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定期报告由做市业务部门每日定期提交公司风险管理部。报告内容包括但不限于各项风险指标情况、做市业务规模等。</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临时报告由做市业务部门及相关职能部门在做市业务开展过程中就出现的与做市业务有关的风险事件，包括业务差错、系统运作故障、突发性的紧急事件等，按照公司内部报告制度的要求向公司提交。</w:t>
      </w:r>
    </w:p>
    <w:p>
      <w:pPr>
        <w:pStyle w:val="3"/>
        <w:spacing w:line="600" w:lineRule="exact"/>
        <w:ind w:firstLine="562"/>
        <w:rPr>
          <w:rFonts w:ascii="仿宋_GB2312" w:hAnsi="黑体" w:eastAsia="仿宋_GB2312"/>
          <w:b w:val="0"/>
          <w:kern w:val="44"/>
          <w:sz w:val="30"/>
          <w:szCs w:val="30"/>
        </w:rPr>
      </w:pPr>
      <w:bookmarkStart w:id="151" w:name="_Toc26231"/>
      <w:bookmarkStart w:id="152" w:name="_Toc2134535487"/>
      <w:bookmarkStart w:id="153" w:name="_Toc120180557"/>
      <w:bookmarkStart w:id="154" w:name="_Toc168666346"/>
      <w:bookmarkStart w:id="155" w:name="_Toc3215"/>
      <w:r>
        <w:rPr>
          <w:rFonts w:hint="eastAsia" w:ascii="仿宋_GB2312" w:hAnsi="黑体" w:eastAsia="仿宋_GB2312"/>
          <w:kern w:val="44"/>
          <w:sz w:val="30"/>
          <w:szCs w:val="30"/>
        </w:rPr>
        <w:t>二、公司层面风险管理机制</w:t>
      </w:r>
      <w:bookmarkEnd w:id="151"/>
      <w:bookmarkEnd w:id="152"/>
      <w:bookmarkEnd w:id="153"/>
      <w:bookmarkEnd w:id="154"/>
      <w:bookmarkEnd w:id="155"/>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（一）风险管理制度</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做市商应当在公司层面制定做市业务风险管理制度和流程，建立风险限额授权、风险监控、定期压力测试、风险报告等机制。</w:t>
      </w:r>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（二）风险限额授权制度</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做市商应当根据业务发展状况、资金状况以及风险控制水平等因素对做市业务进行风险限额授权，授权内容包括累计盈亏限额、</w:t>
      </w:r>
      <w:r>
        <w:rPr>
          <w:rFonts w:ascii="Times New Roman" w:hAnsi="Times New Roman" w:eastAsia="仿宋_GB2312"/>
          <w:sz w:val="30"/>
          <w:szCs w:val="30"/>
        </w:rPr>
        <w:t>VaR</w:t>
      </w:r>
      <w:r>
        <w:rPr>
          <w:rFonts w:hint="eastAsia" w:ascii="Times New Roman" w:hAnsi="Times New Roman" w:eastAsia="仿宋_GB2312"/>
          <w:sz w:val="30"/>
          <w:szCs w:val="30"/>
        </w:rPr>
        <w:t>限额、单一证券合计持仓市值占该证券总市值比限额等内容。</w:t>
      </w:r>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（三）风险监控</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在公司层面设立做市业务风险监控系统，该风险监控系统与做市业务部门的风控系统保持独立，并采用单独的模型进行风险指标监控。做市商针对做市业务每日实施独立监控，包括但不限于对库存、资金、极端情况等风险指标监控和预警，并制作风险监控日报。对于在监控中发现的超限、违规或者其他需关注的情况做出书面记录，及时处理，如有必要的应当向做市业务部门发出风险提示书，限期整改并持续跟踪。</w:t>
      </w:r>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（四）压力测试</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在公司层面对做市业务开展压力测试，以度量极端不利市场环境（即压力情景）下公司可能遭受的潜在的损失风险，并将其结果运用于公司净资本的计算和资本充足率的考量，确保在压力情景下风险可测、可控、可承受，保障公司可持续经营。</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主做市商应当建立压力测试机制，并按季度向本所提交压力测试报告。</w:t>
      </w:r>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（五）风险报告</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做市商应当按照监管部门和本所相关要求，提交做市业务相关报告。</w:t>
      </w:r>
    </w:p>
    <w:p>
      <w:pPr>
        <w:pStyle w:val="2"/>
        <w:spacing w:before="0" w:after="0" w:line="600" w:lineRule="exact"/>
        <w:jc w:val="center"/>
        <w:rPr>
          <w:rFonts w:ascii="黑体" w:hAnsi="黑体" w:eastAsia="黑体"/>
          <w:sz w:val="30"/>
          <w:szCs w:val="30"/>
        </w:rPr>
      </w:pPr>
      <w:bookmarkStart w:id="156" w:name="_Toc8656"/>
      <w:bookmarkStart w:id="157" w:name="_Toc21385"/>
      <w:bookmarkStart w:id="158" w:name="_Toc1520074223"/>
      <w:bookmarkStart w:id="159" w:name="_Toc168666347"/>
      <w:bookmarkStart w:id="160" w:name="_Toc120180558"/>
      <w:r>
        <w:rPr>
          <w:rFonts w:hint="eastAsia" w:ascii="黑体" w:hAnsi="宋体" w:eastAsia="黑体" w:cs="宋体"/>
          <w:bCs w:val="0"/>
          <w:kern w:val="0"/>
          <w:sz w:val="30"/>
          <w:szCs w:val="30"/>
        </w:rPr>
        <w:t xml:space="preserve">第六章  </w:t>
      </w:r>
      <w:r>
        <w:rPr>
          <w:rFonts w:hint="eastAsia" w:ascii="黑体" w:hAnsi="黑体" w:eastAsia="黑体"/>
          <w:sz w:val="30"/>
          <w:szCs w:val="30"/>
        </w:rPr>
        <w:t>合规和内部控制</w:t>
      </w:r>
      <w:bookmarkEnd w:id="156"/>
      <w:bookmarkEnd w:id="157"/>
      <w:bookmarkEnd w:id="158"/>
      <w:bookmarkEnd w:id="159"/>
      <w:bookmarkEnd w:id="160"/>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做市商应当建立健全内部控制制度和隔离墙管理机制，依法合规开展做市业务。</w:t>
      </w:r>
    </w:p>
    <w:p>
      <w:pPr>
        <w:pStyle w:val="3"/>
        <w:spacing w:line="600" w:lineRule="exact"/>
        <w:ind w:firstLine="562"/>
        <w:rPr>
          <w:rFonts w:ascii="仿宋_GB2312" w:hAnsi="黑体" w:eastAsia="仿宋_GB2312"/>
          <w:b w:val="0"/>
          <w:kern w:val="44"/>
          <w:sz w:val="30"/>
          <w:szCs w:val="30"/>
        </w:rPr>
      </w:pPr>
      <w:bookmarkStart w:id="161" w:name="_Toc27239"/>
      <w:bookmarkStart w:id="162" w:name="_Toc168666348"/>
      <w:bookmarkStart w:id="163" w:name="_Toc120180559"/>
      <w:bookmarkStart w:id="164" w:name="_Toc1610136221"/>
      <w:bookmarkStart w:id="165" w:name="_Toc11588"/>
      <w:r>
        <w:rPr>
          <w:rFonts w:hint="eastAsia" w:ascii="仿宋_GB2312" w:hAnsi="黑体" w:eastAsia="仿宋_GB2312"/>
          <w:kern w:val="44"/>
          <w:sz w:val="30"/>
          <w:szCs w:val="30"/>
        </w:rPr>
        <w:t>一、内部控制制度</w:t>
      </w:r>
      <w:bookmarkEnd w:id="161"/>
      <w:bookmarkEnd w:id="162"/>
      <w:bookmarkEnd w:id="163"/>
      <w:bookmarkEnd w:id="164"/>
      <w:bookmarkEnd w:id="165"/>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做市商应当建立严格的内部控制制度，对做市业务制定严格的授权管理制度和投资决策流程，建立有效的岗位分工和制衡机制，规范业务操作流程，确保研究分析、投资决策、交易执行等相关环节的独立运作。</w:t>
      </w:r>
    </w:p>
    <w:p>
      <w:pPr>
        <w:pStyle w:val="3"/>
        <w:spacing w:line="600" w:lineRule="exact"/>
        <w:ind w:firstLine="562"/>
        <w:rPr>
          <w:rFonts w:ascii="仿宋_GB2312" w:hAnsi="黑体" w:eastAsia="仿宋_GB2312"/>
          <w:b w:val="0"/>
          <w:kern w:val="44"/>
          <w:sz w:val="30"/>
          <w:szCs w:val="30"/>
        </w:rPr>
      </w:pPr>
      <w:bookmarkStart w:id="166" w:name="_Toc1103187858"/>
      <w:bookmarkStart w:id="167" w:name="_Toc11341"/>
      <w:bookmarkStart w:id="168" w:name="_Toc168666349"/>
      <w:bookmarkStart w:id="169" w:name="_Toc120180560"/>
      <w:bookmarkStart w:id="170" w:name="_Toc2355"/>
      <w:r>
        <w:rPr>
          <w:rFonts w:hint="eastAsia" w:ascii="仿宋_GB2312" w:hAnsi="黑体" w:eastAsia="仿宋_GB2312"/>
          <w:kern w:val="44"/>
          <w:sz w:val="30"/>
          <w:szCs w:val="30"/>
        </w:rPr>
        <w:t>二、业务隔离制度</w:t>
      </w:r>
      <w:bookmarkEnd w:id="166"/>
      <w:bookmarkEnd w:id="167"/>
      <w:bookmarkEnd w:id="168"/>
      <w:bookmarkEnd w:id="169"/>
      <w:bookmarkEnd w:id="170"/>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做市商应当建立风险防范与业务隔离制度，将做市业务与可能形成利益冲突或利益密切相关的自营、经纪、资产管理、投资咨询等业务在账户、资金、人员、办公场所等方面进行分开管理，有效隔离，包括：</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（一）使用专用证券账户开展做市业务；</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（二）做市业务资金与自营业务资金、客户资金严格分离，独立运作；</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（三）做市业务办公场所与其他业务办公场所应有效隔离，建议进行物理隔离、实行门禁制度；做市业务与自营、经纪、资产管理、投资咨询等部门的业务交流，建议在会议室进行，并做好相应留痕工作；</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四）做好跨墙人员管理。需要处于信息隔离墙另一侧的部门派员跨墙协作的，应当事先向合规部门申请。跨墙人员在跨墙期间不应泄漏或不当使用跨墙后知悉的未公开信息，不应获取与跨墙业务无关的未公开信息。</w:t>
      </w:r>
    </w:p>
    <w:p>
      <w:pPr>
        <w:pStyle w:val="3"/>
        <w:spacing w:line="600" w:lineRule="exact"/>
        <w:ind w:firstLine="422"/>
        <w:rPr>
          <w:rFonts w:ascii="仿宋_GB2312" w:hAnsi="黑体" w:eastAsia="仿宋_GB2312"/>
          <w:b w:val="0"/>
          <w:kern w:val="44"/>
          <w:sz w:val="30"/>
          <w:szCs w:val="30"/>
        </w:rPr>
      </w:pPr>
      <w:bookmarkStart w:id="171" w:name="_Toc18889"/>
      <w:bookmarkStart w:id="172" w:name="_Toc508"/>
      <w:bookmarkStart w:id="173" w:name="_Toc168666350"/>
      <w:bookmarkStart w:id="174" w:name="_Toc1922794448"/>
      <w:bookmarkStart w:id="175" w:name="_Toc120180561"/>
      <w:r>
        <w:rPr>
          <w:rFonts w:hint="eastAsia" w:ascii="仿宋_GB2312" w:hAnsi="黑体" w:eastAsia="仿宋_GB2312"/>
          <w:kern w:val="44"/>
          <w:sz w:val="30"/>
          <w:szCs w:val="30"/>
        </w:rPr>
        <w:t>三、禁止行为</w:t>
      </w:r>
      <w:bookmarkEnd w:id="171"/>
      <w:bookmarkEnd w:id="172"/>
      <w:bookmarkEnd w:id="173"/>
      <w:bookmarkEnd w:id="174"/>
      <w:bookmarkEnd w:id="175"/>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做市商及相关业务人员不得从事下列行为：</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（一）利用内幕信息进行投资决策和交易；</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（二）利用信息优势和资金优势，单独或者通过合谋（包括与自营的合谋），制造异常价格波动；</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（三）以不正当方式影响其他做市商做市；</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（四）与其他做市商通过串通报价或私下交换做市策略等信息谋取不正当利益；</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（五）做市业务人员通过做市业务向自身或利益相关者进行利益输送；</w:t>
      </w:r>
    </w:p>
    <w:p>
      <w:pPr>
        <w:spacing w:line="600" w:lineRule="exact"/>
        <w:ind w:firstLine="420"/>
        <w:rPr>
          <w:rFonts w:hint="eastAsia" w:ascii="Times New Roman" w:hAnsi="Times New Roman" w:eastAsia="仿宋_GB2312"/>
          <w:sz w:val="30"/>
          <w:szCs w:val="30"/>
        </w:rPr>
      </w:pPr>
      <w:r>
        <w:rPr>
          <w:rFonts w:hint="eastAsia" w:ascii="Times New Roman" w:hAnsi="Times New Roman" w:eastAsia="仿宋_GB2312"/>
          <w:sz w:val="30"/>
          <w:szCs w:val="30"/>
        </w:rPr>
        <w:t>（六）其他操纵或干扰市场，</w:t>
      </w:r>
      <w:r>
        <w:rPr>
          <w:rFonts w:hint="eastAsia" w:ascii="仿宋_GB2312" w:eastAsia="仿宋_GB2312"/>
          <w:sz w:val="30"/>
          <w:szCs w:val="30"/>
        </w:rPr>
        <w:t>损害客户或者基金份额持有人利益</w:t>
      </w:r>
      <w:r>
        <w:rPr>
          <w:rFonts w:hint="eastAsia" w:ascii="Times New Roman" w:hAnsi="Times New Roman" w:eastAsia="仿宋_GB2312"/>
          <w:sz w:val="30"/>
          <w:szCs w:val="30"/>
        </w:rPr>
        <w:t>等违法违规行为。</w:t>
      </w:r>
    </w:p>
    <w:p>
      <w:pPr>
        <w:rPr>
          <w:rFonts w:hint="eastAsia" w:ascii="Times New Roman" w:hAnsi="Times New Roman" w:eastAsia="仿宋_GB2312"/>
          <w:sz w:val="30"/>
          <w:szCs w:val="30"/>
        </w:rPr>
      </w:pPr>
      <w:r>
        <w:rPr>
          <w:rFonts w:hint="eastAsia" w:ascii="Times New Roman" w:hAnsi="Times New Roman" w:eastAsia="仿宋_GB2312"/>
          <w:sz w:val="30"/>
          <w:szCs w:val="30"/>
        </w:rPr>
        <w:br w:type="page"/>
      </w:r>
    </w:p>
    <w:p>
      <w:pPr>
        <w:pStyle w:val="3"/>
        <w:spacing w:line="600" w:lineRule="exact"/>
        <w:rPr>
          <w:rFonts w:ascii="仿宋_GB2312" w:hAnsi="黑体" w:eastAsia="仿宋_GB2312"/>
          <w:kern w:val="44"/>
          <w:sz w:val="28"/>
          <w:szCs w:val="36"/>
        </w:rPr>
      </w:pPr>
      <w:bookmarkStart w:id="176" w:name="_Toc120180562"/>
      <w:bookmarkStart w:id="177" w:name="_Toc23817"/>
      <w:bookmarkStart w:id="178" w:name="_Toc168666351"/>
      <w:bookmarkStart w:id="179" w:name="_Toc1498945149"/>
      <w:bookmarkStart w:id="180" w:name="_Toc25149"/>
      <w:r>
        <w:rPr>
          <w:rFonts w:hint="eastAsia" w:ascii="仿宋_GB2312" w:hAnsi="黑体" w:eastAsia="仿宋_GB2312"/>
          <w:kern w:val="44"/>
          <w:sz w:val="28"/>
          <w:szCs w:val="36"/>
        </w:rPr>
        <w:t>附件1：专项检查要点</w:t>
      </w:r>
      <w:bookmarkEnd w:id="176"/>
      <w:bookmarkEnd w:id="177"/>
      <w:bookmarkEnd w:id="178"/>
      <w:bookmarkEnd w:id="179"/>
      <w:bookmarkEnd w:id="180"/>
    </w:p>
    <w:p>
      <w:pPr>
        <w:snapToGrid w:val="0"/>
        <w:contextualSpacing/>
        <w:jc w:val="left"/>
        <w:rPr>
          <w:rFonts w:ascii="仿宋_GB2312" w:hAnsi="华文细黑"/>
          <w:b/>
          <w:szCs w:val="28"/>
        </w:rPr>
      </w:pPr>
    </w:p>
    <w:tbl>
      <w:tblPr>
        <w:tblStyle w:val="17"/>
        <w:tblW w:w="5000" w:type="pct"/>
        <w:tblInd w:w="0" w:type="dxa"/>
        <w:tblLayout w:type="autofit"/>
        <w:tblCellMar>
          <w:top w:w="0" w:type="dxa"/>
          <w:left w:w="108" w:type="dxa"/>
          <w:bottom w:w="0" w:type="dxa"/>
          <w:right w:w="108" w:type="dxa"/>
        </w:tblCellMar>
      </w:tblPr>
      <w:tblGrid>
        <w:gridCol w:w="1123"/>
        <w:gridCol w:w="1403"/>
        <w:gridCol w:w="5996"/>
      </w:tblGrid>
      <w:tr>
        <w:tblPrEx>
          <w:tblCellMar>
            <w:top w:w="0" w:type="dxa"/>
            <w:left w:w="108" w:type="dxa"/>
            <w:bottom w:w="0" w:type="dxa"/>
            <w:right w:w="108" w:type="dxa"/>
          </w:tblCellMar>
        </w:tblPrEx>
        <w:trPr>
          <w:trHeight w:val="720" w:hRule="atLeast"/>
        </w:trPr>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华文细黑" w:eastAsia="仿宋_GB2312"/>
                <w:sz w:val="30"/>
                <w:szCs w:val="30"/>
              </w:rPr>
              <w:t xml:space="preserve"> </w:t>
            </w:r>
            <w:r>
              <w:rPr>
                <w:rFonts w:hint="eastAsia" w:ascii="仿宋_GB2312" w:hAnsi="宋体" w:eastAsia="仿宋_GB2312" w:cs="宋体"/>
                <w:b/>
                <w:bCs/>
                <w:color w:val="000000"/>
                <w:kern w:val="0"/>
                <w:sz w:val="24"/>
                <w:szCs w:val="24"/>
              </w:rPr>
              <w:t>编号</w:t>
            </w:r>
          </w:p>
        </w:tc>
        <w:tc>
          <w:tcPr>
            <w:tcW w:w="8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评价项目</w:t>
            </w: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评价项目</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组织架构</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（1）设立独立业务团队，人员权责清晰；</w:t>
            </w:r>
          </w:p>
        </w:tc>
      </w:tr>
      <w:tr>
        <w:tblPrEx>
          <w:tblCellMar>
            <w:top w:w="0" w:type="dxa"/>
            <w:left w:w="108" w:type="dxa"/>
            <w:bottom w:w="0" w:type="dxa"/>
            <w:right w:w="108" w:type="dxa"/>
          </w:tblCellMar>
        </w:tblPrEx>
        <w:trPr>
          <w:trHeight w:val="109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（2）设立了包括交易岗、风险控制岗、技术运维岗等岗位，并建立备岗制度；</w:t>
            </w:r>
          </w:p>
        </w:tc>
      </w:tr>
      <w:tr>
        <w:tblPrEx>
          <w:tblCellMar>
            <w:top w:w="0" w:type="dxa"/>
            <w:left w:w="108" w:type="dxa"/>
            <w:bottom w:w="0" w:type="dxa"/>
            <w:right w:w="108" w:type="dxa"/>
          </w:tblCellMar>
        </w:tblPrEx>
        <w:trPr>
          <w:trHeight w:val="97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（3）明确做市业务部门与自营、风控、合规、结算等相关部门职能和责任；</w:t>
            </w:r>
          </w:p>
        </w:tc>
      </w:tr>
      <w:tr>
        <w:tblPrEx>
          <w:tblCellMar>
            <w:top w:w="0" w:type="dxa"/>
            <w:left w:w="108" w:type="dxa"/>
            <w:bottom w:w="0" w:type="dxa"/>
            <w:right w:w="108" w:type="dxa"/>
          </w:tblCellMar>
        </w:tblPrEx>
        <w:trPr>
          <w:trHeight w:val="836"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（4）做市业务与其他自营业务实现隔离；</w:t>
            </w:r>
          </w:p>
        </w:tc>
      </w:tr>
      <w:tr>
        <w:tblPrEx>
          <w:tblCellMar>
            <w:top w:w="0" w:type="dxa"/>
            <w:left w:w="108" w:type="dxa"/>
            <w:bottom w:w="0" w:type="dxa"/>
            <w:right w:w="108" w:type="dxa"/>
          </w:tblCellMar>
        </w:tblPrEx>
        <w:trPr>
          <w:trHeight w:val="836"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（5）团队成员具备相应专业背景和工作经历。</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业务相关制度方案</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（1）制定了基金做市业务实施方案, 包括业务定位、组织架构、业务决策、策略研究、系统建设、盈利分析、风险报告和压力测试机制等；</w:t>
            </w:r>
          </w:p>
        </w:tc>
      </w:tr>
      <w:tr>
        <w:tblPrEx>
          <w:tblCellMar>
            <w:top w:w="0" w:type="dxa"/>
            <w:left w:w="108" w:type="dxa"/>
            <w:bottom w:w="0" w:type="dxa"/>
            <w:right w:w="108" w:type="dxa"/>
          </w:tblCellMar>
        </w:tblPrEx>
        <w:trPr>
          <w:trHeight w:val="686"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（2）制定了业务相关内部控制制度，包括权限管理、激励与约束、资金预核算管理、内部报告和内部审计等；</w:t>
            </w:r>
          </w:p>
        </w:tc>
      </w:tr>
      <w:tr>
        <w:tblPrEx>
          <w:tblCellMar>
            <w:top w:w="0" w:type="dxa"/>
            <w:left w:w="108" w:type="dxa"/>
            <w:bottom w:w="0" w:type="dxa"/>
            <w:right w:w="108" w:type="dxa"/>
          </w:tblCellMar>
        </w:tblPrEx>
        <w:trPr>
          <w:trHeight w:val="55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（3）制定了业务相关合规、风控制度，需细化至业务层面；</w:t>
            </w:r>
          </w:p>
        </w:tc>
      </w:tr>
      <w:tr>
        <w:tblPrEx>
          <w:tblCellMar>
            <w:top w:w="0" w:type="dxa"/>
            <w:left w:w="108" w:type="dxa"/>
            <w:bottom w:w="0" w:type="dxa"/>
            <w:right w:w="108" w:type="dxa"/>
          </w:tblCellMar>
        </w:tblPrEx>
        <w:trPr>
          <w:trHeight w:val="55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（4）制定了相关业务流程，包括决策流程、操作规范、流程控制管理等。</w:t>
            </w:r>
          </w:p>
        </w:tc>
      </w:tr>
      <w:tr>
        <w:tblPrEx>
          <w:tblCellMar>
            <w:top w:w="0" w:type="dxa"/>
            <w:left w:w="108" w:type="dxa"/>
            <w:bottom w:w="0" w:type="dxa"/>
            <w:right w:w="108" w:type="dxa"/>
          </w:tblCellMar>
        </w:tblPrEx>
        <w:trPr>
          <w:trHeight w:val="83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做市经验</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（1）做市业务经验及义务履行情况；</w:t>
            </w:r>
          </w:p>
        </w:tc>
      </w:tr>
      <w:tr>
        <w:tblPrEx>
          <w:tblCellMar>
            <w:top w:w="0" w:type="dxa"/>
            <w:left w:w="108" w:type="dxa"/>
            <w:bottom w:w="0" w:type="dxa"/>
            <w:right w:w="108" w:type="dxa"/>
          </w:tblCellMar>
        </w:tblPrEx>
        <w:trPr>
          <w:trHeight w:val="841"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（2）做市期间违规情况。</w:t>
            </w:r>
          </w:p>
        </w:tc>
      </w:tr>
      <w:tr>
        <w:tblPrEx>
          <w:tblCellMar>
            <w:top w:w="0" w:type="dxa"/>
            <w:left w:w="108" w:type="dxa"/>
            <w:bottom w:w="0" w:type="dxa"/>
            <w:right w:w="108" w:type="dxa"/>
          </w:tblCellMar>
        </w:tblPrEx>
        <w:trPr>
          <w:trHeight w:val="1494" w:hRule="atLeast"/>
        </w:trPr>
        <w:tc>
          <w:tcPr>
            <w:tcW w:w="659" w:type="pct"/>
            <w:vMerge w:val="restart"/>
            <w:tcBorders>
              <w:top w:val="nil"/>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823" w:type="pct"/>
            <w:vMerge w:val="restart"/>
            <w:tcBorders>
              <w:top w:val="nil"/>
              <w:left w:val="nil"/>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做市策略</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（1）制定基金做市服务策略，涵盖定价模型、不同情况下的报价策略、对冲策略、存货管理策略等；</w:t>
            </w:r>
          </w:p>
        </w:tc>
      </w:tr>
      <w:tr>
        <w:tblPrEx>
          <w:tblCellMar>
            <w:top w:w="0" w:type="dxa"/>
            <w:left w:w="108" w:type="dxa"/>
            <w:bottom w:w="0" w:type="dxa"/>
            <w:right w:w="108" w:type="dxa"/>
          </w:tblCellMar>
        </w:tblPrEx>
        <w:trPr>
          <w:trHeight w:val="1124" w:hRule="atLeast"/>
        </w:trPr>
        <w:tc>
          <w:tcPr>
            <w:tcW w:w="659"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823" w:type="pct"/>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（2）做市策略符合合规风控要求。</w:t>
            </w:r>
          </w:p>
        </w:tc>
      </w:tr>
      <w:tr>
        <w:tblPrEx>
          <w:tblCellMar>
            <w:top w:w="0" w:type="dxa"/>
            <w:left w:w="108" w:type="dxa"/>
            <w:bottom w:w="0" w:type="dxa"/>
            <w:right w:w="108" w:type="dxa"/>
          </w:tblCellMar>
        </w:tblPrEx>
        <w:trPr>
          <w:trHeight w:val="720" w:hRule="atLeast"/>
        </w:trPr>
        <w:tc>
          <w:tcPr>
            <w:tcW w:w="65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8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交易管理</w:t>
            </w: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（1）基本交易指令、做市策略报价指令；</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（2）最大买卖价差、最小申报金额的设置；</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（3）持仓管理、订单管理、报价参数管理、报价模型管理；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（4）估值管理和估值偏离度监控；</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（5）申赎管理，包括申赎权限管理和申赎清单管理；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（6）行情数据接收管理；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（7）PBU和账户管理；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（8）盘前校验机制；</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（9）交易相关的前端控制（如每秒下单笔数、防对敲、超出风控阀值禁止下单等）；</w:t>
            </w:r>
          </w:p>
        </w:tc>
      </w:tr>
      <w:tr>
        <w:tblPrEx>
          <w:tblCellMar>
            <w:top w:w="0" w:type="dxa"/>
            <w:left w:w="108" w:type="dxa"/>
            <w:bottom w:w="0" w:type="dxa"/>
            <w:right w:w="108" w:type="dxa"/>
          </w:tblCellMar>
        </w:tblPrEx>
        <w:trPr>
          <w:trHeight w:val="503"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（10）风险对冲管理；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（11）批量撤单、一键撤单；</w:t>
            </w:r>
          </w:p>
        </w:tc>
      </w:tr>
      <w:tr>
        <w:tblPrEx>
          <w:tblCellMar>
            <w:top w:w="0" w:type="dxa"/>
            <w:left w:w="108" w:type="dxa"/>
            <w:bottom w:w="0" w:type="dxa"/>
            <w:right w:w="108" w:type="dxa"/>
          </w:tblCellMar>
        </w:tblPrEx>
        <w:trPr>
          <w:trHeight w:val="60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（12）基金做市业务指标的监控及预警； </w:t>
            </w:r>
          </w:p>
        </w:tc>
      </w:tr>
      <w:tr>
        <w:tblPrEx>
          <w:tblCellMar>
            <w:top w:w="0" w:type="dxa"/>
            <w:left w:w="108" w:type="dxa"/>
            <w:bottom w:w="0" w:type="dxa"/>
            <w:right w:w="108" w:type="dxa"/>
          </w:tblCellMar>
        </w:tblPrEx>
        <w:trPr>
          <w:trHeight w:val="60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（13）做市业务情况报告。</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风险控制</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（1）公司层面与部门层面制定了做市业务风险管理制度和业务方案； </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（2）公司层面与部门层面设置了总体风控指标和做市业务风控指标并进行实时监控和预警；</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（3）公司层面建立了风险限额制度，对做市业务每日实施独立监控；</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kern w:val="0"/>
                <w:sz w:val="24"/>
                <w:szCs w:val="24"/>
              </w:rPr>
              <w:t>（4）公司层面建立了关联股票交易限制等相关风控指标和应对机制；</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（5）公司层面建立了压力测试制度； </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（6）制定了详细、可行的应急预案;</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（7）建立了极端情况预警机制及处理流程；</w:t>
            </w:r>
          </w:p>
        </w:tc>
      </w:tr>
      <w:tr>
        <w:tblPrEx>
          <w:tblCellMar>
            <w:top w:w="0" w:type="dxa"/>
            <w:left w:w="108" w:type="dxa"/>
            <w:bottom w:w="0" w:type="dxa"/>
            <w:right w:w="108" w:type="dxa"/>
          </w:tblCellMar>
        </w:tblPrEx>
        <w:trPr>
          <w:trHeight w:val="55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（8）建立了风险报告制度。</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823" w:type="pct"/>
            <w:vMerge w:val="restart"/>
            <w:tcBorders>
              <w:top w:val="nil"/>
              <w:left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合规稽核</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（1）公司层面建立了完备的合规稽核机制；</w:t>
            </w:r>
          </w:p>
        </w:tc>
      </w:tr>
      <w:tr>
        <w:tblPrEx>
          <w:tblCellMar>
            <w:top w:w="0" w:type="dxa"/>
            <w:left w:w="108" w:type="dxa"/>
            <w:bottom w:w="0" w:type="dxa"/>
            <w:right w:w="108" w:type="dxa"/>
          </w:tblCellMar>
        </w:tblPrEx>
        <w:trPr>
          <w:trHeight w:val="720" w:hRule="atLeast"/>
        </w:trPr>
        <w:tc>
          <w:tcPr>
            <w:tcW w:w="659"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823"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（2）有针对做市业务的专门合规稽核机制；</w:t>
            </w:r>
          </w:p>
        </w:tc>
      </w:tr>
      <w:tr>
        <w:tblPrEx>
          <w:tblCellMar>
            <w:top w:w="0" w:type="dxa"/>
            <w:left w:w="108" w:type="dxa"/>
            <w:bottom w:w="0" w:type="dxa"/>
            <w:right w:w="108" w:type="dxa"/>
          </w:tblCellMar>
        </w:tblPrEx>
        <w:trPr>
          <w:trHeight w:val="720" w:hRule="atLeast"/>
        </w:trPr>
        <w:tc>
          <w:tcPr>
            <w:tcW w:w="659"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823"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（3）有针对业务人员的风控合规培训。</w:t>
            </w:r>
          </w:p>
        </w:tc>
      </w:tr>
      <w:tr>
        <w:tblPrEx>
          <w:tblCellMar>
            <w:top w:w="0" w:type="dxa"/>
            <w:left w:w="108" w:type="dxa"/>
            <w:bottom w:w="0" w:type="dxa"/>
            <w:right w:w="108" w:type="dxa"/>
          </w:tblCellMar>
        </w:tblPrEx>
        <w:trPr>
          <w:trHeight w:val="720" w:hRule="atLeast"/>
        </w:trPr>
        <w:tc>
          <w:tcPr>
            <w:tcW w:w="65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8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系统建设</w:t>
            </w:r>
          </w:p>
        </w:tc>
        <w:tc>
          <w:tcPr>
            <w:tcW w:w="35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（1）制定有完整系统建设方案；</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（2）有齐备系统交付物；</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（3）有完备系统配置和部署；</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（4）建立系统运维相关制度方案和流程；</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（5）建立业务系统运维团队，能够满足运维要求；</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（6）有定期系统测试机制；</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（7）有系统升级、变更的相关管理规范；</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（8）业务系统能实现做市业务各项基本功能要求；</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（9）业务系统建设满足业务隔离、控制风险、统一规划以及高可用性原则；</w:t>
            </w:r>
          </w:p>
        </w:tc>
      </w:tr>
      <w:tr>
        <w:tblPrEx>
          <w:tblCellMar>
            <w:top w:w="0" w:type="dxa"/>
            <w:left w:w="108" w:type="dxa"/>
            <w:bottom w:w="0" w:type="dxa"/>
            <w:right w:w="108" w:type="dxa"/>
          </w:tblCellMar>
        </w:tblPrEx>
        <w:trPr>
          <w:trHeight w:val="557"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（10）有系统切换、故障演练。</w:t>
            </w:r>
          </w:p>
        </w:tc>
      </w:tr>
    </w:tbl>
    <w:p>
      <w:pPr>
        <w:spacing w:line="600" w:lineRule="exact"/>
        <w:ind w:firstLine="600" w:firstLineChars="200"/>
        <w:rPr>
          <w:rFonts w:ascii="Times New Roman" w:hAnsi="Times New Roman" w:eastAsia="仿宋_GB2312"/>
          <w:sz w:val="30"/>
          <w:szCs w:val="30"/>
        </w:rPr>
      </w:pPr>
    </w:p>
    <w:p>
      <w:pPr>
        <w:spacing w:line="600" w:lineRule="exact"/>
        <w:ind w:firstLine="600" w:firstLineChars="200"/>
        <w:rPr>
          <w:rFonts w:ascii="Times New Roman" w:hAnsi="Times New Roman" w:eastAsia="仿宋_GB2312"/>
          <w:sz w:val="30"/>
          <w:szCs w:val="30"/>
        </w:rPr>
      </w:pPr>
    </w:p>
    <w:p>
      <w:pPr>
        <w:spacing w:line="600" w:lineRule="exact"/>
        <w:ind w:firstLine="600" w:firstLineChars="200"/>
        <w:rPr>
          <w:rFonts w:ascii="Times New Roman" w:hAnsi="Times New Roman" w:eastAsia="仿宋_GB2312"/>
          <w:sz w:val="30"/>
          <w:szCs w:val="30"/>
        </w:rPr>
      </w:pPr>
    </w:p>
    <w:p>
      <w:pPr>
        <w:rPr>
          <w:rFonts w:ascii="Times New Roman" w:hAnsi="Times New Roman" w:eastAsia="仿宋_GB2312"/>
          <w:sz w:val="30"/>
          <w:szCs w:val="30"/>
        </w:rPr>
      </w:pPr>
      <w:r>
        <w:rPr>
          <w:rFonts w:ascii="Times New Roman" w:hAnsi="Times New Roman" w:eastAsia="仿宋_GB2312"/>
          <w:sz w:val="30"/>
          <w:szCs w:val="30"/>
        </w:rPr>
        <w:br w:type="page"/>
      </w:r>
    </w:p>
    <w:p>
      <w:pPr>
        <w:pStyle w:val="3"/>
        <w:spacing w:line="600" w:lineRule="exact"/>
        <w:rPr>
          <w:rFonts w:ascii="仿宋_GB2312" w:hAnsi="黑体" w:eastAsia="仿宋_GB2312"/>
          <w:kern w:val="44"/>
          <w:sz w:val="28"/>
          <w:szCs w:val="36"/>
        </w:rPr>
      </w:pPr>
      <w:bookmarkStart w:id="181" w:name="_Toc168666352"/>
      <w:bookmarkStart w:id="182" w:name="_Toc726085102"/>
      <w:bookmarkStart w:id="183" w:name="_Toc24693"/>
      <w:bookmarkStart w:id="184" w:name="_Toc20603"/>
      <w:bookmarkStart w:id="185" w:name="_Toc120180563"/>
      <w:r>
        <w:rPr>
          <w:rFonts w:hint="eastAsia" w:ascii="仿宋_GB2312" w:hAnsi="黑体" w:eastAsia="仿宋_GB2312"/>
          <w:kern w:val="44"/>
          <w:sz w:val="28"/>
          <w:szCs w:val="36"/>
        </w:rPr>
        <w:t>附件2：做市业务申请</w:t>
      </w:r>
      <w:bookmarkEnd w:id="181"/>
      <w:bookmarkEnd w:id="182"/>
      <w:bookmarkEnd w:id="183"/>
      <w:bookmarkEnd w:id="184"/>
      <w:bookmarkEnd w:id="185"/>
    </w:p>
    <w:p>
      <w:pPr>
        <w:jc w:val="center"/>
        <w:rPr>
          <w:rFonts w:ascii="仿宋_GB2312" w:hAnsi="宋体" w:eastAsia="仿宋_GB2312" w:cs="Times New Roman"/>
          <w:b/>
          <w:color w:val="FF0000"/>
          <w:spacing w:val="100"/>
          <w:sz w:val="44"/>
          <w:szCs w:val="44"/>
        </w:rPr>
      </w:pPr>
      <w:r>
        <w:rPr>
          <w:rFonts w:hint="eastAsia" w:ascii="仿宋_GB2312" w:hAnsi="宋体" w:eastAsia="仿宋_GB2312"/>
          <w:b/>
          <w:color w:val="FF0000"/>
          <w:spacing w:val="100"/>
          <w:sz w:val="44"/>
          <w:szCs w:val="44"/>
        </w:rPr>
        <w:t xml:space="preserve"> XX公司</w:t>
      </w:r>
    </w:p>
    <w:p>
      <w:pPr>
        <w:jc w:val="center"/>
        <w:rPr>
          <w:rFonts w:ascii="黑体" w:hAnsi="Calibri" w:eastAsia="黑体" w:cs="Times New Roman"/>
          <w:b/>
          <w:color w:val="FF0000"/>
          <w:sz w:val="32"/>
          <w:szCs w:val="32"/>
        </w:rPr>
      </w:pPr>
      <w:r>
        <w:rPr>
          <w:rFonts w:hint="eastAsia" w:ascii="宋体" w:hAnsi="宋体" w:eastAsia="宋体" w:cs="Times New Roman"/>
          <w:b/>
          <w:color w:val="FF0000"/>
          <w:sz w:val="52"/>
        </w:rPr>
        <w:t>───────────────</w:t>
      </w:r>
    </w:p>
    <w:p>
      <w:pPr>
        <w:pStyle w:val="6"/>
        <w:spacing w:line="500" w:lineRule="exact"/>
        <w:ind w:right="1264" w:firstLine="0" w:firstLineChars="0"/>
        <w:jc w:val="center"/>
        <w:rPr>
          <w:rFonts w:ascii="方正大标宋简体" w:eastAsia="方正大标宋简体"/>
          <w:b/>
          <w:color w:val="000000"/>
          <w:sz w:val="44"/>
          <w:szCs w:val="44"/>
        </w:rPr>
      </w:pPr>
      <w:r>
        <w:rPr>
          <w:rFonts w:hint="eastAsia"/>
          <w:b/>
          <w:color w:val="000000"/>
          <w:sz w:val="28"/>
        </w:rPr>
        <w:t xml:space="preserve">     </w:t>
      </w:r>
      <w:r>
        <w:rPr>
          <w:rFonts w:hint="eastAsia"/>
          <w:b/>
          <w:color w:val="000000"/>
          <w:sz w:val="44"/>
          <w:szCs w:val="44"/>
        </w:rPr>
        <w:t xml:space="preserve">  函号</w:t>
      </w:r>
    </w:p>
    <w:p>
      <w:pPr>
        <w:jc w:val="center"/>
        <w:rPr>
          <w:rFonts w:ascii="黑体" w:hAnsi="黑体" w:eastAsia="黑体"/>
          <w:b/>
          <w:color w:val="000000"/>
          <w:sz w:val="32"/>
          <w:szCs w:val="32"/>
        </w:rPr>
      </w:pPr>
    </w:p>
    <w:p>
      <w:pPr>
        <w:jc w:val="center"/>
        <w:rPr>
          <w:rFonts w:ascii="黑体" w:hAnsi="黑体" w:eastAsia="黑体"/>
          <w:b/>
          <w:sz w:val="36"/>
          <w:szCs w:val="36"/>
        </w:rPr>
      </w:pPr>
      <w:r>
        <w:rPr>
          <w:rFonts w:hint="eastAsia" w:ascii="黑体" w:hAnsi="黑体" w:eastAsia="黑体"/>
          <w:b/>
          <w:sz w:val="36"/>
          <w:szCs w:val="36"/>
        </w:rPr>
        <w:t>XX公司关于申请成为上海证券交易所上市基金主（一般）做市商的函</w:t>
      </w:r>
    </w:p>
    <w:p>
      <w:pPr>
        <w:rPr>
          <w:rFonts w:ascii="仿宋_GB2312" w:eastAsia="仿宋_GB2312"/>
          <w:sz w:val="28"/>
          <w:szCs w:val="28"/>
        </w:rPr>
      </w:pPr>
      <w:r>
        <w:rPr>
          <w:rFonts w:hint="eastAsia" w:ascii="仿宋_GB2312" w:eastAsia="仿宋_GB2312"/>
          <w:sz w:val="28"/>
          <w:szCs w:val="28"/>
        </w:rPr>
        <w:t>上海证券交易所：</w:t>
      </w:r>
    </w:p>
    <w:p>
      <w:pPr>
        <w:ind w:firstLine="560" w:firstLineChars="200"/>
        <w:jc w:val="left"/>
        <w:rPr>
          <w:rFonts w:ascii="仿宋_GB2312" w:hAnsi="Times New Roman" w:eastAsia="仿宋_GB2312" w:cs="Times New Roman"/>
          <w:sz w:val="28"/>
          <w:szCs w:val="28"/>
        </w:rPr>
      </w:pPr>
      <w:r>
        <w:rPr>
          <w:rFonts w:hint="eastAsia" w:ascii="仿宋_GB2312" w:eastAsia="仿宋_GB2312"/>
          <w:sz w:val="28"/>
          <w:szCs w:val="28"/>
        </w:rPr>
        <w:t>根据《上海证券交易所基金自律监管规则适用指引第2号——上市基金做市业务》等相关规定，我司向你所申请成为上市基金主（一般）做市商，同时申请基金做市业务专项检查和技术测试。</w:t>
      </w:r>
      <w:r>
        <w:rPr>
          <w:rFonts w:hint="eastAsia" w:ascii="仿宋_GB2312" w:hAnsi="Times New Roman" w:eastAsia="仿宋_GB2312" w:cs="Times New Roman"/>
          <w:sz w:val="28"/>
          <w:szCs w:val="28"/>
        </w:rPr>
        <w:t>现将有关情况汇报如下：</w:t>
      </w:r>
    </w:p>
    <w:p>
      <w:pPr>
        <w:pStyle w:val="35"/>
        <w:numPr>
          <w:ilvl w:val="0"/>
          <w:numId w:val="1"/>
        </w:numPr>
        <w:ind w:firstLineChars="0"/>
        <w:rPr>
          <w:rFonts w:ascii="仿宋_GB2312" w:eastAsia="仿宋_GB2312"/>
          <w:b/>
          <w:sz w:val="28"/>
          <w:szCs w:val="28"/>
        </w:rPr>
      </w:pPr>
      <w:r>
        <w:rPr>
          <w:rFonts w:hint="eastAsia" w:ascii="仿宋_GB2312" w:eastAsia="仿宋_GB2312"/>
          <w:b/>
          <w:sz w:val="28"/>
          <w:szCs w:val="28"/>
        </w:rPr>
        <w:t>公司基本情况</w:t>
      </w:r>
    </w:p>
    <w:p>
      <w:pPr>
        <w:pStyle w:val="35"/>
        <w:numPr>
          <w:ilvl w:val="0"/>
          <w:numId w:val="1"/>
        </w:numPr>
        <w:ind w:firstLineChars="0"/>
        <w:rPr>
          <w:rFonts w:ascii="仿宋_GB2312" w:eastAsia="仿宋_GB2312"/>
          <w:b/>
          <w:sz w:val="28"/>
          <w:szCs w:val="28"/>
        </w:rPr>
      </w:pPr>
      <w:r>
        <w:rPr>
          <w:rFonts w:hint="eastAsia" w:ascii="仿宋_GB2312" w:eastAsia="仿宋_GB2312"/>
          <w:b/>
          <w:sz w:val="28"/>
          <w:szCs w:val="28"/>
        </w:rPr>
        <w:t>申请成为做市商的条件与优势</w:t>
      </w:r>
    </w:p>
    <w:p>
      <w:pPr>
        <w:pStyle w:val="35"/>
        <w:numPr>
          <w:ilvl w:val="0"/>
          <w:numId w:val="2"/>
        </w:numPr>
        <w:ind w:firstLineChars="0"/>
        <w:rPr>
          <w:rFonts w:ascii="仿宋_GB2312" w:eastAsia="仿宋_GB2312"/>
          <w:sz w:val="28"/>
          <w:szCs w:val="28"/>
        </w:rPr>
      </w:pPr>
      <w:r>
        <w:rPr>
          <w:rFonts w:hint="eastAsia" w:ascii="仿宋_GB2312" w:eastAsia="仿宋_GB2312"/>
          <w:sz w:val="28"/>
          <w:szCs w:val="28"/>
        </w:rPr>
        <w:t>论述公司符合申请条件</w:t>
      </w:r>
    </w:p>
    <w:p>
      <w:pPr>
        <w:ind w:firstLine="840" w:firstLineChars="300"/>
        <w:rPr>
          <w:rFonts w:ascii="仿宋_GB2312" w:eastAsia="仿宋_GB2312"/>
          <w:sz w:val="28"/>
          <w:szCs w:val="28"/>
        </w:rPr>
      </w:pPr>
      <w:r>
        <w:rPr>
          <w:rFonts w:hint="eastAsia" w:ascii="仿宋_GB2312" w:eastAsia="仿宋_GB2312"/>
          <w:sz w:val="28"/>
          <w:szCs w:val="28"/>
        </w:rPr>
        <w:t>须包括公司以自有资金开展做市业务（</w:t>
      </w:r>
      <w:r>
        <w:rPr>
          <w:rFonts w:hint="eastAsia" w:ascii="仿宋_GB2312" w:hAnsi="宋体" w:eastAsia="仿宋_GB2312" w:cs="宋体"/>
          <w:sz w:val="28"/>
          <w:szCs w:val="28"/>
        </w:rPr>
        <w:t>用于做市业务资金规模）；</w:t>
      </w:r>
      <w:r>
        <w:rPr>
          <w:rFonts w:hint="eastAsia" w:ascii="仿宋_GB2312" w:eastAsia="仿宋_GB2312"/>
          <w:sz w:val="28"/>
          <w:szCs w:val="28"/>
        </w:rPr>
        <w:t>过去一年内未因做市业务的违法违规行为被中国证监会或本所采取监管措施、纪律处分或行政处罚。</w:t>
      </w:r>
    </w:p>
    <w:p>
      <w:pPr>
        <w:pStyle w:val="35"/>
        <w:numPr>
          <w:ilvl w:val="0"/>
          <w:numId w:val="2"/>
        </w:numPr>
        <w:ind w:firstLineChars="0"/>
        <w:rPr>
          <w:rFonts w:ascii="仿宋_GB2312" w:eastAsia="仿宋_GB2312"/>
          <w:sz w:val="28"/>
          <w:szCs w:val="28"/>
        </w:rPr>
      </w:pPr>
      <w:r>
        <w:rPr>
          <w:rFonts w:hint="eastAsia" w:ascii="仿宋_GB2312" w:eastAsia="仿宋_GB2312"/>
          <w:sz w:val="28"/>
          <w:szCs w:val="28"/>
        </w:rPr>
        <w:t>公司开展做市业务的相关优势</w:t>
      </w:r>
    </w:p>
    <w:p>
      <w:pPr>
        <w:pStyle w:val="35"/>
        <w:numPr>
          <w:ilvl w:val="0"/>
          <w:numId w:val="1"/>
        </w:numPr>
        <w:ind w:firstLineChars="0"/>
        <w:rPr>
          <w:rFonts w:ascii="仿宋_GB2312" w:eastAsia="仿宋_GB2312"/>
          <w:b/>
          <w:sz w:val="28"/>
          <w:szCs w:val="28"/>
        </w:rPr>
      </w:pPr>
      <w:r>
        <w:rPr>
          <w:rFonts w:hint="eastAsia" w:ascii="仿宋_GB2312" w:eastAsia="仿宋_GB2312"/>
          <w:b/>
          <w:sz w:val="28"/>
          <w:szCs w:val="28"/>
        </w:rPr>
        <w:t>申请材料说明</w:t>
      </w:r>
    </w:p>
    <w:p>
      <w:pPr>
        <w:pStyle w:val="35"/>
        <w:ind w:left="1282" w:firstLine="0" w:firstLineChars="0"/>
        <w:rPr>
          <w:rFonts w:ascii="仿宋_GB2312" w:eastAsia="仿宋_GB2312"/>
          <w:sz w:val="28"/>
          <w:szCs w:val="28"/>
        </w:rPr>
      </w:pPr>
      <w:r>
        <w:rPr>
          <w:rFonts w:hint="eastAsia" w:ascii="仿宋_GB2312" w:eastAsia="仿宋_GB2312"/>
          <w:sz w:val="28"/>
          <w:szCs w:val="28"/>
        </w:rPr>
        <w:t>列明申请材料清单。</w:t>
      </w:r>
    </w:p>
    <w:p>
      <w:pPr>
        <w:pStyle w:val="35"/>
        <w:ind w:left="1282" w:firstLine="0" w:firstLineChars="0"/>
        <w:rPr>
          <w:rFonts w:ascii="仿宋_GB2312" w:eastAsia="仿宋_GB2312"/>
          <w:sz w:val="28"/>
          <w:szCs w:val="28"/>
        </w:rPr>
      </w:pPr>
    </w:p>
    <w:p>
      <w:pPr>
        <w:rPr>
          <w:rFonts w:ascii="仿宋_GB2312" w:eastAsia="仿宋_GB2312"/>
          <w:sz w:val="28"/>
          <w:szCs w:val="28"/>
        </w:rPr>
      </w:pPr>
      <w:r>
        <w:rPr>
          <w:rFonts w:hint="eastAsia" w:ascii="仿宋_GB2312" w:hAnsi="Times New Roman" w:eastAsia="仿宋_GB2312" w:cs="Times New Roman"/>
          <w:b/>
          <w:sz w:val="28"/>
          <w:szCs w:val="28"/>
        </w:rPr>
        <w:tab/>
      </w:r>
      <w:r>
        <w:rPr>
          <w:rFonts w:hint="eastAsia" w:ascii="仿宋_GB2312" w:hAnsi="Times New Roman" w:eastAsia="仿宋_GB2312" w:cs="Times New Roman"/>
          <w:b/>
          <w:sz w:val="28"/>
          <w:szCs w:val="28"/>
        </w:rPr>
        <w:t xml:space="preserve"> </w:t>
      </w:r>
      <w:r>
        <w:rPr>
          <w:rFonts w:hint="eastAsia" w:ascii="仿宋_GB2312" w:hAnsi="Times New Roman" w:eastAsia="仿宋_GB2312" w:cs="Times New Roman"/>
          <w:sz w:val="28"/>
          <w:szCs w:val="28"/>
        </w:rPr>
        <w:t>综上所述，我司</w:t>
      </w:r>
      <w:r>
        <w:rPr>
          <w:rFonts w:hint="eastAsia" w:ascii="仿宋_GB2312" w:eastAsia="仿宋_GB2312"/>
          <w:sz w:val="28"/>
          <w:szCs w:val="28"/>
        </w:rPr>
        <w:t>已做好相关准备工作，现向你所申请成为上市基金主（一般）做市商。</w:t>
      </w:r>
    </w:p>
    <w:p>
      <w:pPr>
        <w:ind w:firstLine="560" w:firstLineChars="200"/>
        <w:rPr>
          <w:rFonts w:ascii="仿宋_GB2312" w:eastAsia="仿宋_GB2312"/>
          <w:sz w:val="28"/>
          <w:szCs w:val="28"/>
        </w:rPr>
      </w:pPr>
      <w:r>
        <w:rPr>
          <w:rFonts w:hint="eastAsia" w:ascii="仿宋_GB2312" w:eastAsia="仿宋_GB2312"/>
          <w:sz w:val="28"/>
          <w:szCs w:val="28"/>
        </w:rPr>
        <w:t>我司承诺，提交的申请材料内容真实、准确、完整，如存在虚假记载、误导性陈述和重大遗漏，将承担相关法律责任。</w:t>
      </w:r>
    </w:p>
    <w:p>
      <w:pPr>
        <w:ind w:firstLine="560" w:firstLineChars="200"/>
        <w:rPr>
          <w:rFonts w:ascii="仿宋_GB2312" w:eastAsia="仿宋_GB2312"/>
          <w:sz w:val="28"/>
          <w:szCs w:val="28"/>
        </w:rPr>
      </w:pPr>
      <w:r>
        <w:rPr>
          <w:rFonts w:hint="eastAsia" w:ascii="仿宋_GB2312" w:eastAsia="仿宋_GB2312"/>
          <w:sz w:val="28"/>
          <w:szCs w:val="28"/>
        </w:rPr>
        <w:t>特此致函。</w:t>
      </w:r>
    </w:p>
    <w:p>
      <w:pPr>
        <w:ind w:firstLine="420"/>
        <w:rPr>
          <w:rFonts w:ascii="仿宋_GB2312" w:eastAsia="仿宋_GB2312"/>
          <w:sz w:val="28"/>
          <w:szCs w:val="28"/>
        </w:rPr>
      </w:pPr>
    </w:p>
    <w:p>
      <w:pPr>
        <w:ind w:firstLine="560" w:firstLineChars="200"/>
        <w:jc w:val="right"/>
        <w:rPr>
          <w:rFonts w:ascii="仿宋_GB2312" w:eastAsia="仿宋_GB2312"/>
          <w:sz w:val="28"/>
          <w:szCs w:val="28"/>
        </w:rPr>
      </w:pPr>
      <w:r>
        <w:rPr>
          <w:rFonts w:hint="eastAsia" w:ascii="仿宋_GB2312" w:eastAsia="仿宋_GB2312"/>
          <w:sz w:val="28"/>
          <w:szCs w:val="28"/>
        </w:rPr>
        <w:t>XX公司（盖章）</w:t>
      </w:r>
    </w:p>
    <w:p>
      <w:pPr>
        <w:ind w:firstLine="560" w:firstLineChars="200"/>
        <w:jc w:val="right"/>
        <w:rPr>
          <w:rFonts w:ascii="仿宋_GB2312" w:eastAsia="仿宋_GB2312"/>
          <w:sz w:val="28"/>
          <w:szCs w:val="28"/>
        </w:rPr>
      </w:pPr>
      <w:r>
        <w:rPr>
          <w:rFonts w:hint="eastAsia" w:ascii="仿宋_GB2312" w:eastAsia="仿宋_GB2312"/>
          <w:sz w:val="28"/>
          <w:szCs w:val="28"/>
        </w:rPr>
        <w:t>法定代表人或授权代表（签字）</w:t>
      </w:r>
    </w:p>
    <w:p>
      <w:pPr>
        <w:ind w:firstLine="560" w:firstLineChars="200"/>
        <w:jc w:val="right"/>
        <w:rPr>
          <w:rFonts w:ascii="仿宋_GB2312" w:eastAsia="仿宋_GB2312"/>
          <w:sz w:val="28"/>
          <w:szCs w:val="28"/>
        </w:rPr>
      </w:pPr>
      <w:r>
        <w:rPr>
          <w:rFonts w:hint="eastAsia" w:ascii="仿宋_GB2312" w:eastAsia="仿宋_GB2312"/>
          <w:sz w:val="28"/>
          <w:szCs w:val="28"/>
        </w:rPr>
        <w:t>XX年XX月XX日</w:t>
      </w:r>
    </w:p>
    <w:p>
      <w:pPr>
        <w:widowControl/>
        <w:jc w:val="left"/>
        <w:rPr>
          <w:rFonts w:ascii="仿宋_GB2312" w:eastAsia="仿宋_GB2312"/>
          <w:sz w:val="30"/>
          <w:szCs w:val="30"/>
        </w:rPr>
      </w:pPr>
      <w:r>
        <w:rPr>
          <w:rFonts w:ascii="仿宋_GB2312" w:eastAsia="仿宋_GB2312"/>
          <w:b/>
          <w:bCs/>
          <w:sz w:val="30"/>
          <w:szCs w:val="30"/>
        </w:rPr>
        <w:br w:type="page"/>
      </w:r>
    </w:p>
    <w:p>
      <w:pPr>
        <w:pStyle w:val="3"/>
        <w:spacing w:line="600" w:lineRule="exact"/>
        <w:rPr>
          <w:rFonts w:ascii="仿宋_GB2312" w:hAnsi="黑体" w:eastAsia="仿宋_GB2312"/>
          <w:b w:val="0"/>
          <w:kern w:val="44"/>
          <w:sz w:val="28"/>
          <w:szCs w:val="36"/>
        </w:rPr>
      </w:pPr>
      <w:bookmarkStart w:id="186" w:name="_Toc168666353"/>
      <w:bookmarkStart w:id="187" w:name="_Toc947014247"/>
      <w:bookmarkStart w:id="188" w:name="_Toc10779"/>
      <w:bookmarkStart w:id="189" w:name="_Toc32754"/>
      <w:bookmarkStart w:id="190" w:name="_Toc120180564"/>
      <w:r>
        <w:rPr>
          <w:rFonts w:hint="eastAsia" w:ascii="仿宋_GB2312" w:hAnsi="黑体" w:eastAsia="仿宋_GB2312"/>
          <w:kern w:val="44"/>
          <w:sz w:val="28"/>
          <w:szCs w:val="36"/>
        </w:rPr>
        <w:t>附件3：做市业务人员情况表</w:t>
      </w:r>
      <w:bookmarkEnd w:id="186"/>
      <w:bookmarkEnd w:id="187"/>
      <w:bookmarkEnd w:id="188"/>
      <w:bookmarkEnd w:id="189"/>
      <w:bookmarkEnd w:id="190"/>
    </w:p>
    <w:p>
      <w:pPr>
        <w:widowControl/>
        <w:spacing w:line="600" w:lineRule="exact"/>
        <w:jc w:val="left"/>
        <w:rPr>
          <w:rFonts w:ascii="Times New Roman" w:hAnsi="Times New Roman" w:eastAsia="仿宋_GB2312"/>
          <w:sz w:val="30"/>
          <w:szCs w:val="3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183"/>
        <w:gridCol w:w="1559"/>
        <w:gridCol w:w="422"/>
        <w:gridCol w:w="1279"/>
        <w:gridCol w:w="138"/>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公司名称</w:t>
            </w:r>
          </w:p>
        </w:tc>
        <w:tc>
          <w:tcPr>
            <w:tcW w:w="6901" w:type="dxa"/>
            <w:gridSpan w:val="6"/>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做市业务负责人</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姓名</w:t>
            </w:r>
          </w:p>
        </w:tc>
        <w:tc>
          <w:tcPr>
            <w:tcW w:w="5718"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部门</w:t>
            </w:r>
          </w:p>
        </w:tc>
        <w:tc>
          <w:tcPr>
            <w:tcW w:w="5718"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电话</w:t>
            </w: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邮件地址</w:t>
            </w:r>
          </w:p>
        </w:tc>
        <w:tc>
          <w:tcPr>
            <w:tcW w:w="232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做市业务联络人</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姓名</w:t>
            </w:r>
          </w:p>
        </w:tc>
        <w:tc>
          <w:tcPr>
            <w:tcW w:w="5718"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部门</w:t>
            </w:r>
          </w:p>
        </w:tc>
        <w:tc>
          <w:tcPr>
            <w:tcW w:w="5718"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电话</w:t>
            </w: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邮件地址</w:t>
            </w:r>
          </w:p>
        </w:tc>
        <w:tc>
          <w:tcPr>
            <w:tcW w:w="232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7"/>
            <w:tcBorders>
              <w:top w:val="single" w:color="auto" w:sz="4" w:space="0"/>
              <w:left w:val="single" w:color="auto" w:sz="4" w:space="0"/>
              <w:bottom w:val="single" w:color="auto" w:sz="4" w:space="0"/>
              <w:right w:val="single" w:color="auto" w:sz="4" w:space="0"/>
            </w:tcBorders>
            <w:shd w:val="clear" w:color="auto" w:fill="F2F2F2"/>
            <w:vAlign w:val="center"/>
          </w:tcPr>
          <w:p>
            <w:pPr>
              <w:spacing w:line="600" w:lineRule="exact"/>
              <w:rPr>
                <w:rFonts w:ascii="仿宋_GB2312" w:hAnsi="仿宋" w:eastAsia="仿宋_GB2312"/>
                <w:b/>
                <w:sz w:val="20"/>
                <w:szCs w:val="20"/>
              </w:rPr>
            </w:pPr>
            <w:r>
              <w:rPr>
                <w:rFonts w:hint="eastAsia" w:ascii="仿宋_GB2312" w:hAnsi="仿宋" w:eastAsia="仿宋_GB2312"/>
                <w:b/>
                <w:sz w:val="20"/>
                <w:szCs w:val="20"/>
              </w:rPr>
              <w:t>部门与岗位设置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（部门名称1）工作职责包括：</w:t>
            </w:r>
          </w:p>
          <w:p>
            <w:pPr>
              <w:spacing w:line="600" w:lineRule="exact"/>
              <w:rPr>
                <w:rFonts w:ascii="仿宋_GB2312" w:hAnsi="仿宋" w:eastAsia="仿宋_GB2312"/>
                <w:sz w:val="20"/>
                <w:szCs w:val="20"/>
              </w:rPr>
            </w:pPr>
            <w:r>
              <w:rPr>
                <w:rFonts w:hint="eastAsia" w:ascii="仿宋_GB2312" w:hAnsi="仿宋" w:eastAsia="仿宋_GB2312"/>
                <w:sz w:val="20"/>
                <w:szCs w:val="20"/>
              </w:rPr>
              <w:t>（1）</w:t>
            </w:r>
          </w:p>
          <w:p>
            <w:pPr>
              <w:spacing w:line="600" w:lineRule="exact"/>
              <w:rPr>
                <w:rFonts w:ascii="仿宋_GB2312" w:hAnsi="仿宋" w:eastAsia="仿宋_GB2312"/>
                <w:sz w:val="20"/>
                <w:szCs w:val="20"/>
              </w:rPr>
            </w:pPr>
            <w:r>
              <w:rPr>
                <w:rFonts w:hint="eastAsia" w:ascii="仿宋_GB2312" w:hAnsi="仿宋" w:eastAsia="仿宋_GB2312"/>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sz w:val="20"/>
                <w:szCs w:val="20"/>
              </w:rPr>
            </w:pPr>
            <w:r>
              <w:rPr>
                <w:rFonts w:hint="eastAsia" w:ascii="仿宋_GB2312" w:hAnsi="仿宋" w:eastAsia="仿宋_GB2312"/>
                <w:sz w:val="20"/>
                <w:szCs w:val="20"/>
              </w:rPr>
              <w:t>岗位</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人员姓名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职责描述（标明人员为主岗或备岗）</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联系方式</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教育背景与工作履历（做市部门人员须填写教育背景）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i/>
                <w:sz w:val="20"/>
                <w:szCs w:val="20"/>
              </w:rPr>
            </w:pPr>
            <w:r>
              <w:rPr>
                <w:rFonts w:hint="eastAsia" w:ascii="仿宋_GB2312" w:hAnsi="仿宋" w:eastAsia="仿宋_GB2312"/>
                <w:i/>
                <w:sz w:val="20"/>
                <w:szCs w:val="20"/>
              </w:rPr>
              <w:t>（部门负责人）</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i/>
                <w:sz w:val="20"/>
                <w:szCs w:val="20"/>
              </w:rPr>
            </w:pPr>
            <w:r>
              <w:rPr>
                <w:rFonts w:hint="eastAsia" w:ascii="仿宋_GB2312" w:hAnsi="仿宋" w:eastAsia="仿宋_GB2312"/>
                <w:i/>
                <w:sz w:val="20"/>
                <w:szCs w:val="20"/>
              </w:rPr>
              <w:t>（座机）</w:t>
            </w:r>
          </w:p>
          <w:p>
            <w:pPr>
              <w:spacing w:line="600" w:lineRule="exact"/>
              <w:rPr>
                <w:rFonts w:ascii="仿宋_GB2312" w:hAnsi="仿宋" w:eastAsia="仿宋_GB2312"/>
                <w:i/>
                <w:sz w:val="20"/>
                <w:szCs w:val="20"/>
              </w:rPr>
            </w:pPr>
            <w:r>
              <w:rPr>
                <w:rFonts w:hint="eastAsia" w:ascii="仿宋_GB2312" w:hAnsi="仿宋" w:eastAsia="仿宋_GB2312"/>
                <w:i/>
                <w:sz w:val="20"/>
                <w:szCs w:val="20"/>
              </w:rPr>
              <w:t>（手机）</w:t>
            </w:r>
          </w:p>
          <w:p>
            <w:pPr>
              <w:spacing w:line="600" w:lineRule="exact"/>
              <w:rPr>
                <w:rFonts w:ascii="仿宋_GB2312" w:hAnsi="仿宋" w:eastAsia="仿宋_GB2312"/>
                <w:sz w:val="20"/>
                <w:szCs w:val="20"/>
              </w:rPr>
            </w:pPr>
            <w:r>
              <w:rPr>
                <w:rFonts w:hint="eastAsia" w:ascii="仿宋_GB2312" w:hAnsi="仿宋" w:eastAsia="仿宋_GB2312"/>
                <w:i/>
                <w:sz w:val="20"/>
                <w:szCs w:val="20"/>
              </w:rPr>
              <w:t>（邮件）</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i/>
                <w:sz w:val="20"/>
                <w:szCs w:val="20"/>
              </w:rPr>
            </w:pPr>
            <w:r>
              <w:rPr>
                <w:rFonts w:hint="eastAsia" w:ascii="仿宋_GB2312" w:hAnsi="仿宋" w:eastAsia="仿宋_GB2312"/>
                <w:i/>
                <w:sz w:val="20"/>
                <w:szCs w:val="20"/>
              </w:rPr>
              <w:t>教育背景：</w:t>
            </w:r>
          </w:p>
          <w:p>
            <w:pPr>
              <w:rPr>
                <w:rFonts w:ascii="仿宋_GB2312" w:hAnsi="仿宋" w:eastAsia="仿宋_GB2312"/>
                <w:i/>
                <w:sz w:val="20"/>
                <w:szCs w:val="20"/>
              </w:rPr>
            </w:pPr>
            <w:r>
              <w:rPr>
                <w:rFonts w:hint="eastAsia" w:ascii="仿宋_GB2312" w:hAnsi="仿宋" w:eastAsia="仿宋_GB2312"/>
                <w:i/>
                <w:sz w:val="20"/>
                <w:szCs w:val="20"/>
              </w:rPr>
              <w:t>（从本科写到最高学历：年份-毕业学校-专业-学位）</w:t>
            </w:r>
          </w:p>
          <w:p>
            <w:pPr>
              <w:spacing w:line="600" w:lineRule="exact"/>
              <w:rPr>
                <w:rFonts w:ascii="仿宋_GB2312" w:hAnsi="仿宋" w:eastAsia="仿宋_GB2312"/>
                <w:i/>
                <w:sz w:val="20"/>
                <w:szCs w:val="20"/>
              </w:rPr>
            </w:pPr>
            <w:r>
              <w:rPr>
                <w:rFonts w:hint="eastAsia" w:ascii="仿宋_GB2312" w:hAnsi="仿宋" w:eastAsia="仿宋_GB2312"/>
                <w:i/>
                <w:sz w:val="20"/>
                <w:szCs w:val="20"/>
              </w:rPr>
              <w:t>工作履历：</w:t>
            </w:r>
          </w:p>
          <w:p>
            <w:pPr>
              <w:rPr>
                <w:rFonts w:ascii="仿宋_GB2312" w:hAnsi="仿宋" w:eastAsia="仿宋_GB2312"/>
                <w:i/>
                <w:sz w:val="20"/>
                <w:szCs w:val="20"/>
              </w:rPr>
            </w:pPr>
            <w:r>
              <w:rPr>
                <w:rFonts w:hint="eastAsia" w:ascii="仿宋_GB2312" w:hAnsi="仿宋" w:eastAsia="仿宋_GB2312"/>
                <w:i/>
                <w:sz w:val="20"/>
                <w:szCs w:val="20"/>
              </w:rPr>
              <w:t>（年份-单位-职责）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（部门名称2）工作职责包括：</w:t>
            </w:r>
          </w:p>
          <w:p>
            <w:pPr>
              <w:spacing w:line="600" w:lineRule="exact"/>
              <w:rPr>
                <w:rFonts w:ascii="仿宋_GB2312" w:hAnsi="仿宋" w:eastAsia="仿宋_GB2312"/>
                <w:sz w:val="20"/>
                <w:szCs w:val="20"/>
              </w:rPr>
            </w:pPr>
            <w:r>
              <w:rPr>
                <w:rFonts w:hint="eastAsia" w:ascii="仿宋_GB2312" w:hAnsi="仿宋" w:eastAsia="仿宋_GB2312"/>
                <w:sz w:val="20"/>
                <w:szCs w:val="20"/>
              </w:rPr>
              <w:t>（1）</w:t>
            </w:r>
          </w:p>
          <w:p>
            <w:pPr>
              <w:spacing w:line="600" w:lineRule="exact"/>
              <w:rPr>
                <w:rFonts w:ascii="仿宋_GB2312" w:hAnsi="仿宋" w:eastAsia="仿宋_GB2312"/>
                <w:sz w:val="20"/>
                <w:szCs w:val="20"/>
              </w:rPr>
            </w:pPr>
            <w:r>
              <w:rPr>
                <w:rFonts w:hint="eastAsia" w:ascii="仿宋_GB2312" w:hAnsi="仿宋" w:eastAsia="仿宋_GB2312"/>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sz w:val="20"/>
                <w:szCs w:val="20"/>
              </w:rPr>
            </w:pPr>
            <w:r>
              <w:rPr>
                <w:rFonts w:hint="eastAsia" w:ascii="仿宋_GB2312" w:hAnsi="仿宋" w:eastAsia="仿宋_GB2312"/>
                <w:sz w:val="20"/>
                <w:szCs w:val="20"/>
              </w:rPr>
              <w:t>岗位</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人员姓名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职责描述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联系方式</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（部门名称3）工作职责包括：</w:t>
            </w:r>
          </w:p>
          <w:p>
            <w:pPr>
              <w:spacing w:line="600" w:lineRule="exact"/>
              <w:rPr>
                <w:rFonts w:ascii="仿宋_GB2312" w:hAnsi="仿宋" w:eastAsia="仿宋_GB2312"/>
                <w:sz w:val="20"/>
                <w:szCs w:val="20"/>
              </w:rPr>
            </w:pPr>
            <w:r>
              <w:rPr>
                <w:rFonts w:hint="eastAsia" w:ascii="仿宋_GB2312" w:hAnsi="仿宋" w:eastAsia="仿宋_GB2312"/>
                <w:sz w:val="20"/>
                <w:szCs w:val="20"/>
              </w:rPr>
              <w:t>（1）</w:t>
            </w:r>
          </w:p>
          <w:p>
            <w:pPr>
              <w:spacing w:line="600" w:lineRule="exact"/>
              <w:rPr>
                <w:rFonts w:ascii="仿宋_GB2312" w:hAnsi="仿宋" w:eastAsia="仿宋_GB2312"/>
                <w:sz w:val="20"/>
                <w:szCs w:val="20"/>
              </w:rPr>
            </w:pPr>
            <w:r>
              <w:rPr>
                <w:rFonts w:hint="eastAsia" w:ascii="仿宋_GB2312" w:hAnsi="仿宋" w:eastAsia="仿宋_GB2312"/>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sz w:val="20"/>
                <w:szCs w:val="20"/>
              </w:rPr>
            </w:pPr>
            <w:r>
              <w:rPr>
                <w:rFonts w:hint="eastAsia" w:ascii="仿宋_GB2312" w:hAnsi="仿宋" w:eastAsia="仿宋_GB2312"/>
                <w:sz w:val="20"/>
                <w:szCs w:val="20"/>
              </w:rPr>
              <w:t>岗位</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人员姓名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职责描述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联系方式</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bl>
    <w:p>
      <w:pPr>
        <w:widowControl/>
        <w:spacing w:line="600" w:lineRule="exact"/>
        <w:jc w:val="left"/>
        <w:rPr>
          <w:rFonts w:ascii="仿宋_GB2312" w:hAnsi="仿宋" w:eastAsia="仿宋_GB2312"/>
          <w:sz w:val="20"/>
          <w:szCs w:val="20"/>
        </w:rPr>
      </w:pPr>
    </w:p>
    <w:p>
      <w:pPr>
        <w:widowControl/>
        <w:spacing w:line="600" w:lineRule="exact"/>
        <w:jc w:val="left"/>
        <w:rPr>
          <w:rFonts w:ascii="仿宋_GB2312" w:hAnsi="仿宋" w:eastAsia="仿宋_GB2312"/>
          <w:sz w:val="20"/>
          <w:szCs w:val="20"/>
        </w:rPr>
      </w:pPr>
      <w:r>
        <w:rPr>
          <w:rFonts w:hint="eastAsia" w:ascii="仿宋_GB2312" w:hAnsi="仿宋" w:eastAsia="仿宋_GB2312"/>
          <w:sz w:val="20"/>
          <w:szCs w:val="20"/>
        </w:rPr>
        <w:t>备注：做市部门人员包括做市部门负责人、交易岗（包括备岗）、风险控制岗、技术支持岗等。</w:t>
      </w:r>
    </w:p>
    <w:p>
      <w:pPr>
        <w:widowControl/>
        <w:spacing w:line="600" w:lineRule="exact"/>
        <w:jc w:val="left"/>
        <w:rPr>
          <w:rFonts w:ascii="仿宋_GB2312" w:hAnsi="仿宋" w:eastAsia="仿宋_GB2312"/>
          <w:sz w:val="20"/>
          <w:szCs w:val="20"/>
        </w:rPr>
      </w:pPr>
    </w:p>
    <w:p>
      <w:pPr>
        <w:widowControl/>
        <w:spacing w:line="600" w:lineRule="exact"/>
        <w:jc w:val="right"/>
        <w:rPr>
          <w:rFonts w:ascii="仿宋_GB2312" w:hAnsi="黑体" w:eastAsia="仿宋_GB2312"/>
          <w:kern w:val="44"/>
          <w:sz w:val="28"/>
          <w:szCs w:val="36"/>
        </w:rPr>
      </w:pPr>
      <w:r>
        <w:rPr>
          <w:rFonts w:hint="eastAsia" w:ascii="仿宋_GB2312" w:hAnsi="黑体" w:eastAsia="仿宋_GB2312"/>
          <w:kern w:val="44"/>
          <w:sz w:val="28"/>
          <w:szCs w:val="36"/>
        </w:rPr>
        <w:t>年   月   日</w:t>
      </w:r>
    </w:p>
    <w:p>
      <w:pPr>
        <w:widowControl/>
        <w:spacing w:line="600" w:lineRule="exact"/>
        <w:jc w:val="right"/>
        <w:rPr>
          <w:rFonts w:ascii="仿宋_GB2312" w:hAnsi="黑体" w:eastAsia="仿宋_GB2312"/>
          <w:kern w:val="44"/>
          <w:sz w:val="28"/>
          <w:szCs w:val="36"/>
        </w:rPr>
      </w:pPr>
      <w:r>
        <w:rPr>
          <w:rFonts w:hint="eastAsia" w:ascii="仿宋_GB2312" w:hAnsi="黑体" w:eastAsia="仿宋_GB2312"/>
          <w:kern w:val="44"/>
          <w:sz w:val="28"/>
          <w:szCs w:val="36"/>
        </w:rPr>
        <w:t>（加盖单位公章）</w:t>
      </w:r>
    </w:p>
    <w:p>
      <w:pPr>
        <w:widowControl/>
        <w:spacing w:line="600" w:lineRule="exact"/>
        <w:ind w:right="500"/>
        <w:jc w:val="right"/>
        <w:rPr>
          <w:rFonts w:ascii="仿宋_GB2312" w:hAnsi="黑体" w:eastAsia="仿宋_GB2312"/>
          <w:kern w:val="44"/>
          <w:sz w:val="28"/>
          <w:szCs w:val="36"/>
        </w:rPr>
      </w:pPr>
      <w:r>
        <w:rPr>
          <w:rFonts w:ascii="Times New Roman" w:hAnsi="Times New Roman" w:eastAsia="仿宋_GB2312"/>
          <w:kern w:val="0"/>
          <w:sz w:val="30"/>
          <w:szCs w:val="30"/>
        </w:rPr>
        <w:br w:type="page"/>
      </w:r>
    </w:p>
    <w:p>
      <w:pPr>
        <w:pStyle w:val="3"/>
        <w:spacing w:line="600" w:lineRule="exact"/>
        <w:rPr>
          <w:rFonts w:ascii="仿宋_GB2312" w:hAnsi="黑体" w:eastAsia="仿宋_GB2312"/>
          <w:kern w:val="44"/>
          <w:sz w:val="28"/>
          <w:szCs w:val="36"/>
        </w:rPr>
      </w:pPr>
      <w:bookmarkStart w:id="191" w:name="_Toc163878355"/>
      <w:bookmarkStart w:id="192" w:name="_Toc120180566"/>
      <w:bookmarkStart w:id="193" w:name="_Toc19822"/>
      <w:bookmarkStart w:id="194" w:name="_Toc168666354"/>
      <w:bookmarkStart w:id="195" w:name="_Toc28440"/>
      <w:r>
        <w:rPr>
          <w:rFonts w:hint="eastAsia" w:ascii="仿宋_GB2312" w:hAnsi="黑体" w:eastAsia="仿宋_GB2312"/>
          <w:kern w:val="44"/>
          <w:sz w:val="28"/>
          <w:szCs w:val="36"/>
        </w:rPr>
        <w:t>附件4：提供做市服务申请</w:t>
      </w:r>
      <w:bookmarkEnd w:id="191"/>
      <w:bookmarkEnd w:id="192"/>
      <w:bookmarkEnd w:id="193"/>
      <w:bookmarkEnd w:id="194"/>
      <w:bookmarkEnd w:id="195"/>
    </w:p>
    <w:p>
      <w:pPr>
        <w:jc w:val="center"/>
        <w:rPr>
          <w:rFonts w:ascii="黑体" w:hAnsi="黑体" w:eastAsia="黑体"/>
          <w:b/>
          <w:sz w:val="36"/>
          <w:szCs w:val="36"/>
        </w:rPr>
      </w:pPr>
      <w:bookmarkStart w:id="196" w:name="_Toc25665883"/>
      <w:r>
        <w:rPr>
          <w:rFonts w:hint="eastAsia" w:ascii="黑体" w:hAnsi="黑体" w:eastAsia="黑体"/>
          <w:b/>
          <w:sz w:val="36"/>
          <w:szCs w:val="36"/>
        </w:rPr>
        <w:t>XX公司关于为XX基金（等X只基金）提供          主（一般）做市服务的申请</w:t>
      </w:r>
      <w:bookmarkEnd w:id="196"/>
    </w:p>
    <w:p>
      <w:pPr>
        <w:spacing w:beforeLines="50"/>
        <w:rPr>
          <w:rFonts w:ascii="仿宋_GB2312" w:eastAsia="仿宋_GB2312"/>
          <w:sz w:val="28"/>
          <w:szCs w:val="28"/>
        </w:rPr>
      </w:pPr>
      <w:r>
        <w:rPr>
          <w:rFonts w:hint="eastAsia" w:ascii="仿宋_GB2312" w:eastAsia="仿宋_GB2312"/>
          <w:sz w:val="28"/>
          <w:szCs w:val="28"/>
        </w:rPr>
        <w:t>上海证券交易所：</w:t>
      </w:r>
    </w:p>
    <w:p>
      <w:pPr>
        <w:ind w:firstLine="560" w:firstLineChars="200"/>
        <w:rPr>
          <w:rFonts w:ascii="仿宋_GB2312" w:hAnsi="仿宋" w:eastAsia="仿宋_GB2312" w:cs="Arial"/>
          <w:kern w:val="0"/>
          <w:sz w:val="28"/>
          <w:szCs w:val="28"/>
        </w:rPr>
      </w:pPr>
      <w:r>
        <w:rPr>
          <w:rFonts w:hint="eastAsia" w:ascii="仿宋_GB2312" w:hAnsi="仿宋" w:eastAsia="仿宋_GB2312" w:cs="Arial"/>
          <w:kern w:val="0"/>
          <w:sz w:val="28"/>
          <w:szCs w:val="28"/>
        </w:rPr>
        <w:t>根据《上海证券交易所基金自律监管规则适用指引第2号——上市基金做市业务》等相关规定，我司向你所申请为XX基金</w:t>
      </w:r>
      <w:r>
        <w:rPr>
          <w:rFonts w:hint="eastAsia" w:ascii="仿宋_GB2312" w:hAnsi="仿宋" w:eastAsia="仿宋_GB2312"/>
          <w:sz w:val="28"/>
          <w:szCs w:val="28"/>
        </w:rPr>
        <w:t>（全称）</w:t>
      </w:r>
      <w:r>
        <w:rPr>
          <w:rFonts w:hint="eastAsia" w:ascii="仿宋_GB2312" w:hAnsi="仿宋" w:eastAsia="仿宋_GB2312" w:cs="Arial"/>
          <w:kern w:val="0"/>
          <w:sz w:val="28"/>
          <w:szCs w:val="28"/>
        </w:rPr>
        <w:t>（简称：XX，基金代码：XX）提供主(一般)做市服务。</w:t>
      </w:r>
    </w:p>
    <w:p>
      <w:pPr>
        <w:ind w:firstLine="560" w:firstLineChars="200"/>
        <w:rPr>
          <w:rFonts w:ascii="仿宋_GB2312" w:hAnsi="仿宋" w:eastAsia="仿宋_GB2312" w:cs="Arial"/>
          <w:kern w:val="0"/>
          <w:sz w:val="28"/>
          <w:szCs w:val="28"/>
        </w:rPr>
      </w:pPr>
      <w:r>
        <w:rPr>
          <w:rFonts w:hint="eastAsia" w:ascii="仿宋_GB2312" w:hAnsi="仿宋" w:eastAsia="仿宋_GB2312" w:cs="Arial"/>
          <w:kern w:val="0"/>
          <w:sz w:val="28"/>
          <w:szCs w:val="28"/>
        </w:rPr>
        <w:t>我司已成为你所上市基金主（一般）做市商，并取得XX基金管理有限公司书面认可。我司具备开展业务所需的技术系统、人员和业务经验，有能力为上述基金产品提供做市服务。</w:t>
      </w:r>
    </w:p>
    <w:p>
      <w:pPr>
        <w:ind w:firstLine="560" w:firstLineChars="200"/>
        <w:rPr>
          <w:rFonts w:ascii="仿宋_GB2312" w:eastAsia="仿宋_GB2312"/>
          <w:sz w:val="28"/>
          <w:szCs w:val="28"/>
        </w:rPr>
      </w:pPr>
      <w:r>
        <w:rPr>
          <w:rFonts w:hint="eastAsia" w:ascii="仿宋_GB2312" w:eastAsia="仿宋_GB2312"/>
          <w:sz w:val="28"/>
          <w:szCs w:val="28"/>
        </w:rPr>
        <w:t>我司承诺，提交的申请材料内容真实、准确、完整，如存在虚假记载、误导性陈述和重大遗漏，将承担相关法律责任。</w:t>
      </w:r>
      <w:r>
        <w:rPr>
          <w:rFonts w:ascii="仿宋_GB2312" w:eastAsia="仿宋_GB2312"/>
          <w:sz w:val="28"/>
          <w:szCs w:val="28"/>
        </w:rPr>
        <w:t>特此申请</w:t>
      </w:r>
      <w:r>
        <w:rPr>
          <w:rFonts w:hint="eastAsia" w:ascii="仿宋_GB2312" w:eastAsia="仿宋_GB2312"/>
          <w:sz w:val="28"/>
          <w:szCs w:val="28"/>
        </w:rPr>
        <w:t>。</w:t>
      </w: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r>
        <w:rPr>
          <w:rFonts w:hint="eastAsia" w:ascii="仿宋_GB2312" w:eastAsia="仿宋_GB2312"/>
          <w:sz w:val="28"/>
          <w:szCs w:val="28"/>
        </w:rPr>
        <w:t>XX公司（盖章）</w:t>
      </w:r>
    </w:p>
    <w:p>
      <w:pPr>
        <w:ind w:firstLine="560" w:firstLineChars="200"/>
        <w:jc w:val="right"/>
        <w:rPr>
          <w:rFonts w:ascii="仿宋_GB2312" w:eastAsia="仿宋_GB2312"/>
          <w:sz w:val="28"/>
          <w:szCs w:val="28"/>
        </w:rPr>
      </w:pPr>
      <w:r>
        <w:rPr>
          <w:rFonts w:hint="eastAsia" w:ascii="仿宋_GB2312" w:eastAsia="仿宋_GB2312"/>
          <w:sz w:val="28"/>
          <w:szCs w:val="28"/>
        </w:rPr>
        <w:t>XX年XX月XX日</w:t>
      </w: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pStyle w:val="3"/>
        <w:spacing w:line="600" w:lineRule="exact"/>
        <w:rPr>
          <w:rFonts w:ascii="仿宋_GB2312" w:hAnsi="黑体" w:eastAsia="仿宋_GB2312"/>
          <w:kern w:val="44"/>
          <w:sz w:val="28"/>
          <w:szCs w:val="36"/>
        </w:rPr>
      </w:pPr>
      <w:bookmarkStart w:id="197" w:name="_Toc1441593892"/>
      <w:bookmarkStart w:id="198" w:name="_Toc8521"/>
      <w:bookmarkStart w:id="199" w:name="_Toc12808"/>
      <w:bookmarkStart w:id="200" w:name="_Toc168666355"/>
      <w:bookmarkStart w:id="201" w:name="_Toc120180567"/>
      <w:r>
        <w:rPr>
          <w:rFonts w:hint="eastAsia" w:ascii="仿宋_GB2312" w:hAnsi="黑体" w:eastAsia="仿宋_GB2312"/>
          <w:kern w:val="44"/>
          <w:sz w:val="28"/>
          <w:szCs w:val="36"/>
        </w:rPr>
        <w:t>附件5：基金管理人认可函</w:t>
      </w:r>
      <w:bookmarkEnd w:id="197"/>
      <w:bookmarkEnd w:id="198"/>
      <w:bookmarkEnd w:id="199"/>
      <w:bookmarkEnd w:id="200"/>
      <w:bookmarkEnd w:id="201"/>
    </w:p>
    <w:p>
      <w:pPr>
        <w:ind w:firstLine="560" w:firstLineChars="200"/>
        <w:jc w:val="right"/>
        <w:rPr>
          <w:rFonts w:ascii="仿宋_GB2312" w:eastAsia="仿宋_GB2312"/>
          <w:sz w:val="28"/>
          <w:szCs w:val="28"/>
        </w:rPr>
      </w:pPr>
    </w:p>
    <w:p>
      <w:pPr>
        <w:ind w:firstLine="723" w:firstLineChars="200"/>
        <w:jc w:val="center"/>
        <w:rPr>
          <w:rFonts w:ascii="黑体" w:hAnsi="黑体" w:eastAsia="黑体"/>
          <w:b/>
          <w:sz w:val="36"/>
          <w:szCs w:val="36"/>
        </w:rPr>
      </w:pPr>
      <w:r>
        <w:rPr>
          <w:rFonts w:hint="eastAsia" w:ascii="黑体" w:hAnsi="黑体" w:eastAsia="黑体"/>
          <w:b/>
          <w:kern w:val="44"/>
          <w:sz w:val="36"/>
          <w:szCs w:val="36"/>
        </w:rPr>
        <w:t>关于认可XX公司为XX基金提供做市服务的函</w:t>
      </w:r>
    </w:p>
    <w:p>
      <w:pPr>
        <w:ind w:firstLine="560" w:firstLineChars="200"/>
        <w:jc w:val="left"/>
        <w:rPr>
          <w:rFonts w:ascii="仿宋_GB2312" w:eastAsia="仿宋_GB2312"/>
          <w:sz w:val="28"/>
          <w:szCs w:val="28"/>
        </w:rPr>
      </w:pPr>
    </w:p>
    <w:p>
      <w:pPr>
        <w:ind w:firstLine="560" w:firstLineChars="200"/>
        <w:jc w:val="left"/>
        <w:rPr>
          <w:rFonts w:ascii="仿宋_GB2312" w:eastAsia="仿宋_GB2312"/>
          <w:sz w:val="28"/>
          <w:szCs w:val="28"/>
        </w:rPr>
      </w:pPr>
      <w:r>
        <w:rPr>
          <w:rFonts w:hint="eastAsia" w:ascii="仿宋_GB2312" w:eastAsia="仿宋_GB2312"/>
          <w:sz w:val="28"/>
          <w:szCs w:val="28"/>
        </w:rPr>
        <w:t>为促进XX基金（基金扩位简称：XX，基金代码：XX）的市场流动性和平稳运行，我司认可XX公司为XX基金提供做市服务。</w:t>
      </w:r>
    </w:p>
    <w:p>
      <w:pPr>
        <w:ind w:firstLine="560" w:firstLineChars="200"/>
        <w:jc w:val="left"/>
        <w:rPr>
          <w:rFonts w:ascii="仿宋_GB2312" w:eastAsia="仿宋_GB2312"/>
          <w:sz w:val="28"/>
          <w:szCs w:val="28"/>
        </w:rPr>
      </w:pPr>
      <w:r>
        <w:rPr>
          <w:rFonts w:hint="eastAsia" w:ascii="仿宋_GB2312" w:eastAsia="仿宋_GB2312"/>
          <w:sz w:val="28"/>
          <w:szCs w:val="28"/>
        </w:rPr>
        <w:t>本认可函自盖章日起1年内有效。</w:t>
      </w: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r>
        <w:rPr>
          <w:rFonts w:hint="eastAsia" w:ascii="仿宋_GB2312" w:eastAsia="仿宋_GB2312"/>
          <w:sz w:val="28"/>
          <w:szCs w:val="28"/>
        </w:rPr>
        <w:t>XX公司（盖章）</w:t>
      </w:r>
    </w:p>
    <w:p>
      <w:pPr>
        <w:ind w:firstLine="560" w:firstLineChars="200"/>
        <w:jc w:val="right"/>
        <w:rPr>
          <w:rFonts w:ascii="仿宋_GB2312" w:eastAsia="仿宋_GB2312"/>
          <w:sz w:val="28"/>
          <w:szCs w:val="28"/>
        </w:rPr>
      </w:pPr>
      <w:r>
        <w:rPr>
          <w:rFonts w:hint="eastAsia" w:ascii="仿宋_GB2312" w:eastAsia="仿宋_GB2312"/>
          <w:sz w:val="28"/>
          <w:szCs w:val="28"/>
        </w:rPr>
        <w:t>XX年XX月XX日</w:t>
      </w: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pStyle w:val="3"/>
        <w:spacing w:line="600" w:lineRule="exact"/>
        <w:rPr>
          <w:rFonts w:ascii="仿宋_GB2312" w:hAnsi="黑体" w:eastAsia="仿宋_GB2312"/>
          <w:kern w:val="44"/>
          <w:sz w:val="28"/>
          <w:szCs w:val="36"/>
        </w:rPr>
      </w:pPr>
      <w:bookmarkStart w:id="202" w:name="_Toc15101"/>
      <w:bookmarkStart w:id="203" w:name="_Toc168666356"/>
      <w:bookmarkStart w:id="204" w:name="_Toc882361687"/>
      <w:bookmarkStart w:id="205" w:name="_Toc120180568"/>
      <w:bookmarkStart w:id="206" w:name="_Toc4714"/>
      <w:r>
        <w:rPr>
          <w:rFonts w:hint="eastAsia" w:ascii="仿宋_GB2312" w:hAnsi="黑体" w:eastAsia="仿宋_GB2312"/>
          <w:kern w:val="44"/>
          <w:sz w:val="28"/>
          <w:szCs w:val="36"/>
        </w:rPr>
        <w:t>附件6：做市服务专用账户信息报备表</w:t>
      </w:r>
      <w:bookmarkEnd w:id="202"/>
      <w:bookmarkEnd w:id="203"/>
      <w:bookmarkEnd w:id="204"/>
      <w:bookmarkEnd w:id="205"/>
      <w:bookmarkEnd w:id="206"/>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127"/>
        <w:gridCol w:w="1984"/>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rPr>
            </w:pPr>
            <w:r>
              <w:rPr>
                <w:rFonts w:hint="eastAsia" w:ascii="仿宋_GB2312" w:hAnsi="仿宋" w:eastAsia="仿宋_GB2312"/>
                <w:b/>
                <w:sz w:val="24"/>
                <w:szCs w:val="20"/>
              </w:rPr>
              <w:t>公司名称</w:t>
            </w:r>
          </w:p>
        </w:tc>
        <w:tc>
          <w:tcPr>
            <w:tcW w:w="614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cs="Times New Roman"/>
                <w:b/>
                <w:bCs/>
                <w:kern w:val="4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rPr>
            </w:pPr>
            <w:r>
              <w:rPr>
                <w:rFonts w:hint="eastAsia" w:ascii="仿宋_GB2312" w:hAnsi="仿宋" w:eastAsia="仿宋_GB2312"/>
                <w:b/>
                <w:sz w:val="24"/>
                <w:szCs w:val="20"/>
              </w:rPr>
              <w:t>申请提供做市服务的基金（名称、代码）</w:t>
            </w:r>
          </w:p>
        </w:tc>
        <w:tc>
          <w:tcPr>
            <w:tcW w:w="614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cs="Times New Roman"/>
                <w:b/>
                <w:bCs/>
                <w:kern w:val="44"/>
                <w:sz w:val="24"/>
                <w:szCs w:val="20"/>
              </w:rPr>
            </w:pPr>
          </w:p>
          <w:p>
            <w:pPr>
              <w:spacing w:line="600" w:lineRule="exact"/>
              <w:rPr>
                <w:rFonts w:ascii="仿宋_GB2312" w:hAnsi="仿宋" w:eastAsia="仿宋_GB2312" w:cs="Times New Roman"/>
                <w:b/>
                <w:bCs/>
                <w:kern w:val="4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rPr>
            </w:pPr>
            <w:r>
              <w:rPr>
                <w:rFonts w:hint="eastAsia" w:ascii="仿宋_GB2312" w:hAnsi="仿宋" w:eastAsia="仿宋_GB2312"/>
                <w:b/>
                <w:sz w:val="24"/>
                <w:szCs w:val="20"/>
              </w:rPr>
              <w:t>申请提供做市服务类型</w:t>
            </w:r>
          </w:p>
        </w:tc>
        <w:tc>
          <w:tcPr>
            <w:tcW w:w="614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ind w:firstLine="420" w:firstLineChars="150"/>
              <w:rPr>
                <w:rFonts w:ascii="仿宋_GB2312" w:hAnsi="仿宋" w:eastAsia="仿宋_GB2312"/>
                <w:b/>
                <w:sz w:val="24"/>
                <w:szCs w:val="20"/>
              </w:rPr>
            </w:pPr>
            <w:r>
              <w:rPr>
                <w:rFonts w:hint="eastAsia" w:ascii="仿宋_GB2312" w:hAnsi="仿宋" w:eastAsia="仿宋_GB2312"/>
                <w:sz w:val="28"/>
                <w:szCs w:val="28"/>
              </w:rPr>
              <w:t>□主做市服务      □一般做市服务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3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rPr>
            </w:pPr>
            <w:r>
              <w:rPr>
                <w:rFonts w:hint="eastAsia" w:ascii="仿宋_GB2312" w:hAnsi="仿宋" w:eastAsia="仿宋_GB2312"/>
                <w:b/>
                <w:sz w:val="24"/>
                <w:szCs w:val="20"/>
              </w:rPr>
              <w:t>交易单元</w:t>
            </w: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仿宋_GB2312" w:hAnsi="仿宋" w:eastAsia="仿宋_GB2312" w:cs="Times New Roman"/>
                <w:b/>
                <w:bCs/>
                <w:kern w:val="44"/>
                <w:sz w:val="24"/>
                <w:szCs w:val="20"/>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rPr>
            </w:pPr>
            <w:r>
              <w:rPr>
                <w:rFonts w:hint="eastAsia" w:ascii="仿宋_GB2312" w:hAnsi="仿宋" w:eastAsia="仿宋_GB2312"/>
                <w:b/>
                <w:sz w:val="24"/>
                <w:szCs w:val="20"/>
              </w:rPr>
              <w:t>专用证券账户</w:t>
            </w:r>
          </w:p>
        </w:tc>
        <w:tc>
          <w:tcPr>
            <w:tcW w:w="2035"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cs="Times New Roman"/>
                <w:b/>
                <w:bCs/>
                <w:kern w:val="4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37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仿宋_GB2312" w:hAnsi="仿宋" w:eastAsia="仿宋_GB2312"/>
                <w:b/>
                <w:sz w:val="24"/>
                <w:szCs w:val="20"/>
              </w:rPr>
            </w:pPr>
            <w:r>
              <w:rPr>
                <w:rFonts w:hint="eastAsia" w:ascii="仿宋_GB2312" w:hAnsi="仿宋" w:eastAsia="仿宋_GB2312"/>
                <w:b/>
                <w:sz w:val="24"/>
                <w:szCs w:val="20"/>
              </w:rPr>
              <w:t>拟开始提供做市服务日期</w:t>
            </w:r>
          </w:p>
        </w:tc>
        <w:tc>
          <w:tcPr>
            <w:tcW w:w="614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cs="Times New Roman"/>
                <w:b/>
                <w:bCs/>
                <w:kern w:val="44"/>
                <w:sz w:val="24"/>
                <w:szCs w:val="20"/>
              </w:rPr>
            </w:pPr>
          </w:p>
          <w:p>
            <w:pPr>
              <w:spacing w:line="600" w:lineRule="exact"/>
              <w:rPr>
                <w:rFonts w:ascii="仿宋_GB2312" w:hAnsi="仿宋" w:eastAsia="仿宋_GB2312" w:cs="Times New Roman"/>
                <w:b/>
                <w:bCs/>
                <w:kern w:val="44"/>
                <w:sz w:val="24"/>
                <w:szCs w:val="20"/>
              </w:rPr>
            </w:pPr>
          </w:p>
        </w:tc>
      </w:tr>
    </w:tbl>
    <w:p>
      <w:pPr>
        <w:widowControl/>
        <w:spacing w:line="600" w:lineRule="exact"/>
        <w:jc w:val="right"/>
        <w:rPr>
          <w:rFonts w:ascii="仿宋_GB2312" w:hAnsi="黑体" w:eastAsia="仿宋_GB2312"/>
          <w:kern w:val="44"/>
          <w:sz w:val="28"/>
          <w:szCs w:val="36"/>
        </w:rPr>
      </w:pPr>
    </w:p>
    <w:p>
      <w:pPr>
        <w:widowControl/>
        <w:spacing w:line="600" w:lineRule="exact"/>
        <w:jc w:val="right"/>
        <w:rPr>
          <w:rFonts w:ascii="仿宋_GB2312" w:hAnsi="黑体" w:eastAsia="仿宋_GB2312"/>
          <w:kern w:val="44"/>
          <w:sz w:val="28"/>
          <w:szCs w:val="36"/>
        </w:rPr>
      </w:pPr>
    </w:p>
    <w:p>
      <w:pPr>
        <w:widowControl/>
        <w:spacing w:line="600" w:lineRule="exact"/>
        <w:jc w:val="right"/>
        <w:rPr>
          <w:rFonts w:ascii="仿宋_GB2312" w:hAnsi="黑体" w:eastAsia="仿宋_GB2312"/>
          <w:kern w:val="44"/>
          <w:sz w:val="28"/>
          <w:szCs w:val="36"/>
        </w:rPr>
      </w:pPr>
      <w:r>
        <w:rPr>
          <w:rFonts w:hint="eastAsia" w:ascii="仿宋_GB2312" w:hAnsi="黑体" w:eastAsia="仿宋_GB2312"/>
          <w:kern w:val="44"/>
          <w:sz w:val="28"/>
          <w:szCs w:val="36"/>
        </w:rPr>
        <w:t>年   月   日</w:t>
      </w:r>
    </w:p>
    <w:p>
      <w:pPr>
        <w:widowControl/>
        <w:spacing w:line="600" w:lineRule="exact"/>
        <w:jc w:val="right"/>
        <w:rPr>
          <w:rFonts w:ascii="仿宋_GB2312" w:hAnsi="黑体" w:eastAsia="仿宋_GB2312"/>
          <w:kern w:val="44"/>
          <w:sz w:val="28"/>
          <w:szCs w:val="36"/>
        </w:rPr>
      </w:pPr>
      <w:r>
        <w:rPr>
          <w:rFonts w:hint="eastAsia" w:ascii="仿宋_GB2312" w:hAnsi="黑体" w:eastAsia="仿宋_GB2312"/>
          <w:kern w:val="44"/>
          <w:sz w:val="28"/>
          <w:szCs w:val="36"/>
        </w:rPr>
        <w:t>（加盖单位公章）</w:t>
      </w:r>
    </w:p>
    <w:p>
      <w:pPr>
        <w:spacing w:beforeLines="50"/>
        <w:jc w:val="center"/>
        <w:rPr>
          <w:rFonts w:ascii="黑体" w:hAnsi="黑体" w:eastAsia="黑体"/>
          <w:b/>
          <w:sz w:val="36"/>
          <w:szCs w:val="36"/>
        </w:rPr>
      </w:pPr>
    </w:p>
    <w:p>
      <w:pPr>
        <w:spacing w:beforeLines="50"/>
        <w:jc w:val="center"/>
        <w:rPr>
          <w:rFonts w:ascii="黑体" w:hAnsi="黑体" w:eastAsia="黑体"/>
          <w:b/>
          <w:sz w:val="36"/>
          <w:szCs w:val="36"/>
        </w:rPr>
      </w:pPr>
    </w:p>
    <w:p>
      <w:pPr>
        <w:spacing w:beforeLines="50"/>
        <w:jc w:val="center"/>
        <w:rPr>
          <w:rFonts w:ascii="黑体" w:hAnsi="黑体" w:eastAsia="黑体"/>
          <w:b/>
          <w:sz w:val="36"/>
          <w:szCs w:val="36"/>
        </w:rPr>
      </w:pPr>
    </w:p>
    <w:p>
      <w:pPr>
        <w:spacing w:beforeLines="50"/>
        <w:jc w:val="center"/>
        <w:rPr>
          <w:rFonts w:ascii="黑体" w:hAnsi="黑体" w:eastAsia="黑体"/>
          <w:b/>
          <w:sz w:val="36"/>
          <w:szCs w:val="36"/>
        </w:rPr>
      </w:pPr>
    </w:p>
    <w:p>
      <w:pPr>
        <w:spacing w:beforeLines="50"/>
        <w:jc w:val="center"/>
        <w:rPr>
          <w:rFonts w:ascii="黑体" w:hAnsi="黑体" w:eastAsia="黑体"/>
          <w:b/>
          <w:sz w:val="36"/>
          <w:szCs w:val="36"/>
        </w:rPr>
      </w:pPr>
    </w:p>
    <w:p>
      <w:pPr>
        <w:pStyle w:val="3"/>
        <w:spacing w:line="600" w:lineRule="exact"/>
        <w:rPr>
          <w:rFonts w:ascii="仿宋_GB2312" w:hAnsi="黑体" w:eastAsia="仿宋_GB2312"/>
          <w:b w:val="0"/>
          <w:kern w:val="44"/>
          <w:sz w:val="28"/>
          <w:szCs w:val="36"/>
        </w:rPr>
      </w:pPr>
      <w:bookmarkStart w:id="207" w:name="_Toc639542457"/>
      <w:bookmarkStart w:id="208" w:name="_Toc168666357"/>
      <w:bookmarkStart w:id="209" w:name="_Toc120180569"/>
      <w:bookmarkStart w:id="210" w:name="_Toc25091"/>
      <w:bookmarkStart w:id="211" w:name="_Toc18009"/>
      <w:r>
        <w:rPr>
          <w:rFonts w:hint="eastAsia" w:ascii="仿宋_GB2312" w:hAnsi="黑体" w:eastAsia="仿宋_GB2312"/>
          <w:kern w:val="44"/>
          <w:sz w:val="28"/>
          <w:szCs w:val="36"/>
        </w:rPr>
        <w:t>附件7：专用证券账户变更申请表</w:t>
      </w:r>
      <w:bookmarkEnd w:id="207"/>
      <w:bookmarkEnd w:id="208"/>
      <w:bookmarkEnd w:id="209"/>
      <w:bookmarkEnd w:id="210"/>
      <w:bookmarkEnd w:id="211"/>
    </w:p>
    <w:p>
      <w:pPr>
        <w:spacing w:beforeLines="50"/>
        <w:jc w:val="center"/>
        <w:rPr>
          <w:rFonts w:ascii="黑体" w:hAnsi="黑体" w:eastAsia="黑体"/>
          <w:b/>
          <w:sz w:val="36"/>
          <w:szCs w:val="36"/>
        </w:rPr>
      </w:pPr>
    </w:p>
    <w:p>
      <w:pPr>
        <w:spacing w:beforeLines="50"/>
        <w:jc w:val="center"/>
        <w:rPr>
          <w:rFonts w:ascii="黑体" w:hAnsi="黑体" w:eastAsia="黑体"/>
          <w:b/>
          <w:sz w:val="36"/>
          <w:szCs w:val="36"/>
        </w:rPr>
      </w:pPr>
      <w:r>
        <w:rPr>
          <w:rFonts w:hint="eastAsia" w:ascii="黑体" w:hAnsi="黑体" w:eastAsia="黑体"/>
          <w:b/>
          <w:sz w:val="36"/>
          <w:szCs w:val="36"/>
        </w:rPr>
        <w:t>XX公司关于专用</w:t>
      </w:r>
      <w:r>
        <w:rPr>
          <w:rFonts w:ascii="黑体" w:hAnsi="黑体" w:eastAsia="黑体"/>
          <w:b/>
          <w:sz w:val="36"/>
          <w:szCs w:val="36"/>
        </w:rPr>
        <w:t>证券账户</w:t>
      </w:r>
      <w:r>
        <w:rPr>
          <w:rFonts w:hint="eastAsia" w:ascii="黑体" w:hAnsi="黑体" w:eastAsia="黑体"/>
          <w:b/>
          <w:sz w:val="36"/>
          <w:szCs w:val="36"/>
        </w:rPr>
        <w:t>变更的申请</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上海证券交易所：</w:t>
      </w:r>
    </w:p>
    <w:p>
      <w:pPr>
        <w:ind w:firstLine="560" w:firstLineChars="200"/>
        <w:rPr>
          <w:rFonts w:ascii="仿宋_GB2312" w:hAnsi="仿宋" w:eastAsia="仿宋_GB2312" w:cs="Arial"/>
          <w:kern w:val="0"/>
          <w:sz w:val="28"/>
          <w:szCs w:val="28"/>
        </w:rPr>
      </w:pPr>
      <w:r>
        <w:rPr>
          <w:rFonts w:hint="eastAsia" w:ascii="仿宋_GB2312" w:hAnsi="仿宋" w:eastAsia="仿宋_GB2312" w:cs="Arial"/>
          <w:kern w:val="0"/>
          <w:sz w:val="28"/>
          <w:szCs w:val="28"/>
        </w:rPr>
        <w:t>根据《上海证券交易所基金自律监管规则适用指引第2号——上市基金做市业务》等相关规定，我司向你所申请变更专用，原因如下：XXX。</w:t>
      </w:r>
    </w:p>
    <w:p>
      <w:pPr>
        <w:ind w:firstLine="560" w:firstLineChars="200"/>
        <w:rPr>
          <w:rFonts w:ascii="仿宋_GB2312" w:eastAsia="仿宋_GB2312"/>
          <w:sz w:val="28"/>
          <w:szCs w:val="28"/>
        </w:rPr>
      </w:pPr>
      <w:r>
        <w:rPr>
          <w:rFonts w:hint="eastAsia" w:ascii="仿宋_GB2312" w:hAnsi="仿宋" w:eastAsia="仿宋_GB2312" w:cs="Arial"/>
          <w:kern w:val="0"/>
          <w:sz w:val="28"/>
          <w:szCs w:val="28"/>
        </w:rPr>
        <w:t>拟于</w:t>
      </w:r>
      <w:r>
        <w:rPr>
          <w:rFonts w:ascii="仿宋_GB2312" w:hAnsi="仿宋" w:eastAsia="仿宋_GB2312" w:cs="Arial"/>
          <w:kern w:val="0"/>
          <w:sz w:val="28"/>
          <w:szCs w:val="28"/>
        </w:rPr>
        <w:t>XXXX年XX月XX日，</w:t>
      </w:r>
      <w:r>
        <w:rPr>
          <w:rFonts w:hint="eastAsia" w:ascii="仿宋_GB2312" w:hAnsi="仿宋" w:eastAsia="仿宋_GB2312" w:cs="Arial"/>
          <w:kern w:val="0"/>
          <w:sz w:val="28"/>
          <w:szCs w:val="28"/>
        </w:rPr>
        <w:t>开始使用新专用证券账户。</w:t>
      </w:r>
    </w:p>
    <w:p>
      <w:pPr>
        <w:ind w:firstLine="562" w:firstLineChars="200"/>
        <w:rPr>
          <w:rFonts w:ascii="仿宋_GB2312" w:hAnsi="仿宋" w:eastAsia="仿宋_GB2312" w:cs="Arial"/>
          <w:kern w:val="0"/>
          <w:sz w:val="28"/>
          <w:szCs w:val="28"/>
        </w:rPr>
      </w:pPr>
      <w:r>
        <w:rPr>
          <w:rFonts w:hint="eastAsia" w:ascii="仿宋_GB2312" w:hAnsi="仿宋" w:eastAsia="仿宋_GB2312" w:cs="Arial"/>
          <w:b/>
          <w:kern w:val="0"/>
          <w:sz w:val="28"/>
          <w:szCs w:val="28"/>
        </w:rPr>
        <w:t>原有</w:t>
      </w:r>
      <w:r>
        <w:rPr>
          <w:rFonts w:hint="eastAsia" w:ascii="仿宋_GB2312" w:hAnsi="仿宋" w:eastAsia="仿宋_GB2312" w:cs="Arial"/>
          <w:kern w:val="0"/>
          <w:sz w:val="28"/>
          <w:szCs w:val="28"/>
        </w:rPr>
        <w:t>专用证券账户和</w:t>
      </w:r>
      <w:r>
        <w:rPr>
          <w:rFonts w:hint="eastAsia" w:ascii="仿宋_GB2312" w:hAnsi="仿宋" w:eastAsia="仿宋_GB2312" w:cs="Arial"/>
          <w:b/>
          <w:kern w:val="0"/>
          <w:sz w:val="28"/>
          <w:szCs w:val="28"/>
        </w:rPr>
        <w:t>变更后</w:t>
      </w:r>
      <w:r>
        <w:rPr>
          <w:rFonts w:hint="eastAsia" w:ascii="仿宋_GB2312" w:hAnsi="仿宋" w:eastAsia="仿宋_GB2312" w:cs="Arial"/>
          <w:kern w:val="0"/>
          <w:sz w:val="28"/>
          <w:szCs w:val="28"/>
        </w:rPr>
        <w:t>专用证券账户如下表所示：</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701"/>
        <w:gridCol w:w="255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rPr>
            </w:pPr>
            <w:r>
              <w:rPr>
                <w:rFonts w:hint="eastAsia" w:ascii="仿宋_GB2312" w:eastAsia="仿宋_GB2312"/>
                <w:sz w:val="28"/>
                <w:szCs w:val="28"/>
              </w:rPr>
              <w:t>基金简称</w:t>
            </w:r>
          </w:p>
        </w:tc>
        <w:tc>
          <w:tcPr>
            <w:tcW w:w="1701" w:type="dxa"/>
          </w:tcPr>
          <w:p>
            <w:pPr>
              <w:rPr>
                <w:rFonts w:ascii="仿宋_GB2312" w:eastAsia="仿宋_GB2312"/>
                <w:sz w:val="28"/>
                <w:szCs w:val="28"/>
              </w:rPr>
            </w:pPr>
            <w:r>
              <w:rPr>
                <w:rFonts w:hint="eastAsia" w:ascii="仿宋_GB2312" w:eastAsia="仿宋_GB2312"/>
                <w:sz w:val="28"/>
                <w:szCs w:val="28"/>
              </w:rPr>
              <w:t>基金代码</w:t>
            </w:r>
          </w:p>
        </w:tc>
        <w:tc>
          <w:tcPr>
            <w:tcW w:w="2551" w:type="dxa"/>
          </w:tcPr>
          <w:p>
            <w:pPr>
              <w:rPr>
                <w:rFonts w:ascii="仿宋_GB2312" w:eastAsia="仿宋_GB2312"/>
                <w:sz w:val="28"/>
                <w:szCs w:val="28"/>
              </w:rPr>
            </w:pPr>
            <w:r>
              <w:rPr>
                <w:rFonts w:hint="eastAsia" w:ascii="仿宋_GB2312" w:eastAsia="仿宋_GB2312"/>
                <w:b/>
                <w:sz w:val="28"/>
                <w:szCs w:val="28"/>
              </w:rPr>
              <w:t>原有</w:t>
            </w:r>
            <w:r>
              <w:rPr>
                <w:rFonts w:hint="eastAsia" w:ascii="仿宋_GB2312" w:eastAsia="仿宋_GB2312"/>
                <w:sz w:val="28"/>
                <w:szCs w:val="28"/>
              </w:rPr>
              <w:t>专用证券账户</w:t>
            </w:r>
          </w:p>
        </w:tc>
        <w:tc>
          <w:tcPr>
            <w:tcW w:w="2835" w:type="dxa"/>
          </w:tcPr>
          <w:p>
            <w:pPr>
              <w:rPr>
                <w:rFonts w:ascii="仿宋_GB2312" w:eastAsia="仿宋_GB2312"/>
                <w:sz w:val="28"/>
                <w:szCs w:val="28"/>
              </w:rPr>
            </w:pPr>
            <w:r>
              <w:rPr>
                <w:rFonts w:hint="eastAsia" w:ascii="仿宋_GB2312" w:hAnsi="仿宋" w:eastAsia="仿宋_GB2312" w:cs="Arial"/>
                <w:b/>
                <w:kern w:val="0"/>
                <w:sz w:val="28"/>
                <w:szCs w:val="28"/>
              </w:rPr>
              <w:t>变更后</w:t>
            </w:r>
            <w:r>
              <w:rPr>
                <w:rFonts w:hint="eastAsia" w:ascii="仿宋_GB2312" w:hAnsi="仿宋" w:eastAsia="仿宋_GB2312" w:cs="Arial"/>
                <w:kern w:val="0"/>
                <w:sz w:val="28"/>
                <w:szCs w:val="28"/>
              </w:rPr>
              <w:t>专用证券账户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rPr>
            </w:pPr>
          </w:p>
        </w:tc>
        <w:tc>
          <w:tcPr>
            <w:tcW w:w="1701" w:type="dxa"/>
          </w:tcPr>
          <w:p>
            <w:pPr>
              <w:rPr>
                <w:rFonts w:ascii="仿宋_GB2312" w:eastAsia="仿宋_GB2312"/>
                <w:sz w:val="28"/>
                <w:szCs w:val="28"/>
              </w:rPr>
            </w:pPr>
          </w:p>
        </w:tc>
        <w:tc>
          <w:tcPr>
            <w:tcW w:w="2551" w:type="dxa"/>
          </w:tcPr>
          <w:p>
            <w:pPr>
              <w:rPr>
                <w:rFonts w:ascii="仿宋_GB2312" w:eastAsia="仿宋_GB2312"/>
                <w:sz w:val="28"/>
                <w:szCs w:val="28"/>
              </w:rPr>
            </w:pPr>
          </w:p>
        </w:tc>
        <w:tc>
          <w:tcPr>
            <w:tcW w:w="2835" w:type="dxa"/>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rPr>
            </w:pPr>
          </w:p>
        </w:tc>
        <w:tc>
          <w:tcPr>
            <w:tcW w:w="1701" w:type="dxa"/>
          </w:tcPr>
          <w:p>
            <w:pPr>
              <w:rPr>
                <w:rFonts w:ascii="仿宋_GB2312" w:eastAsia="仿宋_GB2312"/>
                <w:sz w:val="28"/>
                <w:szCs w:val="28"/>
              </w:rPr>
            </w:pPr>
          </w:p>
        </w:tc>
        <w:tc>
          <w:tcPr>
            <w:tcW w:w="2551" w:type="dxa"/>
          </w:tcPr>
          <w:p>
            <w:pPr>
              <w:rPr>
                <w:rFonts w:ascii="仿宋_GB2312" w:eastAsia="仿宋_GB2312"/>
                <w:sz w:val="28"/>
                <w:szCs w:val="28"/>
              </w:rPr>
            </w:pPr>
          </w:p>
        </w:tc>
        <w:tc>
          <w:tcPr>
            <w:tcW w:w="2835" w:type="dxa"/>
          </w:tcPr>
          <w:p>
            <w:pPr>
              <w:rPr>
                <w:rFonts w:ascii="仿宋_GB2312" w:eastAsia="仿宋_GB2312"/>
                <w:sz w:val="28"/>
                <w:szCs w:val="28"/>
              </w:rPr>
            </w:pPr>
          </w:p>
        </w:tc>
      </w:tr>
    </w:tbl>
    <w:p>
      <w:pPr>
        <w:ind w:firstLine="560" w:firstLineChars="200"/>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特此申请。</w:t>
      </w: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r>
        <w:rPr>
          <w:rFonts w:hint="eastAsia" w:ascii="仿宋_GB2312" w:eastAsia="仿宋_GB2312"/>
          <w:sz w:val="28"/>
          <w:szCs w:val="28"/>
        </w:rPr>
        <w:t>XX公司（盖章）</w:t>
      </w:r>
    </w:p>
    <w:p>
      <w:pPr>
        <w:ind w:firstLine="560" w:firstLineChars="200"/>
        <w:jc w:val="right"/>
        <w:rPr>
          <w:rFonts w:ascii="仿宋_GB2312" w:eastAsia="仿宋_GB2312"/>
          <w:sz w:val="28"/>
          <w:szCs w:val="28"/>
        </w:rPr>
      </w:pPr>
      <w:r>
        <w:rPr>
          <w:rFonts w:hint="eastAsia" w:ascii="仿宋_GB2312" w:eastAsia="仿宋_GB2312"/>
          <w:sz w:val="28"/>
          <w:szCs w:val="28"/>
        </w:rPr>
        <w:t>XX年XX月XX日</w:t>
      </w:r>
    </w:p>
    <w:p/>
    <w:p>
      <w:pPr>
        <w:pStyle w:val="3"/>
        <w:spacing w:line="600" w:lineRule="exact"/>
        <w:rPr>
          <w:rFonts w:ascii="仿宋_GB2312" w:hAnsi="黑体" w:eastAsia="仿宋_GB2312"/>
          <w:kern w:val="44"/>
          <w:sz w:val="28"/>
          <w:szCs w:val="36"/>
        </w:rPr>
      </w:pPr>
      <w:bookmarkStart w:id="212" w:name="_Toc13489"/>
      <w:bookmarkStart w:id="213" w:name="_Toc120180570"/>
      <w:bookmarkStart w:id="214" w:name="_Toc168666358"/>
      <w:bookmarkStart w:id="215" w:name="_Toc31049"/>
      <w:bookmarkStart w:id="216" w:name="_Toc1186390038"/>
      <w:r>
        <w:rPr>
          <w:rFonts w:hint="eastAsia" w:ascii="仿宋_GB2312" w:hAnsi="黑体" w:eastAsia="仿宋_GB2312"/>
          <w:kern w:val="44"/>
          <w:sz w:val="28"/>
          <w:szCs w:val="36"/>
        </w:rPr>
        <w:t>附件8：申请终止做市服务</w:t>
      </w:r>
      <w:bookmarkEnd w:id="212"/>
      <w:bookmarkEnd w:id="213"/>
      <w:bookmarkEnd w:id="214"/>
      <w:bookmarkEnd w:id="215"/>
      <w:bookmarkEnd w:id="216"/>
    </w:p>
    <w:p>
      <w:pPr>
        <w:pStyle w:val="6"/>
        <w:spacing w:line="500" w:lineRule="exact"/>
        <w:ind w:right="1264" w:firstLine="0" w:firstLineChars="0"/>
        <w:jc w:val="center"/>
        <w:rPr>
          <w:rFonts w:ascii="方正大标宋简体" w:eastAsia="方正大标宋简体"/>
          <w:b/>
          <w:color w:val="000000"/>
          <w:sz w:val="44"/>
          <w:szCs w:val="44"/>
        </w:rPr>
      </w:pPr>
      <w:bookmarkStart w:id="217" w:name="_Toc25665886"/>
      <w:r>
        <w:rPr>
          <w:rFonts w:hint="eastAsia"/>
          <w:b/>
          <w:color w:val="000000"/>
          <w:sz w:val="28"/>
        </w:rPr>
        <w:t xml:space="preserve">     </w:t>
      </w:r>
      <w:r>
        <w:rPr>
          <w:rFonts w:hint="eastAsia"/>
          <w:b/>
          <w:color w:val="000000"/>
          <w:sz w:val="44"/>
          <w:szCs w:val="44"/>
        </w:rPr>
        <w:t xml:space="preserve">  </w:t>
      </w:r>
    </w:p>
    <w:p>
      <w:pPr>
        <w:spacing w:beforeLines="50"/>
        <w:jc w:val="center"/>
        <w:rPr>
          <w:rFonts w:ascii="黑体" w:hAnsi="黑体" w:eastAsia="黑体"/>
          <w:b/>
          <w:sz w:val="36"/>
          <w:szCs w:val="36"/>
        </w:rPr>
      </w:pPr>
      <w:r>
        <w:rPr>
          <w:rFonts w:hint="eastAsia" w:ascii="黑体" w:hAnsi="黑体" w:eastAsia="黑体"/>
          <w:b/>
          <w:sz w:val="36"/>
          <w:szCs w:val="36"/>
        </w:rPr>
        <w:t>XX公司关于终止为XX基金等X只基金提供</w:t>
      </w:r>
    </w:p>
    <w:p>
      <w:pPr>
        <w:spacing w:beforeLines="50"/>
        <w:jc w:val="center"/>
        <w:rPr>
          <w:rFonts w:ascii="黑体" w:hAnsi="黑体" w:eastAsia="黑体"/>
          <w:b/>
          <w:sz w:val="36"/>
          <w:szCs w:val="36"/>
        </w:rPr>
      </w:pPr>
      <w:r>
        <w:rPr>
          <w:rFonts w:hint="eastAsia" w:ascii="黑体" w:hAnsi="黑体" w:eastAsia="黑体"/>
          <w:b/>
          <w:sz w:val="36"/>
          <w:szCs w:val="36"/>
        </w:rPr>
        <w:t>主（一般）做市服务的</w:t>
      </w:r>
      <w:bookmarkEnd w:id="217"/>
      <w:r>
        <w:rPr>
          <w:rFonts w:hint="eastAsia" w:ascii="黑体" w:hAnsi="黑体" w:eastAsia="黑体"/>
          <w:b/>
          <w:sz w:val="36"/>
          <w:szCs w:val="36"/>
        </w:rPr>
        <w:t>申请</w:t>
      </w:r>
    </w:p>
    <w:p>
      <w:pPr>
        <w:rPr>
          <w:rFonts w:ascii="仿宋_GB2312" w:eastAsia="仿宋_GB2312"/>
          <w:sz w:val="28"/>
          <w:szCs w:val="28"/>
        </w:rPr>
      </w:pPr>
      <w:r>
        <w:rPr>
          <w:rFonts w:hint="eastAsia" w:ascii="仿宋_GB2312" w:eastAsia="仿宋_GB2312"/>
          <w:sz w:val="28"/>
          <w:szCs w:val="28"/>
        </w:rPr>
        <w:t>上海证券交易所：</w:t>
      </w:r>
    </w:p>
    <w:p>
      <w:pPr>
        <w:ind w:firstLine="560" w:firstLineChars="200"/>
        <w:rPr>
          <w:rFonts w:ascii="仿宋_GB2312" w:hAnsi="仿宋" w:eastAsia="仿宋_GB2312" w:cs="Arial"/>
          <w:kern w:val="0"/>
          <w:sz w:val="28"/>
          <w:szCs w:val="28"/>
        </w:rPr>
      </w:pPr>
      <w:r>
        <w:rPr>
          <w:rFonts w:hint="eastAsia" w:ascii="仿宋_GB2312" w:hAnsi="仿宋" w:eastAsia="仿宋_GB2312" w:cs="Arial"/>
          <w:kern w:val="0"/>
          <w:sz w:val="28"/>
          <w:szCs w:val="28"/>
        </w:rPr>
        <w:t>根据《上海证券交易所基金自律监管规则适用指引第2号——上市基金做市业务》等相关规定，我司向你所申请终止为XX基金</w:t>
      </w:r>
      <w:r>
        <w:rPr>
          <w:rFonts w:hint="eastAsia" w:ascii="仿宋_GB2312" w:hAnsi="仿宋" w:eastAsia="仿宋_GB2312"/>
          <w:sz w:val="28"/>
          <w:szCs w:val="28"/>
        </w:rPr>
        <w:t>（全称）</w:t>
      </w:r>
      <w:r>
        <w:rPr>
          <w:rFonts w:hint="eastAsia" w:ascii="仿宋_GB2312" w:hAnsi="仿宋" w:eastAsia="仿宋_GB2312" w:cs="Arial"/>
          <w:kern w:val="0"/>
          <w:sz w:val="28"/>
          <w:szCs w:val="28"/>
        </w:rPr>
        <w:t>（简称XX，基金代码XX）提供主(一般)做市服务。我司已与XX基金管理公司协商一致，拟自xx年x月x日起终止为上述基金提供主(一般)做市服务。基金产品对应做市服务交易单元号和专用证券账户如下表所示：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701"/>
        <w:gridCol w:w="2409"/>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rPr>
            </w:pPr>
            <w:r>
              <w:rPr>
                <w:rFonts w:hint="eastAsia" w:ascii="仿宋_GB2312" w:eastAsia="仿宋_GB2312"/>
                <w:sz w:val="28"/>
                <w:szCs w:val="28"/>
              </w:rPr>
              <w:t>基金简称</w:t>
            </w:r>
          </w:p>
        </w:tc>
        <w:tc>
          <w:tcPr>
            <w:tcW w:w="1701" w:type="dxa"/>
          </w:tcPr>
          <w:p>
            <w:pPr>
              <w:rPr>
                <w:rFonts w:ascii="仿宋_GB2312" w:eastAsia="仿宋_GB2312"/>
                <w:sz w:val="28"/>
                <w:szCs w:val="28"/>
              </w:rPr>
            </w:pPr>
            <w:r>
              <w:rPr>
                <w:rFonts w:hint="eastAsia" w:ascii="仿宋_GB2312" w:eastAsia="仿宋_GB2312"/>
                <w:sz w:val="28"/>
                <w:szCs w:val="28"/>
              </w:rPr>
              <w:t>基金代码</w:t>
            </w:r>
          </w:p>
        </w:tc>
        <w:tc>
          <w:tcPr>
            <w:tcW w:w="2409" w:type="dxa"/>
          </w:tcPr>
          <w:p>
            <w:pPr>
              <w:rPr>
                <w:rFonts w:ascii="仿宋_GB2312" w:eastAsia="仿宋_GB2312"/>
                <w:sz w:val="28"/>
                <w:szCs w:val="28"/>
              </w:rPr>
            </w:pPr>
            <w:r>
              <w:rPr>
                <w:rFonts w:hint="eastAsia" w:ascii="仿宋_GB2312" w:eastAsia="仿宋_GB2312"/>
                <w:sz w:val="28"/>
                <w:szCs w:val="28"/>
              </w:rPr>
              <w:t>交易单元号</w:t>
            </w:r>
          </w:p>
        </w:tc>
        <w:tc>
          <w:tcPr>
            <w:tcW w:w="2744" w:type="dxa"/>
          </w:tcPr>
          <w:p>
            <w:pPr>
              <w:rPr>
                <w:rFonts w:ascii="仿宋_GB2312" w:eastAsia="仿宋_GB2312"/>
                <w:sz w:val="28"/>
                <w:szCs w:val="28"/>
              </w:rPr>
            </w:pPr>
            <w:r>
              <w:rPr>
                <w:rFonts w:hint="eastAsia" w:ascii="仿宋_GB2312" w:eastAsia="仿宋_GB2312"/>
                <w:sz w:val="28"/>
                <w:szCs w:val="28"/>
              </w:rPr>
              <w:t>专用证券账户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rPr>
            </w:pPr>
          </w:p>
        </w:tc>
        <w:tc>
          <w:tcPr>
            <w:tcW w:w="1701" w:type="dxa"/>
          </w:tcPr>
          <w:p>
            <w:pPr>
              <w:rPr>
                <w:rFonts w:ascii="仿宋_GB2312" w:eastAsia="仿宋_GB2312"/>
                <w:sz w:val="28"/>
                <w:szCs w:val="28"/>
              </w:rPr>
            </w:pPr>
          </w:p>
        </w:tc>
        <w:tc>
          <w:tcPr>
            <w:tcW w:w="2409" w:type="dxa"/>
          </w:tcPr>
          <w:p>
            <w:pPr>
              <w:rPr>
                <w:rFonts w:ascii="仿宋_GB2312" w:eastAsia="仿宋_GB2312"/>
                <w:sz w:val="28"/>
                <w:szCs w:val="28"/>
              </w:rPr>
            </w:pPr>
          </w:p>
        </w:tc>
        <w:tc>
          <w:tcPr>
            <w:tcW w:w="2744" w:type="dxa"/>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rPr>
            </w:pPr>
          </w:p>
        </w:tc>
        <w:tc>
          <w:tcPr>
            <w:tcW w:w="1701" w:type="dxa"/>
          </w:tcPr>
          <w:p>
            <w:pPr>
              <w:rPr>
                <w:rFonts w:ascii="仿宋_GB2312" w:eastAsia="仿宋_GB2312"/>
                <w:sz w:val="28"/>
                <w:szCs w:val="28"/>
              </w:rPr>
            </w:pPr>
          </w:p>
        </w:tc>
        <w:tc>
          <w:tcPr>
            <w:tcW w:w="2409" w:type="dxa"/>
          </w:tcPr>
          <w:p>
            <w:pPr>
              <w:rPr>
                <w:rFonts w:ascii="仿宋_GB2312" w:eastAsia="仿宋_GB2312"/>
                <w:sz w:val="28"/>
                <w:szCs w:val="28"/>
              </w:rPr>
            </w:pPr>
          </w:p>
        </w:tc>
        <w:tc>
          <w:tcPr>
            <w:tcW w:w="2744" w:type="dxa"/>
          </w:tcPr>
          <w:p>
            <w:pPr>
              <w:rPr>
                <w:rFonts w:ascii="仿宋_GB2312" w:eastAsia="仿宋_GB2312"/>
                <w:sz w:val="28"/>
                <w:szCs w:val="28"/>
              </w:rPr>
            </w:pPr>
          </w:p>
        </w:tc>
      </w:tr>
    </w:tbl>
    <w:p>
      <w:pPr>
        <w:ind w:firstLine="560" w:firstLineChars="200"/>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特此致函。</w:t>
      </w: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r>
        <w:rPr>
          <w:rFonts w:hint="eastAsia" w:ascii="仿宋_GB2312" w:eastAsia="仿宋_GB2312"/>
          <w:sz w:val="28"/>
          <w:szCs w:val="28"/>
        </w:rPr>
        <w:t>XX公司（盖章）</w:t>
      </w:r>
    </w:p>
    <w:p>
      <w:pPr>
        <w:ind w:firstLine="560" w:firstLineChars="200"/>
        <w:jc w:val="right"/>
        <w:rPr>
          <w:rFonts w:ascii="仿宋_GB2312" w:eastAsia="仿宋_GB2312"/>
          <w:sz w:val="28"/>
          <w:szCs w:val="28"/>
        </w:rPr>
      </w:pPr>
      <w:r>
        <w:rPr>
          <w:rFonts w:hint="eastAsia" w:ascii="仿宋_GB2312" w:eastAsia="仿宋_GB2312"/>
          <w:sz w:val="28"/>
          <w:szCs w:val="28"/>
        </w:rPr>
        <w:t>XX年XX月XX日</w:t>
      </w:r>
    </w:p>
    <w:p/>
    <w:p/>
    <w:p/>
    <w:p/>
    <w:p/>
    <w:p>
      <w:pPr>
        <w:pStyle w:val="3"/>
        <w:spacing w:before="312" w:line="600" w:lineRule="exact"/>
        <w:rPr>
          <w:rFonts w:ascii="仿宋_GB2312" w:hAnsi="黑体" w:eastAsia="仿宋_GB2312"/>
          <w:b w:val="0"/>
          <w:bCs w:val="0"/>
          <w:kern w:val="44"/>
          <w:sz w:val="28"/>
          <w:szCs w:val="36"/>
        </w:rPr>
      </w:pPr>
      <w:bookmarkStart w:id="218" w:name="_Toc120180571"/>
      <w:bookmarkStart w:id="219" w:name="_Toc168666359"/>
      <w:bookmarkStart w:id="220" w:name="_Toc1503154082"/>
      <w:bookmarkStart w:id="221" w:name="_Toc32018"/>
      <w:bookmarkStart w:id="222" w:name="_Toc1590"/>
      <w:r>
        <w:rPr>
          <w:rFonts w:hint="eastAsia" w:ascii="仿宋_GB2312" w:hAnsi="黑体" w:eastAsia="仿宋_GB2312"/>
          <w:kern w:val="44"/>
          <w:sz w:val="28"/>
          <w:szCs w:val="36"/>
        </w:rPr>
        <w:t>附件9：数字证书申请流程</w:t>
      </w:r>
      <w:bookmarkEnd w:id="218"/>
      <w:bookmarkEnd w:id="219"/>
      <w:bookmarkEnd w:id="220"/>
      <w:bookmarkEnd w:id="221"/>
      <w:bookmarkEnd w:id="222"/>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基金做市商通过业务管理系统平台交易参与人模块（以下简称业管交参模块）办理业务。业管交参模块采用本所</w:t>
      </w:r>
      <w:r>
        <w:rPr>
          <w:rFonts w:ascii="仿宋_GB2312" w:hAnsi="仿宋" w:eastAsia="仿宋_GB2312" w:cs="Times New Roman"/>
          <w:sz w:val="28"/>
          <w:szCs w:val="28"/>
        </w:rPr>
        <w:t>CnSCA</w:t>
      </w:r>
      <w:r>
        <w:rPr>
          <w:rFonts w:hint="eastAsia" w:ascii="仿宋_GB2312" w:hAnsi="仿宋" w:eastAsia="仿宋_GB2312" w:cs="Times New Roman"/>
          <w:sz w:val="28"/>
          <w:szCs w:val="28"/>
        </w:rPr>
        <w:t>颁发的数字证书（以下简称</w:t>
      </w:r>
      <w:r>
        <w:rPr>
          <w:rFonts w:ascii="仿宋_GB2312" w:hAnsi="仿宋" w:eastAsia="仿宋_GB2312" w:cs="Times New Roman"/>
          <w:sz w:val="28"/>
          <w:szCs w:val="28"/>
        </w:rPr>
        <w:t>EKey</w:t>
      </w:r>
      <w:r>
        <w:rPr>
          <w:rFonts w:hint="eastAsia" w:ascii="仿宋_GB2312" w:hAnsi="仿宋" w:eastAsia="仿宋_GB2312" w:cs="Times New Roman"/>
          <w:sz w:val="28"/>
          <w:szCs w:val="28"/>
        </w:rPr>
        <w:t>）来确保信息安全，机构须持数字证书方能登录相关系统办理业务。</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（一）申请程序</w:t>
      </w:r>
    </w:p>
    <w:p>
      <w:pPr>
        <w:spacing w:line="600" w:lineRule="exact"/>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1.EKey申请采用电子化方式，机构应登录本所信息公司CA在线业务系统</w:t>
      </w:r>
      <w:r>
        <w:rPr>
          <w:rFonts w:hint="eastAsia" w:ascii="仿宋_GB2312" w:hAnsi="仿宋" w:eastAsia="仿宋_GB2312" w:cs="Times New Roman"/>
          <w:sz w:val="28"/>
          <w:szCs w:val="28"/>
        </w:rPr>
        <w:t>（</w:t>
      </w:r>
      <w:r>
        <w:fldChar w:fldCharType="begin"/>
      </w:r>
      <w:r>
        <w:instrText xml:space="preserve"> HYPERLINK "https://cnsca.sse.com.cn/" </w:instrText>
      </w:r>
      <w:r>
        <w:fldChar w:fldCharType="separate"/>
      </w:r>
      <w:r>
        <w:rPr>
          <w:rFonts w:ascii="仿宋_GB2312" w:hAnsi="仿宋" w:eastAsia="仿宋_GB2312" w:cs="Times New Roman"/>
          <w:sz w:val="28"/>
          <w:szCs w:val="28"/>
        </w:rPr>
        <w:t>https://cnsca.sse.com.cn/</w:t>
      </w:r>
      <w:r>
        <w:rPr>
          <w:rFonts w:ascii="仿宋_GB2312" w:hAnsi="仿宋" w:eastAsia="仿宋_GB2312" w:cs="Times New Roman"/>
          <w:sz w:val="28"/>
          <w:szCs w:val="28"/>
        </w:rPr>
        <w:fldChar w:fldCharType="end"/>
      </w:r>
      <w:r>
        <w:rPr>
          <w:rFonts w:hint="eastAsia" w:ascii="仿宋_GB2312" w:hAnsi="仿宋" w:eastAsia="仿宋_GB2312" w:cs="Times New Roman"/>
          <w:sz w:val="28"/>
          <w:szCs w:val="28"/>
        </w:rPr>
        <w:t>）。选择的证书</w:t>
      </w:r>
      <w:r>
        <w:rPr>
          <w:rFonts w:ascii="仿宋_GB2312" w:hAnsi="仿宋" w:eastAsia="仿宋_GB2312" w:cs="Times New Roman"/>
          <w:sz w:val="28"/>
          <w:szCs w:val="28"/>
        </w:rPr>
        <w:t>类型</w:t>
      </w:r>
      <w:r>
        <w:rPr>
          <w:rFonts w:hint="eastAsia" w:ascii="仿宋_GB2312" w:hAnsi="仿宋" w:eastAsia="仿宋_GB2312" w:cs="Times New Roman"/>
          <w:sz w:val="28"/>
          <w:szCs w:val="28"/>
        </w:rPr>
        <w:t>为</w:t>
      </w:r>
      <w:r>
        <w:rPr>
          <w:rFonts w:ascii="仿宋_GB2312" w:hAnsi="仿宋" w:eastAsia="仿宋_GB2312" w:cs="Times New Roman"/>
          <w:sz w:val="28"/>
          <w:szCs w:val="28"/>
        </w:rPr>
        <w:t>“</w:t>
      </w:r>
      <w:r>
        <w:rPr>
          <w:rFonts w:hint="eastAsia" w:ascii="仿宋_GB2312" w:hAnsi="仿宋" w:eastAsia="仿宋_GB2312" w:cs="Times New Roman"/>
          <w:sz w:val="28"/>
          <w:szCs w:val="28"/>
        </w:rPr>
        <w:t>基金做市商业务</w:t>
      </w:r>
      <w:r>
        <w:rPr>
          <w:rFonts w:ascii="仿宋_GB2312" w:hAnsi="仿宋" w:eastAsia="仿宋_GB2312" w:cs="Times New Roman"/>
          <w:sz w:val="28"/>
          <w:szCs w:val="28"/>
        </w:rPr>
        <w:t>”</w:t>
      </w:r>
      <w:r>
        <w:rPr>
          <w:rFonts w:hint="eastAsia" w:ascii="仿宋_GB2312" w:hAnsi="仿宋" w:eastAsia="仿宋_GB2312" w:cs="Times New Roman"/>
          <w:sz w:val="28"/>
          <w:szCs w:val="28"/>
        </w:rPr>
        <w:t>。根据页面要求如实填写相关</w:t>
      </w:r>
      <w:r>
        <w:rPr>
          <w:rFonts w:ascii="仿宋_GB2312" w:hAnsi="仿宋" w:eastAsia="仿宋_GB2312" w:cs="Times New Roman"/>
          <w:sz w:val="28"/>
          <w:szCs w:val="28"/>
        </w:rPr>
        <w:t>内容</w:t>
      </w:r>
      <w:r>
        <w:rPr>
          <w:rFonts w:hint="eastAsia" w:ascii="仿宋_GB2312" w:hAnsi="仿宋" w:eastAsia="仿宋_GB2312" w:cs="Times New Roman"/>
          <w:sz w:val="28"/>
          <w:szCs w:val="28"/>
        </w:rPr>
        <w:t>。</w:t>
      </w:r>
    </w:p>
    <w:p>
      <w:pPr>
        <w:spacing w:line="600" w:lineRule="exact"/>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2.按页面要求</w:t>
      </w:r>
      <w:r>
        <w:rPr>
          <w:rFonts w:hint="eastAsia" w:ascii="仿宋_GB2312" w:hAnsi="仿宋" w:eastAsia="仿宋_GB2312" w:cs="Times New Roman"/>
          <w:sz w:val="28"/>
          <w:szCs w:val="28"/>
        </w:rPr>
        <w:t>下载打印《申请表》和《</w:t>
      </w:r>
      <w:r>
        <w:rPr>
          <w:rFonts w:ascii="仿宋_GB2312" w:hAnsi="仿宋" w:eastAsia="仿宋_GB2312" w:cs="Times New Roman"/>
          <w:sz w:val="28"/>
          <w:szCs w:val="28"/>
        </w:rPr>
        <w:t>CnSCA</w:t>
      </w:r>
      <w:r>
        <w:rPr>
          <w:rFonts w:hint="eastAsia" w:ascii="仿宋_GB2312" w:hAnsi="仿宋" w:eastAsia="仿宋_GB2312" w:cs="Times New Roman"/>
          <w:sz w:val="28"/>
          <w:szCs w:val="28"/>
        </w:rPr>
        <w:t>数字证书申请责任书》等材料，填写完成并加盖公章，将上述材料分别扫描，通过</w:t>
      </w:r>
      <w:r>
        <w:rPr>
          <w:rFonts w:ascii="仿宋_GB2312" w:hAnsi="仿宋" w:eastAsia="仿宋_GB2312" w:cs="Times New Roman"/>
          <w:sz w:val="28"/>
          <w:szCs w:val="28"/>
        </w:rPr>
        <w:t>CA在线业务系统</w:t>
      </w:r>
      <w:r>
        <w:rPr>
          <w:rFonts w:hint="eastAsia" w:ascii="仿宋_GB2312" w:hAnsi="仿宋" w:eastAsia="仿宋_GB2312" w:cs="Times New Roman"/>
          <w:sz w:val="28"/>
          <w:szCs w:val="28"/>
        </w:rPr>
        <w:t>提交。</w:t>
      </w:r>
    </w:p>
    <w:p>
      <w:pPr>
        <w:spacing w:line="600" w:lineRule="exact"/>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3.通过EKey</w:t>
      </w:r>
      <w:r>
        <w:rPr>
          <w:rFonts w:hint="eastAsia" w:ascii="仿宋_GB2312" w:hAnsi="仿宋" w:eastAsia="仿宋_GB2312" w:cs="Times New Roman"/>
          <w:sz w:val="28"/>
          <w:szCs w:val="28"/>
        </w:rPr>
        <w:t>登录</w:t>
      </w:r>
      <w:r>
        <w:rPr>
          <w:rFonts w:ascii="仿宋_GB2312" w:hAnsi="仿宋" w:eastAsia="仿宋_GB2312" w:cs="Times New Roman"/>
          <w:sz w:val="28"/>
          <w:szCs w:val="28"/>
        </w:rPr>
        <w:t>CA在线业务系统提交申请的，不需寄送申请材料原件。通过口令登录CA在线业务系统提交申请的，</w:t>
      </w:r>
      <w:r>
        <w:rPr>
          <w:rFonts w:hint="eastAsia" w:ascii="仿宋_GB2312" w:hAnsi="仿宋" w:eastAsia="仿宋_GB2312" w:cs="Times New Roman"/>
          <w:sz w:val="28"/>
          <w:szCs w:val="28"/>
        </w:rPr>
        <w:t>需将上述申请材料原件寄送至本所信息公司</w:t>
      </w:r>
      <w:r>
        <w:rPr>
          <w:rFonts w:ascii="仿宋_GB2312" w:hAnsi="仿宋" w:eastAsia="仿宋_GB2312" w:cs="Times New Roman"/>
          <w:sz w:val="28"/>
          <w:szCs w:val="28"/>
        </w:rPr>
        <w:t>CA中心。</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邮寄地址如下：</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上海市浦东新区张东路</w:t>
      </w:r>
      <w:r>
        <w:rPr>
          <w:rFonts w:ascii="仿宋_GB2312" w:hAnsi="仿宋" w:eastAsia="仿宋_GB2312" w:cs="Times New Roman"/>
          <w:sz w:val="28"/>
          <w:szCs w:val="28"/>
        </w:rPr>
        <w:t xml:space="preserve">1387号37栋  </w:t>
      </w:r>
      <w:r>
        <w:rPr>
          <w:rFonts w:hint="eastAsia" w:ascii="仿宋_GB2312" w:hAnsi="仿宋" w:eastAsia="仿宋_GB2312" w:cs="Times New Roman"/>
          <w:sz w:val="28"/>
          <w:szCs w:val="28"/>
        </w:rPr>
        <w:t>邮编：</w:t>
      </w:r>
      <w:r>
        <w:rPr>
          <w:rFonts w:ascii="仿宋_GB2312" w:hAnsi="仿宋" w:eastAsia="仿宋_GB2312" w:cs="Times New Roman"/>
          <w:sz w:val="28"/>
          <w:szCs w:val="28"/>
        </w:rPr>
        <w:t>201203</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收件：上证所信息网络有限公司</w:t>
      </w:r>
      <w:r>
        <w:rPr>
          <w:rFonts w:ascii="仿宋_GB2312" w:hAnsi="仿宋" w:eastAsia="仿宋_GB2312" w:cs="Times New Roman"/>
          <w:sz w:val="28"/>
          <w:szCs w:val="28"/>
        </w:rPr>
        <w:t>CA中心</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（二）申请费用</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对于业管交参模块，暂免每家机构前</w:t>
      </w:r>
      <w:r>
        <w:rPr>
          <w:rFonts w:ascii="仿宋_GB2312" w:hAnsi="仿宋" w:eastAsia="仿宋_GB2312" w:cs="Times New Roman"/>
          <w:sz w:val="28"/>
          <w:szCs w:val="28"/>
        </w:rPr>
        <w:t>5个证书的服务费。额外申请的证书服务费500元/年；如一次性支付三年服务费用的，收费优惠为400元/年。</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（三）证书发放</w:t>
      </w:r>
    </w:p>
    <w:p>
      <w:pPr>
        <w:spacing w:line="600" w:lineRule="exact"/>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EKey</w:t>
      </w:r>
      <w:r>
        <w:rPr>
          <w:rFonts w:hint="eastAsia" w:ascii="仿宋_GB2312" w:hAnsi="仿宋" w:eastAsia="仿宋_GB2312" w:cs="Times New Roman"/>
          <w:sz w:val="28"/>
          <w:szCs w:val="28"/>
        </w:rPr>
        <w:t>制作周期一般为</w:t>
      </w:r>
      <w:r>
        <w:rPr>
          <w:rFonts w:ascii="仿宋_GB2312" w:hAnsi="仿宋" w:eastAsia="仿宋_GB2312" w:cs="Times New Roman"/>
          <w:sz w:val="28"/>
          <w:szCs w:val="28"/>
        </w:rPr>
        <w:t>5个工作日，EKey</w:t>
      </w:r>
      <w:r>
        <w:rPr>
          <w:rFonts w:hint="eastAsia" w:ascii="仿宋_GB2312" w:hAnsi="仿宋" w:eastAsia="仿宋_GB2312" w:cs="Times New Roman"/>
          <w:sz w:val="28"/>
          <w:szCs w:val="28"/>
        </w:rPr>
        <w:t>制作完成后，本所信息公司将按各家机构申请</w:t>
      </w:r>
      <w:r>
        <w:rPr>
          <w:rFonts w:ascii="仿宋_GB2312" w:hAnsi="仿宋" w:eastAsia="仿宋_GB2312" w:cs="Times New Roman"/>
          <w:sz w:val="28"/>
          <w:szCs w:val="28"/>
        </w:rPr>
        <w:t>EKey</w:t>
      </w:r>
      <w:r>
        <w:rPr>
          <w:rFonts w:hint="eastAsia" w:ascii="仿宋_GB2312" w:hAnsi="仿宋" w:eastAsia="仿宋_GB2312" w:cs="Times New Roman"/>
          <w:sz w:val="28"/>
          <w:szCs w:val="28"/>
        </w:rPr>
        <w:t>时选择的方式，快递送达或通知现场领取。</w:t>
      </w:r>
    </w:p>
    <w:p>
      <w:pPr>
        <w:spacing w:line="600" w:lineRule="exact"/>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EKey</w:t>
      </w:r>
      <w:r>
        <w:rPr>
          <w:rFonts w:hint="eastAsia" w:ascii="仿宋_GB2312" w:hAnsi="仿宋" w:eastAsia="仿宋_GB2312" w:cs="Times New Roman"/>
          <w:sz w:val="28"/>
          <w:szCs w:val="28"/>
        </w:rPr>
        <w:t>领取事宜咨询联系电话：</w:t>
      </w:r>
      <w:r>
        <w:rPr>
          <w:rFonts w:ascii="仿宋_GB2312" w:hAnsi="仿宋" w:eastAsia="仿宋_GB2312" w:cs="Times New Roman"/>
          <w:sz w:val="28"/>
          <w:szCs w:val="28"/>
        </w:rPr>
        <w:t>021-68814725</w:t>
      </w:r>
      <w:r>
        <w:rPr>
          <w:rFonts w:hint="eastAsia" w:ascii="仿宋_GB2312" w:hAnsi="仿宋" w:eastAsia="仿宋_GB2312" w:cs="Times New Roman"/>
          <w:sz w:val="28"/>
          <w:szCs w:val="28"/>
        </w:rPr>
        <w:t>。</w:t>
      </w:r>
    </w:p>
    <w:p>
      <w:pPr>
        <w:spacing w:line="600" w:lineRule="exact"/>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EKey</w:t>
      </w:r>
      <w:r>
        <w:rPr>
          <w:rFonts w:hint="eastAsia" w:ascii="仿宋_GB2312" w:hAnsi="仿宋" w:eastAsia="仿宋_GB2312" w:cs="Times New Roman"/>
          <w:sz w:val="28"/>
          <w:szCs w:val="28"/>
        </w:rPr>
        <w:t>技术</w:t>
      </w:r>
      <w:r>
        <w:rPr>
          <w:rFonts w:ascii="仿宋_GB2312" w:hAnsi="仿宋" w:eastAsia="仿宋_GB2312" w:cs="Times New Roman"/>
          <w:sz w:val="28"/>
          <w:szCs w:val="28"/>
        </w:rPr>
        <w:t>支持电话：021-58654194, 021-58654154。</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（四）操作指引</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业管交参模块需插入</w:t>
      </w:r>
      <w:r>
        <w:rPr>
          <w:rFonts w:ascii="仿宋_GB2312" w:hAnsi="仿宋" w:eastAsia="仿宋_GB2312" w:cs="Times New Roman"/>
          <w:sz w:val="28"/>
          <w:szCs w:val="28"/>
        </w:rPr>
        <w:t>EKey</w:t>
      </w:r>
      <w:r>
        <w:rPr>
          <w:rFonts w:hint="eastAsia" w:ascii="仿宋_GB2312" w:hAnsi="仿宋" w:eastAsia="仿宋_GB2312" w:cs="Times New Roman"/>
          <w:sz w:val="28"/>
          <w:szCs w:val="28"/>
        </w:rPr>
        <w:t>验证后，通过网络浏览器使用账号及密码登录访问。建议使用最新</w:t>
      </w:r>
      <w:r>
        <w:rPr>
          <w:rFonts w:ascii="仿宋_GB2312" w:hAnsi="仿宋" w:eastAsia="仿宋_GB2312" w:cs="Times New Roman"/>
          <w:sz w:val="28"/>
          <w:szCs w:val="28"/>
        </w:rPr>
        <w:t>chrome浏览器，系统访问地址: https://bmsp.uap.sse.com.cn，登录账号及密码将随EKey</w:t>
      </w:r>
      <w:r>
        <w:rPr>
          <w:rFonts w:hint="eastAsia" w:ascii="仿宋_GB2312" w:hAnsi="仿宋" w:eastAsia="仿宋_GB2312" w:cs="Times New Roman"/>
          <w:sz w:val="28"/>
          <w:szCs w:val="28"/>
        </w:rPr>
        <w:t>同步发放。</w:t>
      </w:r>
    </w:p>
    <w:p>
      <w:pPr>
        <w:rPr>
          <w:rFonts w:ascii="仿宋_GB2312" w:hAnsi="仿宋" w:eastAsia="仿宋_GB2312" w:cs="Times New Roman"/>
          <w:sz w:val="28"/>
          <w:szCs w:val="28"/>
        </w:rPr>
      </w:pPr>
    </w:p>
    <w:p>
      <w:pPr>
        <w:jc w:val="left"/>
        <w:rPr>
          <w:rFonts w:ascii="仿宋_GB2312" w:eastAsia="仿宋_GB2312"/>
          <w:sz w:val="28"/>
          <w:szCs w:val="28"/>
        </w:rPr>
      </w:pPr>
    </w:p>
    <w:p/>
    <w:p>
      <w:pPr>
        <w:widowControl/>
        <w:spacing w:line="560" w:lineRule="exact"/>
        <w:jc w:val="right"/>
        <w:rPr>
          <w:rFonts w:ascii="仿宋_GB2312" w:hAnsi="仿宋_GB2312" w:eastAsia="仿宋_GB2312" w:cs="仿宋_GB2312"/>
          <w:kern w:val="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华文细黑">
    <w:panose1 w:val="02010600040101010101"/>
    <w:charset w:val="86"/>
    <w:family w:val="auto"/>
    <w:pitch w:val="default"/>
    <w:sig w:usb0="00000287" w:usb1="080F0000" w:usb2="00000000" w:usb3="00000000" w:csb0="0004009F" w:csb1="DFD70000"/>
  </w:font>
  <w:font w:name="方正大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45</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36927"/>
    <w:multiLevelType w:val="multilevel"/>
    <w:tmpl w:val="02436927"/>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77C520BA"/>
    <w:multiLevelType w:val="multilevel"/>
    <w:tmpl w:val="77C520BA"/>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1D6C"/>
    <w:rsid w:val="00001D6F"/>
    <w:rsid w:val="00014017"/>
    <w:rsid w:val="00017262"/>
    <w:rsid w:val="00023F67"/>
    <w:rsid w:val="000276D0"/>
    <w:rsid w:val="000362EE"/>
    <w:rsid w:val="00045DCF"/>
    <w:rsid w:val="00053C61"/>
    <w:rsid w:val="00054A6E"/>
    <w:rsid w:val="00055819"/>
    <w:rsid w:val="00072294"/>
    <w:rsid w:val="00075FE4"/>
    <w:rsid w:val="0008005D"/>
    <w:rsid w:val="00086B13"/>
    <w:rsid w:val="00090D36"/>
    <w:rsid w:val="00090E45"/>
    <w:rsid w:val="00095573"/>
    <w:rsid w:val="00095597"/>
    <w:rsid w:val="000A12AB"/>
    <w:rsid w:val="000B41E4"/>
    <w:rsid w:val="000B4562"/>
    <w:rsid w:val="000C32E1"/>
    <w:rsid w:val="000C3943"/>
    <w:rsid w:val="000C5B94"/>
    <w:rsid w:val="000D2883"/>
    <w:rsid w:val="000D37BF"/>
    <w:rsid w:val="000E3635"/>
    <w:rsid w:val="000E664F"/>
    <w:rsid w:val="000E68B9"/>
    <w:rsid w:val="000E6F44"/>
    <w:rsid w:val="000F467C"/>
    <w:rsid w:val="000F7775"/>
    <w:rsid w:val="00100A36"/>
    <w:rsid w:val="001012E8"/>
    <w:rsid w:val="00126DAB"/>
    <w:rsid w:val="0013174B"/>
    <w:rsid w:val="00157D02"/>
    <w:rsid w:val="0016470C"/>
    <w:rsid w:val="00164D9E"/>
    <w:rsid w:val="00167F3D"/>
    <w:rsid w:val="00170C95"/>
    <w:rsid w:val="00196CE7"/>
    <w:rsid w:val="001A18F6"/>
    <w:rsid w:val="001A3D31"/>
    <w:rsid w:val="001B19D6"/>
    <w:rsid w:val="001C02E1"/>
    <w:rsid w:val="001C50C1"/>
    <w:rsid w:val="001C7A92"/>
    <w:rsid w:val="001D1880"/>
    <w:rsid w:val="001D28B5"/>
    <w:rsid w:val="001D5AEC"/>
    <w:rsid w:val="001D7991"/>
    <w:rsid w:val="001E494B"/>
    <w:rsid w:val="001F0148"/>
    <w:rsid w:val="001F2774"/>
    <w:rsid w:val="001F7CED"/>
    <w:rsid w:val="001F7E2E"/>
    <w:rsid w:val="00206C36"/>
    <w:rsid w:val="00207338"/>
    <w:rsid w:val="002203BE"/>
    <w:rsid w:val="002239B6"/>
    <w:rsid w:val="0022684B"/>
    <w:rsid w:val="00227B41"/>
    <w:rsid w:val="00233168"/>
    <w:rsid w:val="0023753A"/>
    <w:rsid w:val="00246AA1"/>
    <w:rsid w:val="00251642"/>
    <w:rsid w:val="00252393"/>
    <w:rsid w:val="00253B9A"/>
    <w:rsid w:val="00260AE3"/>
    <w:rsid w:val="002675BD"/>
    <w:rsid w:val="00267819"/>
    <w:rsid w:val="00274CAC"/>
    <w:rsid w:val="002A52B1"/>
    <w:rsid w:val="002C0BA8"/>
    <w:rsid w:val="002D2F6B"/>
    <w:rsid w:val="002D4559"/>
    <w:rsid w:val="002D509A"/>
    <w:rsid w:val="002E2D8D"/>
    <w:rsid w:val="002F1FF7"/>
    <w:rsid w:val="00303CF6"/>
    <w:rsid w:val="00321E5E"/>
    <w:rsid w:val="00324A5B"/>
    <w:rsid w:val="00327B61"/>
    <w:rsid w:val="00331C0B"/>
    <w:rsid w:val="0033366B"/>
    <w:rsid w:val="00337CF9"/>
    <w:rsid w:val="00341F87"/>
    <w:rsid w:val="003515EE"/>
    <w:rsid w:val="00357210"/>
    <w:rsid w:val="003573FE"/>
    <w:rsid w:val="00367852"/>
    <w:rsid w:val="003709E6"/>
    <w:rsid w:val="00371DF6"/>
    <w:rsid w:val="00386B38"/>
    <w:rsid w:val="003912B7"/>
    <w:rsid w:val="003934EE"/>
    <w:rsid w:val="003938A0"/>
    <w:rsid w:val="003A3D28"/>
    <w:rsid w:val="003A4F66"/>
    <w:rsid w:val="003A795D"/>
    <w:rsid w:val="003B17BB"/>
    <w:rsid w:val="003B4437"/>
    <w:rsid w:val="003B5608"/>
    <w:rsid w:val="003B702A"/>
    <w:rsid w:val="003D030A"/>
    <w:rsid w:val="003D6174"/>
    <w:rsid w:val="003E237C"/>
    <w:rsid w:val="003E27AB"/>
    <w:rsid w:val="003E71FE"/>
    <w:rsid w:val="003F4B5F"/>
    <w:rsid w:val="00404079"/>
    <w:rsid w:val="0041715C"/>
    <w:rsid w:val="00421A7D"/>
    <w:rsid w:val="004239E7"/>
    <w:rsid w:val="00425EA7"/>
    <w:rsid w:val="004261FF"/>
    <w:rsid w:val="004266BB"/>
    <w:rsid w:val="00442428"/>
    <w:rsid w:val="004439D8"/>
    <w:rsid w:val="004512B5"/>
    <w:rsid w:val="00456851"/>
    <w:rsid w:val="004623F6"/>
    <w:rsid w:val="00463ABA"/>
    <w:rsid w:val="00466629"/>
    <w:rsid w:val="00474188"/>
    <w:rsid w:val="00486689"/>
    <w:rsid w:val="004956F9"/>
    <w:rsid w:val="004A113C"/>
    <w:rsid w:val="004A183E"/>
    <w:rsid w:val="004A326A"/>
    <w:rsid w:val="004A32B8"/>
    <w:rsid w:val="004A34D9"/>
    <w:rsid w:val="004B6AC5"/>
    <w:rsid w:val="004D4DBA"/>
    <w:rsid w:val="004F2EF4"/>
    <w:rsid w:val="004F63B4"/>
    <w:rsid w:val="005035A6"/>
    <w:rsid w:val="00515148"/>
    <w:rsid w:val="00516E3F"/>
    <w:rsid w:val="005325BC"/>
    <w:rsid w:val="005337D0"/>
    <w:rsid w:val="00534590"/>
    <w:rsid w:val="005423CC"/>
    <w:rsid w:val="00545821"/>
    <w:rsid w:val="00565662"/>
    <w:rsid w:val="0057088F"/>
    <w:rsid w:val="00573667"/>
    <w:rsid w:val="00580565"/>
    <w:rsid w:val="0059043B"/>
    <w:rsid w:val="0059480B"/>
    <w:rsid w:val="00594F6E"/>
    <w:rsid w:val="00596C06"/>
    <w:rsid w:val="005A25E5"/>
    <w:rsid w:val="005A50ED"/>
    <w:rsid w:val="005A6D9A"/>
    <w:rsid w:val="005B39D6"/>
    <w:rsid w:val="005B6B63"/>
    <w:rsid w:val="005D55F8"/>
    <w:rsid w:val="005E4AAE"/>
    <w:rsid w:val="00606BD5"/>
    <w:rsid w:val="00612BE7"/>
    <w:rsid w:val="00612D77"/>
    <w:rsid w:val="00621890"/>
    <w:rsid w:val="00623E19"/>
    <w:rsid w:val="006373DC"/>
    <w:rsid w:val="00637CC7"/>
    <w:rsid w:val="00637CDD"/>
    <w:rsid w:val="00663ECB"/>
    <w:rsid w:val="00670BF6"/>
    <w:rsid w:val="00671434"/>
    <w:rsid w:val="00671700"/>
    <w:rsid w:val="00687566"/>
    <w:rsid w:val="006942BC"/>
    <w:rsid w:val="00695B3F"/>
    <w:rsid w:val="00697FAB"/>
    <w:rsid w:val="006A6272"/>
    <w:rsid w:val="006A6C63"/>
    <w:rsid w:val="006B59CB"/>
    <w:rsid w:val="006B784F"/>
    <w:rsid w:val="006C037C"/>
    <w:rsid w:val="006C3218"/>
    <w:rsid w:val="006C3B7D"/>
    <w:rsid w:val="006C47C5"/>
    <w:rsid w:val="006C5B51"/>
    <w:rsid w:val="006D38D1"/>
    <w:rsid w:val="006D57EB"/>
    <w:rsid w:val="006D7581"/>
    <w:rsid w:val="006E2055"/>
    <w:rsid w:val="006E3B5F"/>
    <w:rsid w:val="006F130C"/>
    <w:rsid w:val="006F5A65"/>
    <w:rsid w:val="00705DAC"/>
    <w:rsid w:val="00707390"/>
    <w:rsid w:val="007164A8"/>
    <w:rsid w:val="00723C0C"/>
    <w:rsid w:val="00724766"/>
    <w:rsid w:val="0073379C"/>
    <w:rsid w:val="0073467D"/>
    <w:rsid w:val="007364DA"/>
    <w:rsid w:val="007415C8"/>
    <w:rsid w:val="00742D7F"/>
    <w:rsid w:val="0074515A"/>
    <w:rsid w:val="00753539"/>
    <w:rsid w:val="00755ECB"/>
    <w:rsid w:val="00756186"/>
    <w:rsid w:val="0076151A"/>
    <w:rsid w:val="007658D3"/>
    <w:rsid w:val="00770893"/>
    <w:rsid w:val="00773040"/>
    <w:rsid w:val="00780C79"/>
    <w:rsid w:val="0078531D"/>
    <w:rsid w:val="00786898"/>
    <w:rsid w:val="00794857"/>
    <w:rsid w:val="0079769D"/>
    <w:rsid w:val="00797843"/>
    <w:rsid w:val="007A2EDF"/>
    <w:rsid w:val="007A5C1E"/>
    <w:rsid w:val="007A7A85"/>
    <w:rsid w:val="007A7BB2"/>
    <w:rsid w:val="007B1A80"/>
    <w:rsid w:val="007B2C6F"/>
    <w:rsid w:val="007C03B0"/>
    <w:rsid w:val="007C173E"/>
    <w:rsid w:val="007C3BB4"/>
    <w:rsid w:val="007C5CB5"/>
    <w:rsid w:val="007D6117"/>
    <w:rsid w:val="007E2CCD"/>
    <w:rsid w:val="007E5DA0"/>
    <w:rsid w:val="007F0F22"/>
    <w:rsid w:val="007F1921"/>
    <w:rsid w:val="007F2018"/>
    <w:rsid w:val="007F5509"/>
    <w:rsid w:val="00800E7A"/>
    <w:rsid w:val="00801019"/>
    <w:rsid w:val="00802747"/>
    <w:rsid w:val="00805224"/>
    <w:rsid w:val="00810755"/>
    <w:rsid w:val="008125DE"/>
    <w:rsid w:val="00815706"/>
    <w:rsid w:val="00816B77"/>
    <w:rsid w:val="00820303"/>
    <w:rsid w:val="00832D61"/>
    <w:rsid w:val="00836F4F"/>
    <w:rsid w:val="00837349"/>
    <w:rsid w:val="00842B76"/>
    <w:rsid w:val="00843530"/>
    <w:rsid w:val="0084384A"/>
    <w:rsid w:val="00844159"/>
    <w:rsid w:val="00844415"/>
    <w:rsid w:val="008477C2"/>
    <w:rsid w:val="008477EE"/>
    <w:rsid w:val="00861936"/>
    <w:rsid w:val="008776C5"/>
    <w:rsid w:val="00893D72"/>
    <w:rsid w:val="0089522B"/>
    <w:rsid w:val="008B0EAB"/>
    <w:rsid w:val="008B1470"/>
    <w:rsid w:val="008B6EC9"/>
    <w:rsid w:val="008B7559"/>
    <w:rsid w:val="008C29DE"/>
    <w:rsid w:val="008C6E7E"/>
    <w:rsid w:val="008D7719"/>
    <w:rsid w:val="008F11AC"/>
    <w:rsid w:val="008F4732"/>
    <w:rsid w:val="008F5B5C"/>
    <w:rsid w:val="008F78F9"/>
    <w:rsid w:val="00903A4D"/>
    <w:rsid w:val="00910980"/>
    <w:rsid w:val="00926572"/>
    <w:rsid w:val="0092713B"/>
    <w:rsid w:val="0093121D"/>
    <w:rsid w:val="0093243F"/>
    <w:rsid w:val="009344A1"/>
    <w:rsid w:val="00934D21"/>
    <w:rsid w:val="00950DDD"/>
    <w:rsid w:val="00971B18"/>
    <w:rsid w:val="009775B7"/>
    <w:rsid w:val="009839E1"/>
    <w:rsid w:val="009865F7"/>
    <w:rsid w:val="00991ADB"/>
    <w:rsid w:val="00991ECB"/>
    <w:rsid w:val="00992294"/>
    <w:rsid w:val="00996339"/>
    <w:rsid w:val="009A0301"/>
    <w:rsid w:val="009A03EB"/>
    <w:rsid w:val="009A3A24"/>
    <w:rsid w:val="009A5C80"/>
    <w:rsid w:val="009A7688"/>
    <w:rsid w:val="009A7D85"/>
    <w:rsid w:val="009B39E3"/>
    <w:rsid w:val="009B6119"/>
    <w:rsid w:val="009B7411"/>
    <w:rsid w:val="009C6F96"/>
    <w:rsid w:val="009D0FC4"/>
    <w:rsid w:val="009D2AF7"/>
    <w:rsid w:val="009D44B1"/>
    <w:rsid w:val="009E4780"/>
    <w:rsid w:val="009E7746"/>
    <w:rsid w:val="00A002DD"/>
    <w:rsid w:val="00A006BE"/>
    <w:rsid w:val="00A00A6F"/>
    <w:rsid w:val="00A139DD"/>
    <w:rsid w:val="00A15926"/>
    <w:rsid w:val="00A252B0"/>
    <w:rsid w:val="00A26385"/>
    <w:rsid w:val="00A30DE0"/>
    <w:rsid w:val="00A34DFC"/>
    <w:rsid w:val="00A378AD"/>
    <w:rsid w:val="00A442F9"/>
    <w:rsid w:val="00A53603"/>
    <w:rsid w:val="00A5381F"/>
    <w:rsid w:val="00A60DDB"/>
    <w:rsid w:val="00A71302"/>
    <w:rsid w:val="00A763C9"/>
    <w:rsid w:val="00A80AEF"/>
    <w:rsid w:val="00A859D4"/>
    <w:rsid w:val="00A94D4B"/>
    <w:rsid w:val="00A94E0D"/>
    <w:rsid w:val="00A9620B"/>
    <w:rsid w:val="00A977AB"/>
    <w:rsid w:val="00AA1D7A"/>
    <w:rsid w:val="00AA20C7"/>
    <w:rsid w:val="00AA6F5C"/>
    <w:rsid w:val="00AB00B4"/>
    <w:rsid w:val="00AB1285"/>
    <w:rsid w:val="00AB314A"/>
    <w:rsid w:val="00AB4CD3"/>
    <w:rsid w:val="00AB62E8"/>
    <w:rsid w:val="00AC3408"/>
    <w:rsid w:val="00AC5C00"/>
    <w:rsid w:val="00AC7075"/>
    <w:rsid w:val="00AC778F"/>
    <w:rsid w:val="00AE5F50"/>
    <w:rsid w:val="00AF2BED"/>
    <w:rsid w:val="00AF3067"/>
    <w:rsid w:val="00B0513C"/>
    <w:rsid w:val="00B213B5"/>
    <w:rsid w:val="00B23D0E"/>
    <w:rsid w:val="00B2615B"/>
    <w:rsid w:val="00B347BF"/>
    <w:rsid w:val="00B3759A"/>
    <w:rsid w:val="00B536FE"/>
    <w:rsid w:val="00B7119B"/>
    <w:rsid w:val="00B725F8"/>
    <w:rsid w:val="00B727B9"/>
    <w:rsid w:val="00B8184D"/>
    <w:rsid w:val="00B8446C"/>
    <w:rsid w:val="00B866B6"/>
    <w:rsid w:val="00B94982"/>
    <w:rsid w:val="00B965DE"/>
    <w:rsid w:val="00B9730B"/>
    <w:rsid w:val="00BA1151"/>
    <w:rsid w:val="00BA7225"/>
    <w:rsid w:val="00BB00F0"/>
    <w:rsid w:val="00BB11D1"/>
    <w:rsid w:val="00BC420D"/>
    <w:rsid w:val="00BC4926"/>
    <w:rsid w:val="00BD715C"/>
    <w:rsid w:val="00BE4BD2"/>
    <w:rsid w:val="00C02960"/>
    <w:rsid w:val="00C06D17"/>
    <w:rsid w:val="00C13441"/>
    <w:rsid w:val="00C13C19"/>
    <w:rsid w:val="00C2081D"/>
    <w:rsid w:val="00C232D5"/>
    <w:rsid w:val="00C27931"/>
    <w:rsid w:val="00C34AFF"/>
    <w:rsid w:val="00C34F63"/>
    <w:rsid w:val="00C36916"/>
    <w:rsid w:val="00C53EFD"/>
    <w:rsid w:val="00C60AC4"/>
    <w:rsid w:val="00C7740D"/>
    <w:rsid w:val="00C77966"/>
    <w:rsid w:val="00CA497C"/>
    <w:rsid w:val="00CA4D9D"/>
    <w:rsid w:val="00CA6CCA"/>
    <w:rsid w:val="00CB342F"/>
    <w:rsid w:val="00CB543E"/>
    <w:rsid w:val="00CB6141"/>
    <w:rsid w:val="00CC0C05"/>
    <w:rsid w:val="00CC16EF"/>
    <w:rsid w:val="00CC1D07"/>
    <w:rsid w:val="00CC6DF8"/>
    <w:rsid w:val="00CC7DD3"/>
    <w:rsid w:val="00CD0FA3"/>
    <w:rsid w:val="00CD15E7"/>
    <w:rsid w:val="00CD34B5"/>
    <w:rsid w:val="00CD7A05"/>
    <w:rsid w:val="00CE5550"/>
    <w:rsid w:val="00CF0E31"/>
    <w:rsid w:val="00CF4854"/>
    <w:rsid w:val="00D067B8"/>
    <w:rsid w:val="00D10975"/>
    <w:rsid w:val="00D119D3"/>
    <w:rsid w:val="00D20161"/>
    <w:rsid w:val="00D21D6C"/>
    <w:rsid w:val="00D257F5"/>
    <w:rsid w:val="00D26698"/>
    <w:rsid w:val="00D2694F"/>
    <w:rsid w:val="00D30C5B"/>
    <w:rsid w:val="00D37761"/>
    <w:rsid w:val="00D521F0"/>
    <w:rsid w:val="00D53FEF"/>
    <w:rsid w:val="00D666A0"/>
    <w:rsid w:val="00D730B7"/>
    <w:rsid w:val="00D874D5"/>
    <w:rsid w:val="00D87B0E"/>
    <w:rsid w:val="00D96075"/>
    <w:rsid w:val="00DA2239"/>
    <w:rsid w:val="00DB6561"/>
    <w:rsid w:val="00DC1007"/>
    <w:rsid w:val="00DC39DD"/>
    <w:rsid w:val="00DE01FE"/>
    <w:rsid w:val="00DE3ADC"/>
    <w:rsid w:val="00DF76CE"/>
    <w:rsid w:val="00E0451D"/>
    <w:rsid w:val="00E057C7"/>
    <w:rsid w:val="00E11D56"/>
    <w:rsid w:val="00E21281"/>
    <w:rsid w:val="00E2186F"/>
    <w:rsid w:val="00E268C4"/>
    <w:rsid w:val="00E27375"/>
    <w:rsid w:val="00E46BA2"/>
    <w:rsid w:val="00E5583F"/>
    <w:rsid w:val="00E60348"/>
    <w:rsid w:val="00E677D3"/>
    <w:rsid w:val="00E72DA8"/>
    <w:rsid w:val="00E73C2F"/>
    <w:rsid w:val="00E83193"/>
    <w:rsid w:val="00E94C40"/>
    <w:rsid w:val="00EA03F9"/>
    <w:rsid w:val="00EB5BAA"/>
    <w:rsid w:val="00EB7415"/>
    <w:rsid w:val="00EB7473"/>
    <w:rsid w:val="00EC235C"/>
    <w:rsid w:val="00EF2BD6"/>
    <w:rsid w:val="00EF36E9"/>
    <w:rsid w:val="00F10F28"/>
    <w:rsid w:val="00F15C5B"/>
    <w:rsid w:val="00F15E11"/>
    <w:rsid w:val="00F171BA"/>
    <w:rsid w:val="00F3422D"/>
    <w:rsid w:val="00F47AE2"/>
    <w:rsid w:val="00F52029"/>
    <w:rsid w:val="00F670A1"/>
    <w:rsid w:val="00F71489"/>
    <w:rsid w:val="00F7268B"/>
    <w:rsid w:val="00F84376"/>
    <w:rsid w:val="00F9597A"/>
    <w:rsid w:val="00FA1287"/>
    <w:rsid w:val="00FB3A88"/>
    <w:rsid w:val="00FB475E"/>
    <w:rsid w:val="00FD19EF"/>
    <w:rsid w:val="00FF0D5D"/>
    <w:rsid w:val="00FF28CE"/>
    <w:rsid w:val="00FF74A9"/>
    <w:rsid w:val="150F1014"/>
    <w:rsid w:val="1EBB5963"/>
    <w:rsid w:val="1F2E6435"/>
    <w:rsid w:val="1FFF76F4"/>
    <w:rsid w:val="22D71BAF"/>
    <w:rsid w:val="28AC5294"/>
    <w:rsid w:val="2F1D760E"/>
    <w:rsid w:val="34026944"/>
    <w:rsid w:val="387155B6"/>
    <w:rsid w:val="3D1B0EE1"/>
    <w:rsid w:val="4BB72A76"/>
    <w:rsid w:val="503C16F4"/>
    <w:rsid w:val="56CA32EC"/>
    <w:rsid w:val="5D5A7340"/>
    <w:rsid w:val="5F4A6BE2"/>
    <w:rsid w:val="5F867A27"/>
    <w:rsid w:val="603F5DDE"/>
    <w:rsid w:val="64EE4E65"/>
    <w:rsid w:val="665E2585"/>
    <w:rsid w:val="6A307B56"/>
    <w:rsid w:val="6BF15F36"/>
    <w:rsid w:val="6F6D3978"/>
    <w:rsid w:val="6F717ED1"/>
    <w:rsid w:val="763ED846"/>
    <w:rsid w:val="7D7742FE"/>
    <w:rsid w:val="7E7FB6CE"/>
    <w:rsid w:val="936F072C"/>
    <w:rsid w:val="BCFB39BD"/>
    <w:rsid w:val="C51ADBF5"/>
    <w:rsid w:val="CB6B7C1B"/>
    <w:rsid w:val="F7BEE928"/>
    <w:rsid w:val="FDEB52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6" w:lineRule="auto"/>
      <w:outlineLvl w:val="0"/>
    </w:pPr>
    <w:rPr>
      <w:rFonts w:ascii="Calibri" w:hAnsi="Calibri" w:eastAsia="宋体" w:cs="Times New Roman"/>
      <w:b/>
      <w:bCs/>
      <w:kern w:val="44"/>
      <w:sz w:val="44"/>
      <w:szCs w:val="44"/>
    </w:rPr>
  </w:style>
  <w:style w:type="paragraph" w:styleId="3">
    <w:name w:val="heading 2"/>
    <w:basedOn w:val="1"/>
    <w:next w:val="1"/>
    <w:link w:val="27"/>
    <w:unhideWhenUsed/>
    <w:qFormat/>
    <w:uiPriority w:val="9"/>
    <w:pPr>
      <w:keepNext/>
      <w:keepLines/>
      <w:spacing w:before="260" w:after="260" w:line="412" w:lineRule="auto"/>
      <w:outlineLvl w:val="1"/>
    </w:pPr>
    <w:rPr>
      <w:rFonts w:ascii="Cambria" w:hAnsi="Cambria" w:eastAsia="宋体" w:cs="宋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6"/>
    <w:semiHidden/>
    <w:unhideWhenUsed/>
    <w:qFormat/>
    <w:uiPriority w:val="99"/>
    <w:rPr>
      <w:rFonts w:ascii="宋体" w:eastAsia="宋体"/>
      <w:sz w:val="18"/>
      <w:szCs w:val="18"/>
    </w:rPr>
  </w:style>
  <w:style w:type="paragraph" w:styleId="5">
    <w:name w:val="annotation text"/>
    <w:basedOn w:val="1"/>
    <w:link w:val="28"/>
    <w:semiHidden/>
    <w:unhideWhenUsed/>
    <w:qFormat/>
    <w:uiPriority w:val="99"/>
    <w:pPr>
      <w:jc w:val="left"/>
    </w:pPr>
    <w:rPr>
      <w:rFonts w:ascii="Calibri" w:hAnsi="Calibri" w:eastAsia="宋体" w:cs="Times New Roman"/>
    </w:rPr>
  </w:style>
  <w:style w:type="paragraph" w:styleId="6">
    <w:name w:val="Body Text Indent"/>
    <w:basedOn w:val="1"/>
    <w:link w:val="42"/>
    <w:qFormat/>
    <w:uiPriority w:val="0"/>
    <w:pPr>
      <w:tabs>
        <w:tab w:val="left" w:pos="7020"/>
      </w:tabs>
      <w:spacing w:line="600" w:lineRule="exact"/>
      <w:ind w:firstLine="600" w:firstLineChars="200"/>
    </w:pPr>
    <w:rPr>
      <w:rFonts w:ascii="仿宋_GB2312" w:hAnsi="Times New Roman" w:eastAsia="仿宋_GB2312" w:cs="Times New Roman"/>
      <w:sz w:val="30"/>
      <w:szCs w:val="24"/>
    </w:rPr>
  </w:style>
  <w:style w:type="paragraph" w:styleId="7">
    <w:name w:val="toc 3"/>
    <w:basedOn w:val="1"/>
    <w:next w:val="1"/>
    <w:unhideWhenUsed/>
    <w:qFormat/>
    <w:uiPriority w:val="39"/>
    <w:pPr>
      <w:ind w:left="840" w:leftChars="400"/>
    </w:pPr>
  </w:style>
  <w:style w:type="paragraph" w:styleId="8">
    <w:name w:val="Date"/>
    <w:basedOn w:val="1"/>
    <w:next w:val="1"/>
    <w:link w:val="45"/>
    <w:semiHidden/>
    <w:unhideWhenUsed/>
    <w:qFormat/>
    <w:uiPriority w:val="99"/>
    <w:pPr>
      <w:ind w:left="100" w:leftChars="2500"/>
    </w:pPr>
  </w:style>
  <w:style w:type="paragraph" w:styleId="9">
    <w:name w:val="Balloon Text"/>
    <w:basedOn w:val="1"/>
    <w:link w:val="32"/>
    <w:semiHidden/>
    <w:unhideWhenUsed/>
    <w:qFormat/>
    <w:uiPriority w:val="99"/>
    <w:rPr>
      <w:rFonts w:ascii="Calibri" w:hAnsi="Calibri" w:eastAsia="宋体" w:cs="Times New Roman"/>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left" w:pos="1050"/>
        <w:tab w:val="right" w:leader="dot" w:pos="8296"/>
      </w:tabs>
      <w:spacing w:line="600" w:lineRule="exact"/>
    </w:pPr>
    <w:rPr>
      <w:rFonts w:ascii="Calibri" w:hAnsi="Calibri" w:eastAsia="宋体" w:cs="Times New Roman"/>
    </w:rPr>
  </w:style>
  <w:style w:type="paragraph" w:styleId="13">
    <w:name w:val="footnote text"/>
    <w:basedOn w:val="1"/>
    <w:link w:val="47"/>
    <w:semiHidden/>
    <w:unhideWhenUsed/>
    <w:qFormat/>
    <w:uiPriority w:val="99"/>
    <w:pPr>
      <w:snapToGrid w:val="0"/>
      <w:ind w:firstLine="200" w:firstLineChars="200"/>
      <w:jc w:val="left"/>
    </w:pPr>
    <w:rPr>
      <w:sz w:val="18"/>
      <w:szCs w:val="18"/>
    </w:rPr>
  </w:style>
  <w:style w:type="paragraph" w:styleId="14">
    <w:name w:val="toc 2"/>
    <w:basedOn w:val="1"/>
    <w:next w:val="1"/>
    <w:unhideWhenUsed/>
    <w:qFormat/>
    <w:uiPriority w:val="39"/>
    <w:pPr>
      <w:tabs>
        <w:tab w:val="right" w:leader="dot" w:pos="8296"/>
      </w:tabs>
      <w:spacing w:line="600" w:lineRule="exact"/>
      <w:ind w:left="420" w:leftChars="200"/>
    </w:pPr>
    <w:rPr>
      <w:rFonts w:ascii="Calibri" w:hAnsi="Calibri" w:eastAsia="宋体" w:cs="Times New Roman"/>
    </w:rPr>
  </w:style>
  <w:style w:type="paragraph" w:styleId="15">
    <w:name w:val="Title"/>
    <w:basedOn w:val="1"/>
    <w:next w:val="1"/>
    <w:link w:val="43"/>
    <w:qFormat/>
    <w:uiPriority w:val="10"/>
    <w:pPr>
      <w:spacing w:before="240" w:after="60"/>
      <w:jc w:val="center"/>
      <w:outlineLvl w:val="0"/>
    </w:pPr>
    <w:rPr>
      <w:rFonts w:eastAsia="宋体" w:asciiTheme="majorHAnsi" w:hAnsiTheme="majorHAnsi" w:cstheme="majorBidi"/>
      <w:b/>
      <w:bCs/>
      <w:sz w:val="32"/>
      <w:szCs w:val="32"/>
    </w:rPr>
  </w:style>
  <w:style w:type="paragraph" w:styleId="16">
    <w:name w:val="annotation subject"/>
    <w:basedOn w:val="5"/>
    <w:next w:val="5"/>
    <w:link w:val="30"/>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Emphasis"/>
    <w:basedOn w:val="19"/>
    <w:qFormat/>
    <w:uiPriority w:val="20"/>
    <w:rPr>
      <w:i/>
    </w:rPr>
  </w:style>
  <w:style w:type="character" w:styleId="21">
    <w:name w:val="Hyperlink"/>
    <w:basedOn w:val="19"/>
    <w:unhideWhenUsed/>
    <w:qFormat/>
    <w:uiPriority w:val="99"/>
    <w:rPr>
      <w:color w:val="0000FF"/>
      <w:u w:val="single"/>
    </w:rPr>
  </w:style>
  <w:style w:type="character" w:styleId="22">
    <w:name w:val="annotation reference"/>
    <w:basedOn w:val="19"/>
    <w:semiHidden/>
    <w:unhideWhenUsed/>
    <w:qFormat/>
    <w:uiPriority w:val="99"/>
    <w:rPr>
      <w:sz w:val="21"/>
      <w:szCs w:val="21"/>
    </w:rPr>
  </w:style>
  <w:style w:type="character" w:styleId="23">
    <w:name w:val="footnote reference"/>
    <w:basedOn w:val="19"/>
    <w:semiHidden/>
    <w:unhideWhenUsed/>
    <w:qFormat/>
    <w:uiPriority w:val="99"/>
    <w:rPr>
      <w:vertAlign w:val="superscript"/>
    </w:rPr>
  </w:style>
  <w:style w:type="character" w:customStyle="1" w:styleId="24">
    <w:name w:val="页眉 Char"/>
    <w:basedOn w:val="19"/>
    <w:link w:val="11"/>
    <w:semiHidden/>
    <w:qFormat/>
    <w:uiPriority w:val="99"/>
    <w:rPr>
      <w:sz w:val="18"/>
      <w:szCs w:val="18"/>
    </w:rPr>
  </w:style>
  <w:style w:type="character" w:customStyle="1" w:styleId="25">
    <w:name w:val="页脚 Char"/>
    <w:basedOn w:val="19"/>
    <w:link w:val="10"/>
    <w:qFormat/>
    <w:uiPriority w:val="99"/>
    <w:rPr>
      <w:sz w:val="18"/>
      <w:szCs w:val="18"/>
    </w:rPr>
  </w:style>
  <w:style w:type="character" w:customStyle="1" w:styleId="26">
    <w:name w:val="标题 1 Char"/>
    <w:basedOn w:val="19"/>
    <w:link w:val="2"/>
    <w:qFormat/>
    <w:uiPriority w:val="9"/>
    <w:rPr>
      <w:rFonts w:ascii="Calibri" w:hAnsi="Calibri" w:eastAsia="宋体" w:cs="Times New Roman"/>
      <w:b/>
      <w:bCs/>
      <w:kern w:val="44"/>
      <w:sz w:val="44"/>
      <w:szCs w:val="44"/>
    </w:rPr>
  </w:style>
  <w:style w:type="character" w:customStyle="1" w:styleId="27">
    <w:name w:val="标题 2 Char"/>
    <w:basedOn w:val="19"/>
    <w:link w:val="3"/>
    <w:qFormat/>
    <w:uiPriority w:val="9"/>
    <w:rPr>
      <w:rFonts w:ascii="Cambria" w:hAnsi="Cambria" w:eastAsia="宋体" w:cs="宋体"/>
      <w:b/>
      <w:bCs/>
      <w:sz w:val="32"/>
      <w:szCs w:val="32"/>
    </w:rPr>
  </w:style>
  <w:style w:type="character" w:customStyle="1" w:styleId="28">
    <w:name w:val="批注文字 Char1"/>
    <w:basedOn w:val="19"/>
    <w:link w:val="5"/>
    <w:semiHidden/>
    <w:qFormat/>
    <w:locked/>
    <w:uiPriority w:val="99"/>
    <w:rPr>
      <w:rFonts w:ascii="Calibri" w:hAnsi="Calibri" w:eastAsia="宋体" w:cs="Times New Roman"/>
    </w:rPr>
  </w:style>
  <w:style w:type="character" w:customStyle="1" w:styleId="29">
    <w:name w:val="批注文字 Char"/>
    <w:basedOn w:val="19"/>
    <w:semiHidden/>
    <w:qFormat/>
    <w:uiPriority w:val="99"/>
  </w:style>
  <w:style w:type="character" w:customStyle="1" w:styleId="30">
    <w:name w:val="批注主题 Char1"/>
    <w:basedOn w:val="28"/>
    <w:link w:val="16"/>
    <w:semiHidden/>
    <w:qFormat/>
    <w:locked/>
    <w:uiPriority w:val="99"/>
    <w:rPr>
      <w:rFonts w:ascii="Calibri" w:hAnsi="Calibri" w:eastAsia="宋体" w:cs="Times New Roman"/>
      <w:b/>
      <w:bCs/>
    </w:rPr>
  </w:style>
  <w:style w:type="character" w:customStyle="1" w:styleId="31">
    <w:name w:val="批注主题 Char"/>
    <w:basedOn w:val="29"/>
    <w:semiHidden/>
    <w:qFormat/>
    <w:uiPriority w:val="99"/>
    <w:rPr>
      <w:b/>
      <w:bCs/>
    </w:rPr>
  </w:style>
  <w:style w:type="character" w:customStyle="1" w:styleId="32">
    <w:name w:val="批注框文本 Char1"/>
    <w:basedOn w:val="19"/>
    <w:link w:val="9"/>
    <w:semiHidden/>
    <w:qFormat/>
    <w:locked/>
    <w:uiPriority w:val="99"/>
    <w:rPr>
      <w:rFonts w:ascii="Calibri" w:hAnsi="Calibri" w:eastAsia="宋体" w:cs="Times New Roman"/>
      <w:sz w:val="18"/>
      <w:szCs w:val="18"/>
    </w:rPr>
  </w:style>
  <w:style w:type="character" w:customStyle="1" w:styleId="33">
    <w:name w:val="批注框文本 Char"/>
    <w:basedOn w:val="19"/>
    <w:semiHidden/>
    <w:qFormat/>
    <w:uiPriority w:val="99"/>
    <w:rPr>
      <w:sz w:val="18"/>
      <w:szCs w:val="18"/>
    </w:rPr>
  </w:style>
  <w:style w:type="character" w:customStyle="1" w:styleId="34">
    <w:name w:val="列出段落 Char"/>
    <w:link w:val="35"/>
    <w:qFormat/>
    <w:locked/>
    <w:uiPriority w:val="34"/>
    <w:rPr>
      <w:rFonts w:ascii="Calibri" w:hAnsi="Calibri" w:eastAsia="宋体" w:cs="Times New Roman"/>
      <w:kern w:val="0"/>
      <w:sz w:val="20"/>
      <w:szCs w:val="20"/>
    </w:rPr>
  </w:style>
  <w:style w:type="paragraph" w:styleId="35">
    <w:name w:val="List Paragraph"/>
    <w:basedOn w:val="1"/>
    <w:link w:val="34"/>
    <w:qFormat/>
    <w:uiPriority w:val="34"/>
    <w:pPr>
      <w:ind w:firstLine="420" w:firstLineChars="200"/>
    </w:pPr>
    <w:rPr>
      <w:rFonts w:ascii="Calibri" w:hAnsi="Calibri" w:eastAsia="宋体" w:cs="Times New Roman"/>
      <w:kern w:val="0"/>
      <w:sz w:val="20"/>
      <w:szCs w:val="20"/>
    </w:rPr>
  </w:style>
  <w:style w:type="character" w:customStyle="1" w:styleId="36">
    <w:name w:val="SSE表格文字 Char"/>
    <w:basedOn w:val="19"/>
    <w:link w:val="37"/>
    <w:qFormat/>
    <w:locked/>
    <w:uiPriority w:val="0"/>
    <w:rPr>
      <w:rFonts w:ascii="Times New Roman" w:hAnsi="Times New Roman" w:eastAsia="仿宋_GB2312" w:cs="Times New Roman"/>
      <w:color w:val="000000"/>
      <w:kern w:val="0"/>
      <w:sz w:val="24"/>
      <w:szCs w:val="24"/>
    </w:rPr>
  </w:style>
  <w:style w:type="paragraph" w:customStyle="1" w:styleId="37">
    <w:name w:val="SSE表格文字"/>
    <w:basedOn w:val="1"/>
    <w:link w:val="36"/>
    <w:qFormat/>
    <w:uiPriority w:val="0"/>
    <w:pPr>
      <w:widowControl/>
      <w:jc w:val="center"/>
    </w:pPr>
    <w:rPr>
      <w:rFonts w:ascii="Times New Roman" w:hAnsi="Times New Roman" w:eastAsia="仿宋_GB2312" w:cs="Times New Roman"/>
      <w:color w:val="000000"/>
      <w:kern w:val="0"/>
      <w:sz w:val="24"/>
      <w:szCs w:val="24"/>
    </w:rPr>
  </w:style>
  <w:style w:type="character" w:customStyle="1" w:styleId="38">
    <w:name w:val="SSE正文 Char"/>
    <w:basedOn w:val="19"/>
    <w:link w:val="39"/>
    <w:qFormat/>
    <w:locked/>
    <w:uiPriority w:val="0"/>
    <w:rPr>
      <w:rFonts w:ascii="Times New Roman" w:hAnsi="Times New Roman" w:eastAsia="仿宋_GB2312" w:cs="Times New Roman"/>
      <w:sz w:val="28"/>
      <w:szCs w:val="28"/>
    </w:rPr>
  </w:style>
  <w:style w:type="paragraph" w:customStyle="1" w:styleId="39">
    <w:name w:val="SSE正文"/>
    <w:basedOn w:val="1"/>
    <w:link w:val="38"/>
    <w:qFormat/>
    <w:uiPriority w:val="0"/>
    <w:pPr>
      <w:ind w:firstLine="200" w:firstLineChars="200"/>
    </w:pPr>
    <w:rPr>
      <w:rFonts w:ascii="Times New Roman" w:hAnsi="Times New Roman" w:eastAsia="仿宋_GB2312" w:cs="Times New Roman"/>
      <w:sz w:val="28"/>
      <w:szCs w:val="28"/>
    </w:rPr>
  </w:style>
  <w:style w:type="paragraph" w:customStyle="1" w:styleId="4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styleId="41">
    <w:name w:val="Placeholder Text"/>
    <w:basedOn w:val="19"/>
    <w:semiHidden/>
    <w:qFormat/>
    <w:uiPriority w:val="99"/>
    <w:rPr>
      <w:color w:val="808080"/>
    </w:rPr>
  </w:style>
  <w:style w:type="character" w:customStyle="1" w:styleId="42">
    <w:name w:val="正文文本缩进 Char"/>
    <w:basedOn w:val="19"/>
    <w:link w:val="6"/>
    <w:qFormat/>
    <w:uiPriority w:val="0"/>
    <w:rPr>
      <w:rFonts w:ascii="仿宋_GB2312" w:hAnsi="Times New Roman" w:eastAsia="仿宋_GB2312" w:cs="Times New Roman"/>
      <w:sz w:val="30"/>
      <w:szCs w:val="24"/>
    </w:rPr>
  </w:style>
  <w:style w:type="character" w:customStyle="1" w:styleId="43">
    <w:name w:val="标题 Char"/>
    <w:basedOn w:val="19"/>
    <w:link w:val="15"/>
    <w:qFormat/>
    <w:uiPriority w:val="10"/>
    <w:rPr>
      <w:rFonts w:eastAsia="宋体" w:asciiTheme="majorHAnsi" w:hAnsiTheme="majorHAnsi" w:cstheme="majorBidi"/>
      <w:b/>
      <w:bCs/>
      <w:sz w:val="32"/>
      <w:szCs w:val="32"/>
    </w:rPr>
  </w:style>
  <w:style w:type="paragraph" w:customStyle="1" w:styleId="4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45">
    <w:name w:val="日期 Char"/>
    <w:basedOn w:val="19"/>
    <w:link w:val="8"/>
    <w:semiHidden/>
    <w:qFormat/>
    <w:uiPriority w:val="99"/>
  </w:style>
  <w:style w:type="character" w:customStyle="1" w:styleId="46">
    <w:name w:val="文档结构图 Char"/>
    <w:basedOn w:val="19"/>
    <w:link w:val="4"/>
    <w:semiHidden/>
    <w:qFormat/>
    <w:uiPriority w:val="99"/>
    <w:rPr>
      <w:rFonts w:ascii="宋体" w:eastAsia="宋体"/>
      <w:sz w:val="18"/>
      <w:szCs w:val="18"/>
    </w:rPr>
  </w:style>
  <w:style w:type="character" w:customStyle="1" w:styleId="47">
    <w:name w:val="脚注文本 Char"/>
    <w:basedOn w:val="19"/>
    <w:link w:val="1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webword_2091416794\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1CE801F1-6A25-40E7-9F96-569FBD59367F}">
  <ds:schemaRefs/>
</ds:datastoreItem>
</file>

<file path=docProps/app.xml><?xml version="1.0" encoding="utf-8"?>
<Properties xmlns="http://schemas.openxmlformats.org/officeDocument/2006/extended-properties" xmlns:vt="http://schemas.openxmlformats.org/officeDocument/2006/docPropsVTypes">
  <Pages>45</Pages>
  <Words>3027</Words>
  <Characters>17256</Characters>
  <Lines>143</Lines>
  <Paragraphs>40</Paragraphs>
  <TotalTime>8</TotalTime>
  <ScaleCrop>false</ScaleCrop>
  <LinksUpToDate>false</LinksUpToDate>
  <CharactersWithSpaces>20243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2024-06-09T10:08:00Z</dcterms:created>
  <cp:lastPrinted>2024-06-09T15:24:00Z</cp:lastPrinted>
  <dcterms:modified xsi:type="dcterms:W3CDTF">2024-07-19T01:56:32Z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11634D5D304440B3A26801B215CCB031</vt:lpwstr>
  </property>
</Properties>
</file>