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0F032">
      <w:pPr>
        <w:pStyle w:val="8"/>
        <w:keepNext w:val="0"/>
        <w:keepLines w:val="0"/>
        <w:pageBreakBefore w:val="0"/>
        <w:kinsoku/>
        <w:wordWrap/>
        <w:overflowPunct/>
        <w:topLinePunct w:val="0"/>
        <w:bidi w:val="0"/>
        <w:spacing w:beforeAutospacing="0" w:afterAutospacing="0" w:line="600" w:lineRule="exact"/>
        <w:jc w:val="center"/>
        <w:textAlignment w:val="auto"/>
        <w:rPr>
          <w:rFonts w:ascii="方正小标宋简体" w:hAnsi="黑体" w:eastAsia="方正小标宋简体" w:cs="黑体"/>
          <w:bCs/>
          <w:sz w:val="44"/>
          <w:szCs w:val="44"/>
        </w:rPr>
      </w:pPr>
      <w:r>
        <w:rPr>
          <w:rFonts w:hint="eastAsia" w:ascii="方正小标宋简体" w:hAnsi="黑体" w:eastAsia="方正小标宋简体" w:cs="黑体"/>
          <w:bCs/>
          <w:sz w:val="44"/>
          <w:szCs w:val="44"/>
          <w:lang w:eastAsia="zh-CN"/>
        </w:rPr>
        <w:t>宁夏</w:t>
      </w:r>
      <w:r>
        <w:rPr>
          <w:rFonts w:hint="eastAsia" w:ascii="方正小标宋简体" w:hAnsi="黑体" w:eastAsia="方正小标宋简体" w:cs="黑体"/>
          <w:bCs/>
          <w:sz w:val="44"/>
          <w:szCs w:val="44"/>
        </w:rPr>
        <w:t>注册会计</w:t>
      </w:r>
      <w:r>
        <w:rPr>
          <w:rFonts w:hint="eastAsia" w:ascii="方正小标宋简体" w:hAnsi="黑体" w:eastAsia="方正小标宋简体" w:cs="黑体"/>
          <w:bCs/>
          <w:sz w:val="44"/>
          <w:szCs w:val="44"/>
          <w:lang w:eastAsia="zh-CN"/>
        </w:rPr>
        <w:t>师</w:t>
      </w:r>
      <w:r>
        <w:rPr>
          <w:rFonts w:hint="eastAsia" w:ascii="方正小标宋简体" w:hAnsi="黑体" w:eastAsia="方正小标宋简体" w:cs="黑体"/>
          <w:bCs/>
          <w:sz w:val="44"/>
          <w:szCs w:val="44"/>
        </w:rPr>
        <w:t>协会会员谈话提醒办法</w:t>
      </w:r>
    </w:p>
    <w:p w14:paraId="3A58F70C">
      <w:pPr>
        <w:keepNext w:val="0"/>
        <w:keepLines w:val="0"/>
        <w:pageBreakBefore w:val="0"/>
        <w:kinsoku/>
        <w:wordWrap/>
        <w:overflowPunct/>
        <w:topLinePunct w:val="0"/>
        <w:bidi w:val="0"/>
        <w:spacing w:beforeAutospacing="0" w:afterAutospacing="0" w:line="600" w:lineRule="exact"/>
        <w:textAlignment w:val="auto"/>
      </w:pPr>
    </w:p>
    <w:p w14:paraId="7D1F2A8C">
      <w:pPr>
        <w:keepNext w:val="0"/>
        <w:keepLines w:val="0"/>
        <w:pageBreakBefore w:val="0"/>
        <w:kinsoku/>
        <w:wordWrap/>
        <w:overflowPunct/>
        <w:topLinePunct w:val="0"/>
        <w:bidi w:val="0"/>
        <w:spacing w:beforeAutospacing="0" w:afterAutospacing="0" w:line="600" w:lineRule="exact"/>
        <w:jc w:val="center"/>
        <w:textAlignment w:val="auto"/>
        <w:rPr>
          <w:rFonts w:ascii="黑体" w:hAnsi="黑体" w:eastAsia="黑体"/>
          <w:sz w:val="32"/>
          <w:szCs w:val="32"/>
        </w:rPr>
      </w:pPr>
      <w:bookmarkStart w:id="0" w:name="_GoBack"/>
      <w:bookmarkEnd w:id="0"/>
      <w:r>
        <w:rPr>
          <w:rFonts w:hint="eastAsia" w:ascii="黑体" w:hAnsi="黑体" w:eastAsia="黑体"/>
          <w:sz w:val="32"/>
          <w:szCs w:val="32"/>
        </w:rPr>
        <w:t>第一章 总则</w:t>
      </w:r>
    </w:p>
    <w:p w14:paraId="14AD42F6">
      <w:pPr>
        <w:keepNext w:val="0"/>
        <w:keepLines w:val="0"/>
        <w:pageBreakBefore w:val="0"/>
        <w:kinsoku/>
        <w:wordWrap/>
        <w:overflowPunct/>
        <w:topLinePunct w:val="0"/>
        <w:bidi w:val="0"/>
        <w:spacing w:beforeAutospacing="0" w:afterAutospacing="0" w:line="600" w:lineRule="exact"/>
        <w:jc w:val="center"/>
        <w:textAlignment w:val="auto"/>
        <w:rPr>
          <w:rFonts w:ascii="黑体" w:hAnsi="黑体" w:eastAsia="黑体"/>
          <w:sz w:val="32"/>
          <w:szCs w:val="32"/>
        </w:rPr>
      </w:pPr>
    </w:p>
    <w:p w14:paraId="09E1BA61">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仿宋_GB2312" w:hAnsi="仿宋" w:eastAsia="仿宋_GB2312"/>
          <w:sz w:val="32"/>
          <w:szCs w:val="32"/>
        </w:rPr>
      </w:pPr>
      <w:r>
        <w:rPr>
          <w:rFonts w:hint="eastAsia" w:ascii="Times New Roman" w:hAnsi="Times New Roman" w:eastAsia="仿宋_GB2312" w:cs="Times New Roman"/>
          <w:b/>
          <w:sz w:val="32"/>
          <w:szCs w:val="32"/>
        </w:rPr>
        <w:t>第一条</w:t>
      </w:r>
      <w:r>
        <w:rPr>
          <w:rFonts w:hint="eastAsia" w:ascii="仿宋_GB2312" w:hAnsi="仿宋" w:eastAsia="仿宋_GB2312"/>
          <w:b/>
          <w:sz w:val="32"/>
          <w:szCs w:val="32"/>
        </w:rPr>
        <w:t xml:space="preserve">  </w:t>
      </w:r>
      <w:r>
        <w:rPr>
          <w:rFonts w:hint="eastAsia" w:ascii="仿宋_GB2312" w:hAnsi="仿宋" w:eastAsia="仿宋_GB2312"/>
          <w:sz w:val="32"/>
          <w:szCs w:val="32"/>
        </w:rPr>
        <w:t>为加强</w:t>
      </w:r>
      <w:r>
        <w:rPr>
          <w:rFonts w:hint="eastAsia" w:ascii="仿宋_GB2312" w:hAnsi="仿宋_GB2312" w:eastAsia="仿宋_GB2312" w:cs="仿宋_GB2312"/>
          <w:sz w:val="32"/>
          <w:szCs w:val="32"/>
          <w:shd w:val="clear" w:color="auto" w:fill="FFFFFF"/>
          <w:lang w:eastAsia="zh-CN"/>
        </w:rPr>
        <w:t>宁夏</w:t>
      </w:r>
      <w:r>
        <w:rPr>
          <w:rFonts w:hint="eastAsia" w:ascii="仿宋_GB2312" w:hAnsi="仿宋_GB2312" w:eastAsia="仿宋_GB2312" w:cs="仿宋_GB2312"/>
          <w:sz w:val="32"/>
          <w:szCs w:val="32"/>
          <w:shd w:val="clear" w:color="auto" w:fill="FFFFFF"/>
        </w:rPr>
        <w:t>注册会计师行业</w:t>
      </w:r>
      <w:r>
        <w:rPr>
          <w:rFonts w:hint="eastAsia" w:ascii="仿宋_GB2312" w:hAnsi="仿宋" w:eastAsia="仿宋_GB2312"/>
          <w:sz w:val="32"/>
          <w:szCs w:val="32"/>
        </w:rPr>
        <w:t>诚信建设，规范会员职业道德和执业行为，防范执业风险，贯彻落实《中共中央办公厅 国务院办公厅关于进一步加强财会监督工作的意见》精神</w:t>
      </w:r>
      <w:r>
        <w:rPr>
          <w:rFonts w:hint="eastAsia" w:ascii="仿宋_GB2312" w:hAnsi="仿宋" w:eastAsia="仿宋_GB2312"/>
          <w:sz w:val="32"/>
          <w:szCs w:val="32"/>
          <w:lang w:eastAsia="zh-CN"/>
        </w:rPr>
        <w:t>，</w:t>
      </w:r>
      <w:r>
        <w:rPr>
          <w:rFonts w:hint="eastAsia" w:ascii="仿宋_GB2312" w:hAnsi="仿宋" w:eastAsia="仿宋_GB2312"/>
          <w:sz w:val="32"/>
          <w:szCs w:val="32"/>
        </w:rPr>
        <w:t>根据《中华人民共和国</w:t>
      </w:r>
      <w:r>
        <w:rPr>
          <w:rFonts w:hint="eastAsia" w:ascii="仿宋_GB2312" w:hAnsi="仿宋" w:eastAsia="仿宋_GB2312"/>
          <w:sz w:val="32"/>
          <w:szCs w:val="32"/>
          <w:lang w:eastAsia="zh-CN"/>
        </w:rPr>
        <w:t>注册会计师</w:t>
      </w:r>
      <w:r>
        <w:rPr>
          <w:rFonts w:hint="eastAsia" w:ascii="仿宋_GB2312" w:hAnsi="仿宋" w:eastAsia="仿宋_GB2312"/>
          <w:sz w:val="32"/>
          <w:szCs w:val="32"/>
        </w:rPr>
        <w:t>法》《会计师事务所执业许可和监督管理办法》《</w:t>
      </w:r>
      <w:r>
        <w:rPr>
          <w:rFonts w:hint="eastAsia" w:ascii="仿宋_GB2312" w:hAnsi="仿宋" w:eastAsia="仿宋_GB2312"/>
          <w:sz w:val="32"/>
          <w:szCs w:val="32"/>
          <w:lang w:eastAsia="zh-CN"/>
        </w:rPr>
        <w:t>宁夏</w:t>
      </w:r>
      <w:r>
        <w:rPr>
          <w:rFonts w:hint="eastAsia" w:ascii="仿宋_GB2312" w:hAnsi="仿宋" w:eastAsia="仿宋_GB2312"/>
          <w:sz w:val="32"/>
          <w:szCs w:val="32"/>
        </w:rPr>
        <w:t>注册会计师协会章程》《</w:t>
      </w:r>
      <w:r>
        <w:rPr>
          <w:rFonts w:hint="eastAsia" w:ascii="仿宋_GB2312" w:hAnsi="仿宋" w:eastAsia="仿宋_GB2312"/>
          <w:sz w:val="32"/>
          <w:szCs w:val="32"/>
          <w:lang w:eastAsia="zh-CN"/>
        </w:rPr>
        <w:t>宁夏会计师事务所</w:t>
      </w:r>
      <w:r>
        <w:rPr>
          <w:rFonts w:hint="eastAsia" w:ascii="仿宋_GB2312" w:hAnsi="仿宋" w:eastAsia="仿宋_GB2312"/>
          <w:sz w:val="32"/>
          <w:szCs w:val="32"/>
        </w:rPr>
        <w:t>执业质量检查办法》</w:t>
      </w:r>
      <w:r>
        <w:rPr>
          <w:rFonts w:hint="eastAsia" w:ascii="仿宋_GB2312" w:hAnsi="仿宋" w:eastAsia="仿宋_GB2312"/>
          <w:sz w:val="32"/>
          <w:szCs w:val="32"/>
          <w:lang w:eastAsia="zh-CN"/>
        </w:rPr>
        <w:t>和</w:t>
      </w:r>
      <w:r>
        <w:rPr>
          <w:rFonts w:hint="eastAsia" w:ascii="仿宋_GB2312" w:hAnsi="仿宋" w:eastAsia="仿宋_GB2312"/>
          <w:sz w:val="32"/>
          <w:szCs w:val="32"/>
        </w:rPr>
        <w:t>《</w:t>
      </w:r>
      <w:r>
        <w:rPr>
          <w:rFonts w:hint="eastAsia" w:ascii="仿宋_GB2312" w:hAnsi="仿宋" w:eastAsia="仿宋_GB2312"/>
          <w:sz w:val="32"/>
          <w:szCs w:val="32"/>
          <w:lang w:eastAsia="zh-CN"/>
        </w:rPr>
        <w:t>宁夏</w:t>
      </w:r>
      <w:r>
        <w:rPr>
          <w:rFonts w:hint="eastAsia" w:ascii="仿宋_GB2312" w:hAnsi="仿宋" w:eastAsia="仿宋_GB2312"/>
          <w:sz w:val="32"/>
          <w:szCs w:val="32"/>
        </w:rPr>
        <w:t>注册会计师协会会员执业违规行为惩戒办法》的有关规定，制定本办法。</w:t>
      </w:r>
    </w:p>
    <w:p w14:paraId="0C89172D">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仿宋_GB2312" w:hAnsi="仿宋" w:eastAsia="仿宋_GB2312"/>
          <w:sz w:val="32"/>
          <w:szCs w:val="32"/>
        </w:rPr>
      </w:pPr>
      <w:r>
        <w:rPr>
          <w:rFonts w:hint="eastAsia" w:ascii="Times New Roman" w:hAnsi="Times New Roman" w:eastAsia="仿宋_GB2312" w:cs="Times New Roman"/>
          <w:b/>
          <w:sz w:val="32"/>
          <w:szCs w:val="32"/>
        </w:rPr>
        <w:t>第二条</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宁夏</w:t>
      </w:r>
      <w:r>
        <w:rPr>
          <w:rFonts w:hint="eastAsia" w:ascii="仿宋_GB2312" w:hAnsi="仿宋" w:eastAsia="仿宋_GB2312"/>
          <w:sz w:val="32"/>
          <w:szCs w:val="32"/>
        </w:rPr>
        <w:t>注册会计师协会</w:t>
      </w:r>
      <w:r>
        <w:rPr>
          <w:rFonts w:hint="eastAsia" w:ascii="仿宋_GB2312" w:hAnsi="仿宋" w:eastAsia="仿宋_GB2312"/>
          <w:sz w:val="32"/>
          <w:szCs w:val="32"/>
          <w:shd w:val="clear" w:color="auto" w:fill="FFFFFF"/>
        </w:rPr>
        <w:t>（以下简称“</w:t>
      </w:r>
      <w:r>
        <w:rPr>
          <w:rFonts w:hint="eastAsia" w:ascii="仿宋_GB2312" w:hAnsi="仿宋" w:eastAsia="仿宋_GB2312"/>
          <w:sz w:val="32"/>
          <w:szCs w:val="32"/>
          <w:shd w:val="clear" w:color="auto" w:fill="FFFFFF"/>
          <w:lang w:eastAsia="zh-CN"/>
        </w:rPr>
        <w:t>协会</w:t>
      </w:r>
      <w:r>
        <w:rPr>
          <w:rFonts w:hint="eastAsia" w:ascii="仿宋_GB2312" w:hAnsi="仿宋" w:eastAsia="仿宋_GB2312"/>
          <w:sz w:val="32"/>
          <w:szCs w:val="32"/>
          <w:shd w:val="clear" w:color="auto" w:fill="FFFFFF"/>
        </w:rPr>
        <w:t>”）</w:t>
      </w:r>
      <w:r>
        <w:rPr>
          <w:rFonts w:hint="eastAsia" w:ascii="仿宋_GB2312" w:hAnsi="仿宋" w:eastAsia="仿宋_GB2312"/>
          <w:sz w:val="32"/>
          <w:szCs w:val="32"/>
        </w:rPr>
        <w:t>对会员尚不构成自律惩戒条件的违法违规行为实施谈话提醒（包括提示、引导、告诫被提醒人按照相关法律法规、执业准则和职业道德守则履行执业行为，减少或预防违法违规行为发生），适用本办法。</w:t>
      </w:r>
    </w:p>
    <w:p w14:paraId="45FFB256">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shd w:val="clear" w:color="auto" w:fill="FFFFFF"/>
          <w:lang w:eastAsia="zh-CN"/>
        </w:rPr>
        <w:t>协会</w:t>
      </w:r>
      <w:r>
        <w:rPr>
          <w:rFonts w:hint="eastAsia" w:ascii="仿宋_GB2312" w:hAnsi="仿宋" w:eastAsia="仿宋_GB2312"/>
          <w:sz w:val="32"/>
          <w:szCs w:val="32"/>
        </w:rPr>
        <w:t>对会员进行的风险提示，也适用本办法。</w:t>
      </w:r>
    </w:p>
    <w:p w14:paraId="15507748">
      <w:pPr>
        <w:keepNext w:val="0"/>
        <w:keepLines w:val="0"/>
        <w:pageBreakBefore w:val="0"/>
        <w:kinsoku/>
        <w:wordWrap/>
        <w:overflowPunct/>
        <w:topLinePunct w:val="0"/>
        <w:bidi w:val="0"/>
        <w:spacing w:beforeAutospacing="0" w:afterAutospacing="0"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本办法所称的会员，是指在</w:t>
      </w:r>
      <w:r>
        <w:rPr>
          <w:rFonts w:hint="eastAsia" w:ascii="仿宋_GB2312" w:hAnsi="仿宋" w:eastAsia="仿宋_GB2312"/>
          <w:sz w:val="32"/>
          <w:szCs w:val="32"/>
          <w:lang w:eastAsia="zh-CN"/>
        </w:rPr>
        <w:t>协会</w:t>
      </w:r>
      <w:r>
        <w:rPr>
          <w:rFonts w:hint="eastAsia" w:ascii="仿宋_GB2312" w:hAnsi="仿宋" w:eastAsia="仿宋_GB2312"/>
          <w:sz w:val="32"/>
          <w:szCs w:val="32"/>
        </w:rPr>
        <w:t>注册的团体会员和个人执业会员，即会计师事务所和注册会计师</w:t>
      </w:r>
      <w:r>
        <w:rPr>
          <w:rFonts w:hint="eastAsia" w:ascii="仿宋_GB2312" w:hAnsi="仿宋" w:eastAsia="仿宋_GB2312"/>
          <w:sz w:val="32"/>
          <w:szCs w:val="32"/>
          <w:lang w:eastAsia="zh-CN"/>
        </w:rPr>
        <w:t>。</w:t>
      </w:r>
    </w:p>
    <w:p w14:paraId="753FF003">
      <w:pPr>
        <w:keepNext w:val="0"/>
        <w:keepLines w:val="0"/>
        <w:pageBreakBefore w:val="0"/>
        <w:kinsoku/>
        <w:wordWrap/>
        <w:overflowPunct/>
        <w:topLinePunct w:val="0"/>
        <w:bidi w:val="0"/>
        <w:spacing w:beforeAutospacing="0" w:afterAutospacing="0" w:line="600" w:lineRule="exact"/>
        <w:ind w:firstLine="630" w:firstLineChars="196"/>
        <w:textAlignment w:val="auto"/>
        <w:rPr>
          <w:rFonts w:ascii="仿宋_GB2312" w:hAnsi="仿宋" w:eastAsia="仿宋_GB2312"/>
          <w:sz w:val="32"/>
          <w:szCs w:val="32"/>
        </w:rPr>
      </w:pPr>
      <w:r>
        <w:rPr>
          <w:rFonts w:hint="eastAsia" w:ascii="Times New Roman" w:hAnsi="Times New Roman" w:eastAsia="仿宋_GB2312" w:cs="Times New Roman"/>
          <w:b/>
          <w:sz w:val="32"/>
          <w:szCs w:val="32"/>
        </w:rPr>
        <w:t xml:space="preserve">第三条 </w:t>
      </w:r>
      <w:r>
        <w:rPr>
          <w:rFonts w:hint="eastAsia" w:ascii="仿宋_GB2312" w:hAnsi="仿宋" w:eastAsia="仿宋_GB2312"/>
          <w:b/>
          <w:sz w:val="32"/>
          <w:szCs w:val="32"/>
        </w:rPr>
        <w:t xml:space="preserve"> </w:t>
      </w:r>
      <w:r>
        <w:rPr>
          <w:rFonts w:hint="eastAsia" w:ascii="仿宋_GB2312" w:hAnsi="仿宋" w:eastAsia="仿宋_GB2312"/>
          <w:sz w:val="32"/>
          <w:szCs w:val="32"/>
        </w:rPr>
        <w:t>谈话提醒为</w:t>
      </w:r>
      <w:r>
        <w:rPr>
          <w:rFonts w:hint="eastAsia" w:ascii="仿宋_GB2312" w:hAnsi="微软雅黑" w:eastAsia="仿宋_GB2312" w:cs="仿宋_GB2312"/>
          <w:i w:val="0"/>
          <w:iCs w:val="0"/>
          <w:caps w:val="0"/>
          <w:color w:val="000000"/>
          <w:spacing w:val="0"/>
          <w:sz w:val="32"/>
          <w:szCs w:val="32"/>
          <w:shd w:val="clear" w:fill="FFFFFF"/>
        </w:rPr>
        <w:t>提示性监管手段</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仿宋" w:eastAsia="仿宋_GB2312"/>
          <w:sz w:val="32"/>
          <w:szCs w:val="32"/>
        </w:rPr>
        <w:t>非惩戒性行业自律行为，遵循客观公正原则和落实风险导向监管工作理念，强化事前事中监控，对当事人存在的问题或者可能面临的风险，进行有针对性的提醒、预防教育，督促其纠正或预防违法违规行为。</w:t>
      </w:r>
    </w:p>
    <w:p w14:paraId="142875EB">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本办法所称当事人是指被约谈的会员。</w:t>
      </w:r>
    </w:p>
    <w:p w14:paraId="42BED63B">
      <w:pPr>
        <w:keepNext w:val="0"/>
        <w:keepLines w:val="0"/>
        <w:pageBreakBefore w:val="0"/>
        <w:kinsoku/>
        <w:wordWrap/>
        <w:overflowPunct/>
        <w:topLinePunct w:val="0"/>
        <w:bidi w:val="0"/>
        <w:spacing w:beforeAutospacing="0" w:afterAutospacing="0" w:line="600" w:lineRule="exact"/>
        <w:ind w:firstLine="630" w:firstLineChars="196"/>
        <w:textAlignment w:val="auto"/>
        <w:rPr>
          <w:rFonts w:ascii="仿宋_GB2312" w:hAnsi="仿宋" w:eastAsia="仿宋_GB2312"/>
          <w:sz w:val="32"/>
          <w:szCs w:val="32"/>
        </w:rPr>
      </w:pPr>
      <w:r>
        <w:rPr>
          <w:rFonts w:hint="eastAsia" w:ascii="Times New Roman" w:hAnsi="Times New Roman" w:eastAsia="仿宋_GB2312" w:cs="Times New Roman"/>
          <w:b/>
          <w:sz w:val="32"/>
          <w:szCs w:val="32"/>
        </w:rPr>
        <w:t xml:space="preserve">第四条 </w:t>
      </w:r>
      <w:r>
        <w:rPr>
          <w:rFonts w:hint="eastAsia" w:ascii="仿宋_GB2312" w:hAnsi="仿宋" w:eastAsia="仿宋_GB2312"/>
          <w:b/>
          <w:sz w:val="32"/>
          <w:szCs w:val="32"/>
        </w:rPr>
        <w:t xml:space="preserve"> </w:t>
      </w:r>
      <w:r>
        <w:rPr>
          <w:rFonts w:hint="eastAsia" w:ascii="仿宋_GB2312" w:hAnsi="仿宋" w:eastAsia="仿宋_GB2312"/>
          <w:sz w:val="32"/>
          <w:szCs w:val="32"/>
        </w:rPr>
        <w:t>谈话提醒方式包括</w:t>
      </w:r>
      <w:r>
        <w:rPr>
          <w:rFonts w:hint="eastAsia" w:ascii="仿宋_GB2312" w:hAnsi="仿宋" w:eastAsia="仿宋_GB2312" w:cs="宋体"/>
          <w:kern w:val="0"/>
          <w:sz w:val="32"/>
          <w:szCs w:val="32"/>
        </w:rPr>
        <w:t>书面约谈和当面约谈</w:t>
      </w:r>
      <w:r>
        <w:rPr>
          <w:rFonts w:hint="eastAsia" w:ascii="仿宋_GB2312" w:hAnsi="仿宋" w:eastAsia="仿宋_GB2312"/>
          <w:sz w:val="32"/>
          <w:szCs w:val="32"/>
        </w:rPr>
        <w:t>。</w:t>
      </w:r>
    </w:p>
    <w:p w14:paraId="5275DE03">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仿宋" w:hAnsi="仿宋" w:eastAsia="仿宋"/>
          <w:b/>
          <w:sz w:val="32"/>
          <w:szCs w:val="32"/>
        </w:rPr>
      </w:pPr>
    </w:p>
    <w:p w14:paraId="5D206130">
      <w:pPr>
        <w:keepNext w:val="0"/>
        <w:keepLines w:val="0"/>
        <w:pageBreakBefore w:val="0"/>
        <w:kinsoku/>
        <w:wordWrap/>
        <w:overflowPunct/>
        <w:topLinePunct w:val="0"/>
        <w:bidi w:val="0"/>
        <w:spacing w:beforeAutospacing="0" w:afterAutospacing="0" w:line="600" w:lineRule="exact"/>
        <w:ind w:firstLine="640" w:firstLineChars="200"/>
        <w:jc w:val="center"/>
        <w:textAlignment w:val="auto"/>
        <w:rPr>
          <w:rFonts w:ascii="黑体" w:hAnsi="黑体" w:eastAsia="黑体"/>
          <w:sz w:val="32"/>
          <w:szCs w:val="32"/>
        </w:rPr>
      </w:pPr>
      <w:r>
        <w:rPr>
          <w:rFonts w:hint="eastAsia" w:ascii="黑体" w:hAnsi="黑体" w:eastAsia="黑体"/>
          <w:sz w:val="32"/>
          <w:szCs w:val="32"/>
        </w:rPr>
        <w:t>第二章 谈话提醒的范围和程序</w:t>
      </w:r>
    </w:p>
    <w:p w14:paraId="5406000E">
      <w:pPr>
        <w:keepNext w:val="0"/>
        <w:keepLines w:val="0"/>
        <w:pageBreakBefore w:val="0"/>
        <w:kinsoku/>
        <w:wordWrap/>
        <w:overflowPunct/>
        <w:topLinePunct w:val="0"/>
        <w:bidi w:val="0"/>
        <w:spacing w:beforeAutospacing="0" w:afterAutospacing="0" w:line="600" w:lineRule="exact"/>
        <w:ind w:firstLine="640" w:firstLineChars="200"/>
        <w:jc w:val="center"/>
        <w:textAlignment w:val="auto"/>
        <w:rPr>
          <w:rFonts w:ascii="黑体" w:hAnsi="黑体" w:eastAsia="黑体"/>
          <w:sz w:val="32"/>
          <w:szCs w:val="32"/>
        </w:rPr>
      </w:pPr>
    </w:p>
    <w:p w14:paraId="0CF662E0">
      <w:pPr>
        <w:keepNext w:val="0"/>
        <w:keepLines w:val="0"/>
        <w:pageBreakBefore w:val="0"/>
        <w:kinsoku/>
        <w:wordWrap/>
        <w:overflowPunct/>
        <w:topLinePunct w:val="0"/>
        <w:bidi w:val="0"/>
        <w:spacing w:beforeAutospacing="0" w:afterAutospacing="0" w:line="600" w:lineRule="exact"/>
        <w:ind w:firstLine="630" w:firstLineChars="196"/>
        <w:jc w:val="left"/>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第五条  </w:t>
      </w:r>
      <w:r>
        <w:rPr>
          <w:rFonts w:ascii="Times New Roman" w:hAnsi="Times New Roman" w:eastAsia="仿宋_GB2312" w:cs="Times New Roman"/>
          <w:sz w:val="32"/>
          <w:szCs w:val="32"/>
        </w:rPr>
        <w:t>会员存在下列情形之一的，应当对其进行谈话提醒。</w:t>
      </w:r>
    </w:p>
    <w:p w14:paraId="634E3210">
      <w:pPr>
        <w:keepNext w:val="0"/>
        <w:keepLines w:val="0"/>
        <w:pageBreakBefore w:val="0"/>
        <w:kinsoku/>
        <w:wordWrap/>
        <w:overflowPunct/>
        <w:topLinePunct w:val="0"/>
        <w:bidi w:val="0"/>
        <w:spacing w:beforeAutospacing="0" w:afterAutospacing="0" w:line="600" w:lineRule="exact"/>
        <w:ind w:firstLine="627" w:firstLineChars="196"/>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）涉嫌违反行业职业道德守则、执业准则规则、质量</w:t>
      </w:r>
      <w:r>
        <w:rPr>
          <w:rFonts w:hint="eastAsia" w:ascii="Times New Roman" w:hAnsi="Times New Roman" w:eastAsia="仿宋_GB2312" w:cs="Times New Roman"/>
          <w:sz w:val="32"/>
          <w:szCs w:val="32"/>
          <w:lang w:eastAsia="zh-CN"/>
        </w:rPr>
        <w:t>管理</w:t>
      </w:r>
      <w:r>
        <w:rPr>
          <w:rFonts w:ascii="Times New Roman" w:hAnsi="Times New Roman" w:eastAsia="仿宋_GB2312" w:cs="Times New Roman"/>
          <w:sz w:val="32"/>
          <w:szCs w:val="32"/>
        </w:rPr>
        <w:t>准则等情况的，但性质或情节轻微，不足以予以自律惩戒的；</w:t>
      </w:r>
    </w:p>
    <w:p w14:paraId="1BB33ACA">
      <w:pPr>
        <w:keepNext w:val="0"/>
        <w:keepLines w:val="0"/>
        <w:pageBreakBefore w:val="0"/>
        <w:kinsoku/>
        <w:wordWrap/>
        <w:overflowPunct/>
        <w:topLinePunct w:val="0"/>
        <w:bidi w:val="0"/>
        <w:spacing w:beforeAutospacing="0" w:afterAutospacing="0" w:line="600" w:lineRule="exact"/>
        <w:ind w:firstLine="627" w:firstLineChars="196"/>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）存在《</w:t>
      </w:r>
      <w:r>
        <w:rPr>
          <w:rFonts w:hint="eastAsia" w:ascii="Times New Roman" w:hAnsi="Times New Roman" w:eastAsia="仿宋_GB2312" w:cs="Times New Roman"/>
          <w:sz w:val="32"/>
          <w:szCs w:val="32"/>
          <w:lang w:eastAsia="zh-CN"/>
        </w:rPr>
        <w:t>宁夏</w:t>
      </w:r>
      <w:r>
        <w:rPr>
          <w:rFonts w:ascii="Times New Roman" w:hAnsi="Times New Roman" w:eastAsia="仿宋_GB2312" w:cs="Times New Roman"/>
          <w:sz w:val="32"/>
          <w:szCs w:val="32"/>
        </w:rPr>
        <w:t>注册会计师协会会员执业违规行为惩戒办法》中规定的违法违规行为，但不足以予以自律惩戒的；</w:t>
      </w:r>
    </w:p>
    <w:p w14:paraId="6FEFEBF1">
      <w:pPr>
        <w:keepNext w:val="0"/>
        <w:keepLines w:val="0"/>
        <w:pageBreakBefore w:val="0"/>
        <w:kinsoku/>
        <w:wordWrap/>
        <w:overflowPunct/>
        <w:topLinePunct w:val="0"/>
        <w:bidi w:val="0"/>
        <w:spacing w:beforeAutospacing="0" w:afterAutospacing="0" w:line="600" w:lineRule="exact"/>
        <w:ind w:firstLine="627" w:firstLineChars="196"/>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）存在严重低于执业成本承接业务、</w:t>
      </w:r>
      <w:r>
        <w:rPr>
          <w:rFonts w:ascii="Times New Roman" w:hAnsi="Times New Roman" w:eastAsia="仿宋_GB2312" w:cs="Times New Roman"/>
          <w:kern w:val="0"/>
          <w:sz w:val="32"/>
          <w:szCs w:val="32"/>
        </w:rPr>
        <w:t>承接业务数量明显与机构人力资源不匹配等</w:t>
      </w:r>
      <w:r>
        <w:rPr>
          <w:rFonts w:ascii="Times New Roman" w:hAnsi="Times New Roman" w:eastAsia="仿宋_GB2312" w:cs="Times New Roman"/>
          <w:sz w:val="32"/>
          <w:szCs w:val="32"/>
        </w:rPr>
        <w:t>涉嫌不正当竞争</w:t>
      </w:r>
      <w:r>
        <w:rPr>
          <w:rFonts w:ascii="Times New Roman" w:hAnsi="Times New Roman" w:eastAsia="仿宋_GB2312" w:cs="Times New Roman"/>
          <w:kern w:val="0"/>
          <w:sz w:val="32"/>
          <w:szCs w:val="32"/>
        </w:rPr>
        <w:t>行为的；</w:t>
      </w:r>
    </w:p>
    <w:p w14:paraId="216EDB39">
      <w:pPr>
        <w:keepNext w:val="0"/>
        <w:keepLines w:val="0"/>
        <w:pageBreakBefore w:val="0"/>
        <w:kinsoku/>
        <w:wordWrap/>
        <w:overflowPunct/>
        <w:topLinePunct w:val="0"/>
        <w:bidi w:val="0"/>
        <w:spacing w:beforeAutospacing="0" w:afterAutospacing="0" w:line="600" w:lineRule="exact"/>
        <w:ind w:firstLine="627" w:firstLineChars="196"/>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）执业行为被举报或投诉的，但存在的问题性质或情节轻微，不足以予以自律惩戒的；</w:t>
      </w:r>
    </w:p>
    <w:p w14:paraId="0F32F90B">
      <w:pPr>
        <w:keepNext w:val="0"/>
        <w:keepLines w:val="0"/>
        <w:pageBreakBefore w:val="0"/>
        <w:kinsoku/>
        <w:wordWrap/>
        <w:overflowPunct/>
        <w:topLinePunct w:val="0"/>
        <w:bidi w:val="0"/>
        <w:spacing w:beforeAutospacing="0" w:afterAutospacing="0" w:line="600" w:lineRule="exact"/>
        <w:ind w:firstLine="627" w:firstLineChars="196"/>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五</w:t>
      </w:r>
      <w:r>
        <w:rPr>
          <w:rFonts w:ascii="Times New Roman" w:hAnsi="Times New Roman" w:eastAsia="仿宋_GB2312" w:cs="Times New Roman"/>
          <w:kern w:val="0"/>
          <w:sz w:val="32"/>
          <w:szCs w:val="32"/>
        </w:rPr>
        <w:t>）应当进行谈话提醒的其他情形。</w:t>
      </w:r>
    </w:p>
    <w:p w14:paraId="0D09D1F0">
      <w:pPr>
        <w:keepNext w:val="0"/>
        <w:keepLines w:val="0"/>
        <w:pageBreakBefore w:val="0"/>
        <w:kinsoku/>
        <w:wordWrap/>
        <w:overflowPunct/>
        <w:topLinePunct w:val="0"/>
        <w:bidi w:val="0"/>
        <w:spacing w:beforeAutospacing="0" w:afterAutospacing="0" w:line="600" w:lineRule="exact"/>
        <w:ind w:firstLine="630" w:firstLineChars="196"/>
        <w:jc w:val="left"/>
        <w:textAlignment w:val="auto"/>
        <w:rPr>
          <w:rFonts w:ascii="Times New Roman" w:hAnsi="Times New Roman" w:eastAsia="仿宋_GB2312" w:cs="Times New Roman"/>
          <w:sz w:val="32"/>
          <w:szCs w:val="32"/>
        </w:rPr>
      </w:pPr>
      <w:r>
        <w:rPr>
          <w:rFonts w:ascii="仿宋_GB2312" w:hAnsi="仿宋" w:eastAsia="仿宋_GB2312"/>
          <w:b/>
          <w:sz w:val="32"/>
          <w:szCs w:val="32"/>
        </w:rPr>
        <w:t>第六条</w:t>
      </w:r>
      <w:r>
        <w:rPr>
          <w:rFonts w:ascii="Times New Roman" w:hAnsi="Times New Roman" w:eastAsia="仿宋_GB2312" w:cs="Times New Roman"/>
          <w:sz w:val="32"/>
          <w:szCs w:val="32"/>
        </w:rPr>
        <w:t xml:space="preserve">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当面约谈的，</w:t>
      </w:r>
      <w:r>
        <w:rPr>
          <w:rFonts w:hint="eastAsia" w:ascii="Times New Roman" w:hAnsi="Times New Roman" w:eastAsia="仿宋_GB2312" w:cs="Times New Roman"/>
          <w:sz w:val="32"/>
          <w:szCs w:val="32"/>
          <w:shd w:val="clear" w:color="auto" w:fill="FFFFFF"/>
          <w:lang w:eastAsia="zh-CN"/>
        </w:rPr>
        <w:t>协会</w:t>
      </w:r>
      <w:r>
        <w:rPr>
          <w:rFonts w:ascii="Times New Roman" w:hAnsi="Times New Roman" w:eastAsia="仿宋_GB2312" w:cs="Times New Roman"/>
          <w:sz w:val="32"/>
          <w:szCs w:val="32"/>
        </w:rPr>
        <w:t>应当提前3个工作日将谈话时间、地点、事由、要求等以口头或者书面形式通知当事人，因事项重要，需紧急组织谈话提醒的，经协会秘书处秘书长同意，可不受3个工作日的限制。当事人不能按时参加的，应当提前2个工作日书面报告</w:t>
      </w:r>
      <w:r>
        <w:rPr>
          <w:rFonts w:hint="eastAsia" w:ascii="Times New Roman" w:hAnsi="Times New Roman" w:eastAsia="仿宋_GB2312" w:cs="Times New Roman"/>
          <w:sz w:val="32"/>
          <w:szCs w:val="32"/>
        </w:rPr>
        <w:t>（接到紧急通知时应及时告知），</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协会</w:t>
      </w:r>
      <w:r>
        <w:rPr>
          <w:rFonts w:ascii="Times New Roman" w:hAnsi="Times New Roman" w:eastAsia="仿宋_GB2312" w:cs="Times New Roman"/>
          <w:sz w:val="32"/>
          <w:szCs w:val="32"/>
        </w:rPr>
        <w:t>说明请假理由并预约约谈时间，经</w:t>
      </w:r>
      <w:r>
        <w:rPr>
          <w:rFonts w:hint="eastAsia" w:ascii="Times New Roman" w:hAnsi="Times New Roman" w:eastAsia="仿宋_GB2312" w:cs="Times New Roman"/>
          <w:sz w:val="32"/>
          <w:szCs w:val="32"/>
          <w:lang w:eastAsia="zh-CN"/>
        </w:rPr>
        <w:t>协会</w:t>
      </w:r>
      <w:r>
        <w:rPr>
          <w:rFonts w:ascii="Times New Roman" w:hAnsi="Times New Roman" w:eastAsia="仿宋_GB2312" w:cs="Times New Roman"/>
          <w:sz w:val="32"/>
          <w:szCs w:val="32"/>
        </w:rPr>
        <w:t>同意后谈话时间可以推迟，但推迟时间最长不得超过5个工作日</w:t>
      </w:r>
      <w:r>
        <w:rPr>
          <w:rFonts w:hint="eastAsia" w:ascii="Times New Roman" w:hAnsi="Times New Roman" w:eastAsia="仿宋_GB2312" w:cs="Times New Roman"/>
          <w:sz w:val="32"/>
          <w:szCs w:val="32"/>
        </w:rPr>
        <w:t>。</w:t>
      </w:r>
    </w:p>
    <w:p w14:paraId="1EBAB27B">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ascii="仿宋_GB2312" w:hAnsi="仿宋" w:eastAsia="仿宋_GB2312"/>
          <w:b/>
          <w:sz w:val="32"/>
          <w:szCs w:val="32"/>
        </w:rPr>
        <w:t>第七条</w:t>
      </w:r>
      <w:r>
        <w:rPr>
          <w:rFonts w:ascii="Times New Roman" w:hAnsi="Times New Roman" w:eastAsia="宋体" w:cs="Times New Roman"/>
          <w:sz w:val="32"/>
          <w:szCs w:val="32"/>
        </w:rPr>
        <w:t> </w:t>
      </w:r>
      <w:r>
        <w:rPr>
          <w:rFonts w:hint="eastAsia" w:ascii="Times New Roman" w:hAnsi="Times New Roman" w:eastAsia="宋体" w:cs="Times New Roman"/>
          <w:sz w:val="32"/>
          <w:szCs w:val="32"/>
        </w:rPr>
        <w:t xml:space="preserve">  </w:t>
      </w:r>
      <w:r>
        <w:rPr>
          <w:rFonts w:ascii="Times New Roman" w:hAnsi="Times New Roman" w:eastAsia="仿宋_GB2312" w:cs="Times New Roman"/>
          <w:sz w:val="32"/>
          <w:szCs w:val="32"/>
        </w:rPr>
        <w:t>谈话提醒的要求：</w:t>
      </w:r>
    </w:p>
    <w:p w14:paraId="1724B6F2">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协会</w:t>
      </w:r>
      <w:r>
        <w:rPr>
          <w:rFonts w:ascii="Times New Roman" w:hAnsi="Times New Roman" w:eastAsia="仿宋_GB2312" w:cs="Times New Roman"/>
          <w:sz w:val="32"/>
          <w:szCs w:val="32"/>
        </w:rPr>
        <w:t>应当有2名以上工作人员参加谈话提醒，并对谈话提醒内容予以记录。</w:t>
      </w:r>
    </w:p>
    <w:p w14:paraId="3FC44F34">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（二）谈话提醒要坚持实事求是、客观公正、坦诚相待的原则，坚持以人为本的思想，采取既严格要求、又与人为善的态度进行。 </w:t>
      </w:r>
    </w:p>
    <w:p w14:paraId="578CE677">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协会</w:t>
      </w:r>
      <w:r>
        <w:rPr>
          <w:rFonts w:ascii="Times New Roman" w:hAnsi="Times New Roman" w:eastAsia="仿宋_GB2312" w:cs="Times New Roman"/>
          <w:sz w:val="32"/>
          <w:szCs w:val="32"/>
        </w:rPr>
        <w:t>应当认真听取当事人的陈述和意见，对当事人提出的正当要求和正确意见，应当予以采纳；涉及举报事宜的，不得向当事人泄露举报人的姓名、身份及举报材料等有关情况。</w:t>
      </w:r>
    </w:p>
    <w:p w14:paraId="097BD82D">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（三）当事人接到提醒谈话通知后应当实事求是地对协会提出的问题提供有关材料，不得捏造或者隐瞒事实；被举报执业行为违法违规的，不得事后追查或者打击报复举报人。</w:t>
      </w:r>
    </w:p>
    <w:p w14:paraId="03E9B4B9">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（四）进行谈话时，要注意方式方法。谈话人既要向谈话对象提出有关建议、希望和要求，又要认真倾听谈话对象的解释、说明和意见。谈话对象应坦诚面对谈话，实事求是地回答或说明问题。</w:t>
      </w:r>
    </w:p>
    <w:p w14:paraId="724031B8">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（五）谈话结束时，参加谈话的工作人员和当事人应在谈话记录上签字</w:t>
      </w:r>
      <w:r>
        <w:rPr>
          <w:rFonts w:hint="eastAsia" w:ascii="Times New Roman" w:hAnsi="Times New Roman" w:eastAsia="仿宋_GB2312" w:cs="Times New Roman"/>
          <w:sz w:val="32"/>
          <w:szCs w:val="32"/>
          <w:lang w:eastAsia="zh-CN"/>
        </w:rPr>
        <w:t>，其中通过视频会议约谈的要留存会议照片。</w:t>
      </w:r>
      <w:r>
        <w:rPr>
          <w:rFonts w:ascii="Times New Roman" w:hAnsi="Times New Roman" w:eastAsia="仿宋_GB2312" w:cs="Times New Roman"/>
          <w:sz w:val="32"/>
          <w:szCs w:val="32"/>
        </w:rPr>
        <w:t>。</w:t>
      </w:r>
    </w:p>
    <w:p w14:paraId="54EF0DA2">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ascii="仿宋_GB2312" w:hAnsi="仿宋" w:eastAsia="仿宋_GB2312"/>
          <w:b/>
          <w:sz w:val="32"/>
          <w:szCs w:val="32"/>
        </w:rPr>
        <w:t>第八条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书面约谈以文件形式下发相关会员，必要时在行业内予以公开。</w:t>
      </w:r>
    </w:p>
    <w:p w14:paraId="72C89FB2">
      <w:pPr>
        <w:pStyle w:val="5"/>
        <w:keepNext w:val="0"/>
        <w:keepLines w:val="0"/>
        <w:pageBreakBefore w:val="0"/>
        <w:widowControl/>
        <w:suppressLineNumbers w:val="0"/>
        <w:shd w:val="clear" w:fill="FFFFFF"/>
        <w:kinsoku/>
        <w:wordWrap/>
        <w:overflowPunct/>
        <w:topLinePunct w:val="0"/>
        <w:bidi w:val="0"/>
        <w:spacing w:beforeAutospacing="0" w:afterAutospacing="0" w:line="600" w:lineRule="exact"/>
        <w:ind w:left="0" w:firstLine="640"/>
        <w:textAlignment w:val="auto"/>
        <w:rPr>
          <w:rFonts w:ascii="Times New Roman" w:hAnsi="Times New Roman" w:eastAsia="仿宋_GB2312" w:cs="Times New Roman"/>
          <w:sz w:val="32"/>
          <w:szCs w:val="32"/>
        </w:rPr>
      </w:pPr>
      <w:r>
        <w:rPr>
          <w:rFonts w:hint="eastAsia" w:ascii="仿宋_GB2312" w:hAnsi="仿宋" w:eastAsia="仿宋_GB2312" w:cstheme="minorBidi"/>
          <w:b/>
          <w:kern w:val="2"/>
          <w:sz w:val="32"/>
          <w:szCs w:val="32"/>
          <w:lang w:val="en-US" w:eastAsia="zh-CN" w:bidi="ar-SA"/>
        </w:rPr>
        <w:t>第九条 </w:t>
      </w: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rPr>
        <w:t>协会可以在实施约谈中利用正反面典型案例，加强对行业法律法规和监管制度的宣传，督促会计师事务所强化内部管理，督促注册会计师提升风险防范能力。</w:t>
      </w:r>
    </w:p>
    <w:p w14:paraId="35D31D30">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ascii="仿宋_GB2312" w:hAnsi="仿宋" w:eastAsia="仿宋_GB2312"/>
          <w:b/>
          <w:sz w:val="32"/>
          <w:szCs w:val="32"/>
        </w:rPr>
        <w:t>第</w:t>
      </w:r>
      <w:r>
        <w:rPr>
          <w:rFonts w:hint="eastAsia" w:ascii="仿宋_GB2312" w:hAnsi="仿宋" w:eastAsia="仿宋_GB2312"/>
          <w:b/>
          <w:sz w:val="32"/>
          <w:szCs w:val="32"/>
          <w:lang w:eastAsia="zh-CN"/>
        </w:rPr>
        <w:t>十</w:t>
      </w:r>
      <w:r>
        <w:rPr>
          <w:rFonts w:ascii="仿宋_GB2312" w:hAnsi="仿宋" w:eastAsia="仿宋_GB2312"/>
          <w:b/>
          <w:sz w:val="32"/>
          <w:szCs w:val="32"/>
        </w:rPr>
        <w:t>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当事人应当按谈话提醒的有关要求认真整改，并将整改报告在规定时间内报送</w:t>
      </w:r>
      <w:r>
        <w:rPr>
          <w:rFonts w:hint="eastAsia" w:ascii="Times New Roman" w:hAnsi="Times New Roman" w:eastAsia="仿宋_GB2312" w:cs="Times New Roman"/>
          <w:sz w:val="32"/>
          <w:szCs w:val="32"/>
          <w:shd w:val="clear" w:color="auto" w:fill="FFFFFF"/>
          <w:lang w:eastAsia="zh-CN"/>
        </w:rPr>
        <w:t>协会</w:t>
      </w:r>
      <w:r>
        <w:rPr>
          <w:rFonts w:ascii="Times New Roman" w:hAnsi="Times New Roman" w:eastAsia="仿宋_GB2312" w:cs="Times New Roman"/>
          <w:sz w:val="32"/>
          <w:szCs w:val="32"/>
        </w:rPr>
        <w:t>。</w:t>
      </w:r>
    </w:p>
    <w:p w14:paraId="2763EF5A">
      <w:pPr>
        <w:keepNext w:val="0"/>
        <w:keepLines w:val="0"/>
        <w:pageBreakBefore w:val="0"/>
        <w:kinsoku/>
        <w:wordWrap/>
        <w:overflowPunct/>
        <w:topLinePunct w:val="0"/>
        <w:bidi w:val="0"/>
        <w:spacing w:beforeAutospacing="0" w:afterAutospacing="0" w:line="600" w:lineRule="exact"/>
        <w:ind w:firstLine="643" w:firstLineChars="200"/>
        <w:textAlignment w:val="auto"/>
        <w:rPr>
          <w:rFonts w:hint="eastAsia" w:ascii="Times New Roman" w:hAnsi="Times New Roman" w:eastAsia="仿宋_GB2312" w:cs="Times New Roman"/>
          <w:sz w:val="32"/>
          <w:szCs w:val="32"/>
          <w:shd w:val="clear" w:color="auto" w:fill="FFFFFF"/>
          <w:lang w:eastAsia="zh-CN"/>
        </w:rPr>
      </w:pPr>
      <w:r>
        <w:rPr>
          <w:rFonts w:ascii="仿宋_GB2312" w:hAnsi="仿宋" w:eastAsia="仿宋_GB2312"/>
          <w:b/>
          <w:sz w:val="32"/>
          <w:szCs w:val="32"/>
        </w:rPr>
        <w:t>第十</w:t>
      </w:r>
      <w:r>
        <w:rPr>
          <w:rFonts w:hint="eastAsia" w:ascii="仿宋_GB2312" w:hAnsi="仿宋" w:eastAsia="仿宋_GB2312"/>
          <w:b/>
          <w:sz w:val="32"/>
          <w:szCs w:val="32"/>
          <w:lang w:eastAsia="zh-CN"/>
        </w:rPr>
        <w:t>一</w:t>
      </w:r>
      <w:r>
        <w:rPr>
          <w:rFonts w:ascii="仿宋_GB2312" w:hAnsi="仿宋" w:eastAsia="仿宋_GB2312"/>
          <w:b/>
          <w:sz w:val="32"/>
          <w:szCs w:val="32"/>
        </w:rPr>
        <w:t>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shd w:val="clear" w:color="auto" w:fill="FFFFFF"/>
          <w:lang w:eastAsia="zh-CN"/>
        </w:rPr>
        <w:t>被谈话会员应当按照谈话的有关要求对标自查，实事求是作出情况说明，并将情况说明及对协会支持注册会计师依法执业方面的意见建议在规定时间内报送协会。</w:t>
      </w:r>
    </w:p>
    <w:p w14:paraId="26AAC9BE">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hint="eastAsia" w:ascii="仿宋_GB2312" w:hAnsi="仿宋" w:eastAsia="仿宋_GB2312"/>
          <w:b/>
          <w:sz w:val="32"/>
          <w:szCs w:val="32"/>
          <w:lang w:eastAsia="zh-CN"/>
        </w:rPr>
        <w:t>第十二条</w:t>
      </w:r>
      <w:r>
        <w:rPr>
          <w:rFonts w:hint="eastAsia" w:ascii="仿宋_GB2312" w:hAnsi="仿宋" w:eastAsia="仿宋_GB2312"/>
          <w:b/>
          <w:sz w:val="32"/>
          <w:szCs w:val="32"/>
          <w:lang w:val="en-US" w:eastAsia="zh-CN"/>
        </w:rPr>
        <w:t xml:space="preserve">  </w:t>
      </w:r>
      <w:r>
        <w:rPr>
          <w:rFonts w:hint="eastAsia" w:ascii="Times New Roman" w:hAnsi="Times New Roman" w:eastAsia="仿宋_GB2312" w:cs="Times New Roman"/>
          <w:sz w:val="32"/>
          <w:szCs w:val="32"/>
          <w:shd w:val="clear" w:color="auto" w:fill="FFFFFF"/>
          <w:lang w:val="en-US" w:eastAsia="zh-CN"/>
        </w:rPr>
        <w:t>协</w:t>
      </w:r>
      <w:r>
        <w:rPr>
          <w:rFonts w:hint="eastAsia" w:ascii="Times New Roman" w:hAnsi="Times New Roman" w:eastAsia="仿宋_GB2312" w:cs="Times New Roman"/>
          <w:sz w:val="32"/>
          <w:szCs w:val="32"/>
          <w:shd w:val="clear" w:color="auto" w:fill="FFFFFF"/>
          <w:lang w:eastAsia="zh-CN"/>
        </w:rPr>
        <w:t>会</w:t>
      </w:r>
      <w:r>
        <w:rPr>
          <w:rFonts w:ascii="Times New Roman" w:hAnsi="Times New Roman" w:eastAsia="仿宋_GB2312" w:cs="Times New Roman"/>
          <w:sz w:val="32"/>
          <w:szCs w:val="32"/>
        </w:rPr>
        <w:t>应当将谈话记录及当事人的整改报告等材料归档保管</w:t>
      </w:r>
      <w:r>
        <w:rPr>
          <w:rFonts w:hint="eastAsia" w:ascii="Times New Roman" w:hAnsi="Times New Roman" w:eastAsia="仿宋_GB2312" w:cs="Times New Roman"/>
          <w:sz w:val="32"/>
          <w:szCs w:val="32"/>
          <w:lang w:eastAsia="zh-CN"/>
        </w:rPr>
        <w:t>，并将涉及行业党员的相关事项，向宁夏注册会计师行业和资产评估行业党委报告。</w:t>
      </w:r>
    </w:p>
    <w:p w14:paraId="3E31C4BE">
      <w:pPr>
        <w:keepNext w:val="0"/>
        <w:keepLines w:val="0"/>
        <w:pageBreakBefore w:val="0"/>
        <w:kinsoku/>
        <w:wordWrap/>
        <w:overflowPunct/>
        <w:topLinePunct w:val="0"/>
        <w:bidi w:val="0"/>
        <w:spacing w:beforeAutospacing="0" w:afterAutospacing="0" w:line="600" w:lineRule="exact"/>
        <w:ind w:firstLine="643" w:firstLineChars="200"/>
        <w:textAlignment w:val="auto"/>
        <w:rPr>
          <w:rFonts w:hint="eastAsia" w:ascii="Times New Roman" w:hAnsi="Times New Roman" w:eastAsia="仿宋_GB2312" w:cs="Times New Roman"/>
          <w:sz w:val="32"/>
          <w:szCs w:val="32"/>
        </w:rPr>
      </w:pPr>
      <w:r>
        <w:rPr>
          <w:rFonts w:ascii="仿宋_GB2312" w:hAnsi="仿宋" w:eastAsia="仿宋_GB2312"/>
          <w:b/>
          <w:sz w:val="32"/>
          <w:szCs w:val="32"/>
        </w:rPr>
        <w:t>第十</w:t>
      </w:r>
      <w:r>
        <w:rPr>
          <w:rFonts w:hint="eastAsia" w:ascii="仿宋_GB2312" w:hAnsi="仿宋" w:eastAsia="仿宋_GB2312"/>
          <w:b/>
          <w:sz w:val="32"/>
          <w:szCs w:val="32"/>
          <w:lang w:eastAsia="zh-CN"/>
        </w:rPr>
        <w:t>三</w:t>
      </w:r>
      <w:r>
        <w:rPr>
          <w:rFonts w:ascii="仿宋_GB2312" w:hAnsi="仿宋" w:eastAsia="仿宋_GB2312"/>
          <w:b/>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协会可以根据需要，会同其他有关监管机构共同实施</w:t>
      </w:r>
      <w:r>
        <w:rPr>
          <w:rFonts w:hint="eastAsia" w:ascii="Times New Roman" w:hAnsi="Times New Roman" w:eastAsia="仿宋_GB2312" w:cs="Times New Roman"/>
          <w:sz w:val="32"/>
          <w:szCs w:val="32"/>
          <w:lang w:eastAsia="zh-CN"/>
        </w:rPr>
        <w:t>谈话</w:t>
      </w:r>
      <w:r>
        <w:rPr>
          <w:rFonts w:hint="eastAsia" w:ascii="Times New Roman" w:hAnsi="Times New Roman" w:eastAsia="仿宋_GB2312" w:cs="Times New Roman"/>
          <w:sz w:val="32"/>
          <w:szCs w:val="32"/>
        </w:rPr>
        <w:t>。</w:t>
      </w:r>
    </w:p>
    <w:p w14:paraId="1BC2FB17">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第十四条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参加谈话提醒的人员应当对谈话提醒过程中涉及的国家秘密、商业秘密和个人隐私予以保密。</w:t>
      </w:r>
    </w:p>
    <w:p w14:paraId="6D44A933">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eastAsia="zh-CN"/>
        </w:rPr>
        <w:t>五</w:t>
      </w:r>
      <w:r>
        <w:rPr>
          <w:rFonts w:hint="eastAsia" w:ascii="Times New Roman" w:hAnsi="Times New Roman" w:eastAsia="仿宋_GB2312" w:cs="Times New Roman"/>
          <w:b/>
          <w:bCs/>
          <w:sz w:val="32"/>
          <w:szCs w:val="32"/>
        </w:rPr>
        <w:t xml:space="preserve">条 </w:t>
      </w:r>
      <w:r>
        <w:rPr>
          <w:rFonts w:hint="eastAsia" w:ascii="Times New Roman" w:hAnsi="Times New Roman" w:eastAsia="仿宋_GB2312" w:cs="Times New Roman"/>
          <w:sz w:val="32"/>
          <w:szCs w:val="32"/>
        </w:rPr>
        <w:t xml:space="preserve"> 协会应当对违反本办法第十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条规定的协会工作人员按照协会的有关规章制度予以处分。</w:t>
      </w:r>
    </w:p>
    <w:p w14:paraId="28FD007B">
      <w:pPr>
        <w:keepNext w:val="0"/>
        <w:keepLines w:val="0"/>
        <w:pageBreakBefore w:val="0"/>
        <w:kinsoku/>
        <w:wordWrap/>
        <w:overflowPunct/>
        <w:topLinePunct w:val="0"/>
        <w:bidi w:val="0"/>
        <w:spacing w:beforeAutospacing="0" w:afterAutospacing="0" w:line="600" w:lineRule="exact"/>
        <w:ind w:firstLine="630" w:firstLineChars="196"/>
        <w:textAlignment w:val="auto"/>
        <w:rPr>
          <w:rFonts w:ascii="Times New Roman" w:hAnsi="Times New Roman" w:eastAsia="仿宋_GB2312" w:cs="Times New Roman"/>
          <w:sz w:val="32"/>
          <w:szCs w:val="32"/>
        </w:rPr>
      </w:pPr>
      <w:r>
        <w:rPr>
          <w:rFonts w:ascii="仿宋_GB2312" w:hAnsi="仿宋" w:eastAsia="仿宋_GB2312"/>
          <w:b/>
          <w:sz w:val="32"/>
          <w:szCs w:val="32"/>
        </w:rPr>
        <w:t>第</w:t>
      </w:r>
      <w:r>
        <w:rPr>
          <w:rFonts w:hint="eastAsia" w:ascii="仿宋_GB2312" w:hAnsi="仿宋" w:eastAsia="仿宋_GB2312"/>
          <w:b/>
          <w:sz w:val="32"/>
          <w:szCs w:val="32"/>
          <w:lang w:eastAsia="zh-CN"/>
        </w:rPr>
        <w:t>十六</w:t>
      </w:r>
      <w:r>
        <w:rPr>
          <w:rFonts w:ascii="仿宋_GB2312" w:hAnsi="仿宋" w:eastAsia="仿宋_GB2312"/>
          <w:b/>
          <w:sz w:val="32"/>
          <w:szCs w:val="32"/>
        </w:rPr>
        <w:t>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当事人有如下行为的，按《</w:t>
      </w:r>
      <w:r>
        <w:rPr>
          <w:rFonts w:hint="eastAsia" w:ascii="Times New Roman" w:hAnsi="Times New Roman" w:eastAsia="仿宋_GB2312" w:cs="Times New Roman"/>
          <w:sz w:val="32"/>
          <w:szCs w:val="32"/>
          <w:lang w:eastAsia="zh-CN"/>
        </w:rPr>
        <w:t>宁夏</w:t>
      </w:r>
      <w:r>
        <w:rPr>
          <w:rFonts w:ascii="Times New Roman" w:hAnsi="Times New Roman" w:eastAsia="仿宋_GB2312" w:cs="Times New Roman"/>
          <w:sz w:val="32"/>
          <w:szCs w:val="32"/>
        </w:rPr>
        <w:t>注册会计师协会执业质量检查办法》《</w:t>
      </w:r>
      <w:r>
        <w:rPr>
          <w:rFonts w:hint="eastAsia" w:ascii="Times New Roman" w:hAnsi="Times New Roman" w:eastAsia="仿宋_GB2312" w:cs="Times New Roman"/>
          <w:sz w:val="32"/>
          <w:szCs w:val="32"/>
          <w:lang w:eastAsia="zh-CN"/>
        </w:rPr>
        <w:t>宁夏</w:t>
      </w:r>
      <w:r>
        <w:rPr>
          <w:rFonts w:ascii="Times New Roman" w:hAnsi="Times New Roman" w:eastAsia="仿宋_GB2312" w:cs="Times New Roman"/>
          <w:sz w:val="32"/>
          <w:szCs w:val="32"/>
        </w:rPr>
        <w:t>注册会计师协会会员执业违规行为惩戒办法》规定列入重点检查对象或给予自律惩戒：</w:t>
      </w:r>
    </w:p>
    <w:p w14:paraId="0AF02959">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（一）拒绝约谈且无正当理由的；</w:t>
      </w:r>
    </w:p>
    <w:p w14:paraId="54735C76">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（二）不如实陈述或故意隐瞒的；</w:t>
      </w:r>
    </w:p>
    <w:p w14:paraId="299163D4">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（三）约谈后拒绝整改的；</w:t>
      </w:r>
    </w:p>
    <w:p w14:paraId="01E20682">
      <w:pPr>
        <w:keepNext w:val="0"/>
        <w:keepLines w:val="0"/>
        <w:pageBreakBefore w:val="0"/>
        <w:kinsoku/>
        <w:wordWrap/>
        <w:overflowPunct/>
        <w:topLinePunct w:val="0"/>
        <w:bidi w:val="0"/>
        <w:spacing w:beforeAutospacing="0" w:afterAutospacing="0"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（四）一年内被约谈2次或以上的。</w:t>
      </w:r>
    </w:p>
    <w:p w14:paraId="67385536">
      <w:pPr>
        <w:pStyle w:val="5"/>
        <w:keepNext w:val="0"/>
        <w:keepLines w:val="0"/>
        <w:pageBreakBefore w:val="0"/>
        <w:widowControl/>
        <w:suppressLineNumbers w:val="0"/>
        <w:shd w:val="clear" w:fill="FFFFFF"/>
        <w:kinsoku/>
        <w:wordWrap/>
        <w:overflowPunct/>
        <w:topLinePunct w:val="0"/>
        <w:bidi w:val="0"/>
        <w:spacing w:beforeAutospacing="0" w:afterAutospacing="0" w:line="600" w:lineRule="exact"/>
        <w:ind w:firstLine="643" w:firstLineChars="200"/>
        <w:textAlignment w:val="auto"/>
        <w:rPr>
          <w:rFonts w:ascii="黑体" w:hAnsi="黑体" w:eastAsia="黑体" w:cstheme="minorBidi"/>
          <w:sz w:val="32"/>
          <w:szCs w:val="32"/>
        </w:rPr>
      </w:pPr>
      <w:r>
        <w:rPr>
          <w:rFonts w:hint="eastAsia" w:ascii="仿宋_GB2312" w:hAnsi="仿宋" w:eastAsia="仿宋_GB2312" w:cstheme="minorBidi"/>
          <w:b/>
          <w:kern w:val="2"/>
          <w:sz w:val="32"/>
          <w:szCs w:val="32"/>
          <w:lang w:val="en-US" w:eastAsia="zh-CN" w:bidi="ar-SA"/>
        </w:rPr>
        <w:t>第十七条 </w:t>
      </w:r>
      <w:r>
        <w:rPr>
          <w:rFonts w:hint="eastAsia" w:ascii="仿宋_GB2312" w:hAnsi="微软雅黑" w:eastAsia="仿宋_GB2312" w:cs="仿宋_GB2312"/>
          <w:i w:val="0"/>
          <w:iCs w:val="0"/>
          <w:caps w:val="0"/>
          <w:color w:val="000000"/>
          <w:spacing w:val="0"/>
          <w:sz w:val="32"/>
          <w:szCs w:val="32"/>
          <w:shd w:val="clear" w:fill="FFFFFF"/>
        </w:rPr>
        <w:t> </w:t>
      </w:r>
      <w:r>
        <w:rPr>
          <w:rFonts w:hint="eastAsia" w:ascii="Times New Roman" w:hAnsi="Times New Roman" w:eastAsia="仿宋_GB2312" w:cs="Times New Roman"/>
          <w:sz w:val="32"/>
          <w:szCs w:val="32"/>
          <w:shd w:val="clear" w:color="auto" w:fill="FFFFFF"/>
          <w:lang w:eastAsia="zh-CN"/>
        </w:rPr>
        <w:t>协会应该建立谈话提醒台账，</w:t>
      </w:r>
      <w:r>
        <w:rPr>
          <w:rFonts w:hint="eastAsia" w:ascii="仿宋_GB2312" w:hAnsi="微软雅黑" w:eastAsia="仿宋_GB2312" w:cs="仿宋_GB2312"/>
          <w:i w:val="0"/>
          <w:iCs w:val="0"/>
          <w:caps w:val="0"/>
          <w:color w:val="000000"/>
          <w:spacing w:val="0"/>
          <w:sz w:val="32"/>
          <w:szCs w:val="32"/>
          <w:shd w:val="clear" w:fill="FFFFFF"/>
        </w:rPr>
        <w:t>对于发现的行业共性问题和不良倾向，协会应向行业发布有针对性的执业风险提示信息。</w:t>
      </w:r>
    </w:p>
    <w:p w14:paraId="0CCE99B8">
      <w:pPr>
        <w:pStyle w:val="2"/>
        <w:keepNext w:val="0"/>
        <w:keepLines w:val="0"/>
        <w:pageBreakBefore w:val="0"/>
        <w:kinsoku/>
        <w:wordWrap/>
        <w:overflowPunct/>
        <w:topLinePunct w:val="0"/>
        <w:bidi w:val="0"/>
        <w:spacing w:beforeAutospacing="0" w:afterAutospacing="0" w:line="600" w:lineRule="exact"/>
        <w:ind w:firstLineChars="150"/>
        <w:jc w:val="center"/>
        <w:textAlignment w:val="auto"/>
        <w:rPr>
          <w:rFonts w:ascii="黑体" w:hAnsi="黑体" w:eastAsia="黑体" w:cstheme="minorBidi"/>
          <w:sz w:val="32"/>
          <w:szCs w:val="32"/>
        </w:rPr>
      </w:pPr>
      <w:r>
        <w:rPr>
          <w:rFonts w:hint="eastAsia" w:ascii="黑体" w:hAnsi="黑体" w:eastAsia="黑体" w:cstheme="minorBidi"/>
          <w:sz w:val="32"/>
          <w:szCs w:val="32"/>
        </w:rPr>
        <w:t>第三章 附则</w:t>
      </w:r>
    </w:p>
    <w:p w14:paraId="6A66B5EF">
      <w:pPr>
        <w:pStyle w:val="2"/>
        <w:keepNext w:val="0"/>
        <w:keepLines w:val="0"/>
        <w:pageBreakBefore w:val="0"/>
        <w:kinsoku/>
        <w:wordWrap/>
        <w:overflowPunct/>
        <w:topLinePunct w:val="0"/>
        <w:bidi w:val="0"/>
        <w:spacing w:beforeAutospacing="0" w:afterAutospacing="0" w:line="600" w:lineRule="exact"/>
        <w:ind w:firstLine="640"/>
        <w:jc w:val="center"/>
        <w:textAlignment w:val="auto"/>
        <w:rPr>
          <w:rFonts w:ascii="黑体" w:hAnsi="黑体" w:eastAsia="黑体" w:cstheme="minorBidi"/>
          <w:sz w:val="32"/>
          <w:szCs w:val="32"/>
        </w:rPr>
      </w:pPr>
    </w:p>
    <w:p w14:paraId="6BE0B619">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八</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本办法由</w:t>
      </w:r>
      <w:r>
        <w:rPr>
          <w:rFonts w:hint="eastAsia" w:ascii="Times New Roman" w:hAnsi="Times New Roman" w:eastAsia="仿宋_GB2312" w:cs="Times New Roman"/>
          <w:sz w:val="32"/>
          <w:szCs w:val="32"/>
          <w:lang w:eastAsia="zh-CN"/>
        </w:rPr>
        <w:t>协会</w:t>
      </w:r>
      <w:r>
        <w:rPr>
          <w:rFonts w:ascii="Times New Roman" w:hAnsi="Times New Roman" w:eastAsia="仿宋_GB2312" w:cs="Times New Roman"/>
          <w:sz w:val="32"/>
          <w:szCs w:val="32"/>
        </w:rPr>
        <w:t>负责解释。</w:t>
      </w:r>
    </w:p>
    <w:p w14:paraId="08DA5B0D">
      <w:pPr>
        <w:keepNext w:val="0"/>
        <w:keepLines w:val="0"/>
        <w:pageBreakBefore w:val="0"/>
        <w:kinsoku/>
        <w:wordWrap/>
        <w:overflowPunct/>
        <w:topLinePunct w:val="0"/>
        <w:bidi w:val="0"/>
        <w:spacing w:beforeAutospacing="0" w:afterAutospacing="0"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九</w:t>
      </w:r>
      <w:r>
        <w:rPr>
          <w:rFonts w:ascii="Times New Roman" w:hAnsi="Times New Roman" w:eastAsia="仿宋_GB2312" w:cs="Times New Roman"/>
          <w:b/>
          <w:sz w:val="32"/>
          <w:szCs w:val="32"/>
        </w:rPr>
        <w:t>条</w:t>
      </w:r>
      <w:r>
        <w:rPr>
          <w:rFonts w:ascii="Times New Roman" w:hAnsi="Times New Roman" w:eastAsia="仿宋_GB2312" w:cs="Times New Roman"/>
          <w:sz w:val="32"/>
          <w:szCs w:val="32"/>
        </w:rPr>
        <w:t xml:space="preserve">  本办法自发布之日起施行。</w:t>
      </w:r>
    </w:p>
    <w:p w14:paraId="0756DBD0">
      <w:pPr>
        <w:keepNext w:val="0"/>
        <w:keepLines w:val="0"/>
        <w:pageBreakBefore w:val="0"/>
        <w:kinsoku/>
        <w:wordWrap/>
        <w:overflowPunct/>
        <w:topLinePunct w:val="0"/>
        <w:bidi w:val="0"/>
        <w:spacing w:beforeAutospacing="0" w:afterAutospacing="0" w:line="600" w:lineRule="exact"/>
        <w:textAlignment w:val="auto"/>
        <w:rPr>
          <w:rFonts w:ascii="仿宋" w:hAnsi="仿宋" w:eastAsia="仿宋"/>
          <w:sz w:val="32"/>
          <w:szCs w:val="32"/>
        </w:rPr>
      </w:pPr>
    </w:p>
    <w:p w14:paraId="65E115B6">
      <w:pPr>
        <w:keepNext w:val="0"/>
        <w:keepLines w:val="0"/>
        <w:pageBreakBefore w:val="0"/>
        <w:kinsoku/>
        <w:wordWrap/>
        <w:overflowPunct/>
        <w:topLinePunct w:val="0"/>
        <w:bidi w:val="0"/>
        <w:spacing w:beforeAutospacing="0" w:afterAutospacing="0" w:line="600" w:lineRule="exact"/>
        <w:textAlignment w:val="auto"/>
      </w:pPr>
    </w:p>
    <w:sectPr>
      <w:footerReference r:id="rId3" w:type="default"/>
      <w:pgSz w:w="11906" w:h="16838"/>
      <w:pgMar w:top="1984" w:right="1701"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 4">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EE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0209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0209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mM3MDY3ZjFjMDg2ZWExMjUwZDI5YmFjYjk5YTgifQ=="/>
    <w:docVar w:name="KSO_WPS_MARK_KEY" w:val="de68b7c8-d83a-4435-8e57-3c49a14e9ccb"/>
  </w:docVars>
  <w:rsids>
    <w:rsidRoot w:val="75194D16"/>
    <w:rsid w:val="00D01D30"/>
    <w:rsid w:val="01A712D7"/>
    <w:rsid w:val="01FC5C0B"/>
    <w:rsid w:val="02351FF5"/>
    <w:rsid w:val="033357F1"/>
    <w:rsid w:val="034028E2"/>
    <w:rsid w:val="038D4E21"/>
    <w:rsid w:val="04771A6E"/>
    <w:rsid w:val="04946CE4"/>
    <w:rsid w:val="04F245B6"/>
    <w:rsid w:val="051E3AF6"/>
    <w:rsid w:val="0572393D"/>
    <w:rsid w:val="061D6B88"/>
    <w:rsid w:val="062D0CD6"/>
    <w:rsid w:val="0703091C"/>
    <w:rsid w:val="07397CDE"/>
    <w:rsid w:val="074015B8"/>
    <w:rsid w:val="07911314"/>
    <w:rsid w:val="08806C2D"/>
    <w:rsid w:val="0969016E"/>
    <w:rsid w:val="0AA8710A"/>
    <w:rsid w:val="0B257B6A"/>
    <w:rsid w:val="0B495697"/>
    <w:rsid w:val="0B4A4035"/>
    <w:rsid w:val="0CAA540E"/>
    <w:rsid w:val="0CB95D01"/>
    <w:rsid w:val="0CEB560C"/>
    <w:rsid w:val="0D4D1400"/>
    <w:rsid w:val="0DA6475E"/>
    <w:rsid w:val="0DF62BFD"/>
    <w:rsid w:val="0DF80560"/>
    <w:rsid w:val="0E390789"/>
    <w:rsid w:val="0EE710F6"/>
    <w:rsid w:val="0F0D591F"/>
    <w:rsid w:val="0F202CE1"/>
    <w:rsid w:val="0FAC0897"/>
    <w:rsid w:val="116865E1"/>
    <w:rsid w:val="118B0BC3"/>
    <w:rsid w:val="11DB2752"/>
    <w:rsid w:val="12951B07"/>
    <w:rsid w:val="13EE56F7"/>
    <w:rsid w:val="142E3B45"/>
    <w:rsid w:val="14904CEE"/>
    <w:rsid w:val="14FD6514"/>
    <w:rsid w:val="14FF32C5"/>
    <w:rsid w:val="157525EB"/>
    <w:rsid w:val="15D33F13"/>
    <w:rsid w:val="167C2A7A"/>
    <w:rsid w:val="167E379C"/>
    <w:rsid w:val="16835AA7"/>
    <w:rsid w:val="178E6506"/>
    <w:rsid w:val="180405A3"/>
    <w:rsid w:val="188128F4"/>
    <w:rsid w:val="18840DB1"/>
    <w:rsid w:val="18903901"/>
    <w:rsid w:val="19A368A3"/>
    <w:rsid w:val="1A574FF2"/>
    <w:rsid w:val="1B235666"/>
    <w:rsid w:val="1B2E427D"/>
    <w:rsid w:val="1B4B3B8C"/>
    <w:rsid w:val="1B944DC1"/>
    <w:rsid w:val="1BFC1E62"/>
    <w:rsid w:val="1C03019D"/>
    <w:rsid w:val="1C9E3742"/>
    <w:rsid w:val="1D13415C"/>
    <w:rsid w:val="1D2B0DB6"/>
    <w:rsid w:val="1E274439"/>
    <w:rsid w:val="1EA253AF"/>
    <w:rsid w:val="1ED80BBD"/>
    <w:rsid w:val="1F8036C8"/>
    <w:rsid w:val="208F16F8"/>
    <w:rsid w:val="20C9457C"/>
    <w:rsid w:val="216F7B44"/>
    <w:rsid w:val="2185513C"/>
    <w:rsid w:val="21874111"/>
    <w:rsid w:val="21DD349C"/>
    <w:rsid w:val="220755D3"/>
    <w:rsid w:val="22D97966"/>
    <w:rsid w:val="22DE4319"/>
    <w:rsid w:val="231E5A1A"/>
    <w:rsid w:val="234E122C"/>
    <w:rsid w:val="23861D2A"/>
    <w:rsid w:val="23B264E5"/>
    <w:rsid w:val="23EC10A9"/>
    <w:rsid w:val="23F95433"/>
    <w:rsid w:val="24232FAF"/>
    <w:rsid w:val="24AA1E3A"/>
    <w:rsid w:val="24AB0086"/>
    <w:rsid w:val="24BF67EA"/>
    <w:rsid w:val="25496946"/>
    <w:rsid w:val="258F5F96"/>
    <w:rsid w:val="25957F4A"/>
    <w:rsid w:val="25B632D6"/>
    <w:rsid w:val="26177512"/>
    <w:rsid w:val="26631908"/>
    <w:rsid w:val="26E5628D"/>
    <w:rsid w:val="275B52EB"/>
    <w:rsid w:val="277E0BC0"/>
    <w:rsid w:val="27AE2B63"/>
    <w:rsid w:val="2828152C"/>
    <w:rsid w:val="2909568E"/>
    <w:rsid w:val="2A757186"/>
    <w:rsid w:val="2A881469"/>
    <w:rsid w:val="2A9E0311"/>
    <w:rsid w:val="2AC034B7"/>
    <w:rsid w:val="2AC13891"/>
    <w:rsid w:val="2B57791F"/>
    <w:rsid w:val="2DB462B2"/>
    <w:rsid w:val="2E2F2F6E"/>
    <w:rsid w:val="2F092134"/>
    <w:rsid w:val="2F224C51"/>
    <w:rsid w:val="2F444C48"/>
    <w:rsid w:val="2FD83F70"/>
    <w:rsid w:val="322A533D"/>
    <w:rsid w:val="32BF773E"/>
    <w:rsid w:val="33506920"/>
    <w:rsid w:val="33EC60D5"/>
    <w:rsid w:val="34842291"/>
    <w:rsid w:val="36325531"/>
    <w:rsid w:val="363948AA"/>
    <w:rsid w:val="36806CD4"/>
    <w:rsid w:val="36D11F24"/>
    <w:rsid w:val="371E513E"/>
    <w:rsid w:val="3735684F"/>
    <w:rsid w:val="38015439"/>
    <w:rsid w:val="382D5B18"/>
    <w:rsid w:val="384D10E2"/>
    <w:rsid w:val="3854337F"/>
    <w:rsid w:val="38B154E5"/>
    <w:rsid w:val="38BB6B54"/>
    <w:rsid w:val="392F51FB"/>
    <w:rsid w:val="394C1800"/>
    <w:rsid w:val="39AC452E"/>
    <w:rsid w:val="39E729B7"/>
    <w:rsid w:val="3AB56DC0"/>
    <w:rsid w:val="3ADA5704"/>
    <w:rsid w:val="3BD459AD"/>
    <w:rsid w:val="3BD50CE1"/>
    <w:rsid w:val="3C1C56E2"/>
    <w:rsid w:val="3C371AC0"/>
    <w:rsid w:val="3C4C3ADA"/>
    <w:rsid w:val="3CDF2A3D"/>
    <w:rsid w:val="3D566C27"/>
    <w:rsid w:val="3E82252D"/>
    <w:rsid w:val="3E927336"/>
    <w:rsid w:val="3F115A2A"/>
    <w:rsid w:val="3FAF19BA"/>
    <w:rsid w:val="3FB56957"/>
    <w:rsid w:val="3FF3769D"/>
    <w:rsid w:val="41453E59"/>
    <w:rsid w:val="41B37AC3"/>
    <w:rsid w:val="41B720B3"/>
    <w:rsid w:val="421C1FD4"/>
    <w:rsid w:val="42493236"/>
    <w:rsid w:val="427C2DEE"/>
    <w:rsid w:val="42876025"/>
    <w:rsid w:val="4460201C"/>
    <w:rsid w:val="44706FE6"/>
    <w:rsid w:val="45036408"/>
    <w:rsid w:val="451129F3"/>
    <w:rsid w:val="45114BE2"/>
    <w:rsid w:val="45D50E46"/>
    <w:rsid w:val="46522922"/>
    <w:rsid w:val="46657EF0"/>
    <w:rsid w:val="46C47771"/>
    <w:rsid w:val="471B3088"/>
    <w:rsid w:val="47862437"/>
    <w:rsid w:val="47D1580F"/>
    <w:rsid w:val="48941239"/>
    <w:rsid w:val="48DA6821"/>
    <w:rsid w:val="49C46197"/>
    <w:rsid w:val="49C9011A"/>
    <w:rsid w:val="4A2D275F"/>
    <w:rsid w:val="4AA25A4B"/>
    <w:rsid w:val="4AD61BB2"/>
    <w:rsid w:val="4BD27AA7"/>
    <w:rsid w:val="4C223D08"/>
    <w:rsid w:val="4D7F7DA5"/>
    <w:rsid w:val="4DD7315A"/>
    <w:rsid w:val="4E563804"/>
    <w:rsid w:val="4E702D03"/>
    <w:rsid w:val="4EB83C42"/>
    <w:rsid w:val="4EFE79E1"/>
    <w:rsid w:val="4F114741"/>
    <w:rsid w:val="4F2346F3"/>
    <w:rsid w:val="4F6739F0"/>
    <w:rsid w:val="4FB20417"/>
    <w:rsid w:val="4FF748B1"/>
    <w:rsid w:val="501B2AB4"/>
    <w:rsid w:val="503626AC"/>
    <w:rsid w:val="503B75F5"/>
    <w:rsid w:val="51B229F6"/>
    <w:rsid w:val="51FE3671"/>
    <w:rsid w:val="52447018"/>
    <w:rsid w:val="5249169E"/>
    <w:rsid w:val="530B3801"/>
    <w:rsid w:val="53783367"/>
    <w:rsid w:val="53E82AAC"/>
    <w:rsid w:val="54A045EB"/>
    <w:rsid w:val="54F30886"/>
    <w:rsid w:val="55120844"/>
    <w:rsid w:val="558F0F13"/>
    <w:rsid w:val="55C67602"/>
    <w:rsid w:val="563440CD"/>
    <w:rsid w:val="56774C8B"/>
    <w:rsid w:val="56F60611"/>
    <w:rsid w:val="571B6472"/>
    <w:rsid w:val="57514E29"/>
    <w:rsid w:val="575A37AD"/>
    <w:rsid w:val="5774139B"/>
    <w:rsid w:val="57DA162B"/>
    <w:rsid w:val="584508F1"/>
    <w:rsid w:val="58621112"/>
    <w:rsid w:val="58812C8A"/>
    <w:rsid w:val="59317DAB"/>
    <w:rsid w:val="59AA00E5"/>
    <w:rsid w:val="5A3044CB"/>
    <w:rsid w:val="5A655CD3"/>
    <w:rsid w:val="5B0D1695"/>
    <w:rsid w:val="5B872AF8"/>
    <w:rsid w:val="5BC73A6F"/>
    <w:rsid w:val="5C8E06CE"/>
    <w:rsid w:val="5D2207DC"/>
    <w:rsid w:val="5D893DB1"/>
    <w:rsid w:val="5DA448A9"/>
    <w:rsid w:val="5E5B1386"/>
    <w:rsid w:val="5F2F5850"/>
    <w:rsid w:val="61657F2D"/>
    <w:rsid w:val="61E74D9F"/>
    <w:rsid w:val="62153AA0"/>
    <w:rsid w:val="625601F9"/>
    <w:rsid w:val="629C57E4"/>
    <w:rsid w:val="63557BF3"/>
    <w:rsid w:val="63B031B4"/>
    <w:rsid w:val="63CB5CEF"/>
    <w:rsid w:val="63D123EB"/>
    <w:rsid w:val="63D67A4C"/>
    <w:rsid w:val="647228DB"/>
    <w:rsid w:val="65076466"/>
    <w:rsid w:val="65390984"/>
    <w:rsid w:val="662E68CD"/>
    <w:rsid w:val="66714B41"/>
    <w:rsid w:val="6674257A"/>
    <w:rsid w:val="67331AFE"/>
    <w:rsid w:val="675F21CD"/>
    <w:rsid w:val="68AD1459"/>
    <w:rsid w:val="68AF6762"/>
    <w:rsid w:val="69D329DC"/>
    <w:rsid w:val="6A7521F8"/>
    <w:rsid w:val="6B145330"/>
    <w:rsid w:val="6B8F711E"/>
    <w:rsid w:val="6BC1515E"/>
    <w:rsid w:val="6C002BC0"/>
    <w:rsid w:val="6C073438"/>
    <w:rsid w:val="6CD141A1"/>
    <w:rsid w:val="6CE701E5"/>
    <w:rsid w:val="6D056AAA"/>
    <w:rsid w:val="6D1C2E42"/>
    <w:rsid w:val="6DC94301"/>
    <w:rsid w:val="6DE230B4"/>
    <w:rsid w:val="6E213E5F"/>
    <w:rsid w:val="6F496CF3"/>
    <w:rsid w:val="70AC2A01"/>
    <w:rsid w:val="71BF0B3C"/>
    <w:rsid w:val="71E42CEB"/>
    <w:rsid w:val="72197B90"/>
    <w:rsid w:val="734F61A8"/>
    <w:rsid w:val="7472280C"/>
    <w:rsid w:val="75194D16"/>
    <w:rsid w:val="75425669"/>
    <w:rsid w:val="75975AA3"/>
    <w:rsid w:val="76132CBF"/>
    <w:rsid w:val="76CB0C20"/>
    <w:rsid w:val="77213C61"/>
    <w:rsid w:val="77311FD4"/>
    <w:rsid w:val="77455ACE"/>
    <w:rsid w:val="77A335F2"/>
    <w:rsid w:val="78031242"/>
    <w:rsid w:val="780441ED"/>
    <w:rsid w:val="787F1E3F"/>
    <w:rsid w:val="78B02634"/>
    <w:rsid w:val="794F5127"/>
    <w:rsid w:val="79FE1CEC"/>
    <w:rsid w:val="7A160249"/>
    <w:rsid w:val="7A532606"/>
    <w:rsid w:val="7A5D5286"/>
    <w:rsid w:val="7B27078D"/>
    <w:rsid w:val="7B5A3A5A"/>
    <w:rsid w:val="7C34038D"/>
    <w:rsid w:val="7C8F290D"/>
    <w:rsid w:val="7D303711"/>
    <w:rsid w:val="7D3F6CE3"/>
    <w:rsid w:val="7E7A6FDB"/>
    <w:rsid w:val="7E913C60"/>
    <w:rsid w:val="7EBC5149"/>
    <w:rsid w:val="7F64065A"/>
    <w:rsid w:val="7FB3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adjustRightInd w:val="0"/>
      <w:snapToGrid w:val="0"/>
      <w:spacing w:line="336" w:lineRule="auto"/>
      <w:ind w:firstLine="480" w:firstLineChars="200"/>
    </w:pPr>
    <w:rPr>
      <w:rFonts w:ascii="宋体" w:hAnsi="宋体" w:eastAsia="宋体" w:cs="Times New Roman"/>
      <w:sz w:val="24"/>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CM16"/>
    <w:basedOn w:val="1"/>
    <w:next w:val="1"/>
    <w:autoRedefine/>
    <w:qFormat/>
    <w:uiPriority w:val="99"/>
    <w:pPr>
      <w:autoSpaceDE w:val="0"/>
      <w:autoSpaceDN w:val="0"/>
      <w:adjustRightInd w:val="0"/>
      <w:spacing w:line="600" w:lineRule="atLeast"/>
      <w:jc w:val="left"/>
    </w:pPr>
    <w:rPr>
      <w:rFonts w:ascii="T 4" w:hAnsi="Calibri" w:eastAsia="T 4"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1976</Words>
  <Characters>1976</Characters>
  <Lines>0</Lines>
  <Paragraphs>0</Paragraphs>
  <TotalTime>35</TotalTime>
  <ScaleCrop>false</ScaleCrop>
  <LinksUpToDate>false</LinksUpToDate>
  <CharactersWithSpaces>2021</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2023-02-20T08:58:00Z</dcterms:created>
  <dc:creator>马燕</dc:creator>
  <cp:lastModifiedBy>马燕</cp:lastModifiedBy>
  <cp:lastPrinted>2024-04-22T01:22:00Z</cp:lastPrinted>
  <dcterms:modified xsi:type="dcterms:W3CDTF">2024-08-06T09:19:04Z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A5C54A6E08DE44F4A3A95FBBFECC8D99</vt:lpwstr>
  </property>
</Properties>
</file>