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pPr>
      <w:r>
        <w:rPr>
          <w:rFonts w:hint="eastAsia"/>
        </w:rPr>
        <w:t>附件2：</w:t>
      </w:r>
    </w:p>
    <w:p>
      <w:pPr>
        <w:pStyle w:val="10"/>
      </w:pPr>
      <w:r>
        <w:rPr>
          <w:rFonts w:hint="eastAsia"/>
        </w:rPr>
        <w:t>《准备——针对性改进（征求意见稿）》中文简介</w:t>
      </w:r>
    </w:p>
    <w:p>
      <w:pPr>
        <w:ind w:firstLine="640"/>
      </w:pPr>
    </w:p>
    <w:p>
      <w:pPr>
        <w:ind w:firstLine="640"/>
      </w:pPr>
      <w:r>
        <w:rPr>
          <w:rFonts w:hint="eastAsia"/>
        </w:rPr>
        <w:t>2024年11月12日，国际会计准则理事会（IASB）发布了《准备——针对性改进（征求意见稿）》（以下简称征求意见稿），拟对《国际会计准则第37号——准备、或有负债和或有资产》（以下简称《国际会计准则第37号》）进行修订。征求意见稿的征求意见截止日期为2025年3月12日。</w:t>
      </w:r>
    </w:p>
    <w:p>
      <w:pPr>
        <w:pStyle w:val="2"/>
        <w:ind w:firstLine="640"/>
      </w:pPr>
      <w:r>
        <w:rPr>
          <w:rFonts w:hint="eastAsia"/>
        </w:rPr>
        <w:t>一、有关背景及征求意见稿的主要内容</w:t>
      </w:r>
    </w:p>
    <w:p>
      <w:pPr>
        <w:ind w:firstLine="640"/>
      </w:pPr>
      <w:r>
        <w:rPr>
          <w:rFonts w:hint="eastAsia"/>
        </w:rPr>
        <w:t>2020年1月，IASB决定将《国际会计准则第37号》的改进</w:t>
      </w:r>
      <w:bookmarkStart w:id="0" w:name="_GoBack"/>
      <w:bookmarkEnd w:id="0"/>
      <w:r>
        <w:rPr>
          <w:rFonts w:hint="eastAsia"/>
          <w:lang w:eastAsia="zh-CN"/>
        </w:rPr>
        <w:t>作为</w:t>
      </w:r>
      <w:r>
        <w:rPr>
          <w:rFonts w:hint="eastAsia"/>
        </w:rPr>
        <w:t>准则制定项目，旨在开展三项针对性改进：</w:t>
      </w:r>
      <w:r>
        <w:rPr>
          <w:rFonts w:hint="eastAsia"/>
          <w:b/>
        </w:rPr>
        <w:t>一是</w:t>
      </w:r>
      <w:r>
        <w:rPr>
          <w:rFonts w:hint="eastAsia"/>
        </w:rPr>
        <w:t>使《国际会计准则第37号》中负债的定义和确认条件与IASB于2018年发布的《财务报告概念框架》保持一致，</w:t>
      </w:r>
      <w:r>
        <w:rPr>
          <w:rFonts w:hint="eastAsia"/>
          <w:b/>
        </w:rPr>
        <w:t>二是</w:t>
      </w:r>
      <w:r>
        <w:rPr>
          <w:rFonts w:hint="eastAsia"/>
        </w:rPr>
        <w:t>明确清偿相关现时义务所需支出中包含的成本，</w:t>
      </w:r>
      <w:r>
        <w:rPr>
          <w:rFonts w:hint="eastAsia"/>
          <w:b/>
        </w:rPr>
        <w:t>三是</w:t>
      </w:r>
      <w:r>
        <w:rPr>
          <w:rFonts w:hint="eastAsia"/>
        </w:rPr>
        <w:t>明确对清偿现时义务的未来现金流出进行折现的折现率。</w:t>
      </w:r>
    </w:p>
    <w:p>
      <w:pPr>
        <w:pStyle w:val="3"/>
        <w:ind w:firstLine="643"/>
      </w:pPr>
      <w:r>
        <w:rPr>
          <w:rFonts w:hint="eastAsia"/>
        </w:rPr>
        <w:t>（一）对现时义务确认条件的修订</w:t>
      </w:r>
    </w:p>
    <w:p>
      <w:pPr>
        <w:pStyle w:val="4"/>
        <w:ind w:firstLine="643"/>
      </w:pPr>
      <w:r>
        <w:rPr>
          <w:rFonts w:hint="eastAsia"/>
        </w:rPr>
        <w:t>1.修订的主要目的</w:t>
      </w:r>
    </w:p>
    <w:p>
      <w:pPr>
        <w:ind w:firstLine="640"/>
      </w:pPr>
      <w:r>
        <w:rPr>
          <w:rFonts w:hint="eastAsia"/>
        </w:rPr>
        <w:t>对现时义务确认条件的修订旨在实现以下目的：</w:t>
      </w:r>
      <w:r>
        <w:rPr>
          <w:rFonts w:hint="eastAsia"/>
          <w:b/>
          <w:bCs/>
        </w:rPr>
        <w:t>一是</w:t>
      </w:r>
      <w:r>
        <w:rPr>
          <w:rFonts w:hint="eastAsia"/>
        </w:rPr>
        <w:t>澄清相关规定。根据利益相关方向国际财务报告准则解释委员会提供的反馈，这些规定导致了实务问题。</w:t>
      </w:r>
      <w:r>
        <w:rPr>
          <w:rFonts w:hint="eastAsia"/>
          <w:b/>
          <w:bCs/>
        </w:rPr>
        <w:t>二是</w:t>
      </w:r>
      <w:r>
        <w:rPr>
          <w:rFonts w:hint="eastAsia"/>
        </w:rPr>
        <w:t>改变部分准备的确认时点。该修订将影响与成本相关的准备，常见的是与征税相关的准备，即只有在主体采取两项单独的行动或在特定时段内的某一活动指标超过特定阈值时才应支付的成本。与这些成本相关的准备将提前、逐步计提，而不是在较晚的时点计提，以便为财务报表使用者提供更有用的信息。</w:t>
      </w:r>
    </w:p>
    <w:p>
      <w:pPr>
        <w:ind w:firstLine="640"/>
      </w:pPr>
      <w:r>
        <w:rPr>
          <w:rFonts w:hint="eastAsia"/>
        </w:rPr>
        <w:t>IASB在2018年发布的《财务报告概念框架》中制定了负债的新定义以及支持该定义的新概念。征求意见稿中的建议采用了这些概念，并将使《国际会计准则第37号》的规定与《财务报告概念框架》保持一致。</w:t>
      </w:r>
    </w:p>
    <w:p>
      <w:pPr>
        <w:pStyle w:val="4"/>
        <w:ind w:firstLine="643"/>
      </w:pPr>
      <w:r>
        <w:rPr>
          <w:rFonts w:hint="eastAsia"/>
        </w:rPr>
        <w:t>2.修订的具体内容</w:t>
      </w:r>
    </w:p>
    <w:p>
      <w:pPr>
        <w:ind w:firstLine="640"/>
      </w:pPr>
      <w:r>
        <w:rPr>
          <w:rFonts w:hint="eastAsia"/>
        </w:rPr>
        <w:t>对现时义务确认条件的修订主要包括以下内容：</w:t>
      </w:r>
      <w:r>
        <w:rPr>
          <w:rFonts w:hint="eastAsia"/>
          <w:b/>
          <w:bCs/>
        </w:rPr>
        <w:t>一是</w:t>
      </w:r>
      <w:r>
        <w:rPr>
          <w:rFonts w:hint="eastAsia"/>
        </w:rPr>
        <w:t>更新《国际会计准则第37号》中负债的定义和现时义务确认条件的表述，使二者与《财务报告概念框架》中的负债定义保持一致；</w:t>
      </w:r>
      <w:r>
        <w:rPr>
          <w:rFonts w:hint="eastAsia"/>
          <w:b/>
          <w:bCs/>
        </w:rPr>
        <w:t>二是</w:t>
      </w:r>
      <w:r>
        <w:rPr>
          <w:rFonts w:hint="eastAsia"/>
        </w:rPr>
        <w:t>借鉴《财务报告概念框架》中的概念，修订支持现时义务确认条件的规定；</w:t>
      </w:r>
      <w:r>
        <w:rPr>
          <w:rFonts w:hint="eastAsia"/>
          <w:b/>
          <w:bCs/>
        </w:rPr>
        <w:t>三是</w:t>
      </w:r>
      <w:r>
        <w:rPr>
          <w:rFonts w:hint="eastAsia"/>
        </w:rPr>
        <w:t>撤销《国际财务报告解释公告第6号——参与废弃电器和电子设备特定市场产生的负债》，并用《&lt;国际会计准则第37号&gt;实施指南》中的示例取而代之；</w:t>
      </w:r>
      <w:r>
        <w:rPr>
          <w:rFonts w:hint="eastAsia"/>
          <w:b/>
          <w:bCs/>
        </w:rPr>
        <w:t>四是</w:t>
      </w:r>
      <w:r>
        <w:rPr>
          <w:rFonts w:hint="eastAsia"/>
        </w:rPr>
        <w:t>撤销《国际财务报告解释公告第21号——征税》，并用《&lt;国际会计准则第37号&gt;实施指南》中的示例取而代之；</w:t>
      </w:r>
      <w:r>
        <w:rPr>
          <w:rFonts w:hint="eastAsia"/>
          <w:b/>
          <w:bCs/>
        </w:rPr>
        <w:t>五是</w:t>
      </w:r>
      <w:r>
        <w:rPr>
          <w:rFonts w:hint="eastAsia"/>
        </w:rPr>
        <w:t>在《&lt;国际会计准则第37号&gt;实施指南》中增加示例以说明国际财务报告准则解释委员的议程决议所讨论的业务模式，并扩展决策树，更新现有示例中的分析，使其与拟议的修订保持一致。</w:t>
      </w:r>
    </w:p>
    <w:p>
      <w:pPr>
        <w:pStyle w:val="4"/>
        <w:ind w:firstLine="643"/>
      </w:pPr>
      <w:r>
        <w:rPr>
          <w:rFonts w:hint="eastAsia"/>
        </w:rPr>
        <w:t>3.修订的预期影响</w:t>
      </w:r>
    </w:p>
    <w:p>
      <w:pPr>
        <w:ind w:firstLine="640"/>
      </w:pPr>
      <w:r>
        <w:rPr>
          <w:rFonts w:hint="eastAsia"/>
        </w:rPr>
        <w:t>对现时义务确认条件的拟议修订将具有广泛的适用性。该条件将影响主体是否及何时确认所有类型准备的决定。受征税和类似政府征收费用影响的主体可能是受拟议修订影响最大的主体。</w:t>
      </w:r>
    </w:p>
    <w:p>
      <w:pPr>
        <w:pStyle w:val="3"/>
        <w:ind w:firstLine="643"/>
      </w:pPr>
      <w:r>
        <w:rPr>
          <w:rFonts w:hint="eastAsia"/>
        </w:rPr>
        <w:t>（二）与计量准备应包含的成本有关的修订</w:t>
      </w:r>
    </w:p>
    <w:p>
      <w:pPr>
        <w:pStyle w:val="4"/>
        <w:ind w:firstLine="643"/>
      </w:pPr>
      <w:r>
        <w:rPr>
          <w:rFonts w:hint="eastAsia"/>
        </w:rPr>
        <w:t>1.修订的主要目的</w:t>
      </w:r>
    </w:p>
    <w:p>
      <w:pPr>
        <w:ind w:firstLine="640"/>
      </w:pPr>
      <w:r>
        <w:rPr>
          <w:rFonts w:hint="eastAsia"/>
        </w:rPr>
        <w:t>本次修订的目的在于澄清主体在计量准备时使用的成本与《国际会计准则第37号》中规定评估合同是否为亏损合同时所使用的成本口径相同。</w:t>
      </w:r>
    </w:p>
    <w:p>
      <w:pPr>
        <w:pStyle w:val="4"/>
        <w:ind w:firstLine="643"/>
      </w:pPr>
      <w:r>
        <w:rPr>
          <w:rFonts w:hint="eastAsia"/>
        </w:rPr>
        <w:t>2.修订的具体内容</w:t>
      </w:r>
    </w:p>
    <w:p>
      <w:pPr>
        <w:ind w:firstLine="640"/>
      </w:pPr>
      <w:r>
        <w:rPr>
          <w:rFonts w:hint="eastAsia"/>
        </w:rPr>
        <w:t>《国际会计准则第37号》要求主体以清偿其现时义务所需支出的最佳估计数计量准备。IASB拟明确规定，该支出由与清偿现时义务直接相关的成本构成，包括清偿该现时义务的增量成本和分摊的与清偿该现时义务直接有关的其他成本。</w:t>
      </w:r>
    </w:p>
    <w:p>
      <w:pPr>
        <w:pStyle w:val="3"/>
        <w:ind w:firstLine="643"/>
      </w:pPr>
      <w:r>
        <w:rPr>
          <w:rFonts w:hint="eastAsia"/>
        </w:rPr>
        <w:t>（三）对折现率规定的修订</w:t>
      </w:r>
    </w:p>
    <w:p>
      <w:pPr>
        <w:pStyle w:val="4"/>
        <w:ind w:firstLine="643"/>
      </w:pPr>
      <w:r>
        <w:rPr>
          <w:rFonts w:hint="eastAsia"/>
        </w:rPr>
        <w:t>1.修订的主要目的</w:t>
      </w:r>
    </w:p>
    <w:p>
      <w:pPr>
        <w:ind w:firstLine="640"/>
      </w:pPr>
      <w:r>
        <w:rPr>
          <w:rFonts w:hint="eastAsia"/>
        </w:rPr>
        <w:t>对折现率规定的拟议修订的主要目的在于减少主体在计量准备时使用的折现率的多样性，提高其透明度，从而提高其财务报表的可比性。</w:t>
      </w:r>
    </w:p>
    <w:p>
      <w:pPr>
        <w:ind w:firstLine="640"/>
      </w:pPr>
      <w:r>
        <w:rPr>
          <w:rFonts w:hint="eastAsia"/>
        </w:rPr>
        <w:t>目前，一些主体使用无风险利率，而另一些主体使用的折现率包含“不履约风险”（即主体不清偿该负债的风险）。包含不履约风险的利率高于无风险利率，其将导致准备的减少。如果两个主体使用基于不同基础计算的折现率来计量准备，其财务报表使用者可能会发现很难比较这两个主体的财务业绩和财务状况，当主体仅披露关于其使用的折现率的有限信息时，这一状况尤其突出。</w:t>
      </w:r>
    </w:p>
    <w:p>
      <w:pPr>
        <w:pStyle w:val="4"/>
        <w:ind w:firstLine="643"/>
      </w:pPr>
      <w:r>
        <w:rPr>
          <w:rFonts w:hint="eastAsia"/>
        </w:rPr>
        <w:t>2.修订的具体内容</w:t>
      </w:r>
    </w:p>
    <w:p>
      <w:pPr>
        <w:ind w:firstLine="640"/>
      </w:pPr>
      <w:r>
        <w:rPr>
          <w:rFonts w:hint="eastAsia"/>
        </w:rPr>
        <w:t>IASB建议明确规定主体使用无风险利率对准备进行折现，即不包含不履约风险的利率。虽然IASB承认无风险利率的确定可能有多种方法，但是IASB并不拟明确规定主体如何确定适当的无风险利率。相反，IASB拟要求主体披露其使用的折现率以及确定这些折现率的方法。</w:t>
      </w:r>
    </w:p>
    <w:p>
      <w:pPr>
        <w:pStyle w:val="4"/>
        <w:ind w:firstLine="643"/>
      </w:pPr>
      <w:r>
        <w:rPr>
          <w:rFonts w:hint="eastAsia"/>
        </w:rPr>
        <w:t>3.修订的预期影响</w:t>
      </w:r>
    </w:p>
    <w:p>
      <w:pPr>
        <w:ind w:firstLine="640"/>
      </w:pPr>
      <w:r>
        <w:rPr>
          <w:rFonts w:hint="eastAsia"/>
        </w:rPr>
        <w:t>对折现率规定的拟议修订将影响那些为反映货币时间价值的影响而对准备进行折现的主体。受影响最大的主体可能是那些拥有大量长期资产退役或环境修复准备的主体，通常是在能源生产、石油和天然气、采矿和电信行业运营的主体。</w:t>
      </w:r>
    </w:p>
    <w:p>
      <w:pPr>
        <w:pStyle w:val="2"/>
        <w:ind w:firstLine="640"/>
      </w:pPr>
      <w:r>
        <w:rPr>
          <w:rFonts w:hint="eastAsia"/>
        </w:rPr>
        <w:t>二、征求意见稿的主要问题</w:t>
      </w:r>
    </w:p>
    <w:p>
      <w:pPr>
        <w:pStyle w:val="3"/>
        <w:ind w:firstLine="643"/>
      </w:pPr>
      <w:r>
        <w:rPr>
          <w:rFonts w:hint="eastAsia"/>
        </w:rPr>
        <w:t>问题1：现时义务确认条件</w:t>
      </w:r>
    </w:p>
    <w:p>
      <w:pPr>
        <w:ind w:firstLine="640"/>
      </w:pPr>
      <w:r>
        <w:rPr>
          <w:rFonts w:hint="eastAsia"/>
        </w:rPr>
        <w:t>IASB拟提出以下改进：</w:t>
      </w:r>
      <w:r>
        <w:rPr>
          <w:rFonts w:hint="eastAsia"/>
          <w:b/>
        </w:rPr>
        <w:t>一是</w:t>
      </w:r>
      <w:r>
        <w:rPr>
          <w:rFonts w:hint="eastAsia"/>
        </w:rPr>
        <w:t>更新《国际会计准则第37号》中负债的定义，使其与《财务报告概念框架》保持一致（第10段）；</w:t>
      </w:r>
      <w:r>
        <w:rPr>
          <w:rFonts w:hint="eastAsia"/>
          <w:b/>
        </w:rPr>
        <w:t>二是</w:t>
      </w:r>
      <w:r>
        <w:rPr>
          <w:rFonts w:hint="eastAsia"/>
        </w:rPr>
        <w:t>使现时义务确认条件的表述与修订后的负债的定义保持一致（第14(a)段）；</w:t>
      </w:r>
      <w:r>
        <w:rPr>
          <w:rFonts w:hint="eastAsia"/>
          <w:b/>
        </w:rPr>
        <w:t>三是</w:t>
      </w:r>
      <w:r>
        <w:rPr>
          <w:rFonts w:hint="eastAsia"/>
        </w:rPr>
        <w:t>修订应用现时义务确认条件的要求（第14A-16段和第72-81段）；</w:t>
      </w:r>
      <w:r>
        <w:rPr>
          <w:rFonts w:hint="eastAsia"/>
          <w:b/>
        </w:rPr>
        <w:t>四是</w:t>
      </w:r>
      <w:r>
        <w:rPr>
          <w:rFonts w:hint="eastAsia"/>
        </w:rPr>
        <w:t>对《国际会计准则第37号》中涉及负债定义的其他段落进行小范围修订（附录A）。</w:t>
      </w:r>
    </w:p>
    <w:p>
      <w:pPr>
        <w:ind w:firstLine="640"/>
      </w:pPr>
      <w:r>
        <w:rPr>
          <w:rFonts w:hint="eastAsia"/>
        </w:rPr>
        <w:t>上述建议还包括撤销《国际财务报告解释公告第6号——参与废弃电器和电子设备特定市场产生的负债》和《国际财务报告解释公告第21号——征税》。</w:t>
      </w:r>
    </w:p>
    <w:p>
      <w:pPr>
        <w:ind w:firstLine="640"/>
      </w:pPr>
      <w:r>
        <w:rPr>
          <w:rFonts w:hint="eastAsia"/>
        </w:rPr>
        <w:t>IASB在结论基础第BC3-BC54段和第BC86段以及结论基础的附录A解释了其提出上述拟议修订的理由。</w:t>
      </w:r>
    </w:p>
    <w:p>
      <w:pPr>
        <w:ind w:firstLine="640"/>
      </w:pPr>
      <w:r>
        <w:rPr>
          <w:rFonts w:hint="eastAsia"/>
        </w:rPr>
        <w:t>您是否同意上述建议？请说明理由。如您不同意，请说明不同意的具体方面及建议。</w:t>
      </w:r>
    </w:p>
    <w:p>
      <w:pPr>
        <w:pStyle w:val="3"/>
        <w:ind w:firstLine="643"/>
      </w:pPr>
      <w:r>
        <w:rPr>
          <w:rFonts w:hint="eastAsia"/>
        </w:rPr>
        <w:t>问题2：计量——清偿义务所需支出</w:t>
      </w:r>
    </w:p>
    <w:p>
      <w:pPr>
        <w:ind w:firstLine="640"/>
      </w:pPr>
      <w:r>
        <w:rPr>
          <w:rFonts w:hint="eastAsia"/>
        </w:rPr>
        <w:t>IASB拟明确清偿一项义务所需未来支出的估计中所包含的成本（第40A段）。</w:t>
      </w:r>
    </w:p>
    <w:p>
      <w:pPr>
        <w:ind w:firstLine="640"/>
      </w:pPr>
      <w:r>
        <w:rPr>
          <w:rFonts w:hint="eastAsia"/>
        </w:rPr>
        <w:t>IASB在结论基础第BC63-BC66段解释了其提出上述拟议修订的理由。</w:t>
      </w:r>
    </w:p>
    <w:p>
      <w:pPr>
        <w:ind w:firstLine="640"/>
      </w:pPr>
      <w:r>
        <w:rPr>
          <w:rFonts w:hint="eastAsia"/>
        </w:rPr>
        <w:t>您是否同意上述建议？请说明理由。如您不同意，请说明您的建议。</w:t>
      </w:r>
    </w:p>
    <w:p>
      <w:pPr>
        <w:pStyle w:val="3"/>
        <w:ind w:firstLine="643"/>
      </w:pPr>
      <w:r>
        <w:rPr>
          <w:rFonts w:hint="eastAsia"/>
        </w:rPr>
        <w:t>问题3：折现率</w:t>
      </w:r>
    </w:p>
    <w:p>
      <w:pPr>
        <w:ind w:firstLine="640"/>
      </w:pPr>
      <w:r>
        <w:rPr>
          <w:rFonts w:hint="eastAsia"/>
        </w:rPr>
        <w:t>IASB拟明确，主体对清偿一项义务所需未来支出进行折现的折现率应反映货币时间价值，即为无风险利率，而不包含不履约风险调整（第47-47A段）。</w:t>
      </w:r>
    </w:p>
    <w:p>
      <w:pPr>
        <w:ind w:firstLine="640"/>
      </w:pPr>
      <w:r>
        <w:rPr>
          <w:rFonts w:hint="eastAsia"/>
        </w:rPr>
        <w:t>IASB还建议，企业应当披露其使用的折现率及折现率的确定方法（第85(d)段）。</w:t>
      </w:r>
    </w:p>
    <w:p>
      <w:pPr>
        <w:ind w:firstLine="640"/>
      </w:pPr>
      <w:r>
        <w:rPr>
          <w:rFonts w:hint="eastAsia"/>
        </w:rPr>
        <w:t>IASB在结论基础第BC67-BC85段和结论基础的附录B解释了其提出上述建议的理由。</w:t>
      </w:r>
    </w:p>
    <w:p>
      <w:pPr>
        <w:ind w:firstLine="640"/>
      </w:pPr>
      <w:r>
        <w:rPr>
          <w:rFonts w:hint="eastAsia"/>
        </w:rPr>
        <w:t>您是否同意关于折现率规定的建议以及建议的披露要求？请说明理由。如您不同意，请说明您的建议。</w:t>
      </w:r>
    </w:p>
    <w:p>
      <w:pPr>
        <w:pStyle w:val="3"/>
        <w:ind w:firstLine="643"/>
      </w:pPr>
      <w:r>
        <w:rPr>
          <w:rFonts w:hint="eastAsia"/>
        </w:rPr>
        <w:t>问题4：过渡衔接及生效日期</w:t>
      </w:r>
    </w:p>
    <w:p>
      <w:pPr>
        <w:pStyle w:val="4"/>
        <w:ind w:firstLine="643"/>
      </w:pPr>
      <w:r>
        <w:rPr>
          <w:rFonts w:hint="eastAsia"/>
        </w:rPr>
        <w:t>1.过渡衔接</w:t>
      </w:r>
    </w:p>
    <w:p>
      <w:pPr>
        <w:ind w:firstLine="640"/>
      </w:pPr>
      <w:r>
        <w:rPr>
          <w:rFonts w:hint="eastAsia"/>
        </w:rPr>
        <w:t>IASB对上述拟议修订提议了过渡规定（第94B-94E段）。</w:t>
      </w:r>
    </w:p>
    <w:p>
      <w:pPr>
        <w:ind w:firstLine="640"/>
      </w:pPr>
      <w:r>
        <w:rPr>
          <w:rFonts w:hint="eastAsia"/>
        </w:rPr>
        <w:t>IASB在结论基础第BC87-BC100段解释了其提出上述建议的理由。</w:t>
      </w:r>
    </w:p>
    <w:p>
      <w:pPr>
        <w:ind w:firstLine="640"/>
      </w:pPr>
      <w:r>
        <w:rPr>
          <w:rFonts w:hint="eastAsia"/>
        </w:rPr>
        <w:t>您是否同意上述建议？请说明理由。如您不同意，请说明不同意的具体方面及建议。</w:t>
      </w:r>
    </w:p>
    <w:p>
      <w:pPr>
        <w:pStyle w:val="4"/>
        <w:ind w:firstLine="643"/>
      </w:pPr>
      <w:r>
        <w:rPr>
          <w:rFonts w:hint="eastAsia"/>
        </w:rPr>
        <w:t>2.生效日期</w:t>
      </w:r>
    </w:p>
    <w:p>
      <w:pPr>
        <w:ind w:firstLine="640"/>
      </w:pPr>
      <w:r>
        <w:rPr>
          <w:rFonts w:hint="eastAsia"/>
        </w:rPr>
        <w:t>如果IASB决定修订《国际会计准则第37号》，它将决定修订的生效日期，以便采用《国际会计准则第37号》的主体有足够的时间为新规定做准备。</w:t>
      </w:r>
    </w:p>
    <w:p>
      <w:pPr>
        <w:ind w:firstLine="640"/>
      </w:pPr>
      <w:r>
        <w:rPr>
          <w:rFonts w:hint="eastAsia"/>
        </w:rPr>
        <w:t>在IASB评估为征求意见稿中提出的拟议修订做准备所需的时间时，您是否有希望IASB应着重考虑的因素？</w:t>
      </w:r>
    </w:p>
    <w:p>
      <w:pPr>
        <w:pStyle w:val="3"/>
        <w:ind w:firstLine="643"/>
      </w:pPr>
      <w:r>
        <w:rPr>
          <w:rFonts w:hint="eastAsia"/>
        </w:rPr>
        <w:t>问题5：非公共受托责任子公司的披露要求</w:t>
      </w:r>
    </w:p>
    <w:p>
      <w:pPr>
        <w:ind w:firstLine="640"/>
      </w:pPr>
      <w:r>
        <w:rPr>
          <w:rFonts w:hint="eastAsia"/>
        </w:rPr>
        <w:t>IASB拟建议在《国际财务报告准则第19号——非公共受托责任子公司的披露》中增加披露计量准备时采用的折现率，而不披露确定折现率的方法（附录B）。</w:t>
      </w:r>
    </w:p>
    <w:p>
      <w:pPr>
        <w:ind w:firstLine="640"/>
      </w:pPr>
      <w:r>
        <w:rPr>
          <w:rFonts w:hint="eastAsia"/>
        </w:rPr>
        <w:t>IASB在结论基础第BC101-BC105段解释了其提出上述建议的理由。</w:t>
      </w:r>
    </w:p>
    <w:p>
      <w:pPr>
        <w:ind w:firstLine="640"/>
      </w:pPr>
      <w:r>
        <w:rPr>
          <w:rFonts w:hint="eastAsia"/>
        </w:rPr>
        <w:t>您是否同意上述建议？请说明理由。如您不同意，请说明不同意的具体内容及建议。</w:t>
      </w:r>
    </w:p>
    <w:p>
      <w:pPr>
        <w:pStyle w:val="3"/>
        <w:ind w:firstLine="643"/>
      </w:pPr>
      <w:r>
        <w:rPr>
          <w:rFonts w:hint="eastAsia"/>
        </w:rPr>
        <w:t>问题6：《&lt;国际会计准则第37号&gt;实施指南》</w:t>
      </w:r>
    </w:p>
    <w:p>
      <w:pPr>
        <w:ind w:firstLine="640"/>
      </w:pPr>
      <w:r>
        <w:rPr>
          <w:rFonts w:hint="eastAsia"/>
        </w:rPr>
        <w:t>IASB拟修订《&lt;国际会计准则第37号&gt;实施指南》，具体包括以下内容：</w:t>
      </w:r>
      <w:r>
        <w:rPr>
          <w:rFonts w:hint="eastAsia"/>
          <w:b/>
        </w:rPr>
        <w:t>一是</w:t>
      </w:r>
      <w:r>
        <w:rPr>
          <w:rFonts w:hint="eastAsia"/>
        </w:rPr>
        <w:t>扩展B部分的决策树，</w:t>
      </w:r>
      <w:r>
        <w:rPr>
          <w:rFonts w:hint="eastAsia"/>
          <w:b/>
        </w:rPr>
        <w:t>二是</w:t>
      </w:r>
      <w:r>
        <w:rPr>
          <w:rFonts w:hint="eastAsia"/>
        </w:rPr>
        <w:t>更新C部分应用示例的分析，</w:t>
      </w:r>
      <w:r>
        <w:rPr>
          <w:rFonts w:hint="eastAsia"/>
          <w:b/>
        </w:rPr>
        <w:t>三是</w:t>
      </w:r>
      <w:r>
        <w:rPr>
          <w:rFonts w:hint="eastAsia"/>
        </w:rPr>
        <w:t>在C部分增加应用示例。</w:t>
      </w:r>
    </w:p>
    <w:p>
      <w:pPr>
        <w:ind w:firstLine="640"/>
      </w:pPr>
      <w:r>
        <w:rPr>
          <w:rFonts w:hint="eastAsia"/>
        </w:rPr>
        <w:t>IASB在结论基础第BC55-BC62段解释了其提出上述建议的理由。</w:t>
      </w:r>
    </w:p>
    <w:p>
      <w:pPr>
        <w:ind w:firstLine="640"/>
      </w:pPr>
      <w:r>
        <w:rPr>
          <w:rFonts w:hint="eastAsia"/>
        </w:rPr>
        <w:t>您是否同意上述建议？请说明理由。如您不同意，请说明不同意的具体内容及建议。</w:t>
      </w:r>
    </w:p>
    <w:p>
      <w:pPr>
        <w:ind w:firstLine="640"/>
      </w:pPr>
      <w:r>
        <w:t>您认为</w:t>
      </w:r>
      <w:r>
        <w:rPr>
          <w:rFonts w:hint="eastAsia"/>
        </w:rPr>
        <w:t>提议</w:t>
      </w:r>
      <w:r>
        <w:t>的决策树和示例是否有助于说明</w:t>
      </w:r>
      <w:r>
        <w:rPr>
          <w:rFonts w:hint="eastAsia"/>
        </w:rPr>
        <w:t>规定</w:t>
      </w:r>
      <w:r>
        <w:t>的应用？</w:t>
      </w:r>
      <w:r>
        <w:rPr>
          <w:rFonts w:hint="eastAsia"/>
        </w:rPr>
        <w:t>如您不同意，请说明理由。</w:t>
      </w:r>
    </w:p>
    <w:p>
      <w:pPr>
        <w:ind w:firstLine="640"/>
      </w:pPr>
      <w:r>
        <w:t>您对</w:t>
      </w:r>
      <w:r>
        <w:rPr>
          <w:rFonts w:hint="eastAsia"/>
        </w:rPr>
        <w:t>提议</w:t>
      </w:r>
      <w:r>
        <w:t>的决策树或</w:t>
      </w:r>
      <w:r>
        <w:rPr>
          <w:rFonts w:hint="eastAsia"/>
        </w:rPr>
        <w:t>应用</w:t>
      </w:r>
      <w:r>
        <w:t>示例还有其他意见吗？</w:t>
      </w:r>
    </w:p>
    <w:p>
      <w:pPr>
        <w:pStyle w:val="3"/>
        <w:ind w:firstLine="643"/>
      </w:pPr>
      <w:r>
        <w:rPr>
          <w:rFonts w:hint="eastAsia"/>
        </w:rPr>
        <w:t>问题7：其他</w:t>
      </w:r>
    </w:p>
    <w:p>
      <w:pPr>
        <w:ind w:firstLine="640"/>
      </w:pPr>
      <w:r>
        <w:rPr>
          <w:rFonts w:hint="eastAsia"/>
        </w:rPr>
        <w:t>您对征求意见稿其他方面的建议有何意见或建议？</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0000000" w:usb3="00000000" w:csb0="0000019F" w:csb1="00000000"/>
  </w:font>
  <w:font w:name="楷体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10" w:usb3="00000000" w:csb0="000400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60295541"/>
      <w:docPartObj>
        <w:docPartGallery w:val="autotext"/>
      </w:docPartObj>
    </w:sdtPr>
    <w:sdtContent>
      <w:p>
        <w:pPr>
          <w:pStyle w:val="8"/>
          <w:ind w:firstLine="0" w:firstLineChars="0"/>
          <w:jc w:val="center"/>
        </w:pPr>
        <w:r>
          <w:fldChar w:fldCharType="begin"/>
        </w:r>
        <w:r>
          <w:instrText xml:space="preserve">PAGE   \* MERGEFORMAT</w:instrText>
        </w:r>
        <w:r>
          <w:fldChar w:fldCharType="separate"/>
        </w:r>
        <w:r>
          <w:rPr>
            <w:lang w:val="zh-CN"/>
          </w:rPr>
          <w:t>1</w:t>
        </w:r>
        <w:r>
          <w:fldChar w:fldCharType="end"/>
        </w:r>
      </w:p>
    </w:sdtContent>
  </w:sdt>
  <w:p>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A20"/>
    <w:rsid w:val="000B5E2D"/>
    <w:rsid w:val="001626A5"/>
    <w:rsid w:val="00184705"/>
    <w:rsid w:val="0019240D"/>
    <w:rsid w:val="00196640"/>
    <w:rsid w:val="001C20BE"/>
    <w:rsid w:val="001E3331"/>
    <w:rsid w:val="001E3924"/>
    <w:rsid w:val="00241165"/>
    <w:rsid w:val="002629FC"/>
    <w:rsid w:val="002670EB"/>
    <w:rsid w:val="00290FBB"/>
    <w:rsid w:val="002C1ABF"/>
    <w:rsid w:val="002D49D9"/>
    <w:rsid w:val="002D78A0"/>
    <w:rsid w:val="00303E66"/>
    <w:rsid w:val="00315C01"/>
    <w:rsid w:val="00321A20"/>
    <w:rsid w:val="003A2577"/>
    <w:rsid w:val="003C6BBD"/>
    <w:rsid w:val="00404061"/>
    <w:rsid w:val="00410921"/>
    <w:rsid w:val="00422E22"/>
    <w:rsid w:val="00453FC0"/>
    <w:rsid w:val="004A7EB6"/>
    <w:rsid w:val="004C6A6A"/>
    <w:rsid w:val="004D3498"/>
    <w:rsid w:val="0053261D"/>
    <w:rsid w:val="006255D0"/>
    <w:rsid w:val="00636DD0"/>
    <w:rsid w:val="006A20B4"/>
    <w:rsid w:val="006C797E"/>
    <w:rsid w:val="007407EA"/>
    <w:rsid w:val="007D6E0A"/>
    <w:rsid w:val="007F2C2F"/>
    <w:rsid w:val="00816F4A"/>
    <w:rsid w:val="008234C2"/>
    <w:rsid w:val="008633FC"/>
    <w:rsid w:val="00865B95"/>
    <w:rsid w:val="0087032F"/>
    <w:rsid w:val="0092065D"/>
    <w:rsid w:val="009D3EF1"/>
    <w:rsid w:val="00A04BC6"/>
    <w:rsid w:val="00AA106B"/>
    <w:rsid w:val="00AC5CD1"/>
    <w:rsid w:val="00B55550"/>
    <w:rsid w:val="00BD61F4"/>
    <w:rsid w:val="00C62760"/>
    <w:rsid w:val="00C86DA7"/>
    <w:rsid w:val="00CA1802"/>
    <w:rsid w:val="00CB7E8D"/>
    <w:rsid w:val="00D23BF5"/>
    <w:rsid w:val="00D5016F"/>
    <w:rsid w:val="00D613EB"/>
    <w:rsid w:val="00DA4887"/>
    <w:rsid w:val="00DC0F4F"/>
    <w:rsid w:val="00E004AF"/>
    <w:rsid w:val="00E23B7B"/>
    <w:rsid w:val="00E32834"/>
    <w:rsid w:val="00E42FB6"/>
    <w:rsid w:val="00EA5D4C"/>
    <w:rsid w:val="00FB28C2"/>
    <w:rsid w:val="127B54A5"/>
    <w:rsid w:val="1C3664C1"/>
    <w:rsid w:val="25DF2525"/>
    <w:rsid w:val="33CF12A1"/>
    <w:rsid w:val="3FF7A19D"/>
    <w:rsid w:val="4BE584C5"/>
    <w:rsid w:val="4FF5A81C"/>
    <w:rsid w:val="57B792F3"/>
    <w:rsid w:val="6DFE9EA8"/>
    <w:rsid w:val="6EEE4292"/>
    <w:rsid w:val="73FB2F70"/>
    <w:rsid w:val="757FCF87"/>
    <w:rsid w:val="79EFDFF4"/>
    <w:rsid w:val="7DFAE5A0"/>
    <w:rsid w:val="7EEE2095"/>
    <w:rsid w:val="7FD6B6D8"/>
    <w:rsid w:val="7FFB0654"/>
    <w:rsid w:val="ADFF75A4"/>
    <w:rsid w:val="DCF5F8A6"/>
    <w:rsid w:val="EDDFB03E"/>
    <w:rsid w:val="EF6FA9BC"/>
    <w:rsid w:val="EFEF8B95"/>
    <w:rsid w:val="EFFE34A4"/>
    <w:rsid w:val="F36F2395"/>
    <w:rsid w:val="FD7E6F3E"/>
    <w:rsid w:val="FF3FC086"/>
    <w:rsid w:val="FFDF06BF"/>
    <w:rsid w:val="FFF912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仿宋_GB2312" w:eastAsia="仿宋_GB2312" w:hAnsiTheme="minorHAnsi" w:cstheme="minorBidi"/>
      <w:kern w:val="2"/>
      <w:sz w:val="32"/>
      <w:szCs w:val="22"/>
      <w:lang w:val="en-US" w:eastAsia="zh-CN" w:bidi="ar-SA"/>
    </w:rPr>
  </w:style>
  <w:style w:type="paragraph" w:styleId="2">
    <w:name w:val="heading 1"/>
    <w:basedOn w:val="1"/>
    <w:next w:val="1"/>
    <w:link w:val="14"/>
    <w:qFormat/>
    <w:uiPriority w:val="9"/>
    <w:pPr>
      <w:keepNext/>
      <w:keepLines/>
      <w:outlineLvl w:val="0"/>
    </w:pPr>
    <w:rPr>
      <w:rFonts w:ascii="黑体" w:eastAsia="黑体"/>
      <w:bCs/>
      <w:kern w:val="44"/>
      <w:szCs w:val="44"/>
    </w:rPr>
  </w:style>
  <w:style w:type="paragraph" w:styleId="3">
    <w:name w:val="heading 2"/>
    <w:basedOn w:val="1"/>
    <w:next w:val="1"/>
    <w:link w:val="15"/>
    <w:unhideWhenUsed/>
    <w:qFormat/>
    <w:uiPriority w:val="9"/>
    <w:pPr>
      <w:keepNext/>
      <w:keepLines/>
      <w:outlineLvl w:val="1"/>
    </w:pPr>
    <w:rPr>
      <w:rFonts w:eastAsia="楷体_GB2312" w:hAnsiTheme="majorHAnsi" w:cstheme="majorBidi"/>
      <w:b/>
      <w:bCs/>
      <w:szCs w:val="32"/>
    </w:rPr>
  </w:style>
  <w:style w:type="paragraph" w:styleId="4">
    <w:name w:val="heading 3"/>
    <w:basedOn w:val="1"/>
    <w:next w:val="1"/>
    <w:link w:val="17"/>
    <w:unhideWhenUsed/>
    <w:qFormat/>
    <w:uiPriority w:val="9"/>
    <w:pPr>
      <w:keepNext/>
      <w:keepLines/>
      <w:outlineLvl w:val="2"/>
    </w:pPr>
    <w:rPr>
      <w:b/>
      <w:bCs/>
      <w:szCs w:val="32"/>
    </w:rPr>
  </w:style>
  <w:style w:type="paragraph" w:styleId="5">
    <w:name w:val="heading 4"/>
    <w:basedOn w:val="1"/>
    <w:next w:val="1"/>
    <w:link w:val="18"/>
    <w:unhideWhenUsed/>
    <w:qFormat/>
    <w:uiPriority w:val="9"/>
    <w:pPr>
      <w:keepNext/>
      <w:keepLines/>
      <w:outlineLvl w:val="3"/>
    </w:pPr>
    <w:rPr>
      <w:rFonts w:hAnsiTheme="majorHAnsi" w:cstheme="majorBidi"/>
      <w:bCs/>
      <w:szCs w:val="2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1"/>
    <w:semiHidden/>
    <w:unhideWhenUsed/>
    <w:qFormat/>
    <w:uiPriority w:val="99"/>
    <w:pPr>
      <w:spacing w:line="240" w:lineRule="auto"/>
    </w:pPr>
    <w:rPr>
      <w:sz w:val="18"/>
      <w:szCs w:val="18"/>
    </w:rPr>
  </w:style>
  <w:style w:type="paragraph" w:styleId="8">
    <w:name w:val="footer"/>
    <w:basedOn w:val="1"/>
    <w:link w:val="20"/>
    <w:unhideWhenUsed/>
    <w:qFormat/>
    <w:uiPriority w:val="99"/>
    <w:pPr>
      <w:tabs>
        <w:tab w:val="center" w:pos="4153"/>
        <w:tab w:val="right" w:pos="8306"/>
      </w:tabs>
      <w:snapToGrid w:val="0"/>
      <w:spacing w:line="240" w:lineRule="auto"/>
      <w:jc w:val="left"/>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0">
    <w:name w:val="Title"/>
    <w:basedOn w:val="1"/>
    <w:next w:val="1"/>
    <w:link w:val="16"/>
    <w:qFormat/>
    <w:uiPriority w:val="10"/>
    <w:pPr>
      <w:ind w:firstLine="0" w:firstLineChars="0"/>
      <w:jc w:val="center"/>
      <w:outlineLvl w:val="0"/>
    </w:pPr>
    <w:rPr>
      <w:rFonts w:ascii="华文中宋" w:eastAsia="华文中宋" w:hAnsiTheme="majorHAnsi" w:cstheme="majorBidi"/>
      <w:bCs/>
      <w:sz w:val="36"/>
      <w:szCs w:val="32"/>
    </w:rPr>
  </w:style>
  <w:style w:type="character" w:styleId="13">
    <w:name w:val="annotation reference"/>
    <w:basedOn w:val="12"/>
    <w:semiHidden/>
    <w:unhideWhenUsed/>
    <w:qFormat/>
    <w:uiPriority w:val="99"/>
    <w:rPr>
      <w:sz w:val="21"/>
      <w:szCs w:val="21"/>
    </w:rPr>
  </w:style>
  <w:style w:type="character" w:customStyle="1" w:styleId="14">
    <w:name w:val="标题 1 Char"/>
    <w:basedOn w:val="12"/>
    <w:link w:val="2"/>
    <w:qFormat/>
    <w:uiPriority w:val="9"/>
    <w:rPr>
      <w:rFonts w:ascii="黑体" w:eastAsia="黑体"/>
      <w:bCs/>
      <w:kern w:val="44"/>
      <w:sz w:val="32"/>
      <w:szCs w:val="44"/>
    </w:rPr>
  </w:style>
  <w:style w:type="character" w:customStyle="1" w:styleId="15">
    <w:name w:val="标题 2 Char"/>
    <w:basedOn w:val="12"/>
    <w:link w:val="3"/>
    <w:qFormat/>
    <w:uiPriority w:val="9"/>
    <w:rPr>
      <w:rFonts w:ascii="仿宋_GB2312" w:eastAsia="楷体_GB2312" w:hAnsiTheme="majorHAnsi" w:cstheme="majorBidi"/>
      <w:b/>
      <w:bCs/>
      <w:sz w:val="32"/>
      <w:szCs w:val="32"/>
    </w:rPr>
  </w:style>
  <w:style w:type="character" w:customStyle="1" w:styleId="16">
    <w:name w:val="标题 Char"/>
    <w:basedOn w:val="12"/>
    <w:link w:val="10"/>
    <w:qFormat/>
    <w:uiPriority w:val="10"/>
    <w:rPr>
      <w:rFonts w:ascii="华文中宋" w:eastAsia="华文中宋" w:hAnsiTheme="majorHAnsi" w:cstheme="majorBidi"/>
      <w:bCs/>
      <w:sz w:val="36"/>
      <w:szCs w:val="32"/>
    </w:rPr>
  </w:style>
  <w:style w:type="character" w:customStyle="1" w:styleId="17">
    <w:name w:val="标题 3 Char"/>
    <w:basedOn w:val="12"/>
    <w:link w:val="4"/>
    <w:qFormat/>
    <w:uiPriority w:val="9"/>
    <w:rPr>
      <w:rFonts w:ascii="仿宋_GB2312" w:eastAsia="仿宋_GB2312"/>
      <w:b/>
      <w:bCs/>
      <w:sz w:val="32"/>
      <w:szCs w:val="32"/>
    </w:rPr>
  </w:style>
  <w:style w:type="character" w:customStyle="1" w:styleId="18">
    <w:name w:val="标题 4 Char"/>
    <w:basedOn w:val="12"/>
    <w:link w:val="5"/>
    <w:qFormat/>
    <w:uiPriority w:val="9"/>
    <w:rPr>
      <w:rFonts w:ascii="仿宋_GB2312" w:eastAsia="仿宋_GB2312" w:hAnsiTheme="majorHAnsi" w:cstheme="majorBidi"/>
      <w:bCs/>
      <w:sz w:val="32"/>
      <w:szCs w:val="28"/>
    </w:rPr>
  </w:style>
  <w:style w:type="character" w:customStyle="1" w:styleId="19">
    <w:name w:val="页眉 Char"/>
    <w:basedOn w:val="12"/>
    <w:link w:val="9"/>
    <w:qFormat/>
    <w:uiPriority w:val="99"/>
    <w:rPr>
      <w:rFonts w:ascii="仿宋_GB2312" w:eastAsia="仿宋_GB2312" w:hAnsiTheme="minorHAnsi" w:cstheme="minorBidi"/>
      <w:kern w:val="2"/>
      <w:sz w:val="18"/>
      <w:szCs w:val="18"/>
    </w:rPr>
  </w:style>
  <w:style w:type="character" w:customStyle="1" w:styleId="20">
    <w:name w:val="页脚 Char"/>
    <w:basedOn w:val="12"/>
    <w:link w:val="8"/>
    <w:qFormat/>
    <w:uiPriority w:val="99"/>
    <w:rPr>
      <w:rFonts w:ascii="仿宋_GB2312" w:eastAsia="仿宋_GB2312" w:hAnsiTheme="minorHAnsi" w:cstheme="minorBidi"/>
      <w:kern w:val="2"/>
      <w:sz w:val="18"/>
      <w:szCs w:val="18"/>
    </w:rPr>
  </w:style>
  <w:style w:type="character" w:customStyle="1" w:styleId="21">
    <w:name w:val="批注框文本 Char"/>
    <w:basedOn w:val="12"/>
    <w:link w:val="7"/>
    <w:semiHidden/>
    <w:qFormat/>
    <w:uiPriority w:val="99"/>
    <w:rPr>
      <w:rFonts w:ascii="仿宋_GB2312" w:eastAsia="仿宋_GB2312" w:hAnsiTheme="minorHAnsi" w:cstheme="minorBidi"/>
      <w:kern w:val="2"/>
      <w:sz w:val="18"/>
      <w:szCs w:val="18"/>
    </w:rPr>
  </w:style>
  <w:style w:type="paragraph" w:customStyle="1" w:styleId="22">
    <w:name w:val="修订1"/>
    <w:hidden/>
    <w:unhideWhenUsed/>
    <w:qFormat/>
    <w:uiPriority w:val="99"/>
    <w:rPr>
      <w:rFonts w:ascii="仿宋_GB2312" w:eastAsia="仿宋_GB2312" w:hAnsiTheme="minorHAnsi" w:cstheme="minorBidi"/>
      <w:kern w:val="2"/>
      <w:sz w:val="3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476</Words>
  <Characters>2719</Characters>
  <Lines>22</Lines>
  <Paragraphs>6</Paragraphs>
  <TotalTime>25</TotalTime>
  <ScaleCrop>false</ScaleCrop>
  <LinksUpToDate>false</LinksUpToDate>
  <CharactersWithSpaces>3189</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2024-11-17T06:57:00Z</dcterms:created>
  <dc:creator>钟冰</dc:creator>
  <cp:lastModifiedBy>hanjs</cp:lastModifiedBy>
  <cp:lastPrinted>2024-11-18T19:21:00Z</cp:lastPrinted>
  <dcterms:modified xsi:type="dcterms:W3CDTF">2024-11-21T10:34:51Z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9C510643BBD88EEBB73E346748E08D26</vt:lpwstr>
  </property>
</Properties>
</file>