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75D18A">
      <w:pPr>
        <w:spacing w:line="500" w:lineRule="atLeast"/>
        <w:ind w:firstLine="320" w:firstLineChars="100"/>
        <w:jc w:val="left"/>
        <w:rPr>
          <w:rFonts w:hint="eastAsia" w:ascii="黑体" w:hAnsi="黑体" w:eastAsia="黑体" w:cs="黑体"/>
          <w:sz w:val="32"/>
          <w:szCs w:val="32"/>
        </w:rPr>
      </w:pPr>
      <w:r>
        <w:rPr>
          <w:rFonts w:hint="eastAsia" w:ascii="黑体" w:hAnsi="黑体" w:eastAsia="黑体" w:cs="黑体"/>
          <w:sz w:val="32"/>
          <w:szCs w:val="32"/>
          <w:lang w:val="en"/>
        </w:rPr>
        <w:t>附件</w:t>
      </w:r>
      <w:r>
        <w:rPr>
          <w:rFonts w:hint="eastAsia" w:ascii="黑体" w:hAnsi="黑体" w:eastAsia="黑体" w:cs="黑体"/>
          <w:sz w:val="32"/>
          <w:szCs w:val="32"/>
          <w:lang w:val="en-US" w:eastAsia="zh-CN"/>
        </w:rPr>
        <w:t>2</w:t>
      </w:r>
    </w:p>
    <w:p w14:paraId="13DF833E">
      <w:pPr>
        <w:spacing w:line="500" w:lineRule="atLeast"/>
        <w:jc w:val="left"/>
        <w:rPr>
          <w:rFonts w:ascii="仿宋_GB2312" w:hAnsi="仿宋_GB2312" w:eastAsia="仿宋_GB2312" w:cs="仿宋_GB2312"/>
          <w:sz w:val="32"/>
          <w:szCs w:val="32"/>
        </w:rPr>
      </w:pPr>
    </w:p>
    <w:p w14:paraId="2C10CA7B">
      <w:pPr>
        <w:spacing w:line="500" w:lineRule="atLeas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202</w:t>
      </w:r>
      <w:r>
        <w:rPr>
          <w:rFonts w:hint="eastAsia" w:ascii="方正小标宋简体" w:hAnsi="方正小标宋简体" w:eastAsia="方正小标宋简体" w:cs="方正小标宋简体"/>
          <w:sz w:val="36"/>
          <w:szCs w:val="36"/>
          <w:lang w:val="en-US" w:eastAsia="zh-CN"/>
        </w:rPr>
        <w:t>4</w:t>
      </w:r>
      <w:r>
        <w:rPr>
          <w:rFonts w:hint="eastAsia" w:ascii="方正小标宋简体" w:hAnsi="方正小标宋简体" w:eastAsia="方正小标宋简体" w:cs="方正小标宋简体"/>
          <w:sz w:val="36"/>
          <w:szCs w:val="36"/>
        </w:rPr>
        <w:t>年度行政事业性国有资产</w:t>
      </w:r>
      <w:r>
        <w:rPr>
          <w:rFonts w:hint="eastAsia" w:ascii="方正小标宋简体" w:hAnsi="方正小标宋简体" w:eastAsia="方正小标宋简体" w:cs="方正小标宋简体"/>
          <w:sz w:val="36"/>
          <w:szCs w:val="36"/>
          <w:lang w:val="en-US" w:eastAsia="zh-CN"/>
        </w:rPr>
        <w:t>报告</w:t>
      </w:r>
      <w:r>
        <w:rPr>
          <w:rFonts w:hint="eastAsia" w:ascii="方正小标宋简体" w:hAnsi="方正小标宋简体" w:eastAsia="方正小标宋简体" w:cs="方正小标宋简体"/>
          <w:sz w:val="36"/>
          <w:szCs w:val="36"/>
        </w:rPr>
        <w:t>填报说明提纲</w:t>
      </w:r>
    </w:p>
    <w:p w14:paraId="23A4141B">
      <w:pPr>
        <w:spacing w:line="500" w:lineRule="atLeast"/>
        <w:jc w:val="center"/>
        <w:rPr>
          <w:rFonts w:ascii="仿宋_GB2312" w:hAnsi="楷体" w:eastAsia="仿宋_GB2312" w:cs="楷体"/>
          <w:sz w:val="32"/>
          <w:szCs w:val="32"/>
        </w:rPr>
      </w:pPr>
    </w:p>
    <w:p w14:paraId="5EC20518">
      <w:pPr>
        <w:pStyle w:val="3"/>
        <w:keepNext w:val="0"/>
        <w:keepLines w:val="0"/>
        <w:pageBreakBefore w:val="0"/>
        <w:kinsoku/>
        <w:wordWrap/>
        <w:overflowPunct/>
        <w:topLinePunct w:val="0"/>
        <w:autoSpaceDE/>
        <w:autoSpaceDN/>
        <w:bidi w:val="0"/>
        <w:spacing w:line="560" w:lineRule="exact"/>
        <w:ind w:left="640"/>
        <w:textAlignment w:val="auto"/>
        <w:rPr>
          <w:rFonts w:ascii="黑体" w:hAnsi="黑体" w:eastAsia="黑体" w:cs="仿宋"/>
          <w:bCs/>
          <w:sz w:val="32"/>
          <w:szCs w:val="32"/>
        </w:rPr>
      </w:pPr>
      <w:r>
        <w:rPr>
          <w:rFonts w:hint="eastAsia" w:ascii="黑体" w:hAnsi="黑体" w:eastAsia="黑体" w:cs="仿宋"/>
          <w:bCs/>
          <w:sz w:val="32"/>
          <w:szCs w:val="32"/>
        </w:rPr>
        <w:t>一、数据填报口径</w:t>
      </w:r>
    </w:p>
    <w:p w14:paraId="0E66D962">
      <w:pPr>
        <w:pStyle w:val="3"/>
        <w:keepNext w:val="0"/>
        <w:keepLines w:val="0"/>
        <w:pageBreakBefore w:val="0"/>
        <w:kinsoku/>
        <w:wordWrap/>
        <w:overflowPunct/>
        <w:topLinePunct w:val="0"/>
        <w:autoSpaceDE/>
        <w:autoSpaceDN/>
        <w:bidi w:val="0"/>
        <w:spacing w:line="560" w:lineRule="exact"/>
        <w:ind w:firstLine="640"/>
        <w:textAlignment w:val="auto"/>
        <w:rPr>
          <w:rFonts w:hAnsi="仿宋"/>
          <w:sz w:val="32"/>
          <w:szCs w:val="32"/>
        </w:rPr>
      </w:pPr>
      <w:r>
        <w:rPr>
          <w:rFonts w:hint="eastAsia" w:hAnsi="Calibri"/>
          <w:color w:val="000000" w:themeColor="text1"/>
          <w:kern w:val="2"/>
          <w:sz w:val="32"/>
          <w:szCs w:val="32"/>
          <w14:textFill>
            <w14:solidFill>
              <w14:schemeClr w14:val="tx1"/>
            </w14:solidFill>
          </w14:textFill>
        </w:rPr>
        <w:t>本地区、本部门应纳入202</w:t>
      </w:r>
      <w:r>
        <w:rPr>
          <w:rFonts w:hint="eastAsia" w:hAnsi="Calibri"/>
          <w:color w:val="000000" w:themeColor="text1"/>
          <w:kern w:val="2"/>
          <w:sz w:val="32"/>
          <w:szCs w:val="32"/>
          <w:lang w:val="en-US" w:eastAsia="zh-CN"/>
          <w14:textFill>
            <w14:solidFill>
              <w14:schemeClr w14:val="tx1"/>
            </w14:solidFill>
          </w14:textFill>
        </w:rPr>
        <w:t>4</w:t>
      </w:r>
      <w:r>
        <w:rPr>
          <w:rFonts w:hint="eastAsia" w:hAnsi="Calibri"/>
          <w:color w:val="000000" w:themeColor="text1"/>
          <w:kern w:val="2"/>
          <w:sz w:val="32"/>
          <w:szCs w:val="32"/>
          <w14:textFill>
            <w14:solidFill>
              <w14:schemeClr w14:val="tx1"/>
            </w14:solidFill>
          </w14:textFill>
        </w:rPr>
        <w:t>年度行政事业性国有资产报</w:t>
      </w:r>
      <w:r>
        <w:rPr>
          <w:rFonts w:hint="eastAsia" w:hAnsi="Calibri"/>
          <w:color w:val="000000" w:themeColor="text1"/>
          <w:kern w:val="2"/>
          <w:sz w:val="32"/>
          <w:szCs w:val="32"/>
          <w:lang w:eastAsia="zh-CN"/>
          <w14:textFill>
            <w14:solidFill>
              <w14:schemeClr w14:val="tx1"/>
            </w14:solidFill>
          </w14:textFill>
        </w:rPr>
        <w:t>表</w:t>
      </w:r>
      <w:r>
        <w:rPr>
          <w:rFonts w:hint="eastAsia" w:hAnsi="Calibri"/>
          <w:color w:val="000000" w:themeColor="text1"/>
          <w:kern w:val="2"/>
          <w:sz w:val="32"/>
          <w:szCs w:val="32"/>
          <w14:textFill>
            <w14:solidFill>
              <w14:schemeClr w14:val="tx1"/>
            </w14:solidFill>
          </w14:textFill>
        </w:rPr>
        <w:t>（以下简称资产报表）填报范围的行政事业单位共XX个，实际上报单位XX个。说明未上报单位原因。</w:t>
      </w:r>
    </w:p>
    <w:p w14:paraId="3112CC48">
      <w:pPr>
        <w:pStyle w:val="3"/>
        <w:keepNext w:val="0"/>
        <w:keepLines w:val="0"/>
        <w:pageBreakBefore w:val="0"/>
        <w:kinsoku/>
        <w:wordWrap/>
        <w:overflowPunct/>
        <w:topLinePunct w:val="0"/>
        <w:autoSpaceDE/>
        <w:autoSpaceDN/>
        <w:bidi w:val="0"/>
        <w:spacing w:line="560" w:lineRule="exact"/>
        <w:ind w:left="640"/>
        <w:textAlignment w:val="auto"/>
        <w:rPr>
          <w:rFonts w:ascii="黑体" w:hAnsi="黑体" w:eastAsia="黑体" w:cs="仿宋"/>
          <w:bCs/>
          <w:sz w:val="32"/>
          <w:szCs w:val="32"/>
        </w:rPr>
      </w:pPr>
      <w:r>
        <w:rPr>
          <w:rFonts w:hint="eastAsia" w:ascii="黑体" w:hAnsi="黑体" w:eastAsia="黑体" w:cs="仿宋"/>
          <w:bCs/>
          <w:sz w:val="32"/>
          <w:szCs w:val="32"/>
        </w:rPr>
        <w:t>二、数据审核情况</w:t>
      </w:r>
    </w:p>
    <w:p w14:paraId="728B5F3A">
      <w:pPr>
        <w:pStyle w:val="3"/>
        <w:keepNext w:val="0"/>
        <w:keepLines w:val="0"/>
        <w:pageBreakBefore w:val="0"/>
        <w:kinsoku/>
        <w:wordWrap/>
        <w:overflowPunct/>
        <w:topLinePunct w:val="0"/>
        <w:autoSpaceDE/>
        <w:autoSpaceDN/>
        <w:bidi w:val="0"/>
        <w:spacing w:line="560" w:lineRule="exact"/>
        <w:ind w:firstLine="472" w:firstLineChars="147"/>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（一）审核情况。</w:t>
      </w:r>
    </w:p>
    <w:p w14:paraId="13B96CD3">
      <w:pPr>
        <w:pStyle w:val="3"/>
        <w:keepNext w:val="0"/>
        <w:keepLines w:val="0"/>
        <w:pageBreakBefore w:val="0"/>
        <w:kinsoku/>
        <w:wordWrap/>
        <w:overflowPunct/>
        <w:topLinePunct w:val="0"/>
        <w:autoSpaceDE/>
        <w:autoSpaceDN/>
        <w:bidi w:val="0"/>
        <w:spacing w:line="560" w:lineRule="exact"/>
        <w:ind w:firstLine="640"/>
        <w:textAlignment w:val="auto"/>
        <w:rPr>
          <w:rFonts w:hint="default" w:ascii="Times New Roman" w:hAnsi="Times New Roman" w:cs="Times New Roman"/>
          <w:color w:val="000000" w:themeColor="text1"/>
          <w:kern w:val="2"/>
          <w:sz w:val="32"/>
          <w:szCs w:val="32"/>
          <w14:textFill>
            <w14:solidFill>
              <w14:schemeClr w14:val="tx1"/>
            </w14:solidFill>
          </w14:textFill>
        </w:rPr>
      </w:pPr>
      <w:r>
        <w:rPr>
          <w:rFonts w:hint="default" w:ascii="Times New Roman" w:hAnsi="Times New Roman" w:cs="Times New Roman"/>
          <w:b/>
          <w:bCs/>
          <w:color w:val="000000" w:themeColor="text1"/>
          <w:kern w:val="2"/>
          <w:sz w:val="32"/>
          <w:szCs w:val="32"/>
          <w14:textFill>
            <w14:solidFill>
              <w14:schemeClr w14:val="tx1"/>
            </w14:solidFill>
          </w14:textFill>
        </w:rPr>
        <w:t>1.核实性审核。</w:t>
      </w:r>
      <w:r>
        <w:rPr>
          <w:rFonts w:hint="default" w:ascii="Times New Roman" w:hAnsi="Times New Roman" w:cs="Times New Roman"/>
          <w:color w:val="000000" w:themeColor="text1"/>
          <w:kern w:val="2"/>
          <w:sz w:val="32"/>
          <w:szCs w:val="32"/>
          <w14:textFill>
            <w14:solidFill>
              <w14:schemeClr w14:val="tx1"/>
            </w14:solidFill>
          </w14:textFill>
        </w:rPr>
        <w:t>本地区、本部门全表审核后核实性问题提示共XX条，涉及XX个单位，</w:t>
      </w:r>
      <w:r>
        <w:rPr>
          <w:rFonts w:hint="eastAsia" w:ascii="Times New Roman" w:hAnsi="Times New Roman" w:cs="Times New Roman"/>
          <w:color w:val="000000" w:themeColor="text1"/>
          <w:kern w:val="2"/>
          <w:sz w:val="32"/>
          <w:szCs w:val="32"/>
          <w:lang w:val="en-US" w:eastAsia="zh-CN"/>
          <w14:textFill>
            <w14:solidFill>
              <w14:schemeClr w14:val="tx1"/>
            </w14:solidFill>
          </w14:textFill>
        </w:rPr>
        <w:t>分类</w:t>
      </w:r>
      <w:r>
        <w:rPr>
          <w:rFonts w:hint="default" w:ascii="Times New Roman" w:hAnsi="Times New Roman" w:cs="Times New Roman"/>
          <w:color w:val="000000" w:themeColor="text1"/>
          <w:kern w:val="2"/>
          <w:sz w:val="32"/>
          <w:szCs w:val="32"/>
          <w14:textFill>
            <w14:solidFill>
              <w14:schemeClr w14:val="tx1"/>
            </w14:solidFill>
          </w14:textFill>
        </w:rPr>
        <w:t>说明主要原因。</w:t>
      </w:r>
    </w:p>
    <w:p w14:paraId="3327AA26">
      <w:pPr>
        <w:pStyle w:val="3"/>
        <w:keepNext w:val="0"/>
        <w:keepLines w:val="0"/>
        <w:pageBreakBefore w:val="0"/>
        <w:kinsoku/>
        <w:wordWrap/>
        <w:overflowPunct/>
        <w:topLinePunct w:val="0"/>
        <w:autoSpaceDE/>
        <w:autoSpaceDN/>
        <w:bidi w:val="0"/>
        <w:spacing w:line="560" w:lineRule="exact"/>
        <w:ind w:firstLine="640"/>
        <w:textAlignment w:val="auto"/>
        <w:rPr>
          <w:rFonts w:hint="default" w:ascii="Times New Roman" w:hAnsi="Times New Roman" w:cs="Times New Roman"/>
          <w:color w:val="000000" w:themeColor="text1"/>
          <w:kern w:val="2"/>
          <w:sz w:val="32"/>
          <w:szCs w:val="32"/>
          <w14:textFill>
            <w14:solidFill>
              <w14:schemeClr w14:val="tx1"/>
            </w14:solidFill>
          </w14:textFill>
        </w:rPr>
      </w:pPr>
      <w:r>
        <w:rPr>
          <w:rFonts w:hint="default" w:ascii="Times New Roman" w:hAnsi="Times New Roman" w:cs="Times New Roman"/>
          <w:b/>
          <w:bCs/>
          <w:color w:val="000000" w:themeColor="text1"/>
          <w:kern w:val="2"/>
          <w:sz w:val="32"/>
          <w:szCs w:val="32"/>
          <w14:textFill>
            <w14:solidFill>
              <w14:schemeClr w14:val="tx1"/>
            </w14:solidFill>
          </w14:textFill>
        </w:rPr>
        <w:t>2.基础数据审核。</w:t>
      </w:r>
      <w:r>
        <w:rPr>
          <w:rFonts w:hint="default" w:ascii="Times New Roman" w:hAnsi="Times New Roman" w:cs="Times New Roman"/>
          <w:color w:val="000000" w:themeColor="text1"/>
          <w:kern w:val="2"/>
          <w:sz w:val="32"/>
          <w:szCs w:val="32"/>
          <w14:textFill>
            <w14:solidFill>
              <w14:schemeClr w14:val="tx1"/>
            </w14:solidFill>
          </w14:textFill>
        </w:rPr>
        <w:t>本地区、本部门资产数据与上年对比，增减超过20%</w:t>
      </w:r>
      <w:r>
        <w:rPr>
          <w:rFonts w:hint="default" w:ascii="Times New Roman" w:hAnsi="Times New Roman" w:eastAsia="仿宋_GB2312" w:cs="Times New Roman"/>
          <w:color w:val="000000" w:themeColor="text1"/>
          <w:kern w:val="2"/>
          <w:sz w:val="32"/>
          <w:szCs w:val="32"/>
          <w14:textFill>
            <w14:solidFill>
              <w14:schemeClr w14:val="tx1"/>
            </w14:solidFill>
          </w14:textFill>
        </w:rPr>
        <w:t>且≥±100万元</w:t>
      </w:r>
      <w:r>
        <w:rPr>
          <w:rFonts w:hint="default" w:ascii="Times New Roman" w:hAnsi="Times New Roman" w:cs="Times New Roman"/>
          <w:color w:val="000000" w:themeColor="text1"/>
          <w:kern w:val="2"/>
          <w:sz w:val="32"/>
          <w:szCs w:val="32"/>
          <w14:textFill>
            <w14:solidFill>
              <w14:schemeClr w14:val="tx1"/>
            </w14:solidFill>
          </w14:textFill>
        </w:rPr>
        <w:t>的，</w:t>
      </w:r>
      <w:r>
        <w:rPr>
          <w:rFonts w:hint="eastAsia" w:ascii="Times New Roman" w:hAnsi="Times New Roman" w:cs="Times New Roman"/>
          <w:color w:val="000000" w:themeColor="text1"/>
          <w:kern w:val="2"/>
          <w:sz w:val="32"/>
          <w:szCs w:val="32"/>
          <w:lang w:val="en-US" w:eastAsia="zh-CN"/>
          <w14:textFill>
            <w14:solidFill>
              <w14:schemeClr w14:val="tx1"/>
            </w14:solidFill>
          </w14:textFill>
        </w:rPr>
        <w:t>分类</w:t>
      </w:r>
      <w:r>
        <w:rPr>
          <w:rFonts w:hint="default" w:ascii="Times New Roman" w:hAnsi="Times New Roman" w:cs="Times New Roman"/>
          <w:color w:val="000000" w:themeColor="text1"/>
          <w:kern w:val="2"/>
          <w:sz w:val="32"/>
          <w:szCs w:val="32"/>
          <w14:textFill>
            <w14:solidFill>
              <w14:schemeClr w14:val="tx1"/>
            </w14:solidFill>
          </w14:textFill>
        </w:rPr>
        <w:t>说明主要原因。</w:t>
      </w:r>
    </w:p>
    <w:p w14:paraId="0FD91083">
      <w:pPr>
        <w:pStyle w:val="3"/>
        <w:keepNext w:val="0"/>
        <w:keepLines w:val="0"/>
        <w:pageBreakBefore w:val="0"/>
        <w:kinsoku/>
        <w:wordWrap/>
        <w:overflowPunct/>
        <w:topLinePunct w:val="0"/>
        <w:autoSpaceDE/>
        <w:autoSpaceDN/>
        <w:bidi w:val="0"/>
        <w:spacing w:line="560" w:lineRule="exact"/>
        <w:ind w:firstLine="640"/>
        <w:textAlignment w:val="auto"/>
        <w:rPr>
          <w:rFonts w:hint="default" w:ascii="Times New Roman" w:hAnsi="Times New Roman" w:cs="Times New Roman"/>
          <w:color w:val="auto"/>
          <w:sz w:val="32"/>
          <w:szCs w:val="32"/>
          <w:highlight w:val="none"/>
        </w:rPr>
      </w:pPr>
      <w:r>
        <w:rPr>
          <w:rFonts w:hint="default" w:ascii="Times New Roman" w:hAnsi="Times New Roman" w:cs="Times New Roman"/>
          <w:b/>
          <w:bCs/>
          <w:color w:val="auto"/>
          <w:sz w:val="32"/>
          <w:szCs w:val="32"/>
          <w:highlight w:val="none"/>
        </w:rPr>
        <w:t>3.</w:t>
      </w:r>
      <w:r>
        <w:rPr>
          <w:rFonts w:hint="default" w:ascii="Times New Roman" w:hAnsi="Times New Roman" w:cs="Times New Roman"/>
          <w:b/>
          <w:bCs/>
          <w:color w:val="auto"/>
          <w:sz w:val="32"/>
          <w:szCs w:val="32"/>
          <w:highlight w:val="none"/>
          <w:lang w:val="en-US" w:eastAsia="zh-CN"/>
        </w:rPr>
        <w:t>与会计核算数据对比审核。</w:t>
      </w:r>
      <w:r>
        <w:rPr>
          <w:rFonts w:hint="default" w:ascii="Times New Roman" w:hAnsi="Times New Roman" w:cs="Times New Roman"/>
          <w:color w:val="auto"/>
          <w:sz w:val="32"/>
          <w:szCs w:val="32"/>
          <w:highlight w:val="none"/>
          <w:lang w:val="en-US" w:eastAsia="zh-CN"/>
        </w:rPr>
        <w:t>本地区、本部门资产报表的编报主体、资产负债表相关数据与会计核算主体及相关数据是否保持一致，若有差异应详细说明原因。</w:t>
      </w:r>
    </w:p>
    <w:p w14:paraId="29934C71">
      <w:pPr>
        <w:pStyle w:val="3"/>
        <w:keepNext w:val="0"/>
        <w:keepLines w:val="0"/>
        <w:pageBreakBefore w:val="0"/>
        <w:kinsoku/>
        <w:wordWrap/>
        <w:overflowPunct/>
        <w:topLinePunct w:val="0"/>
        <w:autoSpaceDE/>
        <w:autoSpaceDN/>
        <w:bidi w:val="0"/>
        <w:spacing w:line="560" w:lineRule="exact"/>
        <w:ind w:firstLine="640"/>
        <w:textAlignment w:val="auto"/>
        <w:rPr>
          <w:rFonts w:hint="default" w:ascii="Times New Roman" w:hAnsi="Times New Roman" w:cs="Times New Roman"/>
          <w:color w:val="000000" w:themeColor="text1"/>
          <w:kern w:val="2"/>
          <w:sz w:val="32"/>
          <w:szCs w:val="32"/>
          <w:highlight w:val="none"/>
          <w:lang w:val="en-US" w:eastAsia="zh-CN"/>
          <w14:textFill>
            <w14:solidFill>
              <w14:schemeClr w14:val="tx1"/>
            </w14:solidFill>
          </w14:textFill>
        </w:rPr>
      </w:pPr>
      <w:r>
        <w:rPr>
          <w:rFonts w:hint="default" w:ascii="Times New Roman" w:hAnsi="Times New Roman" w:cs="Times New Roman"/>
          <w:b/>
          <w:bCs/>
          <w:color w:val="000000" w:themeColor="text1"/>
          <w:kern w:val="2"/>
          <w:sz w:val="32"/>
          <w:szCs w:val="32"/>
          <w:highlight w:val="none"/>
          <w14:textFill>
            <w14:solidFill>
              <w14:schemeClr w14:val="tx1"/>
            </w14:solidFill>
          </w14:textFill>
        </w:rPr>
        <w:t>4.与部门决算对比审核。</w:t>
      </w:r>
      <w:r>
        <w:rPr>
          <w:rFonts w:hint="default" w:ascii="Times New Roman" w:hAnsi="Times New Roman" w:cs="Times New Roman"/>
          <w:color w:val="000000" w:themeColor="text1"/>
          <w:kern w:val="2"/>
          <w:sz w:val="32"/>
          <w:szCs w:val="32"/>
          <w:highlight w:val="none"/>
          <w14:textFill>
            <w14:solidFill>
              <w14:schemeClr w14:val="tx1"/>
            </w14:solidFill>
          </w14:textFill>
        </w:rPr>
        <w:t>本地区、本部门资产报表房屋、车辆、单价100万元（含）以上的设备</w:t>
      </w:r>
      <w:r>
        <w:rPr>
          <w:rFonts w:hint="eastAsia" w:ascii="Times New Roman" w:hAnsi="Times New Roman" w:cs="Times New Roman"/>
          <w:color w:val="000000" w:themeColor="text1"/>
          <w:kern w:val="2"/>
          <w:sz w:val="32"/>
          <w:szCs w:val="32"/>
          <w:highlight w:val="none"/>
          <w:lang w:val="en-US" w:eastAsia="zh-CN"/>
          <w14:textFill>
            <w14:solidFill>
              <w14:schemeClr w14:val="tx1"/>
            </w14:solidFill>
          </w14:textFill>
        </w:rPr>
        <w:t>等重点资产</w:t>
      </w:r>
      <w:r>
        <w:rPr>
          <w:rFonts w:hint="default" w:ascii="Times New Roman" w:hAnsi="Times New Roman" w:cs="Times New Roman"/>
          <w:color w:val="000000" w:themeColor="text1"/>
          <w:kern w:val="2"/>
          <w:sz w:val="32"/>
          <w:szCs w:val="32"/>
          <w:highlight w:val="none"/>
          <w14:textFill>
            <w14:solidFill>
              <w14:schemeClr w14:val="tx1"/>
            </w14:solidFill>
          </w14:textFill>
        </w:rPr>
        <w:t>，与部门决算相关数据对比，若有差异并说明差异原因。</w:t>
      </w:r>
      <w:r>
        <w:rPr>
          <w:rFonts w:hint="default" w:ascii="Times New Roman" w:hAnsi="Times New Roman" w:cs="Times New Roman"/>
          <w:color w:val="000000" w:themeColor="text1"/>
          <w:kern w:val="2"/>
          <w:sz w:val="32"/>
          <w:szCs w:val="32"/>
          <w:highlight w:val="none"/>
          <w:lang w:val="en-US" w:eastAsia="zh-CN"/>
          <w14:textFill>
            <w14:solidFill>
              <w14:schemeClr w14:val="tx1"/>
            </w14:solidFill>
          </w14:textFill>
        </w:rPr>
        <w:t>资产出租收入、处置收入等与部门决算中资产收入指标</w:t>
      </w:r>
      <w:r>
        <w:rPr>
          <w:rFonts w:hint="default" w:ascii="Times New Roman" w:hAnsi="Times New Roman" w:eastAsia="楷体_GB2312" w:cs="Times New Roman"/>
          <w:color w:val="000000" w:themeColor="text1"/>
          <w:kern w:val="2"/>
          <w:sz w:val="32"/>
          <w:szCs w:val="32"/>
          <w:highlight w:val="none"/>
          <w:lang w:val="en-US" w:eastAsia="zh-CN"/>
          <w14:textFill>
            <w14:solidFill>
              <w14:schemeClr w14:val="tx1"/>
            </w14:solidFill>
          </w14:textFill>
        </w:rPr>
        <w:t>（行政单位资产出租收入、事业单位资产出租收入、行政单位资产处置收入、事业单位资产处置收入）</w:t>
      </w:r>
      <w:r>
        <w:rPr>
          <w:rFonts w:hint="default" w:ascii="Times New Roman" w:hAnsi="Times New Roman" w:cs="Times New Roman"/>
          <w:color w:val="000000" w:themeColor="text1"/>
          <w:kern w:val="2"/>
          <w:sz w:val="32"/>
          <w:szCs w:val="32"/>
          <w:highlight w:val="none"/>
          <w:lang w:val="en-US" w:eastAsia="zh-CN"/>
          <w14:textFill>
            <w14:solidFill>
              <w14:schemeClr w14:val="tx1"/>
            </w14:solidFill>
          </w14:textFill>
        </w:rPr>
        <w:t>数据</w:t>
      </w:r>
      <w:r>
        <w:rPr>
          <w:rFonts w:hint="eastAsia" w:ascii="Times New Roman" w:hAnsi="Times New Roman" w:cs="Times New Roman"/>
          <w:color w:val="000000" w:themeColor="text1"/>
          <w:kern w:val="2"/>
          <w:sz w:val="32"/>
          <w:szCs w:val="32"/>
          <w:highlight w:val="none"/>
          <w:lang w:val="en-US" w:eastAsia="zh-CN"/>
          <w14:textFill>
            <w14:solidFill>
              <w14:schemeClr w14:val="tx1"/>
            </w14:solidFill>
          </w14:textFill>
        </w:rPr>
        <w:t>对比</w:t>
      </w:r>
      <w:r>
        <w:rPr>
          <w:rFonts w:hint="default" w:ascii="Times New Roman" w:hAnsi="Times New Roman" w:cs="Times New Roman"/>
          <w:color w:val="000000" w:themeColor="text1"/>
          <w:kern w:val="2"/>
          <w:sz w:val="32"/>
          <w:szCs w:val="32"/>
          <w:highlight w:val="none"/>
          <w:lang w:val="en-US" w:eastAsia="zh-CN"/>
          <w14:textFill>
            <w14:solidFill>
              <w14:schemeClr w14:val="tx1"/>
            </w14:solidFill>
          </w14:textFill>
        </w:rPr>
        <w:t>，</w:t>
      </w:r>
      <w:r>
        <w:rPr>
          <w:rFonts w:hint="eastAsia" w:ascii="Times New Roman" w:hAnsi="Times New Roman" w:cs="Times New Roman"/>
          <w:color w:val="000000" w:themeColor="text1"/>
          <w:kern w:val="2"/>
          <w:sz w:val="32"/>
          <w:szCs w:val="32"/>
          <w:highlight w:val="none"/>
          <w:lang w:val="en-US" w:eastAsia="zh-CN"/>
          <w14:textFill>
            <w14:solidFill>
              <w14:schemeClr w14:val="tx1"/>
            </w14:solidFill>
          </w14:textFill>
        </w:rPr>
        <w:t>若有差异</w:t>
      </w:r>
      <w:r>
        <w:rPr>
          <w:rFonts w:hint="default" w:ascii="Times New Roman" w:hAnsi="Times New Roman" w:cs="Times New Roman"/>
          <w:color w:val="000000" w:themeColor="text1"/>
          <w:kern w:val="2"/>
          <w:sz w:val="32"/>
          <w:szCs w:val="32"/>
          <w:highlight w:val="none"/>
          <w:lang w:val="en-US" w:eastAsia="zh-CN"/>
          <w14:textFill>
            <w14:solidFill>
              <w14:schemeClr w14:val="tx1"/>
            </w14:solidFill>
          </w14:textFill>
        </w:rPr>
        <w:t>应</w:t>
      </w:r>
      <w:r>
        <w:rPr>
          <w:rFonts w:hint="eastAsia" w:ascii="Times New Roman" w:hAnsi="Times New Roman" w:cs="Times New Roman"/>
          <w:color w:val="000000" w:themeColor="text1"/>
          <w:kern w:val="2"/>
          <w:sz w:val="32"/>
          <w:szCs w:val="32"/>
          <w:highlight w:val="none"/>
          <w:lang w:val="en-US" w:eastAsia="zh-CN"/>
          <w14:textFill>
            <w14:solidFill>
              <w14:schemeClr w14:val="tx1"/>
            </w14:solidFill>
          </w14:textFill>
        </w:rPr>
        <w:t>详细</w:t>
      </w:r>
      <w:r>
        <w:rPr>
          <w:rFonts w:hint="default" w:ascii="Times New Roman" w:hAnsi="Times New Roman" w:cs="Times New Roman"/>
          <w:color w:val="000000" w:themeColor="text1"/>
          <w:kern w:val="2"/>
          <w:sz w:val="32"/>
          <w:szCs w:val="32"/>
          <w:highlight w:val="none"/>
          <w:lang w:val="en-US" w:eastAsia="zh-CN"/>
          <w14:textFill>
            <w14:solidFill>
              <w14:schemeClr w14:val="tx1"/>
            </w14:solidFill>
          </w14:textFill>
        </w:rPr>
        <w:t>说明原因</w:t>
      </w:r>
    </w:p>
    <w:p w14:paraId="4EFE9139">
      <w:pPr>
        <w:pStyle w:val="3"/>
        <w:keepNext w:val="0"/>
        <w:keepLines w:val="0"/>
        <w:pageBreakBefore w:val="0"/>
        <w:kinsoku/>
        <w:wordWrap/>
        <w:overflowPunct/>
        <w:topLinePunct w:val="0"/>
        <w:autoSpaceDE/>
        <w:autoSpaceDN/>
        <w:bidi w:val="0"/>
        <w:spacing w:line="560" w:lineRule="exact"/>
        <w:ind w:firstLine="640"/>
        <w:textAlignment w:val="auto"/>
        <w:rPr>
          <w:rFonts w:hint="default" w:ascii="Times New Roman" w:hAnsi="Times New Roman" w:cs="Times New Roman"/>
          <w:color w:val="auto"/>
          <w:sz w:val="32"/>
          <w:szCs w:val="32"/>
          <w:highlight w:val="none"/>
          <w:lang w:val="en-US" w:eastAsia="zh-CN"/>
        </w:rPr>
      </w:pPr>
      <w:r>
        <w:rPr>
          <w:rFonts w:hint="default" w:ascii="Times New Roman" w:hAnsi="Times New Roman" w:cs="Times New Roman"/>
          <w:b/>
          <w:bCs/>
          <w:color w:val="000000" w:themeColor="text1"/>
          <w:kern w:val="2"/>
          <w:sz w:val="32"/>
          <w:szCs w:val="32"/>
          <w:highlight w:val="none"/>
          <w14:textFill>
            <w14:solidFill>
              <w14:schemeClr w14:val="tx1"/>
            </w14:solidFill>
          </w14:textFill>
        </w:rPr>
        <w:t>5.</w:t>
      </w:r>
      <w:r>
        <w:rPr>
          <w:rFonts w:hint="default" w:ascii="Times New Roman" w:hAnsi="Times New Roman" w:cs="Times New Roman"/>
          <w:b/>
          <w:bCs/>
          <w:color w:val="auto"/>
          <w:sz w:val="32"/>
          <w:szCs w:val="32"/>
          <w:highlight w:val="none"/>
          <w:lang w:val="en-US" w:eastAsia="zh-CN"/>
        </w:rPr>
        <w:t>与2023年12月资产月报对比审核。</w:t>
      </w:r>
      <w:r>
        <w:rPr>
          <w:rFonts w:hint="default" w:ascii="Times New Roman" w:hAnsi="Times New Roman" w:cs="Times New Roman"/>
          <w:color w:val="auto"/>
          <w:sz w:val="32"/>
          <w:szCs w:val="32"/>
          <w:highlight w:val="none"/>
        </w:rPr>
        <w:t>本地区、本部门资产报表</w:t>
      </w:r>
      <w:r>
        <w:rPr>
          <w:rFonts w:hint="default" w:ascii="Times New Roman" w:hAnsi="Times New Roman" w:cs="Times New Roman"/>
          <w:color w:val="auto"/>
          <w:sz w:val="32"/>
          <w:szCs w:val="32"/>
          <w:highlight w:val="none"/>
          <w:lang w:val="en-US" w:eastAsia="zh-CN"/>
        </w:rPr>
        <w:t>数据与2023年12月资产月报同口径数据是否保持一致，若有差异应详细说明原因。</w:t>
      </w:r>
    </w:p>
    <w:p w14:paraId="01A935B7">
      <w:pPr>
        <w:pStyle w:val="3"/>
        <w:keepNext w:val="0"/>
        <w:keepLines w:val="0"/>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cs="Times New Roman"/>
          <w:b/>
          <w:bCs/>
          <w:color w:val="auto"/>
          <w:sz w:val="32"/>
          <w:szCs w:val="32"/>
          <w:highlight w:val="none"/>
          <w:lang w:val="en-US" w:eastAsia="zh-CN"/>
        </w:rPr>
        <w:t>6.</w:t>
      </w:r>
      <w:r>
        <w:rPr>
          <w:rFonts w:hint="default" w:ascii="Times New Roman" w:hAnsi="Times New Roman" w:cs="Times New Roman"/>
          <w:b/>
          <w:bCs/>
          <w:color w:val="000000" w:themeColor="text1"/>
          <w:kern w:val="2"/>
          <w:sz w:val="32"/>
          <w:szCs w:val="32"/>
          <w:highlight w:val="none"/>
          <w14:textFill>
            <w14:solidFill>
              <w14:schemeClr w14:val="tx1"/>
            </w14:solidFill>
          </w14:textFill>
        </w:rPr>
        <w:t>与政府部门财务报告对比审核。</w:t>
      </w:r>
      <w:r>
        <w:rPr>
          <w:rFonts w:hint="eastAsia" w:hAnsi="Calibri"/>
          <w:color w:val="000000" w:themeColor="text1"/>
          <w:kern w:val="2"/>
          <w:sz w:val="32"/>
          <w:szCs w:val="32"/>
          <w14:textFill>
            <w14:solidFill>
              <w14:schemeClr w14:val="tx1"/>
            </w14:solidFill>
          </w14:textFill>
        </w:rPr>
        <w:t>本地区、本部门报送资产报表的单位中，有XX个单位未纳入政府部门财务报告；纳入本地区、本部门政府部门财务报告的行政事业单位（不含企业化管理事业单位）有XX个未报送资产报表，说明主要原因。</w:t>
      </w:r>
      <w:r>
        <w:rPr>
          <w:rFonts w:hint="default" w:ascii="Times New Roman" w:hAnsi="Times New Roman" w:cs="Times New Roman"/>
          <w:color w:val="auto"/>
          <w:sz w:val="32"/>
          <w:szCs w:val="32"/>
          <w:highlight w:val="none"/>
          <w:lang w:val="en-US" w:eastAsia="zh-CN"/>
        </w:rPr>
        <w:t>资产</w:t>
      </w:r>
      <w:r>
        <w:rPr>
          <w:rFonts w:hint="eastAsia" w:ascii="Times New Roman" w:hAnsi="Times New Roman" w:cs="Times New Roman"/>
          <w:color w:val="auto"/>
          <w:sz w:val="32"/>
          <w:szCs w:val="32"/>
          <w:highlight w:val="none"/>
          <w:lang w:val="en-US" w:eastAsia="zh-CN"/>
        </w:rPr>
        <w:t>报表</w:t>
      </w:r>
      <w:r>
        <w:rPr>
          <w:rFonts w:hint="default" w:ascii="Times New Roman" w:hAnsi="Times New Roman" w:cs="Times New Roman"/>
          <w:color w:val="auto"/>
          <w:sz w:val="32"/>
          <w:szCs w:val="32"/>
          <w:highlight w:val="none"/>
          <w:lang w:val="en-US" w:eastAsia="zh-CN"/>
        </w:rPr>
        <w:t>与政府部门财务报告同口径指标数据不一致的，应说明主要原因。</w:t>
      </w:r>
    </w:p>
    <w:p w14:paraId="0FF9408E">
      <w:pPr>
        <w:pStyle w:val="3"/>
        <w:keepNext w:val="0"/>
        <w:keepLines w:val="0"/>
        <w:pageBreakBefore w:val="0"/>
        <w:kinsoku/>
        <w:wordWrap/>
        <w:overflowPunct/>
        <w:topLinePunct w:val="0"/>
        <w:autoSpaceDE/>
        <w:autoSpaceDN/>
        <w:bidi w:val="0"/>
        <w:spacing w:line="560" w:lineRule="exact"/>
        <w:ind w:firstLine="640"/>
        <w:textAlignment w:val="auto"/>
        <w:rPr>
          <w:rFonts w:hint="default" w:ascii="Times New Roman" w:hAnsi="Times New Roman" w:cs="Times New Roman"/>
          <w:b/>
          <w:bCs/>
          <w:color w:val="000000" w:themeColor="text1"/>
          <w:kern w:val="2"/>
          <w:sz w:val="32"/>
          <w:szCs w:val="32"/>
          <w:highlight w:val="none"/>
          <w:lang w:val="en-US" w:eastAsia="zh-CN"/>
          <w14:textFill>
            <w14:solidFill>
              <w14:schemeClr w14:val="tx1"/>
            </w14:solidFill>
          </w14:textFill>
        </w:rPr>
      </w:pPr>
      <w:r>
        <w:rPr>
          <w:rFonts w:hint="default" w:ascii="Times New Roman" w:hAnsi="Times New Roman" w:cs="Times New Roman"/>
          <w:b/>
          <w:bCs/>
          <w:color w:val="000000" w:themeColor="text1"/>
          <w:kern w:val="2"/>
          <w:sz w:val="32"/>
          <w:szCs w:val="32"/>
          <w:highlight w:val="none"/>
          <w:lang w:val="en-US" w:eastAsia="zh-CN"/>
          <w14:textFill>
            <w14:solidFill>
              <w14:schemeClr w14:val="tx1"/>
            </w14:solidFill>
          </w14:textFill>
        </w:rPr>
        <w:t>7.</w:t>
      </w:r>
      <w:r>
        <w:rPr>
          <w:rFonts w:hint="default" w:ascii="Times New Roman" w:hAnsi="Times New Roman" w:cs="Times New Roman"/>
          <w:b/>
          <w:bCs/>
          <w:color w:val="auto"/>
          <w:sz w:val="32"/>
          <w:szCs w:val="32"/>
          <w:highlight w:val="none"/>
        </w:rPr>
        <w:t>与国有企业财务会计决算报告对比审核。</w:t>
      </w:r>
      <w:r>
        <w:rPr>
          <w:rFonts w:hint="default" w:ascii="Times New Roman" w:hAnsi="Times New Roman" w:cs="Times New Roman"/>
          <w:color w:val="auto"/>
          <w:sz w:val="32"/>
          <w:szCs w:val="32"/>
          <w:highlight w:val="none"/>
          <w:lang w:eastAsia="zh-CN"/>
        </w:rPr>
        <w:t>在</w:t>
      </w:r>
      <w:r>
        <w:rPr>
          <w:rFonts w:hint="default" w:ascii="Times New Roman" w:hAnsi="Times New Roman" w:cs="Times New Roman"/>
          <w:color w:val="auto"/>
          <w:sz w:val="32"/>
          <w:szCs w:val="32"/>
          <w:highlight w:val="none"/>
        </w:rPr>
        <w:t>本地区、本部门对外投资情况表中，被投资单位中国有及国有控股企业户数与国有企业财务会计决算</w:t>
      </w:r>
      <w:r>
        <w:rPr>
          <w:rFonts w:hint="default" w:ascii="Times New Roman" w:hAnsi="Times New Roman" w:cs="Times New Roman"/>
          <w:color w:val="auto"/>
          <w:sz w:val="32"/>
          <w:szCs w:val="32"/>
          <w:highlight w:val="none"/>
          <w:lang w:val="en-US" w:eastAsia="zh-CN"/>
        </w:rPr>
        <w:t>报告中行政事业所属企业</w:t>
      </w:r>
      <w:r>
        <w:rPr>
          <w:rFonts w:hint="default" w:ascii="Times New Roman" w:hAnsi="Times New Roman" w:cs="Times New Roman"/>
          <w:color w:val="auto"/>
          <w:sz w:val="32"/>
          <w:szCs w:val="32"/>
          <w:highlight w:val="none"/>
        </w:rPr>
        <w:t>户数是否一致，若有差异说明原因。被投资单位所有者权益、归属于母公司所有者权益，与国有企业财务会计决算</w:t>
      </w:r>
      <w:r>
        <w:rPr>
          <w:rFonts w:hint="default" w:ascii="Times New Roman" w:hAnsi="Times New Roman" w:cs="Times New Roman"/>
          <w:color w:val="auto"/>
          <w:sz w:val="32"/>
          <w:szCs w:val="32"/>
          <w:highlight w:val="none"/>
          <w:lang w:val="en-US" w:eastAsia="zh-CN"/>
        </w:rPr>
        <w:t>报告</w:t>
      </w:r>
      <w:r>
        <w:rPr>
          <w:rFonts w:hint="default" w:ascii="Times New Roman" w:hAnsi="Times New Roman" w:cs="Times New Roman"/>
          <w:color w:val="auto"/>
          <w:sz w:val="32"/>
          <w:szCs w:val="32"/>
          <w:highlight w:val="none"/>
        </w:rPr>
        <w:t>是否一致，若有差异</w:t>
      </w:r>
      <w:r>
        <w:rPr>
          <w:rFonts w:hint="default" w:ascii="Times New Roman" w:hAnsi="Times New Roman" w:cs="Times New Roman"/>
          <w:color w:val="auto"/>
          <w:sz w:val="32"/>
          <w:szCs w:val="32"/>
          <w:highlight w:val="none"/>
          <w:lang w:val="en-US" w:eastAsia="zh-CN"/>
        </w:rPr>
        <w:t>应</w:t>
      </w:r>
      <w:r>
        <w:rPr>
          <w:rFonts w:hint="default" w:ascii="Times New Roman" w:hAnsi="Times New Roman" w:cs="Times New Roman"/>
          <w:color w:val="auto"/>
          <w:sz w:val="32"/>
          <w:szCs w:val="32"/>
          <w:highlight w:val="none"/>
        </w:rPr>
        <w:t>说明原因。</w:t>
      </w:r>
    </w:p>
    <w:p w14:paraId="3ECA76A0">
      <w:pPr>
        <w:pStyle w:val="3"/>
        <w:keepNext w:val="0"/>
        <w:keepLines w:val="0"/>
        <w:pageBreakBefore w:val="0"/>
        <w:kinsoku/>
        <w:wordWrap/>
        <w:overflowPunct/>
        <w:topLinePunct w:val="0"/>
        <w:autoSpaceDE/>
        <w:autoSpaceDN/>
        <w:bidi w:val="0"/>
        <w:spacing w:line="560" w:lineRule="exact"/>
        <w:ind w:firstLine="640"/>
        <w:textAlignment w:val="auto"/>
        <w:rPr>
          <w:rFonts w:hint="default" w:ascii="Times New Roman" w:hAnsi="Times New Roman" w:cs="Times New Roman"/>
          <w:color w:val="auto"/>
          <w:sz w:val="32"/>
          <w:szCs w:val="32"/>
          <w:highlight w:val="none"/>
          <w:lang w:val="en-US" w:eastAsia="zh-CN"/>
        </w:rPr>
      </w:pPr>
      <w:r>
        <w:rPr>
          <w:rFonts w:hint="eastAsia" w:ascii="Times New Roman" w:hAnsi="Times New Roman" w:cs="Times New Roman"/>
          <w:b/>
          <w:bCs/>
          <w:color w:val="000000" w:themeColor="text1"/>
          <w:kern w:val="2"/>
          <w:sz w:val="32"/>
          <w:szCs w:val="32"/>
          <w:highlight w:val="none"/>
          <w:lang w:val="en-US" w:eastAsia="zh-CN"/>
          <w14:textFill>
            <w14:solidFill>
              <w14:schemeClr w14:val="tx1"/>
            </w14:solidFill>
          </w14:textFill>
        </w:rPr>
        <w:t>8.</w:t>
      </w:r>
      <w:r>
        <w:rPr>
          <w:rFonts w:hint="default" w:ascii="Times New Roman" w:hAnsi="Times New Roman" w:cs="Times New Roman"/>
          <w:b/>
          <w:bCs/>
          <w:color w:val="000000" w:themeColor="text1"/>
          <w:kern w:val="2"/>
          <w:sz w:val="32"/>
          <w:szCs w:val="32"/>
          <w:highlight w:val="none"/>
          <w:lang w:val="en-US" w:eastAsia="zh-CN"/>
          <w14:textFill>
            <w14:solidFill>
              <w14:schemeClr w14:val="tx1"/>
            </w14:solidFill>
          </w14:textFill>
        </w:rPr>
        <w:t>期初数与上年期末数对比审核。</w:t>
      </w:r>
      <w:r>
        <w:rPr>
          <w:rFonts w:hint="default" w:ascii="Times New Roman" w:hAnsi="Times New Roman" w:cs="Times New Roman"/>
          <w:color w:val="auto"/>
          <w:sz w:val="32"/>
          <w:szCs w:val="32"/>
          <w:highlight w:val="none"/>
        </w:rPr>
        <w:t>本地区、本部门资产报表</w:t>
      </w:r>
      <w:r>
        <w:rPr>
          <w:rFonts w:hint="default" w:ascii="Times New Roman" w:hAnsi="Times New Roman" w:cs="Times New Roman"/>
          <w:color w:val="auto"/>
          <w:sz w:val="32"/>
          <w:szCs w:val="32"/>
          <w:highlight w:val="none"/>
          <w:lang w:val="en-US" w:eastAsia="zh-CN"/>
        </w:rPr>
        <w:t>期初数据与上年资产</w:t>
      </w:r>
      <w:r>
        <w:rPr>
          <w:rFonts w:hint="eastAsia" w:ascii="Times New Roman" w:hAnsi="Times New Roman" w:cs="Times New Roman"/>
          <w:color w:val="auto"/>
          <w:sz w:val="32"/>
          <w:szCs w:val="32"/>
          <w:highlight w:val="none"/>
          <w:lang w:val="en-US" w:eastAsia="zh-CN"/>
        </w:rPr>
        <w:t>报表</w:t>
      </w:r>
      <w:r>
        <w:rPr>
          <w:rFonts w:hint="default" w:ascii="Times New Roman" w:hAnsi="Times New Roman" w:cs="Times New Roman"/>
          <w:color w:val="auto"/>
          <w:sz w:val="32"/>
          <w:szCs w:val="32"/>
          <w:highlight w:val="none"/>
          <w:lang w:val="en-US" w:eastAsia="zh-CN"/>
        </w:rPr>
        <w:t>期末数据是否保持一致，若有差异应详细说明原因。</w:t>
      </w:r>
    </w:p>
    <w:p w14:paraId="77EDAF30">
      <w:pPr>
        <w:pStyle w:val="3"/>
        <w:keepNext w:val="0"/>
        <w:keepLines w:val="0"/>
        <w:pageBreakBefore w:val="0"/>
        <w:kinsoku/>
        <w:wordWrap/>
        <w:overflowPunct/>
        <w:topLinePunct w:val="0"/>
        <w:autoSpaceDE/>
        <w:autoSpaceDN/>
        <w:bidi w:val="0"/>
        <w:spacing w:line="560" w:lineRule="exact"/>
        <w:ind w:firstLine="640"/>
        <w:textAlignment w:val="auto"/>
        <w:rPr>
          <w:rFonts w:hint="default" w:ascii="Times New Roman" w:hAnsi="Times New Roman" w:cs="Times New Roman"/>
          <w:color w:val="auto"/>
          <w:sz w:val="32"/>
          <w:szCs w:val="32"/>
          <w:highlight w:val="none"/>
          <w:lang w:val="en-US" w:eastAsia="zh-CN"/>
        </w:rPr>
      </w:pPr>
      <w:r>
        <w:rPr>
          <w:rFonts w:hint="eastAsia" w:ascii="Times New Roman" w:hAnsi="Times New Roman" w:cs="Times New Roman"/>
          <w:b/>
          <w:bCs/>
          <w:color w:val="auto"/>
          <w:sz w:val="32"/>
          <w:szCs w:val="32"/>
          <w:highlight w:val="none"/>
          <w:lang w:val="en-US" w:eastAsia="zh-CN"/>
        </w:rPr>
        <w:t>9.</w:t>
      </w:r>
      <w:r>
        <w:rPr>
          <w:rFonts w:hint="eastAsia" w:hAnsi="Calibri"/>
          <w:b/>
          <w:bCs/>
          <w:color w:val="auto"/>
          <w:kern w:val="2"/>
          <w:sz w:val="32"/>
          <w:szCs w:val="32"/>
          <w:lang w:val="en-US" w:eastAsia="zh-CN"/>
        </w:rPr>
        <w:t>公共基础设施等行政事业性国有资产增长变化情况。</w:t>
      </w:r>
      <w:r>
        <w:rPr>
          <w:rFonts w:hint="eastAsia" w:hAnsi="Calibri"/>
          <w:color w:val="auto"/>
          <w:kern w:val="2"/>
          <w:sz w:val="32"/>
          <w:szCs w:val="32"/>
        </w:rPr>
        <w:t>本地区、本部门</w:t>
      </w:r>
      <w:r>
        <w:rPr>
          <w:rFonts w:hint="eastAsia" w:hAnsi="Calibri"/>
          <w:color w:val="auto"/>
          <w:kern w:val="2"/>
          <w:sz w:val="32"/>
          <w:szCs w:val="32"/>
          <w:lang w:eastAsia="zh-CN"/>
        </w:rPr>
        <w:t>公共基础设施（包括交通、水利、市政、其他公共基础设施）、政府储备物资、保障性住房、文物文化资产</w:t>
      </w:r>
      <w:r>
        <w:rPr>
          <w:rFonts w:hint="eastAsia" w:hAnsi="Calibri"/>
          <w:color w:val="auto"/>
          <w:kern w:val="2"/>
          <w:sz w:val="32"/>
          <w:szCs w:val="32"/>
          <w:lang w:val="en-US" w:eastAsia="zh-CN"/>
        </w:rPr>
        <w:t>等</w:t>
      </w:r>
      <w:r>
        <w:rPr>
          <w:rFonts w:hint="eastAsia" w:hAnsi="Calibri"/>
          <w:color w:val="auto"/>
          <w:kern w:val="2"/>
          <w:sz w:val="32"/>
          <w:szCs w:val="32"/>
          <w:lang w:eastAsia="zh-CN"/>
        </w:rPr>
        <w:t>与上年变化情况分析，</w:t>
      </w:r>
      <w:r>
        <w:rPr>
          <w:rFonts w:hint="eastAsia" w:hAnsi="Calibri"/>
          <w:color w:val="auto"/>
          <w:kern w:val="2"/>
          <w:sz w:val="32"/>
          <w:szCs w:val="32"/>
          <w:lang w:val="en-US" w:eastAsia="zh-CN"/>
        </w:rPr>
        <w:t>若有较大</w:t>
      </w:r>
      <w:r>
        <w:rPr>
          <w:rFonts w:hint="eastAsia" w:hAnsi="Calibri"/>
          <w:color w:val="auto"/>
          <w:kern w:val="2"/>
          <w:sz w:val="32"/>
          <w:szCs w:val="32"/>
          <w:lang w:eastAsia="zh-CN"/>
        </w:rPr>
        <w:t>差异</w:t>
      </w:r>
      <w:r>
        <w:rPr>
          <w:rFonts w:hint="eastAsia" w:hAnsi="Calibri"/>
          <w:color w:val="auto"/>
          <w:kern w:val="2"/>
          <w:sz w:val="32"/>
          <w:szCs w:val="32"/>
          <w:lang w:val="en-US" w:eastAsia="zh-CN"/>
        </w:rPr>
        <w:t>应分类</w:t>
      </w:r>
      <w:r>
        <w:rPr>
          <w:rFonts w:hint="eastAsia" w:hAnsi="Calibri"/>
          <w:color w:val="auto"/>
          <w:kern w:val="2"/>
          <w:sz w:val="32"/>
          <w:szCs w:val="32"/>
          <w:lang w:eastAsia="zh-CN"/>
        </w:rPr>
        <w:t>说明</w:t>
      </w:r>
      <w:r>
        <w:rPr>
          <w:rFonts w:hint="eastAsia" w:hAnsi="Calibri"/>
          <w:color w:val="auto"/>
          <w:kern w:val="2"/>
          <w:sz w:val="32"/>
          <w:szCs w:val="32"/>
          <w:lang w:val="en-US" w:eastAsia="zh-CN"/>
        </w:rPr>
        <w:t>详细</w:t>
      </w:r>
      <w:r>
        <w:rPr>
          <w:rFonts w:hint="eastAsia" w:hAnsi="Calibri"/>
          <w:color w:val="auto"/>
          <w:kern w:val="2"/>
          <w:sz w:val="32"/>
          <w:szCs w:val="32"/>
          <w:lang w:eastAsia="zh-CN"/>
        </w:rPr>
        <w:t>原因。</w:t>
      </w:r>
    </w:p>
    <w:p w14:paraId="6B66012A">
      <w:pPr>
        <w:pStyle w:val="3"/>
        <w:keepNext w:val="0"/>
        <w:keepLines w:val="0"/>
        <w:pageBreakBefore w:val="0"/>
        <w:kinsoku/>
        <w:wordWrap/>
        <w:overflowPunct/>
        <w:topLinePunct w:val="0"/>
        <w:autoSpaceDE/>
        <w:autoSpaceDN/>
        <w:bidi w:val="0"/>
        <w:spacing w:line="560" w:lineRule="exact"/>
        <w:ind w:firstLine="640"/>
        <w:textAlignment w:val="auto"/>
        <w:rPr>
          <w:rFonts w:hint="default" w:ascii="Times New Roman" w:hAnsi="Times New Roman" w:cs="Times New Roman"/>
          <w:color w:val="auto"/>
          <w:sz w:val="32"/>
          <w:szCs w:val="32"/>
          <w:highlight w:val="none"/>
          <w:lang w:val="en-US" w:eastAsia="zh-CN"/>
        </w:rPr>
      </w:pPr>
      <w:r>
        <w:rPr>
          <w:rFonts w:hint="eastAsia" w:ascii="Times New Roman" w:hAnsi="Times New Roman" w:cs="Times New Roman"/>
          <w:b/>
          <w:bCs/>
          <w:color w:val="000000" w:themeColor="text1"/>
          <w:kern w:val="2"/>
          <w:sz w:val="32"/>
          <w:szCs w:val="32"/>
          <w:highlight w:val="none"/>
          <w:lang w:val="en-US" w:eastAsia="zh-CN"/>
          <w14:textFill>
            <w14:solidFill>
              <w14:schemeClr w14:val="tx1"/>
            </w14:solidFill>
          </w14:textFill>
        </w:rPr>
        <w:t>10</w:t>
      </w:r>
      <w:r>
        <w:rPr>
          <w:rFonts w:hint="default" w:ascii="Times New Roman" w:hAnsi="Times New Roman" w:cs="Times New Roman"/>
          <w:b/>
          <w:bCs/>
          <w:color w:val="000000" w:themeColor="text1"/>
          <w:kern w:val="2"/>
          <w:sz w:val="32"/>
          <w:szCs w:val="32"/>
          <w:highlight w:val="none"/>
          <w:lang w:val="en-US" w:eastAsia="zh-CN"/>
          <w14:textFill>
            <w14:solidFill>
              <w14:schemeClr w14:val="tx1"/>
            </w14:solidFill>
          </w14:textFill>
        </w:rPr>
        <w:t>.公务用车编制数等指标对比审核。</w:t>
      </w:r>
      <w:r>
        <w:rPr>
          <w:rFonts w:hint="default" w:ascii="Times New Roman" w:hAnsi="Times New Roman" w:cs="Times New Roman"/>
          <w:color w:val="auto"/>
          <w:sz w:val="32"/>
          <w:szCs w:val="32"/>
          <w:highlight w:val="none"/>
          <w:lang w:val="en-US" w:eastAsia="zh-CN"/>
        </w:rPr>
        <w:t>本地区、本部门资产报表中公务用车编制数等指标与公务用车主管部门批准或备案的车辆编制等情况是否保持一致，若有差异应详细说明原因</w:t>
      </w:r>
      <w:r>
        <w:rPr>
          <w:rFonts w:hint="eastAsia" w:ascii="Times New Roman" w:hAnsi="Times New Roman" w:cs="Times New Roman"/>
          <w:color w:val="auto"/>
          <w:sz w:val="32"/>
          <w:szCs w:val="32"/>
          <w:highlight w:val="none"/>
          <w:lang w:val="en-US" w:eastAsia="zh-CN"/>
        </w:rPr>
        <w:t>；公务用车实有数是否超过编制数，超出的应详细说明原因</w:t>
      </w:r>
      <w:r>
        <w:rPr>
          <w:rFonts w:hint="default" w:ascii="Times New Roman" w:hAnsi="Times New Roman" w:cs="Times New Roman"/>
          <w:color w:val="auto"/>
          <w:sz w:val="32"/>
          <w:szCs w:val="32"/>
          <w:highlight w:val="none"/>
          <w:lang w:val="en-US" w:eastAsia="zh-CN"/>
        </w:rPr>
        <w:t>。</w:t>
      </w:r>
    </w:p>
    <w:p w14:paraId="60B44706">
      <w:pPr>
        <w:pStyle w:val="3"/>
        <w:keepNext w:val="0"/>
        <w:keepLines w:val="0"/>
        <w:pageBreakBefore w:val="0"/>
        <w:widowControl w:val="0"/>
        <w:kinsoku/>
        <w:wordWrap/>
        <w:overflowPunct/>
        <w:topLinePunct w:val="0"/>
        <w:autoSpaceDE/>
        <w:autoSpaceDN/>
        <w:bidi w:val="0"/>
        <w:adjustRightInd w:val="0"/>
        <w:snapToGrid w:val="0"/>
        <w:spacing w:line="560" w:lineRule="exact"/>
        <w:ind w:firstLine="641"/>
        <w:textAlignment w:val="auto"/>
        <w:rPr>
          <w:rFonts w:hint="default" w:ascii="Times New Roman" w:hAnsi="Times New Roman" w:cs="Times New Roman"/>
          <w:color w:val="auto"/>
          <w:sz w:val="32"/>
          <w:szCs w:val="32"/>
          <w:highlight w:val="none"/>
          <w:lang w:val="en-US" w:eastAsia="zh-CN"/>
        </w:rPr>
      </w:pPr>
      <w:r>
        <w:rPr>
          <w:rFonts w:hint="eastAsia" w:ascii="Times New Roman" w:hAnsi="Times New Roman" w:cs="Times New Roman"/>
          <w:b/>
          <w:bCs/>
          <w:color w:val="auto"/>
          <w:sz w:val="32"/>
          <w:szCs w:val="32"/>
          <w:highlight w:val="none"/>
          <w:lang w:val="en-US" w:eastAsia="zh-CN"/>
        </w:rPr>
        <w:t>11</w:t>
      </w:r>
      <w:r>
        <w:rPr>
          <w:rFonts w:hint="default" w:ascii="Times New Roman" w:hAnsi="Times New Roman" w:eastAsia="仿宋_GB2312" w:cs="Times New Roman"/>
          <w:b/>
          <w:bCs/>
          <w:color w:val="auto"/>
          <w:sz w:val="32"/>
          <w:szCs w:val="32"/>
          <w:highlight w:val="none"/>
          <w:lang w:val="en-US" w:eastAsia="zh-CN"/>
        </w:rPr>
        <w:t>.与非税收入数据对比审核。</w:t>
      </w:r>
      <w:r>
        <w:rPr>
          <w:rFonts w:hint="default" w:ascii="Times New Roman" w:hAnsi="Times New Roman" w:cs="Times New Roman"/>
          <w:color w:val="auto"/>
          <w:sz w:val="32"/>
          <w:szCs w:val="32"/>
          <w:highlight w:val="none"/>
          <w:lang w:val="en-US" w:eastAsia="zh-CN"/>
        </w:rPr>
        <w:t>本地区、本部门资产报表中资产出租收入、资产处置收入、对外投资收益等</w:t>
      </w:r>
      <w:r>
        <w:rPr>
          <w:rFonts w:hint="eastAsia" w:ascii="Times New Roman" w:hAnsi="Times New Roman" w:cs="Times New Roman"/>
          <w:color w:val="auto"/>
          <w:sz w:val="32"/>
          <w:szCs w:val="32"/>
          <w:highlight w:val="none"/>
          <w:lang w:val="en-US" w:eastAsia="zh-CN"/>
        </w:rPr>
        <w:t>与相应</w:t>
      </w:r>
      <w:r>
        <w:rPr>
          <w:rFonts w:hint="default" w:ascii="Times New Roman" w:hAnsi="Times New Roman" w:cs="Times New Roman"/>
          <w:color w:val="auto"/>
          <w:sz w:val="32"/>
          <w:szCs w:val="32"/>
          <w:highlight w:val="none"/>
          <w:lang w:val="en-US" w:eastAsia="zh-CN"/>
        </w:rPr>
        <w:t>政府非税收入数据是否保持一致，若有差异应详细说明原因。</w:t>
      </w:r>
    </w:p>
    <w:p w14:paraId="004B5B03">
      <w:pPr>
        <w:pStyle w:val="3"/>
        <w:keepNext w:val="0"/>
        <w:keepLines w:val="0"/>
        <w:pageBreakBefore w:val="0"/>
        <w:kinsoku/>
        <w:wordWrap/>
        <w:overflowPunct/>
        <w:topLinePunct w:val="0"/>
        <w:autoSpaceDE/>
        <w:autoSpaceDN/>
        <w:bidi w:val="0"/>
        <w:spacing w:line="560" w:lineRule="exact"/>
        <w:ind w:firstLine="472" w:firstLineChars="147"/>
        <w:textAlignment w:val="auto"/>
        <w:rPr>
          <w:rFonts w:ascii="楷体_GB2312" w:hAnsi="仿宋" w:eastAsia="楷体_GB2312" w:cs="仿宋"/>
          <w:b/>
          <w:sz w:val="32"/>
          <w:szCs w:val="32"/>
        </w:rPr>
      </w:pPr>
      <w:r>
        <w:rPr>
          <w:rFonts w:hint="eastAsia" w:ascii="楷体_GB2312" w:hAnsi="仿宋" w:eastAsia="楷体_GB2312" w:cs="仿宋"/>
          <w:b/>
          <w:sz w:val="32"/>
          <w:szCs w:val="32"/>
        </w:rPr>
        <w:t>（二）对报表指标、审核公式和分析表的设置建议。</w:t>
      </w:r>
    </w:p>
    <w:p w14:paraId="3D9FCABD">
      <w:pPr>
        <w:pStyle w:val="3"/>
        <w:keepNext w:val="0"/>
        <w:keepLines w:val="0"/>
        <w:pageBreakBefore w:val="0"/>
        <w:kinsoku/>
        <w:wordWrap/>
        <w:overflowPunct/>
        <w:topLinePunct w:val="0"/>
        <w:autoSpaceDE/>
        <w:autoSpaceDN/>
        <w:bidi w:val="0"/>
        <w:spacing w:line="560" w:lineRule="exact"/>
        <w:ind w:firstLine="640"/>
        <w:textAlignment w:val="auto"/>
        <w:rPr>
          <w:rFonts w:hAnsi="仿宋"/>
          <w:sz w:val="32"/>
          <w:szCs w:val="32"/>
        </w:rPr>
      </w:pPr>
      <w:r>
        <w:rPr>
          <w:rFonts w:hint="eastAsia" w:hAnsi="仿宋"/>
          <w:sz w:val="32"/>
          <w:szCs w:val="32"/>
        </w:rPr>
        <w:t>1.对</w:t>
      </w:r>
      <w:r>
        <w:rPr>
          <w:rFonts w:hint="eastAsia" w:hAnsi="仿宋"/>
          <w:sz w:val="32"/>
          <w:szCs w:val="32"/>
          <w:lang w:eastAsia="zh-CN"/>
        </w:rPr>
        <w:t>资产</w:t>
      </w:r>
      <w:r>
        <w:rPr>
          <w:rFonts w:hint="eastAsia" w:hAnsi="仿宋"/>
          <w:sz w:val="32"/>
          <w:szCs w:val="32"/>
        </w:rPr>
        <w:t>报表指标设置的建议。</w:t>
      </w:r>
    </w:p>
    <w:p w14:paraId="065A9E93">
      <w:pPr>
        <w:pStyle w:val="3"/>
        <w:keepNext w:val="0"/>
        <w:keepLines w:val="0"/>
        <w:pageBreakBefore w:val="0"/>
        <w:kinsoku/>
        <w:wordWrap/>
        <w:overflowPunct/>
        <w:topLinePunct w:val="0"/>
        <w:autoSpaceDE/>
        <w:autoSpaceDN/>
        <w:bidi w:val="0"/>
        <w:spacing w:line="560" w:lineRule="exact"/>
        <w:ind w:firstLine="640"/>
        <w:textAlignment w:val="auto"/>
        <w:rPr>
          <w:rFonts w:hAnsi="仿宋"/>
          <w:sz w:val="32"/>
          <w:szCs w:val="32"/>
        </w:rPr>
      </w:pPr>
      <w:r>
        <w:rPr>
          <w:rFonts w:hint="eastAsia" w:hAnsi="仿宋"/>
          <w:sz w:val="32"/>
          <w:szCs w:val="32"/>
        </w:rPr>
        <w:t>2.如有不适用的审核公式，列出并说明修改意见。</w:t>
      </w:r>
    </w:p>
    <w:p w14:paraId="147640B6">
      <w:pPr>
        <w:pStyle w:val="3"/>
        <w:keepNext w:val="0"/>
        <w:keepLines w:val="0"/>
        <w:pageBreakBefore w:val="0"/>
        <w:kinsoku/>
        <w:wordWrap/>
        <w:overflowPunct/>
        <w:topLinePunct w:val="0"/>
        <w:autoSpaceDE/>
        <w:autoSpaceDN/>
        <w:bidi w:val="0"/>
        <w:spacing w:line="560" w:lineRule="exact"/>
        <w:ind w:firstLine="640"/>
        <w:textAlignment w:val="auto"/>
        <w:rPr>
          <w:rFonts w:hint="eastAsia" w:hAnsi="仿宋"/>
          <w:sz w:val="32"/>
          <w:szCs w:val="32"/>
        </w:rPr>
      </w:pPr>
      <w:r>
        <w:rPr>
          <w:rFonts w:hint="eastAsia" w:hAnsi="仿宋"/>
          <w:sz w:val="32"/>
          <w:szCs w:val="32"/>
        </w:rPr>
        <w:t>3.</w:t>
      </w:r>
      <w:r>
        <w:rPr>
          <w:rFonts w:hint="eastAsia" w:hAnsi="仿宋"/>
          <w:sz w:val="32"/>
          <w:szCs w:val="32"/>
          <w:lang w:eastAsia="zh-CN"/>
        </w:rPr>
        <w:t>对</w:t>
      </w:r>
      <w:r>
        <w:rPr>
          <w:rFonts w:hint="eastAsia" w:hAnsi="仿宋"/>
          <w:sz w:val="32"/>
          <w:szCs w:val="32"/>
        </w:rPr>
        <w:t>本地区、本部门自行增加的审核公式，列出并说明设置依据。</w:t>
      </w:r>
    </w:p>
    <w:p w14:paraId="49698E18">
      <w:pPr>
        <w:keepNext w:val="0"/>
        <w:keepLines w:val="0"/>
        <w:pageBreakBefore w:val="0"/>
        <w:kinsoku/>
        <w:wordWrap/>
        <w:overflowPunct/>
        <w:topLinePunct w:val="0"/>
        <w:autoSpaceDE/>
        <w:autoSpaceDN/>
        <w:bidi w:val="0"/>
        <w:spacing w:line="560" w:lineRule="exact"/>
        <w:ind w:firstLine="720" w:firstLineChars="225"/>
        <w:textAlignment w:val="auto"/>
        <w:rPr>
          <w:rFonts w:ascii="黑体" w:eastAsia="黑体"/>
          <w:color w:val="000000" w:themeColor="text1"/>
          <w:sz w:val="32"/>
          <w:szCs w:val="32"/>
          <w:highlight w:val="none"/>
          <w14:textFill>
            <w14:solidFill>
              <w14:schemeClr w14:val="tx1"/>
            </w14:solidFill>
          </w14:textFill>
        </w:rPr>
      </w:pPr>
      <w:r>
        <w:rPr>
          <w:rFonts w:hint="eastAsia" w:ascii="黑体" w:hAnsi="仿宋" w:eastAsia="黑体"/>
          <w:color w:val="000000" w:themeColor="text1"/>
          <w:sz w:val="32"/>
          <w:szCs w:val="32"/>
          <w:highlight w:val="none"/>
          <w:lang w:val="en-US" w:eastAsia="zh-CN"/>
          <w14:textFill>
            <w14:solidFill>
              <w14:schemeClr w14:val="tx1"/>
            </w14:solidFill>
          </w14:textFill>
        </w:rPr>
        <w:t>三</w:t>
      </w:r>
      <w:r>
        <w:rPr>
          <w:rFonts w:hint="eastAsia" w:ascii="黑体" w:hAnsi="仿宋" w:eastAsia="黑体"/>
          <w:color w:val="000000" w:themeColor="text1"/>
          <w:sz w:val="32"/>
          <w:szCs w:val="32"/>
          <w:highlight w:val="none"/>
          <w14:textFill>
            <w14:solidFill>
              <w14:schemeClr w14:val="tx1"/>
            </w14:solidFill>
          </w14:textFill>
        </w:rPr>
        <w:t>、其他需要</w:t>
      </w:r>
      <w:r>
        <w:rPr>
          <w:rFonts w:hint="eastAsia" w:ascii="黑体" w:hAnsi="仿宋" w:eastAsia="黑体"/>
          <w:color w:val="000000" w:themeColor="text1"/>
          <w:sz w:val="32"/>
          <w:szCs w:val="32"/>
          <w:highlight w:val="none"/>
          <w:lang w:val="en-US" w:eastAsia="zh-CN"/>
          <w14:textFill>
            <w14:solidFill>
              <w14:schemeClr w14:val="tx1"/>
            </w14:solidFill>
          </w14:textFill>
        </w:rPr>
        <w:t>说明</w:t>
      </w:r>
      <w:r>
        <w:rPr>
          <w:rFonts w:hint="eastAsia" w:ascii="黑体" w:hAnsi="仿宋" w:eastAsia="黑体"/>
          <w:color w:val="000000" w:themeColor="text1"/>
          <w:sz w:val="32"/>
          <w:szCs w:val="32"/>
          <w:highlight w:val="none"/>
          <w14:textFill>
            <w14:solidFill>
              <w14:schemeClr w14:val="tx1"/>
            </w14:solidFill>
          </w14:textFill>
        </w:rPr>
        <w:t>的重要事项</w:t>
      </w:r>
    </w:p>
    <w:p w14:paraId="2A6C426B">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_GB2312" w:eastAsia="仿宋_GB2312"/>
          <w:color w:val="000000" w:themeColor="text1"/>
          <w:sz w:val="32"/>
          <w:szCs w:val="32"/>
          <w:highlight w:val="none"/>
          <w14:textFill>
            <w14:solidFill>
              <w14:schemeClr w14:val="tx1"/>
            </w14:solidFill>
          </w14:textFill>
        </w:rPr>
      </w:pPr>
      <w:r>
        <w:rPr>
          <w:rFonts w:hint="eastAsia" w:ascii="楷体_GB2312" w:hAnsi="仿宋" w:eastAsia="楷体_GB2312" w:cs="仿宋"/>
          <w:b/>
          <w:kern w:val="0"/>
          <w:sz w:val="32"/>
          <w:szCs w:val="32"/>
          <w:lang w:val="en-US" w:eastAsia="zh-CN" w:bidi="ar-SA"/>
        </w:rPr>
        <w:t>（一）</w:t>
      </w:r>
      <w:r>
        <w:rPr>
          <w:rFonts w:hint="eastAsia" w:ascii="仿宋_GB2312" w:eastAsia="仿宋_GB2312"/>
          <w:color w:val="000000" w:themeColor="text1"/>
          <w:sz w:val="32"/>
          <w:szCs w:val="32"/>
          <w:highlight w:val="none"/>
          <w14:textFill>
            <w14:solidFill>
              <w14:schemeClr w14:val="tx1"/>
            </w14:solidFill>
          </w14:textFill>
        </w:rPr>
        <w:t>对本地区</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本部门</w:t>
      </w:r>
      <w:r>
        <w:rPr>
          <w:rFonts w:hint="eastAsia" w:ascii="仿宋_GB2312" w:eastAsia="仿宋_GB2312"/>
          <w:color w:val="000000" w:themeColor="text1"/>
          <w:sz w:val="32"/>
          <w:szCs w:val="32"/>
          <w:highlight w:val="none"/>
          <w:lang w:eastAsia="zh-CN"/>
          <w14:textFill>
            <w14:solidFill>
              <w14:schemeClr w14:val="tx1"/>
            </w14:solidFill>
          </w14:textFill>
        </w:rPr>
        <w:t>资</w:t>
      </w:r>
      <w:r>
        <w:rPr>
          <w:rFonts w:hint="eastAsia" w:ascii="仿宋_GB2312" w:eastAsia="仿宋_GB2312"/>
          <w:color w:val="000000" w:themeColor="text1"/>
          <w:sz w:val="32"/>
          <w:szCs w:val="32"/>
          <w:highlight w:val="none"/>
          <w14:textFill>
            <w14:solidFill>
              <w14:schemeClr w14:val="tx1"/>
            </w14:solidFill>
          </w14:textFill>
        </w:rPr>
        <w:t>产损失、权属</w:t>
      </w:r>
      <w:r>
        <w:rPr>
          <w:rFonts w:ascii="仿宋_GB2312" w:eastAsia="仿宋_GB2312"/>
          <w:color w:val="000000" w:themeColor="text1"/>
          <w:sz w:val="32"/>
          <w:szCs w:val="32"/>
          <w:highlight w:val="none"/>
          <w14:textFill>
            <w14:solidFill>
              <w14:schemeClr w14:val="tx1"/>
            </w14:solidFill>
          </w14:textFill>
        </w:rPr>
        <w:t>不清晰</w:t>
      </w:r>
      <w:r>
        <w:rPr>
          <w:rFonts w:hint="eastAsia" w:ascii="仿宋_GB2312" w:eastAsia="仿宋_GB2312"/>
          <w:color w:val="000000" w:themeColor="text1"/>
          <w:sz w:val="32"/>
          <w:szCs w:val="32"/>
          <w:highlight w:val="none"/>
          <w14:textFill>
            <w14:solidFill>
              <w14:schemeClr w14:val="tx1"/>
            </w14:solidFill>
          </w14:textFill>
        </w:rPr>
        <w:t>等重要</w:t>
      </w:r>
      <w:r>
        <w:rPr>
          <w:rFonts w:ascii="仿宋_GB2312" w:eastAsia="仿宋_GB2312"/>
          <w:color w:val="000000" w:themeColor="text1"/>
          <w:sz w:val="32"/>
          <w:szCs w:val="32"/>
          <w:highlight w:val="none"/>
          <w14:textFill>
            <w14:solidFill>
              <w14:schemeClr w14:val="tx1"/>
            </w14:solidFill>
          </w14:textFill>
        </w:rPr>
        <w:t>资产情况</w:t>
      </w:r>
      <w:r>
        <w:rPr>
          <w:rFonts w:hint="eastAsia" w:ascii="仿宋_GB2312" w:eastAsia="仿宋_GB2312"/>
          <w:color w:val="000000" w:themeColor="text1"/>
          <w:sz w:val="32"/>
          <w:szCs w:val="32"/>
          <w:highlight w:val="none"/>
          <w14:textFill>
            <w14:solidFill>
              <w14:schemeClr w14:val="tx1"/>
            </w14:solidFill>
          </w14:textFill>
        </w:rPr>
        <w:t>以及其他重要事项进行详细分析说明。</w:t>
      </w:r>
    </w:p>
    <w:p w14:paraId="51136A7A">
      <w:pPr>
        <w:keepNext w:val="0"/>
        <w:keepLines w:val="0"/>
        <w:pageBreakBefore w:val="0"/>
        <w:kinsoku/>
        <w:wordWrap/>
        <w:overflowPunct/>
        <w:topLinePunct w:val="0"/>
        <w:autoSpaceDE/>
        <w:autoSpaceDN/>
        <w:bidi w:val="0"/>
        <w:spacing w:line="560" w:lineRule="exact"/>
        <w:ind w:firstLine="643" w:firstLineChars="200"/>
        <w:textAlignment w:val="auto"/>
        <w:rPr>
          <w:color w:val="000000" w:themeColor="text1"/>
          <w:sz w:val="32"/>
          <w:szCs w:val="32"/>
          <w14:textFill>
            <w14:solidFill>
              <w14:schemeClr w14:val="tx1"/>
            </w14:solidFill>
          </w14:textFill>
        </w:rPr>
      </w:pPr>
      <w:r>
        <w:rPr>
          <w:rFonts w:hint="eastAsia" w:ascii="楷体_GB2312" w:hAnsi="仿宋" w:eastAsia="楷体_GB2312" w:cs="仿宋"/>
          <w:b/>
          <w:kern w:val="0"/>
          <w:sz w:val="32"/>
          <w:szCs w:val="32"/>
          <w:lang w:val="en-US" w:eastAsia="zh-CN" w:bidi="ar-SA"/>
        </w:rPr>
        <w:t>（二）</w:t>
      </w:r>
      <w:r>
        <w:rPr>
          <w:rFonts w:hint="eastAsia" w:ascii="仿宋_GB2312" w:eastAsia="仿宋_GB2312"/>
          <w:color w:val="000000" w:themeColor="text1"/>
          <w:sz w:val="32"/>
          <w:szCs w:val="32"/>
          <w:highlight w:val="none"/>
          <w14:textFill>
            <w14:solidFill>
              <w14:schemeClr w14:val="tx1"/>
            </w14:solidFill>
          </w14:textFill>
        </w:rPr>
        <w:t>本地区</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本部门</w:t>
      </w:r>
      <w:r>
        <w:rPr>
          <w:rFonts w:hint="eastAsia" w:ascii="仿宋_GB2312" w:eastAsia="仿宋_GB2312"/>
          <w:color w:val="000000" w:themeColor="text1"/>
          <w:sz w:val="32"/>
          <w:szCs w:val="32"/>
          <w14:textFill>
            <w14:solidFill>
              <w14:schemeClr w14:val="tx1"/>
            </w14:solidFill>
          </w14:textFill>
        </w:rPr>
        <w:t>公共基础设施</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政府储备物资、文物文化资产、保障性住房</w:t>
      </w:r>
      <w:bookmarkStart w:id="0" w:name="_GoBack"/>
      <w:bookmarkEnd w:id="0"/>
      <w:r>
        <w:rPr>
          <w:rFonts w:hint="eastAsia" w:ascii="仿宋_GB2312" w:eastAsia="仿宋_GB2312"/>
          <w:color w:val="000000" w:themeColor="text1"/>
          <w:sz w:val="32"/>
          <w:szCs w:val="32"/>
          <w14:textFill>
            <w14:solidFill>
              <w14:schemeClr w14:val="tx1"/>
            </w14:solidFill>
          </w14:textFill>
        </w:rPr>
        <w:t>数据与行业统计数据</w:t>
      </w:r>
      <w:r>
        <w:rPr>
          <w:rFonts w:hint="eastAsia" w:ascii="仿宋_GB2312" w:eastAsia="仿宋_GB2312"/>
          <w:color w:val="000000" w:themeColor="text1"/>
          <w:sz w:val="32"/>
          <w:szCs w:val="32"/>
          <w:lang w:eastAsia="zh-CN"/>
          <w14:textFill>
            <w14:solidFill>
              <w14:schemeClr w14:val="tx1"/>
            </w14:solidFill>
          </w14:textFill>
        </w:rPr>
        <w:t>的</w:t>
      </w:r>
      <w:r>
        <w:rPr>
          <w:rFonts w:hint="eastAsia" w:ascii="仿宋_GB2312" w:eastAsia="仿宋_GB2312"/>
          <w:color w:val="000000" w:themeColor="text1"/>
          <w:sz w:val="32"/>
          <w:szCs w:val="32"/>
          <w14:textFill>
            <w14:solidFill>
              <w14:schemeClr w14:val="tx1"/>
            </w14:solidFill>
          </w14:textFill>
        </w:rPr>
        <w:t>对比情况，如不一致应说明差异原因。</w:t>
      </w:r>
    </w:p>
    <w:p w14:paraId="48465048">
      <w:pPr>
        <w:pStyle w:val="3"/>
        <w:spacing w:line="360" w:lineRule="auto"/>
        <w:ind w:left="640"/>
        <w:rPr>
          <w:rFonts w:ascii="仿宋" w:hAnsi="仿宋" w:eastAsia="仿宋" w:cs="仿宋"/>
          <w:sz w:val="32"/>
          <w:szCs w:val="32"/>
        </w:rPr>
      </w:pPr>
    </w:p>
    <w:sectPr>
      <w:headerReference r:id="rId3" w:type="default"/>
      <w:footerReference r:id="rId4" w:type="default"/>
      <w:pgSz w:w="11906" w:h="16838"/>
      <w:pgMar w:top="1440" w:right="1576" w:bottom="1440" w:left="1576"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9B302A5-999A-4BDD-BA9C-F8009DD70A3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B4FDC8D7-1F41-44B9-813F-DE7EF2C70E7D}"/>
  </w:font>
  <w:font w:name="仿宋_GB2312">
    <w:panose1 w:val="02010609030101010101"/>
    <w:charset w:val="86"/>
    <w:family w:val="modern"/>
    <w:pitch w:val="default"/>
    <w:sig w:usb0="00000001" w:usb1="080E0000" w:usb2="00000000" w:usb3="00000000" w:csb0="00040000" w:csb1="00000000"/>
    <w:embedRegular r:id="rId3" w:fontKey="{A8D9B428-B92A-44B1-9633-DD44AEC097B6}"/>
  </w:font>
  <w:font w:name="方正小标宋简体">
    <w:panose1 w:val="02000000000000000000"/>
    <w:charset w:val="86"/>
    <w:family w:val="auto"/>
    <w:pitch w:val="default"/>
    <w:sig w:usb0="00000001" w:usb1="080E0000" w:usb2="00000000" w:usb3="00000000" w:csb0="00040000" w:csb1="00000000"/>
    <w:embedRegular r:id="rId4" w:fontKey="{83BD07C9-00E4-4AF6-AC54-C9B86EBF82DE}"/>
  </w:font>
  <w:font w:name="楷体">
    <w:panose1 w:val="02010609060101010101"/>
    <w:charset w:val="86"/>
    <w:family w:val="modern"/>
    <w:pitch w:val="default"/>
    <w:sig w:usb0="800002BF" w:usb1="38CF7CFA" w:usb2="00000016" w:usb3="00000000" w:csb0="00040001" w:csb1="00000000"/>
    <w:embedRegular r:id="rId5" w:fontKey="{6C969EA4-F8EA-432C-9136-A62AAD080360}"/>
  </w:font>
  <w:font w:name="仿宋">
    <w:panose1 w:val="02010609060101010101"/>
    <w:charset w:val="86"/>
    <w:family w:val="modern"/>
    <w:pitch w:val="default"/>
    <w:sig w:usb0="800002BF" w:usb1="38CF7CFA" w:usb2="00000016" w:usb3="00000000" w:csb0="00040001" w:csb1="00000000"/>
    <w:embedRegular r:id="rId6" w:fontKey="{E6F1B563-D42A-4DFE-8834-4842D9A03090}"/>
  </w:font>
  <w:font w:name="楷体_GB2312">
    <w:panose1 w:val="02010609030101010101"/>
    <w:charset w:val="86"/>
    <w:family w:val="modern"/>
    <w:pitch w:val="default"/>
    <w:sig w:usb0="00000001" w:usb1="080E0000" w:usb2="00000000" w:usb3="00000000" w:csb0="00040000" w:csb1="00000000"/>
    <w:embedRegular r:id="rId7" w:fontKey="{EA1BBFF8-24EF-4AE4-BA95-44A66F3AF7C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C4F7E">
    <w:pPr>
      <w:pStyle w:val="5"/>
      <w:jc w:val="center"/>
    </w:pPr>
    <w:r>
      <w:fldChar w:fldCharType="begin"/>
    </w:r>
    <w:r>
      <w:instrText xml:space="preserve"> PAGE   \* MERGEFORMAT </w:instrText>
    </w:r>
    <w:r>
      <w:fldChar w:fldCharType="separate"/>
    </w:r>
    <w:r>
      <w:rPr>
        <w:lang w:val="zh-CN"/>
      </w:rPr>
      <w:t>1</w:t>
    </w:r>
    <w:r>
      <w:fldChar w:fldCharType="end"/>
    </w:r>
  </w:p>
  <w:p w14:paraId="71B830F2">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66904">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hNjYwZmFmZTEzMzg4ZDU3OTU4Y2JlMWFiNmM2NTYifQ=="/>
  </w:docVars>
  <w:rsids>
    <w:rsidRoot w:val="00335991"/>
    <w:rsid w:val="000049FE"/>
    <w:rsid w:val="00025FE2"/>
    <w:rsid w:val="00060164"/>
    <w:rsid w:val="0006365D"/>
    <w:rsid w:val="00070D4D"/>
    <w:rsid w:val="00093C60"/>
    <w:rsid w:val="000A6954"/>
    <w:rsid w:val="000C0B41"/>
    <w:rsid w:val="000E1A94"/>
    <w:rsid w:val="00112231"/>
    <w:rsid w:val="001317CB"/>
    <w:rsid w:val="00135BD3"/>
    <w:rsid w:val="00186827"/>
    <w:rsid w:val="001A699D"/>
    <w:rsid w:val="001F1D3F"/>
    <w:rsid w:val="001F4EF9"/>
    <w:rsid w:val="00260835"/>
    <w:rsid w:val="002B7325"/>
    <w:rsid w:val="002E4761"/>
    <w:rsid w:val="002F1B98"/>
    <w:rsid w:val="00313106"/>
    <w:rsid w:val="00335991"/>
    <w:rsid w:val="00343D3A"/>
    <w:rsid w:val="00344E53"/>
    <w:rsid w:val="0039703D"/>
    <w:rsid w:val="003D4053"/>
    <w:rsid w:val="003F286C"/>
    <w:rsid w:val="004127EB"/>
    <w:rsid w:val="00432B1F"/>
    <w:rsid w:val="004B14B2"/>
    <w:rsid w:val="004C4497"/>
    <w:rsid w:val="004E66B6"/>
    <w:rsid w:val="00517084"/>
    <w:rsid w:val="00521A84"/>
    <w:rsid w:val="00544332"/>
    <w:rsid w:val="00591362"/>
    <w:rsid w:val="0059651B"/>
    <w:rsid w:val="005A1BA1"/>
    <w:rsid w:val="005B3DE9"/>
    <w:rsid w:val="005B7631"/>
    <w:rsid w:val="005E68B1"/>
    <w:rsid w:val="006048B6"/>
    <w:rsid w:val="00654FF0"/>
    <w:rsid w:val="00666CFD"/>
    <w:rsid w:val="00684169"/>
    <w:rsid w:val="006949CA"/>
    <w:rsid w:val="006E6AEC"/>
    <w:rsid w:val="00702284"/>
    <w:rsid w:val="00704CA6"/>
    <w:rsid w:val="007259D4"/>
    <w:rsid w:val="00725D34"/>
    <w:rsid w:val="00732BFE"/>
    <w:rsid w:val="00754EED"/>
    <w:rsid w:val="00796F97"/>
    <w:rsid w:val="0084501D"/>
    <w:rsid w:val="00846FA0"/>
    <w:rsid w:val="008E1490"/>
    <w:rsid w:val="00922278"/>
    <w:rsid w:val="00952E45"/>
    <w:rsid w:val="009636B1"/>
    <w:rsid w:val="0098376A"/>
    <w:rsid w:val="0099011D"/>
    <w:rsid w:val="009965F0"/>
    <w:rsid w:val="009A568B"/>
    <w:rsid w:val="009A678D"/>
    <w:rsid w:val="009B1B2E"/>
    <w:rsid w:val="009C2E68"/>
    <w:rsid w:val="009E32C4"/>
    <w:rsid w:val="009E6C2B"/>
    <w:rsid w:val="00A053A5"/>
    <w:rsid w:val="00A209C9"/>
    <w:rsid w:val="00A22192"/>
    <w:rsid w:val="00A52B3F"/>
    <w:rsid w:val="00A74088"/>
    <w:rsid w:val="00A75CAF"/>
    <w:rsid w:val="00AA7BFE"/>
    <w:rsid w:val="00AB43E0"/>
    <w:rsid w:val="00AB7AC4"/>
    <w:rsid w:val="00AD0838"/>
    <w:rsid w:val="00AD48AD"/>
    <w:rsid w:val="00AF54B7"/>
    <w:rsid w:val="00B0148B"/>
    <w:rsid w:val="00B10C3B"/>
    <w:rsid w:val="00B235AD"/>
    <w:rsid w:val="00B244F1"/>
    <w:rsid w:val="00B675BA"/>
    <w:rsid w:val="00B70B23"/>
    <w:rsid w:val="00B718A3"/>
    <w:rsid w:val="00B756DE"/>
    <w:rsid w:val="00BB0DA5"/>
    <w:rsid w:val="00BB25C0"/>
    <w:rsid w:val="00BC3E15"/>
    <w:rsid w:val="00C05D96"/>
    <w:rsid w:val="00C17C36"/>
    <w:rsid w:val="00C222AF"/>
    <w:rsid w:val="00C55A00"/>
    <w:rsid w:val="00C830C8"/>
    <w:rsid w:val="00C90C24"/>
    <w:rsid w:val="00C9528A"/>
    <w:rsid w:val="00CA4EA2"/>
    <w:rsid w:val="00CB2D15"/>
    <w:rsid w:val="00CE68C6"/>
    <w:rsid w:val="00CE68D6"/>
    <w:rsid w:val="00CF4439"/>
    <w:rsid w:val="00D15D43"/>
    <w:rsid w:val="00DA0CE3"/>
    <w:rsid w:val="00DD1279"/>
    <w:rsid w:val="00DE6C71"/>
    <w:rsid w:val="00DF0C51"/>
    <w:rsid w:val="00E05042"/>
    <w:rsid w:val="00E058EC"/>
    <w:rsid w:val="00E31B8A"/>
    <w:rsid w:val="00E85851"/>
    <w:rsid w:val="00EB7A21"/>
    <w:rsid w:val="00EC503B"/>
    <w:rsid w:val="00ED2A87"/>
    <w:rsid w:val="00ED5731"/>
    <w:rsid w:val="00F05080"/>
    <w:rsid w:val="00F30282"/>
    <w:rsid w:val="00F9113D"/>
    <w:rsid w:val="00FA395F"/>
    <w:rsid w:val="00FE4709"/>
    <w:rsid w:val="00FE6BEE"/>
    <w:rsid w:val="01B72FE8"/>
    <w:rsid w:val="04300CB7"/>
    <w:rsid w:val="05400E9B"/>
    <w:rsid w:val="05630DED"/>
    <w:rsid w:val="05737DA7"/>
    <w:rsid w:val="05DD0AAC"/>
    <w:rsid w:val="07C8056D"/>
    <w:rsid w:val="0803606E"/>
    <w:rsid w:val="086FDFDD"/>
    <w:rsid w:val="09445E4C"/>
    <w:rsid w:val="0A14573C"/>
    <w:rsid w:val="0AF7BDE6"/>
    <w:rsid w:val="0DA367FD"/>
    <w:rsid w:val="0F9022FF"/>
    <w:rsid w:val="12AA1829"/>
    <w:rsid w:val="17CB7957"/>
    <w:rsid w:val="18043766"/>
    <w:rsid w:val="189C500A"/>
    <w:rsid w:val="1A140B8C"/>
    <w:rsid w:val="1A3E4A12"/>
    <w:rsid w:val="1ADA5C0C"/>
    <w:rsid w:val="1C8E2CFC"/>
    <w:rsid w:val="1CE47404"/>
    <w:rsid w:val="1D1B3B15"/>
    <w:rsid w:val="1EA83571"/>
    <w:rsid w:val="2398650F"/>
    <w:rsid w:val="23F148EF"/>
    <w:rsid w:val="24B63E8F"/>
    <w:rsid w:val="24E34B4D"/>
    <w:rsid w:val="27343E39"/>
    <w:rsid w:val="27403D23"/>
    <w:rsid w:val="277CDB2B"/>
    <w:rsid w:val="2BDC8CC2"/>
    <w:rsid w:val="2C810C7E"/>
    <w:rsid w:val="2CE92C08"/>
    <w:rsid w:val="2D983B51"/>
    <w:rsid w:val="356A0CBA"/>
    <w:rsid w:val="368C3FCD"/>
    <w:rsid w:val="36E74043"/>
    <w:rsid w:val="3AB5BD6B"/>
    <w:rsid w:val="3B1D4ADF"/>
    <w:rsid w:val="3D0F0E7C"/>
    <w:rsid w:val="3D7C6550"/>
    <w:rsid w:val="3D7FBC8A"/>
    <w:rsid w:val="3DC04017"/>
    <w:rsid w:val="3DE16936"/>
    <w:rsid w:val="3E981F4A"/>
    <w:rsid w:val="3EE67CFE"/>
    <w:rsid w:val="3EF65B0D"/>
    <w:rsid w:val="3F890E9E"/>
    <w:rsid w:val="42015F7A"/>
    <w:rsid w:val="42A55E52"/>
    <w:rsid w:val="437755FB"/>
    <w:rsid w:val="46F564D1"/>
    <w:rsid w:val="46FA99D2"/>
    <w:rsid w:val="49007BB4"/>
    <w:rsid w:val="4B95391B"/>
    <w:rsid w:val="4BDC7BBB"/>
    <w:rsid w:val="4D1508E9"/>
    <w:rsid w:val="4D8455FF"/>
    <w:rsid w:val="4E1E6695"/>
    <w:rsid w:val="4E8F59DC"/>
    <w:rsid w:val="4F366B63"/>
    <w:rsid w:val="4FED1790"/>
    <w:rsid w:val="4FF26E69"/>
    <w:rsid w:val="4FFF3EE2"/>
    <w:rsid w:val="529714CD"/>
    <w:rsid w:val="54D20C7A"/>
    <w:rsid w:val="559E2E51"/>
    <w:rsid w:val="57F9262B"/>
    <w:rsid w:val="581C0110"/>
    <w:rsid w:val="58F32484"/>
    <w:rsid w:val="59536C3D"/>
    <w:rsid w:val="5976AA47"/>
    <w:rsid w:val="59CC555B"/>
    <w:rsid w:val="5C6B7BAA"/>
    <w:rsid w:val="5CEC8F21"/>
    <w:rsid w:val="5EC7117B"/>
    <w:rsid w:val="5FCC6669"/>
    <w:rsid w:val="60A52CFD"/>
    <w:rsid w:val="64CF0348"/>
    <w:rsid w:val="69B45402"/>
    <w:rsid w:val="6AEA180B"/>
    <w:rsid w:val="6B065441"/>
    <w:rsid w:val="6BA8786E"/>
    <w:rsid w:val="6C4E4249"/>
    <w:rsid w:val="6D144208"/>
    <w:rsid w:val="6FDFDA5D"/>
    <w:rsid w:val="70913962"/>
    <w:rsid w:val="71422B97"/>
    <w:rsid w:val="71FD9D4F"/>
    <w:rsid w:val="757AFE72"/>
    <w:rsid w:val="76187CCC"/>
    <w:rsid w:val="770A1366"/>
    <w:rsid w:val="773C062C"/>
    <w:rsid w:val="775FF4C9"/>
    <w:rsid w:val="777F0CA0"/>
    <w:rsid w:val="77ADC790"/>
    <w:rsid w:val="77B598FD"/>
    <w:rsid w:val="77B70831"/>
    <w:rsid w:val="77E76F2F"/>
    <w:rsid w:val="79327D46"/>
    <w:rsid w:val="7942105E"/>
    <w:rsid w:val="7B8C49D8"/>
    <w:rsid w:val="7BCA240B"/>
    <w:rsid w:val="7CFD8B18"/>
    <w:rsid w:val="7E6FCA89"/>
    <w:rsid w:val="7ED71BDD"/>
    <w:rsid w:val="7F3FFD1E"/>
    <w:rsid w:val="7F5EE705"/>
    <w:rsid w:val="7F5F3D23"/>
    <w:rsid w:val="7F7B8E36"/>
    <w:rsid w:val="7F7FD9F4"/>
    <w:rsid w:val="7F9F4FC8"/>
    <w:rsid w:val="7FFF8F28"/>
    <w:rsid w:val="878BA896"/>
    <w:rsid w:val="93BF2E66"/>
    <w:rsid w:val="9FEFCF98"/>
    <w:rsid w:val="9FF792B2"/>
    <w:rsid w:val="A5FFA20C"/>
    <w:rsid w:val="A6FFD064"/>
    <w:rsid w:val="B79AAEF0"/>
    <w:rsid w:val="BD13A10C"/>
    <w:rsid w:val="BFDCF171"/>
    <w:rsid w:val="BFDF761B"/>
    <w:rsid w:val="D5F1B7A1"/>
    <w:rsid w:val="D6BFA14A"/>
    <w:rsid w:val="DF33AF87"/>
    <w:rsid w:val="EF7FA113"/>
    <w:rsid w:val="F34BFA3F"/>
    <w:rsid w:val="F9F75A4B"/>
    <w:rsid w:val="FBA31278"/>
    <w:rsid w:val="FDAF9B61"/>
    <w:rsid w:val="FF3E2ACB"/>
    <w:rsid w:val="FFBF9013"/>
    <w:rsid w:val="FFF64885"/>
    <w:rsid w:val="FFF9CC54"/>
    <w:rsid w:val="FFFAF144"/>
    <w:rsid w:val="FFFF7B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qFormat/>
    <w:uiPriority w:val="0"/>
    <w:pPr>
      <w:jc w:val="left"/>
    </w:pPr>
  </w:style>
  <w:style w:type="paragraph" w:styleId="3">
    <w:name w:val="Body Text"/>
    <w:basedOn w:val="1"/>
    <w:qFormat/>
    <w:uiPriority w:val="0"/>
    <w:pPr>
      <w:widowControl/>
      <w:adjustRightInd w:val="0"/>
      <w:snapToGrid w:val="0"/>
      <w:spacing w:line="360" w:lineRule="auto"/>
    </w:pPr>
    <w:rPr>
      <w:rFonts w:ascii="仿宋_GB2312" w:hAnsi="宋体" w:eastAsia="仿宋_GB2312"/>
      <w:kern w:val="0"/>
      <w:sz w:val="28"/>
    </w:rPr>
  </w:style>
  <w:style w:type="paragraph" w:styleId="4">
    <w:name w:val="Balloon Text"/>
    <w:basedOn w:val="1"/>
    <w:link w:val="12"/>
    <w:qFormat/>
    <w:uiPriority w:val="0"/>
    <w:rPr>
      <w:sz w:val="18"/>
      <w:szCs w:val="18"/>
    </w:rPr>
  </w:style>
  <w:style w:type="paragraph" w:styleId="5">
    <w:name w:val="footer"/>
    <w:basedOn w:val="1"/>
    <w:link w:val="15"/>
    <w:qFormat/>
    <w:uiPriority w:val="99"/>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4"/>
    <w:qFormat/>
    <w:uiPriority w:val="0"/>
    <w:rPr>
      <w:b/>
      <w:bCs/>
    </w:rPr>
  </w:style>
  <w:style w:type="character" w:styleId="10">
    <w:name w:val="annotation reference"/>
    <w:qFormat/>
    <w:uiPriority w:val="0"/>
    <w:rPr>
      <w:sz w:val="21"/>
      <w:szCs w:val="21"/>
    </w:rPr>
  </w:style>
  <w:style w:type="character" w:customStyle="1" w:styleId="11">
    <w:name w:val="页眉 字符"/>
    <w:link w:val="6"/>
    <w:qFormat/>
    <w:uiPriority w:val="0"/>
    <w:rPr>
      <w:kern w:val="2"/>
      <w:sz w:val="18"/>
      <w:szCs w:val="18"/>
    </w:rPr>
  </w:style>
  <w:style w:type="character" w:customStyle="1" w:styleId="12">
    <w:name w:val="批注框文本 字符"/>
    <w:link w:val="4"/>
    <w:qFormat/>
    <w:uiPriority w:val="0"/>
    <w:rPr>
      <w:kern w:val="2"/>
      <w:sz w:val="18"/>
      <w:szCs w:val="18"/>
    </w:rPr>
  </w:style>
  <w:style w:type="character" w:customStyle="1" w:styleId="13">
    <w:name w:val="批注文字 字符"/>
    <w:link w:val="2"/>
    <w:qFormat/>
    <w:uiPriority w:val="0"/>
    <w:rPr>
      <w:kern w:val="2"/>
      <w:sz w:val="21"/>
      <w:szCs w:val="24"/>
    </w:rPr>
  </w:style>
  <w:style w:type="character" w:customStyle="1" w:styleId="14">
    <w:name w:val="批注主题 字符"/>
    <w:link w:val="7"/>
    <w:qFormat/>
    <w:uiPriority w:val="0"/>
    <w:rPr>
      <w:b/>
      <w:bCs/>
      <w:kern w:val="2"/>
      <w:sz w:val="21"/>
      <w:szCs w:val="24"/>
    </w:rPr>
  </w:style>
  <w:style w:type="character" w:customStyle="1" w:styleId="15">
    <w:name w:val="页脚 字符"/>
    <w:link w:val="5"/>
    <w:qFormat/>
    <w:uiPriority w:val="99"/>
    <w:rPr>
      <w:kern w:val="2"/>
      <w:sz w:val="18"/>
      <w:szCs w:val="18"/>
    </w:rPr>
  </w:style>
  <w:style w:type="paragraph" w:customStyle="1" w:styleId="16">
    <w:name w:val="修订1"/>
    <w:hidden/>
    <w:semiHidden/>
    <w:qFormat/>
    <w:uiPriority w:val="99"/>
    <w:rPr>
      <w:rFonts w:ascii="Calibri" w:hAnsi="Calibri" w:eastAsia="宋体" w:cs="Times New Roman"/>
      <w:kern w:val="2"/>
      <w:sz w:val="21"/>
      <w:szCs w:val="24"/>
      <w:lang w:val="en-US" w:eastAsia="zh-CN" w:bidi="ar-SA"/>
    </w:rPr>
  </w:style>
  <w:style w:type="paragraph" w:styleId="1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743</Words>
  <Characters>770</Characters>
  <Lines>4</Lines>
  <Paragraphs>1</Paragraphs>
  <TotalTime>6</TotalTime>
  <ScaleCrop>false</ScaleCrop>
  <LinksUpToDate>false</LinksUpToDate>
  <CharactersWithSpaces>770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2020-09-29T10:27:00Z</dcterms:created>
  <dc:creator>ThiknT450</dc:creator>
  <cp:lastModifiedBy>曹若菊</cp:lastModifiedBy>
  <cp:lastPrinted>2024-12-23T07:30:27Z</cp:lastPrinted>
  <dcterms:modified xsi:type="dcterms:W3CDTF">2024-12-23T07:30:34Z</dcterms:modified>
  <dc:title>行政事业单位资产编报说明</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B9AA6401AEDC4CBD90AC8E969FA1A252</vt:lpwstr>
  </property>
</Properties>
</file>