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ind w:firstLine="360" w:firstLineChars="100"/>
        <w:jc w:val="lef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"/>
        </w:rPr>
        <w:t>附件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6"/>
          <w:szCs w:val="36"/>
        </w:rPr>
        <w:t>：</w:t>
      </w:r>
    </w:p>
    <w:p>
      <w:pPr>
        <w:spacing w:line="50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年度行政事业性国有资产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填报说明提纲</w:t>
      </w:r>
    </w:p>
    <w:p>
      <w:pPr>
        <w:spacing w:line="500" w:lineRule="atLeast"/>
        <w:jc w:val="center"/>
        <w:rPr>
          <w:rFonts w:ascii="仿宋_GB2312" w:hAnsi="楷体" w:eastAsia="仿宋_GB2312" w:cs="楷体"/>
          <w:sz w:val="32"/>
          <w:szCs w:val="32"/>
        </w:rPr>
      </w:pPr>
    </w:p>
    <w:p>
      <w:pPr>
        <w:pStyle w:val="3"/>
        <w:spacing w:line="360" w:lineRule="auto"/>
        <w:ind w:left="64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一、数据填报口径</w:t>
      </w:r>
    </w:p>
    <w:p>
      <w:pPr>
        <w:pStyle w:val="3"/>
        <w:spacing w:line="360" w:lineRule="auto"/>
        <w:ind w:firstLine="640"/>
        <w:rPr>
          <w:rFonts w:hAnsi="仿宋"/>
          <w:sz w:val="32"/>
          <w:szCs w:val="32"/>
        </w:rPr>
      </w:pP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本地区、本部门应纳入202</w:t>
      </w:r>
      <w:r>
        <w:rPr>
          <w:rFonts w:hint="eastAsia" w:hAnsi="Calibri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年度行政事业性国有资产报</w:t>
      </w:r>
      <w:r>
        <w:rPr>
          <w:rFonts w:hint="eastAsia" w:hAnsi="Calibri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bookmarkStart w:id="0" w:name="_GoBack"/>
      <w:bookmarkEnd w:id="0"/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（以下简称资产报表）填报范围的行政事业单位共XX个，实际上报单位XX个。说明未上报单位原因。</w:t>
      </w:r>
    </w:p>
    <w:p>
      <w:pPr>
        <w:pStyle w:val="3"/>
        <w:spacing w:line="360" w:lineRule="auto"/>
        <w:ind w:left="64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二、数据审核情况</w:t>
      </w:r>
    </w:p>
    <w:p>
      <w:pPr>
        <w:pStyle w:val="3"/>
        <w:spacing w:line="360" w:lineRule="auto"/>
        <w:ind w:firstLine="472" w:firstLineChars="147"/>
        <w:rPr>
          <w:rFonts w:ascii="楷体_GB2312" w:hAnsi="仿宋" w:eastAsia="楷体_GB2312" w:cs="仿宋"/>
          <w:b/>
          <w:sz w:val="32"/>
          <w:szCs w:val="32"/>
        </w:rPr>
      </w:pPr>
      <w:r>
        <w:rPr>
          <w:rFonts w:hint="eastAsia" w:ascii="楷体_GB2312" w:hAnsi="仿宋" w:eastAsia="楷体_GB2312" w:cs="仿宋"/>
          <w:b/>
          <w:sz w:val="32"/>
          <w:szCs w:val="32"/>
        </w:rPr>
        <w:t>（一）审核情况。</w:t>
      </w:r>
    </w:p>
    <w:p>
      <w:pPr>
        <w:pStyle w:val="3"/>
        <w:spacing w:line="360" w:lineRule="auto"/>
        <w:ind w:firstLine="640"/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1.核实性审核。本地区、本部门全表审核后核实性问题提示共XX条，涉及XX个单位，说明主要原因。</w:t>
      </w:r>
    </w:p>
    <w:p>
      <w:pPr>
        <w:pStyle w:val="3"/>
        <w:spacing w:line="360" w:lineRule="auto"/>
        <w:ind w:firstLine="640"/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2.基础数据审核。本地区、本部门资产数据与上年对比，增减超过20%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且≥±100万元</w:t>
      </w: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的，说明主要原因。</w:t>
      </w:r>
    </w:p>
    <w:p>
      <w:pPr>
        <w:pStyle w:val="3"/>
        <w:spacing w:line="360" w:lineRule="auto"/>
        <w:ind w:firstLine="640"/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3.与</w:t>
      </w:r>
      <w:r>
        <w:rPr>
          <w:rFonts w:hint="eastAsia" w:hAnsi="Calibri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中央部门所属企业名录</w:t>
      </w: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对比审核。对外投资情况表</w:t>
      </w:r>
      <w:r>
        <w:rPr>
          <w:rFonts w:hint="eastAsia" w:hAnsi="Calibri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被投资单位与</w:t>
      </w:r>
      <w:r>
        <w:rPr>
          <w:rFonts w:hint="eastAsia" w:hAnsi="Calibri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中央部门所属企业名录</w:t>
      </w: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是否一致，若有差异说明原因。</w:t>
      </w:r>
    </w:p>
    <w:p>
      <w:pPr>
        <w:pStyle w:val="3"/>
        <w:spacing w:line="360" w:lineRule="auto"/>
        <w:ind w:firstLine="640"/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4.与政府部门财务报告对比审核。本地区、本部门报送资产报表的单位中，有XX个单位未纳入政府部门财务报告；纳入本地区、本部门政府部门财务报告的行政事业单位（不含企业化管理事业单位）有XX个未报送资产报表，说明主要原因。</w:t>
      </w:r>
    </w:p>
    <w:p>
      <w:pPr>
        <w:pStyle w:val="3"/>
        <w:spacing w:line="360" w:lineRule="auto"/>
        <w:ind w:firstLine="640"/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5.与部门决算对比审核。本地区、本部门资产报表</w:t>
      </w:r>
      <w:r>
        <w:rPr>
          <w:rFonts w:hint="eastAsia" w:hAnsi="Calibri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房屋、车辆、单价100万元（含）以上的设备</w:t>
      </w:r>
      <w:r>
        <w:rPr>
          <w:rFonts w:hint="eastAsia" w:hAnsi="Calibri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等重点资产</w:t>
      </w:r>
      <w:r>
        <w:rPr>
          <w:rFonts w:hint="eastAsia" w:hAnsi="Calibr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，与部门决算相关数据对比，若有差异说明原因。</w:t>
      </w:r>
    </w:p>
    <w:p>
      <w:pPr>
        <w:pStyle w:val="3"/>
        <w:spacing w:line="360" w:lineRule="auto"/>
        <w:ind w:firstLine="640"/>
        <w:rPr>
          <w:rFonts w:hint="eastAsia" w:hAnsi="Calibri"/>
          <w:color w:val="auto"/>
          <w:kern w:val="2"/>
          <w:sz w:val="32"/>
          <w:szCs w:val="32"/>
        </w:rPr>
      </w:pPr>
      <w:r>
        <w:rPr>
          <w:rFonts w:hint="eastAsia" w:hAnsi="Calibri"/>
          <w:color w:val="auto"/>
          <w:kern w:val="2"/>
          <w:sz w:val="32"/>
          <w:szCs w:val="32"/>
          <w:lang w:val="en-US" w:eastAsia="zh-CN"/>
        </w:rPr>
        <w:t>6.公共基础设施等行政事业性国有资产增长变化情况。</w:t>
      </w:r>
      <w:r>
        <w:rPr>
          <w:rFonts w:hint="eastAsia" w:hAnsi="Calibri"/>
          <w:color w:val="auto"/>
          <w:kern w:val="2"/>
          <w:sz w:val="32"/>
          <w:szCs w:val="32"/>
        </w:rPr>
        <w:t>本地区、本部门</w:t>
      </w:r>
      <w:r>
        <w:rPr>
          <w:rFonts w:hint="eastAsia" w:hAnsi="Calibri"/>
          <w:color w:val="auto"/>
          <w:kern w:val="2"/>
          <w:sz w:val="32"/>
          <w:szCs w:val="32"/>
          <w:lang w:eastAsia="zh-CN"/>
        </w:rPr>
        <w:t>公共基础设施（包括交通、水利、市政、其他公共基础设施）、政府储备物资、保障性住房、文物文化资产与上年变化情况分析，变化差异较大的说明原因。</w:t>
      </w:r>
    </w:p>
    <w:p>
      <w:pPr>
        <w:pStyle w:val="3"/>
        <w:spacing w:line="360" w:lineRule="auto"/>
        <w:ind w:firstLine="472" w:firstLineChars="147"/>
        <w:rPr>
          <w:rFonts w:ascii="楷体_GB2312" w:hAnsi="仿宋" w:eastAsia="楷体_GB2312" w:cs="仿宋"/>
          <w:b/>
          <w:sz w:val="32"/>
          <w:szCs w:val="32"/>
        </w:rPr>
      </w:pPr>
      <w:r>
        <w:rPr>
          <w:rFonts w:hint="eastAsia" w:ascii="楷体_GB2312" w:hAnsi="仿宋" w:eastAsia="楷体_GB2312" w:cs="仿宋"/>
          <w:b/>
          <w:sz w:val="32"/>
          <w:szCs w:val="32"/>
        </w:rPr>
        <w:t>（二）对报表指标、审核公式和分析表的设置建议。</w:t>
      </w:r>
    </w:p>
    <w:p>
      <w:pPr>
        <w:pStyle w:val="3"/>
        <w:spacing w:line="360" w:lineRule="auto"/>
        <w:ind w:firstLine="64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1.对</w:t>
      </w:r>
      <w:r>
        <w:rPr>
          <w:rFonts w:hint="eastAsia" w:hAnsi="仿宋"/>
          <w:sz w:val="32"/>
          <w:szCs w:val="32"/>
          <w:lang w:eastAsia="zh-CN"/>
        </w:rPr>
        <w:t>资产</w:t>
      </w:r>
      <w:r>
        <w:rPr>
          <w:rFonts w:hint="eastAsia" w:hAnsi="仿宋"/>
          <w:sz w:val="32"/>
          <w:szCs w:val="32"/>
        </w:rPr>
        <w:t>报表指标设置的建议。</w:t>
      </w:r>
    </w:p>
    <w:p>
      <w:pPr>
        <w:pStyle w:val="3"/>
        <w:spacing w:line="360" w:lineRule="auto"/>
        <w:ind w:firstLine="64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2.如有不适用的审核公式，列出并说明修改意见。</w:t>
      </w:r>
    </w:p>
    <w:p>
      <w:pPr>
        <w:pStyle w:val="3"/>
        <w:spacing w:line="360" w:lineRule="auto"/>
        <w:ind w:firstLine="640"/>
        <w:rPr>
          <w:rFonts w:hint="eastAsia"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3.</w:t>
      </w:r>
      <w:r>
        <w:rPr>
          <w:rFonts w:hint="eastAsia" w:hAnsi="仿宋"/>
          <w:sz w:val="32"/>
          <w:szCs w:val="32"/>
          <w:lang w:eastAsia="zh-CN"/>
        </w:rPr>
        <w:t>对</w:t>
      </w:r>
      <w:r>
        <w:rPr>
          <w:rFonts w:hint="eastAsia" w:hAnsi="仿宋"/>
          <w:sz w:val="32"/>
          <w:szCs w:val="32"/>
        </w:rPr>
        <w:t>本地区、本部门自行增加的审核公式，列出并说明设置依据。</w:t>
      </w:r>
    </w:p>
    <w:p>
      <w:pPr>
        <w:ind w:firstLine="720" w:firstLineChars="225"/>
        <w:rPr>
          <w:rFonts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、其他需要</w:t>
      </w: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说明</w:t>
      </w: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的重要事项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本部门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资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产损失、权属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不清晰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等重要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资产情况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以及其他重要事项进行详细分析说明。</w:t>
      </w:r>
    </w:p>
    <w:p>
      <w:pPr>
        <w:spacing w:line="360" w:lineRule="auto"/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本部门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公共基础设施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政府储备物资、文物文化资产、保障性住房数据与行业统计数据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对比情况，如不一致应说明差异原因。</w:t>
      </w:r>
    </w:p>
    <w:p>
      <w:pPr>
        <w:pStyle w:val="3"/>
        <w:spacing w:line="360" w:lineRule="auto"/>
        <w:ind w:left="640"/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NjYwZmFmZTEzMzg4ZDU3OTU4Y2JlMWFiNmM2NTYifQ=="/>
  </w:docVars>
  <w:rsids>
    <w:rsidRoot w:val="00335991"/>
    <w:rsid w:val="000049FE"/>
    <w:rsid w:val="00025FE2"/>
    <w:rsid w:val="00060164"/>
    <w:rsid w:val="0006365D"/>
    <w:rsid w:val="00070D4D"/>
    <w:rsid w:val="00093C60"/>
    <w:rsid w:val="000A6954"/>
    <w:rsid w:val="000C0B41"/>
    <w:rsid w:val="000E1A94"/>
    <w:rsid w:val="00112231"/>
    <w:rsid w:val="001317CB"/>
    <w:rsid w:val="00135BD3"/>
    <w:rsid w:val="00186827"/>
    <w:rsid w:val="001A699D"/>
    <w:rsid w:val="001F1D3F"/>
    <w:rsid w:val="001F4EF9"/>
    <w:rsid w:val="00260835"/>
    <w:rsid w:val="002B7325"/>
    <w:rsid w:val="002E4761"/>
    <w:rsid w:val="002F1B98"/>
    <w:rsid w:val="00313106"/>
    <w:rsid w:val="00335991"/>
    <w:rsid w:val="00343D3A"/>
    <w:rsid w:val="00344E53"/>
    <w:rsid w:val="0039703D"/>
    <w:rsid w:val="003D4053"/>
    <w:rsid w:val="003F286C"/>
    <w:rsid w:val="004127EB"/>
    <w:rsid w:val="00432B1F"/>
    <w:rsid w:val="004B14B2"/>
    <w:rsid w:val="004C4497"/>
    <w:rsid w:val="004E66B6"/>
    <w:rsid w:val="00517084"/>
    <w:rsid w:val="00521A84"/>
    <w:rsid w:val="00544332"/>
    <w:rsid w:val="00591362"/>
    <w:rsid w:val="0059651B"/>
    <w:rsid w:val="005A1BA1"/>
    <w:rsid w:val="005B3DE9"/>
    <w:rsid w:val="005B7631"/>
    <w:rsid w:val="005E68B1"/>
    <w:rsid w:val="006048B6"/>
    <w:rsid w:val="00654FF0"/>
    <w:rsid w:val="00666CFD"/>
    <w:rsid w:val="00684169"/>
    <w:rsid w:val="006949CA"/>
    <w:rsid w:val="006E6AEC"/>
    <w:rsid w:val="00702284"/>
    <w:rsid w:val="00704CA6"/>
    <w:rsid w:val="007259D4"/>
    <w:rsid w:val="00725D34"/>
    <w:rsid w:val="00732BFE"/>
    <w:rsid w:val="00754EED"/>
    <w:rsid w:val="00796F97"/>
    <w:rsid w:val="0084501D"/>
    <w:rsid w:val="00846FA0"/>
    <w:rsid w:val="008E1490"/>
    <w:rsid w:val="00922278"/>
    <w:rsid w:val="00952E45"/>
    <w:rsid w:val="009636B1"/>
    <w:rsid w:val="0098376A"/>
    <w:rsid w:val="0099011D"/>
    <w:rsid w:val="009965F0"/>
    <w:rsid w:val="009A568B"/>
    <w:rsid w:val="009A678D"/>
    <w:rsid w:val="009B1B2E"/>
    <w:rsid w:val="009C2E68"/>
    <w:rsid w:val="009E32C4"/>
    <w:rsid w:val="009E6C2B"/>
    <w:rsid w:val="00A053A5"/>
    <w:rsid w:val="00A209C9"/>
    <w:rsid w:val="00A22192"/>
    <w:rsid w:val="00A52B3F"/>
    <w:rsid w:val="00A74088"/>
    <w:rsid w:val="00A75CAF"/>
    <w:rsid w:val="00AA7BFE"/>
    <w:rsid w:val="00AB43E0"/>
    <w:rsid w:val="00AB7AC4"/>
    <w:rsid w:val="00AD0838"/>
    <w:rsid w:val="00AD48AD"/>
    <w:rsid w:val="00AF54B7"/>
    <w:rsid w:val="00B0148B"/>
    <w:rsid w:val="00B10C3B"/>
    <w:rsid w:val="00B235AD"/>
    <w:rsid w:val="00B244F1"/>
    <w:rsid w:val="00B675BA"/>
    <w:rsid w:val="00B70B23"/>
    <w:rsid w:val="00B718A3"/>
    <w:rsid w:val="00B756DE"/>
    <w:rsid w:val="00BB0DA5"/>
    <w:rsid w:val="00BB25C0"/>
    <w:rsid w:val="00BC3E15"/>
    <w:rsid w:val="00C05D96"/>
    <w:rsid w:val="00C17C36"/>
    <w:rsid w:val="00C222AF"/>
    <w:rsid w:val="00C55A00"/>
    <w:rsid w:val="00C830C8"/>
    <w:rsid w:val="00C90C24"/>
    <w:rsid w:val="00C9528A"/>
    <w:rsid w:val="00CA4EA2"/>
    <w:rsid w:val="00CB2D15"/>
    <w:rsid w:val="00CE68C6"/>
    <w:rsid w:val="00CE68D6"/>
    <w:rsid w:val="00CF4439"/>
    <w:rsid w:val="00D15D43"/>
    <w:rsid w:val="00DA0CE3"/>
    <w:rsid w:val="00DD1279"/>
    <w:rsid w:val="00DE6C71"/>
    <w:rsid w:val="00DF0C51"/>
    <w:rsid w:val="00E05042"/>
    <w:rsid w:val="00E058EC"/>
    <w:rsid w:val="00E31B8A"/>
    <w:rsid w:val="00E85851"/>
    <w:rsid w:val="00EB7A21"/>
    <w:rsid w:val="00EC503B"/>
    <w:rsid w:val="00ED2A87"/>
    <w:rsid w:val="00ED5731"/>
    <w:rsid w:val="00F05080"/>
    <w:rsid w:val="00F30282"/>
    <w:rsid w:val="00F9113D"/>
    <w:rsid w:val="00FA395F"/>
    <w:rsid w:val="00FE4709"/>
    <w:rsid w:val="00FE6BEE"/>
    <w:rsid w:val="01B72FE8"/>
    <w:rsid w:val="04300CB7"/>
    <w:rsid w:val="05400E9B"/>
    <w:rsid w:val="05630DED"/>
    <w:rsid w:val="05737DA7"/>
    <w:rsid w:val="05DD0AAC"/>
    <w:rsid w:val="07C8056D"/>
    <w:rsid w:val="0803606E"/>
    <w:rsid w:val="086FDFDD"/>
    <w:rsid w:val="09445E4C"/>
    <w:rsid w:val="0A14573C"/>
    <w:rsid w:val="0AF7BDE6"/>
    <w:rsid w:val="12AA1829"/>
    <w:rsid w:val="17CB7957"/>
    <w:rsid w:val="18043766"/>
    <w:rsid w:val="189C500A"/>
    <w:rsid w:val="1A140B8C"/>
    <w:rsid w:val="1A3E4A12"/>
    <w:rsid w:val="1ADA5C0C"/>
    <w:rsid w:val="1C8E2CFC"/>
    <w:rsid w:val="1CE47404"/>
    <w:rsid w:val="1D1B3B15"/>
    <w:rsid w:val="1EA83571"/>
    <w:rsid w:val="2398650F"/>
    <w:rsid w:val="23F148EF"/>
    <w:rsid w:val="24B63E8F"/>
    <w:rsid w:val="24E34B4D"/>
    <w:rsid w:val="27343E39"/>
    <w:rsid w:val="27403D23"/>
    <w:rsid w:val="277CDB2B"/>
    <w:rsid w:val="2BDC8CC2"/>
    <w:rsid w:val="2C810C7E"/>
    <w:rsid w:val="2CE92C08"/>
    <w:rsid w:val="2D983B51"/>
    <w:rsid w:val="356A0CBA"/>
    <w:rsid w:val="368C3FCD"/>
    <w:rsid w:val="36E74043"/>
    <w:rsid w:val="3AB5BD6B"/>
    <w:rsid w:val="3B1D4ADF"/>
    <w:rsid w:val="3D0F0E7C"/>
    <w:rsid w:val="3D7C6550"/>
    <w:rsid w:val="3D7FBC8A"/>
    <w:rsid w:val="3DC04017"/>
    <w:rsid w:val="3DE16936"/>
    <w:rsid w:val="3E981F4A"/>
    <w:rsid w:val="3EE67CFE"/>
    <w:rsid w:val="3EF65B0D"/>
    <w:rsid w:val="3F890E9E"/>
    <w:rsid w:val="42015F7A"/>
    <w:rsid w:val="42A55E52"/>
    <w:rsid w:val="437755FB"/>
    <w:rsid w:val="46F564D1"/>
    <w:rsid w:val="46FA99D2"/>
    <w:rsid w:val="49007BB4"/>
    <w:rsid w:val="4B95391B"/>
    <w:rsid w:val="4BDC7BBB"/>
    <w:rsid w:val="4D1508E9"/>
    <w:rsid w:val="4D8455FF"/>
    <w:rsid w:val="4E1E6695"/>
    <w:rsid w:val="4E8F59DC"/>
    <w:rsid w:val="4F366B63"/>
    <w:rsid w:val="4FED1790"/>
    <w:rsid w:val="4FF26E69"/>
    <w:rsid w:val="4FFF3EE2"/>
    <w:rsid w:val="529714CD"/>
    <w:rsid w:val="54D20C7A"/>
    <w:rsid w:val="559E2E51"/>
    <w:rsid w:val="57F9262B"/>
    <w:rsid w:val="581C0110"/>
    <w:rsid w:val="58F32484"/>
    <w:rsid w:val="59536C3D"/>
    <w:rsid w:val="5976AA47"/>
    <w:rsid w:val="59CC555B"/>
    <w:rsid w:val="5C6B7BAA"/>
    <w:rsid w:val="5CEC8F21"/>
    <w:rsid w:val="5EC7117B"/>
    <w:rsid w:val="5FCC6669"/>
    <w:rsid w:val="60A52CFD"/>
    <w:rsid w:val="64CF0348"/>
    <w:rsid w:val="69B45402"/>
    <w:rsid w:val="6B065441"/>
    <w:rsid w:val="6BA8786E"/>
    <w:rsid w:val="6C4E4249"/>
    <w:rsid w:val="6D144208"/>
    <w:rsid w:val="6FDFDA5D"/>
    <w:rsid w:val="70913962"/>
    <w:rsid w:val="71422B97"/>
    <w:rsid w:val="71FD9D4F"/>
    <w:rsid w:val="757AFE72"/>
    <w:rsid w:val="76187CCC"/>
    <w:rsid w:val="770A1366"/>
    <w:rsid w:val="773C062C"/>
    <w:rsid w:val="775FF4C9"/>
    <w:rsid w:val="777F0CA0"/>
    <w:rsid w:val="77ADC790"/>
    <w:rsid w:val="77B598FD"/>
    <w:rsid w:val="77B70831"/>
    <w:rsid w:val="77E76F2F"/>
    <w:rsid w:val="79327D46"/>
    <w:rsid w:val="7942105E"/>
    <w:rsid w:val="7B8C49D8"/>
    <w:rsid w:val="7BCA240B"/>
    <w:rsid w:val="7CFD8B18"/>
    <w:rsid w:val="7E6FCA89"/>
    <w:rsid w:val="7ED71BDD"/>
    <w:rsid w:val="7F3FFD1E"/>
    <w:rsid w:val="7F5EE705"/>
    <w:rsid w:val="7F5F3D23"/>
    <w:rsid w:val="7F7B8E36"/>
    <w:rsid w:val="7F7FD9F4"/>
    <w:rsid w:val="7F9F4FC8"/>
    <w:rsid w:val="7FFF8F28"/>
    <w:rsid w:val="878BA896"/>
    <w:rsid w:val="93BF2E66"/>
    <w:rsid w:val="9FEFCF98"/>
    <w:rsid w:val="9FF792B2"/>
    <w:rsid w:val="A5FFA20C"/>
    <w:rsid w:val="A6FFD064"/>
    <w:rsid w:val="B79AAEF0"/>
    <w:rsid w:val="BD13A10C"/>
    <w:rsid w:val="BFDCF171"/>
    <w:rsid w:val="BFDF761B"/>
    <w:rsid w:val="D5F1B7A1"/>
    <w:rsid w:val="D6BFA14A"/>
    <w:rsid w:val="DF33AF87"/>
    <w:rsid w:val="EF7FA113"/>
    <w:rsid w:val="F34BFA3F"/>
    <w:rsid w:val="F9F75A4B"/>
    <w:rsid w:val="FBA31278"/>
    <w:rsid w:val="FDAF9B61"/>
    <w:rsid w:val="FF3E2ACB"/>
    <w:rsid w:val="FFBF9013"/>
    <w:rsid w:val="FFF64885"/>
    <w:rsid w:val="FFF9CC54"/>
    <w:rsid w:val="FFFAF144"/>
    <w:rsid w:val="FFFF7B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link w:val="7"/>
    <w:qFormat/>
    <w:uiPriority w:val="0"/>
    <w:rPr>
      <w:b/>
      <w:bCs/>
      <w:kern w:val="2"/>
      <w:sz w:val="21"/>
      <w:szCs w:val="24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743</Words>
  <Characters>770</Characters>
  <Lines>4</Lines>
  <Paragraphs>1</Paragraphs>
  <TotalTime>0</TotalTime>
  <ScaleCrop>false</ScaleCrop>
  <LinksUpToDate>false</LinksUpToDate>
  <CharactersWithSpaces>770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2020-09-29T10:27:00Z</dcterms:created>
  <dc:creator>ThiknT450</dc:creator>
  <cp:lastModifiedBy>zhangzh</cp:lastModifiedBy>
  <cp:lastPrinted>2023-10-18T19:01:00Z</cp:lastPrinted>
  <dcterms:modified xsi:type="dcterms:W3CDTF">2024-11-27T11:23:46Z</dcterms:modified>
  <dc:title>行政事业单位资产编报说明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B9AA6401AEDC4CBD90AC8E969FA1A252</vt:lpwstr>
  </property>
</Properties>
</file>