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b w:val="0"/>
          <w:bCs w:val="0"/>
          <w:sz w:val="32"/>
          <w:szCs w:val="32"/>
          <w:lang w:eastAsia="zh"/>
        </w:rPr>
      </w:pPr>
      <w:bookmarkStart w:id="0" w:name="_GoBack"/>
      <w:bookmarkEnd w:id="0"/>
      <w:r>
        <w:rPr>
          <w:rFonts w:hint="default" w:ascii="Times New Roman" w:hAnsi="Times New Roman" w:eastAsia="黑体"/>
          <w:b w:val="0"/>
          <w:bCs w:val="0"/>
          <w:sz w:val="32"/>
          <w:szCs w:val="32"/>
          <w:lang w:eastAsia="zh"/>
        </w:rPr>
        <w:t>附件1</w:t>
      </w:r>
    </w:p>
    <w:p>
      <w:pPr>
        <w:spacing w:line="560" w:lineRule="exact"/>
        <w:rPr>
          <w:rFonts w:hint="eastAsia" w:ascii="黑体" w:hAnsi="黑体" w:eastAsia="黑体"/>
          <w:b/>
          <w:bCs/>
          <w:sz w:val="44"/>
          <w:szCs w:val="44"/>
          <w:lang w:eastAsia="zh"/>
        </w:rPr>
      </w:pPr>
    </w:p>
    <w:p>
      <w:pPr>
        <w:adjustRightInd w:val="0"/>
        <w:snapToGrid w:val="0"/>
        <w:spacing w:line="560" w:lineRule="exact"/>
        <w:jc w:val="center"/>
        <w:rPr>
          <w:rFonts w:hint="default" w:ascii="Times New Roman" w:hAnsi="Times New Roman" w:eastAsia="方正大标宋简体"/>
          <w:sz w:val="44"/>
          <w:szCs w:val="44"/>
        </w:rPr>
      </w:pPr>
      <w:r>
        <w:rPr>
          <w:rFonts w:hint="default" w:ascii="Times New Roman" w:hAnsi="Times New Roman" w:eastAsia="方正大标宋简体"/>
          <w:sz w:val="44"/>
          <w:szCs w:val="44"/>
        </w:rPr>
        <w:t>上海证券交易所公开募集基础设施证券</w:t>
      </w:r>
    </w:p>
    <w:p>
      <w:pPr>
        <w:adjustRightInd w:val="0"/>
        <w:snapToGrid w:val="0"/>
        <w:spacing w:line="560" w:lineRule="exact"/>
        <w:jc w:val="center"/>
        <w:rPr>
          <w:rFonts w:hint="default" w:ascii="Times New Roman" w:hAnsi="Times New Roman" w:eastAsia="方正大标宋简体"/>
          <w:sz w:val="44"/>
          <w:szCs w:val="44"/>
        </w:rPr>
      </w:pPr>
      <w:r>
        <w:rPr>
          <w:rFonts w:hint="default" w:ascii="Times New Roman" w:hAnsi="Times New Roman" w:eastAsia="方正大标宋简体"/>
          <w:sz w:val="44"/>
          <w:szCs w:val="44"/>
        </w:rPr>
        <w:t>投资基金（REITs）规则适用指引第6号</w:t>
      </w:r>
    </w:p>
    <w:p>
      <w:pPr>
        <w:adjustRightInd w:val="0"/>
        <w:snapToGrid w:val="0"/>
        <w:spacing w:line="560" w:lineRule="exact"/>
        <w:jc w:val="center"/>
        <w:rPr>
          <w:rFonts w:hint="default" w:ascii="Times New Roman" w:hAnsi="Times New Roman" w:eastAsia="方正大标宋简体"/>
          <w:sz w:val="44"/>
          <w:szCs w:val="44"/>
        </w:rPr>
      </w:pPr>
      <w:r>
        <w:rPr>
          <w:rFonts w:hint="default" w:ascii="Times New Roman" w:hAnsi="Times New Roman" w:eastAsia="方正大标宋简体"/>
          <w:sz w:val="44"/>
          <w:szCs w:val="44"/>
        </w:rPr>
        <w:t>——年度报告（试行）</w:t>
      </w:r>
    </w:p>
    <w:p>
      <w:pPr>
        <w:spacing w:line="560" w:lineRule="exact"/>
        <w:rPr>
          <w:rFonts w:ascii="黑体" w:hAnsi="黑体" w:eastAsia="黑体"/>
          <w:sz w:val="44"/>
          <w:szCs w:val="44"/>
        </w:rPr>
      </w:pPr>
    </w:p>
    <w:p>
      <w:pPr>
        <w:pStyle w:val="4"/>
        <w:rPr>
          <w:rFonts w:hint="default"/>
          <w:szCs w:val="32"/>
        </w:rPr>
      </w:pPr>
      <w:r>
        <w:rPr>
          <w:szCs w:val="32"/>
        </w:rPr>
        <w:t>第一章 总</w:t>
      </w:r>
      <w:r>
        <w:rPr>
          <w:rFonts w:hint="eastAsia"/>
          <w:szCs w:val="32"/>
          <w:lang w:eastAsia="zh"/>
        </w:rPr>
        <w:t xml:space="preserve"> </w:t>
      </w:r>
      <w:r>
        <w:rPr>
          <w:szCs w:val="32"/>
        </w:rPr>
        <w:t>则</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kern w:val="0"/>
          <w:sz w:val="32"/>
          <w:szCs w:val="32"/>
        </w:rPr>
      </w:pPr>
      <w:r>
        <w:rPr>
          <w:rFonts w:hint="eastAsia" w:ascii="仿宋_GB2312" w:hAnsi="宋体" w:eastAsia="仿宋_GB2312" w:cs="宋体"/>
          <w:b/>
          <w:bCs/>
          <w:color w:val="000000"/>
          <w:kern w:val="0"/>
          <w:sz w:val="32"/>
          <w:szCs w:val="32"/>
        </w:rPr>
        <w:t>第一条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kern w:val="0"/>
          <w:sz w:val="32"/>
          <w:szCs w:val="32"/>
        </w:rPr>
        <w:t>为了规范公开募集基础设施证券投资基金（以下简称基础设施基金）的年度报告信息披露，保护投资者合法权益，根据《</w:t>
      </w:r>
      <w:r>
        <w:rPr>
          <w:rFonts w:eastAsia="仿宋_GB2312"/>
          <w:kern w:val="0"/>
          <w:sz w:val="32"/>
          <w:szCs w:val="32"/>
        </w:rPr>
        <w:t>上海证券交易所公开募集基础设施证券投资基金（REITs）业务办法（试行）</w:t>
      </w:r>
      <w:r>
        <w:rPr>
          <w:rFonts w:hint="eastAsia" w:ascii="仿宋_GB2312" w:hAnsi="仿宋_GB2312" w:eastAsia="仿宋_GB2312" w:cs="仿宋_GB2312"/>
          <w:kern w:val="0"/>
          <w:sz w:val="32"/>
          <w:szCs w:val="32"/>
        </w:rPr>
        <w:t>》（以下简称《基金业务办法》）等规定，制定本指引。</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宋体" w:eastAsia="仿宋_GB2312" w:cs="宋体"/>
          <w:b/>
          <w:bCs/>
          <w:color w:val="000000"/>
          <w:kern w:val="0"/>
          <w:sz w:val="32"/>
          <w:szCs w:val="32"/>
        </w:rPr>
        <w:t>第二条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Cs/>
          <w:kern w:val="0"/>
          <w:sz w:val="32"/>
          <w:szCs w:val="32"/>
        </w:rPr>
        <w:t>本指引适用于基础设施基金在上海证券交易所（以下简称本所）上市交易期间的年度报告信息披露事宜。</w:t>
      </w:r>
      <w:r>
        <w:rPr>
          <w:rFonts w:hint="eastAsia" w:ascii="仿宋_GB2312" w:hAnsi="仿宋_GB2312" w:eastAsia="仿宋_GB2312" w:cs="仿宋_GB2312"/>
          <w:kern w:val="0"/>
          <w:sz w:val="32"/>
          <w:szCs w:val="32"/>
        </w:rPr>
        <w:t>本所其他业务规则对基础设施基金年度报告信息披露事宜另有规定的，从其规定。</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kern w:val="0"/>
          <w:sz w:val="32"/>
          <w:szCs w:val="32"/>
        </w:rPr>
      </w:pPr>
      <w:r>
        <w:rPr>
          <w:rFonts w:hint="eastAsia" w:ascii="仿宋_GB2312" w:hAnsi="宋体" w:eastAsia="仿宋_GB2312" w:cs="宋体"/>
          <w:b/>
          <w:bCs w:val="0"/>
          <w:color w:val="000000"/>
          <w:kern w:val="0"/>
          <w:sz w:val="32"/>
          <w:szCs w:val="32"/>
        </w:rPr>
        <w:t>第三条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基金管理人</w:t>
      </w:r>
      <w:r>
        <w:rPr>
          <w:rFonts w:hint="eastAsia" w:ascii="仿宋_GB2312" w:hAnsi="仿宋_GB2312" w:eastAsia="仿宋_GB2312" w:cs="仿宋_GB2312"/>
          <w:sz w:val="32"/>
          <w:szCs w:val="32"/>
        </w:rPr>
        <w:t>、基金托管人等信息披露义务人</w:t>
      </w:r>
      <w:r>
        <w:rPr>
          <w:rFonts w:hint="eastAsia" w:ascii="仿宋_GB2312" w:hAnsi="仿宋_GB2312" w:eastAsia="仿宋_GB2312" w:cs="仿宋_GB2312"/>
          <w:kern w:val="0"/>
          <w:sz w:val="32"/>
          <w:szCs w:val="32"/>
        </w:rPr>
        <w:t>应当按照法律、行政法规、部门规章、规范性文件（以下统称法律法规）、本指引和本所其他业务规则的规定，以及基础设施基金法律文件的约定和相关承诺，及时、公平地披露年度报告，所披露的信息应当真实、准确、完整、简明清晰、通俗易懂，不存在虚假记载、误导性陈述或者重大遗漏。</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kern w:val="0"/>
          <w:sz w:val="32"/>
          <w:szCs w:val="32"/>
        </w:rPr>
      </w:pPr>
      <w:r>
        <w:rPr>
          <w:rFonts w:hint="eastAsia" w:ascii="仿宋_GB2312" w:hAnsi="宋体" w:eastAsia="仿宋_GB2312" w:cs="宋体"/>
          <w:b/>
          <w:bCs/>
          <w:color w:val="000000"/>
          <w:kern w:val="0"/>
          <w:sz w:val="32"/>
          <w:szCs w:val="32"/>
        </w:rPr>
        <w:t>第四条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Cs/>
          <w:kern w:val="0"/>
          <w:sz w:val="32"/>
          <w:szCs w:val="32"/>
        </w:rPr>
        <w:t>为</w:t>
      </w:r>
      <w:r>
        <w:rPr>
          <w:rFonts w:hint="eastAsia" w:ascii="仿宋_GB2312" w:hAnsi="仿宋_GB2312" w:eastAsia="仿宋_GB2312" w:cs="仿宋_GB2312"/>
          <w:kern w:val="0"/>
          <w:sz w:val="32"/>
          <w:szCs w:val="32"/>
        </w:rPr>
        <w:t>基础设施</w:t>
      </w:r>
      <w:r>
        <w:rPr>
          <w:rFonts w:hint="eastAsia" w:ascii="仿宋_GB2312" w:hAnsi="仿宋_GB2312" w:eastAsia="仿宋_GB2312" w:cs="仿宋_GB2312"/>
          <w:bCs/>
          <w:kern w:val="0"/>
          <w:sz w:val="32"/>
          <w:szCs w:val="32"/>
        </w:rPr>
        <w:t>基金信息披露提供服务的</w:t>
      </w:r>
      <w:r>
        <w:rPr>
          <w:rFonts w:hint="eastAsia" w:ascii="仿宋_GB2312" w:hAnsi="仿宋_GB2312" w:eastAsia="仿宋_GB2312" w:cs="仿宋_GB2312"/>
          <w:sz w:val="32"/>
          <w:szCs w:val="32"/>
        </w:rPr>
        <w:t>会计师事务所、律师事务所、资产评估机构、财务顾问等专业</w:t>
      </w:r>
      <w:r>
        <w:rPr>
          <w:rFonts w:hint="eastAsia" w:ascii="仿宋_GB2312" w:hAnsi="仿宋_GB2312" w:eastAsia="仿宋_GB2312" w:cs="仿宋_GB2312"/>
          <w:kern w:val="0"/>
          <w:sz w:val="32"/>
          <w:szCs w:val="32"/>
        </w:rPr>
        <w:t>机构及其人员，应当诚实守信、勤勉尽责，严格遵守法律法规、本所业务规则和执业规范，按照规定和约定履行义务，保证出具的文件和专业意见及时、真实、准确、完整，不存在虚假记载、误导性陈述或者重大遗漏。</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第五条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Cs/>
          <w:kern w:val="0"/>
          <w:sz w:val="32"/>
          <w:szCs w:val="32"/>
        </w:rPr>
        <w:t>原始权益人、运营管理机构、</w:t>
      </w:r>
      <w:r>
        <w:rPr>
          <w:rFonts w:hint="eastAsia" w:ascii="仿宋_GB2312" w:hAnsi="仿宋_GB2312" w:eastAsia="仿宋_GB2312" w:cs="仿宋_GB2312"/>
          <w:sz w:val="32"/>
          <w:szCs w:val="32"/>
        </w:rPr>
        <w:t>资产支持证券管理人、资产支持证券托管人、基础设施项目公司、专业机构等主体</w:t>
      </w:r>
      <w:r>
        <w:rPr>
          <w:rFonts w:hint="eastAsia" w:ascii="仿宋_GB2312" w:hAnsi="仿宋_GB2312" w:eastAsia="仿宋_GB2312" w:cs="仿宋_GB2312"/>
          <w:kern w:val="0"/>
          <w:sz w:val="32"/>
          <w:szCs w:val="32"/>
        </w:rPr>
        <w:t>及其人员应当积极配合信息披露义务人履行信息披露义务，及时向信息披露义务人提供有关信息，并确保提供的信息真实、准确、完整。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原始权益人应当建立内幕信息管理规范，包括内幕信息知情人范围、保密责任、未公开信息的保密措施等，严格履行内幕信息保密义务。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运营管理机构应当勤勉履行职责，持续关注基础设施项目资产的运营情况，同时对披露事项进行确认。对年度报告披露内容存在异议的，应当告知基金管理人，基金管理人应当在年度报告中披露异议内容及其理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信息披露义务人之间应当加强沟通协调，互相配合，及时履行信息披露义务，并确保提供的信息真实、准确、完整。</w:t>
      </w:r>
    </w:p>
    <w:p>
      <w:pPr>
        <w:pStyle w:val="2"/>
        <w:keepNext w:val="0"/>
        <w:keepLines w:val="0"/>
        <w:pageBreakBefore w:val="0"/>
        <w:kinsoku/>
        <w:wordWrap/>
        <w:overflowPunct/>
        <w:topLinePunct w:val="0"/>
        <w:autoSpaceDE/>
        <w:autoSpaceDN/>
        <w:bidi w:val="0"/>
        <w:adjustRightInd/>
        <w:snapToGrid/>
        <w:spacing w:line="560" w:lineRule="exact"/>
        <w:ind w:firstLine="643"/>
        <w:textAlignment w:val="auto"/>
        <w:rPr>
          <w:rFonts w:hAnsi="仿宋_GB2312" w:cs="仿宋_GB2312"/>
          <w:sz w:val="32"/>
          <w:szCs w:val="32"/>
        </w:rPr>
      </w:pPr>
      <w:r>
        <w:rPr>
          <w:rFonts w:hint="eastAsia" w:hAnsi="仿宋_GB2312" w:cs="仿宋_GB2312"/>
          <w:b/>
          <w:bCs/>
          <w:sz w:val="32"/>
          <w:szCs w:val="32"/>
        </w:rPr>
        <w:t>第六条</w:t>
      </w:r>
      <w:r>
        <w:rPr>
          <w:rFonts w:hint="eastAsia" w:hAnsi="仿宋_GB2312" w:cs="仿宋_GB2312"/>
          <w:b/>
          <w:bCs/>
          <w:sz w:val="32"/>
          <w:szCs w:val="32"/>
          <w:lang w:val="en-US" w:eastAsia="zh-CN"/>
        </w:rPr>
        <w:t xml:space="preserve"> </w:t>
      </w:r>
      <w:r>
        <w:rPr>
          <w:rFonts w:hint="eastAsia" w:hAnsi="仿宋_GB2312" w:cs="仿宋_GB2312"/>
          <w:sz w:val="32"/>
          <w:szCs w:val="32"/>
        </w:rPr>
        <w:t>本指引的规定是对基础设施基金年度报告信息披露的最低要求。报告期内对基础设施基金收益分配、资产净值、交易价格等基金份额持有人权益有重大影响的事项</w:t>
      </w:r>
      <w:r>
        <w:rPr>
          <w:rFonts w:hint="eastAsia" w:hAnsi="仿宋_GB2312" w:cs="仿宋_GB2312"/>
          <w:sz w:val="32"/>
          <w:szCs w:val="32"/>
          <w:lang w:eastAsia="zh-CN"/>
        </w:rPr>
        <w:t>以</w:t>
      </w:r>
      <w:r>
        <w:rPr>
          <w:rFonts w:hint="eastAsia" w:hAnsi="仿宋_GB2312" w:cs="仿宋_GB2312"/>
          <w:sz w:val="32"/>
          <w:szCs w:val="32"/>
        </w:rPr>
        <w:t>及信息，信息披露义务人均应当在年度报告中披露。</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kern w:val="0"/>
          <w:sz w:val="32"/>
          <w:szCs w:val="32"/>
        </w:rPr>
        <w:t>第七条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sz w:val="32"/>
          <w:szCs w:val="32"/>
        </w:rPr>
        <w:t>本所按照法律法规、本所相关规定、上市（挂牌）协议、相关约定</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及承诺，对信息披露义务人、原始权益人、运营管理机构、资产支持证券管理人、资产支持证券托管人、</w:t>
      </w:r>
      <w:r>
        <w:rPr>
          <w:rFonts w:hint="eastAsia" w:ascii="仿宋_GB2312" w:hAnsi="仿宋_GB2312" w:eastAsia="仿宋_GB2312" w:cs="仿宋_GB2312"/>
          <w:bCs/>
          <w:kern w:val="0"/>
          <w:sz w:val="32"/>
          <w:szCs w:val="32"/>
        </w:rPr>
        <w:t>基础设施</w:t>
      </w:r>
      <w:r>
        <w:rPr>
          <w:rFonts w:hint="eastAsia" w:ascii="仿宋_GB2312" w:hAnsi="仿宋_GB2312" w:eastAsia="仿宋_GB2312" w:cs="仿宋_GB2312"/>
          <w:sz w:val="32"/>
          <w:szCs w:val="32"/>
        </w:rPr>
        <w:t>项目公司、专业机构和投资者（以下统称</w:t>
      </w:r>
      <w:r>
        <w:rPr>
          <w:rFonts w:hint="eastAsia" w:ascii="仿宋_GB2312" w:hAnsi="仿宋_GB2312" w:eastAsia="仿宋_GB2312" w:cs="仿宋_GB2312"/>
          <w:color w:val="000000"/>
          <w:kern w:val="0"/>
          <w:sz w:val="32"/>
          <w:szCs w:val="32"/>
        </w:rPr>
        <w:t>基础设施基金业务参与人</w:t>
      </w:r>
      <w:r>
        <w:rPr>
          <w:rFonts w:hint="eastAsia" w:ascii="仿宋_GB2312" w:hAnsi="仿宋_GB2312" w:eastAsia="仿宋_GB2312" w:cs="仿宋_GB2312"/>
          <w:sz w:val="32"/>
          <w:szCs w:val="32"/>
        </w:rPr>
        <w:t>）及其相关人员实施自律管理。</w:t>
      </w:r>
    </w:p>
    <w:p>
      <w:pPr>
        <w:spacing w:line="560" w:lineRule="exact"/>
        <w:rPr>
          <w:rFonts w:ascii="黑体" w:hAnsi="黑体" w:eastAsia="黑体"/>
          <w:sz w:val="32"/>
          <w:szCs w:val="32"/>
        </w:rPr>
      </w:pPr>
    </w:p>
    <w:p>
      <w:pPr>
        <w:pStyle w:val="4"/>
        <w:rPr>
          <w:rFonts w:hint="default"/>
          <w:szCs w:val="32"/>
        </w:rPr>
      </w:pPr>
      <w:r>
        <w:rPr>
          <w:szCs w:val="32"/>
        </w:rPr>
        <w:t>第二章 年度报告内容</w:t>
      </w:r>
    </w:p>
    <w:p>
      <w:pPr>
        <w:pStyle w:val="5"/>
        <w:rPr>
          <w:rFonts w:hint="default"/>
          <w:szCs w:val="32"/>
        </w:rPr>
      </w:pPr>
      <w:r>
        <w:rPr>
          <w:szCs w:val="32"/>
        </w:rPr>
        <w:t>第一节 基础设施基金运作情况</w:t>
      </w:r>
    </w:p>
    <w:p>
      <w:pPr>
        <w:tabs>
          <w:tab w:val="left" w:pos="1701"/>
        </w:tabs>
        <w:spacing w:line="560" w:lineRule="exact"/>
        <w:ind w:firstLine="642" w:firstLineChars="200"/>
        <w:rPr>
          <w:rFonts w:ascii="仿宋_GB2312" w:eastAsia="仿宋_GB2312"/>
          <w:b/>
          <w:kern w:val="0"/>
          <w:sz w:val="32"/>
          <w:szCs w:val="32"/>
        </w:rPr>
      </w:pPr>
      <w:r>
        <w:rPr>
          <w:rFonts w:hint="eastAsia" w:ascii="仿宋_GB2312" w:eastAsia="仿宋_GB2312"/>
          <w:b/>
          <w:kern w:val="0"/>
          <w:sz w:val="32"/>
          <w:szCs w:val="32"/>
        </w:rPr>
        <w:t>第八条</w:t>
      </w:r>
      <w:r>
        <w:rPr>
          <w:rFonts w:hint="eastAsia" w:ascii="仿宋_GB2312" w:eastAsia="仿宋_GB2312"/>
          <w:b/>
          <w:kern w:val="0"/>
          <w:sz w:val="32"/>
          <w:szCs w:val="32"/>
          <w:lang w:val="en-US" w:eastAsia="zh-CN"/>
        </w:rPr>
        <w:t xml:space="preserve"> </w:t>
      </w:r>
      <w:r>
        <w:rPr>
          <w:rFonts w:hint="eastAsia" w:ascii="仿宋_GB2312" w:eastAsia="仿宋_GB2312"/>
          <w:bCs/>
          <w:kern w:val="0"/>
          <w:sz w:val="32"/>
          <w:szCs w:val="32"/>
        </w:rPr>
        <w:t>年度报告中披露的相关信息可能对基础设施基金收益分配、资产净值、交易价格等基金份额持有人权益产生重大不利影响的，</w:t>
      </w:r>
      <w:r>
        <w:rPr>
          <w:rFonts w:hint="eastAsia" w:ascii="仿宋_GB2312" w:eastAsia="仿宋_GB2312"/>
          <w:kern w:val="0"/>
          <w:sz w:val="32"/>
          <w:szCs w:val="32"/>
        </w:rPr>
        <w:t>基金管理人应当在“重要提示”中说明相关信息产生的重大不利影响并向投资者提示风险。</w:t>
      </w:r>
    </w:p>
    <w:p>
      <w:pPr>
        <w:tabs>
          <w:tab w:val="left" w:pos="1701"/>
        </w:tabs>
        <w:spacing w:line="560" w:lineRule="exact"/>
        <w:ind w:firstLine="642" w:firstLineChars="200"/>
        <w:rPr>
          <w:rFonts w:ascii="仿宋_GB2312" w:eastAsia="仿宋_GB2312"/>
          <w:kern w:val="0"/>
          <w:sz w:val="32"/>
          <w:szCs w:val="32"/>
        </w:rPr>
      </w:pPr>
      <w:r>
        <w:rPr>
          <w:rFonts w:hint="eastAsia" w:ascii="仿宋_GB2312" w:eastAsia="仿宋_GB2312"/>
          <w:b/>
          <w:kern w:val="0"/>
          <w:sz w:val="32"/>
          <w:szCs w:val="32"/>
        </w:rPr>
        <w:t>第九条</w:t>
      </w:r>
      <w:r>
        <w:rPr>
          <w:rFonts w:hint="eastAsia" w:ascii="仿宋_GB2312" w:eastAsia="仿宋_GB2312"/>
          <w:b/>
          <w:kern w:val="0"/>
          <w:sz w:val="32"/>
          <w:szCs w:val="32"/>
          <w:lang w:val="en-US" w:eastAsia="zh-CN"/>
        </w:rPr>
        <w:t xml:space="preserve"> </w:t>
      </w:r>
      <w:r>
        <w:rPr>
          <w:rFonts w:hint="eastAsia" w:ascii="仿宋_GB2312" w:eastAsia="仿宋_GB2312"/>
          <w:kern w:val="0"/>
          <w:sz w:val="32"/>
          <w:szCs w:val="32"/>
        </w:rPr>
        <w:t>基金管理人应当在年度报告中披露下列基础设施基金产品概况信息：</w:t>
      </w:r>
    </w:p>
    <w:p>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（一）基础设施基金名称、基础设施基金简称、场内简称、基础设施基金代码、交易代码、基础设施基金运作方式、基础设施基金合同生效日</w:t>
      </w:r>
      <w:r>
        <w:rPr>
          <w:rFonts w:hint="eastAsia" w:ascii="仿宋_GB2312" w:eastAsia="仿宋_GB2312"/>
          <w:kern w:val="0"/>
          <w:sz w:val="32"/>
          <w:szCs w:val="32"/>
          <w:lang w:eastAsia="zh-CN"/>
        </w:rPr>
        <w:t>；</w:t>
      </w:r>
    </w:p>
    <w:p>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（二）基金管理人名称</w:t>
      </w:r>
      <w:r>
        <w:rPr>
          <w:rFonts w:hint="eastAsia" w:ascii="仿宋_GB2312" w:eastAsia="仿宋_GB2312"/>
          <w:kern w:val="0"/>
          <w:sz w:val="32"/>
          <w:szCs w:val="32"/>
          <w:lang w:eastAsia="zh-CN"/>
        </w:rPr>
        <w:t>；</w:t>
      </w:r>
    </w:p>
    <w:p>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（三）基金托管人名称</w:t>
      </w:r>
      <w:r>
        <w:rPr>
          <w:rFonts w:hint="eastAsia" w:ascii="仿宋_GB2312" w:eastAsia="仿宋_GB2312"/>
          <w:kern w:val="0"/>
          <w:sz w:val="32"/>
          <w:szCs w:val="32"/>
          <w:lang w:eastAsia="zh-CN"/>
        </w:rPr>
        <w:t>；</w:t>
      </w:r>
    </w:p>
    <w:p>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（四）历次扩募时间</w:t>
      </w:r>
      <w:r>
        <w:rPr>
          <w:rFonts w:hint="eastAsia" w:ascii="仿宋_GB2312" w:eastAsia="仿宋_GB2312"/>
          <w:kern w:val="0"/>
          <w:sz w:val="32"/>
          <w:szCs w:val="32"/>
          <w:lang w:eastAsia="zh-CN"/>
        </w:rPr>
        <w:t>以</w:t>
      </w:r>
      <w:r>
        <w:rPr>
          <w:rFonts w:hint="eastAsia" w:ascii="仿宋_GB2312" w:eastAsia="仿宋_GB2312"/>
          <w:kern w:val="0"/>
          <w:sz w:val="32"/>
          <w:szCs w:val="32"/>
        </w:rPr>
        <w:t>及金额（如有）</w:t>
      </w:r>
      <w:r>
        <w:rPr>
          <w:rFonts w:hint="eastAsia" w:ascii="仿宋_GB2312" w:eastAsia="仿宋_GB2312"/>
          <w:kern w:val="0"/>
          <w:sz w:val="32"/>
          <w:szCs w:val="32"/>
          <w:lang w:eastAsia="zh-CN"/>
        </w:rPr>
        <w:t>；</w:t>
      </w:r>
    </w:p>
    <w:p>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（五）报告期末基础设施基金份额总额</w:t>
      </w:r>
      <w:r>
        <w:rPr>
          <w:rFonts w:hint="eastAsia" w:ascii="仿宋_GB2312" w:eastAsia="仿宋_GB2312"/>
          <w:kern w:val="0"/>
          <w:sz w:val="32"/>
          <w:szCs w:val="32"/>
          <w:lang w:eastAsia="zh-CN"/>
        </w:rPr>
        <w:t>；</w:t>
      </w:r>
    </w:p>
    <w:p>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（六）基础设施基金合同存续期</w:t>
      </w:r>
      <w:r>
        <w:rPr>
          <w:rFonts w:hint="eastAsia" w:ascii="仿宋_GB2312" w:eastAsia="仿宋_GB2312"/>
          <w:kern w:val="0"/>
          <w:sz w:val="32"/>
          <w:szCs w:val="32"/>
          <w:lang w:eastAsia="zh-CN"/>
        </w:rPr>
        <w:t>；</w:t>
      </w:r>
    </w:p>
    <w:p>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（七）基础设施基金份额上市的证券交易所</w:t>
      </w:r>
      <w:r>
        <w:rPr>
          <w:rFonts w:hint="eastAsia" w:ascii="仿宋_GB2312" w:eastAsia="仿宋_GB2312"/>
          <w:kern w:val="0"/>
          <w:sz w:val="32"/>
          <w:szCs w:val="32"/>
          <w:lang w:eastAsia="zh-CN"/>
        </w:rPr>
        <w:t>；</w:t>
      </w:r>
    </w:p>
    <w:p>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（八）上市日期</w:t>
      </w:r>
      <w:r>
        <w:rPr>
          <w:rFonts w:hint="eastAsia" w:ascii="仿宋_GB2312" w:eastAsia="仿宋_GB2312"/>
          <w:kern w:val="0"/>
          <w:sz w:val="32"/>
          <w:szCs w:val="32"/>
          <w:lang w:eastAsia="zh-CN"/>
        </w:rPr>
        <w:t>；</w:t>
      </w:r>
    </w:p>
    <w:p>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（九）投资目标</w:t>
      </w:r>
      <w:r>
        <w:rPr>
          <w:rFonts w:hint="eastAsia" w:ascii="仿宋_GB2312" w:eastAsia="仿宋_GB2312"/>
          <w:kern w:val="0"/>
          <w:sz w:val="32"/>
          <w:szCs w:val="32"/>
          <w:lang w:eastAsia="zh-CN"/>
        </w:rPr>
        <w:t>；</w:t>
      </w:r>
    </w:p>
    <w:p>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（十）投资策略（如有）</w:t>
      </w:r>
      <w:r>
        <w:rPr>
          <w:rFonts w:hint="eastAsia" w:ascii="仿宋_GB2312" w:eastAsia="仿宋_GB2312"/>
          <w:kern w:val="0"/>
          <w:sz w:val="32"/>
          <w:szCs w:val="32"/>
          <w:lang w:eastAsia="zh-CN"/>
        </w:rPr>
        <w:t>；</w:t>
      </w:r>
    </w:p>
    <w:p>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（十一）业绩比较基准（如有）</w:t>
      </w:r>
      <w:r>
        <w:rPr>
          <w:rFonts w:hint="eastAsia" w:ascii="仿宋_GB2312" w:eastAsia="仿宋_GB2312"/>
          <w:kern w:val="0"/>
          <w:sz w:val="32"/>
          <w:szCs w:val="32"/>
          <w:lang w:eastAsia="zh-CN"/>
        </w:rPr>
        <w:t>；</w:t>
      </w:r>
    </w:p>
    <w:p>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（十二）风险收益特征（如有）</w:t>
      </w:r>
      <w:r>
        <w:rPr>
          <w:rFonts w:hint="eastAsia" w:ascii="仿宋_GB2312" w:eastAsia="仿宋_GB2312"/>
          <w:kern w:val="0"/>
          <w:sz w:val="32"/>
          <w:szCs w:val="32"/>
          <w:lang w:eastAsia="zh-CN"/>
        </w:rPr>
        <w:t>；</w:t>
      </w:r>
    </w:p>
    <w:p>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（十三）基础设施基金收益分配政策</w:t>
      </w:r>
      <w:r>
        <w:rPr>
          <w:rFonts w:hint="eastAsia" w:ascii="仿宋_GB2312" w:eastAsia="仿宋_GB2312"/>
          <w:kern w:val="0"/>
          <w:sz w:val="32"/>
          <w:szCs w:val="32"/>
          <w:lang w:eastAsia="zh-CN"/>
        </w:rPr>
        <w:t>；</w:t>
      </w:r>
    </w:p>
    <w:p>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（十四）资产支持证券管理人名称</w:t>
      </w:r>
      <w:r>
        <w:rPr>
          <w:rFonts w:hint="eastAsia" w:ascii="仿宋_GB2312" w:eastAsia="仿宋_GB2312"/>
          <w:kern w:val="0"/>
          <w:sz w:val="32"/>
          <w:szCs w:val="32"/>
          <w:lang w:eastAsia="zh-CN"/>
        </w:rPr>
        <w:t>；</w:t>
      </w:r>
    </w:p>
    <w:p>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（十五）运营管理机构名称</w:t>
      </w:r>
      <w:r>
        <w:rPr>
          <w:rFonts w:hint="eastAsia" w:ascii="仿宋_GB2312" w:eastAsia="仿宋_GB2312"/>
          <w:kern w:val="0"/>
          <w:sz w:val="32"/>
          <w:szCs w:val="32"/>
          <w:lang w:eastAsia="zh-CN"/>
        </w:rPr>
        <w:t>；</w:t>
      </w:r>
    </w:p>
    <w:p>
      <w:pPr>
        <w:pStyle w:val="2"/>
        <w:spacing w:line="560" w:lineRule="exact"/>
        <w:ind w:firstLine="640"/>
        <w:rPr>
          <w:rFonts w:hint="eastAsia" w:eastAsia="仿宋_GB2312"/>
          <w:sz w:val="32"/>
          <w:szCs w:val="32"/>
          <w:lang w:eastAsia="zh-CN"/>
        </w:rPr>
      </w:pPr>
      <w:r>
        <w:rPr>
          <w:rFonts w:hint="eastAsia"/>
          <w:kern w:val="0"/>
          <w:sz w:val="32"/>
          <w:szCs w:val="32"/>
        </w:rPr>
        <w:t>（十六）基金管理人信息披露事务负责人姓名、职务、联系方式</w:t>
      </w:r>
      <w:r>
        <w:rPr>
          <w:rFonts w:hint="eastAsia"/>
          <w:kern w:val="0"/>
          <w:sz w:val="32"/>
          <w:szCs w:val="32"/>
          <w:lang w:eastAsia="zh-CN"/>
        </w:rPr>
        <w:t>；</w:t>
      </w:r>
    </w:p>
    <w:p>
      <w:pPr>
        <w:pStyle w:val="2"/>
        <w:spacing w:line="560" w:lineRule="exact"/>
        <w:ind w:firstLine="640"/>
        <w:rPr>
          <w:rFonts w:hint="eastAsia" w:eastAsia="仿宋_GB2312"/>
          <w:sz w:val="32"/>
          <w:szCs w:val="32"/>
          <w:lang w:eastAsia="zh-CN"/>
        </w:rPr>
      </w:pPr>
      <w:r>
        <w:rPr>
          <w:rFonts w:hint="eastAsia"/>
          <w:kern w:val="0"/>
          <w:sz w:val="32"/>
          <w:szCs w:val="32"/>
        </w:rPr>
        <w:t>（十七）运营管理机构信息披露事务负责人姓名、职务、联系方式</w:t>
      </w:r>
      <w:r>
        <w:rPr>
          <w:rFonts w:hint="eastAsia"/>
          <w:kern w:val="0"/>
          <w:sz w:val="32"/>
          <w:szCs w:val="32"/>
          <w:lang w:eastAsia="zh-CN"/>
        </w:rPr>
        <w:t>；</w:t>
      </w:r>
    </w:p>
    <w:p>
      <w:pPr>
        <w:tabs>
          <w:tab w:val="left" w:pos="1701"/>
        </w:tabs>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（十八）其他基础设施基金产品概况信息。</w:t>
      </w:r>
    </w:p>
    <w:p>
      <w:pPr>
        <w:tabs>
          <w:tab w:val="left" w:pos="1701"/>
        </w:tabs>
        <w:spacing w:line="560" w:lineRule="exact"/>
        <w:ind w:firstLine="642" w:firstLineChars="200"/>
        <w:rPr>
          <w:rFonts w:ascii="仿宋_GB2312" w:eastAsia="仿宋_GB2312"/>
          <w:sz w:val="32"/>
          <w:szCs w:val="32"/>
        </w:rPr>
      </w:pPr>
      <w:r>
        <w:rPr>
          <w:rFonts w:hint="eastAsia" w:ascii="仿宋_GB2312" w:eastAsia="仿宋_GB2312"/>
          <w:b/>
          <w:kern w:val="0"/>
          <w:sz w:val="32"/>
          <w:szCs w:val="32"/>
        </w:rPr>
        <w:t>第十条</w:t>
      </w:r>
      <w:r>
        <w:rPr>
          <w:rFonts w:hint="eastAsia" w:ascii="仿宋_GB2312" w:eastAsia="仿宋_GB2312"/>
          <w:b/>
          <w:kern w:val="0"/>
          <w:sz w:val="32"/>
          <w:szCs w:val="32"/>
          <w:lang w:val="en-US" w:eastAsia="zh-CN"/>
        </w:rPr>
        <w:t xml:space="preserve"> </w:t>
      </w:r>
      <w:r>
        <w:rPr>
          <w:rFonts w:hint="eastAsia" w:ascii="仿宋_GB2312" w:eastAsia="仿宋_GB2312"/>
          <w:sz w:val="32"/>
          <w:szCs w:val="32"/>
        </w:rPr>
        <w:t>基金管理人应当在年度报告中披露最近</w:t>
      </w:r>
      <w:r>
        <w:rPr>
          <w:rFonts w:hint="eastAsia" w:ascii="仿宋_GB2312" w:eastAsia="仿宋_GB2312"/>
          <w:sz w:val="32"/>
          <w:szCs w:val="32"/>
          <w:lang w:eastAsia="zh-CN"/>
        </w:rPr>
        <w:t>三</w:t>
      </w:r>
      <w:r>
        <w:rPr>
          <w:rFonts w:hint="eastAsia" w:ascii="仿宋_GB2312" w:eastAsia="仿宋_GB2312"/>
          <w:sz w:val="32"/>
          <w:szCs w:val="32"/>
        </w:rPr>
        <w:t>年主要会计数据和财务指标。</w:t>
      </w:r>
    </w:p>
    <w:p>
      <w:pPr>
        <w:tabs>
          <w:tab w:val="left" w:pos="1701"/>
        </w:tabs>
        <w:spacing w:line="560" w:lineRule="exact"/>
        <w:ind w:firstLine="640" w:firstLineChars="200"/>
        <w:rPr>
          <w:rFonts w:ascii="仿宋_GB2312" w:eastAsia="仿宋_GB2312"/>
          <w:sz w:val="32"/>
          <w:szCs w:val="32"/>
        </w:rPr>
      </w:pPr>
      <w:r>
        <w:rPr>
          <w:rFonts w:hint="eastAsia" w:ascii="仿宋_GB2312" w:eastAsia="仿宋_GB2312"/>
          <w:sz w:val="32"/>
          <w:szCs w:val="32"/>
        </w:rPr>
        <w:t>前款所称主要会计数据和财务指标，包括</w:t>
      </w:r>
      <w:r>
        <w:rPr>
          <w:rFonts w:hint="eastAsia" w:ascii="仿宋_GB2312" w:eastAsia="仿宋_GB2312"/>
          <w:kern w:val="0"/>
          <w:sz w:val="32"/>
          <w:szCs w:val="32"/>
        </w:rPr>
        <w:t>基础设施</w:t>
      </w:r>
      <w:r>
        <w:rPr>
          <w:rFonts w:hint="eastAsia" w:ascii="仿宋_GB2312" w:eastAsia="仿宋_GB2312"/>
          <w:sz w:val="32"/>
          <w:szCs w:val="32"/>
        </w:rPr>
        <w:t>基金报告期收入</w:t>
      </w:r>
      <w:r>
        <w:rPr>
          <w:rFonts w:hint="eastAsia" w:ascii="仿宋_GB2312" w:eastAsia="仿宋_GB2312"/>
          <w:kern w:val="0"/>
          <w:sz w:val="32"/>
          <w:szCs w:val="32"/>
        </w:rPr>
        <w:t>、报告期净利润、报告期</w:t>
      </w:r>
      <w:r>
        <w:rPr>
          <w:rFonts w:hint="eastAsia" w:ascii="仿宋_GB2312" w:eastAsia="仿宋_GB2312"/>
          <w:sz w:val="32"/>
          <w:szCs w:val="32"/>
        </w:rPr>
        <w:t>经营活动产生的现金流量净额、期末</w:t>
      </w:r>
      <w:r>
        <w:rPr>
          <w:rFonts w:hint="eastAsia" w:ascii="仿宋_GB2312" w:eastAsia="仿宋_GB2312"/>
          <w:kern w:val="0"/>
          <w:sz w:val="32"/>
          <w:szCs w:val="32"/>
        </w:rPr>
        <w:t>基础设施</w:t>
      </w:r>
      <w:r>
        <w:rPr>
          <w:rFonts w:hint="eastAsia" w:ascii="仿宋_GB2312" w:eastAsia="仿宋_GB2312"/>
          <w:sz w:val="32"/>
          <w:szCs w:val="32"/>
        </w:rPr>
        <w:t>基金总资产、期末</w:t>
      </w:r>
      <w:r>
        <w:rPr>
          <w:rFonts w:hint="eastAsia" w:ascii="仿宋_GB2312" w:eastAsia="仿宋_GB2312"/>
          <w:kern w:val="0"/>
          <w:sz w:val="32"/>
          <w:szCs w:val="32"/>
        </w:rPr>
        <w:t>基础设施</w:t>
      </w:r>
      <w:r>
        <w:rPr>
          <w:rFonts w:hint="eastAsia" w:ascii="仿宋_GB2312" w:eastAsia="仿宋_GB2312"/>
          <w:sz w:val="32"/>
          <w:szCs w:val="32"/>
        </w:rPr>
        <w:t>基金净资产、</w:t>
      </w:r>
      <w:r>
        <w:rPr>
          <w:rFonts w:hint="eastAsia" w:ascii="仿宋_GB2312" w:eastAsia="仿宋_GB2312"/>
          <w:kern w:val="0"/>
          <w:sz w:val="32"/>
          <w:szCs w:val="32"/>
        </w:rPr>
        <w:t>基础设施</w:t>
      </w:r>
      <w:r>
        <w:rPr>
          <w:rFonts w:hint="eastAsia" w:ascii="仿宋_GB2312" w:eastAsia="仿宋_GB2312"/>
          <w:sz w:val="32"/>
          <w:szCs w:val="32"/>
        </w:rPr>
        <w:t>基金总资产占净资产的比例、期末</w:t>
      </w:r>
      <w:r>
        <w:rPr>
          <w:rFonts w:hint="eastAsia" w:ascii="仿宋_GB2312" w:eastAsia="仿宋_GB2312"/>
          <w:kern w:val="0"/>
          <w:sz w:val="32"/>
          <w:szCs w:val="32"/>
        </w:rPr>
        <w:t>基础设施</w:t>
      </w:r>
      <w:r>
        <w:rPr>
          <w:rFonts w:hint="eastAsia" w:ascii="仿宋_GB2312" w:eastAsia="仿宋_GB2312"/>
          <w:sz w:val="32"/>
          <w:szCs w:val="32"/>
        </w:rPr>
        <w:t>基金份额净值、现金流分派率以及内部收益率（如有）等。</w:t>
      </w:r>
    </w:p>
    <w:p>
      <w:pPr>
        <w:tabs>
          <w:tab w:val="left" w:pos="1701"/>
        </w:tabs>
        <w:spacing w:line="560" w:lineRule="exact"/>
        <w:ind w:firstLine="642" w:firstLineChars="200"/>
        <w:rPr>
          <w:rFonts w:ascii="仿宋_GB2312" w:eastAsia="仿宋_GB2312"/>
          <w:kern w:val="0"/>
          <w:sz w:val="32"/>
          <w:szCs w:val="32"/>
        </w:rPr>
      </w:pPr>
      <w:r>
        <w:rPr>
          <w:rFonts w:hint="eastAsia" w:ascii="仿宋_GB2312" w:eastAsia="仿宋_GB2312"/>
          <w:b/>
          <w:kern w:val="0"/>
          <w:sz w:val="32"/>
          <w:szCs w:val="32"/>
        </w:rPr>
        <w:t>第十一条</w:t>
      </w:r>
      <w:r>
        <w:rPr>
          <w:rFonts w:hint="eastAsia" w:ascii="仿宋_GB2312" w:eastAsia="仿宋_GB2312"/>
          <w:b/>
          <w:kern w:val="0"/>
          <w:sz w:val="32"/>
          <w:szCs w:val="32"/>
          <w:lang w:val="en-US" w:eastAsia="zh-CN"/>
        </w:rPr>
        <w:t xml:space="preserve"> </w:t>
      </w:r>
      <w:r>
        <w:rPr>
          <w:rFonts w:hint="eastAsia" w:ascii="仿宋_GB2312" w:eastAsia="仿宋_GB2312"/>
          <w:kern w:val="0"/>
          <w:sz w:val="32"/>
          <w:szCs w:val="32"/>
        </w:rPr>
        <w:t>基金管理人应当按照法律法规</w:t>
      </w:r>
      <w:r>
        <w:rPr>
          <w:rFonts w:hint="eastAsia" w:ascii="仿宋_GB2312" w:eastAsia="仿宋_GB2312"/>
          <w:kern w:val="0"/>
          <w:sz w:val="32"/>
          <w:szCs w:val="32"/>
          <w:lang w:eastAsia="zh-CN"/>
        </w:rPr>
        <w:t>和</w:t>
      </w:r>
      <w:r>
        <w:rPr>
          <w:rFonts w:hint="eastAsia" w:ascii="仿宋_GB2312" w:eastAsia="仿宋_GB2312"/>
          <w:kern w:val="0"/>
          <w:sz w:val="32"/>
          <w:szCs w:val="32"/>
        </w:rPr>
        <w:t>企业会计准则</w:t>
      </w:r>
      <w:r>
        <w:rPr>
          <w:rFonts w:hint="eastAsia" w:ascii="仿宋_GB2312" w:eastAsia="仿宋_GB2312"/>
          <w:kern w:val="0"/>
          <w:sz w:val="32"/>
          <w:szCs w:val="32"/>
          <w:lang w:eastAsia="zh-CN"/>
        </w:rPr>
        <w:t>等</w:t>
      </w:r>
      <w:r>
        <w:rPr>
          <w:rFonts w:hint="eastAsia" w:ascii="仿宋_GB2312" w:eastAsia="仿宋_GB2312"/>
          <w:kern w:val="0"/>
          <w:sz w:val="32"/>
          <w:szCs w:val="32"/>
        </w:rPr>
        <w:t>相关规定，确认计量基础设施基金资产和负债，编制基础设施基金年度合并</w:t>
      </w:r>
      <w:r>
        <w:rPr>
          <w:rFonts w:hint="eastAsia" w:ascii="仿宋_GB2312" w:eastAsia="仿宋_GB2312"/>
          <w:kern w:val="0"/>
          <w:sz w:val="32"/>
          <w:szCs w:val="32"/>
          <w:lang w:eastAsia="zh-CN"/>
        </w:rPr>
        <w:t>以</w:t>
      </w:r>
      <w:r>
        <w:rPr>
          <w:rFonts w:hint="eastAsia" w:ascii="仿宋_GB2312" w:eastAsia="仿宋_GB2312"/>
          <w:kern w:val="0"/>
          <w:sz w:val="32"/>
          <w:szCs w:val="32"/>
        </w:rPr>
        <w:t>及个别财务报告，并在年度报告中予以披露。</w:t>
      </w:r>
    </w:p>
    <w:p>
      <w:pPr>
        <w:tabs>
          <w:tab w:val="left" w:pos="1701"/>
        </w:tabs>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财务报告至少包括资产负债表、利润表、现金流量表、所有者权益变动表以及报表附注。</w:t>
      </w:r>
    </w:p>
    <w:p>
      <w:pPr>
        <w:tabs>
          <w:tab w:val="left" w:pos="1701"/>
        </w:tabs>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年度财务报告应当经过符合《</w:t>
      </w:r>
      <w:r>
        <w:rPr>
          <w:rFonts w:hint="eastAsia" w:ascii="仿宋_GB2312" w:eastAsia="仿宋_GB2312"/>
          <w:kern w:val="0"/>
          <w:sz w:val="32"/>
          <w:szCs w:val="32"/>
          <w:lang w:eastAsia="zh-CN"/>
        </w:rPr>
        <w:t>中华人民共和国</w:t>
      </w:r>
      <w:r>
        <w:rPr>
          <w:rFonts w:hint="eastAsia" w:ascii="仿宋_GB2312" w:eastAsia="仿宋_GB2312"/>
          <w:kern w:val="0"/>
          <w:sz w:val="32"/>
          <w:szCs w:val="32"/>
        </w:rPr>
        <w:t>证券法》规定的会计师事务所审计。基金管理人应当在年度报告中披露审计报告。</w:t>
      </w:r>
    </w:p>
    <w:p>
      <w:pPr>
        <w:tabs>
          <w:tab w:val="left" w:pos="1701"/>
        </w:tabs>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基金托管人复核基础设施基金信息披露文件时，应当加强对基金管理人资产确认计量过程的复核。会计师事务所在年度审计中应当评价基金管理人和评估机构采用的评估方法和参数的合理性。</w:t>
      </w:r>
    </w:p>
    <w:p>
      <w:pPr>
        <w:pStyle w:val="2"/>
        <w:spacing w:line="560" w:lineRule="exact"/>
        <w:ind w:firstLine="643"/>
        <w:rPr>
          <w:rFonts w:hAnsi="仿宋_GB2312" w:cs="仿宋_GB2312"/>
          <w:sz w:val="32"/>
          <w:szCs w:val="32"/>
        </w:rPr>
      </w:pPr>
      <w:r>
        <w:rPr>
          <w:rFonts w:hint="eastAsia"/>
          <w:b/>
          <w:kern w:val="0"/>
          <w:sz w:val="32"/>
          <w:szCs w:val="32"/>
        </w:rPr>
        <w:t>第十二条</w:t>
      </w:r>
      <w:r>
        <w:rPr>
          <w:rFonts w:hint="eastAsia"/>
          <w:b/>
          <w:kern w:val="0"/>
          <w:sz w:val="32"/>
          <w:szCs w:val="32"/>
          <w:lang w:val="en-US" w:eastAsia="zh-CN"/>
        </w:rPr>
        <w:t xml:space="preserve"> </w:t>
      </w:r>
      <w:r>
        <w:rPr>
          <w:rFonts w:hint="eastAsia" w:hAnsi="仿宋_GB2312" w:cs="仿宋_GB2312"/>
          <w:sz w:val="32"/>
          <w:szCs w:val="32"/>
        </w:rPr>
        <w:t>基金管理人应当在年度报告中披露最近</w:t>
      </w:r>
      <w:r>
        <w:rPr>
          <w:rFonts w:hint="eastAsia" w:hAnsi="仿宋_GB2312" w:cs="仿宋_GB2312"/>
          <w:sz w:val="32"/>
          <w:szCs w:val="32"/>
          <w:lang w:eastAsia="zh-CN"/>
        </w:rPr>
        <w:t>三</w:t>
      </w:r>
      <w:r>
        <w:rPr>
          <w:rFonts w:hint="eastAsia" w:hAnsi="仿宋_GB2312" w:cs="仿宋_GB2312"/>
          <w:sz w:val="32"/>
          <w:szCs w:val="32"/>
        </w:rPr>
        <w:t>年可供分配金额、单位可供分配金额、实际分配金额、单位实际分配金额，以及报告期可供分配金额计算过程。报告期内可供分配金额较上年同期变化</w:t>
      </w:r>
      <w:r>
        <w:rPr>
          <w:rFonts w:hint="eastAsia" w:hAnsi="仿宋_GB2312" w:cs="仿宋_GB2312"/>
          <w:kern w:val="0"/>
          <w:sz w:val="32"/>
          <w:szCs w:val="32"/>
        </w:rPr>
        <w:t>超</w:t>
      </w:r>
      <w:r>
        <w:rPr>
          <w:rFonts w:hint="default" w:ascii="Times New Roman" w:hAnsi="Times New Roman" w:cs="Times New Roman"/>
          <w:kern w:val="0"/>
          <w:sz w:val="32"/>
          <w:szCs w:val="32"/>
        </w:rPr>
        <w:t>过</w:t>
      </w:r>
      <w:r>
        <w:rPr>
          <w:rFonts w:hint="default" w:ascii="Times New Roman" w:hAnsi="Times New Roman" w:cs="Times New Roman"/>
          <w:sz w:val="32"/>
          <w:szCs w:val="32"/>
        </w:rPr>
        <w:t>10%或者</w:t>
      </w:r>
      <w:r>
        <w:rPr>
          <w:rFonts w:hint="eastAsia" w:hAnsi="仿宋_GB2312" w:cs="仿宋_GB2312"/>
          <w:sz w:val="32"/>
          <w:szCs w:val="32"/>
        </w:rPr>
        <w:t>报告期调整项与往期不一致的，应当说明原因。</w:t>
      </w:r>
    </w:p>
    <w:p>
      <w:pPr>
        <w:pStyle w:val="2"/>
        <w:spacing w:line="560" w:lineRule="exact"/>
        <w:ind w:firstLine="640"/>
        <w:rPr>
          <w:rFonts w:hAnsi="仿宋_GB2312" w:cs="仿宋_GB2312"/>
          <w:sz w:val="32"/>
          <w:szCs w:val="32"/>
        </w:rPr>
      </w:pPr>
      <w:r>
        <w:rPr>
          <w:rFonts w:hint="eastAsia" w:hAnsi="仿宋_GB2312" w:cs="仿宋_GB2312"/>
          <w:sz w:val="32"/>
          <w:szCs w:val="32"/>
        </w:rPr>
        <w:t>基金管理人应当在年度报告中说明可供分配金额与招募说明书中刊载的预测可供分配金额差异情况，差异超过10%的，基金管理人还应当说明原因和应对措施。</w:t>
      </w:r>
    </w:p>
    <w:p>
      <w:pPr>
        <w:spacing w:line="560" w:lineRule="exact"/>
        <w:ind w:firstLine="642" w:firstLineChars="200"/>
        <w:rPr>
          <w:rFonts w:ascii="仿宋_GB2312" w:eastAsia="仿宋_GB2312"/>
          <w:bCs/>
          <w:kern w:val="0"/>
          <w:sz w:val="32"/>
          <w:szCs w:val="32"/>
        </w:rPr>
      </w:pPr>
      <w:r>
        <w:rPr>
          <w:rFonts w:hint="eastAsia" w:ascii="仿宋_GB2312" w:eastAsia="仿宋_GB2312"/>
          <w:b/>
          <w:kern w:val="0"/>
          <w:sz w:val="32"/>
          <w:szCs w:val="32"/>
        </w:rPr>
        <w:t>第十三条</w:t>
      </w:r>
      <w:r>
        <w:rPr>
          <w:rFonts w:hint="eastAsia" w:ascii="仿宋_GB2312" w:eastAsia="仿宋_GB2312"/>
          <w:b/>
          <w:kern w:val="0"/>
          <w:sz w:val="32"/>
          <w:szCs w:val="32"/>
          <w:lang w:val="en-US" w:eastAsia="zh-CN"/>
        </w:rPr>
        <w:t xml:space="preserve"> </w:t>
      </w:r>
      <w:r>
        <w:rPr>
          <w:rFonts w:hint="eastAsia" w:ascii="仿宋_GB2312" w:eastAsia="仿宋_GB2312"/>
          <w:bCs/>
          <w:kern w:val="0"/>
          <w:sz w:val="32"/>
          <w:szCs w:val="32"/>
        </w:rPr>
        <w:t>基金管理人应当在年度报告中披露基金管理人、基金托管人、资产支持证券管理人、资产支持证券托管人、运营管理机构在报告期内的费用收取情况</w:t>
      </w:r>
      <w:r>
        <w:rPr>
          <w:rFonts w:hint="eastAsia" w:ascii="仿宋_GB2312" w:eastAsia="仿宋_GB2312"/>
          <w:bCs/>
          <w:kern w:val="0"/>
          <w:sz w:val="32"/>
          <w:szCs w:val="32"/>
          <w:lang w:eastAsia="zh-CN"/>
        </w:rPr>
        <w:t>以</w:t>
      </w:r>
      <w:r>
        <w:rPr>
          <w:rFonts w:hint="eastAsia" w:ascii="仿宋_GB2312" w:eastAsia="仿宋_GB2312"/>
          <w:bCs/>
          <w:kern w:val="0"/>
          <w:sz w:val="32"/>
          <w:szCs w:val="32"/>
        </w:rPr>
        <w:t>及依据。</w:t>
      </w:r>
    </w:p>
    <w:p>
      <w:pPr>
        <w:pStyle w:val="2"/>
        <w:spacing w:line="560" w:lineRule="exact"/>
        <w:ind w:firstLine="640"/>
        <w:rPr>
          <w:sz w:val="32"/>
          <w:szCs w:val="32"/>
        </w:rPr>
      </w:pPr>
      <w:r>
        <w:rPr>
          <w:rFonts w:hint="eastAsia"/>
          <w:bCs/>
          <w:kern w:val="0"/>
          <w:sz w:val="32"/>
          <w:szCs w:val="32"/>
        </w:rPr>
        <w:t>基金管理人在披露运营管理机构的费用收取情况</w:t>
      </w:r>
      <w:r>
        <w:rPr>
          <w:rFonts w:hint="eastAsia"/>
          <w:bCs/>
          <w:kern w:val="0"/>
          <w:sz w:val="32"/>
          <w:szCs w:val="32"/>
          <w:lang w:eastAsia="zh-CN"/>
        </w:rPr>
        <w:t>以</w:t>
      </w:r>
      <w:r>
        <w:rPr>
          <w:rFonts w:hint="eastAsia"/>
          <w:bCs/>
          <w:kern w:val="0"/>
          <w:sz w:val="32"/>
          <w:szCs w:val="32"/>
        </w:rPr>
        <w:t>及依据时，还应当披露</w:t>
      </w:r>
      <w:r>
        <w:rPr>
          <w:rFonts w:hint="eastAsia"/>
          <w:sz w:val="32"/>
          <w:szCs w:val="32"/>
        </w:rPr>
        <w:t>运营业绩奖惩激励情况。</w:t>
      </w:r>
    </w:p>
    <w:p>
      <w:pPr>
        <w:tabs>
          <w:tab w:val="left" w:pos="1701"/>
        </w:tabs>
        <w:spacing w:line="560" w:lineRule="exact"/>
        <w:ind w:firstLine="642" w:firstLineChars="200"/>
        <w:rPr>
          <w:rFonts w:eastAsia="仿宋_GB2312"/>
          <w:sz w:val="32"/>
          <w:szCs w:val="32"/>
        </w:rPr>
      </w:pPr>
      <w:r>
        <w:rPr>
          <w:rFonts w:hint="eastAsia" w:ascii="仿宋_GB2312" w:eastAsia="仿宋_GB2312"/>
          <w:b/>
          <w:kern w:val="0"/>
          <w:sz w:val="32"/>
          <w:szCs w:val="32"/>
        </w:rPr>
        <w:t>第十四条</w:t>
      </w:r>
      <w:r>
        <w:rPr>
          <w:rFonts w:hint="eastAsia" w:ascii="仿宋_GB2312" w:eastAsia="仿宋_GB2312"/>
          <w:b/>
          <w:kern w:val="0"/>
          <w:sz w:val="32"/>
          <w:szCs w:val="32"/>
          <w:lang w:val="en-US" w:eastAsia="zh-CN"/>
        </w:rPr>
        <w:t xml:space="preserve"> </w:t>
      </w:r>
      <w:r>
        <w:rPr>
          <w:rFonts w:hint="eastAsia" w:ascii="仿宋_GB2312" w:eastAsia="仿宋_GB2312"/>
          <w:bCs/>
          <w:kern w:val="0"/>
          <w:sz w:val="32"/>
          <w:szCs w:val="32"/>
        </w:rPr>
        <w:t>基金管理人应当在年度报告中披露</w:t>
      </w:r>
      <w:r>
        <w:rPr>
          <w:rFonts w:hint="eastAsia" w:ascii="仿宋_GB2312" w:eastAsia="仿宋_GB2312"/>
          <w:sz w:val="32"/>
          <w:szCs w:val="32"/>
        </w:rPr>
        <w:t>报告期内基金份额持有人结构变化情况。</w:t>
      </w:r>
    </w:p>
    <w:p>
      <w:pPr>
        <w:tabs>
          <w:tab w:val="left" w:pos="1701"/>
        </w:tabs>
        <w:spacing w:line="560" w:lineRule="exact"/>
        <w:ind w:firstLine="642" w:firstLineChars="200"/>
        <w:rPr>
          <w:rFonts w:ascii="仿宋_GB2312" w:eastAsia="仿宋_GB2312"/>
          <w:kern w:val="0"/>
          <w:sz w:val="32"/>
          <w:szCs w:val="32"/>
        </w:rPr>
      </w:pPr>
      <w:r>
        <w:rPr>
          <w:rFonts w:hint="eastAsia" w:ascii="仿宋_GB2312" w:eastAsia="仿宋_GB2312"/>
          <w:b/>
          <w:bCs/>
          <w:kern w:val="0"/>
          <w:sz w:val="32"/>
          <w:szCs w:val="32"/>
        </w:rPr>
        <w:t>第十五条</w:t>
      </w:r>
      <w:r>
        <w:rPr>
          <w:rFonts w:hint="eastAsia" w:ascii="仿宋_GB2312" w:eastAsia="仿宋_GB2312"/>
          <w:b/>
          <w:bCs/>
          <w:kern w:val="0"/>
          <w:sz w:val="32"/>
          <w:szCs w:val="32"/>
          <w:lang w:val="en-US" w:eastAsia="zh-CN"/>
        </w:rPr>
        <w:t xml:space="preserve"> </w:t>
      </w:r>
      <w:r>
        <w:rPr>
          <w:rFonts w:hint="eastAsia" w:ascii="仿宋_GB2312" w:eastAsia="仿宋_GB2312"/>
          <w:kern w:val="0"/>
          <w:sz w:val="32"/>
          <w:szCs w:val="32"/>
        </w:rPr>
        <w:t>基金管理人应当在年度报告中披露评估报告、评估报告摘要、基金管理人聘任评估机构</w:t>
      </w:r>
      <w:r>
        <w:rPr>
          <w:rFonts w:hint="eastAsia" w:ascii="仿宋_GB2312" w:eastAsia="仿宋_GB2312"/>
          <w:kern w:val="0"/>
          <w:sz w:val="32"/>
          <w:szCs w:val="32"/>
          <w:lang w:eastAsia="zh-CN"/>
        </w:rPr>
        <w:t>以</w:t>
      </w:r>
      <w:r>
        <w:rPr>
          <w:rFonts w:hint="eastAsia" w:ascii="仿宋_GB2312" w:eastAsia="仿宋_GB2312"/>
          <w:kern w:val="0"/>
          <w:sz w:val="32"/>
          <w:szCs w:val="32"/>
        </w:rPr>
        <w:t>及评估报告内容的合规性说明。重要评估参数发生变化的</w:t>
      </w:r>
      <w:r>
        <w:rPr>
          <w:rFonts w:ascii="仿宋_GB2312" w:eastAsia="仿宋_GB2312"/>
          <w:kern w:val="0"/>
          <w:sz w:val="32"/>
          <w:szCs w:val="32"/>
        </w:rPr>
        <w:t>，</w:t>
      </w:r>
      <w:r>
        <w:rPr>
          <w:rFonts w:hint="eastAsia" w:ascii="仿宋_GB2312" w:eastAsia="仿宋_GB2312"/>
          <w:kern w:val="0"/>
          <w:sz w:val="32"/>
          <w:szCs w:val="32"/>
        </w:rPr>
        <w:t>基金</w:t>
      </w:r>
      <w:r>
        <w:rPr>
          <w:rFonts w:ascii="仿宋_GB2312" w:eastAsia="仿宋_GB2312"/>
          <w:kern w:val="0"/>
          <w:sz w:val="32"/>
          <w:szCs w:val="32"/>
        </w:rPr>
        <w:t>管理人应当</w:t>
      </w:r>
      <w:r>
        <w:rPr>
          <w:rFonts w:hint="eastAsia" w:ascii="仿宋_GB2312" w:eastAsia="仿宋_GB2312"/>
          <w:kern w:val="0"/>
          <w:sz w:val="32"/>
          <w:szCs w:val="32"/>
        </w:rPr>
        <w:t>在</w:t>
      </w:r>
      <w:r>
        <w:rPr>
          <w:rFonts w:ascii="仿宋_GB2312" w:eastAsia="仿宋_GB2312"/>
          <w:kern w:val="0"/>
          <w:sz w:val="32"/>
          <w:szCs w:val="32"/>
        </w:rPr>
        <w:t>年度报告中披露</w:t>
      </w:r>
      <w:r>
        <w:rPr>
          <w:rFonts w:hint="eastAsia" w:ascii="仿宋_GB2312" w:eastAsia="仿宋_GB2312"/>
          <w:kern w:val="0"/>
          <w:sz w:val="32"/>
          <w:szCs w:val="32"/>
        </w:rPr>
        <w:t>变化</w:t>
      </w:r>
      <w:r>
        <w:rPr>
          <w:rFonts w:ascii="仿宋_GB2312" w:eastAsia="仿宋_GB2312"/>
          <w:kern w:val="0"/>
          <w:sz w:val="32"/>
          <w:szCs w:val="32"/>
        </w:rPr>
        <w:t>前后参数选取情况、</w:t>
      </w:r>
      <w:r>
        <w:rPr>
          <w:rFonts w:hint="eastAsia" w:ascii="仿宋_GB2312" w:eastAsia="仿宋_GB2312"/>
          <w:kern w:val="0"/>
          <w:sz w:val="32"/>
          <w:szCs w:val="32"/>
        </w:rPr>
        <w:t>参数</w:t>
      </w:r>
      <w:r>
        <w:rPr>
          <w:rFonts w:ascii="仿宋_GB2312" w:eastAsia="仿宋_GB2312"/>
          <w:kern w:val="0"/>
          <w:sz w:val="32"/>
          <w:szCs w:val="32"/>
        </w:rPr>
        <w:t>变化</w:t>
      </w:r>
      <w:r>
        <w:rPr>
          <w:rFonts w:hint="eastAsia" w:ascii="仿宋_GB2312" w:eastAsia="仿宋_GB2312"/>
          <w:kern w:val="0"/>
          <w:sz w:val="32"/>
          <w:szCs w:val="32"/>
        </w:rPr>
        <w:t>原因</w:t>
      </w:r>
      <w:r>
        <w:rPr>
          <w:rFonts w:ascii="仿宋_GB2312" w:eastAsia="仿宋_GB2312"/>
          <w:kern w:val="0"/>
          <w:sz w:val="32"/>
          <w:szCs w:val="32"/>
        </w:rPr>
        <w:t>、</w:t>
      </w:r>
      <w:r>
        <w:rPr>
          <w:rFonts w:hint="eastAsia" w:ascii="仿宋_GB2312" w:eastAsia="仿宋_GB2312"/>
          <w:kern w:val="0"/>
          <w:sz w:val="32"/>
          <w:szCs w:val="32"/>
        </w:rPr>
        <w:t>对评估预测</w:t>
      </w:r>
      <w:r>
        <w:rPr>
          <w:rFonts w:ascii="仿宋_GB2312" w:eastAsia="仿宋_GB2312"/>
          <w:kern w:val="0"/>
          <w:sz w:val="32"/>
          <w:szCs w:val="32"/>
        </w:rPr>
        <w:t>现金流</w:t>
      </w:r>
      <w:r>
        <w:rPr>
          <w:rFonts w:hint="eastAsia" w:ascii="仿宋_GB2312" w:eastAsia="仿宋_GB2312"/>
          <w:kern w:val="0"/>
          <w:sz w:val="32"/>
          <w:szCs w:val="32"/>
          <w:lang w:eastAsia="zh-CN"/>
        </w:rPr>
        <w:t>以</w:t>
      </w:r>
      <w:r>
        <w:rPr>
          <w:rFonts w:hint="eastAsia" w:ascii="仿宋_GB2312" w:eastAsia="仿宋_GB2312"/>
          <w:kern w:val="0"/>
          <w:sz w:val="32"/>
          <w:szCs w:val="32"/>
        </w:rPr>
        <w:t>及</w:t>
      </w:r>
      <w:r>
        <w:rPr>
          <w:rFonts w:ascii="仿宋_GB2312" w:eastAsia="仿宋_GB2312"/>
          <w:kern w:val="0"/>
          <w:sz w:val="32"/>
          <w:szCs w:val="32"/>
        </w:rPr>
        <w:t>评估</w:t>
      </w:r>
      <w:r>
        <w:rPr>
          <w:rFonts w:hint="eastAsia" w:ascii="仿宋_GB2312" w:eastAsia="仿宋_GB2312"/>
          <w:kern w:val="0"/>
          <w:sz w:val="32"/>
          <w:szCs w:val="32"/>
        </w:rPr>
        <w:t>价</w:t>
      </w:r>
      <w:r>
        <w:rPr>
          <w:rFonts w:ascii="仿宋_GB2312" w:eastAsia="仿宋_GB2312"/>
          <w:kern w:val="0"/>
          <w:sz w:val="32"/>
          <w:szCs w:val="32"/>
        </w:rPr>
        <w:t>值的影响等。</w:t>
      </w:r>
      <w:r>
        <w:rPr>
          <w:rFonts w:hint="eastAsia" w:ascii="仿宋_GB2312" w:eastAsia="仿宋_GB2312"/>
          <w:kern w:val="0"/>
          <w:sz w:val="32"/>
          <w:szCs w:val="32"/>
        </w:rPr>
        <w:t>评估结果较最近一次评估结果差异</w:t>
      </w:r>
      <w:r>
        <w:rPr>
          <w:rFonts w:hint="default" w:ascii="Times New Roman" w:eastAsia="仿宋_GB2312"/>
          <w:kern w:val="0"/>
          <w:sz w:val="32"/>
          <w:szCs w:val="32"/>
        </w:rPr>
        <w:t>在10%以</w:t>
      </w:r>
      <w:r>
        <w:rPr>
          <w:rFonts w:hint="eastAsia" w:ascii="仿宋_GB2312" w:eastAsia="仿宋_GB2312"/>
          <w:kern w:val="0"/>
          <w:sz w:val="32"/>
          <w:szCs w:val="32"/>
        </w:rPr>
        <w:t>上的</w:t>
      </w:r>
      <w:r>
        <w:rPr>
          <w:rFonts w:ascii="仿宋_GB2312" w:eastAsia="仿宋_GB2312"/>
          <w:kern w:val="0"/>
          <w:sz w:val="32"/>
          <w:szCs w:val="32"/>
        </w:rPr>
        <w:t>，</w:t>
      </w:r>
      <w:r>
        <w:rPr>
          <w:rFonts w:hint="eastAsia" w:ascii="仿宋_GB2312" w:eastAsia="仿宋_GB2312"/>
          <w:kern w:val="0"/>
          <w:sz w:val="32"/>
          <w:szCs w:val="32"/>
        </w:rPr>
        <w:t>基金</w:t>
      </w:r>
      <w:r>
        <w:rPr>
          <w:rFonts w:ascii="仿宋_GB2312" w:eastAsia="仿宋_GB2312"/>
          <w:kern w:val="0"/>
          <w:sz w:val="32"/>
          <w:szCs w:val="32"/>
        </w:rPr>
        <w:t>管理人应当</w:t>
      </w:r>
      <w:r>
        <w:rPr>
          <w:rFonts w:hint="eastAsia" w:ascii="仿宋_GB2312" w:eastAsia="仿宋_GB2312"/>
          <w:kern w:val="0"/>
          <w:sz w:val="32"/>
          <w:szCs w:val="32"/>
        </w:rPr>
        <w:t>在</w:t>
      </w:r>
      <w:r>
        <w:rPr>
          <w:rFonts w:ascii="仿宋_GB2312" w:eastAsia="仿宋_GB2312"/>
          <w:kern w:val="0"/>
          <w:sz w:val="32"/>
          <w:szCs w:val="32"/>
        </w:rPr>
        <w:t>年度报告中披露变化</w:t>
      </w:r>
      <w:r>
        <w:rPr>
          <w:rFonts w:hint="eastAsia" w:ascii="仿宋_GB2312" w:eastAsia="仿宋_GB2312"/>
          <w:kern w:val="0"/>
          <w:sz w:val="32"/>
          <w:szCs w:val="32"/>
        </w:rPr>
        <w:t>原因。</w:t>
      </w:r>
    </w:p>
    <w:p>
      <w:pPr>
        <w:pStyle w:val="2"/>
        <w:spacing w:line="560" w:lineRule="exact"/>
        <w:ind w:firstLine="640"/>
        <w:rPr>
          <w:kern w:val="0"/>
          <w:sz w:val="32"/>
          <w:szCs w:val="32"/>
        </w:rPr>
      </w:pPr>
      <w:r>
        <w:rPr>
          <w:rFonts w:hint="eastAsia"/>
          <w:kern w:val="0"/>
          <w:sz w:val="32"/>
          <w:szCs w:val="32"/>
        </w:rPr>
        <w:t>基金管理人应当在年度报告中披露</w:t>
      </w:r>
      <w:r>
        <w:rPr>
          <w:kern w:val="0"/>
          <w:sz w:val="32"/>
          <w:szCs w:val="32"/>
        </w:rPr>
        <w:t>报告期内</w:t>
      </w:r>
      <w:r>
        <w:rPr>
          <w:rFonts w:hint="eastAsia"/>
          <w:kern w:val="0"/>
          <w:sz w:val="32"/>
          <w:szCs w:val="32"/>
        </w:rPr>
        <w:t>重要</w:t>
      </w:r>
      <w:r>
        <w:rPr>
          <w:kern w:val="0"/>
          <w:sz w:val="32"/>
          <w:szCs w:val="32"/>
        </w:rPr>
        <w:t>基础设施项目</w:t>
      </w:r>
      <w:r>
        <w:rPr>
          <w:rFonts w:hint="eastAsia"/>
          <w:kern w:val="0"/>
          <w:sz w:val="32"/>
          <w:szCs w:val="32"/>
        </w:rPr>
        <w:t>和基础设施项目整体实际产生现金流</w:t>
      </w:r>
      <w:r>
        <w:rPr>
          <w:rFonts w:hint="eastAsia"/>
          <w:sz w:val="32"/>
          <w:szCs w:val="32"/>
        </w:rPr>
        <w:t>情况。</w:t>
      </w:r>
      <w:r>
        <w:rPr>
          <w:rFonts w:hint="eastAsia"/>
          <w:kern w:val="0"/>
          <w:sz w:val="32"/>
          <w:szCs w:val="32"/>
        </w:rPr>
        <w:t>重要</w:t>
      </w:r>
      <w:r>
        <w:rPr>
          <w:kern w:val="0"/>
          <w:sz w:val="32"/>
          <w:szCs w:val="32"/>
        </w:rPr>
        <w:t>基础设施项目</w:t>
      </w:r>
      <w:r>
        <w:rPr>
          <w:rFonts w:hint="eastAsia"/>
          <w:kern w:val="0"/>
          <w:sz w:val="32"/>
          <w:szCs w:val="32"/>
        </w:rPr>
        <w:t>或者基础设施项目整体实际产生的现金流</w:t>
      </w:r>
      <w:r>
        <w:rPr>
          <w:kern w:val="0"/>
          <w:sz w:val="32"/>
          <w:szCs w:val="32"/>
        </w:rPr>
        <w:t>较</w:t>
      </w:r>
      <w:r>
        <w:rPr>
          <w:rFonts w:hint="eastAsia"/>
          <w:kern w:val="0"/>
          <w:sz w:val="32"/>
          <w:szCs w:val="32"/>
        </w:rPr>
        <w:t>最近一次评估报告</w:t>
      </w:r>
      <w:r>
        <w:rPr>
          <w:kern w:val="0"/>
          <w:sz w:val="32"/>
          <w:szCs w:val="32"/>
        </w:rPr>
        <w:t>预测值差异</w:t>
      </w:r>
      <w:r>
        <w:rPr>
          <w:rFonts w:hint="eastAsia"/>
          <w:kern w:val="0"/>
          <w:sz w:val="32"/>
          <w:szCs w:val="32"/>
        </w:rPr>
        <w:t>在</w:t>
      </w:r>
      <w:r>
        <w:rPr>
          <w:rFonts w:ascii="Times New Roman"/>
          <w:kern w:val="0"/>
          <w:sz w:val="32"/>
          <w:szCs w:val="32"/>
        </w:rPr>
        <w:t>20%以</w:t>
      </w:r>
      <w:r>
        <w:rPr>
          <w:kern w:val="0"/>
          <w:sz w:val="32"/>
          <w:szCs w:val="32"/>
        </w:rPr>
        <w:t>上的，基金管理人应当在年度报告中披露差异金额、具体差异原因</w:t>
      </w:r>
      <w:r>
        <w:rPr>
          <w:rFonts w:hint="eastAsia"/>
          <w:kern w:val="0"/>
          <w:sz w:val="32"/>
          <w:szCs w:val="32"/>
        </w:rPr>
        <w:t>以及应对措施</w:t>
      </w:r>
      <w:r>
        <w:rPr>
          <w:kern w:val="0"/>
          <w:sz w:val="32"/>
          <w:szCs w:val="32"/>
        </w:rPr>
        <w:t>。</w:t>
      </w:r>
    </w:p>
    <w:p>
      <w:pPr>
        <w:pStyle w:val="2"/>
        <w:spacing w:line="560" w:lineRule="exact"/>
        <w:ind w:firstLine="640"/>
        <w:rPr>
          <w:kern w:val="0"/>
          <w:sz w:val="32"/>
          <w:szCs w:val="32"/>
        </w:rPr>
      </w:pPr>
      <w:r>
        <w:rPr>
          <w:kern w:val="0"/>
          <w:sz w:val="32"/>
          <w:szCs w:val="32"/>
        </w:rPr>
        <w:t>评估机构应当在</w:t>
      </w:r>
      <w:r>
        <w:rPr>
          <w:rFonts w:hint="eastAsia"/>
          <w:kern w:val="0"/>
          <w:sz w:val="32"/>
          <w:szCs w:val="32"/>
        </w:rPr>
        <w:t>年度</w:t>
      </w:r>
      <w:r>
        <w:rPr>
          <w:kern w:val="0"/>
          <w:sz w:val="32"/>
          <w:szCs w:val="32"/>
        </w:rPr>
        <w:t>评估报告中披露基础设施项目</w:t>
      </w:r>
      <w:r>
        <w:rPr>
          <w:rFonts w:hint="eastAsia"/>
          <w:kern w:val="0"/>
          <w:sz w:val="32"/>
          <w:szCs w:val="32"/>
        </w:rPr>
        <w:t>整体</w:t>
      </w:r>
      <w:r>
        <w:rPr>
          <w:kern w:val="0"/>
          <w:sz w:val="32"/>
          <w:szCs w:val="32"/>
        </w:rPr>
        <w:t>全周期</w:t>
      </w:r>
      <w:r>
        <w:rPr>
          <w:rFonts w:hint="eastAsia"/>
          <w:kern w:val="0"/>
          <w:sz w:val="32"/>
          <w:szCs w:val="32"/>
        </w:rPr>
        <w:t>现金流</w:t>
      </w:r>
      <w:r>
        <w:rPr>
          <w:kern w:val="0"/>
          <w:sz w:val="32"/>
          <w:szCs w:val="32"/>
        </w:rPr>
        <w:t>预测情况。</w:t>
      </w:r>
    </w:p>
    <w:p>
      <w:pPr>
        <w:tabs>
          <w:tab w:val="left" w:pos="1701"/>
        </w:tabs>
        <w:spacing w:line="560" w:lineRule="exact"/>
        <w:ind w:firstLine="642" w:firstLineChars="200"/>
        <w:rPr>
          <w:rFonts w:ascii="仿宋_GB2312" w:eastAsia="仿宋_GB2312"/>
          <w:bCs/>
          <w:kern w:val="0"/>
          <w:sz w:val="32"/>
          <w:szCs w:val="32"/>
        </w:rPr>
      </w:pPr>
      <w:r>
        <w:rPr>
          <w:rFonts w:hint="eastAsia" w:ascii="仿宋_GB2312" w:eastAsia="仿宋_GB2312"/>
          <w:b/>
          <w:kern w:val="0"/>
          <w:sz w:val="32"/>
          <w:szCs w:val="32"/>
        </w:rPr>
        <w:t>第十六条</w:t>
      </w:r>
      <w:r>
        <w:rPr>
          <w:rFonts w:hint="eastAsia" w:ascii="仿宋_GB2312" w:eastAsia="仿宋_GB2312"/>
          <w:b/>
          <w:kern w:val="0"/>
          <w:sz w:val="32"/>
          <w:szCs w:val="32"/>
          <w:lang w:val="en-US" w:eastAsia="zh-CN"/>
        </w:rPr>
        <w:t xml:space="preserve"> </w:t>
      </w:r>
      <w:r>
        <w:rPr>
          <w:rFonts w:hint="eastAsia" w:ascii="仿宋_GB2312" w:eastAsia="仿宋_GB2312"/>
          <w:bCs/>
          <w:kern w:val="0"/>
          <w:sz w:val="32"/>
          <w:szCs w:val="32"/>
        </w:rPr>
        <w:t>基础设施项目在报告期内合计发生金额占当年收入比例超过</w:t>
      </w:r>
      <w:r>
        <w:rPr>
          <w:rFonts w:hint="default" w:ascii="Times New Roman" w:eastAsia="仿宋_GB2312"/>
          <w:bCs/>
          <w:kern w:val="0"/>
          <w:sz w:val="32"/>
          <w:szCs w:val="32"/>
        </w:rPr>
        <w:t>10%的资本</w:t>
      </w:r>
      <w:r>
        <w:rPr>
          <w:rFonts w:hint="eastAsia" w:ascii="仿宋_GB2312" w:eastAsia="仿宋_GB2312"/>
          <w:bCs/>
          <w:kern w:val="0"/>
          <w:sz w:val="32"/>
          <w:szCs w:val="32"/>
        </w:rPr>
        <w:t>性支出的，基金管理人应当在年度报告中披露资本性支出使用情况。</w:t>
      </w:r>
    </w:p>
    <w:p>
      <w:pPr>
        <w:tabs>
          <w:tab w:val="left" w:pos="1701"/>
        </w:tabs>
        <w:spacing w:line="560" w:lineRule="exact"/>
        <w:ind w:firstLine="642" w:firstLineChars="200"/>
        <w:rPr>
          <w:rFonts w:ascii="仿宋_GB2312" w:eastAsia="仿宋_GB2312"/>
          <w:kern w:val="0"/>
          <w:sz w:val="32"/>
          <w:szCs w:val="32"/>
        </w:rPr>
      </w:pPr>
      <w:r>
        <w:rPr>
          <w:rFonts w:hint="eastAsia" w:ascii="仿宋_GB2312" w:eastAsia="仿宋_GB2312"/>
          <w:b/>
          <w:kern w:val="0"/>
          <w:sz w:val="32"/>
          <w:szCs w:val="32"/>
        </w:rPr>
        <w:t>第十七条</w:t>
      </w:r>
      <w:r>
        <w:rPr>
          <w:rFonts w:hint="eastAsia" w:ascii="仿宋_GB2312" w:eastAsia="仿宋_GB2312"/>
          <w:b/>
          <w:kern w:val="0"/>
          <w:sz w:val="32"/>
          <w:szCs w:val="32"/>
          <w:lang w:val="en-US" w:eastAsia="zh-CN"/>
        </w:rPr>
        <w:t xml:space="preserve"> </w:t>
      </w:r>
      <w:r>
        <w:rPr>
          <w:rFonts w:hint="eastAsia" w:ascii="仿宋_GB2312" w:eastAsia="仿宋_GB2312"/>
          <w:kern w:val="0"/>
          <w:sz w:val="32"/>
          <w:szCs w:val="32"/>
        </w:rPr>
        <w:t>报告期内进行基础设施项目重大改造或者扩建的，基金管理人应当在年度报告中披露改造或者扩建基础设施项目基本情况、资金来源、预计投入成本、进展情况、预计竣工和交付时间等核心信息，并分析对基金份额持有人权益的影响。报告期内完成改造或者扩建的，应当披露实际投入成本、竣工和交付时间等核心信息。</w:t>
      </w:r>
    </w:p>
    <w:p>
      <w:pPr>
        <w:tabs>
          <w:tab w:val="left" w:pos="1701"/>
        </w:tabs>
        <w:spacing w:line="560" w:lineRule="exact"/>
        <w:ind w:firstLine="642" w:firstLineChars="200"/>
        <w:rPr>
          <w:sz w:val="32"/>
          <w:szCs w:val="32"/>
        </w:rPr>
      </w:pPr>
      <w:r>
        <w:rPr>
          <w:rFonts w:hint="eastAsia" w:ascii="仿宋_GB2312" w:eastAsia="仿宋_GB2312"/>
          <w:b/>
          <w:kern w:val="0"/>
          <w:sz w:val="32"/>
          <w:szCs w:val="32"/>
        </w:rPr>
        <w:t>第十八条</w:t>
      </w:r>
      <w:r>
        <w:rPr>
          <w:rFonts w:hint="eastAsia" w:ascii="仿宋_GB2312" w:eastAsia="仿宋_GB2312"/>
          <w:b/>
          <w:kern w:val="0"/>
          <w:sz w:val="32"/>
          <w:szCs w:val="32"/>
          <w:lang w:val="en-US" w:eastAsia="zh-CN"/>
        </w:rPr>
        <w:t xml:space="preserve"> </w:t>
      </w:r>
      <w:r>
        <w:rPr>
          <w:rFonts w:hint="eastAsia" w:ascii="仿宋_GB2312" w:eastAsia="仿宋_GB2312"/>
          <w:kern w:val="0"/>
          <w:sz w:val="32"/>
          <w:szCs w:val="32"/>
        </w:rPr>
        <w:t>报告期内完成基础设施基金购入、出售基础设施项目交割审计的，基金管理人应当在年度报告中披露购买或者出售基础设施项目实际取得或者支付的对价、交割日基础设施基金实际取得或者出售基础设施项目的资产负债情况、因本次交易形成的基础设施基金财产应收或者应付情况以及报告期内的履行情况。</w:t>
      </w:r>
    </w:p>
    <w:p>
      <w:pPr>
        <w:tabs>
          <w:tab w:val="left" w:pos="1701"/>
        </w:tabs>
        <w:spacing w:line="560" w:lineRule="exact"/>
        <w:ind w:firstLine="642" w:firstLineChars="200"/>
        <w:rPr>
          <w:rFonts w:ascii="仿宋_GB2312" w:eastAsia="仿宋_GB2312"/>
          <w:kern w:val="0"/>
          <w:sz w:val="32"/>
          <w:szCs w:val="32"/>
        </w:rPr>
      </w:pPr>
      <w:r>
        <w:rPr>
          <w:rFonts w:hint="eastAsia" w:ascii="仿宋_GB2312" w:eastAsia="仿宋_GB2312"/>
          <w:b/>
          <w:kern w:val="0"/>
          <w:sz w:val="32"/>
          <w:szCs w:val="32"/>
        </w:rPr>
        <w:t>第十九条</w:t>
      </w:r>
      <w:r>
        <w:rPr>
          <w:rFonts w:hint="eastAsia" w:ascii="仿宋_GB2312" w:eastAsia="仿宋_GB2312"/>
          <w:b/>
          <w:kern w:val="0"/>
          <w:sz w:val="32"/>
          <w:szCs w:val="32"/>
          <w:lang w:val="en-US" w:eastAsia="zh-CN"/>
        </w:rPr>
        <w:t xml:space="preserve"> </w:t>
      </w:r>
      <w:r>
        <w:rPr>
          <w:rFonts w:hint="eastAsia" w:ascii="仿宋_GB2312" w:eastAsia="仿宋_GB2312"/>
          <w:bCs/>
          <w:kern w:val="0"/>
          <w:sz w:val="32"/>
          <w:szCs w:val="32"/>
        </w:rPr>
        <w:t>基金管理人应当在年度报告中披露</w:t>
      </w:r>
      <w:r>
        <w:rPr>
          <w:rFonts w:hint="eastAsia" w:ascii="仿宋_GB2312" w:eastAsia="仿宋_GB2312"/>
          <w:kern w:val="0"/>
          <w:sz w:val="32"/>
          <w:szCs w:val="32"/>
        </w:rPr>
        <w:t>报告期内发生的关联交易，包括对应的关联关系、交易主体、交易对象、交易目的、定价政策</w:t>
      </w:r>
      <w:r>
        <w:rPr>
          <w:rFonts w:hint="eastAsia" w:ascii="仿宋_GB2312" w:eastAsia="仿宋_GB2312"/>
          <w:kern w:val="0"/>
          <w:sz w:val="32"/>
          <w:szCs w:val="32"/>
          <w:lang w:eastAsia="zh-CN"/>
        </w:rPr>
        <w:t>以</w:t>
      </w:r>
      <w:r>
        <w:rPr>
          <w:rFonts w:hint="eastAsia" w:ascii="仿宋_GB2312" w:eastAsia="仿宋_GB2312"/>
          <w:kern w:val="0"/>
          <w:sz w:val="32"/>
          <w:szCs w:val="32"/>
        </w:rPr>
        <w:t>及依据、交易金额、就关联交易采取的内部控制措施等，以及相关利益冲突防范措施。</w:t>
      </w:r>
    </w:p>
    <w:p>
      <w:pPr>
        <w:tabs>
          <w:tab w:val="left" w:pos="1701"/>
        </w:tabs>
        <w:spacing w:line="560" w:lineRule="exact"/>
        <w:ind w:firstLine="642" w:firstLineChars="200"/>
        <w:rPr>
          <w:sz w:val="32"/>
          <w:szCs w:val="32"/>
        </w:rPr>
      </w:pPr>
      <w:r>
        <w:rPr>
          <w:rFonts w:hint="eastAsia" w:ascii="仿宋_GB2312" w:eastAsia="仿宋_GB2312"/>
          <w:b/>
          <w:kern w:val="0"/>
          <w:sz w:val="32"/>
          <w:szCs w:val="32"/>
        </w:rPr>
        <w:t>第二十条</w:t>
      </w:r>
      <w:r>
        <w:rPr>
          <w:rFonts w:hint="eastAsia" w:ascii="仿宋_GB2312" w:eastAsia="仿宋_GB2312"/>
          <w:b/>
          <w:kern w:val="0"/>
          <w:sz w:val="32"/>
          <w:szCs w:val="32"/>
          <w:lang w:val="en-US" w:eastAsia="zh-CN"/>
        </w:rPr>
        <w:t xml:space="preserve"> </w:t>
      </w:r>
      <w:r>
        <w:rPr>
          <w:rFonts w:hint="eastAsia" w:ascii="仿宋_GB2312" w:eastAsia="仿宋_GB2312"/>
          <w:kern w:val="0"/>
          <w:sz w:val="32"/>
          <w:szCs w:val="32"/>
        </w:rPr>
        <w:t>基金管理人应当在年度报告中披露固定资产、无形资产、投资性房地产、商誉等与基础设施项目相关的资产以及其他基础设施基金资产减值计提情况。发生减值比例超过10%的，应当披露发生减值的原因、已采取或者拟采取的措施等。</w:t>
      </w:r>
    </w:p>
    <w:p>
      <w:pPr>
        <w:pStyle w:val="2"/>
        <w:spacing w:line="560" w:lineRule="exact"/>
        <w:ind w:firstLine="643"/>
        <w:rPr>
          <w:sz w:val="32"/>
          <w:szCs w:val="32"/>
        </w:rPr>
      </w:pPr>
      <w:r>
        <w:rPr>
          <w:rFonts w:hint="eastAsia"/>
          <w:b/>
          <w:bCs/>
          <w:sz w:val="32"/>
          <w:szCs w:val="32"/>
        </w:rPr>
        <w:t>第二十一条</w:t>
      </w:r>
      <w:r>
        <w:rPr>
          <w:rFonts w:hint="eastAsia"/>
          <w:b/>
          <w:bCs/>
          <w:sz w:val="32"/>
          <w:szCs w:val="32"/>
          <w:lang w:val="en-US" w:eastAsia="zh-CN"/>
        </w:rPr>
        <w:t xml:space="preserve"> </w:t>
      </w:r>
      <w:r>
        <w:rPr>
          <w:rFonts w:hint="eastAsia"/>
          <w:bCs/>
          <w:kern w:val="0"/>
          <w:sz w:val="32"/>
          <w:szCs w:val="32"/>
        </w:rPr>
        <w:t>基金管理人应当在年度报告中披露报告期末除投资基础设施资产支持证券之外的资产组合类别明细，包括投资金额和占比等。</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第二十二条</w:t>
      </w:r>
      <w:r>
        <w:rPr>
          <w:rFonts w:hint="eastAsia" w:ascii="仿宋_GB2312" w:eastAsia="仿宋_GB2312"/>
          <w:b/>
          <w:bCs/>
          <w:sz w:val="32"/>
          <w:szCs w:val="32"/>
          <w:lang w:val="en-US" w:eastAsia="zh-CN"/>
        </w:rPr>
        <w:t xml:space="preserve"> </w:t>
      </w:r>
      <w:r>
        <w:rPr>
          <w:rFonts w:hint="eastAsia" w:ascii="仿宋_GB2312" w:eastAsia="仿宋_GB2312"/>
          <w:kern w:val="0"/>
          <w:sz w:val="32"/>
          <w:szCs w:val="32"/>
        </w:rPr>
        <w:t>基础设施</w:t>
      </w:r>
      <w:r>
        <w:rPr>
          <w:rFonts w:hint="eastAsia" w:ascii="仿宋_GB2312" w:eastAsia="仿宋_GB2312"/>
          <w:sz w:val="32"/>
          <w:szCs w:val="32"/>
        </w:rPr>
        <w:t>基金持有以公允价值进行后续计量的投资性房地产，</w:t>
      </w:r>
      <w:r>
        <w:rPr>
          <w:rFonts w:hint="eastAsia" w:ascii="仿宋_GB2312" w:eastAsia="仿宋_GB2312"/>
          <w:bCs/>
          <w:kern w:val="0"/>
          <w:sz w:val="32"/>
          <w:szCs w:val="32"/>
        </w:rPr>
        <w:t>基金管理人还应当按照下列要求在年度报告中进行披露：</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报告期内投资性房地产计量方法变更为采用公允价值进行后续计量的，应当在年度财务报告“投资性房地产”科目附注中披露投资性房地产主要项目的原会计计量方法、原账面价值、入账公允价值、计量方法变动时间、变动依据、对相关科目的影响金额等</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（二）报告期内投资性房地产公允价值变动超过</w:t>
      </w:r>
      <w:r>
        <w:rPr>
          <w:rFonts w:ascii="仿宋_GB2312" w:eastAsia="仿宋_GB2312"/>
          <w:sz w:val="32"/>
          <w:szCs w:val="32"/>
        </w:rPr>
        <w:t>10%</w:t>
      </w:r>
      <w:r>
        <w:rPr>
          <w:rFonts w:hint="eastAsia" w:ascii="仿宋_GB2312" w:eastAsia="仿宋_GB2312"/>
          <w:sz w:val="32"/>
          <w:szCs w:val="32"/>
        </w:rPr>
        <w:t>的，应当在年度报告中披露投资性房地产的变动原因</w:t>
      </w:r>
      <w:r>
        <w:rPr>
          <w:rFonts w:hint="eastAsia" w:ascii="仿宋_GB2312" w:eastAsia="仿宋_GB2312"/>
          <w:kern w:val="0"/>
          <w:sz w:val="32"/>
          <w:szCs w:val="32"/>
          <w:lang w:eastAsia="zh-CN"/>
        </w:rPr>
        <w:t>以</w:t>
      </w:r>
      <w:r>
        <w:rPr>
          <w:rFonts w:hint="eastAsia" w:ascii="仿宋_GB2312" w:eastAsia="仿宋_GB2312"/>
          <w:sz w:val="32"/>
          <w:szCs w:val="32"/>
        </w:rPr>
        <w:t>及金额</w:t>
      </w:r>
      <w:r>
        <w:rPr>
          <w:rFonts w:hint="eastAsia" w:ascii="仿宋_GB2312" w:eastAsia="仿宋_GB2312"/>
          <w:sz w:val="32"/>
          <w:szCs w:val="32"/>
          <w:lang w:eastAsia="zh-CN"/>
        </w:rPr>
        <w:t>；</w:t>
      </w:r>
    </w:p>
    <w:p>
      <w:pPr>
        <w:pStyle w:val="2"/>
        <w:spacing w:line="560" w:lineRule="exact"/>
        <w:ind w:firstLine="640"/>
        <w:rPr>
          <w:sz w:val="32"/>
          <w:szCs w:val="32"/>
        </w:rPr>
      </w:pPr>
      <w:r>
        <w:rPr>
          <w:rFonts w:hint="eastAsia"/>
          <w:sz w:val="32"/>
          <w:szCs w:val="32"/>
        </w:rPr>
        <w:t>（三）报告期</w:t>
      </w:r>
      <w:r>
        <w:rPr>
          <w:sz w:val="32"/>
          <w:szCs w:val="32"/>
        </w:rPr>
        <w:t>内</w:t>
      </w:r>
      <w:r>
        <w:rPr>
          <w:rFonts w:hint="eastAsia"/>
          <w:sz w:val="32"/>
          <w:szCs w:val="32"/>
        </w:rPr>
        <w:t>投资性房地产公允价值变动</w:t>
      </w:r>
      <w:r>
        <w:rPr>
          <w:rFonts w:hint="eastAsia"/>
          <w:kern w:val="0"/>
          <w:sz w:val="32"/>
          <w:szCs w:val="32"/>
        </w:rPr>
        <w:t>或者计量模式转换产生的影响金额</w:t>
      </w:r>
      <w:r>
        <w:rPr>
          <w:rFonts w:hint="eastAsia"/>
          <w:sz w:val="32"/>
          <w:szCs w:val="32"/>
        </w:rPr>
        <w:t>占</w:t>
      </w:r>
      <w:r>
        <w:rPr>
          <w:rFonts w:hint="eastAsia"/>
          <w:kern w:val="0"/>
          <w:sz w:val="32"/>
          <w:szCs w:val="32"/>
        </w:rPr>
        <w:t>基础设施</w:t>
      </w:r>
      <w:r>
        <w:rPr>
          <w:rFonts w:hint="eastAsia"/>
          <w:sz w:val="32"/>
          <w:szCs w:val="32"/>
        </w:rPr>
        <w:t>基金最近一期经审计净利润</w:t>
      </w:r>
      <w:r>
        <w:rPr>
          <w:rFonts w:hint="eastAsia"/>
          <w:kern w:val="0"/>
          <w:sz w:val="32"/>
          <w:szCs w:val="32"/>
        </w:rPr>
        <w:t>或者净资产</w:t>
      </w:r>
      <w:r>
        <w:rPr>
          <w:sz w:val="32"/>
          <w:szCs w:val="32"/>
        </w:rPr>
        <w:t>30%</w:t>
      </w:r>
      <w:r>
        <w:rPr>
          <w:rFonts w:hint="eastAsia"/>
          <w:sz w:val="32"/>
          <w:szCs w:val="32"/>
        </w:rPr>
        <w:t>以上的，应当在年度报告中单独披露投资性房地产公允价值评估报告、评估说明或者市场价值调研报告。</w:t>
      </w:r>
    </w:p>
    <w:p>
      <w:pPr>
        <w:tabs>
          <w:tab w:val="left" w:pos="1701"/>
        </w:tabs>
        <w:spacing w:line="560" w:lineRule="exact"/>
        <w:ind w:firstLine="642" w:firstLineChars="200"/>
        <w:rPr>
          <w:rFonts w:ascii="仿宋_GB2312" w:eastAsia="仿宋_GB2312"/>
          <w:sz w:val="32"/>
          <w:szCs w:val="32"/>
        </w:rPr>
      </w:pPr>
      <w:r>
        <w:rPr>
          <w:rFonts w:hint="eastAsia" w:ascii="仿宋_GB2312" w:eastAsia="仿宋_GB2312"/>
          <w:b/>
          <w:bCs/>
          <w:sz w:val="32"/>
          <w:szCs w:val="32"/>
        </w:rPr>
        <w:t>第二十三条</w:t>
      </w:r>
      <w:r>
        <w:rPr>
          <w:rFonts w:hint="eastAsia" w:ascii="仿宋_GB2312" w:eastAsia="仿宋_GB2312"/>
          <w:b/>
          <w:bCs/>
          <w:sz w:val="32"/>
          <w:szCs w:val="32"/>
          <w:lang w:val="en-US" w:eastAsia="zh-CN"/>
        </w:rPr>
        <w:t xml:space="preserve"> </w:t>
      </w:r>
      <w:r>
        <w:rPr>
          <w:rFonts w:hint="eastAsia" w:ascii="仿宋_GB2312" w:eastAsia="仿宋_GB2312"/>
          <w:sz w:val="32"/>
          <w:szCs w:val="32"/>
        </w:rPr>
        <w:t>报告期内基础设施基金业务参与人作出基础设施基金相关承诺、承诺事项无法按期履行或者履行承诺可能不利于维护基础设施基金利益或者变更承诺的，基金管理人应当在年度报告中披露相关承诺事项以及履行相应决策程序情况。</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第二十四条</w:t>
      </w:r>
      <w:r>
        <w:rPr>
          <w:rFonts w:hint="eastAsia" w:ascii="仿宋_GB2312" w:eastAsia="仿宋_GB2312"/>
          <w:b/>
          <w:bCs/>
          <w:sz w:val="32"/>
          <w:szCs w:val="32"/>
          <w:lang w:val="en-US" w:eastAsia="zh-CN"/>
        </w:rPr>
        <w:t xml:space="preserve"> </w:t>
      </w:r>
      <w:r>
        <w:rPr>
          <w:rFonts w:hint="eastAsia" w:ascii="仿宋_GB2312" w:eastAsia="仿宋_GB2312"/>
          <w:sz w:val="32"/>
          <w:szCs w:val="32"/>
        </w:rPr>
        <w:t>基金管理人认为存在影响投资者决策的其他重要信息的，应当在年度报告中披露相关信息基本内容，并分析对基金份额持有人权益的影响。</w:t>
      </w:r>
    </w:p>
    <w:p>
      <w:pPr>
        <w:pStyle w:val="5"/>
        <w:rPr>
          <w:rFonts w:hint="default"/>
          <w:szCs w:val="32"/>
        </w:rPr>
      </w:pPr>
      <w:r>
        <w:rPr>
          <w:szCs w:val="32"/>
        </w:rPr>
        <w:t>第二节 业务参与人履职情况</w:t>
      </w:r>
    </w:p>
    <w:p>
      <w:pPr>
        <w:tabs>
          <w:tab w:val="left" w:pos="1701"/>
        </w:tabs>
        <w:spacing w:line="560" w:lineRule="exact"/>
        <w:ind w:firstLine="642" w:firstLineChars="200"/>
        <w:rPr>
          <w:rFonts w:ascii="仿宋_GB2312" w:eastAsia="仿宋_GB2312"/>
          <w:kern w:val="0"/>
          <w:sz w:val="32"/>
          <w:szCs w:val="32"/>
        </w:rPr>
      </w:pPr>
      <w:r>
        <w:rPr>
          <w:rFonts w:hint="eastAsia" w:ascii="仿宋_GB2312" w:eastAsia="仿宋_GB2312"/>
          <w:b/>
          <w:kern w:val="0"/>
          <w:sz w:val="32"/>
          <w:szCs w:val="32"/>
        </w:rPr>
        <w:t>第二十五条</w:t>
      </w:r>
      <w:r>
        <w:rPr>
          <w:rFonts w:hint="eastAsia" w:ascii="仿宋_GB2312" w:eastAsia="仿宋_GB2312"/>
          <w:b/>
          <w:kern w:val="0"/>
          <w:sz w:val="32"/>
          <w:szCs w:val="32"/>
          <w:lang w:val="en-US" w:eastAsia="zh-CN"/>
        </w:rPr>
        <w:t xml:space="preserve"> </w:t>
      </w:r>
      <w:r>
        <w:rPr>
          <w:rFonts w:hint="eastAsia" w:ascii="仿宋_GB2312" w:eastAsia="仿宋_GB2312"/>
          <w:sz w:val="32"/>
          <w:szCs w:val="32"/>
        </w:rPr>
        <w:t>基金管理人</w:t>
      </w:r>
      <w:r>
        <w:rPr>
          <w:rFonts w:hint="eastAsia" w:ascii="仿宋_GB2312" w:eastAsia="仿宋_GB2312"/>
          <w:kern w:val="0"/>
          <w:sz w:val="32"/>
          <w:szCs w:val="32"/>
        </w:rPr>
        <w:t>应当在年度报告中披露基金管理人、资产支持证券管理人、基金托管人、资产支持证券托管人、运营管理机构和原始权益人的注册地址、办公地址、邮政编码、法定代表人。</w:t>
      </w:r>
    </w:p>
    <w:p>
      <w:pPr>
        <w:tabs>
          <w:tab w:val="left" w:pos="1701"/>
        </w:tabs>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基金管理人应当在年度报告中披露会计师事务所、资产评估机构、律师事务所（如有）、财务顾问（如有）等专业机构的名称和办公地址。</w:t>
      </w:r>
    </w:p>
    <w:p>
      <w:pPr>
        <w:pStyle w:val="2"/>
        <w:spacing w:line="560" w:lineRule="exact"/>
        <w:ind w:firstLine="643"/>
        <w:rPr>
          <w:rFonts w:ascii="Times New Roman"/>
          <w:kern w:val="0"/>
          <w:sz w:val="32"/>
          <w:szCs w:val="32"/>
        </w:rPr>
      </w:pPr>
      <w:r>
        <w:rPr>
          <w:rFonts w:hint="eastAsia"/>
          <w:b/>
          <w:bCs/>
          <w:sz w:val="32"/>
          <w:szCs w:val="32"/>
        </w:rPr>
        <w:t>第二十六条</w:t>
      </w:r>
      <w:r>
        <w:rPr>
          <w:rFonts w:hint="eastAsia"/>
          <w:b/>
          <w:bCs/>
          <w:sz w:val="32"/>
          <w:szCs w:val="32"/>
          <w:lang w:val="en-US" w:eastAsia="zh-CN"/>
        </w:rPr>
        <w:t xml:space="preserve"> </w:t>
      </w:r>
      <w:r>
        <w:rPr>
          <w:rFonts w:ascii="Times New Roman"/>
          <w:kern w:val="0"/>
          <w:sz w:val="32"/>
          <w:szCs w:val="32"/>
        </w:rPr>
        <w:t>基金管理人应当在年度报告中披露基金管理人下列履职情况信息：</w:t>
      </w:r>
    </w:p>
    <w:p>
      <w:pPr>
        <w:tabs>
          <w:tab w:val="left" w:pos="1701"/>
        </w:tabs>
        <w:spacing w:line="560" w:lineRule="exact"/>
        <w:ind w:firstLine="640" w:firstLineChars="200"/>
        <w:rPr>
          <w:rFonts w:eastAsia="仿宋_GB2312"/>
          <w:kern w:val="0"/>
          <w:sz w:val="32"/>
          <w:szCs w:val="32"/>
        </w:rPr>
      </w:pPr>
      <w:r>
        <w:rPr>
          <w:rFonts w:eastAsia="仿宋_GB2312"/>
          <w:kern w:val="0"/>
          <w:sz w:val="32"/>
          <w:szCs w:val="32"/>
        </w:rPr>
        <w:t>（一）报告期内基金管理人</w:t>
      </w:r>
      <w:r>
        <w:rPr>
          <w:rFonts w:hint="eastAsia" w:ascii="仿宋_GB2312" w:eastAsia="仿宋_GB2312"/>
          <w:kern w:val="0"/>
          <w:sz w:val="32"/>
          <w:szCs w:val="32"/>
          <w:lang w:eastAsia="zh-CN"/>
        </w:rPr>
        <w:t>以</w:t>
      </w:r>
      <w:r>
        <w:rPr>
          <w:rFonts w:eastAsia="仿宋_GB2312"/>
          <w:kern w:val="0"/>
          <w:sz w:val="32"/>
          <w:szCs w:val="32"/>
        </w:rPr>
        <w:t>及主要负责人员情况，包括基金管理人及其管理基金的经验、基金经理简介等。</w:t>
      </w:r>
    </w:p>
    <w:p>
      <w:pPr>
        <w:tabs>
          <w:tab w:val="left" w:pos="1701"/>
        </w:tabs>
        <w:spacing w:line="56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二</w:t>
      </w:r>
      <w:r>
        <w:rPr>
          <w:rFonts w:eastAsia="仿宋_GB2312"/>
          <w:kern w:val="0"/>
          <w:sz w:val="32"/>
          <w:szCs w:val="32"/>
        </w:rPr>
        <w:t>）报告期内对</w:t>
      </w:r>
      <w:r>
        <w:rPr>
          <w:rFonts w:hint="eastAsia" w:ascii="仿宋_GB2312" w:eastAsia="仿宋_GB2312"/>
          <w:kern w:val="0"/>
          <w:sz w:val="32"/>
          <w:szCs w:val="32"/>
        </w:rPr>
        <w:t>基础设施</w:t>
      </w:r>
      <w:r>
        <w:rPr>
          <w:rFonts w:eastAsia="仿宋_GB2312"/>
          <w:kern w:val="0"/>
          <w:sz w:val="32"/>
          <w:szCs w:val="32"/>
        </w:rPr>
        <w:t>基金的投资运作决策和主动管理情况，包括报告期内</w:t>
      </w:r>
      <w:r>
        <w:rPr>
          <w:rFonts w:hint="eastAsia" w:ascii="仿宋_GB2312" w:eastAsia="仿宋_GB2312"/>
          <w:kern w:val="0"/>
          <w:sz w:val="32"/>
          <w:szCs w:val="32"/>
        </w:rPr>
        <w:t>基础设施</w:t>
      </w:r>
      <w:r>
        <w:rPr>
          <w:rFonts w:eastAsia="仿宋_GB2312"/>
          <w:kern w:val="0"/>
          <w:sz w:val="32"/>
          <w:szCs w:val="32"/>
        </w:rPr>
        <w:t>基金运作遵规守信情况、对报告期内公平交易制度</w:t>
      </w:r>
      <w:r>
        <w:rPr>
          <w:rFonts w:hint="eastAsia" w:ascii="仿宋_GB2312" w:eastAsia="仿宋_GB2312"/>
          <w:kern w:val="0"/>
          <w:sz w:val="32"/>
          <w:szCs w:val="32"/>
          <w:lang w:eastAsia="zh-CN"/>
        </w:rPr>
        <w:t>以</w:t>
      </w:r>
      <w:r>
        <w:rPr>
          <w:rFonts w:eastAsia="仿宋_GB2312"/>
          <w:kern w:val="0"/>
          <w:sz w:val="32"/>
          <w:szCs w:val="32"/>
        </w:rPr>
        <w:t>及执行情况的专项说明、对报告期内</w:t>
      </w:r>
      <w:r>
        <w:rPr>
          <w:rFonts w:hint="eastAsia" w:ascii="仿宋_GB2312" w:eastAsia="仿宋_GB2312"/>
          <w:kern w:val="0"/>
          <w:sz w:val="32"/>
          <w:szCs w:val="32"/>
        </w:rPr>
        <w:t>基础设施</w:t>
      </w:r>
      <w:r>
        <w:rPr>
          <w:rFonts w:eastAsia="仿宋_GB2312"/>
          <w:kern w:val="0"/>
          <w:sz w:val="32"/>
          <w:szCs w:val="32"/>
        </w:rPr>
        <w:t>基金的投资和运营分析、基金管理人内部关于</w:t>
      </w:r>
      <w:r>
        <w:rPr>
          <w:rFonts w:hint="eastAsia" w:ascii="仿宋_GB2312" w:eastAsia="仿宋_GB2312"/>
          <w:kern w:val="0"/>
          <w:sz w:val="32"/>
          <w:szCs w:val="32"/>
        </w:rPr>
        <w:t>基础设施</w:t>
      </w:r>
      <w:r>
        <w:rPr>
          <w:rFonts w:eastAsia="仿宋_GB2312"/>
          <w:kern w:val="0"/>
          <w:sz w:val="32"/>
          <w:szCs w:val="32"/>
        </w:rPr>
        <w:t>基金的监察稽核情况、对会计师事务所出具非标准审计报告所涉事项的说明（如有）等。</w:t>
      </w:r>
    </w:p>
    <w:p>
      <w:pPr>
        <w:tabs>
          <w:tab w:val="left" w:pos="1701"/>
        </w:tabs>
        <w:spacing w:line="56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三</w:t>
      </w:r>
      <w:r>
        <w:rPr>
          <w:rFonts w:eastAsia="仿宋_GB2312"/>
          <w:kern w:val="0"/>
          <w:sz w:val="32"/>
          <w:szCs w:val="32"/>
        </w:rPr>
        <w:t>）报告期内对基础设施项目运营管理职责的落实情况，包括主要采取的运营管理措施</w:t>
      </w:r>
      <w:r>
        <w:rPr>
          <w:rFonts w:hint="eastAsia" w:eastAsia="仿宋_GB2312"/>
          <w:kern w:val="0"/>
          <w:sz w:val="32"/>
          <w:szCs w:val="32"/>
        </w:rPr>
        <w:t>、重大事项决策情况、</w:t>
      </w:r>
      <w:r>
        <w:rPr>
          <w:rFonts w:eastAsia="仿宋_GB2312"/>
          <w:kern w:val="0"/>
          <w:sz w:val="32"/>
          <w:szCs w:val="32"/>
        </w:rPr>
        <w:t>对运营管理机构的检查和考核情况</w:t>
      </w:r>
      <w:r>
        <w:rPr>
          <w:rFonts w:hint="eastAsia" w:eastAsia="仿宋_GB2312"/>
          <w:kern w:val="0"/>
          <w:sz w:val="32"/>
          <w:szCs w:val="32"/>
        </w:rPr>
        <w:t>、其他对</w:t>
      </w:r>
      <w:r>
        <w:rPr>
          <w:rFonts w:eastAsia="仿宋_GB2312"/>
          <w:kern w:val="0"/>
          <w:sz w:val="32"/>
          <w:szCs w:val="32"/>
        </w:rPr>
        <w:t>运营管理机构的监督情况</w:t>
      </w:r>
      <w:r>
        <w:rPr>
          <w:rFonts w:hint="eastAsia" w:eastAsia="仿宋_GB2312"/>
          <w:kern w:val="0"/>
          <w:sz w:val="32"/>
          <w:szCs w:val="32"/>
        </w:rPr>
        <w:t>等</w:t>
      </w:r>
      <w:r>
        <w:rPr>
          <w:rFonts w:eastAsia="仿宋_GB2312"/>
          <w:kern w:val="0"/>
          <w:sz w:val="32"/>
          <w:szCs w:val="32"/>
        </w:rPr>
        <w:t>。</w:t>
      </w:r>
    </w:p>
    <w:p>
      <w:pPr>
        <w:tabs>
          <w:tab w:val="left" w:pos="1701"/>
        </w:tabs>
        <w:spacing w:line="56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四</w:t>
      </w:r>
      <w:r>
        <w:rPr>
          <w:rFonts w:eastAsia="仿宋_GB2312"/>
          <w:kern w:val="0"/>
          <w:sz w:val="32"/>
          <w:szCs w:val="32"/>
        </w:rPr>
        <w:t>）报告期内信息披露工作开展情况，包括信息披露事务负责人的履职情况、信息披露事务负责人的</w:t>
      </w:r>
      <w:r>
        <w:rPr>
          <w:rFonts w:hint="eastAsia" w:eastAsia="仿宋_GB2312"/>
          <w:kern w:val="0"/>
          <w:sz w:val="32"/>
          <w:szCs w:val="32"/>
        </w:rPr>
        <w:t>变更</w:t>
      </w:r>
      <w:r>
        <w:rPr>
          <w:rFonts w:eastAsia="仿宋_GB2312"/>
          <w:kern w:val="0"/>
          <w:sz w:val="32"/>
          <w:szCs w:val="32"/>
        </w:rPr>
        <w:t>情况</w:t>
      </w:r>
      <w:r>
        <w:rPr>
          <w:rFonts w:hint="eastAsia" w:eastAsia="仿宋_GB2312"/>
          <w:kern w:val="0"/>
          <w:sz w:val="32"/>
          <w:szCs w:val="32"/>
        </w:rPr>
        <w:t>（如有）、</w:t>
      </w:r>
      <w:r>
        <w:rPr>
          <w:rFonts w:eastAsia="仿宋_GB2312"/>
          <w:kern w:val="0"/>
          <w:sz w:val="32"/>
          <w:szCs w:val="32"/>
        </w:rPr>
        <w:t>信息披露管理制度的落实情况等。信息披露事务负责人的履职情况包括组织和协调信息披露事务情况、与投资者沟通联络情况等。信息披露管理制度的落实情况包括信息披露审核和发布流程执行情况、内幕信息管理情况、暂缓和豁免信息披露情况（如有）、信息披露相关档案管理情况等。</w:t>
      </w:r>
    </w:p>
    <w:p>
      <w:pPr>
        <w:tabs>
          <w:tab w:val="left" w:pos="1701"/>
        </w:tabs>
        <w:spacing w:line="560" w:lineRule="exact"/>
        <w:ind w:firstLine="642" w:firstLineChars="200"/>
        <w:rPr>
          <w:kern w:val="0"/>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Cs/>
          <w:kern w:val="0"/>
          <w:sz w:val="32"/>
          <w:szCs w:val="32"/>
        </w:rPr>
        <w:t>基金管理人应当在年度报告中披露</w:t>
      </w:r>
      <w:r>
        <w:rPr>
          <w:rFonts w:hint="eastAsia" w:ascii="仿宋_GB2312" w:hAnsi="仿宋_GB2312" w:eastAsia="仿宋_GB2312" w:cs="仿宋_GB2312"/>
          <w:kern w:val="0"/>
          <w:sz w:val="32"/>
          <w:szCs w:val="32"/>
        </w:rPr>
        <w:t>运营管理机构下列履职情况信息：</w:t>
      </w:r>
    </w:p>
    <w:p>
      <w:pPr>
        <w:pStyle w:val="2"/>
        <w:numPr>
          <w:ilvl w:val="255"/>
          <w:numId w:val="0"/>
        </w:numPr>
        <w:spacing w:line="560" w:lineRule="exact"/>
        <w:ind w:firstLine="640" w:firstLineChars="200"/>
        <w:rPr>
          <w:kern w:val="0"/>
          <w:sz w:val="32"/>
          <w:szCs w:val="32"/>
        </w:rPr>
      </w:pPr>
      <w:r>
        <w:rPr>
          <w:rFonts w:hint="eastAsia"/>
          <w:kern w:val="0"/>
          <w:sz w:val="32"/>
          <w:szCs w:val="32"/>
        </w:rPr>
        <w:t>（一）报告期内运营管理职责履行情况，包括运营管理服务协议的落实情况、遵规守信情况、采取的运营管理措施以及效果等。如果存在违反运营管理服务协议相关条款的重大情形，应当分析对基金份额持有人权益的影响并披露后续应对措施。</w:t>
      </w:r>
    </w:p>
    <w:p>
      <w:pPr>
        <w:pStyle w:val="2"/>
        <w:spacing w:line="560" w:lineRule="exact"/>
        <w:ind w:firstLine="640"/>
        <w:rPr>
          <w:kern w:val="0"/>
          <w:sz w:val="32"/>
          <w:szCs w:val="32"/>
        </w:rPr>
      </w:pPr>
      <w:r>
        <w:rPr>
          <w:rFonts w:hint="eastAsia"/>
          <w:kern w:val="0"/>
          <w:sz w:val="32"/>
          <w:szCs w:val="32"/>
        </w:rPr>
        <w:t>（二）报告期内配合信息披露工作开展情况，包括信息披露事务负责人的履职情况、</w:t>
      </w:r>
      <w:r>
        <w:rPr>
          <w:rFonts w:ascii="Times New Roman"/>
          <w:kern w:val="0"/>
          <w:sz w:val="32"/>
          <w:szCs w:val="32"/>
        </w:rPr>
        <w:t>信息披露事务负责人的</w:t>
      </w:r>
      <w:r>
        <w:rPr>
          <w:rFonts w:hint="eastAsia"/>
          <w:kern w:val="0"/>
          <w:sz w:val="32"/>
          <w:szCs w:val="32"/>
        </w:rPr>
        <w:t>变更</w:t>
      </w:r>
      <w:r>
        <w:rPr>
          <w:rFonts w:ascii="Times New Roman"/>
          <w:kern w:val="0"/>
          <w:sz w:val="32"/>
          <w:szCs w:val="32"/>
        </w:rPr>
        <w:t>情况</w:t>
      </w:r>
      <w:r>
        <w:rPr>
          <w:rFonts w:hint="eastAsia"/>
          <w:kern w:val="0"/>
          <w:sz w:val="32"/>
          <w:szCs w:val="32"/>
        </w:rPr>
        <w:t>（如有）、信息披露配合制度的落实情况、配合信息披露情况等。信息披露事务负责人的履职情况包括组织和协调信息披露事务情况、与投资者沟通联络情况等。信息披露配合制度的落实情况包括配合基金管理人信息披露执行情况、内幕信息管理情况等。</w:t>
      </w:r>
    </w:p>
    <w:p>
      <w:pPr>
        <w:pStyle w:val="2"/>
        <w:spacing w:line="560" w:lineRule="exact"/>
        <w:ind w:firstLine="643"/>
        <w:rPr>
          <w:kern w:val="0"/>
          <w:sz w:val="32"/>
          <w:szCs w:val="32"/>
        </w:rPr>
      </w:pPr>
      <w:r>
        <w:rPr>
          <w:rFonts w:hint="eastAsia"/>
          <w:b/>
          <w:bCs/>
          <w:sz w:val="32"/>
          <w:szCs w:val="32"/>
        </w:rPr>
        <w:t>第二十八条</w:t>
      </w:r>
      <w:r>
        <w:rPr>
          <w:rFonts w:hint="eastAsia"/>
          <w:b/>
          <w:bCs/>
          <w:sz w:val="32"/>
          <w:szCs w:val="32"/>
          <w:lang w:val="en-US" w:eastAsia="zh-CN"/>
        </w:rPr>
        <w:t xml:space="preserve"> </w:t>
      </w:r>
      <w:r>
        <w:rPr>
          <w:rFonts w:hint="eastAsia"/>
          <w:bCs/>
          <w:kern w:val="0"/>
          <w:sz w:val="32"/>
          <w:szCs w:val="32"/>
        </w:rPr>
        <w:t>基金管理人应当在年度报告中披露</w:t>
      </w:r>
      <w:r>
        <w:rPr>
          <w:rFonts w:hint="eastAsia"/>
          <w:kern w:val="0"/>
          <w:sz w:val="32"/>
          <w:szCs w:val="32"/>
        </w:rPr>
        <w:t>原始权益人下列履职情况信息：</w:t>
      </w:r>
    </w:p>
    <w:p>
      <w:pPr>
        <w:pStyle w:val="2"/>
        <w:spacing w:line="560" w:lineRule="exact"/>
        <w:ind w:firstLine="640"/>
        <w:rPr>
          <w:rFonts w:hint="eastAsia" w:eastAsia="仿宋_GB2312"/>
          <w:kern w:val="0"/>
          <w:sz w:val="32"/>
          <w:szCs w:val="32"/>
          <w:lang w:eastAsia="zh-CN"/>
        </w:rPr>
      </w:pPr>
      <w:r>
        <w:rPr>
          <w:rFonts w:hint="eastAsia"/>
          <w:kern w:val="0"/>
          <w:sz w:val="32"/>
          <w:szCs w:val="32"/>
        </w:rPr>
        <w:t>（一）报告期内原始权益人或者其同一控制下关联方卖出战略配售取得的基础设施基金份额情况、报告期末原始权益人或者其同一控制下关联方持有基础设施基金份额情况</w:t>
      </w:r>
      <w:r>
        <w:rPr>
          <w:rFonts w:hint="eastAsia"/>
          <w:kern w:val="0"/>
          <w:sz w:val="32"/>
          <w:szCs w:val="32"/>
          <w:lang w:eastAsia="zh-CN"/>
        </w:rPr>
        <w:t>；</w:t>
      </w:r>
    </w:p>
    <w:p>
      <w:pPr>
        <w:pStyle w:val="2"/>
        <w:spacing w:line="560" w:lineRule="exact"/>
        <w:ind w:firstLine="640"/>
        <w:rPr>
          <w:rFonts w:hint="eastAsia" w:eastAsia="仿宋_GB2312"/>
          <w:sz w:val="32"/>
          <w:szCs w:val="32"/>
          <w:lang w:eastAsia="zh-CN"/>
        </w:rPr>
      </w:pPr>
      <w:r>
        <w:rPr>
          <w:rFonts w:hint="eastAsia"/>
          <w:kern w:val="0"/>
          <w:sz w:val="32"/>
          <w:szCs w:val="32"/>
        </w:rPr>
        <w:t>（二）报告期内</w:t>
      </w:r>
      <w:r>
        <w:rPr>
          <w:rFonts w:hint="eastAsia"/>
          <w:sz w:val="32"/>
          <w:szCs w:val="32"/>
        </w:rPr>
        <w:t>原始权益人及其一致行动人增持计划和进展情况（如有）</w:t>
      </w:r>
      <w:r>
        <w:rPr>
          <w:rFonts w:hint="eastAsia"/>
          <w:sz w:val="32"/>
          <w:szCs w:val="32"/>
          <w:lang w:eastAsia="zh-CN"/>
        </w:rPr>
        <w:t>；</w:t>
      </w:r>
    </w:p>
    <w:p>
      <w:pPr>
        <w:pStyle w:val="2"/>
        <w:spacing w:line="560" w:lineRule="exact"/>
        <w:ind w:firstLine="640"/>
        <w:rPr>
          <w:rFonts w:hint="eastAsia" w:eastAsia="仿宋_GB2312"/>
          <w:sz w:val="32"/>
          <w:szCs w:val="32"/>
          <w:lang w:eastAsia="zh-CN"/>
        </w:rPr>
      </w:pPr>
      <w:r>
        <w:rPr>
          <w:rFonts w:hint="eastAsia"/>
          <w:sz w:val="32"/>
          <w:szCs w:val="32"/>
        </w:rPr>
        <w:t>（三）报告期内信息披露配合义务的落实情况</w:t>
      </w:r>
      <w:r>
        <w:rPr>
          <w:rFonts w:hint="eastAsia"/>
          <w:sz w:val="32"/>
          <w:szCs w:val="32"/>
          <w:lang w:eastAsia="zh-CN"/>
        </w:rPr>
        <w:t>；</w:t>
      </w:r>
    </w:p>
    <w:p>
      <w:pPr>
        <w:pStyle w:val="2"/>
        <w:spacing w:line="560" w:lineRule="exact"/>
        <w:ind w:firstLine="640"/>
        <w:rPr>
          <w:sz w:val="32"/>
          <w:szCs w:val="32"/>
        </w:rPr>
      </w:pPr>
      <w:r>
        <w:rPr>
          <w:rFonts w:hint="eastAsia"/>
          <w:sz w:val="32"/>
          <w:szCs w:val="32"/>
        </w:rPr>
        <w:t>（四）报告期内其他可能对基金份额持有人权益产生重大影响的重大变化情况。</w:t>
      </w:r>
    </w:p>
    <w:p>
      <w:pPr>
        <w:pStyle w:val="2"/>
        <w:spacing w:line="560" w:lineRule="exact"/>
        <w:ind w:firstLine="643"/>
        <w:rPr>
          <w:kern w:val="0"/>
          <w:sz w:val="32"/>
          <w:szCs w:val="32"/>
        </w:rPr>
      </w:pPr>
      <w:r>
        <w:rPr>
          <w:rFonts w:hint="eastAsia"/>
          <w:b/>
          <w:bCs/>
          <w:sz w:val="32"/>
          <w:szCs w:val="32"/>
        </w:rPr>
        <w:t>第二十九条</w:t>
      </w:r>
      <w:r>
        <w:rPr>
          <w:rFonts w:hint="eastAsia"/>
          <w:b/>
          <w:bCs/>
          <w:sz w:val="32"/>
          <w:szCs w:val="32"/>
          <w:lang w:val="en-US" w:eastAsia="zh-CN"/>
        </w:rPr>
        <w:t xml:space="preserve"> </w:t>
      </w:r>
      <w:r>
        <w:rPr>
          <w:rFonts w:hint="eastAsia"/>
          <w:bCs/>
          <w:kern w:val="0"/>
          <w:sz w:val="32"/>
          <w:szCs w:val="32"/>
        </w:rPr>
        <w:t>基金管理人应当在年度报告中披露</w:t>
      </w:r>
      <w:r>
        <w:rPr>
          <w:rFonts w:hint="eastAsia"/>
          <w:kern w:val="0"/>
          <w:sz w:val="32"/>
          <w:szCs w:val="32"/>
        </w:rPr>
        <w:t>基金托管人下列履职情况信息：</w:t>
      </w:r>
    </w:p>
    <w:p>
      <w:pPr>
        <w:pStyle w:val="2"/>
        <w:spacing w:line="560" w:lineRule="exact"/>
        <w:ind w:firstLine="640"/>
        <w:rPr>
          <w:rFonts w:hint="eastAsia" w:eastAsia="仿宋_GB2312"/>
          <w:kern w:val="0"/>
          <w:sz w:val="32"/>
          <w:szCs w:val="32"/>
          <w:lang w:eastAsia="zh-CN"/>
        </w:rPr>
      </w:pPr>
      <w:r>
        <w:rPr>
          <w:rFonts w:hint="eastAsia"/>
          <w:kern w:val="0"/>
          <w:sz w:val="32"/>
          <w:szCs w:val="32"/>
        </w:rPr>
        <w:t>（一）报告期内托管职责履行情况，包括遵规守信情况，对基础设施基金资金账户、基础设施项目运营收支账户等重要资金账户资金的监督情况等</w:t>
      </w:r>
      <w:r>
        <w:rPr>
          <w:rFonts w:hint="eastAsia"/>
          <w:kern w:val="0"/>
          <w:sz w:val="32"/>
          <w:szCs w:val="32"/>
          <w:lang w:eastAsia="zh-CN"/>
        </w:rPr>
        <w:t>；</w:t>
      </w:r>
    </w:p>
    <w:p>
      <w:pPr>
        <w:pStyle w:val="2"/>
        <w:spacing w:line="560" w:lineRule="exact"/>
        <w:ind w:firstLine="640"/>
        <w:rPr>
          <w:rFonts w:hint="eastAsia" w:eastAsia="仿宋_GB2312"/>
          <w:kern w:val="0"/>
          <w:sz w:val="32"/>
          <w:szCs w:val="32"/>
          <w:lang w:eastAsia="zh-CN"/>
        </w:rPr>
      </w:pPr>
      <w:r>
        <w:rPr>
          <w:rFonts w:hint="eastAsia"/>
          <w:kern w:val="0"/>
          <w:sz w:val="32"/>
          <w:szCs w:val="32"/>
        </w:rPr>
        <w:t>（二）报告期内对基础设施基金运作的监督情况，包括对基金管理人基础设施基金投资运作、收益分配、为基础设施项目购买保险、借入款项安排等事项的监督情况等</w:t>
      </w:r>
      <w:r>
        <w:rPr>
          <w:rFonts w:hint="eastAsia"/>
          <w:kern w:val="0"/>
          <w:sz w:val="32"/>
          <w:szCs w:val="32"/>
          <w:lang w:eastAsia="zh-CN"/>
        </w:rPr>
        <w:t>；</w:t>
      </w:r>
    </w:p>
    <w:p>
      <w:pPr>
        <w:pStyle w:val="2"/>
        <w:spacing w:line="560" w:lineRule="exact"/>
        <w:ind w:firstLine="640"/>
        <w:rPr>
          <w:rFonts w:hint="eastAsia" w:eastAsia="仿宋_GB2312"/>
          <w:kern w:val="0"/>
          <w:sz w:val="32"/>
          <w:szCs w:val="32"/>
          <w:lang w:eastAsia="zh-CN"/>
        </w:rPr>
      </w:pPr>
      <w:r>
        <w:rPr>
          <w:rFonts w:hint="eastAsia"/>
          <w:kern w:val="0"/>
          <w:sz w:val="32"/>
          <w:szCs w:val="32"/>
        </w:rPr>
        <w:t>（三）报告期内履行信息披露相关义务情况，包括对公开披露基础设施基金信息的复核、审查和确认情况，对年度报告中财务信息等内容的真实性、准确性和完整性发表意见情况等</w:t>
      </w:r>
      <w:r>
        <w:rPr>
          <w:rFonts w:hint="eastAsia"/>
          <w:kern w:val="0"/>
          <w:sz w:val="32"/>
          <w:szCs w:val="32"/>
          <w:lang w:eastAsia="zh-CN"/>
        </w:rPr>
        <w:t>；</w:t>
      </w:r>
    </w:p>
    <w:p>
      <w:pPr>
        <w:pStyle w:val="2"/>
        <w:spacing w:line="560" w:lineRule="exact"/>
        <w:ind w:firstLine="640"/>
        <w:rPr>
          <w:kern w:val="0"/>
          <w:sz w:val="32"/>
          <w:szCs w:val="32"/>
        </w:rPr>
      </w:pPr>
      <w:r>
        <w:rPr>
          <w:rFonts w:hint="eastAsia"/>
          <w:kern w:val="0"/>
          <w:sz w:val="32"/>
          <w:szCs w:val="32"/>
        </w:rPr>
        <w:t>（四）报告期内其他规定或者约定的职责履行情况。</w:t>
      </w:r>
    </w:p>
    <w:p>
      <w:pPr>
        <w:pStyle w:val="2"/>
        <w:spacing w:line="560" w:lineRule="exact"/>
        <w:ind w:firstLine="643"/>
        <w:rPr>
          <w:kern w:val="0"/>
          <w:sz w:val="32"/>
          <w:szCs w:val="32"/>
        </w:rPr>
      </w:pPr>
      <w:r>
        <w:rPr>
          <w:rFonts w:hint="eastAsia"/>
          <w:b/>
          <w:bCs/>
          <w:sz w:val="32"/>
          <w:szCs w:val="32"/>
        </w:rPr>
        <w:t>第三十条</w:t>
      </w:r>
      <w:r>
        <w:rPr>
          <w:rFonts w:hint="eastAsia"/>
          <w:b/>
          <w:bCs/>
          <w:sz w:val="32"/>
          <w:szCs w:val="32"/>
          <w:lang w:val="en-US" w:eastAsia="zh-CN"/>
        </w:rPr>
        <w:t xml:space="preserve"> </w:t>
      </w:r>
      <w:r>
        <w:rPr>
          <w:rFonts w:hint="eastAsia"/>
          <w:bCs/>
          <w:kern w:val="0"/>
          <w:sz w:val="32"/>
          <w:szCs w:val="32"/>
        </w:rPr>
        <w:t>基金管理人应当在年度报告中披露</w:t>
      </w:r>
      <w:r>
        <w:rPr>
          <w:rFonts w:hint="eastAsia"/>
          <w:kern w:val="0"/>
          <w:sz w:val="32"/>
          <w:szCs w:val="32"/>
        </w:rPr>
        <w:t>资产支持证券管理人下列履职情况信息：</w:t>
      </w:r>
    </w:p>
    <w:p>
      <w:pPr>
        <w:pStyle w:val="2"/>
        <w:spacing w:line="560" w:lineRule="exact"/>
        <w:ind w:firstLine="640"/>
        <w:rPr>
          <w:rFonts w:hint="eastAsia" w:eastAsia="仿宋_GB2312"/>
          <w:kern w:val="0"/>
          <w:sz w:val="32"/>
          <w:szCs w:val="32"/>
          <w:lang w:eastAsia="zh-CN"/>
        </w:rPr>
      </w:pPr>
      <w:r>
        <w:rPr>
          <w:rFonts w:hint="eastAsia"/>
          <w:kern w:val="0"/>
          <w:sz w:val="32"/>
          <w:szCs w:val="32"/>
        </w:rPr>
        <w:t>（一）报告期内基础设施资产支持专项计划相关的职责履行情况，包括作为</w:t>
      </w:r>
      <w:r>
        <w:rPr>
          <w:rFonts w:hint="eastAsia" w:hAnsi="仿宋_GB2312" w:cs="仿宋_GB2312"/>
          <w:sz w:val="32"/>
          <w:szCs w:val="32"/>
        </w:rPr>
        <w:t>基础设施</w:t>
      </w:r>
      <w:r>
        <w:rPr>
          <w:rFonts w:hint="eastAsia"/>
          <w:kern w:val="0"/>
          <w:sz w:val="32"/>
          <w:szCs w:val="32"/>
        </w:rPr>
        <w:t>项目公司股东的股东权利情况、作为</w:t>
      </w:r>
      <w:r>
        <w:rPr>
          <w:rFonts w:hint="eastAsia" w:hAnsi="仿宋_GB2312" w:cs="仿宋_GB2312"/>
          <w:sz w:val="32"/>
          <w:szCs w:val="32"/>
        </w:rPr>
        <w:t>基础设施</w:t>
      </w:r>
      <w:r>
        <w:rPr>
          <w:rFonts w:hint="eastAsia"/>
          <w:kern w:val="0"/>
          <w:sz w:val="32"/>
          <w:szCs w:val="32"/>
        </w:rPr>
        <w:t>项目公司债权人的权利情况（如有）、信息披露情况、遵规守信情况等</w:t>
      </w:r>
      <w:r>
        <w:rPr>
          <w:rFonts w:hint="eastAsia"/>
          <w:kern w:val="0"/>
          <w:sz w:val="32"/>
          <w:szCs w:val="32"/>
          <w:lang w:eastAsia="zh-CN"/>
        </w:rPr>
        <w:t>；</w:t>
      </w:r>
    </w:p>
    <w:p>
      <w:pPr>
        <w:pStyle w:val="2"/>
        <w:spacing w:line="560" w:lineRule="exact"/>
        <w:ind w:firstLine="640"/>
        <w:rPr>
          <w:sz w:val="32"/>
          <w:szCs w:val="32"/>
        </w:rPr>
      </w:pPr>
      <w:r>
        <w:rPr>
          <w:rFonts w:hint="eastAsia"/>
          <w:kern w:val="0"/>
          <w:sz w:val="32"/>
          <w:szCs w:val="32"/>
        </w:rPr>
        <w:t>（二）报告期内其他规定或者约定的职责履行情况。</w:t>
      </w:r>
    </w:p>
    <w:p>
      <w:pPr>
        <w:pStyle w:val="2"/>
        <w:spacing w:line="560" w:lineRule="exact"/>
        <w:ind w:firstLine="643"/>
        <w:rPr>
          <w:kern w:val="0"/>
          <w:sz w:val="32"/>
          <w:szCs w:val="32"/>
        </w:rPr>
      </w:pPr>
      <w:r>
        <w:rPr>
          <w:rFonts w:hint="eastAsia"/>
          <w:b/>
          <w:bCs/>
          <w:sz w:val="32"/>
          <w:szCs w:val="32"/>
        </w:rPr>
        <w:t>第三十一条</w:t>
      </w:r>
      <w:r>
        <w:rPr>
          <w:rFonts w:hint="eastAsia"/>
          <w:b/>
          <w:bCs/>
          <w:sz w:val="32"/>
          <w:szCs w:val="32"/>
          <w:lang w:val="en-US" w:eastAsia="zh-CN"/>
        </w:rPr>
        <w:t xml:space="preserve"> </w:t>
      </w:r>
      <w:r>
        <w:rPr>
          <w:rFonts w:hint="eastAsia"/>
          <w:bCs/>
          <w:kern w:val="0"/>
          <w:sz w:val="32"/>
          <w:szCs w:val="32"/>
        </w:rPr>
        <w:t>基金管理人应当在年度报告中披露会计师事务所、资产评估机构、律师事务所</w:t>
      </w:r>
      <w:r>
        <w:rPr>
          <w:rFonts w:hint="eastAsia" w:hAnsi="仿宋_GB2312" w:cs="仿宋_GB2312"/>
          <w:sz w:val="32"/>
          <w:szCs w:val="32"/>
        </w:rPr>
        <w:t>（如有）</w:t>
      </w:r>
      <w:r>
        <w:rPr>
          <w:rFonts w:hint="eastAsia"/>
          <w:bCs/>
          <w:kern w:val="0"/>
          <w:sz w:val="32"/>
          <w:szCs w:val="32"/>
        </w:rPr>
        <w:t>、财务顾问</w:t>
      </w:r>
      <w:r>
        <w:rPr>
          <w:rFonts w:hint="eastAsia" w:hAnsi="仿宋_GB2312" w:cs="仿宋_GB2312"/>
          <w:sz w:val="32"/>
          <w:szCs w:val="32"/>
        </w:rPr>
        <w:t>（如有）</w:t>
      </w:r>
      <w:r>
        <w:rPr>
          <w:rFonts w:hint="eastAsia"/>
          <w:bCs/>
          <w:kern w:val="0"/>
          <w:sz w:val="32"/>
          <w:szCs w:val="32"/>
        </w:rPr>
        <w:t>等专业机构</w:t>
      </w:r>
      <w:r>
        <w:rPr>
          <w:rFonts w:hint="eastAsia"/>
          <w:kern w:val="0"/>
          <w:sz w:val="32"/>
          <w:szCs w:val="32"/>
        </w:rPr>
        <w:t>下列履职情况信息：</w:t>
      </w:r>
    </w:p>
    <w:p>
      <w:pPr>
        <w:pStyle w:val="2"/>
        <w:spacing w:line="560" w:lineRule="exact"/>
        <w:ind w:firstLine="640"/>
        <w:rPr>
          <w:rFonts w:hint="eastAsia" w:eastAsia="仿宋_GB2312"/>
          <w:kern w:val="0"/>
          <w:sz w:val="32"/>
          <w:szCs w:val="32"/>
          <w:lang w:eastAsia="zh-CN"/>
        </w:rPr>
      </w:pPr>
      <w:r>
        <w:rPr>
          <w:rFonts w:hint="eastAsia"/>
          <w:kern w:val="0"/>
          <w:sz w:val="32"/>
          <w:szCs w:val="32"/>
        </w:rPr>
        <w:t>（一）报告期内提供服务或者出具报告情况</w:t>
      </w:r>
      <w:r>
        <w:rPr>
          <w:rFonts w:hint="eastAsia"/>
          <w:kern w:val="0"/>
          <w:sz w:val="32"/>
          <w:szCs w:val="32"/>
          <w:lang w:eastAsia="zh-CN"/>
        </w:rPr>
        <w:t>；</w:t>
      </w:r>
    </w:p>
    <w:p>
      <w:pPr>
        <w:pStyle w:val="2"/>
        <w:spacing w:line="560" w:lineRule="exact"/>
        <w:ind w:firstLine="640"/>
        <w:rPr>
          <w:kern w:val="0"/>
          <w:sz w:val="32"/>
          <w:szCs w:val="32"/>
        </w:rPr>
      </w:pPr>
      <w:r>
        <w:rPr>
          <w:rFonts w:hint="eastAsia"/>
          <w:kern w:val="0"/>
          <w:sz w:val="32"/>
          <w:szCs w:val="32"/>
        </w:rPr>
        <w:t>（二）报告期内其他规定或者约定的职责履行情况。</w:t>
      </w:r>
    </w:p>
    <w:p>
      <w:pPr>
        <w:pStyle w:val="2"/>
        <w:spacing w:line="560" w:lineRule="exact"/>
        <w:ind w:firstLine="643"/>
        <w:rPr>
          <w:bCs/>
          <w:kern w:val="0"/>
          <w:sz w:val="32"/>
          <w:szCs w:val="32"/>
        </w:rPr>
      </w:pPr>
      <w:r>
        <w:rPr>
          <w:rFonts w:hint="eastAsia"/>
          <w:b/>
          <w:bCs/>
          <w:sz w:val="32"/>
          <w:szCs w:val="32"/>
        </w:rPr>
        <w:t>第三十</w:t>
      </w:r>
      <w:r>
        <w:rPr>
          <w:rFonts w:hint="eastAsia"/>
          <w:b/>
          <w:bCs/>
          <w:sz w:val="32"/>
          <w:szCs w:val="32"/>
          <w:lang w:eastAsia="zh-CN"/>
        </w:rPr>
        <w:t>二</w:t>
      </w:r>
      <w:r>
        <w:rPr>
          <w:rFonts w:hint="eastAsia"/>
          <w:b/>
          <w:bCs/>
          <w:sz w:val="32"/>
          <w:szCs w:val="32"/>
        </w:rPr>
        <w:t>条</w:t>
      </w:r>
      <w:r>
        <w:rPr>
          <w:rFonts w:hint="eastAsia"/>
          <w:b/>
          <w:bCs/>
          <w:sz w:val="32"/>
          <w:szCs w:val="32"/>
          <w:lang w:val="en-US" w:eastAsia="zh-CN"/>
        </w:rPr>
        <w:t xml:space="preserve"> </w:t>
      </w:r>
      <w:r>
        <w:rPr>
          <w:rFonts w:hint="eastAsia"/>
          <w:bCs/>
          <w:kern w:val="0"/>
          <w:sz w:val="32"/>
          <w:szCs w:val="32"/>
        </w:rPr>
        <w:t>报告期内召开基金份额持有人大会的，基金管理人应当在年度报告中披露基金份额持有人大会的下列信息：</w:t>
      </w:r>
    </w:p>
    <w:p>
      <w:pPr>
        <w:pStyle w:val="2"/>
        <w:spacing w:line="560" w:lineRule="exact"/>
        <w:ind w:firstLine="640"/>
        <w:rPr>
          <w:rFonts w:hint="eastAsia" w:eastAsia="仿宋_GB2312"/>
          <w:bCs/>
          <w:kern w:val="0"/>
          <w:sz w:val="32"/>
          <w:szCs w:val="32"/>
          <w:lang w:eastAsia="zh-CN"/>
        </w:rPr>
      </w:pPr>
      <w:r>
        <w:rPr>
          <w:rFonts w:hint="eastAsia"/>
          <w:bCs/>
          <w:kern w:val="0"/>
          <w:sz w:val="32"/>
          <w:szCs w:val="32"/>
        </w:rPr>
        <w:t>（一）召开方式、召开日期</w:t>
      </w:r>
      <w:r>
        <w:rPr>
          <w:rFonts w:hint="eastAsia"/>
          <w:bCs/>
          <w:kern w:val="0"/>
          <w:sz w:val="32"/>
          <w:szCs w:val="32"/>
          <w:lang w:eastAsia="zh-CN"/>
        </w:rPr>
        <w:t>；</w:t>
      </w:r>
    </w:p>
    <w:p>
      <w:pPr>
        <w:pStyle w:val="2"/>
        <w:spacing w:line="560" w:lineRule="exact"/>
        <w:ind w:firstLine="640"/>
        <w:rPr>
          <w:rFonts w:hint="eastAsia" w:eastAsia="仿宋_GB2312"/>
          <w:bCs/>
          <w:kern w:val="0"/>
          <w:sz w:val="32"/>
          <w:szCs w:val="32"/>
          <w:lang w:eastAsia="zh-CN"/>
        </w:rPr>
      </w:pPr>
      <w:r>
        <w:rPr>
          <w:rFonts w:hint="eastAsia"/>
          <w:bCs/>
          <w:kern w:val="0"/>
          <w:sz w:val="32"/>
          <w:szCs w:val="32"/>
        </w:rPr>
        <w:t>（二）表决议案名称、主要内容</w:t>
      </w:r>
      <w:r>
        <w:rPr>
          <w:rFonts w:hint="eastAsia"/>
          <w:bCs/>
          <w:kern w:val="0"/>
          <w:sz w:val="32"/>
          <w:szCs w:val="32"/>
          <w:lang w:eastAsia="zh-CN"/>
        </w:rPr>
        <w:t>；</w:t>
      </w:r>
    </w:p>
    <w:p>
      <w:pPr>
        <w:pStyle w:val="2"/>
        <w:spacing w:line="560" w:lineRule="exact"/>
        <w:ind w:firstLine="640"/>
        <w:rPr>
          <w:bCs/>
          <w:kern w:val="0"/>
          <w:sz w:val="32"/>
          <w:szCs w:val="32"/>
        </w:rPr>
      </w:pPr>
      <w:r>
        <w:rPr>
          <w:rFonts w:hint="eastAsia"/>
          <w:bCs/>
          <w:kern w:val="0"/>
          <w:sz w:val="32"/>
          <w:szCs w:val="32"/>
        </w:rPr>
        <w:t>（三）参会情况、表决结果。</w:t>
      </w:r>
    </w:p>
    <w:p>
      <w:pPr>
        <w:pStyle w:val="2"/>
        <w:spacing w:line="560" w:lineRule="exact"/>
        <w:ind w:firstLine="643"/>
        <w:rPr>
          <w:b/>
          <w:bCs/>
          <w:sz w:val="32"/>
          <w:szCs w:val="32"/>
        </w:rPr>
      </w:pPr>
      <w:r>
        <w:rPr>
          <w:rFonts w:hint="eastAsia"/>
          <w:b/>
          <w:bCs/>
          <w:sz w:val="32"/>
          <w:szCs w:val="32"/>
        </w:rPr>
        <w:t>第三十</w:t>
      </w:r>
      <w:r>
        <w:rPr>
          <w:rFonts w:hint="eastAsia"/>
          <w:b/>
          <w:bCs/>
          <w:sz w:val="32"/>
          <w:szCs w:val="32"/>
          <w:lang w:eastAsia="zh-CN"/>
        </w:rPr>
        <w:t>三</w:t>
      </w:r>
      <w:r>
        <w:rPr>
          <w:rFonts w:hint="eastAsia"/>
          <w:b/>
          <w:bCs/>
          <w:sz w:val="32"/>
          <w:szCs w:val="32"/>
        </w:rPr>
        <w:t>条</w:t>
      </w:r>
      <w:r>
        <w:rPr>
          <w:rFonts w:hint="eastAsia"/>
          <w:b/>
          <w:bCs/>
          <w:sz w:val="32"/>
          <w:szCs w:val="32"/>
          <w:lang w:val="en-US" w:eastAsia="zh-CN"/>
        </w:rPr>
        <w:t xml:space="preserve"> </w:t>
      </w:r>
      <w:r>
        <w:rPr>
          <w:rFonts w:hint="eastAsia"/>
          <w:bCs/>
          <w:kern w:val="0"/>
          <w:sz w:val="32"/>
          <w:szCs w:val="32"/>
        </w:rPr>
        <w:t>基金管理人应当在年度报告中披露报告期内</w:t>
      </w:r>
      <w:r>
        <w:rPr>
          <w:rFonts w:hint="eastAsia" w:hAnsi="仿宋_GB2312" w:cs="仿宋_GB2312"/>
          <w:sz w:val="32"/>
          <w:szCs w:val="32"/>
        </w:rPr>
        <w:t>信息披露义务人、原始权益人、运营管理机构、资产支持证券管理人、资产支持证券托管人、</w:t>
      </w:r>
      <w:r>
        <w:rPr>
          <w:rFonts w:hint="eastAsia"/>
          <w:kern w:val="0"/>
          <w:sz w:val="32"/>
          <w:szCs w:val="32"/>
        </w:rPr>
        <w:t>基础设施</w:t>
      </w:r>
      <w:r>
        <w:rPr>
          <w:rFonts w:hint="eastAsia" w:hAnsi="仿宋_GB2312" w:cs="仿宋_GB2312"/>
          <w:sz w:val="32"/>
          <w:szCs w:val="32"/>
        </w:rPr>
        <w:t>项目公司和专业机构</w:t>
      </w:r>
      <w:r>
        <w:rPr>
          <w:rFonts w:hint="eastAsia"/>
          <w:bCs/>
          <w:kern w:val="0"/>
          <w:sz w:val="32"/>
          <w:szCs w:val="32"/>
        </w:rPr>
        <w:t>涉及对基础设施项目运营有重大影响的处罚、诉讼或者仲裁等情况。</w:t>
      </w:r>
    </w:p>
    <w:p>
      <w:pPr>
        <w:pStyle w:val="5"/>
        <w:rPr>
          <w:rFonts w:hint="default"/>
          <w:szCs w:val="32"/>
        </w:rPr>
      </w:pPr>
      <w:r>
        <w:rPr>
          <w:szCs w:val="32"/>
        </w:rPr>
        <w:t>第三节 基础设施项目情况</w:t>
      </w:r>
    </w:p>
    <w:p>
      <w:pPr>
        <w:spacing w:line="56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w:t>
      </w:r>
      <w:r>
        <w:rPr>
          <w:rFonts w:hint="eastAsia" w:ascii="仿宋_GB2312" w:hAnsi="仿宋_GB2312" w:eastAsia="仿宋_GB2312" w:cs="仿宋_GB2312"/>
          <w:b/>
          <w:kern w:val="0"/>
          <w:sz w:val="32"/>
          <w:szCs w:val="32"/>
          <w:lang w:eastAsia="zh-CN"/>
        </w:rPr>
        <w:t>四</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sz w:val="32"/>
          <w:szCs w:val="32"/>
        </w:rPr>
        <w:t>基金管理人</w:t>
      </w:r>
      <w:r>
        <w:rPr>
          <w:rFonts w:hint="eastAsia" w:ascii="仿宋_GB2312" w:hAnsi="仿宋_GB2312" w:eastAsia="仿宋_GB2312" w:cs="仿宋_GB2312"/>
          <w:kern w:val="0"/>
          <w:sz w:val="32"/>
          <w:szCs w:val="32"/>
        </w:rPr>
        <w:t>应当在年度报告中披露基础设施项目的基本情况，包括基础设施</w:t>
      </w:r>
      <w:r>
        <w:rPr>
          <w:rFonts w:hint="eastAsia" w:ascii="仿宋_GB2312" w:hAnsi="仿宋_GB2312" w:eastAsia="仿宋_GB2312" w:cs="仿宋_GB2312"/>
          <w:sz w:val="32"/>
          <w:szCs w:val="32"/>
        </w:rPr>
        <w:t>项目全称、</w:t>
      </w:r>
      <w:r>
        <w:rPr>
          <w:rFonts w:hint="eastAsia" w:ascii="仿宋_GB2312" w:hAnsi="仿宋_GB2312" w:eastAsia="仿宋_GB2312" w:cs="仿宋_GB2312"/>
          <w:kern w:val="0"/>
          <w:sz w:val="32"/>
          <w:szCs w:val="32"/>
        </w:rPr>
        <w:t>基础设施</w:t>
      </w:r>
      <w:r>
        <w:rPr>
          <w:rFonts w:hint="eastAsia" w:ascii="仿宋_GB2312" w:hAnsi="仿宋_GB2312" w:eastAsia="仿宋_GB2312" w:cs="仿宋_GB2312"/>
          <w:sz w:val="32"/>
          <w:szCs w:val="32"/>
        </w:rPr>
        <w:t>项目公司名称、</w:t>
      </w:r>
      <w:r>
        <w:rPr>
          <w:rFonts w:hint="eastAsia" w:ascii="仿宋_GB2312" w:hAnsi="仿宋_GB2312" w:eastAsia="仿宋_GB2312" w:cs="仿宋_GB2312"/>
          <w:kern w:val="0"/>
          <w:sz w:val="32"/>
          <w:szCs w:val="32"/>
        </w:rPr>
        <w:t>基础设施项目类型、基础设施项目主要经营模式、基础设施项目地理位置等。</w:t>
      </w:r>
    </w:p>
    <w:p>
      <w:pPr>
        <w:tabs>
          <w:tab w:val="left" w:pos="1701"/>
        </w:tabs>
        <w:spacing w:line="560" w:lineRule="exact"/>
        <w:ind w:firstLine="642" w:firstLineChars="200"/>
        <w:rPr>
          <w:rFonts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第三十</w:t>
      </w:r>
      <w:r>
        <w:rPr>
          <w:rFonts w:hint="eastAsia" w:ascii="仿宋_GB2312" w:hAnsi="仿宋_GB2312" w:eastAsia="仿宋_GB2312" w:cs="仿宋_GB2312"/>
          <w:b/>
          <w:kern w:val="0"/>
          <w:sz w:val="32"/>
          <w:szCs w:val="32"/>
          <w:lang w:eastAsia="zh-CN"/>
        </w:rPr>
        <w:t>五</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Cs/>
          <w:kern w:val="0"/>
          <w:sz w:val="32"/>
          <w:szCs w:val="32"/>
        </w:rPr>
        <w:t>基金管理人应当在年度报告中披露基础设施项目所属行业的下列情况：</w:t>
      </w:r>
    </w:p>
    <w:p>
      <w:pPr>
        <w:tabs>
          <w:tab w:val="left" w:pos="1701"/>
        </w:tabs>
        <w:spacing w:line="56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（一）所属行业基本情况、发展阶段、周期性特点和竞争格局</w:t>
      </w:r>
      <w:r>
        <w:rPr>
          <w:rFonts w:hint="eastAsia" w:ascii="仿宋_GB2312" w:hAnsi="仿宋_GB2312" w:eastAsia="仿宋_GB2312" w:cs="仿宋_GB2312"/>
          <w:bCs/>
          <w:kern w:val="0"/>
          <w:sz w:val="32"/>
          <w:szCs w:val="32"/>
          <w:lang w:eastAsia="zh-CN"/>
        </w:rPr>
        <w:t>；</w:t>
      </w:r>
    </w:p>
    <w:p>
      <w:pPr>
        <w:tabs>
          <w:tab w:val="left" w:pos="1701"/>
        </w:tabs>
        <w:spacing w:line="56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（二）可比地域内的类似基础设施项目情况（如有）</w:t>
      </w:r>
      <w:r>
        <w:rPr>
          <w:rFonts w:hint="eastAsia" w:ascii="仿宋_GB2312" w:hAnsi="仿宋_GB2312" w:eastAsia="仿宋_GB2312" w:cs="仿宋_GB2312"/>
          <w:bCs/>
          <w:kern w:val="0"/>
          <w:sz w:val="32"/>
          <w:szCs w:val="32"/>
          <w:lang w:eastAsia="zh-CN"/>
        </w:rPr>
        <w:t>；</w:t>
      </w:r>
    </w:p>
    <w:p>
      <w:pPr>
        <w:tabs>
          <w:tab w:val="left" w:pos="1701"/>
        </w:tabs>
        <w:spacing w:line="56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（三）新公布的法律法规、行业政策、区域政策、税收政策对所属行业、区域的重大影响</w:t>
      </w:r>
      <w:r>
        <w:rPr>
          <w:rFonts w:hint="eastAsia" w:ascii="仿宋_GB2312" w:hAnsi="仿宋_GB2312" w:eastAsia="仿宋_GB2312" w:cs="仿宋_GB2312"/>
          <w:bCs/>
          <w:kern w:val="0"/>
          <w:sz w:val="32"/>
          <w:szCs w:val="32"/>
          <w:lang w:eastAsia="zh-CN"/>
        </w:rPr>
        <w:t>；</w:t>
      </w:r>
    </w:p>
    <w:p>
      <w:pPr>
        <w:tabs>
          <w:tab w:val="left" w:pos="1701"/>
        </w:tabs>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（四）所属行业的其他整体情况和竞争情况。</w:t>
      </w:r>
    </w:p>
    <w:p>
      <w:pPr>
        <w:tabs>
          <w:tab w:val="left" w:pos="1701"/>
        </w:tabs>
        <w:spacing w:line="56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w:t>
      </w:r>
      <w:r>
        <w:rPr>
          <w:rFonts w:hint="eastAsia" w:ascii="仿宋_GB2312" w:hAnsi="仿宋_GB2312" w:eastAsia="仿宋_GB2312" w:cs="仿宋_GB2312"/>
          <w:b/>
          <w:kern w:val="0"/>
          <w:sz w:val="32"/>
          <w:szCs w:val="32"/>
          <w:lang w:eastAsia="zh-CN"/>
        </w:rPr>
        <w:t>六</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sz w:val="32"/>
          <w:szCs w:val="32"/>
        </w:rPr>
        <w:t>基金管理人应当在年度报告中分别披露报告期内基础设施项目的下列运营情况：</w:t>
      </w:r>
    </w:p>
    <w:p>
      <w:pPr>
        <w:tabs>
          <w:tab w:val="left" w:pos="1701"/>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（一）报告期内重要</w:t>
      </w:r>
      <w:r>
        <w:rPr>
          <w:rFonts w:hint="eastAsia" w:ascii="仿宋_GB2312" w:hAnsi="仿宋_GB2312" w:eastAsia="仿宋_GB2312" w:cs="仿宋_GB2312"/>
          <w:sz w:val="32"/>
          <w:szCs w:val="32"/>
        </w:rPr>
        <w:t>基础设施项目</w:t>
      </w:r>
      <w:r>
        <w:rPr>
          <w:rFonts w:hint="eastAsia" w:ascii="仿宋_GB2312" w:hAnsi="仿宋_GB2312" w:eastAsia="仿宋_GB2312" w:cs="仿宋_GB2312"/>
          <w:kern w:val="0"/>
          <w:sz w:val="32"/>
          <w:szCs w:val="32"/>
        </w:rPr>
        <w:t>运营情况的说明，包括基础设施项目运营年限、报告期内周边新增竞争性项目的基本情况以及对基金份额持有人权益的影响（如有）、报告期内发生的重大变化和经营策略调整以及对基金份额持有人权益的影响（如有）等。</w:t>
      </w:r>
    </w:p>
    <w:p>
      <w:pPr>
        <w:tabs>
          <w:tab w:val="left" w:pos="1701"/>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（二）报告期</w:t>
      </w:r>
      <w:r>
        <w:rPr>
          <w:rFonts w:hint="eastAsia" w:ascii="仿宋_GB2312" w:eastAsia="仿宋_GB2312"/>
          <w:kern w:val="0"/>
          <w:sz w:val="32"/>
          <w:szCs w:val="32"/>
          <w:lang w:eastAsia="zh-CN"/>
        </w:rPr>
        <w:t>以</w:t>
      </w:r>
      <w:r>
        <w:rPr>
          <w:rFonts w:hint="eastAsia" w:ascii="仿宋_GB2312" w:hAnsi="仿宋_GB2312" w:eastAsia="仿宋_GB2312" w:cs="仿宋_GB2312"/>
          <w:kern w:val="0"/>
          <w:sz w:val="32"/>
          <w:szCs w:val="32"/>
        </w:rPr>
        <w:t>及上年同期重要基础设施项目运营指标以及基础设施项目整体的运营指标。运营指标同比变动幅度超过30%的，基金管理人应当进一步说明涉及金额、变动原因、是否具有持续性以及后续应对措施。</w:t>
      </w:r>
    </w:p>
    <w:p>
      <w:pPr>
        <w:tabs>
          <w:tab w:val="left" w:pos="1701"/>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（三）基金管理人认为可能存在对基金份额持有人权益产生重大不利影响的经营风险、行业风险、周期性风险等，应当进行风险提示。</w:t>
      </w:r>
    </w:p>
    <w:p>
      <w:pPr>
        <w:tabs>
          <w:tab w:val="left" w:pos="1701"/>
        </w:tabs>
        <w:spacing w:line="56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w:t>
      </w:r>
      <w:r>
        <w:rPr>
          <w:rFonts w:hint="eastAsia" w:ascii="仿宋_GB2312" w:hAnsi="仿宋_GB2312" w:eastAsia="仿宋_GB2312" w:cs="仿宋_GB2312"/>
          <w:b/>
          <w:kern w:val="0"/>
          <w:sz w:val="32"/>
          <w:szCs w:val="32"/>
          <w:lang w:eastAsia="zh-CN"/>
        </w:rPr>
        <w:t>七</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sz w:val="32"/>
          <w:szCs w:val="32"/>
        </w:rPr>
        <w:t>基金管理人应当在年度报告中分别披露报告期内重要基础设施项目公司的主要财务指标并进行财务分析：</w:t>
      </w:r>
    </w:p>
    <w:p>
      <w:pPr>
        <w:tabs>
          <w:tab w:val="left" w:pos="1701"/>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基础设施</w:t>
      </w:r>
      <w:r>
        <w:rPr>
          <w:rFonts w:hint="eastAsia" w:ascii="仿宋_GB2312" w:hAnsi="仿宋_GB2312" w:eastAsia="仿宋_GB2312" w:cs="仿宋_GB2312"/>
          <w:kern w:val="0"/>
          <w:sz w:val="32"/>
          <w:szCs w:val="32"/>
        </w:rPr>
        <w:t>项目公司主要资产科目报告期末和上年末金额及其同比变化情况。</w:t>
      </w:r>
    </w:p>
    <w:p>
      <w:pPr>
        <w:tabs>
          <w:tab w:val="left" w:pos="1701"/>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（二）基础设施项目公司主要负债科目报告期末和上年末金额及其同比变化情况。存在或有负债的，应当说明或有负债的种类及其形成原因、预计产生的财务影响和应对措施。</w:t>
      </w:r>
    </w:p>
    <w:p>
      <w:pPr>
        <w:pStyle w:val="2"/>
        <w:spacing w:line="560" w:lineRule="exact"/>
        <w:ind w:firstLine="640"/>
        <w:rPr>
          <w:rFonts w:hAnsi="仿宋_GB2312" w:cs="仿宋_GB2312"/>
          <w:kern w:val="0"/>
          <w:sz w:val="32"/>
          <w:szCs w:val="32"/>
        </w:rPr>
      </w:pPr>
      <w:r>
        <w:rPr>
          <w:rFonts w:hint="eastAsia" w:hAnsi="仿宋_GB2312" w:cs="仿宋_GB2312"/>
          <w:kern w:val="0"/>
          <w:sz w:val="32"/>
          <w:szCs w:val="32"/>
        </w:rPr>
        <w:t>（三）基础设施项目公司报告期和上年同期的营业收入、营业成本以及主要费用金额、构成比例及其同比变化情况。</w:t>
      </w:r>
    </w:p>
    <w:p>
      <w:pPr>
        <w:tabs>
          <w:tab w:val="left" w:pos="1701"/>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kern w:val="0"/>
          <w:sz w:val="32"/>
          <w:szCs w:val="32"/>
          <w:lang w:eastAsia="zh"/>
        </w:rPr>
        <w:t>基础设施项目公司</w:t>
      </w:r>
      <w:r>
        <w:rPr>
          <w:rFonts w:hint="eastAsia" w:ascii="仿宋_GB2312" w:hAnsi="仿宋_GB2312" w:eastAsia="仿宋_GB2312" w:cs="仿宋_GB2312"/>
          <w:kern w:val="0"/>
          <w:sz w:val="32"/>
          <w:szCs w:val="32"/>
        </w:rPr>
        <w:t>报告期和上年同期毛利率、息税折旧摊销前净利率以及其他基础设施项目的财务业绩衡量指标。</w:t>
      </w:r>
    </w:p>
    <w:p>
      <w:pPr>
        <w:tabs>
          <w:tab w:val="left" w:pos="1701"/>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前款相关指标同比变动幅度超过</w:t>
      </w:r>
      <w:r>
        <w:rPr>
          <w:rFonts w:hint="default" w:ascii="Times New Roman" w:hAnsi="Times New Roman" w:eastAsia="仿宋_GB2312" w:cs="Times New Roman"/>
          <w:kern w:val="0"/>
          <w:sz w:val="32"/>
          <w:szCs w:val="32"/>
        </w:rPr>
        <w:t>30%的，</w:t>
      </w:r>
      <w:r>
        <w:rPr>
          <w:rFonts w:hint="eastAsia" w:ascii="仿宋_GB2312" w:hAnsi="仿宋_GB2312" w:eastAsia="仿宋_GB2312" w:cs="仿宋_GB2312"/>
          <w:kern w:val="0"/>
          <w:sz w:val="32"/>
          <w:szCs w:val="32"/>
        </w:rPr>
        <w:t>基金管理人应当进一步说明涉及金额、变动原因、是否具有持续性以及后续应对措施。</w:t>
      </w:r>
    </w:p>
    <w:p>
      <w:pPr>
        <w:tabs>
          <w:tab w:val="left" w:pos="1701"/>
        </w:tabs>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kern w:val="0"/>
          <w:sz w:val="32"/>
          <w:szCs w:val="32"/>
        </w:rPr>
        <w:t>第三十</w:t>
      </w:r>
      <w:r>
        <w:rPr>
          <w:rFonts w:hint="eastAsia" w:ascii="仿宋_GB2312" w:hAnsi="仿宋_GB2312" w:eastAsia="仿宋_GB2312" w:cs="仿宋_GB2312"/>
          <w:b/>
          <w:kern w:val="0"/>
          <w:sz w:val="32"/>
          <w:szCs w:val="32"/>
          <w:lang w:eastAsia="zh-CN"/>
        </w:rPr>
        <w:t>八</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sz w:val="32"/>
          <w:szCs w:val="32"/>
        </w:rPr>
        <w:t>基金管理人应当在年度报告中披露报告期内</w:t>
      </w:r>
      <w:r>
        <w:rPr>
          <w:rFonts w:hint="eastAsia" w:ascii="仿宋_GB2312" w:hAnsi="仿宋_GB2312" w:eastAsia="仿宋_GB2312" w:cs="仿宋_GB2312"/>
          <w:kern w:val="0"/>
          <w:sz w:val="32"/>
          <w:szCs w:val="32"/>
        </w:rPr>
        <w:t>基础设施</w:t>
      </w:r>
      <w:r>
        <w:rPr>
          <w:rFonts w:hint="eastAsia" w:ascii="仿宋_GB2312" w:hAnsi="仿宋_GB2312" w:eastAsia="仿宋_GB2312" w:cs="仿宋_GB2312"/>
          <w:sz w:val="32"/>
          <w:szCs w:val="32"/>
        </w:rPr>
        <w:t>项目公司经营现金流的归集、管理、使用以及变化情况，包括收入归集路径、报告期和上年同期收入归集总金额、对外支出总金额等。</w:t>
      </w:r>
    </w:p>
    <w:p>
      <w:pPr>
        <w:tabs>
          <w:tab w:val="left" w:pos="1701"/>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来源于单一客户及其关联方的现金流占比超</w:t>
      </w:r>
      <w:r>
        <w:rPr>
          <w:rFonts w:hint="default" w:ascii="Times New Roman" w:hAnsi="Times New Roman" w:eastAsia="仿宋_GB2312" w:cs="Times New Roman"/>
          <w:sz w:val="32"/>
          <w:szCs w:val="32"/>
        </w:rPr>
        <w:t>过10%的，</w:t>
      </w:r>
      <w:r>
        <w:rPr>
          <w:rFonts w:hint="eastAsia" w:ascii="仿宋_GB2312" w:hAnsi="仿宋_GB2312" w:eastAsia="仿宋_GB2312" w:cs="仿宋_GB2312"/>
          <w:sz w:val="32"/>
          <w:szCs w:val="32"/>
        </w:rPr>
        <w:t>基金管理人应当说明相关交易公允性、客户经营稳定性等情况。</w:t>
      </w:r>
    </w:p>
    <w:p>
      <w:pPr>
        <w:tabs>
          <w:tab w:val="left" w:pos="1701"/>
        </w:tabs>
        <w:spacing w:line="56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w:t>
      </w:r>
      <w:r>
        <w:rPr>
          <w:rFonts w:hint="eastAsia" w:ascii="仿宋_GB2312" w:hAnsi="仿宋_GB2312" w:eastAsia="仿宋_GB2312" w:cs="仿宋_GB2312"/>
          <w:b/>
          <w:kern w:val="0"/>
          <w:sz w:val="32"/>
          <w:szCs w:val="32"/>
          <w:lang w:eastAsia="zh-CN"/>
        </w:rPr>
        <w:t>九</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kern w:val="0"/>
          <w:sz w:val="32"/>
          <w:szCs w:val="32"/>
        </w:rPr>
        <w:t>基础设施基金或者基础设施项目公司在报告期内对外借入、归还款项，或者在报告期末存在对外借入款项余额的，基金管理人应当在年度报告中逐笔披露借款对象、借款形式、借款金额、借款利率、借款起始日与到期日、增信措施（如有）、期末余额、报告期内还款金额、未来还本计划（如有）等，并分析</w:t>
      </w:r>
      <w:r>
        <w:rPr>
          <w:rFonts w:hint="eastAsia" w:ascii="仿宋_GB2312" w:hAnsi="仿宋_GB2312" w:eastAsia="仿宋_GB2312" w:cs="仿宋_GB2312"/>
          <w:sz w:val="32"/>
          <w:szCs w:val="32"/>
        </w:rPr>
        <w:t>报告期</w:t>
      </w:r>
      <w:r>
        <w:rPr>
          <w:rFonts w:hint="eastAsia" w:ascii="仿宋_GB2312" w:hAnsi="仿宋_GB2312" w:eastAsia="仿宋_GB2312" w:cs="仿宋_GB2312"/>
          <w:kern w:val="0"/>
          <w:sz w:val="32"/>
          <w:szCs w:val="32"/>
        </w:rPr>
        <w:t>与上年同期借入款项的变化情况。</w:t>
      </w:r>
    </w:p>
    <w:p>
      <w:pPr>
        <w:tabs>
          <w:tab w:val="left" w:pos="1701"/>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报告期内新增对外借入款项的，基金管理人应当逐笔披露借款原因</w:t>
      </w:r>
      <w:r>
        <w:rPr>
          <w:rFonts w:hint="eastAsia" w:ascii="仿宋_GB2312" w:eastAsia="仿宋_GB2312"/>
          <w:kern w:val="0"/>
          <w:sz w:val="32"/>
          <w:szCs w:val="32"/>
          <w:lang w:eastAsia="zh-CN"/>
        </w:rPr>
        <w:t>以</w:t>
      </w:r>
      <w:r>
        <w:rPr>
          <w:rFonts w:hint="eastAsia" w:ascii="仿宋_GB2312" w:hAnsi="仿宋_GB2312" w:eastAsia="仿宋_GB2312" w:cs="仿宋_GB2312"/>
          <w:kern w:val="0"/>
          <w:sz w:val="32"/>
          <w:szCs w:val="32"/>
        </w:rPr>
        <w:t>及使用情况、是否存在对外借入款项不符合借款要求的情形及其整改措施、对基金份额持有人权益的影响。</w:t>
      </w:r>
    </w:p>
    <w:p>
      <w:pPr>
        <w:tabs>
          <w:tab w:val="left" w:pos="1701"/>
        </w:tabs>
        <w:spacing w:line="560" w:lineRule="exact"/>
        <w:ind w:firstLine="642" w:firstLineChars="200"/>
        <w:rPr>
          <w:rFonts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第</w:t>
      </w:r>
      <w:r>
        <w:rPr>
          <w:rFonts w:hint="eastAsia" w:ascii="仿宋_GB2312" w:hAnsi="仿宋_GB2312" w:eastAsia="仿宋_GB2312" w:cs="仿宋_GB2312"/>
          <w:b/>
          <w:kern w:val="0"/>
          <w:sz w:val="32"/>
          <w:szCs w:val="32"/>
          <w:lang w:eastAsia="zh-CN"/>
        </w:rPr>
        <w:t>四十</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Cs/>
          <w:kern w:val="0"/>
          <w:sz w:val="32"/>
          <w:szCs w:val="32"/>
        </w:rPr>
        <w:t>报告期内购入或者出售基础设施项目的，基金管理人应当在年度报告中披露</w:t>
      </w:r>
      <w:r>
        <w:rPr>
          <w:rFonts w:hint="eastAsia" w:ascii="仿宋_GB2312" w:hAnsi="仿宋_GB2312" w:eastAsia="仿宋_GB2312" w:cs="仿宋_GB2312"/>
          <w:kern w:val="0"/>
          <w:sz w:val="32"/>
          <w:szCs w:val="32"/>
        </w:rPr>
        <w:t>基础设施</w:t>
      </w:r>
      <w:r>
        <w:rPr>
          <w:rFonts w:hint="eastAsia" w:ascii="仿宋_GB2312" w:hAnsi="仿宋_GB2312" w:eastAsia="仿宋_GB2312" w:cs="仿宋_GB2312"/>
          <w:bCs/>
          <w:kern w:val="0"/>
          <w:sz w:val="32"/>
          <w:szCs w:val="32"/>
        </w:rPr>
        <w:t>项目名称、交易方向、交易对手、交易金额、</w:t>
      </w:r>
      <w:r>
        <w:rPr>
          <w:rFonts w:hint="eastAsia" w:ascii="仿宋_GB2312" w:hAnsi="仿宋_GB2312" w:eastAsia="仿宋_GB2312" w:cs="仿宋_GB2312"/>
          <w:kern w:val="0"/>
          <w:sz w:val="32"/>
          <w:szCs w:val="32"/>
        </w:rPr>
        <w:t>基础设施</w:t>
      </w:r>
      <w:r>
        <w:rPr>
          <w:rFonts w:hint="eastAsia" w:ascii="仿宋_GB2312" w:hAnsi="仿宋_GB2312" w:eastAsia="仿宋_GB2312" w:cs="仿宋_GB2312"/>
          <w:bCs/>
          <w:kern w:val="0"/>
          <w:sz w:val="32"/>
          <w:szCs w:val="32"/>
        </w:rPr>
        <w:t>项目账面价值、</w:t>
      </w:r>
      <w:r>
        <w:rPr>
          <w:rFonts w:hint="eastAsia" w:ascii="仿宋_GB2312" w:hAnsi="仿宋_GB2312" w:eastAsia="仿宋_GB2312" w:cs="仿宋_GB2312"/>
          <w:kern w:val="0"/>
          <w:sz w:val="32"/>
          <w:szCs w:val="32"/>
        </w:rPr>
        <w:t>基础设施</w:t>
      </w:r>
      <w:r>
        <w:rPr>
          <w:rFonts w:hint="eastAsia" w:ascii="仿宋_GB2312" w:hAnsi="仿宋_GB2312" w:eastAsia="仿宋_GB2312" w:cs="仿宋_GB2312"/>
          <w:bCs/>
          <w:kern w:val="0"/>
          <w:sz w:val="32"/>
          <w:szCs w:val="32"/>
        </w:rPr>
        <w:t>项目评估价格</w:t>
      </w:r>
      <w:r>
        <w:rPr>
          <w:rFonts w:hint="eastAsia" w:ascii="仿宋_GB2312" w:eastAsia="仿宋_GB2312"/>
          <w:kern w:val="0"/>
          <w:sz w:val="32"/>
          <w:szCs w:val="32"/>
          <w:lang w:eastAsia="zh-CN"/>
        </w:rPr>
        <w:t>以</w:t>
      </w:r>
      <w:r>
        <w:rPr>
          <w:rFonts w:hint="eastAsia" w:ascii="仿宋_GB2312" w:hAnsi="仿宋_GB2312" w:eastAsia="仿宋_GB2312" w:cs="仿宋_GB2312"/>
          <w:bCs/>
          <w:kern w:val="0"/>
          <w:sz w:val="32"/>
          <w:szCs w:val="32"/>
        </w:rPr>
        <w:t>及评估方法（如有）等。</w:t>
      </w:r>
    </w:p>
    <w:p>
      <w:pPr>
        <w:tabs>
          <w:tab w:val="left" w:pos="1701"/>
        </w:tabs>
        <w:spacing w:line="560" w:lineRule="exact"/>
        <w:ind w:firstLine="642" w:firstLineChars="200"/>
        <w:rPr>
          <w:rFonts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第四十</w:t>
      </w:r>
      <w:r>
        <w:rPr>
          <w:rFonts w:hint="eastAsia" w:ascii="仿宋_GB2312" w:hAnsi="仿宋_GB2312" w:eastAsia="仿宋_GB2312" w:cs="仿宋_GB2312"/>
          <w:b/>
          <w:kern w:val="0"/>
          <w:sz w:val="32"/>
          <w:szCs w:val="32"/>
          <w:lang w:eastAsia="zh-CN"/>
        </w:rPr>
        <w:t>一</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Cs/>
          <w:kern w:val="0"/>
          <w:sz w:val="32"/>
          <w:szCs w:val="32"/>
        </w:rPr>
        <w:t>基金管理人应当在年度报告中披露报告期内基础设施项目保险承保范围、购买和主要使用情况等。</w:t>
      </w:r>
    </w:p>
    <w:p>
      <w:pPr>
        <w:pStyle w:val="2"/>
        <w:spacing w:line="560" w:lineRule="exact"/>
        <w:ind w:firstLine="643"/>
        <w:rPr>
          <w:rFonts w:hAnsi="仿宋_GB2312" w:cs="仿宋_GB2312"/>
          <w:bCs/>
          <w:kern w:val="0"/>
          <w:sz w:val="32"/>
          <w:szCs w:val="32"/>
        </w:rPr>
      </w:pPr>
      <w:r>
        <w:rPr>
          <w:rFonts w:hint="eastAsia" w:hAnsi="仿宋_GB2312" w:cs="仿宋_GB2312"/>
          <w:b/>
          <w:kern w:val="0"/>
          <w:sz w:val="32"/>
          <w:szCs w:val="32"/>
        </w:rPr>
        <w:t>第四十</w:t>
      </w:r>
      <w:r>
        <w:rPr>
          <w:rFonts w:hint="eastAsia" w:hAnsi="仿宋_GB2312" w:cs="仿宋_GB2312"/>
          <w:b/>
          <w:kern w:val="0"/>
          <w:sz w:val="32"/>
          <w:szCs w:val="32"/>
          <w:lang w:eastAsia="zh-CN"/>
        </w:rPr>
        <w:t>二</w:t>
      </w:r>
      <w:r>
        <w:rPr>
          <w:rFonts w:hint="eastAsia" w:hAnsi="仿宋_GB2312" w:cs="仿宋_GB2312"/>
          <w:b/>
          <w:kern w:val="0"/>
          <w:sz w:val="32"/>
          <w:szCs w:val="32"/>
        </w:rPr>
        <w:t>条</w:t>
      </w:r>
      <w:r>
        <w:rPr>
          <w:rFonts w:hint="eastAsia" w:hAnsi="仿宋_GB2312" w:cs="仿宋_GB2312"/>
          <w:b/>
          <w:kern w:val="0"/>
          <w:sz w:val="32"/>
          <w:szCs w:val="32"/>
          <w:lang w:val="en-US" w:eastAsia="zh-CN"/>
        </w:rPr>
        <w:t xml:space="preserve"> </w:t>
      </w:r>
      <w:r>
        <w:rPr>
          <w:rFonts w:hint="eastAsia" w:hAnsi="仿宋_GB2312" w:cs="仿宋_GB2312"/>
          <w:bCs/>
          <w:kern w:val="0"/>
          <w:sz w:val="32"/>
          <w:szCs w:val="32"/>
        </w:rPr>
        <w:t>报告期内重要基础设施项目的生产经营状况、外部环境已经或者预计发生重大变化的，基金管理人应当在年度报告中披露重大变化的具体情况、发生原因、预计持续时间及其依据以及应对措施，并分析对基础设施项目运营情况、经营业绩、现金流和基金份额持有人权益的影响。</w:t>
      </w:r>
    </w:p>
    <w:p>
      <w:pPr>
        <w:pStyle w:val="2"/>
        <w:spacing w:line="560" w:lineRule="exact"/>
        <w:ind w:firstLine="640"/>
        <w:rPr>
          <w:rFonts w:hAnsi="仿宋_GB2312" w:cs="仿宋_GB2312"/>
          <w:sz w:val="32"/>
          <w:szCs w:val="32"/>
        </w:rPr>
      </w:pPr>
      <w:r>
        <w:rPr>
          <w:rFonts w:hint="eastAsia" w:hAnsi="仿宋_GB2312" w:cs="仿宋_GB2312"/>
          <w:bCs/>
          <w:kern w:val="0"/>
          <w:sz w:val="32"/>
          <w:szCs w:val="32"/>
        </w:rPr>
        <w:t>前款所称重大变化情况包括下列情形</w:t>
      </w:r>
      <w:r>
        <w:rPr>
          <w:rFonts w:hint="eastAsia" w:hAnsi="仿宋_GB2312" w:cs="仿宋_GB2312"/>
          <w:sz w:val="32"/>
          <w:szCs w:val="32"/>
        </w:rPr>
        <w:t>：</w:t>
      </w:r>
    </w:p>
    <w:p>
      <w:pPr>
        <w:tabs>
          <w:tab w:val="left" w:pos="1701"/>
        </w:tabs>
        <w:spacing w:line="560" w:lineRule="exact"/>
        <w:ind w:firstLine="6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（一）所在地区或者所属行业的产业政策、竞争格局、融资环境等发生重大变化</w:t>
      </w:r>
      <w:r>
        <w:rPr>
          <w:rFonts w:hint="eastAsia" w:ascii="仿宋_GB2312" w:hAnsi="仿宋_GB2312" w:eastAsia="仿宋_GB2312" w:cs="仿宋_GB2312"/>
          <w:kern w:val="0"/>
          <w:sz w:val="32"/>
          <w:szCs w:val="32"/>
          <w:lang w:eastAsia="zh-CN"/>
        </w:rPr>
        <w:t>；</w:t>
      </w:r>
    </w:p>
    <w:p>
      <w:pPr>
        <w:tabs>
          <w:tab w:val="left" w:pos="1701"/>
        </w:tabs>
        <w:spacing w:line="560" w:lineRule="exact"/>
        <w:ind w:firstLine="6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（二）基础设施项目发生重大环境、生产、安全事故或者遭遇不可抗力</w:t>
      </w:r>
      <w:r>
        <w:rPr>
          <w:rFonts w:hint="eastAsia" w:ascii="仿宋_GB2312" w:hAnsi="仿宋_GB2312" w:eastAsia="仿宋_GB2312" w:cs="仿宋_GB2312"/>
          <w:kern w:val="0"/>
          <w:sz w:val="32"/>
          <w:szCs w:val="32"/>
          <w:lang w:eastAsia="zh-CN"/>
        </w:rPr>
        <w:t>；</w:t>
      </w:r>
    </w:p>
    <w:p>
      <w:pPr>
        <w:tabs>
          <w:tab w:val="left" w:pos="1701"/>
        </w:tabs>
        <w:spacing w:line="560" w:lineRule="exact"/>
        <w:ind w:firstLine="6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（三）收到相关部门整改重大违规行为、停产、搬迁、关闭等决定或者通知</w:t>
      </w:r>
      <w:r>
        <w:rPr>
          <w:rFonts w:hint="eastAsia" w:ascii="仿宋_GB2312" w:hAnsi="仿宋_GB2312" w:eastAsia="仿宋_GB2312" w:cs="仿宋_GB2312"/>
          <w:kern w:val="0"/>
          <w:sz w:val="32"/>
          <w:szCs w:val="32"/>
          <w:lang w:eastAsia="zh-CN"/>
        </w:rPr>
        <w:t>；</w:t>
      </w:r>
    </w:p>
    <w:p>
      <w:pPr>
        <w:tabs>
          <w:tab w:val="left" w:pos="1701"/>
        </w:tabs>
        <w:spacing w:line="560" w:lineRule="exact"/>
        <w:ind w:firstLine="6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（四）主要或者全部业务运行陷入停滞</w:t>
      </w:r>
      <w:r>
        <w:rPr>
          <w:rFonts w:hint="eastAsia" w:ascii="仿宋_GB2312" w:hAnsi="仿宋_GB2312" w:eastAsia="仿宋_GB2312" w:cs="仿宋_GB2312"/>
          <w:kern w:val="0"/>
          <w:sz w:val="32"/>
          <w:szCs w:val="32"/>
          <w:lang w:eastAsia="zh-CN"/>
        </w:rPr>
        <w:t>；</w:t>
      </w:r>
    </w:p>
    <w:p>
      <w:pPr>
        <w:tabs>
          <w:tab w:val="left" w:pos="1701"/>
        </w:tabs>
        <w:spacing w:line="560" w:lineRule="exact"/>
        <w:ind w:firstLine="6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（五）丧失重要特许经营权或者其他重要生产经营业务资质</w:t>
      </w:r>
      <w:r>
        <w:rPr>
          <w:rFonts w:hint="eastAsia" w:ascii="仿宋_GB2312" w:hAnsi="仿宋_GB2312" w:eastAsia="仿宋_GB2312" w:cs="仿宋_GB2312"/>
          <w:kern w:val="0"/>
          <w:sz w:val="32"/>
          <w:szCs w:val="32"/>
          <w:lang w:eastAsia="zh-CN"/>
        </w:rPr>
        <w:t>；</w:t>
      </w:r>
    </w:p>
    <w:p>
      <w:pPr>
        <w:tabs>
          <w:tab w:val="left" w:pos="1701"/>
        </w:tabs>
        <w:spacing w:line="560" w:lineRule="exact"/>
        <w:ind w:firstLine="6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（六）主要产品或者服务的生产、采购、销售等情况发生重大变化</w:t>
      </w:r>
      <w:r>
        <w:rPr>
          <w:rFonts w:hint="eastAsia" w:ascii="仿宋_GB2312" w:hAnsi="仿宋_GB2312" w:eastAsia="仿宋_GB2312" w:cs="仿宋_GB2312"/>
          <w:kern w:val="0"/>
          <w:sz w:val="32"/>
          <w:szCs w:val="32"/>
          <w:lang w:eastAsia="zh-CN"/>
        </w:rPr>
        <w:t>；</w:t>
      </w:r>
    </w:p>
    <w:p>
      <w:pPr>
        <w:tabs>
          <w:tab w:val="left" w:pos="1701"/>
        </w:tabs>
        <w:spacing w:line="560" w:lineRule="exact"/>
        <w:ind w:firstLine="6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（七）</w:t>
      </w:r>
      <w:r>
        <w:rPr>
          <w:rFonts w:hint="eastAsia" w:ascii="仿宋_GB2312" w:hAnsi="仿宋_GB2312" w:eastAsia="仿宋_GB2312" w:cs="仿宋_GB2312"/>
          <w:bCs/>
          <w:kern w:val="0"/>
          <w:sz w:val="32"/>
          <w:szCs w:val="32"/>
        </w:rPr>
        <w:t>基础设施</w:t>
      </w:r>
      <w:r>
        <w:rPr>
          <w:rFonts w:hint="eastAsia" w:ascii="仿宋_GB2312" w:hAnsi="仿宋_GB2312" w:eastAsia="仿宋_GB2312" w:cs="仿宋_GB2312"/>
          <w:kern w:val="0"/>
          <w:sz w:val="32"/>
          <w:szCs w:val="32"/>
        </w:rPr>
        <w:t>项目法律权属发生重要争议或者重大变更，或者</w:t>
      </w:r>
      <w:r>
        <w:rPr>
          <w:rFonts w:hint="eastAsia" w:ascii="仿宋_GB2312" w:hAnsi="仿宋_GB2312" w:eastAsia="仿宋_GB2312" w:cs="仿宋_GB2312"/>
          <w:bCs/>
          <w:kern w:val="0"/>
          <w:sz w:val="32"/>
          <w:szCs w:val="32"/>
        </w:rPr>
        <w:t>基础设施</w:t>
      </w:r>
      <w:r>
        <w:rPr>
          <w:rFonts w:hint="eastAsia" w:ascii="仿宋_GB2312" w:hAnsi="仿宋_GB2312" w:eastAsia="仿宋_GB2312" w:cs="仿宋_GB2312"/>
          <w:kern w:val="0"/>
          <w:sz w:val="32"/>
          <w:szCs w:val="32"/>
        </w:rPr>
        <w:t>项目发生抵押、质押、查封、扣押、冻结等权利受限情况</w:t>
      </w:r>
      <w:r>
        <w:rPr>
          <w:rFonts w:hint="eastAsia" w:ascii="仿宋_GB2312" w:hAnsi="仿宋_GB2312" w:eastAsia="仿宋_GB2312" w:cs="仿宋_GB2312"/>
          <w:bCs/>
          <w:kern w:val="0"/>
          <w:sz w:val="32"/>
          <w:szCs w:val="32"/>
        </w:rPr>
        <w:t>以及其他影响基础设施项目转让的情况</w:t>
      </w:r>
      <w:r>
        <w:rPr>
          <w:rFonts w:hint="eastAsia" w:ascii="仿宋_GB2312" w:hAnsi="仿宋_GB2312" w:eastAsia="仿宋_GB2312" w:cs="仿宋_GB2312"/>
          <w:kern w:val="0"/>
          <w:sz w:val="32"/>
          <w:szCs w:val="32"/>
          <w:lang w:eastAsia="zh-CN"/>
        </w:rPr>
        <w:t>；</w:t>
      </w:r>
    </w:p>
    <w:p>
      <w:pPr>
        <w:tabs>
          <w:tab w:val="left" w:pos="1701"/>
        </w:tabs>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（八）其他影响基础设施项目稳定运营的重大变化情形。</w:t>
      </w:r>
    </w:p>
    <w:p>
      <w:pPr>
        <w:spacing w:line="560" w:lineRule="exact"/>
        <w:ind w:firstLine="642" w:firstLineChars="200"/>
        <w:rPr>
          <w:rFonts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第四十</w:t>
      </w:r>
      <w:r>
        <w:rPr>
          <w:rFonts w:hint="eastAsia" w:ascii="仿宋_GB2312" w:hAnsi="仿宋_GB2312" w:eastAsia="仿宋_GB2312" w:cs="仿宋_GB2312"/>
          <w:b/>
          <w:kern w:val="0"/>
          <w:sz w:val="32"/>
          <w:szCs w:val="32"/>
          <w:lang w:eastAsia="zh-CN"/>
        </w:rPr>
        <w:t>三</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Cs/>
          <w:kern w:val="0"/>
          <w:sz w:val="32"/>
          <w:szCs w:val="32"/>
        </w:rPr>
        <w:t>基金管理人应当结合基础设施项目的行业、区域、业务模式等，在年度报告中披露下列回顾总结和未来展望的分析讨论情况：</w:t>
      </w:r>
    </w:p>
    <w:p>
      <w:pPr>
        <w:spacing w:line="56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（一）结合近三年经营业绩波动情况，对报告期内基础设施项目经营业绩的整体分析和说明</w:t>
      </w:r>
      <w:r>
        <w:rPr>
          <w:rFonts w:hint="eastAsia" w:ascii="仿宋_GB2312" w:hAnsi="仿宋_GB2312" w:eastAsia="仿宋_GB2312" w:cs="仿宋_GB2312"/>
          <w:bCs/>
          <w:kern w:val="0"/>
          <w:sz w:val="32"/>
          <w:szCs w:val="32"/>
          <w:lang w:eastAsia="zh-CN"/>
        </w:rPr>
        <w:t>；</w:t>
      </w:r>
    </w:p>
    <w:p>
      <w:pPr>
        <w:spacing w:line="56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（二）报告期内经营计划和财务预算的具体执行情况，以及未来的主要经营方针策略等</w:t>
      </w:r>
      <w:r>
        <w:rPr>
          <w:rFonts w:hint="eastAsia" w:ascii="仿宋_GB2312" w:hAnsi="仿宋_GB2312" w:eastAsia="仿宋_GB2312" w:cs="仿宋_GB2312"/>
          <w:bCs/>
          <w:kern w:val="0"/>
          <w:sz w:val="32"/>
          <w:szCs w:val="32"/>
          <w:lang w:eastAsia="zh-CN"/>
        </w:rPr>
        <w:t>；</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（三）基础设施项目未来一年或者三年的发展趋势、前景展望、经营风险因素等。</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kern w:val="0"/>
          <w:sz w:val="32"/>
          <w:szCs w:val="32"/>
        </w:rPr>
        <w:t>第四十</w:t>
      </w:r>
      <w:r>
        <w:rPr>
          <w:rFonts w:hint="eastAsia" w:ascii="仿宋_GB2312" w:hAnsi="仿宋_GB2312" w:eastAsia="仿宋_GB2312" w:cs="仿宋_GB2312"/>
          <w:b/>
          <w:kern w:val="0"/>
          <w:sz w:val="32"/>
          <w:szCs w:val="32"/>
          <w:lang w:eastAsia="zh-CN"/>
        </w:rPr>
        <w:t>四</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Cs/>
          <w:kern w:val="0"/>
          <w:sz w:val="32"/>
          <w:szCs w:val="32"/>
        </w:rPr>
        <w:t>原始权益人应当严格落实回收资金使用要求，遵守回收资金使用承诺，配合</w:t>
      </w:r>
      <w:r>
        <w:rPr>
          <w:rFonts w:hint="eastAsia" w:ascii="仿宋_GB2312" w:hAnsi="仿宋_GB2312" w:eastAsia="仿宋_GB2312" w:cs="仿宋_GB2312"/>
          <w:sz w:val="32"/>
          <w:szCs w:val="32"/>
        </w:rPr>
        <w:t>基金管理人在年度报告中披露下列回收资金使用信息：</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（一）回收资金使用等有关情况，包括但不限于净回收资金金额、使用计划和报告期内实际投向和占比。报告期内净回收资金</w:t>
      </w:r>
      <w:r>
        <w:rPr>
          <w:rFonts w:hint="eastAsia" w:ascii="仿宋_GB2312" w:hAnsi="仿宋_GB2312" w:eastAsia="仿宋_GB2312" w:cs="仿宋_GB2312"/>
          <w:bCs/>
          <w:kern w:val="0"/>
          <w:sz w:val="32"/>
          <w:szCs w:val="32"/>
        </w:rPr>
        <w:t>用途发生变更的，应当说明变更原因、履行的决策审批程序和信息披露情况</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sz w:val="32"/>
          <w:szCs w:val="32"/>
        </w:rPr>
        <w:t>（二）报告</w:t>
      </w:r>
      <w:r>
        <w:rPr>
          <w:rFonts w:hint="eastAsia" w:ascii="仿宋_GB2312" w:hAnsi="仿宋_GB2312" w:eastAsia="仿宋_GB2312" w:cs="仿宋_GB2312"/>
          <w:bCs/>
          <w:kern w:val="0"/>
          <w:sz w:val="32"/>
          <w:szCs w:val="32"/>
        </w:rPr>
        <w:t>期末净回收资金余额和净回收资金使用率，并说明剩余净回收资金后续使用计划（如有）。</w:t>
      </w:r>
    </w:p>
    <w:p>
      <w:pPr>
        <w:pStyle w:val="2"/>
        <w:spacing w:line="560" w:lineRule="exact"/>
        <w:ind w:firstLine="640"/>
        <w:rPr>
          <w:rFonts w:hAnsi="仿宋_GB2312" w:cs="仿宋_GB2312"/>
          <w:sz w:val="32"/>
          <w:szCs w:val="32"/>
        </w:rPr>
      </w:pPr>
      <w:r>
        <w:rPr>
          <w:rFonts w:hint="eastAsia" w:hAnsi="仿宋_GB2312" w:cs="仿宋_GB2312"/>
          <w:sz w:val="32"/>
          <w:szCs w:val="32"/>
        </w:rPr>
        <w:t>（三）原始权益人控股股东或者其关联方遵守回收资金管理制度（如有）以及相关法律法规情况。</w:t>
      </w:r>
    </w:p>
    <w:p>
      <w:pPr>
        <w:pStyle w:val="2"/>
        <w:spacing w:line="560" w:lineRule="exact"/>
        <w:ind w:firstLine="640"/>
        <w:rPr>
          <w:sz w:val="32"/>
          <w:szCs w:val="32"/>
        </w:rPr>
      </w:pPr>
      <w:r>
        <w:rPr>
          <w:rFonts w:hint="eastAsia" w:hAnsi="仿宋_GB2312" w:cs="仿宋_GB2312"/>
          <w:sz w:val="32"/>
          <w:szCs w:val="32"/>
        </w:rPr>
        <w:t>报告期内回收资金使用完毕的，基金管理人可以按照前款要求在最近一期年度报告完成披露后不再进行披露。</w:t>
      </w:r>
    </w:p>
    <w:p>
      <w:pPr>
        <w:pStyle w:val="5"/>
        <w:rPr>
          <w:rFonts w:hint="default"/>
          <w:szCs w:val="32"/>
        </w:rPr>
      </w:pPr>
      <w:r>
        <w:rPr>
          <w:szCs w:val="32"/>
        </w:rPr>
        <w:t>第四节 分行业基础资产披露要求</w:t>
      </w:r>
    </w:p>
    <w:p>
      <w:pPr>
        <w:spacing w:line="560" w:lineRule="exact"/>
        <w:ind w:firstLine="642" w:firstLineChars="200"/>
        <w:rPr>
          <w:rFonts w:ascii="仿宋_GB2312" w:eastAsia="仿宋_GB2312"/>
          <w:kern w:val="0"/>
          <w:sz w:val="32"/>
          <w:szCs w:val="32"/>
        </w:rPr>
      </w:pPr>
      <w:r>
        <w:rPr>
          <w:rFonts w:hint="eastAsia" w:ascii="仿宋_GB2312" w:eastAsia="仿宋_GB2312"/>
          <w:b/>
          <w:kern w:val="0"/>
          <w:sz w:val="32"/>
          <w:szCs w:val="32"/>
        </w:rPr>
        <w:t>第四十</w:t>
      </w:r>
      <w:r>
        <w:rPr>
          <w:rFonts w:hint="eastAsia" w:ascii="仿宋_GB2312" w:eastAsia="仿宋_GB2312"/>
          <w:b/>
          <w:kern w:val="0"/>
          <w:sz w:val="32"/>
          <w:szCs w:val="32"/>
          <w:lang w:eastAsia="zh-CN"/>
        </w:rPr>
        <w:t>五</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eastAsia="仿宋_GB2312"/>
          <w:bCs/>
          <w:kern w:val="0"/>
          <w:sz w:val="32"/>
          <w:szCs w:val="32"/>
        </w:rPr>
        <w:t>基础设施项目类型为产业园区、仓储物流、租赁住房或者消费基础设施的，基金管理人应当</w:t>
      </w:r>
      <w:r>
        <w:rPr>
          <w:rFonts w:hint="eastAsia" w:ascii="仿宋_GB2312" w:eastAsia="仿宋_GB2312"/>
          <w:bCs/>
          <w:kern w:val="0"/>
          <w:sz w:val="32"/>
          <w:szCs w:val="32"/>
          <w:lang w:eastAsia="zh-CN"/>
        </w:rPr>
        <w:t>基于</w:t>
      </w:r>
      <w:r>
        <w:rPr>
          <w:rFonts w:hint="eastAsia" w:ascii="仿宋_GB2312" w:eastAsia="仿宋_GB2312"/>
          <w:bCs/>
          <w:kern w:val="0"/>
          <w:sz w:val="32"/>
          <w:szCs w:val="32"/>
        </w:rPr>
        <w:t>本指引</w:t>
      </w:r>
      <w:r>
        <w:rPr>
          <w:rFonts w:hint="eastAsia" w:ascii="仿宋_GB2312" w:eastAsia="仿宋_GB2312"/>
          <w:bCs/>
          <w:kern w:val="0"/>
          <w:sz w:val="32"/>
          <w:szCs w:val="32"/>
          <w:lang w:eastAsia="zh-CN"/>
        </w:rPr>
        <w:t>第三十六</w:t>
      </w:r>
      <w:r>
        <w:rPr>
          <w:rFonts w:hint="eastAsia" w:ascii="仿宋_GB2312" w:eastAsia="仿宋_GB2312"/>
          <w:bCs/>
          <w:kern w:val="0"/>
          <w:sz w:val="32"/>
          <w:szCs w:val="32"/>
        </w:rPr>
        <w:t>条第二项和</w:t>
      </w:r>
      <w:r>
        <w:rPr>
          <w:rFonts w:hint="eastAsia" w:ascii="仿宋_GB2312" w:eastAsia="仿宋_GB2312"/>
          <w:bCs/>
          <w:kern w:val="0"/>
          <w:sz w:val="32"/>
          <w:szCs w:val="32"/>
          <w:lang w:eastAsia="zh-CN"/>
        </w:rPr>
        <w:t>第三十七</w:t>
      </w:r>
      <w:r>
        <w:rPr>
          <w:rFonts w:hint="eastAsia" w:ascii="仿宋_GB2312" w:eastAsia="仿宋_GB2312"/>
          <w:bCs/>
          <w:kern w:val="0"/>
          <w:sz w:val="32"/>
          <w:szCs w:val="32"/>
        </w:rPr>
        <w:t>条</w:t>
      </w:r>
      <w:r>
        <w:rPr>
          <w:rFonts w:hint="eastAsia" w:ascii="仿宋_GB2312" w:eastAsia="仿宋_GB2312"/>
          <w:bCs/>
          <w:kern w:val="0"/>
          <w:sz w:val="32"/>
          <w:szCs w:val="32"/>
          <w:lang w:eastAsia="zh-CN"/>
        </w:rPr>
        <w:t>第一款</w:t>
      </w:r>
      <w:r>
        <w:rPr>
          <w:rFonts w:hint="eastAsia" w:ascii="仿宋_GB2312" w:eastAsia="仿宋_GB2312"/>
          <w:bCs/>
          <w:kern w:val="0"/>
          <w:sz w:val="32"/>
          <w:szCs w:val="32"/>
        </w:rPr>
        <w:t>第三项</w:t>
      </w:r>
      <w:r>
        <w:rPr>
          <w:rFonts w:hint="eastAsia" w:ascii="仿宋_GB2312" w:eastAsia="仿宋_GB2312"/>
          <w:bCs/>
          <w:kern w:val="0"/>
          <w:sz w:val="32"/>
          <w:szCs w:val="32"/>
          <w:lang w:eastAsia="zh-CN"/>
        </w:rPr>
        <w:t>，</w:t>
      </w:r>
      <w:r>
        <w:rPr>
          <w:rFonts w:hint="eastAsia" w:ascii="仿宋_GB2312" w:eastAsia="仿宋_GB2312"/>
          <w:bCs/>
          <w:kern w:val="0"/>
          <w:sz w:val="32"/>
          <w:szCs w:val="32"/>
        </w:rPr>
        <w:t>在年度报告中</w:t>
      </w:r>
      <w:r>
        <w:rPr>
          <w:rFonts w:hint="eastAsia" w:ascii="仿宋_GB2312" w:eastAsia="仿宋_GB2312"/>
          <w:bCs/>
          <w:kern w:val="0"/>
          <w:sz w:val="32"/>
          <w:szCs w:val="32"/>
          <w:lang w:eastAsia="zh-CN"/>
        </w:rPr>
        <w:t>详细</w:t>
      </w:r>
      <w:r>
        <w:rPr>
          <w:rFonts w:hint="eastAsia" w:ascii="仿宋_GB2312" w:eastAsia="仿宋_GB2312"/>
          <w:bCs/>
          <w:kern w:val="0"/>
          <w:sz w:val="32"/>
          <w:szCs w:val="32"/>
        </w:rPr>
        <w:t>披露下列信息：</w:t>
      </w:r>
    </w:p>
    <w:p>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kern w:val="0"/>
          <w:sz w:val="32"/>
          <w:szCs w:val="32"/>
        </w:rPr>
        <w:t>基础设施项目营业收入的主要构成情况，包括但不限于租金收入、物业管理费收入等</w:t>
      </w:r>
      <w:r>
        <w:rPr>
          <w:rFonts w:hint="eastAsia" w:ascii="仿宋_GB2312" w:eastAsia="仿宋_GB2312"/>
          <w:kern w:val="0"/>
          <w:sz w:val="32"/>
          <w:szCs w:val="32"/>
          <w:lang w:eastAsia="zh-CN"/>
        </w:rPr>
        <w:t>；</w:t>
      </w:r>
    </w:p>
    <w:p>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kern w:val="0"/>
          <w:sz w:val="32"/>
          <w:szCs w:val="32"/>
        </w:rPr>
        <w:t>基础设施项目营业成本以及费用的主要构成情况，包括但不限于租赁成本、物业运营成本、折旧摊销成本等</w:t>
      </w:r>
      <w:r>
        <w:rPr>
          <w:rFonts w:hint="eastAsia" w:ascii="仿宋_GB2312" w:eastAsia="仿宋_GB2312"/>
          <w:sz w:val="32"/>
          <w:szCs w:val="32"/>
          <w:lang w:eastAsia="zh-CN"/>
        </w:rPr>
        <w:t>；</w:t>
      </w:r>
    </w:p>
    <w:p>
      <w:pPr>
        <w:pStyle w:val="2"/>
        <w:numPr>
          <w:ilvl w:val="0"/>
          <w:numId w:val="1"/>
        </w:numPr>
        <w:spacing w:line="560" w:lineRule="exact"/>
        <w:ind w:firstLine="640"/>
        <w:rPr>
          <w:sz w:val="32"/>
          <w:szCs w:val="32"/>
        </w:rPr>
      </w:pPr>
      <w:r>
        <w:rPr>
          <w:rFonts w:hint="eastAsia"/>
          <w:bCs/>
          <w:kern w:val="0"/>
          <w:sz w:val="32"/>
          <w:szCs w:val="32"/>
        </w:rPr>
        <w:t>租赁相关运营指标，包括</w:t>
      </w:r>
      <w:r>
        <w:rPr>
          <w:rFonts w:hint="eastAsia"/>
          <w:sz w:val="32"/>
          <w:szCs w:val="32"/>
        </w:rPr>
        <w:t>报告期末可供出租面积、报告期末实际出租面积、报告期末出租率、报告期内租金单价水平、报告期末</w:t>
      </w:r>
      <w:r>
        <w:rPr>
          <w:rFonts w:hint="eastAsia" w:ascii="Times New Roman" w:hAnsi="宋体" w:cs="宋体"/>
          <w:color w:val="000000"/>
          <w:kern w:val="0"/>
          <w:sz w:val="32"/>
          <w:szCs w:val="32"/>
        </w:rPr>
        <w:t>剩余租期情况、</w:t>
      </w:r>
      <w:r>
        <w:rPr>
          <w:rFonts w:hint="eastAsia"/>
          <w:sz w:val="32"/>
          <w:szCs w:val="32"/>
        </w:rPr>
        <w:t>报告期末</w:t>
      </w:r>
      <w:r>
        <w:rPr>
          <w:rFonts w:hint="eastAsia" w:hAnsi="仿宋_GB2312" w:cs="仿宋_GB2312"/>
          <w:bCs/>
          <w:kern w:val="0"/>
          <w:sz w:val="32"/>
          <w:szCs w:val="32"/>
        </w:rPr>
        <w:t>租金收缴率</w:t>
      </w:r>
      <w:r>
        <w:rPr>
          <w:rFonts w:hint="eastAsia" w:hAnsi="仿宋_GB2312" w:cs="仿宋_GB2312"/>
          <w:bCs/>
          <w:kern w:val="0"/>
          <w:sz w:val="32"/>
          <w:szCs w:val="32"/>
          <w:lang w:eastAsia="zh-CN"/>
        </w:rPr>
        <w:t>；</w:t>
      </w:r>
    </w:p>
    <w:p>
      <w:pPr>
        <w:pStyle w:val="2"/>
        <w:numPr>
          <w:ilvl w:val="255"/>
          <w:numId w:val="0"/>
        </w:numPr>
        <w:spacing w:line="560" w:lineRule="exact"/>
        <w:ind w:firstLine="640"/>
        <w:rPr>
          <w:sz w:val="32"/>
          <w:szCs w:val="32"/>
        </w:rPr>
      </w:pPr>
      <w:r>
        <w:rPr>
          <w:rFonts w:hint="eastAsia"/>
          <w:bCs/>
          <w:kern w:val="0"/>
          <w:sz w:val="32"/>
          <w:szCs w:val="32"/>
        </w:rPr>
        <w:t>（四）基础设施项目类型为产业园区、仓储物流或者消费基础设施的，应当披露</w:t>
      </w:r>
      <w:r>
        <w:rPr>
          <w:rFonts w:hint="eastAsia"/>
          <w:sz w:val="32"/>
          <w:szCs w:val="32"/>
        </w:rPr>
        <w:t>报告期末租户总数</w:t>
      </w:r>
      <w:r>
        <w:rPr>
          <w:rFonts w:hint="eastAsia"/>
          <w:sz w:val="32"/>
          <w:szCs w:val="32"/>
          <w:lang w:eastAsia="zh-CN"/>
        </w:rPr>
        <w:t>以</w:t>
      </w:r>
      <w:r>
        <w:rPr>
          <w:rFonts w:hint="eastAsia"/>
          <w:sz w:val="32"/>
          <w:szCs w:val="32"/>
        </w:rPr>
        <w:t>及租户结构，报告期</w:t>
      </w:r>
      <w:r>
        <w:rPr>
          <w:sz w:val="32"/>
          <w:szCs w:val="32"/>
        </w:rPr>
        <w:t>内</w:t>
      </w:r>
      <w:r>
        <w:rPr>
          <w:rFonts w:hint="eastAsia"/>
          <w:sz w:val="32"/>
          <w:szCs w:val="32"/>
        </w:rPr>
        <w:t>前五名租户的租金收入情况和占全部租金收入的比例。</w:t>
      </w:r>
    </w:p>
    <w:p>
      <w:pPr>
        <w:tabs>
          <w:tab w:val="left" w:pos="1701"/>
        </w:tabs>
        <w:spacing w:line="560" w:lineRule="exact"/>
        <w:ind w:firstLine="642" w:firstLineChars="200"/>
        <w:rPr>
          <w:rFonts w:ascii="仿宋_GB2312" w:eastAsia="仿宋_GB2312"/>
          <w:bCs/>
          <w:kern w:val="0"/>
          <w:sz w:val="32"/>
          <w:szCs w:val="32"/>
        </w:rPr>
      </w:pPr>
      <w:r>
        <w:rPr>
          <w:rFonts w:hint="eastAsia" w:ascii="仿宋_GB2312" w:eastAsia="仿宋_GB2312"/>
          <w:b/>
          <w:kern w:val="0"/>
          <w:sz w:val="32"/>
          <w:szCs w:val="32"/>
        </w:rPr>
        <w:t>第四十</w:t>
      </w:r>
      <w:r>
        <w:rPr>
          <w:rFonts w:hint="eastAsia" w:ascii="仿宋_GB2312" w:eastAsia="仿宋_GB2312"/>
          <w:b/>
          <w:kern w:val="0"/>
          <w:sz w:val="32"/>
          <w:szCs w:val="32"/>
          <w:lang w:eastAsia="zh-CN"/>
        </w:rPr>
        <w:t>六</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eastAsia="仿宋_GB2312"/>
          <w:bCs/>
          <w:kern w:val="0"/>
          <w:sz w:val="32"/>
          <w:szCs w:val="32"/>
        </w:rPr>
        <w:t>基础设施项目类型为收费公路的，基金管理人应当</w:t>
      </w:r>
      <w:r>
        <w:rPr>
          <w:rFonts w:hint="eastAsia" w:ascii="仿宋_GB2312" w:eastAsia="仿宋_GB2312"/>
          <w:bCs/>
          <w:kern w:val="0"/>
          <w:sz w:val="32"/>
          <w:szCs w:val="32"/>
          <w:lang w:eastAsia="zh-CN"/>
        </w:rPr>
        <w:t>基于</w:t>
      </w:r>
      <w:r>
        <w:rPr>
          <w:rFonts w:hint="eastAsia" w:ascii="仿宋_GB2312" w:eastAsia="仿宋_GB2312"/>
          <w:bCs/>
          <w:kern w:val="0"/>
          <w:sz w:val="32"/>
          <w:szCs w:val="32"/>
        </w:rPr>
        <w:t>本指引</w:t>
      </w:r>
      <w:r>
        <w:rPr>
          <w:rFonts w:hint="eastAsia" w:ascii="仿宋_GB2312" w:eastAsia="仿宋_GB2312"/>
          <w:bCs/>
          <w:kern w:val="0"/>
          <w:sz w:val="32"/>
          <w:szCs w:val="32"/>
          <w:lang w:eastAsia="zh-CN"/>
        </w:rPr>
        <w:t>第三十六</w:t>
      </w:r>
      <w:r>
        <w:rPr>
          <w:rFonts w:hint="eastAsia" w:ascii="仿宋_GB2312" w:eastAsia="仿宋_GB2312"/>
          <w:bCs/>
          <w:kern w:val="0"/>
          <w:sz w:val="32"/>
          <w:szCs w:val="32"/>
        </w:rPr>
        <w:t>条第二项和</w:t>
      </w:r>
      <w:r>
        <w:rPr>
          <w:rFonts w:hint="eastAsia" w:ascii="仿宋_GB2312" w:eastAsia="仿宋_GB2312"/>
          <w:bCs/>
          <w:kern w:val="0"/>
          <w:sz w:val="32"/>
          <w:szCs w:val="32"/>
          <w:lang w:eastAsia="zh-CN"/>
        </w:rPr>
        <w:t>第三十七</w:t>
      </w:r>
      <w:r>
        <w:rPr>
          <w:rFonts w:hint="eastAsia" w:ascii="仿宋_GB2312" w:eastAsia="仿宋_GB2312"/>
          <w:bCs/>
          <w:kern w:val="0"/>
          <w:sz w:val="32"/>
          <w:szCs w:val="32"/>
        </w:rPr>
        <w:t>条</w:t>
      </w:r>
      <w:r>
        <w:rPr>
          <w:rFonts w:hint="eastAsia" w:ascii="仿宋_GB2312" w:eastAsia="仿宋_GB2312"/>
          <w:bCs/>
          <w:kern w:val="0"/>
          <w:sz w:val="32"/>
          <w:szCs w:val="32"/>
          <w:lang w:eastAsia="zh-CN"/>
        </w:rPr>
        <w:t>第一款</w:t>
      </w:r>
      <w:r>
        <w:rPr>
          <w:rFonts w:hint="eastAsia" w:ascii="仿宋_GB2312" w:eastAsia="仿宋_GB2312"/>
          <w:bCs/>
          <w:kern w:val="0"/>
          <w:sz w:val="32"/>
          <w:szCs w:val="32"/>
        </w:rPr>
        <w:t>第三项</w:t>
      </w:r>
      <w:r>
        <w:rPr>
          <w:rFonts w:hint="eastAsia" w:ascii="仿宋_GB2312" w:eastAsia="仿宋_GB2312"/>
          <w:bCs/>
          <w:kern w:val="0"/>
          <w:sz w:val="32"/>
          <w:szCs w:val="32"/>
          <w:lang w:eastAsia="zh-CN"/>
        </w:rPr>
        <w:t>，</w:t>
      </w:r>
      <w:r>
        <w:rPr>
          <w:rFonts w:hint="eastAsia" w:ascii="仿宋_GB2312" w:eastAsia="仿宋_GB2312"/>
          <w:bCs/>
          <w:kern w:val="0"/>
          <w:sz w:val="32"/>
          <w:szCs w:val="32"/>
        </w:rPr>
        <w:t>在年度报告中</w:t>
      </w:r>
      <w:r>
        <w:rPr>
          <w:rFonts w:hint="eastAsia" w:ascii="仿宋_GB2312" w:eastAsia="仿宋_GB2312"/>
          <w:bCs/>
          <w:kern w:val="0"/>
          <w:sz w:val="32"/>
          <w:szCs w:val="32"/>
          <w:lang w:eastAsia="zh-CN"/>
        </w:rPr>
        <w:t>详细</w:t>
      </w:r>
      <w:r>
        <w:rPr>
          <w:rFonts w:hint="eastAsia" w:ascii="仿宋_GB2312" w:eastAsia="仿宋_GB2312"/>
          <w:bCs/>
          <w:kern w:val="0"/>
          <w:sz w:val="32"/>
          <w:szCs w:val="32"/>
        </w:rPr>
        <w:t>披露下列信息：</w:t>
      </w:r>
    </w:p>
    <w:p>
      <w:pPr>
        <w:tabs>
          <w:tab w:val="left" w:pos="1701"/>
        </w:tabs>
        <w:spacing w:line="560" w:lineRule="exact"/>
        <w:ind w:firstLine="640" w:firstLineChars="200"/>
        <w:rPr>
          <w:rFonts w:ascii="仿宋_GB2312" w:eastAsia="仿宋_GB2312"/>
          <w:bCs/>
          <w:kern w:val="0"/>
          <w:sz w:val="32"/>
          <w:szCs w:val="32"/>
        </w:rPr>
      </w:pPr>
      <w:r>
        <w:rPr>
          <w:rFonts w:hint="eastAsia" w:ascii="仿宋_GB2312" w:eastAsia="仿宋_GB2312"/>
          <w:bCs/>
          <w:kern w:val="0"/>
          <w:sz w:val="32"/>
          <w:szCs w:val="32"/>
        </w:rPr>
        <w:t>（一）基础设施项目营业收入</w:t>
      </w:r>
      <w:r>
        <w:rPr>
          <w:rFonts w:hint="eastAsia" w:ascii="仿宋_GB2312" w:eastAsia="仿宋_GB2312"/>
          <w:kern w:val="0"/>
          <w:sz w:val="32"/>
          <w:szCs w:val="32"/>
        </w:rPr>
        <w:t>的主要构成情况</w:t>
      </w:r>
      <w:r>
        <w:rPr>
          <w:rFonts w:hint="eastAsia" w:ascii="仿宋_GB2312" w:eastAsia="仿宋_GB2312"/>
          <w:bCs/>
          <w:kern w:val="0"/>
          <w:sz w:val="32"/>
          <w:szCs w:val="32"/>
        </w:rPr>
        <w:t>，包括但不限于通行费收入、广告收入（如有）等。</w:t>
      </w:r>
    </w:p>
    <w:p>
      <w:pPr>
        <w:tabs>
          <w:tab w:val="left" w:pos="1701"/>
        </w:tabs>
        <w:spacing w:line="560" w:lineRule="exact"/>
        <w:ind w:firstLine="640" w:firstLineChars="200"/>
        <w:rPr>
          <w:rFonts w:ascii="仿宋_GB2312" w:eastAsia="仿宋_GB2312"/>
          <w:kern w:val="0"/>
          <w:sz w:val="32"/>
          <w:szCs w:val="32"/>
        </w:rPr>
      </w:pPr>
      <w:r>
        <w:rPr>
          <w:rFonts w:hint="eastAsia" w:ascii="仿宋_GB2312" w:eastAsia="仿宋_GB2312"/>
          <w:bCs/>
          <w:kern w:val="0"/>
          <w:sz w:val="32"/>
          <w:szCs w:val="32"/>
        </w:rPr>
        <w:t>（二）</w:t>
      </w:r>
      <w:r>
        <w:rPr>
          <w:rFonts w:hint="eastAsia" w:ascii="仿宋_GB2312" w:eastAsia="仿宋_GB2312"/>
          <w:kern w:val="0"/>
          <w:sz w:val="32"/>
          <w:szCs w:val="32"/>
        </w:rPr>
        <w:t>基础设施项目营业成本以及费用的主要构成情况，包括但不限于折旧摊销成本、养护成本、运营管理成本等。</w:t>
      </w:r>
    </w:p>
    <w:p>
      <w:pPr>
        <w:spacing w:line="560" w:lineRule="exact"/>
        <w:ind w:firstLine="640" w:firstLineChars="200"/>
        <w:rPr>
          <w:rFonts w:ascii="仿宋_GB2312" w:eastAsia="仿宋_GB2312"/>
          <w:i/>
          <w:kern w:val="0"/>
          <w:sz w:val="32"/>
          <w:szCs w:val="32"/>
          <w:u w:val="single"/>
        </w:rPr>
      </w:pPr>
      <w:r>
        <w:rPr>
          <w:rFonts w:hint="eastAsia" w:ascii="仿宋_GB2312" w:eastAsia="仿宋_GB2312"/>
          <w:bCs/>
          <w:kern w:val="0"/>
          <w:sz w:val="32"/>
          <w:szCs w:val="32"/>
        </w:rPr>
        <w:t>（三）报告期内</w:t>
      </w:r>
      <w:r>
        <w:rPr>
          <w:rFonts w:hint="eastAsia" w:ascii="仿宋_GB2312" w:hAnsi="仿宋_GB2312" w:eastAsia="仿宋_GB2312" w:cs="仿宋_GB2312"/>
          <w:bCs/>
          <w:kern w:val="0"/>
          <w:sz w:val="32"/>
          <w:szCs w:val="32"/>
        </w:rPr>
        <w:t>日均自然车流量情况、客货车型分别对应的日均自然车流量情况、客货车分别对应的通行费收入情况（如有）。其中，日均自然车流量应当以自然车流量中清分车流量作为计算依据，无法获取的，可</w:t>
      </w:r>
      <w:r>
        <w:rPr>
          <w:rFonts w:hint="eastAsia" w:ascii="仿宋_GB2312" w:hAnsi="仿宋_GB2312" w:eastAsia="仿宋_GB2312" w:cs="仿宋_GB2312"/>
          <w:bCs/>
          <w:kern w:val="0"/>
          <w:sz w:val="32"/>
          <w:szCs w:val="32"/>
          <w:lang w:eastAsia="zh-CN"/>
        </w:rPr>
        <w:t>以</w:t>
      </w:r>
      <w:r>
        <w:rPr>
          <w:rFonts w:hint="eastAsia" w:ascii="仿宋_GB2312" w:hAnsi="仿宋_GB2312" w:eastAsia="仿宋_GB2312" w:cs="仿宋_GB2312"/>
          <w:bCs/>
          <w:kern w:val="0"/>
          <w:sz w:val="32"/>
          <w:szCs w:val="32"/>
        </w:rPr>
        <w:t>选用出入口车流量，但应当明确披露为出入口车流量。</w:t>
      </w:r>
    </w:p>
    <w:p>
      <w:pPr>
        <w:tabs>
          <w:tab w:val="left" w:pos="1701"/>
        </w:tabs>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（四）报告期</w:t>
      </w:r>
      <w:r>
        <w:rPr>
          <w:rFonts w:ascii="仿宋_GB2312" w:eastAsia="仿宋_GB2312"/>
          <w:kern w:val="0"/>
          <w:sz w:val="32"/>
          <w:szCs w:val="32"/>
        </w:rPr>
        <w:t>内</w:t>
      </w:r>
      <w:r>
        <w:rPr>
          <w:rFonts w:hint="eastAsia" w:ascii="仿宋_GB2312" w:eastAsia="仿宋_GB2312"/>
          <w:kern w:val="0"/>
          <w:sz w:val="32"/>
          <w:szCs w:val="32"/>
        </w:rPr>
        <w:t>收费标准、通行费减免政策变化情况。存在重大变化的，还应当披露相关变化对基金份额持有人权益的影响。</w:t>
      </w:r>
    </w:p>
    <w:p>
      <w:pPr>
        <w:tabs>
          <w:tab w:val="left" w:pos="1701"/>
        </w:tabs>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（五）报告期</w:t>
      </w:r>
      <w:r>
        <w:rPr>
          <w:rFonts w:ascii="仿宋_GB2312" w:eastAsia="仿宋_GB2312"/>
          <w:kern w:val="0"/>
          <w:sz w:val="32"/>
          <w:szCs w:val="32"/>
        </w:rPr>
        <w:t>内</w:t>
      </w:r>
      <w:r>
        <w:rPr>
          <w:rFonts w:hint="eastAsia" w:ascii="仿宋_GB2312" w:eastAsia="仿宋_GB2312"/>
          <w:kern w:val="0"/>
          <w:sz w:val="32"/>
          <w:szCs w:val="32"/>
        </w:rPr>
        <w:t>收费公路特许经营权摊销方式调整的，应当披露会计估计变更项目的调整原因、对财务报表科目和基金份额持有人权益的影响。</w:t>
      </w:r>
    </w:p>
    <w:p>
      <w:pPr>
        <w:pStyle w:val="2"/>
        <w:spacing w:line="560" w:lineRule="exact"/>
        <w:ind w:firstLine="643"/>
        <w:rPr>
          <w:sz w:val="32"/>
          <w:szCs w:val="32"/>
        </w:rPr>
      </w:pPr>
      <w:r>
        <w:rPr>
          <w:rFonts w:hint="eastAsia"/>
          <w:b/>
          <w:bCs/>
          <w:sz w:val="32"/>
          <w:szCs w:val="32"/>
        </w:rPr>
        <w:t>第四十</w:t>
      </w:r>
      <w:r>
        <w:rPr>
          <w:rFonts w:hint="eastAsia"/>
          <w:b/>
          <w:bCs/>
          <w:sz w:val="32"/>
          <w:szCs w:val="32"/>
          <w:lang w:eastAsia="zh-CN"/>
        </w:rPr>
        <w:t>七</w:t>
      </w:r>
      <w:r>
        <w:rPr>
          <w:rFonts w:hint="eastAsia"/>
          <w:b/>
          <w:bCs/>
          <w:sz w:val="32"/>
          <w:szCs w:val="32"/>
        </w:rPr>
        <w:t>条</w:t>
      </w:r>
      <w:r>
        <w:rPr>
          <w:rFonts w:hint="eastAsia"/>
          <w:b/>
          <w:bCs/>
          <w:sz w:val="32"/>
          <w:szCs w:val="32"/>
          <w:lang w:val="en-US" w:eastAsia="zh-CN"/>
        </w:rPr>
        <w:t xml:space="preserve"> </w:t>
      </w:r>
      <w:r>
        <w:rPr>
          <w:rFonts w:hint="eastAsia"/>
          <w:sz w:val="32"/>
          <w:szCs w:val="32"/>
        </w:rPr>
        <w:t>基础设施项目类型为能源基础设施的，基金管理人应当</w:t>
      </w:r>
      <w:r>
        <w:rPr>
          <w:rFonts w:hint="eastAsia"/>
          <w:bCs/>
          <w:kern w:val="0"/>
          <w:sz w:val="32"/>
          <w:szCs w:val="32"/>
          <w:lang w:eastAsia="zh-CN"/>
        </w:rPr>
        <w:t>基于</w:t>
      </w:r>
      <w:r>
        <w:rPr>
          <w:rFonts w:hint="eastAsia"/>
          <w:bCs/>
          <w:kern w:val="0"/>
          <w:sz w:val="32"/>
          <w:szCs w:val="32"/>
        </w:rPr>
        <w:t>本指引</w:t>
      </w:r>
      <w:r>
        <w:rPr>
          <w:rFonts w:hint="eastAsia"/>
          <w:bCs/>
          <w:kern w:val="0"/>
          <w:sz w:val="32"/>
          <w:szCs w:val="32"/>
          <w:lang w:eastAsia="zh-CN"/>
        </w:rPr>
        <w:t>第三十六</w:t>
      </w:r>
      <w:r>
        <w:rPr>
          <w:rFonts w:hint="eastAsia"/>
          <w:bCs/>
          <w:kern w:val="0"/>
          <w:sz w:val="32"/>
          <w:szCs w:val="32"/>
        </w:rPr>
        <w:t>条第二项和</w:t>
      </w:r>
      <w:r>
        <w:rPr>
          <w:rFonts w:hint="eastAsia"/>
          <w:bCs/>
          <w:kern w:val="0"/>
          <w:sz w:val="32"/>
          <w:szCs w:val="32"/>
          <w:lang w:eastAsia="zh-CN"/>
        </w:rPr>
        <w:t>第三十七</w:t>
      </w:r>
      <w:r>
        <w:rPr>
          <w:rFonts w:hint="eastAsia"/>
          <w:bCs/>
          <w:kern w:val="0"/>
          <w:sz w:val="32"/>
          <w:szCs w:val="32"/>
        </w:rPr>
        <w:t>条</w:t>
      </w:r>
      <w:r>
        <w:rPr>
          <w:rFonts w:hint="eastAsia" w:ascii="仿宋_GB2312" w:eastAsia="仿宋_GB2312"/>
          <w:bCs/>
          <w:kern w:val="0"/>
          <w:sz w:val="32"/>
          <w:szCs w:val="32"/>
          <w:lang w:eastAsia="zh-CN"/>
        </w:rPr>
        <w:t>第一款</w:t>
      </w:r>
      <w:r>
        <w:rPr>
          <w:rFonts w:hint="eastAsia"/>
          <w:bCs/>
          <w:kern w:val="0"/>
          <w:sz w:val="32"/>
          <w:szCs w:val="32"/>
        </w:rPr>
        <w:t>第三项</w:t>
      </w:r>
      <w:r>
        <w:rPr>
          <w:rFonts w:hint="eastAsia"/>
          <w:bCs/>
          <w:kern w:val="0"/>
          <w:sz w:val="32"/>
          <w:szCs w:val="32"/>
          <w:lang w:eastAsia="zh-CN"/>
        </w:rPr>
        <w:t>，</w:t>
      </w:r>
      <w:r>
        <w:rPr>
          <w:rFonts w:hint="eastAsia"/>
          <w:sz w:val="32"/>
          <w:szCs w:val="32"/>
        </w:rPr>
        <w:t>在年度报告中</w:t>
      </w:r>
      <w:r>
        <w:rPr>
          <w:rFonts w:hint="eastAsia"/>
          <w:sz w:val="32"/>
          <w:szCs w:val="32"/>
          <w:lang w:eastAsia="zh-CN"/>
        </w:rPr>
        <w:t>详细</w:t>
      </w:r>
      <w:r>
        <w:rPr>
          <w:rFonts w:hint="eastAsia"/>
          <w:sz w:val="32"/>
          <w:szCs w:val="32"/>
        </w:rPr>
        <w:t>披露下列信息：</w:t>
      </w:r>
    </w:p>
    <w:p>
      <w:pPr>
        <w:tabs>
          <w:tab w:val="left" w:pos="1701"/>
        </w:tabs>
        <w:spacing w:line="560" w:lineRule="exact"/>
        <w:ind w:firstLine="640" w:firstLineChars="200"/>
        <w:rPr>
          <w:rFonts w:ascii="仿宋_GB2312" w:eastAsia="仿宋_GB2312"/>
          <w:bCs/>
          <w:kern w:val="0"/>
          <w:sz w:val="32"/>
          <w:szCs w:val="32"/>
        </w:rPr>
      </w:pPr>
      <w:r>
        <w:rPr>
          <w:rFonts w:hint="eastAsia" w:ascii="仿宋_GB2312" w:eastAsia="仿宋_GB2312"/>
          <w:bCs/>
          <w:kern w:val="0"/>
          <w:sz w:val="32"/>
          <w:szCs w:val="32"/>
        </w:rPr>
        <w:t>（一）基础设施项目营业收入</w:t>
      </w:r>
      <w:r>
        <w:rPr>
          <w:rFonts w:hint="eastAsia" w:ascii="仿宋_GB2312" w:eastAsia="仿宋_GB2312"/>
          <w:kern w:val="0"/>
          <w:sz w:val="32"/>
          <w:szCs w:val="32"/>
        </w:rPr>
        <w:t>的主要构成情况</w:t>
      </w:r>
      <w:r>
        <w:rPr>
          <w:rFonts w:hint="eastAsia" w:ascii="仿宋_GB2312" w:eastAsia="仿宋_GB2312"/>
          <w:bCs/>
          <w:kern w:val="0"/>
          <w:sz w:val="32"/>
          <w:szCs w:val="32"/>
        </w:rPr>
        <w:t>。</w:t>
      </w:r>
    </w:p>
    <w:p>
      <w:pPr>
        <w:tabs>
          <w:tab w:val="left" w:pos="1701"/>
        </w:tabs>
        <w:spacing w:line="560" w:lineRule="exact"/>
        <w:ind w:firstLine="640" w:firstLineChars="200"/>
        <w:rPr>
          <w:rFonts w:ascii="仿宋_GB2312" w:eastAsia="仿宋_GB2312"/>
          <w:kern w:val="0"/>
          <w:sz w:val="32"/>
          <w:szCs w:val="32"/>
        </w:rPr>
      </w:pPr>
      <w:r>
        <w:rPr>
          <w:rFonts w:hint="eastAsia" w:ascii="仿宋_GB2312" w:eastAsia="仿宋_GB2312"/>
          <w:bCs/>
          <w:kern w:val="0"/>
          <w:sz w:val="32"/>
          <w:szCs w:val="32"/>
        </w:rPr>
        <w:t>（二）</w:t>
      </w:r>
      <w:r>
        <w:rPr>
          <w:rFonts w:hint="eastAsia" w:ascii="仿宋_GB2312" w:eastAsia="仿宋_GB2312"/>
          <w:kern w:val="0"/>
          <w:sz w:val="32"/>
          <w:szCs w:val="32"/>
        </w:rPr>
        <w:t>基础设施项目营业成本以及费用的主要构成情况，包括但不限于原材料（如有）、土地租赁成本（如有）、折旧摊销成本等。</w:t>
      </w:r>
    </w:p>
    <w:p>
      <w:pPr>
        <w:pStyle w:val="2"/>
        <w:numPr>
          <w:ilvl w:val="255"/>
          <w:numId w:val="0"/>
        </w:numPr>
        <w:spacing w:line="560" w:lineRule="exact"/>
        <w:ind w:firstLine="640"/>
        <w:rPr>
          <w:sz w:val="32"/>
          <w:szCs w:val="32"/>
        </w:rPr>
      </w:pPr>
      <w:r>
        <w:rPr>
          <w:rFonts w:hint="eastAsia"/>
          <w:sz w:val="32"/>
          <w:szCs w:val="32"/>
        </w:rPr>
        <w:t>（三）报告期内设备使用情况、发电量、等效利用小时数、结算电量、结算电价、结算电费。存在不同售电模式的，应当分别披露不同售电模式的售电量及其占比、售电收入及其占比与平均上网电价。</w:t>
      </w:r>
    </w:p>
    <w:p>
      <w:pPr>
        <w:pStyle w:val="2"/>
        <w:numPr>
          <w:ilvl w:val="255"/>
          <w:numId w:val="0"/>
        </w:numPr>
        <w:spacing w:line="560" w:lineRule="exact"/>
        <w:ind w:firstLine="640"/>
        <w:rPr>
          <w:sz w:val="32"/>
          <w:szCs w:val="32"/>
        </w:rPr>
      </w:pPr>
      <w:r>
        <w:rPr>
          <w:rFonts w:hint="eastAsia"/>
          <w:sz w:val="32"/>
          <w:szCs w:val="32"/>
        </w:rPr>
        <w:t>（四）涉及能源采购的，应当分别披露采购模式，前五大能源供应商与采购量占比、采购均价。</w:t>
      </w:r>
    </w:p>
    <w:p>
      <w:pPr>
        <w:pStyle w:val="2"/>
        <w:spacing w:line="560" w:lineRule="exact"/>
        <w:ind w:firstLine="640"/>
        <w:rPr>
          <w:sz w:val="32"/>
          <w:szCs w:val="32"/>
        </w:rPr>
      </w:pPr>
      <w:r>
        <w:rPr>
          <w:rFonts w:hint="eastAsia"/>
          <w:sz w:val="32"/>
          <w:szCs w:val="32"/>
        </w:rPr>
        <w:t>（五）上网电价涉及中央和地方财政补贴的，披露</w:t>
      </w:r>
      <w:r>
        <w:rPr>
          <w:rFonts w:hint="eastAsia" w:hAnsi="仿宋_GB2312" w:cs="仿宋_GB2312"/>
          <w:sz w:val="32"/>
          <w:szCs w:val="32"/>
        </w:rPr>
        <w:t>补贴占比及其回款情况、</w:t>
      </w:r>
      <w:r>
        <w:rPr>
          <w:rFonts w:hint="eastAsia"/>
          <w:sz w:val="32"/>
          <w:szCs w:val="32"/>
        </w:rPr>
        <w:t>补贴文件</w:t>
      </w:r>
      <w:r>
        <w:rPr>
          <w:rFonts w:hint="eastAsia"/>
          <w:sz w:val="32"/>
          <w:szCs w:val="32"/>
          <w:lang w:eastAsia="zh"/>
        </w:rPr>
        <w:t>，</w:t>
      </w:r>
      <w:r>
        <w:rPr>
          <w:rFonts w:hint="eastAsia"/>
          <w:sz w:val="32"/>
          <w:szCs w:val="32"/>
        </w:rPr>
        <w:t>包括补贴价格、补贴电量等（</w:t>
      </w:r>
      <w:r>
        <w:rPr>
          <w:rFonts w:hint="eastAsia" w:hAnsi="仿宋_GB2312" w:cs="仿宋_GB2312"/>
          <w:sz w:val="32"/>
          <w:szCs w:val="32"/>
        </w:rPr>
        <w:t>如有</w:t>
      </w:r>
      <w:r>
        <w:rPr>
          <w:rFonts w:hint="eastAsia"/>
          <w:sz w:val="32"/>
          <w:szCs w:val="32"/>
        </w:rPr>
        <w:t>）。</w:t>
      </w:r>
    </w:p>
    <w:p>
      <w:pPr>
        <w:pStyle w:val="2"/>
        <w:spacing w:line="560" w:lineRule="exact"/>
        <w:ind w:firstLine="640"/>
        <w:rPr>
          <w:sz w:val="32"/>
          <w:szCs w:val="32"/>
        </w:rPr>
      </w:pPr>
      <w:r>
        <w:rPr>
          <w:rFonts w:hint="eastAsia"/>
          <w:sz w:val="32"/>
          <w:szCs w:val="32"/>
        </w:rPr>
        <w:t>（六）报告期内发现设备存在影响机组正常运行问题的，披露相关检测情况，并结合检测结果分析对基础设施项目经营的影响以及应对措施。</w:t>
      </w:r>
    </w:p>
    <w:p>
      <w:pPr>
        <w:pStyle w:val="2"/>
        <w:spacing w:line="560" w:lineRule="exact"/>
        <w:ind w:firstLine="643"/>
        <w:rPr>
          <w:sz w:val="32"/>
          <w:szCs w:val="32"/>
        </w:rPr>
      </w:pPr>
      <w:r>
        <w:rPr>
          <w:rFonts w:hint="eastAsia"/>
          <w:b/>
          <w:bCs/>
          <w:sz w:val="32"/>
          <w:szCs w:val="32"/>
        </w:rPr>
        <w:t>第四十</w:t>
      </w:r>
      <w:r>
        <w:rPr>
          <w:rFonts w:hint="eastAsia"/>
          <w:b/>
          <w:bCs/>
          <w:sz w:val="32"/>
          <w:szCs w:val="32"/>
          <w:lang w:eastAsia="zh-CN"/>
        </w:rPr>
        <w:t>八</w:t>
      </w:r>
      <w:r>
        <w:rPr>
          <w:rFonts w:hint="eastAsia"/>
          <w:b/>
          <w:bCs/>
          <w:sz w:val="32"/>
          <w:szCs w:val="32"/>
        </w:rPr>
        <w:t>条</w:t>
      </w:r>
      <w:r>
        <w:rPr>
          <w:rFonts w:hint="eastAsia"/>
          <w:b/>
          <w:bCs/>
          <w:sz w:val="32"/>
          <w:szCs w:val="32"/>
          <w:lang w:val="en-US" w:eastAsia="zh-CN"/>
        </w:rPr>
        <w:t xml:space="preserve"> </w:t>
      </w:r>
      <w:r>
        <w:rPr>
          <w:rFonts w:hint="eastAsia"/>
          <w:sz w:val="32"/>
          <w:szCs w:val="32"/>
        </w:rPr>
        <w:t>基础设施项目类型为生态环保的，基金管理人应当</w:t>
      </w:r>
      <w:r>
        <w:rPr>
          <w:rFonts w:hint="eastAsia"/>
          <w:bCs/>
          <w:kern w:val="0"/>
          <w:sz w:val="32"/>
          <w:szCs w:val="32"/>
          <w:lang w:eastAsia="zh-CN"/>
        </w:rPr>
        <w:t>基于</w:t>
      </w:r>
      <w:r>
        <w:rPr>
          <w:rFonts w:hint="eastAsia"/>
          <w:bCs/>
          <w:kern w:val="0"/>
          <w:sz w:val="32"/>
          <w:szCs w:val="32"/>
        </w:rPr>
        <w:t>本指引</w:t>
      </w:r>
      <w:r>
        <w:rPr>
          <w:rFonts w:hint="eastAsia"/>
          <w:bCs/>
          <w:kern w:val="0"/>
          <w:sz w:val="32"/>
          <w:szCs w:val="32"/>
          <w:lang w:eastAsia="zh-CN"/>
        </w:rPr>
        <w:t>第三十六</w:t>
      </w:r>
      <w:r>
        <w:rPr>
          <w:rFonts w:hint="eastAsia"/>
          <w:bCs/>
          <w:kern w:val="0"/>
          <w:sz w:val="32"/>
          <w:szCs w:val="32"/>
        </w:rPr>
        <w:t>条第二项和</w:t>
      </w:r>
      <w:r>
        <w:rPr>
          <w:rFonts w:hint="eastAsia"/>
          <w:bCs/>
          <w:kern w:val="0"/>
          <w:sz w:val="32"/>
          <w:szCs w:val="32"/>
          <w:lang w:eastAsia="zh-CN"/>
        </w:rPr>
        <w:t>第三十七</w:t>
      </w:r>
      <w:r>
        <w:rPr>
          <w:rFonts w:hint="eastAsia"/>
          <w:bCs/>
          <w:kern w:val="0"/>
          <w:sz w:val="32"/>
          <w:szCs w:val="32"/>
        </w:rPr>
        <w:t>条</w:t>
      </w:r>
      <w:r>
        <w:rPr>
          <w:rFonts w:hint="eastAsia" w:ascii="仿宋_GB2312" w:eastAsia="仿宋_GB2312"/>
          <w:bCs/>
          <w:kern w:val="0"/>
          <w:sz w:val="32"/>
          <w:szCs w:val="32"/>
          <w:lang w:eastAsia="zh-CN"/>
        </w:rPr>
        <w:t>第一款</w:t>
      </w:r>
      <w:r>
        <w:rPr>
          <w:rFonts w:hint="eastAsia"/>
          <w:bCs/>
          <w:kern w:val="0"/>
          <w:sz w:val="32"/>
          <w:szCs w:val="32"/>
        </w:rPr>
        <w:t>第三项</w:t>
      </w:r>
      <w:r>
        <w:rPr>
          <w:rFonts w:hint="eastAsia"/>
          <w:bCs/>
          <w:kern w:val="0"/>
          <w:sz w:val="32"/>
          <w:szCs w:val="32"/>
          <w:lang w:eastAsia="zh-CN"/>
        </w:rPr>
        <w:t>，</w:t>
      </w:r>
      <w:r>
        <w:rPr>
          <w:rFonts w:hint="eastAsia"/>
          <w:sz w:val="32"/>
          <w:szCs w:val="32"/>
        </w:rPr>
        <w:t>在年度报告中</w:t>
      </w:r>
      <w:r>
        <w:rPr>
          <w:rFonts w:hint="eastAsia"/>
          <w:sz w:val="32"/>
          <w:szCs w:val="32"/>
          <w:lang w:eastAsia="zh-CN"/>
        </w:rPr>
        <w:t>详细</w:t>
      </w:r>
      <w:r>
        <w:rPr>
          <w:rFonts w:hint="eastAsia"/>
          <w:sz w:val="32"/>
          <w:szCs w:val="32"/>
        </w:rPr>
        <w:t>披露下列信息：</w:t>
      </w:r>
    </w:p>
    <w:p>
      <w:pPr>
        <w:tabs>
          <w:tab w:val="left" w:pos="1701"/>
        </w:tabs>
        <w:spacing w:line="560" w:lineRule="exact"/>
        <w:ind w:firstLine="640" w:firstLineChars="200"/>
        <w:rPr>
          <w:rFonts w:hint="eastAsia" w:ascii="仿宋_GB2312" w:eastAsia="仿宋_GB2312"/>
          <w:bCs/>
          <w:kern w:val="0"/>
          <w:sz w:val="32"/>
          <w:szCs w:val="32"/>
          <w:lang w:eastAsia="zh-CN"/>
        </w:rPr>
      </w:pPr>
      <w:r>
        <w:rPr>
          <w:rFonts w:hint="eastAsia" w:ascii="仿宋_GB2312" w:eastAsia="仿宋_GB2312"/>
          <w:bCs/>
          <w:kern w:val="0"/>
          <w:sz w:val="32"/>
          <w:szCs w:val="32"/>
        </w:rPr>
        <w:t>（一）基础设施项目营业收入</w:t>
      </w:r>
      <w:r>
        <w:rPr>
          <w:rFonts w:hint="eastAsia" w:ascii="仿宋_GB2312" w:eastAsia="仿宋_GB2312"/>
          <w:kern w:val="0"/>
          <w:sz w:val="32"/>
          <w:szCs w:val="32"/>
        </w:rPr>
        <w:t>的主要构成情况</w:t>
      </w:r>
      <w:r>
        <w:rPr>
          <w:rFonts w:hint="eastAsia" w:ascii="仿宋_GB2312" w:eastAsia="仿宋_GB2312"/>
          <w:bCs/>
          <w:kern w:val="0"/>
          <w:sz w:val="32"/>
          <w:szCs w:val="32"/>
          <w:lang w:eastAsia="zh-CN"/>
        </w:rPr>
        <w:t>；</w:t>
      </w:r>
    </w:p>
    <w:p>
      <w:pPr>
        <w:tabs>
          <w:tab w:val="left" w:pos="1701"/>
        </w:tabs>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bCs/>
          <w:kern w:val="0"/>
          <w:sz w:val="32"/>
          <w:szCs w:val="32"/>
        </w:rPr>
        <w:t>（二）</w:t>
      </w:r>
      <w:r>
        <w:rPr>
          <w:rFonts w:hint="eastAsia" w:ascii="仿宋_GB2312" w:eastAsia="仿宋_GB2312"/>
          <w:kern w:val="0"/>
          <w:sz w:val="32"/>
          <w:szCs w:val="32"/>
        </w:rPr>
        <w:t>基础设施项目营业成本以及费用的主要构成情况</w:t>
      </w:r>
      <w:r>
        <w:rPr>
          <w:rFonts w:hint="eastAsia" w:ascii="仿宋_GB2312" w:eastAsia="仿宋_GB2312"/>
          <w:kern w:val="0"/>
          <w:sz w:val="32"/>
          <w:szCs w:val="32"/>
          <w:lang w:eastAsia="zh-CN"/>
        </w:rPr>
        <w:t>；</w:t>
      </w:r>
    </w:p>
    <w:p>
      <w:pPr>
        <w:pStyle w:val="2"/>
        <w:numPr>
          <w:ilvl w:val="255"/>
          <w:numId w:val="0"/>
        </w:numPr>
        <w:spacing w:line="560" w:lineRule="exact"/>
        <w:ind w:firstLine="640"/>
        <w:rPr>
          <w:rFonts w:hint="eastAsia" w:eastAsia="仿宋_GB2312"/>
          <w:sz w:val="32"/>
          <w:szCs w:val="32"/>
          <w:lang w:eastAsia="zh-CN"/>
        </w:rPr>
      </w:pPr>
      <w:r>
        <w:rPr>
          <w:rFonts w:hint="eastAsia"/>
          <w:sz w:val="32"/>
          <w:szCs w:val="32"/>
        </w:rPr>
        <w:t>（三）报告期内实际处理量、产能情况、平均单价</w:t>
      </w:r>
      <w:r>
        <w:rPr>
          <w:rFonts w:hint="eastAsia"/>
          <w:sz w:val="32"/>
          <w:szCs w:val="32"/>
          <w:lang w:eastAsia="zh-CN"/>
        </w:rPr>
        <w:t>；</w:t>
      </w:r>
    </w:p>
    <w:p>
      <w:pPr>
        <w:pStyle w:val="2"/>
        <w:spacing w:line="560" w:lineRule="exact"/>
        <w:ind w:firstLine="640"/>
        <w:rPr>
          <w:sz w:val="32"/>
          <w:szCs w:val="32"/>
        </w:rPr>
      </w:pPr>
      <w:r>
        <w:rPr>
          <w:rFonts w:hint="eastAsia"/>
          <w:sz w:val="32"/>
          <w:szCs w:val="32"/>
        </w:rPr>
        <w:t>（四）报告期内发现设备存在影响机组正常运行问题的，披露相关检测情况，并结合检测结果分析对基础设施项目经营的影响以及应对措施。</w:t>
      </w:r>
    </w:p>
    <w:p>
      <w:pPr>
        <w:pStyle w:val="2"/>
        <w:numPr>
          <w:ilvl w:val="255"/>
          <w:numId w:val="0"/>
        </w:numPr>
        <w:spacing w:line="560" w:lineRule="exact"/>
        <w:rPr>
          <w:sz w:val="32"/>
          <w:szCs w:val="32"/>
        </w:rPr>
      </w:pPr>
    </w:p>
    <w:p>
      <w:pPr>
        <w:pStyle w:val="4"/>
        <w:rPr>
          <w:rFonts w:hint="default"/>
          <w:szCs w:val="32"/>
        </w:rPr>
      </w:pPr>
      <w:r>
        <w:rPr>
          <w:szCs w:val="32"/>
        </w:rPr>
        <w:t>第三章 信息披露事务管理</w:t>
      </w:r>
    </w:p>
    <w:p>
      <w:pPr>
        <w:pStyle w:val="2"/>
        <w:spacing w:line="560" w:lineRule="exact"/>
        <w:ind w:firstLine="643"/>
        <w:rPr>
          <w:rFonts w:hAnsi="仿宋_GB2312" w:cs="仿宋_GB2312"/>
          <w:bCs/>
          <w:kern w:val="0"/>
          <w:sz w:val="32"/>
          <w:szCs w:val="32"/>
        </w:rPr>
      </w:pPr>
      <w:r>
        <w:rPr>
          <w:rFonts w:hint="eastAsia" w:hAnsi="仿宋_GB2312" w:cs="仿宋_GB2312"/>
          <w:b/>
          <w:kern w:val="0"/>
          <w:sz w:val="32"/>
          <w:szCs w:val="32"/>
        </w:rPr>
        <w:t>第四十</w:t>
      </w:r>
      <w:r>
        <w:rPr>
          <w:rFonts w:hint="eastAsia" w:hAnsi="仿宋_GB2312" w:cs="仿宋_GB2312"/>
          <w:b/>
          <w:kern w:val="0"/>
          <w:sz w:val="32"/>
          <w:szCs w:val="32"/>
          <w:lang w:eastAsia="zh-CN"/>
        </w:rPr>
        <w:t>九</w:t>
      </w:r>
      <w:r>
        <w:rPr>
          <w:rFonts w:hint="eastAsia" w:hAnsi="仿宋_GB2312" w:cs="仿宋_GB2312"/>
          <w:b/>
          <w:kern w:val="0"/>
          <w:sz w:val="32"/>
          <w:szCs w:val="32"/>
        </w:rPr>
        <w:t>条</w:t>
      </w:r>
      <w:r>
        <w:rPr>
          <w:rFonts w:hint="eastAsia" w:hAnsi="仿宋_GB2312" w:cs="仿宋_GB2312"/>
          <w:b/>
          <w:kern w:val="0"/>
          <w:sz w:val="32"/>
          <w:szCs w:val="32"/>
          <w:lang w:val="en-US" w:eastAsia="zh-CN"/>
        </w:rPr>
        <w:t xml:space="preserve"> </w:t>
      </w:r>
      <w:r>
        <w:rPr>
          <w:rFonts w:hint="eastAsia" w:hAnsi="仿宋_GB2312" w:cs="仿宋_GB2312"/>
          <w:bCs/>
          <w:kern w:val="0"/>
          <w:sz w:val="32"/>
          <w:szCs w:val="32"/>
        </w:rPr>
        <w:t>基金管理人应当制定信息披露管理制度，指定高级管理人员担任信息披露事务负责人，并将信息披露管理制度、信息披露事务负责人等信息向本所报备。信息披露管理制度应当包括但不限于下列事项：</w:t>
      </w:r>
    </w:p>
    <w:p>
      <w:pPr>
        <w:pStyle w:val="2"/>
        <w:spacing w:line="560" w:lineRule="exact"/>
        <w:ind w:firstLine="640"/>
        <w:rPr>
          <w:rFonts w:hint="eastAsia" w:hAnsi="仿宋_GB2312" w:eastAsia="仿宋_GB2312" w:cs="仿宋_GB2312"/>
          <w:bCs/>
          <w:kern w:val="0"/>
          <w:sz w:val="32"/>
          <w:szCs w:val="32"/>
          <w:lang w:eastAsia="zh-CN"/>
        </w:rPr>
      </w:pPr>
      <w:r>
        <w:rPr>
          <w:rFonts w:hint="eastAsia" w:hAnsi="仿宋_GB2312" w:cs="仿宋_GB2312"/>
          <w:bCs/>
          <w:kern w:val="0"/>
          <w:sz w:val="32"/>
          <w:szCs w:val="32"/>
        </w:rPr>
        <w:t>（一）信息披露事务主管部门及其职责</w:t>
      </w:r>
      <w:r>
        <w:rPr>
          <w:rFonts w:hint="eastAsia" w:hAnsi="仿宋_GB2312" w:cs="仿宋_GB2312"/>
          <w:bCs/>
          <w:kern w:val="0"/>
          <w:sz w:val="32"/>
          <w:szCs w:val="32"/>
          <w:lang w:eastAsia="zh-CN"/>
        </w:rPr>
        <w:t>；</w:t>
      </w:r>
    </w:p>
    <w:p>
      <w:pPr>
        <w:pStyle w:val="2"/>
        <w:spacing w:line="560" w:lineRule="exact"/>
        <w:ind w:firstLine="640"/>
        <w:rPr>
          <w:rFonts w:hint="eastAsia" w:hAnsi="仿宋_GB2312" w:eastAsia="仿宋_GB2312" w:cs="仿宋_GB2312"/>
          <w:bCs/>
          <w:kern w:val="0"/>
          <w:sz w:val="32"/>
          <w:szCs w:val="32"/>
          <w:lang w:eastAsia="zh-CN"/>
        </w:rPr>
      </w:pPr>
      <w:r>
        <w:rPr>
          <w:rFonts w:hint="eastAsia" w:hAnsi="仿宋_GB2312" w:cs="仿宋_GB2312"/>
          <w:bCs/>
          <w:kern w:val="0"/>
          <w:sz w:val="32"/>
          <w:szCs w:val="32"/>
        </w:rPr>
        <w:t>（二）信息披露事务负责人的选任、具体职责及其履职保障</w:t>
      </w:r>
      <w:r>
        <w:rPr>
          <w:rFonts w:hint="eastAsia" w:hAnsi="仿宋_GB2312" w:cs="仿宋_GB2312"/>
          <w:bCs/>
          <w:kern w:val="0"/>
          <w:sz w:val="32"/>
          <w:szCs w:val="32"/>
          <w:lang w:eastAsia="zh-CN"/>
        </w:rPr>
        <w:t>；</w:t>
      </w:r>
    </w:p>
    <w:p>
      <w:pPr>
        <w:pStyle w:val="2"/>
        <w:spacing w:line="560" w:lineRule="exact"/>
        <w:ind w:firstLine="640"/>
        <w:rPr>
          <w:rFonts w:hint="eastAsia" w:hAnsi="仿宋_GB2312" w:eastAsia="仿宋_GB2312" w:cs="仿宋_GB2312"/>
          <w:bCs/>
          <w:kern w:val="0"/>
          <w:sz w:val="32"/>
          <w:szCs w:val="32"/>
          <w:lang w:eastAsia="zh-CN"/>
        </w:rPr>
      </w:pPr>
      <w:r>
        <w:rPr>
          <w:rFonts w:hint="eastAsia" w:hAnsi="仿宋_GB2312" w:cs="仿宋_GB2312"/>
          <w:bCs/>
          <w:kern w:val="0"/>
          <w:sz w:val="32"/>
          <w:szCs w:val="32"/>
        </w:rPr>
        <w:t>（三）信息披露审核与发布规范，包括拟披露信息的传递、申请、审核、披露的流程、相应决策机构或者人员及其履职要求</w:t>
      </w:r>
      <w:r>
        <w:rPr>
          <w:rFonts w:hint="eastAsia" w:hAnsi="仿宋_GB2312" w:cs="仿宋_GB2312"/>
          <w:bCs/>
          <w:kern w:val="0"/>
          <w:sz w:val="32"/>
          <w:szCs w:val="32"/>
          <w:lang w:eastAsia="zh-CN"/>
        </w:rPr>
        <w:t>；</w:t>
      </w:r>
    </w:p>
    <w:p>
      <w:pPr>
        <w:pStyle w:val="2"/>
        <w:spacing w:line="560" w:lineRule="exact"/>
        <w:ind w:firstLine="640"/>
        <w:rPr>
          <w:rFonts w:hint="eastAsia" w:hAnsi="仿宋_GB2312" w:eastAsia="仿宋_GB2312" w:cs="仿宋_GB2312"/>
          <w:bCs/>
          <w:kern w:val="0"/>
          <w:sz w:val="32"/>
          <w:szCs w:val="32"/>
          <w:lang w:eastAsia="zh-CN"/>
        </w:rPr>
      </w:pPr>
      <w:r>
        <w:rPr>
          <w:rFonts w:hint="eastAsia" w:hAnsi="仿宋_GB2312" w:cs="仿宋_GB2312"/>
          <w:bCs/>
          <w:kern w:val="0"/>
          <w:sz w:val="32"/>
          <w:szCs w:val="32"/>
        </w:rPr>
        <w:t>（四）内幕信息管理规范，包括内幕信息知情人范围、保密责任、未公开信息的保密措施</w:t>
      </w:r>
      <w:r>
        <w:rPr>
          <w:rFonts w:hint="eastAsia" w:hAnsi="仿宋_GB2312" w:cs="仿宋_GB2312"/>
          <w:bCs/>
          <w:kern w:val="0"/>
          <w:sz w:val="32"/>
          <w:szCs w:val="32"/>
          <w:lang w:eastAsia="zh-CN"/>
        </w:rPr>
        <w:t>；</w:t>
      </w:r>
    </w:p>
    <w:p>
      <w:pPr>
        <w:pStyle w:val="2"/>
        <w:spacing w:line="560" w:lineRule="exact"/>
        <w:ind w:firstLine="640"/>
        <w:rPr>
          <w:rFonts w:hint="eastAsia" w:hAnsi="仿宋_GB2312" w:eastAsia="仿宋_GB2312" w:cs="仿宋_GB2312"/>
          <w:bCs/>
          <w:kern w:val="0"/>
          <w:sz w:val="32"/>
          <w:szCs w:val="32"/>
          <w:lang w:eastAsia="zh-CN"/>
        </w:rPr>
      </w:pPr>
      <w:r>
        <w:rPr>
          <w:rFonts w:hint="eastAsia" w:hAnsi="仿宋_GB2312" w:cs="仿宋_GB2312"/>
          <w:bCs/>
          <w:kern w:val="0"/>
          <w:sz w:val="32"/>
          <w:szCs w:val="32"/>
        </w:rPr>
        <w:t>（五）信息披露暂缓、豁免的内部管理机制</w:t>
      </w:r>
      <w:r>
        <w:rPr>
          <w:rFonts w:hint="eastAsia" w:hAnsi="仿宋_GB2312" w:cs="仿宋_GB2312"/>
          <w:bCs/>
          <w:kern w:val="0"/>
          <w:sz w:val="32"/>
          <w:szCs w:val="32"/>
          <w:lang w:eastAsia="zh-CN"/>
        </w:rPr>
        <w:t>；</w:t>
      </w:r>
    </w:p>
    <w:p>
      <w:pPr>
        <w:pStyle w:val="2"/>
        <w:spacing w:line="560" w:lineRule="exact"/>
        <w:ind w:firstLine="640"/>
        <w:rPr>
          <w:rFonts w:hAnsi="仿宋_GB2312" w:cs="仿宋_GB2312"/>
          <w:bCs/>
          <w:kern w:val="0"/>
          <w:sz w:val="32"/>
          <w:szCs w:val="32"/>
        </w:rPr>
      </w:pPr>
      <w:r>
        <w:rPr>
          <w:rFonts w:hint="eastAsia" w:hAnsi="仿宋_GB2312" w:cs="仿宋_GB2312"/>
          <w:bCs/>
          <w:kern w:val="0"/>
          <w:sz w:val="32"/>
          <w:szCs w:val="32"/>
        </w:rPr>
        <w:t>（六）信息披露文件、相关决策过程或者履职记录等资料的档案管理制度。</w:t>
      </w:r>
    </w:p>
    <w:p>
      <w:pPr>
        <w:pStyle w:val="2"/>
        <w:spacing w:line="560" w:lineRule="exact"/>
        <w:ind w:firstLine="640"/>
        <w:rPr>
          <w:rFonts w:hAnsi="仿宋_GB2312" w:cs="仿宋_GB2312"/>
          <w:bCs/>
          <w:kern w:val="0"/>
          <w:sz w:val="32"/>
          <w:szCs w:val="32"/>
        </w:rPr>
      </w:pPr>
      <w:r>
        <w:rPr>
          <w:rFonts w:hint="eastAsia" w:hAnsi="仿宋_GB2312" w:cs="仿宋_GB2312"/>
          <w:bCs/>
          <w:kern w:val="0"/>
          <w:sz w:val="32"/>
          <w:szCs w:val="32"/>
        </w:rPr>
        <w:t>运营管理机构应当参照前款规定制定信息披露配合制度，指定高级管理人员担任信息披露事务负责人，并将信息披露配合制度、信息披露事务负责人等信息向本所报备。</w:t>
      </w:r>
    </w:p>
    <w:p>
      <w:pPr>
        <w:pStyle w:val="2"/>
        <w:spacing w:line="560" w:lineRule="exact"/>
        <w:ind w:firstLine="643"/>
        <w:rPr>
          <w:sz w:val="32"/>
          <w:szCs w:val="32"/>
        </w:rPr>
      </w:pPr>
      <w:r>
        <w:rPr>
          <w:rFonts w:hint="eastAsia" w:hAnsi="仿宋_GB2312" w:cs="仿宋_GB2312"/>
          <w:b/>
          <w:kern w:val="0"/>
          <w:sz w:val="32"/>
          <w:szCs w:val="32"/>
        </w:rPr>
        <w:t>第</w:t>
      </w:r>
      <w:r>
        <w:rPr>
          <w:rFonts w:hint="eastAsia" w:hAnsi="仿宋_GB2312" w:cs="仿宋_GB2312"/>
          <w:b/>
          <w:kern w:val="0"/>
          <w:sz w:val="32"/>
          <w:szCs w:val="32"/>
          <w:lang w:eastAsia="zh-CN"/>
        </w:rPr>
        <w:t>五</w:t>
      </w:r>
      <w:r>
        <w:rPr>
          <w:rFonts w:hint="eastAsia" w:hAnsi="仿宋_GB2312" w:cs="仿宋_GB2312"/>
          <w:b/>
          <w:kern w:val="0"/>
          <w:sz w:val="32"/>
          <w:szCs w:val="32"/>
        </w:rPr>
        <w:t>十条</w:t>
      </w:r>
      <w:r>
        <w:rPr>
          <w:rFonts w:hint="eastAsia" w:hAnsi="仿宋_GB2312" w:cs="仿宋_GB2312"/>
          <w:b/>
          <w:kern w:val="0"/>
          <w:sz w:val="32"/>
          <w:szCs w:val="32"/>
          <w:lang w:val="en-US" w:eastAsia="zh-CN"/>
        </w:rPr>
        <w:t xml:space="preserve"> </w:t>
      </w:r>
      <w:r>
        <w:rPr>
          <w:rFonts w:hint="eastAsia"/>
          <w:sz w:val="32"/>
          <w:szCs w:val="32"/>
        </w:rPr>
        <w:t>基金管理人和运营管理机构应当明确基础设施</w:t>
      </w:r>
      <w:r>
        <w:rPr>
          <w:rFonts w:hint="eastAsia"/>
          <w:bCs/>
          <w:kern w:val="0"/>
          <w:sz w:val="32"/>
          <w:szCs w:val="32"/>
        </w:rPr>
        <w:t>基金</w:t>
      </w:r>
      <w:r>
        <w:rPr>
          <w:rFonts w:hint="eastAsia"/>
          <w:sz w:val="32"/>
          <w:szCs w:val="32"/>
        </w:rPr>
        <w:t>年度报告编制、审核与发布的业务流程。基金管理人和运营管理机构指定的信息披露事务负责人应当组织和协调年度报告披露事务，对年度报告的合规性和质量承担相应责任。</w:t>
      </w:r>
    </w:p>
    <w:p>
      <w:pPr>
        <w:pStyle w:val="2"/>
        <w:spacing w:line="560" w:lineRule="exact"/>
        <w:ind w:firstLine="643"/>
        <w:rPr>
          <w:sz w:val="32"/>
          <w:szCs w:val="32"/>
        </w:rPr>
      </w:pPr>
      <w:r>
        <w:rPr>
          <w:rFonts w:hint="eastAsia"/>
          <w:b/>
          <w:bCs/>
          <w:sz w:val="32"/>
          <w:szCs w:val="32"/>
        </w:rPr>
        <w:t>第五十</w:t>
      </w:r>
      <w:r>
        <w:rPr>
          <w:rFonts w:hint="eastAsia"/>
          <w:b/>
          <w:bCs/>
          <w:sz w:val="32"/>
          <w:szCs w:val="32"/>
          <w:lang w:eastAsia="zh-CN"/>
        </w:rPr>
        <w:t>一</w:t>
      </w:r>
      <w:r>
        <w:rPr>
          <w:rFonts w:hint="eastAsia"/>
          <w:b/>
          <w:bCs/>
          <w:sz w:val="32"/>
          <w:szCs w:val="32"/>
        </w:rPr>
        <w:t>条</w:t>
      </w:r>
      <w:r>
        <w:rPr>
          <w:rFonts w:hint="eastAsia" w:hAnsi="仿宋_GB2312" w:cs="仿宋_GB2312"/>
          <w:b/>
          <w:kern w:val="0"/>
          <w:sz w:val="32"/>
          <w:szCs w:val="32"/>
          <w:lang w:val="en-US" w:eastAsia="zh-CN"/>
        </w:rPr>
        <w:t xml:space="preserve"> </w:t>
      </w:r>
      <w:r>
        <w:rPr>
          <w:rFonts w:hint="eastAsia"/>
          <w:sz w:val="32"/>
          <w:szCs w:val="32"/>
        </w:rPr>
        <w:t>基金管理人和运营管理机构应当在年度报告中公示信息披露事务负责人信息。本所鼓励</w:t>
      </w:r>
      <w:r>
        <w:rPr>
          <w:rFonts w:hint="eastAsia"/>
          <w:sz w:val="32"/>
          <w:szCs w:val="32"/>
          <w:lang w:eastAsia="zh-CN"/>
        </w:rPr>
        <w:t>基金管理人和运营管理机构</w:t>
      </w:r>
      <w:r>
        <w:rPr>
          <w:rFonts w:hint="eastAsia"/>
          <w:sz w:val="32"/>
          <w:szCs w:val="32"/>
        </w:rPr>
        <w:t>在</w:t>
      </w:r>
      <w:r>
        <w:rPr>
          <w:rFonts w:hint="eastAsia"/>
          <w:sz w:val="32"/>
          <w:szCs w:val="32"/>
          <w:lang w:eastAsia="zh-CN"/>
        </w:rPr>
        <w:t>其</w:t>
      </w:r>
      <w:r>
        <w:rPr>
          <w:rFonts w:hint="eastAsia"/>
          <w:sz w:val="32"/>
          <w:szCs w:val="32"/>
        </w:rPr>
        <w:t>官方网站中公示上述信息。</w:t>
      </w:r>
    </w:p>
    <w:p>
      <w:pPr>
        <w:pStyle w:val="2"/>
        <w:spacing w:line="560" w:lineRule="exact"/>
        <w:ind w:firstLine="643"/>
        <w:rPr>
          <w:sz w:val="32"/>
          <w:szCs w:val="32"/>
        </w:rPr>
      </w:pPr>
      <w:r>
        <w:rPr>
          <w:rFonts w:hint="eastAsia"/>
          <w:b/>
          <w:bCs/>
          <w:sz w:val="32"/>
          <w:szCs w:val="32"/>
        </w:rPr>
        <w:t>第五十</w:t>
      </w:r>
      <w:r>
        <w:rPr>
          <w:rFonts w:hint="eastAsia"/>
          <w:b/>
          <w:bCs/>
          <w:sz w:val="32"/>
          <w:szCs w:val="32"/>
          <w:lang w:eastAsia="zh-CN"/>
        </w:rPr>
        <w:t>二</w:t>
      </w:r>
      <w:r>
        <w:rPr>
          <w:rFonts w:hint="eastAsia"/>
          <w:b/>
          <w:bCs/>
          <w:sz w:val="32"/>
          <w:szCs w:val="32"/>
        </w:rPr>
        <w:t>条</w:t>
      </w:r>
      <w:r>
        <w:rPr>
          <w:rFonts w:hint="eastAsia" w:hAnsi="仿宋_GB2312" w:cs="仿宋_GB2312"/>
          <w:b/>
          <w:kern w:val="0"/>
          <w:sz w:val="32"/>
          <w:szCs w:val="32"/>
          <w:lang w:val="en-US" w:eastAsia="zh-CN"/>
        </w:rPr>
        <w:t xml:space="preserve"> </w:t>
      </w:r>
      <w:r>
        <w:rPr>
          <w:rFonts w:hint="eastAsia"/>
          <w:sz w:val="32"/>
          <w:szCs w:val="32"/>
        </w:rPr>
        <w:t>信息披露文件应当通过本所网站</w:t>
      </w:r>
      <w:r>
        <w:rPr>
          <w:rFonts w:hint="eastAsia"/>
          <w:sz w:val="32"/>
          <w:szCs w:val="32"/>
          <w:lang w:eastAsia="zh-CN"/>
        </w:rPr>
        <w:t>以</w:t>
      </w:r>
      <w:r>
        <w:rPr>
          <w:rFonts w:hint="eastAsia"/>
          <w:sz w:val="32"/>
          <w:szCs w:val="32"/>
        </w:rPr>
        <w:t>及其他符合法律法规规定条件的媒体向投资者披露，披露时间不得晚于在其他场合披露的时间。</w:t>
      </w:r>
    </w:p>
    <w:p>
      <w:pPr>
        <w:pStyle w:val="2"/>
        <w:spacing w:line="560" w:lineRule="exact"/>
        <w:ind w:firstLine="640"/>
        <w:rPr>
          <w:sz w:val="32"/>
          <w:szCs w:val="32"/>
        </w:rPr>
      </w:pPr>
      <w:r>
        <w:rPr>
          <w:rFonts w:hint="eastAsia"/>
          <w:sz w:val="32"/>
          <w:szCs w:val="32"/>
        </w:rPr>
        <w:t>同一信息在不同媒介上披露的内容应当一致。</w:t>
      </w:r>
    </w:p>
    <w:p>
      <w:pPr>
        <w:spacing w:line="560" w:lineRule="exact"/>
        <w:ind w:firstLine="642" w:firstLineChars="200"/>
        <w:rPr>
          <w:rFonts w:ascii="仿宋_GB2312" w:eastAsia="仿宋_GB2312"/>
          <w:kern w:val="0"/>
          <w:sz w:val="32"/>
          <w:szCs w:val="32"/>
        </w:rPr>
      </w:pPr>
      <w:r>
        <w:rPr>
          <w:rFonts w:hint="eastAsia" w:ascii="仿宋_GB2312" w:eastAsia="仿宋_GB2312"/>
          <w:b/>
          <w:kern w:val="0"/>
          <w:sz w:val="32"/>
          <w:szCs w:val="32"/>
        </w:rPr>
        <w:t>第五十</w:t>
      </w:r>
      <w:r>
        <w:rPr>
          <w:rFonts w:hint="eastAsia" w:ascii="仿宋_GB2312" w:eastAsia="仿宋_GB2312"/>
          <w:b/>
          <w:kern w:val="0"/>
          <w:sz w:val="32"/>
          <w:szCs w:val="32"/>
          <w:lang w:eastAsia="zh-CN"/>
        </w:rPr>
        <w:t>三</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eastAsia="仿宋_GB2312"/>
          <w:kern w:val="0"/>
          <w:sz w:val="32"/>
          <w:szCs w:val="32"/>
        </w:rPr>
        <w:t>基金管理人应当在每年结束之日起三个月内编制和披露基础设施基金年度报告。</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基础设施基金合同生效不足两个月的，基金管理人可以不编制当期年度报告。</w:t>
      </w:r>
    </w:p>
    <w:p>
      <w:pPr>
        <w:spacing w:line="560" w:lineRule="exact"/>
        <w:ind w:firstLine="642" w:firstLineChars="200"/>
        <w:rPr>
          <w:rFonts w:ascii="仿宋_GB2312" w:eastAsia="仿宋_GB2312"/>
          <w:sz w:val="32"/>
          <w:szCs w:val="32"/>
        </w:rPr>
      </w:pPr>
      <w:r>
        <w:rPr>
          <w:rFonts w:hint="eastAsia" w:ascii="仿宋_GB2312" w:eastAsia="仿宋_GB2312"/>
          <w:b/>
          <w:kern w:val="0"/>
          <w:sz w:val="32"/>
          <w:szCs w:val="32"/>
        </w:rPr>
        <w:t>第五十</w:t>
      </w:r>
      <w:r>
        <w:rPr>
          <w:rFonts w:hint="eastAsia" w:ascii="仿宋_GB2312" w:eastAsia="仿宋_GB2312"/>
          <w:b/>
          <w:kern w:val="0"/>
          <w:sz w:val="32"/>
          <w:szCs w:val="32"/>
          <w:lang w:eastAsia="zh-CN"/>
        </w:rPr>
        <w:t>四</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eastAsia="仿宋_GB2312"/>
          <w:kern w:val="0"/>
          <w:sz w:val="32"/>
          <w:szCs w:val="32"/>
        </w:rPr>
        <w:t>因基础设施基金合同生效时间原因导致基金管理人披露的数据未涵盖完整报告期的，基金管理人应当说明实际报告期间，并根据实际情况进行披露</w:t>
      </w:r>
      <w:r>
        <w:rPr>
          <w:rFonts w:hint="eastAsia" w:ascii="仿宋_GB2312" w:eastAsia="仿宋_GB2312"/>
          <w:sz w:val="32"/>
          <w:szCs w:val="32"/>
        </w:rPr>
        <w:t>。</w:t>
      </w:r>
    </w:p>
    <w:p>
      <w:pPr>
        <w:spacing w:line="560" w:lineRule="exact"/>
        <w:ind w:firstLine="642" w:firstLineChars="200"/>
        <w:rPr>
          <w:rFonts w:ascii="仿宋_GB2312" w:eastAsia="仿宋_GB2312"/>
          <w:sz w:val="32"/>
          <w:szCs w:val="32"/>
        </w:rPr>
      </w:pPr>
      <w:r>
        <w:rPr>
          <w:rFonts w:hint="eastAsia" w:ascii="仿宋_GB2312" w:eastAsia="仿宋_GB2312"/>
          <w:b/>
          <w:kern w:val="0"/>
          <w:sz w:val="32"/>
          <w:szCs w:val="32"/>
        </w:rPr>
        <w:t>第五十</w:t>
      </w:r>
      <w:r>
        <w:rPr>
          <w:rFonts w:hint="eastAsia" w:ascii="仿宋_GB2312" w:eastAsia="仿宋_GB2312"/>
          <w:b/>
          <w:kern w:val="0"/>
          <w:sz w:val="32"/>
          <w:szCs w:val="32"/>
          <w:lang w:eastAsia="zh-CN"/>
        </w:rPr>
        <w:t>五</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eastAsia="仿宋_GB2312"/>
          <w:bCs/>
          <w:kern w:val="0"/>
          <w:sz w:val="32"/>
          <w:szCs w:val="32"/>
        </w:rPr>
        <w:t>年度</w:t>
      </w:r>
      <w:r>
        <w:rPr>
          <w:rFonts w:hint="eastAsia" w:ascii="仿宋_GB2312" w:eastAsia="仿宋_GB2312"/>
          <w:kern w:val="0"/>
          <w:sz w:val="32"/>
          <w:szCs w:val="32"/>
        </w:rPr>
        <w:t>报告披露</w:t>
      </w:r>
      <w:r>
        <w:rPr>
          <w:rFonts w:hint="eastAsia" w:ascii="仿宋_GB2312" w:eastAsia="仿宋_GB2312"/>
          <w:sz w:val="32"/>
          <w:szCs w:val="32"/>
        </w:rPr>
        <w:t>内容与格式应当符合《公开募集证券投资基金信息披露管理办法》《公开募集基础设施证券投资基金指引（试行）》（以下简称《基金指引》）等法律法规、本所其他业务规则的规定和相关约定。确不适用的信息披露事项，基金管理人可以按规定不予披露，但应当在年度报告中说明事项</w:t>
      </w:r>
      <w:r>
        <w:rPr>
          <w:rFonts w:hint="eastAsia" w:ascii="仿宋_GB2312" w:hAnsi="仿宋_GB2312" w:eastAsia="仿宋_GB2312" w:cs="仿宋_GB2312"/>
          <w:sz w:val="32"/>
          <w:szCs w:val="32"/>
          <w:lang w:eastAsia="zh-CN"/>
        </w:rPr>
        <w:t>以</w:t>
      </w:r>
      <w:r>
        <w:rPr>
          <w:rFonts w:hint="eastAsia" w:ascii="仿宋_GB2312" w:eastAsia="仿宋_GB2312"/>
          <w:sz w:val="32"/>
          <w:szCs w:val="32"/>
        </w:rPr>
        <w:t>及理由。</w:t>
      </w:r>
    </w:p>
    <w:p>
      <w:pPr>
        <w:pStyle w:val="2"/>
        <w:spacing w:line="560" w:lineRule="exact"/>
        <w:ind w:firstLine="640"/>
        <w:rPr>
          <w:sz w:val="32"/>
          <w:szCs w:val="32"/>
        </w:rPr>
      </w:pPr>
      <w:r>
        <w:rPr>
          <w:rFonts w:hint="eastAsia"/>
          <w:sz w:val="32"/>
          <w:szCs w:val="32"/>
        </w:rPr>
        <w:t>基金管理人应当结合基础资产类型、招募说明书和</w:t>
      </w:r>
      <w:r>
        <w:rPr>
          <w:rFonts w:hint="eastAsia"/>
          <w:kern w:val="0"/>
          <w:sz w:val="32"/>
          <w:szCs w:val="32"/>
        </w:rPr>
        <w:t>基础设施</w:t>
      </w:r>
      <w:r>
        <w:rPr>
          <w:rFonts w:hint="eastAsia"/>
          <w:sz w:val="32"/>
          <w:szCs w:val="32"/>
        </w:rPr>
        <w:t>基金合同约定，在年度报告中充分披露与产品特征相关和有助于投资者理解</w:t>
      </w:r>
      <w:r>
        <w:rPr>
          <w:rFonts w:hint="eastAsia"/>
          <w:kern w:val="0"/>
          <w:sz w:val="32"/>
          <w:szCs w:val="32"/>
        </w:rPr>
        <w:t>基础设施</w:t>
      </w:r>
      <w:r>
        <w:rPr>
          <w:rFonts w:hint="eastAsia"/>
          <w:sz w:val="32"/>
          <w:szCs w:val="32"/>
        </w:rPr>
        <w:t>基金运作的重要信息。</w:t>
      </w:r>
    </w:p>
    <w:p>
      <w:pPr>
        <w:pStyle w:val="17"/>
        <w:spacing w:line="560" w:lineRule="exact"/>
        <w:ind w:firstLine="643"/>
        <w:rPr>
          <w:rFonts w:ascii="仿宋_GB2312" w:eastAsia="仿宋_GB2312"/>
          <w:sz w:val="32"/>
          <w:szCs w:val="32"/>
        </w:rPr>
      </w:pPr>
      <w:r>
        <w:rPr>
          <w:rFonts w:hint="eastAsia" w:ascii="仿宋_GB2312" w:eastAsia="仿宋_GB2312"/>
          <w:b/>
          <w:kern w:val="0"/>
          <w:sz w:val="32"/>
          <w:szCs w:val="32"/>
        </w:rPr>
        <w:t>第五十</w:t>
      </w:r>
      <w:r>
        <w:rPr>
          <w:rFonts w:hint="eastAsia" w:ascii="仿宋_GB2312" w:eastAsia="仿宋_GB2312"/>
          <w:b/>
          <w:kern w:val="0"/>
          <w:sz w:val="32"/>
          <w:szCs w:val="32"/>
          <w:lang w:eastAsia="zh-CN"/>
        </w:rPr>
        <w:t>六</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eastAsia="仿宋_GB2312"/>
          <w:sz w:val="32"/>
          <w:szCs w:val="32"/>
        </w:rPr>
        <w:t>基金管理人应当在年度报告显著位置特别声明相关评估结果不代表基础设施项目资产的真实市场价值，也不代表基础设施项目资产能够按照评估结果进行转让。</w:t>
      </w:r>
    </w:p>
    <w:p>
      <w:pPr>
        <w:pStyle w:val="2"/>
        <w:spacing w:line="560" w:lineRule="exact"/>
        <w:ind w:firstLine="643"/>
        <w:rPr>
          <w:sz w:val="32"/>
          <w:szCs w:val="32"/>
        </w:rPr>
      </w:pPr>
      <w:r>
        <w:rPr>
          <w:rFonts w:hint="eastAsia"/>
          <w:b/>
          <w:bCs/>
          <w:sz w:val="32"/>
          <w:szCs w:val="32"/>
        </w:rPr>
        <w:t>第五十</w:t>
      </w:r>
      <w:r>
        <w:rPr>
          <w:rFonts w:hint="eastAsia"/>
          <w:b/>
          <w:bCs/>
          <w:sz w:val="32"/>
          <w:szCs w:val="32"/>
          <w:lang w:eastAsia="zh-CN"/>
        </w:rPr>
        <w:t>七</w:t>
      </w:r>
      <w:r>
        <w:rPr>
          <w:rFonts w:hint="eastAsia"/>
          <w:b/>
          <w:bCs/>
          <w:sz w:val="32"/>
          <w:szCs w:val="32"/>
        </w:rPr>
        <w:t>条</w:t>
      </w:r>
      <w:r>
        <w:rPr>
          <w:rFonts w:hint="eastAsia"/>
          <w:b/>
          <w:bCs/>
          <w:sz w:val="32"/>
          <w:szCs w:val="32"/>
          <w:lang w:val="en-US" w:eastAsia="zh-CN"/>
        </w:rPr>
        <w:t xml:space="preserve"> </w:t>
      </w:r>
      <w:r>
        <w:rPr>
          <w:rFonts w:hint="eastAsia"/>
          <w:sz w:val="32"/>
          <w:szCs w:val="32"/>
        </w:rPr>
        <w:t>不同报告期内披露的基础设施项目的经营和运营情况应当具有可比性，原则上不得调整相关数据的计算方法或者指标口径。因行业政策等原因确有必要调整的，基金管理人应当在年度报告中披露调整前后的计算方法或者指标口径及其调整原因。</w:t>
      </w:r>
    </w:p>
    <w:p>
      <w:pPr>
        <w:pStyle w:val="2"/>
        <w:spacing w:line="560" w:lineRule="exact"/>
        <w:ind w:firstLine="643"/>
        <w:rPr>
          <w:sz w:val="32"/>
          <w:szCs w:val="32"/>
        </w:rPr>
      </w:pPr>
      <w:r>
        <w:rPr>
          <w:rFonts w:hint="eastAsia"/>
          <w:b/>
          <w:bCs/>
          <w:sz w:val="32"/>
          <w:szCs w:val="32"/>
        </w:rPr>
        <w:t>第五十</w:t>
      </w:r>
      <w:r>
        <w:rPr>
          <w:rFonts w:hint="eastAsia"/>
          <w:b/>
          <w:bCs/>
          <w:sz w:val="32"/>
          <w:szCs w:val="32"/>
          <w:lang w:eastAsia="zh-CN"/>
        </w:rPr>
        <w:t>八</w:t>
      </w:r>
      <w:r>
        <w:rPr>
          <w:rFonts w:hint="eastAsia"/>
          <w:b/>
          <w:bCs/>
          <w:sz w:val="32"/>
          <w:szCs w:val="32"/>
        </w:rPr>
        <w:t>条</w:t>
      </w:r>
      <w:r>
        <w:rPr>
          <w:rFonts w:hint="eastAsia" w:hAnsi="仿宋_GB2312" w:cs="仿宋_GB2312"/>
          <w:b/>
          <w:kern w:val="0"/>
          <w:sz w:val="32"/>
          <w:szCs w:val="32"/>
          <w:lang w:val="en-US" w:eastAsia="zh-CN"/>
        </w:rPr>
        <w:t xml:space="preserve"> </w:t>
      </w:r>
      <w:r>
        <w:rPr>
          <w:rFonts w:hint="eastAsia"/>
          <w:sz w:val="32"/>
          <w:szCs w:val="32"/>
        </w:rPr>
        <w:t>信息披露义务人需要暂缓披露信息的，按照《基金业务办法》的规定办理。</w:t>
      </w:r>
    </w:p>
    <w:p>
      <w:pPr>
        <w:pStyle w:val="2"/>
        <w:spacing w:line="560" w:lineRule="exact"/>
        <w:ind w:firstLine="640"/>
        <w:rPr>
          <w:sz w:val="32"/>
          <w:szCs w:val="32"/>
        </w:rPr>
      </w:pPr>
      <w:r>
        <w:rPr>
          <w:rFonts w:hint="eastAsia"/>
          <w:sz w:val="32"/>
          <w:szCs w:val="32"/>
        </w:rPr>
        <w:t>信息披露义务人拟披露的信息属于国家秘密、永久性商业秘密或者商业敏感信息，按照本</w:t>
      </w:r>
      <w:r>
        <w:rPr>
          <w:rFonts w:hint="eastAsia"/>
          <w:sz w:val="32"/>
          <w:szCs w:val="32"/>
          <w:lang w:eastAsia="zh-CN"/>
        </w:rPr>
        <w:t>指引</w:t>
      </w:r>
      <w:r>
        <w:rPr>
          <w:rFonts w:hint="eastAsia"/>
          <w:sz w:val="32"/>
          <w:szCs w:val="32"/>
        </w:rPr>
        <w:t>披露可能导致其违反法律法规或者危害国家安全，或者引致不当竞争、损害公司</w:t>
      </w:r>
      <w:r>
        <w:rPr>
          <w:rFonts w:hint="eastAsia"/>
          <w:sz w:val="32"/>
          <w:szCs w:val="32"/>
          <w:lang w:eastAsia="zh-CN"/>
        </w:rPr>
        <w:t>以</w:t>
      </w:r>
      <w:r>
        <w:rPr>
          <w:rFonts w:hint="eastAsia"/>
          <w:sz w:val="32"/>
          <w:szCs w:val="32"/>
        </w:rPr>
        <w:t>及基金份额持有人权益或者误导投资者，且同时符合以下条件的，可以豁免披露：</w:t>
      </w:r>
    </w:p>
    <w:p>
      <w:pPr>
        <w:pStyle w:val="2"/>
        <w:spacing w:line="560" w:lineRule="exact"/>
        <w:ind w:firstLine="640"/>
        <w:rPr>
          <w:rFonts w:hint="eastAsia" w:eastAsia="仿宋_GB2312"/>
          <w:sz w:val="32"/>
          <w:szCs w:val="32"/>
          <w:lang w:eastAsia="zh-CN"/>
        </w:rPr>
      </w:pPr>
      <w:r>
        <w:rPr>
          <w:rFonts w:hint="eastAsia"/>
          <w:sz w:val="32"/>
          <w:szCs w:val="32"/>
        </w:rPr>
        <w:t>（一）相关信息未泄露</w:t>
      </w:r>
      <w:r>
        <w:rPr>
          <w:rFonts w:hint="eastAsia"/>
          <w:sz w:val="32"/>
          <w:szCs w:val="32"/>
          <w:lang w:eastAsia="zh-CN"/>
        </w:rPr>
        <w:t>；</w:t>
      </w:r>
    </w:p>
    <w:p>
      <w:pPr>
        <w:pStyle w:val="2"/>
        <w:spacing w:line="560" w:lineRule="exact"/>
        <w:ind w:firstLine="640"/>
        <w:rPr>
          <w:rFonts w:hint="eastAsia" w:eastAsia="仿宋_GB2312"/>
          <w:sz w:val="32"/>
          <w:szCs w:val="32"/>
          <w:lang w:eastAsia="zh-CN"/>
        </w:rPr>
      </w:pPr>
      <w:r>
        <w:rPr>
          <w:rFonts w:hint="eastAsia"/>
          <w:sz w:val="32"/>
          <w:szCs w:val="32"/>
        </w:rPr>
        <w:t>（二）有关内幕信息知情人已书面承诺保密</w:t>
      </w:r>
      <w:r>
        <w:rPr>
          <w:rFonts w:hint="eastAsia"/>
          <w:sz w:val="32"/>
          <w:szCs w:val="32"/>
          <w:lang w:eastAsia="zh-CN"/>
        </w:rPr>
        <w:t>；</w:t>
      </w:r>
    </w:p>
    <w:p>
      <w:pPr>
        <w:pStyle w:val="2"/>
        <w:spacing w:line="560" w:lineRule="exact"/>
        <w:ind w:firstLine="640"/>
        <w:rPr>
          <w:sz w:val="32"/>
          <w:szCs w:val="32"/>
        </w:rPr>
      </w:pPr>
      <w:r>
        <w:rPr>
          <w:rFonts w:hint="eastAsia"/>
          <w:sz w:val="32"/>
          <w:szCs w:val="32"/>
        </w:rPr>
        <w:t>（三）基础设施基金交易未发生异常波动。</w:t>
      </w:r>
    </w:p>
    <w:p>
      <w:pPr>
        <w:pStyle w:val="2"/>
        <w:spacing w:line="560" w:lineRule="exact"/>
        <w:ind w:firstLine="640"/>
        <w:rPr>
          <w:sz w:val="32"/>
          <w:szCs w:val="32"/>
        </w:rPr>
      </w:pPr>
      <w:r>
        <w:rPr>
          <w:rFonts w:hint="eastAsia"/>
          <w:sz w:val="32"/>
          <w:szCs w:val="32"/>
        </w:rPr>
        <w:t>信息披露义务人应当审慎确定信息披露暂缓、豁免事项，决定暂缓、豁免披露的，应当严格按照信息披露内部管理制度的规定履行内部决策程序。本所对信息披露义务人暂缓、豁免披露行为进行事后监管。</w:t>
      </w:r>
    </w:p>
    <w:p>
      <w:pPr>
        <w:spacing w:line="560" w:lineRule="exact"/>
        <w:jc w:val="center"/>
        <w:rPr>
          <w:rFonts w:ascii="黑体" w:hAnsi="黑体" w:eastAsia="黑体"/>
          <w:bCs/>
          <w:kern w:val="0"/>
          <w:sz w:val="32"/>
          <w:szCs w:val="32"/>
        </w:rPr>
      </w:pPr>
    </w:p>
    <w:p>
      <w:pPr>
        <w:pStyle w:val="4"/>
        <w:rPr>
          <w:rFonts w:hint="default"/>
          <w:szCs w:val="32"/>
        </w:rPr>
      </w:pPr>
      <w:r>
        <w:rPr>
          <w:szCs w:val="32"/>
        </w:rPr>
        <w:t>第四章 自律监管</w:t>
      </w:r>
    </w:p>
    <w:p>
      <w:pPr>
        <w:autoSpaceDE w:val="0"/>
        <w:autoSpaceDN w:val="0"/>
        <w:spacing w:line="560" w:lineRule="exact"/>
        <w:ind w:firstLine="642" w:firstLineChars="200"/>
        <w:rPr>
          <w:rFonts w:ascii="仿宋_GB2312" w:hAnsi="仿宋_GB2312" w:eastAsia="仿宋_GB2312" w:cs="仿宋_GB2312"/>
          <w:sz w:val="32"/>
          <w:szCs w:val="32"/>
        </w:rPr>
      </w:pPr>
      <w:r>
        <w:rPr>
          <w:rFonts w:hint="eastAsia" w:ascii="仿宋_GB2312" w:eastAsia="仿宋_GB2312"/>
          <w:b/>
          <w:kern w:val="0"/>
          <w:sz w:val="32"/>
          <w:szCs w:val="32"/>
        </w:rPr>
        <w:t>第五十</w:t>
      </w:r>
      <w:r>
        <w:rPr>
          <w:rFonts w:hint="eastAsia" w:ascii="仿宋_GB2312" w:eastAsia="仿宋_GB2312"/>
          <w:b/>
          <w:kern w:val="0"/>
          <w:sz w:val="32"/>
          <w:szCs w:val="32"/>
          <w:lang w:eastAsia="zh-CN"/>
        </w:rPr>
        <w:t>九</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hAnsi="仿宋_GB2312" w:eastAsia="仿宋_GB2312" w:cs="仿宋_GB2312"/>
          <w:sz w:val="32"/>
          <w:szCs w:val="32"/>
        </w:rPr>
        <w:t>本所在自律监管过程中可以根据工作需要，对基础设施基金业务参与人及其人员（以下统称监管对象）实施检查、就相关事项问询监管对象、要求就相关事项开展自查或者核查、督促履行相关职责或者义务以及其他本所认为适当的监管方式。</w:t>
      </w:r>
    </w:p>
    <w:p>
      <w:pPr>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相关监管对象应当积极配合本所实施监管，及时制作并完整保存相关工作底稿备查，按照要求提供相关资料，保证提供的有关文件和资料真实、准确、完整、及时，不得拒绝、阻碍和隐瞒。</w:t>
      </w:r>
    </w:p>
    <w:p>
      <w:pPr>
        <w:keepNext w:val="0"/>
        <w:keepLines w:val="0"/>
        <w:pageBreakBefore w:val="0"/>
        <w:widowControl w:val="0"/>
        <w:kinsoku/>
        <w:wordWrap/>
        <w:overflowPunct/>
        <w:topLinePunct w:val="0"/>
        <w:autoSpaceDE w:val="0"/>
        <w:autoSpaceDN w:val="0"/>
        <w:bidi w:val="0"/>
        <w:spacing w:line="560" w:lineRule="exact"/>
        <w:ind w:firstLine="642" w:firstLineChars="200"/>
        <w:textAlignment w:val="auto"/>
        <w:rPr>
          <w:rFonts w:ascii="仿宋_GB2312" w:hAnsi="仿宋_GB2312" w:eastAsia="仿宋_GB2312" w:cs="仿宋_GB2312"/>
          <w:kern w:val="0"/>
          <w:sz w:val="32"/>
          <w:szCs w:val="32"/>
        </w:rPr>
      </w:pPr>
      <w:r>
        <w:rPr>
          <w:rFonts w:hint="eastAsia" w:ascii="仿宋_GB2312" w:eastAsia="仿宋_GB2312"/>
          <w:b/>
          <w:kern w:val="0"/>
          <w:sz w:val="32"/>
          <w:szCs w:val="32"/>
        </w:rPr>
        <w:t>第</w:t>
      </w:r>
      <w:r>
        <w:rPr>
          <w:rFonts w:hint="eastAsia" w:ascii="仿宋_GB2312" w:eastAsia="仿宋_GB2312"/>
          <w:b/>
          <w:kern w:val="0"/>
          <w:sz w:val="32"/>
          <w:szCs w:val="32"/>
          <w:lang w:eastAsia="zh-CN"/>
        </w:rPr>
        <w:t>六</w:t>
      </w:r>
      <w:r>
        <w:rPr>
          <w:rFonts w:hint="eastAsia" w:ascii="仿宋_GB2312" w:eastAsia="仿宋_GB2312"/>
          <w:b/>
          <w:kern w:val="0"/>
          <w:sz w:val="32"/>
          <w:szCs w:val="32"/>
        </w:rPr>
        <w:t>十条</w:t>
      </w:r>
      <w:r>
        <w:rPr>
          <w:rFonts w:hint="eastAsia" w:ascii="仿宋_GB2312" w:eastAsia="仿宋_GB2312"/>
          <w:b/>
          <w:kern w:val="0"/>
          <w:sz w:val="32"/>
          <w:szCs w:val="32"/>
          <w:lang w:val="en-US" w:eastAsia="zh-CN"/>
        </w:rPr>
        <w:t xml:space="preserve"> </w:t>
      </w:r>
      <w:r>
        <w:rPr>
          <w:rFonts w:hint="eastAsia" w:ascii="仿宋_GB2312" w:hAnsi="仿宋_GB2312" w:eastAsia="仿宋_GB2312" w:cs="仿宋_GB2312"/>
          <w:kern w:val="0"/>
          <w:sz w:val="32"/>
          <w:szCs w:val="32"/>
        </w:rPr>
        <w:t>监管对象应当在本所要求的期限内如实报告或者回复本所就相关事项提出的问询，不得以有关事项存在不确定性或者需要保密等为由不履行报告或者回复本所问询的义务。</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监管对象未在相关期限内回复本所问询、未按照本指引的规定和本所的要求进行报告或者披露的，或者存在本所认为有必要的其他情形的，本所可以以交易所公告等形式，向市场说明有关情况。</w:t>
      </w:r>
    </w:p>
    <w:p>
      <w:pPr>
        <w:keepNext w:val="0"/>
        <w:keepLines w:val="0"/>
        <w:pageBreakBefore w:val="0"/>
        <w:widowControl w:val="0"/>
        <w:kinsoku/>
        <w:wordWrap/>
        <w:overflowPunct/>
        <w:topLinePunct w:val="0"/>
        <w:autoSpaceDE w:val="0"/>
        <w:autoSpaceDN w:val="0"/>
        <w:bidi w:val="0"/>
        <w:spacing w:line="560" w:lineRule="exact"/>
        <w:ind w:firstLine="642" w:firstLineChars="200"/>
        <w:textAlignment w:val="auto"/>
        <w:rPr>
          <w:rFonts w:ascii="仿宋_GB2312" w:hAnsi="仿宋_GB2312" w:eastAsia="仿宋_GB2312" w:cs="仿宋_GB2312"/>
          <w:kern w:val="0"/>
          <w:sz w:val="32"/>
          <w:szCs w:val="32"/>
        </w:rPr>
      </w:pPr>
      <w:r>
        <w:rPr>
          <w:rFonts w:hint="eastAsia" w:ascii="仿宋_GB2312" w:eastAsia="仿宋_GB2312"/>
          <w:b/>
          <w:kern w:val="0"/>
          <w:sz w:val="32"/>
          <w:szCs w:val="32"/>
        </w:rPr>
        <w:t>第六十</w:t>
      </w:r>
      <w:r>
        <w:rPr>
          <w:rFonts w:hint="eastAsia" w:ascii="仿宋_GB2312" w:eastAsia="仿宋_GB2312"/>
          <w:b/>
          <w:kern w:val="0"/>
          <w:sz w:val="32"/>
          <w:szCs w:val="32"/>
          <w:lang w:eastAsia="zh-CN"/>
        </w:rPr>
        <w:t>一</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hAnsi="仿宋_GB2312" w:eastAsia="仿宋_GB2312" w:cs="仿宋_GB2312"/>
          <w:kern w:val="0"/>
          <w:sz w:val="32"/>
          <w:szCs w:val="32"/>
        </w:rPr>
        <w:t>监管对象违反本指引、本所其他业务规则规定、基础设施基金合同、招募说明书、基础设施项目运营管理协议等基金法律文件约定或者其所作出的承诺的，本所可以按照规定对其采取自律监管措施或者纪律处分。涉嫌违法违规的，本所将依法报中国</w:t>
      </w:r>
      <w:r>
        <w:rPr>
          <w:rFonts w:hint="eastAsia" w:ascii="仿宋_GB2312" w:hAnsi="仿宋_GB2312" w:eastAsia="仿宋_GB2312" w:cs="仿宋_GB2312"/>
          <w:kern w:val="0"/>
          <w:sz w:val="32"/>
          <w:szCs w:val="32"/>
          <w:highlight w:val="none"/>
          <w:lang w:eastAsia="zh-CN"/>
        </w:rPr>
        <w:t>证券监督管理委员会</w:t>
      </w:r>
      <w:r>
        <w:rPr>
          <w:rFonts w:hint="eastAsia" w:ascii="仿宋_GB2312" w:hAnsi="仿宋_GB2312" w:eastAsia="仿宋_GB2312" w:cs="仿宋_GB2312"/>
          <w:kern w:val="0"/>
          <w:sz w:val="32"/>
          <w:szCs w:val="32"/>
        </w:rPr>
        <w:t>等主管部门查处。</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本所可以将对监管对象实施的自律监管措施或者纪律处分记入诚信档案。</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ascii="仿宋_GB2312" w:hAnsi="仿宋_GB2312" w:eastAsia="仿宋_GB2312" w:cs="仿宋_GB2312"/>
          <w:kern w:val="0"/>
          <w:sz w:val="32"/>
          <w:szCs w:val="32"/>
        </w:rPr>
      </w:pPr>
    </w:p>
    <w:p>
      <w:pPr>
        <w:pStyle w:val="4"/>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szCs w:val="32"/>
        </w:rPr>
      </w:pPr>
      <w:r>
        <w:rPr>
          <w:szCs w:val="32"/>
        </w:rPr>
        <w:t>第五章 附</w:t>
      </w:r>
      <w:r>
        <w:rPr>
          <w:rFonts w:hint="eastAsia"/>
          <w:szCs w:val="32"/>
          <w:lang w:eastAsia="zh"/>
        </w:rPr>
        <w:t xml:space="preserve"> </w:t>
      </w:r>
      <w:r>
        <w:rPr>
          <w:szCs w:val="32"/>
        </w:rPr>
        <w:t>则</w:t>
      </w:r>
    </w:p>
    <w:p>
      <w:pPr>
        <w:keepNext w:val="0"/>
        <w:keepLines w:val="0"/>
        <w:pageBreakBefore w:val="0"/>
        <w:widowControl w:val="0"/>
        <w:kinsoku/>
        <w:wordWrap/>
        <w:overflowPunct/>
        <w:topLinePunct w:val="0"/>
        <w:autoSpaceDE w:val="0"/>
        <w:autoSpaceDN w:val="0"/>
        <w:bidi w:val="0"/>
        <w:adjustRightInd w:val="0"/>
        <w:spacing w:line="560" w:lineRule="exact"/>
        <w:ind w:firstLine="642" w:firstLineChars="200"/>
        <w:textAlignment w:val="auto"/>
        <w:rPr>
          <w:rFonts w:ascii="仿宋_GB2312" w:eastAsia="仿宋_GB2312"/>
          <w:b/>
          <w:kern w:val="0"/>
          <w:sz w:val="32"/>
          <w:szCs w:val="32"/>
        </w:rPr>
      </w:pPr>
      <w:r>
        <w:rPr>
          <w:rFonts w:hint="eastAsia" w:ascii="仿宋_GB2312" w:eastAsia="仿宋_GB2312"/>
          <w:b/>
          <w:kern w:val="0"/>
          <w:sz w:val="32"/>
          <w:szCs w:val="32"/>
        </w:rPr>
        <w:t>第六十</w:t>
      </w:r>
      <w:r>
        <w:rPr>
          <w:rFonts w:hint="eastAsia" w:ascii="仿宋_GB2312" w:eastAsia="仿宋_GB2312"/>
          <w:b/>
          <w:kern w:val="0"/>
          <w:sz w:val="32"/>
          <w:szCs w:val="32"/>
          <w:lang w:eastAsia="zh-CN"/>
        </w:rPr>
        <w:t>二</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eastAsia="仿宋_GB2312"/>
          <w:kern w:val="0"/>
          <w:sz w:val="32"/>
          <w:szCs w:val="32"/>
        </w:rPr>
        <w:t>本指引</w:t>
      </w:r>
      <w:r>
        <w:rPr>
          <w:rFonts w:hint="eastAsia" w:ascii="仿宋_GB2312" w:eastAsia="仿宋_GB2312"/>
          <w:kern w:val="0"/>
          <w:sz w:val="32"/>
          <w:szCs w:val="32"/>
          <w:lang w:eastAsia="zh"/>
        </w:rPr>
        <w:t>下列</w:t>
      </w:r>
      <w:r>
        <w:rPr>
          <w:rFonts w:hint="eastAsia" w:ascii="仿宋_GB2312" w:eastAsia="仿宋_GB2312"/>
          <w:kern w:val="0"/>
          <w:sz w:val="32"/>
          <w:szCs w:val="32"/>
        </w:rPr>
        <w:t>用语的含义：</w:t>
      </w:r>
    </w:p>
    <w:p>
      <w:pPr>
        <w:keepNext w:val="0"/>
        <w:keepLines w:val="0"/>
        <w:pageBreakBefore w:val="0"/>
        <w:widowControl w:val="0"/>
        <w:numPr>
          <w:ilvl w:val="255"/>
          <w:numId w:val="0"/>
        </w:numPr>
        <w:kinsoku/>
        <w:wordWrap/>
        <w:overflowPunct/>
        <w:topLinePunct w:val="0"/>
        <w:bidi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（一）运营管理机构，</w:t>
      </w:r>
      <w:r>
        <w:rPr>
          <w:rFonts w:hint="eastAsia" w:ascii="仿宋_GB2312" w:eastAsia="仿宋_GB2312"/>
          <w:kern w:val="0"/>
          <w:sz w:val="32"/>
          <w:szCs w:val="32"/>
          <w:lang w:eastAsia="zh"/>
        </w:rPr>
        <w:t>是</w:t>
      </w:r>
      <w:r>
        <w:rPr>
          <w:rFonts w:hint="eastAsia" w:ascii="仿宋_GB2312" w:eastAsia="仿宋_GB2312"/>
          <w:kern w:val="0"/>
          <w:sz w:val="32"/>
          <w:szCs w:val="32"/>
        </w:rPr>
        <w:t>指按照</w:t>
      </w:r>
      <w:r>
        <w:rPr>
          <w:rFonts w:hint="eastAsia" w:ascii="仿宋_GB2312" w:eastAsia="仿宋_GB2312"/>
          <w:sz w:val="32"/>
          <w:szCs w:val="32"/>
        </w:rPr>
        <w:t>《基金指引》</w:t>
      </w:r>
      <w:r>
        <w:rPr>
          <w:rFonts w:hint="eastAsia" w:ascii="仿宋_GB2312" w:eastAsia="仿宋_GB2312"/>
          <w:kern w:val="0"/>
          <w:sz w:val="32"/>
          <w:szCs w:val="32"/>
        </w:rPr>
        <w:t>规定承担运营管理职责的机构，包括但不限于基金管理人成立的专门子公司、委托的外部管理机构。</w:t>
      </w:r>
    </w:p>
    <w:p>
      <w:pPr>
        <w:pStyle w:val="2"/>
        <w:keepNext w:val="0"/>
        <w:keepLines w:val="0"/>
        <w:pageBreakBefore w:val="0"/>
        <w:widowControl w:val="0"/>
        <w:kinsoku/>
        <w:wordWrap/>
        <w:overflowPunct/>
        <w:topLinePunct w:val="0"/>
        <w:bidi w:val="0"/>
        <w:spacing w:line="560" w:lineRule="exact"/>
        <w:ind w:firstLine="640" w:firstLineChars="200"/>
        <w:textAlignment w:val="auto"/>
        <w:rPr>
          <w:rFonts w:ascii="Times New Roman"/>
          <w:kern w:val="0"/>
          <w:sz w:val="32"/>
          <w:szCs w:val="32"/>
        </w:rPr>
      </w:pPr>
      <w:r>
        <w:rPr>
          <w:rFonts w:hint="eastAsia"/>
          <w:kern w:val="0"/>
          <w:sz w:val="32"/>
          <w:szCs w:val="32"/>
        </w:rPr>
        <w:t>（二）重要基础设施项目（</w:t>
      </w:r>
      <w:r>
        <w:rPr>
          <w:rFonts w:hint="default" w:ascii="Times New Roman"/>
          <w:kern w:val="0"/>
          <w:sz w:val="32"/>
          <w:szCs w:val="32"/>
        </w:rPr>
        <w:t>公司），</w:t>
      </w:r>
      <w:r>
        <w:rPr>
          <w:rFonts w:hint="eastAsia" w:ascii="Times New Roman"/>
          <w:kern w:val="0"/>
          <w:sz w:val="32"/>
          <w:szCs w:val="32"/>
          <w:lang w:eastAsia="zh"/>
        </w:rPr>
        <w:t>是</w:t>
      </w:r>
      <w:r>
        <w:rPr>
          <w:rFonts w:hint="default" w:ascii="Times New Roman"/>
          <w:kern w:val="0"/>
          <w:sz w:val="32"/>
          <w:szCs w:val="32"/>
        </w:rPr>
        <w:t>指单独或者合计营业收入或者现金流占上年度全部营业收入或者现金流10%以上的项目（公司），或者其他对基础设施运营、基金份额持有人权益产生重大影响的项目（公司）。</w:t>
      </w:r>
    </w:p>
    <w:p>
      <w:pPr>
        <w:pStyle w:val="2"/>
        <w:keepNext w:val="0"/>
        <w:keepLines w:val="0"/>
        <w:pageBreakBefore w:val="0"/>
        <w:widowControl w:val="0"/>
        <w:kinsoku/>
        <w:wordWrap/>
        <w:overflowPunct/>
        <w:topLinePunct w:val="0"/>
        <w:bidi w:val="0"/>
        <w:spacing w:line="560" w:lineRule="exact"/>
        <w:ind w:firstLine="640" w:firstLineChars="200"/>
        <w:textAlignment w:val="auto"/>
        <w:rPr>
          <w:rFonts w:ascii="Times New Roman"/>
          <w:kern w:val="0"/>
          <w:sz w:val="32"/>
          <w:szCs w:val="32"/>
        </w:rPr>
      </w:pPr>
      <w:r>
        <w:rPr>
          <w:rFonts w:hint="default" w:ascii="Times New Roman"/>
          <w:kern w:val="0"/>
          <w:sz w:val="32"/>
          <w:szCs w:val="32"/>
        </w:rPr>
        <w:t>（三）主要资产科目，</w:t>
      </w:r>
      <w:r>
        <w:rPr>
          <w:rFonts w:hint="eastAsia" w:ascii="Times New Roman"/>
          <w:kern w:val="0"/>
          <w:sz w:val="32"/>
          <w:szCs w:val="32"/>
          <w:lang w:eastAsia="zh"/>
        </w:rPr>
        <w:t>是</w:t>
      </w:r>
      <w:r>
        <w:rPr>
          <w:rFonts w:hint="default" w:ascii="Times New Roman"/>
          <w:kern w:val="0"/>
          <w:sz w:val="32"/>
          <w:szCs w:val="32"/>
        </w:rPr>
        <w:t>指占期末总资产10%以上的资产科目。</w:t>
      </w:r>
    </w:p>
    <w:p>
      <w:pPr>
        <w:pStyle w:val="2"/>
        <w:keepNext w:val="0"/>
        <w:keepLines w:val="0"/>
        <w:pageBreakBefore w:val="0"/>
        <w:widowControl w:val="0"/>
        <w:kinsoku/>
        <w:wordWrap/>
        <w:overflowPunct/>
        <w:topLinePunct w:val="0"/>
        <w:bidi w:val="0"/>
        <w:spacing w:line="560" w:lineRule="exact"/>
        <w:ind w:firstLine="640" w:firstLineChars="200"/>
        <w:textAlignment w:val="auto"/>
        <w:rPr>
          <w:rFonts w:ascii="Times New Roman"/>
          <w:kern w:val="0"/>
          <w:sz w:val="32"/>
          <w:szCs w:val="32"/>
        </w:rPr>
      </w:pPr>
      <w:r>
        <w:rPr>
          <w:rFonts w:hint="default" w:ascii="Times New Roman"/>
          <w:kern w:val="0"/>
          <w:sz w:val="32"/>
          <w:szCs w:val="32"/>
        </w:rPr>
        <w:t>（四）主要负债科目，</w:t>
      </w:r>
      <w:r>
        <w:rPr>
          <w:rFonts w:hint="eastAsia" w:ascii="Times New Roman"/>
          <w:kern w:val="0"/>
          <w:sz w:val="32"/>
          <w:szCs w:val="32"/>
          <w:lang w:eastAsia="zh"/>
        </w:rPr>
        <w:t>是</w:t>
      </w:r>
      <w:r>
        <w:rPr>
          <w:rFonts w:hint="default" w:ascii="Times New Roman"/>
          <w:kern w:val="0"/>
          <w:sz w:val="32"/>
          <w:szCs w:val="32"/>
        </w:rPr>
        <w:t>指占期末总负债10%以上的负债科目。</w:t>
      </w:r>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rPr>
        <w:t>（五）收入，</w:t>
      </w:r>
      <w:r>
        <w:rPr>
          <w:rFonts w:hint="eastAsia" w:ascii="仿宋_GB2312" w:hAnsi="Calibri" w:eastAsia="仿宋_GB2312"/>
          <w:sz w:val="32"/>
          <w:szCs w:val="32"/>
          <w:lang w:eastAsia="zh"/>
        </w:rPr>
        <w:t>是</w:t>
      </w:r>
      <w:r>
        <w:rPr>
          <w:rFonts w:hint="eastAsia" w:ascii="仿宋_GB2312" w:hAnsi="Calibri" w:eastAsia="仿宋_GB2312"/>
          <w:sz w:val="32"/>
          <w:szCs w:val="32"/>
        </w:rPr>
        <w:t>指不含税的收入。</w:t>
      </w:r>
    </w:p>
    <w:p>
      <w:pPr>
        <w:pStyle w:val="17"/>
        <w:keepNext w:val="0"/>
        <w:keepLines w:val="0"/>
        <w:pageBreakBefore w:val="0"/>
        <w:widowControl w:val="0"/>
        <w:kinsoku/>
        <w:wordWrap/>
        <w:overflowPunct/>
        <w:topLinePunct w:val="0"/>
        <w:bidi w:val="0"/>
        <w:spacing w:line="560" w:lineRule="exact"/>
        <w:textAlignment w:val="auto"/>
        <w:rPr>
          <w:rFonts w:hint="eastAsia" w:ascii="仿宋_GB2312" w:eastAsia="仿宋_GB2312"/>
          <w:kern w:val="0"/>
          <w:sz w:val="32"/>
          <w:szCs w:val="32"/>
        </w:rPr>
      </w:pPr>
      <w:r>
        <w:rPr>
          <w:rFonts w:hint="eastAsia" w:ascii="仿宋_GB2312" w:eastAsia="仿宋_GB2312"/>
          <w:b/>
          <w:kern w:val="0"/>
          <w:sz w:val="32"/>
          <w:szCs w:val="32"/>
        </w:rPr>
        <w:t>第六十</w:t>
      </w:r>
      <w:r>
        <w:rPr>
          <w:rFonts w:hint="eastAsia" w:ascii="仿宋_GB2312" w:eastAsia="仿宋_GB2312"/>
          <w:b/>
          <w:kern w:val="0"/>
          <w:sz w:val="32"/>
          <w:szCs w:val="32"/>
          <w:lang w:eastAsia="zh-CN"/>
        </w:rPr>
        <w:t>三</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eastAsia="仿宋_GB2312"/>
          <w:kern w:val="0"/>
          <w:sz w:val="32"/>
          <w:szCs w:val="32"/>
        </w:rPr>
        <w:t>本指引由本所负责解释。</w:t>
      </w:r>
    </w:p>
    <w:p>
      <w:pPr>
        <w:pStyle w:val="17"/>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eastAsia="仿宋_GB2312"/>
          <w:kern w:val="0"/>
          <w:sz w:val="32"/>
          <w:szCs w:val="32"/>
          <w:lang w:val="en-US" w:eastAsia="zh-CN"/>
        </w:rPr>
      </w:pPr>
      <w:r>
        <w:rPr>
          <w:rFonts w:hint="eastAsia" w:ascii="仿宋_GB2312" w:eastAsia="仿宋_GB2312"/>
          <w:b/>
          <w:kern w:val="0"/>
          <w:sz w:val="32"/>
          <w:szCs w:val="32"/>
        </w:rPr>
        <w:t>第六十</w:t>
      </w:r>
      <w:r>
        <w:rPr>
          <w:rFonts w:hint="eastAsia" w:ascii="仿宋_GB2312" w:eastAsia="仿宋_GB2312"/>
          <w:b/>
          <w:kern w:val="0"/>
          <w:sz w:val="32"/>
          <w:szCs w:val="32"/>
          <w:lang w:eastAsia="zh-CN"/>
        </w:rPr>
        <w:t>四</w:t>
      </w:r>
      <w:r>
        <w:rPr>
          <w:rFonts w:hint="eastAsia" w:ascii="仿宋_GB2312" w:eastAsia="仿宋_GB2312"/>
          <w:b/>
          <w:kern w:val="0"/>
          <w:sz w:val="32"/>
          <w:szCs w:val="32"/>
        </w:rPr>
        <w:t>条</w:t>
      </w:r>
      <w:r>
        <w:rPr>
          <w:rFonts w:hint="eastAsia" w:ascii="仿宋_GB2312" w:eastAsia="仿宋_GB2312"/>
          <w:b/>
          <w:kern w:val="0"/>
          <w:sz w:val="32"/>
          <w:szCs w:val="32"/>
          <w:lang w:val="en-US" w:eastAsia="zh-CN"/>
        </w:rPr>
        <w:t xml:space="preserve"> </w:t>
      </w:r>
      <w:r>
        <w:rPr>
          <w:rFonts w:hint="eastAsia" w:ascii="仿宋_GB2312" w:hAnsi="仿宋_GB2312" w:eastAsia="仿宋_GB2312" w:cs="仿宋_GB2312"/>
          <w:kern w:val="0"/>
          <w:sz w:val="32"/>
          <w:szCs w:val="32"/>
        </w:rPr>
        <w:t>本指引自发布之日起施行。</w:t>
      </w:r>
      <w:r>
        <w:rPr>
          <w:rFonts w:hint="eastAsia" w:ascii="仿宋_GB2312" w:hAnsi="仿宋_GB2312" w:eastAsia="仿宋_GB2312" w:cs="仿宋_GB2312"/>
          <w:kern w:val="0"/>
          <w:sz w:val="32"/>
          <w:szCs w:val="32"/>
          <w:lang w:eastAsia="zh-CN"/>
        </w:rPr>
        <w:t>本所于</w:t>
      </w:r>
      <w:r>
        <w:rPr>
          <w:rFonts w:hint="default" w:ascii="Times New Roman" w:hAnsi="Times New Roman" w:eastAsia="仿宋_GB2312" w:cs="Times New Roman"/>
          <w:kern w:val="0"/>
          <w:sz w:val="32"/>
          <w:szCs w:val="32"/>
          <w:lang w:val="en-US" w:eastAsia="zh-CN"/>
        </w:rPr>
        <w:t>2024年2月8日发布的</w:t>
      </w:r>
      <w:r>
        <w:rPr>
          <w:rFonts w:hint="default" w:ascii="Times New Roman" w:hAnsi="Times New Roman" w:eastAsia="仿宋_GB2312" w:cs="Times New Roman"/>
          <w:sz w:val="32"/>
          <w:szCs w:val="32"/>
        </w:rPr>
        <w:t>《关于做好公开募集基础设施证券投资基金（REITs）2023年年度报告披露工作有关事项的通知 》（上证发〔2024〕20号）</w:t>
      </w:r>
      <w:r>
        <w:rPr>
          <w:rFonts w:hint="default" w:ascii="Times New Roman" w:hAnsi="Times New Roman" w:eastAsia="仿宋_GB2312" w:cs="Times New Roman"/>
          <w:sz w:val="32"/>
          <w:szCs w:val="32"/>
          <w:lang w:eastAsia="zh-CN"/>
        </w:rPr>
        <w:t>同时废止。</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10691"/>
    </w:sdtPr>
    <w:sdtContent>
      <w:p>
        <w:pPr>
          <w:pStyle w:val="8"/>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10693"/>
    </w:sdtPr>
    <w:sdtContent>
      <w:p>
        <w:pPr>
          <w:pStyle w:val="8"/>
          <w:jc w:val="center"/>
        </w:pPr>
        <w:r>
          <w:fldChar w:fldCharType="begin"/>
        </w:r>
        <w:r>
          <w:instrText xml:space="preserve"> PAGE   \* MERGEFORMAT </w:instrText>
        </w:r>
        <w:r>
          <w:fldChar w:fldCharType="separate"/>
        </w:r>
        <w:r>
          <w:rPr>
            <w:lang w:val="zh-CN"/>
          </w:rPr>
          <w:t>24</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FB1A1"/>
    <w:multiLevelType w:val="singleLevel"/>
    <w:tmpl w:val="C1CFB1A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44C50B3"/>
    <w:rsid w:val="00021163"/>
    <w:rsid w:val="000D090C"/>
    <w:rsid w:val="000D5DA2"/>
    <w:rsid w:val="000F505F"/>
    <w:rsid w:val="00107A7D"/>
    <w:rsid w:val="00122DED"/>
    <w:rsid w:val="001468D2"/>
    <w:rsid w:val="00182ACB"/>
    <w:rsid w:val="0022195D"/>
    <w:rsid w:val="003153CC"/>
    <w:rsid w:val="00344A69"/>
    <w:rsid w:val="003B0159"/>
    <w:rsid w:val="003C373E"/>
    <w:rsid w:val="003D1560"/>
    <w:rsid w:val="003E594F"/>
    <w:rsid w:val="00446D49"/>
    <w:rsid w:val="00482821"/>
    <w:rsid w:val="004B2754"/>
    <w:rsid w:val="005B0D5D"/>
    <w:rsid w:val="005C5CB5"/>
    <w:rsid w:val="005F3721"/>
    <w:rsid w:val="006933F5"/>
    <w:rsid w:val="006954B8"/>
    <w:rsid w:val="006B30E6"/>
    <w:rsid w:val="006B78CA"/>
    <w:rsid w:val="007233DD"/>
    <w:rsid w:val="007D3D3B"/>
    <w:rsid w:val="007E13C1"/>
    <w:rsid w:val="00801416"/>
    <w:rsid w:val="00816E40"/>
    <w:rsid w:val="008521AD"/>
    <w:rsid w:val="00877F0D"/>
    <w:rsid w:val="008B5EBB"/>
    <w:rsid w:val="008F1527"/>
    <w:rsid w:val="009165FC"/>
    <w:rsid w:val="00964818"/>
    <w:rsid w:val="00967183"/>
    <w:rsid w:val="00977080"/>
    <w:rsid w:val="00A215A5"/>
    <w:rsid w:val="00A41E27"/>
    <w:rsid w:val="00A6233D"/>
    <w:rsid w:val="00A67E7F"/>
    <w:rsid w:val="00AD612E"/>
    <w:rsid w:val="00B30C02"/>
    <w:rsid w:val="00B9653C"/>
    <w:rsid w:val="00BC15B2"/>
    <w:rsid w:val="00C85E8D"/>
    <w:rsid w:val="00CA04F4"/>
    <w:rsid w:val="00CA06F0"/>
    <w:rsid w:val="00CB68E6"/>
    <w:rsid w:val="00CC345F"/>
    <w:rsid w:val="00E705AB"/>
    <w:rsid w:val="00E86958"/>
    <w:rsid w:val="00EA0F38"/>
    <w:rsid w:val="00EA4916"/>
    <w:rsid w:val="00F23D88"/>
    <w:rsid w:val="00F36A20"/>
    <w:rsid w:val="00F42B82"/>
    <w:rsid w:val="00F66C46"/>
    <w:rsid w:val="00FD6E58"/>
    <w:rsid w:val="01261457"/>
    <w:rsid w:val="01732C0A"/>
    <w:rsid w:val="01A447B0"/>
    <w:rsid w:val="01BB4E65"/>
    <w:rsid w:val="01DE33DC"/>
    <w:rsid w:val="01FC7410"/>
    <w:rsid w:val="02034E8D"/>
    <w:rsid w:val="021B466E"/>
    <w:rsid w:val="022035B4"/>
    <w:rsid w:val="023C0E0C"/>
    <w:rsid w:val="02484D93"/>
    <w:rsid w:val="02761592"/>
    <w:rsid w:val="02B043DA"/>
    <w:rsid w:val="02BF2F8A"/>
    <w:rsid w:val="02CA27F0"/>
    <w:rsid w:val="02F841F6"/>
    <w:rsid w:val="03840059"/>
    <w:rsid w:val="039448FA"/>
    <w:rsid w:val="03BD308C"/>
    <w:rsid w:val="03CF3A39"/>
    <w:rsid w:val="03F0003D"/>
    <w:rsid w:val="03FD53F3"/>
    <w:rsid w:val="04735FA2"/>
    <w:rsid w:val="04821304"/>
    <w:rsid w:val="04986517"/>
    <w:rsid w:val="0499775E"/>
    <w:rsid w:val="0536769A"/>
    <w:rsid w:val="05404098"/>
    <w:rsid w:val="055251DC"/>
    <w:rsid w:val="05561024"/>
    <w:rsid w:val="05AB2310"/>
    <w:rsid w:val="05F25272"/>
    <w:rsid w:val="05F31ECD"/>
    <w:rsid w:val="06332A51"/>
    <w:rsid w:val="06356E17"/>
    <w:rsid w:val="06534276"/>
    <w:rsid w:val="066F4947"/>
    <w:rsid w:val="06B65283"/>
    <w:rsid w:val="07095017"/>
    <w:rsid w:val="07352BCC"/>
    <w:rsid w:val="073871F8"/>
    <w:rsid w:val="07526DE6"/>
    <w:rsid w:val="075F0AB2"/>
    <w:rsid w:val="077C59A5"/>
    <w:rsid w:val="07DA6FF3"/>
    <w:rsid w:val="07EE0888"/>
    <w:rsid w:val="089C6D14"/>
    <w:rsid w:val="08E6242A"/>
    <w:rsid w:val="08E71BA1"/>
    <w:rsid w:val="08EF53B5"/>
    <w:rsid w:val="09273A00"/>
    <w:rsid w:val="093F4A82"/>
    <w:rsid w:val="09A72D07"/>
    <w:rsid w:val="0A0F59EF"/>
    <w:rsid w:val="0A134205"/>
    <w:rsid w:val="0A174C23"/>
    <w:rsid w:val="0A4F25D9"/>
    <w:rsid w:val="0A6C26F2"/>
    <w:rsid w:val="0A6E5533"/>
    <w:rsid w:val="0A973964"/>
    <w:rsid w:val="0ABD6EB5"/>
    <w:rsid w:val="0ACF503B"/>
    <w:rsid w:val="0AD16DDE"/>
    <w:rsid w:val="0AF730BC"/>
    <w:rsid w:val="0B0C6FC2"/>
    <w:rsid w:val="0B410E46"/>
    <w:rsid w:val="0B586776"/>
    <w:rsid w:val="0B5F40C2"/>
    <w:rsid w:val="0BD25EA5"/>
    <w:rsid w:val="0BFE4B3A"/>
    <w:rsid w:val="0C1351A3"/>
    <w:rsid w:val="0C5B1651"/>
    <w:rsid w:val="0C9706D2"/>
    <w:rsid w:val="0CAC1387"/>
    <w:rsid w:val="0CB60ADA"/>
    <w:rsid w:val="0CC57C41"/>
    <w:rsid w:val="0CE40F50"/>
    <w:rsid w:val="0CF9124E"/>
    <w:rsid w:val="0D4D05BB"/>
    <w:rsid w:val="0D7D78F4"/>
    <w:rsid w:val="0DBE4F78"/>
    <w:rsid w:val="0E0403A8"/>
    <w:rsid w:val="0E4A27A3"/>
    <w:rsid w:val="0E773F4A"/>
    <w:rsid w:val="0E7C0A2E"/>
    <w:rsid w:val="0EAC1AEE"/>
    <w:rsid w:val="0ED324D9"/>
    <w:rsid w:val="0EE875DF"/>
    <w:rsid w:val="0F1862A0"/>
    <w:rsid w:val="0F4F026A"/>
    <w:rsid w:val="0F70074A"/>
    <w:rsid w:val="0F966920"/>
    <w:rsid w:val="0FA104C1"/>
    <w:rsid w:val="0FCD147A"/>
    <w:rsid w:val="0FCF2C46"/>
    <w:rsid w:val="0FEF38AA"/>
    <w:rsid w:val="105D3BF9"/>
    <w:rsid w:val="109D5B2F"/>
    <w:rsid w:val="10DE3C69"/>
    <w:rsid w:val="11223B28"/>
    <w:rsid w:val="11252648"/>
    <w:rsid w:val="112C328C"/>
    <w:rsid w:val="114F6B66"/>
    <w:rsid w:val="118B3557"/>
    <w:rsid w:val="118D689F"/>
    <w:rsid w:val="11C24465"/>
    <w:rsid w:val="11CD7952"/>
    <w:rsid w:val="121709EC"/>
    <w:rsid w:val="12714ACF"/>
    <w:rsid w:val="127500BC"/>
    <w:rsid w:val="128A6C55"/>
    <w:rsid w:val="1294370B"/>
    <w:rsid w:val="12992932"/>
    <w:rsid w:val="12AF2526"/>
    <w:rsid w:val="12D74C26"/>
    <w:rsid w:val="13187F41"/>
    <w:rsid w:val="136B3D8D"/>
    <w:rsid w:val="13AB2C96"/>
    <w:rsid w:val="142878A4"/>
    <w:rsid w:val="14794134"/>
    <w:rsid w:val="14B2243D"/>
    <w:rsid w:val="14E3416F"/>
    <w:rsid w:val="1506476D"/>
    <w:rsid w:val="15111B9F"/>
    <w:rsid w:val="152D71C4"/>
    <w:rsid w:val="15307872"/>
    <w:rsid w:val="15326A03"/>
    <w:rsid w:val="153F0FBD"/>
    <w:rsid w:val="15BC4236"/>
    <w:rsid w:val="15EA71C8"/>
    <w:rsid w:val="16144FCC"/>
    <w:rsid w:val="163760FE"/>
    <w:rsid w:val="163A2FC4"/>
    <w:rsid w:val="167B56E0"/>
    <w:rsid w:val="16AC4287"/>
    <w:rsid w:val="16C84290"/>
    <w:rsid w:val="16D563EC"/>
    <w:rsid w:val="173102A3"/>
    <w:rsid w:val="17341958"/>
    <w:rsid w:val="173F644E"/>
    <w:rsid w:val="17656917"/>
    <w:rsid w:val="17831E68"/>
    <w:rsid w:val="17920B1B"/>
    <w:rsid w:val="17AB75F5"/>
    <w:rsid w:val="17E73582"/>
    <w:rsid w:val="18C6439D"/>
    <w:rsid w:val="18C67237"/>
    <w:rsid w:val="18C93C09"/>
    <w:rsid w:val="190E4CF3"/>
    <w:rsid w:val="191D1185"/>
    <w:rsid w:val="195034D9"/>
    <w:rsid w:val="195F7921"/>
    <w:rsid w:val="197A64AC"/>
    <w:rsid w:val="198F4E64"/>
    <w:rsid w:val="19A568E5"/>
    <w:rsid w:val="1A2E7220"/>
    <w:rsid w:val="1A406F1E"/>
    <w:rsid w:val="1AAA6EB8"/>
    <w:rsid w:val="1AF7367B"/>
    <w:rsid w:val="1B345EE9"/>
    <w:rsid w:val="1B3D0A20"/>
    <w:rsid w:val="1B453F87"/>
    <w:rsid w:val="1B4A0ECC"/>
    <w:rsid w:val="1B564EFF"/>
    <w:rsid w:val="1BDE669C"/>
    <w:rsid w:val="1C424FC2"/>
    <w:rsid w:val="1C874191"/>
    <w:rsid w:val="1C8F45C2"/>
    <w:rsid w:val="1C921C69"/>
    <w:rsid w:val="1CBC2D9E"/>
    <w:rsid w:val="1D1D0C0F"/>
    <w:rsid w:val="1D202B32"/>
    <w:rsid w:val="1D525590"/>
    <w:rsid w:val="1D7C24E7"/>
    <w:rsid w:val="1D82791E"/>
    <w:rsid w:val="1D950615"/>
    <w:rsid w:val="1DDC3EB4"/>
    <w:rsid w:val="1E0850D6"/>
    <w:rsid w:val="1E734D2C"/>
    <w:rsid w:val="1EB43E70"/>
    <w:rsid w:val="1EB92B62"/>
    <w:rsid w:val="1F1C0096"/>
    <w:rsid w:val="1F502E6E"/>
    <w:rsid w:val="1F67143E"/>
    <w:rsid w:val="1F7774AB"/>
    <w:rsid w:val="1F984E09"/>
    <w:rsid w:val="1FC0014F"/>
    <w:rsid w:val="20065EAD"/>
    <w:rsid w:val="201C4D54"/>
    <w:rsid w:val="201F5491"/>
    <w:rsid w:val="20341587"/>
    <w:rsid w:val="203E7B64"/>
    <w:rsid w:val="204762ED"/>
    <w:rsid w:val="204D2466"/>
    <w:rsid w:val="204F651B"/>
    <w:rsid w:val="20822AD1"/>
    <w:rsid w:val="208C0A14"/>
    <w:rsid w:val="20965534"/>
    <w:rsid w:val="20DE711C"/>
    <w:rsid w:val="210D5FE4"/>
    <w:rsid w:val="21380529"/>
    <w:rsid w:val="214C5229"/>
    <w:rsid w:val="21892883"/>
    <w:rsid w:val="21AD0712"/>
    <w:rsid w:val="21CF4187"/>
    <w:rsid w:val="21FB45FD"/>
    <w:rsid w:val="22194EB7"/>
    <w:rsid w:val="22580740"/>
    <w:rsid w:val="227F1DF2"/>
    <w:rsid w:val="2286411B"/>
    <w:rsid w:val="228D1FBC"/>
    <w:rsid w:val="229C1BB0"/>
    <w:rsid w:val="22B53A3B"/>
    <w:rsid w:val="22F0189C"/>
    <w:rsid w:val="23442AE1"/>
    <w:rsid w:val="23627537"/>
    <w:rsid w:val="237251FC"/>
    <w:rsid w:val="23857FD5"/>
    <w:rsid w:val="23864F93"/>
    <w:rsid w:val="23DD70FB"/>
    <w:rsid w:val="2415012A"/>
    <w:rsid w:val="2456682E"/>
    <w:rsid w:val="24927D8B"/>
    <w:rsid w:val="24E06F8D"/>
    <w:rsid w:val="25115E41"/>
    <w:rsid w:val="251D41DD"/>
    <w:rsid w:val="25230953"/>
    <w:rsid w:val="254E5EB6"/>
    <w:rsid w:val="25502AC4"/>
    <w:rsid w:val="255A0E55"/>
    <w:rsid w:val="255A1CEA"/>
    <w:rsid w:val="256772C7"/>
    <w:rsid w:val="25DD672D"/>
    <w:rsid w:val="262768AE"/>
    <w:rsid w:val="262C67B0"/>
    <w:rsid w:val="269B1D5B"/>
    <w:rsid w:val="26BD5B60"/>
    <w:rsid w:val="26C01A21"/>
    <w:rsid w:val="26CF5E77"/>
    <w:rsid w:val="26D07EC7"/>
    <w:rsid w:val="26EE1392"/>
    <w:rsid w:val="27142F10"/>
    <w:rsid w:val="277A66E6"/>
    <w:rsid w:val="28022180"/>
    <w:rsid w:val="2815691E"/>
    <w:rsid w:val="283972ED"/>
    <w:rsid w:val="28486025"/>
    <w:rsid w:val="285039AD"/>
    <w:rsid w:val="289023C0"/>
    <w:rsid w:val="28E53925"/>
    <w:rsid w:val="292E007F"/>
    <w:rsid w:val="297B6842"/>
    <w:rsid w:val="297C08C1"/>
    <w:rsid w:val="298015A5"/>
    <w:rsid w:val="29C67EAF"/>
    <w:rsid w:val="2A116143"/>
    <w:rsid w:val="2A6F3A1D"/>
    <w:rsid w:val="2A866380"/>
    <w:rsid w:val="2A9B5625"/>
    <w:rsid w:val="2AA00F32"/>
    <w:rsid w:val="2AB831F0"/>
    <w:rsid w:val="2ABD18C2"/>
    <w:rsid w:val="2B2F6831"/>
    <w:rsid w:val="2B3D2E60"/>
    <w:rsid w:val="2B6B6DA0"/>
    <w:rsid w:val="2B9411EB"/>
    <w:rsid w:val="2BB96CFD"/>
    <w:rsid w:val="2BD60F46"/>
    <w:rsid w:val="2C0C1DA5"/>
    <w:rsid w:val="2C15133A"/>
    <w:rsid w:val="2C622253"/>
    <w:rsid w:val="2C6357A6"/>
    <w:rsid w:val="2CB7567A"/>
    <w:rsid w:val="2D0A5E81"/>
    <w:rsid w:val="2D1D5304"/>
    <w:rsid w:val="2D2B489E"/>
    <w:rsid w:val="2D376058"/>
    <w:rsid w:val="2D9C0D11"/>
    <w:rsid w:val="2DCC08AF"/>
    <w:rsid w:val="2E031AF1"/>
    <w:rsid w:val="2E216A2D"/>
    <w:rsid w:val="2EDF6653"/>
    <w:rsid w:val="2F880062"/>
    <w:rsid w:val="2FB672CC"/>
    <w:rsid w:val="2FC1361F"/>
    <w:rsid w:val="3030157E"/>
    <w:rsid w:val="305D2D98"/>
    <w:rsid w:val="30631CC8"/>
    <w:rsid w:val="3075660F"/>
    <w:rsid w:val="307B57A5"/>
    <w:rsid w:val="30AA544C"/>
    <w:rsid w:val="30B93C80"/>
    <w:rsid w:val="31190C99"/>
    <w:rsid w:val="314C3C13"/>
    <w:rsid w:val="318E4581"/>
    <w:rsid w:val="31A04F75"/>
    <w:rsid w:val="31A47B89"/>
    <w:rsid w:val="31CA5AFA"/>
    <w:rsid w:val="31EA7B7F"/>
    <w:rsid w:val="320F5276"/>
    <w:rsid w:val="321C55B1"/>
    <w:rsid w:val="32285D42"/>
    <w:rsid w:val="3297174B"/>
    <w:rsid w:val="32BE6D77"/>
    <w:rsid w:val="32C142FE"/>
    <w:rsid w:val="32D45810"/>
    <w:rsid w:val="32EA368B"/>
    <w:rsid w:val="33085E3E"/>
    <w:rsid w:val="337C233B"/>
    <w:rsid w:val="344175E3"/>
    <w:rsid w:val="34E56F0D"/>
    <w:rsid w:val="354817DE"/>
    <w:rsid w:val="355C677B"/>
    <w:rsid w:val="3572179C"/>
    <w:rsid w:val="3572496C"/>
    <w:rsid w:val="35890450"/>
    <w:rsid w:val="359410AC"/>
    <w:rsid w:val="35B767E4"/>
    <w:rsid w:val="35D53058"/>
    <w:rsid w:val="35EF2E4B"/>
    <w:rsid w:val="35FD12CB"/>
    <w:rsid w:val="362438EE"/>
    <w:rsid w:val="36414AC9"/>
    <w:rsid w:val="36420356"/>
    <w:rsid w:val="366B0B93"/>
    <w:rsid w:val="367A13FC"/>
    <w:rsid w:val="36892C35"/>
    <w:rsid w:val="36B728A4"/>
    <w:rsid w:val="36F6132B"/>
    <w:rsid w:val="36F70837"/>
    <w:rsid w:val="37353757"/>
    <w:rsid w:val="374A7260"/>
    <w:rsid w:val="37A33C7D"/>
    <w:rsid w:val="37A57C5B"/>
    <w:rsid w:val="37B337E8"/>
    <w:rsid w:val="37CC3B7A"/>
    <w:rsid w:val="37CD1682"/>
    <w:rsid w:val="37D827A4"/>
    <w:rsid w:val="37EF2AF6"/>
    <w:rsid w:val="37F327EE"/>
    <w:rsid w:val="38713F54"/>
    <w:rsid w:val="38B06F72"/>
    <w:rsid w:val="38D11BBC"/>
    <w:rsid w:val="38E621FC"/>
    <w:rsid w:val="38E917EA"/>
    <w:rsid w:val="393670ED"/>
    <w:rsid w:val="393B28B1"/>
    <w:rsid w:val="393B36AE"/>
    <w:rsid w:val="39486677"/>
    <w:rsid w:val="396D16BC"/>
    <w:rsid w:val="397516C8"/>
    <w:rsid w:val="39A2421E"/>
    <w:rsid w:val="39C573F9"/>
    <w:rsid w:val="39D642B8"/>
    <w:rsid w:val="3AAB43EE"/>
    <w:rsid w:val="3ABF2BB2"/>
    <w:rsid w:val="3B5E2A01"/>
    <w:rsid w:val="3B9D3B86"/>
    <w:rsid w:val="3BB82DA8"/>
    <w:rsid w:val="3BC14074"/>
    <w:rsid w:val="3C4A110D"/>
    <w:rsid w:val="3CCD12B2"/>
    <w:rsid w:val="3CDB50AA"/>
    <w:rsid w:val="3CF11AC2"/>
    <w:rsid w:val="3D8C646F"/>
    <w:rsid w:val="3D8F0C62"/>
    <w:rsid w:val="3DB27E39"/>
    <w:rsid w:val="3E254CEB"/>
    <w:rsid w:val="3E322D18"/>
    <w:rsid w:val="3EC81291"/>
    <w:rsid w:val="3EFD2ECB"/>
    <w:rsid w:val="3F1F34A2"/>
    <w:rsid w:val="3F40441E"/>
    <w:rsid w:val="3F474CB0"/>
    <w:rsid w:val="3F536C83"/>
    <w:rsid w:val="3FA22E75"/>
    <w:rsid w:val="3FC366C7"/>
    <w:rsid w:val="3FEFD90F"/>
    <w:rsid w:val="40025A1C"/>
    <w:rsid w:val="4060246A"/>
    <w:rsid w:val="40F74534"/>
    <w:rsid w:val="41326EC7"/>
    <w:rsid w:val="417E758E"/>
    <w:rsid w:val="4184533E"/>
    <w:rsid w:val="41884094"/>
    <w:rsid w:val="418F3794"/>
    <w:rsid w:val="41AB667A"/>
    <w:rsid w:val="41E208EB"/>
    <w:rsid w:val="41F533C3"/>
    <w:rsid w:val="423A4A6F"/>
    <w:rsid w:val="42575644"/>
    <w:rsid w:val="4265234A"/>
    <w:rsid w:val="4272007F"/>
    <w:rsid w:val="427B022A"/>
    <w:rsid w:val="4286051E"/>
    <w:rsid w:val="42876741"/>
    <w:rsid w:val="428849ED"/>
    <w:rsid w:val="42AA2F7B"/>
    <w:rsid w:val="42AF12B1"/>
    <w:rsid w:val="42DA1E87"/>
    <w:rsid w:val="42E2506F"/>
    <w:rsid w:val="42FD5DF4"/>
    <w:rsid w:val="43905809"/>
    <w:rsid w:val="43A42FE0"/>
    <w:rsid w:val="44115628"/>
    <w:rsid w:val="44333D82"/>
    <w:rsid w:val="44A12B09"/>
    <w:rsid w:val="44A859BA"/>
    <w:rsid w:val="44A9290D"/>
    <w:rsid w:val="44B71C2E"/>
    <w:rsid w:val="44FD4FE2"/>
    <w:rsid w:val="454F47C6"/>
    <w:rsid w:val="45602A50"/>
    <w:rsid w:val="45FF6DCE"/>
    <w:rsid w:val="465E33DE"/>
    <w:rsid w:val="46955E71"/>
    <w:rsid w:val="46BA262A"/>
    <w:rsid w:val="46BF11AA"/>
    <w:rsid w:val="46CD1095"/>
    <w:rsid w:val="47DA38C7"/>
    <w:rsid w:val="480A63ED"/>
    <w:rsid w:val="4842699B"/>
    <w:rsid w:val="487B0DE5"/>
    <w:rsid w:val="487B7DC2"/>
    <w:rsid w:val="487D476A"/>
    <w:rsid w:val="488A0D1C"/>
    <w:rsid w:val="48C80793"/>
    <w:rsid w:val="49116695"/>
    <w:rsid w:val="492A2119"/>
    <w:rsid w:val="49573B13"/>
    <w:rsid w:val="49593137"/>
    <w:rsid w:val="495F14FE"/>
    <w:rsid w:val="499814CB"/>
    <w:rsid w:val="49C567B1"/>
    <w:rsid w:val="49C74598"/>
    <w:rsid w:val="49D63C1C"/>
    <w:rsid w:val="49DE3BD5"/>
    <w:rsid w:val="49F01266"/>
    <w:rsid w:val="49FA708B"/>
    <w:rsid w:val="4A0F6862"/>
    <w:rsid w:val="4A1445DD"/>
    <w:rsid w:val="4A3C1742"/>
    <w:rsid w:val="4A7C1545"/>
    <w:rsid w:val="4A7C1B6B"/>
    <w:rsid w:val="4AEC68F9"/>
    <w:rsid w:val="4B1C69D1"/>
    <w:rsid w:val="4BFD6445"/>
    <w:rsid w:val="4C4145C5"/>
    <w:rsid w:val="4C477F0A"/>
    <w:rsid w:val="4C591FA0"/>
    <w:rsid w:val="4C68457E"/>
    <w:rsid w:val="4C6C4E32"/>
    <w:rsid w:val="4C8061F1"/>
    <w:rsid w:val="4CCF28BF"/>
    <w:rsid w:val="4CE26304"/>
    <w:rsid w:val="4D0757B9"/>
    <w:rsid w:val="4D3339B0"/>
    <w:rsid w:val="4D524AEA"/>
    <w:rsid w:val="4D644751"/>
    <w:rsid w:val="4D742AA0"/>
    <w:rsid w:val="4D766E05"/>
    <w:rsid w:val="4D822F19"/>
    <w:rsid w:val="4DA76772"/>
    <w:rsid w:val="4E1B59A2"/>
    <w:rsid w:val="4E41049C"/>
    <w:rsid w:val="4E447A0C"/>
    <w:rsid w:val="4E7F6455"/>
    <w:rsid w:val="4EC10E03"/>
    <w:rsid w:val="4EC579D2"/>
    <w:rsid w:val="4EDA510D"/>
    <w:rsid w:val="4F0E63CE"/>
    <w:rsid w:val="4F206F8E"/>
    <w:rsid w:val="4F2A2171"/>
    <w:rsid w:val="4F3B1644"/>
    <w:rsid w:val="4F7756BA"/>
    <w:rsid w:val="4F891C09"/>
    <w:rsid w:val="4F966B91"/>
    <w:rsid w:val="4FB57E10"/>
    <w:rsid w:val="4FC3616E"/>
    <w:rsid w:val="4FE50A2C"/>
    <w:rsid w:val="502F2E90"/>
    <w:rsid w:val="505450D7"/>
    <w:rsid w:val="5064457F"/>
    <w:rsid w:val="50DF7C1B"/>
    <w:rsid w:val="51541F62"/>
    <w:rsid w:val="515D338B"/>
    <w:rsid w:val="51C365B2"/>
    <w:rsid w:val="51CA1C71"/>
    <w:rsid w:val="521B5549"/>
    <w:rsid w:val="5224694D"/>
    <w:rsid w:val="524C6A82"/>
    <w:rsid w:val="52C77167"/>
    <w:rsid w:val="52DF6A37"/>
    <w:rsid w:val="52F11223"/>
    <w:rsid w:val="53145364"/>
    <w:rsid w:val="5389001A"/>
    <w:rsid w:val="539B5B37"/>
    <w:rsid w:val="53DE0E67"/>
    <w:rsid w:val="54044ABE"/>
    <w:rsid w:val="540C51D3"/>
    <w:rsid w:val="5475139F"/>
    <w:rsid w:val="54C84A0B"/>
    <w:rsid w:val="54CD0150"/>
    <w:rsid w:val="55663C20"/>
    <w:rsid w:val="556D13C0"/>
    <w:rsid w:val="55807825"/>
    <w:rsid w:val="5581153A"/>
    <w:rsid w:val="55914FEE"/>
    <w:rsid w:val="55B625DF"/>
    <w:rsid w:val="55F13BAD"/>
    <w:rsid w:val="564A3312"/>
    <w:rsid w:val="56594F78"/>
    <w:rsid w:val="56D10E7C"/>
    <w:rsid w:val="56F63A6F"/>
    <w:rsid w:val="57283E0B"/>
    <w:rsid w:val="574E5722"/>
    <w:rsid w:val="5798258C"/>
    <w:rsid w:val="57CE6CD0"/>
    <w:rsid w:val="57DA77A9"/>
    <w:rsid w:val="580A76C1"/>
    <w:rsid w:val="584637E4"/>
    <w:rsid w:val="58717625"/>
    <w:rsid w:val="58A56AE6"/>
    <w:rsid w:val="59256C24"/>
    <w:rsid w:val="596F0ED2"/>
    <w:rsid w:val="59962F7D"/>
    <w:rsid w:val="59BB07F7"/>
    <w:rsid w:val="59D836F4"/>
    <w:rsid w:val="5A003D17"/>
    <w:rsid w:val="5A567846"/>
    <w:rsid w:val="5A65538B"/>
    <w:rsid w:val="5A6A2B66"/>
    <w:rsid w:val="5A7D1C84"/>
    <w:rsid w:val="5A835D8B"/>
    <w:rsid w:val="5BCF0709"/>
    <w:rsid w:val="5BDD0ED5"/>
    <w:rsid w:val="5BED576F"/>
    <w:rsid w:val="5C322AC4"/>
    <w:rsid w:val="5C461926"/>
    <w:rsid w:val="5C6C4424"/>
    <w:rsid w:val="5D11132D"/>
    <w:rsid w:val="5D6737A1"/>
    <w:rsid w:val="5D854B3D"/>
    <w:rsid w:val="5DA03AAA"/>
    <w:rsid w:val="5DC33A39"/>
    <w:rsid w:val="5DEE5DA8"/>
    <w:rsid w:val="5E4B00B6"/>
    <w:rsid w:val="5EA94D65"/>
    <w:rsid w:val="5EAA582E"/>
    <w:rsid w:val="5EC50D75"/>
    <w:rsid w:val="5EC96FE7"/>
    <w:rsid w:val="5F1D042B"/>
    <w:rsid w:val="5F312868"/>
    <w:rsid w:val="5F6417E7"/>
    <w:rsid w:val="5F69329A"/>
    <w:rsid w:val="5F6952EA"/>
    <w:rsid w:val="5FAD4C20"/>
    <w:rsid w:val="5FB41319"/>
    <w:rsid w:val="5FC734D0"/>
    <w:rsid w:val="5FCD2EFF"/>
    <w:rsid w:val="5FE64A94"/>
    <w:rsid w:val="5FE81FC3"/>
    <w:rsid w:val="5FF27C5D"/>
    <w:rsid w:val="600B4743"/>
    <w:rsid w:val="60221CDB"/>
    <w:rsid w:val="604B3689"/>
    <w:rsid w:val="605C71A6"/>
    <w:rsid w:val="608215E4"/>
    <w:rsid w:val="608F60E8"/>
    <w:rsid w:val="6163223F"/>
    <w:rsid w:val="618D5EFE"/>
    <w:rsid w:val="618E6E5E"/>
    <w:rsid w:val="62107AF1"/>
    <w:rsid w:val="621C4315"/>
    <w:rsid w:val="62220680"/>
    <w:rsid w:val="62572464"/>
    <w:rsid w:val="626F788E"/>
    <w:rsid w:val="62AE2E73"/>
    <w:rsid w:val="62B95C27"/>
    <w:rsid w:val="62C8037F"/>
    <w:rsid w:val="62EB71A7"/>
    <w:rsid w:val="631908B4"/>
    <w:rsid w:val="631E69AA"/>
    <w:rsid w:val="633C7097"/>
    <w:rsid w:val="6341771C"/>
    <w:rsid w:val="634C20E3"/>
    <w:rsid w:val="634E34D0"/>
    <w:rsid w:val="63B142F4"/>
    <w:rsid w:val="63EE34B9"/>
    <w:rsid w:val="64596B46"/>
    <w:rsid w:val="646F3EB5"/>
    <w:rsid w:val="649C235B"/>
    <w:rsid w:val="64B16DC0"/>
    <w:rsid w:val="654B237F"/>
    <w:rsid w:val="658014A4"/>
    <w:rsid w:val="65A44BB2"/>
    <w:rsid w:val="65C439AB"/>
    <w:rsid w:val="65CD251C"/>
    <w:rsid w:val="65F20792"/>
    <w:rsid w:val="65F8082F"/>
    <w:rsid w:val="66310536"/>
    <w:rsid w:val="664C4FF7"/>
    <w:rsid w:val="66B83C92"/>
    <w:rsid w:val="66DB66C5"/>
    <w:rsid w:val="66F71169"/>
    <w:rsid w:val="672E7154"/>
    <w:rsid w:val="67710EB9"/>
    <w:rsid w:val="677A666B"/>
    <w:rsid w:val="67A7139C"/>
    <w:rsid w:val="67DD6668"/>
    <w:rsid w:val="67F70FD3"/>
    <w:rsid w:val="68375408"/>
    <w:rsid w:val="683E1F97"/>
    <w:rsid w:val="68A30364"/>
    <w:rsid w:val="68C5038F"/>
    <w:rsid w:val="68E13128"/>
    <w:rsid w:val="692454E6"/>
    <w:rsid w:val="692F6A42"/>
    <w:rsid w:val="692F7B9E"/>
    <w:rsid w:val="693E1164"/>
    <w:rsid w:val="696A3324"/>
    <w:rsid w:val="69787A6F"/>
    <w:rsid w:val="69A14561"/>
    <w:rsid w:val="69A97868"/>
    <w:rsid w:val="69CA4588"/>
    <w:rsid w:val="69CB49C2"/>
    <w:rsid w:val="69CB6987"/>
    <w:rsid w:val="69DF0D2D"/>
    <w:rsid w:val="69E13245"/>
    <w:rsid w:val="6A222833"/>
    <w:rsid w:val="6A4814A2"/>
    <w:rsid w:val="6A774BE7"/>
    <w:rsid w:val="6B10309C"/>
    <w:rsid w:val="6B4F6C03"/>
    <w:rsid w:val="6B62442B"/>
    <w:rsid w:val="6BA25424"/>
    <w:rsid w:val="6C526188"/>
    <w:rsid w:val="6CBF55EA"/>
    <w:rsid w:val="6D3F301A"/>
    <w:rsid w:val="6D632CA5"/>
    <w:rsid w:val="6DF84FBA"/>
    <w:rsid w:val="6E922865"/>
    <w:rsid w:val="6E9F1D30"/>
    <w:rsid w:val="6EC86F66"/>
    <w:rsid w:val="6ECC6BD6"/>
    <w:rsid w:val="6EE56462"/>
    <w:rsid w:val="6F3B70F7"/>
    <w:rsid w:val="6F774E41"/>
    <w:rsid w:val="6F7A2BB0"/>
    <w:rsid w:val="6FEC0A8D"/>
    <w:rsid w:val="70447421"/>
    <w:rsid w:val="70A5319C"/>
    <w:rsid w:val="70C4790F"/>
    <w:rsid w:val="70D66B72"/>
    <w:rsid w:val="70E556B5"/>
    <w:rsid w:val="711A0AD7"/>
    <w:rsid w:val="711D3C9D"/>
    <w:rsid w:val="713F12C4"/>
    <w:rsid w:val="719014D1"/>
    <w:rsid w:val="71EE091A"/>
    <w:rsid w:val="71FA774D"/>
    <w:rsid w:val="720A1A6F"/>
    <w:rsid w:val="72CC648F"/>
    <w:rsid w:val="733D60BC"/>
    <w:rsid w:val="736A0EEB"/>
    <w:rsid w:val="742B2349"/>
    <w:rsid w:val="74420497"/>
    <w:rsid w:val="744C50B3"/>
    <w:rsid w:val="74A470FC"/>
    <w:rsid w:val="74EE2346"/>
    <w:rsid w:val="75016BCD"/>
    <w:rsid w:val="75A737F9"/>
    <w:rsid w:val="75BF6F03"/>
    <w:rsid w:val="75FA6C99"/>
    <w:rsid w:val="764E34A4"/>
    <w:rsid w:val="767026A5"/>
    <w:rsid w:val="76866E81"/>
    <w:rsid w:val="769C23FB"/>
    <w:rsid w:val="76BD3BF5"/>
    <w:rsid w:val="76C66CE3"/>
    <w:rsid w:val="76C92779"/>
    <w:rsid w:val="76EC46EF"/>
    <w:rsid w:val="76F73CBD"/>
    <w:rsid w:val="773C20D7"/>
    <w:rsid w:val="77592978"/>
    <w:rsid w:val="77702401"/>
    <w:rsid w:val="77B4289E"/>
    <w:rsid w:val="77F332EC"/>
    <w:rsid w:val="781947C3"/>
    <w:rsid w:val="785D4813"/>
    <w:rsid w:val="786345CE"/>
    <w:rsid w:val="787C0CAA"/>
    <w:rsid w:val="78AC1E9D"/>
    <w:rsid w:val="78BE2756"/>
    <w:rsid w:val="78D31F49"/>
    <w:rsid w:val="7918030C"/>
    <w:rsid w:val="799F045E"/>
    <w:rsid w:val="79D77C39"/>
    <w:rsid w:val="7A477A5E"/>
    <w:rsid w:val="7A592FE0"/>
    <w:rsid w:val="7ADD534C"/>
    <w:rsid w:val="7AEA538A"/>
    <w:rsid w:val="7B3F45C1"/>
    <w:rsid w:val="7B677FB4"/>
    <w:rsid w:val="7BA81495"/>
    <w:rsid w:val="7BB5608B"/>
    <w:rsid w:val="7C09750D"/>
    <w:rsid w:val="7C21020C"/>
    <w:rsid w:val="7C953D09"/>
    <w:rsid w:val="7CD71163"/>
    <w:rsid w:val="7D04112C"/>
    <w:rsid w:val="7D0A0ED8"/>
    <w:rsid w:val="7D0C5044"/>
    <w:rsid w:val="7D2A6252"/>
    <w:rsid w:val="7D46539A"/>
    <w:rsid w:val="7D494DC8"/>
    <w:rsid w:val="7D4E6AE8"/>
    <w:rsid w:val="7D614DC1"/>
    <w:rsid w:val="7DED2807"/>
    <w:rsid w:val="7DFA3AD7"/>
    <w:rsid w:val="7DFF08C2"/>
    <w:rsid w:val="7E2A75D9"/>
    <w:rsid w:val="7E370E11"/>
    <w:rsid w:val="7E954A15"/>
    <w:rsid w:val="7EAB6C82"/>
    <w:rsid w:val="7ECF6091"/>
    <w:rsid w:val="7EDC3997"/>
    <w:rsid w:val="7F600889"/>
    <w:rsid w:val="7F7B6EB5"/>
    <w:rsid w:val="7FAD3458"/>
    <w:rsid w:val="7FDFA0A0"/>
    <w:rsid w:val="7FE52323"/>
    <w:rsid w:val="7FFB2B5F"/>
    <w:rsid w:val="B3FF89B0"/>
    <w:rsid w:val="D47F2C38"/>
    <w:rsid w:val="FF3928DD"/>
    <w:rsid w:val="FFFF8E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adjustRightInd w:val="0"/>
      <w:snapToGrid w:val="0"/>
      <w:spacing w:line="560" w:lineRule="exact"/>
      <w:jc w:val="center"/>
      <w:outlineLvl w:val="0"/>
    </w:pPr>
    <w:rPr>
      <w:rFonts w:hint="eastAsia" w:ascii="宋体" w:hAnsi="宋体" w:eastAsia="黑体"/>
      <w:bCs/>
      <w:kern w:val="44"/>
      <w:sz w:val="32"/>
      <w:szCs w:val="48"/>
    </w:rPr>
  </w:style>
  <w:style w:type="paragraph" w:styleId="5">
    <w:name w:val="heading 2"/>
    <w:basedOn w:val="1"/>
    <w:next w:val="1"/>
    <w:unhideWhenUsed/>
    <w:qFormat/>
    <w:uiPriority w:val="0"/>
    <w:pPr>
      <w:adjustRightInd w:val="0"/>
      <w:snapToGrid w:val="0"/>
      <w:spacing w:line="560" w:lineRule="exact"/>
      <w:jc w:val="center"/>
      <w:outlineLvl w:val="1"/>
    </w:pPr>
    <w:rPr>
      <w:rFonts w:hint="eastAsia" w:ascii="宋体" w:hAnsi="宋体" w:eastAsia="楷体"/>
      <w:bCs/>
      <w:kern w:val="0"/>
      <w:sz w:val="32"/>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0"/>
    <w:pPr>
      <w:ind w:firstLine="420"/>
    </w:pPr>
  </w:style>
  <w:style w:type="paragraph" w:styleId="3">
    <w:name w:val="Body Text Indent"/>
    <w:basedOn w:val="1"/>
    <w:qFormat/>
    <w:uiPriority w:val="0"/>
    <w:pPr>
      <w:spacing w:line="600" w:lineRule="exact"/>
      <w:ind w:firstLine="600" w:firstLineChars="200"/>
    </w:pPr>
    <w:rPr>
      <w:rFonts w:ascii="仿宋_GB2312" w:eastAsia="仿宋_GB2312"/>
      <w:sz w:val="30"/>
      <w:szCs w:val="24"/>
    </w:rPr>
  </w:style>
  <w:style w:type="paragraph" w:styleId="6">
    <w:name w:val="annotation text"/>
    <w:basedOn w:val="1"/>
    <w:link w:val="21"/>
    <w:qFormat/>
    <w:uiPriority w:val="0"/>
    <w:pPr>
      <w:jc w:val="left"/>
    </w:pPr>
  </w:style>
  <w:style w:type="paragraph" w:styleId="7">
    <w:name w:val="Balloon Text"/>
    <w:basedOn w:val="1"/>
    <w:link w:val="18"/>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2"/>
    <w:qFormat/>
    <w:uiPriority w:val="0"/>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styleId="16">
    <w:name w:val="annotation reference"/>
    <w:basedOn w:val="13"/>
    <w:qFormat/>
    <w:uiPriority w:val="0"/>
    <w:rPr>
      <w:sz w:val="21"/>
      <w:szCs w:val="21"/>
    </w:rPr>
  </w:style>
  <w:style w:type="paragraph" w:styleId="17">
    <w:name w:val="List Paragraph"/>
    <w:basedOn w:val="1"/>
    <w:qFormat/>
    <w:uiPriority w:val="34"/>
    <w:pPr>
      <w:ind w:firstLine="420" w:firstLineChars="200"/>
    </w:pPr>
    <w:rPr>
      <w:szCs w:val="24"/>
    </w:rPr>
  </w:style>
  <w:style w:type="character" w:customStyle="1" w:styleId="18">
    <w:name w:val="批注框文本 Char"/>
    <w:basedOn w:val="13"/>
    <w:link w:val="7"/>
    <w:qFormat/>
    <w:uiPriority w:val="0"/>
    <w:rPr>
      <w:kern w:val="2"/>
      <w:sz w:val="18"/>
      <w:szCs w:val="18"/>
    </w:rPr>
  </w:style>
  <w:style w:type="character" w:customStyle="1" w:styleId="19">
    <w:name w:val="页眉 Char"/>
    <w:basedOn w:val="13"/>
    <w:link w:val="9"/>
    <w:qFormat/>
    <w:uiPriority w:val="0"/>
    <w:rPr>
      <w:kern w:val="2"/>
      <w:sz w:val="18"/>
      <w:szCs w:val="18"/>
    </w:rPr>
  </w:style>
  <w:style w:type="paragraph" w:customStyle="1" w:styleId="20">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21">
    <w:name w:val="批注文字 Char"/>
    <w:basedOn w:val="13"/>
    <w:link w:val="6"/>
    <w:qFormat/>
    <w:uiPriority w:val="0"/>
    <w:rPr>
      <w:kern w:val="2"/>
      <w:sz w:val="21"/>
    </w:rPr>
  </w:style>
  <w:style w:type="character" w:customStyle="1" w:styleId="22">
    <w:name w:val="批注主题 Char"/>
    <w:basedOn w:val="21"/>
    <w:link w:val="10"/>
    <w:qFormat/>
    <w:uiPriority w:val="0"/>
    <w:rPr>
      <w:b/>
      <w:bCs/>
      <w:kern w:val="2"/>
      <w:sz w:val="21"/>
    </w:rPr>
  </w:style>
  <w:style w:type="paragraph" w:customStyle="1" w:styleId="23">
    <w:name w:val="修订2"/>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11593</Words>
  <Characters>11644</Characters>
  <Lines>88</Lines>
  <Paragraphs>24</Paragraphs>
  <TotalTime>0</TotalTime>
  <ScaleCrop>false</ScaleCrop>
  <LinksUpToDate>false</LinksUpToDate>
  <CharactersWithSpaces>11720</CharactersWithSpaces>
  <Application>WPS Office_12.8.0.16970_F1E327BC-269C-435d-A152-05C5408002CA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2024-11-28T15:32:00Z</cp:lastPrinted>
  <dcterms:created xsi:type="dcterms:W3CDTF">2023-06-15T15:36:00Z</dcterms:created>
  <dcterms:modified xsi:type="dcterms:W3CDTF">2024-11-29T16:47:50Z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2052-12.8.0.16970</vt:lpwstr>
  </property>
  <property fmtid="{D5CDD505-2E9C-101B-9397-08002B2CF9AE}" pid="3" name="ICV">
    <vt:lpwstr>0A5236AAEFB1C87993774967656180D0_43</vt:lpwstr>
  </property>
</Properties>
</file>