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E2F0D9" w:themeColor="accent6" w:themeTint="33"/>
  <w:body>
    <w:p w14:paraId="53B1FE8C">
      <w:pPr>
        <w:spacing w:line="500" w:lineRule="atLeast"/>
        <w:jc w:val="left"/>
        <w:rPr>
          <w:rFonts w:hint="eastAsia" w:ascii="仿宋_GB2312" w:hAnsi="仿宋_GB2312" w:eastAsia="仿宋_GB2312" w:cs="仿宋_GB2312"/>
          <w:sz w:val="36"/>
          <w:szCs w:val="36"/>
          <w:highlight w:val="none"/>
          <w:lang w:val="en" w:eastAsia="zh-CN"/>
        </w:rPr>
      </w:pPr>
    </w:p>
    <w:p w14:paraId="478EB635">
      <w:pPr>
        <w:spacing w:line="360" w:lineRule="auto"/>
        <w:jc w:val="center"/>
        <w:rPr>
          <w:rFonts w:hint="eastAsia" w:ascii="方正小标宋简体" w:hAnsi="方正小标宋简体" w:eastAsia="方正小标宋简体" w:cs="方正小标宋简体"/>
          <w:bCs/>
          <w:sz w:val="36"/>
          <w:szCs w:val="36"/>
          <w:highlight w:val="none"/>
        </w:rPr>
      </w:pPr>
      <w:r>
        <w:rPr>
          <w:rFonts w:hint="eastAsia" w:ascii="方正小标宋简体" w:hAnsi="方正小标宋简体" w:eastAsia="方正小标宋简体" w:cs="方正小标宋简体"/>
          <w:bCs/>
          <w:sz w:val="36"/>
          <w:szCs w:val="36"/>
          <w:highlight w:val="none"/>
        </w:rPr>
        <w:t>2024年度</w:t>
      </w:r>
      <w:bookmarkStart w:id="20" w:name="_GoBack"/>
      <w:bookmarkEnd w:id="20"/>
      <w:r>
        <w:rPr>
          <w:rFonts w:hint="eastAsia" w:ascii="方正小标宋简体" w:hAnsi="方正小标宋简体" w:eastAsia="方正小标宋简体" w:cs="方正小标宋简体"/>
          <w:bCs/>
          <w:sz w:val="36"/>
          <w:szCs w:val="36"/>
          <w:highlight w:val="none"/>
        </w:rPr>
        <w:t>行政事业性国有资产报告编制说明</w:t>
      </w:r>
    </w:p>
    <w:p w14:paraId="49BB1BD6">
      <w:pPr>
        <w:pStyle w:val="2"/>
        <w:rPr>
          <w:rFonts w:hint="eastAsia"/>
          <w:color w:val="auto"/>
          <w:highlight w:val="none"/>
        </w:rPr>
      </w:pPr>
      <w:r>
        <w:rPr>
          <w:rFonts w:hint="eastAsia"/>
          <w:color w:val="auto"/>
          <w:highlight w:val="none"/>
        </w:rPr>
        <w:t>第一部分：总体要求</w:t>
      </w:r>
    </w:p>
    <w:p w14:paraId="60131189">
      <w:pPr>
        <w:pStyle w:val="2"/>
        <w:tabs>
          <w:tab w:val="right" w:pos="8171"/>
        </w:tabs>
        <w:rPr>
          <w:rFonts w:hint="eastAsia"/>
          <w:b/>
          <w:color w:val="auto"/>
          <w:highlight w:val="none"/>
        </w:rPr>
      </w:pPr>
      <w:r>
        <w:rPr>
          <w:rFonts w:hint="eastAsia"/>
          <w:color w:val="auto"/>
          <w:highlight w:val="none"/>
        </w:rPr>
        <w:t>一、编报范围</w:t>
      </w:r>
      <w:r>
        <w:rPr>
          <w:rFonts w:hint="eastAsia"/>
          <w:color w:val="auto"/>
          <w:highlight w:val="none"/>
        </w:rPr>
        <w:tab/>
      </w:r>
      <w:r>
        <w:rPr>
          <w:rFonts w:hint="eastAsia"/>
          <w:color w:val="auto"/>
          <w:highlight w:val="none"/>
        </w:rPr>
        <w:t xml:space="preserve"> </w:t>
      </w:r>
    </w:p>
    <w:p w14:paraId="59E6E325">
      <w:pPr>
        <w:spacing w:line="360" w:lineRule="auto"/>
        <w:ind w:firstLine="540"/>
        <w:rPr>
          <w:rFonts w:hint="eastAsia" w:ascii="仿宋_GB2312" w:hAnsi="仿宋" w:eastAsia="仿宋_GB2312"/>
          <w:sz w:val="30"/>
          <w:szCs w:val="30"/>
          <w:highlight w:val="none"/>
        </w:rPr>
      </w:pPr>
      <w:r>
        <w:rPr>
          <w:rFonts w:hint="eastAsia" w:ascii="仿宋_GB2312" w:hAnsi="仿宋" w:eastAsia="仿宋_GB2312"/>
          <w:sz w:val="30"/>
          <w:szCs w:val="30"/>
          <w:highlight w:val="none"/>
        </w:rPr>
        <w:t>本套报表编报范围包括：</w:t>
      </w:r>
      <w:r>
        <w:rPr>
          <w:rFonts w:ascii="仿宋_GB2312" w:hAnsi="仿宋" w:eastAsia="仿宋_GB2312"/>
          <w:sz w:val="30"/>
          <w:szCs w:val="30"/>
          <w:highlight w:val="none"/>
        </w:rPr>
        <w:t>202</w:t>
      </w:r>
      <w:r>
        <w:rPr>
          <w:rFonts w:hint="eastAsia" w:ascii="仿宋_GB2312" w:hAnsi="仿宋" w:eastAsia="仿宋_GB2312"/>
          <w:sz w:val="30"/>
          <w:szCs w:val="30"/>
          <w:highlight w:val="none"/>
        </w:rPr>
        <w:t>4年12月31日以前经机构编制管理部门批准成立的，执行政府会计准则制度、军工科研事业单位会计制度的各级各类行政事业单位、社会团体；依法直接支配国有资产的，执行民间非营利组织会计制度的社会团体等单位（以下简称行政事业单位）。</w:t>
      </w:r>
    </w:p>
    <w:p w14:paraId="5E93158E">
      <w:pPr>
        <w:spacing w:line="360" w:lineRule="auto"/>
        <w:ind w:firstLine="540"/>
        <w:rPr>
          <w:rFonts w:hint="eastAsia" w:ascii="仿宋_GB2312" w:hAnsi="仿宋" w:eastAsia="仿宋_GB2312"/>
          <w:sz w:val="30"/>
          <w:szCs w:val="30"/>
          <w:highlight w:val="none"/>
        </w:rPr>
      </w:pPr>
      <w:r>
        <w:rPr>
          <w:rFonts w:hint="eastAsia" w:ascii="仿宋_GB2312" w:hAnsi="仿宋" w:eastAsia="仿宋_GB2312"/>
          <w:sz w:val="30"/>
          <w:szCs w:val="30"/>
          <w:highlight w:val="none"/>
        </w:rPr>
        <w:t>执行企业类会计准则制度的事业单位</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行政单位附属的执行企业类会计准则制度的未脱钩经济实体，事业单位兴办、具有法人资格的企业，</w:t>
      </w:r>
      <w:r>
        <w:rPr>
          <w:rFonts w:ascii="仿宋_GB2312" w:hAnsi="仿宋" w:eastAsia="仿宋_GB2312"/>
          <w:sz w:val="30"/>
          <w:szCs w:val="30"/>
          <w:highlight w:val="none"/>
        </w:rPr>
        <w:t>202</w:t>
      </w:r>
      <w:r>
        <w:rPr>
          <w:rFonts w:hint="eastAsia" w:ascii="仿宋_GB2312" w:hAnsi="仿宋" w:eastAsia="仿宋_GB2312"/>
          <w:sz w:val="30"/>
          <w:szCs w:val="30"/>
          <w:highlight w:val="none"/>
        </w:rPr>
        <w:t>4年已完成脱钩的培训疗养机构、行业商会协会</w:t>
      </w:r>
      <w:r>
        <w:rPr>
          <w:rFonts w:ascii="仿宋_GB2312" w:hAnsi="仿宋" w:eastAsia="仿宋_GB2312"/>
          <w:sz w:val="30"/>
          <w:szCs w:val="30"/>
          <w:highlight w:val="none"/>
        </w:rPr>
        <w:t>，</w:t>
      </w:r>
      <w:r>
        <w:rPr>
          <w:rFonts w:hint="eastAsia" w:ascii="仿宋_GB2312" w:hAnsi="仿宋" w:eastAsia="仿宋_GB2312"/>
          <w:sz w:val="30"/>
          <w:szCs w:val="30"/>
          <w:highlight w:val="none"/>
        </w:rPr>
        <w:t>不列入此次填报范围。</w:t>
      </w:r>
    </w:p>
    <w:p w14:paraId="4E85DA47">
      <w:pPr>
        <w:spacing w:line="360" w:lineRule="auto"/>
        <w:ind w:firstLine="540"/>
        <w:rPr>
          <w:rFonts w:hint="eastAsia" w:ascii="仿宋_GB2312" w:hAnsi="仿宋" w:eastAsia="仿宋_GB2312"/>
          <w:sz w:val="30"/>
          <w:szCs w:val="30"/>
          <w:highlight w:val="none"/>
        </w:rPr>
      </w:pPr>
      <w:r>
        <w:rPr>
          <w:rFonts w:hint="eastAsia" w:ascii="仿宋_GB2312" w:hAnsi="仿宋" w:eastAsia="仿宋_GB2312"/>
          <w:sz w:val="30"/>
          <w:szCs w:val="30"/>
          <w:highlight w:val="none"/>
        </w:rPr>
        <w:t>解放军、武警部队不纳入本套报表填报范围。</w:t>
      </w:r>
    </w:p>
    <w:p w14:paraId="2E81F447">
      <w:pPr>
        <w:spacing w:line="360" w:lineRule="auto"/>
        <w:ind w:firstLine="540"/>
        <w:rPr>
          <w:rFonts w:hint="eastAsia" w:ascii="仿宋_GB2312" w:hAnsi="仿宋" w:eastAsia="仿宋_GB2312"/>
          <w:sz w:val="30"/>
          <w:szCs w:val="30"/>
          <w:highlight w:val="none"/>
        </w:rPr>
      </w:pPr>
      <w:r>
        <w:rPr>
          <w:rFonts w:hint="eastAsia" w:ascii="仿宋_GB2312" w:hAnsi="仿宋" w:eastAsia="仿宋_GB2312"/>
          <w:sz w:val="30"/>
          <w:szCs w:val="30"/>
          <w:highlight w:val="none"/>
        </w:rPr>
        <w:t>涉密单位按照有关保密规定，报送汇总表有关数据。</w:t>
      </w:r>
    </w:p>
    <w:p w14:paraId="349837C3">
      <w:pPr>
        <w:spacing w:line="360" w:lineRule="auto"/>
        <w:ind w:firstLine="540"/>
        <w:rPr>
          <w:rFonts w:hint="eastAsia" w:ascii="仿宋_GB2312" w:hAnsi="仿宋" w:eastAsia="仿宋_GB2312"/>
          <w:sz w:val="30"/>
          <w:szCs w:val="30"/>
          <w:highlight w:val="none"/>
        </w:rPr>
      </w:pPr>
      <w:r>
        <w:rPr>
          <w:rFonts w:hint="eastAsia" w:ascii="仿宋_GB2312" w:hAnsi="仿宋" w:eastAsia="仿宋_GB2312"/>
          <w:sz w:val="30"/>
          <w:szCs w:val="30"/>
          <w:highlight w:val="none"/>
        </w:rPr>
        <w:t>各驻外机构占有使用的国有资产，各级总工会凡由国家拨付或国家拨付资金形成的资产，应纳入本表填报范围；各级人防部门管理的人防工程、指挥、通信、警报设备设施等国有资产已划转地方管理，应纳入地方报表填报范围。</w:t>
      </w:r>
    </w:p>
    <w:p w14:paraId="7EA92AC7">
      <w:pPr>
        <w:spacing w:line="360" w:lineRule="auto"/>
        <w:ind w:firstLine="540"/>
        <w:rPr>
          <w:rFonts w:hint="eastAsia" w:ascii="仿宋_GB2312" w:hAnsi="仿宋" w:eastAsia="仿宋_GB2312"/>
          <w:sz w:val="30"/>
          <w:szCs w:val="30"/>
          <w:highlight w:val="none"/>
        </w:rPr>
      </w:pPr>
      <w:r>
        <w:rPr>
          <w:rFonts w:hint="eastAsia" w:ascii="仿宋_GB2312" w:hAnsi="仿宋" w:eastAsia="仿宋_GB2312"/>
          <w:sz w:val="30"/>
          <w:szCs w:val="30"/>
          <w:highlight w:val="none"/>
        </w:rPr>
        <w:t>执行事业单位财务规则的参照公务员法管理事业单位、执行民间非营利组织会计制度的社会团体等单位汇总表汇总至事业单位项下反映。</w:t>
      </w:r>
    </w:p>
    <w:p w14:paraId="132CF779">
      <w:pPr>
        <w:pStyle w:val="2"/>
        <w:rPr>
          <w:rFonts w:hint="eastAsia"/>
          <w:b/>
          <w:color w:val="auto"/>
          <w:highlight w:val="none"/>
        </w:rPr>
      </w:pPr>
      <w:r>
        <w:rPr>
          <w:rFonts w:hint="eastAsia"/>
          <w:color w:val="auto"/>
          <w:highlight w:val="none"/>
        </w:rPr>
        <w:t>二、报表构成</w:t>
      </w:r>
    </w:p>
    <w:p w14:paraId="74823712">
      <w:pPr>
        <w:spacing w:line="360" w:lineRule="auto"/>
        <w:ind w:firstLine="612"/>
        <w:rPr>
          <w:rFonts w:hint="eastAsia" w:ascii="仿宋_GB2312" w:hAnsi="仿宋" w:eastAsia="仿宋_GB2312"/>
          <w:bCs/>
          <w:sz w:val="30"/>
          <w:szCs w:val="30"/>
          <w:highlight w:val="none"/>
        </w:rPr>
      </w:pPr>
      <w:r>
        <w:rPr>
          <w:rFonts w:hint="eastAsia" w:ascii="仿宋_GB2312" w:hAnsi="仿宋" w:eastAsia="仿宋_GB2312"/>
          <w:bCs/>
          <w:sz w:val="30"/>
          <w:szCs w:val="30"/>
          <w:highlight w:val="none"/>
        </w:rPr>
        <w:t>本套《2024年度行政事业性国有资产报表》包括单户表、汇总表两部分，其中：</w:t>
      </w:r>
    </w:p>
    <w:p w14:paraId="56924D45">
      <w:pPr>
        <w:spacing w:line="360" w:lineRule="auto"/>
        <w:ind w:firstLine="612"/>
        <w:rPr>
          <w:rFonts w:hint="eastAsia" w:ascii="仿宋_GB2312" w:hAnsi="仿宋" w:eastAsia="仿宋_GB2312"/>
          <w:bCs/>
          <w:sz w:val="30"/>
          <w:szCs w:val="30"/>
          <w:highlight w:val="none"/>
        </w:rPr>
      </w:pPr>
      <w:r>
        <w:rPr>
          <w:rFonts w:hint="eastAsia" w:ascii="仿宋_GB2312" w:hAnsi="仿宋" w:eastAsia="仿宋_GB2312"/>
          <w:bCs/>
          <w:sz w:val="30"/>
          <w:szCs w:val="30"/>
          <w:highlight w:val="none"/>
        </w:rPr>
        <w:t>（一）单户表由各行政事业单位编报，包括封面、18张主表</w:t>
      </w:r>
      <w:r>
        <w:rPr>
          <w:rFonts w:hint="eastAsia" w:ascii="仿宋_GB2312" w:hAnsi="仿宋" w:eastAsia="仿宋_GB2312"/>
          <w:bCs/>
          <w:sz w:val="30"/>
          <w:szCs w:val="30"/>
          <w:highlight w:val="none"/>
          <w:lang w:eastAsia="zh-CN"/>
        </w:rPr>
        <w:t>、</w:t>
      </w:r>
      <w:r>
        <w:rPr>
          <w:rFonts w:hint="eastAsia" w:ascii="仿宋_GB2312" w:hAnsi="仿宋" w:eastAsia="仿宋_GB2312"/>
          <w:bCs/>
          <w:sz w:val="30"/>
          <w:szCs w:val="30"/>
          <w:highlight w:val="none"/>
          <w:lang w:val="en-US" w:eastAsia="zh-CN"/>
        </w:rPr>
        <w:t>3张附表</w:t>
      </w:r>
      <w:r>
        <w:rPr>
          <w:rFonts w:hint="eastAsia" w:ascii="仿宋_GB2312" w:hAnsi="仿宋" w:eastAsia="仿宋_GB2312"/>
          <w:bCs/>
          <w:sz w:val="30"/>
          <w:szCs w:val="30"/>
          <w:highlight w:val="none"/>
        </w:rPr>
        <w:t>，分别为：财资01资产负债表、财资02机构人员情况表、财资03固定和无形资产存量情况表、财资04土地情况表、财资05房屋情况表、财资06车辆情况表、财资07在建工程情况表、财资08固定和无形资产配置情况表、财资09资产出租出借情况表、财资10资产处置情况表、财资11对外投资情况表、</w:t>
      </w:r>
      <w:r>
        <w:rPr>
          <w:rFonts w:ascii="仿宋_GB2312" w:hAnsi="仿宋" w:eastAsia="仿宋_GB2312"/>
          <w:bCs/>
          <w:sz w:val="30"/>
          <w:szCs w:val="30"/>
          <w:highlight w:val="none"/>
        </w:rPr>
        <w:t>财资</w:t>
      </w:r>
      <w:r>
        <w:rPr>
          <w:rFonts w:hint="eastAsia" w:ascii="仿宋_GB2312" w:hAnsi="仿宋" w:eastAsia="仿宋_GB2312"/>
          <w:bCs/>
          <w:sz w:val="30"/>
          <w:szCs w:val="30"/>
          <w:highlight w:val="none"/>
        </w:rPr>
        <w:t>1</w:t>
      </w:r>
      <w:r>
        <w:rPr>
          <w:rFonts w:ascii="仿宋_GB2312" w:hAnsi="仿宋" w:eastAsia="仿宋_GB2312"/>
          <w:bCs/>
          <w:sz w:val="30"/>
          <w:szCs w:val="30"/>
          <w:highlight w:val="none"/>
        </w:rPr>
        <w:t>2</w:t>
      </w:r>
      <w:r>
        <w:rPr>
          <w:rFonts w:hint="eastAsia" w:ascii="仿宋_GB2312" w:hAnsi="仿宋" w:eastAsia="仿宋_GB2312"/>
          <w:bCs/>
          <w:sz w:val="30"/>
          <w:szCs w:val="30"/>
          <w:highlight w:val="none"/>
        </w:rPr>
        <w:t>-1公共基础设施</w:t>
      </w:r>
      <w:r>
        <w:rPr>
          <w:rFonts w:hint="eastAsia" w:ascii="仿宋_GB2312" w:hAnsi="仿宋" w:eastAsia="仿宋_GB2312"/>
          <w:bCs/>
          <w:sz w:val="30"/>
          <w:szCs w:val="30"/>
          <w:highlight w:val="none"/>
          <w:lang w:eastAsia="zh-CN"/>
        </w:rPr>
        <w:t>－</w:t>
      </w:r>
      <w:r>
        <w:rPr>
          <w:rFonts w:hint="eastAsia" w:ascii="仿宋_GB2312" w:hAnsi="仿宋" w:eastAsia="仿宋_GB2312"/>
          <w:bCs/>
          <w:sz w:val="30"/>
          <w:szCs w:val="30"/>
          <w:highlight w:val="none"/>
        </w:rPr>
        <w:t>交通基础设施情况表、</w:t>
      </w:r>
      <w:r>
        <w:rPr>
          <w:rFonts w:ascii="仿宋_GB2312" w:hAnsi="仿宋" w:eastAsia="仿宋_GB2312"/>
          <w:bCs/>
          <w:sz w:val="30"/>
          <w:szCs w:val="30"/>
          <w:highlight w:val="none"/>
        </w:rPr>
        <w:t>财资</w:t>
      </w:r>
      <w:r>
        <w:rPr>
          <w:rFonts w:hint="eastAsia" w:ascii="仿宋_GB2312" w:hAnsi="仿宋" w:eastAsia="仿宋_GB2312"/>
          <w:bCs/>
          <w:sz w:val="30"/>
          <w:szCs w:val="30"/>
          <w:highlight w:val="none"/>
        </w:rPr>
        <w:t>1</w:t>
      </w:r>
      <w:r>
        <w:rPr>
          <w:rFonts w:ascii="仿宋_GB2312" w:hAnsi="仿宋" w:eastAsia="仿宋_GB2312"/>
          <w:bCs/>
          <w:sz w:val="30"/>
          <w:szCs w:val="30"/>
          <w:highlight w:val="none"/>
        </w:rPr>
        <w:t>2</w:t>
      </w:r>
      <w:r>
        <w:rPr>
          <w:rFonts w:hint="eastAsia" w:ascii="仿宋_GB2312" w:hAnsi="仿宋" w:eastAsia="仿宋_GB2312"/>
          <w:bCs/>
          <w:sz w:val="30"/>
          <w:szCs w:val="30"/>
          <w:highlight w:val="none"/>
        </w:rPr>
        <w:t>-2公共基础设施</w:t>
      </w:r>
      <w:r>
        <w:rPr>
          <w:rFonts w:hint="eastAsia" w:ascii="仿宋_GB2312" w:hAnsi="仿宋" w:eastAsia="仿宋_GB2312"/>
          <w:bCs/>
          <w:sz w:val="30"/>
          <w:szCs w:val="30"/>
          <w:highlight w:val="none"/>
          <w:lang w:eastAsia="zh-CN"/>
        </w:rPr>
        <w:t>－</w:t>
      </w:r>
      <w:r>
        <w:rPr>
          <w:rFonts w:hint="eastAsia" w:ascii="仿宋_GB2312" w:hAnsi="仿宋" w:eastAsia="仿宋_GB2312"/>
          <w:bCs/>
          <w:sz w:val="30"/>
          <w:szCs w:val="30"/>
          <w:highlight w:val="none"/>
        </w:rPr>
        <w:t>水利基础设施情况表、</w:t>
      </w:r>
      <w:r>
        <w:rPr>
          <w:rFonts w:ascii="仿宋_GB2312" w:hAnsi="仿宋" w:eastAsia="仿宋_GB2312"/>
          <w:bCs/>
          <w:sz w:val="30"/>
          <w:szCs w:val="30"/>
          <w:highlight w:val="none"/>
        </w:rPr>
        <w:t>财资</w:t>
      </w:r>
      <w:r>
        <w:rPr>
          <w:rFonts w:hint="eastAsia" w:ascii="仿宋_GB2312" w:hAnsi="仿宋" w:eastAsia="仿宋_GB2312"/>
          <w:bCs/>
          <w:sz w:val="30"/>
          <w:szCs w:val="30"/>
          <w:highlight w:val="none"/>
        </w:rPr>
        <w:t>1</w:t>
      </w:r>
      <w:r>
        <w:rPr>
          <w:rFonts w:ascii="仿宋_GB2312" w:hAnsi="仿宋" w:eastAsia="仿宋_GB2312"/>
          <w:bCs/>
          <w:sz w:val="30"/>
          <w:szCs w:val="30"/>
          <w:highlight w:val="none"/>
        </w:rPr>
        <w:t>2</w:t>
      </w:r>
      <w:r>
        <w:rPr>
          <w:rFonts w:hint="eastAsia" w:ascii="仿宋_GB2312" w:hAnsi="仿宋" w:eastAsia="仿宋_GB2312"/>
          <w:bCs/>
          <w:sz w:val="30"/>
          <w:szCs w:val="30"/>
          <w:highlight w:val="none"/>
        </w:rPr>
        <w:t>-3公共基础设施</w:t>
      </w:r>
      <w:r>
        <w:rPr>
          <w:rFonts w:hint="eastAsia" w:ascii="仿宋_GB2312" w:hAnsi="仿宋" w:eastAsia="仿宋_GB2312"/>
          <w:bCs/>
          <w:sz w:val="30"/>
          <w:szCs w:val="30"/>
          <w:highlight w:val="none"/>
          <w:lang w:eastAsia="zh-CN"/>
        </w:rPr>
        <w:t>－</w:t>
      </w:r>
      <w:r>
        <w:rPr>
          <w:rFonts w:hint="eastAsia" w:ascii="仿宋_GB2312" w:hAnsi="仿宋" w:eastAsia="仿宋_GB2312"/>
          <w:bCs/>
          <w:sz w:val="30"/>
          <w:szCs w:val="30"/>
          <w:highlight w:val="none"/>
        </w:rPr>
        <w:t>市政基础设施情况表、</w:t>
      </w:r>
      <w:r>
        <w:rPr>
          <w:rFonts w:ascii="仿宋_GB2312" w:hAnsi="仿宋" w:eastAsia="仿宋_GB2312"/>
          <w:bCs/>
          <w:sz w:val="30"/>
          <w:szCs w:val="30"/>
          <w:highlight w:val="none"/>
        </w:rPr>
        <w:t>财资</w:t>
      </w:r>
      <w:r>
        <w:rPr>
          <w:rFonts w:hint="eastAsia" w:ascii="仿宋_GB2312" w:hAnsi="仿宋" w:eastAsia="仿宋_GB2312"/>
          <w:bCs/>
          <w:sz w:val="30"/>
          <w:szCs w:val="30"/>
          <w:highlight w:val="none"/>
        </w:rPr>
        <w:t>1</w:t>
      </w:r>
      <w:r>
        <w:rPr>
          <w:rFonts w:ascii="仿宋_GB2312" w:hAnsi="仿宋" w:eastAsia="仿宋_GB2312"/>
          <w:bCs/>
          <w:sz w:val="30"/>
          <w:szCs w:val="30"/>
          <w:highlight w:val="none"/>
        </w:rPr>
        <w:t>2</w:t>
      </w:r>
      <w:r>
        <w:rPr>
          <w:rFonts w:hint="eastAsia" w:ascii="仿宋_GB2312" w:hAnsi="仿宋" w:eastAsia="仿宋_GB2312"/>
          <w:bCs/>
          <w:sz w:val="30"/>
          <w:szCs w:val="30"/>
          <w:highlight w:val="none"/>
        </w:rPr>
        <w:t>-4公共基础设施</w:t>
      </w:r>
      <w:r>
        <w:rPr>
          <w:rFonts w:hint="eastAsia" w:ascii="仿宋_GB2312" w:hAnsi="仿宋" w:eastAsia="仿宋_GB2312"/>
          <w:bCs/>
          <w:sz w:val="30"/>
          <w:szCs w:val="30"/>
          <w:highlight w:val="none"/>
          <w:lang w:eastAsia="zh-CN"/>
        </w:rPr>
        <w:t>－</w:t>
      </w:r>
      <w:r>
        <w:rPr>
          <w:rFonts w:hint="eastAsia" w:ascii="仿宋_GB2312" w:hAnsi="仿宋" w:eastAsia="仿宋_GB2312"/>
          <w:bCs/>
          <w:sz w:val="30"/>
          <w:szCs w:val="30"/>
          <w:highlight w:val="none"/>
        </w:rPr>
        <w:t>其他基础设施情况表、</w:t>
      </w:r>
      <w:r>
        <w:rPr>
          <w:rFonts w:ascii="仿宋_GB2312" w:hAnsi="仿宋" w:eastAsia="仿宋_GB2312"/>
          <w:bCs/>
          <w:sz w:val="30"/>
          <w:szCs w:val="30"/>
          <w:highlight w:val="none"/>
        </w:rPr>
        <w:t>财资</w:t>
      </w:r>
      <w:r>
        <w:rPr>
          <w:rFonts w:hint="eastAsia" w:ascii="仿宋_GB2312" w:hAnsi="仿宋" w:eastAsia="仿宋_GB2312"/>
          <w:bCs/>
          <w:sz w:val="30"/>
          <w:szCs w:val="30"/>
          <w:highlight w:val="none"/>
        </w:rPr>
        <w:t>1</w:t>
      </w:r>
      <w:r>
        <w:rPr>
          <w:rFonts w:ascii="仿宋_GB2312" w:hAnsi="仿宋" w:eastAsia="仿宋_GB2312"/>
          <w:bCs/>
          <w:sz w:val="30"/>
          <w:szCs w:val="30"/>
          <w:highlight w:val="none"/>
        </w:rPr>
        <w:t>3</w:t>
      </w:r>
      <w:r>
        <w:rPr>
          <w:rFonts w:hint="eastAsia" w:ascii="仿宋_GB2312" w:hAnsi="仿宋" w:eastAsia="仿宋_GB2312"/>
          <w:bCs/>
          <w:sz w:val="30"/>
          <w:szCs w:val="30"/>
          <w:highlight w:val="none"/>
        </w:rPr>
        <w:t>政府储备物资情况表、</w:t>
      </w:r>
      <w:r>
        <w:rPr>
          <w:rFonts w:ascii="仿宋_GB2312" w:hAnsi="仿宋" w:eastAsia="仿宋_GB2312"/>
          <w:bCs/>
          <w:sz w:val="30"/>
          <w:szCs w:val="30"/>
          <w:highlight w:val="none"/>
        </w:rPr>
        <w:t>财资</w:t>
      </w:r>
      <w:r>
        <w:rPr>
          <w:rFonts w:hint="eastAsia" w:ascii="仿宋_GB2312" w:hAnsi="仿宋" w:eastAsia="仿宋_GB2312"/>
          <w:bCs/>
          <w:sz w:val="30"/>
          <w:szCs w:val="30"/>
          <w:highlight w:val="none"/>
        </w:rPr>
        <w:t>14文物文化资产情况表、</w:t>
      </w:r>
      <w:r>
        <w:rPr>
          <w:rFonts w:ascii="仿宋_GB2312" w:hAnsi="仿宋" w:eastAsia="仿宋_GB2312"/>
          <w:bCs/>
          <w:sz w:val="30"/>
          <w:szCs w:val="30"/>
          <w:highlight w:val="none"/>
        </w:rPr>
        <w:t>财资</w:t>
      </w:r>
      <w:r>
        <w:rPr>
          <w:rFonts w:hint="eastAsia" w:ascii="仿宋_GB2312" w:hAnsi="仿宋" w:eastAsia="仿宋_GB2312"/>
          <w:bCs/>
          <w:sz w:val="30"/>
          <w:szCs w:val="30"/>
          <w:highlight w:val="none"/>
        </w:rPr>
        <w:t>15保障性住房情况表</w:t>
      </w:r>
      <w:r>
        <w:rPr>
          <w:rFonts w:hint="eastAsia" w:ascii="仿宋_GB2312" w:hAnsi="仿宋" w:eastAsia="仿宋_GB2312"/>
          <w:bCs/>
          <w:sz w:val="30"/>
          <w:szCs w:val="30"/>
          <w:highlight w:val="none"/>
          <w:lang w:eastAsia="zh-CN"/>
        </w:rPr>
        <w:t>、</w:t>
      </w:r>
      <w:r>
        <w:rPr>
          <w:rFonts w:hint="eastAsia" w:ascii="仿宋_GB2312" w:hAnsi="仿宋" w:eastAsia="仿宋_GB2312"/>
          <w:bCs/>
          <w:sz w:val="30"/>
          <w:szCs w:val="30"/>
          <w:highlight w:val="none"/>
          <w:lang w:val="en-US" w:eastAsia="zh-CN"/>
        </w:rPr>
        <w:t>财资附01资产盘活情况表、财资附02执法执勤用车情况备案表（中央部门）、财资附03执法执勤用车情况备案表（地方财政部门）</w:t>
      </w:r>
      <w:r>
        <w:rPr>
          <w:rFonts w:hint="eastAsia" w:ascii="仿宋_GB2312" w:hAnsi="仿宋" w:eastAsia="仿宋_GB2312"/>
          <w:bCs/>
          <w:sz w:val="30"/>
          <w:szCs w:val="30"/>
          <w:highlight w:val="none"/>
        </w:rPr>
        <w:t>。</w:t>
      </w:r>
    </w:p>
    <w:p w14:paraId="4F4C6CAA">
      <w:pPr>
        <w:spacing w:line="360" w:lineRule="auto"/>
        <w:ind w:firstLine="612"/>
        <w:rPr>
          <w:rFonts w:hint="eastAsia" w:ascii="仿宋_GB2312" w:hAnsi="仿宋" w:eastAsia="仿宋_GB2312"/>
          <w:bCs/>
          <w:sz w:val="30"/>
          <w:szCs w:val="30"/>
          <w:highlight w:val="none"/>
        </w:rPr>
      </w:pPr>
      <w:r>
        <w:rPr>
          <w:rFonts w:hint="eastAsia" w:ascii="仿宋_GB2312" w:hAnsi="仿宋" w:eastAsia="仿宋_GB2312"/>
          <w:bCs/>
          <w:sz w:val="30"/>
          <w:szCs w:val="30"/>
          <w:highlight w:val="none"/>
        </w:rPr>
        <w:t>（二）汇总表由单户表汇总</w:t>
      </w:r>
      <w:r>
        <w:rPr>
          <w:rFonts w:ascii="仿宋_GB2312" w:hAnsi="仿宋" w:eastAsia="仿宋_GB2312"/>
          <w:bCs/>
          <w:sz w:val="30"/>
          <w:szCs w:val="30"/>
          <w:highlight w:val="none"/>
        </w:rPr>
        <w:t>生成</w:t>
      </w:r>
      <w:r>
        <w:rPr>
          <w:rFonts w:hint="eastAsia" w:ascii="仿宋_GB2312" w:hAnsi="仿宋" w:eastAsia="仿宋_GB2312"/>
          <w:bCs/>
          <w:sz w:val="30"/>
          <w:szCs w:val="30"/>
          <w:highlight w:val="none"/>
        </w:rPr>
        <w:t>，由</w:t>
      </w:r>
      <w:r>
        <w:rPr>
          <w:rFonts w:ascii="仿宋_GB2312" w:hAnsi="仿宋" w:eastAsia="仿宋_GB2312"/>
          <w:bCs/>
          <w:sz w:val="30"/>
          <w:szCs w:val="30"/>
          <w:highlight w:val="none"/>
        </w:rPr>
        <w:t>各行政事业单位</w:t>
      </w:r>
      <w:r>
        <w:rPr>
          <w:rFonts w:hint="eastAsia" w:ascii="仿宋_GB2312" w:hAnsi="仿宋" w:eastAsia="仿宋_GB2312"/>
          <w:bCs/>
          <w:sz w:val="30"/>
          <w:szCs w:val="30"/>
          <w:highlight w:val="none"/>
        </w:rPr>
        <w:t>、各级主管部门、财政部门按照</w:t>
      </w:r>
      <w:r>
        <w:rPr>
          <w:rFonts w:ascii="仿宋_GB2312" w:hAnsi="仿宋" w:eastAsia="仿宋_GB2312"/>
          <w:bCs/>
          <w:sz w:val="30"/>
          <w:szCs w:val="30"/>
          <w:highlight w:val="none"/>
        </w:rPr>
        <w:t>财务隶属关系逐级</w:t>
      </w:r>
      <w:r>
        <w:rPr>
          <w:rFonts w:hint="eastAsia" w:ascii="仿宋_GB2312" w:hAnsi="仿宋" w:eastAsia="仿宋_GB2312"/>
          <w:bCs/>
          <w:sz w:val="30"/>
          <w:szCs w:val="30"/>
          <w:highlight w:val="none"/>
        </w:rPr>
        <w:t>汇总编报，包括封面</w:t>
      </w:r>
      <w:r>
        <w:rPr>
          <w:rFonts w:hint="eastAsia" w:ascii="仿宋_GB2312" w:hAnsi="仿宋" w:eastAsia="仿宋_GB2312"/>
          <w:bCs/>
          <w:sz w:val="30"/>
          <w:szCs w:val="30"/>
          <w:highlight w:val="none"/>
          <w:lang w:eastAsia="zh-CN"/>
        </w:rPr>
        <w:t>、</w:t>
      </w:r>
      <w:r>
        <w:rPr>
          <w:rFonts w:hint="eastAsia" w:ascii="仿宋_GB2312" w:hAnsi="仿宋" w:eastAsia="仿宋_GB2312"/>
          <w:bCs/>
          <w:sz w:val="30"/>
          <w:szCs w:val="30"/>
          <w:highlight w:val="none"/>
        </w:rPr>
        <w:t>11张主表</w:t>
      </w:r>
      <w:r>
        <w:rPr>
          <w:rFonts w:hint="eastAsia" w:ascii="仿宋_GB2312" w:hAnsi="仿宋" w:eastAsia="仿宋_GB2312"/>
          <w:bCs/>
          <w:sz w:val="30"/>
          <w:szCs w:val="30"/>
          <w:highlight w:val="none"/>
          <w:lang w:eastAsia="zh-CN"/>
        </w:rPr>
        <w:t>、</w:t>
      </w:r>
      <w:r>
        <w:rPr>
          <w:rFonts w:hint="eastAsia" w:ascii="仿宋_GB2312" w:hAnsi="仿宋" w:eastAsia="仿宋_GB2312"/>
          <w:bCs/>
          <w:sz w:val="30"/>
          <w:szCs w:val="30"/>
          <w:highlight w:val="none"/>
          <w:lang w:val="en-US" w:eastAsia="zh-CN"/>
        </w:rPr>
        <w:t>3张附表</w:t>
      </w:r>
      <w:r>
        <w:rPr>
          <w:rFonts w:hint="eastAsia" w:ascii="仿宋_GB2312" w:hAnsi="仿宋" w:eastAsia="仿宋_GB2312"/>
          <w:bCs/>
          <w:sz w:val="30"/>
          <w:szCs w:val="30"/>
          <w:highlight w:val="none"/>
        </w:rPr>
        <w:t>，分别为：财资综01资产负债汇总表、财资综02机构人员情况汇总表、财资综03-1资产情况汇总表（一）、财资综03-2资产情况汇总表（二）、财资综03-3资产情况汇总表（三）、财资综03-4资产情况汇总表（四）、财资综03-5资产情况汇总表（五）、财资综04资产配置情况汇总表、财资综05资产使用情况汇总表、财资综06资产处置情况汇总表</w:t>
      </w:r>
      <w:r>
        <w:rPr>
          <w:rFonts w:hint="eastAsia" w:ascii="仿宋_GB2312" w:hAnsi="仿宋" w:eastAsia="仿宋_GB2312"/>
          <w:bCs/>
          <w:sz w:val="30"/>
          <w:szCs w:val="30"/>
          <w:highlight w:val="none"/>
          <w:lang w:eastAsia="zh-CN"/>
        </w:rPr>
        <w:t>、</w:t>
      </w:r>
      <w:r>
        <w:rPr>
          <w:rFonts w:hint="eastAsia" w:ascii="仿宋_GB2312" w:hAnsi="仿宋" w:eastAsia="仿宋_GB2312"/>
          <w:bCs/>
          <w:sz w:val="30"/>
          <w:szCs w:val="30"/>
          <w:highlight w:val="none"/>
        </w:rPr>
        <w:t>财资综07资产收益情况汇总表</w:t>
      </w:r>
      <w:r>
        <w:rPr>
          <w:rFonts w:hint="eastAsia" w:ascii="仿宋_GB2312" w:hAnsi="仿宋" w:eastAsia="仿宋_GB2312"/>
          <w:bCs/>
          <w:sz w:val="30"/>
          <w:szCs w:val="30"/>
          <w:highlight w:val="none"/>
          <w:lang w:eastAsia="zh-CN"/>
        </w:rPr>
        <w:t>、</w:t>
      </w:r>
      <w:r>
        <w:rPr>
          <w:rFonts w:hint="eastAsia" w:ascii="仿宋_GB2312" w:hAnsi="仿宋" w:eastAsia="仿宋_GB2312"/>
          <w:bCs/>
          <w:sz w:val="30"/>
          <w:szCs w:val="30"/>
          <w:highlight w:val="none"/>
          <w:lang w:val="en-US" w:eastAsia="zh-CN"/>
        </w:rPr>
        <w:t>财资</w:t>
      </w:r>
      <w:r>
        <w:rPr>
          <w:rFonts w:hint="eastAsia" w:ascii="仿宋_GB2312" w:hAnsi="仿宋" w:eastAsia="仿宋_GB2312"/>
          <w:bCs/>
          <w:sz w:val="30"/>
          <w:szCs w:val="30"/>
          <w:highlight w:val="none"/>
        </w:rPr>
        <w:t>综</w:t>
      </w:r>
      <w:r>
        <w:rPr>
          <w:rFonts w:hint="eastAsia" w:ascii="仿宋_GB2312" w:hAnsi="仿宋" w:eastAsia="仿宋_GB2312"/>
          <w:bCs/>
          <w:sz w:val="30"/>
          <w:szCs w:val="30"/>
          <w:highlight w:val="none"/>
          <w:lang w:val="en-US" w:eastAsia="zh-CN"/>
        </w:rPr>
        <w:t>附01资产盘活情况表、财资</w:t>
      </w:r>
      <w:r>
        <w:rPr>
          <w:rFonts w:hint="eastAsia" w:ascii="仿宋_GB2312" w:hAnsi="仿宋" w:eastAsia="仿宋_GB2312"/>
          <w:bCs/>
          <w:sz w:val="30"/>
          <w:szCs w:val="30"/>
          <w:highlight w:val="none"/>
        </w:rPr>
        <w:t>综</w:t>
      </w:r>
      <w:r>
        <w:rPr>
          <w:rFonts w:hint="eastAsia" w:ascii="仿宋_GB2312" w:hAnsi="仿宋" w:eastAsia="仿宋_GB2312"/>
          <w:bCs/>
          <w:sz w:val="30"/>
          <w:szCs w:val="30"/>
          <w:highlight w:val="none"/>
          <w:lang w:val="en-US" w:eastAsia="zh-CN"/>
        </w:rPr>
        <w:t>附02执法执勤用车情况备案表（中央部门）、财资</w:t>
      </w:r>
      <w:r>
        <w:rPr>
          <w:rFonts w:hint="eastAsia" w:ascii="仿宋_GB2312" w:hAnsi="仿宋" w:eastAsia="仿宋_GB2312"/>
          <w:bCs/>
          <w:sz w:val="30"/>
          <w:szCs w:val="30"/>
          <w:highlight w:val="none"/>
        </w:rPr>
        <w:t>综</w:t>
      </w:r>
      <w:r>
        <w:rPr>
          <w:rFonts w:hint="eastAsia" w:ascii="仿宋_GB2312" w:hAnsi="仿宋" w:eastAsia="仿宋_GB2312"/>
          <w:bCs/>
          <w:sz w:val="30"/>
          <w:szCs w:val="30"/>
          <w:highlight w:val="none"/>
          <w:lang w:val="en-US" w:eastAsia="zh-CN"/>
        </w:rPr>
        <w:t>附03执法执勤用车情况备案表（地方财政部门）</w:t>
      </w:r>
      <w:r>
        <w:rPr>
          <w:rFonts w:hint="eastAsia" w:ascii="仿宋_GB2312" w:hAnsi="仿宋" w:eastAsia="仿宋_GB2312"/>
          <w:bCs/>
          <w:sz w:val="30"/>
          <w:szCs w:val="30"/>
          <w:highlight w:val="none"/>
        </w:rPr>
        <w:t>。</w:t>
      </w:r>
    </w:p>
    <w:p w14:paraId="1DD63563">
      <w:pPr>
        <w:pStyle w:val="2"/>
        <w:rPr>
          <w:rFonts w:hint="eastAsia"/>
          <w:b/>
          <w:color w:val="auto"/>
          <w:highlight w:val="none"/>
        </w:rPr>
      </w:pPr>
      <w:r>
        <w:rPr>
          <w:rFonts w:hint="eastAsia"/>
          <w:color w:val="auto"/>
          <w:highlight w:val="none"/>
        </w:rPr>
        <w:t>三、编报要求</w:t>
      </w:r>
    </w:p>
    <w:p w14:paraId="2EA6D363">
      <w:pPr>
        <w:widowControl/>
        <w:spacing w:line="360" w:lineRule="auto"/>
        <w:ind w:firstLine="708" w:firstLineChars="236"/>
        <w:rPr>
          <w:rFonts w:hint="eastAsia" w:ascii="仿宋_GB2312" w:hAnsi="仿宋" w:eastAsia="仿宋_GB2312"/>
          <w:bCs/>
          <w:sz w:val="30"/>
          <w:szCs w:val="30"/>
          <w:highlight w:val="none"/>
        </w:rPr>
      </w:pPr>
      <w:r>
        <w:rPr>
          <w:rFonts w:hint="eastAsia" w:ascii="仿宋_GB2312" w:hAnsi="仿宋" w:eastAsia="仿宋_GB2312"/>
          <w:bCs/>
          <w:sz w:val="30"/>
          <w:szCs w:val="30"/>
          <w:highlight w:val="none"/>
        </w:rPr>
        <w:t>（一）按照财务隶属关系或预算级次，逐级汇总上报。</w:t>
      </w:r>
      <w:r>
        <w:rPr>
          <w:rFonts w:hint="eastAsia" w:ascii="仿宋_GB2312" w:hAnsi="仿宋" w:eastAsia="仿宋_GB2312"/>
          <w:bCs/>
          <w:sz w:val="30"/>
          <w:szCs w:val="30"/>
          <w:highlight w:val="none"/>
          <w:lang w:bidi="ar"/>
        </w:rPr>
        <w:t>实行经费自理的事业单位编报级次问题，按照《事业单位法人证书》所列举办单位确认所属关系。涉及两个或两个以上举办单位的，按排序第一的举办单位确认，纳入该举办单位资产报告编制范围；如举办单位之间有协议、章程或管理办法约定的，按约定执行，不得重复编报。</w:t>
      </w:r>
    </w:p>
    <w:p w14:paraId="77BCD479">
      <w:pPr>
        <w:spacing w:line="360" w:lineRule="auto"/>
        <w:ind w:firstLine="708" w:firstLineChars="236"/>
        <w:rPr>
          <w:rFonts w:hint="eastAsia" w:ascii="仿宋_GB2312" w:hAnsi="仿宋" w:eastAsia="仿宋_GB2312"/>
          <w:bCs/>
          <w:sz w:val="30"/>
          <w:szCs w:val="30"/>
          <w:highlight w:val="none"/>
        </w:rPr>
      </w:pPr>
      <w:r>
        <w:rPr>
          <w:rFonts w:hint="eastAsia" w:ascii="仿宋_GB2312" w:hAnsi="仿宋" w:eastAsia="仿宋_GB2312"/>
          <w:bCs/>
          <w:sz w:val="30"/>
          <w:szCs w:val="30"/>
          <w:highlight w:val="none"/>
        </w:rPr>
        <w:t>（二）各行政事业单位应在各项资产全面盘点的基础上，真实、准确</w:t>
      </w:r>
      <w:r>
        <w:rPr>
          <w:rFonts w:hint="eastAsia" w:ascii="仿宋_GB2312" w:hAnsi="仿宋" w:eastAsia="仿宋_GB2312"/>
          <w:bCs/>
          <w:sz w:val="30"/>
          <w:szCs w:val="30"/>
          <w:highlight w:val="none"/>
          <w:lang w:eastAsia="zh-CN"/>
        </w:rPr>
        <w:t>地</w:t>
      </w:r>
      <w:r>
        <w:rPr>
          <w:rFonts w:hint="eastAsia" w:ascii="仿宋_GB2312" w:hAnsi="仿宋" w:eastAsia="仿宋_GB2312"/>
          <w:bCs/>
          <w:sz w:val="30"/>
          <w:szCs w:val="30"/>
          <w:highlight w:val="none"/>
        </w:rPr>
        <w:t>填报和编制本套报表，并按要求编写填报说明和分析报告。严格按照政府会计准则制度的要求，进一步规范和加强长期股权投资核算，全面准确反映单位的长期股权投资情况。</w:t>
      </w:r>
    </w:p>
    <w:p w14:paraId="72DA2B17">
      <w:pPr>
        <w:spacing w:line="360" w:lineRule="auto"/>
        <w:ind w:firstLine="708" w:firstLineChars="236"/>
        <w:rPr>
          <w:rFonts w:hint="eastAsia" w:ascii="仿宋_GB2312" w:hAnsi="仿宋" w:eastAsia="仿宋_GB2312"/>
          <w:bCs/>
          <w:sz w:val="30"/>
          <w:szCs w:val="30"/>
          <w:highlight w:val="none"/>
        </w:rPr>
      </w:pPr>
      <w:r>
        <w:rPr>
          <w:rFonts w:hint="eastAsia" w:ascii="仿宋_GB2312" w:hAnsi="仿宋" w:eastAsia="仿宋_GB2312"/>
          <w:bCs/>
          <w:sz w:val="30"/>
          <w:szCs w:val="30"/>
          <w:highlight w:val="none"/>
        </w:rPr>
        <w:t>（三）行政事业性国有资产报告相关数据与部门决算、政府部门财务报告、国有企业财务会计决算报告同口径数据保持衔接一致。</w:t>
      </w:r>
    </w:p>
    <w:p w14:paraId="2CA1A8B3">
      <w:pPr>
        <w:spacing w:line="360" w:lineRule="auto"/>
        <w:ind w:firstLine="708" w:firstLineChars="236"/>
        <w:rPr>
          <w:rFonts w:hint="eastAsia" w:ascii="仿宋_GB2312" w:hAnsi="仿宋" w:eastAsia="仿宋_GB2312"/>
          <w:sz w:val="30"/>
          <w:szCs w:val="30"/>
          <w:highlight w:val="none"/>
        </w:rPr>
      </w:pPr>
      <w:r>
        <w:rPr>
          <w:rFonts w:hint="eastAsia" w:ascii="仿宋_GB2312" w:hAnsi="仿宋" w:eastAsia="仿宋_GB2312"/>
          <w:bCs/>
          <w:sz w:val="30"/>
          <w:szCs w:val="30"/>
          <w:highlight w:val="none"/>
        </w:rPr>
        <w:t>（四）</w:t>
      </w:r>
      <w:r>
        <w:rPr>
          <w:rFonts w:hint="eastAsia" w:ascii="仿宋_GB2312" w:hAnsi="仿宋" w:eastAsia="仿宋_GB2312"/>
          <w:sz w:val="30"/>
          <w:szCs w:val="30"/>
          <w:highlight w:val="none"/>
        </w:rPr>
        <w:t>本套报表的单户表录入金额单位为“元”（保留两位小数），汇总打印报表金额单位为“万元”（保留两位小数）。</w:t>
      </w:r>
    </w:p>
    <w:p w14:paraId="5465581F">
      <w:pPr>
        <w:pStyle w:val="2"/>
        <w:rPr>
          <w:rFonts w:hint="eastAsia"/>
          <w:color w:val="auto"/>
          <w:highlight w:val="none"/>
        </w:rPr>
      </w:pPr>
      <w:bookmarkStart w:id="0" w:name="OLE_LINK11"/>
      <w:r>
        <w:rPr>
          <w:rFonts w:hint="eastAsia"/>
          <w:color w:val="auto"/>
          <w:highlight w:val="none"/>
        </w:rPr>
        <w:t>第二部分：20</w:t>
      </w:r>
      <w:r>
        <w:rPr>
          <w:color w:val="auto"/>
          <w:highlight w:val="none"/>
        </w:rPr>
        <w:t>2</w:t>
      </w:r>
      <w:r>
        <w:rPr>
          <w:rFonts w:hint="eastAsia"/>
          <w:color w:val="auto"/>
          <w:highlight w:val="none"/>
        </w:rPr>
        <w:t>4年度行政事业性国有资产报表编制说明</w:t>
      </w:r>
    </w:p>
    <w:p w14:paraId="6F03A165">
      <w:pPr>
        <w:pStyle w:val="2"/>
        <w:rPr>
          <w:rFonts w:hint="eastAsia"/>
          <w:color w:val="auto"/>
          <w:highlight w:val="none"/>
        </w:rPr>
      </w:pPr>
      <w:r>
        <w:rPr>
          <w:rFonts w:hint="eastAsia"/>
          <w:color w:val="auto"/>
          <w:highlight w:val="none"/>
        </w:rPr>
        <w:t>一、单户表编制说明</w:t>
      </w:r>
    </w:p>
    <w:p w14:paraId="313ACCFC">
      <w:pPr>
        <w:pStyle w:val="2"/>
        <w:rPr>
          <w:rFonts w:hint="eastAsia"/>
          <w:b/>
          <w:color w:val="auto"/>
          <w:highlight w:val="none"/>
        </w:rPr>
      </w:pPr>
      <w:r>
        <w:rPr>
          <w:rFonts w:hint="eastAsia"/>
          <w:color w:val="auto"/>
          <w:highlight w:val="none"/>
        </w:rPr>
        <w:t>（一）单户封面</w:t>
      </w:r>
    </w:p>
    <w:bookmarkEnd w:id="0"/>
    <w:p w14:paraId="35D64E29">
      <w:pPr>
        <w:pStyle w:val="4"/>
        <w:spacing w:line="360" w:lineRule="auto"/>
        <w:ind w:firstLine="600"/>
        <w:rPr>
          <w:rFonts w:hint="eastAsia" w:ascii="仿宋_GB2312" w:hAnsi="仿宋" w:eastAsia="仿宋_GB2312"/>
          <w:color w:val="auto"/>
          <w:sz w:val="30"/>
          <w:szCs w:val="30"/>
          <w:highlight w:val="none"/>
        </w:rPr>
      </w:pPr>
      <w:r>
        <w:rPr>
          <w:rFonts w:hint="eastAsia" w:ascii="仿宋_GB2312" w:hAnsi="仿宋" w:eastAsia="仿宋_GB2312"/>
          <w:color w:val="auto"/>
          <w:sz w:val="30"/>
          <w:szCs w:val="30"/>
          <w:highlight w:val="none"/>
        </w:rPr>
        <w:t>1.单位名称：填写单位全称，并在上报纸质文件时加盖单位公章。行政事业单位主管部门填报本级报表时，应在单位名称后加注“（本级）”。</w:t>
      </w:r>
    </w:p>
    <w:p w14:paraId="20873154">
      <w:pPr>
        <w:pStyle w:val="5"/>
        <w:tabs>
          <w:tab w:val="left" w:pos="180"/>
        </w:tabs>
        <w:spacing w:line="360" w:lineRule="auto"/>
        <w:ind w:left="-2" w:leftChars="-1" w:firstLine="542"/>
        <w:rPr>
          <w:rFonts w:hint="eastAsia" w:ascii="仿宋_GB2312" w:hAnsi="仿宋" w:eastAsia="仿宋_GB2312"/>
          <w:sz w:val="30"/>
          <w:szCs w:val="30"/>
          <w:highlight w:val="none"/>
        </w:rPr>
      </w:pPr>
      <w:r>
        <w:rPr>
          <w:rFonts w:hint="eastAsia" w:ascii="仿宋_GB2312" w:hAnsi="仿宋" w:eastAsia="仿宋_GB2312"/>
          <w:sz w:val="30"/>
          <w:szCs w:val="30"/>
          <w:highlight w:val="none"/>
        </w:rPr>
        <w:t>2.单位负责人、资产管理负责人、填表人、座机号码、手机号码、单位地址，均按单位实际情况如实、完整填报，其中资产管理负责人是指承担资产管理职责部门的负责人；单位地址应按照省、市（地）、县（区）逐级填写详细</w:t>
      </w:r>
      <w:r>
        <w:rPr>
          <w:rFonts w:ascii="仿宋_GB2312" w:hAnsi="仿宋" w:eastAsia="仿宋_GB2312"/>
          <w:sz w:val="30"/>
          <w:szCs w:val="30"/>
          <w:highlight w:val="none"/>
        </w:rPr>
        <w:t>地址</w:t>
      </w:r>
      <w:r>
        <w:rPr>
          <w:rFonts w:hint="eastAsia" w:ascii="仿宋_GB2312" w:hAnsi="仿宋" w:eastAsia="仿宋_GB2312"/>
          <w:sz w:val="30"/>
          <w:szCs w:val="30"/>
          <w:highlight w:val="none"/>
        </w:rPr>
        <w:t>；手机号码填写填表人11位手机号码。</w:t>
      </w:r>
    </w:p>
    <w:p w14:paraId="64B3F82F">
      <w:pPr>
        <w:pStyle w:val="5"/>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3.报送日期：填列单位实际报送报表的日期。</w:t>
      </w:r>
    </w:p>
    <w:p w14:paraId="570F3004">
      <w:pPr>
        <w:pStyle w:val="5"/>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4.</w:t>
      </w:r>
      <w:r>
        <w:rPr>
          <w:rFonts w:hint="eastAsia" w:ascii="仿宋_GB2312" w:hAnsi="仿宋" w:eastAsia="仿宋_GB2312"/>
          <w:sz w:val="30"/>
          <w:highlight w:val="none"/>
        </w:rPr>
        <w:t>统一社会信用代码：依据登记管理部门发放的18位代码填写。尚未领取统一社会信用代码的单位，应主动与当地相关登记管理部门联系办理核发手续，并编报临时代码</w:t>
      </w:r>
      <w:r>
        <w:rPr>
          <w:rFonts w:hint="eastAsia" w:ascii="仿宋_GB2312" w:hAnsi="仿宋" w:eastAsia="仿宋_GB2312"/>
          <w:sz w:val="30"/>
          <w:szCs w:val="30"/>
          <w:highlight w:val="none"/>
        </w:rPr>
        <w:t>。</w:t>
      </w:r>
    </w:p>
    <w:p w14:paraId="064E5EA9">
      <w:pPr>
        <w:pStyle w:val="5"/>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5.</w:t>
      </w:r>
      <w:r>
        <w:rPr>
          <w:rFonts w:hint="eastAsia" w:ascii="仿宋_GB2312" w:hAnsi="仿宋" w:eastAsia="仿宋_GB2312"/>
          <w:sz w:val="30"/>
          <w:szCs w:val="30"/>
          <w:highlight w:val="none"/>
          <w:lang w:val="en-US" w:eastAsia="zh-CN"/>
        </w:rPr>
        <w:t>财政预算代码</w:t>
      </w:r>
      <w:r>
        <w:rPr>
          <w:rFonts w:hint="eastAsia" w:ascii="仿宋_GB2312" w:hAnsi="仿宋" w:eastAsia="仿宋_GB2312"/>
          <w:sz w:val="30"/>
          <w:szCs w:val="30"/>
          <w:highlight w:val="none"/>
        </w:rPr>
        <w:t>：中央一级预算单位按财政部编制的三位代码填列，二级预算单位为六位代码，前三位填列其一级预算单位编码，后三位由一级预算单位从001－799依次自行编制，三级及以下预算单位以此类推。地方单位的财政预算代码应与部门预算代码一致。</w:t>
      </w:r>
    </w:p>
    <w:p w14:paraId="15D6F275">
      <w:pPr>
        <w:pStyle w:val="5"/>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6.单位性质：依据政府编制管理部门确定的单位性质，根据共产党机关、政府机关、人大机关、政协机关、群众团体、民主党派、政法机关、参照公务员法管理事业单位、财政补助事业单位、经费自理事业单位、社会</w:t>
      </w:r>
      <w:r>
        <w:rPr>
          <w:rFonts w:ascii="仿宋_GB2312" w:hAnsi="仿宋" w:eastAsia="仿宋_GB2312"/>
          <w:sz w:val="30"/>
          <w:szCs w:val="30"/>
          <w:highlight w:val="none"/>
        </w:rPr>
        <w:t>团体</w:t>
      </w:r>
      <w:r>
        <w:rPr>
          <w:rFonts w:hint="eastAsia" w:ascii="仿宋_GB2312" w:hAnsi="仿宋" w:eastAsia="仿宋_GB2312"/>
          <w:sz w:val="30"/>
          <w:szCs w:val="30"/>
          <w:highlight w:val="none"/>
        </w:rPr>
        <w:t>及其他填列。主管部门、各级财政部门编报汇总报表时不填列本项。</w:t>
      </w:r>
    </w:p>
    <w:p w14:paraId="72723291">
      <w:pPr>
        <w:pStyle w:val="5"/>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7.单位所在地区：反映单位实际所在地，依据国家标准《中华人民共和国行政区划代码》填列。</w:t>
      </w:r>
    </w:p>
    <w:p w14:paraId="3A217892">
      <w:pPr>
        <w:pStyle w:val="5"/>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8.单位类型：依据单位实际类型行政单位、事业单位（行政类</w:t>
      </w:r>
      <w:r>
        <w:rPr>
          <w:rFonts w:hint="eastAsia" w:ascii="仿宋_GB2312" w:hAnsi="仿宋" w:eastAsia="仿宋_GB2312"/>
          <w:sz w:val="30"/>
          <w:szCs w:val="30"/>
          <w:highlight w:val="none"/>
          <w:lang w:val="en-US" w:eastAsia="zh-CN"/>
        </w:rPr>
        <w:t>事业单位</w:t>
      </w:r>
      <w:r>
        <w:rPr>
          <w:rFonts w:hint="eastAsia" w:ascii="仿宋_GB2312" w:hAnsi="仿宋" w:eastAsia="仿宋_GB2312"/>
          <w:sz w:val="30"/>
          <w:szCs w:val="30"/>
          <w:highlight w:val="none"/>
        </w:rPr>
        <w:t>、公益一类</w:t>
      </w:r>
      <w:r>
        <w:rPr>
          <w:rFonts w:hint="eastAsia" w:ascii="仿宋_GB2312" w:hAnsi="仿宋" w:eastAsia="仿宋_GB2312"/>
          <w:sz w:val="30"/>
          <w:szCs w:val="30"/>
          <w:highlight w:val="none"/>
          <w:lang w:val="en-US" w:eastAsia="zh-CN"/>
        </w:rPr>
        <w:t>事业单位</w:t>
      </w:r>
      <w:r>
        <w:rPr>
          <w:rFonts w:hint="eastAsia" w:ascii="仿宋_GB2312" w:hAnsi="仿宋" w:eastAsia="仿宋_GB2312"/>
          <w:sz w:val="30"/>
          <w:szCs w:val="30"/>
          <w:highlight w:val="none"/>
        </w:rPr>
        <w:t>、公益二类</w:t>
      </w:r>
      <w:r>
        <w:rPr>
          <w:rFonts w:hint="eastAsia" w:ascii="仿宋_GB2312" w:hAnsi="仿宋" w:eastAsia="仿宋_GB2312"/>
          <w:sz w:val="30"/>
          <w:szCs w:val="30"/>
          <w:highlight w:val="none"/>
          <w:lang w:val="en-US" w:eastAsia="zh-CN"/>
        </w:rPr>
        <w:t>事业单位</w:t>
      </w:r>
      <w:r>
        <w:rPr>
          <w:rFonts w:hint="eastAsia" w:ascii="仿宋_GB2312" w:hAnsi="仿宋" w:eastAsia="仿宋_GB2312"/>
          <w:sz w:val="30"/>
          <w:szCs w:val="30"/>
          <w:highlight w:val="none"/>
        </w:rPr>
        <w:t>、生产经营类</w:t>
      </w:r>
      <w:r>
        <w:rPr>
          <w:rFonts w:hint="eastAsia" w:ascii="仿宋_GB2312" w:hAnsi="仿宋" w:eastAsia="仿宋_GB2312"/>
          <w:sz w:val="30"/>
          <w:szCs w:val="30"/>
          <w:highlight w:val="none"/>
          <w:lang w:val="en-US" w:eastAsia="zh-CN"/>
        </w:rPr>
        <w:t>事业单位</w:t>
      </w:r>
      <w:r>
        <w:rPr>
          <w:rFonts w:hint="eastAsia" w:ascii="仿宋_GB2312" w:hAnsi="仿宋" w:eastAsia="仿宋_GB2312"/>
          <w:sz w:val="30"/>
          <w:szCs w:val="30"/>
          <w:highlight w:val="none"/>
        </w:rPr>
        <w:t>、暂未分类</w:t>
      </w:r>
      <w:r>
        <w:rPr>
          <w:rFonts w:hint="eastAsia" w:ascii="仿宋_GB2312" w:hAnsi="仿宋" w:eastAsia="仿宋_GB2312"/>
          <w:sz w:val="30"/>
          <w:szCs w:val="30"/>
          <w:highlight w:val="none"/>
          <w:lang w:val="en-US" w:eastAsia="zh-CN"/>
        </w:rPr>
        <w:t>事业单位</w:t>
      </w:r>
      <w:r>
        <w:rPr>
          <w:rFonts w:hint="eastAsia" w:ascii="仿宋_GB2312" w:hAnsi="仿宋" w:eastAsia="仿宋_GB2312"/>
          <w:sz w:val="30"/>
          <w:szCs w:val="30"/>
          <w:highlight w:val="none"/>
        </w:rPr>
        <w:t>）、其他单位选择填列。</w:t>
      </w:r>
    </w:p>
    <w:p w14:paraId="78627808">
      <w:pPr>
        <w:pStyle w:val="5"/>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9.隶属关系（国家标准：隶属关系</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部门标识代码）：本代码</w:t>
      </w:r>
      <w:r>
        <w:rPr>
          <w:rFonts w:ascii="仿宋_GB2312" w:hAnsi="仿宋" w:eastAsia="仿宋_GB2312"/>
          <w:sz w:val="30"/>
          <w:szCs w:val="30"/>
          <w:highlight w:val="none"/>
        </w:rPr>
        <w:t>由“</w:t>
      </w:r>
      <w:r>
        <w:rPr>
          <w:rFonts w:hint="eastAsia" w:ascii="仿宋_GB2312" w:hAnsi="仿宋" w:eastAsia="仿宋_GB2312"/>
          <w:sz w:val="30"/>
          <w:szCs w:val="30"/>
          <w:highlight w:val="none"/>
        </w:rPr>
        <w:t>行政</w:t>
      </w:r>
      <w:r>
        <w:rPr>
          <w:rFonts w:ascii="仿宋_GB2312" w:hAnsi="仿宋" w:eastAsia="仿宋_GB2312"/>
          <w:sz w:val="30"/>
          <w:szCs w:val="30"/>
          <w:highlight w:val="none"/>
        </w:rPr>
        <w:t>隶属关系代码”</w:t>
      </w:r>
      <w:r>
        <w:rPr>
          <w:rFonts w:hint="eastAsia" w:ascii="仿宋_GB2312" w:hAnsi="仿宋" w:eastAsia="仿宋_GB2312"/>
          <w:sz w:val="30"/>
          <w:szCs w:val="30"/>
          <w:highlight w:val="none"/>
        </w:rPr>
        <w:t>和</w:t>
      </w:r>
      <w:r>
        <w:rPr>
          <w:rFonts w:ascii="仿宋_GB2312" w:hAnsi="仿宋" w:eastAsia="仿宋_GB2312"/>
          <w:sz w:val="30"/>
          <w:szCs w:val="30"/>
          <w:highlight w:val="none"/>
        </w:rPr>
        <w:t>“</w:t>
      </w:r>
      <w:r>
        <w:rPr>
          <w:rFonts w:hint="eastAsia" w:ascii="仿宋_GB2312" w:hAnsi="仿宋" w:eastAsia="仿宋_GB2312"/>
          <w:sz w:val="30"/>
          <w:szCs w:val="30"/>
          <w:highlight w:val="none"/>
        </w:rPr>
        <w:t>部门</w:t>
      </w:r>
      <w:r>
        <w:rPr>
          <w:rFonts w:ascii="仿宋_GB2312" w:hAnsi="仿宋" w:eastAsia="仿宋_GB2312"/>
          <w:sz w:val="30"/>
          <w:szCs w:val="30"/>
          <w:highlight w:val="none"/>
        </w:rPr>
        <w:t>标识代码”</w:t>
      </w:r>
      <w:r>
        <w:rPr>
          <w:rFonts w:hint="eastAsia" w:ascii="仿宋_GB2312" w:hAnsi="仿宋" w:eastAsia="仿宋_GB2312"/>
          <w:sz w:val="30"/>
          <w:szCs w:val="30"/>
          <w:highlight w:val="none"/>
        </w:rPr>
        <w:t>两部分</w:t>
      </w:r>
      <w:r>
        <w:rPr>
          <w:rFonts w:ascii="仿宋_GB2312" w:hAnsi="仿宋" w:eastAsia="仿宋_GB2312"/>
          <w:sz w:val="30"/>
          <w:szCs w:val="30"/>
          <w:highlight w:val="none"/>
        </w:rPr>
        <w:t>组成</w:t>
      </w:r>
      <w:r>
        <w:rPr>
          <w:rFonts w:hint="eastAsia" w:ascii="仿宋_GB2312" w:hAnsi="仿宋" w:eastAsia="仿宋_GB2312"/>
          <w:sz w:val="30"/>
          <w:szCs w:val="30"/>
          <w:highlight w:val="none"/>
        </w:rPr>
        <w:t>。具体</w:t>
      </w:r>
      <w:r>
        <w:rPr>
          <w:rFonts w:ascii="仿宋_GB2312" w:hAnsi="仿宋" w:eastAsia="仿宋_GB2312"/>
          <w:sz w:val="30"/>
          <w:szCs w:val="30"/>
          <w:highlight w:val="none"/>
        </w:rPr>
        <w:t>填报方法如下：</w:t>
      </w:r>
    </w:p>
    <w:p w14:paraId="7EB73193">
      <w:pPr>
        <w:pStyle w:val="5"/>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（1）中央</w:t>
      </w:r>
      <w:r>
        <w:rPr>
          <w:rFonts w:ascii="仿宋_GB2312" w:hAnsi="仿宋" w:eastAsia="仿宋_GB2312"/>
          <w:sz w:val="30"/>
          <w:szCs w:val="30"/>
          <w:highlight w:val="none"/>
        </w:rPr>
        <w:t>单位</w:t>
      </w:r>
      <w:r>
        <w:rPr>
          <w:rFonts w:hint="eastAsia" w:ascii="仿宋_GB2312" w:hAnsi="仿宋" w:eastAsia="仿宋_GB2312"/>
          <w:sz w:val="30"/>
          <w:szCs w:val="30"/>
          <w:highlight w:val="none"/>
        </w:rPr>
        <w:t>（不论级次</w:t>
      </w:r>
      <w:r>
        <w:rPr>
          <w:rFonts w:ascii="仿宋_GB2312" w:hAnsi="仿宋" w:eastAsia="仿宋_GB2312"/>
          <w:sz w:val="30"/>
          <w:szCs w:val="30"/>
          <w:highlight w:val="none"/>
        </w:rPr>
        <w:t>和所在地区</w:t>
      </w:r>
      <w:r>
        <w:rPr>
          <w:rFonts w:hint="eastAsia" w:ascii="仿宋_GB2312" w:hAnsi="仿宋" w:eastAsia="仿宋_GB2312"/>
          <w:sz w:val="30"/>
          <w:szCs w:val="30"/>
          <w:highlight w:val="none"/>
        </w:rPr>
        <w:t>）</w:t>
      </w:r>
      <w:r>
        <w:rPr>
          <w:rFonts w:ascii="仿宋_GB2312" w:hAnsi="仿宋" w:eastAsia="仿宋_GB2312"/>
          <w:sz w:val="30"/>
          <w:szCs w:val="30"/>
          <w:highlight w:val="none"/>
        </w:rPr>
        <w:t>：</w:t>
      </w:r>
    </w:p>
    <w:p w14:paraId="444D642B">
      <w:pPr>
        <w:pStyle w:val="5"/>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“行政隶属</w:t>
      </w:r>
      <w:r>
        <w:rPr>
          <w:rFonts w:ascii="仿宋_GB2312" w:hAnsi="仿宋" w:eastAsia="仿宋_GB2312"/>
          <w:sz w:val="30"/>
          <w:szCs w:val="30"/>
          <w:highlight w:val="none"/>
        </w:rPr>
        <w:t>关系</w:t>
      </w:r>
      <w:r>
        <w:rPr>
          <w:rFonts w:hint="eastAsia" w:ascii="仿宋_GB2312" w:hAnsi="仿宋" w:eastAsia="仿宋_GB2312"/>
          <w:sz w:val="30"/>
          <w:szCs w:val="30"/>
          <w:highlight w:val="none"/>
        </w:rPr>
        <w:t>代码”均</w:t>
      </w:r>
      <w:r>
        <w:rPr>
          <w:rFonts w:ascii="仿宋_GB2312" w:hAnsi="仿宋" w:eastAsia="仿宋_GB2312"/>
          <w:sz w:val="30"/>
          <w:szCs w:val="30"/>
          <w:highlight w:val="none"/>
        </w:rPr>
        <w:t>填零，</w:t>
      </w:r>
      <w:r>
        <w:rPr>
          <w:rFonts w:hint="eastAsia" w:ascii="仿宋_GB2312" w:hAnsi="仿宋" w:eastAsia="仿宋_GB2312"/>
          <w:sz w:val="30"/>
          <w:szCs w:val="30"/>
          <w:highlight w:val="none"/>
        </w:rPr>
        <w:t>“部门</w:t>
      </w:r>
      <w:r>
        <w:rPr>
          <w:rFonts w:ascii="仿宋_GB2312" w:hAnsi="仿宋" w:eastAsia="仿宋_GB2312"/>
          <w:sz w:val="30"/>
          <w:szCs w:val="30"/>
          <w:highlight w:val="none"/>
        </w:rPr>
        <w:t>标识代码</w:t>
      </w:r>
      <w:r>
        <w:rPr>
          <w:rFonts w:hint="eastAsia" w:ascii="仿宋_GB2312" w:hAnsi="仿宋" w:eastAsia="仿宋_GB2312"/>
          <w:sz w:val="30"/>
          <w:szCs w:val="30"/>
          <w:highlight w:val="none"/>
        </w:rPr>
        <w:t>”</w:t>
      </w:r>
      <w:r>
        <w:rPr>
          <w:rFonts w:ascii="仿宋_GB2312" w:hAnsi="仿宋" w:eastAsia="仿宋_GB2312"/>
          <w:sz w:val="30"/>
          <w:szCs w:val="30"/>
          <w:highlight w:val="none"/>
        </w:rPr>
        <w:t>根据国家标准</w:t>
      </w:r>
      <w:r>
        <w:rPr>
          <w:rFonts w:hint="eastAsia" w:ascii="仿宋_GB2312" w:hAnsi="仿宋" w:eastAsia="仿宋_GB2312"/>
          <w:sz w:val="30"/>
          <w:szCs w:val="30"/>
          <w:highlight w:val="none"/>
        </w:rPr>
        <w:t>《中央</w:t>
      </w:r>
      <w:r>
        <w:rPr>
          <w:rFonts w:ascii="仿宋_GB2312" w:hAnsi="仿宋" w:eastAsia="仿宋_GB2312"/>
          <w:sz w:val="30"/>
          <w:szCs w:val="30"/>
          <w:highlight w:val="none"/>
        </w:rPr>
        <w:t>党政机关、人民团体及其他机构代码</w:t>
      </w:r>
      <w:r>
        <w:rPr>
          <w:rFonts w:hint="eastAsia" w:ascii="仿宋_GB2312" w:hAnsi="仿宋" w:eastAsia="仿宋_GB2312"/>
          <w:sz w:val="30"/>
          <w:szCs w:val="30"/>
          <w:highlight w:val="none"/>
        </w:rPr>
        <w:t>》编制</w:t>
      </w:r>
      <w:r>
        <w:rPr>
          <w:rFonts w:ascii="仿宋_GB2312" w:hAnsi="仿宋" w:eastAsia="仿宋_GB2312"/>
          <w:sz w:val="30"/>
          <w:szCs w:val="30"/>
          <w:highlight w:val="none"/>
        </w:rPr>
        <w:t>。</w:t>
      </w:r>
    </w:p>
    <w:p w14:paraId="0E0F8F85">
      <w:pPr>
        <w:pStyle w:val="5"/>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（2）地方</w:t>
      </w:r>
      <w:r>
        <w:rPr>
          <w:rFonts w:ascii="仿宋_GB2312" w:hAnsi="仿宋" w:eastAsia="仿宋_GB2312"/>
          <w:sz w:val="30"/>
          <w:szCs w:val="30"/>
          <w:highlight w:val="none"/>
        </w:rPr>
        <w:t>单位：</w:t>
      </w:r>
    </w:p>
    <w:p w14:paraId="7D02BAE0">
      <w:pPr>
        <w:pStyle w:val="5"/>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“行政隶属</w:t>
      </w:r>
      <w:r>
        <w:rPr>
          <w:rFonts w:ascii="仿宋_GB2312" w:hAnsi="仿宋" w:eastAsia="仿宋_GB2312"/>
          <w:sz w:val="30"/>
          <w:szCs w:val="30"/>
          <w:highlight w:val="none"/>
        </w:rPr>
        <w:t>关系</w:t>
      </w:r>
      <w:r>
        <w:rPr>
          <w:rFonts w:hint="eastAsia" w:ascii="仿宋_GB2312" w:hAnsi="仿宋" w:eastAsia="仿宋_GB2312"/>
          <w:sz w:val="30"/>
          <w:szCs w:val="30"/>
          <w:highlight w:val="none"/>
        </w:rPr>
        <w:t>代码”</w:t>
      </w:r>
      <w:r>
        <w:rPr>
          <w:rFonts w:ascii="仿宋_GB2312" w:hAnsi="仿宋" w:eastAsia="仿宋_GB2312"/>
          <w:sz w:val="30"/>
          <w:szCs w:val="30"/>
          <w:highlight w:val="none"/>
        </w:rPr>
        <w:t>根据国家标准《</w:t>
      </w:r>
      <w:r>
        <w:rPr>
          <w:rFonts w:hint="eastAsia" w:ascii="仿宋_GB2312" w:hAnsi="仿宋" w:eastAsia="仿宋_GB2312"/>
          <w:sz w:val="30"/>
          <w:szCs w:val="30"/>
          <w:highlight w:val="none"/>
        </w:rPr>
        <w:t>中华</w:t>
      </w:r>
      <w:r>
        <w:rPr>
          <w:rFonts w:ascii="仿宋_GB2312" w:hAnsi="仿宋" w:eastAsia="仿宋_GB2312"/>
          <w:sz w:val="30"/>
          <w:szCs w:val="30"/>
          <w:highlight w:val="none"/>
        </w:rPr>
        <w:t>人民共和国行政区划代码》</w:t>
      </w:r>
      <w:r>
        <w:rPr>
          <w:rFonts w:hint="eastAsia" w:ascii="仿宋_GB2312" w:hAnsi="仿宋" w:eastAsia="仿宋_GB2312"/>
          <w:sz w:val="30"/>
          <w:szCs w:val="30"/>
          <w:highlight w:val="none"/>
        </w:rPr>
        <w:t>编制</w:t>
      </w:r>
      <w:r>
        <w:rPr>
          <w:rFonts w:ascii="仿宋_GB2312" w:hAnsi="仿宋" w:eastAsia="仿宋_GB2312"/>
          <w:sz w:val="30"/>
          <w:szCs w:val="30"/>
          <w:highlight w:val="none"/>
        </w:rPr>
        <w:t>。具体</w:t>
      </w:r>
      <w:r>
        <w:rPr>
          <w:rFonts w:hint="eastAsia" w:ascii="仿宋_GB2312" w:hAnsi="仿宋" w:eastAsia="仿宋_GB2312"/>
          <w:sz w:val="30"/>
          <w:szCs w:val="30"/>
          <w:highlight w:val="none"/>
        </w:rPr>
        <w:t>编制</w:t>
      </w:r>
      <w:r>
        <w:rPr>
          <w:rFonts w:ascii="仿宋_GB2312" w:hAnsi="仿宋" w:eastAsia="仿宋_GB2312"/>
          <w:sz w:val="30"/>
          <w:szCs w:val="30"/>
          <w:highlight w:val="none"/>
        </w:rPr>
        <w:t>方法：省级单位以行政区划代码的前两位数字后加</w:t>
      </w:r>
      <w:r>
        <w:rPr>
          <w:rFonts w:hint="eastAsia" w:ascii="仿宋_GB2312" w:hAnsi="仿宋" w:eastAsia="仿宋_GB2312"/>
          <w:sz w:val="30"/>
          <w:szCs w:val="30"/>
          <w:highlight w:val="none"/>
        </w:rPr>
        <w:t>4个</w:t>
      </w:r>
      <w:r>
        <w:rPr>
          <w:rFonts w:ascii="仿宋_GB2312" w:hAnsi="仿宋" w:eastAsia="仿宋_GB2312"/>
          <w:sz w:val="30"/>
          <w:szCs w:val="30"/>
          <w:highlight w:val="none"/>
        </w:rPr>
        <w:t>零表示，如湖北省省属单位一律</w:t>
      </w:r>
      <w:r>
        <w:rPr>
          <w:rFonts w:hint="eastAsia" w:ascii="仿宋_GB2312" w:hAnsi="仿宋" w:eastAsia="仿宋_GB2312"/>
          <w:sz w:val="30"/>
          <w:szCs w:val="30"/>
          <w:highlight w:val="none"/>
        </w:rPr>
        <w:t>填列</w:t>
      </w:r>
      <w:r>
        <w:rPr>
          <w:rFonts w:ascii="仿宋_GB2312" w:hAnsi="仿宋" w:eastAsia="仿宋_GB2312"/>
          <w:sz w:val="30"/>
          <w:szCs w:val="30"/>
          <w:highlight w:val="none"/>
        </w:rPr>
        <w:t>“420000”</w:t>
      </w:r>
      <w:r>
        <w:rPr>
          <w:rFonts w:hint="eastAsia" w:ascii="仿宋_GB2312" w:hAnsi="仿宋" w:eastAsia="仿宋_GB2312"/>
          <w:sz w:val="30"/>
          <w:szCs w:val="30"/>
          <w:highlight w:val="none"/>
        </w:rPr>
        <w:t>；</w:t>
      </w:r>
      <w:r>
        <w:rPr>
          <w:rFonts w:ascii="仿宋_GB2312" w:hAnsi="仿宋" w:eastAsia="仿宋_GB2312"/>
          <w:sz w:val="30"/>
          <w:szCs w:val="30"/>
          <w:highlight w:val="none"/>
        </w:rPr>
        <w:t>市级</w:t>
      </w:r>
      <w:r>
        <w:rPr>
          <w:rFonts w:hint="eastAsia" w:ascii="仿宋_GB2312" w:hAnsi="仿宋" w:eastAsia="仿宋_GB2312"/>
          <w:sz w:val="30"/>
          <w:szCs w:val="30"/>
          <w:highlight w:val="none"/>
        </w:rPr>
        <w:t>单位</w:t>
      </w:r>
      <w:r>
        <w:rPr>
          <w:rFonts w:ascii="仿宋_GB2312" w:hAnsi="仿宋" w:eastAsia="仿宋_GB2312"/>
          <w:sz w:val="30"/>
          <w:szCs w:val="30"/>
          <w:highlight w:val="none"/>
        </w:rPr>
        <w:t>以行政区划代码的前四位数字后加</w:t>
      </w:r>
      <w:r>
        <w:rPr>
          <w:rFonts w:hint="eastAsia" w:ascii="仿宋_GB2312" w:hAnsi="仿宋" w:eastAsia="仿宋_GB2312"/>
          <w:sz w:val="30"/>
          <w:szCs w:val="30"/>
          <w:highlight w:val="none"/>
        </w:rPr>
        <w:t>2个</w:t>
      </w:r>
      <w:r>
        <w:rPr>
          <w:rFonts w:ascii="仿宋_GB2312" w:hAnsi="仿宋" w:eastAsia="仿宋_GB2312"/>
          <w:sz w:val="30"/>
          <w:szCs w:val="30"/>
          <w:highlight w:val="none"/>
        </w:rPr>
        <w:t>零表示，如湖北省黄冈市市属单位一律</w:t>
      </w:r>
      <w:r>
        <w:rPr>
          <w:rFonts w:hint="eastAsia" w:ascii="仿宋_GB2312" w:hAnsi="仿宋" w:eastAsia="仿宋_GB2312"/>
          <w:sz w:val="30"/>
          <w:szCs w:val="30"/>
          <w:highlight w:val="none"/>
        </w:rPr>
        <w:t>填列“421100”；县级</w:t>
      </w:r>
      <w:r>
        <w:rPr>
          <w:rFonts w:ascii="仿宋_GB2312" w:hAnsi="仿宋" w:eastAsia="仿宋_GB2312"/>
          <w:sz w:val="30"/>
          <w:szCs w:val="30"/>
          <w:highlight w:val="none"/>
        </w:rPr>
        <w:t>（</w:t>
      </w:r>
      <w:r>
        <w:rPr>
          <w:rFonts w:hint="eastAsia" w:ascii="仿宋_GB2312" w:hAnsi="仿宋" w:eastAsia="仿宋_GB2312"/>
          <w:sz w:val="30"/>
          <w:szCs w:val="30"/>
          <w:highlight w:val="none"/>
        </w:rPr>
        <w:t>含</w:t>
      </w:r>
      <w:r>
        <w:rPr>
          <w:rFonts w:ascii="仿宋_GB2312" w:hAnsi="仿宋" w:eastAsia="仿宋_GB2312"/>
          <w:sz w:val="30"/>
          <w:szCs w:val="30"/>
          <w:highlight w:val="none"/>
        </w:rPr>
        <w:t>乡镇）</w:t>
      </w:r>
      <w:r>
        <w:rPr>
          <w:rFonts w:hint="eastAsia" w:ascii="仿宋_GB2312" w:hAnsi="仿宋" w:eastAsia="仿宋_GB2312"/>
          <w:sz w:val="30"/>
          <w:szCs w:val="30"/>
          <w:highlight w:val="none"/>
        </w:rPr>
        <w:t>所属</w:t>
      </w:r>
      <w:r>
        <w:rPr>
          <w:rFonts w:ascii="仿宋_GB2312" w:hAnsi="仿宋" w:eastAsia="仿宋_GB2312"/>
          <w:sz w:val="30"/>
          <w:szCs w:val="30"/>
          <w:highlight w:val="none"/>
        </w:rPr>
        <w:t>单位以行政区划代码的本身</w:t>
      </w:r>
      <w:r>
        <w:rPr>
          <w:rFonts w:hint="eastAsia" w:ascii="仿宋_GB2312" w:hAnsi="仿宋" w:eastAsia="仿宋_GB2312"/>
          <w:sz w:val="30"/>
          <w:szCs w:val="30"/>
          <w:highlight w:val="none"/>
        </w:rPr>
        <w:t>6位</w:t>
      </w:r>
      <w:r>
        <w:rPr>
          <w:rFonts w:ascii="仿宋_GB2312" w:hAnsi="仿宋" w:eastAsia="仿宋_GB2312"/>
          <w:sz w:val="30"/>
          <w:szCs w:val="30"/>
          <w:highlight w:val="none"/>
        </w:rPr>
        <w:t>数表示，如湖北省黄冈市红安县县级及乡镇级单位一律填列“421122”</w:t>
      </w:r>
      <w:r>
        <w:rPr>
          <w:rFonts w:hint="eastAsia" w:ascii="仿宋_GB2312" w:hAnsi="仿宋" w:eastAsia="仿宋_GB2312"/>
          <w:sz w:val="30"/>
          <w:szCs w:val="30"/>
          <w:highlight w:val="none"/>
        </w:rPr>
        <w:t>。</w:t>
      </w:r>
    </w:p>
    <w:p w14:paraId="59CF2592">
      <w:pPr>
        <w:pStyle w:val="5"/>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“部门</w:t>
      </w:r>
      <w:r>
        <w:rPr>
          <w:rFonts w:ascii="仿宋_GB2312" w:hAnsi="仿宋" w:eastAsia="仿宋_GB2312"/>
          <w:sz w:val="30"/>
          <w:szCs w:val="30"/>
          <w:highlight w:val="none"/>
        </w:rPr>
        <w:t>标识代码</w:t>
      </w:r>
      <w:r>
        <w:rPr>
          <w:rFonts w:hint="eastAsia" w:ascii="仿宋_GB2312" w:hAnsi="仿宋" w:eastAsia="仿宋_GB2312"/>
          <w:sz w:val="30"/>
          <w:szCs w:val="30"/>
          <w:highlight w:val="none"/>
        </w:rPr>
        <w:t>”按照</w:t>
      </w:r>
      <w:r>
        <w:rPr>
          <w:rFonts w:ascii="仿宋_GB2312" w:hAnsi="仿宋" w:eastAsia="仿宋_GB2312"/>
          <w:sz w:val="30"/>
          <w:szCs w:val="30"/>
          <w:highlight w:val="none"/>
        </w:rPr>
        <w:t>单位财务或归口管理的部门、机构，比照国家标准</w:t>
      </w:r>
      <w:r>
        <w:rPr>
          <w:rFonts w:hint="eastAsia" w:ascii="仿宋_GB2312" w:hAnsi="仿宋" w:eastAsia="仿宋_GB2312"/>
          <w:sz w:val="30"/>
          <w:szCs w:val="30"/>
          <w:highlight w:val="none"/>
        </w:rPr>
        <w:t>《中央</w:t>
      </w:r>
      <w:r>
        <w:rPr>
          <w:rFonts w:ascii="仿宋_GB2312" w:hAnsi="仿宋" w:eastAsia="仿宋_GB2312"/>
          <w:sz w:val="30"/>
          <w:szCs w:val="30"/>
          <w:highlight w:val="none"/>
        </w:rPr>
        <w:t>党政机关、人民团体及其他机构代码</w:t>
      </w:r>
      <w:r>
        <w:rPr>
          <w:rFonts w:hint="eastAsia" w:ascii="仿宋_GB2312" w:hAnsi="仿宋" w:eastAsia="仿宋_GB2312"/>
          <w:sz w:val="30"/>
          <w:szCs w:val="30"/>
          <w:highlight w:val="none"/>
        </w:rPr>
        <w:t>》填报</w:t>
      </w:r>
      <w:r>
        <w:rPr>
          <w:rFonts w:ascii="仿宋_GB2312" w:hAnsi="仿宋" w:eastAsia="仿宋_GB2312"/>
          <w:sz w:val="30"/>
          <w:szCs w:val="30"/>
          <w:highlight w:val="none"/>
        </w:rPr>
        <w:t>。各级</w:t>
      </w:r>
      <w:r>
        <w:rPr>
          <w:rFonts w:hint="eastAsia" w:ascii="仿宋_GB2312" w:hAnsi="仿宋" w:eastAsia="仿宋_GB2312"/>
          <w:sz w:val="30"/>
          <w:szCs w:val="30"/>
          <w:highlight w:val="none"/>
        </w:rPr>
        <w:t>政府</w:t>
      </w:r>
      <w:r>
        <w:rPr>
          <w:rFonts w:ascii="仿宋_GB2312" w:hAnsi="仿宋" w:eastAsia="仿宋_GB2312"/>
          <w:sz w:val="30"/>
          <w:szCs w:val="30"/>
          <w:highlight w:val="none"/>
        </w:rPr>
        <w:t>财政部门汇总本级预算单位</w:t>
      </w:r>
      <w:r>
        <w:rPr>
          <w:rFonts w:hint="eastAsia" w:ascii="仿宋_GB2312" w:hAnsi="仿宋" w:eastAsia="仿宋_GB2312"/>
          <w:sz w:val="30"/>
          <w:szCs w:val="30"/>
          <w:highlight w:val="none"/>
        </w:rPr>
        <w:t>或者</w:t>
      </w:r>
      <w:r>
        <w:rPr>
          <w:rFonts w:ascii="仿宋_GB2312" w:hAnsi="仿宋" w:eastAsia="仿宋_GB2312"/>
          <w:sz w:val="30"/>
          <w:szCs w:val="30"/>
          <w:highlight w:val="none"/>
        </w:rPr>
        <w:t>下级财政报送</w:t>
      </w:r>
      <w:r>
        <w:rPr>
          <w:rFonts w:hint="eastAsia" w:ascii="仿宋_GB2312" w:hAnsi="仿宋" w:eastAsia="仿宋_GB2312"/>
          <w:sz w:val="30"/>
          <w:szCs w:val="30"/>
          <w:highlight w:val="none"/>
        </w:rPr>
        <w:t>资产</w:t>
      </w:r>
      <w:r>
        <w:rPr>
          <w:rFonts w:ascii="仿宋_GB2312" w:hAnsi="仿宋" w:eastAsia="仿宋_GB2312"/>
          <w:sz w:val="30"/>
          <w:szCs w:val="30"/>
          <w:highlight w:val="none"/>
        </w:rPr>
        <w:t>数据时建立的汇总报表，一律选择“999”</w:t>
      </w:r>
      <w:r>
        <w:rPr>
          <w:rFonts w:hint="eastAsia" w:ascii="仿宋_GB2312" w:hAnsi="仿宋" w:eastAsia="仿宋_GB2312"/>
          <w:sz w:val="30"/>
          <w:szCs w:val="30"/>
          <w:highlight w:val="none"/>
        </w:rPr>
        <w:t>（财政</w:t>
      </w:r>
      <w:r>
        <w:rPr>
          <w:rFonts w:ascii="仿宋_GB2312" w:hAnsi="仿宋" w:eastAsia="仿宋_GB2312"/>
          <w:sz w:val="30"/>
          <w:szCs w:val="30"/>
          <w:highlight w:val="none"/>
        </w:rPr>
        <w:t>汇总</w:t>
      </w:r>
      <w:r>
        <w:rPr>
          <w:rFonts w:hint="eastAsia" w:ascii="仿宋_GB2312" w:hAnsi="仿宋" w:eastAsia="仿宋_GB2312"/>
          <w:sz w:val="30"/>
          <w:szCs w:val="30"/>
          <w:highlight w:val="none"/>
        </w:rPr>
        <w:t>）填列</w:t>
      </w:r>
      <w:r>
        <w:rPr>
          <w:rFonts w:ascii="仿宋_GB2312" w:hAnsi="仿宋" w:eastAsia="仿宋_GB2312"/>
          <w:sz w:val="30"/>
          <w:szCs w:val="30"/>
          <w:highlight w:val="none"/>
        </w:rPr>
        <w:t>。</w:t>
      </w:r>
    </w:p>
    <w:p w14:paraId="62957C89">
      <w:pPr>
        <w:pStyle w:val="5"/>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10.执行会计制度：反映单位截</w:t>
      </w:r>
      <w:r>
        <w:rPr>
          <w:rFonts w:hint="eastAsia" w:ascii="仿宋_GB2312" w:hAnsi="仿宋" w:eastAsia="仿宋_GB2312"/>
          <w:sz w:val="30"/>
          <w:szCs w:val="30"/>
          <w:highlight w:val="none"/>
          <w:lang w:val="en-US" w:eastAsia="zh-CN"/>
        </w:rPr>
        <w:t>至</w:t>
      </w:r>
      <w:r>
        <w:rPr>
          <w:rFonts w:hint="eastAsia" w:ascii="仿宋_GB2312" w:hAnsi="仿宋" w:eastAsia="仿宋_GB2312"/>
          <w:sz w:val="30"/>
          <w:szCs w:val="30"/>
          <w:highlight w:val="none"/>
        </w:rPr>
        <w:t>20</w:t>
      </w:r>
      <w:r>
        <w:rPr>
          <w:rFonts w:ascii="仿宋_GB2312" w:hAnsi="仿宋" w:eastAsia="仿宋_GB2312"/>
          <w:sz w:val="30"/>
          <w:szCs w:val="30"/>
          <w:highlight w:val="none"/>
        </w:rPr>
        <w:t>2</w:t>
      </w:r>
      <w:r>
        <w:rPr>
          <w:rFonts w:hint="eastAsia" w:ascii="仿宋_GB2312" w:hAnsi="仿宋" w:eastAsia="仿宋_GB2312"/>
          <w:sz w:val="30"/>
          <w:szCs w:val="30"/>
          <w:highlight w:val="none"/>
        </w:rPr>
        <w:t>4年12月31日执行的会计制度，分为政府会计准则制度、民间非营利组织会计制度和军工科研事业单位会计制度。主管部门、各级财政部门编报汇总报表时不填列本项。</w:t>
      </w:r>
    </w:p>
    <w:p w14:paraId="7E7FC467">
      <w:pPr>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11</w:t>
      </w:r>
      <w:r>
        <w:rPr>
          <w:rFonts w:ascii="仿宋_GB2312" w:hAnsi="仿宋" w:eastAsia="仿宋_GB2312"/>
          <w:sz w:val="30"/>
          <w:szCs w:val="30"/>
          <w:highlight w:val="none"/>
        </w:rPr>
        <w:t>.</w:t>
      </w:r>
      <w:r>
        <w:rPr>
          <w:rFonts w:hint="eastAsia"/>
          <w:highlight w:val="none"/>
        </w:rPr>
        <w:t xml:space="preserve"> </w:t>
      </w:r>
      <w:r>
        <w:rPr>
          <w:rFonts w:hint="eastAsia" w:ascii="仿宋_GB2312" w:hAnsi="仿宋" w:eastAsia="仿宋_GB2312"/>
          <w:sz w:val="30"/>
          <w:szCs w:val="30"/>
          <w:highlight w:val="none"/>
        </w:rPr>
        <w:t>参照公务员法管理事业单位执行财务规则：单位性质选择“21.参照公务员法管理事业单位”时，执行财务规则按1</w:t>
      </w:r>
      <w:r>
        <w:rPr>
          <w:rFonts w:ascii="仿宋_GB2312" w:hAnsi="仿宋" w:eastAsia="仿宋_GB2312"/>
          <w:sz w:val="30"/>
          <w:szCs w:val="30"/>
          <w:highlight w:val="none"/>
        </w:rPr>
        <w:t>0.</w:t>
      </w:r>
      <w:r>
        <w:rPr>
          <w:rFonts w:hint="eastAsia" w:ascii="仿宋_GB2312" w:hAnsi="仿宋" w:eastAsia="仿宋_GB2312"/>
          <w:sz w:val="30"/>
          <w:szCs w:val="30"/>
          <w:highlight w:val="none"/>
        </w:rPr>
        <w:t>行政单位财务规则、2</w:t>
      </w:r>
      <w:r>
        <w:rPr>
          <w:rFonts w:ascii="仿宋_GB2312" w:hAnsi="仿宋" w:eastAsia="仿宋_GB2312"/>
          <w:sz w:val="30"/>
          <w:szCs w:val="30"/>
          <w:highlight w:val="none"/>
        </w:rPr>
        <w:t>0.</w:t>
      </w:r>
      <w:r>
        <w:rPr>
          <w:rFonts w:hint="eastAsia" w:ascii="仿宋_GB2312" w:hAnsi="仿宋" w:eastAsia="仿宋_GB2312"/>
          <w:sz w:val="30"/>
          <w:szCs w:val="30"/>
          <w:highlight w:val="none"/>
        </w:rPr>
        <w:t>事业单位财务规则及其他选择填写。</w:t>
      </w:r>
    </w:p>
    <w:p w14:paraId="4A47C4E4">
      <w:pPr>
        <w:pStyle w:val="5"/>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12.机构行业类型：依据国家标准《国民经济行业分类》（GB/T4754-2017）填列。单位应当根据</w:t>
      </w:r>
      <w:r>
        <w:rPr>
          <w:rFonts w:ascii="仿宋_GB2312" w:hAnsi="仿宋" w:eastAsia="仿宋_GB2312"/>
          <w:sz w:val="30"/>
          <w:szCs w:val="30"/>
          <w:highlight w:val="none"/>
        </w:rPr>
        <w:t>实际从事</w:t>
      </w:r>
      <w:r>
        <w:rPr>
          <w:rFonts w:hint="eastAsia" w:ascii="仿宋_GB2312" w:hAnsi="仿宋" w:eastAsia="仿宋_GB2312"/>
          <w:sz w:val="30"/>
          <w:szCs w:val="30"/>
          <w:highlight w:val="none"/>
        </w:rPr>
        <w:t>经济活动的性质，结合</w:t>
      </w:r>
      <w:r>
        <w:rPr>
          <w:rFonts w:hint="eastAsia" w:ascii="仿宋_GB2312" w:eastAsia="仿宋_GB2312"/>
          <w:sz w:val="32"/>
          <w:szCs w:val="32"/>
          <w:highlight w:val="none"/>
        </w:rPr>
        <w:t>“</w:t>
      </w:r>
      <w:r>
        <w:rPr>
          <w:rFonts w:hint="eastAsia" w:ascii="仿宋_GB2312" w:hAnsi="仿宋" w:eastAsia="仿宋_GB2312"/>
          <w:sz w:val="30"/>
          <w:szCs w:val="30"/>
          <w:highlight w:val="none"/>
        </w:rPr>
        <w:t>基本支出人员经费功能分类”选择相应的</w:t>
      </w:r>
      <w:r>
        <w:rPr>
          <w:rFonts w:ascii="仿宋_GB2312" w:hAnsi="仿宋" w:eastAsia="仿宋_GB2312"/>
          <w:sz w:val="30"/>
          <w:szCs w:val="30"/>
          <w:highlight w:val="none"/>
        </w:rPr>
        <w:t>行业分类</w:t>
      </w:r>
      <w:r>
        <w:rPr>
          <w:rFonts w:hint="eastAsia" w:ascii="仿宋_GB2312" w:hAnsi="仿宋" w:eastAsia="仿宋_GB2312"/>
          <w:sz w:val="30"/>
          <w:szCs w:val="30"/>
          <w:highlight w:val="none"/>
        </w:rPr>
        <w:t>进行选择</w:t>
      </w:r>
      <w:r>
        <w:rPr>
          <w:rFonts w:ascii="仿宋_GB2312" w:hAnsi="仿宋" w:eastAsia="仿宋_GB2312"/>
          <w:sz w:val="30"/>
          <w:szCs w:val="30"/>
          <w:highlight w:val="none"/>
        </w:rPr>
        <w:t>填列</w:t>
      </w:r>
      <w:r>
        <w:rPr>
          <w:rFonts w:hint="eastAsia" w:ascii="仿宋_GB2312" w:hAnsi="仿宋" w:eastAsia="仿宋_GB2312"/>
          <w:sz w:val="30"/>
          <w:szCs w:val="30"/>
          <w:highlight w:val="none"/>
        </w:rPr>
        <w:t>。</w:t>
      </w:r>
    </w:p>
    <w:p w14:paraId="67E66B67">
      <w:pPr>
        <w:pStyle w:val="5"/>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1</w:t>
      </w:r>
      <w:bookmarkStart w:id="1" w:name="_Hlk524441887"/>
      <w:r>
        <w:rPr>
          <w:rFonts w:hint="eastAsia" w:ascii="仿宋_GB2312" w:hAnsi="仿宋" w:eastAsia="仿宋_GB2312"/>
          <w:sz w:val="30"/>
          <w:szCs w:val="30"/>
          <w:highlight w:val="none"/>
        </w:rPr>
        <w:t>3.预算级次：反映单位资金来源级次，包括中央级、省级、计划单列市、市级、县（区）级、乡级。直辖市（</w:t>
      </w:r>
      <w:r>
        <w:rPr>
          <w:rFonts w:ascii="仿宋_GB2312" w:hAnsi="仿宋" w:eastAsia="仿宋_GB2312"/>
          <w:sz w:val="30"/>
          <w:szCs w:val="30"/>
          <w:highlight w:val="none"/>
        </w:rPr>
        <w:t>北京</w:t>
      </w:r>
      <w:r>
        <w:rPr>
          <w:rFonts w:hint="eastAsia" w:ascii="仿宋_GB2312" w:hAnsi="仿宋" w:eastAsia="仿宋_GB2312"/>
          <w:sz w:val="30"/>
          <w:szCs w:val="30"/>
          <w:highlight w:val="none"/>
        </w:rPr>
        <w:t>、</w:t>
      </w:r>
      <w:r>
        <w:rPr>
          <w:rFonts w:ascii="仿宋_GB2312" w:hAnsi="仿宋" w:eastAsia="仿宋_GB2312"/>
          <w:sz w:val="30"/>
          <w:szCs w:val="30"/>
          <w:highlight w:val="none"/>
        </w:rPr>
        <w:t>上海</w:t>
      </w:r>
      <w:r>
        <w:rPr>
          <w:rFonts w:hint="eastAsia" w:ascii="仿宋_GB2312" w:hAnsi="仿宋" w:eastAsia="仿宋_GB2312"/>
          <w:sz w:val="30"/>
          <w:szCs w:val="30"/>
          <w:highlight w:val="none"/>
        </w:rPr>
        <w:t>、</w:t>
      </w:r>
      <w:r>
        <w:rPr>
          <w:rFonts w:ascii="仿宋_GB2312" w:hAnsi="仿宋" w:eastAsia="仿宋_GB2312"/>
          <w:sz w:val="30"/>
          <w:szCs w:val="30"/>
          <w:highlight w:val="none"/>
        </w:rPr>
        <w:t>重庆</w:t>
      </w:r>
      <w:r>
        <w:rPr>
          <w:rFonts w:hint="eastAsia" w:ascii="仿宋_GB2312" w:hAnsi="仿宋" w:eastAsia="仿宋_GB2312"/>
          <w:sz w:val="30"/>
          <w:szCs w:val="30"/>
          <w:highlight w:val="none"/>
        </w:rPr>
        <w:t>、</w:t>
      </w:r>
      <w:r>
        <w:rPr>
          <w:rFonts w:ascii="仿宋_GB2312" w:hAnsi="仿宋" w:eastAsia="仿宋_GB2312"/>
          <w:sz w:val="30"/>
          <w:szCs w:val="30"/>
          <w:highlight w:val="none"/>
        </w:rPr>
        <w:t>天津</w:t>
      </w:r>
      <w:r>
        <w:rPr>
          <w:rFonts w:hint="eastAsia" w:ascii="仿宋_GB2312" w:hAnsi="仿宋" w:eastAsia="仿宋_GB2312"/>
          <w:sz w:val="30"/>
          <w:szCs w:val="30"/>
          <w:highlight w:val="none"/>
        </w:rPr>
        <w:t>）的预算级次按照省级政府填报。</w:t>
      </w:r>
    </w:p>
    <w:bookmarkEnd w:id="1"/>
    <w:p w14:paraId="2C209687">
      <w:pPr>
        <w:pStyle w:val="5"/>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14</w:t>
      </w:r>
      <w:r>
        <w:rPr>
          <w:rFonts w:ascii="仿宋_GB2312" w:hAnsi="仿宋" w:eastAsia="仿宋_GB2312"/>
          <w:sz w:val="30"/>
          <w:szCs w:val="30"/>
          <w:highlight w:val="none"/>
        </w:rPr>
        <w:t>.</w:t>
      </w:r>
      <w:r>
        <w:rPr>
          <w:rFonts w:hint="eastAsia" w:ascii="仿宋_GB2312" w:hAnsi="仿宋" w:eastAsia="仿宋_GB2312"/>
          <w:sz w:val="30"/>
          <w:szCs w:val="30"/>
          <w:highlight w:val="none"/>
        </w:rPr>
        <w:t>是否有驻外机构：依据单位驻外机构实际情况选择是、否填列。驻外机构包括我国驻外外交机构和中央行政事业单位驻外非外交性质代表机构、常设机构、办事机构等。</w:t>
      </w:r>
    </w:p>
    <w:p w14:paraId="09C03458">
      <w:pPr>
        <w:pStyle w:val="5"/>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15.是否编报部门决算：依据单位编报部门决算的实际情况选择是、否填列。</w:t>
      </w:r>
    </w:p>
    <w:p w14:paraId="08E8C507">
      <w:pPr>
        <w:pStyle w:val="5"/>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16.</w:t>
      </w:r>
      <w:r>
        <w:rPr>
          <w:rFonts w:hint="eastAsia" w:ascii="仿宋_GB2312" w:hAnsi="仿宋" w:eastAsia="仿宋_GB2312"/>
          <w:sz w:val="30"/>
          <w:szCs w:val="30"/>
          <w:highlight w:val="none"/>
          <w:lang w:val="en-US" w:eastAsia="zh-CN"/>
        </w:rPr>
        <w:t>新报</w:t>
      </w:r>
      <w:r>
        <w:rPr>
          <w:rFonts w:hint="eastAsia" w:ascii="仿宋_GB2312" w:hAnsi="仿宋" w:eastAsia="仿宋_GB2312"/>
          <w:sz w:val="30"/>
          <w:szCs w:val="30"/>
          <w:highlight w:val="none"/>
        </w:rPr>
        <w:t>因素：</w:t>
      </w:r>
      <w:r>
        <w:rPr>
          <w:rFonts w:hint="eastAsia" w:ascii="仿宋_GB2312" w:eastAsia="仿宋_GB2312"/>
          <w:sz w:val="30"/>
          <w:szCs w:val="30"/>
          <w:highlight w:val="none"/>
        </w:rPr>
        <w:t>如上年填报国有资产报表，系统自动赋值为“连续上报”，其他情况根据单位实际情况选择填列。主管部门、各级财政部门编报汇总报表时不填列本项。</w:t>
      </w:r>
    </w:p>
    <w:p w14:paraId="2EC5D363">
      <w:pPr>
        <w:pStyle w:val="5"/>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“0”表示连续</w:t>
      </w:r>
      <w:r>
        <w:rPr>
          <w:rFonts w:hint="eastAsia" w:ascii="仿宋_GB2312" w:hAnsi="仿宋" w:eastAsia="仿宋_GB2312"/>
          <w:sz w:val="30"/>
          <w:szCs w:val="30"/>
          <w:highlight w:val="none"/>
          <w:lang w:val="en-US" w:eastAsia="zh-CN"/>
        </w:rPr>
        <w:t>编报</w:t>
      </w:r>
      <w:r>
        <w:rPr>
          <w:rFonts w:hint="eastAsia" w:ascii="仿宋_GB2312" w:hAnsi="仿宋" w:eastAsia="仿宋_GB2312"/>
          <w:sz w:val="30"/>
          <w:szCs w:val="30"/>
          <w:highlight w:val="none"/>
        </w:rPr>
        <w:t>，由连续编报资产报表且</w:t>
      </w:r>
      <w:r>
        <w:rPr>
          <w:rFonts w:hint="eastAsia" w:ascii="仿宋_GB2312" w:hAnsi="仿宋" w:eastAsia="仿宋_GB2312"/>
          <w:sz w:val="30"/>
          <w:szCs w:val="30"/>
          <w:highlight w:val="none"/>
          <w:lang w:eastAsia="zh-CN"/>
        </w:rPr>
        <w:t>报表小类</w:t>
      </w:r>
      <w:r>
        <w:rPr>
          <w:rFonts w:hint="eastAsia" w:ascii="仿宋_GB2312" w:hAnsi="仿宋" w:eastAsia="仿宋_GB2312"/>
          <w:sz w:val="30"/>
          <w:szCs w:val="30"/>
          <w:highlight w:val="none"/>
        </w:rPr>
        <w:t>未改变的单位使用。如单位只是组织机构代码发生改变，仍选择连续上报。</w:t>
      </w:r>
    </w:p>
    <w:p w14:paraId="61C3FC4A">
      <w:pPr>
        <w:pStyle w:val="5"/>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highlight w:val="none"/>
        </w:rPr>
        <w:t>“1”表示新增单位，由新设立的单位（包括因机构改革合并、分立等设立的单位）</w:t>
      </w:r>
      <w:r>
        <w:rPr>
          <w:rFonts w:hint="eastAsia" w:ascii="仿宋_GB2312" w:hAnsi="仿宋" w:eastAsia="仿宋_GB2312"/>
          <w:sz w:val="30"/>
          <w:szCs w:val="30"/>
          <w:highlight w:val="none"/>
        </w:rPr>
        <w:t>、因会计制度变更新纳入填报范围的单位</w:t>
      </w:r>
      <w:r>
        <w:rPr>
          <w:rFonts w:hint="eastAsia" w:ascii="仿宋_GB2312" w:hAnsi="仿宋" w:eastAsia="仿宋_GB2312"/>
          <w:sz w:val="30"/>
          <w:highlight w:val="none"/>
        </w:rPr>
        <w:t>和同财政部门新建立经费缴拨关系的社会团体使用。</w:t>
      </w:r>
    </w:p>
    <w:p w14:paraId="75A533F2">
      <w:pPr>
        <w:pStyle w:val="5"/>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“2”表示上年应报未报，由上一年度应编未编资产报表的单位使用。</w:t>
      </w:r>
    </w:p>
    <w:p w14:paraId="5EEC58F1">
      <w:pPr>
        <w:pStyle w:val="5"/>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“6”表示调整隶属关系，由当年因机构改革等原因改变隶属关系的单位使用。</w:t>
      </w:r>
    </w:p>
    <w:p w14:paraId="22753CFA">
      <w:pPr>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17</w:t>
      </w:r>
      <w:r>
        <w:rPr>
          <w:rFonts w:ascii="仿宋_GB2312" w:hAnsi="仿宋" w:eastAsia="仿宋_GB2312"/>
          <w:sz w:val="30"/>
          <w:szCs w:val="30"/>
          <w:highlight w:val="none"/>
        </w:rPr>
        <w:t>.</w:t>
      </w:r>
      <w:r>
        <w:rPr>
          <w:rFonts w:hint="eastAsia" w:ascii="仿宋_GB2312" w:hAnsi="仿宋" w:eastAsia="仿宋_GB2312"/>
          <w:sz w:val="30"/>
          <w:szCs w:val="30"/>
          <w:highlight w:val="none"/>
        </w:rPr>
        <w:t>是否编报政府部门财务报告</w:t>
      </w:r>
      <w:r>
        <w:rPr>
          <w:rFonts w:hint="eastAsia" w:ascii="仿宋_GB2312" w:hAnsi="仿宋" w:eastAsia="仿宋_GB2312"/>
          <w:sz w:val="30"/>
          <w:szCs w:val="30"/>
          <w:highlight w:val="none"/>
          <w:lang w:eastAsia="zh-CN"/>
        </w:rPr>
        <w:t>：</w:t>
      </w:r>
      <w:r>
        <w:rPr>
          <w:rFonts w:hint="eastAsia"/>
          <w:highlight w:val="none"/>
        </w:rPr>
        <w:t xml:space="preserve"> </w:t>
      </w:r>
      <w:r>
        <w:rPr>
          <w:rFonts w:hint="eastAsia" w:ascii="仿宋_GB2312" w:hAnsi="仿宋" w:eastAsia="仿宋_GB2312"/>
          <w:sz w:val="30"/>
          <w:szCs w:val="30"/>
          <w:highlight w:val="none"/>
        </w:rPr>
        <w:t>依据单位编报政府部门财务报告的实际情况选择是、否填列。</w:t>
      </w:r>
    </w:p>
    <w:p w14:paraId="2B37C839">
      <w:pPr>
        <w:pStyle w:val="5"/>
        <w:spacing w:line="360" w:lineRule="auto"/>
        <w:ind w:firstLine="600" w:firstLineChars="200"/>
        <w:rPr>
          <w:rFonts w:hint="eastAsia" w:ascii="仿宋_GB2312" w:hAnsi="仿宋" w:eastAsia="仿宋_GB2312"/>
          <w:bCs/>
          <w:sz w:val="30"/>
          <w:szCs w:val="30"/>
          <w:highlight w:val="none"/>
        </w:rPr>
      </w:pPr>
      <w:r>
        <w:rPr>
          <w:rFonts w:hint="eastAsia" w:ascii="仿宋_GB2312" w:hAnsi="仿宋" w:eastAsia="仿宋_GB2312"/>
          <w:sz w:val="30"/>
          <w:szCs w:val="30"/>
          <w:highlight w:val="none"/>
        </w:rPr>
        <w:t>18.报表</w:t>
      </w:r>
      <w:r>
        <w:rPr>
          <w:rFonts w:hint="eastAsia" w:ascii="仿宋_GB2312" w:hAnsi="仿宋" w:eastAsia="仿宋_GB2312"/>
          <w:sz w:val="30"/>
          <w:szCs w:val="30"/>
          <w:highlight w:val="none"/>
          <w:lang w:val="en-US" w:eastAsia="zh-CN"/>
        </w:rPr>
        <w:t>小类</w:t>
      </w:r>
      <w:r>
        <w:rPr>
          <w:rFonts w:hint="eastAsia" w:ascii="仿宋_GB2312" w:hAnsi="仿宋" w:eastAsia="仿宋_GB2312"/>
          <w:sz w:val="30"/>
          <w:szCs w:val="30"/>
          <w:highlight w:val="none"/>
        </w:rPr>
        <w:t>：按单位具体填报的</w:t>
      </w:r>
      <w:r>
        <w:rPr>
          <w:rFonts w:hint="eastAsia" w:ascii="仿宋_GB2312" w:hAnsi="仿宋" w:eastAsia="仿宋_GB2312"/>
          <w:sz w:val="30"/>
          <w:szCs w:val="30"/>
          <w:highlight w:val="none"/>
          <w:lang w:eastAsia="zh-CN"/>
        </w:rPr>
        <w:t>报表小类</w:t>
      </w:r>
      <w:r>
        <w:rPr>
          <w:rFonts w:hint="eastAsia" w:ascii="仿宋_GB2312" w:hAnsi="仿宋" w:eastAsia="仿宋_GB2312"/>
          <w:sz w:val="30"/>
          <w:szCs w:val="30"/>
          <w:highlight w:val="none"/>
        </w:rPr>
        <w:t>选择填列。其中：“0”表示单户表，由独立核算行政事业单位编制报表时使用。“</w:t>
      </w:r>
      <w:r>
        <w:rPr>
          <w:rFonts w:hint="eastAsia" w:ascii="仿宋_GB2312" w:hAnsi="仿宋" w:eastAsia="仿宋_GB2312"/>
          <w:sz w:val="30"/>
          <w:szCs w:val="30"/>
          <w:highlight w:val="none"/>
          <w:lang w:val="en-US" w:eastAsia="zh-CN"/>
        </w:rPr>
        <w:t>7</w:t>
      </w:r>
      <w:r>
        <w:rPr>
          <w:rFonts w:hint="eastAsia" w:ascii="仿宋_GB2312" w:hAnsi="仿宋" w:eastAsia="仿宋_GB2312"/>
          <w:sz w:val="30"/>
          <w:szCs w:val="30"/>
          <w:highlight w:val="none"/>
        </w:rPr>
        <w:t>”表示</w:t>
      </w:r>
      <w:r>
        <w:rPr>
          <w:rFonts w:hint="eastAsia" w:ascii="仿宋_GB2312" w:hAnsi="仿宋" w:eastAsia="仿宋_GB2312"/>
          <w:sz w:val="30"/>
          <w:szCs w:val="30"/>
          <w:highlight w:val="none"/>
          <w:lang w:val="en-US" w:eastAsia="zh-CN"/>
        </w:rPr>
        <w:t>叠加</w:t>
      </w:r>
      <w:r>
        <w:rPr>
          <w:rFonts w:hint="eastAsia" w:ascii="仿宋_GB2312" w:hAnsi="仿宋" w:eastAsia="仿宋_GB2312"/>
          <w:sz w:val="30"/>
          <w:szCs w:val="30"/>
          <w:highlight w:val="none"/>
        </w:rPr>
        <w:t>汇总表，由各主管部门或地方各级财政部门编报汇总表时使用</w:t>
      </w:r>
      <w:r>
        <w:rPr>
          <w:rFonts w:hint="eastAsia" w:ascii="仿宋_GB2312" w:hAnsi="仿宋" w:eastAsia="仿宋_GB2312"/>
          <w:bCs/>
          <w:sz w:val="30"/>
          <w:szCs w:val="30"/>
          <w:highlight w:val="none"/>
        </w:rPr>
        <w:t>。</w:t>
      </w:r>
    </w:p>
    <w:p w14:paraId="45909E48">
      <w:pPr>
        <w:pStyle w:val="5"/>
        <w:spacing w:line="360" w:lineRule="auto"/>
        <w:ind w:firstLine="600" w:firstLineChars="200"/>
        <w:rPr>
          <w:rFonts w:hint="eastAsia" w:ascii="仿宋_GB2312" w:hAnsi="仿宋" w:eastAsia="仿宋_GB2312"/>
          <w:bCs/>
          <w:sz w:val="30"/>
          <w:szCs w:val="30"/>
          <w:highlight w:val="none"/>
        </w:rPr>
      </w:pPr>
      <w:r>
        <w:rPr>
          <w:rFonts w:hint="eastAsia" w:ascii="仿宋_GB2312" w:hAnsi="仿宋" w:eastAsia="仿宋_GB2312"/>
          <w:bCs/>
          <w:sz w:val="30"/>
          <w:szCs w:val="30"/>
          <w:highlight w:val="none"/>
        </w:rPr>
        <w:t>19.是否涉及公共基础设施、政府储备物资、保障性住房：按单位是否涉及交通、水利、市政等公共基础设施、政府储备物资、保障性住房的实际情况选择是、否填列。</w:t>
      </w:r>
    </w:p>
    <w:p w14:paraId="0C854F52">
      <w:pPr>
        <w:spacing w:line="360" w:lineRule="auto"/>
        <w:ind w:firstLine="602" w:firstLineChars="200"/>
        <w:rPr>
          <w:rFonts w:hint="eastAsia" w:ascii="仿宋_GB2312" w:hAnsi="仿宋" w:eastAsia="仿宋_GB2312"/>
          <w:b/>
          <w:sz w:val="30"/>
          <w:szCs w:val="30"/>
          <w:highlight w:val="none"/>
        </w:rPr>
      </w:pPr>
      <w:r>
        <w:rPr>
          <w:rFonts w:hint="eastAsia" w:ascii="仿宋_GB2312" w:hAnsi="仿宋" w:eastAsia="仿宋_GB2312"/>
          <w:b/>
          <w:sz w:val="30"/>
          <w:szCs w:val="30"/>
          <w:highlight w:val="none"/>
        </w:rPr>
        <w:t>逻辑性审核公式：</w:t>
      </w:r>
    </w:p>
    <w:p w14:paraId="49E33101">
      <w:pPr>
        <w:numPr>
          <w:ilvl w:val="0"/>
          <w:numId w:val="1"/>
        </w:numPr>
        <w:spacing w:line="360" w:lineRule="auto"/>
        <w:ind w:left="987"/>
        <w:rPr>
          <w:rFonts w:hint="eastAsia" w:ascii="仿宋_GB2312" w:hAnsi="仿宋" w:eastAsia="仿宋_GB2312"/>
          <w:sz w:val="30"/>
          <w:szCs w:val="30"/>
          <w:highlight w:val="none"/>
        </w:rPr>
      </w:pPr>
      <w:r>
        <w:rPr>
          <w:rFonts w:hint="eastAsia" w:ascii="仿宋_GB2312" w:hAnsi="仿宋" w:eastAsia="仿宋_GB2312"/>
          <w:sz w:val="30"/>
          <w:szCs w:val="30"/>
          <w:highlight w:val="none"/>
        </w:rPr>
        <w:t>单位名称应不少于三个汉字；</w:t>
      </w:r>
    </w:p>
    <w:p w14:paraId="52DB7878">
      <w:pPr>
        <w:numPr>
          <w:ilvl w:val="0"/>
          <w:numId w:val="1"/>
        </w:numPr>
        <w:spacing w:line="360" w:lineRule="auto"/>
        <w:ind w:left="987"/>
        <w:rPr>
          <w:rFonts w:hint="eastAsia" w:ascii="仿宋_GB2312" w:hAnsi="仿宋" w:eastAsia="仿宋_GB2312"/>
          <w:sz w:val="30"/>
          <w:szCs w:val="30"/>
          <w:highlight w:val="none"/>
        </w:rPr>
      </w:pPr>
      <w:r>
        <w:rPr>
          <w:rFonts w:hint="eastAsia" w:ascii="仿宋_GB2312" w:hAnsi="仿宋" w:eastAsia="仿宋_GB2312"/>
          <w:sz w:val="30"/>
          <w:szCs w:val="30"/>
          <w:highlight w:val="none"/>
        </w:rPr>
        <w:t>单位负责人应不少于两个汉字；</w:t>
      </w:r>
    </w:p>
    <w:p w14:paraId="7B77C69F">
      <w:pPr>
        <w:numPr>
          <w:ilvl w:val="0"/>
          <w:numId w:val="1"/>
        </w:numPr>
        <w:spacing w:line="360" w:lineRule="auto"/>
        <w:ind w:left="987"/>
        <w:rPr>
          <w:rFonts w:hint="eastAsia" w:ascii="仿宋_GB2312" w:hAnsi="仿宋" w:eastAsia="仿宋_GB2312"/>
          <w:sz w:val="30"/>
          <w:szCs w:val="30"/>
          <w:highlight w:val="none"/>
        </w:rPr>
      </w:pPr>
      <w:r>
        <w:rPr>
          <w:rFonts w:hint="eastAsia" w:ascii="仿宋_GB2312" w:hAnsi="仿宋" w:eastAsia="仿宋_GB2312"/>
          <w:sz w:val="30"/>
          <w:szCs w:val="30"/>
          <w:highlight w:val="none"/>
        </w:rPr>
        <w:t>资产管理负责人应不少于两个汉字；</w:t>
      </w:r>
    </w:p>
    <w:p w14:paraId="1051E708">
      <w:pPr>
        <w:numPr>
          <w:ilvl w:val="0"/>
          <w:numId w:val="1"/>
        </w:numPr>
        <w:spacing w:line="360" w:lineRule="auto"/>
        <w:ind w:left="987"/>
        <w:rPr>
          <w:rFonts w:hint="eastAsia" w:ascii="仿宋_GB2312" w:hAnsi="仿宋" w:eastAsia="仿宋_GB2312"/>
          <w:sz w:val="30"/>
          <w:szCs w:val="30"/>
          <w:highlight w:val="none"/>
        </w:rPr>
      </w:pPr>
      <w:r>
        <w:rPr>
          <w:rFonts w:hint="eastAsia" w:ascii="仿宋_GB2312" w:hAnsi="仿宋" w:eastAsia="仿宋_GB2312"/>
          <w:sz w:val="30"/>
          <w:szCs w:val="30"/>
          <w:highlight w:val="none"/>
        </w:rPr>
        <w:t>填表人应不少于两个汉字；</w:t>
      </w:r>
    </w:p>
    <w:p w14:paraId="033CA08D">
      <w:pPr>
        <w:numPr>
          <w:ilvl w:val="0"/>
          <w:numId w:val="1"/>
        </w:numPr>
        <w:spacing w:line="360" w:lineRule="auto"/>
        <w:ind w:left="987"/>
        <w:rPr>
          <w:rFonts w:hint="eastAsia" w:ascii="仿宋_GB2312" w:hAnsi="仿宋" w:eastAsia="仿宋_GB2312"/>
          <w:sz w:val="30"/>
          <w:szCs w:val="30"/>
          <w:highlight w:val="none"/>
        </w:rPr>
      </w:pPr>
      <w:r>
        <w:rPr>
          <w:rFonts w:hint="eastAsia" w:ascii="仿宋_GB2312" w:hAnsi="仿宋" w:eastAsia="仿宋_GB2312"/>
          <w:sz w:val="30"/>
          <w:szCs w:val="30"/>
          <w:highlight w:val="none"/>
        </w:rPr>
        <w:t>手机号码不应为空，首位应为“1”且为11位数字；</w:t>
      </w:r>
    </w:p>
    <w:p w14:paraId="2261F7B1">
      <w:pPr>
        <w:numPr>
          <w:ilvl w:val="0"/>
          <w:numId w:val="1"/>
        </w:numPr>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highlight w:val="none"/>
        </w:rPr>
        <w:t>座机号码不应为空，且号码均为数字，区号首位应为“0”，不能多于5位，电话号码不能多于10位，分机号不能多于6位；</w:t>
      </w:r>
    </w:p>
    <w:p w14:paraId="3DDC8FEB">
      <w:pPr>
        <w:numPr>
          <w:ilvl w:val="0"/>
          <w:numId w:val="1"/>
        </w:numPr>
        <w:spacing w:line="360" w:lineRule="auto"/>
        <w:ind w:left="987"/>
        <w:rPr>
          <w:rFonts w:hint="eastAsia" w:ascii="仿宋_GB2312" w:hAnsi="仿宋" w:eastAsia="仿宋_GB2312"/>
          <w:sz w:val="30"/>
          <w:szCs w:val="30"/>
          <w:highlight w:val="none"/>
        </w:rPr>
      </w:pPr>
      <w:r>
        <w:rPr>
          <w:rFonts w:hint="eastAsia" w:ascii="仿宋_GB2312" w:hAnsi="仿宋" w:eastAsia="仿宋_GB2312"/>
          <w:sz w:val="30"/>
          <w:szCs w:val="30"/>
          <w:highlight w:val="none"/>
        </w:rPr>
        <w:t>单位地址应大于10字符的长度；</w:t>
      </w:r>
    </w:p>
    <w:p w14:paraId="10827E01">
      <w:pPr>
        <w:numPr>
          <w:ilvl w:val="0"/>
          <w:numId w:val="1"/>
        </w:numPr>
        <w:spacing w:line="360" w:lineRule="auto"/>
        <w:ind w:left="987"/>
        <w:rPr>
          <w:rFonts w:hint="eastAsia" w:ascii="仿宋_GB2312" w:hAnsi="仿宋" w:eastAsia="仿宋_GB2312"/>
          <w:sz w:val="30"/>
          <w:szCs w:val="30"/>
          <w:highlight w:val="none"/>
        </w:rPr>
      </w:pPr>
      <w:r>
        <w:rPr>
          <w:rFonts w:hint="eastAsia" w:ascii="仿宋_GB2312" w:hAnsi="仿宋" w:eastAsia="仿宋_GB2312"/>
          <w:sz w:val="30"/>
          <w:szCs w:val="30"/>
          <w:highlight w:val="none"/>
        </w:rPr>
        <w:t>报送日期不应为空；</w:t>
      </w:r>
    </w:p>
    <w:p w14:paraId="5A6E3AD9">
      <w:pPr>
        <w:numPr>
          <w:ilvl w:val="0"/>
          <w:numId w:val="1"/>
        </w:numPr>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highlight w:val="none"/>
        </w:rPr>
        <w:t>统一社会信用代码应为18位，且编码符合强制性国家标准GB 32100-2015《法人和其他组织统一社会信用代码编码规则》、IDCL规则要求</w:t>
      </w:r>
      <w:r>
        <w:rPr>
          <w:rFonts w:hint="eastAsia" w:ascii="仿宋_GB2312" w:hAnsi="仿宋" w:eastAsia="仿宋_GB2312"/>
          <w:sz w:val="30"/>
          <w:szCs w:val="30"/>
          <w:highlight w:val="none"/>
        </w:rPr>
        <w:t>；</w:t>
      </w:r>
    </w:p>
    <w:p w14:paraId="62AE0037">
      <w:pPr>
        <w:numPr>
          <w:ilvl w:val="0"/>
          <w:numId w:val="1"/>
        </w:numPr>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rPr>
        <w:t>单位类型不应为空；</w:t>
      </w:r>
    </w:p>
    <w:p w14:paraId="5180CE44">
      <w:pPr>
        <w:numPr>
          <w:ilvl w:val="0"/>
          <w:numId w:val="1"/>
        </w:numPr>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lang w:eastAsia="zh-CN"/>
        </w:rPr>
        <w:t>报表小类</w:t>
      </w:r>
      <w:r>
        <w:rPr>
          <w:rFonts w:hint="eastAsia" w:ascii="仿宋_GB2312" w:hAnsi="仿宋" w:eastAsia="仿宋_GB2312"/>
          <w:sz w:val="30"/>
          <w:szCs w:val="30"/>
          <w:highlight w:val="none"/>
        </w:rPr>
        <w:t>不应为空；</w:t>
      </w:r>
    </w:p>
    <w:p w14:paraId="58BCC5DA">
      <w:pPr>
        <w:numPr>
          <w:ilvl w:val="0"/>
          <w:numId w:val="1"/>
        </w:numPr>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rPr>
        <w:t>当单位性质选择“11.共产党机关 12.政府机关 13.人大机关 14.政协机关 15.群众团体 16.民主党派 17.政法机关”时，单位类型应选择“行政单位”；</w:t>
      </w:r>
    </w:p>
    <w:p w14:paraId="308E679A">
      <w:pPr>
        <w:numPr>
          <w:ilvl w:val="0"/>
          <w:numId w:val="1"/>
        </w:numPr>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rPr>
        <w:t>当单位性质选择“21.参照公务员法管理事业单位 22.财政补助事业单位 23.经费自理事业单位”时，单位类型应选择“21.行政类</w:t>
      </w:r>
      <w:r>
        <w:rPr>
          <w:rFonts w:hint="eastAsia" w:ascii="仿宋_GB2312" w:hAnsi="仿宋" w:eastAsia="仿宋_GB2312"/>
          <w:sz w:val="30"/>
          <w:szCs w:val="30"/>
          <w:highlight w:val="none"/>
          <w:lang w:val="en-US" w:eastAsia="zh-CN"/>
        </w:rPr>
        <w:t>事业单位</w:t>
      </w:r>
      <w:r>
        <w:rPr>
          <w:rFonts w:hint="eastAsia" w:ascii="仿宋_GB2312" w:hAnsi="仿宋" w:eastAsia="仿宋_GB2312"/>
          <w:sz w:val="30"/>
          <w:szCs w:val="30"/>
          <w:highlight w:val="none"/>
        </w:rPr>
        <w:t xml:space="preserve"> 22.公益一类</w:t>
      </w:r>
      <w:r>
        <w:rPr>
          <w:rFonts w:hint="eastAsia" w:ascii="仿宋_GB2312" w:hAnsi="仿宋" w:eastAsia="仿宋_GB2312"/>
          <w:sz w:val="30"/>
          <w:szCs w:val="30"/>
          <w:highlight w:val="none"/>
          <w:lang w:val="en-US" w:eastAsia="zh-CN"/>
        </w:rPr>
        <w:t>事业单位</w:t>
      </w:r>
      <w:r>
        <w:rPr>
          <w:rFonts w:hint="eastAsia" w:ascii="仿宋_GB2312" w:hAnsi="仿宋" w:eastAsia="仿宋_GB2312"/>
          <w:sz w:val="30"/>
          <w:szCs w:val="30"/>
          <w:highlight w:val="none"/>
        </w:rPr>
        <w:t xml:space="preserve"> 23.公益二类</w:t>
      </w:r>
      <w:r>
        <w:rPr>
          <w:rFonts w:hint="eastAsia" w:ascii="仿宋_GB2312" w:hAnsi="仿宋" w:eastAsia="仿宋_GB2312"/>
          <w:sz w:val="30"/>
          <w:szCs w:val="30"/>
          <w:highlight w:val="none"/>
          <w:lang w:val="en-US" w:eastAsia="zh-CN"/>
        </w:rPr>
        <w:t>事业单位</w:t>
      </w:r>
      <w:r>
        <w:rPr>
          <w:rFonts w:hint="eastAsia" w:ascii="仿宋_GB2312" w:hAnsi="仿宋" w:eastAsia="仿宋_GB2312"/>
          <w:sz w:val="30"/>
          <w:szCs w:val="30"/>
          <w:highlight w:val="none"/>
        </w:rPr>
        <w:t xml:space="preserve"> 24.生产经营类</w:t>
      </w:r>
      <w:r>
        <w:rPr>
          <w:rFonts w:hint="eastAsia" w:ascii="仿宋_GB2312" w:hAnsi="仿宋" w:eastAsia="仿宋_GB2312"/>
          <w:sz w:val="30"/>
          <w:szCs w:val="30"/>
          <w:highlight w:val="none"/>
          <w:lang w:val="en-US" w:eastAsia="zh-CN"/>
        </w:rPr>
        <w:t>事业单位</w:t>
      </w:r>
      <w:r>
        <w:rPr>
          <w:rFonts w:hint="eastAsia" w:ascii="仿宋_GB2312" w:hAnsi="仿宋" w:eastAsia="仿宋_GB2312"/>
          <w:sz w:val="30"/>
          <w:szCs w:val="30"/>
          <w:highlight w:val="none"/>
        </w:rPr>
        <w:t xml:space="preserve"> 29.暂未</w:t>
      </w:r>
      <w:r>
        <w:rPr>
          <w:rFonts w:hint="eastAsia" w:ascii="仿宋_GB2312" w:hAnsi="仿宋" w:eastAsia="仿宋_GB2312"/>
          <w:sz w:val="30"/>
          <w:szCs w:val="30"/>
          <w:highlight w:val="none"/>
          <w:lang w:val="en-US" w:eastAsia="zh-CN"/>
        </w:rPr>
        <w:t>分类事业单位</w:t>
      </w:r>
      <w:r>
        <w:rPr>
          <w:rFonts w:hint="eastAsia" w:ascii="仿宋_GB2312" w:hAnsi="仿宋" w:eastAsia="仿宋_GB2312"/>
          <w:sz w:val="30"/>
          <w:szCs w:val="30"/>
          <w:highlight w:val="none"/>
        </w:rPr>
        <w:t>”；</w:t>
      </w:r>
    </w:p>
    <w:p w14:paraId="347F2FBC">
      <w:pPr>
        <w:numPr>
          <w:ilvl w:val="0"/>
          <w:numId w:val="1"/>
        </w:numPr>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rPr>
        <w:t>当单位性质选择“31.社会团体及其他”时，单位类型应选择“</w:t>
      </w:r>
      <w:r>
        <w:rPr>
          <w:rFonts w:ascii="仿宋_GB2312" w:hAnsi="仿宋" w:eastAsia="仿宋_GB2312"/>
          <w:sz w:val="30"/>
          <w:szCs w:val="30"/>
          <w:highlight w:val="none"/>
        </w:rPr>
        <w:t>9.</w:t>
      </w:r>
      <w:r>
        <w:rPr>
          <w:rFonts w:hint="eastAsia" w:ascii="仿宋_GB2312" w:hAnsi="仿宋" w:eastAsia="仿宋_GB2312"/>
          <w:sz w:val="30"/>
          <w:szCs w:val="30"/>
          <w:highlight w:val="none"/>
        </w:rPr>
        <w:t>其他</w:t>
      </w:r>
      <w:r>
        <w:rPr>
          <w:rFonts w:hint="eastAsia" w:ascii="仿宋_GB2312" w:hAnsi="仿宋" w:eastAsia="仿宋_GB2312"/>
          <w:sz w:val="30"/>
          <w:szCs w:val="30"/>
          <w:highlight w:val="none"/>
          <w:lang w:val="en-US" w:eastAsia="zh-CN"/>
        </w:rPr>
        <w:t>单位</w:t>
      </w:r>
      <w:r>
        <w:rPr>
          <w:rFonts w:hint="eastAsia" w:ascii="仿宋_GB2312" w:hAnsi="仿宋" w:eastAsia="仿宋_GB2312"/>
          <w:sz w:val="30"/>
          <w:szCs w:val="30"/>
          <w:highlight w:val="none"/>
        </w:rPr>
        <w:t>”；</w:t>
      </w:r>
    </w:p>
    <w:p w14:paraId="7E835287">
      <w:pPr>
        <w:numPr>
          <w:ilvl w:val="0"/>
          <w:numId w:val="1"/>
        </w:numPr>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rPr>
        <w:t>财政预算代码不应为空，代码位数应为</w:t>
      </w:r>
      <w:r>
        <w:rPr>
          <w:rFonts w:ascii="仿宋_GB2312" w:hAnsi="仿宋" w:eastAsia="仿宋_GB2312"/>
          <w:sz w:val="30"/>
          <w:szCs w:val="30"/>
          <w:highlight w:val="none"/>
        </w:rPr>
        <w:t>3</w:t>
      </w:r>
      <w:r>
        <w:rPr>
          <w:rFonts w:hint="eastAsia" w:ascii="仿宋_GB2312" w:hAnsi="仿宋" w:eastAsia="仿宋_GB2312"/>
          <w:sz w:val="30"/>
          <w:szCs w:val="30"/>
          <w:highlight w:val="none"/>
        </w:rPr>
        <w:t>位、6位、</w:t>
      </w:r>
      <w:r>
        <w:rPr>
          <w:rFonts w:ascii="仿宋_GB2312" w:hAnsi="仿宋" w:eastAsia="仿宋_GB2312"/>
          <w:sz w:val="30"/>
          <w:szCs w:val="30"/>
          <w:highlight w:val="none"/>
        </w:rPr>
        <w:t>9</w:t>
      </w:r>
      <w:r>
        <w:rPr>
          <w:rFonts w:hint="eastAsia" w:ascii="仿宋_GB2312" w:hAnsi="仿宋" w:eastAsia="仿宋_GB2312"/>
          <w:sz w:val="30"/>
          <w:szCs w:val="30"/>
          <w:highlight w:val="none"/>
        </w:rPr>
        <w:t>位等（3的倍数）；</w:t>
      </w:r>
    </w:p>
    <w:p w14:paraId="00FEB5CF">
      <w:pPr>
        <w:numPr>
          <w:ilvl w:val="0"/>
          <w:numId w:val="1"/>
        </w:numPr>
        <w:spacing w:line="360" w:lineRule="auto"/>
        <w:ind w:left="987"/>
        <w:rPr>
          <w:rFonts w:hint="eastAsia" w:ascii="仿宋_GB2312" w:hAnsi="仿宋" w:eastAsia="仿宋_GB2312"/>
          <w:sz w:val="30"/>
          <w:szCs w:val="30"/>
          <w:highlight w:val="none"/>
        </w:rPr>
      </w:pPr>
      <w:r>
        <w:rPr>
          <w:rFonts w:hint="eastAsia" w:ascii="仿宋_GB2312" w:hAnsi="仿宋" w:eastAsia="仿宋_GB2312"/>
          <w:sz w:val="30"/>
          <w:szCs w:val="30"/>
          <w:highlight w:val="none"/>
        </w:rPr>
        <w:t>单位所在地区（国家标准：行政区划代码）不应为空；</w:t>
      </w:r>
    </w:p>
    <w:p w14:paraId="3943A56C">
      <w:pPr>
        <w:numPr>
          <w:ilvl w:val="0"/>
          <w:numId w:val="1"/>
        </w:numPr>
        <w:spacing w:line="360" w:lineRule="auto"/>
        <w:ind w:left="987"/>
        <w:rPr>
          <w:rFonts w:hint="eastAsia" w:ascii="仿宋_GB2312" w:hAnsi="仿宋" w:eastAsia="仿宋_GB2312"/>
          <w:sz w:val="30"/>
          <w:szCs w:val="30"/>
          <w:highlight w:val="none"/>
        </w:rPr>
      </w:pPr>
      <w:r>
        <w:rPr>
          <w:rFonts w:hint="eastAsia" w:ascii="仿宋_GB2312" w:hAnsi="仿宋" w:eastAsia="仿宋_GB2312"/>
          <w:sz w:val="30"/>
          <w:szCs w:val="30"/>
          <w:highlight w:val="none"/>
        </w:rPr>
        <w:t>隶属关系不应为空；</w:t>
      </w:r>
    </w:p>
    <w:p w14:paraId="7D106C0E">
      <w:pPr>
        <w:numPr>
          <w:ilvl w:val="0"/>
          <w:numId w:val="1"/>
        </w:numPr>
        <w:spacing w:line="360" w:lineRule="auto"/>
        <w:ind w:left="987"/>
        <w:rPr>
          <w:rFonts w:hint="eastAsia" w:ascii="仿宋_GB2312" w:hAnsi="仿宋" w:eastAsia="仿宋_GB2312"/>
          <w:sz w:val="30"/>
          <w:szCs w:val="30"/>
          <w:highlight w:val="none"/>
        </w:rPr>
      </w:pPr>
      <w:r>
        <w:rPr>
          <w:rFonts w:hint="eastAsia" w:ascii="仿宋_GB2312" w:hAnsi="仿宋" w:eastAsia="仿宋_GB2312"/>
          <w:sz w:val="30"/>
          <w:szCs w:val="30"/>
          <w:highlight w:val="none"/>
        </w:rPr>
        <w:t>部门标识代码不应为空；</w:t>
      </w:r>
    </w:p>
    <w:p w14:paraId="4E2CA36D">
      <w:pPr>
        <w:numPr>
          <w:ilvl w:val="0"/>
          <w:numId w:val="1"/>
        </w:numPr>
        <w:spacing w:line="360" w:lineRule="auto"/>
        <w:ind w:left="987"/>
        <w:rPr>
          <w:rFonts w:hint="eastAsia" w:ascii="仿宋_GB2312" w:hAnsi="仿宋" w:eastAsia="仿宋_GB2312"/>
          <w:sz w:val="30"/>
          <w:szCs w:val="30"/>
          <w:highlight w:val="none"/>
        </w:rPr>
      </w:pPr>
      <w:r>
        <w:rPr>
          <w:rFonts w:hint="eastAsia" w:ascii="仿宋_GB2312" w:hAnsi="仿宋" w:eastAsia="仿宋_GB2312"/>
          <w:sz w:val="30"/>
          <w:szCs w:val="30"/>
          <w:highlight w:val="none"/>
        </w:rPr>
        <w:t>单位执行会计制度不应为空；</w:t>
      </w:r>
    </w:p>
    <w:p w14:paraId="37AAD524">
      <w:pPr>
        <w:numPr>
          <w:ilvl w:val="0"/>
          <w:numId w:val="1"/>
        </w:numPr>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lang w:eastAsia="zh-CN"/>
        </w:rPr>
        <w:t>单位性质</w:t>
      </w:r>
      <w:r>
        <w:rPr>
          <w:rFonts w:hint="eastAsia" w:ascii="仿宋_GB2312" w:hAnsi="仿宋" w:eastAsia="仿宋_GB2312"/>
          <w:sz w:val="30"/>
          <w:szCs w:val="30"/>
          <w:highlight w:val="none"/>
        </w:rPr>
        <w:t>选择“21.参照公务员法管理事业单位”时，参照公务员法管理事业单位执行财务规则必填，否则必须为空；</w:t>
      </w:r>
    </w:p>
    <w:p w14:paraId="27DC5911">
      <w:pPr>
        <w:numPr>
          <w:ilvl w:val="0"/>
          <w:numId w:val="1"/>
        </w:numPr>
        <w:spacing w:line="360" w:lineRule="auto"/>
        <w:ind w:left="987"/>
        <w:rPr>
          <w:rFonts w:hint="eastAsia" w:ascii="仿宋_GB2312" w:hAnsi="仿宋" w:eastAsia="仿宋_GB2312"/>
          <w:sz w:val="30"/>
          <w:szCs w:val="30"/>
          <w:highlight w:val="none"/>
        </w:rPr>
      </w:pPr>
      <w:r>
        <w:rPr>
          <w:rFonts w:hint="eastAsia" w:ascii="仿宋_GB2312" w:hAnsi="仿宋" w:eastAsia="仿宋_GB2312"/>
          <w:sz w:val="30"/>
          <w:szCs w:val="30"/>
          <w:highlight w:val="none"/>
          <w:lang w:eastAsia="zh-CN"/>
        </w:rPr>
        <w:t>新报因素</w:t>
      </w:r>
      <w:r>
        <w:rPr>
          <w:rFonts w:hint="eastAsia" w:ascii="仿宋_GB2312" w:hAnsi="仿宋" w:eastAsia="仿宋_GB2312"/>
          <w:sz w:val="30"/>
          <w:szCs w:val="30"/>
          <w:highlight w:val="none"/>
        </w:rPr>
        <w:t>不应为空；</w:t>
      </w:r>
    </w:p>
    <w:p w14:paraId="0683DE3A">
      <w:pPr>
        <w:numPr>
          <w:ilvl w:val="0"/>
          <w:numId w:val="1"/>
        </w:numPr>
        <w:spacing w:line="360" w:lineRule="auto"/>
        <w:ind w:left="987"/>
        <w:rPr>
          <w:rFonts w:hint="eastAsia" w:ascii="仿宋_GB2312" w:hAnsi="仿宋" w:eastAsia="仿宋_GB2312"/>
          <w:sz w:val="30"/>
          <w:szCs w:val="30"/>
          <w:highlight w:val="none"/>
        </w:rPr>
      </w:pPr>
      <w:r>
        <w:rPr>
          <w:rFonts w:hint="eastAsia" w:ascii="仿宋_GB2312" w:hAnsi="仿宋" w:eastAsia="仿宋_GB2312"/>
          <w:sz w:val="30"/>
          <w:szCs w:val="30"/>
          <w:highlight w:val="none"/>
          <w:lang w:eastAsia="zh-CN"/>
        </w:rPr>
        <w:t>单位性质</w:t>
      </w:r>
      <w:r>
        <w:rPr>
          <w:rFonts w:hint="eastAsia" w:ascii="仿宋_GB2312" w:hAnsi="仿宋" w:eastAsia="仿宋_GB2312"/>
          <w:sz w:val="30"/>
          <w:szCs w:val="30"/>
          <w:highlight w:val="none"/>
        </w:rPr>
        <w:t>不应为空；</w:t>
      </w:r>
    </w:p>
    <w:p w14:paraId="0F9CD0BE">
      <w:pPr>
        <w:numPr>
          <w:ilvl w:val="0"/>
          <w:numId w:val="1"/>
        </w:numPr>
        <w:spacing w:line="360" w:lineRule="auto"/>
        <w:ind w:left="987"/>
        <w:rPr>
          <w:rFonts w:hint="eastAsia" w:ascii="仿宋_GB2312" w:hAnsi="仿宋" w:eastAsia="仿宋_GB2312"/>
          <w:sz w:val="30"/>
          <w:szCs w:val="30"/>
          <w:highlight w:val="none"/>
        </w:rPr>
      </w:pPr>
      <w:r>
        <w:rPr>
          <w:rFonts w:hint="eastAsia" w:ascii="仿宋_GB2312" w:hAnsi="仿宋" w:eastAsia="仿宋_GB2312"/>
          <w:sz w:val="30"/>
          <w:szCs w:val="30"/>
          <w:highlight w:val="none"/>
        </w:rPr>
        <w:t>机构</w:t>
      </w:r>
      <w:r>
        <w:rPr>
          <w:rFonts w:ascii="仿宋_GB2312" w:hAnsi="仿宋" w:eastAsia="仿宋_GB2312"/>
          <w:sz w:val="30"/>
          <w:szCs w:val="30"/>
          <w:highlight w:val="none"/>
        </w:rPr>
        <w:t>行业类型不应为空；</w:t>
      </w:r>
      <w:r>
        <w:rPr>
          <w:rFonts w:hint="eastAsia" w:ascii="仿宋_GB2312" w:hAnsi="仿宋" w:eastAsia="仿宋_GB2312"/>
          <w:sz w:val="30"/>
          <w:szCs w:val="30"/>
          <w:highlight w:val="none"/>
        </w:rPr>
        <w:t xml:space="preserve"> </w:t>
      </w:r>
    </w:p>
    <w:p w14:paraId="3213A134">
      <w:pPr>
        <w:numPr>
          <w:ilvl w:val="0"/>
          <w:numId w:val="1"/>
        </w:numPr>
        <w:spacing w:line="360" w:lineRule="auto"/>
        <w:ind w:left="987"/>
        <w:rPr>
          <w:rFonts w:hint="eastAsia" w:ascii="仿宋_GB2312" w:hAnsi="仿宋" w:eastAsia="仿宋_GB2312"/>
          <w:sz w:val="30"/>
          <w:szCs w:val="30"/>
          <w:highlight w:val="none"/>
        </w:rPr>
      </w:pPr>
      <w:r>
        <w:rPr>
          <w:rFonts w:hint="eastAsia" w:ascii="仿宋_GB2312" w:hAnsi="仿宋" w:eastAsia="仿宋_GB2312"/>
          <w:sz w:val="30"/>
          <w:szCs w:val="30"/>
          <w:highlight w:val="none"/>
        </w:rPr>
        <w:t>预算级次不应为空；</w:t>
      </w:r>
    </w:p>
    <w:p w14:paraId="37ED46B1">
      <w:pPr>
        <w:numPr>
          <w:ilvl w:val="0"/>
          <w:numId w:val="1"/>
        </w:numPr>
        <w:spacing w:line="360" w:lineRule="auto"/>
        <w:ind w:left="987"/>
        <w:rPr>
          <w:rFonts w:hint="eastAsia" w:ascii="仿宋_GB2312" w:hAnsi="仿宋" w:eastAsia="仿宋_GB2312"/>
          <w:sz w:val="30"/>
          <w:szCs w:val="30"/>
          <w:highlight w:val="none"/>
        </w:rPr>
      </w:pPr>
      <w:r>
        <w:rPr>
          <w:rFonts w:hint="eastAsia" w:ascii="仿宋_GB2312" w:hAnsi="仿宋" w:eastAsia="仿宋_GB2312"/>
          <w:sz w:val="30"/>
          <w:szCs w:val="30"/>
          <w:highlight w:val="none"/>
        </w:rPr>
        <w:t>是否编报部门决算不应为空；</w:t>
      </w:r>
    </w:p>
    <w:p w14:paraId="011C4AC3">
      <w:pPr>
        <w:numPr>
          <w:ilvl w:val="0"/>
          <w:numId w:val="1"/>
        </w:numPr>
        <w:spacing w:line="360" w:lineRule="auto"/>
        <w:ind w:left="987"/>
        <w:rPr>
          <w:rFonts w:hint="eastAsia" w:ascii="仿宋_GB2312" w:hAnsi="仿宋" w:eastAsia="仿宋_GB2312"/>
          <w:sz w:val="30"/>
          <w:szCs w:val="30"/>
          <w:highlight w:val="none"/>
        </w:rPr>
      </w:pPr>
      <w:r>
        <w:rPr>
          <w:rFonts w:hint="eastAsia" w:ascii="仿宋_GB2312" w:hAnsi="仿宋" w:eastAsia="仿宋_GB2312"/>
          <w:sz w:val="30"/>
          <w:szCs w:val="30"/>
          <w:highlight w:val="none"/>
        </w:rPr>
        <w:t>是否编报政府部门财务报告不应为空；</w:t>
      </w:r>
    </w:p>
    <w:p w14:paraId="1A0A6885">
      <w:pPr>
        <w:numPr>
          <w:ilvl w:val="0"/>
          <w:numId w:val="1"/>
        </w:numPr>
        <w:spacing w:line="360" w:lineRule="auto"/>
        <w:ind w:left="987"/>
        <w:rPr>
          <w:rFonts w:hint="eastAsia" w:ascii="仿宋_GB2312" w:hAnsi="仿宋" w:eastAsia="仿宋_GB2312"/>
          <w:sz w:val="30"/>
          <w:szCs w:val="30"/>
          <w:highlight w:val="none"/>
        </w:rPr>
      </w:pPr>
      <w:r>
        <w:rPr>
          <w:rFonts w:hint="eastAsia" w:ascii="仿宋_GB2312" w:hAnsi="仿宋" w:eastAsia="仿宋_GB2312"/>
          <w:sz w:val="30"/>
          <w:szCs w:val="30"/>
          <w:highlight w:val="none"/>
        </w:rPr>
        <w:t>财政预算代码不应为空；</w:t>
      </w:r>
    </w:p>
    <w:p w14:paraId="183B06E9">
      <w:pPr>
        <w:pStyle w:val="5"/>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当</w:t>
      </w:r>
      <w:r>
        <w:rPr>
          <w:rFonts w:hint="eastAsia" w:ascii="仿宋_GB2312" w:hAnsi="仿宋" w:eastAsia="仿宋_GB2312"/>
          <w:sz w:val="30"/>
          <w:szCs w:val="30"/>
          <w:highlight w:val="none"/>
          <w:lang w:eastAsia="zh-CN"/>
        </w:rPr>
        <w:t>单位性质</w:t>
      </w:r>
      <w:r>
        <w:rPr>
          <w:rFonts w:hint="eastAsia" w:ascii="仿宋_GB2312" w:hAnsi="仿宋" w:eastAsia="仿宋_GB2312"/>
          <w:sz w:val="30"/>
          <w:szCs w:val="30"/>
          <w:highlight w:val="none"/>
        </w:rPr>
        <w:t>选择“11 共产党机关、12 政府机关、13 人大机关、14 政协机关、15 群众团体、16 民主党派、17 政法机关”时，机构行业类型只能选择S 公共管理、社会保障和社会组织和T 国际组织；</w:t>
      </w:r>
    </w:p>
    <w:p w14:paraId="37247AB8">
      <w:pPr>
        <w:numPr>
          <w:ilvl w:val="0"/>
          <w:numId w:val="1"/>
        </w:numPr>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rPr>
        <w:t>单位会计制度为民间非营利组织会计制度时，单位性质只能选择社会团体和其他；</w:t>
      </w:r>
    </w:p>
    <w:p w14:paraId="325F6F2C">
      <w:pPr>
        <w:numPr>
          <w:ilvl w:val="0"/>
          <w:numId w:val="1"/>
        </w:numPr>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rPr>
        <w:t>单位会计制度为军工科研事业单位会计制度时，</w:t>
      </w:r>
      <w:r>
        <w:rPr>
          <w:rFonts w:hint="eastAsia" w:ascii="仿宋_GB2312" w:hAnsi="仿宋" w:eastAsia="仿宋_GB2312"/>
          <w:sz w:val="30"/>
          <w:szCs w:val="30"/>
          <w:highlight w:val="none"/>
          <w:lang w:eastAsia="zh-CN"/>
        </w:rPr>
        <w:t>单位性质</w:t>
      </w:r>
      <w:r>
        <w:rPr>
          <w:rFonts w:hint="eastAsia" w:ascii="仿宋_GB2312" w:hAnsi="仿宋" w:eastAsia="仿宋_GB2312"/>
          <w:sz w:val="30"/>
          <w:szCs w:val="30"/>
          <w:highlight w:val="none"/>
        </w:rPr>
        <w:t>不能选择</w:t>
      </w:r>
      <w:r>
        <w:rPr>
          <w:rFonts w:ascii="仿宋_GB2312" w:hAnsi="仿宋" w:eastAsia="仿宋_GB2312"/>
          <w:sz w:val="30"/>
          <w:szCs w:val="30"/>
          <w:highlight w:val="none"/>
        </w:rPr>
        <w:t>11.共产党机关 12.政府机关 13.人大机关 14.政协机关 15.群众团体 16.民主党派 17.政法机关 21.参照公务员法管理事业单位</w:t>
      </w:r>
      <w:r>
        <w:rPr>
          <w:rFonts w:hint="eastAsia" w:ascii="仿宋_GB2312" w:hAnsi="仿宋" w:eastAsia="仿宋_GB2312"/>
          <w:sz w:val="30"/>
          <w:szCs w:val="30"/>
          <w:highlight w:val="none"/>
        </w:rPr>
        <w:t>；</w:t>
      </w:r>
    </w:p>
    <w:p w14:paraId="2B20FB2A">
      <w:pPr>
        <w:numPr>
          <w:ilvl w:val="0"/>
          <w:numId w:val="1"/>
        </w:numPr>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rPr>
        <w:t>是否有驻外机构不应为空。</w:t>
      </w:r>
    </w:p>
    <w:p w14:paraId="11AE50C8">
      <w:pPr>
        <w:tabs>
          <w:tab w:val="left" w:pos="2836"/>
        </w:tabs>
        <w:spacing w:line="360" w:lineRule="auto"/>
        <w:ind w:firstLine="602" w:firstLineChars="200"/>
        <w:rPr>
          <w:rFonts w:hint="eastAsia" w:ascii="仿宋_GB2312" w:hAnsi="仿宋" w:eastAsia="仿宋_GB2312"/>
          <w:b/>
          <w:sz w:val="30"/>
          <w:szCs w:val="30"/>
          <w:highlight w:val="none"/>
          <w:lang w:val="en-US" w:eastAsia="zh-CN"/>
        </w:rPr>
      </w:pPr>
      <w:r>
        <w:rPr>
          <w:rFonts w:hint="eastAsia" w:ascii="仿宋_GB2312" w:hAnsi="仿宋" w:eastAsia="仿宋_GB2312"/>
          <w:b/>
          <w:sz w:val="30"/>
          <w:szCs w:val="30"/>
          <w:highlight w:val="none"/>
          <w:lang w:val="en-US" w:eastAsia="zh-CN"/>
        </w:rPr>
        <w:t>表间公式：</w:t>
      </w:r>
      <w:r>
        <w:rPr>
          <w:rFonts w:hint="eastAsia" w:ascii="仿宋_GB2312" w:hAnsi="仿宋" w:eastAsia="仿宋_GB2312"/>
          <w:b/>
          <w:sz w:val="30"/>
          <w:szCs w:val="30"/>
          <w:highlight w:val="none"/>
          <w:lang w:val="en-US" w:eastAsia="zh-CN"/>
        </w:rPr>
        <w:tab/>
      </w:r>
    </w:p>
    <w:p w14:paraId="41B52825">
      <w:pPr>
        <w:numPr>
          <w:ilvl w:val="0"/>
          <w:numId w:val="2"/>
        </w:numPr>
        <w:adjustRightInd w:val="0"/>
        <w:snapToGrid w:val="0"/>
        <w:spacing w:line="360" w:lineRule="auto"/>
        <w:ind w:left="0" w:firstLine="600"/>
        <w:rPr>
          <w:rFonts w:hint="eastAsia" w:ascii="仿宋_GB2312" w:hAnsi="仿宋" w:eastAsia="仿宋_GB2312"/>
          <w:sz w:val="30"/>
          <w:szCs w:val="30"/>
          <w:highlight w:val="none"/>
          <w:lang w:val="en-US" w:eastAsia="zh-CN"/>
        </w:rPr>
      </w:pPr>
      <w:r>
        <w:rPr>
          <w:rFonts w:hint="eastAsia" w:ascii="仿宋_GB2312" w:hAnsi="仿宋" w:eastAsia="仿宋_GB2312"/>
          <w:sz w:val="30"/>
          <w:szCs w:val="30"/>
          <w:highlight w:val="none"/>
          <w:lang w:val="en-US" w:eastAsia="zh-CN"/>
        </w:rPr>
        <w:t>当单户封面预算级次为“中央级”时，执法执勤用车编制等情况备案表（地方财政部门）不应有数据；</w:t>
      </w:r>
    </w:p>
    <w:p w14:paraId="63EA569F">
      <w:pPr>
        <w:numPr>
          <w:ilvl w:val="0"/>
          <w:numId w:val="2"/>
        </w:numPr>
        <w:adjustRightInd w:val="0"/>
        <w:snapToGrid w:val="0"/>
        <w:spacing w:line="360" w:lineRule="auto"/>
        <w:ind w:left="0" w:firstLine="600"/>
        <w:rPr>
          <w:rFonts w:hint="eastAsia" w:ascii="仿宋_GB2312" w:hAnsi="仿宋" w:eastAsia="仿宋_GB2312"/>
          <w:b/>
          <w:sz w:val="30"/>
          <w:szCs w:val="30"/>
          <w:highlight w:val="none"/>
          <w:lang w:val="en-US" w:eastAsia="zh-CN"/>
        </w:rPr>
      </w:pPr>
      <w:r>
        <w:rPr>
          <w:rFonts w:hint="eastAsia" w:ascii="仿宋_GB2312" w:hAnsi="仿宋" w:eastAsia="仿宋_GB2312"/>
          <w:sz w:val="30"/>
          <w:szCs w:val="30"/>
          <w:highlight w:val="none"/>
          <w:lang w:val="en-US" w:eastAsia="zh-CN"/>
        </w:rPr>
        <w:t>当单户封面预算级次为“</w:t>
      </w:r>
      <w:r>
        <w:rPr>
          <w:rFonts w:hint="eastAsia" w:ascii="仿宋_GB2312" w:hAnsi="仿宋" w:eastAsia="仿宋_GB2312"/>
          <w:sz w:val="30"/>
          <w:szCs w:val="30"/>
          <w:highlight w:val="none"/>
        </w:rPr>
        <w:t>省级、计划单列市、市级、县（区）级、乡级</w:t>
      </w:r>
      <w:r>
        <w:rPr>
          <w:rFonts w:hint="eastAsia" w:ascii="仿宋_GB2312" w:hAnsi="仿宋" w:eastAsia="仿宋_GB2312"/>
          <w:sz w:val="30"/>
          <w:szCs w:val="30"/>
          <w:highlight w:val="none"/>
          <w:lang w:val="en-US" w:eastAsia="zh-CN"/>
        </w:rPr>
        <w:t>”时，执法执勤用车编制等情况备案表（中央部门）不应有数据；</w:t>
      </w:r>
    </w:p>
    <w:p w14:paraId="5F22B2B8">
      <w:pPr>
        <w:numPr>
          <w:ilvl w:val="0"/>
          <w:numId w:val="2"/>
        </w:numPr>
        <w:adjustRightInd w:val="0"/>
        <w:snapToGrid w:val="0"/>
        <w:spacing w:line="360" w:lineRule="auto"/>
        <w:ind w:left="0" w:firstLine="600"/>
        <w:rPr>
          <w:rFonts w:hint="eastAsia" w:ascii="仿宋_GB2312" w:hAnsi="仿宋" w:eastAsia="仿宋_GB2312"/>
          <w:sz w:val="30"/>
          <w:szCs w:val="30"/>
          <w:highlight w:val="none"/>
          <w:lang w:val="en-US" w:eastAsia="zh-CN"/>
        </w:rPr>
      </w:pPr>
      <w:r>
        <w:rPr>
          <w:rFonts w:hint="eastAsia" w:ascii="仿宋_GB2312" w:hAnsi="仿宋" w:eastAsia="仿宋_GB2312"/>
          <w:sz w:val="30"/>
          <w:szCs w:val="30"/>
          <w:highlight w:val="none"/>
          <w:lang w:val="en-US" w:eastAsia="zh-CN"/>
        </w:rPr>
        <w:t>除单户封面机构行业类型为“卫生</w:t>
      </w:r>
      <w:r>
        <w:rPr>
          <w:rFonts w:hint="default" w:ascii="仿宋_GB2312" w:hAnsi="仿宋" w:eastAsia="仿宋_GB2312"/>
          <w:sz w:val="30"/>
          <w:szCs w:val="30"/>
          <w:highlight w:val="none"/>
          <w:lang w:val="en-US" w:eastAsia="zh-CN"/>
        </w:rPr>
        <w:t>”</w:t>
      </w:r>
      <w:r>
        <w:rPr>
          <w:rFonts w:hint="eastAsia" w:ascii="仿宋_GB2312" w:hAnsi="仿宋" w:eastAsia="仿宋_GB2312"/>
          <w:sz w:val="30"/>
          <w:szCs w:val="30"/>
          <w:highlight w:val="none"/>
          <w:lang w:val="en-US" w:eastAsia="zh-CN"/>
        </w:rPr>
        <w:t>（Q84开头），或部门标识代码为“</w:t>
      </w:r>
      <w:r>
        <w:rPr>
          <w:rFonts w:hint="eastAsia" w:ascii="仿宋_GB2312" w:hAnsi="宋体" w:eastAsia="仿宋_GB2312"/>
          <w:sz w:val="30"/>
          <w:szCs w:val="30"/>
          <w:highlight w:val="none"/>
          <w:lang w:val="en-US" w:eastAsia="zh-CN"/>
        </w:rPr>
        <w:t>中华人民共和国国家卫生健康委员会”、“</w:t>
      </w:r>
      <w:r>
        <w:rPr>
          <w:rFonts w:hint="eastAsia" w:ascii="仿宋_GB2312" w:hAnsi="仿宋" w:eastAsia="仿宋_GB2312"/>
          <w:sz w:val="30"/>
          <w:szCs w:val="30"/>
          <w:highlight w:val="none"/>
          <w:lang w:val="en-US" w:eastAsia="zh-CN"/>
        </w:rPr>
        <w:t>国家中医药管理局”、“国家疾病预防控制局”情况外，卫生健康行业资产情况表不应有数据。</w:t>
      </w:r>
    </w:p>
    <w:p w14:paraId="56390993">
      <w:pPr>
        <w:spacing w:line="360" w:lineRule="auto"/>
        <w:ind w:firstLine="602" w:firstLineChars="200"/>
        <w:rPr>
          <w:rFonts w:hint="eastAsia" w:ascii="仿宋_GB2312" w:hAnsi="仿宋" w:eastAsia="仿宋_GB2312"/>
          <w:b/>
          <w:sz w:val="30"/>
          <w:szCs w:val="30"/>
          <w:highlight w:val="none"/>
        </w:rPr>
      </w:pPr>
      <w:r>
        <w:rPr>
          <w:rFonts w:hint="eastAsia" w:ascii="仿宋_GB2312" w:hAnsi="仿宋" w:eastAsia="仿宋_GB2312"/>
          <w:b/>
          <w:sz w:val="30"/>
          <w:szCs w:val="30"/>
          <w:highlight w:val="none"/>
        </w:rPr>
        <w:t>核实性公式：</w:t>
      </w:r>
    </w:p>
    <w:p w14:paraId="742DFC07">
      <w:pPr>
        <w:numPr>
          <w:ilvl w:val="0"/>
          <w:numId w:val="1"/>
        </w:numPr>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rPr>
        <w:t>单位“是否编报政府部门财务报告”，如填写否，提示核实性错误，需结合实际情况修改或填写情况说明。</w:t>
      </w:r>
    </w:p>
    <w:p w14:paraId="0223C164">
      <w:pPr>
        <w:numPr>
          <w:ilvl w:val="255"/>
          <w:numId w:val="0"/>
        </w:numPr>
        <w:adjustRightInd w:val="0"/>
        <w:snapToGrid w:val="0"/>
        <w:spacing w:line="360" w:lineRule="auto"/>
        <w:ind w:left="420" w:leftChars="200"/>
        <w:rPr>
          <w:rFonts w:hint="eastAsia" w:ascii="仿宋_GB2312" w:hAnsi="仿宋" w:eastAsia="仿宋_GB2312"/>
          <w:b/>
          <w:sz w:val="30"/>
          <w:szCs w:val="30"/>
          <w:highlight w:val="none"/>
        </w:rPr>
      </w:pPr>
      <w:r>
        <w:rPr>
          <w:rFonts w:hint="eastAsia" w:ascii="仿宋_GB2312" w:hAnsi="仿宋" w:eastAsia="仿宋_GB2312"/>
          <w:b/>
          <w:sz w:val="30"/>
          <w:szCs w:val="30"/>
          <w:highlight w:val="none"/>
        </w:rPr>
        <w:t>表间核实性公式：</w:t>
      </w:r>
    </w:p>
    <w:p w14:paraId="2A8BFADB">
      <w:pPr>
        <w:numPr>
          <w:ilvl w:val="0"/>
          <w:numId w:val="1"/>
        </w:numPr>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bCs/>
          <w:sz w:val="30"/>
          <w:szCs w:val="30"/>
          <w:highlight w:val="none"/>
        </w:rPr>
        <w:t>当“是否涉及公共基础设施、政府储备物资、保障性住房资产”选择“是”时，财资12表、13表、15表不应同时整表为空，否则提示核实性错误，需结合实际情况修改或填写情况说明</w:t>
      </w:r>
      <w:r>
        <w:rPr>
          <w:rFonts w:hint="eastAsia" w:ascii="仿宋_GB2312" w:hAnsi="仿宋" w:eastAsia="仿宋_GB2312"/>
          <w:bCs/>
          <w:sz w:val="30"/>
          <w:szCs w:val="30"/>
          <w:highlight w:val="none"/>
          <w:lang w:eastAsia="zh-CN"/>
        </w:rPr>
        <w:t>；</w:t>
      </w:r>
    </w:p>
    <w:p w14:paraId="18083170">
      <w:pPr>
        <w:numPr>
          <w:ilvl w:val="0"/>
          <w:numId w:val="1"/>
        </w:numPr>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bCs/>
          <w:sz w:val="30"/>
          <w:szCs w:val="30"/>
          <w:highlight w:val="none"/>
        </w:rPr>
        <w:t>当“是否涉及公共基础设施、政府储备物资、保障性住房资产”选择“</w:t>
      </w:r>
      <w:r>
        <w:rPr>
          <w:rFonts w:hint="eastAsia" w:ascii="仿宋_GB2312" w:hAnsi="仿宋" w:eastAsia="仿宋_GB2312"/>
          <w:bCs/>
          <w:sz w:val="30"/>
          <w:szCs w:val="30"/>
          <w:highlight w:val="none"/>
          <w:lang w:val="en-US" w:eastAsia="zh-CN"/>
        </w:rPr>
        <w:t>否</w:t>
      </w:r>
      <w:r>
        <w:rPr>
          <w:rFonts w:hint="eastAsia" w:ascii="仿宋_GB2312" w:hAnsi="仿宋" w:eastAsia="仿宋_GB2312"/>
          <w:bCs/>
          <w:sz w:val="30"/>
          <w:szCs w:val="30"/>
          <w:highlight w:val="none"/>
        </w:rPr>
        <w:t>”时，财资12表、13表、15表应同时整表为空，否则提示核实性错误，需结合实际情况修改或填写情况说明。</w:t>
      </w:r>
    </w:p>
    <w:p w14:paraId="18BB7340">
      <w:pPr>
        <w:pStyle w:val="2"/>
        <w:rPr>
          <w:rFonts w:hint="eastAsia"/>
          <w:b/>
          <w:color w:val="auto"/>
          <w:highlight w:val="none"/>
        </w:rPr>
      </w:pPr>
      <w:r>
        <w:rPr>
          <w:rFonts w:hint="eastAsia"/>
          <w:color w:val="auto"/>
          <w:highlight w:val="none"/>
        </w:rPr>
        <w:t>（二）资产负债表（财资01表）</w:t>
      </w:r>
    </w:p>
    <w:p w14:paraId="393B5D89">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本表反映行政事业单位期初、期末的资产、</w:t>
      </w:r>
      <w:r>
        <w:rPr>
          <w:rFonts w:ascii="仿宋_GB2312" w:hAnsi="仿宋" w:eastAsia="仿宋_GB2312"/>
          <w:sz w:val="30"/>
          <w:szCs w:val="30"/>
          <w:highlight w:val="none"/>
        </w:rPr>
        <w:t>负债</w:t>
      </w:r>
      <w:r>
        <w:rPr>
          <w:rFonts w:hint="eastAsia" w:ascii="仿宋_GB2312" w:hAnsi="仿宋" w:eastAsia="仿宋_GB2312"/>
          <w:sz w:val="30"/>
          <w:szCs w:val="30"/>
          <w:highlight w:val="none"/>
        </w:rPr>
        <w:t>和净资产账面情况。表中数据以</w:t>
      </w:r>
      <w:r>
        <w:rPr>
          <w:rFonts w:ascii="仿宋_GB2312" w:hAnsi="仿宋" w:eastAsia="仿宋_GB2312"/>
          <w:sz w:val="30"/>
          <w:szCs w:val="30"/>
          <w:highlight w:val="none"/>
        </w:rPr>
        <w:t>财务会计报表和</w:t>
      </w:r>
      <w:r>
        <w:rPr>
          <w:rFonts w:hint="eastAsia" w:ascii="仿宋_GB2312" w:hAnsi="仿宋" w:eastAsia="仿宋_GB2312"/>
          <w:sz w:val="30"/>
          <w:szCs w:val="30"/>
          <w:highlight w:val="none"/>
        </w:rPr>
        <w:t>资产模块</w:t>
      </w:r>
      <w:r>
        <w:rPr>
          <w:rFonts w:ascii="仿宋_GB2312" w:hAnsi="仿宋" w:eastAsia="仿宋_GB2312"/>
          <w:sz w:val="30"/>
          <w:szCs w:val="30"/>
          <w:highlight w:val="none"/>
        </w:rPr>
        <w:t>相关数据为基础</w:t>
      </w:r>
      <w:r>
        <w:rPr>
          <w:rFonts w:hint="eastAsia" w:ascii="仿宋_GB2312" w:hAnsi="仿宋" w:eastAsia="仿宋_GB2312"/>
          <w:sz w:val="30"/>
          <w:szCs w:val="30"/>
          <w:highlight w:val="none"/>
        </w:rPr>
        <w:t>进行</w:t>
      </w:r>
      <w:r>
        <w:rPr>
          <w:rFonts w:ascii="仿宋_GB2312" w:hAnsi="仿宋" w:eastAsia="仿宋_GB2312"/>
          <w:sz w:val="30"/>
          <w:szCs w:val="30"/>
          <w:highlight w:val="none"/>
        </w:rPr>
        <w:t>填报</w:t>
      </w:r>
      <w:r>
        <w:rPr>
          <w:rFonts w:hint="eastAsia" w:ascii="仿宋_GB2312" w:hAnsi="仿宋" w:eastAsia="仿宋_GB2312"/>
          <w:sz w:val="30"/>
          <w:szCs w:val="30"/>
          <w:highlight w:val="none"/>
        </w:rPr>
        <w:t>。</w:t>
      </w:r>
    </w:p>
    <w:p w14:paraId="20BC577B">
      <w:pPr>
        <w:adjustRightInd w:val="0"/>
        <w:snapToGrid w:val="0"/>
        <w:spacing w:line="360" w:lineRule="auto"/>
        <w:ind w:firstLine="602" w:firstLineChars="200"/>
        <w:rPr>
          <w:rFonts w:hint="eastAsia" w:ascii="仿宋_GB2312" w:hAnsi="仿宋" w:eastAsia="仿宋_GB2312"/>
          <w:b/>
          <w:bCs/>
          <w:sz w:val="30"/>
          <w:szCs w:val="30"/>
          <w:highlight w:val="none"/>
        </w:rPr>
      </w:pPr>
      <w:r>
        <w:rPr>
          <w:rFonts w:hint="eastAsia" w:ascii="仿宋_GB2312" w:hAnsi="仿宋" w:eastAsia="仿宋_GB2312"/>
          <w:b/>
          <w:bCs/>
          <w:sz w:val="30"/>
          <w:szCs w:val="30"/>
          <w:highlight w:val="none"/>
        </w:rPr>
        <w:t>主要指标</w:t>
      </w:r>
      <w:r>
        <w:rPr>
          <w:rFonts w:ascii="仿宋_GB2312" w:hAnsi="仿宋" w:eastAsia="仿宋_GB2312"/>
          <w:b/>
          <w:bCs/>
          <w:sz w:val="30"/>
          <w:szCs w:val="30"/>
          <w:highlight w:val="none"/>
        </w:rPr>
        <w:t>说明：</w:t>
      </w:r>
    </w:p>
    <w:p w14:paraId="7385FDFC">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1</w:t>
      </w:r>
      <w:r>
        <w:rPr>
          <w:rFonts w:ascii="仿宋_GB2312" w:hAnsi="仿宋" w:eastAsia="仿宋_GB2312"/>
          <w:sz w:val="30"/>
          <w:szCs w:val="30"/>
          <w:highlight w:val="none"/>
        </w:rPr>
        <w:t>.</w:t>
      </w:r>
      <w:r>
        <w:rPr>
          <w:rFonts w:hint="eastAsia" w:ascii="仿宋_GB2312" w:hAnsi="仿宋" w:eastAsia="仿宋_GB2312"/>
          <w:sz w:val="30"/>
          <w:szCs w:val="30"/>
          <w:highlight w:val="none"/>
        </w:rPr>
        <w:t>短期</w:t>
      </w:r>
      <w:r>
        <w:rPr>
          <w:rFonts w:ascii="仿宋_GB2312" w:hAnsi="仿宋" w:eastAsia="仿宋_GB2312"/>
          <w:sz w:val="30"/>
          <w:szCs w:val="30"/>
          <w:highlight w:val="none"/>
        </w:rPr>
        <w:t>投资：反映</w:t>
      </w:r>
      <w:r>
        <w:rPr>
          <w:rFonts w:hint="eastAsia" w:ascii="仿宋_GB2312" w:hAnsi="仿宋" w:eastAsia="仿宋_GB2312"/>
          <w:sz w:val="30"/>
          <w:szCs w:val="30"/>
          <w:highlight w:val="none"/>
        </w:rPr>
        <w:t>按照规定取得的，持有</w:t>
      </w:r>
      <w:r>
        <w:rPr>
          <w:rFonts w:ascii="仿宋_GB2312" w:hAnsi="仿宋" w:eastAsia="仿宋_GB2312"/>
          <w:sz w:val="30"/>
          <w:szCs w:val="30"/>
          <w:highlight w:val="none"/>
        </w:rPr>
        <w:t>时间不超过</w:t>
      </w:r>
      <w:r>
        <w:rPr>
          <w:rFonts w:hint="eastAsia" w:ascii="仿宋_GB2312" w:hAnsi="仿宋" w:eastAsia="仿宋_GB2312"/>
          <w:sz w:val="30"/>
          <w:szCs w:val="30"/>
          <w:highlight w:val="none"/>
        </w:rPr>
        <w:t>1年（含1年）</w:t>
      </w:r>
      <w:r>
        <w:rPr>
          <w:rFonts w:ascii="仿宋_GB2312" w:hAnsi="仿宋" w:eastAsia="仿宋_GB2312"/>
          <w:sz w:val="30"/>
          <w:szCs w:val="30"/>
          <w:highlight w:val="none"/>
        </w:rPr>
        <w:t>的投</w:t>
      </w:r>
      <w:r>
        <w:rPr>
          <w:rFonts w:hint="eastAsia" w:ascii="仿宋_GB2312" w:hAnsi="仿宋" w:eastAsia="仿宋_GB2312"/>
          <w:sz w:val="30"/>
          <w:szCs w:val="30"/>
          <w:highlight w:val="none"/>
        </w:rPr>
        <w:t>资。行政单位不得填列。</w:t>
      </w:r>
    </w:p>
    <w:p w14:paraId="2A76B724">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2</w:t>
      </w:r>
      <w:r>
        <w:rPr>
          <w:rFonts w:ascii="仿宋_GB2312" w:hAnsi="仿宋" w:eastAsia="仿宋_GB2312"/>
          <w:sz w:val="30"/>
          <w:szCs w:val="30"/>
          <w:highlight w:val="none"/>
        </w:rPr>
        <w:t>.</w:t>
      </w:r>
      <w:r>
        <w:rPr>
          <w:rFonts w:hint="eastAsia" w:ascii="仿宋_GB2312" w:hAnsi="仿宋" w:eastAsia="仿宋_GB2312"/>
          <w:sz w:val="30"/>
          <w:szCs w:val="30"/>
          <w:highlight w:val="none"/>
        </w:rPr>
        <w:t>长期股权</w:t>
      </w:r>
      <w:r>
        <w:rPr>
          <w:rFonts w:ascii="仿宋_GB2312" w:hAnsi="仿宋" w:eastAsia="仿宋_GB2312"/>
          <w:sz w:val="30"/>
          <w:szCs w:val="30"/>
          <w:highlight w:val="none"/>
        </w:rPr>
        <w:t>投资：</w:t>
      </w:r>
      <w:r>
        <w:rPr>
          <w:rFonts w:hint="eastAsia" w:ascii="仿宋_GB2312" w:hAnsi="仿宋" w:eastAsia="仿宋_GB2312"/>
          <w:sz w:val="30"/>
          <w:szCs w:val="30"/>
          <w:highlight w:val="none"/>
        </w:rPr>
        <w:t>反映按照规定取得的，</w:t>
      </w:r>
      <w:r>
        <w:rPr>
          <w:rFonts w:ascii="仿宋_GB2312" w:hAnsi="仿宋" w:eastAsia="仿宋_GB2312"/>
          <w:sz w:val="30"/>
          <w:szCs w:val="30"/>
          <w:highlight w:val="none"/>
        </w:rPr>
        <w:t>持有时间超过</w:t>
      </w:r>
      <w:r>
        <w:rPr>
          <w:rFonts w:hint="eastAsia" w:ascii="仿宋_GB2312" w:hAnsi="仿宋" w:eastAsia="仿宋_GB2312"/>
          <w:sz w:val="30"/>
          <w:szCs w:val="30"/>
          <w:highlight w:val="none"/>
        </w:rPr>
        <w:t>1年</w:t>
      </w:r>
      <w:r>
        <w:rPr>
          <w:rFonts w:ascii="仿宋_GB2312" w:hAnsi="仿宋" w:eastAsia="仿宋_GB2312"/>
          <w:sz w:val="30"/>
          <w:szCs w:val="30"/>
          <w:highlight w:val="none"/>
        </w:rPr>
        <w:t>（</w:t>
      </w:r>
      <w:r>
        <w:rPr>
          <w:rFonts w:hint="eastAsia" w:ascii="仿宋_GB2312" w:hAnsi="仿宋" w:eastAsia="仿宋_GB2312"/>
          <w:sz w:val="30"/>
          <w:szCs w:val="30"/>
          <w:highlight w:val="none"/>
        </w:rPr>
        <w:t>不含1年</w:t>
      </w:r>
      <w:r>
        <w:rPr>
          <w:rFonts w:ascii="仿宋_GB2312" w:hAnsi="仿宋" w:eastAsia="仿宋_GB2312"/>
          <w:sz w:val="30"/>
          <w:szCs w:val="30"/>
          <w:highlight w:val="none"/>
        </w:rPr>
        <w:t>）</w:t>
      </w:r>
      <w:r>
        <w:rPr>
          <w:rFonts w:hint="eastAsia" w:ascii="仿宋_GB2312" w:hAnsi="仿宋" w:eastAsia="仿宋_GB2312"/>
          <w:sz w:val="30"/>
          <w:szCs w:val="30"/>
          <w:highlight w:val="none"/>
        </w:rPr>
        <w:t>的</w:t>
      </w:r>
      <w:r>
        <w:rPr>
          <w:rFonts w:ascii="仿宋_GB2312" w:hAnsi="仿宋" w:eastAsia="仿宋_GB2312"/>
          <w:sz w:val="30"/>
          <w:szCs w:val="30"/>
          <w:highlight w:val="none"/>
        </w:rPr>
        <w:t>股权性质</w:t>
      </w:r>
      <w:r>
        <w:rPr>
          <w:rFonts w:hint="eastAsia" w:ascii="仿宋_GB2312" w:hAnsi="仿宋" w:eastAsia="仿宋_GB2312"/>
          <w:sz w:val="30"/>
          <w:szCs w:val="30"/>
          <w:highlight w:val="none"/>
        </w:rPr>
        <w:t>的</w:t>
      </w:r>
      <w:r>
        <w:rPr>
          <w:rFonts w:ascii="仿宋_GB2312" w:hAnsi="仿宋" w:eastAsia="仿宋_GB2312"/>
          <w:sz w:val="30"/>
          <w:szCs w:val="30"/>
          <w:highlight w:val="none"/>
        </w:rPr>
        <w:t>投资。</w:t>
      </w:r>
      <w:r>
        <w:rPr>
          <w:rFonts w:hint="eastAsia" w:ascii="仿宋_GB2312" w:hAnsi="仿宋" w:eastAsia="仿宋_GB2312"/>
          <w:sz w:val="30"/>
          <w:szCs w:val="30"/>
          <w:highlight w:val="none"/>
        </w:rPr>
        <w:t>行政单位不得填列。</w:t>
      </w:r>
    </w:p>
    <w:p w14:paraId="566F95E5">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3</w:t>
      </w:r>
      <w:r>
        <w:rPr>
          <w:rFonts w:ascii="仿宋_GB2312" w:hAnsi="仿宋" w:eastAsia="仿宋_GB2312"/>
          <w:sz w:val="30"/>
          <w:szCs w:val="30"/>
          <w:highlight w:val="none"/>
        </w:rPr>
        <w:t>.</w:t>
      </w:r>
      <w:r>
        <w:rPr>
          <w:rFonts w:hint="eastAsia" w:ascii="仿宋_GB2312" w:hAnsi="仿宋" w:eastAsia="仿宋_GB2312"/>
          <w:sz w:val="30"/>
          <w:szCs w:val="30"/>
          <w:highlight w:val="none"/>
        </w:rPr>
        <w:t>长期债券</w:t>
      </w:r>
      <w:r>
        <w:rPr>
          <w:rFonts w:ascii="仿宋_GB2312" w:hAnsi="仿宋" w:eastAsia="仿宋_GB2312"/>
          <w:sz w:val="30"/>
          <w:szCs w:val="30"/>
          <w:highlight w:val="none"/>
        </w:rPr>
        <w:t>投资：</w:t>
      </w:r>
      <w:r>
        <w:rPr>
          <w:rFonts w:hint="eastAsia" w:ascii="仿宋_GB2312" w:hAnsi="仿宋" w:eastAsia="仿宋_GB2312"/>
          <w:sz w:val="30"/>
          <w:szCs w:val="30"/>
          <w:highlight w:val="none"/>
        </w:rPr>
        <w:t>反映按照规定取得的，</w:t>
      </w:r>
      <w:r>
        <w:rPr>
          <w:rFonts w:ascii="仿宋_GB2312" w:hAnsi="仿宋" w:eastAsia="仿宋_GB2312"/>
          <w:sz w:val="30"/>
          <w:szCs w:val="30"/>
          <w:highlight w:val="none"/>
        </w:rPr>
        <w:t>持有时间超过</w:t>
      </w:r>
      <w:r>
        <w:rPr>
          <w:rFonts w:hint="eastAsia" w:ascii="仿宋_GB2312" w:hAnsi="仿宋" w:eastAsia="仿宋_GB2312"/>
          <w:sz w:val="30"/>
          <w:szCs w:val="30"/>
          <w:highlight w:val="none"/>
        </w:rPr>
        <w:t>1年</w:t>
      </w:r>
      <w:r>
        <w:rPr>
          <w:rFonts w:ascii="仿宋_GB2312" w:hAnsi="仿宋" w:eastAsia="仿宋_GB2312"/>
          <w:sz w:val="30"/>
          <w:szCs w:val="30"/>
          <w:highlight w:val="none"/>
        </w:rPr>
        <w:t>（</w:t>
      </w:r>
      <w:r>
        <w:rPr>
          <w:rFonts w:hint="eastAsia" w:ascii="仿宋_GB2312" w:hAnsi="仿宋" w:eastAsia="仿宋_GB2312"/>
          <w:sz w:val="30"/>
          <w:szCs w:val="30"/>
          <w:highlight w:val="none"/>
        </w:rPr>
        <w:t>不含1年</w:t>
      </w:r>
      <w:r>
        <w:rPr>
          <w:rFonts w:ascii="仿宋_GB2312" w:hAnsi="仿宋" w:eastAsia="仿宋_GB2312"/>
          <w:sz w:val="30"/>
          <w:szCs w:val="30"/>
          <w:highlight w:val="none"/>
        </w:rPr>
        <w:t>）</w:t>
      </w:r>
      <w:r>
        <w:rPr>
          <w:rFonts w:hint="eastAsia" w:ascii="仿宋_GB2312" w:hAnsi="仿宋" w:eastAsia="仿宋_GB2312"/>
          <w:sz w:val="30"/>
          <w:szCs w:val="30"/>
          <w:highlight w:val="none"/>
        </w:rPr>
        <w:t>的</w:t>
      </w:r>
      <w:r>
        <w:rPr>
          <w:rFonts w:ascii="仿宋_GB2312" w:hAnsi="仿宋" w:eastAsia="仿宋_GB2312"/>
          <w:sz w:val="30"/>
          <w:szCs w:val="30"/>
          <w:highlight w:val="none"/>
        </w:rPr>
        <w:t>债权性质投资。</w:t>
      </w:r>
      <w:r>
        <w:rPr>
          <w:rFonts w:hint="eastAsia" w:ascii="仿宋_GB2312" w:hAnsi="仿宋" w:eastAsia="仿宋_GB2312"/>
          <w:sz w:val="30"/>
          <w:szCs w:val="30"/>
          <w:highlight w:val="none"/>
        </w:rPr>
        <w:t>行政单位不得填列。</w:t>
      </w:r>
    </w:p>
    <w:p w14:paraId="5E2BE3E8">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4.固定资产原值：反映固定资产原始价值，期初、期末</w:t>
      </w:r>
      <w:r>
        <w:rPr>
          <w:rFonts w:ascii="仿宋_GB2312" w:hAnsi="仿宋" w:eastAsia="仿宋_GB2312"/>
          <w:sz w:val="30"/>
          <w:szCs w:val="30"/>
          <w:highlight w:val="none"/>
        </w:rPr>
        <w:t>数取自</w:t>
      </w:r>
      <w:r>
        <w:rPr>
          <w:rFonts w:hint="eastAsia" w:ascii="仿宋_GB2312" w:hAnsi="仿宋" w:eastAsia="仿宋_GB2312"/>
          <w:sz w:val="30"/>
          <w:szCs w:val="30"/>
          <w:highlight w:val="none"/>
        </w:rPr>
        <w:t>资产模块</w:t>
      </w:r>
      <w:r>
        <w:rPr>
          <w:rFonts w:ascii="仿宋_GB2312" w:hAnsi="仿宋" w:eastAsia="仿宋_GB2312"/>
          <w:sz w:val="30"/>
          <w:szCs w:val="30"/>
          <w:highlight w:val="none"/>
        </w:rPr>
        <w:t>固定资产卡片</w:t>
      </w:r>
      <w:bookmarkStart w:id="2" w:name="OLE_LINK1"/>
      <w:r>
        <w:rPr>
          <w:rFonts w:ascii="仿宋_GB2312" w:hAnsi="仿宋" w:eastAsia="仿宋_GB2312"/>
          <w:sz w:val="30"/>
          <w:szCs w:val="30"/>
          <w:highlight w:val="none"/>
        </w:rPr>
        <w:t>。</w:t>
      </w:r>
      <w:bookmarkEnd w:id="2"/>
    </w:p>
    <w:p w14:paraId="31E33552">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5</w:t>
      </w:r>
      <w:r>
        <w:rPr>
          <w:rFonts w:ascii="仿宋_GB2312" w:hAnsi="仿宋" w:eastAsia="仿宋_GB2312"/>
          <w:sz w:val="30"/>
          <w:szCs w:val="30"/>
          <w:highlight w:val="none"/>
        </w:rPr>
        <w:t>.</w:t>
      </w:r>
      <w:r>
        <w:rPr>
          <w:rFonts w:hint="eastAsia" w:ascii="仿宋_GB2312" w:hAnsi="仿宋" w:eastAsia="仿宋_GB2312"/>
          <w:sz w:val="30"/>
          <w:szCs w:val="30"/>
          <w:highlight w:val="none"/>
        </w:rPr>
        <w:t>固定资产累计</w:t>
      </w:r>
      <w:r>
        <w:rPr>
          <w:rFonts w:ascii="仿宋_GB2312" w:hAnsi="仿宋" w:eastAsia="仿宋_GB2312"/>
          <w:sz w:val="30"/>
          <w:szCs w:val="30"/>
          <w:highlight w:val="none"/>
        </w:rPr>
        <w:t>折旧</w:t>
      </w:r>
      <w:r>
        <w:rPr>
          <w:rFonts w:hint="eastAsia" w:ascii="仿宋_GB2312" w:hAnsi="仿宋" w:eastAsia="仿宋_GB2312"/>
          <w:sz w:val="30"/>
          <w:szCs w:val="30"/>
          <w:highlight w:val="none"/>
        </w:rPr>
        <w:t>：反映单位按照规定计提的累计折旧额，期初、期末</w:t>
      </w:r>
      <w:r>
        <w:rPr>
          <w:rFonts w:ascii="仿宋_GB2312" w:hAnsi="仿宋" w:eastAsia="仿宋_GB2312"/>
          <w:sz w:val="30"/>
          <w:szCs w:val="30"/>
          <w:highlight w:val="none"/>
        </w:rPr>
        <w:t>数取自</w:t>
      </w:r>
      <w:r>
        <w:rPr>
          <w:rFonts w:hint="eastAsia" w:ascii="仿宋_GB2312" w:hAnsi="仿宋" w:eastAsia="仿宋_GB2312"/>
          <w:sz w:val="30"/>
          <w:szCs w:val="30"/>
          <w:highlight w:val="none"/>
        </w:rPr>
        <w:t>资产模块</w:t>
      </w:r>
      <w:r>
        <w:rPr>
          <w:rFonts w:ascii="仿宋_GB2312" w:hAnsi="仿宋" w:eastAsia="仿宋_GB2312"/>
          <w:sz w:val="30"/>
          <w:szCs w:val="30"/>
          <w:highlight w:val="none"/>
        </w:rPr>
        <w:t>固定资产卡片。</w:t>
      </w:r>
    </w:p>
    <w:p w14:paraId="2077AD84">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6</w:t>
      </w:r>
      <w:r>
        <w:rPr>
          <w:rFonts w:ascii="仿宋_GB2312" w:hAnsi="仿宋" w:eastAsia="仿宋_GB2312"/>
          <w:sz w:val="30"/>
          <w:szCs w:val="30"/>
          <w:highlight w:val="none"/>
        </w:rPr>
        <w:t>.</w:t>
      </w:r>
      <w:r>
        <w:rPr>
          <w:rFonts w:hint="eastAsia" w:ascii="仿宋_GB2312" w:hAnsi="仿宋" w:eastAsia="仿宋_GB2312"/>
          <w:sz w:val="30"/>
          <w:szCs w:val="30"/>
          <w:highlight w:val="none"/>
        </w:rPr>
        <w:t>无形资产原值：反映无形资产原始价值，期初、期末</w:t>
      </w:r>
      <w:r>
        <w:rPr>
          <w:rFonts w:ascii="仿宋_GB2312" w:hAnsi="仿宋" w:eastAsia="仿宋_GB2312"/>
          <w:sz w:val="30"/>
          <w:szCs w:val="30"/>
          <w:highlight w:val="none"/>
        </w:rPr>
        <w:t>数取自</w:t>
      </w:r>
      <w:r>
        <w:rPr>
          <w:rFonts w:hint="eastAsia" w:ascii="仿宋_GB2312" w:hAnsi="仿宋" w:eastAsia="仿宋_GB2312"/>
          <w:sz w:val="30"/>
          <w:szCs w:val="30"/>
          <w:highlight w:val="none"/>
        </w:rPr>
        <w:t>资产模块无形</w:t>
      </w:r>
      <w:r>
        <w:rPr>
          <w:rFonts w:ascii="仿宋_GB2312" w:hAnsi="仿宋" w:eastAsia="仿宋_GB2312"/>
          <w:sz w:val="30"/>
          <w:szCs w:val="30"/>
          <w:highlight w:val="none"/>
        </w:rPr>
        <w:t>资产卡片。</w:t>
      </w:r>
    </w:p>
    <w:p w14:paraId="57AA1FD1">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7</w:t>
      </w:r>
      <w:r>
        <w:rPr>
          <w:rFonts w:ascii="仿宋_GB2312" w:hAnsi="仿宋" w:eastAsia="仿宋_GB2312"/>
          <w:sz w:val="30"/>
          <w:szCs w:val="30"/>
          <w:highlight w:val="none"/>
        </w:rPr>
        <w:t>.</w:t>
      </w:r>
      <w:r>
        <w:rPr>
          <w:rFonts w:hint="eastAsia" w:ascii="仿宋_GB2312" w:hAnsi="仿宋" w:eastAsia="仿宋_GB2312"/>
          <w:sz w:val="30"/>
          <w:szCs w:val="30"/>
          <w:highlight w:val="none"/>
        </w:rPr>
        <w:t>无形资产累计</w:t>
      </w:r>
      <w:r>
        <w:rPr>
          <w:rFonts w:ascii="仿宋_GB2312" w:hAnsi="仿宋" w:eastAsia="仿宋_GB2312"/>
          <w:sz w:val="30"/>
          <w:szCs w:val="30"/>
          <w:highlight w:val="none"/>
        </w:rPr>
        <w:t>摊销</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反映单位按照规定计提的累计摊销额，期初、期末</w:t>
      </w:r>
      <w:r>
        <w:rPr>
          <w:rFonts w:ascii="仿宋_GB2312" w:hAnsi="仿宋" w:eastAsia="仿宋_GB2312"/>
          <w:sz w:val="30"/>
          <w:szCs w:val="30"/>
          <w:highlight w:val="none"/>
        </w:rPr>
        <w:t>数取自</w:t>
      </w:r>
      <w:r>
        <w:rPr>
          <w:rFonts w:hint="eastAsia" w:ascii="仿宋_GB2312" w:hAnsi="仿宋" w:eastAsia="仿宋_GB2312"/>
          <w:sz w:val="30"/>
          <w:szCs w:val="30"/>
          <w:highlight w:val="none"/>
        </w:rPr>
        <w:t>资产模块无形</w:t>
      </w:r>
      <w:r>
        <w:rPr>
          <w:rFonts w:ascii="仿宋_GB2312" w:hAnsi="仿宋" w:eastAsia="仿宋_GB2312"/>
          <w:sz w:val="30"/>
          <w:szCs w:val="30"/>
          <w:highlight w:val="none"/>
        </w:rPr>
        <w:t>资产卡片。</w:t>
      </w:r>
    </w:p>
    <w:p w14:paraId="4DD76AB8">
      <w:pPr>
        <w:adjustRightInd w:val="0"/>
        <w:snapToGrid w:val="0"/>
        <w:spacing w:line="360" w:lineRule="auto"/>
        <w:ind w:firstLine="600" w:firstLineChars="200"/>
        <w:rPr>
          <w:rFonts w:hint="eastAsia" w:ascii="仿宋_GB2312" w:hAnsi="仿宋" w:eastAsia="仿宋_GB2312"/>
          <w:sz w:val="30"/>
          <w:szCs w:val="30"/>
          <w:highlight w:val="none"/>
        </w:rPr>
      </w:pPr>
      <w:bookmarkStart w:id="3" w:name="_Hlk524444485"/>
      <w:r>
        <w:rPr>
          <w:rFonts w:hint="eastAsia" w:ascii="仿宋_GB2312" w:hAnsi="仿宋" w:eastAsia="仿宋_GB2312"/>
          <w:sz w:val="30"/>
          <w:szCs w:val="30"/>
          <w:highlight w:val="none"/>
        </w:rPr>
        <w:t>8</w:t>
      </w:r>
      <w:r>
        <w:rPr>
          <w:rFonts w:ascii="仿宋_GB2312" w:hAnsi="仿宋" w:eastAsia="仿宋_GB2312"/>
          <w:sz w:val="30"/>
          <w:szCs w:val="30"/>
          <w:highlight w:val="none"/>
        </w:rPr>
        <w:t>.</w:t>
      </w:r>
      <w:r>
        <w:rPr>
          <w:rFonts w:hint="eastAsia" w:ascii="仿宋_GB2312" w:hAnsi="仿宋" w:eastAsia="仿宋_GB2312"/>
          <w:sz w:val="30"/>
          <w:szCs w:val="30"/>
          <w:highlight w:val="none"/>
        </w:rPr>
        <w:t>待处理财产损溢</w:t>
      </w:r>
      <w:r>
        <w:rPr>
          <w:rFonts w:hint="eastAsia" w:ascii="仿宋_GB2312" w:hAnsi="仿宋" w:eastAsia="仿宋_GB2312"/>
          <w:sz w:val="30"/>
          <w:szCs w:val="30"/>
          <w:highlight w:val="none"/>
          <w:lang w:eastAsia="zh-CN"/>
        </w:rPr>
        <w:t>：</w:t>
      </w:r>
      <w:r>
        <w:rPr>
          <w:rFonts w:ascii="仿宋_GB2312" w:hAnsi="仿宋" w:eastAsia="仿宋_GB2312"/>
          <w:sz w:val="30"/>
          <w:szCs w:val="30"/>
          <w:highlight w:val="none"/>
        </w:rPr>
        <w:t>按照政府会计</w:t>
      </w:r>
      <w:r>
        <w:rPr>
          <w:rFonts w:hint="eastAsia" w:ascii="仿宋_GB2312" w:hAnsi="仿宋" w:eastAsia="仿宋_GB2312"/>
          <w:sz w:val="30"/>
          <w:szCs w:val="30"/>
          <w:highlight w:val="none"/>
        </w:rPr>
        <w:t>准则</w:t>
      </w:r>
      <w:r>
        <w:rPr>
          <w:rFonts w:ascii="仿宋_GB2312" w:hAnsi="仿宋" w:eastAsia="仿宋_GB2312"/>
          <w:sz w:val="30"/>
          <w:szCs w:val="30"/>
          <w:highlight w:val="none"/>
        </w:rPr>
        <w:t>制度要求</w:t>
      </w:r>
      <w:r>
        <w:rPr>
          <w:rFonts w:hint="eastAsia" w:ascii="仿宋_GB2312" w:hAnsi="仿宋" w:eastAsia="仿宋_GB2312"/>
          <w:sz w:val="30"/>
          <w:szCs w:val="30"/>
          <w:highlight w:val="none"/>
        </w:rPr>
        <w:t>，单位资产清查中查明的资产盘盈、盘亏、报废和毁损，一般应当先记入本科目，按照规定报经批准后及时进行账务处理。年末结账前一般应处理完毕。若年末本科目尚有未处理的固定资产、无形资产、公共基础设施、政府储备物资、文物文化资产、保障性住房，应还原至原科目反映。</w:t>
      </w:r>
      <w:bookmarkEnd w:id="3"/>
    </w:p>
    <w:p w14:paraId="1119B773">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9</w:t>
      </w:r>
      <w:r>
        <w:rPr>
          <w:rFonts w:ascii="仿宋_GB2312" w:hAnsi="仿宋" w:eastAsia="仿宋_GB2312"/>
          <w:sz w:val="30"/>
          <w:szCs w:val="30"/>
          <w:highlight w:val="none"/>
        </w:rPr>
        <w:t>.</w:t>
      </w:r>
      <w:r>
        <w:rPr>
          <w:rFonts w:hint="eastAsia" w:ascii="仿宋_GB2312" w:hAnsi="仿宋" w:eastAsia="仿宋_GB2312"/>
          <w:sz w:val="30"/>
          <w:szCs w:val="30"/>
          <w:highlight w:val="none"/>
        </w:rPr>
        <w:t>在建工程：反映在建建设项目工程的实际成本。</w:t>
      </w:r>
    </w:p>
    <w:p w14:paraId="4B0C04D3">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10</w:t>
      </w:r>
      <w:r>
        <w:rPr>
          <w:rFonts w:ascii="仿宋_GB2312" w:hAnsi="仿宋" w:eastAsia="仿宋_GB2312"/>
          <w:sz w:val="30"/>
          <w:szCs w:val="30"/>
          <w:highlight w:val="none"/>
        </w:rPr>
        <w:t>.</w:t>
      </w:r>
      <w:r>
        <w:rPr>
          <w:rFonts w:hint="eastAsia" w:ascii="仿宋_GB2312" w:hAnsi="仿宋" w:eastAsia="仿宋_GB2312"/>
          <w:sz w:val="30"/>
          <w:szCs w:val="30"/>
          <w:highlight w:val="none"/>
        </w:rPr>
        <w:t>公共基础设施原值：反映公共基础设施的原始价值。</w:t>
      </w:r>
    </w:p>
    <w:p w14:paraId="03997CE2">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11.公共基础设施累计折旧（摊销）：反映单位按照规定计提的累计折旧（摊销）额。</w:t>
      </w:r>
    </w:p>
    <w:p w14:paraId="41E0050A">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12.政府储备物资：反映单位控制的政府储备物资成本。</w:t>
      </w:r>
    </w:p>
    <w:p w14:paraId="5EA318BE">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13.文物文化资产：反映单位为满足社会公共需求而控制的文物文化资产成本。</w:t>
      </w:r>
    </w:p>
    <w:p w14:paraId="40F55855">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14.保障性住房原值：反映单位为满足社会公共需求而控制的保障性住房的原值。</w:t>
      </w:r>
    </w:p>
    <w:p w14:paraId="2DA6E8AE">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15.保障性住房累计折旧：反映单位应计提的累计折旧额。</w:t>
      </w:r>
    </w:p>
    <w:p w14:paraId="2B6C84CC">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16</w:t>
      </w:r>
      <w:r>
        <w:rPr>
          <w:rFonts w:ascii="仿宋_GB2312" w:hAnsi="仿宋" w:eastAsia="仿宋_GB2312"/>
          <w:sz w:val="30"/>
          <w:szCs w:val="30"/>
          <w:highlight w:val="none"/>
        </w:rPr>
        <w:t>.</w:t>
      </w:r>
      <w:r>
        <w:rPr>
          <w:rFonts w:hint="eastAsia" w:ascii="仿宋_GB2312" w:hAnsi="仿宋" w:eastAsia="仿宋_GB2312"/>
          <w:sz w:val="30"/>
          <w:szCs w:val="30"/>
          <w:highlight w:val="none"/>
        </w:rPr>
        <w:t>其他非流动资产：反映上述各项之外的其他非流动资产的合计数（含林木资产）。</w:t>
      </w:r>
    </w:p>
    <w:p w14:paraId="58BC3F42">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17</w:t>
      </w:r>
      <w:r>
        <w:rPr>
          <w:rFonts w:ascii="仿宋_GB2312" w:hAnsi="仿宋" w:eastAsia="仿宋_GB2312"/>
          <w:sz w:val="30"/>
          <w:szCs w:val="30"/>
          <w:highlight w:val="none"/>
        </w:rPr>
        <w:t>.受托代理资产</w:t>
      </w:r>
      <w:r>
        <w:rPr>
          <w:rFonts w:hint="eastAsia" w:ascii="仿宋_GB2312" w:hAnsi="仿宋" w:eastAsia="仿宋_GB2312"/>
          <w:sz w:val="30"/>
          <w:szCs w:val="30"/>
          <w:highlight w:val="none"/>
        </w:rPr>
        <w:t>：</w:t>
      </w:r>
      <w:r>
        <w:rPr>
          <w:rFonts w:ascii="仿宋_GB2312" w:hAnsi="仿宋" w:eastAsia="仿宋_GB2312"/>
          <w:sz w:val="30"/>
          <w:szCs w:val="30"/>
          <w:highlight w:val="none"/>
        </w:rPr>
        <w:t>反映单位期末受托代理资产的价值</w:t>
      </w:r>
      <w:r>
        <w:rPr>
          <w:rFonts w:hint="eastAsia" w:ascii="仿宋_GB2312" w:hAnsi="仿宋" w:eastAsia="仿宋_GB2312"/>
          <w:sz w:val="30"/>
          <w:szCs w:val="30"/>
          <w:highlight w:val="none"/>
        </w:rPr>
        <w:t>。</w:t>
      </w:r>
      <w:r>
        <w:rPr>
          <w:rFonts w:ascii="仿宋_GB2312" w:hAnsi="仿宋" w:eastAsia="仿宋_GB2312"/>
          <w:sz w:val="30"/>
          <w:szCs w:val="30"/>
          <w:highlight w:val="none"/>
        </w:rPr>
        <w:t>按照政府会计</w:t>
      </w:r>
      <w:r>
        <w:rPr>
          <w:rFonts w:hint="eastAsia" w:ascii="仿宋_GB2312" w:hAnsi="仿宋" w:eastAsia="仿宋_GB2312"/>
          <w:sz w:val="30"/>
          <w:szCs w:val="30"/>
          <w:highlight w:val="none"/>
        </w:rPr>
        <w:t>准则</w:t>
      </w:r>
      <w:r>
        <w:rPr>
          <w:rFonts w:ascii="仿宋_GB2312" w:hAnsi="仿宋" w:eastAsia="仿宋_GB2312"/>
          <w:sz w:val="30"/>
          <w:szCs w:val="30"/>
          <w:highlight w:val="none"/>
        </w:rPr>
        <w:t>制度要求</w:t>
      </w:r>
      <w:r>
        <w:rPr>
          <w:rFonts w:hint="eastAsia" w:ascii="仿宋_GB2312" w:hAnsi="仿宋" w:eastAsia="仿宋_GB2312"/>
          <w:sz w:val="30"/>
          <w:szCs w:val="30"/>
          <w:highlight w:val="none"/>
        </w:rPr>
        <w:t>，本科目</w:t>
      </w:r>
      <w:r>
        <w:rPr>
          <w:rFonts w:ascii="仿宋_GB2312" w:hAnsi="仿宋" w:eastAsia="仿宋_GB2312"/>
          <w:sz w:val="30"/>
          <w:szCs w:val="30"/>
          <w:highlight w:val="none"/>
        </w:rPr>
        <w:t>应根据</w:t>
      </w:r>
      <w:r>
        <w:rPr>
          <w:rFonts w:hint="eastAsia" w:ascii="仿宋_GB2312" w:hAnsi="仿宋" w:eastAsia="仿宋_GB2312"/>
          <w:sz w:val="30"/>
          <w:szCs w:val="30"/>
          <w:highlight w:val="none"/>
        </w:rPr>
        <w:t>“</w:t>
      </w:r>
      <w:r>
        <w:rPr>
          <w:rFonts w:ascii="仿宋_GB2312" w:hAnsi="仿宋" w:eastAsia="仿宋_GB2312"/>
          <w:sz w:val="30"/>
          <w:szCs w:val="30"/>
          <w:highlight w:val="none"/>
        </w:rPr>
        <w:t>受托代理资产</w:t>
      </w:r>
      <w:r>
        <w:rPr>
          <w:rFonts w:hint="eastAsia" w:ascii="仿宋_GB2312" w:hAnsi="仿宋" w:eastAsia="仿宋_GB2312"/>
          <w:sz w:val="30"/>
          <w:szCs w:val="30"/>
          <w:highlight w:val="none"/>
        </w:rPr>
        <w:t>”科目期初、期末余额与“库存现金</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银行存款”科目下“</w:t>
      </w:r>
      <w:r>
        <w:rPr>
          <w:rFonts w:ascii="仿宋_GB2312" w:hAnsi="仿宋" w:eastAsia="仿宋_GB2312"/>
          <w:sz w:val="30"/>
          <w:szCs w:val="30"/>
          <w:highlight w:val="none"/>
        </w:rPr>
        <w:t>受托代理资产</w:t>
      </w:r>
      <w:r>
        <w:rPr>
          <w:rFonts w:hint="eastAsia" w:ascii="仿宋_GB2312" w:hAnsi="仿宋" w:eastAsia="仿宋_GB2312"/>
          <w:sz w:val="30"/>
          <w:szCs w:val="30"/>
          <w:highlight w:val="none"/>
        </w:rPr>
        <w:t>”明细科目期初、期末余额的合计数填列。</w:t>
      </w:r>
    </w:p>
    <w:p w14:paraId="063CAC60">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18</w:t>
      </w:r>
      <w:r>
        <w:rPr>
          <w:rFonts w:ascii="仿宋_GB2312" w:hAnsi="仿宋" w:eastAsia="仿宋_GB2312"/>
          <w:sz w:val="30"/>
          <w:szCs w:val="30"/>
          <w:highlight w:val="none"/>
        </w:rPr>
        <w:t>.</w:t>
      </w:r>
      <w:r>
        <w:rPr>
          <w:rFonts w:hint="eastAsia" w:ascii="仿宋_GB2312" w:hAnsi="仿宋" w:eastAsia="仿宋_GB2312"/>
          <w:sz w:val="30"/>
          <w:szCs w:val="30"/>
          <w:highlight w:val="none"/>
        </w:rPr>
        <w:t>除固定、无形资产相关</w:t>
      </w:r>
      <w:r>
        <w:rPr>
          <w:rFonts w:ascii="仿宋_GB2312" w:hAnsi="仿宋" w:eastAsia="仿宋_GB2312"/>
          <w:sz w:val="30"/>
          <w:szCs w:val="30"/>
          <w:highlight w:val="none"/>
        </w:rPr>
        <w:t>科目</w:t>
      </w:r>
      <w:r>
        <w:rPr>
          <w:rFonts w:hint="eastAsia" w:ascii="仿宋_GB2312" w:hAnsi="仿宋" w:eastAsia="仿宋_GB2312"/>
          <w:sz w:val="30"/>
          <w:szCs w:val="30"/>
          <w:highlight w:val="none"/>
        </w:rPr>
        <w:t>外，其他科目期初、期末</w:t>
      </w:r>
      <w:r>
        <w:rPr>
          <w:rFonts w:ascii="仿宋_GB2312" w:hAnsi="仿宋" w:eastAsia="仿宋_GB2312"/>
          <w:sz w:val="30"/>
          <w:szCs w:val="30"/>
          <w:highlight w:val="none"/>
        </w:rPr>
        <w:t>数</w:t>
      </w:r>
      <w:r>
        <w:rPr>
          <w:rFonts w:hint="eastAsia" w:ascii="仿宋_GB2312" w:hAnsi="仿宋" w:eastAsia="仿宋_GB2312"/>
          <w:sz w:val="30"/>
          <w:szCs w:val="30"/>
          <w:highlight w:val="none"/>
        </w:rPr>
        <w:t>应</w:t>
      </w:r>
      <w:r>
        <w:rPr>
          <w:rFonts w:ascii="仿宋_GB2312" w:hAnsi="仿宋" w:eastAsia="仿宋_GB2312"/>
          <w:sz w:val="30"/>
          <w:szCs w:val="30"/>
          <w:highlight w:val="none"/>
        </w:rPr>
        <w:t>依据财务会计报表相关数据</w:t>
      </w:r>
      <w:r>
        <w:rPr>
          <w:rFonts w:hint="eastAsia" w:ascii="仿宋_GB2312" w:hAnsi="仿宋" w:eastAsia="仿宋_GB2312"/>
          <w:sz w:val="30"/>
          <w:szCs w:val="30"/>
          <w:highlight w:val="none"/>
        </w:rPr>
        <w:t>手工</w:t>
      </w:r>
      <w:r>
        <w:rPr>
          <w:rFonts w:ascii="仿宋_GB2312" w:hAnsi="仿宋" w:eastAsia="仿宋_GB2312"/>
          <w:sz w:val="30"/>
          <w:szCs w:val="30"/>
          <w:highlight w:val="none"/>
        </w:rPr>
        <w:t>填列。</w:t>
      </w:r>
    </w:p>
    <w:p w14:paraId="4FBA2789">
      <w:pPr>
        <w:adjustRightInd w:val="0"/>
        <w:snapToGrid w:val="0"/>
        <w:spacing w:line="360" w:lineRule="auto"/>
        <w:ind w:firstLine="602" w:firstLineChars="200"/>
        <w:rPr>
          <w:rFonts w:hint="eastAsia" w:ascii="仿宋_GB2312" w:hAnsi="仿宋" w:eastAsia="仿宋_GB2312"/>
          <w:b/>
          <w:sz w:val="30"/>
          <w:szCs w:val="30"/>
          <w:highlight w:val="none"/>
        </w:rPr>
      </w:pPr>
      <w:r>
        <w:rPr>
          <w:rFonts w:hint="eastAsia" w:ascii="仿宋_GB2312" w:hAnsi="仿宋" w:eastAsia="仿宋_GB2312"/>
          <w:b/>
          <w:sz w:val="30"/>
          <w:szCs w:val="30"/>
          <w:highlight w:val="none"/>
        </w:rPr>
        <w:t>逻辑性审核公式：</w:t>
      </w:r>
    </w:p>
    <w:p w14:paraId="118FBDF1">
      <w:pPr>
        <w:adjustRightInd w:val="0"/>
        <w:snapToGrid w:val="0"/>
        <w:spacing w:line="360" w:lineRule="auto"/>
        <w:ind w:firstLine="602" w:firstLineChars="200"/>
        <w:rPr>
          <w:rFonts w:hint="eastAsia" w:ascii="仿宋_GB2312" w:hAnsi="仿宋" w:eastAsia="仿宋_GB2312"/>
          <w:b/>
          <w:sz w:val="30"/>
          <w:szCs w:val="30"/>
          <w:highlight w:val="none"/>
        </w:rPr>
      </w:pPr>
      <w:r>
        <w:rPr>
          <w:rFonts w:hint="eastAsia" w:ascii="仿宋_GB2312" w:hAnsi="仿宋" w:eastAsia="仿宋_GB2312"/>
          <w:b/>
          <w:sz w:val="30"/>
          <w:szCs w:val="30"/>
          <w:highlight w:val="none"/>
        </w:rPr>
        <w:t>表内</w:t>
      </w:r>
      <w:r>
        <w:rPr>
          <w:rFonts w:ascii="仿宋_GB2312" w:hAnsi="仿宋" w:eastAsia="仿宋_GB2312"/>
          <w:b/>
          <w:sz w:val="30"/>
          <w:szCs w:val="30"/>
          <w:highlight w:val="none"/>
        </w:rPr>
        <w:t>公式：</w:t>
      </w:r>
    </w:p>
    <w:p w14:paraId="4E0574CC">
      <w:pPr>
        <w:numPr>
          <w:ilvl w:val="0"/>
          <w:numId w:val="3"/>
        </w:numPr>
        <w:adjustRightInd w:val="0"/>
        <w:snapToGrid w:val="0"/>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rPr>
        <w:t>资产合计（1行）等于流动资产（2行）、非流动资产（16行）、受托代理资产（39行）各项之和；</w:t>
      </w:r>
    </w:p>
    <w:p w14:paraId="5C138CCD">
      <w:pPr>
        <w:numPr>
          <w:ilvl w:val="0"/>
          <w:numId w:val="3"/>
        </w:numPr>
        <w:adjustRightInd w:val="0"/>
        <w:snapToGrid w:val="0"/>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rPr>
        <w:t>流动资产（2行）等于货币资金、短期投资、财政应返还额度等13项（3~15行）之和；</w:t>
      </w:r>
    </w:p>
    <w:p w14:paraId="23692EA7">
      <w:pPr>
        <w:numPr>
          <w:ilvl w:val="0"/>
          <w:numId w:val="3"/>
        </w:numPr>
        <w:adjustRightInd w:val="0"/>
        <w:snapToGrid w:val="0"/>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rPr>
        <w:t>非流动资产（16行）等于长期股权投资、长期债券投资、固定资产净值等14项</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17、18、21、22、23、26、27、30、31、32、35、36、37、38行</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的净值之和；</w:t>
      </w:r>
    </w:p>
    <w:p w14:paraId="429CCCD1">
      <w:pPr>
        <w:numPr>
          <w:ilvl w:val="0"/>
          <w:numId w:val="3"/>
        </w:numPr>
        <w:adjustRightInd w:val="0"/>
        <w:snapToGrid w:val="0"/>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rPr>
        <w:t>固定资产净值（21行）等于固定资产原值减固定资产累计折旧；</w:t>
      </w:r>
    </w:p>
    <w:p w14:paraId="1FB220D6">
      <w:pPr>
        <w:numPr>
          <w:ilvl w:val="0"/>
          <w:numId w:val="3"/>
        </w:numPr>
        <w:adjustRightInd w:val="0"/>
        <w:snapToGrid w:val="0"/>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rPr>
        <w:t>无形资产净值（26行）等于无形资产原值减无形资产累计折；</w:t>
      </w:r>
    </w:p>
    <w:p w14:paraId="3002E3DA">
      <w:pPr>
        <w:numPr>
          <w:ilvl w:val="0"/>
          <w:numId w:val="3"/>
        </w:numPr>
        <w:adjustRightInd w:val="0"/>
        <w:snapToGrid w:val="0"/>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rPr>
        <w:t>公共基础设施净值（30行）等于公共基础设施原值减公共基础设施累计折旧；</w:t>
      </w:r>
    </w:p>
    <w:p w14:paraId="5FBD1EFC">
      <w:pPr>
        <w:numPr>
          <w:ilvl w:val="0"/>
          <w:numId w:val="3"/>
        </w:numPr>
        <w:adjustRightInd w:val="0"/>
        <w:snapToGrid w:val="0"/>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rPr>
        <w:t>保障性住房净值（35行）等于保障性住房原值减保障性住房累计折旧；</w:t>
      </w:r>
    </w:p>
    <w:p w14:paraId="50D8B7EC">
      <w:pPr>
        <w:numPr>
          <w:ilvl w:val="0"/>
          <w:numId w:val="3"/>
        </w:numPr>
        <w:adjustRightInd w:val="0"/>
        <w:snapToGrid w:val="0"/>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rPr>
        <w:t>负债合计（40行）等于流动负债（41行）、非流动负债（56行）、受托代理负债（61行）各项之和；</w:t>
      </w:r>
    </w:p>
    <w:p w14:paraId="3DA8643E">
      <w:pPr>
        <w:numPr>
          <w:ilvl w:val="0"/>
          <w:numId w:val="3"/>
        </w:numPr>
        <w:adjustRightInd w:val="0"/>
        <w:snapToGrid w:val="0"/>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rPr>
        <w:t>流动负债（41行）等于短期借款、应交增值税、其他应交税费等14项（42~55行）之和；</w:t>
      </w:r>
    </w:p>
    <w:p w14:paraId="0A7C95B7">
      <w:pPr>
        <w:numPr>
          <w:ilvl w:val="0"/>
          <w:numId w:val="3"/>
        </w:numPr>
        <w:adjustRightInd w:val="0"/>
        <w:snapToGrid w:val="0"/>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rPr>
        <w:t>非流动负债（56行）等于长期借款、长期应付款、预计负债、其他非流动负债（57~60行）各项之和；</w:t>
      </w:r>
    </w:p>
    <w:p w14:paraId="2CC7D519">
      <w:pPr>
        <w:numPr>
          <w:ilvl w:val="0"/>
          <w:numId w:val="3"/>
        </w:numPr>
        <w:adjustRightInd w:val="0"/>
        <w:snapToGrid w:val="0"/>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rPr>
        <w:t>净资产（75行）等于累计盈余（非限定性净资产）、专用基金（限定性净资产）、权益法调整（76~78行）各项之和；</w:t>
      </w:r>
    </w:p>
    <w:p w14:paraId="691FCCA7">
      <w:pPr>
        <w:numPr>
          <w:ilvl w:val="0"/>
          <w:numId w:val="3"/>
        </w:numPr>
        <w:adjustRightInd w:val="0"/>
        <w:snapToGrid w:val="0"/>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rPr>
        <w:t>净资产（75行）等于资产合计（1行）减负债合计（</w:t>
      </w:r>
      <w:r>
        <w:rPr>
          <w:rFonts w:ascii="仿宋_GB2312" w:hAnsi="仿宋" w:eastAsia="仿宋_GB2312"/>
          <w:sz w:val="30"/>
          <w:szCs w:val="30"/>
          <w:highlight w:val="none"/>
        </w:rPr>
        <w:t>4</w:t>
      </w:r>
      <w:r>
        <w:rPr>
          <w:rFonts w:hint="eastAsia" w:ascii="仿宋_GB2312" w:hAnsi="仿宋" w:eastAsia="仿宋_GB2312"/>
          <w:sz w:val="30"/>
          <w:szCs w:val="30"/>
          <w:highlight w:val="none"/>
        </w:rPr>
        <w:t>0行）；</w:t>
      </w:r>
    </w:p>
    <w:p w14:paraId="11664BD3">
      <w:pPr>
        <w:numPr>
          <w:ilvl w:val="0"/>
          <w:numId w:val="3"/>
        </w:numPr>
        <w:adjustRightInd w:val="0"/>
        <w:snapToGrid w:val="0"/>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rPr>
        <w:t>受托代理资产（39行）应等于受托代理负债（61行）；</w:t>
      </w:r>
    </w:p>
    <w:p w14:paraId="5385CECC">
      <w:pPr>
        <w:numPr>
          <w:ilvl w:val="0"/>
          <w:numId w:val="3"/>
        </w:numPr>
        <w:adjustRightInd w:val="0"/>
        <w:snapToGrid w:val="0"/>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rPr>
        <w:t>权益法调整（78行）大于零，则长期股权投资（17行）应大于零；</w:t>
      </w:r>
    </w:p>
    <w:p w14:paraId="18C8FD2E">
      <w:pPr>
        <w:numPr>
          <w:ilvl w:val="0"/>
          <w:numId w:val="3"/>
        </w:numPr>
        <w:adjustRightInd w:val="0"/>
        <w:snapToGrid w:val="0"/>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rPr>
        <w:t>封面单位会计制度选择“</w:t>
      </w:r>
      <w:r>
        <w:rPr>
          <w:rFonts w:ascii="仿宋_GB2312" w:hAnsi="仿宋" w:eastAsia="仿宋_GB2312"/>
          <w:sz w:val="30"/>
          <w:szCs w:val="30"/>
          <w:highlight w:val="none"/>
        </w:rPr>
        <w:t>31</w:t>
      </w:r>
      <w:r>
        <w:rPr>
          <w:rFonts w:hint="eastAsia" w:ascii="仿宋_GB2312" w:hAnsi="仿宋" w:eastAsia="仿宋_GB2312"/>
          <w:sz w:val="30"/>
          <w:szCs w:val="30"/>
          <w:highlight w:val="none"/>
        </w:rPr>
        <w:t>.民间非营利组织会计制度”时，资产负债表的应收股利、应收利息、工程物资、研发支出、公共基础设施原值、公共基础设施累计折旧、公共基础设施净值、政府储备物资、保障性住房原值、保障性住房累计折旧、保障性住房净值、长期待摊销费用、其他非流动资产，应缴财政款、应付政府补贴款、应付利息、权益法调整应为空；</w:t>
      </w:r>
    </w:p>
    <w:p w14:paraId="065B0BA2">
      <w:pPr>
        <w:numPr>
          <w:ilvl w:val="0"/>
          <w:numId w:val="3"/>
        </w:numPr>
        <w:adjustRightInd w:val="0"/>
        <w:snapToGrid w:val="0"/>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rPr>
        <w:t>封面单位会计制度选择“</w:t>
      </w:r>
      <w:r>
        <w:rPr>
          <w:rFonts w:ascii="仿宋_GB2312" w:hAnsi="仿宋" w:eastAsia="仿宋_GB2312"/>
          <w:sz w:val="30"/>
          <w:szCs w:val="30"/>
          <w:highlight w:val="none"/>
        </w:rPr>
        <w:t>11.</w:t>
      </w:r>
      <w:r>
        <w:rPr>
          <w:rFonts w:hint="eastAsia" w:ascii="仿宋_GB2312" w:hAnsi="仿宋" w:eastAsia="仿宋_GB2312"/>
          <w:sz w:val="30"/>
          <w:szCs w:val="30"/>
          <w:highlight w:val="none"/>
        </w:rPr>
        <w:t>政府会计准则制度”，当</w:t>
      </w:r>
      <w:r>
        <w:rPr>
          <w:rFonts w:hint="eastAsia" w:ascii="仿宋_GB2312" w:hAnsi="仿宋" w:eastAsia="仿宋_GB2312"/>
          <w:sz w:val="30"/>
          <w:szCs w:val="30"/>
          <w:highlight w:val="none"/>
          <w:lang w:eastAsia="zh-CN"/>
        </w:rPr>
        <w:t>单位性质</w:t>
      </w:r>
      <w:r>
        <w:rPr>
          <w:rFonts w:hint="eastAsia" w:ascii="仿宋_GB2312" w:hAnsi="仿宋" w:eastAsia="仿宋_GB2312"/>
          <w:sz w:val="30"/>
          <w:szCs w:val="30"/>
          <w:highlight w:val="none"/>
        </w:rPr>
        <w:t>选择“11.共产党机关”、“12.政府机关”、“13.人大机关”、“14.政协机关”、“15.群众团体”、“16.民主党派”、“17.政法机关”或参照公务员法管理事业单位执行财务规则选择“行政单位财务规则”时，短期投资、应收票据、应收股利、应收利息、长期股权投资、长期债券投资、短期借款、应付票据、应付利息、预收账款、长期借款、专用基金（限定性净资产）、权益法调整应为空；</w:t>
      </w:r>
    </w:p>
    <w:p w14:paraId="2A987F38">
      <w:pPr>
        <w:numPr>
          <w:ilvl w:val="0"/>
          <w:numId w:val="3"/>
        </w:numPr>
        <w:adjustRightInd w:val="0"/>
        <w:snapToGrid w:val="0"/>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rPr>
        <w:t>除待处理财产损溢、应交增值税、其他应交税费、应付职工薪酬、累计盈余（非限定性净资产）、权益法调整外，其他指标应大于等于0；</w:t>
      </w:r>
    </w:p>
    <w:p w14:paraId="0AF4CF46">
      <w:pPr>
        <w:numPr>
          <w:ilvl w:val="0"/>
          <w:numId w:val="3"/>
        </w:numPr>
        <w:adjustRightInd w:val="0"/>
        <w:snapToGrid w:val="0"/>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rPr>
        <w:t>当封面</w:t>
      </w:r>
      <w:r>
        <w:rPr>
          <w:rFonts w:hint="eastAsia" w:ascii="仿宋_GB2312" w:hAnsi="仿宋" w:eastAsia="仿宋_GB2312"/>
          <w:sz w:val="30"/>
          <w:szCs w:val="30"/>
          <w:highlight w:val="none"/>
          <w:lang w:eastAsia="zh-CN"/>
        </w:rPr>
        <w:t>单位性质</w:t>
      </w:r>
      <w:r>
        <w:rPr>
          <w:rFonts w:hint="eastAsia" w:ascii="仿宋_GB2312" w:hAnsi="仿宋" w:eastAsia="仿宋_GB2312"/>
          <w:sz w:val="30"/>
          <w:szCs w:val="30"/>
          <w:highlight w:val="none"/>
        </w:rPr>
        <w:t>选择</w:t>
      </w:r>
      <w:r>
        <w:rPr>
          <w:rFonts w:ascii="仿宋_GB2312" w:hAnsi="仿宋" w:eastAsia="仿宋_GB2312"/>
          <w:sz w:val="30"/>
          <w:szCs w:val="30"/>
          <w:highlight w:val="none"/>
        </w:rPr>
        <w:t>“22.</w:t>
      </w:r>
      <w:r>
        <w:rPr>
          <w:rFonts w:hint="eastAsia" w:ascii="仿宋_GB2312" w:hAnsi="仿宋" w:eastAsia="仿宋_GB2312"/>
          <w:sz w:val="30"/>
          <w:szCs w:val="30"/>
          <w:highlight w:val="none"/>
        </w:rPr>
        <w:t>财政补助事业单位”、“</w:t>
      </w:r>
      <w:r>
        <w:rPr>
          <w:rFonts w:ascii="仿宋_GB2312" w:hAnsi="仿宋" w:eastAsia="仿宋_GB2312"/>
          <w:sz w:val="30"/>
          <w:szCs w:val="30"/>
          <w:highlight w:val="none"/>
        </w:rPr>
        <w:t>23.</w:t>
      </w:r>
      <w:r>
        <w:rPr>
          <w:rFonts w:hint="eastAsia" w:ascii="仿宋_GB2312" w:hAnsi="仿宋" w:eastAsia="仿宋_GB2312"/>
          <w:sz w:val="30"/>
          <w:szCs w:val="30"/>
          <w:highlight w:val="none"/>
        </w:rPr>
        <w:t>经费自理事业单位”或参照公务员法管理事业单位执行财务规则选择“事业单位财务规则及其他”或当封面单位执行会计制度选择“</w:t>
      </w:r>
      <w:r>
        <w:rPr>
          <w:rFonts w:ascii="仿宋_GB2312" w:hAnsi="仿宋" w:eastAsia="仿宋_GB2312"/>
          <w:sz w:val="30"/>
          <w:szCs w:val="30"/>
          <w:highlight w:val="none"/>
        </w:rPr>
        <w:t>31</w:t>
      </w:r>
      <w:r>
        <w:rPr>
          <w:rFonts w:hint="eastAsia" w:ascii="仿宋_GB2312" w:hAnsi="仿宋" w:eastAsia="仿宋_GB2312"/>
          <w:sz w:val="30"/>
          <w:szCs w:val="30"/>
          <w:highlight w:val="none"/>
        </w:rPr>
        <w:t>.民间非营利组织会计制度”时，应付政府补贴款应为空。</w:t>
      </w:r>
    </w:p>
    <w:p w14:paraId="02EFD069">
      <w:pPr>
        <w:numPr>
          <w:ilvl w:val="0"/>
          <w:numId w:val="3"/>
        </w:numPr>
        <w:adjustRightInd w:val="0"/>
        <w:snapToGrid w:val="0"/>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rPr>
        <w:t>当封面</w:t>
      </w:r>
      <w:r>
        <w:rPr>
          <w:rFonts w:hint="eastAsia" w:ascii="仿宋_GB2312" w:hAnsi="仿宋" w:eastAsia="仿宋_GB2312"/>
          <w:sz w:val="30"/>
          <w:szCs w:val="30"/>
          <w:highlight w:val="none"/>
          <w:lang w:eastAsia="zh-CN"/>
        </w:rPr>
        <w:t>新报因素</w:t>
      </w:r>
      <w:r>
        <w:rPr>
          <w:rFonts w:hint="eastAsia" w:ascii="仿宋_GB2312" w:hAnsi="仿宋" w:eastAsia="仿宋_GB2312"/>
          <w:sz w:val="30"/>
          <w:szCs w:val="30"/>
          <w:highlight w:val="none"/>
        </w:rPr>
        <w:t>选择</w:t>
      </w:r>
      <w:r>
        <w:rPr>
          <w:rFonts w:ascii="仿宋_GB2312" w:hAnsi="仿宋" w:eastAsia="仿宋_GB2312"/>
          <w:sz w:val="30"/>
          <w:szCs w:val="30"/>
          <w:highlight w:val="none"/>
        </w:rPr>
        <w:t>“</w:t>
      </w:r>
      <w:r>
        <w:rPr>
          <w:rFonts w:hint="eastAsia" w:ascii="仿宋_GB2312" w:hAnsi="仿宋" w:eastAsia="仿宋_GB2312"/>
          <w:sz w:val="30"/>
          <w:szCs w:val="30"/>
          <w:highlight w:val="none"/>
        </w:rPr>
        <w:t>1新增单位”时，资产负债表期初不应有数据。</w:t>
      </w:r>
    </w:p>
    <w:p w14:paraId="5DBFA74D">
      <w:pPr>
        <w:numPr>
          <w:ilvl w:val="255"/>
          <w:numId w:val="0"/>
        </w:numPr>
        <w:adjustRightInd w:val="0"/>
        <w:snapToGrid w:val="0"/>
        <w:spacing w:line="360" w:lineRule="auto"/>
        <w:ind w:left="567"/>
        <w:rPr>
          <w:rFonts w:hint="eastAsia" w:ascii="仿宋_GB2312" w:hAnsi="仿宋" w:eastAsia="仿宋_GB2312"/>
          <w:b/>
          <w:sz w:val="30"/>
          <w:szCs w:val="30"/>
          <w:highlight w:val="none"/>
        </w:rPr>
      </w:pPr>
      <w:r>
        <w:rPr>
          <w:rFonts w:hint="eastAsia" w:ascii="仿宋_GB2312" w:hAnsi="仿宋" w:eastAsia="仿宋_GB2312"/>
          <w:b/>
          <w:sz w:val="30"/>
          <w:szCs w:val="30"/>
          <w:highlight w:val="none"/>
        </w:rPr>
        <w:t>表间公式：</w:t>
      </w:r>
    </w:p>
    <w:p w14:paraId="5A0CC7F4">
      <w:pPr>
        <w:numPr>
          <w:ilvl w:val="0"/>
          <w:numId w:val="3"/>
        </w:numPr>
        <w:adjustRightInd w:val="0"/>
        <w:snapToGrid w:val="0"/>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rPr>
        <w:t>短期投资期末数（4行2栏）应等于</w:t>
      </w:r>
      <w:r>
        <w:rPr>
          <w:rFonts w:ascii="仿宋_GB2312" w:hAnsi="仿宋" w:eastAsia="仿宋_GB2312"/>
          <w:sz w:val="30"/>
          <w:szCs w:val="30"/>
          <w:highlight w:val="none"/>
        </w:rPr>
        <w:t>财资</w:t>
      </w:r>
      <w:r>
        <w:rPr>
          <w:rFonts w:hint="eastAsia" w:ascii="仿宋_GB2312" w:hAnsi="仿宋" w:eastAsia="仿宋_GB2312"/>
          <w:sz w:val="30"/>
          <w:szCs w:val="30"/>
          <w:highlight w:val="none"/>
        </w:rPr>
        <w:t>11对外投资情况表单位会计科目（1栏）为短期投资的各行对外投资期末账面数（1</w:t>
      </w:r>
      <w:r>
        <w:rPr>
          <w:rFonts w:hint="eastAsia" w:ascii="仿宋_GB2312" w:hAnsi="仿宋" w:eastAsia="仿宋_GB2312"/>
          <w:sz w:val="30"/>
          <w:szCs w:val="30"/>
          <w:highlight w:val="none"/>
          <w:lang w:val="en-US" w:eastAsia="zh-CN"/>
        </w:rPr>
        <w:t>3</w:t>
      </w:r>
      <w:r>
        <w:rPr>
          <w:rFonts w:hint="eastAsia" w:ascii="仿宋_GB2312" w:hAnsi="仿宋" w:eastAsia="仿宋_GB2312"/>
          <w:sz w:val="30"/>
          <w:szCs w:val="30"/>
          <w:highlight w:val="none"/>
        </w:rPr>
        <w:t>栏）之和；</w:t>
      </w:r>
    </w:p>
    <w:p w14:paraId="4C1B4A40">
      <w:pPr>
        <w:numPr>
          <w:ilvl w:val="0"/>
          <w:numId w:val="3"/>
        </w:numPr>
        <w:adjustRightInd w:val="0"/>
        <w:snapToGrid w:val="0"/>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rPr>
        <w:t>长期股权投资期末数（17行2栏）等于</w:t>
      </w:r>
      <w:r>
        <w:rPr>
          <w:rFonts w:ascii="仿宋_GB2312" w:hAnsi="仿宋" w:eastAsia="仿宋_GB2312"/>
          <w:sz w:val="30"/>
          <w:szCs w:val="30"/>
          <w:highlight w:val="none"/>
        </w:rPr>
        <w:t>财资</w:t>
      </w:r>
      <w:r>
        <w:rPr>
          <w:rFonts w:hint="eastAsia" w:ascii="仿宋_GB2312" w:hAnsi="仿宋" w:eastAsia="仿宋_GB2312"/>
          <w:sz w:val="30"/>
          <w:szCs w:val="30"/>
          <w:highlight w:val="none"/>
        </w:rPr>
        <w:t>11对外投资情况表（1栏）为长期股权投资的各行对外投资期末账面数（1</w:t>
      </w:r>
      <w:r>
        <w:rPr>
          <w:rFonts w:hint="eastAsia" w:ascii="仿宋_GB2312" w:hAnsi="仿宋" w:eastAsia="仿宋_GB2312"/>
          <w:sz w:val="30"/>
          <w:szCs w:val="30"/>
          <w:highlight w:val="none"/>
          <w:lang w:val="en-US" w:eastAsia="zh-CN"/>
        </w:rPr>
        <w:t>3</w:t>
      </w:r>
      <w:r>
        <w:rPr>
          <w:rFonts w:hint="eastAsia" w:ascii="仿宋_GB2312" w:hAnsi="仿宋" w:eastAsia="仿宋_GB2312"/>
          <w:sz w:val="30"/>
          <w:szCs w:val="30"/>
          <w:highlight w:val="none"/>
        </w:rPr>
        <w:t>栏）之和；</w:t>
      </w:r>
    </w:p>
    <w:p w14:paraId="4B665327">
      <w:pPr>
        <w:numPr>
          <w:ilvl w:val="0"/>
          <w:numId w:val="3"/>
        </w:numPr>
        <w:adjustRightInd w:val="0"/>
        <w:snapToGrid w:val="0"/>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rPr>
        <w:t>长期债券投资期末数（18行2栏）等于</w:t>
      </w:r>
      <w:r>
        <w:rPr>
          <w:rFonts w:ascii="仿宋_GB2312" w:hAnsi="仿宋" w:eastAsia="仿宋_GB2312"/>
          <w:sz w:val="30"/>
          <w:szCs w:val="30"/>
          <w:highlight w:val="none"/>
        </w:rPr>
        <w:t>财资</w:t>
      </w:r>
      <w:r>
        <w:rPr>
          <w:rFonts w:hint="eastAsia" w:ascii="仿宋_GB2312" w:hAnsi="仿宋" w:eastAsia="仿宋_GB2312"/>
          <w:sz w:val="30"/>
          <w:szCs w:val="30"/>
          <w:highlight w:val="none"/>
        </w:rPr>
        <w:t>11对外投资情况表（1栏）为长期债券投资的各行对外投资期末账面数（1</w:t>
      </w:r>
      <w:r>
        <w:rPr>
          <w:rFonts w:hint="eastAsia" w:ascii="仿宋_GB2312" w:hAnsi="仿宋" w:eastAsia="仿宋_GB2312"/>
          <w:sz w:val="30"/>
          <w:szCs w:val="30"/>
          <w:highlight w:val="none"/>
          <w:lang w:val="en-US" w:eastAsia="zh-CN"/>
        </w:rPr>
        <w:t>3</w:t>
      </w:r>
      <w:r>
        <w:rPr>
          <w:rFonts w:hint="eastAsia" w:ascii="仿宋_GB2312" w:hAnsi="仿宋" w:eastAsia="仿宋_GB2312"/>
          <w:sz w:val="30"/>
          <w:szCs w:val="30"/>
          <w:highlight w:val="none"/>
        </w:rPr>
        <w:t>栏）之和；</w:t>
      </w:r>
    </w:p>
    <w:p w14:paraId="09E7E5E9">
      <w:pPr>
        <w:numPr>
          <w:ilvl w:val="0"/>
          <w:numId w:val="3"/>
        </w:numPr>
        <w:adjustRightInd w:val="0"/>
        <w:snapToGrid w:val="0"/>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rPr>
        <w:t>固定资产原值、累计折旧、净值的期初期末数（19~21行）等于财资03固定和无形资产存量情况表的固定资产原值、累计折旧、净值的期初期末数（2行）</w:t>
      </w:r>
      <w:r>
        <w:rPr>
          <w:rFonts w:ascii="仿宋_GB2312" w:hAnsi="仿宋" w:eastAsia="仿宋_GB2312"/>
          <w:sz w:val="30"/>
          <w:szCs w:val="30"/>
          <w:highlight w:val="none"/>
        </w:rPr>
        <w:t>；</w:t>
      </w:r>
    </w:p>
    <w:p w14:paraId="600CCB6D">
      <w:pPr>
        <w:numPr>
          <w:ilvl w:val="0"/>
          <w:numId w:val="3"/>
        </w:numPr>
        <w:adjustRightInd w:val="0"/>
        <w:snapToGrid w:val="0"/>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rPr>
        <w:t>在建工程的期初期末数（23行）应等于财资07在建工程情况表期初期末数（1行</w:t>
      </w:r>
      <w:r>
        <w:rPr>
          <w:rFonts w:ascii="仿宋_GB2312" w:hAnsi="仿宋" w:eastAsia="仿宋_GB2312"/>
          <w:sz w:val="30"/>
          <w:szCs w:val="30"/>
          <w:highlight w:val="none"/>
        </w:rPr>
        <w:t>8</w:t>
      </w:r>
      <w:r>
        <w:rPr>
          <w:rFonts w:hint="eastAsia" w:ascii="仿宋_GB2312" w:hAnsi="仿宋" w:eastAsia="仿宋_GB2312"/>
          <w:sz w:val="30"/>
          <w:szCs w:val="30"/>
          <w:highlight w:val="none"/>
        </w:rPr>
        <w:t>、9栏）；</w:t>
      </w:r>
    </w:p>
    <w:p w14:paraId="2596045B">
      <w:pPr>
        <w:numPr>
          <w:ilvl w:val="0"/>
          <w:numId w:val="3"/>
        </w:numPr>
        <w:adjustRightInd w:val="0"/>
        <w:snapToGrid w:val="0"/>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rPr>
        <w:t>无形资产原值、累计折旧、净值的期初期末数（24~26行）等于财资03固定和无形资产存量情况表的无形资产原值、累计折旧、净值的期初期末数（</w:t>
      </w:r>
      <w:r>
        <w:rPr>
          <w:rFonts w:hint="eastAsia" w:ascii="仿宋_GB2312" w:hAnsi="仿宋" w:eastAsia="仿宋_GB2312"/>
          <w:sz w:val="30"/>
          <w:szCs w:val="30"/>
          <w:highlight w:val="none"/>
          <w:lang w:val="en-US" w:eastAsia="zh-CN"/>
        </w:rPr>
        <w:t>20</w:t>
      </w:r>
      <w:r>
        <w:rPr>
          <w:rFonts w:hint="eastAsia" w:ascii="仿宋_GB2312" w:hAnsi="仿宋" w:eastAsia="仿宋_GB2312"/>
          <w:sz w:val="30"/>
          <w:szCs w:val="30"/>
          <w:highlight w:val="none"/>
        </w:rPr>
        <w:t>行）</w:t>
      </w:r>
      <w:r>
        <w:rPr>
          <w:rFonts w:ascii="仿宋_GB2312" w:hAnsi="仿宋" w:eastAsia="仿宋_GB2312"/>
          <w:sz w:val="30"/>
          <w:szCs w:val="30"/>
          <w:highlight w:val="none"/>
        </w:rPr>
        <w:t>；</w:t>
      </w:r>
    </w:p>
    <w:p w14:paraId="01296630">
      <w:pPr>
        <w:numPr>
          <w:ilvl w:val="0"/>
          <w:numId w:val="3"/>
        </w:numPr>
        <w:adjustRightInd w:val="0"/>
        <w:snapToGrid w:val="0"/>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rPr>
        <w:t>公共基础设施原值、累计折旧、净值的期初期末数（28~30行）分别等于财资12-1公共基础设施</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交通基础设施情况表、财资12-2公共基础设施</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水利基础设施情况表、财资12-3公共基础设施</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市政基础设施情况表、财资12-4公共基础设施</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其他公共基础设施情况表的合计行（1行）之和的原值、累计折旧、净值期初期末数。</w:t>
      </w:r>
    </w:p>
    <w:p w14:paraId="312198C4">
      <w:pPr>
        <w:numPr>
          <w:ilvl w:val="0"/>
          <w:numId w:val="3"/>
        </w:numPr>
        <w:adjustRightInd w:val="0"/>
        <w:snapToGrid w:val="0"/>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rPr>
        <w:t>政府储备物资期初期末数（31行）应等于财资13政府储备物资情况表合计行期初期末价值（</w:t>
      </w:r>
      <w:r>
        <w:rPr>
          <w:rFonts w:ascii="仿宋_GB2312" w:hAnsi="仿宋" w:eastAsia="仿宋_GB2312"/>
          <w:sz w:val="30"/>
          <w:szCs w:val="30"/>
          <w:highlight w:val="none"/>
        </w:rPr>
        <w:t>1</w:t>
      </w:r>
      <w:r>
        <w:rPr>
          <w:rFonts w:hint="eastAsia" w:ascii="仿宋_GB2312" w:hAnsi="仿宋" w:eastAsia="仿宋_GB2312"/>
          <w:sz w:val="30"/>
          <w:szCs w:val="30"/>
          <w:highlight w:val="none"/>
        </w:rPr>
        <w:t>行2、7栏）</w:t>
      </w:r>
      <w:r>
        <w:rPr>
          <w:rFonts w:ascii="仿宋_GB2312" w:hAnsi="仿宋" w:eastAsia="仿宋_GB2312"/>
          <w:sz w:val="30"/>
          <w:szCs w:val="30"/>
          <w:highlight w:val="none"/>
        </w:rPr>
        <w:t>；</w:t>
      </w:r>
    </w:p>
    <w:p w14:paraId="7B29BD12">
      <w:pPr>
        <w:numPr>
          <w:ilvl w:val="0"/>
          <w:numId w:val="3"/>
        </w:numPr>
        <w:adjustRightInd w:val="0"/>
        <w:snapToGrid w:val="0"/>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rPr>
        <w:t>文物文化资产期初期末数（32行）应等于财资14文物文化资产情况表合计行期初期末价值（</w:t>
      </w:r>
      <w:r>
        <w:rPr>
          <w:rFonts w:ascii="仿宋_GB2312" w:hAnsi="仿宋" w:eastAsia="仿宋_GB2312"/>
          <w:sz w:val="30"/>
          <w:szCs w:val="30"/>
          <w:highlight w:val="none"/>
        </w:rPr>
        <w:t>1</w:t>
      </w:r>
      <w:r>
        <w:rPr>
          <w:rFonts w:hint="eastAsia" w:ascii="仿宋_GB2312" w:hAnsi="仿宋" w:eastAsia="仿宋_GB2312"/>
          <w:sz w:val="30"/>
          <w:szCs w:val="30"/>
          <w:highlight w:val="none"/>
        </w:rPr>
        <w:t>行4、8栏）</w:t>
      </w:r>
      <w:r>
        <w:rPr>
          <w:rFonts w:ascii="仿宋_GB2312" w:hAnsi="仿宋" w:eastAsia="仿宋_GB2312"/>
          <w:sz w:val="30"/>
          <w:szCs w:val="30"/>
          <w:highlight w:val="none"/>
        </w:rPr>
        <w:t>；</w:t>
      </w:r>
    </w:p>
    <w:p w14:paraId="21D2D55E">
      <w:pPr>
        <w:numPr>
          <w:ilvl w:val="0"/>
          <w:numId w:val="3"/>
        </w:numPr>
        <w:adjustRightInd w:val="0"/>
        <w:snapToGrid w:val="0"/>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rPr>
        <w:t>保障性住房原值、累计折旧、净值的期初期末数（33~35行）等于财资15保障性住房情况表的保障性住房原值、累计折旧、净值的期初期末数（1行）</w:t>
      </w:r>
      <w:r>
        <w:rPr>
          <w:rFonts w:ascii="仿宋_GB2312" w:hAnsi="仿宋" w:eastAsia="仿宋_GB2312"/>
          <w:sz w:val="30"/>
          <w:szCs w:val="30"/>
          <w:highlight w:val="none"/>
        </w:rPr>
        <w:t>；</w:t>
      </w:r>
    </w:p>
    <w:p w14:paraId="562B87D8">
      <w:pPr>
        <w:adjustRightInd w:val="0"/>
        <w:snapToGrid w:val="0"/>
        <w:spacing w:line="360" w:lineRule="auto"/>
        <w:ind w:firstLine="602" w:firstLineChars="200"/>
        <w:rPr>
          <w:rFonts w:hint="eastAsia" w:ascii="仿宋_GB2312" w:hAnsi="仿宋" w:eastAsia="仿宋_GB2312"/>
          <w:b/>
          <w:sz w:val="30"/>
          <w:szCs w:val="30"/>
          <w:highlight w:val="none"/>
        </w:rPr>
      </w:pPr>
      <w:r>
        <w:rPr>
          <w:rFonts w:hint="eastAsia" w:ascii="仿宋_GB2312" w:hAnsi="仿宋" w:eastAsia="仿宋_GB2312"/>
          <w:b/>
          <w:sz w:val="30"/>
          <w:szCs w:val="30"/>
          <w:highlight w:val="none"/>
        </w:rPr>
        <w:t>核实性公式：</w:t>
      </w:r>
    </w:p>
    <w:p w14:paraId="30703D8D">
      <w:pPr>
        <w:numPr>
          <w:ilvl w:val="0"/>
          <w:numId w:val="3"/>
        </w:numPr>
        <w:adjustRightInd w:val="0"/>
        <w:snapToGrid w:val="0"/>
        <w:spacing w:line="360" w:lineRule="auto"/>
        <w:ind w:left="0" w:firstLine="567"/>
        <w:rPr>
          <w:rFonts w:hint="eastAsia" w:ascii="仿宋_GB2312" w:hAnsi="仿宋" w:eastAsia="仿宋_GB2312"/>
          <w:color w:val="auto"/>
          <w:sz w:val="30"/>
          <w:szCs w:val="30"/>
          <w:highlight w:val="none"/>
        </w:rPr>
      </w:pPr>
      <w:r>
        <w:rPr>
          <w:rFonts w:hint="eastAsia" w:ascii="仿宋_GB2312" w:hAnsi="仿宋" w:eastAsia="仿宋_GB2312"/>
          <w:sz w:val="30"/>
          <w:szCs w:val="30"/>
          <w:highlight w:val="none"/>
        </w:rPr>
        <w:t>当待处理财产损溢、应交增值税、其他应交税费、应付</w:t>
      </w:r>
      <w:r>
        <w:rPr>
          <w:rFonts w:hint="eastAsia" w:ascii="仿宋_GB2312" w:hAnsi="仿宋" w:eastAsia="仿宋_GB2312"/>
          <w:color w:val="auto"/>
          <w:sz w:val="30"/>
          <w:szCs w:val="30"/>
          <w:highlight w:val="none"/>
        </w:rPr>
        <w:t>职工薪酬、累计盈余（非限定性净资产）、权益法调整</w:t>
      </w:r>
      <w:r>
        <w:rPr>
          <w:rFonts w:hint="eastAsia" w:ascii="仿宋_GB2312" w:hAnsi="仿宋" w:eastAsia="仿宋_GB2312"/>
          <w:color w:val="auto"/>
          <w:sz w:val="30"/>
          <w:highlight w:val="none"/>
        </w:rPr>
        <w:t>小于零时，则提示核实性错误</w:t>
      </w:r>
      <w:r>
        <w:rPr>
          <w:rFonts w:hint="eastAsia" w:ascii="仿宋_GB2312" w:hAnsi="仿宋" w:eastAsia="仿宋_GB2312"/>
          <w:color w:val="auto"/>
          <w:sz w:val="30"/>
          <w:szCs w:val="30"/>
          <w:highlight w:val="none"/>
        </w:rPr>
        <w:t>，需结合实际情况修改或填写情况说明；</w:t>
      </w:r>
    </w:p>
    <w:p w14:paraId="2F99A477">
      <w:pPr>
        <w:numPr>
          <w:ilvl w:val="0"/>
          <w:numId w:val="3"/>
        </w:numPr>
        <w:adjustRightInd w:val="0"/>
        <w:snapToGrid w:val="0"/>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color w:val="auto"/>
          <w:sz w:val="30"/>
          <w:szCs w:val="30"/>
          <w:highlight w:val="none"/>
        </w:rPr>
        <w:t>（有错修改，无错说明）当单户表封面</w:t>
      </w:r>
      <w:r>
        <w:rPr>
          <w:rFonts w:hint="eastAsia" w:ascii="仿宋_GB2312" w:hAnsi="仿宋" w:eastAsia="仿宋_GB2312"/>
          <w:color w:val="auto"/>
          <w:sz w:val="30"/>
          <w:szCs w:val="30"/>
          <w:highlight w:val="none"/>
          <w:lang w:eastAsia="zh-CN"/>
        </w:rPr>
        <w:t>预算级次</w:t>
      </w:r>
      <w:r>
        <w:rPr>
          <w:rFonts w:hint="eastAsia" w:ascii="仿宋_GB2312" w:hAnsi="仿宋" w:eastAsia="仿宋_GB2312"/>
          <w:color w:val="auto"/>
          <w:sz w:val="30"/>
          <w:szCs w:val="30"/>
          <w:highlight w:val="none"/>
        </w:rPr>
        <w:t>为“</w:t>
      </w:r>
      <w:r>
        <w:rPr>
          <w:rFonts w:hint="eastAsia" w:ascii="仿宋_GB2312" w:hAnsi="仿宋" w:eastAsia="仿宋_GB2312"/>
          <w:color w:val="auto"/>
          <w:sz w:val="30"/>
          <w:szCs w:val="30"/>
          <w:highlight w:val="none"/>
          <w:lang w:val="en-US" w:eastAsia="zh-CN"/>
        </w:rPr>
        <w:t>计划单列市、</w:t>
      </w:r>
      <w:r>
        <w:rPr>
          <w:rFonts w:hint="eastAsia" w:ascii="仿宋_GB2312" w:hAnsi="仿宋" w:eastAsia="仿宋_GB2312"/>
          <w:color w:val="auto"/>
          <w:sz w:val="30"/>
          <w:szCs w:val="30"/>
          <w:highlight w:val="none"/>
        </w:rPr>
        <w:t>市级、县（区）级、乡级”时，财政应返</w:t>
      </w:r>
      <w:r>
        <w:rPr>
          <w:rFonts w:hint="eastAsia" w:ascii="仿宋_GB2312" w:hAnsi="仿宋" w:eastAsia="仿宋_GB2312"/>
          <w:sz w:val="30"/>
          <w:szCs w:val="30"/>
          <w:highlight w:val="none"/>
        </w:rPr>
        <w:t>还额度应为0，否则提示核实性公式，需结合实际情况修改或填写情况说明。</w:t>
      </w:r>
    </w:p>
    <w:p w14:paraId="64974C93">
      <w:pPr>
        <w:pStyle w:val="2"/>
        <w:rPr>
          <w:rFonts w:hint="eastAsia"/>
          <w:b/>
          <w:color w:val="auto"/>
          <w:highlight w:val="none"/>
        </w:rPr>
      </w:pPr>
      <w:r>
        <w:rPr>
          <w:rFonts w:hint="eastAsia"/>
          <w:color w:val="auto"/>
          <w:highlight w:val="none"/>
        </w:rPr>
        <w:t>（三）机构人员情况表（财资02表）</w:t>
      </w:r>
    </w:p>
    <w:p w14:paraId="1D202C97">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本表反映行政事业单位年末机构设置、人员编制及实有情况、公务用车编制情况。</w:t>
      </w:r>
    </w:p>
    <w:p w14:paraId="760532B0">
      <w:pPr>
        <w:adjustRightInd w:val="0"/>
        <w:snapToGrid w:val="0"/>
        <w:spacing w:line="360" w:lineRule="auto"/>
        <w:ind w:firstLine="602" w:firstLineChars="200"/>
        <w:rPr>
          <w:rFonts w:hint="eastAsia" w:ascii="仿宋_GB2312" w:hAnsi="仿宋" w:eastAsia="仿宋_GB2312"/>
          <w:b/>
          <w:bCs/>
          <w:sz w:val="30"/>
          <w:szCs w:val="30"/>
          <w:highlight w:val="none"/>
        </w:rPr>
      </w:pPr>
      <w:r>
        <w:rPr>
          <w:rFonts w:hint="eastAsia" w:ascii="仿宋_GB2312" w:hAnsi="仿宋" w:eastAsia="仿宋_GB2312"/>
          <w:b/>
          <w:bCs/>
          <w:sz w:val="30"/>
          <w:szCs w:val="30"/>
          <w:highlight w:val="none"/>
        </w:rPr>
        <w:t>主要</w:t>
      </w:r>
      <w:r>
        <w:rPr>
          <w:rFonts w:ascii="仿宋_GB2312" w:hAnsi="仿宋" w:eastAsia="仿宋_GB2312"/>
          <w:b/>
          <w:bCs/>
          <w:sz w:val="30"/>
          <w:szCs w:val="30"/>
          <w:highlight w:val="none"/>
        </w:rPr>
        <w:t>指标说明：</w:t>
      </w:r>
    </w:p>
    <w:p w14:paraId="3664A09D">
      <w:pPr>
        <w:adjustRightInd w:val="0"/>
        <w:snapToGrid w:val="0"/>
        <w:spacing w:line="360" w:lineRule="auto"/>
        <w:ind w:firstLine="600" w:firstLineChars="200"/>
        <w:rPr>
          <w:rFonts w:hint="eastAsia" w:ascii="仿宋_GB2312" w:hAnsi="仿宋" w:eastAsia="仿宋_GB2312"/>
          <w:bCs/>
          <w:sz w:val="30"/>
          <w:szCs w:val="30"/>
          <w:highlight w:val="none"/>
        </w:rPr>
      </w:pPr>
      <w:r>
        <w:rPr>
          <w:rFonts w:hint="eastAsia" w:ascii="仿宋_GB2312" w:hAnsi="仿宋" w:eastAsia="仿宋_GB2312"/>
          <w:bCs/>
          <w:sz w:val="30"/>
          <w:szCs w:val="30"/>
          <w:highlight w:val="none"/>
        </w:rPr>
        <w:t>（一）人员情况</w:t>
      </w:r>
    </w:p>
    <w:p w14:paraId="4484BF04">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1</w:t>
      </w:r>
      <w:r>
        <w:rPr>
          <w:rFonts w:ascii="仿宋_GB2312" w:hAnsi="仿宋" w:eastAsia="仿宋_GB2312"/>
          <w:sz w:val="30"/>
          <w:szCs w:val="30"/>
          <w:highlight w:val="none"/>
        </w:rPr>
        <w:t>.</w:t>
      </w:r>
      <w:r>
        <w:rPr>
          <w:rFonts w:hint="eastAsia" w:ascii="仿宋_GB2312" w:hAnsi="仿宋" w:eastAsia="仿宋_GB2312"/>
          <w:sz w:val="30"/>
          <w:szCs w:val="30"/>
          <w:highlight w:val="none"/>
        </w:rPr>
        <w:t>编制人数：填列经政府编制管理部门核定的人员编制数。</w:t>
      </w:r>
    </w:p>
    <w:p w14:paraId="3EDA5034">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2</w:t>
      </w:r>
      <w:r>
        <w:rPr>
          <w:rFonts w:ascii="仿宋_GB2312" w:hAnsi="仿宋" w:eastAsia="仿宋_GB2312"/>
          <w:sz w:val="30"/>
          <w:szCs w:val="30"/>
          <w:highlight w:val="none"/>
        </w:rPr>
        <w:t>.</w:t>
      </w:r>
      <w:r>
        <w:rPr>
          <w:rFonts w:hint="eastAsia" w:ascii="仿宋_GB2312" w:hAnsi="仿宋" w:eastAsia="仿宋_GB2312"/>
          <w:sz w:val="30"/>
          <w:szCs w:val="30"/>
          <w:highlight w:val="none"/>
        </w:rPr>
        <w:t>年末实有人数：填列行政事业单位年末实有人数，包括在职在编人员、编外聘用1年以上的其他人员、离退休人员和遗属人员，不包括临时工、短期劳务人员、劳务派遣人员等。</w:t>
      </w:r>
    </w:p>
    <w:p w14:paraId="27CF4076">
      <w:pPr>
        <w:pStyle w:val="4"/>
        <w:adjustRightInd w:val="0"/>
        <w:snapToGrid w:val="0"/>
        <w:spacing w:line="360" w:lineRule="auto"/>
        <w:ind w:firstLine="600"/>
        <w:rPr>
          <w:rFonts w:hint="default" w:ascii="仿宋_GB2312" w:hAnsi="仿宋" w:eastAsia="仿宋_GB2312"/>
          <w:sz w:val="30"/>
          <w:szCs w:val="30"/>
          <w:highlight w:val="none"/>
          <w:lang w:val="en-US" w:eastAsia="zh-CN"/>
        </w:rPr>
      </w:pPr>
      <w:r>
        <w:rPr>
          <w:rFonts w:hint="eastAsia" w:ascii="仿宋_GB2312" w:hAnsi="仿宋" w:eastAsia="仿宋_GB2312"/>
          <w:sz w:val="30"/>
          <w:szCs w:val="30"/>
          <w:highlight w:val="none"/>
          <w:lang w:val="en-US" w:eastAsia="zh-CN"/>
        </w:rPr>
        <w:t>3.</w:t>
      </w:r>
      <w:r>
        <w:rPr>
          <w:rFonts w:hint="eastAsia" w:ascii="仿宋_GB2312" w:hAnsi="仿宋" w:eastAsia="仿宋_GB2312"/>
          <w:sz w:val="30"/>
          <w:szCs w:val="30"/>
          <w:highlight w:val="none"/>
        </w:rPr>
        <w:t>编制内</w:t>
      </w:r>
      <w:r>
        <w:rPr>
          <w:rFonts w:hint="eastAsia" w:ascii="仿宋_GB2312" w:hAnsi="仿宋" w:eastAsia="仿宋_GB2312"/>
          <w:sz w:val="30"/>
          <w:szCs w:val="30"/>
          <w:highlight w:val="none"/>
          <w:lang w:val="en-US" w:eastAsia="zh-CN"/>
        </w:rPr>
        <w:t>在职</w:t>
      </w:r>
      <w:r>
        <w:rPr>
          <w:rFonts w:hint="eastAsia" w:ascii="仿宋_GB2312" w:hAnsi="仿宋" w:eastAsia="仿宋_GB2312"/>
          <w:sz w:val="30"/>
          <w:szCs w:val="30"/>
          <w:highlight w:val="none"/>
        </w:rPr>
        <w:t>人员：填列在编制管理部门核定的、由单位人事部门管理的实有在职人员，工勤编制人员在此反映。</w:t>
      </w:r>
      <w:r>
        <w:rPr>
          <w:rFonts w:hint="eastAsia" w:ascii="仿宋_GB2312" w:hAnsi="仿宋" w:eastAsia="仿宋_GB2312"/>
          <w:sz w:val="30"/>
          <w:szCs w:val="30"/>
          <w:highlight w:val="none"/>
          <w:lang w:val="en-US" w:eastAsia="zh-CN"/>
        </w:rPr>
        <w:t xml:space="preserve">  </w:t>
      </w:r>
    </w:p>
    <w:p w14:paraId="7B784CD3">
      <w:pPr>
        <w:pStyle w:val="4"/>
        <w:adjustRightInd w:val="0"/>
        <w:snapToGrid w:val="0"/>
        <w:spacing w:line="360" w:lineRule="auto"/>
        <w:ind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1</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财政拨款开支人员：填列单位用财政拨款（一般公共预算财政拨款和政府性基金预算财政拨款）开支基本工资的公务员、参照公务员法管理人员、事业管理人员和专业技术人员、机关和事业工人。</w:t>
      </w:r>
    </w:p>
    <w:p w14:paraId="5C3CB59F">
      <w:pPr>
        <w:pStyle w:val="4"/>
        <w:adjustRightInd w:val="0"/>
        <w:snapToGrid w:val="0"/>
        <w:spacing w:line="360" w:lineRule="auto"/>
        <w:ind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以下人员不列入财政拨款开支人员统计范围：（1）编制部门批准为财政补助事业编制，但实际未由财政拨款开支基本工资的在职人员。（2）行政机构和事业单位中用财政拨款开支基本工资的编制外长期聘用人员、遗属及临时工作人员。（3）民政优抚对象、村干部、下岗职工、城镇居民最低生活保障对象等财政进行适当补助的人员。</w:t>
      </w:r>
    </w:p>
    <w:p w14:paraId="7A20DF4E">
      <w:pPr>
        <w:pStyle w:val="4"/>
        <w:adjustRightInd w:val="0"/>
        <w:snapToGrid w:val="0"/>
        <w:spacing w:line="360" w:lineRule="auto"/>
        <w:ind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lang w:val="en-US" w:eastAsia="zh-CN"/>
        </w:rPr>
        <w:t>（2）</w:t>
      </w:r>
      <w:r>
        <w:rPr>
          <w:rFonts w:hint="eastAsia" w:ascii="仿宋_GB2312" w:hAnsi="仿宋" w:eastAsia="仿宋_GB2312"/>
          <w:sz w:val="30"/>
          <w:szCs w:val="30"/>
          <w:highlight w:val="none"/>
        </w:rPr>
        <w:t>经费自理人员：填列单位用财政拨款以外的资金开支基本工资的人员。</w:t>
      </w:r>
    </w:p>
    <w:p w14:paraId="044FCEE0">
      <w:pPr>
        <w:pStyle w:val="4"/>
        <w:adjustRightInd w:val="0"/>
        <w:snapToGrid w:val="0"/>
        <w:spacing w:line="360" w:lineRule="auto"/>
        <w:ind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lang w:val="en-US" w:eastAsia="zh-CN"/>
        </w:rPr>
        <w:t>4.</w:t>
      </w:r>
      <w:r>
        <w:rPr>
          <w:rFonts w:hint="eastAsia" w:ascii="仿宋_GB2312" w:hAnsi="仿宋" w:eastAsia="仿宋_GB2312"/>
          <w:sz w:val="30"/>
          <w:szCs w:val="30"/>
          <w:highlight w:val="none"/>
        </w:rPr>
        <w:t>其他人员：填列由单位人事部门管理的聘用期1年以上的编制外聘用人员，不包括工勤编制人员和临时工、短期劳务人员、劳务派遣人员等。</w:t>
      </w:r>
    </w:p>
    <w:p w14:paraId="62D18A30">
      <w:pPr>
        <w:pStyle w:val="4"/>
        <w:adjustRightInd w:val="0"/>
        <w:snapToGrid w:val="0"/>
        <w:spacing w:line="360" w:lineRule="auto"/>
        <w:ind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1</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财政拨款开支人员：填列单位用财政拨款（一般公共预算财政拨款和政府性基金预算财政拨款）开支人员经费的其他人员。</w:t>
      </w:r>
    </w:p>
    <w:p w14:paraId="15BEE33E">
      <w:pPr>
        <w:pStyle w:val="4"/>
        <w:adjustRightInd w:val="0"/>
        <w:snapToGrid w:val="0"/>
        <w:spacing w:line="360" w:lineRule="auto"/>
        <w:ind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2</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经费自理人员：填列单位用财政拨款以外的资金开支人员经费的其他人员。</w:t>
      </w:r>
    </w:p>
    <w:p w14:paraId="4E748498">
      <w:pPr>
        <w:pStyle w:val="4"/>
        <w:adjustRightInd w:val="0"/>
        <w:snapToGrid w:val="0"/>
        <w:spacing w:line="360" w:lineRule="auto"/>
        <w:ind w:firstLine="600"/>
        <w:rPr>
          <w:rFonts w:hint="eastAsia" w:ascii="仿宋_GB2312" w:hAnsi="仿宋" w:eastAsia="仿宋_GB2312"/>
          <w:color w:val="auto"/>
          <w:sz w:val="30"/>
          <w:szCs w:val="30"/>
          <w:highlight w:val="none"/>
        </w:rPr>
      </w:pPr>
      <w:r>
        <w:rPr>
          <w:rFonts w:hint="eastAsia" w:ascii="仿宋_GB2312" w:hAnsi="仿宋" w:eastAsia="仿宋_GB2312"/>
          <w:color w:val="auto"/>
          <w:sz w:val="30"/>
          <w:szCs w:val="30"/>
          <w:highlight w:val="none"/>
          <w:lang w:val="en-US" w:eastAsia="zh-CN"/>
        </w:rPr>
        <w:t>5</w:t>
      </w:r>
      <w:r>
        <w:rPr>
          <w:rFonts w:ascii="仿宋_GB2312" w:hAnsi="仿宋" w:eastAsia="仿宋_GB2312"/>
          <w:color w:val="auto"/>
          <w:sz w:val="30"/>
          <w:szCs w:val="30"/>
          <w:highlight w:val="none"/>
        </w:rPr>
        <w:t>.</w:t>
      </w:r>
      <w:r>
        <w:rPr>
          <w:rFonts w:hint="eastAsia" w:ascii="仿宋_GB2312" w:hAnsi="仿宋" w:eastAsia="仿宋_GB2312"/>
          <w:color w:val="auto"/>
          <w:sz w:val="30"/>
          <w:szCs w:val="30"/>
          <w:highlight w:val="none"/>
        </w:rPr>
        <w:t>离退休人员：</w:t>
      </w:r>
      <w:r>
        <w:rPr>
          <w:rFonts w:hint="eastAsia" w:ascii="仿宋_GB2312" w:hAnsi="仿宋" w:eastAsia="仿宋_GB2312"/>
          <w:color w:val="auto"/>
          <w:sz w:val="30"/>
          <w:szCs w:val="30"/>
          <w:highlight w:val="none"/>
          <w:lang w:val="en-US" w:eastAsia="zh-CN"/>
        </w:rPr>
        <w:t>包括</w:t>
      </w:r>
      <w:r>
        <w:rPr>
          <w:rFonts w:hint="eastAsia" w:eastAsia="仿宋_GB2312"/>
          <w:bCs/>
          <w:sz w:val="32"/>
          <w:szCs w:val="32"/>
          <w:highlight w:val="none"/>
        </w:rPr>
        <w:t>单位发放离退休费的人数</w:t>
      </w:r>
      <w:r>
        <w:rPr>
          <w:rFonts w:hint="eastAsia" w:eastAsia="仿宋_GB2312"/>
          <w:bCs/>
          <w:sz w:val="32"/>
          <w:szCs w:val="32"/>
          <w:highlight w:val="none"/>
          <w:lang w:val="en-US" w:eastAsia="zh-CN"/>
        </w:rPr>
        <w:t>和</w:t>
      </w:r>
      <w:r>
        <w:rPr>
          <w:rFonts w:hint="eastAsia" w:eastAsia="仿宋_GB2312"/>
          <w:bCs/>
          <w:sz w:val="32"/>
          <w:szCs w:val="32"/>
          <w:highlight w:val="none"/>
        </w:rPr>
        <w:t>养老保险基金发放养老金的人数</w:t>
      </w:r>
      <w:r>
        <w:rPr>
          <w:rFonts w:hint="eastAsia" w:eastAsia="仿宋_GB2312"/>
          <w:bCs/>
          <w:sz w:val="32"/>
          <w:szCs w:val="32"/>
          <w:highlight w:val="none"/>
          <w:lang w:eastAsia="zh-CN"/>
        </w:rPr>
        <w:t>。</w:t>
      </w:r>
      <w:r>
        <w:rPr>
          <w:rFonts w:hint="eastAsia" w:ascii="仿宋_GB2312" w:hAnsi="仿宋" w:eastAsia="仿宋_GB2312"/>
          <w:color w:val="auto"/>
          <w:sz w:val="30"/>
          <w:szCs w:val="30"/>
          <w:highlight w:val="none"/>
        </w:rPr>
        <w:t>填列</w:t>
      </w:r>
      <w:r>
        <w:rPr>
          <w:rFonts w:hint="eastAsia" w:ascii="仿宋_GB2312" w:hAnsi="仿宋" w:eastAsia="仿宋_GB2312"/>
          <w:sz w:val="30"/>
          <w:szCs w:val="30"/>
          <w:highlight w:val="none"/>
        </w:rPr>
        <w:t>符合国家离退休政策，已经离退休的人员。包括单位列支离退休费的离退休人员、已经实施养老保险制度改革且由社会保险经办机构从养老保险基金中发放养老金的离退休人员。不包括内退人员（不符合国家退休政策，但按本单位有关规定已经退休人员）。</w:t>
      </w:r>
    </w:p>
    <w:p w14:paraId="4FA0BA9A">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lang w:val="en-US" w:eastAsia="zh-CN"/>
        </w:rPr>
        <w:t>6</w:t>
      </w:r>
      <w:r>
        <w:rPr>
          <w:rFonts w:ascii="仿宋_GB2312" w:hAnsi="仿宋" w:eastAsia="仿宋_GB2312"/>
          <w:sz w:val="30"/>
          <w:szCs w:val="30"/>
          <w:highlight w:val="none"/>
        </w:rPr>
        <w:t>.</w:t>
      </w:r>
      <w:r>
        <w:rPr>
          <w:rFonts w:hint="eastAsia" w:ascii="仿宋_GB2312" w:hAnsi="仿宋" w:eastAsia="仿宋_GB2312"/>
          <w:sz w:val="30"/>
          <w:szCs w:val="30"/>
          <w:highlight w:val="none"/>
        </w:rPr>
        <w:t>遗属人员：填列按规定由单位开支抚恤金的烈士遗属和牺牲病故人员遗属。</w:t>
      </w:r>
    </w:p>
    <w:p w14:paraId="3011A20D">
      <w:pPr>
        <w:adjustRightInd w:val="0"/>
        <w:snapToGrid w:val="0"/>
        <w:spacing w:line="360" w:lineRule="auto"/>
        <w:ind w:firstLine="600" w:firstLineChars="200"/>
        <w:rPr>
          <w:rFonts w:hint="eastAsia" w:ascii="仿宋_GB2312" w:hAnsi="仿宋" w:eastAsia="仿宋_GB2312"/>
          <w:bCs/>
          <w:sz w:val="30"/>
          <w:szCs w:val="30"/>
          <w:highlight w:val="none"/>
        </w:rPr>
      </w:pPr>
      <w:r>
        <w:rPr>
          <w:rFonts w:hint="eastAsia" w:ascii="仿宋_GB2312" w:hAnsi="仿宋" w:eastAsia="仿宋_GB2312"/>
          <w:bCs/>
          <w:sz w:val="30"/>
          <w:szCs w:val="30"/>
          <w:highlight w:val="none"/>
        </w:rPr>
        <w:t>（二）机构情况</w:t>
      </w:r>
    </w:p>
    <w:p w14:paraId="59FCB4CA">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bCs/>
          <w:sz w:val="30"/>
          <w:szCs w:val="30"/>
          <w:highlight w:val="none"/>
        </w:rPr>
        <w:t>1</w:t>
      </w:r>
      <w:r>
        <w:rPr>
          <w:rFonts w:ascii="仿宋_GB2312" w:hAnsi="仿宋" w:eastAsia="仿宋_GB2312"/>
          <w:bCs/>
          <w:sz w:val="30"/>
          <w:szCs w:val="30"/>
          <w:highlight w:val="none"/>
        </w:rPr>
        <w:t>.</w:t>
      </w:r>
      <w:r>
        <w:rPr>
          <w:rFonts w:hint="eastAsia" w:ascii="仿宋_GB2312" w:hAnsi="仿宋" w:eastAsia="仿宋_GB2312"/>
          <w:sz w:val="30"/>
          <w:szCs w:val="30"/>
          <w:highlight w:val="none"/>
        </w:rPr>
        <w:t>独立编制机构数：填列经政府编制管理部门批准的行政事业机构数。</w:t>
      </w:r>
    </w:p>
    <w:p w14:paraId="6ACCF4E6">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2</w:t>
      </w:r>
      <w:r>
        <w:rPr>
          <w:rFonts w:ascii="仿宋_GB2312" w:hAnsi="仿宋" w:eastAsia="仿宋_GB2312"/>
          <w:sz w:val="30"/>
          <w:szCs w:val="30"/>
          <w:highlight w:val="none"/>
        </w:rPr>
        <w:t>.</w:t>
      </w:r>
      <w:r>
        <w:rPr>
          <w:rFonts w:hint="eastAsia" w:ascii="仿宋_GB2312" w:hAnsi="仿宋" w:eastAsia="仿宋_GB2312"/>
          <w:sz w:val="30"/>
          <w:szCs w:val="30"/>
          <w:highlight w:val="none"/>
        </w:rPr>
        <w:t>独立核算机构数：填列经政府编制管理部门批准并实行财务独立核算的行政事业机构数。</w:t>
      </w:r>
    </w:p>
    <w:p w14:paraId="1067B9E4">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纳入部门预算管理、独立编报预算的单位，应按独立核算机构填报机构数据。</w:t>
      </w:r>
    </w:p>
    <w:p w14:paraId="18C0C212">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3.</w:t>
      </w:r>
      <w:r>
        <w:rPr>
          <w:rFonts w:hint="eastAsia" w:ascii="仿宋_GB2312" w:hAnsi="仿宋" w:eastAsia="仿宋_GB2312"/>
          <w:sz w:val="30"/>
          <w:szCs w:val="30"/>
          <w:highlight w:val="none"/>
          <w:lang w:eastAsia="zh-CN"/>
        </w:rPr>
        <w:t>单位性质</w:t>
      </w:r>
      <w:r>
        <w:rPr>
          <w:rFonts w:hint="eastAsia" w:ascii="仿宋_GB2312" w:hAnsi="仿宋" w:eastAsia="仿宋_GB2312"/>
          <w:sz w:val="30"/>
          <w:szCs w:val="30"/>
          <w:highlight w:val="none"/>
        </w:rPr>
        <w:t>选择“11.共产党机关 12.政府机关 13.人大机关 14.政协机关 15.群众团体 16.民主党派 17.政法机关”；或</w:t>
      </w:r>
      <w:r>
        <w:rPr>
          <w:rFonts w:hint="eastAsia" w:ascii="仿宋_GB2312" w:hAnsi="仿宋" w:eastAsia="仿宋_GB2312"/>
          <w:sz w:val="30"/>
          <w:szCs w:val="30"/>
          <w:highlight w:val="none"/>
          <w:lang w:eastAsia="zh-CN"/>
        </w:rPr>
        <w:t>单位性质</w:t>
      </w:r>
      <w:r>
        <w:rPr>
          <w:rFonts w:hint="eastAsia" w:ascii="仿宋_GB2312" w:hAnsi="仿宋" w:eastAsia="仿宋_GB2312"/>
          <w:sz w:val="30"/>
          <w:szCs w:val="30"/>
          <w:highlight w:val="none"/>
        </w:rPr>
        <w:t>选择“23.经费自理事业单位”且参照公务员法管理事业单位执行财务规则选择“10.行政单位财务规则”时，按照行政单位填列。</w:t>
      </w:r>
    </w:p>
    <w:p w14:paraId="193D63C1">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4.</w:t>
      </w:r>
      <w:r>
        <w:rPr>
          <w:rFonts w:hint="eastAsia" w:ascii="仿宋_GB2312" w:hAnsi="仿宋" w:eastAsia="仿宋_GB2312"/>
          <w:sz w:val="30"/>
          <w:szCs w:val="30"/>
          <w:highlight w:val="none"/>
          <w:lang w:eastAsia="zh-CN"/>
        </w:rPr>
        <w:t>单位性质</w:t>
      </w:r>
      <w:r>
        <w:rPr>
          <w:rFonts w:hint="eastAsia" w:ascii="仿宋_GB2312" w:hAnsi="仿宋" w:eastAsia="仿宋_GB2312"/>
          <w:sz w:val="30"/>
          <w:szCs w:val="30"/>
          <w:highlight w:val="none"/>
        </w:rPr>
        <w:t>选择“21.参照公务员法管理事业单位 22.财政补助事业单位 ”；或</w:t>
      </w:r>
      <w:r>
        <w:rPr>
          <w:rFonts w:hint="eastAsia" w:ascii="仿宋_GB2312" w:hAnsi="仿宋" w:eastAsia="仿宋_GB2312"/>
          <w:sz w:val="30"/>
          <w:szCs w:val="30"/>
          <w:highlight w:val="none"/>
          <w:lang w:eastAsia="zh-CN"/>
        </w:rPr>
        <w:t>单位性质</w:t>
      </w:r>
      <w:r>
        <w:rPr>
          <w:rFonts w:hint="eastAsia" w:ascii="仿宋_GB2312" w:hAnsi="仿宋" w:eastAsia="仿宋_GB2312"/>
          <w:sz w:val="30"/>
          <w:szCs w:val="30"/>
          <w:highlight w:val="none"/>
        </w:rPr>
        <w:t>选择“23.经费自理事业单位”且参照公务员法管理事业单位执行财务规则选择“20.事业单位财务规则及其他”时，按照事业单位填列。</w:t>
      </w:r>
    </w:p>
    <w:p w14:paraId="729E4AC3">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5.</w:t>
      </w:r>
      <w:r>
        <w:rPr>
          <w:rFonts w:hint="eastAsia" w:ascii="仿宋_GB2312" w:hAnsi="仿宋" w:eastAsia="仿宋_GB2312"/>
          <w:sz w:val="30"/>
          <w:szCs w:val="30"/>
          <w:highlight w:val="none"/>
          <w:lang w:eastAsia="zh-CN"/>
        </w:rPr>
        <w:t>单位性质</w:t>
      </w:r>
      <w:r>
        <w:rPr>
          <w:rFonts w:hint="eastAsia" w:ascii="仿宋_GB2312" w:hAnsi="仿宋" w:eastAsia="仿宋_GB2312"/>
          <w:sz w:val="30"/>
          <w:szCs w:val="30"/>
          <w:highlight w:val="none"/>
        </w:rPr>
        <w:t>选择“31.社会团体及其他”时，按照其他单位填列。</w:t>
      </w:r>
    </w:p>
    <w:p w14:paraId="2873F699">
      <w:pPr>
        <w:adjustRightInd w:val="0"/>
        <w:snapToGrid w:val="0"/>
        <w:spacing w:line="360" w:lineRule="auto"/>
        <w:ind w:firstLine="600" w:firstLineChars="200"/>
        <w:rPr>
          <w:rFonts w:hint="eastAsia" w:ascii="仿宋_GB2312" w:hAnsi="仿宋" w:eastAsia="仿宋_GB2312"/>
          <w:sz w:val="30"/>
          <w:szCs w:val="30"/>
          <w:highlight w:val="none"/>
        </w:rPr>
      </w:pPr>
      <w:r>
        <w:rPr>
          <w:rFonts w:ascii="仿宋_GB2312" w:hAnsi="仿宋" w:eastAsia="仿宋_GB2312"/>
          <w:sz w:val="30"/>
          <w:szCs w:val="30"/>
          <w:highlight w:val="none"/>
        </w:rPr>
        <w:t>（三）公务用车情况</w:t>
      </w:r>
    </w:p>
    <w:p w14:paraId="52A82413">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1.公务用车：是指党政机关配备的用于定向保障公务活动的机动车辆，包括机要通信用车、应急保障用车、执法执勤用车、特种专业技术用车以及其他按照规定配备的公务用车。</w:t>
      </w:r>
    </w:p>
    <w:p w14:paraId="1EA45BF5">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机要通信用车是指用于传递、运送机要文件和涉密载体的机动车辆。</w:t>
      </w:r>
    </w:p>
    <w:p w14:paraId="68A1E7A8">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应急保障用车是指用于处理突发事件、抢险救灾或者其他紧急公务的机动车辆。</w:t>
      </w:r>
    </w:p>
    <w:p w14:paraId="758C7181">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执法执勤用车是指中央批准的执法执勤部门（系统）用于一线执法执勤公务的机动车辆。</w:t>
      </w:r>
    </w:p>
    <w:p w14:paraId="728003F9">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特种专业技术用车是指固定搭载专业技术设备、用于执行特殊工作任务的机动车辆。</w:t>
      </w:r>
    </w:p>
    <w:p w14:paraId="45BD46F9">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其他按规定配备的车辆主要包括副部（省）级及以上领导用车、主要负责人用车、离退休干部服务用车、业务用车、其他用车等。</w:t>
      </w:r>
    </w:p>
    <w:p w14:paraId="0F60BC91">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2.公务用车编制数：填列经公务用车主管部门批准或备案的车辆编制情况。</w:t>
      </w:r>
    </w:p>
    <w:p w14:paraId="5C6F99BC">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3.不参照公务员法管理的事业单位公务用车按上述要求填报，其中业务用车按照“其他按规定配备的车辆”填列。</w:t>
      </w:r>
    </w:p>
    <w:p w14:paraId="403A09EF">
      <w:pPr>
        <w:adjustRightInd w:val="0"/>
        <w:snapToGrid w:val="0"/>
        <w:spacing w:line="360" w:lineRule="auto"/>
        <w:ind w:firstLine="602" w:firstLineChars="200"/>
        <w:rPr>
          <w:rFonts w:hint="eastAsia" w:ascii="仿宋_GB2312" w:hAnsi="仿宋" w:eastAsia="仿宋_GB2312"/>
          <w:b/>
          <w:sz w:val="30"/>
          <w:szCs w:val="30"/>
          <w:highlight w:val="none"/>
        </w:rPr>
      </w:pPr>
      <w:r>
        <w:rPr>
          <w:rFonts w:hint="eastAsia" w:ascii="仿宋_GB2312" w:hAnsi="仿宋" w:eastAsia="仿宋_GB2312"/>
          <w:b/>
          <w:bCs/>
          <w:sz w:val="30"/>
          <w:szCs w:val="30"/>
          <w:highlight w:val="none"/>
        </w:rPr>
        <w:t>逻辑性</w:t>
      </w:r>
      <w:r>
        <w:rPr>
          <w:rFonts w:hint="eastAsia" w:ascii="仿宋_GB2312" w:hAnsi="仿宋" w:eastAsia="仿宋_GB2312"/>
          <w:b/>
          <w:sz w:val="30"/>
          <w:szCs w:val="30"/>
          <w:highlight w:val="none"/>
        </w:rPr>
        <w:t>审核公式：</w:t>
      </w:r>
    </w:p>
    <w:p w14:paraId="3F3DF3C8">
      <w:pPr>
        <w:adjustRightInd w:val="0"/>
        <w:snapToGrid w:val="0"/>
        <w:spacing w:line="360" w:lineRule="auto"/>
        <w:ind w:firstLine="602" w:firstLineChars="200"/>
        <w:rPr>
          <w:rFonts w:hint="eastAsia" w:ascii="仿宋_GB2312" w:hAnsi="仿宋" w:eastAsia="仿宋_GB2312"/>
          <w:b/>
          <w:sz w:val="30"/>
          <w:szCs w:val="30"/>
          <w:highlight w:val="none"/>
        </w:rPr>
      </w:pPr>
      <w:r>
        <w:rPr>
          <w:rFonts w:hint="eastAsia" w:ascii="仿宋_GB2312" w:hAnsi="仿宋" w:eastAsia="仿宋_GB2312"/>
          <w:b/>
          <w:sz w:val="30"/>
          <w:szCs w:val="30"/>
          <w:highlight w:val="none"/>
        </w:rPr>
        <w:t>表内公式：</w:t>
      </w:r>
    </w:p>
    <w:p w14:paraId="46970CCE">
      <w:pPr>
        <w:numPr>
          <w:ilvl w:val="0"/>
          <w:numId w:val="3"/>
        </w:numPr>
        <w:adjustRightInd w:val="0"/>
        <w:snapToGrid w:val="0"/>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rPr>
        <w:t>编制内在职人员（2行）等于财政拨款开支人员（3行）</w:t>
      </w:r>
      <w:r>
        <w:rPr>
          <w:rFonts w:hint="eastAsia" w:ascii="仿宋_GB2312" w:hAnsi="仿宋" w:eastAsia="仿宋_GB2312"/>
          <w:sz w:val="30"/>
          <w:szCs w:val="30"/>
          <w:highlight w:val="none"/>
          <w:lang w:val="en-US" w:eastAsia="zh-CN"/>
        </w:rPr>
        <w:t>与</w:t>
      </w:r>
      <w:r>
        <w:rPr>
          <w:rFonts w:hint="eastAsia" w:ascii="仿宋_GB2312" w:hAnsi="仿宋" w:eastAsia="仿宋_GB2312"/>
          <w:sz w:val="30"/>
          <w:szCs w:val="30"/>
          <w:highlight w:val="none"/>
        </w:rPr>
        <w:t>经费自理人员（</w:t>
      </w:r>
      <w:r>
        <w:rPr>
          <w:rFonts w:hint="eastAsia" w:ascii="仿宋_GB2312" w:hAnsi="仿宋" w:eastAsia="仿宋_GB2312"/>
          <w:sz w:val="30"/>
          <w:szCs w:val="30"/>
          <w:highlight w:val="none"/>
          <w:lang w:val="en-US" w:eastAsia="zh-CN"/>
        </w:rPr>
        <w:t>8</w:t>
      </w:r>
      <w:r>
        <w:rPr>
          <w:rFonts w:hint="eastAsia" w:ascii="仿宋_GB2312" w:hAnsi="仿宋" w:eastAsia="仿宋_GB2312"/>
          <w:sz w:val="30"/>
          <w:szCs w:val="30"/>
          <w:highlight w:val="none"/>
        </w:rPr>
        <w:t>行）</w:t>
      </w:r>
      <w:r>
        <w:rPr>
          <w:rFonts w:hint="eastAsia" w:ascii="仿宋_GB2312" w:hAnsi="仿宋" w:eastAsia="仿宋_GB2312"/>
          <w:sz w:val="30"/>
          <w:szCs w:val="30"/>
          <w:highlight w:val="none"/>
          <w:lang w:val="en-US" w:eastAsia="zh-CN"/>
        </w:rPr>
        <w:t>对应栏次</w:t>
      </w:r>
      <w:r>
        <w:rPr>
          <w:rFonts w:hint="eastAsia" w:ascii="仿宋_GB2312" w:hAnsi="仿宋" w:eastAsia="仿宋_GB2312"/>
          <w:sz w:val="30"/>
          <w:szCs w:val="30"/>
          <w:highlight w:val="none"/>
        </w:rPr>
        <w:t>之和；</w:t>
      </w:r>
    </w:p>
    <w:p w14:paraId="25B0124B">
      <w:pPr>
        <w:numPr>
          <w:ilvl w:val="0"/>
          <w:numId w:val="3"/>
        </w:numPr>
        <w:adjustRightInd w:val="0"/>
        <w:snapToGrid w:val="0"/>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rPr>
        <w:t>财政拨款开支人员（3行）等于公务员、参照公务员法管理人员、事业管理人员和专业技术人员</w:t>
      </w:r>
      <w:r>
        <w:rPr>
          <w:rFonts w:hint="eastAsia" w:ascii="仿宋_GB2312" w:hAnsi="仿宋" w:eastAsia="仿宋_GB2312"/>
          <w:sz w:val="30"/>
          <w:szCs w:val="30"/>
          <w:highlight w:val="none"/>
          <w:lang w:eastAsia="zh-CN"/>
        </w:rPr>
        <w:t>、机关和事业工人</w:t>
      </w:r>
      <w:r>
        <w:rPr>
          <w:rFonts w:hint="eastAsia" w:ascii="仿宋_GB2312" w:hAnsi="仿宋" w:eastAsia="仿宋_GB2312"/>
          <w:sz w:val="30"/>
          <w:szCs w:val="30"/>
          <w:highlight w:val="none"/>
        </w:rPr>
        <w:t>各项（4~</w:t>
      </w:r>
      <w:r>
        <w:rPr>
          <w:rFonts w:hint="eastAsia" w:ascii="仿宋_GB2312" w:hAnsi="仿宋" w:eastAsia="仿宋_GB2312"/>
          <w:sz w:val="30"/>
          <w:szCs w:val="30"/>
          <w:highlight w:val="none"/>
          <w:lang w:val="en-US" w:eastAsia="zh-CN"/>
        </w:rPr>
        <w:t>7</w:t>
      </w:r>
      <w:r>
        <w:rPr>
          <w:rFonts w:hint="eastAsia" w:ascii="仿宋_GB2312" w:hAnsi="仿宋" w:eastAsia="仿宋_GB2312"/>
          <w:sz w:val="30"/>
          <w:szCs w:val="30"/>
          <w:highlight w:val="none"/>
        </w:rPr>
        <w:t>行）</w:t>
      </w:r>
      <w:r>
        <w:rPr>
          <w:rFonts w:hint="eastAsia" w:ascii="仿宋_GB2312" w:hAnsi="仿宋" w:eastAsia="仿宋_GB2312"/>
          <w:sz w:val="30"/>
          <w:szCs w:val="30"/>
          <w:highlight w:val="none"/>
          <w:lang w:val="en-US" w:eastAsia="zh-CN"/>
        </w:rPr>
        <w:t>对应栏次</w:t>
      </w:r>
      <w:r>
        <w:rPr>
          <w:rFonts w:hint="eastAsia" w:ascii="仿宋_GB2312" w:hAnsi="仿宋" w:eastAsia="仿宋_GB2312"/>
          <w:sz w:val="30"/>
          <w:szCs w:val="30"/>
          <w:highlight w:val="none"/>
        </w:rPr>
        <w:t>之和；</w:t>
      </w:r>
    </w:p>
    <w:p w14:paraId="30F6CDC3">
      <w:pPr>
        <w:numPr>
          <w:ilvl w:val="0"/>
          <w:numId w:val="3"/>
        </w:numPr>
        <w:adjustRightInd w:val="0"/>
        <w:snapToGrid w:val="0"/>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lang w:val="en-US" w:eastAsia="zh-CN"/>
        </w:rPr>
        <w:t>其他</w:t>
      </w:r>
      <w:r>
        <w:rPr>
          <w:rFonts w:hint="eastAsia" w:ascii="仿宋_GB2312" w:hAnsi="仿宋" w:eastAsia="仿宋_GB2312"/>
          <w:sz w:val="30"/>
          <w:szCs w:val="30"/>
          <w:highlight w:val="none"/>
        </w:rPr>
        <w:t>人员（</w:t>
      </w:r>
      <w:r>
        <w:rPr>
          <w:rFonts w:hint="eastAsia" w:ascii="仿宋_GB2312" w:hAnsi="仿宋" w:eastAsia="仿宋_GB2312"/>
          <w:sz w:val="30"/>
          <w:szCs w:val="30"/>
          <w:highlight w:val="none"/>
          <w:lang w:val="en-US" w:eastAsia="zh-CN"/>
        </w:rPr>
        <w:t>9</w:t>
      </w:r>
      <w:r>
        <w:rPr>
          <w:rFonts w:hint="eastAsia" w:ascii="仿宋_GB2312" w:hAnsi="仿宋" w:eastAsia="仿宋_GB2312"/>
          <w:sz w:val="30"/>
          <w:szCs w:val="30"/>
          <w:highlight w:val="none"/>
        </w:rPr>
        <w:t>行）等于财政拨款开支人员（</w:t>
      </w:r>
      <w:r>
        <w:rPr>
          <w:rFonts w:hint="eastAsia" w:ascii="仿宋_GB2312" w:hAnsi="仿宋" w:eastAsia="仿宋_GB2312"/>
          <w:sz w:val="30"/>
          <w:szCs w:val="30"/>
          <w:highlight w:val="none"/>
          <w:lang w:val="en-US" w:eastAsia="zh-CN"/>
        </w:rPr>
        <w:t>10</w:t>
      </w:r>
      <w:r>
        <w:rPr>
          <w:rFonts w:hint="eastAsia" w:ascii="仿宋_GB2312" w:hAnsi="仿宋" w:eastAsia="仿宋_GB2312"/>
          <w:sz w:val="30"/>
          <w:szCs w:val="30"/>
          <w:highlight w:val="none"/>
        </w:rPr>
        <w:t>行）</w:t>
      </w:r>
      <w:r>
        <w:rPr>
          <w:rFonts w:hint="eastAsia" w:ascii="仿宋_GB2312" w:hAnsi="仿宋" w:eastAsia="仿宋_GB2312"/>
          <w:sz w:val="30"/>
          <w:szCs w:val="30"/>
          <w:highlight w:val="none"/>
          <w:lang w:val="en-US" w:eastAsia="zh-CN"/>
        </w:rPr>
        <w:t>与</w:t>
      </w:r>
      <w:r>
        <w:rPr>
          <w:rFonts w:hint="eastAsia" w:ascii="仿宋_GB2312" w:hAnsi="仿宋" w:eastAsia="仿宋_GB2312"/>
          <w:sz w:val="30"/>
          <w:szCs w:val="30"/>
          <w:highlight w:val="none"/>
        </w:rPr>
        <w:t>经费自理人员（</w:t>
      </w:r>
      <w:r>
        <w:rPr>
          <w:rFonts w:hint="eastAsia" w:ascii="仿宋_GB2312" w:hAnsi="仿宋" w:eastAsia="仿宋_GB2312"/>
          <w:sz w:val="30"/>
          <w:szCs w:val="30"/>
          <w:highlight w:val="none"/>
          <w:lang w:val="en-US" w:eastAsia="zh-CN"/>
        </w:rPr>
        <w:t>11</w:t>
      </w:r>
      <w:r>
        <w:rPr>
          <w:rFonts w:hint="eastAsia" w:ascii="仿宋_GB2312" w:hAnsi="仿宋" w:eastAsia="仿宋_GB2312"/>
          <w:sz w:val="30"/>
          <w:szCs w:val="30"/>
          <w:highlight w:val="none"/>
        </w:rPr>
        <w:t>行）</w:t>
      </w:r>
      <w:r>
        <w:rPr>
          <w:rFonts w:hint="eastAsia" w:ascii="仿宋_GB2312" w:hAnsi="仿宋" w:eastAsia="仿宋_GB2312"/>
          <w:sz w:val="30"/>
          <w:szCs w:val="30"/>
          <w:highlight w:val="none"/>
          <w:lang w:val="en-US" w:eastAsia="zh-CN"/>
        </w:rPr>
        <w:t>对应栏次</w:t>
      </w:r>
      <w:r>
        <w:rPr>
          <w:rFonts w:hint="eastAsia" w:ascii="仿宋_GB2312" w:hAnsi="仿宋" w:eastAsia="仿宋_GB2312"/>
          <w:sz w:val="30"/>
          <w:szCs w:val="30"/>
          <w:highlight w:val="none"/>
        </w:rPr>
        <w:t>之和；</w:t>
      </w:r>
    </w:p>
    <w:p w14:paraId="0CF51CE2">
      <w:pPr>
        <w:numPr>
          <w:ilvl w:val="0"/>
          <w:numId w:val="3"/>
        </w:numPr>
        <w:adjustRightInd w:val="0"/>
        <w:snapToGrid w:val="0"/>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rPr>
        <w:t>离退休人员（1</w:t>
      </w:r>
      <w:r>
        <w:rPr>
          <w:rFonts w:hint="eastAsia" w:ascii="仿宋_GB2312" w:hAnsi="仿宋" w:eastAsia="仿宋_GB2312"/>
          <w:sz w:val="30"/>
          <w:szCs w:val="30"/>
          <w:highlight w:val="none"/>
          <w:lang w:val="en-US" w:eastAsia="zh-CN"/>
        </w:rPr>
        <w:t>2</w:t>
      </w:r>
      <w:r>
        <w:rPr>
          <w:rFonts w:hint="eastAsia" w:ascii="仿宋_GB2312" w:hAnsi="仿宋" w:eastAsia="仿宋_GB2312"/>
          <w:sz w:val="30"/>
          <w:szCs w:val="30"/>
          <w:highlight w:val="none"/>
        </w:rPr>
        <w:t>行）等于离休人员、退休人员各项（1</w:t>
      </w:r>
      <w:r>
        <w:rPr>
          <w:rFonts w:hint="eastAsia" w:ascii="仿宋_GB2312" w:hAnsi="仿宋" w:eastAsia="仿宋_GB2312"/>
          <w:sz w:val="30"/>
          <w:szCs w:val="30"/>
          <w:highlight w:val="none"/>
          <w:lang w:val="en-US" w:eastAsia="zh-CN"/>
        </w:rPr>
        <w:t>3</w:t>
      </w:r>
      <w:r>
        <w:rPr>
          <w:rFonts w:hint="eastAsia" w:ascii="仿宋_GB2312" w:hAnsi="仿宋" w:eastAsia="仿宋_GB2312"/>
          <w:sz w:val="30"/>
          <w:szCs w:val="30"/>
          <w:highlight w:val="none"/>
        </w:rPr>
        <w:t>、1</w:t>
      </w:r>
      <w:r>
        <w:rPr>
          <w:rFonts w:hint="eastAsia" w:ascii="仿宋_GB2312" w:hAnsi="仿宋" w:eastAsia="仿宋_GB2312"/>
          <w:sz w:val="30"/>
          <w:szCs w:val="30"/>
          <w:highlight w:val="none"/>
          <w:lang w:val="en-US" w:eastAsia="zh-CN"/>
        </w:rPr>
        <w:t>4</w:t>
      </w:r>
      <w:r>
        <w:rPr>
          <w:rFonts w:hint="eastAsia" w:ascii="仿宋_GB2312" w:hAnsi="仿宋" w:eastAsia="仿宋_GB2312"/>
          <w:sz w:val="30"/>
          <w:szCs w:val="30"/>
          <w:highlight w:val="none"/>
        </w:rPr>
        <w:t>行）</w:t>
      </w:r>
      <w:r>
        <w:rPr>
          <w:rFonts w:hint="eastAsia" w:ascii="仿宋_GB2312" w:hAnsi="仿宋" w:eastAsia="仿宋_GB2312"/>
          <w:sz w:val="30"/>
          <w:szCs w:val="30"/>
          <w:highlight w:val="none"/>
          <w:lang w:val="en-US" w:eastAsia="zh-CN"/>
        </w:rPr>
        <w:t>对应栏次</w:t>
      </w:r>
      <w:r>
        <w:rPr>
          <w:rFonts w:hint="eastAsia" w:ascii="仿宋_GB2312" w:hAnsi="仿宋" w:eastAsia="仿宋_GB2312"/>
          <w:sz w:val="30"/>
          <w:szCs w:val="30"/>
          <w:highlight w:val="none"/>
        </w:rPr>
        <w:t>之和；</w:t>
      </w:r>
    </w:p>
    <w:p w14:paraId="5F6FF23C">
      <w:pPr>
        <w:numPr>
          <w:ilvl w:val="0"/>
          <w:numId w:val="3"/>
        </w:numPr>
        <w:adjustRightInd w:val="0"/>
        <w:snapToGrid w:val="0"/>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rPr>
        <w:t>单位机构数（1</w:t>
      </w:r>
      <w:r>
        <w:rPr>
          <w:rFonts w:hint="eastAsia" w:ascii="仿宋_GB2312" w:hAnsi="仿宋" w:eastAsia="仿宋_GB2312"/>
          <w:sz w:val="30"/>
          <w:szCs w:val="30"/>
          <w:highlight w:val="none"/>
          <w:lang w:val="en-US" w:eastAsia="zh-CN"/>
        </w:rPr>
        <w:t>7</w:t>
      </w:r>
      <w:r>
        <w:rPr>
          <w:rFonts w:hint="eastAsia" w:ascii="仿宋_GB2312" w:hAnsi="仿宋" w:eastAsia="仿宋_GB2312"/>
          <w:sz w:val="30"/>
          <w:szCs w:val="30"/>
          <w:highlight w:val="none"/>
        </w:rPr>
        <w:t>行）等于行政、事业、其他各项（1</w:t>
      </w:r>
      <w:r>
        <w:rPr>
          <w:rFonts w:hint="eastAsia" w:ascii="仿宋_GB2312" w:hAnsi="仿宋" w:eastAsia="仿宋_GB2312"/>
          <w:sz w:val="30"/>
          <w:szCs w:val="30"/>
          <w:highlight w:val="none"/>
          <w:lang w:val="en-US" w:eastAsia="zh-CN"/>
        </w:rPr>
        <w:t>8</w:t>
      </w:r>
      <w:r>
        <w:rPr>
          <w:rFonts w:hint="eastAsia" w:ascii="仿宋_GB2312" w:hAnsi="仿宋" w:eastAsia="仿宋_GB2312"/>
          <w:sz w:val="30"/>
          <w:szCs w:val="30"/>
          <w:highlight w:val="none"/>
        </w:rPr>
        <w:t>~2</w:t>
      </w:r>
      <w:r>
        <w:rPr>
          <w:rFonts w:hint="eastAsia" w:ascii="仿宋_GB2312" w:hAnsi="仿宋" w:eastAsia="仿宋_GB2312"/>
          <w:sz w:val="30"/>
          <w:szCs w:val="30"/>
          <w:highlight w:val="none"/>
          <w:lang w:val="en-US" w:eastAsia="zh-CN"/>
        </w:rPr>
        <w:t>0</w:t>
      </w:r>
      <w:r>
        <w:rPr>
          <w:rFonts w:hint="eastAsia" w:ascii="仿宋_GB2312" w:hAnsi="仿宋" w:eastAsia="仿宋_GB2312"/>
          <w:sz w:val="30"/>
          <w:szCs w:val="30"/>
          <w:highlight w:val="none"/>
        </w:rPr>
        <w:t>行）之和；</w:t>
      </w:r>
    </w:p>
    <w:p w14:paraId="30029D4A">
      <w:pPr>
        <w:numPr>
          <w:ilvl w:val="0"/>
          <w:numId w:val="3"/>
        </w:numPr>
        <w:adjustRightInd w:val="0"/>
        <w:snapToGrid w:val="0"/>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rPr>
        <w:t>公务用车编制数量（2</w:t>
      </w:r>
      <w:r>
        <w:rPr>
          <w:rFonts w:hint="eastAsia" w:ascii="仿宋_GB2312" w:hAnsi="仿宋" w:eastAsia="仿宋_GB2312"/>
          <w:sz w:val="30"/>
          <w:szCs w:val="30"/>
          <w:highlight w:val="none"/>
          <w:lang w:val="en-US" w:eastAsia="zh-CN"/>
        </w:rPr>
        <w:t>2</w:t>
      </w:r>
      <w:r>
        <w:rPr>
          <w:rFonts w:hint="eastAsia" w:ascii="仿宋_GB2312" w:hAnsi="仿宋" w:eastAsia="仿宋_GB2312"/>
          <w:sz w:val="30"/>
          <w:szCs w:val="30"/>
          <w:highlight w:val="none"/>
        </w:rPr>
        <w:t>行）等于机要通信用车、应急保障用车、执法执勤用车、特种专业技术用车、其他按规定配备的车辆各项（2</w:t>
      </w:r>
      <w:r>
        <w:rPr>
          <w:rFonts w:hint="eastAsia" w:ascii="仿宋_GB2312" w:hAnsi="仿宋" w:eastAsia="仿宋_GB2312"/>
          <w:sz w:val="30"/>
          <w:szCs w:val="30"/>
          <w:highlight w:val="none"/>
          <w:lang w:val="en-US" w:eastAsia="zh-CN"/>
        </w:rPr>
        <w:t>3</w:t>
      </w:r>
      <w:r>
        <w:rPr>
          <w:rFonts w:hint="eastAsia" w:ascii="仿宋_GB2312" w:hAnsi="仿宋" w:eastAsia="仿宋_GB2312"/>
          <w:sz w:val="30"/>
          <w:szCs w:val="30"/>
          <w:highlight w:val="none"/>
        </w:rPr>
        <w:t>~2</w:t>
      </w:r>
      <w:r>
        <w:rPr>
          <w:rFonts w:hint="eastAsia" w:ascii="仿宋_GB2312" w:hAnsi="仿宋" w:eastAsia="仿宋_GB2312"/>
          <w:sz w:val="30"/>
          <w:szCs w:val="30"/>
          <w:highlight w:val="none"/>
          <w:lang w:val="en-US" w:eastAsia="zh-CN"/>
        </w:rPr>
        <w:t>7</w:t>
      </w:r>
      <w:r>
        <w:rPr>
          <w:rFonts w:hint="eastAsia" w:ascii="仿宋_GB2312" w:hAnsi="仿宋" w:eastAsia="仿宋_GB2312"/>
          <w:sz w:val="30"/>
          <w:szCs w:val="30"/>
          <w:highlight w:val="none"/>
        </w:rPr>
        <w:t>行）之和；</w:t>
      </w:r>
    </w:p>
    <w:p w14:paraId="6E9A8EEA">
      <w:pPr>
        <w:numPr>
          <w:ilvl w:val="0"/>
          <w:numId w:val="3"/>
        </w:numPr>
        <w:adjustRightInd w:val="0"/>
        <w:snapToGrid w:val="0"/>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rPr>
        <w:t>各行各栏≥0</w:t>
      </w:r>
      <w:r>
        <w:rPr>
          <w:rFonts w:hint="eastAsia" w:ascii="仿宋_GB2312" w:hAnsi="仿宋" w:eastAsia="仿宋_GB2312"/>
          <w:sz w:val="30"/>
          <w:szCs w:val="30"/>
          <w:highlight w:val="none"/>
          <w:lang w:eastAsia="zh-CN"/>
        </w:rPr>
        <w:t>。</w:t>
      </w:r>
    </w:p>
    <w:p w14:paraId="409D0ED7">
      <w:pPr>
        <w:adjustRightInd w:val="0"/>
        <w:snapToGrid w:val="0"/>
        <w:spacing w:line="360" w:lineRule="auto"/>
        <w:ind w:left="600"/>
        <w:rPr>
          <w:rFonts w:hint="eastAsia" w:ascii="仿宋_GB2312" w:hAnsi="仿宋" w:eastAsia="仿宋_GB2312"/>
          <w:b/>
          <w:sz w:val="30"/>
          <w:szCs w:val="30"/>
          <w:highlight w:val="none"/>
        </w:rPr>
      </w:pPr>
      <w:r>
        <w:rPr>
          <w:rFonts w:hint="eastAsia" w:ascii="仿宋_GB2312" w:hAnsi="仿宋" w:eastAsia="仿宋_GB2312"/>
          <w:b/>
          <w:sz w:val="30"/>
          <w:szCs w:val="30"/>
          <w:highlight w:val="none"/>
        </w:rPr>
        <w:t>核实性公式：</w:t>
      </w:r>
    </w:p>
    <w:p w14:paraId="1DA128F2">
      <w:pPr>
        <w:numPr>
          <w:ilvl w:val="0"/>
          <w:numId w:val="2"/>
        </w:numPr>
        <w:adjustRightInd w:val="0"/>
        <w:snapToGrid w:val="0"/>
        <w:spacing w:line="360" w:lineRule="auto"/>
        <w:ind w:left="0" w:firstLine="573"/>
        <w:rPr>
          <w:rFonts w:hint="eastAsia" w:ascii="仿宋_GB2312" w:hAnsi="仿宋" w:eastAsia="仿宋_GB2312"/>
          <w:sz w:val="30"/>
          <w:szCs w:val="30"/>
          <w:highlight w:val="none"/>
        </w:rPr>
      </w:pPr>
      <w:r>
        <w:rPr>
          <w:rFonts w:hint="eastAsia" w:ascii="仿宋_GB2312" w:hAnsi="仿宋" w:eastAsia="仿宋_GB2312"/>
          <w:sz w:val="30"/>
          <w:szCs w:val="30"/>
          <w:highlight w:val="none"/>
        </w:rPr>
        <w:t>当独立编制机构数（1</w:t>
      </w:r>
      <w:r>
        <w:rPr>
          <w:rFonts w:hint="eastAsia" w:ascii="仿宋_GB2312" w:hAnsi="仿宋" w:eastAsia="仿宋_GB2312"/>
          <w:sz w:val="30"/>
          <w:szCs w:val="30"/>
          <w:highlight w:val="none"/>
          <w:lang w:val="en-US" w:eastAsia="zh-CN"/>
        </w:rPr>
        <w:t>8</w:t>
      </w:r>
      <w:r>
        <w:rPr>
          <w:rFonts w:hint="eastAsia" w:ascii="仿宋_GB2312" w:hAnsi="仿宋" w:eastAsia="仿宋_GB2312"/>
          <w:sz w:val="30"/>
          <w:szCs w:val="30"/>
          <w:highlight w:val="none"/>
        </w:rPr>
        <w:t>~2</w:t>
      </w:r>
      <w:r>
        <w:rPr>
          <w:rFonts w:hint="eastAsia" w:ascii="仿宋_GB2312" w:hAnsi="仿宋" w:eastAsia="仿宋_GB2312"/>
          <w:sz w:val="30"/>
          <w:szCs w:val="30"/>
          <w:highlight w:val="none"/>
          <w:lang w:val="en-US" w:eastAsia="zh-CN"/>
        </w:rPr>
        <w:t>0</w:t>
      </w:r>
      <w:r>
        <w:rPr>
          <w:rFonts w:hint="eastAsia" w:ascii="仿宋_GB2312" w:hAnsi="仿宋" w:eastAsia="仿宋_GB2312"/>
          <w:sz w:val="30"/>
          <w:szCs w:val="30"/>
          <w:highlight w:val="none"/>
        </w:rPr>
        <w:t>行3栏）小于独立核算机构数（1</w:t>
      </w:r>
      <w:r>
        <w:rPr>
          <w:rFonts w:hint="eastAsia" w:ascii="仿宋_GB2312" w:hAnsi="仿宋" w:eastAsia="仿宋_GB2312"/>
          <w:sz w:val="30"/>
          <w:szCs w:val="30"/>
          <w:highlight w:val="none"/>
          <w:lang w:val="en-US" w:eastAsia="zh-CN"/>
        </w:rPr>
        <w:t>8</w:t>
      </w:r>
      <w:r>
        <w:rPr>
          <w:rFonts w:hint="eastAsia" w:ascii="仿宋_GB2312" w:hAnsi="仿宋" w:eastAsia="仿宋_GB2312"/>
          <w:sz w:val="30"/>
          <w:szCs w:val="30"/>
          <w:highlight w:val="none"/>
        </w:rPr>
        <w:t>~2</w:t>
      </w:r>
      <w:r>
        <w:rPr>
          <w:rFonts w:hint="eastAsia" w:ascii="仿宋_GB2312" w:hAnsi="仿宋" w:eastAsia="仿宋_GB2312"/>
          <w:sz w:val="30"/>
          <w:szCs w:val="30"/>
          <w:highlight w:val="none"/>
          <w:lang w:val="en-US" w:eastAsia="zh-CN"/>
        </w:rPr>
        <w:t>0</w:t>
      </w:r>
      <w:r>
        <w:rPr>
          <w:rFonts w:hint="eastAsia" w:ascii="仿宋_GB2312" w:hAnsi="仿宋" w:eastAsia="仿宋_GB2312"/>
          <w:sz w:val="30"/>
          <w:szCs w:val="30"/>
          <w:highlight w:val="none"/>
        </w:rPr>
        <w:t>行4栏）时，</w:t>
      </w:r>
      <w:bookmarkStart w:id="4" w:name="_Hlk176967369"/>
      <w:r>
        <w:rPr>
          <w:rFonts w:hint="eastAsia" w:ascii="仿宋_GB2312" w:hAnsi="仿宋" w:eastAsia="仿宋_GB2312"/>
          <w:sz w:val="30"/>
          <w:szCs w:val="30"/>
          <w:highlight w:val="none"/>
        </w:rPr>
        <w:t>提示核实性错误，需结合实际情况修改或填写情况说明</w:t>
      </w:r>
      <w:bookmarkEnd w:id="4"/>
      <w:r>
        <w:rPr>
          <w:rFonts w:hint="eastAsia" w:ascii="仿宋_GB2312" w:hAnsi="仿宋" w:eastAsia="仿宋_GB2312"/>
          <w:sz w:val="30"/>
          <w:szCs w:val="30"/>
          <w:highlight w:val="none"/>
        </w:rPr>
        <w:t>。</w:t>
      </w:r>
    </w:p>
    <w:p w14:paraId="3F071132">
      <w:pPr>
        <w:numPr>
          <w:ilvl w:val="0"/>
          <w:numId w:val="2"/>
        </w:numPr>
        <w:adjustRightInd w:val="0"/>
        <w:snapToGrid w:val="0"/>
        <w:spacing w:line="360" w:lineRule="auto"/>
        <w:ind w:left="0" w:firstLine="573"/>
        <w:rPr>
          <w:rFonts w:hint="eastAsia" w:ascii="仿宋_GB2312" w:hAnsi="仿宋" w:eastAsia="仿宋_GB2312"/>
          <w:sz w:val="30"/>
          <w:szCs w:val="30"/>
          <w:highlight w:val="none"/>
        </w:rPr>
      </w:pPr>
      <w:r>
        <w:rPr>
          <w:rFonts w:hint="eastAsia" w:ascii="仿宋_GB2312" w:hAnsi="仿宋" w:eastAsia="仿宋_GB2312"/>
          <w:sz w:val="30"/>
          <w:szCs w:val="30"/>
          <w:highlight w:val="none"/>
        </w:rPr>
        <w:t>当独立核算机构数合计行（1</w:t>
      </w:r>
      <w:r>
        <w:rPr>
          <w:rFonts w:hint="eastAsia" w:ascii="仿宋_GB2312" w:hAnsi="仿宋" w:eastAsia="仿宋_GB2312"/>
          <w:sz w:val="30"/>
          <w:szCs w:val="30"/>
          <w:highlight w:val="none"/>
          <w:lang w:val="en-US" w:eastAsia="zh-CN"/>
        </w:rPr>
        <w:t>7</w:t>
      </w:r>
      <w:r>
        <w:rPr>
          <w:rFonts w:hint="eastAsia" w:ascii="仿宋_GB2312" w:hAnsi="仿宋" w:eastAsia="仿宋_GB2312"/>
          <w:sz w:val="30"/>
          <w:szCs w:val="30"/>
          <w:highlight w:val="none"/>
        </w:rPr>
        <w:t>行4栏）不等于1时，提示核实性错误，需结合实际情况修改或填写情况说明。</w:t>
      </w:r>
    </w:p>
    <w:p w14:paraId="16BBBEC2">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封面</w:t>
      </w:r>
      <w:r>
        <w:rPr>
          <w:rFonts w:hint="eastAsia" w:ascii="仿宋_GB2312" w:hAnsi="仿宋" w:eastAsia="仿宋_GB2312"/>
          <w:sz w:val="30"/>
          <w:szCs w:val="30"/>
          <w:highlight w:val="none"/>
          <w:lang w:eastAsia="zh-CN"/>
        </w:rPr>
        <w:t>单位性质</w:t>
      </w:r>
      <w:r>
        <w:rPr>
          <w:rFonts w:hint="eastAsia" w:ascii="仿宋_GB2312" w:hAnsi="仿宋" w:eastAsia="仿宋_GB2312"/>
          <w:sz w:val="30"/>
          <w:szCs w:val="30"/>
          <w:highlight w:val="none"/>
        </w:rPr>
        <w:t>=“共产党机关”“政府机关”“人大机关”“政协机关”“群众团体”“民主党派”“政法机关”</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或</w:t>
      </w:r>
      <w:r>
        <w:rPr>
          <w:rFonts w:hint="eastAsia" w:ascii="仿宋_GB2312" w:hAnsi="仿宋" w:eastAsia="仿宋_GB2312"/>
          <w:sz w:val="30"/>
          <w:szCs w:val="30"/>
          <w:highlight w:val="none"/>
        </w:rPr>
        <w:t>封面</w:t>
      </w:r>
      <w:r>
        <w:rPr>
          <w:rFonts w:hint="eastAsia" w:ascii="仿宋_GB2312" w:hAnsi="仿宋" w:eastAsia="仿宋_GB2312"/>
          <w:sz w:val="30"/>
          <w:szCs w:val="30"/>
          <w:highlight w:val="none"/>
          <w:lang w:eastAsia="zh-CN"/>
        </w:rPr>
        <w:t>单位性质</w:t>
      </w:r>
      <w:r>
        <w:rPr>
          <w:rFonts w:hint="eastAsia" w:ascii="仿宋_GB2312" w:hAnsi="仿宋" w:eastAsia="仿宋_GB2312"/>
          <w:sz w:val="30"/>
          <w:szCs w:val="30"/>
          <w:highlight w:val="none"/>
        </w:rPr>
        <w:t>=“参照公务员法管理事业单位”</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且参照公务员法管理事业单位执行财务规则选择“10.行政单位财务规则”时，行政单位机构数（1</w:t>
      </w:r>
      <w:r>
        <w:rPr>
          <w:rFonts w:hint="eastAsia" w:ascii="仿宋_GB2312" w:hAnsi="仿宋" w:eastAsia="仿宋_GB2312"/>
          <w:sz w:val="30"/>
          <w:szCs w:val="30"/>
          <w:highlight w:val="none"/>
          <w:lang w:val="en-US" w:eastAsia="zh-CN"/>
        </w:rPr>
        <w:t>8</w:t>
      </w:r>
      <w:r>
        <w:rPr>
          <w:rFonts w:hint="eastAsia" w:ascii="仿宋_GB2312" w:hAnsi="仿宋" w:eastAsia="仿宋_GB2312"/>
          <w:sz w:val="30"/>
          <w:szCs w:val="30"/>
          <w:highlight w:val="none"/>
        </w:rPr>
        <w:t>行3、4栏）应大于0，事业及其他单位机构数（</w:t>
      </w:r>
      <w:r>
        <w:rPr>
          <w:rFonts w:hint="eastAsia" w:ascii="仿宋_GB2312" w:hAnsi="仿宋" w:eastAsia="仿宋_GB2312"/>
          <w:sz w:val="30"/>
          <w:szCs w:val="30"/>
          <w:highlight w:val="none"/>
          <w:lang w:val="en-US" w:eastAsia="zh-CN"/>
        </w:rPr>
        <w:t>19</w:t>
      </w:r>
      <w:r>
        <w:rPr>
          <w:rFonts w:hint="eastAsia" w:ascii="仿宋_GB2312" w:hAnsi="仿宋" w:eastAsia="仿宋_GB2312"/>
          <w:sz w:val="30"/>
          <w:szCs w:val="30"/>
          <w:highlight w:val="none"/>
        </w:rPr>
        <w:t>、</w:t>
      </w:r>
      <w:r>
        <w:rPr>
          <w:rFonts w:hint="eastAsia" w:ascii="仿宋_GB2312" w:hAnsi="仿宋" w:eastAsia="仿宋_GB2312"/>
          <w:sz w:val="30"/>
          <w:szCs w:val="30"/>
          <w:highlight w:val="none"/>
          <w:lang w:val="en-US" w:eastAsia="zh-CN"/>
        </w:rPr>
        <w:t>20</w:t>
      </w:r>
      <w:r>
        <w:rPr>
          <w:rFonts w:hint="eastAsia" w:ascii="仿宋_GB2312" w:hAnsi="仿宋" w:eastAsia="仿宋_GB2312"/>
          <w:sz w:val="30"/>
          <w:szCs w:val="30"/>
          <w:highlight w:val="none"/>
        </w:rPr>
        <w:t>行3、4栏）应等于0，否则提示核实性错误，需结合实际情况修改或填写情况说明；</w:t>
      </w:r>
    </w:p>
    <w:p w14:paraId="431E9C40">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封面</w:t>
      </w:r>
      <w:r>
        <w:rPr>
          <w:rFonts w:hint="eastAsia" w:ascii="仿宋_GB2312" w:hAnsi="仿宋" w:eastAsia="仿宋_GB2312"/>
          <w:sz w:val="30"/>
          <w:szCs w:val="30"/>
          <w:highlight w:val="none"/>
          <w:lang w:eastAsia="zh-CN"/>
        </w:rPr>
        <w:t>单位性质</w:t>
      </w:r>
      <w:r>
        <w:rPr>
          <w:rFonts w:hint="eastAsia" w:ascii="仿宋_GB2312" w:hAnsi="仿宋" w:eastAsia="仿宋_GB2312"/>
          <w:sz w:val="30"/>
          <w:szCs w:val="30"/>
          <w:highlight w:val="none"/>
        </w:rPr>
        <w:t xml:space="preserve">=“财政补助事业单位 </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经费自理事业单位 ”</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或</w:t>
      </w:r>
      <w:r>
        <w:rPr>
          <w:rFonts w:hint="eastAsia" w:ascii="仿宋_GB2312" w:hAnsi="仿宋" w:eastAsia="仿宋_GB2312"/>
          <w:sz w:val="30"/>
          <w:szCs w:val="30"/>
          <w:highlight w:val="none"/>
        </w:rPr>
        <w:t>封面</w:t>
      </w:r>
      <w:r>
        <w:rPr>
          <w:rFonts w:hint="eastAsia" w:ascii="仿宋_GB2312" w:hAnsi="仿宋" w:eastAsia="仿宋_GB2312"/>
          <w:sz w:val="30"/>
          <w:szCs w:val="30"/>
          <w:highlight w:val="none"/>
          <w:lang w:eastAsia="zh-CN"/>
        </w:rPr>
        <w:t>单位性质</w:t>
      </w:r>
      <w:r>
        <w:rPr>
          <w:rFonts w:hint="eastAsia" w:ascii="仿宋_GB2312" w:hAnsi="仿宋" w:eastAsia="仿宋_GB2312"/>
          <w:sz w:val="30"/>
          <w:szCs w:val="30"/>
          <w:highlight w:val="none"/>
        </w:rPr>
        <w:t>=“参照公务员法管理事业单位”</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且参照公务员法管理事业单位执行财务规则选择“20.事业单位财务规则及其他”时，事业单位机构数（</w:t>
      </w:r>
      <w:r>
        <w:rPr>
          <w:rFonts w:hint="eastAsia" w:ascii="仿宋_GB2312" w:hAnsi="仿宋" w:eastAsia="仿宋_GB2312"/>
          <w:sz w:val="30"/>
          <w:szCs w:val="30"/>
          <w:highlight w:val="none"/>
          <w:lang w:val="en-US" w:eastAsia="zh-CN"/>
        </w:rPr>
        <w:t>19</w:t>
      </w:r>
      <w:r>
        <w:rPr>
          <w:rFonts w:hint="eastAsia" w:ascii="仿宋_GB2312" w:hAnsi="仿宋" w:eastAsia="仿宋_GB2312"/>
          <w:sz w:val="30"/>
          <w:szCs w:val="30"/>
          <w:highlight w:val="none"/>
        </w:rPr>
        <w:t>行3、4栏）应大于0, 行政单位机构数（1</w:t>
      </w:r>
      <w:r>
        <w:rPr>
          <w:rFonts w:hint="eastAsia" w:ascii="仿宋_GB2312" w:hAnsi="仿宋" w:eastAsia="仿宋_GB2312"/>
          <w:sz w:val="30"/>
          <w:szCs w:val="30"/>
          <w:highlight w:val="none"/>
          <w:lang w:val="en-US" w:eastAsia="zh-CN"/>
        </w:rPr>
        <w:t>8</w:t>
      </w:r>
      <w:r>
        <w:rPr>
          <w:rFonts w:hint="eastAsia" w:ascii="仿宋_GB2312" w:hAnsi="仿宋" w:eastAsia="仿宋_GB2312"/>
          <w:sz w:val="30"/>
          <w:szCs w:val="30"/>
          <w:highlight w:val="none"/>
        </w:rPr>
        <w:t xml:space="preserve">行3、4栏）应等于0 </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否则提示核实性错误，需结合实际情况修改或填写情况说明</w:t>
      </w:r>
      <w:r>
        <w:rPr>
          <w:rFonts w:hint="eastAsia" w:ascii="仿宋_GB2312" w:hAnsi="仿宋" w:eastAsia="仿宋_GB2312"/>
          <w:sz w:val="30"/>
          <w:szCs w:val="30"/>
          <w:highlight w:val="none"/>
          <w:lang w:eastAsia="zh-CN"/>
        </w:rPr>
        <w:t>；</w:t>
      </w:r>
    </w:p>
    <w:p w14:paraId="638E2448">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封面</w:t>
      </w:r>
      <w:r>
        <w:rPr>
          <w:rFonts w:hint="eastAsia" w:ascii="仿宋_GB2312" w:hAnsi="仿宋" w:eastAsia="仿宋_GB2312"/>
          <w:sz w:val="30"/>
          <w:szCs w:val="30"/>
          <w:highlight w:val="none"/>
          <w:lang w:eastAsia="zh-CN"/>
        </w:rPr>
        <w:t>单位性质</w:t>
      </w:r>
      <w:r>
        <w:rPr>
          <w:rFonts w:hint="eastAsia" w:ascii="仿宋_GB2312" w:hAnsi="仿宋" w:eastAsia="仿宋_GB2312"/>
          <w:sz w:val="30"/>
          <w:szCs w:val="30"/>
          <w:highlight w:val="none"/>
        </w:rPr>
        <w:t>=“社会团体及其他”时，事业单位机构数（</w:t>
      </w:r>
      <w:r>
        <w:rPr>
          <w:rFonts w:hint="eastAsia" w:ascii="仿宋_GB2312" w:hAnsi="仿宋" w:eastAsia="仿宋_GB2312"/>
          <w:sz w:val="30"/>
          <w:szCs w:val="30"/>
          <w:highlight w:val="none"/>
          <w:lang w:val="en-US" w:eastAsia="zh-CN"/>
        </w:rPr>
        <w:t>20</w:t>
      </w:r>
      <w:r>
        <w:rPr>
          <w:rFonts w:hint="eastAsia" w:ascii="仿宋_GB2312" w:hAnsi="仿宋" w:eastAsia="仿宋_GB2312"/>
          <w:sz w:val="30"/>
          <w:szCs w:val="30"/>
          <w:highlight w:val="none"/>
        </w:rPr>
        <w:t>行3、4栏）应大于0, 行政单位机构数（1</w:t>
      </w:r>
      <w:r>
        <w:rPr>
          <w:rFonts w:hint="eastAsia" w:ascii="仿宋_GB2312" w:hAnsi="仿宋" w:eastAsia="仿宋_GB2312"/>
          <w:sz w:val="30"/>
          <w:szCs w:val="30"/>
          <w:highlight w:val="none"/>
          <w:lang w:val="en-US" w:eastAsia="zh-CN"/>
        </w:rPr>
        <w:t>8、19</w:t>
      </w:r>
      <w:r>
        <w:rPr>
          <w:rFonts w:hint="eastAsia" w:ascii="仿宋_GB2312" w:hAnsi="仿宋" w:eastAsia="仿宋_GB2312"/>
          <w:sz w:val="30"/>
          <w:szCs w:val="30"/>
          <w:highlight w:val="none"/>
        </w:rPr>
        <w:t xml:space="preserve">行3、4栏）应等于0 </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否则提示核实性错误，需结合实际情况修改或填写情况说明</w:t>
      </w:r>
      <w:r>
        <w:rPr>
          <w:rFonts w:hint="eastAsia" w:ascii="仿宋_GB2312" w:hAnsi="仿宋" w:eastAsia="仿宋_GB2312"/>
          <w:sz w:val="30"/>
          <w:szCs w:val="30"/>
          <w:highlight w:val="none"/>
          <w:lang w:eastAsia="zh-CN"/>
        </w:rPr>
        <w:t>。</w:t>
      </w:r>
    </w:p>
    <w:p w14:paraId="0E9611A4">
      <w:pPr>
        <w:pStyle w:val="2"/>
        <w:rPr>
          <w:rFonts w:hint="eastAsia"/>
          <w:b/>
          <w:color w:val="auto"/>
          <w:highlight w:val="none"/>
        </w:rPr>
      </w:pPr>
      <w:r>
        <w:rPr>
          <w:rFonts w:hint="eastAsia"/>
          <w:color w:val="auto"/>
          <w:highlight w:val="none"/>
        </w:rPr>
        <w:t>（四）固定和无形资产存量情况表（财资03表</w:t>
      </w:r>
      <w:r>
        <w:rPr>
          <w:rFonts w:hint="eastAsia"/>
          <w:color w:val="auto"/>
          <w:spacing w:val="6"/>
          <w:highlight w:val="none"/>
        </w:rPr>
        <w:t>）</w:t>
      </w:r>
    </w:p>
    <w:p w14:paraId="3D24FC00">
      <w:pPr>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本表以资产模块</w:t>
      </w:r>
      <w:r>
        <w:rPr>
          <w:rFonts w:ascii="仿宋_GB2312" w:hAnsi="仿宋" w:eastAsia="仿宋_GB2312"/>
          <w:sz w:val="30"/>
          <w:szCs w:val="30"/>
          <w:highlight w:val="none"/>
        </w:rPr>
        <w:t>中的固定</w:t>
      </w:r>
      <w:r>
        <w:rPr>
          <w:rFonts w:hint="eastAsia" w:ascii="仿宋_GB2312" w:hAnsi="仿宋" w:eastAsia="仿宋_GB2312"/>
          <w:sz w:val="30"/>
          <w:szCs w:val="30"/>
          <w:highlight w:val="none"/>
        </w:rPr>
        <w:t>和无形</w:t>
      </w:r>
      <w:r>
        <w:rPr>
          <w:rFonts w:ascii="仿宋_GB2312" w:hAnsi="仿宋" w:eastAsia="仿宋_GB2312"/>
          <w:sz w:val="30"/>
          <w:szCs w:val="30"/>
          <w:highlight w:val="none"/>
        </w:rPr>
        <w:t>资产卡片数据为基础，</w:t>
      </w:r>
      <w:r>
        <w:rPr>
          <w:rFonts w:hint="eastAsia" w:ascii="仿宋_GB2312" w:hAnsi="仿宋" w:eastAsia="仿宋_GB2312"/>
          <w:sz w:val="30"/>
          <w:szCs w:val="30"/>
          <w:highlight w:val="none"/>
        </w:rPr>
        <w:t>按照资产分类分项提取生成</w:t>
      </w:r>
      <w:r>
        <w:rPr>
          <w:rFonts w:ascii="仿宋_GB2312" w:hAnsi="仿宋" w:eastAsia="仿宋_GB2312"/>
          <w:sz w:val="30"/>
          <w:szCs w:val="30"/>
          <w:highlight w:val="none"/>
        </w:rPr>
        <w:t>固定</w:t>
      </w:r>
      <w:r>
        <w:rPr>
          <w:rFonts w:hint="eastAsia" w:ascii="仿宋_GB2312" w:hAnsi="仿宋" w:eastAsia="仿宋_GB2312"/>
          <w:sz w:val="30"/>
          <w:szCs w:val="30"/>
          <w:highlight w:val="none"/>
        </w:rPr>
        <w:t>和无形</w:t>
      </w:r>
      <w:r>
        <w:rPr>
          <w:rFonts w:ascii="仿宋_GB2312" w:hAnsi="仿宋" w:eastAsia="仿宋_GB2312"/>
          <w:sz w:val="30"/>
          <w:szCs w:val="30"/>
          <w:highlight w:val="none"/>
        </w:rPr>
        <w:t>资产</w:t>
      </w:r>
      <w:r>
        <w:rPr>
          <w:rFonts w:hint="eastAsia" w:ascii="仿宋_GB2312" w:hAnsi="仿宋" w:eastAsia="仿宋_GB2312"/>
          <w:sz w:val="30"/>
          <w:szCs w:val="30"/>
          <w:highlight w:val="none"/>
        </w:rPr>
        <w:t>本</w:t>
      </w:r>
      <w:r>
        <w:rPr>
          <w:rFonts w:ascii="仿宋_GB2312" w:hAnsi="仿宋" w:eastAsia="仿宋_GB2312"/>
          <w:sz w:val="30"/>
          <w:szCs w:val="30"/>
          <w:highlight w:val="none"/>
        </w:rPr>
        <w:t>年度账面期初数</w:t>
      </w:r>
      <w:r>
        <w:rPr>
          <w:rFonts w:hint="eastAsia" w:ascii="仿宋_GB2312" w:hAnsi="仿宋" w:eastAsia="仿宋_GB2312"/>
          <w:sz w:val="30"/>
          <w:szCs w:val="30"/>
          <w:highlight w:val="none"/>
        </w:rPr>
        <w:t>和</w:t>
      </w:r>
      <w:r>
        <w:rPr>
          <w:rFonts w:ascii="仿宋_GB2312" w:hAnsi="仿宋" w:eastAsia="仿宋_GB2312"/>
          <w:sz w:val="30"/>
          <w:szCs w:val="30"/>
          <w:highlight w:val="none"/>
        </w:rPr>
        <w:t>账面</w:t>
      </w:r>
      <w:r>
        <w:rPr>
          <w:rFonts w:hint="eastAsia" w:ascii="仿宋_GB2312" w:hAnsi="仿宋" w:eastAsia="仿宋_GB2312"/>
          <w:sz w:val="30"/>
          <w:szCs w:val="30"/>
          <w:highlight w:val="none"/>
        </w:rPr>
        <w:t>期末数。对于权证手续不全、但长期占有使用并实际控制的固定资产应当登记入账，并纳入本表填报范围。</w:t>
      </w:r>
    </w:p>
    <w:p w14:paraId="6F48A495">
      <w:pPr>
        <w:spacing w:line="360" w:lineRule="auto"/>
        <w:ind w:firstLine="602" w:firstLineChars="200"/>
        <w:rPr>
          <w:rFonts w:hint="eastAsia" w:ascii="仿宋_GB2312" w:hAnsi="仿宋" w:eastAsia="仿宋_GB2312"/>
          <w:b/>
          <w:bCs/>
          <w:sz w:val="30"/>
          <w:szCs w:val="30"/>
          <w:highlight w:val="none"/>
        </w:rPr>
      </w:pPr>
      <w:r>
        <w:rPr>
          <w:rFonts w:hint="eastAsia" w:ascii="仿宋_GB2312" w:hAnsi="仿宋" w:eastAsia="仿宋_GB2312"/>
          <w:b/>
          <w:bCs/>
          <w:sz w:val="30"/>
          <w:szCs w:val="30"/>
          <w:highlight w:val="none"/>
        </w:rPr>
        <w:t>主要</w:t>
      </w:r>
      <w:r>
        <w:rPr>
          <w:rFonts w:ascii="仿宋_GB2312" w:hAnsi="仿宋" w:eastAsia="仿宋_GB2312"/>
          <w:b/>
          <w:bCs/>
          <w:sz w:val="30"/>
          <w:szCs w:val="30"/>
          <w:highlight w:val="none"/>
        </w:rPr>
        <w:t>指标说明：</w:t>
      </w:r>
    </w:p>
    <w:p w14:paraId="1B1BEE59">
      <w:pPr>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1.房屋和构筑物。本指标反映本单位在固定资产核算的境外土地所有权、房屋、构筑物及附属设施情况，不包含土地使用权、使用其他单位房屋和已投入使用的在建工程未转固房屋。</w:t>
      </w:r>
    </w:p>
    <w:p w14:paraId="670C2584">
      <w:pPr>
        <w:spacing w:line="360" w:lineRule="auto"/>
        <w:ind w:firstLine="600"/>
        <w:rPr>
          <w:rFonts w:hint="eastAsia" w:ascii="仿宋_GB2312" w:hAnsi="仿宋" w:eastAsia="仿宋_GB2312"/>
          <w:sz w:val="30"/>
          <w:szCs w:val="30"/>
          <w:highlight w:val="none"/>
        </w:rPr>
      </w:pPr>
      <w:r>
        <w:rPr>
          <w:rFonts w:ascii="仿宋_GB2312" w:hAnsi="仿宋" w:eastAsia="仿宋_GB2312"/>
          <w:sz w:val="30"/>
          <w:szCs w:val="30"/>
          <w:highlight w:val="none"/>
        </w:rPr>
        <w:t>2.</w:t>
      </w:r>
      <w:r>
        <w:rPr>
          <w:rFonts w:hint="eastAsia" w:ascii="仿宋_GB2312" w:hAnsi="仿宋" w:eastAsia="仿宋_GB2312"/>
          <w:sz w:val="30"/>
          <w:szCs w:val="30"/>
          <w:highlight w:val="none"/>
        </w:rPr>
        <w:t>土地：反映境外购置具有土地所有权的资产。</w:t>
      </w:r>
    </w:p>
    <w:p w14:paraId="10DD8CDC">
      <w:pPr>
        <w:spacing w:line="360" w:lineRule="auto"/>
        <w:ind w:firstLine="600" w:firstLineChars="200"/>
        <w:rPr>
          <w:rFonts w:hint="eastAsia" w:ascii="仿宋_GB2312" w:hAnsi="仿宋" w:eastAsia="仿宋_GB2312"/>
          <w:sz w:val="30"/>
          <w:szCs w:val="30"/>
          <w:highlight w:val="none"/>
        </w:rPr>
      </w:pPr>
      <w:r>
        <w:rPr>
          <w:rFonts w:ascii="仿宋_GB2312" w:hAnsi="仿宋" w:eastAsia="仿宋_GB2312"/>
          <w:sz w:val="30"/>
          <w:szCs w:val="30"/>
          <w:highlight w:val="none"/>
        </w:rPr>
        <w:t>3</w:t>
      </w:r>
      <w:r>
        <w:rPr>
          <w:rFonts w:hint="eastAsia" w:ascii="仿宋_GB2312" w:hAnsi="仿宋" w:eastAsia="仿宋_GB2312"/>
          <w:sz w:val="30"/>
          <w:szCs w:val="30"/>
          <w:highlight w:val="none"/>
        </w:rPr>
        <w:t>.房屋。本指标反映本单位房屋情况，包括办公用房、业务用房、其他用房的建筑面积和账面价值，不包含构筑物和房屋附属设施。</w:t>
      </w:r>
    </w:p>
    <w:p w14:paraId="6AE6A451">
      <w:pPr>
        <w:spacing w:line="360" w:lineRule="auto"/>
        <w:ind w:firstLine="576" w:firstLineChars="192"/>
        <w:rPr>
          <w:rFonts w:ascii="仿宋_GB2312" w:eastAsia="仿宋_GB2312"/>
          <w:kern w:val="0"/>
          <w:sz w:val="30"/>
          <w:szCs w:val="30"/>
          <w:highlight w:val="none"/>
        </w:rPr>
      </w:pPr>
      <w:r>
        <w:rPr>
          <w:rFonts w:ascii="仿宋_GB2312" w:hAnsi="仿宋" w:eastAsia="仿宋_GB2312"/>
          <w:sz w:val="30"/>
          <w:szCs w:val="30"/>
          <w:highlight w:val="none"/>
        </w:rPr>
        <w:t>4.</w:t>
      </w:r>
      <w:r>
        <w:rPr>
          <w:rFonts w:ascii="仿宋_GB2312" w:eastAsia="仿宋_GB2312"/>
          <w:kern w:val="0"/>
          <w:sz w:val="30"/>
          <w:szCs w:val="30"/>
          <w:highlight w:val="none"/>
        </w:rPr>
        <w:t>办公用房</w:t>
      </w:r>
      <w:r>
        <w:rPr>
          <w:rFonts w:hint="eastAsia" w:ascii="仿宋_GB2312" w:eastAsia="仿宋_GB2312"/>
          <w:kern w:val="0"/>
          <w:sz w:val="30"/>
          <w:szCs w:val="30"/>
          <w:highlight w:val="none"/>
          <w:lang w:eastAsia="zh-CN"/>
        </w:rPr>
        <w:t>：</w:t>
      </w:r>
      <w:r>
        <w:rPr>
          <w:rFonts w:hint="eastAsia" w:ascii="仿宋_GB2312" w:eastAsia="仿宋_GB2312"/>
          <w:kern w:val="0"/>
          <w:sz w:val="30"/>
          <w:szCs w:val="30"/>
          <w:highlight w:val="none"/>
        </w:rPr>
        <w:t>按照《党政机关办公用房建设标准》（发改投资〔</w:t>
      </w:r>
      <w:r>
        <w:rPr>
          <w:rFonts w:ascii="仿宋_GB2312" w:eastAsia="仿宋_GB2312"/>
          <w:kern w:val="0"/>
          <w:sz w:val="30"/>
          <w:szCs w:val="30"/>
          <w:highlight w:val="none"/>
        </w:rPr>
        <w:t>2014〕2674号）相关规定，本表中</w:t>
      </w:r>
      <w:r>
        <w:rPr>
          <w:rFonts w:hint="eastAsia" w:ascii="仿宋_GB2312" w:eastAsia="仿宋_GB2312"/>
          <w:kern w:val="0"/>
          <w:sz w:val="30"/>
          <w:szCs w:val="30"/>
          <w:highlight w:val="none"/>
        </w:rPr>
        <w:t>办公用房用途分类是指办公室用房、服务用房、设备用房和附属用房。数量原则上按建筑面积填列。</w:t>
      </w:r>
    </w:p>
    <w:p w14:paraId="19BF106E">
      <w:pPr>
        <w:spacing w:line="360" w:lineRule="auto"/>
        <w:ind w:firstLine="576" w:firstLineChars="192"/>
        <w:rPr>
          <w:rFonts w:ascii="仿宋_GB2312" w:eastAsia="仿宋_GB2312"/>
          <w:kern w:val="0"/>
          <w:sz w:val="30"/>
          <w:szCs w:val="30"/>
          <w:highlight w:val="none"/>
        </w:rPr>
      </w:pPr>
      <w:r>
        <w:rPr>
          <w:rFonts w:ascii="仿宋_GB2312" w:eastAsia="仿宋_GB2312"/>
          <w:kern w:val="0"/>
          <w:sz w:val="30"/>
          <w:szCs w:val="30"/>
          <w:highlight w:val="none"/>
        </w:rPr>
        <w:t>5.办公室用房：</w:t>
      </w:r>
      <w:r>
        <w:rPr>
          <w:rFonts w:hint="eastAsia" w:ascii="仿宋_GB2312" w:eastAsia="仿宋_GB2312"/>
          <w:kern w:val="0"/>
          <w:sz w:val="30"/>
          <w:szCs w:val="30"/>
          <w:highlight w:val="none"/>
        </w:rPr>
        <w:t>按照《党政机关办公用房建设标准》（发改投资〔</w:t>
      </w:r>
      <w:r>
        <w:rPr>
          <w:rFonts w:ascii="仿宋_GB2312" w:eastAsia="仿宋_GB2312"/>
          <w:kern w:val="0"/>
          <w:sz w:val="30"/>
          <w:szCs w:val="30"/>
          <w:highlight w:val="none"/>
        </w:rPr>
        <w:t>2014〕2674号）相关规定，</w:t>
      </w:r>
      <w:r>
        <w:rPr>
          <w:rFonts w:hint="eastAsia" w:ascii="仿宋_GB2312" w:eastAsia="仿宋_GB2312"/>
          <w:kern w:val="0"/>
          <w:sz w:val="30"/>
          <w:szCs w:val="30"/>
          <w:highlight w:val="none"/>
        </w:rPr>
        <w:t>填写领导人员办公室和一般工作人员办公室的使用面积。</w:t>
      </w:r>
    </w:p>
    <w:p w14:paraId="7547A198">
      <w:pPr>
        <w:spacing w:line="360" w:lineRule="auto"/>
        <w:ind w:firstLine="576" w:firstLineChars="192"/>
        <w:rPr>
          <w:rFonts w:ascii="仿宋_GB2312" w:eastAsia="仿宋_GB2312"/>
          <w:kern w:val="0"/>
          <w:sz w:val="30"/>
          <w:szCs w:val="30"/>
          <w:highlight w:val="none"/>
        </w:rPr>
      </w:pPr>
      <w:r>
        <w:rPr>
          <w:rFonts w:ascii="仿宋_GB2312" w:eastAsia="仿宋_GB2312"/>
          <w:kern w:val="0"/>
          <w:sz w:val="30"/>
          <w:szCs w:val="30"/>
          <w:highlight w:val="none"/>
        </w:rPr>
        <w:t>6.业务用房</w:t>
      </w:r>
      <w:r>
        <w:rPr>
          <w:rFonts w:hint="eastAsia" w:ascii="仿宋_GB2312" w:eastAsia="仿宋_GB2312"/>
          <w:kern w:val="0"/>
          <w:sz w:val="30"/>
          <w:szCs w:val="30"/>
          <w:highlight w:val="none"/>
          <w:lang w:eastAsia="zh-CN"/>
        </w:rPr>
        <w:t>：</w:t>
      </w:r>
      <w:r>
        <w:rPr>
          <w:rFonts w:ascii="仿宋_GB2312" w:eastAsia="仿宋_GB2312"/>
          <w:kern w:val="0"/>
          <w:sz w:val="30"/>
          <w:szCs w:val="30"/>
          <w:highlight w:val="none"/>
        </w:rPr>
        <w:t>填列单位为开展各类业务设置的特殊技术业务场所。包括</w:t>
      </w:r>
      <w:r>
        <w:rPr>
          <w:rFonts w:hint="eastAsia" w:ascii="仿宋_GB2312" w:eastAsia="仿宋_GB2312"/>
          <w:kern w:val="0"/>
          <w:sz w:val="30"/>
          <w:szCs w:val="30"/>
          <w:highlight w:val="none"/>
        </w:rPr>
        <w:t>教育用房</w:t>
      </w:r>
      <w:r>
        <w:rPr>
          <w:rFonts w:ascii="仿宋_GB2312" w:eastAsia="仿宋_GB2312"/>
          <w:kern w:val="0"/>
          <w:sz w:val="30"/>
          <w:szCs w:val="30"/>
          <w:highlight w:val="none"/>
        </w:rPr>
        <w:t>、</w:t>
      </w:r>
      <w:r>
        <w:rPr>
          <w:rFonts w:hint="eastAsia" w:ascii="仿宋_GB2312" w:eastAsia="仿宋_GB2312"/>
          <w:kern w:val="0"/>
          <w:sz w:val="30"/>
          <w:szCs w:val="30"/>
          <w:highlight w:val="none"/>
        </w:rPr>
        <w:t>科研用房、文化用房、医疗卫生用房等</w:t>
      </w:r>
      <w:r>
        <w:rPr>
          <w:rFonts w:ascii="仿宋_GB2312" w:eastAsia="仿宋_GB2312"/>
          <w:kern w:val="0"/>
          <w:sz w:val="30"/>
          <w:szCs w:val="30"/>
          <w:highlight w:val="none"/>
        </w:rPr>
        <w:t>行政事业单位业务类用房，</w:t>
      </w:r>
      <w:r>
        <w:rPr>
          <w:rFonts w:hint="eastAsia" w:ascii="仿宋_GB2312" w:eastAsia="仿宋_GB2312"/>
          <w:kern w:val="0"/>
          <w:sz w:val="30"/>
          <w:szCs w:val="30"/>
          <w:highlight w:val="none"/>
        </w:rPr>
        <w:t>数量原则上按建筑面积填列。</w:t>
      </w:r>
    </w:p>
    <w:p w14:paraId="4C3A5681">
      <w:pPr>
        <w:spacing w:line="360" w:lineRule="auto"/>
        <w:ind w:firstLine="576" w:firstLineChars="192"/>
        <w:rPr>
          <w:rFonts w:ascii="仿宋_GB2312" w:eastAsia="仿宋_GB2312"/>
          <w:kern w:val="0"/>
          <w:sz w:val="30"/>
          <w:szCs w:val="30"/>
          <w:highlight w:val="none"/>
        </w:rPr>
      </w:pPr>
      <w:r>
        <w:rPr>
          <w:rFonts w:ascii="仿宋_GB2312" w:eastAsia="仿宋_GB2312"/>
          <w:kern w:val="0"/>
          <w:sz w:val="30"/>
          <w:szCs w:val="30"/>
          <w:highlight w:val="none"/>
        </w:rPr>
        <w:t>7.</w:t>
      </w:r>
      <w:r>
        <w:rPr>
          <w:rFonts w:hint="eastAsia" w:ascii="仿宋_GB2312" w:eastAsia="仿宋_GB2312"/>
          <w:kern w:val="0"/>
          <w:sz w:val="30"/>
          <w:szCs w:val="30"/>
          <w:highlight w:val="none"/>
        </w:rPr>
        <w:t>其他用房：填列除办公用房和业务用房以外的所有房屋。数量原则上按建筑面积填列。</w:t>
      </w:r>
    </w:p>
    <w:p w14:paraId="1816A416">
      <w:pPr>
        <w:spacing w:line="360" w:lineRule="auto"/>
        <w:ind w:firstLine="576" w:firstLineChars="192"/>
        <w:rPr>
          <w:rFonts w:hint="eastAsia" w:ascii="仿宋_GB2312" w:hAnsi="仿宋" w:eastAsia="仿宋_GB2312"/>
          <w:sz w:val="30"/>
          <w:szCs w:val="30"/>
          <w:highlight w:val="none"/>
        </w:rPr>
      </w:pPr>
      <w:r>
        <w:rPr>
          <w:rFonts w:ascii="仿宋_GB2312" w:eastAsia="仿宋_GB2312"/>
          <w:kern w:val="0"/>
          <w:sz w:val="30"/>
          <w:szCs w:val="30"/>
          <w:highlight w:val="none"/>
        </w:rPr>
        <w:t>8.</w:t>
      </w:r>
      <w:r>
        <w:rPr>
          <w:rFonts w:hint="eastAsia" w:ascii="仿宋_GB2312" w:eastAsia="仿宋_GB2312"/>
          <w:kern w:val="0"/>
          <w:sz w:val="30"/>
          <w:szCs w:val="30"/>
          <w:highlight w:val="none"/>
        </w:rPr>
        <w:t>车辆：</w:t>
      </w:r>
      <w:r>
        <w:rPr>
          <w:rFonts w:hint="eastAsia" w:ascii="仿宋_GB2312" w:hAnsi="仿宋" w:eastAsia="仿宋_GB2312"/>
          <w:sz w:val="30"/>
          <w:szCs w:val="30"/>
          <w:highlight w:val="none"/>
        </w:rPr>
        <w:t>填列单位占有使用的机动车辆（不含</w:t>
      </w:r>
      <w:r>
        <w:rPr>
          <w:rFonts w:ascii="仿宋_GB2312" w:hAnsi="仿宋" w:eastAsia="仿宋_GB2312"/>
          <w:sz w:val="30"/>
          <w:szCs w:val="30"/>
          <w:highlight w:val="none"/>
        </w:rPr>
        <w:t>摩托车</w:t>
      </w:r>
      <w:r>
        <w:rPr>
          <w:rFonts w:hint="eastAsia" w:ascii="仿宋_GB2312" w:hAnsi="仿宋" w:eastAsia="仿宋_GB2312"/>
          <w:sz w:val="30"/>
          <w:szCs w:val="30"/>
          <w:highlight w:val="none"/>
        </w:rPr>
        <w:t>、电动自行车、轮椅车、非机动车辆等）。</w:t>
      </w:r>
    </w:p>
    <w:p w14:paraId="515ED8CD">
      <w:pPr>
        <w:spacing w:line="360" w:lineRule="auto"/>
        <w:ind w:firstLine="576" w:firstLineChars="192"/>
        <w:rPr>
          <w:rFonts w:hint="eastAsia" w:ascii="仿宋_GB2312" w:hAnsi="仿宋" w:eastAsia="仿宋_GB2312"/>
          <w:sz w:val="30"/>
          <w:szCs w:val="30"/>
          <w:highlight w:val="none"/>
        </w:rPr>
      </w:pPr>
      <w:r>
        <w:rPr>
          <w:rFonts w:hint="eastAsia" w:ascii="仿宋_GB2312" w:hAnsi="仿宋" w:eastAsia="仿宋_GB2312"/>
          <w:sz w:val="30"/>
          <w:szCs w:val="30"/>
          <w:highlight w:val="none"/>
        </w:rPr>
        <w:t>9.医疗设备：取自资产信息卡中资产用途为“医疗”，资产分类为“设备”，且价值在100万元以上的资产。</w:t>
      </w:r>
    </w:p>
    <w:p w14:paraId="54911DE1">
      <w:pPr>
        <w:spacing w:line="360" w:lineRule="auto"/>
        <w:ind w:firstLine="576" w:firstLineChars="192"/>
        <w:rPr>
          <w:rFonts w:hint="eastAsia" w:ascii="仿宋_GB2312" w:hAnsi="仿宋" w:eastAsia="仿宋_GB2312"/>
          <w:sz w:val="30"/>
          <w:szCs w:val="30"/>
          <w:highlight w:val="none"/>
        </w:rPr>
      </w:pPr>
      <w:r>
        <w:rPr>
          <w:rFonts w:hint="eastAsia" w:ascii="仿宋_GB2312" w:hAnsi="仿宋" w:eastAsia="仿宋_GB2312"/>
          <w:sz w:val="30"/>
          <w:szCs w:val="30"/>
          <w:highlight w:val="none"/>
        </w:rPr>
        <w:t>10.科研设备：取自资产信息卡中资产用途为“科研”，资产分类为“设备”，且价值在100万元以上的资产。</w:t>
      </w:r>
    </w:p>
    <w:p w14:paraId="0463B2C2">
      <w:pPr>
        <w:spacing w:line="360" w:lineRule="auto"/>
        <w:ind w:firstLine="576" w:firstLineChars="192"/>
        <w:rPr>
          <w:rFonts w:hint="eastAsia" w:ascii="仿宋_GB2312" w:hAnsi="仿宋" w:eastAsia="仿宋_GB2312"/>
          <w:sz w:val="30"/>
          <w:szCs w:val="30"/>
          <w:highlight w:val="none"/>
        </w:rPr>
      </w:pPr>
      <w:r>
        <w:rPr>
          <w:rFonts w:hint="eastAsia" w:ascii="仿宋_GB2312" w:hAnsi="仿宋" w:eastAsia="仿宋_GB2312"/>
          <w:sz w:val="30"/>
          <w:szCs w:val="30"/>
          <w:highlight w:val="none"/>
        </w:rPr>
        <w:t>11.共享共用：取自资产信息卡中是否共享共用为“是”，资产用途为“科研”，资产分类为“设备”，且价值在100万元以上的资产。</w:t>
      </w:r>
    </w:p>
    <w:p w14:paraId="1E28138F">
      <w:pPr>
        <w:spacing w:line="360" w:lineRule="auto"/>
        <w:ind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12</w:t>
      </w:r>
      <w:r>
        <w:rPr>
          <w:rFonts w:ascii="仿宋_GB2312" w:hAnsi="仿宋" w:eastAsia="仿宋_GB2312"/>
          <w:sz w:val="30"/>
          <w:szCs w:val="30"/>
          <w:highlight w:val="none"/>
        </w:rPr>
        <w:t>.</w:t>
      </w:r>
      <w:r>
        <w:rPr>
          <w:rFonts w:hint="eastAsia" w:ascii="仿宋_GB2312" w:hAnsi="仿宋" w:eastAsia="仿宋_GB2312"/>
          <w:sz w:val="30"/>
          <w:szCs w:val="30"/>
          <w:highlight w:val="none"/>
        </w:rPr>
        <w:t>文物和陈列品：根据中华人民共和国国家标准《固定资产等资产基础分类与代码》（GB/T 14885-20</w:t>
      </w:r>
      <w:r>
        <w:rPr>
          <w:rFonts w:ascii="仿宋_GB2312" w:hAnsi="仿宋" w:eastAsia="仿宋_GB2312"/>
          <w:sz w:val="30"/>
          <w:szCs w:val="30"/>
          <w:highlight w:val="none"/>
        </w:rPr>
        <w:t>22</w:t>
      </w:r>
      <w:r>
        <w:rPr>
          <w:rFonts w:hint="eastAsia" w:ascii="仿宋_GB2312" w:hAnsi="仿宋" w:eastAsia="仿宋_GB2312"/>
          <w:sz w:val="30"/>
          <w:szCs w:val="30"/>
          <w:highlight w:val="none"/>
        </w:rPr>
        <w:t>）提取资产分类“文物和陈列品（A03000000）”下面的所有资产。文物和陈列品不计提折旧。本指标反映为满足自身开展业务活动或其他活动需要而控制的文物和陈列品，为满足社会公共需求而控制的文物文化资产在“文物文化资产”中反映。</w:t>
      </w:r>
    </w:p>
    <w:p w14:paraId="47C8A2C4">
      <w:pPr>
        <w:spacing w:line="360" w:lineRule="auto"/>
        <w:ind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13</w:t>
      </w:r>
      <w:r>
        <w:rPr>
          <w:rFonts w:ascii="仿宋_GB2312" w:hAnsi="仿宋" w:eastAsia="仿宋_GB2312"/>
          <w:sz w:val="30"/>
          <w:szCs w:val="30"/>
          <w:highlight w:val="none"/>
        </w:rPr>
        <w:t>.</w:t>
      </w:r>
      <w:r>
        <w:rPr>
          <w:rFonts w:hint="eastAsia" w:ascii="仿宋_GB2312" w:hAnsi="仿宋" w:eastAsia="仿宋_GB2312"/>
          <w:sz w:val="30"/>
          <w:szCs w:val="30"/>
          <w:highlight w:val="none"/>
        </w:rPr>
        <w:t>图书和档案：根据中华人民共和国国家标准《固定资产等资产基础分类与代码》（GB/T</w:t>
      </w:r>
      <w:r>
        <w:rPr>
          <w:rFonts w:ascii="仿宋_GB2312" w:hAnsi="仿宋" w:eastAsia="仿宋_GB2312"/>
          <w:sz w:val="30"/>
          <w:szCs w:val="30"/>
          <w:highlight w:val="none"/>
        </w:rPr>
        <w:t xml:space="preserve"> </w:t>
      </w:r>
      <w:r>
        <w:rPr>
          <w:rFonts w:hint="eastAsia" w:ascii="仿宋_GB2312" w:hAnsi="仿宋" w:eastAsia="仿宋_GB2312"/>
          <w:sz w:val="30"/>
          <w:szCs w:val="30"/>
          <w:highlight w:val="none"/>
        </w:rPr>
        <w:t>14885-20</w:t>
      </w:r>
      <w:r>
        <w:rPr>
          <w:rFonts w:ascii="仿宋_GB2312" w:hAnsi="仿宋" w:eastAsia="仿宋_GB2312"/>
          <w:sz w:val="30"/>
          <w:szCs w:val="30"/>
          <w:highlight w:val="none"/>
        </w:rPr>
        <w:t>22</w:t>
      </w:r>
      <w:r>
        <w:rPr>
          <w:rFonts w:hint="eastAsia" w:ascii="仿宋_GB2312" w:hAnsi="仿宋" w:eastAsia="仿宋_GB2312"/>
          <w:sz w:val="30"/>
          <w:szCs w:val="30"/>
          <w:highlight w:val="none"/>
        </w:rPr>
        <w:t>）提取资产分类“图书和档案（</w:t>
      </w:r>
      <w:r>
        <w:rPr>
          <w:rFonts w:ascii="仿宋_GB2312" w:hAnsi="仿宋" w:eastAsia="仿宋_GB2312"/>
          <w:sz w:val="30"/>
          <w:szCs w:val="30"/>
          <w:highlight w:val="none"/>
        </w:rPr>
        <w:t>A04000000</w:t>
      </w:r>
      <w:r>
        <w:rPr>
          <w:rFonts w:hint="eastAsia" w:ascii="仿宋_GB2312" w:hAnsi="仿宋" w:eastAsia="仿宋_GB2312"/>
          <w:sz w:val="30"/>
          <w:szCs w:val="30"/>
          <w:highlight w:val="none"/>
        </w:rPr>
        <w:t>）”下面的所有资产。图书和档案不计提折旧。</w:t>
      </w:r>
    </w:p>
    <w:p w14:paraId="6600E629">
      <w:pPr>
        <w:spacing w:line="360" w:lineRule="auto"/>
        <w:ind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14</w:t>
      </w:r>
      <w:r>
        <w:rPr>
          <w:rFonts w:ascii="仿宋_GB2312" w:hAnsi="仿宋" w:eastAsia="仿宋_GB2312"/>
          <w:sz w:val="30"/>
          <w:szCs w:val="30"/>
          <w:highlight w:val="none"/>
        </w:rPr>
        <w:t>.</w:t>
      </w:r>
      <w:r>
        <w:rPr>
          <w:rFonts w:hint="eastAsia" w:ascii="仿宋_GB2312" w:hAnsi="仿宋" w:eastAsia="仿宋_GB2312"/>
          <w:sz w:val="30"/>
          <w:szCs w:val="30"/>
          <w:highlight w:val="none"/>
        </w:rPr>
        <w:t>家具和用具：根据中华人民共和国国家标准《固定资产等资产基础分类与代码》（GB/T 14885-20</w:t>
      </w:r>
      <w:r>
        <w:rPr>
          <w:rFonts w:ascii="仿宋_GB2312" w:hAnsi="仿宋" w:eastAsia="仿宋_GB2312"/>
          <w:sz w:val="30"/>
          <w:szCs w:val="30"/>
          <w:highlight w:val="none"/>
        </w:rPr>
        <w:t>22</w:t>
      </w:r>
      <w:r>
        <w:rPr>
          <w:rFonts w:hint="eastAsia" w:ascii="仿宋_GB2312" w:hAnsi="仿宋" w:eastAsia="仿宋_GB2312"/>
          <w:sz w:val="30"/>
          <w:szCs w:val="30"/>
          <w:highlight w:val="none"/>
        </w:rPr>
        <w:t>）提取资产分类“家具和用具（</w:t>
      </w:r>
      <w:r>
        <w:rPr>
          <w:rFonts w:ascii="仿宋_GB2312" w:hAnsi="仿宋" w:eastAsia="仿宋_GB2312"/>
          <w:sz w:val="30"/>
          <w:szCs w:val="30"/>
          <w:highlight w:val="none"/>
        </w:rPr>
        <w:t>A05000000</w:t>
      </w:r>
      <w:r>
        <w:rPr>
          <w:rFonts w:hint="eastAsia" w:ascii="仿宋_GB2312" w:hAnsi="仿宋" w:eastAsia="仿宋_GB2312"/>
          <w:sz w:val="30"/>
          <w:szCs w:val="30"/>
          <w:highlight w:val="none"/>
        </w:rPr>
        <w:t>）”下面的所有资产。</w:t>
      </w:r>
    </w:p>
    <w:p w14:paraId="1438D99A">
      <w:pPr>
        <w:spacing w:line="360" w:lineRule="auto"/>
        <w:ind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15</w:t>
      </w:r>
      <w:r>
        <w:rPr>
          <w:rFonts w:ascii="仿宋_GB2312" w:hAnsi="仿宋" w:eastAsia="仿宋_GB2312"/>
          <w:sz w:val="30"/>
          <w:szCs w:val="30"/>
          <w:highlight w:val="none"/>
        </w:rPr>
        <w:t>.</w:t>
      </w:r>
      <w:r>
        <w:rPr>
          <w:rFonts w:hint="eastAsia" w:ascii="仿宋_GB2312" w:hAnsi="仿宋" w:eastAsia="仿宋_GB2312"/>
          <w:sz w:val="30"/>
          <w:szCs w:val="30"/>
          <w:highlight w:val="none"/>
        </w:rPr>
        <w:t>特种动植物：根据中华人民共和国国家标准《固定资产等资产基础分类与代码》（GB/T 14885-20</w:t>
      </w:r>
      <w:r>
        <w:rPr>
          <w:rFonts w:ascii="仿宋_GB2312" w:hAnsi="仿宋" w:eastAsia="仿宋_GB2312"/>
          <w:sz w:val="30"/>
          <w:szCs w:val="30"/>
          <w:highlight w:val="none"/>
        </w:rPr>
        <w:t>22</w:t>
      </w:r>
      <w:r>
        <w:rPr>
          <w:rFonts w:hint="eastAsia" w:ascii="仿宋_GB2312" w:hAnsi="仿宋" w:eastAsia="仿宋_GB2312"/>
          <w:sz w:val="30"/>
          <w:szCs w:val="30"/>
          <w:highlight w:val="none"/>
        </w:rPr>
        <w:t>）提取资产分类“特种动植物（A06000000）”下面的所有资产。动植物不计提折旧。</w:t>
      </w:r>
    </w:p>
    <w:p w14:paraId="395ECEA3">
      <w:pPr>
        <w:tabs>
          <w:tab w:val="left" w:pos="1305"/>
        </w:tabs>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16</w:t>
      </w:r>
      <w:r>
        <w:rPr>
          <w:rFonts w:ascii="仿宋_GB2312" w:hAnsi="仿宋" w:eastAsia="仿宋_GB2312"/>
          <w:sz w:val="30"/>
          <w:szCs w:val="30"/>
          <w:highlight w:val="none"/>
        </w:rPr>
        <w:t>.</w:t>
      </w:r>
      <w:r>
        <w:rPr>
          <w:rFonts w:hint="eastAsia" w:ascii="仿宋_GB2312" w:hAnsi="仿宋" w:eastAsia="仿宋_GB2312"/>
          <w:sz w:val="30"/>
          <w:szCs w:val="30"/>
          <w:highlight w:val="none"/>
        </w:rPr>
        <w:t>无形资产：填列单位控制的没有实物形态的可辨认非货币性资产，如专利权、商标权、著作权、土地使用权、非专利技术、数据等。使用年限不确定的无形资产不计提摊销。</w:t>
      </w:r>
    </w:p>
    <w:p w14:paraId="7EDFA444">
      <w:pPr>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17.数据资产：</w:t>
      </w:r>
      <w:r>
        <w:rPr>
          <w:rFonts w:hint="eastAsia" w:ascii="仿宋_GB2312" w:eastAsia="仿宋_GB2312"/>
          <w:kern w:val="0"/>
          <w:sz w:val="30"/>
          <w:szCs w:val="30"/>
          <w:highlight w:val="none"/>
        </w:rPr>
        <w:t>是指各级行政事业单位在依法履职或提供公共服务过程中持有或控制的，预期能够产生管理服务潜力或带来经济利益流入的数据资源。相关指标从</w:t>
      </w:r>
      <w:r>
        <w:rPr>
          <w:rFonts w:hint="eastAsia" w:ascii="仿宋_GB2312" w:eastAsia="仿宋_GB2312"/>
          <w:kern w:val="0"/>
          <w:sz w:val="30"/>
          <w:szCs w:val="30"/>
          <w:highlight w:val="none"/>
          <w:lang w:val="en-US" w:eastAsia="zh-CN"/>
        </w:rPr>
        <w:t>数据资产信息卡</w:t>
      </w:r>
      <w:r>
        <w:rPr>
          <w:rFonts w:hint="eastAsia" w:ascii="仿宋_GB2312" w:eastAsia="仿宋_GB2312"/>
          <w:kern w:val="0"/>
          <w:sz w:val="30"/>
          <w:szCs w:val="30"/>
          <w:highlight w:val="none"/>
        </w:rPr>
        <w:t>提取</w:t>
      </w:r>
      <w:r>
        <w:rPr>
          <w:rFonts w:hint="eastAsia" w:ascii="仿宋_GB2312" w:eastAsia="仿宋_GB2312"/>
          <w:kern w:val="0"/>
          <w:sz w:val="30"/>
          <w:szCs w:val="30"/>
          <w:highlight w:val="none"/>
          <w:lang w:eastAsia="zh-CN"/>
        </w:rPr>
        <w:t>，</w:t>
      </w:r>
      <w:r>
        <w:rPr>
          <w:rFonts w:hint="eastAsia" w:ascii="仿宋_GB2312" w:eastAsia="仿宋_GB2312"/>
          <w:kern w:val="0"/>
          <w:sz w:val="30"/>
          <w:szCs w:val="30"/>
          <w:highlight w:val="none"/>
          <w:lang w:val="en-US" w:eastAsia="zh-CN"/>
        </w:rPr>
        <w:t>即</w:t>
      </w:r>
      <w:r>
        <w:rPr>
          <w:rFonts w:hint="eastAsia" w:ascii="仿宋_GB2312" w:hAnsi="仿宋" w:eastAsia="仿宋_GB2312"/>
          <w:sz w:val="30"/>
          <w:szCs w:val="30"/>
          <w:highlight w:val="none"/>
        </w:rPr>
        <w:t>根据中华人民共和国国家标准《固定资产等资产基础分类与代码》（GB/T 14885-20</w:t>
      </w:r>
      <w:r>
        <w:rPr>
          <w:rFonts w:ascii="仿宋_GB2312" w:hAnsi="仿宋" w:eastAsia="仿宋_GB2312"/>
          <w:sz w:val="30"/>
          <w:szCs w:val="30"/>
          <w:highlight w:val="none"/>
        </w:rPr>
        <w:t>22</w:t>
      </w:r>
      <w:r>
        <w:rPr>
          <w:rFonts w:hint="eastAsia" w:ascii="仿宋_GB2312" w:hAnsi="仿宋" w:eastAsia="仿宋_GB2312"/>
          <w:sz w:val="30"/>
          <w:szCs w:val="30"/>
          <w:highlight w:val="none"/>
        </w:rPr>
        <w:t>）提取资产分类“数据（A08060200）”下面的所有资产。</w:t>
      </w:r>
    </w:p>
    <w:p w14:paraId="35756950">
      <w:pPr>
        <w:tabs>
          <w:tab w:val="left" w:pos="1305"/>
        </w:tabs>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18</w:t>
      </w:r>
      <w:r>
        <w:rPr>
          <w:rFonts w:ascii="仿宋_GB2312" w:hAnsi="仿宋" w:eastAsia="仿宋_GB2312"/>
          <w:sz w:val="30"/>
          <w:szCs w:val="30"/>
          <w:highlight w:val="none"/>
        </w:rPr>
        <w:t>.</w:t>
      </w:r>
      <w:r>
        <w:rPr>
          <w:rFonts w:hint="eastAsia" w:ascii="仿宋_GB2312" w:hAnsi="仿宋" w:eastAsia="仿宋_GB2312"/>
          <w:sz w:val="30"/>
          <w:szCs w:val="30"/>
          <w:highlight w:val="none"/>
        </w:rPr>
        <w:t>期初账面数</w:t>
      </w:r>
      <w:r>
        <w:rPr>
          <w:rFonts w:ascii="仿宋_GB2312" w:hAnsi="仿宋" w:eastAsia="仿宋_GB2312"/>
          <w:sz w:val="30"/>
          <w:szCs w:val="30"/>
          <w:highlight w:val="none"/>
        </w:rPr>
        <w:t>：</w:t>
      </w:r>
      <w:r>
        <w:rPr>
          <w:rFonts w:hint="eastAsia" w:ascii="仿宋_GB2312" w:hAnsi="仿宋" w:eastAsia="仿宋_GB2312"/>
          <w:sz w:val="30"/>
          <w:szCs w:val="30"/>
          <w:highlight w:val="none"/>
        </w:rPr>
        <w:t>反映</w:t>
      </w:r>
      <w:r>
        <w:rPr>
          <w:rFonts w:ascii="仿宋_GB2312" w:hAnsi="仿宋" w:eastAsia="仿宋_GB2312"/>
          <w:sz w:val="30"/>
          <w:szCs w:val="30"/>
          <w:highlight w:val="none"/>
        </w:rPr>
        <w:t>本年度各类固定</w:t>
      </w:r>
      <w:r>
        <w:rPr>
          <w:rFonts w:hint="eastAsia" w:ascii="仿宋_GB2312" w:hAnsi="仿宋" w:eastAsia="仿宋_GB2312"/>
          <w:sz w:val="30"/>
          <w:szCs w:val="30"/>
          <w:highlight w:val="none"/>
        </w:rPr>
        <w:t>和无形</w:t>
      </w:r>
      <w:r>
        <w:rPr>
          <w:rFonts w:ascii="仿宋_GB2312" w:hAnsi="仿宋" w:eastAsia="仿宋_GB2312"/>
          <w:sz w:val="30"/>
          <w:szCs w:val="30"/>
          <w:highlight w:val="none"/>
        </w:rPr>
        <w:t>资产</w:t>
      </w:r>
      <w:r>
        <w:rPr>
          <w:rFonts w:hint="eastAsia" w:ascii="仿宋_GB2312" w:hAnsi="仿宋" w:eastAsia="仿宋_GB2312"/>
          <w:sz w:val="30"/>
          <w:szCs w:val="30"/>
          <w:highlight w:val="none"/>
        </w:rPr>
        <w:t>的期初数量</w:t>
      </w:r>
      <w:r>
        <w:rPr>
          <w:rFonts w:ascii="仿宋_GB2312" w:hAnsi="仿宋" w:eastAsia="仿宋_GB2312"/>
          <w:sz w:val="30"/>
          <w:szCs w:val="30"/>
          <w:highlight w:val="none"/>
        </w:rPr>
        <w:t>和</w:t>
      </w:r>
      <w:r>
        <w:rPr>
          <w:rFonts w:hint="eastAsia" w:ascii="仿宋_GB2312" w:hAnsi="仿宋" w:eastAsia="仿宋_GB2312"/>
          <w:sz w:val="30"/>
          <w:szCs w:val="30"/>
          <w:highlight w:val="none"/>
        </w:rPr>
        <w:t>金额。</w:t>
      </w:r>
    </w:p>
    <w:p w14:paraId="6626C9CE">
      <w:pPr>
        <w:spacing w:line="360" w:lineRule="auto"/>
        <w:ind w:firstLine="576" w:firstLineChars="192"/>
        <w:rPr>
          <w:rFonts w:ascii="仿宋_GB2312" w:eastAsia="仿宋_GB2312"/>
          <w:kern w:val="0"/>
          <w:sz w:val="30"/>
          <w:szCs w:val="30"/>
          <w:highlight w:val="none"/>
        </w:rPr>
      </w:pPr>
      <w:r>
        <w:rPr>
          <w:rFonts w:hint="eastAsia" w:ascii="仿宋_GB2312" w:hAnsi="仿宋" w:eastAsia="仿宋_GB2312"/>
          <w:sz w:val="30"/>
          <w:szCs w:val="30"/>
          <w:highlight w:val="none"/>
        </w:rPr>
        <w:t>19</w:t>
      </w:r>
      <w:r>
        <w:rPr>
          <w:rFonts w:ascii="仿宋_GB2312" w:hAnsi="仿宋" w:eastAsia="仿宋_GB2312"/>
          <w:sz w:val="30"/>
          <w:szCs w:val="30"/>
          <w:highlight w:val="none"/>
        </w:rPr>
        <w:t>.</w:t>
      </w:r>
      <w:r>
        <w:rPr>
          <w:rFonts w:hint="eastAsia" w:ascii="仿宋_GB2312" w:hAnsi="仿宋" w:eastAsia="仿宋_GB2312"/>
          <w:sz w:val="30"/>
          <w:szCs w:val="30"/>
          <w:highlight w:val="none"/>
        </w:rPr>
        <w:t>期末账面数</w:t>
      </w:r>
      <w:r>
        <w:rPr>
          <w:rFonts w:ascii="仿宋_GB2312" w:hAnsi="仿宋" w:eastAsia="仿宋_GB2312"/>
          <w:sz w:val="30"/>
          <w:szCs w:val="30"/>
          <w:highlight w:val="none"/>
        </w:rPr>
        <w:t>：</w:t>
      </w:r>
      <w:r>
        <w:rPr>
          <w:rFonts w:hint="eastAsia" w:ascii="仿宋_GB2312" w:hAnsi="仿宋" w:eastAsia="仿宋_GB2312"/>
          <w:sz w:val="30"/>
          <w:szCs w:val="30"/>
          <w:highlight w:val="none"/>
        </w:rPr>
        <w:t>反映</w:t>
      </w:r>
      <w:r>
        <w:rPr>
          <w:rFonts w:ascii="仿宋_GB2312" w:hAnsi="仿宋" w:eastAsia="仿宋_GB2312"/>
          <w:sz w:val="30"/>
          <w:szCs w:val="30"/>
          <w:highlight w:val="none"/>
        </w:rPr>
        <w:t>本年度各类固定</w:t>
      </w:r>
      <w:r>
        <w:rPr>
          <w:rFonts w:hint="eastAsia" w:ascii="仿宋_GB2312" w:hAnsi="仿宋" w:eastAsia="仿宋_GB2312"/>
          <w:sz w:val="30"/>
          <w:szCs w:val="30"/>
          <w:highlight w:val="none"/>
        </w:rPr>
        <w:t>和无形</w:t>
      </w:r>
      <w:r>
        <w:rPr>
          <w:rFonts w:ascii="仿宋_GB2312" w:hAnsi="仿宋" w:eastAsia="仿宋_GB2312"/>
          <w:sz w:val="30"/>
          <w:szCs w:val="30"/>
          <w:highlight w:val="none"/>
        </w:rPr>
        <w:t>资产</w:t>
      </w:r>
      <w:r>
        <w:rPr>
          <w:rFonts w:hint="eastAsia" w:ascii="仿宋_GB2312" w:hAnsi="仿宋" w:eastAsia="仿宋_GB2312"/>
          <w:sz w:val="30"/>
          <w:szCs w:val="30"/>
          <w:highlight w:val="none"/>
        </w:rPr>
        <w:t>的期末数量和金额。</w:t>
      </w:r>
      <w:r>
        <w:rPr>
          <w:rFonts w:hint="eastAsia" w:ascii="仿宋_GB2312" w:eastAsia="仿宋_GB2312"/>
          <w:kern w:val="0"/>
          <w:sz w:val="30"/>
          <w:szCs w:val="30"/>
          <w:highlight w:val="none"/>
        </w:rPr>
        <w:t>根据卡片记录情况，分别按照在用、闲置、出租出借、待处置（待报废、毁损等）等资产状态提取相应数据。</w:t>
      </w:r>
    </w:p>
    <w:p w14:paraId="58D72F1A">
      <w:pPr>
        <w:spacing w:line="360" w:lineRule="auto"/>
        <w:ind w:firstLine="576" w:firstLineChars="192"/>
        <w:rPr>
          <w:rFonts w:ascii="仿宋_GB2312" w:eastAsia="仿宋_GB2312"/>
          <w:kern w:val="0"/>
          <w:sz w:val="30"/>
          <w:szCs w:val="30"/>
          <w:highlight w:val="none"/>
        </w:rPr>
      </w:pPr>
      <w:r>
        <w:rPr>
          <w:rFonts w:hint="eastAsia" w:ascii="仿宋_GB2312" w:eastAsia="仿宋_GB2312"/>
          <w:kern w:val="0"/>
          <w:sz w:val="30"/>
          <w:szCs w:val="30"/>
          <w:highlight w:val="none"/>
        </w:rPr>
        <w:t>（1）在用</w:t>
      </w:r>
      <w:r>
        <w:rPr>
          <w:rFonts w:hint="eastAsia" w:ascii="仿宋_GB2312" w:eastAsia="仿宋_GB2312"/>
          <w:kern w:val="0"/>
          <w:sz w:val="30"/>
          <w:szCs w:val="30"/>
          <w:highlight w:val="none"/>
          <w:lang w:eastAsia="zh-CN"/>
        </w:rPr>
        <w:t>：</w:t>
      </w:r>
      <w:r>
        <w:rPr>
          <w:rFonts w:hint="eastAsia" w:ascii="仿宋_GB2312" w:eastAsia="仿宋_GB2312"/>
          <w:kern w:val="0"/>
          <w:sz w:val="30"/>
          <w:szCs w:val="30"/>
          <w:highlight w:val="none"/>
        </w:rPr>
        <w:t>是指本单位占有的，且处于本单位使用状态的资产。</w:t>
      </w:r>
    </w:p>
    <w:p w14:paraId="4E1743D0">
      <w:pPr>
        <w:spacing w:line="360" w:lineRule="auto"/>
        <w:ind w:firstLine="576" w:firstLineChars="192"/>
        <w:rPr>
          <w:rFonts w:ascii="仿宋_GB2312" w:eastAsia="仿宋_GB2312"/>
          <w:kern w:val="0"/>
          <w:sz w:val="30"/>
          <w:szCs w:val="30"/>
          <w:highlight w:val="none"/>
        </w:rPr>
      </w:pPr>
      <w:r>
        <w:rPr>
          <w:rFonts w:hint="eastAsia" w:ascii="仿宋_GB2312" w:eastAsia="仿宋_GB2312"/>
          <w:kern w:val="0"/>
          <w:sz w:val="30"/>
          <w:szCs w:val="30"/>
          <w:highlight w:val="none"/>
        </w:rPr>
        <w:t>（2）出租出借：是指本单位让渡给其他单位使用，并签署相关租借协议的资产。</w:t>
      </w:r>
    </w:p>
    <w:p w14:paraId="3E08D00F">
      <w:pPr>
        <w:spacing w:line="360" w:lineRule="auto"/>
        <w:ind w:firstLine="576" w:firstLineChars="192"/>
        <w:rPr>
          <w:rFonts w:hint="eastAsia" w:ascii="仿宋_GB2312" w:eastAsia="仿宋_GB2312"/>
          <w:kern w:val="0"/>
          <w:sz w:val="30"/>
          <w:szCs w:val="30"/>
          <w:highlight w:val="none"/>
        </w:rPr>
      </w:pPr>
      <w:r>
        <w:rPr>
          <w:rFonts w:hint="eastAsia" w:ascii="仿宋_GB2312" w:eastAsia="仿宋_GB2312"/>
          <w:kern w:val="0"/>
          <w:sz w:val="30"/>
          <w:szCs w:val="30"/>
          <w:highlight w:val="none"/>
        </w:rPr>
        <w:t>（3）闲置：是指本年满足使用条件但未投入使用的资产。</w:t>
      </w:r>
    </w:p>
    <w:p w14:paraId="093187D5">
      <w:pPr>
        <w:spacing w:line="360" w:lineRule="auto"/>
        <w:ind w:firstLine="576" w:firstLineChars="192"/>
        <w:rPr>
          <w:rFonts w:hint="eastAsia" w:ascii="仿宋_GB2312" w:eastAsia="仿宋_GB2312"/>
          <w:kern w:val="0"/>
          <w:sz w:val="30"/>
          <w:szCs w:val="30"/>
          <w:highlight w:val="none"/>
          <w:lang w:val="en-US" w:eastAsia="zh-CN"/>
        </w:rPr>
      </w:pPr>
      <w:r>
        <w:rPr>
          <w:rFonts w:hint="eastAsia" w:ascii="仿宋_GB2312" w:eastAsia="仿宋_GB2312"/>
          <w:kern w:val="0"/>
          <w:sz w:val="30"/>
          <w:szCs w:val="30"/>
          <w:highlight w:val="none"/>
          <w:lang w:val="en-US" w:eastAsia="zh-CN"/>
        </w:rPr>
        <w:t>（4）其中：闲置时间超过一年（含）以上：非房屋类资产是指资产状态为“闲置”的资产，最新一次资产业务变动资产状态为“闲置”的时间，距2024年12月31日，超过365天的资产。</w:t>
      </w:r>
    </w:p>
    <w:p w14:paraId="04A6548B">
      <w:pPr>
        <w:spacing w:line="360" w:lineRule="auto"/>
        <w:ind w:firstLine="576" w:firstLineChars="192"/>
        <w:rPr>
          <w:rFonts w:hint="default" w:ascii="仿宋_GB2312" w:eastAsia="仿宋_GB2312"/>
          <w:kern w:val="0"/>
          <w:sz w:val="30"/>
          <w:szCs w:val="30"/>
          <w:highlight w:val="none"/>
          <w:lang w:val="en-US" w:eastAsia="zh-CN"/>
        </w:rPr>
      </w:pPr>
      <w:r>
        <w:rPr>
          <w:rFonts w:hint="eastAsia" w:ascii="仿宋_GB2312" w:eastAsia="仿宋_GB2312"/>
          <w:kern w:val="0"/>
          <w:sz w:val="30"/>
          <w:szCs w:val="30"/>
          <w:highlight w:val="none"/>
          <w:lang w:val="en-US" w:eastAsia="zh-CN"/>
        </w:rPr>
        <w:t>房屋类是指资产信息卡当前闲置面积不为0，且资产业务变动连续期间内闲置面积持续大于当前闲置面积的最早业务变动时间，距2024年12月31日，超过365天的资产。</w:t>
      </w:r>
    </w:p>
    <w:p w14:paraId="2496016F">
      <w:pPr>
        <w:spacing w:line="360" w:lineRule="auto"/>
        <w:ind w:firstLine="576" w:firstLineChars="192"/>
        <w:rPr>
          <w:rFonts w:hint="eastAsia" w:ascii="仿宋_GB2312" w:hAnsi="仿宋" w:eastAsia="仿宋_GB2312"/>
          <w:sz w:val="30"/>
          <w:szCs w:val="30"/>
          <w:highlight w:val="none"/>
        </w:rPr>
      </w:pPr>
      <w:r>
        <w:rPr>
          <w:rFonts w:hint="eastAsia" w:ascii="仿宋_GB2312" w:hAnsi="仿宋" w:eastAsia="仿宋_GB2312"/>
          <w:sz w:val="30"/>
          <w:szCs w:val="30"/>
          <w:highlight w:val="none"/>
        </w:rPr>
        <w:t>（</w:t>
      </w:r>
      <w:r>
        <w:rPr>
          <w:rFonts w:hint="eastAsia" w:ascii="仿宋_GB2312" w:hAnsi="仿宋" w:eastAsia="仿宋_GB2312"/>
          <w:sz w:val="30"/>
          <w:szCs w:val="30"/>
          <w:highlight w:val="none"/>
          <w:lang w:val="en-US" w:eastAsia="zh-CN"/>
        </w:rPr>
        <w:t>5</w:t>
      </w:r>
      <w:r>
        <w:rPr>
          <w:rFonts w:hint="eastAsia" w:ascii="仿宋_GB2312" w:hAnsi="仿宋" w:eastAsia="仿宋_GB2312"/>
          <w:sz w:val="30"/>
          <w:szCs w:val="30"/>
          <w:highlight w:val="none"/>
        </w:rPr>
        <w:t>）待处置（待报废、毁损等）：是指除在用、闲置、出租出借等以外的资产，如损毁、盘亏资产，处置流程中的资产，待报废资产，公车改革中取消待处置的车辆等。其中：</w:t>
      </w:r>
    </w:p>
    <w:p w14:paraId="034FC266">
      <w:pPr>
        <w:spacing w:line="360" w:lineRule="auto"/>
        <w:ind w:firstLine="576" w:firstLineChars="192"/>
        <w:rPr>
          <w:rFonts w:hint="eastAsia" w:ascii="仿宋_GB2312" w:hAnsi="仿宋" w:eastAsia="仿宋_GB2312"/>
          <w:sz w:val="30"/>
          <w:szCs w:val="30"/>
          <w:highlight w:val="none"/>
        </w:rPr>
      </w:pPr>
      <w:r>
        <w:rPr>
          <w:rFonts w:hint="eastAsia" w:ascii="仿宋_GB2312" w:hAnsi="仿宋" w:eastAsia="仿宋_GB2312"/>
          <w:sz w:val="30"/>
          <w:szCs w:val="30"/>
          <w:highlight w:val="none"/>
        </w:rPr>
        <w:t>报废是指按照有关规定或者经有关部门、专家鉴定，对因技术原因确需淘汰或者无法维修、无维修价值的国有资产，或者已超过使用年限且无法满足工作需要的国有资产，进行产权核销的国有资产处置行为；损失核销是指由于发生盘亏、毁损、非正常损失等原因，按照有关规定对国有资产损失进行核销的国有资产处置行为。</w:t>
      </w:r>
    </w:p>
    <w:p w14:paraId="586B319F">
      <w:pPr>
        <w:adjustRightInd w:val="0"/>
        <w:snapToGrid w:val="0"/>
        <w:spacing w:line="360" w:lineRule="auto"/>
        <w:ind w:firstLine="602" w:firstLineChars="200"/>
        <w:rPr>
          <w:rFonts w:hint="eastAsia" w:ascii="仿宋_GB2312" w:hAnsi="仿宋" w:eastAsia="仿宋_GB2312"/>
          <w:b/>
          <w:sz w:val="30"/>
          <w:szCs w:val="30"/>
          <w:highlight w:val="none"/>
        </w:rPr>
      </w:pPr>
      <w:r>
        <w:rPr>
          <w:rFonts w:hint="eastAsia" w:ascii="仿宋_GB2312" w:hAnsi="仿宋" w:eastAsia="仿宋_GB2312"/>
          <w:b/>
          <w:sz w:val="30"/>
          <w:szCs w:val="30"/>
          <w:highlight w:val="none"/>
        </w:rPr>
        <w:t>逻辑性审核公式：</w:t>
      </w:r>
    </w:p>
    <w:p w14:paraId="7E2C1956">
      <w:pPr>
        <w:adjustRightInd w:val="0"/>
        <w:snapToGrid w:val="0"/>
        <w:spacing w:line="360" w:lineRule="auto"/>
        <w:ind w:firstLine="602" w:firstLineChars="200"/>
        <w:rPr>
          <w:rFonts w:hint="eastAsia" w:ascii="仿宋_GB2312" w:hAnsi="仿宋" w:eastAsia="仿宋_GB2312"/>
          <w:b/>
          <w:sz w:val="30"/>
          <w:szCs w:val="30"/>
          <w:highlight w:val="none"/>
        </w:rPr>
      </w:pPr>
      <w:r>
        <w:rPr>
          <w:rFonts w:hint="eastAsia" w:ascii="仿宋_GB2312" w:hAnsi="仿宋" w:eastAsia="仿宋_GB2312"/>
          <w:b/>
          <w:sz w:val="30"/>
          <w:szCs w:val="30"/>
          <w:highlight w:val="none"/>
        </w:rPr>
        <w:t>表内公式：</w:t>
      </w:r>
    </w:p>
    <w:p w14:paraId="33CA2C91">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各行的净值=原值-累计折旧；</w:t>
      </w:r>
    </w:p>
    <w:p w14:paraId="5E291D29">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lang w:val="en-US" w:eastAsia="zh-CN"/>
        </w:rPr>
        <w:t>合计行（1行）等于固定资产（2行）与无形资产（20行）之和 ；</w:t>
      </w:r>
    </w:p>
    <w:p w14:paraId="12B28363">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固定资产（2行）</w:t>
      </w:r>
      <w:r>
        <w:rPr>
          <w:rFonts w:hint="eastAsia" w:ascii="仿宋_GB2312" w:hAnsi="仿宋" w:eastAsia="仿宋_GB2312"/>
          <w:sz w:val="30"/>
          <w:szCs w:val="30"/>
          <w:highlight w:val="none"/>
          <w:lang w:val="en-US" w:eastAsia="zh-CN"/>
        </w:rPr>
        <w:t>的原值、累计折旧、净值</w:t>
      </w:r>
      <w:r>
        <w:rPr>
          <w:rFonts w:hint="eastAsia" w:ascii="仿宋_GB2312" w:hAnsi="仿宋" w:eastAsia="仿宋_GB2312"/>
          <w:sz w:val="30"/>
          <w:szCs w:val="30"/>
          <w:highlight w:val="none"/>
        </w:rPr>
        <w:t>等于房屋和构筑物（3行）、设备（10行）、文物和陈列品（16行）、图书和档案（17行）、家具和用具（18行）、特种动植物（19行）</w:t>
      </w:r>
      <w:r>
        <w:rPr>
          <w:rFonts w:hint="eastAsia" w:ascii="仿宋_GB2312" w:hAnsi="仿宋" w:eastAsia="仿宋_GB2312"/>
          <w:sz w:val="30"/>
          <w:szCs w:val="30"/>
          <w:highlight w:val="none"/>
          <w:lang w:val="en-US" w:eastAsia="zh-CN"/>
        </w:rPr>
        <w:t>对应</w:t>
      </w:r>
      <w:r>
        <w:rPr>
          <w:rFonts w:hint="eastAsia" w:ascii="仿宋_GB2312" w:hAnsi="仿宋" w:eastAsia="仿宋_GB2312"/>
          <w:sz w:val="30"/>
          <w:szCs w:val="30"/>
          <w:highlight w:val="none"/>
        </w:rPr>
        <w:t>各项之和；</w:t>
      </w:r>
    </w:p>
    <w:p w14:paraId="33FDBA31">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房屋和构筑物（3行）的原值、累计折旧、净值分别应大于等于土地（4行）与房屋（5行）之和的原值、累计折旧、净值；</w:t>
      </w:r>
    </w:p>
    <w:p w14:paraId="03CB882A">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房屋（5行）面积应等于办公用房、业务用房、其他用房面积之和；</w:t>
      </w:r>
    </w:p>
    <w:p w14:paraId="51A58C91">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办公用房（6行）面积应大于等于其中：本单位实际使用办公室用房面积；</w:t>
      </w:r>
    </w:p>
    <w:p w14:paraId="34234197">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Wingdings" w:hAnsi="Wingdings" w:eastAsia="仿宋_GB2312"/>
          <w:sz w:val="30"/>
          <w:szCs w:val="30"/>
          <w:highlight w:val="none"/>
        </w:rPr>
        <w:t>设备（</w:t>
      </w:r>
      <w:r>
        <w:rPr>
          <w:rFonts w:hint="eastAsia" w:ascii="仿宋_GB2312" w:hAnsi="仿宋" w:eastAsia="仿宋_GB2312"/>
          <w:sz w:val="30"/>
          <w:szCs w:val="30"/>
          <w:highlight w:val="none"/>
        </w:rPr>
        <w:t>10行</w:t>
      </w:r>
      <w:r>
        <w:rPr>
          <w:rFonts w:hint="eastAsia" w:ascii="Wingdings" w:hAnsi="Wingdings" w:eastAsia="仿宋_GB2312"/>
          <w:sz w:val="30"/>
          <w:szCs w:val="30"/>
          <w:highlight w:val="none"/>
        </w:rPr>
        <w:t>）的数量、原值、累计折旧、净值应分别大于等于车辆与单价</w:t>
      </w:r>
      <w:r>
        <w:rPr>
          <w:rFonts w:hint="eastAsia" w:ascii="仿宋_GB2312" w:hAnsi="仿宋" w:eastAsia="仿宋_GB2312"/>
          <w:sz w:val="30"/>
          <w:szCs w:val="30"/>
          <w:highlight w:val="none"/>
        </w:rPr>
        <w:t>100</w:t>
      </w:r>
      <w:r>
        <w:rPr>
          <w:rFonts w:hint="eastAsia" w:ascii="Wingdings" w:hAnsi="Wingdings" w:eastAsia="仿宋_GB2312"/>
          <w:sz w:val="30"/>
          <w:szCs w:val="30"/>
          <w:highlight w:val="none"/>
        </w:rPr>
        <w:t>万（含）以上（不含车辆）之和的设备数量、原值、累计折旧、净值</w:t>
      </w:r>
      <w:r>
        <w:rPr>
          <w:rFonts w:hint="eastAsia" w:ascii="仿宋_GB2312" w:hAnsi="仿宋" w:eastAsia="仿宋_GB2312"/>
          <w:sz w:val="30"/>
          <w:szCs w:val="30"/>
          <w:highlight w:val="none"/>
        </w:rPr>
        <w:t>；</w:t>
      </w:r>
    </w:p>
    <w:p w14:paraId="5809A52C">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Wingdings" w:hAnsi="Wingdings" w:eastAsia="仿宋_GB2312"/>
          <w:sz w:val="30"/>
          <w:szCs w:val="30"/>
          <w:highlight w:val="none"/>
        </w:rPr>
        <w:t>单</w:t>
      </w:r>
      <w:r>
        <w:rPr>
          <w:rFonts w:hint="eastAsia" w:ascii="仿宋_GB2312" w:hAnsi="仿宋_GB2312" w:eastAsia="仿宋_GB2312" w:cs="仿宋_GB2312"/>
          <w:sz w:val="30"/>
          <w:szCs w:val="30"/>
          <w:highlight w:val="none"/>
        </w:rPr>
        <w:t>价</w:t>
      </w:r>
      <w:r>
        <w:rPr>
          <w:rFonts w:hint="eastAsia" w:ascii="仿宋_GB2312" w:hAnsi="仿宋_GB2312" w:eastAsia="仿宋_GB2312" w:cs="仿宋_GB2312"/>
          <w:sz w:val="30"/>
          <w:szCs w:val="30"/>
          <w:highlight w:val="none"/>
          <w:lang w:val="en-US" w:eastAsia="zh-CN"/>
        </w:rPr>
        <w:t>100</w:t>
      </w:r>
      <w:r>
        <w:rPr>
          <w:rFonts w:hint="eastAsia" w:ascii="仿宋_GB2312" w:hAnsi="仿宋_GB2312" w:eastAsia="仿宋_GB2312" w:cs="仿宋_GB2312"/>
          <w:sz w:val="30"/>
          <w:szCs w:val="30"/>
          <w:highlight w:val="none"/>
        </w:rPr>
        <w:t>万（含）以上（不含车辆）（1</w:t>
      </w:r>
      <w:r>
        <w:rPr>
          <w:rFonts w:hint="eastAsia" w:ascii="仿宋_GB2312" w:hAnsi="仿宋_GB2312" w:eastAsia="仿宋_GB2312" w:cs="仿宋_GB2312"/>
          <w:sz w:val="30"/>
          <w:szCs w:val="30"/>
          <w:highlight w:val="none"/>
          <w:lang w:val="en-US" w:eastAsia="zh-CN"/>
        </w:rPr>
        <w:t>2</w:t>
      </w:r>
      <w:r>
        <w:rPr>
          <w:rFonts w:hint="eastAsia" w:ascii="仿宋_GB2312" w:hAnsi="仿宋_GB2312" w:eastAsia="仿宋_GB2312" w:cs="仿宋_GB2312"/>
          <w:sz w:val="30"/>
          <w:szCs w:val="30"/>
          <w:highlight w:val="none"/>
        </w:rPr>
        <w:t>行）的数量、原值、累计折旧、净值</w:t>
      </w:r>
      <w:r>
        <w:rPr>
          <w:rFonts w:hint="eastAsia" w:ascii="Wingdings" w:hAnsi="Wingdings" w:eastAsia="仿宋_GB2312"/>
          <w:sz w:val="30"/>
          <w:szCs w:val="30"/>
          <w:highlight w:val="none"/>
        </w:rPr>
        <w:t>应分别大于等于</w:t>
      </w:r>
      <w:r>
        <w:rPr>
          <w:rFonts w:hint="eastAsia" w:ascii="Wingdings" w:hAnsi="Wingdings" w:eastAsia="仿宋_GB2312"/>
          <w:sz w:val="30"/>
          <w:szCs w:val="30"/>
          <w:highlight w:val="none"/>
          <w:lang w:val="en-US" w:eastAsia="zh-CN"/>
        </w:rPr>
        <w:t>科研设备</w:t>
      </w:r>
      <w:r>
        <w:rPr>
          <w:rFonts w:hint="eastAsia" w:ascii="Wingdings" w:hAnsi="Wingdings" w:eastAsia="仿宋_GB2312"/>
          <w:sz w:val="30"/>
          <w:szCs w:val="30"/>
          <w:highlight w:val="none"/>
        </w:rPr>
        <w:t>与</w:t>
      </w:r>
      <w:r>
        <w:rPr>
          <w:rFonts w:hint="eastAsia" w:ascii="Wingdings" w:hAnsi="Wingdings" w:eastAsia="仿宋_GB2312"/>
          <w:sz w:val="30"/>
          <w:szCs w:val="30"/>
          <w:highlight w:val="none"/>
          <w:lang w:val="en-US" w:eastAsia="zh-CN"/>
        </w:rPr>
        <w:t>医疗设备</w:t>
      </w:r>
      <w:r>
        <w:rPr>
          <w:rFonts w:hint="eastAsia" w:ascii="Wingdings" w:hAnsi="Wingdings" w:eastAsia="仿宋_GB2312"/>
          <w:sz w:val="30"/>
          <w:szCs w:val="30"/>
          <w:highlight w:val="none"/>
        </w:rPr>
        <w:t>之和的设备数量、原值、累计折旧、净值</w:t>
      </w:r>
      <w:r>
        <w:rPr>
          <w:rFonts w:hint="eastAsia" w:ascii="仿宋_GB2312" w:hAnsi="仿宋" w:eastAsia="仿宋_GB2312"/>
          <w:sz w:val="30"/>
          <w:szCs w:val="30"/>
          <w:highlight w:val="none"/>
        </w:rPr>
        <w:t>；</w:t>
      </w:r>
    </w:p>
    <w:p w14:paraId="4DBD7B1B">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Wingdings" w:hAnsi="Wingdings" w:eastAsia="仿宋_GB2312"/>
          <w:sz w:val="30"/>
          <w:szCs w:val="30"/>
          <w:highlight w:val="none"/>
          <w:lang w:val="en-US" w:eastAsia="zh-CN"/>
        </w:rPr>
        <w:t>科研设备</w:t>
      </w:r>
      <w:r>
        <w:rPr>
          <w:rFonts w:hint="eastAsia" w:ascii="仿宋_GB2312" w:hAnsi="仿宋_GB2312" w:eastAsia="仿宋_GB2312" w:cs="仿宋_GB2312"/>
          <w:sz w:val="30"/>
          <w:szCs w:val="30"/>
          <w:highlight w:val="none"/>
        </w:rPr>
        <w:t>（1</w:t>
      </w:r>
      <w:r>
        <w:rPr>
          <w:rFonts w:hint="eastAsia" w:ascii="仿宋_GB2312" w:hAnsi="仿宋_GB2312" w:eastAsia="仿宋_GB2312" w:cs="仿宋_GB2312"/>
          <w:sz w:val="30"/>
          <w:szCs w:val="30"/>
          <w:highlight w:val="none"/>
          <w:lang w:val="en-US" w:eastAsia="zh-CN"/>
        </w:rPr>
        <w:t>4</w:t>
      </w:r>
      <w:r>
        <w:rPr>
          <w:rFonts w:hint="eastAsia" w:ascii="仿宋_GB2312" w:hAnsi="仿宋_GB2312" w:eastAsia="仿宋_GB2312" w:cs="仿宋_GB2312"/>
          <w:sz w:val="30"/>
          <w:szCs w:val="30"/>
          <w:highlight w:val="none"/>
        </w:rPr>
        <w:t>行）的数量、原值、累计折旧、净值</w:t>
      </w:r>
      <w:r>
        <w:rPr>
          <w:rFonts w:hint="eastAsia" w:ascii="Wingdings" w:hAnsi="Wingdings" w:eastAsia="仿宋_GB2312"/>
          <w:sz w:val="30"/>
          <w:szCs w:val="30"/>
          <w:highlight w:val="none"/>
        </w:rPr>
        <w:t>应分别大于等于</w:t>
      </w:r>
      <w:r>
        <w:rPr>
          <w:rFonts w:hint="eastAsia" w:ascii="Wingdings" w:hAnsi="Wingdings" w:eastAsia="仿宋_GB2312"/>
          <w:sz w:val="30"/>
          <w:szCs w:val="30"/>
          <w:highlight w:val="none"/>
          <w:lang w:val="en-US" w:eastAsia="zh-CN"/>
        </w:rPr>
        <w:t>共享共用设备</w:t>
      </w:r>
      <w:r>
        <w:rPr>
          <w:rFonts w:hint="eastAsia" w:ascii="仿宋_GB2312" w:hAnsi="仿宋_GB2312" w:eastAsia="仿宋_GB2312" w:cs="仿宋_GB2312"/>
          <w:sz w:val="30"/>
          <w:szCs w:val="30"/>
          <w:highlight w:val="none"/>
          <w:lang w:val="en-US" w:eastAsia="zh-CN"/>
        </w:rPr>
        <w:t>（15行）</w:t>
      </w:r>
      <w:r>
        <w:rPr>
          <w:rFonts w:hint="eastAsia" w:ascii="仿宋_GB2312" w:hAnsi="仿宋_GB2312" w:eastAsia="仿宋_GB2312" w:cs="仿宋_GB2312"/>
          <w:sz w:val="30"/>
          <w:szCs w:val="30"/>
          <w:highlight w:val="none"/>
        </w:rPr>
        <w:t>数量、原值、累计折旧、净值；</w:t>
      </w:r>
    </w:p>
    <w:p w14:paraId="2830D77D">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无形资产（20行）原值、累计折旧、净值分别应大于等于专利、非专利技术、土地使用权、计算机软件、数据资产各项之和的原值、累计折旧、净值</w:t>
      </w:r>
      <w:r>
        <w:rPr>
          <w:rFonts w:ascii="仿宋_GB2312" w:hAnsi="仿宋" w:eastAsia="仿宋_GB2312"/>
          <w:sz w:val="30"/>
          <w:szCs w:val="30"/>
          <w:highlight w:val="none"/>
        </w:rPr>
        <w:t>；</w:t>
      </w:r>
    </w:p>
    <w:p w14:paraId="3C0EC774">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各行的期末账面数合计栏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数量、原值、累计折旧、净值应分别等于在用、出租出借、闲置、待处置栏之和的数量、原值、累计折旧、净值</w:t>
      </w:r>
      <w:r>
        <w:rPr>
          <w:rFonts w:hint="eastAsia" w:ascii="仿宋_GB2312" w:hAnsi="仿宋" w:eastAsia="仿宋_GB2312"/>
          <w:sz w:val="30"/>
          <w:szCs w:val="30"/>
          <w:highlight w:val="none"/>
          <w:lang w:eastAsia="zh-CN"/>
        </w:rPr>
        <w:t>；</w:t>
      </w:r>
    </w:p>
    <w:p w14:paraId="5F3DBAEE">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各行各栏应大于等于零；</w:t>
      </w:r>
    </w:p>
    <w:p w14:paraId="7E3246A6">
      <w:pPr>
        <w:numPr>
          <w:ilvl w:val="0"/>
          <w:numId w:val="2"/>
        </w:numPr>
        <w:adjustRightInd w:val="0"/>
        <w:snapToGrid w:val="0"/>
        <w:spacing w:line="360" w:lineRule="auto"/>
        <w:ind w:left="0" w:firstLine="600"/>
        <w:rPr>
          <w:rFonts w:hint="eastAsia" w:ascii="仿宋_GB2312" w:hAnsi="仿宋" w:eastAsia="仿宋_GB2312"/>
          <w:color w:val="auto"/>
          <w:sz w:val="30"/>
          <w:szCs w:val="30"/>
          <w:highlight w:val="none"/>
        </w:rPr>
      </w:pPr>
      <w:r>
        <w:rPr>
          <w:rFonts w:hint="eastAsia" w:ascii="仿宋_GB2312" w:hAnsi="仿宋" w:eastAsia="仿宋_GB2312"/>
          <w:color w:val="auto"/>
          <w:sz w:val="30"/>
          <w:szCs w:val="30"/>
          <w:highlight w:val="none"/>
        </w:rPr>
        <w:t>单价100万（含）以上（不含车辆）设备期末账面数合计栏的原值/数量应大于等于100万</w:t>
      </w:r>
      <w:r>
        <w:rPr>
          <w:rFonts w:hint="eastAsia" w:ascii="仿宋_GB2312" w:hAnsi="仿宋" w:eastAsia="仿宋_GB2312"/>
          <w:color w:val="auto"/>
          <w:sz w:val="30"/>
          <w:szCs w:val="30"/>
          <w:highlight w:val="none"/>
          <w:lang w:eastAsia="zh-CN"/>
        </w:rPr>
        <w:t>；</w:t>
      </w:r>
    </w:p>
    <w:p w14:paraId="5BF919AE">
      <w:pPr>
        <w:numPr>
          <w:ilvl w:val="0"/>
          <w:numId w:val="2"/>
        </w:numPr>
        <w:adjustRightInd w:val="0"/>
        <w:snapToGrid w:val="0"/>
        <w:spacing w:line="360" w:lineRule="auto"/>
        <w:ind w:left="0" w:firstLine="600"/>
        <w:rPr>
          <w:rFonts w:hint="eastAsia" w:ascii="仿宋_GB2312" w:hAnsi="仿宋" w:eastAsia="仿宋_GB2312"/>
          <w:color w:val="auto"/>
          <w:sz w:val="30"/>
          <w:szCs w:val="30"/>
          <w:highlight w:val="none"/>
        </w:rPr>
      </w:pPr>
      <w:r>
        <w:rPr>
          <w:rFonts w:hint="eastAsia" w:ascii="仿宋_GB2312" w:hAnsi="仿宋" w:eastAsia="仿宋_GB2312"/>
          <w:color w:val="auto"/>
          <w:sz w:val="30"/>
          <w:szCs w:val="30"/>
          <w:highlight w:val="none"/>
          <w:lang w:val="en-US" w:eastAsia="zh-CN"/>
        </w:rPr>
        <w:t>闲置原值（18栏）应大于等于闲置时间超过1年以上的原值（22栏）。</w:t>
      </w:r>
    </w:p>
    <w:p w14:paraId="1D10BCD6">
      <w:pPr>
        <w:adjustRightInd w:val="0"/>
        <w:snapToGrid w:val="0"/>
        <w:spacing w:line="360" w:lineRule="auto"/>
        <w:ind w:left="567"/>
        <w:rPr>
          <w:rFonts w:hint="eastAsia" w:ascii="仿宋_GB2312" w:hAnsi="仿宋" w:eastAsia="仿宋_GB2312"/>
          <w:b/>
          <w:color w:val="auto"/>
          <w:sz w:val="30"/>
          <w:szCs w:val="30"/>
          <w:highlight w:val="none"/>
        </w:rPr>
      </w:pPr>
      <w:r>
        <w:rPr>
          <w:rFonts w:hint="eastAsia" w:ascii="仿宋_GB2312" w:hAnsi="仿宋" w:eastAsia="仿宋_GB2312"/>
          <w:b/>
          <w:color w:val="auto"/>
          <w:sz w:val="30"/>
          <w:szCs w:val="30"/>
          <w:highlight w:val="none"/>
        </w:rPr>
        <w:t>表间</w:t>
      </w:r>
      <w:r>
        <w:rPr>
          <w:rFonts w:ascii="仿宋_GB2312" w:hAnsi="仿宋" w:eastAsia="仿宋_GB2312"/>
          <w:b/>
          <w:color w:val="auto"/>
          <w:sz w:val="30"/>
          <w:szCs w:val="30"/>
          <w:highlight w:val="none"/>
        </w:rPr>
        <w:t>公式：</w:t>
      </w:r>
    </w:p>
    <w:p w14:paraId="510C921F">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color w:val="auto"/>
          <w:sz w:val="30"/>
          <w:szCs w:val="30"/>
          <w:highlight w:val="none"/>
          <w:lang w:val="en-US" w:eastAsia="zh-CN"/>
        </w:rPr>
        <w:t>合计行（1行）原值、</w:t>
      </w:r>
      <w:r>
        <w:rPr>
          <w:rFonts w:hint="eastAsia" w:ascii="仿宋_GB2312" w:hAnsi="仿宋" w:eastAsia="仿宋_GB2312"/>
          <w:sz w:val="30"/>
          <w:szCs w:val="30"/>
          <w:highlight w:val="none"/>
          <w:lang w:val="en-US" w:eastAsia="zh-CN"/>
        </w:rPr>
        <w:t>累计折旧、净值的期初期末数分别等于</w:t>
      </w:r>
      <w:r>
        <w:rPr>
          <w:rFonts w:hint="eastAsia" w:ascii="仿宋_GB2312" w:hAnsi="仿宋" w:eastAsia="仿宋_GB2312"/>
          <w:sz w:val="30"/>
          <w:szCs w:val="30"/>
          <w:highlight w:val="none"/>
        </w:rPr>
        <w:t>财资01资产负债表</w:t>
      </w:r>
      <w:r>
        <w:rPr>
          <w:rFonts w:hint="eastAsia" w:ascii="仿宋_GB2312" w:hAnsi="仿宋" w:eastAsia="仿宋_GB2312"/>
          <w:sz w:val="30"/>
          <w:szCs w:val="30"/>
          <w:highlight w:val="none"/>
          <w:lang w:val="en-US" w:eastAsia="zh-CN"/>
        </w:rPr>
        <w:t>固定资产与无形资产的原值、累计折旧、净值的期初期末数之和</w:t>
      </w:r>
      <w:r>
        <w:rPr>
          <w:rFonts w:hint="eastAsia" w:ascii="仿宋_GB2312" w:hAnsi="仿宋" w:eastAsia="仿宋_GB2312"/>
          <w:sz w:val="30"/>
          <w:szCs w:val="30"/>
          <w:highlight w:val="none"/>
        </w:rPr>
        <w:t>；</w:t>
      </w:r>
    </w:p>
    <w:p w14:paraId="289C497C">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lang w:val="en-US" w:eastAsia="zh-CN"/>
        </w:rPr>
        <w:t>固定资产（2行）原值、累计折旧、净值的期初期末数分别等于</w:t>
      </w:r>
      <w:r>
        <w:rPr>
          <w:rFonts w:hint="eastAsia" w:ascii="仿宋_GB2312" w:hAnsi="仿宋" w:eastAsia="仿宋_GB2312"/>
          <w:sz w:val="30"/>
          <w:szCs w:val="30"/>
          <w:highlight w:val="none"/>
        </w:rPr>
        <w:t>财资01资产负债表</w:t>
      </w:r>
      <w:r>
        <w:rPr>
          <w:rFonts w:hint="eastAsia" w:ascii="仿宋_GB2312" w:hAnsi="仿宋" w:eastAsia="仿宋_GB2312"/>
          <w:sz w:val="30"/>
          <w:szCs w:val="30"/>
          <w:highlight w:val="none"/>
          <w:lang w:val="en-US" w:eastAsia="zh-CN"/>
        </w:rPr>
        <w:t>固定资产原值、累计折旧、净值的期初期末数</w:t>
      </w:r>
      <w:r>
        <w:rPr>
          <w:rFonts w:hint="eastAsia" w:ascii="仿宋_GB2312" w:hAnsi="仿宋" w:eastAsia="仿宋_GB2312"/>
          <w:sz w:val="30"/>
          <w:szCs w:val="30"/>
          <w:highlight w:val="none"/>
        </w:rPr>
        <w:t>；</w:t>
      </w:r>
    </w:p>
    <w:p w14:paraId="5D12B02B">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单户表封面</w:t>
      </w:r>
      <w:r>
        <w:rPr>
          <w:rFonts w:hint="eastAsia" w:ascii="仿宋_GB2312" w:hAnsi="仿宋" w:eastAsia="仿宋_GB2312"/>
          <w:sz w:val="30"/>
          <w:szCs w:val="30"/>
          <w:highlight w:val="none"/>
          <w:lang w:eastAsia="zh-CN"/>
        </w:rPr>
        <w:t>预算级次</w:t>
      </w:r>
      <w:r>
        <w:rPr>
          <w:rFonts w:hint="eastAsia" w:ascii="仿宋_GB2312" w:hAnsi="仿宋" w:eastAsia="仿宋_GB2312"/>
          <w:sz w:val="30"/>
          <w:szCs w:val="30"/>
          <w:highlight w:val="none"/>
        </w:rPr>
        <w:t>为省级、</w:t>
      </w:r>
      <w:r>
        <w:rPr>
          <w:rFonts w:hint="eastAsia" w:ascii="仿宋_GB2312" w:hAnsi="仿宋" w:eastAsia="仿宋_GB2312"/>
          <w:sz w:val="30"/>
          <w:szCs w:val="30"/>
          <w:highlight w:val="none"/>
          <w:lang w:val="en-US" w:eastAsia="zh-CN"/>
        </w:rPr>
        <w:t>计划单列市、</w:t>
      </w:r>
      <w:r>
        <w:rPr>
          <w:rFonts w:hint="eastAsia" w:ascii="仿宋_GB2312" w:hAnsi="仿宋" w:eastAsia="仿宋_GB2312"/>
          <w:sz w:val="30"/>
          <w:szCs w:val="30"/>
          <w:highlight w:val="none"/>
        </w:rPr>
        <w:t>市级、县</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区</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级、乡级时，</w:t>
      </w:r>
      <w:r>
        <w:rPr>
          <w:rFonts w:hint="eastAsia" w:ascii="仿宋_GB2312" w:hAnsi="仿宋" w:eastAsia="仿宋_GB2312"/>
          <w:sz w:val="30"/>
          <w:szCs w:val="30"/>
          <w:highlight w:val="none"/>
          <w:lang w:val="en-US" w:eastAsia="zh-CN"/>
        </w:rPr>
        <w:t>不应存在固定资产土地，故固定资产土地（4行）应为零</w:t>
      </w:r>
      <w:r>
        <w:rPr>
          <w:rFonts w:hint="eastAsia" w:ascii="仿宋_GB2312" w:hAnsi="仿宋" w:eastAsia="仿宋_GB2312"/>
          <w:sz w:val="30"/>
          <w:szCs w:val="30"/>
          <w:highlight w:val="none"/>
        </w:rPr>
        <w:t>；</w:t>
      </w:r>
    </w:p>
    <w:p w14:paraId="57176DED">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lang w:val="en-US" w:eastAsia="zh-CN"/>
        </w:rPr>
        <w:t>固定资产土地（4行）期末账面数量、原值、累计折旧、净值（</w:t>
      </w:r>
      <w:r>
        <w:rPr>
          <w:rFonts w:ascii="仿宋_GB2312" w:hAnsi="仿宋" w:eastAsia="仿宋_GB2312"/>
          <w:sz w:val="30"/>
          <w:szCs w:val="30"/>
          <w:highlight w:val="none"/>
        </w:rPr>
        <w:t>5~8栏</w:t>
      </w:r>
      <w:r>
        <w:rPr>
          <w:rFonts w:hint="eastAsia" w:ascii="仿宋_GB2312" w:hAnsi="仿宋" w:eastAsia="仿宋_GB2312"/>
          <w:sz w:val="30"/>
          <w:szCs w:val="30"/>
          <w:highlight w:val="none"/>
          <w:lang w:val="en-US" w:eastAsia="zh-CN"/>
        </w:rPr>
        <w:t>）应等于</w:t>
      </w:r>
      <w:r>
        <w:rPr>
          <w:rFonts w:hint="eastAsia" w:ascii="仿宋_GB2312" w:hAnsi="仿宋" w:eastAsia="仿宋_GB2312"/>
          <w:sz w:val="30"/>
          <w:szCs w:val="30"/>
          <w:highlight w:val="none"/>
        </w:rPr>
        <w:t>财资04土地情况表中资产分类为固定资产分类下土地的浮动行</w:t>
      </w:r>
      <w:r>
        <w:rPr>
          <w:rFonts w:hint="eastAsia" w:ascii="仿宋_GB2312" w:hAnsi="仿宋" w:eastAsia="仿宋_GB2312"/>
          <w:sz w:val="30"/>
          <w:szCs w:val="30"/>
          <w:highlight w:val="none"/>
          <w:lang w:val="en-US" w:eastAsia="zh-CN"/>
        </w:rPr>
        <w:t>对应栏（</w:t>
      </w:r>
      <w:r>
        <w:rPr>
          <w:rFonts w:ascii="仿宋_GB2312" w:hAnsi="仿宋" w:eastAsia="仿宋_GB2312"/>
          <w:sz w:val="30"/>
          <w:szCs w:val="30"/>
          <w:highlight w:val="none"/>
        </w:rPr>
        <w:t>11、16~18栏</w:t>
      </w:r>
      <w:r>
        <w:rPr>
          <w:rFonts w:hint="eastAsia" w:ascii="仿宋_GB2312" w:hAnsi="仿宋" w:eastAsia="仿宋_GB2312"/>
          <w:sz w:val="30"/>
          <w:szCs w:val="30"/>
          <w:highlight w:val="none"/>
          <w:lang w:val="en-US" w:eastAsia="zh-CN"/>
        </w:rPr>
        <w:t>）</w:t>
      </w:r>
      <w:r>
        <w:rPr>
          <w:rFonts w:hint="eastAsia" w:ascii="仿宋_GB2312" w:hAnsi="仿宋" w:eastAsia="仿宋_GB2312"/>
          <w:sz w:val="30"/>
          <w:szCs w:val="30"/>
          <w:highlight w:val="none"/>
        </w:rPr>
        <w:t>之和</w:t>
      </w:r>
      <w:r>
        <w:rPr>
          <w:rFonts w:ascii="仿宋_GB2312" w:hAnsi="仿宋" w:eastAsia="仿宋_GB2312"/>
          <w:sz w:val="30"/>
          <w:szCs w:val="30"/>
          <w:highlight w:val="none"/>
        </w:rPr>
        <w:t>；</w:t>
      </w:r>
    </w:p>
    <w:p w14:paraId="5A4F0AB2">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lang w:val="en-US" w:eastAsia="zh-CN"/>
        </w:rPr>
        <w:t>无形资产土地使用权的期末数量、原值、累计折旧、净值应分别等于财资04土地情况表</w:t>
      </w:r>
      <w:r>
        <w:rPr>
          <w:rFonts w:hint="eastAsia" w:ascii="仿宋_GB2312" w:hAnsi="仿宋" w:eastAsia="仿宋_GB2312"/>
          <w:sz w:val="30"/>
          <w:szCs w:val="30"/>
          <w:highlight w:val="none"/>
        </w:rPr>
        <w:t>中</w:t>
      </w:r>
      <w:r>
        <w:rPr>
          <w:rFonts w:hint="eastAsia" w:ascii="仿宋_GB2312" w:hAnsi="仿宋" w:eastAsia="仿宋_GB2312"/>
          <w:sz w:val="30"/>
          <w:szCs w:val="30"/>
          <w:highlight w:val="none"/>
          <w:lang w:val="en-US" w:eastAsia="zh-CN"/>
        </w:rPr>
        <w:t>资产分类为无形资产土地使用权的浮动行对应栏（11、16~18栏）之</w:t>
      </w:r>
      <w:r>
        <w:rPr>
          <w:rFonts w:hint="eastAsia" w:ascii="仿宋_GB2312" w:hAnsi="仿宋" w:eastAsia="仿宋_GB2312"/>
          <w:sz w:val="30"/>
          <w:szCs w:val="30"/>
          <w:highlight w:val="none"/>
        </w:rPr>
        <w:t>和</w:t>
      </w:r>
      <w:r>
        <w:rPr>
          <w:rFonts w:ascii="仿宋_GB2312" w:hAnsi="仿宋" w:eastAsia="仿宋_GB2312"/>
          <w:sz w:val="30"/>
          <w:szCs w:val="30"/>
          <w:highlight w:val="none"/>
        </w:rPr>
        <w:t>；</w:t>
      </w:r>
    </w:p>
    <w:p w14:paraId="051D5E3B">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lang w:val="en-US" w:eastAsia="zh-CN"/>
        </w:rPr>
        <w:t>房屋的期末数量、原值、累计折旧、净值应分别等于财资05房屋情况表</w:t>
      </w:r>
      <w:r>
        <w:rPr>
          <w:rFonts w:hint="eastAsia" w:ascii="仿宋_GB2312" w:hAnsi="仿宋" w:eastAsia="仿宋_GB2312"/>
          <w:sz w:val="30"/>
          <w:szCs w:val="30"/>
          <w:highlight w:val="none"/>
        </w:rPr>
        <w:t>“本单位房屋小计”行</w:t>
      </w:r>
      <w:r>
        <w:rPr>
          <w:rFonts w:hint="eastAsia" w:ascii="仿宋_GB2312" w:hAnsi="仿宋" w:eastAsia="仿宋_GB2312"/>
          <w:sz w:val="30"/>
          <w:szCs w:val="30"/>
          <w:highlight w:val="none"/>
          <w:lang w:val="en-US" w:eastAsia="zh-CN"/>
        </w:rPr>
        <w:t>的对应栏（</w:t>
      </w:r>
      <w:r>
        <w:rPr>
          <w:rFonts w:ascii="仿宋_GB2312" w:hAnsi="仿宋" w:eastAsia="仿宋_GB2312"/>
          <w:sz w:val="30"/>
          <w:szCs w:val="30"/>
          <w:highlight w:val="none"/>
        </w:rPr>
        <w:t>12、33~35栏</w:t>
      </w:r>
      <w:r>
        <w:rPr>
          <w:rFonts w:hint="eastAsia" w:ascii="仿宋_GB2312" w:hAnsi="仿宋" w:eastAsia="仿宋_GB2312"/>
          <w:sz w:val="30"/>
          <w:szCs w:val="30"/>
          <w:highlight w:val="none"/>
          <w:lang w:val="en-US" w:eastAsia="zh-CN"/>
        </w:rPr>
        <w:t>）之和</w:t>
      </w:r>
      <w:r>
        <w:rPr>
          <w:rFonts w:ascii="仿宋_GB2312" w:hAnsi="仿宋" w:eastAsia="仿宋_GB2312"/>
          <w:sz w:val="30"/>
          <w:szCs w:val="30"/>
          <w:highlight w:val="none"/>
        </w:rPr>
        <w:t>；</w:t>
      </w:r>
    </w:p>
    <w:p w14:paraId="79D056C0">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lang w:val="en-US" w:eastAsia="zh-CN"/>
        </w:rPr>
        <w:t>办公用房的期末数量应等于财资05房屋情况表</w:t>
      </w:r>
      <w:r>
        <w:rPr>
          <w:rFonts w:hint="eastAsia" w:ascii="仿宋_GB2312" w:hAnsi="仿宋" w:eastAsia="仿宋_GB2312"/>
          <w:sz w:val="30"/>
          <w:szCs w:val="30"/>
          <w:highlight w:val="none"/>
        </w:rPr>
        <w:t>“本单位房屋小计”行</w:t>
      </w:r>
      <w:r>
        <w:rPr>
          <w:rFonts w:hint="eastAsia" w:ascii="仿宋_GB2312" w:hAnsi="仿宋" w:eastAsia="仿宋_GB2312"/>
          <w:sz w:val="30"/>
          <w:szCs w:val="30"/>
          <w:highlight w:val="none"/>
          <w:lang w:val="en-US" w:eastAsia="zh-CN"/>
        </w:rPr>
        <w:t>办公用房的面积小计栏（17栏）</w:t>
      </w:r>
      <w:r>
        <w:rPr>
          <w:rFonts w:ascii="仿宋_GB2312" w:hAnsi="仿宋" w:eastAsia="仿宋_GB2312"/>
          <w:sz w:val="30"/>
          <w:szCs w:val="30"/>
          <w:highlight w:val="none"/>
        </w:rPr>
        <w:t>；</w:t>
      </w:r>
    </w:p>
    <w:p w14:paraId="6C84D176">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lang w:val="en-US" w:eastAsia="zh-CN"/>
        </w:rPr>
        <w:t>本单位实际使用办公室用房的期末数量应等于财资05房屋情况表</w:t>
      </w:r>
      <w:r>
        <w:rPr>
          <w:rFonts w:hint="eastAsia" w:ascii="仿宋_GB2312" w:hAnsi="仿宋" w:eastAsia="仿宋_GB2312"/>
          <w:sz w:val="30"/>
          <w:szCs w:val="30"/>
          <w:highlight w:val="none"/>
        </w:rPr>
        <w:t>“本单位房屋小计”行</w:t>
      </w:r>
      <w:r>
        <w:rPr>
          <w:rFonts w:hint="eastAsia" w:ascii="仿宋_GB2312" w:hAnsi="仿宋" w:eastAsia="仿宋_GB2312"/>
          <w:sz w:val="30"/>
          <w:szCs w:val="30"/>
          <w:highlight w:val="none"/>
          <w:lang w:val="en-US" w:eastAsia="zh-CN"/>
        </w:rPr>
        <w:t>本单位实际使用办公室用房的面积小计栏（22栏）</w:t>
      </w:r>
      <w:r>
        <w:rPr>
          <w:rFonts w:ascii="仿宋_GB2312" w:hAnsi="仿宋" w:eastAsia="仿宋_GB2312"/>
          <w:sz w:val="30"/>
          <w:szCs w:val="30"/>
          <w:highlight w:val="none"/>
        </w:rPr>
        <w:t>；</w:t>
      </w:r>
    </w:p>
    <w:p w14:paraId="20136345">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lang w:val="en-US" w:eastAsia="zh-CN"/>
        </w:rPr>
        <w:t>业务用房的期末数量应等于财资05房屋情况表</w:t>
      </w:r>
      <w:r>
        <w:rPr>
          <w:rFonts w:hint="eastAsia" w:ascii="仿宋_GB2312" w:hAnsi="仿宋" w:eastAsia="仿宋_GB2312"/>
          <w:sz w:val="30"/>
          <w:szCs w:val="30"/>
          <w:highlight w:val="none"/>
        </w:rPr>
        <w:t>“本单位房屋小计”行</w:t>
      </w:r>
      <w:r>
        <w:rPr>
          <w:rFonts w:hint="eastAsia" w:ascii="仿宋_GB2312" w:hAnsi="仿宋" w:eastAsia="仿宋_GB2312"/>
          <w:sz w:val="30"/>
          <w:szCs w:val="30"/>
          <w:highlight w:val="none"/>
          <w:lang w:val="en-US" w:eastAsia="zh-CN"/>
        </w:rPr>
        <w:t>业务用房的面积小计栏（23栏）</w:t>
      </w:r>
      <w:r>
        <w:rPr>
          <w:rFonts w:ascii="仿宋_GB2312" w:hAnsi="仿宋" w:eastAsia="仿宋_GB2312"/>
          <w:sz w:val="30"/>
          <w:szCs w:val="30"/>
          <w:highlight w:val="none"/>
        </w:rPr>
        <w:t>；</w:t>
      </w:r>
    </w:p>
    <w:p w14:paraId="114A9579">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lang w:val="en-US" w:eastAsia="zh-CN"/>
        </w:rPr>
        <w:t>其他用房的期末数量应等于财资05房屋情况表</w:t>
      </w:r>
      <w:r>
        <w:rPr>
          <w:rFonts w:hint="eastAsia" w:ascii="仿宋_GB2312" w:hAnsi="仿宋" w:eastAsia="仿宋_GB2312"/>
          <w:sz w:val="30"/>
          <w:szCs w:val="30"/>
          <w:highlight w:val="none"/>
        </w:rPr>
        <w:t>“本单位房屋小计”行</w:t>
      </w:r>
      <w:r>
        <w:rPr>
          <w:rFonts w:hint="eastAsia" w:ascii="仿宋_GB2312" w:hAnsi="仿宋" w:eastAsia="仿宋_GB2312"/>
          <w:sz w:val="30"/>
          <w:szCs w:val="30"/>
          <w:highlight w:val="none"/>
          <w:lang w:val="en-US" w:eastAsia="zh-CN"/>
        </w:rPr>
        <w:t>其他用房的面积小计栏（28栏）</w:t>
      </w:r>
      <w:r>
        <w:rPr>
          <w:rFonts w:ascii="仿宋_GB2312" w:hAnsi="仿宋" w:eastAsia="仿宋_GB2312"/>
          <w:sz w:val="30"/>
          <w:szCs w:val="30"/>
          <w:highlight w:val="none"/>
        </w:rPr>
        <w:t>；</w:t>
      </w:r>
    </w:p>
    <w:p w14:paraId="05127968">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lang w:val="en-US" w:eastAsia="zh-CN"/>
        </w:rPr>
        <w:t>车辆期末的数量、原值、累计折旧、净值分别等于</w:t>
      </w:r>
      <w:r>
        <w:rPr>
          <w:rFonts w:hint="eastAsia" w:ascii="仿宋_GB2312" w:hAnsi="仿宋" w:eastAsia="仿宋_GB2312"/>
          <w:sz w:val="30"/>
          <w:szCs w:val="30"/>
          <w:highlight w:val="none"/>
        </w:rPr>
        <w:t>财资06车辆情况表车辆明细数量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原值、累计折旧、净值之和</w:t>
      </w:r>
      <w:r>
        <w:rPr>
          <w:rFonts w:hint="eastAsia" w:ascii="仿宋_GB2312" w:hAnsi="仿宋" w:eastAsia="仿宋_GB2312"/>
          <w:sz w:val="30"/>
          <w:szCs w:val="30"/>
          <w:highlight w:val="none"/>
        </w:rPr>
        <w:t>；</w:t>
      </w:r>
    </w:p>
    <w:p w14:paraId="3DDE1AB4">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lang w:val="en-US" w:eastAsia="zh-CN"/>
        </w:rPr>
        <w:t>无形资产（20行）原值、累计折旧、净值的期初期末数分别等于</w:t>
      </w:r>
      <w:r>
        <w:rPr>
          <w:rFonts w:hint="eastAsia" w:ascii="仿宋_GB2312" w:hAnsi="仿宋" w:eastAsia="仿宋_GB2312"/>
          <w:sz w:val="30"/>
          <w:szCs w:val="30"/>
          <w:highlight w:val="none"/>
        </w:rPr>
        <w:t>财资01资产负债表</w:t>
      </w:r>
      <w:r>
        <w:rPr>
          <w:rFonts w:hint="eastAsia" w:ascii="仿宋_GB2312" w:hAnsi="仿宋" w:eastAsia="仿宋_GB2312"/>
          <w:sz w:val="30"/>
          <w:szCs w:val="30"/>
          <w:highlight w:val="none"/>
          <w:lang w:val="en-US" w:eastAsia="zh-CN"/>
        </w:rPr>
        <w:t>无形资产原值、累计折旧、净值的期初期末数</w:t>
      </w:r>
      <w:r>
        <w:rPr>
          <w:rFonts w:hint="eastAsia" w:ascii="仿宋_GB2312" w:hAnsi="仿宋" w:eastAsia="仿宋_GB2312"/>
          <w:sz w:val="30"/>
          <w:szCs w:val="30"/>
          <w:highlight w:val="none"/>
        </w:rPr>
        <w:t>；</w:t>
      </w:r>
    </w:p>
    <w:p w14:paraId="7F6F1B18">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无形资产中土地使用权的出租出借数量（面积）应等于财资09</w:t>
      </w:r>
      <w:r>
        <w:rPr>
          <w:rFonts w:hint="eastAsia" w:ascii="仿宋_GB2312" w:hAnsi="仿宋" w:eastAsia="仿宋_GB2312"/>
          <w:sz w:val="30"/>
          <w:szCs w:val="30"/>
          <w:highlight w:val="none"/>
          <w:lang w:val="en-US" w:eastAsia="zh-CN"/>
        </w:rPr>
        <w:t>出租出借情况</w:t>
      </w:r>
      <w:r>
        <w:rPr>
          <w:rFonts w:hint="eastAsia" w:ascii="仿宋_GB2312" w:hAnsi="仿宋" w:eastAsia="仿宋_GB2312"/>
          <w:sz w:val="30"/>
          <w:szCs w:val="30"/>
          <w:highlight w:val="none"/>
        </w:rPr>
        <w:t>表中出租出借结束日期大于等于2024年12月31日的无形资产中土地使用权的出租出借数量（面积）之和；</w:t>
      </w:r>
    </w:p>
    <w:p w14:paraId="41DE383C">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固定资产下的土地的出租出借数量（面积）应等于财资09</w:t>
      </w:r>
      <w:r>
        <w:rPr>
          <w:rFonts w:hint="eastAsia" w:ascii="仿宋_GB2312" w:hAnsi="仿宋" w:eastAsia="仿宋_GB2312"/>
          <w:sz w:val="30"/>
          <w:szCs w:val="30"/>
          <w:highlight w:val="none"/>
          <w:lang w:val="en-US" w:eastAsia="zh-CN"/>
        </w:rPr>
        <w:t>出租出借情况</w:t>
      </w:r>
      <w:r>
        <w:rPr>
          <w:rFonts w:hint="eastAsia" w:ascii="仿宋_GB2312" w:hAnsi="仿宋" w:eastAsia="仿宋_GB2312"/>
          <w:sz w:val="30"/>
          <w:szCs w:val="30"/>
          <w:highlight w:val="none"/>
        </w:rPr>
        <w:t>表中出租出借结束日期大于等于2024年12月31日固定资产项下的土地的出租出借数量（面积）之和；</w:t>
      </w:r>
    </w:p>
    <w:p w14:paraId="085682A3">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房屋的出租出借数量（面积）应等于财资09</w:t>
      </w:r>
      <w:r>
        <w:rPr>
          <w:rFonts w:hint="eastAsia" w:ascii="仿宋_GB2312" w:hAnsi="仿宋" w:eastAsia="仿宋_GB2312"/>
          <w:sz w:val="30"/>
          <w:szCs w:val="30"/>
          <w:highlight w:val="none"/>
          <w:lang w:val="en-US" w:eastAsia="zh-CN"/>
        </w:rPr>
        <w:t>出租出借情况</w:t>
      </w:r>
      <w:r>
        <w:rPr>
          <w:rFonts w:hint="eastAsia" w:ascii="仿宋_GB2312" w:hAnsi="仿宋" w:eastAsia="仿宋_GB2312"/>
          <w:sz w:val="30"/>
          <w:szCs w:val="30"/>
          <w:highlight w:val="none"/>
        </w:rPr>
        <w:t>表中出租出借结束日期大于等于2024年12月31日房屋的出租出借数量（面积）之和；</w:t>
      </w:r>
    </w:p>
    <w:p w14:paraId="0A6AEB53">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办公用房的出租出借数量（面积）应等于财资09</w:t>
      </w:r>
      <w:r>
        <w:rPr>
          <w:rFonts w:hint="eastAsia" w:ascii="仿宋_GB2312" w:hAnsi="仿宋" w:eastAsia="仿宋_GB2312"/>
          <w:sz w:val="30"/>
          <w:szCs w:val="30"/>
          <w:highlight w:val="none"/>
          <w:lang w:val="en-US" w:eastAsia="zh-CN"/>
        </w:rPr>
        <w:t>出租出借情况</w:t>
      </w:r>
      <w:r>
        <w:rPr>
          <w:rFonts w:hint="eastAsia" w:ascii="仿宋_GB2312" w:hAnsi="仿宋" w:eastAsia="仿宋_GB2312"/>
          <w:sz w:val="30"/>
          <w:szCs w:val="30"/>
          <w:highlight w:val="none"/>
        </w:rPr>
        <w:t>表中出租出借结束日期大于等于2024年12月31日的办公用房的出租出借数量（面积）之和；</w:t>
      </w:r>
    </w:p>
    <w:p w14:paraId="3915B250">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业务用房的出租出借数量（面积）应等于财资09</w:t>
      </w:r>
      <w:r>
        <w:rPr>
          <w:rFonts w:hint="eastAsia" w:ascii="仿宋_GB2312" w:hAnsi="仿宋" w:eastAsia="仿宋_GB2312"/>
          <w:sz w:val="30"/>
          <w:szCs w:val="30"/>
          <w:highlight w:val="none"/>
          <w:lang w:val="en-US" w:eastAsia="zh-CN"/>
        </w:rPr>
        <w:t>出租出借情况</w:t>
      </w:r>
      <w:r>
        <w:rPr>
          <w:rFonts w:hint="eastAsia" w:ascii="仿宋_GB2312" w:hAnsi="仿宋" w:eastAsia="仿宋_GB2312"/>
          <w:sz w:val="30"/>
          <w:szCs w:val="30"/>
          <w:highlight w:val="none"/>
        </w:rPr>
        <w:t>表中出租出借结束日期大于等于2024年12月31日的业务用房的出租出借数量（面积）之和；</w:t>
      </w:r>
    </w:p>
    <w:p w14:paraId="3C4EA251">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其他用房的出租出借数量（面积）应等于财资09</w:t>
      </w:r>
      <w:r>
        <w:rPr>
          <w:rFonts w:hint="eastAsia" w:ascii="仿宋_GB2312" w:hAnsi="仿宋" w:eastAsia="仿宋_GB2312"/>
          <w:sz w:val="30"/>
          <w:szCs w:val="30"/>
          <w:highlight w:val="none"/>
          <w:lang w:val="en-US" w:eastAsia="zh-CN"/>
        </w:rPr>
        <w:t>出租出借情况</w:t>
      </w:r>
      <w:r>
        <w:rPr>
          <w:rFonts w:hint="eastAsia" w:ascii="仿宋_GB2312" w:hAnsi="仿宋" w:eastAsia="仿宋_GB2312"/>
          <w:sz w:val="30"/>
          <w:szCs w:val="30"/>
          <w:highlight w:val="none"/>
        </w:rPr>
        <w:t>表中出租出借结束日期大于等于2024年12月31日的其他用房的出租出借数量（面积）之和；</w:t>
      </w:r>
    </w:p>
    <w:p w14:paraId="5A7E76BF">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设备的出租出借数量（面积）应等于财资09</w:t>
      </w:r>
      <w:r>
        <w:rPr>
          <w:rFonts w:hint="eastAsia" w:ascii="仿宋_GB2312" w:hAnsi="仿宋" w:eastAsia="仿宋_GB2312"/>
          <w:sz w:val="30"/>
          <w:szCs w:val="30"/>
          <w:highlight w:val="none"/>
          <w:lang w:val="en-US" w:eastAsia="zh-CN"/>
        </w:rPr>
        <w:t>出租出借情况</w:t>
      </w:r>
      <w:r>
        <w:rPr>
          <w:rFonts w:hint="eastAsia" w:ascii="仿宋_GB2312" w:hAnsi="仿宋" w:eastAsia="仿宋_GB2312"/>
          <w:sz w:val="30"/>
          <w:szCs w:val="30"/>
          <w:highlight w:val="none"/>
        </w:rPr>
        <w:t>表中出租出借结束日期大于等于2024年12月31日的设备资产的出租出借数量（面积）之和；</w:t>
      </w:r>
    </w:p>
    <w:p w14:paraId="5C6B09DE">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车辆的出租出借数量（面积）应等于财资09</w:t>
      </w:r>
      <w:r>
        <w:rPr>
          <w:rFonts w:hint="eastAsia" w:ascii="仿宋_GB2312" w:hAnsi="仿宋" w:eastAsia="仿宋_GB2312"/>
          <w:sz w:val="30"/>
          <w:szCs w:val="30"/>
          <w:highlight w:val="none"/>
          <w:lang w:val="en-US" w:eastAsia="zh-CN"/>
        </w:rPr>
        <w:t>出租出借情况</w:t>
      </w:r>
      <w:r>
        <w:rPr>
          <w:rFonts w:hint="eastAsia" w:ascii="仿宋_GB2312" w:hAnsi="仿宋" w:eastAsia="仿宋_GB2312"/>
          <w:sz w:val="30"/>
          <w:szCs w:val="30"/>
          <w:highlight w:val="none"/>
        </w:rPr>
        <w:t>表中出租出借结束日期大于等于2024年12月31日的车辆资产的出租出借数量（面积）之和；</w:t>
      </w:r>
    </w:p>
    <w:p w14:paraId="71E65B24">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单价</w:t>
      </w:r>
      <w:r>
        <w:rPr>
          <w:rFonts w:ascii="仿宋_GB2312" w:hAnsi="仿宋" w:eastAsia="仿宋_GB2312"/>
          <w:sz w:val="30"/>
          <w:szCs w:val="30"/>
          <w:highlight w:val="none"/>
        </w:rPr>
        <w:t>100</w:t>
      </w:r>
      <w:r>
        <w:rPr>
          <w:rFonts w:hint="eastAsia" w:ascii="仿宋_GB2312" w:hAnsi="仿宋" w:eastAsia="仿宋_GB2312"/>
          <w:sz w:val="30"/>
          <w:szCs w:val="30"/>
          <w:highlight w:val="none"/>
        </w:rPr>
        <w:t>万（含）以上（不含车辆）的设备出租出借数量（面积）应等于财资09</w:t>
      </w:r>
      <w:r>
        <w:rPr>
          <w:rFonts w:hint="eastAsia" w:ascii="仿宋_GB2312" w:hAnsi="仿宋" w:eastAsia="仿宋_GB2312"/>
          <w:sz w:val="30"/>
          <w:szCs w:val="30"/>
          <w:highlight w:val="none"/>
          <w:lang w:val="en-US" w:eastAsia="zh-CN"/>
        </w:rPr>
        <w:t>出租出借情况</w:t>
      </w:r>
      <w:r>
        <w:rPr>
          <w:rFonts w:hint="eastAsia" w:ascii="仿宋_GB2312" w:hAnsi="仿宋" w:eastAsia="仿宋_GB2312"/>
          <w:sz w:val="30"/>
          <w:szCs w:val="30"/>
          <w:highlight w:val="none"/>
        </w:rPr>
        <w:t>表中出租出借结束日期大于等于2024年12月31日的单价</w:t>
      </w:r>
      <w:r>
        <w:rPr>
          <w:rFonts w:ascii="仿宋_GB2312" w:hAnsi="仿宋" w:eastAsia="仿宋_GB2312"/>
          <w:sz w:val="30"/>
          <w:szCs w:val="30"/>
          <w:highlight w:val="none"/>
        </w:rPr>
        <w:t>100</w:t>
      </w:r>
      <w:r>
        <w:rPr>
          <w:rFonts w:hint="eastAsia" w:ascii="仿宋_GB2312" w:hAnsi="仿宋" w:eastAsia="仿宋_GB2312"/>
          <w:sz w:val="30"/>
          <w:szCs w:val="30"/>
          <w:highlight w:val="none"/>
        </w:rPr>
        <w:t>万（含）以上（不含车辆）的出租出借数量（面积）之和；</w:t>
      </w:r>
    </w:p>
    <w:p w14:paraId="29C1B6B2">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文物和陈列品的出租出借数量（面积）应等于财资09</w:t>
      </w:r>
      <w:r>
        <w:rPr>
          <w:rFonts w:hint="eastAsia" w:ascii="仿宋_GB2312" w:hAnsi="仿宋" w:eastAsia="仿宋_GB2312"/>
          <w:sz w:val="30"/>
          <w:szCs w:val="30"/>
          <w:highlight w:val="none"/>
          <w:lang w:val="en-US" w:eastAsia="zh-CN"/>
        </w:rPr>
        <w:t>出租出借情况</w:t>
      </w:r>
      <w:r>
        <w:rPr>
          <w:rFonts w:hint="eastAsia" w:ascii="仿宋_GB2312" w:hAnsi="仿宋" w:eastAsia="仿宋_GB2312"/>
          <w:sz w:val="30"/>
          <w:szCs w:val="30"/>
          <w:highlight w:val="none"/>
        </w:rPr>
        <w:t>表中出租出借结束日期大于等于2024年12月31日的文物和陈列品资产的出租出借数量（面积）之和</w:t>
      </w:r>
      <w:r>
        <w:rPr>
          <w:rFonts w:hint="eastAsia" w:ascii="仿宋_GB2312" w:hAnsi="仿宋" w:eastAsia="仿宋_GB2312"/>
          <w:sz w:val="30"/>
          <w:szCs w:val="30"/>
          <w:highlight w:val="none"/>
          <w:lang w:eastAsia="zh-CN"/>
        </w:rPr>
        <w:t>；</w:t>
      </w:r>
    </w:p>
    <w:p w14:paraId="6381E70D">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图书和档案的出租出借数量（面积）应等于财资09</w:t>
      </w:r>
      <w:r>
        <w:rPr>
          <w:rFonts w:hint="eastAsia" w:ascii="仿宋_GB2312" w:hAnsi="仿宋" w:eastAsia="仿宋_GB2312"/>
          <w:sz w:val="30"/>
          <w:szCs w:val="30"/>
          <w:highlight w:val="none"/>
          <w:lang w:val="en-US" w:eastAsia="zh-CN"/>
        </w:rPr>
        <w:t>出租出借情况</w:t>
      </w:r>
      <w:r>
        <w:rPr>
          <w:rFonts w:hint="eastAsia" w:ascii="仿宋_GB2312" w:hAnsi="仿宋" w:eastAsia="仿宋_GB2312"/>
          <w:sz w:val="30"/>
          <w:szCs w:val="30"/>
          <w:highlight w:val="none"/>
        </w:rPr>
        <w:t>表中出租出借结束日期大于等于2024年12月31日的图书和档案资产的出租出借数量（面积）之和；</w:t>
      </w:r>
    </w:p>
    <w:p w14:paraId="6C73A8BE">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家具和用具的出租出借数量（面积）应等于财资09</w:t>
      </w:r>
      <w:r>
        <w:rPr>
          <w:rFonts w:hint="eastAsia" w:ascii="仿宋_GB2312" w:hAnsi="仿宋" w:eastAsia="仿宋_GB2312"/>
          <w:sz w:val="30"/>
          <w:szCs w:val="30"/>
          <w:highlight w:val="none"/>
          <w:lang w:val="en-US" w:eastAsia="zh-CN"/>
        </w:rPr>
        <w:t>出租出借情况</w:t>
      </w:r>
      <w:r>
        <w:rPr>
          <w:rFonts w:hint="eastAsia" w:ascii="仿宋_GB2312" w:hAnsi="仿宋" w:eastAsia="仿宋_GB2312"/>
          <w:sz w:val="30"/>
          <w:szCs w:val="30"/>
          <w:highlight w:val="none"/>
        </w:rPr>
        <w:t>表中出租出借结束日期大于等于2024年12月31日的家具和用具资产的出租出借数量（面积）之和；</w:t>
      </w:r>
    </w:p>
    <w:p w14:paraId="1C75C042">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特种动植物的出租出借数量（面积）应等于财资09</w:t>
      </w:r>
      <w:r>
        <w:rPr>
          <w:rFonts w:hint="eastAsia" w:ascii="仿宋_GB2312" w:hAnsi="仿宋" w:eastAsia="仿宋_GB2312"/>
          <w:sz w:val="30"/>
          <w:szCs w:val="30"/>
          <w:highlight w:val="none"/>
          <w:lang w:val="en-US" w:eastAsia="zh-CN"/>
        </w:rPr>
        <w:t>出租出借情况</w:t>
      </w:r>
      <w:r>
        <w:rPr>
          <w:rFonts w:hint="eastAsia" w:ascii="仿宋_GB2312" w:hAnsi="仿宋" w:eastAsia="仿宋_GB2312"/>
          <w:sz w:val="30"/>
          <w:szCs w:val="30"/>
          <w:highlight w:val="none"/>
        </w:rPr>
        <w:t>表中出租出借结束日期大于等于2024年12月31日的特种动植物资产的出租出借数量（面积）之和；</w:t>
      </w:r>
    </w:p>
    <w:p w14:paraId="03B190D7">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其中：专利的出租出借数量（面积）应等于财资09</w:t>
      </w:r>
      <w:r>
        <w:rPr>
          <w:rFonts w:hint="eastAsia" w:ascii="仿宋_GB2312" w:hAnsi="仿宋" w:eastAsia="仿宋_GB2312"/>
          <w:sz w:val="30"/>
          <w:szCs w:val="30"/>
          <w:highlight w:val="none"/>
          <w:lang w:val="en-US" w:eastAsia="zh-CN"/>
        </w:rPr>
        <w:t>出租出借情况</w:t>
      </w:r>
      <w:r>
        <w:rPr>
          <w:rFonts w:hint="eastAsia" w:ascii="仿宋_GB2312" w:hAnsi="仿宋" w:eastAsia="仿宋_GB2312"/>
          <w:sz w:val="30"/>
          <w:szCs w:val="30"/>
          <w:highlight w:val="none"/>
        </w:rPr>
        <w:t>表中出租出借结束日期大于等于2024年12月31日的其中：专利的出租出借数量（面积）之和；</w:t>
      </w:r>
    </w:p>
    <w:p w14:paraId="1A644295">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非专利技术的出租出借数量（面积）应等于财资09</w:t>
      </w:r>
      <w:r>
        <w:rPr>
          <w:rFonts w:hint="eastAsia" w:ascii="仿宋_GB2312" w:hAnsi="仿宋" w:eastAsia="仿宋_GB2312"/>
          <w:sz w:val="30"/>
          <w:szCs w:val="30"/>
          <w:highlight w:val="none"/>
          <w:lang w:val="en-US" w:eastAsia="zh-CN"/>
        </w:rPr>
        <w:t>出租出借情况</w:t>
      </w:r>
      <w:r>
        <w:rPr>
          <w:rFonts w:hint="eastAsia" w:ascii="仿宋_GB2312" w:hAnsi="仿宋" w:eastAsia="仿宋_GB2312"/>
          <w:sz w:val="30"/>
          <w:szCs w:val="30"/>
          <w:highlight w:val="none"/>
        </w:rPr>
        <w:t>表中出租出借结束日期大于等于2024年12月31日的非专利技术的出租出借数量（面积）之和；</w:t>
      </w:r>
    </w:p>
    <w:p w14:paraId="3D9EAB82">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计算机软件的出租出借数量（面积）应等于财资09</w:t>
      </w:r>
      <w:r>
        <w:rPr>
          <w:rFonts w:hint="eastAsia" w:ascii="仿宋_GB2312" w:hAnsi="仿宋" w:eastAsia="仿宋_GB2312"/>
          <w:sz w:val="30"/>
          <w:szCs w:val="30"/>
          <w:highlight w:val="none"/>
          <w:lang w:val="en-US" w:eastAsia="zh-CN"/>
        </w:rPr>
        <w:t>出租出借情况</w:t>
      </w:r>
      <w:r>
        <w:rPr>
          <w:rFonts w:hint="eastAsia" w:ascii="仿宋_GB2312" w:hAnsi="仿宋" w:eastAsia="仿宋_GB2312"/>
          <w:sz w:val="30"/>
          <w:szCs w:val="30"/>
          <w:highlight w:val="none"/>
        </w:rPr>
        <w:t>表中出租出借结束日期大于等于2024年12月31日的计算机软件的出租出借数量（面积）之和；</w:t>
      </w:r>
    </w:p>
    <w:p w14:paraId="43177DAD">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固定资产的出租出借价值应等于财资09</w:t>
      </w:r>
      <w:r>
        <w:rPr>
          <w:rFonts w:hint="eastAsia" w:ascii="仿宋_GB2312" w:hAnsi="仿宋" w:eastAsia="仿宋_GB2312"/>
          <w:sz w:val="30"/>
          <w:szCs w:val="30"/>
          <w:highlight w:val="none"/>
          <w:lang w:val="en-US" w:eastAsia="zh-CN"/>
        </w:rPr>
        <w:t>出租出借情况</w:t>
      </w:r>
      <w:r>
        <w:rPr>
          <w:rFonts w:hint="eastAsia" w:ascii="仿宋_GB2312" w:hAnsi="仿宋" w:eastAsia="仿宋_GB2312"/>
          <w:sz w:val="30"/>
          <w:szCs w:val="30"/>
          <w:highlight w:val="none"/>
        </w:rPr>
        <w:t>表中出租出借结束日期大于等于2024年12月31日的固定资产的出租出借价值之和；</w:t>
      </w:r>
    </w:p>
    <w:p w14:paraId="0122F5ED">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房屋和构筑物的出租出借价值应等于财资09</w:t>
      </w:r>
      <w:r>
        <w:rPr>
          <w:rFonts w:hint="eastAsia" w:ascii="仿宋_GB2312" w:hAnsi="仿宋" w:eastAsia="仿宋_GB2312"/>
          <w:sz w:val="30"/>
          <w:szCs w:val="30"/>
          <w:highlight w:val="none"/>
          <w:lang w:val="en-US" w:eastAsia="zh-CN"/>
        </w:rPr>
        <w:t>出租出借情况</w:t>
      </w:r>
      <w:r>
        <w:rPr>
          <w:rFonts w:hint="eastAsia" w:ascii="仿宋_GB2312" w:hAnsi="仿宋" w:eastAsia="仿宋_GB2312"/>
          <w:sz w:val="30"/>
          <w:szCs w:val="30"/>
          <w:highlight w:val="none"/>
        </w:rPr>
        <w:t>表中出租出借结束日期大于等于2024年12月31日的房屋和构筑物的出租出借价值之和；</w:t>
      </w:r>
    </w:p>
    <w:p w14:paraId="2F81AC8E">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固定资产中土地的出租出借价值应等于财资09</w:t>
      </w:r>
      <w:r>
        <w:rPr>
          <w:rFonts w:hint="eastAsia" w:ascii="仿宋_GB2312" w:hAnsi="仿宋" w:eastAsia="仿宋_GB2312"/>
          <w:sz w:val="30"/>
          <w:szCs w:val="30"/>
          <w:highlight w:val="none"/>
          <w:lang w:val="en-US" w:eastAsia="zh-CN"/>
        </w:rPr>
        <w:t>出租出借情况</w:t>
      </w:r>
      <w:r>
        <w:rPr>
          <w:rFonts w:hint="eastAsia" w:ascii="仿宋_GB2312" w:hAnsi="仿宋" w:eastAsia="仿宋_GB2312"/>
          <w:sz w:val="30"/>
          <w:szCs w:val="30"/>
          <w:highlight w:val="none"/>
        </w:rPr>
        <w:t>表中出租出借结束日期大于等于2024年12月31日的固定资产中土地的出租出借价值之和；</w:t>
      </w:r>
    </w:p>
    <w:p w14:paraId="53F3C19B">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无形资产中土地使用权的出租出借价值应等于财资09</w:t>
      </w:r>
      <w:r>
        <w:rPr>
          <w:rFonts w:hint="eastAsia" w:ascii="仿宋_GB2312" w:hAnsi="仿宋" w:eastAsia="仿宋_GB2312"/>
          <w:sz w:val="30"/>
          <w:szCs w:val="30"/>
          <w:highlight w:val="none"/>
          <w:lang w:val="en-US" w:eastAsia="zh-CN"/>
        </w:rPr>
        <w:t>出租出借情况</w:t>
      </w:r>
      <w:r>
        <w:rPr>
          <w:rFonts w:hint="eastAsia" w:ascii="仿宋_GB2312" w:hAnsi="仿宋" w:eastAsia="仿宋_GB2312"/>
          <w:sz w:val="30"/>
          <w:szCs w:val="30"/>
          <w:highlight w:val="none"/>
        </w:rPr>
        <w:t>表中出租出借结束日期大于等于2024年12月31日的无形资产中土地使用权的出租出借价值之和；</w:t>
      </w:r>
    </w:p>
    <w:p w14:paraId="2C1886EB">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房屋的出租出借价值应等于</w:t>
      </w:r>
      <w:r>
        <w:rPr>
          <w:rFonts w:hint="eastAsia" w:ascii="仿宋_GB2312" w:hAnsi="仿宋" w:eastAsia="仿宋_GB2312"/>
          <w:sz w:val="30"/>
          <w:szCs w:val="30"/>
          <w:highlight w:val="none"/>
          <w:lang w:eastAsia="zh-CN"/>
        </w:rPr>
        <w:t>财资09出租出借情况表</w:t>
      </w:r>
      <w:r>
        <w:rPr>
          <w:rFonts w:hint="eastAsia" w:ascii="仿宋_GB2312" w:hAnsi="仿宋" w:eastAsia="仿宋_GB2312"/>
          <w:sz w:val="30"/>
          <w:szCs w:val="30"/>
          <w:highlight w:val="none"/>
        </w:rPr>
        <w:t>中出租出借结束日期大于等于2024年12月31日的房屋的出租出借价值之和；</w:t>
      </w:r>
    </w:p>
    <w:p w14:paraId="0DCA7D94">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设备的出租出借价值应等于</w:t>
      </w:r>
      <w:r>
        <w:rPr>
          <w:rFonts w:hint="eastAsia" w:ascii="仿宋_GB2312" w:hAnsi="仿宋" w:eastAsia="仿宋_GB2312"/>
          <w:sz w:val="30"/>
          <w:szCs w:val="30"/>
          <w:highlight w:val="none"/>
          <w:lang w:eastAsia="zh-CN"/>
        </w:rPr>
        <w:t>财资09出租出借情况表</w:t>
      </w:r>
      <w:r>
        <w:rPr>
          <w:rFonts w:hint="eastAsia" w:ascii="仿宋_GB2312" w:hAnsi="仿宋" w:eastAsia="仿宋_GB2312"/>
          <w:sz w:val="30"/>
          <w:szCs w:val="30"/>
          <w:highlight w:val="none"/>
        </w:rPr>
        <w:t>中出租出借结束日期大于等于2024年12月31日的设备资产的出租出借价值之和；</w:t>
      </w:r>
    </w:p>
    <w:p w14:paraId="281EFB25">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车辆的出租出借价值应等于</w:t>
      </w:r>
      <w:r>
        <w:rPr>
          <w:rFonts w:hint="eastAsia" w:ascii="仿宋_GB2312" w:hAnsi="仿宋" w:eastAsia="仿宋_GB2312"/>
          <w:sz w:val="30"/>
          <w:szCs w:val="30"/>
          <w:highlight w:val="none"/>
          <w:lang w:eastAsia="zh-CN"/>
        </w:rPr>
        <w:t>财资09出租出借情况表</w:t>
      </w:r>
      <w:r>
        <w:rPr>
          <w:rFonts w:hint="eastAsia" w:ascii="仿宋_GB2312" w:hAnsi="仿宋" w:eastAsia="仿宋_GB2312"/>
          <w:sz w:val="30"/>
          <w:szCs w:val="30"/>
          <w:highlight w:val="none"/>
        </w:rPr>
        <w:t>中出租出借结束日期大于等于2024年12月31日的车辆资产的出租出借价值之和；</w:t>
      </w:r>
    </w:p>
    <w:p w14:paraId="7DC1A747">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单价</w:t>
      </w:r>
      <w:r>
        <w:rPr>
          <w:rFonts w:ascii="仿宋_GB2312" w:hAnsi="仿宋" w:eastAsia="仿宋_GB2312"/>
          <w:sz w:val="30"/>
          <w:szCs w:val="30"/>
          <w:highlight w:val="none"/>
        </w:rPr>
        <w:t>100</w:t>
      </w:r>
      <w:r>
        <w:rPr>
          <w:rFonts w:hint="eastAsia" w:ascii="仿宋_GB2312" w:hAnsi="仿宋" w:eastAsia="仿宋_GB2312"/>
          <w:sz w:val="30"/>
          <w:szCs w:val="30"/>
          <w:highlight w:val="none"/>
        </w:rPr>
        <w:t>万（含）以上（不含车辆）的设备出租出借价值应等于</w:t>
      </w:r>
      <w:r>
        <w:rPr>
          <w:rFonts w:hint="eastAsia" w:ascii="仿宋_GB2312" w:hAnsi="仿宋" w:eastAsia="仿宋_GB2312"/>
          <w:sz w:val="30"/>
          <w:szCs w:val="30"/>
          <w:highlight w:val="none"/>
          <w:lang w:eastAsia="zh-CN"/>
        </w:rPr>
        <w:t>财资09出租出借情况表</w:t>
      </w:r>
      <w:r>
        <w:rPr>
          <w:rFonts w:hint="eastAsia" w:ascii="仿宋_GB2312" w:hAnsi="仿宋" w:eastAsia="仿宋_GB2312"/>
          <w:sz w:val="30"/>
          <w:szCs w:val="30"/>
          <w:highlight w:val="none"/>
        </w:rPr>
        <w:t>中出租出借结束日期大于等于2024年12月31日的单价</w:t>
      </w:r>
      <w:r>
        <w:rPr>
          <w:rFonts w:ascii="仿宋_GB2312" w:hAnsi="仿宋" w:eastAsia="仿宋_GB2312"/>
          <w:sz w:val="30"/>
          <w:szCs w:val="30"/>
          <w:highlight w:val="none"/>
        </w:rPr>
        <w:t>100</w:t>
      </w:r>
      <w:r>
        <w:rPr>
          <w:rFonts w:hint="eastAsia" w:ascii="仿宋_GB2312" w:hAnsi="仿宋" w:eastAsia="仿宋_GB2312"/>
          <w:sz w:val="30"/>
          <w:szCs w:val="30"/>
          <w:highlight w:val="none"/>
        </w:rPr>
        <w:t>万（含）以上（不含车辆）的出租出借价值之和；</w:t>
      </w:r>
    </w:p>
    <w:p w14:paraId="48FE53AC">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文物和陈列品的出租出借价值应等于</w:t>
      </w:r>
      <w:r>
        <w:rPr>
          <w:rFonts w:hint="eastAsia" w:ascii="仿宋_GB2312" w:hAnsi="仿宋" w:eastAsia="仿宋_GB2312"/>
          <w:sz w:val="30"/>
          <w:szCs w:val="30"/>
          <w:highlight w:val="none"/>
          <w:lang w:eastAsia="zh-CN"/>
        </w:rPr>
        <w:t>财资09出租出借情况表</w:t>
      </w:r>
      <w:r>
        <w:rPr>
          <w:rFonts w:hint="eastAsia" w:ascii="仿宋_GB2312" w:hAnsi="仿宋" w:eastAsia="仿宋_GB2312"/>
          <w:sz w:val="30"/>
          <w:szCs w:val="30"/>
          <w:highlight w:val="none"/>
        </w:rPr>
        <w:t>中出租出借结束日期大于等于2024年12月31日的文物和陈列品资产的出租出借价值之和；</w:t>
      </w:r>
    </w:p>
    <w:p w14:paraId="34FC5F8D">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图书和档案的出租出借价值应等于</w:t>
      </w:r>
      <w:r>
        <w:rPr>
          <w:rFonts w:hint="eastAsia" w:ascii="仿宋_GB2312" w:hAnsi="仿宋" w:eastAsia="仿宋_GB2312"/>
          <w:sz w:val="30"/>
          <w:szCs w:val="30"/>
          <w:highlight w:val="none"/>
          <w:lang w:eastAsia="zh-CN"/>
        </w:rPr>
        <w:t>财资09出租出借情况表</w:t>
      </w:r>
      <w:r>
        <w:rPr>
          <w:rFonts w:hint="eastAsia" w:ascii="仿宋_GB2312" w:hAnsi="仿宋" w:eastAsia="仿宋_GB2312"/>
          <w:sz w:val="30"/>
          <w:szCs w:val="30"/>
          <w:highlight w:val="none"/>
        </w:rPr>
        <w:t>中出租出借结束日期大于等于2024年12月31日的图书和档案资产的出租出借价值之和；</w:t>
      </w:r>
    </w:p>
    <w:p w14:paraId="582CFBF7">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家具和用具的出租出借价值应等于</w:t>
      </w:r>
      <w:r>
        <w:rPr>
          <w:rFonts w:hint="eastAsia" w:ascii="仿宋_GB2312" w:hAnsi="仿宋" w:eastAsia="仿宋_GB2312"/>
          <w:sz w:val="30"/>
          <w:szCs w:val="30"/>
          <w:highlight w:val="none"/>
          <w:lang w:eastAsia="zh-CN"/>
        </w:rPr>
        <w:t>财资09出租出借情况表</w:t>
      </w:r>
      <w:r>
        <w:rPr>
          <w:rFonts w:hint="eastAsia" w:ascii="仿宋_GB2312" w:hAnsi="仿宋" w:eastAsia="仿宋_GB2312"/>
          <w:sz w:val="30"/>
          <w:szCs w:val="30"/>
          <w:highlight w:val="none"/>
        </w:rPr>
        <w:t>中出租出借结束日期大于等于2024年12月31日的家具和用具资产的出租出借价值之和；</w:t>
      </w:r>
    </w:p>
    <w:p w14:paraId="69FE0829">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特种动植物的出租出借价值应等于</w:t>
      </w:r>
      <w:r>
        <w:rPr>
          <w:rFonts w:hint="eastAsia" w:ascii="仿宋_GB2312" w:hAnsi="仿宋" w:eastAsia="仿宋_GB2312"/>
          <w:sz w:val="30"/>
          <w:szCs w:val="30"/>
          <w:highlight w:val="none"/>
          <w:lang w:eastAsia="zh-CN"/>
        </w:rPr>
        <w:t>财资09出租出借情况表</w:t>
      </w:r>
      <w:r>
        <w:rPr>
          <w:rFonts w:hint="eastAsia" w:ascii="仿宋_GB2312" w:hAnsi="仿宋" w:eastAsia="仿宋_GB2312"/>
          <w:sz w:val="30"/>
          <w:szCs w:val="30"/>
          <w:highlight w:val="none"/>
        </w:rPr>
        <w:t>中出租出借结束日期大于等于2024年12月31日的特种动植物资产的出租出借价值之和；</w:t>
      </w:r>
    </w:p>
    <w:p w14:paraId="4D7DA653">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无形资产的出租出借价值应等于</w:t>
      </w:r>
      <w:r>
        <w:rPr>
          <w:rFonts w:hint="eastAsia" w:ascii="仿宋_GB2312" w:hAnsi="仿宋" w:eastAsia="仿宋_GB2312"/>
          <w:sz w:val="30"/>
          <w:szCs w:val="30"/>
          <w:highlight w:val="none"/>
          <w:lang w:eastAsia="zh-CN"/>
        </w:rPr>
        <w:t>财资09出租出借情况表</w:t>
      </w:r>
      <w:r>
        <w:rPr>
          <w:rFonts w:hint="eastAsia" w:ascii="仿宋_GB2312" w:hAnsi="仿宋" w:eastAsia="仿宋_GB2312"/>
          <w:sz w:val="30"/>
          <w:szCs w:val="30"/>
          <w:highlight w:val="none"/>
        </w:rPr>
        <w:t>中出租出借结束日期大于等于2024年12月31日的无形资产的出租出借价值之和；</w:t>
      </w:r>
    </w:p>
    <w:p w14:paraId="316A7A11">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其中：专利的出租出借价值应等于</w:t>
      </w:r>
      <w:r>
        <w:rPr>
          <w:rFonts w:hint="eastAsia" w:ascii="仿宋_GB2312" w:hAnsi="仿宋" w:eastAsia="仿宋_GB2312"/>
          <w:sz w:val="30"/>
          <w:szCs w:val="30"/>
          <w:highlight w:val="none"/>
          <w:lang w:eastAsia="zh-CN"/>
        </w:rPr>
        <w:t>财资09出租出借情况表</w:t>
      </w:r>
      <w:r>
        <w:rPr>
          <w:rFonts w:hint="eastAsia" w:ascii="仿宋_GB2312" w:hAnsi="仿宋" w:eastAsia="仿宋_GB2312"/>
          <w:sz w:val="30"/>
          <w:szCs w:val="30"/>
          <w:highlight w:val="none"/>
        </w:rPr>
        <w:t>中出租出借结束日期大于等于2024年12月31日的其中：专利的出租出借价值之和；</w:t>
      </w:r>
    </w:p>
    <w:p w14:paraId="1D2E6E82">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非专利技术的出租出借价值应等于</w:t>
      </w:r>
      <w:r>
        <w:rPr>
          <w:rFonts w:hint="eastAsia" w:ascii="仿宋_GB2312" w:hAnsi="仿宋" w:eastAsia="仿宋_GB2312"/>
          <w:sz w:val="30"/>
          <w:szCs w:val="30"/>
          <w:highlight w:val="none"/>
          <w:lang w:eastAsia="zh-CN"/>
        </w:rPr>
        <w:t>财资09出租出借情况表</w:t>
      </w:r>
      <w:r>
        <w:rPr>
          <w:rFonts w:hint="eastAsia" w:ascii="仿宋_GB2312" w:hAnsi="仿宋" w:eastAsia="仿宋_GB2312"/>
          <w:sz w:val="30"/>
          <w:szCs w:val="30"/>
          <w:highlight w:val="none"/>
        </w:rPr>
        <w:t>中出租出借结束日期大于等于2024年12月31日的非专利技术的出租出借价值之和；</w:t>
      </w:r>
    </w:p>
    <w:p w14:paraId="64BD9695">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计算机软件的出租出借价值应等于</w:t>
      </w:r>
      <w:r>
        <w:rPr>
          <w:rFonts w:hint="eastAsia" w:ascii="仿宋_GB2312" w:hAnsi="仿宋" w:eastAsia="仿宋_GB2312"/>
          <w:sz w:val="30"/>
          <w:szCs w:val="30"/>
          <w:highlight w:val="none"/>
          <w:lang w:eastAsia="zh-CN"/>
        </w:rPr>
        <w:t>财资09出租出借情况表</w:t>
      </w:r>
      <w:r>
        <w:rPr>
          <w:rFonts w:hint="eastAsia" w:ascii="仿宋_GB2312" w:hAnsi="仿宋" w:eastAsia="仿宋_GB2312"/>
          <w:sz w:val="30"/>
          <w:szCs w:val="30"/>
          <w:highlight w:val="none"/>
        </w:rPr>
        <w:t>中出租出借结束日期大于等于2024年12月31日的计算机软件的出租出借价值之和。</w:t>
      </w:r>
    </w:p>
    <w:p w14:paraId="2997D35D">
      <w:pPr>
        <w:adjustRightInd w:val="0"/>
        <w:snapToGrid w:val="0"/>
        <w:spacing w:line="360" w:lineRule="auto"/>
        <w:ind w:left="567"/>
        <w:rPr>
          <w:rFonts w:hint="eastAsia" w:ascii="仿宋_GB2312" w:hAnsi="仿宋" w:eastAsia="仿宋_GB2312"/>
          <w:b/>
          <w:sz w:val="30"/>
          <w:szCs w:val="30"/>
          <w:highlight w:val="none"/>
        </w:rPr>
      </w:pPr>
      <w:r>
        <w:rPr>
          <w:rFonts w:hint="eastAsia" w:ascii="仿宋_GB2312" w:hAnsi="仿宋" w:eastAsia="仿宋_GB2312"/>
          <w:b/>
          <w:sz w:val="30"/>
          <w:szCs w:val="30"/>
          <w:highlight w:val="none"/>
        </w:rPr>
        <w:t>核实性公式：</w:t>
      </w:r>
    </w:p>
    <w:p w14:paraId="6623B22E">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（如情况存在，请提供说明）：单户表封面预算级次为中央级时，若</w:t>
      </w:r>
      <w:r>
        <w:rPr>
          <w:rFonts w:hint="eastAsia" w:ascii="仿宋_GB2312" w:hAnsi="仿宋" w:eastAsia="仿宋_GB2312"/>
          <w:sz w:val="30"/>
          <w:szCs w:val="30"/>
          <w:highlight w:val="none"/>
          <w:lang w:val="en-US" w:eastAsia="zh-CN"/>
        </w:rPr>
        <w:t>土地数量（</w:t>
      </w:r>
      <w:r>
        <w:rPr>
          <w:rFonts w:hint="eastAsia" w:ascii="仿宋_GB2312" w:hAnsi="仿宋" w:eastAsia="仿宋_GB2312"/>
          <w:sz w:val="30"/>
          <w:szCs w:val="30"/>
          <w:highlight w:val="none"/>
        </w:rPr>
        <w:t>4行5栏</w:t>
      </w:r>
      <w:r>
        <w:rPr>
          <w:rFonts w:hint="eastAsia" w:ascii="仿宋_GB2312" w:hAnsi="仿宋" w:eastAsia="仿宋_GB2312"/>
          <w:sz w:val="30"/>
          <w:szCs w:val="30"/>
          <w:highlight w:val="none"/>
          <w:lang w:val="en-US" w:eastAsia="zh-CN"/>
        </w:rPr>
        <w:t>）</w:t>
      </w:r>
      <w:r>
        <w:rPr>
          <w:rFonts w:hint="eastAsia" w:ascii="仿宋_GB2312" w:hAnsi="仿宋" w:eastAsia="仿宋_GB2312"/>
          <w:sz w:val="30"/>
          <w:szCs w:val="30"/>
          <w:highlight w:val="none"/>
        </w:rPr>
        <w:t>大于0，请提供计入固定资产土地的情况说明；</w:t>
      </w:r>
    </w:p>
    <w:p w14:paraId="46A1365B">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期初账面数=上年期末账面数，否则提示核实性错误，填写情况说明；</w:t>
      </w:r>
    </w:p>
    <w:p w14:paraId="5633965E">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（有错修改，无错说明）：固定资产项下土地资产的出租出借数量（面积）应等于</w:t>
      </w:r>
      <w:r>
        <w:rPr>
          <w:rFonts w:hint="eastAsia" w:ascii="仿宋_GB2312" w:hAnsi="仿宋" w:eastAsia="仿宋_GB2312"/>
          <w:sz w:val="30"/>
          <w:szCs w:val="30"/>
          <w:highlight w:val="none"/>
          <w:lang w:eastAsia="zh-CN"/>
        </w:rPr>
        <w:t>财资09出租出借情况表</w:t>
      </w:r>
      <w:r>
        <w:rPr>
          <w:rFonts w:hint="eastAsia" w:ascii="仿宋_GB2312" w:hAnsi="仿宋" w:eastAsia="仿宋_GB2312"/>
          <w:sz w:val="30"/>
          <w:szCs w:val="30"/>
          <w:highlight w:val="none"/>
        </w:rPr>
        <w:t>中固定资产项下土地资产的出租出借数量（面积）之和；</w:t>
      </w:r>
    </w:p>
    <w:p w14:paraId="083B843C">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（有错修改，无错说明）：土地使用权类资产的出租出借数量（面积）应等于</w:t>
      </w:r>
      <w:r>
        <w:rPr>
          <w:rFonts w:hint="eastAsia" w:ascii="仿宋_GB2312" w:hAnsi="仿宋" w:eastAsia="仿宋_GB2312"/>
          <w:sz w:val="30"/>
          <w:szCs w:val="30"/>
          <w:highlight w:val="none"/>
          <w:lang w:eastAsia="zh-CN"/>
        </w:rPr>
        <w:t>财资09出租出借情况表</w:t>
      </w:r>
      <w:r>
        <w:rPr>
          <w:rFonts w:hint="eastAsia" w:ascii="仿宋_GB2312" w:hAnsi="仿宋" w:eastAsia="仿宋_GB2312"/>
          <w:sz w:val="30"/>
          <w:szCs w:val="30"/>
          <w:highlight w:val="none"/>
        </w:rPr>
        <w:t>中土地使用权类资产的出租出借数量（面积）之和；</w:t>
      </w:r>
    </w:p>
    <w:p w14:paraId="323E2DF4">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（有错修改，无错说明）：房屋的出租出借数量（面积）应等于</w:t>
      </w:r>
      <w:r>
        <w:rPr>
          <w:rFonts w:hint="eastAsia" w:ascii="仿宋_GB2312" w:hAnsi="仿宋" w:eastAsia="仿宋_GB2312"/>
          <w:sz w:val="30"/>
          <w:szCs w:val="30"/>
          <w:highlight w:val="none"/>
          <w:lang w:eastAsia="zh-CN"/>
        </w:rPr>
        <w:t>财资09出租出借情况表</w:t>
      </w:r>
      <w:r>
        <w:rPr>
          <w:rFonts w:hint="eastAsia" w:ascii="仿宋_GB2312" w:hAnsi="仿宋" w:eastAsia="仿宋_GB2312"/>
          <w:sz w:val="30"/>
          <w:szCs w:val="30"/>
          <w:highlight w:val="none"/>
        </w:rPr>
        <w:t>中房屋类资产的出租出借数量（面积）之和；</w:t>
      </w:r>
    </w:p>
    <w:p w14:paraId="550DAEE0">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（有错修改，无错说明）：固定资产项下土地资产的出租出借价值应等于</w:t>
      </w:r>
      <w:r>
        <w:rPr>
          <w:rFonts w:hint="eastAsia" w:ascii="仿宋_GB2312" w:hAnsi="仿宋" w:eastAsia="仿宋_GB2312"/>
          <w:sz w:val="30"/>
          <w:szCs w:val="30"/>
          <w:highlight w:val="none"/>
          <w:lang w:eastAsia="zh-CN"/>
        </w:rPr>
        <w:t>财资09出租出借情况表</w:t>
      </w:r>
      <w:r>
        <w:rPr>
          <w:rFonts w:hint="eastAsia" w:ascii="仿宋_GB2312" w:hAnsi="仿宋" w:eastAsia="仿宋_GB2312"/>
          <w:sz w:val="30"/>
          <w:szCs w:val="30"/>
          <w:highlight w:val="none"/>
        </w:rPr>
        <w:t>中固定资产项下土地资产的出租出借价值之和；</w:t>
      </w:r>
    </w:p>
    <w:p w14:paraId="0EF4EF7B">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（有错修改，无错说明）：土地使用权类资产的出租出借价值应等于</w:t>
      </w:r>
      <w:r>
        <w:rPr>
          <w:rFonts w:hint="eastAsia" w:ascii="仿宋_GB2312" w:hAnsi="仿宋" w:eastAsia="仿宋_GB2312"/>
          <w:sz w:val="30"/>
          <w:szCs w:val="30"/>
          <w:highlight w:val="none"/>
          <w:lang w:eastAsia="zh-CN"/>
        </w:rPr>
        <w:t>财资09出租出借情况表</w:t>
      </w:r>
      <w:r>
        <w:rPr>
          <w:rFonts w:hint="eastAsia" w:ascii="仿宋_GB2312" w:hAnsi="仿宋" w:eastAsia="仿宋_GB2312"/>
          <w:sz w:val="30"/>
          <w:szCs w:val="30"/>
          <w:highlight w:val="none"/>
        </w:rPr>
        <w:t>中土地使用权类资产的出租出借价值之和；</w:t>
      </w:r>
    </w:p>
    <w:p w14:paraId="5014C61B">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（有错修改，无错说明）：房屋的出租出借价值应等于</w:t>
      </w:r>
      <w:r>
        <w:rPr>
          <w:rFonts w:hint="eastAsia" w:ascii="仿宋_GB2312" w:hAnsi="仿宋" w:eastAsia="仿宋_GB2312"/>
          <w:sz w:val="30"/>
          <w:szCs w:val="30"/>
          <w:highlight w:val="none"/>
          <w:lang w:eastAsia="zh-CN"/>
        </w:rPr>
        <w:t>财资09出租出借情况表</w:t>
      </w:r>
      <w:r>
        <w:rPr>
          <w:rFonts w:hint="eastAsia" w:ascii="仿宋_GB2312" w:hAnsi="仿宋" w:eastAsia="仿宋_GB2312"/>
          <w:sz w:val="30"/>
          <w:szCs w:val="30"/>
          <w:highlight w:val="none"/>
        </w:rPr>
        <w:t>中房屋类资产的出租出借价值之和；</w:t>
      </w:r>
    </w:p>
    <w:p w14:paraId="69D1C1BC">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本期</w:t>
      </w:r>
      <w:r>
        <w:rPr>
          <w:rFonts w:hint="eastAsia" w:ascii="仿宋_GB2312" w:hAnsi="仿宋" w:eastAsia="仿宋_GB2312"/>
          <w:sz w:val="30"/>
          <w:szCs w:val="30"/>
          <w:highlight w:val="none"/>
          <w:lang w:val="en-US" w:eastAsia="zh-CN"/>
        </w:rPr>
        <w:t>存在其他用房（</w:t>
      </w:r>
      <w:r>
        <w:rPr>
          <w:rFonts w:hint="eastAsia" w:ascii="仿宋_GB2312" w:hAnsi="仿宋" w:eastAsia="仿宋_GB2312"/>
          <w:sz w:val="30"/>
          <w:szCs w:val="30"/>
          <w:highlight w:val="none"/>
        </w:rPr>
        <w:t>9行5栏不等于0</w:t>
      </w:r>
      <w:r>
        <w:rPr>
          <w:rFonts w:hint="eastAsia" w:ascii="仿宋_GB2312" w:hAnsi="仿宋" w:eastAsia="仿宋_GB2312"/>
          <w:sz w:val="30"/>
          <w:szCs w:val="30"/>
          <w:highlight w:val="none"/>
          <w:lang w:val="en-US" w:eastAsia="zh-CN"/>
        </w:rPr>
        <w:t>）</w:t>
      </w:r>
      <w:r>
        <w:rPr>
          <w:rFonts w:hint="eastAsia" w:ascii="仿宋_GB2312" w:hAnsi="仿宋" w:eastAsia="仿宋_GB2312"/>
          <w:sz w:val="30"/>
          <w:szCs w:val="30"/>
          <w:highlight w:val="none"/>
        </w:rPr>
        <w:t>时，需结合实际情况填写情况说明。</w:t>
      </w:r>
    </w:p>
    <w:p w14:paraId="3798A576">
      <w:pPr>
        <w:pStyle w:val="2"/>
        <w:rPr>
          <w:rFonts w:hint="eastAsia"/>
          <w:b/>
          <w:color w:val="auto"/>
          <w:highlight w:val="none"/>
        </w:rPr>
      </w:pPr>
      <w:r>
        <w:rPr>
          <w:rFonts w:hint="eastAsia"/>
          <w:color w:val="auto"/>
          <w:highlight w:val="none"/>
        </w:rPr>
        <w:t>（五）土地情况表（财资0</w:t>
      </w:r>
      <w:r>
        <w:rPr>
          <w:color w:val="auto"/>
          <w:highlight w:val="none"/>
        </w:rPr>
        <w:t>4</w:t>
      </w:r>
      <w:r>
        <w:rPr>
          <w:rFonts w:hint="eastAsia"/>
          <w:color w:val="auto"/>
          <w:highlight w:val="none"/>
        </w:rPr>
        <w:t>表）</w:t>
      </w:r>
    </w:p>
    <w:p w14:paraId="6CE25EB7">
      <w:pPr>
        <w:spacing w:line="360" w:lineRule="auto"/>
        <w:ind w:firstLine="576" w:firstLineChars="192"/>
        <w:rPr>
          <w:rFonts w:ascii="仿宋_GB2312" w:eastAsia="仿宋_GB2312"/>
          <w:sz w:val="30"/>
          <w:szCs w:val="30"/>
          <w:highlight w:val="none"/>
        </w:rPr>
      </w:pPr>
      <w:r>
        <w:rPr>
          <w:rFonts w:hint="eastAsia" w:ascii="仿宋_GB2312" w:eastAsia="仿宋_GB2312"/>
          <w:sz w:val="30"/>
          <w:szCs w:val="30"/>
          <w:highlight w:val="none"/>
        </w:rPr>
        <w:t>本表反映行政事业单位年末占有、</w:t>
      </w:r>
      <w:r>
        <w:rPr>
          <w:rFonts w:ascii="仿宋_GB2312" w:eastAsia="仿宋_GB2312"/>
          <w:sz w:val="30"/>
          <w:szCs w:val="30"/>
          <w:highlight w:val="none"/>
        </w:rPr>
        <w:t>使用</w:t>
      </w:r>
      <w:r>
        <w:rPr>
          <w:rFonts w:hint="eastAsia" w:ascii="仿宋_GB2312" w:eastAsia="仿宋_GB2312"/>
          <w:sz w:val="30"/>
          <w:szCs w:val="30"/>
          <w:highlight w:val="none"/>
        </w:rPr>
        <w:t>的土地（包含境内外土地使用权和土地所有权，不含经营租入）情况，其中账面数是以资产模块中资产卡片的相关数据为基础进行填报。本表大部分数据原则上由资产模块自动提取，个别指标数据由单位进行手工填列。</w:t>
      </w:r>
    </w:p>
    <w:p w14:paraId="4E548C76">
      <w:pPr>
        <w:spacing w:line="360" w:lineRule="auto"/>
        <w:ind w:firstLine="578" w:firstLineChars="192"/>
        <w:rPr>
          <w:rFonts w:ascii="仿宋_GB2312" w:eastAsia="仿宋_GB2312"/>
          <w:b/>
          <w:bCs/>
          <w:sz w:val="30"/>
          <w:szCs w:val="30"/>
          <w:highlight w:val="none"/>
        </w:rPr>
      </w:pPr>
      <w:r>
        <w:rPr>
          <w:rFonts w:hint="eastAsia" w:ascii="仿宋_GB2312" w:eastAsia="仿宋_GB2312"/>
          <w:b/>
          <w:bCs/>
          <w:sz w:val="30"/>
          <w:szCs w:val="30"/>
          <w:highlight w:val="none"/>
        </w:rPr>
        <w:t>主要指标说明：</w:t>
      </w:r>
    </w:p>
    <w:p w14:paraId="5620A9C5">
      <w:pPr>
        <w:spacing w:line="360" w:lineRule="auto"/>
        <w:ind w:firstLine="576" w:firstLineChars="192"/>
        <w:rPr>
          <w:rFonts w:ascii="仿宋_GB2312" w:eastAsia="仿宋_GB2312"/>
          <w:sz w:val="30"/>
          <w:szCs w:val="30"/>
          <w:highlight w:val="none"/>
        </w:rPr>
      </w:pPr>
      <w:r>
        <w:rPr>
          <w:rFonts w:hint="eastAsia" w:ascii="仿宋_GB2312" w:eastAsia="仿宋_GB2312"/>
          <w:sz w:val="30"/>
          <w:szCs w:val="30"/>
          <w:highlight w:val="none"/>
        </w:rPr>
        <w:t>1.</w:t>
      </w:r>
      <w:r>
        <w:rPr>
          <w:rFonts w:ascii="仿宋_GB2312" w:eastAsia="仿宋_GB2312"/>
          <w:sz w:val="30"/>
          <w:szCs w:val="30"/>
          <w:highlight w:val="none"/>
        </w:rPr>
        <w:t>资产分类</w:t>
      </w:r>
      <w:r>
        <w:rPr>
          <w:rFonts w:hint="eastAsia" w:ascii="仿宋_GB2312" w:eastAsia="仿宋_GB2312"/>
          <w:sz w:val="30"/>
          <w:szCs w:val="30"/>
          <w:highlight w:val="none"/>
        </w:rPr>
        <w:t>、资产编号、资产名称、取得方式、取得日期、坐落位置由资产模块中固定资产、无形资产</w:t>
      </w:r>
      <w:r>
        <w:rPr>
          <w:rFonts w:ascii="仿宋_GB2312" w:eastAsia="仿宋_GB2312"/>
          <w:sz w:val="30"/>
          <w:szCs w:val="30"/>
          <w:highlight w:val="none"/>
        </w:rPr>
        <w:t>卡片</w:t>
      </w:r>
      <w:r>
        <w:rPr>
          <w:rFonts w:hint="eastAsia" w:ascii="仿宋_GB2312" w:eastAsia="仿宋_GB2312"/>
          <w:sz w:val="30"/>
          <w:szCs w:val="30"/>
          <w:highlight w:val="none"/>
        </w:rPr>
        <w:t>相应指标字段提取。坐落位置应填写完整地址，如“XX省XX市XX县（区）XX街道XX号”。</w:t>
      </w:r>
    </w:p>
    <w:p w14:paraId="12DACF11">
      <w:pPr>
        <w:spacing w:line="360" w:lineRule="auto"/>
        <w:ind w:firstLine="576" w:firstLineChars="192"/>
        <w:rPr>
          <w:rFonts w:ascii="仿宋_GB2312" w:eastAsia="仿宋_GB2312"/>
          <w:sz w:val="30"/>
          <w:szCs w:val="30"/>
          <w:highlight w:val="none"/>
        </w:rPr>
      </w:pPr>
      <w:r>
        <w:rPr>
          <w:rFonts w:hint="eastAsia" w:ascii="仿宋_GB2312" w:eastAsia="仿宋_GB2312"/>
          <w:sz w:val="30"/>
          <w:szCs w:val="30"/>
          <w:highlight w:val="none"/>
        </w:rPr>
        <w:t>2</w:t>
      </w:r>
      <w:r>
        <w:rPr>
          <w:rFonts w:ascii="仿宋_GB2312" w:eastAsia="仿宋_GB2312"/>
          <w:sz w:val="30"/>
          <w:szCs w:val="30"/>
          <w:highlight w:val="none"/>
        </w:rPr>
        <w:t>.</w:t>
      </w:r>
      <w:r>
        <w:rPr>
          <w:rFonts w:hint="eastAsia" w:ascii="仿宋_GB2312" w:eastAsia="仿宋_GB2312"/>
          <w:sz w:val="30"/>
          <w:szCs w:val="30"/>
          <w:highlight w:val="none"/>
        </w:rPr>
        <w:t>权属情况：</w:t>
      </w:r>
    </w:p>
    <w:p w14:paraId="1350B8F8">
      <w:pPr>
        <w:spacing w:line="360" w:lineRule="auto"/>
        <w:ind w:firstLine="576" w:firstLineChars="192"/>
        <w:rPr>
          <w:rFonts w:ascii="仿宋_GB2312" w:eastAsia="仿宋_GB2312"/>
          <w:sz w:val="30"/>
          <w:szCs w:val="30"/>
          <w:highlight w:val="none"/>
        </w:rPr>
      </w:pPr>
      <w:r>
        <w:rPr>
          <w:rFonts w:hint="eastAsia" w:ascii="仿宋_GB2312" w:eastAsia="仿宋_GB2312"/>
          <w:sz w:val="30"/>
          <w:szCs w:val="30"/>
          <w:highlight w:val="none"/>
        </w:rPr>
        <w:t>（1）</w:t>
      </w:r>
      <w:r>
        <w:rPr>
          <w:rFonts w:ascii="仿宋_GB2312" w:eastAsia="仿宋_GB2312"/>
          <w:sz w:val="30"/>
          <w:szCs w:val="30"/>
          <w:highlight w:val="none"/>
        </w:rPr>
        <w:t>权属证明：</w:t>
      </w:r>
      <w:r>
        <w:rPr>
          <w:rFonts w:hint="eastAsia" w:ascii="仿宋_GB2312" w:eastAsia="仿宋_GB2312"/>
          <w:sz w:val="30"/>
          <w:szCs w:val="30"/>
          <w:highlight w:val="none"/>
        </w:rPr>
        <w:t>该指标取自资产卡片的“权属证明”数据，包括土地使用证、土地使用批准文件、相关法律文书及其他、无。</w:t>
      </w:r>
    </w:p>
    <w:p w14:paraId="12B8A733">
      <w:pPr>
        <w:spacing w:line="360" w:lineRule="auto"/>
        <w:ind w:firstLine="576" w:firstLineChars="192"/>
        <w:rPr>
          <w:rFonts w:ascii="仿宋_GB2312" w:eastAsia="仿宋_GB2312"/>
          <w:sz w:val="30"/>
          <w:szCs w:val="30"/>
          <w:highlight w:val="none"/>
        </w:rPr>
      </w:pPr>
      <w:r>
        <w:rPr>
          <w:rFonts w:hint="eastAsia" w:ascii="仿宋_GB2312" w:eastAsia="仿宋_GB2312"/>
          <w:sz w:val="30"/>
          <w:szCs w:val="30"/>
          <w:highlight w:val="none"/>
        </w:rPr>
        <w:t>（</w:t>
      </w:r>
      <w:r>
        <w:rPr>
          <w:rFonts w:ascii="仿宋_GB2312" w:eastAsia="仿宋_GB2312"/>
          <w:sz w:val="30"/>
          <w:szCs w:val="30"/>
          <w:highlight w:val="none"/>
        </w:rPr>
        <w:t>2</w:t>
      </w:r>
      <w:r>
        <w:rPr>
          <w:rFonts w:hint="eastAsia" w:ascii="仿宋_GB2312" w:eastAsia="仿宋_GB2312"/>
          <w:sz w:val="30"/>
          <w:szCs w:val="30"/>
          <w:highlight w:val="none"/>
        </w:rPr>
        <w:t>）权属证号：该指标取自资产卡片的“权属证号”数据。选择“土地使用批准文件、相关法律文书及其他”的可以写相关文件名称。</w:t>
      </w:r>
    </w:p>
    <w:p w14:paraId="1DF4D888">
      <w:pPr>
        <w:spacing w:line="360" w:lineRule="auto"/>
        <w:ind w:firstLine="576" w:firstLineChars="192"/>
        <w:rPr>
          <w:rFonts w:ascii="仿宋_GB2312" w:eastAsia="仿宋_GB2312"/>
          <w:sz w:val="30"/>
          <w:szCs w:val="30"/>
          <w:highlight w:val="none"/>
        </w:rPr>
      </w:pPr>
      <w:r>
        <w:rPr>
          <w:rFonts w:hint="eastAsia" w:ascii="仿宋_GB2312" w:eastAsia="仿宋_GB2312"/>
          <w:sz w:val="30"/>
          <w:szCs w:val="30"/>
          <w:highlight w:val="none"/>
        </w:rPr>
        <w:t>（</w:t>
      </w:r>
      <w:r>
        <w:rPr>
          <w:rFonts w:ascii="仿宋_GB2312" w:eastAsia="仿宋_GB2312"/>
          <w:sz w:val="30"/>
          <w:szCs w:val="30"/>
          <w:highlight w:val="none"/>
        </w:rPr>
        <w:t>3</w:t>
      </w:r>
      <w:r>
        <w:rPr>
          <w:rFonts w:hint="eastAsia" w:ascii="仿宋_GB2312" w:eastAsia="仿宋_GB2312"/>
          <w:sz w:val="30"/>
          <w:szCs w:val="30"/>
          <w:highlight w:val="none"/>
        </w:rPr>
        <w:t>）权属面积：权属面积是指由相关部门已确认土地所有权、使用权的土地面积。该指标取自资产卡片的“使用权面积”数据。</w:t>
      </w:r>
    </w:p>
    <w:p w14:paraId="1004B977">
      <w:pPr>
        <w:spacing w:line="360" w:lineRule="auto"/>
        <w:ind w:firstLine="576" w:firstLineChars="192"/>
        <w:rPr>
          <w:rFonts w:ascii="仿宋_GB2312" w:eastAsia="仿宋_GB2312"/>
          <w:sz w:val="30"/>
          <w:szCs w:val="30"/>
          <w:highlight w:val="none"/>
        </w:rPr>
      </w:pPr>
      <w:r>
        <w:rPr>
          <w:rFonts w:hint="eastAsia" w:ascii="仿宋_GB2312" w:eastAsia="仿宋_GB2312"/>
          <w:sz w:val="30"/>
          <w:szCs w:val="30"/>
          <w:highlight w:val="none"/>
        </w:rPr>
        <w:t>（</w:t>
      </w:r>
      <w:r>
        <w:rPr>
          <w:rFonts w:ascii="仿宋_GB2312" w:eastAsia="仿宋_GB2312"/>
          <w:sz w:val="30"/>
          <w:szCs w:val="30"/>
          <w:highlight w:val="none"/>
        </w:rPr>
        <w:t>4</w:t>
      </w:r>
      <w:r>
        <w:rPr>
          <w:rFonts w:hint="eastAsia" w:ascii="仿宋_GB2312" w:eastAsia="仿宋_GB2312"/>
          <w:sz w:val="30"/>
          <w:szCs w:val="30"/>
          <w:highlight w:val="none"/>
        </w:rPr>
        <w:t>）权属性质：该指标取自资产卡片的“权属性质”数据，包括“国有”、“集体”。</w:t>
      </w:r>
    </w:p>
    <w:p w14:paraId="5A0D38B7">
      <w:pPr>
        <w:spacing w:line="360" w:lineRule="auto"/>
        <w:ind w:firstLine="576" w:firstLineChars="192"/>
        <w:rPr>
          <w:rFonts w:ascii="仿宋_GB2312" w:eastAsia="仿宋_GB2312"/>
          <w:sz w:val="30"/>
          <w:szCs w:val="30"/>
          <w:highlight w:val="none"/>
        </w:rPr>
      </w:pPr>
      <w:r>
        <w:rPr>
          <w:rFonts w:hint="eastAsia" w:ascii="仿宋_GB2312" w:eastAsia="仿宋_GB2312"/>
          <w:sz w:val="30"/>
          <w:szCs w:val="30"/>
          <w:highlight w:val="none"/>
        </w:rPr>
        <w:t>3</w:t>
      </w:r>
      <w:r>
        <w:rPr>
          <w:rFonts w:ascii="仿宋_GB2312" w:eastAsia="仿宋_GB2312"/>
          <w:sz w:val="30"/>
          <w:szCs w:val="30"/>
          <w:highlight w:val="none"/>
        </w:rPr>
        <w:t>.</w:t>
      </w:r>
      <w:r>
        <w:rPr>
          <w:rFonts w:hint="eastAsia" w:ascii="仿宋_GB2312" w:eastAsia="仿宋_GB2312"/>
          <w:sz w:val="30"/>
          <w:szCs w:val="30"/>
          <w:highlight w:val="none"/>
        </w:rPr>
        <w:t>期末账面数：</w:t>
      </w:r>
    </w:p>
    <w:p w14:paraId="351464CB">
      <w:pPr>
        <w:spacing w:line="360" w:lineRule="auto"/>
        <w:ind w:firstLine="576" w:firstLineChars="192"/>
        <w:rPr>
          <w:rFonts w:ascii="仿宋_GB2312" w:eastAsia="仿宋_GB2312"/>
          <w:kern w:val="0"/>
          <w:sz w:val="30"/>
          <w:szCs w:val="30"/>
          <w:highlight w:val="none"/>
        </w:rPr>
      </w:pPr>
      <w:r>
        <w:rPr>
          <w:rFonts w:hint="eastAsia" w:ascii="仿宋_GB2312" w:eastAsia="仿宋_GB2312"/>
          <w:sz w:val="30"/>
          <w:szCs w:val="30"/>
          <w:highlight w:val="none"/>
        </w:rPr>
        <w:t>（1）使用状况：</w:t>
      </w:r>
      <w:r>
        <w:rPr>
          <w:rFonts w:hint="eastAsia" w:ascii="仿宋_GB2312" w:eastAsia="仿宋_GB2312"/>
          <w:kern w:val="0"/>
          <w:sz w:val="30"/>
          <w:szCs w:val="30"/>
          <w:highlight w:val="none"/>
        </w:rPr>
        <w:t>根据卡片记录情况，分别按照“在用”、“闲置”、“出租出借”、“待处置（待报废、毁损等）”等资产使用状况提取相应数据。</w:t>
      </w:r>
    </w:p>
    <w:p w14:paraId="5FCF81AF">
      <w:pPr>
        <w:spacing w:line="360" w:lineRule="auto"/>
        <w:ind w:firstLine="576" w:firstLineChars="192"/>
        <w:rPr>
          <w:rFonts w:ascii="仿宋_GB2312" w:eastAsia="仿宋_GB2312"/>
          <w:kern w:val="0"/>
          <w:sz w:val="30"/>
          <w:szCs w:val="30"/>
          <w:highlight w:val="none"/>
        </w:rPr>
      </w:pPr>
      <w:r>
        <w:rPr>
          <w:rFonts w:hint="eastAsia" w:ascii="仿宋_GB2312" w:eastAsia="仿宋_GB2312"/>
          <w:kern w:val="0"/>
          <w:sz w:val="30"/>
          <w:szCs w:val="30"/>
          <w:highlight w:val="none"/>
        </w:rPr>
        <w:t>在用</w:t>
      </w:r>
      <w:r>
        <w:rPr>
          <w:rFonts w:hint="eastAsia" w:ascii="仿宋_GB2312" w:eastAsia="仿宋_GB2312"/>
          <w:kern w:val="0"/>
          <w:sz w:val="30"/>
          <w:szCs w:val="30"/>
          <w:highlight w:val="none"/>
          <w:lang w:eastAsia="zh-CN"/>
        </w:rPr>
        <w:t>：</w:t>
      </w:r>
      <w:r>
        <w:rPr>
          <w:rFonts w:hint="eastAsia" w:ascii="仿宋_GB2312" w:eastAsia="仿宋_GB2312"/>
          <w:kern w:val="0"/>
          <w:sz w:val="30"/>
          <w:szCs w:val="30"/>
          <w:highlight w:val="none"/>
        </w:rPr>
        <w:t>是指本单位占有的，且处于使用状态的资产。</w:t>
      </w:r>
    </w:p>
    <w:p w14:paraId="176DA635">
      <w:pPr>
        <w:spacing w:line="360" w:lineRule="auto"/>
        <w:ind w:firstLine="576" w:firstLineChars="192"/>
        <w:rPr>
          <w:rFonts w:ascii="仿宋_GB2312" w:eastAsia="仿宋_GB2312"/>
          <w:kern w:val="0"/>
          <w:sz w:val="30"/>
          <w:szCs w:val="30"/>
          <w:highlight w:val="none"/>
        </w:rPr>
      </w:pPr>
      <w:r>
        <w:rPr>
          <w:rFonts w:hint="eastAsia" w:ascii="仿宋_GB2312" w:eastAsia="仿宋_GB2312"/>
          <w:kern w:val="0"/>
          <w:sz w:val="30"/>
          <w:szCs w:val="30"/>
          <w:highlight w:val="none"/>
        </w:rPr>
        <w:t>出租出借：是指本单位让渡给其他单位使用，并签署相关租借协议的资产。</w:t>
      </w:r>
    </w:p>
    <w:p w14:paraId="466D4C66">
      <w:pPr>
        <w:spacing w:line="360" w:lineRule="auto"/>
        <w:ind w:firstLine="576" w:firstLineChars="192"/>
        <w:rPr>
          <w:rFonts w:ascii="仿宋_GB2312" w:eastAsia="仿宋_GB2312"/>
          <w:kern w:val="0"/>
          <w:sz w:val="30"/>
          <w:szCs w:val="30"/>
          <w:highlight w:val="none"/>
        </w:rPr>
      </w:pPr>
      <w:r>
        <w:rPr>
          <w:rFonts w:hint="eastAsia" w:ascii="仿宋_GB2312" w:eastAsia="仿宋_GB2312"/>
          <w:kern w:val="0"/>
          <w:sz w:val="30"/>
          <w:szCs w:val="30"/>
          <w:highlight w:val="none"/>
        </w:rPr>
        <w:t>闲置：是指满足使用条件但未投入使用的资产。</w:t>
      </w:r>
    </w:p>
    <w:p w14:paraId="70A2923D">
      <w:pPr>
        <w:spacing w:line="360" w:lineRule="auto"/>
        <w:ind w:firstLine="576" w:firstLineChars="192"/>
        <w:rPr>
          <w:rFonts w:ascii="仿宋_GB2312" w:eastAsia="仿宋_GB2312"/>
          <w:sz w:val="30"/>
          <w:szCs w:val="30"/>
          <w:highlight w:val="none"/>
        </w:rPr>
      </w:pPr>
      <w:r>
        <w:rPr>
          <w:rFonts w:hint="eastAsia" w:ascii="仿宋_GB2312" w:eastAsia="仿宋_GB2312"/>
          <w:kern w:val="0"/>
          <w:sz w:val="30"/>
          <w:szCs w:val="30"/>
          <w:highlight w:val="none"/>
        </w:rPr>
        <w:t>待处置（待报废、毁损等）：是指除在用、闲置、出租出借等以外的使用情形，如损毁或盘亏资产、处置流程中的资产、待报废资产</w:t>
      </w:r>
      <w:r>
        <w:rPr>
          <w:rFonts w:hint="eastAsia" w:ascii="仿宋_GB2312" w:hAnsi="仿宋" w:eastAsia="仿宋_GB2312"/>
          <w:sz w:val="30"/>
          <w:szCs w:val="30"/>
          <w:highlight w:val="none"/>
        </w:rPr>
        <w:t>等。</w:t>
      </w:r>
    </w:p>
    <w:p w14:paraId="59756472">
      <w:pPr>
        <w:spacing w:line="360" w:lineRule="auto"/>
        <w:ind w:firstLine="576" w:firstLineChars="192"/>
        <w:rPr>
          <w:rFonts w:ascii="仿宋_GB2312" w:eastAsia="仿宋_GB2312"/>
          <w:sz w:val="30"/>
          <w:szCs w:val="30"/>
          <w:highlight w:val="none"/>
        </w:rPr>
      </w:pPr>
      <w:r>
        <w:rPr>
          <w:rFonts w:hint="eastAsia" w:ascii="仿宋_GB2312" w:eastAsia="仿宋_GB2312"/>
          <w:sz w:val="30"/>
          <w:szCs w:val="30"/>
          <w:highlight w:val="none"/>
        </w:rPr>
        <w:t>（2）原值、累计摊销、净值：由资产模块中资产</w:t>
      </w:r>
      <w:r>
        <w:rPr>
          <w:rFonts w:ascii="仿宋_GB2312" w:eastAsia="仿宋_GB2312"/>
          <w:sz w:val="30"/>
          <w:szCs w:val="30"/>
          <w:highlight w:val="none"/>
        </w:rPr>
        <w:t>卡片</w:t>
      </w:r>
      <w:r>
        <w:rPr>
          <w:rFonts w:hint="eastAsia" w:ascii="仿宋_GB2312" w:eastAsia="仿宋_GB2312"/>
          <w:sz w:val="30"/>
          <w:szCs w:val="30"/>
          <w:highlight w:val="none"/>
        </w:rPr>
        <w:t>相应指标字段提取。</w:t>
      </w:r>
    </w:p>
    <w:p w14:paraId="62104945">
      <w:pPr>
        <w:spacing w:line="360" w:lineRule="auto"/>
        <w:ind w:firstLine="578" w:firstLineChars="192"/>
        <w:rPr>
          <w:rFonts w:ascii="仿宋_GB2312" w:eastAsia="仿宋_GB2312"/>
          <w:b/>
          <w:sz w:val="30"/>
          <w:szCs w:val="30"/>
          <w:highlight w:val="none"/>
        </w:rPr>
      </w:pPr>
      <w:r>
        <w:rPr>
          <w:rFonts w:hint="eastAsia" w:ascii="仿宋_GB2312" w:eastAsia="仿宋_GB2312"/>
          <w:b/>
          <w:sz w:val="30"/>
          <w:szCs w:val="30"/>
          <w:highlight w:val="none"/>
        </w:rPr>
        <w:t>逻辑性审核公式：</w:t>
      </w:r>
    </w:p>
    <w:p w14:paraId="1DDDE83C">
      <w:pPr>
        <w:spacing w:line="360" w:lineRule="auto"/>
        <w:ind w:firstLine="578" w:firstLineChars="192"/>
        <w:rPr>
          <w:rFonts w:ascii="仿宋_GB2312" w:eastAsia="仿宋_GB2312"/>
          <w:b/>
          <w:sz w:val="30"/>
          <w:szCs w:val="30"/>
          <w:highlight w:val="none"/>
        </w:rPr>
      </w:pPr>
      <w:r>
        <w:rPr>
          <w:rFonts w:hint="eastAsia" w:ascii="仿宋_GB2312" w:hAnsi="等线" w:eastAsia="仿宋_GB2312"/>
          <w:b/>
          <w:sz w:val="30"/>
          <w:szCs w:val="30"/>
          <w:highlight w:val="none"/>
        </w:rPr>
        <w:t>表内</w:t>
      </w:r>
      <w:r>
        <w:rPr>
          <w:rFonts w:hint="eastAsia" w:ascii="仿宋_GB2312" w:eastAsia="仿宋_GB2312"/>
          <w:b/>
          <w:sz w:val="30"/>
          <w:szCs w:val="30"/>
          <w:highlight w:val="none"/>
        </w:rPr>
        <w:t>审核公式：</w:t>
      </w:r>
    </w:p>
    <w:p w14:paraId="35406DAD">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合计行=各浮动行之和；</w:t>
      </w:r>
    </w:p>
    <w:p w14:paraId="1ED87B6D">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浮动行资产分类（1栏）、资产名称（3栏）、取得方式（4栏）、权属证明（7栏）不能为空；</w:t>
      </w:r>
    </w:p>
    <w:p w14:paraId="61E258E9">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当权属证明（7栏）为“</w:t>
      </w:r>
      <w:r>
        <w:rPr>
          <w:rFonts w:hint="eastAsia" w:ascii="仿宋_GB2312" w:hAnsi="仿宋" w:eastAsia="仿宋_GB2312"/>
          <w:sz w:val="30"/>
          <w:szCs w:val="30"/>
          <w:highlight w:val="none"/>
          <w:lang w:val="en-US" w:eastAsia="zh-CN"/>
        </w:rPr>
        <w:t>土</w:t>
      </w:r>
      <w:r>
        <w:rPr>
          <w:rFonts w:hint="eastAsia" w:ascii="仿宋_GB2312" w:eastAsia="仿宋_GB2312"/>
          <w:sz w:val="30"/>
          <w:szCs w:val="30"/>
          <w:highlight w:val="none"/>
        </w:rPr>
        <w:t>地使用批准文件、相关法律文书及其他</w:t>
      </w:r>
      <w:r>
        <w:rPr>
          <w:rFonts w:hint="eastAsia" w:ascii="仿宋_GB2312" w:hAnsi="仿宋" w:eastAsia="仿宋_GB2312"/>
          <w:sz w:val="30"/>
          <w:szCs w:val="30"/>
          <w:highlight w:val="none"/>
        </w:rPr>
        <w:t>”时，</w:t>
      </w:r>
      <w:r>
        <w:rPr>
          <w:rFonts w:hint="eastAsia" w:ascii="仿宋_GB2312" w:hAnsi="仿宋" w:eastAsia="仿宋_GB2312"/>
          <w:sz w:val="30"/>
          <w:szCs w:val="30"/>
          <w:highlight w:val="none"/>
          <w:lang w:val="en-US" w:eastAsia="zh-CN"/>
        </w:rPr>
        <w:t>权属面积（9栏）、权属性质（</w:t>
      </w:r>
      <w:r>
        <w:rPr>
          <w:rFonts w:ascii="仿宋_GB2312" w:hAnsi="仿宋" w:eastAsia="仿宋_GB2312"/>
          <w:sz w:val="30"/>
          <w:szCs w:val="30"/>
          <w:highlight w:val="none"/>
        </w:rPr>
        <w:t>10</w:t>
      </w:r>
      <w:r>
        <w:rPr>
          <w:rFonts w:hint="eastAsia" w:ascii="仿宋_GB2312" w:hAnsi="仿宋" w:eastAsia="仿宋_GB2312"/>
          <w:sz w:val="30"/>
          <w:szCs w:val="30"/>
          <w:highlight w:val="none"/>
        </w:rPr>
        <w:t>栏</w:t>
      </w:r>
      <w:r>
        <w:rPr>
          <w:rFonts w:hint="eastAsia" w:ascii="仿宋_GB2312" w:hAnsi="仿宋" w:eastAsia="仿宋_GB2312"/>
          <w:sz w:val="30"/>
          <w:szCs w:val="30"/>
          <w:highlight w:val="none"/>
          <w:lang w:val="en-US" w:eastAsia="zh-CN"/>
        </w:rPr>
        <w:t>）</w:t>
      </w:r>
      <w:r>
        <w:rPr>
          <w:rFonts w:hint="eastAsia" w:ascii="仿宋_GB2312" w:hAnsi="仿宋" w:eastAsia="仿宋_GB2312"/>
          <w:sz w:val="30"/>
          <w:szCs w:val="30"/>
          <w:highlight w:val="none"/>
        </w:rPr>
        <w:t>必填；</w:t>
      </w:r>
    </w:p>
    <w:p w14:paraId="35BE7F12">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当权属证明（7栏）为“</w:t>
      </w:r>
      <w:r>
        <w:rPr>
          <w:rFonts w:hint="eastAsia" w:ascii="仿宋_GB2312" w:eastAsia="仿宋_GB2312"/>
          <w:sz w:val="30"/>
          <w:szCs w:val="30"/>
          <w:highlight w:val="none"/>
        </w:rPr>
        <w:t>土地使用证</w:t>
      </w:r>
      <w:r>
        <w:rPr>
          <w:rFonts w:hint="eastAsia" w:ascii="仿宋_GB2312" w:hAnsi="仿宋" w:eastAsia="仿宋_GB2312"/>
          <w:sz w:val="30"/>
          <w:szCs w:val="30"/>
          <w:highlight w:val="none"/>
        </w:rPr>
        <w:t>”时，</w:t>
      </w:r>
      <w:r>
        <w:rPr>
          <w:rFonts w:hint="eastAsia" w:ascii="仿宋_GB2312" w:hAnsi="仿宋" w:eastAsia="仿宋_GB2312"/>
          <w:sz w:val="30"/>
          <w:szCs w:val="30"/>
          <w:highlight w:val="none"/>
          <w:lang w:val="en-US" w:eastAsia="zh-CN"/>
        </w:rPr>
        <w:t>权属证号（8栏）、权属面积（9栏）、权属性质（</w:t>
      </w:r>
      <w:r>
        <w:rPr>
          <w:rFonts w:ascii="仿宋_GB2312" w:hAnsi="仿宋" w:eastAsia="仿宋_GB2312"/>
          <w:sz w:val="30"/>
          <w:szCs w:val="30"/>
          <w:highlight w:val="none"/>
        </w:rPr>
        <w:t>10</w:t>
      </w:r>
      <w:r>
        <w:rPr>
          <w:rFonts w:hint="eastAsia" w:ascii="仿宋_GB2312" w:hAnsi="仿宋" w:eastAsia="仿宋_GB2312"/>
          <w:sz w:val="30"/>
          <w:szCs w:val="30"/>
          <w:highlight w:val="none"/>
        </w:rPr>
        <w:t>栏</w:t>
      </w:r>
      <w:r>
        <w:rPr>
          <w:rFonts w:hint="eastAsia" w:ascii="仿宋_GB2312" w:hAnsi="仿宋" w:eastAsia="仿宋_GB2312"/>
          <w:sz w:val="30"/>
          <w:szCs w:val="30"/>
          <w:highlight w:val="none"/>
          <w:lang w:val="en-US" w:eastAsia="zh-CN"/>
        </w:rPr>
        <w:t>）</w:t>
      </w:r>
      <w:r>
        <w:rPr>
          <w:rFonts w:hint="eastAsia" w:ascii="仿宋_GB2312" w:hAnsi="仿宋" w:eastAsia="仿宋_GB2312"/>
          <w:sz w:val="30"/>
          <w:szCs w:val="30"/>
          <w:highlight w:val="none"/>
        </w:rPr>
        <w:t>必填；</w:t>
      </w:r>
    </w:p>
    <w:p w14:paraId="2CA8B472">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当权属证明（7栏）为“无”时，备注（</w:t>
      </w:r>
      <w:r>
        <w:rPr>
          <w:rFonts w:ascii="仿宋_GB2312" w:hAnsi="仿宋" w:eastAsia="仿宋_GB2312"/>
          <w:sz w:val="30"/>
          <w:szCs w:val="30"/>
          <w:highlight w:val="none"/>
        </w:rPr>
        <w:t>19</w:t>
      </w:r>
      <w:r>
        <w:rPr>
          <w:rFonts w:hint="eastAsia" w:ascii="仿宋_GB2312" w:hAnsi="仿宋" w:eastAsia="仿宋_GB2312"/>
          <w:sz w:val="30"/>
          <w:szCs w:val="30"/>
          <w:highlight w:val="none"/>
        </w:rPr>
        <w:t>栏）不能为空；</w:t>
      </w:r>
    </w:p>
    <w:p w14:paraId="79A3ADCC">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当权属证明（7栏）为“无”时，</w:t>
      </w:r>
      <w:r>
        <w:rPr>
          <w:rFonts w:hint="eastAsia" w:ascii="仿宋_GB2312" w:hAnsi="仿宋" w:eastAsia="仿宋_GB2312"/>
          <w:sz w:val="30"/>
          <w:szCs w:val="30"/>
          <w:highlight w:val="none"/>
          <w:lang w:val="en-US" w:eastAsia="zh-CN"/>
        </w:rPr>
        <w:t>权属面积（9栏）</w:t>
      </w:r>
      <w:r>
        <w:rPr>
          <w:rFonts w:hint="eastAsia" w:ascii="仿宋_GB2312" w:hAnsi="仿宋" w:eastAsia="仿宋_GB2312"/>
          <w:sz w:val="30"/>
          <w:szCs w:val="30"/>
          <w:highlight w:val="none"/>
        </w:rPr>
        <w:t>应等于0；</w:t>
      </w:r>
    </w:p>
    <w:p w14:paraId="6D4C4C9C">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浮动行使用状况小计（1</w:t>
      </w:r>
      <w:r>
        <w:rPr>
          <w:rFonts w:ascii="仿宋_GB2312" w:hAnsi="仿宋" w:eastAsia="仿宋_GB2312"/>
          <w:sz w:val="30"/>
          <w:szCs w:val="30"/>
          <w:highlight w:val="none"/>
        </w:rPr>
        <w:t>1</w:t>
      </w:r>
      <w:r>
        <w:rPr>
          <w:rFonts w:hint="eastAsia" w:ascii="仿宋_GB2312" w:hAnsi="仿宋" w:eastAsia="仿宋_GB2312"/>
          <w:sz w:val="30"/>
          <w:szCs w:val="30"/>
          <w:highlight w:val="none"/>
        </w:rPr>
        <w:t>栏）&gt;</w:t>
      </w:r>
      <w:r>
        <w:rPr>
          <w:rFonts w:ascii="仿宋_GB2312" w:hAnsi="仿宋" w:eastAsia="仿宋_GB2312"/>
          <w:sz w:val="30"/>
          <w:szCs w:val="30"/>
          <w:highlight w:val="none"/>
        </w:rPr>
        <w:t>0</w:t>
      </w:r>
      <w:r>
        <w:rPr>
          <w:rFonts w:hint="eastAsia" w:ascii="仿宋_GB2312" w:hAnsi="仿宋" w:eastAsia="仿宋_GB2312"/>
          <w:sz w:val="30"/>
          <w:szCs w:val="30"/>
          <w:highlight w:val="none"/>
        </w:rPr>
        <w:t>；</w:t>
      </w:r>
    </w:p>
    <w:p w14:paraId="5F0BC85E">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浮动行使用状况小计（1</w:t>
      </w:r>
      <w:r>
        <w:rPr>
          <w:rFonts w:ascii="仿宋_GB2312" w:hAnsi="仿宋" w:eastAsia="仿宋_GB2312"/>
          <w:sz w:val="30"/>
          <w:szCs w:val="30"/>
          <w:highlight w:val="none"/>
        </w:rPr>
        <w:t>1</w:t>
      </w:r>
      <w:r>
        <w:rPr>
          <w:rFonts w:hint="eastAsia" w:ascii="仿宋_GB2312" w:hAnsi="仿宋" w:eastAsia="仿宋_GB2312"/>
          <w:sz w:val="30"/>
          <w:szCs w:val="30"/>
          <w:highlight w:val="none"/>
        </w:rPr>
        <w:t>栏）</w:t>
      </w:r>
      <w:r>
        <w:rPr>
          <w:rFonts w:ascii="仿宋_GB2312" w:hAnsi="仿宋" w:eastAsia="仿宋_GB2312"/>
          <w:sz w:val="30"/>
          <w:szCs w:val="30"/>
          <w:highlight w:val="none"/>
        </w:rPr>
        <w:t>=</w:t>
      </w:r>
      <w:r>
        <w:rPr>
          <w:rFonts w:hint="eastAsia" w:ascii="仿宋_GB2312" w:hAnsi="仿宋" w:eastAsia="仿宋_GB2312"/>
          <w:sz w:val="30"/>
          <w:szCs w:val="30"/>
          <w:highlight w:val="none"/>
        </w:rPr>
        <w:t>在用</w:t>
      </w:r>
      <w:r>
        <w:rPr>
          <w:rFonts w:ascii="仿宋_GB2312" w:hAnsi="仿宋" w:eastAsia="仿宋_GB2312"/>
          <w:sz w:val="30"/>
          <w:szCs w:val="30"/>
          <w:highlight w:val="none"/>
        </w:rPr>
        <w:t>（</w:t>
      </w:r>
      <w:r>
        <w:rPr>
          <w:rFonts w:hint="eastAsia" w:ascii="仿宋_GB2312" w:hAnsi="仿宋" w:eastAsia="仿宋_GB2312"/>
          <w:sz w:val="30"/>
          <w:szCs w:val="30"/>
          <w:highlight w:val="none"/>
        </w:rPr>
        <w:t>1</w:t>
      </w:r>
      <w:r>
        <w:rPr>
          <w:rFonts w:ascii="仿宋_GB2312" w:hAnsi="仿宋" w:eastAsia="仿宋_GB2312"/>
          <w:sz w:val="30"/>
          <w:szCs w:val="30"/>
          <w:highlight w:val="none"/>
        </w:rPr>
        <w:t>2</w:t>
      </w:r>
      <w:r>
        <w:rPr>
          <w:rFonts w:hint="eastAsia" w:ascii="仿宋_GB2312" w:hAnsi="仿宋" w:eastAsia="仿宋_GB2312"/>
          <w:sz w:val="30"/>
          <w:szCs w:val="30"/>
          <w:highlight w:val="none"/>
        </w:rPr>
        <w:t>栏）</w:t>
      </w:r>
      <w:r>
        <w:rPr>
          <w:rFonts w:ascii="仿宋_GB2312" w:hAnsi="仿宋" w:eastAsia="仿宋_GB2312"/>
          <w:sz w:val="30"/>
          <w:szCs w:val="30"/>
          <w:highlight w:val="none"/>
        </w:rPr>
        <w:t>+</w:t>
      </w:r>
      <w:r>
        <w:rPr>
          <w:rFonts w:hint="eastAsia" w:ascii="仿宋_GB2312" w:hAnsi="仿宋" w:eastAsia="仿宋_GB2312"/>
          <w:sz w:val="30"/>
          <w:szCs w:val="30"/>
          <w:highlight w:val="none"/>
        </w:rPr>
        <w:t>出租出借（</w:t>
      </w:r>
      <w:r>
        <w:rPr>
          <w:rFonts w:ascii="仿宋_GB2312" w:hAnsi="仿宋" w:eastAsia="仿宋_GB2312"/>
          <w:sz w:val="30"/>
          <w:szCs w:val="30"/>
          <w:highlight w:val="none"/>
        </w:rPr>
        <w:t>13</w:t>
      </w:r>
      <w:r>
        <w:rPr>
          <w:rFonts w:hint="eastAsia" w:ascii="仿宋_GB2312" w:hAnsi="仿宋" w:eastAsia="仿宋_GB2312"/>
          <w:sz w:val="30"/>
          <w:szCs w:val="30"/>
          <w:highlight w:val="none"/>
        </w:rPr>
        <w:t>栏</w:t>
      </w:r>
      <w:r>
        <w:rPr>
          <w:rFonts w:hint="eastAsia" w:ascii="仿宋_GB2312" w:hAnsi="仿宋" w:eastAsia="仿宋_GB2312"/>
          <w:sz w:val="30"/>
          <w:szCs w:val="30"/>
          <w:highlight w:val="none"/>
          <w:lang w:eastAsia="zh-CN"/>
        </w:rPr>
        <w:t>）</w:t>
      </w:r>
      <w:r>
        <w:rPr>
          <w:rFonts w:ascii="仿宋_GB2312" w:hAnsi="仿宋" w:eastAsia="仿宋_GB2312"/>
          <w:sz w:val="30"/>
          <w:szCs w:val="30"/>
          <w:highlight w:val="none"/>
        </w:rPr>
        <w:t>+</w:t>
      </w:r>
      <w:r>
        <w:rPr>
          <w:rFonts w:hint="eastAsia" w:ascii="仿宋_GB2312" w:hAnsi="仿宋" w:eastAsia="仿宋_GB2312"/>
          <w:sz w:val="30"/>
          <w:szCs w:val="30"/>
          <w:highlight w:val="none"/>
        </w:rPr>
        <w:t>闲置（</w:t>
      </w:r>
      <w:r>
        <w:rPr>
          <w:rFonts w:ascii="仿宋_GB2312" w:hAnsi="仿宋" w:eastAsia="仿宋_GB2312"/>
          <w:sz w:val="30"/>
          <w:szCs w:val="30"/>
          <w:highlight w:val="none"/>
        </w:rPr>
        <w:t>14</w:t>
      </w:r>
      <w:r>
        <w:rPr>
          <w:rFonts w:hint="eastAsia" w:ascii="仿宋_GB2312" w:hAnsi="仿宋" w:eastAsia="仿宋_GB2312"/>
          <w:sz w:val="30"/>
          <w:szCs w:val="30"/>
          <w:highlight w:val="none"/>
        </w:rPr>
        <w:t>栏）</w:t>
      </w:r>
      <w:r>
        <w:rPr>
          <w:rFonts w:ascii="仿宋_GB2312" w:hAnsi="仿宋" w:eastAsia="仿宋_GB2312"/>
          <w:sz w:val="30"/>
          <w:szCs w:val="30"/>
          <w:highlight w:val="none"/>
        </w:rPr>
        <w:t>+</w:t>
      </w:r>
      <w:r>
        <w:rPr>
          <w:rFonts w:hint="eastAsia" w:ascii="仿宋_GB2312" w:hAnsi="仿宋" w:eastAsia="仿宋_GB2312"/>
          <w:sz w:val="30"/>
          <w:szCs w:val="30"/>
          <w:highlight w:val="none"/>
        </w:rPr>
        <w:t>待处置（待报废、毁损等）（</w:t>
      </w:r>
      <w:r>
        <w:rPr>
          <w:rFonts w:ascii="仿宋_GB2312" w:hAnsi="仿宋" w:eastAsia="仿宋_GB2312"/>
          <w:sz w:val="30"/>
          <w:szCs w:val="30"/>
          <w:highlight w:val="none"/>
        </w:rPr>
        <w:t>15栏）；</w:t>
      </w:r>
    </w:p>
    <w:p w14:paraId="49832EA3">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浮动行待处置（待报废、毁损等）（</w:t>
      </w:r>
      <w:r>
        <w:rPr>
          <w:rFonts w:ascii="仿宋_GB2312" w:hAnsi="仿宋" w:eastAsia="仿宋_GB2312"/>
          <w:sz w:val="30"/>
          <w:szCs w:val="30"/>
          <w:highlight w:val="none"/>
        </w:rPr>
        <w:t>15栏）</w:t>
      </w:r>
      <w:r>
        <w:rPr>
          <w:rFonts w:hint="eastAsia" w:ascii="仿宋_GB2312" w:hAnsi="仿宋" w:eastAsia="仿宋_GB2312"/>
          <w:sz w:val="30"/>
          <w:szCs w:val="30"/>
          <w:highlight w:val="none"/>
        </w:rPr>
        <w:t>&gt;0，备注（</w:t>
      </w:r>
      <w:r>
        <w:rPr>
          <w:rFonts w:ascii="仿宋_GB2312" w:hAnsi="仿宋" w:eastAsia="仿宋_GB2312"/>
          <w:sz w:val="30"/>
          <w:szCs w:val="30"/>
          <w:highlight w:val="none"/>
        </w:rPr>
        <w:t>19</w:t>
      </w:r>
      <w:r>
        <w:rPr>
          <w:rFonts w:hint="eastAsia" w:ascii="仿宋_GB2312" w:hAnsi="仿宋" w:eastAsia="仿宋_GB2312"/>
          <w:sz w:val="30"/>
          <w:szCs w:val="30"/>
          <w:highlight w:val="none"/>
        </w:rPr>
        <w:t>栏）不能为空；</w:t>
      </w:r>
    </w:p>
    <w:p w14:paraId="195D849B">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当资产分类（1栏）选择固定资产中土地时，备注（</w:t>
      </w:r>
      <w:r>
        <w:rPr>
          <w:rFonts w:ascii="仿宋_GB2312" w:hAnsi="仿宋" w:eastAsia="仿宋_GB2312"/>
          <w:sz w:val="30"/>
          <w:szCs w:val="30"/>
          <w:highlight w:val="none"/>
        </w:rPr>
        <w:t>19</w:t>
      </w:r>
      <w:r>
        <w:rPr>
          <w:rFonts w:hint="eastAsia" w:ascii="仿宋_GB2312" w:hAnsi="仿宋" w:eastAsia="仿宋_GB2312"/>
          <w:sz w:val="30"/>
          <w:szCs w:val="30"/>
          <w:highlight w:val="none"/>
        </w:rPr>
        <w:t>栏）不能为空；</w:t>
      </w:r>
    </w:p>
    <w:p w14:paraId="7446FC10">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浮动行权属面积（</w:t>
      </w:r>
      <w:r>
        <w:rPr>
          <w:rFonts w:ascii="仿宋_GB2312" w:hAnsi="仿宋" w:eastAsia="仿宋_GB2312"/>
          <w:sz w:val="30"/>
          <w:szCs w:val="30"/>
          <w:highlight w:val="none"/>
        </w:rPr>
        <w:t>9</w:t>
      </w:r>
      <w:r>
        <w:rPr>
          <w:rFonts w:hint="eastAsia" w:ascii="仿宋_GB2312" w:hAnsi="仿宋" w:eastAsia="仿宋_GB2312"/>
          <w:sz w:val="30"/>
          <w:szCs w:val="30"/>
          <w:highlight w:val="none"/>
        </w:rPr>
        <w:t>栏）、期末账面数所属各指标（</w:t>
      </w:r>
      <w:r>
        <w:rPr>
          <w:rFonts w:ascii="仿宋_GB2312" w:hAnsi="仿宋" w:eastAsia="仿宋_GB2312"/>
          <w:sz w:val="30"/>
          <w:szCs w:val="30"/>
          <w:highlight w:val="none"/>
        </w:rPr>
        <w:t>11</w:t>
      </w:r>
      <w:r>
        <w:rPr>
          <w:rFonts w:hint="eastAsia" w:ascii="仿宋_GB2312" w:hAnsi="仿宋" w:eastAsia="仿宋_GB2312"/>
          <w:sz w:val="30"/>
          <w:szCs w:val="30"/>
          <w:highlight w:val="none"/>
        </w:rPr>
        <w:t>~</w:t>
      </w:r>
      <w:r>
        <w:rPr>
          <w:rFonts w:ascii="仿宋_GB2312" w:hAnsi="仿宋" w:eastAsia="仿宋_GB2312"/>
          <w:sz w:val="30"/>
          <w:szCs w:val="30"/>
          <w:highlight w:val="none"/>
        </w:rPr>
        <w:t>18</w:t>
      </w:r>
      <w:r>
        <w:rPr>
          <w:rFonts w:hint="eastAsia" w:ascii="仿宋_GB2312" w:hAnsi="仿宋" w:eastAsia="仿宋_GB2312"/>
          <w:sz w:val="30"/>
          <w:szCs w:val="30"/>
          <w:highlight w:val="none"/>
        </w:rPr>
        <w:t>栏）必须≥0。</w:t>
      </w:r>
    </w:p>
    <w:p w14:paraId="769EF84B">
      <w:pPr>
        <w:spacing w:line="360" w:lineRule="auto"/>
        <w:ind w:firstLine="578" w:firstLineChars="192"/>
        <w:rPr>
          <w:rFonts w:hint="eastAsia" w:ascii="仿宋_GB2312" w:hAnsi="等线" w:eastAsia="仿宋_GB2312"/>
          <w:b/>
          <w:sz w:val="30"/>
          <w:szCs w:val="30"/>
          <w:highlight w:val="none"/>
        </w:rPr>
      </w:pPr>
      <w:r>
        <w:rPr>
          <w:rFonts w:hint="eastAsia" w:ascii="仿宋_GB2312" w:hAnsi="等线" w:eastAsia="仿宋_GB2312"/>
          <w:b/>
          <w:sz w:val="30"/>
          <w:szCs w:val="30"/>
          <w:highlight w:val="none"/>
        </w:rPr>
        <w:t>表间审核公式：</w:t>
      </w:r>
    </w:p>
    <w:p w14:paraId="5DE1BE57">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资产分类为固定资产分类项下土地的，合计行使用状况小计（</w:t>
      </w:r>
      <w:r>
        <w:rPr>
          <w:rFonts w:ascii="仿宋_GB2312" w:hAnsi="仿宋" w:eastAsia="仿宋_GB2312"/>
          <w:sz w:val="30"/>
          <w:szCs w:val="30"/>
          <w:highlight w:val="none"/>
        </w:rPr>
        <w:t>11</w:t>
      </w:r>
      <w:r>
        <w:rPr>
          <w:rFonts w:hint="eastAsia" w:ascii="仿宋_GB2312" w:hAnsi="仿宋" w:eastAsia="仿宋_GB2312"/>
          <w:sz w:val="30"/>
          <w:szCs w:val="30"/>
          <w:highlight w:val="none"/>
        </w:rPr>
        <w:t>栏）</w:t>
      </w:r>
      <w:r>
        <w:rPr>
          <w:rFonts w:hint="eastAsia" w:ascii="仿宋_GB2312" w:hAnsi="仿宋" w:eastAsia="仿宋_GB2312"/>
          <w:sz w:val="30"/>
          <w:szCs w:val="30"/>
          <w:highlight w:val="none"/>
          <w:lang w:val="en-US" w:eastAsia="zh-CN"/>
        </w:rPr>
        <w:t>应等于</w:t>
      </w:r>
      <w:r>
        <w:rPr>
          <w:rFonts w:hint="eastAsia" w:ascii="仿宋_GB2312" w:hAnsi="仿宋" w:eastAsia="仿宋_GB2312"/>
          <w:sz w:val="30"/>
          <w:szCs w:val="30"/>
          <w:highlight w:val="none"/>
        </w:rPr>
        <w:t>财资03固定和无形资产存量情况表中固定资产下土地（</w:t>
      </w:r>
      <w:r>
        <w:rPr>
          <w:rFonts w:ascii="仿宋_GB2312" w:hAnsi="仿宋" w:eastAsia="仿宋_GB2312"/>
          <w:sz w:val="30"/>
          <w:szCs w:val="30"/>
          <w:highlight w:val="none"/>
        </w:rPr>
        <w:t>4</w:t>
      </w:r>
      <w:r>
        <w:rPr>
          <w:rFonts w:hint="eastAsia" w:ascii="仿宋_GB2312" w:hAnsi="仿宋" w:eastAsia="仿宋_GB2312"/>
          <w:sz w:val="30"/>
          <w:szCs w:val="30"/>
          <w:highlight w:val="none"/>
        </w:rPr>
        <w:t>行）期末账面数的数量（</w:t>
      </w:r>
      <w:r>
        <w:rPr>
          <w:rFonts w:ascii="仿宋_GB2312" w:hAnsi="仿宋" w:eastAsia="仿宋_GB2312"/>
          <w:sz w:val="30"/>
          <w:szCs w:val="30"/>
          <w:highlight w:val="none"/>
        </w:rPr>
        <w:t>5</w:t>
      </w:r>
      <w:r>
        <w:rPr>
          <w:rFonts w:hint="eastAsia" w:ascii="仿宋_GB2312" w:hAnsi="仿宋" w:eastAsia="仿宋_GB2312"/>
          <w:sz w:val="30"/>
          <w:szCs w:val="30"/>
          <w:highlight w:val="none"/>
        </w:rPr>
        <w:t>栏）；</w:t>
      </w:r>
    </w:p>
    <w:p w14:paraId="25E0EFC0">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资产分类为固定资产分类项下土地的，合计行期末账面价值的原值（16栏）、累计折旧/摊销（17栏）、净值（</w:t>
      </w:r>
      <w:r>
        <w:rPr>
          <w:rFonts w:ascii="仿宋_GB2312" w:hAnsi="仿宋" w:eastAsia="仿宋_GB2312"/>
          <w:sz w:val="30"/>
          <w:szCs w:val="30"/>
          <w:highlight w:val="none"/>
        </w:rPr>
        <w:t>18</w:t>
      </w:r>
      <w:r>
        <w:rPr>
          <w:rFonts w:hint="eastAsia" w:ascii="仿宋_GB2312" w:hAnsi="仿宋" w:eastAsia="仿宋_GB2312"/>
          <w:sz w:val="30"/>
          <w:szCs w:val="30"/>
          <w:highlight w:val="none"/>
        </w:rPr>
        <w:t>栏）</w:t>
      </w:r>
      <w:r>
        <w:rPr>
          <w:rFonts w:hint="eastAsia" w:ascii="仿宋_GB2312" w:hAnsi="仿宋" w:eastAsia="仿宋_GB2312"/>
          <w:sz w:val="30"/>
          <w:szCs w:val="30"/>
          <w:highlight w:val="none"/>
          <w:lang w:val="en-US" w:eastAsia="zh-CN"/>
        </w:rPr>
        <w:t>应分别等于</w:t>
      </w:r>
      <w:r>
        <w:rPr>
          <w:rFonts w:hint="eastAsia" w:ascii="仿宋_GB2312" w:hAnsi="仿宋" w:eastAsia="仿宋_GB2312"/>
          <w:sz w:val="30"/>
          <w:szCs w:val="30"/>
          <w:highlight w:val="none"/>
        </w:rPr>
        <w:t>财资03固定和无形资产存量情况表中固定资产下土地（</w:t>
      </w:r>
      <w:r>
        <w:rPr>
          <w:rFonts w:ascii="仿宋_GB2312" w:hAnsi="仿宋" w:eastAsia="仿宋_GB2312"/>
          <w:sz w:val="30"/>
          <w:szCs w:val="30"/>
          <w:highlight w:val="none"/>
        </w:rPr>
        <w:t>4</w:t>
      </w:r>
      <w:r>
        <w:rPr>
          <w:rFonts w:hint="eastAsia" w:ascii="仿宋_GB2312" w:hAnsi="仿宋" w:eastAsia="仿宋_GB2312"/>
          <w:sz w:val="30"/>
          <w:szCs w:val="30"/>
          <w:highlight w:val="none"/>
        </w:rPr>
        <w:t>行）期末账面数的原值（6栏）、累计折旧/摊销（7栏）、净值（</w:t>
      </w:r>
      <w:r>
        <w:rPr>
          <w:rFonts w:ascii="仿宋_GB2312" w:hAnsi="仿宋" w:eastAsia="仿宋_GB2312"/>
          <w:sz w:val="30"/>
          <w:szCs w:val="30"/>
          <w:highlight w:val="none"/>
        </w:rPr>
        <w:t>8</w:t>
      </w:r>
      <w:r>
        <w:rPr>
          <w:rFonts w:hint="eastAsia" w:ascii="仿宋_GB2312" w:hAnsi="仿宋" w:eastAsia="仿宋_GB2312"/>
          <w:sz w:val="30"/>
          <w:szCs w:val="30"/>
          <w:highlight w:val="none"/>
        </w:rPr>
        <w:t>栏）；</w:t>
      </w:r>
    </w:p>
    <w:p w14:paraId="250A9245">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资产分类为固定资产分类项下土地的，合计行在用（</w:t>
      </w:r>
      <w:r>
        <w:rPr>
          <w:rFonts w:ascii="仿宋_GB2312" w:hAnsi="仿宋" w:eastAsia="仿宋_GB2312"/>
          <w:sz w:val="30"/>
          <w:szCs w:val="30"/>
          <w:highlight w:val="none"/>
        </w:rPr>
        <w:t>12</w:t>
      </w:r>
      <w:r>
        <w:rPr>
          <w:rFonts w:hint="eastAsia" w:ascii="仿宋_GB2312" w:hAnsi="仿宋" w:eastAsia="仿宋_GB2312"/>
          <w:sz w:val="30"/>
          <w:szCs w:val="30"/>
          <w:highlight w:val="none"/>
        </w:rPr>
        <w:t>栏）</w:t>
      </w:r>
      <w:r>
        <w:rPr>
          <w:rFonts w:hint="eastAsia" w:ascii="仿宋_GB2312" w:hAnsi="仿宋" w:eastAsia="仿宋_GB2312"/>
          <w:sz w:val="30"/>
          <w:szCs w:val="30"/>
          <w:highlight w:val="none"/>
          <w:lang w:val="en-US" w:eastAsia="zh-CN"/>
        </w:rPr>
        <w:t>应等于</w:t>
      </w:r>
      <w:r>
        <w:rPr>
          <w:rFonts w:hint="eastAsia" w:ascii="仿宋_GB2312" w:hAnsi="仿宋" w:eastAsia="仿宋_GB2312"/>
          <w:sz w:val="30"/>
          <w:szCs w:val="30"/>
          <w:highlight w:val="none"/>
        </w:rPr>
        <w:t>财资0</w:t>
      </w:r>
      <w:r>
        <w:rPr>
          <w:rFonts w:ascii="仿宋_GB2312" w:hAnsi="仿宋" w:eastAsia="仿宋_GB2312"/>
          <w:sz w:val="30"/>
          <w:szCs w:val="30"/>
          <w:highlight w:val="none"/>
        </w:rPr>
        <w:t>3</w:t>
      </w:r>
      <w:r>
        <w:rPr>
          <w:rFonts w:hint="eastAsia" w:ascii="仿宋_GB2312" w:hAnsi="仿宋" w:eastAsia="仿宋_GB2312"/>
          <w:sz w:val="30"/>
          <w:szCs w:val="30"/>
          <w:highlight w:val="none"/>
        </w:rPr>
        <w:t>固定和无形资产存量情况表固定资产下土地</w:t>
      </w:r>
      <w:r>
        <w:rPr>
          <w:rFonts w:ascii="仿宋_GB2312" w:hAnsi="仿宋" w:eastAsia="仿宋_GB2312"/>
          <w:sz w:val="30"/>
          <w:szCs w:val="30"/>
          <w:highlight w:val="none"/>
        </w:rPr>
        <w:t>4</w:t>
      </w:r>
      <w:r>
        <w:rPr>
          <w:rFonts w:hint="eastAsia" w:ascii="仿宋_GB2312" w:hAnsi="仿宋" w:eastAsia="仿宋_GB2312"/>
          <w:sz w:val="30"/>
          <w:szCs w:val="30"/>
          <w:highlight w:val="none"/>
        </w:rPr>
        <w:t>行的在用数量（</w:t>
      </w:r>
      <w:r>
        <w:rPr>
          <w:rFonts w:ascii="仿宋_GB2312" w:hAnsi="仿宋" w:eastAsia="仿宋_GB2312"/>
          <w:sz w:val="30"/>
          <w:szCs w:val="30"/>
          <w:highlight w:val="none"/>
        </w:rPr>
        <w:t>9</w:t>
      </w:r>
      <w:r>
        <w:rPr>
          <w:rFonts w:hint="eastAsia" w:ascii="仿宋_GB2312" w:hAnsi="仿宋" w:eastAsia="仿宋_GB2312"/>
          <w:sz w:val="30"/>
          <w:szCs w:val="30"/>
          <w:highlight w:val="none"/>
        </w:rPr>
        <w:t>栏）；</w:t>
      </w:r>
    </w:p>
    <w:p w14:paraId="69C520A9">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资产分类为固定资产分类项下土地的，合计行出租出借（</w:t>
      </w:r>
      <w:r>
        <w:rPr>
          <w:rFonts w:ascii="仿宋_GB2312" w:hAnsi="仿宋" w:eastAsia="仿宋_GB2312"/>
          <w:sz w:val="30"/>
          <w:szCs w:val="30"/>
          <w:highlight w:val="none"/>
        </w:rPr>
        <w:t>1</w:t>
      </w:r>
      <w:r>
        <w:rPr>
          <w:rFonts w:hint="eastAsia" w:ascii="仿宋_GB2312" w:hAnsi="仿宋" w:eastAsia="仿宋_GB2312"/>
          <w:sz w:val="30"/>
          <w:szCs w:val="30"/>
          <w:highlight w:val="none"/>
        </w:rPr>
        <w:t>3栏）</w:t>
      </w:r>
      <w:r>
        <w:rPr>
          <w:rFonts w:hint="eastAsia" w:ascii="仿宋_GB2312" w:hAnsi="仿宋" w:eastAsia="仿宋_GB2312"/>
          <w:sz w:val="30"/>
          <w:szCs w:val="30"/>
          <w:highlight w:val="none"/>
          <w:lang w:val="en-US" w:eastAsia="zh-CN"/>
        </w:rPr>
        <w:t>应等于</w:t>
      </w:r>
      <w:r>
        <w:rPr>
          <w:rFonts w:hint="eastAsia" w:ascii="仿宋_GB2312" w:hAnsi="仿宋" w:eastAsia="仿宋_GB2312"/>
          <w:sz w:val="30"/>
          <w:szCs w:val="30"/>
          <w:highlight w:val="none"/>
        </w:rPr>
        <w:t>财资0</w:t>
      </w:r>
      <w:r>
        <w:rPr>
          <w:rFonts w:ascii="仿宋_GB2312" w:hAnsi="仿宋" w:eastAsia="仿宋_GB2312"/>
          <w:sz w:val="30"/>
          <w:szCs w:val="30"/>
          <w:highlight w:val="none"/>
        </w:rPr>
        <w:t>3</w:t>
      </w:r>
      <w:r>
        <w:rPr>
          <w:rFonts w:hint="eastAsia" w:ascii="仿宋_GB2312" w:hAnsi="仿宋" w:eastAsia="仿宋_GB2312"/>
          <w:sz w:val="30"/>
          <w:szCs w:val="30"/>
          <w:highlight w:val="none"/>
        </w:rPr>
        <w:t>固定和无形资产存量情况表固定资产下土地</w:t>
      </w:r>
      <w:r>
        <w:rPr>
          <w:rFonts w:ascii="仿宋_GB2312" w:hAnsi="仿宋" w:eastAsia="仿宋_GB2312"/>
          <w:sz w:val="30"/>
          <w:szCs w:val="30"/>
          <w:highlight w:val="none"/>
        </w:rPr>
        <w:t>4</w:t>
      </w:r>
      <w:r>
        <w:rPr>
          <w:rFonts w:hint="eastAsia" w:ascii="仿宋_GB2312" w:hAnsi="仿宋" w:eastAsia="仿宋_GB2312"/>
          <w:sz w:val="30"/>
          <w:szCs w:val="30"/>
          <w:highlight w:val="none"/>
        </w:rPr>
        <w:t>行的出租出借数量（13栏）；</w:t>
      </w:r>
    </w:p>
    <w:p w14:paraId="41C92C20">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资产分类为固定资产分类项下土地的，合计行闲置（</w:t>
      </w:r>
      <w:r>
        <w:rPr>
          <w:rFonts w:ascii="仿宋_GB2312" w:hAnsi="仿宋" w:eastAsia="仿宋_GB2312"/>
          <w:sz w:val="30"/>
          <w:szCs w:val="30"/>
          <w:highlight w:val="none"/>
        </w:rPr>
        <w:t>1</w:t>
      </w:r>
      <w:r>
        <w:rPr>
          <w:rFonts w:hint="eastAsia" w:ascii="仿宋_GB2312" w:hAnsi="仿宋" w:eastAsia="仿宋_GB2312"/>
          <w:sz w:val="30"/>
          <w:szCs w:val="30"/>
          <w:highlight w:val="none"/>
        </w:rPr>
        <w:t>4栏）</w:t>
      </w:r>
      <w:r>
        <w:rPr>
          <w:rFonts w:hint="eastAsia" w:ascii="仿宋_GB2312" w:hAnsi="仿宋" w:eastAsia="仿宋_GB2312"/>
          <w:sz w:val="30"/>
          <w:szCs w:val="30"/>
          <w:highlight w:val="none"/>
          <w:lang w:val="en-US" w:eastAsia="zh-CN"/>
        </w:rPr>
        <w:t>应等于</w:t>
      </w:r>
      <w:r>
        <w:rPr>
          <w:rFonts w:hint="eastAsia" w:ascii="仿宋_GB2312" w:hAnsi="仿宋" w:eastAsia="仿宋_GB2312"/>
          <w:sz w:val="30"/>
          <w:szCs w:val="30"/>
          <w:highlight w:val="none"/>
        </w:rPr>
        <w:t>财资0</w:t>
      </w:r>
      <w:r>
        <w:rPr>
          <w:rFonts w:ascii="仿宋_GB2312" w:hAnsi="仿宋" w:eastAsia="仿宋_GB2312"/>
          <w:sz w:val="30"/>
          <w:szCs w:val="30"/>
          <w:highlight w:val="none"/>
        </w:rPr>
        <w:t>3</w:t>
      </w:r>
      <w:r>
        <w:rPr>
          <w:rFonts w:hint="eastAsia" w:ascii="仿宋_GB2312" w:hAnsi="仿宋" w:eastAsia="仿宋_GB2312"/>
          <w:sz w:val="30"/>
          <w:szCs w:val="30"/>
          <w:highlight w:val="none"/>
        </w:rPr>
        <w:t>固定和无形资产存量情况表固定资产下土地</w:t>
      </w:r>
      <w:r>
        <w:rPr>
          <w:rFonts w:ascii="仿宋_GB2312" w:hAnsi="仿宋" w:eastAsia="仿宋_GB2312"/>
          <w:sz w:val="30"/>
          <w:szCs w:val="30"/>
          <w:highlight w:val="none"/>
        </w:rPr>
        <w:t>4</w:t>
      </w:r>
      <w:r>
        <w:rPr>
          <w:rFonts w:hint="eastAsia" w:ascii="仿宋_GB2312" w:hAnsi="仿宋" w:eastAsia="仿宋_GB2312"/>
          <w:sz w:val="30"/>
          <w:szCs w:val="30"/>
          <w:highlight w:val="none"/>
        </w:rPr>
        <w:t>行的闲置数量（17栏）；</w:t>
      </w:r>
    </w:p>
    <w:p w14:paraId="70E1A4E6">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资产分类为固定资产分类项下土地的，合计行待处置（</w:t>
      </w:r>
      <w:r>
        <w:rPr>
          <w:rFonts w:ascii="仿宋_GB2312" w:hAnsi="仿宋" w:eastAsia="仿宋_GB2312"/>
          <w:sz w:val="30"/>
          <w:szCs w:val="30"/>
          <w:highlight w:val="none"/>
        </w:rPr>
        <w:t>1</w:t>
      </w:r>
      <w:r>
        <w:rPr>
          <w:rFonts w:hint="eastAsia" w:ascii="仿宋_GB2312" w:hAnsi="仿宋" w:eastAsia="仿宋_GB2312"/>
          <w:sz w:val="30"/>
          <w:szCs w:val="30"/>
          <w:highlight w:val="none"/>
        </w:rPr>
        <w:t>5栏）</w:t>
      </w:r>
      <w:r>
        <w:rPr>
          <w:rFonts w:hint="eastAsia" w:ascii="仿宋_GB2312" w:hAnsi="仿宋" w:eastAsia="仿宋_GB2312"/>
          <w:sz w:val="30"/>
          <w:szCs w:val="30"/>
          <w:highlight w:val="none"/>
          <w:lang w:val="en-US" w:eastAsia="zh-CN"/>
        </w:rPr>
        <w:t>应等于</w:t>
      </w:r>
      <w:r>
        <w:rPr>
          <w:rFonts w:hint="eastAsia" w:ascii="仿宋_GB2312" w:hAnsi="仿宋" w:eastAsia="仿宋_GB2312"/>
          <w:sz w:val="30"/>
          <w:szCs w:val="30"/>
          <w:highlight w:val="none"/>
        </w:rPr>
        <w:t>财资0</w:t>
      </w:r>
      <w:r>
        <w:rPr>
          <w:rFonts w:ascii="仿宋_GB2312" w:hAnsi="仿宋" w:eastAsia="仿宋_GB2312"/>
          <w:sz w:val="30"/>
          <w:szCs w:val="30"/>
          <w:highlight w:val="none"/>
        </w:rPr>
        <w:t>3</w:t>
      </w:r>
      <w:r>
        <w:rPr>
          <w:rFonts w:hint="eastAsia" w:ascii="仿宋_GB2312" w:hAnsi="仿宋" w:eastAsia="仿宋_GB2312"/>
          <w:sz w:val="30"/>
          <w:szCs w:val="30"/>
          <w:highlight w:val="none"/>
        </w:rPr>
        <w:t>固定和无形资产存量情况表固定资产下土地</w:t>
      </w:r>
      <w:r>
        <w:rPr>
          <w:rFonts w:ascii="仿宋_GB2312" w:hAnsi="仿宋" w:eastAsia="仿宋_GB2312"/>
          <w:sz w:val="30"/>
          <w:szCs w:val="30"/>
          <w:highlight w:val="none"/>
        </w:rPr>
        <w:t>4</w:t>
      </w:r>
      <w:r>
        <w:rPr>
          <w:rFonts w:hint="eastAsia" w:ascii="仿宋_GB2312" w:hAnsi="仿宋" w:eastAsia="仿宋_GB2312"/>
          <w:sz w:val="30"/>
          <w:szCs w:val="30"/>
          <w:highlight w:val="none"/>
        </w:rPr>
        <w:t>行的待处置数量（</w:t>
      </w:r>
      <w:r>
        <w:rPr>
          <w:rFonts w:hint="eastAsia" w:ascii="仿宋_GB2312" w:hAnsi="仿宋" w:eastAsia="仿宋_GB2312"/>
          <w:sz w:val="30"/>
          <w:szCs w:val="30"/>
          <w:highlight w:val="none"/>
          <w:lang w:val="en-US" w:eastAsia="zh-CN"/>
        </w:rPr>
        <w:t>25</w:t>
      </w:r>
      <w:r>
        <w:rPr>
          <w:rFonts w:hint="eastAsia" w:ascii="仿宋_GB2312" w:hAnsi="仿宋" w:eastAsia="仿宋_GB2312"/>
          <w:sz w:val="30"/>
          <w:szCs w:val="30"/>
          <w:highlight w:val="none"/>
        </w:rPr>
        <w:t>栏）；</w:t>
      </w:r>
    </w:p>
    <w:p w14:paraId="22396035">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资产分类为无形资产分类项下土地使用权的，合计行使用状况小计（</w:t>
      </w:r>
      <w:r>
        <w:rPr>
          <w:rFonts w:ascii="仿宋_GB2312" w:hAnsi="仿宋" w:eastAsia="仿宋_GB2312"/>
          <w:sz w:val="30"/>
          <w:szCs w:val="30"/>
          <w:highlight w:val="none"/>
        </w:rPr>
        <w:t>11</w:t>
      </w:r>
      <w:r>
        <w:rPr>
          <w:rFonts w:hint="eastAsia" w:ascii="仿宋_GB2312" w:hAnsi="仿宋" w:eastAsia="仿宋_GB2312"/>
          <w:sz w:val="30"/>
          <w:szCs w:val="30"/>
          <w:highlight w:val="none"/>
        </w:rPr>
        <w:t>栏）</w:t>
      </w:r>
      <w:r>
        <w:rPr>
          <w:rFonts w:hint="eastAsia" w:ascii="仿宋_GB2312" w:hAnsi="仿宋" w:eastAsia="仿宋_GB2312"/>
          <w:sz w:val="30"/>
          <w:szCs w:val="30"/>
          <w:highlight w:val="none"/>
          <w:lang w:val="en-US" w:eastAsia="zh-CN"/>
        </w:rPr>
        <w:t>应等于</w:t>
      </w:r>
      <w:r>
        <w:rPr>
          <w:rFonts w:hint="eastAsia" w:ascii="仿宋_GB2312" w:hAnsi="仿宋" w:eastAsia="仿宋_GB2312"/>
          <w:sz w:val="30"/>
          <w:szCs w:val="30"/>
          <w:highlight w:val="none"/>
        </w:rPr>
        <w:t>财资03固定和无形资产存量情况表中无形资产下土地使用权（20行）期末账面数的数量（</w:t>
      </w:r>
      <w:r>
        <w:rPr>
          <w:rFonts w:ascii="仿宋_GB2312" w:hAnsi="仿宋" w:eastAsia="仿宋_GB2312"/>
          <w:sz w:val="30"/>
          <w:szCs w:val="30"/>
          <w:highlight w:val="none"/>
        </w:rPr>
        <w:t>5</w:t>
      </w:r>
      <w:r>
        <w:rPr>
          <w:rFonts w:hint="eastAsia" w:ascii="仿宋_GB2312" w:hAnsi="仿宋" w:eastAsia="仿宋_GB2312"/>
          <w:sz w:val="30"/>
          <w:szCs w:val="30"/>
          <w:highlight w:val="none"/>
        </w:rPr>
        <w:t>栏）；</w:t>
      </w:r>
    </w:p>
    <w:p w14:paraId="39351E03">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资产分类为无形资产分类项下土地使用权的，合计行期末账面价值的原值（16栏）、累计折旧/摊销（17栏）、净值（</w:t>
      </w:r>
      <w:r>
        <w:rPr>
          <w:rFonts w:ascii="仿宋_GB2312" w:hAnsi="仿宋" w:eastAsia="仿宋_GB2312"/>
          <w:sz w:val="30"/>
          <w:szCs w:val="30"/>
          <w:highlight w:val="none"/>
        </w:rPr>
        <w:t>18</w:t>
      </w:r>
      <w:r>
        <w:rPr>
          <w:rFonts w:hint="eastAsia" w:ascii="仿宋_GB2312" w:hAnsi="仿宋" w:eastAsia="仿宋_GB2312"/>
          <w:sz w:val="30"/>
          <w:szCs w:val="30"/>
          <w:highlight w:val="none"/>
        </w:rPr>
        <w:t>栏）</w:t>
      </w:r>
      <w:r>
        <w:rPr>
          <w:rFonts w:hint="eastAsia" w:ascii="仿宋_GB2312" w:hAnsi="仿宋" w:eastAsia="仿宋_GB2312"/>
          <w:sz w:val="30"/>
          <w:szCs w:val="30"/>
          <w:highlight w:val="none"/>
          <w:lang w:val="en-US" w:eastAsia="zh-CN"/>
        </w:rPr>
        <w:t>应分别等于</w:t>
      </w:r>
      <w:r>
        <w:rPr>
          <w:rFonts w:hint="eastAsia" w:ascii="仿宋_GB2312" w:hAnsi="仿宋" w:eastAsia="仿宋_GB2312"/>
          <w:sz w:val="30"/>
          <w:szCs w:val="30"/>
          <w:highlight w:val="none"/>
        </w:rPr>
        <w:t>财资03固定和无形资产存量情况表中无形资产下土地使用权（20行）期末账面数的原值（6栏）、累计折旧/摊销（7栏）、净值（</w:t>
      </w:r>
      <w:r>
        <w:rPr>
          <w:rFonts w:ascii="仿宋_GB2312" w:hAnsi="仿宋" w:eastAsia="仿宋_GB2312"/>
          <w:sz w:val="30"/>
          <w:szCs w:val="30"/>
          <w:highlight w:val="none"/>
        </w:rPr>
        <w:t>8</w:t>
      </w:r>
      <w:r>
        <w:rPr>
          <w:rFonts w:hint="eastAsia" w:ascii="仿宋_GB2312" w:hAnsi="仿宋" w:eastAsia="仿宋_GB2312"/>
          <w:sz w:val="30"/>
          <w:szCs w:val="30"/>
          <w:highlight w:val="none"/>
        </w:rPr>
        <w:t>栏）；</w:t>
      </w:r>
    </w:p>
    <w:p w14:paraId="40D08E91">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资产分类为无形资产分类项下土地使用权的，合计行在用（</w:t>
      </w:r>
      <w:r>
        <w:rPr>
          <w:rFonts w:ascii="仿宋_GB2312" w:hAnsi="仿宋" w:eastAsia="仿宋_GB2312"/>
          <w:sz w:val="30"/>
          <w:szCs w:val="30"/>
          <w:highlight w:val="none"/>
        </w:rPr>
        <w:t>12</w:t>
      </w:r>
      <w:r>
        <w:rPr>
          <w:rFonts w:hint="eastAsia" w:ascii="仿宋_GB2312" w:hAnsi="仿宋" w:eastAsia="仿宋_GB2312"/>
          <w:sz w:val="30"/>
          <w:szCs w:val="30"/>
          <w:highlight w:val="none"/>
        </w:rPr>
        <w:t>栏）</w:t>
      </w:r>
      <w:r>
        <w:rPr>
          <w:rFonts w:hint="eastAsia" w:ascii="仿宋_GB2312" w:hAnsi="仿宋" w:eastAsia="仿宋_GB2312"/>
          <w:sz w:val="30"/>
          <w:szCs w:val="30"/>
          <w:highlight w:val="none"/>
          <w:lang w:val="en-US" w:eastAsia="zh-CN"/>
        </w:rPr>
        <w:t>应等于</w:t>
      </w:r>
      <w:r>
        <w:rPr>
          <w:rFonts w:hint="eastAsia" w:ascii="仿宋_GB2312" w:hAnsi="仿宋" w:eastAsia="仿宋_GB2312"/>
          <w:sz w:val="30"/>
          <w:szCs w:val="30"/>
          <w:highlight w:val="none"/>
        </w:rPr>
        <w:t>财资0</w:t>
      </w:r>
      <w:r>
        <w:rPr>
          <w:rFonts w:ascii="仿宋_GB2312" w:hAnsi="仿宋" w:eastAsia="仿宋_GB2312"/>
          <w:sz w:val="30"/>
          <w:szCs w:val="30"/>
          <w:highlight w:val="none"/>
        </w:rPr>
        <w:t>3</w:t>
      </w:r>
      <w:r>
        <w:rPr>
          <w:rFonts w:hint="eastAsia" w:ascii="仿宋_GB2312" w:hAnsi="仿宋" w:eastAsia="仿宋_GB2312"/>
          <w:sz w:val="30"/>
          <w:szCs w:val="30"/>
          <w:highlight w:val="none"/>
        </w:rPr>
        <w:t>固定和无形资产存量情况表无形资产下土地使用权（20行）的在用数量（</w:t>
      </w:r>
      <w:r>
        <w:rPr>
          <w:rFonts w:ascii="仿宋_GB2312" w:hAnsi="仿宋" w:eastAsia="仿宋_GB2312"/>
          <w:sz w:val="30"/>
          <w:szCs w:val="30"/>
          <w:highlight w:val="none"/>
        </w:rPr>
        <w:t>9</w:t>
      </w:r>
      <w:r>
        <w:rPr>
          <w:rFonts w:hint="eastAsia" w:ascii="仿宋_GB2312" w:hAnsi="仿宋" w:eastAsia="仿宋_GB2312"/>
          <w:sz w:val="30"/>
          <w:szCs w:val="30"/>
          <w:highlight w:val="none"/>
        </w:rPr>
        <w:t>栏）；</w:t>
      </w:r>
    </w:p>
    <w:p w14:paraId="41F18E36">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资产分类为无形资产分类项下土地使用权的，合计行出租出借（</w:t>
      </w:r>
      <w:r>
        <w:rPr>
          <w:rFonts w:ascii="仿宋_GB2312" w:hAnsi="仿宋" w:eastAsia="仿宋_GB2312"/>
          <w:sz w:val="30"/>
          <w:szCs w:val="30"/>
          <w:highlight w:val="none"/>
        </w:rPr>
        <w:t>1</w:t>
      </w:r>
      <w:r>
        <w:rPr>
          <w:rFonts w:hint="eastAsia" w:ascii="仿宋_GB2312" w:hAnsi="仿宋" w:eastAsia="仿宋_GB2312"/>
          <w:sz w:val="30"/>
          <w:szCs w:val="30"/>
          <w:highlight w:val="none"/>
        </w:rPr>
        <w:t>3栏）</w:t>
      </w:r>
      <w:r>
        <w:rPr>
          <w:rFonts w:hint="eastAsia" w:ascii="仿宋_GB2312" w:hAnsi="仿宋" w:eastAsia="仿宋_GB2312"/>
          <w:sz w:val="30"/>
          <w:szCs w:val="30"/>
          <w:highlight w:val="none"/>
          <w:lang w:val="en-US" w:eastAsia="zh-CN"/>
        </w:rPr>
        <w:t>应等于</w:t>
      </w:r>
      <w:r>
        <w:rPr>
          <w:rFonts w:hint="eastAsia" w:ascii="仿宋_GB2312" w:hAnsi="仿宋" w:eastAsia="仿宋_GB2312"/>
          <w:sz w:val="30"/>
          <w:szCs w:val="30"/>
          <w:highlight w:val="none"/>
        </w:rPr>
        <w:t>财资0</w:t>
      </w:r>
      <w:r>
        <w:rPr>
          <w:rFonts w:ascii="仿宋_GB2312" w:hAnsi="仿宋" w:eastAsia="仿宋_GB2312"/>
          <w:sz w:val="30"/>
          <w:szCs w:val="30"/>
          <w:highlight w:val="none"/>
        </w:rPr>
        <w:t>3</w:t>
      </w:r>
      <w:r>
        <w:rPr>
          <w:rFonts w:hint="eastAsia" w:ascii="仿宋_GB2312" w:hAnsi="仿宋" w:eastAsia="仿宋_GB2312"/>
          <w:sz w:val="30"/>
          <w:szCs w:val="30"/>
          <w:highlight w:val="none"/>
        </w:rPr>
        <w:t>固定和无形资产存量情况表无形资产下土地使用权（20行）的出租出借数量（13栏）；</w:t>
      </w:r>
    </w:p>
    <w:p w14:paraId="7F66F052">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资产分类为无形资产分类项下土地使用权的，合计行闲置（</w:t>
      </w:r>
      <w:r>
        <w:rPr>
          <w:rFonts w:ascii="仿宋_GB2312" w:hAnsi="仿宋" w:eastAsia="仿宋_GB2312"/>
          <w:sz w:val="30"/>
          <w:szCs w:val="30"/>
          <w:highlight w:val="none"/>
        </w:rPr>
        <w:t>1</w:t>
      </w:r>
      <w:r>
        <w:rPr>
          <w:rFonts w:hint="eastAsia" w:ascii="仿宋_GB2312" w:hAnsi="仿宋" w:eastAsia="仿宋_GB2312"/>
          <w:sz w:val="30"/>
          <w:szCs w:val="30"/>
          <w:highlight w:val="none"/>
        </w:rPr>
        <w:t>4栏）</w:t>
      </w:r>
      <w:r>
        <w:rPr>
          <w:rFonts w:hint="eastAsia" w:ascii="仿宋_GB2312" w:hAnsi="仿宋" w:eastAsia="仿宋_GB2312"/>
          <w:sz w:val="30"/>
          <w:szCs w:val="30"/>
          <w:highlight w:val="none"/>
          <w:lang w:val="en-US" w:eastAsia="zh-CN"/>
        </w:rPr>
        <w:t>应等于</w:t>
      </w:r>
      <w:r>
        <w:rPr>
          <w:rFonts w:hint="eastAsia" w:ascii="仿宋_GB2312" w:hAnsi="仿宋" w:eastAsia="仿宋_GB2312"/>
          <w:sz w:val="30"/>
          <w:szCs w:val="30"/>
          <w:highlight w:val="none"/>
        </w:rPr>
        <w:t>财资0</w:t>
      </w:r>
      <w:r>
        <w:rPr>
          <w:rFonts w:ascii="仿宋_GB2312" w:hAnsi="仿宋" w:eastAsia="仿宋_GB2312"/>
          <w:sz w:val="30"/>
          <w:szCs w:val="30"/>
          <w:highlight w:val="none"/>
        </w:rPr>
        <w:t>3</w:t>
      </w:r>
      <w:r>
        <w:rPr>
          <w:rFonts w:hint="eastAsia" w:ascii="仿宋_GB2312" w:hAnsi="仿宋" w:eastAsia="仿宋_GB2312"/>
          <w:sz w:val="30"/>
          <w:szCs w:val="30"/>
          <w:highlight w:val="none"/>
        </w:rPr>
        <w:t>固定和无形资产存量情况表无形资产下土地使用权（20行）的闲置数量（17栏）；</w:t>
      </w:r>
    </w:p>
    <w:p w14:paraId="69058509">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资产分类为无形资产分类项下土地使用权的，合计行待处置（</w:t>
      </w:r>
      <w:r>
        <w:rPr>
          <w:rFonts w:ascii="仿宋_GB2312" w:hAnsi="仿宋" w:eastAsia="仿宋_GB2312"/>
          <w:sz w:val="30"/>
          <w:szCs w:val="30"/>
          <w:highlight w:val="none"/>
        </w:rPr>
        <w:t>1</w:t>
      </w:r>
      <w:r>
        <w:rPr>
          <w:rFonts w:hint="eastAsia" w:ascii="仿宋_GB2312" w:hAnsi="仿宋" w:eastAsia="仿宋_GB2312"/>
          <w:sz w:val="30"/>
          <w:szCs w:val="30"/>
          <w:highlight w:val="none"/>
        </w:rPr>
        <w:t>5栏）</w:t>
      </w:r>
      <w:r>
        <w:rPr>
          <w:rFonts w:hint="eastAsia" w:ascii="仿宋_GB2312" w:hAnsi="仿宋" w:eastAsia="仿宋_GB2312"/>
          <w:sz w:val="30"/>
          <w:szCs w:val="30"/>
          <w:highlight w:val="none"/>
          <w:lang w:val="en-US" w:eastAsia="zh-CN"/>
        </w:rPr>
        <w:t>应等于</w:t>
      </w:r>
      <w:r>
        <w:rPr>
          <w:rFonts w:hint="eastAsia" w:ascii="仿宋_GB2312" w:hAnsi="仿宋" w:eastAsia="仿宋_GB2312"/>
          <w:sz w:val="30"/>
          <w:szCs w:val="30"/>
          <w:highlight w:val="none"/>
        </w:rPr>
        <w:t>财资0</w:t>
      </w:r>
      <w:r>
        <w:rPr>
          <w:rFonts w:ascii="仿宋_GB2312" w:hAnsi="仿宋" w:eastAsia="仿宋_GB2312"/>
          <w:sz w:val="30"/>
          <w:szCs w:val="30"/>
          <w:highlight w:val="none"/>
        </w:rPr>
        <w:t>3</w:t>
      </w:r>
      <w:r>
        <w:rPr>
          <w:rFonts w:hint="eastAsia" w:ascii="仿宋_GB2312" w:hAnsi="仿宋" w:eastAsia="仿宋_GB2312"/>
          <w:sz w:val="30"/>
          <w:szCs w:val="30"/>
          <w:highlight w:val="none"/>
        </w:rPr>
        <w:t>固定和无形资产存量情况表无形资产下土地使用权（20行）的待处置数量（</w:t>
      </w:r>
      <w:r>
        <w:rPr>
          <w:rFonts w:hint="eastAsia" w:ascii="仿宋_GB2312" w:hAnsi="仿宋" w:eastAsia="仿宋_GB2312"/>
          <w:sz w:val="30"/>
          <w:szCs w:val="30"/>
          <w:highlight w:val="none"/>
          <w:lang w:val="en-US" w:eastAsia="zh-CN"/>
        </w:rPr>
        <w:t>25</w:t>
      </w:r>
      <w:r>
        <w:rPr>
          <w:rFonts w:hint="eastAsia" w:ascii="仿宋_GB2312" w:hAnsi="仿宋" w:eastAsia="仿宋_GB2312"/>
          <w:sz w:val="30"/>
          <w:szCs w:val="30"/>
          <w:highlight w:val="none"/>
        </w:rPr>
        <w:t>栏）。</w:t>
      </w:r>
    </w:p>
    <w:p w14:paraId="776367E8">
      <w:pPr>
        <w:spacing w:line="360" w:lineRule="auto"/>
        <w:ind w:left="576"/>
        <w:rPr>
          <w:rFonts w:ascii="仿宋_GB2312" w:eastAsia="仿宋_GB2312"/>
          <w:b/>
          <w:sz w:val="30"/>
          <w:szCs w:val="30"/>
          <w:highlight w:val="none"/>
        </w:rPr>
      </w:pPr>
      <w:r>
        <w:rPr>
          <w:rFonts w:hint="eastAsia" w:ascii="仿宋_GB2312" w:eastAsia="仿宋_GB2312"/>
          <w:b/>
          <w:sz w:val="30"/>
          <w:szCs w:val="30"/>
          <w:highlight w:val="none"/>
        </w:rPr>
        <w:t>核实性公式：</w:t>
      </w:r>
    </w:p>
    <w:p w14:paraId="2A6C2569">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bookmarkStart w:id="5" w:name="_Hlk533697058"/>
      <w:r>
        <w:rPr>
          <w:rFonts w:hint="eastAsia" w:ascii="仿宋_GB2312" w:hAnsi="仿宋" w:eastAsia="仿宋_GB2312"/>
          <w:sz w:val="30"/>
          <w:szCs w:val="30"/>
          <w:highlight w:val="none"/>
        </w:rPr>
        <w:t>当土地权属证明选择“</w:t>
      </w:r>
      <w:r>
        <w:rPr>
          <w:rFonts w:hint="eastAsia" w:ascii="仿宋_GB2312" w:eastAsia="仿宋_GB2312"/>
          <w:sz w:val="30"/>
          <w:szCs w:val="30"/>
          <w:highlight w:val="none"/>
        </w:rPr>
        <w:t>土地使用证、土地使用批准文件、相关法律文书及其他</w:t>
      </w:r>
      <w:r>
        <w:rPr>
          <w:rFonts w:hint="eastAsia" w:ascii="仿宋_GB2312" w:hAnsi="仿宋" w:eastAsia="仿宋_GB2312"/>
          <w:sz w:val="30"/>
          <w:szCs w:val="30"/>
          <w:highlight w:val="none"/>
        </w:rPr>
        <w:t>”时，权属面积、期末账面数小计不一致的（</w:t>
      </w:r>
      <w:r>
        <w:rPr>
          <w:rFonts w:ascii="仿宋_GB2312" w:hAnsi="仿宋" w:eastAsia="仿宋_GB2312"/>
          <w:sz w:val="30"/>
          <w:szCs w:val="30"/>
          <w:highlight w:val="none"/>
        </w:rPr>
        <w:t>9栏≠11栏</w:t>
      </w:r>
      <w:r>
        <w:rPr>
          <w:rFonts w:hint="eastAsia" w:ascii="仿宋_GB2312" w:hAnsi="仿宋" w:eastAsia="仿宋_GB2312"/>
          <w:sz w:val="30"/>
          <w:szCs w:val="30"/>
          <w:highlight w:val="none"/>
        </w:rPr>
        <w:t>），提示核实性错误，需结合实际情况修改或填写情况说明；</w:t>
      </w:r>
    </w:p>
    <w:bookmarkEnd w:id="5"/>
    <w:p w14:paraId="6884DA05">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当资产分类（1栏）选择固定资产中土地时，累计折旧/摊销（</w:t>
      </w:r>
      <w:r>
        <w:rPr>
          <w:rFonts w:ascii="仿宋_GB2312" w:hAnsi="仿宋" w:eastAsia="仿宋_GB2312"/>
          <w:sz w:val="30"/>
          <w:szCs w:val="30"/>
          <w:highlight w:val="none"/>
        </w:rPr>
        <w:t>17</w:t>
      </w:r>
      <w:r>
        <w:rPr>
          <w:rFonts w:hint="eastAsia" w:ascii="仿宋_GB2312" w:hAnsi="仿宋" w:eastAsia="仿宋_GB2312"/>
          <w:sz w:val="30"/>
          <w:szCs w:val="30"/>
          <w:highlight w:val="none"/>
        </w:rPr>
        <w:t>栏）</w:t>
      </w:r>
      <w:r>
        <w:rPr>
          <w:rFonts w:hint="eastAsia" w:ascii="仿宋_GB2312" w:hAnsi="仿宋" w:eastAsia="仿宋_GB2312"/>
          <w:sz w:val="30"/>
          <w:szCs w:val="30"/>
          <w:highlight w:val="none"/>
          <w:lang w:val="en-US" w:eastAsia="zh-CN"/>
        </w:rPr>
        <w:t>应等于零，否则</w:t>
      </w:r>
      <w:r>
        <w:rPr>
          <w:rFonts w:hint="eastAsia" w:ascii="仿宋_GB2312" w:hAnsi="仿宋" w:eastAsia="仿宋_GB2312"/>
          <w:sz w:val="30"/>
          <w:szCs w:val="30"/>
          <w:highlight w:val="none"/>
        </w:rPr>
        <w:t>需结合实际情况修改或填写情况说明；</w:t>
      </w:r>
    </w:p>
    <w:p w14:paraId="742592A3">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浮动行使用状况小计（11栏）</w:t>
      </w:r>
      <w:r>
        <w:rPr>
          <w:rFonts w:hint="eastAsia" w:ascii="仿宋_GB2312" w:hAnsi="仿宋" w:eastAsia="仿宋_GB2312"/>
          <w:sz w:val="30"/>
          <w:szCs w:val="30"/>
          <w:highlight w:val="none"/>
          <w:lang w:val="en-US" w:eastAsia="zh-CN"/>
        </w:rPr>
        <w:t>小于等于</w:t>
      </w:r>
      <w:r>
        <w:rPr>
          <w:rFonts w:hint="eastAsia" w:ascii="仿宋_GB2312" w:hAnsi="仿宋" w:eastAsia="仿宋_GB2312"/>
          <w:sz w:val="30"/>
          <w:szCs w:val="30"/>
          <w:highlight w:val="none"/>
        </w:rPr>
        <w:t>1时，提示核实性错误，需结合实际情况修改或填写情况说明。</w:t>
      </w:r>
    </w:p>
    <w:p w14:paraId="007C7C4A">
      <w:pPr>
        <w:pStyle w:val="2"/>
        <w:tabs>
          <w:tab w:val="left" w:pos="6064"/>
        </w:tabs>
        <w:rPr>
          <w:rFonts w:hint="eastAsia" w:eastAsia="黑体"/>
          <w:b/>
          <w:color w:val="auto"/>
          <w:highlight w:val="none"/>
          <w:lang w:eastAsia="zh-CN"/>
        </w:rPr>
      </w:pPr>
      <w:r>
        <w:rPr>
          <w:rFonts w:hint="eastAsia"/>
          <w:color w:val="auto"/>
          <w:highlight w:val="none"/>
        </w:rPr>
        <w:t>（六）房屋情况表（财资0</w:t>
      </w:r>
      <w:r>
        <w:rPr>
          <w:color w:val="auto"/>
          <w:highlight w:val="none"/>
        </w:rPr>
        <w:t>5</w:t>
      </w:r>
      <w:r>
        <w:rPr>
          <w:rFonts w:hint="eastAsia"/>
          <w:color w:val="auto"/>
          <w:highlight w:val="none"/>
        </w:rPr>
        <w:t>表）</w:t>
      </w:r>
      <w:r>
        <w:rPr>
          <w:rFonts w:hint="eastAsia"/>
          <w:color w:val="auto"/>
          <w:highlight w:val="none"/>
          <w:lang w:eastAsia="zh-CN"/>
        </w:rPr>
        <w:tab/>
      </w:r>
    </w:p>
    <w:p w14:paraId="6002DB2E">
      <w:pPr>
        <w:spacing w:line="360" w:lineRule="auto"/>
        <w:ind w:firstLine="576" w:firstLineChars="192"/>
        <w:rPr>
          <w:rFonts w:ascii="仿宋_GB2312" w:eastAsia="仿宋_GB2312"/>
          <w:sz w:val="30"/>
          <w:szCs w:val="30"/>
          <w:highlight w:val="none"/>
        </w:rPr>
      </w:pPr>
      <w:r>
        <w:rPr>
          <w:rFonts w:hint="eastAsia" w:ascii="仿宋_GB2312" w:eastAsia="仿宋_GB2312"/>
          <w:sz w:val="30"/>
          <w:szCs w:val="30"/>
          <w:highlight w:val="none"/>
        </w:rPr>
        <w:t>本表反映行政事业单位办公用房、业务用房、其他用房（不含构筑物和房屋附属设施）期末在用、出租出借、闲置、待处置（待报废、毁损等）的面积和账面价值情况。本表中的房屋分为本单位房屋、使用其他单位房屋和已投入使用在建工程未转固房屋三类，行政事业单位至少存在三类情况之一。其中：本单位房屋以资产模块数据为基础自动提取；使用其他单位房屋情况和已投入使用的在建工程未转固房屋情况为手工填列。</w:t>
      </w:r>
    </w:p>
    <w:p w14:paraId="3027284B">
      <w:pPr>
        <w:spacing w:line="360" w:lineRule="auto"/>
        <w:ind w:firstLine="576" w:firstLineChars="192"/>
        <w:rPr>
          <w:rFonts w:ascii="仿宋_GB2312" w:eastAsia="仿宋_GB2312"/>
          <w:sz w:val="30"/>
          <w:szCs w:val="30"/>
          <w:highlight w:val="none"/>
        </w:rPr>
      </w:pPr>
      <w:r>
        <w:rPr>
          <w:rFonts w:hint="eastAsia" w:ascii="仿宋_GB2312" w:eastAsia="仿宋_GB2312"/>
          <w:sz w:val="30"/>
          <w:szCs w:val="30"/>
          <w:highlight w:val="none"/>
        </w:rPr>
        <w:t>使用其他单位房屋分为三类：使用机关事务管理机构房屋、使用除机关事务管理机构外的其他行政事业单位房屋和其他。①使用机关事务管理机构房屋是指房屋所有权证由机关事务管理机构统一登记，实际分配给单位使用且未在单位账面上反映。②使用除机关事务管理机构外的其他行政事业单位房屋是指本单位占有、使用相关行政事业单位的房屋。③其他是指行政事业单位租用的房屋等。</w:t>
      </w:r>
    </w:p>
    <w:p w14:paraId="4AB2C216">
      <w:pPr>
        <w:spacing w:line="360" w:lineRule="auto"/>
        <w:ind w:firstLine="576" w:firstLineChars="192"/>
        <w:rPr>
          <w:rFonts w:ascii="仿宋_GB2312" w:eastAsia="仿宋_GB2312"/>
          <w:sz w:val="30"/>
          <w:szCs w:val="30"/>
          <w:highlight w:val="none"/>
        </w:rPr>
      </w:pPr>
      <w:r>
        <w:rPr>
          <w:rFonts w:hint="eastAsia" w:ascii="仿宋_GB2312" w:eastAsia="仿宋_GB2312"/>
          <w:sz w:val="30"/>
          <w:szCs w:val="30"/>
          <w:highlight w:val="none"/>
        </w:rPr>
        <w:t>本表中的机关事务管理机构是指承担机关事务管理职能的相关部门，如机关事务管理局（政府办）等。</w:t>
      </w:r>
    </w:p>
    <w:p w14:paraId="3385BF4B">
      <w:pPr>
        <w:spacing w:line="360" w:lineRule="auto"/>
        <w:ind w:firstLine="578" w:firstLineChars="192"/>
        <w:rPr>
          <w:rFonts w:ascii="仿宋_GB2312" w:eastAsia="仿宋_GB2312"/>
          <w:b/>
          <w:bCs/>
          <w:sz w:val="30"/>
          <w:szCs w:val="30"/>
          <w:highlight w:val="none"/>
        </w:rPr>
      </w:pPr>
      <w:r>
        <w:rPr>
          <w:rFonts w:hint="eastAsia" w:ascii="仿宋_GB2312" w:eastAsia="仿宋_GB2312"/>
          <w:b/>
          <w:bCs/>
          <w:sz w:val="30"/>
          <w:szCs w:val="30"/>
          <w:highlight w:val="none"/>
        </w:rPr>
        <w:t>主要指标说明：</w:t>
      </w:r>
    </w:p>
    <w:p w14:paraId="1CF2725D">
      <w:pPr>
        <w:spacing w:line="360" w:lineRule="auto"/>
        <w:ind w:firstLine="567" w:firstLineChars="189"/>
        <w:rPr>
          <w:rFonts w:hint="eastAsia" w:ascii="仿宋_GB2312" w:hAnsi="等线" w:eastAsia="仿宋_GB2312"/>
          <w:sz w:val="30"/>
          <w:szCs w:val="30"/>
          <w:highlight w:val="none"/>
        </w:rPr>
      </w:pPr>
      <w:r>
        <w:rPr>
          <w:rFonts w:ascii="仿宋_GB2312" w:eastAsia="仿宋_GB2312"/>
          <w:sz w:val="30"/>
          <w:szCs w:val="30"/>
          <w:highlight w:val="none"/>
        </w:rPr>
        <w:t>1.</w:t>
      </w:r>
      <w:r>
        <w:rPr>
          <w:rFonts w:hint="eastAsia" w:ascii="仿宋_GB2312" w:hAnsi="等线" w:eastAsia="仿宋_GB2312"/>
          <w:sz w:val="30"/>
          <w:szCs w:val="30"/>
          <w:highlight w:val="none"/>
        </w:rPr>
        <w:t>资产分类、资产名称、坐落位置：</w:t>
      </w:r>
      <w:r>
        <w:rPr>
          <w:rFonts w:hint="eastAsia" w:ascii="仿宋_GB2312" w:eastAsia="仿宋_GB2312"/>
          <w:sz w:val="30"/>
          <w:szCs w:val="30"/>
          <w:highlight w:val="none"/>
        </w:rPr>
        <w:t>本单位房屋</w:t>
      </w:r>
      <w:r>
        <w:rPr>
          <w:rFonts w:hint="eastAsia" w:ascii="仿宋_GB2312" w:hAnsi="等线" w:eastAsia="仿宋_GB2312"/>
          <w:sz w:val="30"/>
          <w:szCs w:val="30"/>
          <w:highlight w:val="none"/>
        </w:rPr>
        <w:t>由资产模块中资产</w:t>
      </w:r>
      <w:r>
        <w:rPr>
          <w:rFonts w:ascii="仿宋_GB2312" w:hAnsi="等线" w:eastAsia="仿宋_GB2312"/>
          <w:sz w:val="30"/>
          <w:szCs w:val="30"/>
          <w:highlight w:val="none"/>
        </w:rPr>
        <w:t>卡片</w:t>
      </w:r>
      <w:r>
        <w:rPr>
          <w:rFonts w:hint="eastAsia" w:ascii="仿宋_GB2312" w:hAnsi="等线" w:eastAsia="仿宋_GB2312"/>
          <w:sz w:val="30"/>
          <w:szCs w:val="30"/>
          <w:highlight w:val="none"/>
        </w:rPr>
        <w:t>相应指标字段提取；使用其他单位房屋和已投入使用在建工程未转固房屋</w:t>
      </w:r>
      <w:r>
        <w:rPr>
          <w:rFonts w:hint="eastAsia" w:ascii="仿宋_GB2312" w:eastAsia="仿宋_GB2312"/>
          <w:sz w:val="30"/>
          <w:szCs w:val="30"/>
          <w:highlight w:val="none"/>
        </w:rPr>
        <w:t>的</w:t>
      </w:r>
      <w:r>
        <w:rPr>
          <w:rFonts w:hint="eastAsia" w:ascii="仿宋_GB2312" w:hAnsi="等线" w:eastAsia="仿宋_GB2312"/>
          <w:sz w:val="30"/>
          <w:szCs w:val="30"/>
          <w:highlight w:val="none"/>
        </w:rPr>
        <w:t>由单位手工填列。坐落位置应填写完整地址，如“XX省XX市XX县（区）XX街道XX号”。</w:t>
      </w:r>
    </w:p>
    <w:p w14:paraId="6800814E">
      <w:pPr>
        <w:spacing w:line="360" w:lineRule="auto"/>
        <w:ind w:firstLine="567" w:firstLineChars="189"/>
        <w:rPr>
          <w:rFonts w:ascii="仿宋_GB2312" w:eastAsia="仿宋_GB2312"/>
          <w:sz w:val="30"/>
          <w:szCs w:val="30"/>
          <w:highlight w:val="none"/>
        </w:rPr>
      </w:pPr>
      <w:r>
        <w:rPr>
          <w:rFonts w:ascii="仿宋_GB2312" w:hAnsi="等线" w:eastAsia="仿宋_GB2312"/>
          <w:sz w:val="30"/>
          <w:szCs w:val="30"/>
          <w:highlight w:val="none"/>
        </w:rPr>
        <w:t>2.</w:t>
      </w:r>
      <w:r>
        <w:rPr>
          <w:rFonts w:hint="eastAsia" w:ascii="仿宋_GB2312" w:hAnsi="等线" w:eastAsia="仿宋_GB2312"/>
          <w:sz w:val="30"/>
          <w:szCs w:val="30"/>
          <w:highlight w:val="none"/>
        </w:rPr>
        <w:t>资产编号、取得方式、取得日期：本单位房屋由资产模块中资产</w:t>
      </w:r>
      <w:r>
        <w:rPr>
          <w:rFonts w:ascii="仿宋_GB2312" w:hAnsi="等线" w:eastAsia="仿宋_GB2312"/>
          <w:sz w:val="30"/>
          <w:szCs w:val="30"/>
          <w:highlight w:val="none"/>
        </w:rPr>
        <w:t>卡片</w:t>
      </w:r>
      <w:r>
        <w:rPr>
          <w:rFonts w:hint="eastAsia" w:ascii="仿宋_GB2312" w:hAnsi="等线" w:eastAsia="仿宋_GB2312"/>
          <w:sz w:val="30"/>
          <w:szCs w:val="30"/>
          <w:highlight w:val="none"/>
        </w:rPr>
        <w:t>相应指标字段提取；使用其他单位房屋和已投入使用在建工程未转固房屋的不需填列。资产卡片中取得方式包括：新购、调拨、接受捐赠、自建、置换、盘盈、其他。</w:t>
      </w:r>
    </w:p>
    <w:p w14:paraId="7A935DD8">
      <w:pPr>
        <w:spacing w:line="360" w:lineRule="auto"/>
        <w:ind w:firstLine="567" w:firstLineChars="189"/>
        <w:rPr>
          <w:rFonts w:ascii="仿宋_GB2312" w:eastAsia="仿宋_GB2312"/>
          <w:sz w:val="30"/>
          <w:szCs w:val="30"/>
          <w:highlight w:val="none"/>
        </w:rPr>
      </w:pPr>
      <w:r>
        <w:rPr>
          <w:rFonts w:ascii="仿宋_GB2312" w:hAnsi="仿宋" w:eastAsia="仿宋_GB2312"/>
          <w:sz w:val="30"/>
          <w:szCs w:val="30"/>
          <w:highlight w:val="none"/>
        </w:rPr>
        <w:t>3</w:t>
      </w:r>
      <w:r>
        <w:rPr>
          <w:rFonts w:ascii="仿宋_GB2312" w:eastAsia="仿宋_GB2312"/>
          <w:sz w:val="30"/>
          <w:szCs w:val="30"/>
          <w:highlight w:val="none"/>
        </w:rPr>
        <w:t>.权属证明：</w:t>
      </w:r>
      <w:r>
        <w:rPr>
          <w:rFonts w:hint="eastAsia" w:ascii="仿宋_GB2312" w:eastAsia="仿宋_GB2312"/>
          <w:sz w:val="30"/>
          <w:szCs w:val="30"/>
          <w:highlight w:val="none"/>
        </w:rPr>
        <w:t>该指标取自资产卡片的“权属证明”数据，包括房屋所有权证、房屋权属批准文件、相关法律文书及其他、无。</w:t>
      </w:r>
    </w:p>
    <w:p w14:paraId="35FFEE05">
      <w:pPr>
        <w:spacing w:line="360" w:lineRule="auto"/>
        <w:ind w:firstLine="576" w:firstLineChars="192"/>
        <w:rPr>
          <w:rFonts w:ascii="仿宋_GB2312" w:eastAsia="仿宋_GB2312"/>
          <w:sz w:val="30"/>
          <w:szCs w:val="30"/>
          <w:highlight w:val="none"/>
        </w:rPr>
      </w:pPr>
      <w:r>
        <w:rPr>
          <w:rFonts w:ascii="仿宋_GB2312" w:eastAsia="仿宋_GB2312"/>
          <w:sz w:val="30"/>
          <w:szCs w:val="30"/>
          <w:highlight w:val="none"/>
        </w:rPr>
        <w:t>4.权属人：该指标包含“本单位”、“机关事务管理机构</w:t>
      </w:r>
      <w:r>
        <w:rPr>
          <w:rFonts w:hint="eastAsia" w:ascii="仿宋_GB2312" w:eastAsia="仿宋_GB2312"/>
          <w:sz w:val="30"/>
          <w:szCs w:val="30"/>
          <w:highlight w:val="none"/>
        </w:rPr>
        <w:t>”、“除机关事务管理机构外的其他行政事业单位”、“其他”，由单位手工选择填列；若选择</w:t>
      </w:r>
      <w:r>
        <w:rPr>
          <w:rFonts w:ascii="仿宋_GB2312" w:eastAsia="仿宋_GB2312"/>
          <w:sz w:val="30"/>
          <w:szCs w:val="30"/>
          <w:highlight w:val="none"/>
        </w:rPr>
        <w:t>“除机关事务管理机构</w:t>
      </w:r>
      <w:r>
        <w:rPr>
          <w:rFonts w:hint="eastAsia" w:ascii="仿宋_GB2312" w:eastAsia="仿宋_GB2312"/>
          <w:sz w:val="30"/>
          <w:szCs w:val="30"/>
          <w:highlight w:val="none"/>
        </w:rPr>
        <w:t>外</w:t>
      </w:r>
      <w:r>
        <w:rPr>
          <w:rFonts w:ascii="仿宋_GB2312" w:eastAsia="仿宋_GB2312"/>
          <w:sz w:val="30"/>
          <w:szCs w:val="30"/>
          <w:highlight w:val="none"/>
        </w:rPr>
        <w:t>的其他</w:t>
      </w:r>
      <w:r>
        <w:rPr>
          <w:rFonts w:hint="eastAsia" w:ascii="仿宋_GB2312" w:eastAsia="仿宋_GB2312"/>
          <w:sz w:val="30"/>
          <w:szCs w:val="30"/>
          <w:highlight w:val="none"/>
        </w:rPr>
        <w:t>行政事业</w:t>
      </w:r>
      <w:r>
        <w:rPr>
          <w:rFonts w:ascii="仿宋_GB2312" w:eastAsia="仿宋_GB2312"/>
          <w:sz w:val="30"/>
          <w:szCs w:val="30"/>
          <w:highlight w:val="none"/>
        </w:rPr>
        <w:t>单位”</w:t>
      </w:r>
      <w:r>
        <w:rPr>
          <w:rFonts w:hint="eastAsia" w:ascii="仿宋_GB2312" w:eastAsia="仿宋_GB2312"/>
          <w:sz w:val="30"/>
          <w:szCs w:val="30"/>
          <w:highlight w:val="none"/>
        </w:rPr>
        <w:t>和“其他”，则需在“备注”栏中填写实际权属人名称。本单位房屋权属人指标取自资产模块中的资产卡片的“房屋所有权人”数据。</w:t>
      </w:r>
    </w:p>
    <w:p w14:paraId="31053128">
      <w:pPr>
        <w:spacing w:line="360" w:lineRule="auto"/>
        <w:ind w:firstLine="576" w:firstLineChars="192"/>
        <w:rPr>
          <w:rFonts w:ascii="仿宋_GB2312" w:eastAsia="仿宋_GB2312"/>
          <w:sz w:val="30"/>
          <w:szCs w:val="30"/>
          <w:highlight w:val="none"/>
        </w:rPr>
      </w:pPr>
      <w:r>
        <w:rPr>
          <w:rFonts w:hint="eastAsia" w:ascii="仿宋_GB2312" w:eastAsia="仿宋_GB2312"/>
          <w:sz w:val="30"/>
          <w:szCs w:val="30"/>
          <w:highlight w:val="none"/>
        </w:rPr>
        <w:t>本表中的机关事务管理机构是指承担机关事务管理职能的相关部门，如机关事务管理局（政府办）等。</w:t>
      </w:r>
    </w:p>
    <w:p w14:paraId="363F6B26">
      <w:pPr>
        <w:spacing w:line="360" w:lineRule="auto"/>
        <w:ind w:firstLine="576" w:firstLineChars="192"/>
        <w:rPr>
          <w:rFonts w:ascii="仿宋_GB2312" w:eastAsia="仿宋_GB2312"/>
          <w:sz w:val="30"/>
          <w:szCs w:val="30"/>
          <w:highlight w:val="none"/>
        </w:rPr>
      </w:pPr>
      <w:r>
        <w:rPr>
          <w:rFonts w:hint="eastAsia" w:ascii="仿宋_GB2312" w:eastAsia="仿宋_GB2312"/>
          <w:sz w:val="30"/>
          <w:szCs w:val="30"/>
          <w:highlight w:val="none"/>
        </w:rPr>
        <w:t>5</w:t>
      </w:r>
      <w:r>
        <w:rPr>
          <w:rFonts w:ascii="仿宋_GB2312" w:eastAsia="仿宋_GB2312"/>
          <w:sz w:val="30"/>
          <w:szCs w:val="30"/>
          <w:highlight w:val="none"/>
        </w:rPr>
        <w:t>.</w:t>
      </w:r>
      <w:r>
        <w:rPr>
          <w:rFonts w:hint="eastAsia" w:ascii="仿宋_GB2312" w:eastAsia="仿宋_GB2312"/>
          <w:sz w:val="30"/>
          <w:szCs w:val="30"/>
          <w:highlight w:val="none"/>
        </w:rPr>
        <w:t>权属性质：该指标取自资产卡片的“权属性质”数据，包括“国有”、“集体”。</w:t>
      </w:r>
    </w:p>
    <w:p w14:paraId="0E5FF152">
      <w:pPr>
        <w:spacing w:line="360" w:lineRule="auto"/>
        <w:ind w:firstLine="576" w:firstLineChars="192"/>
        <w:rPr>
          <w:rFonts w:ascii="仿宋_GB2312" w:eastAsia="仿宋_GB2312"/>
          <w:sz w:val="30"/>
          <w:szCs w:val="30"/>
          <w:highlight w:val="none"/>
        </w:rPr>
      </w:pPr>
      <w:r>
        <w:rPr>
          <w:rFonts w:ascii="仿宋_GB2312" w:eastAsia="仿宋_GB2312"/>
          <w:sz w:val="30"/>
          <w:szCs w:val="30"/>
          <w:highlight w:val="none"/>
        </w:rPr>
        <w:t>6.</w:t>
      </w:r>
      <w:r>
        <w:rPr>
          <w:rFonts w:hint="eastAsia" w:ascii="仿宋_GB2312" w:eastAsia="仿宋_GB2312"/>
          <w:sz w:val="30"/>
          <w:szCs w:val="30"/>
          <w:highlight w:val="none"/>
        </w:rPr>
        <w:t>权属</w:t>
      </w:r>
      <w:r>
        <w:rPr>
          <w:rFonts w:ascii="仿宋_GB2312" w:eastAsia="仿宋_GB2312"/>
          <w:sz w:val="30"/>
          <w:szCs w:val="30"/>
          <w:highlight w:val="none"/>
        </w:rPr>
        <w:t>证号：</w:t>
      </w:r>
      <w:r>
        <w:rPr>
          <w:rFonts w:hint="eastAsia" w:ascii="仿宋_GB2312" w:eastAsia="仿宋_GB2312"/>
          <w:sz w:val="30"/>
          <w:szCs w:val="30"/>
          <w:highlight w:val="none"/>
        </w:rPr>
        <w:t>仅本单位房屋填列此指标，该指标提取资产卡片的“权属证号”数据。</w:t>
      </w:r>
    </w:p>
    <w:p w14:paraId="62F2210A">
      <w:pPr>
        <w:spacing w:line="360" w:lineRule="auto"/>
        <w:ind w:firstLine="576" w:firstLineChars="192"/>
        <w:rPr>
          <w:rFonts w:ascii="仿宋_GB2312" w:eastAsia="仿宋_GB2312"/>
          <w:sz w:val="30"/>
          <w:szCs w:val="30"/>
          <w:highlight w:val="none"/>
        </w:rPr>
      </w:pPr>
      <w:r>
        <w:rPr>
          <w:rFonts w:ascii="仿宋_GB2312" w:eastAsia="仿宋_GB2312"/>
          <w:sz w:val="30"/>
          <w:szCs w:val="30"/>
          <w:highlight w:val="none"/>
        </w:rPr>
        <w:t>7.</w:t>
      </w:r>
      <w:r>
        <w:rPr>
          <w:rFonts w:hint="eastAsia" w:ascii="仿宋_GB2312" w:eastAsia="仿宋_GB2312"/>
          <w:sz w:val="30"/>
          <w:szCs w:val="30"/>
          <w:highlight w:val="none"/>
        </w:rPr>
        <w:t>权属面积：仅本单位房屋填列此指标，该指标提取资产模块中资产卡片的“建筑面积”数据。</w:t>
      </w:r>
    </w:p>
    <w:p w14:paraId="2A654FEE">
      <w:pPr>
        <w:spacing w:line="360" w:lineRule="auto"/>
        <w:ind w:firstLine="576" w:firstLineChars="192"/>
        <w:rPr>
          <w:rFonts w:ascii="仿宋_GB2312" w:eastAsia="仿宋_GB2312"/>
          <w:kern w:val="0"/>
          <w:sz w:val="30"/>
          <w:szCs w:val="30"/>
          <w:highlight w:val="none"/>
        </w:rPr>
      </w:pPr>
      <w:r>
        <w:rPr>
          <w:rFonts w:ascii="仿宋_GB2312" w:eastAsia="仿宋_GB2312"/>
          <w:kern w:val="0"/>
          <w:sz w:val="30"/>
          <w:szCs w:val="30"/>
          <w:highlight w:val="none"/>
        </w:rPr>
        <w:t>8.办公用房</w:t>
      </w:r>
      <w:r>
        <w:rPr>
          <w:rFonts w:hint="eastAsia" w:ascii="仿宋_GB2312" w:eastAsia="仿宋_GB2312"/>
          <w:kern w:val="0"/>
          <w:sz w:val="30"/>
          <w:szCs w:val="30"/>
          <w:highlight w:val="none"/>
        </w:rPr>
        <w:t>：按照《党政机关办公用房建设标准》（发改投资〔</w:t>
      </w:r>
      <w:r>
        <w:rPr>
          <w:rFonts w:ascii="仿宋_GB2312" w:eastAsia="仿宋_GB2312"/>
          <w:kern w:val="0"/>
          <w:sz w:val="30"/>
          <w:szCs w:val="30"/>
          <w:highlight w:val="none"/>
        </w:rPr>
        <w:t>2014〕2674号）相关规定，</w:t>
      </w:r>
      <w:r>
        <w:rPr>
          <w:rFonts w:hint="eastAsia" w:ascii="仿宋_GB2312" w:eastAsia="仿宋_GB2312"/>
          <w:kern w:val="0"/>
          <w:sz w:val="30"/>
          <w:szCs w:val="30"/>
          <w:highlight w:val="none"/>
        </w:rPr>
        <w:t>包括</w:t>
      </w:r>
      <w:r>
        <w:rPr>
          <w:rFonts w:hint="eastAsia" w:ascii="仿宋_GB2312" w:hAnsi="仿宋_GB2312" w:eastAsia="仿宋_GB2312" w:cs="仿宋_GB2312"/>
          <w:kern w:val="0"/>
          <w:sz w:val="30"/>
          <w:szCs w:val="30"/>
          <w:highlight w:val="none"/>
        </w:rPr>
        <w:t>办公室用房、服务用房、设备用房和附属用房</w:t>
      </w:r>
      <w:r>
        <w:rPr>
          <w:rFonts w:hint="eastAsia" w:ascii="仿宋_GB2312" w:eastAsia="仿宋_GB2312"/>
          <w:kern w:val="0"/>
          <w:sz w:val="30"/>
          <w:szCs w:val="30"/>
          <w:highlight w:val="none"/>
        </w:rPr>
        <w:t>。办公室用房是指包括领导人员办公室和一般工作人员办公室；服务用房包括会议室、接待室、档案室、图书资料室、机关信息网络用房、机要保密室、文印室、收发室、医务室、值班室、储藏室、物业及工勤人员用房、开水间、卫生间等；设备用房包括变配电室、水泵房、水箱间、中水处理间、锅炉房（或热力交换站）、空调机房、通信机房、电梯机房、建筑智能化系统设备用房等；附属用房包括食堂、停车库（汽车库，自行车库，电动车、摩托车库）、警卫用房、人防设施等。面积原则上按建筑面积填列。</w:t>
      </w:r>
    </w:p>
    <w:p w14:paraId="70291EB1">
      <w:pPr>
        <w:spacing w:line="360" w:lineRule="auto"/>
        <w:ind w:firstLine="576" w:firstLineChars="192"/>
        <w:rPr>
          <w:rFonts w:ascii="仿宋_GB2312" w:eastAsia="仿宋_GB2312"/>
          <w:kern w:val="0"/>
          <w:sz w:val="30"/>
          <w:szCs w:val="30"/>
          <w:highlight w:val="none"/>
        </w:rPr>
      </w:pPr>
      <w:r>
        <w:rPr>
          <w:rFonts w:ascii="仿宋_GB2312" w:eastAsia="仿宋_GB2312"/>
          <w:kern w:val="0"/>
          <w:sz w:val="30"/>
          <w:szCs w:val="30"/>
          <w:highlight w:val="none"/>
        </w:rPr>
        <w:t>9.</w:t>
      </w:r>
      <w:r>
        <w:rPr>
          <w:rFonts w:hint="eastAsia" w:ascii="仿宋_GB2312" w:eastAsia="仿宋_GB2312"/>
          <w:kern w:val="0"/>
          <w:sz w:val="30"/>
          <w:szCs w:val="30"/>
          <w:highlight w:val="none"/>
        </w:rPr>
        <w:t>本单位实际使用办公室用房（使用面积）</w:t>
      </w:r>
      <w:r>
        <w:rPr>
          <w:rFonts w:ascii="仿宋_GB2312" w:eastAsia="仿宋_GB2312"/>
          <w:kern w:val="0"/>
          <w:sz w:val="30"/>
          <w:szCs w:val="30"/>
          <w:highlight w:val="none"/>
        </w:rPr>
        <w:t>：</w:t>
      </w:r>
      <w:r>
        <w:rPr>
          <w:rFonts w:hint="eastAsia" w:ascii="仿宋_GB2312" w:eastAsia="仿宋_GB2312"/>
          <w:kern w:val="0"/>
          <w:sz w:val="30"/>
          <w:szCs w:val="30"/>
          <w:highlight w:val="none"/>
        </w:rPr>
        <w:t>按照《党政机关办公用房建设标准》（发改投资〔</w:t>
      </w:r>
      <w:r>
        <w:rPr>
          <w:rFonts w:ascii="仿宋_GB2312" w:eastAsia="仿宋_GB2312"/>
          <w:kern w:val="0"/>
          <w:sz w:val="30"/>
          <w:szCs w:val="30"/>
          <w:highlight w:val="none"/>
        </w:rPr>
        <w:t>2014〕2674号）相关规定，</w:t>
      </w:r>
      <w:r>
        <w:rPr>
          <w:rFonts w:hint="eastAsia" w:ascii="仿宋_GB2312" w:eastAsia="仿宋_GB2312"/>
          <w:kern w:val="0"/>
          <w:sz w:val="30"/>
          <w:szCs w:val="30"/>
          <w:highlight w:val="none"/>
        </w:rPr>
        <w:t>填写领导人员办公室和一般工作人员办公室的使用面积，反映行政事业单位实际使用的办公室用房面积。</w:t>
      </w:r>
    </w:p>
    <w:p w14:paraId="39FC586E">
      <w:pPr>
        <w:spacing w:line="360" w:lineRule="auto"/>
        <w:ind w:firstLine="576" w:firstLineChars="192"/>
        <w:rPr>
          <w:rFonts w:ascii="仿宋_GB2312" w:eastAsia="仿宋_GB2312"/>
          <w:kern w:val="0"/>
          <w:sz w:val="30"/>
          <w:szCs w:val="30"/>
          <w:highlight w:val="none"/>
        </w:rPr>
      </w:pPr>
      <w:r>
        <w:rPr>
          <w:rFonts w:ascii="仿宋_GB2312" w:eastAsia="仿宋_GB2312"/>
          <w:kern w:val="0"/>
          <w:sz w:val="30"/>
          <w:szCs w:val="30"/>
          <w:highlight w:val="none"/>
        </w:rPr>
        <w:t>10.业务用房</w:t>
      </w:r>
      <w:r>
        <w:rPr>
          <w:rFonts w:hint="eastAsia" w:ascii="仿宋_GB2312" w:eastAsia="仿宋_GB2312"/>
          <w:kern w:val="0"/>
          <w:sz w:val="30"/>
          <w:szCs w:val="30"/>
          <w:highlight w:val="none"/>
          <w:lang w:eastAsia="zh-CN"/>
        </w:rPr>
        <w:t>：</w:t>
      </w:r>
      <w:r>
        <w:rPr>
          <w:rFonts w:ascii="仿宋_GB2312" w:eastAsia="仿宋_GB2312"/>
          <w:kern w:val="0"/>
          <w:sz w:val="30"/>
          <w:szCs w:val="30"/>
          <w:highlight w:val="none"/>
        </w:rPr>
        <w:t>填列</w:t>
      </w:r>
      <w:r>
        <w:rPr>
          <w:rFonts w:hint="eastAsia" w:ascii="仿宋_GB2312" w:eastAsia="仿宋_GB2312"/>
          <w:kern w:val="0"/>
          <w:sz w:val="30"/>
          <w:szCs w:val="30"/>
          <w:highlight w:val="none"/>
        </w:rPr>
        <w:t>行政事业</w:t>
      </w:r>
      <w:r>
        <w:rPr>
          <w:rFonts w:ascii="仿宋_GB2312" w:eastAsia="仿宋_GB2312"/>
          <w:kern w:val="0"/>
          <w:sz w:val="30"/>
          <w:szCs w:val="30"/>
          <w:highlight w:val="none"/>
        </w:rPr>
        <w:t>单位为开展各类业务设置的特殊技术业务场所。包括</w:t>
      </w:r>
      <w:r>
        <w:rPr>
          <w:rFonts w:hint="eastAsia" w:ascii="仿宋_GB2312" w:eastAsia="仿宋_GB2312"/>
          <w:kern w:val="0"/>
          <w:sz w:val="30"/>
          <w:szCs w:val="30"/>
          <w:highlight w:val="none"/>
        </w:rPr>
        <w:t>教育用房</w:t>
      </w:r>
      <w:r>
        <w:rPr>
          <w:rFonts w:ascii="仿宋_GB2312" w:eastAsia="仿宋_GB2312"/>
          <w:kern w:val="0"/>
          <w:sz w:val="30"/>
          <w:szCs w:val="30"/>
          <w:highlight w:val="none"/>
        </w:rPr>
        <w:t>、</w:t>
      </w:r>
      <w:r>
        <w:rPr>
          <w:rFonts w:hint="eastAsia" w:ascii="仿宋_GB2312" w:eastAsia="仿宋_GB2312"/>
          <w:kern w:val="0"/>
          <w:sz w:val="30"/>
          <w:szCs w:val="30"/>
          <w:highlight w:val="none"/>
        </w:rPr>
        <w:t>科研用房、文化用房、医疗卫生用房等</w:t>
      </w:r>
      <w:r>
        <w:rPr>
          <w:rFonts w:ascii="仿宋_GB2312" w:eastAsia="仿宋_GB2312"/>
          <w:kern w:val="0"/>
          <w:sz w:val="30"/>
          <w:szCs w:val="30"/>
          <w:highlight w:val="none"/>
        </w:rPr>
        <w:t>行政事业单位业务类用房，</w:t>
      </w:r>
      <w:r>
        <w:rPr>
          <w:rFonts w:hint="eastAsia" w:ascii="仿宋_GB2312" w:eastAsia="仿宋_GB2312"/>
          <w:kern w:val="0"/>
          <w:sz w:val="30"/>
          <w:szCs w:val="30"/>
          <w:highlight w:val="none"/>
        </w:rPr>
        <w:t>面积原则上按建筑面积填列。</w:t>
      </w:r>
    </w:p>
    <w:p w14:paraId="4DACD717">
      <w:pPr>
        <w:spacing w:line="360" w:lineRule="auto"/>
        <w:ind w:firstLine="576" w:firstLineChars="192"/>
        <w:rPr>
          <w:rFonts w:ascii="仿宋_GB2312" w:eastAsia="仿宋_GB2312"/>
          <w:kern w:val="0"/>
          <w:sz w:val="30"/>
          <w:szCs w:val="30"/>
          <w:highlight w:val="none"/>
        </w:rPr>
      </w:pPr>
      <w:r>
        <w:rPr>
          <w:rFonts w:ascii="仿宋_GB2312" w:eastAsia="仿宋_GB2312"/>
          <w:kern w:val="0"/>
          <w:sz w:val="30"/>
          <w:szCs w:val="30"/>
          <w:highlight w:val="none"/>
        </w:rPr>
        <w:t>11.</w:t>
      </w:r>
      <w:r>
        <w:rPr>
          <w:rFonts w:hint="eastAsia" w:ascii="仿宋_GB2312" w:eastAsia="仿宋_GB2312"/>
          <w:kern w:val="0"/>
          <w:sz w:val="30"/>
          <w:szCs w:val="30"/>
          <w:highlight w:val="none"/>
        </w:rPr>
        <w:t>在</w:t>
      </w:r>
      <w:r>
        <w:rPr>
          <w:rFonts w:ascii="仿宋_GB2312" w:eastAsia="仿宋_GB2312"/>
          <w:kern w:val="0"/>
          <w:sz w:val="30"/>
          <w:szCs w:val="30"/>
          <w:highlight w:val="none"/>
        </w:rPr>
        <w:t>用</w:t>
      </w:r>
      <w:r>
        <w:rPr>
          <w:rFonts w:hint="eastAsia" w:ascii="仿宋_GB2312" w:eastAsia="仿宋_GB2312"/>
          <w:kern w:val="0"/>
          <w:sz w:val="30"/>
          <w:szCs w:val="30"/>
          <w:highlight w:val="none"/>
        </w:rPr>
        <w:t>：是指行政事业单位占有的，且处于使用状态的房屋，包括使用本单位房屋、使用其他单位房屋、已投入使用的在建工程未转固的房屋。系统内独立核算单位以及历史原因由系统外单位占有使用本单位房屋的也应填列在本单位“在用”中。</w:t>
      </w:r>
    </w:p>
    <w:p w14:paraId="5F1CE311">
      <w:pPr>
        <w:spacing w:line="360" w:lineRule="auto"/>
        <w:ind w:firstLine="576" w:firstLineChars="192"/>
        <w:rPr>
          <w:rFonts w:hint="default" w:ascii="仿宋_GB2312" w:eastAsia="仿宋_GB2312"/>
          <w:kern w:val="0"/>
          <w:sz w:val="30"/>
          <w:szCs w:val="30"/>
          <w:highlight w:val="none"/>
          <w:lang w:val="en-US" w:eastAsia="zh-CN"/>
        </w:rPr>
      </w:pPr>
      <w:r>
        <w:rPr>
          <w:rFonts w:hint="eastAsia" w:ascii="仿宋_GB2312" w:eastAsia="仿宋_GB2312"/>
          <w:kern w:val="0"/>
          <w:sz w:val="30"/>
          <w:szCs w:val="30"/>
          <w:highlight w:val="none"/>
        </w:rPr>
        <w:t>12.待处置（待报废、毁损等）：主要反映行政事业单位除在用、出租出借、闲置以外的房屋情况，该指标信息主要提取房屋资产卡片中的“待处置（待报废、毁损等）面积”。</w:t>
      </w:r>
    </w:p>
    <w:p w14:paraId="4778F6BB">
      <w:pPr>
        <w:spacing w:line="360" w:lineRule="auto"/>
        <w:ind w:firstLine="576" w:firstLineChars="192"/>
        <w:rPr>
          <w:rFonts w:hint="eastAsia" w:ascii="仿宋_GB2312" w:eastAsia="仿宋_GB2312"/>
          <w:sz w:val="30"/>
          <w:szCs w:val="30"/>
          <w:highlight w:val="none"/>
        </w:rPr>
      </w:pPr>
      <w:r>
        <w:rPr>
          <w:rFonts w:hint="eastAsia" w:ascii="仿宋_GB2312" w:eastAsia="仿宋_GB2312"/>
          <w:sz w:val="30"/>
          <w:szCs w:val="30"/>
          <w:highlight w:val="none"/>
        </w:rPr>
        <w:t>本单位房屋由资产模块中资产</w:t>
      </w:r>
      <w:r>
        <w:rPr>
          <w:rFonts w:ascii="仿宋_GB2312" w:eastAsia="仿宋_GB2312"/>
          <w:sz w:val="30"/>
          <w:szCs w:val="30"/>
          <w:highlight w:val="none"/>
        </w:rPr>
        <w:t>卡片</w:t>
      </w:r>
      <w:r>
        <w:rPr>
          <w:rFonts w:hint="eastAsia" w:ascii="仿宋_GB2312" w:eastAsia="仿宋_GB2312"/>
          <w:sz w:val="30"/>
          <w:szCs w:val="30"/>
          <w:highlight w:val="none"/>
        </w:rPr>
        <w:t>相应指标字段提取；使用其他单位房屋和已投入使用在建工程未转固房屋的，由单位根据实际使用情况手工填列。</w:t>
      </w:r>
    </w:p>
    <w:p w14:paraId="2ED49533">
      <w:pPr>
        <w:spacing w:line="360" w:lineRule="auto"/>
        <w:ind w:firstLine="576" w:firstLineChars="192"/>
        <w:rPr>
          <w:rFonts w:ascii="仿宋_GB2312" w:eastAsia="仿宋_GB2312"/>
          <w:sz w:val="30"/>
          <w:szCs w:val="30"/>
          <w:highlight w:val="none"/>
        </w:rPr>
      </w:pPr>
      <w:r>
        <w:rPr>
          <w:rFonts w:hint="eastAsia" w:ascii="仿宋_GB2312" w:eastAsia="仿宋_GB2312"/>
          <w:sz w:val="30"/>
          <w:szCs w:val="30"/>
          <w:highlight w:val="none"/>
          <w:lang w:val="en-US" w:eastAsia="zh-CN"/>
        </w:rPr>
        <w:t>13.危房面积：</w:t>
      </w:r>
      <w:r>
        <w:rPr>
          <w:rFonts w:hint="eastAsia" w:ascii="仿宋_GB2312" w:eastAsia="仿宋_GB2312"/>
          <w:kern w:val="0"/>
          <w:sz w:val="30"/>
          <w:szCs w:val="30"/>
          <w:highlight w:val="none"/>
        </w:rPr>
        <w:t>该指标信息主要提取房屋资产卡片中的“</w:t>
      </w:r>
      <w:r>
        <w:rPr>
          <w:rFonts w:hint="eastAsia" w:ascii="仿宋_GB2312" w:eastAsia="仿宋_GB2312"/>
          <w:kern w:val="0"/>
          <w:sz w:val="30"/>
          <w:szCs w:val="30"/>
          <w:highlight w:val="none"/>
          <w:lang w:val="en-US" w:eastAsia="zh-CN"/>
        </w:rPr>
        <w:t>危房</w:t>
      </w:r>
      <w:r>
        <w:rPr>
          <w:rFonts w:hint="eastAsia" w:ascii="仿宋_GB2312" w:eastAsia="仿宋_GB2312"/>
          <w:kern w:val="0"/>
          <w:sz w:val="30"/>
          <w:szCs w:val="30"/>
          <w:highlight w:val="none"/>
        </w:rPr>
        <w:t>面积”</w:t>
      </w:r>
      <w:r>
        <w:rPr>
          <w:rFonts w:hint="eastAsia" w:ascii="仿宋_GB2312" w:eastAsia="仿宋_GB2312"/>
          <w:kern w:val="0"/>
          <w:sz w:val="30"/>
          <w:szCs w:val="30"/>
          <w:highlight w:val="none"/>
          <w:lang w:eastAsia="zh-CN"/>
        </w:rPr>
        <w:t>。</w:t>
      </w:r>
    </w:p>
    <w:p w14:paraId="516E3D33">
      <w:pPr>
        <w:spacing w:line="360" w:lineRule="auto"/>
        <w:ind w:firstLine="576" w:firstLineChars="192"/>
        <w:rPr>
          <w:rFonts w:ascii="仿宋_GB2312" w:eastAsia="仿宋_GB2312"/>
          <w:sz w:val="30"/>
          <w:szCs w:val="30"/>
          <w:highlight w:val="none"/>
        </w:rPr>
      </w:pPr>
      <w:r>
        <w:rPr>
          <w:rFonts w:ascii="仿宋_GB2312" w:eastAsia="仿宋_GB2312"/>
          <w:sz w:val="30"/>
          <w:szCs w:val="30"/>
          <w:highlight w:val="none"/>
        </w:rPr>
        <w:t>1</w:t>
      </w:r>
      <w:r>
        <w:rPr>
          <w:rFonts w:hint="eastAsia" w:ascii="仿宋_GB2312" w:eastAsia="仿宋_GB2312"/>
          <w:sz w:val="30"/>
          <w:szCs w:val="30"/>
          <w:highlight w:val="none"/>
          <w:lang w:val="en-US" w:eastAsia="zh-CN"/>
        </w:rPr>
        <w:t>4</w:t>
      </w:r>
      <w:r>
        <w:rPr>
          <w:rFonts w:ascii="仿宋_GB2312" w:eastAsia="仿宋_GB2312"/>
          <w:sz w:val="30"/>
          <w:szCs w:val="30"/>
          <w:highlight w:val="none"/>
        </w:rPr>
        <w:t>.</w:t>
      </w:r>
      <w:r>
        <w:rPr>
          <w:rFonts w:hint="eastAsia" w:ascii="仿宋_GB2312" w:eastAsia="仿宋_GB2312"/>
          <w:sz w:val="30"/>
          <w:szCs w:val="30"/>
          <w:highlight w:val="none"/>
        </w:rPr>
        <w:t>期末账面数（原值、累计折旧、净值）：本单位房屋由资产模块中资产</w:t>
      </w:r>
      <w:r>
        <w:rPr>
          <w:rFonts w:ascii="仿宋_GB2312" w:eastAsia="仿宋_GB2312"/>
          <w:sz w:val="30"/>
          <w:szCs w:val="30"/>
          <w:highlight w:val="none"/>
        </w:rPr>
        <w:t>卡片</w:t>
      </w:r>
      <w:r>
        <w:rPr>
          <w:rFonts w:hint="eastAsia" w:ascii="仿宋_GB2312" w:eastAsia="仿宋_GB2312"/>
          <w:sz w:val="30"/>
          <w:szCs w:val="30"/>
          <w:highlight w:val="none"/>
        </w:rPr>
        <w:t>相应指标字段提取；使用其他单位房屋和已投入使用在建工程未转固房屋的不需填列。</w:t>
      </w:r>
    </w:p>
    <w:p w14:paraId="42A618ED">
      <w:pPr>
        <w:spacing w:line="360" w:lineRule="auto"/>
        <w:ind w:firstLine="602" w:firstLineChars="200"/>
        <w:rPr>
          <w:rFonts w:ascii="仿宋_GB2312" w:eastAsia="仿宋_GB2312"/>
          <w:b/>
          <w:sz w:val="30"/>
          <w:szCs w:val="30"/>
          <w:highlight w:val="none"/>
        </w:rPr>
      </w:pPr>
      <w:r>
        <w:rPr>
          <w:rFonts w:hint="eastAsia" w:ascii="仿宋_GB2312" w:eastAsia="仿宋_GB2312"/>
          <w:b/>
          <w:sz w:val="30"/>
          <w:szCs w:val="30"/>
          <w:highlight w:val="none"/>
        </w:rPr>
        <w:t>逻辑性审核公式：</w:t>
      </w:r>
    </w:p>
    <w:p w14:paraId="77BBB635">
      <w:pPr>
        <w:spacing w:line="360" w:lineRule="auto"/>
        <w:ind w:firstLine="602" w:firstLineChars="200"/>
        <w:rPr>
          <w:rFonts w:ascii="仿宋_GB2312" w:eastAsia="仿宋_GB2312"/>
          <w:b/>
          <w:sz w:val="30"/>
          <w:szCs w:val="30"/>
          <w:highlight w:val="none"/>
        </w:rPr>
      </w:pPr>
      <w:r>
        <w:rPr>
          <w:rFonts w:hint="eastAsia" w:ascii="仿宋_GB2312" w:eastAsia="仿宋_GB2312"/>
          <w:b/>
          <w:sz w:val="30"/>
          <w:szCs w:val="30"/>
          <w:highlight w:val="none"/>
        </w:rPr>
        <w:t>表内审核公式：</w:t>
      </w:r>
    </w:p>
    <w:p w14:paraId="6C45F7EE">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使用其他单位房屋的浮动行资产分类（1栏）、资产名称（3栏）不能为空；</w:t>
      </w:r>
    </w:p>
    <w:p w14:paraId="7AB45C3F">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已投入使用的在建工程未转固房屋的浮动行资产分类（1栏）、资产名称（3栏）不能为空；</w:t>
      </w:r>
    </w:p>
    <w:p w14:paraId="436FAFDC">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 xml:space="preserve">本单位房屋的浮动行资产分类（1栏）、资产名称（3栏）、取得方式（4栏）、权属证明（7栏）不能为空； </w:t>
      </w:r>
    </w:p>
    <w:p w14:paraId="7B3A9291">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当权属证明（7栏）</w:t>
      </w:r>
      <w:r>
        <w:rPr>
          <w:rFonts w:ascii="仿宋_GB2312" w:hAnsi="仿宋" w:eastAsia="仿宋_GB2312"/>
          <w:sz w:val="30"/>
          <w:szCs w:val="30"/>
          <w:highlight w:val="none"/>
        </w:rPr>
        <w:t>为“无”</w:t>
      </w:r>
      <w:r>
        <w:rPr>
          <w:rFonts w:hint="eastAsia" w:ascii="仿宋_GB2312" w:hAnsi="仿宋" w:eastAsia="仿宋_GB2312"/>
          <w:sz w:val="30"/>
          <w:szCs w:val="30"/>
          <w:highlight w:val="none"/>
        </w:rPr>
        <w:t>时，权属面积（</w:t>
      </w:r>
      <w:r>
        <w:rPr>
          <w:rFonts w:ascii="仿宋_GB2312" w:hAnsi="仿宋" w:eastAsia="仿宋_GB2312"/>
          <w:sz w:val="30"/>
          <w:szCs w:val="30"/>
          <w:highlight w:val="none"/>
        </w:rPr>
        <w:t>10栏</w:t>
      </w:r>
      <w:r>
        <w:rPr>
          <w:rFonts w:hint="eastAsia" w:ascii="仿宋_GB2312" w:hAnsi="仿宋" w:eastAsia="仿宋_GB2312"/>
          <w:sz w:val="30"/>
          <w:szCs w:val="30"/>
          <w:highlight w:val="none"/>
        </w:rPr>
        <w:t>）应为</w:t>
      </w:r>
      <w:r>
        <w:rPr>
          <w:rFonts w:ascii="仿宋_GB2312" w:hAnsi="仿宋" w:eastAsia="仿宋_GB2312"/>
          <w:sz w:val="30"/>
          <w:szCs w:val="30"/>
          <w:highlight w:val="none"/>
        </w:rPr>
        <w:t>0</w:t>
      </w:r>
      <w:r>
        <w:rPr>
          <w:rFonts w:hint="eastAsia" w:ascii="仿宋_GB2312" w:hAnsi="仿宋" w:eastAsia="仿宋_GB2312"/>
          <w:sz w:val="30"/>
          <w:szCs w:val="30"/>
          <w:highlight w:val="none"/>
        </w:rPr>
        <w:t>、权属证号</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9栏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应为空；</w:t>
      </w:r>
    </w:p>
    <w:p w14:paraId="402A2555">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当权属证明（7栏）为“无”时，备注（3</w:t>
      </w:r>
      <w:r>
        <w:rPr>
          <w:rFonts w:hint="eastAsia" w:ascii="仿宋_GB2312" w:hAnsi="仿宋" w:eastAsia="仿宋_GB2312"/>
          <w:sz w:val="30"/>
          <w:szCs w:val="30"/>
          <w:highlight w:val="none"/>
          <w:lang w:val="en-US" w:eastAsia="zh-CN"/>
        </w:rPr>
        <w:t>7</w:t>
      </w:r>
      <w:r>
        <w:rPr>
          <w:rFonts w:hint="eastAsia" w:ascii="仿宋_GB2312" w:hAnsi="仿宋" w:eastAsia="仿宋_GB2312"/>
          <w:sz w:val="30"/>
          <w:szCs w:val="30"/>
          <w:highlight w:val="none"/>
        </w:rPr>
        <w:t>栏）必填；</w:t>
      </w:r>
    </w:p>
    <w:p w14:paraId="063B6D1D">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当权属证明（7栏）为“</w:t>
      </w:r>
      <w:r>
        <w:rPr>
          <w:rFonts w:hint="eastAsia" w:ascii="仿宋_GB2312" w:eastAsia="仿宋_GB2312"/>
          <w:sz w:val="30"/>
          <w:szCs w:val="30"/>
          <w:highlight w:val="none"/>
        </w:rPr>
        <w:t>房屋权属批准文件、相关法律文书及其他</w:t>
      </w:r>
      <w:r>
        <w:rPr>
          <w:rFonts w:hint="eastAsia" w:ascii="仿宋_GB2312" w:hAnsi="仿宋" w:eastAsia="仿宋_GB2312"/>
          <w:sz w:val="30"/>
          <w:szCs w:val="30"/>
          <w:highlight w:val="none"/>
        </w:rPr>
        <w:t>”时，权属人（8栏）、权属面积（10栏）、权属性质（11栏）必填；</w:t>
      </w:r>
    </w:p>
    <w:p w14:paraId="0B54A9A7">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当权属证明（7栏）为“有</w:t>
      </w:r>
      <w:r>
        <w:rPr>
          <w:rFonts w:hint="eastAsia" w:ascii="仿宋_GB2312" w:eastAsia="仿宋_GB2312"/>
          <w:sz w:val="30"/>
          <w:szCs w:val="30"/>
          <w:highlight w:val="none"/>
        </w:rPr>
        <w:t>房屋所有权证</w:t>
      </w:r>
      <w:r>
        <w:rPr>
          <w:rFonts w:hint="eastAsia" w:ascii="仿宋_GB2312" w:hAnsi="仿宋" w:eastAsia="仿宋_GB2312"/>
          <w:sz w:val="30"/>
          <w:szCs w:val="30"/>
          <w:highlight w:val="none"/>
        </w:rPr>
        <w:t>”时，权属人（8栏）、</w:t>
      </w:r>
      <w:r>
        <w:rPr>
          <w:rFonts w:hint="eastAsia" w:ascii="仿宋_GB2312" w:hAnsi="仿宋" w:eastAsia="仿宋_GB2312"/>
          <w:sz w:val="30"/>
          <w:szCs w:val="30"/>
          <w:highlight w:val="none"/>
          <w:lang w:val="en-US" w:eastAsia="zh-CN"/>
        </w:rPr>
        <w:t>权属证号（9栏）、</w:t>
      </w:r>
      <w:r>
        <w:rPr>
          <w:rFonts w:hint="eastAsia" w:ascii="仿宋_GB2312" w:hAnsi="仿宋" w:eastAsia="仿宋_GB2312"/>
          <w:sz w:val="30"/>
          <w:szCs w:val="30"/>
          <w:highlight w:val="none"/>
        </w:rPr>
        <w:t>权属面积（10栏）、权属性质（11栏）必填；</w:t>
      </w:r>
    </w:p>
    <w:p w14:paraId="57F152B3">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“使用其他单位房屋小计”行及其浮动行期末账面数各指标（</w:t>
      </w:r>
      <w:r>
        <w:rPr>
          <w:rFonts w:ascii="仿宋_GB2312" w:hAnsi="仿宋" w:eastAsia="仿宋_GB2312"/>
          <w:sz w:val="30"/>
          <w:szCs w:val="30"/>
          <w:highlight w:val="none"/>
        </w:rPr>
        <w:t>12</w:t>
      </w:r>
      <w:r>
        <w:rPr>
          <w:rFonts w:hint="eastAsia" w:ascii="仿宋_GB2312" w:hAnsi="仿宋" w:eastAsia="仿宋_GB2312"/>
          <w:sz w:val="30"/>
          <w:szCs w:val="30"/>
          <w:highlight w:val="none"/>
        </w:rPr>
        <w:t>~</w:t>
      </w:r>
      <w:r>
        <w:rPr>
          <w:rFonts w:ascii="仿宋_GB2312" w:hAnsi="仿宋" w:eastAsia="仿宋_GB2312"/>
          <w:sz w:val="30"/>
          <w:szCs w:val="30"/>
          <w:highlight w:val="none"/>
        </w:rPr>
        <w:t>32栏</w:t>
      </w:r>
      <w:r>
        <w:rPr>
          <w:rFonts w:hint="eastAsia" w:ascii="仿宋_GB2312" w:hAnsi="仿宋" w:eastAsia="仿宋_GB2312"/>
          <w:sz w:val="30"/>
          <w:szCs w:val="30"/>
          <w:highlight w:val="none"/>
        </w:rPr>
        <w:t>）</w:t>
      </w:r>
      <w:r>
        <w:rPr>
          <w:rFonts w:hint="eastAsia" w:ascii="仿宋_GB2312" w:hAnsi="仿宋" w:eastAsia="仿宋_GB2312"/>
          <w:sz w:val="30"/>
          <w:szCs w:val="30"/>
          <w:highlight w:val="none"/>
          <w:lang w:val="en-US" w:eastAsia="zh-CN"/>
        </w:rPr>
        <w:t>大于等于</w:t>
      </w:r>
      <w:r>
        <w:rPr>
          <w:rFonts w:hint="eastAsia" w:ascii="仿宋_GB2312" w:hAnsi="仿宋" w:eastAsia="仿宋_GB2312"/>
          <w:sz w:val="30"/>
          <w:szCs w:val="30"/>
          <w:highlight w:val="none"/>
        </w:rPr>
        <w:t>0；</w:t>
      </w:r>
    </w:p>
    <w:p w14:paraId="0063ACA7">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bookmarkStart w:id="6" w:name="_Hlk22760959"/>
      <w:r>
        <w:rPr>
          <w:rFonts w:hint="eastAsia" w:ascii="仿宋_GB2312" w:hAnsi="仿宋" w:eastAsia="仿宋_GB2312"/>
          <w:sz w:val="30"/>
          <w:szCs w:val="30"/>
          <w:highlight w:val="none"/>
        </w:rPr>
        <w:t>使用其他单位房屋小计的浮动行</w:t>
      </w:r>
      <w:r>
        <w:rPr>
          <w:rFonts w:hint="eastAsia" w:ascii="仿宋_GB2312" w:hAnsi="仿宋" w:eastAsia="仿宋_GB2312"/>
          <w:sz w:val="30"/>
          <w:szCs w:val="30"/>
          <w:highlight w:val="none"/>
          <w:lang w:val="en-US" w:eastAsia="zh-CN"/>
        </w:rPr>
        <w:t>建筑面积合计（</w:t>
      </w:r>
      <w:r>
        <w:rPr>
          <w:rFonts w:ascii="仿宋_GB2312" w:hAnsi="仿宋" w:eastAsia="仿宋_GB2312"/>
          <w:sz w:val="30"/>
          <w:szCs w:val="30"/>
          <w:highlight w:val="none"/>
        </w:rPr>
        <w:t>12</w:t>
      </w:r>
      <w:r>
        <w:rPr>
          <w:rFonts w:hint="eastAsia" w:ascii="仿宋_GB2312" w:hAnsi="仿宋" w:eastAsia="仿宋_GB2312"/>
          <w:sz w:val="30"/>
          <w:szCs w:val="30"/>
          <w:highlight w:val="none"/>
        </w:rPr>
        <w:t>栏</w:t>
      </w:r>
      <w:r>
        <w:rPr>
          <w:rFonts w:hint="eastAsia" w:ascii="仿宋_GB2312" w:hAnsi="仿宋" w:eastAsia="仿宋_GB2312"/>
          <w:sz w:val="30"/>
          <w:szCs w:val="30"/>
          <w:highlight w:val="none"/>
          <w:lang w:val="en-US" w:eastAsia="zh-CN"/>
        </w:rPr>
        <w:t>）</w:t>
      </w:r>
      <w:r>
        <w:rPr>
          <w:rFonts w:hint="eastAsia" w:ascii="仿宋_GB2312" w:hAnsi="仿宋" w:eastAsia="仿宋_GB2312"/>
          <w:sz w:val="30"/>
          <w:szCs w:val="30"/>
          <w:highlight w:val="none"/>
        </w:rPr>
        <w:t>应</w:t>
      </w:r>
      <w:r>
        <w:rPr>
          <w:rFonts w:hint="eastAsia" w:ascii="仿宋_GB2312" w:hAnsi="仿宋" w:eastAsia="仿宋_GB2312"/>
          <w:sz w:val="30"/>
          <w:szCs w:val="30"/>
          <w:highlight w:val="none"/>
          <w:lang w:val="en-US" w:eastAsia="zh-CN"/>
        </w:rPr>
        <w:t>大于</w:t>
      </w:r>
      <w:r>
        <w:rPr>
          <w:rFonts w:hint="eastAsia" w:ascii="仿宋_GB2312" w:hAnsi="仿宋" w:eastAsia="仿宋_GB2312"/>
          <w:sz w:val="30"/>
          <w:szCs w:val="30"/>
          <w:highlight w:val="none"/>
        </w:rPr>
        <w:t>0；</w:t>
      </w:r>
    </w:p>
    <w:p w14:paraId="5BDACC34">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已投入使用的在建工程未转固房屋小计的浮动行</w:t>
      </w:r>
      <w:r>
        <w:rPr>
          <w:rFonts w:hint="eastAsia" w:ascii="仿宋_GB2312" w:hAnsi="仿宋" w:eastAsia="仿宋_GB2312"/>
          <w:sz w:val="30"/>
          <w:szCs w:val="30"/>
          <w:highlight w:val="none"/>
          <w:lang w:val="en-US" w:eastAsia="zh-CN"/>
        </w:rPr>
        <w:t>建筑面积合计（</w:t>
      </w:r>
      <w:r>
        <w:rPr>
          <w:rFonts w:ascii="仿宋_GB2312" w:hAnsi="仿宋" w:eastAsia="仿宋_GB2312"/>
          <w:sz w:val="30"/>
          <w:szCs w:val="30"/>
          <w:highlight w:val="none"/>
        </w:rPr>
        <w:t>12</w:t>
      </w:r>
      <w:r>
        <w:rPr>
          <w:rFonts w:hint="eastAsia" w:ascii="仿宋_GB2312" w:hAnsi="仿宋" w:eastAsia="仿宋_GB2312"/>
          <w:sz w:val="30"/>
          <w:szCs w:val="30"/>
          <w:highlight w:val="none"/>
        </w:rPr>
        <w:t>栏</w:t>
      </w:r>
      <w:r>
        <w:rPr>
          <w:rFonts w:hint="eastAsia" w:ascii="仿宋_GB2312" w:hAnsi="仿宋" w:eastAsia="仿宋_GB2312"/>
          <w:sz w:val="30"/>
          <w:szCs w:val="30"/>
          <w:highlight w:val="none"/>
          <w:lang w:val="en-US" w:eastAsia="zh-CN"/>
        </w:rPr>
        <w:t>）</w:t>
      </w:r>
      <w:r>
        <w:rPr>
          <w:rFonts w:hint="eastAsia" w:ascii="仿宋_GB2312" w:hAnsi="仿宋" w:eastAsia="仿宋_GB2312"/>
          <w:sz w:val="30"/>
          <w:szCs w:val="30"/>
          <w:highlight w:val="none"/>
        </w:rPr>
        <w:t>应</w:t>
      </w:r>
      <w:r>
        <w:rPr>
          <w:rFonts w:hint="eastAsia" w:ascii="仿宋_GB2312" w:hAnsi="仿宋" w:eastAsia="仿宋_GB2312"/>
          <w:sz w:val="30"/>
          <w:szCs w:val="30"/>
          <w:highlight w:val="none"/>
          <w:lang w:val="en-US" w:eastAsia="zh-CN"/>
        </w:rPr>
        <w:t>大于</w:t>
      </w:r>
      <w:r>
        <w:rPr>
          <w:rFonts w:hint="eastAsia" w:ascii="仿宋_GB2312" w:hAnsi="仿宋" w:eastAsia="仿宋_GB2312"/>
          <w:sz w:val="30"/>
          <w:szCs w:val="30"/>
          <w:highlight w:val="none"/>
        </w:rPr>
        <w:t>0；</w:t>
      </w:r>
    </w:p>
    <w:p w14:paraId="327894AF">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本单位房屋小计的浮动行</w:t>
      </w:r>
      <w:r>
        <w:rPr>
          <w:rFonts w:hint="eastAsia" w:ascii="仿宋_GB2312" w:hAnsi="仿宋" w:eastAsia="仿宋_GB2312"/>
          <w:sz w:val="30"/>
          <w:szCs w:val="30"/>
          <w:highlight w:val="none"/>
          <w:lang w:val="en-US" w:eastAsia="zh-CN"/>
        </w:rPr>
        <w:t>建筑面积合计（</w:t>
      </w:r>
      <w:r>
        <w:rPr>
          <w:rFonts w:ascii="仿宋_GB2312" w:hAnsi="仿宋" w:eastAsia="仿宋_GB2312"/>
          <w:sz w:val="30"/>
          <w:szCs w:val="30"/>
          <w:highlight w:val="none"/>
        </w:rPr>
        <w:t>12</w:t>
      </w:r>
      <w:r>
        <w:rPr>
          <w:rFonts w:hint="eastAsia" w:ascii="仿宋_GB2312" w:hAnsi="仿宋" w:eastAsia="仿宋_GB2312"/>
          <w:sz w:val="30"/>
          <w:szCs w:val="30"/>
          <w:highlight w:val="none"/>
        </w:rPr>
        <w:t>栏</w:t>
      </w:r>
      <w:r>
        <w:rPr>
          <w:rFonts w:hint="eastAsia" w:ascii="仿宋_GB2312" w:hAnsi="仿宋" w:eastAsia="仿宋_GB2312"/>
          <w:sz w:val="30"/>
          <w:szCs w:val="30"/>
          <w:highlight w:val="none"/>
          <w:lang w:val="en-US" w:eastAsia="zh-CN"/>
        </w:rPr>
        <w:t>）</w:t>
      </w:r>
      <w:r>
        <w:rPr>
          <w:rFonts w:hint="eastAsia" w:ascii="仿宋_GB2312" w:hAnsi="仿宋" w:eastAsia="仿宋_GB2312"/>
          <w:sz w:val="30"/>
          <w:szCs w:val="30"/>
          <w:highlight w:val="none"/>
        </w:rPr>
        <w:t>应</w:t>
      </w:r>
      <w:r>
        <w:rPr>
          <w:rFonts w:hint="eastAsia" w:ascii="仿宋_GB2312" w:hAnsi="仿宋" w:eastAsia="仿宋_GB2312"/>
          <w:sz w:val="30"/>
          <w:szCs w:val="30"/>
          <w:highlight w:val="none"/>
          <w:lang w:val="en-US" w:eastAsia="zh-CN"/>
        </w:rPr>
        <w:t>大于</w:t>
      </w:r>
      <w:r>
        <w:rPr>
          <w:rFonts w:hint="eastAsia" w:ascii="仿宋_GB2312" w:hAnsi="仿宋" w:eastAsia="仿宋_GB2312"/>
          <w:sz w:val="30"/>
          <w:szCs w:val="30"/>
          <w:highlight w:val="none"/>
        </w:rPr>
        <w:t>0；</w:t>
      </w:r>
    </w:p>
    <w:p w14:paraId="59F30D83">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“已投入使用的在建工程未转固房屋小计”行及其浮动行期末账面数各指标（</w:t>
      </w:r>
      <w:r>
        <w:rPr>
          <w:rFonts w:ascii="仿宋_GB2312" w:hAnsi="仿宋" w:eastAsia="仿宋_GB2312"/>
          <w:sz w:val="30"/>
          <w:szCs w:val="30"/>
          <w:highlight w:val="none"/>
        </w:rPr>
        <w:t>12</w:t>
      </w:r>
      <w:r>
        <w:rPr>
          <w:rFonts w:hint="eastAsia" w:ascii="仿宋_GB2312" w:hAnsi="仿宋" w:eastAsia="仿宋_GB2312"/>
          <w:sz w:val="30"/>
          <w:szCs w:val="30"/>
          <w:highlight w:val="none"/>
        </w:rPr>
        <w:t>~</w:t>
      </w:r>
      <w:r>
        <w:rPr>
          <w:rFonts w:ascii="仿宋_GB2312" w:hAnsi="仿宋" w:eastAsia="仿宋_GB2312"/>
          <w:sz w:val="30"/>
          <w:szCs w:val="30"/>
          <w:highlight w:val="none"/>
        </w:rPr>
        <w:t>32栏</w:t>
      </w:r>
      <w:r>
        <w:rPr>
          <w:rFonts w:hint="eastAsia" w:ascii="仿宋_GB2312" w:hAnsi="仿宋" w:eastAsia="仿宋_GB2312"/>
          <w:sz w:val="30"/>
          <w:szCs w:val="30"/>
          <w:highlight w:val="none"/>
        </w:rPr>
        <w:t>）</w:t>
      </w:r>
      <w:r>
        <w:rPr>
          <w:rFonts w:hint="eastAsia" w:ascii="仿宋_GB2312" w:hAnsi="仿宋" w:eastAsia="仿宋_GB2312"/>
          <w:sz w:val="30"/>
          <w:szCs w:val="30"/>
          <w:highlight w:val="none"/>
          <w:lang w:val="en-US" w:eastAsia="zh-CN"/>
        </w:rPr>
        <w:t>大于等于</w:t>
      </w:r>
      <w:r>
        <w:rPr>
          <w:rFonts w:hint="eastAsia" w:ascii="仿宋_GB2312" w:hAnsi="仿宋" w:eastAsia="仿宋_GB2312"/>
          <w:sz w:val="30"/>
          <w:szCs w:val="30"/>
          <w:highlight w:val="none"/>
        </w:rPr>
        <w:t>0；</w:t>
      </w:r>
    </w:p>
    <w:p w14:paraId="3D63F948">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“本单位房屋小计”行及其浮动行的各指标（</w:t>
      </w:r>
      <w:r>
        <w:rPr>
          <w:rFonts w:ascii="仿宋_GB2312" w:hAnsi="仿宋" w:eastAsia="仿宋_GB2312"/>
          <w:sz w:val="30"/>
          <w:szCs w:val="30"/>
          <w:highlight w:val="none"/>
        </w:rPr>
        <w:t>10</w:t>
      </w:r>
      <w:r>
        <w:rPr>
          <w:rFonts w:hint="eastAsia" w:ascii="仿宋_GB2312" w:hAnsi="仿宋" w:eastAsia="仿宋_GB2312"/>
          <w:sz w:val="30"/>
          <w:szCs w:val="30"/>
          <w:highlight w:val="none"/>
        </w:rPr>
        <w:t>,</w:t>
      </w:r>
      <w:r>
        <w:rPr>
          <w:rFonts w:ascii="仿宋_GB2312" w:hAnsi="仿宋" w:eastAsia="仿宋_GB2312"/>
          <w:sz w:val="30"/>
          <w:szCs w:val="30"/>
          <w:highlight w:val="none"/>
        </w:rPr>
        <w:t>12</w:t>
      </w:r>
      <w:r>
        <w:rPr>
          <w:rFonts w:hint="eastAsia" w:ascii="仿宋_GB2312" w:hAnsi="仿宋" w:eastAsia="仿宋_GB2312"/>
          <w:sz w:val="30"/>
          <w:szCs w:val="30"/>
          <w:highlight w:val="none"/>
        </w:rPr>
        <w:t>~</w:t>
      </w:r>
      <w:r>
        <w:rPr>
          <w:rFonts w:ascii="仿宋_GB2312" w:hAnsi="仿宋" w:eastAsia="仿宋_GB2312"/>
          <w:sz w:val="30"/>
          <w:szCs w:val="30"/>
          <w:highlight w:val="none"/>
        </w:rPr>
        <w:t>35栏</w:t>
      </w:r>
      <w:r>
        <w:rPr>
          <w:rFonts w:hint="eastAsia" w:ascii="仿宋_GB2312" w:hAnsi="仿宋" w:eastAsia="仿宋_GB2312"/>
          <w:sz w:val="30"/>
          <w:szCs w:val="30"/>
          <w:highlight w:val="none"/>
        </w:rPr>
        <w:t>）</w:t>
      </w:r>
      <w:r>
        <w:rPr>
          <w:rFonts w:hint="eastAsia" w:ascii="仿宋_GB2312" w:hAnsi="仿宋" w:eastAsia="仿宋_GB2312"/>
          <w:sz w:val="30"/>
          <w:szCs w:val="30"/>
          <w:highlight w:val="none"/>
          <w:lang w:val="en-US" w:eastAsia="zh-CN"/>
        </w:rPr>
        <w:t>大于等于</w:t>
      </w:r>
      <w:r>
        <w:rPr>
          <w:rFonts w:hint="eastAsia" w:ascii="仿宋_GB2312" w:hAnsi="仿宋" w:eastAsia="仿宋_GB2312"/>
          <w:sz w:val="30"/>
          <w:szCs w:val="30"/>
          <w:highlight w:val="none"/>
        </w:rPr>
        <w:t>0；</w:t>
      </w:r>
    </w:p>
    <w:p w14:paraId="194CB8C3">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当权属人（8栏）为“除机关事务管理机构外的其他行政事业单位”或“其他”时，备注（</w:t>
      </w:r>
      <w:r>
        <w:rPr>
          <w:rFonts w:ascii="仿宋_GB2312" w:hAnsi="仿宋" w:eastAsia="仿宋_GB2312"/>
          <w:sz w:val="30"/>
          <w:szCs w:val="30"/>
          <w:highlight w:val="none"/>
        </w:rPr>
        <w:t>3</w:t>
      </w:r>
      <w:r>
        <w:rPr>
          <w:rFonts w:hint="eastAsia" w:ascii="仿宋_GB2312" w:hAnsi="仿宋" w:eastAsia="仿宋_GB2312"/>
          <w:sz w:val="30"/>
          <w:szCs w:val="30"/>
          <w:highlight w:val="none"/>
          <w:lang w:val="en-US" w:eastAsia="zh-CN"/>
        </w:rPr>
        <w:t>7</w:t>
      </w:r>
      <w:r>
        <w:rPr>
          <w:rFonts w:hint="eastAsia" w:ascii="仿宋_GB2312" w:hAnsi="仿宋" w:eastAsia="仿宋_GB2312"/>
          <w:sz w:val="30"/>
          <w:szCs w:val="30"/>
          <w:highlight w:val="none"/>
        </w:rPr>
        <w:t>栏）必填权属人名称；</w:t>
      </w:r>
    </w:p>
    <w:p w14:paraId="783D0CA4">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合计</w:t>
      </w:r>
      <w:r>
        <w:rPr>
          <w:rFonts w:hint="eastAsia" w:ascii="仿宋_GB2312" w:hAnsi="仿宋" w:eastAsia="仿宋_GB2312"/>
          <w:sz w:val="30"/>
          <w:szCs w:val="30"/>
          <w:highlight w:val="none"/>
          <w:lang w:val="en-US" w:eastAsia="zh-CN"/>
        </w:rPr>
        <w:t>栏</w:t>
      </w:r>
      <w:r>
        <w:rPr>
          <w:rFonts w:hint="eastAsia" w:ascii="仿宋_GB2312" w:hAnsi="仿宋" w:eastAsia="仿宋_GB2312"/>
          <w:sz w:val="30"/>
          <w:szCs w:val="30"/>
          <w:highlight w:val="none"/>
        </w:rPr>
        <w:t>的小计（1</w:t>
      </w:r>
      <w:r>
        <w:rPr>
          <w:rFonts w:ascii="仿宋_GB2312" w:hAnsi="仿宋" w:eastAsia="仿宋_GB2312"/>
          <w:sz w:val="30"/>
          <w:szCs w:val="30"/>
          <w:highlight w:val="none"/>
        </w:rPr>
        <w:t>2</w:t>
      </w:r>
      <w:r>
        <w:rPr>
          <w:rFonts w:hint="eastAsia" w:ascii="仿宋_GB2312" w:hAnsi="仿宋" w:eastAsia="仿宋_GB2312"/>
          <w:sz w:val="30"/>
          <w:szCs w:val="30"/>
          <w:highlight w:val="none"/>
        </w:rPr>
        <w:t>栏）</w:t>
      </w:r>
      <w:r>
        <w:rPr>
          <w:rFonts w:hint="eastAsia" w:ascii="仿宋_GB2312" w:hAnsi="仿宋" w:eastAsia="仿宋_GB2312"/>
          <w:sz w:val="30"/>
          <w:szCs w:val="30"/>
          <w:highlight w:val="none"/>
          <w:lang w:val="en-US" w:eastAsia="zh-CN"/>
        </w:rPr>
        <w:t>应等于</w:t>
      </w:r>
      <w:r>
        <w:rPr>
          <w:rFonts w:hint="eastAsia" w:ascii="仿宋_GB2312" w:hAnsi="仿宋" w:eastAsia="仿宋_GB2312"/>
          <w:sz w:val="30"/>
          <w:szCs w:val="30"/>
          <w:highlight w:val="none"/>
        </w:rPr>
        <w:t>在用</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出租出借</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闲置</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待处置</w:t>
      </w:r>
      <w:r>
        <w:rPr>
          <w:rFonts w:hint="eastAsia" w:ascii="仿宋_GB2312" w:hAnsi="仿宋" w:eastAsia="仿宋_GB2312"/>
          <w:sz w:val="30"/>
          <w:szCs w:val="30"/>
          <w:highlight w:val="none"/>
          <w:lang w:val="en-US" w:eastAsia="zh-CN"/>
        </w:rPr>
        <w:t>各栏之和</w:t>
      </w:r>
      <w:r>
        <w:rPr>
          <w:rFonts w:hint="eastAsia" w:ascii="仿宋_GB2312" w:hAnsi="仿宋" w:eastAsia="仿宋_GB2312"/>
          <w:sz w:val="30"/>
          <w:szCs w:val="30"/>
          <w:highlight w:val="none"/>
        </w:rPr>
        <w:t>（1</w:t>
      </w:r>
      <w:r>
        <w:rPr>
          <w:rFonts w:ascii="仿宋_GB2312" w:hAnsi="仿宋" w:eastAsia="仿宋_GB2312"/>
          <w:sz w:val="30"/>
          <w:szCs w:val="30"/>
          <w:highlight w:val="none"/>
        </w:rPr>
        <w:t>3</w:t>
      </w:r>
      <w:r>
        <w:rPr>
          <w:rFonts w:hint="eastAsia" w:ascii="仿宋_GB2312" w:hAnsi="仿宋" w:eastAsia="仿宋_GB2312"/>
          <w:sz w:val="30"/>
          <w:szCs w:val="30"/>
          <w:highlight w:val="none"/>
        </w:rPr>
        <w:t>~16栏）；</w:t>
      </w:r>
    </w:p>
    <w:p w14:paraId="0ABF9660">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合计</w:t>
      </w:r>
      <w:r>
        <w:rPr>
          <w:rFonts w:hint="eastAsia" w:ascii="仿宋_GB2312" w:hAnsi="仿宋" w:eastAsia="仿宋_GB2312"/>
          <w:sz w:val="30"/>
          <w:szCs w:val="30"/>
          <w:highlight w:val="none"/>
          <w:lang w:val="en-US" w:eastAsia="zh-CN"/>
        </w:rPr>
        <w:t>栏</w:t>
      </w:r>
      <w:r>
        <w:rPr>
          <w:rFonts w:hint="eastAsia" w:ascii="仿宋_GB2312" w:hAnsi="仿宋" w:eastAsia="仿宋_GB2312"/>
          <w:sz w:val="30"/>
          <w:szCs w:val="30"/>
          <w:highlight w:val="none"/>
        </w:rPr>
        <w:t>的小计（1</w:t>
      </w:r>
      <w:r>
        <w:rPr>
          <w:rFonts w:ascii="仿宋_GB2312" w:hAnsi="仿宋" w:eastAsia="仿宋_GB2312"/>
          <w:sz w:val="30"/>
          <w:szCs w:val="30"/>
          <w:highlight w:val="none"/>
        </w:rPr>
        <w:t>2</w:t>
      </w:r>
      <w:r>
        <w:rPr>
          <w:rFonts w:hint="eastAsia" w:ascii="仿宋_GB2312" w:hAnsi="仿宋" w:eastAsia="仿宋_GB2312"/>
          <w:sz w:val="30"/>
          <w:szCs w:val="30"/>
          <w:highlight w:val="none"/>
        </w:rPr>
        <w:t>栏）</w:t>
      </w:r>
      <w:r>
        <w:rPr>
          <w:rFonts w:hint="eastAsia" w:ascii="仿宋_GB2312" w:hAnsi="仿宋" w:eastAsia="仿宋_GB2312"/>
          <w:sz w:val="30"/>
          <w:szCs w:val="30"/>
          <w:highlight w:val="none"/>
          <w:lang w:val="en-US" w:eastAsia="zh-CN"/>
        </w:rPr>
        <w:t>应等于</w:t>
      </w:r>
      <w:r>
        <w:rPr>
          <w:rFonts w:hint="eastAsia" w:ascii="仿宋_GB2312" w:hAnsi="仿宋" w:eastAsia="仿宋_GB2312"/>
          <w:sz w:val="30"/>
          <w:szCs w:val="30"/>
          <w:highlight w:val="none"/>
        </w:rPr>
        <w:t>办公用房小计</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业务用房小计</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其他用房小计</w:t>
      </w:r>
      <w:r>
        <w:rPr>
          <w:rFonts w:hint="eastAsia" w:ascii="仿宋_GB2312" w:hAnsi="仿宋" w:eastAsia="仿宋_GB2312"/>
          <w:sz w:val="30"/>
          <w:szCs w:val="30"/>
          <w:highlight w:val="none"/>
          <w:lang w:val="en-US" w:eastAsia="zh-CN"/>
        </w:rPr>
        <w:t>各栏之和</w:t>
      </w:r>
      <w:r>
        <w:rPr>
          <w:rFonts w:hint="eastAsia" w:ascii="仿宋_GB2312" w:hAnsi="仿宋" w:eastAsia="仿宋_GB2312"/>
          <w:sz w:val="30"/>
          <w:szCs w:val="30"/>
          <w:highlight w:val="none"/>
        </w:rPr>
        <w:t>（</w:t>
      </w:r>
      <w:r>
        <w:rPr>
          <w:rFonts w:ascii="仿宋_GB2312" w:hAnsi="仿宋" w:eastAsia="仿宋_GB2312"/>
          <w:sz w:val="30"/>
          <w:szCs w:val="30"/>
          <w:highlight w:val="none"/>
        </w:rPr>
        <w:t>17</w:t>
      </w:r>
      <w:r>
        <w:rPr>
          <w:rFonts w:hint="eastAsia" w:ascii="仿宋_GB2312" w:hAnsi="仿宋" w:eastAsia="仿宋_GB2312"/>
          <w:sz w:val="30"/>
          <w:szCs w:val="30"/>
          <w:highlight w:val="none"/>
          <w:lang w:eastAsia="zh-CN"/>
        </w:rPr>
        <w:t>、</w:t>
      </w:r>
      <w:r>
        <w:rPr>
          <w:rFonts w:ascii="仿宋_GB2312" w:hAnsi="仿宋" w:eastAsia="仿宋_GB2312"/>
          <w:sz w:val="30"/>
          <w:szCs w:val="30"/>
          <w:highlight w:val="none"/>
        </w:rPr>
        <w:t>23</w:t>
      </w:r>
      <w:r>
        <w:rPr>
          <w:rFonts w:hint="eastAsia" w:ascii="仿宋_GB2312" w:hAnsi="仿宋" w:eastAsia="仿宋_GB2312"/>
          <w:sz w:val="30"/>
          <w:szCs w:val="30"/>
          <w:highlight w:val="none"/>
          <w:lang w:eastAsia="zh-CN"/>
        </w:rPr>
        <w:t>、</w:t>
      </w:r>
      <w:r>
        <w:rPr>
          <w:rFonts w:ascii="仿宋_GB2312" w:hAnsi="仿宋" w:eastAsia="仿宋_GB2312"/>
          <w:sz w:val="30"/>
          <w:szCs w:val="30"/>
          <w:highlight w:val="none"/>
        </w:rPr>
        <w:t>28栏</w:t>
      </w:r>
      <w:r>
        <w:rPr>
          <w:rFonts w:hint="eastAsia" w:ascii="仿宋_GB2312" w:hAnsi="仿宋" w:eastAsia="仿宋_GB2312"/>
          <w:sz w:val="30"/>
          <w:szCs w:val="30"/>
          <w:highlight w:val="none"/>
        </w:rPr>
        <w:t>）；</w:t>
      </w:r>
    </w:p>
    <w:p w14:paraId="2E3C6F06">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合计</w:t>
      </w:r>
      <w:r>
        <w:rPr>
          <w:rFonts w:hint="eastAsia" w:ascii="仿宋_GB2312" w:hAnsi="仿宋" w:eastAsia="仿宋_GB2312"/>
          <w:sz w:val="30"/>
          <w:szCs w:val="30"/>
          <w:highlight w:val="none"/>
          <w:lang w:val="en-US" w:eastAsia="zh-CN"/>
        </w:rPr>
        <w:t>栏</w:t>
      </w:r>
      <w:r>
        <w:rPr>
          <w:rFonts w:hint="eastAsia" w:ascii="仿宋_GB2312" w:hAnsi="仿宋" w:eastAsia="仿宋_GB2312"/>
          <w:sz w:val="30"/>
          <w:szCs w:val="30"/>
          <w:highlight w:val="none"/>
        </w:rPr>
        <w:t>的在用（</w:t>
      </w:r>
      <w:r>
        <w:rPr>
          <w:rFonts w:ascii="仿宋_GB2312" w:hAnsi="仿宋" w:eastAsia="仿宋_GB2312"/>
          <w:sz w:val="30"/>
          <w:szCs w:val="30"/>
          <w:highlight w:val="none"/>
        </w:rPr>
        <w:t>13</w:t>
      </w:r>
      <w:r>
        <w:rPr>
          <w:rFonts w:hint="eastAsia" w:ascii="仿宋_GB2312" w:hAnsi="仿宋" w:eastAsia="仿宋_GB2312"/>
          <w:sz w:val="30"/>
          <w:szCs w:val="30"/>
          <w:highlight w:val="none"/>
        </w:rPr>
        <w:t>栏）</w:t>
      </w:r>
      <w:r>
        <w:rPr>
          <w:rFonts w:hint="eastAsia" w:ascii="仿宋_GB2312" w:hAnsi="仿宋" w:eastAsia="仿宋_GB2312"/>
          <w:sz w:val="30"/>
          <w:szCs w:val="30"/>
          <w:highlight w:val="none"/>
          <w:lang w:val="en-US" w:eastAsia="zh-CN"/>
        </w:rPr>
        <w:t>应等于</w:t>
      </w:r>
      <w:r>
        <w:rPr>
          <w:rFonts w:hint="eastAsia" w:ascii="仿宋_GB2312" w:hAnsi="仿宋" w:eastAsia="仿宋_GB2312"/>
          <w:sz w:val="30"/>
          <w:szCs w:val="30"/>
          <w:highlight w:val="none"/>
        </w:rPr>
        <w:t>办公用房在用</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业务用房在用</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其他用房在用</w:t>
      </w:r>
      <w:r>
        <w:rPr>
          <w:rFonts w:hint="eastAsia" w:ascii="仿宋_GB2312" w:hAnsi="仿宋" w:eastAsia="仿宋_GB2312"/>
          <w:sz w:val="30"/>
          <w:szCs w:val="30"/>
          <w:highlight w:val="none"/>
          <w:lang w:val="en-US" w:eastAsia="zh-CN"/>
        </w:rPr>
        <w:t>各栏之和</w:t>
      </w:r>
      <w:r>
        <w:rPr>
          <w:rFonts w:hint="eastAsia" w:ascii="仿宋_GB2312" w:hAnsi="仿宋" w:eastAsia="仿宋_GB2312"/>
          <w:sz w:val="30"/>
          <w:szCs w:val="30"/>
          <w:highlight w:val="none"/>
        </w:rPr>
        <w:t>（</w:t>
      </w:r>
      <w:r>
        <w:rPr>
          <w:rFonts w:ascii="仿宋_GB2312" w:hAnsi="仿宋" w:eastAsia="仿宋_GB2312"/>
          <w:sz w:val="30"/>
          <w:szCs w:val="30"/>
          <w:highlight w:val="none"/>
        </w:rPr>
        <w:t>18</w:t>
      </w:r>
      <w:r>
        <w:rPr>
          <w:rFonts w:hint="eastAsia" w:ascii="仿宋_GB2312" w:hAnsi="仿宋" w:eastAsia="仿宋_GB2312"/>
          <w:sz w:val="30"/>
          <w:szCs w:val="30"/>
          <w:highlight w:val="none"/>
          <w:lang w:eastAsia="zh-CN"/>
        </w:rPr>
        <w:t>、</w:t>
      </w:r>
      <w:r>
        <w:rPr>
          <w:rFonts w:ascii="仿宋_GB2312" w:hAnsi="仿宋" w:eastAsia="仿宋_GB2312"/>
          <w:sz w:val="30"/>
          <w:szCs w:val="30"/>
          <w:highlight w:val="none"/>
        </w:rPr>
        <w:t>24</w:t>
      </w:r>
      <w:r>
        <w:rPr>
          <w:rFonts w:hint="eastAsia" w:ascii="仿宋_GB2312" w:hAnsi="仿宋" w:eastAsia="仿宋_GB2312"/>
          <w:sz w:val="30"/>
          <w:szCs w:val="30"/>
          <w:highlight w:val="none"/>
          <w:lang w:eastAsia="zh-CN"/>
        </w:rPr>
        <w:t>、</w:t>
      </w:r>
      <w:r>
        <w:rPr>
          <w:rFonts w:ascii="仿宋_GB2312" w:hAnsi="仿宋" w:eastAsia="仿宋_GB2312"/>
          <w:sz w:val="30"/>
          <w:szCs w:val="30"/>
          <w:highlight w:val="none"/>
        </w:rPr>
        <w:t>29栏</w:t>
      </w:r>
      <w:r>
        <w:rPr>
          <w:rFonts w:hint="eastAsia" w:ascii="仿宋_GB2312" w:hAnsi="仿宋" w:eastAsia="仿宋_GB2312"/>
          <w:sz w:val="30"/>
          <w:szCs w:val="30"/>
          <w:highlight w:val="none"/>
        </w:rPr>
        <w:t>）；</w:t>
      </w:r>
    </w:p>
    <w:p w14:paraId="2D1E32C9">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合计</w:t>
      </w:r>
      <w:r>
        <w:rPr>
          <w:rFonts w:hint="eastAsia" w:ascii="仿宋_GB2312" w:hAnsi="仿宋" w:eastAsia="仿宋_GB2312"/>
          <w:sz w:val="30"/>
          <w:szCs w:val="30"/>
          <w:highlight w:val="none"/>
          <w:lang w:val="en-US" w:eastAsia="zh-CN"/>
        </w:rPr>
        <w:t>栏</w:t>
      </w:r>
      <w:r>
        <w:rPr>
          <w:rFonts w:hint="eastAsia" w:ascii="仿宋_GB2312" w:hAnsi="仿宋" w:eastAsia="仿宋_GB2312"/>
          <w:sz w:val="30"/>
          <w:szCs w:val="30"/>
          <w:highlight w:val="none"/>
        </w:rPr>
        <w:t>的出租出借</w:t>
      </w:r>
      <w:r>
        <w:rPr>
          <w:rFonts w:hint="eastAsia" w:ascii="仿宋_GB2312" w:hAnsi="仿宋" w:eastAsia="仿宋_GB2312"/>
          <w:sz w:val="30"/>
          <w:szCs w:val="30"/>
          <w:highlight w:val="none"/>
          <w:lang w:eastAsia="zh-CN"/>
        </w:rPr>
        <w:t>（</w:t>
      </w:r>
      <w:r>
        <w:rPr>
          <w:rFonts w:ascii="仿宋_GB2312" w:hAnsi="仿宋" w:eastAsia="仿宋_GB2312"/>
          <w:sz w:val="30"/>
          <w:szCs w:val="30"/>
          <w:highlight w:val="none"/>
        </w:rPr>
        <w:t>14</w:t>
      </w:r>
      <w:r>
        <w:rPr>
          <w:rFonts w:hint="eastAsia" w:ascii="仿宋_GB2312" w:hAnsi="仿宋" w:eastAsia="仿宋_GB2312"/>
          <w:sz w:val="30"/>
          <w:szCs w:val="30"/>
          <w:highlight w:val="none"/>
        </w:rPr>
        <w:t>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应等于</w:t>
      </w:r>
      <w:r>
        <w:rPr>
          <w:rFonts w:hint="eastAsia" w:ascii="仿宋_GB2312" w:hAnsi="仿宋" w:eastAsia="仿宋_GB2312"/>
          <w:sz w:val="30"/>
          <w:szCs w:val="30"/>
          <w:highlight w:val="none"/>
        </w:rPr>
        <w:t>办公用房出租出借+业务用房出租出借+其他用房出租出借（</w:t>
      </w:r>
      <w:r>
        <w:rPr>
          <w:rFonts w:ascii="仿宋_GB2312" w:hAnsi="仿宋" w:eastAsia="仿宋_GB2312"/>
          <w:sz w:val="30"/>
          <w:szCs w:val="30"/>
          <w:highlight w:val="none"/>
        </w:rPr>
        <w:t>19</w:t>
      </w:r>
      <w:r>
        <w:rPr>
          <w:rFonts w:hint="eastAsia" w:ascii="仿宋_GB2312" w:hAnsi="仿宋" w:eastAsia="仿宋_GB2312"/>
          <w:sz w:val="30"/>
          <w:szCs w:val="30"/>
          <w:highlight w:val="none"/>
          <w:lang w:eastAsia="zh-CN"/>
        </w:rPr>
        <w:t>、</w:t>
      </w:r>
      <w:r>
        <w:rPr>
          <w:rFonts w:ascii="仿宋_GB2312" w:hAnsi="仿宋" w:eastAsia="仿宋_GB2312"/>
          <w:sz w:val="30"/>
          <w:szCs w:val="30"/>
          <w:highlight w:val="none"/>
        </w:rPr>
        <w:t>25</w:t>
      </w:r>
      <w:r>
        <w:rPr>
          <w:rFonts w:hint="eastAsia" w:ascii="仿宋_GB2312" w:hAnsi="仿宋" w:eastAsia="仿宋_GB2312"/>
          <w:sz w:val="30"/>
          <w:szCs w:val="30"/>
          <w:highlight w:val="none"/>
          <w:lang w:eastAsia="zh-CN"/>
        </w:rPr>
        <w:t>、</w:t>
      </w:r>
      <w:r>
        <w:rPr>
          <w:rFonts w:ascii="仿宋_GB2312" w:hAnsi="仿宋" w:eastAsia="仿宋_GB2312"/>
          <w:sz w:val="30"/>
          <w:szCs w:val="30"/>
          <w:highlight w:val="none"/>
        </w:rPr>
        <w:t>30栏</w:t>
      </w:r>
      <w:r>
        <w:rPr>
          <w:rFonts w:hint="eastAsia" w:ascii="仿宋_GB2312" w:hAnsi="仿宋" w:eastAsia="仿宋_GB2312"/>
          <w:sz w:val="30"/>
          <w:szCs w:val="30"/>
          <w:highlight w:val="none"/>
        </w:rPr>
        <w:t>）；</w:t>
      </w:r>
    </w:p>
    <w:p w14:paraId="1F397569">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合计</w:t>
      </w:r>
      <w:r>
        <w:rPr>
          <w:rFonts w:hint="eastAsia" w:ascii="仿宋_GB2312" w:hAnsi="仿宋" w:eastAsia="仿宋_GB2312"/>
          <w:sz w:val="30"/>
          <w:szCs w:val="30"/>
          <w:highlight w:val="none"/>
          <w:lang w:val="en-US" w:eastAsia="zh-CN"/>
        </w:rPr>
        <w:t>栏</w:t>
      </w:r>
      <w:r>
        <w:rPr>
          <w:rFonts w:hint="eastAsia" w:ascii="仿宋_GB2312" w:hAnsi="仿宋" w:eastAsia="仿宋_GB2312"/>
          <w:sz w:val="30"/>
          <w:szCs w:val="30"/>
          <w:highlight w:val="none"/>
        </w:rPr>
        <w:t>的闲置</w:t>
      </w:r>
      <w:r>
        <w:rPr>
          <w:rFonts w:hint="eastAsia" w:ascii="仿宋_GB2312" w:hAnsi="仿宋" w:eastAsia="仿宋_GB2312"/>
          <w:sz w:val="30"/>
          <w:szCs w:val="30"/>
          <w:highlight w:val="none"/>
          <w:lang w:eastAsia="zh-CN"/>
        </w:rPr>
        <w:t>（</w:t>
      </w:r>
      <w:r>
        <w:rPr>
          <w:rFonts w:ascii="仿宋_GB2312" w:hAnsi="仿宋" w:eastAsia="仿宋_GB2312"/>
          <w:sz w:val="30"/>
          <w:szCs w:val="30"/>
          <w:highlight w:val="none"/>
        </w:rPr>
        <w:t>15</w:t>
      </w:r>
      <w:r>
        <w:rPr>
          <w:rFonts w:hint="eastAsia" w:ascii="仿宋_GB2312" w:hAnsi="仿宋" w:eastAsia="仿宋_GB2312"/>
          <w:sz w:val="30"/>
          <w:szCs w:val="30"/>
          <w:highlight w:val="none"/>
        </w:rPr>
        <w:t>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应等于</w:t>
      </w:r>
      <w:r>
        <w:rPr>
          <w:rFonts w:hint="eastAsia" w:ascii="仿宋_GB2312" w:hAnsi="仿宋" w:eastAsia="仿宋_GB2312"/>
          <w:sz w:val="30"/>
          <w:szCs w:val="30"/>
          <w:highlight w:val="none"/>
        </w:rPr>
        <w:t>办公用房闲置</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业务用房闲置</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其他用房闲置</w:t>
      </w:r>
      <w:r>
        <w:rPr>
          <w:rFonts w:hint="eastAsia" w:ascii="仿宋_GB2312" w:hAnsi="仿宋" w:eastAsia="仿宋_GB2312"/>
          <w:sz w:val="30"/>
          <w:szCs w:val="30"/>
          <w:highlight w:val="none"/>
          <w:lang w:val="en-US" w:eastAsia="zh-CN"/>
        </w:rPr>
        <w:t>各栏之和</w:t>
      </w:r>
      <w:r>
        <w:rPr>
          <w:rFonts w:hint="eastAsia" w:ascii="仿宋_GB2312" w:hAnsi="仿宋" w:eastAsia="仿宋_GB2312"/>
          <w:sz w:val="30"/>
          <w:szCs w:val="30"/>
          <w:highlight w:val="none"/>
        </w:rPr>
        <w:t>（</w:t>
      </w:r>
      <w:r>
        <w:rPr>
          <w:rFonts w:ascii="仿宋_GB2312" w:hAnsi="仿宋" w:eastAsia="仿宋_GB2312"/>
          <w:sz w:val="30"/>
          <w:szCs w:val="30"/>
          <w:highlight w:val="none"/>
        </w:rPr>
        <w:t>20</w:t>
      </w:r>
      <w:r>
        <w:rPr>
          <w:rFonts w:hint="eastAsia" w:ascii="仿宋_GB2312" w:hAnsi="仿宋" w:eastAsia="仿宋_GB2312"/>
          <w:sz w:val="30"/>
          <w:szCs w:val="30"/>
          <w:highlight w:val="none"/>
          <w:lang w:eastAsia="zh-CN"/>
        </w:rPr>
        <w:t>、</w:t>
      </w:r>
      <w:r>
        <w:rPr>
          <w:rFonts w:ascii="仿宋_GB2312" w:hAnsi="仿宋" w:eastAsia="仿宋_GB2312"/>
          <w:sz w:val="30"/>
          <w:szCs w:val="30"/>
          <w:highlight w:val="none"/>
        </w:rPr>
        <w:t>26</w:t>
      </w:r>
      <w:r>
        <w:rPr>
          <w:rFonts w:hint="eastAsia" w:ascii="仿宋_GB2312" w:hAnsi="仿宋" w:eastAsia="仿宋_GB2312"/>
          <w:sz w:val="30"/>
          <w:szCs w:val="30"/>
          <w:highlight w:val="none"/>
          <w:lang w:eastAsia="zh-CN"/>
        </w:rPr>
        <w:t>、</w:t>
      </w:r>
      <w:r>
        <w:rPr>
          <w:rFonts w:ascii="仿宋_GB2312" w:hAnsi="仿宋" w:eastAsia="仿宋_GB2312"/>
          <w:sz w:val="30"/>
          <w:szCs w:val="30"/>
          <w:highlight w:val="none"/>
        </w:rPr>
        <w:t>31栏</w:t>
      </w:r>
      <w:r>
        <w:rPr>
          <w:rFonts w:hint="eastAsia" w:ascii="仿宋_GB2312" w:hAnsi="仿宋" w:eastAsia="仿宋_GB2312"/>
          <w:sz w:val="30"/>
          <w:szCs w:val="30"/>
          <w:highlight w:val="none"/>
        </w:rPr>
        <w:t>）；</w:t>
      </w:r>
    </w:p>
    <w:p w14:paraId="2B159741">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合计</w:t>
      </w:r>
      <w:r>
        <w:rPr>
          <w:rFonts w:hint="eastAsia" w:ascii="仿宋_GB2312" w:hAnsi="仿宋" w:eastAsia="仿宋_GB2312"/>
          <w:sz w:val="30"/>
          <w:szCs w:val="30"/>
          <w:highlight w:val="none"/>
          <w:lang w:val="en-US" w:eastAsia="zh-CN"/>
        </w:rPr>
        <w:t>栏</w:t>
      </w:r>
      <w:r>
        <w:rPr>
          <w:rFonts w:hint="eastAsia" w:ascii="仿宋_GB2312" w:hAnsi="仿宋" w:eastAsia="仿宋_GB2312"/>
          <w:sz w:val="30"/>
          <w:szCs w:val="30"/>
          <w:highlight w:val="none"/>
        </w:rPr>
        <w:t>待处置</w:t>
      </w:r>
      <w:r>
        <w:rPr>
          <w:rFonts w:hint="eastAsia" w:ascii="仿宋_GB2312" w:hAnsi="仿宋" w:eastAsia="仿宋_GB2312"/>
          <w:sz w:val="30"/>
          <w:szCs w:val="30"/>
          <w:highlight w:val="none"/>
          <w:lang w:val="en-US" w:eastAsia="zh-CN"/>
        </w:rPr>
        <w:t>（</w:t>
      </w:r>
      <w:r>
        <w:rPr>
          <w:rFonts w:ascii="仿宋_GB2312" w:hAnsi="仿宋" w:eastAsia="仿宋_GB2312"/>
          <w:sz w:val="30"/>
          <w:szCs w:val="30"/>
          <w:highlight w:val="none"/>
        </w:rPr>
        <w:t>16</w:t>
      </w:r>
      <w:r>
        <w:rPr>
          <w:rFonts w:hint="eastAsia" w:ascii="仿宋_GB2312" w:hAnsi="仿宋" w:eastAsia="仿宋_GB2312"/>
          <w:sz w:val="30"/>
          <w:szCs w:val="30"/>
          <w:highlight w:val="none"/>
        </w:rPr>
        <w:t>栏</w:t>
      </w:r>
      <w:r>
        <w:rPr>
          <w:rFonts w:hint="eastAsia" w:ascii="仿宋_GB2312" w:hAnsi="仿宋" w:eastAsia="仿宋_GB2312"/>
          <w:sz w:val="30"/>
          <w:szCs w:val="30"/>
          <w:highlight w:val="none"/>
          <w:lang w:val="en-US" w:eastAsia="zh-CN"/>
        </w:rPr>
        <w:t>）应等于</w:t>
      </w:r>
      <w:r>
        <w:rPr>
          <w:rFonts w:hint="eastAsia" w:ascii="仿宋_GB2312" w:hAnsi="仿宋" w:eastAsia="仿宋_GB2312"/>
          <w:sz w:val="30"/>
          <w:szCs w:val="30"/>
          <w:highlight w:val="none"/>
        </w:rPr>
        <w:t>办公用房待处置</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业务用房待处置</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其他用房待处置</w:t>
      </w:r>
      <w:r>
        <w:rPr>
          <w:rFonts w:hint="eastAsia" w:ascii="仿宋_GB2312" w:hAnsi="仿宋" w:eastAsia="仿宋_GB2312"/>
          <w:sz w:val="30"/>
          <w:szCs w:val="30"/>
          <w:highlight w:val="none"/>
          <w:lang w:val="en-US" w:eastAsia="zh-CN"/>
        </w:rPr>
        <w:t>各栏之和</w:t>
      </w:r>
      <w:r>
        <w:rPr>
          <w:rFonts w:hint="eastAsia" w:ascii="仿宋_GB2312" w:hAnsi="仿宋" w:eastAsia="仿宋_GB2312"/>
          <w:sz w:val="30"/>
          <w:szCs w:val="30"/>
          <w:highlight w:val="none"/>
        </w:rPr>
        <w:t>（</w:t>
      </w:r>
      <w:r>
        <w:rPr>
          <w:rFonts w:ascii="仿宋_GB2312" w:hAnsi="仿宋" w:eastAsia="仿宋_GB2312"/>
          <w:sz w:val="30"/>
          <w:szCs w:val="30"/>
          <w:highlight w:val="none"/>
        </w:rPr>
        <w:t>21</w:t>
      </w:r>
      <w:r>
        <w:rPr>
          <w:rFonts w:hint="eastAsia" w:ascii="仿宋_GB2312" w:hAnsi="仿宋" w:eastAsia="仿宋_GB2312"/>
          <w:sz w:val="30"/>
          <w:szCs w:val="30"/>
          <w:highlight w:val="none"/>
          <w:lang w:eastAsia="zh-CN"/>
        </w:rPr>
        <w:t>、</w:t>
      </w:r>
      <w:r>
        <w:rPr>
          <w:rFonts w:ascii="仿宋_GB2312" w:hAnsi="仿宋" w:eastAsia="仿宋_GB2312"/>
          <w:sz w:val="30"/>
          <w:szCs w:val="30"/>
          <w:highlight w:val="none"/>
        </w:rPr>
        <w:t>27</w:t>
      </w:r>
      <w:r>
        <w:rPr>
          <w:rFonts w:hint="eastAsia" w:ascii="仿宋_GB2312" w:hAnsi="仿宋" w:eastAsia="仿宋_GB2312"/>
          <w:sz w:val="30"/>
          <w:szCs w:val="30"/>
          <w:highlight w:val="none"/>
          <w:lang w:eastAsia="zh-CN"/>
        </w:rPr>
        <w:t>、</w:t>
      </w:r>
      <w:r>
        <w:rPr>
          <w:rFonts w:ascii="仿宋_GB2312" w:hAnsi="仿宋" w:eastAsia="仿宋_GB2312"/>
          <w:sz w:val="30"/>
          <w:szCs w:val="30"/>
          <w:highlight w:val="none"/>
        </w:rPr>
        <w:t>32栏</w:t>
      </w:r>
      <w:r>
        <w:rPr>
          <w:rFonts w:hint="eastAsia" w:ascii="仿宋_GB2312" w:hAnsi="仿宋" w:eastAsia="仿宋_GB2312"/>
          <w:sz w:val="30"/>
          <w:szCs w:val="30"/>
          <w:highlight w:val="none"/>
        </w:rPr>
        <w:t>）；</w:t>
      </w:r>
    </w:p>
    <w:p w14:paraId="6CB373E3">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办公用房小计（</w:t>
      </w:r>
      <w:r>
        <w:rPr>
          <w:rFonts w:ascii="仿宋_GB2312" w:hAnsi="仿宋" w:eastAsia="仿宋_GB2312"/>
          <w:sz w:val="30"/>
          <w:szCs w:val="30"/>
          <w:highlight w:val="none"/>
        </w:rPr>
        <w:t>17栏</w:t>
      </w:r>
      <w:r>
        <w:rPr>
          <w:rFonts w:hint="eastAsia" w:ascii="仿宋_GB2312" w:hAnsi="仿宋" w:eastAsia="仿宋_GB2312"/>
          <w:sz w:val="30"/>
          <w:szCs w:val="30"/>
          <w:highlight w:val="none"/>
        </w:rPr>
        <w:t>）</w:t>
      </w:r>
      <w:r>
        <w:rPr>
          <w:rFonts w:hint="eastAsia" w:ascii="仿宋_GB2312" w:hAnsi="仿宋" w:eastAsia="仿宋_GB2312"/>
          <w:sz w:val="30"/>
          <w:szCs w:val="30"/>
          <w:highlight w:val="none"/>
          <w:lang w:val="en-US" w:eastAsia="zh-CN"/>
        </w:rPr>
        <w:t>应等于</w:t>
      </w:r>
      <w:r>
        <w:rPr>
          <w:rFonts w:hint="eastAsia" w:ascii="仿宋_GB2312" w:hAnsi="仿宋" w:eastAsia="仿宋_GB2312"/>
          <w:sz w:val="30"/>
          <w:szCs w:val="30"/>
          <w:highlight w:val="none"/>
        </w:rPr>
        <w:t>办公用房的在用</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出租出借</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闲置</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待处置</w:t>
      </w:r>
      <w:r>
        <w:rPr>
          <w:rFonts w:hint="eastAsia" w:ascii="仿宋_GB2312" w:hAnsi="仿宋" w:eastAsia="仿宋_GB2312"/>
          <w:sz w:val="30"/>
          <w:szCs w:val="30"/>
          <w:highlight w:val="none"/>
          <w:lang w:val="en-US" w:eastAsia="zh-CN"/>
        </w:rPr>
        <w:t>各栏之和</w:t>
      </w:r>
      <w:r>
        <w:rPr>
          <w:rFonts w:ascii="仿宋_GB2312" w:hAnsi="仿宋" w:eastAsia="仿宋_GB2312"/>
          <w:sz w:val="30"/>
          <w:szCs w:val="30"/>
          <w:highlight w:val="none"/>
        </w:rPr>
        <w:t>（</w:t>
      </w:r>
      <w:r>
        <w:rPr>
          <w:rFonts w:hint="eastAsia" w:ascii="仿宋_GB2312" w:hAnsi="仿宋" w:eastAsia="仿宋_GB2312"/>
          <w:sz w:val="30"/>
          <w:szCs w:val="30"/>
          <w:highlight w:val="none"/>
        </w:rPr>
        <w:t>1</w:t>
      </w:r>
      <w:r>
        <w:rPr>
          <w:rFonts w:ascii="仿宋_GB2312" w:hAnsi="仿宋" w:eastAsia="仿宋_GB2312"/>
          <w:sz w:val="30"/>
          <w:szCs w:val="30"/>
          <w:highlight w:val="none"/>
        </w:rPr>
        <w:t>8</w:t>
      </w:r>
      <w:r>
        <w:rPr>
          <w:rFonts w:hint="eastAsia" w:ascii="仿宋_GB2312" w:hAnsi="仿宋" w:eastAsia="仿宋_GB2312"/>
          <w:sz w:val="30"/>
          <w:szCs w:val="30"/>
          <w:highlight w:val="none"/>
        </w:rPr>
        <w:t>~</w:t>
      </w:r>
      <w:r>
        <w:rPr>
          <w:rFonts w:ascii="仿宋_GB2312" w:hAnsi="仿宋" w:eastAsia="仿宋_GB2312"/>
          <w:sz w:val="30"/>
          <w:szCs w:val="30"/>
          <w:highlight w:val="none"/>
        </w:rPr>
        <w:t>2</w:t>
      </w:r>
      <w:r>
        <w:rPr>
          <w:rFonts w:hint="eastAsia" w:ascii="仿宋_GB2312" w:hAnsi="仿宋" w:eastAsia="仿宋_GB2312"/>
          <w:sz w:val="30"/>
          <w:szCs w:val="30"/>
          <w:highlight w:val="none"/>
        </w:rPr>
        <w:t>1</w:t>
      </w:r>
      <w:r>
        <w:rPr>
          <w:rFonts w:ascii="仿宋_GB2312" w:hAnsi="仿宋" w:eastAsia="仿宋_GB2312"/>
          <w:sz w:val="30"/>
          <w:szCs w:val="30"/>
          <w:highlight w:val="none"/>
        </w:rPr>
        <w:t>栏）；</w:t>
      </w:r>
    </w:p>
    <w:p w14:paraId="7A908E3A">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办公用房小计（</w:t>
      </w:r>
      <w:r>
        <w:rPr>
          <w:rFonts w:ascii="仿宋_GB2312" w:hAnsi="仿宋" w:eastAsia="仿宋_GB2312"/>
          <w:sz w:val="30"/>
          <w:szCs w:val="30"/>
          <w:highlight w:val="none"/>
        </w:rPr>
        <w:t>17栏</w:t>
      </w:r>
      <w:r>
        <w:rPr>
          <w:rFonts w:hint="eastAsia" w:ascii="仿宋_GB2312" w:hAnsi="仿宋" w:eastAsia="仿宋_GB2312"/>
          <w:sz w:val="30"/>
          <w:szCs w:val="30"/>
          <w:highlight w:val="none"/>
        </w:rPr>
        <w:t>）</w:t>
      </w:r>
      <w:r>
        <w:rPr>
          <w:rFonts w:hint="eastAsia" w:ascii="仿宋_GB2312" w:hAnsi="仿宋" w:eastAsia="仿宋_GB2312"/>
          <w:sz w:val="30"/>
          <w:szCs w:val="30"/>
          <w:highlight w:val="none"/>
          <w:lang w:val="en-US" w:eastAsia="zh-CN"/>
        </w:rPr>
        <w:t>应大于</w:t>
      </w:r>
      <w:r>
        <w:rPr>
          <w:rFonts w:hint="eastAsia" w:ascii="仿宋_GB2312" w:hAnsi="仿宋" w:eastAsia="仿宋_GB2312"/>
          <w:sz w:val="30"/>
          <w:szCs w:val="30"/>
          <w:highlight w:val="none"/>
        </w:rPr>
        <w:t>本单位实际使用办公室用房（</w:t>
      </w:r>
      <w:r>
        <w:rPr>
          <w:rFonts w:ascii="仿宋_GB2312" w:hAnsi="仿宋" w:eastAsia="仿宋_GB2312"/>
          <w:sz w:val="30"/>
          <w:szCs w:val="30"/>
          <w:highlight w:val="none"/>
        </w:rPr>
        <w:t>22</w:t>
      </w:r>
      <w:r>
        <w:rPr>
          <w:rFonts w:hint="eastAsia" w:ascii="仿宋_GB2312" w:hAnsi="仿宋" w:eastAsia="仿宋_GB2312"/>
          <w:sz w:val="30"/>
          <w:szCs w:val="30"/>
          <w:highlight w:val="none"/>
        </w:rPr>
        <w:t>栏）；</w:t>
      </w:r>
    </w:p>
    <w:p w14:paraId="7180FBDC">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业务用房小计（</w:t>
      </w:r>
      <w:r>
        <w:rPr>
          <w:rFonts w:ascii="仿宋_GB2312" w:hAnsi="仿宋" w:eastAsia="仿宋_GB2312"/>
          <w:sz w:val="30"/>
          <w:szCs w:val="30"/>
          <w:highlight w:val="none"/>
        </w:rPr>
        <w:t>23</w:t>
      </w:r>
      <w:r>
        <w:rPr>
          <w:rFonts w:hint="eastAsia" w:ascii="仿宋_GB2312" w:hAnsi="仿宋" w:eastAsia="仿宋_GB2312"/>
          <w:sz w:val="30"/>
          <w:szCs w:val="30"/>
          <w:highlight w:val="none"/>
        </w:rPr>
        <w:t>栏）</w:t>
      </w:r>
      <w:r>
        <w:rPr>
          <w:rFonts w:hint="eastAsia" w:ascii="仿宋_GB2312" w:hAnsi="仿宋" w:eastAsia="仿宋_GB2312"/>
          <w:sz w:val="30"/>
          <w:szCs w:val="30"/>
          <w:highlight w:val="none"/>
          <w:lang w:val="en-US" w:eastAsia="zh-CN"/>
        </w:rPr>
        <w:t>应等于</w:t>
      </w:r>
      <w:r>
        <w:rPr>
          <w:rFonts w:hint="eastAsia" w:ascii="仿宋_GB2312" w:hAnsi="仿宋" w:eastAsia="仿宋_GB2312"/>
          <w:sz w:val="30"/>
          <w:szCs w:val="30"/>
          <w:highlight w:val="none"/>
        </w:rPr>
        <w:t>业务用房的在用</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出租出借</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闲置</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待处置（2</w:t>
      </w:r>
      <w:r>
        <w:rPr>
          <w:rFonts w:ascii="仿宋_GB2312" w:hAnsi="仿宋" w:eastAsia="仿宋_GB2312"/>
          <w:sz w:val="30"/>
          <w:szCs w:val="30"/>
          <w:highlight w:val="none"/>
        </w:rPr>
        <w:t>4</w:t>
      </w:r>
      <w:r>
        <w:rPr>
          <w:rFonts w:hint="eastAsia" w:ascii="仿宋_GB2312" w:hAnsi="仿宋" w:eastAsia="仿宋_GB2312"/>
          <w:sz w:val="30"/>
          <w:szCs w:val="30"/>
          <w:highlight w:val="none"/>
        </w:rPr>
        <w:t>~27栏）；</w:t>
      </w:r>
    </w:p>
    <w:p w14:paraId="05EB3A8C">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lang w:val="en-US" w:eastAsia="zh-CN"/>
        </w:rPr>
        <w:t>其他</w:t>
      </w:r>
      <w:r>
        <w:rPr>
          <w:rFonts w:hint="eastAsia" w:ascii="仿宋_GB2312" w:hAnsi="仿宋" w:eastAsia="仿宋_GB2312"/>
          <w:sz w:val="30"/>
          <w:szCs w:val="30"/>
          <w:highlight w:val="none"/>
        </w:rPr>
        <w:t>用房小计（</w:t>
      </w:r>
      <w:r>
        <w:rPr>
          <w:rFonts w:ascii="仿宋_GB2312" w:hAnsi="仿宋" w:eastAsia="仿宋_GB2312"/>
          <w:sz w:val="30"/>
          <w:szCs w:val="30"/>
          <w:highlight w:val="none"/>
        </w:rPr>
        <w:t>28</w:t>
      </w:r>
      <w:r>
        <w:rPr>
          <w:rFonts w:hint="eastAsia" w:ascii="仿宋_GB2312" w:hAnsi="仿宋" w:eastAsia="仿宋_GB2312"/>
          <w:sz w:val="30"/>
          <w:szCs w:val="30"/>
          <w:highlight w:val="none"/>
        </w:rPr>
        <w:t>栏）</w:t>
      </w:r>
      <w:r>
        <w:rPr>
          <w:rFonts w:hint="eastAsia" w:ascii="仿宋_GB2312" w:hAnsi="仿宋" w:eastAsia="仿宋_GB2312"/>
          <w:sz w:val="30"/>
          <w:szCs w:val="30"/>
          <w:highlight w:val="none"/>
          <w:lang w:val="en-US" w:eastAsia="zh-CN"/>
        </w:rPr>
        <w:t>应等于其他</w:t>
      </w:r>
      <w:r>
        <w:rPr>
          <w:rFonts w:hint="eastAsia" w:ascii="仿宋_GB2312" w:hAnsi="仿宋" w:eastAsia="仿宋_GB2312"/>
          <w:sz w:val="30"/>
          <w:szCs w:val="30"/>
          <w:highlight w:val="none"/>
        </w:rPr>
        <w:t>用房的在用</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出租出借</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闲置</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待处置</w:t>
      </w:r>
      <w:r>
        <w:rPr>
          <w:rFonts w:hint="eastAsia" w:ascii="仿宋_GB2312" w:hAnsi="仿宋" w:eastAsia="仿宋_GB2312"/>
          <w:sz w:val="30"/>
          <w:szCs w:val="30"/>
          <w:highlight w:val="none"/>
          <w:lang w:val="en-US" w:eastAsia="zh-CN"/>
        </w:rPr>
        <w:t>各栏之和</w:t>
      </w:r>
      <w:r>
        <w:rPr>
          <w:rFonts w:hint="eastAsia" w:ascii="仿宋_GB2312" w:hAnsi="仿宋" w:eastAsia="仿宋_GB2312"/>
          <w:sz w:val="30"/>
          <w:szCs w:val="30"/>
          <w:highlight w:val="none"/>
        </w:rPr>
        <w:t>（2</w:t>
      </w:r>
      <w:r>
        <w:rPr>
          <w:rFonts w:ascii="仿宋_GB2312" w:hAnsi="仿宋" w:eastAsia="仿宋_GB2312"/>
          <w:sz w:val="30"/>
          <w:szCs w:val="30"/>
          <w:highlight w:val="none"/>
        </w:rPr>
        <w:t>9</w:t>
      </w:r>
      <w:r>
        <w:rPr>
          <w:rFonts w:hint="eastAsia" w:ascii="仿宋_GB2312" w:hAnsi="仿宋" w:eastAsia="仿宋_GB2312"/>
          <w:sz w:val="30"/>
          <w:szCs w:val="30"/>
          <w:highlight w:val="none"/>
        </w:rPr>
        <w:t>~32栏）；</w:t>
      </w:r>
    </w:p>
    <w:p w14:paraId="5910D25A">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“合计”行</w:t>
      </w:r>
      <w:r>
        <w:rPr>
          <w:rFonts w:hint="eastAsia" w:ascii="仿宋_GB2312" w:hAnsi="仿宋" w:eastAsia="仿宋_GB2312"/>
          <w:sz w:val="30"/>
          <w:szCs w:val="30"/>
          <w:highlight w:val="none"/>
          <w:lang w:val="en-US" w:eastAsia="zh-CN"/>
        </w:rPr>
        <w:t>的</w:t>
      </w:r>
      <w:r>
        <w:rPr>
          <w:rFonts w:hint="eastAsia" w:ascii="仿宋_GB2312" w:hAnsi="仿宋" w:eastAsia="仿宋_GB2312"/>
          <w:sz w:val="30"/>
          <w:szCs w:val="30"/>
          <w:highlight w:val="none"/>
        </w:rPr>
        <w:t>指标（</w:t>
      </w:r>
      <w:r>
        <w:rPr>
          <w:rFonts w:ascii="仿宋_GB2312" w:hAnsi="仿宋" w:eastAsia="仿宋_GB2312"/>
          <w:sz w:val="30"/>
          <w:szCs w:val="30"/>
          <w:highlight w:val="none"/>
        </w:rPr>
        <w:t>12~32</w:t>
      </w:r>
      <w:r>
        <w:rPr>
          <w:rFonts w:hint="eastAsia" w:ascii="仿宋_GB2312" w:hAnsi="仿宋" w:eastAsia="仿宋_GB2312"/>
          <w:sz w:val="30"/>
          <w:szCs w:val="30"/>
          <w:highlight w:val="none"/>
        </w:rPr>
        <w:t>栏）</w:t>
      </w:r>
      <w:r>
        <w:rPr>
          <w:rFonts w:hint="eastAsia" w:ascii="仿宋_GB2312" w:hAnsi="仿宋" w:eastAsia="仿宋_GB2312"/>
          <w:sz w:val="30"/>
          <w:szCs w:val="30"/>
          <w:highlight w:val="none"/>
          <w:lang w:val="en-US" w:eastAsia="zh-CN"/>
        </w:rPr>
        <w:t>应等于</w:t>
      </w:r>
      <w:r>
        <w:rPr>
          <w:rFonts w:hint="eastAsia" w:ascii="仿宋_GB2312" w:hAnsi="仿宋" w:eastAsia="仿宋_GB2312"/>
          <w:sz w:val="30"/>
          <w:szCs w:val="30"/>
          <w:highlight w:val="none"/>
        </w:rPr>
        <w:t>“使用其他单位房屋小计”行</w:t>
      </w:r>
      <w:r>
        <w:rPr>
          <w:rFonts w:hint="eastAsia" w:ascii="仿宋_GB2312" w:hAnsi="仿宋" w:eastAsia="仿宋_GB2312"/>
          <w:sz w:val="30"/>
          <w:szCs w:val="30"/>
          <w:highlight w:val="none"/>
          <w:lang w:val="en-US" w:eastAsia="zh-CN"/>
        </w:rPr>
        <w:t>对</w:t>
      </w:r>
      <w:r>
        <w:rPr>
          <w:rFonts w:hint="eastAsia" w:ascii="仿宋_GB2312" w:hAnsi="仿宋" w:eastAsia="仿宋_GB2312"/>
          <w:sz w:val="30"/>
          <w:szCs w:val="30"/>
          <w:highlight w:val="none"/>
        </w:rPr>
        <w:t>应指标（</w:t>
      </w:r>
      <w:r>
        <w:rPr>
          <w:rFonts w:ascii="仿宋_GB2312" w:hAnsi="仿宋" w:eastAsia="仿宋_GB2312"/>
          <w:sz w:val="30"/>
          <w:szCs w:val="30"/>
          <w:highlight w:val="none"/>
        </w:rPr>
        <w:t>12~32</w:t>
      </w:r>
      <w:r>
        <w:rPr>
          <w:rFonts w:hint="eastAsia" w:ascii="仿宋_GB2312" w:hAnsi="仿宋" w:eastAsia="仿宋_GB2312"/>
          <w:sz w:val="30"/>
          <w:szCs w:val="30"/>
          <w:highlight w:val="none"/>
        </w:rPr>
        <w:t>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“已投入使用的在建工程未转固房屋小计”行</w:t>
      </w:r>
      <w:r>
        <w:rPr>
          <w:rFonts w:hint="eastAsia" w:ascii="仿宋_GB2312" w:hAnsi="仿宋" w:eastAsia="仿宋_GB2312"/>
          <w:sz w:val="30"/>
          <w:szCs w:val="30"/>
          <w:highlight w:val="none"/>
          <w:lang w:val="en-US" w:eastAsia="zh-CN"/>
        </w:rPr>
        <w:t>对</w:t>
      </w:r>
      <w:r>
        <w:rPr>
          <w:rFonts w:hint="eastAsia" w:ascii="仿宋_GB2312" w:hAnsi="仿宋" w:eastAsia="仿宋_GB2312"/>
          <w:sz w:val="30"/>
          <w:szCs w:val="30"/>
          <w:highlight w:val="none"/>
        </w:rPr>
        <w:t>应指标（</w:t>
      </w:r>
      <w:r>
        <w:rPr>
          <w:rFonts w:ascii="仿宋_GB2312" w:hAnsi="仿宋" w:eastAsia="仿宋_GB2312"/>
          <w:sz w:val="30"/>
          <w:szCs w:val="30"/>
          <w:highlight w:val="none"/>
        </w:rPr>
        <w:t>12</w:t>
      </w:r>
      <w:r>
        <w:rPr>
          <w:rFonts w:hint="eastAsia" w:ascii="仿宋_GB2312" w:hAnsi="仿宋" w:eastAsia="仿宋_GB2312"/>
          <w:sz w:val="30"/>
          <w:szCs w:val="30"/>
          <w:highlight w:val="none"/>
        </w:rPr>
        <w:t>~</w:t>
      </w:r>
      <w:r>
        <w:rPr>
          <w:rFonts w:ascii="仿宋_GB2312" w:hAnsi="仿宋" w:eastAsia="仿宋_GB2312"/>
          <w:sz w:val="30"/>
          <w:szCs w:val="30"/>
          <w:highlight w:val="none"/>
        </w:rPr>
        <w:t>32</w:t>
      </w:r>
      <w:r>
        <w:rPr>
          <w:rFonts w:hint="eastAsia" w:ascii="仿宋_GB2312" w:hAnsi="仿宋" w:eastAsia="仿宋_GB2312"/>
          <w:sz w:val="30"/>
          <w:szCs w:val="30"/>
          <w:highlight w:val="none"/>
        </w:rPr>
        <w:t>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“本单位房屋小计”行</w:t>
      </w:r>
      <w:r>
        <w:rPr>
          <w:rFonts w:hint="eastAsia" w:ascii="仿宋_GB2312" w:hAnsi="仿宋" w:eastAsia="仿宋_GB2312"/>
          <w:sz w:val="30"/>
          <w:szCs w:val="30"/>
          <w:highlight w:val="none"/>
          <w:lang w:val="en-US" w:eastAsia="zh-CN"/>
        </w:rPr>
        <w:t>对</w:t>
      </w:r>
      <w:r>
        <w:rPr>
          <w:rFonts w:hint="eastAsia" w:ascii="仿宋_GB2312" w:hAnsi="仿宋" w:eastAsia="仿宋_GB2312"/>
          <w:sz w:val="30"/>
          <w:szCs w:val="30"/>
          <w:highlight w:val="none"/>
        </w:rPr>
        <w:t>应指标</w:t>
      </w:r>
      <w:r>
        <w:rPr>
          <w:rFonts w:hint="eastAsia" w:ascii="仿宋_GB2312" w:hAnsi="仿宋" w:eastAsia="仿宋_GB2312"/>
          <w:sz w:val="30"/>
          <w:szCs w:val="30"/>
          <w:highlight w:val="none"/>
          <w:lang w:val="en-US" w:eastAsia="zh-CN"/>
        </w:rPr>
        <w:t>之和</w:t>
      </w:r>
      <w:r>
        <w:rPr>
          <w:rFonts w:hint="eastAsia" w:ascii="仿宋_GB2312" w:hAnsi="仿宋" w:eastAsia="仿宋_GB2312"/>
          <w:sz w:val="30"/>
          <w:szCs w:val="30"/>
          <w:highlight w:val="none"/>
        </w:rPr>
        <w:t>（</w:t>
      </w:r>
      <w:r>
        <w:rPr>
          <w:rFonts w:ascii="仿宋_GB2312" w:hAnsi="仿宋" w:eastAsia="仿宋_GB2312"/>
          <w:sz w:val="30"/>
          <w:szCs w:val="30"/>
          <w:highlight w:val="none"/>
        </w:rPr>
        <w:t>12~32</w:t>
      </w:r>
      <w:r>
        <w:rPr>
          <w:rFonts w:hint="eastAsia" w:ascii="仿宋_GB2312" w:hAnsi="仿宋" w:eastAsia="仿宋_GB2312"/>
          <w:sz w:val="30"/>
          <w:szCs w:val="30"/>
          <w:highlight w:val="none"/>
        </w:rPr>
        <w:t>栏）；</w:t>
      </w:r>
    </w:p>
    <w:p w14:paraId="74329B46">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“使用其他单位房屋小计”行</w:t>
      </w:r>
      <w:r>
        <w:rPr>
          <w:rFonts w:hint="eastAsia" w:ascii="仿宋_GB2312" w:hAnsi="仿宋" w:eastAsia="仿宋_GB2312"/>
          <w:sz w:val="30"/>
          <w:szCs w:val="30"/>
          <w:highlight w:val="none"/>
          <w:lang w:val="en-US" w:eastAsia="zh-CN"/>
        </w:rPr>
        <w:t>的</w:t>
      </w:r>
      <w:r>
        <w:rPr>
          <w:rFonts w:hint="eastAsia" w:ascii="仿宋_GB2312" w:hAnsi="仿宋" w:eastAsia="仿宋_GB2312"/>
          <w:sz w:val="30"/>
          <w:szCs w:val="30"/>
          <w:highlight w:val="none"/>
        </w:rPr>
        <w:t>指标（</w:t>
      </w:r>
      <w:r>
        <w:rPr>
          <w:rFonts w:ascii="仿宋_GB2312" w:hAnsi="仿宋" w:eastAsia="仿宋_GB2312"/>
          <w:sz w:val="30"/>
          <w:szCs w:val="30"/>
          <w:highlight w:val="none"/>
        </w:rPr>
        <w:t>12~32</w:t>
      </w:r>
      <w:r>
        <w:rPr>
          <w:rFonts w:hint="eastAsia" w:ascii="仿宋_GB2312" w:hAnsi="仿宋" w:eastAsia="仿宋_GB2312"/>
          <w:sz w:val="30"/>
          <w:szCs w:val="30"/>
          <w:highlight w:val="none"/>
        </w:rPr>
        <w:t>栏）等于对应浮动行</w:t>
      </w:r>
      <w:r>
        <w:rPr>
          <w:rFonts w:hint="eastAsia" w:ascii="仿宋_GB2312" w:hAnsi="仿宋" w:eastAsia="仿宋_GB2312"/>
          <w:sz w:val="30"/>
          <w:szCs w:val="30"/>
          <w:highlight w:val="none"/>
          <w:lang w:val="en-US" w:eastAsia="zh-CN"/>
        </w:rPr>
        <w:t>对</w:t>
      </w:r>
      <w:r>
        <w:rPr>
          <w:rFonts w:hint="eastAsia" w:ascii="仿宋_GB2312" w:hAnsi="仿宋" w:eastAsia="仿宋_GB2312"/>
          <w:sz w:val="30"/>
          <w:szCs w:val="30"/>
          <w:highlight w:val="none"/>
        </w:rPr>
        <w:t>应指标之和；</w:t>
      </w:r>
    </w:p>
    <w:p w14:paraId="0EF74766">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“已投入使用的在建工程未转固房屋小计”</w:t>
      </w:r>
      <w:r>
        <w:rPr>
          <w:rFonts w:hint="eastAsia" w:ascii="仿宋_GB2312" w:hAnsi="仿宋" w:eastAsia="仿宋_GB2312"/>
          <w:sz w:val="30"/>
          <w:szCs w:val="30"/>
          <w:highlight w:val="none"/>
          <w:lang w:val="en-US" w:eastAsia="zh-CN"/>
        </w:rPr>
        <w:t>行的</w:t>
      </w:r>
      <w:r>
        <w:rPr>
          <w:rFonts w:hint="eastAsia" w:ascii="仿宋_GB2312" w:hAnsi="仿宋" w:eastAsia="仿宋_GB2312"/>
          <w:sz w:val="30"/>
          <w:szCs w:val="30"/>
          <w:highlight w:val="none"/>
        </w:rPr>
        <w:t>指标行（</w:t>
      </w:r>
      <w:r>
        <w:rPr>
          <w:rFonts w:ascii="仿宋_GB2312" w:hAnsi="仿宋" w:eastAsia="仿宋_GB2312"/>
          <w:sz w:val="30"/>
          <w:szCs w:val="30"/>
          <w:highlight w:val="none"/>
        </w:rPr>
        <w:t>12~32</w:t>
      </w:r>
      <w:r>
        <w:rPr>
          <w:rFonts w:hint="eastAsia" w:ascii="仿宋_GB2312" w:hAnsi="仿宋" w:eastAsia="仿宋_GB2312"/>
          <w:sz w:val="30"/>
          <w:szCs w:val="30"/>
          <w:highlight w:val="none"/>
        </w:rPr>
        <w:t>栏）等于对应浮动行</w:t>
      </w:r>
      <w:r>
        <w:rPr>
          <w:rFonts w:hint="eastAsia" w:ascii="仿宋_GB2312" w:hAnsi="仿宋" w:eastAsia="仿宋_GB2312"/>
          <w:sz w:val="30"/>
          <w:szCs w:val="30"/>
          <w:highlight w:val="none"/>
          <w:lang w:val="en-US" w:eastAsia="zh-CN"/>
        </w:rPr>
        <w:t>对应</w:t>
      </w:r>
      <w:r>
        <w:rPr>
          <w:rFonts w:hint="eastAsia" w:ascii="仿宋_GB2312" w:hAnsi="仿宋" w:eastAsia="仿宋_GB2312"/>
          <w:sz w:val="30"/>
          <w:szCs w:val="30"/>
          <w:highlight w:val="none"/>
        </w:rPr>
        <w:t>指标之和；</w:t>
      </w:r>
    </w:p>
    <w:p w14:paraId="737F421E">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“本单位房屋小计”行的指标（10栏、</w:t>
      </w:r>
      <w:r>
        <w:rPr>
          <w:rFonts w:ascii="仿宋_GB2312" w:hAnsi="仿宋" w:eastAsia="仿宋_GB2312"/>
          <w:sz w:val="30"/>
          <w:szCs w:val="30"/>
          <w:highlight w:val="none"/>
        </w:rPr>
        <w:t>12~3</w:t>
      </w:r>
      <w:r>
        <w:rPr>
          <w:rFonts w:hint="eastAsia" w:ascii="仿宋_GB2312" w:hAnsi="仿宋" w:eastAsia="仿宋_GB2312"/>
          <w:sz w:val="30"/>
          <w:szCs w:val="30"/>
          <w:highlight w:val="none"/>
          <w:lang w:val="en-US" w:eastAsia="zh-CN"/>
        </w:rPr>
        <w:t>6</w:t>
      </w:r>
      <w:r>
        <w:rPr>
          <w:rFonts w:hint="eastAsia" w:ascii="仿宋_GB2312" w:hAnsi="仿宋" w:eastAsia="仿宋_GB2312"/>
          <w:sz w:val="30"/>
          <w:szCs w:val="30"/>
          <w:highlight w:val="none"/>
        </w:rPr>
        <w:t>栏）等于对应浮动行</w:t>
      </w:r>
      <w:r>
        <w:rPr>
          <w:rFonts w:hint="eastAsia" w:ascii="仿宋_GB2312" w:hAnsi="仿宋" w:eastAsia="仿宋_GB2312"/>
          <w:sz w:val="30"/>
          <w:szCs w:val="30"/>
          <w:highlight w:val="none"/>
          <w:lang w:val="en-US" w:eastAsia="zh-CN"/>
        </w:rPr>
        <w:t>对应</w:t>
      </w:r>
      <w:r>
        <w:rPr>
          <w:rFonts w:hint="eastAsia" w:ascii="仿宋_GB2312" w:hAnsi="仿宋" w:eastAsia="仿宋_GB2312"/>
          <w:sz w:val="30"/>
          <w:szCs w:val="30"/>
          <w:highlight w:val="none"/>
        </w:rPr>
        <w:t>指标之和；</w:t>
      </w:r>
    </w:p>
    <w:p w14:paraId="07A324AA">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“本单位房屋小计”浮动行权属人默认选择“本单位”，可选择其他选项，若选择其他选项时，备注（</w:t>
      </w:r>
      <w:r>
        <w:rPr>
          <w:rFonts w:ascii="仿宋_GB2312" w:hAnsi="仿宋" w:eastAsia="仿宋_GB2312"/>
          <w:sz w:val="30"/>
          <w:szCs w:val="30"/>
          <w:highlight w:val="none"/>
        </w:rPr>
        <w:t>3</w:t>
      </w:r>
      <w:r>
        <w:rPr>
          <w:rFonts w:hint="eastAsia" w:ascii="仿宋_GB2312" w:hAnsi="仿宋" w:eastAsia="仿宋_GB2312"/>
          <w:sz w:val="30"/>
          <w:szCs w:val="30"/>
          <w:highlight w:val="none"/>
          <w:lang w:val="en-US" w:eastAsia="zh-CN"/>
        </w:rPr>
        <w:t>7</w:t>
      </w:r>
      <w:r>
        <w:rPr>
          <w:rFonts w:hint="eastAsia" w:ascii="仿宋_GB2312" w:hAnsi="仿宋" w:eastAsia="仿宋_GB2312"/>
          <w:sz w:val="30"/>
          <w:szCs w:val="30"/>
          <w:highlight w:val="none"/>
        </w:rPr>
        <w:t>栏）必填；</w:t>
      </w:r>
    </w:p>
    <w:p w14:paraId="373199D1">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“使用其他单位房屋小计”浮动行的权属人只能选择</w:t>
      </w:r>
      <w:r>
        <w:rPr>
          <w:rFonts w:ascii="仿宋_GB2312" w:hAnsi="仿宋" w:eastAsia="仿宋_GB2312"/>
          <w:sz w:val="30"/>
          <w:szCs w:val="30"/>
          <w:highlight w:val="none"/>
        </w:rPr>
        <w:t>“机关事务管理机构</w:t>
      </w:r>
      <w:r>
        <w:rPr>
          <w:rFonts w:hint="eastAsia" w:ascii="仿宋_GB2312" w:hAnsi="仿宋" w:eastAsia="仿宋_GB2312"/>
          <w:sz w:val="30"/>
          <w:szCs w:val="30"/>
          <w:highlight w:val="none"/>
        </w:rPr>
        <w:t>”、“除机关事务管理机构外的其他行政事业单位”、“其他”；</w:t>
      </w:r>
    </w:p>
    <w:p w14:paraId="3C2DD635">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“办公用房</w:t>
      </w:r>
      <w:r>
        <w:rPr>
          <w:rFonts w:hint="eastAsia" w:ascii="仿宋_GB2312" w:hAnsi="仿宋" w:eastAsia="仿宋_GB2312"/>
          <w:sz w:val="30"/>
          <w:szCs w:val="30"/>
          <w:highlight w:val="none"/>
          <w:lang w:val="en-US" w:eastAsia="zh-CN"/>
        </w:rPr>
        <w:t>在用</w:t>
      </w:r>
      <w:r>
        <w:rPr>
          <w:rFonts w:hint="eastAsia" w:ascii="仿宋_GB2312" w:hAnsi="仿宋" w:eastAsia="仿宋_GB2312"/>
          <w:sz w:val="30"/>
          <w:szCs w:val="30"/>
          <w:highlight w:val="none"/>
        </w:rPr>
        <w:t>面积”大于</w:t>
      </w:r>
      <w:r>
        <w:rPr>
          <w:rFonts w:ascii="仿宋_GB2312" w:hAnsi="仿宋" w:eastAsia="仿宋_GB2312"/>
          <w:sz w:val="30"/>
          <w:szCs w:val="30"/>
          <w:highlight w:val="none"/>
        </w:rPr>
        <w:t>0</w:t>
      </w:r>
      <w:r>
        <w:rPr>
          <w:rFonts w:hint="eastAsia" w:ascii="仿宋_GB2312" w:hAnsi="仿宋" w:eastAsia="仿宋_GB2312"/>
          <w:sz w:val="30"/>
          <w:szCs w:val="30"/>
          <w:highlight w:val="none"/>
        </w:rPr>
        <w:t>，则“办公室用房面积”大于</w:t>
      </w:r>
      <w:r>
        <w:rPr>
          <w:rFonts w:ascii="仿宋_GB2312" w:hAnsi="仿宋" w:eastAsia="仿宋_GB2312"/>
          <w:sz w:val="30"/>
          <w:szCs w:val="30"/>
          <w:highlight w:val="none"/>
        </w:rPr>
        <w:t>0</w:t>
      </w:r>
      <w:r>
        <w:rPr>
          <w:rFonts w:hint="eastAsia" w:ascii="仿宋_GB2312" w:hAnsi="仿宋" w:eastAsia="仿宋_GB2312"/>
          <w:sz w:val="30"/>
          <w:szCs w:val="30"/>
          <w:highlight w:val="none"/>
        </w:rPr>
        <w:t>；</w:t>
      </w:r>
    </w:p>
    <w:p w14:paraId="6C3A7C7A">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“本单位房屋小计”行及其浮动行净值（</w:t>
      </w:r>
      <w:r>
        <w:rPr>
          <w:rFonts w:ascii="仿宋_GB2312" w:hAnsi="仿宋" w:eastAsia="仿宋_GB2312"/>
          <w:sz w:val="30"/>
          <w:szCs w:val="30"/>
          <w:highlight w:val="none"/>
        </w:rPr>
        <w:t>35</w:t>
      </w:r>
      <w:r>
        <w:rPr>
          <w:rFonts w:hint="eastAsia" w:ascii="仿宋_GB2312" w:hAnsi="仿宋" w:eastAsia="仿宋_GB2312"/>
          <w:sz w:val="30"/>
          <w:szCs w:val="30"/>
          <w:highlight w:val="none"/>
        </w:rPr>
        <w:t>栏）</w:t>
      </w:r>
      <w:r>
        <w:rPr>
          <w:rFonts w:hint="eastAsia" w:ascii="仿宋_GB2312" w:hAnsi="仿宋" w:eastAsia="仿宋_GB2312"/>
          <w:sz w:val="30"/>
          <w:szCs w:val="30"/>
          <w:highlight w:val="none"/>
          <w:lang w:val="en-US" w:eastAsia="zh-CN"/>
        </w:rPr>
        <w:t>应等于</w:t>
      </w:r>
      <w:r>
        <w:rPr>
          <w:rFonts w:hint="eastAsia" w:ascii="仿宋_GB2312" w:hAnsi="仿宋" w:eastAsia="仿宋_GB2312"/>
          <w:sz w:val="30"/>
          <w:szCs w:val="30"/>
          <w:highlight w:val="none"/>
        </w:rPr>
        <w:t>原值（</w:t>
      </w:r>
      <w:r>
        <w:rPr>
          <w:rFonts w:ascii="仿宋_GB2312" w:hAnsi="仿宋" w:eastAsia="仿宋_GB2312"/>
          <w:sz w:val="30"/>
          <w:szCs w:val="30"/>
          <w:highlight w:val="none"/>
        </w:rPr>
        <w:t>3</w:t>
      </w:r>
      <w:r>
        <w:rPr>
          <w:rFonts w:hint="eastAsia" w:ascii="仿宋_GB2312" w:hAnsi="仿宋" w:eastAsia="仿宋_GB2312"/>
          <w:sz w:val="30"/>
          <w:szCs w:val="30"/>
          <w:highlight w:val="none"/>
        </w:rPr>
        <w:t>3栏）</w:t>
      </w:r>
      <w:r>
        <w:rPr>
          <w:rFonts w:hint="eastAsia" w:ascii="仿宋_GB2312" w:hAnsi="仿宋" w:eastAsia="仿宋_GB2312"/>
          <w:sz w:val="30"/>
          <w:szCs w:val="30"/>
          <w:highlight w:val="none"/>
          <w:lang w:val="en-US" w:eastAsia="zh-CN"/>
        </w:rPr>
        <w:t>减</w:t>
      </w:r>
      <w:r>
        <w:rPr>
          <w:rFonts w:hint="eastAsia" w:ascii="仿宋_GB2312" w:hAnsi="仿宋" w:eastAsia="仿宋_GB2312"/>
          <w:sz w:val="30"/>
          <w:szCs w:val="30"/>
          <w:highlight w:val="none"/>
        </w:rPr>
        <w:t>累计折旧/摊销（</w:t>
      </w:r>
      <w:r>
        <w:rPr>
          <w:rFonts w:ascii="仿宋_GB2312" w:hAnsi="仿宋" w:eastAsia="仿宋_GB2312"/>
          <w:sz w:val="30"/>
          <w:szCs w:val="30"/>
          <w:highlight w:val="none"/>
        </w:rPr>
        <w:t>34</w:t>
      </w:r>
      <w:r>
        <w:rPr>
          <w:rFonts w:hint="eastAsia" w:ascii="仿宋_GB2312" w:hAnsi="仿宋" w:eastAsia="仿宋_GB2312"/>
          <w:sz w:val="30"/>
          <w:szCs w:val="30"/>
          <w:highlight w:val="none"/>
        </w:rPr>
        <w:t>栏）。</w:t>
      </w:r>
    </w:p>
    <w:bookmarkEnd w:id="6"/>
    <w:p w14:paraId="49C90010">
      <w:pPr>
        <w:spacing w:line="360" w:lineRule="auto"/>
        <w:ind w:firstLine="602" w:firstLineChars="200"/>
        <w:rPr>
          <w:rFonts w:hint="eastAsia" w:ascii="仿宋_GB2312" w:hAnsi="等线" w:eastAsia="仿宋_GB2312"/>
          <w:b/>
          <w:sz w:val="30"/>
          <w:szCs w:val="30"/>
          <w:highlight w:val="none"/>
        </w:rPr>
      </w:pPr>
      <w:r>
        <w:rPr>
          <w:rFonts w:hint="eastAsia" w:ascii="仿宋_GB2312" w:hAnsi="等线" w:eastAsia="仿宋_GB2312"/>
          <w:b/>
          <w:sz w:val="30"/>
          <w:szCs w:val="30"/>
          <w:highlight w:val="none"/>
        </w:rPr>
        <w:t>表间审核公式：</w:t>
      </w:r>
    </w:p>
    <w:p w14:paraId="18C342DB">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bookmarkStart w:id="7" w:name="_Hlk22763427"/>
      <w:r>
        <w:rPr>
          <w:rFonts w:hint="eastAsia" w:ascii="仿宋_GB2312" w:hAnsi="仿宋" w:eastAsia="仿宋_GB2312"/>
          <w:sz w:val="30"/>
          <w:szCs w:val="30"/>
          <w:highlight w:val="none"/>
        </w:rPr>
        <w:t>“本单位房屋小计”行</w:t>
      </w:r>
      <w:r>
        <w:rPr>
          <w:rFonts w:hint="eastAsia" w:ascii="仿宋_GB2312" w:hAnsi="仿宋" w:eastAsia="仿宋_GB2312"/>
          <w:sz w:val="30"/>
          <w:szCs w:val="30"/>
          <w:highlight w:val="none"/>
          <w:lang w:val="en-US" w:eastAsia="zh-CN"/>
        </w:rPr>
        <w:t>建筑面积合计数（</w:t>
      </w:r>
      <w:r>
        <w:rPr>
          <w:rFonts w:ascii="仿宋_GB2312" w:hAnsi="仿宋" w:eastAsia="仿宋_GB2312"/>
          <w:sz w:val="30"/>
          <w:szCs w:val="30"/>
          <w:highlight w:val="none"/>
        </w:rPr>
        <w:t>12</w:t>
      </w:r>
      <w:r>
        <w:rPr>
          <w:rFonts w:hint="eastAsia" w:ascii="仿宋_GB2312" w:hAnsi="仿宋" w:eastAsia="仿宋_GB2312"/>
          <w:sz w:val="30"/>
          <w:szCs w:val="30"/>
          <w:highlight w:val="none"/>
        </w:rPr>
        <w:t>栏</w:t>
      </w:r>
      <w:r>
        <w:rPr>
          <w:rFonts w:hint="eastAsia" w:ascii="仿宋_GB2312" w:hAnsi="仿宋" w:eastAsia="仿宋_GB2312"/>
          <w:sz w:val="30"/>
          <w:szCs w:val="30"/>
          <w:highlight w:val="none"/>
          <w:lang w:val="en-US" w:eastAsia="zh-CN"/>
        </w:rPr>
        <w:t>）、在用（13栏）、出租出借（14栏）、闲置（15栏）、待处置（16栏）应分别等于</w:t>
      </w:r>
      <w:r>
        <w:rPr>
          <w:rFonts w:hint="eastAsia" w:ascii="仿宋_GB2312" w:hAnsi="仿宋" w:eastAsia="仿宋_GB2312"/>
          <w:sz w:val="30"/>
          <w:szCs w:val="30"/>
          <w:highlight w:val="none"/>
        </w:rPr>
        <w:t>财资03固定和无形资产存量情况表</w:t>
      </w:r>
      <w:r>
        <w:rPr>
          <w:rFonts w:hint="eastAsia" w:ascii="仿宋_GB2312" w:hAnsi="仿宋" w:eastAsia="仿宋_GB2312"/>
          <w:sz w:val="30"/>
          <w:szCs w:val="30"/>
          <w:highlight w:val="none"/>
          <w:lang w:val="en-US" w:eastAsia="zh-CN"/>
        </w:rPr>
        <w:t>中</w:t>
      </w:r>
      <w:r>
        <w:rPr>
          <w:rFonts w:hint="eastAsia" w:ascii="仿宋_GB2312" w:hAnsi="仿宋" w:eastAsia="仿宋_GB2312"/>
          <w:sz w:val="30"/>
          <w:szCs w:val="30"/>
          <w:highlight w:val="none"/>
        </w:rPr>
        <w:t>房屋的期末账面合计数</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在用数量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出租出借</w:t>
      </w:r>
      <w:r>
        <w:rPr>
          <w:rFonts w:hint="eastAsia" w:ascii="仿宋_GB2312" w:hAnsi="仿宋" w:eastAsia="仿宋_GB2312"/>
          <w:sz w:val="30"/>
          <w:szCs w:val="30"/>
          <w:highlight w:val="none"/>
          <w:lang w:val="en-US" w:eastAsia="zh-CN"/>
        </w:rPr>
        <w:t>数量、</w:t>
      </w:r>
      <w:r>
        <w:rPr>
          <w:rFonts w:hint="eastAsia" w:ascii="仿宋_GB2312" w:hAnsi="仿宋" w:eastAsia="仿宋_GB2312"/>
          <w:sz w:val="30"/>
          <w:szCs w:val="30"/>
          <w:highlight w:val="none"/>
        </w:rPr>
        <w:t>闲置数量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待处置数量</w:t>
      </w:r>
      <w:r>
        <w:rPr>
          <w:rFonts w:hint="eastAsia" w:ascii="仿宋_GB2312" w:hAnsi="仿宋" w:eastAsia="仿宋_GB2312"/>
          <w:sz w:val="30"/>
          <w:szCs w:val="30"/>
          <w:highlight w:val="none"/>
          <w:lang w:val="en-US" w:eastAsia="zh-CN"/>
        </w:rPr>
        <w:t>之和</w:t>
      </w:r>
      <w:r>
        <w:rPr>
          <w:rFonts w:hint="eastAsia" w:ascii="仿宋_GB2312" w:hAnsi="仿宋" w:eastAsia="仿宋_GB2312"/>
          <w:sz w:val="30"/>
          <w:szCs w:val="30"/>
          <w:highlight w:val="none"/>
        </w:rPr>
        <w:t>（</w:t>
      </w:r>
      <w:r>
        <w:rPr>
          <w:rFonts w:ascii="仿宋_GB2312" w:hAnsi="仿宋" w:eastAsia="仿宋_GB2312"/>
          <w:sz w:val="30"/>
          <w:szCs w:val="30"/>
          <w:highlight w:val="none"/>
        </w:rPr>
        <w:t>5</w:t>
      </w:r>
      <w:r>
        <w:rPr>
          <w:rFonts w:hint="eastAsia" w:ascii="仿宋_GB2312" w:hAnsi="仿宋" w:eastAsia="仿宋_GB2312"/>
          <w:sz w:val="30"/>
          <w:szCs w:val="30"/>
          <w:highlight w:val="none"/>
        </w:rPr>
        <w:t>行5</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9、13、17、25</w:t>
      </w:r>
      <w:r>
        <w:rPr>
          <w:rFonts w:hint="eastAsia" w:ascii="仿宋_GB2312" w:hAnsi="仿宋" w:eastAsia="仿宋_GB2312"/>
          <w:sz w:val="30"/>
          <w:szCs w:val="30"/>
          <w:highlight w:val="none"/>
        </w:rPr>
        <w:t>栏）；</w:t>
      </w:r>
    </w:p>
    <w:p w14:paraId="6F88BD27">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“本单位房屋小计”行</w:t>
      </w:r>
      <w:r>
        <w:rPr>
          <w:rFonts w:hint="eastAsia" w:ascii="仿宋_GB2312" w:hAnsi="仿宋" w:eastAsia="仿宋_GB2312"/>
          <w:sz w:val="30"/>
          <w:szCs w:val="30"/>
          <w:highlight w:val="none"/>
          <w:lang w:val="en-US" w:eastAsia="zh-CN"/>
        </w:rPr>
        <w:t>建筑面积办公用房小计数（</w:t>
      </w:r>
      <w:r>
        <w:rPr>
          <w:rFonts w:ascii="仿宋_GB2312" w:hAnsi="仿宋" w:eastAsia="仿宋_GB2312"/>
          <w:sz w:val="30"/>
          <w:szCs w:val="30"/>
          <w:highlight w:val="none"/>
        </w:rPr>
        <w:t>1</w:t>
      </w:r>
      <w:r>
        <w:rPr>
          <w:rFonts w:hint="eastAsia" w:ascii="仿宋_GB2312" w:hAnsi="仿宋" w:eastAsia="仿宋_GB2312"/>
          <w:sz w:val="30"/>
          <w:szCs w:val="30"/>
          <w:highlight w:val="none"/>
          <w:lang w:val="en-US" w:eastAsia="zh-CN"/>
        </w:rPr>
        <w:t>7</w:t>
      </w:r>
      <w:r>
        <w:rPr>
          <w:rFonts w:hint="eastAsia" w:ascii="仿宋_GB2312" w:hAnsi="仿宋" w:eastAsia="仿宋_GB2312"/>
          <w:sz w:val="30"/>
          <w:szCs w:val="30"/>
          <w:highlight w:val="none"/>
        </w:rPr>
        <w:t>栏</w:t>
      </w:r>
      <w:r>
        <w:rPr>
          <w:rFonts w:hint="eastAsia" w:ascii="仿宋_GB2312" w:hAnsi="仿宋" w:eastAsia="仿宋_GB2312"/>
          <w:sz w:val="30"/>
          <w:szCs w:val="30"/>
          <w:highlight w:val="none"/>
          <w:lang w:val="en-US" w:eastAsia="zh-CN"/>
        </w:rPr>
        <w:t>）、在用（18栏）、出租出借（19栏）、闲置（20栏）、待处置（21栏）应分别等于</w:t>
      </w:r>
      <w:r>
        <w:rPr>
          <w:rFonts w:hint="eastAsia" w:ascii="仿宋_GB2312" w:hAnsi="仿宋" w:eastAsia="仿宋_GB2312"/>
          <w:sz w:val="30"/>
          <w:szCs w:val="30"/>
          <w:highlight w:val="none"/>
        </w:rPr>
        <w:t>财资03固定和无形资产存量情况表</w:t>
      </w:r>
      <w:r>
        <w:rPr>
          <w:rFonts w:hint="eastAsia" w:ascii="仿宋_GB2312" w:hAnsi="仿宋" w:eastAsia="仿宋_GB2312"/>
          <w:sz w:val="30"/>
          <w:szCs w:val="30"/>
          <w:highlight w:val="none"/>
          <w:lang w:val="en-US" w:eastAsia="zh-CN"/>
        </w:rPr>
        <w:t>中办公用房</w:t>
      </w:r>
      <w:r>
        <w:rPr>
          <w:rFonts w:hint="eastAsia" w:ascii="仿宋_GB2312" w:hAnsi="仿宋" w:eastAsia="仿宋_GB2312"/>
          <w:sz w:val="30"/>
          <w:szCs w:val="30"/>
          <w:highlight w:val="none"/>
        </w:rPr>
        <w:t>的期末账面合计数</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在用数量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出租出借</w:t>
      </w:r>
      <w:r>
        <w:rPr>
          <w:rFonts w:hint="eastAsia" w:ascii="仿宋_GB2312" w:hAnsi="仿宋" w:eastAsia="仿宋_GB2312"/>
          <w:sz w:val="30"/>
          <w:szCs w:val="30"/>
          <w:highlight w:val="none"/>
          <w:lang w:val="en-US" w:eastAsia="zh-CN"/>
        </w:rPr>
        <w:t>数量、</w:t>
      </w:r>
      <w:r>
        <w:rPr>
          <w:rFonts w:hint="eastAsia" w:ascii="仿宋_GB2312" w:hAnsi="仿宋" w:eastAsia="仿宋_GB2312"/>
          <w:sz w:val="30"/>
          <w:szCs w:val="30"/>
          <w:highlight w:val="none"/>
        </w:rPr>
        <w:t>闲置数量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待处置数量</w:t>
      </w:r>
      <w:r>
        <w:rPr>
          <w:rFonts w:hint="eastAsia" w:ascii="仿宋_GB2312" w:hAnsi="仿宋" w:eastAsia="仿宋_GB2312"/>
          <w:sz w:val="30"/>
          <w:szCs w:val="30"/>
          <w:highlight w:val="none"/>
          <w:lang w:val="en-US" w:eastAsia="zh-CN"/>
        </w:rPr>
        <w:t>之和</w:t>
      </w:r>
      <w:r>
        <w:rPr>
          <w:rFonts w:hint="eastAsia" w:ascii="仿宋_GB2312" w:hAnsi="仿宋" w:eastAsia="仿宋_GB2312"/>
          <w:sz w:val="30"/>
          <w:szCs w:val="30"/>
          <w:highlight w:val="none"/>
        </w:rPr>
        <w:t>（</w:t>
      </w:r>
      <w:r>
        <w:rPr>
          <w:rFonts w:hint="eastAsia" w:ascii="仿宋_GB2312" w:hAnsi="仿宋" w:eastAsia="仿宋_GB2312"/>
          <w:sz w:val="30"/>
          <w:szCs w:val="30"/>
          <w:highlight w:val="none"/>
          <w:lang w:val="en-US" w:eastAsia="zh-CN"/>
        </w:rPr>
        <w:t>6</w:t>
      </w:r>
      <w:r>
        <w:rPr>
          <w:rFonts w:hint="eastAsia" w:ascii="仿宋_GB2312" w:hAnsi="仿宋" w:eastAsia="仿宋_GB2312"/>
          <w:sz w:val="30"/>
          <w:szCs w:val="30"/>
          <w:highlight w:val="none"/>
        </w:rPr>
        <w:t>行5</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9、13、17、25</w:t>
      </w:r>
      <w:r>
        <w:rPr>
          <w:rFonts w:hint="eastAsia" w:ascii="仿宋_GB2312" w:hAnsi="仿宋" w:eastAsia="仿宋_GB2312"/>
          <w:sz w:val="30"/>
          <w:szCs w:val="30"/>
          <w:highlight w:val="none"/>
        </w:rPr>
        <w:t>栏）；</w:t>
      </w:r>
    </w:p>
    <w:p w14:paraId="79B5C07B">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“本单位房屋小计”行本单位实际使用办公室用房（使用面积）</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22栏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应等于</w:t>
      </w:r>
      <w:r>
        <w:rPr>
          <w:rFonts w:hint="eastAsia" w:ascii="仿宋_GB2312" w:hAnsi="仿宋" w:eastAsia="仿宋_GB2312"/>
          <w:sz w:val="30"/>
          <w:szCs w:val="30"/>
          <w:highlight w:val="none"/>
        </w:rPr>
        <w:t>财资03固定和无形资产存量情况表</w:t>
      </w:r>
      <w:r>
        <w:rPr>
          <w:rFonts w:hint="eastAsia" w:ascii="仿宋_GB2312" w:hAnsi="仿宋" w:eastAsia="仿宋_GB2312"/>
          <w:sz w:val="30"/>
          <w:szCs w:val="30"/>
          <w:highlight w:val="none"/>
          <w:lang w:val="en-US" w:eastAsia="zh-CN"/>
        </w:rPr>
        <w:t>中</w:t>
      </w:r>
      <w:r>
        <w:rPr>
          <w:rFonts w:hint="eastAsia" w:ascii="仿宋_GB2312" w:hAnsi="仿宋" w:eastAsia="仿宋_GB2312"/>
          <w:sz w:val="30"/>
          <w:szCs w:val="30"/>
          <w:highlight w:val="none"/>
        </w:rPr>
        <w:t>本单位实际使用办公用房的期末账面数合计数（</w:t>
      </w:r>
      <w:r>
        <w:rPr>
          <w:rFonts w:ascii="仿宋_GB2312" w:hAnsi="仿宋" w:eastAsia="仿宋_GB2312"/>
          <w:sz w:val="30"/>
          <w:szCs w:val="30"/>
          <w:highlight w:val="none"/>
        </w:rPr>
        <w:t>7</w:t>
      </w:r>
      <w:r>
        <w:rPr>
          <w:rFonts w:hint="eastAsia" w:ascii="仿宋_GB2312" w:hAnsi="仿宋" w:eastAsia="仿宋_GB2312"/>
          <w:sz w:val="30"/>
          <w:szCs w:val="30"/>
          <w:highlight w:val="none"/>
        </w:rPr>
        <w:t>行5栏）；</w:t>
      </w:r>
    </w:p>
    <w:p w14:paraId="598164EE">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“本单位房屋小计”行</w:t>
      </w:r>
      <w:r>
        <w:rPr>
          <w:rFonts w:hint="eastAsia" w:ascii="仿宋_GB2312" w:hAnsi="仿宋" w:eastAsia="仿宋_GB2312"/>
          <w:sz w:val="30"/>
          <w:szCs w:val="30"/>
          <w:highlight w:val="none"/>
          <w:lang w:val="en-US" w:eastAsia="zh-CN"/>
        </w:rPr>
        <w:t>建筑面积业务用房小计数（23</w:t>
      </w:r>
      <w:r>
        <w:rPr>
          <w:rFonts w:hint="eastAsia" w:ascii="仿宋_GB2312" w:hAnsi="仿宋" w:eastAsia="仿宋_GB2312"/>
          <w:sz w:val="30"/>
          <w:szCs w:val="30"/>
          <w:highlight w:val="none"/>
        </w:rPr>
        <w:t>栏</w:t>
      </w:r>
      <w:r>
        <w:rPr>
          <w:rFonts w:hint="eastAsia" w:ascii="仿宋_GB2312" w:hAnsi="仿宋" w:eastAsia="仿宋_GB2312"/>
          <w:sz w:val="30"/>
          <w:szCs w:val="30"/>
          <w:highlight w:val="none"/>
          <w:lang w:val="en-US" w:eastAsia="zh-CN"/>
        </w:rPr>
        <w:t>）、在用（24栏）、出租出借（25栏）、闲置（26栏）、待处置（27栏）应分别等于</w:t>
      </w:r>
      <w:r>
        <w:rPr>
          <w:rFonts w:hint="eastAsia" w:ascii="仿宋_GB2312" w:hAnsi="仿宋" w:eastAsia="仿宋_GB2312"/>
          <w:sz w:val="30"/>
          <w:szCs w:val="30"/>
          <w:highlight w:val="none"/>
        </w:rPr>
        <w:t>财资03固定和无形资产存量情况表</w:t>
      </w:r>
      <w:r>
        <w:rPr>
          <w:rFonts w:hint="eastAsia" w:ascii="仿宋_GB2312" w:hAnsi="仿宋" w:eastAsia="仿宋_GB2312"/>
          <w:sz w:val="30"/>
          <w:szCs w:val="30"/>
          <w:highlight w:val="none"/>
          <w:lang w:val="en-US" w:eastAsia="zh-CN"/>
        </w:rPr>
        <w:t>中业务用房</w:t>
      </w:r>
      <w:r>
        <w:rPr>
          <w:rFonts w:hint="eastAsia" w:ascii="仿宋_GB2312" w:hAnsi="仿宋" w:eastAsia="仿宋_GB2312"/>
          <w:sz w:val="30"/>
          <w:szCs w:val="30"/>
          <w:highlight w:val="none"/>
        </w:rPr>
        <w:t>的期末账面合计数</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在用数量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出租出借</w:t>
      </w:r>
      <w:r>
        <w:rPr>
          <w:rFonts w:hint="eastAsia" w:ascii="仿宋_GB2312" w:hAnsi="仿宋" w:eastAsia="仿宋_GB2312"/>
          <w:sz w:val="30"/>
          <w:szCs w:val="30"/>
          <w:highlight w:val="none"/>
          <w:lang w:val="en-US" w:eastAsia="zh-CN"/>
        </w:rPr>
        <w:t>数量、</w:t>
      </w:r>
      <w:r>
        <w:rPr>
          <w:rFonts w:hint="eastAsia" w:ascii="仿宋_GB2312" w:hAnsi="仿宋" w:eastAsia="仿宋_GB2312"/>
          <w:sz w:val="30"/>
          <w:szCs w:val="30"/>
          <w:highlight w:val="none"/>
        </w:rPr>
        <w:t>闲置数量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待处置数量</w:t>
      </w:r>
      <w:r>
        <w:rPr>
          <w:rFonts w:hint="eastAsia" w:ascii="仿宋_GB2312" w:hAnsi="仿宋" w:eastAsia="仿宋_GB2312"/>
          <w:sz w:val="30"/>
          <w:szCs w:val="30"/>
          <w:highlight w:val="none"/>
          <w:lang w:val="en-US" w:eastAsia="zh-CN"/>
        </w:rPr>
        <w:t>之和</w:t>
      </w:r>
      <w:r>
        <w:rPr>
          <w:rFonts w:hint="eastAsia" w:ascii="仿宋_GB2312" w:hAnsi="仿宋" w:eastAsia="仿宋_GB2312"/>
          <w:sz w:val="30"/>
          <w:szCs w:val="30"/>
          <w:highlight w:val="none"/>
        </w:rPr>
        <w:t>（</w:t>
      </w:r>
      <w:r>
        <w:rPr>
          <w:rFonts w:hint="eastAsia" w:ascii="仿宋_GB2312" w:hAnsi="仿宋" w:eastAsia="仿宋_GB2312"/>
          <w:sz w:val="30"/>
          <w:szCs w:val="30"/>
          <w:highlight w:val="none"/>
          <w:lang w:val="en-US" w:eastAsia="zh-CN"/>
        </w:rPr>
        <w:t>8</w:t>
      </w:r>
      <w:r>
        <w:rPr>
          <w:rFonts w:hint="eastAsia" w:ascii="仿宋_GB2312" w:hAnsi="仿宋" w:eastAsia="仿宋_GB2312"/>
          <w:sz w:val="30"/>
          <w:szCs w:val="30"/>
          <w:highlight w:val="none"/>
        </w:rPr>
        <w:t>行5</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9、13、17、25</w:t>
      </w:r>
      <w:r>
        <w:rPr>
          <w:rFonts w:hint="eastAsia" w:ascii="仿宋_GB2312" w:hAnsi="仿宋" w:eastAsia="仿宋_GB2312"/>
          <w:sz w:val="30"/>
          <w:szCs w:val="30"/>
          <w:highlight w:val="none"/>
        </w:rPr>
        <w:t>栏）；</w:t>
      </w:r>
    </w:p>
    <w:p w14:paraId="76CFF7B0">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“本单位房屋小计”行</w:t>
      </w:r>
      <w:r>
        <w:rPr>
          <w:rFonts w:hint="eastAsia" w:ascii="仿宋_GB2312" w:hAnsi="仿宋" w:eastAsia="仿宋_GB2312"/>
          <w:sz w:val="30"/>
          <w:szCs w:val="30"/>
          <w:highlight w:val="none"/>
          <w:lang w:val="en-US" w:eastAsia="zh-CN"/>
        </w:rPr>
        <w:t>建筑面积其他用房小计数（23</w:t>
      </w:r>
      <w:r>
        <w:rPr>
          <w:rFonts w:hint="eastAsia" w:ascii="仿宋_GB2312" w:hAnsi="仿宋" w:eastAsia="仿宋_GB2312"/>
          <w:sz w:val="30"/>
          <w:szCs w:val="30"/>
          <w:highlight w:val="none"/>
        </w:rPr>
        <w:t>栏</w:t>
      </w:r>
      <w:r>
        <w:rPr>
          <w:rFonts w:hint="eastAsia" w:ascii="仿宋_GB2312" w:hAnsi="仿宋" w:eastAsia="仿宋_GB2312"/>
          <w:sz w:val="30"/>
          <w:szCs w:val="30"/>
          <w:highlight w:val="none"/>
          <w:lang w:val="en-US" w:eastAsia="zh-CN"/>
        </w:rPr>
        <w:t>）、在用（24栏）、出租出借（25栏）、闲置（26栏）、待处置（27栏）应分别等于</w:t>
      </w:r>
      <w:r>
        <w:rPr>
          <w:rFonts w:hint="eastAsia" w:ascii="仿宋_GB2312" w:hAnsi="仿宋" w:eastAsia="仿宋_GB2312"/>
          <w:sz w:val="30"/>
          <w:szCs w:val="30"/>
          <w:highlight w:val="none"/>
        </w:rPr>
        <w:t>财资03固定和无形资产存量情况表</w:t>
      </w:r>
      <w:r>
        <w:rPr>
          <w:rFonts w:hint="eastAsia" w:ascii="仿宋_GB2312" w:hAnsi="仿宋" w:eastAsia="仿宋_GB2312"/>
          <w:sz w:val="30"/>
          <w:szCs w:val="30"/>
          <w:highlight w:val="none"/>
          <w:lang w:val="en-US" w:eastAsia="zh-CN"/>
        </w:rPr>
        <w:t>中其他用房</w:t>
      </w:r>
      <w:r>
        <w:rPr>
          <w:rFonts w:hint="eastAsia" w:ascii="仿宋_GB2312" w:hAnsi="仿宋" w:eastAsia="仿宋_GB2312"/>
          <w:sz w:val="30"/>
          <w:szCs w:val="30"/>
          <w:highlight w:val="none"/>
        </w:rPr>
        <w:t>的期末账面合计数</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在用数量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出租出借</w:t>
      </w:r>
      <w:r>
        <w:rPr>
          <w:rFonts w:hint="eastAsia" w:ascii="仿宋_GB2312" w:hAnsi="仿宋" w:eastAsia="仿宋_GB2312"/>
          <w:sz w:val="30"/>
          <w:szCs w:val="30"/>
          <w:highlight w:val="none"/>
          <w:lang w:val="en-US" w:eastAsia="zh-CN"/>
        </w:rPr>
        <w:t>数量、</w:t>
      </w:r>
      <w:r>
        <w:rPr>
          <w:rFonts w:hint="eastAsia" w:ascii="仿宋_GB2312" w:hAnsi="仿宋" w:eastAsia="仿宋_GB2312"/>
          <w:sz w:val="30"/>
          <w:szCs w:val="30"/>
          <w:highlight w:val="none"/>
        </w:rPr>
        <w:t>闲置数量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待处置数量</w:t>
      </w:r>
      <w:r>
        <w:rPr>
          <w:rFonts w:hint="eastAsia" w:ascii="仿宋_GB2312" w:hAnsi="仿宋" w:eastAsia="仿宋_GB2312"/>
          <w:sz w:val="30"/>
          <w:szCs w:val="30"/>
          <w:highlight w:val="none"/>
          <w:lang w:val="en-US" w:eastAsia="zh-CN"/>
        </w:rPr>
        <w:t>之和</w:t>
      </w:r>
      <w:r>
        <w:rPr>
          <w:rFonts w:hint="eastAsia" w:ascii="仿宋_GB2312" w:hAnsi="仿宋" w:eastAsia="仿宋_GB2312"/>
          <w:sz w:val="30"/>
          <w:szCs w:val="30"/>
          <w:highlight w:val="none"/>
        </w:rPr>
        <w:t>（</w:t>
      </w:r>
      <w:r>
        <w:rPr>
          <w:rFonts w:hint="eastAsia" w:ascii="仿宋_GB2312" w:hAnsi="仿宋" w:eastAsia="仿宋_GB2312"/>
          <w:sz w:val="30"/>
          <w:szCs w:val="30"/>
          <w:highlight w:val="none"/>
          <w:lang w:val="en-US" w:eastAsia="zh-CN"/>
        </w:rPr>
        <w:t>9</w:t>
      </w:r>
      <w:r>
        <w:rPr>
          <w:rFonts w:hint="eastAsia" w:ascii="仿宋_GB2312" w:hAnsi="仿宋" w:eastAsia="仿宋_GB2312"/>
          <w:sz w:val="30"/>
          <w:szCs w:val="30"/>
          <w:highlight w:val="none"/>
        </w:rPr>
        <w:t>行5</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9、13、17、25</w:t>
      </w:r>
      <w:r>
        <w:rPr>
          <w:rFonts w:hint="eastAsia" w:ascii="仿宋_GB2312" w:hAnsi="仿宋" w:eastAsia="仿宋_GB2312"/>
          <w:sz w:val="30"/>
          <w:szCs w:val="30"/>
          <w:highlight w:val="none"/>
        </w:rPr>
        <w:t>栏）；</w:t>
      </w:r>
    </w:p>
    <w:p w14:paraId="41E0471D">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“本单位房屋小计”行</w:t>
      </w:r>
      <w:r>
        <w:rPr>
          <w:rFonts w:hint="eastAsia" w:ascii="仿宋_GB2312" w:hAnsi="仿宋" w:eastAsia="仿宋_GB2312"/>
          <w:sz w:val="30"/>
          <w:szCs w:val="30"/>
          <w:highlight w:val="none"/>
          <w:lang w:val="en-US" w:eastAsia="zh-CN"/>
        </w:rPr>
        <w:t>价值栏的原值、累计折旧、净值（33</w:t>
      </w:r>
      <w:r>
        <w:rPr>
          <w:rFonts w:ascii="仿宋_GB2312" w:hAnsi="仿宋" w:eastAsia="仿宋_GB2312"/>
          <w:sz w:val="30"/>
          <w:szCs w:val="30"/>
          <w:highlight w:val="none"/>
        </w:rPr>
        <w:t>~</w:t>
      </w:r>
      <w:r>
        <w:rPr>
          <w:rFonts w:hint="eastAsia" w:ascii="仿宋_GB2312" w:hAnsi="仿宋" w:eastAsia="仿宋_GB2312"/>
          <w:sz w:val="30"/>
          <w:szCs w:val="30"/>
          <w:highlight w:val="none"/>
          <w:lang w:val="en-US" w:eastAsia="zh-CN"/>
        </w:rPr>
        <w:t>35栏）应等于</w:t>
      </w:r>
      <w:r>
        <w:rPr>
          <w:rFonts w:hint="eastAsia" w:ascii="仿宋_GB2312" w:hAnsi="仿宋" w:eastAsia="仿宋_GB2312"/>
          <w:sz w:val="30"/>
          <w:szCs w:val="30"/>
          <w:highlight w:val="none"/>
        </w:rPr>
        <w:t>财资03固定和无形资产存量情况表</w:t>
      </w:r>
      <w:r>
        <w:rPr>
          <w:rFonts w:hint="eastAsia" w:ascii="仿宋_GB2312" w:hAnsi="仿宋" w:eastAsia="仿宋_GB2312"/>
          <w:sz w:val="30"/>
          <w:szCs w:val="30"/>
          <w:highlight w:val="none"/>
          <w:lang w:val="en-US" w:eastAsia="zh-CN"/>
        </w:rPr>
        <w:t>中</w:t>
      </w:r>
      <w:r>
        <w:rPr>
          <w:rFonts w:hint="eastAsia" w:ascii="仿宋_GB2312" w:hAnsi="仿宋" w:eastAsia="仿宋_GB2312"/>
          <w:sz w:val="30"/>
          <w:szCs w:val="30"/>
          <w:highlight w:val="none"/>
        </w:rPr>
        <w:t>房屋的期末账面数原值</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累计折旧、净值</w:t>
      </w:r>
      <w:r>
        <w:rPr>
          <w:rFonts w:hint="eastAsia" w:ascii="仿宋_GB2312" w:hAnsi="仿宋" w:eastAsia="仿宋_GB2312"/>
          <w:sz w:val="30"/>
          <w:szCs w:val="30"/>
          <w:highlight w:val="none"/>
        </w:rPr>
        <w:t>（</w:t>
      </w:r>
      <w:r>
        <w:rPr>
          <w:rFonts w:ascii="仿宋_GB2312" w:hAnsi="仿宋" w:eastAsia="仿宋_GB2312"/>
          <w:sz w:val="30"/>
          <w:szCs w:val="30"/>
          <w:highlight w:val="none"/>
        </w:rPr>
        <w:t>5</w:t>
      </w:r>
      <w:r>
        <w:rPr>
          <w:rFonts w:hint="eastAsia" w:ascii="仿宋_GB2312" w:hAnsi="仿宋" w:eastAsia="仿宋_GB2312"/>
          <w:sz w:val="30"/>
          <w:szCs w:val="30"/>
          <w:highlight w:val="none"/>
        </w:rPr>
        <w:t>行6</w:t>
      </w:r>
      <w:r>
        <w:rPr>
          <w:rFonts w:ascii="仿宋_GB2312" w:hAnsi="仿宋" w:eastAsia="仿宋_GB2312"/>
          <w:sz w:val="30"/>
          <w:szCs w:val="30"/>
          <w:highlight w:val="none"/>
        </w:rPr>
        <w:t>~</w:t>
      </w:r>
      <w:r>
        <w:rPr>
          <w:rFonts w:hint="eastAsia" w:ascii="仿宋_GB2312" w:hAnsi="仿宋" w:eastAsia="仿宋_GB2312"/>
          <w:sz w:val="30"/>
          <w:szCs w:val="30"/>
          <w:highlight w:val="none"/>
          <w:lang w:val="en-US" w:eastAsia="zh-CN"/>
        </w:rPr>
        <w:t>8</w:t>
      </w:r>
      <w:r>
        <w:rPr>
          <w:rFonts w:hint="eastAsia" w:ascii="仿宋_GB2312" w:hAnsi="仿宋" w:eastAsia="仿宋_GB2312"/>
          <w:sz w:val="30"/>
          <w:szCs w:val="30"/>
          <w:highlight w:val="none"/>
        </w:rPr>
        <w:t>栏）；</w:t>
      </w:r>
    </w:p>
    <w:p w14:paraId="4894B7B3">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“已投入使用的在建工程未转固房屋小计”的期末账面数建筑面积小计（</w:t>
      </w:r>
      <w:r>
        <w:rPr>
          <w:rFonts w:ascii="仿宋_GB2312" w:hAnsi="仿宋" w:eastAsia="仿宋_GB2312"/>
          <w:sz w:val="30"/>
          <w:szCs w:val="30"/>
          <w:highlight w:val="none"/>
        </w:rPr>
        <w:t>12</w:t>
      </w:r>
      <w:r>
        <w:rPr>
          <w:rFonts w:hint="eastAsia" w:ascii="仿宋_GB2312" w:hAnsi="仿宋" w:eastAsia="仿宋_GB2312"/>
          <w:sz w:val="30"/>
          <w:szCs w:val="30"/>
          <w:highlight w:val="none"/>
        </w:rPr>
        <w:t>栏）</w:t>
      </w:r>
      <w:r>
        <w:rPr>
          <w:rFonts w:hint="eastAsia" w:ascii="仿宋_GB2312" w:hAnsi="仿宋" w:eastAsia="仿宋_GB2312"/>
          <w:sz w:val="30"/>
          <w:szCs w:val="30"/>
          <w:highlight w:val="none"/>
          <w:lang w:val="en-US" w:eastAsia="zh-CN"/>
        </w:rPr>
        <w:t>应小于等于</w:t>
      </w:r>
      <w:r>
        <w:rPr>
          <w:rFonts w:hint="eastAsia" w:ascii="仿宋_GB2312" w:hAnsi="仿宋" w:eastAsia="仿宋_GB2312"/>
          <w:sz w:val="30"/>
          <w:szCs w:val="30"/>
          <w:highlight w:val="none"/>
        </w:rPr>
        <w:t>财资0</w:t>
      </w:r>
      <w:r>
        <w:rPr>
          <w:rFonts w:ascii="仿宋_GB2312" w:hAnsi="仿宋" w:eastAsia="仿宋_GB2312"/>
          <w:sz w:val="30"/>
          <w:szCs w:val="30"/>
          <w:highlight w:val="none"/>
        </w:rPr>
        <w:t>7</w:t>
      </w:r>
      <w:r>
        <w:rPr>
          <w:rFonts w:hint="eastAsia" w:ascii="仿宋_GB2312" w:hAnsi="仿宋" w:eastAsia="仿宋_GB2312"/>
          <w:sz w:val="30"/>
          <w:szCs w:val="30"/>
          <w:highlight w:val="none"/>
        </w:rPr>
        <w:t>表已投入使用未转固在建工程建筑面积（</w:t>
      </w:r>
      <w:r>
        <w:rPr>
          <w:rFonts w:ascii="仿宋_GB2312" w:hAnsi="仿宋" w:eastAsia="仿宋_GB2312"/>
          <w:sz w:val="30"/>
          <w:szCs w:val="30"/>
          <w:highlight w:val="none"/>
        </w:rPr>
        <w:t>11</w:t>
      </w:r>
      <w:r>
        <w:rPr>
          <w:rFonts w:hint="eastAsia" w:ascii="仿宋_GB2312" w:hAnsi="仿宋" w:eastAsia="仿宋_GB2312"/>
          <w:sz w:val="30"/>
          <w:szCs w:val="30"/>
          <w:highlight w:val="none"/>
        </w:rPr>
        <w:t>栏）；</w:t>
      </w:r>
    </w:p>
    <w:p w14:paraId="067DB1D8">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当财资02表机构人员情况表中</w:t>
      </w:r>
      <w:r>
        <w:rPr>
          <w:rFonts w:hint="eastAsia" w:ascii="仿宋_GB2312" w:hAnsi="仿宋" w:eastAsia="仿宋_GB2312"/>
          <w:sz w:val="30"/>
          <w:szCs w:val="30"/>
          <w:highlight w:val="none"/>
          <w:lang w:val="en-US" w:eastAsia="zh-CN"/>
        </w:rPr>
        <w:t>在职及其他人员</w:t>
      </w:r>
      <w:r>
        <w:rPr>
          <w:rFonts w:hint="eastAsia" w:ascii="仿宋_GB2312" w:hAnsi="仿宋" w:eastAsia="仿宋_GB2312"/>
          <w:sz w:val="30"/>
          <w:szCs w:val="30"/>
          <w:highlight w:val="none"/>
        </w:rPr>
        <w:t>年末实有人数（</w:t>
      </w:r>
      <w:r>
        <w:rPr>
          <w:rFonts w:hint="eastAsia" w:ascii="仿宋_GB2312" w:hAnsi="仿宋" w:eastAsia="仿宋_GB2312"/>
          <w:sz w:val="30"/>
          <w:szCs w:val="30"/>
          <w:highlight w:val="none"/>
          <w:lang w:val="en-US" w:eastAsia="zh-CN"/>
        </w:rPr>
        <w:t xml:space="preserve">2行+9行 </w:t>
      </w:r>
      <w:r>
        <w:rPr>
          <w:rFonts w:hint="eastAsia" w:ascii="仿宋_GB2312" w:hAnsi="仿宋" w:eastAsia="仿宋_GB2312"/>
          <w:sz w:val="30"/>
          <w:szCs w:val="30"/>
          <w:highlight w:val="none"/>
        </w:rPr>
        <w:t>2栏）不为0时，房屋情况表的期末账面数建筑面积（12栏）合计不得为0。</w:t>
      </w:r>
    </w:p>
    <w:bookmarkEnd w:id="7"/>
    <w:p w14:paraId="06AF1632">
      <w:pPr>
        <w:spacing w:line="360" w:lineRule="auto"/>
        <w:ind w:firstLine="602" w:firstLineChars="200"/>
        <w:rPr>
          <w:rFonts w:hint="eastAsia" w:ascii="仿宋_GB2312" w:hAnsi="等线" w:eastAsia="仿宋_GB2312"/>
          <w:b/>
          <w:sz w:val="30"/>
          <w:szCs w:val="30"/>
          <w:highlight w:val="none"/>
        </w:rPr>
      </w:pPr>
      <w:r>
        <w:rPr>
          <w:rFonts w:hint="eastAsia" w:ascii="仿宋_GB2312" w:hAnsi="等线" w:eastAsia="仿宋_GB2312"/>
          <w:b/>
          <w:sz w:val="30"/>
          <w:szCs w:val="30"/>
          <w:highlight w:val="none"/>
        </w:rPr>
        <w:t>核实性公式：</w:t>
      </w:r>
    </w:p>
    <w:p w14:paraId="1D6AEDA9">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（有错修改，无错说明）：当房屋权属证明选择“</w:t>
      </w:r>
      <w:r>
        <w:rPr>
          <w:rFonts w:hint="eastAsia" w:ascii="仿宋_GB2312" w:hAnsi="仿宋" w:eastAsia="仿宋_GB2312"/>
          <w:sz w:val="30"/>
          <w:szCs w:val="30"/>
          <w:highlight w:val="none"/>
          <w:lang w:val="en-US" w:eastAsia="zh-CN"/>
        </w:rPr>
        <w:t>房屋所有权证、</w:t>
      </w:r>
      <w:r>
        <w:rPr>
          <w:rFonts w:hint="eastAsia" w:ascii="仿宋_GB2312" w:hAnsi="仿宋" w:eastAsia="仿宋_GB2312"/>
          <w:sz w:val="30"/>
          <w:szCs w:val="30"/>
          <w:highlight w:val="none"/>
        </w:rPr>
        <w:t>有</w:t>
      </w:r>
      <w:r>
        <w:rPr>
          <w:rFonts w:hint="eastAsia" w:ascii="仿宋_GB2312" w:eastAsia="仿宋_GB2312"/>
          <w:sz w:val="30"/>
          <w:szCs w:val="30"/>
          <w:highlight w:val="none"/>
        </w:rPr>
        <w:t>房屋权属批准文件</w:t>
      </w:r>
      <w:r>
        <w:rPr>
          <w:rFonts w:hint="eastAsia" w:ascii="仿宋_GB2312" w:hAnsi="仿宋" w:eastAsia="仿宋_GB2312"/>
          <w:sz w:val="30"/>
          <w:szCs w:val="30"/>
          <w:highlight w:val="none"/>
        </w:rPr>
        <w:t>”时，权属面积、账面面积两者不一致，即</w:t>
      </w:r>
      <w:r>
        <w:rPr>
          <w:rFonts w:ascii="仿宋_GB2312" w:hAnsi="仿宋" w:eastAsia="仿宋_GB2312"/>
          <w:sz w:val="30"/>
          <w:szCs w:val="30"/>
          <w:highlight w:val="none"/>
        </w:rPr>
        <w:t>10</w:t>
      </w:r>
      <w:r>
        <w:rPr>
          <w:rFonts w:hint="eastAsia" w:ascii="仿宋_GB2312" w:hAnsi="仿宋" w:eastAsia="仿宋_GB2312"/>
          <w:sz w:val="30"/>
          <w:szCs w:val="30"/>
          <w:highlight w:val="none"/>
        </w:rPr>
        <w:t>栏≠1</w:t>
      </w:r>
      <w:r>
        <w:rPr>
          <w:rFonts w:ascii="仿宋_GB2312" w:hAnsi="仿宋" w:eastAsia="仿宋_GB2312"/>
          <w:sz w:val="30"/>
          <w:szCs w:val="30"/>
          <w:highlight w:val="none"/>
        </w:rPr>
        <w:t>2</w:t>
      </w:r>
      <w:r>
        <w:rPr>
          <w:rFonts w:hint="eastAsia" w:ascii="仿宋_GB2312" w:hAnsi="仿宋" w:eastAsia="仿宋_GB2312"/>
          <w:sz w:val="30"/>
          <w:szCs w:val="30"/>
          <w:highlight w:val="none"/>
        </w:rPr>
        <w:t>栏，提示核实性错误，需结合实际情况修改或填写情况说明；</w:t>
      </w:r>
    </w:p>
    <w:p w14:paraId="0FD77ECF">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（有错修改，无错说明）：当单位未填写办公用房情况，即“合计行”1</w:t>
      </w:r>
      <w:r>
        <w:rPr>
          <w:rFonts w:ascii="仿宋_GB2312" w:hAnsi="仿宋" w:eastAsia="仿宋_GB2312"/>
          <w:sz w:val="30"/>
          <w:szCs w:val="30"/>
          <w:highlight w:val="none"/>
        </w:rPr>
        <w:t>7</w:t>
      </w:r>
      <w:r>
        <w:rPr>
          <w:rFonts w:hint="eastAsia" w:ascii="仿宋_GB2312" w:hAnsi="仿宋" w:eastAsia="仿宋_GB2312"/>
          <w:sz w:val="30"/>
          <w:szCs w:val="30"/>
          <w:highlight w:val="none"/>
        </w:rPr>
        <w:t>栏=0时，提示核实性错误，需结合实际情况修改或填写情况说明；</w:t>
      </w:r>
    </w:p>
    <w:p w14:paraId="24517A21">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（有错修改，无错说明）：对人均占有本单位实际使用的办公室用房面积过高或过低的异常情况，即：当本单位实际使用办公室用房（使用面积）</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2</w:t>
      </w:r>
      <w:r>
        <w:rPr>
          <w:rFonts w:ascii="仿宋_GB2312" w:hAnsi="仿宋" w:eastAsia="仿宋_GB2312"/>
          <w:sz w:val="30"/>
          <w:szCs w:val="30"/>
          <w:highlight w:val="none"/>
        </w:rPr>
        <w:t>2</w:t>
      </w:r>
      <w:r>
        <w:rPr>
          <w:rFonts w:hint="eastAsia" w:ascii="仿宋_GB2312" w:hAnsi="仿宋" w:eastAsia="仿宋_GB2312"/>
          <w:sz w:val="30"/>
          <w:szCs w:val="30"/>
          <w:highlight w:val="none"/>
        </w:rPr>
        <w:t>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除以</w:t>
      </w:r>
      <w:r>
        <w:rPr>
          <w:rFonts w:hint="eastAsia" w:ascii="仿宋_GB2312" w:hAnsi="仿宋" w:eastAsia="仿宋_GB2312"/>
          <w:sz w:val="30"/>
          <w:szCs w:val="30"/>
          <w:highlight w:val="none"/>
        </w:rPr>
        <w:t>财资02机构人员情况表</w:t>
      </w:r>
      <w:r>
        <w:rPr>
          <w:rFonts w:hint="eastAsia" w:ascii="仿宋_GB2312" w:hAnsi="仿宋" w:eastAsia="仿宋_GB2312"/>
          <w:sz w:val="30"/>
          <w:szCs w:val="30"/>
          <w:highlight w:val="none"/>
          <w:lang w:val="en-US" w:eastAsia="zh-CN"/>
        </w:rPr>
        <w:t>在职及其他年末实有人数</w:t>
      </w:r>
      <w:r>
        <w:rPr>
          <w:rFonts w:hint="eastAsia" w:ascii="仿宋_GB2312" w:hAnsi="仿宋" w:eastAsia="仿宋_GB2312"/>
          <w:sz w:val="30"/>
          <w:szCs w:val="30"/>
          <w:highlight w:val="none"/>
        </w:rPr>
        <w:t>（</w:t>
      </w:r>
      <w:r>
        <w:rPr>
          <w:rFonts w:hint="eastAsia" w:ascii="仿宋_GB2312" w:hAnsi="仿宋" w:eastAsia="仿宋_GB2312"/>
          <w:sz w:val="30"/>
          <w:szCs w:val="30"/>
          <w:highlight w:val="none"/>
          <w:lang w:val="en-US" w:eastAsia="zh-CN"/>
        </w:rPr>
        <w:t xml:space="preserve">2行+9行 </w:t>
      </w:r>
      <w:r>
        <w:rPr>
          <w:rFonts w:hint="eastAsia" w:ascii="仿宋_GB2312" w:hAnsi="仿宋" w:eastAsia="仿宋_GB2312"/>
          <w:sz w:val="30"/>
          <w:szCs w:val="30"/>
          <w:highlight w:val="none"/>
        </w:rPr>
        <w:t>2栏）</w:t>
      </w:r>
      <w:r>
        <w:rPr>
          <w:rFonts w:hint="eastAsia" w:ascii="仿宋_GB2312" w:hAnsi="仿宋" w:eastAsia="仿宋_GB2312"/>
          <w:sz w:val="30"/>
          <w:szCs w:val="30"/>
          <w:highlight w:val="none"/>
          <w:lang w:val="en-US" w:eastAsia="zh-CN"/>
        </w:rPr>
        <w:t>大于</w:t>
      </w:r>
      <w:r>
        <w:rPr>
          <w:rFonts w:hint="eastAsia" w:ascii="仿宋_GB2312" w:hAnsi="仿宋" w:eastAsia="仿宋_GB2312"/>
          <w:sz w:val="30"/>
          <w:szCs w:val="30"/>
          <w:highlight w:val="none"/>
        </w:rPr>
        <w:t>30平方米</w:t>
      </w:r>
      <w:r>
        <w:rPr>
          <w:rFonts w:hint="eastAsia" w:ascii="仿宋_GB2312" w:hAnsi="仿宋" w:eastAsia="仿宋_GB2312"/>
          <w:sz w:val="30"/>
          <w:szCs w:val="30"/>
          <w:highlight w:val="none"/>
          <w:lang w:val="en-US" w:eastAsia="zh-CN"/>
        </w:rPr>
        <w:t>或小于3平方米时</w:t>
      </w:r>
      <w:r>
        <w:rPr>
          <w:rFonts w:hint="eastAsia" w:ascii="仿宋_GB2312" w:hAnsi="仿宋" w:eastAsia="仿宋_GB2312"/>
          <w:sz w:val="30"/>
          <w:szCs w:val="30"/>
          <w:highlight w:val="none"/>
        </w:rPr>
        <w:t>，提示核实性错误，需结合实际情况修改或填写情况说明；</w:t>
      </w:r>
    </w:p>
    <w:p w14:paraId="4476DDF5">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（有错修改，无错说明）：人均占用办公用房面积超过参考值100平方米，即：</w:t>
      </w:r>
      <w:r>
        <w:rPr>
          <w:rFonts w:hint="eastAsia" w:ascii="仿宋_GB2312" w:hAnsi="仿宋" w:eastAsia="仿宋_GB2312"/>
          <w:sz w:val="30"/>
          <w:szCs w:val="30"/>
          <w:highlight w:val="none"/>
          <w:lang w:val="en-US" w:eastAsia="zh-CN"/>
        </w:rPr>
        <w:t>当办公用房面积小计（</w:t>
      </w:r>
      <w:r>
        <w:rPr>
          <w:rFonts w:hint="eastAsia" w:ascii="仿宋_GB2312" w:hAnsi="仿宋" w:eastAsia="仿宋_GB2312"/>
          <w:sz w:val="30"/>
          <w:szCs w:val="30"/>
          <w:highlight w:val="none"/>
        </w:rPr>
        <w:t>1</w:t>
      </w:r>
      <w:r>
        <w:rPr>
          <w:rFonts w:ascii="仿宋_GB2312" w:hAnsi="仿宋" w:eastAsia="仿宋_GB2312"/>
          <w:sz w:val="30"/>
          <w:szCs w:val="30"/>
          <w:highlight w:val="none"/>
        </w:rPr>
        <w:t>7</w:t>
      </w:r>
      <w:r>
        <w:rPr>
          <w:rFonts w:hint="eastAsia" w:ascii="仿宋_GB2312" w:hAnsi="仿宋" w:eastAsia="仿宋_GB2312"/>
          <w:sz w:val="30"/>
          <w:szCs w:val="30"/>
          <w:highlight w:val="none"/>
        </w:rPr>
        <w:t>栏</w:t>
      </w:r>
      <w:r>
        <w:rPr>
          <w:rFonts w:hint="eastAsia" w:ascii="仿宋_GB2312" w:hAnsi="仿宋" w:eastAsia="仿宋_GB2312"/>
          <w:sz w:val="30"/>
          <w:szCs w:val="30"/>
          <w:highlight w:val="none"/>
          <w:lang w:val="en-US" w:eastAsia="zh-CN"/>
        </w:rPr>
        <w:t>）除以</w:t>
      </w:r>
      <w:r>
        <w:rPr>
          <w:rFonts w:hint="eastAsia" w:ascii="仿宋_GB2312" w:hAnsi="仿宋" w:eastAsia="仿宋_GB2312"/>
          <w:sz w:val="30"/>
          <w:szCs w:val="30"/>
          <w:highlight w:val="none"/>
        </w:rPr>
        <w:t>财资02机构人员情况表</w:t>
      </w:r>
      <w:r>
        <w:rPr>
          <w:rFonts w:hint="eastAsia" w:ascii="仿宋_GB2312" w:hAnsi="仿宋" w:eastAsia="仿宋_GB2312"/>
          <w:sz w:val="30"/>
          <w:szCs w:val="30"/>
          <w:highlight w:val="none"/>
          <w:lang w:val="en-US" w:eastAsia="zh-CN"/>
        </w:rPr>
        <w:t>在职及其他年末实有人数</w:t>
      </w:r>
      <w:r>
        <w:rPr>
          <w:rFonts w:hint="eastAsia" w:ascii="仿宋_GB2312" w:hAnsi="仿宋" w:eastAsia="仿宋_GB2312"/>
          <w:sz w:val="30"/>
          <w:szCs w:val="30"/>
          <w:highlight w:val="none"/>
        </w:rPr>
        <w:t>（</w:t>
      </w:r>
      <w:r>
        <w:rPr>
          <w:rFonts w:hint="eastAsia" w:ascii="仿宋_GB2312" w:hAnsi="仿宋" w:eastAsia="仿宋_GB2312"/>
          <w:sz w:val="30"/>
          <w:szCs w:val="30"/>
          <w:highlight w:val="none"/>
          <w:lang w:val="en-US" w:eastAsia="zh-CN"/>
        </w:rPr>
        <w:t xml:space="preserve">2行+9行 </w:t>
      </w:r>
      <w:r>
        <w:rPr>
          <w:rFonts w:hint="eastAsia" w:ascii="仿宋_GB2312" w:hAnsi="仿宋" w:eastAsia="仿宋_GB2312"/>
          <w:sz w:val="30"/>
          <w:szCs w:val="30"/>
          <w:highlight w:val="none"/>
        </w:rPr>
        <w:t>2栏）</w:t>
      </w:r>
      <w:r>
        <w:rPr>
          <w:rFonts w:hint="eastAsia" w:ascii="仿宋_GB2312" w:hAnsi="仿宋" w:eastAsia="仿宋_GB2312"/>
          <w:sz w:val="30"/>
          <w:szCs w:val="30"/>
          <w:highlight w:val="none"/>
          <w:lang w:val="en-US" w:eastAsia="zh-CN"/>
        </w:rPr>
        <w:t>大于</w:t>
      </w:r>
      <w:r>
        <w:rPr>
          <w:rFonts w:hint="eastAsia" w:ascii="仿宋_GB2312" w:hAnsi="仿宋" w:eastAsia="仿宋_GB2312"/>
          <w:sz w:val="30"/>
          <w:szCs w:val="30"/>
          <w:highlight w:val="none"/>
        </w:rPr>
        <w:t>100</w:t>
      </w:r>
      <w:r>
        <w:rPr>
          <w:rFonts w:ascii="仿宋_GB2312" w:hAnsi="仿宋" w:eastAsia="仿宋_GB2312"/>
          <w:sz w:val="30"/>
          <w:szCs w:val="30"/>
          <w:highlight w:val="none"/>
        </w:rPr>
        <w:t>平方米</w:t>
      </w:r>
      <w:r>
        <w:rPr>
          <w:rFonts w:hint="eastAsia" w:ascii="仿宋_GB2312" w:hAnsi="仿宋" w:eastAsia="仿宋_GB2312"/>
          <w:sz w:val="30"/>
          <w:szCs w:val="30"/>
          <w:highlight w:val="none"/>
          <w:lang w:val="en-US" w:eastAsia="zh-CN"/>
        </w:rPr>
        <w:t>时</w:t>
      </w:r>
      <w:r>
        <w:rPr>
          <w:rFonts w:hint="eastAsia" w:ascii="仿宋_GB2312" w:hAnsi="仿宋" w:eastAsia="仿宋_GB2312"/>
          <w:sz w:val="30"/>
          <w:szCs w:val="30"/>
          <w:highlight w:val="none"/>
        </w:rPr>
        <w:t>，提示核实性错误，需结合实际情况修改或填写情况说明；</w:t>
      </w:r>
    </w:p>
    <w:p w14:paraId="62BB911E">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（有错修改，无错说明）：当使用其他单位房屋、已投入使用的在建工程未转固房屋、本单位房屋浮动行期末账面数建筑面积小计（</w:t>
      </w:r>
      <w:r>
        <w:rPr>
          <w:rFonts w:ascii="仿宋_GB2312" w:hAnsi="仿宋" w:eastAsia="仿宋_GB2312"/>
          <w:sz w:val="30"/>
          <w:szCs w:val="30"/>
          <w:highlight w:val="none"/>
        </w:rPr>
        <w:t>12</w:t>
      </w:r>
      <w:r>
        <w:rPr>
          <w:rFonts w:hint="eastAsia" w:ascii="仿宋_GB2312" w:hAnsi="仿宋" w:eastAsia="仿宋_GB2312"/>
          <w:sz w:val="30"/>
          <w:szCs w:val="30"/>
          <w:highlight w:val="none"/>
        </w:rPr>
        <w:t>栏）</w:t>
      </w:r>
      <w:r>
        <w:rPr>
          <w:rFonts w:hint="eastAsia" w:ascii="仿宋_GB2312" w:hAnsi="仿宋" w:eastAsia="仿宋_GB2312"/>
          <w:sz w:val="30"/>
          <w:szCs w:val="30"/>
          <w:highlight w:val="none"/>
          <w:lang w:val="en-US" w:eastAsia="zh-CN"/>
        </w:rPr>
        <w:t>小于</w:t>
      </w:r>
      <w:r>
        <w:rPr>
          <w:rFonts w:hint="eastAsia" w:ascii="仿宋_GB2312" w:hAnsi="仿宋" w:eastAsia="仿宋_GB2312"/>
          <w:sz w:val="30"/>
          <w:szCs w:val="30"/>
          <w:highlight w:val="none"/>
        </w:rPr>
        <w:t>1时，提示核实性错误，需结合实际情况修改或填写情况说明；</w:t>
      </w:r>
    </w:p>
    <w:p w14:paraId="5A17A7A3">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若已投入使用的在建工程未转固房屋小计</w:t>
      </w:r>
      <w:r>
        <w:rPr>
          <w:rFonts w:hint="eastAsia" w:ascii="仿宋_GB2312" w:hAnsi="仿宋" w:eastAsia="仿宋_GB2312"/>
          <w:sz w:val="30"/>
          <w:szCs w:val="30"/>
          <w:highlight w:val="none"/>
          <w:lang w:eastAsia="zh-CN"/>
        </w:rPr>
        <w:t>（</w:t>
      </w:r>
      <w:r>
        <w:rPr>
          <w:rFonts w:ascii="仿宋_GB2312" w:hAnsi="仿宋" w:eastAsia="仿宋_GB2312"/>
          <w:sz w:val="30"/>
          <w:szCs w:val="30"/>
          <w:highlight w:val="none"/>
        </w:rPr>
        <w:t>12</w:t>
      </w:r>
      <w:r>
        <w:rPr>
          <w:rFonts w:hint="eastAsia" w:ascii="仿宋_GB2312" w:hAnsi="仿宋" w:eastAsia="仿宋_GB2312"/>
          <w:sz w:val="30"/>
          <w:szCs w:val="30"/>
          <w:highlight w:val="none"/>
        </w:rPr>
        <w:t>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大于0，则财资07在建工程情况表浮动行4栏工程建设情况为“已投入使用”的已投入使用未转固房屋类在建工程建筑面积合计数</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11栏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应大于等于已投入使用的在建工程未转固房屋小计</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12栏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，否则，需结合实际情况修改或填写情况说明。</w:t>
      </w:r>
    </w:p>
    <w:p w14:paraId="0D7E8881">
      <w:pPr>
        <w:pStyle w:val="2"/>
        <w:rPr>
          <w:rFonts w:hint="eastAsia"/>
          <w:b/>
          <w:color w:val="auto"/>
          <w:highlight w:val="none"/>
        </w:rPr>
      </w:pPr>
      <w:r>
        <w:rPr>
          <w:rFonts w:hint="eastAsia"/>
          <w:color w:val="auto"/>
          <w:highlight w:val="none"/>
        </w:rPr>
        <w:t>（七）车辆情况表（财资0</w:t>
      </w:r>
      <w:r>
        <w:rPr>
          <w:color w:val="auto"/>
          <w:highlight w:val="none"/>
        </w:rPr>
        <w:t>6</w:t>
      </w:r>
      <w:r>
        <w:rPr>
          <w:rFonts w:hint="eastAsia"/>
          <w:color w:val="auto"/>
          <w:highlight w:val="none"/>
        </w:rPr>
        <w:t>表）</w:t>
      </w:r>
    </w:p>
    <w:p w14:paraId="09C653C0">
      <w:pPr>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本表反映行政事业单位年末占有使用的机动车辆（不含</w:t>
      </w:r>
      <w:r>
        <w:rPr>
          <w:rFonts w:ascii="仿宋_GB2312" w:hAnsi="仿宋" w:eastAsia="仿宋_GB2312"/>
          <w:sz w:val="30"/>
          <w:szCs w:val="30"/>
          <w:highlight w:val="none"/>
        </w:rPr>
        <w:t>摩托车</w:t>
      </w:r>
      <w:r>
        <w:rPr>
          <w:rFonts w:hint="eastAsia" w:ascii="仿宋_GB2312" w:hAnsi="仿宋" w:eastAsia="仿宋_GB2312"/>
          <w:sz w:val="30"/>
          <w:szCs w:val="30"/>
          <w:highlight w:val="none"/>
        </w:rPr>
        <w:t>、电动自行车、轮椅车以及其他非机动车辆等）的明细情况，其中账面数取自资产模块相关车辆数据。</w:t>
      </w:r>
    </w:p>
    <w:p w14:paraId="1D62C30F">
      <w:pPr>
        <w:spacing w:line="360" w:lineRule="auto"/>
        <w:ind w:firstLine="602" w:firstLineChars="200"/>
        <w:rPr>
          <w:rFonts w:hint="eastAsia" w:ascii="仿宋_GB2312" w:hAnsi="仿宋" w:eastAsia="仿宋_GB2312"/>
          <w:b/>
          <w:sz w:val="30"/>
          <w:szCs w:val="30"/>
          <w:highlight w:val="none"/>
        </w:rPr>
      </w:pPr>
      <w:r>
        <w:rPr>
          <w:rFonts w:hint="eastAsia" w:ascii="仿宋_GB2312" w:hAnsi="仿宋" w:eastAsia="仿宋_GB2312"/>
          <w:b/>
          <w:sz w:val="30"/>
          <w:szCs w:val="30"/>
          <w:highlight w:val="none"/>
        </w:rPr>
        <w:t>主要</w:t>
      </w:r>
      <w:r>
        <w:rPr>
          <w:rFonts w:ascii="仿宋_GB2312" w:hAnsi="仿宋" w:eastAsia="仿宋_GB2312"/>
          <w:b/>
          <w:sz w:val="30"/>
          <w:szCs w:val="30"/>
          <w:highlight w:val="none"/>
        </w:rPr>
        <w:t>指标说明：</w:t>
      </w:r>
    </w:p>
    <w:p w14:paraId="37D0A820">
      <w:pPr>
        <w:snapToGrid w:val="0"/>
        <w:spacing w:line="360" w:lineRule="auto"/>
        <w:ind w:firstLine="600" w:firstLineChars="200"/>
        <w:rPr>
          <w:highlight w:val="none"/>
        </w:rPr>
      </w:pPr>
      <w:r>
        <w:rPr>
          <w:rFonts w:hint="eastAsia" w:ascii="仿宋_GB2312" w:hAnsi="仿宋" w:eastAsia="仿宋_GB2312"/>
          <w:sz w:val="30"/>
          <w:szCs w:val="30"/>
          <w:highlight w:val="none"/>
        </w:rPr>
        <w:t>1</w:t>
      </w:r>
      <w:r>
        <w:rPr>
          <w:rFonts w:ascii="仿宋_GB2312" w:hAnsi="仿宋" w:eastAsia="仿宋_GB2312"/>
          <w:sz w:val="30"/>
          <w:szCs w:val="30"/>
          <w:highlight w:val="none"/>
        </w:rPr>
        <w:t>.</w:t>
      </w:r>
      <w:r>
        <w:rPr>
          <w:rFonts w:hint="eastAsia"/>
          <w:highlight w:val="none"/>
        </w:rPr>
        <w:t xml:space="preserve"> </w:t>
      </w:r>
      <w:r>
        <w:rPr>
          <w:rFonts w:hint="eastAsia" w:ascii="仿宋_GB2312" w:hAnsi="仿宋" w:eastAsia="仿宋_GB2312"/>
          <w:sz w:val="30"/>
          <w:szCs w:val="30"/>
          <w:highlight w:val="none"/>
        </w:rPr>
        <w:t>编制情况：根据车改情况填列“在编”、“不在编”、“未核定车编”。事业单位车改保留车辆选择“在编”，尚未完成公车改革单位选择“未核定车编”。</w:t>
      </w:r>
    </w:p>
    <w:p w14:paraId="7C61D3AD">
      <w:pPr>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2</w:t>
      </w:r>
      <w:r>
        <w:rPr>
          <w:rFonts w:ascii="仿宋_GB2312" w:hAnsi="仿宋" w:eastAsia="仿宋_GB2312"/>
          <w:sz w:val="30"/>
          <w:szCs w:val="30"/>
          <w:highlight w:val="none"/>
        </w:rPr>
        <w:t>.</w:t>
      </w:r>
      <w:r>
        <w:rPr>
          <w:rFonts w:hint="eastAsia" w:ascii="仿宋_GB2312" w:hAnsi="仿宋" w:eastAsia="仿宋_GB2312"/>
          <w:sz w:val="30"/>
          <w:szCs w:val="30"/>
          <w:highlight w:val="none"/>
        </w:rPr>
        <w:t>排气量</w:t>
      </w:r>
      <w:r>
        <w:rPr>
          <w:rFonts w:hint="eastAsia" w:ascii="仿宋_GB2312" w:hAnsi="仿宋" w:eastAsia="仿宋_GB2312"/>
          <w:sz w:val="30"/>
          <w:szCs w:val="30"/>
          <w:highlight w:val="yellow"/>
        </w:rPr>
        <w:t>：按“</w:t>
      </w:r>
      <w:r>
        <w:rPr>
          <w:rFonts w:ascii="仿宋_GB2312" w:hAnsi="仿宋" w:eastAsia="仿宋_GB2312"/>
          <w:sz w:val="30"/>
          <w:szCs w:val="30"/>
          <w:highlight w:val="yellow"/>
        </w:rPr>
        <w:t>1.6（含）升以下”、“1.6-1.8（含）升”、“2.0（含）-2.5升”、“2.5（含）升以上”、“</w:t>
      </w:r>
      <w:r>
        <w:rPr>
          <w:rFonts w:hint="eastAsia" w:ascii="仿宋_GB2312" w:hAnsi="仿宋" w:eastAsia="仿宋_GB2312"/>
          <w:sz w:val="30"/>
          <w:szCs w:val="30"/>
          <w:highlight w:val="yellow"/>
        </w:rPr>
        <w:t>新能源</w:t>
      </w:r>
      <w:r>
        <w:rPr>
          <w:rFonts w:ascii="仿宋_GB2312" w:hAnsi="仿宋" w:eastAsia="仿宋_GB2312"/>
          <w:sz w:val="30"/>
          <w:szCs w:val="30"/>
          <w:highlight w:val="yellow"/>
        </w:rPr>
        <w:t>”</w:t>
      </w:r>
      <w:r>
        <w:rPr>
          <w:rFonts w:hint="eastAsia" w:ascii="仿宋_GB2312" w:hAnsi="仿宋" w:eastAsia="仿宋_GB2312"/>
          <w:sz w:val="30"/>
          <w:szCs w:val="30"/>
          <w:highlight w:val="yellow"/>
        </w:rPr>
        <w:t>、</w:t>
      </w:r>
      <w:r>
        <w:rPr>
          <w:rFonts w:ascii="仿宋_GB2312" w:hAnsi="仿宋" w:eastAsia="仿宋_GB2312"/>
          <w:sz w:val="30"/>
          <w:szCs w:val="30"/>
          <w:highlight w:val="yellow"/>
        </w:rPr>
        <w:t>“</w:t>
      </w:r>
      <w:r>
        <w:rPr>
          <w:rFonts w:hint="eastAsia" w:ascii="仿宋_GB2312" w:hAnsi="仿宋" w:eastAsia="仿宋_GB2312"/>
          <w:sz w:val="30"/>
          <w:szCs w:val="30"/>
          <w:highlight w:val="yellow"/>
        </w:rPr>
        <w:t>柴油车</w:t>
      </w:r>
      <w:r>
        <w:rPr>
          <w:rFonts w:ascii="仿宋_GB2312" w:hAnsi="仿宋" w:eastAsia="仿宋_GB2312"/>
          <w:sz w:val="30"/>
          <w:szCs w:val="30"/>
          <w:highlight w:val="yellow"/>
        </w:rPr>
        <w:t>”</w:t>
      </w:r>
      <w:r>
        <w:rPr>
          <w:rFonts w:hint="eastAsia" w:ascii="仿宋_GB2312" w:hAnsi="仿宋" w:eastAsia="仿宋_GB2312"/>
          <w:sz w:val="30"/>
          <w:szCs w:val="30"/>
          <w:highlight w:val="none"/>
        </w:rPr>
        <w:t>选择</w:t>
      </w:r>
      <w:r>
        <w:rPr>
          <w:rFonts w:ascii="仿宋_GB2312" w:hAnsi="仿宋" w:eastAsia="仿宋_GB2312"/>
          <w:sz w:val="30"/>
          <w:szCs w:val="30"/>
          <w:highlight w:val="none"/>
        </w:rPr>
        <w:t>填列</w:t>
      </w:r>
      <w:r>
        <w:rPr>
          <w:rFonts w:hint="eastAsia" w:ascii="仿宋_GB2312" w:hAnsi="仿宋" w:eastAsia="仿宋_GB2312"/>
          <w:sz w:val="30"/>
          <w:szCs w:val="30"/>
          <w:highlight w:val="none"/>
        </w:rPr>
        <w:t>。</w:t>
      </w:r>
    </w:p>
    <w:p w14:paraId="253477E6">
      <w:pPr>
        <w:spacing w:line="360" w:lineRule="auto"/>
        <w:ind w:firstLine="576" w:firstLineChars="192"/>
        <w:rPr>
          <w:rFonts w:hint="eastAsia" w:ascii="仿宋_GB2312" w:hAnsi="仿宋" w:eastAsia="仿宋_GB2312"/>
          <w:sz w:val="30"/>
          <w:szCs w:val="30"/>
          <w:highlight w:val="none"/>
        </w:rPr>
      </w:pPr>
      <w:r>
        <w:rPr>
          <w:rFonts w:hint="eastAsia" w:ascii="仿宋_GB2312" w:hAnsi="仿宋" w:eastAsia="仿宋_GB2312"/>
          <w:sz w:val="30"/>
          <w:szCs w:val="30"/>
          <w:highlight w:val="none"/>
        </w:rPr>
        <w:t>3</w:t>
      </w:r>
      <w:r>
        <w:rPr>
          <w:rFonts w:ascii="仿宋_GB2312" w:hAnsi="仿宋" w:eastAsia="仿宋_GB2312"/>
          <w:sz w:val="30"/>
          <w:szCs w:val="30"/>
          <w:highlight w:val="none"/>
        </w:rPr>
        <w:t>.</w:t>
      </w:r>
      <w:r>
        <w:rPr>
          <w:rFonts w:hint="eastAsia" w:ascii="仿宋_GB2312" w:hAnsi="仿宋" w:eastAsia="仿宋_GB2312"/>
          <w:sz w:val="30"/>
          <w:szCs w:val="30"/>
          <w:highlight w:val="none"/>
        </w:rPr>
        <w:t>车辆行驶证：根据卡片机动车辆行驶证取得情况填列“有”或“无”，</w:t>
      </w:r>
      <w:r>
        <w:rPr>
          <w:rFonts w:hint="eastAsia" w:ascii="仿宋_GB2312" w:eastAsia="仿宋_GB2312"/>
          <w:sz w:val="30"/>
          <w:szCs w:val="30"/>
          <w:highlight w:val="none"/>
        </w:rPr>
        <w:t>该指标取自资产模块中的资产卡片的“</w:t>
      </w:r>
      <w:r>
        <w:rPr>
          <w:rFonts w:hint="eastAsia" w:ascii="仿宋_GB2312" w:hAnsi="仿宋" w:eastAsia="仿宋_GB2312"/>
          <w:sz w:val="30"/>
          <w:szCs w:val="30"/>
          <w:highlight w:val="none"/>
        </w:rPr>
        <w:t>车辆行驶证</w:t>
      </w:r>
      <w:r>
        <w:rPr>
          <w:rFonts w:hint="eastAsia" w:ascii="仿宋_GB2312" w:eastAsia="仿宋_GB2312"/>
          <w:sz w:val="30"/>
          <w:szCs w:val="30"/>
          <w:highlight w:val="none"/>
        </w:rPr>
        <w:t>”数据</w:t>
      </w:r>
      <w:r>
        <w:rPr>
          <w:rFonts w:hint="eastAsia" w:ascii="仿宋_GB2312" w:hAnsi="仿宋" w:eastAsia="仿宋_GB2312"/>
          <w:sz w:val="30"/>
          <w:szCs w:val="30"/>
          <w:highlight w:val="none"/>
        </w:rPr>
        <w:t>。</w:t>
      </w:r>
    </w:p>
    <w:p w14:paraId="388C4DD3">
      <w:pPr>
        <w:spacing w:line="360" w:lineRule="auto"/>
        <w:ind w:firstLine="576" w:firstLineChars="192"/>
        <w:rPr>
          <w:rFonts w:hint="eastAsia" w:ascii="仿宋_GB2312" w:hAnsi="仿宋" w:eastAsia="仿宋_GB2312"/>
          <w:sz w:val="30"/>
          <w:szCs w:val="30"/>
          <w:highlight w:val="none"/>
        </w:rPr>
      </w:pPr>
      <w:r>
        <w:rPr>
          <w:rFonts w:hint="eastAsia" w:ascii="仿宋_GB2312" w:hAnsi="仿宋" w:eastAsia="仿宋_GB2312"/>
          <w:sz w:val="30"/>
          <w:szCs w:val="30"/>
          <w:highlight w:val="none"/>
        </w:rPr>
        <w:t>4</w:t>
      </w:r>
      <w:r>
        <w:rPr>
          <w:rFonts w:ascii="仿宋_GB2312" w:hAnsi="仿宋" w:eastAsia="仿宋_GB2312"/>
          <w:sz w:val="30"/>
          <w:szCs w:val="30"/>
          <w:highlight w:val="none"/>
        </w:rPr>
        <w:t>.</w:t>
      </w:r>
      <w:r>
        <w:rPr>
          <w:rFonts w:hint="eastAsia" w:ascii="仿宋_GB2312" w:hAnsi="仿宋" w:eastAsia="仿宋_GB2312"/>
          <w:sz w:val="30"/>
          <w:szCs w:val="30"/>
          <w:highlight w:val="none"/>
        </w:rPr>
        <w:t>持证人：根据卡片机动车辆行驶证上的所有人自动提取“本单位”或“非本单位”；若选择“非本单位”则需在“备注”栏中填写实际持证人名称。</w:t>
      </w:r>
    </w:p>
    <w:p w14:paraId="0EEF9EC1">
      <w:pPr>
        <w:spacing w:line="360" w:lineRule="auto"/>
        <w:ind w:firstLine="576" w:firstLineChars="192"/>
        <w:rPr>
          <w:rFonts w:hint="eastAsia" w:ascii="仿宋_GB2312" w:hAnsi="仿宋" w:eastAsia="仿宋_GB2312"/>
          <w:sz w:val="30"/>
          <w:szCs w:val="30"/>
          <w:highlight w:val="none"/>
        </w:rPr>
      </w:pPr>
      <w:r>
        <w:rPr>
          <w:rFonts w:hint="eastAsia" w:ascii="仿宋_GB2312" w:hAnsi="仿宋" w:eastAsia="仿宋_GB2312"/>
          <w:sz w:val="30"/>
          <w:szCs w:val="30"/>
          <w:highlight w:val="none"/>
        </w:rPr>
        <w:t>5</w:t>
      </w:r>
      <w:r>
        <w:rPr>
          <w:rFonts w:ascii="仿宋_GB2312" w:hAnsi="仿宋" w:eastAsia="仿宋_GB2312"/>
          <w:sz w:val="30"/>
          <w:szCs w:val="30"/>
          <w:highlight w:val="none"/>
        </w:rPr>
        <w:t>.</w:t>
      </w:r>
      <w:r>
        <w:rPr>
          <w:rFonts w:hint="eastAsia" w:ascii="仿宋_GB2312" w:hAnsi="仿宋" w:eastAsia="仿宋_GB2312"/>
          <w:sz w:val="30"/>
          <w:szCs w:val="30"/>
          <w:highlight w:val="none"/>
        </w:rPr>
        <w:t>注册日期：</w:t>
      </w:r>
      <w:r>
        <w:rPr>
          <w:rFonts w:ascii="仿宋_GB2312" w:hAnsi="仿宋" w:eastAsia="仿宋_GB2312"/>
          <w:sz w:val="30"/>
          <w:szCs w:val="30"/>
          <w:highlight w:val="none"/>
        </w:rPr>
        <w:t>机动车辆</w:t>
      </w:r>
      <w:r>
        <w:rPr>
          <w:rFonts w:hint="eastAsia" w:ascii="仿宋_GB2312" w:hAnsi="仿宋" w:eastAsia="仿宋_GB2312"/>
          <w:sz w:val="30"/>
          <w:szCs w:val="30"/>
          <w:highlight w:val="none"/>
        </w:rPr>
        <w:t>行驶</w:t>
      </w:r>
      <w:r>
        <w:rPr>
          <w:rFonts w:ascii="仿宋_GB2312" w:hAnsi="仿宋" w:eastAsia="仿宋_GB2312"/>
          <w:sz w:val="30"/>
          <w:szCs w:val="30"/>
          <w:highlight w:val="none"/>
        </w:rPr>
        <w:t>证上</w:t>
      </w:r>
      <w:r>
        <w:rPr>
          <w:rFonts w:hint="eastAsia" w:ascii="仿宋_GB2312" w:hAnsi="仿宋" w:eastAsia="仿宋_GB2312"/>
          <w:sz w:val="30"/>
          <w:szCs w:val="30"/>
          <w:highlight w:val="none"/>
        </w:rPr>
        <w:t>的</w:t>
      </w:r>
      <w:r>
        <w:rPr>
          <w:rFonts w:ascii="仿宋_GB2312" w:hAnsi="仿宋" w:eastAsia="仿宋_GB2312"/>
          <w:sz w:val="30"/>
          <w:szCs w:val="30"/>
          <w:highlight w:val="none"/>
        </w:rPr>
        <w:t>登记日期</w:t>
      </w:r>
      <w:r>
        <w:rPr>
          <w:rFonts w:hint="eastAsia" w:ascii="仿宋_GB2312" w:hAnsi="仿宋" w:eastAsia="仿宋_GB2312"/>
          <w:sz w:val="30"/>
          <w:szCs w:val="30"/>
          <w:highlight w:val="none"/>
        </w:rPr>
        <w:t>。</w:t>
      </w:r>
      <w:r>
        <w:rPr>
          <w:rFonts w:hint="eastAsia" w:ascii="仿宋_GB2312" w:eastAsia="仿宋_GB2312"/>
          <w:sz w:val="30"/>
          <w:szCs w:val="30"/>
          <w:highlight w:val="none"/>
        </w:rPr>
        <w:t>该指标取自资产模块中的资产卡片的“</w:t>
      </w:r>
      <w:r>
        <w:rPr>
          <w:rFonts w:hint="eastAsia" w:ascii="仿宋_GB2312" w:hAnsi="仿宋" w:eastAsia="仿宋_GB2312"/>
          <w:sz w:val="30"/>
          <w:szCs w:val="30"/>
          <w:highlight w:val="none"/>
        </w:rPr>
        <w:t>注册登记日期</w:t>
      </w:r>
      <w:r>
        <w:rPr>
          <w:rFonts w:hint="eastAsia" w:ascii="仿宋_GB2312" w:eastAsia="仿宋_GB2312"/>
          <w:sz w:val="30"/>
          <w:szCs w:val="30"/>
          <w:highlight w:val="none"/>
        </w:rPr>
        <w:t>”数据</w:t>
      </w:r>
      <w:r>
        <w:rPr>
          <w:rFonts w:hint="eastAsia" w:ascii="仿宋_GB2312" w:hAnsi="仿宋" w:eastAsia="仿宋_GB2312"/>
          <w:sz w:val="30"/>
          <w:szCs w:val="30"/>
          <w:highlight w:val="none"/>
        </w:rPr>
        <w:t>。</w:t>
      </w:r>
    </w:p>
    <w:p w14:paraId="5C8D9132">
      <w:pPr>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6</w:t>
      </w:r>
      <w:r>
        <w:rPr>
          <w:rFonts w:ascii="仿宋_GB2312" w:hAnsi="仿宋" w:eastAsia="仿宋_GB2312"/>
          <w:sz w:val="30"/>
          <w:szCs w:val="30"/>
          <w:highlight w:val="none"/>
        </w:rPr>
        <w:t>.</w:t>
      </w:r>
      <w:r>
        <w:rPr>
          <w:rFonts w:hint="eastAsia" w:ascii="仿宋_GB2312" w:hAnsi="仿宋" w:eastAsia="仿宋_GB2312"/>
          <w:sz w:val="30"/>
          <w:szCs w:val="30"/>
          <w:highlight w:val="none"/>
        </w:rPr>
        <w:t>车牌类型：根据车牌颜色填写，分为蓝牌、绿牌、黄牌、白牌、黑牌、无。</w:t>
      </w:r>
    </w:p>
    <w:p w14:paraId="09B1BB46">
      <w:pPr>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7</w:t>
      </w:r>
      <w:r>
        <w:rPr>
          <w:rFonts w:ascii="仿宋_GB2312" w:hAnsi="仿宋" w:eastAsia="仿宋_GB2312"/>
          <w:sz w:val="30"/>
          <w:szCs w:val="30"/>
          <w:highlight w:val="none"/>
        </w:rPr>
        <w:t>.</w:t>
      </w:r>
      <w:r>
        <w:rPr>
          <w:rFonts w:hint="eastAsia" w:ascii="仿宋_GB2312" w:hAnsi="仿宋" w:eastAsia="仿宋_GB2312"/>
          <w:sz w:val="30"/>
          <w:szCs w:val="30"/>
          <w:highlight w:val="none"/>
        </w:rPr>
        <w:t>车牌号：</w:t>
      </w:r>
      <w:r>
        <w:rPr>
          <w:rFonts w:ascii="仿宋_GB2312" w:hAnsi="仿宋" w:eastAsia="仿宋_GB2312"/>
          <w:sz w:val="30"/>
          <w:szCs w:val="30"/>
          <w:highlight w:val="none"/>
        </w:rPr>
        <w:t>机动车辆</w:t>
      </w:r>
      <w:r>
        <w:rPr>
          <w:rFonts w:hint="eastAsia" w:ascii="仿宋_GB2312" w:hAnsi="仿宋" w:eastAsia="仿宋_GB2312"/>
          <w:sz w:val="30"/>
          <w:szCs w:val="30"/>
          <w:highlight w:val="none"/>
        </w:rPr>
        <w:t>行驶</w:t>
      </w:r>
      <w:r>
        <w:rPr>
          <w:rFonts w:ascii="仿宋_GB2312" w:hAnsi="仿宋" w:eastAsia="仿宋_GB2312"/>
          <w:sz w:val="30"/>
          <w:szCs w:val="30"/>
          <w:highlight w:val="none"/>
        </w:rPr>
        <w:t>证上</w:t>
      </w:r>
      <w:r>
        <w:rPr>
          <w:rFonts w:hint="eastAsia" w:ascii="仿宋_GB2312" w:hAnsi="仿宋" w:eastAsia="仿宋_GB2312"/>
          <w:sz w:val="30"/>
          <w:szCs w:val="30"/>
          <w:highlight w:val="none"/>
        </w:rPr>
        <w:t>的车牌号码。</w:t>
      </w:r>
      <w:r>
        <w:rPr>
          <w:rFonts w:hint="eastAsia" w:ascii="仿宋_GB2312" w:eastAsia="仿宋_GB2312"/>
          <w:sz w:val="30"/>
          <w:szCs w:val="30"/>
          <w:highlight w:val="none"/>
        </w:rPr>
        <w:t>该指标取自资产模块中的资产卡片的“</w:t>
      </w:r>
      <w:r>
        <w:rPr>
          <w:rFonts w:hint="eastAsia" w:ascii="仿宋_GB2312" w:hAnsi="仿宋" w:eastAsia="仿宋_GB2312"/>
          <w:sz w:val="30"/>
          <w:szCs w:val="30"/>
          <w:highlight w:val="none"/>
        </w:rPr>
        <w:t>车牌号</w:t>
      </w:r>
      <w:r>
        <w:rPr>
          <w:rFonts w:hint="eastAsia" w:ascii="仿宋_GB2312" w:eastAsia="仿宋_GB2312"/>
          <w:sz w:val="30"/>
          <w:szCs w:val="30"/>
          <w:highlight w:val="none"/>
        </w:rPr>
        <w:t>”数据</w:t>
      </w:r>
      <w:r>
        <w:rPr>
          <w:rFonts w:hint="eastAsia" w:ascii="仿宋_GB2312" w:hAnsi="仿宋" w:eastAsia="仿宋_GB2312"/>
          <w:sz w:val="30"/>
          <w:szCs w:val="30"/>
          <w:highlight w:val="none"/>
        </w:rPr>
        <w:t>。</w:t>
      </w:r>
    </w:p>
    <w:p w14:paraId="2C472547">
      <w:pPr>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8</w:t>
      </w:r>
      <w:r>
        <w:rPr>
          <w:rFonts w:ascii="仿宋_GB2312" w:hAnsi="仿宋" w:eastAsia="仿宋_GB2312"/>
          <w:sz w:val="30"/>
          <w:szCs w:val="30"/>
          <w:highlight w:val="none"/>
        </w:rPr>
        <w:t>.</w:t>
      </w:r>
      <w:r>
        <w:rPr>
          <w:rFonts w:hint="eastAsia" w:ascii="仿宋_GB2312" w:hAnsi="仿宋" w:eastAsia="仿宋_GB2312"/>
          <w:sz w:val="30"/>
          <w:szCs w:val="30"/>
          <w:highlight w:val="none"/>
        </w:rPr>
        <w:t>使用状况：选择填列“在用”、“出租出借”、“闲置”或“</w:t>
      </w:r>
      <w:r>
        <w:rPr>
          <w:rFonts w:hint="eastAsia" w:ascii="仿宋_GB2312" w:eastAsia="仿宋_GB2312"/>
          <w:sz w:val="30"/>
          <w:szCs w:val="30"/>
          <w:highlight w:val="none"/>
        </w:rPr>
        <w:t>待处置（待报废、毁损等）</w:t>
      </w:r>
      <w:r>
        <w:rPr>
          <w:rFonts w:hint="eastAsia" w:ascii="仿宋_GB2312" w:hAnsi="仿宋" w:eastAsia="仿宋_GB2312"/>
          <w:sz w:val="30"/>
          <w:szCs w:val="30"/>
          <w:highlight w:val="none"/>
        </w:rPr>
        <w:t>”</w:t>
      </w:r>
      <w:r>
        <w:rPr>
          <w:rFonts w:ascii="仿宋_GB2312" w:hAnsi="仿宋" w:eastAsia="仿宋_GB2312"/>
          <w:sz w:val="30"/>
          <w:szCs w:val="30"/>
          <w:highlight w:val="none"/>
        </w:rPr>
        <w:t>，</w:t>
      </w:r>
      <w:r>
        <w:rPr>
          <w:rFonts w:hint="eastAsia" w:ascii="仿宋_GB2312" w:hAnsi="仿宋" w:eastAsia="仿宋_GB2312"/>
          <w:sz w:val="30"/>
          <w:szCs w:val="30"/>
          <w:highlight w:val="none"/>
        </w:rPr>
        <w:t>单位</w:t>
      </w:r>
      <w:r>
        <w:rPr>
          <w:rFonts w:ascii="仿宋_GB2312" w:hAnsi="仿宋" w:eastAsia="仿宋_GB2312"/>
          <w:sz w:val="30"/>
          <w:szCs w:val="30"/>
          <w:highlight w:val="none"/>
        </w:rPr>
        <w:t>应</w:t>
      </w:r>
      <w:r>
        <w:rPr>
          <w:rFonts w:hint="eastAsia" w:ascii="仿宋_GB2312" w:hAnsi="仿宋" w:eastAsia="仿宋_GB2312"/>
          <w:sz w:val="30"/>
          <w:szCs w:val="30"/>
          <w:highlight w:val="none"/>
        </w:rPr>
        <w:t>按照年末实际使用状况选择</w:t>
      </w:r>
      <w:r>
        <w:rPr>
          <w:rFonts w:ascii="仿宋_GB2312" w:hAnsi="仿宋" w:eastAsia="仿宋_GB2312"/>
          <w:sz w:val="30"/>
          <w:szCs w:val="30"/>
          <w:highlight w:val="none"/>
        </w:rPr>
        <w:t>填列</w:t>
      </w:r>
      <w:r>
        <w:rPr>
          <w:rFonts w:hint="eastAsia" w:ascii="仿宋_GB2312" w:hAnsi="仿宋" w:eastAsia="仿宋_GB2312"/>
          <w:sz w:val="30"/>
          <w:szCs w:val="30"/>
          <w:highlight w:val="none"/>
        </w:rPr>
        <w:t>。针对公车改革情况为取消待处置的车辆，使用状况选择“</w:t>
      </w:r>
      <w:r>
        <w:rPr>
          <w:rFonts w:hint="eastAsia" w:ascii="仿宋_GB2312" w:eastAsia="仿宋_GB2312"/>
          <w:sz w:val="30"/>
          <w:szCs w:val="30"/>
          <w:highlight w:val="none"/>
        </w:rPr>
        <w:t>待处置（待报废、毁损等）</w:t>
      </w:r>
      <w:r>
        <w:rPr>
          <w:rFonts w:hint="eastAsia" w:ascii="仿宋_GB2312" w:hAnsi="仿宋" w:eastAsia="仿宋_GB2312"/>
          <w:sz w:val="30"/>
          <w:szCs w:val="30"/>
          <w:highlight w:val="none"/>
        </w:rPr>
        <w:t>”。</w:t>
      </w:r>
    </w:p>
    <w:p w14:paraId="2260FA97">
      <w:pPr>
        <w:snapToGrid w:val="0"/>
        <w:spacing w:line="360" w:lineRule="auto"/>
        <w:ind w:firstLine="600" w:firstLineChars="200"/>
        <w:rPr>
          <w:rFonts w:hint="eastAsia" w:ascii="仿宋_GB2312" w:hAnsi="仿宋" w:eastAsia="仿宋_GB2312"/>
          <w:sz w:val="30"/>
          <w:szCs w:val="30"/>
          <w:highlight w:val="none"/>
          <w:lang w:val="en-US" w:eastAsia="zh-CN"/>
        </w:rPr>
      </w:pPr>
      <w:r>
        <w:rPr>
          <w:rFonts w:hint="eastAsia" w:ascii="仿宋_GB2312" w:hAnsi="仿宋" w:eastAsia="仿宋_GB2312"/>
          <w:sz w:val="30"/>
          <w:szCs w:val="30"/>
          <w:highlight w:val="none"/>
          <w:lang w:val="en-US" w:eastAsia="zh-CN"/>
        </w:rPr>
        <w:t>9.闲置开始时间：非房屋类：当前资产状态为闲置的资产，其最近一次业务变动的时间。房屋类：当前闲置面积不为0，且业务变动中闲置面积持续大于当前闲置面积的最早时间。</w:t>
      </w:r>
    </w:p>
    <w:p w14:paraId="1408110B">
      <w:pPr>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lang w:val="en-US" w:eastAsia="zh-CN"/>
        </w:rPr>
        <w:t>10</w:t>
      </w:r>
      <w:r>
        <w:rPr>
          <w:rFonts w:ascii="仿宋_GB2312" w:hAnsi="仿宋" w:eastAsia="仿宋_GB2312"/>
          <w:sz w:val="30"/>
          <w:szCs w:val="30"/>
          <w:highlight w:val="none"/>
        </w:rPr>
        <w:t>.</w:t>
      </w:r>
      <w:r>
        <w:rPr>
          <w:rFonts w:hint="eastAsia" w:ascii="仿宋_GB2312" w:hAnsi="仿宋" w:eastAsia="仿宋_GB2312"/>
          <w:sz w:val="30"/>
          <w:szCs w:val="30"/>
          <w:highlight w:val="none"/>
        </w:rPr>
        <w:t>车辆用途：单位应按照年末实际车辆用途选择填列。车改方案未批复的，按实际车辆用途对照最新车辆用途分类填写，无对应分类的填写到“其他用车”，如中管干部用车、事业单位业务用车等。</w:t>
      </w:r>
    </w:p>
    <w:p w14:paraId="4EFD26A9">
      <w:pPr>
        <w:snapToGrid w:val="0"/>
        <w:spacing w:before="120" w:beforeLines="50" w:line="360" w:lineRule="auto"/>
        <w:ind w:firstLine="600" w:firstLineChars="200"/>
        <w:rPr>
          <w:rFonts w:hint="eastAsia" w:ascii="仿宋_GB2312" w:hAnsi="仿宋" w:eastAsia="仿宋_GB2312"/>
          <w:sz w:val="30"/>
          <w:szCs w:val="30"/>
          <w:highlight w:val="none"/>
        </w:rPr>
      </w:pPr>
      <w:r>
        <w:rPr>
          <w:rFonts w:ascii="仿宋_GB2312" w:hAnsi="仿宋" w:eastAsia="仿宋_GB2312"/>
          <w:sz w:val="30"/>
          <w:szCs w:val="30"/>
          <w:highlight w:val="none"/>
        </w:rPr>
        <w:t>1</w:t>
      </w:r>
      <w:r>
        <w:rPr>
          <w:rFonts w:hint="eastAsia" w:ascii="仿宋_GB2312" w:hAnsi="仿宋" w:eastAsia="仿宋_GB2312"/>
          <w:sz w:val="30"/>
          <w:szCs w:val="30"/>
          <w:highlight w:val="none"/>
          <w:lang w:val="en-US" w:eastAsia="zh-CN"/>
        </w:rPr>
        <w:t>1</w:t>
      </w:r>
      <w:r>
        <w:rPr>
          <w:rFonts w:ascii="仿宋_GB2312" w:hAnsi="仿宋" w:eastAsia="仿宋_GB2312"/>
          <w:sz w:val="30"/>
          <w:szCs w:val="30"/>
          <w:highlight w:val="none"/>
        </w:rPr>
        <w:t>.</w:t>
      </w:r>
      <w:r>
        <w:rPr>
          <w:rFonts w:hint="eastAsia" w:ascii="仿宋_GB2312" w:hAnsi="仿宋" w:eastAsia="仿宋_GB2312"/>
          <w:sz w:val="30"/>
          <w:szCs w:val="30"/>
          <w:highlight w:val="none"/>
        </w:rPr>
        <w:t>执法执勤用车是否喷涂标识：执法执勤用车是否按规定喷涂标识，如未喷涂，需说明原因。</w:t>
      </w:r>
    </w:p>
    <w:p w14:paraId="70744E4E">
      <w:pPr>
        <w:snapToGrid w:val="0"/>
        <w:spacing w:line="360" w:lineRule="auto"/>
        <w:ind w:firstLine="600" w:firstLineChars="200"/>
        <w:rPr>
          <w:rFonts w:hint="eastAsia" w:ascii="仿宋_GB2312" w:hAnsi="仿宋" w:eastAsia="仿宋_GB2312"/>
          <w:sz w:val="30"/>
          <w:szCs w:val="30"/>
          <w:highlight w:val="none"/>
        </w:rPr>
      </w:pPr>
      <w:r>
        <w:rPr>
          <w:rFonts w:ascii="仿宋_GB2312" w:hAnsi="仿宋" w:eastAsia="仿宋_GB2312"/>
          <w:sz w:val="30"/>
          <w:szCs w:val="30"/>
          <w:highlight w:val="none"/>
        </w:rPr>
        <w:t>1</w:t>
      </w:r>
      <w:r>
        <w:rPr>
          <w:rFonts w:hint="eastAsia" w:ascii="仿宋_GB2312" w:hAnsi="仿宋" w:eastAsia="仿宋_GB2312"/>
          <w:sz w:val="30"/>
          <w:szCs w:val="30"/>
          <w:highlight w:val="none"/>
          <w:lang w:val="en-US" w:eastAsia="zh-CN"/>
        </w:rPr>
        <w:t>2</w:t>
      </w:r>
      <w:r>
        <w:rPr>
          <w:rFonts w:ascii="仿宋_GB2312" w:hAnsi="仿宋" w:eastAsia="仿宋_GB2312"/>
          <w:sz w:val="30"/>
          <w:szCs w:val="30"/>
          <w:highlight w:val="none"/>
        </w:rPr>
        <w:t>.</w:t>
      </w:r>
      <w:r>
        <w:rPr>
          <w:rFonts w:hint="eastAsia" w:ascii="仿宋_GB2312" w:hAnsi="仿宋" w:eastAsia="仿宋_GB2312"/>
          <w:sz w:val="30"/>
          <w:szCs w:val="30"/>
          <w:highlight w:val="none"/>
        </w:rPr>
        <w:t>其他指标数据由资产模块从车辆卡片对应字段中自动提取。</w:t>
      </w:r>
    </w:p>
    <w:p w14:paraId="359D6D53">
      <w:pPr>
        <w:spacing w:line="360" w:lineRule="auto"/>
        <w:ind w:firstLine="578" w:firstLineChars="192"/>
        <w:rPr>
          <w:rFonts w:hint="eastAsia" w:ascii="仿宋_GB2312" w:hAnsi="仿宋" w:eastAsia="仿宋_GB2312"/>
          <w:b/>
          <w:sz w:val="30"/>
          <w:szCs w:val="30"/>
          <w:highlight w:val="none"/>
        </w:rPr>
      </w:pPr>
      <w:r>
        <w:rPr>
          <w:rFonts w:hint="eastAsia" w:ascii="仿宋_GB2312" w:hAnsi="仿宋" w:eastAsia="仿宋_GB2312"/>
          <w:b/>
          <w:sz w:val="30"/>
          <w:szCs w:val="30"/>
          <w:highlight w:val="none"/>
        </w:rPr>
        <w:t>逻辑性审核公式：</w:t>
      </w:r>
    </w:p>
    <w:p w14:paraId="0FDA56EE">
      <w:pPr>
        <w:spacing w:line="360" w:lineRule="auto"/>
        <w:ind w:firstLine="578" w:firstLineChars="192"/>
        <w:rPr>
          <w:rFonts w:hint="eastAsia" w:ascii="仿宋_GB2312" w:hAnsi="仿宋" w:eastAsia="仿宋_GB2312"/>
          <w:b/>
          <w:sz w:val="30"/>
          <w:szCs w:val="30"/>
          <w:highlight w:val="none"/>
        </w:rPr>
      </w:pPr>
      <w:r>
        <w:rPr>
          <w:rFonts w:hint="eastAsia" w:ascii="仿宋_GB2312" w:hAnsi="仿宋" w:eastAsia="仿宋_GB2312"/>
          <w:b/>
          <w:sz w:val="30"/>
          <w:szCs w:val="30"/>
          <w:highlight w:val="none"/>
        </w:rPr>
        <w:t>表内公式</w:t>
      </w:r>
      <w:r>
        <w:rPr>
          <w:rFonts w:ascii="仿宋_GB2312" w:hAnsi="仿宋" w:eastAsia="仿宋_GB2312"/>
          <w:b/>
          <w:sz w:val="30"/>
          <w:szCs w:val="30"/>
          <w:highlight w:val="none"/>
        </w:rPr>
        <w:t>：</w:t>
      </w:r>
    </w:p>
    <w:p w14:paraId="7B00364F">
      <w:pPr>
        <w:numPr>
          <w:ilvl w:val="0"/>
          <w:numId w:val="4"/>
        </w:numPr>
        <w:spacing w:line="360" w:lineRule="auto"/>
        <w:rPr>
          <w:rFonts w:ascii="仿宋_GB2312" w:eastAsia="仿宋_GB2312"/>
          <w:sz w:val="30"/>
          <w:szCs w:val="30"/>
          <w:highlight w:val="none"/>
        </w:rPr>
      </w:pPr>
      <w:r>
        <w:rPr>
          <w:rFonts w:hint="eastAsia" w:ascii="仿宋_GB2312" w:eastAsia="仿宋_GB2312"/>
          <w:sz w:val="30"/>
          <w:szCs w:val="30"/>
          <w:highlight w:val="none"/>
          <w:lang w:val="en-US" w:eastAsia="zh-CN"/>
        </w:rPr>
        <w:t>资产分类、资产编号、资产名称、编制情况、规格型号、排气量、取得方式、取得日期、车辆行驶证 、原值、累计折旧、净值、使用状况、车辆用途（</w:t>
      </w:r>
      <w:r>
        <w:rPr>
          <w:rFonts w:ascii="仿宋_GB2312" w:eastAsia="仿宋_GB2312"/>
          <w:sz w:val="30"/>
          <w:szCs w:val="30"/>
          <w:highlight w:val="none"/>
        </w:rPr>
        <w:t>1~</w:t>
      </w:r>
      <w:r>
        <w:rPr>
          <w:rFonts w:hint="eastAsia" w:ascii="仿宋_GB2312" w:eastAsia="仿宋_GB2312"/>
          <w:sz w:val="30"/>
          <w:szCs w:val="30"/>
          <w:highlight w:val="none"/>
          <w:lang w:val="en-US" w:eastAsia="zh-CN"/>
        </w:rPr>
        <w:t>9</w:t>
      </w:r>
      <w:r>
        <w:rPr>
          <w:rFonts w:hint="eastAsia" w:ascii="仿宋_GB2312" w:eastAsia="仿宋_GB2312"/>
          <w:sz w:val="30"/>
          <w:szCs w:val="30"/>
          <w:highlight w:val="none"/>
        </w:rPr>
        <w:t>、</w:t>
      </w:r>
      <w:r>
        <w:rPr>
          <w:rFonts w:ascii="仿宋_GB2312" w:eastAsia="仿宋_GB2312"/>
          <w:sz w:val="30"/>
          <w:szCs w:val="30"/>
          <w:highlight w:val="none"/>
        </w:rPr>
        <w:t>1</w:t>
      </w:r>
      <w:r>
        <w:rPr>
          <w:rFonts w:hint="eastAsia" w:ascii="仿宋_GB2312" w:eastAsia="仿宋_GB2312"/>
          <w:sz w:val="30"/>
          <w:szCs w:val="30"/>
          <w:highlight w:val="none"/>
          <w:lang w:val="en-US" w:eastAsia="zh-CN"/>
        </w:rPr>
        <w:t>4</w:t>
      </w:r>
      <w:r>
        <w:rPr>
          <w:rFonts w:ascii="仿宋_GB2312" w:eastAsia="仿宋_GB2312"/>
          <w:sz w:val="30"/>
          <w:szCs w:val="30"/>
          <w:highlight w:val="none"/>
        </w:rPr>
        <w:t>~1</w:t>
      </w:r>
      <w:r>
        <w:rPr>
          <w:rFonts w:hint="eastAsia" w:ascii="仿宋_GB2312" w:eastAsia="仿宋_GB2312"/>
          <w:sz w:val="30"/>
          <w:szCs w:val="30"/>
          <w:highlight w:val="none"/>
          <w:lang w:val="en-US" w:eastAsia="zh-CN"/>
        </w:rPr>
        <w:t>7、19栏）</w:t>
      </w:r>
      <w:r>
        <w:rPr>
          <w:rFonts w:hint="eastAsia" w:ascii="仿宋_GB2312" w:eastAsia="仿宋_GB2312"/>
          <w:sz w:val="30"/>
          <w:szCs w:val="30"/>
          <w:highlight w:val="none"/>
        </w:rPr>
        <w:t>不能为空；</w:t>
      </w:r>
    </w:p>
    <w:p w14:paraId="0CC4998F">
      <w:pPr>
        <w:numPr>
          <w:ilvl w:val="0"/>
          <w:numId w:val="4"/>
        </w:numPr>
        <w:spacing w:line="360" w:lineRule="auto"/>
        <w:rPr>
          <w:rFonts w:ascii="仿宋_GB2312" w:eastAsia="仿宋_GB2312"/>
          <w:sz w:val="30"/>
          <w:szCs w:val="30"/>
          <w:highlight w:val="none"/>
        </w:rPr>
      </w:pPr>
      <w:r>
        <w:rPr>
          <w:rFonts w:hint="eastAsia" w:ascii="仿宋_GB2312" w:hAnsi="仿宋" w:eastAsia="仿宋_GB2312"/>
          <w:sz w:val="30"/>
          <w:szCs w:val="30"/>
          <w:highlight w:val="none"/>
        </w:rPr>
        <w:t>当编制情况（</w:t>
      </w:r>
      <w:r>
        <w:rPr>
          <w:rFonts w:hint="eastAsia" w:ascii="仿宋_GB2312" w:hAnsi="仿宋" w:eastAsia="仿宋_GB2312"/>
          <w:sz w:val="30"/>
          <w:szCs w:val="30"/>
          <w:highlight w:val="none"/>
          <w:lang w:val="en-US" w:eastAsia="zh-CN"/>
        </w:rPr>
        <w:t>4</w:t>
      </w:r>
      <w:r>
        <w:rPr>
          <w:rFonts w:hint="eastAsia" w:ascii="仿宋_GB2312" w:hAnsi="仿宋" w:eastAsia="仿宋_GB2312"/>
          <w:sz w:val="30"/>
          <w:szCs w:val="30"/>
          <w:highlight w:val="none"/>
        </w:rPr>
        <w:t>栏）选择“不在编”时，备注（</w:t>
      </w:r>
      <w:r>
        <w:rPr>
          <w:rFonts w:ascii="仿宋_GB2312" w:hAnsi="仿宋" w:eastAsia="仿宋_GB2312"/>
          <w:sz w:val="30"/>
          <w:szCs w:val="30"/>
          <w:highlight w:val="none"/>
        </w:rPr>
        <w:t>2</w:t>
      </w:r>
      <w:r>
        <w:rPr>
          <w:rFonts w:hint="eastAsia" w:ascii="仿宋_GB2312" w:hAnsi="仿宋" w:eastAsia="仿宋_GB2312"/>
          <w:sz w:val="30"/>
          <w:szCs w:val="30"/>
          <w:highlight w:val="none"/>
          <w:lang w:val="en-US" w:eastAsia="zh-CN"/>
        </w:rPr>
        <w:t>1</w:t>
      </w:r>
      <w:r>
        <w:rPr>
          <w:rFonts w:hint="eastAsia" w:ascii="仿宋_GB2312" w:hAnsi="仿宋" w:eastAsia="仿宋_GB2312"/>
          <w:sz w:val="30"/>
          <w:szCs w:val="30"/>
          <w:highlight w:val="none"/>
        </w:rPr>
        <w:t>栏）必填；</w:t>
      </w:r>
    </w:p>
    <w:p w14:paraId="581DF3BF">
      <w:pPr>
        <w:numPr>
          <w:ilvl w:val="0"/>
          <w:numId w:val="4"/>
        </w:numPr>
        <w:spacing w:line="360" w:lineRule="auto"/>
        <w:rPr>
          <w:rFonts w:ascii="仿宋_GB2312" w:eastAsia="仿宋_GB2312"/>
          <w:sz w:val="30"/>
          <w:highlight w:val="none"/>
        </w:rPr>
      </w:pPr>
      <w:r>
        <w:rPr>
          <w:rFonts w:hint="eastAsia" w:ascii="仿宋_GB2312" w:hAnsi="仿宋" w:eastAsia="仿宋_GB2312"/>
          <w:sz w:val="30"/>
          <w:szCs w:val="30"/>
          <w:highlight w:val="none"/>
        </w:rPr>
        <w:t>当车辆行驶证（</w:t>
      </w:r>
      <w:r>
        <w:rPr>
          <w:rFonts w:hint="eastAsia" w:ascii="仿宋_GB2312" w:eastAsia="仿宋_GB2312"/>
          <w:sz w:val="30"/>
          <w:szCs w:val="30"/>
          <w:highlight w:val="none"/>
          <w:lang w:val="en-US" w:eastAsia="zh-CN"/>
        </w:rPr>
        <w:t>9</w:t>
      </w:r>
      <w:r>
        <w:rPr>
          <w:rFonts w:hint="eastAsia" w:ascii="仿宋_GB2312" w:eastAsia="仿宋_GB2312"/>
          <w:sz w:val="30"/>
          <w:highlight w:val="none"/>
        </w:rPr>
        <w:t>栏）为“有”时，持证人、注册日期、车牌类型、车牌号（</w:t>
      </w:r>
      <w:r>
        <w:rPr>
          <w:rFonts w:hint="eastAsia" w:ascii="仿宋_GB2312" w:eastAsia="仿宋_GB2312"/>
          <w:sz w:val="30"/>
          <w:szCs w:val="30"/>
          <w:highlight w:val="none"/>
        </w:rPr>
        <w:t>1</w:t>
      </w:r>
      <w:r>
        <w:rPr>
          <w:rFonts w:hint="eastAsia" w:ascii="仿宋_GB2312" w:eastAsia="仿宋_GB2312"/>
          <w:sz w:val="30"/>
          <w:szCs w:val="30"/>
          <w:highlight w:val="none"/>
          <w:lang w:val="en-US" w:eastAsia="zh-CN"/>
        </w:rPr>
        <w:t>0</w:t>
      </w:r>
      <w:r>
        <w:rPr>
          <w:rFonts w:hint="eastAsia" w:ascii="仿宋_GB2312" w:eastAsia="仿宋_GB2312"/>
          <w:sz w:val="30"/>
          <w:szCs w:val="30"/>
          <w:highlight w:val="none"/>
        </w:rPr>
        <w:t>-1</w:t>
      </w:r>
      <w:r>
        <w:rPr>
          <w:rFonts w:hint="eastAsia" w:ascii="仿宋_GB2312" w:eastAsia="仿宋_GB2312"/>
          <w:sz w:val="30"/>
          <w:szCs w:val="30"/>
          <w:highlight w:val="none"/>
          <w:lang w:val="en-US" w:eastAsia="zh-CN"/>
        </w:rPr>
        <w:t>3</w:t>
      </w:r>
      <w:r>
        <w:rPr>
          <w:rFonts w:hint="eastAsia" w:ascii="仿宋_GB2312" w:eastAsia="仿宋_GB2312"/>
          <w:sz w:val="30"/>
          <w:szCs w:val="30"/>
          <w:highlight w:val="none"/>
        </w:rPr>
        <w:t>栏）必填；</w:t>
      </w:r>
    </w:p>
    <w:p w14:paraId="55400544">
      <w:pPr>
        <w:numPr>
          <w:ilvl w:val="0"/>
          <w:numId w:val="4"/>
        </w:numPr>
        <w:spacing w:line="360" w:lineRule="auto"/>
        <w:rPr>
          <w:rFonts w:ascii="仿宋_GB2312" w:eastAsia="仿宋_GB2312"/>
          <w:sz w:val="30"/>
          <w:highlight w:val="none"/>
        </w:rPr>
      </w:pPr>
      <w:r>
        <w:rPr>
          <w:rFonts w:hint="eastAsia" w:ascii="仿宋_GB2312" w:hAnsi="仿宋" w:eastAsia="仿宋_GB2312"/>
          <w:sz w:val="30"/>
          <w:szCs w:val="30"/>
          <w:highlight w:val="none"/>
        </w:rPr>
        <w:t>当车辆行驶证（</w:t>
      </w:r>
      <w:r>
        <w:rPr>
          <w:rFonts w:hint="eastAsia" w:ascii="仿宋_GB2312" w:eastAsia="仿宋_GB2312"/>
          <w:sz w:val="30"/>
          <w:szCs w:val="30"/>
          <w:highlight w:val="none"/>
          <w:lang w:val="en-US" w:eastAsia="zh-CN"/>
        </w:rPr>
        <w:t>9</w:t>
      </w:r>
      <w:r>
        <w:rPr>
          <w:rFonts w:hint="eastAsia" w:ascii="仿宋_GB2312" w:eastAsia="仿宋_GB2312"/>
          <w:sz w:val="30"/>
          <w:highlight w:val="none"/>
        </w:rPr>
        <w:t>栏）为“有”时，注册日期（</w:t>
      </w:r>
      <w:r>
        <w:rPr>
          <w:rFonts w:hint="eastAsia" w:ascii="仿宋_GB2312" w:eastAsia="仿宋_GB2312"/>
          <w:sz w:val="30"/>
          <w:szCs w:val="30"/>
          <w:highlight w:val="none"/>
        </w:rPr>
        <w:t>1</w:t>
      </w:r>
      <w:r>
        <w:rPr>
          <w:rFonts w:hint="eastAsia" w:ascii="仿宋_GB2312" w:eastAsia="仿宋_GB2312"/>
          <w:sz w:val="30"/>
          <w:szCs w:val="30"/>
          <w:highlight w:val="none"/>
          <w:lang w:val="en-US" w:eastAsia="zh-CN"/>
        </w:rPr>
        <w:t>1</w:t>
      </w:r>
      <w:r>
        <w:rPr>
          <w:rFonts w:hint="eastAsia" w:ascii="仿宋_GB2312" w:eastAsia="仿宋_GB2312"/>
          <w:sz w:val="30"/>
          <w:highlight w:val="none"/>
        </w:rPr>
        <w:t>栏）</w:t>
      </w:r>
      <w:r>
        <w:rPr>
          <w:rFonts w:hint="eastAsia" w:ascii="仿宋_GB2312" w:eastAsia="仿宋_GB2312"/>
          <w:sz w:val="30"/>
          <w:highlight w:val="none"/>
          <w:lang w:val="en-US" w:eastAsia="zh-CN"/>
        </w:rPr>
        <w:t>应小于等于</w:t>
      </w:r>
      <w:r>
        <w:rPr>
          <w:rFonts w:ascii="仿宋_GB2312" w:eastAsia="仿宋_GB2312"/>
          <w:sz w:val="30"/>
          <w:szCs w:val="30"/>
          <w:highlight w:val="none"/>
        </w:rPr>
        <w:t>202</w:t>
      </w:r>
      <w:r>
        <w:rPr>
          <w:rFonts w:hint="eastAsia" w:ascii="仿宋_GB2312" w:eastAsia="仿宋_GB2312"/>
          <w:sz w:val="30"/>
          <w:szCs w:val="30"/>
          <w:highlight w:val="none"/>
        </w:rPr>
        <w:t>4</w:t>
      </w:r>
      <w:r>
        <w:rPr>
          <w:rFonts w:hint="eastAsia" w:ascii="仿宋_GB2312" w:eastAsia="仿宋_GB2312"/>
          <w:sz w:val="30"/>
          <w:szCs w:val="30"/>
          <w:highlight w:val="none"/>
          <w:lang w:val="en-US" w:eastAsia="zh-CN"/>
        </w:rPr>
        <w:t>年</w:t>
      </w:r>
      <w:r>
        <w:rPr>
          <w:rFonts w:hint="eastAsia" w:ascii="仿宋_GB2312" w:eastAsia="仿宋_GB2312"/>
          <w:sz w:val="30"/>
          <w:highlight w:val="none"/>
        </w:rPr>
        <w:t>12</w:t>
      </w:r>
      <w:r>
        <w:rPr>
          <w:rFonts w:hint="eastAsia" w:ascii="仿宋_GB2312" w:eastAsia="仿宋_GB2312"/>
          <w:sz w:val="30"/>
          <w:highlight w:val="none"/>
          <w:lang w:val="en-US" w:eastAsia="zh-CN"/>
        </w:rPr>
        <w:t>月</w:t>
      </w:r>
      <w:r>
        <w:rPr>
          <w:rFonts w:hint="eastAsia" w:ascii="仿宋_GB2312" w:eastAsia="仿宋_GB2312"/>
          <w:sz w:val="30"/>
          <w:highlight w:val="none"/>
        </w:rPr>
        <w:t>3</w:t>
      </w:r>
      <w:r>
        <w:rPr>
          <w:rFonts w:hint="eastAsia" w:ascii="仿宋_GB2312" w:eastAsia="仿宋_GB2312"/>
          <w:sz w:val="30"/>
          <w:highlight w:val="none"/>
          <w:lang w:val="en-US" w:eastAsia="zh-CN"/>
        </w:rPr>
        <w:t>1日</w:t>
      </w:r>
      <w:r>
        <w:rPr>
          <w:rFonts w:hint="eastAsia" w:ascii="仿宋_GB2312" w:eastAsia="仿宋_GB2312"/>
          <w:sz w:val="30"/>
          <w:highlight w:val="none"/>
        </w:rPr>
        <w:t>；</w:t>
      </w:r>
    </w:p>
    <w:p w14:paraId="3B297DD5">
      <w:pPr>
        <w:numPr>
          <w:ilvl w:val="0"/>
          <w:numId w:val="4"/>
        </w:numPr>
        <w:spacing w:line="360" w:lineRule="auto"/>
        <w:rPr>
          <w:rFonts w:ascii="仿宋_GB2312" w:eastAsia="仿宋_GB2312"/>
          <w:sz w:val="30"/>
          <w:szCs w:val="30"/>
          <w:highlight w:val="none"/>
        </w:rPr>
      </w:pPr>
      <w:r>
        <w:rPr>
          <w:rFonts w:hint="eastAsia" w:ascii="仿宋_GB2312" w:hAnsi="仿宋" w:eastAsia="仿宋_GB2312"/>
          <w:sz w:val="30"/>
          <w:szCs w:val="30"/>
          <w:highlight w:val="none"/>
        </w:rPr>
        <w:t>当车辆行驶证（</w:t>
      </w:r>
      <w:r>
        <w:rPr>
          <w:rFonts w:hint="eastAsia" w:ascii="仿宋_GB2312" w:eastAsia="仿宋_GB2312"/>
          <w:sz w:val="30"/>
          <w:szCs w:val="30"/>
          <w:highlight w:val="none"/>
          <w:lang w:val="en-US" w:eastAsia="zh-CN"/>
        </w:rPr>
        <w:t>9</w:t>
      </w:r>
      <w:r>
        <w:rPr>
          <w:rFonts w:hint="eastAsia" w:ascii="仿宋_GB2312" w:eastAsia="仿宋_GB2312"/>
          <w:sz w:val="30"/>
          <w:highlight w:val="none"/>
        </w:rPr>
        <w:t>栏）为“无”时，持证人、注册日期、车牌类型、车牌号（</w:t>
      </w:r>
      <w:r>
        <w:rPr>
          <w:rFonts w:hint="eastAsia" w:ascii="仿宋_GB2312" w:eastAsia="仿宋_GB2312"/>
          <w:sz w:val="30"/>
          <w:szCs w:val="30"/>
          <w:highlight w:val="none"/>
        </w:rPr>
        <w:t>1</w:t>
      </w:r>
      <w:r>
        <w:rPr>
          <w:rFonts w:hint="eastAsia" w:ascii="仿宋_GB2312" w:eastAsia="仿宋_GB2312"/>
          <w:sz w:val="30"/>
          <w:szCs w:val="30"/>
          <w:highlight w:val="none"/>
          <w:lang w:val="en-US" w:eastAsia="zh-CN"/>
        </w:rPr>
        <w:t>0</w:t>
      </w:r>
      <w:r>
        <w:rPr>
          <w:rFonts w:hint="eastAsia" w:ascii="仿宋_GB2312" w:eastAsia="仿宋_GB2312"/>
          <w:sz w:val="30"/>
          <w:szCs w:val="30"/>
          <w:highlight w:val="none"/>
        </w:rPr>
        <w:t>-1</w:t>
      </w:r>
      <w:r>
        <w:rPr>
          <w:rFonts w:hint="eastAsia" w:ascii="仿宋_GB2312" w:eastAsia="仿宋_GB2312"/>
          <w:sz w:val="30"/>
          <w:szCs w:val="30"/>
          <w:highlight w:val="none"/>
          <w:lang w:val="en-US" w:eastAsia="zh-CN"/>
        </w:rPr>
        <w:t>3</w:t>
      </w:r>
      <w:r>
        <w:rPr>
          <w:rFonts w:hint="eastAsia" w:ascii="仿宋_GB2312" w:eastAsia="仿宋_GB2312"/>
          <w:sz w:val="30"/>
          <w:szCs w:val="30"/>
          <w:highlight w:val="none"/>
        </w:rPr>
        <w:t>栏）</w:t>
      </w:r>
      <w:r>
        <w:rPr>
          <w:rFonts w:hint="eastAsia" w:ascii="仿宋_GB2312" w:eastAsia="仿宋_GB2312"/>
          <w:sz w:val="30"/>
          <w:szCs w:val="30"/>
          <w:highlight w:val="none"/>
          <w:lang w:val="en-US" w:eastAsia="zh-CN"/>
        </w:rPr>
        <w:t xml:space="preserve">为空 </w:t>
      </w:r>
      <w:r>
        <w:rPr>
          <w:rFonts w:hint="eastAsia" w:ascii="仿宋_GB2312" w:eastAsia="仿宋_GB2312"/>
          <w:sz w:val="30"/>
          <w:szCs w:val="30"/>
          <w:highlight w:val="none"/>
        </w:rPr>
        <w:t>，且</w:t>
      </w:r>
      <w:r>
        <w:rPr>
          <w:rFonts w:hint="eastAsia" w:ascii="仿宋_GB2312" w:eastAsia="仿宋_GB2312"/>
          <w:sz w:val="30"/>
          <w:highlight w:val="none"/>
        </w:rPr>
        <w:t>备注（</w:t>
      </w:r>
      <w:r>
        <w:rPr>
          <w:rFonts w:ascii="仿宋_GB2312" w:eastAsia="仿宋_GB2312"/>
          <w:sz w:val="30"/>
          <w:szCs w:val="30"/>
          <w:highlight w:val="none"/>
        </w:rPr>
        <w:t>2</w:t>
      </w:r>
      <w:r>
        <w:rPr>
          <w:rFonts w:hint="eastAsia" w:ascii="仿宋_GB2312" w:eastAsia="仿宋_GB2312"/>
          <w:sz w:val="30"/>
          <w:szCs w:val="30"/>
          <w:highlight w:val="none"/>
          <w:lang w:val="en-US" w:eastAsia="zh-CN"/>
        </w:rPr>
        <w:t>1</w:t>
      </w:r>
      <w:r>
        <w:rPr>
          <w:rFonts w:hint="eastAsia" w:ascii="仿宋_GB2312" w:eastAsia="仿宋_GB2312"/>
          <w:sz w:val="30"/>
          <w:highlight w:val="none"/>
        </w:rPr>
        <w:t>栏）必填；</w:t>
      </w:r>
    </w:p>
    <w:p w14:paraId="07DCFEC9">
      <w:pPr>
        <w:numPr>
          <w:ilvl w:val="0"/>
          <w:numId w:val="4"/>
        </w:numPr>
        <w:spacing w:line="360" w:lineRule="auto"/>
        <w:rPr>
          <w:rFonts w:ascii="仿宋_GB2312" w:eastAsia="仿宋_GB2312"/>
          <w:sz w:val="30"/>
          <w:szCs w:val="30"/>
          <w:highlight w:val="none"/>
        </w:rPr>
      </w:pPr>
      <w:r>
        <w:rPr>
          <w:rFonts w:hint="eastAsia" w:ascii="仿宋_GB2312" w:eastAsia="仿宋_GB2312"/>
          <w:sz w:val="30"/>
          <w:szCs w:val="30"/>
          <w:highlight w:val="none"/>
        </w:rPr>
        <w:t>当持证人（1</w:t>
      </w:r>
      <w:r>
        <w:rPr>
          <w:rFonts w:hint="eastAsia" w:ascii="仿宋_GB2312" w:eastAsia="仿宋_GB2312"/>
          <w:sz w:val="30"/>
          <w:szCs w:val="30"/>
          <w:highlight w:val="none"/>
          <w:lang w:val="en-US" w:eastAsia="zh-CN"/>
        </w:rPr>
        <w:t>0</w:t>
      </w:r>
      <w:r>
        <w:rPr>
          <w:rFonts w:hint="eastAsia" w:ascii="仿宋_GB2312" w:eastAsia="仿宋_GB2312"/>
          <w:sz w:val="30"/>
          <w:szCs w:val="30"/>
          <w:highlight w:val="none"/>
        </w:rPr>
        <w:t>栏）为“非本单位”时，</w:t>
      </w:r>
      <w:r>
        <w:rPr>
          <w:rFonts w:hint="eastAsia" w:ascii="仿宋_GB2312" w:eastAsia="仿宋_GB2312"/>
          <w:sz w:val="30"/>
          <w:highlight w:val="none"/>
        </w:rPr>
        <w:t>备注（</w:t>
      </w:r>
      <w:r>
        <w:rPr>
          <w:rFonts w:ascii="仿宋_GB2312" w:eastAsia="仿宋_GB2312"/>
          <w:sz w:val="30"/>
          <w:szCs w:val="30"/>
          <w:highlight w:val="none"/>
        </w:rPr>
        <w:t>2</w:t>
      </w:r>
      <w:r>
        <w:rPr>
          <w:rFonts w:hint="eastAsia" w:ascii="仿宋_GB2312" w:eastAsia="仿宋_GB2312"/>
          <w:sz w:val="30"/>
          <w:szCs w:val="30"/>
          <w:highlight w:val="none"/>
          <w:lang w:val="en-US" w:eastAsia="zh-CN"/>
        </w:rPr>
        <w:t>1</w:t>
      </w:r>
      <w:r>
        <w:rPr>
          <w:rFonts w:hint="eastAsia" w:ascii="仿宋_GB2312" w:eastAsia="仿宋_GB2312"/>
          <w:sz w:val="30"/>
          <w:highlight w:val="none"/>
        </w:rPr>
        <w:t>栏）必填</w:t>
      </w:r>
      <w:r>
        <w:rPr>
          <w:rFonts w:hint="eastAsia" w:ascii="仿宋_GB2312" w:eastAsia="仿宋_GB2312"/>
          <w:sz w:val="30"/>
          <w:szCs w:val="30"/>
          <w:highlight w:val="none"/>
        </w:rPr>
        <w:t>；</w:t>
      </w:r>
    </w:p>
    <w:p w14:paraId="328936B3">
      <w:pPr>
        <w:numPr>
          <w:ilvl w:val="0"/>
          <w:numId w:val="4"/>
        </w:numPr>
        <w:spacing w:line="360" w:lineRule="auto"/>
        <w:rPr>
          <w:rFonts w:ascii="仿宋_GB2312" w:eastAsia="仿宋_GB2312"/>
          <w:sz w:val="30"/>
          <w:szCs w:val="30"/>
          <w:highlight w:val="none"/>
        </w:rPr>
      </w:pPr>
      <w:r>
        <w:rPr>
          <w:rFonts w:hint="eastAsia" w:ascii="仿宋_GB2312" w:eastAsia="仿宋_GB2312"/>
          <w:sz w:val="30"/>
          <w:szCs w:val="30"/>
          <w:highlight w:val="none"/>
        </w:rPr>
        <w:t>净值=原值-累计折旧（</w:t>
      </w:r>
      <w:r>
        <w:rPr>
          <w:rFonts w:ascii="仿宋_GB2312" w:eastAsia="仿宋_GB2312"/>
          <w:sz w:val="30"/>
          <w:szCs w:val="30"/>
          <w:highlight w:val="none"/>
        </w:rPr>
        <w:t>1</w:t>
      </w:r>
      <w:r>
        <w:rPr>
          <w:rFonts w:hint="eastAsia" w:ascii="仿宋_GB2312" w:eastAsia="仿宋_GB2312"/>
          <w:sz w:val="30"/>
          <w:szCs w:val="30"/>
          <w:highlight w:val="none"/>
          <w:lang w:val="en-US" w:eastAsia="zh-CN"/>
        </w:rPr>
        <w:t>6</w:t>
      </w:r>
      <w:r>
        <w:rPr>
          <w:rFonts w:hint="eastAsia" w:ascii="仿宋_GB2312" w:eastAsia="仿宋_GB2312"/>
          <w:sz w:val="30"/>
          <w:szCs w:val="30"/>
          <w:highlight w:val="none"/>
        </w:rPr>
        <w:t>栏=1</w:t>
      </w:r>
      <w:r>
        <w:rPr>
          <w:rFonts w:hint="eastAsia" w:ascii="仿宋_GB2312" w:eastAsia="仿宋_GB2312"/>
          <w:sz w:val="30"/>
          <w:szCs w:val="30"/>
          <w:highlight w:val="none"/>
          <w:lang w:val="en-US" w:eastAsia="zh-CN"/>
        </w:rPr>
        <w:t>4</w:t>
      </w:r>
      <w:r>
        <w:rPr>
          <w:rFonts w:hint="eastAsia" w:ascii="仿宋_GB2312" w:eastAsia="仿宋_GB2312"/>
          <w:sz w:val="30"/>
          <w:szCs w:val="30"/>
          <w:highlight w:val="none"/>
        </w:rPr>
        <w:t>-</w:t>
      </w:r>
      <w:r>
        <w:rPr>
          <w:rFonts w:ascii="仿宋_GB2312" w:eastAsia="仿宋_GB2312"/>
          <w:sz w:val="30"/>
          <w:szCs w:val="30"/>
          <w:highlight w:val="none"/>
        </w:rPr>
        <w:t>1</w:t>
      </w:r>
      <w:r>
        <w:rPr>
          <w:rFonts w:hint="eastAsia" w:ascii="仿宋_GB2312" w:eastAsia="仿宋_GB2312"/>
          <w:sz w:val="30"/>
          <w:szCs w:val="30"/>
          <w:highlight w:val="none"/>
          <w:lang w:val="en-US" w:eastAsia="zh-CN"/>
        </w:rPr>
        <w:t>5</w:t>
      </w:r>
      <w:r>
        <w:rPr>
          <w:rFonts w:hint="eastAsia" w:ascii="仿宋_GB2312" w:eastAsia="仿宋_GB2312"/>
          <w:sz w:val="30"/>
          <w:szCs w:val="30"/>
          <w:highlight w:val="none"/>
        </w:rPr>
        <w:t>栏）；</w:t>
      </w:r>
    </w:p>
    <w:p w14:paraId="3D9BF2D6">
      <w:pPr>
        <w:numPr>
          <w:ilvl w:val="0"/>
          <w:numId w:val="4"/>
        </w:numPr>
        <w:spacing w:line="360" w:lineRule="auto"/>
        <w:rPr>
          <w:rFonts w:ascii="仿宋_GB2312" w:eastAsia="仿宋_GB2312"/>
          <w:sz w:val="30"/>
          <w:szCs w:val="30"/>
          <w:highlight w:val="none"/>
        </w:rPr>
      </w:pPr>
      <w:r>
        <w:rPr>
          <w:rFonts w:hint="eastAsia" w:ascii="仿宋_GB2312" w:eastAsia="仿宋_GB2312"/>
          <w:sz w:val="30"/>
          <w:szCs w:val="30"/>
          <w:highlight w:val="none"/>
        </w:rPr>
        <w:t>合计行的原值、累计折旧</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净值</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1行1</w:t>
      </w:r>
      <w:r>
        <w:rPr>
          <w:rFonts w:hint="eastAsia" w:ascii="仿宋_GB2312" w:eastAsia="仿宋_GB2312"/>
          <w:sz w:val="30"/>
          <w:szCs w:val="30"/>
          <w:highlight w:val="none"/>
          <w:lang w:val="en-US" w:eastAsia="zh-CN"/>
        </w:rPr>
        <w:t>4</w:t>
      </w:r>
      <w:r>
        <w:rPr>
          <w:rFonts w:hint="eastAsia" w:ascii="仿宋_GB2312" w:eastAsia="仿宋_GB2312"/>
          <w:sz w:val="30"/>
          <w:szCs w:val="30"/>
          <w:highlight w:val="none"/>
        </w:rPr>
        <w:t>~1</w:t>
      </w:r>
      <w:r>
        <w:rPr>
          <w:rFonts w:hint="eastAsia" w:ascii="仿宋_GB2312" w:eastAsia="仿宋_GB2312"/>
          <w:sz w:val="30"/>
          <w:szCs w:val="30"/>
          <w:highlight w:val="none"/>
          <w:lang w:val="en-US" w:eastAsia="zh-CN"/>
        </w:rPr>
        <w:t>6</w:t>
      </w:r>
      <w:r>
        <w:rPr>
          <w:rFonts w:hint="eastAsia" w:ascii="仿宋_GB2312" w:eastAsia="仿宋_GB2312"/>
          <w:sz w:val="30"/>
          <w:szCs w:val="30"/>
          <w:highlight w:val="none"/>
        </w:rPr>
        <w:t>栏</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分别</w:t>
      </w:r>
      <w:r>
        <w:rPr>
          <w:rFonts w:hint="eastAsia" w:ascii="仿宋_GB2312" w:eastAsia="仿宋_GB2312"/>
          <w:sz w:val="30"/>
          <w:szCs w:val="30"/>
          <w:highlight w:val="none"/>
        </w:rPr>
        <w:t>等于各浮动行</w:t>
      </w:r>
      <w:r>
        <w:rPr>
          <w:rFonts w:hint="eastAsia" w:ascii="仿宋_GB2312" w:eastAsia="仿宋_GB2312"/>
          <w:sz w:val="30"/>
          <w:szCs w:val="30"/>
          <w:highlight w:val="none"/>
          <w:lang w:val="en-US" w:eastAsia="zh-CN"/>
        </w:rPr>
        <w:t>对</w:t>
      </w:r>
      <w:r>
        <w:rPr>
          <w:rFonts w:hint="eastAsia" w:ascii="仿宋_GB2312" w:eastAsia="仿宋_GB2312"/>
          <w:sz w:val="30"/>
          <w:szCs w:val="30"/>
          <w:highlight w:val="none"/>
        </w:rPr>
        <w:t>应指标（1</w:t>
      </w:r>
      <w:r>
        <w:rPr>
          <w:rFonts w:hint="eastAsia" w:ascii="仿宋_GB2312" w:eastAsia="仿宋_GB2312"/>
          <w:sz w:val="30"/>
          <w:szCs w:val="30"/>
          <w:highlight w:val="none"/>
          <w:lang w:val="en-US" w:eastAsia="zh-CN"/>
        </w:rPr>
        <w:t>4</w:t>
      </w:r>
      <w:r>
        <w:rPr>
          <w:rFonts w:hint="eastAsia" w:ascii="仿宋_GB2312" w:eastAsia="仿宋_GB2312"/>
          <w:sz w:val="30"/>
          <w:szCs w:val="30"/>
          <w:highlight w:val="none"/>
        </w:rPr>
        <w:t>~1</w:t>
      </w:r>
      <w:r>
        <w:rPr>
          <w:rFonts w:hint="eastAsia" w:ascii="仿宋_GB2312" w:eastAsia="仿宋_GB2312"/>
          <w:sz w:val="30"/>
          <w:szCs w:val="30"/>
          <w:highlight w:val="none"/>
          <w:lang w:val="en-US" w:eastAsia="zh-CN"/>
        </w:rPr>
        <w:t>6</w:t>
      </w:r>
      <w:r>
        <w:rPr>
          <w:rFonts w:hint="eastAsia" w:ascii="仿宋_GB2312" w:eastAsia="仿宋_GB2312"/>
          <w:sz w:val="30"/>
          <w:szCs w:val="30"/>
          <w:highlight w:val="none"/>
        </w:rPr>
        <w:t>栏）之和；</w:t>
      </w:r>
    </w:p>
    <w:p w14:paraId="5EDB6A91">
      <w:pPr>
        <w:numPr>
          <w:ilvl w:val="0"/>
          <w:numId w:val="4"/>
        </w:numPr>
        <w:spacing w:line="360" w:lineRule="auto"/>
        <w:rPr>
          <w:rFonts w:ascii="仿宋_GB2312" w:eastAsia="仿宋_GB2312"/>
          <w:sz w:val="30"/>
          <w:szCs w:val="30"/>
          <w:highlight w:val="none"/>
        </w:rPr>
      </w:pPr>
      <w:r>
        <w:rPr>
          <w:rFonts w:hint="eastAsia" w:ascii="仿宋_GB2312" w:eastAsia="仿宋_GB2312"/>
          <w:sz w:val="30"/>
          <w:szCs w:val="30"/>
          <w:highlight w:val="none"/>
        </w:rPr>
        <w:t>当车辆用途（1</w:t>
      </w:r>
      <w:r>
        <w:rPr>
          <w:rFonts w:hint="eastAsia" w:ascii="仿宋_GB2312" w:eastAsia="仿宋_GB2312"/>
          <w:sz w:val="30"/>
          <w:szCs w:val="30"/>
          <w:highlight w:val="none"/>
          <w:lang w:val="en-US" w:eastAsia="zh-CN"/>
        </w:rPr>
        <w:t>9</w:t>
      </w:r>
      <w:r>
        <w:rPr>
          <w:rFonts w:hint="eastAsia" w:ascii="仿宋_GB2312" w:eastAsia="仿宋_GB2312"/>
          <w:sz w:val="30"/>
          <w:szCs w:val="30"/>
          <w:highlight w:val="none"/>
        </w:rPr>
        <w:t>栏）选择“其他用车”时，</w:t>
      </w:r>
      <w:r>
        <w:rPr>
          <w:rFonts w:hint="eastAsia" w:ascii="仿宋_GB2312" w:eastAsia="仿宋_GB2312"/>
          <w:sz w:val="30"/>
          <w:highlight w:val="none"/>
        </w:rPr>
        <w:t>备注（</w:t>
      </w:r>
      <w:r>
        <w:rPr>
          <w:rFonts w:ascii="仿宋_GB2312" w:eastAsia="仿宋_GB2312"/>
          <w:sz w:val="30"/>
          <w:szCs w:val="30"/>
          <w:highlight w:val="none"/>
        </w:rPr>
        <w:t>2</w:t>
      </w:r>
      <w:r>
        <w:rPr>
          <w:rFonts w:hint="eastAsia" w:ascii="仿宋_GB2312" w:eastAsia="仿宋_GB2312"/>
          <w:sz w:val="30"/>
          <w:szCs w:val="30"/>
          <w:highlight w:val="none"/>
          <w:lang w:val="en-US" w:eastAsia="zh-CN"/>
        </w:rPr>
        <w:t>1</w:t>
      </w:r>
      <w:r>
        <w:rPr>
          <w:rFonts w:hint="eastAsia" w:ascii="仿宋_GB2312" w:eastAsia="仿宋_GB2312"/>
          <w:sz w:val="30"/>
          <w:highlight w:val="none"/>
        </w:rPr>
        <w:t>栏）必填</w:t>
      </w:r>
      <w:r>
        <w:rPr>
          <w:rFonts w:hint="eastAsia" w:ascii="仿宋_GB2312" w:eastAsia="仿宋_GB2312"/>
          <w:sz w:val="30"/>
          <w:szCs w:val="30"/>
          <w:highlight w:val="none"/>
        </w:rPr>
        <w:t>；</w:t>
      </w:r>
    </w:p>
    <w:p w14:paraId="772091EF">
      <w:pPr>
        <w:numPr>
          <w:ilvl w:val="0"/>
          <w:numId w:val="4"/>
        </w:numPr>
        <w:spacing w:line="360" w:lineRule="auto"/>
        <w:rPr>
          <w:rFonts w:ascii="仿宋_GB2312" w:eastAsia="仿宋_GB2312"/>
          <w:sz w:val="30"/>
          <w:szCs w:val="30"/>
          <w:highlight w:val="none"/>
        </w:rPr>
      </w:pPr>
      <w:r>
        <w:rPr>
          <w:rFonts w:hint="eastAsia" w:ascii="仿宋_GB2312" w:eastAsia="仿宋_GB2312"/>
          <w:sz w:val="30"/>
          <w:szCs w:val="30"/>
          <w:highlight w:val="none"/>
        </w:rPr>
        <w:t>原值、累计折旧</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净值（1</w:t>
      </w:r>
      <w:r>
        <w:rPr>
          <w:rFonts w:hint="eastAsia" w:ascii="仿宋_GB2312" w:eastAsia="仿宋_GB2312"/>
          <w:sz w:val="30"/>
          <w:szCs w:val="30"/>
          <w:highlight w:val="none"/>
          <w:lang w:val="en-US" w:eastAsia="zh-CN"/>
        </w:rPr>
        <w:t>4</w:t>
      </w:r>
      <w:r>
        <w:rPr>
          <w:rFonts w:hint="eastAsia" w:ascii="仿宋_GB2312" w:eastAsia="仿宋_GB2312"/>
          <w:sz w:val="30"/>
          <w:szCs w:val="30"/>
          <w:highlight w:val="none"/>
        </w:rPr>
        <w:t>~1</w:t>
      </w:r>
      <w:r>
        <w:rPr>
          <w:rFonts w:hint="eastAsia" w:ascii="仿宋_GB2312" w:eastAsia="仿宋_GB2312"/>
          <w:sz w:val="30"/>
          <w:szCs w:val="30"/>
          <w:highlight w:val="none"/>
          <w:lang w:val="en-US" w:eastAsia="zh-CN"/>
        </w:rPr>
        <w:t>6</w:t>
      </w:r>
      <w:r>
        <w:rPr>
          <w:rFonts w:hint="eastAsia" w:ascii="仿宋_GB2312" w:eastAsia="仿宋_GB2312"/>
          <w:sz w:val="30"/>
          <w:szCs w:val="30"/>
          <w:highlight w:val="none"/>
        </w:rPr>
        <w:t>栏）均</w:t>
      </w:r>
      <w:r>
        <w:rPr>
          <w:rFonts w:hint="eastAsia" w:ascii="仿宋_GB2312" w:eastAsia="仿宋_GB2312"/>
          <w:sz w:val="30"/>
          <w:szCs w:val="30"/>
          <w:highlight w:val="none"/>
          <w:lang w:val="en-US" w:eastAsia="zh-CN"/>
        </w:rPr>
        <w:t>应</w:t>
      </w:r>
      <w:r>
        <w:rPr>
          <w:rFonts w:hint="eastAsia" w:ascii="仿宋_GB2312" w:eastAsia="仿宋_GB2312"/>
          <w:sz w:val="30"/>
          <w:szCs w:val="30"/>
          <w:highlight w:val="none"/>
        </w:rPr>
        <w:t>大于等于0；</w:t>
      </w:r>
    </w:p>
    <w:p w14:paraId="083041B7">
      <w:pPr>
        <w:numPr>
          <w:ilvl w:val="0"/>
          <w:numId w:val="4"/>
        </w:numPr>
        <w:spacing w:line="360" w:lineRule="auto"/>
        <w:rPr>
          <w:rFonts w:ascii="仿宋_GB2312" w:eastAsia="仿宋_GB2312"/>
          <w:sz w:val="30"/>
          <w:szCs w:val="30"/>
          <w:highlight w:val="none"/>
        </w:rPr>
      </w:pPr>
      <w:r>
        <w:rPr>
          <w:rFonts w:hint="eastAsia" w:ascii="仿宋_GB2312" w:eastAsia="仿宋_GB2312"/>
          <w:sz w:val="30"/>
          <w:szCs w:val="30"/>
          <w:highlight w:val="none"/>
          <w:lang w:val="en-US" w:eastAsia="zh-CN"/>
        </w:rPr>
        <w:t>同</w:t>
      </w:r>
      <w:r>
        <w:rPr>
          <w:rFonts w:hint="eastAsia" w:ascii="仿宋_GB2312" w:eastAsia="仿宋_GB2312"/>
          <w:sz w:val="30"/>
          <w:szCs w:val="30"/>
          <w:highlight w:val="none"/>
        </w:rPr>
        <w:t>车牌类型</w:t>
      </w:r>
      <w:r>
        <w:rPr>
          <w:rFonts w:hint="eastAsia" w:ascii="仿宋_GB2312" w:eastAsia="仿宋_GB2312"/>
          <w:sz w:val="30"/>
          <w:szCs w:val="30"/>
          <w:highlight w:val="none"/>
          <w:lang w:val="en-US" w:eastAsia="zh-CN"/>
        </w:rPr>
        <w:t>的</w:t>
      </w:r>
      <w:r>
        <w:rPr>
          <w:rFonts w:hint="eastAsia" w:ascii="仿宋_GB2312" w:eastAsia="仿宋_GB2312"/>
          <w:sz w:val="30"/>
          <w:szCs w:val="30"/>
          <w:highlight w:val="none"/>
        </w:rPr>
        <w:t>车牌号不可重复，校验唯一性；</w:t>
      </w:r>
    </w:p>
    <w:p w14:paraId="3381466A">
      <w:pPr>
        <w:numPr>
          <w:ilvl w:val="0"/>
          <w:numId w:val="4"/>
        </w:numPr>
        <w:spacing w:line="360" w:lineRule="auto"/>
        <w:ind w:firstLine="600" w:firstLineChars="200"/>
        <w:rPr>
          <w:rFonts w:hint="eastAsia" w:ascii="仿宋_GB2312" w:hAnsi="仿宋" w:eastAsia="仿宋_GB2312"/>
          <w:sz w:val="30"/>
          <w:szCs w:val="30"/>
          <w:highlight w:val="none"/>
        </w:rPr>
      </w:pPr>
      <w:r>
        <w:rPr>
          <w:rFonts w:hint="eastAsia" w:ascii="仿宋_GB2312" w:eastAsia="仿宋_GB2312"/>
          <w:sz w:val="30"/>
          <w:szCs w:val="30"/>
          <w:highlight w:val="none"/>
        </w:rPr>
        <w:t>当车辆用途（1</w:t>
      </w:r>
      <w:r>
        <w:rPr>
          <w:rFonts w:hint="eastAsia" w:ascii="仿宋_GB2312" w:eastAsia="仿宋_GB2312"/>
          <w:sz w:val="30"/>
          <w:szCs w:val="30"/>
          <w:highlight w:val="none"/>
          <w:lang w:val="en-US" w:eastAsia="zh-CN"/>
        </w:rPr>
        <w:t>9</w:t>
      </w:r>
      <w:r>
        <w:rPr>
          <w:rFonts w:hint="eastAsia" w:ascii="仿宋_GB2312" w:eastAsia="仿宋_GB2312"/>
          <w:sz w:val="30"/>
          <w:szCs w:val="30"/>
          <w:highlight w:val="none"/>
        </w:rPr>
        <w:t>栏）</w:t>
      </w:r>
      <w:r>
        <w:rPr>
          <w:rFonts w:hint="eastAsia" w:ascii="仿宋_GB2312" w:hAnsi="仿宋" w:eastAsia="仿宋_GB2312"/>
          <w:sz w:val="30"/>
          <w:szCs w:val="30"/>
          <w:highlight w:val="none"/>
        </w:rPr>
        <w:t>选择“执法执勤用车”时，执法执勤用车是否喷涂标识（</w:t>
      </w:r>
      <w:r>
        <w:rPr>
          <w:rFonts w:hint="eastAsia" w:ascii="仿宋_GB2312" w:hAnsi="仿宋" w:eastAsia="仿宋_GB2312"/>
          <w:sz w:val="30"/>
          <w:szCs w:val="30"/>
          <w:highlight w:val="none"/>
          <w:lang w:val="en-US" w:eastAsia="zh-CN"/>
        </w:rPr>
        <w:t>20</w:t>
      </w:r>
      <w:r>
        <w:rPr>
          <w:rFonts w:ascii="仿宋_GB2312" w:hAnsi="仿宋" w:eastAsia="仿宋_GB2312"/>
          <w:sz w:val="30"/>
          <w:szCs w:val="30"/>
          <w:highlight w:val="none"/>
        </w:rPr>
        <w:t>栏</w:t>
      </w:r>
      <w:r>
        <w:rPr>
          <w:rFonts w:hint="eastAsia" w:ascii="仿宋_GB2312" w:hAnsi="仿宋" w:eastAsia="仿宋_GB2312"/>
          <w:sz w:val="30"/>
          <w:szCs w:val="30"/>
          <w:highlight w:val="none"/>
        </w:rPr>
        <w:t>）</w:t>
      </w:r>
      <w:r>
        <w:rPr>
          <w:rFonts w:ascii="仿宋_GB2312" w:hAnsi="仿宋" w:eastAsia="仿宋_GB2312"/>
          <w:sz w:val="30"/>
          <w:szCs w:val="30"/>
          <w:highlight w:val="none"/>
        </w:rPr>
        <w:t>必填，</w:t>
      </w:r>
      <w:r>
        <w:rPr>
          <w:rFonts w:hint="eastAsia" w:ascii="仿宋_GB2312" w:hAnsi="仿宋" w:eastAsia="仿宋_GB2312"/>
          <w:sz w:val="30"/>
          <w:szCs w:val="30"/>
          <w:highlight w:val="none"/>
        </w:rPr>
        <w:t>反之必须为空</w:t>
      </w:r>
      <w:r>
        <w:rPr>
          <w:rFonts w:hint="eastAsia" w:ascii="仿宋_GB2312" w:hAnsi="仿宋" w:eastAsia="仿宋_GB2312"/>
          <w:sz w:val="30"/>
          <w:szCs w:val="30"/>
          <w:highlight w:val="none"/>
          <w:lang w:eastAsia="zh-CN"/>
        </w:rPr>
        <w:t>；</w:t>
      </w:r>
    </w:p>
    <w:p w14:paraId="21E84772">
      <w:pPr>
        <w:numPr>
          <w:ilvl w:val="0"/>
          <w:numId w:val="5"/>
        </w:numPr>
        <w:spacing w:line="360" w:lineRule="auto"/>
        <w:rPr>
          <w:rFonts w:hint="eastAsia" w:ascii="仿宋_GB2312" w:hAnsi="仿宋" w:eastAsia="仿宋_GB2312"/>
          <w:sz w:val="30"/>
          <w:szCs w:val="30"/>
          <w:highlight w:val="none"/>
        </w:rPr>
      </w:pPr>
      <w:r>
        <w:rPr>
          <w:rFonts w:hint="eastAsia" w:ascii="仿宋_GB2312" w:eastAsia="仿宋_GB2312"/>
          <w:sz w:val="30"/>
          <w:szCs w:val="30"/>
          <w:highlight w:val="none"/>
          <w:lang w:val="en-US" w:eastAsia="zh-CN"/>
        </w:rPr>
        <w:t>当使用状况（17栏）为闲置时，闲置开始时间（18栏）必填。</w:t>
      </w:r>
    </w:p>
    <w:p w14:paraId="774AA3B5">
      <w:pPr>
        <w:spacing w:line="360" w:lineRule="auto"/>
        <w:ind w:firstLine="578" w:firstLineChars="192"/>
        <w:rPr>
          <w:rFonts w:hint="eastAsia" w:ascii="仿宋_GB2312" w:hAnsi="仿宋" w:eastAsia="仿宋_GB2312"/>
          <w:b/>
          <w:sz w:val="30"/>
          <w:szCs w:val="30"/>
          <w:highlight w:val="none"/>
        </w:rPr>
      </w:pPr>
      <w:r>
        <w:rPr>
          <w:rFonts w:hint="eastAsia" w:ascii="仿宋_GB2312" w:hAnsi="仿宋" w:eastAsia="仿宋_GB2312"/>
          <w:b/>
          <w:sz w:val="30"/>
          <w:szCs w:val="30"/>
          <w:highlight w:val="none"/>
        </w:rPr>
        <w:t>表间公式</w:t>
      </w:r>
      <w:r>
        <w:rPr>
          <w:rFonts w:ascii="仿宋_GB2312" w:hAnsi="仿宋" w:eastAsia="仿宋_GB2312"/>
          <w:b/>
          <w:sz w:val="30"/>
          <w:szCs w:val="30"/>
          <w:highlight w:val="none"/>
        </w:rPr>
        <w:t>：</w:t>
      </w:r>
    </w:p>
    <w:p w14:paraId="6C8FE004">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rPr>
        <w:t>原值</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累计折旧、净值</w:t>
      </w:r>
      <w:r>
        <w:rPr>
          <w:rFonts w:hint="eastAsia" w:ascii="仿宋_GB2312" w:eastAsia="仿宋_GB2312"/>
          <w:sz w:val="30"/>
          <w:szCs w:val="30"/>
          <w:highlight w:val="none"/>
        </w:rPr>
        <w:t>（1行1</w:t>
      </w:r>
      <w:r>
        <w:rPr>
          <w:rFonts w:hint="eastAsia" w:ascii="仿宋_GB2312" w:eastAsia="仿宋_GB2312"/>
          <w:sz w:val="30"/>
          <w:szCs w:val="30"/>
          <w:highlight w:val="none"/>
          <w:lang w:val="en-US" w:eastAsia="zh-CN"/>
        </w:rPr>
        <w:t>4</w:t>
      </w:r>
      <w:r>
        <w:rPr>
          <w:rFonts w:hint="eastAsia" w:ascii="仿宋_GB2312" w:eastAsia="仿宋_GB2312"/>
          <w:sz w:val="30"/>
          <w:szCs w:val="30"/>
          <w:highlight w:val="none"/>
        </w:rPr>
        <w:t>~1</w:t>
      </w:r>
      <w:r>
        <w:rPr>
          <w:rFonts w:hint="eastAsia" w:ascii="仿宋_GB2312" w:eastAsia="仿宋_GB2312"/>
          <w:sz w:val="30"/>
          <w:szCs w:val="30"/>
          <w:highlight w:val="none"/>
          <w:lang w:val="en-US" w:eastAsia="zh-CN"/>
        </w:rPr>
        <w:t>6</w:t>
      </w:r>
      <w:r>
        <w:rPr>
          <w:rFonts w:hint="eastAsia" w:ascii="仿宋_GB2312" w:eastAsia="仿宋_GB2312"/>
          <w:sz w:val="30"/>
          <w:szCs w:val="30"/>
          <w:highlight w:val="none"/>
        </w:rPr>
        <w:t>栏）</w:t>
      </w:r>
      <w:r>
        <w:rPr>
          <w:rFonts w:hint="eastAsia" w:ascii="仿宋_GB2312" w:eastAsia="仿宋_GB2312"/>
          <w:sz w:val="30"/>
          <w:szCs w:val="30"/>
          <w:highlight w:val="none"/>
          <w:lang w:val="en-US" w:eastAsia="zh-CN"/>
        </w:rPr>
        <w:t>应等于</w:t>
      </w:r>
      <w:r>
        <w:rPr>
          <w:rFonts w:hint="eastAsia" w:ascii="仿宋_GB2312" w:eastAsia="仿宋_GB2312"/>
          <w:sz w:val="30"/>
          <w:szCs w:val="30"/>
          <w:highlight w:val="none"/>
        </w:rPr>
        <w:t>财资03固定和无形资产存量情况表车辆的原值</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累计折旧、净值</w:t>
      </w:r>
      <w:r>
        <w:rPr>
          <w:rFonts w:hint="eastAsia" w:ascii="仿宋_GB2312" w:eastAsia="仿宋_GB2312"/>
          <w:sz w:val="30"/>
          <w:szCs w:val="30"/>
          <w:highlight w:val="none"/>
        </w:rPr>
        <w:t>（1</w:t>
      </w:r>
      <w:r>
        <w:rPr>
          <w:rFonts w:ascii="仿宋_GB2312" w:eastAsia="仿宋_GB2312"/>
          <w:sz w:val="30"/>
          <w:szCs w:val="30"/>
          <w:highlight w:val="none"/>
        </w:rPr>
        <w:t>1</w:t>
      </w:r>
      <w:r>
        <w:rPr>
          <w:rFonts w:hint="eastAsia" w:ascii="仿宋_GB2312" w:eastAsia="仿宋_GB2312"/>
          <w:sz w:val="30"/>
          <w:szCs w:val="30"/>
          <w:highlight w:val="none"/>
        </w:rPr>
        <w:t>行6~</w:t>
      </w:r>
      <w:r>
        <w:rPr>
          <w:rFonts w:hint="eastAsia" w:ascii="仿宋_GB2312" w:eastAsia="仿宋_GB2312"/>
          <w:sz w:val="30"/>
          <w:szCs w:val="30"/>
          <w:highlight w:val="none"/>
          <w:lang w:val="en-US" w:eastAsia="zh-CN"/>
        </w:rPr>
        <w:t>8</w:t>
      </w:r>
      <w:r>
        <w:rPr>
          <w:rFonts w:hint="eastAsia" w:ascii="仿宋_GB2312" w:eastAsia="仿宋_GB2312"/>
          <w:sz w:val="30"/>
          <w:szCs w:val="30"/>
          <w:highlight w:val="none"/>
        </w:rPr>
        <w:t>栏）；</w:t>
      </w:r>
    </w:p>
    <w:p w14:paraId="591E9998">
      <w:pPr>
        <w:numPr>
          <w:ilvl w:val="0"/>
          <w:numId w:val="5"/>
        </w:numPr>
        <w:spacing w:line="360" w:lineRule="auto"/>
        <w:rPr>
          <w:rFonts w:ascii="仿宋_GB2312" w:eastAsia="仿宋_GB2312"/>
          <w:sz w:val="30"/>
          <w:szCs w:val="30"/>
          <w:highlight w:val="none"/>
        </w:rPr>
      </w:pPr>
      <w:bookmarkStart w:id="8" w:name="_Hlk22767253"/>
      <w:r>
        <w:rPr>
          <w:rFonts w:hint="eastAsia" w:ascii="仿宋_GB2312" w:eastAsia="仿宋_GB2312"/>
          <w:sz w:val="30"/>
          <w:szCs w:val="30"/>
          <w:highlight w:val="none"/>
          <w:lang w:val="en-US" w:eastAsia="zh-CN"/>
        </w:rPr>
        <w:t>车辆使用情况为“在用”</w:t>
      </w:r>
      <w:r>
        <w:rPr>
          <w:rFonts w:hint="eastAsia" w:ascii="仿宋_GB2312" w:eastAsia="仿宋_GB2312"/>
          <w:sz w:val="30"/>
          <w:szCs w:val="30"/>
          <w:highlight w:val="none"/>
        </w:rPr>
        <w:t>车辆的原值</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累计折旧、净值的浮动行（</w:t>
      </w:r>
      <w:r>
        <w:rPr>
          <w:rFonts w:hint="eastAsia" w:ascii="仿宋_GB2312" w:eastAsia="仿宋_GB2312"/>
          <w:sz w:val="30"/>
          <w:szCs w:val="30"/>
          <w:highlight w:val="none"/>
        </w:rPr>
        <w:t>1</w:t>
      </w:r>
      <w:r>
        <w:rPr>
          <w:rFonts w:hint="eastAsia" w:ascii="仿宋_GB2312" w:eastAsia="仿宋_GB2312"/>
          <w:sz w:val="30"/>
          <w:szCs w:val="30"/>
          <w:highlight w:val="none"/>
          <w:lang w:val="en-US" w:eastAsia="zh-CN"/>
        </w:rPr>
        <w:t>4</w:t>
      </w:r>
      <w:r>
        <w:rPr>
          <w:rFonts w:hint="eastAsia" w:ascii="仿宋_GB2312" w:eastAsia="仿宋_GB2312"/>
          <w:sz w:val="30"/>
          <w:szCs w:val="30"/>
          <w:highlight w:val="none"/>
        </w:rPr>
        <w:t>~1</w:t>
      </w:r>
      <w:r>
        <w:rPr>
          <w:rFonts w:hint="eastAsia" w:ascii="仿宋_GB2312" w:eastAsia="仿宋_GB2312"/>
          <w:sz w:val="30"/>
          <w:szCs w:val="30"/>
          <w:highlight w:val="none"/>
          <w:lang w:val="en-US" w:eastAsia="zh-CN"/>
        </w:rPr>
        <w:t>6</w:t>
      </w:r>
      <w:r>
        <w:rPr>
          <w:rFonts w:hint="eastAsia" w:ascii="仿宋_GB2312" w:eastAsia="仿宋_GB2312"/>
          <w:sz w:val="30"/>
          <w:szCs w:val="30"/>
          <w:highlight w:val="none"/>
        </w:rPr>
        <w:t>栏</w:t>
      </w:r>
      <w:r>
        <w:rPr>
          <w:rFonts w:hint="eastAsia" w:ascii="仿宋_GB2312" w:eastAsia="仿宋_GB2312"/>
          <w:sz w:val="30"/>
          <w:szCs w:val="30"/>
          <w:highlight w:val="none"/>
          <w:lang w:val="en-US" w:eastAsia="zh-CN"/>
        </w:rPr>
        <w:t>）</w:t>
      </w:r>
      <w:r>
        <w:rPr>
          <w:rFonts w:hint="eastAsia" w:ascii="仿宋_GB2312" w:eastAsia="仿宋_GB2312"/>
          <w:sz w:val="30"/>
          <w:szCs w:val="30"/>
          <w:highlight w:val="none"/>
        </w:rPr>
        <w:t>之和</w:t>
      </w:r>
      <w:r>
        <w:rPr>
          <w:rFonts w:hint="eastAsia" w:ascii="仿宋_GB2312" w:eastAsia="仿宋_GB2312"/>
          <w:sz w:val="30"/>
          <w:szCs w:val="30"/>
          <w:highlight w:val="none"/>
          <w:lang w:val="en-US" w:eastAsia="zh-CN"/>
        </w:rPr>
        <w:t>分别对应等于</w:t>
      </w:r>
      <w:r>
        <w:rPr>
          <w:rFonts w:hint="eastAsia" w:ascii="仿宋_GB2312" w:eastAsia="仿宋_GB2312"/>
          <w:sz w:val="30"/>
          <w:szCs w:val="30"/>
          <w:highlight w:val="none"/>
        </w:rPr>
        <w:t>财资03固定和无形资产存量情况表在用车辆的原值</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累计折旧、净值</w:t>
      </w:r>
      <w:r>
        <w:rPr>
          <w:rFonts w:hint="eastAsia" w:ascii="仿宋_GB2312" w:eastAsia="仿宋_GB2312"/>
          <w:sz w:val="30"/>
          <w:szCs w:val="30"/>
          <w:highlight w:val="none"/>
        </w:rPr>
        <w:t>（1</w:t>
      </w:r>
      <w:r>
        <w:rPr>
          <w:rFonts w:ascii="仿宋_GB2312" w:eastAsia="仿宋_GB2312"/>
          <w:sz w:val="30"/>
          <w:szCs w:val="30"/>
          <w:highlight w:val="none"/>
        </w:rPr>
        <w:t>1</w:t>
      </w:r>
      <w:r>
        <w:rPr>
          <w:rFonts w:hint="eastAsia" w:ascii="仿宋_GB2312" w:eastAsia="仿宋_GB2312"/>
          <w:sz w:val="30"/>
          <w:szCs w:val="30"/>
          <w:highlight w:val="none"/>
        </w:rPr>
        <w:t>行10~1</w:t>
      </w:r>
      <w:r>
        <w:rPr>
          <w:rFonts w:hint="eastAsia" w:ascii="仿宋_GB2312" w:eastAsia="仿宋_GB2312"/>
          <w:sz w:val="30"/>
          <w:szCs w:val="30"/>
          <w:highlight w:val="none"/>
          <w:lang w:val="en-US" w:eastAsia="zh-CN"/>
        </w:rPr>
        <w:t>2</w:t>
      </w:r>
      <w:r>
        <w:rPr>
          <w:rFonts w:hint="eastAsia" w:ascii="仿宋_GB2312" w:eastAsia="仿宋_GB2312"/>
          <w:sz w:val="30"/>
          <w:szCs w:val="30"/>
          <w:highlight w:val="none"/>
        </w:rPr>
        <w:t>栏）；</w:t>
      </w:r>
    </w:p>
    <w:p w14:paraId="7826A399">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lang w:val="en-US" w:eastAsia="zh-CN"/>
        </w:rPr>
        <w:t>车辆使用情况为“出租出借”</w:t>
      </w:r>
      <w:r>
        <w:rPr>
          <w:rFonts w:hint="eastAsia" w:ascii="仿宋_GB2312" w:eastAsia="仿宋_GB2312"/>
          <w:sz w:val="30"/>
          <w:szCs w:val="30"/>
          <w:highlight w:val="none"/>
        </w:rPr>
        <w:t>车辆的原值</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累计折旧、净值的浮动行（</w:t>
      </w:r>
      <w:r>
        <w:rPr>
          <w:rFonts w:hint="eastAsia" w:ascii="仿宋_GB2312" w:eastAsia="仿宋_GB2312"/>
          <w:sz w:val="30"/>
          <w:szCs w:val="30"/>
          <w:highlight w:val="none"/>
        </w:rPr>
        <w:t>1</w:t>
      </w:r>
      <w:r>
        <w:rPr>
          <w:rFonts w:hint="eastAsia" w:ascii="仿宋_GB2312" w:eastAsia="仿宋_GB2312"/>
          <w:sz w:val="30"/>
          <w:szCs w:val="30"/>
          <w:highlight w:val="none"/>
          <w:lang w:val="en-US" w:eastAsia="zh-CN"/>
        </w:rPr>
        <w:t>4</w:t>
      </w:r>
      <w:r>
        <w:rPr>
          <w:rFonts w:hint="eastAsia" w:ascii="仿宋_GB2312" w:eastAsia="仿宋_GB2312"/>
          <w:sz w:val="30"/>
          <w:szCs w:val="30"/>
          <w:highlight w:val="none"/>
        </w:rPr>
        <w:t>~1</w:t>
      </w:r>
      <w:r>
        <w:rPr>
          <w:rFonts w:hint="eastAsia" w:ascii="仿宋_GB2312" w:eastAsia="仿宋_GB2312"/>
          <w:sz w:val="30"/>
          <w:szCs w:val="30"/>
          <w:highlight w:val="none"/>
          <w:lang w:val="en-US" w:eastAsia="zh-CN"/>
        </w:rPr>
        <w:t>6</w:t>
      </w:r>
      <w:r>
        <w:rPr>
          <w:rFonts w:hint="eastAsia" w:ascii="仿宋_GB2312" w:eastAsia="仿宋_GB2312"/>
          <w:sz w:val="30"/>
          <w:szCs w:val="30"/>
          <w:highlight w:val="none"/>
        </w:rPr>
        <w:t>栏</w:t>
      </w:r>
      <w:r>
        <w:rPr>
          <w:rFonts w:hint="eastAsia" w:ascii="仿宋_GB2312" w:eastAsia="仿宋_GB2312"/>
          <w:sz w:val="30"/>
          <w:szCs w:val="30"/>
          <w:highlight w:val="none"/>
          <w:lang w:val="en-US" w:eastAsia="zh-CN"/>
        </w:rPr>
        <w:t>）</w:t>
      </w:r>
      <w:r>
        <w:rPr>
          <w:rFonts w:hint="eastAsia" w:ascii="仿宋_GB2312" w:eastAsia="仿宋_GB2312"/>
          <w:sz w:val="30"/>
          <w:szCs w:val="30"/>
          <w:highlight w:val="none"/>
        </w:rPr>
        <w:t>之和</w:t>
      </w:r>
      <w:r>
        <w:rPr>
          <w:rFonts w:hint="eastAsia" w:ascii="仿宋_GB2312" w:eastAsia="仿宋_GB2312"/>
          <w:sz w:val="30"/>
          <w:szCs w:val="30"/>
          <w:highlight w:val="none"/>
          <w:lang w:val="en-US" w:eastAsia="zh-CN"/>
        </w:rPr>
        <w:t>分别对应等于</w:t>
      </w:r>
      <w:r>
        <w:rPr>
          <w:rFonts w:hint="eastAsia" w:ascii="仿宋_GB2312" w:eastAsia="仿宋_GB2312"/>
          <w:sz w:val="30"/>
          <w:szCs w:val="30"/>
          <w:highlight w:val="none"/>
        </w:rPr>
        <w:t>财资03固定和无形资产存量情况表</w:t>
      </w:r>
      <w:r>
        <w:rPr>
          <w:rFonts w:hint="eastAsia" w:ascii="仿宋_GB2312" w:eastAsia="仿宋_GB2312"/>
          <w:sz w:val="30"/>
          <w:szCs w:val="30"/>
          <w:highlight w:val="none"/>
          <w:lang w:val="en-US" w:eastAsia="zh-CN"/>
        </w:rPr>
        <w:t>出租出借</w:t>
      </w:r>
      <w:r>
        <w:rPr>
          <w:rFonts w:hint="eastAsia" w:ascii="仿宋_GB2312" w:eastAsia="仿宋_GB2312"/>
          <w:sz w:val="30"/>
          <w:szCs w:val="30"/>
          <w:highlight w:val="none"/>
        </w:rPr>
        <w:t>车辆的原值</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累计折旧、净值</w:t>
      </w:r>
      <w:r>
        <w:rPr>
          <w:rFonts w:hint="eastAsia" w:ascii="仿宋_GB2312" w:eastAsia="仿宋_GB2312"/>
          <w:sz w:val="30"/>
          <w:szCs w:val="30"/>
          <w:highlight w:val="none"/>
        </w:rPr>
        <w:t>（1</w:t>
      </w:r>
      <w:r>
        <w:rPr>
          <w:rFonts w:ascii="仿宋_GB2312" w:eastAsia="仿宋_GB2312"/>
          <w:sz w:val="30"/>
          <w:szCs w:val="30"/>
          <w:highlight w:val="none"/>
        </w:rPr>
        <w:t>1</w:t>
      </w:r>
      <w:r>
        <w:rPr>
          <w:rFonts w:hint="eastAsia" w:ascii="仿宋_GB2312" w:eastAsia="仿宋_GB2312"/>
          <w:sz w:val="30"/>
          <w:szCs w:val="30"/>
          <w:highlight w:val="none"/>
        </w:rPr>
        <w:t>行1</w:t>
      </w:r>
      <w:r>
        <w:rPr>
          <w:rFonts w:hint="eastAsia" w:ascii="仿宋_GB2312" w:eastAsia="仿宋_GB2312"/>
          <w:sz w:val="30"/>
          <w:szCs w:val="30"/>
          <w:highlight w:val="none"/>
          <w:lang w:val="en-US" w:eastAsia="zh-CN"/>
        </w:rPr>
        <w:t>4</w:t>
      </w:r>
      <w:r>
        <w:rPr>
          <w:rFonts w:hint="eastAsia" w:ascii="仿宋_GB2312" w:eastAsia="仿宋_GB2312"/>
          <w:sz w:val="30"/>
          <w:szCs w:val="30"/>
          <w:highlight w:val="none"/>
        </w:rPr>
        <w:t>~1</w:t>
      </w:r>
      <w:r>
        <w:rPr>
          <w:rFonts w:hint="eastAsia" w:ascii="仿宋_GB2312" w:eastAsia="仿宋_GB2312"/>
          <w:sz w:val="30"/>
          <w:szCs w:val="30"/>
          <w:highlight w:val="none"/>
          <w:lang w:val="en-US" w:eastAsia="zh-CN"/>
        </w:rPr>
        <w:t>6</w:t>
      </w:r>
      <w:r>
        <w:rPr>
          <w:rFonts w:hint="eastAsia" w:ascii="仿宋_GB2312" w:eastAsia="仿宋_GB2312"/>
          <w:sz w:val="30"/>
          <w:szCs w:val="30"/>
          <w:highlight w:val="none"/>
        </w:rPr>
        <w:t>栏）；</w:t>
      </w:r>
    </w:p>
    <w:p w14:paraId="473E99EF">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lang w:val="en-US" w:eastAsia="zh-CN"/>
        </w:rPr>
        <w:t>车辆使用情况为“闲置”</w:t>
      </w:r>
      <w:r>
        <w:rPr>
          <w:rFonts w:hint="eastAsia" w:ascii="仿宋_GB2312" w:eastAsia="仿宋_GB2312"/>
          <w:sz w:val="30"/>
          <w:szCs w:val="30"/>
          <w:highlight w:val="none"/>
        </w:rPr>
        <w:t>车辆的原值</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累计折旧、净值的浮动行（</w:t>
      </w:r>
      <w:r>
        <w:rPr>
          <w:rFonts w:hint="eastAsia" w:ascii="仿宋_GB2312" w:eastAsia="仿宋_GB2312"/>
          <w:sz w:val="30"/>
          <w:szCs w:val="30"/>
          <w:highlight w:val="none"/>
        </w:rPr>
        <w:t>1</w:t>
      </w:r>
      <w:r>
        <w:rPr>
          <w:rFonts w:hint="eastAsia" w:ascii="仿宋_GB2312" w:eastAsia="仿宋_GB2312"/>
          <w:sz w:val="30"/>
          <w:szCs w:val="30"/>
          <w:highlight w:val="none"/>
          <w:lang w:val="en-US" w:eastAsia="zh-CN"/>
        </w:rPr>
        <w:t>4</w:t>
      </w:r>
      <w:r>
        <w:rPr>
          <w:rFonts w:hint="eastAsia" w:ascii="仿宋_GB2312" w:eastAsia="仿宋_GB2312"/>
          <w:sz w:val="30"/>
          <w:szCs w:val="30"/>
          <w:highlight w:val="none"/>
        </w:rPr>
        <w:t>~1</w:t>
      </w:r>
      <w:r>
        <w:rPr>
          <w:rFonts w:hint="eastAsia" w:ascii="仿宋_GB2312" w:eastAsia="仿宋_GB2312"/>
          <w:sz w:val="30"/>
          <w:szCs w:val="30"/>
          <w:highlight w:val="none"/>
          <w:lang w:val="en-US" w:eastAsia="zh-CN"/>
        </w:rPr>
        <w:t>6</w:t>
      </w:r>
      <w:r>
        <w:rPr>
          <w:rFonts w:hint="eastAsia" w:ascii="仿宋_GB2312" w:eastAsia="仿宋_GB2312"/>
          <w:sz w:val="30"/>
          <w:szCs w:val="30"/>
          <w:highlight w:val="none"/>
        </w:rPr>
        <w:t>栏</w:t>
      </w:r>
      <w:r>
        <w:rPr>
          <w:rFonts w:hint="eastAsia" w:ascii="仿宋_GB2312" w:eastAsia="仿宋_GB2312"/>
          <w:sz w:val="30"/>
          <w:szCs w:val="30"/>
          <w:highlight w:val="none"/>
          <w:lang w:val="en-US" w:eastAsia="zh-CN"/>
        </w:rPr>
        <w:t>）</w:t>
      </w:r>
      <w:r>
        <w:rPr>
          <w:rFonts w:hint="eastAsia" w:ascii="仿宋_GB2312" w:eastAsia="仿宋_GB2312"/>
          <w:sz w:val="30"/>
          <w:szCs w:val="30"/>
          <w:highlight w:val="none"/>
        </w:rPr>
        <w:t>之和</w:t>
      </w:r>
      <w:r>
        <w:rPr>
          <w:rFonts w:hint="eastAsia" w:ascii="仿宋_GB2312" w:eastAsia="仿宋_GB2312"/>
          <w:sz w:val="30"/>
          <w:szCs w:val="30"/>
          <w:highlight w:val="none"/>
          <w:lang w:val="en-US" w:eastAsia="zh-CN"/>
        </w:rPr>
        <w:t>分别对应等于</w:t>
      </w:r>
      <w:r>
        <w:rPr>
          <w:rFonts w:hint="eastAsia" w:ascii="仿宋_GB2312" w:eastAsia="仿宋_GB2312"/>
          <w:sz w:val="30"/>
          <w:szCs w:val="30"/>
          <w:highlight w:val="none"/>
        </w:rPr>
        <w:t>财资03固定和无形资产存量情况表</w:t>
      </w:r>
      <w:r>
        <w:rPr>
          <w:rFonts w:hint="eastAsia" w:ascii="仿宋_GB2312" w:eastAsia="仿宋_GB2312"/>
          <w:sz w:val="30"/>
          <w:szCs w:val="30"/>
          <w:highlight w:val="none"/>
          <w:lang w:val="en-US" w:eastAsia="zh-CN"/>
        </w:rPr>
        <w:t>闲置</w:t>
      </w:r>
      <w:r>
        <w:rPr>
          <w:rFonts w:hint="eastAsia" w:ascii="仿宋_GB2312" w:eastAsia="仿宋_GB2312"/>
          <w:sz w:val="30"/>
          <w:szCs w:val="30"/>
          <w:highlight w:val="none"/>
        </w:rPr>
        <w:t>车辆的原值</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累计折旧、净值</w:t>
      </w:r>
      <w:r>
        <w:rPr>
          <w:rFonts w:hint="eastAsia" w:ascii="仿宋_GB2312" w:eastAsia="仿宋_GB2312"/>
          <w:sz w:val="30"/>
          <w:szCs w:val="30"/>
          <w:highlight w:val="none"/>
        </w:rPr>
        <w:t>（1</w:t>
      </w:r>
      <w:r>
        <w:rPr>
          <w:rFonts w:ascii="仿宋_GB2312" w:eastAsia="仿宋_GB2312"/>
          <w:sz w:val="30"/>
          <w:szCs w:val="30"/>
          <w:highlight w:val="none"/>
        </w:rPr>
        <w:t>1</w:t>
      </w:r>
      <w:r>
        <w:rPr>
          <w:rFonts w:hint="eastAsia" w:ascii="仿宋_GB2312" w:eastAsia="仿宋_GB2312"/>
          <w:sz w:val="30"/>
          <w:szCs w:val="30"/>
          <w:highlight w:val="none"/>
        </w:rPr>
        <w:t>行1</w:t>
      </w:r>
      <w:r>
        <w:rPr>
          <w:rFonts w:hint="eastAsia" w:ascii="仿宋_GB2312" w:eastAsia="仿宋_GB2312"/>
          <w:sz w:val="30"/>
          <w:szCs w:val="30"/>
          <w:highlight w:val="none"/>
          <w:lang w:val="en-US" w:eastAsia="zh-CN"/>
        </w:rPr>
        <w:t>8</w:t>
      </w:r>
      <w:r>
        <w:rPr>
          <w:rFonts w:hint="eastAsia" w:ascii="仿宋_GB2312" w:eastAsia="仿宋_GB2312"/>
          <w:sz w:val="30"/>
          <w:szCs w:val="30"/>
          <w:highlight w:val="none"/>
        </w:rPr>
        <w:t>~</w:t>
      </w:r>
      <w:r>
        <w:rPr>
          <w:rFonts w:hint="eastAsia" w:ascii="仿宋_GB2312" w:eastAsia="仿宋_GB2312"/>
          <w:sz w:val="30"/>
          <w:szCs w:val="30"/>
          <w:highlight w:val="none"/>
          <w:lang w:val="en-US" w:eastAsia="zh-CN"/>
        </w:rPr>
        <w:t>20</w:t>
      </w:r>
      <w:r>
        <w:rPr>
          <w:rFonts w:hint="eastAsia" w:ascii="仿宋_GB2312" w:eastAsia="仿宋_GB2312"/>
          <w:sz w:val="30"/>
          <w:szCs w:val="30"/>
          <w:highlight w:val="none"/>
        </w:rPr>
        <w:t>栏）；</w:t>
      </w:r>
    </w:p>
    <w:p w14:paraId="2DD76DC7">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lang w:val="en-US" w:eastAsia="zh-CN"/>
        </w:rPr>
        <w:t>车辆使用情况为“</w:t>
      </w:r>
      <w:r>
        <w:rPr>
          <w:rFonts w:hint="eastAsia" w:ascii="仿宋_GB2312" w:eastAsia="仿宋_GB2312"/>
          <w:sz w:val="30"/>
          <w:szCs w:val="30"/>
          <w:highlight w:val="none"/>
        </w:rPr>
        <w:t>待处置</w:t>
      </w:r>
      <w:r>
        <w:rPr>
          <w:rFonts w:hint="eastAsia" w:ascii="仿宋_GB2312" w:eastAsia="仿宋_GB2312"/>
          <w:sz w:val="30"/>
          <w:szCs w:val="30"/>
          <w:highlight w:val="none"/>
          <w:lang w:val="en-US" w:eastAsia="zh-CN"/>
        </w:rPr>
        <w:t>”</w:t>
      </w:r>
      <w:r>
        <w:rPr>
          <w:rFonts w:hint="eastAsia" w:ascii="仿宋_GB2312" w:eastAsia="仿宋_GB2312"/>
          <w:sz w:val="30"/>
          <w:szCs w:val="30"/>
          <w:highlight w:val="none"/>
        </w:rPr>
        <w:t>车辆的原值</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累计折旧、净值的浮动行（</w:t>
      </w:r>
      <w:r>
        <w:rPr>
          <w:rFonts w:hint="eastAsia" w:ascii="仿宋_GB2312" w:eastAsia="仿宋_GB2312"/>
          <w:sz w:val="30"/>
          <w:szCs w:val="30"/>
          <w:highlight w:val="none"/>
        </w:rPr>
        <w:t>1</w:t>
      </w:r>
      <w:r>
        <w:rPr>
          <w:rFonts w:hint="eastAsia" w:ascii="仿宋_GB2312" w:eastAsia="仿宋_GB2312"/>
          <w:sz w:val="30"/>
          <w:szCs w:val="30"/>
          <w:highlight w:val="none"/>
          <w:lang w:val="en-US" w:eastAsia="zh-CN"/>
        </w:rPr>
        <w:t>4</w:t>
      </w:r>
      <w:r>
        <w:rPr>
          <w:rFonts w:hint="eastAsia" w:ascii="仿宋_GB2312" w:eastAsia="仿宋_GB2312"/>
          <w:sz w:val="30"/>
          <w:szCs w:val="30"/>
          <w:highlight w:val="none"/>
        </w:rPr>
        <w:t>~1</w:t>
      </w:r>
      <w:r>
        <w:rPr>
          <w:rFonts w:hint="eastAsia" w:ascii="仿宋_GB2312" w:eastAsia="仿宋_GB2312"/>
          <w:sz w:val="30"/>
          <w:szCs w:val="30"/>
          <w:highlight w:val="none"/>
          <w:lang w:val="en-US" w:eastAsia="zh-CN"/>
        </w:rPr>
        <w:t>6</w:t>
      </w:r>
      <w:r>
        <w:rPr>
          <w:rFonts w:hint="eastAsia" w:ascii="仿宋_GB2312" w:eastAsia="仿宋_GB2312"/>
          <w:sz w:val="30"/>
          <w:szCs w:val="30"/>
          <w:highlight w:val="none"/>
        </w:rPr>
        <w:t>栏</w:t>
      </w:r>
      <w:r>
        <w:rPr>
          <w:rFonts w:hint="eastAsia" w:ascii="仿宋_GB2312" w:eastAsia="仿宋_GB2312"/>
          <w:sz w:val="30"/>
          <w:szCs w:val="30"/>
          <w:highlight w:val="none"/>
          <w:lang w:val="en-US" w:eastAsia="zh-CN"/>
        </w:rPr>
        <w:t>）</w:t>
      </w:r>
      <w:r>
        <w:rPr>
          <w:rFonts w:hint="eastAsia" w:ascii="仿宋_GB2312" w:eastAsia="仿宋_GB2312"/>
          <w:sz w:val="30"/>
          <w:szCs w:val="30"/>
          <w:highlight w:val="none"/>
        </w:rPr>
        <w:t>之和</w:t>
      </w:r>
      <w:r>
        <w:rPr>
          <w:rFonts w:hint="eastAsia" w:ascii="仿宋_GB2312" w:eastAsia="仿宋_GB2312"/>
          <w:sz w:val="30"/>
          <w:szCs w:val="30"/>
          <w:highlight w:val="none"/>
          <w:lang w:val="en-US" w:eastAsia="zh-CN"/>
        </w:rPr>
        <w:t>分别对应等于</w:t>
      </w:r>
      <w:r>
        <w:rPr>
          <w:rFonts w:hint="eastAsia" w:ascii="仿宋_GB2312" w:eastAsia="仿宋_GB2312"/>
          <w:sz w:val="30"/>
          <w:szCs w:val="30"/>
          <w:highlight w:val="none"/>
        </w:rPr>
        <w:t>财资03固定和无形资产存量情况表待处置车辆的原值</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累计折旧、净值</w:t>
      </w:r>
      <w:r>
        <w:rPr>
          <w:rFonts w:hint="eastAsia" w:ascii="仿宋_GB2312" w:eastAsia="仿宋_GB2312"/>
          <w:sz w:val="30"/>
          <w:szCs w:val="30"/>
          <w:highlight w:val="none"/>
        </w:rPr>
        <w:t>（1</w:t>
      </w:r>
      <w:r>
        <w:rPr>
          <w:rFonts w:ascii="仿宋_GB2312" w:eastAsia="仿宋_GB2312"/>
          <w:sz w:val="30"/>
          <w:szCs w:val="30"/>
          <w:highlight w:val="none"/>
        </w:rPr>
        <w:t>1</w:t>
      </w:r>
      <w:r>
        <w:rPr>
          <w:rFonts w:hint="eastAsia" w:ascii="仿宋_GB2312" w:eastAsia="仿宋_GB2312"/>
          <w:sz w:val="30"/>
          <w:szCs w:val="30"/>
          <w:highlight w:val="none"/>
        </w:rPr>
        <w:t>行</w:t>
      </w:r>
      <w:r>
        <w:rPr>
          <w:rFonts w:hint="eastAsia" w:ascii="仿宋_GB2312" w:eastAsia="仿宋_GB2312"/>
          <w:sz w:val="30"/>
          <w:szCs w:val="30"/>
          <w:highlight w:val="none"/>
          <w:lang w:val="en-US" w:eastAsia="zh-CN"/>
        </w:rPr>
        <w:t>26</w:t>
      </w:r>
      <w:r>
        <w:rPr>
          <w:rFonts w:hint="eastAsia" w:ascii="仿宋_GB2312" w:eastAsia="仿宋_GB2312"/>
          <w:sz w:val="30"/>
          <w:szCs w:val="30"/>
          <w:highlight w:val="none"/>
        </w:rPr>
        <w:t>~</w:t>
      </w:r>
      <w:r>
        <w:rPr>
          <w:rFonts w:hint="eastAsia" w:ascii="仿宋_GB2312" w:eastAsia="仿宋_GB2312"/>
          <w:sz w:val="30"/>
          <w:szCs w:val="30"/>
          <w:highlight w:val="none"/>
          <w:lang w:val="en-US" w:eastAsia="zh-CN"/>
        </w:rPr>
        <w:t>28</w:t>
      </w:r>
      <w:r>
        <w:rPr>
          <w:rFonts w:hint="eastAsia" w:ascii="仿宋_GB2312" w:eastAsia="仿宋_GB2312"/>
          <w:sz w:val="30"/>
          <w:szCs w:val="30"/>
          <w:highlight w:val="none"/>
        </w:rPr>
        <w:t>栏）；</w:t>
      </w:r>
    </w:p>
    <w:p w14:paraId="08AC47A1">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rPr>
        <w:t>编制情况（</w:t>
      </w:r>
      <w:r>
        <w:rPr>
          <w:rFonts w:hint="eastAsia" w:ascii="仿宋_GB2312" w:eastAsia="仿宋_GB2312"/>
          <w:sz w:val="30"/>
          <w:szCs w:val="30"/>
          <w:highlight w:val="none"/>
          <w:lang w:val="en-US" w:eastAsia="zh-CN"/>
        </w:rPr>
        <w:t>4</w:t>
      </w:r>
      <w:r>
        <w:rPr>
          <w:rFonts w:hint="eastAsia" w:ascii="仿宋_GB2312" w:eastAsia="仿宋_GB2312"/>
          <w:sz w:val="30"/>
          <w:szCs w:val="30"/>
          <w:highlight w:val="none"/>
        </w:rPr>
        <w:t>栏）为“在编”时，机构人员情况表中对应车辆</w:t>
      </w:r>
      <w:r>
        <w:rPr>
          <w:rFonts w:hint="eastAsia" w:ascii="仿宋_GB2312" w:eastAsia="仿宋_GB2312"/>
          <w:sz w:val="30"/>
          <w:szCs w:val="30"/>
          <w:highlight w:val="none"/>
          <w:lang w:val="en-US" w:eastAsia="zh-CN"/>
        </w:rPr>
        <w:t>用途</w:t>
      </w:r>
      <w:r>
        <w:rPr>
          <w:rFonts w:hint="eastAsia" w:ascii="仿宋_GB2312" w:eastAsia="仿宋_GB2312"/>
          <w:sz w:val="30"/>
          <w:szCs w:val="30"/>
          <w:highlight w:val="none"/>
        </w:rPr>
        <w:t>的车辆编制情况需大于</w:t>
      </w:r>
      <w:r>
        <w:rPr>
          <w:rFonts w:ascii="仿宋_GB2312" w:eastAsia="仿宋_GB2312"/>
          <w:sz w:val="30"/>
          <w:szCs w:val="30"/>
          <w:highlight w:val="none"/>
        </w:rPr>
        <w:t>0</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车辆用途</w:t>
      </w:r>
      <w:r>
        <w:rPr>
          <w:rFonts w:hint="eastAsia" w:ascii="仿宋_GB2312" w:hAnsi="仿宋" w:eastAsia="仿宋_GB2312"/>
          <w:sz w:val="30"/>
          <w:szCs w:val="30"/>
          <w:highlight w:val="none"/>
        </w:rPr>
        <w:t>无对应分类的</w:t>
      </w:r>
      <w:r>
        <w:rPr>
          <w:rFonts w:hint="eastAsia" w:ascii="仿宋_GB2312" w:hAnsi="仿宋" w:eastAsia="仿宋_GB2312"/>
          <w:sz w:val="30"/>
          <w:szCs w:val="30"/>
          <w:highlight w:val="none"/>
          <w:lang w:val="en-US" w:eastAsia="zh-CN"/>
        </w:rPr>
        <w:t>对应至</w:t>
      </w:r>
      <w:r>
        <w:rPr>
          <w:rFonts w:hint="eastAsia" w:ascii="仿宋_GB2312" w:hAnsi="仿宋" w:eastAsia="仿宋_GB2312"/>
          <w:sz w:val="30"/>
          <w:szCs w:val="30"/>
          <w:highlight w:val="none"/>
        </w:rPr>
        <w:t>“其他用车</w:t>
      </w:r>
      <w:r>
        <w:rPr>
          <w:rFonts w:hint="eastAsia" w:ascii="仿宋_GB2312" w:hAnsi="仿宋" w:eastAsia="仿宋_GB2312"/>
          <w:sz w:val="30"/>
          <w:szCs w:val="30"/>
          <w:highlight w:val="none"/>
          <w:lang w:eastAsia="zh-CN"/>
        </w:rPr>
        <w:t>”</w:t>
      </w:r>
      <w:r>
        <w:rPr>
          <w:rFonts w:hint="eastAsia" w:ascii="仿宋_GB2312" w:eastAsia="仿宋_GB2312"/>
          <w:sz w:val="30"/>
          <w:szCs w:val="30"/>
          <w:highlight w:val="none"/>
          <w:lang w:eastAsia="zh-CN"/>
        </w:rPr>
        <w:t>）。</w:t>
      </w:r>
    </w:p>
    <w:bookmarkEnd w:id="8"/>
    <w:p w14:paraId="48DA5618">
      <w:pPr>
        <w:spacing w:line="360" w:lineRule="auto"/>
        <w:ind w:firstLine="578" w:firstLineChars="192"/>
        <w:rPr>
          <w:rFonts w:hint="eastAsia" w:ascii="仿宋_GB2312" w:hAnsi="仿宋" w:eastAsia="仿宋_GB2312"/>
          <w:b/>
          <w:sz w:val="30"/>
          <w:szCs w:val="30"/>
          <w:highlight w:val="none"/>
        </w:rPr>
      </w:pPr>
      <w:r>
        <w:rPr>
          <w:rFonts w:hint="eastAsia" w:ascii="仿宋_GB2312" w:hAnsi="仿宋" w:eastAsia="仿宋_GB2312"/>
          <w:b/>
          <w:sz w:val="30"/>
          <w:szCs w:val="30"/>
          <w:highlight w:val="none"/>
        </w:rPr>
        <w:t>核实性公式：</w:t>
      </w:r>
    </w:p>
    <w:p w14:paraId="47E5EEF9">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lang w:eastAsia="zh-CN"/>
        </w:rPr>
        <w:t>使用状况</w:t>
      </w:r>
      <w:r>
        <w:rPr>
          <w:rFonts w:hint="eastAsia" w:ascii="仿宋_GB2312" w:eastAsia="仿宋_GB2312"/>
          <w:sz w:val="30"/>
          <w:szCs w:val="30"/>
          <w:highlight w:val="none"/>
        </w:rPr>
        <w:t>（1</w:t>
      </w:r>
      <w:r>
        <w:rPr>
          <w:rFonts w:hint="eastAsia" w:ascii="仿宋_GB2312" w:eastAsia="仿宋_GB2312"/>
          <w:sz w:val="30"/>
          <w:szCs w:val="30"/>
          <w:highlight w:val="none"/>
          <w:lang w:val="en-US" w:eastAsia="zh-CN"/>
        </w:rPr>
        <w:t>7</w:t>
      </w:r>
      <w:r>
        <w:rPr>
          <w:rFonts w:hint="eastAsia" w:ascii="仿宋_GB2312" w:eastAsia="仿宋_GB2312"/>
          <w:sz w:val="30"/>
          <w:szCs w:val="30"/>
          <w:highlight w:val="none"/>
        </w:rPr>
        <w:t>栏）为“闲置”车辆数量合计/所有车辆数量合计</w:t>
      </w:r>
      <w:r>
        <w:rPr>
          <w:rFonts w:hint="eastAsia" w:ascii="仿宋_GB2312" w:eastAsia="仿宋_GB2312"/>
          <w:sz w:val="30"/>
          <w:szCs w:val="30"/>
          <w:highlight w:val="none"/>
          <w:lang w:val="en-US" w:eastAsia="zh-CN"/>
        </w:rPr>
        <w:t>大于</w:t>
      </w:r>
      <w:r>
        <w:rPr>
          <w:rFonts w:hint="eastAsia" w:ascii="仿宋_GB2312" w:eastAsia="仿宋_GB2312"/>
          <w:sz w:val="30"/>
          <w:szCs w:val="30"/>
          <w:highlight w:val="none"/>
        </w:rPr>
        <w:t>20%</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提示核实性错误</w:t>
      </w:r>
      <w:r>
        <w:rPr>
          <w:rFonts w:hint="eastAsia" w:ascii="仿宋_GB2312" w:hAnsi="仿宋" w:eastAsia="仿宋_GB2312"/>
          <w:sz w:val="30"/>
          <w:szCs w:val="30"/>
          <w:highlight w:val="none"/>
        </w:rPr>
        <w:t>，需结合实际情况修改或填写情况说明；</w:t>
      </w:r>
    </w:p>
    <w:p w14:paraId="30B6FCB5">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rPr>
        <w:t>车辆用途（1</w:t>
      </w:r>
      <w:r>
        <w:rPr>
          <w:rFonts w:hint="eastAsia" w:ascii="仿宋_GB2312" w:eastAsia="仿宋_GB2312"/>
          <w:sz w:val="30"/>
          <w:szCs w:val="30"/>
          <w:highlight w:val="none"/>
          <w:lang w:val="en-US" w:eastAsia="zh-CN"/>
        </w:rPr>
        <w:t>9</w:t>
      </w:r>
      <w:r>
        <w:rPr>
          <w:rFonts w:hint="eastAsia" w:ascii="仿宋_GB2312" w:eastAsia="仿宋_GB2312"/>
          <w:sz w:val="30"/>
          <w:szCs w:val="30"/>
          <w:highlight w:val="none"/>
        </w:rPr>
        <w:t>栏）</w:t>
      </w:r>
      <w:r>
        <w:rPr>
          <w:rFonts w:ascii="仿宋_GB2312" w:eastAsia="仿宋_GB2312"/>
          <w:sz w:val="30"/>
          <w:szCs w:val="30"/>
          <w:highlight w:val="none"/>
        </w:rPr>
        <w:t>为</w:t>
      </w:r>
      <w:r>
        <w:rPr>
          <w:rFonts w:hint="eastAsia" w:ascii="仿宋_GB2312" w:eastAsia="仿宋_GB2312"/>
          <w:sz w:val="30"/>
          <w:szCs w:val="30"/>
          <w:highlight w:val="none"/>
        </w:rPr>
        <w:t>“</w:t>
      </w:r>
      <w:r>
        <w:rPr>
          <w:rFonts w:hint="eastAsia" w:ascii="仿宋_GB2312" w:hAnsi="仿宋" w:eastAsia="仿宋_GB2312"/>
          <w:sz w:val="30"/>
          <w:szCs w:val="30"/>
          <w:highlight w:val="none"/>
        </w:rPr>
        <w:t>副部（省）级及以上领导用车</w:t>
      </w:r>
      <w:r>
        <w:rPr>
          <w:rFonts w:hint="eastAsia" w:ascii="仿宋_GB2312" w:eastAsia="仿宋_GB2312"/>
          <w:sz w:val="30"/>
          <w:szCs w:val="30"/>
          <w:highlight w:val="none"/>
        </w:rPr>
        <w:t>”车辆</w:t>
      </w:r>
      <w:r>
        <w:rPr>
          <w:rFonts w:ascii="仿宋_GB2312" w:eastAsia="仿宋_GB2312"/>
          <w:sz w:val="30"/>
          <w:szCs w:val="30"/>
          <w:highlight w:val="none"/>
        </w:rPr>
        <w:t>数量合计</w:t>
      </w:r>
      <w:r>
        <w:rPr>
          <w:rFonts w:hint="eastAsia" w:ascii="仿宋_GB2312" w:eastAsia="仿宋_GB2312"/>
          <w:sz w:val="30"/>
          <w:szCs w:val="30"/>
          <w:highlight w:val="none"/>
          <w:lang w:val="en-US" w:eastAsia="zh-CN"/>
        </w:rPr>
        <w:t>大于</w:t>
      </w:r>
      <w:r>
        <w:rPr>
          <w:rFonts w:hint="eastAsia" w:ascii="仿宋_GB2312" w:eastAsia="仿宋_GB2312"/>
          <w:sz w:val="30"/>
          <w:szCs w:val="30"/>
          <w:highlight w:val="none"/>
        </w:rPr>
        <w:t>50，提示核实性错误</w:t>
      </w:r>
      <w:r>
        <w:rPr>
          <w:rFonts w:hint="eastAsia" w:ascii="仿宋_GB2312" w:hAnsi="仿宋" w:eastAsia="仿宋_GB2312"/>
          <w:sz w:val="30"/>
          <w:szCs w:val="30"/>
          <w:highlight w:val="none"/>
        </w:rPr>
        <w:t>，需结合实际情况修改或填写情况说明；</w:t>
      </w:r>
    </w:p>
    <w:p w14:paraId="271EFEB7">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rPr>
        <w:t>单个车辆原值（浮动行1</w:t>
      </w:r>
      <w:r>
        <w:rPr>
          <w:rFonts w:hint="eastAsia" w:ascii="仿宋_GB2312" w:eastAsia="仿宋_GB2312"/>
          <w:sz w:val="30"/>
          <w:szCs w:val="30"/>
          <w:highlight w:val="none"/>
          <w:lang w:val="en-US" w:eastAsia="zh-CN"/>
        </w:rPr>
        <w:t>4</w:t>
      </w:r>
      <w:r>
        <w:rPr>
          <w:rFonts w:hint="eastAsia" w:ascii="仿宋_GB2312" w:eastAsia="仿宋_GB2312"/>
          <w:sz w:val="30"/>
          <w:szCs w:val="30"/>
          <w:highlight w:val="none"/>
        </w:rPr>
        <w:t>栏）</w:t>
      </w:r>
      <w:r>
        <w:rPr>
          <w:rFonts w:hint="eastAsia" w:ascii="仿宋_GB2312" w:eastAsia="仿宋_GB2312"/>
          <w:sz w:val="30"/>
          <w:szCs w:val="30"/>
          <w:highlight w:val="none"/>
          <w:lang w:val="en-US" w:eastAsia="zh-CN"/>
        </w:rPr>
        <w:t>小于</w:t>
      </w:r>
      <w:r>
        <w:rPr>
          <w:rFonts w:ascii="仿宋_GB2312" w:eastAsia="仿宋_GB2312"/>
          <w:sz w:val="30"/>
          <w:szCs w:val="30"/>
          <w:highlight w:val="none"/>
        </w:rPr>
        <w:t>10000</w:t>
      </w:r>
      <w:r>
        <w:rPr>
          <w:rFonts w:hint="eastAsia" w:ascii="仿宋_GB2312" w:eastAsia="仿宋_GB2312"/>
          <w:sz w:val="30"/>
          <w:szCs w:val="30"/>
          <w:highlight w:val="none"/>
        </w:rPr>
        <w:t>，提示核实性错误</w:t>
      </w:r>
      <w:r>
        <w:rPr>
          <w:rFonts w:hint="eastAsia" w:ascii="仿宋_GB2312" w:hAnsi="仿宋" w:eastAsia="仿宋_GB2312"/>
          <w:sz w:val="30"/>
          <w:szCs w:val="30"/>
          <w:highlight w:val="none"/>
        </w:rPr>
        <w:t>，需结合实际情况修改或填写情况说明；</w:t>
      </w:r>
    </w:p>
    <w:p w14:paraId="4D793A96">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rPr>
        <w:t>车牌号（1</w:t>
      </w:r>
      <w:r>
        <w:rPr>
          <w:rFonts w:hint="eastAsia" w:ascii="仿宋_GB2312" w:eastAsia="仿宋_GB2312"/>
          <w:sz w:val="30"/>
          <w:szCs w:val="30"/>
          <w:highlight w:val="none"/>
          <w:lang w:val="en-US" w:eastAsia="zh-CN"/>
        </w:rPr>
        <w:t>3</w:t>
      </w:r>
      <w:r>
        <w:rPr>
          <w:rFonts w:hint="eastAsia" w:ascii="仿宋_GB2312" w:eastAsia="仿宋_GB2312"/>
          <w:sz w:val="30"/>
          <w:szCs w:val="30"/>
          <w:highlight w:val="none"/>
        </w:rPr>
        <w:t>栏）应大于等于7个字符小于等于9个字符，否则提示核实性错误</w:t>
      </w:r>
      <w:r>
        <w:rPr>
          <w:rFonts w:hint="eastAsia" w:ascii="仿宋_GB2312" w:hAnsi="仿宋" w:eastAsia="仿宋_GB2312"/>
          <w:sz w:val="30"/>
          <w:szCs w:val="30"/>
          <w:highlight w:val="none"/>
        </w:rPr>
        <w:t>，需结合实际情况修改或填写情况说明；</w:t>
      </w:r>
    </w:p>
    <w:p w14:paraId="671A2A99">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rPr>
        <w:t>当车辆用途（1</w:t>
      </w:r>
      <w:r>
        <w:rPr>
          <w:rFonts w:hint="eastAsia" w:ascii="仿宋_GB2312" w:eastAsia="仿宋_GB2312"/>
          <w:sz w:val="30"/>
          <w:szCs w:val="30"/>
          <w:highlight w:val="none"/>
          <w:lang w:val="en-US" w:eastAsia="zh-CN"/>
        </w:rPr>
        <w:t>9</w:t>
      </w:r>
      <w:r>
        <w:rPr>
          <w:rFonts w:hint="eastAsia" w:ascii="仿宋_GB2312" w:eastAsia="仿宋_GB2312"/>
          <w:sz w:val="30"/>
          <w:szCs w:val="30"/>
          <w:highlight w:val="none"/>
        </w:rPr>
        <w:t>栏）</w:t>
      </w:r>
      <w:r>
        <w:rPr>
          <w:rFonts w:hint="eastAsia" w:ascii="仿宋_GB2312" w:hAnsi="仿宋" w:eastAsia="仿宋_GB2312"/>
          <w:sz w:val="30"/>
          <w:szCs w:val="30"/>
          <w:highlight w:val="none"/>
        </w:rPr>
        <w:t>选择“执法执勤用车”且执法执勤用车是否喷涂标识（</w:t>
      </w:r>
      <w:r>
        <w:rPr>
          <w:rFonts w:hint="eastAsia" w:ascii="仿宋_GB2312" w:hAnsi="仿宋" w:eastAsia="仿宋_GB2312"/>
          <w:sz w:val="30"/>
          <w:szCs w:val="30"/>
          <w:highlight w:val="none"/>
          <w:lang w:val="en-US" w:eastAsia="zh-CN"/>
        </w:rPr>
        <w:t>20</w:t>
      </w:r>
      <w:r>
        <w:rPr>
          <w:rFonts w:ascii="仿宋_GB2312" w:hAnsi="仿宋" w:eastAsia="仿宋_GB2312"/>
          <w:sz w:val="30"/>
          <w:szCs w:val="30"/>
          <w:highlight w:val="none"/>
        </w:rPr>
        <w:t>栏</w:t>
      </w:r>
      <w:r>
        <w:rPr>
          <w:rFonts w:hint="eastAsia" w:ascii="仿宋_GB2312" w:hAnsi="仿宋" w:eastAsia="仿宋_GB2312"/>
          <w:sz w:val="30"/>
          <w:szCs w:val="30"/>
          <w:highlight w:val="none"/>
        </w:rPr>
        <w:t>）选择“否”时，提示核实性错误，需结合实际情况修改或填写情况说明；</w:t>
      </w:r>
    </w:p>
    <w:p w14:paraId="2BA16086">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rPr>
        <w:t>当车辆编制情况（</w:t>
      </w:r>
      <w:r>
        <w:rPr>
          <w:rFonts w:hint="eastAsia" w:ascii="仿宋_GB2312" w:eastAsia="仿宋_GB2312"/>
          <w:sz w:val="30"/>
          <w:szCs w:val="30"/>
          <w:highlight w:val="none"/>
          <w:lang w:val="en-US" w:eastAsia="zh-CN"/>
        </w:rPr>
        <w:t>4</w:t>
      </w:r>
      <w:r>
        <w:rPr>
          <w:rFonts w:hint="eastAsia" w:ascii="仿宋_GB2312" w:eastAsia="仿宋_GB2312"/>
          <w:sz w:val="30"/>
          <w:szCs w:val="30"/>
          <w:highlight w:val="none"/>
        </w:rPr>
        <w:t>栏）为在编，且车辆用途（1</w:t>
      </w:r>
      <w:r>
        <w:rPr>
          <w:rFonts w:hint="eastAsia" w:ascii="仿宋_GB2312" w:eastAsia="仿宋_GB2312"/>
          <w:sz w:val="30"/>
          <w:szCs w:val="30"/>
          <w:highlight w:val="none"/>
          <w:lang w:val="en-US" w:eastAsia="zh-CN"/>
        </w:rPr>
        <w:t>9</w:t>
      </w:r>
      <w:r>
        <w:rPr>
          <w:rFonts w:hint="eastAsia" w:ascii="仿宋_GB2312" w:eastAsia="仿宋_GB2312"/>
          <w:sz w:val="30"/>
          <w:szCs w:val="30"/>
          <w:highlight w:val="none"/>
        </w:rPr>
        <w:t>栏）同类之和大于财资02机构人员情况表中对应编制数时，提示核实性错误，需结合实际情况修改或填写情况说明。</w:t>
      </w:r>
    </w:p>
    <w:p w14:paraId="549FD581">
      <w:pPr>
        <w:pStyle w:val="2"/>
        <w:rPr>
          <w:rFonts w:hint="eastAsia"/>
          <w:b/>
          <w:color w:val="auto"/>
          <w:highlight w:val="none"/>
        </w:rPr>
      </w:pPr>
      <w:r>
        <w:rPr>
          <w:rFonts w:hint="eastAsia"/>
          <w:color w:val="auto"/>
          <w:highlight w:val="none"/>
        </w:rPr>
        <w:t>（八）在建工程情况表（财资0</w:t>
      </w:r>
      <w:r>
        <w:rPr>
          <w:color w:val="auto"/>
          <w:highlight w:val="none"/>
        </w:rPr>
        <w:t>7</w:t>
      </w:r>
      <w:r>
        <w:rPr>
          <w:rFonts w:hint="eastAsia"/>
          <w:color w:val="auto"/>
          <w:highlight w:val="none"/>
        </w:rPr>
        <w:t>表）</w:t>
      </w:r>
    </w:p>
    <w:p w14:paraId="5B3B4474">
      <w:pPr>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本表反映行政事业单位年末在建工程情况，包括基本建设项目以及不属于基本建设项目的各种建筑工程、设备安装工程、信息系统建设等。本表从上年该表提取（删除上年已转固的），并根据在建工程项目本期实际情况逐项手工修改。当年投建当年转固的无需填报。</w:t>
      </w:r>
    </w:p>
    <w:p w14:paraId="1F3BB1FB">
      <w:pPr>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已转固包括在建工程转为固定资产、无形资产或公共基础设施等。</w:t>
      </w:r>
    </w:p>
    <w:p w14:paraId="7F639A7A">
      <w:pPr>
        <w:pStyle w:val="6"/>
        <w:spacing w:line="360" w:lineRule="auto"/>
        <w:ind w:firstLine="648" w:firstLineChars="0"/>
        <w:rPr>
          <w:rFonts w:hint="eastAsia" w:hAnsi="仿宋"/>
          <w:b/>
          <w:bCs/>
          <w:sz w:val="30"/>
          <w:szCs w:val="30"/>
          <w:highlight w:val="none"/>
        </w:rPr>
      </w:pPr>
      <w:r>
        <w:rPr>
          <w:rFonts w:hint="eastAsia" w:hAnsi="仿宋"/>
          <w:b/>
          <w:bCs/>
          <w:sz w:val="30"/>
          <w:szCs w:val="30"/>
          <w:highlight w:val="none"/>
        </w:rPr>
        <w:t>主要指标</w:t>
      </w:r>
      <w:r>
        <w:rPr>
          <w:rFonts w:hAnsi="仿宋"/>
          <w:b/>
          <w:bCs/>
          <w:sz w:val="30"/>
          <w:szCs w:val="30"/>
          <w:highlight w:val="none"/>
        </w:rPr>
        <w:t>说明：</w:t>
      </w:r>
    </w:p>
    <w:p w14:paraId="55F04E8A">
      <w:pPr>
        <w:spacing w:line="360" w:lineRule="auto"/>
        <w:ind w:firstLine="600" w:firstLineChars="200"/>
        <w:rPr>
          <w:rFonts w:hint="eastAsia" w:ascii="仿宋_GB2312" w:hAnsi="仿宋" w:eastAsia="仿宋_GB2312"/>
          <w:bCs/>
          <w:sz w:val="30"/>
          <w:szCs w:val="30"/>
          <w:highlight w:val="none"/>
        </w:rPr>
      </w:pPr>
      <w:r>
        <w:rPr>
          <w:rFonts w:hint="eastAsia" w:ascii="仿宋_GB2312" w:hAnsi="仿宋" w:eastAsia="仿宋_GB2312"/>
          <w:bCs/>
          <w:sz w:val="30"/>
          <w:szCs w:val="30"/>
          <w:highlight w:val="none"/>
        </w:rPr>
        <w:t>1</w:t>
      </w:r>
      <w:r>
        <w:rPr>
          <w:rFonts w:ascii="仿宋_GB2312" w:hAnsi="仿宋" w:eastAsia="仿宋_GB2312"/>
          <w:bCs/>
          <w:sz w:val="30"/>
          <w:szCs w:val="30"/>
          <w:highlight w:val="none"/>
        </w:rPr>
        <w:t>.</w:t>
      </w:r>
      <w:r>
        <w:rPr>
          <w:rFonts w:hint="eastAsia" w:ascii="仿宋_GB2312" w:hAnsi="仿宋" w:eastAsia="仿宋_GB2312"/>
          <w:bCs/>
          <w:sz w:val="30"/>
          <w:szCs w:val="30"/>
          <w:highlight w:val="none"/>
        </w:rPr>
        <w:t>项目名称：填列在建工程项目名称。</w:t>
      </w:r>
    </w:p>
    <w:p w14:paraId="57FDF5FB">
      <w:pPr>
        <w:spacing w:line="360" w:lineRule="auto"/>
        <w:ind w:firstLine="600" w:firstLineChars="200"/>
        <w:rPr>
          <w:rFonts w:hint="eastAsia" w:ascii="仿宋_GB2312" w:hAnsi="仿宋" w:eastAsia="仿宋_GB2312"/>
          <w:b/>
          <w:bCs/>
          <w:sz w:val="30"/>
          <w:szCs w:val="30"/>
          <w:highlight w:val="none"/>
        </w:rPr>
      </w:pPr>
      <w:r>
        <w:rPr>
          <w:rFonts w:hint="eastAsia" w:ascii="仿宋_GB2312" w:hAnsi="仿宋" w:eastAsia="仿宋_GB2312"/>
          <w:bCs/>
          <w:sz w:val="30"/>
          <w:szCs w:val="30"/>
          <w:highlight w:val="none"/>
        </w:rPr>
        <w:t>2</w:t>
      </w:r>
      <w:r>
        <w:rPr>
          <w:rFonts w:ascii="仿宋_GB2312" w:hAnsi="仿宋" w:eastAsia="仿宋_GB2312"/>
          <w:bCs/>
          <w:sz w:val="30"/>
          <w:szCs w:val="30"/>
          <w:highlight w:val="none"/>
        </w:rPr>
        <w:t>.</w:t>
      </w:r>
      <w:r>
        <w:rPr>
          <w:rFonts w:hint="eastAsia" w:ascii="仿宋_GB2312" w:hAnsi="仿宋" w:eastAsia="仿宋_GB2312"/>
          <w:bCs/>
          <w:sz w:val="30"/>
          <w:szCs w:val="30"/>
          <w:highlight w:val="none"/>
        </w:rPr>
        <w:t>开工日期：《建筑工程施工许可证》或已批准的开工报告注明的开工日期；无施工许可证或无相关批复的，填写实际开工日期。</w:t>
      </w:r>
    </w:p>
    <w:p w14:paraId="5474562F">
      <w:pPr>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bCs/>
          <w:sz w:val="30"/>
          <w:szCs w:val="30"/>
          <w:highlight w:val="none"/>
        </w:rPr>
        <w:t>3</w:t>
      </w:r>
      <w:r>
        <w:rPr>
          <w:rFonts w:ascii="仿宋_GB2312" w:hAnsi="仿宋" w:eastAsia="仿宋_GB2312"/>
          <w:bCs/>
          <w:sz w:val="30"/>
          <w:szCs w:val="30"/>
          <w:highlight w:val="none"/>
        </w:rPr>
        <w:t>.</w:t>
      </w:r>
      <w:r>
        <w:rPr>
          <w:rFonts w:hint="eastAsia" w:ascii="仿宋_GB2312" w:hAnsi="仿宋" w:eastAsia="仿宋_GB2312"/>
          <w:bCs/>
          <w:sz w:val="30"/>
          <w:szCs w:val="30"/>
          <w:highlight w:val="none"/>
        </w:rPr>
        <w:t>工程建设情况：</w:t>
      </w:r>
      <w:r>
        <w:rPr>
          <w:rFonts w:hint="eastAsia" w:ascii="仿宋_GB2312" w:hAnsi="仿宋" w:eastAsia="仿宋_GB2312"/>
          <w:sz w:val="30"/>
          <w:szCs w:val="30"/>
          <w:highlight w:val="none"/>
        </w:rPr>
        <w:t>按在建、停建、建成未使用、已投入使用、已转固、其他选择填列。如该在建工程已部分转固、处置、移交、账务调整等，可选择其他。如选填“建成未使用”则需在备注栏填写未使用原因；若选填“已投入使用”，则需同时填写“投入使用日期”和“未转固原因”。</w:t>
      </w:r>
    </w:p>
    <w:p w14:paraId="7B83BDD8">
      <w:pPr>
        <w:spacing w:line="360" w:lineRule="auto"/>
        <w:ind w:firstLine="600" w:firstLineChars="200"/>
        <w:rPr>
          <w:rFonts w:hint="eastAsia" w:ascii="仿宋_GB2312" w:hAnsi="仿宋" w:eastAsia="仿宋_GB2312"/>
          <w:bCs/>
          <w:sz w:val="30"/>
          <w:szCs w:val="30"/>
          <w:highlight w:val="none"/>
        </w:rPr>
      </w:pPr>
      <w:r>
        <w:rPr>
          <w:rFonts w:hint="eastAsia" w:ascii="仿宋_GB2312" w:hAnsi="仿宋" w:eastAsia="仿宋_GB2312"/>
          <w:sz w:val="30"/>
          <w:szCs w:val="30"/>
          <w:highlight w:val="none"/>
        </w:rPr>
        <w:t>4</w:t>
      </w:r>
      <w:r>
        <w:rPr>
          <w:rFonts w:ascii="仿宋_GB2312" w:hAnsi="仿宋" w:eastAsia="仿宋_GB2312"/>
          <w:sz w:val="30"/>
          <w:szCs w:val="30"/>
          <w:highlight w:val="none"/>
        </w:rPr>
        <w:t>.</w:t>
      </w:r>
      <w:r>
        <w:rPr>
          <w:rFonts w:hint="eastAsia" w:ascii="仿宋_GB2312" w:hAnsi="仿宋" w:eastAsia="仿宋_GB2312"/>
          <w:bCs/>
          <w:sz w:val="30"/>
          <w:szCs w:val="30"/>
          <w:highlight w:val="none"/>
        </w:rPr>
        <w:t>计划投资总额：根据在建工程项目总概算数额填列，如有调整，按调整后的金额填列。</w:t>
      </w:r>
    </w:p>
    <w:p w14:paraId="3B52F746">
      <w:pPr>
        <w:spacing w:line="360" w:lineRule="auto"/>
        <w:ind w:firstLine="600" w:firstLineChars="200"/>
        <w:rPr>
          <w:rFonts w:hint="eastAsia" w:ascii="仿宋_GB2312" w:hAnsi="仿宋" w:eastAsia="仿宋_GB2312"/>
          <w:b/>
          <w:bCs/>
          <w:sz w:val="30"/>
          <w:szCs w:val="30"/>
          <w:highlight w:val="none"/>
        </w:rPr>
      </w:pPr>
      <w:r>
        <w:rPr>
          <w:rFonts w:hint="eastAsia" w:ascii="仿宋_GB2312" w:hAnsi="仿宋" w:eastAsia="仿宋_GB2312"/>
          <w:bCs/>
          <w:sz w:val="30"/>
          <w:szCs w:val="30"/>
          <w:highlight w:val="none"/>
        </w:rPr>
        <w:t>5</w:t>
      </w:r>
      <w:r>
        <w:rPr>
          <w:rFonts w:ascii="仿宋_GB2312" w:hAnsi="仿宋" w:eastAsia="仿宋_GB2312"/>
          <w:bCs/>
          <w:sz w:val="30"/>
          <w:szCs w:val="30"/>
          <w:highlight w:val="none"/>
        </w:rPr>
        <w:t>.</w:t>
      </w:r>
      <w:r>
        <w:rPr>
          <w:rFonts w:hint="eastAsia" w:ascii="仿宋_GB2312" w:hAnsi="仿宋" w:eastAsia="仿宋_GB2312"/>
          <w:bCs/>
          <w:sz w:val="30"/>
          <w:szCs w:val="30"/>
          <w:highlight w:val="none"/>
        </w:rPr>
        <w:t>累计完成投资：根据在建工程项目历年累计已到位的投资金额填列。</w:t>
      </w:r>
    </w:p>
    <w:p w14:paraId="0164C1EB">
      <w:pPr>
        <w:spacing w:line="360" w:lineRule="auto"/>
        <w:ind w:firstLine="600" w:firstLineChars="200"/>
        <w:rPr>
          <w:rFonts w:hint="eastAsia" w:ascii="仿宋_GB2312" w:hAnsi="仿宋" w:eastAsia="仿宋_GB2312"/>
          <w:bCs/>
          <w:sz w:val="30"/>
          <w:szCs w:val="30"/>
          <w:highlight w:val="none"/>
        </w:rPr>
      </w:pPr>
      <w:r>
        <w:rPr>
          <w:rFonts w:hint="eastAsia" w:ascii="仿宋_GB2312" w:hAnsi="仿宋" w:eastAsia="仿宋_GB2312"/>
          <w:bCs/>
          <w:sz w:val="30"/>
          <w:szCs w:val="30"/>
          <w:highlight w:val="none"/>
        </w:rPr>
        <w:t>6.当年投资额：根据在建工程项目当年已到位的投资金额填列。</w:t>
      </w:r>
    </w:p>
    <w:p w14:paraId="6E01186B">
      <w:pPr>
        <w:spacing w:line="360" w:lineRule="auto"/>
        <w:ind w:firstLine="600" w:firstLineChars="200"/>
        <w:rPr>
          <w:rFonts w:hint="eastAsia" w:ascii="仿宋_GB2312" w:hAnsi="仿宋" w:eastAsia="仿宋_GB2312"/>
          <w:bCs/>
          <w:sz w:val="30"/>
          <w:szCs w:val="30"/>
          <w:highlight w:val="none"/>
        </w:rPr>
      </w:pPr>
      <w:r>
        <w:rPr>
          <w:rFonts w:hint="eastAsia" w:ascii="仿宋_GB2312" w:hAnsi="仿宋" w:eastAsia="仿宋_GB2312"/>
          <w:bCs/>
          <w:sz w:val="30"/>
          <w:szCs w:val="30"/>
          <w:highlight w:val="none"/>
        </w:rPr>
        <w:t>7</w:t>
      </w:r>
      <w:r>
        <w:rPr>
          <w:rFonts w:ascii="仿宋_GB2312" w:hAnsi="仿宋" w:eastAsia="仿宋_GB2312"/>
          <w:bCs/>
          <w:sz w:val="30"/>
          <w:szCs w:val="30"/>
          <w:highlight w:val="none"/>
        </w:rPr>
        <w:t>.</w:t>
      </w:r>
      <w:r>
        <w:rPr>
          <w:rFonts w:hint="eastAsia" w:ascii="仿宋_GB2312" w:hAnsi="仿宋" w:eastAsia="仿宋_GB2312"/>
          <w:bCs/>
          <w:sz w:val="30"/>
          <w:szCs w:val="30"/>
          <w:highlight w:val="none"/>
        </w:rPr>
        <w:t>期初账面数：反映在建工程项目本期期初财务账面数，</w:t>
      </w:r>
      <w:r>
        <w:rPr>
          <w:rFonts w:hint="eastAsia" w:ascii="仿宋_GB2312" w:hAnsi="仿宋" w:eastAsia="仿宋_GB2312"/>
          <w:sz w:val="30"/>
          <w:szCs w:val="30"/>
          <w:highlight w:val="none"/>
        </w:rPr>
        <w:t>取自上年在建工程情况表期末账面数。</w:t>
      </w:r>
    </w:p>
    <w:p w14:paraId="7570D6E0">
      <w:pPr>
        <w:spacing w:line="360" w:lineRule="auto"/>
        <w:ind w:firstLine="600" w:firstLineChars="200"/>
        <w:rPr>
          <w:rFonts w:hint="eastAsia" w:ascii="仿宋_GB2312" w:hAnsi="仿宋"/>
          <w:sz w:val="30"/>
          <w:highlight w:val="none"/>
        </w:rPr>
      </w:pPr>
      <w:r>
        <w:rPr>
          <w:rFonts w:ascii="仿宋_GB2312" w:hAnsi="仿宋" w:eastAsia="仿宋_GB2312"/>
          <w:bCs/>
          <w:sz w:val="30"/>
          <w:szCs w:val="30"/>
          <w:highlight w:val="none"/>
        </w:rPr>
        <w:t>8.</w:t>
      </w:r>
      <w:r>
        <w:rPr>
          <w:rFonts w:hint="eastAsia" w:ascii="仿宋_GB2312" w:hAnsi="仿宋" w:eastAsia="仿宋_GB2312"/>
          <w:bCs/>
          <w:sz w:val="30"/>
          <w:szCs w:val="30"/>
          <w:highlight w:val="none"/>
        </w:rPr>
        <w:t>期末账面数：反映在建工程项目期末财务账面数，暂未实行基建并账的单位，参照有关会计制度的并账要求填报。</w:t>
      </w:r>
    </w:p>
    <w:p w14:paraId="02AF5E25">
      <w:pPr>
        <w:spacing w:line="360" w:lineRule="auto"/>
        <w:ind w:firstLine="600" w:firstLineChars="200"/>
        <w:rPr>
          <w:highlight w:val="none"/>
        </w:rPr>
      </w:pPr>
      <w:r>
        <w:rPr>
          <w:rFonts w:hint="eastAsia" w:ascii="仿宋_GB2312" w:hAnsi="仿宋" w:eastAsia="仿宋_GB2312"/>
          <w:bCs/>
          <w:sz w:val="30"/>
          <w:szCs w:val="30"/>
          <w:highlight w:val="none"/>
        </w:rPr>
        <w:t>9</w:t>
      </w:r>
      <w:r>
        <w:rPr>
          <w:rFonts w:ascii="仿宋_GB2312" w:hAnsi="仿宋" w:eastAsia="仿宋_GB2312"/>
          <w:bCs/>
          <w:sz w:val="30"/>
          <w:szCs w:val="30"/>
          <w:highlight w:val="none"/>
        </w:rPr>
        <w:t>.</w:t>
      </w:r>
      <w:r>
        <w:rPr>
          <w:rFonts w:hint="eastAsia"/>
          <w:highlight w:val="none"/>
        </w:rPr>
        <w:t xml:space="preserve"> </w:t>
      </w:r>
      <w:r>
        <w:rPr>
          <w:rFonts w:hint="eastAsia" w:ascii="仿宋_GB2312" w:hAnsi="仿宋" w:eastAsia="仿宋_GB2312"/>
          <w:bCs/>
          <w:sz w:val="30"/>
          <w:szCs w:val="30"/>
          <w:highlight w:val="none"/>
        </w:rPr>
        <w:t>已投入使用未转固房屋类在建工程建筑面积：反映已投入使用未转固在建工程中房屋类项目建筑面积。</w:t>
      </w:r>
    </w:p>
    <w:p w14:paraId="402F0E84">
      <w:pPr>
        <w:spacing w:line="360" w:lineRule="auto"/>
        <w:ind w:firstLine="600" w:firstLineChars="200"/>
        <w:rPr>
          <w:rFonts w:hint="eastAsia" w:ascii="仿宋_GB2312" w:hAnsi="仿宋" w:eastAsia="仿宋_GB2312"/>
          <w:bCs/>
          <w:sz w:val="30"/>
          <w:szCs w:val="30"/>
          <w:highlight w:val="none"/>
        </w:rPr>
      </w:pPr>
      <w:bookmarkStart w:id="9" w:name="_Hlk22770300"/>
      <w:r>
        <w:rPr>
          <w:rFonts w:ascii="仿宋_GB2312" w:hAnsi="仿宋" w:eastAsia="仿宋_GB2312"/>
          <w:bCs/>
          <w:sz w:val="30"/>
          <w:szCs w:val="30"/>
          <w:highlight w:val="none"/>
        </w:rPr>
        <w:t>10.</w:t>
      </w:r>
      <w:r>
        <w:rPr>
          <w:rFonts w:hint="eastAsia" w:ascii="仿宋_GB2312" w:hAnsi="仿宋" w:eastAsia="仿宋_GB2312"/>
          <w:bCs/>
          <w:sz w:val="30"/>
          <w:szCs w:val="30"/>
          <w:highlight w:val="none"/>
        </w:rPr>
        <w:t>未转固年限（月）：反映已投入使用的在建工程从投入使用时间到20</w:t>
      </w:r>
      <w:r>
        <w:rPr>
          <w:rFonts w:ascii="仿宋_GB2312" w:hAnsi="仿宋" w:eastAsia="仿宋_GB2312"/>
          <w:bCs/>
          <w:sz w:val="30"/>
          <w:szCs w:val="30"/>
          <w:highlight w:val="none"/>
        </w:rPr>
        <w:t>2</w:t>
      </w:r>
      <w:r>
        <w:rPr>
          <w:rFonts w:hint="eastAsia" w:ascii="仿宋_GB2312" w:hAnsi="仿宋" w:eastAsia="仿宋_GB2312"/>
          <w:bCs/>
          <w:sz w:val="30"/>
          <w:szCs w:val="30"/>
          <w:highlight w:val="none"/>
        </w:rPr>
        <w:t>4年末的月数，由系统自动计算生成。</w:t>
      </w:r>
    </w:p>
    <w:bookmarkEnd w:id="9"/>
    <w:p w14:paraId="533BCF44">
      <w:pPr>
        <w:spacing w:line="360" w:lineRule="auto"/>
        <w:ind w:firstLine="600" w:firstLineChars="200"/>
        <w:rPr>
          <w:rFonts w:hint="eastAsia" w:ascii="仿宋_GB2312" w:hAnsi="仿宋"/>
          <w:sz w:val="32"/>
          <w:highlight w:val="none"/>
        </w:rPr>
      </w:pPr>
      <w:r>
        <w:rPr>
          <w:rFonts w:ascii="仿宋_GB2312" w:hAnsi="仿宋" w:eastAsia="仿宋_GB2312"/>
          <w:bCs/>
          <w:sz w:val="30"/>
          <w:szCs w:val="30"/>
          <w:highlight w:val="none"/>
        </w:rPr>
        <w:t>11.</w:t>
      </w:r>
      <w:r>
        <w:rPr>
          <w:rFonts w:hint="eastAsia" w:ascii="仿宋_GB2312" w:hAnsi="仿宋" w:eastAsia="仿宋_GB2312"/>
          <w:bCs/>
          <w:sz w:val="30"/>
          <w:szCs w:val="30"/>
          <w:highlight w:val="none"/>
        </w:rPr>
        <w:t>未转固原因：按未完成项目竣工验收、未办理资产交付手续、未取得相关证件（主要是指因无法确权问题及办理手续等原因造成的未取得证件，如房产证、土地证等）、账务处理问题、无权属资产的改扩建、其他填列，若选填“其他”，则需同时填写“备注”</w:t>
      </w:r>
      <w:r>
        <w:rPr>
          <w:rFonts w:hint="eastAsia" w:ascii="仿宋_GB2312" w:hAnsi="仿宋" w:eastAsia="仿宋_GB2312"/>
          <w:bCs/>
          <w:sz w:val="32"/>
          <w:szCs w:val="32"/>
          <w:highlight w:val="none"/>
        </w:rPr>
        <w:t>。</w:t>
      </w:r>
    </w:p>
    <w:p w14:paraId="36A40DA6">
      <w:pPr>
        <w:pStyle w:val="6"/>
        <w:spacing w:line="360" w:lineRule="auto"/>
        <w:ind w:firstLine="614"/>
        <w:rPr>
          <w:rFonts w:hint="eastAsia" w:hAnsi="仿宋"/>
          <w:b/>
          <w:sz w:val="30"/>
          <w:szCs w:val="30"/>
          <w:highlight w:val="none"/>
        </w:rPr>
      </w:pPr>
      <w:r>
        <w:rPr>
          <w:rFonts w:hint="eastAsia" w:hAnsi="仿宋"/>
          <w:b/>
          <w:sz w:val="30"/>
          <w:szCs w:val="30"/>
          <w:highlight w:val="none"/>
        </w:rPr>
        <w:t>逻辑性审核公式：</w:t>
      </w:r>
    </w:p>
    <w:p w14:paraId="37B26FE7">
      <w:pPr>
        <w:pStyle w:val="6"/>
        <w:spacing w:line="360" w:lineRule="auto"/>
        <w:ind w:firstLine="614"/>
        <w:rPr>
          <w:rFonts w:hint="eastAsia"/>
          <w:highlight w:val="none"/>
        </w:rPr>
      </w:pPr>
      <w:r>
        <w:rPr>
          <w:rFonts w:hint="eastAsia" w:hAnsi="仿宋"/>
          <w:b/>
          <w:sz w:val="30"/>
          <w:szCs w:val="30"/>
          <w:highlight w:val="none"/>
        </w:rPr>
        <w:t>表内公式：</w:t>
      </w:r>
    </w:p>
    <w:p w14:paraId="5C09B09C">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rPr>
        <w:t>项目名称、工程建设情况（1、</w:t>
      </w:r>
      <w:r>
        <w:rPr>
          <w:rFonts w:ascii="仿宋_GB2312" w:eastAsia="仿宋_GB2312"/>
          <w:sz w:val="30"/>
          <w:szCs w:val="30"/>
          <w:highlight w:val="none"/>
        </w:rPr>
        <w:t>4</w:t>
      </w:r>
      <w:r>
        <w:rPr>
          <w:rFonts w:hint="eastAsia" w:ascii="仿宋_GB2312" w:eastAsia="仿宋_GB2312"/>
          <w:sz w:val="30"/>
          <w:szCs w:val="30"/>
          <w:highlight w:val="none"/>
        </w:rPr>
        <w:t>栏）不能为空；</w:t>
      </w:r>
    </w:p>
    <w:p w14:paraId="0EFBE90D">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rPr>
        <w:t>开工日期（</w:t>
      </w:r>
      <w:r>
        <w:rPr>
          <w:rFonts w:ascii="仿宋_GB2312" w:eastAsia="仿宋_GB2312"/>
          <w:sz w:val="30"/>
          <w:szCs w:val="30"/>
          <w:highlight w:val="none"/>
        </w:rPr>
        <w:t>3</w:t>
      </w:r>
      <w:r>
        <w:rPr>
          <w:rFonts w:hint="eastAsia" w:ascii="仿宋_GB2312" w:eastAsia="仿宋_GB2312"/>
          <w:sz w:val="30"/>
          <w:szCs w:val="30"/>
          <w:highlight w:val="none"/>
        </w:rPr>
        <w:t>栏）</w:t>
      </w:r>
      <w:r>
        <w:rPr>
          <w:rFonts w:hint="eastAsia" w:ascii="仿宋_GB2312" w:eastAsia="仿宋_GB2312"/>
          <w:sz w:val="30"/>
          <w:szCs w:val="30"/>
          <w:highlight w:val="none"/>
          <w:lang w:val="en-US" w:eastAsia="zh-CN"/>
        </w:rPr>
        <w:t>大于</w:t>
      </w:r>
      <w:r>
        <w:rPr>
          <w:rFonts w:hint="eastAsia" w:ascii="仿宋_GB2312" w:eastAsia="仿宋_GB2312"/>
          <w:sz w:val="30"/>
          <w:szCs w:val="30"/>
          <w:highlight w:val="none"/>
        </w:rPr>
        <w:t>20</w:t>
      </w:r>
      <w:r>
        <w:rPr>
          <w:rFonts w:ascii="仿宋_GB2312" w:eastAsia="仿宋_GB2312"/>
          <w:sz w:val="30"/>
          <w:szCs w:val="30"/>
          <w:highlight w:val="none"/>
        </w:rPr>
        <w:t>2</w:t>
      </w:r>
      <w:r>
        <w:rPr>
          <w:rFonts w:hint="eastAsia" w:ascii="仿宋_GB2312" w:eastAsia="仿宋_GB2312"/>
          <w:sz w:val="30"/>
          <w:szCs w:val="30"/>
          <w:highlight w:val="none"/>
        </w:rPr>
        <w:t>4年12月31日，备注（14栏）需填写原因；</w:t>
      </w:r>
    </w:p>
    <w:p w14:paraId="0474C8EF">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rPr>
        <w:t>工程建设情况（</w:t>
      </w:r>
      <w:r>
        <w:rPr>
          <w:rFonts w:ascii="仿宋_GB2312" w:eastAsia="仿宋_GB2312"/>
          <w:sz w:val="30"/>
          <w:szCs w:val="30"/>
          <w:highlight w:val="none"/>
        </w:rPr>
        <w:t>4</w:t>
      </w:r>
      <w:r>
        <w:rPr>
          <w:rFonts w:hint="eastAsia" w:ascii="仿宋_GB2312" w:eastAsia="仿宋_GB2312"/>
          <w:sz w:val="30"/>
          <w:szCs w:val="30"/>
          <w:highlight w:val="none"/>
        </w:rPr>
        <w:t>栏）为在建时，期末账面数（</w:t>
      </w:r>
      <w:r>
        <w:rPr>
          <w:rFonts w:ascii="仿宋_GB2312" w:eastAsia="仿宋_GB2312"/>
          <w:sz w:val="30"/>
          <w:szCs w:val="30"/>
          <w:highlight w:val="none"/>
        </w:rPr>
        <w:t>9</w:t>
      </w:r>
      <w:r>
        <w:rPr>
          <w:rFonts w:hint="eastAsia" w:ascii="仿宋_GB2312" w:eastAsia="仿宋_GB2312"/>
          <w:sz w:val="30"/>
          <w:szCs w:val="30"/>
          <w:highlight w:val="none"/>
        </w:rPr>
        <w:t>栏）</w:t>
      </w:r>
      <w:r>
        <w:rPr>
          <w:rFonts w:hint="eastAsia" w:ascii="仿宋_GB2312" w:eastAsia="仿宋_GB2312"/>
          <w:sz w:val="30"/>
          <w:szCs w:val="30"/>
          <w:highlight w:val="none"/>
          <w:lang w:val="en-US" w:eastAsia="zh-CN"/>
        </w:rPr>
        <w:t>大于</w:t>
      </w:r>
      <w:r>
        <w:rPr>
          <w:rFonts w:hint="eastAsia" w:ascii="仿宋_GB2312" w:eastAsia="仿宋_GB2312"/>
          <w:sz w:val="30"/>
          <w:szCs w:val="30"/>
          <w:highlight w:val="none"/>
        </w:rPr>
        <w:t>0；</w:t>
      </w:r>
    </w:p>
    <w:p w14:paraId="348CA8A7">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rPr>
        <w:t>工程建设情况（</w:t>
      </w:r>
      <w:r>
        <w:rPr>
          <w:rFonts w:ascii="仿宋_GB2312" w:eastAsia="仿宋_GB2312"/>
          <w:sz w:val="30"/>
          <w:szCs w:val="30"/>
          <w:highlight w:val="none"/>
        </w:rPr>
        <w:t>4</w:t>
      </w:r>
      <w:r>
        <w:rPr>
          <w:rFonts w:hint="eastAsia" w:ascii="仿宋_GB2312" w:eastAsia="仿宋_GB2312"/>
          <w:sz w:val="30"/>
          <w:szCs w:val="30"/>
          <w:highlight w:val="none"/>
        </w:rPr>
        <w:t>栏）选择“在建”、“停建”、“建成未使用”的，投入使用日期（</w:t>
      </w:r>
      <w:r>
        <w:rPr>
          <w:rFonts w:ascii="仿宋_GB2312" w:eastAsia="仿宋_GB2312"/>
          <w:sz w:val="30"/>
          <w:szCs w:val="30"/>
          <w:highlight w:val="none"/>
        </w:rPr>
        <w:t>10</w:t>
      </w:r>
      <w:r>
        <w:rPr>
          <w:rFonts w:hint="eastAsia" w:ascii="仿宋_GB2312" w:eastAsia="仿宋_GB2312"/>
          <w:sz w:val="30"/>
          <w:szCs w:val="30"/>
          <w:highlight w:val="none"/>
        </w:rPr>
        <w:t>栏）必须为空；</w:t>
      </w:r>
    </w:p>
    <w:p w14:paraId="1A6209A2">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rPr>
        <w:t>工程建设情况（</w:t>
      </w:r>
      <w:r>
        <w:rPr>
          <w:rFonts w:ascii="仿宋_GB2312" w:eastAsia="仿宋_GB2312"/>
          <w:sz w:val="30"/>
          <w:szCs w:val="30"/>
          <w:highlight w:val="none"/>
        </w:rPr>
        <w:t>4</w:t>
      </w:r>
      <w:r>
        <w:rPr>
          <w:rFonts w:hint="eastAsia" w:ascii="仿宋_GB2312" w:eastAsia="仿宋_GB2312"/>
          <w:sz w:val="30"/>
          <w:szCs w:val="30"/>
          <w:highlight w:val="none"/>
        </w:rPr>
        <w:t>栏）选择“在建、停建、建成未使用</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已投入使用”时，计划投资总额</w:t>
      </w:r>
      <w:r>
        <w:rPr>
          <w:rFonts w:hint="eastAsia" w:ascii="仿宋_GB2312" w:eastAsia="仿宋_GB2312"/>
          <w:sz w:val="30"/>
          <w:szCs w:val="30"/>
          <w:highlight w:val="none"/>
          <w:lang w:eastAsia="zh-CN"/>
        </w:rPr>
        <w:t>、累计完成投资、当年投资额、期初账面数、期末账面数（</w:t>
      </w:r>
      <w:r>
        <w:rPr>
          <w:rFonts w:hint="eastAsia" w:ascii="仿宋_GB2312" w:eastAsia="仿宋_GB2312"/>
          <w:sz w:val="30"/>
          <w:szCs w:val="30"/>
          <w:highlight w:val="none"/>
        </w:rPr>
        <w:t>5~9栏</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不能为空</w:t>
      </w:r>
      <w:r>
        <w:rPr>
          <w:rFonts w:hint="eastAsia" w:ascii="仿宋_GB2312" w:eastAsia="仿宋_GB2312"/>
          <w:sz w:val="30"/>
          <w:szCs w:val="30"/>
          <w:highlight w:val="none"/>
          <w:lang w:eastAsia="zh-CN"/>
        </w:rPr>
        <w:t>。</w:t>
      </w:r>
    </w:p>
    <w:p w14:paraId="0381CCD8">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rPr>
        <w:t>工程建设情况（</w:t>
      </w:r>
      <w:r>
        <w:rPr>
          <w:rFonts w:ascii="仿宋_GB2312" w:eastAsia="仿宋_GB2312"/>
          <w:sz w:val="30"/>
          <w:szCs w:val="30"/>
          <w:highlight w:val="none"/>
        </w:rPr>
        <w:t>4</w:t>
      </w:r>
      <w:r>
        <w:rPr>
          <w:rFonts w:hint="eastAsia" w:ascii="仿宋_GB2312" w:eastAsia="仿宋_GB2312"/>
          <w:sz w:val="30"/>
          <w:szCs w:val="30"/>
          <w:highlight w:val="none"/>
        </w:rPr>
        <w:t>栏）选择“已投入使用”的，投入使用日期（</w:t>
      </w:r>
      <w:r>
        <w:rPr>
          <w:rFonts w:ascii="仿宋_GB2312" w:eastAsia="仿宋_GB2312"/>
          <w:sz w:val="30"/>
          <w:szCs w:val="30"/>
          <w:highlight w:val="none"/>
        </w:rPr>
        <w:t>10</w:t>
      </w:r>
      <w:r>
        <w:rPr>
          <w:rFonts w:hint="eastAsia" w:ascii="仿宋_GB2312" w:eastAsia="仿宋_GB2312"/>
          <w:sz w:val="30"/>
          <w:szCs w:val="30"/>
          <w:highlight w:val="none"/>
        </w:rPr>
        <w:t>栏）必填且应小于等于报表基准日2024年12月31日</w:t>
      </w:r>
      <w:r>
        <w:rPr>
          <w:rFonts w:hint="eastAsia" w:ascii="仿宋_GB2312" w:eastAsia="仿宋_GB2312"/>
          <w:sz w:val="30"/>
          <w:szCs w:val="30"/>
          <w:highlight w:val="none"/>
          <w:lang w:eastAsia="zh-CN"/>
        </w:rPr>
        <w:t>；</w:t>
      </w:r>
    </w:p>
    <w:p w14:paraId="6FEE2B37">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rPr>
        <w:t>工程建设情况（</w:t>
      </w:r>
      <w:r>
        <w:rPr>
          <w:rFonts w:ascii="仿宋_GB2312" w:eastAsia="仿宋_GB2312"/>
          <w:sz w:val="30"/>
          <w:szCs w:val="30"/>
          <w:highlight w:val="none"/>
        </w:rPr>
        <w:t>4</w:t>
      </w:r>
      <w:r>
        <w:rPr>
          <w:rFonts w:hint="eastAsia" w:ascii="仿宋_GB2312" w:eastAsia="仿宋_GB2312"/>
          <w:sz w:val="30"/>
          <w:szCs w:val="30"/>
          <w:highlight w:val="none"/>
        </w:rPr>
        <w:t>栏）选择“已投入使用”时，未转固原因（1</w:t>
      </w:r>
      <w:r>
        <w:rPr>
          <w:rFonts w:ascii="仿宋_GB2312" w:eastAsia="仿宋_GB2312"/>
          <w:sz w:val="30"/>
          <w:szCs w:val="30"/>
          <w:highlight w:val="none"/>
        </w:rPr>
        <w:t>3</w:t>
      </w:r>
      <w:r>
        <w:rPr>
          <w:rFonts w:hint="eastAsia" w:ascii="仿宋_GB2312" w:eastAsia="仿宋_GB2312"/>
          <w:sz w:val="30"/>
          <w:szCs w:val="30"/>
          <w:highlight w:val="none"/>
        </w:rPr>
        <w:t>栏）不能为空；</w:t>
      </w:r>
    </w:p>
    <w:p w14:paraId="60C5F8AD">
      <w:pPr>
        <w:numPr>
          <w:ilvl w:val="0"/>
          <w:numId w:val="5"/>
        </w:numPr>
        <w:spacing w:line="360" w:lineRule="auto"/>
        <w:ind w:firstLine="600" w:firstLineChars="200"/>
        <w:rPr>
          <w:rFonts w:ascii="仿宋_GB2312" w:eastAsia="仿宋_GB2312"/>
          <w:sz w:val="30"/>
          <w:szCs w:val="30"/>
          <w:highlight w:val="none"/>
        </w:rPr>
      </w:pPr>
      <w:r>
        <w:rPr>
          <w:rFonts w:hint="eastAsia" w:ascii="仿宋_GB2312" w:eastAsia="仿宋_GB2312"/>
          <w:sz w:val="30"/>
          <w:szCs w:val="30"/>
          <w:highlight w:val="none"/>
        </w:rPr>
        <w:t>工程建设情况（4栏）选择“建成未使用”时，需在备注（14栏）填写具体原因；</w:t>
      </w:r>
    </w:p>
    <w:p w14:paraId="415402A5">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rPr>
        <w:t>工程建设情况（4栏）选择“其他”时，期末账面数（9栏）</w:t>
      </w:r>
      <w:r>
        <w:rPr>
          <w:rFonts w:hint="eastAsia" w:ascii="仿宋_GB2312" w:eastAsia="仿宋_GB2312"/>
          <w:sz w:val="30"/>
          <w:szCs w:val="30"/>
          <w:highlight w:val="none"/>
          <w:lang w:val="en-US" w:eastAsia="zh-CN"/>
        </w:rPr>
        <w:t>等于</w:t>
      </w:r>
      <w:r>
        <w:rPr>
          <w:rFonts w:hint="eastAsia" w:ascii="仿宋_GB2312" w:eastAsia="仿宋_GB2312"/>
          <w:sz w:val="30"/>
          <w:szCs w:val="30"/>
          <w:highlight w:val="none"/>
        </w:rPr>
        <w:t>0，并同时在备注（14栏）填写具体情况；</w:t>
      </w:r>
    </w:p>
    <w:p w14:paraId="3D99FEB8">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rPr>
        <w:t>开工日期+10年</w:t>
      </w:r>
      <w:r>
        <w:rPr>
          <w:rFonts w:hint="eastAsia" w:ascii="仿宋_GB2312" w:eastAsia="仿宋_GB2312"/>
          <w:sz w:val="30"/>
          <w:szCs w:val="30"/>
          <w:highlight w:val="none"/>
          <w:lang w:val="en-US" w:eastAsia="zh-CN"/>
        </w:rPr>
        <w:t>小于等于</w:t>
      </w:r>
      <w:r>
        <w:rPr>
          <w:rFonts w:ascii="仿宋_GB2312" w:eastAsia="仿宋_GB2312"/>
          <w:sz w:val="30"/>
          <w:szCs w:val="30"/>
          <w:highlight w:val="none"/>
        </w:rPr>
        <w:t>202</w:t>
      </w:r>
      <w:r>
        <w:rPr>
          <w:rFonts w:hint="eastAsia" w:ascii="仿宋_GB2312" w:eastAsia="仿宋_GB2312"/>
          <w:sz w:val="30"/>
          <w:szCs w:val="30"/>
          <w:highlight w:val="none"/>
        </w:rPr>
        <w:t>4年，且工程建设情况为“在建”、“建成未使用”，未转固原因（13栏）不能为空，并在填报说明中进行详细说明；</w:t>
      </w:r>
    </w:p>
    <w:p w14:paraId="326752D2">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rPr>
        <w:t>未转固年限（月）（1</w:t>
      </w:r>
      <w:r>
        <w:rPr>
          <w:rFonts w:ascii="仿宋_GB2312" w:eastAsia="仿宋_GB2312"/>
          <w:sz w:val="30"/>
          <w:szCs w:val="30"/>
          <w:highlight w:val="none"/>
        </w:rPr>
        <w:t>2</w:t>
      </w:r>
      <w:r>
        <w:rPr>
          <w:rFonts w:hint="eastAsia" w:ascii="仿宋_GB2312" w:eastAsia="仿宋_GB2312"/>
          <w:sz w:val="30"/>
          <w:szCs w:val="30"/>
          <w:highlight w:val="none"/>
        </w:rPr>
        <w:t>栏）=2024年12月-投入使用月；</w:t>
      </w:r>
    </w:p>
    <w:p w14:paraId="3987DA35">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rPr>
        <w:t>未转固原因（13栏）选填“其他”时，须在备注（14栏）填写具体情况；</w:t>
      </w:r>
    </w:p>
    <w:p w14:paraId="7869C22F">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rPr>
        <w:t>累计完成投资（</w:t>
      </w:r>
      <w:r>
        <w:rPr>
          <w:rFonts w:ascii="仿宋_GB2312" w:eastAsia="仿宋_GB2312"/>
          <w:sz w:val="30"/>
          <w:szCs w:val="30"/>
          <w:highlight w:val="none"/>
        </w:rPr>
        <w:t>6</w:t>
      </w:r>
      <w:r>
        <w:rPr>
          <w:rFonts w:hint="eastAsia" w:ascii="仿宋_GB2312" w:eastAsia="仿宋_GB2312"/>
          <w:sz w:val="30"/>
          <w:szCs w:val="30"/>
          <w:highlight w:val="none"/>
        </w:rPr>
        <w:t>栏）</w:t>
      </w:r>
      <w:r>
        <w:rPr>
          <w:rFonts w:hint="eastAsia" w:ascii="仿宋_GB2312" w:eastAsia="仿宋_GB2312"/>
          <w:sz w:val="30"/>
          <w:szCs w:val="30"/>
          <w:highlight w:val="none"/>
          <w:lang w:val="en-US" w:eastAsia="zh-CN"/>
        </w:rPr>
        <w:t>大于等于</w:t>
      </w:r>
      <w:r>
        <w:rPr>
          <w:rFonts w:hint="eastAsia" w:ascii="仿宋_GB2312" w:eastAsia="仿宋_GB2312"/>
          <w:sz w:val="30"/>
          <w:szCs w:val="30"/>
          <w:highlight w:val="none"/>
        </w:rPr>
        <w:t>当年投资额（</w:t>
      </w:r>
      <w:r>
        <w:rPr>
          <w:rFonts w:ascii="仿宋_GB2312" w:eastAsia="仿宋_GB2312"/>
          <w:sz w:val="30"/>
          <w:szCs w:val="30"/>
          <w:highlight w:val="none"/>
        </w:rPr>
        <w:t>7</w:t>
      </w:r>
      <w:r>
        <w:rPr>
          <w:rFonts w:hint="eastAsia" w:ascii="仿宋_GB2312" w:eastAsia="仿宋_GB2312"/>
          <w:sz w:val="30"/>
          <w:szCs w:val="30"/>
          <w:highlight w:val="none"/>
        </w:rPr>
        <w:t>栏）；</w:t>
      </w:r>
    </w:p>
    <w:p w14:paraId="4F5351C5">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rPr>
        <w:t>工程建设情况（</w:t>
      </w:r>
      <w:r>
        <w:rPr>
          <w:rFonts w:ascii="仿宋_GB2312" w:eastAsia="仿宋_GB2312"/>
          <w:sz w:val="30"/>
          <w:szCs w:val="30"/>
          <w:highlight w:val="none"/>
        </w:rPr>
        <w:t>4</w:t>
      </w:r>
      <w:r>
        <w:rPr>
          <w:rFonts w:hint="eastAsia" w:ascii="仿宋_GB2312" w:eastAsia="仿宋_GB2312"/>
          <w:sz w:val="30"/>
          <w:szCs w:val="30"/>
          <w:highlight w:val="none"/>
        </w:rPr>
        <w:t>栏）选择“已投入使用”时，投入使用日期（1</w:t>
      </w:r>
      <w:r>
        <w:rPr>
          <w:rFonts w:ascii="仿宋_GB2312" w:eastAsia="仿宋_GB2312"/>
          <w:sz w:val="30"/>
          <w:szCs w:val="30"/>
          <w:highlight w:val="none"/>
        </w:rPr>
        <w:t>0</w:t>
      </w:r>
      <w:r>
        <w:rPr>
          <w:rFonts w:hint="eastAsia" w:ascii="仿宋_GB2312" w:eastAsia="仿宋_GB2312"/>
          <w:sz w:val="30"/>
          <w:szCs w:val="30"/>
          <w:highlight w:val="none"/>
        </w:rPr>
        <w:t>栏）</w:t>
      </w:r>
      <w:r>
        <w:rPr>
          <w:rFonts w:hint="eastAsia" w:ascii="仿宋_GB2312" w:eastAsia="仿宋_GB2312"/>
          <w:sz w:val="30"/>
          <w:szCs w:val="30"/>
          <w:highlight w:val="none"/>
          <w:lang w:val="en-US" w:eastAsia="zh-CN"/>
        </w:rPr>
        <w:t>大于</w:t>
      </w:r>
      <w:r>
        <w:rPr>
          <w:rFonts w:hint="eastAsia" w:ascii="仿宋_GB2312" w:eastAsia="仿宋_GB2312"/>
          <w:sz w:val="30"/>
          <w:szCs w:val="30"/>
          <w:highlight w:val="none"/>
        </w:rPr>
        <w:t>开工日期（</w:t>
      </w:r>
      <w:r>
        <w:rPr>
          <w:rFonts w:ascii="仿宋_GB2312" w:eastAsia="仿宋_GB2312"/>
          <w:sz w:val="30"/>
          <w:szCs w:val="30"/>
          <w:highlight w:val="none"/>
        </w:rPr>
        <w:t>3</w:t>
      </w:r>
      <w:r>
        <w:rPr>
          <w:rFonts w:hint="eastAsia" w:ascii="仿宋_GB2312" w:eastAsia="仿宋_GB2312"/>
          <w:sz w:val="30"/>
          <w:szCs w:val="30"/>
          <w:highlight w:val="none"/>
        </w:rPr>
        <w:t>栏）；</w:t>
      </w:r>
    </w:p>
    <w:p w14:paraId="2DBC6B7C">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rPr>
        <w:t>工程建设情况（</w:t>
      </w:r>
      <w:r>
        <w:rPr>
          <w:rFonts w:ascii="仿宋_GB2312" w:eastAsia="仿宋_GB2312"/>
          <w:sz w:val="30"/>
          <w:szCs w:val="30"/>
          <w:highlight w:val="none"/>
        </w:rPr>
        <w:t>4</w:t>
      </w:r>
      <w:r>
        <w:rPr>
          <w:rFonts w:hint="eastAsia" w:ascii="仿宋_GB2312" w:eastAsia="仿宋_GB2312"/>
          <w:sz w:val="30"/>
          <w:szCs w:val="30"/>
          <w:highlight w:val="none"/>
        </w:rPr>
        <w:t>栏）选择“已投入使用”时，已投入使用未转固房屋类在建工程建筑面积（11栏）</w:t>
      </w:r>
      <w:r>
        <w:rPr>
          <w:rFonts w:hint="eastAsia" w:ascii="仿宋_GB2312" w:eastAsia="仿宋_GB2312"/>
          <w:sz w:val="30"/>
          <w:szCs w:val="30"/>
          <w:highlight w:val="none"/>
          <w:lang w:val="en-US" w:eastAsia="zh-CN"/>
        </w:rPr>
        <w:t>大于等于</w:t>
      </w:r>
      <w:r>
        <w:rPr>
          <w:rFonts w:hint="eastAsia" w:ascii="仿宋_GB2312" w:eastAsia="仿宋_GB2312"/>
          <w:sz w:val="30"/>
          <w:szCs w:val="30"/>
          <w:highlight w:val="none"/>
        </w:rPr>
        <w:t>0；除此之外，11栏必为空；</w:t>
      </w:r>
    </w:p>
    <w:p w14:paraId="70B58DED">
      <w:pPr>
        <w:numPr>
          <w:ilvl w:val="0"/>
          <w:numId w:val="5"/>
        </w:numPr>
        <w:spacing w:line="360" w:lineRule="auto"/>
        <w:ind w:firstLine="600" w:firstLineChars="200"/>
        <w:rPr>
          <w:rFonts w:hint="eastAsia" w:ascii="仿宋_GB2312" w:eastAsia="仿宋_GB2312"/>
          <w:sz w:val="30"/>
          <w:szCs w:val="30"/>
          <w:highlight w:val="none"/>
        </w:rPr>
      </w:pPr>
      <w:r>
        <w:rPr>
          <w:rFonts w:hint="eastAsia" w:ascii="仿宋_GB2312" w:eastAsia="仿宋_GB2312"/>
          <w:sz w:val="30"/>
          <w:szCs w:val="30"/>
          <w:highlight w:val="none"/>
        </w:rPr>
        <w:t>工程建设情况（4栏）选择“已转固时”，期末账面数（9栏）</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已投入使用未转固房屋类在建工程建筑面积（11栏）等于</w:t>
      </w:r>
      <w:r>
        <w:rPr>
          <w:rFonts w:hint="eastAsia" w:ascii="仿宋_GB2312" w:eastAsia="仿宋_GB2312"/>
          <w:sz w:val="30"/>
          <w:szCs w:val="30"/>
          <w:highlight w:val="none"/>
        </w:rPr>
        <w:t>0；</w:t>
      </w:r>
    </w:p>
    <w:p w14:paraId="66CA6D37">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rPr>
        <w:t>合计行当年投资额（1行</w:t>
      </w:r>
      <w:r>
        <w:rPr>
          <w:rFonts w:ascii="仿宋_GB2312" w:eastAsia="仿宋_GB2312"/>
          <w:sz w:val="30"/>
          <w:szCs w:val="30"/>
          <w:highlight w:val="none"/>
        </w:rPr>
        <w:t>7</w:t>
      </w:r>
      <w:r>
        <w:rPr>
          <w:rFonts w:hint="eastAsia" w:ascii="仿宋_GB2312" w:eastAsia="仿宋_GB2312"/>
          <w:sz w:val="30"/>
          <w:szCs w:val="30"/>
          <w:highlight w:val="none"/>
        </w:rPr>
        <w:t>栏）</w:t>
      </w:r>
      <w:r>
        <w:rPr>
          <w:rFonts w:hint="eastAsia" w:ascii="仿宋_GB2312" w:eastAsia="仿宋_GB2312"/>
          <w:sz w:val="30"/>
          <w:szCs w:val="30"/>
          <w:highlight w:val="none"/>
          <w:lang w:val="en-US" w:eastAsia="zh-CN"/>
        </w:rPr>
        <w:t>大于等于</w:t>
      </w:r>
      <w:r>
        <w:rPr>
          <w:rFonts w:hint="eastAsia" w:ascii="仿宋_GB2312" w:eastAsia="仿宋_GB2312"/>
          <w:sz w:val="30"/>
          <w:szCs w:val="30"/>
          <w:highlight w:val="none"/>
        </w:rPr>
        <w:t>0；</w:t>
      </w:r>
    </w:p>
    <w:p w14:paraId="6A708829">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rPr>
        <w:t>合计行各指标=各浮动行</w:t>
      </w:r>
      <w:r>
        <w:rPr>
          <w:rFonts w:hint="eastAsia" w:ascii="仿宋_GB2312" w:eastAsia="仿宋_GB2312"/>
          <w:sz w:val="30"/>
          <w:szCs w:val="30"/>
          <w:highlight w:val="none"/>
          <w:lang w:val="en-US" w:eastAsia="zh-CN"/>
        </w:rPr>
        <w:t>对应</w:t>
      </w:r>
      <w:r>
        <w:rPr>
          <w:rFonts w:hint="eastAsia" w:ascii="仿宋_GB2312" w:eastAsia="仿宋_GB2312"/>
          <w:sz w:val="30"/>
          <w:szCs w:val="30"/>
          <w:highlight w:val="none"/>
        </w:rPr>
        <w:t>指标之和（1行</w:t>
      </w:r>
      <w:r>
        <w:rPr>
          <w:rFonts w:ascii="仿宋_GB2312" w:eastAsia="仿宋_GB2312"/>
          <w:sz w:val="30"/>
          <w:szCs w:val="30"/>
          <w:highlight w:val="none"/>
        </w:rPr>
        <w:t>5</w:t>
      </w:r>
      <w:r>
        <w:rPr>
          <w:rFonts w:hint="eastAsia" w:ascii="仿宋_GB2312" w:eastAsia="仿宋_GB2312"/>
          <w:sz w:val="30"/>
          <w:szCs w:val="30"/>
          <w:highlight w:val="none"/>
        </w:rPr>
        <w:t>~</w:t>
      </w:r>
      <w:r>
        <w:rPr>
          <w:rFonts w:ascii="仿宋_GB2312" w:eastAsia="仿宋_GB2312"/>
          <w:sz w:val="30"/>
          <w:szCs w:val="30"/>
          <w:highlight w:val="none"/>
        </w:rPr>
        <w:t>9</w:t>
      </w:r>
      <w:r>
        <w:rPr>
          <w:rFonts w:hint="eastAsia" w:ascii="仿宋_GB2312" w:eastAsia="仿宋_GB2312"/>
          <w:sz w:val="30"/>
          <w:szCs w:val="30"/>
          <w:highlight w:val="none"/>
        </w:rPr>
        <w:t>、11栏=2行</w:t>
      </w:r>
      <w:r>
        <w:rPr>
          <w:rFonts w:ascii="仿宋_GB2312" w:eastAsia="仿宋_GB2312"/>
          <w:sz w:val="30"/>
          <w:szCs w:val="30"/>
          <w:highlight w:val="none"/>
        </w:rPr>
        <w:t>5</w:t>
      </w:r>
      <w:r>
        <w:rPr>
          <w:rFonts w:hint="eastAsia" w:ascii="仿宋_GB2312" w:eastAsia="仿宋_GB2312"/>
          <w:sz w:val="30"/>
          <w:szCs w:val="30"/>
          <w:highlight w:val="none"/>
        </w:rPr>
        <w:t>~</w:t>
      </w:r>
      <w:r>
        <w:rPr>
          <w:rFonts w:ascii="仿宋_GB2312" w:eastAsia="仿宋_GB2312"/>
          <w:sz w:val="30"/>
          <w:szCs w:val="30"/>
          <w:highlight w:val="none"/>
        </w:rPr>
        <w:t>9</w:t>
      </w:r>
      <w:r>
        <w:rPr>
          <w:rFonts w:hint="eastAsia" w:ascii="仿宋_GB2312" w:eastAsia="仿宋_GB2312"/>
          <w:sz w:val="30"/>
          <w:szCs w:val="30"/>
          <w:highlight w:val="none"/>
        </w:rPr>
        <w:t>、11栏浮动行之和）；</w:t>
      </w:r>
    </w:p>
    <w:p w14:paraId="64938A7D">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rPr>
        <w:t>当期初账面数（</w:t>
      </w:r>
      <w:r>
        <w:rPr>
          <w:rFonts w:ascii="仿宋_GB2312" w:eastAsia="仿宋_GB2312"/>
          <w:sz w:val="30"/>
          <w:szCs w:val="30"/>
          <w:highlight w:val="none"/>
        </w:rPr>
        <w:t>8</w:t>
      </w:r>
      <w:r>
        <w:rPr>
          <w:rFonts w:hint="eastAsia" w:ascii="仿宋_GB2312" w:eastAsia="仿宋_GB2312"/>
          <w:sz w:val="30"/>
          <w:szCs w:val="30"/>
          <w:highlight w:val="none"/>
        </w:rPr>
        <w:t>栏）大于</w:t>
      </w:r>
      <w:r>
        <w:rPr>
          <w:rFonts w:ascii="仿宋_GB2312" w:eastAsia="仿宋_GB2312"/>
          <w:sz w:val="30"/>
          <w:szCs w:val="30"/>
          <w:highlight w:val="none"/>
        </w:rPr>
        <w:t>0</w:t>
      </w:r>
      <w:r>
        <w:rPr>
          <w:rFonts w:hint="eastAsia" w:ascii="仿宋_GB2312" w:eastAsia="仿宋_GB2312"/>
          <w:sz w:val="30"/>
          <w:szCs w:val="30"/>
          <w:highlight w:val="none"/>
        </w:rPr>
        <w:t>，期末账面数（</w:t>
      </w:r>
      <w:r>
        <w:rPr>
          <w:rFonts w:ascii="仿宋_GB2312" w:eastAsia="仿宋_GB2312"/>
          <w:sz w:val="30"/>
          <w:szCs w:val="30"/>
          <w:highlight w:val="none"/>
        </w:rPr>
        <w:t>9</w:t>
      </w:r>
      <w:r>
        <w:rPr>
          <w:rFonts w:hint="eastAsia" w:ascii="仿宋_GB2312" w:eastAsia="仿宋_GB2312"/>
          <w:sz w:val="30"/>
          <w:szCs w:val="30"/>
          <w:highlight w:val="none"/>
        </w:rPr>
        <w:t>栏）等于0时，工程建设情况（4栏）应为“已转固或其他”；</w:t>
      </w:r>
    </w:p>
    <w:p w14:paraId="1E8EF44B">
      <w:pPr>
        <w:numPr>
          <w:ilvl w:val="0"/>
          <w:numId w:val="5"/>
        </w:numPr>
        <w:spacing w:line="360" w:lineRule="auto"/>
        <w:ind w:firstLine="600" w:firstLineChars="200"/>
        <w:rPr>
          <w:rFonts w:ascii="仿宋_GB2312" w:eastAsia="仿宋_GB2312"/>
          <w:sz w:val="30"/>
          <w:szCs w:val="30"/>
          <w:highlight w:val="none"/>
        </w:rPr>
      </w:pPr>
      <w:r>
        <w:rPr>
          <w:rFonts w:hint="eastAsia" w:ascii="仿宋_GB2312" w:eastAsia="仿宋_GB2312"/>
          <w:sz w:val="30"/>
          <w:szCs w:val="30"/>
          <w:highlight w:val="none"/>
        </w:rPr>
        <w:t>计划投资总额、累计完成投资、当年投资额、期初账面数、期末账面数</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已投入使用未转固房屋类在建工程建筑面积</w:t>
      </w:r>
      <w:r>
        <w:rPr>
          <w:rFonts w:hint="eastAsia" w:ascii="仿宋_GB2312" w:eastAsia="仿宋_GB2312"/>
          <w:sz w:val="30"/>
          <w:szCs w:val="30"/>
          <w:highlight w:val="none"/>
        </w:rPr>
        <w:t>（5~9</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11</w:t>
      </w:r>
      <w:r>
        <w:rPr>
          <w:rFonts w:hint="eastAsia" w:ascii="仿宋_GB2312" w:eastAsia="仿宋_GB2312"/>
          <w:sz w:val="30"/>
          <w:szCs w:val="30"/>
          <w:highlight w:val="none"/>
        </w:rPr>
        <w:t>栏）</w:t>
      </w:r>
      <w:r>
        <w:rPr>
          <w:rFonts w:hint="eastAsia" w:ascii="仿宋_GB2312" w:eastAsia="仿宋_GB2312"/>
          <w:sz w:val="30"/>
          <w:szCs w:val="30"/>
          <w:highlight w:val="none"/>
          <w:lang w:val="en-US" w:eastAsia="zh-CN"/>
        </w:rPr>
        <w:t>大于等于</w:t>
      </w:r>
      <w:r>
        <w:rPr>
          <w:rFonts w:hint="eastAsia" w:ascii="仿宋_GB2312" w:eastAsia="仿宋_GB2312"/>
          <w:sz w:val="30"/>
          <w:szCs w:val="30"/>
          <w:highlight w:val="none"/>
        </w:rPr>
        <w:t>0；</w:t>
      </w:r>
    </w:p>
    <w:p w14:paraId="31B80C63">
      <w:pPr>
        <w:numPr>
          <w:ilvl w:val="0"/>
          <w:numId w:val="5"/>
        </w:numPr>
        <w:spacing w:line="360" w:lineRule="auto"/>
        <w:ind w:firstLine="600" w:firstLineChars="200"/>
        <w:rPr>
          <w:rFonts w:ascii="仿宋_GB2312" w:eastAsia="仿宋_GB2312"/>
          <w:sz w:val="30"/>
          <w:szCs w:val="30"/>
          <w:highlight w:val="none"/>
        </w:rPr>
      </w:pPr>
      <w:r>
        <w:rPr>
          <w:rFonts w:hint="eastAsia" w:ascii="仿宋_GB2312" w:eastAsia="仿宋_GB2312"/>
          <w:sz w:val="30"/>
          <w:szCs w:val="30"/>
          <w:highlight w:val="none"/>
        </w:rPr>
        <w:t>期初账面数（8栏）、期末账面数（9栏）不得同时为0。</w:t>
      </w:r>
    </w:p>
    <w:p w14:paraId="1230BB7B">
      <w:pPr>
        <w:snapToGrid w:val="0"/>
        <w:spacing w:line="360" w:lineRule="auto"/>
        <w:ind w:firstLine="570"/>
        <w:rPr>
          <w:rFonts w:hint="eastAsia" w:ascii="仿宋_GB2312" w:hAnsi="仿宋" w:eastAsia="仿宋_GB2312"/>
          <w:b/>
          <w:sz w:val="30"/>
          <w:szCs w:val="30"/>
          <w:highlight w:val="none"/>
        </w:rPr>
      </w:pPr>
      <w:r>
        <w:rPr>
          <w:rFonts w:hint="eastAsia" w:ascii="仿宋_GB2312" w:hAnsi="仿宋" w:eastAsia="仿宋_GB2312"/>
          <w:b/>
          <w:sz w:val="30"/>
          <w:szCs w:val="30"/>
          <w:highlight w:val="none"/>
        </w:rPr>
        <w:t>表间公式</w:t>
      </w:r>
      <w:r>
        <w:rPr>
          <w:rFonts w:ascii="仿宋_GB2312" w:hAnsi="仿宋" w:eastAsia="仿宋_GB2312"/>
          <w:b/>
          <w:sz w:val="30"/>
          <w:szCs w:val="30"/>
          <w:highlight w:val="none"/>
        </w:rPr>
        <w:t>：</w:t>
      </w:r>
    </w:p>
    <w:p w14:paraId="0A841060">
      <w:pPr>
        <w:numPr>
          <w:ilvl w:val="0"/>
          <w:numId w:val="5"/>
        </w:numPr>
        <w:spacing w:line="360" w:lineRule="auto"/>
        <w:rPr>
          <w:rFonts w:hint="eastAsia" w:ascii="仿宋_GB2312" w:hAnsi="仿宋" w:eastAsia="仿宋_GB2312"/>
          <w:bCs/>
          <w:sz w:val="30"/>
          <w:szCs w:val="30"/>
          <w:highlight w:val="none"/>
        </w:rPr>
      </w:pPr>
      <w:r>
        <w:rPr>
          <w:rFonts w:hint="eastAsia" w:ascii="仿宋_GB2312" w:hAnsi="仿宋" w:eastAsia="仿宋_GB2312"/>
          <w:bCs/>
          <w:sz w:val="30"/>
          <w:szCs w:val="30"/>
          <w:highlight w:val="none"/>
        </w:rPr>
        <w:t>合计行期初账面数</w:t>
      </w:r>
      <w:r>
        <w:rPr>
          <w:rFonts w:hint="eastAsia" w:ascii="仿宋_GB2312" w:hAnsi="仿宋" w:eastAsia="仿宋_GB2312"/>
          <w:bCs/>
          <w:sz w:val="30"/>
          <w:szCs w:val="30"/>
          <w:highlight w:val="none"/>
          <w:lang w:eastAsia="zh-CN"/>
        </w:rPr>
        <w:t>、</w:t>
      </w:r>
      <w:r>
        <w:rPr>
          <w:rFonts w:hint="eastAsia" w:ascii="仿宋_GB2312" w:hAnsi="仿宋" w:eastAsia="仿宋_GB2312"/>
          <w:bCs/>
          <w:sz w:val="30"/>
          <w:szCs w:val="30"/>
          <w:highlight w:val="none"/>
          <w:lang w:val="en-US" w:eastAsia="zh-CN"/>
        </w:rPr>
        <w:t>期末账面数</w:t>
      </w:r>
      <w:r>
        <w:rPr>
          <w:rFonts w:hint="eastAsia" w:ascii="仿宋_GB2312" w:hAnsi="仿宋" w:eastAsia="仿宋_GB2312"/>
          <w:bCs/>
          <w:sz w:val="30"/>
          <w:szCs w:val="30"/>
          <w:highlight w:val="none"/>
          <w:lang w:eastAsia="zh-CN"/>
        </w:rPr>
        <w:t>（</w:t>
      </w:r>
      <w:r>
        <w:rPr>
          <w:rFonts w:hint="eastAsia" w:ascii="仿宋_GB2312" w:hAnsi="仿宋" w:eastAsia="仿宋_GB2312"/>
          <w:bCs/>
          <w:sz w:val="30"/>
          <w:szCs w:val="30"/>
          <w:highlight w:val="none"/>
        </w:rPr>
        <w:t>1行</w:t>
      </w:r>
      <w:r>
        <w:rPr>
          <w:rFonts w:ascii="仿宋_GB2312" w:hAnsi="仿宋" w:eastAsia="仿宋_GB2312"/>
          <w:bCs/>
          <w:sz w:val="30"/>
          <w:szCs w:val="30"/>
          <w:highlight w:val="none"/>
        </w:rPr>
        <w:t>8</w:t>
      </w:r>
      <w:r>
        <w:rPr>
          <w:rFonts w:hint="eastAsia" w:ascii="仿宋_GB2312" w:hAnsi="仿宋" w:eastAsia="仿宋_GB2312"/>
          <w:bCs/>
          <w:sz w:val="30"/>
          <w:szCs w:val="30"/>
          <w:highlight w:val="none"/>
          <w:lang w:eastAsia="zh-CN"/>
        </w:rPr>
        <w:t>、</w:t>
      </w:r>
      <w:r>
        <w:rPr>
          <w:rFonts w:hint="eastAsia" w:ascii="仿宋_GB2312" w:hAnsi="仿宋" w:eastAsia="仿宋_GB2312"/>
          <w:bCs/>
          <w:sz w:val="30"/>
          <w:szCs w:val="30"/>
          <w:highlight w:val="none"/>
          <w:lang w:val="en-US" w:eastAsia="zh-CN"/>
        </w:rPr>
        <w:t>9</w:t>
      </w:r>
      <w:r>
        <w:rPr>
          <w:rFonts w:hint="eastAsia" w:ascii="仿宋_GB2312" w:hAnsi="仿宋" w:eastAsia="仿宋_GB2312"/>
          <w:bCs/>
          <w:sz w:val="30"/>
          <w:szCs w:val="30"/>
          <w:highlight w:val="none"/>
        </w:rPr>
        <w:t>栏</w:t>
      </w:r>
      <w:r>
        <w:rPr>
          <w:rFonts w:hint="eastAsia" w:ascii="仿宋_GB2312" w:hAnsi="仿宋" w:eastAsia="仿宋_GB2312"/>
          <w:bCs/>
          <w:sz w:val="30"/>
          <w:szCs w:val="30"/>
          <w:highlight w:val="none"/>
          <w:lang w:eastAsia="zh-CN"/>
        </w:rPr>
        <w:t>）</w:t>
      </w:r>
      <w:r>
        <w:rPr>
          <w:rFonts w:hint="eastAsia" w:ascii="仿宋_GB2312" w:hAnsi="仿宋" w:eastAsia="仿宋_GB2312"/>
          <w:bCs/>
          <w:sz w:val="30"/>
          <w:szCs w:val="30"/>
          <w:highlight w:val="none"/>
          <w:lang w:val="en-US" w:eastAsia="zh-CN"/>
        </w:rPr>
        <w:t>分别等于财资01表</w:t>
      </w:r>
      <w:r>
        <w:rPr>
          <w:rFonts w:hint="eastAsia" w:ascii="仿宋_GB2312" w:hAnsi="仿宋" w:eastAsia="仿宋_GB2312"/>
          <w:bCs/>
          <w:sz w:val="30"/>
          <w:szCs w:val="30"/>
          <w:highlight w:val="none"/>
        </w:rPr>
        <w:t>资产负债表的在建工程期初数</w:t>
      </w:r>
      <w:r>
        <w:rPr>
          <w:rFonts w:hint="eastAsia" w:ascii="仿宋_GB2312" w:hAnsi="仿宋" w:eastAsia="仿宋_GB2312"/>
          <w:bCs/>
          <w:sz w:val="30"/>
          <w:szCs w:val="30"/>
          <w:highlight w:val="none"/>
          <w:lang w:eastAsia="zh-CN"/>
        </w:rPr>
        <w:t>、</w:t>
      </w:r>
      <w:r>
        <w:rPr>
          <w:rFonts w:hint="eastAsia" w:ascii="仿宋_GB2312" w:hAnsi="仿宋" w:eastAsia="仿宋_GB2312"/>
          <w:bCs/>
          <w:sz w:val="30"/>
          <w:szCs w:val="30"/>
          <w:highlight w:val="none"/>
          <w:lang w:val="en-US" w:eastAsia="zh-CN"/>
        </w:rPr>
        <w:t>期末数</w:t>
      </w:r>
      <w:r>
        <w:rPr>
          <w:rFonts w:hint="eastAsia" w:ascii="仿宋_GB2312" w:hAnsi="仿宋" w:eastAsia="仿宋_GB2312"/>
          <w:bCs/>
          <w:sz w:val="30"/>
          <w:szCs w:val="30"/>
          <w:highlight w:val="none"/>
        </w:rPr>
        <w:t>（2</w:t>
      </w:r>
      <w:r>
        <w:rPr>
          <w:rFonts w:ascii="仿宋_GB2312" w:hAnsi="仿宋" w:eastAsia="仿宋_GB2312"/>
          <w:bCs/>
          <w:sz w:val="30"/>
          <w:szCs w:val="30"/>
          <w:highlight w:val="none"/>
        </w:rPr>
        <w:t>3</w:t>
      </w:r>
      <w:r>
        <w:rPr>
          <w:rFonts w:hint="eastAsia" w:ascii="仿宋_GB2312" w:hAnsi="仿宋" w:eastAsia="仿宋_GB2312"/>
          <w:bCs/>
          <w:sz w:val="30"/>
          <w:szCs w:val="30"/>
          <w:highlight w:val="none"/>
        </w:rPr>
        <w:t>行1</w:t>
      </w:r>
      <w:r>
        <w:rPr>
          <w:rFonts w:hint="eastAsia" w:ascii="仿宋_GB2312" w:hAnsi="仿宋" w:eastAsia="仿宋_GB2312"/>
          <w:bCs/>
          <w:sz w:val="30"/>
          <w:szCs w:val="30"/>
          <w:highlight w:val="none"/>
          <w:lang w:eastAsia="zh-CN"/>
        </w:rPr>
        <w:t>、</w:t>
      </w:r>
      <w:r>
        <w:rPr>
          <w:rFonts w:hint="eastAsia" w:ascii="仿宋_GB2312" w:hAnsi="仿宋" w:eastAsia="仿宋_GB2312"/>
          <w:bCs/>
          <w:sz w:val="30"/>
          <w:szCs w:val="30"/>
          <w:highlight w:val="none"/>
          <w:lang w:val="en-US" w:eastAsia="zh-CN"/>
        </w:rPr>
        <w:t>2</w:t>
      </w:r>
      <w:r>
        <w:rPr>
          <w:rFonts w:hint="eastAsia" w:ascii="仿宋_GB2312" w:hAnsi="仿宋" w:eastAsia="仿宋_GB2312"/>
          <w:bCs/>
          <w:sz w:val="30"/>
          <w:szCs w:val="30"/>
          <w:highlight w:val="none"/>
        </w:rPr>
        <w:t>栏）；</w:t>
      </w:r>
    </w:p>
    <w:p w14:paraId="5C3FD5BF">
      <w:pPr>
        <w:snapToGrid w:val="0"/>
        <w:spacing w:line="360" w:lineRule="auto"/>
        <w:ind w:firstLine="570"/>
        <w:rPr>
          <w:rFonts w:hint="eastAsia" w:ascii="仿宋_GB2312" w:hAnsi="仿宋" w:eastAsia="仿宋_GB2312"/>
          <w:b/>
          <w:sz w:val="30"/>
          <w:szCs w:val="30"/>
          <w:highlight w:val="none"/>
        </w:rPr>
      </w:pPr>
      <w:r>
        <w:rPr>
          <w:rFonts w:hint="eastAsia" w:ascii="仿宋_GB2312" w:hAnsi="仿宋" w:eastAsia="仿宋_GB2312"/>
          <w:b/>
          <w:sz w:val="30"/>
          <w:szCs w:val="30"/>
          <w:highlight w:val="none"/>
        </w:rPr>
        <w:t>核实性公式</w:t>
      </w:r>
      <w:r>
        <w:rPr>
          <w:rFonts w:ascii="仿宋_GB2312" w:hAnsi="仿宋" w:eastAsia="仿宋_GB2312"/>
          <w:b/>
          <w:sz w:val="30"/>
          <w:szCs w:val="30"/>
          <w:highlight w:val="none"/>
        </w:rPr>
        <w:t>：</w:t>
      </w:r>
    </w:p>
    <w:p w14:paraId="72340639">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rPr>
        <w:t>当工程建设情况（</w:t>
      </w:r>
      <w:r>
        <w:rPr>
          <w:rFonts w:ascii="仿宋_GB2312" w:eastAsia="仿宋_GB2312"/>
          <w:sz w:val="30"/>
          <w:szCs w:val="30"/>
          <w:highlight w:val="none"/>
        </w:rPr>
        <w:t>4</w:t>
      </w:r>
      <w:r>
        <w:rPr>
          <w:rFonts w:hint="eastAsia" w:ascii="仿宋_GB2312" w:eastAsia="仿宋_GB2312"/>
          <w:sz w:val="30"/>
          <w:szCs w:val="30"/>
          <w:highlight w:val="none"/>
        </w:rPr>
        <w:t>栏）选择“停建、建成未使用或其他”时，提示核实性错误，需结合实际情况修改或填写情况说明具体工程建设情况；</w:t>
      </w:r>
    </w:p>
    <w:p w14:paraId="7122B892">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rPr>
        <w:t>当工程建设情况（</w:t>
      </w:r>
      <w:r>
        <w:rPr>
          <w:rFonts w:ascii="仿宋_GB2312" w:eastAsia="仿宋_GB2312"/>
          <w:sz w:val="30"/>
          <w:szCs w:val="30"/>
          <w:highlight w:val="none"/>
        </w:rPr>
        <w:t>4</w:t>
      </w:r>
      <w:r>
        <w:rPr>
          <w:rFonts w:hint="eastAsia" w:ascii="仿宋_GB2312" w:eastAsia="仿宋_GB2312"/>
          <w:sz w:val="30"/>
          <w:szCs w:val="30"/>
          <w:highlight w:val="none"/>
        </w:rPr>
        <w:t>栏）选择“已投入使用”，且未转固年限大于6个月时，请提供实际情况说明；</w:t>
      </w:r>
    </w:p>
    <w:p w14:paraId="388F6630">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rPr>
        <w:t>当开工日期（3栏）为空时，提示核实性错误，需结合实际情况修改或填写情况说明；</w:t>
      </w:r>
    </w:p>
    <w:p w14:paraId="13912EE4">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rPr>
        <w:t>当期初或期末账面数（8或9栏）</w:t>
      </w:r>
      <w:r>
        <w:rPr>
          <w:rFonts w:hint="eastAsia" w:ascii="仿宋_GB2312" w:eastAsia="仿宋_GB2312"/>
          <w:sz w:val="30"/>
          <w:szCs w:val="30"/>
          <w:highlight w:val="none"/>
          <w:lang w:val="en-US" w:eastAsia="zh-CN"/>
        </w:rPr>
        <w:t>等于</w:t>
      </w:r>
      <w:r>
        <w:rPr>
          <w:rFonts w:hint="eastAsia" w:ascii="仿宋_GB2312" w:eastAsia="仿宋_GB2312"/>
          <w:sz w:val="30"/>
          <w:szCs w:val="30"/>
          <w:highlight w:val="none"/>
        </w:rPr>
        <w:t>1时，提示核实性错误，需填写核实性说明。</w:t>
      </w:r>
    </w:p>
    <w:p w14:paraId="35925F87">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rPr>
        <w:t>当计划投资总额（5栏）</w:t>
      </w:r>
      <w:r>
        <w:rPr>
          <w:rFonts w:hint="eastAsia" w:ascii="仿宋_GB2312" w:eastAsia="仿宋_GB2312"/>
          <w:sz w:val="30"/>
          <w:szCs w:val="30"/>
          <w:highlight w:val="none"/>
          <w:lang w:val="en-US" w:eastAsia="zh-CN"/>
        </w:rPr>
        <w:t>等于</w:t>
      </w:r>
      <w:r>
        <w:rPr>
          <w:rFonts w:ascii="仿宋_GB2312" w:eastAsia="仿宋_GB2312"/>
          <w:sz w:val="30"/>
          <w:szCs w:val="30"/>
          <w:highlight w:val="none"/>
        </w:rPr>
        <w:t>0</w:t>
      </w:r>
      <w:r>
        <w:rPr>
          <w:rFonts w:hint="eastAsia" w:ascii="仿宋_GB2312" w:eastAsia="仿宋_GB2312"/>
          <w:sz w:val="30"/>
          <w:szCs w:val="30"/>
          <w:highlight w:val="none"/>
        </w:rPr>
        <w:t>时，提示核实性错误，需结合实际情况修改或填写情况说明；</w:t>
      </w:r>
    </w:p>
    <w:p w14:paraId="40B4E1CB">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rPr>
        <w:t>期初账面数（8栏）</w:t>
      </w:r>
      <w:r>
        <w:rPr>
          <w:rFonts w:hint="eastAsia" w:ascii="仿宋_GB2312" w:eastAsia="仿宋_GB2312"/>
          <w:sz w:val="30"/>
          <w:szCs w:val="30"/>
          <w:highlight w:val="none"/>
          <w:lang w:val="en-US" w:eastAsia="zh-CN"/>
        </w:rPr>
        <w:t>+</w:t>
      </w:r>
      <w:r>
        <w:rPr>
          <w:rFonts w:hint="eastAsia" w:ascii="仿宋_GB2312" w:eastAsia="仿宋_GB2312"/>
          <w:sz w:val="30"/>
          <w:szCs w:val="30"/>
          <w:highlight w:val="none"/>
        </w:rPr>
        <w:t>当年投资额（7栏）=期末账面数（9栏），否则提示核实性错误，需结合实际情况修改或填写情况说明：</w:t>
      </w:r>
    </w:p>
    <w:p w14:paraId="14341598">
      <w:pPr>
        <w:numPr>
          <w:ilvl w:val="0"/>
          <w:numId w:val="5"/>
        </w:numPr>
        <w:spacing w:line="360" w:lineRule="auto"/>
        <w:ind w:firstLine="600" w:firstLineChars="200"/>
        <w:rPr>
          <w:rFonts w:ascii="仿宋_GB2312" w:eastAsia="仿宋_GB2312"/>
          <w:sz w:val="30"/>
          <w:szCs w:val="30"/>
          <w:highlight w:val="none"/>
        </w:rPr>
      </w:pPr>
      <w:r>
        <w:rPr>
          <w:rFonts w:hint="eastAsia" w:ascii="仿宋_GB2312" w:eastAsia="仿宋_GB2312"/>
          <w:sz w:val="30"/>
          <w:szCs w:val="30"/>
          <w:highlight w:val="none"/>
        </w:rPr>
        <w:t>当工程建设情况（4栏）不为“已转固”时，</w:t>
      </w:r>
      <w:r>
        <w:rPr>
          <w:rFonts w:hint="eastAsia" w:ascii="仿宋_GB2312" w:eastAsia="仿宋_GB2312"/>
          <w:sz w:val="30"/>
          <w:szCs w:val="30"/>
          <w:highlight w:val="none"/>
          <w:lang w:val="en-US" w:eastAsia="zh-CN"/>
        </w:rPr>
        <w:t>且</w:t>
      </w:r>
      <w:r>
        <w:rPr>
          <w:rFonts w:hint="eastAsia" w:ascii="仿宋_GB2312" w:eastAsia="仿宋_GB2312"/>
          <w:sz w:val="30"/>
          <w:szCs w:val="30"/>
          <w:highlight w:val="none"/>
        </w:rPr>
        <w:t>当年投资额（7栏）</w:t>
      </w:r>
      <w:r>
        <w:rPr>
          <w:rFonts w:hint="eastAsia" w:ascii="仿宋_GB2312" w:eastAsia="仿宋_GB2312"/>
          <w:sz w:val="30"/>
          <w:szCs w:val="30"/>
          <w:highlight w:val="none"/>
          <w:lang w:val="en-US" w:eastAsia="zh-CN"/>
        </w:rPr>
        <w:t>大于</w:t>
      </w:r>
      <w:r>
        <w:rPr>
          <w:rFonts w:hint="eastAsia" w:ascii="仿宋_GB2312" w:eastAsia="仿宋_GB2312"/>
          <w:sz w:val="30"/>
          <w:szCs w:val="30"/>
          <w:highlight w:val="none"/>
        </w:rPr>
        <w:t>0，则期末账面数大于期初账面数（9栏＞8栏），否则提示核实性错误，需结合实际情况修改或填写情况说明。</w:t>
      </w:r>
    </w:p>
    <w:p w14:paraId="5B82C4B0">
      <w:pPr>
        <w:pStyle w:val="2"/>
        <w:rPr>
          <w:rFonts w:hint="eastAsia"/>
          <w:b/>
          <w:color w:val="auto"/>
          <w:highlight w:val="none"/>
        </w:rPr>
      </w:pPr>
      <w:r>
        <w:rPr>
          <w:rFonts w:hint="eastAsia"/>
          <w:color w:val="auto"/>
          <w:highlight w:val="none"/>
        </w:rPr>
        <w:t>（九）固定和无形资产配置情况表（财资</w:t>
      </w:r>
      <w:r>
        <w:rPr>
          <w:color w:val="auto"/>
          <w:highlight w:val="none"/>
        </w:rPr>
        <w:t>08</w:t>
      </w:r>
      <w:r>
        <w:rPr>
          <w:rFonts w:hint="eastAsia"/>
          <w:color w:val="auto"/>
          <w:highlight w:val="none"/>
        </w:rPr>
        <w:t>表</w:t>
      </w:r>
      <w:r>
        <w:rPr>
          <w:rFonts w:hint="eastAsia"/>
          <w:color w:val="auto"/>
          <w:spacing w:val="6"/>
          <w:highlight w:val="none"/>
        </w:rPr>
        <w:t>）</w:t>
      </w:r>
    </w:p>
    <w:p w14:paraId="4A8C858B">
      <w:pPr>
        <w:spacing w:line="360" w:lineRule="auto"/>
        <w:ind w:firstLine="600" w:firstLineChars="200"/>
        <w:rPr>
          <w:rFonts w:ascii="仿宋_GB2312" w:eastAsia="仿宋_GB2312"/>
          <w:kern w:val="0"/>
          <w:sz w:val="30"/>
          <w:szCs w:val="30"/>
          <w:highlight w:val="none"/>
        </w:rPr>
      </w:pPr>
      <w:r>
        <w:rPr>
          <w:rFonts w:hint="eastAsia" w:ascii="仿宋_GB2312" w:eastAsia="仿宋_GB2312"/>
          <w:kern w:val="0"/>
          <w:sz w:val="30"/>
          <w:szCs w:val="30"/>
          <w:highlight w:val="none"/>
        </w:rPr>
        <w:t>本表反映行政事业单位通过不同配置方式</w:t>
      </w:r>
      <w:r>
        <w:rPr>
          <w:rFonts w:ascii="仿宋_GB2312" w:eastAsia="仿宋_GB2312"/>
          <w:kern w:val="0"/>
          <w:sz w:val="30"/>
          <w:szCs w:val="30"/>
          <w:highlight w:val="none"/>
        </w:rPr>
        <w:t>本年</w:t>
      </w:r>
      <w:r>
        <w:rPr>
          <w:rFonts w:hint="eastAsia" w:ascii="仿宋_GB2312" w:eastAsia="仿宋_GB2312"/>
          <w:kern w:val="0"/>
          <w:sz w:val="30"/>
          <w:szCs w:val="30"/>
          <w:highlight w:val="none"/>
        </w:rPr>
        <w:t>增加</w:t>
      </w:r>
      <w:r>
        <w:rPr>
          <w:rFonts w:ascii="仿宋_GB2312" w:eastAsia="仿宋_GB2312"/>
          <w:kern w:val="0"/>
          <w:sz w:val="30"/>
          <w:szCs w:val="30"/>
          <w:highlight w:val="none"/>
        </w:rPr>
        <w:t>固定</w:t>
      </w:r>
      <w:r>
        <w:rPr>
          <w:rFonts w:hint="eastAsia" w:ascii="仿宋_GB2312" w:eastAsia="仿宋_GB2312"/>
          <w:kern w:val="0"/>
          <w:sz w:val="30"/>
          <w:szCs w:val="30"/>
          <w:highlight w:val="none"/>
        </w:rPr>
        <w:t>和无形</w:t>
      </w:r>
      <w:r>
        <w:rPr>
          <w:rFonts w:ascii="仿宋_GB2312" w:eastAsia="仿宋_GB2312"/>
          <w:kern w:val="0"/>
          <w:sz w:val="30"/>
          <w:szCs w:val="30"/>
          <w:highlight w:val="none"/>
        </w:rPr>
        <w:t>资产</w:t>
      </w:r>
      <w:r>
        <w:rPr>
          <w:rFonts w:hint="eastAsia" w:ascii="仿宋_GB2312" w:eastAsia="仿宋_GB2312"/>
          <w:kern w:val="0"/>
          <w:sz w:val="30"/>
          <w:szCs w:val="30"/>
          <w:highlight w:val="none"/>
        </w:rPr>
        <w:t>的账面数情况，由资产模块中资产卡片相关数据提取填报。</w:t>
      </w:r>
    </w:p>
    <w:p w14:paraId="5707428E">
      <w:pPr>
        <w:spacing w:line="360" w:lineRule="auto"/>
        <w:ind w:firstLine="602" w:firstLineChars="200"/>
        <w:rPr>
          <w:rFonts w:ascii="仿宋_GB2312" w:eastAsia="仿宋_GB2312"/>
          <w:b/>
          <w:bCs/>
          <w:kern w:val="0"/>
          <w:sz w:val="30"/>
          <w:szCs w:val="30"/>
          <w:highlight w:val="none"/>
        </w:rPr>
      </w:pPr>
      <w:r>
        <w:rPr>
          <w:rFonts w:hint="eastAsia" w:ascii="仿宋_GB2312" w:eastAsia="仿宋_GB2312"/>
          <w:b/>
          <w:bCs/>
          <w:kern w:val="0"/>
          <w:sz w:val="30"/>
          <w:szCs w:val="30"/>
          <w:highlight w:val="none"/>
        </w:rPr>
        <w:t>主要指标说明：</w:t>
      </w:r>
    </w:p>
    <w:p w14:paraId="6CE2B517">
      <w:pPr>
        <w:spacing w:line="360" w:lineRule="auto"/>
        <w:ind w:firstLine="600" w:firstLineChars="200"/>
        <w:rPr>
          <w:rFonts w:ascii="仿宋_GB2312" w:eastAsia="仿宋_GB2312"/>
          <w:kern w:val="0"/>
          <w:sz w:val="30"/>
          <w:szCs w:val="30"/>
          <w:highlight w:val="none"/>
        </w:rPr>
      </w:pPr>
      <w:r>
        <w:rPr>
          <w:rFonts w:hint="eastAsia" w:ascii="仿宋_GB2312" w:eastAsia="仿宋_GB2312"/>
          <w:kern w:val="0"/>
          <w:sz w:val="30"/>
          <w:szCs w:val="30"/>
          <w:highlight w:val="none"/>
        </w:rPr>
        <w:t>1</w:t>
      </w:r>
      <w:r>
        <w:rPr>
          <w:rFonts w:ascii="仿宋_GB2312" w:eastAsia="仿宋_GB2312"/>
          <w:kern w:val="0"/>
          <w:sz w:val="30"/>
          <w:szCs w:val="30"/>
          <w:highlight w:val="none"/>
        </w:rPr>
        <w:t>.</w:t>
      </w:r>
      <w:r>
        <w:rPr>
          <w:rFonts w:hint="eastAsia" w:ascii="仿宋_GB2312" w:eastAsia="仿宋_GB2312"/>
          <w:kern w:val="0"/>
          <w:sz w:val="30"/>
          <w:szCs w:val="30"/>
          <w:highlight w:val="none"/>
        </w:rPr>
        <w:t>本年账面增加数：该指标按照配置方式分别提取。</w:t>
      </w:r>
    </w:p>
    <w:p w14:paraId="1E86B7B4">
      <w:pPr>
        <w:spacing w:line="360" w:lineRule="auto"/>
        <w:ind w:firstLine="600" w:firstLineChars="200"/>
        <w:rPr>
          <w:rFonts w:ascii="仿宋_GB2312" w:eastAsia="仿宋_GB2312"/>
          <w:kern w:val="0"/>
          <w:sz w:val="30"/>
          <w:szCs w:val="30"/>
          <w:highlight w:val="none"/>
        </w:rPr>
      </w:pPr>
      <w:r>
        <w:rPr>
          <w:rFonts w:hint="eastAsia" w:ascii="仿宋_GB2312" w:eastAsia="仿宋_GB2312"/>
          <w:kern w:val="0"/>
          <w:sz w:val="30"/>
          <w:szCs w:val="30"/>
          <w:highlight w:val="none"/>
        </w:rPr>
        <w:t>配置</w:t>
      </w:r>
      <w:r>
        <w:rPr>
          <w:rFonts w:ascii="仿宋_GB2312" w:eastAsia="仿宋_GB2312"/>
          <w:kern w:val="0"/>
          <w:sz w:val="30"/>
          <w:szCs w:val="30"/>
          <w:highlight w:val="none"/>
        </w:rPr>
        <w:t>方</w:t>
      </w:r>
      <w:r>
        <w:rPr>
          <w:rFonts w:hint="eastAsia" w:ascii="仿宋_GB2312" w:eastAsia="仿宋_GB2312"/>
          <w:kern w:val="0"/>
          <w:sz w:val="30"/>
          <w:szCs w:val="30"/>
          <w:highlight w:val="none"/>
        </w:rPr>
        <w:t>式</w:t>
      </w:r>
      <w:r>
        <w:rPr>
          <w:rFonts w:ascii="仿宋_GB2312" w:eastAsia="仿宋_GB2312"/>
          <w:kern w:val="0"/>
          <w:sz w:val="30"/>
          <w:szCs w:val="30"/>
          <w:highlight w:val="none"/>
        </w:rPr>
        <w:t>分为</w:t>
      </w:r>
      <w:r>
        <w:rPr>
          <w:rFonts w:hint="eastAsia" w:ascii="仿宋_GB2312" w:eastAsia="仿宋_GB2312"/>
          <w:kern w:val="0"/>
          <w:sz w:val="30"/>
          <w:szCs w:val="30"/>
          <w:highlight w:val="none"/>
        </w:rPr>
        <w:t>建设、</w:t>
      </w:r>
      <w:r>
        <w:rPr>
          <w:rFonts w:hint="eastAsia" w:ascii="仿宋_GB2312" w:eastAsia="仿宋_GB2312"/>
          <w:kern w:val="0"/>
          <w:sz w:val="30"/>
          <w:szCs w:val="30"/>
          <w:highlight w:val="none"/>
          <w:lang w:val="en-US" w:eastAsia="zh-CN"/>
        </w:rPr>
        <w:t>新购</w:t>
      </w:r>
      <w:r>
        <w:rPr>
          <w:rFonts w:ascii="仿宋_GB2312" w:eastAsia="仿宋_GB2312"/>
          <w:kern w:val="0"/>
          <w:sz w:val="30"/>
          <w:szCs w:val="30"/>
          <w:highlight w:val="none"/>
        </w:rPr>
        <w:t>、调拨、接受捐赠、</w:t>
      </w:r>
      <w:r>
        <w:rPr>
          <w:rFonts w:hint="eastAsia" w:ascii="仿宋_GB2312" w:eastAsia="仿宋_GB2312"/>
          <w:kern w:val="0"/>
          <w:sz w:val="30"/>
          <w:szCs w:val="30"/>
          <w:highlight w:val="none"/>
        </w:rPr>
        <w:t>置换</w:t>
      </w:r>
      <w:r>
        <w:rPr>
          <w:rFonts w:ascii="仿宋_GB2312" w:eastAsia="仿宋_GB2312"/>
          <w:kern w:val="0"/>
          <w:sz w:val="30"/>
          <w:szCs w:val="30"/>
          <w:highlight w:val="none"/>
        </w:rPr>
        <w:t>、其他等五种方式</w:t>
      </w:r>
      <w:r>
        <w:rPr>
          <w:rFonts w:hint="eastAsia" w:ascii="仿宋_GB2312" w:eastAsia="仿宋_GB2312"/>
          <w:kern w:val="0"/>
          <w:sz w:val="30"/>
          <w:szCs w:val="30"/>
          <w:highlight w:val="none"/>
        </w:rPr>
        <w:t>。其中：</w:t>
      </w:r>
    </w:p>
    <w:p w14:paraId="4DA8F04F">
      <w:pPr>
        <w:spacing w:line="360" w:lineRule="auto"/>
        <w:ind w:firstLine="600"/>
        <w:rPr>
          <w:rFonts w:hint="eastAsia" w:ascii="仿宋_GB2312" w:eastAsia="仿宋_GB2312"/>
          <w:kern w:val="0"/>
          <w:sz w:val="30"/>
          <w:szCs w:val="30"/>
          <w:highlight w:val="none"/>
          <w:lang w:val="en-US" w:eastAsia="zh-CN"/>
        </w:rPr>
      </w:pPr>
      <w:r>
        <w:rPr>
          <w:rFonts w:hint="eastAsia" w:ascii="仿宋_GB2312" w:eastAsia="仿宋_GB2312"/>
          <w:kern w:val="0"/>
          <w:sz w:val="30"/>
          <w:szCs w:val="30"/>
          <w:highlight w:val="none"/>
        </w:rPr>
        <w:t>建设是指以自建或自行研制等方式配置资产的行为</w:t>
      </w:r>
      <w:r>
        <w:rPr>
          <w:rFonts w:hint="eastAsia" w:ascii="仿宋_GB2312" w:eastAsia="仿宋_GB2312"/>
          <w:kern w:val="0"/>
          <w:sz w:val="30"/>
          <w:szCs w:val="30"/>
          <w:highlight w:val="none"/>
          <w:lang w:val="en-US" w:eastAsia="zh-CN"/>
        </w:rPr>
        <w:t>配置的资产。</w:t>
      </w:r>
    </w:p>
    <w:p w14:paraId="41D4AB29">
      <w:pPr>
        <w:spacing w:line="360" w:lineRule="auto"/>
        <w:ind w:firstLine="600"/>
        <w:rPr>
          <w:rFonts w:ascii="仿宋_GB2312" w:eastAsia="仿宋_GB2312"/>
          <w:kern w:val="0"/>
          <w:sz w:val="30"/>
          <w:szCs w:val="30"/>
          <w:highlight w:val="none"/>
        </w:rPr>
      </w:pPr>
      <w:r>
        <w:rPr>
          <w:rFonts w:hint="eastAsia" w:ascii="仿宋_GB2312" w:eastAsia="仿宋_GB2312"/>
          <w:kern w:val="0"/>
          <w:sz w:val="30"/>
          <w:szCs w:val="30"/>
          <w:highlight w:val="none"/>
          <w:lang w:val="en-US" w:eastAsia="zh-CN"/>
        </w:rPr>
        <w:t>新购</w:t>
      </w:r>
      <w:r>
        <w:rPr>
          <w:rFonts w:hint="eastAsia" w:ascii="仿宋_GB2312" w:eastAsia="仿宋_GB2312"/>
          <w:kern w:val="0"/>
          <w:sz w:val="30"/>
          <w:szCs w:val="30"/>
          <w:highlight w:val="none"/>
        </w:rPr>
        <w:t>是指以购买的方式配置资产的行为、以融资租入方式配置</w:t>
      </w:r>
      <w:r>
        <w:rPr>
          <w:rFonts w:ascii="仿宋_GB2312" w:eastAsia="仿宋_GB2312"/>
          <w:kern w:val="0"/>
          <w:sz w:val="30"/>
          <w:szCs w:val="30"/>
          <w:highlight w:val="none"/>
        </w:rPr>
        <w:t>资产的行为</w:t>
      </w:r>
      <w:r>
        <w:rPr>
          <w:rFonts w:hint="eastAsia" w:ascii="仿宋_GB2312" w:eastAsia="仿宋_GB2312"/>
          <w:kern w:val="0"/>
          <w:sz w:val="30"/>
          <w:szCs w:val="30"/>
          <w:highlight w:val="none"/>
        </w:rPr>
        <w:t>等。</w:t>
      </w:r>
    </w:p>
    <w:p w14:paraId="1391872B">
      <w:pPr>
        <w:spacing w:line="360" w:lineRule="auto"/>
        <w:ind w:firstLine="600"/>
        <w:rPr>
          <w:rFonts w:ascii="仿宋_GB2312" w:eastAsia="仿宋_GB2312"/>
          <w:kern w:val="0"/>
          <w:sz w:val="30"/>
          <w:szCs w:val="30"/>
          <w:highlight w:val="none"/>
        </w:rPr>
      </w:pPr>
      <w:r>
        <w:rPr>
          <w:rFonts w:hint="eastAsia" w:ascii="仿宋_GB2312" w:eastAsia="仿宋_GB2312"/>
          <w:kern w:val="0"/>
          <w:sz w:val="30"/>
          <w:szCs w:val="30"/>
          <w:highlight w:val="none"/>
        </w:rPr>
        <w:t>调拨是</w:t>
      </w:r>
      <w:r>
        <w:rPr>
          <w:rFonts w:ascii="仿宋_GB2312" w:eastAsia="仿宋_GB2312"/>
          <w:kern w:val="0"/>
          <w:sz w:val="30"/>
          <w:szCs w:val="30"/>
          <w:highlight w:val="none"/>
        </w:rPr>
        <w:t>指</w:t>
      </w:r>
      <w:r>
        <w:rPr>
          <w:rFonts w:hint="eastAsia" w:ascii="仿宋_GB2312" w:eastAsia="仿宋_GB2312"/>
          <w:kern w:val="0"/>
          <w:sz w:val="30"/>
          <w:szCs w:val="30"/>
          <w:highlight w:val="none"/>
        </w:rPr>
        <w:t>以无偿调入的方式配置资产的</w:t>
      </w:r>
      <w:r>
        <w:rPr>
          <w:rFonts w:ascii="仿宋_GB2312" w:eastAsia="仿宋_GB2312"/>
          <w:kern w:val="0"/>
          <w:sz w:val="30"/>
          <w:szCs w:val="30"/>
          <w:highlight w:val="none"/>
        </w:rPr>
        <w:t>行为</w:t>
      </w:r>
      <w:r>
        <w:rPr>
          <w:rFonts w:hint="eastAsia" w:ascii="仿宋_GB2312" w:eastAsia="仿宋_GB2312"/>
          <w:kern w:val="0"/>
          <w:sz w:val="30"/>
          <w:szCs w:val="30"/>
          <w:highlight w:val="none"/>
        </w:rPr>
        <w:t>，机构合并涉及的资产划转不作为调拨配置资产。</w:t>
      </w:r>
    </w:p>
    <w:p w14:paraId="76A33326">
      <w:pPr>
        <w:spacing w:line="360" w:lineRule="auto"/>
        <w:ind w:firstLine="600"/>
        <w:rPr>
          <w:rFonts w:ascii="仿宋_GB2312" w:eastAsia="仿宋_GB2312"/>
          <w:kern w:val="0"/>
          <w:sz w:val="30"/>
          <w:szCs w:val="30"/>
          <w:highlight w:val="none"/>
        </w:rPr>
      </w:pPr>
      <w:r>
        <w:rPr>
          <w:rFonts w:hint="eastAsia" w:ascii="仿宋_GB2312" w:eastAsia="仿宋_GB2312"/>
          <w:kern w:val="0"/>
          <w:sz w:val="30"/>
          <w:szCs w:val="30"/>
          <w:highlight w:val="none"/>
        </w:rPr>
        <w:t>接</w:t>
      </w:r>
      <w:r>
        <w:rPr>
          <w:rFonts w:ascii="仿宋_GB2312" w:eastAsia="仿宋_GB2312"/>
          <w:kern w:val="0"/>
          <w:sz w:val="30"/>
          <w:szCs w:val="30"/>
          <w:highlight w:val="none"/>
        </w:rPr>
        <w:t>受捐赠是</w:t>
      </w:r>
      <w:r>
        <w:rPr>
          <w:rFonts w:hint="eastAsia" w:ascii="仿宋_GB2312" w:eastAsia="仿宋_GB2312"/>
          <w:kern w:val="0"/>
          <w:sz w:val="30"/>
          <w:szCs w:val="30"/>
          <w:highlight w:val="none"/>
        </w:rPr>
        <w:t>指单位通过接受捐赠的方式配置资产的</w:t>
      </w:r>
      <w:r>
        <w:rPr>
          <w:rFonts w:ascii="仿宋_GB2312" w:eastAsia="仿宋_GB2312"/>
          <w:kern w:val="0"/>
          <w:sz w:val="30"/>
          <w:szCs w:val="30"/>
          <w:highlight w:val="none"/>
        </w:rPr>
        <w:t>行为</w:t>
      </w:r>
      <w:r>
        <w:rPr>
          <w:rFonts w:hint="eastAsia" w:ascii="仿宋_GB2312" w:eastAsia="仿宋_GB2312"/>
          <w:kern w:val="0"/>
          <w:sz w:val="30"/>
          <w:szCs w:val="30"/>
          <w:highlight w:val="none"/>
        </w:rPr>
        <w:t>。</w:t>
      </w:r>
    </w:p>
    <w:p w14:paraId="0204CF61">
      <w:pPr>
        <w:spacing w:line="360" w:lineRule="auto"/>
        <w:ind w:firstLine="600"/>
        <w:rPr>
          <w:rFonts w:ascii="仿宋_GB2312" w:eastAsia="仿宋_GB2312"/>
          <w:kern w:val="0"/>
          <w:sz w:val="30"/>
          <w:szCs w:val="30"/>
          <w:highlight w:val="none"/>
        </w:rPr>
      </w:pPr>
      <w:bookmarkStart w:id="10" w:name="_Hlk22747900"/>
      <w:r>
        <w:rPr>
          <w:rFonts w:hint="eastAsia" w:ascii="仿宋_GB2312" w:eastAsia="仿宋_GB2312"/>
          <w:kern w:val="0"/>
          <w:sz w:val="30"/>
          <w:szCs w:val="30"/>
          <w:highlight w:val="none"/>
        </w:rPr>
        <w:t>置换是指单位与其他单位以非货币性资产为主进行资产交换的行为，此交换不涉及或只涉及少量的货币性资产（即补价）。</w:t>
      </w:r>
    </w:p>
    <w:bookmarkEnd w:id="10"/>
    <w:p w14:paraId="7240792E">
      <w:pPr>
        <w:spacing w:line="360" w:lineRule="auto"/>
        <w:ind w:firstLine="600"/>
        <w:rPr>
          <w:rFonts w:ascii="仿宋_GB2312" w:eastAsia="仿宋_GB2312"/>
          <w:kern w:val="0"/>
          <w:sz w:val="30"/>
          <w:szCs w:val="30"/>
          <w:highlight w:val="none"/>
        </w:rPr>
      </w:pPr>
      <w:r>
        <w:rPr>
          <w:rFonts w:hint="eastAsia" w:ascii="仿宋_GB2312" w:eastAsia="仿宋_GB2312"/>
          <w:kern w:val="0"/>
          <w:sz w:val="30"/>
          <w:szCs w:val="30"/>
          <w:highlight w:val="none"/>
        </w:rPr>
        <w:t>其他是指价值变动和盘盈等情况。</w:t>
      </w:r>
    </w:p>
    <w:p w14:paraId="0E536C15">
      <w:pPr>
        <w:spacing w:line="360" w:lineRule="auto"/>
        <w:ind w:firstLine="600" w:firstLineChars="200"/>
        <w:rPr>
          <w:rFonts w:ascii="仿宋_GB2312" w:eastAsia="仿宋_GB2312"/>
          <w:kern w:val="0"/>
          <w:sz w:val="30"/>
          <w:szCs w:val="30"/>
          <w:highlight w:val="none"/>
        </w:rPr>
      </w:pPr>
      <w:r>
        <w:rPr>
          <w:rFonts w:hint="eastAsia" w:ascii="仿宋_GB2312" w:eastAsia="仿宋_GB2312"/>
          <w:kern w:val="0"/>
          <w:sz w:val="30"/>
          <w:szCs w:val="30"/>
          <w:highlight w:val="none"/>
        </w:rPr>
        <w:t>2</w:t>
      </w:r>
      <w:r>
        <w:rPr>
          <w:rFonts w:ascii="仿宋_GB2312" w:eastAsia="仿宋_GB2312"/>
          <w:kern w:val="0"/>
          <w:sz w:val="30"/>
          <w:szCs w:val="30"/>
          <w:highlight w:val="none"/>
        </w:rPr>
        <w:t>.</w:t>
      </w:r>
      <w:r>
        <w:rPr>
          <w:rFonts w:hint="eastAsia" w:ascii="仿宋_GB2312" w:eastAsia="仿宋_GB2312"/>
          <w:kern w:val="0"/>
          <w:sz w:val="30"/>
          <w:szCs w:val="30"/>
          <w:highlight w:val="none"/>
        </w:rPr>
        <w:t>数量、原值、累计折旧/摊销、净值：由资产模块中资产卡片相关数据提取。</w:t>
      </w:r>
      <w:r>
        <w:rPr>
          <w:rFonts w:ascii="仿宋_GB2312" w:eastAsia="仿宋_GB2312"/>
          <w:kern w:val="0"/>
          <w:sz w:val="30"/>
          <w:szCs w:val="30"/>
          <w:highlight w:val="none"/>
        </w:rPr>
        <w:t>按照有关规定并报经有关部门批准</w:t>
      </w:r>
      <w:r>
        <w:rPr>
          <w:rFonts w:hint="eastAsia" w:ascii="仿宋_GB2312" w:eastAsia="仿宋_GB2312"/>
          <w:kern w:val="0"/>
          <w:sz w:val="30"/>
          <w:szCs w:val="30"/>
          <w:highlight w:val="none"/>
        </w:rPr>
        <w:t>接受捐赠、</w:t>
      </w:r>
      <w:r>
        <w:rPr>
          <w:rFonts w:ascii="仿宋_GB2312" w:eastAsia="仿宋_GB2312"/>
          <w:kern w:val="0"/>
          <w:sz w:val="30"/>
          <w:szCs w:val="30"/>
          <w:highlight w:val="none"/>
        </w:rPr>
        <w:t>无偿调入或置换进来的资产，</w:t>
      </w:r>
      <w:r>
        <w:rPr>
          <w:rFonts w:hint="eastAsia" w:ascii="仿宋_GB2312" w:eastAsia="仿宋_GB2312"/>
          <w:kern w:val="0"/>
          <w:sz w:val="30"/>
          <w:szCs w:val="30"/>
          <w:highlight w:val="none"/>
        </w:rPr>
        <w:t>应按照政府会计准则制度相关规定确定入账价值。</w:t>
      </w:r>
    </w:p>
    <w:p w14:paraId="362686E4">
      <w:pPr>
        <w:spacing w:line="360" w:lineRule="auto"/>
        <w:ind w:firstLine="602" w:firstLineChars="200"/>
        <w:rPr>
          <w:rFonts w:hint="eastAsia" w:ascii="仿宋_GB2312" w:hAnsi="仿宋" w:eastAsia="仿宋_GB2312"/>
          <w:b/>
          <w:sz w:val="30"/>
          <w:szCs w:val="30"/>
          <w:highlight w:val="none"/>
        </w:rPr>
      </w:pPr>
      <w:r>
        <w:rPr>
          <w:rFonts w:hint="eastAsia" w:ascii="仿宋_GB2312" w:hAnsi="仿宋" w:eastAsia="仿宋_GB2312"/>
          <w:b/>
          <w:sz w:val="30"/>
          <w:szCs w:val="30"/>
          <w:highlight w:val="none"/>
        </w:rPr>
        <w:t>逻辑性审核公式</w:t>
      </w:r>
      <w:r>
        <w:rPr>
          <w:rFonts w:ascii="仿宋_GB2312" w:hAnsi="仿宋" w:eastAsia="仿宋_GB2312"/>
          <w:b/>
          <w:sz w:val="30"/>
          <w:szCs w:val="30"/>
          <w:highlight w:val="none"/>
        </w:rPr>
        <w:t>：</w:t>
      </w:r>
    </w:p>
    <w:p w14:paraId="2E302868">
      <w:pPr>
        <w:spacing w:line="360" w:lineRule="auto"/>
        <w:ind w:firstLine="602" w:firstLineChars="200"/>
        <w:rPr>
          <w:rFonts w:hint="eastAsia" w:ascii="仿宋_GB2312" w:hAnsi="仿宋" w:eastAsia="仿宋_GB2312"/>
          <w:b/>
          <w:sz w:val="30"/>
          <w:szCs w:val="30"/>
          <w:highlight w:val="none"/>
        </w:rPr>
      </w:pPr>
      <w:r>
        <w:rPr>
          <w:rFonts w:hint="eastAsia" w:ascii="仿宋_GB2312" w:hAnsi="仿宋" w:eastAsia="仿宋_GB2312"/>
          <w:b/>
          <w:sz w:val="30"/>
          <w:szCs w:val="30"/>
          <w:highlight w:val="none"/>
        </w:rPr>
        <w:t>表内公式</w:t>
      </w:r>
      <w:r>
        <w:rPr>
          <w:rFonts w:ascii="仿宋_GB2312" w:hAnsi="仿宋" w:eastAsia="仿宋_GB2312"/>
          <w:b/>
          <w:sz w:val="30"/>
          <w:szCs w:val="30"/>
          <w:highlight w:val="none"/>
        </w:rPr>
        <w:t>：</w:t>
      </w:r>
    </w:p>
    <w:p w14:paraId="347E1F20">
      <w:pPr>
        <w:numPr>
          <w:ilvl w:val="0"/>
          <w:numId w:val="6"/>
        </w:numPr>
        <w:adjustRightInd w:val="0"/>
        <w:snapToGrid w:val="0"/>
        <w:spacing w:line="360" w:lineRule="auto"/>
        <w:ind w:left="-142" w:firstLine="568"/>
        <w:jc w:val="left"/>
        <w:rPr>
          <w:rFonts w:hint="eastAsia" w:ascii="仿宋_GB2312" w:hAnsi="仿宋" w:eastAsia="仿宋_GB2312"/>
          <w:sz w:val="30"/>
          <w:szCs w:val="30"/>
          <w:highlight w:val="none"/>
        </w:rPr>
      </w:pPr>
      <w:r>
        <w:rPr>
          <w:rFonts w:hint="eastAsia" w:ascii="仿宋_GB2312" w:hAnsi="仿宋" w:eastAsia="仿宋_GB2312"/>
          <w:sz w:val="30"/>
          <w:szCs w:val="30"/>
          <w:highlight w:val="none"/>
        </w:rPr>
        <w:t>合计</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1行</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各栏</w:t>
      </w:r>
      <w:r>
        <w:rPr>
          <w:rFonts w:hint="eastAsia" w:ascii="仿宋_GB2312" w:hAnsi="仿宋" w:eastAsia="仿宋_GB2312"/>
          <w:sz w:val="30"/>
          <w:szCs w:val="30"/>
          <w:highlight w:val="none"/>
          <w:lang w:val="en-US" w:eastAsia="zh-CN"/>
        </w:rPr>
        <w:t>应等于</w:t>
      </w:r>
      <w:r>
        <w:rPr>
          <w:rFonts w:hint="eastAsia" w:ascii="仿宋_GB2312" w:hAnsi="仿宋" w:eastAsia="仿宋_GB2312"/>
          <w:sz w:val="30"/>
          <w:szCs w:val="30"/>
          <w:highlight w:val="none"/>
        </w:rPr>
        <w:t>固定资产</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2行</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和无形资产</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20</w:t>
      </w:r>
      <w:r>
        <w:rPr>
          <w:rFonts w:hint="eastAsia" w:ascii="仿宋_GB2312" w:hAnsi="仿宋" w:eastAsia="仿宋_GB2312"/>
          <w:sz w:val="30"/>
          <w:szCs w:val="30"/>
          <w:highlight w:val="none"/>
        </w:rPr>
        <w:t>行</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对应</w:t>
      </w:r>
      <w:r>
        <w:rPr>
          <w:rFonts w:hint="eastAsia" w:ascii="仿宋_GB2312" w:hAnsi="仿宋" w:eastAsia="仿宋_GB2312"/>
          <w:sz w:val="30"/>
          <w:szCs w:val="30"/>
          <w:highlight w:val="none"/>
        </w:rPr>
        <w:t>栏次之和；</w:t>
      </w:r>
    </w:p>
    <w:p w14:paraId="432CC3A8">
      <w:pPr>
        <w:numPr>
          <w:ilvl w:val="0"/>
          <w:numId w:val="6"/>
        </w:numPr>
        <w:adjustRightInd w:val="0"/>
        <w:snapToGrid w:val="0"/>
        <w:spacing w:line="360" w:lineRule="auto"/>
        <w:ind w:left="-142" w:firstLine="568"/>
        <w:jc w:val="left"/>
        <w:rPr>
          <w:rFonts w:hint="eastAsia" w:ascii="仿宋_GB2312" w:hAnsi="仿宋" w:eastAsia="仿宋_GB2312"/>
          <w:sz w:val="30"/>
          <w:szCs w:val="30"/>
          <w:highlight w:val="none"/>
        </w:rPr>
      </w:pPr>
      <w:r>
        <w:rPr>
          <w:rFonts w:hint="eastAsia" w:ascii="仿宋_GB2312" w:hAnsi="仿宋" w:eastAsia="仿宋_GB2312"/>
          <w:sz w:val="30"/>
          <w:szCs w:val="30"/>
          <w:highlight w:val="none"/>
        </w:rPr>
        <w:t>固定资产</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2行</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各栏</w:t>
      </w:r>
      <w:r>
        <w:rPr>
          <w:rFonts w:hint="eastAsia" w:ascii="仿宋_GB2312" w:hAnsi="仿宋" w:eastAsia="仿宋_GB2312"/>
          <w:sz w:val="30"/>
          <w:szCs w:val="30"/>
          <w:highlight w:val="none"/>
          <w:lang w:val="en-US" w:eastAsia="zh-CN"/>
        </w:rPr>
        <w:t>应等于</w:t>
      </w:r>
      <w:r>
        <w:rPr>
          <w:rFonts w:hint="eastAsia" w:ascii="仿宋_GB2312" w:hAnsi="仿宋" w:eastAsia="仿宋_GB2312"/>
          <w:sz w:val="30"/>
          <w:szCs w:val="30"/>
          <w:highlight w:val="none"/>
        </w:rPr>
        <w:t>房屋和构筑物</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3行</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、设备</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10行</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、文物和陈列品</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16</w:t>
      </w:r>
      <w:r>
        <w:rPr>
          <w:rFonts w:hint="eastAsia" w:ascii="仿宋_GB2312" w:hAnsi="仿宋" w:eastAsia="仿宋_GB2312"/>
          <w:sz w:val="30"/>
          <w:szCs w:val="30"/>
          <w:highlight w:val="none"/>
        </w:rPr>
        <w:t>行</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、图书和档案</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1</w:t>
      </w:r>
      <w:r>
        <w:rPr>
          <w:rFonts w:hint="eastAsia" w:ascii="仿宋_GB2312" w:hAnsi="仿宋" w:eastAsia="仿宋_GB2312"/>
          <w:sz w:val="30"/>
          <w:szCs w:val="30"/>
          <w:highlight w:val="none"/>
          <w:lang w:val="en-US" w:eastAsia="zh-CN"/>
        </w:rPr>
        <w:t>7</w:t>
      </w:r>
      <w:r>
        <w:rPr>
          <w:rFonts w:hint="eastAsia" w:ascii="仿宋_GB2312" w:hAnsi="仿宋" w:eastAsia="仿宋_GB2312"/>
          <w:sz w:val="30"/>
          <w:szCs w:val="30"/>
          <w:highlight w:val="none"/>
        </w:rPr>
        <w:t>行</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、家具和用具</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1</w:t>
      </w:r>
      <w:r>
        <w:rPr>
          <w:rFonts w:hint="eastAsia" w:ascii="仿宋_GB2312" w:hAnsi="仿宋" w:eastAsia="仿宋_GB2312"/>
          <w:sz w:val="30"/>
          <w:szCs w:val="30"/>
          <w:highlight w:val="none"/>
          <w:lang w:val="en-US" w:eastAsia="zh-CN"/>
        </w:rPr>
        <w:t>8</w:t>
      </w:r>
      <w:r>
        <w:rPr>
          <w:rFonts w:hint="eastAsia" w:ascii="仿宋_GB2312" w:hAnsi="仿宋" w:eastAsia="仿宋_GB2312"/>
          <w:sz w:val="30"/>
          <w:szCs w:val="30"/>
          <w:highlight w:val="none"/>
        </w:rPr>
        <w:t>行</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、特种动植物</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1</w:t>
      </w:r>
      <w:r>
        <w:rPr>
          <w:rFonts w:hint="eastAsia" w:ascii="仿宋_GB2312" w:hAnsi="仿宋" w:eastAsia="仿宋_GB2312"/>
          <w:sz w:val="30"/>
          <w:szCs w:val="30"/>
          <w:highlight w:val="none"/>
          <w:lang w:val="en-US" w:eastAsia="zh-CN"/>
        </w:rPr>
        <w:t>9</w:t>
      </w:r>
      <w:r>
        <w:rPr>
          <w:rFonts w:hint="eastAsia" w:ascii="仿宋_GB2312" w:hAnsi="仿宋" w:eastAsia="仿宋_GB2312"/>
          <w:sz w:val="30"/>
          <w:szCs w:val="30"/>
          <w:highlight w:val="none"/>
        </w:rPr>
        <w:t>行</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对应</w:t>
      </w:r>
      <w:r>
        <w:rPr>
          <w:rFonts w:hint="eastAsia" w:ascii="仿宋_GB2312" w:hAnsi="仿宋" w:eastAsia="仿宋_GB2312"/>
          <w:sz w:val="30"/>
          <w:szCs w:val="30"/>
          <w:highlight w:val="none"/>
        </w:rPr>
        <w:t>栏次之和；</w:t>
      </w:r>
    </w:p>
    <w:p w14:paraId="488485F8">
      <w:pPr>
        <w:numPr>
          <w:ilvl w:val="0"/>
          <w:numId w:val="6"/>
        </w:numPr>
        <w:adjustRightInd w:val="0"/>
        <w:snapToGrid w:val="0"/>
        <w:spacing w:line="360" w:lineRule="auto"/>
        <w:ind w:left="-142" w:firstLine="568"/>
        <w:jc w:val="left"/>
        <w:rPr>
          <w:rFonts w:hint="eastAsia" w:ascii="仿宋_GB2312" w:hAnsi="仿宋" w:eastAsia="仿宋_GB2312"/>
          <w:sz w:val="30"/>
          <w:szCs w:val="30"/>
          <w:highlight w:val="none"/>
        </w:rPr>
      </w:pPr>
      <w:r>
        <w:rPr>
          <w:rFonts w:hint="eastAsia" w:ascii="仿宋_GB2312" w:hAnsi="仿宋" w:eastAsia="仿宋_GB2312"/>
          <w:sz w:val="30"/>
          <w:szCs w:val="30"/>
          <w:highlight w:val="none"/>
        </w:rPr>
        <w:t>房屋和构筑物</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3行</w:t>
      </w:r>
      <w:r>
        <w:rPr>
          <w:rFonts w:hint="eastAsia" w:ascii="仿宋_GB2312" w:hAnsi="仿宋" w:eastAsia="仿宋_GB2312"/>
          <w:sz w:val="30"/>
          <w:szCs w:val="30"/>
          <w:highlight w:val="none"/>
          <w:lang w:val="en-US" w:eastAsia="zh-CN"/>
        </w:rPr>
        <w:t>）应大于等于</w:t>
      </w:r>
      <w:r>
        <w:rPr>
          <w:rFonts w:hint="eastAsia" w:ascii="仿宋_GB2312" w:hAnsi="仿宋" w:eastAsia="仿宋_GB2312"/>
          <w:sz w:val="30"/>
          <w:szCs w:val="30"/>
          <w:highlight w:val="none"/>
        </w:rPr>
        <w:t>土地</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4行</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和房屋</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5行</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对应</w:t>
      </w:r>
      <w:r>
        <w:rPr>
          <w:rFonts w:hint="eastAsia" w:ascii="仿宋_GB2312" w:hAnsi="仿宋" w:eastAsia="仿宋_GB2312"/>
          <w:sz w:val="30"/>
          <w:szCs w:val="30"/>
          <w:highlight w:val="none"/>
        </w:rPr>
        <w:t>栏次之和；</w:t>
      </w:r>
    </w:p>
    <w:p w14:paraId="33073004">
      <w:pPr>
        <w:numPr>
          <w:ilvl w:val="0"/>
          <w:numId w:val="6"/>
        </w:numPr>
        <w:adjustRightInd w:val="0"/>
        <w:snapToGrid w:val="0"/>
        <w:spacing w:line="360" w:lineRule="auto"/>
        <w:ind w:left="-142" w:firstLine="568"/>
        <w:jc w:val="left"/>
        <w:rPr>
          <w:rFonts w:hint="eastAsia" w:ascii="仿宋_GB2312" w:hAnsi="仿宋" w:eastAsia="仿宋_GB2312"/>
          <w:sz w:val="30"/>
          <w:szCs w:val="30"/>
          <w:highlight w:val="none"/>
        </w:rPr>
      </w:pPr>
      <w:r>
        <w:rPr>
          <w:rFonts w:hint="eastAsia" w:ascii="仿宋_GB2312" w:hAnsi="仿宋" w:eastAsia="仿宋_GB2312"/>
          <w:sz w:val="30"/>
          <w:szCs w:val="30"/>
          <w:highlight w:val="none"/>
        </w:rPr>
        <w:t>房屋</w:t>
      </w:r>
      <w:r>
        <w:rPr>
          <w:rFonts w:hint="eastAsia" w:ascii="仿宋_GB2312" w:hAnsi="仿宋" w:eastAsia="仿宋_GB2312"/>
          <w:sz w:val="30"/>
          <w:szCs w:val="30"/>
          <w:highlight w:val="none"/>
          <w:lang w:eastAsia="zh-CN"/>
        </w:rPr>
        <w:t>（</w:t>
      </w:r>
      <w:r>
        <w:rPr>
          <w:rFonts w:ascii="仿宋_GB2312" w:hAnsi="仿宋" w:eastAsia="仿宋_GB2312"/>
          <w:sz w:val="30"/>
          <w:szCs w:val="30"/>
          <w:highlight w:val="none"/>
        </w:rPr>
        <w:t>5</w:t>
      </w:r>
      <w:r>
        <w:rPr>
          <w:rFonts w:hint="eastAsia" w:ascii="仿宋_GB2312" w:hAnsi="仿宋" w:eastAsia="仿宋_GB2312"/>
          <w:sz w:val="30"/>
          <w:szCs w:val="30"/>
          <w:highlight w:val="none"/>
        </w:rPr>
        <w:t>行</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各栏次</w:t>
      </w:r>
      <w:r>
        <w:rPr>
          <w:rFonts w:hint="eastAsia" w:ascii="仿宋_GB2312" w:hAnsi="仿宋" w:eastAsia="仿宋_GB2312"/>
          <w:sz w:val="30"/>
          <w:szCs w:val="30"/>
          <w:highlight w:val="none"/>
          <w:lang w:val="en-US" w:eastAsia="zh-CN"/>
        </w:rPr>
        <w:t>应等于</w:t>
      </w:r>
      <w:r>
        <w:rPr>
          <w:rFonts w:hint="eastAsia" w:ascii="仿宋_GB2312" w:hAnsi="仿宋" w:eastAsia="仿宋_GB2312"/>
          <w:sz w:val="30"/>
          <w:szCs w:val="30"/>
          <w:highlight w:val="none"/>
        </w:rPr>
        <w:t>办公用房</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6行</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、业务用</w:t>
      </w:r>
      <w:r>
        <w:rPr>
          <w:rFonts w:hint="eastAsia" w:ascii="仿宋_GB2312" w:hAnsi="仿宋" w:eastAsia="仿宋_GB2312"/>
          <w:sz w:val="30"/>
          <w:szCs w:val="30"/>
          <w:highlight w:val="none"/>
          <w:lang w:val="en-US" w:eastAsia="zh-CN"/>
        </w:rPr>
        <w:t>房</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8</w:t>
      </w:r>
      <w:r>
        <w:rPr>
          <w:rFonts w:hint="eastAsia" w:ascii="仿宋_GB2312" w:hAnsi="仿宋" w:eastAsia="仿宋_GB2312"/>
          <w:sz w:val="30"/>
          <w:szCs w:val="30"/>
          <w:highlight w:val="none"/>
          <w:lang w:val="en-US" w:eastAsia="zh-CN"/>
        </w:rPr>
        <w:t>行</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和其他用房</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9</w:t>
      </w:r>
      <w:r>
        <w:rPr>
          <w:rFonts w:hint="eastAsia" w:ascii="仿宋_GB2312" w:hAnsi="仿宋" w:eastAsia="仿宋_GB2312"/>
          <w:sz w:val="30"/>
          <w:szCs w:val="30"/>
          <w:highlight w:val="none"/>
          <w:lang w:val="en-US" w:eastAsia="zh-CN"/>
        </w:rPr>
        <w:t>行</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对应</w:t>
      </w:r>
      <w:r>
        <w:rPr>
          <w:rFonts w:hint="eastAsia" w:ascii="仿宋_GB2312" w:hAnsi="仿宋" w:eastAsia="仿宋_GB2312"/>
          <w:sz w:val="30"/>
          <w:szCs w:val="30"/>
          <w:highlight w:val="none"/>
        </w:rPr>
        <w:t>栏次之和；</w:t>
      </w:r>
    </w:p>
    <w:p w14:paraId="5FF88888">
      <w:pPr>
        <w:numPr>
          <w:ilvl w:val="0"/>
          <w:numId w:val="6"/>
        </w:numPr>
        <w:adjustRightInd w:val="0"/>
        <w:snapToGrid w:val="0"/>
        <w:spacing w:line="360" w:lineRule="auto"/>
        <w:ind w:left="-142" w:firstLine="568"/>
        <w:jc w:val="left"/>
        <w:rPr>
          <w:rFonts w:hint="eastAsia" w:ascii="仿宋_GB2312" w:hAnsi="仿宋" w:eastAsia="仿宋_GB2312"/>
          <w:sz w:val="30"/>
          <w:szCs w:val="30"/>
          <w:highlight w:val="none"/>
        </w:rPr>
      </w:pPr>
      <w:r>
        <w:rPr>
          <w:rFonts w:hint="eastAsia" w:ascii="仿宋_GB2312" w:hAnsi="仿宋" w:eastAsia="仿宋_GB2312"/>
          <w:sz w:val="30"/>
          <w:szCs w:val="30"/>
          <w:highlight w:val="none"/>
          <w:lang w:val="en-US" w:eastAsia="zh-CN"/>
        </w:rPr>
        <w:t>设备</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10</w:t>
      </w:r>
      <w:r>
        <w:rPr>
          <w:rFonts w:hint="eastAsia" w:ascii="仿宋_GB2312" w:hAnsi="仿宋" w:eastAsia="仿宋_GB2312"/>
          <w:sz w:val="30"/>
          <w:szCs w:val="30"/>
          <w:highlight w:val="none"/>
        </w:rPr>
        <w:t>行</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各栏次</w:t>
      </w:r>
      <w:r>
        <w:rPr>
          <w:rFonts w:hint="eastAsia" w:ascii="仿宋_GB2312" w:hAnsi="仿宋" w:eastAsia="仿宋_GB2312"/>
          <w:sz w:val="30"/>
          <w:szCs w:val="30"/>
          <w:highlight w:val="none"/>
          <w:lang w:val="en-US" w:eastAsia="zh-CN"/>
        </w:rPr>
        <w:t>应大于等于</w:t>
      </w:r>
      <w:r>
        <w:rPr>
          <w:rFonts w:hint="eastAsia" w:ascii="仿宋_GB2312" w:hAnsi="仿宋" w:eastAsia="仿宋_GB2312"/>
          <w:sz w:val="30"/>
          <w:szCs w:val="30"/>
          <w:highlight w:val="none"/>
        </w:rPr>
        <w:t>车辆</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11</w:t>
      </w:r>
      <w:r>
        <w:rPr>
          <w:rFonts w:hint="eastAsia" w:ascii="仿宋_GB2312" w:hAnsi="仿宋" w:eastAsia="仿宋_GB2312"/>
          <w:sz w:val="30"/>
          <w:szCs w:val="30"/>
          <w:highlight w:val="none"/>
        </w:rPr>
        <w:t>行</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和</w:t>
      </w:r>
      <w:r>
        <w:rPr>
          <w:rFonts w:hint="eastAsia" w:ascii="仿宋_GB2312" w:hAnsi="仿宋" w:eastAsia="仿宋_GB2312"/>
          <w:sz w:val="30"/>
          <w:szCs w:val="30"/>
          <w:highlight w:val="none"/>
        </w:rPr>
        <w:t>单价100万（含）以上（不含车辆）</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12</w:t>
      </w:r>
      <w:r>
        <w:rPr>
          <w:rFonts w:hint="eastAsia" w:ascii="仿宋_GB2312" w:hAnsi="仿宋" w:eastAsia="仿宋_GB2312"/>
          <w:sz w:val="30"/>
          <w:szCs w:val="30"/>
          <w:highlight w:val="none"/>
        </w:rPr>
        <w:t>行</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对应</w:t>
      </w:r>
      <w:r>
        <w:rPr>
          <w:rFonts w:hint="eastAsia" w:ascii="仿宋_GB2312" w:hAnsi="仿宋" w:eastAsia="仿宋_GB2312"/>
          <w:sz w:val="30"/>
          <w:szCs w:val="30"/>
          <w:highlight w:val="none"/>
        </w:rPr>
        <w:t>栏次之和；</w:t>
      </w:r>
    </w:p>
    <w:p w14:paraId="6EA30340">
      <w:pPr>
        <w:numPr>
          <w:ilvl w:val="0"/>
          <w:numId w:val="6"/>
        </w:numPr>
        <w:adjustRightInd w:val="0"/>
        <w:snapToGrid w:val="0"/>
        <w:spacing w:line="360" w:lineRule="auto"/>
        <w:ind w:left="-142" w:firstLine="568"/>
        <w:jc w:val="left"/>
        <w:rPr>
          <w:rFonts w:hint="eastAsia" w:ascii="仿宋_GB2312" w:hAnsi="仿宋" w:eastAsia="仿宋_GB2312"/>
          <w:sz w:val="30"/>
          <w:szCs w:val="30"/>
          <w:highlight w:val="none"/>
        </w:rPr>
      </w:pPr>
      <w:r>
        <w:rPr>
          <w:rFonts w:hint="eastAsia" w:ascii="仿宋_GB2312" w:hAnsi="仿宋" w:eastAsia="仿宋_GB2312"/>
          <w:sz w:val="30"/>
          <w:szCs w:val="30"/>
          <w:highlight w:val="none"/>
        </w:rPr>
        <w:t>单价100万（含）以上（不含车辆）</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12</w:t>
      </w:r>
      <w:r>
        <w:rPr>
          <w:rFonts w:hint="eastAsia" w:ascii="仿宋_GB2312" w:hAnsi="仿宋" w:eastAsia="仿宋_GB2312"/>
          <w:sz w:val="30"/>
          <w:szCs w:val="30"/>
          <w:highlight w:val="none"/>
        </w:rPr>
        <w:t>行</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各栏次</w:t>
      </w:r>
      <w:r>
        <w:rPr>
          <w:rFonts w:hint="eastAsia" w:ascii="仿宋_GB2312" w:hAnsi="仿宋" w:eastAsia="仿宋_GB2312"/>
          <w:sz w:val="30"/>
          <w:szCs w:val="30"/>
          <w:highlight w:val="none"/>
          <w:lang w:val="en-US" w:eastAsia="zh-CN"/>
        </w:rPr>
        <w:t>应大于等于医疗设备</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13</w:t>
      </w:r>
      <w:r>
        <w:rPr>
          <w:rFonts w:hint="eastAsia" w:ascii="仿宋_GB2312" w:hAnsi="仿宋" w:eastAsia="仿宋_GB2312"/>
          <w:sz w:val="30"/>
          <w:szCs w:val="30"/>
          <w:highlight w:val="none"/>
        </w:rPr>
        <w:t>行</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和科研设备</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14行</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对应</w:t>
      </w:r>
      <w:r>
        <w:rPr>
          <w:rFonts w:hint="eastAsia" w:ascii="仿宋_GB2312" w:hAnsi="仿宋" w:eastAsia="仿宋_GB2312"/>
          <w:sz w:val="30"/>
          <w:szCs w:val="30"/>
          <w:highlight w:val="none"/>
        </w:rPr>
        <w:t>栏次之和；</w:t>
      </w:r>
    </w:p>
    <w:p w14:paraId="7178803A">
      <w:pPr>
        <w:numPr>
          <w:ilvl w:val="0"/>
          <w:numId w:val="6"/>
        </w:numPr>
        <w:adjustRightInd w:val="0"/>
        <w:snapToGrid w:val="0"/>
        <w:spacing w:line="360" w:lineRule="auto"/>
        <w:ind w:left="-142" w:firstLine="568"/>
        <w:jc w:val="left"/>
        <w:rPr>
          <w:rFonts w:hint="eastAsia" w:ascii="仿宋_GB2312" w:hAnsi="仿宋" w:eastAsia="仿宋_GB2312"/>
          <w:sz w:val="30"/>
          <w:szCs w:val="30"/>
          <w:highlight w:val="none"/>
        </w:rPr>
      </w:pPr>
      <w:r>
        <w:rPr>
          <w:rFonts w:hint="eastAsia" w:ascii="仿宋_GB2312" w:hAnsi="仿宋" w:eastAsia="仿宋_GB2312"/>
          <w:sz w:val="30"/>
          <w:szCs w:val="30"/>
          <w:highlight w:val="none"/>
          <w:lang w:val="en-US" w:eastAsia="zh-CN"/>
        </w:rPr>
        <w:t>科研设备</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14行</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各栏次</w:t>
      </w:r>
      <w:r>
        <w:rPr>
          <w:rFonts w:hint="eastAsia" w:ascii="仿宋_GB2312" w:hAnsi="仿宋" w:eastAsia="仿宋_GB2312"/>
          <w:sz w:val="30"/>
          <w:szCs w:val="30"/>
          <w:highlight w:val="none"/>
          <w:lang w:val="en-US" w:eastAsia="zh-CN"/>
        </w:rPr>
        <w:t>应大于等于共享共用</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15行）各栏次</w:t>
      </w:r>
      <w:r>
        <w:rPr>
          <w:rFonts w:hint="eastAsia" w:ascii="仿宋_GB2312" w:hAnsi="仿宋" w:eastAsia="仿宋_GB2312"/>
          <w:sz w:val="30"/>
          <w:szCs w:val="30"/>
          <w:highlight w:val="none"/>
        </w:rPr>
        <w:t>；</w:t>
      </w:r>
    </w:p>
    <w:p w14:paraId="506D939E">
      <w:pPr>
        <w:numPr>
          <w:ilvl w:val="0"/>
          <w:numId w:val="6"/>
        </w:numPr>
        <w:adjustRightInd w:val="0"/>
        <w:snapToGrid w:val="0"/>
        <w:spacing w:line="360" w:lineRule="auto"/>
        <w:ind w:left="-142" w:firstLine="568"/>
        <w:jc w:val="left"/>
        <w:rPr>
          <w:rFonts w:hint="eastAsia" w:ascii="仿宋_GB2312" w:hAnsi="仿宋" w:eastAsia="仿宋_GB2312"/>
          <w:sz w:val="30"/>
          <w:szCs w:val="30"/>
          <w:highlight w:val="none"/>
        </w:rPr>
      </w:pPr>
      <w:r>
        <w:rPr>
          <w:rFonts w:hint="eastAsia" w:ascii="仿宋_GB2312" w:hAnsi="仿宋" w:eastAsia="仿宋_GB2312"/>
          <w:sz w:val="30"/>
          <w:szCs w:val="30"/>
          <w:highlight w:val="none"/>
        </w:rPr>
        <w:t>无形资产</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20</w:t>
      </w:r>
      <w:r>
        <w:rPr>
          <w:rFonts w:hint="eastAsia" w:ascii="仿宋_GB2312" w:hAnsi="仿宋" w:eastAsia="仿宋_GB2312"/>
          <w:sz w:val="30"/>
          <w:szCs w:val="30"/>
          <w:highlight w:val="none"/>
        </w:rPr>
        <w:t>行</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各栏</w:t>
      </w:r>
      <w:r>
        <w:rPr>
          <w:rFonts w:hint="eastAsia" w:ascii="仿宋_GB2312" w:hAnsi="仿宋" w:eastAsia="仿宋_GB2312"/>
          <w:sz w:val="30"/>
          <w:szCs w:val="30"/>
          <w:highlight w:val="none"/>
          <w:lang w:val="en-US" w:eastAsia="zh-CN"/>
        </w:rPr>
        <w:t>应大于等于</w:t>
      </w:r>
      <w:r>
        <w:rPr>
          <w:rFonts w:hint="eastAsia" w:ascii="仿宋_GB2312" w:hAnsi="仿宋" w:eastAsia="仿宋_GB2312"/>
          <w:sz w:val="30"/>
          <w:szCs w:val="30"/>
          <w:highlight w:val="none"/>
        </w:rPr>
        <w:t>专利</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21</w:t>
      </w:r>
      <w:r>
        <w:rPr>
          <w:rFonts w:hint="eastAsia" w:ascii="仿宋_GB2312" w:hAnsi="仿宋" w:eastAsia="仿宋_GB2312"/>
          <w:sz w:val="30"/>
          <w:szCs w:val="30"/>
          <w:highlight w:val="none"/>
        </w:rPr>
        <w:t>行</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、非专利技术</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22</w:t>
      </w:r>
      <w:r>
        <w:rPr>
          <w:rFonts w:hint="eastAsia" w:ascii="仿宋_GB2312" w:hAnsi="仿宋" w:eastAsia="仿宋_GB2312"/>
          <w:sz w:val="30"/>
          <w:szCs w:val="30"/>
          <w:highlight w:val="none"/>
        </w:rPr>
        <w:t>行</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、土地使用权</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23</w:t>
      </w:r>
      <w:r>
        <w:rPr>
          <w:rFonts w:hint="eastAsia" w:ascii="仿宋_GB2312" w:hAnsi="仿宋" w:eastAsia="仿宋_GB2312"/>
          <w:sz w:val="30"/>
          <w:szCs w:val="30"/>
          <w:highlight w:val="none"/>
        </w:rPr>
        <w:t>行</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、计算机软件</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24</w:t>
      </w:r>
      <w:r>
        <w:rPr>
          <w:rFonts w:hint="eastAsia" w:ascii="仿宋_GB2312" w:hAnsi="仿宋" w:eastAsia="仿宋_GB2312"/>
          <w:sz w:val="30"/>
          <w:szCs w:val="30"/>
          <w:highlight w:val="none"/>
        </w:rPr>
        <w:t>行</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对应</w:t>
      </w:r>
      <w:r>
        <w:rPr>
          <w:rFonts w:hint="eastAsia" w:ascii="仿宋_GB2312" w:hAnsi="仿宋" w:eastAsia="仿宋_GB2312"/>
          <w:sz w:val="30"/>
          <w:szCs w:val="30"/>
          <w:highlight w:val="none"/>
        </w:rPr>
        <w:t>栏次之和；</w:t>
      </w:r>
    </w:p>
    <w:p w14:paraId="2465D795">
      <w:pPr>
        <w:numPr>
          <w:ilvl w:val="0"/>
          <w:numId w:val="6"/>
        </w:numPr>
        <w:adjustRightInd w:val="0"/>
        <w:snapToGrid w:val="0"/>
        <w:spacing w:line="360" w:lineRule="auto"/>
        <w:ind w:left="-142" w:firstLine="568"/>
        <w:jc w:val="left"/>
        <w:rPr>
          <w:rFonts w:hint="eastAsia" w:ascii="仿宋_GB2312" w:hAnsi="仿宋" w:eastAsia="仿宋_GB2312"/>
          <w:sz w:val="30"/>
          <w:szCs w:val="30"/>
          <w:highlight w:val="none"/>
        </w:rPr>
      </w:pPr>
      <w:r>
        <w:rPr>
          <w:rFonts w:hint="eastAsia" w:ascii="仿宋_GB2312" w:hAnsi="仿宋" w:eastAsia="仿宋_GB2312"/>
          <w:sz w:val="30"/>
          <w:szCs w:val="30"/>
          <w:highlight w:val="none"/>
        </w:rPr>
        <w:t>合计栏各行次等于新购、调拨、接受捐赠、置换和其他</w:t>
      </w:r>
      <w:r>
        <w:rPr>
          <w:rFonts w:hint="eastAsia" w:ascii="仿宋_GB2312" w:hAnsi="仿宋" w:eastAsia="仿宋_GB2312"/>
          <w:sz w:val="30"/>
          <w:szCs w:val="30"/>
          <w:highlight w:val="none"/>
          <w:lang w:val="en-US" w:eastAsia="zh-CN"/>
        </w:rPr>
        <w:t>对应</w:t>
      </w:r>
      <w:r>
        <w:rPr>
          <w:rFonts w:hint="eastAsia" w:ascii="仿宋_GB2312" w:hAnsi="仿宋" w:eastAsia="仿宋_GB2312"/>
          <w:sz w:val="30"/>
          <w:szCs w:val="30"/>
          <w:highlight w:val="none"/>
        </w:rPr>
        <w:t>行次之和。</w:t>
      </w:r>
    </w:p>
    <w:p w14:paraId="0E21F658">
      <w:pPr>
        <w:numPr>
          <w:ilvl w:val="0"/>
          <w:numId w:val="6"/>
        </w:numPr>
        <w:adjustRightInd w:val="0"/>
        <w:snapToGrid w:val="0"/>
        <w:spacing w:line="360" w:lineRule="auto"/>
        <w:ind w:left="-142" w:firstLine="568"/>
        <w:jc w:val="left"/>
        <w:rPr>
          <w:rFonts w:hint="eastAsia" w:ascii="仿宋_GB2312" w:hAnsi="仿宋" w:eastAsia="仿宋_GB2312"/>
          <w:sz w:val="30"/>
          <w:szCs w:val="30"/>
          <w:highlight w:val="none"/>
        </w:rPr>
      </w:pPr>
      <w:r>
        <w:rPr>
          <w:rFonts w:hint="eastAsia" w:ascii="仿宋_GB2312" w:hAnsi="仿宋" w:eastAsia="仿宋_GB2312"/>
          <w:sz w:val="30"/>
          <w:szCs w:val="30"/>
          <w:highlight w:val="none"/>
        </w:rPr>
        <w:t>所有指标大于等于0；</w:t>
      </w:r>
    </w:p>
    <w:p w14:paraId="423EAB87">
      <w:pPr>
        <w:numPr>
          <w:ilvl w:val="0"/>
          <w:numId w:val="6"/>
        </w:numPr>
        <w:adjustRightInd w:val="0"/>
        <w:snapToGrid w:val="0"/>
        <w:spacing w:line="360" w:lineRule="auto"/>
        <w:ind w:left="-142" w:firstLine="568"/>
        <w:jc w:val="left"/>
        <w:rPr>
          <w:rFonts w:hint="eastAsia" w:ascii="仿宋_GB2312" w:hAnsi="仿宋" w:eastAsia="仿宋_GB2312"/>
          <w:sz w:val="30"/>
          <w:szCs w:val="30"/>
          <w:highlight w:val="none"/>
        </w:rPr>
      </w:pPr>
      <w:r>
        <w:rPr>
          <w:rFonts w:hint="eastAsia" w:ascii="仿宋_GB2312" w:hAnsi="仿宋" w:eastAsia="仿宋_GB2312"/>
          <w:sz w:val="30"/>
          <w:szCs w:val="30"/>
          <w:highlight w:val="none"/>
        </w:rPr>
        <w:t>净值=原值-累计折旧/摊销。</w:t>
      </w:r>
    </w:p>
    <w:p w14:paraId="0E179256">
      <w:pPr>
        <w:pStyle w:val="2"/>
        <w:rPr>
          <w:rFonts w:hint="eastAsia"/>
          <w:b/>
          <w:color w:val="auto"/>
          <w:highlight w:val="none"/>
        </w:rPr>
      </w:pPr>
      <w:r>
        <w:rPr>
          <w:rFonts w:hint="eastAsia"/>
          <w:color w:val="auto"/>
          <w:highlight w:val="none"/>
        </w:rPr>
        <w:t>（十）资产出租出借情况表（</w:t>
      </w:r>
      <w:r>
        <w:rPr>
          <w:rFonts w:hint="eastAsia"/>
          <w:color w:val="auto"/>
          <w:highlight w:val="none"/>
          <w:lang w:eastAsia="zh-CN"/>
        </w:rPr>
        <w:t>财资09出租出借情况表</w:t>
      </w:r>
      <w:r>
        <w:rPr>
          <w:rFonts w:hint="eastAsia"/>
          <w:color w:val="auto"/>
          <w:highlight w:val="none"/>
        </w:rPr>
        <w:t>）</w:t>
      </w:r>
    </w:p>
    <w:p w14:paraId="35A59921">
      <w:pPr>
        <w:pStyle w:val="6"/>
        <w:spacing w:line="360" w:lineRule="auto"/>
        <w:ind w:firstLine="612"/>
        <w:rPr>
          <w:rFonts w:hint="eastAsia" w:hAnsi="仿宋"/>
          <w:sz w:val="30"/>
          <w:szCs w:val="30"/>
          <w:highlight w:val="none"/>
        </w:rPr>
      </w:pPr>
      <w:r>
        <w:rPr>
          <w:rFonts w:hint="eastAsia" w:hAnsi="仿宋"/>
          <w:sz w:val="30"/>
          <w:szCs w:val="30"/>
          <w:highlight w:val="none"/>
        </w:rPr>
        <w:t>本表反映行政事业单位本期账面资产出租出借的相关情况，包括</w:t>
      </w:r>
      <w:r>
        <w:rPr>
          <w:rFonts w:hAnsi="仿宋"/>
          <w:sz w:val="30"/>
          <w:szCs w:val="30"/>
          <w:highlight w:val="none"/>
        </w:rPr>
        <w:t>期末</w:t>
      </w:r>
      <w:r>
        <w:rPr>
          <w:rFonts w:hint="eastAsia" w:hAnsi="仿宋"/>
          <w:sz w:val="30"/>
          <w:szCs w:val="30"/>
          <w:highlight w:val="none"/>
        </w:rPr>
        <w:t>尚在</w:t>
      </w:r>
      <w:r>
        <w:rPr>
          <w:rFonts w:hAnsi="仿宋"/>
          <w:sz w:val="30"/>
          <w:szCs w:val="30"/>
          <w:highlight w:val="none"/>
        </w:rPr>
        <w:t>出租出借</w:t>
      </w:r>
      <w:r>
        <w:rPr>
          <w:rFonts w:hint="eastAsia" w:hAnsi="仿宋"/>
          <w:sz w:val="30"/>
          <w:szCs w:val="30"/>
          <w:highlight w:val="none"/>
        </w:rPr>
        <w:t>资产和本期内结束出租出借资产。单位在资产模块中执行出租出借申请并得到批复的，</w:t>
      </w:r>
      <w:bookmarkStart w:id="11" w:name="_Hlk51839059"/>
      <w:r>
        <w:rPr>
          <w:rFonts w:hint="eastAsia" w:hAnsi="仿宋"/>
          <w:sz w:val="30"/>
          <w:szCs w:val="30"/>
          <w:highlight w:val="none"/>
        </w:rPr>
        <w:t>本表</w:t>
      </w:r>
      <w:bookmarkStart w:id="12" w:name="_Hlk20425460"/>
      <w:r>
        <w:rPr>
          <w:rFonts w:hint="eastAsia" w:hAnsi="仿宋"/>
          <w:sz w:val="30"/>
          <w:szCs w:val="30"/>
          <w:highlight w:val="none"/>
        </w:rPr>
        <w:t>从</w:t>
      </w:r>
      <w:bookmarkEnd w:id="11"/>
      <w:r>
        <w:rPr>
          <w:rFonts w:hint="eastAsia" w:hAnsi="仿宋"/>
          <w:sz w:val="30"/>
          <w:szCs w:val="30"/>
          <w:highlight w:val="none"/>
        </w:rPr>
        <w:t>出租出借执行单自动提取</w:t>
      </w:r>
      <w:bookmarkEnd w:id="12"/>
      <w:r>
        <w:rPr>
          <w:rFonts w:hint="eastAsia" w:hAnsi="仿宋"/>
          <w:sz w:val="30"/>
          <w:szCs w:val="30"/>
          <w:highlight w:val="none"/>
        </w:rPr>
        <w:t>；单位未在资产模块中执行出租出借申请的，</w:t>
      </w:r>
      <w:r>
        <w:rPr>
          <w:rFonts w:hAnsi="仿宋"/>
          <w:sz w:val="30"/>
          <w:szCs w:val="30"/>
          <w:highlight w:val="none"/>
        </w:rPr>
        <w:t>应依据出租出借相关合同</w:t>
      </w:r>
      <w:r>
        <w:rPr>
          <w:rFonts w:hint="eastAsia" w:hAnsi="仿宋"/>
          <w:sz w:val="30"/>
          <w:szCs w:val="30"/>
          <w:highlight w:val="none"/>
        </w:rPr>
        <w:t>、</w:t>
      </w:r>
      <w:r>
        <w:rPr>
          <w:rFonts w:hAnsi="仿宋"/>
          <w:sz w:val="30"/>
          <w:szCs w:val="30"/>
          <w:highlight w:val="none"/>
        </w:rPr>
        <w:t>协议等填列</w:t>
      </w:r>
      <w:r>
        <w:rPr>
          <w:rFonts w:hint="eastAsia" w:hAnsi="仿宋"/>
          <w:sz w:val="30"/>
          <w:szCs w:val="30"/>
          <w:highlight w:val="none"/>
        </w:rPr>
        <w:t>。</w:t>
      </w:r>
    </w:p>
    <w:p w14:paraId="70222EE3">
      <w:pPr>
        <w:pStyle w:val="6"/>
        <w:spacing w:line="360" w:lineRule="auto"/>
        <w:ind w:firstLine="612"/>
        <w:rPr>
          <w:rFonts w:hint="eastAsia" w:hAnsi="仿宋"/>
          <w:sz w:val="30"/>
          <w:szCs w:val="30"/>
          <w:highlight w:val="none"/>
        </w:rPr>
      </w:pPr>
      <w:r>
        <w:rPr>
          <w:rFonts w:hint="eastAsia" w:hAnsi="仿宋"/>
          <w:sz w:val="30"/>
          <w:szCs w:val="30"/>
          <w:highlight w:val="none"/>
        </w:rPr>
        <w:t>为避免重复统计出租出借资产价值，同一资产（房屋、土地等资产以拆分后出租出借部分为准）本期多次出租出借的，应合并作为一条记录填写，其中“承租</w:t>
      </w:r>
      <w:r>
        <w:rPr>
          <w:rFonts w:hint="eastAsia" w:hAnsi="仿宋"/>
          <w:sz w:val="30"/>
          <w:szCs w:val="30"/>
          <w:highlight w:val="none"/>
          <w:lang w:eastAsia="zh-CN"/>
        </w:rPr>
        <w:t>（</w:t>
      </w:r>
      <w:r>
        <w:rPr>
          <w:rFonts w:hint="eastAsia" w:hAnsi="仿宋"/>
          <w:sz w:val="30"/>
          <w:szCs w:val="30"/>
          <w:highlight w:val="none"/>
        </w:rPr>
        <w:t>借</w:t>
      </w:r>
      <w:r>
        <w:rPr>
          <w:rFonts w:hint="eastAsia" w:hAnsi="仿宋"/>
          <w:sz w:val="30"/>
          <w:szCs w:val="30"/>
          <w:highlight w:val="none"/>
          <w:lang w:eastAsia="zh-CN"/>
        </w:rPr>
        <w:t>）</w:t>
      </w:r>
      <w:r>
        <w:rPr>
          <w:rFonts w:hint="eastAsia" w:hAnsi="仿宋"/>
          <w:sz w:val="30"/>
          <w:szCs w:val="30"/>
          <w:highlight w:val="none"/>
        </w:rPr>
        <w:t>方”、“出租</w:t>
      </w:r>
      <w:r>
        <w:rPr>
          <w:rFonts w:hint="eastAsia" w:hAnsi="仿宋"/>
          <w:sz w:val="30"/>
          <w:szCs w:val="30"/>
          <w:highlight w:val="none"/>
          <w:lang w:eastAsia="zh-CN"/>
        </w:rPr>
        <w:t>（</w:t>
      </w:r>
      <w:r>
        <w:rPr>
          <w:rFonts w:hint="eastAsia" w:hAnsi="仿宋"/>
          <w:sz w:val="30"/>
          <w:szCs w:val="30"/>
          <w:highlight w:val="none"/>
        </w:rPr>
        <w:t>借</w:t>
      </w:r>
      <w:r>
        <w:rPr>
          <w:rFonts w:hint="eastAsia" w:hAnsi="仿宋"/>
          <w:sz w:val="30"/>
          <w:szCs w:val="30"/>
          <w:highlight w:val="none"/>
          <w:lang w:eastAsia="zh-CN"/>
        </w:rPr>
        <w:t>）</w:t>
      </w:r>
      <w:r>
        <w:rPr>
          <w:rFonts w:hint="eastAsia" w:hAnsi="仿宋"/>
          <w:sz w:val="30"/>
          <w:szCs w:val="30"/>
          <w:highlight w:val="none"/>
        </w:rPr>
        <w:t>期限”、“审批情况”按照最新合同信息填写，“本期实收出租（借）收益”按照合并后的当年总收益进行填列。</w:t>
      </w:r>
    </w:p>
    <w:p w14:paraId="7EB81C96">
      <w:pPr>
        <w:pStyle w:val="6"/>
        <w:spacing w:line="360" w:lineRule="auto"/>
        <w:ind w:firstLine="648" w:firstLineChars="0"/>
        <w:rPr>
          <w:rFonts w:hint="eastAsia" w:hAnsi="仿宋"/>
          <w:b/>
          <w:bCs/>
          <w:sz w:val="30"/>
          <w:szCs w:val="30"/>
          <w:highlight w:val="none"/>
        </w:rPr>
      </w:pPr>
      <w:r>
        <w:rPr>
          <w:rFonts w:hint="eastAsia" w:hAnsi="仿宋"/>
          <w:b/>
          <w:bCs/>
          <w:sz w:val="30"/>
          <w:szCs w:val="30"/>
          <w:highlight w:val="none"/>
        </w:rPr>
        <w:t>主要指标</w:t>
      </w:r>
      <w:r>
        <w:rPr>
          <w:rFonts w:hAnsi="仿宋"/>
          <w:b/>
          <w:bCs/>
          <w:sz w:val="30"/>
          <w:szCs w:val="30"/>
          <w:highlight w:val="none"/>
        </w:rPr>
        <w:t>说明：</w:t>
      </w:r>
    </w:p>
    <w:p w14:paraId="057CE92B">
      <w:pPr>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1.资产编号、资产名称：从出租出借执行单自动提取或手工填列。</w:t>
      </w:r>
    </w:p>
    <w:p w14:paraId="4D10835A">
      <w:pPr>
        <w:pStyle w:val="6"/>
        <w:spacing w:line="360" w:lineRule="auto"/>
        <w:ind w:firstLine="612"/>
        <w:rPr>
          <w:rFonts w:hint="eastAsia" w:hAnsi="仿宋"/>
          <w:sz w:val="30"/>
          <w:szCs w:val="30"/>
          <w:highlight w:val="none"/>
        </w:rPr>
      </w:pPr>
      <w:r>
        <w:rPr>
          <w:rFonts w:hint="eastAsia" w:hAnsi="仿宋"/>
          <w:sz w:val="30"/>
          <w:szCs w:val="30"/>
          <w:highlight w:val="none"/>
        </w:rPr>
        <w:t>2.资产分类：根据出租资产类别，分别选择固定资产、无形资产、流动资产、在建工程和其他资产填列，其中固定资产依据《固定资产等资产基础分类与代码》（GB/T 14885-20</w:t>
      </w:r>
      <w:r>
        <w:rPr>
          <w:rFonts w:hAnsi="仿宋"/>
          <w:sz w:val="30"/>
          <w:szCs w:val="30"/>
          <w:highlight w:val="none"/>
        </w:rPr>
        <w:t>22</w:t>
      </w:r>
      <w:r>
        <w:rPr>
          <w:rFonts w:hint="eastAsia" w:hAnsi="仿宋"/>
          <w:sz w:val="30"/>
          <w:szCs w:val="30"/>
          <w:highlight w:val="none"/>
        </w:rPr>
        <w:t>）标准编码的选项，按固定资产分类代码进行填列；无形资产依据《无形资产分类与代码》（GB</w:t>
      </w:r>
      <w:r>
        <w:rPr>
          <w:rFonts w:hAnsi="仿宋"/>
          <w:sz w:val="30"/>
          <w:szCs w:val="30"/>
          <w:highlight w:val="none"/>
        </w:rPr>
        <w:t>/</w:t>
      </w:r>
      <w:r>
        <w:rPr>
          <w:rFonts w:hint="eastAsia" w:hAnsi="仿宋"/>
          <w:sz w:val="30"/>
          <w:szCs w:val="30"/>
          <w:highlight w:val="none"/>
        </w:rPr>
        <w:t>T 35416-2017）标准编码的选项，按无形资产分类代码进行填列；流动资产按货币资金、其他流动资产选择填列；在建工程按实际情况填列；不属于上述资产范围的出租出借事项按其他资产填列，如户外附属设施等。</w:t>
      </w:r>
    </w:p>
    <w:p w14:paraId="55F22EE7">
      <w:pPr>
        <w:pStyle w:val="6"/>
        <w:spacing w:line="360" w:lineRule="auto"/>
        <w:ind w:firstLine="612"/>
        <w:rPr>
          <w:rFonts w:hint="eastAsia" w:hAnsi="仿宋"/>
          <w:sz w:val="30"/>
          <w:szCs w:val="30"/>
          <w:highlight w:val="none"/>
        </w:rPr>
      </w:pPr>
      <w:r>
        <w:rPr>
          <w:rFonts w:hAnsi="仿宋"/>
          <w:sz w:val="30"/>
          <w:szCs w:val="30"/>
          <w:highlight w:val="none"/>
        </w:rPr>
        <w:t>3.</w:t>
      </w:r>
      <w:r>
        <w:rPr>
          <w:rFonts w:hint="eastAsia" w:hAnsi="仿宋"/>
          <w:sz w:val="30"/>
          <w:szCs w:val="30"/>
          <w:highlight w:val="none"/>
        </w:rPr>
        <w:t>取得日期：反映固定（无形）资产的取得日期，从卡片自动提取。</w:t>
      </w:r>
    </w:p>
    <w:p w14:paraId="2B6B85B1">
      <w:pPr>
        <w:pStyle w:val="6"/>
        <w:spacing w:line="360" w:lineRule="auto"/>
        <w:ind w:firstLine="612"/>
        <w:rPr>
          <w:rFonts w:hint="eastAsia" w:hAnsi="仿宋"/>
          <w:sz w:val="30"/>
          <w:szCs w:val="30"/>
          <w:highlight w:val="none"/>
        </w:rPr>
      </w:pPr>
      <w:r>
        <w:rPr>
          <w:rFonts w:hAnsi="仿宋"/>
          <w:sz w:val="30"/>
          <w:szCs w:val="30"/>
          <w:highlight w:val="none"/>
        </w:rPr>
        <w:t>4.</w:t>
      </w:r>
      <w:r>
        <w:rPr>
          <w:rFonts w:hint="eastAsia" w:hAnsi="仿宋"/>
          <w:sz w:val="30"/>
          <w:szCs w:val="30"/>
          <w:highlight w:val="none"/>
        </w:rPr>
        <w:t>账面数量/面积：指用于出租出借资产实际取得时的数量</w:t>
      </w:r>
      <w:r>
        <w:rPr>
          <w:rFonts w:hAnsi="仿宋"/>
          <w:sz w:val="30"/>
          <w:szCs w:val="30"/>
          <w:highlight w:val="none"/>
        </w:rPr>
        <w:t>/面积。</w:t>
      </w:r>
    </w:p>
    <w:p w14:paraId="7712160F">
      <w:pPr>
        <w:pStyle w:val="6"/>
        <w:spacing w:line="360" w:lineRule="auto"/>
        <w:ind w:firstLine="612"/>
        <w:rPr>
          <w:rFonts w:hint="eastAsia" w:hAnsi="仿宋"/>
          <w:sz w:val="30"/>
          <w:szCs w:val="30"/>
          <w:highlight w:val="none"/>
        </w:rPr>
      </w:pPr>
      <w:r>
        <w:rPr>
          <w:rFonts w:hAnsi="仿宋"/>
          <w:sz w:val="30"/>
          <w:szCs w:val="30"/>
          <w:highlight w:val="none"/>
        </w:rPr>
        <w:t>5.账面原值：指用于出租出借资产实际取得时原值。</w:t>
      </w:r>
    </w:p>
    <w:p w14:paraId="7AB59651">
      <w:pPr>
        <w:pStyle w:val="6"/>
        <w:spacing w:line="360" w:lineRule="auto"/>
        <w:ind w:firstLine="612"/>
        <w:rPr>
          <w:rFonts w:hint="eastAsia" w:hAnsi="仿宋"/>
          <w:sz w:val="30"/>
          <w:szCs w:val="30"/>
          <w:highlight w:val="none"/>
        </w:rPr>
      </w:pPr>
      <w:r>
        <w:rPr>
          <w:rFonts w:hAnsi="仿宋"/>
          <w:sz w:val="30"/>
          <w:szCs w:val="30"/>
          <w:highlight w:val="none"/>
        </w:rPr>
        <w:t>6.出租出借数量/</w:t>
      </w:r>
      <w:r>
        <w:rPr>
          <w:rFonts w:hint="eastAsia" w:hAnsi="仿宋"/>
          <w:sz w:val="30"/>
          <w:szCs w:val="30"/>
          <w:highlight w:val="none"/>
        </w:rPr>
        <w:t>面积：出租出借设备和车辆等按实际出租出借的数量填列。出租出借土地和房屋按实际出租出借的面积填列。</w:t>
      </w:r>
    </w:p>
    <w:p w14:paraId="2878D26E">
      <w:pPr>
        <w:pStyle w:val="6"/>
        <w:spacing w:line="360" w:lineRule="auto"/>
        <w:ind w:firstLine="612"/>
        <w:rPr>
          <w:rFonts w:hint="eastAsia" w:hAnsi="仿宋"/>
          <w:sz w:val="30"/>
          <w:szCs w:val="30"/>
          <w:highlight w:val="none"/>
        </w:rPr>
      </w:pPr>
      <w:r>
        <w:rPr>
          <w:rFonts w:hAnsi="仿宋"/>
          <w:sz w:val="30"/>
          <w:szCs w:val="30"/>
          <w:highlight w:val="none"/>
        </w:rPr>
        <w:t>7.出租出借资产价值：</w:t>
      </w:r>
      <w:r>
        <w:rPr>
          <w:rFonts w:hint="eastAsia" w:hAnsi="仿宋"/>
          <w:sz w:val="30"/>
          <w:szCs w:val="30"/>
          <w:highlight w:val="none"/>
        </w:rPr>
        <w:t>如出租出借房屋和构筑物，</w:t>
      </w:r>
      <w:r>
        <w:rPr>
          <w:rFonts w:hAnsi="仿宋"/>
          <w:sz w:val="30"/>
          <w:szCs w:val="30"/>
          <w:highlight w:val="none"/>
        </w:rPr>
        <w:t>由软件自动计算</w:t>
      </w:r>
      <w:r>
        <w:rPr>
          <w:rFonts w:hint="eastAsia" w:hAnsi="仿宋"/>
          <w:sz w:val="30"/>
          <w:szCs w:val="30"/>
          <w:highlight w:val="none"/>
        </w:rPr>
        <w:t>得出</w:t>
      </w:r>
      <w:r>
        <w:rPr>
          <w:rFonts w:hAnsi="仿宋"/>
          <w:sz w:val="30"/>
          <w:szCs w:val="30"/>
          <w:highlight w:val="none"/>
        </w:rPr>
        <w:t>，</w:t>
      </w:r>
      <w:r>
        <w:rPr>
          <w:rFonts w:hint="eastAsia" w:hAnsi="仿宋"/>
          <w:sz w:val="30"/>
          <w:szCs w:val="30"/>
          <w:highlight w:val="none"/>
        </w:rPr>
        <w:t>出租出借资产</w:t>
      </w:r>
      <w:r>
        <w:rPr>
          <w:rFonts w:hAnsi="仿宋"/>
          <w:sz w:val="30"/>
          <w:szCs w:val="30"/>
          <w:highlight w:val="none"/>
        </w:rPr>
        <w:t>价值=</w:t>
      </w:r>
      <w:r>
        <w:rPr>
          <w:rFonts w:hint="eastAsia" w:hAnsi="仿宋"/>
          <w:sz w:val="30"/>
          <w:szCs w:val="30"/>
          <w:highlight w:val="none"/>
        </w:rPr>
        <w:t>“</w:t>
      </w:r>
      <w:r>
        <w:rPr>
          <w:rFonts w:hAnsi="仿宋"/>
          <w:sz w:val="30"/>
          <w:szCs w:val="30"/>
          <w:highlight w:val="none"/>
        </w:rPr>
        <w:t>出租出借数量/面积”/“</w:t>
      </w:r>
      <w:r>
        <w:rPr>
          <w:rFonts w:hint="eastAsia" w:hAnsi="仿宋"/>
          <w:sz w:val="30"/>
          <w:szCs w:val="30"/>
          <w:highlight w:val="none"/>
        </w:rPr>
        <w:t>出租出借</w:t>
      </w:r>
      <w:r>
        <w:rPr>
          <w:rFonts w:hAnsi="仿宋"/>
          <w:sz w:val="30"/>
          <w:szCs w:val="30"/>
          <w:highlight w:val="none"/>
        </w:rPr>
        <w:t>资产</w:t>
      </w:r>
      <w:r>
        <w:rPr>
          <w:rFonts w:hint="eastAsia" w:hAnsi="仿宋"/>
          <w:sz w:val="30"/>
          <w:szCs w:val="30"/>
          <w:highlight w:val="none"/>
        </w:rPr>
        <w:t>的</w:t>
      </w:r>
      <w:r>
        <w:rPr>
          <w:rFonts w:hAnsi="仿宋"/>
          <w:sz w:val="30"/>
          <w:szCs w:val="30"/>
          <w:highlight w:val="none"/>
        </w:rPr>
        <w:t>总</w:t>
      </w:r>
      <w:r>
        <w:rPr>
          <w:rFonts w:hint="eastAsia" w:hAnsi="仿宋"/>
          <w:sz w:val="30"/>
          <w:szCs w:val="30"/>
          <w:highlight w:val="none"/>
        </w:rPr>
        <w:t>数量</w:t>
      </w:r>
      <w:r>
        <w:rPr>
          <w:rFonts w:hAnsi="仿宋"/>
          <w:sz w:val="30"/>
          <w:szCs w:val="30"/>
          <w:highlight w:val="none"/>
        </w:rPr>
        <w:t>/</w:t>
      </w:r>
      <w:r>
        <w:rPr>
          <w:rFonts w:hint="eastAsia" w:hAnsi="仿宋"/>
          <w:sz w:val="30"/>
          <w:szCs w:val="30"/>
          <w:highlight w:val="none"/>
        </w:rPr>
        <w:t>面积</w:t>
      </w:r>
      <w:r>
        <w:rPr>
          <w:rFonts w:hAnsi="仿宋"/>
          <w:sz w:val="30"/>
          <w:szCs w:val="30"/>
          <w:highlight w:val="none"/>
        </w:rPr>
        <w:t>”</w:t>
      </w:r>
      <w:r>
        <w:rPr>
          <w:rFonts w:hint="eastAsia" w:hAnsi="仿宋"/>
          <w:sz w:val="30"/>
          <w:szCs w:val="30"/>
          <w:highlight w:val="none"/>
        </w:rPr>
        <w:t>×</w:t>
      </w:r>
      <w:r>
        <w:rPr>
          <w:rFonts w:hAnsi="仿宋"/>
          <w:sz w:val="30"/>
          <w:szCs w:val="30"/>
          <w:highlight w:val="none"/>
        </w:rPr>
        <w:t>账面原值。</w:t>
      </w:r>
      <w:r>
        <w:rPr>
          <w:rFonts w:hint="eastAsia" w:hAnsi="仿宋"/>
          <w:sz w:val="30"/>
          <w:szCs w:val="30"/>
          <w:highlight w:val="none"/>
        </w:rPr>
        <w:t>如出租出借除房屋和构筑物以外的其他资产，出租出借资产价值</w:t>
      </w:r>
      <w:r>
        <w:rPr>
          <w:rFonts w:hAnsi="仿宋"/>
          <w:sz w:val="30"/>
          <w:szCs w:val="30"/>
          <w:highlight w:val="none"/>
        </w:rPr>
        <w:t>=账面原值。</w:t>
      </w:r>
    </w:p>
    <w:p w14:paraId="6861E289">
      <w:pPr>
        <w:pStyle w:val="6"/>
        <w:spacing w:line="360" w:lineRule="auto"/>
        <w:ind w:firstLine="612"/>
        <w:rPr>
          <w:rFonts w:hint="eastAsia" w:hAnsi="仿宋"/>
          <w:sz w:val="30"/>
          <w:szCs w:val="30"/>
          <w:highlight w:val="none"/>
        </w:rPr>
      </w:pPr>
      <w:r>
        <w:rPr>
          <w:rFonts w:hAnsi="仿宋"/>
          <w:sz w:val="30"/>
          <w:szCs w:val="30"/>
          <w:highlight w:val="none"/>
        </w:rPr>
        <w:t>8.承租（借）方：</w:t>
      </w:r>
      <w:r>
        <w:rPr>
          <w:rFonts w:hint="eastAsia" w:hAnsi="仿宋"/>
          <w:sz w:val="30"/>
          <w:szCs w:val="30"/>
          <w:highlight w:val="none"/>
        </w:rPr>
        <w:t>按实际承租（借）方填列。</w:t>
      </w:r>
    </w:p>
    <w:p w14:paraId="12AB3FCC">
      <w:pPr>
        <w:pStyle w:val="6"/>
        <w:spacing w:line="360" w:lineRule="auto"/>
        <w:ind w:firstLine="612"/>
        <w:rPr>
          <w:rFonts w:hint="eastAsia" w:hAnsi="仿宋"/>
          <w:sz w:val="30"/>
          <w:szCs w:val="30"/>
          <w:highlight w:val="none"/>
        </w:rPr>
      </w:pPr>
      <w:r>
        <w:rPr>
          <w:rFonts w:hAnsi="仿宋"/>
          <w:sz w:val="30"/>
          <w:szCs w:val="30"/>
          <w:highlight w:val="none"/>
        </w:rPr>
        <w:t>9.出租（借）期限：</w:t>
      </w:r>
      <w:r>
        <w:rPr>
          <w:rFonts w:hint="eastAsia" w:hAnsi="仿宋"/>
          <w:sz w:val="30"/>
          <w:szCs w:val="30"/>
          <w:highlight w:val="none"/>
        </w:rPr>
        <w:t>开始日期和结束日期按照</w:t>
      </w:r>
      <w:r>
        <w:rPr>
          <w:rFonts w:hAnsi="仿宋"/>
          <w:sz w:val="30"/>
          <w:szCs w:val="30"/>
          <w:highlight w:val="none"/>
        </w:rPr>
        <w:t>出租出借合同起止日期分别填列。</w:t>
      </w:r>
    </w:p>
    <w:p w14:paraId="64ACD017">
      <w:pPr>
        <w:pStyle w:val="6"/>
        <w:spacing w:line="360" w:lineRule="auto"/>
        <w:ind w:firstLine="612"/>
        <w:rPr>
          <w:rFonts w:hint="eastAsia" w:hAnsi="仿宋"/>
          <w:sz w:val="30"/>
          <w:szCs w:val="30"/>
          <w:highlight w:val="none"/>
        </w:rPr>
      </w:pPr>
      <w:r>
        <w:rPr>
          <w:rFonts w:hAnsi="仿宋"/>
          <w:sz w:val="30"/>
          <w:szCs w:val="30"/>
          <w:highlight w:val="none"/>
        </w:rPr>
        <w:t>10.</w:t>
      </w:r>
      <w:r>
        <w:rPr>
          <w:rFonts w:hint="eastAsia" w:hAnsi="仿宋"/>
          <w:sz w:val="30"/>
          <w:szCs w:val="30"/>
          <w:highlight w:val="none"/>
        </w:rPr>
        <w:t>本期实收出租（借）收益：反映本年收到的出租出借收益（税后）。</w:t>
      </w:r>
    </w:p>
    <w:p w14:paraId="0EDEF172">
      <w:pPr>
        <w:pStyle w:val="6"/>
        <w:spacing w:line="360" w:lineRule="auto"/>
        <w:ind w:firstLine="612"/>
        <w:rPr>
          <w:rFonts w:hint="eastAsia" w:hAnsi="仿宋"/>
          <w:sz w:val="30"/>
          <w:szCs w:val="30"/>
          <w:highlight w:val="none"/>
        </w:rPr>
      </w:pPr>
      <w:r>
        <w:rPr>
          <w:rFonts w:hint="eastAsia" w:hAnsi="仿宋"/>
          <w:sz w:val="30"/>
          <w:szCs w:val="30"/>
          <w:highlight w:val="none"/>
        </w:rPr>
        <w:t>1</w:t>
      </w:r>
      <w:r>
        <w:rPr>
          <w:rFonts w:hAnsi="仿宋"/>
          <w:sz w:val="30"/>
          <w:szCs w:val="30"/>
          <w:highlight w:val="none"/>
        </w:rPr>
        <w:t>1.</w:t>
      </w:r>
      <w:r>
        <w:rPr>
          <w:rFonts w:hint="eastAsia" w:hAnsi="仿宋"/>
          <w:sz w:val="30"/>
          <w:szCs w:val="30"/>
          <w:highlight w:val="none"/>
        </w:rPr>
        <w:t>是否本年新增出租出借：反映出租出借合同起始日期介于20</w:t>
      </w:r>
      <w:r>
        <w:rPr>
          <w:rFonts w:hAnsi="仿宋"/>
          <w:sz w:val="30"/>
          <w:szCs w:val="30"/>
          <w:highlight w:val="none"/>
        </w:rPr>
        <w:t>2</w:t>
      </w:r>
      <w:r>
        <w:rPr>
          <w:rFonts w:hint="eastAsia" w:hAnsi="仿宋"/>
          <w:sz w:val="30"/>
          <w:szCs w:val="30"/>
          <w:highlight w:val="none"/>
        </w:rPr>
        <w:t>4年1月1日和20</w:t>
      </w:r>
      <w:r>
        <w:rPr>
          <w:rFonts w:hAnsi="仿宋"/>
          <w:sz w:val="30"/>
          <w:szCs w:val="30"/>
          <w:highlight w:val="none"/>
        </w:rPr>
        <w:t>2</w:t>
      </w:r>
      <w:r>
        <w:rPr>
          <w:rFonts w:hint="eastAsia" w:hAnsi="仿宋"/>
          <w:sz w:val="30"/>
          <w:szCs w:val="30"/>
          <w:highlight w:val="none"/>
        </w:rPr>
        <w:t>4年12月31日之间的出租出借事项，由系统自动运算填列。</w:t>
      </w:r>
    </w:p>
    <w:p w14:paraId="17C77E05">
      <w:pPr>
        <w:pStyle w:val="6"/>
        <w:spacing w:line="360" w:lineRule="auto"/>
        <w:ind w:firstLine="612"/>
        <w:rPr>
          <w:rFonts w:hint="eastAsia" w:hAnsi="仿宋"/>
          <w:sz w:val="30"/>
          <w:szCs w:val="30"/>
          <w:highlight w:val="none"/>
        </w:rPr>
      </w:pPr>
      <w:r>
        <w:rPr>
          <w:rFonts w:hint="eastAsia" w:hAnsi="仿宋"/>
          <w:sz w:val="30"/>
          <w:szCs w:val="30"/>
          <w:highlight w:val="none"/>
        </w:rPr>
        <w:t>1</w:t>
      </w:r>
      <w:r>
        <w:rPr>
          <w:rFonts w:hAnsi="仿宋"/>
          <w:sz w:val="30"/>
          <w:szCs w:val="30"/>
          <w:highlight w:val="none"/>
        </w:rPr>
        <w:t>2.</w:t>
      </w:r>
      <w:r>
        <w:rPr>
          <w:rFonts w:hint="eastAsia" w:hAnsi="仿宋"/>
          <w:sz w:val="30"/>
          <w:szCs w:val="30"/>
          <w:highlight w:val="none"/>
        </w:rPr>
        <w:t>审批情况：按财政部门审批、机关事务管理部门审批、主管部门审批、单位内部审批、未审批选择填列。其中，财政部门审批是指按规定权限由财政部门履行审批程序，并获得批复的事项；机关事务管理部门审批是指按规定权限由机关事务管理部门办理，并获得批复的事项；主管部门审批是指按规定权限由主管部门或机关事务管理部门办理，并获得批复的事项；单位审批是指按规定权限由单位审批，并获得批复的事项；未审批是指未按规定权限办理审批的事项。</w:t>
      </w:r>
    </w:p>
    <w:p w14:paraId="57B9FEF2">
      <w:pPr>
        <w:pStyle w:val="6"/>
        <w:spacing w:line="360" w:lineRule="auto"/>
        <w:ind w:firstLine="612"/>
        <w:rPr>
          <w:rFonts w:hint="eastAsia" w:hAnsi="仿宋"/>
          <w:sz w:val="30"/>
          <w:szCs w:val="30"/>
          <w:highlight w:val="none"/>
        </w:rPr>
      </w:pPr>
      <w:r>
        <w:rPr>
          <w:rFonts w:hint="eastAsia" w:hAnsi="仿宋"/>
          <w:sz w:val="30"/>
          <w:szCs w:val="30"/>
          <w:highlight w:val="none"/>
        </w:rPr>
        <w:t>1</w:t>
      </w:r>
      <w:r>
        <w:rPr>
          <w:rFonts w:hAnsi="仿宋"/>
          <w:sz w:val="30"/>
          <w:szCs w:val="30"/>
          <w:highlight w:val="none"/>
        </w:rPr>
        <w:t>3.</w:t>
      </w:r>
      <w:r>
        <w:rPr>
          <w:rFonts w:hint="eastAsia" w:hAnsi="仿宋"/>
          <w:sz w:val="30"/>
          <w:szCs w:val="30"/>
          <w:highlight w:val="none"/>
        </w:rPr>
        <w:t>往期出租出借事项收益情况：反映本期收到的2024年</w:t>
      </w:r>
      <w:r>
        <w:rPr>
          <w:rFonts w:hAnsi="仿宋"/>
          <w:sz w:val="30"/>
          <w:szCs w:val="30"/>
          <w:highlight w:val="none"/>
        </w:rPr>
        <w:t>1</w:t>
      </w:r>
      <w:r>
        <w:rPr>
          <w:rFonts w:hint="eastAsia" w:hAnsi="仿宋"/>
          <w:sz w:val="30"/>
          <w:szCs w:val="30"/>
          <w:highlight w:val="none"/>
        </w:rPr>
        <w:t>月</w:t>
      </w:r>
      <w:r>
        <w:rPr>
          <w:rFonts w:hAnsi="仿宋"/>
          <w:sz w:val="30"/>
          <w:szCs w:val="30"/>
          <w:highlight w:val="none"/>
        </w:rPr>
        <w:t>1</w:t>
      </w:r>
      <w:r>
        <w:rPr>
          <w:rFonts w:hint="eastAsia" w:hAnsi="仿宋"/>
          <w:sz w:val="30"/>
          <w:szCs w:val="30"/>
          <w:highlight w:val="none"/>
        </w:rPr>
        <w:t>日前结束的出租出借事项收益（税后），仅填写15栏“本期实收出租（借）收益”。由财政或机关事务管理等部门统筹安排出租出借并直接上缴的收益，由财政或机关事务管理等部门填列。</w:t>
      </w:r>
    </w:p>
    <w:p w14:paraId="7AFE121E">
      <w:pPr>
        <w:pStyle w:val="6"/>
        <w:spacing w:line="360" w:lineRule="auto"/>
        <w:ind w:firstLine="614"/>
        <w:rPr>
          <w:rFonts w:hint="eastAsia" w:hAnsi="仿宋"/>
          <w:b/>
          <w:sz w:val="30"/>
          <w:szCs w:val="30"/>
          <w:highlight w:val="none"/>
        </w:rPr>
      </w:pPr>
      <w:r>
        <w:rPr>
          <w:rFonts w:hint="eastAsia" w:hAnsi="仿宋"/>
          <w:b/>
          <w:sz w:val="30"/>
          <w:szCs w:val="30"/>
          <w:highlight w:val="none"/>
        </w:rPr>
        <w:t>逻辑性审核公式：</w:t>
      </w:r>
    </w:p>
    <w:p w14:paraId="062383DD">
      <w:pPr>
        <w:pStyle w:val="6"/>
        <w:spacing w:line="360" w:lineRule="auto"/>
        <w:ind w:firstLine="614"/>
        <w:rPr>
          <w:rFonts w:hint="eastAsia" w:hAnsi="仿宋"/>
          <w:b/>
          <w:sz w:val="30"/>
          <w:szCs w:val="30"/>
          <w:highlight w:val="none"/>
        </w:rPr>
      </w:pPr>
      <w:r>
        <w:rPr>
          <w:rFonts w:hint="eastAsia" w:hAnsi="仿宋"/>
          <w:b/>
          <w:sz w:val="30"/>
          <w:szCs w:val="30"/>
          <w:highlight w:val="none"/>
        </w:rPr>
        <w:t>表内公式：</w:t>
      </w:r>
    </w:p>
    <w:p w14:paraId="254BDB6E">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lang w:val="en-US" w:eastAsia="zh-CN"/>
        </w:rPr>
        <w:t>合计行（1行）办公用房面积、业务用房面积、其他用房面积、出租出借资产价值（</w:t>
      </w:r>
      <w:r>
        <w:rPr>
          <w:rFonts w:hint="eastAsia" w:ascii="仿宋_GB2312" w:eastAsia="仿宋_GB2312"/>
          <w:sz w:val="30"/>
          <w:szCs w:val="30"/>
          <w:highlight w:val="none"/>
        </w:rPr>
        <w:t>8~</w:t>
      </w:r>
      <w:r>
        <w:rPr>
          <w:rFonts w:ascii="仿宋_GB2312" w:eastAsia="仿宋_GB2312"/>
          <w:sz w:val="30"/>
          <w:szCs w:val="30"/>
          <w:highlight w:val="none"/>
        </w:rPr>
        <w:t>11</w:t>
      </w:r>
      <w:r>
        <w:rPr>
          <w:rFonts w:hint="eastAsia" w:ascii="仿宋_GB2312" w:eastAsia="仿宋_GB2312"/>
          <w:sz w:val="30"/>
          <w:szCs w:val="30"/>
          <w:highlight w:val="none"/>
        </w:rPr>
        <w:t>栏</w:t>
      </w:r>
      <w:r>
        <w:rPr>
          <w:rFonts w:hint="eastAsia" w:ascii="仿宋_GB2312" w:eastAsia="仿宋_GB2312"/>
          <w:sz w:val="30"/>
          <w:szCs w:val="30"/>
          <w:highlight w:val="none"/>
          <w:lang w:val="en-US" w:eastAsia="zh-CN"/>
        </w:rPr>
        <w:t>）与本期出租出借事项小计对应栏次相等，与</w:t>
      </w:r>
      <w:r>
        <w:rPr>
          <w:rFonts w:hint="eastAsia" w:ascii="仿宋_GB2312" w:eastAsia="仿宋_GB2312"/>
          <w:sz w:val="30"/>
          <w:szCs w:val="30"/>
          <w:highlight w:val="none"/>
        </w:rPr>
        <w:t>各浮动行</w:t>
      </w:r>
      <w:r>
        <w:rPr>
          <w:rFonts w:hint="eastAsia" w:ascii="仿宋_GB2312" w:eastAsia="仿宋_GB2312"/>
          <w:sz w:val="30"/>
          <w:szCs w:val="30"/>
          <w:highlight w:val="none"/>
          <w:lang w:val="en-US" w:eastAsia="zh-CN"/>
        </w:rPr>
        <w:t>对应栏次</w:t>
      </w:r>
      <w:r>
        <w:rPr>
          <w:rFonts w:ascii="仿宋_GB2312" w:eastAsia="仿宋_GB2312"/>
          <w:sz w:val="30"/>
          <w:szCs w:val="30"/>
          <w:highlight w:val="none"/>
        </w:rPr>
        <w:t>之和</w:t>
      </w:r>
      <w:r>
        <w:rPr>
          <w:rFonts w:hint="eastAsia" w:ascii="仿宋_GB2312" w:eastAsia="仿宋_GB2312"/>
          <w:sz w:val="30"/>
          <w:szCs w:val="30"/>
          <w:highlight w:val="none"/>
          <w:lang w:val="en-US" w:eastAsia="zh-CN"/>
        </w:rPr>
        <w:t>相等</w:t>
      </w:r>
      <w:r>
        <w:rPr>
          <w:rFonts w:ascii="仿宋_GB2312" w:eastAsia="仿宋_GB2312"/>
          <w:sz w:val="30"/>
          <w:szCs w:val="30"/>
          <w:highlight w:val="none"/>
        </w:rPr>
        <w:t>；</w:t>
      </w:r>
    </w:p>
    <w:p w14:paraId="327C89D1">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lang w:val="en-US" w:eastAsia="zh-CN"/>
        </w:rPr>
        <w:t>本期出租出借事项小计（3行）办公用房面积、业务用房面积、其他用房面积、出租出借资产价值（</w:t>
      </w:r>
      <w:r>
        <w:rPr>
          <w:rFonts w:hint="eastAsia" w:ascii="仿宋_GB2312" w:eastAsia="仿宋_GB2312"/>
          <w:sz w:val="30"/>
          <w:szCs w:val="30"/>
          <w:highlight w:val="none"/>
        </w:rPr>
        <w:t>8~</w:t>
      </w:r>
      <w:r>
        <w:rPr>
          <w:rFonts w:ascii="仿宋_GB2312" w:eastAsia="仿宋_GB2312"/>
          <w:sz w:val="30"/>
          <w:szCs w:val="30"/>
          <w:highlight w:val="none"/>
        </w:rPr>
        <w:t>11</w:t>
      </w:r>
      <w:r>
        <w:rPr>
          <w:rFonts w:hint="eastAsia" w:ascii="仿宋_GB2312" w:eastAsia="仿宋_GB2312"/>
          <w:sz w:val="30"/>
          <w:szCs w:val="30"/>
          <w:highlight w:val="none"/>
        </w:rPr>
        <w:t>栏</w:t>
      </w:r>
      <w:r>
        <w:rPr>
          <w:rFonts w:hint="eastAsia" w:ascii="仿宋_GB2312" w:eastAsia="仿宋_GB2312"/>
          <w:sz w:val="30"/>
          <w:szCs w:val="30"/>
          <w:highlight w:val="none"/>
          <w:lang w:val="en-US" w:eastAsia="zh-CN"/>
        </w:rPr>
        <w:t>）应等于</w:t>
      </w:r>
      <w:r>
        <w:rPr>
          <w:rFonts w:hint="eastAsia" w:ascii="仿宋_GB2312" w:eastAsia="仿宋_GB2312"/>
          <w:sz w:val="30"/>
          <w:szCs w:val="30"/>
          <w:highlight w:val="none"/>
        </w:rPr>
        <w:t>各浮动行</w:t>
      </w:r>
      <w:r>
        <w:rPr>
          <w:rFonts w:hint="eastAsia" w:ascii="仿宋_GB2312" w:eastAsia="仿宋_GB2312"/>
          <w:sz w:val="30"/>
          <w:szCs w:val="30"/>
          <w:highlight w:val="none"/>
          <w:lang w:val="en-US" w:eastAsia="zh-CN"/>
        </w:rPr>
        <w:t>对应栏次</w:t>
      </w:r>
      <w:r>
        <w:rPr>
          <w:rFonts w:ascii="仿宋_GB2312" w:eastAsia="仿宋_GB2312"/>
          <w:sz w:val="30"/>
          <w:szCs w:val="30"/>
          <w:highlight w:val="none"/>
        </w:rPr>
        <w:t>之和；</w:t>
      </w:r>
    </w:p>
    <w:p w14:paraId="54AD9E3E">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lang w:val="en-US" w:eastAsia="zh-CN"/>
        </w:rPr>
        <w:t>同一资产出租出借数量/面积（7栏）应小于等于账面数量/面积（5栏）；</w:t>
      </w:r>
    </w:p>
    <w:p w14:paraId="18520C50">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lang w:val="en-US" w:eastAsia="zh-CN"/>
        </w:rPr>
        <w:t>合计行、本期出租出借事项小计行、浮动行的办公用房面积、业务用房面积、其他用房面积、出租出借资产价值（</w:t>
      </w:r>
      <w:r>
        <w:rPr>
          <w:rFonts w:hint="eastAsia" w:ascii="仿宋_GB2312" w:eastAsia="仿宋_GB2312"/>
          <w:sz w:val="30"/>
          <w:szCs w:val="30"/>
          <w:highlight w:val="none"/>
        </w:rPr>
        <w:t>8~</w:t>
      </w:r>
      <w:r>
        <w:rPr>
          <w:rFonts w:ascii="仿宋_GB2312" w:eastAsia="仿宋_GB2312"/>
          <w:sz w:val="30"/>
          <w:szCs w:val="30"/>
          <w:highlight w:val="none"/>
        </w:rPr>
        <w:t>11</w:t>
      </w:r>
      <w:r>
        <w:rPr>
          <w:rFonts w:hint="eastAsia" w:ascii="仿宋_GB2312" w:eastAsia="仿宋_GB2312"/>
          <w:sz w:val="30"/>
          <w:szCs w:val="30"/>
          <w:highlight w:val="none"/>
        </w:rPr>
        <w:t>栏</w:t>
      </w:r>
      <w:r>
        <w:rPr>
          <w:rFonts w:hint="eastAsia" w:ascii="仿宋_GB2312" w:eastAsia="仿宋_GB2312"/>
          <w:sz w:val="30"/>
          <w:szCs w:val="30"/>
          <w:highlight w:val="none"/>
          <w:lang w:val="en-US" w:eastAsia="zh-CN"/>
        </w:rPr>
        <w:t>）应大于等于</w:t>
      </w:r>
      <w:r>
        <w:rPr>
          <w:rFonts w:ascii="仿宋_GB2312" w:eastAsia="仿宋_GB2312"/>
          <w:sz w:val="30"/>
          <w:szCs w:val="30"/>
          <w:highlight w:val="none"/>
        </w:rPr>
        <w:t>0</w:t>
      </w:r>
      <w:r>
        <w:rPr>
          <w:rFonts w:hint="eastAsia" w:ascii="仿宋_GB2312" w:eastAsia="仿宋_GB2312"/>
          <w:sz w:val="30"/>
          <w:szCs w:val="30"/>
          <w:highlight w:val="none"/>
        </w:rPr>
        <w:t>；</w:t>
      </w:r>
    </w:p>
    <w:p w14:paraId="33ECBEBE">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lang w:val="en-US" w:eastAsia="zh-CN"/>
        </w:rPr>
        <w:t>各行的本期实收出租（借）收益（15栏）应大于等于</w:t>
      </w:r>
      <w:r>
        <w:rPr>
          <w:rFonts w:ascii="仿宋_GB2312" w:eastAsia="仿宋_GB2312"/>
          <w:sz w:val="30"/>
          <w:szCs w:val="30"/>
          <w:highlight w:val="none"/>
        </w:rPr>
        <w:t>0</w:t>
      </w:r>
      <w:r>
        <w:rPr>
          <w:rFonts w:hint="eastAsia" w:ascii="仿宋_GB2312" w:eastAsia="仿宋_GB2312"/>
          <w:sz w:val="30"/>
          <w:szCs w:val="30"/>
          <w:highlight w:val="none"/>
        </w:rPr>
        <w:t>；</w:t>
      </w:r>
    </w:p>
    <w:p w14:paraId="7A97D767">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rPr>
        <w:t>各浮动行</w:t>
      </w:r>
      <w:r>
        <w:rPr>
          <w:rFonts w:hint="eastAsia" w:ascii="仿宋_GB2312" w:eastAsia="仿宋_GB2312"/>
          <w:sz w:val="30"/>
          <w:szCs w:val="30"/>
          <w:highlight w:val="none"/>
          <w:lang w:val="en-US" w:eastAsia="zh-CN"/>
        </w:rPr>
        <w:t>的</w:t>
      </w:r>
      <w:r>
        <w:rPr>
          <w:rFonts w:hint="eastAsia" w:ascii="仿宋_GB2312" w:eastAsia="仿宋_GB2312"/>
          <w:sz w:val="30"/>
          <w:szCs w:val="30"/>
          <w:highlight w:val="none"/>
        </w:rPr>
        <w:t>出租出借数量/面积</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7栏</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应小于等于</w:t>
      </w:r>
      <w:r>
        <w:rPr>
          <w:rFonts w:hint="eastAsia" w:ascii="仿宋_GB2312" w:eastAsia="仿宋_GB2312"/>
          <w:sz w:val="30"/>
          <w:szCs w:val="30"/>
          <w:highlight w:val="none"/>
        </w:rPr>
        <w:t>账面面积/数量</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5栏</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w:t>
      </w:r>
    </w:p>
    <w:p w14:paraId="2669CB66">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lang w:val="en-US" w:eastAsia="zh-CN"/>
        </w:rPr>
        <w:t>合计行（1行）的本期实收出租（借）收益（15栏）应等于往期出租出借事项收益情况（2行）与本期出租出借事项小计</w:t>
      </w:r>
      <w:r>
        <w:rPr>
          <w:rFonts w:hint="eastAsia" w:ascii="仿宋_GB2312" w:eastAsia="仿宋_GB2312"/>
          <w:sz w:val="30"/>
          <w:szCs w:val="30"/>
          <w:highlight w:val="none"/>
        </w:rPr>
        <w:t>（</w:t>
      </w:r>
      <w:r>
        <w:rPr>
          <w:rFonts w:ascii="仿宋_GB2312" w:eastAsia="仿宋_GB2312"/>
          <w:sz w:val="30"/>
          <w:szCs w:val="30"/>
          <w:highlight w:val="none"/>
        </w:rPr>
        <w:t>3</w:t>
      </w:r>
      <w:r>
        <w:rPr>
          <w:rFonts w:hint="eastAsia" w:ascii="仿宋_GB2312" w:eastAsia="仿宋_GB2312"/>
          <w:sz w:val="30"/>
          <w:szCs w:val="30"/>
          <w:highlight w:val="none"/>
        </w:rPr>
        <w:t>行</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对应指标之和</w:t>
      </w:r>
      <w:r>
        <w:rPr>
          <w:rFonts w:ascii="仿宋_GB2312" w:eastAsia="仿宋_GB2312"/>
          <w:sz w:val="30"/>
          <w:szCs w:val="30"/>
          <w:highlight w:val="none"/>
        </w:rPr>
        <w:t>；</w:t>
      </w:r>
    </w:p>
    <w:p w14:paraId="436213BB">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lang w:val="en-US" w:eastAsia="zh-CN"/>
        </w:rPr>
        <w:t>本期出租出借事项小计</w:t>
      </w:r>
      <w:r>
        <w:rPr>
          <w:rFonts w:hint="eastAsia" w:ascii="仿宋_GB2312" w:eastAsia="仿宋_GB2312"/>
          <w:sz w:val="30"/>
          <w:szCs w:val="30"/>
          <w:highlight w:val="none"/>
        </w:rPr>
        <w:t>（</w:t>
      </w:r>
      <w:r>
        <w:rPr>
          <w:rFonts w:ascii="仿宋_GB2312" w:eastAsia="仿宋_GB2312"/>
          <w:sz w:val="30"/>
          <w:szCs w:val="30"/>
          <w:highlight w:val="none"/>
        </w:rPr>
        <w:t>3</w:t>
      </w:r>
      <w:r>
        <w:rPr>
          <w:rFonts w:hint="eastAsia" w:ascii="仿宋_GB2312" w:eastAsia="仿宋_GB2312"/>
          <w:sz w:val="30"/>
          <w:szCs w:val="30"/>
          <w:highlight w:val="none"/>
        </w:rPr>
        <w:t>行</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的本期实收出租（借）收益（15栏）应等于</w:t>
      </w:r>
      <w:r>
        <w:rPr>
          <w:rFonts w:hint="eastAsia" w:ascii="仿宋_GB2312" w:eastAsia="仿宋_GB2312"/>
          <w:sz w:val="30"/>
          <w:szCs w:val="30"/>
          <w:highlight w:val="none"/>
        </w:rPr>
        <w:t>各浮动行</w:t>
      </w:r>
      <w:r>
        <w:rPr>
          <w:rFonts w:hint="eastAsia" w:ascii="仿宋_GB2312" w:eastAsia="仿宋_GB2312"/>
          <w:sz w:val="30"/>
          <w:szCs w:val="30"/>
          <w:highlight w:val="none"/>
          <w:lang w:val="en-US" w:eastAsia="zh-CN"/>
        </w:rPr>
        <w:t>对应指标</w:t>
      </w:r>
      <w:r>
        <w:rPr>
          <w:rFonts w:ascii="仿宋_GB2312" w:eastAsia="仿宋_GB2312"/>
          <w:sz w:val="30"/>
          <w:szCs w:val="30"/>
          <w:highlight w:val="none"/>
        </w:rPr>
        <w:t>之和</w:t>
      </w:r>
      <w:r>
        <w:rPr>
          <w:rFonts w:hint="eastAsia" w:ascii="仿宋_GB2312" w:eastAsia="仿宋_GB2312"/>
          <w:sz w:val="30"/>
          <w:szCs w:val="30"/>
          <w:highlight w:val="none"/>
        </w:rPr>
        <w:t>；</w:t>
      </w:r>
    </w:p>
    <w:p w14:paraId="0709F063">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rPr>
        <w:t>各浮动行</w:t>
      </w:r>
      <w:r>
        <w:rPr>
          <w:rFonts w:hint="eastAsia" w:ascii="仿宋_GB2312" w:eastAsia="仿宋_GB2312"/>
          <w:sz w:val="30"/>
          <w:szCs w:val="30"/>
          <w:highlight w:val="none"/>
          <w:lang w:val="en-US" w:eastAsia="zh-CN"/>
        </w:rPr>
        <w:t>的</w:t>
      </w:r>
      <w:r>
        <w:rPr>
          <w:rFonts w:hint="eastAsia" w:ascii="仿宋_GB2312" w:eastAsia="仿宋_GB2312"/>
          <w:sz w:val="30"/>
          <w:szCs w:val="30"/>
          <w:highlight w:val="none"/>
        </w:rPr>
        <w:t>出租出借资产价值</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11</w:t>
      </w:r>
      <w:r>
        <w:rPr>
          <w:rFonts w:hint="eastAsia" w:ascii="仿宋_GB2312" w:eastAsia="仿宋_GB2312"/>
          <w:sz w:val="30"/>
          <w:szCs w:val="30"/>
          <w:highlight w:val="none"/>
        </w:rPr>
        <w:t>栏</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应小于等于</w:t>
      </w:r>
      <w:r>
        <w:rPr>
          <w:rFonts w:hint="eastAsia" w:ascii="仿宋_GB2312" w:eastAsia="仿宋_GB2312"/>
          <w:sz w:val="30"/>
          <w:szCs w:val="30"/>
          <w:highlight w:val="none"/>
        </w:rPr>
        <w:t>账面原值</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6栏</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w:t>
      </w:r>
    </w:p>
    <w:p w14:paraId="5200377F">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rPr>
        <w:t>各浮动行</w:t>
      </w:r>
      <w:r>
        <w:rPr>
          <w:rFonts w:hint="eastAsia" w:ascii="仿宋_GB2312" w:eastAsia="仿宋_GB2312"/>
          <w:sz w:val="30"/>
          <w:szCs w:val="30"/>
          <w:highlight w:val="none"/>
          <w:lang w:val="en-US" w:eastAsia="zh-CN"/>
        </w:rPr>
        <w:t>的出租（借）期限－</w:t>
      </w:r>
      <w:r>
        <w:rPr>
          <w:rFonts w:hint="eastAsia" w:ascii="仿宋_GB2312" w:eastAsia="仿宋_GB2312"/>
          <w:sz w:val="30"/>
          <w:szCs w:val="30"/>
          <w:highlight w:val="none"/>
        </w:rPr>
        <w:t>开始日期</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13</w:t>
      </w:r>
      <w:r>
        <w:rPr>
          <w:rFonts w:hint="eastAsia" w:ascii="仿宋_GB2312" w:eastAsia="仿宋_GB2312"/>
          <w:sz w:val="30"/>
          <w:szCs w:val="30"/>
          <w:highlight w:val="none"/>
        </w:rPr>
        <w:t>栏</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应小于等于出租（借）期限－结束</w:t>
      </w:r>
      <w:r>
        <w:rPr>
          <w:rFonts w:hint="eastAsia" w:ascii="仿宋_GB2312" w:eastAsia="仿宋_GB2312"/>
          <w:sz w:val="30"/>
          <w:szCs w:val="30"/>
          <w:highlight w:val="none"/>
        </w:rPr>
        <w:t>日期</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14</w:t>
      </w:r>
      <w:r>
        <w:rPr>
          <w:rFonts w:hint="eastAsia" w:ascii="仿宋_GB2312" w:eastAsia="仿宋_GB2312"/>
          <w:sz w:val="30"/>
          <w:szCs w:val="30"/>
          <w:highlight w:val="none"/>
        </w:rPr>
        <w:t>栏</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w:t>
      </w:r>
    </w:p>
    <w:p w14:paraId="66A1F7BF">
      <w:pPr>
        <w:numPr>
          <w:ilvl w:val="0"/>
          <w:numId w:val="5"/>
        </w:numPr>
        <w:spacing w:line="360" w:lineRule="auto"/>
        <w:rPr>
          <w:rFonts w:ascii="仿宋_GB2312" w:eastAsia="仿宋_GB2312"/>
          <w:sz w:val="30"/>
          <w:szCs w:val="30"/>
          <w:highlight w:val="none"/>
        </w:rPr>
      </w:pPr>
      <w:r>
        <w:rPr>
          <w:rFonts w:ascii="仿宋_GB2312" w:eastAsia="仿宋_GB2312"/>
          <w:sz w:val="30"/>
          <w:szCs w:val="30"/>
          <w:highlight w:val="none"/>
        </w:rPr>
        <w:t>当</w:t>
      </w:r>
      <w:r>
        <w:rPr>
          <w:rFonts w:hint="eastAsia" w:ascii="仿宋_GB2312" w:eastAsia="仿宋_GB2312"/>
          <w:sz w:val="30"/>
          <w:szCs w:val="30"/>
          <w:highlight w:val="none"/>
          <w:lang w:val="en-US" w:eastAsia="zh-CN"/>
        </w:rPr>
        <w:t>浮动行</w:t>
      </w:r>
      <w:r>
        <w:rPr>
          <w:rFonts w:ascii="仿宋_GB2312" w:eastAsia="仿宋_GB2312"/>
          <w:sz w:val="30"/>
          <w:szCs w:val="30"/>
          <w:highlight w:val="none"/>
        </w:rPr>
        <w:t>资产分类</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1栏</w:t>
      </w:r>
      <w:r>
        <w:rPr>
          <w:rFonts w:hint="eastAsia" w:ascii="仿宋_GB2312" w:eastAsia="仿宋_GB2312"/>
          <w:sz w:val="30"/>
          <w:szCs w:val="30"/>
          <w:highlight w:val="none"/>
          <w:lang w:eastAsia="zh-CN"/>
        </w:rPr>
        <w:t>）</w:t>
      </w:r>
      <w:r>
        <w:rPr>
          <w:rFonts w:ascii="仿宋_GB2312" w:eastAsia="仿宋_GB2312"/>
          <w:sz w:val="30"/>
          <w:szCs w:val="30"/>
          <w:highlight w:val="none"/>
        </w:rPr>
        <w:t>选择为</w:t>
      </w:r>
      <w:r>
        <w:rPr>
          <w:rFonts w:hint="eastAsia" w:ascii="仿宋_GB2312" w:eastAsia="仿宋_GB2312"/>
          <w:sz w:val="30"/>
          <w:szCs w:val="30"/>
          <w:highlight w:val="none"/>
        </w:rPr>
        <w:t>流动资产、在建工程、其他资产时，备注</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1</w:t>
      </w:r>
      <w:r>
        <w:rPr>
          <w:rFonts w:ascii="仿宋_GB2312" w:eastAsia="仿宋_GB2312"/>
          <w:sz w:val="30"/>
          <w:szCs w:val="30"/>
          <w:highlight w:val="none"/>
        </w:rPr>
        <w:t>8</w:t>
      </w:r>
      <w:r>
        <w:rPr>
          <w:rFonts w:hint="eastAsia" w:ascii="仿宋_GB2312" w:eastAsia="仿宋_GB2312"/>
          <w:sz w:val="30"/>
          <w:szCs w:val="30"/>
          <w:highlight w:val="none"/>
        </w:rPr>
        <w:t>栏</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不能为空；</w:t>
      </w:r>
    </w:p>
    <w:p w14:paraId="2BCF8B53">
      <w:pPr>
        <w:numPr>
          <w:ilvl w:val="0"/>
          <w:numId w:val="5"/>
        </w:numPr>
        <w:spacing w:line="360" w:lineRule="auto"/>
        <w:rPr>
          <w:rFonts w:ascii="仿宋_GB2312" w:eastAsia="仿宋_GB2312"/>
          <w:sz w:val="30"/>
          <w:szCs w:val="30"/>
          <w:highlight w:val="none"/>
        </w:rPr>
      </w:pPr>
      <w:r>
        <w:rPr>
          <w:rFonts w:ascii="仿宋_GB2312" w:eastAsia="仿宋_GB2312"/>
          <w:sz w:val="30"/>
          <w:szCs w:val="30"/>
          <w:highlight w:val="none"/>
        </w:rPr>
        <w:t>当</w:t>
      </w:r>
      <w:r>
        <w:rPr>
          <w:rFonts w:hint="eastAsia" w:ascii="仿宋_GB2312" w:eastAsia="仿宋_GB2312"/>
          <w:sz w:val="30"/>
          <w:szCs w:val="30"/>
          <w:highlight w:val="none"/>
          <w:lang w:val="en-US" w:eastAsia="zh-CN"/>
        </w:rPr>
        <w:t>浮动行</w:t>
      </w:r>
      <w:r>
        <w:rPr>
          <w:rFonts w:ascii="仿宋_GB2312" w:eastAsia="仿宋_GB2312"/>
          <w:sz w:val="30"/>
          <w:szCs w:val="30"/>
          <w:highlight w:val="none"/>
        </w:rPr>
        <w:t>资产分类</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1栏</w:t>
      </w:r>
      <w:r>
        <w:rPr>
          <w:rFonts w:hint="eastAsia" w:ascii="仿宋_GB2312" w:eastAsia="仿宋_GB2312"/>
          <w:sz w:val="30"/>
          <w:szCs w:val="30"/>
          <w:highlight w:val="none"/>
          <w:lang w:eastAsia="zh-CN"/>
        </w:rPr>
        <w:t>）</w:t>
      </w:r>
      <w:r>
        <w:rPr>
          <w:rFonts w:ascii="仿宋_GB2312" w:eastAsia="仿宋_GB2312"/>
          <w:sz w:val="30"/>
          <w:szCs w:val="30"/>
          <w:highlight w:val="none"/>
        </w:rPr>
        <w:t>选择为</w:t>
      </w:r>
      <w:r>
        <w:rPr>
          <w:rFonts w:hint="eastAsia" w:ascii="仿宋_GB2312" w:eastAsia="仿宋_GB2312"/>
          <w:sz w:val="30"/>
          <w:szCs w:val="30"/>
          <w:highlight w:val="none"/>
        </w:rPr>
        <w:t>流动资产、在建工程、其他资产时，</w:t>
      </w:r>
      <w:r>
        <w:rPr>
          <w:rFonts w:hint="eastAsia" w:ascii="仿宋_GB2312" w:eastAsia="仿宋_GB2312"/>
          <w:sz w:val="30"/>
          <w:szCs w:val="30"/>
          <w:highlight w:val="none"/>
          <w:lang w:val="en-US" w:eastAsia="zh-CN"/>
        </w:rPr>
        <w:t>资产编号（</w:t>
      </w:r>
      <w:r>
        <w:rPr>
          <w:rFonts w:hint="eastAsia" w:ascii="仿宋_GB2312" w:eastAsia="仿宋_GB2312"/>
          <w:sz w:val="30"/>
          <w:szCs w:val="30"/>
          <w:highlight w:val="none"/>
        </w:rPr>
        <w:t>2栏</w:t>
      </w:r>
      <w:r>
        <w:rPr>
          <w:rFonts w:hint="eastAsia" w:ascii="仿宋_GB2312" w:eastAsia="仿宋_GB2312"/>
          <w:sz w:val="30"/>
          <w:szCs w:val="30"/>
          <w:highlight w:val="none"/>
          <w:lang w:val="en-US" w:eastAsia="zh-CN"/>
        </w:rPr>
        <w:t>）</w:t>
      </w:r>
      <w:r>
        <w:rPr>
          <w:rFonts w:hint="eastAsia" w:ascii="仿宋_GB2312" w:eastAsia="仿宋_GB2312"/>
          <w:sz w:val="30"/>
          <w:szCs w:val="30"/>
          <w:highlight w:val="none"/>
        </w:rPr>
        <w:t>、账面数量/面积</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5栏</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、出租出借数量/面积</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7栏</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应</w:t>
      </w:r>
      <w:r>
        <w:rPr>
          <w:rFonts w:hint="eastAsia" w:ascii="仿宋_GB2312" w:eastAsia="仿宋_GB2312"/>
          <w:sz w:val="30"/>
          <w:szCs w:val="30"/>
          <w:highlight w:val="none"/>
        </w:rPr>
        <w:t>为空；否则，出租出借数量/面积</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7栏</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不能为空；</w:t>
      </w:r>
    </w:p>
    <w:p w14:paraId="0BB0FAF9">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rPr>
        <w:t>浮动行</w:t>
      </w:r>
      <w:r>
        <w:rPr>
          <w:rFonts w:hint="eastAsia" w:ascii="仿宋_GB2312" w:eastAsia="仿宋_GB2312"/>
          <w:sz w:val="30"/>
          <w:szCs w:val="30"/>
          <w:highlight w:val="none"/>
          <w:lang w:val="en-US" w:eastAsia="zh-CN"/>
        </w:rPr>
        <w:t>的资产分类</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1栏</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、取得日期</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4栏</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、出租出借资产价值、承租（借）方、出租（借）期限－开始日期、出租（借）期限－结束</w:t>
      </w:r>
      <w:r>
        <w:rPr>
          <w:rFonts w:hint="eastAsia" w:ascii="仿宋_GB2312" w:eastAsia="仿宋_GB2312"/>
          <w:sz w:val="30"/>
          <w:szCs w:val="30"/>
          <w:highlight w:val="none"/>
        </w:rPr>
        <w:t>日期</w:t>
      </w:r>
      <w:r>
        <w:rPr>
          <w:rFonts w:hint="eastAsia" w:ascii="仿宋_GB2312" w:eastAsia="仿宋_GB2312"/>
          <w:sz w:val="30"/>
          <w:szCs w:val="30"/>
          <w:highlight w:val="none"/>
          <w:lang w:eastAsia="zh-CN"/>
        </w:rPr>
        <w:t>、本期实收出租（借）收益、是否本年新增出租出借、审批情况</w:t>
      </w:r>
      <w:r>
        <w:rPr>
          <w:rFonts w:hint="eastAsia" w:ascii="仿宋_GB2312" w:eastAsia="仿宋_GB2312"/>
          <w:sz w:val="30"/>
          <w:szCs w:val="30"/>
          <w:highlight w:val="none"/>
        </w:rPr>
        <w:t>（11~1</w:t>
      </w:r>
      <w:r>
        <w:rPr>
          <w:rFonts w:ascii="仿宋_GB2312" w:eastAsia="仿宋_GB2312"/>
          <w:sz w:val="30"/>
          <w:szCs w:val="30"/>
          <w:highlight w:val="none"/>
        </w:rPr>
        <w:t>7</w:t>
      </w:r>
      <w:r>
        <w:rPr>
          <w:rFonts w:hint="eastAsia" w:ascii="仿宋_GB2312" w:eastAsia="仿宋_GB2312"/>
          <w:sz w:val="30"/>
          <w:szCs w:val="30"/>
          <w:highlight w:val="none"/>
        </w:rPr>
        <w:t>栏）不能为空；</w:t>
      </w:r>
    </w:p>
    <w:p w14:paraId="27E59600">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rPr>
        <w:t>浮动行</w:t>
      </w:r>
      <w:r>
        <w:rPr>
          <w:rFonts w:hint="eastAsia" w:ascii="仿宋_GB2312" w:eastAsia="仿宋_GB2312"/>
          <w:sz w:val="30"/>
          <w:szCs w:val="30"/>
          <w:highlight w:val="none"/>
          <w:lang w:val="en-US" w:eastAsia="zh-CN"/>
        </w:rPr>
        <w:t>取得日期</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4栏</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、出租（借）期限－</w:t>
      </w:r>
      <w:r>
        <w:rPr>
          <w:rFonts w:hint="eastAsia" w:ascii="仿宋_GB2312" w:eastAsia="仿宋_GB2312"/>
          <w:sz w:val="30"/>
          <w:szCs w:val="30"/>
          <w:highlight w:val="none"/>
        </w:rPr>
        <w:t>开始日期</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13</w:t>
      </w:r>
      <w:r>
        <w:rPr>
          <w:rFonts w:hint="eastAsia" w:ascii="仿宋_GB2312" w:eastAsia="仿宋_GB2312"/>
          <w:sz w:val="30"/>
          <w:szCs w:val="30"/>
          <w:highlight w:val="none"/>
        </w:rPr>
        <w:t>栏</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应小于等于</w:t>
      </w:r>
      <w:r>
        <w:rPr>
          <w:rFonts w:hint="eastAsia" w:ascii="仿宋_GB2312" w:eastAsia="仿宋_GB2312"/>
          <w:sz w:val="30"/>
          <w:szCs w:val="30"/>
          <w:highlight w:val="none"/>
        </w:rPr>
        <w:t>20</w:t>
      </w:r>
      <w:r>
        <w:rPr>
          <w:rFonts w:ascii="仿宋_GB2312" w:eastAsia="仿宋_GB2312"/>
          <w:sz w:val="30"/>
          <w:szCs w:val="30"/>
          <w:highlight w:val="none"/>
        </w:rPr>
        <w:t>2</w:t>
      </w:r>
      <w:r>
        <w:rPr>
          <w:rFonts w:hint="eastAsia" w:ascii="仿宋_GB2312" w:eastAsia="仿宋_GB2312"/>
          <w:sz w:val="30"/>
          <w:szCs w:val="30"/>
          <w:highlight w:val="none"/>
        </w:rPr>
        <w:t>4年12月31日；</w:t>
      </w:r>
    </w:p>
    <w:p w14:paraId="6C0AEBAD">
      <w:pPr>
        <w:numPr>
          <w:ilvl w:val="0"/>
          <w:numId w:val="5"/>
        </w:numPr>
        <w:spacing w:line="360" w:lineRule="auto"/>
        <w:rPr>
          <w:rFonts w:ascii="仿宋_GB2312" w:eastAsia="仿宋_GB2312"/>
          <w:sz w:val="30"/>
          <w:szCs w:val="30"/>
          <w:highlight w:val="none"/>
        </w:rPr>
      </w:pPr>
      <w:r>
        <w:rPr>
          <w:rFonts w:hint="eastAsia" w:ascii="仿宋_GB2312" w:eastAsia="仿宋_GB2312"/>
          <w:sz w:val="32"/>
          <w:szCs w:val="32"/>
          <w:highlight w:val="none"/>
          <w:lang w:val="en-US" w:eastAsia="zh-CN"/>
        </w:rPr>
        <w:t>浮动行</w:t>
      </w:r>
      <w:r>
        <w:rPr>
          <w:rFonts w:hint="eastAsia" w:ascii="仿宋_GB2312" w:eastAsia="仿宋_GB2312"/>
          <w:sz w:val="30"/>
          <w:szCs w:val="30"/>
          <w:highlight w:val="none"/>
          <w:lang w:val="en-US" w:eastAsia="zh-CN"/>
        </w:rPr>
        <w:t>出租（借）期限-</w:t>
      </w:r>
      <w:r>
        <w:rPr>
          <w:rFonts w:hint="eastAsia" w:ascii="仿宋_GB2312" w:eastAsia="仿宋_GB2312"/>
          <w:sz w:val="30"/>
          <w:szCs w:val="30"/>
          <w:highlight w:val="none"/>
        </w:rPr>
        <w:t>开始日期</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13</w:t>
      </w:r>
      <w:r>
        <w:rPr>
          <w:rFonts w:hint="eastAsia" w:ascii="仿宋_GB2312" w:eastAsia="仿宋_GB2312"/>
          <w:sz w:val="30"/>
          <w:szCs w:val="30"/>
          <w:highlight w:val="none"/>
        </w:rPr>
        <w:t>栏</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应大于等于</w:t>
      </w:r>
      <w:r>
        <w:rPr>
          <w:rFonts w:hint="eastAsia" w:ascii="仿宋_GB2312" w:eastAsia="仿宋_GB2312"/>
          <w:sz w:val="32"/>
          <w:szCs w:val="32"/>
          <w:highlight w:val="none"/>
        </w:rPr>
        <w:t>20</w:t>
      </w:r>
      <w:r>
        <w:rPr>
          <w:rFonts w:ascii="仿宋_GB2312" w:eastAsia="仿宋_GB2312"/>
          <w:sz w:val="32"/>
          <w:szCs w:val="32"/>
          <w:highlight w:val="none"/>
        </w:rPr>
        <w:t>2</w:t>
      </w:r>
      <w:r>
        <w:rPr>
          <w:rFonts w:hint="eastAsia" w:ascii="仿宋_GB2312" w:eastAsia="仿宋_GB2312"/>
          <w:sz w:val="32"/>
          <w:szCs w:val="32"/>
          <w:highlight w:val="none"/>
        </w:rPr>
        <w:t>4年1月1日时，</w:t>
      </w:r>
      <w:r>
        <w:rPr>
          <w:rFonts w:hint="eastAsia" w:ascii="仿宋_GB2312" w:eastAsia="仿宋_GB2312"/>
          <w:sz w:val="30"/>
          <w:szCs w:val="30"/>
          <w:highlight w:val="none"/>
        </w:rPr>
        <w:t>是否本年新增出租出借</w:t>
      </w:r>
      <w:r>
        <w:rPr>
          <w:rFonts w:hint="eastAsia" w:ascii="仿宋_GB2312" w:eastAsia="仿宋_GB2312"/>
          <w:sz w:val="30"/>
          <w:szCs w:val="30"/>
          <w:highlight w:val="none"/>
          <w:lang w:eastAsia="zh-CN"/>
        </w:rPr>
        <w:t>（</w:t>
      </w:r>
      <w:r>
        <w:rPr>
          <w:rFonts w:hint="eastAsia" w:ascii="仿宋_GB2312" w:eastAsia="仿宋_GB2312"/>
          <w:sz w:val="32"/>
          <w:szCs w:val="32"/>
          <w:highlight w:val="none"/>
        </w:rPr>
        <w:t>1</w:t>
      </w:r>
      <w:r>
        <w:rPr>
          <w:rFonts w:ascii="仿宋_GB2312" w:eastAsia="仿宋_GB2312"/>
          <w:sz w:val="32"/>
          <w:szCs w:val="32"/>
          <w:highlight w:val="none"/>
        </w:rPr>
        <w:t>6</w:t>
      </w:r>
      <w:r>
        <w:rPr>
          <w:rFonts w:hint="eastAsia" w:ascii="仿宋_GB2312" w:eastAsia="仿宋_GB2312"/>
          <w:sz w:val="32"/>
          <w:szCs w:val="32"/>
          <w:highlight w:val="none"/>
        </w:rPr>
        <w:t>栏</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应为</w:t>
      </w:r>
      <w:r>
        <w:rPr>
          <w:rFonts w:hint="eastAsia" w:ascii="仿宋_GB2312" w:eastAsia="仿宋_GB2312"/>
          <w:sz w:val="32"/>
          <w:szCs w:val="32"/>
          <w:highlight w:val="none"/>
        </w:rPr>
        <w:t>“是”</w:t>
      </w:r>
      <w:r>
        <w:rPr>
          <w:rFonts w:hint="eastAsia" w:ascii="仿宋_GB2312" w:eastAsia="仿宋_GB2312"/>
          <w:sz w:val="32"/>
          <w:szCs w:val="32"/>
          <w:highlight w:val="none"/>
          <w:lang w:eastAsia="zh-CN"/>
        </w:rPr>
        <w:t>，</w:t>
      </w:r>
      <w:r>
        <w:rPr>
          <w:rFonts w:hint="eastAsia" w:ascii="仿宋_GB2312" w:eastAsia="仿宋_GB2312"/>
          <w:sz w:val="32"/>
          <w:szCs w:val="32"/>
          <w:highlight w:val="none"/>
          <w:lang w:val="en-US" w:eastAsia="zh-CN"/>
        </w:rPr>
        <w:t>反之为否</w:t>
      </w:r>
      <w:r>
        <w:rPr>
          <w:rFonts w:hint="eastAsia" w:ascii="仿宋_GB2312" w:eastAsia="仿宋_GB2312"/>
          <w:sz w:val="32"/>
          <w:szCs w:val="32"/>
          <w:highlight w:val="none"/>
        </w:rPr>
        <w:t>；</w:t>
      </w:r>
    </w:p>
    <w:p w14:paraId="0C95D92C">
      <w:pPr>
        <w:numPr>
          <w:ilvl w:val="0"/>
          <w:numId w:val="5"/>
        </w:numPr>
        <w:spacing w:line="360" w:lineRule="auto"/>
        <w:rPr>
          <w:rFonts w:hint="eastAsia" w:hAnsi="仿宋"/>
          <w:sz w:val="30"/>
          <w:szCs w:val="30"/>
          <w:highlight w:val="none"/>
        </w:rPr>
      </w:pPr>
      <w:r>
        <w:rPr>
          <w:rFonts w:hint="eastAsia" w:ascii="仿宋_GB2312" w:eastAsia="仿宋_GB2312"/>
          <w:sz w:val="30"/>
          <w:szCs w:val="30"/>
          <w:highlight w:val="none"/>
        </w:rPr>
        <w:t>当审批情况</w:t>
      </w:r>
      <w:r>
        <w:rPr>
          <w:rFonts w:hint="eastAsia" w:ascii="仿宋_GB2312" w:eastAsia="仿宋_GB2312"/>
          <w:sz w:val="30"/>
          <w:szCs w:val="30"/>
          <w:highlight w:val="none"/>
          <w:lang w:eastAsia="zh-CN"/>
        </w:rPr>
        <w:t>（</w:t>
      </w:r>
      <w:r>
        <w:rPr>
          <w:rFonts w:ascii="仿宋_GB2312" w:eastAsia="仿宋_GB2312"/>
          <w:sz w:val="30"/>
          <w:szCs w:val="30"/>
          <w:highlight w:val="none"/>
        </w:rPr>
        <w:t>17</w:t>
      </w:r>
      <w:r>
        <w:rPr>
          <w:rFonts w:hint="eastAsia" w:ascii="仿宋_GB2312" w:eastAsia="仿宋_GB2312"/>
          <w:sz w:val="30"/>
          <w:szCs w:val="30"/>
          <w:highlight w:val="none"/>
        </w:rPr>
        <w:t>栏</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为“未审批”时，</w:t>
      </w:r>
      <w:r>
        <w:rPr>
          <w:rFonts w:hint="eastAsia" w:ascii="仿宋_GB2312" w:eastAsia="仿宋_GB2312"/>
          <w:sz w:val="30"/>
          <w:szCs w:val="30"/>
          <w:highlight w:val="none"/>
          <w:lang w:val="en-US" w:eastAsia="zh-CN"/>
        </w:rPr>
        <w:t>备注（</w:t>
      </w:r>
      <w:r>
        <w:rPr>
          <w:rFonts w:hint="eastAsia" w:ascii="仿宋_GB2312" w:eastAsia="仿宋_GB2312"/>
          <w:sz w:val="30"/>
          <w:szCs w:val="30"/>
          <w:highlight w:val="none"/>
        </w:rPr>
        <w:t>1</w:t>
      </w:r>
      <w:r>
        <w:rPr>
          <w:rFonts w:ascii="仿宋_GB2312" w:eastAsia="仿宋_GB2312"/>
          <w:sz w:val="30"/>
          <w:szCs w:val="30"/>
          <w:highlight w:val="none"/>
        </w:rPr>
        <w:t>8</w:t>
      </w:r>
      <w:r>
        <w:rPr>
          <w:rFonts w:hint="eastAsia" w:ascii="仿宋_GB2312" w:eastAsia="仿宋_GB2312"/>
          <w:sz w:val="30"/>
          <w:szCs w:val="30"/>
          <w:highlight w:val="none"/>
        </w:rPr>
        <w:t>栏</w:t>
      </w:r>
      <w:r>
        <w:rPr>
          <w:rFonts w:hint="eastAsia" w:ascii="仿宋_GB2312" w:eastAsia="仿宋_GB2312"/>
          <w:sz w:val="30"/>
          <w:szCs w:val="30"/>
          <w:highlight w:val="none"/>
          <w:lang w:val="en-US" w:eastAsia="zh-CN"/>
        </w:rPr>
        <w:t>）</w:t>
      </w:r>
      <w:r>
        <w:rPr>
          <w:rFonts w:hint="eastAsia" w:ascii="仿宋_GB2312" w:eastAsia="仿宋_GB2312"/>
          <w:sz w:val="30"/>
          <w:szCs w:val="30"/>
          <w:highlight w:val="none"/>
        </w:rPr>
        <w:t>不能为空；</w:t>
      </w:r>
    </w:p>
    <w:p w14:paraId="220270D3">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rPr>
        <w:t>当资产分类</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1栏</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为房屋时，浮动行</w:t>
      </w:r>
      <w:r>
        <w:rPr>
          <w:rFonts w:hint="eastAsia" w:ascii="仿宋_GB2312" w:eastAsia="仿宋_GB2312"/>
          <w:sz w:val="30"/>
          <w:szCs w:val="30"/>
          <w:highlight w:val="none"/>
          <w:lang w:val="en-US" w:eastAsia="zh-CN"/>
        </w:rPr>
        <w:t>办公用房面积、业务用房面积、其他用房面积（</w:t>
      </w:r>
      <w:r>
        <w:rPr>
          <w:rFonts w:hint="eastAsia" w:ascii="仿宋_GB2312" w:eastAsia="仿宋_GB2312"/>
          <w:sz w:val="30"/>
          <w:szCs w:val="30"/>
          <w:highlight w:val="none"/>
        </w:rPr>
        <w:t>8~</w:t>
      </w:r>
      <w:r>
        <w:rPr>
          <w:rFonts w:ascii="仿宋_GB2312" w:eastAsia="仿宋_GB2312"/>
          <w:sz w:val="30"/>
          <w:szCs w:val="30"/>
          <w:highlight w:val="none"/>
        </w:rPr>
        <w:t>1</w:t>
      </w:r>
      <w:r>
        <w:rPr>
          <w:rFonts w:hint="eastAsia" w:ascii="仿宋_GB2312" w:eastAsia="仿宋_GB2312"/>
          <w:sz w:val="30"/>
          <w:szCs w:val="30"/>
          <w:highlight w:val="none"/>
          <w:lang w:val="en-US" w:eastAsia="zh-CN"/>
        </w:rPr>
        <w:t>0</w:t>
      </w:r>
      <w:r>
        <w:rPr>
          <w:rFonts w:hint="eastAsia" w:ascii="仿宋_GB2312" w:eastAsia="仿宋_GB2312"/>
          <w:sz w:val="30"/>
          <w:szCs w:val="30"/>
          <w:highlight w:val="none"/>
        </w:rPr>
        <w:t>栏</w:t>
      </w:r>
      <w:r>
        <w:rPr>
          <w:rFonts w:hint="eastAsia" w:ascii="仿宋_GB2312" w:eastAsia="仿宋_GB2312"/>
          <w:sz w:val="30"/>
          <w:szCs w:val="30"/>
          <w:highlight w:val="none"/>
          <w:lang w:val="en-US" w:eastAsia="zh-CN"/>
        </w:rPr>
        <w:t>）应大于等于</w:t>
      </w:r>
      <w:r>
        <w:rPr>
          <w:rFonts w:hint="eastAsia" w:ascii="仿宋_GB2312" w:eastAsia="仿宋_GB2312"/>
          <w:sz w:val="30"/>
          <w:szCs w:val="30"/>
          <w:highlight w:val="none"/>
        </w:rPr>
        <w:t>0；</w:t>
      </w:r>
    </w:p>
    <w:p w14:paraId="5F35917D">
      <w:pPr>
        <w:numPr>
          <w:ilvl w:val="0"/>
          <w:numId w:val="5"/>
        </w:numPr>
        <w:spacing w:line="360" w:lineRule="auto"/>
        <w:rPr>
          <w:rFonts w:hint="eastAsia" w:ascii="仿宋_GB2312" w:hAnsi="Times New Roman" w:eastAsia="仿宋_GB2312"/>
          <w:sz w:val="30"/>
          <w:szCs w:val="30"/>
          <w:highlight w:val="none"/>
        </w:rPr>
      </w:pPr>
      <w:r>
        <w:rPr>
          <w:rFonts w:hint="eastAsia" w:ascii="仿宋_GB2312" w:eastAsia="仿宋_GB2312"/>
          <w:sz w:val="30"/>
          <w:szCs w:val="30"/>
          <w:highlight w:val="none"/>
        </w:rPr>
        <w:t>当资产分类</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1栏</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为房屋时，浮动行出租出借数量/面积</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7栏</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应等于</w:t>
      </w:r>
      <w:r>
        <w:rPr>
          <w:rFonts w:hint="eastAsia" w:ascii="仿宋_GB2312" w:eastAsia="仿宋_GB2312"/>
          <w:sz w:val="30"/>
          <w:szCs w:val="30"/>
          <w:highlight w:val="none"/>
        </w:rPr>
        <w:t>浮动行</w:t>
      </w:r>
      <w:r>
        <w:rPr>
          <w:rFonts w:hint="eastAsia" w:ascii="仿宋_GB2312" w:eastAsia="仿宋_GB2312"/>
          <w:sz w:val="30"/>
          <w:szCs w:val="30"/>
          <w:highlight w:val="none"/>
          <w:lang w:val="en-US" w:eastAsia="zh-CN"/>
        </w:rPr>
        <w:t>办公用房面积、业务用房面积、其他用房面积（</w:t>
      </w:r>
      <w:r>
        <w:rPr>
          <w:rFonts w:hint="eastAsia" w:ascii="仿宋_GB2312" w:eastAsia="仿宋_GB2312"/>
          <w:sz w:val="30"/>
          <w:szCs w:val="30"/>
          <w:highlight w:val="none"/>
        </w:rPr>
        <w:t>8~</w:t>
      </w:r>
      <w:r>
        <w:rPr>
          <w:rFonts w:ascii="仿宋_GB2312" w:eastAsia="仿宋_GB2312"/>
          <w:sz w:val="30"/>
          <w:szCs w:val="30"/>
          <w:highlight w:val="none"/>
        </w:rPr>
        <w:t>1</w:t>
      </w:r>
      <w:r>
        <w:rPr>
          <w:rFonts w:hint="eastAsia" w:ascii="仿宋_GB2312" w:eastAsia="仿宋_GB2312"/>
          <w:sz w:val="30"/>
          <w:szCs w:val="30"/>
          <w:highlight w:val="none"/>
          <w:lang w:val="en-US" w:eastAsia="zh-CN"/>
        </w:rPr>
        <w:t>0</w:t>
      </w:r>
      <w:r>
        <w:rPr>
          <w:rFonts w:hint="eastAsia" w:ascii="仿宋_GB2312" w:eastAsia="仿宋_GB2312"/>
          <w:sz w:val="30"/>
          <w:szCs w:val="30"/>
          <w:highlight w:val="none"/>
        </w:rPr>
        <w:t>栏</w:t>
      </w:r>
      <w:r>
        <w:rPr>
          <w:rFonts w:hint="eastAsia" w:ascii="仿宋_GB2312" w:eastAsia="仿宋_GB2312"/>
          <w:sz w:val="30"/>
          <w:szCs w:val="30"/>
          <w:highlight w:val="none"/>
          <w:lang w:val="en-US" w:eastAsia="zh-CN"/>
        </w:rPr>
        <w:t>）之和，否则，办公用房面积、业务用房面积、其他用房面积（</w:t>
      </w:r>
      <w:r>
        <w:rPr>
          <w:rFonts w:hint="eastAsia" w:ascii="仿宋_GB2312" w:eastAsia="仿宋_GB2312"/>
          <w:sz w:val="30"/>
          <w:szCs w:val="30"/>
          <w:highlight w:val="none"/>
        </w:rPr>
        <w:t>8~1</w:t>
      </w:r>
      <w:r>
        <w:rPr>
          <w:rFonts w:hint="eastAsia" w:ascii="仿宋_GB2312" w:eastAsia="仿宋_GB2312"/>
          <w:sz w:val="30"/>
          <w:szCs w:val="30"/>
          <w:highlight w:val="none"/>
          <w:lang w:val="en-US" w:eastAsia="zh-CN"/>
        </w:rPr>
        <w:t>0</w:t>
      </w:r>
      <w:r>
        <w:rPr>
          <w:rFonts w:hint="eastAsia" w:ascii="仿宋_GB2312" w:eastAsia="仿宋_GB2312"/>
          <w:sz w:val="30"/>
          <w:szCs w:val="30"/>
          <w:highlight w:val="none"/>
        </w:rPr>
        <w:t>栏</w:t>
      </w:r>
      <w:r>
        <w:rPr>
          <w:rFonts w:hint="eastAsia" w:ascii="仿宋_GB2312" w:eastAsia="仿宋_GB2312"/>
          <w:sz w:val="30"/>
          <w:szCs w:val="30"/>
          <w:highlight w:val="none"/>
          <w:lang w:val="en-US" w:eastAsia="zh-CN"/>
        </w:rPr>
        <w:t>）应为空</w:t>
      </w:r>
      <w:r>
        <w:rPr>
          <w:rFonts w:hint="eastAsia" w:ascii="仿宋_GB2312" w:eastAsia="仿宋_GB2312"/>
          <w:sz w:val="30"/>
          <w:szCs w:val="30"/>
          <w:highlight w:val="none"/>
        </w:rPr>
        <w:t>；</w:t>
      </w:r>
    </w:p>
    <w:p w14:paraId="6650EA09">
      <w:pPr>
        <w:numPr>
          <w:ilvl w:val="0"/>
          <w:numId w:val="5"/>
        </w:numPr>
        <w:spacing w:line="360" w:lineRule="auto"/>
        <w:rPr>
          <w:rFonts w:hint="eastAsia" w:ascii="仿宋_GB2312" w:hAnsi="Times New Roman" w:eastAsia="仿宋_GB2312"/>
          <w:sz w:val="30"/>
          <w:szCs w:val="30"/>
          <w:highlight w:val="none"/>
        </w:rPr>
      </w:pPr>
      <w:r>
        <w:rPr>
          <w:rFonts w:hint="eastAsia" w:ascii="仿宋_GB2312" w:hAnsi="Times New Roman" w:eastAsia="仿宋_GB2312" w:cs="Times New Roman"/>
          <w:sz w:val="30"/>
          <w:szCs w:val="30"/>
          <w:highlight w:val="none"/>
        </w:rPr>
        <w:t>当资产分类（1栏）不是房屋时，浮动行出租出借办公用房面积、业务用房面积、其他用房面积（8~10栏）应为空</w:t>
      </w:r>
      <w:r>
        <w:rPr>
          <w:rFonts w:hint="eastAsia" w:ascii="仿宋_GB2312" w:eastAsia="仿宋_GB2312" w:cs="Times New Roman"/>
          <w:sz w:val="30"/>
          <w:szCs w:val="30"/>
          <w:highlight w:val="none"/>
          <w:lang w:eastAsia="zh-CN"/>
        </w:rPr>
        <w:t>；</w:t>
      </w:r>
    </w:p>
    <w:p w14:paraId="3299F164">
      <w:pPr>
        <w:numPr>
          <w:ilvl w:val="0"/>
          <w:numId w:val="5"/>
        </w:numPr>
        <w:spacing w:line="360" w:lineRule="auto"/>
        <w:rPr>
          <w:rFonts w:hint="eastAsia" w:hAnsi="仿宋"/>
          <w:sz w:val="30"/>
          <w:szCs w:val="30"/>
          <w:highlight w:val="none"/>
        </w:rPr>
      </w:pPr>
      <w:r>
        <w:rPr>
          <w:rFonts w:hint="eastAsia" w:ascii="仿宋_GB2312" w:eastAsia="仿宋_GB2312"/>
          <w:sz w:val="30"/>
          <w:szCs w:val="30"/>
          <w:highlight w:val="none"/>
        </w:rPr>
        <w:t>当资产分类</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1栏</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选择固定资产或无形资产时，</w:t>
      </w:r>
      <w:r>
        <w:rPr>
          <w:rFonts w:hint="eastAsia" w:ascii="仿宋_GB2312" w:eastAsia="仿宋_GB2312"/>
          <w:sz w:val="30"/>
          <w:szCs w:val="30"/>
          <w:highlight w:val="none"/>
          <w:lang w:val="en-US" w:eastAsia="zh-CN"/>
        </w:rPr>
        <w:t>资产编号、资产名称、取得日期、账面数量/面积、账面原值、出租出借数量/面积（</w:t>
      </w:r>
      <w:r>
        <w:rPr>
          <w:rFonts w:hint="eastAsia" w:ascii="仿宋_GB2312" w:eastAsia="仿宋_GB2312"/>
          <w:sz w:val="30"/>
          <w:szCs w:val="30"/>
          <w:highlight w:val="none"/>
        </w:rPr>
        <w:t>2~7栏</w:t>
      </w:r>
      <w:r>
        <w:rPr>
          <w:rFonts w:hint="eastAsia" w:ascii="仿宋_GB2312" w:eastAsia="仿宋_GB2312"/>
          <w:sz w:val="30"/>
          <w:szCs w:val="30"/>
          <w:highlight w:val="none"/>
          <w:lang w:val="en-US" w:eastAsia="zh-CN"/>
        </w:rPr>
        <w:t>）</w:t>
      </w:r>
      <w:r>
        <w:rPr>
          <w:rFonts w:hint="eastAsia" w:ascii="仿宋_GB2312" w:eastAsia="仿宋_GB2312"/>
          <w:sz w:val="30"/>
          <w:szCs w:val="30"/>
          <w:highlight w:val="none"/>
        </w:rPr>
        <w:t>不得为空。</w:t>
      </w:r>
    </w:p>
    <w:p w14:paraId="55889D44">
      <w:pPr>
        <w:snapToGrid w:val="0"/>
        <w:spacing w:line="360" w:lineRule="auto"/>
        <w:ind w:left="575" w:leftChars="274"/>
        <w:rPr>
          <w:rFonts w:hint="eastAsia" w:ascii="仿宋_GB2312" w:hAnsi="仿宋" w:eastAsia="仿宋_GB2312"/>
          <w:b/>
          <w:sz w:val="30"/>
          <w:szCs w:val="30"/>
          <w:highlight w:val="none"/>
          <w:lang w:eastAsia="zh-CN"/>
        </w:rPr>
      </w:pPr>
      <w:r>
        <w:rPr>
          <w:rFonts w:hint="eastAsia" w:ascii="仿宋_GB2312" w:hAnsi="仿宋" w:eastAsia="仿宋_GB2312"/>
          <w:b/>
          <w:sz w:val="30"/>
          <w:szCs w:val="30"/>
          <w:highlight w:val="none"/>
        </w:rPr>
        <w:t>表间公式</w:t>
      </w:r>
      <w:r>
        <w:rPr>
          <w:rFonts w:ascii="仿宋_GB2312" w:hAnsi="仿宋" w:eastAsia="仿宋_GB2312"/>
          <w:b/>
          <w:sz w:val="30"/>
          <w:szCs w:val="30"/>
          <w:highlight w:val="none"/>
        </w:rPr>
        <w:t>：</w:t>
      </w:r>
    </w:p>
    <w:p w14:paraId="7704A802">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rPr>
        <w:t>资产分类</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1栏</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为“房屋”项下分类时，且浮动行</w:t>
      </w:r>
      <w:r>
        <w:rPr>
          <w:rFonts w:hint="eastAsia" w:ascii="仿宋_GB2312" w:eastAsia="仿宋_GB2312"/>
          <w:sz w:val="30"/>
          <w:szCs w:val="30"/>
          <w:highlight w:val="none"/>
          <w:lang w:val="en-US" w:eastAsia="zh-CN"/>
        </w:rPr>
        <w:t>出租（借）期限－结束</w:t>
      </w:r>
      <w:r>
        <w:rPr>
          <w:rFonts w:hint="eastAsia" w:ascii="仿宋_GB2312" w:eastAsia="仿宋_GB2312"/>
          <w:sz w:val="30"/>
          <w:szCs w:val="30"/>
          <w:highlight w:val="none"/>
        </w:rPr>
        <w:t>日期</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14</w:t>
      </w:r>
      <w:r>
        <w:rPr>
          <w:rFonts w:hint="eastAsia" w:ascii="仿宋_GB2312" w:eastAsia="仿宋_GB2312"/>
          <w:sz w:val="30"/>
          <w:szCs w:val="30"/>
          <w:highlight w:val="none"/>
        </w:rPr>
        <w:t>栏</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大于等于</w:t>
      </w:r>
      <w:r>
        <w:rPr>
          <w:rFonts w:hint="eastAsia" w:ascii="仿宋_GB2312" w:eastAsia="仿宋_GB2312"/>
          <w:sz w:val="30"/>
          <w:szCs w:val="30"/>
          <w:highlight w:val="none"/>
        </w:rPr>
        <w:t>20</w:t>
      </w:r>
      <w:r>
        <w:rPr>
          <w:rFonts w:ascii="仿宋_GB2312" w:eastAsia="仿宋_GB2312"/>
          <w:sz w:val="30"/>
          <w:szCs w:val="30"/>
          <w:highlight w:val="none"/>
        </w:rPr>
        <w:t>2</w:t>
      </w:r>
      <w:r>
        <w:rPr>
          <w:rFonts w:hint="eastAsia" w:ascii="仿宋_GB2312" w:eastAsia="仿宋_GB2312"/>
          <w:sz w:val="30"/>
          <w:szCs w:val="30"/>
          <w:highlight w:val="none"/>
        </w:rPr>
        <w:t>4年12月31日，浮动行</w:t>
      </w:r>
      <w:r>
        <w:rPr>
          <w:rFonts w:hint="eastAsia" w:ascii="仿宋_GB2312" w:eastAsia="仿宋_GB2312"/>
          <w:sz w:val="30"/>
          <w:szCs w:val="30"/>
          <w:highlight w:val="none"/>
          <w:lang w:val="en-US" w:eastAsia="zh-CN"/>
        </w:rPr>
        <w:t>出租出借数量/面积（</w:t>
      </w:r>
      <w:r>
        <w:rPr>
          <w:rFonts w:hint="eastAsia" w:ascii="仿宋_GB2312" w:eastAsia="仿宋_GB2312"/>
          <w:sz w:val="30"/>
          <w:szCs w:val="30"/>
          <w:highlight w:val="none"/>
        </w:rPr>
        <w:t>7栏</w:t>
      </w:r>
      <w:r>
        <w:rPr>
          <w:rFonts w:hint="eastAsia" w:ascii="仿宋_GB2312" w:eastAsia="仿宋_GB2312"/>
          <w:sz w:val="30"/>
          <w:szCs w:val="30"/>
          <w:highlight w:val="none"/>
          <w:lang w:val="en-US" w:eastAsia="zh-CN"/>
        </w:rPr>
        <w:t>）、办公用房面积（8</w:t>
      </w:r>
      <w:r>
        <w:rPr>
          <w:rFonts w:hint="eastAsia" w:ascii="仿宋_GB2312" w:eastAsia="仿宋_GB2312"/>
          <w:sz w:val="30"/>
          <w:szCs w:val="30"/>
          <w:highlight w:val="none"/>
        </w:rPr>
        <w:t>栏</w:t>
      </w:r>
      <w:r>
        <w:rPr>
          <w:rFonts w:hint="eastAsia" w:ascii="仿宋_GB2312" w:eastAsia="仿宋_GB2312"/>
          <w:sz w:val="30"/>
          <w:szCs w:val="30"/>
          <w:highlight w:val="none"/>
          <w:lang w:val="en-US" w:eastAsia="zh-CN"/>
        </w:rPr>
        <w:t>）、业务用房面积（9</w:t>
      </w:r>
      <w:r>
        <w:rPr>
          <w:rFonts w:hint="eastAsia" w:ascii="仿宋_GB2312" w:eastAsia="仿宋_GB2312"/>
          <w:sz w:val="30"/>
          <w:szCs w:val="30"/>
          <w:highlight w:val="none"/>
        </w:rPr>
        <w:t>栏</w:t>
      </w:r>
      <w:r>
        <w:rPr>
          <w:rFonts w:hint="eastAsia" w:ascii="仿宋_GB2312" w:eastAsia="仿宋_GB2312"/>
          <w:sz w:val="30"/>
          <w:szCs w:val="30"/>
          <w:highlight w:val="none"/>
          <w:lang w:val="en-US" w:eastAsia="zh-CN"/>
        </w:rPr>
        <w:t>）、其他用房面积（10</w:t>
      </w:r>
      <w:r>
        <w:rPr>
          <w:rFonts w:hint="eastAsia" w:ascii="仿宋_GB2312" w:eastAsia="仿宋_GB2312"/>
          <w:sz w:val="30"/>
          <w:szCs w:val="30"/>
          <w:highlight w:val="none"/>
        </w:rPr>
        <w:t>栏</w:t>
      </w:r>
      <w:r>
        <w:rPr>
          <w:rFonts w:hint="eastAsia" w:ascii="仿宋_GB2312" w:eastAsia="仿宋_GB2312"/>
          <w:sz w:val="30"/>
          <w:szCs w:val="30"/>
          <w:highlight w:val="none"/>
          <w:lang w:val="en-US" w:eastAsia="zh-CN"/>
        </w:rPr>
        <w:t>）</w:t>
      </w:r>
      <w:r>
        <w:rPr>
          <w:rFonts w:hint="eastAsia" w:ascii="仿宋_GB2312" w:eastAsia="仿宋_GB2312"/>
          <w:sz w:val="30"/>
          <w:szCs w:val="30"/>
          <w:highlight w:val="none"/>
        </w:rPr>
        <w:t>之和</w:t>
      </w:r>
      <w:r>
        <w:rPr>
          <w:rFonts w:hint="eastAsia" w:ascii="仿宋_GB2312" w:eastAsia="仿宋_GB2312"/>
          <w:sz w:val="30"/>
          <w:szCs w:val="30"/>
          <w:highlight w:val="none"/>
          <w:lang w:val="en-US" w:eastAsia="zh-CN"/>
        </w:rPr>
        <w:t>应分别等于</w:t>
      </w:r>
      <w:r>
        <w:rPr>
          <w:rFonts w:hint="eastAsia" w:ascii="仿宋_GB2312" w:eastAsia="仿宋_GB2312"/>
          <w:sz w:val="30"/>
          <w:szCs w:val="30"/>
          <w:highlight w:val="none"/>
        </w:rPr>
        <w:t>财资05房屋情况表本单位房屋</w:t>
      </w:r>
      <w:r>
        <w:rPr>
          <w:rFonts w:hint="eastAsia" w:ascii="仿宋_GB2312" w:eastAsia="仿宋_GB2312"/>
          <w:sz w:val="30"/>
          <w:szCs w:val="30"/>
          <w:highlight w:val="none"/>
          <w:lang w:val="en-US" w:eastAsia="zh-CN"/>
        </w:rPr>
        <w:t>小计行</w:t>
      </w:r>
      <w:r>
        <w:rPr>
          <w:rFonts w:hint="eastAsia" w:ascii="仿宋_GB2312" w:eastAsia="仿宋_GB2312"/>
          <w:sz w:val="30"/>
          <w:szCs w:val="30"/>
          <w:highlight w:val="none"/>
        </w:rPr>
        <w:t>出租出借合计</w:t>
      </w:r>
      <w:r>
        <w:rPr>
          <w:rFonts w:hint="eastAsia" w:ascii="仿宋_GB2312" w:eastAsia="仿宋_GB2312"/>
          <w:sz w:val="30"/>
          <w:szCs w:val="30"/>
          <w:highlight w:val="none"/>
          <w:lang w:val="en-US" w:eastAsia="zh-CN"/>
        </w:rPr>
        <w:t>栏（</w:t>
      </w:r>
      <w:r>
        <w:rPr>
          <w:rFonts w:ascii="仿宋_GB2312" w:eastAsia="仿宋_GB2312"/>
          <w:sz w:val="30"/>
          <w:szCs w:val="30"/>
          <w:highlight w:val="none"/>
        </w:rPr>
        <w:t>14</w:t>
      </w:r>
      <w:r>
        <w:rPr>
          <w:rFonts w:hint="eastAsia" w:ascii="仿宋_GB2312" w:eastAsia="仿宋_GB2312"/>
          <w:sz w:val="30"/>
          <w:szCs w:val="30"/>
          <w:highlight w:val="none"/>
        </w:rPr>
        <w:t>栏</w:t>
      </w:r>
      <w:r>
        <w:rPr>
          <w:rFonts w:hint="eastAsia" w:ascii="仿宋_GB2312" w:eastAsia="仿宋_GB2312"/>
          <w:sz w:val="30"/>
          <w:szCs w:val="30"/>
          <w:highlight w:val="none"/>
          <w:lang w:val="en-US" w:eastAsia="zh-CN"/>
        </w:rPr>
        <w:t>）、办公用房出租出借栏（</w:t>
      </w:r>
      <w:r>
        <w:rPr>
          <w:rFonts w:ascii="仿宋_GB2312" w:eastAsia="仿宋_GB2312"/>
          <w:sz w:val="30"/>
          <w:szCs w:val="30"/>
          <w:highlight w:val="none"/>
        </w:rPr>
        <w:t>19</w:t>
      </w:r>
      <w:r>
        <w:rPr>
          <w:rFonts w:hint="eastAsia" w:ascii="仿宋_GB2312" w:eastAsia="仿宋_GB2312"/>
          <w:sz w:val="30"/>
          <w:szCs w:val="30"/>
          <w:highlight w:val="none"/>
        </w:rPr>
        <w:t>栏</w:t>
      </w:r>
      <w:r>
        <w:rPr>
          <w:rFonts w:hint="eastAsia" w:ascii="仿宋_GB2312" w:eastAsia="仿宋_GB2312"/>
          <w:sz w:val="30"/>
          <w:szCs w:val="30"/>
          <w:highlight w:val="none"/>
          <w:lang w:val="en-US" w:eastAsia="zh-CN"/>
        </w:rPr>
        <w:t>）、业务用房出租出借栏（25</w:t>
      </w:r>
      <w:r>
        <w:rPr>
          <w:rFonts w:hint="eastAsia" w:ascii="仿宋_GB2312" w:eastAsia="仿宋_GB2312"/>
          <w:sz w:val="30"/>
          <w:szCs w:val="30"/>
          <w:highlight w:val="none"/>
        </w:rPr>
        <w:t>栏</w:t>
      </w:r>
      <w:r>
        <w:rPr>
          <w:rFonts w:hint="eastAsia" w:ascii="仿宋_GB2312" w:eastAsia="仿宋_GB2312"/>
          <w:sz w:val="30"/>
          <w:szCs w:val="30"/>
          <w:highlight w:val="none"/>
          <w:lang w:val="en-US" w:eastAsia="zh-CN"/>
        </w:rPr>
        <w:t>）、其他用房出租出借栏（30</w:t>
      </w:r>
      <w:r>
        <w:rPr>
          <w:rFonts w:hint="eastAsia" w:ascii="仿宋_GB2312" w:eastAsia="仿宋_GB2312"/>
          <w:sz w:val="30"/>
          <w:szCs w:val="30"/>
          <w:highlight w:val="none"/>
        </w:rPr>
        <w:t>栏</w:t>
      </w:r>
      <w:r>
        <w:rPr>
          <w:rFonts w:hint="eastAsia" w:ascii="仿宋_GB2312" w:eastAsia="仿宋_GB2312"/>
          <w:sz w:val="30"/>
          <w:szCs w:val="30"/>
          <w:highlight w:val="none"/>
          <w:lang w:val="en-US" w:eastAsia="zh-CN"/>
        </w:rPr>
        <w:t>）</w:t>
      </w:r>
      <w:r>
        <w:rPr>
          <w:rFonts w:hint="eastAsia" w:ascii="仿宋_GB2312" w:eastAsia="仿宋_GB2312"/>
          <w:sz w:val="30"/>
          <w:szCs w:val="30"/>
          <w:highlight w:val="none"/>
        </w:rPr>
        <w:t>；</w:t>
      </w:r>
    </w:p>
    <w:p w14:paraId="5038E11E">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rPr>
        <w:t>资产分类</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1栏</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为“土地”项下分类时，且浮动行</w:t>
      </w:r>
      <w:r>
        <w:rPr>
          <w:rFonts w:hint="eastAsia" w:ascii="仿宋_GB2312" w:eastAsia="仿宋_GB2312"/>
          <w:sz w:val="30"/>
          <w:szCs w:val="30"/>
          <w:highlight w:val="none"/>
          <w:lang w:val="en-US" w:eastAsia="zh-CN"/>
        </w:rPr>
        <w:t>出租（借）期限-结束</w:t>
      </w:r>
      <w:r>
        <w:rPr>
          <w:rFonts w:hint="eastAsia" w:ascii="仿宋_GB2312" w:eastAsia="仿宋_GB2312"/>
          <w:sz w:val="30"/>
          <w:szCs w:val="30"/>
          <w:highlight w:val="none"/>
        </w:rPr>
        <w:t>日期</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14</w:t>
      </w:r>
      <w:r>
        <w:rPr>
          <w:rFonts w:hint="eastAsia" w:ascii="仿宋_GB2312" w:eastAsia="仿宋_GB2312"/>
          <w:sz w:val="30"/>
          <w:szCs w:val="30"/>
          <w:highlight w:val="none"/>
        </w:rPr>
        <w:t>栏</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大于等于</w:t>
      </w:r>
      <w:r>
        <w:rPr>
          <w:rFonts w:hint="eastAsia" w:ascii="仿宋_GB2312" w:eastAsia="仿宋_GB2312"/>
          <w:sz w:val="30"/>
          <w:szCs w:val="30"/>
          <w:highlight w:val="none"/>
        </w:rPr>
        <w:t>20</w:t>
      </w:r>
      <w:r>
        <w:rPr>
          <w:rFonts w:ascii="仿宋_GB2312" w:eastAsia="仿宋_GB2312"/>
          <w:sz w:val="30"/>
          <w:szCs w:val="30"/>
          <w:highlight w:val="none"/>
        </w:rPr>
        <w:t>2</w:t>
      </w:r>
      <w:r>
        <w:rPr>
          <w:rFonts w:hint="eastAsia" w:ascii="仿宋_GB2312" w:eastAsia="仿宋_GB2312"/>
          <w:sz w:val="30"/>
          <w:szCs w:val="30"/>
          <w:highlight w:val="none"/>
        </w:rPr>
        <w:t>4年12月31日，浮动行</w:t>
      </w:r>
      <w:r>
        <w:rPr>
          <w:rFonts w:hint="eastAsia" w:ascii="仿宋_GB2312" w:eastAsia="仿宋_GB2312"/>
          <w:sz w:val="30"/>
          <w:szCs w:val="30"/>
          <w:highlight w:val="none"/>
          <w:lang w:val="en-US" w:eastAsia="zh-CN"/>
        </w:rPr>
        <w:t>出租出借数量/面积（</w:t>
      </w:r>
      <w:r>
        <w:rPr>
          <w:rFonts w:hint="eastAsia" w:ascii="仿宋_GB2312" w:eastAsia="仿宋_GB2312"/>
          <w:sz w:val="30"/>
          <w:szCs w:val="30"/>
          <w:highlight w:val="none"/>
        </w:rPr>
        <w:t>7栏</w:t>
      </w:r>
      <w:r>
        <w:rPr>
          <w:rFonts w:hint="eastAsia" w:ascii="仿宋_GB2312" w:eastAsia="仿宋_GB2312"/>
          <w:sz w:val="30"/>
          <w:szCs w:val="30"/>
          <w:highlight w:val="none"/>
          <w:lang w:val="en-US" w:eastAsia="zh-CN"/>
        </w:rPr>
        <w:t>）之和应等于</w:t>
      </w:r>
      <w:r>
        <w:rPr>
          <w:rFonts w:hint="eastAsia" w:ascii="仿宋_GB2312" w:eastAsia="仿宋_GB2312"/>
          <w:sz w:val="30"/>
          <w:szCs w:val="30"/>
          <w:highlight w:val="none"/>
        </w:rPr>
        <w:t>财资04土地情况表</w:t>
      </w:r>
      <w:r>
        <w:rPr>
          <w:rFonts w:hint="eastAsia" w:ascii="仿宋_GB2312" w:eastAsia="仿宋_GB2312"/>
          <w:sz w:val="30"/>
          <w:szCs w:val="30"/>
          <w:highlight w:val="none"/>
          <w:lang w:val="en-US" w:eastAsia="zh-CN"/>
        </w:rPr>
        <w:t>资浮动行对应资产分类（</w:t>
      </w:r>
      <w:r>
        <w:rPr>
          <w:rFonts w:hint="eastAsia" w:ascii="仿宋_GB2312" w:eastAsia="仿宋_GB2312"/>
          <w:sz w:val="30"/>
          <w:szCs w:val="30"/>
          <w:highlight w:val="none"/>
        </w:rPr>
        <w:t>1栏=土地</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的</w:t>
      </w:r>
      <w:r>
        <w:rPr>
          <w:rFonts w:hint="eastAsia" w:ascii="仿宋_GB2312" w:eastAsia="仿宋_GB2312"/>
          <w:sz w:val="30"/>
          <w:szCs w:val="30"/>
          <w:highlight w:val="none"/>
        </w:rPr>
        <w:t>出租出借</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13栏</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面积之和</w:t>
      </w:r>
      <w:r>
        <w:rPr>
          <w:rFonts w:hint="eastAsia" w:ascii="仿宋_GB2312" w:eastAsia="仿宋_GB2312"/>
          <w:sz w:val="30"/>
          <w:szCs w:val="30"/>
          <w:highlight w:val="none"/>
        </w:rPr>
        <w:t>；</w:t>
      </w:r>
    </w:p>
    <w:p w14:paraId="5787D192">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rPr>
        <w:t>资产分类</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1栏</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为“土地使用权”项下分类时，且浮动行</w:t>
      </w:r>
      <w:r>
        <w:rPr>
          <w:rFonts w:hint="eastAsia" w:ascii="仿宋_GB2312" w:eastAsia="仿宋_GB2312"/>
          <w:sz w:val="30"/>
          <w:szCs w:val="30"/>
          <w:highlight w:val="none"/>
          <w:lang w:val="en-US" w:eastAsia="zh-CN"/>
        </w:rPr>
        <w:t>出租（借）期限-结束</w:t>
      </w:r>
      <w:r>
        <w:rPr>
          <w:rFonts w:hint="eastAsia" w:ascii="仿宋_GB2312" w:eastAsia="仿宋_GB2312"/>
          <w:sz w:val="30"/>
          <w:szCs w:val="30"/>
          <w:highlight w:val="none"/>
        </w:rPr>
        <w:t>日期</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14</w:t>
      </w:r>
      <w:r>
        <w:rPr>
          <w:rFonts w:hint="eastAsia" w:ascii="仿宋_GB2312" w:eastAsia="仿宋_GB2312"/>
          <w:sz w:val="30"/>
          <w:szCs w:val="30"/>
          <w:highlight w:val="none"/>
        </w:rPr>
        <w:t>栏</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大于等于</w:t>
      </w:r>
      <w:r>
        <w:rPr>
          <w:rFonts w:hint="eastAsia" w:ascii="仿宋_GB2312" w:eastAsia="仿宋_GB2312"/>
          <w:sz w:val="30"/>
          <w:szCs w:val="30"/>
          <w:highlight w:val="none"/>
        </w:rPr>
        <w:t>20</w:t>
      </w:r>
      <w:r>
        <w:rPr>
          <w:rFonts w:ascii="仿宋_GB2312" w:eastAsia="仿宋_GB2312"/>
          <w:sz w:val="30"/>
          <w:szCs w:val="30"/>
          <w:highlight w:val="none"/>
        </w:rPr>
        <w:t>2</w:t>
      </w:r>
      <w:r>
        <w:rPr>
          <w:rFonts w:hint="eastAsia" w:ascii="仿宋_GB2312" w:eastAsia="仿宋_GB2312"/>
          <w:sz w:val="30"/>
          <w:szCs w:val="30"/>
          <w:highlight w:val="none"/>
        </w:rPr>
        <w:t>4年12月31日，浮动行</w:t>
      </w:r>
      <w:r>
        <w:rPr>
          <w:rFonts w:hint="eastAsia" w:ascii="仿宋_GB2312" w:eastAsia="仿宋_GB2312"/>
          <w:sz w:val="30"/>
          <w:szCs w:val="30"/>
          <w:highlight w:val="none"/>
          <w:lang w:val="en-US" w:eastAsia="zh-CN"/>
        </w:rPr>
        <w:t>出租出借数量/面积（</w:t>
      </w:r>
      <w:r>
        <w:rPr>
          <w:rFonts w:hint="eastAsia" w:ascii="仿宋_GB2312" w:eastAsia="仿宋_GB2312"/>
          <w:sz w:val="30"/>
          <w:szCs w:val="30"/>
          <w:highlight w:val="none"/>
        </w:rPr>
        <w:t>7栏</w:t>
      </w:r>
      <w:r>
        <w:rPr>
          <w:rFonts w:hint="eastAsia" w:ascii="仿宋_GB2312" w:eastAsia="仿宋_GB2312"/>
          <w:sz w:val="30"/>
          <w:szCs w:val="30"/>
          <w:highlight w:val="none"/>
          <w:lang w:val="en-US" w:eastAsia="zh-CN"/>
        </w:rPr>
        <w:t>）之和应等于</w:t>
      </w:r>
      <w:r>
        <w:rPr>
          <w:rFonts w:hint="eastAsia" w:ascii="仿宋_GB2312" w:eastAsia="仿宋_GB2312"/>
          <w:sz w:val="30"/>
          <w:szCs w:val="30"/>
          <w:highlight w:val="none"/>
        </w:rPr>
        <w:t>财资04土地</w:t>
      </w:r>
      <w:r>
        <w:rPr>
          <w:rFonts w:hint="eastAsia" w:ascii="仿宋_GB2312" w:eastAsia="仿宋_GB2312"/>
          <w:sz w:val="30"/>
          <w:szCs w:val="30"/>
          <w:highlight w:val="none"/>
          <w:lang w:val="en-US" w:eastAsia="zh-CN"/>
        </w:rPr>
        <w:t>资产</w:t>
      </w:r>
      <w:r>
        <w:rPr>
          <w:rFonts w:hint="eastAsia" w:ascii="仿宋_GB2312" w:eastAsia="仿宋_GB2312"/>
          <w:sz w:val="30"/>
          <w:szCs w:val="30"/>
          <w:highlight w:val="none"/>
        </w:rPr>
        <w:t>情况表</w:t>
      </w:r>
      <w:r>
        <w:rPr>
          <w:rFonts w:hint="eastAsia" w:ascii="仿宋_GB2312" w:eastAsia="仿宋_GB2312"/>
          <w:sz w:val="30"/>
          <w:szCs w:val="30"/>
          <w:highlight w:val="none"/>
          <w:lang w:val="en-US" w:eastAsia="zh-CN"/>
        </w:rPr>
        <w:t>浮动行对应资产分类（</w:t>
      </w:r>
      <w:r>
        <w:rPr>
          <w:rFonts w:hint="eastAsia" w:ascii="仿宋_GB2312" w:eastAsia="仿宋_GB2312"/>
          <w:sz w:val="30"/>
          <w:szCs w:val="30"/>
          <w:highlight w:val="none"/>
        </w:rPr>
        <w:t>1栏=土地使用权</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的</w:t>
      </w:r>
      <w:r>
        <w:rPr>
          <w:rFonts w:hint="eastAsia" w:ascii="仿宋_GB2312" w:eastAsia="仿宋_GB2312"/>
          <w:sz w:val="30"/>
          <w:szCs w:val="30"/>
          <w:highlight w:val="none"/>
        </w:rPr>
        <w:t>出租出借</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13栏</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面积之和</w:t>
      </w:r>
      <w:r>
        <w:rPr>
          <w:rFonts w:hint="eastAsia" w:ascii="仿宋_GB2312" w:eastAsia="仿宋_GB2312"/>
          <w:sz w:val="30"/>
          <w:szCs w:val="30"/>
          <w:highlight w:val="none"/>
        </w:rPr>
        <w:t>；</w:t>
      </w:r>
    </w:p>
    <w:p w14:paraId="1D95BC68">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rPr>
        <w:t>资产分类</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1栏</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为“车辆”项下分类时，且浮动行</w:t>
      </w:r>
      <w:r>
        <w:rPr>
          <w:rFonts w:hint="eastAsia" w:ascii="仿宋_GB2312" w:eastAsia="仿宋_GB2312"/>
          <w:sz w:val="30"/>
          <w:szCs w:val="30"/>
          <w:highlight w:val="none"/>
          <w:lang w:val="en-US" w:eastAsia="zh-CN"/>
        </w:rPr>
        <w:t>出租（借）期限-结束</w:t>
      </w:r>
      <w:r>
        <w:rPr>
          <w:rFonts w:hint="eastAsia" w:ascii="仿宋_GB2312" w:eastAsia="仿宋_GB2312"/>
          <w:sz w:val="30"/>
          <w:szCs w:val="30"/>
          <w:highlight w:val="none"/>
        </w:rPr>
        <w:t>日期</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14</w:t>
      </w:r>
      <w:r>
        <w:rPr>
          <w:rFonts w:hint="eastAsia" w:ascii="仿宋_GB2312" w:eastAsia="仿宋_GB2312"/>
          <w:sz w:val="30"/>
          <w:szCs w:val="30"/>
          <w:highlight w:val="none"/>
        </w:rPr>
        <w:t>栏</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大于等于</w:t>
      </w:r>
      <w:r>
        <w:rPr>
          <w:rFonts w:hint="eastAsia" w:ascii="仿宋_GB2312" w:eastAsia="仿宋_GB2312"/>
          <w:sz w:val="30"/>
          <w:szCs w:val="30"/>
          <w:highlight w:val="none"/>
        </w:rPr>
        <w:t>20</w:t>
      </w:r>
      <w:r>
        <w:rPr>
          <w:rFonts w:ascii="仿宋_GB2312" w:eastAsia="仿宋_GB2312"/>
          <w:sz w:val="30"/>
          <w:szCs w:val="30"/>
          <w:highlight w:val="none"/>
        </w:rPr>
        <w:t>2</w:t>
      </w:r>
      <w:r>
        <w:rPr>
          <w:rFonts w:hint="eastAsia" w:ascii="仿宋_GB2312" w:eastAsia="仿宋_GB2312"/>
          <w:sz w:val="30"/>
          <w:szCs w:val="30"/>
          <w:highlight w:val="none"/>
        </w:rPr>
        <w:t>4年12月31日，浮动行出租出借资产价值</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11栏</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之和=财资06车辆情况表浮动行使用状况</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17栏</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为</w:t>
      </w:r>
      <w:r>
        <w:rPr>
          <w:rFonts w:hint="eastAsia" w:ascii="仿宋_GB2312" w:eastAsia="仿宋_GB2312"/>
          <w:sz w:val="30"/>
          <w:szCs w:val="30"/>
          <w:highlight w:val="none"/>
        </w:rPr>
        <w:t>“出租出借”</w:t>
      </w:r>
      <w:r>
        <w:rPr>
          <w:rFonts w:hint="eastAsia" w:ascii="仿宋_GB2312" w:eastAsia="仿宋_GB2312"/>
          <w:sz w:val="30"/>
          <w:szCs w:val="30"/>
          <w:highlight w:val="none"/>
          <w:lang w:val="en-US" w:eastAsia="zh-CN"/>
        </w:rPr>
        <w:t>的期末账面原值（</w:t>
      </w:r>
      <w:r>
        <w:rPr>
          <w:rFonts w:hint="eastAsia" w:ascii="仿宋_GB2312" w:eastAsia="仿宋_GB2312"/>
          <w:sz w:val="30"/>
          <w:szCs w:val="30"/>
          <w:highlight w:val="none"/>
        </w:rPr>
        <w:t>14栏</w:t>
      </w:r>
      <w:r>
        <w:rPr>
          <w:rFonts w:hint="eastAsia" w:ascii="仿宋_GB2312" w:eastAsia="仿宋_GB2312"/>
          <w:sz w:val="30"/>
          <w:szCs w:val="30"/>
          <w:highlight w:val="none"/>
          <w:lang w:val="en-US" w:eastAsia="zh-CN"/>
        </w:rPr>
        <w:t>）</w:t>
      </w:r>
      <w:r>
        <w:rPr>
          <w:rFonts w:hint="eastAsia" w:ascii="仿宋_GB2312" w:eastAsia="仿宋_GB2312"/>
          <w:sz w:val="30"/>
          <w:szCs w:val="30"/>
          <w:highlight w:val="none"/>
        </w:rPr>
        <w:t>合计；</w:t>
      </w:r>
    </w:p>
    <w:p w14:paraId="25839A07">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rPr>
        <w:t>资产分类</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1栏</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为“</w:t>
      </w:r>
      <w:r>
        <w:rPr>
          <w:rFonts w:hint="eastAsia" w:ascii="仿宋_GB2312" w:eastAsia="仿宋_GB2312"/>
          <w:sz w:val="30"/>
          <w:szCs w:val="30"/>
          <w:highlight w:val="none"/>
          <w:lang w:val="en-US" w:eastAsia="zh-CN"/>
        </w:rPr>
        <w:t>车辆</w:t>
      </w:r>
      <w:r>
        <w:rPr>
          <w:rFonts w:hint="eastAsia" w:ascii="仿宋_GB2312" w:eastAsia="仿宋_GB2312"/>
          <w:sz w:val="30"/>
          <w:szCs w:val="30"/>
          <w:highlight w:val="none"/>
        </w:rPr>
        <w:t>”项下分类时，且浮动行</w:t>
      </w:r>
      <w:r>
        <w:rPr>
          <w:rFonts w:hint="eastAsia" w:ascii="仿宋_GB2312" w:eastAsia="仿宋_GB2312"/>
          <w:sz w:val="30"/>
          <w:szCs w:val="30"/>
          <w:highlight w:val="none"/>
          <w:lang w:val="en-US" w:eastAsia="zh-CN"/>
        </w:rPr>
        <w:t>出租（借）期限－结束</w:t>
      </w:r>
      <w:r>
        <w:rPr>
          <w:rFonts w:hint="eastAsia" w:ascii="仿宋_GB2312" w:eastAsia="仿宋_GB2312"/>
          <w:sz w:val="30"/>
          <w:szCs w:val="30"/>
          <w:highlight w:val="none"/>
        </w:rPr>
        <w:t>日期</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14</w:t>
      </w:r>
      <w:r>
        <w:rPr>
          <w:rFonts w:hint="eastAsia" w:ascii="仿宋_GB2312" w:eastAsia="仿宋_GB2312"/>
          <w:sz w:val="30"/>
          <w:szCs w:val="30"/>
          <w:highlight w:val="none"/>
        </w:rPr>
        <w:t>栏</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大于等于</w:t>
      </w:r>
      <w:r>
        <w:rPr>
          <w:rFonts w:hint="eastAsia" w:ascii="仿宋_GB2312" w:eastAsia="仿宋_GB2312"/>
          <w:sz w:val="30"/>
          <w:szCs w:val="30"/>
          <w:highlight w:val="none"/>
        </w:rPr>
        <w:t>20</w:t>
      </w:r>
      <w:r>
        <w:rPr>
          <w:rFonts w:ascii="仿宋_GB2312" w:eastAsia="仿宋_GB2312"/>
          <w:sz w:val="30"/>
          <w:szCs w:val="30"/>
          <w:highlight w:val="none"/>
        </w:rPr>
        <w:t>2</w:t>
      </w:r>
      <w:r>
        <w:rPr>
          <w:rFonts w:hint="eastAsia" w:ascii="仿宋_GB2312" w:eastAsia="仿宋_GB2312"/>
          <w:sz w:val="30"/>
          <w:szCs w:val="30"/>
          <w:highlight w:val="none"/>
        </w:rPr>
        <w:t>4年12月31日，浮动行</w:t>
      </w:r>
      <w:r>
        <w:rPr>
          <w:rFonts w:hint="eastAsia" w:ascii="仿宋_GB2312" w:eastAsia="仿宋_GB2312"/>
          <w:sz w:val="30"/>
          <w:szCs w:val="30"/>
          <w:highlight w:val="none"/>
          <w:lang w:val="en-US" w:eastAsia="zh-CN"/>
        </w:rPr>
        <w:t>出租出借数量/面积（</w:t>
      </w:r>
      <w:r>
        <w:rPr>
          <w:rFonts w:hint="eastAsia" w:ascii="仿宋_GB2312" w:eastAsia="仿宋_GB2312"/>
          <w:sz w:val="30"/>
          <w:szCs w:val="30"/>
          <w:highlight w:val="none"/>
        </w:rPr>
        <w:t>7栏</w:t>
      </w:r>
      <w:r>
        <w:rPr>
          <w:rFonts w:hint="eastAsia" w:ascii="仿宋_GB2312" w:eastAsia="仿宋_GB2312"/>
          <w:sz w:val="30"/>
          <w:szCs w:val="30"/>
          <w:highlight w:val="none"/>
          <w:lang w:val="en-US" w:eastAsia="zh-CN"/>
        </w:rPr>
        <w:t>）之和应等于</w:t>
      </w:r>
      <w:r>
        <w:rPr>
          <w:rFonts w:hint="eastAsia" w:ascii="仿宋_GB2312" w:eastAsia="仿宋_GB2312"/>
          <w:sz w:val="30"/>
          <w:szCs w:val="30"/>
          <w:highlight w:val="none"/>
        </w:rPr>
        <w:t>财资06车辆情况表浮动行使用状况</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17栏</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为</w:t>
      </w:r>
      <w:r>
        <w:rPr>
          <w:rFonts w:hint="eastAsia" w:ascii="仿宋_GB2312" w:eastAsia="仿宋_GB2312"/>
          <w:sz w:val="30"/>
          <w:szCs w:val="30"/>
          <w:highlight w:val="none"/>
        </w:rPr>
        <w:t>“出租出借”</w:t>
      </w:r>
      <w:r>
        <w:rPr>
          <w:rFonts w:hint="eastAsia" w:ascii="仿宋_GB2312" w:eastAsia="仿宋_GB2312"/>
          <w:sz w:val="30"/>
          <w:szCs w:val="30"/>
          <w:highlight w:val="none"/>
          <w:lang w:val="en-US" w:eastAsia="zh-CN"/>
        </w:rPr>
        <w:t>的</w:t>
      </w:r>
      <w:r>
        <w:rPr>
          <w:rFonts w:hint="eastAsia" w:ascii="仿宋_GB2312" w:eastAsia="仿宋_GB2312"/>
          <w:sz w:val="30"/>
          <w:szCs w:val="30"/>
          <w:highlight w:val="none"/>
        </w:rPr>
        <w:t>行数。</w:t>
      </w:r>
    </w:p>
    <w:p w14:paraId="5BC7AC10">
      <w:pPr>
        <w:snapToGrid w:val="0"/>
        <w:spacing w:line="360" w:lineRule="auto"/>
        <w:ind w:left="575" w:leftChars="274"/>
        <w:rPr>
          <w:rFonts w:hint="eastAsia" w:ascii="仿宋_GB2312" w:hAnsi="仿宋" w:eastAsia="仿宋_GB2312"/>
          <w:b/>
          <w:sz w:val="30"/>
          <w:szCs w:val="30"/>
          <w:highlight w:val="none"/>
        </w:rPr>
      </w:pPr>
      <w:r>
        <w:rPr>
          <w:rFonts w:hint="eastAsia" w:ascii="仿宋_GB2312" w:hAnsi="仿宋" w:eastAsia="仿宋_GB2312"/>
          <w:b/>
          <w:sz w:val="30"/>
          <w:szCs w:val="30"/>
          <w:highlight w:val="none"/>
        </w:rPr>
        <w:t>核实性公式：</w:t>
      </w:r>
    </w:p>
    <w:p w14:paraId="0034AD96">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rPr>
        <w:t>浮动行本期实收出租（借）收益</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1</w:t>
      </w:r>
      <w:r>
        <w:rPr>
          <w:rFonts w:ascii="仿宋_GB2312" w:eastAsia="仿宋_GB2312"/>
          <w:sz w:val="30"/>
          <w:szCs w:val="30"/>
          <w:highlight w:val="none"/>
        </w:rPr>
        <w:t>5</w:t>
      </w:r>
      <w:r>
        <w:rPr>
          <w:rFonts w:hint="eastAsia" w:ascii="仿宋_GB2312" w:eastAsia="仿宋_GB2312"/>
          <w:sz w:val="30"/>
          <w:szCs w:val="30"/>
          <w:highlight w:val="none"/>
        </w:rPr>
        <w:t>栏</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等于</w:t>
      </w:r>
      <w:r>
        <w:rPr>
          <w:rFonts w:ascii="仿宋_GB2312" w:eastAsia="仿宋_GB2312"/>
          <w:sz w:val="30"/>
          <w:szCs w:val="30"/>
          <w:highlight w:val="none"/>
        </w:rPr>
        <w:t>0</w:t>
      </w:r>
      <w:r>
        <w:rPr>
          <w:rFonts w:hint="eastAsia" w:ascii="仿宋_GB2312" w:eastAsia="仿宋_GB2312"/>
          <w:sz w:val="30"/>
          <w:szCs w:val="30"/>
          <w:highlight w:val="none"/>
        </w:rPr>
        <w:t>时，提示核实性错误</w:t>
      </w:r>
      <w:r>
        <w:rPr>
          <w:rFonts w:hint="eastAsia" w:ascii="仿宋_GB2312" w:hAnsi="仿宋" w:eastAsia="仿宋_GB2312"/>
          <w:sz w:val="30"/>
          <w:szCs w:val="30"/>
          <w:highlight w:val="none"/>
        </w:rPr>
        <w:t>，需结合实际情况修改或填写情况说明；</w:t>
      </w:r>
    </w:p>
    <w:p w14:paraId="291B19F1">
      <w:pPr>
        <w:numPr>
          <w:ilvl w:val="0"/>
          <w:numId w:val="5"/>
        </w:numPr>
        <w:spacing w:line="360" w:lineRule="auto"/>
        <w:rPr>
          <w:rFonts w:ascii="仿宋_GB2312" w:eastAsia="仿宋_GB2312"/>
          <w:sz w:val="30"/>
          <w:szCs w:val="30"/>
          <w:highlight w:val="none"/>
        </w:rPr>
      </w:pPr>
      <w:r>
        <w:rPr>
          <w:rFonts w:hint="eastAsia" w:ascii="仿宋_GB2312" w:hAnsi="仿宋" w:eastAsia="仿宋_GB2312"/>
          <w:sz w:val="30"/>
          <w:szCs w:val="30"/>
          <w:highlight w:val="none"/>
        </w:rPr>
        <w:t>浮动行</w:t>
      </w:r>
      <w:r>
        <w:rPr>
          <w:rFonts w:hint="eastAsia" w:ascii="仿宋_GB2312" w:eastAsia="仿宋_GB2312"/>
          <w:sz w:val="30"/>
          <w:szCs w:val="30"/>
          <w:highlight w:val="none"/>
        </w:rPr>
        <w:t>资产分类</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1栏</w:t>
      </w:r>
      <w:r>
        <w:rPr>
          <w:rFonts w:hint="eastAsia" w:ascii="仿宋_GB2312" w:eastAsia="仿宋_GB2312"/>
          <w:sz w:val="30"/>
          <w:szCs w:val="30"/>
          <w:highlight w:val="none"/>
          <w:lang w:eastAsia="zh-CN"/>
        </w:rPr>
        <w:t>）</w:t>
      </w:r>
      <w:r>
        <w:rPr>
          <w:rFonts w:hint="eastAsia" w:ascii="仿宋_GB2312" w:hAnsi="仿宋" w:eastAsia="仿宋_GB2312"/>
          <w:sz w:val="30"/>
          <w:szCs w:val="30"/>
          <w:highlight w:val="none"/>
        </w:rPr>
        <w:t>选择为流动资产、在建工程、车辆、其他资产时，提示核实性错误，需结合实际情况修改或填写情况说明；</w:t>
      </w:r>
    </w:p>
    <w:p w14:paraId="6B94D866">
      <w:pPr>
        <w:numPr>
          <w:ilvl w:val="0"/>
          <w:numId w:val="5"/>
        </w:numPr>
        <w:spacing w:line="360" w:lineRule="auto"/>
        <w:rPr>
          <w:rFonts w:ascii="仿宋_GB2312" w:eastAsia="仿宋_GB2312"/>
          <w:sz w:val="30"/>
          <w:szCs w:val="30"/>
          <w:highlight w:val="none"/>
        </w:rPr>
      </w:pPr>
      <w:r>
        <w:rPr>
          <w:rFonts w:hint="eastAsia" w:ascii="仿宋_GB2312" w:hAnsi="仿宋" w:eastAsia="仿宋_GB2312"/>
          <w:sz w:val="30"/>
          <w:szCs w:val="30"/>
          <w:highlight w:val="none"/>
        </w:rPr>
        <w:t>浮动行审批情况</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17栏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选择“未审批”时，提示核实性错误，需结合实际情况修改或填写情况说明。</w:t>
      </w:r>
    </w:p>
    <w:p w14:paraId="0DA13000">
      <w:pPr>
        <w:pStyle w:val="2"/>
        <w:rPr>
          <w:rFonts w:hint="eastAsia"/>
          <w:b/>
          <w:color w:val="auto"/>
          <w:highlight w:val="none"/>
        </w:rPr>
      </w:pPr>
      <w:r>
        <w:rPr>
          <w:rFonts w:hint="eastAsia"/>
          <w:color w:val="auto"/>
          <w:highlight w:val="none"/>
        </w:rPr>
        <w:t>（十一）资产处置情况表（财资</w:t>
      </w:r>
      <w:r>
        <w:rPr>
          <w:color w:val="auto"/>
          <w:highlight w:val="none"/>
        </w:rPr>
        <w:t>10</w:t>
      </w:r>
      <w:r>
        <w:rPr>
          <w:rFonts w:hint="eastAsia"/>
          <w:color w:val="auto"/>
          <w:highlight w:val="none"/>
        </w:rPr>
        <w:t>表）</w:t>
      </w:r>
    </w:p>
    <w:p w14:paraId="0F7669D4">
      <w:pPr>
        <w:pStyle w:val="6"/>
        <w:spacing w:line="360" w:lineRule="auto"/>
        <w:ind w:firstLine="612"/>
        <w:rPr>
          <w:rFonts w:hint="eastAsia" w:hAnsi="仿宋"/>
          <w:sz w:val="30"/>
          <w:szCs w:val="30"/>
          <w:highlight w:val="none"/>
        </w:rPr>
      </w:pPr>
      <w:r>
        <w:rPr>
          <w:rFonts w:hint="eastAsia" w:hAnsi="仿宋"/>
          <w:sz w:val="30"/>
          <w:szCs w:val="30"/>
          <w:highlight w:val="none"/>
        </w:rPr>
        <w:t>本表反映行政事业单位当年账面资产处置</w:t>
      </w:r>
      <w:r>
        <w:rPr>
          <w:rFonts w:hAnsi="仿宋"/>
          <w:sz w:val="30"/>
          <w:szCs w:val="30"/>
          <w:highlight w:val="none"/>
        </w:rPr>
        <w:t>情况</w:t>
      </w:r>
      <w:r>
        <w:rPr>
          <w:rFonts w:hint="eastAsia" w:hAnsi="仿宋"/>
          <w:sz w:val="30"/>
          <w:szCs w:val="30"/>
          <w:highlight w:val="none"/>
        </w:rPr>
        <w:t>。单位在资产模块中执行处置申请并得到批复的，本表从处置执行单取数；单位未在资产模块中执行处置申请的，固定资产、无形资产处置应按处置事项批次补充资产处置申请单、执行单；流动资产、对外投资、在建工程及其他资产</w:t>
      </w:r>
      <w:r>
        <w:rPr>
          <w:rFonts w:hAnsi="仿宋"/>
          <w:sz w:val="30"/>
          <w:szCs w:val="30"/>
          <w:highlight w:val="none"/>
        </w:rPr>
        <w:t>按</w:t>
      </w:r>
      <w:r>
        <w:rPr>
          <w:rFonts w:hint="eastAsia" w:hAnsi="仿宋"/>
          <w:sz w:val="30"/>
          <w:szCs w:val="30"/>
          <w:highlight w:val="none"/>
        </w:rPr>
        <w:t>资产</w:t>
      </w:r>
      <w:r>
        <w:rPr>
          <w:rFonts w:hAnsi="仿宋"/>
          <w:sz w:val="30"/>
          <w:szCs w:val="30"/>
          <w:highlight w:val="none"/>
        </w:rPr>
        <w:t>处置实际情况手工</w:t>
      </w:r>
      <w:r>
        <w:rPr>
          <w:rFonts w:hint="eastAsia" w:hAnsi="仿宋"/>
          <w:sz w:val="30"/>
          <w:szCs w:val="30"/>
          <w:highlight w:val="none"/>
        </w:rPr>
        <w:t>填列。</w:t>
      </w:r>
    </w:p>
    <w:p w14:paraId="1FB42AD8">
      <w:pPr>
        <w:pStyle w:val="6"/>
        <w:spacing w:line="360" w:lineRule="auto"/>
        <w:ind w:firstLine="648" w:firstLineChars="0"/>
        <w:rPr>
          <w:rFonts w:hint="eastAsia" w:hAnsi="仿宋"/>
          <w:b/>
          <w:bCs/>
          <w:sz w:val="30"/>
          <w:szCs w:val="30"/>
          <w:highlight w:val="none"/>
        </w:rPr>
      </w:pPr>
      <w:r>
        <w:rPr>
          <w:rFonts w:hint="eastAsia" w:hAnsi="仿宋"/>
          <w:b/>
          <w:bCs/>
          <w:sz w:val="30"/>
          <w:szCs w:val="30"/>
          <w:highlight w:val="none"/>
        </w:rPr>
        <w:t>主要指标</w:t>
      </w:r>
      <w:r>
        <w:rPr>
          <w:rFonts w:hAnsi="仿宋"/>
          <w:b/>
          <w:bCs/>
          <w:sz w:val="30"/>
          <w:szCs w:val="30"/>
          <w:highlight w:val="none"/>
        </w:rPr>
        <w:t>说明：</w:t>
      </w:r>
    </w:p>
    <w:p w14:paraId="601FB390">
      <w:pPr>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1</w:t>
      </w:r>
      <w:r>
        <w:rPr>
          <w:rFonts w:ascii="仿宋_GB2312" w:hAnsi="仿宋" w:eastAsia="仿宋_GB2312"/>
          <w:sz w:val="30"/>
          <w:szCs w:val="30"/>
          <w:highlight w:val="none"/>
        </w:rPr>
        <w:t>.</w:t>
      </w:r>
      <w:r>
        <w:rPr>
          <w:rFonts w:hint="eastAsia" w:ascii="仿宋_GB2312" w:hAnsi="仿宋" w:eastAsia="仿宋_GB2312"/>
          <w:sz w:val="30"/>
          <w:szCs w:val="30"/>
          <w:highlight w:val="none"/>
        </w:rPr>
        <w:t>处置</w:t>
      </w:r>
      <w:r>
        <w:rPr>
          <w:rFonts w:ascii="仿宋_GB2312" w:hAnsi="仿宋" w:eastAsia="仿宋_GB2312"/>
          <w:sz w:val="30"/>
          <w:szCs w:val="30"/>
          <w:highlight w:val="none"/>
        </w:rPr>
        <w:t>事项名称</w:t>
      </w:r>
      <w:r>
        <w:rPr>
          <w:rFonts w:hint="eastAsia" w:ascii="仿宋_GB2312" w:hAnsi="仿宋" w:eastAsia="仿宋_GB2312"/>
          <w:sz w:val="30"/>
          <w:szCs w:val="30"/>
          <w:highlight w:val="none"/>
        </w:rPr>
        <w:t>：反映该批次</w:t>
      </w:r>
      <w:r>
        <w:rPr>
          <w:rFonts w:ascii="仿宋_GB2312" w:hAnsi="仿宋" w:eastAsia="仿宋_GB2312"/>
          <w:sz w:val="30"/>
          <w:szCs w:val="30"/>
          <w:highlight w:val="none"/>
        </w:rPr>
        <w:t>资产处置</w:t>
      </w:r>
      <w:r>
        <w:rPr>
          <w:rFonts w:hint="eastAsia" w:ascii="仿宋_GB2312" w:hAnsi="仿宋" w:eastAsia="仿宋_GB2312"/>
          <w:sz w:val="30"/>
          <w:szCs w:val="30"/>
          <w:highlight w:val="none"/>
        </w:rPr>
        <w:t>事项</w:t>
      </w:r>
      <w:r>
        <w:rPr>
          <w:rFonts w:ascii="仿宋_GB2312" w:hAnsi="仿宋" w:eastAsia="仿宋_GB2312"/>
          <w:sz w:val="30"/>
          <w:szCs w:val="30"/>
          <w:highlight w:val="none"/>
        </w:rPr>
        <w:t>的总体情况</w:t>
      </w:r>
      <w:r>
        <w:rPr>
          <w:rFonts w:hint="eastAsia" w:ascii="仿宋_GB2312" w:hAnsi="仿宋" w:eastAsia="仿宋_GB2312"/>
          <w:sz w:val="30"/>
          <w:szCs w:val="30"/>
          <w:highlight w:val="none"/>
        </w:rPr>
        <w:t>。</w:t>
      </w:r>
    </w:p>
    <w:p w14:paraId="72BEB824">
      <w:pPr>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2</w:t>
      </w:r>
      <w:r>
        <w:rPr>
          <w:rFonts w:ascii="仿宋_GB2312" w:hAnsi="仿宋" w:eastAsia="仿宋_GB2312"/>
          <w:sz w:val="30"/>
          <w:szCs w:val="30"/>
          <w:highlight w:val="none"/>
        </w:rPr>
        <w:t>.原值：填列</w:t>
      </w:r>
      <w:r>
        <w:rPr>
          <w:rFonts w:hint="eastAsia" w:ascii="仿宋_GB2312" w:hAnsi="仿宋" w:eastAsia="仿宋_GB2312"/>
          <w:sz w:val="30"/>
          <w:szCs w:val="30"/>
          <w:highlight w:val="none"/>
        </w:rPr>
        <w:t>该批次处置各类</w:t>
      </w:r>
      <w:r>
        <w:rPr>
          <w:rFonts w:ascii="仿宋_GB2312" w:hAnsi="仿宋" w:eastAsia="仿宋_GB2312"/>
          <w:sz w:val="30"/>
          <w:szCs w:val="30"/>
          <w:highlight w:val="none"/>
        </w:rPr>
        <w:t>资产的账面原值总额。</w:t>
      </w:r>
    </w:p>
    <w:p w14:paraId="6F2C536C">
      <w:pPr>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3</w:t>
      </w:r>
      <w:r>
        <w:rPr>
          <w:rFonts w:ascii="仿宋_GB2312" w:hAnsi="仿宋" w:eastAsia="仿宋_GB2312"/>
          <w:sz w:val="30"/>
          <w:szCs w:val="30"/>
          <w:highlight w:val="none"/>
        </w:rPr>
        <w:t>.</w:t>
      </w:r>
      <w:r>
        <w:rPr>
          <w:rFonts w:hint="eastAsia" w:ascii="仿宋_GB2312" w:hAnsi="仿宋" w:eastAsia="仿宋_GB2312"/>
          <w:sz w:val="30"/>
          <w:szCs w:val="30"/>
          <w:highlight w:val="none"/>
        </w:rPr>
        <w:t>净值：</w:t>
      </w:r>
      <w:r>
        <w:rPr>
          <w:rFonts w:ascii="仿宋_GB2312" w:hAnsi="仿宋" w:eastAsia="仿宋_GB2312"/>
          <w:sz w:val="30"/>
          <w:szCs w:val="30"/>
          <w:highlight w:val="none"/>
        </w:rPr>
        <w:t>填列</w:t>
      </w:r>
      <w:r>
        <w:rPr>
          <w:rFonts w:hint="eastAsia" w:ascii="仿宋_GB2312" w:hAnsi="仿宋" w:eastAsia="仿宋_GB2312"/>
          <w:sz w:val="30"/>
          <w:szCs w:val="30"/>
          <w:highlight w:val="none"/>
        </w:rPr>
        <w:t>该批次处置各类</w:t>
      </w:r>
      <w:r>
        <w:rPr>
          <w:rFonts w:ascii="仿宋_GB2312" w:hAnsi="仿宋" w:eastAsia="仿宋_GB2312"/>
          <w:sz w:val="30"/>
          <w:szCs w:val="30"/>
          <w:highlight w:val="none"/>
        </w:rPr>
        <w:t>资产的账面</w:t>
      </w:r>
      <w:r>
        <w:rPr>
          <w:rFonts w:hint="eastAsia" w:ascii="仿宋_GB2312" w:hAnsi="仿宋" w:eastAsia="仿宋_GB2312"/>
          <w:sz w:val="30"/>
          <w:szCs w:val="30"/>
          <w:highlight w:val="none"/>
        </w:rPr>
        <w:t>净</w:t>
      </w:r>
      <w:r>
        <w:rPr>
          <w:rFonts w:ascii="仿宋_GB2312" w:hAnsi="仿宋" w:eastAsia="仿宋_GB2312"/>
          <w:sz w:val="30"/>
          <w:szCs w:val="30"/>
          <w:highlight w:val="none"/>
        </w:rPr>
        <w:t>值总额</w:t>
      </w:r>
      <w:r>
        <w:rPr>
          <w:rFonts w:hint="eastAsia" w:ascii="仿宋_GB2312" w:hAnsi="仿宋" w:eastAsia="仿宋_GB2312"/>
          <w:sz w:val="30"/>
          <w:szCs w:val="30"/>
          <w:highlight w:val="none"/>
        </w:rPr>
        <w:t>。</w:t>
      </w:r>
    </w:p>
    <w:p w14:paraId="0AD081E2">
      <w:pPr>
        <w:spacing w:line="360" w:lineRule="auto"/>
        <w:ind w:firstLine="600" w:firstLineChars="200"/>
        <w:rPr>
          <w:rFonts w:hint="eastAsia" w:ascii="仿宋_GB2312" w:hAnsi="仿宋" w:eastAsia="仿宋_GB2312"/>
          <w:spacing w:val="6"/>
          <w:sz w:val="30"/>
          <w:szCs w:val="30"/>
          <w:highlight w:val="none"/>
        </w:rPr>
      </w:pPr>
      <w:r>
        <w:rPr>
          <w:rFonts w:hint="eastAsia" w:ascii="仿宋_GB2312" w:hAnsi="仿宋" w:eastAsia="仿宋_GB2312"/>
          <w:sz w:val="30"/>
          <w:szCs w:val="30"/>
          <w:highlight w:val="none"/>
        </w:rPr>
        <w:t>4</w:t>
      </w:r>
      <w:r>
        <w:rPr>
          <w:rFonts w:ascii="仿宋_GB2312" w:hAnsi="仿宋" w:eastAsia="仿宋_GB2312"/>
          <w:sz w:val="30"/>
          <w:szCs w:val="30"/>
          <w:highlight w:val="none"/>
        </w:rPr>
        <w:t>.</w:t>
      </w:r>
      <w:r>
        <w:rPr>
          <w:rFonts w:hint="eastAsia" w:ascii="仿宋_GB2312" w:hAnsi="仿宋" w:eastAsia="仿宋_GB2312"/>
          <w:sz w:val="30"/>
          <w:szCs w:val="30"/>
          <w:highlight w:val="none"/>
        </w:rPr>
        <w:t>数量：</w:t>
      </w:r>
      <w:r>
        <w:rPr>
          <w:rFonts w:hint="eastAsia" w:ascii="仿宋_GB2312" w:hAnsi="仿宋" w:eastAsia="仿宋_GB2312"/>
          <w:spacing w:val="6"/>
          <w:sz w:val="30"/>
          <w:szCs w:val="30"/>
          <w:highlight w:val="none"/>
        </w:rPr>
        <w:t>处置房屋及土地使用权按实际处置的面积填列。处置设备、文物和陈列品、图书和档案、家具和用具、特种动植物、专利、非专利技术、计算机软件及其他无形资产按实际处置的数量填列。</w:t>
      </w:r>
    </w:p>
    <w:p w14:paraId="4A7D0362">
      <w:pPr>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5</w:t>
      </w:r>
      <w:r>
        <w:rPr>
          <w:rFonts w:ascii="仿宋_GB2312" w:hAnsi="仿宋" w:eastAsia="仿宋_GB2312"/>
          <w:sz w:val="30"/>
          <w:szCs w:val="30"/>
          <w:highlight w:val="none"/>
        </w:rPr>
        <w:t>.</w:t>
      </w:r>
      <w:r>
        <w:rPr>
          <w:rFonts w:hint="eastAsia" w:ascii="仿宋_GB2312" w:hAnsi="仿宋" w:eastAsia="仿宋_GB2312"/>
          <w:sz w:val="30"/>
          <w:szCs w:val="30"/>
          <w:highlight w:val="none"/>
        </w:rPr>
        <w:t>处置形式</w:t>
      </w:r>
      <w:r>
        <w:rPr>
          <w:rFonts w:ascii="仿宋_GB2312" w:hAnsi="仿宋" w:eastAsia="仿宋_GB2312"/>
          <w:sz w:val="30"/>
          <w:szCs w:val="30"/>
          <w:highlight w:val="none"/>
        </w:rPr>
        <w:t>：</w:t>
      </w:r>
      <w:r>
        <w:rPr>
          <w:rFonts w:hint="eastAsia" w:ascii="仿宋_GB2312" w:hAnsi="仿宋" w:eastAsia="仿宋_GB2312"/>
          <w:sz w:val="30"/>
          <w:szCs w:val="30"/>
          <w:highlight w:val="none"/>
        </w:rPr>
        <w:t>按照转让、无偿划转、对外捐赠、置换、报废、损失核销、其他选择</w:t>
      </w:r>
      <w:r>
        <w:rPr>
          <w:rFonts w:ascii="仿宋_GB2312" w:hAnsi="仿宋" w:eastAsia="仿宋_GB2312"/>
          <w:sz w:val="30"/>
          <w:szCs w:val="30"/>
          <w:highlight w:val="none"/>
        </w:rPr>
        <w:t>填列。</w:t>
      </w:r>
    </w:p>
    <w:p w14:paraId="64FDFD89">
      <w:pPr>
        <w:spacing w:line="360" w:lineRule="auto"/>
        <w:ind w:firstLine="600" w:firstLineChars="200"/>
        <w:rPr>
          <w:rFonts w:hint="eastAsia" w:ascii="仿宋_GB2312" w:hAnsi="仿宋" w:eastAsia="仿宋_GB2312"/>
          <w:sz w:val="30"/>
          <w:szCs w:val="30"/>
          <w:highlight w:val="none"/>
        </w:rPr>
      </w:pPr>
      <w:r>
        <w:rPr>
          <w:rFonts w:ascii="仿宋_GB2312" w:hAnsi="仿宋" w:eastAsia="仿宋_GB2312"/>
          <w:sz w:val="30"/>
          <w:szCs w:val="30"/>
          <w:highlight w:val="none"/>
        </w:rPr>
        <w:t>6.</w:t>
      </w:r>
      <w:r>
        <w:rPr>
          <w:rFonts w:hint="eastAsia" w:ascii="仿宋_GB2312" w:hAnsi="仿宋" w:eastAsia="仿宋_GB2312"/>
          <w:sz w:val="30"/>
          <w:szCs w:val="30"/>
          <w:highlight w:val="none"/>
        </w:rPr>
        <w:t>审批情况：按财政部门审批、</w:t>
      </w:r>
      <w:r>
        <w:rPr>
          <w:rFonts w:hint="eastAsia" w:ascii="仿宋_GB2312" w:hAnsi="仿宋" w:eastAsia="仿宋_GB2312"/>
          <w:spacing w:val="6"/>
          <w:sz w:val="30"/>
          <w:szCs w:val="30"/>
          <w:highlight w:val="none"/>
        </w:rPr>
        <w:t>机关事务管理部门审批、</w:t>
      </w:r>
      <w:r>
        <w:rPr>
          <w:rFonts w:hint="eastAsia" w:ascii="仿宋_GB2312" w:hAnsi="仿宋" w:eastAsia="仿宋_GB2312"/>
          <w:sz w:val="30"/>
          <w:szCs w:val="30"/>
          <w:highlight w:val="none"/>
        </w:rPr>
        <w:t>主管部门审批、单位内部审批、未审批选择填列。</w:t>
      </w:r>
    </w:p>
    <w:p w14:paraId="62998DD5">
      <w:pPr>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7</w:t>
      </w:r>
      <w:r>
        <w:rPr>
          <w:rFonts w:ascii="仿宋_GB2312" w:hAnsi="仿宋" w:eastAsia="仿宋_GB2312"/>
          <w:sz w:val="30"/>
          <w:szCs w:val="30"/>
          <w:highlight w:val="none"/>
        </w:rPr>
        <w:t>.</w:t>
      </w:r>
      <w:r>
        <w:rPr>
          <w:rFonts w:hint="eastAsia" w:ascii="仿宋_GB2312" w:hAnsi="仿宋" w:eastAsia="仿宋_GB2312"/>
          <w:sz w:val="30"/>
          <w:szCs w:val="30"/>
          <w:highlight w:val="none"/>
        </w:rPr>
        <w:t>本期实收资产处置收益</w:t>
      </w:r>
      <w:r>
        <w:rPr>
          <w:rFonts w:ascii="仿宋_GB2312" w:hAnsi="仿宋" w:eastAsia="仿宋_GB2312"/>
          <w:sz w:val="30"/>
          <w:szCs w:val="30"/>
          <w:highlight w:val="none"/>
        </w:rPr>
        <w:t>：</w:t>
      </w:r>
      <w:r>
        <w:rPr>
          <w:rFonts w:hint="eastAsia" w:ascii="仿宋_GB2312" w:hAnsi="仿宋" w:eastAsia="仿宋_GB2312"/>
          <w:sz w:val="30"/>
          <w:szCs w:val="30"/>
          <w:highlight w:val="none"/>
        </w:rPr>
        <w:t>填列本期实际收到的</w:t>
      </w:r>
      <w:r>
        <w:rPr>
          <w:rFonts w:ascii="仿宋_GB2312" w:hAnsi="仿宋" w:eastAsia="仿宋_GB2312"/>
          <w:sz w:val="30"/>
          <w:szCs w:val="30"/>
          <w:highlight w:val="none"/>
        </w:rPr>
        <w:t>扣除</w:t>
      </w:r>
      <w:r>
        <w:rPr>
          <w:rFonts w:hint="eastAsia" w:ascii="仿宋_GB2312" w:hAnsi="仿宋" w:eastAsia="仿宋_GB2312"/>
          <w:sz w:val="30"/>
          <w:szCs w:val="30"/>
          <w:highlight w:val="none"/>
        </w:rPr>
        <w:t>相关</w:t>
      </w:r>
      <w:r>
        <w:rPr>
          <w:rFonts w:ascii="仿宋_GB2312" w:hAnsi="仿宋" w:eastAsia="仿宋_GB2312"/>
          <w:sz w:val="30"/>
          <w:szCs w:val="30"/>
          <w:highlight w:val="none"/>
        </w:rPr>
        <w:t>税费、</w:t>
      </w:r>
      <w:r>
        <w:rPr>
          <w:rFonts w:hint="eastAsia" w:ascii="仿宋_GB2312" w:hAnsi="仿宋" w:eastAsia="仿宋_GB2312"/>
          <w:sz w:val="30"/>
          <w:szCs w:val="30"/>
          <w:highlight w:val="none"/>
        </w:rPr>
        <w:t>手续费</w:t>
      </w:r>
      <w:r>
        <w:rPr>
          <w:rFonts w:ascii="仿宋_GB2312" w:hAnsi="仿宋" w:eastAsia="仿宋_GB2312"/>
          <w:sz w:val="30"/>
          <w:szCs w:val="30"/>
          <w:highlight w:val="none"/>
        </w:rPr>
        <w:t>等的处置</w:t>
      </w:r>
      <w:r>
        <w:rPr>
          <w:rFonts w:hint="eastAsia" w:ascii="仿宋_GB2312" w:hAnsi="仿宋" w:eastAsia="仿宋_GB2312"/>
          <w:sz w:val="30"/>
          <w:szCs w:val="30"/>
          <w:highlight w:val="none"/>
        </w:rPr>
        <w:t>净收益</w:t>
      </w:r>
      <w:r>
        <w:rPr>
          <w:rFonts w:ascii="仿宋_GB2312" w:hAnsi="仿宋" w:eastAsia="仿宋_GB2312"/>
          <w:sz w:val="30"/>
          <w:szCs w:val="30"/>
          <w:highlight w:val="none"/>
        </w:rPr>
        <w:t>。</w:t>
      </w:r>
    </w:p>
    <w:p w14:paraId="69A46089">
      <w:pPr>
        <w:pStyle w:val="6"/>
        <w:spacing w:line="360" w:lineRule="auto"/>
        <w:ind w:firstLine="612"/>
        <w:rPr>
          <w:rFonts w:hint="eastAsia" w:hAnsi="仿宋"/>
          <w:sz w:val="30"/>
          <w:szCs w:val="30"/>
          <w:highlight w:val="none"/>
        </w:rPr>
      </w:pPr>
      <w:r>
        <w:rPr>
          <w:rFonts w:hint="eastAsia" w:hAnsi="仿宋"/>
          <w:sz w:val="30"/>
          <w:szCs w:val="30"/>
          <w:highlight w:val="none"/>
        </w:rPr>
        <w:t>8</w:t>
      </w:r>
      <w:r>
        <w:rPr>
          <w:rFonts w:hAnsi="仿宋"/>
          <w:sz w:val="30"/>
          <w:szCs w:val="30"/>
          <w:highlight w:val="none"/>
        </w:rPr>
        <w:t>.</w:t>
      </w:r>
      <w:r>
        <w:rPr>
          <w:rFonts w:hint="eastAsia" w:hAnsi="仿宋"/>
          <w:sz w:val="30"/>
          <w:szCs w:val="30"/>
          <w:highlight w:val="none"/>
        </w:rPr>
        <w:t>往期处置事项收益情况：反映报表年度收到往年处置收益，仅填写</w:t>
      </w:r>
      <w:r>
        <w:rPr>
          <w:rFonts w:hAnsi="仿宋"/>
          <w:sz w:val="30"/>
          <w:szCs w:val="30"/>
          <w:highlight w:val="none"/>
        </w:rPr>
        <w:t>5</w:t>
      </w:r>
      <w:r>
        <w:rPr>
          <w:rFonts w:hint="eastAsia" w:hAnsi="仿宋"/>
          <w:sz w:val="30"/>
          <w:szCs w:val="30"/>
          <w:highlight w:val="none"/>
        </w:rPr>
        <w:t>6栏本期实收处置收益。</w:t>
      </w:r>
    </w:p>
    <w:p w14:paraId="486304A9">
      <w:pPr>
        <w:pStyle w:val="6"/>
        <w:spacing w:line="360" w:lineRule="auto"/>
        <w:ind w:firstLine="612"/>
        <w:rPr>
          <w:rFonts w:hint="eastAsia" w:hAnsi="仿宋"/>
          <w:sz w:val="30"/>
          <w:szCs w:val="30"/>
          <w:highlight w:val="none"/>
        </w:rPr>
      </w:pPr>
      <w:r>
        <w:rPr>
          <w:rFonts w:hint="eastAsia" w:hAnsi="仿宋"/>
          <w:sz w:val="30"/>
          <w:szCs w:val="30"/>
          <w:highlight w:val="none"/>
        </w:rPr>
        <w:t>9.其他资产：反映除固定资产、无形资产、流动资产、对外投资、在建工程之外的资产处置情况。</w:t>
      </w:r>
    </w:p>
    <w:p w14:paraId="069832C0">
      <w:pPr>
        <w:spacing w:line="360" w:lineRule="auto"/>
        <w:ind w:firstLine="602" w:firstLineChars="200"/>
        <w:rPr>
          <w:rFonts w:hint="eastAsia" w:ascii="仿宋_GB2312" w:hAnsi="仿宋" w:eastAsia="仿宋_GB2312"/>
          <w:b/>
          <w:sz w:val="30"/>
          <w:szCs w:val="30"/>
          <w:highlight w:val="none"/>
        </w:rPr>
      </w:pPr>
      <w:r>
        <w:rPr>
          <w:rFonts w:hint="eastAsia" w:ascii="仿宋_GB2312" w:hAnsi="仿宋" w:eastAsia="仿宋_GB2312"/>
          <w:b/>
          <w:sz w:val="30"/>
          <w:szCs w:val="30"/>
          <w:highlight w:val="none"/>
        </w:rPr>
        <w:t>逻辑性审核</w:t>
      </w:r>
      <w:r>
        <w:rPr>
          <w:rFonts w:ascii="仿宋_GB2312" w:hAnsi="仿宋" w:eastAsia="仿宋_GB2312"/>
          <w:b/>
          <w:sz w:val="30"/>
          <w:szCs w:val="30"/>
          <w:highlight w:val="none"/>
        </w:rPr>
        <w:t>公式：</w:t>
      </w:r>
    </w:p>
    <w:p w14:paraId="36807509">
      <w:pPr>
        <w:spacing w:line="360" w:lineRule="auto"/>
        <w:ind w:firstLine="602" w:firstLineChars="200"/>
        <w:rPr>
          <w:rFonts w:hint="eastAsia" w:ascii="仿宋_GB2312" w:hAnsi="仿宋" w:eastAsia="仿宋_GB2312"/>
          <w:b/>
          <w:sz w:val="30"/>
          <w:szCs w:val="30"/>
          <w:highlight w:val="none"/>
        </w:rPr>
      </w:pPr>
      <w:r>
        <w:rPr>
          <w:rFonts w:hint="eastAsia" w:ascii="仿宋_GB2312" w:hAnsi="仿宋" w:eastAsia="仿宋_GB2312"/>
          <w:b/>
          <w:sz w:val="30"/>
          <w:szCs w:val="30"/>
          <w:highlight w:val="none"/>
        </w:rPr>
        <w:t>表内公式：</w:t>
      </w:r>
    </w:p>
    <w:p w14:paraId="329961B2">
      <w:pPr>
        <w:numPr>
          <w:ilvl w:val="0"/>
          <w:numId w:val="5"/>
        </w:numPr>
        <w:spacing w:line="360" w:lineRule="auto"/>
        <w:rPr>
          <w:rFonts w:ascii="仿宋_GB2312" w:eastAsia="仿宋_GB2312"/>
          <w:sz w:val="30"/>
          <w:szCs w:val="30"/>
          <w:highlight w:val="none"/>
        </w:rPr>
      </w:pPr>
      <w:bookmarkStart w:id="13" w:name="_Hlk525824564"/>
      <w:r>
        <w:rPr>
          <w:rFonts w:hint="eastAsia" w:ascii="仿宋_GB2312" w:eastAsia="仿宋_GB2312"/>
          <w:sz w:val="30"/>
          <w:szCs w:val="30"/>
          <w:highlight w:val="none"/>
        </w:rPr>
        <w:t>各</w:t>
      </w:r>
      <w:r>
        <w:rPr>
          <w:rFonts w:ascii="仿宋_GB2312" w:eastAsia="仿宋_GB2312"/>
          <w:sz w:val="30"/>
          <w:szCs w:val="30"/>
          <w:highlight w:val="none"/>
        </w:rPr>
        <w:t>浮动行</w:t>
      </w:r>
      <w:r>
        <w:rPr>
          <w:rFonts w:hint="eastAsia" w:ascii="仿宋_GB2312" w:eastAsia="仿宋_GB2312"/>
          <w:sz w:val="30"/>
          <w:szCs w:val="30"/>
          <w:highlight w:val="none"/>
          <w:lang w:val="en-US" w:eastAsia="zh-CN"/>
        </w:rPr>
        <w:t>处置事项名称、处置形式、原值合计（1</w:t>
      </w:r>
      <w:r>
        <w:rPr>
          <w:rFonts w:hint="eastAsia" w:ascii="仿宋_GB2312" w:eastAsia="仿宋_GB2312"/>
          <w:sz w:val="30"/>
          <w:szCs w:val="30"/>
          <w:highlight w:val="none"/>
        </w:rPr>
        <w:t>~</w:t>
      </w:r>
      <w:r>
        <w:rPr>
          <w:rFonts w:hint="eastAsia" w:ascii="仿宋_GB2312" w:eastAsia="仿宋_GB2312"/>
          <w:sz w:val="30"/>
          <w:szCs w:val="30"/>
          <w:highlight w:val="none"/>
          <w:lang w:val="en-US" w:eastAsia="zh-CN"/>
        </w:rPr>
        <w:t>3</w:t>
      </w:r>
      <w:r>
        <w:rPr>
          <w:rFonts w:hint="eastAsia" w:ascii="仿宋_GB2312" w:eastAsia="仿宋_GB2312"/>
          <w:sz w:val="30"/>
          <w:szCs w:val="30"/>
          <w:highlight w:val="none"/>
        </w:rPr>
        <w:t>栏</w:t>
      </w:r>
      <w:r>
        <w:rPr>
          <w:rFonts w:hint="eastAsia" w:ascii="仿宋_GB2312" w:eastAsia="仿宋_GB2312"/>
          <w:sz w:val="30"/>
          <w:szCs w:val="30"/>
          <w:highlight w:val="none"/>
          <w:lang w:val="en-US" w:eastAsia="zh-CN"/>
        </w:rPr>
        <w:t>）</w:t>
      </w:r>
      <w:r>
        <w:rPr>
          <w:rFonts w:ascii="仿宋_GB2312" w:eastAsia="仿宋_GB2312"/>
          <w:sz w:val="30"/>
          <w:szCs w:val="30"/>
          <w:highlight w:val="none"/>
        </w:rPr>
        <w:t>不能为空</w:t>
      </w:r>
      <w:bookmarkEnd w:id="13"/>
      <w:r>
        <w:rPr>
          <w:rFonts w:ascii="仿宋_GB2312" w:eastAsia="仿宋_GB2312"/>
          <w:sz w:val="30"/>
          <w:szCs w:val="30"/>
          <w:highlight w:val="none"/>
        </w:rPr>
        <w:t>；</w:t>
      </w:r>
    </w:p>
    <w:p w14:paraId="79102B71">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rPr>
        <w:t>当处置形式</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2栏</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为“报废”时，土地使用权</w:t>
      </w:r>
      <w:r>
        <w:rPr>
          <w:rFonts w:hint="eastAsia" w:ascii="仿宋_GB2312" w:eastAsia="仿宋_GB2312"/>
          <w:sz w:val="30"/>
          <w:szCs w:val="30"/>
          <w:highlight w:val="none"/>
          <w:lang w:val="en-US" w:eastAsia="zh-CN"/>
        </w:rPr>
        <w:t>的面积、原值、净值（</w:t>
      </w:r>
      <w:r>
        <w:rPr>
          <w:rFonts w:hint="eastAsia" w:ascii="仿宋_GB2312" w:eastAsia="仿宋_GB2312"/>
          <w:sz w:val="30"/>
          <w:szCs w:val="30"/>
          <w:highlight w:val="none"/>
        </w:rPr>
        <w:t>42~44栏</w:t>
      </w:r>
      <w:r>
        <w:rPr>
          <w:rFonts w:hint="eastAsia" w:ascii="仿宋_GB2312" w:eastAsia="仿宋_GB2312"/>
          <w:sz w:val="30"/>
          <w:szCs w:val="30"/>
          <w:highlight w:val="none"/>
          <w:lang w:val="en-US" w:eastAsia="zh-CN"/>
        </w:rPr>
        <w:t>）</w:t>
      </w:r>
      <w:r>
        <w:rPr>
          <w:rFonts w:hint="eastAsia" w:ascii="仿宋_GB2312" w:eastAsia="仿宋_GB2312"/>
          <w:sz w:val="30"/>
          <w:szCs w:val="30"/>
          <w:highlight w:val="none"/>
        </w:rPr>
        <w:t>必须为空；</w:t>
      </w:r>
    </w:p>
    <w:p w14:paraId="54D86588">
      <w:pPr>
        <w:numPr>
          <w:ilvl w:val="0"/>
          <w:numId w:val="5"/>
        </w:numPr>
        <w:spacing w:line="360" w:lineRule="auto"/>
        <w:jc w:val="left"/>
        <w:rPr>
          <w:rFonts w:ascii="仿宋_GB2312" w:eastAsia="仿宋_GB2312"/>
          <w:sz w:val="30"/>
          <w:szCs w:val="30"/>
          <w:highlight w:val="none"/>
        </w:rPr>
      </w:pPr>
      <w:r>
        <w:rPr>
          <w:rFonts w:hint="eastAsia" w:ascii="仿宋_GB2312" w:eastAsia="仿宋_GB2312"/>
          <w:sz w:val="30"/>
          <w:szCs w:val="30"/>
          <w:highlight w:val="none"/>
        </w:rPr>
        <w:t>浮动行原值合计</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4栏</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大于</w:t>
      </w:r>
      <w:r>
        <w:rPr>
          <w:rFonts w:hint="eastAsia" w:ascii="仿宋_GB2312" w:eastAsia="仿宋_GB2312"/>
          <w:sz w:val="30"/>
          <w:szCs w:val="30"/>
          <w:highlight w:val="none"/>
        </w:rPr>
        <w:t>0；</w:t>
      </w:r>
    </w:p>
    <w:p w14:paraId="18CCCA2C">
      <w:pPr>
        <w:numPr>
          <w:ilvl w:val="0"/>
          <w:numId w:val="5"/>
        </w:numPr>
        <w:spacing w:line="360" w:lineRule="auto"/>
        <w:jc w:val="left"/>
        <w:rPr>
          <w:rFonts w:ascii="仿宋_GB2312" w:eastAsia="仿宋_GB2312"/>
          <w:sz w:val="30"/>
          <w:szCs w:val="30"/>
          <w:highlight w:val="none"/>
        </w:rPr>
      </w:pPr>
      <w:r>
        <w:rPr>
          <w:rFonts w:hint="eastAsia" w:ascii="仿宋_GB2312" w:eastAsia="仿宋_GB2312"/>
          <w:sz w:val="30"/>
          <w:szCs w:val="30"/>
          <w:highlight w:val="none"/>
        </w:rPr>
        <w:t>原值合计</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4栏</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等于流动资产原值（5栏）、固定资产小计原值（6栏）、无形资产小计原值（34栏）、长期投资小计原值（51栏）、在建工程小计原值（54栏）、其他资产小计原值（55栏）之和</w:t>
      </w:r>
      <w:r>
        <w:rPr>
          <w:rFonts w:ascii="仿宋_GB2312" w:eastAsia="仿宋_GB2312"/>
          <w:sz w:val="30"/>
          <w:szCs w:val="30"/>
          <w:highlight w:val="none"/>
        </w:rPr>
        <w:t>；</w:t>
      </w:r>
    </w:p>
    <w:p w14:paraId="649C1990">
      <w:pPr>
        <w:numPr>
          <w:ilvl w:val="0"/>
          <w:numId w:val="5"/>
        </w:numPr>
        <w:spacing w:line="360" w:lineRule="auto"/>
        <w:jc w:val="left"/>
        <w:rPr>
          <w:rFonts w:ascii="仿宋_GB2312" w:eastAsia="仿宋_GB2312"/>
          <w:sz w:val="30"/>
          <w:szCs w:val="30"/>
          <w:highlight w:val="none"/>
        </w:rPr>
      </w:pPr>
      <w:r>
        <w:rPr>
          <w:rFonts w:hint="eastAsia" w:ascii="仿宋_GB2312" w:eastAsia="仿宋_GB2312"/>
          <w:sz w:val="30"/>
          <w:szCs w:val="30"/>
          <w:highlight w:val="none"/>
          <w:lang w:val="en-US" w:eastAsia="zh-CN"/>
        </w:rPr>
        <w:t>固定资产小计原值（6栏）等于房屋和构筑物原值（8栏）、设备小计原值（14栏）、文物和陈列品原值（23栏）、图书和档案原值（26栏）、家具和用具原值（29栏）、特种动植物原值（32栏）之和</w:t>
      </w:r>
      <w:r>
        <w:rPr>
          <w:rFonts w:ascii="仿宋_GB2312" w:eastAsia="仿宋_GB2312"/>
          <w:sz w:val="30"/>
          <w:szCs w:val="30"/>
          <w:highlight w:val="none"/>
        </w:rPr>
        <w:t>；</w:t>
      </w:r>
    </w:p>
    <w:p w14:paraId="3E8663E3">
      <w:pPr>
        <w:numPr>
          <w:ilvl w:val="0"/>
          <w:numId w:val="5"/>
        </w:numPr>
        <w:spacing w:line="360" w:lineRule="auto"/>
        <w:jc w:val="left"/>
        <w:rPr>
          <w:rFonts w:ascii="仿宋_GB2312" w:eastAsia="仿宋_GB2312"/>
          <w:sz w:val="30"/>
          <w:szCs w:val="30"/>
          <w:highlight w:val="none"/>
        </w:rPr>
      </w:pPr>
      <w:r>
        <w:rPr>
          <w:rFonts w:hint="eastAsia" w:ascii="仿宋_GB2312" w:eastAsia="仿宋_GB2312"/>
          <w:sz w:val="30"/>
          <w:szCs w:val="30"/>
          <w:highlight w:val="none"/>
          <w:lang w:val="en-US" w:eastAsia="zh-CN"/>
        </w:rPr>
        <w:t>固定资产小计净值（7栏）等于房屋和构筑物净值（9栏）、设备小计净值（15栏）、文物和陈列品净值（24栏）、图书和档案净值（27栏）、家具和用具净值（30栏）、特种动植物净值（33栏）之和</w:t>
      </w:r>
      <w:r>
        <w:rPr>
          <w:rFonts w:ascii="仿宋_GB2312" w:eastAsia="仿宋_GB2312"/>
          <w:sz w:val="30"/>
          <w:szCs w:val="30"/>
          <w:highlight w:val="none"/>
        </w:rPr>
        <w:t>；</w:t>
      </w:r>
    </w:p>
    <w:p w14:paraId="7E2FF80E">
      <w:pPr>
        <w:numPr>
          <w:ilvl w:val="0"/>
          <w:numId w:val="5"/>
        </w:numPr>
        <w:spacing w:line="360" w:lineRule="auto"/>
        <w:jc w:val="left"/>
        <w:rPr>
          <w:rFonts w:ascii="仿宋_GB2312" w:eastAsia="仿宋_GB2312"/>
          <w:sz w:val="30"/>
          <w:szCs w:val="30"/>
          <w:highlight w:val="none"/>
        </w:rPr>
      </w:pPr>
      <w:r>
        <w:rPr>
          <w:rFonts w:hint="eastAsia" w:ascii="仿宋_GB2312" w:eastAsia="仿宋_GB2312"/>
          <w:sz w:val="30"/>
          <w:szCs w:val="30"/>
          <w:highlight w:val="none"/>
          <w:lang w:val="en-US" w:eastAsia="zh-CN"/>
        </w:rPr>
        <w:t>房屋和构筑物小计的原值、净值（8、9栏）应分别大于等于其中：房屋的原值、净值（11、12栏）</w:t>
      </w:r>
      <w:r>
        <w:rPr>
          <w:rFonts w:ascii="仿宋_GB2312" w:eastAsia="仿宋_GB2312"/>
          <w:sz w:val="30"/>
          <w:szCs w:val="30"/>
          <w:highlight w:val="none"/>
        </w:rPr>
        <w:t>；</w:t>
      </w:r>
    </w:p>
    <w:p w14:paraId="79F791BA">
      <w:pPr>
        <w:numPr>
          <w:ilvl w:val="0"/>
          <w:numId w:val="5"/>
        </w:numPr>
        <w:spacing w:line="360" w:lineRule="auto"/>
        <w:jc w:val="left"/>
        <w:rPr>
          <w:rFonts w:ascii="仿宋_GB2312" w:eastAsia="仿宋_GB2312"/>
          <w:sz w:val="30"/>
          <w:szCs w:val="30"/>
          <w:highlight w:val="none"/>
        </w:rPr>
      </w:pPr>
      <w:r>
        <w:rPr>
          <w:rFonts w:hint="eastAsia" w:ascii="仿宋_GB2312" w:eastAsia="仿宋_GB2312"/>
          <w:sz w:val="30"/>
          <w:szCs w:val="30"/>
          <w:highlight w:val="none"/>
          <w:lang w:val="en-US" w:eastAsia="zh-CN"/>
        </w:rPr>
        <w:t>设备小计的数量、原值、净值（13</w:t>
      </w:r>
      <w:r>
        <w:rPr>
          <w:rFonts w:hint="eastAsia" w:ascii="仿宋_GB2312" w:eastAsia="仿宋_GB2312"/>
          <w:sz w:val="30"/>
          <w:szCs w:val="30"/>
          <w:highlight w:val="none"/>
        </w:rPr>
        <w:t>~</w:t>
      </w:r>
      <w:r>
        <w:rPr>
          <w:rFonts w:hint="eastAsia" w:ascii="仿宋_GB2312" w:eastAsia="仿宋_GB2312"/>
          <w:sz w:val="30"/>
          <w:szCs w:val="30"/>
          <w:highlight w:val="none"/>
          <w:lang w:val="en-US" w:eastAsia="zh-CN"/>
        </w:rPr>
        <w:t>15栏）应分别大于等于其中：车辆（16</w:t>
      </w:r>
      <w:r>
        <w:rPr>
          <w:rFonts w:hint="eastAsia" w:ascii="仿宋_GB2312" w:eastAsia="仿宋_GB2312"/>
          <w:sz w:val="30"/>
          <w:szCs w:val="30"/>
          <w:highlight w:val="none"/>
        </w:rPr>
        <w:t>~</w:t>
      </w:r>
      <w:r>
        <w:rPr>
          <w:rFonts w:hint="eastAsia" w:ascii="仿宋_GB2312" w:eastAsia="仿宋_GB2312"/>
          <w:sz w:val="30"/>
          <w:szCs w:val="30"/>
          <w:highlight w:val="none"/>
          <w:lang w:val="en-US" w:eastAsia="zh-CN"/>
        </w:rPr>
        <w:t>18栏）与单价100万（含）以上（不含车辆）的数量、原值、净值之和（19</w:t>
      </w:r>
      <w:r>
        <w:rPr>
          <w:rFonts w:hint="eastAsia" w:ascii="仿宋_GB2312" w:eastAsia="仿宋_GB2312"/>
          <w:sz w:val="30"/>
          <w:szCs w:val="30"/>
          <w:highlight w:val="none"/>
        </w:rPr>
        <w:t>~</w:t>
      </w:r>
      <w:r>
        <w:rPr>
          <w:rFonts w:hint="eastAsia" w:ascii="仿宋_GB2312" w:eastAsia="仿宋_GB2312"/>
          <w:sz w:val="30"/>
          <w:szCs w:val="30"/>
          <w:highlight w:val="none"/>
          <w:lang w:val="en-US" w:eastAsia="zh-CN"/>
        </w:rPr>
        <w:t>21栏）</w:t>
      </w:r>
      <w:r>
        <w:rPr>
          <w:rFonts w:ascii="仿宋_GB2312" w:eastAsia="仿宋_GB2312"/>
          <w:sz w:val="30"/>
          <w:szCs w:val="30"/>
          <w:highlight w:val="none"/>
        </w:rPr>
        <w:t xml:space="preserve">； </w:t>
      </w:r>
    </w:p>
    <w:p w14:paraId="529AB81D">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lang w:val="en-US" w:eastAsia="zh-CN"/>
        </w:rPr>
        <w:t>无形资产小计原值（</w:t>
      </w:r>
      <w:r>
        <w:rPr>
          <w:rFonts w:hint="eastAsia" w:ascii="仿宋_GB2312" w:eastAsia="仿宋_GB2312"/>
          <w:sz w:val="30"/>
          <w:szCs w:val="30"/>
          <w:highlight w:val="none"/>
        </w:rPr>
        <w:t>3</w:t>
      </w:r>
      <w:r>
        <w:rPr>
          <w:rFonts w:ascii="仿宋_GB2312" w:eastAsia="仿宋_GB2312"/>
          <w:sz w:val="30"/>
          <w:szCs w:val="30"/>
          <w:highlight w:val="none"/>
        </w:rPr>
        <w:t>4</w:t>
      </w:r>
      <w:r>
        <w:rPr>
          <w:rFonts w:hint="eastAsia" w:ascii="仿宋_GB2312" w:eastAsia="仿宋_GB2312"/>
          <w:sz w:val="30"/>
          <w:szCs w:val="30"/>
          <w:highlight w:val="none"/>
        </w:rPr>
        <w:t>栏</w:t>
      </w:r>
      <w:r>
        <w:rPr>
          <w:rFonts w:hint="eastAsia" w:ascii="仿宋_GB2312" w:eastAsia="仿宋_GB2312"/>
          <w:sz w:val="30"/>
          <w:szCs w:val="30"/>
          <w:highlight w:val="none"/>
          <w:lang w:val="en-US" w:eastAsia="zh-CN"/>
        </w:rPr>
        <w:t>）应等于专利原值（37栏）、非专利技术原值（40栏）、土地使用权原值（43栏）、计算机软件原值（46栏）、其他原值（49栏）之和</w:t>
      </w:r>
      <w:r>
        <w:rPr>
          <w:rFonts w:hint="eastAsia" w:ascii="仿宋_GB2312" w:eastAsia="仿宋_GB2312"/>
          <w:sz w:val="30"/>
          <w:szCs w:val="30"/>
          <w:highlight w:val="none"/>
        </w:rPr>
        <w:t>；</w:t>
      </w:r>
    </w:p>
    <w:p w14:paraId="080391A9">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lang w:val="en-US" w:eastAsia="zh-CN"/>
        </w:rPr>
        <w:t>无形资产小计净值（</w:t>
      </w:r>
      <w:r>
        <w:rPr>
          <w:rFonts w:hint="eastAsia" w:ascii="仿宋_GB2312" w:eastAsia="仿宋_GB2312"/>
          <w:sz w:val="30"/>
          <w:szCs w:val="30"/>
          <w:highlight w:val="none"/>
        </w:rPr>
        <w:t>3</w:t>
      </w:r>
      <w:r>
        <w:rPr>
          <w:rFonts w:hint="eastAsia" w:ascii="仿宋_GB2312" w:eastAsia="仿宋_GB2312"/>
          <w:sz w:val="30"/>
          <w:szCs w:val="30"/>
          <w:highlight w:val="none"/>
          <w:lang w:val="en-US" w:eastAsia="zh-CN"/>
        </w:rPr>
        <w:t>5</w:t>
      </w:r>
      <w:r>
        <w:rPr>
          <w:rFonts w:hint="eastAsia" w:ascii="仿宋_GB2312" w:eastAsia="仿宋_GB2312"/>
          <w:sz w:val="30"/>
          <w:szCs w:val="30"/>
          <w:highlight w:val="none"/>
        </w:rPr>
        <w:t>栏</w:t>
      </w:r>
      <w:r>
        <w:rPr>
          <w:rFonts w:hint="eastAsia" w:ascii="仿宋_GB2312" w:eastAsia="仿宋_GB2312"/>
          <w:sz w:val="30"/>
          <w:szCs w:val="30"/>
          <w:highlight w:val="none"/>
          <w:lang w:val="en-US" w:eastAsia="zh-CN"/>
        </w:rPr>
        <w:t>）应等于专利净值（38栏）、非专利技术净值（41栏）、土地使用权净值（44栏）、计算机软件净值（47栏）、其他净值（50栏）之和</w:t>
      </w:r>
      <w:r>
        <w:rPr>
          <w:rFonts w:hint="eastAsia" w:ascii="仿宋_GB2312" w:eastAsia="仿宋_GB2312"/>
          <w:sz w:val="30"/>
          <w:szCs w:val="30"/>
          <w:highlight w:val="none"/>
        </w:rPr>
        <w:t>；</w:t>
      </w:r>
    </w:p>
    <w:p w14:paraId="48B17C7D">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lang w:val="en-US" w:eastAsia="zh-CN"/>
        </w:rPr>
        <w:t>长期投资小计原值（</w:t>
      </w:r>
      <w:r>
        <w:rPr>
          <w:rFonts w:ascii="仿宋_GB2312" w:eastAsia="仿宋_GB2312"/>
          <w:sz w:val="30"/>
          <w:szCs w:val="30"/>
          <w:highlight w:val="none"/>
        </w:rPr>
        <w:t>51</w:t>
      </w:r>
      <w:r>
        <w:rPr>
          <w:rFonts w:hint="eastAsia" w:ascii="仿宋_GB2312" w:eastAsia="仿宋_GB2312"/>
          <w:sz w:val="30"/>
          <w:szCs w:val="30"/>
          <w:highlight w:val="none"/>
        </w:rPr>
        <w:t>栏</w:t>
      </w:r>
      <w:r>
        <w:rPr>
          <w:rFonts w:hint="eastAsia" w:ascii="仿宋_GB2312" w:eastAsia="仿宋_GB2312"/>
          <w:sz w:val="30"/>
          <w:szCs w:val="30"/>
          <w:highlight w:val="none"/>
          <w:lang w:val="en-US" w:eastAsia="zh-CN"/>
        </w:rPr>
        <w:t>）等于长期债券原值（52栏）、长期股权原值（53栏）之和</w:t>
      </w:r>
      <w:r>
        <w:rPr>
          <w:rFonts w:hint="eastAsia" w:ascii="仿宋_GB2312" w:eastAsia="仿宋_GB2312"/>
          <w:sz w:val="30"/>
          <w:szCs w:val="30"/>
          <w:highlight w:val="none"/>
        </w:rPr>
        <w:t>；</w:t>
      </w:r>
    </w:p>
    <w:p w14:paraId="52EA75BF">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lang w:val="en-US" w:eastAsia="zh-CN"/>
        </w:rPr>
        <w:t>合计行（</w:t>
      </w:r>
      <w:r>
        <w:rPr>
          <w:rFonts w:hint="eastAsia" w:ascii="仿宋_GB2312" w:eastAsia="仿宋_GB2312"/>
          <w:sz w:val="30"/>
          <w:szCs w:val="30"/>
          <w:highlight w:val="none"/>
        </w:rPr>
        <w:t>1行</w:t>
      </w:r>
      <w:r>
        <w:rPr>
          <w:rFonts w:hint="eastAsia" w:ascii="仿宋_GB2312" w:eastAsia="仿宋_GB2312"/>
          <w:sz w:val="30"/>
          <w:szCs w:val="30"/>
          <w:highlight w:val="none"/>
          <w:lang w:val="en-US" w:eastAsia="zh-CN"/>
        </w:rPr>
        <w:t>）原值合计、流动资产原值、房屋和构筑物小计原值等52项（</w:t>
      </w:r>
      <w:r>
        <w:rPr>
          <w:rFonts w:hint="eastAsia" w:ascii="仿宋_GB2312" w:eastAsia="仿宋_GB2312"/>
          <w:sz w:val="30"/>
          <w:szCs w:val="30"/>
          <w:highlight w:val="none"/>
        </w:rPr>
        <w:t>4~</w:t>
      </w:r>
      <w:r>
        <w:rPr>
          <w:rFonts w:ascii="仿宋_GB2312" w:eastAsia="仿宋_GB2312"/>
          <w:sz w:val="30"/>
          <w:szCs w:val="30"/>
          <w:highlight w:val="none"/>
        </w:rPr>
        <w:t>55</w:t>
      </w:r>
      <w:r>
        <w:rPr>
          <w:rFonts w:hint="eastAsia" w:ascii="仿宋_GB2312" w:eastAsia="仿宋_GB2312"/>
          <w:sz w:val="30"/>
          <w:szCs w:val="30"/>
          <w:highlight w:val="none"/>
        </w:rPr>
        <w:t>栏</w:t>
      </w:r>
      <w:r>
        <w:rPr>
          <w:rFonts w:hint="eastAsia" w:ascii="仿宋_GB2312" w:eastAsia="仿宋_GB2312"/>
          <w:sz w:val="30"/>
          <w:szCs w:val="30"/>
          <w:highlight w:val="none"/>
          <w:lang w:val="en-US" w:eastAsia="zh-CN"/>
        </w:rPr>
        <w:t>）应与本期处置事项小计（</w:t>
      </w:r>
      <w:r>
        <w:rPr>
          <w:rFonts w:hint="eastAsia" w:ascii="仿宋_GB2312" w:eastAsia="仿宋_GB2312"/>
          <w:sz w:val="30"/>
          <w:szCs w:val="30"/>
          <w:highlight w:val="none"/>
        </w:rPr>
        <w:t>3行</w:t>
      </w:r>
      <w:r>
        <w:rPr>
          <w:rFonts w:hint="eastAsia" w:ascii="仿宋_GB2312" w:eastAsia="仿宋_GB2312"/>
          <w:sz w:val="30"/>
          <w:szCs w:val="30"/>
          <w:highlight w:val="none"/>
          <w:lang w:val="en-US" w:eastAsia="zh-CN"/>
        </w:rPr>
        <w:t>）对应指标相等</w:t>
      </w:r>
      <w:r>
        <w:rPr>
          <w:rFonts w:hint="eastAsia" w:ascii="仿宋_GB2312" w:eastAsia="仿宋_GB2312"/>
          <w:sz w:val="30"/>
          <w:szCs w:val="30"/>
          <w:highlight w:val="none"/>
        </w:rPr>
        <w:t>；</w:t>
      </w:r>
    </w:p>
    <w:p w14:paraId="3D250D11">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lang w:val="en-US" w:eastAsia="zh-CN"/>
        </w:rPr>
        <w:t>合计行（</w:t>
      </w:r>
      <w:r>
        <w:rPr>
          <w:rFonts w:hint="eastAsia" w:ascii="仿宋_GB2312" w:eastAsia="仿宋_GB2312"/>
          <w:sz w:val="30"/>
          <w:szCs w:val="30"/>
          <w:highlight w:val="none"/>
        </w:rPr>
        <w:t>1行</w:t>
      </w:r>
      <w:r>
        <w:rPr>
          <w:rFonts w:hint="eastAsia" w:ascii="仿宋_GB2312" w:eastAsia="仿宋_GB2312"/>
          <w:sz w:val="30"/>
          <w:szCs w:val="30"/>
          <w:highlight w:val="none"/>
          <w:lang w:val="en-US" w:eastAsia="zh-CN"/>
        </w:rPr>
        <w:t>）、本期处置事项小计（3行）、浮动行的原值合计、流动资产原值、房屋和构筑物小计原值等52项（</w:t>
      </w:r>
      <w:r>
        <w:rPr>
          <w:rFonts w:hint="eastAsia" w:ascii="仿宋_GB2312" w:eastAsia="仿宋_GB2312"/>
          <w:sz w:val="30"/>
          <w:szCs w:val="30"/>
          <w:highlight w:val="none"/>
        </w:rPr>
        <w:t>4~</w:t>
      </w:r>
      <w:r>
        <w:rPr>
          <w:rFonts w:ascii="仿宋_GB2312" w:eastAsia="仿宋_GB2312"/>
          <w:sz w:val="30"/>
          <w:szCs w:val="30"/>
          <w:highlight w:val="none"/>
        </w:rPr>
        <w:t>55</w:t>
      </w:r>
      <w:r>
        <w:rPr>
          <w:rFonts w:hint="eastAsia" w:ascii="仿宋_GB2312" w:eastAsia="仿宋_GB2312"/>
          <w:sz w:val="30"/>
          <w:szCs w:val="30"/>
          <w:highlight w:val="none"/>
        </w:rPr>
        <w:t>栏</w:t>
      </w:r>
      <w:r>
        <w:rPr>
          <w:rFonts w:hint="eastAsia" w:ascii="仿宋_GB2312" w:eastAsia="仿宋_GB2312"/>
          <w:sz w:val="30"/>
          <w:szCs w:val="30"/>
          <w:highlight w:val="none"/>
          <w:lang w:val="en-US" w:eastAsia="zh-CN"/>
        </w:rPr>
        <w:t>）均应大于等于</w:t>
      </w:r>
      <w:r>
        <w:rPr>
          <w:rFonts w:hint="eastAsia" w:ascii="仿宋_GB2312" w:eastAsia="仿宋_GB2312"/>
          <w:sz w:val="30"/>
          <w:szCs w:val="30"/>
          <w:highlight w:val="none"/>
        </w:rPr>
        <w:t>0；</w:t>
      </w:r>
    </w:p>
    <w:p w14:paraId="4286963D">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rPr>
        <w:t>本期实收资产处置收益</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56栏</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应大于等于</w:t>
      </w:r>
      <w:r>
        <w:rPr>
          <w:rFonts w:hint="eastAsia" w:ascii="仿宋_GB2312" w:eastAsia="仿宋_GB2312"/>
          <w:sz w:val="30"/>
          <w:szCs w:val="30"/>
          <w:highlight w:val="none"/>
        </w:rPr>
        <w:t>0；</w:t>
      </w:r>
    </w:p>
    <w:p w14:paraId="2DE3B655">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lang w:val="en-US" w:eastAsia="zh-CN"/>
        </w:rPr>
        <w:t>合计行（</w:t>
      </w:r>
      <w:r>
        <w:rPr>
          <w:rFonts w:hint="eastAsia" w:ascii="仿宋_GB2312" w:eastAsia="仿宋_GB2312"/>
          <w:sz w:val="30"/>
          <w:szCs w:val="30"/>
          <w:highlight w:val="none"/>
        </w:rPr>
        <w:t>1行</w:t>
      </w:r>
      <w:r>
        <w:rPr>
          <w:rFonts w:hint="eastAsia" w:ascii="仿宋_GB2312" w:eastAsia="仿宋_GB2312"/>
          <w:sz w:val="30"/>
          <w:szCs w:val="30"/>
          <w:highlight w:val="none"/>
          <w:lang w:val="en-US" w:eastAsia="zh-CN"/>
        </w:rPr>
        <w:t>）</w:t>
      </w:r>
      <w:r>
        <w:rPr>
          <w:rFonts w:hint="eastAsia" w:ascii="仿宋_GB2312" w:eastAsia="仿宋_GB2312"/>
          <w:sz w:val="30"/>
          <w:szCs w:val="30"/>
          <w:highlight w:val="none"/>
        </w:rPr>
        <w:t>本期实收资产处置收益</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56栏</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应等于</w:t>
      </w:r>
      <w:r>
        <w:rPr>
          <w:rFonts w:hint="eastAsia" w:ascii="仿宋_GB2312" w:eastAsia="仿宋_GB2312"/>
          <w:sz w:val="30"/>
          <w:szCs w:val="30"/>
          <w:highlight w:val="none"/>
        </w:rPr>
        <w:t>往期处置事项收益情况</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2行</w:t>
      </w:r>
      <w:r>
        <w:rPr>
          <w:rFonts w:hint="eastAsia" w:ascii="仿宋_GB2312" w:eastAsia="仿宋_GB2312"/>
          <w:sz w:val="30"/>
          <w:szCs w:val="30"/>
          <w:highlight w:val="none"/>
          <w:lang w:eastAsia="zh-CN"/>
        </w:rPr>
        <w:t>）、本期处置事项小计（</w:t>
      </w:r>
      <w:r>
        <w:rPr>
          <w:rFonts w:hint="eastAsia" w:ascii="仿宋_GB2312" w:eastAsia="仿宋_GB2312"/>
          <w:sz w:val="30"/>
          <w:szCs w:val="30"/>
          <w:highlight w:val="none"/>
          <w:lang w:val="en-US" w:eastAsia="zh-CN"/>
        </w:rPr>
        <w:t>3行</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的本期</w:t>
      </w:r>
      <w:r>
        <w:rPr>
          <w:rFonts w:hint="eastAsia" w:ascii="仿宋_GB2312" w:eastAsia="仿宋_GB2312"/>
          <w:sz w:val="30"/>
          <w:szCs w:val="30"/>
          <w:highlight w:val="none"/>
        </w:rPr>
        <w:t>处置事项收益情况</w:t>
      </w:r>
      <w:r>
        <w:rPr>
          <w:rFonts w:hint="eastAsia" w:ascii="仿宋_GB2312" w:eastAsia="仿宋_GB2312"/>
          <w:sz w:val="30"/>
          <w:szCs w:val="30"/>
          <w:highlight w:val="none"/>
          <w:lang w:val="en-US" w:eastAsia="zh-CN"/>
        </w:rPr>
        <w:t>之和</w:t>
      </w:r>
      <w:r>
        <w:rPr>
          <w:rFonts w:hint="eastAsia" w:ascii="仿宋_GB2312" w:eastAsia="仿宋_GB2312"/>
          <w:sz w:val="30"/>
          <w:szCs w:val="30"/>
          <w:highlight w:val="none"/>
        </w:rPr>
        <w:t>；</w:t>
      </w:r>
    </w:p>
    <w:p w14:paraId="5F7B28B5">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lang w:eastAsia="zh-CN"/>
        </w:rPr>
        <w:t>本期处置事项小计（</w:t>
      </w:r>
      <w:r>
        <w:rPr>
          <w:rFonts w:hint="eastAsia" w:ascii="仿宋_GB2312" w:eastAsia="仿宋_GB2312"/>
          <w:sz w:val="30"/>
          <w:szCs w:val="30"/>
          <w:highlight w:val="none"/>
          <w:lang w:val="en-US" w:eastAsia="zh-CN"/>
        </w:rPr>
        <w:t>3行</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的应等于</w:t>
      </w:r>
      <w:r>
        <w:rPr>
          <w:rFonts w:hint="eastAsia" w:ascii="仿宋_GB2312" w:eastAsia="仿宋_GB2312"/>
          <w:sz w:val="30"/>
          <w:szCs w:val="30"/>
          <w:highlight w:val="none"/>
        </w:rPr>
        <w:t>各浮动行</w:t>
      </w:r>
      <w:r>
        <w:rPr>
          <w:rFonts w:hint="eastAsia" w:ascii="仿宋_GB2312" w:eastAsia="仿宋_GB2312"/>
          <w:sz w:val="30"/>
          <w:szCs w:val="30"/>
          <w:highlight w:val="none"/>
          <w:lang w:val="en-US" w:eastAsia="zh-CN"/>
        </w:rPr>
        <w:t>对应指标</w:t>
      </w:r>
      <w:r>
        <w:rPr>
          <w:rFonts w:hint="eastAsia" w:ascii="仿宋_GB2312" w:eastAsia="仿宋_GB2312"/>
          <w:sz w:val="30"/>
          <w:szCs w:val="30"/>
          <w:highlight w:val="none"/>
        </w:rPr>
        <w:t>之和</w:t>
      </w:r>
      <w:r>
        <w:rPr>
          <w:rFonts w:ascii="仿宋_GB2312" w:eastAsia="仿宋_GB2312"/>
          <w:sz w:val="30"/>
          <w:szCs w:val="30"/>
          <w:highlight w:val="none"/>
        </w:rPr>
        <w:t>；</w:t>
      </w:r>
    </w:p>
    <w:p w14:paraId="319576F9">
      <w:pPr>
        <w:numPr>
          <w:ilvl w:val="0"/>
          <w:numId w:val="5"/>
        </w:numPr>
        <w:spacing w:line="360" w:lineRule="auto"/>
        <w:rPr>
          <w:rFonts w:ascii="仿宋_GB2312" w:eastAsia="仿宋_GB2312"/>
          <w:sz w:val="30"/>
          <w:szCs w:val="30"/>
          <w:highlight w:val="none"/>
        </w:rPr>
      </w:pPr>
      <w:r>
        <w:rPr>
          <w:rFonts w:ascii="仿宋_GB2312" w:eastAsia="仿宋_GB2312"/>
          <w:sz w:val="30"/>
          <w:szCs w:val="30"/>
          <w:highlight w:val="none"/>
        </w:rPr>
        <w:t>浮动行</w:t>
      </w:r>
      <w:r>
        <w:rPr>
          <w:rFonts w:hint="eastAsia" w:ascii="仿宋_GB2312" w:eastAsia="仿宋_GB2312"/>
          <w:sz w:val="30"/>
          <w:szCs w:val="30"/>
          <w:highlight w:val="none"/>
        </w:rPr>
        <w:t>流动资产</w:t>
      </w:r>
      <w:r>
        <w:rPr>
          <w:rFonts w:hint="eastAsia" w:ascii="仿宋_GB2312" w:eastAsia="仿宋_GB2312"/>
          <w:sz w:val="30"/>
          <w:szCs w:val="30"/>
          <w:highlight w:val="none"/>
          <w:lang w:eastAsia="zh-CN"/>
        </w:rPr>
        <w:t>（</w:t>
      </w:r>
      <w:r>
        <w:rPr>
          <w:rFonts w:ascii="仿宋_GB2312" w:eastAsia="仿宋_GB2312"/>
          <w:sz w:val="30"/>
          <w:szCs w:val="30"/>
          <w:highlight w:val="none"/>
        </w:rPr>
        <w:t>5栏</w:t>
      </w:r>
      <w:r>
        <w:rPr>
          <w:rFonts w:hint="eastAsia" w:ascii="仿宋_GB2312" w:eastAsia="仿宋_GB2312"/>
          <w:sz w:val="30"/>
          <w:szCs w:val="30"/>
          <w:highlight w:val="none"/>
          <w:lang w:eastAsia="zh-CN"/>
        </w:rPr>
        <w:t>）</w:t>
      </w:r>
      <w:r>
        <w:rPr>
          <w:rFonts w:ascii="仿宋_GB2312" w:eastAsia="仿宋_GB2312"/>
          <w:sz w:val="30"/>
          <w:szCs w:val="30"/>
          <w:highlight w:val="none"/>
        </w:rPr>
        <w:t>或</w:t>
      </w:r>
      <w:r>
        <w:rPr>
          <w:rFonts w:hint="eastAsia" w:ascii="仿宋_GB2312" w:eastAsia="仿宋_GB2312"/>
          <w:sz w:val="30"/>
          <w:szCs w:val="30"/>
          <w:highlight w:val="none"/>
        </w:rPr>
        <w:t>长期投资</w:t>
      </w:r>
      <w:r>
        <w:rPr>
          <w:rFonts w:hint="eastAsia" w:ascii="仿宋_GB2312" w:eastAsia="仿宋_GB2312"/>
          <w:sz w:val="30"/>
          <w:szCs w:val="30"/>
          <w:highlight w:val="none"/>
          <w:lang w:val="en-US" w:eastAsia="zh-CN"/>
        </w:rPr>
        <w:t>小计原值（</w:t>
      </w:r>
      <w:r>
        <w:rPr>
          <w:rFonts w:ascii="仿宋_GB2312" w:eastAsia="仿宋_GB2312"/>
          <w:sz w:val="30"/>
          <w:szCs w:val="30"/>
          <w:highlight w:val="none"/>
        </w:rPr>
        <w:t>51栏</w:t>
      </w:r>
      <w:r>
        <w:rPr>
          <w:rFonts w:hint="eastAsia" w:ascii="仿宋_GB2312" w:eastAsia="仿宋_GB2312"/>
          <w:sz w:val="30"/>
          <w:szCs w:val="30"/>
          <w:highlight w:val="none"/>
          <w:lang w:val="en-US" w:eastAsia="zh-CN"/>
        </w:rPr>
        <w:t>）</w:t>
      </w:r>
      <w:r>
        <w:rPr>
          <w:rFonts w:ascii="仿宋_GB2312" w:eastAsia="仿宋_GB2312"/>
          <w:sz w:val="30"/>
          <w:szCs w:val="30"/>
          <w:highlight w:val="none"/>
        </w:rPr>
        <w:t>或</w:t>
      </w:r>
      <w:r>
        <w:rPr>
          <w:rFonts w:hint="eastAsia" w:ascii="仿宋_GB2312" w:eastAsia="仿宋_GB2312"/>
          <w:sz w:val="30"/>
          <w:szCs w:val="30"/>
          <w:highlight w:val="none"/>
        </w:rPr>
        <w:t>在建工程</w:t>
      </w:r>
      <w:r>
        <w:rPr>
          <w:rFonts w:hint="eastAsia" w:ascii="仿宋_GB2312" w:eastAsia="仿宋_GB2312"/>
          <w:sz w:val="30"/>
          <w:szCs w:val="30"/>
          <w:highlight w:val="none"/>
          <w:lang w:val="en-US" w:eastAsia="zh-CN"/>
        </w:rPr>
        <w:t>原值（</w:t>
      </w:r>
      <w:r>
        <w:rPr>
          <w:rFonts w:ascii="仿宋_GB2312" w:eastAsia="仿宋_GB2312"/>
          <w:sz w:val="30"/>
          <w:szCs w:val="30"/>
          <w:highlight w:val="none"/>
        </w:rPr>
        <w:t>54栏</w:t>
      </w:r>
      <w:r>
        <w:rPr>
          <w:rFonts w:hint="eastAsia" w:ascii="仿宋_GB2312" w:eastAsia="仿宋_GB2312"/>
          <w:sz w:val="30"/>
          <w:szCs w:val="30"/>
          <w:highlight w:val="none"/>
          <w:lang w:val="en-US" w:eastAsia="zh-CN"/>
        </w:rPr>
        <w:t>）大于</w:t>
      </w:r>
      <w:r>
        <w:rPr>
          <w:rFonts w:hint="eastAsia" w:ascii="仿宋_GB2312" w:eastAsia="仿宋_GB2312"/>
          <w:sz w:val="30"/>
          <w:szCs w:val="30"/>
          <w:highlight w:val="none"/>
        </w:rPr>
        <w:t>0</w:t>
      </w:r>
      <w:r>
        <w:rPr>
          <w:rFonts w:ascii="仿宋_GB2312" w:eastAsia="仿宋_GB2312"/>
          <w:sz w:val="30"/>
          <w:szCs w:val="30"/>
          <w:highlight w:val="none"/>
        </w:rPr>
        <w:t>时，备注</w:t>
      </w:r>
      <w:r>
        <w:rPr>
          <w:rFonts w:hint="eastAsia" w:ascii="仿宋_GB2312" w:eastAsia="仿宋_GB2312"/>
          <w:sz w:val="30"/>
          <w:szCs w:val="30"/>
          <w:highlight w:val="none"/>
          <w:lang w:eastAsia="zh-CN"/>
        </w:rPr>
        <w:t>（</w:t>
      </w:r>
      <w:r>
        <w:rPr>
          <w:rFonts w:ascii="仿宋_GB2312" w:eastAsia="仿宋_GB2312"/>
          <w:sz w:val="30"/>
          <w:szCs w:val="30"/>
          <w:highlight w:val="none"/>
        </w:rPr>
        <w:t>57栏</w:t>
      </w:r>
      <w:r>
        <w:rPr>
          <w:rFonts w:hint="eastAsia" w:ascii="仿宋_GB2312" w:eastAsia="仿宋_GB2312"/>
          <w:sz w:val="30"/>
          <w:szCs w:val="30"/>
          <w:highlight w:val="none"/>
          <w:lang w:eastAsia="zh-CN"/>
        </w:rPr>
        <w:t>）</w:t>
      </w:r>
      <w:r>
        <w:rPr>
          <w:rFonts w:ascii="仿宋_GB2312" w:eastAsia="仿宋_GB2312"/>
          <w:sz w:val="30"/>
          <w:szCs w:val="30"/>
          <w:highlight w:val="none"/>
        </w:rPr>
        <w:t>需说明处置资产详细情况</w:t>
      </w:r>
      <w:r>
        <w:rPr>
          <w:rFonts w:hint="eastAsia" w:ascii="仿宋_GB2312" w:eastAsia="仿宋_GB2312"/>
          <w:sz w:val="30"/>
          <w:szCs w:val="30"/>
          <w:highlight w:val="none"/>
        </w:rPr>
        <w:t>；</w:t>
      </w:r>
    </w:p>
    <w:p w14:paraId="4419DF4C">
      <w:pPr>
        <w:numPr>
          <w:ilvl w:val="0"/>
          <w:numId w:val="5"/>
        </w:numPr>
        <w:spacing w:line="360" w:lineRule="auto"/>
        <w:ind w:firstLine="600" w:firstLineChars="200"/>
        <w:rPr>
          <w:rFonts w:ascii="仿宋_GB2312" w:eastAsia="仿宋_GB2312"/>
          <w:sz w:val="30"/>
          <w:szCs w:val="30"/>
          <w:highlight w:val="none"/>
        </w:rPr>
      </w:pPr>
      <w:r>
        <w:rPr>
          <w:rFonts w:hint="eastAsia" w:ascii="仿宋_GB2312" w:eastAsia="仿宋_GB2312"/>
          <w:sz w:val="30"/>
          <w:szCs w:val="30"/>
          <w:highlight w:val="none"/>
        </w:rPr>
        <w:t>当处置形式</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2栏</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为“其他”时，备注</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5</w:t>
      </w:r>
      <w:r>
        <w:rPr>
          <w:rFonts w:ascii="仿宋_GB2312" w:eastAsia="仿宋_GB2312"/>
          <w:sz w:val="30"/>
          <w:szCs w:val="30"/>
          <w:highlight w:val="none"/>
        </w:rPr>
        <w:t>7</w:t>
      </w:r>
      <w:r>
        <w:rPr>
          <w:rFonts w:hint="eastAsia" w:ascii="仿宋_GB2312" w:eastAsia="仿宋_GB2312"/>
          <w:sz w:val="30"/>
          <w:szCs w:val="30"/>
          <w:highlight w:val="none"/>
        </w:rPr>
        <w:t>栏</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必填需说明处置资产详细情况</w:t>
      </w:r>
      <w:r>
        <w:rPr>
          <w:rFonts w:hint="eastAsia" w:ascii="仿宋_GB2312" w:hAnsi="仿宋_GB2312" w:eastAsia="仿宋_GB2312" w:cs="仿宋_GB2312"/>
          <w:sz w:val="30"/>
          <w:szCs w:val="30"/>
          <w:highlight w:val="none"/>
        </w:rPr>
        <w:t>。</w:t>
      </w:r>
    </w:p>
    <w:p w14:paraId="477538AA">
      <w:pPr>
        <w:spacing w:line="360" w:lineRule="auto"/>
        <w:ind w:firstLine="602" w:firstLineChars="200"/>
        <w:rPr>
          <w:rFonts w:hint="eastAsia" w:ascii="仿宋_GB2312" w:hAnsi="仿宋" w:eastAsia="仿宋_GB2312"/>
          <w:b/>
          <w:sz w:val="30"/>
          <w:szCs w:val="30"/>
          <w:highlight w:val="none"/>
        </w:rPr>
      </w:pPr>
      <w:r>
        <w:rPr>
          <w:rFonts w:hint="eastAsia" w:ascii="仿宋_GB2312" w:hAnsi="仿宋" w:eastAsia="仿宋_GB2312"/>
          <w:b/>
          <w:sz w:val="30"/>
          <w:szCs w:val="30"/>
          <w:highlight w:val="none"/>
        </w:rPr>
        <w:t>核实性公式：</w:t>
      </w:r>
    </w:p>
    <w:p w14:paraId="3E92EB65">
      <w:pPr>
        <w:numPr>
          <w:ilvl w:val="0"/>
          <w:numId w:val="5"/>
        </w:numPr>
        <w:spacing w:line="360" w:lineRule="auto"/>
        <w:rPr>
          <w:rFonts w:hint="eastAsia" w:ascii="仿宋_GB2312" w:hAnsi="仿宋_GB2312" w:eastAsia="仿宋_GB2312" w:cs="仿宋_GB2312"/>
          <w:sz w:val="30"/>
          <w:szCs w:val="30"/>
          <w:highlight w:val="none"/>
        </w:rPr>
      </w:pPr>
      <w:r>
        <w:rPr>
          <w:rFonts w:hint="eastAsia" w:ascii="仿宋_GB2312" w:eastAsia="仿宋_GB2312"/>
          <w:sz w:val="30"/>
          <w:szCs w:val="30"/>
          <w:highlight w:val="none"/>
        </w:rPr>
        <w:t>当处置形式</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2栏</w:t>
      </w:r>
      <w:r>
        <w:rPr>
          <w:rFonts w:hint="eastAsia" w:ascii="仿宋_GB2312" w:eastAsia="仿宋_GB2312"/>
          <w:sz w:val="30"/>
          <w:szCs w:val="30"/>
          <w:highlight w:val="none"/>
          <w:lang w:eastAsia="zh-CN"/>
        </w:rPr>
        <w:t>）</w:t>
      </w:r>
      <w:r>
        <w:rPr>
          <w:rFonts w:ascii="仿宋_GB2312" w:eastAsia="仿宋_GB2312"/>
          <w:sz w:val="30"/>
          <w:szCs w:val="30"/>
          <w:highlight w:val="none"/>
        </w:rPr>
        <w:t>为</w:t>
      </w:r>
      <w:r>
        <w:rPr>
          <w:rFonts w:hint="eastAsia" w:ascii="仿宋_GB2312" w:eastAsia="仿宋_GB2312"/>
          <w:sz w:val="30"/>
          <w:szCs w:val="30"/>
          <w:highlight w:val="none"/>
        </w:rPr>
        <w:t>“</w:t>
      </w:r>
      <w:r>
        <w:rPr>
          <w:rFonts w:hint="eastAsia" w:ascii="仿宋_GB2312" w:hAnsi="仿宋" w:eastAsia="仿宋_GB2312"/>
          <w:sz w:val="30"/>
          <w:szCs w:val="30"/>
          <w:highlight w:val="none"/>
        </w:rPr>
        <w:t>转让</w:t>
      </w:r>
      <w:r>
        <w:rPr>
          <w:rFonts w:hint="eastAsia" w:ascii="仿宋_GB2312" w:eastAsia="仿宋_GB2312"/>
          <w:sz w:val="30"/>
          <w:szCs w:val="30"/>
          <w:highlight w:val="none"/>
        </w:rPr>
        <w:t>”或“报废”</w:t>
      </w:r>
      <w:r>
        <w:rPr>
          <w:rFonts w:ascii="仿宋_GB2312" w:eastAsia="仿宋_GB2312"/>
          <w:sz w:val="30"/>
          <w:szCs w:val="30"/>
          <w:highlight w:val="none"/>
        </w:rPr>
        <w:t>时，</w:t>
      </w:r>
      <w:r>
        <w:rPr>
          <w:rFonts w:hint="eastAsia" w:ascii="仿宋_GB2312" w:eastAsia="仿宋_GB2312"/>
          <w:sz w:val="30"/>
          <w:szCs w:val="30"/>
          <w:highlight w:val="none"/>
          <w:lang w:val="en-US" w:eastAsia="zh-CN"/>
        </w:rPr>
        <w:t>本期</w:t>
      </w:r>
      <w:r>
        <w:rPr>
          <w:rFonts w:hint="eastAsia" w:ascii="仿宋_GB2312" w:eastAsia="仿宋_GB2312"/>
          <w:sz w:val="30"/>
          <w:szCs w:val="30"/>
          <w:highlight w:val="none"/>
        </w:rPr>
        <w:t>处置事项收益情况</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56栏</w:t>
      </w:r>
      <w:r>
        <w:rPr>
          <w:rFonts w:hint="eastAsia" w:ascii="仿宋_GB2312" w:eastAsia="仿宋_GB2312"/>
          <w:sz w:val="30"/>
          <w:szCs w:val="30"/>
          <w:highlight w:val="none"/>
          <w:lang w:eastAsia="zh-CN"/>
        </w:rPr>
        <w:t>）</w:t>
      </w:r>
      <w:r>
        <w:rPr>
          <w:rFonts w:ascii="仿宋_GB2312" w:eastAsia="仿宋_GB2312"/>
          <w:sz w:val="30"/>
          <w:szCs w:val="30"/>
          <w:highlight w:val="none"/>
        </w:rPr>
        <w:t>必须</w:t>
      </w:r>
      <w:r>
        <w:rPr>
          <w:rFonts w:hint="eastAsia" w:ascii="仿宋_GB2312" w:eastAsia="仿宋_GB2312"/>
          <w:sz w:val="30"/>
          <w:szCs w:val="30"/>
          <w:highlight w:val="none"/>
          <w:lang w:val="en-US" w:eastAsia="zh-CN"/>
        </w:rPr>
        <w:t>大于</w:t>
      </w:r>
      <w:r>
        <w:rPr>
          <w:rFonts w:hint="eastAsia" w:ascii="仿宋_GB2312" w:hAnsi="仿宋_GB2312" w:eastAsia="仿宋_GB2312" w:cs="仿宋_GB2312"/>
          <w:sz w:val="30"/>
          <w:szCs w:val="30"/>
          <w:highlight w:val="none"/>
        </w:rPr>
        <w:t>0，否则提示核实性错误</w:t>
      </w:r>
      <w:r>
        <w:rPr>
          <w:rFonts w:hint="eastAsia" w:ascii="仿宋_GB2312" w:hAnsi="仿宋" w:eastAsia="仿宋_GB2312"/>
          <w:sz w:val="30"/>
          <w:szCs w:val="30"/>
          <w:highlight w:val="none"/>
        </w:rPr>
        <w:t>，需结合实际情况修改或填写情况说明；</w:t>
      </w:r>
    </w:p>
    <w:p w14:paraId="082E4EF3">
      <w:pPr>
        <w:numPr>
          <w:ilvl w:val="0"/>
          <w:numId w:val="5"/>
        </w:numPr>
        <w:spacing w:line="360" w:lineRule="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当审批情况</w:t>
      </w:r>
      <w:r>
        <w:rPr>
          <w:rFonts w:hint="eastAsia" w:ascii="仿宋_GB2312" w:hAnsi="仿宋_GB2312" w:eastAsia="仿宋_GB2312" w:cs="仿宋_GB2312"/>
          <w:sz w:val="30"/>
          <w:szCs w:val="30"/>
          <w:highlight w:val="none"/>
          <w:lang w:eastAsia="zh-CN"/>
        </w:rPr>
        <w:t>（</w:t>
      </w:r>
      <w:r>
        <w:rPr>
          <w:rFonts w:hint="eastAsia" w:ascii="仿宋_GB2312" w:hAnsi="仿宋_GB2312" w:eastAsia="仿宋_GB2312" w:cs="仿宋_GB2312"/>
          <w:sz w:val="30"/>
          <w:szCs w:val="30"/>
          <w:highlight w:val="none"/>
        </w:rPr>
        <w:t>3栏</w:t>
      </w:r>
      <w:r>
        <w:rPr>
          <w:rFonts w:hint="eastAsia" w:ascii="仿宋_GB2312" w:hAnsi="仿宋_GB2312" w:eastAsia="仿宋_GB2312" w:cs="仿宋_GB2312"/>
          <w:sz w:val="30"/>
          <w:szCs w:val="30"/>
          <w:highlight w:val="none"/>
          <w:lang w:eastAsia="zh-CN"/>
        </w:rPr>
        <w:t>）</w:t>
      </w:r>
      <w:r>
        <w:rPr>
          <w:rFonts w:hint="eastAsia" w:ascii="仿宋_GB2312" w:hAnsi="仿宋_GB2312" w:eastAsia="仿宋_GB2312" w:cs="仿宋_GB2312"/>
          <w:sz w:val="30"/>
          <w:szCs w:val="30"/>
          <w:highlight w:val="none"/>
        </w:rPr>
        <w:t>为“未审批”时，提示核实性错误</w:t>
      </w:r>
      <w:r>
        <w:rPr>
          <w:rFonts w:hint="eastAsia" w:ascii="仿宋_GB2312" w:hAnsi="仿宋" w:eastAsia="仿宋_GB2312"/>
          <w:sz w:val="30"/>
          <w:szCs w:val="30"/>
          <w:highlight w:val="none"/>
        </w:rPr>
        <w:t>，需结合实际情况修改或填写情况说明；</w:t>
      </w:r>
    </w:p>
    <w:p w14:paraId="17E40DA0">
      <w:pPr>
        <w:numPr>
          <w:ilvl w:val="0"/>
          <w:numId w:val="5"/>
        </w:numPr>
        <w:spacing w:line="360" w:lineRule="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当流动资产、在建工程、土地使用权处置形式为“报废或者损失核销”时，提示核实性错误</w:t>
      </w:r>
      <w:r>
        <w:rPr>
          <w:rFonts w:hint="eastAsia" w:ascii="仿宋_GB2312" w:hAnsi="仿宋" w:eastAsia="仿宋_GB2312"/>
          <w:sz w:val="30"/>
          <w:szCs w:val="30"/>
          <w:highlight w:val="none"/>
        </w:rPr>
        <w:t>，需结合实际情况修改或填写情况说明；</w:t>
      </w:r>
    </w:p>
    <w:p w14:paraId="053F09D7">
      <w:pPr>
        <w:numPr>
          <w:ilvl w:val="0"/>
          <w:numId w:val="5"/>
        </w:numPr>
        <w:spacing w:line="360" w:lineRule="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当</w:t>
      </w:r>
      <w:r>
        <w:rPr>
          <w:rFonts w:hint="eastAsia" w:ascii="仿宋_GB2312" w:eastAsia="仿宋_GB2312"/>
          <w:sz w:val="30"/>
          <w:szCs w:val="30"/>
          <w:highlight w:val="none"/>
        </w:rPr>
        <w:t>处置形式</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2栏</w:t>
      </w:r>
      <w:r>
        <w:rPr>
          <w:rFonts w:hint="eastAsia" w:ascii="仿宋_GB2312" w:eastAsia="仿宋_GB2312"/>
          <w:sz w:val="30"/>
          <w:szCs w:val="30"/>
          <w:highlight w:val="none"/>
          <w:lang w:eastAsia="zh-CN"/>
        </w:rPr>
        <w:t>）</w:t>
      </w:r>
      <w:r>
        <w:rPr>
          <w:rFonts w:hint="eastAsia" w:ascii="仿宋_GB2312" w:hAnsi="仿宋_GB2312" w:eastAsia="仿宋_GB2312" w:cs="仿宋_GB2312"/>
          <w:sz w:val="30"/>
          <w:szCs w:val="30"/>
          <w:highlight w:val="none"/>
        </w:rPr>
        <w:t>为“其他”时，需结合实际情况修改或说明处置资产详细情况；</w:t>
      </w:r>
    </w:p>
    <w:p w14:paraId="21A93220">
      <w:pPr>
        <w:numPr>
          <w:ilvl w:val="0"/>
          <w:numId w:val="5"/>
        </w:numPr>
        <w:spacing w:line="360" w:lineRule="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当浮动行</w:t>
      </w:r>
      <w:r>
        <w:rPr>
          <w:rFonts w:hint="eastAsia" w:ascii="仿宋_GB2312" w:hAnsi="仿宋_GB2312" w:eastAsia="仿宋_GB2312" w:cs="仿宋_GB2312"/>
          <w:sz w:val="30"/>
          <w:szCs w:val="30"/>
          <w:highlight w:val="none"/>
          <w:lang w:val="en-US" w:eastAsia="zh-CN"/>
        </w:rPr>
        <w:t>存在</w:t>
      </w:r>
      <w:r>
        <w:rPr>
          <w:rFonts w:hint="eastAsia" w:ascii="仿宋_GB2312" w:hAnsi="仿宋_GB2312" w:eastAsia="仿宋_GB2312" w:cs="仿宋_GB2312"/>
          <w:sz w:val="30"/>
          <w:szCs w:val="30"/>
          <w:highlight w:val="none"/>
        </w:rPr>
        <w:t>文物和陈列品</w:t>
      </w:r>
      <w:r>
        <w:rPr>
          <w:rFonts w:hint="eastAsia" w:ascii="仿宋_GB2312" w:hAnsi="仿宋_GB2312" w:eastAsia="仿宋_GB2312" w:cs="仿宋_GB2312"/>
          <w:sz w:val="30"/>
          <w:szCs w:val="30"/>
          <w:highlight w:val="none"/>
          <w:lang w:val="en-US" w:eastAsia="zh-CN"/>
        </w:rPr>
        <w:t>的数量、原值、净值（</w:t>
      </w:r>
      <w:r>
        <w:rPr>
          <w:rFonts w:hint="eastAsia" w:ascii="仿宋_GB2312" w:hAnsi="仿宋_GB2312" w:eastAsia="仿宋_GB2312" w:cs="仿宋_GB2312"/>
          <w:sz w:val="30"/>
          <w:szCs w:val="30"/>
          <w:highlight w:val="none"/>
        </w:rPr>
        <w:t>22~24栏</w:t>
      </w:r>
      <w:r>
        <w:rPr>
          <w:rFonts w:hint="eastAsia" w:ascii="仿宋_GB2312" w:hAnsi="仿宋_GB2312" w:eastAsia="仿宋_GB2312" w:cs="仿宋_GB2312"/>
          <w:sz w:val="30"/>
          <w:szCs w:val="30"/>
          <w:highlight w:val="none"/>
          <w:lang w:val="en-US" w:eastAsia="zh-CN"/>
        </w:rPr>
        <w:t>）大于</w:t>
      </w:r>
      <w:r>
        <w:rPr>
          <w:rFonts w:hint="eastAsia" w:ascii="仿宋_GB2312" w:hAnsi="仿宋_GB2312" w:eastAsia="仿宋_GB2312" w:cs="仿宋_GB2312"/>
          <w:sz w:val="30"/>
          <w:szCs w:val="30"/>
          <w:highlight w:val="none"/>
        </w:rPr>
        <w:t>0时，提示核实性错误，需结合实际情况修改或填写情况说明；</w:t>
      </w:r>
    </w:p>
    <w:p w14:paraId="285C7881">
      <w:pPr>
        <w:numPr>
          <w:ilvl w:val="0"/>
          <w:numId w:val="5"/>
        </w:numPr>
        <w:spacing w:line="360" w:lineRule="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当浮动行其他</w:t>
      </w:r>
      <w:r>
        <w:rPr>
          <w:rFonts w:hint="eastAsia" w:ascii="仿宋_GB2312" w:hAnsi="仿宋_GB2312" w:eastAsia="仿宋_GB2312" w:cs="仿宋_GB2312"/>
          <w:sz w:val="30"/>
          <w:szCs w:val="30"/>
          <w:highlight w:val="none"/>
          <w:lang w:val="en-US" w:eastAsia="zh-CN"/>
        </w:rPr>
        <w:t>资产原值（</w:t>
      </w:r>
      <w:r>
        <w:rPr>
          <w:rFonts w:hint="eastAsia" w:ascii="仿宋_GB2312" w:hAnsi="仿宋_GB2312" w:eastAsia="仿宋_GB2312" w:cs="仿宋_GB2312"/>
          <w:sz w:val="30"/>
          <w:szCs w:val="30"/>
          <w:highlight w:val="none"/>
        </w:rPr>
        <w:t>55栏</w:t>
      </w:r>
      <w:r>
        <w:rPr>
          <w:rFonts w:hint="eastAsia" w:ascii="仿宋_GB2312" w:hAnsi="仿宋_GB2312" w:eastAsia="仿宋_GB2312" w:cs="仿宋_GB2312"/>
          <w:sz w:val="30"/>
          <w:szCs w:val="30"/>
          <w:highlight w:val="none"/>
          <w:lang w:val="en-US" w:eastAsia="zh-CN"/>
        </w:rPr>
        <w:t>）大于</w:t>
      </w:r>
      <w:r>
        <w:rPr>
          <w:rFonts w:hint="eastAsia" w:ascii="仿宋_GB2312" w:hAnsi="仿宋_GB2312" w:eastAsia="仿宋_GB2312" w:cs="仿宋_GB2312"/>
          <w:sz w:val="30"/>
          <w:szCs w:val="30"/>
          <w:highlight w:val="none"/>
        </w:rPr>
        <w:t>0时，提示核实性错误，需结合实际情况修改或填写情况说明。</w:t>
      </w:r>
    </w:p>
    <w:p w14:paraId="4686D158">
      <w:pPr>
        <w:pStyle w:val="2"/>
        <w:rPr>
          <w:rFonts w:hint="eastAsia"/>
          <w:b/>
          <w:color w:val="auto"/>
          <w:highlight w:val="none"/>
        </w:rPr>
      </w:pPr>
      <w:r>
        <w:rPr>
          <w:rFonts w:hint="eastAsia"/>
          <w:color w:val="auto"/>
          <w:highlight w:val="none"/>
        </w:rPr>
        <w:t>（十二）对外投资情况表（财资1</w:t>
      </w:r>
      <w:r>
        <w:rPr>
          <w:color w:val="auto"/>
          <w:highlight w:val="none"/>
        </w:rPr>
        <w:t>1</w:t>
      </w:r>
      <w:r>
        <w:rPr>
          <w:rFonts w:hint="eastAsia"/>
          <w:color w:val="auto"/>
          <w:highlight w:val="none"/>
        </w:rPr>
        <w:t>表）</w:t>
      </w:r>
    </w:p>
    <w:p w14:paraId="5D8991F4">
      <w:pPr>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本表反映行政事业单位对外投资情况，要求单位将对外投资事项逐项逐笔填列。除法律另有规定外，行政单位不得以任何形式将国有资产用于对外投资。如果行政单位存在法律允许的对外投资情况，也需要填列此表。事业单位以各种形式持有时间超过1年（不含1年）的股权性质的投资须纳入长期股权投资核算，不得将对外投资长期在往来款科目核算。</w:t>
      </w:r>
    </w:p>
    <w:p w14:paraId="48D68177">
      <w:pPr>
        <w:snapToGrid w:val="0"/>
        <w:spacing w:line="360" w:lineRule="auto"/>
        <w:ind w:firstLine="602" w:firstLineChars="200"/>
        <w:rPr>
          <w:rFonts w:hint="eastAsia" w:ascii="仿宋_GB2312" w:hAnsi="仿宋" w:eastAsia="仿宋_GB2312"/>
          <w:b/>
          <w:bCs/>
          <w:sz w:val="30"/>
          <w:szCs w:val="30"/>
          <w:highlight w:val="none"/>
        </w:rPr>
      </w:pPr>
      <w:r>
        <w:rPr>
          <w:rFonts w:hint="eastAsia" w:ascii="仿宋_GB2312" w:hAnsi="仿宋" w:eastAsia="仿宋_GB2312"/>
          <w:b/>
          <w:bCs/>
          <w:sz w:val="30"/>
          <w:szCs w:val="30"/>
          <w:highlight w:val="none"/>
        </w:rPr>
        <w:t>主要指标说明：</w:t>
      </w:r>
    </w:p>
    <w:p w14:paraId="38428F68">
      <w:pPr>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1</w:t>
      </w:r>
      <w:r>
        <w:rPr>
          <w:rFonts w:ascii="仿宋_GB2312" w:hAnsi="仿宋" w:eastAsia="仿宋_GB2312"/>
          <w:sz w:val="30"/>
          <w:szCs w:val="30"/>
          <w:highlight w:val="none"/>
        </w:rPr>
        <w:t>.</w:t>
      </w:r>
      <w:r>
        <w:rPr>
          <w:rFonts w:hint="eastAsia" w:ascii="仿宋_GB2312" w:hAnsi="仿宋" w:eastAsia="仿宋_GB2312"/>
          <w:sz w:val="30"/>
          <w:szCs w:val="30"/>
          <w:highlight w:val="none"/>
        </w:rPr>
        <w:t>单位会计科目：被投资单位（项目）的会计科目。按长期债权投资、长期股权投资、短期投资选择填列。</w:t>
      </w:r>
    </w:p>
    <w:p w14:paraId="69EFC1CA">
      <w:pPr>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2.被投资单位（项目）名称：反映被投资单位（项目）全称。</w:t>
      </w:r>
    </w:p>
    <w:p w14:paraId="5AF0BABD">
      <w:pPr>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3</w:t>
      </w:r>
      <w:r>
        <w:rPr>
          <w:rFonts w:ascii="仿宋_GB2312" w:hAnsi="仿宋" w:eastAsia="仿宋_GB2312"/>
          <w:sz w:val="30"/>
          <w:szCs w:val="30"/>
          <w:highlight w:val="none"/>
        </w:rPr>
        <w:t>.</w:t>
      </w:r>
      <w:r>
        <w:rPr>
          <w:rFonts w:hint="eastAsia" w:ascii="仿宋_GB2312" w:hAnsi="仿宋" w:eastAsia="仿宋_GB2312"/>
          <w:sz w:val="30"/>
          <w:szCs w:val="30"/>
          <w:highlight w:val="none"/>
        </w:rPr>
        <w:t>出资资产账面原值：</w:t>
      </w:r>
      <w:r>
        <w:rPr>
          <w:rFonts w:hint="eastAsia" w:ascii="仿宋_GB2312" w:hAnsi="仿宋" w:eastAsia="仿宋_GB2312"/>
          <w:sz w:val="30"/>
          <w:szCs w:val="30"/>
          <w:highlight w:val="none"/>
          <w:lang w:val="en-US" w:eastAsia="zh-CN"/>
        </w:rPr>
        <w:t>本项目按照长期股权投资</w:t>
      </w:r>
      <w:r>
        <w:rPr>
          <w:rFonts w:hint="eastAsia" w:ascii="仿宋_GB2312" w:hAnsi="仿宋" w:eastAsia="仿宋_GB2312"/>
          <w:sz w:val="30"/>
          <w:szCs w:val="30"/>
          <w:highlight w:val="none"/>
        </w:rPr>
        <w:t>实际</w:t>
      </w:r>
      <w:r>
        <w:rPr>
          <w:rFonts w:hint="eastAsia" w:ascii="仿宋_GB2312" w:hAnsi="仿宋" w:eastAsia="仿宋_GB2312"/>
          <w:sz w:val="30"/>
          <w:szCs w:val="30"/>
          <w:highlight w:val="none"/>
          <w:lang w:val="en-US" w:eastAsia="zh-CN"/>
        </w:rPr>
        <w:t>成本填列</w:t>
      </w:r>
      <w:r>
        <w:rPr>
          <w:rFonts w:hint="eastAsia" w:ascii="仿宋_GB2312" w:hAnsi="仿宋" w:eastAsia="仿宋_GB2312"/>
          <w:sz w:val="30"/>
          <w:szCs w:val="30"/>
          <w:highlight w:val="none"/>
        </w:rPr>
        <w:t>，不包含采用权益法核算的长期股权投资期末余额变动数。</w:t>
      </w:r>
    </w:p>
    <w:p w14:paraId="293CB74B">
      <w:pPr>
        <w:snapToGrid w:val="0"/>
        <w:spacing w:line="360" w:lineRule="auto"/>
        <w:ind w:firstLine="600" w:firstLineChars="200"/>
        <w:rPr>
          <w:rFonts w:hint="eastAsia" w:ascii="仿宋_GB2312" w:hAnsi="仿宋" w:eastAsia="仿宋_GB2312"/>
          <w:sz w:val="30"/>
          <w:szCs w:val="30"/>
          <w:highlight w:val="none"/>
        </w:rPr>
      </w:pPr>
      <w:r>
        <w:rPr>
          <w:rFonts w:ascii="仿宋_GB2312" w:hAnsi="仿宋" w:eastAsia="仿宋_GB2312"/>
          <w:sz w:val="30"/>
          <w:szCs w:val="30"/>
          <w:highlight w:val="none"/>
        </w:rPr>
        <w:t>4.</w:t>
      </w:r>
      <w:r>
        <w:rPr>
          <w:rFonts w:hint="eastAsia" w:ascii="仿宋_GB2312" w:hAnsi="仿宋" w:eastAsia="仿宋_GB2312"/>
          <w:sz w:val="30"/>
          <w:szCs w:val="30"/>
          <w:highlight w:val="none"/>
        </w:rPr>
        <w:t>审批情况：按财政部门审批、机关事务管理部门审批、主管部门审批、单位内部审批、未审批选择填列。</w:t>
      </w:r>
    </w:p>
    <w:p w14:paraId="5E785E15">
      <w:pPr>
        <w:snapToGrid w:val="0"/>
        <w:spacing w:line="360" w:lineRule="auto"/>
        <w:ind w:firstLine="600" w:firstLineChars="200"/>
        <w:rPr>
          <w:rFonts w:hint="eastAsia" w:ascii="仿宋_GB2312" w:hAnsi="仿宋" w:eastAsia="仿宋_GB2312"/>
          <w:sz w:val="30"/>
          <w:szCs w:val="30"/>
          <w:highlight w:val="none"/>
        </w:rPr>
      </w:pPr>
      <w:r>
        <w:rPr>
          <w:rFonts w:ascii="仿宋_GB2312" w:hAnsi="仿宋" w:eastAsia="仿宋_GB2312"/>
          <w:sz w:val="30"/>
          <w:szCs w:val="30"/>
          <w:highlight w:val="none"/>
        </w:rPr>
        <w:t>5.</w:t>
      </w:r>
      <w:r>
        <w:rPr>
          <w:rFonts w:hint="eastAsia" w:ascii="仿宋_GB2312" w:hAnsi="仿宋" w:eastAsia="仿宋_GB2312"/>
          <w:sz w:val="30"/>
          <w:szCs w:val="30"/>
          <w:highlight w:val="none"/>
        </w:rPr>
        <w:t>投资开始日期：按投资事项的财务入账日期填列。</w:t>
      </w:r>
    </w:p>
    <w:p w14:paraId="7A694C80">
      <w:pPr>
        <w:pStyle w:val="4"/>
        <w:adjustRightInd w:val="0"/>
        <w:snapToGrid w:val="0"/>
        <w:spacing w:line="360" w:lineRule="auto"/>
        <w:ind w:firstLine="600"/>
        <w:rPr>
          <w:rFonts w:hint="eastAsia" w:ascii="仿宋_GB2312" w:hAnsi="仿宋" w:eastAsia="仿宋_GB2312"/>
          <w:color w:val="auto"/>
          <w:sz w:val="30"/>
          <w:szCs w:val="30"/>
          <w:highlight w:val="none"/>
        </w:rPr>
      </w:pPr>
      <w:r>
        <w:rPr>
          <w:rFonts w:ascii="仿宋_GB2312" w:hAnsi="仿宋" w:eastAsia="仿宋_GB2312"/>
          <w:color w:val="auto"/>
          <w:sz w:val="30"/>
          <w:szCs w:val="30"/>
          <w:highlight w:val="none"/>
        </w:rPr>
        <w:t>6.</w:t>
      </w:r>
      <w:r>
        <w:rPr>
          <w:rFonts w:hint="eastAsia" w:ascii="仿宋_GB2312" w:hAnsi="仿宋" w:eastAsia="仿宋_GB2312"/>
          <w:color w:val="auto"/>
          <w:sz w:val="30"/>
          <w:szCs w:val="30"/>
          <w:highlight w:val="none"/>
        </w:rPr>
        <w:t>对外投资期末账面数：反映投资单位各项对外投资的期末账面金额，包含采用权益法核算的长期股权投资期末余额变动数，应当与资产负债表中的长期股权投资、长期债券投资、短期投资数据一致。</w:t>
      </w:r>
    </w:p>
    <w:p w14:paraId="07FACAE0">
      <w:pPr>
        <w:pStyle w:val="4"/>
        <w:adjustRightInd w:val="0"/>
        <w:snapToGrid w:val="0"/>
        <w:spacing w:line="360" w:lineRule="auto"/>
        <w:ind w:firstLine="600"/>
        <w:rPr>
          <w:rFonts w:hint="eastAsia" w:ascii="仿宋_GB2312" w:hAnsi="仿宋" w:eastAsia="仿宋_GB2312"/>
          <w:color w:val="auto"/>
          <w:sz w:val="30"/>
          <w:szCs w:val="30"/>
          <w:highlight w:val="none"/>
        </w:rPr>
      </w:pPr>
      <w:r>
        <w:rPr>
          <w:rFonts w:hint="eastAsia" w:ascii="仿宋_GB2312" w:hAnsi="仿宋" w:eastAsia="仿宋_GB2312"/>
          <w:color w:val="auto"/>
          <w:sz w:val="30"/>
          <w:szCs w:val="30"/>
          <w:highlight w:val="none"/>
        </w:rPr>
        <w:t>7</w:t>
      </w:r>
      <w:r>
        <w:rPr>
          <w:rFonts w:ascii="仿宋_GB2312" w:hAnsi="仿宋" w:eastAsia="仿宋_GB2312"/>
          <w:color w:val="auto"/>
          <w:sz w:val="30"/>
          <w:szCs w:val="30"/>
          <w:highlight w:val="none"/>
        </w:rPr>
        <w:t>.</w:t>
      </w:r>
      <w:r>
        <w:rPr>
          <w:rFonts w:hint="eastAsia" w:ascii="仿宋_GB2312" w:hAnsi="仿宋" w:eastAsia="仿宋_GB2312"/>
          <w:color w:val="auto"/>
          <w:sz w:val="30"/>
          <w:szCs w:val="30"/>
          <w:highlight w:val="none"/>
        </w:rPr>
        <w:t>债券投资：反映单位购买各种债券形成的投资，包括国债、企业债券等债券投资。</w:t>
      </w:r>
    </w:p>
    <w:p w14:paraId="5DD55916">
      <w:pPr>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8.债券投资_本期投资金额：填列单位本期购买长期债券投资和短期债券投资金额。</w:t>
      </w:r>
    </w:p>
    <w:p w14:paraId="52B3CAE6">
      <w:pPr>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9</w:t>
      </w:r>
      <w:r>
        <w:rPr>
          <w:rFonts w:ascii="仿宋_GB2312" w:hAnsi="仿宋" w:eastAsia="仿宋_GB2312"/>
          <w:sz w:val="30"/>
          <w:szCs w:val="30"/>
          <w:highlight w:val="none"/>
        </w:rPr>
        <w:t>.</w:t>
      </w:r>
      <w:r>
        <w:rPr>
          <w:rFonts w:hint="eastAsia" w:ascii="仿宋_GB2312" w:hAnsi="仿宋" w:eastAsia="仿宋_GB2312"/>
          <w:sz w:val="30"/>
          <w:szCs w:val="30"/>
          <w:highlight w:val="none"/>
        </w:rPr>
        <w:t>债券投资_票面金额：填列债券票面所载金额。</w:t>
      </w:r>
    </w:p>
    <w:p w14:paraId="75BEACA6">
      <w:pPr>
        <w:spacing w:line="360" w:lineRule="auto"/>
        <w:ind w:firstLine="600" w:firstLineChars="200"/>
        <w:rPr>
          <w:rFonts w:hint="eastAsia" w:ascii="仿宋_GB2312" w:hAnsi="仿宋_GB2312" w:eastAsia="仿宋_GB2312" w:cs="仿宋_GB2312"/>
          <w:sz w:val="30"/>
          <w:szCs w:val="30"/>
          <w:highlight w:val="none"/>
          <w:shd w:val="clear" w:color="auto" w:fill="FFFFFF"/>
        </w:rPr>
      </w:pPr>
      <w:r>
        <w:rPr>
          <w:rFonts w:hint="eastAsia" w:ascii="仿宋_GB2312" w:hAnsi="仿宋_GB2312" w:eastAsia="仿宋_GB2312" w:cs="仿宋_GB2312"/>
          <w:sz w:val="30"/>
          <w:szCs w:val="30"/>
          <w:highlight w:val="none"/>
        </w:rPr>
        <w:t>10</w:t>
      </w:r>
      <w:r>
        <w:rPr>
          <w:rFonts w:ascii="仿宋_GB2312" w:hAnsi="仿宋_GB2312" w:eastAsia="仿宋_GB2312" w:cs="仿宋_GB2312"/>
          <w:sz w:val="30"/>
          <w:szCs w:val="30"/>
          <w:highlight w:val="none"/>
        </w:rPr>
        <w:t>.</w:t>
      </w:r>
      <w:r>
        <w:rPr>
          <w:rFonts w:hint="eastAsia" w:ascii="仿宋_GB2312" w:hAnsi="仿宋_GB2312" w:eastAsia="仿宋_GB2312" w:cs="仿宋_GB2312"/>
          <w:sz w:val="30"/>
          <w:szCs w:val="30"/>
          <w:highlight w:val="none"/>
        </w:rPr>
        <w:t>股权投资：指单位</w:t>
      </w:r>
      <w:r>
        <w:rPr>
          <w:rFonts w:hint="eastAsia" w:ascii="仿宋_GB2312" w:hAnsi="仿宋_GB2312" w:eastAsia="仿宋_GB2312" w:cs="仿宋_GB2312"/>
          <w:sz w:val="30"/>
          <w:szCs w:val="30"/>
          <w:highlight w:val="none"/>
          <w:shd w:val="clear" w:color="auto" w:fill="FFFFFF"/>
        </w:rPr>
        <w:t>以流动资产、固定资产、无形资产和其他资产投资于其他企业形成的投资。</w:t>
      </w:r>
    </w:p>
    <w:p w14:paraId="764521D6">
      <w:pPr>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11</w:t>
      </w:r>
      <w:r>
        <w:rPr>
          <w:rFonts w:ascii="仿宋_GB2312" w:hAnsi="仿宋" w:eastAsia="仿宋_GB2312"/>
          <w:sz w:val="30"/>
          <w:szCs w:val="30"/>
          <w:highlight w:val="none"/>
        </w:rPr>
        <w:t>.</w:t>
      </w:r>
      <w:r>
        <w:rPr>
          <w:rFonts w:hint="eastAsia" w:ascii="仿宋_GB2312" w:hAnsi="仿宋_GB2312" w:eastAsia="仿宋_GB2312" w:cs="仿宋_GB2312"/>
          <w:sz w:val="30"/>
          <w:szCs w:val="30"/>
          <w:highlight w:val="none"/>
          <w:shd w:val="clear" w:color="auto" w:fill="FFFFFF"/>
        </w:rPr>
        <w:t>股权投资_</w:t>
      </w:r>
      <w:r>
        <w:rPr>
          <w:rFonts w:hint="eastAsia" w:ascii="仿宋_GB2312" w:hAnsi="仿宋" w:eastAsia="仿宋_GB2312"/>
          <w:sz w:val="30"/>
          <w:szCs w:val="30"/>
          <w:highlight w:val="none"/>
        </w:rPr>
        <w:t>本期投资金额：填列单位本期投资金额以及通过接受捐赠和调入方式取得的长期股权投资金额。</w:t>
      </w:r>
    </w:p>
    <w:p w14:paraId="441916F5">
      <w:pPr>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12</w:t>
      </w:r>
      <w:r>
        <w:rPr>
          <w:rFonts w:ascii="仿宋_GB2312" w:hAnsi="仿宋" w:eastAsia="仿宋_GB2312"/>
          <w:sz w:val="30"/>
          <w:szCs w:val="30"/>
          <w:highlight w:val="none"/>
        </w:rPr>
        <w:t>.</w:t>
      </w:r>
      <w:r>
        <w:rPr>
          <w:rFonts w:hint="eastAsia" w:ascii="仿宋_GB2312" w:hAnsi="仿宋" w:eastAsia="仿宋_GB2312"/>
          <w:sz w:val="30"/>
          <w:szCs w:val="30"/>
          <w:highlight w:val="none"/>
        </w:rPr>
        <w:t>期末持股比例：填列单位期末对被投资单位的实际持股比例。</w:t>
      </w:r>
    </w:p>
    <w:p w14:paraId="73356BC4">
      <w:pPr>
        <w:pStyle w:val="4"/>
        <w:adjustRightInd w:val="0"/>
        <w:snapToGrid w:val="0"/>
        <w:spacing w:line="360" w:lineRule="auto"/>
        <w:ind w:firstLine="600"/>
        <w:rPr>
          <w:rFonts w:hint="eastAsia" w:ascii="仿宋_GB2312" w:hAnsi="仿宋" w:eastAsia="仿宋_GB2312"/>
          <w:color w:val="auto"/>
          <w:sz w:val="30"/>
          <w:szCs w:val="30"/>
          <w:highlight w:val="none"/>
        </w:rPr>
      </w:pPr>
      <w:r>
        <w:rPr>
          <w:rFonts w:ascii="仿宋_GB2312" w:hAnsi="仿宋" w:eastAsia="仿宋_GB2312"/>
          <w:color w:val="auto"/>
          <w:sz w:val="30"/>
          <w:szCs w:val="30"/>
          <w:highlight w:val="none"/>
        </w:rPr>
        <w:t>1</w:t>
      </w:r>
      <w:r>
        <w:rPr>
          <w:rFonts w:hint="eastAsia" w:ascii="仿宋_GB2312" w:hAnsi="仿宋" w:eastAsia="仿宋_GB2312"/>
          <w:color w:val="auto"/>
          <w:sz w:val="30"/>
          <w:szCs w:val="30"/>
          <w:highlight w:val="none"/>
        </w:rPr>
        <w:t>3</w:t>
      </w:r>
      <w:r>
        <w:rPr>
          <w:rFonts w:ascii="仿宋_GB2312" w:hAnsi="仿宋" w:eastAsia="仿宋_GB2312"/>
          <w:color w:val="auto"/>
          <w:sz w:val="30"/>
          <w:szCs w:val="30"/>
          <w:highlight w:val="none"/>
        </w:rPr>
        <w:t>.是否实际控制：根据对被投资单位是否具有实际控制权利</w:t>
      </w:r>
      <w:r>
        <w:rPr>
          <w:rFonts w:hint="eastAsia" w:ascii="仿宋_GB2312" w:hAnsi="仿宋" w:eastAsia="仿宋_GB2312"/>
          <w:color w:val="auto"/>
          <w:sz w:val="30"/>
          <w:szCs w:val="30"/>
          <w:highlight w:val="none"/>
        </w:rPr>
        <w:t>（根据《企业国有资产交易监督管理办法》（国务院国资委 财政部令第32号）第四条有关规定确定）</w:t>
      </w:r>
      <w:r>
        <w:rPr>
          <w:rFonts w:ascii="仿宋_GB2312" w:hAnsi="仿宋" w:eastAsia="仿宋_GB2312"/>
          <w:color w:val="auto"/>
          <w:sz w:val="30"/>
          <w:szCs w:val="30"/>
          <w:highlight w:val="none"/>
        </w:rPr>
        <w:t>，</w:t>
      </w:r>
      <w:r>
        <w:rPr>
          <w:rFonts w:hint="eastAsia" w:ascii="仿宋_GB2312" w:hAnsi="仿宋" w:eastAsia="仿宋_GB2312"/>
          <w:color w:val="auto"/>
          <w:sz w:val="30"/>
          <w:szCs w:val="30"/>
          <w:highlight w:val="none"/>
        </w:rPr>
        <w:t>实际控制选择填列“是”，并细化选择“国有独资、国有控股、国有实际控制”，非实际控制选择填列“否”。</w:t>
      </w:r>
    </w:p>
    <w:p w14:paraId="139F38E7">
      <w:pPr>
        <w:pStyle w:val="4"/>
        <w:adjustRightInd w:val="0"/>
        <w:snapToGrid w:val="0"/>
        <w:spacing w:line="360" w:lineRule="auto"/>
        <w:ind w:firstLine="639" w:firstLineChars="213"/>
        <w:rPr>
          <w:rFonts w:hint="eastAsia" w:ascii="仿宋_GB2312" w:hAnsi="仿宋" w:eastAsia="仿宋_GB2312"/>
          <w:color w:val="auto"/>
          <w:sz w:val="30"/>
          <w:szCs w:val="30"/>
          <w:highlight w:val="none"/>
        </w:rPr>
      </w:pPr>
      <w:r>
        <w:rPr>
          <w:rFonts w:hint="eastAsia" w:ascii="仿宋_GB2312" w:hAnsi="仿宋" w:eastAsia="仿宋_GB2312"/>
          <w:color w:val="auto"/>
          <w:sz w:val="30"/>
          <w:szCs w:val="30"/>
          <w:highlight w:val="none"/>
        </w:rPr>
        <w:t>14</w:t>
      </w:r>
      <w:r>
        <w:rPr>
          <w:rFonts w:ascii="仿宋_GB2312" w:hAnsi="仿宋" w:eastAsia="仿宋_GB2312"/>
          <w:color w:val="auto"/>
          <w:sz w:val="30"/>
          <w:szCs w:val="30"/>
          <w:highlight w:val="none"/>
        </w:rPr>
        <w:t>.</w:t>
      </w:r>
      <w:r>
        <w:rPr>
          <w:rFonts w:hint="eastAsia" w:ascii="仿宋_GB2312" w:hAnsi="仿宋" w:eastAsia="仿宋_GB2312"/>
          <w:color w:val="auto"/>
          <w:sz w:val="30"/>
          <w:szCs w:val="30"/>
          <w:highlight w:val="none"/>
        </w:rPr>
        <w:t>经营状况</w:t>
      </w:r>
      <w:r>
        <w:rPr>
          <w:rFonts w:ascii="仿宋_GB2312" w:hAnsi="仿宋" w:eastAsia="仿宋_GB2312"/>
          <w:color w:val="auto"/>
          <w:sz w:val="30"/>
          <w:szCs w:val="30"/>
          <w:highlight w:val="none"/>
        </w:rPr>
        <w:t>：</w:t>
      </w:r>
      <w:r>
        <w:rPr>
          <w:rFonts w:hint="eastAsia" w:ascii="仿宋_GB2312" w:hAnsi="仿宋" w:eastAsia="仿宋_GB2312"/>
          <w:color w:val="auto"/>
          <w:sz w:val="30"/>
          <w:szCs w:val="30"/>
          <w:highlight w:val="none"/>
        </w:rPr>
        <w:t>反映被投资单位经营状况，按照正常经营、停业歇业、待注销、已注销待清理、其他选择填列。</w:t>
      </w:r>
    </w:p>
    <w:p w14:paraId="2EA59B2A">
      <w:pPr>
        <w:pStyle w:val="4"/>
        <w:adjustRightInd w:val="0"/>
        <w:snapToGrid w:val="0"/>
        <w:spacing w:line="360" w:lineRule="auto"/>
        <w:ind w:firstLine="639" w:firstLineChars="213"/>
        <w:rPr>
          <w:rFonts w:hint="eastAsia" w:ascii="仿宋_GB2312" w:hAnsi="仿宋" w:eastAsia="仿宋_GB2312"/>
          <w:color w:val="auto"/>
          <w:sz w:val="30"/>
          <w:szCs w:val="30"/>
          <w:highlight w:val="none"/>
        </w:rPr>
      </w:pPr>
      <w:r>
        <w:rPr>
          <w:rFonts w:hint="eastAsia" w:ascii="仿宋_GB2312" w:hAnsi="仿宋" w:eastAsia="仿宋_GB2312"/>
          <w:color w:val="auto"/>
          <w:sz w:val="30"/>
          <w:szCs w:val="30"/>
          <w:highlight w:val="none"/>
        </w:rPr>
        <w:t>15.是否编报国有企业财务会计决算：依据被投资单位编报国有企业财务会计决算的实际情况选择是、否填列。</w:t>
      </w:r>
    </w:p>
    <w:p w14:paraId="6B8C3FBC">
      <w:pPr>
        <w:pStyle w:val="4"/>
        <w:adjustRightInd w:val="0"/>
        <w:snapToGrid w:val="0"/>
        <w:spacing w:line="360" w:lineRule="auto"/>
        <w:ind w:firstLine="639" w:firstLineChars="213"/>
        <w:rPr>
          <w:rFonts w:hint="eastAsia" w:ascii="仿宋_GB2312" w:hAnsi="仿宋" w:eastAsia="仿宋_GB2312"/>
          <w:color w:val="auto"/>
          <w:sz w:val="30"/>
          <w:szCs w:val="30"/>
          <w:highlight w:val="none"/>
        </w:rPr>
      </w:pPr>
      <w:r>
        <w:rPr>
          <w:rFonts w:hint="eastAsia" w:ascii="仿宋_GB2312" w:hAnsi="仿宋" w:eastAsia="仿宋_GB2312"/>
          <w:color w:val="auto"/>
          <w:sz w:val="30"/>
          <w:szCs w:val="30"/>
          <w:highlight w:val="none"/>
        </w:rPr>
        <w:t>16.是否办理国有资本产权登记：依据被投资单位办理国有资本产权登记情况，按照是、否填列。</w:t>
      </w:r>
    </w:p>
    <w:p w14:paraId="75E190BE">
      <w:pPr>
        <w:pStyle w:val="4"/>
        <w:adjustRightInd w:val="0"/>
        <w:snapToGrid w:val="0"/>
        <w:spacing w:line="360" w:lineRule="auto"/>
        <w:ind w:firstLine="639" w:firstLineChars="213"/>
        <w:rPr>
          <w:rFonts w:hint="eastAsia" w:ascii="仿宋_GB2312" w:hAnsi="仿宋" w:eastAsia="仿宋_GB2312"/>
          <w:color w:val="auto"/>
          <w:sz w:val="30"/>
          <w:szCs w:val="30"/>
          <w:highlight w:val="none"/>
        </w:rPr>
      </w:pPr>
      <w:r>
        <w:rPr>
          <w:rFonts w:hint="eastAsia" w:ascii="仿宋_GB2312" w:hAnsi="仿宋" w:eastAsia="仿宋_GB2312"/>
          <w:color w:val="auto"/>
          <w:sz w:val="30"/>
          <w:szCs w:val="30"/>
          <w:highlight w:val="none"/>
        </w:rPr>
        <w:t>17</w:t>
      </w:r>
      <w:r>
        <w:rPr>
          <w:rFonts w:ascii="仿宋_GB2312" w:hAnsi="仿宋" w:eastAsia="仿宋_GB2312"/>
          <w:color w:val="auto"/>
          <w:sz w:val="30"/>
          <w:szCs w:val="30"/>
          <w:highlight w:val="none"/>
        </w:rPr>
        <w:t>.</w:t>
      </w:r>
      <w:r>
        <w:rPr>
          <w:rFonts w:hint="eastAsia" w:ascii="仿宋_GB2312" w:hAnsi="仿宋" w:eastAsia="仿宋_GB2312"/>
          <w:color w:val="auto"/>
          <w:sz w:val="30"/>
          <w:szCs w:val="30"/>
          <w:highlight w:val="none"/>
        </w:rPr>
        <w:t>本期实收投资收益：指单位本年度实际收到的全部投资收益，不含企业上缴的企业国有资本收益。</w:t>
      </w:r>
    </w:p>
    <w:p w14:paraId="39C8E95B">
      <w:pPr>
        <w:pStyle w:val="4"/>
        <w:adjustRightInd w:val="0"/>
        <w:snapToGrid w:val="0"/>
        <w:spacing w:line="360" w:lineRule="auto"/>
        <w:ind w:firstLine="639" w:firstLineChars="213"/>
        <w:rPr>
          <w:rFonts w:hint="eastAsia" w:ascii="仿宋_GB2312" w:hAnsi="仿宋" w:eastAsia="仿宋_GB2312"/>
          <w:color w:val="auto"/>
          <w:sz w:val="30"/>
          <w:szCs w:val="30"/>
          <w:highlight w:val="none"/>
        </w:rPr>
      </w:pPr>
      <w:r>
        <w:rPr>
          <w:rFonts w:hint="eastAsia" w:ascii="仿宋_GB2312" w:hAnsi="仿宋" w:eastAsia="仿宋_GB2312"/>
          <w:color w:val="auto"/>
          <w:sz w:val="30"/>
          <w:szCs w:val="30"/>
          <w:highlight w:val="none"/>
        </w:rPr>
        <w:t>18.若被投资企业在当年已注销清理但本期存在实收投资收益的情况，按如下方式填写：“经营状况”选择“其他”，并在备注中说明情况，“是否实际控制”选择“否”，“期末投资金额”、“期末持股比例（%）”填写“0”，“本期实收投资收益”按照实际收益填写。</w:t>
      </w:r>
    </w:p>
    <w:p w14:paraId="06233761">
      <w:pPr>
        <w:pStyle w:val="4"/>
        <w:adjustRightInd w:val="0"/>
        <w:snapToGrid w:val="0"/>
        <w:spacing w:line="360" w:lineRule="auto"/>
        <w:ind w:firstLine="639" w:firstLineChars="213"/>
        <w:rPr>
          <w:rFonts w:hint="eastAsia" w:ascii="仿宋_GB2312" w:hAnsi="仿宋" w:eastAsia="仿宋_GB2312"/>
          <w:color w:val="auto"/>
          <w:sz w:val="30"/>
          <w:szCs w:val="30"/>
          <w:highlight w:val="none"/>
        </w:rPr>
      </w:pPr>
      <w:r>
        <w:rPr>
          <w:rFonts w:hint="eastAsia" w:ascii="仿宋_GB2312" w:hAnsi="仿宋" w:eastAsia="仿宋_GB2312"/>
          <w:color w:val="auto"/>
          <w:sz w:val="30"/>
          <w:szCs w:val="30"/>
          <w:highlight w:val="none"/>
        </w:rPr>
        <w:t>19.往期投资事项收益情况：指单位本年度实际收到的以前年度已注销的投资事项的投资收益，不含企业上缴的企业国有资本收益。</w:t>
      </w:r>
    </w:p>
    <w:p w14:paraId="3CEB8C2F">
      <w:pPr>
        <w:snapToGrid w:val="0"/>
        <w:spacing w:line="360" w:lineRule="auto"/>
        <w:ind w:firstLine="602" w:firstLineChars="200"/>
        <w:rPr>
          <w:rFonts w:hint="eastAsia" w:ascii="仿宋_GB2312" w:hAnsi="仿宋" w:eastAsia="仿宋_GB2312"/>
          <w:b/>
          <w:sz w:val="30"/>
          <w:szCs w:val="30"/>
          <w:highlight w:val="none"/>
        </w:rPr>
      </w:pPr>
      <w:r>
        <w:rPr>
          <w:rFonts w:hint="eastAsia" w:ascii="仿宋_GB2312" w:hAnsi="仿宋" w:eastAsia="仿宋_GB2312"/>
          <w:b/>
          <w:sz w:val="30"/>
          <w:szCs w:val="30"/>
          <w:highlight w:val="none"/>
        </w:rPr>
        <w:t>逻辑性审核公式：</w:t>
      </w:r>
    </w:p>
    <w:p w14:paraId="7D7AEA4A">
      <w:pPr>
        <w:snapToGrid w:val="0"/>
        <w:spacing w:line="360" w:lineRule="auto"/>
        <w:ind w:firstLine="602" w:firstLineChars="200"/>
        <w:rPr>
          <w:rFonts w:hint="eastAsia" w:ascii="仿宋_GB2312" w:hAnsi="仿宋" w:eastAsia="仿宋_GB2312"/>
          <w:b/>
          <w:sz w:val="30"/>
          <w:szCs w:val="30"/>
          <w:highlight w:val="none"/>
        </w:rPr>
      </w:pPr>
      <w:r>
        <w:rPr>
          <w:rFonts w:hint="eastAsia" w:ascii="仿宋_GB2312" w:hAnsi="仿宋" w:eastAsia="仿宋_GB2312"/>
          <w:b/>
          <w:sz w:val="30"/>
          <w:szCs w:val="30"/>
          <w:highlight w:val="none"/>
        </w:rPr>
        <w:t>表内公式：</w:t>
      </w:r>
    </w:p>
    <w:p w14:paraId="44911BC5">
      <w:pPr>
        <w:numPr>
          <w:ilvl w:val="0"/>
          <w:numId w:val="5"/>
        </w:numPr>
        <w:spacing w:line="360" w:lineRule="auto"/>
        <w:ind w:left="0" w:firstLine="0"/>
        <w:rPr>
          <w:rFonts w:ascii="仿宋_GB2312" w:eastAsia="仿宋_GB2312"/>
          <w:sz w:val="30"/>
          <w:szCs w:val="30"/>
          <w:highlight w:val="none"/>
        </w:rPr>
      </w:pPr>
      <w:r>
        <w:rPr>
          <w:rFonts w:hint="eastAsia" w:ascii="仿宋_GB2312" w:eastAsia="仿宋_GB2312"/>
          <w:sz w:val="30"/>
          <w:szCs w:val="30"/>
          <w:highlight w:val="none"/>
          <w:lang w:val="en-US" w:eastAsia="zh-CN"/>
        </w:rPr>
        <w:t>合计行（1行）等于本期对外投资事项小计（3行）等于各项指标（4</w:t>
      </w:r>
      <w:r>
        <w:rPr>
          <w:rFonts w:ascii="仿宋_GB2312" w:eastAsia="仿宋_GB2312"/>
          <w:sz w:val="30"/>
          <w:szCs w:val="30"/>
          <w:highlight w:val="none"/>
        </w:rPr>
        <w:t>~</w:t>
      </w:r>
      <w:r>
        <w:rPr>
          <w:rFonts w:hint="eastAsia" w:ascii="仿宋_GB2312" w:eastAsia="仿宋_GB2312"/>
          <w:sz w:val="30"/>
          <w:szCs w:val="30"/>
          <w:highlight w:val="none"/>
          <w:lang w:val="en-US" w:eastAsia="zh-CN"/>
        </w:rPr>
        <w:t>10</w:t>
      </w:r>
      <w:r>
        <w:rPr>
          <w:rFonts w:hint="eastAsia" w:ascii="仿宋_GB2312" w:eastAsia="仿宋_GB2312"/>
          <w:sz w:val="30"/>
          <w:szCs w:val="30"/>
          <w:highlight w:val="none"/>
        </w:rPr>
        <w:t>、1</w:t>
      </w:r>
      <w:r>
        <w:rPr>
          <w:rFonts w:hint="eastAsia" w:ascii="仿宋_GB2312" w:eastAsia="仿宋_GB2312"/>
          <w:sz w:val="30"/>
          <w:szCs w:val="30"/>
          <w:highlight w:val="none"/>
          <w:lang w:val="en-US" w:eastAsia="zh-CN"/>
        </w:rPr>
        <w:t>3</w:t>
      </w:r>
      <w:r>
        <w:rPr>
          <w:rFonts w:ascii="仿宋_GB2312" w:eastAsia="仿宋_GB2312"/>
          <w:sz w:val="30"/>
          <w:szCs w:val="30"/>
          <w:highlight w:val="none"/>
        </w:rPr>
        <w:t>~1</w:t>
      </w:r>
      <w:r>
        <w:rPr>
          <w:rFonts w:hint="eastAsia" w:ascii="仿宋_GB2312" w:eastAsia="仿宋_GB2312"/>
          <w:sz w:val="30"/>
          <w:szCs w:val="30"/>
          <w:highlight w:val="none"/>
          <w:lang w:val="en-US" w:eastAsia="zh-CN"/>
        </w:rPr>
        <w:t>5</w:t>
      </w:r>
      <w:r>
        <w:rPr>
          <w:rFonts w:hint="eastAsia" w:ascii="仿宋_GB2312" w:eastAsia="仿宋_GB2312"/>
          <w:sz w:val="30"/>
          <w:szCs w:val="30"/>
          <w:highlight w:val="none"/>
        </w:rPr>
        <w:t>、</w:t>
      </w:r>
      <w:r>
        <w:rPr>
          <w:rFonts w:hint="eastAsia" w:ascii="仿宋_GB2312" w:eastAsia="仿宋_GB2312"/>
          <w:sz w:val="30"/>
          <w:szCs w:val="30"/>
          <w:highlight w:val="none"/>
          <w:lang w:val="en-US" w:eastAsia="zh-CN"/>
        </w:rPr>
        <w:t>17、23栏）等于各浮动行对应指标之和。</w:t>
      </w:r>
    </w:p>
    <w:p w14:paraId="59FF5462">
      <w:pPr>
        <w:numPr>
          <w:ilvl w:val="0"/>
          <w:numId w:val="5"/>
        </w:numPr>
        <w:spacing w:line="360" w:lineRule="auto"/>
        <w:ind w:left="0" w:firstLine="0"/>
        <w:rPr>
          <w:rFonts w:ascii="仿宋_GB2312" w:eastAsia="仿宋_GB2312"/>
          <w:sz w:val="30"/>
          <w:szCs w:val="30"/>
          <w:highlight w:val="none"/>
        </w:rPr>
      </w:pPr>
      <w:r>
        <w:rPr>
          <w:rFonts w:hint="eastAsia" w:ascii="仿宋_GB2312" w:eastAsia="仿宋_GB2312"/>
          <w:sz w:val="30"/>
          <w:szCs w:val="30"/>
          <w:highlight w:val="none"/>
          <w:lang w:val="en-US" w:eastAsia="zh-CN"/>
        </w:rPr>
        <w:t>合计行（1行）本期实收投资收益（23栏）等于往期投资事项收益情况（2行）与本期对外投资事项小计（3行）本期实收投资收益（23栏）之和。</w:t>
      </w:r>
    </w:p>
    <w:p w14:paraId="077B1697">
      <w:pPr>
        <w:numPr>
          <w:ilvl w:val="0"/>
          <w:numId w:val="5"/>
        </w:numPr>
        <w:spacing w:line="360" w:lineRule="auto"/>
        <w:rPr>
          <w:rFonts w:ascii="仿宋_GB2312" w:eastAsia="仿宋_GB2312"/>
          <w:sz w:val="30"/>
          <w:szCs w:val="30"/>
          <w:highlight w:val="none"/>
        </w:rPr>
      </w:pPr>
      <w:bookmarkStart w:id="14" w:name="_Hlk525825747"/>
      <w:r>
        <w:rPr>
          <w:rFonts w:hint="eastAsia" w:ascii="仿宋_GB2312" w:eastAsia="仿宋_GB2312"/>
          <w:sz w:val="30"/>
          <w:szCs w:val="30"/>
          <w:highlight w:val="none"/>
          <w:lang w:val="en-US" w:eastAsia="zh-CN"/>
        </w:rPr>
        <w:t>单位会计科目（1栏）</w:t>
      </w:r>
      <w:r>
        <w:rPr>
          <w:rFonts w:hint="eastAsia" w:ascii="仿宋_GB2312" w:eastAsia="仿宋_GB2312"/>
          <w:sz w:val="30"/>
          <w:szCs w:val="30"/>
          <w:highlight w:val="none"/>
        </w:rPr>
        <w:t>、</w:t>
      </w:r>
      <w:r>
        <w:rPr>
          <w:rFonts w:hint="eastAsia" w:ascii="仿宋_GB2312" w:eastAsia="仿宋_GB2312"/>
          <w:sz w:val="30"/>
          <w:szCs w:val="30"/>
          <w:highlight w:val="none"/>
          <w:lang w:val="en-US" w:eastAsia="zh-CN"/>
        </w:rPr>
        <w:t>被投资单位（项目）名称（2栏）</w:t>
      </w:r>
      <w:r>
        <w:rPr>
          <w:rFonts w:hint="eastAsia" w:ascii="仿宋_GB2312" w:eastAsia="仿宋_GB2312"/>
          <w:sz w:val="30"/>
          <w:szCs w:val="30"/>
          <w:highlight w:val="none"/>
        </w:rPr>
        <w:t>、</w:t>
      </w:r>
      <w:r>
        <w:rPr>
          <w:rFonts w:hint="eastAsia" w:ascii="仿宋_GB2312" w:eastAsia="仿宋_GB2312"/>
          <w:sz w:val="30"/>
          <w:szCs w:val="30"/>
          <w:highlight w:val="none"/>
          <w:lang w:val="en-US" w:eastAsia="zh-CN"/>
        </w:rPr>
        <w:t>审批情况（11栏）、投资开始日期（12栏）、对外投资期末账面数（13栏）</w:t>
      </w:r>
      <w:r>
        <w:rPr>
          <w:rFonts w:hint="eastAsia" w:ascii="仿宋_GB2312" w:eastAsia="仿宋_GB2312"/>
          <w:sz w:val="30"/>
          <w:szCs w:val="30"/>
          <w:highlight w:val="none"/>
        </w:rPr>
        <w:t>不为空；</w:t>
      </w:r>
    </w:p>
    <w:p w14:paraId="562D4BAE">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rPr>
        <w:t>当</w:t>
      </w:r>
      <w:r>
        <w:rPr>
          <w:rFonts w:hint="eastAsia" w:ascii="仿宋_GB2312" w:eastAsia="仿宋_GB2312"/>
          <w:sz w:val="30"/>
          <w:szCs w:val="30"/>
          <w:highlight w:val="none"/>
          <w:lang w:val="en-US" w:eastAsia="zh-CN"/>
        </w:rPr>
        <w:t>单位会计科目（1栏）为</w:t>
      </w:r>
      <w:r>
        <w:rPr>
          <w:rFonts w:hint="eastAsia" w:ascii="仿宋_GB2312" w:eastAsia="仿宋_GB2312"/>
          <w:sz w:val="30"/>
          <w:szCs w:val="30"/>
          <w:highlight w:val="none"/>
        </w:rPr>
        <w:t>“长期股权投资”时，</w:t>
      </w:r>
      <w:r>
        <w:rPr>
          <w:rFonts w:hint="eastAsia" w:ascii="仿宋_GB2312" w:eastAsia="仿宋_GB2312"/>
          <w:sz w:val="30"/>
          <w:szCs w:val="30"/>
          <w:highlight w:val="none"/>
          <w:lang w:val="en-US" w:eastAsia="zh-CN"/>
        </w:rPr>
        <w:t>3</w:t>
      </w:r>
      <w:r>
        <w:rPr>
          <w:rFonts w:hint="eastAsia" w:ascii="仿宋_GB2312" w:eastAsia="仿宋_GB2312"/>
          <w:sz w:val="30"/>
          <w:szCs w:val="30"/>
          <w:highlight w:val="none"/>
        </w:rPr>
        <w:t>栏“被投资单位统一社会信用代码”不能为空。且</w:t>
      </w:r>
      <w:r>
        <w:rPr>
          <w:rFonts w:hint="eastAsia" w:ascii="仿宋_GB2312" w:hAnsi="仿宋" w:eastAsia="仿宋_GB2312"/>
          <w:sz w:val="30"/>
          <w:highlight w:val="none"/>
        </w:rPr>
        <w:t>被投资单位统一社会信用代码应为18位，编码符合强制性国家标准GB 32100-2015《法人和其他组织统一社会信用代码编码规则》、IDCL规则要求</w:t>
      </w:r>
      <w:r>
        <w:rPr>
          <w:rFonts w:hint="eastAsia" w:ascii="仿宋_GB2312" w:eastAsia="仿宋_GB2312"/>
          <w:sz w:val="30"/>
          <w:szCs w:val="30"/>
          <w:highlight w:val="none"/>
        </w:rPr>
        <w:t>；</w:t>
      </w:r>
    </w:p>
    <w:p w14:paraId="3C75A150">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rPr>
        <w:t>浮动行</w:t>
      </w:r>
      <w:r>
        <w:rPr>
          <w:rFonts w:hint="eastAsia" w:ascii="仿宋_GB2312" w:eastAsia="仿宋_GB2312"/>
          <w:sz w:val="30"/>
          <w:szCs w:val="30"/>
          <w:highlight w:val="none"/>
          <w:lang w:val="en-US" w:eastAsia="zh-CN"/>
        </w:rPr>
        <w:t>出资资产账面原值合计（4栏）应大于等于</w:t>
      </w:r>
      <w:r>
        <w:rPr>
          <w:rFonts w:ascii="仿宋_GB2312" w:eastAsia="仿宋_GB2312"/>
          <w:sz w:val="30"/>
          <w:szCs w:val="30"/>
          <w:highlight w:val="none"/>
        </w:rPr>
        <w:t>0;</w:t>
      </w:r>
    </w:p>
    <w:p w14:paraId="3B5A50A8">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lang w:val="en-US" w:eastAsia="zh-CN"/>
        </w:rPr>
        <w:t>合计行（1行）和浮动行的对外投资期末账面数（13栏）、债券投资本期投资金额（14栏）、票面金额（15栏）、股权投资本期投资金额（17栏）、本期实收投资收益（23栏）应大于等于</w:t>
      </w:r>
      <w:r>
        <w:rPr>
          <w:rFonts w:hint="eastAsia" w:ascii="仿宋_GB2312" w:eastAsia="仿宋_GB2312"/>
          <w:sz w:val="30"/>
          <w:szCs w:val="30"/>
          <w:highlight w:val="none"/>
        </w:rPr>
        <w:t>0；</w:t>
      </w:r>
    </w:p>
    <w:bookmarkEnd w:id="14"/>
    <w:p w14:paraId="536E5DD3">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lang w:val="en-US" w:eastAsia="zh-CN"/>
        </w:rPr>
        <w:t>投资开始日期（12栏）大于等于</w:t>
      </w:r>
      <w:r>
        <w:rPr>
          <w:rFonts w:hint="eastAsia" w:ascii="仿宋_GB2312" w:eastAsia="仿宋_GB2312"/>
          <w:sz w:val="30"/>
          <w:szCs w:val="30"/>
          <w:highlight w:val="none"/>
        </w:rPr>
        <w:t>“20</w:t>
      </w:r>
      <w:r>
        <w:rPr>
          <w:rFonts w:ascii="仿宋_GB2312" w:eastAsia="仿宋_GB2312"/>
          <w:sz w:val="30"/>
          <w:szCs w:val="30"/>
          <w:highlight w:val="none"/>
        </w:rPr>
        <w:t>2</w:t>
      </w:r>
      <w:r>
        <w:rPr>
          <w:rFonts w:hint="eastAsia" w:ascii="仿宋_GB2312" w:eastAsia="仿宋_GB2312"/>
          <w:sz w:val="30"/>
          <w:szCs w:val="30"/>
          <w:highlight w:val="none"/>
        </w:rPr>
        <w:t>4年1月1日”时，</w:t>
      </w:r>
      <w:r>
        <w:rPr>
          <w:rFonts w:hint="eastAsia" w:ascii="仿宋_GB2312" w:eastAsia="仿宋_GB2312"/>
          <w:sz w:val="30"/>
          <w:szCs w:val="30"/>
          <w:highlight w:val="none"/>
          <w:lang w:val="en-US" w:eastAsia="zh-CN"/>
        </w:rPr>
        <w:t>债券投资本期投资金额（14栏）与股权投资本期投资金额（17栏）之和大于</w:t>
      </w:r>
      <w:r>
        <w:rPr>
          <w:rFonts w:hint="eastAsia" w:ascii="仿宋_GB2312" w:eastAsia="仿宋_GB2312"/>
          <w:sz w:val="30"/>
          <w:szCs w:val="30"/>
          <w:highlight w:val="none"/>
        </w:rPr>
        <w:t>0；</w:t>
      </w:r>
    </w:p>
    <w:p w14:paraId="55BFBBD8">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lang w:val="en-US" w:eastAsia="zh-CN"/>
        </w:rPr>
        <w:t>投资开始日期（12栏）小于等于</w:t>
      </w:r>
      <w:r>
        <w:rPr>
          <w:rFonts w:hint="eastAsia" w:ascii="仿宋_GB2312" w:eastAsia="仿宋_GB2312"/>
          <w:sz w:val="30"/>
          <w:szCs w:val="30"/>
          <w:highlight w:val="none"/>
        </w:rPr>
        <w:t>“2024年12月31日”；</w:t>
      </w:r>
    </w:p>
    <w:p w14:paraId="60D86F3A">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lang w:val="en-US" w:eastAsia="zh-CN"/>
        </w:rPr>
        <w:t>单位会计科目（1栏）等于</w:t>
      </w:r>
      <w:r>
        <w:rPr>
          <w:rFonts w:hint="eastAsia" w:ascii="仿宋_GB2312" w:eastAsia="仿宋_GB2312"/>
          <w:sz w:val="30"/>
          <w:szCs w:val="30"/>
          <w:highlight w:val="none"/>
        </w:rPr>
        <w:t>“长期债券投资”或“短期投资”时，</w:t>
      </w:r>
      <w:r>
        <w:rPr>
          <w:rFonts w:hint="eastAsia" w:ascii="仿宋_GB2312" w:eastAsia="仿宋_GB2312"/>
          <w:sz w:val="30"/>
          <w:szCs w:val="30"/>
          <w:highlight w:val="none"/>
          <w:lang w:val="en-US" w:eastAsia="zh-CN"/>
        </w:rPr>
        <w:t>票面金额（15栏）</w:t>
      </w:r>
      <w:r>
        <w:rPr>
          <w:rFonts w:hint="eastAsia" w:ascii="仿宋_GB2312" w:eastAsia="仿宋_GB2312"/>
          <w:sz w:val="30"/>
          <w:szCs w:val="30"/>
          <w:highlight w:val="none"/>
        </w:rPr>
        <w:t>不能为空，</w:t>
      </w:r>
      <w:r>
        <w:rPr>
          <w:rFonts w:hint="eastAsia" w:ascii="仿宋_GB2312" w:eastAsia="仿宋_GB2312"/>
          <w:sz w:val="30"/>
          <w:szCs w:val="30"/>
          <w:highlight w:val="none"/>
          <w:lang w:val="en-US" w:eastAsia="zh-CN"/>
        </w:rPr>
        <w:t>股权投资对应指标（</w:t>
      </w:r>
      <w:r>
        <w:rPr>
          <w:rFonts w:hint="eastAsia" w:ascii="仿宋_GB2312" w:eastAsia="仿宋_GB2312"/>
          <w:sz w:val="30"/>
          <w:szCs w:val="30"/>
          <w:highlight w:val="none"/>
        </w:rPr>
        <w:t>1</w:t>
      </w:r>
      <w:r>
        <w:rPr>
          <w:rFonts w:hint="eastAsia" w:ascii="仿宋_GB2312" w:eastAsia="仿宋_GB2312"/>
          <w:sz w:val="30"/>
          <w:szCs w:val="30"/>
          <w:highlight w:val="none"/>
          <w:lang w:val="en-US" w:eastAsia="zh-CN"/>
        </w:rPr>
        <w:t>6</w:t>
      </w:r>
      <w:r>
        <w:rPr>
          <w:rFonts w:hint="eastAsia" w:ascii="仿宋_GB2312" w:eastAsia="仿宋_GB2312"/>
          <w:sz w:val="30"/>
          <w:szCs w:val="30"/>
          <w:highlight w:val="none"/>
        </w:rPr>
        <w:t>~</w:t>
      </w:r>
      <w:r>
        <w:rPr>
          <w:rFonts w:hint="eastAsia" w:ascii="仿宋_GB2312" w:eastAsia="仿宋_GB2312"/>
          <w:sz w:val="30"/>
          <w:szCs w:val="30"/>
          <w:highlight w:val="none"/>
          <w:lang w:val="en-US" w:eastAsia="zh-CN"/>
        </w:rPr>
        <w:t>20</w:t>
      </w:r>
      <w:r>
        <w:rPr>
          <w:rFonts w:hint="eastAsia" w:ascii="仿宋_GB2312" w:eastAsia="仿宋_GB2312"/>
          <w:sz w:val="30"/>
          <w:szCs w:val="30"/>
          <w:highlight w:val="none"/>
        </w:rPr>
        <w:t>栏</w:t>
      </w:r>
      <w:r>
        <w:rPr>
          <w:rFonts w:hint="eastAsia" w:ascii="仿宋_GB2312" w:eastAsia="仿宋_GB2312"/>
          <w:sz w:val="30"/>
          <w:szCs w:val="30"/>
          <w:highlight w:val="none"/>
          <w:lang w:val="en-US" w:eastAsia="zh-CN"/>
        </w:rPr>
        <w:t>）</w:t>
      </w:r>
      <w:r>
        <w:rPr>
          <w:rFonts w:hint="eastAsia" w:ascii="仿宋_GB2312" w:eastAsia="仿宋_GB2312"/>
          <w:sz w:val="30"/>
          <w:szCs w:val="30"/>
          <w:highlight w:val="none"/>
        </w:rPr>
        <w:t>必须为空；</w:t>
      </w:r>
    </w:p>
    <w:p w14:paraId="5B397951">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lang w:val="en-US" w:eastAsia="zh-CN"/>
        </w:rPr>
        <w:t>单位会计科目（1栏）等于</w:t>
      </w:r>
      <w:r>
        <w:rPr>
          <w:rFonts w:hint="eastAsia" w:ascii="仿宋_GB2312" w:eastAsia="仿宋_GB2312"/>
          <w:sz w:val="30"/>
          <w:szCs w:val="30"/>
          <w:highlight w:val="none"/>
        </w:rPr>
        <w:t>“长期股权投资”时，</w:t>
      </w:r>
      <w:r>
        <w:rPr>
          <w:rFonts w:hint="eastAsia" w:ascii="仿宋_GB2312" w:eastAsia="仿宋_GB2312"/>
          <w:sz w:val="30"/>
          <w:szCs w:val="30"/>
          <w:highlight w:val="none"/>
          <w:lang w:val="en-US" w:eastAsia="zh-CN"/>
        </w:rPr>
        <w:t>核算方法（16栏）</w:t>
      </w:r>
      <w:r>
        <w:rPr>
          <w:rFonts w:hint="eastAsia" w:ascii="仿宋_GB2312" w:eastAsia="仿宋_GB2312"/>
          <w:sz w:val="30"/>
          <w:szCs w:val="30"/>
          <w:highlight w:val="none"/>
        </w:rPr>
        <w:t>、期末持股比例（%）</w:t>
      </w:r>
      <w:r>
        <w:rPr>
          <w:rFonts w:hint="eastAsia" w:ascii="仿宋_GB2312" w:eastAsia="仿宋_GB2312"/>
          <w:sz w:val="30"/>
          <w:szCs w:val="30"/>
          <w:highlight w:val="none"/>
          <w:lang w:val="en-US" w:eastAsia="zh-CN"/>
        </w:rPr>
        <w:t>（18栏）</w:t>
      </w:r>
      <w:r>
        <w:rPr>
          <w:rFonts w:hint="eastAsia" w:ascii="仿宋_GB2312" w:eastAsia="仿宋_GB2312"/>
          <w:sz w:val="30"/>
          <w:szCs w:val="30"/>
          <w:highlight w:val="none"/>
          <w:lang w:eastAsia="zh-CN"/>
        </w:rPr>
        <w:t>、是否实际控制</w:t>
      </w:r>
      <w:r>
        <w:rPr>
          <w:rFonts w:hint="eastAsia" w:ascii="仿宋_GB2312" w:eastAsia="仿宋_GB2312"/>
          <w:sz w:val="30"/>
          <w:szCs w:val="30"/>
          <w:highlight w:val="none"/>
          <w:lang w:val="en-US" w:eastAsia="zh-CN"/>
        </w:rPr>
        <w:t>（19栏）</w:t>
      </w:r>
      <w:r>
        <w:rPr>
          <w:rFonts w:hint="eastAsia" w:ascii="仿宋_GB2312" w:eastAsia="仿宋_GB2312"/>
          <w:sz w:val="30"/>
          <w:szCs w:val="30"/>
          <w:highlight w:val="none"/>
          <w:lang w:eastAsia="zh-CN"/>
        </w:rPr>
        <w:t>、经营状况</w:t>
      </w:r>
      <w:r>
        <w:rPr>
          <w:rFonts w:hint="eastAsia" w:ascii="仿宋_GB2312" w:eastAsia="仿宋_GB2312"/>
          <w:sz w:val="30"/>
          <w:szCs w:val="30"/>
          <w:highlight w:val="none"/>
          <w:lang w:val="en-US" w:eastAsia="zh-CN"/>
        </w:rPr>
        <w:t>（20栏）</w:t>
      </w:r>
      <w:r>
        <w:rPr>
          <w:rFonts w:hint="eastAsia" w:ascii="仿宋_GB2312" w:eastAsia="仿宋_GB2312"/>
          <w:sz w:val="30"/>
          <w:szCs w:val="30"/>
          <w:highlight w:val="none"/>
        </w:rPr>
        <w:t>不能为空，债券投资</w:t>
      </w:r>
      <w:r>
        <w:rPr>
          <w:rFonts w:hint="eastAsia" w:ascii="仿宋_GB2312" w:eastAsia="仿宋_GB2312"/>
          <w:sz w:val="30"/>
          <w:szCs w:val="30"/>
          <w:highlight w:val="none"/>
          <w:lang w:val="en-US" w:eastAsia="zh-CN"/>
        </w:rPr>
        <w:t>相应指标（</w:t>
      </w:r>
      <w:r>
        <w:rPr>
          <w:rFonts w:hint="eastAsia" w:ascii="仿宋_GB2312" w:eastAsia="仿宋_GB2312"/>
          <w:sz w:val="30"/>
          <w:szCs w:val="30"/>
          <w:highlight w:val="none"/>
        </w:rPr>
        <w:t>1</w:t>
      </w:r>
      <w:r>
        <w:rPr>
          <w:rFonts w:hint="eastAsia" w:ascii="仿宋_GB2312" w:eastAsia="仿宋_GB2312"/>
          <w:sz w:val="30"/>
          <w:szCs w:val="30"/>
          <w:highlight w:val="none"/>
          <w:lang w:val="en-US" w:eastAsia="zh-CN"/>
        </w:rPr>
        <w:t>4</w:t>
      </w:r>
      <w:r>
        <w:rPr>
          <w:rFonts w:hint="eastAsia" w:ascii="仿宋_GB2312" w:eastAsia="仿宋_GB2312"/>
          <w:sz w:val="30"/>
          <w:szCs w:val="30"/>
          <w:highlight w:val="none"/>
        </w:rPr>
        <w:t>~</w:t>
      </w:r>
      <w:r>
        <w:rPr>
          <w:rFonts w:hint="eastAsia" w:ascii="仿宋_GB2312" w:eastAsia="仿宋_GB2312"/>
          <w:sz w:val="30"/>
          <w:szCs w:val="30"/>
          <w:highlight w:val="none"/>
          <w:lang w:val="en-US" w:eastAsia="zh-CN"/>
        </w:rPr>
        <w:t>15</w:t>
      </w:r>
      <w:r>
        <w:rPr>
          <w:rFonts w:hint="eastAsia" w:ascii="仿宋_GB2312" w:eastAsia="仿宋_GB2312"/>
          <w:sz w:val="30"/>
          <w:szCs w:val="30"/>
          <w:highlight w:val="none"/>
        </w:rPr>
        <w:t>栏</w:t>
      </w:r>
      <w:r>
        <w:rPr>
          <w:rFonts w:hint="eastAsia" w:ascii="仿宋_GB2312" w:eastAsia="仿宋_GB2312"/>
          <w:sz w:val="30"/>
          <w:szCs w:val="30"/>
          <w:highlight w:val="none"/>
          <w:lang w:val="en-US" w:eastAsia="zh-CN"/>
        </w:rPr>
        <w:t>）</w:t>
      </w:r>
      <w:r>
        <w:rPr>
          <w:rFonts w:hint="eastAsia" w:ascii="仿宋_GB2312" w:eastAsia="仿宋_GB2312"/>
          <w:sz w:val="30"/>
          <w:szCs w:val="30"/>
          <w:highlight w:val="none"/>
        </w:rPr>
        <w:t>必须为空；</w:t>
      </w:r>
    </w:p>
    <w:p w14:paraId="37DC1588">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lang w:val="en-US" w:eastAsia="zh-CN"/>
        </w:rPr>
        <w:t>单位会计科目（1栏）等于</w:t>
      </w:r>
      <w:r>
        <w:rPr>
          <w:rFonts w:hint="eastAsia" w:ascii="仿宋_GB2312" w:eastAsia="仿宋_GB2312"/>
          <w:sz w:val="30"/>
          <w:szCs w:val="30"/>
          <w:highlight w:val="none"/>
        </w:rPr>
        <w:t>“长期股权投资”时，期末持股比例（%）</w:t>
      </w:r>
      <w:r>
        <w:rPr>
          <w:rFonts w:hint="eastAsia" w:ascii="仿宋_GB2312" w:eastAsia="仿宋_GB2312"/>
          <w:sz w:val="30"/>
          <w:szCs w:val="30"/>
          <w:highlight w:val="none"/>
          <w:lang w:val="en-US" w:eastAsia="zh-CN"/>
        </w:rPr>
        <w:t>（18栏）等于</w:t>
      </w:r>
      <w:r>
        <w:rPr>
          <w:rFonts w:hint="eastAsia" w:ascii="仿宋_GB2312" w:eastAsia="仿宋_GB2312"/>
          <w:sz w:val="30"/>
          <w:szCs w:val="30"/>
          <w:highlight w:val="none"/>
        </w:rPr>
        <w:t>100时，</w:t>
      </w:r>
      <w:r>
        <w:rPr>
          <w:rFonts w:hint="eastAsia" w:ascii="仿宋_GB2312" w:eastAsia="仿宋_GB2312"/>
          <w:sz w:val="30"/>
          <w:szCs w:val="30"/>
          <w:highlight w:val="none"/>
          <w:lang w:eastAsia="zh-CN"/>
        </w:rPr>
        <w:t>是否实际控制</w:t>
      </w:r>
      <w:r>
        <w:rPr>
          <w:rFonts w:hint="eastAsia" w:ascii="仿宋_GB2312" w:eastAsia="仿宋_GB2312"/>
          <w:sz w:val="30"/>
          <w:szCs w:val="30"/>
          <w:highlight w:val="none"/>
          <w:lang w:val="en-US" w:eastAsia="zh-CN"/>
        </w:rPr>
        <w:t>（19栏）</w:t>
      </w:r>
      <w:r>
        <w:rPr>
          <w:rFonts w:hint="eastAsia" w:ascii="仿宋_GB2312" w:eastAsia="仿宋_GB2312"/>
          <w:sz w:val="30"/>
          <w:szCs w:val="30"/>
          <w:highlight w:val="none"/>
        </w:rPr>
        <w:t>应为 “国有独资”；</w:t>
      </w:r>
    </w:p>
    <w:p w14:paraId="167948DC">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lang w:val="en-US" w:eastAsia="zh-CN"/>
        </w:rPr>
        <w:t>单位会计科目（1栏）等于</w:t>
      </w:r>
      <w:r>
        <w:rPr>
          <w:rFonts w:hint="eastAsia" w:ascii="仿宋_GB2312" w:eastAsia="仿宋_GB2312"/>
          <w:sz w:val="30"/>
          <w:szCs w:val="30"/>
          <w:highlight w:val="none"/>
        </w:rPr>
        <w:t>“长期股权投资”时，期末持股比例（%）</w:t>
      </w:r>
      <w:r>
        <w:rPr>
          <w:rFonts w:hint="eastAsia" w:ascii="仿宋_GB2312" w:eastAsia="仿宋_GB2312"/>
          <w:sz w:val="30"/>
          <w:szCs w:val="30"/>
          <w:highlight w:val="none"/>
          <w:lang w:val="en-US" w:eastAsia="zh-CN"/>
        </w:rPr>
        <w:t>（18栏）大于</w:t>
      </w:r>
      <w:r>
        <w:rPr>
          <w:rFonts w:hint="eastAsia" w:ascii="仿宋_GB2312" w:eastAsia="仿宋_GB2312"/>
          <w:sz w:val="30"/>
          <w:szCs w:val="30"/>
          <w:highlight w:val="none"/>
        </w:rPr>
        <w:t>50且</w:t>
      </w:r>
      <w:r>
        <w:rPr>
          <w:rFonts w:hint="eastAsia" w:ascii="仿宋_GB2312" w:eastAsia="仿宋_GB2312"/>
          <w:sz w:val="30"/>
          <w:szCs w:val="30"/>
          <w:highlight w:val="none"/>
          <w:lang w:val="en-US" w:eastAsia="zh-CN"/>
        </w:rPr>
        <w:t>小于</w:t>
      </w:r>
      <w:r>
        <w:rPr>
          <w:rFonts w:hint="eastAsia" w:ascii="仿宋_GB2312" w:eastAsia="仿宋_GB2312"/>
          <w:sz w:val="30"/>
          <w:szCs w:val="30"/>
          <w:highlight w:val="none"/>
        </w:rPr>
        <w:t>100时，</w:t>
      </w:r>
      <w:r>
        <w:rPr>
          <w:rFonts w:hint="eastAsia" w:ascii="仿宋_GB2312" w:eastAsia="仿宋_GB2312"/>
          <w:sz w:val="30"/>
          <w:szCs w:val="30"/>
          <w:highlight w:val="none"/>
          <w:lang w:eastAsia="zh-CN"/>
        </w:rPr>
        <w:t>是否实际控制</w:t>
      </w:r>
      <w:r>
        <w:rPr>
          <w:rFonts w:hint="eastAsia" w:ascii="仿宋_GB2312" w:eastAsia="仿宋_GB2312"/>
          <w:sz w:val="30"/>
          <w:szCs w:val="30"/>
          <w:highlight w:val="none"/>
          <w:lang w:val="en-US" w:eastAsia="zh-CN"/>
        </w:rPr>
        <w:t>（19栏）</w:t>
      </w:r>
      <w:r>
        <w:rPr>
          <w:rFonts w:hint="eastAsia" w:ascii="仿宋_GB2312" w:eastAsia="仿宋_GB2312"/>
          <w:sz w:val="30"/>
          <w:szCs w:val="30"/>
          <w:highlight w:val="none"/>
        </w:rPr>
        <w:t>应为 “国有控股”；</w:t>
      </w:r>
    </w:p>
    <w:p w14:paraId="1D4FA3D1">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lang w:val="en-US" w:eastAsia="zh-CN"/>
        </w:rPr>
        <w:t>单位会计科目（1栏）等于</w:t>
      </w:r>
      <w:r>
        <w:rPr>
          <w:rFonts w:hint="eastAsia" w:ascii="仿宋_GB2312" w:eastAsia="仿宋_GB2312"/>
          <w:sz w:val="30"/>
          <w:szCs w:val="30"/>
          <w:highlight w:val="none"/>
        </w:rPr>
        <w:t>“长期股权投资”时，期末持股比例（%）</w:t>
      </w:r>
      <w:r>
        <w:rPr>
          <w:rFonts w:hint="eastAsia" w:ascii="仿宋_GB2312" w:eastAsia="仿宋_GB2312"/>
          <w:sz w:val="30"/>
          <w:szCs w:val="30"/>
          <w:highlight w:val="none"/>
          <w:lang w:val="en-US" w:eastAsia="zh-CN"/>
        </w:rPr>
        <w:t>（18栏）小于等于</w:t>
      </w:r>
      <w:r>
        <w:rPr>
          <w:rFonts w:hint="eastAsia" w:ascii="仿宋_GB2312" w:eastAsia="仿宋_GB2312"/>
          <w:sz w:val="30"/>
          <w:szCs w:val="30"/>
          <w:highlight w:val="none"/>
        </w:rPr>
        <w:t>50时，</w:t>
      </w:r>
      <w:r>
        <w:rPr>
          <w:rFonts w:hint="eastAsia" w:ascii="仿宋_GB2312" w:eastAsia="仿宋_GB2312"/>
          <w:sz w:val="30"/>
          <w:szCs w:val="30"/>
          <w:highlight w:val="none"/>
          <w:lang w:eastAsia="zh-CN"/>
        </w:rPr>
        <w:t>是否实际控制</w:t>
      </w:r>
      <w:r>
        <w:rPr>
          <w:rFonts w:hint="eastAsia" w:ascii="仿宋_GB2312" w:eastAsia="仿宋_GB2312"/>
          <w:sz w:val="30"/>
          <w:szCs w:val="30"/>
          <w:highlight w:val="none"/>
          <w:lang w:val="en-US" w:eastAsia="zh-CN"/>
        </w:rPr>
        <w:t>（19栏）</w:t>
      </w:r>
      <w:r>
        <w:rPr>
          <w:rFonts w:hint="eastAsia" w:ascii="仿宋_GB2312" w:eastAsia="仿宋_GB2312"/>
          <w:sz w:val="30"/>
          <w:szCs w:val="30"/>
          <w:highlight w:val="none"/>
        </w:rPr>
        <w:t>应为 “国有实际控制”或“否”；</w:t>
      </w:r>
    </w:p>
    <w:p w14:paraId="18EA53B1">
      <w:pPr>
        <w:numPr>
          <w:ilvl w:val="0"/>
          <w:numId w:val="5"/>
        </w:numPr>
        <w:spacing w:line="360" w:lineRule="auto"/>
        <w:rPr>
          <w:rFonts w:ascii="仿宋_GB2312"/>
          <w:sz w:val="30"/>
          <w:highlight w:val="none"/>
        </w:rPr>
      </w:pPr>
      <w:r>
        <w:rPr>
          <w:rFonts w:hint="eastAsia" w:ascii="仿宋_GB2312" w:eastAsia="仿宋_GB2312"/>
          <w:sz w:val="30"/>
          <w:szCs w:val="30"/>
          <w:highlight w:val="none"/>
        </w:rPr>
        <w:t>是否编报国有企业财务会计决算</w:t>
      </w:r>
      <w:r>
        <w:rPr>
          <w:rFonts w:hint="eastAsia" w:ascii="仿宋_GB2312" w:eastAsia="仿宋_GB2312"/>
          <w:sz w:val="30"/>
          <w:szCs w:val="30"/>
          <w:highlight w:val="none"/>
          <w:lang w:val="en-US" w:eastAsia="zh-CN"/>
        </w:rPr>
        <w:t>（21栏）</w:t>
      </w:r>
      <w:r>
        <w:rPr>
          <w:rFonts w:hint="eastAsia" w:ascii="仿宋_GB2312" w:eastAsia="仿宋_GB2312"/>
          <w:sz w:val="30"/>
          <w:szCs w:val="30"/>
          <w:highlight w:val="none"/>
        </w:rPr>
        <w:t>不能为空；</w:t>
      </w:r>
    </w:p>
    <w:p w14:paraId="6091C427">
      <w:pPr>
        <w:numPr>
          <w:ilvl w:val="0"/>
          <w:numId w:val="5"/>
        </w:numPr>
        <w:spacing w:line="360" w:lineRule="auto"/>
        <w:rPr>
          <w:rFonts w:ascii="仿宋_GB2312" w:eastAsia="仿宋_GB2312"/>
          <w:sz w:val="30"/>
          <w:szCs w:val="30"/>
          <w:highlight w:val="none"/>
        </w:rPr>
      </w:pPr>
      <w:r>
        <w:rPr>
          <w:rFonts w:ascii="仿宋_GB2312" w:eastAsia="仿宋_GB2312"/>
          <w:sz w:val="30"/>
          <w:szCs w:val="30"/>
          <w:highlight w:val="none"/>
        </w:rPr>
        <w:t>浮动行</w:t>
      </w:r>
      <w:r>
        <w:rPr>
          <w:rFonts w:hint="eastAsia" w:ascii="仿宋_GB2312" w:eastAsia="仿宋_GB2312"/>
          <w:sz w:val="30"/>
          <w:szCs w:val="30"/>
          <w:highlight w:val="none"/>
        </w:rPr>
        <w:t>被投资单位（项目）名称</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2栏</w:t>
      </w:r>
      <w:r>
        <w:rPr>
          <w:rFonts w:hint="eastAsia" w:ascii="仿宋_GB2312" w:eastAsia="仿宋_GB2312"/>
          <w:sz w:val="30"/>
          <w:szCs w:val="30"/>
          <w:highlight w:val="none"/>
          <w:lang w:eastAsia="zh-CN"/>
        </w:rPr>
        <w:t>）</w:t>
      </w:r>
      <w:r>
        <w:rPr>
          <w:rFonts w:ascii="仿宋_GB2312" w:eastAsia="仿宋_GB2312"/>
          <w:sz w:val="30"/>
          <w:szCs w:val="30"/>
          <w:highlight w:val="none"/>
        </w:rPr>
        <w:t>不能重复；</w:t>
      </w:r>
    </w:p>
    <w:p w14:paraId="36C30E63">
      <w:pPr>
        <w:snapToGrid w:val="0"/>
        <w:spacing w:line="360" w:lineRule="auto"/>
        <w:ind w:firstLine="602" w:firstLineChars="200"/>
        <w:rPr>
          <w:rFonts w:hint="eastAsia" w:ascii="仿宋_GB2312" w:hAnsi="仿宋" w:eastAsia="仿宋_GB2312"/>
          <w:b/>
          <w:sz w:val="30"/>
          <w:szCs w:val="30"/>
          <w:highlight w:val="none"/>
        </w:rPr>
      </w:pPr>
      <w:r>
        <w:rPr>
          <w:rFonts w:hint="eastAsia" w:ascii="仿宋_GB2312" w:hAnsi="仿宋" w:eastAsia="仿宋_GB2312"/>
          <w:b/>
          <w:sz w:val="30"/>
          <w:szCs w:val="30"/>
          <w:highlight w:val="none"/>
        </w:rPr>
        <w:t>表间公式</w:t>
      </w:r>
      <w:r>
        <w:rPr>
          <w:rFonts w:ascii="仿宋_GB2312" w:hAnsi="仿宋" w:eastAsia="仿宋_GB2312"/>
          <w:b/>
          <w:sz w:val="30"/>
          <w:szCs w:val="30"/>
          <w:highlight w:val="none"/>
        </w:rPr>
        <w:t>：</w:t>
      </w:r>
    </w:p>
    <w:p w14:paraId="68214680">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rPr>
        <w:t>当</w:t>
      </w:r>
      <w:r>
        <w:rPr>
          <w:rFonts w:hint="eastAsia" w:ascii="仿宋_GB2312" w:hAnsi="仿宋" w:eastAsia="仿宋_GB2312"/>
          <w:sz w:val="30"/>
          <w:szCs w:val="30"/>
          <w:highlight w:val="none"/>
        </w:rPr>
        <w:t>封面单位</w:t>
      </w:r>
      <w:r>
        <w:rPr>
          <w:rFonts w:hint="eastAsia" w:ascii="仿宋_GB2312" w:hAnsi="仿宋" w:eastAsia="仿宋_GB2312"/>
          <w:sz w:val="30"/>
          <w:szCs w:val="30"/>
          <w:highlight w:val="none"/>
          <w:lang w:val="en-US" w:eastAsia="zh-CN"/>
        </w:rPr>
        <w:t>执行</w:t>
      </w:r>
      <w:r>
        <w:rPr>
          <w:rFonts w:hint="eastAsia" w:ascii="仿宋_GB2312" w:hAnsi="仿宋" w:eastAsia="仿宋_GB2312"/>
          <w:sz w:val="30"/>
          <w:szCs w:val="30"/>
          <w:highlight w:val="none"/>
        </w:rPr>
        <w:t>会计制度选择“</w:t>
      </w:r>
      <w:r>
        <w:rPr>
          <w:rFonts w:ascii="仿宋_GB2312" w:hAnsi="仿宋" w:eastAsia="仿宋_GB2312"/>
          <w:sz w:val="30"/>
          <w:szCs w:val="30"/>
          <w:highlight w:val="none"/>
        </w:rPr>
        <w:t>11</w:t>
      </w:r>
      <w:r>
        <w:rPr>
          <w:rFonts w:hint="eastAsia" w:ascii="仿宋_GB2312" w:hAnsi="仿宋" w:eastAsia="仿宋_GB2312"/>
          <w:sz w:val="30"/>
          <w:szCs w:val="30"/>
          <w:highlight w:val="none"/>
        </w:rPr>
        <w:t>.政府会计准则制度”，</w:t>
      </w:r>
      <w:r>
        <w:rPr>
          <w:rFonts w:hint="eastAsia" w:ascii="仿宋_GB2312" w:hAnsi="仿宋" w:eastAsia="仿宋_GB2312"/>
          <w:sz w:val="30"/>
          <w:szCs w:val="30"/>
          <w:highlight w:val="none"/>
          <w:lang w:eastAsia="zh-CN"/>
        </w:rPr>
        <w:t>单位性质</w:t>
      </w:r>
      <w:r>
        <w:rPr>
          <w:rFonts w:hint="eastAsia" w:ascii="仿宋_GB2312" w:hAnsi="仿宋" w:eastAsia="仿宋_GB2312"/>
          <w:sz w:val="30"/>
          <w:szCs w:val="30"/>
          <w:highlight w:val="none"/>
        </w:rPr>
        <w:t>选择“11.共产党机关”、“12.政府机关”、“13.人大机关”、“</w:t>
      </w:r>
      <w:r>
        <w:rPr>
          <w:rFonts w:hint="eastAsia" w:ascii="仿宋_GB2312" w:eastAsia="仿宋_GB2312"/>
          <w:sz w:val="30"/>
          <w:szCs w:val="30"/>
          <w:highlight w:val="none"/>
        </w:rPr>
        <w:t>14政协机关”、“15.群众团体”、“16.民主党派”、“17.政法机关”或“21.参照公务员法管理事业单位”且参照公务员法管理事业单位执行财务规则选择“10.行政单位财务规则”，</w:t>
      </w:r>
      <w:r>
        <w:rPr>
          <w:rFonts w:hint="eastAsia" w:ascii="仿宋_GB2312" w:eastAsia="仿宋_GB2312"/>
          <w:sz w:val="30"/>
          <w:szCs w:val="30"/>
          <w:highlight w:val="none"/>
          <w:lang w:val="en-US" w:eastAsia="zh-CN"/>
        </w:rPr>
        <w:t>对外投资期末账面数（13栏）</w:t>
      </w:r>
      <w:r>
        <w:rPr>
          <w:rFonts w:hint="eastAsia" w:ascii="仿宋_GB2312" w:eastAsia="仿宋_GB2312"/>
          <w:sz w:val="30"/>
          <w:szCs w:val="30"/>
          <w:highlight w:val="none"/>
        </w:rPr>
        <w:t>应为0，且备注</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24栏</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必填，</w:t>
      </w:r>
      <w:r>
        <w:rPr>
          <w:rFonts w:ascii="仿宋_GB2312" w:eastAsia="仿宋_GB2312"/>
          <w:sz w:val="30"/>
          <w:szCs w:val="30"/>
          <w:highlight w:val="none"/>
        </w:rPr>
        <w:t>说明</w:t>
      </w:r>
      <w:r>
        <w:rPr>
          <w:rFonts w:hint="eastAsia" w:ascii="仿宋_GB2312" w:eastAsia="仿宋_GB2312"/>
          <w:sz w:val="30"/>
          <w:szCs w:val="30"/>
          <w:highlight w:val="none"/>
        </w:rPr>
        <w:t>该</w:t>
      </w:r>
      <w:r>
        <w:rPr>
          <w:rFonts w:ascii="仿宋_GB2312" w:eastAsia="仿宋_GB2312"/>
          <w:sz w:val="30"/>
          <w:szCs w:val="30"/>
          <w:highlight w:val="none"/>
        </w:rPr>
        <w:t>单位对外投资的情况</w:t>
      </w:r>
      <w:r>
        <w:rPr>
          <w:rFonts w:hint="eastAsia" w:ascii="仿宋_GB2312" w:eastAsia="仿宋_GB2312"/>
          <w:sz w:val="30"/>
          <w:szCs w:val="30"/>
          <w:highlight w:val="none"/>
        </w:rPr>
        <w:t>；</w:t>
      </w:r>
    </w:p>
    <w:p w14:paraId="2380113B">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lang w:val="en-US" w:eastAsia="zh-CN"/>
        </w:rPr>
        <w:t>合计行（1行）对外投资期末账面数（13栏）应等于</w:t>
      </w:r>
      <w:r>
        <w:rPr>
          <w:rFonts w:hint="eastAsia" w:ascii="仿宋_GB2312" w:eastAsia="仿宋_GB2312"/>
          <w:sz w:val="30"/>
          <w:szCs w:val="30"/>
          <w:highlight w:val="none"/>
        </w:rPr>
        <w:t>财资01资产负债表</w:t>
      </w:r>
      <w:r>
        <w:rPr>
          <w:rFonts w:hint="eastAsia" w:ascii="仿宋_GB2312" w:eastAsia="仿宋_GB2312"/>
          <w:sz w:val="30"/>
          <w:szCs w:val="30"/>
          <w:highlight w:val="none"/>
          <w:lang w:val="en-US" w:eastAsia="zh-CN"/>
        </w:rPr>
        <w:t>短期投资（4行）、长期股权投资（17行）、长期债券投资（18行）的期末数（2栏）之和。</w:t>
      </w:r>
    </w:p>
    <w:p w14:paraId="614CF2A9">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lang w:val="en-US" w:eastAsia="zh-CN"/>
        </w:rPr>
        <w:t>当单位会计科目（1栏）等于“</w:t>
      </w:r>
      <w:r>
        <w:rPr>
          <w:rFonts w:hint="eastAsia" w:ascii="仿宋_GB2312" w:eastAsia="仿宋_GB2312"/>
          <w:sz w:val="30"/>
          <w:szCs w:val="30"/>
          <w:highlight w:val="none"/>
        </w:rPr>
        <w:t>短期投资</w:t>
      </w:r>
      <w:r>
        <w:rPr>
          <w:rFonts w:hint="eastAsia" w:ascii="仿宋_GB2312" w:eastAsia="仿宋_GB2312"/>
          <w:sz w:val="30"/>
          <w:szCs w:val="30"/>
          <w:highlight w:val="none"/>
          <w:lang w:val="en-US" w:eastAsia="zh-CN"/>
        </w:rPr>
        <w:t>”时，</w:t>
      </w:r>
      <w:r>
        <w:rPr>
          <w:rFonts w:hint="eastAsia" w:ascii="仿宋_GB2312" w:eastAsia="仿宋_GB2312"/>
          <w:sz w:val="30"/>
          <w:szCs w:val="30"/>
          <w:highlight w:val="none"/>
        </w:rPr>
        <w:t>浮动行</w:t>
      </w:r>
      <w:r>
        <w:rPr>
          <w:rFonts w:hint="eastAsia" w:ascii="仿宋_GB2312" w:eastAsia="仿宋_GB2312"/>
          <w:sz w:val="30"/>
          <w:szCs w:val="30"/>
          <w:highlight w:val="none"/>
          <w:lang w:val="en-US" w:eastAsia="zh-CN"/>
        </w:rPr>
        <w:t>对外投资期末账面数（13栏）</w:t>
      </w:r>
      <w:r>
        <w:rPr>
          <w:rFonts w:hint="eastAsia" w:ascii="仿宋_GB2312" w:eastAsia="仿宋_GB2312"/>
          <w:sz w:val="30"/>
          <w:szCs w:val="30"/>
          <w:highlight w:val="none"/>
        </w:rPr>
        <w:t>之和</w:t>
      </w:r>
      <w:r>
        <w:rPr>
          <w:rFonts w:hint="eastAsia" w:ascii="仿宋_GB2312" w:eastAsia="仿宋_GB2312"/>
          <w:sz w:val="30"/>
          <w:szCs w:val="30"/>
          <w:highlight w:val="none"/>
          <w:lang w:val="en-US" w:eastAsia="zh-CN"/>
        </w:rPr>
        <w:t>应等于</w:t>
      </w:r>
      <w:r>
        <w:rPr>
          <w:rFonts w:hint="eastAsia" w:ascii="仿宋_GB2312" w:eastAsia="仿宋_GB2312"/>
          <w:sz w:val="30"/>
          <w:szCs w:val="30"/>
          <w:highlight w:val="none"/>
        </w:rPr>
        <w:t>财资01资产负债表</w:t>
      </w:r>
      <w:r>
        <w:rPr>
          <w:rFonts w:hint="eastAsia" w:ascii="仿宋_GB2312" w:eastAsia="仿宋_GB2312"/>
          <w:sz w:val="30"/>
          <w:szCs w:val="30"/>
          <w:highlight w:val="none"/>
          <w:lang w:val="en-US" w:eastAsia="zh-CN"/>
        </w:rPr>
        <w:t>短期投资期末数（4行2栏）</w:t>
      </w:r>
      <w:r>
        <w:rPr>
          <w:rFonts w:hint="eastAsia" w:ascii="仿宋_GB2312" w:eastAsia="仿宋_GB2312"/>
          <w:sz w:val="30"/>
          <w:szCs w:val="30"/>
          <w:highlight w:val="none"/>
        </w:rPr>
        <w:t>；</w:t>
      </w:r>
    </w:p>
    <w:p w14:paraId="7A47B5D8">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lang w:val="en-US" w:eastAsia="zh-CN"/>
        </w:rPr>
        <w:t>当单位会计科目（1栏）等于“</w:t>
      </w:r>
      <w:r>
        <w:rPr>
          <w:rFonts w:hint="eastAsia" w:ascii="仿宋_GB2312" w:eastAsia="仿宋_GB2312"/>
          <w:sz w:val="30"/>
          <w:szCs w:val="30"/>
          <w:highlight w:val="none"/>
        </w:rPr>
        <w:t>长期股权投资</w:t>
      </w:r>
      <w:r>
        <w:rPr>
          <w:rFonts w:hint="eastAsia" w:ascii="仿宋_GB2312" w:eastAsia="仿宋_GB2312"/>
          <w:sz w:val="30"/>
          <w:szCs w:val="30"/>
          <w:highlight w:val="none"/>
          <w:lang w:val="en-US" w:eastAsia="zh-CN"/>
        </w:rPr>
        <w:t>”时，</w:t>
      </w:r>
      <w:r>
        <w:rPr>
          <w:rFonts w:hint="eastAsia" w:ascii="仿宋_GB2312" w:eastAsia="仿宋_GB2312"/>
          <w:sz w:val="30"/>
          <w:szCs w:val="30"/>
          <w:highlight w:val="none"/>
        </w:rPr>
        <w:t>浮动行</w:t>
      </w:r>
      <w:r>
        <w:rPr>
          <w:rFonts w:hint="eastAsia" w:ascii="仿宋_GB2312" w:eastAsia="仿宋_GB2312"/>
          <w:sz w:val="30"/>
          <w:szCs w:val="30"/>
          <w:highlight w:val="none"/>
          <w:lang w:val="en-US" w:eastAsia="zh-CN"/>
        </w:rPr>
        <w:t>对外投资期末账面数（13栏）</w:t>
      </w:r>
      <w:r>
        <w:rPr>
          <w:rFonts w:hint="eastAsia" w:ascii="仿宋_GB2312" w:eastAsia="仿宋_GB2312"/>
          <w:sz w:val="30"/>
          <w:szCs w:val="30"/>
          <w:highlight w:val="none"/>
        </w:rPr>
        <w:t>之和</w:t>
      </w:r>
      <w:r>
        <w:rPr>
          <w:rFonts w:hint="eastAsia" w:ascii="仿宋_GB2312" w:eastAsia="仿宋_GB2312"/>
          <w:sz w:val="30"/>
          <w:szCs w:val="30"/>
          <w:highlight w:val="none"/>
          <w:lang w:val="en-US" w:eastAsia="zh-CN"/>
        </w:rPr>
        <w:t>应等于</w:t>
      </w:r>
      <w:r>
        <w:rPr>
          <w:rFonts w:hint="eastAsia" w:ascii="仿宋_GB2312" w:eastAsia="仿宋_GB2312"/>
          <w:sz w:val="30"/>
          <w:szCs w:val="30"/>
          <w:highlight w:val="none"/>
        </w:rPr>
        <w:t>财资01资产负债表长期股权投资</w:t>
      </w:r>
      <w:r>
        <w:rPr>
          <w:rFonts w:hint="eastAsia" w:ascii="仿宋_GB2312" w:eastAsia="仿宋_GB2312"/>
          <w:sz w:val="30"/>
          <w:szCs w:val="30"/>
          <w:highlight w:val="none"/>
          <w:lang w:val="en-US" w:eastAsia="zh-CN"/>
        </w:rPr>
        <w:t>期末数（17行2栏）</w:t>
      </w:r>
      <w:r>
        <w:rPr>
          <w:rFonts w:hint="eastAsia" w:ascii="仿宋_GB2312" w:eastAsia="仿宋_GB2312"/>
          <w:sz w:val="30"/>
          <w:szCs w:val="30"/>
          <w:highlight w:val="none"/>
        </w:rPr>
        <w:t>；</w:t>
      </w:r>
    </w:p>
    <w:p w14:paraId="5126D6A2">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lang w:val="en-US" w:eastAsia="zh-CN"/>
        </w:rPr>
        <w:t>当单位会计科目（1栏）等于“</w:t>
      </w:r>
      <w:r>
        <w:rPr>
          <w:rFonts w:hint="eastAsia" w:ascii="仿宋_GB2312" w:eastAsia="仿宋_GB2312"/>
          <w:sz w:val="30"/>
          <w:szCs w:val="30"/>
          <w:highlight w:val="none"/>
        </w:rPr>
        <w:t>长期债券投资</w:t>
      </w:r>
      <w:r>
        <w:rPr>
          <w:rFonts w:hint="eastAsia" w:ascii="仿宋_GB2312" w:eastAsia="仿宋_GB2312"/>
          <w:sz w:val="30"/>
          <w:szCs w:val="30"/>
          <w:highlight w:val="none"/>
          <w:lang w:val="en-US" w:eastAsia="zh-CN"/>
        </w:rPr>
        <w:t>”时，</w:t>
      </w:r>
      <w:r>
        <w:rPr>
          <w:rFonts w:hint="eastAsia" w:ascii="仿宋_GB2312" w:eastAsia="仿宋_GB2312"/>
          <w:sz w:val="30"/>
          <w:szCs w:val="30"/>
          <w:highlight w:val="none"/>
        </w:rPr>
        <w:t>浮动行</w:t>
      </w:r>
      <w:r>
        <w:rPr>
          <w:rFonts w:hint="eastAsia" w:ascii="仿宋_GB2312" w:eastAsia="仿宋_GB2312"/>
          <w:sz w:val="30"/>
          <w:szCs w:val="30"/>
          <w:highlight w:val="none"/>
          <w:lang w:val="en-US" w:eastAsia="zh-CN"/>
        </w:rPr>
        <w:t>对外投资期末账面数（13栏）</w:t>
      </w:r>
      <w:r>
        <w:rPr>
          <w:rFonts w:hint="eastAsia" w:ascii="仿宋_GB2312" w:eastAsia="仿宋_GB2312"/>
          <w:sz w:val="30"/>
          <w:szCs w:val="30"/>
          <w:highlight w:val="none"/>
        </w:rPr>
        <w:t>之和</w:t>
      </w:r>
      <w:r>
        <w:rPr>
          <w:rFonts w:hint="eastAsia" w:ascii="仿宋_GB2312" w:eastAsia="仿宋_GB2312"/>
          <w:sz w:val="30"/>
          <w:szCs w:val="30"/>
          <w:highlight w:val="none"/>
          <w:lang w:val="en-US" w:eastAsia="zh-CN"/>
        </w:rPr>
        <w:t>应等于</w:t>
      </w:r>
      <w:r>
        <w:rPr>
          <w:rFonts w:hint="eastAsia" w:ascii="仿宋_GB2312" w:eastAsia="仿宋_GB2312"/>
          <w:sz w:val="30"/>
          <w:szCs w:val="30"/>
          <w:highlight w:val="none"/>
        </w:rPr>
        <w:t>财资01资产负债表长期债券投资</w:t>
      </w:r>
      <w:r>
        <w:rPr>
          <w:rFonts w:hint="eastAsia" w:ascii="仿宋_GB2312" w:eastAsia="仿宋_GB2312"/>
          <w:sz w:val="30"/>
          <w:szCs w:val="30"/>
          <w:highlight w:val="none"/>
          <w:lang w:val="en-US" w:eastAsia="zh-CN"/>
        </w:rPr>
        <w:t>期末数（18行2栏）</w:t>
      </w:r>
      <w:r>
        <w:rPr>
          <w:rFonts w:hint="eastAsia" w:ascii="仿宋_GB2312" w:eastAsia="仿宋_GB2312"/>
          <w:sz w:val="30"/>
          <w:szCs w:val="30"/>
          <w:highlight w:val="none"/>
        </w:rPr>
        <w:t>。</w:t>
      </w:r>
    </w:p>
    <w:p w14:paraId="2F1B28A7">
      <w:pPr>
        <w:snapToGrid w:val="0"/>
        <w:spacing w:line="360" w:lineRule="auto"/>
        <w:ind w:firstLine="602" w:firstLineChars="200"/>
        <w:rPr>
          <w:rFonts w:hint="eastAsia" w:ascii="仿宋_GB2312" w:hAnsi="仿宋" w:eastAsia="仿宋_GB2312"/>
          <w:b/>
          <w:sz w:val="30"/>
          <w:szCs w:val="30"/>
          <w:highlight w:val="none"/>
        </w:rPr>
      </w:pPr>
      <w:r>
        <w:rPr>
          <w:rFonts w:hint="eastAsia" w:ascii="仿宋_GB2312" w:hAnsi="仿宋" w:eastAsia="仿宋_GB2312"/>
          <w:b/>
          <w:sz w:val="30"/>
          <w:szCs w:val="30"/>
          <w:highlight w:val="none"/>
        </w:rPr>
        <w:t>核实性公式：</w:t>
      </w:r>
    </w:p>
    <w:p w14:paraId="4A22A8C0">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lang w:val="en-US" w:eastAsia="zh-CN"/>
        </w:rPr>
        <w:t>审批情况（11栏）</w:t>
      </w:r>
      <w:r>
        <w:rPr>
          <w:rFonts w:hint="eastAsia" w:ascii="仿宋_GB2312" w:eastAsia="仿宋_GB2312"/>
          <w:sz w:val="30"/>
          <w:szCs w:val="30"/>
          <w:highlight w:val="none"/>
        </w:rPr>
        <w:t>为“未审批”时，提示核实性错误</w:t>
      </w:r>
      <w:r>
        <w:rPr>
          <w:rFonts w:hint="eastAsia" w:ascii="仿宋_GB2312" w:hAnsi="仿宋" w:eastAsia="仿宋_GB2312"/>
          <w:sz w:val="30"/>
          <w:szCs w:val="30"/>
          <w:highlight w:val="none"/>
        </w:rPr>
        <w:t>，需结合实际情况修改或填写情况说明；</w:t>
      </w:r>
    </w:p>
    <w:p w14:paraId="4B5A932A">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lang w:val="en-US" w:eastAsia="zh-CN"/>
        </w:rPr>
        <w:t>单位会计科目（1栏）等于</w:t>
      </w:r>
      <w:r>
        <w:rPr>
          <w:rFonts w:hint="eastAsia" w:ascii="仿宋_GB2312" w:eastAsia="仿宋_GB2312"/>
          <w:sz w:val="30"/>
          <w:szCs w:val="30"/>
          <w:highlight w:val="none"/>
        </w:rPr>
        <w:t>“</w:t>
      </w:r>
      <w:r>
        <w:rPr>
          <w:rFonts w:hint="eastAsia" w:ascii="仿宋_GB2312" w:hAnsi="仿宋" w:eastAsia="仿宋_GB2312"/>
          <w:sz w:val="30"/>
          <w:szCs w:val="30"/>
          <w:highlight w:val="none"/>
        </w:rPr>
        <w:t>长期股权投资</w:t>
      </w:r>
      <w:r>
        <w:rPr>
          <w:rFonts w:hint="eastAsia" w:ascii="仿宋_GB2312" w:eastAsia="仿宋_GB2312"/>
          <w:sz w:val="30"/>
          <w:szCs w:val="30"/>
          <w:highlight w:val="none"/>
        </w:rPr>
        <w:t>”且是否编报国有企业财务会计决算</w:t>
      </w:r>
      <w:r>
        <w:rPr>
          <w:rFonts w:hint="eastAsia" w:ascii="仿宋_GB2312" w:eastAsia="仿宋_GB2312"/>
          <w:sz w:val="30"/>
          <w:szCs w:val="30"/>
          <w:highlight w:val="none"/>
          <w:lang w:val="en-US" w:eastAsia="zh-CN"/>
        </w:rPr>
        <w:t>（21栏）</w:t>
      </w:r>
      <w:r>
        <w:rPr>
          <w:rFonts w:hint="eastAsia" w:ascii="仿宋_GB2312" w:eastAsia="仿宋_GB2312"/>
          <w:sz w:val="30"/>
          <w:szCs w:val="30"/>
          <w:highlight w:val="none"/>
        </w:rPr>
        <w:t>选“是”时，期末持股比例（%）</w:t>
      </w:r>
      <w:r>
        <w:rPr>
          <w:rFonts w:hint="eastAsia" w:ascii="仿宋_GB2312" w:eastAsia="仿宋_GB2312"/>
          <w:sz w:val="30"/>
          <w:szCs w:val="30"/>
          <w:highlight w:val="none"/>
          <w:lang w:val="en-US" w:eastAsia="zh-CN"/>
        </w:rPr>
        <w:t>（18栏）应大于0，</w:t>
      </w:r>
      <w:r>
        <w:rPr>
          <w:rFonts w:hint="eastAsia" w:ascii="仿宋_GB2312" w:eastAsia="仿宋_GB2312"/>
          <w:sz w:val="30"/>
          <w:szCs w:val="30"/>
          <w:highlight w:val="none"/>
        </w:rPr>
        <w:t>否则提示核实性错误，需结合实际情况修改或填写情况说明；</w:t>
      </w:r>
    </w:p>
    <w:p w14:paraId="7F7ABA2D">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lang w:val="en-US" w:eastAsia="zh-CN"/>
        </w:rPr>
        <w:t>单位会计科目（1栏）等于</w:t>
      </w:r>
      <w:r>
        <w:rPr>
          <w:rFonts w:hint="eastAsia" w:ascii="仿宋_GB2312" w:eastAsia="仿宋_GB2312"/>
          <w:sz w:val="30"/>
          <w:szCs w:val="30"/>
          <w:highlight w:val="none"/>
        </w:rPr>
        <w:t>“</w:t>
      </w:r>
      <w:r>
        <w:rPr>
          <w:rFonts w:hint="eastAsia" w:ascii="仿宋_GB2312" w:hAnsi="仿宋" w:eastAsia="仿宋_GB2312"/>
          <w:sz w:val="30"/>
          <w:szCs w:val="30"/>
          <w:highlight w:val="none"/>
        </w:rPr>
        <w:t>长期股权投资</w:t>
      </w:r>
      <w:r>
        <w:rPr>
          <w:rFonts w:hint="eastAsia" w:ascii="仿宋_GB2312" w:eastAsia="仿宋_GB2312"/>
          <w:sz w:val="30"/>
          <w:szCs w:val="30"/>
          <w:highlight w:val="none"/>
        </w:rPr>
        <w:t>”且是否编报国有企业财务会计决算</w:t>
      </w:r>
      <w:r>
        <w:rPr>
          <w:rFonts w:hint="eastAsia" w:ascii="仿宋_GB2312" w:eastAsia="仿宋_GB2312"/>
          <w:sz w:val="30"/>
          <w:szCs w:val="30"/>
          <w:highlight w:val="none"/>
          <w:lang w:val="en-US" w:eastAsia="zh-CN"/>
        </w:rPr>
        <w:t>（21栏）</w:t>
      </w:r>
      <w:r>
        <w:rPr>
          <w:rFonts w:hint="eastAsia" w:ascii="仿宋_GB2312" w:eastAsia="仿宋_GB2312"/>
          <w:sz w:val="30"/>
          <w:szCs w:val="30"/>
          <w:highlight w:val="none"/>
        </w:rPr>
        <w:t>选“是”时，期末持股比例（%）</w:t>
      </w:r>
      <w:r>
        <w:rPr>
          <w:rFonts w:hint="eastAsia" w:ascii="仿宋_GB2312" w:eastAsia="仿宋_GB2312"/>
          <w:sz w:val="30"/>
          <w:szCs w:val="30"/>
          <w:highlight w:val="none"/>
          <w:lang w:val="en-US" w:eastAsia="zh-CN"/>
        </w:rPr>
        <w:t>（18栏）小于</w:t>
      </w:r>
      <w:r>
        <w:rPr>
          <w:rFonts w:hint="eastAsia" w:ascii="仿宋_GB2312" w:eastAsia="仿宋_GB2312"/>
          <w:sz w:val="30"/>
          <w:szCs w:val="30"/>
          <w:highlight w:val="none"/>
        </w:rPr>
        <w:t>1%时，提示核实性错误，需结合实际情况修改或填写情况说明；</w:t>
      </w:r>
    </w:p>
    <w:p w14:paraId="026138C8">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rPr>
        <w:t>当</w:t>
      </w:r>
      <w:r>
        <w:rPr>
          <w:rFonts w:hint="eastAsia" w:ascii="仿宋_GB2312" w:eastAsia="仿宋_GB2312"/>
          <w:sz w:val="30"/>
          <w:szCs w:val="30"/>
          <w:highlight w:val="none"/>
          <w:lang w:eastAsia="zh-CN"/>
        </w:rPr>
        <w:t>是否实际控制</w:t>
      </w:r>
      <w:r>
        <w:rPr>
          <w:rFonts w:hint="eastAsia" w:ascii="仿宋_GB2312" w:eastAsia="仿宋_GB2312"/>
          <w:sz w:val="30"/>
          <w:szCs w:val="30"/>
          <w:highlight w:val="none"/>
          <w:lang w:val="en-US" w:eastAsia="zh-CN"/>
        </w:rPr>
        <w:t>（19栏）</w:t>
      </w:r>
      <w:r>
        <w:rPr>
          <w:rFonts w:hint="eastAsia" w:ascii="仿宋_GB2312" w:eastAsia="仿宋_GB2312"/>
          <w:sz w:val="30"/>
          <w:szCs w:val="30"/>
          <w:highlight w:val="none"/>
        </w:rPr>
        <w:t>选择</w:t>
      </w:r>
      <w:r>
        <w:rPr>
          <w:rFonts w:hint="eastAsia" w:ascii="仿宋_GB2312" w:hAnsi="仿宋" w:eastAsia="仿宋_GB2312"/>
          <w:sz w:val="30"/>
          <w:szCs w:val="30"/>
          <w:highlight w:val="none"/>
        </w:rPr>
        <w:t>“国有独资、国有控股”</w:t>
      </w:r>
      <w:r>
        <w:rPr>
          <w:rFonts w:hint="eastAsia" w:ascii="仿宋_GB2312" w:eastAsia="仿宋_GB2312"/>
          <w:sz w:val="30"/>
          <w:szCs w:val="30"/>
          <w:highlight w:val="none"/>
        </w:rPr>
        <w:t>时，且经营状况</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20栏</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为“正常经营”时，是否编报国有企业财务会计决算</w:t>
      </w:r>
      <w:r>
        <w:rPr>
          <w:rFonts w:hint="eastAsia" w:ascii="仿宋_GB2312" w:eastAsia="仿宋_GB2312"/>
          <w:sz w:val="30"/>
          <w:szCs w:val="30"/>
          <w:highlight w:val="none"/>
          <w:lang w:val="en-US" w:eastAsia="zh-CN"/>
        </w:rPr>
        <w:t>（21栏）</w:t>
      </w:r>
      <w:r>
        <w:rPr>
          <w:rFonts w:hint="eastAsia" w:ascii="仿宋_GB2312" w:eastAsia="仿宋_GB2312"/>
          <w:sz w:val="30"/>
          <w:szCs w:val="30"/>
          <w:highlight w:val="none"/>
        </w:rPr>
        <w:t>应为“是”，否则提示核实性错误</w:t>
      </w:r>
      <w:r>
        <w:rPr>
          <w:rFonts w:hint="eastAsia" w:ascii="仿宋_GB2312" w:hAnsi="仿宋" w:eastAsia="仿宋_GB2312"/>
          <w:sz w:val="30"/>
          <w:szCs w:val="30"/>
          <w:highlight w:val="none"/>
        </w:rPr>
        <w:t>，需结合实际情况修改或填写情况说明；</w:t>
      </w:r>
    </w:p>
    <w:p w14:paraId="578F320D">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rPr>
        <w:t>当出资资产账面原值</w:t>
      </w:r>
      <w:r>
        <w:rPr>
          <w:rFonts w:hint="eastAsia" w:ascii="仿宋_GB2312" w:eastAsia="仿宋_GB2312"/>
          <w:sz w:val="30"/>
          <w:szCs w:val="30"/>
          <w:highlight w:val="none"/>
          <w:lang w:val="en-US" w:eastAsia="zh-CN"/>
        </w:rPr>
        <w:t>合计（4栏）为</w:t>
      </w:r>
      <w:r>
        <w:rPr>
          <w:rFonts w:hint="eastAsia" w:ascii="仿宋_GB2312" w:eastAsia="仿宋_GB2312"/>
          <w:sz w:val="30"/>
          <w:szCs w:val="30"/>
          <w:highlight w:val="none"/>
        </w:rPr>
        <w:t>0时，提示核实性错误，需结合实际情况修改或填写情况说明；</w:t>
      </w:r>
    </w:p>
    <w:p w14:paraId="331AF200">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rPr>
        <w:t>当对外投资期末账面数</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13栏</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为</w:t>
      </w:r>
      <w:r>
        <w:rPr>
          <w:rFonts w:hint="eastAsia" w:ascii="仿宋_GB2312" w:eastAsia="仿宋_GB2312"/>
          <w:sz w:val="30"/>
          <w:szCs w:val="30"/>
          <w:highlight w:val="none"/>
        </w:rPr>
        <w:t>1时，提示核实性错误，需结合实际情况修改或填写情况说明；</w:t>
      </w:r>
    </w:p>
    <w:p w14:paraId="26587B01">
      <w:pPr>
        <w:numPr>
          <w:ilvl w:val="0"/>
          <w:numId w:val="5"/>
        </w:numPr>
        <w:spacing w:line="360" w:lineRule="auto"/>
        <w:ind w:firstLine="600" w:firstLineChars="200"/>
        <w:rPr>
          <w:rFonts w:ascii="仿宋_GB2312" w:eastAsia="仿宋_GB2312"/>
          <w:sz w:val="30"/>
          <w:szCs w:val="30"/>
          <w:highlight w:val="none"/>
        </w:rPr>
      </w:pPr>
      <w:r>
        <w:rPr>
          <w:rFonts w:hint="eastAsia" w:ascii="仿宋_GB2312" w:eastAsia="仿宋_GB2312"/>
          <w:sz w:val="30"/>
          <w:szCs w:val="30"/>
          <w:highlight w:val="none"/>
        </w:rPr>
        <w:t>当经营状况</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20栏</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为“正常经营”，但无收益，即本期实收投资收益</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23栏</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等于</w:t>
      </w:r>
      <w:r>
        <w:rPr>
          <w:rFonts w:hint="eastAsia" w:ascii="仿宋_GB2312" w:eastAsia="仿宋_GB2312"/>
          <w:sz w:val="30"/>
          <w:szCs w:val="30"/>
          <w:highlight w:val="none"/>
        </w:rPr>
        <w:t>0时，提示核实性</w:t>
      </w:r>
      <w:r>
        <w:rPr>
          <w:rFonts w:hint="eastAsia" w:ascii="仿宋_GB2312" w:hAnsi="仿宋" w:eastAsia="仿宋_GB2312"/>
          <w:spacing w:val="6"/>
          <w:sz w:val="30"/>
          <w:szCs w:val="30"/>
          <w:highlight w:val="none"/>
        </w:rPr>
        <w:t>错误，需结合实际情况修改或填写情况说明。</w:t>
      </w:r>
    </w:p>
    <w:p w14:paraId="6255CDA5">
      <w:pPr>
        <w:pStyle w:val="2"/>
        <w:rPr>
          <w:rFonts w:hint="eastAsia"/>
          <w:b/>
          <w:color w:val="auto"/>
          <w:highlight w:val="none"/>
        </w:rPr>
      </w:pPr>
      <w:r>
        <w:rPr>
          <w:rFonts w:hint="eastAsia"/>
          <w:color w:val="auto"/>
          <w:highlight w:val="none"/>
        </w:rPr>
        <w:t>（十三）公共基础设施</w:t>
      </w:r>
      <w:r>
        <w:rPr>
          <w:rFonts w:hint="eastAsia"/>
          <w:color w:val="auto"/>
          <w:highlight w:val="none"/>
          <w:lang w:eastAsia="zh-CN"/>
        </w:rPr>
        <w:t>－</w:t>
      </w:r>
      <w:r>
        <w:rPr>
          <w:rFonts w:hint="eastAsia"/>
          <w:color w:val="auto"/>
          <w:highlight w:val="none"/>
        </w:rPr>
        <w:t>交通基础设施情况表（财资1</w:t>
      </w:r>
      <w:r>
        <w:rPr>
          <w:color w:val="auto"/>
          <w:highlight w:val="none"/>
        </w:rPr>
        <w:t>2</w:t>
      </w:r>
      <w:r>
        <w:rPr>
          <w:rFonts w:hint="eastAsia"/>
          <w:color w:val="auto"/>
          <w:highlight w:val="none"/>
        </w:rPr>
        <w:t>-</w:t>
      </w:r>
      <w:r>
        <w:rPr>
          <w:color w:val="auto"/>
          <w:highlight w:val="none"/>
        </w:rPr>
        <w:t>1</w:t>
      </w:r>
      <w:r>
        <w:rPr>
          <w:rFonts w:hint="eastAsia"/>
          <w:color w:val="auto"/>
          <w:highlight w:val="none"/>
        </w:rPr>
        <w:t>表）</w:t>
      </w:r>
    </w:p>
    <w:p w14:paraId="4FCA4060">
      <w:pPr>
        <w:adjustRightInd w:val="0"/>
        <w:snapToGrid w:val="0"/>
        <w:spacing w:line="360" w:lineRule="auto"/>
        <w:ind w:firstLine="708" w:firstLineChars="236"/>
        <w:rPr>
          <w:rFonts w:hint="eastAsia" w:ascii="仿宋_GB2312" w:hAnsi="宋体" w:eastAsia="仿宋_GB2312"/>
          <w:sz w:val="30"/>
          <w:szCs w:val="30"/>
          <w:highlight w:val="none"/>
        </w:rPr>
      </w:pPr>
      <w:r>
        <w:rPr>
          <w:rFonts w:hint="eastAsia" w:ascii="仿宋_GB2312" w:hAnsi="宋体" w:eastAsia="仿宋_GB2312"/>
          <w:sz w:val="30"/>
          <w:szCs w:val="30"/>
          <w:highlight w:val="none"/>
        </w:rPr>
        <w:t>本表反映行政事业单位已入账的交通公共基础设施资产等期初、期末账面数，包括公路、铁路、汽车客运站、机场、航道、沿海航海保障设施、港口、轮渡。本表从交通基础设施资产卡片自动提取，允许手工修改。“负有管理维护职责数量”指标应按照《政府会计准则5号——公共基础设施》、《公路资产管理暂行办法》、《关于进一步加强公路水路公共基础设施政府会计核算的通知》</w:t>
      </w:r>
      <w:r>
        <w:rPr>
          <w:rFonts w:hint="eastAsia" w:ascii="仿宋_GB2312" w:hAnsi="宋体" w:eastAsia="仿宋_GB2312"/>
          <w:sz w:val="30"/>
          <w:szCs w:val="30"/>
          <w:highlight w:val="none"/>
          <w:lang w:val="en-US" w:eastAsia="zh-CN"/>
        </w:rPr>
        <w:t>等</w:t>
      </w:r>
      <w:r>
        <w:rPr>
          <w:rFonts w:hint="eastAsia" w:ascii="仿宋_GB2312" w:hAnsi="宋体" w:eastAsia="仿宋_GB2312"/>
          <w:sz w:val="30"/>
          <w:szCs w:val="30"/>
          <w:highlight w:val="none"/>
        </w:rPr>
        <w:t>相关规定，填写填报单位应当予以确认的资产数量。</w:t>
      </w:r>
    </w:p>
    <w:p w14:paraId="31A5C7CA">
      <w:pPr>
        <w:adjustRightInd w:val="0"/>
        <w:snapToGrid w:val="0"/>
        <w:spacing w:line="360" w:lineRule="auto"/>
        <w:ind w:firstLine="711" w:firstLineChars="236"/>
        <w:rPr>
          <w:rFonts w:hint="eastAsia" w:ascii="仿宋_GB2312" w:hAnsi="宋体" w:eastAsia="仿宋_GB2312"/>
          <w:b/>
          <w:bCs/>
          <w:sz w:val="30"/>
          <w:szCs w:val="30"/>
          <w:highlight w:val="none"/>
        </w:rPr>
      </w:pPr>
      <w:r>
        <w:rPr>
          <w:rFonts w:hint="eastAsia" w:ascii="仿宋_GB2312" w:hAnsi="宋体" w:eastAsia="仿宋_GB2312"/>
          <w:b/>
          <w:bCs/>
          <w:sz w:val="30"/>
          <w:szCs w:val="30"/>
          <w:highlight w:val="none"/>
        </w:rPr>
        <w:t>主要指标说明：</w:t>
      </w:r>
    </w:p>
    <w:p w14:paraId="725FB9A8">
      <w:pPr>
        <w:adjustRightInd w:val="0"/>
        <w:snapToGrid w:val="0"/>
        <w:spacing w:line="360" w:lineRule="auto"/>
        <w:ind w:firstLine="600" w:firstLineChars="200"/>
        <w:rPr>
          <w:rFonts w:hint="eastAsia" w:ascii="仿宋_GB2312" w:hAnsi="宋体" w:eastAsia="仿宋_GB2312"/>
          <w:bCs/>
          <w:sz w:val="30"/>
          <w:szCs w:val="32"/>
          <w:highlight w:val="none"/>
        </w:rPr>
      </w:pPr>
      <w:r>
        <w:rPr>
          <w:rFonts w:hint="eastAsia" w:ascii="仿宋_GB2312" w:hAnsi="宋体" w:eastAsia="仿宋_GB2312"/>
          <w:bCs/>
          <w:sz w:val="30"/>
          <w:szCs w:val="32"/>
          <w:highlight w:val="none"/>
        </w:rPr>
        <w:t>1.公路。公路分为行政等级和技术等级。公路公共基础设施，包括公路用地、公路（含公路桥涵、公路隧道、公路渡口等）及构筑物、构成公路正常使用不可缺少组成部分的交通工程及沿线设施（含交通安全设施、管理设施、服务设施、绿化环保设施）等资产。</w:t>
      </w:r>
    </w:p>
    <w:p w14:paraId="7CEC78C0">
      <w:pPr>
        <w:adjustRightInd w:val="0"/>
        <w:snapToGrid w:val="0"/>
        <w:spacing w:line="360" w:lineRule="auto"/>
        <w:ind w:firstLine="600" w:firstLineChars="200"/>
        <w:rPr>
          <w:rFonts w:hint="eastAsia" w:ascii="仿宋_GB2312" w:hAnsi="宋体" w:eastAsia="仿宋_GB2312"/>
          <w:bCs/>
          <w:sz w:val="30"/>
          <w:szCs w:val="32"/>
          <w:highlight w:val="none"/>
        </w:rPr>
      </w:pPr>
      <w:r>
        <w:rPr>
          <w:rFonts w:hint="eastAsia" w:ascii="仿宋_GB2312" w:hAnsi="宋体" w:eastAsia="仿宋_GB2312"/>
          <w:bCs/>
          <w:sz w:val="30"/>
          <w:szCs w:val="32"/>
          <w:highlight w:val="none"/>
        </w:rPr>
        <w:t>（1）行政等级。公路按其在公路路网中的地位划分行政等级，分为国道、省道、县道、乡道、村道和专用公路。</w:t>
      </w:r>
    </w:p>
    <w:p w14:paraId="0BE3FED9">
      <w:pPr>
        <w:adjustRightInd w:val="0"/>
        <w:snapToGrid w:val="0"/>
        <w:spacing w:line="360" w:lineRule="auto"/>
        <w:ind w:firstLine="600" w:firstLineChars="200"/>
        <w:rPr>
          <w:rFonts w:hint="eastAsia" w:ascii="仿宋_GB2312" w:hAnsi="宋体" w:eastAsia="仿宋_GB2312"/>
          <w:bCs/>
          <w:sz w:val="30"/>
          <w:szCs w:val="32"/>
          <w:highlight w:val="none"/>
        </w:rPr>
      </w:pPr>
      <w:r>
        <w:rPr>
          <w:rFonts w:hint="eastAsia" w:ascii="仿宋_GB2312" w:hAnsi="宋体" w:eastAsia="仿宋_GB2312"/>
          <w:bCs/>
          <w:sz w:val="30"/>
          <w:szCs w:val="32"/>
          <w:highlight w:val="none"/>
        </w:rPr>
        <w:t>国道：具有全国性政治经济意义的主要干线公路，包括重要的国际公路，国防公路，连接首都与各省、自治区首府和直辖市的公路，连接各大经济中心、港站枢纽、商品生产基地和战略要地的公路。</w:t>
      </w:r>
    </w:p>
    <w:p w14:paraId="72339298">
      <w:pPr>
        <w:adjustRightInd w:val="0"/>
        <w:snapToGrid w:val="0"/>
        <w:spacing w:line="360" w:lineRule="auto"/>
        <w:ind w:firstLine="600" w:firstLineChars="200"/>
        <w:rPr>
          <w:rFonts w:hint="eastAsia" w:ascii="仿宋_GB2312" w:hAnsi="宋体" w:eastAsia="仿宋_GB2312"/>
          <w:bCs/>
          <w:sz w:val="30"/>
          <w:szCs w:val="32"/>
          <w:highlight w:val="none"/>
        </w:rPr>
      </w:pPr>
      <w:r>
        <w:rPr>
          <w:rFonts w:hint="eastAsia" w:ascii="仿宋_GB2312" w:hAnsi="宋体" w:eastAsia="仿宋_GB2312"/>
          <w:bCs/>
          <w:sz w:val="30"/>
          <w:szCs w:val="32"/>
          <w:highlight w:val="none"/>
        </w:rPr>
        <w:t>省道：具有全省（自治区、直辖市）政治、经济意义，连接省内中心城市和主要经济区的公路，以及不属于国道的省际间的重要公路。</w:t>
      </w:r>
    </w:p>
    <w:p w14:paraId="17F7B17D">
      <w:pPr>
        <w:adjustRightInd w:val="0"/>
        <w:snapToGrid w:val="0"/>
        <w:spacing w:line="360" w:lineRule="auto"/>
        <w:ind w:firstLine="600" w:firstLineChars="200"/>
        <w:rPr>
          <w:rFonts w:hint="eastAsia" w:ascii="仿宋_GB2312" w:hAnsi="宋体" w:eastAsia="仿宋_GB2312"/>
          <w:bCs/>
          <w:sz w:val="30"/>
          <w:szCs w:val="32"/>
          <w:highlight w:val="none"/>
        </w:rPr>
      </w:pPr>
      <w:r>
        <w:rPr>
          <w:rFonts w:hint="eastAsia" w:ascii="仿宋_GB2312" w:hAnsi="宋体" w:eastAsia="仿宋_GB2312"/>
          <w:bCs/>
          <w:sz w:val="30"/>
          <w:szCs w:val="32"/>
          <w:highlight w:val="none"/>
        </w:rPr>
        <w:t>县道：除国道、省道以外的县际间公路以及连接县级人民政府所在地与乡级人民政府所在地和主要商品生产、集散地的公路。</w:t>
      </w:r>
    </w:p>
    <w:p w14:paraId="280DEFD6">
      <w:pPr>
        <w:adjustRightInd w:val="0"/>
        <w:snapToGrid w:val="0"/>
        <w:spacing w:line="360" w:lineRule="auto"/>
        <w:ind w:firstLine="600" w:firstLineChars="200"/>
        <w:rPr>
          <w:rFonts w:hint="eastAsia" w:ascii="仿宋_GB2312" w:hAnsi="宋体" w:eastAsia="仿宋_GB2312"/>
          <w:bCs/>
          <w:sz w:val="30"/>
          <w:szCs w:val="32"/>
          <w:highlight w:val="none"/>
        </w:rPr>
      </w:pPr>
      <w:r>
        <w:rPr>
          <w:rFonts w:hint="eastAsia" w:ascii="仿宋_GB2312" w:hAnsi="宋体" w:eastAsia="仿宋_GB2312"/>
          <w:bCs/>
          <w:sz w:val="30"/>
          <w:szCs w:val="32"/>
          <w:highlight w:val="none"/>
        </w:rPr>
        <w:t>乡道：除县道及县道以上等级公路以外的乡际间公路以及连接乡级人民政府所在地与建制村的公路。</w:t>
      </w:r>
    </w:p>
    <w:p w14:paraId="7CC37AD1">
      <w:pPr>
        <w:adjustRightInd w:val="0"/>
        <w:snapToGrid w:val="0"/>
        <w:spacing w:line="360" w:lineRule="auto"/>
        <w:ind w:firstLine="600" w:firstLineChars="200"/>
        <w:rPr>
          <w:rFonts w:hint="eastAsia" w:ascii="仿宋_GB2312" w:hAnsi="宋体" w:eastAsia="仿宋_GB2312"/>
          <w:bCs/>
          <w:sz w:val="30"/>
          <w:szCs w:val="32"/>
          <w:highlight w:val="none"/>
        </w:rPr>
      </w:pPr>
      <w:r>
        <w:rPr>
          <w:rFonts w:hint="eastAsia" w:ascii="仿宋_GB2312" w:hAnsi="宋体" w:eastAsia="仿宋_GB2312"/>
          <w:bCs/>
          <w:sz w:val="30"/>
          <w:szCs w:val="32"/>
          <w:highlight w:val="none"/>
        </w:rPr>
        <w:t>村道：村道是指除乡道及乡道以上等级公路以外的连接建制村与建制村、建制村与自然村、建制村与外部的公路，但不包括村内街巷和农田间的机耕道。</w:t>
      </w:r>
    </w:p>
    <w:p w14:paraId="346A684E">
      <w:pPr>
        <w:adjustRightInd w:val="0"/>
        <w:snapToGrid w:val="0"/>
        <w:spacing w:line="360" w:lineRule="auto"/>
        <w:ind w:firstLine="600" w:firstLineChars="200"/>
        <w:rPr>
          <w:rFonts w:hint="eastAsia" w:ascii="仿宋_GB2312" w:hAnsi="宋体" w:eastAsia="仿宋_GB2312"/>
          <w:bCs/>
          <w:sz w:val="30"/>
          <w:szCs w:val="32"/>
          <w:highlight w:val="none"/>
        </w:rPr>
      </w:pPr>
      <w:r>
        <w:rPr>
          <w:rFonts w:hint="eastAsia" w:ascii="仿宋_GB2312" w:hAnsi="宋体" w:eastAsia="仿宋_GB2312"/>
          <w:bCs/>
          <w:sz w:val="30"/>
          <w:szCs w:val="32"/>
          <w:highlight w:val="none"/>
        </w:rPr>
        <w:t>专用公路：专用公路是指由企业或者其他单位建设、养护、管理，专为或者主要为本企业或者本单位提供运输服务的道路。</w:t>
      </w:r>
    </w:p>
    <w:p w14:paraId="25BDD478">
      <w:pPr>
        <w:adjustRightInd w:val="0"/>
        <w:snapToGrid w:val="0"/>
        <w:spacing w:line="360" w:lineRule="auto"/>
        <w:ind w:firstLine="600" w:firstLineChars="200"/>
        <w:rPr>
          <w:rFonts w:hint="eastAsia" w:ascii="仿宋_GB2312" w:hAnsi="宋体" w:eastAsia="仿宋_GB2312"/>
          <w:bCs/>
          <w:sz w:val="30"/>
          <w:szCs w:val="32"/>
          <w:highlight w:val="none"/>
        </w:rPr>
      </w:pPr>
      <w:r>
        <w:rPr>
          <w:rFonts w:hint="eastAsia" w:ascii="仿宋_GB2312" w:hAnsi="宋体" w:eastAsia="仿宋_GB2312"/>
          <w:bCs/>
          <w:sz w:val="30"/>
          <w:szCs w:val="32"/>
          <w:highlight w:val="none"/>
        </w:rPr>
        <w:t>（</w:t>
      </w:r>
      <w:r>
        <w:rPr>
          <w:rFonts w:ascii="仿宋_GB2312" w:hAnsi="宋体" w:eastAsia="仿宋_GB2312"/>
          <w:bCs/>
          <w:sz w:val="30"/>
          <w:szCs w:val="32"/>
          <w:highlight w:val="none"/>
        </w:rPr>
        <w:t>2</w:t>
      </w:r>
      <w:r>
        <w:rPr>
          <w:rFonts w:hint="eastAsia" w:ascii="仿宋_GB2312" w:hAnsi="宋体" w:eastAsia="仿宋_GB2312"/>
          <w:bCs/>
          <w:sz w:val="30"/>
          <w:szCs w:val="32"/>
          <w:highlight w:val="none"/>
        </w:rPr>
        <w:t>）技术等级。一般按照公路所适应的年平均昼夜交通量及其使用任务和性质，将公路分为五个技术等级：高速公路、一级公路、二级公路、三级公路、四级公路。不符合公路工程技术标准的公路为等外公路。</w:t>
      </w:r>
    </w:p>
    <w:p w14:paraId="1E8F05D6">
      <w:pPr>
        <w:adjustRightInd w:val="0"/>
        <w:snapToGrid w:val="0"/>
        <w:spacing w:line="360" w:lineRule="auto"/>
        <w:ind w:firstLine="600" w:firstLineChars="200"/>
        <w:rPr>
          <w:rFonts w:hint="eastAsia" w:ascii="仿宋_GB2312" w:hAnsi="宋体" w:eastAsia="仿宋_GB2312"/>
          <w:bCs/>
          <w:sz w:val="30"/>
          <w:szCs w:val="32"/>
          <w:highlight w:val="none"/>
        </w:rPr>
      </w:pPr>
      <w:r>
        <w:rPr>
          <w:rFonts w:hint="eastAsia" w:ascii="仿宋_GB2312" w:hAnsi="宋体" w:eastAsia="仿宋_GB2312"/>
          <w:bCs/>
          <w:sz w:val="30"/>
          <w:szCs w:val="32"/>
          <w:highlight w:val="none"/>
        </w:rPr>
        <w:t>高速公路：专供汽车分方向、分车道行驶，全部控制出入的多车道公路。高速公路的年平均日设计交通量宜在15000辆小客车以上。</w:t>
      </w:r>
    </w:p>
    <w:p w14:paraId="1CD253A8">
      <w:pPr>
        <w:adjustRightInd w:val="0"/>
        <w:snapToGrid w:val="0"/>
        <w:spacing w:line="360" w:lineRule="auto"/>
        <w:ind w:firstLine="600" w:firstLineChars="200"/>
        <w:rPr>
          <w:rFonts w:hint="eastAsia" w:ascii="仿宋_GB2312" w:hAnsi="宋体" w:eastAsia="仿宋_GB2312"/>
          <w:bCs/>
          <w:sz w:val="30"/>
          <w:szCs w:val="32"/>
          <w:highlight w:val="none"/>
        </w:rPr>
      </w:pPr>
      <w:r>
        <w:rPr>
          <w:rFonts w:hint="eastAsia" w:ascii="仿宋_GB2312" w:hAnsi="宋体" w:eastAsia="仿宋_GB2312"/>
          <w:bCs/>
          <w:sz w:val="30"/>
          <w:szCs w:val="32"/>
          <w:highlight w:val="none"/>
        </w:rPr>
        <w:t>一级公路：供汽车分方向、分车道行驶，可根据需要控制出入的多车道公路。一级公路的年平均日设计交通量宜在15000辆小客车以上。</w:t>
      </w:r>
    </w:p>
    <w:p w14:paraId="1DBC3119">
      <w:pPr>
        <w:adjustRightInd w:val="0"/>
        <w:snapToGrid w:val="0"/>
        <w:spacing w:line="360" w:lineRule="auto"/>
        <w:ind w:firstLine="600" w:firstLineChars="200"/>
        <w:rPr>
          <w:rFonts w:hint="eastAsia" w:ascii="仿宋_GB2312" w:hAnsi="宋体" w:eastAsia="仿宋_GB2312"/>
          <w:bCs/>
          <w:sz w:val="30"/>
          <w:szCs w:val="32"/>
          <w:highlight w:val="none"/>
        </w:rPr>
      </w:pPr>
      <w:r>
        <w:rPr>
          <w:rFonts w:hint="eastAsia" w:ascii="仿宋_GB2312" w:hAnsi="宋体" w:eastAsia="仿宋_GB2312"/>
          <w:bCs/>
          <w:sz w:val="30"/>
          <w:szCs w:val="32"/>
          <w:highlight w:val="none"/>
        </w:rPr>
        <w:t>二级公路：供汽车行驶的双车道公路。二级公路的年平均日设计交通量宜为5000</w:t>
      </w:r>
      <w:r>
        <w:rPr>
          <w:rFonts w:hint="eastAsia" w:ascii="仿宋_GB2312" w:hAnsi="宋体" w:eastAsia="仿宋_GB2312"/>
          <w:bCs/>
          <w:sz w:val="30"/>
          <w:szCs w:val="32"/>
          <w:highlight w:val="none"/>
          <w:lang w:eastAsia="zh-CN"/>
        </w:rPr>
        <w:t>—</w:t>
      </w:r>
      <w:r>
        <w:rPr>
          <w:rFonts w:hint="eastAsia" w:ascii="仿宋_GB2312" w:hAnsi="宋体" w:eastAsia="仿宋_GB2312"/>
          <w:bCs/>
          <w:sz w:val="30"/>
          <w:szCs w:val="32"/>
          <w:highlight w:val="none"/>
        </w:rPr>
        <w:t>15000辆小客车。</w:t>
      </w:r>
    </w:p>
    <w:p w14:paraId="6920D651">
      <w:pPr>
        <w:adjustRightInd w:val="0"/>
        <w:snapToGrid w:val="0"/>
        <w:spacing w:line="360" w:lineRule="auto"/>
        <w:ind w:firstLine="600" w:firstLineChars="200"/>
        <w:rPr>
          <w:rFonts w:hint="eastAsia" w:ascii="仿宋_GB2312" w:hAnsi="宋体" w:eastAsia="仿宋_GB2312"/>
          <w:bCs/>
          <w:sz w:val="30"/>
          <w:szCs w:val="32"/>
          <w:highlight w:val="none"/>
        </w:rPr>
      </w:pPr>
      <w:r>
        <w:rPr>
          <w:rFonts w:hint="eastAsia" w:ascii="仿宋_GB2312" w:hAnsi="宋体" w:eastAsia="仿宋_GB2312"/>
          <w:bCs/>
          <w:sz w:val="30"/>
          <w:szCs w:val="32"/>
          <w:highlight w:val="none"/>
        </w:rPr>
        <w:t>三级公路：供汽车、非汽车交通混合行驶的双车道公路。三级公路的年平均日设计交通量宜为2000</w:t>
      </w:r>
      <w:r>
        <w:rPr>
          <w:rFonts w:hint="eastAsia" w:ascii="仿宋_GB2312" w:hAnsi="宋体" w:eastAsia="仿宋_GB2312"/>
          <w:bCs/>
          <w:sz w:val="30"/>
          <w:szCs w:val="32"/>
          <w:highlight w:val="none"/>
          <w:lang w:eastAsia="zh-CN"/>
        </w:rPr>
        <w:t>—</w:t>
      </w:r>
      <w:r>
        <w:rPr>
          <w:rFonts w:hint="eastAsia" w:ascii="仿宋_GB2312" w:hAnsi="宋体" w:eastAsia="仿宋_GB2312"/>
          <w:bCs/>
          <w:sz w:val="30"/>
          <w:szCs w:val="32"/>
          <w:highlight w:val="none"/>
        </w:rPr>
        <w:t>6000辆小客车。</w:t>
      </w:r>
    </w:p>
    <w:p w14:paraId="6D372E80">
      <w:pPr>
        <w:adjustRightInd w:val="0"/>
        <w:snapToGrid w:val="0"/>
        <w:spacing w:line="360" w:lineRule="auto"/>
        <w:ind w:firstLine="600" w:firstLineChars="200"/>
        <w:rPr>
          <w:rFonts w:hint="eastAsia" w:ascii="仿宋_GB2312" w:hAnsi="宋体" w:eastAsia="仿宋_GB2312"/>
          <w:bCs/>
          <w:sz w:val="30"/>
          <w:szCs w:val="32"/>
          <w:highlight w:val="none"/>
        </w:rPr>
      </w:pPr>
      <w:r>
        <w:rPr>
          <w:rFonts w:hint="eastAsia" w:ascii="仿宋_GB2312" w:hAnsi="宋体" w:eastAsia="仿宋_GB2312"/>
          <w:bCs/>
          <w:sz w:val="30"/>
          <w:szCs w:val="32"/>
          <w:highlight w:val="none"/>
        </w:rPr>
        <w:t>四级公路：供汽车、非汽车交通混合行驶的双车道或单车道公路。双车道四级公路年平均日设计交通量宜在2000辆小客车以下；单车道四级公路年平均日设计交通量宜在400辆小客车以下。</w:t>
      </w:r>
    </w:p>
    <w:p w14:paraId="1E65CBEA">
      <w:pPr>
        <w:adjustRightInd w:val="0"/>
        <w:snapToGrid w:val="0"/>
        <w:spacing w:line="360" w:lineRule="auto"/>
        <w:ind w:firstLine="600" w:firstLineChars="200"/>
        <w:rPr>
          <w:rFonts w:hint="eastAsia" w:ascii="仿宋_GB2312" w:hAnsi="宋体" w:eastAsia="仿宋_GB2312"/>
          <w:bCs/>
          <w:sz w:val="30"/>
          <w:szCs w:val="32"/>
          <w:highlight w:val="none"/>
        </w:rPr>
      </w:pPr>
      <w:r>
        <w:rPr>
          <w:rFonts w:hint="eastAsia" w:ascii="仿宋_GB2312" w:hAnsi="宋体" w:eastAsia="仿宋_GB2312"/>
          <w:bCs/>
          <w:sz w:val="30"/>
          <w:szCs w:val="32"/>
          <w:highlight w:val="none"/>
        </w:rPr>
        <w:t>等外公路：指不符合公路工程技术标准的公路。例如国家物资储备系统专用公路根据立项批复的公路等级填列，没有批复公路等级的在“等外公路”栏填列。</w:t>
      </w:r>
    </w:p>
    <w:p w14:paraId="2F1E167B">
      <w:pPr>
        <w:numPr>
          <w:ilvl w:val="0"/>
          <w:numId w:val="7"/>
        </w:numPr>
        <w:adjustRightInd w:val="0"/>
        <w:snapToGrid w:val="0"/>
        <w:spacing w:line="360" w:lineRule="auto"/>
        <w:ind w:firstLine="600" w:firstLineChars="200"/>
        <w:rPr>
          <w:rFonts w:hint="eastAsia" w:ascii="仿宋_GB2312" w:hAnsi="宋体" w:eastAsia="仿宋_GB2312"/>
          <w:bCs/>
          <w:sz w:val="30"/>
          <w:szCs w:val="32"/>
          <w:highlight w:val="none"/>
        </w:rPr>
      </w:pPr>
      <w:r>
        <w:rPr>
          <w:rFonts w:hint="eastAsia" w:ascii="仿宋_GB2312" w:hAnsi="宋体" w:eastAsia="仿宋_GB2312"/>
          <w:bCs/>
          <w:sz w:val="30"/>
          <w:szCs w:val="32"/>
          <w:highlight w:val="none"/>
        </w:rPr>
        <w:t>铁路。</w:t>
      </w:r>
      <w:r>
        <w:rPr>
          <w:rFonts w:hint="eastAsia" w:ascii="仿宋_GB2312" w:hAnsi="宋体" w:eastAsia="仿宋_GB2312"/>
          <w:bCs/>
          <w:sz w:val="30"/>
          <w:szCs w:val="32"/>
          <w:highlight w:val="none"/>
          <w:lang w:eastAsia="zh-CN"/>
        </w:rPr>
        <w:t>铁路包括国家级铁路、地方性铁路和铁路车站</w:t>
      </w:r>
      <w:r>
        <w:rPr>
          <w:rFonts w:hint="eastAsia" w:ascii="仿宋_GB2312" w:hAnsi="宋体" w:eastAsia="仿宋_GB2312"/>
          <w:bCs/>
          <w:sz w:val="30"/>
          <w:szCs w:val="32"/>
          <w:highlight w:val="none"/>
        </w:rPr>
        <w:t>。</w:t>
      </w:r>
    </w:p>
    <w:p w14:paraId="04C1FA84">
      <w:pPr>
        <w:adjustRightInd w:val="0"/>
        <w:snapToGrid w:val="0"/>
        <w:spacing w:line="360" w:lineRule="auto"/>
        <w:ind w:firstLine="600" w:firstLineChars="200"/>
        <w:rPr>
          <w:rFonts w:hint="eastAsia" w:ascii="仿宋_GB2312" w:hAnsi="宋体" w:eastAsia="仿宋_GB2312"/>
          <w:bCs/>
          <w:color w:val="000000" w:themeColor="text1"/>
          <w:sz w:val="30"/>
          <w:szCs w:val="32"/>
          <w:highlight w:val="none"/>
          <w14:textFill>
            <w14:solidFill>
              <w14:schemeClr w14:val="tx1"/>
            </w14:solidFill>
          </w14:textFill>
        </w:rPr>
      </w:pPr>
      <w:r>
        <w:rPr>
          <w:rFonts w:hint="eastAsia" w:ascii="仿宋_GB2312" w:hAnsi="宋体" w:eastAsia="仿宋_GB2312"/>
          <w:bCs/>
          <w:sz w:val="30"/>
          <w:szCs w:val="32"/>
          <w:highlight w:val="none"/>
        </w:rPr>
        <w:t>（1）</w:t>
      </w:r>
      <w:r>
        <w:rPr>
          <w:rFonts w:hint="eastAsia" w:ascii="仿宋_GB2312" w:hAnsi="宋体" w:eastAsia="仿宋_GB2312"/>
          <w:bCs/>
          <w:color w:val="000000" w:themeColor="text1"/>
          <w:sz w:val="30"/>
          <w:szCs w:val="32"/>
          <w:highlight w:val="none"/>
          <w14:textFill>
            <w14:solidFill>
              <w14:schemeClr w14:val="tx1"/>
            </w14:solidFill>
          </w14:textFill>
        </w:rPr>
        <w:t>国家级铁路：由中央政府投资修建，担负公共旅客、货物运输任务的铁路。</w:t>
      </w:r>
    </w:p>
    <w:p w14:paraId="22749BE9">
      <w:pPr>
        <w:adjustRightInd w:val="0"/>
        <w:snapToGrid w:val="0"/>
        <w:spacing w:line="360" w:lineRule="auto"/>
        <w:ind w:firstLine="600" w:firstLineChars="200"/>
        <w:rPr>
          <w:rFonts w:hint="eastAsia" w:ascii="仿宋_GB2312" w:hAnsi="宋体" w:eastAsia="仿宋_GB2312"/>
          <w:bCs/>
          <w:sz w:val="30"/>
          <w:szCs w:val="32"/>
          <w:highlight w:val="none"/>
        </w:rPr>
      </w:pPr>
      <w:r>
        <w:rPr>
          <w:rFonts w:hint="eastAsia" w:ascii="仿宋_GB2312" w:hAnsi="宋体" w:eastAsia="仿宋_GB2312"/>
          <w:bCs/>
          <w:sz w:val="30"/>
          <w:szCs w:val="32"/>
          <w:highlight w:val="none"/>
        </w:rPr>
        <w:t>（</w:t>
      </w:r>
      <w:r>
        <w:rPr>
          <w:rFonts w:ascii="仿宋_GB2312" w:hAnsi="宋体" w:eastAsia="仿宋_GB2312"/>
          <w:bCs/>
          <w:sz w:val="30"/>
          <w:szCs w:val="32"/>
          <w:highlight w:val="none"/>
        </w:rPr>
        <w:t>2</w:t>
      </w:r>
      <w:r>
        <w:rPr>
          <w:rFonts w:hint="eastAsia" w:ascii="仿宋_GB2312" w:hAnsi="宋体" w:eastAsia="仿宋_GB2312"/>
          <w:bCs/>
          <w:sz w:val="30"/>
          <w:szCs w:val="32"/>
          <w:highlight w:val="none"/>
        </w:rPr>
        <w:t>）地方性铁路：由地方政府投资修建或者与其他铁路联合投资修建，担负地方公共旅客、货物短途运输任务的铁路。</w:t>
      </w:r>
    </w:p>
    <w:p w14:paraId="1BFA4AE9">
      <w:pPr>
        <w:adjustRightInd w:val="0"/>
        <w:snapToGrid w:val="0"/>
        <w:spacing w:line="360" w:lineRule="auto"/>
        <w:ind w:firstLine="600" w:firstLineChars="200"/>
        <w:rPr>
          <w:rFonts w:hint="eastAsia" w:ascii="仿宋_GB2312" w:hAnsi="宋体" w:eastAsia="仿宋_GB2312"/>
          <w:bCs/>
          <w:sz w:val="30"/>
          <w:szCs w:val="32"/>
          <w:highlight w:val="none"/>
        </w:rPr>
      </w:pPr>
      <w:r>
        <w:rPr>
          <w:rFonts w:hint="eastAsia" w:ascii="仿宋_GB2312" w:hAnsi="宋体" w:eastAsia="仿宋_GB2312"/>
          <w:bCs/>
          <w:sz w:val="30"/>
          <w:szCs w:val="32"/>
          <w:highlight w:val="none"/>
        </w:rPr>
        <w:t>3.汽车客运站。主要包括场地设施、站务用房、生产辅助用房、安全与服务设施。</w:t>
      </w:r>
    </w:p>
    <w:p w14:paraId="7FC831B5">
      <w:pPr>
        <w:adjustRightInd w:val="0"/>
        <w:snapToGrid w:val="0"/>
        <w:spacing w:line="360" w:lineRule="auto"/>
        <w:ind w:firstLine="600" w:firstLineChars="200"/>
        <w:rPr>
          <w:rFonts w:hint="eastAsia" w:ascii="仿宋_GB2312" w:hAnsi="宋体" w:eastAsia="仿宋_GB2312"/>
          <w:bCs/>
          <w:sz w:val="30"/>
          <w:szCs w:val="32"/>
          <w:highlight w:val="none"/>
        </w:rPr>
      </w:pPr>
      <w:r>
        <w:rPr>
          <w:rFonts w:hint="eastAsia" w:ascii="仿宋_GB2312" w:hAnsi="宋体" w:eastAsia="仿宋_GB2312"/>
          <w:bCs/>
          <w:sz w:val="30"/>
          <w:szCs w:val="32"/>
          <w:highlight w:val="none"/>
        </w:rPr>
        <w:t>4.机场包括运输机场和通用航空机场。</w:t>
      </w:r>
    </w:p>
    <w:p w14:paraId="6B5E226D">
      <w:pPr>
        <w:adjustRightInd w:val="0"/>
        <w:snapToGrid w:val="0"/>
        <w:spacing w:line="360" w:lineRule="auto"/>
        <w:ind w:firstLine="600" w:firstLineChars="200"/>
        <w:rPr>
          <w:rFonts w:hint="eastAsia" w:ascii="仿宋_GB2312" w:hAnsi="宋体" w:eastAsia="仿宋_GB2312"/>
          <w:bCs/>
          <w:sz w:val="30"/>
          <w:szCs w:val="32"/>
          <w:highlight w:val="none"/>
        </w:rPr>
      </w:pPr>
      <w:r>
        <w:rPr>
          <w:rFonts w:hint="eastAsia" w:ascii="仿宋_GB2312" w:hAnsi="宋体" w:eastAsia="仿宋_GB2312"/>
          <w:bCs/>
          <w:sz w:val="30"/>
          <w:szCs w:val="32"/>
          <w:highlight w:val="none"/>
        </w:rPr>
        <w:t>（1）运输机场。运输机场是专门承担航空客运与航空货运两种飞行任务的机场。根据《国际民用航空公约》和民航局《民用机场飞行区指标规范》（MH5100-2013），我国现有机场中有4F、4E、4D、4C、3C和1B六类。</w:t>
      </w:r>
    </w:p>
    <w:p w14:paraId="6154EA15">
      <w:pPr>
        <w:adjustRightInd w:val="0"/>
        <w:snapToGrid w:val="0"/>
        <w:spacing w:line="360" w:lineRule="auto"/>
        <w:ind w:firstLine="600" w:firstLineChars="200"/>
        <w:rPr>
          <w:rFonts w:hint="eastAsia" w:ascii="仿宋_GB2312" w:hAnsi="宋体" w:eastAsia="仿宋_GB2312"/>
          <w:bCs/>
          <w:sz w:val="30"/>
          <w:szCs w:val="32"/>
          <w:highlight w:val="none"/>
        </w:rPr>
      </w:pPr>
      <w:r>
        <w:rPr>
          <w:rFonts w:hint="eastAsia" w:ascii="仿宋_GB2312" w:hAnsi="宋体" w:eastAsia="仿宋_GB2312"/>
          <w:bCs/>
          <w:sz w:val="30"/>
          <w:szCs w:val="32"/>
          <w:highlight w:val="none"/>
        </w:rPr>
        <w:t>（2）通用航空机场。通用航空机场是专门承担除旅客运输和货物运输以外的其他飞行任务的机场，比如公务出差、空中旅游、空中表演、空中航拍、空中测绘、农林喷洒等特殊飞行任务。</w:t>
      </w:r>
    </w:p>
    <w:p w14:paraId="5101387C">
      <w:pPr>
        <w:adjustRightInd w:val="0"/>
        <w:snapToGrid w:val="0"/>
        <w:spacing w:line="360" w:lineRule="auto"/>
        <w:ind w:firstLine="600" w:firstLineChars="200"/>
        <w:rPr>
          <w:rFonts w:hint="eastAsia" w:ascii="仿宋_GB2312" w:hAnsi="宋体" w:eastAsia="仿宋_GB2312"/>
          <w:bCs/>
          <w:sz w:val="30"/>
          <w:szCs w:val="32"/>
          <w:highlight w:val="none"/>
        </w:rPr>
      </w:pPr>
      <w:r>
        <w:rPr>
          <w:rFonts w:hint="eastAsia" w:ascii="仿宋_GB2312" w:hAnsi="宋体" w:eastAsia="仿宋_GB2312"/>
          <w:bCs/>
          <w:color w:val="000000" w:themeColor="text1"/>
          <w:sz w:val="30"/>
          <w:szCs w:val="32"/>
          <w:highlight w:val="none"/>
          <w14:textFill>
            <w14:solidFill>
              <w14:schemeClr w14:val="tx1"/>
            </w14:solidFill>
          </w14:textFill>
        </w:rPr>
        <w:t>5.航</w:t>
      </w:r>
      <w:r>
        <w:rPr>
          <w:rFonts w:hint="eastAsia" w:ascii="仿宋_GB2312" w:hAnsi="宋体" w:eastAsia="仿宋_GB2312"/>
          <w:bCs/>
          <w:sz w:val="30"/>
          <w:szCs w:val="32"/>
          <w:highlight w:val="none"/>
        </w:rPr>
        <w:t>道</w:t>
      </w:r>
      <w:r>
        <w:rPr>
          <w:rFonts w:hint="eastAsia" w:ascii="仿宋_GB2312" w:hAnsi="宋体" w:eastAsia="仿宋_GB2312"/>
          <w:bCs/>
          <w:sz w:val="30"/>
          <w:szCs w:val="32"/>
          <w:highlight w:val="none"/>
          <w:lang w:eastAsia="zh-CN"/>
        </w:rPr>
        <w:t>。航道</w:t>
      </w:r>
      <w:r>
        <w:rPr>
          <w:rFonts w:hint="eastAsia" w:ascii="仿宋_GB2312" w:hAnsi="宋体" w:eastAsia="仿宋_GB2312"/>
          <w:bCs/>
          <w:sz w:val="30"/>
          <w:szCs w:val="32"/>
          <w:highlight w:val="none"/>
        </w:rPr>
        <w:t>包括等级航道、等外航道、航标、航道通航建筑物、整治建筑物及设施和其他助航设施。</w:t>
      </w:r>
    </w:p>
    <w:p w14:paraId="0E57FAC2">
      <w:pPr>
        <w:adjustRightInd w:val="0"/>
        <w:snapToGrid w:val="0"/>
        <w:spacing w:line="360" w:lineRule="auto"/>
        <w:ind w:firstLine="600" w:firstLineChars="200"/>
        <w:rPr>
          <w:rFonts w:hint="eastAsia" w:ascii="仿宋_GB2312" w:hAnsi="宋体" w:eastAsia="仿宋_GB2312"/>
          <w:bCs/>
          <w:sz w:val="30"/>
          <w:szCs w:val="32"/>
          <w:highlight w:val="none"/>
        </w:rPr>
      </w:pPr>
      <w:r>
        <w:rPr>
          <w:rFonts w:hint="eastAsia" w:ascii="仿宋_GB2312" w:hAnsi="宋体" w:eastAsia="仿宋_GB2312"/>
          <w:bCs/>
          <w:sz w:val="30"/>
          <w:szCs w:val="32"/>
          <w:highlight w:val="none"/>
        </w:rPr>
        <w:t>（1）等级航道</w:t>
      </w:r>
      <w:r>
        <w:rPr>
          <w:rFonts w:hint="eastAsia" w:ascii="仿宋_GB2312" w:hAnsi="宋体" w:eastAsia="仿宋_GB2312"/>
          <w:bCs/>
          <w:sz w:val="30"/>
          <w:szCs w:val="32"/>
          <w:highlight w:val="none"/>
          <w:lang w:eastAsia="zh-CN"/>
        </w:rPr>
        <w:t>：</w:t>
      </w:r>
      <w:r>
        <w:rPr>
          <w:rFonts w:hint="eastAsia" w:ascii="仿宋_GB2312" w:hAnsi="宋体" w:eastAsia="仿宋_GB2312"/>
          <w:bCs/>
          <w:sz w:val="30"/>
          <w:szCs w:val="32"/>
          <w:highlight w:val="none"/>
        </w:rPr>
        <w:t>反映等级航道的里程和账面价值。等级航道指中华人民共和国领域内的江河、湖泊等内陆水域中可以供50吨级以上船舶通航的通道。包括一级航道、二级航道、三级航道、四级航道、五级航道、六级航道、七级航道。</w:t>
      </w:r>
    </w:p>
    <w:p w14:paraId="6056CD2F">
      <w:pPr>
        <w:adjustRightInd w:val="0"/>
        <w:snapToGrid w:val="0"/>
        <w:spacing w:line="360" w:lineRule="auto"/>
        <w:ind w:firstLine="600" w:firstLineChars="200"/>
        <w:rPr>
          <w:rFonts w:hint="eastAsia" w:ascii="仿宋_GB2312" w:hAnsi="宋体" w:eastAsia="仿宋_GB2312"/>
          <w:bCs/>
          <w:sz w:val="30"/>
          <w:szCs w:val="32"/>
          <w:highlight w:val="none"/>
        </w:rPr>
      </w:pPr>
      <w:r>
        <w:rPr>
          <w:rFonts w:hint="eastAsia" w:ascii="仿宋_GB2312" w:hAnsi="宋体" w:eastAsia="仿宋_GB2312"/>
          <w:bCs/>
          <w:sz w:val="30"/>
          <w:szCs w:val="32"/>
          <w:highlight w:val="none"/>
        </w:rPr>
        <w:t>（2）等外航道</w:t>
      </w:r>
      <w:r>
        <w:rPr>
          <w:rFonts w:hint="eastAsia" w:ascii="仿宋_GB2312" w:hAnsi="宋体" w:eastAsia="仿宋_GB2312"/>
          <w:bCs/>
          <w:sz w:val="30"/>
          <w:szCs w:val="32"/>
          <w:highlight w:val="none"/>
          <w:lang w:eastAsia="zh-CN"/>
        </w:rPr>
        <w:t>：</w:t>
      </w:r>
      <w:r>
        <w:rPr>
          <w:rFonts w:hint="eastAsia" w:ascii="仿宋_GB2312" w:hAnsi="宋体" w:eastAsia="仿宋_GB2312"/>
          <w:bCs/>
          <w:sz w:val="30"/>
          <w:szCs w:val="32"/>
          <w:highlight w:val="none"/>
        </w:rPr>
        <w:t>反映等外航道的里程和价值。等外航道是指通常年通航50吨级以下船舶的航道。</w:t>
      </w:r>
    </w:p>
    <w:p w14:paraId="23248991">
      <w:pPr>
        <w:adjustRightInd w:val="0"/>
        <w:snapToGrid w:val="0"/>
        <w:spacing w:line="360" w:lineRule="auto"/>
        <w:ind w:firstLine="600" w:firstLineChars="200"/>
        <w:rPr>
          <w:rFonts w:hint="eastAsia" w:ascii="仿宋_GB2312" w:hAnsi="宋体" w:eastAsia="仿宋_GB2312"/>
          <w:bCs/>
          <w:sz w:val="30"/>
          <w:szCs w:val="32"/>
          <w:highlight w:val="none"/>
        </w:rPr>
      </w:pPr>
      <w:r>
        <w:rPr>
          <w:rFonts w:hint="eastAsia" w:ascii="仿宋_GB2312" w:hAnsi="宋体" w:eastAsia="仿宋_GB2312"/>
          <w:bCs/>
          <w:sz w:val="30"/>
          <w:szCs w:val="32"/>
          <w:highlight w:val="none"/>
          <w:lang w:eastAsia="zh-CN"/>
        </w:rPr>
        <w:t>（</w:t>
      </w:r>
      <w:r>
        <w:rPr>
          <w:rFonts w:hint="eastAsia" w:ascii="仿宋_GB2312" w:hAnsi="宋体" w:eastAsia="仿宋_GB2312"/>
          <w:bCs/>
          <w:sz w:val="30"/>
          <w:szCs w:val="32"/>
          <w:highlight w:val="none"/>
          <w:lang w:val="en-US" w:eastAsia="zh-CN"/>
        </w:rPr>
        <w:t>3</w:t>
      </w:r>
      <w:r>
        <w:rPr>
          <w:rFonts w:hint="eastAsia" w:ascii="仿宋_GB2312" w:hAnsi="宋体" w:eastAsia="仿宋_GB2312"/>
          <w:bCs/>
          <w:sz w:val="30"/>
          <w:szCs w:val="32"/>
          <w:highlight w:val="none"/>
          <w:lang w:eastAsia="zh-CN"/>
        </w:rPr>
        <w:t>）</w:t>
      </w:r>
      <w:r>
        <w:rPr>
          <w:rFonts w:hint="eastAsia" w:ascii="仿宋_GB2312" w:hAnsi="宋体" w:eastAsia="仿宋_GB2312"/>
          <w:bCs/>
          <w:sz w:val="30"/>
          <w:szCs w:val="32"/>
          <w:highlight w:val="none"/>
        </w:rPr>
        <w:t>航标：反映航标的数量和价值。包括视觉航标、音响航标、无线电航标及其他标志。</w:t>
      </w:r>
    </w:p>
    <w:p w14:paraId="1492528C">
      <w:pPr>
        <w:adjustRightInd w:val="0"/>
        <w:snapToGrid w:val="0"/>
        <w:spacing w:line="360" w:lineRule="auto"/>
        <w:ind w:firstLine="600" w:firstLineChars="200"/>
        <w:rPr>
          <w:rFonts w:hint="eastAsia" w:ascii="仿宋_GB2312" w:hAnsi="宋体" w:eastAsia="仿宋_GB2312"/>
          <w:bCs/>
          <w:sz w:val="30"/>
          <w:szCs w:val="32"/>
          <w:highlight w:val="none"/>
        </w:rPr>
      </w:pPr>
      <w:r>
        <w:rPr>
          <w:rFonts w:hint="eastAsia" w:ascii="仿宋_GB2312" w:hAnsi="宋体" w:eastAsia="仿宋_GB2312"/>
          <w:bCs/>
          <w:sz w:val="30"/>
          <w:szCs w:val="32"/>
          <w:highlight w:val="none"/>
          <w:lang w:eastAsia="zh-CN"/>
        </w:rPr>
        <w:t>（</w:t>
      </w:r>
      <w:r>
        <w:rPr>
          <w:rFonts w:hint="eastAsia" w:ascii="仿宋_GB2312" w:hAnsi="宋体" w:eastAsia="仿宋_GB2312"/>
          <w:bCs/>
          <w:sz w:val="30"/>
          <w:szCs w:val="32"/>
          <w:highlight w:val="none"/>
          <w:lang w:val="en-US" w:eastAsia="zh-CN"/>
        </w:rPr>
        <w:t>4</w:t>
      </w:r>
      <w:r>
        <w:rPr>
          <w:rFonts w:hint="eastAsia" w:ascii="仿宋_GB2312" w:hAnsi="宋体" w:eastAsia="仿宋_GB2312"/>
          <w:bCs/>
          <w:sz w:val="30"/>
          <w:szCs w:val="32"/>
          <w:highlight w:val="none"/>
          <w:lang w:eastAsia="zh-CN"/>
        </w:rPr>
        <w:t>）</w:t>
      </w:r>
      <w:r>
        <w:rPr>
          <w:rFonts w:hint="eastAsia" w:ascii="仿宋_GB2312" w:hAnsi="宋体" w:eastAsia="仿宋_GB2312"/>
          <w:bCs/>
          <w:sz w:val="30"/>
          <w:szCs w:val="32"/>
          <w:highlight w:val="none"/>
        </w:rPr>
        <w:t>航道通航建筑物：反映航道通航建筑物的数量和价值。航道通航建筑物是指为保障航道正常运行建设的建筑物、助航设施及附属设施。包括船闸及其附属设施、升船机及其附属设施。</w:t>
      </w:r>
    </w:p>
    <w:p w14:paraId="68F7CCD2">
      <w:pPr>
        <w:adjustRightInd w:val="0"/>
        <w:snapToGrid w:val="0"/>
        <w:spacing w:line="360" w:lineRule="auto"/>
        <w:ind w:firstLine="600" w:firstLineChars="200"/>
        <w:rPr>
          <w:rFonts w:hint="eastAsia" w:ascii="仿宋_GB2312" w:hAnsi="宋体" w:eastAsia="仿宋_GB2312"/>
          <w:bCs/>
          <w:sz w:val="30"/>
          <w:szCs w:val="32"/>
          <w:highlight w:val="none"/>
        </w:rPr>
      </w:pPr>
      <w:r>
        <w:rPr>
          <w:rFonts w:hint="eastAsia" w:ascii="仿宋_GB2312" w:hAnsi="宋体" w:eastAsia="仿宋_GB2312"/>
          <w:bCs/>
          <w:sz w:val="30"/>
          <w:szCs w:val="32"/>
          <w:highlight w:val="none"/>
          <w:lang w:eastAsia="zh-CN"/>
        </w:rPr>
        <w:t>（</w:t>
      </w:r>
      <w:r>
        <w:rPr>
          <w:rFonts w:hint="eastAsia" w:ascii="仿宋_GB2312" w:hAnsi="宋体" w:eastAsia="仿宋_GB2312"/>
          <w:bCs/>
          <w:sz w:val="30"/>
          <w:szCs w:val="32"/>
          <w:highlight w:val="none"/>
          <w:lang w:val="en-US" w:eastAsia="zh-CN"/>
        </w:rPr>
        <w:t>5</w:t>
      </w:r>
      <w:r>
        <w:rPr>
          <w:rFonts w:hint="eastAsia" w:ascii="仿宋_GB2312" w:hAnsi="宋体" w:eastAsia="仿宋_GB2312"/>
          <w:bCs/>
          <w:sz w:val="30"/>
          <w:szCs w:val="32"/>
          <w:highlight w:val="none"/>
          <w:lang w:eastAsia="zh-CN"/>
        </w:rPr>
        <w:t>）</w:t>
      </w:r>
      <w:r>
        <w:rPr>
          <w:rFonts w:hint="eastAsia" w:ascii="仿宋_GB2312" w:hAnsi="宋体" w:eastAsia="仿宋_GB2312"/>
          <w:bCs/>
          <w:sz w:val="30"/>
          <w:szCs w:val="32"/>
          <w:highlight w:val="none"/>
        </w:rPr>
        <w:t>整治建筑物及设施：反映整治建筑物及设施的数量和价值。包括防护工程、坝体、堤类。</w:t>
      </w:r>
    </w:p>
    <w:p w14:paraId="14F35371">
      <w:pPr>
        <w:adjustRightInd w:val="0"/>
        <w:snapToGrid w:val="0"/>
        <w:spacing w:line="360" w:lineRule="auto"/>
        <w:ind w:firstLine="600" w:firstLineChars="200"/>
        <w:rPr>
          <w:rFonts w:hint="eastAsia" w:ascii="仿宋_GB2312" w:hAnsi="宋体" w:eastAsia="仿宋_GB2312"/>
          <w:bCs/>
          <w:sz w:val="30"/>
          <w:szCs w:val="32"/>
          <w:highlight w:val="none"/>
        </w:rPr>
      </w:pPr>
      <w:r>
        <w:rPr>
          <w:rFonts w:hint="eastAsia" w:ascii="仿宋_GB2312" w:hAnsi="宋体" w:eastAsia="仿宋_GB2312"/>
          <w:bCs/>
          <w:sz w:val="30"/>
          <w:szCs w:val="32"/>
          <w:highlight w:val="none"/>
          <w:lang w:eastAsia="zh-CN"/>
        </w:rPr>
        <w:t>（</w:t>
      </w:r>
      <w:r>
        <w:rPr>
          <w:rFonts w:hint="eastAsia" w:ascii="仿宋_GB2312" w:hAnsi="宋体" w:eastAsia="仿宋_GB2312"/>
          <w:bCs/>
          <w:sz w:val="30"/>
          <w:szCs w:val="32"/>
          <w:highlight w:val="none"/>
          <w:lang w:val="en-US" w:eastAsia="zh-CN"/>
        </w:rPr>
        <w:t>6</w:t>
      </w:r>
      <w:r>
        <w:rPr>
          <w:rFonts w:hint="eastAsia" w:ascii="仿宋_GB2312" w:hAnsi="宋体" w:eastAsia="仿宋_GB2312"/>
          <w:bCs/>
          <w:sz w:val="30"/>
          <w:szCs w:val="32"/>
          <w:highlight w:val="none"/>
          <w:lang w:eastAsia="zh-CN"/>
        </w:rPr>
        <w:t>）</w:t>
      </w:r>
      <w:r>
        <w:rPr>
          <w:rFonts w:hint="eastAsia" w:ascii="仿宋_GB2312" w:hAnsi="宋体" w:eastAsia="仿宋_GB2312"/>
          <w:bCs/>
          <w:sz w:val="30"/>
          <w:szCs w:val="32"/>
          <w:highlight w:val="none"/>
        </w:rPr>
        <w:t>其他助航设施：反映其他助航设施的数量和价值。包括基础测绘设施、海岸电台、信号台、航行</w:t>
      </w:r>
      <w:r>
        <w:rPr>
          <w:rFonts w:hint="eastAsia" w:ascii="仿宋_GB2312" w:hAnsi="宋体" w:eastAsia="仿宋_GB2312"/>
          <w:bCs/>
          <w:sz w:val="30"/>
          <w:szCs w:val="32"/>
          <w:highlight w:val="none"/>
          <w:lang w:val="en-US" w:eastAsia="zh-CN"/>
        </w:rPr>
        <w:t>水尺、水位系统等</w:t>
      </w:r>
      <w:r>
        <w:rPr>
          <w:rFonts w:hint="eastAsia" w:ascii="仿宋_GB2312" w:hAnsi="宋体" w:eastAsia="仿宋_GB2312"/>
          <w:bCs/>
          <w:sz w:val="30"/>
          <w:szCs w:val="32"/>
          <w:highlight w:val="none"/>
        </w:rPr>
        <w:t>。</w:t>
      </w:r>
    </w:p>
    <w:p w14:paraId="2ABF0440">
      <w:pPr>
        <w:adjustRightInd w:val="0"/>
        <w:snapToGrid w:val="0"/>
        <w:spacing w:line="360" w:lineRule="auto"/>
        <w:ind w:firstLine="600" w:firstLineChars="200"/>
        <w:rPr>
          <w:rFonts w:hint="eastAsia" w:ascii="仿宋_GB2312" w:hAnsi="宋体" w:eastAsia="仿宋_GB2312"/>
          <w:bCs/>
          <w:color w:val="000000" w:themeColor="text1"/>
          <w:sz w:val="30"/>
          <w:szCs w:val="32"/>
          <w:highlight w:val="none"/>
          <w14:textFill>
            <w14:solidFill>
              <w14:schemeClr w14:val="tx1"/>
            </w14:solidFill>
          </w14:textFill>
        </w:rPr>
      </w:pPr>
      <w:r>
        <w:rPr>
          <w:rFonts w:hint="eastAsia" w:ascii="仿宋_GB2312" w:hAnsi="宋体" w:eastAsia="仿宋_GB2312"/>
          <w:bCs/>
          <w:color w:val="000000" w:themeColor="text1"/>
          <w:sz w:val="30"/>
          <w:szCs w:val="32"/>
          <w:highlight w:val="none"/>
          <w14:textFill>
            <w14:solidFill>
              <w14:schemeClr w14:val="tx1"/>
            </w14:solidFill>
          </w14:textFill>
        </w:rPr>
        <w:t>6.沿海航海保障设施包括沿海航道、航标和其他助航设施。</w:t>
      </w:r>
    </w:p>
    <w:p w14:paraId="5670508B">
      <w:pPr>
        <w:adjustRightInd w:val="0"/>
        <w:snapToGrid w:val="0"/>
        <w:spacing w:line="360" w:lineRule="auto"/>
        <w:ind w:firstLine="600" w:firstLineChars="200"/>
        <w:rPr>
          <w:rFonts w:hint="eastAsia" w:ascii="仿宋_GB2312" w:hAnsi="宋体" w:eastAsia="仿宋_GB2312"/>
          <w:bCs/>
          <w:color w:val="000000" w:themeColor="text1"/>
          <w:sz w:val="30"/>
          <w:szCs w:val="32"/>
          <w:highlight w:val="none"/>
          <w14:textFill>
            <w14:solidFill>
              <w14:schemeClr w14:val="tx1"/>
            </w14:solidFill>
          </w14:textFill>
        </w:rPr>
      </w:pPr>
      <w:r>
        <w:rPr>
          <w:rFonts w:hint="eastAsia" w:ascii="仿宋_GB2312" w:hAnsi="宋体" w:eastAsia="仿宋_GB2312"/>
          <w:bCs/>
          <w:sz w:val="30"/>
          <w:szCs w:val="32"/>
          <w:highlight w:val="none"/>
          <w:lang w:val="en-US" w:eastAsia="zh-CN"/>
        </w:rPr>
        <w:t>7</w:t>
      </w:r>
      <w:r>
        <w:rPr>
          <w:rFonts w:hint="eastAsia" w:ascii="仿宋_GB2312" w:hAnsi="宋体" w:eastAsia="仿宋_GB2312"/>
          <w:bCs/>
          <w:sz w:val="30"/>
          <w:szCs w:val="32"/>
          <w:highlight w:val="none"/>
        </w:rPr>
        <w:t>.港口附属设施。是指除码头、防波堤、护岸、进出港航道、锚地以外的其他港务设施，包括港区内铁路专用线、港区内道路、进出港道路、运输管道、滚装连接桥、堆场、房屋及其他。</w:t>
      </w:r>
    </w:p>
    <w:p w14:paraId="489AB020">
      <w:pPr>
        <w:adjustRightInd w:val="0"/>
        <w:snapToGrid w:val="0"/>
        <w:spacing w:line="360" w:lineRule="auto"/>
        <w:ind w:firstLine="600" w:firstLineChars="200"/>
        <w:rPr>
          <w:rFonts w:hint="eastAsia" w:ascii="仿宋_GB2312" w:hAnsi="宋体" w:eastAsia="仿宋_GB2312"/>
          <w:bCs/>
          <w:color w:val="000000" w:themeColor="text1"/>
          <w:sz w:val="30"/>
          <w:szCs w:val="32"/>
          <w:highlight w:val="none"/>
          <w14:textFill>
            <w14:solidFill>
              <w14:schemeClr w14:val="tx1"/>
            </w14:solidFill>
          </w14:textFill>
        </w:rPr>
      </w:pPr>
      <w:r>
        <w:rPr>
          <w:rFonts w:hint="eastAsia" w:ascii="仿宋_GB2312" w:hAnsi="宋体" w:eastAsia="仿宋_GB2312"/>
          <w:bCs/>
          <w:color w:val="000000" w:themeColor="text1"/>
          <w:sz w:val="30"/>
          <w:szCs w:val="32"/>
          <w:highlight w:val="none"/>
          <w14:textFill>
            <w14:solidFill>
              <w14:schemeClr w14:val="tx1"/>
            </w14:solidFill>
          </w14:textFill>
        </w:rPr>
        <w:t>8.轮渡包括轮渡码头、泵船、道路（引道）、标志牌、</w:t>
      </w:r>
      <w:r>
        <w:rPr>
          <w:rFonts w:hint="eastAsia" w:ascii="仿宋_GB2312" w:hAnsi="宋体" w:eastAsia="仿宋_GB2312"/>
          <w:bCs/>
          <w:color w:val="000000" w:themeColor="text1"/>
          <w:sz w:val="30"/>
          <w:szCs w:val="32"/>
          <w:highlight w:val="none"/>
          <w:lang w:val="en-US" w:eastAsia="zh-CN"/>
          <w14:textFill>
            <w14:solidFill>
              <w14:schemeClr w14:val="tx1"/>
            </w14:solidFill>
          </w14:textFill>
        </w:rPr>
        <w:t>候</w:t>
      </w:r>
      <w:r>
        <w:rPr>
          <w:rFonts w:hint="eastAsia" w:ascii="仿宋_GB2312" w:hAnsi="宋体" w:eastAsia="仿宋_GB2312"/>
          <w:bCs/>
          <w:color w:val="000000" w:themeColor="text1"/>
          <w:sz w:val="30"/>
          <w:szCs w:val="32"/>
          <w:highlight w:val="none"/>
          <w14:textFill>
            <w14:solidFill>
              <w14:schemeClr w14:val="tx1"/>
            </w14:solidFill>
          </w14:textFill>
        </w:rPr>
        <w:t>船室（亭）、收费亭和其他。</w:t>
      </w:r>
    </w:p>
    <w:p w14:paraId="5474420B">
      <w:pPr>
        <w:adjustRightInd w:val="0"/>
        <w:snapToGrid w:val="0"/>
        <w:spacing w:line="360" w:lineRule="auto"/>
        <w:ind w:firstLine="600" w:firstLineChars="200"/>
        <w:rPr>
          <w:rFonts w:hint="eastAsia" w:ascii="仿宋_GB2312" w:hAnsi="宋体" w:eastAsia="仿宋_GB2312"/>
          <w:sz w:val="30"/>
          <w:szCs w:val="30"/>
          <w:highlight w:val="none"/>
        </w:rPr>
      </w:pPr>
      <w:r>
        <w:rPr>
          <w:rFonts w:hint="eastAsia" w:ascii="仿宋_GB2312" w:hAnsi="宋体" w:eastAsia="仿宋_GB2312"/>
          <w:bCs/>
          <w:sz w:val="30"/>
          <w:szCs w:val="32"/>
          <w:highlight w:val="none"/>
        </w:rPr>
        <w:t>码头：包括港口码头和轮渡码头。反映码头的数量和价值。码头是指供船舶停靠、装卸货物或上下旅客的水工建筑物。</w:t>
      </w:r>
    </w:p>
    <w:p w14:paraId="65E8200D">
      <w:pPr>
        <w:snapToGrid w:val="0"/>
        <w:spacing w:line="360" w:lineRule="auto"/>
        <w:ind w:firstLine="626" w:firstLineChars="200"/>
        <w:rPr>
          <w:rFonts w:hint="eastAsia" w:ascii="仿宋_GB2312" w:hAnsi="仿宋" w:eastAsia="仿宋_GB2312"/>
          <w:b/>
          <w:spacing w:val="6"/>
          <w:sz w:val="30"/>
          <w:szCs w:val="30"/>
          <w:highlight w:val="none"/>
        </w:rPr>
      </w:pPr>
      <w:r>
        <w:rPr>
          <w:rFonts w:hint="eastAsia" w:ascii="仿宋_GB2312" w:hAnsi="仿宋" w:eastAsia="仿宋_GB2312"/>
          <w:b/>
          <w:spacing w:val="6"/>
          <w:sz w:val="30"/>
          <w:szCs w:val="30"/>
          <w:highlight w:val="none"/>
        </w:rPr>
        <w:t>逻辑性审核公式：</w:t>
      </w:r>
    </w:p>
    <w:p w14:paraId="796A339A">
      <w:pPr>
        <w:snapToGrid w:val="0"/>
        <w:spacing w:line="360" w:lineRule="auto"/>
        <w:ind w:firstLine="626" w:firstLineChars="200"/>
        <w:rPr>
          <w:rFonts w:hint="eastAsia" w:ascii="仿宋_GB2312" w:hAnsi="仿宋" w:eastAsia="仿宋_GB2312"/>
          <w:b/>
          <w:spacing w:val="6"/>
          <w:sz w:val="30"/>
          <w:szCs w:val="30"/>
          <w:highlight w:val="none"/>
        </w:rPr>
      </w:pPr>
      <w:r>
        <w:rPr>
          <w:rFonts w:hint="eastAsia" w:ascii="仿宋_GB2312" w:hAnsi="仿宋" w:eastAsia="仿宋_GB2312"/>
          <w:b/>
          <w:spacing w:val="6"/>
          <w:sz w:val="30"/>
          <w:szCs w:val="30"/>
          <w:highlight w:val="none"/>
        </w:rPr>
        <w:t>表内公式：</w:t>
      </w:r>
    </w:p>
    <w:p w14:paraId="366D6FA7">
      <w:pPr>
        <w:numPr>
          <w:ilvl w:val="0"/>
          <w:numId w:val="8"/>
        </w:numPr>
        <w:snapToGrid w:val="0"/>
        <w:spacing w:line="360" w:lineRule="auto"/>
        <w:ind w:left="0" w:firstLine="576"/>
        <w:rPr>
          <w:rFonts w:hint="eastAsia" w:ascii="仿宋_GB2312" w:hAnsi="仿宋" w:eastAsia="仿宋_GB2312"/>
          <w:spacing w:val="6"/>
          <w:sz w:val="30"/>
          <w:szCs w:val="30"/>
          <w:highlight w:val="none"/>
        </w:rPr>
      </w:pPr>
      <w:r>
        <w:rPr>
          <w:rFonts w:hint="eastAsia" w:ascii="仿宋_GB2312" w:hAnsi="仿宋" w:eastAsia="仿宋_GB2312"/>
          <w:spacing w:val="6"/>
          <w:sz w:val="30"/>
          <w:szCs w:val="30"/>
          <w:highlight w:val="none"/>
        </w:rPr>
        <w:t>合计（1行）等于公路（2行）、铁路（17行）、汽车客运站（19行）、</w:t>
      </w:r>
      <w:r>
        <w:rPr>
          <w:rFonts w:hint="eastAsia" w:ascii="仿宋_GB2312" w:hAnsi="仿宋" w:eastAsia="仿宋_GB2312"/>
          <w:sz w:val="30"/>
          <w:szCs w:val="30"/>
          <w:highlight w:val="none"/>
        </w:rPr>
        <w:t>机场（20行）、航道（21行）、沿海航海保障设施（35行）、港口（39行）、轮渡（4</w:t>
      </w:r>
      <w:r>
        <w:rPr>
          <w:rFonts w:hint="eastAsia" w:ascii="仿宋_GB2312" w:hAnsi="仿宋" w:eastAsia="仿宋_GB2312"/>
          <w:sz w:val="30"/>
          <w:szCs w:val="30"/>
          <w:highlight w:val="none"/>
          <w:lang w:val="en-US" w:eastAsia="zh-CN"/>
        </w:rPr>
        <w:t>6</w:t>
      </w:r>
      <w:r>
        <w:rPr>
          <w:rFonts w:hint="eastAsia" w:ascii="仿宋_GB2312" w:hAnsi="仿宋" w:eastAsia="仿宋_GB2312"/>
          <w:sz w:val="30"/>
          <w:szCs w:val="30"/>
          <w:highlight w:val="none"/>
        </w:rPr>
        <w:t>行）各项之和</w:t>
      </w:r>
      <w:r>
        <w:rPr>
          <w:rFonts w:hint="eastAsia" w:ascii="仿宋_GB2312" w:hAnsi="仿宋" w:eastAsia="仿宋_GB2312"/>
          <w:spacing w:val="6"/>
          <w:sz w:val="30"/>
          <w:szCs w:val="30"/>
          <w:highlight w:val="none"/>
        </w:rPr>
        <w:t>；</w:t>
      </w:r>
    </w:p>
    <w:p w14:paraId="5E2493E5">
      <w:pPr>
        <w:numPr>
          <w:ilvl w:val="0"/>
          <w:numId w:val="8"/>
        </w:numPr>
        <w:snapToGrid w:val="0"/>
        <w:spacing w:line="360" w:lineRule="auto"/>
        <w:ind w:left="0" w:firstLine="576"/>
        <w:rPr>
          <w:rFonts w:hint="eastAsia" w:ascii="仿宋_GB2312" w:hAnsi="仿宋" w:eastAsia="仿宋_GB2312"/>
          <w:spacing w:val="6"/>
          <w:sz w:val="30"/>
          <w:szCs w:val="30"/>
          <w:highlight w:val="none"/>
        </w:rPr>
      </w:pPr>
      <w:r>
        <w:rPr>
          <w:rFonts w:hint="eastAsia" w:ascii="仿宋_GB2312" w:hAnsi="仿宋" w:eastAsia="仿宋_GB2312"/>
          <w:sz w:val="30"/>
          <w:szCs w:val="30"/>
          <w:highlight w:val="none"/>
        </w:rPr>
        <w:t>公路（</w:t>
      </w:r>
      <w:r>
        <w:rPr>
          <w:rFonts w:hint="eastAsia" w:ascii="仿宋_GB2312" w:hAnsi="仿宋" w:eastAsia="仿宋_GB2312"/>
          <w:spacing w:val="6"/>
          <w:sz w:val="30"/>
          <w:szCs w:val="30"/>
          <w:highlight w:val="none"/>
        </w:rPr>
        <w:t>2行）等于行政等级</w:t>
      </w:r>
      <w:r>
        <w:rPr>
          <w:rFonts w:hint="eastAsia" w:ascii="仿宋_GB2312" w:hAnsi="仿宋" w:eastAsia="仿宋_GB2312"/>
          <w:sz w:val="30"/>
          <w:szCs w:val="30"/>
          <w:highlight w:val="none"/>
        </w:rPr>
        <w:t>（</w:t>
      </w:r>
      <w:r>
        <w:rPr>
          <w:rFonts w:hint="eastAsia" w:ascii="仿宋_GB2312" w:hAnsi="仿宋" w:eastAsia="仿宋_GB2312"/>
          <w:spacing w:val="6"/>
          <w:sz w:val="30"/>
          <w:szCs w:val="30"/>
          <w:highlight w:val="none"/>
        </w:rPr>
        <w:t>3行）等于技术等级</w:t>
      </w:r>
      <w:r>
        <w:rPr>
          <w:rFonts w:hint="eastAsia" w:ascii="仿宋_GB2312" w:hAnsi="仿宋" w:eastAsia="仿宋_GB2312"/>
          <w:sz w:val="30"/>
          <w:szCs w:val="30"/>
          <w:highlight w:val="none"/>
        </w:rPr>
        <w:t>（</w:t>
      </w:r>
      <w:r>
        <w:rPr>
          <w:rFonts w:hint="eastAsia" w:ascii="仿宋_GB2312" w:hAnsi="仿宋" w:eastAsia="仿宋_GB2312"/>
          <w:spacing w:val="6"/>
          <w:sz w:val="30"/>
          <w:szCs w:val="30"/>
          <w:highlight w:val="none"/>
        </w:rPr>
        <w:t>10行）；</w:t>
      </w:r>
    </w:p>
    <w:p w14:paraId="7EF44CFD">
      <w:pPr>
        <w:numPr>
          <w:ilvl w:val="0"/>
          <w:numId w:val="8"/>
        </w:numPr>
        <w:snapToGrid w:val="0"/>
        <w:spacing w:line="360" w:lineRule="auto"/>
        <w:ind w:left="0" w:firstLine="576"/>
        <w:rPr>
          <w:rFonts w:hint="eastAsia" w:ascii="仿宋_GB2312" w:hAnsi="仿宋" w:eastAsia="仿宋_GB2312"/>
          <w:spacing w:val="6"/>
          <w:sz w:val="30"/>
          <w:szCs w:val="30"/>
          <w:highlight w:val="none"/>
        </w:rPr>
      </w:pPr>
      <w:r>
        <w:rPr>
          <w:rFonts w:hint="eastAsia" w:ascii="仿宋_GB2312" w:hAnsi="仿宋" w:eastAsia="仿宋_GB2312"/>
          <w:sz w:val="30"/>
          <w:szCs w:val="30"/>
          <w:highlight w:val="none"/>
        </w:rPr>
        <w:t>行政等级（</w:t>
      </w:r>
      <w:r>
        <w:rPr>
          <w:rFonts w:hint="eastAsia" w:ascii="仿宋_GB2312" w:hAnsi="仿宋" w:eastAsia="仿宋_GB2312"/>
          <w:spacing w:val="6"/>
          <w:sz w:val="30"/>
          <w:szCs w:val="30"/>
          <w:highlight w:val="none"/>
        </w:rPr>
        <w:t>3行）等于国道（4行）、省道（5行）、县道（6行）、乡道（7行）、村道（8行）、专用公路（9行）各项之和；</w:t>
      </w:r>
    </w:p>
    <w:p w14:paraId="5CEC76B9">
      <w:pPr>
        <w:numPr>
          <w:ilvl w:val="0"/>
          <w:numId w:val="8"/>
        </w:numPr>
        <w:snapToGrid w:val="0"/>
        <w:spacing w:line="360" w:lineRule="auto"/>
        <w:ind w:left="0" w:firstLine="576"/>
        <w:rPr>
          <w:rFonts w:hint="eastAsia" w:ascii="仿宋_GB2312" w:hAnsi="仿宋" w:eastAsia="仿宋_GB2312"/>
          <w:spacing w:val="6"/>
          <w:sz w:val="30"/>
          <w:szCs w:val="30"/>
          <w:highlight w:val="none"/>
        </w:rPr>
      </w:pPr>
      <w:r>
        <w:rPr>
          <w:rFonts w:hint="eastAsia" w:ascii="仿宋_GB2312" w:hAnsi="仿宋" w:eastAsia="仿宋_GB2312"/>
          <w:sz w:val="30"/>
          <w:szCs w:val="30"/>
          <w:highlight w:val="none"/>
        </w:rPr>
        <w:t>技术等级（</w:t>
      </w:r>
      <w:r>
        <w:rPr>
          <w:rFonts w:hint="eastAsia" w:ascii="仿宋_GB2312" w:hAnsi="仿宋" w:eastAsia="仿宋_GB2312"/>
          <w:spacing w:val="6"/>
          <w:sz w:val="30"/>
          <w:szCs w:val="30"/>
          <w:highlight w:val="none"/>
        </w:rPr>
        <w:t>10行）等于高速公路（11行）、一级公路（12行）、二级公路（13行）、三级公路（14行）、四级公路（15行）、等外公路（16行）各项之和；</w:t>
      </w:r>
    </w:p>
    <w:p w14:paraId="50E064E5">
      <w:pPr>
        <w:numPr>
          <w:ilvl w:val="0"/>
          <w:numId w:val="8"/>
        </w:numPr>
        <w:snapToGrid w:val="0"/>
        <w:spacing w:line="360" w:lineRule="auto"/>
        <w:ind w:left="0" w:firstLine="576"/>
        <w:rPr>
          <w:rFonts w:hint="eastAsia" w:ascii="仿宋_GB2312" w:hAnsi="仿宋" w:eastAsia="仿宋_GB2312"/>
          <w:spacing w:val="6"/>
          <w:sz w:val="30"/>
          <w:szCs w:val="30"/>
          <w:highlight w:val="none"/>
        </w:rPr>
      </w:pPr>
      <w:r>
        <w:rPr>
          <w:rFonts w:hint="eastAsia" w:ascii="仿宋_GB2312" w:hAnsi="仿宋" w:eastAsia="仿宋_GB2312"/>
          <w:spacing w:val="6"/>
          <w:sz w:val="30"/>
          <w:szCs w:val="30"/>
          <w:highlight w:val="none"/>
        </w:rPr>
        <w:t>航道（21行）等于等级航道（22行）、等外航道（30行）、航标（31行）、航道通航建筑物（32行）、整治建筑物及设施（33行）</w:t>
      </w:r>
      <w:r>
        <w:rPr>
          <w:rFonts w:hint="eastAsia" w:ascii="仿宋_GB2312" w:hAnsi="仿宋" w:eastAsia="仿宋_GB2312"/>
          <w:spacing w:val="6"/>
          <w:sz w:val="30"/>
          <w:szCs w:val="30"/>
          <w:highlight w:val="none"/>
          <w:lang w:eastAsia="zh-CN"/>
        </w:rPr>
        <w:t>、</w:t>
      </w:r>
      <w:r>
        <w:rPr>
          <w:rFonts w:hint="eastAsia" w:ascii="仿宋_GB2312" w:hAnsi="仿宋" w:eastAsia="仿宋_GB2312"/>
          <w:spacing w:val="6"/>
          <w:sz w:val="30"/>
          <w:szCs w:val="30"/>
          <w:highlight w:val="none"/>
        </w:rPr>
        <w:t>其他助航设施（34行）</w:t>
      </w:r>
      <w:r>
        <w:rPr>
          <w:rFonts w:hint="eastAsia" w:ascii="仿宋_GB2312" w:hAnsi="仿宋" w:eastAsia="仿宋_GB2312"/>
          <w:sz w:val="30"/>
          <w:szCs w:val="30"/>
          <w:highlight w:val="none"/>
        </w:rPr>
        <w:t>各项之和</w:t>
      </w:r>
      <w:r>
        <w:rPr>
          <w:rFonts w:hint="eastAsia" w:ascii="仿宋_GB2312" w:hAnsi="仿宋" w:eastAsia="仿宋_GB2312"/>
          <w:spacing w:val="6"/>
          <w:sz w:val="30"/>
          <w:szCs w:val="30"/>
          <w:highlight w:val="none"/>
        </w:rPr>
        <w:t>；</w:t>
      </w:r>
    </w:p>
    <w:p w14:paraId="6C4A3E26">
      <w:pPr>
        <w:numPr>
          <w:ilvl w:val="0"/>
          <w:numId w:val="8"/>
        </w:numPr>
        <w:snapToGrid w:val="0"/>
        <w:spacing w:line="360" w:lineRule="auto"/>
        <w:ind w:left="0" w:firstLine="576"/>
        <w:rPr>
          <w:rFonts w:hint="eastAsia" w:ascii="仿宋_GB2312" w:hAnsi="仿宋" w:eastAsia="仿宋_GB2312"/>
          <w:spacing w:val="6"/>
          <w:sz w:val="30"/>
          <w:szCs w:val="30"/>
          <w:highlight w:val="none"/>
        </w:rPr>
      </w:pPr>
      <w:r>
        <w:rPr>
          <w:rFonts w:hint="eastAsia" w:ascii="仿宋_GB2312" w:hAnsi="仿宋" w:eastAsia="仿宋_GB2312"/>
          <w:sz w:val="30"/>
          <w:szCs w:val="30"/>
          <w:highlight w:val="none"/>
        </w:rPr>
        <w:t>等级航道（</w:t>
      </w:r>
      <w:r>
        <w:rPr>
          <w:rFonts w:ascii="仿宋_GB2312" w:hAnsi="仿宋" w:eastAsia="仿宋_GB2312"/>
          <w:spacing w:val="6"/>
          <w:sz w:val="30"/>
          <w:szCs w:val="30"/>
          <w:highlight w:val="none"/>
        </w:rPr>
        <w:t>2</w:t>
      </w:r>
      <w:r>
        <w:rPr>
          <w:rFonts w:hint="eastAsia" w:ascii="仿宋_GB2312" w:hAnsi="仿宋" w:eastAsia="仿宋_GB2312"/>
          <w:spacing w:val="6"/>
          <w:sz w:val="30"/>
          <w:szCs w:val="30"/>
          <w:highlight w:val="none"/>
        </w:rPr>
        <w:t>2行）等于一级航道（</w:t>
      </w:r>
      <w:r>
        <w:rPr>
          <w:rFonts w:ascii="仿宋_GB2312" w:hAnsi="仿宋" w:eastAsia="仿宋_GB2312"/>
          <w:spacing w:val="6"/>
          <w:sz w:val="30"/>
          <w:szCs w:val="30"/>
          <w:highlight w:val="none"/>
        </w:rPr>
        <w:t>2</w:t>
      </w:r>
      <w:r>
        <w:rPr>
          <w:rFonts w:hint="eastAsia" w:ascii="仿宋_GB2312" w:hAnsi="仿宋" w:eastAsia="仿宋_GB2312"/>
          <w:spacing w:val="6"/>
          <w:sz w:val="30"/>
          <w:szCs w:val="30"/>
          <w:highlight w:val="none"/>
        </w:rPr>
        <w:t>3行）、二级航道（24行）、三级航道（25行）、四级航道（26行）、五级航道（27行）、六级航道（28行）、七级航道（29行）</w:t>
      </w:r>
      <w:r>
        <w:rPr>
          <w:rFonts w:hint="eastAsia" w:ascii="仿宋_GB2312" w:hAnsi="仿宋" w:eastAsia="仿宋_GB2312"/>
          <w:sz w:val="30"/>
          <w:szCs w:val="30"/>
          <w:highlight w:val="none"/>
        </w:rPr>
        <w:t>各项之和</w:t>
      </w:r>
      <w:r>
        <w:rPr>
          <w:rFonts w:hint="eastAsia" w:ascii="仿宋_GB2312" w:hAnsi="仿宋" w:eastAsia="仿宋_GB2312"/>
          <w:spacing w:val="6"/>
          <w:sz w:val="30"/>
          <w:szCs w:val="30"/>
          <w:highlight w:val="none"/>
        </w:rPr>
        <w:t>；</w:t>
      </w:r>
    </w:p>
    <w:p w14:paraId="67104384">
      <w:pPr>
        <w:numPr>
          <w:ilvl w:val="0"/>
          <w:numId w:val="8"/>
        </w:numPr>
        <w:snapToGrid w:val="0"/>
        <w:spacing w:line="360" w:lineRule="auto"/>
        <w:ind w:left="0" w:firstLine="576"/>
        <w:rPr>
          <w:rFonts w:hint="eastAsia" w:ascii="仿宋_GB2312" w:hAnsi="仿宋" w:eastAsia="仿宋_GB2312"/>
          <w:spacing w:val="6"/>
          <w:sz w:val="30"/>
          <w:szCs w:val="30"/>
          <w:highlight w:val="none"/>
        </w:rPr>
      </w:pPr>
      <w:r>
        <w:rPr>
          <w:rFonts w:hint="eastAsia" w:ascii="仿宋_GB2312" w:hAnsi="仿宋" w:eastAsia="仿宋_GB2312"/>
          <w:sz w:val="30"/>
          <w:szCs w:val="30"/>
          <w:highlight w:val="none"/>
        </w:rPr>
        <w:t>沿海航海保障设施（</w:t>
      </w:r>
      <w:r>
        <w:rPr>
          <w:rFonts w:hint="eastAsia" w:ascii="仿宋_GB2312" w:hAnsi="仿宋" w:eastAsia="仿宋_GB2312"/>
          <w:spacing w:val="6"/>
          <w:sz w:val="30"/>
          <w:szCs w:val="30"/>
          <w:highlight w:val="none"/>
        </w:rPr>
        <w:t>35行）等于沿海航道</w:t>
      </w:r>
      <w:r>
        <w:rPr>
          <w:rFonts w:hint="eastAsia" w:ascii="仿宋_GB2312" w:hAnsi="仿宋" w:eastAsia="仿宋_GB2312"/>
          <w:spacing w:val="6"/>
          <w:sz w:val="30"/>
          <w:szCs w:val="30"/>
          <w:highlight w:val="none"/>
          <w:lang w:eastAsia="zh-CN"/>
        </w:rPr>
        <w:t>（</w:t>
      </w:r>
      <w:r>
        <w:rPr>
          <w:rFonts w:hint="eastAsia" w:ascii="仿宋_GB2312" w:hAnsi="仿宋" w:eastAsia="仿宋_GB2312"/>
          <w:spacing w:val="6"/>
          <w:sz w:val="30"/>
          <w:szCs w:val="30"/>
          <w:highlight w:val="none"/>
        </w:rPr>
        <w:t>36行）、航标</w:t>
      </w:r>
      <w:r>
        <w:rPr>
          <w:rFonts w:hint="eastAsia" w:ascii="仿宋_GB2312" w:hAnsi="仿宋" w:eastAsia="仿宋_GB2312"/>
          <w:sz w:val="30"/>
          <w:szCs w:val="30"/>
          <w:highlight w:val="none"/>
        </w:rPr>
        <w:t>（</w:t>
      </w:r>
      <w:r>
        <w:rPr>
          <w:rFonts w:hint="eastAsia" w:ascii="仿宋_GB2312" w:hAnsi="仿宋" w:eastAsia="仿宋_GB2312"/>
          <w:spacing w:val="6"/>
          <w:sz w:val="30"/>
          <w:szCs w:val="30"/>
          <w:highlight w:val="none"/>
        </w:rPr>
        <w:t>37行）、其他助航设施</w:t>
      </w:r>
      <w:r>
        <w:rPr>
          <w:rFonts w:hint="eastAsia" w:ascii="仿宋_GB2312" w:hAnsi="仿宋" w:eastAsia="仿宋_GB2312"/>
          <w:sz w:val="30"/>
          <w:szCs w:val="30"/>
          <w:highlight w:val="none"/>
        </w:rPr>
        <w:t>（</w:t>
      </w:r>
      <w:r>
        <w:rPr>
          <w:rFonts w:hint="eastAsia" w:ascii="仿宋_GB2312" w:hAnsi="仿宋" w:eastAsia="仿宋_GB2312"/>
          <w:spacing w:val="6"/>
          <w:sz w:val="30"/>
          <w:szCs w:val="30"/>
          <w:highlight w:val="none"/>
        </w:rPr>
        <w:t>38行</w:t>
      </w:r>
      <w:r>
        <w:rPr>
          <w:rFonts w:hint="eastAsia" w:ascii="仿宋_GB2312" w:hAnsi="仿宋" w:eastAsia="仿宋_GB2312"/>
          <w:spacing w:val="6"/>
          <w:sz w:val="30"/>
          <w:szCs w:val="30"/>
          <w:highlight w:val="none"/>
          <w:lang w:eastAsia="zh-CN"/>
        </w:rPr>
        <w:t>）</w:t>
      </w:r>
      <w:r>
        <w:rPr>
          <w:rFonts w:hint="eastAsia" w:ascii="仿宋_GB2312" w:hAnsi="仿宋" w:eastAsia="仿宋_GB2312"/>
          <w:spacing w:val="6"/>
          <w:sz w:val="30"/>
          <w:szCs w:val="30"/>
          <w:highlight w:val="none"/>
        </w:rPr>
        <w:t>之和；</w:t>
      </w:r>
    </w:p>
    <w:p w14:paraId="22DCF088">
      <w:pPr>
        <w:numPr>
          <w:ilvl w:val="0"/>
          <w:numId w:val="8"/>
        </w:numPr>
        <w:snapToGrid w:val="0"/>
        <w:spacing w:line="360" w:lineRule="auto"/>
        <w:ind w:left="0" w:firstLine="576"/>
        <w:rPr>
          <w:rFonts w:hint="eastAsia" w:ascii="仿宋_GB2312" w:hAnsi="仿宋" w:eastAsia="仿宋_GB2312"/>
          <w:spacing w:val="6"/>
          <w:sz w:val="30"/>
          <w:szCs w:val="30"/>
          <w:highlight w:val="none"/>
        </w:rPr>
      </w:pPr>
      <w:r>
        <w:rPr>
          <w:rFonts w:hint="eastAsia" w:ascii="仿宋_GB2312" w:hAnsi="仿宋" w:eastAsia="仿宋_GB2312"/>
          <w:sz w:val="30"/>
          <w:szCs w:val="30"/>
          <w:highlight w:val="none"/>
          <w:lang w:eastAsia="zh-CN"/>
        </w:rPr>
        <w:t>港口</w:t>
      </w:r>
      <w:r>
        <w:rPr>
          <w:rFonts w:hint="eastAsia" w:ascii="仿宋_GB2312" w:hAnsi="仿宋" w:eastAsia="仿宋_GB2312"/>
          <w:sz w:val="30"/>
          <w:szCs w:val="30"/>
          <w:highlight w:val="none"/>
        </w:rPr>
        <w:t>（</w:t>
      </w:r>
      <w:r>
        <w:rPr>
          <w:rFonts w:hint="eastAsia" w:ascii="仿宋_GB2312" w:hAnsi="仿宋" w:eastAsia="仿宋_GB2312"/>
          <w:spacing w:val="6"/>
          <w:sz w:val="30"/>
          <w:szCs w:val="30"/>
          <w:highlight w:val="none"/>
        </w:rPr>
        <w:t>3</w:t>
      </w:r>
      <w:r>
        <w:rPr>
          <w:rFonts w:hint="eastAsia" w:ascii="仿宋_GB2312" w:hAnsi="仿宋" w:eastAsia="仿宋_GB2312"/>
          <w:spacing w:val="6"/>
          <w:sz w:val="30"/>
          <w:szCs w:val="30"/>
          <w:highlight w:val="none"/>
          <w:lang w:val="en-US" w:eastAsia="zh-CN"/>
        </w:rPr>
        <w:t>9</w:t>
      </w:r>
      <w:r>
        <w:rPr>
          <w:rFonts w:hint="eastAsia" w:ascii="仿宋_GB2312" w:hAnsi="仿宋" w:eastAsia="仿宋_GB2312"/>
          <w:spacing w:val="6"/>
          <w:sz w:val="30"/>
          <w:szCs w:val="30"/>
          <w:highlight w:val="none"/>
        </w:rPr>
        <w:t>行）等于港口码头</w:t>
      </w:r>
      <w:r>
        <w:rPr>
          <w:rFonts w:hint="eastAsia" w:ascii="仿宋_GB2312" w:hAnsi="仿宋" w:eastAsia="仿宋_GB2312"/>
          <w:spacing w:val="6"/>
          <w:sz w:val="30"/>
          <w:szCs w:val="30"/>
          <w:highlight w:val="none"/>
          <w:lang w:eastAsia="zh-CN"/>
        </w:rPr>
        <w:t>（</w:t>
      </w:r>
      <w:r>
        <w:rPr>
          <w:rFonts w:hint="eastAsia" w:ascii="仿宋_GB2312" w:hAnsi="仿宋" w:eastAsia="仿宋_GB2312"/>
          <w:spacing w:val="6"/>
          <w:sz w:val="30"/>
          <w:szCs w:val="30"/>
          <w:highlight w:val="none"/>
          <w:lang w:val="en-US" w:eastAsia="zh-CN"/>
        </w:rPr>
        <w:t>40</w:t>
      </w:r>
      <w:r>
        <w:rPr>
          <w:rFonts w:hint="eastAsia" w:ascii="仿宋_GB2312" w:hAnsi="仿宋" w:eastAsia="仿宋_GB2312"/>
          <w:spacing w:val="6"/>
          <w:sz w:val="30"/>
          <w:szCs w:val="30"/>
          <w:highlight w:val="none"/>
        </w:rPr>
        <w:t>行）、防波堤</w:t>
      </w:r>
      <w:r>
        <w:rPr>
          <w:rFonts w:hint="eastAsia" w:ascii="仿宋_GB2312" w:hAnsi="仿宋" w:eastAsia="仿宋_GB2312"/>
          <w:sz w:val="30"/>
          <w:szCs w:val="30"/>
          <w:highlight w:val="none"/>
        </w:rPr>
        <w:t>（</w:t>
      </w:r>
      <w:r>
        <w:rPr>
          <w:rFonts w:hint="eastAsia" w:ascii="仿宋_GB2312" w:hAnsi="仿宋" w:eastAsia="仿宋_GB2312"/>
          <w:spacing w:val="6"/>
          <w:sz w:val="30"/>
          <w:szCs w:val="30"/>
          <w:highlight w:val="none"/>
          <w:lang w:val="en-US" w:eastAsia="zh-CN"/>
        </w:rPr>
        <w:t>41</w:t>
      </w:r>
      <w:r>
        <w:rPr>
          <w:rFonts w:hint="eastAsia" w:ascii="仿宋_GB2312" w:hAnsi="仿宋" w:eastAsia="仿宋_GB2312"/>
          <w:spacing w:val="6"/>
          <w:sz w:val="30"/>
          <w:szCs w:val="30"/>
          <w:highlight w:val="none"/>
        </w:rPr>
        <w:t>行）、护岸</w:t>
      </w:r>
      <w:r>
        <w:rPr>
          <w:rFonts w:hint="eastAsia" w:ascii="仿宋_GB2312" w:hAnsi="仿宋" w:eastAsia="仿宋_GB2312"/>
          <w:sz w:val="30"/>
          <w:szCs w:val="30"/>
          <w:highlight w:val="none"/>
        </w:rPr>
        <w:t>（</w:t>
      </w:r>
      <w:r>
        <w:rPr>
          <w:rFonts w:hint="eastAsia" w:ascii="仿宋_GB2312" w:hAnsi="仿宋" w:eastAsia="仿宋_GB2312"/>
          <w:spacing w:val="6"/>
          <w:sz w:val="30"/>
          <w:szCs w:val="30"/>
          <w:highlight w:val="none"/>
          <w:lang w:val="en-US" w:eastAsia="zh-CN"/>
        </w:rPr>
        <w:t>42</w:t>
      </w:r>
      <w:r>
        <w:rPr>
          <w:rFonts w:hint="eastAsia" w:ascii="仿宋_GB2312" w:hAnsi="仿宋" w:eastAsia="仿宋_GB2312"/>
          <w:spacing w:val="6"/>
          <w:sz w:val="30"/>
          <w:szCs w:val="30"/>
          <w:highlight w:val="none"/>
        </w:rPr>
        <w:t>行</w:t>
      </w:r>
      <w:r>
        <w:rPr>
          <w:rFonts w:hint="eastAsia" w:ascii="仿宋_GB2312" w:hAnsi="仿宋" w:eastAsia="仿宋_GB2312"/>
          <w:spacing w:val="6"/>
          <w:sz w:val="30"/>
          <w:szCs w:val="30"/>
          <w:highlight w:val="none"/>
          <w:lang w:eastAsia="zh-CN"/>
        </w:rPr>
        <w:t>）、</w:t>
      </w:r>
      <w:r>
        <w:rPr>
          <w:rFonts w:hint="eastAsia" w:ascii="仿宋_GB2312" w:hAnsi="仿宋" w:eastAsia="仿宋_GB2312"/>
          <w:spacing w:val="6"/>
          <w:sz w:val="30"/>
          <w:szCs w:val="30"/>
          <w:highlight w:val="none"/>
        </w:rPr>
        <w:t>进出港航道</w:t>
      </w:r>
      <w:r>
        <w:rPr>
          <w:rFonts w:hint="eastAsia" w:ascii="仿宋_GB2312" w:hAnsi="仿宋" w:eastAsia="仿宋_GB2312"/>
          <w:spacing w:val="6"/>
          <w:sz w:val="30"/>
          <w:szCs w:val="30"/>
          <w:highlight w:val="none"/>
          <w:lang w:eastAsia="zh-CN"/>
        </w:rPr>
        <w:t>（</w:t>
      </w:r>
      <w:r>
        <w:rPr>
          <w:rFonts w:hint="eastAsia" w:ascii="仿宋_GB2312" w:hAnsi="仿宋" w:eastAsia="仿宋_GB2312"/>
          <w:spacing w:val="6"/>
          <w:sz w:val="30"/>
          <w:szCs w:val="30"/>
          <w:highlight w:val="none"/>
          <w:lang w:val="en-US" w:eastAsia="zh-CN"/>
        </w:rPr>
        <w:t>43</w:t>
      </w:r>
      <w:r>
        <w:rPr>
          <w:rFonts w:hint="eastAsia" w:ascii="仿宋_GB2312" w:hAnsi="仿宋" w:eastAsia="仿宋_GB2312"/>
          <w:spacing w:val="6"/>
          <w:sz w:val="30"/>
          <w:szCs w:val="30"/>
          <w:highlight w:val="none"/>
        </w:rPr>
        <w:t>行）、锚地</w:t>
      </w:r>
      <w:r>
        <w:rPr>
          <w:rFonts w:hint="eastAsia" w:ascii="仿宋_GB2312" w:hAnsi="仿宋" w:eastAsia="仿宋_GB2312"/>
          <w:sz w:val="30"/>
          <w:szCs w:val="30"/>
          <w:highlight w:val="none"/>
        </w:rPr>
        <w:t>（</w:t>
      </w:r>
      <w:r>
        <w:rPr>
          <w:rFonts w:hint="eastAsia" w:ascii="仿宋_GB2312" w:hAnsi="仿宋" w:eastAsia="仿宋_GB2312"/>
          <w:spacing w:val="6"/>
          <w:sz w:val="30"/>
          <w:szCs w:val="30"/>
          <w:highlight w:val="none"/>
          <w:lang w:val="en-US" w:eastAsia="zh-CN"/>
        </w:rPr>
        <w:t>44</w:t>
      </w:r>
      <w:r>
        <w:rPr>
          <w:rFonts w:hint="eastAsia" w:ascii="仿宋_GB2312" w:hAnsi="仿宋" w:eastAsia="仿宋_GB2312"/>
          <w:spacing w:val="6"/>
          <w:sz w:val="30"/>
          <w:szCs w:val="30"/>
          <w:highlight w:val="none"/>
        </w:rPr>
        <w:t>行）、港口附属设施</w:t>
      </w:r>
      <w:r>
        <w:rPr>
          <w:rFonts w:hint="eastAsia" w:ascii="仿宋_GB2312" w:hAnsi="仿宋" w:eastAsia="仿宋_GB2312"/>
          <w:sz w:val="30"/>
          <w:szCs w:val="30"/>
          <w:highlight w:val="none"/>
        </w:rPr>
        <w:t>（</w:t>
      </w:r>
      <w:r>
        <w:rPr>
          <w:rFonts w:hint="eastAsia" w:ascii="仿宋_GB2312" w:hAnsi="仿宋" w:eastAsia="仿宋_GB2312"/>
          <w:spacing w:val="6"/>
          <w:sz w:val="30"/>
          <w:szCs w:val="30"/>
          <w:highlight w:val="none"/>
          <w:lang w:val="en-US" w:eastAsia="zh-CN"/>
        </w:rPr>
        <w:t>45</w:t>
      </w:r>
      <w:r>
        <w:rPr>
          <w:rFonts w:hint="eastAsia" w:ascii="仿宋_GB2312" w:hAnsi="仿宋" w:eastAsia="仿宋_GB2312"/>
          <w:spacing w:val="6"/>
          <w:sz w:val="30"/>
          <w:szCs w:val="30"/>
          <w:highlight w:val="none"/>
        </w:rPr>
        <w:t>行</w:t>
      </w:r>
      <w:r>
        <w:rPr>
          <w:rFonts w:hint="eastAsia" w:ascii="仿宋_GB2312" w:hAnsi="仿宋" w:eastAsia="仿宋_GB2312"/>
          <w:spacing w:val="6"/>
          <w:sz w:val="30"/>
          <w:szCs w:val="30"/>
          <w:highlight w:val="none"/>
          <w:lang w:eastAsia="zh-CN"/>
        </w:rPr>
        <w:t>）</w:t>
      </w:r>
      <w:r>
        <w:rPr>
          <w:rFonts w:hint="eastAsia" w:ascii="仿宋_GB2312" w:hAnsi="仿宋" w:eastAsia="仿宋_GB2312"/>
          <w:spacing w:val="6"/>
          <w:sz w:val="30"/>
          <w:szCs w:val="30"/>
          <w:highlight w:val="none"/>
        </w:rPr>
        <w:t>之和；</w:t>
      </w:r>
    </w:p>
    <w:p w14:paraId="2E120E0F">
      <w:pPr>
        <w:numPr>
          <w:ilvl w:val="0"/>
          <w:numId w:val="8"/>
        </w:numPr>
        <w:snapToGrid w:val="0"/>
        <w:spacing w:line="360" w:lineRule="auto"/>
        <w:ind w:left="0" w:firstLine="576"/>
        <w:rPr>
          <w:rFonts w:hint="eastAsia" w:ascii="仿宋_GB2312" w:hAnsi="仿宋" w:eastAsia="仿宋_GB2312"/>
          <w:spacing w:val="6"/>
          <w:sz w:val="30"/>
          <w:szCs w:val="30"/>
          <w:highlight w:val="none"/>
        </w:rPr>
      </w:pPr>
      <w:r>
        <w:rPr>
          <w:rFonts w:hint="eastAsia" w:ascii="仿宋_GB2312" w:hAnsi="仿宋" w:eastAsia="仿宋_GB2312"/>
          <w:spacing w:val="6"/>
          <w:sz w:val="30"/>
          <w:szCs w:val="30"/>
          <w:highlight w:val="none"/>
        </w:rPr>
        <w:t>铁路</w:t>
      </w:r>
      <w:r>
        <w:rPr>
          <w:rFonts w:hint="eastAsia" w:ascii="仿宋_GB2312" w:hAnsi="仿宋" w:eastAsia="仿宋_GB2312"/>
          <w:sz w:val="30"/>
          <w:szCs w:val="30"/>
          <w:highlight w:val="none"/>
        </w:rPr>
        <w:t>（</w:t>
      </w:r>
      <w:r>
        <w:rPr>
          <w:rFonts w:hint="eastAsia" w:ascii="仿宋_GB2312" w:hAnsi="仿宋" w:eastAsia="仿宋_GB2312"/>
          <w:spacing w:val="6"/>
          <w:sz w:val="30"/>
          <w:szCs w:val="30"/>
          <w:highlight w:val="none"/>
        </w:rPr>
        <w:t>1</w:t>
      </w:r>
      <w:r>
        <w:rPr>
          <w:rFonts w:ascii="仿宋_GB2312" w:hAnsi="仿宋" w:eastAsia="仿宋_GB2312"/>
          <w:spacing w:val="6"/>
          <w:sz w:val="30"/>
          <w:szCs w:val="30"/>
          <w:highlight w:val="none"/>
        </w:rPr>
        <w:t>7</w:t>
      </w:r>
      <w:r>
        <w:rPr>
          <w:rFonts w:hint="eastAsia" w:ascii="仿宋_GB2312" w:hAnsi="仿宋" w:eastAsia="仿宋_GB2312"/>
          <w:spacing w:val="6"/>
          <w:sz w:val="30"/>
          <w:szCs w:val="30"/>
          <w:highlight w:val="none"/>
        </w:rPr>
        <w:t>行）大于等于地方性铁路</w:t>
      </w:r>
      <w:r>
        <w:rPr>
          <w:rFonts w:hint="eastAsia" w:ascii="仿宋_GB2312" w:hAnsi="仿宋" w:eastAsia="仿宋_GB2312"/>
          <w:sz w:val="30"/>
          <w:szCs w:val="30"/>
          <w:highlight w:val="none"/>
        </w:rPr>
        <w:t>（</w:t>
      </w:r>
      <w:r>
        <w:rPr>
          <w:rFonts w:hint="eastAsia" w:ascii="仿宋_GB2312" w:hAnsi="仿宋" w:eastAsia="仿宋_GB2312"/>
          <w:spacing w:val="6"/>
          <w:sz w:val="30"/>
          <w:szCs w:val="30"/>
          <w:highlight w:val="none"/>
        </w:rPr>
        <w:t>1</w:t>
      </w:r>
      <w:r>
        <w:rPr>
          <w:rFonts w:ascii="仿宋_GB2312" w:hAnsi="仿宋" w:eastAsia="仿宋_GB2312"/>
          <w:spacing w:val="6"/>
          <w:sz w:val="30"/>
          <w:szCs w:val="30"/>
          <w:highlight w:val="none"/>
        </w:rPr>
        <w:t>8</w:t>
      </w:r>
      <w:r>
        <w:rPr>
          <w:rFonts w:hint="eastAsia" w:ascii="仿宋_GB2312" w:hAnsi="仿宋" w:eastAsia="仿宋_GB2312"/>
          <w:spacing w:val="6"/>
          <w:sz w:val="30"/>
          <w:szCs w:val="30"/>
          <w:highlight w:val="none"/>
        </w:rPr>
        <w:t>行）；</w:t>
      </w:r>
    </w:p>
    <w:p w14:paraId="0D55083E">
      <w:pPr>
        <w:numPr>
          <w:ilvl w:val="0"/>
          <w:numId w:val="8"/>
        </w:numPr>
        <w:snapToGrid w:val="0"/>
        <w:spacing w:line="360" w:lineRule="auto"/>
        <w:ind w:left="0" w:firstLine="576"/>
        <w:rPr>
          <w:rFonts w:hint="eastAsia" w:ascii="仿宋_GB2312" w:hAnsi="仿宋" w:eastAsia="仿宋_GB2312"/>
          <w:spacing w:val="6"/>
          <w:sz w:val="30"/>
          <w:szCs w:val="30"/>
          <w:highlight w:val="none"/>
        </w:rPr>
      </w:pPr>
      <w:r>
        <w:rPr>
          <w:rFonts w:hint="eastAsia" w:ascii="仿宋_GB2312" w:hAnsi="仿宋" w:eastAsia="仿宋_GB2312"/>
          <w:sz w:val="30"/>
          <w:szCs w:val="30"/>
          <w:highlight w:val="none"/>
        </w:rPr>
        <w:t>轮渡（</w:t>
      </w:r>
      <w:r>
        <w:rPr>
          <w:rFonts w:hint="eastAsia" w:ascii="仿宋_GB2312" w:hAnsi="仿宋" w:eastAsia="仿宋_GB2312"/>
          <w:spacing w:val="6"/>
          <w:sz w:val="30"/>
          <w:szCs w:val="30"/>
          <w:highlight w:val="none"/>
        </w:rPr>
        <w:t>4</w:t>
      </w:r>
      <w:r>
        <w:rPr>
          <w:rFonts w:hint="eastAsia" w:ascii="仿宋_GB2312" w:hAnsi="仿宋" w:eastAsia="仿宋_GB2312"/>
          <w:spacing w:val="6"/>
          <w:sz w:val="30"/>
          <w:szCs w:val="30"/>
          <w:highlight w:val="none"/>
          <w:lang w:val="en-US" w:eastAsia="zh-CN"/>
        </w:rPr>
        <w:t>6</w:t>
      </w:r>
      <w:r>
        <w:rPr>
          <w:rFonts w:hint="eastAsia" w:ascii="仿宋_GB2312" w:hAnsi="仿宋" w:eastAsia="仿宋_GB2312"/>
          <w:spacing w:val="6"/>
          <w:sz w:val="30"/>
          <w:szCs w:val="30"/>
          <w:highlight w:val="none"/>
        </w:rPr>
        <w:t>行）大于等于轮渡码头</w:t>
      </w:r>
      <w:r>
        <w:rPr>
          <w:rFonts w:hint="eastAsia" w:ascii="仿宋_GB2312" w:hAnsi="仿宋" w:eastAsia="仿宋_GB2312"/>
          <w:sz w:val="30"/>
          <w:szCs w:val="30"/>
          <w:highlight w:val="none"/>
        </w:rPr>
        <w:t>（</w:t>
      </w:r>
      <w:r>
        <w:rPr>
          <w:rFonts w:hint="eastAsia" w:ascii="仿宋_GB2312" w:hAnsi="仿宋" w:eastAsia="仿宋_GB2312"/>
          <w:spacing w:val="6"/>
          <w:sz w:val="30"/>
          <w:szCs w:val="30"/>
          <w:highlight w:val="none"/>
        </w:rPr>
        <w:t>4</w:t>
      </w:r>
      <w:r>
        <w:rPr>
          <w:rFonts w:hint="eastAsia" w:ascii="仿宋_GB2312" w:hAnsi="仿宋" w:eastAsia="仿宋_GB2312"/>
          <w:spacing w:val="6"/>
          <w:sz w:val="30"/>
          <w:szCs w:val="30"/>
          <w:highlight w:val="none"/>
          <w:lang w:val="en-US" w:eastAsia="zh-CN"/>
        </w:rPr>
        <w:t>7</w:t>
      </w:r>
      <w:r>
        <w:rPr>
          <w:rFonts w:hint="eastAsia" w:ascii="仿宋_GB2312" w:hAnsi="仿宋" w:eastAsia="仿宋_GB2312"/>
          <w:spacing w:val="6"/>
          <w:sz w:val="30"/>
          <w:szCs w:val="30"/>
          <w:highlight w:val="none"/>
        </w:rPr>
        <w:t>行）；</w:t>
      </w:r>
    </w:p>
    <w:p w14:paraId="7DF667E8">
      <w:pPr>
        <w:numPr>
          <w:ilvl w:val="0"/>
          <w:numId w:val="8"/>
        </w:numPr>
        <w:snapToGrid w:val="0"/>
        <w:spacing w:line="360" w:lineRule="auto"/>
        <w:ind w:left="0" w:firstLine="576"/>
        <w:rPr>
          <w:rFonts w:hint="eastAsia" w:ascii="仿宋_GB2312" w:hAnsi="仿宋" w:eastAsia="仿宋_GB2312"/>
          <w:spacing w:val="6"/>
          <w:sz w:val="30"/>
          <w:szCs w:val="30"/>
          <w:highlight w:val="none"/>
        </w:rPr>
      </w:pPr>
      <w:r>
        <w:rPr>
          <w:rFonts w:hint="eastAsia" w:ascii="仿宋_GB2312" w:hAnsi="仿宋" w:eastAsia="仿宋_GB2312"/>
          <w:spacing w:val="6"/>
          <w:sz w:val="30"/>
          <w:szCs w:val="30"/>
          <w:highlight w:val="none"/>
        </w:rPr>
        <w:t>负有管理维护职责数量</w:t>
      </w:r>
      <w:r>
        <w:rPr>
          <w:rFonts w:hint="eastAsia" w:ascii="仿宋_GB2312" w:hAnsi="仿宋" w:eastAsia="仿宋_GB2312"/>
          <w:sz w:val="30"/>
          <w:szCs w:val="30"/>
          <w:highlight w:val="none"/>
        </w:rPr>
        <w:t>（</w:t>
      </w:r>
      <w:r>
        <w:rPr>
          <w:rFonts w:hint="eastAsia" w:ascii="仿宋_GB2312" w:hAnsi="仿宋" w:eastAsia="仿宋_GB2312"/>
          <w:spacing w:val="6"/>
          <w:sz w:val="30"/>
          <w:szCs w:val="30"/>
          <w:highlight w:val="none"/>
        </w:rPr>
        <w:t>1栏）大于等于数量</w:t>
      </w:r>
      <w:r>
        <w:rPr>
          <w:rFonts w:hint="eastAsia" w:ascii="仿宋_GB2312" w:hAnsi="仿宋" w:eastAsia="仿宋_GB2312"/>
          <w:sz w:val="30"/>
          <w:szCs w:val="30"/>
          <w:highlight w:val="none"/>
        </w:rPr>
        <w:t>（</w:t>
      </w:r>
      <w:r>
        <w:rPr>
          <w:rFonts w:ascii="仿宋_GB2312" w:hAnsi="仿宋" w:eastAsia="仿宋_GB2312"/>
          <w:spacing w:val="6"/>
          <w:sz w:val="30"/>
          <w:szCs w:val="30"/>
          <w:highlight w:val="none"/>
        </w:rPr>
        <w:t>2栏</w:t>
      </w:r>
      <w:r>
        <w:rPr>
          <w:rFonts w:hint="eastAsia" w:ascii="仿宋_GB2312" w:hAnsi="仿宋" w:eastAsia="仿宋_GB2312"/>
          <w:spacing w:val="6"/>
          <w:sz w:val="30"/>
          <w:szCs w:val="30"/>
          <w:highlight w:val="none"/>
        </w:rPr>
        <w:t>）；</w:t>
      </w:r>
    </w:p>
    <w:p w14:paraId="246E31D3">
      <w:pPr>
        <w:numPr>
          <w:ilvl w:val="0"/>
          <w:numId w:val="8"/>
        </w:numPr>
        <w:snapToGrid w:val="0"/>
        <w:spacing w:line="360" w:lineRule="auto"/>
        <w:ind w:left="0" w:firstLine="576"/>
        <w:rPr>
          <w:rFonts w:hint="eastAsia" w:ascii="仿宋_GB2312" w:hAnsi="仿宋" w:eastAsia="仿宋_GB2312"/>
          <w:spacing w:val="6"/>
          <w:sz w:val="30"/>
          <w:szCs w:val="30"/>
          <w:highlight w:val="none"/>
        </w:rPr>
      </w:pPr>
      <w:r>
        <w:rPr>
          <w:rFonts w:hint="eastAsia" w:ascii="仿宋_GB2312" w:hAnsi="仿宋" w:eastAsia="仿宋_GB2312"/>
          <w:spacing w:val="6"/>
          <w:sz w:val="30"/>
          <w:szCs w:val="30"/>
          <w:highlight w:val="none"/>
        </w:rPr>
        <w:t>负有管理维护职责数量</w:t>
      </w:r>
      <w:r>
        <w:rPr>
          <w:rFonts w:hint="eastAsia" w:ascii="仿宋_GB2312" w:hAnsi="仿宋" w:eastAsia="仿宋_GB2312"/>
          <w:sz w:val="30"/>
          <w:szCs w:val="30"/>
          <w:highlight w:val="none"/>
        </w:rPr>
        <w:t>（</w:t>
      </w:r>
      <w:r>
        <w:rPr>
          <w:rFonts w:ascii="仿宋_GB2312" w:hAnsi="仿宋" w:eastAsia="仿宋_GB2312"/>
          <w:spacing w:val="6"/>
          <w:sz w:val="30"/>
          <w:szCs w:val="30"/>
          <w:highlight w:val="none"/>
        </w:rPr>
        <w:t>6</w:t>
      </w:r>
      <w:r>
        <w:rPr>
          <w:rFonts w:hint="eastAsia" w:ascii="仿宋_GB2312" w:hAnsi="仿宋" w:eastAsia="仿宋_GB2312"/>
          <w:spacing w:val="6"/>
          <w:sz w:val="30"/>
          <w:szCs w:val="30"/>
          <w:highlight w:val="none"/>
        </w:rPr>
        <w:t>栏）大于等于数量</w:t>
      </w:r>
      <w:r>
        <w:rPr>
          <w:rFonts w:hint="eastAsia" w:ascii="仿宋_GB2312" w:hAnsi="仿宋" w:eastAsia="仿宋_GB2312"/>
          <w:sz w:val="30"/>
          <w:szCs w:val="30"/>
          <w:highlight w:val="none"/>
        </w:rPr>
        <w:t>（</w:t>
      </w:r>
      <w:r>
        <w:rPr>
          <w:rFonts w:ascii="仿宋_GB2312" w:hAnsi="仿宋" w:eastAsia="仿宋_GB2312"/>
          <w:spacing w:val="6"/>
          <w:sz w:val="30"/>
          <w:szCs w:val="30"/>
          <w:highlight w:val="none"/>
        </w:rPr>
        <w:t>7栏</w:t>
      </w:r>
      <w:r>
        <w:rPr>
          <w:rFonts w:hint="eastAsia" w:ascii="仿宋_GB2312" w:hAnsi="仿宋" w:eastAsia="仿宋_GB2312"/>
          <w:spacing w:val="6"/>
          <w:sz w:val="30"/>
          <w:szCs w:val="30"/>
          <w:highlight w:val="none"/>
        </w:rPr>
        <w:t>）；</w:t>
      </w:r>
    </w:p>
    <w:p w14:paraId="287D15BA">
      <w:pPr>
        <w:numPr>
          <w:ilvl w:val="0"/>
          <w:numId w:val="8"/>
        </w:numPr>
        <w:snapToGrid w:val="0"/>
        <w:spacing w:line="360" w:lineRule="auto"/>
        <w:ind w:left="0" w:firstLine="576"/>
        <w:rPr>
          <w:rFonts w:hint="eastAsia" w:ascii="仿宋_GB2312" w:hAnsi="仿宋" w:eastAsia="仿宋_GB2312"/>
          <w:sz w:val="30"/>
          <w:szCs w:val="30"/>
          <w:highlight w:val="none"/>
        </w:rPr>
      </w:pPr>
      <w:r>
        <w:rPr>
          <w:rFonts w:hint="eastAsia" w:ascii="仿宋_GB2312" w:hAnsi="仿宋" w:eastAsia="仿宋_GB2312"/>
          <w:sz w:val="30"/>
          <w:szCs w:val="30"/>
          <w:highlight w:val="none"/>
        </w:rPr>
        <w:t>净值（</w:t>
      </w:r>
      <w:r>
        <w:rPr>
          <w:rFonts w:ascii="仿宋_GB2312" w:hAnsi="仿宋" w:eastAsia="仿宋_GB2312"/>
          <w:sz w:val="30"/>
          <w:szCs w:val="30"/>
          <w:highlight w:val="none"/>
        </w:rPr>
        <w:t>5</w:t>
      </w:r>
      <w:r>
        <w:rPr>
          <w:rFonts w:hint="eastAsia" w:ascii="仿宋_GB2312" w:hAnsi="仿宋" w:eastAsia="仿宋_GB2312"/>
          <w:sz w:val="30"/>
          <w:szCs w:val="30"/>
          <w:highlight w:val="none"/>
        </w:rPr>
        <w:t>栏）等于原值</w:t>
      </w:r>
      <w:r>
        <w:rPr>
          <w:rFonts w:ascii="仿宋_GB2312" w:hAnsi="仿宋" w:eastAsia="仿宋_GB2312"/>
          <w:sz w:val="30"/>
          <w:szCs w:val="30"/>
          <w:highlight w:val="none"/>
        </w:rPr>
        <w:t>（</w:t>
      </w:r>
      <w:r>
        <w:rPr>
          <w:rFonts w:hint="eastAsia" w:ascii="仿宋_GB2312" w:hAnsi="仿宋" w:eastAsia="仿宋_GB2312"/>
          <w:sz w:val="30"/>
          <w:szCs w:val="30"/>
          <w:highlight w:val="none"/>
        </w:rPr>
        <w:t>3栏</w:t>
      </w:r>
      <w:r>
        <w:rPr>
          <w:rFonts w:ascii="仿宋_GB2312" w:hAnsi="仿宋" w:eastAsia="仿宋_GB2312"/>
          <w:sz w:val="30"/>
          <w:szCs w:val="30"/>
          <w:highlight w:val="none"/>
        </w:rPr>
        <w:t>）</w:t>
      </w:r>
      <w:r>
        <w:rPr>
          <w:rFonts w:hint="eastAsia" w:ascii="仿宋_GB2312" w:hAnsi="仿宋" w:eastAsia="仿宋_GB2312"/>
          <w:sz w:val="30"/>
          <w:szCs w:val="30"/>
          <w:highlight w:val="none"/>
        </w:rPr>
        <w:t>与累计折旧/摊销（</w:t>
      </w:r>
      <w:r>
        <w:rPr>
          <w:rFonts w:ascii="仿宋_GB2312" w:hAnsi="仿宋" w:eastAsia="仿宋_GB2312"/>
          <w:sz w:val="30"/>
          <w:szCs w:val="30"/>
          <w:highlight w:val="none"/>
        </w:rPr>
        <w:t>4</w:t>
      </w:r>
      <w:r>
        <w:rPr>
          <w:rFonts w:hint="eastAsia" w:ascii="仿宋_GB2312" w:hAnsi="仿宋" w:eastAsia="仿宋_GB2312"/>
          <w:sz w:val="30"/>
          <w:szCs w:val="30"/>
          <w:highlight w:val="none"/>
        </w:rPr>
        <w:t>栏</w:t>
      </w:r>
      <w:r>
        <w:rPr>
          <w:rFonts w:ascii="仿宋_GB2312" w:hAnsi="仿宋" w:eastAsia="仿宋_GB2312"/>
          <w:sz w:val="30"/>
          <w:szCs w:val="30"/>
          <w:highlight w:val="none"/>
        </w:rPr>
        <w:t>）</w:t>
      </w:r>
      <w:r>
        <w:rPr>
          <w:rFonts w:hint="eastAsia" w:ascii="仿宋_GB2312" w:hAnsi="仿宋" w:eastAsia="仿宋_GB2312"/>
          <w:sz w:val="30"/>
          <w:szCs w:val="30"/>
          <w:highlight w:val="none"/>
        </w:rPr>
        <w:t>之差；</w:t>
      </w:r>
    </w:p>
    <w:p w14:paraId="1A500E2D">
      <w:pPr>
        <w:numPr>
          <w:ilvl w:val="0"/>
          <w:numId w:val="8"/>
        </w:numPr>
        <w:snapToGrid w:val="0"/>
        <w:spacing w:line="360" w:lineRule="auto"/>
        <w:ind w:left="0" w:firstLine="576"/>
        <w:rPr>
          <w:rFonts w:hint="eastAsia" w:ascii="仿宋_GB2312" w:hAnsi="仿宋" w:eastAsia="仿宋_GB2312"/>
          <w:sz w:val="30"/>
          <w:szCs w:val="30"/>
          <w:highlight w:val="none"/>
        </w:rPr>
      </w:pPr>
      <w:r>
        <w:rPr>
          <w:rFonts w:hint="eastAsia" w:ascii="仿宋_GB2312" w:hAnsi="仿宋" w:eastAsia="仿宋_GB2312"/>
          <w:sz w:val="30"/>
          <w:szCs w:val="30"/>
          <w:highlight w:val="none"/>
        </w:rPr>
        <w:t>净值（</w:t>
      </w:r>
      <w:r>
        <w:rPr>
          <w:rFonts w:ascii="仿宋_GB2312" w:hAnsi="仿宋" w:eastAsia="仿宋_GB2312"/>
          <w:sz w:val="30"/>
          <w:szCs w:val="30"/>
          <w:highlight w:val="none"/>
        </w:rPr>
        <w:t>10</w:t>
      </w:r>
      <w:r>
        <w:rPr>
          <w:rFonts w:hint="eastAsia" w:ascii="仿宋_GB2312" w:hAnsi="仿宋" w:eastAsia="仿宋_GB2312"/>
          <w:sz w:val="30"/>
          <w:szCs w:val="30"/>
          <w:highlight w:val="none"/>
        </w:rPr>
        <w:t>栏）等于原值</w:t>
      </w:r>
      <w:r>
        <w:rPr>
          <w:rFonts w:ascii="仿宋_GB2312" w:hAnsi="仿宋" w:eastAsia="仿宋_GB2312"/>
          <w:sz w:val="30"/>
          <w:szCs w:val="30"/>
          <w:highlight w:val="none"/>
        </w:rPr>
        <w:t>（8</w:t>
      </w:r>
      <w:r>
        <w:rPr>
          <w:rFonts w:hint="eastAsia" w:ascii="仿宋_GB2312" w:hAnsi="仿宋" w:eastAsia="仿宋_GB2312"/>
          <w:sz w:val="30"/>
          <w:szCs w:val="30"/>
          <w:highlight w:val="none"/>
        </w:rPr>
        <w:t>栏</w:t>
      </w:r>
      <w:r>
        <w:rPr>
          <w:rFonts w:ascii="仿宋_GB2312" w:hAnsi="仿宋" w:eastAsia="仿宋_GB2312"/>
          <w:sz w:val="30"/>
          <w:szCs w:val="30"/>
          <w:highlight w:val="none"/>
        </w:rPr>
        <w:t>）</w:t>
      </w:r>
      <w:r>
        <w:rPr>
          <w:rFonts w:hint="eastAsia" w:ascii="仿宋_GB2312" w:hAnsi="仿宋" w:eastAsia="仿宋_GB2312"/>
          <w:sz w:val="30"/>
          <w:szCs w:val="30"/>
          <w:highlight w:val="none"/>
        </w:rPr>
        <w:t>与累计折旧/摊销（9栏</w:t>
      </w:r>
      <w:r>
        <w:rPr>
          <w:rFonts w:ascii="仿宋_GB2312" w:hAnsi="仿宋" w:eastAsia="仿宋_GB2312"/>
          <w:sz w:val="30"/>
          <w:szCs w:val="30"/>
          <w:highlight w:val="none"/>
        </w:rPr>
        <w:t>）</w:t>
      </w:r>
      <w:r>
        <w:rPr>
          <w:rFonts w:hint="eastAsia" w:ascii="仿宋_GB2312" w:hAnsi="仿宋" w:eastAsia="仿宋_GB2312"/>
          <w:sz w:val="30"/>
          <w:szCs w:val="30"/>
          <w:highlight w:val="none"/>
        </w:rPr>
        <w:t>之差；</w:t>
      </w:r>
    </w:p>
    <w:p w14:paraId="46D2DEC9">
      <w:pPr>
        <w:pStyle w:val="6"/>
        <w:numPr>
          <w:ilvl w:val="0"/>
          <w:numId w:val="8"/>
        </w:numPr>
        <w:spacing w:line="360" w:lineRule="auto"/>
        <w:ind w:firstLineChars="0"/>
        <w:rPr>
          <w:rFonts w:hint="eastAsia" w:hAnsi="仿宋"/>
          <w:sz w:val="30"/>
          <w:szCs w:val="30"/>
          <w:highlight w:val="none"/>
        </w:rPr>
      </w:pPr>
      <w:r>
        <w:rPr>
          <w:rFonts w:hint="eastAsia" w:hAnsi="仿宋"/>
          <w:sz w:val="30"/>
          <w:szCs w:val="30"/>
          <w:highlight w:val="none"/>
        </w:rPr>
        <w:t>各</w:t>
      </w:r>
      <w:r>
        <w:rPr>
          <w:rFonts w:hAnsi="仿宋"/>
          <w:sz w:val="30"/>
          <w:szCs w:val="30"/>
          <w:highlight w:val="none"/>
        </w:rPr>
        <w:t>指标大于等于</w:t>
      </w:r>
      <w:r>
        <w:rPr>
          <w:rFonts w:hint="eastAsia" w:hAnsi="仿宋"/>
          <w:sz w:val="30"/>
          <w:szCs w:val="30"/>
          <w:highlight w:val="none"/>
        </w:rPr>
        <w:t>0。</w:t>
      </w:r>
    </w:p>
    <w:p w14:paraId="4C0035AA">
      <w:pPr>
        <w:snapToGrid w:val="0"/>
        <w:spacing w:line="360" w:lineRule="auto"/>
        <w:ind w:firstLine="626" w:firstLineChars="200"/>
        <w:rPr>
          <w:rFonts w:hint="eastAsia" w:ascii="仿宋_GB2312" w:hAnsi="仿宋" w:eastAsia="仿宋_GB2312"/>
          <w:b/>
          <w:spacing w:val="6"/>
          <w:sz w:val="30"/>
          <w:szCs w:val="30"/>
          <w:highlight w:val="none"/>
        </w:rPr>
      </w:pPr>
      <w:r>
        <w:rPr>
          <w:rFonts w:hint="eastAsia" w:ascii="仿宋_GB2312" w:hAnsi="仿宋" w:eastAsia="仿宋_GB2312"/>
          <w:b/>
          <w:spacing w:val="6"/>
          <w:sz w:val="30"/>
          <w:szCs w:val="30"/>
          <w:highlight w:val="none"/>
        </w:rPr>
        <w:t>核实性公式：</w:t>
      </w:r>
    </w:p>
    <w:p w14:paraId="48A18365">
      <w:pPr>
        <w:numPr>
          <w:ilvl w:val="0"/>
          <w:numId w:val="8"/>
        </w:numPr>
        <w:snapToGrid w:val="0"/>
        <w:spacing w:line="360" w:lineRule="auto"/>
        <w:ind w:left="0" w:firstLine="576"/>
        <w:rPr>
          <w:rFonts w:hint="eastAsia" w:ascii="仿宋_GB2312" w:hAnsi="仿宋" w:eastAsia="仿宋_GB2312"/>
          <w:sz w:val="30"/>
          <w:szCs w:val="30"/>
          <w:highlight w:val="none"/>
        </w:rPr>
      </w:pPr>
      <w:r>
        <w:rPr>
          <w:rFonts w:hint="eastAsia" w:ascii="仿宋_GB2312" w:hAnsi="仿宋" w:eastAsia="仿宋_GB2312"/>
          <w:sz w:val="30"/>
          <w:szCs w:val="30"/>
          <w:highlight w:val="none"/>
        </w:rPr>
        <w:t>数量（2、7栏</w:t>
      </w:r>
      <w:r>
        <w:rPr>
          <w:rFonts w:ascii="仿宋_GB2312" w:hAnsi="仿宋" w:eastAsia="仿宋_GB2312"/>
          <w:sz w:val="30"/>
          <w:szCs w:val="30"/>
          <w:highlight w:val="none"/>
        </w:rPr>
        <w:t>）</w:t>
      </w:r>
      <w:r>
        <w:rPr>
          <w:rFonts w:hint="eastAsia" w:ascii="仿宋_GB2312" w:hAnsi="仿宋" w:eastAsia="仿宋_GB2312"/>
          <w:sz w:val="30"/>
          <w:szCs w:val="30"/>
          <w:highlight w:val="none"/>
        </w:rPr>
        <w:t>大于</w:t>
      </w:r>
      <w:r>
        <w:rPr>
          <w:rFonts w:ascii="仿宋_GB2312" w:hAnsi="仿宋" w:eastAsia="仿宋_GB2312"/>
          <w:sz w:val="30"/>
          <w:szCs w:val="30"/>
          <w:highlight w:val="none"/>
        </w:rPr>
        <w:t>0</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则原值（</w:t>
      </w:r>
      <w:r>
        <w:rPr>
          <w:rFonts w:ascii="仿宋_GB2312" w:hAnsi="仿宋" w:eastAsia="仿宋_GB2312"/>
          <w:sz w:val="30"/>
          <w:szCs w:val="30"/>
          <w:highlight w:val="none"/>
        </w:rPr>
        <w:t>3</w:t>
      </w:r>
      <w:r>
        <w:rPr>
          <w:rFonts w:hint="eastAsia" w:ascii="仿宋_GB2312" w:hAnsi="仿宋" w:eastAsia="仿宋_GB2312"/>
          <w:sz w:val="30"/>
          <w:szCs w:val="30"/>
          <w:highlight w:val="none"/>
        </w:rPr>
        <w:t>、</w:t>
      </w:r>
      <w:r>
        <w:rPr>
          <w:rFonts w:ascii="仿宋_GB2312" w:hAnsi="仿宋" w:eastAsia="仿宋_GB2312"/>
          <w:sz w:val="30"/>
          <w:szCs w:val="30"/>
          <w:highlight w:val="none"/>
        </w:rPr>
        <w:t>8</w:t>
      </w:r>
      <w:r>
        <w:rPr>
          <w:rFonts w:hint="eastAsia" w:ascii="仿宋_GB2312" w:hAnsi="仿宋" w:eastAsia="仿宋_GB2312"/>
          <w:sz w:val="30"/>
          <w:szCs w:val="30"/>
          <w:highlight w:val="none"/>
        </w:rPr>
        <w:t>栏</w:t>
      </w:r>
      <w:r>
        <w:rPr>
          <w:rFonts w:ascii="仿宋_GB2312" w:hAnsi="仿宋" w:eastAsia="仿宋_GB2312"/>
          <w:sz w:val="30"/>
          <w:szCs w:val="30"/>
          <w:highlight w:val="none"/>
        </w:rPr>
        <w:t>）</w:t>
      </w:r>
      <w:r>
        <w:rPr>
          <w:rFonts w:hint="eastAsia" w:ascii="仿宋_GB2312" w:hAnsi="仿宋" w:eastAsia="仿宋_GB2312"/>
          <w:sz w:val="30"/>
          <w:szCs w:val="30"/>
          <w:highlight w:val="none"/>
        </w:rPr>
        <w:t>大于</w:t>
      </w:r>
      <w:r>
        <w:rPr>
          <w:rFonts w:ascii="仿宋_GB2312" w:hAnsi="仿宋" w:eastAsia="仿宋_GB2312"/>
          <w:sz w:val="30"/>
          <w:szCs w:val="30"/>
          <w:highlight w:val="none"/>
        </w:rPr>
        <w:t>0</w:t>
      </w:r>
      <w:r>
        <w:rPr>
          <w:rFonts w:hint="eastAsia" w:ascii="仿宋_GB2312" w:hAnsi="仿宋" w:eastAsia="仿宋_GB2312"/>
          <w:sz w:val="30"/>
          <w:szCs w:val="30"/>
          <w:highlight w:val="none"/>
        </w:rPr>
        <w:t>，否则提示核实性错误，需结合实际情况修改或填写情况说明；</w:t>
      </w:r>
    </w:p>
    <w:p w14:paraId="0B369A34">
      <w:pPr>
        <w:numPr>
          <w:ilvl w:val="0"/>
          <w:numId w:val="8"/>
        </w:numPr>
        <w:snapToGrid w:val="0"/>
        <w:spacing w:line="360" w:lineRule="auto"/>
        <w:ind w:left="0" w:firstLine="576"/>
        <w:rPr>
          <w:rFonts w:hint="eastAsia" w:ascii="仿宋_GB2312" w:hAnsi="仿宋" w:eastAsia="仿宋_GB2312"/>
          <w:sz w:val="30"/>
          <w:szCs w:val="30"/>
          <w:highlight w:val="none"/>
        </w:rPr>
      </w:pPr>
      <w:r>
        <w:rPr>
          <w:rFonts w:hint="eastAsia" w:ascii="仿宋_GB2312" w:hAnsi="仿宋" w:eastAsia="仿宋_GB2312"/>
          <w:sz w:val="30"/>
          <w:szCs w:val="30"/>
          <w:highlight w:val="none"/>
        </w:rPr>
        <w:t>原值（</w:t>
      </w:r>
      <w:r>
        <w:rPr>
          <w:rFonts w:ascii="仿宋_GB2312" w:hAnsi="仿宋" w:eastAsia="仿宋_GB2312"/>
          <w:sz w:val="30"/>
          <w:szCs w:val="30"/>
          <w:highlight w:val="none"/>
        </w:rPr>
        <w:t>3</w:t>
      </w:r>
      <w:r>
        <w:rPr>
          <w:rFonts w:hint="eastAsia" w:ascii="仿宋_GB2312" w:hAnsi="仿宋" w:eastAsia="仿宋_GB2312"/>
          <w:sz w:val="30"/>
          <w:szCs w:val="30"/>
          <w:highlight w:val="none"/>
        </w:rPr>
        <w:t>、</w:t>
      </w:r>
      <w:r>
        <w:rPr>
          <w:rFonts w:ascii="仿宋_GB2312" w:hAnsi="仿宋" w:eastAsia="仿宋_GB2312"/>
          <w:sz w:val="30"/>
          <w:szCs w:val="30"/>
          <w:highlight w:val="none"/>
        </w:rPr>
        <w:t>8</w:t>
      </w:r>
      <w:r>
        <w:rPr>
          <w:rFonts w:hint="eastAsia" w:ascii="仿宋_GB2312" w:hAnsi="仿宋" w:eastAsia="仿宋_GB2312"/>
          <w:sz w:val="30"/>
          <w:szCs w:val="30"/>
          <w:highlight w:val="none"/>
        </w:rPr>
        <w:t>栏</w:t>
      </w:r>
      <w:r>
        <w:rPr>
          <w:rFonts w:ascii="仿宋_GB2312" w:hAnsi="仿宋" w:eastAsia="仿宋_GB2312"/>
          <w:sz w:val="30"/>
          <w:szCs w:val="30"/>
          <w:highlight w:val="none"/>
        </w:rPr>
        <w:t>）</w:t>
      </w:r>
      <w:r>
        <w:rPr>
          <w:rFonts w:hint="eastAsia" w:ascii="仿宋_GB2312" w:hAnsi="仿宋" w:eastAsia="仿宋_GB2312"/>
          <w:sz w:val="30"/>
          <w:szCs w:val="30"/>
          <w:highlight w:val="none"/>
        </w:rPr>
        <w:t>大于</w:t>
      </w:r>
      <w:r>
        <w:rPr>
          <w:rFonts w:ascii="仿宋_GB2312" w:hAnsi="仿宋" w:eastAsia="仿宋_GB2312"/>
          <w:sz w:val="30"/>
          <w:szCs w:val="30"/>
          <w:highlight w:val="none"/>
        </w:rPr>
        <w:t>0</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则数量（2、7栏</w:t>
      </w:r>
      <w:r>
        <w:rPr>
          <w:rFonts w:ascii="仿宋_GB2312" w:hAnsi="仿宋" w:eastAsia="仿宋_GB2312"/>
          <w:sz w:val="30"/>
          <w:szCs w:val="30"/>
          <w:highlight w:val="none"/>
        </w:rPr>
        <w:t>）</w:t>
      </w:r>
      <w:r>
        <w:rPr>
          <w:rFonts w:hint="eastAsia" w:ascii="仿宋_GB2312" w:hAnsi="仿宋" w:eastAsia="仿宋_GB2312"/>
          <w:sz w:val="30"/>
          <w:szCs w:val="30"/>
          <w:highlight w:val="none"/>
        </w:rPr>
        <w:t>大于</w:t>
      </w:r>
      <w:r>
        <w:rPr>
          <w:rFonts w:ascii="仿宋_GB2312" w:hAnsi="仿宋" w:eastAsia="仿宋_GB2312"/>
          <w:sz w:val="30"/>
          <w:szCs w:val="30"/>
          <w:highlight w:val="none"/>
        </w:rPr>
        <w:t>0</w:t>
      </w:r>
      <w:r>
        <w:rPr>
          <w:rFonts w:hint="eastAsia" w:ascii="仿宋_GB2312" w:hAnsi="仿宋" w:eastAsia="仿宋_GB2312"/>
          <w:sz w:val="30"/>
          <w:szCs w:val="30"/>
          <w:highlight w:val="none"/>
        </w:rPr>
        <w:t>，否则提示核实性错误，需结合实际情况修改或填写情况说明；</w:t>
      </w:r>
    </w:p>
    <w:p w14:paraId="7B014892">
      <w:pPr>
        <w:numPr>
          <w:ilvl w:val="0"/>
          <w:numId w:val="8"/>
        </w:numPr>
        <w:snapToGrid w:val="0"/>
        <w:spacing w:line="360" w:lineRule="auto"/>
        <w:ind w:left="0" w:firstLine="576"/>
        <w:rPr>
          <w:rFonts w:hint="eastAsia" w:ascii="仿宋_GB2312" w:hAnsi="仿宋_GB2312" w:eastAsia="仿宋_GB2312" w:cs="仿宋_GB2312"/>
          <w:sz w:val="30"/>
          <w:szCs w:val="30"/>
          <w:highlight w:val="none"/>
        </w:rPr>
      </w:pPr>
      <w:r>
        <w:rPr>
          <w:rFonts w:ascii="仿宋_GB2312" w:hAnsi="仿宋" w:eastAsia="仿宋_GB2312"/>
          <w:sz w:val="30"/>
          <w:szCs w:val="30"/>
          <w:highlight w:val="none"/>
        </w:rPr>
        <w:t>（如情况存在，请提供说明）：期初账面数应等于上年财资12-1表期末账面数，否则提示核实性错误，需填写说明</w:t>
      </w:r>
      <w:r>
        <w:rPr>
          <w:rFonts w:hint="eastAsia" w:ascii="仿宋_GB2312" w:hAnsi="仿宋" w:eastAsia="仿宋_GB2312"/>
          <w:sz w:val="30"/>
          <w:szCs w:val="30"/>
          <w:highlight w:val="none"/>
        </w:rPr>
        <w:t>；</w:t>
      </w:r>
    </w:p>
    <w:p w14:paraId="671F2DCD">
      <w:pPr>
        <w:numPr>
          <w:ilvl w:val="0"/>
          <w:numId w:val="8"/>
        </w:numPr>
        <w:snapToGrid w:val="0"/>
        <w:spacing w:line="360" w:lineRule="auto"/>
        <w:ind w:left="0" w:firstLine="576"/>
        <w:rPr>
          <w:rFonts w:hint="eastAsia" w:ascii="仿宋_GB2312" w:hAnsi="仿宋_GB2312" w:eastAsia="仿宋_GB2312" w:cs="仿宋_GB2312"/>
          <w:sz w:val="30"/>
          <w:szCs w:val="30"/>
          <w:highlight w:val="none"/>
        </w:rPr>
      </w:pPr>
      <w:r>
        <w:rPr>
          <w:rFonts w:hint="eastAsia" w:ascii="仿宋_GB2312" w:eastAsia="仿宋_GB2312"/>
          <w:sz w:val="30"/>
          <w:szCs w:val="30"/>
          <w:highlight w:val="none"/>
        </w:rPr>
        <w:t>公路（</w:t>
      </w:r>
      <w:r>
        <w:rPr>
          <w:rFonts w:ascii="仿宋_GB2312" w:eastAsia="仿宋_GB2312"/>
          <w:sz w:val="30"/>
          <w:szCs w:val="30"/>
          <w:highlight w:val="none"/>
        </w:rPr>
        <w:t>2</w:t>
      </w:r>
      <w:r>
        <w:rPr>
          <w:rFonts w:hint="eastAsia" w:ascii="仿宋_GB2312" w:eastAsia="仿宋_GB2312"/>
          <w:sz w:val="30"/>
          <w:szCs w:val="30"/>
          <w:highlight w:val="none"/>
        </w:rPr>
        <w:t>行</w:t>
      </w:r>
      <w:r>
        <w:rPr>
          <w:rFonts w:ascii="仿宋_GB2312" w:hAnsi="仿宋" w:eastAsia="仿宋_GB2312"/>
          <w:sz w:val="30"/>
          <w:szCs w:val="30"/>
          <w:highlight w:val="none"/>
        </w:rPr>
        <w:t>）</w:t>
      </w:r>
      <w:r>
        <w:rPr>
          <w:rFonts w:hint="eastAsia" w:ascii="仿宋_GB2312" w:eastAsia="仿宋_GB2312"/>
          <w:sz w:val="30"/>
          <w:szCs w:val="30"/>
          <w:highlight w:val="none"/>
        </w:rPr>
        <w:t>负有管理维护职责数量（6栏</w:t>
      </w:r>
      <w:r>
        <w:rPr>
          <w:rFonts w:ascii="仿宋_GB2312" w:hAnsi="仿宋" w:eastAsia="仿宋_GB2312"/>
          <w:sz w:val="30"/>
          <w:szCs w:val="30"/>
          <w:highlight w:val="none"/>
        </w:rPr>
        <w:t>）</w:t>
      </w:r>
      <w:r>
        <w:rPr>
          <w:rFonts w:hint="eastAsia" w:ascii="仿宋_GB2312" w:eastAsia="仿宋_GB2312"/>
          <w:sz w:val="30"/>
          <w:szCs w:val="30"/>
          <w:highlight w:val="none"/>
        </w:rPr>
        <w:t>应小于等于</w:t>
      </w:r>
      <w:r>
        <w:rPr>
          <w:rFonts w:ascii="仿宋_GB2312" w:eastAsia="仿宋_GB2312"/>
          <w:sz w:val="30"/>
          <w:szCs w:val="30"/>
          <w:highlight w:val="none"/>
        </w:rPr>
        <w:t>100</w:t>
      </w:r>
      <w:r>
        <w:rPr>
          <w:rFonts w:hint="eastAsia" w:ascii="仿宋_GB2312" w:eastAsia="仿宋_GB2312"/>
          <w:sz w:val="30"/>
          <w:szCs w:val="30"/>
          <w:highlight w:val="none"/>
        </w:rPr>
        <w:t>000，否则</w:t>
      </w:r>
      <w:r>
        <w:rPr>
          <w:rFonts w:hint="eastAsia" w:ascii="仿宋_GB2312" w:hAnsi="仿宋_GB2312" w:eastAsia="仿宋_GB2312" w:cs="仿宋_GB2312"/>
          <w:sz w:val="30"/>
          <w:szCs w:val="30"/>
          <w:highlight w:val="none"/>
        </w:rPr>
        <w:t>提示核实性错误，需结合实际情况修改或填写情况说明；</w:t>
      </w:r>
    </w:p>
    <w:p w14:paraId="46AC0311">
      <w:pPr>
        <w:numPr>
          <w:ilvl w:val="0"/>
          <w:numId w:val="5"/>
        </w:numPr>
        <w:spacing w:line="360" w:lineRule="auto"/>
        <w:ind w:firstLine="600" w:firstLineChars="200"/>
        <w:rPr>
          <w:rFonts w:ascii="仿宋_GB2312" w:eastAsia="仿宋_GB2312"/>
          <w:sz w:val="30"/>
          <w:szCs w:val="30"/>
          <w:highlight w:val="none"/>
        </w:rPr>
      </w:pPr>
      <w:r>
        <w:rPr>
          <w:rFonts w:hint="eastAsia" w:ascii="仿宋_GB2312" w:eastAsia="仿宋_GB2312"/>
          <w:sz w:val="30"/>
          <w:szCs w:val="30"/>
          <w:highlight w:val="none"/>
        </w:rPr>
        <w:t>村道（</w:t>
      </w:r>
      <w:r>
        <w:rPr>
          <w:rFonts w:ascii="仿宋_GB2312" w:eastAsia="仿宋_GB2312"/>
          <w:sz w:val="30"/>
          <w:szCs w:val="30"/>
          <w:highlight w:val="none"/>
        </w:rPr>
        <w:t>8</w:t>
      </w:r>
      <w:r>
        <w:rPr>
          <w:rFonts w:hint="eastAsia" w:ascii="仿宋_GB2312" w:eastAsia="仿宋_GB2312"/>
          <w:sz w:val="30"/>
          <w:szCs w:val="30"/>
          <w:highlight w:val="none"/>
        </w:rPr>
        <w:t>行</w:t>
      </w:r>
      <w:r>
        <w:rPr>
          <w:rFonts w:ascii="仿宋_GB2312" w:hAnsi="仿宋" w:eastAsia="仿宋_GB2312"/>
          <w:sz w:val="30"/>
          <w:szCs w:val="30"/>
          <w:highlight w:val="none"/>
        </w:rPr>
        <w:t>）</w:t>
      </w:r>
      <w:r>
        <w:rPr>
          <w:rFonts w:hint="eastAsia" w:ascii="仿宋_GB2312" w:eastAsia="仿宋_GB2312"/>
          <w:sz w:val="30"/>
          <w:szCs w:val="30"/>
          <w:highlight w:val="none"/>
        </w:rPr>
        <w:t>负有管理维护职责数量（6栏</w:t>
      </w:r>
      <w:r>
        <w:rPr>
          <w:rFonts w:ascii="仿宋_GB2312" w:hAnsi="仿宋" w:eastAsia="仿宋_GB2312"/>
          <w:sz w:val="30"/>
          <w:szCs w:val="30"/>
          <w:highlight w:val="none"/>
        </w:rPr>
        <w:t>）</w:t>
      </w:r>
      <w:r>
        <w:rPr>
          <w:rFonts w:hint="eastAsia" w:ascii="仿宋_GB2312" w:eastAsia="仿宋_GB2312"/>
          <w:sz w:val="30"/>
          <w:szCs w:val="30"/>
          <w:highlight w:val="none"/>
        </w:rPr>
        <w:t>应小于等于2</w:t>
      </w:r>
      <w:r>
        <w:rPr>
          <w:rFonts w:ascii="仿宋_GB2312" w:eastAsia="仿宋_GB2312"/>
          <w:sz w:val="30"/>
          <w:szCs w:val="30"/>
          <w:highlight w:val="none"/>
        </w:rPr>
        <w:t>0</w:t>
      </w:r>
      <w:r>
        <w:rPr>
          <w:rFonts w:hint="eastAsia" w:ascii="仿宋_GB2312" w:eastAsia="仿宋_GB2312"/>
          <w:sz w:val="30"/>
          <w:szCs w:val="30"/>
          <w:highlight w:val="none"/>
        </w:rPr>
        <w:t>000，否则提示核实性错误，需结合实际情况修改或填写情况说明；</w:t>
      </w:r>
    </w:p>
    <w:p w14:paraId="2908C249">
      <w:pPr>
        <w:numPr>
          <w:ilvl w:val="0"/>
          <w:numId w:val="9"/>
        </w:numPr>
        <w:adjustRightInd w:val="0"/>
        <w:snapToGrid w:val="0"/>
        <w:spacing w:line="360" w:lineRule="auto"/>
        <w:ind w:left="0" w:firstLine="600" w:firstLineChars="200"/>
        <w:rPr>
          <w:rFonts w:ascii="仿宋_GB2312" w:eastAsia="仿宋_GB2312"/>
          <w:sz w:val="30"/>
          <w:szCs w:val="30"/>
          <w:highlight w:val="none"/>
        </w:rPr>
      </w:pPr>
      <w:r>
        <w:rPr>
          <w:rFonts w:hint="eastAsia" w:ascii="仿宋_GB2312" w:eastAsia="仿宋_GB2312"/>
          <w:sz w:val="30"/>
          <w:szCs w:val="30"/>
          <w:highlight w:val="none"/>
        </w:rPr>
        <w:t>公路（</w:t>
      </w:r>
      <w:r>
        <w:rPr>
          <w:rFonts w:ascii="仿宋_GB2312" w:eastAsia="仿宋_GB2312"/>
          <w:sz w:val="30"/>
          <w:szCs w:val="30"/>
          <w:highlight w:val="none"/>
        </w:rPr>
        <w:t>2</w:t>
      </w:r>
      <w:r>
        <w:rPr>
          <w:rFonts w:hint="eastAsia" w:ascii="仿宋_GB2312" w:eastAsia="仿宋_GB2312"/>
          <w:sz w:val="30"/>
          <w:szCs w:val="30"/>
          <w:highlight w:val="none"/>
        </w:rPr>
        <w:t>行</w:t>
      </w:r>
      <w:r>
        <w:rPr>
          <w:rFonts w:ascii="仿宋_GB2312" w:hAnsi="仿宋" w:eastAsia="仿宋_GB2312"/>
          <w:sz w:val="30"/>
          <w:szCs w:val="30"/>
          <w:highlight w:val="none"/>
        </w:rPr>
        <w:t>）</w:t>
      </w:r>
      <w:r>
        <w:rPr>
          <w:rFonts w:hint="eastAsia" w:ascii="仿宋_GB2312" w:hAnsi="仿宋" w:eastAsia="仿宋_GB2312"/>
          <w:sz w:val="30"/>
          <w:szCs w:val="30"/>
          <w:highlight w:val="none"/>
        </w:rPr>
        <w:t>净值</w:t>
      </w:r>
      <w:r>
        <w:rPr>
          <w:rFonts w:hint="eastAsia" w:ascii="仿宋_GB2312" w:eastAsia="仿宋_GB2312"/>
          <w:sz w:val="30"/>
          <w:szCs w:val="30"/>
          <w:highlight w:val="none"/>
        </w:rPr>
        <w:t>（</w:t>
      </w:r>
      <w:r>
        <w:rPr>
          <w:rFonts w:ascii="仿宋_GB2312" w:eastAsia="仿宋_GB2312"/>
          <w:sz w:val="30"/>
          <w:szCs w:val="30"/>
          <w:highlight w:val="none"/>
        </w:rPr>
        <w:t>10</w:t>
      </w:r>
      <w:r>
        <w:rPr>
          <w:rFonts w:hint="eastAsia" w:ascii="仿宋_GB2312" w:eastAsia="仿宋_GB2312"/>
          <w:sz w:val="30"/>
          <w:szCs w:val="30"/>
          <w:highlight w:val="none"/>
        </w:rPr>
        <w:t>栏</w:t>
      </w:r>
      <w:r>
        <w:rPr>
          <w:rFonts w:ascii="仿宋_GB2312" w:hAnsi="仿宋" w:eastAsia="仿宋_GB2312"/>
          <w:sz w:val="30"/>
          <w:szCs w:val="30"/>
          <w:highlight w:val="none"/>
        </w:rPr>
        <w:t>）</w:t>
      </w:r>
      <w:r>
        <w:rPr>
          <w:rFonts w:hint="eastAsia" w:ascii="仿宋_GB2312" w:eastAsia="仿宋_GB2312"/>
          <w:sz w:val="30"/>
          <w:szCs w:val="30"/>
          <w:highlight w:val="none"/>
        </w:rPr>
        <w:t>应小于等于</w:t>
      </w:r>
      <w:r>
        <w:rPr>
          <w:rFonts w:ascii="仿宋_GB2312" w:eastAsia="仿宋_GB2312"/>
          <w:sz w:val="30"/>
          <w:szCs w:val="30"/>
          <w:highlight w:val="none"/>
        </w:rPr>
        <w:t>2</w:t>
      </w:r>
      <w:r>
        <w:rPr>
          <w:rFonts w:hint="eastAsia" w:ascii="仿宋_GB2312" w:eastAsia="仿宋_GB2312"/>
          <w:sz w:val="30"/>
          <w:szCs w:val="30"/>
          <w:highlight w:val="none"/>
        </w:rPr>
        <w:t>0000</w:t>
      </w:r>
      <w:r>
        <w:rPr>
          <w:rFonts w:ascii="仿宋_GB2312" w:eastAsia="仿宋_GB2312"/>
          <w:sz w:val="30"/>
          <w:szCs w:val="30"/>
          <w:highlight w:val="none"/>
        </w:rPr>
        <w:t>0000000</w:t>
      </w:r>
      <w:r>
        <w:rPr>
          <w:rFonts w:hint="eastAsia" w:ascii="仿宋_GB2312" w:eastAsia="仿宋_GB2312"/>
          <w:sz w:val="30"/>
          <w:szCs w:val="30"/>
          <w:highlight w:val="none"/>
        </w:rPr>
        <w:t>，否则提示核实性错误，需结合实际情况修改或填写情况说明；</w:t>
      </w:r>
    </w:p>
    <w:p w14:paraId="004C0678">
      <w:pPr>
        <w:numPr>
          <w:ilvl w:val="0"/>
          <w:numId w:val="10"/>
        </w:numPr>
        <w:snapToGrid w:val="0"/>
        <w:spacing w:line="360" w:lineRule="auto"/>
        <w:ind w:left="0" w:firstLine="600" w:firstLineChars="200"/>
        <w:rPr>
          <w:rFonts w:hint="eastAsia"/>
          <w:highlight w:val="none"/>
        </w:rPr>
      </w:pPr>
      <w:r>
        <w:rPr>
          <w:rFonts w:hint="eastAsia" w:ascii="仿宋_GB2312" w:eastAsia="仿宋_GB2312"/>
          <w:sz w:val="30"/>
          <w:szCs w:val="30"/>
          <w:highlight w:val="none"/>
        </w:rPr>
        <w:t>汽车客运站（19行）</w:t>
      </w:r>
      <w:r>
        <w:rPr>
          <w:rFonts w:hint="eastAsia" w:ascii="仿宋_GB2312" w:eastAsia="仿宋_GB2312"/>
          <w:sz w:val="30"/>
          <w:szCs w:val="30"/>
          <w:highlight w:val="none"/>
          <w:lang w:eastAsia="zh-CN"/>
        </w:rPr>
        <w:t>负有管理维护职责（</w:t>
      </w:r>
      <w:r>
        <w:rPr>
          <w:rFonts w:hint="eastAsia" w:ascii="仿宋_GB2312" w:eastAsia="仿宋_GB2312"/>
          <w:sz w:val="30"/>
          <w:szCs w:val="30"/>
          <w:highlight w:val="none"/>
          <w:lang w:val="en-US" w:eastAsia="zh-CN"/>
        </w:rPr>
        <w:t>期末数</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应小于等于80，否则提示核实性错误，需结合实际情况修改或填写情况说明。</w:t>
      </w:r>
    </w:p>
    <w:p w14:paraId="40377C17">
      <w:pPr>
        <w:pStyle w:val="2"/>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（十四）公共基础设施</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水利基础设施情况表（财资1</w:t>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表）</w:t>
      </w:r>
    </w:p>
    <w:p w14:paraId="28367513">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根据《财政部 水利部关于进一步加强水利基础设施政府会计核算的通知》的相关规定，本表所反映的水利基础设施，是指行政事业单位为满足社会公共防洪（潮）、治涝、供水、灌溉、发电等方面需求而控制的，持续提供公共服务的水利工程全部或部分有形资产。本表账面数从水利基础设施卡片</w:t>
      </w:r>
      <w:r>
        <w:rPr>
          <w:rFonts w:ascii="仿宋_GB2312" w:hAnsi="仿宋" w:eastAsia="仿宋_GB2312"/>
          <w:sz w:val="30"/>
          <w:szCs w:val="30"/>
          <w:highlight w:val="none"/>
        </w:rPr>
        <w:t>自动提取，允许手</w:t>
      </w:r>
      <w:r>
        <w:rPr>
          <w:rFonts w:hint="eastAsia" w:ascii="仿宋_GB2312" w:hAnsi="仿宋" w:eastAsia="仿宋_GB2312"/>
          <w:sz w:val="30"/>
          <w:szCs w:val="30"/>
          <w:highlight w:val="none"/>
        </w:rPr>
        <w:t>动</w:t>
      </w:r>
      <w:r>
        <w:rPr>
          <w:rFonts w:ascii="仿宋_GB2312" w:hAnsi="仿宋" w:eastAsia="仿宋_GB2312"/>
          <w:sz w:val="30"/>
          <w:szCs w:val="30"/>
          <w:highlight w:val="none"/>
        </w:rPr>
        <w:t>修改</w:t>
      </w:r>
      <w:r>
        <w:rPr>
          <w:rFonts w:hint="eastAsia" w:ascii="仿宋_GB2312" w:hAnsi="仿宋" w:eastAsia="仿宋_GB2312"/>
          <w:sz w:val="30"/>
          <w:szCs w:val="30"/>
          <w:highlight w:val="none"/>
        </w:rPr>
        <w:t>。“负有管理维护职责数量”指标应按照《政府会计准则5号——公共基础设施》相关规定，填写填报单位应当予以确认的资产数量。</w:t>
      </w:r>
    </w:p>
    <w:p w14:paraId="1E9A3307">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以下不属于水利公共基础设施范畴：</w:t>
      </w:r>
    </w:p>
    <w:p w14:paraId="4D7862B3">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（1）独立于水利基础设施、不构成水利基础设施使用不可缺少组成部分的管理用房屋建筑物、设备、车辆和船只等。</w:t>
      </w:r>
    </w:p>
    <w:p w14:paraId="2A706420">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（2）不再提供公共服务的水利工程。</w:t>
      </w:r>
    </w:p>
    <w:p w14:paraId="71F4ED89">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（3）为改善水利工程周边环境，提升景观效果而控制的水景观及绿化工程。</w:t>
      </w:r>
    </w:p>
    <w:p w14:paraId="1AF95888">
      <w:pPr>
        <w:adjustRightInd w:val="0"/>
        <w:snapToGrid w:val="0"/>
        <w:spacing w:line="360" w:lineRule="auto"/>
        <w:ind w:firstLine="602" w:firstLineChars="200"/>
        <w:rPr>
          <w:rFonts w:hint="eastAsia" w:ascii="仿宋_GB2312" w:hAnsi="仿宋" w:eastAsia="仿宋_GB2312"/>
          <w:b/>
          <w:bCs/>
          <w:sz w:val="30"/>
          <w:szCs w:val="30"/>
          <w:highlight w:val="none"/>
        </w:rPr>
      </w:pPr>
      <w:r>
        <w:rPr>
          <w:rFonts w:hint="eastAsia" w:ascii="仿宋_GB2312" w:hAnsi="仿宋" w:eastAsia="仿宋_GB2312"/>
          <w:b/>
          <w:bCs/>
          <w:sz w:val="30"/>
          <w:szCs w:val="30"/>
          <w:highlight w:val="none"/>
        </w:rPr>
        <w:t>主要指标说明：</w:t>
      </w:r>
    </w:p>
    <w:p w14:paraId="5D302181">
      <w:pPr>
        <w:adjustRightInd w:val="0"/>
        <w:snapToGrid w:val="0"/>
        <w:spacing w:line="360" w:lineRule="auto"/>
        <w:ind w:firstLine="600" w:firstLineChars="200"/>
        <w:rPr>
          <w:rFonts w:hint="eastAsia" w:ascii="仿宋_GB2312" w:hAnsi="仿宋" w:eastAsia="仿宋_GB2312"/>
          <w:sz w:val="30"/>
          <w:szCs w:val="30"/>
          <w:highlight w:val="none"/>
        </w:rPr>
      </w:pPr>
      <w:r>
        <w:rPr>
          <w:rFonts w:ascii="仿宋_GB2312" w:hAnsi="仿宋" w:eastAsia="仿宋_GB2312"/>
          <w:sz w:val="30"/>
          <w:szCs w:val="30"/>
          <w:highlight w:val="none"/>
        </w:rPr>
        <w:t>1.</w:t>
      </w:r>
      <w:r>
        <w:rPr>
          <w:rFonts w:hint="eastAsia" w:ascii="仿宋_GB2312" w:hAnsi="仿宋" w:eastAsia="仿宋_GB2312"/>
          <w:sz w:val="30"/>
          <w:szCs w:val="30"/>
          <w:highlight w:val="none"/>
        </w:rPr>
        <w:t>防洪（潮）及治涝工程：</w:t>
      </w:r>
    </w:p>
    <w:p w14:paraId="2F2738A9">
      <w:pPr>
        <w:pStyle w:val="35"/>
        <w:adjustRightInd w:val="0"/>
        <w:snapToGrid w:val="0"/>
        <w:spacing w:line="360" w:lineRule="auto"/>
        <w:ind w:firstLine="600"/>
        <w:rPr>
          <w:rFonts w:hint="eastAsia" w:ascii="仿宋_GB2312" w:hAnsi="仿宋" w:eastAsia="仿宋_GB2312"/>
          <w:sz w:val="30"/>
          <w:szCs w:val="30"/>
          <w:highlight w:val="none"/>
        </w:rPr>
      </w:pPr>
      <w:r>
        <w:rPr>
          <w:rFonts w:hint="eastAsia" w:ascii="仿宋_GB2312" w:hAnsi="宋体" w:eastAsia="仿宋_GB2312"/>
          <w:bCs/>
          <w:sz w:val="30"/>
          <w:szCs w:val="32"/>
          <w:highlight w:val="none"/>
        </w:rPr>
        <w:t>（1）</w:t>
      </w:r>
      <w:r>
        <w:rPr>
          <w:rFonts w:hint="eastAsia" w:ascii="仿宋_GB2312" w:hAnsi="仿宋" w:eastAsia="仿宋_GB2312"/>
          <w:sz w:val="30"/>
          <w:szCs w:val="30"/>
          <w:highlight w:val="none"/>
        </w:rPr>
        <w:t>防洪（潮）工程指为控制或抗御洪水以减免洪灾损失而修建的各种工程。包括堤防、险工工程、控导工程、水闸、泵站等，不含防洪水库。</w:t>
      </w:r>
    </w:p>
    <w:p w14:paraId="039D307F">
      <w:pPr>
        <w:pStyle w:val="35"/>
        <w:adjustRightInd w:val="0"/>
        <w:snapToGrid w:val="0"/>
        <w:spacing w:line="360" w:lineRule="auto"/>
        <w:ind w:firstLine="600"/>
        <w:rPr>
          <w:rFonts w:hint="eastAsia" w:ascii="仿宋_GB2312" w:hAnsi="仿宋" w:eastAsia="仿宋_GB2312"/>
          <w:sz w:val="30"/>
          <w:szCs w:val="30"/>
          <w:highlight w:val="none"/>
        </w:rPr>
      </w:pPr>
      <w:r>
        <w:rPr>
          <w:rFonts w:hint="eastAsia" w:ascii="仿宋_GB2312" w:hAnsi="宋体" w:eastAsia="仿宋_GB2312"/>
          <w:bCs/>
          <w:sz w:val="30"/>
          <w:szCs w:val="32"/>
          <w:highlight w:val="none"/>
        </w:rPr>
        <w:t>（2）</w:t>
      </w:r>
      <w:r>
        <w:rPr>
          <w:rFonts w:hint="eastAsia" w:ascii="仿宋_GB2312" w:hAnsi="仿宋" w:eastAsia="仿宋_GB2312"/>
          <w:sz w:val="30"/>
          <w:szCs w:val="30"/>
          <w:highlight w:val="none"/>
        </w:rPr>
        <w:t>治涝工程指为了排除涝区内多余降水，防治涝灾发生而修建的各种工程，包括堤防、险工工程、水闸、泵站、渠（管、隧）道等。</w:t>
      </w:r>
    </w:p>
    <w:p w14:paraId="06FC45AC">
      <w:pPr>
        <w:adjustRightInd w:val="0"/>
        <w:snapToGrid w:val="0"/>
        <w:spacing w:line="360" w:lineRule="auto"/>
        <w:ind w:firstLine="600" w:firstLineChars="200"/>
        <w:rPr>
          <w:rFonts w:hint="eastAsia" w:ascii="仿宋_GB2312" w:hAnsi="仿宋" w:eastAsia="仿宋_GB2312"/>
          <w:sz w:val="30"/>
          <w:szCs w:val="30"/>
          <w:highlight w:val="none"/>
        </w:rPr>
      </w:pPr>
      <w:r>
        <w:rPr>
          <w:rFonts w:ascii="仿宋_GB2312" w:hAnsi="仿宋" w:eastAsia="仿宋_GB2312"/>
          <w:sz w:val="30"/>
          <w:szCs w:val="30"/>
          <w:highlight w:val="none"/>
        </w:rPr>
        <w:t>2</w:t>
      </w:r>
      <w:r>
        <w:rPr>
          <w:rFonts w:hint="eastAsia" w:ascii="仿宋_GB2312" w:hAnsi="仿宋" w:eastAsia="仿宋_GB2312"/>
          <w:sz w:val="30"/>
          <w:szCs w:val="30"/>
          <w:highlight w:val="none"/>
        </w:rPr>
        <w:t>．灌溉及农村供水工程：</w:t>
      </w:r>
    </w:p>
    <w:p w14:paraId="5CD39110">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宋体" w:eastAsia="仿宋_GB2312"/>
          <w:bCs/>
          <w:sz w:val="30"/>
          <w:szCs w:val="32"/>
          <w:highlight w:val="none"/>
        </w:rPr>
        <w:t>（1）</w:t>
      </w:r>
      <w:r>
        <w:rPr>
          <w:rFonts w:hint="eastAsia" w:ascii="仿宋_GB2312" w:hAnsi="仿宋" w:eastAsia="仿宋_GB2312"/>
          <w:sz w:val="30"/>
          <w:szCs w:val="30"/>
          <w:highlight w:val="none"/>
        </w:rPr>
        <w:t>灌溉工程</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指从水源取水并输送、分配到田间的整体灌溉设施。包括渠首枢纽、渠（管、隧）道、泵站、水闸、其他渠系建筑物（渡槽、倒虹吸、陡坡、跌水等）、调蓄水库（总库容≥10万m</w:t>
      </w:r>
      <w:r>
        <w:rPr>
          <w:rFonts w:hint="eastAsia" w:ascii="仿宋_GB2312" w:hAnsi="仿宋" w:eastAsia="仿宋_GB2312"/>
          <w:sz w:val="30"/>
          <w:szCs w:val="30"/>
          <w:highlight w:val="none"/>
          <w:vertAlign w:val="superscript"/>
        </w:rPr>
        <w:t>3</w:t>
      </w:r>
      <w:r>
        <w:rPr>
          <w:rFonts w:hint="eastAsia" w:ascii="仿宋_GB2312" w:hAnsi="仿宋" w:eastAsia="仿宋_GB2312"/>
          <w:sz w:val="30"/>
          <w:szCs w:val="30"/>
          <w:highlight w:val="none"/>
        </w:rPr>
        <w:t>）、塘坝等组成。本表灌溉工程第二级分类中的调蓄水库为在灌区中发挥水量调蓄作用的水库工程，总库容应大于或等于10万立方米，对于小于10万立方米的列为塘坝。</w:t>
      </w:r>
    </w:p>
    <w:p w14:paraId="19E9F819">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宋体" w:eastAsia="仿宋_GB2312"/>
          <w:bCs/>
          <w:sz w:val="30"/>
          <w:szCs w:val="32"/>
          <w:highlight w:val="none"/>
        </w:rPr>
        <w:t>（2）</w:t>
      </w:r>
      <w:r>
        <w:rPr>
          <w:rFonts w:hint="eastAsia" w:ascii="仿宋_GB2312" w:hAnsi="仿宋" w:eastAsia="仿宋_GB2312"/>
          <w:sz w:val="30"/>
          <w:szCs w:val="30"/>
          <w:highlight w:val="none"/>
        </w:rPr>
        <w:t>农村供水工程：指向农村的乡镇、村庄等居民点和分散农户供给生活和生产等用水，以满足村镇居民、企事业单位日常用水需要为主的集中式供水工程，包括渠（管、隧）道、泵站、塘坝、地下取水设施等。</w:t>
      </w:r>
    </w:p>
    <w:p w14:paraId="235F91DE">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3.引调水工程</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指为满足供水、灌溉、生态需水要求，兴建的跨水系、跨区域的水资源配置工程，包括渠首枢纽、渠（管、隧）道、泵站、水闸、其他渠系建筑物、调蓄水库（总库容≥10万m3）、地下取水设施等。引调水工程第二级分类中的调蓄水库为在引调水工程中发挥水量调蓄作用的水库工程，总库容应大于或等于10万立方米。</w:t>
      </w:r>
    </w:p>
    <w:p w14:paraId="2A1AC5F0">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4.水力发电工程：指为开发利用水能资源，将水能转换为电能而修建的工程建筑物和机械、电气设备以及金属结构的综合体，包括常规水电站、抽水蓄能电站等。</w:t>
      </w:r>
    </w:p>
    <w:p w14:paraId="7957CFAF">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5.水土保持工程：指为防治水土流失，保护、改良与合理利用水土资源，改善生态环境所采取的工程措施。本表水土保持工程，主要为沟壑治理工程，包括沟头防护、淤地坝、谷坊坝等。</w:t>
      </w:r>
    </w:p>
    <w:p w14:paraId="16FDF019">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6.水库工程：指在河道、山谷或低洼地带修建挡水坝或堤堰形成的具有拦洪蓄水和调节水流功能的水利工程，总库容应大于或等于10万立方米，包括山区水库、平原水库等，不包括灌溉工程、引调水工程中的调蓄水库。</w:t>
      </w:r>
    </w:p>
    <w:p w14:paraId="4A062CFD">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7.水文基础设施：指为满足水文生产所必</w:t>
      </w:r>
      <w:r>
        <w:rPr>
          <w:rFonts w:hint="eastAsia" w:ascii="仿宋_GB2312" w:hAnsi="仿宋" w:eastAsia="仿宋_GB2312"/>
          <w:sz w:val="30"/>
          <w:szCs w:val="30"/>
          <w:highlight w:val="none"/>
          <w:lang w:val="en-US" w:eastAsia="zh-CN"/>
        </w:rPr>
        <w:t>需</w:t>
      </w:r>
      <w:r>
        <w:rPr>
          <w:rFonts w:hint="eastAsia" w:ascii="仿宋_GB2312" w:hAnsi="仿宋" w:eastAsia="仿宋_GB2312"/>
          <w:sz w:val="30"/>
          <w:szCs w:val="30"/>
          <w:highlight w:val="none"/>
        </w:rPr>
        <w:t>建设的设施。包括水文站、水位站、雨量站、其他水文测站（蒸发站、墒情站等）等。</w:t>
      </w:r>
    </w:p>
    <w:p w14:paraId="79AFBB0A">
      <w:pPr>
        <w:pStyle w:val="6"/>
        <w:spacing w:line="360" w:lineRule="auto"/>
        <w:ind w:firstLine="612"/>
        <w:rPr>
          <w:rFonts w:hint="eastAsia" w:hAnsi="仿宋"/>
          <w:b/>
          <w:sz w:val="30"/>
          <w:szCs w:val="30"/>
          <w:highlight w:val="none"/>
        </w:rPr>
      </w:pPr>
      <w:r>
        <w:rPr>
          <w:rFonts w:hint="eastAsia" w:hAnsi="仿宋"/>
          <w:b/>
          <w:sz w:val="30"/>
          <w:szCs w:val="30"/>
          <w:highlight w:val="none"/>
        </w:rPr>
        <w:t>逻辑性审核公式：</w:t>
      </w:r>
    </w:p>
    <w:p w14:paraId="725C26E1">
      <w:pPr>
        <w:pStyle w:val="6"/>
        <w:spacing w:line="360" w:lineRule="auto"/>
        <w:ind w:firstLine="612"/>
        <w:rPr>
          <w:rFonts w:hint="eastAsia" w:hAnsi="仿宋"/>
          <w:b/>
          <w:sz w:val="30"/>
          <w:szCs w:val="30"/>
          <w:highlight w:val="none"/>
        </w:rPr>
      </w:pPr>
      <w:r>
        <w:rPr>
          <w:rFonts w:hint="eastAsia" w:hAnsi="仿宋"/>
          <w:b/>
          <w:sz w:val="30"/>
          <w:szCs w:val="30"/>
          <w:highlight w:val="none"/>
        </w:rPr>
        <w:t>表内公式：</w:t>
      </w:r>
    </w:p>
    <w:p w14:paraId="6A0D2745">
      <w:pPr>
        <w:pStyle w:val="6"/>
        <w:numPr>
          <w:ilvl w:val="0"/>
          <w:numId w:val="5"/>
        </w:numPr>
        <w:spacing w:line="360" w:lineRule="auto"/>
        <w:ind w:firstLineChars="0"/>
        <w:rPr>
          <w:rFonts w:hint="eastAsia" w:hAnsi="仿宋"/>
          <w:sz w:val="30"/>
          <w:szCs w:val="30"/>
          <w:highlight w:val="none"/>
        </w:rPr>
      </w:pPr>
      <w:r>
        <w:rPr>
          <w:rFonts w:hint="eastAsia" w:hAnsi="仿宋"/>
          <w:sz w:val="30"/>
          <w:szCs w:val="30"/>
          <w:highlight w:val="none"/>
        </w:rPr>
        <w:t>合计</w:t>
      </w:r>
      <w:r>
        <w:rPr>
          <w:rFonts w:hAnsi="仿宋"/>
          <w:sz w:val="30"/>
          <w:szCs w:val="30"/>
          <w:highlight w:val="none"/>
        </w:rPr>
        <w:t>（1</w:t>
      </w:r>
      <w:r>
        <w:rPr>
          <w:rFonts w:hint="eastAsia" w:hAnsi="仿宋"/>
          <w:sz w:val="30"/>
          <w:szCs w:val="30"/>
          <w:highlight w:val="none"/>
        </w:rPr>
        <w:t>行</w:t>
      </w:r>
      <w:r>
        <w:rPr>
          <w:rFonts w:hAnsi="仿宋"/>
          <w:sz w:val="30"/>
          <w:szCs w:val="30"/>
          <w:highlight w:val="none"/>
        </w:rPr>
        <w:t>）等于</w:t>
      </w:r>
      <w:r>
        <w:rPr>
          <w:rFonts w:hint="eastAsia" w:hAnsi="仿宋"/>
          <w:sz w:val="30"/>
          <w:szCs w:val="30"/>
          <w:highlight w:val="none"/>
        </w:rPr>
        <w:t>防洪（潮）及治涝工程</w:t>
      </w:r>
      <w:r>
        <w:rPr>
          <w:rFonts w:hAnsi="仿宋"/>
          <w:sz w:val="30"/>
          <w:szCs w:val="30"/>
          <w:highlight w:val="none"/>
        </w:rPr>
        <w:t>（2行）、</w:t>
      </w:r>
      <w:r>
        <w:rPr>
          <w:rFonts w:hint="eastAsia" w:hAnsi="仿宋"/>
          <w:sz w:val="30"/>
          <w:szCs w:val="30"/>
          <w:highlight w:val="none"/>
        </w:rPr>
        <w:t>灌溉及农村供水工程（</w:t>
      </w:r>
      <w:r>
        <w:rPr>
          <w:rFonts w:hAnsi="仿宋"/>
          <w:sz w:val="30"/>
          <w:szCs w:val="30"/>
          <w:highlight w:val="none"/>
        </w:rPr>
        <w:t>9行）、</w:t>
      </w:r>
      <w:r>
        <w:rPr>
          <w:rFonts w:hint="eastAsia" w:hAnsi="仿宋"/>
          <w:sz w:val="30"/>
          <w:szCs w:val="30"/>
          <w:highlight w:val="none"/>
        </w:rPr>
        <w:t>引调水工程（</w:t>
      </w:r>
      <w:r>
        <w:rPr>
          <w:rFonts w:hAnsi="仿宋"/>
          <w:sz w:val="30"/>
          <w:szCs w:val="30"/>
          <w:highlight w:val="none"/>
        </w:rPr>
        <w:t>18行）、水力发电工程（26行）、</w:t>
      </w:r>
      <w:r>
        <w:rPr>
          <w:rFonts w:hint="eastAsia" w:hAnsi="仿宋"/>
          <w:sz w:val="30"/>
          <w:szCs w:val="30"/>
          <w:highlight w:val="none"/>
        </w:rPr>
        <w:t>水土保持工程（</w:t>
      </w:r>
      <w:r>
        <w:rPr>
          <w:rFonts w:hAnsi="仿宋"/>
          <w:sz w:val="30"/>
          <w:szCs w:val="30"/>
          <w:highlight w:val="none"/>
        </w:rPr>
        <w:t>29行）、水库工程（30行）、水文基础设施（33行）</w:t>
      </w:r>
      <w:r>
        <w:rPr>
          <w:rFonts w:hint="eastAsia" w:hAnsi="仿宋"/>
          <w:sz w:val="30"/>
          <w:szCs w:val="30"/>
          <w:highlight w:val="none"/>
        </w:rPr>
        <w:t>各项之和</w:t>
      </w:r>
      <w:r>
        <w:rPr>
          <w:rFonts w:hAnsi="仿宋"/>
          <w:sz w:val="30"/>
          <w:szCs w:val="30"/>
          <w:highlight w:val="none"/>
        </w:rPr>
        <w:t>；</w:t>
      </w:r>
    </w:p>
    <w:p w14:paraId="5A809FB7">
      <w:pPr>
        <w:pStyle w:val="6"/>
        <w:numPr>
          <w:ilvl w:val="0"/>
          <w:numId w:val="5"/>
        </w:numPr>
        <w:spacing w:line="360" w:lineRule="auto"/>
        <w:ind w:firstLineChars="0"/>
        <w:rPr>
          <w:rFonts w:hint="eastAsia" w:hAnsi="仿宋"/>
          <w:sz w:val="30"/>
          <w:szCs w:val="30"/>
          <w:highlight w:val="none"/>
        </w:rPr>
      </w:pPr>
      <w:r>
        <w:rPr>
          <w:rFonts w:hint="eastAsia" w:hAnsi="仿宋"/>
          <w:sz w:val="30"/>
          <w:szCs w:val="30"/>
          <w:highlight w:val="none"/>
        </w:rPr>
        <w:t>防洪（潮）及治涝工程</w:t>
      </w:r>
      <w:r>
        <w:rPr>
          <w:rFonts w:hAnsi="仿宋"/>
          <w:sz w:val="30"/>
          <w:szCs w:val="30"/>
          <w:highlight w:val="none"/>
        </w:rPr>
        <w:t>（</w:t>
      </w:r>
      <w:r>
        <w:rPr>
          <w:rFonts w:hint="eastAsia" w:hAnsi="仿宋"/>
          <w:sz w:val="30"/>
          <w:szCs w:val="30"/>
          <w:highlight w:val="none"/>
        </w:rPr>
        <w:t>2行</w:t>
      </w:r>
      <w:r>
        <w:rPr>
          <w:rFonts w:hAnsi="仿宋"/>
          <w:sz w:val="30"/>
          <w:szCs w:val="30"/>
          <w:highlight w:val="none"/>
        </w:rPr>
        <w:t>）</w:t>
      </w:r>
      <w:r>
        <w:rPr>
          <w:rFonts w:hint="eastAsia" w:hAnsi="仿宋"/>
          <w:sz w:val="30"/>
          <w:szCs w:val="30"/>
          <w:highlight w:val="none"/>
        </w:rPr>
        <w:t>等于堤防（3</w:t>
      </w:r>
      <w:r>
        <w:rPr>
          <w:rFonts w:hAnsi="仿宋"/>
          <w:sz w:val="30"/>
          <w:szCs w:val="30"/>
          <w:highlight w:val="none"/>
        </w:rPr>
        <w:t>行）</w:t>
      </w:r>
      <w:r>
        <w:rPr>
          <w:rFonts w:hint="eastAsia" w:hAnsi="仿宋"/>
          <w:sz w:val="30"/>
          <w:szCs w:val="30"/>
          <w:highlight w:val="none"/>
        </w:rPr>
        <w:t>、险工工程（4</w:t>
      </w:r>
      <w:r>
        <w:rPr>
          <w:rFonts w:hAnsi="仿宋"/>
          <w:sz w:val="30"/>
          <w:szCs w:val="30"/>
          <w:highlight w:val="none"/>
        </w:rPr>
        <w:t>行）</w:t>
      </w:r>
      <w:r>
        <w:rPr>
          <w:rFonts w:hint="eastAsia" w:hAnsi="仿宋"/>
          <w:sz w:val="30"/>
          <w:szCs w:val="30"/>
          <w:highlight w:val="none"/>
        </w:rPr>
        <w:t>、控导工程（5</w:t>
      </w:r>
      <w:r>
        <w:rPr>
          <w:rFonts w:hAnsi="仿宋"/>
          <w:sz w:val="30"/>
          <w:szCs w:val="30"/>
          <w:highlight w:val="none"/>
        </w:rPr>
        <w:t>行）</w:t>
      </w:r>
      <w:r>
        <w:rPr>
          <w:rFonts w:hint="eastAsia" w:hAnsi="仿宋"/>
          <w:sz w:val="30"/>
          <w:szCs w:val="30"/>
          <w:highlight w:val="none"/>
        </w:rPr>
        <w:t>、水闸（6</w:t>
      </w:r>
      <w:r>
        <w:rPr>
          <w:rFonts w:hAnsi="仿宋"/>
          <w:sz w:val="30"/>
          <w:szCs w:val="30"/>
          <w:highlight w:val="none"/>
        </w:rPr>
        <w:t>行）</w:t>
      </w:r>
      <w:r>
        <w:rPr>
          <w:rFonts w:hint="eastAsia" w:hAnsi="仿宋"/>
          <w:sz w:val="30"/>
          <w:szCs w:val="30"/>
          <w:highlight w:val="none"/>
        </w:rPr>
        <w:t>、泵站（7</w:t>
      </w:r>
      <w:r>
        <w:rPr>
          <w:rFonts w:hAnsi="仿宋"/>
          <w:sz w:val="30"/>
          <w:szCs w:val="30"/>
          <w:highlight w:val="none"/>
        </w:rPr>
        <w:t>行）、</w:t>
      </w:r>
      <w:r>
        <w:rPr>
          <w:rFonts w:hint="eastAsia" w:hAnsi="仿宋"/>
          <w:sz w:val="30"/>
          <w:szCs w:val="30"/>
          <w:highlight w:val="none"/>
        </w:rPr>
        <w:t>渠（管、隧）道（</w:t>
      </w:r>
      <w:r>
        <w:rPr>
          <w:rFonts w:hAnsi="仿宋"/>
          <w:sz w:val="30"/>
          <w:szCs w:val="30"/>
          <w:highlight w:val="none"/>
        </w:rPr>
        <w:t>8行</w:t>
      </w:r>
      <w:r>
        <w:rPr>
          <w:rFonts w:hint="eastAsia" w:hAnsi="仿宋"/>
          <w:sz w:val="30"/>
          <w:szCs w:val="30"/>
          <w:highlight w:val="none"/>
        </w:rPr>
        <w:t>）各项之和；</w:t>
      </w:r>
    </w:p>
    <w:p w14:paraId="7D547C9A">
      <w:pPr>
        <w:pStyle w:val="6"/>
        <w:numPr>
          <w:ilvl w:val="0"/>
          <w:numId w:val="5"/>
        </w:numPr>
        <w:spacing w:line="360" w:lineRule="auto"/>
        <w:ind w:firstLineChars="0"/>
        <w:jc w:val="left"/>
        <w:rPr>
          <w:rFonts w:hint="eastAsia" w:hAnsi="仿宋"/>
          <w:sz w:val="30"/>
          <w:szCs w:val="30"/>
          <w:highlight w:val="none"/>
        </w:rPr>
      </w:pPr>
      <w:r>
        <w:rPr>
          <w:rFonts w:hAnsi="仿宋"/>
          <w:sz w:val="30"/>
          <w:szCs w:val="30"/>
          <w:highlight w:val="none"/>
        </w:rPr>
        <w:t>灌溉及农村供水工程（9行）等于</w:t>
      </w:r>
      <w:r>
        <w:rPr>
          <w:rFonts w:hint="eastAsia" w:hAnsi="仿宋"/>
          <w:sz w:val="30"/>
          <w:szCs w:val="30"/>
          <w:highlight w:val="none"/>
        </w:rPr>
        <w:t>渠首枢纽（10行）、渠（管、隧）道（11行）、泵站（12行）、水闸（13行）</w:t>
      </w:r>
      <w:r>
        <w:rPr>
          <w:rFonts w:hAnsi="仿宋"/>
          <w:sz w:val="30"/>
          <w:szCs w:val="30"/>
          <w:highlight w:val="none"/>
        </w:rPr>
        <w:t>、其他渠系建筑物（14行）、调蓄水库（15行）、塘坝（16行）、地下取水设施（17行）</w:t>
      </w:r>
      <w:r>
        <w:rPr>
          <w:rFonts w:hint="eastAsia" w:hAnsi="仿宋"/>
          <w:sz w:val="30"/>
          <w:szCs w:val="30"/>
          <w:highlight w:val="none"/>
        </w:rPr>
        <w:t>各项之和；</w:t>
      </w:r>
    </w:p>
    <w:p w14:paraId="703E78BE">
      <w:pPr>
        <w:pStyle w:val="6"/>
        <w:numPr>
          <w:ilvl w:val="0"/>
          <w:numId w:val="5"/>
        </w:numPr>
        <w:spacing w:line="360" w:lineRule="auto"/>
        <w:ind w:firstLineChars="0"/>
        <w:rPr>
          <w:rFonts w:hint="eastAsia" w:hAnsi="仿宋"/>
          <w:sz w:val="30"/>
          <w:szCs w:val="30"/>
          <w:highlight w:val="none"/>
        </w:rPr>
      </w:pPr>
      <w:r>
        <w:rPr>
          <w:rFonts w:hAnsi="仿宋"/>
          <w:sz w:val="30"/>
          <w:szCs w:val="30"/>
          <w:highlight w:val="none"/>
        </w:rPr>
        <w:t>引调水工程（18行）</w:t>
      </w:r>
      <w:r>
        <w:rPr>
          <w:rFonts w:hint="eastAsia" w:hAnsi="仿宋"/>
          <w:sz w:val="30"/>
          <w:szCs w:val="30"/>
          <w:highlight w:val="none"/>
        </w:rPr>
        <w:t>等于</w:t>
      </w:r>
      <w:r>
        <w:rPr>
          <w:rFonts w:hAnsi="仿宋"/>
          <w:sz w:val="30"/>
          <w:szCs w:val="30"/>
          <w:highlight w:val="none"/>
        </w:rPr>
        <w:t>渠首枢纽（19行）、渠（管、隧）道（20行）、泵站（21行）、水闸（22行）、其他渠系建筑物（23行）、调蓄水库（24行）、地下取水设施（25行）</w:t>
      </w:r>
      <w:r>
        <w:rPr>
          <w:rFonts w:hint="eastAsia" w:hAnsi="仿宋"/>
          <w:sz w:val="30"/>
          <w:szCs w:val="30"/>
          <w:highlight w:val="none"/>
        </w:rPr>
        <w:t>各项之和；</w:t>
      </w:r>
    </w:p>
    <w:p w14:paraId="2D4B4FE2">
      <w:pPr>
        <w:pStyle w:val="6"/>
        <w:numPr>
          <w:ilvl w:val="0"/>
          <w:numId w:val="5"/>
        </w:numPr>
        <w:spacing w:line="360" w:lineRule="auto"/>
        <w:ind w:firstLineChars="0"/>
        <w:rPr>
          <w:rFonts w:hint="eastAsia" w:hAnsi="仿宋"/>
          <w:sz w:val="30"/>
          <w:szCs w:val="30"/>
          <w:highlight w:val="none"/>
        </w:rPr>
      </w:pPr>
      <w:r>
        <w:rPr>
          <w:rFonts w:hAnsi="仿宋"/>
          <w:sz w:val="30"/>
          <w:szCs w:val="30"/>
          <w:highlight w:val="none"/>
        </w:rPr>
        <w:t>水力发电工程（26行）等于常规水电站（27行）、抽水蓄能电站（28行）</w:t>
      </w:r>
      <w:r>
        <w:rPr>
          <w:rFonts w:hint="eastAsia" w:hAnsi="仿宋"/>
          <w:sz w:val="30"/>
          <w:szCs w:val="30"/>
          <w:highlight w:val="none"/>
        </w:rPr>
        <w:t>之和；</w:t>
      </w:r>
    </w:p>
    <w:p w14:paraId="59903B04">
      <w:pPr>
        <w:pStyle w:val="6"/>
        <w:widowControl/>
        <w:numPr>
          <w:ilvl w:val="0"/>
          <w:numId w:val="5"/>
        </w:numPr>
        <w:snapToGrid/>
        <w:spacing w:line="360" w:lineRule="auto"/>
        <w:ind w:firstLineChars="0"/>
        <w:jc w:val="left"/>
        <w:rPr>
          <w:rFonts w:hint="eastAsia" w:hAnsi="仿宋"/>
          <w:sz w:val="30"/>
          <w:szCs w:val="30"/>
          <w:highlight w:val="none"/>
        </w:rPr>
      </w:pPr>
      <w:r>
        <w:rPr>
          <w:rFonts w:hAnsi="仿宋"/>
          <w:sz w:val="30"/>
          <w:szCs w:val="30"/>
          <w:highlight w:val="none"/>
        </w:rPr>
        <w:t>水库工程（30行）等于山区水库（31行）、平原水库（32行）</w:t>
      </w:r>
      <w:r>
        <w:rPr>
          <w:rFonts w:hint="eastAsia" w:hAnsi="仿宋"/>
          <w:sz w:val="30"/>
          <w:szCs w:val="30"/>
          <w:highlight w:val="none"/>
        </w:rPr>
        <w:t>之和；</w:t>
      </w:r>
    </w:p>
    <w:p w14:paraId="034154E2">
      <w:pPr>
        <w:pStyle w:val="6"/>
        <w:widowControl/>
        <w:numPr>
          <w:ilvl w:val="0"/>
          <w:numId w:val="5"/>
        </w:numPr>
        <w:snapToGrid/>
        <w:spacing w:line="360" w:lineRule="auto"/>
        <w:ind w:firstLineChars="0"/>
        <w:jc w:val="left"/>
        <w:rPr>
          <w:rFonts w:hint="eastAsia" w:hAnsi="仿宋"/>
          <w:sz w:val="30"/>
          <w:szCs w:val="30"/>
          <w:highlight w:val="none"/>
        </w:rPr>
      </w:pPr>
      <w:r>
        <w:rPr>
          <w:rFonts w:hAnsi="仿宋"/>
          <w:sz w:val="30"/>
          <w:szCs w:val="30"/>
          <w:highlight w:val="none"/>
        </w:rPr>
        <w:t>水文基础设施（33行）等于水文站（34行）、水位站（35行）、雨量站（36行）、其他水文测站（37行）</w:t>
      </w:r>
      <w:r>
        <w:rPr>
          <w:rFonts w:hint="eastAsia" w:hAnsi="仿宋"/>
          <w:sz w:val="30"/>
          <w:szCs w:val="30"/>
          <w:highlight w:val="none"/>
        </w:rPr>
        <w:t>各项之和；</w:t>
      </w:r>
    </w:p>
    <w:p w14:paraId="3C661E80">
      <w:pPr>
        <w:pStyle w:val="6"/>
        <w:widowControl/>
        <w:numPr>
          <w:ilvl w:val="0"/>
          <w:numId w:val="5"/>
        </w:numPr>
        <w:snapToGrid/>
        <w:spacing w:line="360" w:lineRule="auto"/>
        <w:ind w:firstLineChars="0"/>
        <w:jc w:val="left"/>
        <w:rPr>
          <w:rFonts w:hint="eastAsia" w:hAnsi="仿宋"/>
          <w:sz w:val="30"/>
          <w:szCs w:val="30"/>
          <w:highlight w:val="none"/>
        </w:rPr>
      </w:pPr>
      <w:r>
        <w:rPr>
          <w:rFonts w:hint="eastAsia" w:hAnsi="仿宋"/>
          <w:sz w:val="30"/>
          <w:szCs w:val="30"/>
          <w:highlight w:val="none"/>
        </w:rPr>
        <w:t>负有管理维护职责数量（1栏）</w:t>
      </w:r>
      <w:r>
        <w:rPr>
          <w:rFonts w:hint="eastAsia"/>
          <w:sz w:val="30"/>
          <w:szCs w:val="30"/>
          <w:highlight w:val="none"/>
        </w:rPr>
        <w:t>大于等于</w:t>
      </w:r>
      <w:r>
        <w:rPr>
          <w:rFonts w:hAnsi="仿宋"/>
          <w:sz w:val="30"/>
          <w:szCs w:val="30"/>
          <w:highlight w:val="none"/>
        </w:rPr>
        <w:t>数量（2栏）</w:t>
      </w:r>
      <w:r>
        <w:rPr>
          <w:rFonts w:hint="eastAsia" w:hAnsi="仿宋"/>
          <w:sz w:val="30"/>
          <w:szCs w:val="30"/>
          <w:highlight w:val="none"/>
        </w:rPr>
        <w:t>；</w:t>
      </w:r>
    </w:p>
    <w:p w14:paraId="6C86FE32">
      <w:pPr>
        <w:pStyle w:val="6"/>
        <w:widowControl/>
        <w:numPr>
          <w:ilvl w:val="0"/>
          <w:numId w:val="5"/>
        </w:numPr>
        <w:snapToGrid/>
        <w:spacing w:line="360" w:lineRule="auto"/>
        <w:ind w:firstLineChars="0"/>
        <w:jc w:val="left"/>
        <w:rPr>
          <w:rFonts w:hint="eastAsia" w:hAnsi="仿宋"/>
          <w:sz w:val="30"/>
          <w:szCs w:val="30"/>
          <w:highlight w:val="none"/>
        </w:rPr>
      </w:pPr>
      <w:r>
        <w:rPr>
          <w:rFonts w:hAnsi="仿宋"/>
          <w:sz w:val="30"/>
          <w:szCs w:val="30"/>
          <w:highlight w:val="none"/>
        </w:rPr>
        <w:t>负有管理维护职责数量（6栏）</w:t>
      </w:r>
      <w:r>
        <w:rPr>
          <w:rFonts w:hint="eastAsia"/>
          <w:sz w:val="30"/>
          <w:szCs w:val="30"/>
          <w:highlight w:val="none"/>
        </w:rPr>
        <w:t>大于等于</w:t>
      </w:r>
      <w:r>
        <w:rPr>
          <w:rFonts w:hAnsi="仿宋"/>
          <w:sz w:val="30"/>
          <w:szCs w:val="30"/>
          <w:highlight w:val="none"/>
        </w:rPr>
        <w:t>数量（7栏）</w:t>
      </w:r>
      <w:r>
        <w:rPr>
          <w:rFonts w:hint="eastAsia" w:hAnsi="仿宋"/>
          <w:sz w:val="30"/>
          <w:szCs w:val="30"/>
          <w:highlight w:val="none"/>
        </w:rPr>
        <w:t>；</w:t>
      </w:r>
    </w:p>
    <w:p w14:paraId="264B68E7">
      <w:pPr>
        <w:pStyle w:val="6"/>
        <w:widowControl/>
        <w:numPr>
          <w:ilvl w:val="0"/>
          <w:numId w:val="5"/>
        </w:numPr>
        <w:snapToGrid/>
        <w:spacing w:line="360" w:lineRule="auto"/>
        <w:ind w:firstLineChars="0"/>
        <w:jc w:val="left"/>
        <w:rPr>
          <w:rFonts w:hint="eastAsia" w:hAnsi="仿宋"/>
          <w:sz w:val="30"/>
          <w:szCs w:val="30"/>
          <w:highlight w:val="none"/>
        </w:rPr>
      </w:pPr>
      <w:r>
        <w:rPr>
          <w:rFonts w:hAnsi="仿宋"/>
          <w:sz w:val="30"/>
          <w:szCs w:val="30"/>
          <w:highlight w:val="none"/>
        </w:rPr>
        <w:t>净值（5栏）等于</w:t>
      </w:r>
      <w:r>
        <w:rPr>
          <w:rFonts w:hint="eastAsia" w:hAnsi="仿宋"/>
          <w:sz w:val="30"/>
          <w:szCs w:val="30"/>
          <w:highlight w:val="none"/>
        </w:rPr>
        <w:t>原值</w:t>
      </w:r>
      <w:r>
        <w:rPr>
          <w:rFonts w:hAnsi="仿宋"/>
          <w:sz w:val="30"/>
          <w:szCs w:val="30"/>
          <w:highlight w:val="none"/>
        </w:rPr>
        <w:t>（</w:t>
      </w:r>
      <w:r>
        <w:rPr>
          <w:rFonts w:hint="eastAsia" w:hAnsi="仿宋"/>
          <w:sz w:val="30"/>
          <w:szCs w:val="30"/>
          <w:highlight w:val="none"/>
        </w:rPr>
        <w:t>3栏</w:t>
      </w:r>
      <w:r>
        <w:rPr>
          <w:rFonts w:hAnsi="仿宋"/>
          <w:sz w:val="30"/>
          <w:szCs w:val="30"/>
          <w:highlight w:val="none"/>
        </w:rPr>
        <w:t>）</w:t>
      </w:r>
      <w:r>
        <w:rPr>
          <w:rFonts w:hint="eastAsia" w:hAnsi="仿宋"/>
          <w:sz w:val="30"/>
          <w:szCs w:val="30"/>
          <w:highlight w:val="none"/>
        </w:rPr>
        <w:t>、累计折旧/摊销</w:t>
      </w:r>
      <w:r>
        <w:rPr>
          <w:rFonts w:hAnsi="仿宋"/>
          <w:sz w:val="30"/>
          <w:szCs w:val="30"/>
          <w:highlight w:val="none"/>
        </w:rPr>
        <w:t>（4</w:t>
      </w:r>
      <w:r>
        <w:rPr>
          <w:rFonts w:hint="eastAsia" w:hAnsi="仿宋"/>
          <w:sz w:val="30"/>
          <w:szCs w:val="30"/>
          <w:highlight w:val="none"/>
        </w:rPr>
        <w:t>栏</w:t>
      </w:r>
      <w:r>
        <w:rPr>
          <w:rFonts w:hAnsi="仿宋"/>
          <w:sz w:val="30"/>
          <w:szCs w:val="30"/>
          <w:highlight w:val="none"/>
        </w:rPr>
        <w:t>）</w:t>
      </w:r>
      <w:r>
        <w:rPr>
          <w:rFonts w:hint="eastAsia" w:hAnsi="仿宋"/>
          <w:sz w:val="30"/>
          <w:szCs w:val="30"/>
          <w:highlight w:val="none"/>
        </w:rPr>
        <w:t>之差；</w:t>
      </w:r>
    </w:p>
    <w:p w14:paraId="05F28BF6">
      <w:pPr>
        <w:pStyle w:val="6"/>
        <w:widowControl/>
        <w:numPr>
          <w:ilvl w:val="0"/>
          <w:numId w:val="5"/>
        </w:numPr>
        <w:snapToGrid/>
        <w:spacing w:line="360" w:lineRule="auto"/>
        <w:ind w:firstLineChars="0"/>
        <w:jc w:val="left"/>
        <w:rPr>
          <w:rFonts w:hint="eastAsia" w:hAnsi="仿宋"/>
          <w:sz w:val="30"/>
          <w:szCs w:val="30"/>
          <w:highlight w:val="none"/>
        </w:rPr>
      </w:pPr>
      <w:r>
        <w:rPr>
          <w:rFonts w:hAnsi="仿宋"/>
          <w:sz w:val="30"/>
          <w:szCs w:val="30"/>
          <w:highlight w:val="none"/>
        </w:rPr>
        <w:t>净值（10栏）等于</w:t>
      </w:r>
      <w:r>
        <w:rPr>
          <w:rFonts w:hint="eastAsia" w:hAnsi="仿宋"/>
          <w:sz w:val="30"/>
          <w:szCs w:val="30"/>
          <w:highlight w:val="none"/>
        </w:rPr>
        <w:t>原值</w:t>
      </w:r>
      <w:r>
        <w:rPr>
          <w:rFonts w:hAnsi="仿宋"/>
          <w:sz w:val="30"/>
          <w:szCs w:val="30"/>
          <w:highlight w:val="none"/>
        </w:rPr>
        <w:t>（8</w:t>
      </w:r>
      <w:r>
        <w:rPr>
          <w:rFonts w:hint="eastAsia" w:hAnsi="仿宋"/>
          <w:sz w:val="30"/>
          <w:szCs w:val="30"/>
          <w:highlight w:val="none"/>
        </w:rPr>
        <w:t>栏</w:t>
      </w:r>
      <w:r>
        <w:rPr>
          <w:rFonts w:hAnsi="仿宋"/>
          <w:sz w:val="30"/>
          <w:szCs w:val="30"/>
          <w:highlight w:val="none"/>
        </w:rPr>
        <w:t>）</w:t>
      </w:r>
      <w:r>
        <w:rPr>
          <w:rFonts w:hint="eastAsia" w:hAnsi="仿宋"/>
          <w:sz w:val="30"/>
          <w:szCs w:val="30"/>
          <w:highlight w:val="none"/>
        </w:rPr>
        <w:t>、累计折旧/摊销</w:t>
      </w:r>
      <w:r>
        <w:rPr>
          <w:rFonts w:hAnsi="仿宋"/>
          <w:sz w:val="30"/>
          <w:szCs w:val="30"/>
          <w:highlight w:val="none"/>
        </w:rPr>
        <w:t>（9</w:t>
      </w:r>
      <w:r>
        <w:rPr>
          <w:rFonts w:hint="eastAsia" w:hAnsi="仿宋"/>
          <w:sz w:val="30"/>
          <w:szCs w:val="30"/>
          <w:highlight w:val="none"/>
        </w:rPr>
        <w:t>栏</w:t>
      </w:r>
      <w:r>
        <w:rPr>
          <w:rFonts w:hAnsi="仿宋"/>
          <w:sz w:val="30"/>
          <w:szCs w:val="30"/>
          <w:highlight w:val="none"/>
        </w:rPr>
        <w:t>）</w:t>
      </w:r>
      <w:r>
        <w:rPr>
          <w:rFonts w:hint="eastAsia" w:hAnsi="仿宋"/>
          <w:sz w:val="30"/>
          <w:szCs w:val="30"/>
          <w:highlight w:val="none"/>
        </w:rPr>
        <w:t>之差；</w:t>
      </w:r>
    </w:p>
    <w:p w14:paraId="035B17FA">
      <w:pPr>
        <w:pStyle w:val="6"/>
        <w:widowControl/>
        <w:numPr>
          <w:ilvl w:val="0"/>
          <w:numId w:val="5"/>
        </w:numPr>
        <w:snapToGrid/>
        <w:spacing w:line="360" w:lineRule="auto"/>
        <w:ind w:firstLineChars="0"/>
        <w:jc w:val="left"/>
        <w:rPr>
          <w:rFonts w:hint="eastAsia" w:hAnsi="仿宋"/>
          <w:sz w:val="30"/>
          <w:szCs w:val="30"/>
          <w:highlight w:val="none"/>
        </w:rPr>
      </w:pPr>
      <w:r>
        <w:rPr>
          <w:rFonts w:hint="eastAsia" w:hAnsi="仿宋"/>
          <w:sz w:val="30"/>
          <w:szCs w:val="30"/>
          <w:highlight w:val="none"/>
        </w:rPr>
        <w:t>各</w:t>
      </w:r>
      <w:r>
        <w:rPr>
          <w:rFonts w:hAnsi="仿宋"/>
          <w:sz w:val="30"/>
          <w:szCs w:val="30"/>
          <w:highlight w:val="none"/>
        </w:rPr>
        <w:t>指标大于等于</w:t>
      </w:r>
      <w:r>
        <w:rPr>
          <w:rFonts w:hint="eastAsia" w:hAnsi="仿宋"/>
          <w:sz w:val="30"/>
          <w:szCs w:val="30"/>
          <w:highlight w:val="none"/>
        </w:rPr>
        <w:t>0。</w:t>
      </w:r>
    </w:p>
    <w:p w14:paraId="67D68D3F">
      <w:pPr>
        <w:snapToGrid w:val="0"/>
        <w:spacing w:line="360" w:lineRule="auto"/>
        <w:ind w:firstLine="626" w:firstLineChars="200"/>
        <w:rPr>
          <w:rFonts w:hint="eastAsia" w:ascii="仿宋_GB2312" w:hAnsi="仿宋" w:eastAsia="仿宋_GB2312"/>
          <w:b/>
          <w:spacing w:val="6"/>
          <w:sz w:val="30"/>
          <w:szCs w:val="30"/>
          <w:highlight w:val="none"/>
        </w:rPr>
      </w:pPr>
      <w:r>
        <w:rPr>
          <w:rFonts w:hint="eastAsia" w:ascii="仿宋_GB2312" w:hAnsi="仿宋" w:eastAsia="仿宋_GB2312"/>
          <w:b/>
          <w:spacing w:val="6"/>
          <w:sz w:val="30"/>
          <w:szCs w:val="30"/>
          <w:highlight w:val="none"/>
        </w:rPr>
        <w:t>核实性公式：</w:t>
      </w:r>
    </w:p>
    <w:p w14:paraId="2C9C78E0">
      <w:pPr>
        <w:pStyle w:val="6"/>
        <w:numPr>
          <w:ilvl w:val="0"/>
          <w:numId w:val="5"/>
        </w:numPr>
        <w:spacing w:line="360" w:lineRule="auto"/>
        <w:ind w:firstLineChars="0"/>
        <w:rPr>
          <w:rFonts w:hint="eastAsia" w:hAnsi="仿宋"/>
          <w:sz w:val="30"/>
          <w:szCs w:val="30"/>
          <w:highlight w:val="none"/>
        </w:rPr>
      </w:pPr>
      <w:r>
        <w:rPr>
          <w:rFonts w:hint="eastAsia" w:hAnsi="仿宋"/>
          <w:sz w:val="30"/>
          <w:szCs w:val="30"/>
          <w:highlight w:val="none"/>
        </w:rPr>
        <w:t>如果数量（2、7栏）大于</w:t>
      </w:r>
      <w:r>
        <w:rPr>
          <w:rFonts w:hAnsi="仿宋"/>
          <w:sz w:val="30"/>
          <w:szCs w:val="30"/>
          <w:highlight w:val="none"/>
        </w:rPr>
        <w:t>0</w:t>
      </w:r>
      <w:r>
        <w:rPr>
          <w:rFonts w:hint="eastAsia" w:hAnsi="仿宋"/>
          <w:sz w:val="30"/>
          <w:szCs w:val="30"/>
          <w:highlight w:val="none"/>
          <w:lang w:eastAsia="zh-CN"/>
        </w:rPr>
        <w:t>，</w:t>
      </w:r>
      <w:r>
        <w:rPr>
          <w:rFonts w:hint="eastAsia" w:hAnsi="仿宋"/>
          <w:sz w:val="30"/>
          <w:szCs w:val="30"/>
          <w:highlight w:val="none"/>
        </w:rPr>
        <w:t>则价值（3、8栏）大于</w:t>
      </w:r>
      <w:r>
        <w:rPr>
          <w:rFonts w:hAnsi="仿宋"/>
          <w:sz w:val="30"/>
          <w:szCs w:val="30"/>
          <w:highlight w:val="none"/>
        </w:rPr>
        <w:t>0</w:t>
      </w:r>
      <w:r>
        <w:rPr>
          <w:rFonts w:hint="eastAsia" w:hAnsi="仿宋"/>
          <w:sz w:val="30"/>
          <w:szCs w:val="30"/>
          <w:highlight w:val="none"/>
        </w:rPr>
        <w:t>；</w:t>
      </w:r>
    </w:p>
    <w:p w14:paraId="44FE9425">
      <w:pPr>
        <w:pStyle w:val="6"/>
        <w:numPr>
          <w:ilvl w:val="0"/>
          <w:numId w:val="5"/>
        </w:numPr>
        <w:spacing w:line="360" w:lineRule="auto"/>
        <w:ind w:firstLineChars="0"/>
        <w:rPr>
          <w:rFonts w:hint="eastAsia" w:hAnsi="仿宋"/>
          <w:sz w:val="30"/>
          <w:szCs w:val="30"/>
          <w:highlight w:val="none"/>
        </w:rPr>
      </w:pPr>
      <w:r>
        <w:rPr>
          <w:rFonts w:hint="eastAsia" w:hAnsi="仿宋"/>
          <w:sz w:val="30"/>
          <w:szCs w:val="30"/>
          <w:highlight w:val="none"/>
        </w:rPr>
        <w:t>如果价值（3、8栏）大于</w:t>
      </w:r>
      <w:r>
        <w:rPr>
          <w:rFonts w:hAnsi="仿宋"/>
          <w:sz w:val="30"/>
          <w:szCs w:val="30"/>
          <w:highlight w:val="none"/>
        </w:rPr>
        <w:t>0</w:t>
      </w:r>
      <w:r>
        <w:rPr>
          <w:rFonts w:hint="eastAsia" w:hAnsi="仿宋"/>
          <w:sz w:val="30"/>
          <w:szCs w:val="30"/>
          <w:highlight w:val="none"/>
          <w:lang w:eastAsia="zh-CN"/>
        </w:rPr>
        <w:t>，</w:t>
      </w:r>
      <w:r>
        <w:rPr>
          <w:rFonts w:hint="eastAsia" w:hAnsi="仿宋"/>
          <w:sz w:val="30"/>
          <w:szCs w:val="30"/>
          <w:highlight w:val="none"/>
        </w:rPr>
        <w:t>则数量（2、7栏）大于</w:t>
      </w:r>
      <w:r>
        <w:rPr>
          <w:rFonts w:hAnsi="仿宋"/>
          <w:sz w:val="30"/>
          <w:szCs w:val="30"/>
          <w:highlight w:val="none"/>
        </w:rPr>
        <w:t>0</w:t>
      </w:r>
      <w:r>
        <w:rPr>
          <w:rFonts w:hint="eastAsia" w:hAnsi="仿宋"/>
          <w:sz w:val="30"/>
          <w:szCs w:val="30"/>
          <w:highlight w:val="none"/>
        </w:rPr>
        <w:t>；</w:t>
      </w:r>
    </w:p>
    <w:p w14:paraId="241BEA5C">
      <w:pPr>
        <w:pStyle w:val="6"/>
        <w:numPr>
          <w:ilvl w:val="0"/>
          <w:numId w:val="5"/>
        </w:numPr>
        <w:spacing w:line="360" w:lineRule="auto"/>
        <w:ind w:firstLineChars="0"/>
        <w:rPr>
          <w:rFonts w:hint="eastAsia" w:hAnsi="仿宋"/>
          <w:sz w:val="30"/>
          <w:szCs w:val="30"/>
          <w:highlight w:val="none"/>
        </w:rPr>
      </w:pPr>
      <w:r>
        <w:rPr>
          <w:rFonts w:ascii="仿宋_GB2312" w:hAnsi="仿宋" w:eastAsia="仿宋_GB2312"/>
          <w:sz w:val="30"/>
          <w:szCs w:val="30"/>
          <w:highlight w:val="none"/>
        </w:rPr>
        <w:t>（如情况存在，请提供说明）：期初账面数应等于上年财资12-2表期末账面数</w:t>
      </w:r>
      <w:r>
        <w:rPr>
          <w:rFonts w:hint="eastAsia" w:ascii="仿宋_GB2312" w:hAnsi="仿宋" w:eastAsia="仿宋_GB2312"/>
          <w:sz w:val="30"/>
          <w:szCs w:val="30"/>
          <w:highlight w:val="none"/>
        </w:rPr>
        <w:t>，否则提示核实性错误，需填写说明</w:t>
      </w:r>
      <w:r>
        <w:rPr>
          <w:rFonts w:ascii="仿宋_GB2312" w:hAnsi="仿宋" w:eastAsia="仿宋_GB2312"/>
          <w:sz w:val="30"/>
          <w:szCs w:val="30"/>
          <w:highlight w:val="none"/>
        </w:rPr>
        <w:t>；</w:t>
      </w:r>
    </w:p>
    <w:p w14:paraId="61DDE07E">
      <w:pPr>
        <w:pStyle w:val="6"/>
        <w:numPr>
          <w:ilvl w:val="0"/>
          <w:numId w:val="5"/>
        </w:numPr>
        <w:spacing w:line="360" w:lineRule="auto"/>
        <w:ind w:firstLineChars="0"/>
        <w:rPr>
          <w:rFonts w:hint="eastAsia" w:hAnsi="仿宋"/>
          <w:sz w:val="30"/>
          <w:szCs w:val="30"/>
          <w:highlight w:val="none"/>
        </w:rPr>
      </w:pPr>
      <w:r>
        <w:rPr>
          <w:rFonts w:hint="eastAsia" w:hAnsi="仿宋"/>
          <w:sz w:val="30"/>
          <w:szCs w:val="30"/>
          <w:highlight w:val="none"/>
          <w:lang w:eastAsia="zh-CN"/>
        </w:rPr>
        <w:t>堤防</w:t>
      </w:r>
      <w:r>
        <w:rPr>
          <w:rFonts w:hint="eastAsia" w:hAnsi="仿宋"/>
          <w:sz w:val="30"/>
          <w:szCs w:val="30"/>
          <w:highlight w:val="none"/>
        </w:rPr>
        <w:t>（</w:t>
      </w:r>
      <w:r>
        <w:rPr>
          <w:rFonts w:hint="eastAsia" w:hAnsi="仿宋"/>
          <w:sz w:val="30"/>
          <w:szCs w:val="30"/>
          <w:highlight w:val="none"/>
          <w:lang w:val="en-US" w:eastAsia="zh-CN"/>
        </w:rPr>
        <w:t>3</w:t>
      </w:r>
      <w:r>
        <w:rPr>
          <w:rFonts w:hint="eastAsia" w:hAnsi="仿宋"/>
          <w:sz w:val="30"/>
          <w:szCs w:val="30"/>
          <w:highlight w:val="none"/>
        </w:rPr>
        <w:t>行）负有管理维护职责数量（6栏）应小于等于</w:t>
      </w:r>
      <w:r>
        <w:rPr>
          <w:rFonts w:hint="eastAsia" w:hAnsi="仿宋"/>
          <w:sz w:val="30"/>
          <w:szCs w:val="30"/>
          <w:highlight w:val="none"/>
          <w:lang w:val="en-US" w:eastAsia="zh-CN"/>
        </w:rPr>
        <w:t>5</w:t>
      </w:r>
      <w:r>
        <w:rPr>
          <w:rFonts w:hint="eastAsia" w:hAnsi="仿宋"/>
          <w:sz w:val="30"/>
          <w:szCs w:val="30"/>
          <w:highlight w:val="none"/>
        </w:rPr>
        <w:t>0</w:t>
      </w:r>
      <w:r>
        <w:rPr>
          <w:rFonts w:hint="eastAsia" w:hAnsi="仿宋"/>
          <w:sz w:val="30"/>
          <w:szCs w:val="30"/>
          <w:highlight w:val="none"/>
          <w:lang w:val="en-US" w:eastAsia="zh-CN"/>
        </w:rPr>
        <w:t>00</w:t>
      </w:r>
      <w:r>
        <w:rPr>
          <w:rFonts w:hint="eastAsia" w:hAnsi="仿宋"/>
          <w:sz w:val="30"/>
          <w:szCs w:val="30"/>
          <w:highlight w:val="none"/>
        </w:rPr>
        <w:t>，否则提示核实性错误，需结合实际情况修改或填写情况说明；</w:t>
      </w:r>
    </w:p>
    <w:p w14:paraId="5668A46C">
      <w:pPr>
        <w:pStyle w:val="6"/>
        <w:numPr>
          <w:ilvl w:val="0"/>
          <w:numId w:val="5"/>
        </w:numPr>
        <w:spacing w:line="360" w:lineRule="auto"/>
        <w:ind w:firstLineChars="0"/>
        <w:rPr>
          <w:rFonts w:hint="eastAsia" w:hAnsi="仿宋"/>
          <w:sz w:val="30"/>
          <w:szCs w:val="30"/>
          <w:highlight w:val="none"/>
        </w:rPr>
      </w:pPr>
      <w:r>
        <w:rPr>
          <w:rFonts w:hint="eastAsia" w:hAnsi="仿宋"/>
          <w:sz w:val="30"/>
          <w:szCs w:val="30"/>
          <w:highlight w:val="none"/>
          <w:lang w:eastAsia="zh-CN"/>
        </w:rPr>
        <w:t>泵站</w:t>
      </w:r>
      <w:r>
        <w:rPr>
          <w:rFonts w:hint="eastAsia" w:hAnsi="仿宋"/>
          <w:sz w:val="30"/>
          <w:szCs w:val="30"/>
          <w:highlight w:val="none"/>
        </w:rPr>
        <w:t>（</w:t>
      </w:r>
      <w:r>
        <w:rPr>
          <w:rFonts w:hint="eastAsia" w:hAnsi="仿宋"/>
          <w:sz w:val="30"/>
          <w:szCs w:val="30"/>
          <w:highlight w:val="none"/>
          <w:lang w:val="en-US" w:eastAsia="zh-CN"/>
        </w:rPr>
        <w:t>7</w:t>
      </w:r>
      <w:r>
        <w:rPr>
          <w:rFonts w:hint="eastAsia" w:hAnsi="仿宋"/>
          <w:sz w:val="30"/>
          <w:szCs w:val="30"/>
          <w:highlight w:val="none"/>
        </w:rPr>
        <w:t>行</w:t>
      </w:r>
      <w:r>
        <w:rPr>
          <w:rFonts w:hint="eastAsia" w:hAnsi="仿宋"/>
          <w:sz w:val="30"/>
          <w:szCs w:val="30"/>
          <w:highlight w:val="none"/>
          <w:lang w:eastAsia="zh-CN"/>
        </w:rPr>
        <w:t>、</w:t>
      </w:r>
      <w:r>
        <w:rPr>
          <w:rFonts w:hint="eastAsia" w:hAnsi="仿宋"/>
          <w:sz w:val="30"/>
          <w:szCs w:val="30"/>
          <w:highlight w:val="none"/>
          <w:lang w:val="en-US" w:eastAsia="zh-CN"/>
        </w:rPr>
        <w:t>12行、21行</w:t>
      </w:r>
      <w:r>
        <w:rPr>
          <w:rFonts w:hint="eastAsia" w:hAnsi="仿宋"/>
          <w:sz w:val="30"/>
          <w:szCs w:val="30"/>
          <w:highlight w:val="none"/>
        </w:rPr>
        <w:t>）负有管理维护职责数量（6栏）应小于等于</w:t>
      </w:r>
      <w:r>
        <w:rPr>
          <w:rFonts w:hint="eastAsia" w:hAnsi="仿宋"/>
          <w:sz w:val="30"/>
          <w:szCs w:val="30"/>
          <w:highlight w:val="none"/>
          <w:lang w:val="en-US" w:eastAsia="zh-CN"/>
        </w:rPr>
        <w:t>5</w:t>
      </w:r>
      <w:r>
        <w:rPr>
          <w:rFonts w:hint="eastAsia" w:hAnsi="仿宋"/>
          <w:sz w:val="30"/>
          <w:szCs w:val="30"/>
          <w:highlight w:val="none"/>
        </w:rPr>
        <w:t>0</w:t>
      </w:r>
      <w:r>
        <w:rPr>
          <w:rFonts w:hint="eastAsia" w:hAnsi="仿宋"/>
          <w:sz w:val="30"/>
          <w:szCs w:val="30"/>
          <w:highlight w:val="none"/>
          <w:lang w:val="en-US" w:eastAsia="zh-CN"/>
        </w:rPr>
        <w:t>00</w:t>
      </w:r>
      <w:r>
        <w:rPr>
          <w:rFonts w:hint="eastAsia" w:hAnsi="仿宋"/>
          <w:sz w:val="30"/>
          <w:szCs w:val="30"/>
          <w:highlight w:val="none"/>
        </w:rPr>
        <w:t>，否则提示核实性错误，需结合实际情况修改或填写情况说明；</w:t>
      </w:r>
    </w:p>
    <w:p w14:paraId="34CB8D69">
      <w:pPr>
        <w:pStyle w:val="6"/>
        <w:numPr>
          <w:ilvl w:val="0"/>
          <w:numId w:val="5"/>
        </w:numPr>
        <w:spacing w:line="360" w:lineRule="auto"/>
        <w:ind w:firstLineChars="0"/>
        <w:rPr>
          <w:rFonts w:hint="eastAsia" w:hAnsi="仿宋"/>
          <w:sz w:val="30"/>
          <w:szCs w:val="30"/>
          <w:highlight w:val="none"/>
        </w:rPr>
      </w:pPr>
      <w:r>
        <w:rPr>
          <w:rFonts w:hint="eastAsia" w:hAnsi="仿宋"/>
          <w:sz w:val="30"/>
          <w:szCs w:val="30"/>
          <w:highlight w:val="none"/>
          <w:lang w:eastAsia="zh-CN"/>
        </w:rPr>
        <w:t>水闸</w:t>
      </w:r>
      <w:r>
        <w:rPr>
          <w:rFonts w:hint="eastAsia" w:hAnsi="仿宋"/>
          <w:sz w:val="30"/>
          <w:szCs w:val="30"/>
          <w:highlight w:val="none"/>
        </w:rPr>
        <w:t>（</w:t>
      </w:r>
      <w:r>
        <w:rPr>
          <w:rFonts w:hint="eastAsia" w:hAnsi="仿宋"/>
          <w:sz w:val="30"/>
          <w:szCs w:val="30"/>
          <w:highlight w:val="none"/>
          <w:lang w:val="en-US" w:eastAsia="zh-CN"/>
        </w:rPr>
        <w:t>6</w:t>
      </w:r>
      <w:r>
        <w:rPr>
          <w:rFonts w:hint="eastAsia" w:hAnsi="仿宋"/>
          <w:sz w:val="30"/>
          <w:szCs w:val="30"/>
          <w:highlight w:val="none"/>
        </w:rPr>
        <w:t>行</w:t>
      </w:r>
      <w:r>
        <w:rPr>
          <w:rFonts w:hint="eastAsia" w:hAnsi="仿宋"/>
          <w:sz w:val="30"/>
          <w:szCs w:val="30"/>
          <w:highlight w:val="none"/>
          <w:lang w:eastAsia="zh-CN"/>
        </w:rPr>
        <w:t>、</w:t>
      </w:r>
      <w:r>
        <w:rPr>
          <w:rFonts w:hint="eastAsia" w:hAnsi="仿宋"/>
          <w:sz w:val="30"/>
          <w:szCs w:val="30"/>
          <w:highlight w:val="none"/>
          <w:lang w:val="en-US" w:eastAsia="zh-CN"/>
        </w:rPr>
        <w:t>13行、22行</w:t>
      </w:r>
      <w:r>
        <w:rPr>
          <w:rFonts w:hint="eastAsia" w:hAnsi="仿宋"/>
          <w:sz w:val="30"/>
          <w:szCs w:val="30"/>
          <w:highlight w:val="none"/>
        </w:rPr>
        <w:t>）负有管理维护职责数量（6栏）应小于等于</w:t>
      </w:r>
      <w:r>
        <w:rPr>
          <w:rFonts w:hint="eastAsia" w:hAnsi="仿宋"/>
          <w:sz w:val="30"/>
          <w:szCs w:val="30"/>
          <w:highlight w:val="none"/>
          <w:lang w:val="en-US" w:eastAsia="zh-CN"/>
        </w:rPr>
        <w:t>5</w:t>
      </w:r>
      <w:r>
        <w:rPr>
          <w:rFonts w:hint="eastAsia" w:hAnsi="仿宋"/>
          <w:sz w:val="30"/>
          <w:szCs w:val="30"/>
          <w:highlight w:val="none"/>
        </w:rPr>
        <w:t>0</w:t>
      </w:r>
      <w:r>
        <w:rPr>
          <w:rFonts w:hint="eastAsia" w:hAnsi="仿宋"/>
          <w:sz w:val="30"/>
          <w:szCs w:val="30"/>
          <w:highlight w:val="none"/>
          <w:lang w:val="en-US" w:eastAsia="zh-CN"/>
        </w:rPr>
        <w:t>00</w:t>
      </w:r>
      <w:r>
        <w:rPr>
          <w:rFonts w:hint="eastAsia" w:hAnsi="仿宋"/>
          <w:sz w:val="30"/>
          <w:szCs w:val="30"/>
          <w:highlight w:val="none"/>
        </w:rPr>
        <w:t>，否则提示核实性错误，需结合实际情况修改或填写情况说明；</w:t>
      </w:r>
    </w:p>
    <w:p w14:paraId="2F4B804E">
      <w:pPr>
        <w:pStyle w:val="6"/>
        <w:numPr>
          <w:ilvl w:val="0"/>
          <w:numId w:val="5"/>
        </w:numPr>
        <w:spacing w:line="360" w:lineRule="auto"/>
        <w:ind w:firstLineChars="0"/>
        <w:rPr>
          <w:rFonts w:hint="eastAsia" w:hAnsi="仿宋"/>
          <w:sz w:val="30"/>
          <w:szCs w:val="30"/>
          <w:highlight w:val="none"/>
        </w:rPr>
      </w:pPr>
      <w:r>
        <w:rPr>
          <w:rFonts w:hint="eastAsia" w:hAnsi="仿宋"/>
          <w:sz w:val="30"/>
          <w:szCs w:val="30"/>
          <w:highlight w:val="none"/>
          <w:lang w:eastAsia="zh-CN"/>
        </w:rPr>
        <w:t>险工工程</w:t>
      </w:r>
      <w:r>
        <w:rPr>
          <w:rFonts w:hint="eastAsia" w:hAnsi="仿宋"/>
          <w:sz w:val="30"/>
          <w:szCs w:val="30"/>
          <w:highlight w:val="none"/>
        </w:rPr>
        <w:t>（</w:t>
      </w:r>
      <w:r>
        <w:rPr>
          <w:rFonts w:hint="eastAsia" w:hAnsi="仿宋"/>
          <w:sz w:val="30"/>
          <w:szCs w:val="30"/>
          <w:highlight w:val="none"/>
          <w:lang w:val="en-US" w:eastAsia="zh-CN"/>
        </w:rPr>
        <w:t>4</w:t>
      </w:r>
      <w:r>
        <w:rPr>
          <w:rFonts w:hint="eastAsia" w:hAnsi="仿宋"/>
          <w:sz w:val="30"/>
          <w:szCs w:val="30"/>
          <w:highlight w:val="none"/>
        </w:rPr>
        <w:t>行）负有管理维护职责数量（6栏）应小于等于</w:t>
      </w:r>
      <w:r>
        <w:rPr>
          <w:rFonts w:hint="eastAsia" w:hAnsi="仿宋"/>
          <w:sz w:val="30"/>
          <w:szCs w:val="30"/>
          <w:highlight w:val="none"/>
          <w:lang w:val="en-US" w:eastAsia="zh-CN"/>
        </w:rPr>
        <w:t>500</w:t>
      </w:r>
      <w:r>
        <w:rPr>
          <w:rFonts w:hint="eastAsia" w:hAnsi="仿宋"/>
          <w:sz w:val="30"/>
          <w:szCs w:val="30"/>
          <w:highlight w:val="none"/>
        </w:rPr>
        <w:t>，否则提示核实性错误，需结合实际情况修改或填写情况说明；</w:t>
      </w:r>
    </w:p>
    <w:p w14:paraId="3DD89C63">
      <w:pPr>
        <w:pStyle w:val="6"/>
        <w:numPr>
          <w:ilvl w:val="0"/>
          <w:numId w:val="5"/>
        </w:numPr>
        <w:spacing w:line="360" w:lineRule="auto"/>
        <w:ind w:firstLineChars="0"/>
        <w:rPr>
          <w:rFonts w:hint="eastAsia" w:hAnsi="仿宋"/>
          <w:sz w:val="30"/>
          <w:szCs w:val="30"/>
          <w:highlight w:val="none"/>
        </w:rPr>
      </w:pPr>
      <w:r>
        <w:rPr>
          <w:rFonts w:hint="eastAsia" w:hAnsi="仿宋"/>
          <w:sz w:val="30"/>
          <w:szCs w:val="30"/>
          <w:highlight w:val="none"/>
          <w:lang w:eastAsia="zh-CN"/>
        </w:rPr>
        <w:t>渠（管、隧）道</w:t>
      </w:r>
      <w:r>
        <w:rPr>
          <w:rFonts w:hint="eastAsia" w:hAnsi="仿宋"/>
          <w:sz w:val="30"/>
          <w:szCs w:val="30"/>
          <w:highlight w:val="none"/>
        </w:rPr>
        <w:t>（</w:t>
      </w:r>
      <w:r>
        <w:rPr>
          <w:rFonts w:hint="eastAsia" w:hAnsi="仿宋"/>
          <w:sz w:val="30"/>
          <w:szCs w:val="30"/>
          <w:highlight w:val="none"/>
          <w:lang w:val="en-US" w:eastAsia="zh-CN"/>
        </w:rPr>
        <w:t>8</w:t>
      </w:r>
      <w:r>
        <w:rPr>
          <w:rFonts w:hint="eastAsia" w:hAnsi="仿宋"/>
          <w:sz w:val="30"/>
          <w:szCs w:val="30"/>
          <w:highlight w:val="none"/>
        </w:rPr>
        <w:t>行</w:t>
      </w:r>
      <w:r>
        <w:rPr>
          <w:rFonts w:hint="eastAsia" w:hAnsi="仿宋"/>
          <w:sz w:val="30"/>
          <w:szCs w:val="30"/>
          <w:highlight w:val="none"/>
          <w:lang w:eastAsia="zh-CN"/>
        </w:rPr>
        <w:t>、</w:t>
      </w:r>
      <w:r>
        <w:rPr>
          <w:rFonts w:hint="eastAsia" w:hAnsi="仿宋"/>
          <w:sz w:val="30"/>
          <w:szCs w:val="30"/>
          <w:highlight w:val="none"/>
          <w:lang w:val="en-US" w:eastAsia="zh-CN"/>
        </w:rPr>
        <w:t>11行、20行</w:t>
      </w:r>
      <w:r>
        <w:rPr>
          <w:rFonts w:hint="eastAsia" w:hAnsi="仿宋"/>
          <w:sz w:val="30"/>
          <w:szCs w:val="30"/>
          <w:highlight w:val="none"/>
        </w:rPr>
        <w:t>）负有管理维护职责数量（6栏）应小于等于</w:t>
      </w:r>
      <w:r>
        <w:rPr>
          <w:rFonts w:hint="eastAsia" w:hAnsi="仿宋"/>
          <w:sz w:val="30"/>
          <w:szCs w:val="30"/>
          <w:highlight w:val="none"/>
          <w:lang w:val="en-US" w:eastAsia="zh-CN"/>
        </w:rPr>
        <w:t>20</w:t>
      </w:r>
      <w:r>
        <w:rPr>
          <w:rFonts w:hint="eastAsia" w:hAnsi="仿宋"/>
          <w:sz w:val="30"/>
          <w:szCs w:val="30"/>
          <w:highlight w:val="none"/>
        </w:rPr>
        <w:t>0</w:t>
      </w:r>
      <w:r>
        <w:rPr>
          <w:rFonts w:hint="eastAsia" w:hAnsi="仿宋"/>
          <w:sz w:val="30"/>
          <w:szCs w:val="30"/>
          <w:highlight w:val="none"/>
          <w:lang w:val="en-US" w:eastAsia="zh-CN"/>
        </w:rPr>
        <w:t>00</w:t>
      </w:r>
      <w:r>
        <w:rPr>
          <w:rFonts w:hint="eastAsia" w:hAnsi="仿宋"/>
          <w:sz w:val="30"/>
          <w:szCs w:val="30"/>
          <w:highlight w:val="none"/>
        </w:rPr>
        <w:t>，否则提示核实性错误，需结合实际情况修改或填写情况说明；</w:t>
      </w:r>
    </w:p>
    <w:p w14:paraId="47C9C121">
      <w:pPr>
        <w:pStyle w:val="6"/>
        <w:numPr>
          <w:ilvl w:val="0"/>
          <w:numId w:val="5"/>
        </w:numPr>
        <w:spacing w:line="360" w:lineRule="auto"/>
        <w:ind w:firstLineChars="0"/>
        <w:rPr>
          <w:rFonts w:hint="eastAsia" w:hAnsi="仿宋"/>
          <w:sz w:val="30"/>
          <w:szCs w:val="30"/>
          <w:highlight w:val="none"/>
        </w:rPr>
      </w:pPr>
      <w:r>
        <w:rPr>
          <w:rFonts w:hAnsi="仿宋"/>
          <w:sz w:val="30"/>
          <w:szCs w:val="30"/>
          <w:highlight w:val="none"/>
        </w:rPr>
        <w:t>水文站（34行）</w:t>
      </w:r>
      <w:r>
        <w:rPr>
          <w:rFonts w:hint="eastAsia" w:hAnsi="仿宋"/>
          <w:sz w:val="30"/>
          <w:szCs w:val="30"/>
          <w:highlight w:val="none"/>
        </w:rPr>
        <w:t>负有管理维护职责数量（6栏）应小于等于1000，否则提示核实性错误，需结合实际情况修改或填写情况说明。</w:t>
      </w:r>
    </w:p>
    <w:p w14:paraId="7C88B93F">
      <w:pPr>
        <w:pStyle w:val="2"/>
        <w:rPr>
          <w:rFonts w:hint="eastAsia"/>
          <w:b/>
          <w:color w:val="auto"/>
          <w:highlight w:val="none"/>
        </w:rPr>
      </w:pPr>
      <w:r>
        <w:rPr>
          <w:rFonts w:hint="eastAsia"/>
          <w:color w:val="auto"/>
          <w:highlight w:val="none"/>
        </w:rPr>
        <w:t>（十五）公共基础设施</w:t>
      </w:r>
      <w:r>
        <w:rPr>
          <w:rFonts w:hint="eastAsia"/>
          <w:color w:val="auto"/>
          <w:highlight w:val="none"/>
          <w:lang w:eastAsia="zh-CN"/>
        </w:rPr>
        <w:t>－</w:t>
      </w:r>
      <w:r>
        <w:rPr>
          <w:rFonts w:hint="eastAsia"/>
          <w:color w:val="auto"/>
          <w:highlight w:val="none"/>
        </w:rPr>
        <w:t>市政基础设施情况表（财资1</w:t>
      </w:r>
      <w:r>
        <w:rPr>
          <w:color w:val="auto"/>
          <w:highlight w:val="none"/>
        </w:rPr>
        <w:t>2</w:t>
      </w:r>
      <w:r>
        <w:rPr>
          <w:rFonts w:hint="eastAsia"/>
          <w:color w:val="auto"/>
          <w:highlight w:val="none"/>
        </w:rPr>
        <w:t>-</w:t>
      </w:r>
      <w:r>
        <w:rPr>
          <w:color w:val="auto"/>
          <w:highlight w:val="none"/>
        </w:rPr>
        <w:t>3</w:t>
      </w:r>
      <w:r>
        <w:rPr>
          <w:rFonts w:hint="eastAsia"/>
          <w:color w:val="auto"/>
          <w:highlight w:val="none"/>
        </w:rPr>
        <w:t>表）</w:t>
      </w:r>
    </w:p>
    <w:p w14:paraId="251E90A9">
      <w:pPr>
        <w:snapToGrid w:val="0"/>
        <w:spacing w:line="360" w:lineRule="auto"/>
        <w:ind w:firstLine="600" w:firstLineChars="200"/>
        <w:rPr>
          <w:rFonts w:hint="eastAsia" w:ascii="仿宋_GB2312" w:hAnsi="宋体" w:eastAsia="仿宋_GB2312"/>
          <w:sz w:val="30"/>
          <w:szCs w:val="30"/>
          <w:highlight w:val="none"/>
        </w:rPr>
      </w:pPr>
      <w:r>
        <w:rPr>
          <w:rFonts w:hint="eastAsia" w:ascii="仿宋_GB2312" w:hAnsi="宋体" w:eastAsia="仿宋_GB2312"/>
          <w:sz w:val="30"/>
          <w:szCs w:val="30"/>
          <w:highlight w:val="none"/>
        </w:rPr>
        <w:t>本表反映行政事业单位负有管理维护职责的市政基础设施期初、期末资产数量和已按政府会计准则制度规定登记入账的资产数量、账面价值。</w:t>
      </w:r>
      <w:r>
        <w:rPr>
          <w:rFonts w:hint="eastAsia" w:ascii="仿宋_GB2312" w:hAnsi="仿宋" w:eastAsia="仿宋_GB2312"/>
          <w:sz w:val="30"/>
          <w:szCs w:val="30"/>
          <w:highlight w:val="none"/>
        </w:rPr>
        <w:t>由涉及到市政基础设施的相关部门依据财务账、资产台账等手工填报。“负有管理维护职责数量”指标应按照《政府会计准则5号——公共基础设施》相关规定，填写填报单位应当予以确认的资产数量。</w:t>
      </w:r>
    </w:p>
    <w:p w14:paraId="5C2BE429">
      <w:pPr>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根据《财政部 住房城乡建设部 工业和信息化部 公安部 交通运输部 水利部关于进一步加强市政基础设施政府会计核算的通知》的相关规定，市政基础设施按照功能及特征，分为交通设施、供排水设施、能源设施、环卫设施、园林绿化设施、综合类设施、信息通信设施和其他市政设施。本报表填报主体一般为：住房和城乡建设等相关部门。</w:t>
      </w:r>
    </w:p>
    <w:p w14:paraId="1B42E18F">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以下不属于市政基础设施范畴：</w:t>
      </w:r>
    </w:p>
    <w:p w14:paraId="19403264">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（1）独立于市政基础设施、不构成市政基础设施使用不可缺少组成部分的管理用房屋建筑物、设备、车辆和船只等。</w:t>
      </w:r>
    </w:p>
    <w:p w14:paraId="323F6595">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（2）图书馆、博物馆、文化馆（站）、美术馆、科技馆、纪念馆、体育场馆等用于提供公共文化服务的建筑物、场地、设备。</w:t>
      </w:r>
    </w:p>
    <w:p w14:paraId="39865D83">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3）已按照《关于进一步加强公路水路公共基础设施政府会计核算的通知》（财会〔2020〕23号）、《关于进一步加强水利基础设施政府会计核算的通知》（财会〔2021〕29号）规定，确认为公路水路、水利基础设施的资产。但是，有关公路水路、水利基础设施随着城镇发展变更为市政基础设施的除外。</w:t>
      </w:r>
    </w:p>
    <w:p w14:paraId="6C998A12">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（4）不再提供公共产品和服务的市政基础设施。</w:t>
      </w:r>
    </w:p>
    <w:p w14:paraId="0D92170F">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（5）由企业控制、按照企业会计准则制度进行核算的市政基础设施。</w:t>
      </w:r>
    </w:p>
    <w:p w14:paraId="73860818">
      <w:pPr>
        <w:snapToGrid w:val="0"/>
        <w:spacing w:line="360" w:lineRule="auto"/>
        <w:ind w:firstLine="602" w:firstLineChars="200"/>
        <w:rPr>
          <w:rFonts w:hint="eastAsia" w:ascii="仿宋_GB2312" w:hAnsi="仿宋" w:eastAsia="仿宋_GB2312"/>
          <w:b/>
          <w:bCs/>
          <w:sz w:val="30"/>
          <w:szCs w:val="30"/>
          <w:highlight w:val="none"/>
        </w:rPr>
      </w:pPr>
      <w:r>
        <w:rPr>
          <w:rFonts w:hint="eastAsia" w:ascii="仿宋_GB2312" w:hAnsi="仿宋" w:eastAsia="仿宋_GB2312"/>
          <w:b/>
          <w:bCs/>
          <w:sz w:val="30"/>
          <w:szCs w:val="30"/>
          <w:highlight w:val="none"/>
        </w:rPr>
        <w:t>主要指标说明：</w:t>
      </w:r>
    </w:p>
    <w:p w14:paraId="479375C0">
      <w:pPr>
        <w:snapToGrid w:val="0"/>
        <w:spacing w:line="360" w:lineRule="auto"/>
        <w:ind w:firstLine="600"/>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1.市政</w:t>
      </w:r>
      <w:r>
        <w:rPr>
          <w:rFonts w:hint="eastAsia" w:ascii="仿宋_GB2312" w:hAnsi="仿宋_GB2312" w:eastAsia="仿宋_GB2312" w:cs="仿宋_GB2312"/>
          <w:spacing w:val="-2"/>
          <w:sz w:val="30"/>
          <w:szCs w:val="30"/>
          <w:highlight w:val="none"/>
        </w:rPr>
        <w:t>交通设施：包括城市道路、城市桥梁、城市隧道、城市公共汽电车客运服务设施、城市客运轮渡设施、城市轨道交通设施等</w:t>
      </w:r>
      <w:r>
        <w:rPr>
          <w:rFonts w:hint="eastAsia" w:ascii="仿宋_GB2312" w:hAnsi="仿宋_GB2312" w:eastAsia="仿宋_GB2312" w:cs="仿宋_GB2312"/>
          <w:sz w:val="30"/>
          <w:szCs w:val="30"/>
          <w:highlight w:val="none"/>
        </w:rPr>
        <w:t>。</w:t>
      </w:r>
    </w:p>
    <w:p w14:paraId="3D6BDB9D">
      <w:pPr>
        <w:snapToGrid w:val="0"/>
        <w:spacing w:line="360" w:lineRule="auto"/>
        <w:ind w:firstLine="600" w:firstLineChars="200"/>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（1）城市道路包括道路、交通安全管理设施、交通安全防护设施。其中：</w:t>
      </w:r>
    </w:p>
    <w:p w14:paraId="644496D3">
      <w:pPr>
        <w:snapToGrid w:val="0"/>
        <w:spacing w:line="360" w:lineRule="auto"/>
        <w:ind w:firstLine="600" w:firstLineChars="200"/>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交通安全管理设施包括城市内交通信号设施、交通监控系统、交通岗亭、视线诱导设施等；</w:t>
      </w:r>
    </w:p>
    <w:p w14:paraId="363421C3">
      <w:pPr>
        <w:snapToGrid w:val="0"/>
        <w:spacing w:line="360" w:lineRule="auto"/>
        <w:ind w:firstLine="600" w:firstLineChars="200"/>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交通安全防护设施包括城市内护栏或防撞设施、防眩设施、防护栅、防落物网、声屏障、交通岛等；</w:t>
      </w:r>
    </w:p>
    <w:p w14:paraId="418E8B26">
      <w:pPr>
        <w:snapToGrid w:val="0"/>
        <w:spacing w:line="360" w:lineRule="auto"/>
        <w:ind w:firstLine="600" w:firstLineChars="200"/>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（2）城市桥梁包括桥梁、交通安全管理设施、交通安全防护设施。其中：</w:t>
      </w:r>
    </w:p>
    <w:p w14:paraId="58669FE0">
      <w:pPr>
        <w:snapToGrid w:val="0"/>
        <w:spacing w:line="360" w:lineRule="auto"/>
        <w:ind w:firstLine="600" w:firstLineChars="200"/>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桥梁（含人行天桥）包括城市内梁式桥、拱式桥、钢构桥、悬索桥、斜拉桥、其他桥等；</w:t>
      </w:r>
    </w:p>
    <w:p w14:paraId="21A32427">
      <w:pPr>
        <w:snapToGrid w:val="0"/>
        <w:spacing w:line="360" w:lineRule="auto"/>
        <w:ind w:firstLine="600" w:firstLineChars="200"/>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（3）城市隧道包括隧道、交通安全管理设施、交通安全防护设施、通风设施、防冻设施、消音设施。</w:t>
      </w:r>
    </w:p>
    <w:p w14:paraId="347A0939">
      <w:pPr>
        <w:snapToGrid w:val="0"/>
        <w:spacing w:line="360" w:lineRule="auto"/>
        <w:ind w:firstLine="600" w:firstLineChars="200"/>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（4）城市公共汽电车客运服务设施包括公交场站、电车触线网、整流站、加油（气）站、电动公交车充电设施。其中：</w:t>
      </w:r>
    </w:p>
    <w:p w14:paraId="4585CEE2">
      <w:pPr>
        <w:snapToGrid w:val="0"/>
        <w:spacing w:line="360" w:lineRule="auto"/>
        <w:ind w:firstLine="600" w:firstLineChars="200"/>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公交场站包括站台、站牌、候车亭、站务用房、停车场、保养场和监控系统等；</w:t>
      </w:r>
    </w:p>
    <w:p w14:paraId="532FDD5C">
      <w:pPr>
        <w:snapToGrid w:val="0"/>
        <w:spacing w:line="360" w:lineRule="auto"/>
        <w:ind w:firstLine="600" w:firstLineChars="200"/>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（5）城市客运轮渡设施包括码头、道路（引道）、标志牌。</w:t>
      </w:r>
    </w:p>
    <w:p w14:paraId="785EFB46">
      <w:pPr>
        <w:snapToGrid w:val="0"/>
        <w:spacing w:line="360" w:lineRule="auto"/>
        <w:ind w:firstLine="600" w:firstLineChars="200"/>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6）城市轨道交通设施包括轨道、区间设施、车站、通信设施、供电设施、信号系统设备、综合监控系统、火灾自动报警系统、环境与设备监控系统、安防及门禁系统、通风、空调与供暖、自动售票检票系统、站内客运设施、车辆基地。其中：</w:t>
      </w:r>
    </w:p>
    <w:p w14:paraId="033FC84A">
      <w:pPr>
        <w:snapToGrid w:val="0"/>
        <w:spacing w:line="360" w:lineRule="auto"/>
        <w:ind w:firstLine="600" w:firstLineChars="200"/>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区间设施包括隧道、桥涵、路基和其他区间设施等；</w:t>
      </w:r>
    </w:p>
    <w:p w14:paraId="7E047C75">
      <w:pPr>
        <w:snapToGrid w:val="0"/>
        <w:spacing w:line="360" w:lineRule="auto"/>
        <w:ind w:firstLine="600" w:firstLineChars="200"/>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车站包括高架车站、地面车站和地下车站。</w:t>
      </w:r>
    </w:p>
    <w:p w14:paraId="46954570">
      <w:pPr>
        <w:snapToGrid w:val="0"/>
        <w:spacing w:line="360" w:lineRule="auto"/>
        <w:ind w:firstLine="600" w:firstLineChars="200"/>
        <w:rPr>
          <w:rFonts w:hint="eastAsia" w:ascii="仿宋_GB2312" w:hAnsi="仿宋_GB2312" w:eastAsia="仿宋_GB2312" w:cs="仿宋_GB2312"/>
          <w:spacing w:val="-2"/>
          <w:sz w:val="30"/>
          <w:szCs w:val="30"/>
          <w:highlight w:val="none"/>
        </w:rPr>
      </w:pPr>
      <w:r>
        <w:rPr>
          <w:rFonts w:hint="eastAsia" w:ascii="仿宋_GB2312" w:hAnsi="仿宋_GB2312" w:eastAsia="仿宋_GB2312" w:cs="仿宋_GB2312"/>
          <w:sz w:val="30"/>
          <w:szCs w:val="30"/>
          <w:highlight w:val="none"/>
        </w:rPr>
        <w:t>2.市政供排水设施：</w:t>
      </w:r>
      <w:bookmarkStart w:id="15" w:name="_Hlk177045034"/>
      <w:r>
        <w:rPr>
          <w:rFonts w:hint="eastAsia" w:ascii="仿宋_GB2312" w:hAnsi="仿宋_GB2312" w:eastAsia="仿宋_GB2312" w:cs="仿宋_GB2312"/>
          <w:sz w:val="30"/>
          <w:szCs w:val="30"/>
          <w:highlight w:val="none"/>
        </w:rPr>
        <w:t>包括</w:t>
      </w:r>
      <w:bookmarkEnd w:id="15"/>
      <w:r>
        <w:rPr>
          <w:rFonts w:hint="eastAsia" w:ascii="仿宋_GB2312" w:hAnsi="仿宋_GB2312" w:eastAsia="仿宋_GB2312" w:cs="仿宋_GB2312"/>
          <w:sz w:val="30"/>
          <w:szCs w:val="30"/>
          <w:highlight w:val="none"/>
        </w:rPr>
        <w:t>城市供水设施、城市排水和</w:t>
      </w:r>
      <w:r>
        <w:rPr>
          <w:rFonts w:hint="eastAsia" w:ascii="仿宋_GB2312" w:hAnsi="仿宋_GB2312" w:eastAsia="仿宋_GB2312" w:cs="仿宋_GB2312"/>
          <w:spacing w:val="-2"/>
          <w:sz w:val="30"/>
          <w:szCs w:val="30"/>
          <w:highlight w:val="none"/>
        </w:rPr>
        <w:t>污水处理设施等。</w:t>
      </w:r>
    </w:p>
    <w:p w14:paraId="73119C10">
      <w:pPr>
        <w:snapToGrid w:val="0"/>
        <w:spacing w:line="360" w:lineRule="auto"/>
        <w:ind w:firstLine="592" w:firstLineChars="200"/>
        <w:rPr>
          <w:rFonts w:hint="eastAsia" w:ascii="仿宋_GB2312" w:hAnsi="仿宋_GB2312" w:eastAsia="仿宋_GB2312" w:cs="仿宋_GB2312"/>
          <w:spacing w:val="-2"/>
          <w:sz w:val="30"/>
          <w:szCs w:val="30"/>
          <w:highlight w:val="none"/>
        </w:rPr>
      </w:pPr>
      <w:r>
        <w:rPr>
          <w:rFonts w:hint="eastAsia" w:ascii="仿宋_GB2312" w:hAnsi="仿宋_GB2312" w:eastAsia="仿宋_GB2312" w:cs="仿宋_GB2312"/>
          <w:spacing w:val="-2"/>
          <w:sz w:val="30"/>
          <w:szCs w:val="30"/>
          <w:highlight w:val="none"/>
        </w:rPr>
        <w:t>（1）城市供水设施包括取水工程、供水厂（站）、加压泵站、给水管网。其中：</w:t>
      </w:r>
    </w:p>
    <w:p w14:paraId="6562ACA5">
      <w:pPr>
        <w:snapToGrid w:val="0"/>
        <w:spacing w:line="360" w:lineRule="auto"/>
        <w:ind w:firstLine="592" w:firstLineChars="200"/>
        <w:rPr>
          <w:rFonts w:hint="eastAsia" w:ascii="仿宋_GB2312" w:hAnsi="仿宋_GB2312" w:eastAsia="仿宋_GB2312" w:cs="仿宋_GB2312"/>
          <w:spacing w:val="-2"/>
          <w:sz w:val="30"/>
          <w:szCs w:val="30"/>
          <w:highlight w:val="none"/>
        </w:rPr>
      </w:pPr>
      <w:r>
        <w:rPr>
          <w:rFonts w:hint="eastAsia" w:ascii="仿宋_GB2312" w:hAnsi="仿宋_GB2312" w:eastAsia="仿宋_GB2312" w:cs="仿宋_GB2312"/>
          <w:spacing w:val="-2"/>
          <w:sz w:val="30"/>
          <w:szCs w:val="30"/>
          <w:highlight w:val="none"/>
        </w:rPr>
        <w:t>取水工程包括地下水取水构筑物和地表水取水构筑物；</w:t>
      </w:r>
    </w:p>
    <w:p w14:paraId="5E6CFA70">
      <w:pPr>
        <w:snapToGrid w:val="0"/>
        <w:spacing w:line="360" w:lineRule="auto"/>
        <w:ind w:firstLine="592" w:firstLineChars="200"/>
        <w:rPr>
          <w:rFonts w:hint="eastAsia" w:ascii="仿宋_GB2312" w:hAnsi="仿宋_GB2312" w:eastAsia="仿宋_GB2312" w:cs="仿宋_GB2312"/>
          <w:spacing w:val="-2"/>
          <w:sz w:val="30"/>
          <w:szCs w:val="30"/>
          <w:highlight w:val="none"/>
        </w:rPr>
      </w:pPr>
      <w:r>
        <w:rPr>
          <w:rFonts w:hint="eastAsia" w:ascii="仿宋_GB2312" w:hAnsi="仿宋_GB2312" w:eastAsia="仿宋_GB2312" w:cs="仿宋_GB2312"/>
          <w:spacing w:val="-2"/>
          <w:sz w:val="30"/>
          <w:szCs w:val="30"/>
          <w:highlight w:val="none"/>
        </w:rPr>
        <w:t>给水管网包括输配水工程和附属设施；</w:t>
      </w:r>
    </w:p>
    <w:p w14:paraId="787BC021">
      <w:pPr>
        <w:numPr>
          <w:ilvl w:val="0"/>
          <w:numId w:val="11"/>
        </w:numPr>
        <w:snapToGrid w:val="0"/>
        <w:spacing w:line="360" w:lineRule="auto"/>
        <w:ind w:firstLine="592" w:firstLineChars="200"/>
        <w:rPr>
          <w:rFonts w:hint="eastAsia" w:ascii="仿宋_GB2312" w:hAnsi="仿宋_GB2312" w:eastAsia="仿宋_GB2312" w:cs="仿宋_GB2312"/>
          <w:spacing w:val="-2"/>
          <w:sz w:val="30"/>
          <w:szCs w:val="30"/>
          <w:highlight w:val="none"/>
        </w:rPr>
      </w:pPr>
      <w:r>
        <w:rPr>
          <w:rFonts w:hint="eastAsia" w:ascii="仿宋_GB2312" w:hAnsi="仿宋_GB2312" w:eastAsia="仿宋_GB2312" w:cs="仿宋_GB2312"/>
          <w:spacing w:val="-2"/>
          <w:sz w:val="30"/>
          <w:szCs w:val="30"/>
          <w:highlight w:val="none"/>
        </w:rPr>
        <w:t>城市排水和污水处理设施包括路基、桥面、隧道排水设施、排水管网、排水泵站、污水处理厂（站）、再生水管网、再生水处理厂、污泥处理厂。其中：</w:t>
      </w:r>
    </w:p>
    <w:p w14:paraId="1250910A">
      <w:pPr>
        <w:snapToGrid w:val="0"/>
        <w:spacing w:line="360" w:lineRule="auto"/>
        <w:ind w:firstLine="592" w:firstLineChars="200"/>
        <w:rPr>
          <w:rFonts w:hint="eastAsia" w:ascii="仿宋_GB2312" w:hAnsi="仿宋_GB2312" w:eastAsia="仿宋_GB2312" w:cs="仿宋_GB2312"/>
          <w:spacing w:val="-2"/>
          <w:sz w:val="30"/>
          <w:szCs w:val="30"/>
          <w:highlight w:val="none"/>
        </w:rPr>
      </w:pPr>
      <w:r>
        <w:rPr>
          <w:rFonts w:hint="eastAsia" w:ascii="仿宋_GB2312" w:hAnsi="仿宋_GB2312" w:eastAsia="仿宋_GB2312" w:cs="仿宋_GB2312"/>
          <w:spacing w:val="-2"/>
          <w:sz w:val="30"/>
          <w:szCs w:val="30"/>
          <w:highlight w:val="none"/>
        </w:rPr>
        <w:t>路基、桥面、隧道排水设施包括管道、偏沟、雨水口、连接管、边沟、排水沟、载水沟、急流槽和涵洞等；</w:t>
      </w:r>
    </w:p>
    <w:p w14:paraId="38BDF2DD">
      <w:pPr>
        <w:snapToGrid w:val="0"/>
        <w:spacing w:line="360" w:lineRule="auto"/>
        <w:ind w:firstLine="592" w:firstLineChars="200"/>
        <w:rPr>
          <w:rFonts w:hint="eastAsia" w:ascii="仿宋_GB2312" w:hAnsi="仿宋_GB2312" w:eastAsia="仿宋_GB2312" w:cs="仿宋_GB2312"/>
          <w:spacing w:val="-2"/>
          <w:sz w:val="30"/>
          <w:szCs w:val="30"/>
          <w:highlight w:val="none"/>
        </w:rPr>
      </w:pPr>
      <w:r>
        <w:rPr>
          <w:rFonts w:hint="eastAsia" w:ascii="仿宋_GB2312" w:hAnsi="仿宋_GB2312" w:eastAsia="仿宋_GB2312" w:cs="仿宋_GB2312"/>
          <w:spacing w:val="-2"/>
          <w:sz w:val="30"/>
          <w:szCs w:val="30"/>
          <w:highlight w:val="none"/>
        </w:rPr>
        <w:t>排水管网包括雨水管网、污水管网、雨污合流管网和调蓄设施等；</w:t>
      </w:r>
    </w:p>
    <w:p w14:paraId="141F3DBB">
      <w:pPr>
        <w:snapToGrid w:val="0"/>
        <w:spacing w:line="360" w:lineRule="auto"/>
        <w:ind w:firstLine="592" w:firstLineChars="200"/>
        <w:rPr>
          <w:rFonts w:hint="eastAsia" w:ascii="仿宋_GB2312" w:hAnsi="仿宋_GB2312" w:eastAsia="仿宋_GB2312" w:cs="仿宋_GB2312"/>
          <w:spacing w:val="-2"/>
          <w:sz w:val="30"/>
          <w:szCs w:val="30"/>
          <w:highlight w:val="none"/>
        </w:rPr>
      </w:pPr>
      <w:r>
        <w:rPr>
          <w:rFonts w:hint="eastAsia" w:ascii="仿宋_GB2312" w:hAnsi="仿宋_GB2312" w:eastAsia="仿宋_GB2312" w:cs="仿宋_GB2312"/>
          <w:spacing w:val="-2"/>
          <w:sz w:val="30"/>
          <w:szCs w:val="30"/>
          <w:highlight w:val="none"/>
        </w:rPr>
        <w:t>排水泵站包括雨水泵站、污水泵站和合流污水泵站等；</w:t>
      </w:r>
    </w:p>
    <w:p w14:paraId="3D6E10D3">
      <w:pPr>
        <w:snapToGrid w:val="0"/>
        <w:spacing w:line="360" w:lineRule="auto"/>
        <w:ind w:firstLine="592" w:firstLineChars="200"/>
        <w:rPr>
          <w:rFonts w:hint="eastAsia" w:ascii="仿宋_GB2312" w:hAnsi="仿宋_GB2312" w:eastAsia="仿宋_GB2312" w:cs="仿宋_GB2312"/>
          <w:spacing w:val="-2"/>
          <w:sz w:val="30"/>
          <w:szCs w:val="30"/>
          <w:highlight w:val="none"/>
        </w:rPr>
      </w:pPr>
      <w:r>
        <w:rPr>
          <w:rFonts w:hint="eastAsia" w:ascii="仿宋_GB2312" w:hAnsi="仿宋_GB2312" w:eastAsia="仿宋_GB2312" w:cs="仿宋_GB2312"/>
          <w:spacing w:val="-2"/>
          <w:sz w:val="30"/>
          <w:szCs w:val="30"/>
          <w:highlight w:val="none"/>
        </w:rPr>
        <w:t>污水处理厂（站）包括建（构）筑物、污水处理设备、污泥处理设备、附属工程设施；</w:t>
      </w:r>
    </w:p>
    <w:p w14:paraId="2239683F">
      <w:pPr>
        <w:snapToGrid w:val="0"/>
        <w:spacing w:line="360" w:lineRule="auto"/>
        <w:ind w:firstLine="592" w:firstLineChars="200"/>
        <w:rPr>
          <w:rFonts w:hint="eastAsia" w:ascii="仿宋_GB2312" w:hAnsi="仿宋_GB2312" w:eastAsia="仿宋_GB2312" w:cs="仿宋_GB2312"/>
          <w:spacing w:val="-2"/>
          <w:sz w:val="30"/>
          <w:szCs w:val="30"/>
          <w:highlight w:val="none"/>
        </w:rPr>
      </w:pPr>
      <w:r>
        <w:rPr>
          <w:rFonts w:hint="eastAsia" w:ascii="仿宋_GB2312" w:hAnsi="仿宋_GB2312" w:eastAsia="仿宋_GB2312" w:cs="仿宋_GB2312"/>
          <w:spacing w:val="-2"/>
          <w:sz w:val="30"/>
          <w:szCs w:val="30"/>
          <w:highlight w:val="none"/>
        </w:rPr>
        <w:t>污泥处理厂包括建筑物、污泥处理设施、附属工程设施等。</w:t>
      </w:r>
    </w:p>
    <w:p w14:paraId="3CAC0462">
      <w:pPr>
        <w:snapToGrid w:val="0"/>
        <w:spacing w:line="360" w:lineRule="auto"/>
        <w:ind w:firstLine="592" w:firstLineChars="200"/>
        <w:rPr>
          <w:rFonts w:hint="eastAsia" w:ascii="仿宋_GB2312" w:hAnsi="仿宋_GB2312" w:eastAsia="仿宋_GB2312" w:cs="仿宋_GB2312"/>
          <w:spacing w:val="-2"/>
          <w:sz w:val="30"/>
          <w:szCs w:val="30"/>
          <w:highlight w:val="none"/>
        </w:rPr>
      </w:pPr>
      <w:r>
        <w:rPr>
          <w:rFonts w:hint="eastAsia" w:ascii="仿宋_GB2312" w:hAnsi="仿宋_GB2312" w:eastAsia="仿宋_GB2312" w:cs="仿宋_GB2312"/>
          <w:spacing w:val="-2"/>
          <w:sz w:val="30"/>
          <w:szCs w:val="30"/>
          <w:highlight w:val="none"/>
        </w:rPr>
        <w:t>3.市政能源设施：包括城市燃气设施、集中供热设施、其他能源设施等。</w:t>
      </w:r>
    </w:p>
    <w:p w14:paraId="78514596">
      <w:pPr>
        <w:snapToGrid w:val="0"/>
        <w:spacing w:line="360" w:lineRule="auto"/>
        <w:ind w:firstLine="592" w:firstLineChars="200"/>
        <w:rPr>
          <w:rFonts w:hint="eastAsia" w:ascii="仿宋_GB2312" w:hAnsi="仿宋_GB2312" w:eastAsia="仿宋_GB2312" w:cs="仿宋_GB2312"/>
          <w:spacing w:val="-2"/>
          <w:sz w:val="30"/>
          <w:szCs w:val="30"/>
          <w:highlight w:val="none"/>
        </w:rPr>
      </w:pPr>
      <w:r>
        <w:rPr>
          <w:rFonts w:hint="eastAsia" w:ascii="仿宋_GB2312" w:hAnsi="仿宋_GB2312" w:eastAsia="仿宋_GB2312" w:cs="仿宋_GB2312"/>
          <w:spacing w:val="-2"/>
          <w:sz w:val="30"/>
          <w:szCs w:val="30"/>
          <w:highlight w:val="none"/>
        </w:rPr>
        <w:t>（1）城市燃气设施包括燃气厂站、供气管网。其中：</w:t>
      </w:r>
    </w:p>
    <w:p w14:paraId="63C35D37">
      <w:pPr>
        <w:snapToGrid w:val="0"/>
        <w:spacing w:line="360" w:lineRule="auto"/>
        <w:ind w:firstLine="592" w:firstLineChars="200"/>
        <w:rPr>
          <w:rFonts w:hint="eastAsia" w:ascii="仿宋_GB2312" w:hAnsi="仿宋_GB2312" w:eastAsia="仿宋_GB2312" w:cs="仿宋_GB2312"/>
          <w:spacing w:val="-2"/>
          <w:sz w:val="30"/>
          <w:szCs w:val="30"/>
          <w:highlight w:val="none"/>
        </w:rPr>
      </w:pPr>
      <w:r>
        <w:rPr>
          <w:rFonts w:hint="eastAsia" w:ascii="仿宋_GB2312" w:hAnsi="仿宋_GB2312" w:eastAsia="仿宋_GB2312" w:cs="仿宋_GB2312"/>
          <w:spacing w:val="-2"/>
          <w:sz w:val="30"/>
          <w:szCs w:val="30"/>
          <w:highlight w:val="none"/>
        </w:rPr>
        <w:t>燃气厂站包括天然气厂站、液化石油气厂站、人工煤气厂站和其他燃气厂站；</w:t>
      </w:r>
    </w:p>
    <w:p w14:paraId="7E5084A1">
      <w:pPr>
        <w:snapToGrid w:val="0"/>
        <w:spacing w:line="360" w:lineRule="auto"/>
        <w:ind w:firstLine="592" w:firstLineChars="200"/>
        <w:rPr>
          <w:rFonts w:hint="eastAsia" w:ascii="仿宋_GB2312" w:hAnsi="仿宋_GB2312" w:eastAsia="仿宋_GB2312" w:cs="仿宋_GB2312"/>
          <w:spacing w:val="-2"/>
          <w:sz w:val="30"/>
          <w:szCs w:val="30"/>
          <w:highlight w:val="none"/>
        </w:rPr>
      </w:pPr>
      <w:r>
        <w:rPr>
          <w:rFonts w:hint="eastAsia" w:ascii="仿宋_GB2312" w:hAnsi="仿宋_GB2312" w:eastAsia="仿宋_GB2312" w:cs="仿宋_GB2312"/>
          <w:spacing w:val="-2"/>
          <w:sz w:val="30"/>
          <w:szCs w:val="30"/>
          <w:highlight w:val="none"/>
        </w:rPr>
        <w:t>供气管网包括天然气管网、液化石油气管网、人工煤气管网和其他燃气管网。</w:t>
      </w:r>
    </w:p>
    <w:p w14:paraId="5FA809CF">
      <w:pPr>
        <w:snapToGrid w:val="0"/>
        <w:spacing w:line="360" w:lineRule="auto"/>
        <w:ind w:firstLine="592" w:firstLineChars="200"/>
        <w:rPr>
          <w:rFonts w:hint="eastAsia" w:ascii="仿宋_GB2312" w:hAnsi="仿宋_GB2312" w:eastAsia="仿宋_GB2312" w:cs="仿宋_GB2312"/>
          <w:spacing w:val="-2"/>
          <w:sz w:val="30"/>
          <w:szCs w:val="30"/>
          <w:highlight w:val="none"/>
        </w:rPr>
      </w:pPr>
      <w:r>
        <w:rPr>
          <w:rFonts w:hint="eastAsia" w:ascii="仿宋_GB2312" w:hAnsi="仿宋_GB2312" w:eastAsia="仿宋_GB2312" w:cs="仿宋_GB2312"/>
          <w:spacing w:val="-2"/>
          <w:sz w:val="30"/>
          <w:szCs w:val="30"/>
          <w:highlight w:val="none"/>
        </w:rPr>
        <w:t>（2）集中供热设施包括热源厂、供热管网、厂站。</w:t>
      </w:r>
    </w:p>
    <w:p w14:paraId="4E240246">
      <w:pPr>
        <w:snapToGrid w:val="0"/>
        <w:spacing w:line="360" w:lineRule="auto"/>
        <w:ind w:firstLine="592" w:firstLineChars="200"/>
        <w:rPr>
          <w:rFonts w:hint="eastAsia" w:ascii="仿宋_GB2312" w:hAnsi="仿宋_GB2312" w:eastAsia="仿宋_GB2312" w:cs="仿宋_GB2312"/>
          <w:spacing w:val="-2"/>
          <w:sz w:val="30"/>
          <w:szCs w:val="30"/>
          <w:highlight w:val="none"/>
        </w:rPr>
      </w:pPr>
      <w:r>
        <w:rPr>
          <w:rFonts w:hint="eastAsia" w:ascii="仿宋_GB2312" w:hAnsi="仿宋_GB2312" w:eastAsia="仿宋_GB2312" w:cs="仿宋_GB2312"/>
          <w:spacing w:val="-2"/>
          <w:sz w:val="30"/>
          <w:szCs w:val="30"/>
          <w:highlight w:val="none"/>
        </w:rPr>
        <w:t>4.市政环卫设施：包括垃圾收运处理设施、公共厕所等。</w:t>
      </w:r>
    </w:p>
    <w:p w14:paraId="45C0D881">
      <w:pPr>
        <w:snapToGrid w:val="0"/>
        <w:spacing w:line="360" w:lineRule="auto"/>
        <w:ind w:firstLine="592" w:firstLineChars="200"/>
        <w:rPr>
          <w:rFonts w:hint="eastAsia" w:ascii="仿宋_GB2312" w:hAnsi="仿宋_GB2312" w:eastAsia="仿宋_GB2312" w:cs="仿宋_GB2312"/>
          <w:spacing w:val="-2"/>
          <w:sz w:val="30"/>
          <w:szCs w:val="30"/>
          <w:highlight w:val="none"/>
        </w:rPr>
      </w:pPr>
      <w:r>
        <w:rPr>
          <w:rFonts w:hint="eastAsia" w:ascii="仿宋_GB2312" w:hAnsi="仿宋_GB2312" w:eastAsia="仿宋_GB2312" w:cs="仿宋_GB2312"/>
          <w:spacing w:val="-2"/>
          <w:sz w:val="30"/>
          <w:szCs w:val="30"/>
          <w:highlight w:val="none"/>
        </w:rPr>
        <w:t>（1）垃圾收运处理设施包括生活垃圾收运处理设施、建筑垃圾收运处理设施等。</w:t>
      </w:r>
    </w:p>
    <w:p w14:paraId="0FC7991E">
      <w:pPr>
        <w:snapToGrid w:val="0"/>
        <w:spacing w:line="360" w:lineRule="auto"/>
        <w:ind w:firstLine="592" w:firstLineChars="200"/>
        <w:rPr>
          <w:rFonts w:hint="eastAsia" w:ascii="仿宋_GB2312" w:hAnsi="仿宋_GB2312" w:eastAsia="仿宋_GB2312" w:cs="仿宋_GB2312"/>
          <w:spacing w:val="-2"/>
          <w:sz w:val="30"/>
          <w:szCs w:val="30"/>
          <w:highlight w:val="none"/>
        </w:rPr>
      </w:pPr>
      <w:r>
        <w:rPr>
          <w:rFonts w:hint="eastAsia" w:ascii="仿宋_GB2312" w:hAnsi="仿宋_GB2312" w:eastAsia="仿宋_GB2312" w:cs="仿宋_GB2312"/>
          <w:spacing w:val="-2"/>
          <w:sz w:val="30"/>
          <w:szCs w:val="30"/>
          <w:highlight w:val="none"/>
        </w:rPr>
        <w:t>生活垃圾收运处理设施包括生活垃圾收集设施、生活垃圾转运设施和生活垃圾处理设施；</w:t>
      </w:r>
    </w:p>
    <w:p w14:paraId="237626AE">
      <w:pPr>
        <w:snapToGrid w:val="0"/>
        <w:spacing w:line="360" w:lineRule="auto"/>
        <w:ind w:firstLine="592" w:firstLineChars="200"/>
        <w:rPr>
          <w:rFonts w:hint="eastAsia" w:ascii="仿宋_GB2312" w:hAnsi="仿宋_GB2312" w:eastAsia="仿宋_GB2312" w:cs="仿宋_GB2312"/>
          <w:spacing w:val="-2"/>
          <w:sz w:val="30"/>
          <w:szCs w:val="30"/>
          <w:highlight w:val="none"/>
        </w:rPr>
      </w:pPr>
      <w:r>
        <w:rPr>
          <w:rFonts w:hint="eastAsia" w:ascii="仿宋_GB2312" w:hAnsi="仿宋_GB2312" w:eastAsia="仿宋_GB2312" w:cs="仿宋_GB2312"/>
          <w:spacing w:val="-2"/>
          <w:sz w:val="30"/>
          <w:szCs w:val="30"/>
          <w:highlight w:val="none"/>
        </w:rPr>
        <w:t>建筑垃圾收运处理设施包括转运调配场、建筑垃圾处理设施等。</w:t>
      </w:r>
    </w:p>
    <w:p w14:paraId="71C64061">
      <w:pPr>
        <w:snapToGrid w:val="0"/>
        <w:spacing w:line="360" w:lineRule="auto"/>
        <w:ind w:firstLine="592" w:firstLineChars="200"/>
        <w:rPr>
          <w:rFonts w:hint="eastAsia" w:ascii="仿宋_GB2312" w:hAnsi="仿宋_GB2312" w:eastAsia="仿宋_GB2312" w:cs="仿宋_GB2312"/>
          <w:spacing w:val="-2"/>
          <w:sz w:val="30"/>
          <w:szCs w:val="30"/>
          <w:highlight w:val="none"/>
        </w:rPr>
      </w:pPr>
      <w:r>
        <w:rPr>
          <w:rFonts w:hint="eastAsia" w:ascii="仿宋_GB2312" w:hAnsi="仿宋_GB2312" w:eastAsia="仿宋_GB2312" w:cs="仿宋_GB2312"/>
          <w:spacing w:val="-2"/>
          <w:sz w:val="30"/>
          <w:szCs w:val="30"/>
          <w:highlight w:val="none"/>
        </w:rPr>
        <w:t>（2）公共厕所包括固定式公共厕所和活动式公共厕所等。</w:t>
      </w:r>
    </w:p>
    <w:p w14:paraId="5875E741">
      <w:pPr>
        <w:snapToGrid w:val="0"/>
        <w:spacing w:line="360" w:lineRule="auto"/>
        <w:ind w:firstLine="592" w:firstLineChars="200"/>
        <w:rPr>
          <w:rFonts w:hint="eastAsia" w:ascii="仿宋_GB2312" w:hAnsi="仿宋_GB2312" w:eastAsia="仿宋_GB2312" w:cs="仿宋_GB2312"/>
          <w:spacing w:val="-2"/>
          <w:sz w:val="30"/>
          <w:szCs w:val="30"/>
          <w:highlight w:val="none"/>
        </w:rPr>
      </w:pPr>
      <w:r>
        <w:rPr>
          <w:rFonts w:hint="eastAsia" w:ascii="仿宋_GB2312" w:hAnsi="仿宋_GB2312" w:eastAsia="仿宋_GB2312" w:cs="仿宋_GB2312"/>
          <w:spacing w:val="-2"/>
          <w:sz w:val="30"/>
          <w:szCs w:val="30"/>
          <w:highlight w:val="none"/>
        </w:rPr>
        <w:t>5.市政园林绿化设施：包括公园绿地、广场用地、防护绿地、附属绿地、其他园林绿化设施等。</w:t>
      </w:r>
    </w:p>
    <w:p w14:paraId="11E2FBB8">
      <w:pPr>
        <w:snapToGrid w:val="0"/>
        <w:spacing w:line="360" w:lineRule="auto"/>
        <w:ind w:firstLine="592" w:firstLineChars="200"/>
        <w:rPr>
          <w:rFonts w:hint="eastAsia" w:ascii="仿宋_GB2312" w:hAnsi="仿宋_GB2312" w:eastAsia="仿宋_GB2312" w:cs="仿宋_GB2312"/>
          <w:spacing w:val="-2"/>
          <w:sz w:val="30"/>
          <w:szCs w:val="30"/>
          <w:highlight w:val="none"/>
        </w:rPr>
      </w:pPr>
      <w:r>
        <w:rPr>
          <w:rFonts w:hint="eastAsia" w:ascii="仿宋_GB2312" w:hAnsi="仿宋_GB2312" w:eastAsia="仿宋_GB2312" w:cs="仿宋_GB2312"/>
          <w:spacing w:val="-2"/>
          <w:sz w:val="30"/>
          <w:szCs w:val="30"/>
          <w:highlight w:val="none"/>
        </w:rPr>
        <w:t>（1）公园绿地包括绿化工程、园林附属工程。其中：</w:t>
      </w:r>
    </w:p>
    <w:p w14:paraId="2828CBD2">
      <w:pPr>
        <w:snapToGrid w:val="0"/>
        <w:spacing w:line="360" w:lineRule="auto"/>
        <w:ind w:firstLine="592" w:firstLineChars="200"/>
        <w:rPr>
          <w:rFonts w:hint="eastAsia" w:ascii="仿宋_GB2312" w:hAnsi="仿宋_GB2312" w:eastAsia="仿宋_GB2312" w:cs="仿宋_GB2312"/>
          <w:spacing w:val="-2"/>
          <w:sz w:val="30"/>
          <w:szCs w:val="30"/>
          <w:highlight w:val="none"/>
        </w:rPr>
      </w:pPr>
      <w:r>
        <w:rPr>
          <w:rFonts w:hint="eastAsia" w:ascii="仿宋_GB2312" w:hAnsi="仿宋_GB2312" w:eastAsia="仿宋_GB2312" w:cs="仿宋_GB2312"/>
          <w:spacing w:val="-2"/>
          <w:sz w:val="30"/>
          <w:szCs w:val="30"/>
          <w:highlight w:val="none"/>
        </w:rPr>
        <w:t>园林附属工程包括园路与广场铺装工程、道路工程、游憩设施及建筑物、园林构筑物、景观水体和其他设施等。</w:t>
      </w:r>
    </w:p>
    <w:p w14:paraId="79988D12">
      <w:pPr>
        <w:snapToGrid w:val="0"/>
        <w:spacing w:line="360" w:lineRule="auto"/>
        <w:ind w:firstLine="592" w:firstLineChars="200"/>
        <w:rPr>
          <w:rFonts w:hint="eastAsia" w:ascii="仿宋_GB2312" w:hAnsi="仿宋_GB2312" w:eastAsia="仿宋_GB2312" w:cs="仿宋_GB2312"/>
          <w:spacing w:val="-2"/>
          <w:sz w:val="30"/>
          <w:szCs w:val="30"/>
          <w:highlight w:val="none"/>
        </w:rPr>
      </w:pPr>
      <w:r>
        <w:rPr>
          <w:rFonts w:hint="eastAsia" w:ascii="仿宋_GB2312" w:hAnsi="仿宋_GB2312" w:eastAsia="仿宋_GB2312" w:cs="仿宋_GB2312"/>
          <w:spacing w:val="-2"/>
          <w:sz w:val="30"/>
          <w:szCs w:val="30"/>
          <w:highlight w:val="none"/>
        </w:rPr>
        <w:t>（2）广场用地包括绿化工程、园林附属工程。</w:t>
      </w:r>
    </w:p>
    <w:p w14:paraId="7D20BF6F">
      <w:pPr>
        <w:snapToGrid w:val="0"/>
        <w:spacing w:line="360" w:lineRule="auto"/>
        <w:ind w:firstLine="592" w:firstLineChars="200"/>
        <w:rPr>
          <w:rFonts w:hint="eastAsia" w:ascii="仿宋_GB2312" w:hAnsi="仿宋_GB2312" w:eastAsia="仿宋_GB2312" w:cs="仿宋_GB2312"/>
          <w:spacing w:val="-2"/>
          <w:sz w:val="30"/>
          <w:szCs w:val="30"/>
          <w:highlight w:val="none"/>
        </w:rPr>
      </w:pPr>
      <w:r>
        <w:rPr>
          <w:rFonts w:hint="eastAsia" w:ascii="仿宋_GB2312" w:hAnsi="仿宋_GB2312" w:eastAsia="仿宋_GB2312" w:cs="仿宋_GB2312"/>
          <w:spacing w:val="-2"/>
          <w:sz w:val="30"/>
          <w:szCs w:val="30"/>
          <w:highlight w:val="none"/>
        </w:rPr>
        <w:t>（3）防护绿地包括道路防护绿地、公用设施防护绿地。其中：</w:t>
      </w:r>
    </w:p>
    <w:p w14:paraId="7E7A9089">
      <w:pPr>
        <w:snapToGrid w:val="0"/>
        <w:spacing w:line="360" w:lineRule="auto"/>
        <w:ind w:firstLine="592" w:firstLineChars="200"/>
        <w:rPr>
          <w:rFonts w:hint="eastAsia" w:ascii="仿宋_GB2312" w:hAnsi="仿宋_GB2312" w:eastAsia="仿宋_GB2312" w:cs="仿宋_GB2312"/>
          <w:spacing w:val="-2"/>
          <w:sz w:val="30"/>
          <w:szCs w:val="30"/>
          <w:highlight w:val="none"/>
        </w:rPr>
      </w:pPr>
      <w:r>
        <w:rPr>
          <w:rFonts w:hint="eastAsia" w:ascii="仿宋_GB2312" w:hAnsi="仿宋_GB2312" w:eastAsia="仿宋_GB2312" w:cs="仿宋_GB2312"/>
          <w:spacing w:val="-2"/>
          <w:sz w:val="30"/>
          <w:szCs w:val="30"/>
          <w:highlight w:val="none"/>
        </w:rPr>
        <w:t>公用设施防护绿地包括能源设施防护绿地和环卫设施防护绿地等。</w:t>
      </w:r>
    </w:p>
    <w:p w14:paraId="56475B70">
      <w:pPr>
        <w:snapToGrid w:val="0"/>
        <w:spacing w:line="360" w:lineRule="auto"/>
        <w:ind w:firstLine="592" w:firstLineChars="200"/>
        <w:rPr>
          <w:rFonts w:hint="eastAsia" w:ascii="仿宋_GB2312" w:hAnsi="仿宋_GB2312" w:eastAsia="仿宋_GB2312" w:cs="仿宋_GB2312"/>
          <w:spacing w:val="-2"/>
          <w:sz w:val="30"/>
          <w:szCs w:val="30"/>
          <w:highlight w:val="none"/>
        </w:rPr>
      </w:pPr>
      <w:r>
        <w:rPr>
          <w:rFonts w:hint="eastAsia" w:ascii="仿宋_GB2312" w:hAnsi="仿宋_GB2312" w:eastAsia="仿宋_GB2312" w:cs="仿宋_GB2312"/>
          <w:spacing w:val="-2"/>
          <w:sz w:val="30"/>
          <w:szCs w:val="30"/>
          <w:highlight w:val="none"/>
        </w:rPr>
        <w:t>（4）附属绿地包括道路绿化、环卫设施用地内附属绿地。其中：</w:t>
      </w:r>
    </w:p>
    <w:p w14:paraId="7677D66F">
      <w:pPr>
        <w:snapToGrid w:val="0"/>
        <w:spacing w:line="360" w:lineRule="auto"/>
        <w:ind w:firstLine="592" w:firstLineChars="200"/>
        <w:rPr>
          <w:rFonts w:hint="eastAsia" w:ascii="仿宋_GB2312" w:hAnsi="仿宋_GB2312" w:eastAsia="仿宋_GB2312" w:cs="仿宋_GB2312"/>
          <w:spacing w:val="-2"/>
          <w:sz w:val="30"/>
          <w:szCs w:val="30"/>
          <w:highlight w:val="none"/>
        </w:rPr>
      </w:pPr>
      <w:r>
        <w:rPr>
          <w:rFonts w:hint="eastAsia" w:ascii="仿宋_GB2312" w:hAnsi="仿宋_GB2312" w:eastAsia="仿宋_GB2312" w:cs="仿宋_GB2312"/>
          <w:spacing w:val="-2"/>
          <w:sz w:val="30"/>
          <w:szCs w:val="30"/>
          <w:highlight w:val="none"/>
        </w:rPr>
        <w:t>道路绿化包括道路绿带和交通岛绿地等。</w:t>
      </w:r>
    </w:p>
    <w:p w14:paraId="5A3A3C60">
      <w:pPr>
        <w:snapToGrid w:val="0"/>
        <w:spacing w:line="360" w:lineRule="auto"/>
        <w:ind w:firstLine="592" w:firstLineChars="200"/>
        <w:rPr>
          <w:rFonts w:hint="eastAsia" w:ascii="仿宋_GB2312" w:hAnsi="仿宋_GB2312" w:eastAsia="仿宋_GB2312" w:cs="仿宋_GB2312"/>
          <w:spacing w:val="-2"/>
          <w:sz w:val="30"/>
          <w:szCs w:val="30"/>
          <w:highlight w:val="none"/>
        </w:rPr>
      </w:pPr>
      <w:r>
        <w:rPr>
          <w:rFonts w:hint="eastAsia" w:ascii="仿宋_GB2312" w:hAnsi="仿宋_GB2312" w:eastAsia="仿宋_GB2312" w:cs="仿宋_GB2312"/>
          <w:spacing w:val="-2"/>
          <w:sz w:val="30"/>
          <w:szCs w:val="30"/>
          <w:highlight w:val="none"/>
        </w:rPr>
        <w:t>6.市政综合类设施：包括地下综合管廊、其他综合类设施等。</w:t>
      </w:r>
    </w:p>
    <w:p w14:paraId="398C85AD">
      <w:pPr>
        <w:snapToGrid w:val="0"/>
        <w:spacing w:line="360" w:lineRule="auto"/>
        <w:ind w:firstLine="592" w:firstLineChars="200"/>
        <w:rPr>
          <w:rFonts w:hint="eastAsia" w:ascii="仿宋_GB2312" w:hAnsi="仿宋_GB2312" w:eastAsia="仿宋_GB2312" w:cs="仿宋_GB2312"/>
          <w:spacing w:val="-2"/>
          <w:sz w:val="30"/>
          <w:szCs w:val="30"/>
          <w:highlight w:val="none"/>
        </w:rPr>
      </w:pPr>
      <w:r>
        <w:rPr>
          <w:rFonts w:hint="eastAsia" w:ascii="仿宋_GB2312" w:hAnsi="仿宋_GB2312" w:eastAsia="仿宋_GB2312" w:cs="仿宋_GB2312"/>
          <w:spacing w:val="-2"/>
          <w:sz w:val="30"/>
          <w:szCs w:val="30"/>
          <w:highlight w:val="none"/>
        </w:rPr>
        <w:t>地下综合管廊包括管廊本体、供电设施、通风设施、监控与报警系统、管廊信息系统。</w:t>
      </w:r>
    </w:p>
    <w:p w14:paraId="57D6F75F">
      <w:pPr>
        <w:snapToGrid w:val="0"/>
        <w:spacing w:line="360" w:lineRule="auto"/>
        <w:ind w:firstLine="592" w:firstLineChars="200"/>
        <w:rPr>
          <w:rFonts w:hint="eastAsia" w:ascii="仿宋_GB2312" w:hAnsi="仿宋_GB2312" w:eastAsia="仿宋_GB2312" w:cs="仿宋_GB2312"/>
          <w:spacing w:val="-2"/>
          <w:sz w:val="30"/>
          <w:szCs w:val="30"/>
          <w:highlight w:val="none"/>
        </w:rPr>
      </w:pPr>
      <w:r>
        <w:rPr>
          <w:rFonts w:hint="eastAsia" w:ascii="仿宋_GB2312" w:hAnsi="仿宋_GB2312" w:eastAsia="仿宋_GB2312" w:cs="仿宋_GB2312"/>
          <w:spacing w:val="-2"/>
          <w:sz w:val="30"/>
          <w:szCs w:val="30"/>
          <w:highlight w:val="none"/>
        </w:rPr>
        <w:t>7.市政信息通信设施：包括信息基础设施、其他信息通信设施等。</w:t>
      </w:r>
    </w:p>
    <w:p w14:paraId="453D0022">
      <w:pPr>
        <w:snapToGrid w:val="0"/>
        <w:spacing w:line="360" w:lineRule="auto"/>
        <w:ind w:firstLine="592" w:firstLineChars="200"/>
        <w:rPr>
          <w:rFonts w:hint="eastAsia" w:ascii="仿宋_GB2312" w:hAnsi="仿宋_GB2312" w:eastAsia="仿宋_GB2312" w:cs="仿宋_GB2312"/>
          <w:spacing w:val="-2"/>
          <w:sz w:val="30"/>
          <w:szCs w:val="30"/>
          <w:highlight w:val="none"/>
        </w:rPr>
      </w:pPr>
      <w:r>
        <w:rPr>
          <w:rFonts w:hint="eastAsia" w:ascii="仿宋_GB2312" w:hAnsi="仿宋_GB2312" w:eastAsia="仿宋_GB2312" w:cs="仿宋_GB2312"/>
          <w:spacing w:val="-2"/>
          <w:sz w:val="30"/>
          <w:szCs w:val="30"/>
          <w:highlight w:val="none"/>
        </w:rPr>
        <w:t>信息基础设施包括数据中心和系统智能计算中心等。</w:t>
      </w:r>
    </w:p>
    <w:p w14:paraId="157AB637">
      <w:pPr>
        <w:snapToGrid w:val="0"/>
        <w:spacing w:line="360" w:lineRule="auto"/>
        <w:ind w:firstLine="600" w:firstLineChars="200"/>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8.</w:t>
      </w:r>
      <w:r>
        <w:rPr>
          <w:rFonts w:hint="eastAsia" w:ascii="仿宋_GB2312" w:hAnsi="仿宋_GB2312" w:eastAsia="仿宋_GB2312" w:cs="仿宋_GB2312"/>
          <w:spacing w:val="-2"/>
          <w:sz w:val="30"/>
          <w:szCs w:val="30"/>
          <w:highlight w:val="none"/>
        </w:rPr>
        <w:t>其他市政设施：包括城市照明设施、公共停车场设施和其他设施等</w:t>
      </w:r>
      <w:r>
        <w:rPr>
          <w:rFonts w:hint="eastAsia" w:ascii="仿宋_GB2312" w:hAnsi="仿宋_GB2312" w:eastAsia="仿宋_GB2312" w:cs="仿宋_GB2312"/>
          <w:sz w:val="30"/>
          <w:szCs w:val="30"/>
          <w:highlight w:val="none"/>
        </w:rPr>
        <w:t>。</w:t>
      </w:r>
    </w:p>
    <w:p w14:paraId="7678C500">
      <w:pPr>
        <w:snapToGrid w:val="0"/>
        <w:spacing w:line="360" w:lineRule="auto"/>
        <w:ind w:firstLine="600" w:firstLineChars="200"/>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（1）城市照明设施包括功能照明、景观照明。</w:t>
      </w:r>
    </w:p>
    <w:p w14:paraId="34436050">
      <w:pPr>
        <w:snapToGrid w:val="0"/>
        <w:spacing w:line="360" w:lineRule="auto"/>
        <w:ind w:firstLine="600" w:firstLineChars="200"/>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（2）公共停车场设施包括停车基本设施、建筑设备、管理设施、安全防护与环境保护设施。</w:t>
      </w:r>
    </w:p>
    <w:p w14:paraId="3CD83978">
      <w:pPr>
        <w:snapToGrid w:val="0"/>
        <w:spacing w:line="360" w:lineRule="auto"/>
        <w:ind w:firstLine="600" w:firstLineChars="200"/>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市政基础设施涉及土地使用权的，应当根据资产管理需要在相关类别市政基础设施下单独反映土地使用权。</w:t>
      </w:r>
    </w:p>
    <w:p w14:paraId="4E91796D">
      <w:pPr>
        <w:snapToGrid w:val="0"/>
        <w:spacing w:line="360" w:lineRule="auto"/>
        <w:ind w:firstLine="626" w:firstLineChars="200"/>
        <w:rPr>
          <w:rFonts w:hint="eastAsia" w:ascii="仿宋_GB2312" w:hAnsi="仿宋" w:eastAsia="仿宋_GB2312"/>
          <w:b/>
          <w:spacing w:val="6"/>
          <w:sz w:val="30"/>
          <w:szCs w:val="30"/>
          <w:highlight w:val="none"/>
        </w:rPr>
      </w:pPr>
      <w:r>
        <w:rPr>
          <w:rFonts w:hint="eastAsia" w:ascii="仿宋_GB2312" w:hAnsi="仿宋" w:eastAsia="仿宋_GB2312"/>
          <w:b/>
          <w:spacing w:val="6"/>
          <w:sz w:val="30"/>
          <w:szCs w:val="30"/>
          <w:highlight w:val="none"/>
        </w:rPr>
        <w:t>逻辑性审核公式：</w:t>
      </w:r>
    </w:p>
    <w:p w14:paraId="1AB5DDBA">
      <w:pPr>
        <w:snapToGrid w:val="0"/>
        <w:spacing w:line="360" w:lineRule="auto"/>
        <w:ind w:firstLine="626" w:firstLineChars="200"/>
        <w:rPr>
          <w:rFonts w:hint="eastAsia" w:ascii="仿宋_GB2312" w:hAnsi="仿宋" w:eastAsia="仿宋_GB2312"/>
          <w:b/>
          <w:spacing w:val="6"/>
          <w:sz w:val="30"/>
          <w:szCs w:val="30"/>
          <w:highlight w:val="none"/>
        </w:rPr>
      </w:pPr>
      <w:r>
        <w:rPr>
          <w:rFonts w:hint="eastAsia" w:ascii="仿宋_GB2312" w:hAnsi="仿宋" w:eastAsia="仿宋_GB2312"/>
          <w:b/>
          <w:spacing w:val="6"/>
          <w:sz w:val="30"/>
          <w:szCs w:val="30"/>
          <w:highlight w:val="none"/>
        </w:rPr>
        <w:t>表内公式：</w:t>
      </w:r>
    </w:p>
    <w:p w14:paraId="46F6A2A9">
      <w:pPr>
        <w:numPr>
          <w:ilvl w:val="0"/>
          <w:numId w:val="5"/>
        </w:numPr>
        <w:spacing w:line="360" w:lineRule="auto"/>
        <w:ind w:left="-151"/>
        <w:rPr>
          <w:rFonts w:ascii="仿宋_GB2312" w:hAnsi="Calibri" w:eastAsia="仿宋_GB2312"/>
          <w:sz w:val="30"/>
          <w:szCs w:val="30"/>
          <w:highlight w:val="none"/>
        </w:rPr>
      </w:pPr>
      <w:r>
        <w:rPr>
          <w:rFonts w:hint="eastAsia" w:ascii="仿宋_GB2312" w:hAnsi="Calibri" w:eastAsia="仿宋_GB2312"/>
          <w:sz w:val="30"/>
          <w:szCs w:val="30"/>
          <w:highlight w:val="none"/>
        </w:rPr>
        <w:t>合计（1行）等于市政交通设施（2行）</w:t>
      </w:r>
      <w:r>
        <w:rPr>
          <w:rFonts w:ascii="仿宋_GB2312" w:hAnsi="Calibri" w:eastAsia="仿宋_GB2312"/>
          <w:sz w:val="30"/>
          <w:szCs w:val="30"/>
          <w:highlight w:val="none"/>
        </w:rPr>
        <w:t>、</w:t>
      </w:r>
      <w:r>
        <w:rPr>
          <w:rFonts w:hint="eastAsia" w:ascii="仿宋_GB2312" w:hAnsi="Calibri" w:eastAsia="仿宋_GB2312"/>
          <w:sz w:val="30"/>
          <w:szCs w:val="30"/>
          <w:highlight w:val="none"/>
        </w:rPr>
        <w:t>市政供排水设施（24行）</w:t>
      </w:r>
      <w:r>
        <w:rPr>
          <w:rFonts w:ascii="仿宋_GB2312" w:hAnsi="Calibri" w:eastAsia="仿宋_GB2312"/>
          <w:sz w:val="30"/>
          <w:szCs w:val="30"/>
          <w:highlight w:val="none"/>
        </w:rPr>
        <w:t>、</w:t>
      </w:r>
      <w:r>
        <w:rPr>
          <w:rFonts w:hint="eastAsia" w:ascii="仿宋_GB2312" w:hAnsi="Calibri" w:eastAsia="仿宋_GB2312"/>
          <w:sz w:val="30"/>
          <w:szCs w:val="30"/>
          <w:highlight w:val="none"/>
        </w:rPr>
        <w:t>市政能源设施（34行）</w:t>
      </w:r>
      <w:r>
        <w:rPr>
          <w:rFonts w:ascii="仿宋_GB2312" w:hAnsi="Calibri" w:eastAsia="仿宋_GB2312"/>
          <w:sz w:val="30"/>
          <w:szCs w:val="30"/>
          <w:highlight w:val="none"/>
        </w:rPr>
        <w:t>、</w:t>
      </w:r>
      <w:r>
        <w:rPr>
          <w:rFonts w:hint="eastAsia" w:ascii="仿宋_GB2312" w:hAnsi="Calibri" w:eastAsia="仿宋_GB2312"/>
          <w:sz w:val="30"/>
          <w:szCs w:val="30"/>
          <w:highlight w:val="none"/>
        </w:rPr>
        <w:t>市政环卫设施（39行）</w:t>
      </w:r>
      <w:r>
        <w:rPr>
          <w:rFonts w:ascii="仿宋_GB2312" w:hAnsi="Calibri" w:eastAsia="仿宋_GB2312"/>
          <w:sz w:val="30"/>
          <w:szCs w:val="30"/>
          <w:highlight w:val="none"/>
        </w:rPr>
        <w:t>、</w:t>
      </w:r>
      <w:r>
        <w:rPr>
          <w:rFonts w:hint="eastAsia" w:ascii="仿宋_GB2312" w:hAnsi="Calibri" w:eastAsia="仿宋_GB2312"/>
          <w:sz w:val="30"/>
          <w:szCs w:val="30"/>
          <w:highlight w:val="none"/>
        </w:rPr>
        <w:t>市政园林绿化设施（42行）</w:t>
      </w:r>
      <w:r>
        <w:rPr>
          <w:rFonts w:ascii="仿宋_GB2312" w:hAnsi="Calibri" w:eastAsia="仿宋_GB2312"/>
          <w:sz w:val="30"/>
          <w:szCs w:val="30"/>
          <w:highlight w:val="none"/>
        </w:rPr>
        <w:t>、</w:t>
      </w:r>
      <w:r>
        <w:rPr>
          <w:rFonts w:hint="eastAsia" w:ascii="仿宋_GB2312" w:hAnsi="Calibri" w:eastAsia="仿宋_GB2312"/>
          <w:sz w:val="30"/>
          <w:szCs w:val="30"/>
          <w:highlight w:val="none"/>
        </w:rPr>
        <w:t>市政综合类设施（56行）</w:t>
      </w:r>
      <w:r>
        <w:rPr>
          <w:rFonts w:ascii="仿宋_GB2312" w:hAnsi="Calibri" w:eastAsia="仿宋_GB2312"/>
          <w:sz w:val="30"/>
          <w:szCs w:val="30"/>
          <w:highlight w:val="none"/>
        </w:rPr>
        <w:t>、</w:t>
      </w:r>
      <w:r>
        <w:rPr>
          <w:rFonts w:hint="eastAsia" w:ascii="仿宋_GB2312" w:hAnsi="Calibri" w:eastAsia="仿宋_GB2312"/>
          <w:sz w:val="30"/>
          <w:szCs w:val="30"/>
          <w:highlight w:val="none"/>
        </w:rPr>
        <w:t>市政信息通信设施（60行）</w:t>
      </w:r>
      <w:r>
        <w:rPr>
          <w:rFonts w:ascii="仿宋_GB2312" w:hAnsi="Calibri" w:eastAsia="仿宋_GB2312"/>
          <w:sz w:val="30"/>
          <w:szCs w:val="30"/>
          <w:highlight w:val="none"/>
        </w:rPr>
        <w:t>、</w:t>
      </w:r>
      <w:r>
        <w:rPr>
          <w:rFonts w:hint="eastAsia" w:ascii="仿宋_GB2312" w:hAnsi="Calibri" w:eastAsia="仿宋_GB2312"/>
          <w:sz w:val="30"/>
          <w:szCs w:val="30"/>
          <w:highlight w:val="none"/>
        </w:rPr>
        <w:t>其他市政设施（62行）各项之和</w:t>
      </w:r>
      <w:r>
        <w:rPr>
          <w:rFonts w:ascii="仿宋_GB2312" w:hAnsi="Calibri" w:eastAsia="仿宋_GB2312"/>
          <w:sz w:val="30"/>
          <w:szCs w:val="30"/>
          <w:highlight w:val="none"/>
        </w:rPr>
        <w:t>；</w:t>
      </w:r>
    </w:p>
    <w:p w14:paraId="3AC7633F">
      <w:pPr>
        <w:numPr>
          <w:ilvl w:val="0"/>
          <w:numId w:val="5"/>
        </w:numPr>
        <w:spacing w:line="360" w:lineRule="auto"/>
        <w:ind w:left="-151"/>
        <w:rPr>
          <w:rFonts w:ascii="仿宋_GB2312" w:hAnsi="Calibri" w:eastAsia="仿宋_GB2312"/>
          <w:sz w:val="30"/>
          <w:szCs w:val="30"/>
          <w:highlight w:val="none"/>
        </w:rPr>
      </w:pPr>
      <w:r>
        <w:rPr>
          <w:rFonts w:hint="eastAsia" w:ascii="仿宋_GB2312" w:hAnsi="Calibri" w:eastAsia="仿宋_GB2312"/>
          <w:sz w:val="30"/>
          <w:szCs w:val="30"/>
          <w:highlight w:val="none"/>
        </w:rPr>
        <w:t>市政交通设施（2行）等于城市道路（3行）</w:t>
      </w:r>
      <w:r>
        <w:rPr>
          <w:rFonts w:ascii="仿宋_GB2312" w:hAnsi="Calibri" w:eastAsia="仿宋_GB2312"/>
          <w:sz w:val="30"/>
          <w:szCs w:val="30"/>
          <w:highlight w:val="none"/>
        </w:rPr>
        <w:t>、</w:t>
      </w:r>
      <w:r>
        <w:rPr>
          <w:rFonts w:hint="eastAsia" w:ascii="仿宋_GB2312" w:hAnsi="Calibri" w:eastAsia="仿宋_GB2312"/>
          <w:sz w:val="30"/>
          <w:szCs w:val="30"/>
          <w:highlight w:val="none"/>
        </w:rPr>
        <w:t>城市桥梁（</w:t>
      </w:r>
      <w:r>
        <w:rPr>
          <w:rFonts w:ascii="仿宋_GB2312" w:hAnsi="Calibri" w:eastAsia="仿宋_GB2312"/>
          <w:sz w:val="30"/>
          <w:szCs w:val="30"/>
          <w:highlight w:val="none"/>
        </w:rPr>
        <w:t>7</w:t>
      </w:r>
      <w:r>
        <w:rPr>
          <w:rFonts w:hint="eastAsia" w:ascii="仿宋_GB2312" w:hAnsi="Calibri" w:eastAsia="仿宋_GB2312"/>
          <w:sz w:val="30"/>
          <w:szCs w:val="30"/>
          <w:highlight w:val="none"/>
        </w:rPr>
        <w:t>行）</w:t>
      </w:r>
      <w:r>
        <w:rPr>
          <w:rFonts w:ascii="仿宋_GB2312" w:hAnsi="Calibri" w:eastAsia="仿宋_GB2312"/>
          <w:sz w:val="30"/>
          <w:szCs w:val="30"/>
          <w:highlight w:val="none"/>
        </w:rPr>
        <w:t>、城市隧道（11行）、</w:t>
      </w:r>
      <w:r>
        <w:rPr>
          <w:rFonts w:hint="eastAsia" w:ascii="仿宋_GB2312" w:hAnsi="Calibri" w:eastAsia="仿宋_GB2312"/>
          <w:sz w:val="30"/>
          <w:szCs w:val="30"/>
          <w:highlight w:val="none"/>
        </w:rPr>
        <w:t>城市公共汽电车客运服务设施（13行）</w:t>
      </w:r>
      <w:r>
        <w:rPr>
          <w:rFonts w:ascii="仿宋_GB2312" w:hAnsi="Calibri" w:eastAsia="仿宋_GB2312"/>
          <w:sz w:val="30"/>
          <w:szCs w:val="30"/>
          <w:highlight w:val="none"/>
        </w:rPr>
        <w:t>、</w:t>
      </w:r>
      <w:r>
        <w:rPr>
          <w:rFonts w:hint="eastAsia" w:ascii="仿宋_GB2312" w:hAnsi="Calibri" w:eastAsia="仿宋_GB2312"/>
          <w:sz w:val="30"/>
          <w:szCs w:val="30"/>
          <w:highlight w:val="none"/>
        </w:rPr>
        <w:t>城市客运轮渡设施（16行）</w:t>
      </w:r>
      <w:r>
        <w:rPr>
          <w:rFonts w:ascii="仿宋_GB2312" w:hAnsi="Calibri" w:eastAsia="仿宋_GB2312"/>
          <w:sz w:val="30"/>
          <w:szCs w:val="30"/>
          <w:highlight w:val="none"/>
        </w:rPr>
        <w:t>、</w:t>
      </w:r>
      <w:r>
        <w:rPr>
          <w:rFonts w:hint="eastAsia" w:ascii="仿宋_GB2312" w:hAnsi="Calibri" w:eastAsia="仿宋_GB2312"/>
          <w:sz w:val="30"/>
          <w:szCs w:val="30"/>
          <w:highlight w:val="none"/>
        </w:rPr>
        <w:t>城市轨道交通设施（19行）</w:t>
      </w:r>
      <w:r>
        <w:rPr>
          <w:rFonts w:ascii="仿宋_GB2312" w:hAnsi="Calibri" w:eastAsia="仿宋_GB2312"/>
          <w:sz w:val="30"/>
          <w:szCs w:val="30"/>
          <w:highlight w:val="none"/>
        </w:rPr>
        <w:t>、</w:t>
      </w:r>
      <w:r>
        <w:rPr>
          <w:rFonts w:hint="eastAsia" w:ascii="仿宋_GB2312" w:hAnsi="Calibri" w:eastAsia="仿宋_GB2312"/>
          <w:sz w:val="30"/>
          <w:szCs w:val="30"/>
          <w:highlight w:val="none"/>
        </w:rPr>
        <w:t>其他交通设施（23行）各项之和；</w:t>
      </w:r>
    </w:p>
    <w:p w14:paraId="011FBE0C">
      <w:pPr>
        <w:numPr>
          <w:ilvl w:val="0"/>
          <w:numId w:val="5"/>
        </w:numPr>
        <w:spacing w:line="360" w:lineRule="auto"/>
        <w:ind w:left="-151"/>
        <w:rPr>
          <w:rFonts w:ascii="仿宋_GB2312" w:hAnsi="Calibri" w:eastAsia="仿宋_GB2312"/>
          <w:sz w:val="30"/>
          <w:szCs w:val="30"/>
          <w:highlight w:val="none"/>
        </w:rPr>
      </w:pPr>
      <w:r>
        <w:rPr>
          <w:rFonts w:hint="eastAsia" w:ascii="仿宋_GB2312" w:hAnsi="Calibri" w:eastAsia="仿宋_GB2312"/>
          <w:sz w:val="30"/>
          <w:szCs w:val="30"/>
          <w:highlight w:val="none"/>
        </w:rPr>
        <w:t>市政供排水设施（24行）</w:t>
      </w:r>
      <w:r>
        <w:rPr>
          <w:rFonts w:ascii="仿宋_GB2312" w:hAnsi="Calibri" w:eastAsia="仿宋_GB2312"/>
          <w:sz w:val="30"/>
          <w:szCs w:val="30"/>
          <w:highlight w:val="none"/>
        </w:rPr>
        <w:t xml:space="preserve"> </w:t>
      </w:r>
      <w:r>
        <w:rPr>
          <w:rFonts w:hint="eastAsia" w:ascii="仿宋_GB2312" w:hAnsi="Calibri" w:eastAsia="仿宋_GB2312"/>
          <w:sz w:val="30"/>
          <w:szCs w:val="30"/>
          <w:highlight w:val="none"/>
        </w:rPr>
        <w:t>大于等于城市供水设施（25行）</w:t>
      </w:r>
      <w:r>
        <w:rPr>
          <w:rFonts w:ascii="仿宋_GB2312" w:hAnsi="Calibri" w:eastAsia="仿宋_GB2312"/>
          <w:sz w:val="30"/>
          <w:szCs w:val="30"/>
          <w:highlight w:val="none"/>
        </w:rPr>
        <w:t>、</w:t>
      </w:r>
      <w:r>
        <w:rPr>
          <w:rFonts w:hint="eastAsia" w:ascii="仿宋_GB2312" w:hAnsi="Calibri" w:eastAsia="仿宋_GB2312"/>
          <w:sz w:val="30"/>
          <w:szCs w:val="30"/>
          <w:highlight w:val="none"/>
        </w:rPr>
        <w:t>城市排水和污水处理设施（29行）之和；</w:t>
      </w:r>
    </w:p>
    <w:p w14:paraId="7351C6A4">
      <w:pPr>
        <w:numPr>
          <w:ilvl w:val="0"/>
          <w:numId w:val="5"/>
        </w:numPr>
        <w:spacing w:line="360" w:lineRule="auto"/>
        <w:ind w:left="-151"/>
        <w:rPr>
          <w:rFonts w:ascii="仿宋_GB2312" w:hAnsi="Calibri" w:eastAsia="仿宋_GB2312"/>
          <w:sz w:val="30"/>
          <w:szCs w:val="30"/>
          <w:highlight w:val="none"/>
        </w:rPr>
      </w:pPr>
      <w:r>
        <w:rPr>
          <w:rFonts w:hint="eastAsia" w:ascii="仿宋_GB2312" w:hAnsi="Calibri" w:eastAsia="仿宋_GB2312"/>
          <w:sz w:val="30"/>
          <w:szCs w:val="30"/>
          <w:highlight w:val="none"/>
        </w:rPr>
        <w:t>市政能源设施（34行）</w:t>
      </w:r>
      <w:r>
        <w:rPr>
          <w:rFonts w:ascii="仿宋_GB2312" w:hAnsi="Calibri" w:eastAsia="仿宋_GB2312"/>
          <w:sz w:val="30"/>
          <w:szCs w:val="30"/>
          <w:highlight w:val="none"/>
        </w:rPr>
        <w:t xml:space="preserve"> </w:t>
      </w:r>
      <w:r>
        <w:rPr>
          <w:rFonts w:hint="eastAsia" w:ascii="仿宋_GB2312" w:hAnsi="Calibri" w:eastAsia="仿宋_GB2312"/>
          <w:sz w:val="30"/>
          <w:szCs w:val="30"/>
          <w:highlight w:val="none"/>
        </w:rPr>
        <w:t>大于等于城市燃气设施（35行）</w:t>
      </w:r>
      <w:r>
        <w:rPr>
          <w:rFonts w:ascii="仿宋_GB2312" w:hAnsi="Calibri" w:eastAsia="仿宋_GB2312"/>
          <w:sz w:val="30"/>
          <w:szCs w:val="30"/>
          <w:highlight w:val="none"/>
        </w:rPr>
        <w:t>、</w:t>
      </w:r>
      <w:r>
        <w:rPr>
          <w:rFonts w:hint="eastAsia" w:ascii="仿宋_GB2312" w:hAnsi="Calibri" w:eastAsia="仿宋_GB2312"/>
          <w:sz w:val="30"/>
          <w:szCs w:val="30"/>
          <w:highlight w:val="none"/>
        </w:rPr>
        <w:t>集中供热设施（37行）之和；</w:t>
      </w:r>
    </w:p>
    <w:p w14:paraId="5E78C0F1">
      <w:pPr>
        <w:numPr>
          <w:ilvl w:val="0"/>
          <w:numId w:val="5"/>
        </w:numPr>
        <w:spacing w:line="360" w:lineRule="auto"/>
        <w:ind w:left="-151"/>
        <w:rPr>
          <w:rFonts w:ascii="仿宋_GB2312" w:hAnsi="Calibri" w:eastAsia="仿宋_GB2312"/>
          <w:sz w:val="30"/>
          <w:szCs w:val="30"/>
          <w:highlight w:val="none"/>
        </w:rPr>
      </w:pPr>
      <w:r>
        <w:rPr>
          <w:rFonts w:hint="eastAsia" w:ascii="仿宋_GB2312" w:hAnsi="Calibri" w:eastAsia="仿宋_GB2312"/>
          <w:sz w:val="30"/>
          <w:szCs w:val="30"/>
          <w:highlight w:val="none"/>
        </w:rPr>
        <w:t>市政环卫设施（39行）</w:t>
      </w:r>
      <w:r>
        <w:rPr>
          <w:rFonts w:ascii="仿宋_GB2312" w:hAnsi="Calibri" w:eastAsia="仿宋_GB2312"/>
          <w:sz w:val="30"/>
          <w:szCs w:val="30"/>
          <w:highlight w:val="none"/>
        </w:rPr>
        <w:t xml:space="preserve"> </w:t>
      </w:r>
      <w:r>
        <w:rPr>
          <w:rFonts w:hint="eastAsia" w:ascii="仿宋_GB2312" w:hAnsi="Calibri" w:eastAsia="仿宋_GB2312"/>
          <w:sz w:val="30"/>
          <w:szCs w:val="30"/>
          <w:highlight w:val="none"/>
        </w:rPr>
        <w:t>大于等于垃圾收运处理设施（40行）</w:t>
      </w:r>
      <w:r>
        <w:rPr>
          <w:rFonts w:ascii="仿宋_GB2312" w:hAnsi="Calibri" w:eastAsia="仿宋_GB2312"/>
          <w:sz w:val="30"/>
          <w:szCs w:val="30"/>
          <w:highlight w:val="none"/>
        </w:rPr>
        <w:t>、</w:t>
      </w:r>
      <w:r>
        <w:rPr>
          <w:rFonts w:hint="eastAsia" w:ascii="仿宋_GB2312" w:hAnsi="Calibri" w:eastAsia="仿宋_GB2312"/>
          <w:sz w:val="30"/>
          <w:szCs w:val="30"/>
          <w:highlight w:val="none"/>
        </w:rPr>
        <w:t>公共厕所（41行）之和；</w:t>
      </w:r>
    </w:p>
    <w:p w14:paraId="614DB41A">
      <w:pPr>
        <w:numPr>
          <w:ilvl w:val="0"/>
          <w:numId w:val="5"/>
        </w:numPr>
        <w:spacing w:line="360" w:lineRule="auto"/>
        <w:ind w:left="-151"/>
        <w:rPr>
          <w:rFonts w:ascii="仿宋_GB2312" w:hAnsi="Calibri" w:eastAsia="仿宋_GB2312"/>
          <w:sz w:val="30"/>
          <w:szCs w:val="30"/>
          <w:highlight w:val="none"/>
        </w:rPr>
      </w:pPr>
      <w:r>
        <w:rPr>
          <w:rFonts w:hint="eastAsia" w:ascii="仿宋_GB2312" w:hAnsi="Calibri" w:eastAsia="仿宋_GB2312"/>
          <w:sz w:val="30"/>
          <w:szCs w:val="30"/>
          <w:highlight w:val="none"/>
        </w:rPr>
        <w:t>市政园林绿化设施（42行）</w:t>
      </w:r>
      <w:r>
        <w:rPr>
          <w:rFonts w:ascii="仿宋_GB2312" w:hAnsi="Calibri" w:eastAsia="仿宋_GB2312"/>
          <w:sz w:val="30"/>
          <w:szCs w:val="30"/>
          <w:highlight w:val="none"/>
        </w:rPr>
        <w:t xml:space="preserve"> </w:t>
      </w:r>
      <w:r>
        <w:rPr>
          <w:rFonts w:hint="eastAsia" w:ascii="仿宋_GB2312" w:hAnsi="Calibri" w:eastAsia="仿宋_GB2312"/>
          <w:sz w:val="30"/>
          <w:szCs w:val="30"/>
          <w:highlight w:val="none"/>
        </w:rPr>
        <w:t>等于公园绿地（43行）</w:t>
      </w:r>
      <w:r>
        <w:rPr>
          <w:rFonts w:ascii="仿宋_GB2312" w:hAnsi="Calibri" w:eastAsia="仿宋_GB2312"/>
          <w:sz w:val="30"/>
          <w:szCs w:val="30"/>
          <w:highlight w:val="none"/>
        </w:rPr>
        <w:t>、</w:t>
      </w:r>
      <w:r>
        <w:rPr>
          <w:rFonts w:hint="eastAsia" w:ascii="仿宋_GB2312" w:hAnsi="Calibri" w:eastAsia="仿宋_GB2312"/>
          <w:sz w:val="30"/>
          <w:szCs w:val="30"/>
          <w:highlight w:val="none"/>
        </w:rPr>
        <w:t>广场用地（46行）</w:t>
      </w:r>
      <w:r>
        <w:rPr>
          <w:rFonts w:ascii="仿宋_GB2312" w:hAnsi="Calibri" w:eastAsia="仿宋_GB2312"/>
          <w:sz w:val="30"/>
          <w:szCs w:val="30"/>
          <w:highlight w:val="none"/>
        </w:rPr>
        <w:t>、</w:t>
      </w:r>
      <w:r>
        <w:rPr>
          <w:rFonts w:hint="eastAsia" w:ascii="仿宋_GB2312" w:hAnsi="Calibri" w:eastAsia="仿宋_GB2312"/>
          <w:sz w:val="30"/>
          <w:szCs w:val="30"/>
          <w:highlight w:val="none"/>
        </w:rPr>
        <w:t>防护绿地（49行）</w:t>
      </w:r>
      <w:r>
        <w:rPr>
          <w:rFonts w:ascii="仿宋_GB2312" w:hAnsi="Calibri" w:eastAsia="仿宋_GB2312"/>
          <w:sz w:val="30"/>
          <w:szCs w:val="30"/>
          <w:highlight w:val="none"/>
        </w:rPr>
        <w:t>、</w:t>
      </w:r>
      <w:r>
        <w:rPr>
          <w:rFonts w:hint="eastAsia" w:ascii="仿宋_GB2312" w:hAnsi="Calibri" w:eastAsia="仿宋_GB2312"/>
          <w:sz w:val="30"/>
          <w:szCs w:val="30"/>
          <w:highlight w:val="none"/>
        </w:rPr>
        <w:t>附属绿地（52行）</w:t>
      </w:r>
      <w:r>
        <w:rPr>
          <w:rFonts w:ascii="仿宋_GB2312" w:hAnsi="Calibri" w:eastAsia="仿宋_GB2312"/>
          <w:sz w:val="30"/>
          <w:szCs w:val="30"/>
          <w:highlight w:val="none"/>
        </w:rPr>
        <w:t>、</w:t>
      </w:r>
      <w:r>
        <w:rPr>
          <w:rFonts w:hint="eastAsia" w:ascii="仿宋_GB2312" w:hAnsi="Calibri" w:eastAsia="仿宋_GB2312"/>
          <w:sz w:val="30"/>
          <w:szCs w:val="30"/>
          <w:highlight w:val="none"/>
        </w:rPr>
        <w:t>其他园林绿化设施（55行）各项之和；</w:t>
      </w:r>
    </w:p>
    <w:p w14:paraId="1A974A3A">
      <w:pPr>
        <w:numPr>
          <w:ilvl w:val="0"/>
          <w:numId w:val="5"/>
        </w:numPr>
        <w:spacing w:line="360" w:lineRule="auto"/>
        <w:ind w:left="-151"/>
        <w:rPr>
          <w:rFonts w:ascii="仿宋_GB2312" w:hAnsi="Calibri" w:eastAsia="仿宋_GB2312"/>
          <w:sz w:val="30"/>
          <w:szCs w:val="30"/>
          <w:highlight w:val="none"/>
        </w:rPr>
      </w:pPr>
      <w:r>
        <w:rPr>
          <w:rFonts w:hint="eastAsia" w:ascii="仿宋_GB2312" w:hAnsi="Calibri" w:eastAsia="仿宋_GB2312"/>
          <w:sz w:val="30"/>
          <w:szCs w:val="30"/>
          <w:highlight w:val="none"/>
        </w:rPr>
        <w:t>市政综合类设施（56行）</w:t>
      </w:r>
      <w:r>
        <w:rPr>
          <w:rFonts w:ascii="仿宋_GB2312" w:hAnsi="Calibri" w:eastAsia="仿宋_GB2312"/>
          <w:sz w:val="30"/>
          <w:szCs w:val="30"/>
          <w:highlight w:val="none"/>
        </w:rPr>
        <w:t xml:space="preserve"> </w:t>
      </w:r>
      <w:r>
        <w:rPr>
          <w:rFonts w:hint="eastAsia" w:ascii="仿宋_GB2312" w:hAnsi="Calibri" w:eastAsia="仿宋_GB2312"/>
          <w:sz w:val="30"/>
          <w:szCs w:val="30"/>
          <w:highlight w:val="none"/>
        </w:rPr>
        <w:t>等于地下综合管廊（57行）</w:t>
      </w:r>
      <w:r>
        <w:rPr>
          <w:rFonts w:ascii="仿宋_GB2312" w:hAnsi="Calibri" w:eastAsia="仿宋_GB2312"/>
          <w:sz w:val="30"/>
          <w:szCs w:val="30"/>
          <w:highlight w:val="none"/>
        </w:rPr>
        <w:t>、</w:t>
      </w:r>
      <w:r>
        <w:rPr>
          <w:rFonts w:hint="eastAsia" w:ascii="仿宋_GB2312" w:hAnsi="Calibri" w:eastAsia="仿宋_GB2312"/>
          <w:sz w:val="30"/>
          <w:szCs w:val="30"/>
          <w:highlight w:val="none"/>
        </w:rPr>
        <w:t>其他综合类设施（59行）之和；</w:t>
      </w:r>
    </w:p>
    <w:p w14:paraId="7CC625E3">
      <w:pPr>
        <w:numPr>
          <w:ilvl w:val="0"/>
          <w:numId w:val="5"/>
        </w:numPr>
        <w:spacing w:line="360" w:lineRule="auto"/>
        <w:ind w:left="-151"/>
        <w:rPr>
          <w:rFonts w:ascii="仿宋_GB2312" w:hAnsi="Calibri" w:eastAsia="仿宋_GB2312"/>
          <w:sz w:val="30"/>
          <w:szCs w:val="30"/>
          <w:highlight w:val="none"/>
        </w:rPr>
      </w:pPr>
      <w:r>
        <w:rPr>
          <w:rFonts w:hint="eastAsia" w:ascii="仿宋_GB2312" w:hAnsi="Calibri" w:eastAsia="仿宋_GB2312"/>
          <w:sz w:val="30"/>
          <w:szCs w:val="30"/>
          <w:highlight w:val="none"/>
        </w:rPr>
        <w:t>市政信息通信设施（60行）大于等于信息基础设施（61行）；</w:t>
      </w:r>
    </w:p>
    <w:p w14:paraId="394865D5">
      <w:pPr>
        <w:numPr>
          <w:ilvl w:val="0"/>
          <w:numId w:val="5"/>
        </w:numPr>
        <w:spacing w:line="360" w:lineRule="auto"/>
        <w:ind w:left="-151"/>
        <w:rPr>
          <w:rFonts w:ascii="仿宋_GB2312" w:hAnsi="Calibri" w:eastAsia="仿宋_GB2312"/>
          <w:sz w:val="30"/>
          <w:szCs w:val="30"/>
          <w:highlight w:val="none"/>
        </w:rPr>
      </w:pPr>
      <w:r>
        <w:rPr>
          <w:rFonts w:hint="eastAsia" w:ascii="仿宋_GB2312" w:hAnsi="Calibri" w:eastAsia="仿宋_GB2312"/>
          <w:sz w:val="30"/>
          <w:szCs w:val="30"/>
          <w:highlight w:val="none"/>
        </w:rPr>
        <w:t>其他市政设施（62行）大于等于城市照明设施（63行）</w:t>
      </w:r>
      <w:r>
        <w:rPr>
          <w:rFonts w:ascii="仿宋_GB2312" w:hAnsi="Calibri" w:eastAsia="仿宋_GB2312"/>
          <w:sz w:val="30"/>
          <w:szCs w:val="30"/>
          <w:highlight w:val="none"/>
        </w:rPr>
        <w:t>、</w:t>
      </w:r>
      <w:r>
        <w:rPr>
          <w:rFonts w:hint="eastAsia" w:ascii="仿宋_GB2312" w:hAnsi="Calibri" w:eastAsia="仿宋_GB2312"/>
          <w:sz w:val="30"/>
          <w:szCs w:val="30"/>
          <w:highlight w:val="none"/>
        </w:rPr>
        <w:t>公共停车场设施（64行）之和；</w:t>
      </w:r>
    </w:p>
    <w:p w14:paraId="6A9C30CE">
      <w:pPr>
        <w:numPr>
          <w:ilvl w:val="0"/>
          <w:numId w:val="5"/>
        </w:numPr>
        <w:spacing w:line="360" w:lineRule="auto"/>
        <w:ind w:left="-151"/>
        <w:rPr>
          <w:rFonts w:ascii="仿宋_GB2312" w:hAnsi="Calibri" w:eastAsia="仿宋_GB2312"/>
          <w:sz w:val="30"/>
          <w:szCs w:val="30"/>
          <w:highlight w:val="none"/>
        </w:rPr>
      </w:pPr>
      <w:r>
        <w:rPr>
          <w:rFonts w:hint="eastAsia" w:ascii="仿宋_GB2312" w:hAnsi="Calibri" w:eastAsia="仿宋_GB2312"/>
          <w:sz w:val="30"/>
          <w:szCs w:val="30"/>
          <w:highlight w:val="none"/>
        </w:rPr>
        <w:t>城市道路（3行）</w:t>
      </w:r>
      <w:r>
        <w:rPr>
          <w:rFonts w:ascii="仿宋_GB2312" w:hAnsi="Calibri" w:eastAsia="仿宋_GB2312"/>
          <w:sz w:val="30"/>
          <w:szCs w:val="30"/>
          <w:highlight w:val="none"/>
        </w:rPr>
        <w:t xml:space="preserve"> </w:t>
      </w:r>
      <w:r>
        <w:rPr>
          <w:rFonts w:hint="eastAsia" w:ascii="仿宋_GB2312" w:hAnsi="Calibri" w:eastAsia="仿宋_GB2312"/>
          <w:sz w:val="30"/>
          <w:szCs w:val="30"/>
          <w:highlight w:val="none"/>
        </w:rPr>
        <w:t>等于道路（4行）、交通安全管理设施（5行）、交通安全防护设施（6行）各项之和；</w:t>
      </w:r>
    </w:p>
    <w:p w14:paraId="7FFBB18A">
      <w:pPr>
        <w:numPr>
          <w:ilvl w:val="0"/>
          <w:numId w:val="5"/>
        </w:numPr>
        <w:spacing w:line="360" w:lineRule="auto"/>
        <w:ind w:left="-151"/>
        <w:rPr>
          <w:rFonts w:ascii="仿宋_GB2312" w:hAnsi="Calibri" w:eastAsia="仿宋_GB2312"/>
          <w:sz w:val="30"/>
          <w:szCs w:val="30"/>
          <w:highlight w:val="none"/>
        </w:rPr>
      </w:pPr>
      <w:r>
        <w:rPr>
          <w:rFonts w:hint="eastAsia" w:ascii="仿宋_GB2312" w:hAnsi="Calibri" w:eastAsia="仿宋_GB2312"/>
          <w:sz w:val="30"/>
          <w:szCs w:val="30"/>
          <w:highlight w:val="none"/>
        </w:rPr>
        <w:t>城市桥梁（7行）等于桥梁（</w:t>
      </w:r>
      <w:r>
        <w:rPr>
          <w:rFonts w:ascii="仿宋_GB2312" w:hAnsi="Calibri" w:eastAsia="仿宋_GB2312"/>
          <w:sz w:val="30"/>
          <w:szCs w:val="30"/>
          <w:highlight w:val="none"/>
        </w:rPr>
        <w:t>8</w:t>
      </w:r>
      <w:r>
        <w:rPr>
          <w:rFonts w:hint="eastAsia" w:ascii="仿宋_GB2312" w:hAnsi="Calibri" w:eastAsia="仿宋_GB2312"/>
          <w:sz w:val="30"/>
          <w:szCs w:val="30"/>
          <w:highlight w:val="none"/>
        </w:rPr>
        <w:t>行）</w:t>
      </w:r>
      <w:r>
        <w:rPr>
          <w:rFonts w:ascii="仿宋_GB2312" w:hAnsi="Calibri" w:eastAsia="仿宋_GB2312"/>
          <w:sz w:val="30"/>
          <w:szCs w:val="30"/>
          <w:highlight w:val="none"/>
        </w:rPr>
        <w:t>、</w:t>
      </w:r>
      <w:r>
        <w:rPr>
          <w:rFonts w:hint="eastAsia" w:ascii="仿宋_GB2312" w:hAnsi="Calibri" w:eastAsia="仿宋_GB2312"/>
          <w:sz w:val="30"/>
          <w:szCs w:val="30"/>
          <w:highlight w:val="none"/>
        </w:rPr>
        <w:t>交通安全管理设施（</w:t>
      </w:r>
      <w:r>
        <w:rPr>
          <w:rFonts w:ascii="仿宋_GB2312" w:hAnsi="Calibri" w:eastAsia="仿宋_GB2312"/>
          <w:sz w:val="30"/>
          <w:szCs w:val="30"/>
          <w:highlight w:val="none"/>
        </w:rPr>
        <w:t>9</w:t>
      </w:r>
      <w:r>
        <w:rPr>
          <w:rFonts w:hint="eastAsia" w:ascii="仿宋_GB2312" w:hAnsi="Calibri" w:eastAsia="仿宋_GB2312"/>
          <w:sz w:val="30"/>
          <w:szCs w:val="30"/>
          <w:highlight w:val="none"/>
        </w:rPr>
        <w:t>行）</w:t>
      </w:r>
      <w:r>
        <w:rPr>
          <w:rFonts w:ascii="仿宋_GB2312" w:hAnsi="Calibri" w:eastAsia="仿宋_GB2312"/>
          <w:sz w:val="30"/>
          <w:szCs w:val="30"/>
          <w:highlight w:val="none"/>
        </w:rPr>
        <w:t>、</w:t>
      </w:r>
      <w:r>
        <w:rPr>
          <w:rFonts w:hint="eastAsia" w:ascii="仿宋_GB2312" w:hAnsi="Calibri" w:eastAsia="仿宋_GB2312"/>
          <w:sz w:val="30"/>
          <w:szCs w:val="30"/>
          <w:highlight w:val="none"/>
        </w:rPr>
        <w:t>交通安全防护设施（</w:t>
      </w:r>
      <w:r>
        <w:rPr>
          <w:rFonts w:ascii="仿宋_GB2312" w:hAnsi="Calibri" w:eastAsia="仿宋_GB2312"/>
          <w:sz w:val="30"/>
          <w:szCs w:val="30"/>
          <w:highlight w:val="none"/>
        </w:rPr>
        <w:t>10</w:t>
      </w:r>
      <w:r>
        <w:rPr>
          <w:rFonts w:hint="eastAsia" w:ascii="仿宋_GB2312" w:hAnsi="Calibri" w:eastAsia="仿宋_GB2312"/>
          <w:sz w:val="30"/>
          <w:szCs w:val="30"/>
          <w:highlight w:val="none"/>
        </w:rPr>
        <w:t>行）之和；</w:t>
      </w:r>
    </w:p>
    <w:p w14:paraId="39AB5F4F">
      <w:pPr>
        <w:numPr>
          <w:ilvl w:val="0"/>
          <w:numId w:val="5"/>
        </w:numPr>
        <w:spacing w:line="360" w:lineRule="auto"/>
        <w:ind w:left="-151"/>
        <w:rPr>
          <w:rFonts w:ascii="仿宋_GB2312" w:hAnsi="Calibri" w:eastAsia="仿宋_GB2312"/>
          <w:sz w:val="30"/>
          <w:szCs w:val="30"/>
          <w:highlight w:val="none"/>
        </w:rPr>
      </w:pPr>
      <w:r>
        <w:rPr>
          <w:rFonts w:ascii="仿宋_GB2312" w:hAnsi="Calibri" w:eastAsia="仿宋_GB2312"/>
          <w:sz w:val="30"/>
          <w:szCs w:val="30"/>
          <w:highlight w:val="none"/>
        </w:rPr>
        <w:t xml:space="preserve">城市隧道（11行） </w:t>
      </w:r>
      <w:r>
        <w:rPr>
          <w:rFonts w:hint="eastAsia" w:ascii="仿宋_GB2312" w:hAnsi="Calibri" w:eastAsia="仿宋_GB2312"/>
          <w:sz w:val="30"/>
          <w:szCs w:val="30"/>
          <w:highlight w:val="none"/>
        </w:rPr>
        <w:t>大于等于隧道（12行）；</w:t>
      </w:r>
    </w:p>
    <w:p w14:paraId="4D6155A1">
      <w:pPr>
        <w:numPr>
          <w:ilvl w:val="0"/>
          <w:numId w:val="5"/>
        </w:numPr>
        <w:spacing w:line="360" w:lineRule="auto"/>
        <w:ind w:left="-151"/>
        <w:rPr>
          <w:rFonts w:ascii="仿宋_GB2312" w:hAnsi="Calibri" w:eastAsia="仿宋_GB2312"/>
          <w:sz w:val="30"/>
          <w:szCs w:val="30"/>
          <w:highlight w:val="none"/>
        </w:rPr>
      </w:pPr>
      <w:r>
        <w:rPr>
          <w:rFonts w:hint="eastAsia" w:ascii="仿宋_GB2312" w:hAnsi="Calibri" w:eastAsia="仿宋_GB2312"/>
          <w:sz w:val="30"/>
          <w:szCs w:val="30"/>
          <w:highlight w:val="none"/>
        </w:rPr>
        <w:t>城市公共汽电车客运服务设施（13行）大于等于公交场站（14行）、电车触线网（15行）之和；</w:t>
      </w:r>
    </w:p>
    <w:p w14:paraId="31A8AC47">
      <w:pPr>
        <w:numPr>
          <w:ilvl w:val="0"/>
          <w:numId w:val="5"/>
        </w:numPr>
        <w:spacing w:line="360" w:lineRule="auto"/>
        <w:ind w:left="-151"/>
        <w:rPr>
          <w:rFonts w:ascii="仿宋_GB2312" w:hAnsi="Calibri" w:eastAsia="仿宋_GB2312"/>
          <w:sz w:val="30"/>
          <w:szCs w:val="30"/>
          <w:highlight w:val="none"/>
        </w:rPr>
      </w:pPr>
      <w:r>
        <w:rPr>
          <w:rFonts w:hint="eastAsia" w:ascii="仿宋_GB2312" w:hAnsi="Calibri" w:eastAsia="仿宋_GB2312"/>
          <w:sz w:val="30"/>
          <w:szCs w:val="30"/>
          <w:highlight w:val="none"/>
        </w:rPr>
        <w:t>城市客运轮渡设施（16行）大于等于码头（17行）、道路（引道）（18行）之和；</w:t>
      </w:r>
    </w:p>
    <w:p w14:paraId="08B07A91">
      <w:pPr>
        <w:numPr>
          <w:ilvl w:val="0"/>
          <w:numId w:val="5"/>
        </w:numPr>
        <w:spacing w:line="360" w:lineRule="auto"/>
        <w:ind w:left="-151"/>
        <w:rPr>
          <w:rFonts w:ascii="仿宋_GB2312" w:hAnsi="Calibri" w:eastAsia="仿宋_GB2312"/>
          <w:sz w:val="30"/>
          <w:szCs w:val="30"/>
          <w:highlight w:val="none"/>
        </w:rPr>
      </w:pPr>
      <w:r>
        <w:rPr>
          <w:rFonts w:hint="eastAsia" w:ascii="仿宋_GB2312" w:hAnsi="Calibri" w:eastAsia="仿宋_GB2312"/>
          <w:sz w:val="30"/>
          <w:szCs w:val="30"/>
          <w:highlight w:val="none"/>
        </w:rPr>
        <w:t>城市轨道交通设施（19行）大于等于轨道（20行）、区间设施（21行）、车站（22行）之和；</w:t>
      </w:r>
    </w:p>
    <w:p w14:paraId="3038E8E1">
      <w:pPr>
        <w:numPr>
          <w:ilvl w:val="0"/>
          <w:numId w:val="5"/>
        </w:numPr>
        <w:spacing w:line="360" w:lineRule="auto"/>
        <w:ind w:left="-151"/>
        <w:rPr>
          <w:rFonts w:ascii="仿宋_GB2312" w:hAnsi="Calibri" w:eastAsia="仿宋_GB2312"/>
          <w:sz w:val="30"/>
          <w:szCs w:val="30"/>
          <w:highlight w:val="none"/>
        </w:rPr>
      </w:pPr>
      <w:r>
        <w:rPr>
          <w:rFonts w:hint="eastAsia" w:ascii="仿宋_GB2312" w:hAnsi="Calibri" w:eastAsia="仿宋_GB2312"/>
          <w:sz w:val="30"/>
          <w:szCs w:val="30"/>
          <w:highlight w:val="none"/>
        </w:rPr>
        <w:t>城市供水设施（25行）大于等于取水工程（26行）、供水厂（站）（27行）、给水管网（28行）之和；</w:t>
      </w:r>
    </w:p>
    <w:p w14:paraId="36E62BC2">
      <w:pPr>
        <w:numPr>
          <w:ilvl w:val="0"/>
          <w:numId w:val="5"/>
        </w:numPr>
        <w:spacing w:line="360" w:lineRule="auto"/>
        <w:ind w:left="-151"/>
        <w:rPr>
          <w:rFonts w:ascii="仿宋_GB2312" w:hAnsi="Calibri" w:eastAsia="仿宋_GB2312"/>
          <w:sz w:val="30"/>
          <w:szCs w:val="30"/>
          <w:highlight w:val="none"/>
        </w:rPr>
      </w:pPr>
      <w:r>
        <w:rPr>
          <w:rFonts w:hint="eastAsia" w:ascii="仿宋_GB2312" w:hAnsi="Calibri" w:eastAsia="仿宋_GB2312"/>
          <w:sz w:val="30"/>
          <w:szCs w:val="30"/>
          <w:highlight w:val="none"/>
        </w:rPr>
        <w:t>城市排水和污水处理设施（29行）大于等于路基、桥面、隧道排水设施（30行）、排水管网（31行）、排水泵站（32行）、污水处理厂（站）（33行）之和；</w:t>
      </w:r>
    </w:p>
    <w:p w14:paraId="764DA0FB">
      <w:pPr>
        <w:numPr>
          <w:ilvl w:val="0"/>
          <w:numId w:val="5"/>
        </w:numPr>
        <w:spacing w:line="360" w:lineRule="auto"/>
        <w:ind w:left="-151"/>
        <w:rPr>
          <w:rFonts w:ascii="仿宋_GB2312" w:hAnsi="Calibri" w:eastAsia="仿宋_GB2312"/>
          <w:sz w:val="30"/>
          <w:szCs w:val="30"/>
          <w:highlight w:val="none"/>
        </w:rPr>
      </w:pPr>
      <w:r>
        <w:rPr>
          <w:rFonts w:hint="eastAsia" w:ascii="仿宋_GB2312" w:hAnsi="Calibri" w:eastAsia="仿宋_GB2312"/>
          <w:sz w:val="30"/>
          <w:szCs w:val="30"/>
          <w:highlight w:val="none"/>
        </w:rPr>
        <w:t>城市燃气设施（35行）大于等于供气管网（36行）；</w:t>
      </w:r>
    </w:p>
    <w:p w14:paraId="2538E48A">
      <w:pPr>
        <w:numPr>
          <w:ilvl w:val="0"/>
          <w:numId w:val="5"/>
        </w:numPr>
        <w:spacing w:line="360" w:lineRule="auto"/>
        <w:ind w:left="-151"/>
        <w:rPr>
          <w:rFonts w:ascii="仿宋_GB2312" w:hAnsi="Calibri" w:eastAsia="仿宋_GB2312"/>
          <w:sz w:val="30"/>
          <w:szCs w:val="30"/>
          <w:highlight w:val="none"/>
        </w:rPr>
      </w:pPr>
      <w:r>
        <w:rPr>
          <w:rFonts w:hint="eastAsia" w:ascii="仿宋_GB2312" w:hAnsi="Calibri" w:eastAsia="仿宋_GB2312"/>
          <w:sz w:val="30"/>
          <w:szCs w:val="30"/>
          <w:highlight w:val="none"/>
        </w:rPr>
        <w:t>集中供热设施（37行）大于等于供热管网（38行）；</w:t>
      </w:r>
    </w:p>
    <w:p w14:paraId="7C21104D">
      <w:pPr>
        <w:numPr>
          <w:ilvl w:val="0"/>
          <w:numId w:val="5"/>
        </w:numPr>
        <w:spacing w:line="360" w:lineRule="auto"/>
        <w:ind w:left="-151"/>
        <w:rPr>
          <w:rFonts w:ascii="仿宋_GB2312" w:hAnsi="Calibri" w:eastAsia="仿宋_GB2312"/>
          <w:sz w:val="30"/>
          <w:szCs w:val="30"/>
          <w:highlight w:val="none"/>
        </w:rPr>
      </w:pPr>
      <w:r>
        <w:rPr>
          <w:rFonts w:hint="eastAsia" w:ascii="仿宋_GB2312" w:hAnsi="Calibri" w:eastAsia="仿宋_GB2312"/>
          <w:sz w:val="30"/>
          <w:szCs w:val="30"/>
          <w:highlight w:val="none"/>
        </w:rPr>
        <w:t>市政环卫设施（39行）大于等于垃圾收运处理设施（40行）、公共厕所（41行）之和；</w:t>
      </w:r>
    </w:p>
    <w:p w14:paraId="024CCDA6">
      <w:pPr>
        <w:numPr>
          <w:ilvl w:val="0"/>
          <w:numId w:val="5"/>
        </w:numPr>
        <w:spacing w:line="360" w:lineRule="auto"/>
        <w:ind w:left="-151"/>
        <w:rPr>
          <w:rFonts w:ascii="仿宋_GB2312" w:hAnsi="Calibri" w:eastAsia="仿宋_GB2312"/>
          <w:sz w:val="30"/>
          <w:szCs w:val="30"/>
          <w:highlight w:val="none"/>
        </w:rPr>
      </w:pPr>
      <w:r>
        <w:rPr>
          <w:rFonts w:hint="eastAsia" w:ascii="仿宋_GB2312" w:hAnsi="Calibri" w:eastAsia="仿宋_GB2312"/>
          <w:sz w:val="30"/>
          <w:szCs w:val="30"/>
          <w:highlight w:val="none"/>
        </w:rPr>
        <w:t>公园绿地（43行）等于绿化工程（44行）、园林附属工程（45行）之和；</w:t>
      </w:r>
    </w:p>
    <w:p w14:paraId="78BC3330">
      <w:pPr>
        <w:numPr>
          <w:ilvl w:val="0"/>
          <w:numId w:val="5"/>
        </w:numPr>
        <w:spacing w:line="360" w:lineRule="auto"/>
        <w:ind w:left="-151"/>
        <w:rPr>
          <w:rFonts w:ascii="仿宋_GB2312" w:hAnsi="Calibri" w:eastAsia="仿宋_GB2312"/>
          <w:sz w:val="30"/>
          <w:szCs w:val="30"/>
          <w:highlight w:val="none"/>
        </w:rPr>
      </w:pPr>
      <w:r>
        <w:rPr>
          <w:rFonts w:hint="eastAsia" w:ascii="仿宋_GB2312" w:hAnsi="Calibri" w:eastAsia="仿宋_GB2312"/>
          <w:sz w:val="30"/>
          <w:szCs w:val="30"/>
          <w:highlight w:val="none"/>
        </w:rPr>
        <w:t>广场用地（46行）等于绿化工程（47行）、园林附属工程（48行）之和；</w:t>
      </w:r>
    </w:p>
    <w:p w14:paraId="65CE313C">
      <w:pPr>
        <w:numPr>
          <w:ilvl w:val="0"/>
          <w:numId w:val="5"/>
        </w:numPr>
        <w:spacing w:line="360" w:lineRule="auto"/>
        <w:ind w:left="-151"/>
        <w:rPr>
          <w:rFonts w:ascii="仿宋_GB2312" w:hAnsi="Calibri" w:eastAsia="仿宋_GB2312"/>
          <w:sz w:val="30"/>
          <w:szCs w:val="30"/>
          <w:highlight w:val="none"/>
        </w:rPr>
      </w:pPr>
      <w:r>
        <w:rPr>
          <w:rFonts w:hint="eastAsia" w:ascii="仿宋_GB2312" w:hAnsi="Calibri" w:eastAsia="仿宋_GB2312"/>
          <w:sz w:val="30"/>
          <w:szCs w:val="30"/>
          <w:highlight w:val="none"/>
        </w:rPr>
        <w:t>防护绿地（49行）等于道路防护绿地（50行）、公共设施防护绿地（51行）之和；</w:t>
      </w:r>
    </w:p>
    <w:p w14:paraId="0789CE09">
      <w:pPr>
        <w:numPr>
          <w:ilvl w:val="0"/>
          <w:numId w:val="5"/>
        </w:numPr>
        <w:spacing w:line="360" w:lineRule="auto"/>
        <w:ind w:left="-151"/>
        <w:rPr>
          <w:rFonts w:ascii="仿宋_GB2312" w:hAnsi="Calibri" w:eastAsia="仿宋_GB2312"/>
          <w:sz w:val="30"/>
          <w:szCs w:val="30"/>
          <w:highlight w:val="none"/>
        </w:rPr>
      </w:pPr>
      <w:r>
        <w:rPr>
          <w:rFonts w:hint="eastAsia" w:ascii="仿宋_GB2312" w:hAnsi="Calibri" w:eastAsia="仿宋_GB2312"/>
          <w:sz w:val="30"/>
          <w:szCs w:val="30"/>
          <w:highlight w:val="none"/>
        </w:rPr>
        <w:t>附属绿地（52行）等于道路绿化（53行）、环卫设施用地内附属绿地（54行）之和；</w:t>
      </w:r>
    </w:p>
    <w:p w14:paraId="0B8A253B">
      <w:pPr>
        <w:numPr>
          <w:ilvl w:val="0"/>
          <w:numId w:val="5"/>
        </w:numPr>
        <w:spacing w:line="360" w:lineRule="auto"/>
        <w:ind w:left="-151"/>
        <w:rPr>
          <w:rFonts w:ascii="仿宋_GB2312" w:hAnsi="Calibri" w:eastAsia="仿宋_GB2312"/>
          <w:sz w:val="30"/>
          <w:szCs w:val="30"/>
          <w:highlight w:val="none"/>
        </w:rPr>
      </w:pPr>
      <w:r>
        <w:rPr>
          <w:rFonts w:hint="eastAsia" w:ascii="仿宋_GB2312" w:hAnsi="Calibri" w:eastAsia="仿宋_GB2312"/>
          <w:sz w:val="30"/>
          <w:szCs w:val="30"/>
          <w:highlight w:val="none"/>
        </w:rPr>
        <w:t>市政综合类设施（56行）</w:t>
      </w:r>
      <w:bookmarkStart w:id="16" w:name="_Hlk177050156"/>
      <w:r>
        <w:rPr>
          <w:rFonts w:hint="eastAsia" w:ascii="仿宋_GB2312" w:hAnsi="Calibri" w:eastAsia="仿宋_GB2312"/>
          <w:sz w:val="30"/>
          <w:szCs w:val="30"/>
          <w:highlight w:val="none"/>
        </w:rPr>
        <w:t>等于地下综合管廊（57行）、其他综合类设施（59行）之和；</w:t>
      </w:r>
      <w:bookmarkEnd w:id="16"/>
    </w:p>
    <w:p w14:paraId="4F24BC85">
      <w:pPr>
        <w:numPr>
          <w:ilvl w:val="0"/>
          <w:numId w:val="5"/>
        </w:numPr>
        <w:spacing w:line="360" w:lineRule="auto"/>
        <w:ind w:left="-151"/>
        <w:rPr>
          <w:rFonts w:ascii="仿宋_GB2312" w:hAnsi="Calibri" w:eastAsia="仿宋_GB2312"/>
          <w:sz w:val="30"/>
          <w:szCs w:val="30"/>
          <w:highlight w:val="none"/>
        </w:rPr>
      </w:pPr>
      <w:r>
        <w:rPr>
          <w:rFonts w:hint="eastAsia" w:ascii="仿宋_GB2312" w:hAnsi="Calibri" w:eastAsia="仿宋_GB2312"/>
          <w:sz w:val="30"/>
          <w:szCs w:val="30"/>
          <w:highlight w:val="none"/>
        </w:rPr>
        <w:t>地下综合管廊（57行）大于等于管廊本体（58行）；</w:t>
      </w:r>
    </w:p>
    <w:p w14:paraId="1A972525">
      <w:pPr>
        <w:numPr>
          <w:ilvl w:val="0"/>
          <w:numId w:val="5"/>
        </w:numPr>
        <w:spacing w:line="360" w:lineRule="auto"/>
        <w:ind w:left="-151"/>
        <w:rPr>
          <w:rFonts w:ascii="仿宋_GB2312" w:hAnsi="Calibri" w:eastAsia="仿宋_GB2312"/>
          <w:sz w:val="30"/>
          <w:szCs w:val="30"/>
          <w:highlight w:val="none"/>
        </w:rPr>
      </w:pPr>
      <w:r>
        <w:rPr>
          <w:rFonts w:hint="eastAsia" w:ascii="仿宋_GB2312" w:hAnsi="Calibri" w:eastAsia="仿宋_GB2312"/>
          <w:sz w:val="30"/>
          <w:szCs w:val="30"/>
          <w:highlight w:val="none"/>
        </w:rPr>
        <w:t>市政信息通信设施（60行）大于等于信息基础设施（61行）；</w:t>
      </w:r>
    </w:p>
    <w:p w14:paraId="0F1BD3A6">
      <w:pPr>
        <w:numPr>
          <w:ilvl w:val="0"/>
          <w:numId w:val="5"/>
        </w:numPr>
        <w:spacing w:line="360" w:lineRule="auto"/>
        <w:ind w:left="-151"/>
        <w:rPr>
          <w:rFonts w:ascii="仿宋_GB2312" w:hAnsi="Calibri" w:eastAsia="仿宋_GB2312"/>
          <w:sz w:val="30"/>
          <w:szCs w:val="30"/>
          <w:highlight w:val="none"/>
        </w:rPr>
      </w:pPr>
      <w:r>
        <w:rPr>
          <w:rFonts w:hint="eastAsia" w:ascii="仿宋_GB2312" w:hAnsi="Calibri" w:eastAsia="仿宋_GB2312"/>
          <w:sz w:val="30"/>
          <w:szCs w:val="30"/>
          <w:highlight w:val="none"/>
        </w:rPr>
        <w:t>公共停车场设施（64行）大于等于停车基本设施（6</w:t>
      </w:r>
      <w:r>
        <w:rPr>
          <w:rFonts w:ascii="仿宋_GB2312" w:hAnsi="Calibri" w:eastAsia="仿宋_GB2312"/>
          <w:sz w:val="30"/>
          <w:szCs w:val="30"/>
          <w:highlight w:val="none"/>
        </w:rPr>
        <w:t>5</w:t>
      </w:r>
      <w:r>
        <w:rPr>
          <w:rFonts w:hint="eastAsia" w:ascii="仿宋_GB2312" w:hAnsi="Calibri" w:eastAsia="仿宋_GB2312"/>
          <w:sz w:val="30"/>
          <w:szCs w:val="30"/>
          <w:highlight w:val="none"/>
        </w:rPr>
        <w:t>行）；</w:t>
      </w:r>
    </w:p>
    <w:p w14:paraId="231869DD">
      <w:pPr>
        <w:numPr>
          <w:ilvl w:val="0"/>
          <w:numId w:val="5"/>
        </w:numPr>
        <w:spacing w:line="360" w:lineRule="auto"/>
        <w:ind w:left="-151"/>
        <w:rPr>
          <w:rFonts w:ascii="仿宋_GB2312" w:hAnsi="Calibri" w:eastAsia="仿宋_GB2312"/>
          <w:sz w:val="30"/>
          <w:szCs w:val="30"/>
          <w:highlight w:val="none"/>
        </w:rPr>
      </w:pPr>
      <w:r>
        <w:rPr>
          <w:rFonts w:ascii="仿宋_GB2312" w:hAnsi="Calibri" w:eastAsia="仿宋_GB2312"/>
          <w:sz w:val="30"/>
          <w:szCs w:val="30"/>
          <w:highlight w:val="none"/>
        </w:rPr>
        <w:t>负有管理维护职责数量（1栏）</w:t>
      </w:r>
      <w:r>
        <w:rPr>
          <w:rFonts w:hint="eastAsia" w:ascii="仿宋_GB2312" w:hAnsi="Calibri" w:eastAsia="仿宋_GB2312"/>
          <w:sz w:val="30"/>
          <w:szCs w:val="30"/>
          <w:highlight w:val="none"/>
        </w:rPr>
        <w:t>大于等于</w:t>
      </w:r>
      <w:r>
        <w:rPr>
          <w:rFonts w:ascii="仿宋_GB2312" w:hAnsi="Calibri" w:eastAsia="仿宋_GB2312"/>
          <w:sz w:val="30"/>
          <w:szCs w:val="30"/>
          <w:highlight w:val="none"/>
        </w:rPr>
        <w:t>数量（2栏）；</w:t>
      </w:r>
    </w:p>
    <w:p w14:paraId="743344B7">
      <w:pPr>
        <w:numPr>
          <w:ilvl w:val="0"/>
          <w:numId w:val="5"/>
        </w:numPr>
        <w:spacing w:line="360" w:lineRule="auto"/>
        <w:ind w:left="-151"/>
        <w:rPr>
          <w:rFonts w:ascii="仿宋_GB2312" w:hAnsi="Calibri" w:eastAsia="仿宋_GB2312"/>
          <w:sz w:val="30"/>
          <w:szCs w:val="30"/>
          <w:highlight w:val="none"/>
        </w:rPr>
      </w:pPr>
      <w:r>
        <w:rPr>
          <w:rFonts w:ascii="仿宋_GB2312" w:hAnsi="Calibri" w:eastAsia="仿宋_GB2312"/>
          <w:sz w:val="30"/>
          <w:szCs w:val="30"/>
          <w:highlight w:val="none"/>
        </w:rPr>
        <w:t>负有管理维护职责数量（6栏）</w:t>
      </w:r>
      <w:r>
        <w:rPr>
          <w:rFonts w:hint="eastAsia" w:ascii="仿宋_GB2312" w:hAnsi="Calibri" w:eastAsia="仿宋_GB2312"/>
          <w:sz w:val="30"/>
          <w:szCs w:val="30"/>
          <w:highlight w:val="none"/>
        </w:rPr>
        <w:t>大于等于</w:t>
      </w:r>
      <w:r>
        <w:rPr>
          <w:rFonts w:ascii="仿宋_GB2312" w:hAnsi="Calibri" w:eastAsia="仿宋_GB2312"/>
          <w:sz w:val="30"/>
          <w:szCs w:val="30"/>
          <w:highlight w:val="none"/>
        </w:rPr>
        <w:t>数量（</w:t>
      </w:r>
      <w:r>
        <w:rPr>
          <w:rFonts w:hint="eastAsia" w:ascii="仿宋_GB2312" w:hAnsi="Calibri" w:eastAsia="仿宋_GB2312"/>
          <w:sz w:val="30"/>
          <w:szCs w:val="30"/>
          <w:highlight w:val="none"/>
        </w:rPr>
        <w:t>7栏</w:t>
      </w:r>
      <w:r>
        <w:rPr>
          <w:rFonts w:ascii="仿宋_GB2312" w:hAnsi="Calibri" w:eastAsia="仿宋_GB2312"/>
          <w:sz w:val="30"/>
          <w:szCs w:val="30"/>
          <w:highlight w:val="none"/>
        </w:rPr>
        <w:t>）；</w:t>
      </w:r>
    </w:p>
    <w:p w14:paraId="417F2104">
      <w:pPr>
        <w:numPr>
          <w:ilvl w:val="0"/>
          <w:numId w:val="5"/>
        </w:numPr>
        <w:spacing w:line="360" w:lineRule="auto"/>
        <w:ind w:left="-151"/>
        <w:jc w:val="left"/>
        <w:rPr>
          <w:rFonts w:ascii="仿宋_GB2312" w:hAnsi="Calibri" w:eastAsia="仿宋_GB2312"/>
          <w:sz w:val="30"/>
          <w:szCs w:val="30"/>
          <w:highlight w:val="none"/>
        </w:rPr>
      </w:pPr>
      <w:r>
        <w:rPr>
          <w:rFonts w:ascii="仿宋_GB2312" w:hAnsi="Calibri" w:eastAsia="仿宋_GB2312"/>
          <w:sz w:val="30"/>
          <w:szCs w:val="30"/>
          <w:highlight w:val="none"/>
        </w:rPr>
        <w:t>净值（5栏）</w:t>
      </w:r>
      <w:r>
        <w:rPr>
          <w:rFonts w:hint="eastAsia" w:ascii="仿宋_GB2312" w:hAnsi="Calibri" w:eastAsia="仿宋_GB2312"/>
          <w:sz w:val="30"/>
          <w:szCs w:val="30"/>
          <w:highlight w:val="none"/>
        </w:rPr>
        <w:t>等于原值</w:t>
      </w:r>
      <w:r>
        <w:rPr>
          <w:rFonts w:ascii="仿宋_GB2312" w:hAnsi="Calibri" w:eastAsia="仿宋_GB2312"/>
          <w:sz w:val="30"/>
          <w:szCs w:val="30"/>
          <w:highlight w:val="none"/>
        </w:rPr>
        <w:t>（3</w:t>
      </w:r>
      <w:r>
        <w:rPr>
          <w:rFonts w:hint="eastAsia" w:ascii="仿宋_GB2312" w:hAnsi="Calibri" w:eastAsia="仿宋_GB2312"/>
          <w:sz w:val="30"/>
          <w:szCs w:val="30"/>
          <w:highlight w:val="none"/>
        </w:rPr>
        <w:t>栏）与累计折旧/摊销</w:t>
      </w:r>
      <w:r>
        <w:rPr>
          <w:rFonts w:ascii="仿宋_GB2312" w:hAnsi="Calibri" w:eastAsia="仿宋_GB2312"/>
          <w:sz w:val="30"/>
          <w:szCs w:val="30"/>
          <w:highlight w:val="none"/>
        </w:rPr>
        <w:t>（4</w:t>
      </w:r>
      <w:r>
        <w:rPr>
          <w:rFonts w:hint="eastAsia" w:ascii="仿宋_GB2312" w:hAnsi="Calibri" w:eastAsia="仿宋_GB2312"/>
          <w:sz w:val="30"/>
          <w:szCs w:val="30"/>
          <w:highlight w:val="none"/>
        </w:rPr>
        <w:t>栏）之差；</w:t>
      </w:r>
    </w:p>
    <w:p w14:paraId="54AA3484">
      <w:pPr>
        <w:numPr>
          <w:ilvl w:val="0"/>
          <w:numId w:val="5"/>
        </w:numPr>
        <w:spacing w:line="360" w:lineRule="auto"/>
        <w:ind w:left="-151"/>
        <w:jc w:val="left"/>
        <w:rPr>
          <w:rFonts w:ascii="仿宋_GB2312" w:hAnsi="Calibri" w:eastAsia="仿宋_GB2312"/>
          <w:sz w:val="30"/>
          <w:szCs w:val="30"/>
          <w:highlight w:val="none"/>
        </w:rPr>
      </w:pPr>
      <w:r>
        <w:rPr>
          <w:rFonts w:ascii="仿宋_GB2312" w:hAnsi="Calibri" w:eastAsia="仿宋_GB2312"/>
          <w:sz w:val="30"/>
          <w:szCs w:val="30"/>
          <w:highlight w:val="none"/>
        </w:rPr>
        <w:t>净值（10栏）</w:t>
      </w:r>
      <w:r>
        <w:rPr>
          <w:rFonts w:hint="eastAsia" w:ascii="仿宋_GB2312" w:hAnsi="Calibri" w:eastAsia="仿宋_GB2312"/>
          <w:sz w:val="30"/>
          <w:szCs w:val="30"/>
          <w:highlight w:val="none"/>
        </w:rPr>
        <w:t>等于原值</w:t>
      </w:r>
      <w:r>
        <w:rPr>
          <w:rFonts w:ascii="仿宋_GB2312" w:hAnsi="Calibri" w:eastAsia="仿宋_GB2312"/>
          <w:sz w:val="30"/>
          <w:szCs w:val="30"/>
          <w:highlight w:val="none"/>
        </w:rPr>
        <w:t>（8</w:t>
      </w:r>
      <w:r>
        <w:rPr>
          <w:rFonts w:hint="eastAsia" w:ascii="仿宋_GB2312" w:hAnsi="Calibri" w:eastAsia="仿宋_GB2312"/>
          <w:sz w:val="30"/>
          <w:szCs w:val="30"/>
          <w:highlight w:val="none"/>
        </w:rPr>
        <w:t>栏）与累计折旧/摊销</w:t>
      </w:r>
      <w:r>
        <w:rPr>
          <w:rFonts w:ascii="仿宋_GB2312" w:hAnsi="Calibri" w:eastAsia="仿宋_GB2312"/>
          <w:sz w:val="30"/>
          <w:szCs w:val="30"/>
          <w:highlight w:val="none"/>
        </w:rPr>
        <w:t>（9</w:t>
      </w:r>
      <w:r>
        <w:rPr>
          <w:rFonts w:hint="eastAsia" w:ascii="仿宋_GB2312" w:hAnsi="Calibri" w:eastAsia="仿宋_GB2312"/>
          <w:sz w:val="30"/>
          <w:szCs w:val="30"/>
          <w:highlight w:val="none"/>
        </w:rPr>
        <w:t>栏）之差；</w:t>
      </w:r>
    </w:p>
    <w:p w14:paraId="01641F5A">
      <w:pPr>
        <w:pStyle w:val="6"/>
        <w:numPr>
          <w:ilvl w:val="0"/>
          <w:numId w:val="5"/>
        </w:numPr>
        <w:spacing w:line="360" w:lineRule="auto"/>
        <w:ind w:left="-151" w:firstLineChars="0"/>
        <w:rPr>
          <w:rFonts w:hint="eastAsia" w:hAnsi="仿宋"/>
          <w:sz w:val="30"/>
          <w:szCs w:val="30"/>
          <w:highlight w:val="none"/>
        </w:rPr>
      </w:pPr>
      <w:r>
        <w:rPr>
          <w:rFonts w:hint="eastAsia" w:hAnsi="仿宋"/>
          <w:sz w:val="30"/>
          <w:szCs w:val="30"/>
          <w:highlight w:val="none"/>
        </w:rPr>
        <w:t>各</w:t>
      </w:r>
      <w:r>
        <w:rPr>
          <w:rFonts w:hAnsi="仿宋"/>
          <w:sz w:val="30"/>
          <w:szCs w:val="30"/>
          <w:highlight w:val="none"/>
        </w:rPr>
        <w:t>指标大于等于</w:t>
      </w:r>
      <w:r>
        <w:rPr>
          <w:rFonts w:hint="eastAsia" w:hAnsi="仿宋"/>
          <w:sz w:val="30"/>
          <w:szCs w:val="30"/>
          <w:highlight w:val="none"/>
        </w:rPr>
        <w:t>0；</w:t>
      </w:r>
    </w:p>
    <w:p w14:paraId="3A671203">
      <w:pPr>
        <w:snapToGrid w:val="0"/>
        <w:spacing w:line="360" w:lineRule="auto"/>
        <w:ind w:firstLine="626" w:firstLineChars="200"/>
        <w:rPr>
          <w:rFonts w:hint="eastAsia" w:ascii="仿宋_GB2312" w:hAnsi="仿宋" w:eastAsia="仿宋_GB2312"/>
          <w:b/>
          <w:spacing w:val="6"/>
          <w:sz w:val="30"/>
          <w:szCs w:val="30"/>
          <w:highlight w:val="none"/>
        </w:rPr>
      </w:pPr>
      <w:r>
        <w:rPr>
          <w:rFonts w:hint="eastAsia" w:ascii="仿宋_GB2312" w:hAnsi="仿宋" w:eastAsia="仿宋_GB2312"/>
          <w:b/>
          <w:spacing w:val="6"/>
          <w:sz w:val="30"/>
          <w:szCs w:val="30"/>
          <w:highlight w:val="none"/>
        </w:rPr>
        <w:t>核实性公式：</w:t>
      </w:r>
    </w:p>
    <w:p w14:paraId="35845188">
      <w:pPr>
        <w:pStyle w:val="6"/>
        <w:numPr>
          <w:ilvl w:val="0"/>
          <w:numId w:val="5"/>
        </w:numPr>
        <w:spacing w:line="360" w:lineRule="auto"/>
        <w:ind w:left="-151" w:firstLineChars="0"/>
        <w:rPr>
          <w:rFonts w:hint="eastAsia" w:hAnsi="仿宋"/>
          <w:sz w:val="30"/>
          <w:szCs w:val="30"/>
          <w:highlight w:val="none"/>
        </w:rPr>
      </w:pPr>
      <w:r>
        <w:rPr>
          <w:rFonts w:hint="eastAsia" w:hAnsi="仿宋"/>
          <w:sz w:val="30"/>
          <w:szCs w:val="30"/>
          <w:highlight w:val="none"/>
        </w:rPr>
        <w:t>供水厂（站）（27行）负有管理维护职责数量（6栏）应小于等于100，否则提示核实性错误，需结合实际情况修改或填写情况说明；</w:t>
      </w:r>
    </w:p>
    <w:p w14:paraId="7BF9F13B">
      <w:pPr>
        <w:pStyle w:val="6"/>
        <w:numPr>
          <w:ilvl w:val="0"/>
          <w:numId w:val="5"/>
        </w:numPr>
        <w:spacing w:line="360" w:lineRule="auto"/>
        <w:ind w:left="-151" w:firstLineChars="0"/>
        <w:rPr>
          <w:rFonts w:hint="eastAsia" w:hAnsi="仿宋"/>
          <w:sz w:val="30"/>
          <w:szCs w:val="30"/>
          <w:highlight w:val="none"/>
        </w:rPr>
      </w:pPr>
      <w:r>
        <w:rPr>
          <w:rFonts w:hint="eastAsia" w:hAnsi="仿宋"/>
          <w:sz w:val="30"/>
          <w:szCs w:val="30"/>
          <w:highlight w:val="none"/>
        </w:rPr>
        <w:t>污水处理厂（站）（33行）负有管理维护职责数量（6栏）应小于等于100，否则提示核实性错误，需结合实际情况修改或填写情况说明；</w:t>
      </w:r>
    </w:p>
    <w:p w14:paraId="0F17E2D5">
      <w:pPr>
        <w:pStyle w:val="6"/>
        <w:numPr>
          <w:ilvl w:val="0"/>
          <w:numId w:val="5"/>
        </w:numPr>
        <w:spacing w:line="360" w:lineRule="auto"/>
        <w:ind w:left="-151" w:firstLineChars="0"/>
        <w:rPr>
          <w:rFonts w:hint="eastAsia" w:hAnsi="仿宋"/>
          <w:sz w:val="30"/>
          <w:szCs w:val="30"/>
          <w:highlight w:val="none"/>
        </w:rPr>
      </w:pPr>
      <w:r>
        <w:rPr>
          <w:rFonts w:hint="eastAsia" w:hAnsi="仿宋"/>
          <w:sz w:val="30"/>
          <w:szCs w:val="30"/>
          <w:highlight w:val="none"/>
          <w:lang w:eastAsia="zh-CN"/>
        </w:rPr>
        <w:t>给水管网</w:t>
      </w:r>
      <w:r>
        <w:rPr>
          <w:rFonts w:hint="eastAsia" w:hAnsi="仿宋"/>
          <w:sz w:val="30"/>
          <w:szCs w:val="30"/>
          <w:highlight w:val="none"/>
        </w:rPr>
        <w:t>（2</w:t>
      </w:r>
      <w:r>
        <w:rPr>
          <w:rFonts w:hint="eastAsia" w:hAnsi="仿宋"/>
          <w:sz w:val="30"/>
          <w:szCs w:val="30"/>
          <w:highlight w:val="none"/>
          <w:lang w:val="en-US" w:eastAsia="zh-CN"/>
        </w:rPr>
        <w:t>8</w:t>
      </w:r>
      <w:r>
        <w:rPr>
          <w:rFonts w:hint="eastAsia" w:hAnsi="仿宋"/>
          <w:sz w:val="30"/>
          <w:szCs w:val="30"/>
          <w:highlight w:val="none"/>
        </w:rPr>
        <w:t>行）负有管理维护职责数量（6栏）应小于等于100</w:t>
      </w:r>
      <w:r>
        <w:rPr>
          <w:rFonts w:hint="eastAsia" w:hAnsi="仿宋"/>
          <w:sz w:val="30"/>
          <w:szCs w:val="30"/>
          <w:highlight w:val="none"/>
          <w:lang w:val="en-US" w:eastAsia="zh-CN"/>
        </w:rPr>
        <w:t>00</w:t>
      </w:r>
      <w:r>
        <w:rPr>
          <w:rFonts w:hint="eastAsia" w:hAnsi="仿宋"/>
          <w:sz w:val="30"/>
          <w:szCs w:val="30"/>
          <w:highlight w:val="none"/>
        </w:rPr>
        <w:t>，否则提示核实性错误，需结合实际情况修改或填写情况说明；</w:t>
      </w:r>
    </w:p>
    <w:p w14:paraId="54D55639">
      <w:pPr>
        <w:pStyle w:val="6"/>
        <w:numPr>
          <w:ilvl w:val="0"/>
          <w:numId w:val="5"/>
        </w:numPr>
        <w:spacing w:line="360" w:lineRule="auto"/>
        <w:ind w:left="-151" w:firstLineChars="0"/>
        <w:rPr>
          <w:rFonts w:hint="eastAsia" w:hAnsi="仿宋"/>
          <w:sz w:val="30"/>
          <w:szCs w:val="30"/>
          <w:highlight w:val="none"/>
        </w:rPr>
      </w:pPr>
      <w:r>
        <w:rPr>
          <w:rFonts w:hint="eastAsia" w:hAnsi="仿宋"/>
          <w:sz w:val="30"/>
          <w:szCs w:val="30"/>
          <w:highlight w:val="none"/>
          <w:lang w:eastAsia="zh-CN"/>
        </w:rPr>
        <w:t>排水管网</w:t>
      </w:r>
      <w:r>
        <w:rPr>
          <w:rFonts w:hint="eastAsia" w:hAnsi="仿宋"/>
          <w:sz w:val="30"/>
          <w:szCs w:val="30"/>
          <w:highlight w:val="none"/>
        </w:rPr>
        <w:t>（</w:t>
      </w:r>
      <w:r>
        <w:rPr>
          <w:rFonts w:hint="eastAsia" w:hAnsi="仿宋"/>
          <w:sz w:val="30"/>
          <w:szCs w:val="30"/>
          <w:highlight w:val="none"/>
          <w:lang w:val="en-US" w:eastAsia="zh-CN"/>
        </w:rPr>
        <w:t>31</w:t>
      </w:r>
      <w:r>
        <w:rPr>
          <w:rFonts w:hint="eastAsia" w:hAnsi="仿宋"/>
          <w:sz w:val="30"/>
          <w:szCs w:val="30"/>
          <w:highlight w:val="none"/>
        </w:rPr>
        <w:t>行）负有管理维护职责数量（6栏）应小于等于</w:t>
      </w:r>
      <w:r>
        <w:rPr>
          <w:rFonts w:hint="eastAsia" w:hAnsi="仿宋"/>
          <w:sz w:val="30"/>
          <w:szCs w:val="30"/>
          <w:highlight w:val="none"/>
          <w:lang w:val="en-US" w:eastAsia="zh-CN"/>
        </w:rPr>
        <w:t>3</w:t>
      </w:r>
      <w:r>
        <w:rPr>
          <w:rFonts w:hint="eastAsia" w:hAnsi="仿宋"/>
          <w:sz w:val="30"/>
          <w:szCs w:val="30"/>
          <w:highlight w:val="none"/>
        </w:rPr>
        <w:t>00</w:t>
      </w:r>
      <w:r>
        <w:rPr>
          <w:rFonts w:hint="eastAsia" w:hAnsi="仿宋"/>
          <w:sz w:val="30"/>
          <w:szCs w:val="30"/>
          <w:highlight w:val="none"/>
          <w:lang w:val="en-US" w:eastAsia="zh-CN"/>
        </w:rPr>
        <w:t>00</w:t>
      </w:r>
      <w:r>
        <w:rPr>
          <w:rFonts w:hint="eastAsia" w:hAnsi="仿宋"/>
          <w:sz w:val="30"/>
          <w:szCs w:val="30"/>
          <w:highlight w:val="none"/>
        </w:rPr>
        <w:t>，否则提示核实性错误，需结合实际情况修改或填写情况说明；</w:t>
      </w:r>
    </w:p>
    <w:p w14:paraId="2BC7384A">
      <w:pPr>
        <w:pStyle w:val="6"/>
        <w:numPr>
          <w:ilvl w:val="0"/>
          <w:numId w:val="5"/>
        </w:numPr>
        <w:spacing w:line="360" w:lineRule="auto"/>
        <w:ind w:left="-151" w:firstLineChars="0"/>
        <w:rPr>
          <w:rFonts w:hint="eastAsia" w:hAnsi="仿宋"/>
          <w:sz w:val="30"/>
          <w:szCs w:val="30"/>
          <w:highlight w:val="none"/>
        </w:rPr>
      </w:pPr>
      <w:r>
        <w:rPr>
          <w:rFonts w:hint="eastAsia" w:hAnsi="仿宋"/>
          <w:sz w:val="30"/>
          <w:szCs w:val="30"/>
          <w:highlight w:val="none"/>
          <w:lang w:eastAsia="zh-CN"/>
        </w:rPr>
        <w:t>供气管网</w:t>
      </w:r>
      <w:r>
        <w:rPr>
          <w:rFonts w:hint="eastAsia" w:hAnsi="仿宋"/>
          <w:sz w:val="30"/>
          <w:szCs w:val="30"/>
          <w:highlight w:val="none"/>
        </w:rPr>
        <w:t>（</w:t>
      </w:r>
      <w:r>
        <w:rPr>
          <w:rFonts w:hint="eastAsia" w:hAnsi="仿宋"/>
          <w:sz w:val="30"/>
          <w:szCs w:val="30"/>
          <w:highlight w:val="none"/>
          <w:lang w:val="en-US" w:eastAsia="zh-CN"/>
        </w:rPr>
        <w:t>36</w:t>
      </w:r>
      <w:r>
        <w:rPr>
          <w:rFonts w:hint="eastAsia" w:hAnsi="仿宋"/>
          <w:sz w:val="30"/>
          <w:szCs w:val="30"/>
          <w:highlight w:val="none"/>
        </w:rPr>
        <w:t>行）负有管理维护职责数量（6栏）应小于等于</w:t>
      </w:r>
      <w:r>
        <w:rPr>
          <w:rFonts w:hint="eastAsia" w:hAnsi="仿宋"/>
          <w:sz w:val="30"/>
          <w:szCs w:val="30"/>
          <w:highlight w:val="none"/>
          <w:lang w:val="en-US" w:eastAsia="zh-CN"/>
        </w:rPr>
        <w:t>1</w:t>
      </w:r>
      <w:r>
        <w:rPr>
          <w:rFonts w:hint="eastAsia" w:hAnsi="仿宋"/>
          <w:sz w:val="30"/>
          <w:szCs w:val="30"/>
          <w:highlight w:val="none"/>
        </w:rPr>
        <w:t>0</w:t>
      </w:r>
      <w:r>
        <w:rPr>
          <w:rFonts w:hint="eastAsia" w:hAnsi="仿宋"/>
          <w:sz w:val="30"/>
          <w:szCs w:val="30"/>
          <w:highlight w:val="none"/>
          <w:lang w:val="en-US" w:eastAsia="zh-CN"/>
        </w:rPr>
        <w:t>00</w:t>
      </w:r>
      <w:r>
        <w:rPr>
          <w:rFonts w:hint="eastAsia" w:hAnsi="仿宋"/>
          <w:sz w:val="30"/>
          <w:szCs w:val="30"/>
          <w:highlight w:val="none"/>
        </w:rPr>
        <w:t>，否则提示核实性错误，需结合实际情况修改或填写情况说明；</w:t>
      </w:r>
    </w:p>
    <w:p w14:paraId="62CBF614">
      <w:pPr>
        <w:pStyle w:val="6"/>
        <w:numPr>
          <w:ilvl w:val="0"/>
          <w:numId w:val="5"/>
        </w:numPr>
        <w:spacing w:line="360" w:lineRule="auto"/>
        <w:ind w:left="-151" w:firstLineChars="0"/>
        <w:rPr>
          <w:rFonts w:hint="eastAsia" w:hAnsi="仿宋"/>
          <w:sz w:val="30"/>
          <w:szCs w:val="30"/>
          <w:highlight w:val="none"/>
        </w:rPr>
      </w:pPr>
      <w:r>
        <w:rPr>
          <w:rFonts w:hint="eastAsia" w:hAnsi="仿宋"/>
          <w:sz w:val="30"/>
          <w:szCs w:val="30"/>
          <w:highlight w:val="none"/>
          <w:lang w:eastAsia="zh-CN"/>
        </w:rPr>
        <w:t>供热管网</w:t>
      </w:r>
      <w:r>
        <w:rPr>
          <w:rFonts w:hint="eastAsia" w:hAnsi="仿宋"/>
          <w:sz w:val="30"/>
          <w:szCs w:val="30"/>
          <w:highlight w:val="none"/>
        </w:rPr>
        <w:t>（</w:t>
      </w:r>
      <w:r>
        <w:rPr>
          <w:rFonts w:hint="eastAsia" w:hAnsi="仿宋"/>
          <w:sz w:val="30"/>
          <w:szCs w:val="30"/>
          <w:highlight w:val="none"/>
          <w:lang w:val="en-US" w:eastAsia="zh-CN"/>
        </w:rPr>
        <w:t>38</w:t>
      </w:r>
      <w:r>
        <w:rPr>
          <w:rFonts w:hint="eastAsia" w:hAnsi="仿宋"/>
          <w:sz w:val="30"/>
          <w:szCs w:val="30"/>
          <w:highlight w:val="none"/>
        </w:rPr>
        <w:t>行）负有管理维护职责数量（6栏）应小于等于</w:t>
      </w:r>
      <w:r>
        <w:rPr>
          <w:rFonts w:hint="eastAsia" w:hAnsi="仿宋"/>
          <w:sz w:val="30"/>
          <w:szCs w:val="30"/>
          <w:highlight w:val="none"/>
          <w:lang w:val="en-US" w:eastAsia="zh-CN"/>
        </w:rPr>
        <w:t>2</w:t>
      </w:r>
      <w:r>
        <w:rPr>
          <w:rFonts w:hint="eastAsia" w:hAnsi="仿宋"/>
          <w:sz w:val="30"/>
          <w:szCs w:val="30"/>
          <w:highlight w:val="none"/>
        </w:rPr>
        <w:t>0</w:t>
      </w:r>
      <w:r>
        <w:rPr>
          <w:rFonts w:hint="eastAsia" w:hAnsi="仿宋"/>
          <w:sz w:val="30"/>
          <w:szCs w:val="30"/>
          <w:highlight w:val="none"/>
          <w:lang w:val="en-US" w:eastAsia="zh-CN"/>
        </w:rPr>
        <w:t>00</w:t>
      </w:r>
      <w:r>
        <w:rPr>
          <w:rFonts w:hint="eastAsia" w:hAnsi="仿宋"/>
          <w:sz w:val="30"/>
          <w:szCs w:val="30"/>
          <w:highlight w:val="none"/>
        </w:rPr>
        <w:t>，否则提示核实性错误，需结合实际情况修改或填写情况说明；</w:t>
      </w:r>
    </w:p>
    <w:p w14:paraId="35F88BDE">
      <w:pPr>
        <w:pStyle w:val="6"/>
        <w:numPr>
          <w:ilvl w:val="0"/>
          <w:numId w:val="5"/>
        </w:numPr>
        <w:spacing w:line="360" w:lineRule="auto"/>
        <w:ind w:left="-151" w:firstLineChars="0"/>
        <w:rPr>
          <w:rFonts w:hint="eastAsia" w:hAnsi="仿宋"/>
          <w:sz w:val="30"/>
          <w:szCs w:val="30"/>
          <w:highlight w:val="none"/>
        </w:rPr>
      </w:pPr>
      <w:r>
        <w:rPr>
          <w:rFonts w:hint="eastAsia" w:hAnsi="仿宋"/>
          <w:sz w:val="30"/>
          <w:szCs w:val="30"/>
          <w:highlight w:val="none"/>
          <w:lang w:eastAsia="zh-CN"/>
        </w:rPr>
        <w:t>管廊本体</w:t>
      </w:r>
      <w:r>
        <w:rPr>
          <w:rFonts w:hint="eastAsia" w:hAnsi="仿宋"/>
          <w:sz w:val="30"/>
          <w:szCs w:val="30"/>
          <w:highlight w:val="none"/>
        </w:rPr>
        <w:t>（</w:t>
      </w:r>
      <w:r>
        <w:rPr>
          <w:rFonts w:hint="eastAsia" w:hAnsi="仿宋"/>
          <w:sz w:val="30"/>
          <w:szCs w:val="30"/>
          <w:highlight w:val="none"/>
          <w:lang w:val="en-US" w:eastAsia="zh-CN"/>
        </w:rPr>
        <w:t>58</w:t>
      </w:r>
      <w:r>
        <w:rPr>
          <w:rFonts w:hint="eastAsia" w:hAnsi="仿宋"/>
          <w:sz w:val="30"/>
          <w:szCs w:val="30"/>
          <w:highlight w:val="none"/>
        </w:rPr>
        <w:t>行）负有管理维护职责数量（6栏）应小于等于</w:t>
      </w:r>
      <w:r>
        <w:rPr>
          <w:rFonts w:hint="eastAsia" w:hAnsi="仿宋"/>
          <w:sz w:val="30"/>
          <w:szCs w:val="30"/>
          <w:highlight w:val="none"/>
          <w:lang w:val="en-US" w:eastAsia="zh-CN"/>
        </w:rPr>
        <w:t>2</w:t>
      </w:r>
      <w:r>
        <w:rPr>
          <w:rFonts w:hint="eastAsia" w:hAnsi="仿宋"/>
          <w:sz w:val="30"/>
          <w:szCs w:val="30"/>
          <w:highlight w:val="none"/>
        </w:rPr>
        <w:t>0</w:t>
      </w:r>
      <w:r>
        <w:rPr>
          <w:rFonts w:hint="eastAsia" w:hAnsi="仿宋"/>
          <w:sz w:val="30"/>
          <w:szCs w:val="30"/>
          <w:highlight w:val="none"/>
          <w:lang w:val="en-US" w:eastAsia="zh-CN"/>
        </w:rPr>
        <w:t>00</w:t>
      </w:r>
      <w:r>
        <w:rPr>
          <w:rFonts w:hint="eastAsia" w:hAnsi="仿宋"/>
          <w:sz w:val="30"/>
          <w:szCs w:val="30"/>
          <w:highlight w:val="none"/>
        </w:rPr>
        <w:t>，否则提示核实性错误，需结合实际情况修改或填写情况说明；</w:t>
      </w:r>
    </w:p>
    <w:p w14:paraId="39382EA4">
      <w:pPr>
        <w:pStyle w:val="6"/>
        <w:numPr>
          <w:ilvl w:val="0"/>
          <w:numId w:val="5"/>
        </w:numPr>
        <w:spacing w:line="360" w:lineRule="auto"/>
        <w:ind w:left="-151" w:firstLineChars="0"/>
        <w:rPr>
          <w:rFonts w:hint="eastAsia" w:hAnsi="仿宋"/>
          <w:sz w:val="30"/>
          <w:szCs w:val="30"/>
          <w:highlight w:val="none"/>
        </w:rPr>
      </w:pPr>
      <w:r>
        <w:rPr>
          <w:rFonts w:hint="eastAsia" w:hAnsi="仿宋"/>
          <w:sz w:val="30"/>
          <w:szCs w:val="30"/>
          <w:highlight w:val="none"/>
        </w:rPr>
        <w:t>如果数量（2、7栏）大于0，则原值（3、8栏）大于0；</w:t>
      </w:r>
    </w:p>
    <w:p w14:paraId="4E1EA542">
      <w:pPr>
        <w:pStyle w:val="6"/>
        <w:numPr>
          <w:ilvl w:val="0"/>
          <w:numId w:val="5"/>
        </w:numPr>
        <w:spacing w:line="360" w:lineRule="auto"/>
        <w:ind w:left="-151" w:firstLineChars="0"/>
        <w:rPr>
          <w:rFonts w:hint="eastAsia" w:hAnsi="仿宋"/>
          <w:sz w:val="30"/>
          <w:szCs w:val="30"/>
          <w:highlight w:val="none"/>
        </w:rPr>
      </w:pPr>
      <w:r>
        <w:rPr>
          <w:rFonts w:hint="eastAsia" w:hAnsi="仿宋"/>
          <w:sz w:val="30"/>
          <w:szCs w:val="30"/>
          <w:highlight w:val="none"/>
        </w:rPr>
        <w:t>如果原值（3、8栏）大于0，则数量（2、7栏）大于0；</w:t>
      </w:r>
    </w:p>
    <w:p w14:paraId="13F7188A">
      <w:pPr>
        <w:pStyle w:val="6"/>
        <w:numPr>
          <w:ilvl w:val="0"/>
          <w:numId w:val="5"/>
        </w:numPr>
        <w:spacing w:line="360" w:lineRule="auto"/>
        <w:ind w:left="-151" w:firstLineChars="0"/>
        <w:rPr>
          <w:rFonts w:hint="eastAsia" w:hAnsi="仿宋"/>
          <w:sz w:val="30"/>
          <w:szCs w:val="30"/>
          <w:highlight w:val="none"/>
        </w:rPr>
      </w:pPr>
      <w:r>
        <w:rPr>
          <w:rFonts w:hint="eastAsia" w:hAnsi="仿宋"/>
          <w:sz w:val="30"/>
          <w:szCs w:val="30"/>
          <w:highlight w:val="none"/>
        </w:rPr>
        <w:t>原值（</w:t>
      </w:r>
      <w:r>
        <w:rPr>
          <w:rFonts w:hint="eastAsia" w:hAnsi="Calibri"/>
          <w:sz w:val="30"/>
          <w:szCs w:val="30"/>
          <w:highlight w:val="none"/>
        </w:rPr>
        <w:t>8栏</w:t>
      </w:r>
      <w:r>
        <w:rPr>
          <w:rFonts w:hint="eastAsia" w:hAnsi="仿宋"/>
          <w:sz w:val="30"/>
          <w:szCs w:val="30"/>
          <w:highlight w:val="none"/>
        </w:rPr>
        <w:t>）</w:t>
      </w:r>
      <w:r>
        <w:rPr>
          <w:rFonts w:hint="eastAsia" w:hAnsi="Calibri"/>
          <w:sz w:val="30"/>
          <w:szCs w:val="30"/>
          <w:highlight w:val="none"/>
        </w:rPr>
        <w:t>等于</w:t>
      </w:r>
      <w:r>
        <w:rPr>
          <w:rFonts w:hAnsi="Calibri"/>
          <w:sz w:val="30"/>
          <w:szCs w:val="30"/>
          <w:highlight w:val="none"/>
        </w:rPr>
        <w:t>1</w:t>
      </w:r>
      <w:r>
        <w:rPr>
          <w:rFonts w:hint="eastAsia" w:hAnsi="Calibri"/>
          <w:sz w:val="30"/>
          <w:szCs w:val="30"/>
          <w:highlight w:val="none"/>
        </w:rPr>
        <w:t>时，提示核实性错误，市政基础设施不能名义金额计价。</w:t>
      </w:r>
    </w:p>
    <w:p w14:paraId="04432174">
      <w:pPr>
        <w:pStyle w:val="6"/>
        <w:numPr>
          <w:ilvl w:val="0"/>
          <w:numId w:val="5"/>
        </w:numPr>
        <w:spacing w:line="360" w:lineRule="auto"/>
        <w:ind w:left="-151" w:firstLineChars="0"/>
        <w:rPr>
          <w:rFonts w:hint="eastAsia" w:hAnsi="仿宋"/>
          <w:sz w:val="30"/>
          <w:szCs w:val="30"/>
          <w:highlight w:val="none"/>
        </w:rPr>
      </w:pPr>
      <w:r>
        <w:rPr>
          <w:rFonts w:hint="eastAsia" w:hAnsi="仿宋"/>
          <w:sz w:val="30"/>
          <w:szCs w:val="30"/>
          <w:highlight w:val="none"/>
        </w:rPr>
        <w:t>市政交通设施（2行）、市政供排水设施（24行）、市政能源设施（34行）、市政环卫设施（39行）、市政园林绿化设施（42行）、市政综合类设施（56行）、市政信息通信设施（60行）、其他市政设施（62行）5栏等于上年期末账面价值，否则提示核实性错误，填写情况说明。</w:t>
      </w:r>
    </w:p>
    <w:p w14:paraId="7C990FCC">
      <w:pPr>
        <w:pStyle w:val="2"/>
        <w:rPr>
          <w:rFonts w:hint="eastAsia"/>
          <w:color w:val="auto"/>
          <w:highlight w:val="none"/>
        </w:rPr>
      </w:pPr>
      <w:r>
        <w:rPr>
          <w:rFonts w:hint="eastAsia"/>
          <w:color w:val="auto"/>
          <w:highlight w:val="none"/>
        </w:rPr>
        <w:t>（十六）公共基础设施</w:t>
      </w:r>
      <w:r>
        <w:rPr>
          <w:rFonts w:hint="eastAsia"/>
          <w:color w:val="auto"/>
          <w:highlight w:val="none"/>
          <w:lang w:eastAsia="zh-CN"/>
        </w:rPr>
        <w:t>－</w:t>
      </w:r>
      <w:r>
        <w:rPr>
          <w:rFonts w:hint="eastAsia"/>
          <w:color w:val="auto"/>
          <w:highlight w:val="none"/>
        </w:rPr>
        <w:t>其他公共基础设施情况表（财资12-</w:t>
      </w:r>
      <w:r>
        <w:rPr>
          <w:color w:val="auto"/>
          <w:highlight w:val="none"/>
        </w:rPr>
        <w:t>4</w:t>
      </w:r>
      <w:r>
        <w:rPr>
          <w:rFonts w:hint="eastAsia"/>
          <w:color w:val="auto"/>
          <w:highlight w:val="none"/>
        </w:rPr>
        <w:t>表）</w:t>
      </w:r>
    </w:p>
    <w:p w14:paraId="2C3E21B7">
      <w:pPr>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宋体" w:eastAsia="仿宋_GB2312"/>
          <w:sz w:val="30"/>
          <w:szCs w:val="30"/>
          <w:highlight w:val="none"/>
        </w:rPr>
        <w:t>本表反映行政事业单位负有管理维护职责的其他公共基础设施期初、期末资产数量和已按政府会计准则制度规定登记入账的资产数量、账面价值。</w:t>
      </w:r>
      <w:r>
        <w:rPr>
          <w:rFonts w:hint="eastAsia" w:ascii="仿宋_GB2312" w:hAnsi="仿宋" w:eastAsia="仿宋_GB2312"/>
          <w:sz w:val="30"/>
          <w:szCs w:val="30"/>
          <w:highlight w:val="none"/>
        </w:rPr>
        <w:t>由涉及到其他公共基础设施的相关部门依据财务账、资产台账等手工填报。“负有管理维护职责数量”指标应按照《政府会计准则5号——公共基础设施》相关规定，填写填报单位应当予以确认的资产数量。</w:t>
      </w:r>
    </w:p>
    <w:p w14:paraId="03365002">
      <w:pPr>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其他公共基础设施：指公共基础设施中除交通、水利、市政以外的其他基础设施。涉及到其他公共基础设施的相关部门填报。各级人防部门管理的人防工程、指挥、通信、警报设备设施等国有资产已划归地方管理，在此填列。填报人防工程以外的其他公共基础设施的，应在填报说明中说明相关资产名称、数量等具体情况。</w:t>
      </w:r>
    </w:p>
    <w:p w14:paraId="2E89382F">
      <w:pPr>
        <w:snapToGrid w:val="0"/>
        <w:spacing w:line="360" w:lineRule="auto"/>
        <w:ind w:firstLine="602" w:firstLineChars="200"/>
        <w:rPr>
          <w:rFonts w:hint="eastAsia" w:ascii="仿宋_GB2312" w:hAnsi="仿宋" w:eastAsia="仿宋_GB2312"/>
          <w:b/>
          <w:bCs/>
          <w:sz w:val="30"/>
          <w:szCs w:val="30"/>
          <w:highlight w:val="none"/>
        </w:rPr>
      </w:pPr>
      <w:r>
        <w:rPr>
          <w:rFonts w:hint="eastAsia" w:ascii="仿宋_GB2312" w:hAnsi="仿宋" w:eastAsia="仿宋_GB2312"/>
          <w:b/>
          <w:bCs/>
          <w:sz w:val="30"/>
          <w:szCs w:val="30"/>
          <w:highlight w:val="none"/>
        </w:rPr>
        <w:t>主要指标说明：</w:t>
      </w:r>
    </w:p>
    <w:p w14:paraId="357F8A1A">
      <w:pPr>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1</w:t>
      </w:r>
      <w:r>
        <w:rPr>
          <w:rFonts w:ascii="仿宋_GB2312" w:hAnsi="仿宋" w:eastAsia="仿宋_GB2312"/>
          <w:sz w:val="30"/>
          <w:szCs w:val="30"/>
          <w:highlight w:val="none"/>
        </w:rPr>
        <w:t>.</w:t>
      </w:r>
      <w:r>
        <w:rPr>
          <w:rFonts w:hint="eastAsia" w:ascii="仿宋_GB2312" w:hAnsi="仿宋" w:eastAsia="仿宋_GB2312"/>
          <w:sz w:val="30"/>
          <w:szCs w:val="30"/>
          <w:highlight w:val="none"/>
        </w:rPr>
        <w:t>期初数</w:t>
      </w:r>
      <w:r>
        <w:rPr>
          <w:rFonts w:ascii="仿宋_GB2312" w:hAnsi="仿宋" w:eastAsia="仿宋_GB2312"/>
          <w:sz w:val="30"/>
          <w:szCs w:val="30"/>
          <w:highlight w:val="none"/>
        </w:rPr>
        <w:t>：</w:t>
      </w:r>
      <w:r>
        <w:rPr>
          <w:rFonts w:hint="eastAsia" w:ascii="仿宋_GB2312" w:hAnsi="仿宋" w:eastAsia="仿宋_GB2312"/>
          <w:sz w:val="30"/>
          <w:szCs w:val="30"/>
          <w:highlight w:val="none"/>
        </w:rPr>
        <w:t>反映</w:t>
      </w:r>
      <w:r>
        <w:rPr>
          <w:rFonts w:ascii="仿宋_GB2312" w:hAnsi="仿宋" w:eastAsia="仿宋_GB2312"/>
          <w:sz w:val="30"/>
          <w:szCs w:val="30"/>
          <w:highlight w:val="none"/>
        </w:rPr>
        <w:t>本年度</w:t>
      </w:r>
      <w:r>
        <w:rPr>
          <w:rFonts w:hint="eastAsia" w:ascii="仿宋_GB2312" w:hAnsi="仿宋" w:eastAsia="仿宋_GB2312"/>
          <w:sz w:val="30"/>
          <w:szCs w:val="30"/>
          <w:highlight w:val="none"/>
        </w:rPr>
        <w:t>负有管理维护职责的各类其他公共基础设施的期初数量，其中：账面数是指账面记账的期初数量和金额（原值、累计折旧</w:t>
      </w:r>
      <w:r>
        <w:rPr>
          <w:rFonts w:ascii="仿宋_GB2312" w:hAnsi="仿宋" w:eastAsia="仿宋_GB2312"/>
          <w:sz w:val="30"/>
          <w:szCs w:val="30"/>
          <w:highlight w:val="none"/>
        </w:rPr>
        <w:t>/</w:t>
      </w:r>
      <w:r>
        <w:rPr>
          <w:rFonts w:hint="eastAsia" w:ascii="仿宋_GB2312" w:hAnsi="仿宋" w:eastAsia="仿宋_GB2312"/>
          <w:sz w:val="30"/>
          <w:szCs w:val="30"/>
          <w:highlight w:val="none"/>
        </w:rPr>
        <w:t>摊销、净值）。</w:t>
      </w:r>
    </w:p>
    <w:p w14:paraId="40EBC1A4">
      <w:pPr>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2</w:t>
      </w:r>
      <w:r>
        <w:rPr>
          <w:rFonts w:ascii="仿宋_GB2312" w:hAnsi="仿宋" w:eastAsia="仿宋_GB2312"/>
          <w:sz w:val="30"/>
          <w:szCs w:val="30"/>
          <w:highlight w:val="none"/>
        </w:rPr>
        <w:t>.</w:t>
      </w:r>
      <w:r>
        <w:rPr>
          <w:rFonts w:hint="eastAsia" w:ascii="仿宋_GB2312" w:hAnsi="仿宋" w:eastAsia="仿宋_GB2312"/>
          <w:sz w:val="30"/>
          <w:szCs w:val="30"/>
          <w:highlight w:val="none"/>
        </w:rPr>
        <w:t>期末数</w:t>
      </w:r>
      <w:r>
        <w:rPr>
          <w:rFonts w:ascii="仿宋_GB2312" w:hAnsi="仿宋" w:eastAsia="仿宋_GB2312"/>
          <w:sz w:val="30"/>
          <w:szCs w:val="30"/>
          <w:highlight w:val="none"/>
        </w:rPr>
        <w:t>：</w:t>
      </w:r>
      <w:r>
        <w:rPr>
          <w:rFonts w:hint="eastAsia" w:ascii="仿宋_GB2312" w:hAnsi="仿宋" w:eastAsia="仿宋_GB2312"/>
          <w:sz w:val="30"/>
          <w:szCs w:val="30"/>
          <w:highlight w:val="none"/>
        </w:rPr>
        <w:t>反映</w:t>
      </w:r>
      <w:r>
        <w:rPr>
          <w:rFonts w:ascii="仿宋_GB2312" w:hAnsi="仿宋" w:eastAsia="仿宋_GB2312"/>
          <w:sz w:val="30"/>
          <w:szCs w:val="30"/>
          <w:highlight w:val="none"/>
        </w:rPr>
        <w:t>本年度</w:t>
      </w:r>
      <w:r>
        <w:rPr>
          <w:rFonts w:hint="eastAsia" w:ascii="仿宋_GB2312" w:hAnsi="仿宋" w:eastAsia="仿宋_GB2312"/>
          <w:sz w:val="30"/>
          <w:szCs w:val="30"/>
          <w:highlight w:val="none"/>
        </w:rPr>
        <w:t>负有管理维护职责的各类其他公共基础设施的期末数量，其中：账面数是指账面记账的期末数量和金额（原值、累计折旧</w:t>
      </w:r>
      <w:r>
        <w:rPr>
          <w:rFonts w:ascii="仿宋_GB2312" w:hAnsi="仿宋" w:eastAsia="仿宋_GB2312"/>
          <w:sz w:val="30"/>
          <w:szCs w:val="30"/>
          <w:highlight w:val="none"/>
        </w:rPr>
        <w:t>/</w:t>
      </w:r>
      <w:r>
        <w:rPr>
          <w:rFonts w:hint="eastAsia" w:ascii="仿宋_GB2312" w:hAnsi="仿宋" w:eastAsia="仿宋_GB2312"/>
          <w:sz w:val="30"/>
          <w:szCs w:val="30"/>
          <w:highlight w:val="none"/>
        </w:rPr>
        <w:t>摊销、净值）。</w:t>
      </w:r>
    </w:p>
    <w:p w14:paraId="1732D78C">
      <w:pPr>
        <w:snapToGrid w:val="0"/>
        <w:spacing w:line="360" w:lineRule="auto"/>
        <w:ind w:firstLine="600" w:firstLineChars="200"/>
        <w:rPr>
          <w:rFonts w:hint="eastAsia" w:ascii="仿宋_GB2312" w:hAnsi="宋体" w:eastAsia="仿宋_GB2312" w:cs="宋体"/>
          <w:kern w:val="0"/>
          <w:sz w:val="32"/>
          <w:szCs w:val="32"/>
          <w:highlight w:val="none"/>
        </w:rPr>
      </w:pPr>
      <w:r>
        <w:rPr>
          <w:rFonts w:ascii="仿宋_GB2312" w:hAnsi="仿宋" w:eastAsia="仿宋_GB2312"/>
          <w:sz w:val="30"/>
          <w:szCs w:val="30"/>
          <w:highlight w:val="none"/>
        </w:rPr>
        <w:t>3.</w:t>
      </w:r>
      <w:r>
        <w:rPr>
          <w:rFonts w:hint="eastAsia" w:ascii="仿宋_GB2312" w:hAnsi="仿宋" w:eastAsia="仿宋_GB2312"/>
          <w:sz w:val="30"/>
          <w:szCs w:val="30"/>
          <w:highlight w:val="none"/>
        </w:rPr>
        <w:t>人防工程：反映本单位本期已入账的人防工程价值。</w:t>
      </w:r>
    </w:p>
    <w:p w14:paraId="4E2F4581">
      <w:pPr>
        <w:snapToGrid w:val="0"/>
        <w:spacing w:line="360" w:lineRule="auto"/>
        <w:ind w:firstLine="600" w:firstLineChars="200"/>
        <w:rPr>
          <w:rFonts w:hint="eastAsia" w:ascii="仿宋_GB2312" w:hAnsi="宋体" w:eastAsia="仿宋_GB2312"/>
          <w:sz w:val="30"/>
          <w:szCs w:val="30"/>
          <w:highlight w:val="none"/>
        </w:rPr>
      </w:pPr>
      <w:r>
        <w:rPr>
          <w:rFonts w:hint="eastAsia" w:ascii="仿宋_GB2312" w:hAnsi="宋体" w:eastAsia="仿宋_GB2312"/>
          <w:sz w:val="30"/>
          <w:szCs w:val="30"/>
          <w:highlight w:val="none"/>
        </w:rPr>
        <w:t>4</w:t>
      </w:r>
      <w:r>
        <w:rPr>
          <w:rFonts w:ascii="仿宋_GB2312" w:hAnsi="宋体" w:eastAsia="仿宋_GB2312"/>
          <w:sz w:val="30"/>
          <w:szCs w:val="30"/>
          <w:highlight w:val="none"/>
        </w:rPr>
        <w:t>.</w:t>
      </w:r>
      <w:r>
        <w:rPr>
          <w:rFonts w:hint="eastAsia" w:ascii="仿宋_GB2312" w:hAnsi="宋体" w:eastAsia="仿宋_GB2312"/>
          <w:sz w:val="30"/>
          <w:szCs w:val="30"/>
          <w:highlight w:val="none"/>
        </w:rPr>
        <w:t>其他设施：反映本单位本期已入账除人防工程以外的各类其他公共基础设施数量及价值。</w:t>
      </w:r>
    </w:p>
    <w:p w14:paraId="25ACBC2D">
      <w:pPr>
        <w:snapToGrid w:val="0"/>
        <w:spacing w:line="360" w:lineRule="auto"/>
        <w:ind w:firstLine="626" w:firstLineChars="200"/>
        <w:rPr>
          <w:rFonts w:hint="eastAsia" w:ascii="仿宋_GB2312" w:hAnsi="仿宋" w:eastAsia="仿宋_GB2312"/>
          <w:b/>
          <w:spacing w:val="6"/>
          <w:sz w:val="30"/>
          <w:szCs w:val="30"/>
          <w:highlight w:val="none"/>
        </w:rPr>
      </w:pPr>
      <w:r>
        <w:rPr>
          <w:rFonts w:hint="eastAsia" w:ascii="仿宋_GB2312" w:hAnsi="仿宋" w:eastAsia="仿宋_GB2312"/>
          <w:b/>
          <w:spacing w:val="6"/>
          <w:sz w:val="30"/>
          <w:szCs w:val="30"/>
          <w:highlight w:val="none"/>
        </w:rPr>
        <w:t>逻辑性审核公式：</w:t>
      </w:r>
    </w:p>
    <w:p w14:paraId="1931C752">
      <w:pPr>
        <w:snapToGrid w:val="0"/>
        <w:spacing w:line="360" w:lineRule="auto"/>
        <w:ind w:firstLine="626" w:firstLineChars="200"/>
        <w:rPr>
          <w:rFonts w:hint="eastAsia" w:ascii="仿宋_GB2312" w:hAnsi="仿宋" w:eastAsia="仿宋_GB2312"/>
          <w:b/>
          <w:spacing w:val="6"/>
          <w:sz w:val="30"/>
          <w:szCs w:val="30"/>
          <w:highlight w:val="none"/>
        </w:rPr>
      </w:pPr>
      <w:r>
        <w:rPr>
          <w:rFonts w:hint="eastAsia" w:ascii="仿宋_GB2312" w:hAnsi="仿宋" w:eastAsia="仿宋_GB2312"/>
          <w:b/>
          <w:spacing w:val="6"/>
          <w:sz w:val="30"/>
          <w:szCs w:val="30"/>
          <w:highlight w:val="none"/>
        </w:rPr>
        <w:t>表内公式：</w:t>
      </w:r>
    </w:p>
    <w:p w14:paraId="03B1EA76">
      <w:pPr>
        <w:numPr>
          <w:ilvl w:val="0"/>
          <w:numId w:val="5"/>
        </w:numPr>
        <w:spacing w:line="360" w:lineRule="auto"/>
        <w:rPr>
          <w:rFonts w:ascii="仿宋_GB2312" w:hAnsi="Calibri" w:eastAsia="仿宋_GB2312"/>
          <w:sz w:val="30"/>
          <w:szCs w:val="30"/>
          <w:highlight w:val="none"/>
        </w:rPr>
      </w:pPr>
      <w:bookmarkStart w:id="17" w:name="_Hlk146112919"/>
      <w:r>
        <w:rPr>
          <w:rFonts w:hint="eastAsia" w:ascii="仿宋_GB2312" w:hAnsi="Calibri" w:eastAsia="仿宋_GB2312"/>
          <w:sz w:val="30"/>
          <w:szCs w:val="30"/>
          <w:highlight w:val="none"/>
        </w:rPr>
        <w:t>合计（1行）等于人防工程（2行）</w:t>
      </w:r>
      <w:r>
        <w:rPr>
          <w:rFonts w:ascii="仿宋_GB2312" w:hAnsi="Calibri" w:eastAsia="仿宋_GB2312"/>
          <w:sz w:val="30"/>
          <w:szCs w:val="30"/>
          <w:highlight w:val="none"/>
        </w:rPr>
        <w:t>、</w:t>
      </w:r>
      <w:r>
        <w:rPr>
          <w:rFonts w:hint="eastAsia" w:ascii="仿宋_GB2312" w:hAnsi="Calibri" w:eastAsia="仿宋_GB2312"/>
          <w:sz w:val="30"/>
          <w:szCs w:val="30"/>
          <w:highlight w:val="none"/>
        </w:rPr>
        <w:t>其他设施（3行）之和</w:t>
      </w:r>
      <w:r>
        <w:rPr>
          <w:rFonts w:ascii="仿宋_GB2312" w:hAnsi="Calibri" w:eastAsia="仿宋_GB2312"/>
          <w:sz w:val="30"/>
          <w:szCs w:val="30"/>
          <w:highlight w:val="none"/>
        </w:rPr>
        <w:t>；</w:t>
      </w:r>
    </w:p>
    <w:p w14:paraId="6845AE2F">
      <w:pPr>
        <w:numPr>
          <w:ilvl w:val="0"/>
          <w:numId w:val="5"/>
        </w:numPr>
        <w:spacing w:line="360" w:lineRule="auto"/>
        <w:rPr>
          <w:rFonts w:ascii="仿宋_GB2312" w:hAnsi="Calibri" w:eastAsia="仿宋_GB2312"/>
          <w:sz w:val="30"/>
          <w:szCs w:val="30"/>
          <w:highlight w:val="none"/>
        </w:rPr>
      </w:pPr>
      <w:r>
        <w:rPr>
          <w:rFonts w:hint="eastAsia" w:ascii="仿宋_GB2312" w:hAnsi="Calibri" w:eastAsia="仿宋_GB2312"/>
          <w:sz w:val="30"/>
          <w:szCs w:val="30"/>
          <w:highlight w:val="none"/>
        </w:rPr>
        <w:t>其他设施（3行）等于浮动行之和</w:t>
      </w:r>
      <w:r>
        <w:rPr>
          <w:rFonts w:ascii="仿宋_GB2312" w:hAnsi="Calibri" w:eastAsia="仿宋_GB2312"/>
          <w:sz w:val="30"/>
          <w:szCs w:val="30"/>
          <w:highlight w:val="none"/>
        </w:rPr>
        <w:t>；</w:t>
      </w:r>
    </w:p>
    <w:p w14:paraId="703D225D">
      <w:pPr>
        <w:numPr>
          <w:ilvl w:val="0"/>
          <w:numId w:val="5"/>
        </w:numPr>
        <w:spacing w:line="360" w:lineRule="auto"/>
        <w:jc w:val="left"/>
        <w:rPr>
          <w:rFonts w:ascii="仿宋_GB2312" w:hAnsi="Calibri" w:eastAsia="仿宋_GB2312"/>
          <w:sz w:val="30"/>
          <w:szCs w:val="30"/>
          <w:highlight w:val="none"/>
        </w:rPr>
      </w:pPr>
      <w:r>
        <w:rPr>
          <w:rFonts w:ascii="仿宋_GB2312" w:hAnsi="Calibri" w:eastAsia="仿宋_GB2312"/>
          <w:sz w:val="30"/>
          <w:szCs w:val="30"/>
          <w:highlight w:val="none"/>
        </w:rPr>
        <w:t>净值（5栏）</w:t>
      </w:r>
      <w:r>
        <w:rPr>
          <w:rFonts w:hint="eastAsia" w:ascii="仿宋_GB2312" w:hAnsi="Calibri" w:eastAsia="仿宋_GB2312"/>
          <w:sz w:val="30"/>
          <w:szCs w:val="30"/>
          <w:highlight w:val="none"/>
        </w:rPr>
        <w:t>等于原值（</w:t>
      </w:r>
      <w:r>
        <w:rPr>
          <w:rFonts w:ascii="仿宋_GB2312" w:hAnsi="Calibri" w:eastAsia="仿宋_GB2312"/>
          <w:sz w:val="30"/>
          <w:szCs w:val="30"/>
          <w:highlight w:val="none"/>
        </w:rPr>
        <w:t>3</w:t>
      </w:r>
      <w:r>
        <w:rPr>
          <w:rFonts w:hint="eastAsia" w:ascii="仿宋_GB2312" w:hAnsi="Calibri" w:eastAsia="仿宋_GB2312"/>
          <w:sz w:val="30"/>
          <w:szCs w:val="30"/>
          <w:highlight w:val="none"/>
        </w:rPr>
        <w:t>栏）与累计折旧/摊销（</w:t>
      </w:r>
      <w:r>
        <w:rPr>
          <w:rFonts w:ascii="仿宋_GB2312" w:hAnsi="Calibri" w:eastAsia="仿宋_GB2312"/>
          <w:sz w:val="30"/>
          <w:szCs w:val="30"/>
          <w:highlight w:val="none"/>
        </w:rPr>
        <w:t>4</w:t>
      </w:r>
      <w:r>
        <w:rPr>
          <w:rFonts w:hint="eastAsia" w:ascii="仿宋_GB2312" w:hAnsi="Calibri" w:eastAsia="仿宋_GB2312"/>
          <w:sz w:val="30"/>
          <w:szCs w:val="30"/>
          <w:highlight w:val="none"/>
        </w:rPr>
        <w:t>栏）之差；</w:t>
      </w:r>
    </w:p>
    <w:p w14:paraId="6B0B4A51">
      <w:pPr>
        <w:numPr>
          <w:ilvl w:val="0"/>
          <w:numId w:val="5"/>
        </w:numPr>
        <w:spacing w:line="360" w:lineRule="auto"/>
        <w:jc w:val="left"/>
        <w:rPr>
          <w:rFonts w:ascii="仿宋_GB2312" w:hAnsi="Calibri" w:eastAsia="仿宋_GB2312"/>
          <w:sz w:val="30"/>
          <w:szCs w:val="30"/>
          <w:highlight w:val="none"/>
        </w:rPr>
      </w:pPr>
      <w:r>
        <w:rPr>
          <w:rFonts w:ascii="仿宋_GB2312" w:hAnsi="Calibri" w:eastAsia="仿宋_GB2312"/>
          <w:sz w:val="30"/>
          <w:szCs w:val="30"/>
          <w:highlight w:val="none"/>
        </w:rPr>
        <w:t>净值（</w:t>
      </w:r>
      <w:r>
        <w:rPr>
          <w:rFonts w:hint="eastAsia" w:ascii="仿宋_GB2312" w:hAnsi="Calibri" w:eastAsia="仿宋_GB2312"/>
          <w:sz w:val="30"/>
          <w:szCs w:val="30"/>
          <w:highlight w:val="none"/>
        </w:rPr>
        <w:t>10</w:t>
      </w:r>
      <w:r>
        <w:rPr>
          <w:rFonts w:ascii="仿宋_GB2312" w:hAnsi="Calibri" w:eastAsia="仿宋_GB2312"/>
          <w:sz w:val="30"/>
          <w:szCs w:val="30"/>
          <w:highlight w:val="none"/>
        </w:rPr>
        <w:t>栏）</w:t>
      </w:r>
      <w:r>
        <w:rPr>
          <w:rFonts w:hint="eastAsia" w:ascii="仿宋_GB2312" w:hAnsi="Calibri" w:eastAsia="仿宋_GB2312"/>
          <w:sz w:val="30"/>
          <w:szCs w:val="30"/>
          <w:highlight w:val="none"/>
        </w:rPr>
        <w:t>等于原值（8栏）与累计折旧/摊销（9栏）之差；</w:t>
      </w:r>
    </w:p>
    <w:p w14:paraId="09EBB816">
      <w:pPr>
        <w:numPr>
          <w:ilvl w:val="0"/>
          <w:numId w:val="5"/>
        </w:numPr>
        <w:spacing w:line="360" w:lineRule="auto"/>
        <w:jc w:val="left"/>
        <w:rPr>
          <w:rFonts w:ascii="仿宋_GB2312" w:hAnsi="Calibri" w:eastAsia="仿宋_GB2312"/>
          <w:sz w:val="30"/>
          <w:szCs w:val="30"/>
          <w:highlight w:val="none"/>
        </w:rPr>
      </w:pPr>
      <w:r>
        <w:rPr>
          <w:rFonts w:hint="eastAsia" w:ascii="仿宋_GB2312" w:hAnsi="Calibri" w:eastAsia="仿宋_GB2312"/>
          <w:sz w:val="30"/>
          <w:szCs w:val="30"/>
          <w:highlight w:val="none"/>
        </w:rPr>
        <w:t>各</w:t>
      </w:r>
      <w:r>
        <w:rPr>
          <w:rFonts w:ascii="仿宋_GB2312" w:hAnsi="Calibri" w:eastAsia="仿宋_GB2312"/>
          <w:sz w:val="30"/>
          <w:szCs w:val="30"/>
          <w:highlight w:val="none"/>
        </w:rPr>
        <w:t>指标大于等于</w:t>
      </w:r>
      <w:r>
        <w:rPr>
          <w:rFonts w:hint="eastAsia" w:ascii="仿宋_GB2312" w:hAnsi="Calibri" w:eastAsia="仿宋_GB2312"/>
          <w:sz w:val="30"/>
          <w:szCs w:val="30"/>
          <w:highlight w:val="none"/>
        </w:rPr>
        <w:t>0；</w:t>
      </w:r>
    </w:p>
    <w:p w14:paraId="18B6C21C">
      <w:pPr>
        <w:pStyle w:val="6"/>
        <w:numPr>
          <w:ilvl w:val="0"/>
          <w:numId w:val="5"/>
        </w:numPr>
        <w:spacing w:line="360" w:lineRule="auto"/>
        <w:ind w:firstLineChars="0"/>
        <w:rPr>
          <w:rFonts w:hint="eastAsia" w:hAnsi="仿宋"/>
          <w:sz w:val="30"/>
          <w:szCs w:val="30"/>
          <w:highlight w:val="none"/>
        </w:rPr>
      </w:pPr>
      <w:r>
        <w:rPr>
          <w:rFonts w:hint="eastAsia" w:hAnsi="仿宋"/>
          <w:sz w:val="30"/>
          <w:szCs w:val="30"/>
          <w:highlight w:val="none"/>
        </w:rPr>
        <w:t>当“其他设施”浮动行</w:t>
      </w:r>
      <w:r>
        <w:rPr>
          <w:rFonts w:hint="eastAsia" w:hAnsi="Calibri"/>
          <w:sz w:val="30"/>
          <w:szCs w:val="30"/>
          <w:highlight w:val="none"/>
        </w:rPr>
        <w:t>原值（8栏）</w:t>
      </w:r>
      <w:r>
        <w:rPr>
          <w:rFonts w:hint="eastAsia" w:hAnsi="仿宋"/>
          <w:sz w:val="30"/>
          <w:szCs w:val="30"/>
          <w:highlight w:val="none"/>
        </w:rPr>
        <w:t>价值大于0，那么“项目”必填。</w:t>
      </w:r>
    </w:p>
    <w:bookmarkEnd w:id="17"/>
    <w:p w14:paraId="60F27F6B">
      <w:pPr>
        <w:snapToGrid w:val="0"/>
        <w:spacing w:line="360" w:lineRule="auto"/>
        <w:ind w:firstLine="626" w:firstLineChars="200"/>
        <w:rPr>
          <w:rFonts w:hint="eastAsia" w:ascii="仿宋_GB2312" w:hAnsi="仿宋" w:eastAsia="仿宋_GB2312"/>
          <w:b/>
          <w:spacing w:val="6"/>
          <w:sz w:val="30"/>
          <w:szCs w:val="30"/>
          <w:highlight w:val="none"/>
        </w:rPr>
      </w:pPr>
      <w:r>
        <w:rPr>
          <w:rFonts w:hint="eastAsia" w:ascii="仿宋_GB2312" w:hAnsi="仿宋" w:eastAsia="仿宋_GB2312"/>
          <w:b/>
          <w:spacing w:val="6"/>
          <w:sz w:val="30"/>
          <w:szCs w:val="30"/>
          <w:highlight w:val="none"/>
        </w:rPr>
        <w:t>核实性公式：</w:t>
      </w:r>
    </w:p>
    <w:p w14:paraId="0F28E485">
      <w:pPr>
        <w:pStyle w:val="6"/>
        <w:numPr>
          <w:ilvl w:val="0"/>
          <w:numId w:val="5"/>
        </w:numPr>
        <w:spacing w:line="360" w:lineRule="auto"/>
        <w:ind w:firstLineChars="0"/>
        <w:rPr>
          <w:rFonts w:hint="eastAsia" w:hAnsi="仿宋"/>
          <w:sz w:val="30"/>
          <w:szCs w:val="30"/>
          <w:highlight w:val="none"/>
        </w:rPr>
      </w:pPr>
      <w:r>
        <w:rPr>
          <w:rFonts w:hint="eastAsia" w:hAnsi="仿宋"/>
          <w:sz w:val="30"/>
          <w:szCs w:val="30"/>
          <w:highlight w:val="none"/>
        </w:rPr>
        <w:t>当</w:t>
      </w:r>
      <w:r>
        <w:rPr>
          <w:rFonts w:hint="eastAsia" w:hAnsi="仿宋"/>
          <w:sz w:val="30"/>
          <w:szCs w:val="30"/>
          <w:highlight w:val="none"/>
          <w:lang w:eastAsia="zh-CN"/>
        </w:rPr>
        <w:t>浮动行</w:t>
      </w:r>
      <w:r>
        <w:rPr>
          <w:rFonts w:hint="eastAsia" w:hAnsi="Calibri"/>
          <w:sz w:val="30"/>
          <w:szCs w:val="30"/>
          <w:highlight w:val="none"/>
        </w:rPr>
        <w:t>原值（8栏）</w:t>
      </w:r>
      <w:r>
        <w:rPr>
          <w:rFonts w:hint="eastAsia" w:hAnsi="仿宋"/>
          <w:sz w:val="30"/>
          <w:szCs w:val="30"/>
          <w:highlight w:val="none"/>
        </w:rPr>
        <w:t>等于1时，提示核实性错误，需结合实际情况修改或填写情况说明；</w:t>
      </w:r>
    </w:p>
    <w:p w14:paraId="2A5AEC73">
      <w:pPr>
        <w:pStyle w:val="6"/>
        <w:numPr>
          <w:ilvl w:val="0"/>
          <w:numId w:val="5"/>
        </w:numPr>
        <w:spacing w:line="360" w:lineRule="auto"/>
        <w:ind w:firstLineChars="0"/>
        <w:rPr>
          <w:rFonts w:hint="eastAsia" w:hAnsi="仿宋"/>
          <w:sz w:val="30"/>
          <w:szCs w:val="30"/>
          <w:highlight w:val="none"/>
        </w:rPr>
      </w:pPr>
      <w:r>
        <w:rPr>
          <w:rFonts w:hint="eastAsia" w:hAnsi="仿宋"/>
          <w:sz w:val="30"/>
          <w:szCs w:val="30"/>
          <w:highlight w:val="none"/>
        </w:rPr>
        <w:t>当浮动行</w:t>
      </w:r>
      <w:r>
        <w:rPr>
          <w:rFonts w:hint="eastAsia" w:hAnsi="Calibri"/>
          <w:sz w:val="30"/>
          <w:szCs w:val="30"/>
          <w:highlight w:val="none"/>
        </w:rPr>
        <w:t>原值（8栏）</w:t>
      </w:r>
      <w:r>
        <w:rPr>
          <w:rFonts w:hint="eastAsia" w:hAnsi="仿宋"/>
          <w:sz w:val="30"/>
          <w:szCs w:val="30"/>
          <w:highlight w:val="none"/>
        </w:rPr>
        <w:t>大于0时，浮动行数量</w:t>
      </w:r>
      <w:r>
        <w:rPr>
          <w:rFonts w:hint="eastAsia" w:hAnsi="Calibri"/>
          <w:sz w:val="30"/>
          <w:szCs w:val="30"/>
          <w:highlight w:val="none"/>
        </w:rPr>
        <w:t>（</w:t>
      </w:r>
      <w:r>
        <w:rPr>
          <w:rFonts w:hint="eastAsia" w:hAnsi="仿宋"/>
          <w:sz w:val="30"/>
          <w:szCs w:val="30"/>
          <w:highlight w:val="none"/>
        </w:rPr>
        <w:t>7栏</w:t>
      </w:r>
      <w:r>
        <w:rPr>
          <w:rFonts w:hint="eastAsia" w:hAnsi="Calibri"/>
          <w:sz w:val="30"/>
          <w:szCs w:val="30"/>
          <w:highlight w:val="none"/>
        </w:rPr>
        <w:t>）</w:t>
      </w:r>
      <w:r>
        <w:rPr>
          <w:rFonts w:hint="eastAsia" w:hAnsi="仿宋"/>
          <w:sz w:val="30"/>
          <w:szCs w:val="30"/>
          <w:highlight w:val="none"/>
        </w:rPr>
        <w:t>应大于0，否则提示核实性错误，需结合实际情况修改或填写情况说明；</w:t>
      </w:r>
    </w:p>
    <w:p w14:paraId="2CD1C453">
      <w:pPr>
        <w:pStyle w:val="6"/>
        <w:numPr>
          <w:ilvl w:val="0"/>
          <w:numId w:val="5"/>
        </w:numPr>
        <w:spacing w:line="360" w:lineRule="auto"/>
        <w:ind w:firstLineChars="0"/>
        <w:rPr>
          <w:rFonts w:hint="eastAsia" w:hAnsi="仿宋"/>
          <w:sz w:val="30"/>
          <w:szCs w:val="30"/>
          <w:highlight w:val="none"/>
        </w:rPr>
      </w:pPr>
      <w:r>
        <w:rPr>
          <w:rFonts w:hint="eastAsia" w:hAnsi="仿宋"/>
          <w:sz w:val="30"/>
          <w:szCs w:val="30"/>
          <w:highlight w:val="none"/>
        </w:rPr>
        <w:t>当浮动行</w:t>
      </w:r>
      <w:r>
        <w:rPr>
          <w:rFonts w:hint="eastAsia" w:hAnsi="Calibri"/>
          <w:sz w:val="30"/>
          <w:szCs w:val="30"/>
          <w:highlight w:val="none"/>
        </w:rPr>
        <w:t>原值（8栏）</w:t>
      </w:r>
      <w:r>
        <w:rPr>
          <w:rFonts w:hint="eastAsia" w:hAnsi="仿宋"/>
          <w:sz w:val="30"/>
          <w:szCs w:val="30"/>
          <w:highlight w:val="none"/>
        </w:rPr>
        <w:t>大于0时，浮动行数量单位不为空，否则提示核实性错误，需结合实际情况修改或填写情况说明；</w:t>
      </w:r>
    </w:p>
    <w:p w14:paraId="74F622AE">
      <w:pPr>
        <w:pStyle w:val="6"/>
        <w:numPr>
          <w:ilvl w:val="0"/>
          <w:numId w:val="5"/>
        </w:numPr>
        <w:spacing w:line="360" w:lineRule="auto"/>
        <w:ind w:firstLineChars="0"/>
        <w:rPr>
          <w:rFonts w:hint="eastAsia" w:hAnsi="仿宋"/>
          <w:sz w:val="30"/>
          <w:szCs w:val="30"/>
          <w:highlight w:val="none"/>
        </w:rPr>
      </w:pPr>
      <w:r>
        <w:rPr>
          <w:rFonts w:hAnsi="仿宋"/>
          <w:sz w:val="30"/>
          <w:szCs w:val="30"/>
          <w:highlight w:val="none"/>
        </w:rPr>
        <w:t>原值期末数与期初数增减变动超过</w:t>
      </w:r>
      <w:r>
        <w:rPr>
          <w:rFonts w:hint="eastAsia" w:hAnsi="仿宋"/>
          <w:sz w:val="30"/>
          <w:szCs w:val="30"/>
          <w:highlight w:val="none"/>
        </w:rPr>
        <w:t>5</w:t>
      </w:r>
      <w:r>
        <w:rPr>
          <w:rFonts w:hAnsi="仿宋"/>
          <w:sz w:val="30"/>
          <w:szCs w:val="30"/>
          <w:highlight w:val="none"/>
        </w:rPr>
        <w:t>0%，请提供说明。</w:t>
      </w:r>
    </w:p>
    <w:p w14:paraId="7E03B63C">
      <w:pPr>
        <w:pStyle w:val="6"/>
        <w:numPr>
          <w:ilvl w:val="0"/>
          <w:numId w:val="0"/>
        </w:numPr>
        <w:spacing w:line="360" w:lineRule="auto"/>
        <w:ind w:left="576" w:leftChars="0"/>
        <w:rPr>
          <w:rFonts w:hint="eastAsia" w:ascii="仿宋_GB2312" w:hAnsi="仿宋" w:eastAsia="仿宋_GB2312" w:cs="Times New Roman"/>
          <w:b/>
          <w:spacing w:val="6"/>
          <w:kern w:val="2"/>
          <w:sz w:val="30"/>
          <w:szCs w:val="30"/>
          <w:highlight w:val="none"/>
          <w:lang w:val="en-US" w:eastAsia="zh-CN" w:bidi="ar-SA"/>
        </w:rPr>
      </w:pPr>
      <w:r>
        <w:rPr>
          <w:rFonts w:hint="eastAsia" w:ascii="仿宋_GB2312" w:hAnsi="仿宋" w:eastAsia="仿宋_GB2312" w:cs="Times New Roman"/>
          <w:b/>
          <w:spacing w:val="6"/>
          <w:kern w:val="2"/>
          <w:sz w:val="30"/>
          <w:szCs w:val="30"/>
          <w:highlight w:val="none"/>
          <w:lang w:val="en-US" w:eastAsia="zh-CN" w:bidi="ar-SA"/>
        </w:rPr>
        <w:t>提示性公式：</w:t>
      </w:r>
    </w:p>
    <w:p w14:paraId="765B5522">
      <w:pPr>
        <w:pStyle w:val="6"/>
        <w:numPr>
          <w:ilvl w:val="0"/>
          <w:numId w:val="5"/>
        </w:numPr>
        <w:spacing w:line="360" w:lineRule="auto"/>
        <w:ind w:firstLineChars="0"/>
        <w:rPr>
          <w:rFonts w:hint="eastAsia" w:hAnsi="仿宋"/>
          <w:sz w:val="30"/>
          <w:szCs w:val="30"/>
          <w:highlight w:val="none"/>
        </w:rPr>
      </w:pPr>
      <w:r>
        <w:rPr>
          <w:rFonts w:hint="eastAsia" w:hAnsi="仿宋"/>
          <w:sz w:val="30"/>
          <w:szCs w:val="30"/>
          <w:highlight w:val="none"/>
        </w:rPr>
        <w:t>其他设施（3行）</w:t>
      </w:r>
      <w:r>
        <w:rPr>
          <w:rFonts w:hint="eastAsia" w:hAnsi="仿宋"/>
          <w:sz w:val="30"/>
          <w:szCs w:val="30"/>
          <w:highlight w:val="none"/>
          <w:lang w:val="en-US" w:eastAsia="zh-CN"/>
        </w:rPr>
        <w:t>各栏之和</w:t>
      </w:r>
      <w:r>
        <w:rPr>
          <w:rFonts w:hint="eastAsia" w:hAnsi="仿宋"/>
          <w:sz w:val="30"/>
          <w:szCs w:val="30"/>
          <w:highlight w:val="none"/>
        </w:rPr>
        <w:t>大于0，则提示请核实该设施属于其他公共基础设施么。</w:t>
      </w:r>
    </w:p>
    <w:p w14:paraId="2F682D60">
      <w:pPr>
        <w:pStyle w:val="2"/>
        <w:ind w:firstLine="0" w:firstLineChars="0"/>
        <w:rPr>
          <w:rFonts w:hint="eastAsia"/>
          <w:b/>
          <w:color w:val="auto"/>
          <w:highlight w:val="none"/>
        </w:rPr>
      </w:pPr>
      <w:r>
        <w:rPr>
          <w:rFonts w:hint="eastAsia"/>
          <w:color w:val="auto"/>
          <w:highlight w:val="none"/>
        </w:rPr>
        <w:t>（十七）政府储备物资情况表（财资1</w:t>
      </w:r>
      <w:r>
        <w:rPr>
          <w:color w:val="auto"/>
          <w:highlight w:val="none"/>
        </w:rPr>
        <w:t>3</w:t>
      </w:r>
      <w:r>
        <w:rPr>
          <w:rFonts w:hint="eastAsia"/>
          <w:color w:val="auto"/>
          <w:highlight w:val="none"/>
        </w:rPr>
        <w:t>表）</w:t>
      </w:r>
      <w:r>
        <w:rPr>
          <w:color w:val="auto"/>
          <w:highlight w:val="none"/>
        </w:rPr>
        <w:t xml:space="preserve"> </w:t>
      </w:r>
    </w:p>
    <w:p w14:paraId="2317F1E0">
      <w:pPr>
        <w:adjustRightInd w:val="0"/>
        <w:snapToGrid w:val="0"/>
        <w:spacing w:line="360" w:lineRule="auto"/>
        <w:ind w:firstLine="600" w:firstLineChars="200"/>
        <w:rPr>
          <w:rFonts w:hint="eastAsia" w:ascii="仿宋_GB2312" w:hAnsi="楷体" w:eastAsia="仿宋_GB2312"/>
          <w:bCs/>
          <w:sz w:val="30"/>
          <w:szCs w:val="30"/>
          <w:highlight w:val="none"/>
        </w:rPr>
      </w:pPr>
      <w:r>
        <w:rPr>
          <w:rFonts w:hint="eastAsia" w:ascii="仿宋_GB2312" w:hAnsi="宋体" w:eastAsia="仿宋_GB2312"/>
          <w:bCs/>
          <w:sz w:val="30"/>
          <w:szCs w:val="30"/>
          <w:highlight w:val="none"/>
        </w:rPr>
        <w:t>本表反映的是执行政府会计准则制度的行政事业单位管理的政府储备物资的账面期初、期末情况，原则上本表数据从资产卡片提取，行政事业单位可根据实际情况进行手工修改。</w:t>
      </w:r>
    </w:p>
    <w:p w14:paraId="14F4A280">
      <w:pPr>
        <w:adjustRightInd w:val="0"/>
        <w:snapToGrid w:val="0"/>
        <w:spacing w:line="360" w:lineRule="auto"/>
        <w:ind w:firstLine="600" w:firstLineChars="200"/>
        <w:rPr>
          <w:rFonts w:hint="eastAsia" w:ascii="仿宋_GB2312" w:hAnsi="宋体" w:eastAsia="仿宋_GB2312"/>
          <w:sz w:val="30"/>
          <w:szCs w:val="30"/>
          <w:highlight w:val="none"/>
        </w:rPr>
      </w:pPr>
      <w:r>
        <w:rPr>
          <w:rFonts w:hint="eastAsia" w:ascii="仿宋_GB2312" w:hAnsi="楷体" w:eastAsia="仿宋_GB2312"/>
          <w:bCs/>
          <w:sz w:val="30"/>
          <w:szCs w:val="30"/>
          <w:highlight w:val="none"/>
        </w:rPr>
        <w:t>政府储备物资。</w:t>
      </w:r>
      <w:r>
        <w:rPr>
          <w:rFonts w:hint="eastAsia" w:ascii="仿宋_GB2312" w:hAnsi="宋体" w:eastAsia="仿宋_GB2312"/>
          <w:bCs/>
          <w:sz w:val="30"/>
          <w:szCs w:val="30"/>
          <w:highlight w:val="none"/>
        </w:rPr>
        <w:t>是指</w:t>
      </w:r>
      <w:r>
        <w:rPr>
          <w:rFonts w:hint="eastAsia" w:ascii="仿宋_GB2312" w:hAnsi="宋体" w:eastAsia="仿宋_GB2312"/>
          <w:sz w:val="30"/>
          <w:szCs w:val="30"/>
          <w:highlight w:val="none"/>
        </w:rPr>
        <w:t>为满足实施国家安全与发展战略、进行抗灾救灾、应对公共突发事件等特定公共需求而控制的资产，按照国家政府储备资产相关政策填写，主要包括粮食等农产品和农资储备、能源储备、矿产品原材料储备、应急专用物资储备，不包括企业受托代储的政府储备物资和商业储备资产（即政府部门对该项储备资产无所有权）。</w:t>
      </w:r>
    </w:p>
    <w:p w14:paraId="6C9BBC22">
      <w:pPr>
        <w:spacing w:line="360" w:lineRule="auto"/>
        <w:ind w:firstLine="576" w:firstLineChars="192"/>
        <w:rPr>
          <w:rFonts w:ascii="仿宋_GB2312" w:eastAsia="仿宋_GB2312"/>
          <w:sz w:val="30"/>
          <w:szCs w:val="30"/>
          <w:highlight w:val="none"/>
        </w:rPr>
      </w:pPr>
      <w:r>
        <w:rPr>
          <w:rFonts w:hint="eastAsia" w:ascii="仿宋_GB2312" w:hAnsi="黑体" w:eastAsia="仿宋_GB2312"/>
          <w:sz w:val="30"/>
          <w:szCs w:val="30"/>
          <w:highlight w:val="none"/>
        </w:rPr>
        <w:t>政府储备物资计价方式。</w:t>
      </w:r>
      <w:r>
        <w:rPr>
          <w:rFonts w:hint="eastAsia" w:ascii="仿宋_GB2312" w:hAnsi="宋体" w:eastAsia="仿宋_GB2312"/>
          <w:sz w:val="30"/>
          <w:szCs w:val="30"/>
          <w:highlight w:val="none"/>
        </w:rPr>
        <w:t>政府储备物资的登记入账核算按照《政府会计制度——行政事业单位会计科目和报表》、《政府会计准则第6号——政府储备物资》的规定执行。政</w:t>
      </w:r>
      <w:r>
        <w:rPr>
          <w:rFonts w:hint="eastAsia" w:ascii="仿宋_GB2312" w:hAnsi="宋体" w:eastAsia="仿宋_GB2312"/>
          <w:bCs/>
          <w:sz w:val="30"/>
          <w:szCs w:val="30"/>
          <w:highlight w:val="none"/>
        </w:rPr>
        <w:t>府储备物资报</w:t>
      </w:r>
      <w:r>
        <w:rPr>
          <w:rFonts w:hint="eastAsia" w:ascii="仿宋_GB2312" w:hAnsi="宋体" w:eastAsia="仿宋_GB2312"/>
          <w:sz w:val="30"/>
          <w:szCs w:val="30"/>
          <w:highlight w:val="none"/>
        </w:rPr>
        <w:t>表原则上按照账面价值进行计价。对于应当确认为政府储备物资，但已确认为存货、固定资产等其他资产的，应当将该资产按其账面价值在政府储备物资报表进行反映。没有账面价值的</w:t>
      </w:r>
      <w:r>
        <w:rPr>
          <w:rFonts w:hint="eastAsia" w:ascii="仿宋_GB2312" w:hAnsi="宋体" w:eastAsia="仿宋_GB2312"/>
          <w:sz w:val="30"/>
          <w:szCs w:val="30"/>
          <w:highlight w:val="none"/>
          <w:lang w:eastAsia="zh-CN"/>
        </w:rPr>
        <w:t>，</w:t>
      </w:r>
      <w:r>
        <w:rPr>
          <w:rFonts w:hint="eastAsia" w:ascii="仿宋_GB2312" w:hAnsi="宋体" w:eastAsia="仿宋_GB2312"/>
          <w:sz w:val="30"/>
          <w:szCs w:val="30"/>
          <w:highlight w:val="none"/>
        </w:rPr>
        <w:t>按照下列原则确定其初始入账成本：一是可以取得相关原始凭据的，其成本按照有关原始凭据注明的金额确定；二是没有相关凭据可供取得，但按规定经过资产评估的，其成本按照评估价值确定；三是没有相关凭据可供取得</w:t>
      </w:r>
      <w:r>
        <w:rPr>
          <w:rFonts w:hint="eastAsia" w:ascii="仿宋_GB2312" w:hAnsi="宋体" w:eastAsia="仿宋_GB2312"/>
          <w:sz w:val="30"/>
          <w:szCs w:val="30"/>
          <w:highlight w:val="none"/>
          <w:lang w:eastAsia="zh-CN"/>
        </w:rPr>
        <w:t>，也</w:t>
      </w:r>
      <w:r>
        <w:rPr>
          <w:rFonts w:hint="eastAsia" w:ascii="仿宋_GB2312" w:hAnsi="宋体" w:eastAsia="仿宋_GB2312"/>
          <w:sz w:val="30"/>
          <w:szCs w:val="30"/>
          <w:highlight w:val="none"/>
        </w:rPr>
        <w:t>未经资产评估</w:t>
      </w:r>
      <w:r>
        <w:rPr>
          <w:rFonts w:hint="eastAsia" w:ascii="仿宋_GB2312" w:eastAsia="仿宋_GB2312"/>
          <w:sz w:val="30"/>
          <w:szCs w:val="30"/>
          <w:highlight w:val="none"/>
        </w:rPr>
        <w:t>的，其成本按照重置成本确定。</w:t>
      </w:r>
    </w:p>
    <w:p w14:paraId="61557DF2">
      <w:pPr>
        <w:spacing w:line="360" w:lineRule="auto"/>
        <w:ind w:firstLine="578" w:firstLineChars="192"/>
        <w:rPr>
          <w:rFonts w:ascii="仿宋_GB2312" w:eastAsia="仿宋_GB2312"/>
          <w:b/>
          <w:bCs/>
          <w:sz w:val="30"/>
          <w:szCs w:val="30"/>
          <w:highlight w:val="none"/>
        </w:rPr>
      </w:pPr>
      <w:r>
        <w:rPr>
          <w:rFonts w:hint="eastAsia" w:ascii="仿宋_GB2312" w:eastAsia="仿宋_GB2312"/>
          <w:b/>
          <w:bCs/>
          <w:sz w:val="30"/>
          <w:szCs w:val="30"/>
          <w:highlight w:val="none"/>
        </w:rPr>
        <w:t>主要指标说明：</w:t>
      </w:r>
    </w:p>
    <w:p w14:paraId="4ECCA049">
      <w:pPr>
        <w:adjustRightInd w:val="0"/>
        <w:snapToGrid w:val="0"/>
        <w:spacing w:line="360" w:lineRule="auto"/>
        <w:rPr>
          <w:rFonts w:hint="eastAsia" w:ascii="仿宋_GB2312" w:hAnsi="宋体" w:eastAsia="仿宋_GB2312"/>
          <w:bCs/>
          <w:sz w:val="30"/>
          <w:szCs w:val="30"/>
          <w:highlight w:val="none"/>
        </w:rPr>
      </w:pPr>
      <w:r>
        <w:rPr>
          <w:rFonts w:hint="eastAsia" w:ascii="仿宋_GB2312" w:hAnsi="宋体" w:eastAsia="仿宋_GB2312"/>
          <w:bCs/>
          <w:sz w:val="30"/>
          <w:szCs w:val="30"/>
          <w:highlight w:val="none"/>
        </w:rPr>
        <w:t xml:space="preserve">    1.粮食等农产品和农资储备。包括粮食、棉花、食糖、肉类、食盐、边销茶、生丝、化肥、农药和救灾备荒种子等。由各级负责储备的管理部门（单位）填报。</w:t>
      </w:r>
    </w:p>
    <w:p w14:paraId="70A3DCAD">
      <w:pPr>
        <w:adjustRightInd w:val="0"/>
        <w:snapToGrid w:val="0"/>
        <w:spacing w:line="360" w:lineRule="auto"/>
        <w:ind w:firstLine="600" w:firstLineChars="200"/>
        <w:rPr>
          <w:rFonts w:hint="eastAsia" w:ascii="仿宋_GB2312" w:hAnsi="宋体" w:eastAsia="仿宋_GB2312"/>
          <w:bCs/>
          <w:sz w:val="30"/>
          <w:szCs w:val="30"/>
          <w:highlight w:val="none"/>
        </w:rPr>
      </w:pPr>
      <w:r>
        <w:rPr>
          <w:rFonts w:hint="eastAsia" w:ascii="仿宋_GB2312" w:hAnsi="宋体" w:eastAsia="仿宋_GB2312"/>
          <w:bCs/>
          <w:sz w:val="30"/>
          <w:szCs w:val="30"/>
          <w:highlight w:val="none"/>
        </w:rPr>
        <w:t>2.能源储备。由国家粮食和物资储备局和其他负责重要能源储备的部门（单位）填报。</w:t>
      </w:r>
    </w:p>
    <w:p w14:paraId="03B7CEA0">
      <w:pPr>
        <w:adjustRightInd w:val="0"/>
        <w:snapToGrid w:val="0"/>
        <w:spacing w:line="360" w:lineRule="auto"/>
        <w:ind w:firstLine="600" w:firstLineChars="200"/>
        <w:rPr>
          <w:rFonts w:hint="eastAsia" w:ascii="仿宋_GB2312" w:hAnsi="宋体" w:eastAsia="仿宋_GB2312"/>
          <w:bCs/>
          <w:sz w:val="30"/>
          <w:szCs w:val="30"/>
          <w:highlight w:val="none"/>
        </w:rPr>
      </w:pPr>
      <w:r>
        <w:rPr>
          <w:rFonts w:hint="eastAsia" w:ascii="仿宋_GB2312" w:hAnsi="宋体" w:eastAsia="仿宋_GB2312"/>
          <w:bCs/>
          <w:sz w:val="30"/>
          <w:szCs w:val="30"/>
          <w:highlight w:val="none"/>
        </w:rPr>
        <w:t>3.矿产品原材料储备。包括天然橡胶等。由国家粮食和物资储备局和其他负责矿产品原材料储备的部门（单位）填报。</w:t>
      </w:r>
    </w:p>
    <w:p w14:paraId="44FDA049">
      <w:pPr>
        <w:adjustRightInd w:val="0"/>
        <w:snapToGrid w:val="0"/>
        <w:spacing w:line="360" w:lineRule="auto"/>
        <w:ind w:firstLine="600" w:firstLineChars="200"/>
        <w:rPr>
          <w:rFonts w:hint="eastAsia" w:ascii="仿宋_GB2312" w:hAnsi="宋体" w:eastAsia="仿宋_GB2312"/>
          <w:bCs/>
          <w:sz w:val="30"/>
          <w:szCs w:val="30"/>
          <w:highlight w:val="none"/>
        </w:rPr>
      </w:pPr>
      <w:r>
        <w:rPr>
          <w:rFonts w:hint="eastAsia" w:ascii="仿宋_GB2312" w:hAnsi="宋体" w:eastAsia="仿宋_GB2312"/>
          <w:bCs/>
          <w:sz w:val="30"/>
          <w:szCs w:val="30"/>
          <w:highlight w:val="none"/>
        </w:rPr>
        <w:t>4.</w:t>
      </w:r>
      <w:r>
        <w:rPr>
          <w:rFonts w:hint="eastAsia"/>
          <w:bCs/>
          <w:highlight w:val="none"/>
        </w:rPr>
        <w:t xml:space="preserve"> </w:t>
      </w:r>
      <w:r>
        <w:rPr>
          <w:rFonts w:hint="eastAsia" w:ascii="仿宋_GB2312" w:hAnsi="宋体" w:eastAsia="仿宋_GB2312"/>
          <w:bCs/>
          <w:sz w:val="30"/>
          <w:szCs w:val="30"/>
          <w:highlight w:val="none"/>
        </w:rPr>
        <w:t>应急专用物资储备。包括应急抢险救灾物资、医药、重大动物疫病应急物资、国家区域性交通应急装备物资、应急运力和重大海上溢油应急物资等。由各级负责储备的管理部门（单位）填报。</w:t>
      </w:r>
    </w:p>
    <w:p w14:paraId="25FE4208">
      <w:pPr>
        <w:snapToGrid w:val="0"/>
        <w:spacing w:line="360" w:lineRule="auto"/>
        <w:ind w:firstLine="600" w:firstLineChars="200"/>
        <w:rPr>
          <w:rFonts w:hint="eastAsia" w:ascii="仿宋_GB2312" w:hAnsi="宋体" w:eastAsia="仿宋_GB2312"/>
          <w:bCs/>
          <w:sz w:val="30"/>
          <w:szCs w:val="30"/>
          <w:highlight w:val="none"/>
        </w:rPr>
      </w:pPr>
      <w:r>
        <w:rPr>
          <w:rFonts w:hint="eastAsia" w:ascii="仿宋_GB2312" w:hAnsi="宋体" w:eastAsia="仿宋_GB2312"/>
          <w:bCs/>
          <w:sz w:val="30"/>
          <w:szCs w:val="30"/>
          <w:highlight w:val="none"/>
        </w:rPr>
        <w:t>5.</w:t>
      </w:r>
      <w:r>
        <w:rPr>
          <w:rFonts w:hint="eastAsia"/>
          <w:bCs/>
          <w:highlight w:val="none"/>
        </w:rPr>
        <w:t xml:space="preserve"> </w:t>
      </w:r>
      <w:r>
        <w:rPr>
          <w:rFonts w:hint="eastAsia" w:ascii="仿宋_GB2312" w:hAnsi="宋体" w:eastAsia="仿宋_GB2312"/>
          <w:bCs/>
          <w:sz w:val="30"/>
          <w:szCs w:val="30"/>
          <w:highlight w:val="none"/>
        </w:rPr>
        <w:t>政府储备物资资产报告工作涉及国家安全和秘密的，应当符合国家有关保密制度的规定和要求。</w:t>
      </w:r>
    </w:p>
    <w:p w14:paraId="7FB0A3F2">
      <w:pPr>
        <w:snapToGrid w:val="0"/>
        <w:spacing w:line="360" w:lineRule="auto"/>
        <w:ind w:firstLine="600" w:firstLineChars="200"/>
        <w:rPr>
          <w:rFonts w:hint="eastAsia" w:ascii="仿宋_GB2312" w:hAnsi="宋体" w:eastAsia="仿宋_GB2312"/>
          <w:bCs/>
          <w:sz w:val="30"/>
          <w:szCs w:val="30"/>
          <w:highlight w:val="none"/>
        </w:rPr>
      </w:pPr>
      <w:r>
        <w:rPr>
          <w:rFonts w:hint="eastAsia" w:ascii="仿宋_GB2312" w:hAnsi="宋体" w:eastAsia="仿宋_GB2312"/>
          <w:bCs/>
          <w:sz w:val="30"/>
          <w:szCs w:val="30"/>
          <w:highlight w:val="none"/>
        </w:rPr>
        <w:t>6.收储是指根据国家指令按程序开展储备物资入库。</w:t>
      </w:r>
    </w:p>
    <w:p w14:paraId="595C10BD">
      <w:pPr>
        <w:snapToGrid w:val="0"/>
        <w:spacing w:line="360" w:lineRule="auto"/>
        <w:ind w:firstLine="600" w:firstLineChars="200"/>
        <w:rPr>
          <w:rFonts w:hint="eastAsia" w:ascii="仿宋_GB2312" w:hAnsi="宋体" w:eastAsia="仿宋_GB2312"/>
          <w:bCs/>
          <w:sz w:val="30"/>
          <w:szCs w:val="30"/>
          <w:highlight w:val="none"/>
        </w:rPr>
      </w:pPr>
      <w:r>
        <w:rPr>
          <w:rFonts w:hint="eastAsia" w:ascii="仿宋_GB2312" w:hAnsi="宋体" w:eastAsia="仿宋_GB2312"/>
          <w:bCs/>
          <w:sz w:val="30"/>
          <w:szCs w:val="30"/>
          <w:highlight w:val="none"/>
        </w:rPr>
        <w:t>7.动用是指根据国家指令按程序开展储备物资出库。</w:t>
      </w:r>
    </w:p>
    <w:p w14:paraId="1C0A2C0F">
      <w:pPr>
        <w:snapToGrid w:val="0"/>
        <w:spacing w:line="360" w:lineRule="auto"/>
        <w:ind w:firstLine="600" w:firstLineChars="200"/>
        <w:rPr>
          <w:rFonts w:hint="eastAsia" w:ascii="仿宋_GB2312" w:hAnsi="宋体" w:eastAsia="仿宋_GB2312"/>
          <w:bCs/>
          <w:sz w:val="30"/>
          <w:szCs w:val="30"/>
          <w:highlight w:val="none"/>
        </w:rPr>
      </w:pPr>
      <w:r>
        <w:rPr>
          <w:rFonts w:hint="eastAsia" w:ascii="仿宋_GB2312" w:hAnsi="宋体" w:eastAsia="仿宋_GB2312"/>
          <w:bCs/>
          <w:sz w:val="30"/>
          <w:szCs w:val="30"/>
          <w:highlight w:val="none"/>
        </w:rPr>
        <w:t>8.轮换是指为保证品质按程序进行储备物资的更新。</w:t>
      </w:r>
    </w:p>
    <w:p w14:paraId="0DCE3421">
      <w:pPr>
        <w:snapToGrid w:val="0"/>
        <w:spacing w:line="360" w:lineRule="auto"/>
        <w:ind w:firstLine="602" w:firstLineChars="200"/>
        <w:rPr>
          <w:rFonts w:hint="eastAsia" w:ascii="仿宋_GB2312" w:hAnsi="仿宋" w:eastAsia="仿宋_GB2312"/>
          <w:b/>
          <w:sz w:val="30"/>
          <w:szCs w:val="30"/>
          <w:highlight w:val="none"/>
        </w:rPr>
      </w:pPr>
      <w:r>
        <w:rPr>
          <w:rFonts w:hint="eastAsia" w:ascii="仿宋_GB2312" w:hAnsi="仿宋" w:eastAsia="仿宋_GB2312"/>
          <w:b/>
          <w:sz w:val="30"/>
          <w:szCs w:val="30"/>
          <w:highlight w:val="none"/>
        </w:rPr>
        <w:t>逻辑性审核公式：</w:t>
      </w:r>
    </w:p>
    <w:p w14:paraId="6DE2FA04">
      <w:pPr>
        <w:snapToGrid w:val="0"/>
        <w:spacing w:line="360" w:lineRule="auto"/>
        <w:ind w:firstLine="602" w:firstLineChars="200"/>
        <w:rPr>
          <w:rFonts w:hint="eastAsia" w:ascii="仿宋_GB2312" w:hAnsi="仿宋" w:eastAsia="仿宋_GB2312"/>
          <w:b/>
          <w:sz w:val="30"/>
          <w:szCs w:val="30"/>
          <w:highlight w:val="none"/>
        </w:rPr>
      </w:pPr>
      <w:r>
        <w:rPr>
          <w:rFonts w:hint="eastAsia" w:ascii="仿宋_GB2312" w:hAnsi="仿宋" w:eastAsia="仿宋_GB2312"/>
          <w:b/>
          <w:sz w:val="30"/>
          <w:szCs w:val="30"/>
          <w:highlight w:val="none"/>
        </w:rPr>
        <w:t>表内公式：</w:t>
      </w:r>
      <w:bookmarkStart w:id="18" w:name="_Hlk22771444"/>
    </w:p>
    <w:p w14:paraId="262FDB79">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rPr>
        <w:t>合计（1行）等于粮食等农产品和农资储备（2行）、</w:t>
      </w:r>
      <w:r>
        <w:rPr>
          <w:rFonts w:ascii="仿宋_GB2312" w:eastAsia="仿宋_GB2312"/>
          <w:sz w:val="30"/>
          <w:szCs w:val="30"/>
          <w:highlight w:val="none"/>
        </w:rPr>
        <w:t>能源储备（13行）、矿产品原材料储备（14行）</w:t>
      </w:r>
      <w:r>
        <w:rPr>
          <w:rFonts w:hint="eastAsia" w:ascii="仿宋_GB2312" w:eastAsia="仿宋_GB2312"/>
          <w:sz w:val="30"/>
          <w:szCs w:val="30"/>
          <w:highlight w:val="none"/>
        </w:rPr>
        <w:t>、</w:t>
      </w:r>
      <w:r>
        <w:rPr>
          <w:rFonts w:ascii="仿宋_GB2312" w:eastAsia="仿宋_GB2312"/>
          <w:sz w:val="30"/>
          <w:szCs w:val="30"/>
          <w:highlight w:val="none"/>
        </w:rPr>
        <w:t>应急专用物资储备（16行）</w:t>
      </w:r>
      <w:r>
        <w:rPr>
          <w:rFonts w:hint="eastAsia" w:ascii="仿宋_GB2312" w:eastAsia="仿宋_GB2312"/>
          <w:sz w:val="30"/>
          <w:szCs w:val="30"/>
          <w:highlight w:val="none"/>
        </w:rPr>
        <w:t>各项之和；</w:t>
      </w:r>
    </w:p>
    <w:p w14:paraId="5C5B75B2">
      <w:pPr>
        <w:numPr>
          <w:ilvl w:val="0"/>
          <w:numId w:val="5"/>
        </w:numPr>
        <w:spacing w:line="360" w:lineRule="auto"/>
        <w:rPr>
          <w:rFonts w:ascii="仿宋_GB2312" w:eastAsia="仿宋_GB2312"/>
          <w:sz w:val="30"/>
          <w:szCs w:val="30"/>
          <w:highlight w:val="none"/>
        </w:rPr>
      </w:pPr>
      <w:bookmarkStart w:id="19" w:name="_Hlk54774091"/>
      <w:r>
        <w:rPr>
          <w:rFonts w:hint="eastAsia" w:ascii="仿宋_GB2312" w:eastAsia="仿宋_GB2312"/>
          <w:sz w:val="30"/>
          <w:szCs w:val="30"/>
          <w:highlight w:val="none"/>
        </w:rPr>
        <w:t>粮食等农产品和农资储备（2行）</w:t>
      </w:r>
      <w:bookmarkEnd w:id="19"/>
      <w:r>
        <w:rPr>
          <w:rFonts w:hint="eastAsia" w:ascii="仿宋_GB2312" w:eastAsia="仿宋_GB2312"/>
          <w:sz w:val="30"/>
          <w:szCs w:val="30"/>
          <w:highlight w:val="none"/>
        </w:rPr>
        <w:t>等于粮食（3</w:t>
      </w:r>
      <w:r>
        <w:rPr>
          <w:rFonts w:ascii="仿宋_GB2312" w:eastAsia="仿宋_GB2312"/>
          <w:sz w:val="30"/>
          <w:szCs w:val="30"/>
          <w:highlight w:val="none"/>
        </w:rPr>
        <w:t>行）</w:t>
      </w:r>
      <w:r>
        <w:rPr>
          <w:rFonts w:hint="eastAsia" w:ascii="仿宋_GB2312" w:eastAsia="仿宋_GB2312"/>
          <w:sz w:val="30"/>
          <w:szCs w:val="30"/>
          <w:highlight w:val="none"/>
        </w:rPr>
        <w:t>、棉花（</w:t>
      </w:r>
      <w:r>
        <w:rPr>
          <w:rFonts w:ascii="仿宋_GB2312" w:eastAsia="仿宋_GB2312"/>
          <w:sz w:val="30"/>
          <w:szCs w:val="30"/>
          <w:highlight w:val="none"/>
        </w:rPr>
        <w:t>4行）</w:t>
      </w:r>
      <w:r>
        <w:rPr>
          <w:rFonts w:hint="eastAsia" w:ascii="仿宋_GB2312" w:eastAsia="仿宋_GB2312"/>
          <w:sz w:val="30"/>
          <w:szCs w:val="30"/>
          <w:highlight w:val="none"/>
        </w:rPr>
        <w:t>、食糖（</w:t>
      </w:r>
      <w:r>
        <w:rPr>
          <w:rFonts w:ascii="仿宋_GB2312" w:eastAsia="仿宋_GB2312"/>
          <w:sz w:val="30"/>
          <w:szCs w:val="30"/>
          <w:highlight w:val="none"/>
        </w:rPr>
        <w:t>5行）</w:t>
      </w:r>
      <w:r>
        <w:rPr>
          <w:rFonts w:hint="eastAsia" w:ascii="仿宋_GB2312" w:eastAsia="仿宋_GB2312"/>
          <w:sz w:val="30"/>
          <w:szCs w:val="30"/>
          <w:highlight w:val="none"/>
        </w:rPr>
        <w:t>、肉类（</w:t>
      </w:r>
      <w:r>
        <w:rPr>
          <w:rFonts w:ascii="仿宋_GB2312" w:eastAsia="仿宋_GB2312"/>
          <w:sz w:val="30"/>
          <w:szCs w:val="30"/>
          <w:highlight w:val="none"/>
        </w:rPr>
        <w:t>6行）</w:t>
      </w:r>
      <w:r>
        <w:rPr>
          <w:rFonts w:hint="eastAsia" w:ascii="仿宋_GB2312" w:eastAsia="仿宋_GB2312"/>
          <w:sz w:val="30"/>
          <w:szCs w:val="30"/>
          <w:highlight w:val="none"/>
        </w:rPr>
        <w:t>、食盐（7</w:t>
      </w:r>
      <w:r>
        <w:rPr>
          <w:rFonts w:ascii="仿宋_GB2312" w:eastAsia="仿宋_GB2312"/>
          <w:sz w:val="30"/>
          <w:szCs w:val="30"/>
          <w:highlight w:val="none"/>
        </w:rPr>
        <w:t>行）、边销茶（8行）、生丝（9行）、化肥（10行）、农药（11行）、救灾备荒种子（12行）</w:t>
      </w:r>
      <w:r>
        <w:rPr>
          <w:rFonts w:hint="eastAsia" w:ascii="仿宋_GB2312" w:eastAsia="仿宋_GB2312"/>
          <w:sz w:val="30"/>
          <w:szCs w:val="30"/>
          <w:highlight w:val="none"/>
        </w:rPr>
        <w:t>各项之和；</w:t>
      </w:r>
    </w:p>
    <w:p w14:paraId="6DFB54EC">
      <w:pPr>
        <w:numPr>
          <w:ilvl w:val="0"/>
          <w:numId w:val="5"/>
        </w:numPr>
        <w:spacing w:line="360" w:lineRule="auto"/>
        <w:rPr>
          <w:rFonts w:ascii="仿宋_GB2312" w:eastAsia="仿宋_GB2312"/>
          <w:sz w:val="30"/>
          <w:szCs w:val="30"/>
          <w:highlight w:val="none"/>
        </w:rPr>
      </w:pPr>
      <w:r>
        <w:rPr>
          <w:rFonts w:ascii="仿宋_GB2312" w:eastAsia="仿宋_GB2312"/>
          <w:sz w:val="30"/>
          <w:szCs w:val="30"/>
          <w:highlight w:val="none"/>
        </w:rPr>
        <w:t>矿产品原材料储备（14行）</w:t>
      </w:r>
      <w:r>
        <w:rPr>
          <w:rFonts w:hint="eastAsia" w:ascii="仿宋_GB2312" w:eastAsia="仿宋_GB2312"/>
          <w:sz w:val="30"/>
          <w:szCs w:val="30"/>
          <w:highlight w:val="none"/>
        </w:rPr>
        <w:t>大于等于天然橡胶</w:t>
      </w:r>
      <w:r>
        <w:rPr>
          <w:rFonts w:ascii="仿宋_GB2312" w:eastAsia="仿宋_GB2312"/>
          <w:sz w:val="30"/>
          <w:szCs w:val="30"/>
          <w:highlight w:val="none"/>
        </w:rPr>
        <w:t>（</w:t>
      </w:r>
      <w:r>
        <w:rPr>
          <w:rFonts w:hint="eastAsia" w:ascii="仿宋_GB2312" w:eastAsia="仿宋_GB2312"/>
          <w:sz w:val="30"/>
          <w:szCs w:val="30"/>
          <w:highlight w:val="none"/>
        </w:rPr>
        <w:t>1</w:t>
      </w:r>
      <w:r>
        <w:rPr>
          <w:rFonts w:ascii="仿宋_GB2312" w:eastAsia="仿宋_GB2312"/>
          <w:sz w:val="30"/>
          <w:szCs w:val="30"/>
          <w:highlight w:val="none"/>
        </w:rPr>
        <w:t>5</w:t>
      </w:r>
      <w:r>
        <w:rPr>
          <w:rFonts w:hint="eastAsia" w:ascii="仿宋_GB2312" w:eastAsia="仿宋_GB2312"/>
          <w:sz w:val="30"/>
          <w:szCs w:val="30"/>
          <w:highlight w:val="none"/>
        </w:rPr>
        <w:t>行</w:t>
      </w:r>
      <w:r>
        <w:rPr>
          <w:rFonts w:ascii="仿宋_GB2312" w:eastAsia="仿宋_GB2312"/>
          <w:sz w:val="30"/>
          <w:szCs w:val="30"/>
          <w:highlight w:val="none"/>
        </w:rPr>
        <w:t>）</w:t>
      </w:r>
      <w:r>
        <w:rPr>
          <w:rFonts w:hint="eastAsia" w:ascii="仿宋_GB2312" w:eastAsia="仿宋_GB2312"/>
          <w:sz w:val="30"/>
          <w:szCs w:val="30"/>
          <w:highlight w:val="none"/>
        </w:rPr>
        <w:t>；</w:t>
      </w:r>
    </w:p>
    <w:p w14:paraId="72DC3F7B">
      <w:pPr>
        <w:numPr>
          <w:ilvl w:val="0"/>
          <w:numId w:val="5"/>
        </w:numPr>
        <w:spacing w:line="360" w:lineRule="auto"/>
        <w:rPr>
          <w:rFonts w:ascii="仿宋_GB2312" w:eastAsia="仿宋_GB2312"/>
          <w:sz w:val="30"/>
          <w:szCs w:val="30"/>
          <w:highlight w:val="none"/>
        </w:rPr>
      </w:pPr>
      <w:r>
        <w:rPr>
          <w:rFonts w:ascii="仿宋_GB2312" w:eastAsia="仿宋_GB2312"/>
          <w:sz w:val="30"/>
          <w:szCs w:val="30"/>
          <w:highlight w:val="none"/>
        </w:rPr>
        <w:t>应急专用物资储备（16行）</w:t>
      </w:r>
      <w:r>
        <w:rPr>
          <w:rFonts w:hint="eastAsia" w:ascii="仿宋_GB2312" w:eastAsia="仿宋_GB2312"/>
          <w:sz w:val="30"/>
          <w:szCs w:val="30"/>
          <w:highlight w:val="none"/>
        </w:rPr>
        <w:t>大于等于应急抢险救灾物资（17行）</w:t>
      </w:r>
      <w:r>
        <w:rPr>
          <w:rFonts w:ascii="仿宋_GB2312" w:eastAsia="仿宋_GB2312"/>
          <w:sz w:val="30"/>
          <w:szCs w:val="30"/>
          <w:highlight w:val="none"/>
        </w:rPr>
        <w:t>、医药（1</w:t>
      </w:r>
      <w:r>
        <w:rPr>
          <w:rFonts w:hint="eastAsia" w:ascii="仿宋_GB2312" w:eastAsia="仿宋_GB2312"/>
          <w:sz w:val="30"/>
          <w:szCs w:val="30"/>
          <w:highlight w:val="none"/>
        </w:rPr>
        <w:t>8</w:t>
      </w:r>
      <w:r>
        <w:rPr>
          <w:rFonts w:ascii="仿宋_GB2312" w:eastAsia="仿宋_GB2312"/>
          <w:sz w:val="30"/>
          <w:szCs w:val="30"/>
          <w:highlight w:val="none"/>
        </w:rPr>
        <w:t>行）、重大动物疫病应急物资（1</w:t>
      </w:r>
      <w:r>
        <w:rPr>
          <w:rFonts w:hint="eastAsia" w:ascii="仿宋_GB2312" w:eastAsia="仿宋_GB2312"/>
          <w:sz w:val="30"/>
          <w:szCs w:val="30"/>
          <w:highlight w:val="none"/>
        </w:rPr>
        <w:t>9</w:t>
      </w:r>
      <w:r>
        <w:rPr>
          <w:rFonts w:ascii="仿宋_GB2312" w:eastAsia="仿宋_GB2312"/>
          <w:sz w:val="30"/>
          <w:szCs w:val="30"/>
          <w:highlight w:val="none"/>
        </w:rPr>
        <w:t>行）、国家区域性交通应急装备物资（20行）、应急运力和重大海上溢油应急物资（21行）</w:t>
      </w:r>
      <w:r>
        <w:rPr>
          <w:rFonts w:hint="eastAsia" w:ascii="仿宋_GB2312" w:eastAsia="仿宋_GB2312"/>
          <w:sz w:val="30"/>
          <w:szCs w:val="30"/>
          <w:highlight w:val="none"/>
        </w:rPr>
        <w:t>之和；</w:t>
      </w:r>
    </w:p>
    <w:p w14:paraId="1473767E">
      <w:pPr>
        <w:numPr>
          <w:ilvl w:val="0"/>
          <w:numId w:val="5"/>
        </w:numPr>
        <w:spacing w:line="360" w:lineRule="auto"/>
        <w:rPr>
          <w:rFonts w:ascii="仿宋_GB2312" w:eastAsia="仿宋_GB2312"/>
          <w:sz w:val="30"/>
          <w:szCs w:val="30"/>
          <w:highlight w:val="none"/>
        </w:rPr>
      </w:pPr>
      <w:r>
        <w:rPr>
          <w:rFonts w:hint="eastAsia" w:ascii="仿宋_GB2312" w:hAnsi="仿宋" w:eastAsia="仿宋_GB2312"/>
          <w:sz w:val="30"/>
          <w:szCs w:val="30"/>
          <w:highlight w:val="none"/>
        </w:rPr>
        <w:t>各</w:t>
      </w:r>
      <w:r>
        <w:rPr>
          <w:rFonts w:ascii="仿宋_GB2312" w:hAnsi="仿宋" w:eastAsia="仿宋_GB2312"/>
          <w:sz w:val="30"/>
          <w:szCs w:val="30"/>
          <w:highlight w:val="none"/>
        </w:rPr>
        <w:t>指标大于等于</w:t>
      </w:r>
      <w:r>
        <w:rPr>
          <w:rFonts w:hint="eastAsia" w:ascii="仿宋_GB2312" w:hAnsi="仿宋" w:eastAsia="仿宋_GB2312"/>
          <w:sz w:val="30"/>
          <w:szCs w:val="30"/>
          <w:highlight w:val="none"/>
        </w:rPr>
        <w:t>0；</w:t>
      </w:r>
    </w:p>
    <w:bookmarkEnd w:id="18"/>
    <w:p w14:paraId="08F14E5A">
      <w:pPr>
        <w:snapToGrid w:val="0"/>
        <w:spacing w:line="360" w:lineRule="auto"/>
        <w:ind w:firstLine="626" w:firstLineChars="200"/>
        <w:rPr>
          <w:rFonts w:hint="eastAsia" w:ascii="仿宋_GB2312" w:hAnsi="仿宋" w:eastAsia="仿宋_GB2312"/>
          <w:b/>
          <w:spacing w:val="6"/>
          <w:sz w:val="30"/>
          <w:szCs w:val="30"/>
          <w:highlight w:val="none"/>
        </w:rPr>
      </w:pPr>
      <w:r>
        <w:rPr>
          <w:rFonts w:hint="eastAsia" w:ascii="仿宋_GB2312" w:hAnsi="仿宋" w:eastAsia="仿宋_GB2312"/>
          <w:b/>
          <w:spacing w:val="6"/>
          <w:sz w:val="30"/>
          <w:szCs w:val="30"/>
          <w:highlight w:val="none"/>
        </w:rPr>
        <w:t>表间公式：</w:t>
      </w:r>
    </w:p>
    <w:p w14:paraId="1055EC2D">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rPr>
        <w:t>合计（1行）期初账面数价值（2栏）等于财资01表政府储备物资（</w:t>
      </w:r>
      <w:r>
        <w:rPr>
          <w:rFonts w:ascii="仿宋_GB2312" w:eastAsia="仿宋_GB2312"/>
          <w:sz w:val="30"/>
          <w:szCs w:val="30"/>
          <w:highlight w:val="none"/>
        </w:rPr>
        <w:t>31</w:t>
      </w:r>
      <w:r>
        <w:rPr>
          <w:rFonts w:hint="eastAsia" w:ascii="仿宋_GB2312" w:eastAsia="仿宋_GB2312"/>
          <w:sz w:val="30"/>
          <w:szCs w:val="30"/>
          <w:highlight w:val="none"/>
        </w:rPr>
        <w:t>行）价值（1栏）；</w:t>
      </w:r>
    </w:p>
    <w:p w14:paraId="591F1C11">
      <w:pPr>
        <w:numPr>
          <w:ilvl w:val="0"/>
          <w:numId w:val="5"/>
        </w:numPr>
        <w:spacing w:line="360" w:lineRule="auto"/>
        <w:rPr>
          <w:rFonts w:ascii="仿宋_GB2312" w:eastAsia="仿宋_GB2312"/>
          <w:sz w:val="30"/>
          <w:szCs w:val="30"/>
          <w:highlight w:val="none"/>
        </w:rPr>
      </w:pPr>
      <w:r>
        <w:rPr>
          <w:rFonts w:hint="eastAsia" w:ascii="仿宋_GB2312" w:eastAsia="仿宋_GB2312"/>
          <w:sz w:val="30"/>
          <w:szCs w:val="30"/>
          <w:highlight w:val="none"/>
        </w:rPr>
        <w:t>合计（1行）期末账面数价值（7栏）等于财资01表政府储备物资（</w:t>
      </w:r>
      <w:r>
        <w:rPr>
          <w:rFonts w:ascii="仿宋_GB2312" w:eastAsia="仿宋_GB2312"/>
          <w:sz w:val="30"/>
          <w:szCs w:val="30"/>
          <w:highlight w:val="none"/>
        </w:rPr>
        <w:t>31</w:t>
      </w:r>
      <w:r>
        <w:rPr>
          <w:rFonts w:hint="eastAsia" w:ascii="仿宋_GB2312" w:eastAsia="仿宋_GB2312"/>
          <w:sz w:val="30"/>
          <w:szCs w:val="30"/>
          <w:highlight w:val="none"/>
        </w:rPr>
        <w:t>行）价值（2栏）。</w:t>
      </w:r>
    </w:p>
    <w:p w14:paraId="12B61912">
      <w:pPr>
        <w:snapToGrid w:val="0"/>
        <w:spacing w:line="360" w:lineRule="auto"/>
        <w:ind w:firstLine="602" w:firstLineChars="200"/>
        <w:rPr>
          <w:rFonts w:ascii="仿宋_GB2312" w:eastAsia="仿宋_GB2312"/>
          <w:b/>
          <w:sz w:val="30"/>
          <w:szCs w:val="30"/>
          <w:highlight w:val="none"/>
        </w:rPr>
      </w:pPr>
      <w:r>
        <w:rPr>
          <w:rFonts w:hint="eastAsia" w:ascii="仿宋_GB2312" w:eastAsia="仿宋_GB2312"/>
          <w:b/>
          <w:sz w:val="30"/>
          <w:szCs w:val="30"/>
          <w:highlight w:val="none"/>
        </w:rPr>
        <w:t>核实性公式：</w:t>
      </w:r>
    </w:p>
    <w:p w14:paraId="7FEBCB8F">
      <w:pPr>
        <w:numPr>
          <w:ilvl w:val="0"/>
          <w:numId w:val="5"/>
        </w:numPr>
        <w:spacing w:line="360" w:lineRule="auto"/>
        <w:rPr>
          <w:rFonts w:hint="eastAsia" w:ascii="仿宋_GB2312" w:hAnsi="仿宋" w:eastAsia="仿宋_GB2312"/>
          <w:sz w:val="30"/>
          <w:szCs w:val="30"/>
          <w:highlight w:val="none"/>
        </w:rPr>
      </w:pPr>
      <w:r>
        <w:rPr>
          <w:rFonts w:hint="eastAsia" w:ascii="仿宋_GB2312" w:hAnsi="仿宋" w:eastAsia="仿宋_GB2312"/>
          <w:sz w:val="30"/>
          <w:szCs w:val="30"/>
          <w:highlight w:val="none"/>
        </w:rPr>
        <w:t>数量（1、6栏）大于</w:t>
      </w:r>
      <w:r>
        <w:rPr>
          <w:rFonts w:ascii="仿宋_GB2312" w:hAnsi="仿宋" w:eastAsia="仿宋_GB2312"/>
          <w:sz w:val="30"/>
          <w:szCs w:val="30"/>
          <w:highlight w:val="none"/>
        </w:rPr>
        <w:t>0</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则</w:t>
      </w:r>
      <w:r>
        <w:rPr>
          <w:rFonts w:ascii="仿宋_GB2312" w:hAnsi="仿宋" w:eastAsia="仿宋_GB2312"/>
          <w:sz w:val="30"/>
          <w:szCs w:val="30"/>
          <w:highlight w:val="none"/>
        </w:rPr>
        <w:t>价值（2、7栏）</w:t>
      </w:r>
      <w:r>
        <w:rPr>
          <w:rFonts w:hint="eastAsia" w:ascii="仿宋_GB2312" w:hAnsi="仿宋" w:eastAsia="仿宋_GB2312"/>
          <w:sz w:val="30"/>
          <w:szCs w:val="30"/>
          <w:highlight w:val="none"/>
        </w:rPr>
        <w:t>大于</w:t>
      </w:r>
      <w:r>
        <w:rPr>
          <w:rFonts w:ascii="仿宋_GB2312" w:hAnsi="仿宋" w:eastAsia="仿宋_GB2312"/>
          <w:sz w:val="30"/>
          <w:szCs w:val="30"/>
          <w:highlight w:val="none"/>
        </w:rPr>
        <w:t>0</w:t>
      </w:r>
      <w:r>
        <w:rPr>
          <w:rFonts w:hint="eastAsia" w:ascii="仿宋_GB2312" w:hAnsi="仿宋" w:eastAsia="仿宋_GB2312"/>
          <w:sz w:val="30"/>
          <w:szCs w:val="30"/>
          <w:highlight w:val="none"/>
        </w:rPr>
        <w:t>，否则提示核实性错误，填写情况说明；</w:t>
      </w:r>
    </w:p>
    <w:p w14:paraId="4C2243B9">
      <w:pPr>
        <w:numPr>
          <w:ilvl w:val="0"/>
          <w:numId w:val="5"/>
        </w:numPr>
        <w:spacing w:line="360" w:lineRule="auto"/>
        <w:rPr>
          <w:rFonts w:hint="eastAsia" w:ascii="仿宋_GB2312" w:hAnsi="仿宋" w:eastAsia="仿宋_GB2312"/>
          <w:sz w:val="30"/>
          <w:szCs w:val="30"/>
          <w:highlight w:val="none"/>
        </w:rPr>
      </w:pPr>
      <w:r>
        <w:rPr>
          <w:rFonts w:ascii="仿宋_GB2312" w:hAnsi="仿宋" w:eastAsia="仿宋_GB2312"/>
          <w:sz w:val="30"/>
          <w:szCs w:val="30"/>
          <w:highlight w:val="none"/>
        </w:rPr>
        <w:t>价值（2、7栏）</w:t>
      </w:r>
      <w:r>
        <w:rPr>
          <w:rFonts w:hint="eastAsia" w:ascii="仿宋_GB2312" w:hAnsi="仿宋" w:eastAsia="仿宋_GB2312"/>
          <w:sz w:val="30"/>
          <w:szCs w:val="30"/>
          <w:highlight w:val="none"/>
        </w:rPr>
        <w:t>大于</w:t>
      </w:r>
      <w:r>
        <w:rPr>
          <w:rFonts w:ascii="仿宋_GB2312" w:hAnsi="仿宋" w:eastAsia="仿宋_GB2312"/>
          <w:sz w:val="30"/>
          <w:szCs w:val="30"/>
          <w:highlight w:val="none"/>
        </w:rPr>
        <w:t>0</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则数量（1、6栏）大于</w:t>
      </w:r>
      <w:r>
        <w:rPr>
          <w:rFonts w:ascii="仿宋_GB2312" w:hAnsi="仿宋" w:eastAsia="仿宋_GB2312"/>
          <w:sz w:val="30"/>
          <w:szCs w:val="30"/>
          <w:highlight w:val="none"/>
        </w:rPr>
        <w:t>0</w:t>
      </w:r>
      <w:r>
        <w:rPr>
          <w:rFonts w:hint="eastAsia" w:ascii="仿宋_GB2312" w:hAnsi="仿宋" w:eastAsia="仿宋_GB2312"/>
          <w:sz w:val="30"/>
          <w:szCs w:val="30"/>
          <w:highlight w:val="none"/>
        </w:rPr>
        <w:t>，否则提示核实性错误，填写情况说明；</w:t>
      </w:r>
    </w:p>
    <w:p w14:paraId="62657E3A">
      <w:pPr>
        <w:numPr>
          <w:ilvl w:val="0"/>
          <w:numId w:val="5"/>
        </w:numPr>
        <w:spacing w:line="360" w:lineRule="auto"/>
        <w:rPr>
          <w:rFonts w:hint="eastAsia" w:ascii="仿宋_GB2312" w:hAnsi="仿宋" w:eastAsia="仿宋_GB2312"/>
          <w:sz w:val="30"/>
          <w:szCs w:val="30"/>
          <w:highlight w:val="none"/>
        </w:rPr>
      </w:pPr>
      <w:r>
        <w:rPr>
          <w:rFonts w:hint="eastAsia" w:ascii="仿宋_GB2312" w:hAnsi="仿宋" w:eastAsia="仿宋_GB2312"/>
          <w:sz w:val="30"/>
          <w:szCs w:val="30"/>
          <w:highlight w:val="none"/>
        </w:rPr>
        <w:t>期初账面价值应等于上年期末账面价值，否则提示核实性错误，填写情况说明。</w:t>
      </w:r>
    </w:p>
    <w:p w14:paraId="1D015860">
      <w:pPr>
        <w:pStyle w:val="2"/>
        <w:rPr>
          <w:rFonts w:hint="eastAsia"/>
          <w:b/>
          <w:color w:val="auto"/>
          <w:highlight w:val="none"/>
        </w:rPr>
      </w:pPr>
      <w:r>
        <w:rPr>
          <w:rFonts w:hint="eastAsia"/>
          <w:color w:val="auto"/>
          <w:highlight w:val="none"/>
        </w:rPr>
        <w:t>（十八）文物文化资产情况表（财资1</w:t>
      </w:r>
      <w:r>
        <w:rPr>
          <w:color w:val="auto"/>
          <w:highlight w:val="none"/>
        </w:rPr>
        <w:t>4</w:t>
      </w:r>
      <w:r>
        <w:rPr>
          <w:rFonts w:hint="eastAsia"/>
          <w:color w:val="auto"/>
          <w:highlight w:val="none"/>
        </w:rPr>
        <w:t>表）</w:t>
      </w:r>
    </w:p>
    <w:p w14:paraId="234B228B">
      <w:pPr>
        <w:spacing w:line="360" w:lineRule="auto"/>
        <w:ind w:firstLine="599" w:firstLineChars="192"/>
        <w:rPr>
          <w:rFonts w:hint="eastAsia" w:ascii="仿宋_GB2312" w:hAnsi="仿宋" w:eastAsia="仿宋_GB2312"/>
          <w:spacing w:val="6"/>
          <w:sz w:val="30"/>
          <w:szCs w:val="30"/>
          <w:highlight w:val="none"/>
        </w:rPr>
      </w:pPr>
      <w:r>
        <w:rPr>
          <w:rFonts w:hint="eastAsia" w:ascii="仿宋_GB2312" w:hAnsi="仿宋" w:eastAsia="仿宋_GB2312"/>
          <w:spacing w:val="6"/>
          <w:sz w:val="30"/>
          <w:szCs w:val="30"/>
          <w:highlight w:val="none"/>
        </w:rPr>
        <w:t>本表反映收藏、保管国有文物的行政事业单位为满足社会公共需求而控制的文物文化资产情况。原则上本表数据从资产卡片提取，行政事业单位可根据实际情况进行手工修改。</w:t>
      </w:r>
    </w:p>
    <w:p w14:paraId="3219CC40">
      <w:pPr>
        <w:spacing w:line="360" w:lineRule="auto"/>
        <w:ind w:firstLine="599" w:firstLineChars="192"/>
        <w:rPr>
          <w:rFonts w:hint="eastAsia" w:ascii="仿宋_GB2312" w:hAnsi="仿宋" w:eastAsia="仿宋_GB2312"/>
          <w:spacing w:val="6"/>
          <w:sz w:val="30"/>
          <w:szCs w:val="30"/>
          <w:highlight w:val="none"/>
        </w:rPr>
      </w:pPr>
      <w:r>
        <w:rPr>
          <w:rFonts w:hint="eastAsia" w:ascii="仿宋_GB2312" w:hAnsi="仿宋" w:eastAsia="仿宋_GB2312"/>
          <w:spacing w:val="6"/>
          <w:sz w:val="30"/>
          <w:szCs w:val="30"/>
          <w:highlight w:val="none"/>
        </w:rPr>
        <w:t>文物文化资产的登记入账核算按照《国有文物资源资产管理暂行办法》、《政府会计制度-行政事业单位会计科目和报表》中“文物文化资产”的规定执行。数量中，“账面数”中填列已入账数量，“备查簿”中填列成本无法可靠取得，在备查簿中登记数量。同时，“价值”按照财务账价值填列。2025年1月1日起，文物资源的确认、计量和填报遵照《政府会计准则第11号—文物资源》及其应用指南规定执行。</w:t>
      </w:r>
    </w:p>
    <w:p w14:paraId="05F2B247">
      <w:pPr>
        <w:spacing w:line="360" w:lineRule="auto"/>
        <w:ind w:firstLine="578" w:firstLineChars="192"/>
        <w:rPr>
          <w:rFonts w:hint="eastAsia" w:ascii="仿宋_GB2312" w:hAnsi="仿宋" w:eastAsia="仿宋_GB2312"/>
          <w:b/>
          <w:bCs/>
          <w:sz w:val="30"/>
          <w:szCs w:val="30"/>
          <w:highlight w:val="none"/>
        </w:rPr>
      </w:pPr>
      <w:r>
        <w:rPr>
          <w:rFonts w:hint="eastAsia" w:ascii="仿宋_GB2312" w:eastAsia="仿宋_GB2312"/>
          <w:b/>
          <w:bCs/>
          <w:sz w:val="30"/>
          <w:szCs w:val="30"/>
          <w:highlight w:val="none"/>
        </w:rPr>
        <w:t>主要指标说明：</w:t>
      </w:r>
    </w:p>
    <w:p w14:paraId="76482556">
      <w:pPr>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1.不可移动文物。《中华人民共和国文物保护法》规定，古文化遗址、古墓葬、古建筑、石窟寺、石刻、壁画、近代现代重要史迹和代表性建筑等不可移动文物，根据它们的历史、艺术和科学价值，可以分别确定为全国重点文物保护单位，省级文物保护单位，市县级文物保护单位。其中：</w:t>
      </w:r>
    </w:p>
    <w:p w14:paraId="00220A0E">
      <w:pPr>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全国重点文物保护单位是由国务院文物行政部门在省级、市、县级文物保护单位中选择具有重大历史、艺术、科学价值的文物保护单位，报国务院核定公布。</w:t>
      </w:r>
    </w:p>
    <w:p w14:paraId="648062E1">
      <w:pPr>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省级文物保护单位，由省、自治区、直辖市人民政府核定公布，并报国务院备案。</w:t>
      </w:r>
    </w:p>
    <w:p w14:paraId="23AD751E">
      <w:pPr>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市县级文物保护单位，分别由设区的市、自治州和县级人民政府核定公布，并报省、自治区、直辖市人民政府备案。</w:t>
      </w:r>
    </w:p>
    <w:p w14:paraId="33FFDB3A">
      <w:pPr>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尚未核定公布为文物保护单位的不可移动文物，由县级人民政府文物行政部门予以登记并公布。</w:t>
      </w:r>
    </w:p>
    <w:p w14:paraId="29D85213">
      <w:pPr>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2.可移动文物。历史上各时代重要实物、艺术品、文献、手稿、图书资料、代表性实物等可移动文物，分为珍贵文物、一般文物和未定级文物。珍贵文物分为一级文物、二级文物、三级文物。</w:t>
      </w:r>
    </w:p>
    <w:p w14:paraId="5513A1BF">
      <w:pPr>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3.其他文物文化资产。是指除不可移动文物、可移动文物以外的其他文物文化资产。</w:t>
      </w:r>
    </w:p>
    <w:p w14:paraId="7D46EF36">
      <w:pPr>
        <w:snapToGrid w:val="0"/>
        <w:spacing w:line="360" w:lineRule="auto"/>
        <w:ind w:firstLine="626" w:firstLineChars="200"/>
        <w:rPr>
          <w:rFonts w:hint="eastAsia" w:ascii="仿宋_GB2312" w:hAnsi="仿宋" w:eastAsia="仿宋_GB2312"/>
          <w:b/>
          <w:spacing w:val="6"/>
          <w:sz w:val="30"/>
          <w:szCs w:val="30"/>
          <w:highlight w:val="none"/>
        </w:rPr>
      </w:pPr>
      <w:r>
        <w:rPr>
          <w:rFonts w:hint="eastAsia" w:ascii="仿宋_GB2312" w:hAnsi="仿宋" w:eastAsia="仿宋_GB2312"/>
          <w:b/>
          <w:spacing w:val="6"/>
          <w:sz w:val="30"/>
          <w:szCs w:val="30"/>
          <w:highlight w:val="none"/>
        </w:rPr>
        <w:t>逻辑性审核公式：</w:t>
      </w:r>
    </w:p>
    <w:p w14:paraId="1021C3C9">
      <w:pPr>
        <w:snapToGrid w:val="0"/>
        <w:spacing w:line="360" w:lineRule="auto"/>
        <w:ind w:firstLine="626" w:firstLineChars="200"/>
        <w:rPr>
          <w:rFonts w:hint="eastAsia" w:ascii="仿宋_GB2312" w:hAnsi="仿宋" w:eastAsia="仿宋_GB2312"/>
          <w:b/>
          <w:spacing w:val="6"/>
          <w:sz w:val="30"/>
          <w:szCs w:val="30"/>
          <w:highlight w:val="none"/>
        </w:rPr>
      </w:pPr>
      <w:r>
        <w:rPr>
          <w:rFonts w:hint="eastAsia" w:ascii="仿宋_GB2312" w:hAnsi="仿宋" w:eastAsia="仿宋_GB2312"/>
          <w:b/>
          <w:spacing w:val="6"/>
          <w:sz w:val="30"/>
          <w:szCs w:val="30"/>
          <w:highlight w:val="none"/>
        </w:rPr>
        <w:t>表内公式：</w:t>
      </w:r>
    </w:p>
    <w:p w14:paraId="69F7B73B">
      <w:pPr>
        <w:pStyle w:val="6"/>
        <w:numPr>
          <w:ilvl w:val="0"/>
          <w:numId w:val="8"/>
        </w:numPr>
        <w:spacing w:line="360" w:lineRule="auto"/>
        <w:ind w:left="16" w:firstLine="560" w:firstLineChars="0"/>
        <w:rPr>
          <w:rFonts w:hint="eastAsia" w:hAnsi="仿宋"/>
          <w:sz w:val="30"/>
          <w:szCs w:val="30"/>
          <w:highlight w:val="none"/>
        </w:rPr>
      </w:pPr>
      <w:r>
        <w:rPr>
          <w:rFonts w:hint="eastAsia" w:hAnsi="仿宋"/>
          <w:sz w:val="30"/>
          <w:szCs w:val="30"/>
          <w:highlight w:val="none"/>
        </w:rPr>
        <w:t>期初数量小计（1栏）等于期初数量（2栏）、期初备查簿（3栏）之和；</w:t>
      </w:r>
    </w:p>
    <w:p w14:paraId="353329F2">
      <w:pPr>
        <w:pStyle w:val="6"/>
        <w:numPr>
          <w:ilvl w:val="0"/>
          <w:numId w:val="8"/>
        </w:numPr>
        <w:spacing w:line="360" w:lineRule="auto"/>
        <w:ind w:left="16" w:firstLine="560" w:firstLineChars="0"/>
        <w:rPr>
          <w:rFonts w:hint="eastAsia" w:hAnsi="仿宋"/>
          <w:sz w:val="30"/>
          <w:szCs w:val="30"/>
          <w:highlight w:val="none"/>
        </w:rPr>
      </w:pPr>
      <w:r>
        <w:rPr>
          <w:rFonts w:hint="eastAsia" w:hAnsi="仿宋"/>
          <w:sz w:val="30"/>
          <w:szCs w:val="30"/>
          <w:highlight w:val="none"/>
        </w:rPr>
        <w:t>期末数量小计（5栏）等于期末数量（6栏）、期末备查簿（7栏）之和；</w:t>
      </w:r>
    </w:p>
    <w:p w14:paraId="2458E987">
      <w:pPr>
        <w:pStyle w:val="6"/>
        <w:numPr>
          <w:ilvl w:val="0"/>
          <w:numId w:val="8"/>
        </w:numPr>
        <w:spacing w:line="360" w:lineRule="auto"/>
        <w:ind w:left="16" w:firstLine="560" w:firstLineChars="0"/>
        <w:rPr>
          <w:rFonts w:hint="eastAsia" w:hAnsi="仿宋"/>
          <w:sz w:val="30"/>
          <w:szCs w:val="30"/>
          <w:highlight w:val="none"/>
        </w:rPr>
      </w:pPr>
      <w:r>
        <w:rPr>
          <w:rFonts w:hint="eastAsia" w:hAnsi="仿宋"/>
          <w:sz w:val="30"/>
          <w:szCs w:val="30"/>
          <w:highlight w:val="none"/>
        </w:rPr>
        <w:t>合计（1行）等于不可移动文物（</w:t>
      </w:r>
      <w:r>
        <w:rPr>
          <w:rFonts w:hAnsi="仿宋"/>
          <w:sz w:val="30"/>
          <w:szCs w:val="30"/>
          <w:highlight w:val="none"/>
        </w:rPr>
        <w:t>2</w:t>
      </w:r>
      <w:r>
        <w:rPr>
          <w:rFonts w:hint="eastAsia" w:hAnsi="仿宋"/>
          <w:sz w:val="30"/>
          <w:szCs w:val="30"/>
          <w:highlight w:val="none"/>
        </w:rPr>
        <w:t>行）、可移动文物（</w:t>
      </w:r>
      <w:r>
        <w:rPr>
          <w:rFonts w:hAnsi="仿宋"/>
          <w:sz w:val="30"/>
          <w:szCs w:val="30"/>
          <w:highlight w:val="none"/>
        </w:rPr>
        <w:t>7</w:t>
      </w:r>
      <w:r>
        <w:rPr>
          <w:rFonts w:hint="eastAsia" w:hAnsi="仿宋"/>
          <w:sz w:val="30"/>
          <w:szCs w:val="30"/>
          <w:highlight w:val="none"/>
        </w:rPr>
        <w:t>行）、其他文物文化资产（</w:t>
      </w:r>
      <w:r>
        <w:rPr>
          <w:rFonts w:hAnsi="仿宋"/>
          <w:sz w:val="30"/>
          <w:szCs w:val="30"/>
          <w:highlight w:val="none"/>
        </w:rPr>
        <w:t>13</w:t>
      </w:r>
      <w:r>
        <w:rPr>
          <w:rFonts w:hint="eastAsia" w:hAnsi="仿宋"/>
          <w:sz w:val="30"/>
          <w:szCs w:val="30"/>
          <w:highlight w:val="none"/>
        </w:rPr>
        <w:t>行）各项之和；</w:t>
      </w:r>
    </w:p>
    <w:p w14:paraId="27010D70">
      <w:pPr>
        <w:pStyle w:val="6"/>
        <w:numPr>
          <w:ilvl w:val="0"/>
          <w:numId w:val="8"/>
        </w:numPr>
        <w:spacing w:line="360" w:lineRule="auto"/>
        <w:ind w:left="16" w:firstLine="560" w:firstLineChars="0"/>
        <w:rPr>
          <w:rFonts w:hint="eastAsia" w:hAnsi="仿宋"/>
          <w:sz w:val="30"/>
          <w:szCs w:val="30"/>
          <w:highlight w:val="none"/>
        </w:rPr>
      </w:pPr>
      <w:r>
        <w:rPr>
          <w:rFonts w:hint="eastAsia" w:hAnsi="仿宋"/>
          <w:sz w:val="30"/>
          <w:szCs w:val="30"/>
          <w:highlight w:val="none"/>
        </w:rPr>
        <w:t>不可移动文物（</w:t>
      </w:r>
      <w:r>
        <w:rPr>
          <w:rFonts w:hAnsi="仿宋"/>
          <w:sz w:val="30"/>
          <w:szCs w:val="30"/>
          <w:highlight w:val="none"/>
        </w:rPr>
        <w:t>2</w:t>
      </w:r>
      <w:r>
        <w:rPr>
          <w:rFonts w:hint="eastAsia" w:hAnsi="仿宋"/>
          <w:sz w:val="30"/>
          <w:szCs w:val="30"/>
          <w:highlight w:val="none"/>
        </w:rPr>
        <w:t>行）等于全国重点文物保护单位（3行）、省级文物保护单位（</w:t>
      </w:r>
      <w:r>
        <w:rPr>
          <w:rFonts w:hAnsi="仿宋"/>
          <w:sz w:val="30"/>
          <w:szCs w:val="30"/>
          <w:highlight w:val="none"/>
        </w:rPr>
        <w:t>4</w:t>
      </w:r>
      <w:r>
        <w:rPr>
          <w:rFonts w:hint="eastAsia" w:hAnsi="仿宋"/>
          <w:sz w:val="30"/>
          <w:szCs w:val="30"/>
          <w:highlight w:val="none"/>
        </w:rPr>
        <w:t>行）、市县级文物保护单位（</w:t>
      </w:r>
      <w:r>
        <w:rPr>
          <w:rFonts w:hAnsi="仿宋"/>
          <w:sz w:val="30"/>
          <w:szCs w:val="30"/>
          <w:highlight w:val="none"/>
        </w:rPr>
        <w:t>5</w:t>
      </w:r>
      <w:r>
        <w:rPr>
          <w:rFonts w:hint="eastAsia" w:hAnsi="仿宋"/>
          <w:sz w:val="30"/>
          <w:szCs w:val="30"/>
          <w:highlight w:val="none"/>
        </w:rPr>
        <w:t>行）、尚未核定公布为文物保护单位的不可移动文物（</w:t>
      </w:r>
      <w:r>
        <w:rPr>
          <w:rFonts w:hAnsi="仿宋"/>
          <w:sz w:val="30"/>
          <w:szCs w:val="30"/>
          <w:highlight w:val="none"/>
        </w:rPr>
        <w:t>6</w:t>
      </w:r>
      <w:r>
        <w:rPr>
          <w:rFonts w:hint="eastAsia" w:hAnsi="仿宋"/>
          <w:sz w:val="30"/>
          <w:szCs w:val="30"/>
          <w:highlight w:val="none"/>
        </w:rPr>
        <w:t>行）各项之和；</w:t>
      </w:r>
    </w:p>
    <w:p w14:paraId="25A3F5A4">
      <w:pPr>
        <w:pStyle w:val="6"/>
        <w:numPr>
          <w:ilvl w:val="0"/>
          <w:numId w:val="8"/>
        </w:numPr>
        <w:spacing w:line="360" w:lineRule="auto"/>
        <w:ind w:left="16" w:firstLine="560" w:firstLineChars="0"/>
        <w:rPr>
          <w:rFonts w:hint="eastAsia" w:hAnsi="仿宋"/>
          <w:sz w:val="30"/>
          <w:szCs w:val="30"/>
          <w:highlight w:val="none"/>
        </w:rPr>
      </w:pPr>
      <w:r>
        <w:rPr>
          <w:rFonts w:hint="eastAsia" w:hAnsi="仿宋"/>
          <w:sz w:val="30"/>
          <w:szCs w:val="30"/>
          <w:highlight w:val="none"/>
        </w:rPr>
        <w:t>可移动文物（</w:t>
      </w:r>
      <w:r>
        <w:rPr>
          <w:rFonts w:hAnsi="仿宋"/>
          <w:sz w:val="30"/>
          <w:szCs w:val="30"/>
          <w:highlight w:val="none"/>
        </w:rPr>
        <w:t>7</w:t>
      </w:r>
      <w:r>
        <w:rPr>
          <w:rFonts w:hint="eastAsia" w:hAnsi="仿宋"/>
          <w:sz w:val="30"/>
          <w:szCs w:val="30"/>
          <w:highlight w:val="none"/>
        </w:rPr>
        <w:t>行）等于一级文物（8行）、二级文物（</w:t>
      </w:r>
      <w:r>
        <w:rPr>
          <w:rFonts w:hAnsi="仿宋"/>
          <w:sz w:val="30"/>
          <w:szCs w:val="30"/>
          <w:highlight w:val="none"/>
        </w:rPr>
        <w:t>9</w:t>
      </w:r>
      <w:r>
        <w:rPr>
          <w:rFonts w:hint="eastAsia" w:hAnsi="仿宋"/>
          <w:sz w:val="30"/>
          <w:szCs w:val="30"/>
          <w:highlight w:val="none"/>
        </w:rPr>
        <w:t>行）、三级文物（</w:t>
      </w:r>
      <w:r>
        <w:rPr>
          <w:rFonts w:hAnsi="仿宋"/>
          <w:sz w:val="30"/>
          <w:szCs w:val="30"/>
          <w:highlight w:val="none"/>
        </w:rPr>
        <w:t>10</w:t>
      </w:r>
      <w:r>
        <w:rPr>
          <w:rFonts w:hint="eastAsia" w:hAnsi="仿宋"/>
          <w:sz w:val="30"/>
          <w:szCs w:val="30"/>
          <w:highlight w:val="none"/>
        </w:rPr>
        <w:t>行）、一般文物（</w:t>
      </w:r>
      <w:r>
        <w:rPr>
          <w:rFonts w:hAnsi="仿宋"/>
          <w:sz w:val="30"/>
          <w:szCs w:val="30"/>
          <w:highlight w:val="none"/>
        </w:rPr>
        <w:t>11</w:t>
      </w:r>
      <w:r>
        <w:rPr>
          <w:rFonts w:hint="eastAsia" w:hAnsi="仿宋"/>
          <w:sz w:val="30"/>
          <w:szCs w:val="30"/>
          <w:highlight w:val="none"/>
        </w:rPr>
        <w:t>行）、未定级文物（</w:t>
      </w:r>
      <w:r>
        <w:rPr>
          <w:rFonts w:hAnsi="仿宋"/>
          <w:sz w:val="30"/>
          <w:szCs w:val="30"/>
          <w:highlight w:val="none"/>
        </w:rPr>
        <w:t>12</w:t>
      </w:r>
      <w:r>
        <w:rPr>
          <w:rFonts w:hint="eastAsia" w:hAnsi="仿宋"/>
          <w:sz w:val="30"/>
          <w:szCs w:val="30"/>
          <w:highlight w:val="none"/>
        </w:rPr>
        <w:t>行）各项之和；</w:t>
      </w:r>
    </w:p>
    <w:p w14:paraId="78BE1655">
      <w:pPr>
        <w:pStyle w:val="6"/>
        <w:numPr>
          <w:ilvl w:val="0"/>
          <w:numId w:val="8"/>
        </w:numPr>
        <w:spacing w:line="360" w:lineRule="auto"/>
        <w:ind w:left="16" w:firstLine="560" w:firstLineChars="0"/>
        <w:rPr>
          <w:rFonts w:hint="eastAsia" w:hAnsi="仿宋"/>
          <w:sz w:val="30"/>
          <w:szCs w:val="30"/>
          <w:highlight w:val="none"/>
        </w:rPr>
      </w:pPr>
      <w:r>
        <w:rPr>
          <w:rFonts w:hint="eastAsia" w:hAnsi="仿宋"/>
          <w:sz w:val="30"/>
          <w:szCs w:val="30"/>
          <w:highlight w:val="none"/>
        </w:rPr>
        <w:t>各</w:t>
      </w:r>
      <w:r>
        <w:rPr>
          <w:rFonts w:hAnsi="仿宋"/>
          <w:sz w:val="30"/>
          <w:szCs w:val="30"/>
          <w:highlight w:val="none"/>
        </w:rPr>
        <w:t>指标大于等于</w:t>
      </w:r>
      <w:r>
        <w:rPr>
          <w:rFonts w:hint="eastAsia" w:hAnsi="仿宋"/>
          <w:sz w:val="30"/>
          <w:szCs w:val="30"/>
          <w:highlight w:val="none"/>
        </w:rPr>
        <w:t>0。</w:t>
      </w:r>
    </w:p>
    <w:p w14:paraId="588AF9EA">
      <w:pPr>
        <w:snapToGrid w:val="0"/>
        <w:spacing w:line="360" w:lineRule="auto"/>
        <w:ind w:firstLine="602" w:firstLineChars="200"/>
        <w:rPr>
          <w:rFonts w:hint="eastAsia" w:ascii="仿宋_GB2312" w:hAnsi="仿宋" w:eastAsia="仿宋_GB2312"/>
          <w:b/>
          <w:bCs/>
          <w:sz w:val="30"/>
          <w:szCs w:val="30"/>
          <w:highlight w:val="none"/>
        </w:rPr>
      </w:pPr>
      <w:r>
        <w:rPr>
          <w:rFonts w:hint="eastAsia" w:ascii="仿宋_GB2312" w:hAnsi="仿宋" w:eastAsia="仿宋_GB2312"/>
          <w:b/>
          <w:bCs/>
          <w:sz w:val="30"/>
          <w:szCs w:val="30"/>
          <w:highlight w:val="none"/>
        </w:rPr>
        <w:t>表间公式：</w:t>
      </w:r>
    </w:p>
    <w:p w14:paraId="1AFA57AD">
      <w:pPr>
        <w:pStyle w:val="6"/>
        <w:numPr>
          <w:ilvl w:val="0"/>
          <w:numId w:val="8"/>
        </w:numPr>
        <w:spacing w:line="360" w:lineRule="auto"/>
        <w:ind w:left="16" w:firstLine="560" w:firstLineChars="0"/>
        <w:rPr>
          <w:rFonts w:hint="eastAsia" w:hAnsi="仿宋"/>
          <w:sz w:val="30"/>
          <w:szCs w:val="30"/>
          <w:highlight w:val="none"/>
        </w:rPr>
      </w:pPr>
      <w:r>
        <w:rPr>
          <w:rFonts w:hint="eastAsia" w:hAnsi="仿宋"/>
          <w:sz w:val="30"/>
          <w:szCs w:val="30"/>
          <w:highlight w:val="none"/>
        </w:rPr>
        <w:t>合计（1行）期初价值（4栏）等于财资0</w:t>
      </w:r>
      <w:r>
        <w:rPr>
          <w:rFonts w:hAnsi="仿宋"/>
          <w:sz w:val="30"/>
          <w:szCs w:val="30"/>
          <w:highlight w:val="none"/>
        </w:rPr>
        <w:t>1</w:t>
      </w:r>
      <w:r>
        <w:rPr>
          <w:rFonts w:hint="eastAsia" w:hAnsi="仿宋"/>
          <w:sz w:val="30"/>
          <w:szCs w:val="30"/>
          <w:highlight w:val="none"/>
        </w:rPr>
        <w:t>表文物文化资产（3</w:t>
      </w:r>
      <w:r>
        <w:rPr>
          <w:rFonts w:hAnsi="仿宋"/>
          <w:sz w:val="30"/>
          <w:szCs w:val="30"/>
          <w:highlight w:val="none"/>
        </w:rPr>
        <w:t>2</w:t>
      </w:r>
      <w:r>
        <w:rPr>
          <w:rFonts w:hint="eastAsia" w:hAnsi="仿宋"/>
          <w:sz w:val="30"/>
          <w:szCs w:val="30"/>
          <w:highlight w:val="none"/>
        </w:rPr>
        <w:t>行）期初数（1栏）；</w:t>
      </w:r>
    </w:p>
    <w:p w14:paraId="5A6B491B">
      <w:pPr>
        <w:pStyle w:val="6"/>
        <w:numPr>
          <w:ilvl w:val="0"/>
          <w:numId w:val="8"/>
        </w:numPr>
        <w:spacing w:line="360" w:lineRule="auto"/>
        <w:ind w:left="16" w:firstLine="560" w:firstLineChars="0"/>
        <w:rPr>
          <w:rFonts w:hint="eastAsia" w:hAnsi="仿宋"/>
          <w:sz w:val="30"/>
          <w:szCs w:val="30"/>
          <w:highlight w:val="none"/>
        </w:rPr>
      </w:pPr>
      <w:r>
        <w:rPr>
          <w:rFonts w:hint="eastAsia" w:hAnsi="仿宋"/>
          <w:sz w:val="30"/>
          <w:szCs w:val="30"/>
          <w:highlight w:val="none"/>
        </w:rPr>
        <w:t>合计（1行）期末价值（</w:t>
      </w:r>
      <w:r>
        <w:rPr>
          <w:rFonts w:hAnsi="仿宋"/>
          <w:sz w:val="30"/>
          <w:szCs w:val="30"/>
          <w:highlight w:val="none"/>
        </w:rPr>
        <w:t>8</w:t>
      </w:r>
      <w:r>
        <w:rPr>
          <w:rFonts w:hint="eastAsia" w:hAnsi="仿宋"/>
          <w:sz w:val="30"/>
          <w:szCs w:val="30"/>
          <w:highlight w:val="none"/>
        </w:rPr>
        <w:t>栏）等于财资0</w:t>
      </w:r>
      <w:r>
        <w:rPr>
          <w:rFonts w:hAnsi="仿宋"/>
          <w:sz w:val="30"/>
          <w:szCs w:val="30"/>
          <w:highlight w:val="none"/>
        </w:rPr>
        <w:t>1</w:t>
      </w:r>
      <w:r>
        <w:rPr>
          <w:rFonts w:hint="eastAsia" w:hAnsi="仿宋"/>
          <w:sz w:val="30"/>
          <w:szCs w:val="30"/>
          <w:highlight w:val="none"/>
        </w:rPr>
        <w:t>表文物文化资产（</w:t>
      </w:r>
      <w:r>
        <w:rPr>
          <w:rFonts w:hAnsi="仿宋"/>
          <w:sz w:val="30"/>
          <w:szCs w:val="30"/>
          <w:highlight w:val="none"/>
        </w:rPr>
        <w:t>32</w:t>
      </w:r>
      <w:r>
        <w:rPr>
          <w:rFonts w:hint="eastAsia" w:hAnsi="仿宋"/>
          <w:sz w:val="30"/>
          <w:szCs w:val="30"/>
          <w:highlight w:val="none"/>
        </w:rPr>
        <w:t>行）期末数（2栏）。</w:t>
      </w:r>
    </w:p>
    <w:p w14:paraId="3A0085A2">
      <w:pPr>
        <w:snapToGrid w:val="0"/>
        <w:spacing w:line="360" w:lineRule="auto"/>
        <w:ind w:firstLine="626" w:firstLineChars="200"/>
        <w:rPr>
          <w:rFonts w:hint="eastAsia" w:ascii="仿宋_GB2312" w:hAnsi="仿宋" w:eastAsia="仿宋_GB2312"/>
          <w:b/>
          <w:spacing w:val="6"/>
          <w:sz w:val="30"/>
          <w:szCs w:val="30"/>
          <w:highlight w:val="none"/>
        </w:rPr>
      </w:pPr>
      <w:r>
        <w:rPr>
          <w:rFonts w:hint="eastAsia" w:ascii="仿宋_GB2312" w:hAnsi="仿宋" w:eastAsia="仿宋_GB2312"/>
          <w:b/>
          <w:spacing w:val="6"/>
          <w:sz w:val="30"/>
          <w:szCs w:val="30"/>
          <w:highlight w:val="none"/>
        </w:rPr>
        <w:t>核实性公式：</w:t>
      </w:r>
    </w:p>
    <w:p w14:paraId="340173A9">
      <w:pPr>
        <w:pStyle w:val="6"/>
        <w:numPr>
          <w:ilvl w:val="0"/>
          <w:numId w:val="8"/>
        </w:numPr>
        <w:spacing w:line="360" w:lineRule="auto"/>
        <w:ind w:left="16" w:firstLine="560" w:firstLineChars="0"/>
        <w:rPr>
          <w:rFonts w:hint="eastAsia" w:hAnsi="仿宋"/>
          <w:sz w:val="30"/>
          <w:szCs w:val="30"/>
          <w:highlight w:val="none"/>
        </w:rPr>
      </w:pPr>
      <w:r>
        <w:rPr>
          <w:rFonts w:hint="eastAsia" w:hAnsi="仿宋"/>
          <w:sz w:val="30"/>
          <w:szCs w:val="30"/>
          <w:highlight w:val="none"/>
        </w:rPr>
        <w:t>账面数（2、6栏）大于0</w:t>
      </w:r>
      <w:r>
        <w:rPr>
          <w:rFonts w:hint="eastAsia" w:hAnsi="仿宋"/>
          <w:sz w:val="30"/>
          <w:szCs w:val="30"/>
          <w:highlight w:val="none"/>
          <w:lang w:eastAsia="zh-CN"/>
        </w:rPr>
        <w:t>，</w:t>
      </w:r>
      <w:r>
        <w:rPr>
          <w:rFonts w:hint="eastAsia" w:hAnsi="仿宋"/>
          <w:sz w:val="30"/>
          <w:szCs w:val="30"/>
          <w:highlight w:val="none"/>
        </w:rPr>
        <w:t>则价值</w:t>
      </w:r>
      <w:r>
        <w:rPr>
          <w:rFonts w:hint="eastAsia" w:hAnsi="仿宋"/>
          <w:bCs/>
          <w:sz w:val="30"/>
          <w:szCs w:val="30"/>
          <w:highlight w:val="none"/>
        </w:rPr>
        <w:t>（</w:t>
      </w:r>
      <w:r>
        <w:rPr>
          <w:rFonts w:hint="eastAsia" w:hAnsi="仿宋"/>
          <w:sz w:val="30"/>
          <w:szCs w:val="30"/>
          <w:highlight w:val="none"/>
        </w:rPr>
        <w:t>4、8栏）大于0</w:t>
      </w:r>
      <w:r>
        <w:rPr>
          <w:rFonts w:hAnsi="仿宋"/>
          <w:sz w:val="30"/>
          <w:szCs w:val="30"/>
          <w:highlight w:val="none"/>
        </w:rPr>
        <w:t>，否则提示核实性错误，需结合实际情况修改或填写情况说明</w:t>
      </w:r>
      <w:r>
        <w:rPr>
          <w:rFonts w:hint="eastAsia" w:hAnsi="仿宋"/>
          <w:sz w:val="30"/>
          <w:szCs w:val="30"/>
          <w:highlight w:val="none"/>
        </w:rPr>
        <w:t>；</w:t>
      </w:r>
    </w:p>
    <w:p w14:paraId="7FCC5F00">
      <w:pPr>
        <w:pStyle w:val="6"/>
        <w:numPr>
          <w:ilvl w:val="0"/>
          <w:numId w:val="8"/>
        </w:numPr>
        <w:spacing w:line="360" w:lineRule="auto"/>
        <w:ind w:left="16" w:firstLine="560" w:firstLineChars="0"/>
        <w:rPr>
          <w:rFonts w:hint="eastAsia" w:hAnsi="仿宋"/>
          <w:sz w:val="30"/>
          <w:szCs w:val="30"/>
          <w:highlight w:val="none"/>
        </w:rPr>
      </w:pPr>
      <w:r>
        <w:rPr>
          <w:rFonts w:hint="eastAsia" w:hAnsi="仿宋"/>
          <w:sz w:val="30"/>
          <w:szCs w:val="30"/>
          <w:highlight w:val="none"/>
        </w:rPr>
        <w:t>价值</w:t>
      </w:r>
      <w:r>
        <w:rPr>
          <w:rFonts w:hint="eastAsia" w:hAnsi="仿宋"/>
          <w:bCs/>
          <w:sz w:val="30"/>
          <w:szCs w:val="30"/>
          <w:highlight w:val="none"/>
        </w:rPr>
        <w:t>（</w:t>
      </w:r>
      <w:r>
        <w:rPr>
          <w:rFonts w:hint="eastAsia" w:hAnsi="仿宋"/>
          <w:sz w:val="30"/>
          <w:szCs w:val="30"/>
          <w:highlight w:val="none"/>
        </w:rPr>
        <w:t>4、8栏）大于0</w:t>
      </w:r>
      <w:r>
        <w:rPr>
          <w:rFonts w:hint="eastAsia" w:hAnsi="仿宋"/>
          <w:sz w:val="30"/>
          <w:szCs w:val="30"/>
          <w:highlight w:val="none"/>
          <w:lang w:eastAsia="zh-CN"/>
        </w:rPr>
        <w:t>，</w:t>
      </w:r>
      <w:r>
        <w:rPr>
          <w:rFonts w:hint="eastAsia" w:hAnsi="仿宋"/>
          <w:sz w:val="30"/>
          <w:szCs w:val="30"/>
          <w:highlight w:val="none"/>
        </w:rPr>
        <w:t>则账面数（2、6栏）大于0，</w:t>
      </w:r>
      <w:r>
        <w:rPr>
          <w:rFonts w:hAnsi="仿宋"/>
          <w:sz w:val="30"/>
          <w:szCs w:val="30"/>
          <w:highlight w:val="none"/>
        </w:rPr>
        <w:t>否则提示核实性错误，需结合实际情况修改或填写情况说明</w:t>
      </w:r>
      <w:r>
        <w:rPr>
          <w:rFonts w:hint="eastAsia" w:hAnsi="仿宋"/>
          <w:sz w:val="30"/>
          <w:szCs w:val="30"/>
          <w:highlight w:val="none"/>
        </w:rPr>
        <w:t>；</w:t>
      </w:r>
    </w:p>
    <w:p w14:paraId="31AA1271">
      <w:pPr>
        <w:pStyle w:val="6"/>
        <w:numPr>
          <w:ilvl w:val="0"/>
          <w:numId w:val="8"/>
        </w:numPr>
        <w:spacing w:line="360" w:lineRule="auto"/>
        <w:ind w:left="16" w:firstLine="560" w:firstLineChars="0"/>
        <w:rPr>
          <w:rFonts w:hint="eastAsia" w:hAnsi="仿宋"/>
          <w:sz w:val="30"/>
          <w:szCs w:val="30"/>
          <w:highlight w:val="none"/>
        </w:rPr>
      </w:pPr>
      <w:r>
        <w:rPr>
          <w:rFonts w:hint="eastAsia" w:hAnsi="仿宋"/>
          <w:bCs/>
          <w:sz w:val="30"/>
          <w:szCs w:val="30"/>
          <w:highlight w:val="none"/>
        </w:rPr>
        <w:t>合计（1行）数量小计（</w:t>
      </w:r>
      <w:r>
        <w:rPr>
          <w:rFonts w:hint="eastAsia" w:hAnsi="仿宋"/>
          <w:sz w:val="30"/>
          <w:szCs w:val="30"/>
          <w:highlight w:val="none"/>
        </w:rPr>
        <w:t>5栏）</w:t>
      </w:r>
      <w:r>
        <w:rPr>
          <w:rFonts w:hint="eastAsia" w:hAnsi="仿宋"/>
          <w:bCs/>
          <w:sz w:val="30"/>
          <w:szCs w:val="30"/>
          <w:highlight w:val="none"/>
        </w:rPr>
        <w:t>应小于等于100万，否则提示核实性错误，需结合实际情况修改或填写情况说明</w:t>
      </w:r>
      <w:r>
        <w:rPr>
          <w:rFonts w:hint="eastAsia" w:hAnsi="仿宋"/>
          <w:bCs/>
          <w:sz w:val="30"/>
          <w:szCs w:val="30"/>
          <w:highlight w:val="none"/>
          <w:lang w:eastAsia="zh-CN"/>
        </w:rPr>
        <w:t>；</w:t>
      </w:r>
    </w:p>
    <w:p w14:paraId="2C28A602">
      <w:pPr>
        <w:numPr>
          <w:ilvl w:val="0"/>
          <w:numId w:val="2"/>
        </w:numPr>
        <w:adjustRightInd w:val="0"/>
        <w:spacing w:line="360" w:lineRule="auto"/>
        <w:ind w:left="0" w:firstLine="600"/>
        <w:rPr>
          <w:rFonts w:hint="eastAsia" w:hAnsi="仿宋"/>
          <w:sz w:val="30"/>
          <w:szCs w:val="30"/>
          <w:highlight w:val="none"/>
        </w:rPr>
      </w:pPr>
      <w:r>
        <w:rPr>
          <w:rFonts w:hint="eastAsia" w:ascii="仿宋_GB2312" w:hAnsi="仿宋" w:eastAsia="仿宋_GB2312"/>
          <w:bCs/>
          <w:spacing w:val="6"/>
          <w:sz w:val="30"/>
          <w:szCs w:val="30"/>
          <w:highlight w:val="none"/>
        </w:rPr>
        <w:t>不可移动文物（</w:t>
      </w:r>
      <w:r>
        <w:rPr>
          <w:rFonts w:ascii="仿宋_GB2312" w:hAnsi="仿宋" w:eastAsia="仿宋_GB2312"/>
          <w:bCs/>
          <w:spacing w:val="6"/>
          <w:sz w:val="30"/>
          <w:szCs w:val="30"/>
          <w:highlight w:val="none"/>
        </w:rPr>
        <w:t>2</w:t>
      </w:r>
      <w:r>
        <w:rPr>
          <w:rFonts w:hint="eastAsia" w:ascii="仿宋_GB2312" w:hAnsi="仿宋" w:eastAsia="仿宋_GB2312"/>
          <w:bCs/>
          <w:spacing w:val="6"/>
          <w:sz w:val="30"/>
          <w:szCs w:val="30"/>
          <w:highlight w:val="none"/>
        </w:rPr>
        <w:t>行）</w:t>
      </w:r>
      <w:r>
        <w:rPr>
          <w:rFonts w:hint="eastAsia" w:ascii="仿宋_GB2312" w:hAnsi="仿宋" w:eastAsia="仿宋_GB2312"/>
          <w:sz w:val="30"/>
          <w:szCs w:val="30"/>
          <w:highlight w:val="none"/>
        </w:rPr>
        <w:t>、</w:t>
      </w:r>
      <w:r>
        <w:rPr>
          <w:rFonts w:hint="eastAsia" w:ascii="仿宋_GB2312" w:hAnsi="仿宋" w:eastAsia="仿宋_GB2312"/>
          <w:bCs/>
          <w:spacing w:val="6"/>
          <w:sz w:val="30"/>
          <w:szCs w:val="30"/>
          <w:highlight w:val="none"/>
        </w:rPr>
        <w:t>可移动文物（</w:t>
      </w:r>
      <w:r>
        <w:rPr>
          <w:rFonts w:ascii="仿宋_GB2312" w:hAnsi="仿宋" w:eastAsia="仿宋_GB2312"/>
          <w:bCs/>
          <w:spacing w:val="6"/>
          <w:sz w:val="30"/>
          <w:szCs w:val="30"/>
          <w:highlight w:val="none"/>
        </w:rPr>
        <w:t>7</w:t>
      </w:r>
      <w:r>
        <w:rPr>
          <w:rFonts w:hint="eastAsia" w:ascii="仿宋_GB2312" w:hAnsi="仿宋" w:eastAsia="仿宋_GB2312"/>
          <w:bCs/>
          <w:spacing w:val="6"/>
          <w:sz w:val="30"/>
          <w:szCs w:val="30"/>
          <w:highlight w:val="none"/>
        </w:rPr>
        <w:t>行）</w:t>
      </w:r>
      <w:r>
        <w:rPr>
          <w:rFonts w:hint="eastAsia" w:ascii="仿宋_GB2312" w:hAnsi="仿宋" w:eastAsia="仿宋_GB2312"/>
          <w:sz w:val="30"/>
          <w:szCs w:val="30"/>
          <w:highlight w:val="none"/>
        </w:rPr>
        <w:t>、其他文物文化资产</w:t>
      </w:r>
      <w:r>
        <w:rPr>
          <w:rFonts w:hint="eastAsia" w:ascii="仿宋_GB2312" w:hAnsi="仿宋" w:eastAsia="仿宋_GB2312"/>
          <w:bCs/>
          <w:spacing w:val="6"/>
          <w:sz w:val="30"/>
          <w:szCs w:val="30"/>
          <w:highlight w:val="none"/>
        </w:rPr>
        <w:t>（</w:t>
      </w:r>
      <w:r>
        <w:rPr>
          <w:rFonts w:hint="eastAsia" w:ascii="仿宋_GB2312" w:hAnsi="仿宋" w:eastAsia="仿宋_GB2312"/>
          <w:sz w:val="30"/>
          <w:szCs w:val="30"/>
          <w:highlight w:val="none"/>
        </w:rPr>
        <w:t>13行</w:t>
      </w:r>
      <w:r>
        <w:rPr>
          <w:rFonts w:hint="eastAsia" w:ascii="仿宋_GB2312" w:hAnsi="仿宋" w:eastAsia="仿宋_GB2312"/>
          <w:bCs/>
          <w:spacing w:val="6"/>
          <w:sz w:val="30"/>
          <w:szCs w:val="30"/>
          <w:highlight w:val="none"/>
        </w:rPr>
        <w:t>）</w:t>
      </w:r>
      <w:r>
        <w:rPr>
          <w:rFonts w:hint="eastAsia" w:ascii="仿宋_GB2312" w:hAnsi="仿宋" w:eastAsia="仿宋_GB2312"/>
          <w:sz w:val="30"/>
          <w:szCs w:val="30"/>
          <w:highlight w:val="none"/>
        </w:rPr>
        <w:t>期初账面价值应等于上年财资1</w:t>
      </w:r>
      <w:r>
        <w:rPr>
          <w:rFonts w:ascii="仿宋_GB2312" w:hAnsi="仿宋" w:eastAsia="仿宋_GB2312"/>
          <w:sz w:val="30"/>
          <w:szCs w:val="30"/>
          <w:highlight w:val="none"/>
        </w:rPr>
        <w:t>4</w:t>
      </w:r>
      <w:r>
        <w:rPr>
          <w:rFonts w:hint="eastAsia" w:ascii="仿宋_GB2312" w:hAnsi="仿宋" w:eastAsia="仿宋_GB2312"/>
          <w:sz w:val="30"/>
          <w:szCs w:val="30"/>
          <w:highlight w:val="none"/>
        </w:rPr>
        <w:t>表期末账面价值，否则提示核实性错误，填写情况说明；</w:t>
      </w:r>
    </w:p>
    <w:p w14:paraId="4046FEA6">
      <w:pPr>
        <w:numPr>
          <w:ilvl w:val="0"/>
          <w:numId w:val="2"/>
        </w:numPr>
        <w:adjustRightInd w:val="0"/>
        <w:snapToGrid w:val="0"/>
        <w:spacing w:line="360" w:lineRule="auto"/>
        <w:ind w:left="0" w:firstLine="600"/>
        <w:rPr>
          <w:rFonts w:hint="eastAsia" w:hAnsi="仿宋"/>
          <w:sz w:val="30"/>
          <w:szCs w:val="30"/>
          <w:highlight w:val="none"/>
        </w:rPr>
      </w:pPr>
      <w:r>
        <w:rPr>
          <w:rFonts w:hint="eastAsia" w:ascii="仿宋_GB2312" w:hAnsi="仿宋" w:eastAsia="仿宋_GB2312"/>
          <w:bCs/>
          <w:spacing w:val="6"/>
          <w:sz w:val="30"/>
          <w:szCs w:val="30"/>
          <w:highlight w:val="none"/>
        </w:rPr>
        <w:t>不可移动文物（</w:t>
      </w:r>
      <w:r>
        <w:rPr>
          <w:rFonts w:ascii="仿宋_GB2312" w:hAnsi="仿宋" w:eastAsia="仿宋_GB2312"/>
          <w:bCs/>
          <w:spacing w:val="6"/>
          <w:sz w:val="30"/>
          <w:szCs w:val="30"/>
          <w:highlight w:val="none"/>
        </w:rPr>
        <w:t>2</w:t>
      </w:r>
      <w:r>
        <w:rPr>
          <w:rFonts w:hint="eastAsia" w:ascii="仿宋_GB2312" w:hAnsi="仿宋" w:eastAsia="仿宋_GB2312"/>
          <w:bCs/>
          <w:spacing w:val="6"/>
          <w:sz w:val="30"/>
          <w:szCs w:val="30"/>
          <w:highlight w:val="none"/>
        </w:rPr>
        <w:t>行）</w:t>
      </w:r>
      <w:r>
        <w:rPr>
          <w:rFonts w:hint="eastAsia" w:ascii="仿宋_GB2312" w:hAnsi="仿宋" w:eastAsia="仿宋_GB2312"/>
          <w:sz w:val="30"/>
          <w:szCs w:val="30"/>
          <w:highlight w:val="none"/>
        </w:rPr>
        <w:t>、</w:t>
      </w:r>
      <w:r>
        <w:rPr>
          <w:rFonts w:hint="eastAsia" w:ascii="仿宋_GB2312" w:hAnsi="仿宋" w:eastAsia="仿宋_GB2312"/>
          <w:bCs/>
          <w:spacing w:val="6"/>
          <w:sz w:val="30"/>
          <w:szCs w:val="30"/>
          <w:highlight w:val="none"/>
        </w:rPr>
        <w:t>可移动文物（</w:t>
      </w:r>
      <w:r>
        <w:rPr>
          <w:rFonts w:ascii="仿宋_GB2312" w:hAnsi="仿宋" w:eastAsia="仿宋_GB2312"/>
          <w:bCs/>
          <w:spacing w:val="6"/>
          <w:sz w:val="30"/>
          <w:szCs w:val="30"/>
          <w:highlight w:val="none"/>
        </w:rPr>
        <w:t>7</w:t>
      </w:r>
      <w:r>
        <w:rPr>
          <w:rFonts w:hint="eastAsia" w:ascii="仿宋_GB2312" w:hAnsi="仿宋" w:eastAsia="仿宋_GB2312"/>
          <w:bCs/>
          <w:spacing w:val="6"/>
          <w:sz w:val="30"/>
          <w:szCs w:val="30"/>
          <w:highlight w:val="none"/>
        </w:rPr>
        <w:t>行）数量（1</w:t>
      </w:r>
      <w:r>
        <w:rPr>
          <w:rFonts w:hint="eastAsia" w:ascii="仿宋_GB2312" w:hAnsi="仿宋" w:eastAsia="仿宋_GB2312"/>
          <w:sz w:val="30"/>
          <w:szCs w:val="30"/>
          <w:highlight w:val="none"/>
        </w:rPr>
        <w:t>、2栏</w:t>
      </w:r>
      <w:r>
        <w:rPr>
          <w:rFonts w:hint="eastAsia" w:ascii="仿宋_GB2312" w:hAnsi="仿宋" w:eastAsia="仿宋_GB2312"/>
          <w:bCs/>
          <w:spacing w:val="6"/>
          <w:sz w:val="30"/>
          <w:szCs w:val="30"/>
          <w:highlight w:val="none"/>
        </w:rPr>
        <w:t>）</w:t>
      </w:r>
      <w:r>
        <w:rPr>
          <w:rFonts w:hint="eastAsia" w:ascii="仿宋_GB2312" w:hAnsi="仿宋" w:eastAsia="仿宋_GB2312"/>
          <w:sz w:val="30"/>
          <w:szCs w:val="30"/>
          <w:highlight w:val="none"/>
        </w:rPr>
        <w:t>期初数量应等于上年财资14表期末数量，否则提示核实性错误，填写情况说明；</w:t>
      </w:r>
    </w:p>
    <w:p w14:paraId="5ADA7906">
      <w:pPr>
        <w:pStyle w:val="6"/>
        <w:numPr>
          <w:ilvl w:val="0"/>
          <w:numId w:val="8"/>
        </w:numPr>
        <w:spacing w:line="360" w:lineRule="auto"/>
        <w:ind w:left="16" w:firstLine="560" w:firstLineChars="0"/>
        <w:rPr>
          <w:rFonts w:hint="eastAsia" w:hAnsi="仿宋"/>
          <w:sz w:val="30"/>
          <w:szCs w:val="30"/>
          <w:highlight w:val="none"/>
        </w:rPr>
      </w:pPr>
      <w:r>
        <w:rPr>
          <w:rFonts w:hint="eastAsia" w:hAnsi="仿宋"/>
          <w:bCs/>
          <w:sz w:val="30"/>
          <w:szCs w:val="30"/>
          <w:highlight w:val="none"/>
        </w:rPr>
        <w:t>合计（1行）价值（8栏）应小于等于20亿元，否则提示核实性错误，需结合实际情况修改或填写情况说明；</w:t>
      </w:r>
    </w:p>
    <w:p w14:paraId="46DE1638">
      <w:pPr>
        <w:pStyle w:val="6"/>
        <w:numPr>
          <w:ilvl w:val="0"/>
          <w:numId w:val="5"/>
        </w:numPr>
        <w:spacing w:line="360" w:lineRule="auto"/>
        <w:ind w:firstLineChars="0"/>
        <w:rPr>
          <w:rFonts w:hint="eastAsia" w:hAnsi="仿宋"/>
          <w:sz w:val="30"/>
          <w:szCs w:val="30"/>
          <w:highlight w:val="none"/>
        </w:rPr>
      </w:pPr>
      <w:r>
        <w:rPr>
          <w:rFonts w:hint="eastAsia" w:hAnsi="仿宋"/>
          <w:sz w:val="30"/>
          <w:szCs w:val="30"/>
          <w:highlight w:val="none"/>
        </w:rPr>
        <w:t>一级文物</w:t>
      </w:r>
      <w:r>
        <w:rPr>
          <w:rFonts w:hint="eastAsia" w:hAnsi="仿宋"/>
          <w:bCs/>
          <w:sz w:val="30"/>
          <w:szCs w:val="30"/>
          <w:highlight w:val="none"/>
        </w:rPr>
        <w:t>（</w:t>
      </w:r>
      <w:r>
        <w:rPr>
          <w:rFonts w:hint="eastAsia" w:hAnsi="仿宋"/>
          <w:sz w:val="30"/>
          <w:szCs w:val="30"/>
          <w:highlight w:val="none"/>
        </w:rPr>
        <w:t>8</w:t>
      </w:r>
      <w:r>
        <w:rPr>
          <w:rFonts w:hint="eastAsia" w:hAnsi="仿宋"/>
          <w:bCs/>
          <w:sz w:val="30"/>
          <w:szCs w:val="30"/>
          <w:highlight w:val="none"/>
        </w:rPr>
        <w:t>行）</w:t>
      </w:r>
      <w:r>
        <w:rPr>
          <w:rFonts w:hint="eastAsia"/>
          <w:sz w:val="30"/>
          <w:szCs w:val="30"/>
          <w:highlight w:val="none"/>
        </w:rPr>
        <w:t>、二级文物</w:t>
      </w:r>
      <w:r>
        <w:rPr>
          <w:rFonts w:hint="eastAsia" w:hAnsi="仿宋"/>
          <w:bCs/>
          <w:sz w:val="30"/>
          <w:szCs w:val="30"/>
          <w:highlight w:val="none"/>
        </w:rPr>
        <w:t>（</w:t>
      </w:r>
      <w:r>
        <w:rPr>
          <w:rFonts w:hint="eastAsia"/>
          <w:sz w:val="30"/>
          <w:szCs w:val="30"/>
          <w:highlight w:val="none"/>
        </w:rPr>
        <w:t>9行</w:t>
      </w:r>
      <w:r>
        <w:rPr>
          <w:rFonts w:hint="eastAsia" w:hAnsi="仿宋"/>
          <w:bCs/>
          <w:sz w:val="30"/>
          <w:szCs w:val="30"/>
          <w:highlight w:val="none"/>
        </w:rPr>
        <w:t>）的期末数量小计</w:t>
      </w:r>
      <w:r>
        <w:rPr>
          <w:rFonts w:hint="eastAsia"/>
          <w:sz w:val="30"/>
          <w:szCs w:val="30"/>
          <w:highlight w:val="none"/>
        </w:rPr>
        <w:t>（5栏</w:t>
      </w:r>
      <w:r>
        <w:rPr>
          <w:rFonts w:hint="eastAsia" w:hAnsi="仿宋"/>
          <w:bCs/>
          <w:sz w:val="30"/>
          <w:szCs w:val="30"/>
          <w:highlight w:val="none"/>
        </w:rPr>
        <w:t>）</w:t>
      </w:r>
      <w:r>
        <w:rPr>
          <w:rFonts w:hint="eastAsia"/>
          <w:sz w:val="30"/>
          <w:szCs w:val="30"/>
          <w:highlight w:val="none"/>
        </w:rPr>
        <w:t>减期初</w:t>
      </w:r>
      <w:r>
        <w:rPr>
          <w:rFonts w:hint="eastAsia" w:hAnsi="仿宋"/>
          <w:bCs/>
          <w:sz w:val="30"/>
          <w:szCs w:val="30"/>
          <w:highlight w:val="none"/>
        </w:rPr>
        <w:t>数量小计（1栏）</w:t>
      </w:r>
      <w:r>
        <w:rPr>
          <w:rFonts w:hint="eastAsia" w:hAnsi="仿宋"/>
          <w:sz w:val="30"/>
          <w:szCs w:val="30"/>
          <w:highlight w:val="none"/>
        </w:rPr>
        <w:t>小于等于-10，提示核实性错误，需结合实际情况修改或填写情况说明。</w:t>
      </w:r>
    </w:p>
    <w:p w14:paraId="6C3DF2FC">
      <w:pPr>
        <w:pStyle w:val="2"/>
        <w:rPr>
          <w:rFonts w:hint="eastAsia"/>
          <w:b/>
          <w:color w:val="auto"/>
          <w:highlight w:val="none"/>
        </w:rPr>
      </w:pPr>
      <w:r>
        <w:rPr>
          <w:rFonts w:hint="eastAsia"/>
          <w:color w:val="auto"/>
          <w:highlight w:val="none"/>
        </w:rPr>
        <w:t>（十九）保障性住房情况表（财资15表）</w:t>
      </w:r>
    </w:p>
    <w:p w14:paraId="74A8DDFE">
      <w:pPr>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宋体" w:eastAsia="仿宋_GB2312"/>
          <w:sz w:val="30"/>
          <w:szCs w:val="30"/>
          <w:highlight w:val="none"/>
        </w:rPr>
        <w:t>本表反映行政事业单位已入账的保障性住房期初、期末账面数，包括公租房、经济适用房、保障性租赁住房、原共有产权住房</w:t>
      </w:r>
      <w:r>
        <w:rPr>
          <w:rFonts w:hint="eastAsia" w:ascii="仿宋_GB2312" w:hAnsi="宋体" w:eastAsia="仿宋_GB2312"/>
          <w:bCs/>
          <w:sz w:val="30"/>
          <w:szCs w:val="30"/>
          <w:highlight w:val="none"/>
        </w:rPr>
        <w:t>。</w:t>
      </w:r>
      <w:r>
        <w:rPr>
          <w:rFonts w:hint="eastAsia" w:ascii="仿宋_GB2312" w:hAnsi="仿宋" w:eastAsia="仿宋_GB2312"/>
          <w:sz w:val="30"/>
          <w:szCs w:val="30"/>
          <w:highlight w:val="none"/>
        </w:rPr>
        <w:t>保障性住房的登记入账核算按照《政府会计制度-行政事业单位会计科目和报表》中“保障性住房”的规定执行。有账面价值的资产</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按照账面价值进行计价。没有价值的可以按照历史成本、重置成本、公允价值等方法进行计价。原则上本表数据从资产卡片提取，住房和城乡建设相关单位可根据保障性住房资产情况手工修改。</w:t>
      </w:r>
    </w:p>
    <w:p w14:paraId="652F15EE">
      <w:pPr>
        <w:snapToGrid w:val="0"/>
        <w:spacing w:line="360" w:lineRule="auto"/>
        <w:ind w:firstLine="602" w:firstLineChars="200"/>
        <w:rPr>
          <w:rFonts w:hint="eastAsia" w:ascii="仿宋_GB2312" w:hAnsi="仿宋" w:eastAsia="仿宋_GB2312"/>
          <w:b/>
          <w:bCs/>
          <w:sz w:val="30"/>
          <w:szCs w:val="30"/>
          <w:highlight w:val="none"/>
        </w:rPr>
      </w:pPr>
      <w:r>
        <w:rPr>
          <w:rFonts w:hint="eastAsia" w:ascii="仿宋_GB2312" w:hAnsi="仿宋" w:eastAsia="仿宋_GB2312"/>
          <w:b/>
          <w:bCs/>
          <w:sz w:val="30"/>
          <w:szCs w:val="30"/>
          <w:highlight w:val="none"/>
        </w:rPr>
        <w:t>主要指标</w:t>
      </w:r>
      <w:r>
        <w:rPr>
          <w:rFonts w:ascii="仿宋_GB2312" w:hAnsi="仿宋" w:eastAsia="仿宋_GB2312"/>
          <w:b/>
          <w:bCs/>
          <w:sz w:val="30"/>
          <w:szCs w:val="30"/>
          <w:highlight w:val="none"/>
        </w:rPr>
        <w:t>说明：</w:t>
      </w:r>
    </w:p>
    <w:p w14:paraId="0E0FFC1A">
      <w:pPr>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1.公租房：根据《公共租赁住房资产管理暂行办法》规定，是指地方政府住房保障主管部门持有的，纳入城镇住房保障规划和年度计划，向符合条件的保障对象提供的住房。公租房资产包括公租房项目中的住宅，以及配套的非住宅资产（公共用房、经营性用房、车位、设施设备用房等房屋建筑物）。住房城乡建设部、财政部、国家发展改革委联合印发的《关于公共租赁住房和廉租房并轨运行的通知》（建保〔2013〕178号）规定，从2014年起各地公租房和廉租房并轨运行，统称为公租房。</w:t>
      </w:r>
    </w:p>
    <w:p w14:paraId="613B8FF1">
      <w:pPr>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2.经济适用房：是指政府提供政策优惠，限定套型面积和销售价格，按照合理标准建设，面向城市低收入住房困难家庭供应，政府持有的（含共有产权）具有保障性质的政策性住房。购房人拥有有限产权，购房满5年可转让，但应按照规定交纳土地收益等价款，政府具有优先回购权。</w:t>
      </w:r>
    </w:p>
    <w:p w14:paraId="6E5DF272">
      <w:pPr>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3</w:t>
      </w:r>
      <w:r>
        <w:rPr>
          <w:rFonts w:ascii="仿宋_GB2312" w:hAnsi="仿宋" w:eastAsia="仿宋_GB2312"/>
          <w:sz w:val="30"/>
          <w:szCs w:val="30"/>
          <w:highlight w:val="none"/>
        </w:rPr>
        <w:t>.</w:t>
      </w:r>
      <w:r>
        <w:rPr>
          <w:rFonts w:hint="eastAsia" w:ascii="仿宋_GB2312" w:hAnsi="仿宋" w:eastAsia="仿宋_GB2312"/>
          <w:sz w:val="30"/>
          <w:szCs w:val="30"/>
          <w:highlight w:val="none"/>
        </w:rPr>
        <w:t>保障性租赁住房：根据国务院办公厅发布的《关于加快发展保障性租赁住房的意见》要求，主要解决符合条件的新市民、青年人等群体国有产权住房困难问题，以建筑面积不超过7</w:t>
      </w:r>
      <w:r>
        <w:rPr>
          <w:rFonts w:ascii="仿宋_GB2312" w:hAnsi="仿宋" w:eastAsia="仿宋_GB2312"/>
          <w:sz w:val="30"/>
          <w:szCs w:val="30"/>
          <w:highlight w:val="none"/>
        </w:rPr>
        <w:t>0</w:t>
      </w:r>
      <w:r>
        <w:rPr>
          <w:rFonts w:hint="eastAsia" w:ascii="仿宋_GB2312" w:hAnsi="仿宋" w:eastAsia="仿宋_GB2312"/>
          <w:sz w:val="30"/>
          <w:szCs w:val="30"/>
          <w:highlight w:val="none"/>
        </w:rPr>
        <w:t>平方米的小户型为主，租金低于同地段、同品质市场租赁住房租金，准入和退出具体条件、小户型的具体面积由城市人民政府按照保基本的原则合理确定。</w:t>
      </w:r>
    </w:p>
    <w:p w14:paraId="109DEEA2">
      <w:pPr>
        <w:snapToGrid w:val="0"/>
        <w:spacing w:line="360" w:lineRule="auto"/>
        <w:ind w:firstLine="600" w:firstLineChars="200"/>
        <w:rPr>
          <w:rFonts w:hint="eastAsia" w:ascii="仿宋_GB2312" w:hAnsi="仿宋" w:eastAsia="仿宋_GB2312"/>
          <w:sz w:val="30"/>
          <w:szCs w:val="30"/>
          <w:highlight w:val="none"/>
        </w:rPr>
      </w:pPr>
      <w:r>
        <w:rPr>
          <w:rFonts w:ascii="仿宋_GB2312" w:hAnsi="仿宋" w:eastAsia="仿宋_GB2312"/>
          <w:sz w:val="30"/>
          <w:szCs w:val="30"/>
          <w:highlight w:val="none"/>
        </w:rPr>
        <w:t>4.</w:t>
      </w:r>
      <w:r>
        <w:rPr>
          <w:rFonts w:hint="eastAsia" w:ascii="仿宋_GB2312" w:hAnsi="仿宋" w:eastAsia="仿宋_GB2312"/>
          <w:sz w:val="30"/>
          <w:szCs w:val="30"/>
          <w:highlight w:val="none"/>
        </w:rPr>
        <w:t>共有产权住房</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是指由政府引导并给予政策支持，面向符合规定条件的住房困难群体供应，实行购房人与政府按份共有所有权的住房。</w:t>
      </w:r>
    </w:p>
    <w:p w14:paraId="27BEF018">
      <w:pPr>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本次填报不涉及“限价商品房”、“棚改安置住房”。</w:t>
      </w:r>
    </w:p>
    <w:p w14:paraId="2209B015">
      <w:pPr>
        <w:snapToGrid w:val="0"/>
        <w:spacing w:line="360" w:lineRule="auto"/>
        <w:ind w:firstLine="626" w:firstLineChars="200"/>
        <w:rPr>
          <w:rFonts w:hint="eastAsia" w:ascii="仿宋_GB2312" w:hAnsi="仿宋" w:eastAsia="仿宋_GB2312"/>
          <w:b/>
          <w:spacing w:val="6"/>
          <w:sz w:val="30"/>
          <w:szCs w:val="30"/>
          <w:highlight w:val="none"/>
        </w:rPr>
      </w:pPr>
      <w:r>
        <w:rPr>
          <w:rFonts w:hint="eastAsia" w:ascii="仿宋_GB2312" w:hAnsi="仿宋" w:eastAsia="仿宋_GB2312"/>
          <w:b/>
          <w:spacing w:val="6"/>
          <w:sz w:val="30"/>
          <w:szCs w:val="30"/>
          <w:highlight w:val="none"/>
        </w:rPr>
        <w:t>逻辑性审核公式：</w:t>
      </w:r>
    </w:p>
    <w:p w14:paraId="2C88998F">
      <w:pPr>
        <w:snapToGrid w:val="0"/>
        <w:spacing w:line="360" w:lineRule="auto"/>
        <w:ind w:firstLine="626" w:firstLineChars="200"/>
        <w:rPr>
          <w:rFonts w:hint="eastAsia" w:ascii="仿宋_GB2312" w:hAnsi="仿宋" w:eastAsia="仿宋_GB2312"/>
          <w:b/>
          <w:spacing w:val="6"/>
          <w:sz w:val="30"/>
          <w:szCs w:val="30"/>
          <w:highlight w:val="none"/>
        </w:rPr>
      </w:pPr>
      <w:r>
        <w:rPr>
          <w:rFonts w:hint="eastAsia" w:ascii="仿宋_GB2312" w:hAnsi="仿宋" w:eastAsia="仿宋_GB2312"/>
          <w:b/>
          <w:spacing w:val="6"/>
          <w:sz w:val="30"/>
          <w:szCs w:val="30"/>
          <w:highlight w:val="none"/>
        </w:rPr>
        <w:t>表内公式：</w:t>
      </w:r>
    </w:p>
    <w:p w14:paraId="196F84C6">
      <w:pPr>
        <w:numPr>
          <w:ilvl w:val="0"/>
          <w:numId w:val="5"/>
        </w:numPr>
        <w:spacing w:line="360" w:lineRule="auto"/>
        <w:rPr>
          <w:rFonts w:ascii="仿宋_GB2312" w:hAnsi="Calibri" w:eastAsia="仿宋_GB2312"/>
          <w:sz w:val="30"/>
          <w:szCs w:val="30"/>
          <w:highlight w:val="none"/>
        </w:rPr>
      </w:pPr>
      <w:r>
        <w:rPr>
          <w:rFonts w:hint="eastAsia" w:ascii="仿宋_GB2312" w:hAnsi="Calibri" w:eastAsia="仿宋_GB2312"/>
          <w:sz w:val="30"/>
          <w:szCs w:val="30"/>
          <w:highlight w:val="none"/>
        </w:rPr>
        <w:t>合计（1行）等于公租房（2行）</w:t>
      </w:r>
      <w:r>
        <w:rPr>
          <w:rFonts w:ascii="仿宋_GB2312" w:hAnsi="Calibri" w:eastAsia="仿宋_GB2312"/>
          <w:sz w:val="30"/>
          <w:szCs w:val="30"/>
          <w:highlight w:val="none"/>
        </w:rPr>
        <w:t>、</w:t>
      </w:r>
      <w:r>
        <w:rPr>
          <w:rFonts w:hint="eastAsia" w:ascii="仿宋_GB2312" w:hAnsi="Calibri" w:eastAsia="仿宋_GB2312"/>
          <w:sz w:val="30"/>
          <w:szCs w:val="30"/>
          <w:highlight w:val="none"/>
        </w:rPr>
        <w:t>经济适用房（</w:t>
      </w:r>
      <w:r>
        <w:rPr>
          <w:rFonts w:ascii="仿宋_GB2312" w:hAnsi="Calibri" w:eastAsia="仿宋_GB2312"/>
          <w:sz w:val="30"/>
          <w:szCs w:val="30"/>
          <w:highlight w:val="none"/>
        </w:rPr>
        <w:t>3</w:t>
      </w:r>
      <w:r>
        <w:rPr>
          <w:rFonts w:hint="eastAsia" w:ascii="仿宋_GB2312" w:hAnsi="Calibri" w:eastAsia="仿宋_GB2312"/>
          <w:sz w:val="30"/>
          <w:szCs w:val="30"/>
          <w:highlight w:val="none"/>
        </w:rPr>
        <w:t>行）</w:t>
      </w:r>
      <w:r>
        <w:rPr>
          <w:rFonts w:ascii="仿宋_GB2312" w:hAnsi="Calibri" w:eastAsia="仿宋_GB2312"/>
          <w:sz w:val="30"/>
          <w:szCs w:val="30"/>
          <w:highlight w:val="none"/>
        </w:rPr>
        <w:t>、</w:t>
      </w:r>
      <w:r>
        <w:rPr>
          <w:rFonts w:hint="eastAsia" w:ascii="仿宋_GB2312" w:hAnsi="Calibri" w:eastAsia="仿宋_GB2312"/>
          <w:sz w:val="30"/>
          <w:szCs w:val="30"/>
          <w:highlight w:val="none"/>
        </w:rPr>
        <w:t>保障性租赁住房（</w:t>
      </w:r>
      <w:r>
        <w:rPr>
          <w:rFonts w:ascii="仿宋_GB2312" w:hAnsi="Calibri" w:eastAsia="仿宋_GB2312"/>
          <w:sz w:val="30"/>
          <w:szCs w:val="30"/>
          <w:highlight w:val="none"/>
        </w:rPr>
        <w:t>4</w:t>
      </w:r>
      <w:r>
        <w:rPr>
          <w:rFonts w:hint="eastAsia" w:ascii="仿宋_GB2312" w:hAnsi="Calibri" w:eastAsia="仿宋_GB2312"/>
          <w:sz w:val="30"/>
          <w:szCs w:val="30"/>
          <w:highlight w:val="none"/>
        </w:rPr>
        <w:t>行）</w:t>
      </w:r>
      <w:r>
        <w:rPr>
          <w:rFonts w:ascii="仿宋_GB2312" w:hAnsi="Calibri" w:eastAsia="仿宋_GB2312"/>
          <w:sz w:val="30"/>
          <w:szCs w:val="30"/>
          <w:highlight w:val="none"/>
        </w:rPr>
        <w:t>、</w:t>
      </w:r>
      <w:r>
        <w:rPr>
          <w:rFonts w:hint="eastAsia" w:ascii="仿宋_GB2312" w:hAnsi="Calibri" w:eastAsia="仿宋_GB2312"/>
          <w:sz w:val="30"/>
          <w:szCs w:val="30"/>
          <w:highlight w:val="none"/>
        </w:rPr>
        <w:t>共有产权住房（</w:t>
      </w:r>
      <w:r>
        <w:rPr>
          <w:rFonts w:ascii="仿宋_GB2312" w:hAnsi="Calibri" w:eastAsia="仿宋_GB2312"/>
          <w:sz w:val="30"/>
          <w:szCs w:val="30"/>
          <w:highlight w:val="none"/>
        </w:rPr>
        <w:t>5</w:t>
      </w:r>
      <w:r>
        <w:rPr>
          <w:rFonts w:hint="eastAsia" w:ascii="仿宋_GB2312" w:hAnsi="Calibri" w:eastAsia="仿宋_GB2312"/>
          <w:sz w:val="30"/>
          <w:szCs w:val="30"/>
          <w:highlight w:val="none"/>
        </w:rPr>
        <w:t>行）各项之和</w:t>
      </w:r>
      <w:r>
        <w:rPr>
          <w:rFonts w:ascii="仿宋_GB2312" w:hAnsi="Calibri" w:eastAsia="仿宋_GB2312"/>
          <w:sz w:val="30"/>
          <w:szCs w:val="30"/>
          <w:highlight w:val="none"/>
        </w:rPr>
        <w:t>；</w:t>
      </w:r>
    </w:p>
    <w:p w14:paraId="00EB6AA7">
      <w:pPr>
        <w:numPr>
          <w:ilvl w:val="0"/>
          <w:numId w:val="5"/>
        </w:numPr>
        <w:spacing w:line="360" w:lineRule="auto"/>
        <w:rPr>
          <w:rFonts w:ascii="仿宋_GB2312" w:hAnsi="Calibri" w:eastAsia="仿宋_GB2312"/>
          <w:sz w:val="30"/>
          <w:szCs w:val="30"/>
          <w:highlight w:val="none"/>
        </w:rPr>
      </w:pPr>
      <w:r>
        <w:rPr>
          <w:rFonts w:hint="eastAsia" w:ascii="仿宋_GB2312" w:hAnsi="Calibri" w:eastAsia="仿宋_GB2312"/>
          <w:sz w:val="30"/>
          <w:szCs w:val="30"/>
          <w:highlight w:val="none"/>
        </w:rPr>
        <w:t>净值（</w:t>
      </w:r>
      <w:r>
        <w:rPr>
          <w:rFonts w:ascii="仿宋_GB2312" w:hAnsi="Calibri" w:eastAsia="仿宋_GB2312"/>
          <w:sz w:val="30"/>
          <w:szCs w:val="30"/>
          <w:highlight w:val="none"/>
        </w:rPr>
        <w:t>5</w:t>
      </w:r>
      <w:r>
        <w:rPr>
          <w:rFonts w:hint="eastAsia" w:ascii="仿宋_GB2312" w:hAnsi="Calibri" w:eastAsia="仿宋_GB2312"/>
          <w:sz w:val="30"/>
          <w:szCs w:val="30"/>
          <w:highlight w:val="none"/>
        </w:rPr>
        <w:t>栏）等于原值（</w:t>
      </w:r>
      <w:r>
        <w:rPr>
          <w:rFonts w:ascii="仿宋_GB2312" w:hAnsi="Calibri" w:eastAsia="仿宋_GB2312"/>
          <w:sz w:val="30"/>
          <w:szCs w:val="30"/>
          <w:highlight w:val="none"/>
        </w:rPr>
        <w:t>3</w:t>
      </w:r>
      <w:r>
        <w:rPr>
          <w:rFonts w:hint="eastAsia" w:ascii="仿宋_GB2312" w:hAnsi="Calibri" w:eastAsia="仿宋_GB2312"/>
          <w:sz w:val="30"/>
          <w:szCs w:val="30"/>
          <w:highlight w:val="none"/>
        </w:rPr>
        <w:t>栏）与累计折旧（</w:t>
      </w:r>
      <w:r>
        <w:rPr>
          <w:rFonts w:ascii="仿宋_GB2312" w:hAnsi="Calibri" w:eastAsia="仿宋_GB2312"/>
          <w:sz w:val="30"/>
          <w:szCs w:val="30"/>
          <w:highlight w:val="none"/>
        </w:rPr>
        <w:t>4</w:t>
      </w:r>
      <w:r>
        <w:rPr>
          <w:rFonts w:hint="eastAsia" w:ascii="仿宋_GB2312" w:hAnsi="Calibri" w:eastAsia="仿宋_GB2312"/>
          <w:sz w:val="30"/>
          <w:szCs w:val="30"/>
          <w:highlight w:val="none"/>
        </w:rPr>
        <w:t>栏）之差；</w:t>
      </w:r>
    </w:p>
    <w:p w14:paraId="19DA90EB">
      <w:pPr>
        <w:numPr>
          <w:ilvl w:val="0"/>
          <w:numId w:val="5"/>
        </w:numPr>
        <w:spacing w:line="360" w:lineRule="auto"/>
        <w:rPr>
          <w:rFonts w:ascii="仿宋_GB2312" w:hAnsi="Calibri" w:eastAsia="仿宋_GB2312"/>
          <w:sz w:val="30"/>
          <w:szCs w:val="30"/>
          <w:highlight w:val="none"/>
        </w:rPr>
      </w:pPr>
      <w:r>
        <w:rPr>
          <w:rFonts w:hint="eastAsia" w:ascii="仿宋_GB2312" w:hAnsi="Calibri" w:eastAsia="仿宋_GB2312"/>
          <w:sz w:val="30"/>
          <w:szCs w:val="30"/>
          <w:highlight w:val="none"/>
        </w:rPr>
        <w:t>净值（11栏）等于原值（9栏）与累计折旧（10栏）之差；</w:t>
      </w:r>
    </w:p>
    <w:p w14:paraId="4E37748D">
      <w:pPr>
        <w:numPr>
          <w:ilvl w:val="0"/>
          <w:numId w:val="5"/>
        </w:numPr>
        <w:spacing w:line="360" w:lineRule="auto"/>
        <w:rPr>
          <w:rFonts w:ascii="仿宋_GB2312" w:hAnsi="Calibri" w:eastAsia="仿宋_GB2312"/>
          <w:sz w:val="30"/>
          <w:szCs w:val="30"/>
          <w:highlight w:val="none"/>
        </w:rPr>
      </w:pPr>
      <w:r>
        <w:rPr>
          <w:rFonts w:hint="eastAsia" w:ascii="仿宋_GB2312" w:hAnsi="Calibri" w:eastAsia="仿宋_GB2312"/>
          <w:sz w:val="30"/>
          <w:szCs w:val="30"/>
          <w:highlight w:val="none"/>
        </w:rPr>
        <w:t>面积（1栏、6栏）大于0，则套数（2栏、7栏）大于0；</w:t>
      </w:r>
    </w:p>
    <w:p w14:paraId="35F8D935">
      <w:pPr>
        <w:numPr>
          <w:ilvl w:val="0"/>
          <w:numId w:val="5"/>
        </w:numPr>
        <w:spacing w:line="360" w:lineRule="auto"/>
        <w:rPr>
          <w:rFonts w:ascii="仿宋_GB2312" w:hAnsi="Calibri" w:eastAsia="仿宋_GB2312"/>
          <w:sz w:val="30"/>
          <w:szCs w:val="30"/>
          <w:highlight w:val="none"/>
        </w:rPr>
      </w:pPr>
      <w:r>
        <w:rPr>
          <w:rFonts w:hint="eastAsia" w:ascii="仿宋_GB2312" w:hAnsi="Calibri" w:eastAsia="仿宋_GB2312"/>
          <w:sz w:val="30"/>
          <w:szCs w:val="30"/>
          <w:highlight w:val="none"/>
        </w:rPr>
        <w:t>套数（2栏、7栏）大于0，则面积（1栏、6栏）大于0；</w:t>
      </w:r>
    </w:p>
    <w:p w14:paraId="246ED04E">
      <w:pPr>
        <w:numPr>
          <w:ilvl w:val="0"/>
          <w:numId w:val="5"/>
        </w:numPr>
        <w:spacing w:line="360" w:lineRule="auto"/>
        <w:rPr>
          <w:rFonts w:ascii="仿宋_GB2312" w:hAnsi="Calibri" w:eastAsia="仿宋_GB2312"/>
          <w:sz w:val="30"/>
          <w:szCs w:val="30"/>
          <w:highlight w:val="none"/>
        </w:rPr>
      </w:pPr>
      <w:r>
        <w:rPr>
          <w:rFonts w:hint="eastAsia" w:ascii="仿宋_GB2312" w:hAnsi="Calibri" w:eastAsia="仿宋_GB2312"/>
          <w:sz w:val="30"/>
          <w:szCs w:val="30"/>
          <w:highlight w:val="none"/>
        </w:rPr>
        <w:t>面积（1栏）不等于套数（2栏）；</w:t>
      </w:r>
    </w:p>
    <w:p w14:paraId="22BC7C29">
      <w:pPr>
        <w:numPr>
          <w:ilvl w:val="0"/>
          <w:numId w:val="5"/>
        </w:numPr>
        <w:spacing w:line="360" w:lineRule="auto"/>
        <w:rPr>
          <w:rFonts w:ascii="仿宋_GB2312" w:hAnsi="Calibri" w:eastAsia="仿宋_GB2312"/>
          <w:sz w:val="30"/>
          <w:szCs w:val="30"/>
          <w:highlight w:val="none"/>
        </w:rPr>
      </w:pPr>
      <w:r>
        <w:rPr>
          <w:rFonts w:hint="eastAsia" w:ascii="仿宋_GB2312" w:hAnsi="Calibri" w:eastAsia="仿宋_GB2312"/>
          <w:sz w:val="30"/>
          <w:szCs w:val="30"/>
          <w:highlight w:val="none"/>
        </w:rPr>
        <w:t>面积（6栏）不等于套数（7栏）；</w:t>
      </w:r>
    </w:p>
    <w:p w14:paraId="5ACF9EDA">
      <w:pPr>
        <w:numPr>
          <w:ilvl w:val="0"/>
          <w:numId w:val="5"/>
        </w:numPr>
        <w:spacing w:line="360" w:lineRule="auto"/>
        <w:rPr>
          <w:rFonts w:ascii="仿宋_GB2312" w:hAnsi="Calibri" w:eastAsia="仿宋_GB2312"/>
          <w:sz w:val="30"/>
          <w:szCs w:val="30"/>
          <w:highlight w:val="none"/>
        </w:rPr>
      </w:pPr>
      <w:r>
        <w:rPr>
          <w:rFonts w:hint="eastAsia" w:ascii="仿宋_GB2312" w:hAnsi="仿宋" w:eastAsia="仿宋_GB2312"/>
          <w:sz w:val="30"/>
          <w:szCs w:val="30"/>
          <w:highlight w:val="none"/>
        </w:rPr>
        <w:t>各</w:t>
      </w:r>
      <w:r>
        <w:rPr>
          <w:rFonts w:ascii="仿宋_GB2312" w:hAnsi="仿宋" w:eastAsia="仿宋_GB2312"/>
          <w:sz w:val="30"/>
          <w:szCs w:val="30"/>
          <w:highlight w:val="none"/>
        </w:rPr>
        <w:t>指标大于等于</w:t>
      </w:r>
      <w:r>
        <w:rPr>
          <w:rFonts w:hint="eastAsia" w:ascii="仿宋_GB2312" w:hAnsi="仿宋" w:eastAsia="仿宋_GB2312"/>
          <w:sz w:val="30"/>
          <w:szCs w:val="30"/>
          <w:highlight w:val="none"/>
        </w:rPr>
        <w:t>0</w:t>
      </w:r>
      <w:r>
        <w:rPr>
          <w:rFonts w:hint="eastAsia" w:ascii="仿宋_GB2312" w:hAnsi="Calibri" w:eastAsia="仿宋_GB2312"/>
          <w:sz w:val="30"/>
          <w:szCs w:val="30"/>
          <w:highlight w:val="none"/>
        </w:rPr>
        <w:t>。</w:t>
      </w:r>
    </w:p>
    <w:p w14:paraId="4E27D79A">
      <w:pPr>
        <w:snapToGrid w:val="0"/>
        <w:spacing w:line="360" w:lineRule="auto"/>
        <w:ind w:firstLine="626" w:firstLineChars="200"/>
        <w:rPr>
          <w:rFonts w:hint="eastAsia" w:ascii="仿宋_GB2312" w:hAnsi="仿宋" w:eastAsia="仿宋_GB2312"/>
          <w:b/>
          <w:spacing w:val="6"/>
          <w:sz w:val="30"/>
          <w:szCs w:val="30"/>
          <w:highlight w:val="none"/>
        </w:rPr>
      </w:pPr>
      <w:r>
        <w:rPr>
          <w:rFonts w:hint="eastAsia" w:ascii="仿宋_GB2312" w:hAnsi="仿宋" w:eastAsia="仿宋_GB2312"/>
          <w:b/>
          <w:spacing w:val="6"/>
          <w:sz w:val="30"/>
          <w:szCs w:val="30"/>
          <w:highlight w:val="none"/>
        </w:rPr>
        <w:t>表间公式：</w:t>
      </w:r>
    </w:p>
    <w:p w14:paraId="7762FBF1">
      <w:pPr>
        <w:numPr>
          <w:ilvl w:val="0"/>
          <w:numId w:val="5"/>
        </w:numPr>
        <w:spacing w:line="360" w:lineRule="auto"/>
        <w:rPr>
          <w:rFonts w:hint="eastAsia" w:ascii="仿宋_GB2312" w:hAnsi="仿宋" w:eastAsia="仿宋_GB2312"/>
          <w:bCs/>
          <w:spacing w:val="6"/>
          <w:sz w:val="30"/>
          <w:szCs w:val="30"/>
          <w:highlight w:val="none"/>
        </w:rPr>
      </w:pPr>
      <w:r>
        <w:rPr>
          <w:rFonts w:hint="eastAsia" w:ascii="仿宋_GB2312" w:hAnsi="Calibri" w:eastAsia="仿宋_GB2312"/>
          <w:sz w:val="30"/>
          <w:szCs w:val="30"/>
          <w:highlight w:val="none"/>
        </w:rPr>
        <w:t>合计（1行）期初原值（</w:t>
      </w:r>
      <w:r>
        <w:rPr>
          <w:rFonts w:ascii="仿宋_GB2312" w:hAnsi="仿宋" w:eastAsia="仿宋_GB2312"/>
          <w:bCs/>
          <w:spacing w:val="6"/>
          <w:sz w:val="30"/>
          <w:szCs w:val="30"/>
          <w:highlight w:val="none"/>
        </w:rPr>
        <w:t>3</w:t>
      </w:r>
      <w:r>
        <w:rPr>
          <w:rFonts w:hint="eastAsia" w:ascii="仿宋_GB2312" w:hAnsi="Calibri" w:eastAsia="仿宋_GB2312"/>
          <w:sz w:val="30"/>
          <w:szCs w:val="30"/>
          <w:highlight w:val="none"/>
        </w:rPr>
        <w:t>栏）</w:t>
      </w:r>
      <w:r>
        <w:rPr>
          <w:rFonts w:hint="eastAsia" w:ascii="仿宋_GB2312" w:hAnsi="仿宋" w:eastAsia="仿宋_GB2312"/>
          <w:bCs/>
          <w:spacing w:val="6"/>
          <w:sz w:val="30"/>
          <w:szCs w:val="30"/>
          <w:highlight w:val="none"/>
        </w:rPr>
        <w:t>等于财资0</w:t>
      </w:r>
      <w:r>
        <w:rPr>
          <w:rFonts w:ascii="仿宋_GB2312" w:hAnsi="仿宋" w:eastAsia="仿宋_GB2312"/>
          <w:bCs/>
          <w:spacing w:val="6"/>
          <w:sz w:val="30"/>
          <w:szCs w:val="30"/>
          <w:highlight w:val="none"/>
        </w:rPr>
        <w:t>1</w:t>
      </w:r>
      <w:r>
        <w:rPr>
          <w:rFonts w:hint="eastAsia" w:ascii="仿宋_GB2312" w:hAnsi="仿宋" w:eastAsia="仿宋_GB2312"/>
          <w:bCs/>
          <w:spacing w:val="6"/>
          <w:sz w:val="30"/>
          <w:szCs w:val="30"/>
          <w:highlight w:val="none"/>
        </w:rPr>
        <w:t>表保障性住房原值</w:t>
      </w:r>
      <w:r>
        <w:rPr>
          <w:rFonts w:hint="eastAsia" w:ascii="仿宋_GB2312" w:hAnsi="Calibri" w:eastAsia="仿宋_GB2312"/>
          <w:sz w:val="30"/>
          <w:szCs w:val="30"/>
          <w:highlight w:val="none"/>
        </w:rPr>
        <w:t>（</w:t>
      </w:r>
      <w:r>
        <w:rPr>
          <w:rFonts w:hint="eastAsia" w:ascii="仿宋_GB2312" w:hAnsi="仿宋" w:eastAsia="仿宋_GB2312"/>
          <w:bCs/>
          <w:spacing w:val="6"/>
          <w:sz w:val="30"/>
          <w:szCs w:val="30"/>
          <w:highlight w:val="none"/>
        </w:rPr>
        <w:t>3</w:t>
      </w:r>
      <w:r>
        <w:rPr>
          <w:rFonts w:ascii="仿宋_GB2312" w:hAnsi="仿宋" w:eastAsia="仿宋_GB2312"/>
          <w:bCs/>
          <w:spacing w:val="6"/>
          <w:sz w:val="30"/>
          <w:szCs w:val="30"/>
          <w:highlight w:val="none"/>
        </w:rPr>
        <w:t>3</w:t>
      </w:r>
      <w:r>
        <w:rPr>
          <w:rFonts w:hint="eastAsia" w:ascii="仿宋_GB2312" w:hAnsi="仿宋" w:eastAsia="仿宋_GB2312"/>
          <w:bCs/>
          <w:spacing w:val="6"/>
          <w:sz w:val="30"/>
          <w:szCs w:val="30"/>
          <w:highlight w:val="none"/>
        </w:rPr>
        <w:t>行</w:t>
      </w:r>
      <w:r>
        <w:rPr>
          <w:rFonts w:hint="eastAsia" w:ascii="仿宋_GB2312" w:hAnsi="Calibri" w:eastAsia="仿宋_GB2312"/>
          <w:sz w:val="30"/>
          <w:szCs w:val="30"/>
          <w:highlight w:val="none"/>
        </w:rPr>
        <w:t>）期初数（</w:t>
      </w:r>
      <w:r>
        <w:rPr>
          <w:rFonts w:hint="eastAsia" w:ascii="仿宋_GB2312" w:hAnsi="仿宋" w:eastAsia="仿宋_GB2312"/>
          <w:bCs/>
          <w:spacing w:val="6"/>
          <w:sz w:val="30"/>
          <w:szCs w:val="30"/>
          <w:highlight w:val="none"/>
        </w:rPr>
        <w:t>1</w:t>
      </w:r>
      <w:r>
        <w:rPr>
          <w:rFonts w:hint="eastAsia" w:ascii="仿宋_GB2312" w:hAnsi="Calibri" w:eastAsia="仿宋_GB2312"/>
          <w:sz w:val="30"/>
          <w:szCs w:val="30"/>
          <w:highlight w:val="none"/>
        </w:rPr>
        <w:t>栏）</w:t>
      </w:r>
      <w:r>
        <w:rPr>
          <w:rFonts w:hint="eastAsia" w:ascii="仿宋_GB2312" w:hAnsi="仿宋" w:eastAsia="仿宋_GB2312"/>
          <w:bCs/>
          <w:spacing w:val="6"/>
          <w:sz w:val="30"/>
          <w:szCs w:val="30"/>
          <w:highlight w:val="none"/>
        </w:rPr>
        <w:t>；</w:t>
      </w:r>
    </w:p>
    <w:p w14:paraId="3095F139">
      <w:pPr>
        <w:numPr>
          <w:ilvl w:val="0"/>
          <w:numId w:val="5"/>
        </w:numPr>
        <w:spacing w:line="360" w:lineRule="auto"/>
        <w:rPr>
          <w:rFonts w:hint="eastAsia" w:ascii="仿宋_GB2312" w:hAnsi="仿宋" w:eastAsia="仿宋_GB2312"/>
          <w:bCs/>
          <w:spacing w:val="6"/>
          <w:sz w:val="30"/>
          <w:szCs w:val="30"/>
          <w:highlight w:val="none"/>
        </w:rPr>
      </w:pPr>
      <w:r>
        <w:rPr>
          <w:rFonts w:hint="eastAsia" w:ascii="仿宋_GB2312" w:hAnsi="Calibri" w:eastAsia="仿宋_GB2312"/>
          <w:sz w:val="30"/>
          <w:szCs w:val="30"/>
          <w:highlight w:val="none"/>
        </w:rPr>
        <w:t>合计（1行）期初累计折旧（</w:t>
      </w:r>
      <w:r>
        <w:rPr>
          <w:rFonts w:ascii="仿宋_GB2312" w:hAnsi="仿宋" w:eastAsia="仿宋_GB2312"/>
          <w:bCs/>
          <w:spacing w:val="6"/>
          <w:sz w:val="30"/>
          <w:szCs w:val="30"/>
          <w:highlight w:val="none"/>
        </w:rPr>
        <w:t>4</w:t>
      </w:r>
      <w:r>
        <w:rPr>
          <w:rFonts w:hint="eastAsia" w:ascii="仿宋_GB2312" w:hAnsi="Calibri" w:eastAsia="仿宋_GB2312"/>
          <w:sz w:val="30"/>
          <w:szCs w:val="30"/>
          <w:highlight w:val="none"/>
        </w:rPr>
        <w:t>栏）</w:t>
      </w:r>
      <w:r>
        <w:rPr>
          <w:rFonts w:hint="eastAsia" w:ascii="仿宋_GB2312" w:hAnsi="仿宋" w:eastAsia="仿宋_GB2312"/>
          <w:bCs/>
          <w:spacing w:val="6"/>
          <w:sz w:val="30"/>
          <w:szCs w:val="30"/>
          <w:highlight w:val="none"/>
        </w:rPr>
        <w:t>等于财资0</w:t>
      </w:r>
      <w:r>
        <w:rPr>
          <w:rFonts w:ascii="仿宋_GB2312" w:hAnsi="仿宋" w:eastAsia="仿宋_GB2312"/>
          <w:bCs/>
          <w:spacing w:val="6"/>
          <w:sz w:val="30"/>
          <w:szCs w:val="30"/>
          <w:highlight w:val="none"/>
        </w:rPr>
        <w:t>1</w:t>
      </w:r>
      <w:r>
        <w:rPr>
          <w:rFonts w:hint="eastAsia" w:ascii="仿宋_GB2312" w:hAnsi="仿宋" w:eastAsia="仿宋_GB2312"/>
          <w:bCs/>
          <w:spacing w:val="6"/>
          <w:sz w:val="30"/>
          <w:szCs w:val="30"/>
          <w:highlight w:val="none"/>
        </w:rPr>
        <w:t>表保障性住房累计折旧</w:t>
      </w:r>
      <w:r>
        <w:rPr>
          <w:rFonts w:hint="eastAsia" w:ascii="仿宋_GB2312" w:hAnsi="Calibri" w:eastAsia="仿宋_GB2312"/>
          <w:sz w:val="30"/>
          <w:szCs w:val="30"/>
          <w:highlight w:val="none"/>
        </w:rPr>
        <w:t>（</w:t>
      </w:r>
      <w:r>
        <w:rPr>
          <w:rFonts w:hint="eastAsia" w:ascii="仿宋_GB2312" w:hAnsi="仿宋" w:eastAsia="仿宋_GB2312"/>
          <w:bCs/>
          <w:spacing w:val="6"/>
          <w:sz w:val="30"/>
          <w:szCs w:val="30"/>
          <w:highlight w:val="none"/>
        </w:rPr>
        <w:t>3</w:t>
      </w:r>
      <w:r>
        <w:rPr>
          <w:rFonts w:ascii="仿宋_GB2312" w:hAnsi="仿宋" w:eastAsia="仿宋_GB2312"/>
          <w:bCs/>
          <w:spacing w:val="6"/>
          <w:sz w:val="30"/>
          <w:szCs w:val="30"/>
          <w:highlight w:val="none"/>
        </w:rPr>
        <w:t>4</w:t>
      </w:r>
      <w:r>
        <w:rPr>
          <w:rFonts w:hint="eastAsia" w:ascii="仿宋_GB2312" w:hAnsi="仿宋" w:eastAsia="仿宋_GB2312"/>
          <w:bCs/>
          <w:spacing w:val="6"/>
          <w:sz w:val="30"/>
          <w:szCs w:val="30"/>
          <w:highlight w:val="none"/>
        </w:rPr>
        <w:t>行</w:t>
      </w:r>
      <w:r>
        <w:rPr>
          <w:rFonts w:hint="eastAsia" w:ascii="仿宋_GB2312" w:hAnsi="Calibri" w:eastAsia="仿宋_GB2312"/>
          <w:sz w:val="30"/>
          <w:szCs w:val="30"/>
          <w:highlight w:val="none"/>
        </w:rPr>
        <w:t>）期初数（</w:t>
      </w:r>
      <w:r>
        <w:rPr>
          <w:rFonts w:hint="eastAsia" w:ascii="仿宋_GB2312" w:hAnsi="仿宋" w:eastAsia="仿宋_GB2312"/>
          <w:bCs/>
          <w:spacing w:val="6"/>
          <w:sz w:val="30"/>
          <w:szCs w:val="30"/>
          <w:highlight w:val="none"/>
        </w:rPr>
        <w:t>1</w:t>
      </w:r>
      <w:r>
        <w:rPr>
          <w:rFonts w:hint="eastAsia" w:ascii="仿宋_GB2312" w:hAnsi="Calibri" w:eastAsia="仿宋_GB2312"/>
          <w:sz w:val="30"/>
          <w:szCs w:val="30"/>
          <w:highlight w:val="none"/>
        </w:rPr>
        <w:t>栏）</w:t>
      </w:r>
      <w:r>
        <w:rPr>
          <w:rFonts w:hint="eastAsia" w:ascii="仿宋_GB2312" w:hAnsi="仿宋" w:eastAsia="仿宋_GB2312"/>
          <w:bCs/>
          <w:spacing w:val="6"/>
          <w:sz w:val="30"/>
          <w:szCs w:val="30"/>
          <w:highlight w:val="none"/>
        </w:rPr>
        <w:t>；</w:t>
      </w:r>
    </w:p>
    <w:p w14:paraId="13E780A7">
      <w:pPr>
        <w:numPr>
          <w:ilvl w:val="0"/>
          <w:numId w:val="5"/>
        </w:numPr>
        <w:spacing w:line="360" w:lineRule="auto"/>
        <w:rPr>
          <w:rFonts w:hint="eastAsia" w:ascii="仿宋_GB2312" w:hAnsi="仿宋" w:eastAsia="仿宋_GB2312"/>
          <w:bCs/>
          <w:spacing w:val="6"/>
          <w:sz w:val="30"/>
          <w:szCs w:val="30"/>
          <w:highlight w:val="none"/>
        </w:rPr>
      </w:pPr>
      <w:r>
        <w:rPr>
          <w:rFonts w:hint="eastAsia" w:ascii="仿宋_GB2312" w:hAnsi="Calibri" w:eastAsia="仿宋_GB2312"/>
          <w:sz w:val="30"/>
          <w:szCs w:val="30"/>
          <w:highlight w:val="none"/>
        </w:rPr>
        <w:t>合计（1行）期初净值（</w:t>
      </w:r>
      <w:r>
        <w:rPr>
          <w:rFonts w:ascii="仿宋_GB2312" w:hAnsi="仿宋" w:eastAsia="仿宋_GB2312"/>
          <w:bCs/>
          <w:spacing w:val="6"/>
          <w:sz w:val="30"/>
          <w:szCs w:val="30"/>
          <w:highlight w:val="none"/>
        </w:rPr>
        <w:t>5</w:t>
      </w:r>
      <w:r>
        <w:rPr>
          <w:rFonts w:hint="eastAsia" w:ascii="仿宋_GB2312" w:hAnsi="Calibri" w:eastAsia="仿宋_GB2312"/>
          <w:sz w:val="30"/>
          <w:szCs w:val="30"/>
          <w:highlight w:val="none"/>
        </w:rPr>
        <w:t>栏）</w:t>
      </w:r>
      <w:r>
        <w:rPr>
          <w:rFonts w:hint="eastAsia" w:ascii="仿宋_GB2312" w:hAnsi="仿宋" w:eastAsia="仿宋_GB2312"/>
          <w:bCs/>
          <w:spacing w:val="6"/>
          <w:sz w:val="30"/>
          <w:szCs w:val="30"/>
          <w:highlight w:val="none"/>
        </w:rPr>
        <w:t>等于财资0</w:t>
      </w:r>
      <w:r>
        <w:rPr>
          <w:rFonts w:ascii="仿宋_GB2312" w:hAnsi="仿宋" w:eastAsia="仿宋_GB2312"/>
          <w:bCs/>
          <w:spacing w:val="6"/>
          <w:sz w:val="30"/>
          <w:szCs w:val="30"/>
          <w:highlight w:val="none"/>
        </w:rPr>
        <w:t>1</w:t>
      </w:r>
      <w:r>
        <w:rPr>
          <w:rFonts w:hint="eastAsia" w:ascii="仿宋_GB2312" w:hAnsi="仿宋" w:eastAsia="仿宋_GB2312"/>
          <w:bCs/>
          <w:spacing w:val="6"/>
          <w:sz w:val="30"/>
          <w:szCs w:val="30"/>
          <w:highlight w:val="none"/>
        </w:rPr>
        <w:t>表保障性住房净值</w:t>
      </w:r>
      <w:r>
        <w:rPr>
          <w:rFonts w:hint="eastAsia" w:ascii="仿宋_GB2312" w:hAnsi="Calibri" w:eastAsia="仿宋_GB2312"/>
          <w:sz w:val="30"/>
          <w:szCs w:val="30"/>
          <w:highlight w:val="none"/>
        </w:rPr>
        <w:t>（</w:t>
      </w:r>
      <w:r>
        <w:rPr>
          <w:rFonts w:hint="eastAsia" w:ascii="仿宋_GB2312" w:hAnsi="仿宋" w:eastAsia="仿宋_GB2312"/>
          <w:bCs/>
          <w:spacing w:val="6"/>
          <w:sz w:val="30"/>
          <w:szCs w:val="30"/>
          <w:highlight w:val="none"/>
        </w:rPr>
        <w:t>3</w:t>
      </w:r>
      <w:r>
        <w:rPr>
          <w:rFonts w:ascii="仿宋_GB2312" w:hAnsi="仿宋" w:eastAsia="仿宋_GB2312"/>
          <w:bCs/>
          <w:spacing w:val="6"/>
          <w:sz w:val="30"/>
          <w:szCs w:val="30"/>
          <w:highlight w:val="none"/>
        </w:rPr>
        <w:t>5</w:t>
      </w:r>
      <w:r>
        <w:rPr>
          <w:rFonts w:hint="eastAsia" w:ascii="仿宋_GB2312" w:hAnsi="仿宋" w:eastAsia="仿宋_GB2312"/>
          <w:bCs/>
          <w:spacing w:val="6"/>
          <w:sz w:val="30"/>
          <w:szCs w:val="30"/>
          <w:highlight w:val="none"/>
        </w:rPr>
        <w:t>行</w:t>
      </w:r>
      <w:r>
        <w:rPr>
          <w:rFonts w:hint="eastAsia" w:ascii="仿宋_GB2312" w:hAnsi="Calibri" w:eastAsia="仿宋_GB2312"/>
          <w:sz w:val="30"/>
          <w:szCs w:val="30"/>
          <w:highlight w:val="none"/>
        </w:rPr>
        <w:t>）期初数（</w:t>
      </w:r>
      <w:r>
        <w:rPr>
          <w:rFonts w:hint="eastAsia" w:ascii="仿宋_GB2312" w:hAnsi="仿宋" w:eastAsia="仿宋_GB2312"/>
          <w:bCs/>
          <w:spacing w:val="6"/>
          <w:sz w:val="30"/>
          <w:szCs w:val="30"/>
          <w:highlight w:val="none"/>
        </w:rPr>
        <w:t>1</w:t>
      </w:r>
      <w:r>
        <w:rPr>
          <w:rFonts w:hint="eastAsia" w:ascii="仿宋_GB2312" w:hAnsi="Calibri" w:eastAsia="仿宋_GB2312"/>
          <w:sz w:val="30"/>
          <w:szCs w:val="30"/>
          <w:highlight w:val="none"/>
        </w:rPr>
        <w:t>栏）</w:t>
      </w:r>
      <w:r>
        <w:rPr>
          <w:rFonts w:hint="eastAsia" w:ascii="仿宋_GB2312" w:hAnsi="仿宋" w:eastAsia="仿宋_GB2312"/>
          <w:bCs/>
          <w:spacing w:val="6"/>
          <w:sz w:val="30"/>
          <w:szCs w:val="30"/>
          <w:highlight w:val="none"/>
        </w:rPr>
        <w:t>；</w:t>
      </w:r>
    </w:p>
    <w:p w14:paraId="499F1A5C">
      <w:pPr>
        <w:numPr>
          <w:ilvl w:val="0"/>
          <w:numId w:val="5"/>
        </w:numPr>
        <w:spacing w:line="360" w:lineRule="auto"/>
        <w:rPr>
          <w:rFonts w:hint="eastAsia" w:ascii="仿宋_GB2312" w:hAnsi="仿宋" w:eastAsia="仿宋_GB2312"/>
          <w:bCs/>
          <w:spacing w:val="6"/>
          <w:sz w:val="30"/>
          <w:szCs w:val="30"/>
          <w:highlight w:val="none"/>
        </w:rPr>
      </w:pPr>
      <w:r>
        <w:rPr>
          <w:rFonts w:hint="eastAsia" w:ascii="仿宋_GB2312" w:hAnsi="Calibri" w:eastAsia="仿宋_GB2312"/>
          <w:sz w:val="30"/>
          <w:szCs w:val="30"/>
          <w:highlight w:val="none"/>
        </w:rPr>
        <w:t>合计（1行）期末原值（</w:t>
      </w:r>
      <w:r>
        <w:rPr>
          <w:rFonts w:ascii="仿宋_GB2312" w:hAnsi="仿宋" w:eastAsia="仿宋_GB2312"/>
          <w:bCs/>
          <w:spacing w:val="6"/>
          <w:sz w:val="30"/>
          <w:szCs w:val="30"/>
          <w:highlight w:val="none"/>
        </w:rPr>
        <w:t>9</w:t>
      </w:r>
      <w:r>
        <w:rPr>
          <w:rFonts w:hint="eastAsia" w:ascii="仿宋_GB2312" w:hAnsi="Calibri" w:eastAsia="仿宋_GB2312"/>
          <w:sz w:val="30"/>
          <w:szCs w:val="30"/>
          <w:highlight w:val="none"/>
        </w:rPr>
        <w:t>栏）</w:t>
      </w:r>
      <w:r>
        <w:rPr>
          <w:rFonts w:hint="eastAsia" w:ascii="仿宋_GB2312" w:hAnsi="仿宋" w:eastAsia="仿宋_GB2312"/>
          <w:bCs/>
          <w:spacing w:val="6"/>
          <w:sz w:val="30"/>
          <w:szCs w:val="30"/>
          <w:highlight w:val="none"/>
        </w:rPr>
        <w:t>等于财资0</w:t>
      </w:r>
      <w:r>
        <w:rPr>
          <w:rFonts w:ascii="仿宋_GB2312" w:hAnsi="仿宋" w:eastAsia="仿宋_GB2312"/>
          <w:bCs/>
          <w:spacing w:val="6"/>
          <w:sz w:val="30"/>
          <w:szCs w:val="30"/>
          <w:highlight w:val="none"/>
        </w:rPr>
        <w:t>1</w:t>
      </w:r>
      <w:r>
        <w:rPr>
          <w:rFonts w:hint="eastAsia" w:ascii="仿宋_GB2312" w:hAnsi="仿宋" w:eastAsia="仿宋_GB2312"/>
          <w:bCs/>
          <w:spacing w:val="6"/>
          <w:sz w:val="30"/>
          <w:szCs w:val="30"/>
          <w:highlight w:val="none"/>
        </w:rPr>
        <w:t>表保障性住房原值</w:t>
      </w:r>
      <w:r>
        <w:rPr>
          <w:rFonts w:hint="eastAsia" w:ascii="仿宋_GB2312" w:hAnsi="Calibri" w:eastAsia="仿宋_GB2312"/>
          <w:sz w:val="30"/>
          <w:szCs w:val="30"/>
          <w:highlight w:val="none"/>
        </w:rPr>
        <w:t>（</w:t>
      </w:r>
      <w:r>
        <w:rPr>
          <w:rFonts w:hint="eastAsia" w:ascii="仿宋_GB2312" w:hAnsi="仿宋" w:eastAsia="仿宋_GB2312"/>
          <w:bCs/>
          <w:spacing w:val="6"/>
          <w:sz w:val="30"/>
          <w:szCs w:val="30"/>
          <w:highlight w:val="none"/>
        </w:rPr>
        <w:t>3</w:t>
      </w:r>
      <w:r>
        <w:rPr>
          <w:rFonts w:ascii="仿宋_GB2312" w:hAnsi="仿宋" w:eastAsia="仿宋_GB2312"/>
          <w:bCs/>
          <w:spacing w:val="6"/>
          <w:sz w:val="30"/>
          <w:szCs w:val="30"/>
          <w:highlight w:val="none"/>
        </w:rPr>
        <w:t>3</w:t>
      </w:r>
      <w:r>
        <w:rPr>
          <w:rFonts w:hint="eastAsia" w:ascii="仿宋_GB2312" w:hAnsi="仿宋" w:eastAsia="仿宋_GB2312"/>
          <w:bCs/>
          <w:spacing w:val="6"/>
          <w:sz w:val="30"/>
          <w:szCs w:val="30"/>
          <w:highlight w:val="none"/>
        </w:rPr>
        <w:t>行</w:t>
      </w:r>
      <w:r>
        <w:rPr>
          <w:rFonts w:hint="eastAsia" w:ascii="仿宋_GB2312" w:hAnsi="Calibri" w:eastAsia="仿宋_GB2312"/>
          <w:sz w:val="30"/>
          <w:szCs w:val="30"/>
          <w:highlight w:val="none"/>
        </w:rPr>
        <w:t>）期末数（</w:t>
      </w:r>
      <w:r>
        <w:rPr>
          <w:rFonts w:ascii="仿宋_GB2312" w:hAnsi="仿宋" w:eastAsia="仿宋_GB2312"/>
          <w:bCs/>
          <w:spacing w:val="6"/>
          <w:sz w:val="30"/>
          <w:szCs w:val="30"/>
          <w:highlight w:val="none"/>
        </w:rPr>
        <w:t>2</w:t>
      </w:r>
      <w:r>
        <w:rPr>
          <w:rFonts w:hint="eastAsia" w:ascii="仿宋_GB2312" w:hAnsi="Calibri" w:eastAsia="仿宋_GB2312"/>
          <w:sz w:val="30"/>
          <w:szCs w:val="30"/>
          <w:highlight w:val="none"/>
        </w:rPr>
        <w:t>栏）</w:t>
      </w:r>
      <w:r>
        <w:rPr>
          <w:rFonts w:hint="eastAsia" w:ascii="仿宋_GB2312" w:hAnsi="仿宋" w:eastAsia="仿宋_GB2312"/>
          <w:bCs/>
          <w:spacing w:val="6"/>
          <w:sz w:val="30"/>
          <w:szCs w:val="30"/>
          <w:highlight w:val="none"/>
        </w:rPr>
        <w:t>；</w:t>
      </w:r>
    </w:p>
    <w:p w14:paraId="5D8A9F5C">
      <w:pPr>
        <w:numPr>
          <w:ilvl w:val="0"/>
          <w:numId w:val="5"/>
        </w:numPr>
        <w:spacing w:line="360" w:lineRule="auto"/>
        <w:rPr>
          <w:rFonts w:hint="eastAsia" w:ascii="仿宋_GB2312" w:hAnsi="仿宋" w:eastAsia="仿宋_GB2312"/>
          <w:bCs/>
          <w:spacing w:val="6"/>
          <w:sz w:val="30"/>
          <w:szCs w:val="30"/>
          <w:highlight w:val="none"/>
        </w:rPr>
      </w:pPr>
      <w:r>
        <w:rPr>
          <w:rFonts w:hint="eastAsia" w:ascii="仿宋_GB2312" w:hAnsi="Calibri" w:eastAsia="仿宋_GB2312"/>
          <w:sz w:val="30"/>
          <w:szCs w:val="30"/>
          <w:highlight w:val="none"/>
        </w:rPr>
        <w:t>合计（1行）期末累计折旧（</w:t>
      </w:r>
      <w:r>
        <w:rPr>
          <w:rFonts w:ascii="仿宋_GB2312" w:hAnsi="仿宋" w:eastAsia="仿宋_GB2312"/>
          <w:bCs/>
          <w:spacing w:val="6"/>
          <w:sz w:val="30"/>
          <w:szCs w:val="30"/>
          <w:highlight w:val="none"/>
        </w:rPr>
        <w:t>10</w:t>
      </w:r>
      <w:r>
        <w:rPr>
          <w:rFonts w:hint="eastAsia" w:ascii="仿宋_GB2312" w:hAnsi="Calibri" w:eastAsia="仿宋_GB2312"/>
          <w:sz w:val="30"/>
          <w:szCs w:val="30"/>
          <w:highlight w:val="none"/>
        </w:rPr>
        <w:t>栏）</w:t>
      </w:r>
      <w:r>
        <w:rPr>
          <w:rFonts w:hint="eastAsia" w:ascii="仿宋_GB2312" w:hAnsi="仿宋" w:eastAsia="仿宋_GB2312"/>
          <w:bCs/>
          <w:spacing w:val="6"/>
          <w:sz w:val="30"/>
          <w:szCs w:val="30"/>
          <w:highlight w:val="none"/>
        </w:rPr>
        <w:t>等于财资0</w:t>
      </w:r>
      <w:r>
        <w:rPr>
          <w:rFonts w:ascii="仿宋_GB2312" w:hAnsi="仿宋" w:eastAsia="仿宋_GB2312"/>
          <w:bCs/>
          <w:spacing w:val="6"/>
          <w:sz w:val="30"/>
          <w:szCs w:val="30"/>
          <w:highlight w:val="none"/>
        </w:rPr>
        <w:t>1</w:t>
      </w:r>
      <w:r>
        <w:rPr>
          <w:rFonts w:hint="eastAsia" w:ascii="仿宋_GB2312" w:hAnsi="仿宋" w:eastAsia="仿宋_GB2312"/>
          <w:bCs/>
          <w:spacing w:val="6"/>
          <w:sz w:val="30"/>
          <w:szCs w:val="30"/>
          <w:highlight w:val="none"/>
        </w:rPr>
        <w:t>表保障性住房累计折旧</w:t>
      </w:r>
      <w:r>
        <w:rPr>
          <w:rFonts w:hint="eastAsia" w:ascii="仿宋_GB2312" w:hAnsi="Calibri" w:eastAsia="仿宋_GB2312"/>
          <w:sz w:val="30"/>
          <w:szCs w:val="30"/>
          <w:highlight w:val="none"/>
        </w:rPr>
        <w:t>（</w:t>
      </w:r>
      <w:r>
        <w:rPr>
          <w:rFonts w:hint="eastAsia" w:ascii="仿宋_GB2312" w:hAnsi="仿宋" w:eastAsia="仿宋_GB2312"/>
          <w:bCs/>
          <w:spacing w:val="6"/>
          <w:sz w:val="30"/>
          <w:szCs w:val="30"/>
          <w:highlight w:val="none"/>
        </w:rPr>
        <w:t>3</w:t>
      </w:r>
      <w:r>
        <w:rPr>
          <w:rFonts w:ascii="仿宋_GB2312" w:hAnsi="仿宋" w:eastAsia="仿宋_GB2312"/>
          <w:bCs/>
          <w:spacing w:val="6"/>
          <w:sz w:val="30"/>
          <w:szCs w:val="30"/>
          <w:highlight w:val="none"/>
        </w:rPr>
        <w:t>4</w:t>
      </w:r>
      <w:r>
        <w:rPr>
          <w:rFonts w:hint="eastAsia" w:ascii="仿宋_GB2312" w:hAnsi="仿宋" w:eastAsia="仿宋_GB2312"/>
          <w:bCs/>
          <w:spacing w:val="6"/>
          <w:sz w:val="30"/>
          <w:szCs w:val="30"/>
          <w:highlight w:val="none"/>
        </w:rPr>
        <w:t>行</w:t>
      </w:r>
      <w:r>
        <w:rPr>
          <w:rFonts w:hint="eastAsia" w:ascii="仿宋_GB2312" w:hAnsi="Calibri" w:eastAsia="仿宋_GB2312"/>
          <w:sz w:val="30"/>
          <w:szCs w:val="30"/>
          <w:highlight w:val="none"/>
        </w:rPr>
        <w:t>）期末数（</w:t>
      </w:r>
      <w:r>
        <w:rPr>
          <w:rFonts w:ascii="仿宋_GB2312" w:hAnsi="仿宋" w:eastAsia="仿宋_GB2312"/>
          <w:bCs/>
          <w:spacing w:val="6"/>
          <w:sz w:val="30"/>
          <w:szCs w:val="30"/>
          <w:highlight w:val="none"/>
        </w:rPr>
        <w:t>2</w:t>
      </w:r>
      <w:r>
        <w:rPr>
          <w:rFonts w:hint="eastAsia" w:ascii="仿宋_GB2312" w:hAnsi="Calibri" w:eastAsia="仿宋_GB2312"/>
          <w:sz w:val="30"/>
          <w:szCs w:val="30"/>
          <w:highlight w:val="none"/>
        </w:rPr>
        <w:t>栏）</w:t>
      </w:r>
      <w:r>
        <w:rPr>
          <w:rFonts w:hint="eastAsia" w:ascii="仿宋_GB2312" w:hAnsi="仿宋" w:eastAsia="仿宋_GB2312"/>
          <w:bCs/>
          <w:spacing w:val="6"/>
          <w:sz w:val="30"/>
          <w:szCs w:val="30"/>
          <w:highlight w:val="none"/>
        </w:rPr>
        <w:t>；</w:t>
      </w:r>
    </w:p>
    <w:p w14:paraId="66EFACDF">
      <w:pPr>
        <w:numPr>
          <w:ilvl w:val="0"/>
          <w:numId w:val="5"/>
        </w:numPr>
        <w:spacing w:line="360" w:lineRule="auto"/>
        <w:rPr>
          <w:rFonts w:hint="eastAsia" w:ascii="仿宋_GB2312" w:hAnsi="仿宋" w:eastAsia="仿宋_GB2312"/>
          <w:bCs/>
          <w:spacing w:val="6"/>
          <w:sz w:val="30"/>
          <w:szCs w:val="30"/>
          <w:highlight w:val="none"/>
        </w:rPr>
      </w:pPr>
      <w:r>
        <w:rPr>
          <w:rFonts w:hint="eastAsia" w:ascii="仿宋_GB2312" w:hAnsi="Calibri" w:eastAsia="仿宋_GB2312"/>
          <w:sz w:val="30"/>
          <w:szCs w:val="30"/>
          <w:highlight w:val="none"/>
        </w:rPr>
        <w:t>合计（1行）期末净值（</w:t>
      </w:r>
      <w:r>
        <w:rPr>
          <w:rFonts w:ascii="仿宋_GB2312" w:hAnsi="仿宋" w:eastAsia="仿宋_GB2312"/>
          <w:bCs/>
          <w:spacing w:val="6"/>
          <w:sz w:val="30"/>
          <w:szCs w:val="30"/>
          <w:highlight w:val="none"/>
        </w:rPr>
        <w:t>11</w:t>
      </w:r>
      <w:r>
        <w:rPr>
          <w:rFonts w:hint="eastAsia" w:ascii="仿宋_GB2312" w:hAnsi="Calibri" w:eastAsia="仿宋_GB2312"/>
          <w:sz w:val="30"/>
          <w:szCs w:val="30"/>
          <w:highlight w:val="none"/>
        </w:rPr>
        <w:t>栏）</w:t>
      </w:r>
      <w:r>
        <w:rPr>
          <w:rFonts w:hint="eastAsia" w:ascii="仿宋_GB2312" w:hAnsi="仿宋" w:eastAsia="仿宋_GB2312"/>
          <w:bCs/>
          <w:spacing w:val="6"/>
          <w:sz w:val="30"/>
          <w:szCs w:val="30"/>
          <w:highlight w:val="none"/>
        </w:rPr>
        <w:t>等于财资0</w:t>
      </w:r>
      <w:r>
        <w:rPr>
          <w:rFonts w:ascii="仿宋_GB2312" w:hAnsi="仿宋" w:eastAsia="仿宋_GB2312"/>
          <w:bCs/>
          <w:spacing w:val="6"/>
          <w:sz w:val="30"/>
          <w:szCs w:val="30"/>
          <w:highlight w:val="none"/>
        </w:rPr>
        <w:t>1</w:t>
      </w:r>
      <w:r>
        <w:rPr>
          <w:rFonts w:hint="eastAsia" w:ascii="仿宋_GB2312" w:hAnsi="仿宋" w:eastAsia="仿宋_GB2312"/>
          <w:bCs/>
          <w:spacing w:val="6"/>
          <w:sz w:val="30"/>
          <w:szCs w:val="30"/>
          <w:highlight w:val="none"/>
        </w:rPr>
        <w:t>表保障性住房净值</w:t>
      </w:r>
      <w:r>
        <w:rPr>
          <w:rFonts w:hint="eastAsia" w:ascii="仿宋_GB2312" w:hAnsi="Calibri" w:eastAsia="仿宋_GB2312"/>
          <w:sz w:val="30"/>
          <w:szCs w:val="30"/>
          <w:highlight w:val="none"/>
        </w:rPr>
        <w:t>（</w:t>
      </w:r>
      <w:r>
        <w:rPr>
          <w:rFonts w:hint="eastAsia" w:ascii="仿宋_GB2312" w:hAnsi="仿宋" w:eastAsia="仿宋_GB2312"/>
          <w:bCs/>
          <w:spacing w:val="6"/>
          <w:sz w:val="30"/>
          <w:szCs w:val="30"/>
          <w:highlight w:val="none"/>
        </w:rPr>
        <w:t>3</w:t>
      </w:r>
      <w:r>
        <w:rPr>
          <w:rFonts w:ascii="仿宋_GB2312" w:hAnsi="仿宋" w:eastAsia="仿宋_GB2312"/>
          <w:bCs/>
          <w:spacing w:val="6"/>
          <w:sz w:val="30"/>
          <w:szCs w:val="30"/>
          <w:highlight w:val="none"/>
        </w:rPr>
        <w:t>5</w:t>
      </w:r>
      <w:r>
        <w:rPr>
          <w:rFonts w:hint="eastAsia" w:ascii="仿宋_GB2312" w:hAnsi="仿宋" w:eastAsia="仿宋_GB2312"/>
          <w:bCs/>
          <w:spacing w:val="6"/>
          <w:sz w:val="30"/>
          <w:szCs w:val="30"/>
          <w:highlight w:val="none"/>
        </w:rPr>
        <w:t>行</w:t>
      </w:r>
      <w:r>
        <w:rPr>
          <w:rFonts w:hint="eastAsia" w:ascii="仿宋_GB2312" w:hAnsi="Calibri" w:eastAsia="仿宋_GB2312"/>
          <w:sz w:val="30"/>
          <w:szCs w:val="30"/>
          <w:highlight w:val="none"/>
        </w:rPr>
        <w:t>）期末数（</w:t>
      </w:r>
      <w:r>
        <w:rPr>
          <w:rFonts w:ascii="仿宋_GB2312" w:hAnsi="仿宋" w:eastAsia="仿宋_GB2312"/>
          <w:bCs/>
          <w:spacing w:val="6"/>
          <w:sz w:val="30"/>
          <w:szCs w:val="30"/>
          <w:highlight w:val="none"/>
        </w:rPr>
        <w:t>2</w:t>
      </w:r>
      <w:r>
        <w:rPr>
          <w:rFonts w:hint="eastAsia" w:ascii="仿宋_GB2312" w:hAnsi="Calibri" w:eastAsia="仿宋_GB2312"/>
          <w:sz w:val="30"/>
          <w:szCs w:val="30"/>
          <w:highlight w:val="none"/>
        </w:rPr>
        <w:t>栏）</w:t>
      </w:r>
      <w:r>
        <w:rPr>
          <w:rFonts w:hint="eastAsia" w:ascii="仿宋_GB2312" w:hAnsi="仿宋" w:eastAsia="仿宋_GB2312"/>
          <w:bCs/>
          <w:spacing w:val="6"/>
          <w:sz w:val="30"/>
          <w:szCs w:val="30"/>
          <w:highlight w:val="none"/>
        </w:rPr>
        <w:t>。</w:t>
      </w:r>
    </w:p>
    <w:p w14:paraId="6593FDA0">
      <w:pPr>
        <w:snapToGrid w:val="0"/>
        <w:spacing w:line="360" w:lineRule="auto"/>
        <w:ind w:firstLine="626" w:firstLineChars="200"/>
        <w:rPr>
          <w:rFonts w:hint="eastAsia" w:ascii="仿宋_GB2312" w:hAnsi="仿宋" w:eastAsia="仿宋_GB2312"/>
          <w:b/>
          <w:spacing w:val="6"/>
          <w:sz w:val="30"/>
          <w:szCs w:val="30"/>
          <w:highlight w:val="none"/>
        </w:rPr>
      </w:pPr>
      <w:r>
        <w:rPr>
          <w:rFonts w:hint="eastAsia" w:ascii="仿宋_GB2312" w:hAnsi="仿宋" w:eastAsia="仿宋_GB2312"/>
          <w:b/>
          <w:spacing w:val="6"/>
          <w:sz w:val="30"/>
          <w:szCs w:val="30"/>
          <w:highlight w:val="none"/>
        </w:rPr>
        <w:t>核实性公式：</w:t>
      </w:r>
    </w:p>
    <w:p w14:paraId="669E843F">
      <w:pPr>
        <w:numPr>
          <w:ilvl w:val="0"/>
          <w:numId w:val="2"/>
        </w:numPr>
        <w:adjustRightInd w:val="0"/>
        <w:snapToGrid w:val="0"/>
        <w:spacing w:line="360" w:lineRule="auto"/>
        <w:ind w:left="0" w:firstLine="600"/>
        <w:rPr>
          <w:rFonts w:hint="eastAsia" w:hAnsi="仿宋"/>
          <w:sz w:val="30"/>
          <w:szCs w:val="30"/>
          <w:highlight w:val="none"/>
        </w:rPr>
      </w:pPr>
      <w:r>
        <w:rPr>
          <w:rFonts w:hint="eastAsia" w:ascii="仿宋_GB2312" w:hAnsi="仿宋" w:eastAsia="仿宋_GB2312"/>
          <w:sz w:val="30"/>
          <w:szCs w:val="30"/>
          <w:highlight w:val="none"/>
        </w:rPr>
        <w:t>公租房</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2行）、经济适用房（3行）、保障性租赁住房（4行）、共有产权住房（5行）的套数（2栏）和净值（5栏）</w:t>
      </w:r>
      <w:r>
        <w:rPr>
          <w:rFonts w:hint="eastAsia" w:ascii="仿宋_GB2312" w:hAnsi="仿宋" w:eastAsia="仿宋_GB2312"/>
          <w:sz w:val="30"/>
          <w:szCs w:val="30"/>
          <w:highlight w:val="none"/>
        </w:rPr>
        <w:t>本期期初数等于上年财资15表期末数量，否则提示核实性错误，填写情况说明；</w:t>
      </w:r>
    </w:p>
    <w:p w14:paraId="62143D18">
      <w:pPr>
        <w:pStyle w:val="6"/>
        <w:numPr>
          <w:ilvl w:val="0"/>
          <w:numId w:val="8"/>
        </w:numPr>
        <w:spacing w:line="360" w:lineRule="auto"/>
        <w:ind w:left="16" w:firstLine="560" w:firstLineChars="0"/>
        <w:rPr>
          <w:rFonts w:hint="eastAsia" w:hAnsi="仿宋"/>
          <w:sz w:val="30"/>
          <w:szCs w:val="30"/>
          <w:highlight w:val="none"/>
        </w:rPr>
      </w:pPr>
      <w:r>
        <w:rPr>
          <w:rFonts w:hint="eastAsia" w:hAnsi="仿宋"/>
          <w:sz w:val="30"/>
          <w:szCs w:val="30"/>
          <w:highlight w:val="none"/>
        </w:rPr>
        <w:t>套数</w:t>
      </w:r>
      <w:r>
        <w:rPr>
          <w:rFonts w:hint="eastAsia" w:hAnsi="Calibri"/>
          <w:sz w:val="30"/>
          <w:szCs w:val="30"/>
          <w:highlight w:val="none"/>
        </w:rPr>
        <w:t>（</w:t>
      </w:r>
      <w:r>
        <w:rPr>
          <w:rFonts w:hAnsi="仿宋"/>
          <w:sz w:val="30"/>
          <w:szCs w:val="30"/>
          <w:highlight w:val="none"/>
        </w:rPr>
        <w:t>2</w:t>
      </w:r>
      <w:r>
        <w:rPr>
          <w:rFonts w:hint="eastAsia" w:hAnsi="仿宋"/>
          <w:sz w:val="30"/>
          <w:szCs w:val="30"/>
          <w:highlight w:val="none"/>
        </w:rPr>
        <w:t>、</w:t>
      </w:r>
      <w:r>
        <w:rPr>
          <w:rFonts w:hAnsi="仿宋"/>
          <w:sz w:val="30"/>
          <w:szCs w:val="30"/>
          <w:highlight w:val="none"/>
        </w:rPr>
        <w:t>7</w:t>
      </w:r>
      <w:r>
        <w:rPr>
          <w:rFonts w:hint="eastAsia" w:hAnsi="仿宋"/>
          <w:sz w:val="30"/>
          <w:szCs w:val="30"/>
          <w:highlight w:val="none"/>
        </w:rPr>
        <w:t>栏</w:t>
      </w:r>
      <w:r>
        <w:rPr>
          <w:rFonts w:hint="eastAsia" w:hAnsi="Calibri"/>
          <w:sz w:val="30"/>
          <w:szCs w:val="30"/>
          <w:highlight w:val="none"/>
        </w:rPr>
        <w:t>）</w:t>
      </w:r>
      <w:r>
        <w:rPr>
          <w:rFonts w:hint="eastAsia" w:hAnsi="仿宋"/>
          <w:sz w:val="30"/>
          <w:szCs w:val="30"/>
          <w:highlight w:val="none"/>
        </w:rPr>
        <w:t>大于</w:t>
      </w:r>
      <w:r>
        <w:rPr>
          <w:rFonts w:hAnsi="仿宋"/>
          <w:sz w:val="30"/>
          <w:szCs w:val="30"/>
          <w:highlight w:val="none"/>
        </w:rPr>
        <w:t>0</w:t>
      </w:r>
      <w:r>
        <w:rPr>
          <w:rFonts w:hint="eastAsia" w:hAnsi="仿宋"/>
          <w:sz w:val="30"/>
          <w:szCs w:val="30"/>
          <w:highlight w:val="none"/>
          <w:lang w:eastAsia="zh-CN"/>
        </w:rPr>
        <w:t>，</w:t>
      </w:r>
      <w:r>
        <w:rPr>
          <w:rFonts w:hint="eastAsia" w:hAnsi="仿宋"/>
          <w:sz w:val="30"/>
          <w:szCs w:val="30"/>
          <w:highlight w:val="none"/>
        </w:rPr>
        <w:t>则价值（</w:t>
      </w:r>
      <w:r>
        <w:rPr>
          <w:rFonts w:hAnsi="仿宋"/>
          <w:sz w:val="30"/>
          <w:szCs w:val="30"/>
          <w:highlight w:val="none"/>
        </w:rPr>
        <w:t>3</w:t>
      </w:r>
      <w:r>
        <w:rPr>
          <w:rFonts w:hint="eastAsia" w:hAnsi="仿宋"/>
          <w:sz w:val="30"/>
          <w:szCs w:val="30"/>
          <w:highlight w:val="none"/>
        </w:rPr>
        <w:t>、5、</w:t>
      </w:r>
      <w:r>
        <w:rPr>
          <w:rFonts w:hint="eastAsia" w:hAnsi="仿宋"/>
          <w:sz w:val="30"/>
          <w:szCs w:val="30"/>
          <w:highlight w:val="none"/>
          <w:lang w:val="en-US" w:eastAsia="zh-CN"/>
        </w:rPr>
        <w:t>9、</w:t>
      </w:r>
      <w:r>
        <w:rPr>
          <w:rFonts w:hint="eastAsia" w:hAnsi="仿宋"/>
          <w:sz w:val="30"/>
          <w:szCs w:val="30"/>
          <w:highlight w:val="none"/>
        </w:rPr>
        <w:t>11栏）大于1000</w:t>
      </w:r>
      <w:r>
        <w:rPr>
          <w:rFonts w:hint="eastAsia" w:hAnsi="仿宋"/>
          <w:sz w:val="30"/>
          <w:szCs w:val="30"/>
          <w:highlight w:val="none"/>
          <w:lang w:eastAsia="zh-CN"/>
        </w:rPr>
        <w:t>，</w:t>
      </w:r>
      <w:r>
        <w:rPr>
          <w:rFonts w:hint="eastAsia" w:hAnsi="仿宋"/>
          <w:sz w:val="30"/>
          <w:szCs w:val="30"/>
          <w:highlight w:val="none"/>
        </w:rPr>
        <w:t>否则提示核实性错误，需结合实际情况修改或填写情况说明；</w:t>
      </w:r>
    </w:p>
    <w:p w14:paraId="4DB4D368">
      <w:pPr>
        <w:pStyle w:val="6"/>
        <w:numPr>
          <w:ilvl w:val="0"/>
          <w:numId w:val="8"/>
        </w:numPr>
        <w:tabs>
          <w:tab w:val="left" w:pos="840"/>
        </w:tabs>
        <w:spacing w:line="360" w:lineRule="auto"/>
        <w:ind w:left="16" w:firstLine="560" w:firstLineChars="0"/>
        <w:rPr>
          <w:rFonts w:hint="eastAsia" w:hAnsi="仿宋"/>
          <w:sz w:val="30"/>
          <w:szCs w:val="30"/>
          <w:highlight w:val="none"/>
        </w:rPr>
      </w:pPr>
      <w:r>
        <w:rPr>
          <w:rFonts w:hint="eastAsia" w:hAnsi="仿宋"/>
          <w:sz w:val="30"/>
          <w:szCs w:val="30"/>
          <w:highlight w:val="none"/>
        </w:rPr>
        <w:t>原值（</w:t>
      </w:r>
      <w:r>
        <w:rPr>
          <w:rFonts w:hAnsi="仿宋"/>
          <w:sz w:val="30"/>
          <w:szCs w:val="30"/>
          <w:highlight w:val="none"/>
        </w:rPr>
        <w:t>3</w:t>
      </w:r>
      <w:r>
        <w:rPr>
          <w:rFonts w:hint="eastAsia" w:hAnsi="仿宋"/>
          <w:sz w:val="30"/>
          <w:szCs w:val="30"/>
          <w:highlight w:val="none"/>
        </w:rPr>
        <w:t>、</w:t>
      </w:r>
      <w:r>
        <w:rPr>
          <w:rFonts w:hAnsi="仿宋"/>
          <w:sz w:val="30"/>
          <w:szCs w:val="30"/>
          <w:highlight w:val="none"/>
        </w:rPr>
        <w:t>9</w:t>
      </w:r>
      <w:r>
        <w:rPr>
          <w:rFonts w:hint="eastAsia" w:hAnsi="仿宋"/>
          <w:sz w:val="30"/>
          <w:szCs w:val="30"/>
          <w:highlight w:val="none"/>
        </w:rPr>
        <w:t>栏）大于</w:t>
      </w:r>
      <w:r>
        <w:rPr>
          <w:rFonts w:hAnsi="仿宋"/>
          <w:sz w:val="30"/>
          <w:szCs w:val="30"/>
          <w:highlight w:val="none"/>
        </w:rPr>
        <w:t>0</w:t>
      </w:r>
      <w:r>
        <w:rPr>
          <w:rFonts w:hint="eastAsia" w:hAnsi="仿宋"/>
          <w:sz w:val="30"/>
          <w:szCs w:val="30"/>
          <w:highlight w:val="none"/>
          <w:lang w:eastAsia="zh-CN"/>
        </w:rPr>
        <w:t>，</w:t>
      </w:r>
      <w:r>
        <w:rPr>
          <w:rFonts w:hint="eastAsia" w:hAnsi="仿宋"/>
          <w:sz w:val="30"/>
          <w:szCs w:val="30"/>
          <w:highlight w:val="none"/>
        </w:rPr>
        <w:t>则套数（</w:t>
      </w:r>
      <w:r>
        <w:rPr>
          <w:rFonts w:hAnsi="仿宋"/>
          <w:sz w:val="30"/>
          <w:szCs w:val="30"/>
          <w:highlight w:val="none"/>
        </w:rPr>
        <w:t>2</w:t>
      </w:r>
      <w:r>
        <w:rPr>
          <w:rFonts w:hint="eastAsia" w:hAnsi="仿宋"/>
          <w:sz w:val="30"/>
          <w:szCs w:val="30"/>
          <w:highlight w:val="none"/>
        </w:rPr>
        <w:t>、</w:t>
      </w:r>
      <w:r>
        <w:rPr>
          <w:rFonts w:hAnsi="仿宋"/>
          <w:sz w:val="30"/>
          <w:szCs w:val="30"/>
          <w:highlight w:val="none"/>
        </w:rPr>
        <w:t>7</w:t>
      </w:r>
      <w:r>
        <w:rPr>
          <w:rFonts w:hint="eastAsia" w:hAnsi="仿宋"/>
          <w:sz w:val="30"/>
          <w:szCs w:val="30"/>
          <w:highlight w:val="none"/>
        </w:rPr>
        <w:t>栏）大于</w:t>
      </w:r>
      <w:r>
        <w:rPr>
          <w:rFonts w:hAnsi="仿宋"/>
          <w:sz w:val="30"/>
          <w:szCs w:val="30"/>
          <w:highlight w:val="none"/>
        </w:rPr>
        <w:t>0</w:t>
      </w:r>
      <w:r>
        <w:rPr>
          <w:rFonts w:hint="eastAsia" w:hAnsi="仿宋"/>
          <w:sz w:val="30"/>
          <w:szCs w:val="30"/>
          <w:highlight w:val="none"/>
        </w:rPr>
        <w:t>，否则提示核实性错误，需结合实际情况修改或填写情况说明；</w:t>
      </w:r>
    </w:p>
    <w:p w14:paraId="6204AF77">
      <w:pPr>
        <w:pStyle w:val="6"/>
        <w:numPr>
          <w:ilvl w:val="0"/>
          <w:numId w:val="8"/>
        </w:numPr>
        <w:spacing w:line="360" w:lineRule="auto"/>
        <w:ind w:left="16" w:firstLine="560" w:firstLineChars="0"/>
        <w:rPr>
          <w:rFonts w:hint="eastAsia" w:hAnsi="仿宋"/>
          <w:sz w:val="30"/>
          <w:szCs w:val="30"/>
          <w:highlight w:val="none"/>
        </w:rPr>
      </w:pPr>
      <w:r>
        <w:rPr>
          <w:rFonts w:hint="eastAsia" w:hAnsi="仿宋"/>
          <w:sz w:val="30"/>
          <w:szCs w:val="30"/>
          <w:highlight w:val="none"/>
        </w:rPr>
        <w:t>原值（</w:t>
      </w:r>
      <w:r>
        <w:rPr>
          <w:rFonts w:hAnsi="仿宋"/>
          <w:sz w:val="30"/>
          <w:szCs w:val="30"/>
          <w:highlight w:val="none"/>
        </w:rPr>
        <w:t>3</w:t>
      </w:r>
      <w:r>
        <w:rPr>
          <w:rFonts w:hint="eastAsia" w:hAnsi="仿宋"/>
          <w:sz w:val="30"/>
          <w:szCs w:val="30"/>
          <w:highlight w:val="none"/>
        </w:rPr>
        <w:t>、</w:t>
      </w:r>
      <w:r>
        <w:rPr>
          <w:rFonts w:hAnsi="仿宋"/>
          <w:sz w:val="30"/>
          <w:szCs w:val="30"/>
          <w:highlight w:val="none"/>
        </w:rPr>
        <w:t>9</w:t>
      </w:r>
      <w:r>
        <w:rPr>
          <w:rFonts w:hint="eastAsia" w:hAnsi="仿宋"/>
          <w:sz w:val="30"/>
          <w:szCs w:val="30"/>
          <w:highlight w:val="none"/>
        </w:rPr>
        <w:t>栏）大于0</w:t>
      </w:r>
      <w:r>
        <w:rPr>
          <w:rFonts w:hint="eastAsia" w:hAnsi="仿宋"/>
          <w:sz w:val="30"/>
          <w:szCs w:val="30"/>
          <w:highlight w:val="none"/>
          <w:lang w:eastAsia="zh-CN"/>
        </w:rPr>
        <w:t>，</w:t>
      </w:r>
      <w:r>
        <w:rPr>
          <w:rFonts w:hint="eastAsia" w:hAnsi="仿宋"/>
          <w:sz w:val="30"/>
          <w:szCs w:val="30"/>
          <w:highlight w:val="none"/>
        </w:rPr>
        <w:t>则净值（5、11栏）大于0，否则提示核实性错误，需结合实际情况修改或填写情况说明；</w:t>
      </w:r>
    </w:p>
    <w:p w14:paraId="32B1B19C">
      <w:pPr>
        <w:numPr>
          <w:ilvl w:val="0"/>
          <w:numId w:val="5"/>
        </w:numPr>
        <w:spacing w:line="360" w:lineRule="auto"/>
        <w:rPr>
          <w:rFonts w:ascii="仿宋_GB2312" w:hAnsi="Calibri" w:eastAsia="仿宋_GB2312"/>
          <w:sz w:val="30"/>
          <w:szCs w:val="30"/>
          <w:highlight w:val="none"/>
        </w:rPr>
      </w:pPr>
      <w:r>
        <w:rPr>
          <w:rFonts w:hint="eastAsia" w:ascii="仿宋_GB2312" w:hAnsi="Calibri" w:eastAsia="仿宋_GB2312"/>
          <w:sz w:val="30"/>
          <w:szCs w:val="30"/>
          <w:highlight w:val="none"/>
        </w:rPr>
        <w:t>平均每套房面积（1栏/2栏或6栏/7栏）应小于等于200，否则提示核实性错误，需结合实际情况修改或填写情况说明；</w:t>
      </w:r>
    </w:p>
    <w:p w14:paraId="5896C816">
      <w:pPr>
        <w:numPr>
          <w:ilvl w:val="0"/>
          <w:numId w:val="5"/>
        </w:numPr>
        <w:spacing w:line="360" w:lineRule="auto"/>
        <w:ind w:firstLine="600" w:firstLineChars="200"/>
        <w:rPr>
          <w:rFonts w:ascii="仿宋_GB2312" w:hAnsi="Calibri" w:eastAsia="仿宋_GB2312"/>
          <w:sz w:val="30"/>
          <w:szCs w:val="30"/>
          <w:highlight w:val="none"/>
        </w:rPr>
      </w:pPr>
      <w:r>
        <w:rPr>
          <w:rFonts w:hint="eastAsia" w:ascii="仿宋_GB2312" w:hAnsi="Calibri" w:eastAsia="仿宋_GB2312"/>
          <w:sz w:val="30"/>
          <w:szCs w:val="30"/>
          <w:highlight w:val="none"/>
        </w:rPr>
        <w:t>平均每平方米价格（3栏/1栏或9栏/6栏）应大于等于1000，小于等于100000，否则提示核实性错误，需结合实际情况修改或填写情况说明；</w:t>
      </w:r>
    </w:p>
    <w:p w14:paraId="5A753408">
      <w:pPr>
        <w:numPr>
          <w:ilvl w:val="0"/>
          <w:numId w:val="5"/>
        </w:numPr>
        <w:spacing w:line="360" w:lineRule="auto"/>
        <w:ind w:firstLine="600" w:firstLineChars="200"/>
        <w:rPr>
          <w:rFonts w:ascii="仿宋_GB2312" w:eastAsia="仿宋_GB2312"/>
          <w:sz w:val="30"/>
          <w:szCs w:val="30"/>
          <w:highlight w:val="none"/>
        </w:rPr>
      </w:pPr>
      <w:r>
        <w:rPr>
          <w:rFonts w:hint="eastAsia" w:ascii="仿宋_GB2312" w:hAnsi="Calibri" w:eastAsia="仿宋_GB2312"/>
          <w:sz w:val="30"/>
          <w:szCs w:val="30"/>
          <w:highlight w:val="none"/>
        </w:rPr>
        <w:t>每套房均价（3栏/2栏或9栏/7栏）应大于等于30000，小于等于10000000，否则提示核实性错误，需结合实际情况修改或填写情况说明。</w:t>
      </w:r>
    </w:p>
    <w:p w14:paraId="08EBB0DB">
      <w:pPr>
        <w:pStyle w:val="2"/>
        <w:rPr>
          <w:rFonts w:hint="eastAsia"/>
          <w:b/>
          <w:color w:val="auto"/>
          <w:highlight w:val="none"/>
        </w:rPr>
      </w:pPr>
      <w:r>
        <w:rPr>
          <w:rFonts w:hint="eastAsia"/>
          <w:color w:val="auto"/>
          <w:highlight w:val="none"/>
        </w:rPr>
        <w:t>（</w:t>
      </w:r>
      <w:r>
        <w:rPr>
          <w:rFonts w:hint="eastAsia"/>
          <w:color w:val="auto"/>
          <w:highlight w:val="none"/>
          <w:lang w:val="en-US" w:eastAsia="zh-CN"/>
        </w:rPr>
        <w:t>二十</w:t>
      </w:r>
      <w:r>
        <w:rPr>
          <w:rFonts w:hint="eastAsia"/>
          <w:color w:val="auto"/>
          <w:highlight w:val="none"/>
        </w:rPr>
        <w:t>）</w:t>
      </w:r>
      <w:r>
        <w:rPr>
          <w:rFonts w:hint="eastAsia"/>
          <w:color w:val="auto"/>
          <w:highlight w:val="none"/>
          <w:lang w:val="en-US" w:eastAsia="zh-CN"/>
        </w:rPr>
        <w:t>资产盘活情况表</w:t>
      </w:r>
      <w:r>
        <w:rPr>
          <w:rFonts w:hint="eastAsia"/>
          <w:color w:val="auto"/>
          <w:highlight w:val="none"/>
        </w:rPr>
        <w:t>（财资</w:t>
      </w:r>
      <w:r>
        <w:rPr>
          <w:rFonts w:hint="eastAsia"/>
          <w:color w:val="auto"/>
          <w:highlight w:val="none"/>
          <w:lang w:val="en-US" w:eastAsia="zh-CN"/>
        </w:rPr>
        <w:t>附01表</w:t>
      </w:r>
      <w:r>
        <w:rPr>
          <w:rFonts w:hint="eastAsia"/>
          <w:color w:val="auto"/>
          <w:highlight w:val="none"/>
        </w:rPr>
        <w:t>）</w:t>
      </w:r>
    </w:p>
    <w:p w14:paraId="575ED0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600" w:firstLineChars="200"/>
        <w:textAlignment w:val="auto"/>
        <w:rPr>
          <w:rFonts w:hint="eastAsia" w:ascii="仿宋_GB2312" w:hAnsi="Calibri" w:eastAsia="仿宋_GB2312"/>
          <w:sz w:val="30"/>
          <w:szCs w:val="30"/>
          <w:highlight w:val="none"/>
          <w:lang w:val="en-US" w:eastAsia="zh-CN"/>
        </w:rPr>
      </w:pPr>
      <w:r>
        <w:rPr>
          <w:rFonts w:hint="eastAsia" w:ascii="仿宋_GB2312" w:hAnsi="宋体" w:eastAsia="仿宋_GB2312"/>
          <w:sz w:val="30"/>
          <w:szCs w:val="30"/>
          <w:highlight w:val="none"/>
        </w:rPr>
        <w:t>本表反映行政事业单位</w:t>
      </w:r>
      <w:r>
        <w:rPr>
          <w:rFonts w:hint="eastAsia" w:ascii="仿宋_GB2312" w:hAnsi="宋体" w:eastAsia="仿宋_GB2312"/>
          <w:sz w:val="30"/>
          <w:szCs w:val="30"/>
          <w:highlight w:val="none"/>
          <w:lang w:val="en-US" w:eastAsia="zh-CN"/>
        </w:rPr>
        <w:t>资产盘活情况，单位根据实际情况，</w:t>
      </w:r>
      <w:r>
        <w:rPr>
          <w:rFonts w:hint="eastAsia" w:ascii="仿宋_GB2312" w:hAnsi="Calibri" w:eastAsia="仿宋_GB2312"/>
          <w:sz w:val="30"/>
          <w:szCs w:val="30"/>
          <w:highlight w:val="none"/>
          <w:lang w:val="en-US" w:eastAsia="zh-CN"/>
        </w:rPr>
        <w:t>按照盘活方式划分为内部挖潜、共享共用、调剂利用（无偿划转）、对外出租、转让（出售）、其他方式等进行手动填报。</w:t>
      </w:r>
    </w:p>
    <w:p w14:paraId="3F9AC9D7">
      <w:pPr>
        <w:spacing w:line="360" w:lineRule="auto"/>
        <w:ind w:firstLine="578" w:firstLineChars="192"/>
        <w:rPr>
          <w:rFonts w:hint="eastAsia" w:ascii="仿宋_GB2312" w:eastAsia="仿宋_GB2312"/>
          <w:b/>
          <w:sz w:val="30"/>
          <w:szCs w:val="30"/>
          <w:highlight w:val="none"/>
          <w:lang w:val="en-US" w:eastAsia="zh-CN"/>
        </w:rPr>
      </w:pPr>
      <w:r>
        <w:rPr>
          <w:rFonts w:hint="eastAsia" w:ascii="仿宋_GB2312" w:eastAsia="仿宋_GB2312"/>
          <w:b/>
          <w:sz w:val="30"/>
          <w:szCs w:val="30"/>
          <w:highlight w:val="none"/>
          <w:lang w:val="en-US" w:eastAsia="zh-CN"/>
        </w:rPr>
        <w:t>主要指标解释：</w:t>
      </w:r>
    </w:p>
    <w:p w14:paraId="21CF7B1D">
      <w:pPr>
        <w:spacing w:line="360" w:lineRule="auto"/>
        <w:ind w:firstLine="576" w:firstLineChars="192"/>
        <w:rPr>
          <w:rFonts w:hint="default" w:ascii="仿宋_GB2312" w:hAnsi="Calibri" w:eastAsia="仿宋_GB2312"/>
          <w:b w:val="0"/>
          <w:bCs/>
          <w:sz w:val="30"/>
          <w:szCs w:val="30"/>
          <w:highlight w:val="none"/>
          <w:lang w:val="en-US" w:eastAsia="zh-CN"/>
        </w:rPr>
      </w:pPr>
      <w:r>
        <w:rPr>
          <w:rFonts w:hint="eastAsia" w:ascii="仿宋_GB2312" w:eastAsia="仿宋_GB2312"/>
          <w:b w:val="0"/>
          <w:bCs/>
          <w:sz w:val="30"/>
          <w:szCs w:val="30"/>
          <w:highlight w:val="none"/>
          <w:lang w:val="en-US" w:eastAsia="zh-CN"/>
        </w:rPr>
        <w:t>1.内部挖潜：</w:t>
      </w:r>
      <w:r>
        <w:rPr>
          <w:rFonts w:hint="eastAsia" w:ascii="仿宋_GB2312" w:hAnsi="Calibri" w:eastAsia="仿宋_GB2312"/>
          <w:b w:val="0"/>
          <w:bCs/>
          <w:sz w:val="30"/>
          <w:szCs w:val="30"/>
          <w:highlight w:val="none"/>
          <w:lang w:val="en-US" w:eastAsia="zh-CN"/>
        </w:rPr>
        <w:t>指单位内部以挖潜利用的方式盘活资产的行为。</w:t>
      </w:r>
    </w:p>
    <w:p w14:paraId="485C249D">
      <w:pPr>
        <w:spacing w:line="360" w:lineRule="auto"/>
        <w:ind w:firstLine="576" w:firstLineChars="192"/>
        <w:rPr>
          <w:rFonts w:hint="default" w:ascii="仿宋_GB2312" w:hAnsi="Calibri" w:eastAsia="仿宋_GB2312"/>
          <w:b w:val="0"/>
          <w:bCs/>
          <w:sz w:val="30"/>
          <w:szCs w:val="30"/>
          <w:highlight w:val="none"/>
          <w:lang w:val="en-US" w:eastAsia="zh-CN"/>
        </w:rPr>
      </w:pPr>
      <w:r>
        <w:rPr>
          <w:rFonts w:hint="eastAsia" w:ascii="仿宋_GB2312" w:eastAsia="仿宋_GB2312"/>
          <w:b w:val="0"/>
          <w:bCs/>
          <w:sz w:val="30"/>
          <w:szCs w:val="30"/>
          <w:highlight w:val="none"/>
          <w:lang w:val="en-US" w:eastAsia="zh-CN"/>
        </w:rPr>
        <w:t>2.共享共用：</w:t>
      </w:r>
      <w:r>
        <w:rPr>
          <w:rFonts w:hint="eastAsia" w:ascii="仿宋_GB2312" w:hAnsi="Calibri" w:eastAsia="仿宋_GB2312"/>
          <w:b w:val="0"/>
          <w:bCs/>
          <w:sz w:val="30"/>
          <w:szCs w:val="30"/>
          <w:highlight w:val="none"/>
          <w:lang w:val="en-US" w:eastAsia="zh-CN"/>
        </w:rPr>
        <w:t>指通过允许其他单位共享使用的方式盘活资产的行为。</w:t>
      </w:r>
    </w:p>
    <w:p w14:paraId="5D077F9D">
      <w:pPr>
        <w:spacing w:line="360" w:lineRule="auto"/>
        <w:ind w:firstLine="576" w:firstLineChars="192"/>
        <w:rPr>
          <w:rFonts w:hint="eastAsia" w:ascii="仿宋_GB2312" w:eastAsia="仿宋_GB2312"/>
          <w:b w:val="0"/>
          <w:bCs/>
          <w:sz w:val="30"/>
          <w:szCs w:val="30"/>
          <w:highlight w:val="none"/>
          <w:lang w:val="en-US" w:eastAsia="zh-CN"/>
        </w:rPr>
      </w:pPr>
      <w:r>
        <w:rPr>
          <w:rFonts w:hint="eastAsia" w:ascii="仿宋_GB2312" w:eastAsia="仿宋_GB2312"/>
          <w:b w:val="0"/>
          <w:bCs/>
          <w:sz w:val="30"/>
          <w:szCs w:val="30"/>
          <w:highlight w:val="none"/>
          <w:lang w:val="en-US" w:eastAsia="zh-CN"/>
        </w:rPr>
        <w:t>3.调剂利用（无偿划转）：</w:t>
      </w:r>
      <w:r>
        <w:rPr>
          <w:rFonts w:hint="eastAsia" w:ascii="仿宋_GB2312" w:hAnsi="Calibri" w:eastAsia="仿宋_GB2312"/>
          <w:b w:val="0"/>
          <w:bCs/>
          <w:sz w:val="30"/>
          <w:szCs w:val="30"/>
          <w:highlight w:val="none"/>
          <w:lang w:val="en-US" w:eastAsia="zh-CN"/>
        </w:rPr>
        <w:t>指在</w:t>
      </w:r>
      <w:r>
        <w:rPr>
          <w:rFonts w:hint="eastAsia" w:ascii="仿宋_GB2312" w:eastAsia="仿宋_GB2312"/>
          <w:b w:val="0"/>
          <w:bCs/>
          <w:sz w:val="30"/>
          <w:szCs w:val="30"/>
          <w:highlight w:val="none"/>
          <w:lang w:val="en-US" w:eastAsia="zh-CN"/>
        </w:rPr>
        <w:t>不改变国有资产性质的前提下，以无偿转让的方式变更国有资产占有、使用权的行为。</w:t>
      </w:r>
    </w:p>
    <w:p w14:paraId="0C075217">
      <w:pPr>
        <w:tabs>
          <w:tab w:val="left" w:pos="551"/>
        </w:tabs>
        <w:spacing w:line="360" w:lineRule="auto"/>
        <w:ind w:firstLine="576" w:firstLineChars="192"/>
        <w:rPr>
          <w:rFonts w:hint="default" w:ascii="仿宋_GB2312" w:eastAsia="仿宋_GB2312"/>
          <w:b w:val="0"/>
          <w:bCs/>
          <w:sz w:val="30"/>
          <w:szCs w:val="30"/>
          <w:highlight w:val="none"/>
          <w:lang w:val="en-US" w:eastAsia="zh-CN"/>
        </w:rPr>
      </w:pPr>
      <w:r>
        <w:rPr>
          <w:rFonts w:hint="eastAsia" w:ascii="仿宋_GB2312" w:eastAsia="仿宋_GB2312"/>
          <w:b w:val="0"/>
          <w:bCs/>
          <w:sz w:val="30"/>
          <w:szCs w:val="30"/>
          <w:highlight w:val="none"/>
          <w:lang w:val="en-US" w:eastAsia="zh-CN"/>
        </w:rPr>
        <w:t>4.对外出租：指通过对外出租方式盘活资产的行为。</w:t>
      </w:r>
    </w:p>
    <w:p w14:paraId="62FFC216">
      <w:pPr>
        <w:spacing w:line="360" w:lineRule="auto"/>
        <w:ind w:firstLine="576" w:firstLineChars="192"/>
        <w:rPr>
          <w:rFonts w:hint="eastAsia" w:ascii="仿宋_GB2312" w:eastAsia="仿宋_GB2312"/>
          <w:b w:val="0"/>
          <w:bCs/>
          <w:sz w:val="30"/>
          <w:szCs w:val="30"/>
          <w:highlight w:val="none"/>
          <w:lang w:val="en-US" w:eastAsia="zh-CN"/>
        </w:rPr>
      </w:pPr>
      <w:r>
        <w:rPr>
          <w:rFonts w:hint="eastAsia" w:ascii="仿宋_GB2312" w:eastAsia="仿宋_GB2312"/>
          <w:b w:val="0"/>
          <w:bCs/>
          <w:sz w:val="30"/>
          <w:szCs w:val="30"/>
          <w:highlight w:val="none"/>
          <w:lang w:val="en-US" w:eastAsia="zh-CN"/>
        </w:rPr>
        <w:t>5.转让（出售）：指行政事业单位变更国有资产占有、使用权并获得收益的行为。</w:t>
      </w:r>
    </w:p>
    <w:p w14:paraId="7427B9B5">
      <w:pPr>
        <w:spacing w:line="360" w:lineRule="auto"/>
        <w:ind w:firstLine="576" w:firstLineChars="192"/>
        <w:rPr>
          <w:rFonts w:hint="default" w:ascii="仿宋_GB2312" w:eastAsia="仿宋_GB2312"/>
          <w:b w:val="0"/>
          <w:bCs/>
          <w:sz w:val="30"/>
          <w:szCs w:val="30"/>
          <w:highlight w:val="none"/>
          <w:lang w:val="en-US" w:eastAsia="zh-CN"/>
        </w:rPr>
      </w:pPr>
      <w:r>
        <w:rPr>
          <w:rFonts w:hint="eastAsia" w:ascii="仿宋_GB2312" w:eastAsia="仿宋_GB2312"/>
          <w:b w:val="0"/>
          <w:bCs/>
          <w:sz w:val="30"/>
          <w:szCs w:val="30"/>
          <w:highlight w:val="none"/>
          <w:lang w:val="en-US" w:eastAsia="zh-CN"/>
        </w:rPr>
        <w:t>6.其他方式：其他盘活资产的方式。</w:t>
      </w:r>
    </w:p>
    <w:p w14:paraId="0DF8D09C">
      <w:pPr>
        <w:spacing w:line="360" w:lineRule="auto"/>
        <w:ind w:firstLine="578" w:firstLineChars="192"/>
        <w:rPr>
          <w:rFonts w:hint="eastAsia" w:ascii="仿宋_GB2312" w:eastAsia="仿宋_GB2312"/>
          <w:b/>
          <w:sz w:val="30"/>
          <w:szCs w:val="30"/>
          <w:highlight w:val="none"/>
        </w:rPr>
      </w:pPr>
      <w:r>
        <w:rPr>
          <w:rFonts w:hint="eastAsia" w:ascii="仿宋_GB2312" w:eastAsia="仿宋_GB2312"/>
          <w:b/>
          <w:sz w:val="30"/>
          <w:szCs w:val="30"/>
          <w:highlight w:val="none"/>
        </w:rPr>
        <w:t>逻辑性审核公式：</w:t>
      </w:r>
    </w:p>
    <w:p w14:paraId="64745911">
      <w:pPr>
        <w:spacing w:line="360" w:lineRule="auto"/>
        <w:ind w:firstLine="578" w:firstLineChars="192"/>
        <w:rPr>
          <w:rFonts w:hint="eastAsia" w:ascii="仿宋_GB2312" w:eastAsia="仿宋_GB2312"/>
          <w:b/>
          <w:sz w:val="30"/>
          <w:szCs w:val="30"/>
          <w:highlight w:val="none"/>
        </w:rPr>
      </w:pPr>
      <w:r>
        <w:rPr>
          <w:rFonts w:hint="eastAsia" w:ascii="仿宋_GB2312" w:hAnsi="等线" w:eastAsia="仿宋_GB2312"/>
          <w:b/>
          <w:sz w:val="30"/>
          <w:szCs w:val="30"/>
          <w:highlight w:val="none"/>
        </w:rPr>
        <w:t>表内</w:t>
      </w:r>
      <w:r>
        <w:rPr>
          <w:rFonts w:hint="eastAsia" w:ascii="仿宋_GB2312" w:eastAsia="仿宋_GB2312"/>
          <w:b/>
          <w:sz w:val="30"/>
          <w:szCs w:val="30"/>
          <w:highlight w:val="none"/>
        </w:rPr>
        <w:t>公式：</w:t>
      </w:r>
    </w:p>
    <w:p w14:paraId="0F4BDF54">
      <w:pPr>
        <w:numPr>
          <w:ilvl w:val="0"/>
          <w:numId w:val="5"/>
        </w:numPr>
        <w:spacing w:line="360" w:lineRule="auto"/>
        <w:ind w:firstLine="600" w:firstLineChars="200"/>
        <w:rPr>
          <w:rFonts w:hint="default" w:ascii="仿宋_GB2312" w:hAnsi="Calibri" w:eastAsia="仿宋_GB2312"/>
          <w:sz w:val="30"/>
          <w:szCs w:val="30"/>
          <w:highlight w:val="none"/>
          <w:lang w:val="en-US" w:eastAsia="zh-CN"/>
        </w:rPr>
      </w:pPr>
      <w:r>
        <w:rPr>
          <w:rFonts w:hint="eastAsia" w:ascii="仿宋_GB2312" w:hAnsi="Calibri" w:eastAsia="仿宋_GB2312"/>
          <w:sz w:val="30"/>
          <w:szCs w:val="30"/>
          <w:highlight w:val="none"/>
          <w:lang w:val="en-US" w:eastAsia="zh-CN"/>
        </w:rPr>
        <w:t>合计栏等于内部挖潜、共享共用、调剂利用（无偿划转）、对外出租、转让（出售）、其他方式对应栏次之和。</w:t>
      </w:r>
    </w:p>
    <w:p w14:paraId="5DF0A987">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固定资产（2行）</w:t>
      </w:r>
      <w:r>
        <w:rPr>
          <w:rFonts w:hint="eastAsia" w:ascii="仿宋_GB2312" w:hAnsi="仿宋" w:eastAsia="仿宋_GB2312"/>
          <w:sz w:val="30"/>
          <w:szCs w:val="30"/>
          <w:highlight w:val="none"/>
          <w:lang w:val="en-US" w:eastAsia="zh-CN"/>
        </w:rPr>
        <w:t>的原值、盘活收入</w:t>
      </w:r>
      <w:r>
        <w:rPr>
          <w:rFonts w:hint="eastAsia" w:ascii="仿宋_GB2312" w:hAnsi="仿宋" w:eastAsia="仿宋_GB2312"/>
          <w:sz w:val="30"/>
          <w:szCs w:val="30"/>
          <w:highlight w:val="none"/>
        </w:rPr>
        <w:t>等于房屋和构筑物（3行）、设备（10行）、文物和陈列品（</w:t>
      </w:r>
      <w:r>
        <w:rPr>
          <w:rFonts w:hint="eastAsia" w:ascii="仿宋_GB2312" w:hAnsi="仿宋" w:eastAsia="仿宋_GB2312"/>
          <w:sz w:val="30"/>
          <w:szCs w:val="30"/>
          <w:highlight w:val="none"/>
          <w:lang w:val="en-US" w:eastAsia="zh-CN"/>
        </w:rPr>
        <w:t>15</w:t>
      </w:r>
      <w:r>
        <w:rPr>
          <w:rFonts w:hint="eastAsia" w:ascii="仿宋_GB2312" w:hAnsi="仿宋" w:eastAsia="仿宋_GB2312"/>
          <w:sz w:val="30"/>
          <w:szCs w:val="30"/>
          <w:highlight w:val="none"/>
        </w:rPr>
        <w:t>行）、图书和档案（1</w:t>
      </w:r>
      <w:r>
        <w:rPr>
          <w:rFonts w:hint="eastAsia" w:ascii="仿宋_GB2312" w:hAnsi="仿宋" w:eastAsia="仿宋_GB2312"/>
          <w:sz w:val="30"/>
          <w:szCs w:val="30"/>
          <w:highlight w:val="none"/>
          <w:lang w:val="en-US" w:eastAsia="zh-CN"/>
        </w:rPr>
        <w:t>6</w:t>
      </w:r>
      <w:r>
        <w:rPr>
          <w:rFonts w:hint="eastAsia" w:ascii="仿宋_GB2312" w:hAnsi="仿宋" w:eastAsia="仿宋_GB2312"/>
          <w:sz w:val="30"/>
          <w:szCs w:val="30"/>
          <w:highlight w:val="none"/>
        </w:rPr>
        <w:t>行）、家具和用具（1</w:t>
      </w:r>
      <w:r>
        <w:rPr>
          <w:rFonts w:hint="eastAsia" w:ascii="仿宋_GB2312" w:hAnsi="仿宋" w:eastAsia="仿宋_GB2312"/>
          <w:sz w:val="30"/>
          <w:szCs w:val="30"/>
          <w:highlight w:val="none"/>
          <w:lang w:val="en-US" w:eastAsia="zh-CN"/>
        </w:rPr>
        <w:t>7</w:t>
      </w:r>
      <w:r>
        <w:rPr>
          <w:rFonts w:hint="eastAsia" w:ascii="仿宋_GB2312" w:hAnsi="仿宋" w:eastAsia="仿宋_GB2312"/>
          <w:sz w:val="30"/>
          <w:szCs w:val="30"/>
          <w:highlight w:val="none"/>
        </w:rPr>
        <w:t>行）、特种动植物（1</w:t>
      </w:r>
      <w:r>
        <w:rPr>
          <w:rFonts w:hint="eastAsia" w:ascii="仿宋_GB2312" w:hAnsi="仿宋" w:eastAsia="仿宋_GB2312"/>
          <w:sz w:val="30"/>
          <w:szCs w:val="30"/>
          <w:highlight w:val="none"/>
          <w:lang w:val="en-US" w:eastAsia="zh-CN"/>
        </w:rPr>
        <w:t>8</w:t>
      </w:r>
      <w:r>
        <w:rPr>
          <w:rFonts w:hint="eastAsia" w:ascii="仿宋_GB2312" w:hAnsi="仿宋" w:eastAsia="仿宋_GB2312"/>
          <w:sz w:val="30"/>
          <w:szCs w:val="30"/>
          <w:highlight w:val="none"/>
        </w:rPr>
        <w:t>行）各项</w:t>
      </w:r>
      <w:r>
        <w:rPr>
          <w:rFonts w:hint="eastAsia" w:ascii="仿宋_GB2312" w:hAnsi="仿宋" w:eastAsia="仿宋_GB2312"/>
          <w:sz w:val="30"/>
          <w:szCs w:val="30"/>
          <w:highlight w:val="none"/>
          <w:lang w:val="en-US" w:eastAsia="zh-CN"/>
        </w:rPr>
        <w:t>的对应栏次</w:t>
      </w:r>
      <w:r>
        <w:rPr>
          <w:rFonts w:hint="eastAsia" w:ascii="仿宋_GB2312" w:hAnsi="仿宋" w:eastAsia="仿宋_GB2312"/>
          <w:sz w:val="30"/>
          <w:szCs w:val="30"/>
          <w:highlight w:val="none"/>
        </w:rPr>
        <w:t>之和；</w:t>
      </w:r>
    </w:p>
    <w:p w14:paraId="218D1BC7">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lang w:val="en-US" w:eastAsia="zh-CN"/>
        </w:rPr>
        <w:t>合计行的原值、盘活收入等于</w:t>
      </w:r>
      <w:r>
        <w:rPr>
          <w:rFonts w:hint="eastAsia" w:ascii="仿宋_GB2312" w:hAnsi="仿宋" w:eastAsia="仿宋_GB2312"/>
          <w:sz w:val="30"/>
          <w:szCs w:val="30"/>
          <w:highlight w:val="none"/>
        </w:rPr>
        <w:t>固定资产（2行）</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无形资产（19行）、其他资产（24行）各项对应栏次之和；</w:t>
      </w:r>
    </w:p>
    <w:p w14:paraId="51E6CC83">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lang w:val="en-US" w:eastAsia="zh-CN"/>
        </w:rPr>
        <w:t>房屋和构筑物（3行）的原值、盘活收入应大于等于土地（4行）、房屋（5行）对应栏次之和；</w:t>
      </w:r>
    </w:p>
    <w:p w14:paraId="7D6AE798">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lang w:val="en-US" w:eastAsia="zh-CN"/>
        </w:rPr>
        <w:t>房屋（5行）等于办公用房（6行）、业务用房（7行）、其他用房（8行）对应栏次之和；</w:t>
      </w:r>
    </w:p>
    <w:p w14:paraId="3820014E">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lang w:val="en-US" w:eastAsia="zh-CN"/>
        </w:rPr>
        <w:t>设备（9行）的原值、数量、盘活收入应大于等于车辆（10行）、单价100万（含）以上（不含车辆）（11行）对应栏次之和；</w:t>
      </w:r>
    </w:p>
    <w:p w14:paraId="04A37259">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lang w:val="en-US" w:eastAsia="zh-CN"/>
        </w:rPr>
        <w:t>单价100万（含）以上（不含车辆）（11行）的原值、数量、盘活收入应大于等于医疗设备（12行）、科研设备（13行）对应栏次之和；</w:t>
      </w:r>
    </w:p>
    <w:p w14:paraId="39D475C9">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lang w:val="en-US" w:eastAsia="zh-CN"/>
        </w:rPr>
        <w:t>无形资产（18行）的原值、盘活收入应大于等于专利（19行）、非专利技术（20行）、土地使用权（21行）、计算机软件（22行）对应栏次之和；</w:t>
      </w:r>
    </w:p>
    <w:p w14:paraId="73EDF5A0">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lang w:val="en-US" w:eastAsia="zh-CN"/>
        </w:rPr>
        <w:t>盘活收入小计栏次应大于等于上交国库金额栏次；</w:t>
      </w:r>
    </w:p>
    <w:p w14:paraId="41598FC5">
      <w:pPr>
        <w:numPr>
          <w:ilvl w:val="0"/>
          <w:numId w:val="2"/>
        </w:numPr>
        <w:adjustRightInd w:val="0"/>
        <w:snapToGrid w:val="0"/>
        <w:spacing w:line="360" w:lineRule="auto"/>
        <w:ind w:left="0" w:firstLine="600"/>
        <w:rPr>
          <w:rFonts w:hint="eastAsia" w:ascii="仿宋_GB2312" w:hAnsi="仿宋" w:eastAsia="仿宋_GB2312"/>
          <w:b w:val="0"/>
          <w:bCs w:val="0"/>
          <w:sz w:val="30"/>
          <w:szCs w:val="30"/>
          <w:highlight w:val="none"/>
        </w:rPr>
      </w:pPr>
      <w:r>
        <w:rPr>
          <w:rFonts w:hint="eastAsia" w:ascii="仿宋_GB2312" w:hAnsi="仿宋" w:eastAsia="仿宋_GB2312"/>
          <w:b w:val="0"/>
          <w:bCs w:val="0"/>
          <w:sz w:val="30"/>
          <w:szCs w:val="30"/>
          <w:highlight w:val="none"/>
        </w:rPr>
        <w:t>各指标大于等于0</w:t>
      </w:r>
      <w:r>
        <w:rPr>
          <w:rFonts w:hint="eastAsia" w:ascii="仿宋_GB2312" w:hAnsi="仿宋" w:eastAsia="仿宋_GB2312"/>
          <w:b w:val="0"/>
          <w:bCs w:val="0"/>
          <w:sz w:val="30"/>
          <w:szCs w:val="30"/>
          <w:highlight w:val="none"/>
          <w:lang w:eastAsia="zh-CN"/>
        </w:rPr>
        <w:t>；</w:t>
      </w:r>
    </w:p>
    <w:p w14:paraId="6DA4D9B7">
      <w:pPr>
        <w:numPr>
          <w:ilvl w:val="0"/>
          <w:numId w:val="2"/>
        </w:numPr>
        <w:adjustRightInd w:val="0"/>
        <w:snapToGrid w:val="0"/>
        <w:spacing w:line="360" w:lineRule="auto"/>
        <w:ind w:left="0" w:firstLine="600"/>
        <w:rPr>
          <w:rFonts w:hint="default" w:ascii="仿宋_GB2312" w:hAnsi="仿宋" w:eastAsia="仿宋_GB2312"/>
          <w:sz w:val="30"/>
          <w:szCs w:val="30"/>
          <w:highlight w:val="none"/>
          <w:lang w:val="en-US" w:eastAsia="zh-CN"/>
        </w:rPr>
      </w:pPr>
      <w:r>
        <w:rPr>
          <w:rFonts w:hint="eastAsia" w:ascii="仿宋_GB2312" w:hAnsi="仿宋" w:eastAsia="仿宋_GB2312"/>
          <w:b w:val="0"/>
          <w:bCs w:val="0"/>
          <w:sz w:val="30"/>
          <w:szCs w:val="30"/>
          <w:highlight w:val="none"/>
          <w:lang w:val="en-US" w:eastAsia="zh-CN"/>
        </w:rPr>
        <w:t>当盘活方式为其</w:t>
      </w:r>
      <w:r>
        <w:rPr>
          <w:rFonts w:hint="eastAsia" w:ascii="仿宋_GB2312" w:hAnsi="仿宋" w:eastAsia="仿宋_GB2312"/>
          <w:sz w:val="30"/>
          <w:szCs w:val="30"/>
          <w:highlight w:val="none"/>
          <w:lang w:val="en-US" w:eastAsia="zh-CN"/>
        </w:rPr>
        <w:t>他方式原值（22栏大于0）时，需在备注中 说明具体做法。</w:t>
      </w:r>
    </w:p>
    <w:p w14:paraId="04FBA830">
      <w:pPr>
        <w:pStyle w:val="2"/>
        <w:rPr>
          <w:rFonts w:hint="eastAsia"/>
          <w:b/>
          <w:color w:val="auto"/>
          <w:highlight w:val="none"/>
        </w:rPr>
      </w:pPr>
      <w:r>
        <w:rPr>
          <w:rFonts w:hint="eastAsia"/>
          <w:color w:val="auto"/>
          <w:highlight w:val="none"/>
        </w:rPr>
        <w:t>（</w:t>
      </w:r>
      <w:r>
        <w:rPr>
          <w:rFonts w:hint="eastAsia"/>
          <w:color w:val="auto"/>
          <w:highlight w:val="none"/>
          <w:lang w:val="en-US" w:eastAsia="zh-CN"/>
        </w:rPr>
        <w:t>二十一</w:t>
      </w:r>
      <w:r>
        <w:rPr>
          <w:rFonts w:hint="eastAsia"/>
          <w:color w:val="auto"/>
          <w:highlight w:val="none"/>
        </w:rPr>
        <w:t>）</w:t>
      </w:r>
      <w:r>
        <w:rPr>
          <w:rFonts w:hint="eastAsia"/>
          <w:color w:val="auto"/>
          <w:highlight w:val="none"/>
          <w:lang w:val="en-US" w:eastAsia="zh-CN"/>
        </w:rPr>
        <w:t>执法执勤用车编制等情况备案表（中央部门）</w:t>
      </w:r>
      <w:r>
        <w:rPr>
          <w:rFonts w:hint="eastAsia"/>
          <w:color w:val="auto"/>
          <w:highlight w:val="none"/>
        </w:rPr>
        <w:t>（财资</w:t>
      </w:r>
      <w:r>
        <w:rPr>
          <w:rFonts w:hint="eastAsia"/>
          <w:color w:val="auto"/>
          <w:highlight w:val="none"/>
          <w:lang w:val="en-US" w:eastAsia="zh-CN"/>
        </w:rPr>
        <w:t>附02-1表</w:t>
      </w:r>
      <w:r>
        <w:rPr>
          <w:rFonts w:hint="eastAsia"/>
          <w:color w:val="auto"/>
          <w:highlight w:val="none"/>
        </w:rPr>
        <w:t>）</w:t>
      </w:r>
    </w:p>
    <w:p w14:paraId="4E762935">
      <w:pPr>
        <w:snapToGrid w:val="0"/>
        <w:spacing w:line="360" w:lineRule="auto"/>
        <w:ind w:firstLine="600" w:firstLineChars="200"/>
        <w:rPr>
          <w:rFonts w:hint="eastAsia" w:ascii="仿宋_GB2312" w:hAnsi="宋体" w:eastAsia="仿宋_GB2312"/>
          <w:sz w:val="30"/>
          <w:szCs w:val="30"/>
          <w:highlight w:val="none"/>
        </w:rPr>
      </w:pPr>
      <w:r>
        <w:rPr>
          <w:rFonts w:hint="eastAsia" w:ascii="仿宋_GB2312" w:hAnsi="宋体" w:eastAsia="仿宋_GB2312"/>
          <w:sz w:val="30"/>
          <w:szCs w:val="30"/>
          <w:highlight w:val="none"/>
        </w:rPr>
        <w:t>本表</w:t>
      </w:r>
      <w:r>
        <w:rPr>
          <w:rFonts w:hint="eastAsia" w:ascii="仿宋_GB2312" w:hAnsi="宋体" w:eastAsia="仿宋_GB2312"/>
          <w:sz w:val="30"/>
          <w:szCs w:val="30"/>
          <w:highlight w:val="none"/>
          <w:lang w:val="en-US" w:eastAsia="zh-CN"/>
        </w:rPr>
        <w:t>由中央部门所属单位填报，</w:t>
      </w:r>
      <w:r>
        <w:rPr>
          <w:rFonts w:hint="eastAsia" w:ascii="仿宋_GB2312" w:hAnsi="宋体" w:eastAsia="仿宋_GB2312"/>
          <w:sz w:val="30"/>
          <w:szCs w:val="30"/>
          <w:highlight w:val="none"/>
        </w:rPr>
        <w:t>经中央批准的执法执勤部门用于一线执法执勤公务的机动车辆，不包含特种专业技术用车。</w:t>
      </w:r>
    </w:p>
    <w:p w14:paraId="7B55FD9B">
      <w:pPr>
        <w:snapToGrid w:val="0"/>
        <w:spacing w:line="360" w:lineRule="auto"/>
        <w:ind w:firstLine="602" w:firstLineChars="200"/>
        <w:rPr>
          <w:rFonts w:hint="eastAsia" w:ascii="仿宋_GB2312" w:hAnsi="仿宋" w:eastAsia="仿宋_GB2312"/>
          <w:b/>
          <w:bCs/>
          <w:sz w:val="30"/>
          <w:szCs w:val="30"/>
          <w:highlight w:val="none"/>
        </w:rPr>
      </w:pPr>
      <w:r>
        <w:rPr>
          <w:rFonts w:hint="eastAsia" w:ascii="仿宋_GB2312" w:hAnsi="仿宋" w:eastAsia="仿宋_GB2312"/>
          <w:b/>
          <w:bCs/>
          <w:sz w:val="30"/>
          <w:szCs w:val="30"/>
          <w:highlight w:val="none"/>
        </w:rPr>
        <w:t>主要指标</w:t>
      </w:r>
      <w:r>
        <w:rPr>
          <w:rFonts w:ascii="仿宋_GB2312" w:hAnsi="仿宋" w:eastAsia="仿宋_GB2312"/>
          <w:b/>
          <w:bCs/>
          <w:sz w:val="30"/>
          <w:szCs w:val="30"/>
          <w:highlight w:val="none"/>
        </w:rPr>
        <w:t>说明：</w:t>
      </w:r>
    </w:p>
    <w:p w14:paraId="3BD22AEA">
      <w:pPr>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lang w:val="en-US" w:eastAsia="zh-CN"/>
        </w:rPr>
        <w:t>1.</w:t>
      </w:r>
      <w:r>
        <w:rPr>
          <w:rFonts w:hint="eastAsia" w:ascii="仿宋_GB2312" w:hAnsi="仿宋" w:eastAsia="仿宋_GB2312"/>
          <w:sz w:val="30"/>
          <w:szCs w:val="30"/>
          <w:highlight w:val="none"/>
        </w:rPr>
        <w:t>编制数：</w:t>
      </w:r>
      <w:r>
        <w:rPr>
          <w:rFonts w:hint="eastAsia" w:ascii="仿宋_GB2312" w:hAnsi="仿宋" w:eastAsia="仿宋_GB2312"/>
          <w:sz w:val="30"/>
          <w:szCs w:val="30"/>
          <w:highlight w:val="none"/>
          <w:lang w:val="en-US" w:eastAsia="zh-CN"/>
        </w:rPr>
        <w:t>取自财资02表机构人员情况表执法执勤用车（25行）编制数</w:t>
      </w:r>
      <w:r>
        <w:rPr>
          <w:rFonts w:hint="eastAsia" w:ascii="仿宋_GB2312" w:hAnsi="仿宋" w:eastAsia="仿宋_GB2312"/>
          <w:sz w:val="30"/>
          <w:szCs w:val="30"/>
          <w:highlight w:val="none"/>
        </w:rPr>
        <w:t>。</w:t>
      </w:r>
    </w:p>
    <w:p w14:paraId="5570F0A6">
      <w:pPr>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lang w:val="en-US" w:eastAsia="zh-CN"/>
        </w:rPr>
        <w:t>2.</w:t>
      </w:r>
      <w:r>
        <w:rPr>
          <w:rFonts w:hint="eastAsia" w:ascii="仿宋_GB2312" w:hAnsi="仿宋" w:eastAsia="仿宋_GB2312"/>
          <w:sz w:val="30"/>
          <w:szCs w:val="30"/>
          <w:highlight w:val="none"/>
        </w:rPr>
        <w:t>实有数：</w:t>
      </w:r>
      <w:r>
        <w:rPr>
          <w:rFonts w:hint="eastAsia" w:ascii="仿宋_GB2312" w:hAnsi="仿宋" w:eastAsia="仿宋_GB2312"/>
          <w:sz w:val="30"/>
          <w:szCs w:val="30"/>
          <w:highlight w:val="none"/>
          <w:lang w:val="en-US" w:eastAsia="zh-CN"/>
        </w:rPr>
        <w:t>取自财资06表车辆情况表车辆用途（19栏）为执法执勤用车的车辆数之和</w:t>
      </w:r>
      <w:r>
        <w:rPr>
          <w:rFonts w:hint="eastAsia" w:ascii="仿宋_GB2312" w:hAnsi="仿宋" w:eastAsia="仿宋_GB2312"/>
          <w:sz w:val="30"/>
          <w:szCs w:val="30"/>
          <w:highlight w:val="none"/>
        </w:rPr>
        <w:t>。</w:t>
      </w:r>
    </w:p>
    <w:p w14:paraId="6664D1F3">
      <w:pPr>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lang w:val="en-US" w:eastAsia="zh-CN"/>
        </w:rPr>
        <w:t>3.</w:t>
      </w:r>
      <w:r>
        <w:rPr>
          <w:rFonts w:hint="eastAsia" w:ascii="仿宋_GB2312" w:hAnsi="仿宋" w:eastAsia="仿宋_GB2312"/>
          <w:sz w:val="30"/>
          <w:szCs w:val="30"/>
          <w:highlight w:val="none"/>
        </w:rPr>
        <w:t>配备数：202</w:t>
      </w:r>
      <w:r>
        <w:rPr>
          <w:rFonts w:hint="eastAsia" w:ascii="仿宋_GB2312" w:hAnsi="仿宋" w:eastAsia="仿宋_GB2312"/>
          <w:sz w:val="30"/>
          <w:szCs w:val="30"/>
          <w:highlight w:val="none"/>
          <w:lang w:val="en-US" w:eastAsia="zh-CN"/>
        </w:rPr>
        <w:t>4</w:t>
      </w:r>
      <w:r>
        <w:rPr>
          <w:rFonts w:hint="eastAsia" w:ascii="仿宋_GB2312" w:hAnsi="仿宋" w:eastAsia="仿宋_GB2312"/>
          <w:sz w:val="30"/>
          <w:szCs w:val="30"/>
          <w:highlight w:val="none"/>
        </w:rPr>
        <w:t>年1月1日至12月31日配备的执法执勤用车数量。</w:t>
      </w:r>
    </w:p>
    <w:p w14:paraId="0B3BED8C">
      <w:pPr>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lang w:val="en-US" w:eastAsia="zh-CN"/>
        </w:rPr>
        <w:t>4.</w:t>
      </w:r>
      <w:r>
        <w:rPr>
          <w:rFonts w:hint="eastAsia" w:ascii="仿宋_GB2312" w:hAnsi="仿宋" w:eastAsia="仿宋_GB2312"/>
          <w:sz w:val="30"/>
          <w:szCs w:val="30"/>
          <w:highlight w:val="none"/>
        </w:rPr>
        <w:t>喷涂标识数：</w:t>
      </w:r>
      <w:r>
        <w:rPr>
          <w:rFonts w:hint="eastAsia" w:ascii="仿宋_GB2312" w:hAnsi="仿宋" w:eastAsia="仿宋_GB2312"/>
          <w:sz w:val="30"/>
          <w:szCs w:val="30"/>
          <w:highlight w:val="none"/>
          <w:lang w:eastAsia="zh-CN"/>
        </w:rPr>
        <w:t>截至2024</w:t>
      </w:r>
      <w:r>
        <w:rPr>
          <w:rFonts w:hint="eastAsia" w:ascii="仿宋_GB2312" w:hAnsi="仿宋" w:eastAsia="仿宋_GB2312"/>
          <w:sz w:val="30"/>
          <w:szCs w:val="30"/>
          <w:highlight w:val="none"/>
        </w:rPr>
        <w:t>年12月31日已喷涂标识的执法执勤用车数量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提取财资06表车辆情况表车辆用途（19栏）为执法执勤用车，且是否喷涂标识为“是 ”的车辆数</w:t>
      </w:r>
      <w:r>
        <w:rPr>
          <w:rFonts w:hint="eastAsia" w:ascii="仿宋_GB2312" w:hAnsi="仿宋" w:eastAsia="仿宋_GB2312"/>
          <w:sz w:val="30"/>
          <w:szCs w:val="30"/>
          <w:highlight w:val="none"/>
        </w:rPr>
        <w:t>。</w:t>
      </w:r>
    </w:p>
    <w:p w14:paraId="532E1E93">
      <w:pPr>
        <w:snapToGrid w:val="0"/>
        <w:spacing w:line="360" w:lineRule="auto"/>
        <w:ind w:firstLine="602" w:firstLineChars="200"/>
        <w:rPr>
          <w:rFonts w:hint="eastAsia" w:ascii="仿宋_GB2312" w:hAnsi="仿宋" w:eastAsia="仿宋_GB2312"/>
          <w:b/>
          <w:bCs/>
          <w:sz w:val="30"/>
          <w:szCs w:val="30"/>
          <w:highlight w:val="none"/>
          <w:lang w:val="en-US" w:eastAsia="zh-CN"/>
        </w:rPr>
      </w:pPr>
      <w:r>
        <w:rPr>
          <w:rFonts w:hint="eastAsia" w:ascii="仿宋_GB2312" w:hAnsi="仿宋" w:eastAsia="仿宋_GB2312"/>
          <w:b/>
          <w:bCs/>
          <w:sz w:val="30"/>
          <w:szCs w:val="30"/>
          <w:highlight w:val="none"/>
          <w:lang w:val="en-US" w:eastAsia="zh-CN"/>
        </w:rPr>
        <w:t>逻辑性审核公式：</w:t>
      </w:r>
    </w:p>
    <w:p w14:paraId="3AC5C58D">
      <w:pPr>
        <w:snapToGrid w:val="0"/>
        <w:spacing w:line="360" w:lineRule="auto"/>
        <w:ind w:firstLine="602" w:firstLineChars="200"/>
        <w:rPr>
          <w:rFonts w:hint="eastAsia" w:ascii="仿宋_GB2312" w:hAnsi="仿宋" w:eastAsia="仿宋_GB2312"/>
          <w:b/>
          <w:bCs/>
          <w:sz w:val="30"/>
          <w:szCs w:val="30"/>
          <w:highlight w:val="none"/>
          <w:lang w:val="en-US" w:eastAsia="zh-CN"/>
        </w:rPr>
      </w:pPr>
      <w:r>
        <w:rPr>
          <w:rFonts w:hint="eastAsia" w:ascii="仿宋_GB2312" w:hAnsi="仿宋" w:eastAsia="仿宋_GB2312"/>
          <w:b/>
          <w:bCs/>
          <w:sz w:val="30"/>
          <w:szCs w:val="30"/>
          <w:highlight w:val="none"/>
          <w:lang w:val="en-US" w:eastAsia="zh-CN"/>
        </w:rPr>
        <w:t>表内公式：</w:t>
      </w:r>
    </w:p>
    <w:p w14:paraId="57F29590">
      <w:pPr>
        <w:numPr>
          <w:ilvl w:val="0"/>
          <w:numId w:val="2"/>
        </w:numPr>
        <w:adjustRightInd w:val="0"/>
        <w:snapToGrid w:val="0"/>
        <w:spacing w:line="360" w:lineRule="auto"/>
        <w:ind w:left="0" w:firstLine="600"/>
        <w:rPr>
          <w:rFonts w:hint="default" w:ascii="仿宋_GB2312" w:hAnsi="仿宋" w:eastAsia="仿宋_GB2312"/>
          <w:b/>
          <w:bCs/>
          <w:sz w:val="30"/>
          <w:szCs w:val="30"/>
          <w:highlight w:val="none"/>
          <w:lang w:val="en-US" w:eastAsia="zh-CN"/>
        </w:rPr>
      </w:pPr>
      <w:r>
        <w:rPr>
          <w:rFonts w:hint="eastAsia" w:ascii="仿宋_GB2312" w:hAnsi="仿宋" w:eastAsia="仿宋_GB2312"/>
          <w:sz w:val="30"/>
          <w:szCs w:val="30"/>
          <w:highlight w:val="none"/>
          <w:lang w:val="en-US" w:eastAsia="zh-CN"/>
        </w:rPr>
        <w:t>若喷涂标识数（4栏）&lt;实有数（2栏），需备注说明具体原因。</w:t>
      </w:r>
    </w:p>
    <w:p w14:paraId="2866EB6D">
      <w:pPr>
        <w:snapToGrid w:val="0"/>
        <w:spacing w:line="360" w:lineRule="auto"/>
        <w:ind w:firstLine="602" w:firstLineChars="200"/>
        <w:rPr>
          <w:rFonts w:hint="default" w:ascii="仿宋_GB2312" w:hAnsi="仿宋" w:eastAsia="仿宋_GB2312"/>
          <w:b/>
          <w:bCs/>
          <w:sz w:val="30"/>
          <w:szCs w:val="30"/>
          <w:highlight w:val="none"/>
          <w:lang w:val="en-US" w:eastAsia="zh-CN"/>
        </w:rPr>
      </w:pPr>
      <w:r>
        <w:rPr>
          <w:rFonts w:hint="eastAsia" w:ascii="仿宋_GB2312" w:hAnsi="仿宋" w:eastAsia="仿宋_GB2312"/>
          <w:b/>
          <w:bCs/>
          <w:sz w:val="30"/>
          <w:szCs w:val="30"/>
          <w:highlight w:val="none"/>
          <w:lang w:val="en-US" w:eastAsia="zh-CN"/>
        </w:rPr>
        <w:t>核实性公式：</w:t>
      </w:r>
    </w:p>
    <w:p w14:paraId="102C8DF5">
      <w:pPr>
        <w:numPr>
          <w:ilvl w:val="0"/>
          <w:numId w:val="2"/>
        </w:numPr>
        <w:adjustRightInd w:val="0"/>
        <w:snapToGrid w:val="0"/>
        <w:spacing w:line="360" w:lineRule="auto"/>
        <w:ind w:left="0" w:firstLine="600"/>
        <w:rPr>
          <w:rFonts w:hint="eastAsia" w:ascii="仿宋_GB2312" w:hAnsi="仿宋" w:eastAsia="仿宋_GB2312"/>
          <w:sz w:val="30"/>
          <w:szCs w:val="30"/>
          <w:highlight w:val="none"/>
          <w:lang w:val="en-US" w:eastAsia="zh-CN"/>
        </w:rPr>
      </w:pPr>
      <w:r>
        <w:rPr>
          <w:rFonts w:hint="eastAsia" w:ascii="仿宋_GB2312" w:hAnsi="仿宋" w:eastAsia="仿宋_GB2312"/>
          <w:sz w:val="30"/>
          <w:szCs w:val="30"/>
          <w:highlight w:val="none"/>
          <w:lang w:val="en-US" w:eastAsia="zh-CN"/>
        </w:rPr>
        <w:t>若编制数（1栏）&lt;实有数（2栏），提示核实性错误，需结合实际情况修改或填写原因说明及下一步整改措施。</w:t>
      </w:r>
    </w:p>
    <w:p w14:paraId="142AE085">
      <w:pPr>
        <w:pStyle w:val="2"/>
        <w:rPr>
          <w:rFonts w:hint="eastAsia"/>
          <w:b/>
          <w:color w:val="auto"/>
          <w:highlight w:val="none"/>
        </w:rPr>
      </w:pPr>
      <w:r>
        <w:rPr>
          <w:rFonts w:hint="eastAsia"/>
          <w:color w:val="auto"/>
          <w:highlight w:val="none"/>
        </w:rPr>
        <w:t>（</w:t>
      </w:r>
      <w:r>
        <w:rPr>
          <w:rFonts w:hint="eastAsia"/>
          <w:color w:val="auto"/>
          <w:highlight w:val="none"/>
          <w:lang w:val="en-US" w:eastAsia="zh-CN"/>
        </w:rPr>
        <w:t>二十二</w:t>
      </w:r>
      <w:r>
        <w:rPr>
          <w:rFonts w:hint="eastAsia"/>
          <w:color w:val="auto"/>
          <w:highlight w:val="none"/>
        </w:rPr>
        <w:t>）</w:t>
      </w:r>
      <w:r>
        <w:rPr>
          <w:rFonts w:hint="eastAsia"/>
          <w:color w:val="auto"/>
          <w:highlight w:val="none"/>
          <w:lang w:val="en-US" w:eastAsia="zh-CN"/>
        </w:rPr>
        <w:t>执法执勤用车编制等情况备案表（地方财政部门）</w:t>
      </w:r>
      <w:r>
        <w:rPr>
          <w:rFonts w:hint="eastAsia"/>
          <w:color w:val="auto"/>
          <w:highlight w:val="none"/>
        </w:rPr>
        <w:t>（财资</w:t>
      </w:r>
      <w:r>
        <w:rPr>
          <w:rFonts w:hint="eastAsia"/>
          <w:color w:val="auto"/>
          <w:highlight w:val="none"/>
          <w:lang w:val="en-US" w:eastAsia="zh-CN"/>
        </w:rPr>
        <w:t>附02-2表</w:t>
      </w:r>
      <w:r>
        <w:rPr>
          <w:rFonts w:hint="eastAsia"/>
          <w:color w:val="auto"/>
          <w:highlight w:val="none"/>
        </w:rPr>
        <w:t>）</w:t>
      </w:r>
    </w:p>
    <w:p w14:paraId="33DD7EA6">
      <w:pPr>
        <w:snapToGrid w:val="0"/>
        <w:spacing w:line="360" w:lineRule="auto"/>
        <w:ind w:firstLine="600" w:firstLineChars="200"/>
        <w:rPr>
          <w:rFonts w:hint="eastAsia" w:ascii="仿宋_GB2312" w:hAnsi="宋体" w:eastAsia="仿宋_GB2312"/>
          <w:sz w:val="30"/>
          <w:szCs w:val="30"/>
          <w:highlight w:val="none"/>
        </w:rPr>
      </w:pPr>
      <w:r>
        <w:rPr>
          <w:rFonts w:hint="eastAsia" w:ascii="仿宋_GB2312" w:hAnsi="宋体" w:eastAsia="仿宋_GB2312"/>
          <w:sz w:val="30"/>
          <w:szCs w:val="30"/>
          <w:highlight w:val="none"/>
        </w:rPr>
        <w:t>本表</w:t>
      </w:r>
      <w:r>
        <w:rPr>
          <w:rFonts w:hint="eastAsia" w:ascii="仿宋_GB2312" w:hAnsi="宋体" w:eastAsia="仿宋_GB2312"/>
          <w:sz w:val="30"/>
          <w:szCs w:val="30"/>
          <w:highlight w:val="none"/>
          <w:lang w:val="en-US" w:eastAsia="zh-CN"/>
        </w:rPr>
        <w:t>由地方财政部门填报，</w:t>
      </w:r>
      <w:r>
        <w:rPr>
          <w:rFonts w:hint="eastAsia" w:ascii="仿宋_GB2312" w:hAnsi="宋体" w:eastAsia="仿宋_GB2312"/>
          <w:sz w:val="30"/>
          <w:szCs w:val="30"/>
          <w:highlight w:val="none"/>
        </w:rPr>
        <w:t>经中央批准的执法执勤部门用于一线执法执勤公务的机动车辆，不包含特种专业技术用车。</w:t>
      </w:r>
    </w:p>
    <w:p w14:paraId="3D893706">
      <w:pPr>
        <w:snapToGrid w:val="0"/>
        <w:spacing w:line="360" w:lineRule="auto"/>
        <w:ind w:firstLine="602" w:firstLineChars="200"/>
        <w:rPr>
          <w:rFonts w:hint="eastAsia" w:ascii="仿宋_GB2312" w:hAnsi="仿宋" w:eastAsia="仿宋_GB2312"/>
          <w:b/>
          <w:bCs/>
          <w:sz w:val="30"/>
          <w:szCs w:val="30"/>
          <w:highlight w:val="none"/>
        </w:rPr>
      </w:pPr>
      <w:r>
        <w:rPr>
          <w:rFonts w:hint="eastAsia" w:ascii="仿宋_GB2312" w:hAnsi="仿宋" w:eastAsia="仿宋_GB2312"/>
          <w:b/>
          <w:bCs/>
          <w:sz w:val="30"/>
          <w:szCs w:val="30"/>
          <w:highlight w:val="none"/>
        </w:rPr>
        <w:t>主要指标</w:t>
      </w:r>
      <w:r>
        <w:rPr>
          <w:rFonts w:ascii="仿宋_GB2312" w:hAnsi="仿宋" w:eastAsia="仿宋_GB2312"/>
          <w:b/>
          <w:bCs/>
          <w:sz w:val="30"/>
          <w:szCs w:val="30"/>
          <w:highlight w:val="none"/>
        </w:rPr>
        <w:t>说明：</w:t>
      </w:r>
    </w:p>
    <w:p w14:paraId="7A94451A">
      <w:pPr>
        <w:snapToGrid w:val="0"/>
        <w:spacing w:line="360" w:lineRule="auto"/>
        <w:ind w:firstLine="600" w:firstLineChars="200"/>
        <w:rPr>
          <w:rFonts w:hint="eastAsia" w:ascii="仿宋_GB2312" w:hAnsi="仿宋" w:eastAsia="仿宋_GB2312"/>
          <w:sz w:val="30"/>
          <w:szCs w:val="30"/>
          <w:highlight w:val="none"/>
          <w:lang w:val="en-US" w:eastAsia="zh-CN"/>
        </w:rPr>
      </w:pPr>
      <w:r>
        <w:rPr>
          <w:rFonts w:hint="eastAsia" w:ascii="仿宋_GB2312" w:hAnsi="仿宋" w:eastAsia="仿宋_GB2312"/>
          <w:sz w:val="30"/>
          <w:szCs w:val="30"/>
          <w:highlight w:val="none"/>
          <w:lang w:val="en-US" w:eastAsia="zh-CN"/>
        </w:rPr>
        <w:t>1.编制数：取自财资02表机构人员情况表执法执勤用车（25行）编制数。</w:t>
      </w:r>
    </w:p>
    <w:p w14:paraId="142BE6AC">
      <w:pPr>
        <w:snapToGrid w:val="0"/>
        <w:spacing w:line="360" w:lineRule="auto"/>
        <w:ind w:firstLine="600" w:firstLineChars="200"/>
        <w:rPr>
          <w:rFonts w:hint="eastAsia" w:ascii="仿宋_GB2312" w:hAnsi="仿宋" w:eastAsia="仿宋_GB2312"/>
          <w:sz w:val="30"/>
          <w:szCs w:val="30"/>
          <w:highlight w:val="none"/>
          <w:lang w:val="en-US" w:eastAsia="zh-CN"/>
        </w:rPr>
      </w:pPr>
      <w:r>
        <w:rPr>
          <w:rFonts w:hint="eastAsia" w:ascii="仿宋_GB2312" w:hAnsi="仿宋" w:eastAsia="仿宋_GB2312"/>
          <w:sz w:val="30"/>
          <w:szCs w:val="30"/>
          <w:highlight w:val="none"/>
          <w:lang w:val="en-US" w:eastAsia="zh-CN"/>
        </w:rPr>
        <w:t>2.实有数：取自财资06表车辆情况表车辆用途（19栏）为执法执勤用车的车辆数之和。</w:t>
      </w:r>
    </w:p>
    <w:p w14:paraId="58473C6A">
      <w:pPr>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lang w:val="en-US" w:eastAsia="zh-CN"/>
        </w:rPr>
        <w:t>3.</w:t>
      </w:r>
      <w:r>
        <w:rPr>
          <w:rFonts w:hint="eastAsia" w:ascii="仿宋_GB2312" w:hAnsi="仿宋" w:eastAsia="仿宋_GB2312"/>
          <w:sz w:val="30"/>
          <w:szCs w:val="30"/>
          <w:highlight w:val="none"/>
        </w:rPr>
        <w:t>配备数：202</w:t>
      </w:r>
      <w:r>
        <w:rPr>
          <w:rFonts w:hint="eastAsia" w:ascii="仿宋_GB2312" w:hAnsi="仿宋" w:eastAsia="仿宋_GB2312"/>
          <w:sz w:val="30"/>
          <w:szCs w:val="30"/>
          <w:highlight w:val="none"/>
          <w:lang w:val="en-US" w:eastAsia="zh-CN"/>
        </w:rPr>
        <w:t>4</w:t>
      </w:r>
      <w:r>
        <w:rPr>
          <w:rFonts w:hint="eastAsia" w:ascii="仿宋_GB2312" w:hAnsi="仿宋" w:eastAsia="仿宋_GB2312"/>
          <w:sz w:val="30"/>
          <w:szCs w:val="30"/>
          <w:highlight w:val="none"/>
        </w:rPr>
        <w:t>年1月1日至12月31日配备的执法执勤用车数量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取自资产信息卡</w:t>
      </w:r>
      <w:r>
        <w:rPr>
          <w:rFonts w:hint="eastAsia" w:ascii="仿宋_GB2312" w:hAnsi="仿宋" w:eastAsia="仿宋_GB2312"/>
          <w:sz w:val="30"/>
          <w:szCs w:val="30"/>
          <w:highlight w:val="none"/>
        </w:rPr>
        <w:t>。</w:t>
      </w:r>
    </w:p>
    <w:p w14:paraId="790A8D0F">
      <w:pPr>
        <w:snapToGrid w:val="0"/>
        <w:spacing w:line="360" w:lineRule="auto"/>
        <w:ind w:firstLine="600" w:firstLineChars="200"/>
        <w:rPr>
          <w:rFonts w:hint="eastAsia" w:ascii="仿宋_GB2312" w:hAnsi="仿宋" w:eastAsia="仿宋_GB2312"/>
          <w:sz w:val="30"/>
          <w:szCs w:val="30"/>
          <w:highlight w:val="none"/>
          <w:lang w:val="en-US" w:eastAsia="zh-CN"/>
        </w:rPr>
      </w:pPr>
      <w:r>
        <w:rPr>
          <w:rFonts w:hint="eastAsia" w:ascii="仿宋_GB2312" w:hAnsi="仿宋" w:eastAsia="仿宋_GB2312"/>
          <w:sz w:val="30"/>
          <w:szCs w:val="30"/>
          <w:highlight w:val="none"/>
          <w:lang w:val="en-US" w:eastAsia="zh-CN"/>
        </w:rPr>
        <w:t>4.</w:t>
      </w:r>
      <w:r>
        <w:rPr>
          <w:rFonts w:hint="eastAsia" w:ascii="仿宋_GB2312" w:hAnsi="仿宋" w:eastAsia="仿宋_GB2312"/>
          <w:sz w:val="30"/>
          <w:szCs w:val="30"/>
          <w:highlight w:val="none"/>
        </w:rPr>
        <w:t>喷涂标识数：截</w:t>
      </w:r>
      <w:r>
        <w:rPr>
          <w:rFonts w:hint="eastAsia" w:ascii="仿宋_GB2312" w:hAnsi="仿宋" w:eastAsia="仿宋_GB2312"/>
          <w:sz w:val="30"/>
          <w:szCs w:val="30"/>
          <w:highlight w:val="none"/>
          <w:lang w:val="en-US" w:eastAsia="zh-CN"/>
        </w:rPr>
        <w:t>至</w:t>
      </w:r>
      <w:r>
        <w:rPr>
          <w:rFonts w:hint="eastAsia" w:ascii="仿宋_GB2312" w:hAnsi="仿宋" w:eastAsia="仿宋_GB2312"/>
          <w:sz w:val="30"/>
          <w:szCs w:val="30"/>
          <w:highlight w:val="none"/>
        </w:rPr>
        <w:t>202</w:t>
      </w:r>
      <w:r>
        <w:rPr>
          <w:rFonts w:hint="eastAsia" w:ascii="仿宋_GB2312" w:hAnsi="仿宋" w:eastAsia="仿宋_GB2312"/>
          <w:sz w:val="30"/>
          <w:szCs w:val="30"/>
          <w:highlight w:val="none"/>
          <w:lang w:val="en-US" w:eastAsia="zh-CN"/>
        </w:rPr>
        <w:t>4</w:t>
      </w:r>
      <w:r>
        <w:rPr>
          <w:rFonts w:hint="eastAsia" w:ascii="仿宋_GB2312" w:hAnsi="仿宋" w:eastAsia="仿宋_GB2312"/>
          <w:sz w:val="30"/>
          <w:szCs w:val="30"/>
          <w:highlight w:val="none"/>
        </w:rPr>
        <w:t>年12月31日已喷涂标识的执法执勤用车数量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提取财资06表车辆情况表车辆用途（19栏）为执法执勤用车，且是否喷涂标识为“是 ”的车辆数。</w:t>
      </w:r>
    </w:p>
    <w:p w14:paraId="7A7CCB48">
      <w:pPr>
        <w:snapToGrid w:val="0"/>
        <w:spacing w:line="360" w:lineRule="auto"/>
        <w:ind w:firstLine="602" w:firstLineChars="200"/>
        <w:rPr>
          <w:rFonts w:hint="eastAsia" w:ascii="仿宋_GB2312" w:hAnsi="仿宋" w:eastAsia="仿宋_GB2312"/>
          <w:b/>
          <w:bCs/>
          <w:sz w:val="30"/>
          <w:szCs w:val="30"/>
          <w:highlight w:val="none"/>
          <w:lang w:val="en-US" w:eastAsia="zh-CN"/>
        </w:rPr>
      </w:pPr>
      <w:r>
        <w:rPr>
          <w:rFonts w:hint="eastAsia" w:ascii="仿宋_GB2312" w:hAnsi="仿宋" w:eastAsia="仿宋_GB2312"/>
          <w:b/>
          <w:bCs/>
          <w:sz w:val="30"/>
          <w:szCs w:val="30"/>
          <w:highlight w:val="none"/>
          <w:lang w:val="en-US" w:eastAsia="zh-CN"/>
        </w:rPr>
        <w:t>逻辑性审核公式：</w:t>
      </w:r>
    </w:p>
    <w:p w14:paraId="2F44E633">
      <w:pPr>
        <w:snapToGrid w:val="0"/>
        <w:spacing w:line="360" w:lineRule="auto"/>
        <w:ind w:firstLine="602" w:firstLineChars="200"/>
        <w:rPr>
          <w:rFonts w:hint="eastAsia" w:ascii="仿宋_GB2312" w:hAnsi="仿宋" w:eastAsia="仿宋_GB2312"/>
          <w:b/>
          <w:bCs/>
          <w:sz w:val="30"/>
          <w:szCs w:val="30"/>
          <w:highlight w:val="none"/>
          <w:lang w:val="en-US" w:eastAsia="zh-CN"/>
        </w:rPr>
      </w:pPr>
      <w:r>
        <w:rPr>
          <w:rFonts w:hint="eastAsia" w:ascii="仿宋_GB2312" w:hAnsi="仿宋" w:eastAsia="仿宋_GB2312"/>
          <w:b/>
          <w:bCs/>
          <w:sz w:val="30"/>
          <w:szCs w:val="30"/>
          <w:highlight w:val="none"/>
          <w:lang w:val="en-US" w:eastAsia="zh-CN"/>
        </w:rPr>
        <w:t>表内公式：</w:t>
      </w:r>
    </w:p>
    <w:p w14:paraId="35357CA0">
      <w:pPr>
        <w:numPr>
          <w:ilvl w:val="0"/>
          <w:numId w:val="2"/>
        </w:numPr>
        <w:adjustRightInd w:val="0"/>
        <w:snapToGrid w:val="0"/>
        <w:spacing w:line="360" w:lineRule="auto"/>
        <w:ind w:left="0" w:firstLine="600"/>
        <w:rPr>
          <w:rFonts w:hint="default" w:ascii="仿宋_GB2312" w:hAnsi="仿宋" w:eastAsia="仿宋_GB2312"/>
          <w:sz w:val="30"/>
          <w:szCs w:val="30"/>
          <w:highlight w:val="none"/>
          <w:lang w:val="en-US" w:eastAsia="zh-CN"/>
        </w:rPr>
      </w:pPr>
      <w:r>
        <w:rPr>
          <w:rFonts w:hint="default" w:ascii="仿宋_GB2312" w:hAnsi="仿宋" w:eastAsia="仿宋_GB2312"/>
          <w:sz w:val="30"/>
          <w:szCs w:val="30"/>
          <w:highlight w:val="none"/>
          <w:lang w:val="en-US" w:eastAsia="zh-CN"/>
        </w:rPr>
        <w:t>合计</w:t>
      </w:r>
      <w:r>
        <w:rPr>
          <w:rFonts w:hint="eastAsia" w:ascii="仿宋_GB2312" w:hAnsi="仿宋" w:eastAsia="仿宋_GB2312"/>
          <w:sz w:val="30"/>
          <w:szCs w:val="30"/>
          <w:highlight w:val="none"/>
          <w:lang w:val="en-US" w:eastAsia="zh-CN"/>
        </w:rPr>
        <w:t>行</w:t>
      </w:r>
      <w:r>
        <w:rPr>
          <w:rFonts w:hint="default" w:ascii="仿宋_GB2312" w:hAnsi="仿宋" w:eastAsia="仿宋_GB2312"/>
          <w:sz w:val="30"/>
          <w:szCs w:val="30"/>
          <w:highlight w:val="none"/>
          <w:lang w:val="en-US" w:eastAsia="zh-CN"/>
        </w:rPr>
        <w:t>等于省级、</w:t>
      </w:r>
      <w:r>
        <w:rPr>
          <w:rFonts w:hint="eastAsia" w:ascii="仿宋_GB2312" w:hAnsi="仿宋" w:eastAsia="仿宋_GB2312"/>
          <w:sz w:val="30"/>
          <w:szCs w:val="30"/>
          <w:highlight w:val="none"/>
          <w:lang w:val="en-US" w:eastAsia="zh-CN"/>
        </w:rPr>
        <w:t>计划单列市、</w:t>
      </w:r>
      <w:r>
        <w:rPr>
          <w:rFonts w:hint="default" w:ascii="仿宋_GB2312" w:hAnsi="仿宋" w:eastAsia="仿宋_GB2312"/>
          <w:sz w:val="30"/>
          <w:szCs w:val="30"/>
          <w:highlight w:val="none"/>
          <w:lang w:val="en-US" w:eastAsia="zh-CN"/>
        </w:rPr>
        <w:t>市级、县级及以下</w:t>
      </w:r>
      <w:r>
        <w:rPr>
          <w:rFonts w:hint="eastAsia" w:ascii="仿宋_GB2312" w:hAnsi="仿宋" w:eastAsia="仿宋_GB2312"/>
          <w:sz w:val="30"/>
          <w:szCs w:val="30"/>
          <w:highlight w:val="none"/>
          <w:lang w:val="en-US" w:eastAsia="zh-CN"/>
        </w:rPr>
        <w:t>各</w:t>
      </w:r>
      <w:r>
        <w:rPr>
          <w:rFonts w:hint="default" w:ascii="仿宋_GB2312" w:hAnsi="仿宋" w:eastAsia="仿宋_GB2312"/>
          <w:sz w:val="30"/>
          <w:szCs w:val="30"/>
          <w:highlight w:val="none"/>
          <w:lang w:val="en-US" w:eastAsia="zh-CN"/>
        </w:rPr>
        <w:t>行</w:t>
      </w:r>
      <w:r>
        <w:rPr>
          <w:rFonts w:hint="eastAsia" w:ascii="仿宋_GB2312" w:hAnsi="仿宋" w:eastAsia="仿宋_GB2312"/>
          <w:sz w:val="30"/>
          <w:szCs w:val="30"/>
          <w:highlight w:val="none"/>
          <w:lang w:val="en-US" w:eastAsia="zh-CN"/>
        </w:rPr>
        <w:t>对应指标</w:t>
      </w:r>
      <w:r>
        <w:rPr>
          <w:rFonts w:hint="default" w:ascii="仿宋_GB2312" w:hAnsi="仿宋" w:eastAsia="仿宋_GB2312"/>
          <w:sz w:val="30"/>
          <w:szCs w:val="30"/>
          <w:highlight w:val="none"/>
          <w:lang w:val="en-US" w:eastAsia="zh-CN"/>
        </w:rPr>
        <w:t>之和</w:t>
      </w:r>
      <w:r>
        <w:rPr>
          <w:rFonts w:hint="eastAsia" w:ascii="仿宋_GB2312" w:hAnsi="仿宋" w:eastAsia="仿宋_GB2312"/>
          <w:sz w:val="30"/>
          <w:szCs w:val="30"/>
          <w:highlight w:val="none"/>
          <w:lang w:val="en-US" w:eastAsia="zh-CN"/>
        </w:rPr>
        <w:t>；</w:t>
      </w:r>
    </w:p>
    <w:p w14:paraId="734FEFF6">
      <w:pPr>
        <w:numPr>
          <w:ilvl w:val="0"/>
          <w:numId w:val="2"/>
        </w:numPr>
        <w:adjustRightInd w:val="0"/>
        <w:snapToGrid w:val="0"/>
        <w:spacing w:line="360" w:lineRule="auto"/>
        <w:ind w:left="0" w:firstLine="600"/>
        <w:rPr>
          <w:rFonts w:hint="default" w:ascii="仿宋_GB2312" w:hAnsi="仿宋" w:eastAsia="仿宋_GB2312"/>
          <w:sz w:val="30"/>
          <w:szCs w:val="30"/>
          <w:highlight w:val="none"/>
          <w:lang w:val="en-US" w:eastAsia="zh-CN"/>
        </w:rPr>
      </w:pPr>
      <w:r>
        <w:rPr>
          <w:rFonts w:hint="eastAsia" w:ascii="仿宋_GB2312" w:hAnsi="仿宋" w:eastAsia="仿宋_GB2312"/>
          <w:sz w:val="30"/>
          <w:szCs w:val="30"/>
          <w:highlight w:val="none"/>
          <w:lang w:val="en-US" w:eastAsia="zh-CN"/>
        </w:rPr>
        <w:t>若喷涂标识数（4栏）&lt;实有数（2栏），需备注说明具体原因。</w:t>
      </w:r>
    </w:p>
    <w:p w14:paraId="09B2E176">
      <w:pPr>
        <w:snapToGrid w:val="0"/>
        <w:spacing w:line="360" w:lineRule="auto"/>
        <w:ind w:firstLine="602" w:firstLineChars="200"/>
        <w:rPr>
          <w:rFonts w:hint="eastAsia" w:ascii="仿宋_GB2312" w:hAnsi="仿宋" w:eastAsia="仿宋_GB2312"/>
          <w:sz w:val="30"/>
          <w:szCs w:val="30"/>
          <w:highlight w:val="none"/>
          <w:lang w:val="en-US" w:eastAsia="zh-CN"/>
        </w:rPr>
      </w:pPr>
      <w:r>
        <w:rPr>
          <w:rFonts w:hint="eastAsia" w:ascii="仿宋_GB2312" w:hAnsi="仿宋" w:eastAsia="仿宋_GB2312"/>
          <w:b/>
          <w:bCs/>
          <w:sz w:val="30"/>
          <w:szCs w:val="30"/>
          <w:highlight w:val="none"/>
          <w:lang w:val="en-US" w:eastAsia="zh-CN"/>
        </w:rPr>
        <w:t>表间公式：</w:t>
      </w:r>
    </w:p>
    <w:p w14:paraId="31F55889">
      <w:pPr>
        <w:numPr>
          <w:ilvl w:val="0"/>
          <w:numId w:val="2"/>
        </w:numPr>
        <w:adjustRightInd w:val="0"/>
        <w:snapToGrid w:val="0"/>
        <w:spacing w:line="360" w:lineRule="auto"/>
        <w:ind w:left="0" w:firstLine="600"/>
        <w:rPr>
          <w:rFonts w:hint="eastAsia" w:ascii="仿宋_GB2312" w:hAnsi="仿宋" w:eastAsia="仿宋_GB2312"/>
          <w:sz w:val="30"/>
          <w:szCs w:val="30"/>
          <w:highlight w:val="none"/>
          <w:lang w:val="en-US" w:eastAsia="zh-CN"/>
        </w:rPr>
      </w:pPr>
      <w:r>
        <w:rPr>
          <w:rFonts w:hint="eastAsia" w:ascii="仿宋_GB2312" w:hAnsi="仿宋" w:eastAsia="仿宋_GB2312"/>
          <w:sz w:val="30"/>
          <w:szCs w:val="30"/>
          <w:highlight w:val="none"/>
          <w:lang w:val="en-US" w:eastAsia="zh-CN"/>
        </w:rPr>
        <w:t>当单户封面预算级次为“</w:t>
      </w:r>
      <w:r>
        <w:rPr>
          <w:rFonts w:hint="eastAsia" w:ascii="仿宋_GB2312" w:hAnsi="仿宋" w:eastAsia="仿宋_GB2312"/>
          <w:sz w:val="30"/>
          <w:szCs w:val="30"/>
          <w:highlight w:val="none"/>
        </w:rPr>
        <w:t>省级</w:t>
      </w:r>
      <w:r>
        <w:rPr>
          <w:rFonts w:hint="eastAsia" w:ascii="仿宋_GB2312" w:hAnsi="仿宋" w:eastAsia="仿宋_GB2312"/>
          <w:sz w:val="30"/>
          <w:szCs w:val="30"/>
          <w:highlight w:val="none"/>
          <w:lang w:val="en-US" w:eastAsia="zh-CN"/>
        </w:rPr>
        <w:t>”时，除合计行外，省级（2行）大于等于0，其他行应为0；</w:t>
      </w:r>
    </w:p>
    <w:p w14:paraId="10277BF6">
      <w:pPr>
        <w:numPr>
          <w:ilvl w:val="0"/>
          <w:numId w:val="2"/>
        </w:numPr>
        <w:adjustRightInd w:val="0"/>
        <w:snapToGrid w:val="0"/>
        <w:spacing w:line="360" w:lineRule="auto"/>
        <w:ind w:left="0" w:firstLine="600"/>
        <w:rPr>
          <w:rFonts w:hint="eastAsia" w:ascii="仿宋_GB2312" w:hAnsi="仿宋" w:eastAsia="仿宋_GB2312"/>
          <w:sz w:val="30"/>
          <w:szCs w:val="30"/>
          <w:highlight w:val="none"/>
          <w:lang w:val="en-US" w:eastAsia="zh-CN"/>
        </w:rPr>
      </w:pPr>
      <w:r>
        <w:rPr>
          <w:rFonts w:hint="eastAsia" w:ascii="仿宋_GB2312" w:hAnsi="仿宋" w:eastAsia="仿宋_GB2312"/>
          <w:sz w:val="30"/>
          <w:szCs w:val="30"/>
          <w:highlight w:val="none"/>
          <w:lang w:val="en-US" w:eastAsia="zh-CN"/>
        </w:rPr>
        <w:t>当单户封面预算级次为“</w:t>
      </w:r>
      <w:r>
        <w:rPr>
          <w:rFonts w:hint="eastAsia" w:ascii="仿宋_GB2312" w:hAnsi="仿宋" w:eastAsia="仿宋_GB2312"/>
          <w:sz w:val="30"/>
          <w:szCs w:val="30"/>
          <w:highlight w:val="none"/>
        </w:rPr>
        <w:t>计划单列市</w:t>
      </w:r>
      <w:r>
        <w:rPr>
          <w:rFonts w:hint="eastAsia" w:ascii="仿宋_GB2312" w:hAnsi="仿宋" w:eastAsia="仿宋_GB2312"/>
          <w:sz w:val="30"/>
          <w:szCs w:val="30"/>
          <w:highlight w:val="none"/>
          <w:lang w:val="en-US" w:eastAsia="zh-CN"/>
        </w:rPr>
        <w:t>”时，除合计行外，</w:t>
      </w:r>
      <w:r>
        <w:rPr>
          <w:rFonts w:hint="eastAsia" w:ascii="仿宋_GB2312" w:hAnsi="仿宋" w:eastAsia="仿宋_GB2312"/>
          <w:sz w:val="30"/>
          <w:szCs w:val="30"/>
          <w:highlight w:val="none"/>
        </w:rPr>
        <w:t>计划单列市</w:t>
      </w:r>
      <w:r>
        <w:rPr>
          <w:rFonts w:hint="eastAsia" w:ascii="仿宋_GB2312" w:hAnsi="仿宋" w:eastAsia="仿宋_GB2312"/>
          <w:sz w:val="30"/>
          <w:szCs w:val="30"/>
          <w:highlight w:val="none"/>
          <w:lang w:val="en-US" w:eastAsia="zh-CN"/>
        </w:rPr>
        <w:t>（3行）大于等于0，其他行应为0；</w:t>
      </w:r>
    </w:p>
    <w:p w14:paraId="19BCA17C">
      <w:pPr>
        <w:numPr>
          <w:ilvl w:val="0"/>
          <w:numId w:val="2"/>
        </w:numPr>
        <w:adjustRightInd w:val="0"/>
        <w:snapToGrid w:val="0"/>
        <w:spacing w:line="360" w:lineRule="auto"/>
        <w:ind w:left="0" w:firstLine="600"/>
        <w:rPr>
          <w:rFonts w:hint="eastAsia" w:ascii="仿宋_GB2312" w:hAnsi="仿宋" w:eastAsia="仿宋_GB2312"/>
          <w:sz w:val="30"/>
          <w:szCs w:val="30"/>
          <w:highlight w:val="none"/>
          <w:lang w:val="en-US" w:eastAsia="zh-CN"/>
        </w:rPr>
      </w:pPr>
      <w:r>
        <w:rPr>
          <w:rFonts w:hint="eastAsia" w:ascii="仿宋_GB2312" w:hAnsi="仿宋" w:eastAsia="仿宋_GB2312"/>
          <w:sz w:val="30"/>
          <w:szCs w:val="30"/>
          <w:highlight w:val="none"/>
          <w:lang w:val="en-US" w:eastAsia="zh-CN"/>
        </w:rPr>
        <w:t>当单户封面预算级次为“市级”时，除合计行外，市级（4行）大于等于0，其他行应为0；</w:t>
      </w:r>
    </w:p>
    <w:p w14:paraId="50869A8F">
      <w:pPr>
        <w:numPr>
          <w:ilvl w:val="0"/>
          <w:numId w:val="2"/>
        </w:numPr>
        <w:adjustRightInd w:val="0"/>
        <w:snapToGrid w:val="0"/>
        <w:spacing w:line="360" w:lineRule="auto"/>
        <w:ind w:left="0" w:firstLine="600"/>
        <w:rPr>
          <w:rFonts w:hint="eastAsia" w:ascii="仿宋_GB2312" w:hAnsi="仿宋" w:eastAsia="仿宋_GB2312"/>
          <w:sz w:val="30"/>
          <w:szCs w:val="30"/>
          <w:highlight w:val="none"/>
          <w:lang w:val="en-US" w:eastAsia="zh-CN"/>
        </w:rPr>
      </w:pPr>
      <w:r>
        <w:rPr>
          <w:rFonts w:hint="eastAsia" w:ascii="仿宋_GB2312" w:hAnsi="仿宋" w:eastAsia="仿宋_GB2312"/>
          <w:sz w:val="30"/>
          <w:szCs w:val="30"/>
          <w:highlight w:val="none"/>
          <w:lang w:val="en-US" w:eastAsia="zh-CN"/>
        </w:rPr>
        <w:t>当单户封面预算级次为“</w:t>
      </w:r>
      <w:r>
        <w:rPr>
          <w:rFonts w:hint="eastAsia" w:ascii="仿宋_GB2312" w:hAnsi="仿宋" w:eastAsia="仿宋_GB2312"/>
          <w:sz w:val="30"/>
          <w:szCs w:val="30"/>
          <w:highlight w:val="none"/>
        </w:rPr>
        <w:t>县（区）级</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乡级”，除合计行外，县级及以下（5行）大于等于0，其他行应为0。</w:t>
      </w:r>
    </w:p>
    <w:p w14:paraId="45B87121">
      <w:pPr>
        <w:snapToGrid w:val="0"/>
        <w:spacing w:line="360" w:lineRule="auto"/>
        <w:ind w:firstLine="602" w:firstLineChars="200"/>
        <w:rPr>
          <w:rFonts w:hint="default" w:ascii="仿宋_GB2312" w:hAnsi="仿宋" w:eastAsia="仿宋_GB2312"/>
          <w:b/>
          <w:bCs/>
          <w:sz w:val="30"/>
          <w:szCs w:val="30"/>
          <w:highlight w:val="none"/>
          <w:lang w:val="en-US" w:eastAsia="zh-CN"/>
        </w:rPr>
      </w:pPr>
      <w:r>
        <w:rPr>
          <w:rFonts w:hint="eastAsia" w:ascii="仿宋_GB2312" w:hAnsi="仿宋" w:eastAsia="仿宋_GB2312"/>
          <w:b/>
          <w:bCs/>
          <w:sz w:val="30"/>
          <w:szCs w:val="30"/>
          <w:highlight w:val="none"/>
          <w:lang w:val="en-US" w:eastAsia="zh-CN"/>
        </w:rPr>
        <w:t>核实性公式：</w:t>
      </w:r>
    </w:p>
    <w:p w14:paraId="2348FBE2">
      <w:pPr>
        <w:numPr>
          <w:ilvl w:val="0"/>
          <w:numId w:val="2"/>
        </w:numPr>
        <w:adjustRightInd w:val="0"/>
        <w:snapToGrid w:val="0"/>
        <w:spacing w:line="360" w:lineRule="auto"/>
        <w:ind w:left="0" w:firstLine="600"/>
        <w:rPr>
          <w:rFonts w:hint="eastAsia" w:ascii="仿宋_GB2312" w:hAnsi="仿宋" w:eastAsia="仿宋_GB2312"/>
          <w:sz w:val="30"/>
          <w:szCs w:val="30"/>
          <w:highlight w:val="none"/>
          <w:lang w:val="en-US" w:eastAsia="zh-CN"/>
        </w:rPr>
      </w:pPr>
      <w:r>
        <w:rPr>
          <w:rFonts w:hint="eastAsia" w:ascii="仿宋_GB2312" w:hAnsi="仿宋" w:eastAsia="仿宋_GB2312"/>
          <w:sz w:val="30"/>
          <w:szCs w:val="30"/>
          <w:highlight w:val="none"/>
          <w:lang w:val="en-US" w:eastAsia="zh-CN"/>
        </w:rPr>
        <w:t>若编制数（1栏）&lt;实有数（2栏），提示核实性错误，需结合实际情况修改或填写原因说明及下一步整改措施。</w:t>
      </w:r>
    </w:p>
    <w:p w14:paraId="61874170">
      <w:pPr>
        <w:pStyle w:val="2"/>
        <w:rPr>
          <w:rFonts w:hint="eastAsia"/>
          <w:b/>
          <w:color w:val="auto"/>
          <w:highlight w:val="none"/>
        </w:rPr>
      </w:pPr>
      <w:r>
        <w:rPr>
          <w:rFonts w:hint="eastAsia"/>
          <w:color w:val="auto"/>
          <w:highlight w:val="none"/>
        </w:rPr>
        <w:t>（</w:t>
      </w:r>
      <w:r>
        <w:rPr>
          <w:rFonts w:hint="eastAsia"/>
          <w:color w:val="auto"/>
          <w:highlight w:val="none"/>
          <w:lang w:val="en-US" w:eastAsia="zh-CN"/>
        </w:rPr>
        <w:t>二十三</w:t>
      </w:r>
      <w:r>
        <w:rPr>
          <w:rFonts w:hint="eastAsia"/>
          <w:color w:val="auto"/>
          <w:highlight w:val="none"/>
        </w:rPr>
        <w:t>）</w:t>
      </w:r>
      <w:r>
        <w:rPr>
          <w:rFonts w:hint="eastAsia"/>
          <w:color w:val="auto"/>
          <w:highlight w:val="none"/>
          <w:lang w:val="en-US" w:eastAsia="zh-CN"/>
        </w:rPr>
        <w:t>卫生健康行业资产情况表</w:t>
      </w:r>
      <w:r>
        <w:rPr>
          <w:rFonts w:hint="eastAsia"/>
          <w:color w:val="auto"/>
          <w:highlight w:val="none"/>
        </w:rPr>
        <w:t>（财资</w:t>
      </w:r>
      <w:r>
        <w:rPr>
          <w:rFonts w:hint="eastAsia"/>
          <w:color w:val="auto"/>
          <w:highlight w:val="none"/>
          <w:lang w:val="en-US" w:eastAsia="zh-CN"/>
        </w:rPr>
        <w:t>附03表</w:t>
      </w:r>
      <w:r>
        <w:rPr>
          <w:rFonts w:hint="eastAsia"/>
          <w:color w:val="auto"/>
          <w:highlight w:val="none"/>
        </w:rPr>
        <w:t>）</w:t>
      </w:r>
    </w:p>
    <w:p w14:paraId="115D5082">
      <w:pPr>
        <w:snapToGrid w:val="0"/>
        <w:spacing w:line="360" w:lineRule="auto"/>
        <w:ind w:firstLine="600" w:firstLineChars="200"/>
        <w:rPr>
          <w:rFonts w:hint="eastAsia" w:ascii="仿宋_GB2312" w:hAnsi="宋体" w:eastAsia="仿宋_GB2312"/>
          <w:sz w:val="30"/>
          <w:szCs w:val="30"/>
          <w:highlight w:val="none"/>
        </w:rPr>
      </w:pPr>
      <w:r>
        <w:rPr>
          <w:rFonts w:hint="eastAsia" w:ascii="仿宋_GB2312" w:hAnsi="宋体" w:eastAsia="仿宋_GB2312"/>
          <w:sz w:val="30"/>
          <w:szCs w:val="30"/>
          <w:highlight w:val="none"/>
          <w:lang w:val="en-US" w:eastAsia="zh-CN"/>
        </w:rPr>
        <w:t>本表由部门标识代码为“中华人民共和国国家卫生健康委员会”、“国家中医药管理局”、“国家疾病预防控制局”，或机构行业类型为“卫生”的单位进行填报，反映本单位卫生健康行业资产情况 ，单位根据实际情况手动填列。</w:t>
      </w:r>
    </w:p>
    <w:p w14:paraId="7A3622F2">
      <w:pPr>
        <w:spacing w:line="360" w:lineRule="auto"/>
        <w:ind w:firstLine="578" w:firstLineChars="192"/>
        <w:rPr>
          <w:rFonts w:ascii="仿宋_GB2312" w:eastAsia="仿宋_GB2312"/>
          <w:b/>
          <w:bCs/>
          <w:color w:val="auto"/>
          <w:sz w:val="30"/>
          <w:szCs w:val="30"/>
          <w:highlight w:val="none"/>
        </w:rPr>
      </w:pPr>
      <w:r>
        <w:rPr>
          <w:rFonts w:hint="eastAsia" w:ascii="仿宋_GB2312" w:eastAsia="仿宋_GB2312"/>
          <w:b/>
          <w:bCs/>
          <w:color w:val="auto"/>
          <w:sz w:val="30"/>
          <w:szCs w:val="30"/>
          <w:highlight w:val="none"/>
        </w:rPr>
        <w:t>主要指标说明：</w:t>
      </w:r>
    </w:p>
    <w:p w14:paraId="59A0405D">
      <w:pPr>
        <w:adjustRightInd w:val="0"/>
        <w:snapToGrid w:val="0"/>
        <w:spacing w:line="360" w:lineRule="auto"/>
        <w:ind w:firstLine="600"/>
        <w:rPr>
          <w:rFonts w:hint="eastAsia" w:ascii="仿宋_GB2312" w:hAnsi="宋体" w:eastAsia="仿宋_GB2312"/>
          <w:bCs/>
          <w:sz w:val="30"/>
          <w:szCs w:val="30"/>
          <w:highlight w:val="none"/>
          <w:lang w:val="en-US" w:eastAsia="zh-CN"/>
        </w:rPr>
      </w:pPr>
      <w:r>
        <w:rPr>
          <w:rFonts w:hint="eastAsia" w:ascii="仿宋_GB2312" w:hAnsi="宋体" w:eastAsia="仿宋_GB2312"/>
          <w:bCs/>
          <w:sz w:val="30"/>
          <w:szCs w:val="30"/>
          <w:highlight w:val="none"/>
          <w:lang w:val="en-US" w:eastAsia="zh-CN"/>
        </w:rPr>
        <w:t>1.管理人员：反映担负领导职责或管理任务的工作人员。包括从事医疗保健、疾病控制、卫生监督、医学科研与教学等业务管理工作的人员；主要从事党政、人事、财务、信息、安全保卫等行政管理工作的人员。</w:t>
      </w:r>
    </w:p>
    <w:p w14:paraId="49AC4E60">
      <w:pPr>
        <w:adjustRightInd w:val="0"/>
        <w:snapToGrid w:val="0"/>
        <w:spacing w:line="360" w:lineRule="auto"/>
        <w:ind w:firstLine="600"/>
        <w:rPr>
          <w:rFonts w:hint="eastAsia" w:ascii="仿宋_GB2312" w:hAnsi="宋体" w:eastAsia="仿宋_GB2312"/>
          <w:bCs/>
          <w:sz w:val="30"/>
          <w:szCs w:val="30"/>
          <w:highlight w:val="none"/>
        </w:rPr>
      </w:pPr>
      <w:r>
        <w:rPr>
          <w:rFonts w:hint="eastAsia" w:ascii="仿宋_GB2312" w:hAnsi="宋体" w:eastAsia="仿宋_GB2312"/>
          <w:bCs/>
          <w:sz w:val="30"/>
          <w:szCs w:val="30"/>
          <w:highlight w:val="none"/>
          <w:lang w:val="en-US" w:eastAsia="zh-CN"/>
        </w:rPr>
        <w:t>2.</w:t>
      </w:r>
      <w:r>
        <w:rPr>
          <w:rFonts w:hint="eastAsia" w:ascii="仿宋_GB2312" w:hAnsi="宋体" w:eastAsia="仿宋_GB2312"/>
          <w:bCs/>
          <w:sz w:val="30"/>
          <w:szCs w:val="30"/>
          <w:highlight w:val="none"/>
        </w:rPr>
        <w:t>卫生技术人员：包括执业医师、执业助理医师、注册护士、药师（士）、检验技师（士）、影像技师（士）、卫生监督员和见习医（药、护、技）师（士）等卫生专业人员。不包括仅从事管理工作的卫生技术人员（如院长、副院长、党委书记等）。</w:t>
      </w:r>
    </w:p>
    <w:p w14:paraId="5714613A">
      <w:pPr>
        <w:adjustRightInd w:val="0"/>
        <w:snapToGrid w:val="0"/>
        <w:spacing w:line="360" w:lineRule="auto"/>
        <w:ind w:firstLine="600"/>
        <w:rPr>
          <w:rFonts w:hint="eastAsia" w:ascii="仿宋_GB2312" w:hAnsi="宋体" w:eastAsia="仿宋_GB2312"/>
          <w:bCs/>
          <w:sz w:val="30"/>
          <w:szCs w:val="30"/>
          <w:highlight w:val="none"/>
        </w:rPr>
      </w:pPr>
      <w:r>
        <w:rPr>
          <w:rFonts w:hint="eastAsia" w:ascii="仿宋_GB2312" w:hAnsi="宋体" w:eastAsia="仿宋_GB2312"/>
          <w:bCs/>
          <w:sz w:val="30"/>
          <w:szCs w:val="30"/>
          <w:highlight w:val="none"/>
          <w:lang w:eastAsia="zh-CN"/>
        </w:rPr>
        <w:t>（</w:t>
      </w:r>
      <w:r>
        <w:rPr>
          <w:rFonts w:hint="eastAsia" w:ascii="仿宋_GB2312" w:hAnsi="宋体" w:eastAsia="仿宋_GB2312"/>
          <w:bCs/>
          <w:sz w:val="30"/>
          <w:szCs w:val="30"/>
          <w:highlight w:val="none"/>
          <w:lang w:val="en-US" w:eastAsia="zh-CN"/>
        </w:rPr>
        <w:t>1</w:t>
      </w:r>
      <w:r>
        <w:rPr>
          <w:rFonts w:hint="eastAsia" w:ascii="仿宋_GB2312" w:hAnsi="宋体" w:eastAsia="仿宋_GB2312"/>
          <w:bCs/>
          <w:sz w:val="30"/>
          <w:szCs w:val="30"/>
          <w:highlight w:val="none"/>
          <w:lang w:eastAsia="zh-CN"/>
        </w:rPr>
        <w:t>）</w:t>
      </w:r>
      <w:r>
        <w:rPr>
          <w:rFonts w:hint="eastAsia" w:ascii="仿宋_GB2312" w:hAnsi="宋体" w:eastAsia="仿宋_GB2312"/>
          <w:bCs/>
          <w:sz w:val="30"/>
          <w:szCs w:val="30"/>
          <w:highlight w:val="none"/>
        </w:rPr>
        <w:t>执业（助理）医师：指医师执业证“级别”为“执业医师”、“执业助理医师”且实际从事医疗、预防保健工作的人员，不包括实际从事管理工作的执业医师、执业助理医师。执业（助理）医师类别分为临床、中医、口腔和公共卫生四类。</w:t>
      </w:r>
    </w:p>
    <w:p w14:paraId="19D4D1FB">
      <w:pPr>
        <w:adjustRightInd w:val="0"/>
        <w:snapToGrid w:val="0"/>
        <w:spacing w:line="360" w:lineRule="auto"/>
        <w:ind w:firstLine="600"/>
        <w:rPr>
          <w:rFonts w:hint="eastAsia" w:ascii="仿宋_GB2312" w:hAnsi="宋体" w:eastAsia="仿宋_GB2312"/>
          <w:bCs/>
          <w:sz w:val="30"/>
          <w:szCs w:val="30"/>
          <w:highlight w:val="none"/>
        </w:rPr>
      </w:pPr>
      <w:r>
        <w:rPr>
          <w:rFonts w:hint="eastAsia" w:ascii="仿宋_GB2312" w:hAnsi="宋体" w:eastAsia="仿宋_GB2312"/>
          <w:bCs/>
          <w:sz w:val="30"/>
          <w:szCs w:val="30"/>
          <w:highlight w:val="none"/>
          <w:lang w:val="en-US" w:eastAsia="zh-CN"/>
        </w:rPr>
        <w:t>（2）</w:t>
      </w:r>
      <w:r>
        <w:rPr>
          <w:rFonts w:hint="eastAsia" w:ascii="仿宋_GB2312" w:hAnsi="宋体" w:eastAsia="仿宋_GB2312"/>
          <w:bCs/>
          <w:sz w:val="30"/>
          <w:szCs w:val="30"/>
          <w:highlight w:val="none"/>
        </w:rPr>
        <w:t>注册护士：指具有注册护士证书且实际从事护理工作的人员，不包括从事管理工作的护士。</w:t>
      </w:r>
    </w:p>
    <w:p w14:paraId="044CC00F">
      <w:pPr>
        <w:adjustRightInd w:val="0"/>
        <w:snapToGrid w:val="0"/>
        <w:spacing w:line="360" w:lineRule="auto"/>
        <w:ind w:firstLine="600"/>
        <w:rPr>
          <w:rFonts w:hint="eastAsia" w:ascii="仿宋_GB2312" w:hAnsi="宋体" w:eastAsia="仿宋_GB2312"/>
          <w:bCs/>
          <w:sz w:val="30"/>
          <w:szCs w:val="30"/>
          <w:highlight w:val="none"/>
        </w:rPr>
      </w:pPr>
      <w:r>
        <w:rPr>
          <w:rFonts w:hint="eastAsia" w:ascii="仿宋_GB2312" w:hAnsi="宋体" w:eastAsia="仿宋_GB2312"/>
          <w:bCs/>
          <w:sz w:val="30"/>
          <w:szCs w:val="30"/>
          <w:highlight w:val="none"/>
          <w:lang w:eastAsia="zh-CN"/>
        </w:rPr>
        <w:t>（</w:t>
      </w:r>
      <w:r>
        <w:rPr>
          <w:rFonts w:hint="eastAsia" w:ascii="仿宋_GB2312" w:hAnsi="宋体" w:eastAsia="仿宋_GB2312"/>
          <w:bCs/>
          <w:sz w:val="30"/>
          <w:szCs w:val="30"/>
          <w:highlight w:val="none"/>
          <w:lang w:val="en-US" w:eastAsia="zh-CN"/>
        </w:rPr>
        <w:t>3</w:t>
      </w:r>
      <w:r>
        <w:rPr>
          <w:rFonts w:hint="eastAsia" w:ascii="仿宋_GB2312" w:hAnsi="宋体" w:eastAsia="仿宋_GB2312"/>
          <w:bCs/>
          <w:sz w:val="30"/>
          <w:szCs w:val="30"/>
          <w:highlight w:val="none"/>
          <w:lang w:eastAsia="zh-CN"/>
        </w:rPr>
        <w:t>）</w:t>
      </w:r>
      <w:r>
        <w:rPr>
          <w:rFonts w:hint="eastAsia" w:ascii="仿宋_GB2312" w:hAnsi="宋体" w:eastAsia="仿宋_GB2312"/>
          <w:bCs/>
          <w:sz w:val="30"/>
          <w:szCs w:val="30"/>
          <w:highlight w:val="none"/>
        </w:rPr>
        <w:t>其他：指卫生人员中除执业（助理）医师、注册护士外其他卫生技术人员。</w:t>
      </w:r>
    </w:p>
    <w:p w14:paraId="20435E1F">
      <w:pPr>
        <w:adjustRightInd w:val="0"/>
        <w:snapToGrid w:val="0"/>
        <w:spacing w:line="360" w:lineRule="auto"/>
        <w:ind w:firstLine="600"/>
        <w:rPr>
          <w:rFonts w:hint="eastAsia" w:ascii="仿宋_GB2312" w:hAnsi="宋体" w:eastAsia="仿宋_GB2312"/>
          <w:bCs/>
          <w:sz w:val="30"/>
          <w:szCs w:val="30"/>
          <w:highlight w:val="none"/>
        </w:rPr>
      </w:pPr>
      <w:r>
        <w:rPr>
          <w:rFonts w:hint="eastAsia" w:ascii="仿宋_GB2312" w:hAnsi="宋体" w:eastAsia="仿宋_GB2312"/>
          <w:bCs/>
          <w:sz w:val="30"/>
          <w:szCs w:val="30"/>
          <w:highlight w:val="none"/>
          <w:lang w:val="en-US" w:eastAsia="zh-CN"/>
        </w:rPr>
        <w:t>3.</w:t>
      </w:r>
      <w:r>
        <w:rPr>
          <w:rFonts w:hint="eastAsia" w:ascii="仿宋_GB2312" w:hAnsi="宋体" w:eastAsia="仿宋_GB2312"/>
          <w:bCs/>
          <w:sz w:val="30"/>
          <w:szCs w:val="30"/>
          <w:highlight w:val="none"/>
        </w:rPr>
        <w:t>其他人员：指除管理人员和卫生技术人员外</w:t>
      </w:r>
      <w:r>
        <w:rPr>
          <w:rFonts w:hint="eastAsia" w:ascii="仿宋_GB2312" w:hAnsi="宋体" w:eastAsia="仿宋_GB2312"/>
          <w:bCs/>
          <w:sz w:val="30"/>
          <w:szCs w:val="30"/>
          <w:highlight w:val="none"/>
          <w:lang w:val="en-US" w:eastAsia="zh-CN"/>
        </w:rPr>
        <w:t>的</w:t>
      </w:r>
      <w:r>
        <w:rPr>
          <w:rFonts w:hint="eastAsia" w:ascii="仿宋_GB2312" w:hAnsi="宋体" w:eastAsia="仿宋_GB2312"/>
          <w:bCs/>
          <w:sz w:val="30"/>
          <w:szCs w:val="30"/>
          <w:highlight w:val="none"/>
        </w:rPr>
        <w:t>其他人员。</w:t>
      </w:r>
    </w:p>
    <w:p w14:paraId="15AF14F7">
      <w:pPr>
        <w:adjustRightInd w:val="0"/>
        <w:snapToGrid w:val="0"/>
        <w:spacing w:line="360" w:lineRule="auto"/>
        <w:ind w:firstLine="600"/>
        <w:rPr>
          <w:rFonts w:hint="eastAsia" w:ascii="仿宋_GB2312" w:hAnsi="宋体" w:eastAsia="仿宋_GB2312"/>
          <w:bCs/>
          <w:sz w:val="30"/>
          <w:szCs w:val="30"/>
          <w:highlight w:val="none"/>
          <w:lang w:val="en-US" w:eastAsia="zh-CN"/>
        </w:rPr>
      </w:pPr>
      <w:r>
        <w:rPr>
          <w:rFonts w:hint="eastAsia" w:ascii="仿宋_GB2312" w:hAnsi="宋体" w:eastAsia="仿宋_GB2312"/>
          <w:bCs/>
          <w:sz w:val="30"/>
          <w:szCs w:val="30"/>
          <w:highlight w:val="none"/>
          <w:lang w:val="en-US" w:eastAsia="zh-CN"/>
        </w:rPr>
        <w:t>4.编制床位：反映单位经卫生健康主管部门核定的编制床位数。</w:t>
      </w:r>
    </w:p>
    <w:p w14:paraId="70AE3A6D">
      <w:pPr>
        <w:adjustRightInd w:val="0"/>
        <w:snapToGrid w:val="0"/>
        <w:spacing w:line="360" w:lineRule="auto"/>
        <w:ind w:firstLine="600"/>
        <w:rPr>
          <w:rFonts w:hint="eastAsia" w:ascii="仿宋_GB2312" w:hAnsi="宋体" w:eastAsia="仿宋_GB2312"/>
          <w:bCs/>
          <w:sz w:val="30"/>
          <w:szCs w:val="30"/>
          <w:highlight w:val="none"/>
          <w:lang w:val="en-US" w:eastAsia="zh-CN"/>
        </w:rPr>
      </w:pPr>
      <w:r>
        <w:rPr>
          <w:rFonts w:hint="eastAsia" w:ascii="仿宋_GB2312" w:hAnsi="宋体" w:eastAsia="仿宋_GB2312"/>
          <w:bCs/>
          <w:sz w:val="30"/>
          <w:szCs w:val="30"/>
          <w:highlight w:val="none"/>
          <w:lang w:val="en-US" w:eastAsia="zh-CN"/>
        </w:rPr>
        <w:t>5.年末实际开放床位：反映单位年末实际开放的床位数。包括因故（如消毒、小修理等）暂时停用的病床，不包括因医院病房扩建、大修理或粉刷而停用的病床及临时增设的病床</w:t>
      </w:r>
    </w:p>
    <w:p w14:paraId="0A76E73F">
      <w:pPr>
        <w:adjustRightInd w:val="0"/>
        <w:snapToGrid w:val="0"/>
        <w:spacing w:line="360" w:lineRule="auto"/>
        <w:ind w:firstLine="600"/>
        <w:rPr>
          <w:rFonts w:hint="eastAsia" w:ascii="仿宋_GB2312" w:hAnsi="宋体" w:eastAsia="仿宋_GB2312"/>
          <w:bCs/>
          <w:sz w:val="30"/>
          <w:szCs w:val="30"/>
          <w:highlight w:val="none"/>
          <w:lang w:val="en-US" w:eastAsia="zh-CN"/>
        </w:rPr>
      </w:pPr>
      <w:r>
        <w:rPr>
          <w:rFonts w:hint="eastAsia" w:ascii="仿宋_GB2312" w:hAnsi="宋体" w:eastAsia="仿宋_GB2312"/>
          <w:bCs/>
          <w:sz w:val="30"/>
          <w:szCs w:val="30"/>
          <w:highlight w:val="none"/>
          <w:lang w:val="en-US" w:eastAsia="zh-CN"/>
        </w:rPr>
        <w:t>6.年末病房房间数（个）：反映单位年末实际开放的病房房间个数。</w:t>
      </w:r>
    </w:p>
    <w:p w14:paraId="1F0D45B7">
      <w:pPr>
        <w:adjustRightInd w:val="0"/>
        <w:snapToGrid w:val="0"/>
        <w:spacing w:line="360" w:lineRule="auto"/>
        <w:ind w:firstLine="600"/>
        <w:rPr>
          <w:rFonts w:hint="eastAsia" w:ascii="仿宋_GB2312" w:hAnsi="宋体" w:eastAsia="仿宋_GB2312"/>
          <w:bCs/>
          <w:sz w:val="30"/>
          <w:szCs w:val="30"/>
          <w:highlight w:val="none"/>
          <w:lang w:val="en-US" w:eastAsia="zh-CN"/>
        </w:rPr>
      </w:pPr>
      <w:r>
        <w:rPr>
          <w:rFonts w:hint="eastAsia" w:ascii="仿宋_GB2312" w:hAnsi="宋体" w:eastAsia="仿宋_GB2312"/>
          <w:bCs/>
          <w:sz w:val="30"/>
          <w:szCs w:val="30"/>
          <w:highlight w:val="none"/>
          <w:lang w:val="en-US" w:eastAsia="zh-CN"/>
        </w:rPr>
        <w:t>7.单人间：反映单位年末实际开放的1人间病房个数。</w:t>
      </w:r>
    </w:p>
    <w:p w14:paraId="781DB3C5">
      <w:pPr>
        <w:adjustRightInd w:val="0"/>
        <w:snapToGrid w:val="0"/>
        <w:spacing w:line="360" w:lineRule="auto"/>
        <w:ind w:firstLine="600"/>
        <w:rPr>
          <w:rFonts w:hint="eastAsia" w:ascii="仿宋_GB2312" w:hAnsi="宋体" w:eastAsia="仿宋_GB2312"/>
          <w:bCs/>
          <w:sz w:val="30"/>
          <w:szCs w:val="30"/>
          <w:highlight w:val="none"/>
          <w:lang w:val="en-US" w:eastAsia="zh-CN"/>
        </w:rPr>
      </w:pPr>
      <w:r>
        <w:rPr>
          <w:rFonts w:hint="eastAsia" w:ascii="仿宋_GB2312" w:hAnsi="宋体" w:eastAsia="仿宋_GB2312"/>
          <w:bCs/>
          <w:sz w:val="30"/>
          <w:szCs w:val="30"/>
          <w:highlight w:val="none"/>
          <w:lang w:val="en-US" w:eastAsia="zh-CN"/>
        </w:rPr>
        <w:t>8.双人间：反映单位年末实际开放的2人间病房个数。</w:t>
      </w:r>
    </w:p>
    <w:p w14:paraId="7EEA69F5">
      <w:pPr>
        <w:adjustRightInd w:val="0"/>
        <w:snapToGrid w:val="0"/>
        <w:spacing w:line="360" w:lineRule="auto"/>
        <w:ind w:firstLine="600"/>
        <w:rPr>
          <w:rFonts w:hint="eastAsia" w:ascii="仿宋_GB2312" w:hAnsi="宋体" w:eastAsia="仿宋_GB2312"/>
          <w:bCs/>
          <w:sz w:val="30"/>
          <w:szCs w:val="30"/>
          <w:highlight w:val="none"/>
          <w:lang w:val="en-US" w:eastAsia="zh-CN"/>
        </w:rPr>
      </w:pPr>
      <w:r>
        <w:rPr>
          <w:rFonts w:hint="eastAsia" w:ascii="仿宋_GB2312" w:hAnsi="宋体" w:eastAsia="仿宋_GB2312"/>
          <w:bCs/>
          <w:sz w:val="30"/>
          <w:szCs w:val="30"/>
          <w:highlight w:val="none"/>
          <w:lang w:val="en-US" w:eastAsia="zh-CN"/>
        </w:rPr>
        <w:t>9.三人间：反映单位年末实际开放的3人间病房个数。</w:t>
      </w:r>
    </w:p>
    <w:p w14:paraId="76FD375A">
      <w:pPr>
        <w:adjustRightInd w:val="0"/>
        <w:snapToGrid w:val="0"/>
        <w:spacing w:line="360" w:lineRule="auto"/>
        <w:ind w:firstLine="600"/>
        <w:rPr>
          <w:rFonts w:hint="eastAsia" w:ascii="仿宋_GB2312" w:hAnsi="宋体" w:eastAsia="仿宋_GB2312"/>
          <w:bCs/>
          <w:sz w:val="30"/>
          <w:szCs w:val="30"/>
          <w:highlight w:val="none"/>
          <w:lang w:val="en-US" w:eastAsia="zh-CN"/>
        </w:rPr>
      </w:pPr>
      <w:r>
        <w:rPr>
          <w:rFonts w:hint="eastAsia" w:ascii="仿宋_GB2312" w:hAnsi="宋体" w:eastAsia="仿宋_GB2312"/>
          <w:bCs/>
          <w:sz w:val="30"/>
          <w:szCs w:val="30"/>
          <w:highlight w:val="none"/>
          <w:lang w:val="en-US" w:eastAsia="zh-CN"/>
        </w:rPr>
        <w:t>10.四人间及以上：反映单位年末实际开放的4人及以上病房个数。</w:t>
      </w:r>
    </w:p>
    <w:p w14:paraId="7FBDB91C">
      <w:pPr>
        <w:spacing w:line="360" w:lineRule="auto"/>
        <w:ind w:firstLine="578" w:firstLineChars="192"/>
        <w:rPr>
          <w:rFonts w:hint="eastAsia" w:ascii="仿宋_GB2312" w:eastAsia="仿宋_GB2312"/>
          <w:b/>
          <w:sz w:val="30"/>
          <w:szCs w:val="30"/>
          <w:highlight w:val="none"/>
        </w:rPr>
      </w:pPr>
      <w:r>
        <w:rPr>
          <w:rFonts w:hint="eastAsia" w:ascii="仿宋_GB2312" w:eastAsia="仿宋_GB2312"/>
          <w:b/>
          <w:sz w:val="30"/>
          <w:szCs w:val="30"/>
          <w:highlight w:val="none"/>
        </w:rPr>
        <w:t>逻辑性审核公式：</w:t>
      </w:r>
    </w:p>
    <w:p w14:paraId="2BF7BFCB">
      <w:pPr>
        <w:numPr>
          <w:ilvl w:val="0"/>
          <w:numId w:val="2"/>
        </w:numPr>
        <w:adjustRightInd w:val="0"/>
        <w:snapToGrid w:val="0"/>
        <w:spacing w:line="360" w:lineRule="auto"/>
        <w:ind w:left="0" w:firstLine="600"/>
        <w:rPr>
          <w:rFonts w:hint="eastAsia" w:ascii="仿宋_GB2312" w:eastAsia="仿宋_GB2312"/>
          <w:sz w:val="30"/>
          <w:szCs w:val="30"/>
          <w:highlight w:val="none"/>
          <w:lang w:val="en-US" w:eastAsia="zh-CN"/>
        </w:rPr>
      </w:pPr>
      <w:r>
        <w:rPr>
          <w:rFonts w:hint="eastAsia" w:ascii="仿宋_GB2312" w:eastAsia="仿宋_GB2312"/>
          <w:sz w:val="30"/>
          <w:szCs w:val="30"/>
          <w:highlight w:val="none"/>
          <w:lang w:val="en-US" w:eastAsia="zh-CN"/>
        </w:rPr>
        <w:t>合计行（2行）等于编制人数（3行）与年末在职职工人数（4行）之和；</w:t>
      </w:r>
    </w:p>
    <w:p w14:paraId="17B84455">
      <w:pPr>
        <w:numPr>
          <w:ilvl w:val="0"/>
          <w:numId w:val="2"/>
        </w:numPr>
        <w:adjustRightInd w:val="0"/>
        <w:snapToGrid w:val="0"/>
        <w:spacing w:line="360" w:lineRule="auto"/>
        <w:ind w:left="0" w:firstLine="600"/>
        <w:rPr>
          <w:rFonts w:hint="eastAsia" w:ascii="仿宋_GB2312" w:eastAsia="仿宋_GB2312"/>
          <w:sz w:val="30"/>
          <w:szCs w:val="30"/>
          <w:highlight w:val="none"/>
          <w:lang w:val="en-US" w:eastAsia="zh-CN"/>
        </w:rPr>
      </w:pPr>
      <w:r>
        <w:rPr>
          <w:rFonts w:hint="eastAsia" w:ascii="仿宋_GB2312" w:eastAsia="仿宋_GB2312"/>
          <w:sz w:val="30"/>
          <w:szCs w:val="30"/>
          <w:highlight w:val="none"/>
          <w:lang w:val="en-US" w:eastAsia="zh-CN"/>
        </w:rPr>
        <w:t>年末在职职工人数（4行）等于管理人员（5行）、卫生技术人员（6行）、其他人员（10行）之和；</w:t>
      </w:r>
    </w:p>
    <w:p w14:paraId="77F1B8AB">
      <w:pPr>
        <w:numPr>
          <w:ilvl w:val="0"/>
          <w:numId w:val="2"/>
        </w:numPr>
        <w:adjustRightInd w:val="0"/>
        <w:snapToGrid w:val="0"/>
        <w:spacing w:line="360" w:lineRule="auto"/>
        <w:ind w:left="0" w:firstLine="600"/>
        <w:rPr>
          <w:rFonts w:hint="eastAsia" w:ascii="仿宋_GB2312" w:eastAsia="仿宋_GB2312"/>
          <w:sz w:val="30"/>
          <w:szCs w:val="30"/>
          <w:highlight w:val="none"/>
          <w:lang w:val="en-US" w:eastAsia="zh-CN"/>
        </w:rPr>
      </w:pPr>
      <w:r>
        <w:rPr>
          <w:rFonts w:hint="eastAsia" w:ascii="仿宋_GB2312" w:eastAsia="仿宋_GB2312"/>
          <w:sz w:val="30"/>
          <w:szCs w:val="30"/>
          <w:highlight w:val="none"/>
          <w:lang w:val="en-US" w:eastAsia="zh-CN"/>
        </w:rPr>
        <w:t>卫生技术人员（6行）大于等于执业（助理）医师（7行）、注册护士（8行）、其他（9行）之和；</w:t>
      </w:r>
    </w:p>
    <w:p w14:paraId="5B876124">
      <w:pPr>
        <w:numPr>
          <w:ilvl w:val="0"/>
          <w:numId w:val="2"/>
        </w:numPr>
        <w:adjustRightInd w:val="0"/>
        <w:snapToGrid w:val="0"/>
        <w:spacing w:line="360" w:lineRule="auto"/>
        <w:ind w:left="0" w:firstLine="600"/>
        <w:rPr>
          <w:rFonts w:hint="eastAsia" w:ascii="仿宋_GB2312" w:eastAsia="仿宋_GB2312"/>
          <w:sz w:val="30"/>
          <w:szCs w:val="30"/>
          <w:highlight w:val="none"/>
          <w:lang w:val="en-US" w:eastAsia="zh-CN"/>
        </w:rPr>
      </w:pPr>
      <w:r>
        <w:rPr>
          <w:rFonts w:hint="eastAsia" w:ascii="仿宋_GB2312" w:eastAsia="仿宋_GB2312"/>
          <w:sz w:val="30"/>
          <w:szCs w:val="30"/>
          <w:highlight w:val="none"/>
          <w:lang w:val="en-US" w:eastAsia="zh-CN"/>
        </w:rPr>
        <w:t>床位数（12行）等于编制床位（13行）与年末实际开放床位（14行）之和；</w:t>
      </w:r>
    </w:p>
    <w:p w14:paraId="4F7F1F49">
      <w:pPr>
        <w:numPr>
          <w:ilvl w:val="0"/>
          <w:numId w:val="2"/>
        </w:numPr>
        <w:adjustRightInd w:val="0"/>
        <w:snapToGrid w:val="0"/>
        <w:spacing w:line="360" w:lineRule="auto"/>
        <w:ind w:left="0" w:firstLine="600"/>
        <w:rPr>
          <w:rFonts w:hint="eastAsia" w:ascii="仿宋_GB2312" w:eastAsia="仿宋_GB2312"/>
          <w:b/>
          <w:sz w:val="30"/>
          <w:szCs w:val="30"/>
          <w:highlight w:val="none"/>
        </w:rPr>
      </w:pPr>
      <w:r>
        <w:rPr>
          <w:rFonts w:hint="eastAsia" w:ascii="仿宋_GB2312" w:eastAsia="仿宋_GB2312"/>
          <w:sz w:val="30"/>
          <w:szCs w:val="30"/>
          <w:highlight w:val="none"/>
          <w:lang w:val="en-US" w:eastAsia="zh-CN"/>
        </w:rPr>
        <w:t>年末病房房间数（15行）等于单人间（16行）、双人间（17行）、三人间（18行）、四人间及以上（19行）之和；</w:t>
      </w:r>
    </w:p>
    <w:p w14:paraId="56F10EF3">
      <w:pPr>
        <w:numPr>
          <w:ilvl w:val="0"/>
          <w:numId w:val="2"/>
        </w:numPr>
        <w:adjustRightInd w:val="0"/>
        <w:snapToGrid w:val="0"/>
        <w:spacing w:line="360" w:lineRule="auto"/>
        <w:ind w:left="0" w:firstLine="600"/>
        <w:rPr>
          <w:rFonts w:hint="eastAsia" w:ascii="仿宋_GB2312" w:eastAsia="仿宋_GB2312"/>
          <w:b/>
          <w:sz w:val="30"/>
          <w:szCs w:val="30"/>
          <w:highlight w:val="none"/>
        </w:rPr>
      </w:pPr>
      <w:r>
        <w:rPr>
          <w:rFonts w:hint="eastAsia" w:ascii="仿宋_GB2312" w:eastAsia="仿宋_GB2312"/>
          <w:sz w:val="30"/>
          <w:szCs w:val="30"/>
          <w:highlight w:val="none"/>
          <w:lang w:val="en-US" w:eastAsia="zh-CN"/>
        </w:rPr>
        <w:t>万元（含）以上设备数量（22行）大于等于医疗设备数量（23行）；</w:t>
      </w:r>
    </w:p>
    <w:p w14:paraId="4607222F">
      <w:pPr>
        <w:numPr>
          <w:ilvl w:val="0"/>
          <w:numId w:val="2"/>
        </w:numPr>
        <w:adjustRightInd w:val="0"/>
        <w:snapToGrid w:val="0"/>
        <w:spacing w:line="360" w:lineRule="auto"/>
        <w:ind w:left="0" w:firstLine="600"/>
        <w:rPr>
          <w:rFonts w:hint="eastAsia" w:ascii="仿宋_GB2312" w:eastAsia="仿宋_GB2312"/>
          <w:b/>
          <w:sz w:val="30"/>
          <w:szCs w:val="30"/>
          <w:highlight w:val="none"/>
        </w:rPr>
      </w:pPr>
      <w:r>
        <w:rPr>
          <w:rFonts w:hint="eastAsia" w:ascii="仿宋_GB2312" w:eastAsia="仿宋_GB2312"/>
          <w:sz w:val="30"/>
          <w:szCs w:val="30"/>
          <w:highlight w:val="none"/>
          <w:lang w:val="en-US" w:eastAsia="zh-CN"/>
        </w:rPr>
        <w:t>万元（含）以上设备原值（24行）大于等于医疗设备原值（25行）；</w:t>
      </w:r>
    </w:p>
    <w:p w14:paraId="67D26C10">
      <w:pPr>
        <w:numPr>
          <w:ilvl w:val="0"/>
          <w:numId w:val="2"/>
        </w:numPr>
        <w:adjustRightInd w:val="0"/>
        <w:snapToGrid w:val="0"/>
        <w:spacing w:line="360" w:lineRule="auto"/>
        <w:ind w:left="0" w:firstLine="600"/>
        <w:rPr>
          <w:rFonts w:hint="eastAsia" w:ascii="仿宋_GB2312" w:hAnsi="仿宋" w:eastAsia="仿宋_GB2312"/>
          <w:sz w:val="30"/>
          <w:szCs w:val="30"/>
          <w:highlight w:val="none"/>
          <w:lang w:val="en-US" w:eastAsia="zh-CN"/>
        </w:rPr>
      </w:pPr>
      <w:r>
        <w:rPr>
          <w:rFonts w:hint="eastAsia" w:ascii="仿宋_GB2312" w:eastAsia="仿宋_GB2312"/>
          <w:sz w:val="30"/>
          <w:szCs w:val="30"/>
          <w:highlight w:val="none"/>
          <w:lang w:val="en-US" w:eastAsia="zh-CN"/>
        </w:rPr>
        <w:t>万元（含）以上设备净值（26行）大于等于医疗设备净值（27行）。</w:t>
      </w:r>
    </w:p>
    <w:p w14:paraId="740EFD5B">
      <w:pPr>
        <w:pStyle w:val="2"/>
        <w:rPr>
          <w:rFonts w:hint="eastAsia"/>
          <w:color w:val="auto"/>
          <w:highlight w:val="none"/>
        </w:rPr>
      </w:pPr>
      <w:r>
        <w:rPr>
          <w:rFonts w:hint="eastAsia"/>
          <w:color w:val="auto"/>
          <w:highlight w:val="none"/>
        </w:rPr>
        <w:t>二、汇总表编制说明</w:t>
      </w:r>
    </w:p>
    <w:p w14:paraId="5971A13F">
      <w:pPr>
        <w:pStyle w:val="2"/>
        <w:ind w:firstLine="0" w:firstLineChars="0"/>
        <w:rPr>
          <w:rFonts w:hint="eastAsia"/>
          <w:color w:val="auto"/>
          <w:highlight w:val="none"/>
        </w:rPr>
      </w:pPr>
      <w:r>
        <w:rPr>
          <w:rFonts w:hint="eastAsia"/>
          <w:color w:val="auto"/>
          <w:highlight w:val="none"/>
        </w:rPr>
        <w:t>（一）汇总封面</w:t>
      </w:r>
    </w:p>
    <w:p w14:paraId="4BCC2796">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本表反映单位的基本信息情况，根据单户封面填报情况，自动提取生成。</w:t>
      </w:r>
    </w:p>
    <w:p w14:paraId="325A468E">
      <w:pPr>
        <w:pStyle w:val="2"/>
        <w:ind w:firstLine="0" w:firstLineChars="0"/>
        <w:rPr>
          <w:rFonts w:hint="eastAsia"/>
          <w:color w:val="auto"/>
          <w:highlight w:val="none"/>
        </w:rPr>
      </w:pPr>
      <w:r>
        <w:rPr>
          <w:rFonts w:hint="eastAsia"/>
          <w:color w:val="auto"/>
          <w:highlight w:val="none"/>
        </w:rPr>
        <w:t>（二）</w:t>
      </w:r>
      <w:r>
        <w:rPr>
          <w:color w:val="auto"/>
          <w:highlight w:val="none"/>
        </w:rPr>
        <w:t>资产负债汇总表</w:t>
      </w:r>
      <w:r>
        <w:rPr>
          <w:rFonts w:hint="eastAsia"/>
          <w:color w:val="auto"/>
          <w:highlight w:val="none"/>
        </w:rPr>
        <w:t>（</w:t>
      </w:r>
      <w:r>
        <w:rPr>
          <w:color w:val="auto"/>
          <w:highlight w:val="none"/>
        </w:rPr>
        <w:t>财资综01</w:t>
      </w:r>
      <w:r>
        <w:rPr>
          <w:rFonts w:hint="eastAsia"/>
          <w:color w:val="auto"/>
          <w:highlight w:val="none"/>
        </w:rPr>
        <w:t>表）</w:t>
      </w:r>
    </w:p>
    <w:p w14:paraId="6D86A70C">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eastAsia="仿宋_GB2312"/>
          <w:kern w:val="0"/>
          <w:sz w:val="30"/>
          <w:szCs w:val="30"/>
          <w:highlight w:val="none"/>
        </w:rPr>
        <w:t>本表按照行政单位、事业单位口径汇总数据，</w:t>
      </w:r>
      <w:r>
        <w:rPr>
          <w:rFonts w:hint="eastAsia" w:ascii="仿宋_GB2312" w:hAnsi="仿宋" w:eastAsia="仿宋_GB2312"/>
          <w:sz w:val="30"/>
          <w:szCs w:val="30"/>
          <w:highlight w:val="none"/>
        </w:rPr>
        <w:t>反映单位期初、期末的资产、</w:t>
      </w:r>
      <w:r>
        <w:rPr>
          <w:rFonts w:ascii="仿宋_GB2312" w:hAnsi="仿宋" w:eastAsia="仿宋_GB2312"/>
          <w:sz w:val="30"/>
          <w:szCs w:val="30"/>
          <w:highlight w:val="none"/>
        </w:rPr>
        <w:t>负债</w:t>
      </w:r>
      <w:r>
        <w:rPr>
          <w:rFonts w:hint="eastAsia" w:ascii="仿宋_GB2312" w:hAnsi="仿宋" w:eastAsia="仿宋_GB2312"/>
          <w:sz w:val="30"/>
          <w:szCs w:val="30"/>
          <w:highlight w:val="none"/>
        </w:rPr>
        <w:t>和净资产账面情况。表中数据以财资01资产负债表为基础自动提取生成。</w:t>
      </w:r>
    </w:p>
    <w:p w14:paraId="09E40916">
      <w:pPr>
        <w:adjustRightInd w:val="0"/>
        <w:snapToGrid w:val="0"/>
        <w:spacing w:line="360" w:lineRule="auto"/>
        <w:ind w:firstLine="602" w:firstLineChars="200"/>
        <w:rPr>
          <w:rFonts w:hint="eastAsia" w:ascii="仿宋_GB2312" w:hAnsi="仿宋" w:eastAsia="仿宋_GB2312"/>
          <w:b/>
          <w:bCs/>
          <w:sz w:val="30"/>
          <w:szCs w:val="30"/>
          <w:highlight w:val="none"/>
        </w:rPr>
      </w:pPr>
      <w:r>
        <w:rPr>
          <w:rFonts w:hint="eastAsia" w:ascii="仿宋_GB2312" w:hAnsi="仿宋" w:eastAsia="仿宋_GB2312"/>
          <w:b/>
          <w:bCs/>
          <w:sz w:val="30"/>
          <w:szCs w:val="30"/>
          <w:highlight w:val="none"/>
        </w:rPr>
        <w:t>核实性公式：</w:t>
      </w:r>
    </w:p>
    <w:p w14:paraId="16718E1E">
      <w:pPr>
        <w:numPr>
          <w:ilvl w:val="0"/>
          <w:numId w:val="3"/>
        </w:numPr>
        <w:adjustRightInd w:val="0"/>
        <w:snapToGrid w:val="0"/>
        <w:spacing w:line="360" w:lineRule="auto"/>
        <w:ind w:left="0" w:firstLine="567"/>
        <w:rPr>
          <w:rFonts w:hint="eastAsia" w:ascii="仿宋_GB2312" w:hAnsi="仿宋" w:eastAsia="仿宋_GB2312"/>
          <w:sz w:val="30"/>
          <w:szCs w:val="30"/>
          <w:highlight w:val="none"/>
        </w:rPr>
      </w:pPr>
      <w:r>
        <w:rPr>
          <w:rFonts w:hint="eastAsia" w:ascii="仿宋_GB2312" w:hAnsi="宋体" w:eastAsia="仿宋_GB2312"/>
          <w:sz w:val="30"/>
          <w:szCs w:val="30"/>
          <w:highlight w:val="none"/>
        </w:rPr>
        <w:t>资产合计</w:t>
      </w:r>
      <w:r>
        <w:rPr>
          <w:rFonts w:hint="eastAsia" w:ascii="仿宋_GB2312" w:hAnsi="宋体" w:eastAsia="仿宋_GB2312"/>
          <w:sz w:val="30"/>
          <w:szCs w:val="30"/>
          <w:highlight w:val="none"/>
          <w:lang w:val="en-US" w:eastAsia="zh-CN"/>
        </w:rPr>
        <w:t>等8项</w:t>
      </w:r>
      <w:r>
        <w:rPr>
          <w:rFonts w:hint="eastAsia" w:ascii="仿宋_GB2312" w:hAnsi="宋体" w:eastAsia="仿宋_GB2312"/>
          <w:sz w:val="30"/>
          <w:szCs w:val="30"/>
          <w:highlight w:val="none"/>
        </w:rPr>
        <w:t>主要指标</w:t>
      </w:r>
      <w:r>
        <w:rPr>
          <w:rFonts w:hint="eastAsia" w:ascii="仿宋_GB2312" w:hAnsi="宋体" w:eastAsia="仿宋_GB2312"/>
          <w:sz w:val="30"/>
          <w:szCs w:val="30"/>
          <w:highlight w:val="none"/>
          <w:lang w:eastAsia="zh-CN"/>
        </w:rPr>
        <w:t>（</w:t>
      </w:r>
      <w:r>
        <w:rPr>
          <w:rFonts w:hint="eastAsia" w:ascii="仿宋_GB2312" w:hAnsi="仿宋" w:eastAsia="仿宋_GB2312"/>
          <w:sz w:val="30"/>
          <w:szCs w:val="30"/>
          <w:highlight w:val="none"/>
        </w:rPr>
        <w:t>1行</w:t>
      </w:r>
      <w:r>
        <w:rPr>
          <w:rFonts w:ascii="仿宋_GB2312" w:hAnsi="仿宋" w:eastAsia="仿宋_GB2312"/>
          <w:sz w:val="30"/>
          <w:szCs w:val="30"/>
          <w:highlight w:val="none"/>
        </w:rPr>
        <w:t>、</w:t>
      </w:r>
      <w:r>
        <w:rPr>
          <w:rFonts w:hint="eastAsia" w:ascii="仿宋_GB2312" w:hAnsi="仿宋" w:eastAsia="仿宋_GB2312"/>
          <w:sz w:val="30"/>
          <w:szCs w:val="30"/>
          <w:highlight w:val="none"/>
        </w:rPr>
        <w:t>2</w:t>
      </w:r>
      <w:r>
        <w:rPr>
          <w:rFonts w:ascii="仿宋_GB2312" w:hAnsi="仿宋" w:eastAsia="仿宋_GB2312"/>
          <w:sz w:val="30"/>
          <w:szCs w:val="30"/>
          <w:highlight w:val="none"/>
        </w:rPr>
        <w:t>行、</w:t>
      </w:r>
      <w:r>
        <w:rPr>
          <w:rFonts w:hint="eastAsia" w:ascii="仿宋_GB2312" w:hAnsi="仿宋" w:eastAsia="仿宋_GB2312"/>
          <w:sz w:val="30"/>
          <w:szCs w:val="30"/>
          <w:highlight w:val="none"/>
        </w:rPr>
        <w:t>16行、17行、1</w:t>
      </w:r>
      <w:r>
        <w:rPr>
          <w:rFonts w:ascii="仿宋_GB2312" w:hAnsi="仿宋" w:eastAsia="仿宋_GB2312"/>
          <w:sz w:val="30"/>
          <w:szCs w:val="30"/>
          <w:highlight w:val="none"/>
        </w:rPr>
        <w:t>8</w:t>
      </w:r>
      <w:r>
        <w:rPr>
          <w:rFonts w:hint="eastAsia" w:ascii="仿宋_GB2312" w:hAnsi="仿宋" w:eastAsia="仿宋_GB2312"/>
          <w:sz w:val="30"/>
          <w:szCs w:val="30"/>
          <w:highlight w:val="none"/>
        </w:rPr>
        <w:t>行、19行、23行、24行</w:t>
      </w:r>
      <w:r>
        <w:rPr>
          <w:rFonts w:hint="eastAsia" w:ascii="仿宋_GB2312" w:hAnsi="宋体" w:eastAsia="仿宋_GB2312"/>
          <w:sz w:val="30"/>
          <w:szCs w:val="30"/>
          <w:highlight w:val="none"/>
          <w:lang w:eastAsia="zh-CN"/>
        </w:rPr>
        <w:t>）</w:t>
      </w:r>
      <w:r>
        <w:rPr>
          <w:rFonts w:hint="eastAsia" w:ascii="仿宋_GB2312" w:hAnsi="宋体" w:eastAsia="仿宋_GB2312"/>
          <w:sz w:val="30"/>
          <w:szCs w:val="30"/>
          <w:highlight w:val="none"/>
          <w:lang w:val="en-US" w:eastAsia="zh-CN"/>
        </w:rPr>
        <w:t>的</w:t>
      </w:r>
      <w:r>
        <w:rPr>
          <w:rFonts w:hint="eastAsia" w:ascii="仿宋_GB2312" w:hAnsi="宋体" w:eastAsia="仿宋_GB2312"/>
          <w:sz w:val="30"/>
          <w:szCs w:val="30"/>
          <w:highlight w:val="none"/>
        </w:rPr>
        <w:t>期末数</w:t>
      </w:r>
      <w:r>
        <w:rPr>
          <w:rFonts w:hint="eastAsia" w:ascii="仿宋_GB2312" w:hAnsi="宋体" w:eastAsia="仿宋_GB2312"/>
          <w:sz w:val="30"/>
          <w:szCs w:val="30"/>
          <w:highlight w:val="none"/>
          <w:lang w:eastAsia="zh-CN"/>
        </w:rPr>
        <w:t>（</w:t>
      </w:r>
      <w:r>
        <w:rPr>
          <w:rFonts w:hint="eastAsia" w:ascii="仿宋_GB2312" w:hAnsi="宋体" w:eastAsia="仿宋_GB2312"/>
          <w:sz w:val="30"/>
          <w:szCs w:val="30"/>
          <w:highlight w:val="none"/>
          <w:lang w:val="en-US" w:eastAsia="zh-CN"/>
        </w:rPr>
        <w:t>2栏</w:t>
      </w:r>
      <w:r>
        <w:rPr>
          <w:rFonts w:hint="eastAsia" w:ascii="仿宋_GB2312" w:hAnsi="宋体" w:eastAsia="仿宋_GB2312"/>
          <w:sz w:val="30"/>
          <w:szCs w:val="30"/>
          <w:highlight w:val="none"/>
          <w:lang w:eastAsia="zh-CN"/>
        </w:rPr>
        <w:t>）</w:t>
      </w:r>
      <w:r>
        <w:rPr>
          <w:rFonts w:hint="eastAsia" w:ascii="仿宋_GB2312" w:hAnsi="宋体" w:eastAsia="仿宋_GB2312"/>
          <w:sz w:val="30"/>
          <w:szCs w:val="30"/>
          <w:highlight w:val="none"/>
        </w:rPr>
        <w:t>与期初数</w:t>
      </w:r>
      <w:r>
        <w:rPr>
          <w:rFonts w:hint="eastAsia" w:ascii="仿宋_GB2312" w:hAnsi="宋体" w:eastAsia="仿宋_GB2312"/>
          <w:sz w:val="30"/>
          <w:szCs w:val="30"/>
          <w:highlight w:val="none"/>
          <w:lang w:eastAsia="zh-CN"/>
        </w:rPr>
        <w:t>（</w:t>
      </w:r>
      <w:r>
        <w:rPr>
          <w:rFonts w:hint="eastAsia" w:ascii="仿宋_GB2312" w:hAnsi="宋体" w:eastAsia="仿宋_GB2312"/>
          <w:sz w:val="30"/>
          <w:szCs w:val="30"/>
          <w:highlight w:val="none"/>
          <w:lang w:val="en-US" w:eastAsia="zh-CN"/>
        </w:rPr>
        <w:t>1栏</w:t>
      </w:r>
      <w:r>
        <w:rPr>
          <w:rFonts w:hint="eastAsia" w:ascii="仿宋_GB2312" w:hAnsi="宋体" w:eastAsia="仿宋_GB2312"/>
          <w:sz w:val="30"/>
          <w:szCs w:val="30"/>
          <w:highlight w:val="none"/>
          <w:lang w:eastAsia="zh-CN"/>
        </w:rPr>
        <w:t>）</w:t>
      </w:r>
      <w:r>
        <w:rPr>
          <w:rFonts w:hint="eastAsia" w:ascii="仿宋_GB2312" w:hAnsi="宋体" w:eastAsia="仿宋_GB2312"/>
          <w:sz w:val="30"/>
          <w:szCs w:val="30"/>
          <w:highlight w:val="none"/>
        </w:rPr>
        <w:t>增减变动超过20%且≥±10</w:t>
      </w:r>
      <w:r>
        <w:rPr>
          <w:rFonts w:ascii="仿宋_GB2312" w:hAnsi="宋体" w:eastAsia="仿宋_GB2312"/>
          <w:sz w:val="30"/>
          <w:szCs w:val="30"/>
          <w:highlight w:val="none"/>
        </w:rPr>
        <w:t>0</w:t>
      </w:r>
      <w:r>
        <w:rPr>
          <w:rFonts w:hint="eastAsia" w:ascii="仿宋_GB2312" w:hAnsi="宋体" w:eastAsia="仿宋_GB2312"/>
          <w:sz w:val="30"/>
          <w:szCs w:val="30"/>
          <w:highlight w:val="none"/>
        </w:rPr>
        <w:t>万元</w:t>
      </w:r>
      <w:r>
        <w:rPr>
          <w:rFonts w:hint="eastAsia" w:ascii="仿宋_GB2312" w:hAnsi="宋体" w:eastAsia="仿宋_GB2312"/>
          <w:sz w:val="30"/>
          <w:szCs w:val="30"/>
          <w:highlight w:val="none"/>
          <w:lang w:eastAsia="zh-CN"/>
        </w:rPr>
        <w:t>，</w:t>
      </w:r>
      <w:r>
        <w:rPr>
          <w:rFonts w:hint="eastAsia" w:ascii="仿宋_GB2312" w:hAnsi="仿宋" w:eastAsia="仿宋_GB2312"/>
          <w:sz w:val="30"/>
          <w:szCs w:val="30"/>
          <w:highlight w:val="none"/>
        </w:rPr>
        <w:t>提示核实性错误，</w:t>
      </w:r>
      <w:r>
        <w:rPr>
          <w:rFonts w:hint="eastAsia" w:ascii="仿宋_GB2312" w:hAnsi="仿宋" w:eastAsia="仿宋_GB2312"/>
          <w:color w:val="000000" w:themeColor="text1"/>
          <w:sz w:val="30"/>
          <w:szCs w:val="30"/>
          <w:highlight w:val="none"/>
          <w:lang w:val="en-US" w:eastAsia="zh-CN"/>
          <w14:textFill>
            <w14:solidFill>
              <w14:schemeClr w14:val="tx1"/>
            </w14:solidFill>
          </w14:textFill>
        </w:rPr>
        <w:t>并需填写情况说明</w:t>
      </w:r>
      <w:r>
        <w:rPr>
          <w:rFonts w:hint="eastAsia" w:ascii="仿宋_GB2312" w:hAnsi="仿宋" w:eastAsia="仿宋_GB2312"/>
          <w:sz w:val="30"/>
          <w:szCs w:val="30"/>
          <w:highlight w:val="none"/>
        </w:rPr>
        <w:t>；</w:t>
      </w:r>
    </w:p>
    <w:p w14:paraId="6C2A95EC">
      <w:pPr>
        <w:numPr>
          <w:ilvl w:val="0"/>
          <w:numId w:val="3"/>
        </w:numPr>
        <w:adjustRightInd w:val="0"/>
        <w:snapToGrid w:val="0"/>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rPr>
        <w:t>负债合计</w:t>
      </w:r>
      <w:r>
        <w:rPr>
          <w:rFonts w:hint="eastAsia" w:ascii="仿宋_GB2312" w:hAnsi="仿宋" w:eastAsia="仿宋_GB2312"/>
          <w:sz w:val="30"/>
          <w:szCs w:val="30"/>
          <w:highlight w:val="none"/>
          <w:lang w:eastAsia="zh-CN"/>
        </w:rPr>
        <w:t>（</w:t>
      </w:r>
      <w:r>
        <w:rPr>
          <w:rFonts w:ascii="仿宋_GB2312" w:hAnsi="仿宋" w:eastAsia="仿宋_GB2312"/>
          <w:sz w:val="30"/>
          <w:szCs w:val="30"/>
          <w:highlight w:val="none"/>
        </w:rPr>
        <w:t>4</w:t>
      </w:r>
      <w:r>
        <w:rPr>
          <w:rFonts w:hint="eastAsia" w:ascii="仿宋_GB2312" w:hAnsi="仿宋" w:eastAsia="仿宋_GB2312"/>
          <w:sz w:val="30"/>
          <w:szCs w:val="30"/>
          <w:highlight w:val="none"/>
        </w:rPr>
        <w:t>0行</w:t>
      </w:r>
      <w:r>
        <w:rPr>
          <w:rFonts w:hint="eastAsia" w:ascii="仿宋_GB2312" w:hAnsi="仿宋" w:eastAsia="仿宋_GB2312"/>
          <w:sz w:val="30"/>
          <w:szCs w:val="30"/>
          <w:highlight w:val="none"/>
          <w:lang w:eastAsia="zh-CN"/>
        </w:rPr>
        <w:t>）</w:t>
      </w:r>
      <w:r>
        <w:rPr>
          <w:rFonts w:ascii="仿宋_GB2312" w:hAnsi="仿宋" w:eastAsia="仿宋_GB2312"/>
          <w:sz w:val="30"/>
          <w:szCs w:val="30"/>
          <w:highlight w:val="none"/>
        </w:rPr>
        <w:t>、</w:t>
      </w:r>
      <w:r>
        <w:rPr>
          <w:rFonts w:hint="eastAsia" w:ascii="仿宋_GB2312" w:hAnsi="仿宋" w:eastAsia="仿宋_GB2312"/>
          <w:sz w:val="30"/>
          <w:szCs w:val="30"/>
          <w:highlight w:val="none"/>
        </w:rPr>
        <w:t>净资产</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62</w:t>
      </w:r>
      <w:r>
        <w:rPr>
          <w:rFonts w:ascii="仿宋_GB2312" w:hAnsi="仿宋" w:eastAsia="仿宋_GB2312"/>
          <w:sz w:val="30"/>
          <w:szCs w:val="30"/>
          <w:highlight w:val="none"/>
        </w:rPr>
        <w:t>行</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的</w:t>
      </w:r>
      <w:r>
        <w:rPr>
          <w:rFonts w:hint="eastAsia" w:ascii="仿宋_GB2312" w:hAnsi="宋体" w:eastAsia="仿宋_GB2312"/>
          <w:sz w:val="30"/>
          <w:szCs w:val="30"/>
          <w:highlight w:val="none"/>
        </w:rPr>
        <w:t>期末数</w:t>
      </w:r>
      <w:r>
        <w:rPr>
          <w:rFonts w:hint="eastAsia" w:ascii="仿宋_GB2312" w:hAnsi="宋体" w:eastAsia="仿宋_GB2312"/>
          <w:sz w:val="30"/>
          <w:szCs w:val="30"/>
          <w:highlight w:val="none"/>
          <w:lang w:eastAsia="zh-CN"/>
        </w:rPr>
        <w:t>（</w:t>
      </w:r>
      <w:r>
        <w:rPr>
          <w:rFonts w:hint="eastAsia" w:ascii="仿宋_GB2312" w:hAnsi="宋体" w:eastAsia="仿宋_GB2312"/>
          <w:sz w:val="30"/>
          <w:szCs w:val="30"/>
          <w:highlight w:val="none"/>
          <w:lang w:val="en-US" w:eastAsia="zh-CN"/>
        </w:rPr>
        <w:t>2栏</w:t>
      </w:r>
      <w:r>
        <w:rPr>
          <w:rFonts w:hint="eastAsia" w:ascii="仿宋_GB2312" w:hAnsi="宋体" w:eastAsia="仿宋_GB2312"/>
          <w:sz w:val="30"/>
          <w:szCs w:val="30"/>
          <w:highlight w:val="none"/>
          <w:lang w:eastAsia="zh-CN"/>
        </w:rPr>
        <w:t>）</w:t>
      </w:r>
      <w:r>
        <w:rPr>
          <w:rFonts w:hint="eastAsia" w:ascii="仿宋_GB2312" w:hAnsi="宋体" w:eastAsia="仿宋_GB2312"/>
          <w:sz w:val="30"/>
          <w:szCs w:val="30"/>
          <w:highlight w:val="none"/>
        </w:rPr>
        <w:t>与期初数</w:t>
      </w:r>
      <w:r>
        <w:rPr>
          <w:rFonts w:hint="eastAsia" w:ascii="仿宋_GB2312" w:hAnsi="宋体" w:eastAsia="仿宋_GB2312"/>
          <w:sz w:val="30"/>
          <w:szCs w:val="30"/>
          <w:highlight w:val="none"/>
          <w:lang w:eastAsia="zh-CN"/>
        </w:rPr>
        <w:t>（</w:t>
      </w:r>
      <w:r>
        <w:rPr>
          <w:rFonts w:hint="eastAsia" w:ascii="仿宋_GB2312" w:hAnsi="宋体" w:eastAsia="仿宋_GB2312"/>
          <w:sz w:val="30"/>
          <w:szCs w:val="30"/>
          <w:highlight w:val="none"/>
          <w:lang w:val="en-US" w:eastAsia="zh-CN"/>
        </w:rPr>
        <w:t>1栏</w:t>
      </w:r>
      <w:r>
        <w:rPr>
          <w:rFonts w:hint="eastAsia" w:ascii="仿宋_GB2312" w:hAnsi="宋体" w:eastAsia="仿宋_GB2312"/>
          <w:sz w:val="30"/>
          <w:szCs w:val="30"/>
          <w:highlight w:val="none"/>
          <w:lang w:eastAsia="zh-CN"/>
        </w:rPr>
        <w:t>）</w:t>
      </w:r>
      <w:r>
        <w:rPr>
          <w:rFonts w:hint="eastAsia" w:ascii="仿宋_GB2312" w:hAnsi="宋体" w:eastAsia="仿宋_GB2312"/>
          <w:sz w:val="30"/>
          <w:szCs w:val="30"/>
          <w:highlight w:val="none"/>
        </w:rPr>
        <w:t>增减变动超过20%且≥±10</w:t>
      </w:r>
      <w:r>
        <w:rPr>
          <w:rFonts w:ascii="仿宋_GB2312" w:hAnsi="宋体" w:eastAsia="仿宋_GB2312"/>
          <w:sz w:val="30"/>
          <w:szCs w:val="30"/>
          <w:highlight w:val="none"/>
        </w:rPr>
        <w:t>0</w:t>
      </w:r>
      <w:r>
        <w:rPr>
          <w:rFonts w:hint="eastAsia" w:ascii="仿宋_GB2312" w:hAnsi="宋体" w:eastAsia="仿宋_GB2312"/>
          <w:sz w:val="30"/>
          <w:szCs w:val="30"/>
          <w:highlight w:val="none"/>
        </w:rPr>
        <w:t>万元</w:t>
      </w:r>
      <w:r>
        <w:rPr>
          <w:rFonts w:hint="eastAsia" w:ascii="仿宋_GB2312" w:hAnsi="宋体" w:eastAsia="仿宋_GB2312"/>
          <w:sz w:val="30"/>
          <w:szCs w:val="30"/>
          <w:highlight w:val="none"/>
          <w:lang w:eastAsia="zh-CN"/>
        </w:rPr>
        <w:t>，</w:t>
      </w:r>
      <w:r>
        <w:rPr>
          <w:rFonts w:hint="eastAsia" w:ascii="仿宋_GB2312" w:hAnsi="仿宋" w:eastAsia="仿宋_GB2312"/>
          <w:sz w:val="30"/>
          <w:szCs w:val="30"/>
          <w:highlight w:val="none"/>
        </w:rPr>
        <w:t>提示核实性错误，</w:t>
      </w:r>
      <w:r>
        <w:rPr>
          <w:rFonts w:hint="eastAsia" w:ascii="仿宋_GB2312" w:hAnsi="仿宋" w:eastAsia="仿宋_GB2312"/>
          <w:color w:val="000000" w:themeColor="text1"/>
          <w:sz w:val="30"/>
          <w:szCs w:val="30"/>
          <w:highlight w:val="none"/>
          <w:lang w:val="en-US" w:eastAsia="zh-CN"/>
          <w14:textFill>
            <w14:solidFill>
              <w14:schemeClr w14:val="tx1"/>
            </w14:solidFill>
          </w14:textFill>
        </w:rPr>
        <w:t>并需填写情况说明；</w:t>
      </w:r>
    </w:p>
    <w:p w14:paraId="40300953">
      <w:pPr>
        <w:numPr>
          <w:ilvl w:val="0"/>
          <w:numId w:val="3"/>
        </w:numPr>
        <w:adjustRightInd w:val="0"/>
        <w:snapToGrid w:val="0"/>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lang w:val="en-US" w:eastAsia="zh-CN"/>
        </w:rPr>
        <w:t>资产合计的期末数</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1行2栏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、固定资产原值</w:t>
      </w:r>
      <w:r>
        <w:rPr>
          <w:rFonts w:hint="eastAsia" w:ascii="仿宋_GB2312" w:hAnsi="仿宋" w:eastAsia="仿宋_GB2312"/>
          <w:sz w:val="30"/>
          <w:szCs w:val="30"/>
          <w:highlight w:val="none"/>
          <w:lang w:val="en-US" w:eastAsia="zh-CN"/>
        </w:rPr>
        <w:t>的期末数</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19行2栏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、无形资产原值</w:t>
      </w:r>
      <w:r>
        <w:rPr>
          <w:rFonts w:hint="eastAsia" w:ascii="仿宋_GB2312" w:hAnsi="仿宋" w:eastAsia="仿宋_GB2312"/>
          <w:sz w:val="30"/>
          <w:szCs w:val="30"/>
          <w:highlight w:val="none"/>
          <w:lang w:val="en-US" w:eastAsia="zh-CN"/>
        </w:rPr>
        <w:t>的期末数</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24行2栏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、公共基础设施原值</w:t>
      </w:r>
      <w:r>
        <w:rPr>
          <w:rFonts w:hint="eastAsia" w:ascii="仿宋_GB2312" w:hAnsi="仿宋" w:eastAsia="仿宋_GB2312"/>
          <w:sz w:val="30"/>
          <w:szCs w:val="30"/>
          <w:highlight w:val="none"/>
          <w:lang w:val="en-US" w:eastAsia="zh-CN"/>
        </w:rPr>
        <w:t>的期末数</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28行2栏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、保障性住房原值</w:t>
      </w:r>
      <w:r>
        <w:rPr>
          <w:rFonts w:hint="eastAsia" w:ascii="仿宋_GB2312" w:hAnsi="仿宋" w:eastAsia="仿宋_GB2312"/>
          <w:sz w:val="30"/>
          <w:szCs w:val="30"/>
          <w:highlight w:val="none"/>
          <w:lang w:val="en-US" w:eastAsia="zh-CN"/>
        </w:rPr>
        <w:t>的期末数</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33行2栏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全部=0，且财资综02表在职人员年末实有人数</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2行2栏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&gt;0</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提示核实性错误，</w:t>
      </w:r>
      <w:r>
        <w:rPr>
          <w:rFonts w:hint="eastAsia" w:ascii="仿宋_GB2312" w:hAnsi="仿宋" w:eastAsia="仿宋_GB2312"/>
          <w:sz w:val="30"/>
          <w:szCs w:val="30"/>
          <w:highlight w:val="none"/>
          <w:lang w:val="en-US" w:eastAsia="zh-CN"/>
        </w:rPr>
        <w:t>并需</w:t>
      </w:r>
      <w:r>
        <w:rPr>
          <w:rFonts w:hint="eastAsia" w:ascii="仿宋_GB2312" w:hAnsi="仿宋" w:eastAsia="仿宋_GB2312"/>
          <w:sz w:val="30"/>
          <w:szCs w:val="30"/>
          <w:highlight w:val="none"/>
        </w:rPr>
        <w:t>填写情况说明；</w:t>
      </w:r>
    </w:p>
    <w:p w14:paraId="56A72C4B">
      <w:pPr>
        <w:numPr>
          <w:ilvl w:val="0"/>
          <w:numId w:val="3"/>
        </w:numPr>
        <w:adjustRightInd w:val="0"/>
        <w:snapToGrid w:val="0"/>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rPr>
        <w:t>资产负债表期初账面数</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本期1栏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不</w:t>
      </w:r>
      <w:r>
        <w:rPr>
          <w:rFonts w:hint="eastAsia" w:ascii="仿宋_GB2312" w:hAnsi="仿宋" w:eastAsia="仿宋_GB2312"/>
          <w:sz w:val="30"/>
          <w:szCs w:val="30"/>
          <w:highlight w:val="none"/>
        </w:rPr>
        <w:t>等于上年资产负债表期末账面数</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上期2栏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，提示核实性</w:t>
      </w:r>
      <w:r>
        <w:rPr>
          <w:rFonts w:hint="eastAsia" w:ascii="仿宋_GB2312" w:hAnsi="仿宋" w:eastAsia="仿宋_GB2312"/>
          <w:sz w:val="30"/>
          <w:szCs w:val="30"/>
          <w:highlight w:val="none"/>
          <w:lang w:val="en-US" w:eastAsia="zh-CN"/>
        </w:rPr>
        <w:t>错误</w:t>
      </w:r>
      <w:r>
        <w:rPr>
          <w:rFonts w:hint="eastAsia" w:ascii="仿宋_GB2312" w:hAnsi="仿宋" w:eastAsia="仿宋_GB2312"/>
          <w:sz w:val="30"/>
          <w:szCs w:val="30"/>
          <w:highlight w:val="none"/>
        </w:rPr>
        <w:t>，</w:t>
      </w:r>
      <w:r>
        <w:rPr>
          <w:rFonts w:hint="eastAsia" w:ascii="仿宋_GB2312" w:hAnsi="仿宋" w:eastAsia="仿宋_GB2312"/>
          <w:sz w:val="30"/>
          <w:szCs w:val="30"/>
          <w:highlight w:val="none"/>
          <w:lang w:val="en-US" w:eastAsia="zh-CN"/>
        </w:rPr>
        <w:t>并</w:t>
      </w:r>
      <w:r>
        <w:rPr>
          <w:rFonts w:hint="eastAsia" w:ascii="仿宋_GB2312" w:hAnsi="仿宋" w:eastAsia="仿宋_GB2312"/>
          <w:sz w:val="30"/>
          <w:szCs w:val="30"/>
          <w:highlight w:val="none"/>
        </w:rPr>
        <w:t>需</w:t>
      </w:r>
      <w:r>
        <w:rPr>
          <w:rFonts w:hint="eastAsia" w:ascii="仿宋_GB2312" w:hAnsi="仿宋" w:eastAsia="仿宋_GB2312"/>
          <w:sz w:val="30"/>
          <w:szCs w:val="30"/>
          <w:highlight w:val="none"/>
          <w:lang w:val="en-US" w:eastAsia="zh-CN"/>
        </w:rPr>
        <w:t>填写</w:t>
      </w:r>
      <w:r>
        <w:rPr>
          <w:rFonts w:hint="eastAsia" w:ascii="仿宋_GB2312" w:hAnsi="仿宋" w:eastAsia="仿宋_GB2312"/>
          <w:sz w:val="30"/>
          <w:szCs w:val="30"/>
          <w:highlight w:val="none"/>
        </w:rPr>
        <w:t>情况说明；</w:t>
      </w:r>
    </w:p>
    <w:p w14:paraId="06C6EAD4">
      <w:pPr>
        <w:numPr>
          <w:ilvl w:val="0"/>
          <w:numId w:val="3"/>
        </w:numPr>
        <w:adjustRightInd w:val="0"/>
        <w:snapToGrid w:val="0"/>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rPr>
        <w:t>货币性资金</w:t>
      </w:r>
      <w:r>
        <w:rPr>
          <w:rFonts w:hint="eastAsia" w:ascii="仿宋_GB2312" w:hAnsi="仿宋" w:eastAsia="仿宋_GB2312"/>
          <w:sz w:val="30"/>
          <w:szCs w:val="30"/>
          <w:highlight w:val="none"/>
          <w:lang w:val="en-US" w:eastAsia="zh-CN"/>
        </w:rPr>
        <w:t>的期末数</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3行2栏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占比资产合计</w:t>
      </w:r>
      <w:r>
        <w:rPr>
          <w:rFonts w:hint="eastAsia" w:ascii="仿宋_GB2312" w:hAnsi="仿宋" w:eastAsia="仿宋_GB2312"/>
          <w:sz w:val="30"/>
          <w:szCs w:val="30"/>
          <w:highlight w:val="none"/>
          <w:lang w:val="en-US" w:eastAsia="zh-CN"/>
        </w:rPr>
        <w:t>期末数（1行2栏）</w:t>
      </w:r>
      <w:r>
        <w:rPr>
          <w:rFonts w:hint="eastAsia" w:ascii="仿宋_GB2312" w:hAnsi="仿宋" w:eastAsia="仿宋_GB2312"/>
          <w:sz w:val="30"/>
          <w:szCs w:val="30"/>
          <w:highlight w:val="none"/>
        </w:rPr>
        <w:t>超过参考值50%，提示核实性</w:t>
      </w:r>
      <w:r>
        <w:rPr>
          <w:rFonts w:hint="eastAsia" w:ascii="仿宋_GB2312" w:hAnsi="仿宋" w:eastAsia="仿宋_GB2312"/>
          <w:sz w:val="30"/>
          <w:szCs w:val="30"/>
          <w:highlight w:val="none"/>
          <w:lang w:val="en-US" w:eastAsia="zh-CN"/>
        </w:rPr>
        <w:t>错误</w:t>
      </w:r>
      <w:r>
        <w:rPr>
          <w:rFonts w:hint="eastAsia" w:ascii="仿宋_GB2312" w:hAnsi="仿宋" w:eastAsia="仿宋_GB2312"/>
          <w:sz w:val="30"/>
          <w:szCs w:val="30"/>
          <w:highlight w:val="none"/>
        </w:rPr>
        <w:t>，</w:t>
      </w:r>
      <w:r>
        <w:rPr>
          <w:rFonts w:hint="eastAsia" w:ascii="仿宋_GB2312" w:hAnsi="仿宋" w:eastAsia="仿宋_GB2312"/>
          <w:sz w:val="30"/>
          <w:szCs w:val="30"/>
          <w:highlight w:val="none"/>
          <w:lang w:val="en-US" w:eastAsia="zh-CN"/>
        </w:rPr>
        <w:t>并</w:t>
      </w:r>
      <w:r>
        <w:rPr>
          <w:rFonts w:hint="eastAsia" w:ascii="仿宋_GB2312" w:hAnsi="仿宋" w:eastAsia="仿宋_GB2312"/>
          <w:sz w:val="30"/>
          <w:szCs w:val="30"/>
          <w:highlight w:val="none"/>
        </w:rPr>
        <w:t>需</w:t>
      </w:r>
      <w:r>
        <w:rPr>
          <w:rFonts w:hint="eastAsia" w:ascii="仿宋_GB2312" w:hAnsi="仿宋" w:eastAsia="仿宋_GB2312"/>
          <w:sz w:val="30"/>
          <w:szCs w:val="30"/>
          <w:highlight w:val="none"/>
          <w:lang w:val="en-US" w:eastAsia="zh-CN"/>
        </w:rPr>
        <w:t>填写</w:t>
      </w:r>
      <w:r>
        <w:rPr>
          <w:rFonts w:hint="eastAsia" w:ascii="仿宋_GB2312" w:hAnsi="仿宋" w:eastAsia="仿宋_GB2312"/>
          <w:sz w:val="30"/>
          <w:szCs w:val="30"/>
          <w:highlight w:val="none"/>
        </w:rPr>
        <w:t>情况说明；</w:t>
      </w:r>
    </w:p>
    <w:p w14:paraId="4B0DCB58">
      <w:pPr>
        <w:numPr>
          <w:ilvl w:val="0"/>
          <w:numId w:val="3"/>
        </w:numPr>
        <w:adjustRightInd w:val="0"/>
        <w:snapToGrid w:val="0"/>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rPr>
        <w:t>在建工程资产</w:t>
      </w:r>
      <w:r>
        <w:rPr>
          <w:rFonts w:hint="eastAsia" w:ascii="仿宋_GB2312" w:hAnsi="仿宋" w:eastAsia="仿宋_GB2312"/>
          <w:sz w:val="30"/>
          <w:szCs w:val="30"/>
          <w:highlight w:val="none"/>
          <w:lang w:val="en-US" w:eastAsia="zh-CN"/>
        </w:rPr>
        <w:t>的期末数</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23行2栏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占比资产合计</w:t>
      </w:r>
      <w:r>
        <w:rPr>
          <w:rFonts w:hint="eastAsia" w:ascii="仿宋_GB2312" w:hAnsi="仿宋" w:eastAsia="仿宋_GB2312"/>
          <w:sz w:val="30"/>
          <w:szCs w:val="30"/>
          <w:highlight w:val="none"/>
          <w:lang w:val="en-US" w:eastAsia="zh-CN"/>
        </w:rPr>
        <w:t>期末数（1行2栏）</w:t>
      </w:r>
      <w:r>
        <w:rPr>
          <w:rFonts w:hint="eastAsia" w:ascii="仿宋_GB2312" w:hAnsi="仿宋" w:eastAsia="仿宋_GB2312"/>
          <w:sz w:val="30"/>
          <w:szCs w:val="30"/>
          <w:highlight w:val="none"/>
        </w:rPr>
        <w:t>超过参考值50%，提示核实性</w:t>
      </w:r>
      <w:r>
        <w:rPr>
          <w:rFonts w:hint="eastAsia" w:ascii="仿宋_GB2312" w:hAnsi="仿宋" w:eastAsia="仿宋_GB2312"/>
          <w:sz w:val="30"/>
          <w:szCs w:val="30"/>
          <w:highlight w:val="none"/>
          <w:lang w:val="en-US" w:eastAsia="zh-CN"/>
        </w:rPr>
        <w:t>错误</w:t>
      </w:r>
      <w:r>
        <w:rPr>
          <w:rFonts w:hint="eastAsia" w:ascii="仿宋_GB2312" w:hAnsi="仿宋" w:eastAsia="仿宋_GB2312"/>
          <w:sz w:val="30"/>
          <w:szCs w:val="30"/>
          <w:highlight w:val="none"/>
        </w:rPr>
        <w:t>，</w:t>
      </w:r>
      <w:r>
        <w:rPr>
          <w:rFonts w:hint="eastAsia" w:ascii="仿宋_GB2312" w:hAnsi="仿宋" w:eastAsia="仿宋_GB2312"/>
          <w:sz w:val="30"/>
          <w:szCs w:val="30"/>
          <w:highlight w:val="none"/>
          <w:lang w:val="en-US" w:eastAsia="zh-CN"/>
        </w:rPr>
        <w:t>并</w:t>
      </w:r>
      <w:r>
        <w:rPr>
          <w:rFonts w:hint="eastAsia" w:ascii="仿宋_GB2312" w:hAnsi="仿宋" w:eastAsia="仿宋_GB2312"/>
          <w:sz w:val="30"/>
          <w:szCs w:val="30"/>
          <w:highlight w:val="none"/>
        </w:rPr>
        <w:t>需</w:t>
      </w:r>
      <w:r>
        <w:rPr>
          <w:rFonts w:hint="eastAsia" w:ascii="仿宋_GB2312" w:hAnsi="仿宋" w:eastAsia="仿宋_GB2312"/>
          <w:sz w:val="30"/>
          <w:szCs w:val="30"/>
          <w:highlight w:val="none"/>
          <w:lang w:val="en-US" w:eastAsia="zh-CN"/>
        </w:rPr>
        <w:t>填写</w:t>
      </w:r>
      <w:r>
        <w:rPr>
          <w:rFonts w:hint="eastAsia" w:ascii="仿宋_GB2312" w:hAnsi="仿宋" w:eastAsia="仿宋_GB2312"/>
          <w:sz w:val="30"/>
          <w:szCs w:val="30"/>
          <w:highlight w:val="none"/>
        </w:rPr>
        <w:t>情况说明；</w:t>
      </w:r>
    </w:p>
    <w:p w14:paraId="4A0A4D68">
      <w:pPr>
        <w:numPr>
          <w:ilvl w:val="0"/>
          <w:numId w:val="3"/>
        </w:numPr>
        <w:adjustRightInd w:val="0"/>
        <w:snapToGrid w:val="0"/>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lang w:val="en-US" w:eastAsia="zh-CN"/>
        </w:rPr>
        <w:t>总计</w:t>
      </w:r>
      <w:r>
        <w:rPr>
          <w:rFonts w:hint="eastAsia" w:ascii="仿宋_GB2312" w:hAnsi="仿宋" w:eastAsia="仿宋_GB2312"/>
          <w:sz w:val="30"/>
          <w:szCs w:val="30"/>
          <w:highlight w:val="none"/>
          <w:lang w:eastAsia="zh-CN"/>
        </w:rPr>
        <w:t>受托代理资产</w:t>
      </w:r>
      <w:r>
        <w:rPr>
          <w:rFonts w:hint="eastAsia" w:ascii="仿宋_GB2312" w:hAnsi="仿宋" w:eastAsia="仿宋_GB2312"/>
          <w:sz w:val="30"/>
          <w:szCs w:val="30"/>
          <w:highlight w:val="none"/>
          <w:lang w:val="en-US" w:eastAsia="zh-CN"/>
        </w:rPr>
        <w:t>的期末数</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39行2栏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≠0时，提示核实性</w:t>
      </w:r>
      <w:r>
        <w:rPr>
          <w:rFonts w:hint="eastAsia" w:ascii="仿宋_GB2312" w:hAnsi="仿宋" w:eastAsia="仿宋_GB2312"/>
          <w:sz w:val="30"/>
          <w:szCs w:val="30"/>
          <w:highlight w:val="none"/>
          <w:lang w:val="en-US" w:eastAsia="zh-CN"/>
        </w:rPr>
        <w:t>错误</w:t>
      </w:r>
      <w:r>
        <w:rPr>
          <w:rFonts w:hint="eastAsia" w:ascii="仿宋_GB2312" w:hAnsi="仿宋" w:eastAsia="仿宋_GB2312"/>
          <w:sz w:val="30"/>
          <w:szCs w:val="30"/>
          <w:highlight w:val="none"/>
        </w:rPr>
        <w:t>，</w:t>
      </w:r>
      <w:r>
        <w:rPr>
          <w:rFonts w:hint="eastAsia" w:ascii="仿宋_GB2312" w:hAnsi="仿宋" w:eastAsia="仿宋_GB2312"/>
          <w:sz w:val="30"/>
          <w:szCs w:val="30"/>
          <w:highlight w:val="none"/>
          <w:lang w:val="en-US" w:eastAsia="zh-CN"/>
        </w:rPr>
        <w:t>并</w:t>
      </w:r>
      <w:r>
        <w:rPr>
          <w:rFonts w:hint="eastAsia" w:ascii="仿宋_GB2312" w:hAnsi="仿宋" w:eastAsia="仿宋_GB2312"/>
          <w:sz w:val="30"/>
          <w:szCs w:val="30"/>
          <w:highlight w:val="none"/>
        </w:rPr>
        <w:t>需</w:t>
      </w:r>
      <w:r>
        <w:rPr>
          <w:rFonts w:hint="eastAsia" w:ascii="仿宋_GB2312" w:hAnsi="仿宋" w:eastAsia="仿宋_GB2312"/>
          <w:sz w:val="30"/>
          <w:szCs w:val="30"/>
          <w:highlight w:val="none"/>
          <w:lang w:val="en-US" w:eastAsia="zh-CN"/>
        </w:rPr>
        <w:t>填写</w:t>
      </w:r>
      <w:r>
        <w:rPr>
          <w:rFonts w:hint="eastAsia" w:ascii="仿宋_GB2312" w:hAnsi="仿宋" w:eastAsia="仿宋_GB2312"/>
          <w:sz w:val="30"/>
          <w:szCs w:val="30"/>
          <w:highlight w:val="none"/>
        </w:rPr>
        <w:t>情况说明；</w:t>
      </w:r>
    </w:p>
    <w:p w14:paraId="6E6F8F40">
      <w:pPr>
        <w:numPr>
          <w:ilvl w:val="0"/>
          <w:numId w:val="3"/>
        </w:numPr>
        <w:adjustRightInd w:val="0"/>
        <w:snapToGrid w:val="0"/>
        <w:spacing w:line="360" w:lineRule="auto"/>
        <w:ind w:left="0" w:firstLine="567"/>
        <w:rPr>
          <w:rFonts w:hint="eastAsia" w:ascii="仿宋_GB2312" w:hAnsi="仿宋" w:eastAsia="仿宋_GB2312"/>
          <w:sz w:val="30"/>
          <w:szCs w:val="30"/>
          <w:highlight w:val="none"/>
        </w:rPr>
      </w:pPr>
      <w:r>
        <w:rPr>
          <w:rFonts w:hint="eastAsia" w:ascii="仿宋_GB2312" w:hAnsi="仿宋" w:eastAsia="仿宋_GB2312"/>
          <w:sz w:val="30"/>
          <w:szCs w:val="30"/>
          <w:highlight w:val="none"/>
        </w:rPr>
        <w:t>其他非流动资产</w:t>
      </w:r>
      <w:r>
        <w:rPr>
          <w:rFonts w:hint="eastAsia" w:ascii="仿宋_GB2312" w:hAnsi="仿宋" w:eastAsia="仿宋_GB2312"/>
          <w:sz w:val="30"/>
          <w:szCs w:val="30"/>
          <w:highlight w:val="none"/>
          <w:lang w:val="en-US" w:eastAsia="zh-CN"/>
        </w:rPr>
        <w:t>的期末数</w:t>
      </w:r>
      <w:r>
        <w:rPr>
          <w:rFonts w:hint="eastAsia" w:ascii="仿宋_GB2312" w:hAnsi="仿宋" w:eastAsia="仿宋_GB2312"/>
          <w:sz w:val="30"/>
          <w:szCs w:val="30"/>
          <w:highlight w:val="none"/>
          <w:lang w:eastAsia="zh-CN"/>
        </w:rPr>
        <w:t>（38</w:t>
      </w:r>
      <w:r>
        <w:rPr>
          <w:rFonts w:hint="eastAsia" w:ascii="仿宋_GB2312" w:hAnsi="仿宋" w:eastAsia="仿宋_GB2312"/>
          <w:sz w:val="30"/>
          <w:szCs w:val="30"/>
          <w:highlight w:val="none"/>
          <w:lang w:val="en-US" w:eastAsia="zh-CN"/>
        </w:rPr>
        <w:t>行2栏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占比资产合计</w:t>
      </w:r>
      <w:r>
        <w:rPr>
          <w:rFonts w:hint="eastAsia" w:ascii="仿宋_GB2312" w:hAnsi="仿宋" w:eastAsia="仿宋_GB2312"/>
          <w:sz w:val="30"/>
          <w:szCs w:val="30"/>
          <w:highlight w:val="none"/>
          <w:lang w:val="en-US" w:eastAsia="zh-CN"/>
        </w:rPr>
        <w:t>期末数（1行2栏）</w:t>
      </w:r>
      <w:r>
        <w:rPr>
          <w:rFonts w:hint="eastAsia" w:ascii="仿宋_GB2312" w:hAnsi="仿宋" w:eastAsia="仿宋_GB2312"/>
          <w:sz w:val="30"/>
          <w:szCs w:val="30"/>
          <w:highlight w:val="none"/>
        </w:rPr>
        <w:t>超过参考值25%，提示核实性</w:t>
      </w:r>
      <w:r>
        <w:rPr>
          <w:rFonts w:hint="eastAsia" w:ascii="仿宋_GB2312" w:hAnsi="仿宋" w:eastAsia="仿宋_GB2312"/>
          <w:sz w:val="30"/>
          <w:szCs w:val="30"/>
          <w:highlight w:val="none"/>
          <w:lang w:val="en-US" w:eastAsia="zh-CN"/>
        </w:rPr>
        <w:t>错误</w:t>
      </w:r>
      <w:r>
        <w:rPr>
          <w:rFonts w:hint="eastAsia" w:ascii="仿宋_GB2312" w:hAnsi="仿宋" w:eastAsia="仿宋_GB2312"/>
          <w:sz w:val="30"/>
          <w:szCs w:val="30"/>
          <w:highlight w:val="none"/>
        </w:rPr>
        <w:t>，</w:t>
      </w:r>
      <w:r>
        <w:rPr>
          <w:rFonts w:hint="eastAsia" w:ascii="仿宋_GB2312" w:hAnsi="仿宋" w:eastAsia="仿宋_GB2312"/>
          <w:sz w:val="30"/>
          <w:szCs w:val="30"/>
          <w:highlight w:val="none"/>
          <w:lang w:val="en-US" w:eastAsia="zh-CN"/>
        </w:rPr>
        <w:t>并</w:t>
      </w:r>
      <w:r>
        <w:rPr>
          <w:rFonts w:hint="eastAsia" w:ascii="仿宋_GB2312" w:hAnsi="仿宋" w:eastAsia="仿宋_GB2312"/>
          <w:sz w:val="30"/>
          <w:szCs w:val="30"/>
          <w:highlight w:val="none"/>
        </w:rPr>
        <w:t>需</w:t>
      </w:r>
      <w:r>
        <w:rPr>
          <w:rFonts w:hint="eastAsia" w:ascii="仿宋_GB2312" w:hAnsi="仿宋" w:eastAsia="仿宋_GB2312"/>
          <w:sz w:val="30"/>
          <w:szCs w:val="30"/>
          <w:highlight w:val="none"/>
          <w:lang w:val="en-US" w:eastAsia="zh-CN"/>
        </w:rPr>
        <w:t>填写</w:t>
      </w:r>
      <w:r>
        <w:rPr>
          <w:rFonts w:hint="eastAsia" w:ascii="仿宋_GB2312" w:hAnsi="仿宋" w:eastAsia="仿宋_GB2312"/>
          <w:sz w:val="30"/>
          <w:szCs w:val="30"/>
          <w:highlight w:val="none"/>
        </w:rPr>
        <w:t>情况说明。</w:t>
      </w:r>
    </w:p>
    <w:p w14:paraId="678909C0">
      <w:pPr>
        <w:pStyle w:val="2"/>
        <w:ind w:firstLine="0" w:firstLineChars="0"/>
        <w:rPr>
          <w:rFonts w:hint="eastAsia"/>
          <w:color w:val="auto"/>
          <w:highlight w:val="none"/>
        </w:rPr>
      </w:pPr>
      <w:r>
        <w:rPr>
          <w:rFonts w:hint="eastAsia"/>
          <w:color w:val="auto"/>
          <w:highlight w:val="none"/>
        </w:rPr>
        <w:t>（三）</w:t>
      </w:r>
      <w:r>
        <w:rPr>
          <w:color w:val="auto"/>
          <w:highlight w:val="none"/>
        </w:rPr>
        <w:t>机构人员情况汇总表</w:t>
      </w:r>
      <w:r>
        <w:rPr>
          <w:rFonts w:hint="eastAsia"/>
          <w:color w:val="auto"/>
          <w:highlight w:val="none"/>
        </w:rPr>
        <w:t>（</w:t>
      </w:r>
      <w:r>
        <w:rPr>
          <w:color w:val="auto"/>
          <w:highlight w:val="none"/>
        </w:rPr>
        <w:t>财资综02</w:t>
      </w:r>
      <w:r>
        <w:rPr>
          <w:rFonts w:hint="eastAsia"/>
          <w:color w:val="auto"/>
          <w:highlight w:val="none"/>
        </w:rPr>
        <w:t>表）</w:t>
      </w:r>
    </w:p>
    <w:p w14:paraId="1878E52E">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eastAsia="仿宋_GB2312"/>
          <w:kern w:val="0"/>
          <w:sz w:val="30"/>
          <w:szCs w:val="30"/>
          <w:highlight w:val="none"/>
        </w:rPr>
        <w:t>本表按照行政单位、事业单位口径汇总数据，</w:t>
      </w:r>
      <w:r>
        <w:rPr>
          <w:rFonts w:hint="eastAsia" w:ascii="仿宋_GB2312" w:hAnsi="仿宋" w:eastAsia="仿宋_GB2312"/>
          <w:sz w:val="30"/>
          <w:szCs w:val="30"/>
          <w:highlight w:val="none"/>
        </w:rPr>
        <w:t>反映单位年末机构设置、人员编制及实有情况、公务用车编制及实有情况。表中数据以财资02机构人员情况表和财资06车辆情况表为基础自动提取生成。</w:t>
      </w:r>
    </w:p>
    <w:p w14:paraId="35B93E84">
      <w:pPr>
        <w:snapToGrid w:val="0"/>
        <w:spacing w:line="360" w:lineRule="auto"/>
        <w:ind w:firstLine="602" w:firstLineChars="200"/>
        <w:rPr>
          <w:rFonts w:hint="eastAsia" w:ascii="仿宋_GB2312" w:hAnsi="仿宋" w:eastAsia="仿宋_GB2312"/>
          <w:b/>
          <w:bCs/>
          <w:sz w:val="30"/>
          <w:szCs w:val="30"/>
          <w:highlight w:val="none"/>
        </w:rPr>
      </w:pPr>
      <w:r>
        <w:rPr>
          <w:rFonts w:hint="eastAsia" w:ascii="仿宋_GB2312" w:hAnsi="仿宋" w:eastAsia="仿宋_GB2312"/>
          <w:b/>
          <w:bCs/>
          <w:sz w:val="30"/>
          <w:szCs w:val="30"/>
          <w:highlight w:val="none"/>
        </w:rPr>
        <w:t>主要指标说明：</w:t>
      </w:r>
    </w:p>
    <w:p w14:paraId="60A1D6A5">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00" w:firstLineChars="200"/>
        <w:textAlignment w:val="auto"/>
        <w:rPr>
          <w:rFonts w:hint="eastAsia" w:ascii="仿宋_GB2312" w:hAnsi="仿宋" w:eastAsia="仿宋_GB2312"/>
          <w:b w:val="0"/>
          <w:bCs w:val="0"/>
          <w:sz w:val="30"/>
          <w:szCs w:val="30"/>
          <w:highlight w:val="none"/>
          <w:lang w:val="en-US" w:eastAsia="zh-CN"/>
        </w:rPr>
      </w:pPr>
      <w:r>
        <w:rPr>
          <w:rFonts w:hint="eastAsia" w:ascii="仿宋_GB2312" w:hAnsi="仿宋" w:eastAsia="仿宋_GB2312"/>
          <w:b w:val="0"/>
          <w:bCs w:val="0"/>
          <w:sz w:val="30"/>
          <w:szCs w:val="30"/>
          <w:highlight w:val="none"/>
          <w:lang w:val="en-US" w:eastAsia="zh-CN"/>
        </w:rPr>
        <w:t>1.</w:t>
      </w:r>
      <w:r>
        <w:rPr>
          <w:rFonts w:hint="eastAsia" w:ascii="仿宋_GB2312" w:hAnsi="仿宋" w:eastAsia="仿宋_GB2312"/>
          <w:b w:val="0"/>
          <w:bCs w:val="0"/>
          <w:sz w:val="30"/>
          <w:szCs w:val="30"/>
          <w:highlight w:val="none"/>
        </w:rPr>
        <w:t>实有数</w:t>
      </w:r>
      <w:r>
        <w:rPr>
          <w:rFonts w:hint="eastAsia" w:ascii="仿宋_GB2312" w:hAnsi="仿宋" w:eastAsia="仿宋_GB2312"/>
          <w:b w:val="0"/>
          <w:bCs w:val="0"/>
          <w:sz w:val="30"/>
          <w:szCs w:val="30"/>
          <w:highlight w:val="none"/>
          <w:lang w:eastAsia="zh-CN"/>
        </w:rPr>
        <w:t>：</w:t>
      </w:r>
      <w:r>
        <w:rPr>
          <w:rFonts w:hint="eastAsia" w:ascii="仿宋_GB2312" w:hAnsi="仿宋" w:eastAsia="仿宋_GB2312"/>
          <w:b w:val="0"/>
          <w:bCs w:val="0"/>
          <w:sz w:val="30"/>
          <w:szCs w:val="30"/>
          <w:highlight w:val="none"/>
          <w:lang w:val="en-US" w:eastAsia="zh-CN"/>
        </w:rPr>
        <w:t>该指标取自车辆情况表，车辆用途为同类的车辆数量之和。</w:t>
      </w:r>
    </w:p>
    <w:p w14:paraId="025E4E3F">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00" w:firstLineChars="200"/>
        <w:textAlignment w:val="auto"/>
        <w:rPr>
          <w:rFonts w:hint="eastAsia" w:ascii="仿宋_GB2312" w:hAnsi="仿宋" w:eastAsia="仿宋_GB2312"/>
          <w:sz w:val="30"/>
          <w:szCs w:val="30"/>
          <w:highlight w:val="none"/>
        </w:rPr>
      </w:pPr>
      <w:r>
        <w:rPr>
          <w:rFonts w:hint="eastAsia" w:ascii="仿宋_GB2312" w:hAnsi="仿宋" w:eastAsia="仿宋_GB2312"/>
          <w:b w:val="0"/>
          <w:bCs w:val="0"/>
          <w:sz w:val="30"/>
          <w:szCs w:val="30"/>
          <w:highlight w:val="none"/>
          <w:lang w:val="en-US" w:eastAsia="zh-CN"/>
        </w:rPr>
        <w:t>2.新能源汽车</w:t>
      </w:r>
      <w:r>
        <w:rPr>
          <w:rFonts w:hint="eastAsia" w:ascii="仿宋_GB2312" w:hAnsi="仿宋" w:eastAsia="仿宋_GB2312"/>
          <w:b w:val="0"/>
          <w:bCs w:val="0"/>
          <w:sz w:val="30"/>
          <w:szCs w:val="30"/>
          <w:highlight w:val="none"/>
        </w:rPr>
        <w:t>数</w:t>
      </w:r>
      <w:r>
        <w:rPr>
          <w:rFonts w:hint="eastAsia" w:ascii="仿宋_GB2312" w:hAnsi="仿宋" w:eastAsia="仿宋_GB2312"/>
          <w:b w:val="0"/>
          <w:bCs w:val="0"/>
          <w:sz w:val="30"/>
          <w:szCs w:val="30"/>
          <w:highlight w:val="none"/>
          <w:lang w:eastAsia="zh-CN"/>
        </w:rPr>
        <w:t>：</w:t>
      </w:r>
      <w:r>
        <w:rPr>
          <w:rFonts w:hint="eastAsia" w:ascii="仿宋_GB2312" w:hAnsi="仿宋" w:eastAsia="仿宋_GB2312"/>
          <w:b w:val="0"/>
          <w:bCs w:val="0"/>
          <w:sz w:val="30"/>
          <w:szCs w:val="30"/>
          <w:highlight w:val="none"/>
          <w:lang w:val="en-US" w:eastAsia="zh-CN"/>
        </w:rPr>
        <w:t>该指标取自车辆情况表排气量（升）为“</w:t>
      </w:r>
      <w:r>
        <w:rPr>
          <w:rFonts w:hint="eastAsia" w:ascii="仿宋_GB2312" w:hAnsi="仿宋" w:eastAsia="仿宋_GB2312"/>
          <w:sz w:val="30"/>
          <w:szCs w:val="30"/>
          <w:highlight w:val="none"/>
        </w:rPr>
        <w:t>新能源</w:t>
      </w:r>
      <w:r>
        <w:rPr>
          <w:rFonts w:hint="eastAsia" w:ascii="仿宋_GB2312" w:hAnsi="仿宋" w:eastAsia="仿宋_GB2312"/>
          <w:sz w:val="30"/>
          <w:szCs w:val="30"/>
          <w:highlight w:val="none"/>
          <w:lang w:val="en-US" w:eastAsia="zh-CN"/>
        </w:rPr>
        <w:t>汽车</w:t>
      </w:r>
      <w:r>
        <w:rPr>
          <w:rFonts w:hint="eastAsia" w:ascii="仿宋_GB2312" w:hAnsi="仿宋" w:eastAsia="仿宋_GB2312"/>
          <w:b w:val="0"/>
          <w:bCs w:val="0"/>
          <w:sz w:val="30"/>
          <w:szCs w:val="30"/>
          <w:highlight w:val="none"/>
          <w:lang w:val="en-US" w:eastAsia="zh-CN"/>
        </w:rPr>
        <w:t>”分类下，车辆用途为同类的车辆数量之和。</w:t>
      </w:r>
    </w:p>
    <w:p w14:paraId="3464947A">
      <w:pPr>
        <w:adjustRightInd w:val="0"/>
        <w:snapToGrid w:val="0"/>
        <w:spacing w:before="120" w:beforeLines="50" w:line="360" w:lineRule="auto"/>
        <w:ind w:firstLine="602" w:firstLineChars="200"/>
        <w:rPr>
          <w:rFonts w:hint="eastAsia" w:ascii="仿宋_GB2312" w:hAnsi="仿宋" w:eastAsia="仿宋_GB2312"/>
          <w:b/>
          <w:bCs/>
          <w:sz w:val="30"/>
          <w:szCs w:val="30"/>
          <w:highlight w:val="none"/>
        </w:rPr>
      </w:pPr>
      <w:r>
        <w:rPr>
          <w:rFonts w:hint="eastAsia" w:ascii="仿宋_GB2312" w:hAnsi="仿宋" w:eastAsia="仿宋_GB2312"/>
          <w:b/>
          <w:bCs/>
          <w:sz w:val="30"/>
          <w:szCs w:val="30"/>
          <w:highlight w:val="none"/>
        </w:rPr>
        <w:t>核实性公式：</w:t>
      </w:r>
    </w:p>
    <w:p w14:paraId="72480BD1">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lang w:val="en-US" w:eastAsia="zh-CN"/>
        </w:rPr>
        <w:t>编制内在职人员的编制人数（</w:t>
      </w:r>
      <w:r>
        <w:rPr>
          <w:rFonts w:hint="eastAsia" w:ascii="仿宋_GB2312" w:hAnsi="仿宋" w:eastAsia="仿宋_GB2312"/>
          <w:sz w:val="30"/>
          <w:szCs w:val="30"/>
          <w:highlight w:val="none"/>
        </w:rPr>
        <w:t>2行1栏</w:t>
      </w:r>
      <w:r>
        <w:rPr>
          <w:rFonts w:hint="eastAsia" w:ascii="仿宋_GB2312" w:hAnsi="仿宋" w:eastAsia="仿宋_GB2312"/>
          <w:sz w:val="30"/>
          <w:szCs w:val="30"/>
          <w:highlight w:val="none"/>
          <w:lang w:eastAsia="zh-CN"/>
        </w:rPr>
        <w:t>）</w:t>
      </w:r>
      <w:r>
        <w:rPr>
          <w:rFonts w:ascii="仿宋_GB2312" w:hAnsi="仿宋" w:eastAsia="仿宋_GB2312"/>
          <w:sz w:val="30"/>
          <w:szCs w:val="30"/>
          <w:highlight w:val="none"/>
        </w:rPr>
        <w:t>=0</w:t>
      </w:r>
      <w:r>
        <w:rPr>
          <w:rFonts w:hint="eastAsia" w:ascii="仿宋_GB2312" w:hAnsi="仿宋" w:eastAsia="仿宋_GB2312"/>
          <w:sz w:val="30"/>
          <w:szCs w:val="30"/>
          <w:highlight w:val="none"/>
          <w:lang w:val="en-US" w:eastAsia="zh-CN"/>
        </w:rPr>
        <w:t>时</w:t>
      </w:r>
      <w:r>
        <w:rPr>
          <w:rFonts w:ascii="仿宋_GB2312" w:hAnsi="仿宋" w:eastAsia="仿宋_GB2312"/>
          <w:sz w:val="30"/>
          <w:szCs w:val="30"/>
          <w:highlight w:val="none"/>
        </w:rPr>
        <w:t>，</w:t>
      </w:r>
      <w:r>
        <w:rPr>
          <w:rFonts w:hint="eastAsia" w:ascii="仿宋_GB2312" w:hAnsi="仿宋" w:eastAsia="仿宋_GB2312"/>
          <w:sz w:val="30"/>
          <w:szCs w:val="30"/>
          <w:highlight w:val="none"/>
        </w:rPr>
        <w:t>提示核实性错误，</w:t>
      </w:r>
      <w:r>
        <w:rPr>
          <w:rFonts w:hint="eastAsia" w:ascii="仿宋_GB2312" w:hAnsi="仿宋" w:eastAsia="仿宋_GB2312"/>
          <w:sz w:val="30"/>
          <w:szCs w:val="30"/>
          <w:highlight w:val="none"/>
          <w:lang w:val="en-US" w:eastAsia="zh-CN"/>
        </w:rPr>
        <w:t>并</w:t>
      </w:r>
      <w:r>
        <w:rPr>
          <w:rFonts w:hint="eastAsia" w:ascii="仿宋_GB2312" w:hAnsi="仿宋" w:eastAsia="仿宋_GB2312"/>
          <w:sz w:val="30"/>
          <w:szCs w:val="30"/>
          <w:highlight w:val="none"/>
        </w:rPr>
        <w:t>需</w:t>
      </w:r>
      <w:r>
        <w:rPr>
          <w:rFonts w:hint="eastAsia" w:ascii="仿宋_GB2312" w:hAnsi="仿宋" w:eastAsia="仿宋_GB2312"/>
          <w:sz w:val="30"/>
          <w:szCs w:val="30"/>
          <w:highlight w:val="none"/>
          <w:lang w:val="en-US" w:eastAsia="zh-CN"/>
        </w:rPr>
        <w:t>填写</w:t>
      </w:r>
      <w:r>
        <w:rPr>
          <w:rFonts w:hint="eastAsia" w:ascii="仿宋_GB2312" w:hAnsi="仿宋" w:eastAsia="仿宋_GB2312"/>
          <w:sz w:val="30"/>
          <w:szCs w:val="30"/>
          <w:highlight w:val="none"/>
        </w:rPr>
        <w:t>情况说明；</w:t>
      </w:r>
    </w:p>
    <w:p w14:paraId="39506208">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lang w:val="en-US" w:eastAsia="zh-CN"/>
        </w:rPr>
        <w:t>编制内在职人员的年末实有人数（</w:t>
      </w:r>
      <w:r>
        <w:rPr>
          <w:rFonts w:hint="eastAsia" w:ascii="仿宋_GB2312" w:hAnsi="仿宋" w:eastAsia="仿宋_GB2312"/>
          <w:sz w:val="30"/>
          <w:szCs w:val="30"/>
          <w:highlight w:val="none"/>
        </w:rPr>
        <w:t>2行</w:t>
      </w:r>
      <w:r>
        <w:rPr>
          <w:rFonts w:ascii="仿宋_GB2312" w:hAnsi="仿宋" w:eastAsia="仿宋_GB2312"/>
          <w:sz w:val="30"/>
          <w:szCs w:val="30"/>
          <w:highlight w:val="none"/>
        </w:rPr>
        <w:t>2</w:t>
      </w:r>
      <w:r>
        <w:rPr>
          <w:rFonts w:hint="eastAsia" w:ascii="仿宋_GB2312" w:hAnsi="仿宋" w:eastAsia="仿宋_GB2312"/>
          <w:sz w:val="30"/>
          <w:szCs w:val="30"/>
          <w:highlight w:val="none"/>
        </w:rPr>
        <w:t>栏</w:t>
      </w:r>
      <w:r>
        <w:rPr>
          <w:rFonts w:hint="eastAsia" w:ascii="仿宋_GB2312" w:hAnsi="仿宋" w:eastAsia="仿宋_GB2312"/>
          <w:sz w:val="30"/>
          <w:szCs w:val="30"/>
          <w:highlight w:val="none"/>
          <w:lang w:eastAsia="zh-CN"/>
        </w:rPr>
        <w:t>）</w:t>
      </w:r>
      <w:r>
        <w:rPr>
          <w:rFonts w:ascii="仿宋_GB2312" w:hAnsi="仿宋" w:eastAsia="仿宋_GB2312"/>
          <w:sz w:val="30"/>
          <w:szCs w:val="30"/>
          <w:highlight w:val="none"/>
        </w:rPr>
        <w:t>=0</w:t>
      </w:r>
      <w:r>
        <w:rPr>
          <w:rFonts w:hint="eastAsia" w:ascii="仿宋_GB2312" w:hAnsi="仿宋" w:eastAsia="仿宋_GB2312"/>
          <w:sz w:val="30"/>
          <w:szCs w:val="30"/>
          <w:highlight w:val="none"/>
        </w:rPr>
        <w:t>时</w:t>
      </w:r>
      <w:r>
        <w:rPr>
          <w:rFonts w:ascii="仿宋_GB2312" w:hAnsi="仿宋" w:eastAsia="仿宋_GB2312"/>
          <w:sz w:val="30"/>
          <w:szCs w:val="30"/>
          <w:highlight w:val="none"/>
        </w:rPr>
        <w:t>，</w:t>
      </w:r>
      <w:r>
        <w:rPr>
          <w:rFonts w:hint="eastAsia" w:ascii="仿宋_GB2312" w:hAnsi="仿宋" w:eastAsia="仿宋_GB2312"/>
          <w:sz w:val="30"/>
          <w:szCs w:val="30"/>
          <w:highlight w:val="none"/>
        </w:rPr>
        <w:t>提示核实性错误，</w:t>
      </w:r>
      <w:r>
        <w:rPr>
          <w:rFonts w:hint="eastAsia" w:ascii="仿宋_GB2312" w:hAnsi="仿宋" w:eastAsia="仿宋_GB2312"/>
          <w:sz w:val="30"/>
          <w:szCs w:val="30"/>
          <w:highlight w:val="none"/>
          <w:lang w:val="en-US" w:eastAsia="zh-CN"/>
        </w:rPr>
        <w:t>并</w:t>
      </w:r>
      <w:r>
        <w:rPr>
          <w:rFonts w:hint="eastAsia" w:ascii="仿宋_GB2312" w:hAnsi="仿宋" w:eastAsia="仿宋_GB2312"/>
          <w:sz w:val="30"/>
          <w:szCs w:val="30"/>
          <w:highlight w:val="none"/>
        </w:rPr>
        <w:t>需</w:t>
      </w:r>
      <w:r>
        <w:rPr>
          <w:rFonts w:hint="eastAsia" w:ascii="仿宋_GB2312" w:hAnsi="仿宋" w:eastAsia="仿宋_GB2312"/>
          <w:sz w:val="30"/>
          <w:szCs w:val="30"/>
          <w:highlight w:val="none"/>
          <w:lang w:val="en-US" w:eastAsia="zh-CN"/>
        </w:rPr>
        <w:t>填写</w:t>
      </w:r>
      <w:r>
        <w:rPr>
          <w:rFonts w:hint="eastAsia" w:ascii="仿宋_GB2312" w:hAnsi="仿宋" w:eastAsia="仿宋_GB2312"/>
          <w:sz w:val="30"/>
          <w:szCs w:val="30"/>
          <w:highlight w:val="none"/>
        </w:rPr>
        <w:t>情况说明；</w:t>
      </w:r>
    </w:p>
    <w:p w14:paraId="0892065F">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单位机构</w:t>
      </w:r>
      <w:r>
        <w:rPr>
          <w:rFonts w:hint="eastAsia" w:ascii="仿宋_GB2312" w:hAnsi="仿宋" w:eastAsia="仿宋_GB2312"/>
          <w:sz w:val="30"/>
          <w:szCs w:val="30"/>
          <w:highlight w:val="none"/>
          <w:lang w:val="en-US" w:eastAsia="zh-CN"/>
        </w:rPr>
        <w:t>的</w:t>
      </w:r>
      <w:r>
        <w:rPr>
          <w:rFonts w:hint="eastAsia" w:ascii="仿宋_GB2312" w:hAnsi="仿宋" w:eastAsia="仿宋_GB2312"/>
          <w:sz w:val="30"/>
          <w:szCs w:val="30"/>
          <w:highlight w:val="none"/>
        </w:rPr>
        <w:t>独立编制机构数</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1</w:t>
      </w:r>
      <w:r>
        <w:rPr>
          <w:rFonts w:hint="eastAsia" w:ascii="仿宋_GB2312" w:hAnsi="仿宋" w:eastAsia="仿宋_GB2312"/>
          <w:sz w:val="30"/>
          <w:szCs w:val="30"/>
          <w:highlight w:val="none"/>
          <w:lang w:val="en-US" w:eastAsia="zh-CN"/>
        </w:rPr>
        <w:t>7</w:t>
      </w:r>
      <w:r>
        <w:rPr>
          <w:rFonts w:hint="eastAsia" w:ascii="仿宋_GB2312" w:hAnsi="仿宋" w:eastAsia="仿宋_GB2312"/>
          <w:sz w:val="30"/>
          <w:szCs w:val="30"/>
          <w:highlight w:val="none"/>
        </w:rPr>
        <w:t>行3栏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=0时，提示核实性错误，</w:t>
      </w:r>
      <w:r>
        <w:rPr>
          <w:rFonts w:hint="eastAsia" w:ascii="仿宋_GB2312" w:hAnsi="仿宋" w:eastAsia="仿宋_GB2312"/>
          <w:sz w:val="30"/>
          <w:szCs w:val="30"/>
          <w:highlight w:val="none"/>
          <w:lang w:val="en-US" w:eastAsia="zh-CN"/>
        </w:rPr>
        <w:t>并</w:t>
      </w:r>
      <w:r>
        <w:rPr>
          <w:rFonts w:hint="eastAsia" w:ascii="仿宋_GB2312" w:hAnsi="仿宋" w:eastAsia="仿宋_GB2312"/>
          <w:sz w:val="30"/>
          <w:szCs w:val="30"/>
          <w:highlight w:val="none"/>
        </w:rPr>
        <w:t>需</w:t>
      </w:r>
      <w:r>
        <w:rPr>
          <w:rFonts w:hint="eastAsia" w:ascii="仿宋_GB2312" w:hAnsi="仿宋" w:eastAsia="仿宋_GB2312"/>
          <w:sz w:val="30"/>
          <w:szCs w:val="30"/>
          <w:highlight w:val="none"/>
          <w:lang w:val="en-US" w:eastAsia="zh-CN"/>
        </w:rPr>
        <w:t>填写</w:t>
      </w:r>
      <w:r>
        <w:rPr>
          <w:rFonts w:hint="eastAsia" w:ascii="仿宋_GB2312" w:hAnsi="仿宋" w:eastAsia="仿宋_GB2312"/>
          <w:sz w:val="30"/>
          <w:szCs w:val="30"/>
          <w:highlight w:val="none"/>
        </w:rPr>
        <w:t>情况说明；</w:t>
      </w:r>
    </w:p>
    <w:p w14:paraId="7FDBC4F7">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本期</w:t>
      </w:r>
      <w:r>
        <w:rPr>
          <w:rFonts w:hint="eastAsia" w:ascii="仿宋_GB2312" w:hAnsi="仿宋" w:eastAsia="仿宋_GB2312"/>
          <w:sz w:val="30"/>
          <w:szCs w:val="30"/>
          <w:highlight w:val="none"/>
          <w:lang w:val="en-US" w:eastAsia="zh-CN"/>
        </w:rPr>
        <w:t>编制内在职人员与其他人员之和（</w:t>
      </w:r>
      <w:r>
        <w:rPr>
          <w:rFonts w:hint="eastAsia" w:ascii="仿宋_GB2312" w:hAnsi="仿宋" w:eastAsia="仿宋_GB2312"/>
          <w:sz w:val="30"/>
          <w:szCs w:val="30"/>
          <w:highlight w:val="none"/>
        </w:rPr>
        <w:t>2</w:t>
      </w:r>
      <w:r>
        <w:rPr>
          <w:rFonts w:hint="eastAsia" w:ascii="仿宋_GB2312" w:hAnsi="仿宋" w:eastAsia="仿宋_GB2312"/>
          <w:sz w:val="30"/>
          <w:szCs w:val="30"/>
          <w:highlight w:val="none"/>
          <w:lang w:val="en-US" w:eastAsia="zh-CN"/>
        </w:rPr>
        <w:t>行+9</w:t>
      </w:r>
      <w:r>
        <w:rPr>
          <w:rFonts w:hint="eastAsia" w:ascii="仿宋_GB2312" w:hAnsi="仿宋" w:eastAsia="仿宋_GB2312"/>
          <w:sz w:val="30"/>
          <w:szCs w:val="30"/>
          <w:highlight w:val="none"/>
        </w:rPr>
        <w:t>行2栏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的年末实有人数大于20人时，</w:t>
      </w:r>
      <w:r>
        <w:rPr>
          <w:rFonts w:hint="eastAsia" w:ascii="仿宋_GB2312" w:hAnsi="仿宋" w:eastAsia="仿宋_GB2312"/>
          <w:sz w:val="30"/>
          <w:szCs w:val="30"/>
          <w:highlight w:val="none"/>
        </w:rPr>
        <w:t>与上期机构人员情况表的</w:t>
      </w:r>
      <w:r>
        <w:rPr>
          <w:rFonts w:hint="eastAsia" w:ascii="仿宋_GB2312" w:hAnsi="仿宋" w:eastAsia="仿宋_GB2312"/>
          <w:sz w:val="30"/>
          <w:szCs w:val="30"/>
          <w:highlight w:val="none"/>
          <w:lang w:val="en-US" w:eastAsia="zh-CN"/>
        </w:rPr>
        <w:t>在职人员的年末实有人数（</w:t>
      </w:r>
      <w:r>
        <w:rPr>
          <w:rFonts w:hint="eastAsia" w:ascii="仿宋_GB2312" w:hAnsi="仿宋" w:eastAsia="仿宋_GB2312"/>
          <w:sz w:val="30"/>
          <w:szCs w:val="30"/>
          <w:highlight w:val="none"/>
        </w:rPr>
        <w:t>2行2栏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，差异超过20%，提示核实性错误，</w:t>
      </w:r>
      <w:r>
        <w:rPr>
          <w:rFonts w:hint="eastAsia" w:ascii="仿宋_GB2312" w:hAnsi="仿宋" w:eastAsia="仿宋_GB2312"/>
          <w:sz w:val="30"/>
          <w:szCs w:val="30"/>
          <w:highlight w:val="none"/>
          <w:lang w:val="en-US" w:eastAsia="zh-CN"/>
        </w:rPr>
        <w:t>并</w:t>
      </w:r>
      <w:r>
        <w:rPr>
          <w:rFonts w:hint="eastAsia" w:ascii="仿宋_GB2312" w:hAnsi="仿宋" w:eastAsia="仿宋_GB2312"/>
          <w:sz w:val="30"/>
          <w:szCs w:val="30"/>
          <w:highlight w:val="none"/>
        </w:rPr>
        <w:t>需</w:t>
      </w:r>
      <w:r>
        <w:rPr>
          <w:rFonts w:hint="eastAsia" w:ascii="仿宋_GB2312" w:hAnsi="仿宋" w:eastAsia="仿宋_GB2312"/>
          <w:sz w:val="30"/>
          <w:szCs w:val="30"/>
          <w:highlight w:val="none"/>
          <w:lang w:val="en-US" w:eastAsia="zh-CN"/>
        </w:rPr>
        <w:t>填写</w:t>
      </w:r>
      <w:r>
        <w:rPr>
          <w:rFonts w:hint="eastAsia" w:ascii="仿宋_GB2312" w:hAnsi="仿宋" w:eastAsia="仿宋_GB2312"/>
          <w:sz w:val="30"/>
          <w:szCs w:val="30"/>
          <w:highlight w:val="none"/>
        </w:rPr>
        <w:t>情况说明；</w:t>
      </w:r>
    </w:p>
    <w:p w14:paraId="4D712EA1">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本期单位机构</w:t>
      </w:r>
      <w:r>
        <w:rPr>
          <w:rFonts w:hint="eastAsia" w:ascii="仿宋_GB2312" w:hAnsi="仿宋" w:eastAsia="仿宋_GB2312"/>
          <w:sz w:val="30"/>
          <w:szCs w:val="30"/>
          <w:highlight w:val="none"/>
          <w:lang w:val="en-US" w:eastAsia="zh-CN"/>
        </w:rPr>
        <w:t>的独立编制机构数（</w:t>
      </w:r>
      <w:r>
        <w:rPr>
          <w:rFonts w:hint="eastAsia" w:ascii="仿宋_GB2312" w:hAnsi="仿宋" w:eastAsia="仿宋_GB2312"/>
          <w:sz w:val="30"/>
          <w:szCs w:val="30"/>
          <w:highlight w:val="none"/>
        </w:rPr>
        <w:t>1</w:t>
      </w:r>
      <w:r>
        <w:rPr>
          <w:rFonts w:hint="eastAsia" w:ascii="仿宋_GB2312" w:hAnsi="仿宋" w:eastAsia="仿宋_GB2312"/>
          <w:sz w:val="30"/>
          <w:szCs w:val="30"/>
          <w:highlight w:val="none"/>
          <w:lang w:val="en-US" w:eastAsia="zh-CN"/>
        </w:rPr>
        <w:t>7</w:t>
      </w:r>
      <w:r>
        <w:rPr>
          <w:rFonts w:hint="eastAsia" w:ascii="仿宋_GB2312" w:hAnsi="仿宋" w:eastAsia="仿宋_GB2312"/>
          <w:sz w:val="30"/>
          <w:szCs w:val="30"/>
          <w:highlight w:val="none"/>
        </w:rPr>
        <w:t>行3栏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不等于上期机构人员情况表的单位机构</w:t>
      </w:r>
      <w:r>
        <w:rPr>
          <w:rFonts w:hint="eastAsia" w:ascii="仿宋_GB2312" w:hAnsi="仿宋" w:eastAsia="仿宋_GB2312"/>
          <w:sz w:val="30"/>
          <w:szCs w:val="30"/>
          <w:highlight w:val="none"/>
          <w:lang w:val="en-US" w:eastAsia="zh-CN"/>
        </w:rPr>
        <w:t>的独立编制机构数（</w:t>
      </w:r>
      <w:r>
        <w:rPr>
          <w:rFonts w:hint="eastAsia" w:ascii="仿宋_GB2312" w:hAnsi="仿宋" w:eastAsia="仿宋_GB2312"/>
          <w:sz w:val="30"/>
          <w:szCs w:val="30"/>
          <w:highlight w:val="none"/>
        </w:rPr>
        <w:t>23行3栏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，提示核实性错误，</w:t>
      </w:r>
      <w:r>
        <w:rPr>
          <w:rFonts w:hint="eastAsia" w:ascii="仿宋_GB2312" w:hAnsi="仿宋" w:eastAsia="仿宋_GB2312"/>
          <w:sz w:val="30"/>
          <w:szCs w:val="30"/>
          <w:highlight w:val="none"/>
          <w:lang w:val="en-US" w:eastAsia="zh-CN"/>
        </w:rPr>
        <w:t>并</w:t>
      </w:r>
      <w:r>
        <w:rPr>
          <w:rFonts w:hint="eastAsia" w:ascii="仿宋_GB2312" w:hAnsi="仿宋" w:eastAsia="仿宋_GB2312"/>
          <w:sz w:val="30"/>
          <w:szCs w:val="30"/>
          <w:highlight w:val="none"/>
        </w:rPr>
        <w:t>需</w:t>
      </w:r>
      <w:r>
        <w:rPr>
          <w:rFonts w:hint="eastAsia" w:ascii="仿宋_GB2312" w:hAnsi="仿宋" w:eastAsia="仿宋_GB2312"/>
          <w:sz w:val="30"/>
          <w:szCs w:val="30"/>
          <w:highlight w:val="none"/>
          <w:lang w:val="en-US" w:eastAsia="zh-CN"/>
        </w:rPr>
        <w:t>填写</w:t>
      </w:r>
      <w:r>
        <w:rPr>
          <w:rFonts w:hint="eastAsia" w:ascii="仿宋_GB2312" w:hAnsi="仿宋" w:eastAsia="仿宋_GB2312"/>
          <w:sz w:val="30"/>
          <w:szCs w:val="30"/>
          <w:highlight w:val="none"/>
        </w:rPr>
        <w:t>情况说明；</w:t>
      </w:r>
    </w:p>
    <w:p w14:paraId="1B8CC1AE">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lang w:eastAsia="zh-CN"/>
        </w:rPr>
        <w:t>公务用车</w:t>
      </w:r>
      <w:r>
        <w:rPr>
          <w:rFonts w:hint="eastAsia" w:ascii="仿宋_GB2312" w:hAnsi="仿宋" w:eastAsia="仿宋_GB2312"/>
          <w:sz w:val="30"/>
          <w:szCs w:val="30"/>
          <w:highlight w:val="none"/>
          <w:lang w:val="en-US" w:eastAsia="zh-CN"/>
        </w:rPr>
        <w:t>的实有数</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6栏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&gt;</w:t>
      </w:r>
      <w:r>
        <w:rPr>
          <w:rFonts w:hint="eastAsia" w:ascii="仿宋_GB2312" w:hAnsi="仿宋" w:eastAsia="仿宋_GB2312"/>
          <w:sz w:val="30"/>
          <w:szCs w:val="30"/>
          <w:highlight w:val="none"/>
          <w:lang w:eastAsia="zh-CN"/>
        </w:rPr>
        <w:t>公务用车</w:t>
      </w:r>
      <w:r>
        <w:rPr>
          <w:rFonts w:hint="eastAsia" w:ascii="仿宋_GB2312" w:hAnsi="仿宋" w:eastAsia="仿宋_GB2312"/>
          <w:sz w:val="30"/>
          <w:szCs w:val="30"/>
          <w:highlight w:val="none"/>
          <w:lang w:val="en-US" w:eastAsia="zh-CN"/>
        </w:rPr>
        <w:t>的编制数</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5栏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时，提示核实性错误，</w:t>
      </w:r>
      <w:r>
        <w:rPr>
          <w:rFonts w:hint="eastAsia" w:ascii="仿宋_GB2312" w:hAnsi="仿宋" w:eastAsia="仿宋_GB2312"/>
          <w:sz w:val="30"/>
          <w:szCs w:val="30"/>
          <w:highlight w:val="none"/>
          <w:lang w:val="en-US" w:eastAsia="zh-CN"/>
        </w:rPr>
        <w:t>并</w:t>
      </w:r>
      <w:r>
        <w:rPr>
          <w:rFonts w:hint="eastAsia" w:ascii="仿宋_GB2312" w:hAnsi="仿宋" w:eastAsia="仿宋_GB2312"/>
          <w:sz w:val="30"/>
          <w:szCs w:val="30"/>
          <w:highlight w:val="none"/>
        </w:rPr>
        <w:t>需</w:t>
      </w:r>
      <w:r>
        <w:rPr>
          <w:rFonts w:hint="eastAsia" w:ascii="仿宋_GB2312" w:hAnsi="仿宋" w:eastAsia="仿宋_GB2312"/>
          <w:sz w:val="30"/>
          <w:szCs w:val="30"/>
          <w:highlight w:val="none"/>
          <w:lang w:val="en-US" w:eastAsia="zh-CN"/>
        </w:rPr>
        <w:t>填写</w:t>
      </w:r>
      <w:r>
        <w:rPr>
          <w:rFonts w:hint="eastAsia" w:ascii="仿宋_GB2312" w:hAnsi="仿宋" w:eastAsia="仿宋_GB2312"/>
          <w:sz w:val="30"/>
          <w:szCs w:val="30"/>
          <w:highlight w:val="none"/>
        </w:rPr>
        <w:t>情况说明</w:t>
      </w:r>
      <w:r>
        <w:rPr>
          <w:rFonts w:hint="eastAsia" w:ascii="仿宋_GB2312" w:hAnsi="仿宋" w:eastAsia="仿宋_GB2312"/>
          <w:sz w:val="30"/>
          <w:szCs w:val="30"/>
          <w:highlight w:val="none"/>
          <w:lang w:eastAsia="zh-CN"/>
        </w:rPr>
        <w:t>；</w:t>
      </w:r>
    </w:p>
    <w:p w14:paraId="44FAB23F">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本期</w:t>
      </w:r>
      <w:r>
        <w:rPr>
          <w:rFonts w:hint="eastAsia" w:ascii="仿宋_GB2312" w:hAnsi="仿宋" w:eastAsia="仿宋_GB2312"/>
          <w:sz w:val="30"/>
          <w:szCs w:val="30"/>
          <w:highlight w:val="none"/>
          <w:lang w:val="en-US" w:eastAsia="zh-CN"/>
        </w:rPr>
        <w:t>编制内在职人员的编制数</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2行</w:t>
      </w:r>
      <w:r>
        <w:rPr>
          <w:rFonts w:ascii="仿宋_GB2312" w:hAnsi="仿宋" w:eastAsia="仿宋_GB2312"/>
          <w:sz w:val="30"/>
          <w:szCs w:val="30"/>
          <w:highlight w:val="none"/>
        </w:rPr>
        <w:t>1</w:t>
      </w:r>
      <w:r>
        <w:rPr>
          <w:rFonts w:hint="eastAsia" w:ascii="仿宋_GB2312" w:hAnsi="仿宋" w:eastAsia="仿宋_GB2312"/>
          <w:sz w:val="30"/>
          <w:szCs w:val="30"/>
          <w:highlight w:val="none"/>
        </w:rPr>
        <w:t>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与上期机构人员情况表的在职人员</w:t>
      </w:r>
      <w:r>
        <w:rPr>
          <w:rFonts w:hint="eastAsia" w:ascii="仿宋_GB2312" w:hAnsi="仿宋" w:eastAsia="仿宋_GB2312"/>
          <w:sz w:val="30"/>
          <w:szCs w:val="30"/>
          <w:highlight w:val="none"/>
          <w:lang w:val="en-US" w:eastAsia="zh-CN"/>
        </w:rPr>
        <w:t>的编制数</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2行</w:t>
      </w:r>
      <w:r>
        <w:rPr>
          <w:rFonts w:ascii="仿宋_GB2312" w:hAnsi="仿宋" w:eastAsia="仿宋_GB2312"/>
          <w:sz w:val="30"/>
          <w:szCs w:val="30"/>
          <w:highlight w:val="none"/>
        </w:rPr>
        <w:t>1</w:t>
      </w:r>
      <w:r>
        <w:rPr>
          <w:rFonts w:hint="eastAsia" w:ascii="仿宋_GB2312" w:hAnsi="仿宋" w:eastAsia="仿宋_GB2312"/>
          <w:sz w:val="30"/>
          <w:szCs w:val="30"/>
          <w:highlight w:val="none"/>
        </w:rPr>
        <w:t>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，差异超过1</w:t>
      </w:r>
      <w:r>
        <w:rPr>
          <w:rFonts w:ascii="仿宋_GB2312" w:hAnsi="仿宋" w:eastAsia="仿宋_GB2312"/>
          <w:sz w:val="30"/>
          <w:szCs w:val="30"/>
          <w:highlight w:val="none"/>
        </w:rPr>
        <w:t>0%</w:t>
      </w:r>
      <w:r>
        <w:rPr>
          <w:rFonts w:hint="eastAsia" w:ascii="仿宋_GB2312" w:hAnsi="仿宋" w:eastAsia="仿宋_GB2312"/>
          <w:sz w:val="30"/>
          <w:szCs w:val="30"/>
          <w:highlight w:val="none"/>
        </w:rPr>
        <w:t>，提示核实性错误，</w:t>
      </w:r>
      <w:r>
        <w:rPr>
          <w:rFonts w:hint="eastAsia" w:ascii="仿宋_GB2312" w:hAnsi="仿宋" w:eastAsia="仿宋_GB2312"/>
          <w:sz w:val="30"/>
          <w:szCs w:val="30"/>
          <w:highlight w:val="none"/>
          <w:lang w:val="en-US" w:eastAsia="zh-CN"/>
        </w:rPr>
        <w:t>并</w:t>
      </w:r>
      <w:r>
        <w:rPr>
          <w:rFonts w:hint="eastAsia" w:ascii="仿宋_GB2312" w:hAnsi="仿宋" w:eastAsia="仿宋_GB2312"/>
          <w:sz w:val="30"/>
          <w:szCs w:val="30"/>
          <w:highlight w:val="none"/>
        </w:rPr>
        <w:t>需</w:t>
      </w:r>
      <w:r>
        <w:rPr>
          <w:rFonts w:hint="eastAsia" w:ascii="仿宋_GB2312" w:hAnsi="仿宋" w:eastAsia="仿宋_GB2312"/>
          <w:sz w:val="30"/>
          <w:szCs w:val="30"/>
          <w:highlight w:val="none"/>
          <w:lang w:val="en-US" w:eastAsia="zh-CN"/>
        </w:rPr>
        <w:t>填写</w:t>
      </w:r>
      <w:r>
        <w:rPr>
          <w:rFonts w:hint="eastAsia" w:ascii="仿宋_GB2312" w:hAnsi="仿宋" w:eastAsia="仿宋_GB2312"/>
          <w:sz w:val="30"/>
          <w:szCs w:val="30"/>
          <w:highlight w:val="none"/>
        </w:rPr>
        <w:t>情况说明；</w:t>
      </w:r>
    </w:p>
    <w:p w14:paraId="71A7FE1F">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公务员、参照公务员法管理人员、事业管理人员和专业技术人员</w:t>
      </w:r>
      <w:r>
        <w:rPr>
          <w:rFonts w:hint="eastAsia" w:ascii="仿宋_GB2312" w:hAnsi="仿宋" w:eastAsia="仿宋_GB2312"/>
          <w:sz w:val="30"/>
          <w:szCs w:val="30"/>
          <w:highlight w:val="none"/>
          <w:lang w:eastAsia="zh-CN"/>
        </w:rPr>
        <w:t>、机关和事业工人、</w:t>
      </w:r>
      <w:r>
        <w:rPr>
          <w:rFonts w:hint="eastAsia" w:ascii="仿宋_GB2312" w:hAnsi="仿宋" w:eastAsia="仿宋_GB2312"/>
          <w:sz w:val="30"/>
          <w:szCs w:val="30"/>
          <w:highlight w:val="none"/>
          <w:lang w:val="en-US" w:eastAsia="zh-CN"/>
        </w:rPr>
        <w:t>经费自理人员的年末实有人数</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4~</w:t>
      </w:r>
      <w:r>
        <w:rPr>
          <w:rFonts w:hint="eastAsia" w:ascii="仿宋_GB2312" w:hAnsi="仿宋" w:eastAsia="仿宋_GB2312"/>
          <w:sz w:val="30"/>
          <w:szCs w:val="30"/>
          <w:highlight w:val="none"/>
          <w:lang w:val="en-US" w:eastAsia="zh-CN"/>
        </w:rPr>
        <w:t>8</w:t>
      </w:r>
      <w:r>
        <w:rPr>
          <w:rFonts w:hint="eastAsia" w:ascii="仿宋_GB2312" w:hAnsi="仿宋" w:eastAsia="仿宋_GB2312"/>
          <w:sz w:val="30"/>
          <w:szCs w:val="30"/>
          <w:highlight w:val="none"/>
        </w:rPr>
        <w:t>行2栏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&gt;编制人数</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1栏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时，提示核实性错误，</w:t>
      </w:r>
      <w:r>
        <w:rPr>
          <w:rFonts w:hint="eastAsia" w:ascii="仿宋_GB2312" w:hAnsi="仿宋" w:eastAsia="仿宋_GB2312"/>
          <w:sz w:val="30"/>
          <w:szCs w:val="30"/>
          <w:highlight w:val="none"/>
          <w:lang w:val="en-US" w:eastAsia="zh-CN"/>
        </w:rPr>
        <w:t>并</w:t>
      </w:r>
      <w:r>
        <w:rPr>
          <w:rFonts w:hint="eastAsia" w:ascii="仿宋_GB2312" w:hAnsi="仿宋" w:eastAsia="仿宋_GB2312"/>
          <w:sz w:val="30"/>
          <w:szCs w:val="30"/>
          <w:highlight w:val="none"/>
        </w:rPr>
        <w:t>需</w:t>
      </w:r>
      <w:r>
        <w:rPr>
          <w:rFonts w:hint="eastAsia" w:ascii="仿宋_GB2312" w:hAnsi="仿宋" w:eastAsia="仿宋_GB2312"/>
          <w:sz w:val="30"/>
          <w:szCs w:val="30"/>
          <w:highlight w:val="none"/>
          <w:lang w:val="en-US" w:eastAsia="zh-CN"/>
        </w:rPr>
        <w:t>填写</w:t>
      </w:r>
      <w:r>
        <w:rPr>
          <w:rFonts w:hint="eastAsia" w:ascii="仿宋_GB2312" w:hAnsi="仿宋" w:eastAsia="仿宋_GB2312"/>
          <w:sz w:val="30"/>
          <w:szCs w:val="30"/>
          <w:highlight w:val="none"/>
        </w:rPr>
        <w:t>情况说明。</w:t>
      </w:r>
    </w:p>
    <w:p w14:paraId="2785033C">
      <w:pPr>
        <w:pStyle w:val="2"/>
        <w:ind w:firstLine="0" w:firstLineChars="0"/>
        <w:rPr>
          <w:rFonts w:hint="eastAsia"/>
          <w:color w:val="auto"/>
          <w:highlight w:val="none"/>
        </w:rPr>
      </w:pPr>
      <w:r>
        <w:rPr>
          <w:rFonts w:hint="eastAsia"/>
          <w:color w:val="auto"/>
          <w:highlight w:val="none"/>
        </w:rPr>
        <w:t>（四）</w:t>
      </w:r>
      <w:r>
        <w:rPr>
          <w:color w:val="auto"/>
          <w:highlight w:val="none"/>
        </w:rPr>
        <w:t>资产情况汇总表（一）</w:t>
      </w:r>
      <w:r>
        <w:rPr>
          <w:rFonts w:hint="eastAsia"/>
          <w:color w:val="auto"/>
          <w:highlight w:val="none"/>
        </w:rPr>
        <w:t>（</w:t>
      </w:r>
      <w:r>
        <w:rPr>
          <w:color w:val="auto"/>
          <w:highlight w:val="none"/>
        </w:rPr>
        <w:t>财资综03-1</w:t>
      </w:r>
      <w:r>
        <w:rPr>
          <w:rFonts w:hint="eastAsia"/>
          <w:color w:val="auto"/>
          <w:highlight w:val="none"/>
        </w:rPr>
        <w:t>表）</w:t>
      </w:r>
    </w:p>
    <w:p w14:paraId="1AC992BC">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本表</w:t>
      </w:r>
      <w:r>
        <w:rPr>
          <w:rFonts w:hint="eastAsia" w:ascii="仿宋_GB2312" w:eastAsia="仿宋_GB2312"/>
          <w:kern w:val="0"/>
          <w:sz w:val="30"/>
          <w:szCs w:val="30"/>
          <w:highlight w:val="none"/>
        </w:rPr>
        <w:t>按照行政单位、事业单位口径汇总数据，</w:t>
      </w:r>
      <w:r>
        <w:rPr>
          <w:rFonts w:hint="eastAsia" w:ascii="仿宋_GB2312" w:hAnsi="仿宋" w:eastAsia="仿宋_GB2312"/>
          <w:sz w:val="30"/>
          <w:szCs w:val="30"/>
          <w:highlight w:val="none"/>
        </w:rPr>
        <w:t>反映流动资产、固定资产、无形资产、在建工程、长期投资、其他资产的总体情况，表中数据以财资01资产负债表、财资03固定和无形资产存量情况表、财资06车辆情况表、财资07在建工程情况表和财资11对外投资情况表为基础自动提取生成。</w:t>
      </w:r>
    </w:p>
    <w:p w14:paraId="721D1DC5">
      <w:pPr>
        <w:adjustRightInd w:val="0"/>
        <w:snapToGrid w:val="0"/>
        <w:spacing w:line="360" w:lineRule="auto"/>
        <w:ind w:firstLine="602" w:firstLineChars="200"/>
        <w:rPr>
          <w:rFonts w:hint="eastAsia" w:ascii="仿宋_GB2312" w:hAnsi="仿宋" w:eastAsia="仿宋_GB2312"/>
          <w:b/>
          <w:bCs/>
          <w:sz w:val="30"/>
          <w:szCs w:val="30"/>
          <w:highlight w:val="none"/>
        </w:rPr>
      </w:pPr>
      <w:r>
        <w:rPr>
          <w:rFonts w:hint="eastAsia" w:ascii="仿宋_GB2312" w:hAnsi="仿宋" w:eastAsia="仿宋_GB2312"/>
          <w:b/>
          <w:bCs/>
          <w:sz w:val="30"/>
          <w:szCs w:val="30"/>
          <w:highlight w:val="none"/>
        </w:rPr>
        <w:t>核实性公式：</w:t>
      </w:r>
    </w:p>
    <w:p w14:paraId="6D6C26DD">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固定资产土地</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6行</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、无形资产土地使用权</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33行</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使用状况为闲置</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18栏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或待处置（待报废、毁损等）</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26栏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分别占固定资产总额</w:t>
      </w:r>
      <w:r>
        <w:rPr>
          <w:rFonts w:hint="eastAsia" w:ascii="仿宋_GB2312" w:hAnsi="仿宋" w:eastAsia="仿宋_GB2312"/>
          <w:sz w:val="30"/>
          <w:szCs w:val="30"/>
          <w:highlight w:val="none"/>
          <w:lang w:eastAsia="zh-CN"/>
        </w:rPr>
        <w:t>（4</w:t>
      </w:r>
      <w:r>
        <w:rPr>
          <w:rFonts w:hint="eastAsia" w:ascii="仿宋_GB2312" w:hAnsi="仿宋" w:eastAsia="仿宋_GB2312"/>
          <w:sz w:val="30"/>
          <w:szCs w:val="30"/>
          <w:highlight w:val="none"/>
          <w:lang w:val="en-US" w:eastAsia="zh-CN"/>
        </w:rPr>
        <w:t>行6栏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、无形资产总额</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30行6栏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超过参考值5%</w:t>
      </w:r>
      <w:r>
        <w:rPr>
          <w:rFonts w:hint="eastAsia" w:ascii="仿宋_GB2312" w:hAnsi="仿宋" w:eastAsia="仿宋_GB2312"/>
          <w:color w:val="000000" w:themeColor="text1"/>
          <w:sz w:val="30"/>
          <w:szCs w:val="30"/>
          <w:highlight w:val="none"/>
          <w:lang w:eastAsia="zh-CN"/>
          <w14:textFill>
            <w14:solidFill>
              <w14:schemeClr w14:val="tx1"/>
            </w14:solidFill>
          </w14:textFill>
        </w:rPr>
        <w:t>，</w:t>
      </w:r>
      <w:r>
        <w:rPr>
          <w:rFonts w:hint="eastAsia" w:ascii="仿宋_GB2312" w:hAnsi="仿宋" w:eastAsia="仿宋_GB2312"/>
          <w:color w:val="000000" w:themeColor="text1"/>
          <w:sz w:val="30"/>
          <w:szCs w:val="30"/>
          <w:highlight w:val="none"/>
          <w:lang w:val="en-US" w:eastAsia="zh-CN"/>
          <w14:textFill>
            <w14:solidFill>
              <w14:schemeClr w14:val="tx1"/>
            </w14:solidFill>
          </w14:textFill>
        </w:rPr>
        <w:t>提示核实性错误，并需填写情况说明；</w:t>
      </w:r>
    </w:p>
    <w:p w14:paraId="77321675">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房屋</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7行</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使用状况为闲置</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18栏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或待处置（待报废、毁损等）</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26栏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占固定资产总额</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4行6栏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超过参考值5%</w:t>
      </w:r>
      <w:r>
        <w:rPr>
          <w:rFonts w:hint="eastAsia" w:ascii="仿宋_GB2312" w:hAnsi="仿宋" w:eastAsia="仿宋_GB2312"/>
          <w:color w:val="000000" w:themeColor="text1"/>
          <w:sz w:val="30"/>
          <w:szCs w:val="30"/>
          <w:highlight w:val="none"/>
          <w:lang w:eastAsia="zh-CN"/>
          <w14:textFill>
            <w14:solidFill>
              <w14:schemeClr w14:val="tx1"/>
            </w14:solidFill>
          </w14:textFill>
        </w:rPr>
        <w:t>，</w:t>
      </w:r>
      <w:r>
        <w:rPr>
          <w:rFonts w:hint="eastAsia" w:ascii="仿宋_GB2312" w:hAnsi="仿宋" w:eastAsia="仿宋_GB2312"/>
          <w:color w:val="000000" w:themeColor="text1"/>
          <w:sz w:val="30"/>
          <w:szCs w:val="30"/>
          <w:highlight w:val="none"/>
          <w:lang w:val="en-US" w:eastAsia="zh-CN"/>
          <w14:textFill>
            <w14:solidFill>
              <w14:schemeClr w14:val="tx1"/>
            </w14:solidFill>
          </w14:textFill>
        </w:rPr>
        <w:t>提示核实性错误，并需填写情况说明</w:t>
      </w:r>
      <w:r>
        <w:rPr>
          <w:rFonts w:hint="eastAsia" w:ascii="仿宋_GB2312" w:hAnsi="仿宋" w:eastAsia="仿宋_GB2312"/>
          <w:sz w:val="30"/>
          <w:szCs w:val="30"/>
          <w:highlight w:val="none"/>
        </w:rPr>
        <w:t>；</w:t>
      </w:r>
    </w:p>
    <w:p w14:paraId="0318CFBD">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车辆</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13行</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使用状况为闲置</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18栏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或待处置（待报废、毁损等）</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26栏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占固定资产总额</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4行6栏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超过参考值5%</w:t>
      </w:r>
      <w:r>
        <w:rPr>
          <w:rFonts w:hint="eastAsia" w:ascii="仿宋_GB2312" w:hAnsi="仿宋" w:eastAsia="仿宋_GB2312"/>
          <w:color w:val="000000" w:themeColor="text1"/>
          <w:sz w:val="30"/>
          <w:szCs w:val="30"/>
          <w:highlight w:val="none"/>
          <w:lang w:eastAsia="zh-CN"/>
          <w14:textFill>
            <w14:solidFill>
              <w14:schemeClr w14:val="tx1"/>
            </w14:solidFill>
          </w14:textFill>
        </w:rPr>
        <w:t>，</w:t>
      </w:r>
      <w:r>
        <w:rPr>
          <w:rFonts w:hint="eastAsia" w:ascii="仿宋_GB2312" w:hAnsi="仿宋" w:eastAsia="仿宋_GB2312"/>
          <w:color w:val="000000" w:themeColor="text1"/>
          <w:sz w:val="30"/>
          <w:szCs w:val="30"/>
          <w:highlight w:val="none"/>
          <w:lang w:val="en-US" w:eastAsia="zh-CN"/>
          <w14:textFill>
            <w14:solidFill>
              <w14:schemeClr w14:val="tx1"/>
            </w14:solidFill>
          </w14:textFill>
        </w:rPr>
        <w:t>提示核实性错误，并需填写情况说明</w:t>
      </w:r>
      <w:r>
        <w:rPr>
          <w:rFonts w:hint="eastAsia" w:ascii="仿宋_GB2312" w:hAnsi="仿宋" w:eastAsia="仿宋_GB2312"/>
          <w:sz w:val="30"/>
          <w:szCs w:val="30"/>
          <w:highlight w:val="none"/>
        </w:rPr>
        <w:t>；</w:t>
      </w:r>
    </w:p>
    <w:p w14:paraId="53CD28A8">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固定资产合计使用状况为闲置</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4行18栏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占固定资产总额</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4行6栏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超过参考值5%</w:t>
      </w:r>
      <w:r>
        <w:rPr>
          <w:rFonts w:hint="eastAsia" w:ascii="仿宋_GB2312" w:hAnsi="仿宋" w:eastAsia="仿宋_GB2312"/>
          <w:color w:val="000000" w:themeColor="text1"/>
          <w:sz w:val="30"/>
          <w:szCs w:val="30"/>
          <w:highlight w:val="none"/>
          <w:lang w:eastAsia="zh-CN"/>
          <w14:textFill>
            <w14:solidFill>
              <w14:schemeClr w14:val="tx1"/>
            </w14:solidFill>
          </w14:textFill>
        </w:rPr>
        <w:t>，</w:t>
      </w:r>
      <w:r>
        <w:rPr>
          <w:rFonts w:hint="eastAsia" w:ascii="仿宋_GB2312" w:hAnsi="仿宋" w:eastAsia="仿宋_GB2312"/>
          <w:color w:val="000000" w:themeColor="text1"/>
          <w:sz w:val="30"/>
          <w:szCs w:val="30"/>
          <w:highlight w:val="none"/>
          <w:lang w:val="en-US" w:eastAsia="zh-CN"/>
          <w14:textFill>
            <w14:solidFill>
              <w14:schemeClr w14:val="tx1"/>
            </w14:solidFill>
          </w14:textFill>
        </w:rPr>
        <w:t>提示核实性错误，并需填写情况说明</w:t>
      </w:r>
      <w:r>
        <w:rPr>
          <w:rFonts w:hint="eastAsia" w:ascii="仿宋_GB2312" w:hAnsi="仿宋" w:eastAsia="仿宋_GB2312"/>
          <w:sz w:val="30"/>
          <w:szCs w:val="30"/>
          <w:highlight w:val="none"/>
        </w:rPr>
        <w:t>；</w:t>
      </w:r>
    </w:p>
    <w:p w14:paraId="0BB1BA24">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单价100万（含）以上</w:t>
      </w:r>
      <w:r>
        <w:rPr>
          <w:rFonts w:hint="eastAsia" w:ascii="仿宋_GB2312" w:hAnsi="仿宋" w:eastAsia="仿宋_GB2312"/>
          <w:sz w:val="30"/>
          <w:szCs w:val="30"/>
          <w:highlight w:val="none"/>
          <w:lang w:val="en-US" w:eastAsia="zh-CN"/>
        </w:rPr>
        <w:t>设备</w:t>
      </w:r>
      <w:r>
        <w:rPr>
          <w:rFonts w:hint="eastAsia" w:ascii="仿宋_GB2312" w:hAnsi="仿宋" w:eastAsia="仿宋_GB2312"/>
          <w:sz w:val="30"/>
          <w:szCs w:val="30"/>
          <w:highlight w:val="none"/>
        </w:rPr>
        <w:t>（不含车辆）（22行）使用状况为闲置（18栏）或待处置（待报废、毁损等）（2</w:t>
      </w:r>
      <w:r>
        <w:rPr>
          <w:rFonts w:hint="eastAsia" w:ascii="仿宋_GB2312" w:hAnsi="仿宋" w:eastAsia="仿宋_GB2312"/>
          <w:sz w:val="30"/>
          <w:szCs w:val="30"/>
          <w:highlight w:val="none"/>
          <w:lang w:val="en-US" w:eastAsia="zh-CN"/>
        </w:rPr>
        <w:t>6</w:t>
      </w:r>
      <w:r>
        <w:rPr>
          <w:rFonts w:hint="eastAsia" w:ascii="仿宋_GB2312" w:hAnsi="仿宋" w:eastAsia="仿宋_GB2312"/>
          <w:sz w:val="30"/>
          <w:szCs w:val="30"/>
          <w:highlight w:val="none"/>
        </w:rPr>
        <w:t>栏）占固定资产总额（4行6栏）超过参考值5%，提示核实性错误，并需填写情况说明。</w:t>
      </w:r>
    </w:p>
    <w:p w14:paraId="408DB6EA">
      <w:pPr>
        <w:pStyle w:val="2"/>
        <w:ind w:firstLine="0" w:firstLineChars="0"/>
        <w:rPr>
          <w:rFonts w:hint="eastAsia"/>
          <w:color w:val="auto"/>
          <w:highlight w:val="none"/>
        </w:rPr>
      </w:pPr>
      <w:r>
        <w:rPr>
          <w:rFonts w:hint="eastAsia"/>
          <w:color w:val="auto"/>
          <w:highlight w:val="none"/>
        </w:rPr>
        <w:t>（五）</w:t>
      </w:r>
      <w:r>
        <w:rPr>
          <w:color w:val="auto"/>
          <w:highlight w:val="none"/>
        </w:rPr>
        <w:t>资产情况汇总表（二）</w:t>
      </w:r>
      <w:r>
        <w:rPr>
          <w:rFonts w:hint="eastAsia"/>
          <w:color w:val="auto"/>
          <w:highlight w:val="none"/>
        </w:rPr>
        <w:t>（</w:t>
      </w:r>
      <w:r>
        <w:rPr>
          <w:color w:val="auto"/>
          <w:highlight w:val="none"/>
        </w:rPr>
        <w:t>财资综03-2</w:t>
      </w:r>
      <w:r>
        <w:rPr>
          <w:rFonts w:hint="eastAsia"/>
          <w:color w:val="auto"/>
          <w:highlight w:val="none"/>
        </w:rPr>
        <w:t>表）</w:t>
      </w:r>
    </w:p>
    <w:p w14:paraId="3FE9DECE">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eastAsia="仿宋_GB2312"/>
          <w:kern w:val="0"/>
          <w:sz w:val="30"/>
          <w:szCs w:val="30"/>
          <w:highlight w:val="none"/>
        </w:rPr>
        <w:t>本表按照行政单位、事业单位口径汇总数据，</w:t>
      </w:r>
      <w:r>
        <w:rPr>
          <w:rFonts w:ascii="仿宋_GB2312" w:hAnsi="仿宋" w:eastAsia="仿宋_GB2312"/>
          <w:sz w:val="30"/>
          <w:szCs w:val="30"/>
          <w:highlight w:val="none"/>
        </w:rPr>
        <w:t>反映单位已入账的交通公共基础设施资产</w:t>
      </w:r>
      <w:r>
        <w:rPr>
          <w:rFonts w:hint="eastAsia" w:ascii="仿宋_GB2312" w:hAnsi="仿宋" w:eastAsia="仿宋_GB2312"/>
          <w:sz w:val="30"/>
          <w:szCs w:val="30"/>
          <w:highlight w:val="none"/>
        </w:rPr>
        <w:t>情况，表中数据以财资12-1公共基础设施</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交通基础设施情况表为基础自动提取生成。</w:t>
      </w:r>
    </w:p>
    <w:p w14:paraId="5CECB0F8">
      <w:pPr>
        <w:numPr>
          <w:ilvl w:val="-1"/>
          <w:numId w:val="0"/>
        </w:numPr>
        <w:adjustRightInd w:val="0"/>
        <w:snapToGrid w:val="0"/>
        <w:spacing w:line="360" w:lineRule="auto"/>
        <w:ind w:left="0" w:firstLine="602" w:firstLineChars="200"/>
        <w:rPr>
          <w:rFonts w:hint="eastAsia" w:ascii="仿宋_GB2312" w:hAnsi="仿宋" w:eastAsia="仿宋_GB2312"/>
          <w:sz w:val="30"/>
          <w:szCs w:val="30"/>
          <w:highlight w:val="none"/>
        </w:rPr>
      </w:pPr>
      <w:r>
        <w:rPr>
          <w:rFonts w:hint="eastAsia" w:ascii="仿宋_GB2312" w:hAnsi="仿宋" w:eastAsia="仿宋_GB2312"/>
          <w:b/>
          <w:bCs/>
          <w:sz w:val="30"/>
          <w:szCs w:val="30"/>
          <w:highlight w:val="none"/>
        </w:rPr>
        <w:t>核实性公式：</w:t>
      </w:r>
    </w:p>
    <w:p w14:paraId="67C400E2">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公路</w:t>
      </w:r>
      <w:r>
        <w:rPr>
          <w:rFonts w:hint="eastAsia" w:ascii="仿宋_GB2312" w:hAnsi="仿宋" w:eastAsia="仿宋_GB2312"/>
          <w:sz w:val="30"/>
          <w:szCs w:val="30"/>
          <w:highlight w:val="none"/>
          <w:lang w:val="en-US" w:eastAsia="zh-CN"/>
        </w:rPr>
        <w:t>等16项资产类别（</w:t>
      </w:r>
      <w:r>
        <w:rPr>
          <w:rFonts w:ascii="仿宋_GB2312" w:hAnsi="仿宋" w:eastAsia="仿宋_GB2312"/>
          <w:sz w:val="30"/>
          <w:szCs w:val="30"/>
          <w:highlight w:val="none"/>
        </w:rPr>
        <w:t>2行、</w:t>
      </w:r>
      <w:r>
        <w:rPr>
          <w:rFonts w:hint="eastAsia" w:ascii="仿宋_GB2312" w:hAnsi="仿宋" w:eastAsia="仿宋_GB2312"/>
          <w:sz w:val="30"/>
          <w:szCs w:val="30"/>
          <w:highlight w:val="none"/>
        </w:rPr>
        <w:t>18</w:t>
      </w:r>
      <w:r>
        <w:rPr>
          <w:rFonts w:ascii="仿宋_GB2312" w:hAnsi="仿宋" w:eastAsia="仿宋_GB2312"/>
          <w:sz w:val="30"/>
          <w:szCs w:val="30"/>
          <w:highlight w:val="none"/>
        </w:rPr>
        <w:t>~2</w:t>
      </w:r>
      <w:r>
        <w:rPr>
          <w:rFonts w:hint="eastAsia" w:ascii="仿宋_GB2312" w:hAnsi="仿宋" w:eastAsia="仿宋_GB2312"/>
          <w:sz w:val="30"/>
          <w:szCs w:val="30"/>
          <w:highlight w:val="none"/>
        </w:rPr>
        <w:t>0</w:t>
      </w:r>
      <w:r>
        <w:rPr>
          <w:rFonts w:ascii="仿宋_GB2312" w:hAnsi="仿宋" w:eastAsia="仿宋_GB2312"/>
          <w:sz w:val="30"/>
          <w:szCs w:val="30"/>
          <w:highlight w:val="none"/>
        </w:rPr>
        <w:t>行、2</w:t>
      </w:r>
      <w:r>
        <w:rPr>
          <w:rFonts w:hint="eastAsia" w:ascii="仿宋_GB2312" w:hAnsi="仿宋" w:eastAsia="仿宋_GB2312"/>
          <w:sz w:val="30"/>
          <w:szCs w:val="30"/>
          <w:highlight w:val="none"/>
        </w:rPr>
        <w:t>2</w:t>
      </w:r>
      <w:r>
        <w:rPr>
          <w:rFonts w:ascii="仿宋_GB2312" w:hAnsi="仿宋" w:eastAsia="仿宋_GB2312"/>
          <w:sz w:val="30"/>
          <w:szCs w:val="30"/>
          <w:highlight w:val="none"/>
        </w:rPr>
        <w:t>行、3</w:t>
      </w:r>
      <w:r>
        <w:rPr>
          <w:rFonts w:hint="eastAsia" w:ascii="仿宋_GB2312" w:hAnsi="仿宋" w:eastAsia="仿宋_GB2312"/>
          <w:sz w:val="30"/>
          <w:szCs w:val="30"/>
          <w:highlight w:val="none"/>
        </w:rPr>
        <w:t>0</w:t>
      </w:r>
      <w:r>
        <w:rPr>
          <w:rFonts w:ascii="仿宋_GB2312" w:hAnsi="仿宋" w:eastAsia="仿宋_GB2312"/>
          <w:sz w:val="30"/>
          <w:szCs w:val="30"/>
          <w:highlight w:val="none"/>
        </w:rPr>
        <w:t>~3</w:t>
      </w:r>
      <w:r>
        <w:rPr>
          <w:rFonts w:hint="eastAsia" w:ascii="仿宋_GB2312" w:hAnsi="仿宋" w:eastAsia="仿宋_GB2312"/>
          <w:sz w:val="30"/>
          <w:szCs w:val="30"/>
          <w:highlight w:val="none"/>
        </w:rPr>
        <w:t>2</w:t>
      </w:r>
      <w:r>
        <w:rPr>
          <w:rFonts w:ascii="仿宋_GB2312" w:hAnsi="仿宋" w:eastAsia="仿宋_GB2312"/>
          <w:sz w:val="30"/>
          <w:szCs w:val="30"/>
          <w:highlight w:val="none"/>
        </w:rPr>
        <w:t>行、</w:t>
      </w:r>
      <w:r>
        <w:rPr>
          <w:rFonts w:hint="eastAsia" w:ascii="仿宋_GB2312" w:hAnsi="仿宋" w:eastAsia="仿宋_GB2312"/>
          <w:sz w:val="30"/>
          <w:szCs w:val="30"/>
          <w:highlight w:val="none"/>
        </w:rPr>
        <w:t>36行，37</w:t>
      </w:r>
      <w:r>
        <w:rPr>
          <w:rFonts w:ascii="仿宋_GB2312" w:hAnsi="仿宋" w:eastAsia="仿宋_GB2312"/>
          <w:sz w:val="30"/>
          <w:szCs w:val="30"/>
          <w:highlight w:val="none"/>
        </w:rPr>
        <w:t>行、4</w:t>
      </w:r>
      <w:r>
        <w:rPr>
          <w:rFonts w:hint="eastAsia" w:ascii="仿宋_GB2312" w:hAnsi="仿宋" w:eastAsia="仿宋_GB2312"/>
          <w:sz w:val="30"/>
          <w:szCs w:val="30"/>
          <w:highlight w:val="none"/>
        </w:rPr>
        <w:t>0</w:t>
      </w:r>
      <w:r>
        <w:rPr>
          <w:rFonts w:ascii="仿宋_GB2312" w:hAnsi="仿宋" w:eastAsia="仿宋_GB2312"/>
          <w:sz w:val="30"/>
          <w:szCs w:val="30"/>
          <w:highlight w:val="none"/>
        </w:rPr>
        <w:t>~</w:t>
      </w:r>
      <w:r>
        <w:rPr>
          <w:rFonts w:hint="eastAsia" w:ascii="仿宋_GB2312" w:hAnsi="仿宋" w:eastAsia="仿宋_GB2312"/>
          <w:sz w:val="30"/>
          <w:szCs w:val="30"/>
          <w:highlight w:val="none"/>
          <w:lang w:val="en-US" w:eastAsia="zh-CN"/>
        </w:rPr>
        <w:t>44</w:t>
      </w:r>
      <w:r>
        <w:rPr>
          <w:rFonts w:ascii="仿宋_GB2312" w:hAnsi="仿宋" w:eastAsia="仿宋_GB2312"/>
          <w:sz w:val="30"/>
          <w:szCs w:val="30"/>
          <w:highlight w:val="none"/>
        </w:rPr>
        <w:t>行、</w:t>
      </w:r>
      <w:r>
        <w:rPr>
          <w:rFonts w:hint="eastAsia" w:ascii="仿宋_GB2312" w:hAnsi="仿宋" w:eastAsia="仿宋_GB2312"/>
          <w:sz w:val="30"/>
          <w:szCs w:val="30"/>
          <w:highlight w:val="none"/>
        </w:rPr>
        <w:t>4</w:t>
      </w:r>
      <w:r>
        <w:rPr>
          <w:rFonts w:hint="eastAsia" w:ascii="仿宋_GB2312" w:hAnsi="仿宋" w:eastAsia="仿宋_GB2312"/>
          <w:sz w:val="30"/>
          <w:szCs w:val="30"/>
          <w:highlight w:val="none"/>
          <w:lang w:val="en-US" w:eastAsia="zh-CN"/>
        </w:rPr>
        <w:t>7</w:t>
      </w:r>
      <w:r>
        <w:rPr>
          <w:rFonts w:ascii="仿宋_GB2312" w:hAnsi="仿宋" w:eastAsia="仿宋_GB2312"/>
          <w:sz w:val="30"/>
          <w:szCs w:val="30"/>
          <w:highlight w:val="none"/>
        </w:rPr>
        <w:t>行</w:t>
      </w:r>
      <w:r>
        <w:rPr>
          <w:rFonts w:hint="eastAsia" w:ascii="仿宋_GB2312" w:hAnsi="仿宋" w:eastAsia="仿宋_GB2312"/>
          <w:sz w:val="30"/>
          <w:szCs w:val="30"/>
          <w:highlight w:val="none"/>
          <w:lang w:val="en-US" w:eastAsia="zh-CN"/>
        </w:rPr>
        <w:t>）的合计期末负有管理维护职责数量（6栏）</w:t>
      </w:r>
      <w:r>
        <w:rPr>
          <w:rFonts w:hint="eastAsia" w:ascii="仿宋_GB2312" w:hAnsi="Calibri" w:eastAsia="仿宋_GB2312"/>
          <w:spacing w:val="6"/>
          <w:sz w:val="30"/>
          <w:szCs w:val="30"/>
          <w:highlight w:val="none"/>
          <w:lang w:val="en-US" w:eastAsia="zh-CN"/>
        </w:rPr>
        <w:t>与合计期初负有管理维护职责数量（1栏）的</w:t>
      </w:r>
      <w:r>
        <w:rPr>
          <w:rFonts w:hint="eastAsia" w:ascii="仿宋_GB2312" w:hAnsi="宋体" w:eastAsia="仿宋_GB2312"/>
          <w:sz w:val="30"/>
          <w:szCs w:val="30"/>
          <w:highlight w:val="none"/>
        </w:rPr>
        <w:t>增减变动超过</w:t>
      </w:r>
      <w:r>
        <w:rPr>
          <w:rFonts w:ascii="仿宋_GB2312" w:hAnsi="仿宋" w:eastAsia="仿宋_GB2312"/>
          <w:color w:val="000000" w:themeColor="text1"/>
          <w:sz w:val="30"/>
          <w:szCs w:val="30"/>
          <w:highlight w:val="none"/>
          <w14:textFill>
            <w14:solidFill>
              <w14:schemeClr w14:val="tx1"/>
            </w14:solidFill>
          </w14:textFill>
        </w:rPr>
        <w:t>20%</w:t>
      </w:r>
      <w:r>
        <w:rPr>
          <w:rFonts w:hint="eastAsia" w:ascii="仿宋_GB2312" w:hAnsi="仿宋" w:eastAsia="仿宋_GB2312"/>
          <w:color w:val="000000" w:themeColor="text1"/>
          <w:sz w:val="30"/>
          <w:szCs w:val="30"/>
          <w:highlight w:val="none"/>
          <w:lang w:eastAsia="zh-CN"/>
          <w14:textFill>
            <w14:solidFill>
              <w14:schemeClr w14:val="tx1"/>
            </w14:solidFill>
          </w14:textFill>
        </w:rPr>
        <w:t>，</w:t>
      </w:r>
      <w:r>
        <w:rPr>
          <w:rFonts w:hint="eastAsia" w:ascii="仿宋_GB2312" w:hAnsi="仿宋" w:eastAsia="仿宋_GB2312"/>
          <w:color w:val="000000" w:themeColor="text1"/>
          <w:sz w:val="30"/>
          <w:szCs w:val="30"/>
          <w:highlight w:val="none"/>
          <w:lang w:val="en-US" w:eastAsia="zh-CN"/>
          <w14:textFill>
            <w14:solidFill>
              <w14:schemeClr w14:val="tx1"/>
            </w14:solidFill>
          </w14:textFill>
        </w:rPr>
        <w:t>提示核实性错误，并需填写情况说明；</w:t>
      </w:r>
    </w:p>
    <w:p w14:paraId="1C8DE89F">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公路</w:t>
      </w:r>
      <w:r>
        <w:rPr>
          <w:rFonts w:hint="eastAsia" w:ascii="仿宋_GB2312" w:hAnsi="仿宋" w:eastAsia="仿宋_GB2312"/>
          <w:sz w:val="30"/>
          <w:szCs w:val="30"/>
          <w:highlight w:val="none"/>
          <w:lang w:val="en-US" w:eastAsia="zh-CN"/>
        </w:rPr>
        <w:t>等8项资产类别（</w:t>
      </w:r>
      <w:r>
        <w:rPr>
          <w:rFonts w:ascii="仿宋_GB2312" w:hAnsi="仿宋" w:eastAsia="仿宋_GB2312"/>
          <w:sz w:val="30"/>
          <w:szCs w:val="30"/>
          <w:highlight w:val="none"/>
        </w:rPr>
        <w:t>2行、17行、</w:t>
      </w:r>
      <w:r>
        <w:rPr>
          <w:rFonts w:hint="eastAsia" w:ascii="仿宋_GB2312" w:hAnsi="仿宋" w:eastAsia="仿宋_GB2312"/>
          <w:sz w:val="30"/>
          <w:szCs w:val="30"/>
          <w:highlight w:val="none"/>
        </w:rPr>
        <w:t>19</w:t>
      </w:r>
      <w:r>
        <w:rPr>
          <w:rFonts w:ascii="仿宋_GB2312" w:hAnsi="仿宋" w:eastAsia="仿宋_GB2312"/>
          <w:sz w:val="30"/>
          <w:szCs w:val="30"/>
          <w:highlight w:val="none"/>
        </w:rPr>
        <w:t>行~2</w:t>
      </w:r>
      <w:r>
        <w:rPr>
          <w:rFonts w:hint="eastAsia" w:ascii="仿宋_GB2312" w:hAnsi="仿宋" w:eastAsia="仿宋_GB2312"/>
          <w:sz w:val="30"/>
          <w:szCs w:val="30"/>
          <w:highlight w:val="none"/>
        </w:rPr>
        <w:t>1</w:t>
      </w:r>
      <w:r>
        <w:rPr>
          <w:rFonts w:ascii="仿宋_GB2312" w:hAnsi="仿宋" w:eastAsia="仿宋_GB2312"/>
          <w:sz w:val="30"/>
          <w:szCs w:val="30"/>
          <w:highlight w:val="none"/>
        </w:rPr>
        <w:t>行、</w:t>
      </w:r>
      <w:r>
        <w:rPr>
          <w:rFonts w:hint="eastAsia" w:ascii="仿宋_GB2312" w:hAnsi="仿宋" w:eastAsia="仿宋_GB2312"/>
          <w:sz w:val="30"/>
          <w:szCs w:val="30"/>
          <w:highlight w:val="none"/>
        </w:rPr>
        <w:t>35</w:t>
      </w:r>
      <w:r>
        <w:rPr>
          <w:rFonts w:ascii="仿宋_GB2312" w:hAnsi="仿宋" w:eastAsia="仿宋_GB2312"/>
          <w:sz w:val="30"/>
          <w:szCs w:val="30"/>
          <w:highlight w:val="none"/>
        </w:rPr>
        <w:t>行、</w:t>
      </w:r>
      <w:r>
        <w:rPr>
          <w:rFonts w:hint="eastAsia" w:ascii="仿宋_GB2312" w:hAnsi="仿宋" w:eastAsia="仿宋_GB2312"/>
          <w:sz w:val="30"/>
          <w:szCs w:val="30"/>
          <w:highlight w:val="none"/>
        </w:rPr>
        <w:t>39</w:t>
      </w:r>
      <w:r>
        <w:rPr>
          <w:rFonts w:ascii="仿宋_GB2312" w:hAnsi="仿宋" w:eastAsia="仿宋_GB2312"/>
          <w:sz w:val="30"/>
          <w:szCs w:val="30"/>
          <w:highlight w:val="none"/>
        </w:rPr>
        <w:t>行、</w:t>
      </w:r>
      <w:r>
        <w:rPr>
          <w:rFonts w:hint="eastAsia" w:ascii="仿宋_GB2312" w:hAnsi="仿宋" w:eastAsia="仿宋_GB2312"/>
          <w:sz w:val="30"/>
          <w:szCs w:val="30"/>
          <w:highlight w:val="none"/>
        </w:rPr>
        <w:t>4</w:t>
      </w:r>
      <w:r>
        <w:rPr>
          <w:rFonts w:hint="eastAsia" w:ascii="仿宋_GB2312" w:hAnsi="仿宋" w:eastAsia="仿宋_GB2312"/>
          <w:sz w:val="30"/>
          <w:szCs w:val="30"/>
          <w:highlight w:val="none"/>
          <w:lang w:val="en-US" w:eastAsia="zh-CN"/>
        </w:rPr>
        <w:t>6</w:t>
      </w:r>
      <w:r>
        <w:rPr>
          <w:rFonts w:ascii="仿宋_GB2312" w:hAnsi="仿宋" w:eastAsia="仿宋_GB2312"/>
          <w:sz w:val="30"/>
          <w:szCs w:val="30"/>
          <w:highlight w:val="none"/>
        </w:rPr>
        <w:t>行</w:t>
      </w:r>
      <w:r>
        <w:rPr>
          <w:rFonts w:hint="eastAsia" w:ascii="仿宋_GB2312" w:hAnsi="仿宋" w:eastAsia="仿宋_GB2312"/>
          <w:sz w:val="30"/>
          <w:szCs w:val="30"/>
          <w:highlight w:val="none"/>
          <w:lang w:val="en-US" w:eastAsia="zh-CN"/>
        </w:rPr>
        <w:t>）的合计期末账面原值数（8栏）与合计期初账面原值数（3栏）的</w:t>
      </w:r>
      <w:r>
        <w:rPr>
          <w:rFonts w:hint="eastAsia" w:ascii="仿宋_GB2312" w:hAnsi="宋体" w:eastAsia="仿宋_GB2312"/>
          <w:sz w:val="30"/>
          <w:szCs w:val="30"/>
          <w:highlight w:val="none"/>
        </w:rPr>
        <w:t>增减变动超过</w:t>
      </w:r>
      <w:r>
        <w:rPr>
          <w:rFonts w:ascii="仿宋_GB2312" w:hAnsi="仿宋" w:eastAsia="仿宋_GB2312"/>
          <w:color w:val="000000" w:themeColor="text1"/>
          <w:sz w:val="30"/>
          <w:szCs w:val="30"/>
          <w:highlight w:val="none"/>
          <w14:textFill>
            <w14:solidFill>
              <w14:schemeClr w14:val="tx1"/>
            </w14:solidFill>
          </w14:textFill>
        </w:rPr>
        <w:t>20%</w:t>
      </w:r>
      <w:r>
        <w:rPr>
          <w:rFonts w:hint="eastAsia" w:ascii="仿宋_GB2312" w:hAnsi="仿宋" w:eastAsia="仿宋_GB2312"/>
          <w:color w:val="000000" w:themeColor="text1"/>
          <w:sz w:val="30"/>
          <w:szCs w:val="30"/>
          <w:highlight w:val="none"/>
          <w:lang w:eastAsia="zh-CN"/>
          <w14:textFill>
            <w14:solidFill>
              <w14:schemeClr w14:val="tx1"/>
            </w14:solidFill>
          </w14:textFill>
        </w:rPr>
        <w:t>，</w:t>
      </w:r>
      <w:r>
        <w:rPr>
          <w:rFonts w:hint="eastAsia" w:ascii="仿宋_GB2312" w:hAnsi="仿宋" w:eastAsia="仿宋_GB2312"/>
          <w:color w:val="000000" w:themeColor="text1"/>
          <w:sz w:val="30"/>
          <w:szCs w:val="30"/>
          <w:highlight w:val="none"/>
          <w:lang w:val="en-US" w:eastAsia="zh-CN"/>
          <w14:textFill>
            <w14:solidFill>
              <w14:schemeClr w14:val="tx1"/>
            </w14:solidFill>
          </w14:textFill>
        </w:rPr>
        <w:t>提示核实性错误，并需填写情况说明；</w:t>
      </w:r>
    </w:p>
    <w:p w14:paraId="32F48D6D">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公路</w:t>
      </w:r>
      <w:r>
        <w:rPr>
          <w:rFonts w:hint="eastAsia" w:ascii="仿宋_GB2312" w:hAnsi="仿宋" w:eastAsia="仿宋_GB2312"/>
          <w:sz w:val="30"/>
          <w:szCs w:val="30"/>
          <w:highlight w:val="none"/>
          <w:lang w:val="en-US" w:eastAsia="zh-CN"/>
        </w:rPr>
        <w:t>等16项资产类别（</w:t>
      </w:r>
      <w:r>
        <w:rPr>
          <w:rFonts w:ascii="仿宋_GB2312" w:hAnsi="仿宋" w:eastAsia="仿宋_GB2312"/>
          <w:sz w:val="30"/>
          <w:szCs w:val="30"/>
          <w:highlight w:val="none"/>
        </w:rPr>
        <w:t>2行、</w:t>
      </w:r>
      <w:r>
        <w:rPr>
          <w:rFonts w:hint="eastAsia" w:ascii="仿宋_GB2312" w:hAnsi="仿宋" w:eastAsia="仿宋_GB2312"/>
          <w:sz w:val="30"/>
          <w:szCs w:val="30"/>
          <w:highlight w:val="none"/>
        </w:rPr>
        <w:t>18</w:t>
      </w:r>
      <w:r>
        <w:rPr>
          <w:rFonts w:ascii="仿宋_GB2312" w:hAnsi="仿宋" w:eastAsia="仿宋_GB2312"/>
          <w:sz w:val="30"/>
          <w:szCs w:val="30"/>
          <w:highlight w:val="none"/>
        </w:rPr>
        <w:t>~2</w:t>
      </w:r>
      <w:r>
        <w:rPr>
          <w:rFonts w:hint="eastAsia" w:ascii="仿宋_GB2312" w:hAnsi="仿宋" w:eastAsia="仿宋_GB2312"/>
          <w:sz w:val="30"/>
          <w:szCs w:val="30"/>
          <w:highlight w:val="none"/>
        </w:rPr>
        <w:t>0</w:t>
      </w:r>
      <w:r>
        <w:rPr>
          <w:rFonts w:ascii="仿宋_GB2312" w:hAnsi="仿宋" w:eastAsia="仿宋_GB2312"/>
          <w:sz w:val="30"/>
          <w:szCs w:val="30"/>
          <w:highlight w:val="none"/>
        </w:rPr>
        <w:t>行、2</w:t>
      </w:r>
      <w:r>
        <w:rPr>
          <w:rFonts w:hint="eastAsia" w:ascii="仿宋_GB2312" w:hAnsi="仿宋" w:eastAsia="仿宋_GB2312"/>
          <w:sz w:val="30"/>
          <w:szCs w:val="30"/>
          <w:highlight w:val="none"/>
        </w:rPr>
        <w:t>2</w:t>
      </w:r>
      <w:r>
        <w:rPr>
          <w:rFonts w:ascii="仿宋_GB2312" w:hAnsi="仿宋" w:eastAsia="仿宋_GB2312"/>
          <w:sz w:val="30"/>
          <w:szCs w:val="30"/>
          <w:highlight w:val="none"/>
        </w:rPr>
        <w:t>行、3</w:t>
      </w:r>
      <w:r>
        <w:rPr>
          <w:rFonts w:hint="eastAsia" w:ascii="仿宋_GB2312" w:hAnsi="仿宋" w:eastAsia="仿宋_GB2312"/>
          <w:sz w:val="30"/>
          <w:szCs w:val="30"/>
          <w:highlight w:val="none"/>
        </w:rPr>
        <w:t>0</w:t>
      </w:r>
      <w:r>
        <w:rPr>
          <w:rFonts w:ascii="仿宋_GB2312" w:hAnsi="仿宋" w:eastAsia="仿宋_GB2312"/>
          <w:sz w:val="30"/>
          <w:szCs w:val="30"/>
          <w:highlight w:val="none"/>
        </w:rPr>
        <w:t>~3</w:t>
      </w:r>
      <w:r>
        <w:rPr>
          <w:rFonts w:hint="eastAsia" w:ascii="仿宋_GB2312" w:hAnsi="仿宋" w:eastAsia="仿宋_GB2312"/>
          <w:sz w:val="30"/>
          <w:szCs w:val="30"/>
          <w:highlight w:val="none"/>
        </w:rPr>
        <w:t>2</w:t>
      </w:r>
      <w:r>
        <w:rPr>
          <w:rFonts w:ascii="仿宋_GB2312" w:hAnsi="仿宋" w:eastAsia="仿宋_GB2312"/>
          <w:sz w:val="30"/>
          <w:szCs w:val="30"/>
          <w:highlight w:val="none"/>
        </w:rPr>
        <w:t>行、</w:t>
      </w:r>
      <w:r>
        <w:rPr>
          <w:rFonts w:hint="eastAsia" w:ascii="仿宋_GB2312" w:hAnsi="仿宋" w:eastAsia="仿宋_GB2312"/>
          <w:sz w:val="30"/>
          <w:szCs w:val="30"/>
          <w:highlight w:val="none"/>
        </w:rPr>
        <w:t>36行，37</w:t>
      </w:r>
      <w:r>
        <w:rPr>
          <w:rFonts w:ascii="仿宋_GB2312" w:hAnsi="仿宋" w:eastAsia="仿宋_GB2312"/>
          <w:sz w:val="30"/>
          <w:szCs w:val="30"/>
          <w:highlight w:val="none"/>
        </w:rPr>
        <w:t>行、4</w:t>
      </w:r>
      <w:r>
        <w:rPr>
          <w:rFonts w:hint="eastAsia" w:ascii="仿宋_GB2312" w:hAnsi="仿宋" w:eastAsia="仿宋_GB2312"/>
          <w:sz w:val="30"/>
          <w:szCs w:val="30"/>
          <w:highlight w:val="none"/>
        </w:rPr>
        <w:t>0</w:t>
      </w:r>
      <w:r>
        <w:rPr>
          <w:rFonts w:ascii="仿宋_GB2312" w:hAnsi="仿宋" w:eastAsia="仿宋_GB2312"/>
          <w:sz w:val="30"/>
          <w:szCs w:val="30"/>
          <w:highlight w:val="none"/>
        </w:rPr>
        <w:t>~</w:t>
      </w:r>
      <w:r>
        <w:rPr>
          <w:rFonts w:hint="eastAsia" w:ascii="仿宋_GB2312" w:hAnsi="仿宋" w:eastAsia="仿宋_GB2312"/>
          <w:sz w:val="30"/>
          <w:szCs w:val="30"/>
          <w:highlight w:val="none"/>
          <w:lang w:val="en-US" w:eastAsia="zh-CN"/>
        </w:rPr>
        <w:t>44</w:t>
      </w:r>
      <w:r>
        <w:rPr>
          <w:rFonts w:ascii="仿宋_GB2312" w:hAnsi="仿宋" w:eastAsia="仿宋_GB2312"/>
          <w:sz w:val="30"/>
          <w:szCs w:val="30"/>
          <w:highlight w:val="none"/>
        </w:rPr>
        <w:t>行、</w:t>
      </w:r>
      <w:r>
        <w:rPr>
          <w:rFonts w:hint="eastAsia" w:ascii="仿宋_GB2312" w:hAnsi="仿宋" w:eastAsia="仿宋_GB2312"/>
          <w:sz w:val="30"/>
          <w:szCs w:val="30"/>
          <w:highlight w:val="none"/>
        </w:rPr>
        <w:t>4</w:t>
      </w:r>
      <w:r>
        <w:rPr>
          <w:rFonts w:hint="eastAsia" w:ascii="仿宋_GB2312" w:hAnsi="仿宋" w:eastAsia="仿宋_GB2312"/>
          <w:sz w:val="30"/>
          <w:szCs w:val="30"/>
          <w:highlight w:val="none"/>
          <w:lang w:val="en-US" w:eastAsia="zh-CN"/>
        </w:rPr>
        <w:t>7</w:t>
      </w:r>
      <w:r>
        <w:rPr>
          <w:rFonts w:ascii="仿宋_GB2312" w:hAnsi="仿宋" w:eastAsia="仿宋_GB2312"/>
          <w:sz w:val="30"/>
          <w:szCs w:val="30"/>
          <w:highlight w:val="none"/>
        </w:rPr>
        <w:t>行</w:t>
      </w:r>
      <w:r>
        <w:rPr>
          <w:rFonts w:hint="eastAsia" w:ascii="仿宋_GB2312" w:hAnsi="仿宋" w:eastAsia="仿宋_GB2312"/>
          <w:sz w:val="30"/>
          <w:szCs w:val="30"/>
          <w:highlight w:val="none"/>
          <w:lang w:val="en-US" w:eastAsia="zh-CN"/>
        </w:rPr>
        <w:t>）的合计期末账面数量（7栏）与合计期初账面数量（2栏）的</w:t>
      </w:r>
      <w:r>
        <w:rPr>
          <w:rFonts w:hint="eastAsia" w:ascii="仿宋_GB2312" w:hAnsi="宋体" w:eastAsia="仿宋_GB2312"/>
          <w:sz w:val="30"/>
          <w:szCs w:val="30"/>
          <w:highlight w:val="none"/>
        </w:rPr>
        <w:t>增减变动超过</w:t>
      </w:r>
      <w:r>
        <w:rPr>
          <w:rFonts w:ascii="仿宋_GB2312" w:hAnsi="仿宋" w:eastAsia="仿宋_GB2312"/>
          <w:color w:val="000000" w:themeColor="text1"/>
          <w:sz w:val="30"/>
          <w:szCs w:val="30"/>
          <w:highlight w:val="none"/>
          <w14:textFill>
            <w14:solidFill>
              <w14:schemeClr w14:val="tx1"/>
            </w14:solidFill>
          </w14:textFill>
        </w:rPr>
        <w:t>20%</w:t>
      </w:r>
      <w:r>
        <w:rPr>
          <w:rFonts w:hint="eastAsia" w:ascii="仿宋_GB2312" w:hAnsi="仿宋" w:eastAsia="仿宋_GB2312"/>
          <w:color w:val="000000" w:themeColor="text1"/>
          <w:sz w:val="30"/>
          <w:szCs w:val="30"/>
          <w:highlight w:val="none"/>
          <w:lang w:eastAsia="zh-CN"/>
          <w14:textFill>
            <w14:solidFill>
              <w14:schemeClr w14:val="tx1"/>
            </w14:solidFill>
          </w14:textFill>
        </w:rPr>
        <w:t>，</w:t>
      </w:r>
      <w:r>
        <w:rPr>
          <w:rFonts w:hint="eastAsia" w:ascii="仿宋_GB2312" w:hAnsi="仿宋" w:eastAsia="仿宋_GB2312"/>
          <w:color w:val="000000" w:themeColor="text1"/>
          <w:sz w:val="30"/>
          <w:szCs w:val="30"/>
          <w:highlight w:val="none"/>
          <w:lang w:val="en-US" w:eastAsia="zh-CN"/>
          <w14:textFill>
            <w14:solidFill>
              <w14:schemeClr w14:val="tx1"/>
            </w14:solidFill>
          </w14:textFill>
        </w:rPr>
        <w:t>提示核实性错误，并需填写情况说明。</w:t>
      </w:r>
    </w:p>
    <w:p w14:paraId="273736C2">
      <w:pPr>
        <w:pStyle w:val="2"/>
        <w:ind w:firstLine="0" w:firstLineChars="0"/>
        <w:rPr>
          <w:rFonts w:hint="eastAsia"/>
          <w:color w:val="auto"/>
          <w:highlight w:val="none"/>
        </w:rPr>
      </w:pPr>
      <w:r>
        <w:rPr>
          <w:rFonts w:hint="eastAsia"/>
          <w:color w:val="auto"/>
          <w:highlight w:val="none"/>
        </w:rPr>
        <w:t>（六）</w:t>
      </w:r>
      <w:r>
        <w:rPr>
          <w:color w:val="auto"/>
          <w:highlight w:val="none"/>
        </w:rPr>
        <w:t>资产情况汇总表（</w:t>
      </w:r>
      <w:r>
        <w:rPr>
          <w:rFonts w:hint="eastAsia"/>
          <w:color w:val="auto"/>
          <w:highlight w:val="none"/>
        </w:rPr>
        <w:t>三</w:t>
      </w:r>
      <w:r>
        <w:rPr>
          <w:color w:val="auto"/>
          <w:highlight w:val="none"/>
        </w:rPr>
        <w:t>）</w:t>
      </w:r>
      <w:r>
        <w:rPr>
          <w:rFonts w:hint="eastAsia"/>
          <w:color w:val="auto"/>
          <w:highlight w:val="none"/>
        </w:rPr>
        <w:t>（</w:t>
      </w:r>
      <w:r>
        <w:rPr>
          <w:color w:val="auto"/>
          <w:highlight w:val="none"/>
        </w:rPr>
        <w:t>财资综03-</w:t>
      </w:r>
      <w:r>
        <w:rPr>
          <w:rFonts w:hint="eastAsia"/>
          <w:color w:val="auto"/>
          <w:highlight w:val="none"/>
        </w:rPr>
        <w:t>3表）</w:t>
      </w:r>
    </w:p>
    <w:p w14:paraId="21A3B478">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eastAsia="仿宋_GB2312"/>
          <w:kern w:val="0"/>
          <w:sz w:val="30"/>
          <w:szCs w:val="30"/>
          <w:highlight w:val="none"/>
        </w:rPr>
        <w:t>本表按照行政单位、事业单位口径汇总数据，</w:t>
      </w:r>
      <w:r>
        <w:rPr>
          <w:rFonts w:ascii="仿宋_GB2312" w:hAnsi="仿宋" w:eastAsia="仿宋_GB2312"/>
          <w:sz w:val="30"/>
          <w:szCs w:val="30"/>
          <w:highlight w:val="none"/>
        </w:rPr>
        <w:t>反映单位已入账的</w:t>
      </w:r>
      <w:r>
        <w:rPr>
          <w:rFonts w:hint="eastAsia" w:ascii="仿宋_GB2312" w:hAnsi="仿宋" w:eastAsia="仿宋_GB2312"/>
          <w:sz w:val="30"/>
          <w:szCs w:val="30"/>
          <w:highlight w:val="none"/>
        </w:rPr>
        <w:t>水利</w:t>
      </w:r>
      <w:r>
        <w:rPr>
          <w:rFonts w:ascii="仿宋_GB2312" w:hAnsi="仿宋" w:eastAsia="仿宋_GB2312"/>
          <w:sz w:val="30"/>
          <w:szCs w:val="30"/>
          <w:highlight w:val="none"/>
        </w:rPr>
        <w:t>公共基础设施资产</w:t>
      </w:r>
      <w:r>
        <w:rPr>
          <w:rFonts w:hint="eastAsia" w:ascii="仿宋_GB2312" w:hAnsi="仿宋" w:eastAsia="仿宋_GB2312"/>
          <w:sz w:val="30"/>
          <w:szCs w:val="30"/>
          <w:highlight w:val="none"/>
        </w:rPr>
        <w:t>情况，表中数据以财资12-2公共基础设施</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水利基础设施情况表为基础自动提取生成。</w:t>
      </w:r>
    </w:p>
    <w:p w14:paraId="25869FF7">
      <w:pPr>
        <w:adjustRightInd w:val="0"/>
        <w:snapToGrid w:val="0"/>
        <w:spacing w:line="360" w:lineRule="auto"/>
        <w:ind w:firstLine="602" w:firstLineChars="200"/>
        <w:rPr>
          <w:rFonts w:hint="eastAsia" w:ascii="仿宋_GB2312" w:hAnsi="仿宋" w:eastAsia="仿宋_GB2312"/>
          <w:b/>
          <w:bCs/>
          <w:sz w:val="30"/>
          <w:szCs w:val="30"/>
          <w:highlight w:val="none"/>
        </w:rPr>
      </w:pPr>
      <w:r>
        <w:rPr>
          <w:rFonts w:hint="eastAsia" w:ascii="仿宋_GB2312" w:hAnsi="仿宋" w:eastAsia="仿宋_GB2312"/>
          <w:b/>
          <w:bCs/>
          <w:sz w:val="30"/>
          <w:szCs w:val="30"/>
          <w:highlight w:val="none"/>
        </w:rPr>
        <w:t>核实性公式：</w:t>
      </w:r>
    </w:p>
    <w:p w14:paraId="6CA05D10">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lang w:val="en-US" w:eastAsia="zh-CN"/>
        </w:rPr>
        <w:t>堤防等25项资产类别（</w:t>
      </w:r>
      <w:r>
        <w:rPr>
          <w:rFonts w:ascii="仿宋_GB2312" w:hAnsi="仿宋" w:eastAsia="仿宋_GB2312"/>
          <w:sz w:val="30"/>
          <w:szCs w:val="30"/>
          <w:highlight w:val="none"/>
        </w:rPr>
        <w:t>3~8</w:t>
      </w:r>
      <w:r>
        <w:rPr>
          <w:rFonts w:hint="eastAsia" w:ascii="仿宋_GB2312" w:hAnsi="仿宋" w:eastAsia="仿宋_GB2312"/>
          <w:sz w:val="30"/>
          <w:szCs w:val="30"/>
          <w:highlight w:val="none"/>
          <w:lang w:eastAsia="zh-CN"/>
        </w:rPr>
        <w:t>、</w:t>
      </w:r>
      <w:r>
        <w:rPr>
          <w:rFonts w:ascii="仿宋_GB2312" w:hAnsi="仿宋" w:eastAsia="仿宋_GB2312"/>
          <w:sz w:val="30"/>
          <w:szCs w:val="30"/>
          <w:highlight w:val="none"/>
        </w:rPr>
        <w:t>10~17</w:t>
      </w:r>
      <w:r>
        <w:rPr>
          <w:rFonts w:hint="eastAsia" w:ascii="仿宋_GB2312" w:hAnsi="仿宋" w:eastAsia="仿宋_GB2312"/>
          <w:sz w:val="30"/>
          <w:szCs w:val="30"/>
          <w:highlight w:val="none"/>
          <w:lang w:eastAsia="zh-CN"/>
        </w:rPr>
        <w:t>、</w:t>
      </w:r>
      <w:r>
        <w:rPr>
          <w:rFonts w:ascii="仿宋_GB2312" w:hAnsi="仿宋" w:eastAsia="仿宋_GB2312"/>
          <w:sz w:val="30"/>
          <w:szCs w:val="30"/>
          <w:highlight w:val="none"/>
        </w:rPr>
        <w:t>19~</w:t>
      </w:r>
      <w:r>
        <w:rPr>
          <w:rFonts w:hint="eastAsia" w:ascii="仿宋_GB2312" w:hAnsi="仿宋" w:eastAsia="仿宋_GB2312"/>
          <w:sz w:val="30"/>
          <w:szCs w:val="30"/>
          <w:highlight w:val="none"/>
          <w:lang w:val="en-US" w:eastAsia="zh-CN"/>
        </w:rPr>
        <w:t>26、29、30、33行）的合计期末负有管理维护职责数量（6栏）</w:t>
      </w:r>
      <w:r>
        <w:rPr>
          <w:rFonts w:hint="eastAsia" w:ascii="仿宋_GB2312" w:hAnsi="Calibri" w:eastAsia="仿宋_GB2312"/>
          <w:spacing w:val="6"/>
          <w:sz w:val="30"/>
          <w:szCs w:val="30"/>
          <w:highlight w:val="none"/>
          <w:lang w:val="en-US" w:eastAsia="zh-CN"/>
        </w:rPr>
        <w:t>与合计期初负有管理维护职责数量（1栏）的</w:t>
      </w:r>
      <w:r>
        <w:rPr>
          <w:rFonts w:hint="eastAsia" w:ascii="仿宋_GB2312" w:hAnsi="宋体" w:eastAsia="仿宋_GB2312"/>
          <w:sz w:val="30"/>
          <w:szCs w:val="30"/>
          <w:highlight w:val="none"/>
        </w:rPr>
        <w:t>增减变动超过</w:t>
      </w:r>
      <w:r>
        <w:rPr>
          <w:rFonts w:ascii="仿宋_GB2312" w:hAnsi="仿宋" w:eastAsia="仿宋_GB2312"/>
          <w:color w:val="000000" w:themeColor="text1"/>
          <w:sz w:val="30"/>
          <w:szCs w:val="30"/>
          <w:highlight w:val="none"/>
          <w14:textFill>
            <w14:solidFill>
              <w14:schemeClr w14:val="tx1"/>
            </w14:solidFill>
          </w14:textFill>
        </w:rPr>
        <w:t>20%</w:t>
      </w:r>
      <w:r>
        <w:rPr>
          <w:rFonts w:hint="eastAsia" w:ascii="仿宋_GB2312" w:hAnsi="仿宋" w:eastAsia="仿宋_GB2312"/>
          <w:color w:val="000000" w:themeColor="text1"/>
          <w:sz w:val="30"/>
          <w:szCs w:val="30"/>
          <w:highlight w:val="none"/>
          <w:lang w:eastAsia="zh-CN"/>
          <w14:textFill>
            <w14:solidFill>
              <w14:schemeClr w14:val="tx1"/>
            </w14:solidFill>
          </w14:textFill>
        </w:rPr>
        <w:t>，</w:t>
      </w:r>
      <w:r>
        <w:rPr>
          <w:rFonts w:hint="eastAsia" w:ascii="仿宋_GB2312" w:hAnsi="仿宋" w:eastAsia="仿宋_GB2312"/>
          <w:color w:val="000000" w:themeColor="text1"/>
          <w:sz w:val="30"/>
          <w:szCs w:val="30"/>
          <w:highlight w:val="none"/>
          <w:lang w:val="en-US" w:eastAsia="zh-CN"/>
          <w14:textFill>
            <w14:solidFill>
              <w14:schemeClr w14:val="tx1"/>
            </w14:solidFill>
          </w14:textFill>
        </w:rPr>
        <w:t>提示核实性错误，并需填写情况说明；</w:t>
      </w:r>
    </w:p>
    <w:p w14:paraId="3FB51DCA">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lang w:val="en-US" w:eastAsia="zh-CN"/>
        </w:rPr>
        <w:t>堤防等25项资产类别（</w:t>
      </w:r>
      <w:r>
        <w:rPr>
          <w:rFonts w:ascii="仿宋_GB2312" w:hAnsi="仿宋" w:eastAsia="仿宋_GB2312"/>
          <w:sz w:val="30"/>
          <w:szCs w:val="30"/>
          <w:highlight w:val="none"/>
        </w:rPr>
        <w:t>3~8</w:t>
      </w:r>
      <w:r>
        <w:rPr>
          <w:rFonts w:hint="eastAsia" w:ascii="仿宋_GB2312" w:hAnsi="仿宋" w:eastAsia="仿宋_GB2312"/>
          <w:sz w:val="30"/>
          <w:szCs w:val="30"/>
          <w:highlight w:val="none"/>
          <w:lang w:eastAsia="zh-CN"/>
        </w:rPr>
        <w:t>、</w:t>
      </w:r>
      <w:r>
        <w:rPr>
          <w:rFonts w:ascii="仿宋_GB2312" w:hAnsi="仿宋" w:eastAsia="仿宋_GB2312"/>
          <w:sz w:val="30"/>
          <w:szCs w:val="30"/>
          <w:highlight w:val="none"/>
        </w:rPr>
        <w:t>10~17</w:t>
      </w:r>
      <w:r>
        <w:rPr>
          <w:rFonts w:hint="eastAsia" w:ascii="仿宋_GB2312" w:hAnsi="仿宋" w:eastAsia="仿宋_GB2312"/>
          <w:sz w:val="30"/>
          <w:szCs w:val="30"/>
          <w:highlight w:val="none"/>
          <w:lang w:eastAsia="zh-CN"/>
        </w:rPr>
        <w:t>、</w:t>
      </w:r>
      <w:r>
        <w:rPr>
          <w:rFonts w:ascii="仿宋_GB2312" w:hAnsi="仿宋" w:eastAsia="仿宋_GB2312"/>
          <w:sz w:val="30"/>
          <w:szCs w:val="30"/>
          <w:highlight w:val="none"/>
        </w:rPr>
        <w:t>19~</w:t>
      </w:r>
      <w:r>
        <w:rPr>
          <w:rFonts w:hint="eastAsia" w:ascii="仿宋_GB2312" w:hAnsi="仿宋" w:eastAsia="仿宋_GB2312"/>
          <w:sz w:val="30"/>
          <w:szCs w:val="30"/>
          <w:highlight w:val="none"/>
          <w:lang w:val="en-US" w:eastAsia="zh-CN"/>
        </w:rPr>
        <w:t>26、29、30、33行）的合计期末账面数量（7栏）</w:t>
      </w:r>
      <w:r>
        <w:rPr>
          <w:rFonts w:hint="eastAsia" w:ascii="仿宋_GB2312" w:hAnsi="Calibri" w:eastAsia="仿宋_GB2312"/>
          <w:spacing w:val="6"/>
          <w:sz w:val="30"/>
          <w:szCs w:val="30"/>
          <w:highlight w:val="none"/>
          <w:lang w:val="en-US" w:eastAsia="zh-CN"/>
        </w:rPr>
        <w:t>与合计期初账面数量（2栏）的</w:t>
      </w:r>
      <w:r>
        <w:rPr>
          <w:rFonts w:hint="eastAsia" w:ascii="仿宋_GB2312" w:hAnsi="宋体" w:eastAsia="仿宋_GB2312"/>
          <w:sz w:val="30"/>
          <w:szCs w:val="30"/>
          <w:highlight w:val="none"/>
        </w:rPr>
        <w:t>增减变动超过</w:t>
      </w:r>
      <w:r>
        <w:rPr>
          <w:rFonts w:ascii="仿宋_GB2312" w:hAnsi="仿宋" w:eastAsia="仿宋_GB2312"/>
          <w:color w:val="000000" w:themeColor="text1"/>
          <w:sz w:val="30"/>
          <w:szCs w:val="30"/>
          <w:highlight w:val="none"/>
          <w14:textFill>
            <w14:solidFill>
              <w14:schemeClr w14:val="tx1"/>
            </w14:solidFill>
          </w14:textFill>
        </w:rPr>
        <w:t>20%</w:t>
      </w:r>
      <w:r>
        <w:rPr>
          <w:rFonts w:hint="eastAsia" w:ascii="仿宋_GB2312" w:hAnsi="仿宋" w:eastAsia="仿宋_GB2312"/>
          <w:color w:val="000000" w:themeColor="text1"/>
          <w:sz w:val="30"/>
          <w:szCs w:val="30"/>
          <w:highlight w:val="none"/>
          <w:lang w:eastAsia="zh-CN"/>
          <w14:textFill>
            <w14:solidFill>
              <w14:schemeClr w14:val="tx1"/>
            </w14:solidFill>
          </w14:textFill>
        </w:rPr>
        <w:t>，</w:t>
      </w:r>
      <w:r>
        <w:rPr>
          <w:rFonts w:hint="eastAsia" w:ascii="仿宋_GB2312" w:hAnsi="仿宋" w:eastAsia="仿宋_GB2312"/>
          <w:color w:val="000000" w:themeColor="text1"/>
          <w:sz w:val="30"/>
          <w:szCs w:val="30"/>
          <w:highlight w:val="none"/>
          <w:lang w:val="en-US" w:eastAsia="zh-CN"/>
          <w14:textFill>
            <w14:solidFill>
              <w14:schemeClr w14:val="tx1"/>
            </w14:solidFill>
          </w14:textFill>
        </w:rPr>
        <w:t>提示核实性错误，并需填写情况说明；</w:t>
      </w:r>
    </w:p>
    <w:p w14:paraId="1312F967">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lang w:val="en-US" w:eastAsia="zh-CN"/>
        </w:rPr>
        <w:t>堤防等25项资产类别（2、9、18、26、29、30、33行）的合计期末账面原值数（8栏）</w:t>
      </w:r>
      <w:r>
        <w:rPr>
          <w:rFonts w:hint="eastAsia" w:ascii="仿宋_GB2312" w:hAnsi="Calibri" w:eastAsia="仿宋_GB2312"/>
          <w:spacing w:val="6"/>
          <w:sz w:val="30"/>
          <w:szCs w:val="30"/>
          <w:highlight w:val="none"/>
          <w:lang w:val="en-US" w:eastAsia="zh-CN"/>
        </w:rPr>
        <w:t>与合计期初账面原值数（3栏）的</w:t>
      </w:r>
      <w:r>
        <w:rPr>
          <w:rFonts w:hint="eastAsia" w:ascii="仿宋_GB2312" w:hAnsi="宋体" w:eastAsia="仿宋_GB2312"/>
          <w:sz w:val="30"/>
          <w:szCs w:val="30"/>
          <w:highlight w:val="none"/>
        </w:rPr>
        <w:t>增减变动超过</w:t>
      </w:r>
      <w:r>
        <w:rPr>
          <w:rFonts w:ascii="仿宋_GB2312" w:hAnsi="仿宋" w:eastAsia="仿宋_GB2312"/>
          <w:color w:val="000000" w:themeColor="text1"/>
          <w:sz w:val="30"/>
          <w:szCs w:val="30"/>
          <w:highlight w:val="none"/>
          <w14:textFill>
            <w14:solidFill>
              <w14:schemeClr w14:val="tx1"/>
            </w14:solidFill>
          </w14:textFill>
        </w:rPr>
        <w:t>20%</w:t>
      </w:r>
      <w:r>
        <w:rPr>
          <w:rFonts w:hint="eastAsia" w:ascii="仿宋_GB2312" w:hAnsi="仿宋" w:eastAsia="仿宋_GB2312"/>
          <w:color w:val="000000" w:themeColor="text1"/>
          <w:sz w:val="30"/>
          <w:szCs w:val="30"/>
          <w:highlight w:val="none"/>
          <w:lang w:eastAsia="zh-CN"/>
          <w14:textFill>
            <w14:solidFill>
              <w14:schemeClr w14:val="tx1"/>
            </w14:solidFill>
          </w14:textFill>
        </w:rPr>
        <w:t>，</w:t>
      </w:r>
      <w:r>
        <w:rPr>
          <w:rFonts w:hint="eastAsia" w:ascii="仿宋_GB2312" w:hAnsi="仿宋" w:eastAsia="仿宋_GB2312"/>
          <w:color w:val="000000" w:themeColor="text1"/>
          <w:sz w:val="30"/>
          <w:szCs w:val="30"/>
          <w:highlight w:val="none"/>
          <w:lang w:val="en-US" w:eastAsia="zh-CN"/>
          <w14:textFill>
            <w14:solidFill>
              <w14:schemeClr w14:val="tx1"/>
            </w14:solidFill>
          </w14:textFill>
        </w:rPr>
        <w:t>提示核实性错误，并需填写情况说明。</w:t>
      </w:r>
    </w:p>
    <w:p w14:paraId="3943A260">
      <w:pPr>
        <w:pStyle w:val="2"/>
        <w:ind w:firstLine="0" w:firstLineChars="0"/>
        <w:rPr>
          <w:rFonts w:hint="eastAsia"/>
          <w:color w:val="auto"/>
          <w:highlight w:val="none"/>
        </w:rPr>
      </w:pPr>
      <w:r>
        <w:rPr>
          <w:rFonts w:hint="eastAsia"/>
          <w:color w:val="auto"/>
          <w:highlight w:val="none"/>
        </w:rPr>
        <w:t>（七）</w:t>
      </w:r>
      <w:r>
        <w:rPr>
          <w:color w:val="auto"/>
          <w:highlight w:val="none"/>
        </w:rPr>
        <w:t>资产情况汇总表（</w:t>
      </w:r>
      <w:r>
        <w:rPr>
          <w:rFonts w:hint="eastAsia"/>
          <w:color w:val="auto"/>
          <w:highlight w:val="none"/>
        </w:rPr>
        <w:t>四</w:t>
      </w:r>
      <w:r>
        <w:rPr>
          <w:color w:val="auto"/>
          <w:highlight w:val="none"/>
        </w:rPr>
        <w:t>）</w:t>
      </w:r>
      <w:r>
        <w:rPr>
          <w:rFonts w:hint="eastAsia"/>
          <w:color w:val="auto"/>
          <w:highlight w:val="none"/>
        </w:rPr>
        <w:t>（</w:t>
      </w:r>
      <w:r>
        <w:rPr>
          <w:color w:val="auto"/>
          <w:highlight w:val="none"/>
        </w:rPr>
        <w:t>财资综03-</w:t>
      </w:r>
      <w:r>
        <w:rPr>
          <w:rFonts w:hint="eastAsia"/>
          <w:color w:val="auto"/>
          <w:highlight w:val="none"/>
        </w:rPr>
        <w:t>4表）</w:t>
      </w:r>
    </w:p>
    <w:p w14:paraId="6955095D">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eastAsia="仿宋_GB2312"/>
          <w:kern w:val="0"/>
          <w:sz w:val="30"/>
          <w:szCs w:val="30"/>
          <w:highlight w:val="none"/>
        </w:rPr>
        <w:t>本表按照行政单位、事业单位口径汇总数据，</w:t>
      </w:r>
      <w:r>
        <w:rPr>
          <w:rFonts w:ascii="仿宋_GB2312" w:hAnsi="仿宋" w:eastAsia="仿宋_GB2312"/>
          <w:sz w:val="30"/>
          <w:szCs w:val="30"/>
          <w:highlight w:val="none"/>
        </w:rPr>
        <w:t>反映单位负有管理维护职责的市政基础设施资产</w:t>
      </w:r>
      <w:r>
        <w:rPr>
          <w:rFonts w:hint="eastAsia" w:ascii="仿宋_GB2312" w:hAnsi="仿宋" w:eastAsia="仿宋_GB2312"/>
          <w:sz w:val="30"/>
          <w:szCs w:val="30"/>
          <w:highlight w:val="none"/>
        </w:rPr>
        <w:t>、其他基础设施</w:t>
      </w:r>
      <w:r>
        <w:rPr>
          <w:rFonts w:ascii="仿宋_GB2312" w:hAnsi="仿宋" w:eastAsia="仿宋_GB2312"/>
          <w:sz w:val="30"/>
          <w:szCs w:val="30"/>
          <w:highlight w:val="none"/>
        </w:rPr>
        <w:t>和已按政府会计准则制度规定登记入账的资产</w:t>
      </w:r>
      <w:r>
        <w:rPr>
          <w:rFonts w:hint="eastAsia" w:ascii="仿宋_GB2312" w:hAnsi="仿宋" w:eastAsia="仿宋_GB2312"/>
          <w:sz w:val="30"/>
          <w:szCs w:val="30"/>
          <w:highlight w:val="none"/>
        </w:rPr>
        <w:t>情况，表中数据以财资12-3公共基础设施</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市政基础设施情况表和财资12-4公共基础设施</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其他基础设施情况表为基础自动提取生成。</w:t>
      </w:r>
    </w:p>
    <w:p w14:paraId="1E0082CD">
      <w:pPr>
        <w:adjustRightInd w:val="0"/>
        <w:snapToGrid w:val="0"/>
        <w:spacing w:line="360" w:lineRule="auto"/>
        <w:ind w:firstLine="602" w:firstLineChars="200"/>
        <w:rPr>
          <w:rFonts w:hint="eastAsia" w:ascii="仿宋_GB2312" w:hAnsi="仿宋" w:eastAsia="仿宋_GB2312"/>
          <w:b/>
          <w:bCs/>
          <w:sz w:val="30"/>
          <w:szCs w:val="30"/>
          <w:highlight w:val="none"/>
        </w:rPr>
      </w:pPr>
      <w:r>
        <w:rPr>
          <w:rFonts w:hint="eastAsia" w:ascii="仿宋_GB2312" w:hAnsi="仿宋" w:eastAsia="仿宋_GB2312"/>
          <w:b/>
          <w:bCs/>
          <w:sz w:val="30"/>
          <w:szCs w:val="30"/>
          <w:highlight w:val="none"/>
        </w:rPr>
        <w:t>核实性公式：</w:t>
      </w:r>
    </w:p>
    <w:p w14:paraId="413A591B">
      <w:pPr>
        <w:pStyle w:val="6"/>
        <w:numPr>
          <w:ilvl w:val="0"/>
          <w:numId w:val="5"/>
        </w:numPr>
        <w:spacing w:line="360" w:lineRule="auto"/>
        <w:ind w:firstLine="600" w:firstLineChars="200"/>
        <w:rPr>
          <w:rFonts w:hint="eastAsia" w:ascii="仿宋_GB2312" w:hAnsi="仿宋" w:eastAsia="仿宋_GB2312"/>
          <w:spacing w:val="0"/>
          <w:sz w:val="30"/>
          <w:szCs w:val="30"/>
          <w:highlight w:val="none"/>
        </w:rPr>
      </w:pPr>
      <w:r>
        <w:rPr>
          <w:rFonts w:hint="eastAsia" w:ascii="仿宋_GB2312" w:hAnsi="仿宋" w:eastAsia="仿宋_GB2312"/>
          <w:spacing w:val="0"/>
          <w:sz w:val="30"/>
          <w:szCs w:val="30"/>
          <w:highlight w:val="none"/>
          <w:lang w:val="en-US" w:eastAsia="zh-CN"/>
        </w:rPr>
        <w:t>道路</w:t>
      </w:r>
      <w:r>
        <w:rPr>
          <w:rFonts w:hint="eastAsia" w:hAnsi="仿宋"/>
          <w:spacing w:val="0"/>
          <w:sz w:val="30"/>
          <w:szCs w:val="30"/>
          <w:highlight w:val="none"/>
          <w:lang w:val="en-US" w:eastAsia="zh-CN"/>
        </w:rPr>
        <w:t>等</w:t>
      </w:r>
      <w:r>
        <w:rPr>
          <w:rFonts w:hint="eastAsia" w:ascii="仿宋_GB2312" w:hAnsi="仿宋" w:eastAsia="仿宋_GB2312"/>
          <w:spacing w:val="0"/>
          <w:sz w:val="30"/>
          <w:szCs w:val="30"/>
          <w:highlight w:val="none"/>
          <w:lang w:val="en-US" w:eastAsia="zh-CN"/>
        </w:rPr>
        <w:t>35项</w:t>
      </w:r>
      <w:r>
        <w:rPr>
          <w:rFonts w:hint="eastAsia" w:hAnsi="仿宋"/>
          <w:spacing w:val="0"/>
          <w:sz w:val="30"/>
          <w:szCs w:val="30"/>
          <w:highlight w:val="none"/>
          <w:lang w:val="en-US" w:eastAsia="zh-CN"/>
        </w:rPr>
        <w:t>资产类别</w:t>
      </w:r>
      <w:r>
        <w:rPr>
          <w:rFonts w:hint="eastAsia" w:ascii="仿宋_GB2312" w:hAnsi="仿宋" w:eastAsia="仿宋_GB2312"/>
          <w:spacing w:val="0"/>
          <w:sz w:val="30"/>
          <w:szCs w:val="30"/>
          <w:highlight w:val="none"/>
          <w:lang w:eastAsia="zh-CN"/>
        </w:rPr>
        <w:t>（</w:t>
      </w:r>
      <w:r>
        <w:rPr>
          <w:rFonts w:hint="eastAsia" w:ascii="仿宋_GB2312" w:hAnsi="仿宋" w:eastAsia="仿宋_GB2312"/>
          <w:spacing w:val="0"/>
          <w:sz w:val="30"/>
          <w:szCs w:val="30"/>
          <w:highlight w:val="none"/>
        </w:rPr>
        <w:t>5~7、9~11、13、15~16、18~19、21~23、27~29、31~34、37、39、41~42、45~46、48~49、51~52、54~55、59、62、66行</w:t>
      </w:r>
      <w:r>
        <w:rPr>
          <w:rFonts w:hint="eastAsia" w:ascii="仿宋_GB2312" w:hAnsi="仿宋" w:eastAsia="仿宋_GB2312"/>
          <w:spacing w:val="0"/>
          <w:sz w:val="30"/>
          <w:szCs w:val="30"/>
          <w:highlight w:val="none"/>
          <w:lang w:eastAsia="zh-CN"/>
        </w:rPr>
        <w:t>）</w:t>
      </w:r>
      <w:r>
        <w:rPr>
          <w:rFonts w:hint="eastAsia" w:ascii="仿宋_GB2312" w:hAnsi="仿宋" w:eastAsia="仿宋_GB2312"/>
          <w:spacing w:val="0"/>
          <w:sz w:val="30"/>
          <w:szCs w:val="30"/>
          <w:highlight w:val="none"/>
          <w:lang w:val="en-US" w:eastAsia="zh-CN"/>
        </w:rPr>
        <w:t>的合计期末账面数量（7栏）</w:t>
      </w:r>
      <w:r>
        <w:rPr>
          <w:rFonts w:hint="eastAsia" w:hAnsi="仿宋"/>
          <w:spacing w:val="0"/>
          <w:sz w:val="30"/>
          <w:szCs w:val="30"/>
          <w:highlight w:val="none"/>
          <w:lang w:val="en-US" w:eastAsia="zh-CN"/>
        </w:rPr>
        <w:t>与</w:t>
      </w:r>
      <w:r>
        <w:rPr>
          <w:rFonts w:hint="eastAsia" w:ascii="仿宋_GB2312" w:hAnsi="仿宋" w:eastAsia="仿宋_GB2312"/>
          <w:spacing w:val="0"/>
          <w:sz w:val="30"/>
          <w:szCs w:val="30"/>
          <w:highlight w:val="none"/>
          <w:lang w:val="en-US" w:eastAsia="zh-CN"/>
        </w:rPr>
        <w:t>合计期初账面数量（2栏）的</w:t>
      </w:r>
      <w:r>
        <w:rPr>
          <w:rFonts w:hint="eastAsia" w:ascii="仿宋_GB2312" w:hAnsi="宋体" w:eastAsia="仿宋_GB2312"/>
          <w:sz w:val="30"/>
          <w:szCs w:val="30"/>
          <w:highlight w:val="none"/>
        </w:rPr>
        <w:t>增减变动超过</w:t>
      </w:r>
      <w:r>
        <w:rPr>
          <w:rFonts w:hint="eastAsia" w:ascii="仿宋_GB2312" w:hAnsi="仿宋" w:eastAsia="仿宋_GB2312"/>
          <w:spacing w:val="0"/>
          <w:sz w:val="30"/>
          <w:szCs w:val="30"/>
          <w:highlight w:val="none"/>
        </w:rPr>
        <w:t>30%，提示核实性错误，并需填写情况说明；</w:t>
      </w:r>
    </w:p>
    <w:p w14:paraId="7A2753EA">
      <w:pPr>
        <w:numPr>
          <w:ilvl w:val="0"/>
          <w:numId w:val="6"/>
        </w:numPr>
        <w:adjustRightInd w:val="0"/>
        <w:snapToGrid w:val="0"/>
        <w:spacing w:line="360" w:lineRule="auto"/>
        <w:ind w:left="0" w:firstLine="600" w:firstLineChars="200"/>
        <w:jc w:val="left"/>
        <w:rPr>
          <w:rFonts w:hint="eastAsia" w:ascii="仿宋_GB2312" w:hAnsi="仿宋" w:eastAsia="仿宋_GB2312"/>
          <w:sz w:val="30"/>
          <w:szCs w:val="30"/>
          <w:highlight w:val="none"/>
        </w:rPr>
      </w:pPr>
      <w:r>
        <w:rPr>
          <w:rFonts w:hint="eastAsia" w:ascii="仿宋_GB2312" w:hAnsi="仿宋" w:eastAsia="仿宋_GB2312"/>
          <w:sz w:val="30"/>
          <w:szCs w:val="30"/>
          <w:highlight w:val="none"/>
          <w:lang w:val="en-US" w:eastAsia="zh-CN"/>
        </w:rPr>
        <w:t>市政交通设施等9项资产类别</w:t>
      </w:r>
      <w:r>
        <w:rPr>
          <w:rFonts w:hint="eastAsia" w:ascii="仿宋_GB2312" w:hAnsi="仿宋" w:eastAsia="仿宋_GB2312"/>
          <w:sz w:val="30"/>
          <w:szCs w:val="30"/>
          <w:highlight w:val="none"/>
        </w:rPr>
        <w:t>（3行、25行、35行、40行、43行、57行、61行、63行、67行）</w:t>
      </w:r>
      <w:r>
        <w:rPr>
          <w:rFonts w:hint="eastAsia" w:ascii="仿宋_GB2312" w:hAnsi="仿宋" w:eastAsia="仿宋_GB2312"/>
          <w:sz w:val="30"/>
          <w:szCs w:val="30"/>
          <w:highlight w:val="none"/>
          <w:lang w:val="en-US" w:eastAsia="zh-CN"/>
        </w:rPr>
        <w:t>的合计期末账面数原值（8栏）与合计期初账面数原值（3栏）的</w:t>
      </w:r>
      <w:r>
        <w:rPr>
          <w:rFonts w:hint="eastAsia" w:ascii="仿宋_GB2312" w:hAnsi="宋体" w:eastAsia="仿宋_GB2312"/>
          <w:sz w:val="30"/>
          <w:szCs w:val="30"/>
          <w:highlight w:val="none"/>
        </w:rPr>
        <w:t>增减变动超过</w:t>
      </w:r>
      <w:r>
        <w:rPr>
          <w:rFonts w:hint="eastAsia" w:ascii="仿宋_GB2312" w:hAnsi="仿宋" w:eastAsia="仿宋_GB2312"/>
          <w:sz w:val="30"/>
          <w:szCs w:val="30"/>
          <w:highlight w:val="none"/>
          <w:lang w:val="en-US" w:eastAsia="zh-CN"/>
        </w:rPr>
        <w:t>3</w:t>
      </w:r>
      <w:r>
        <w:rPr>
          <w:rFonts w:hint="eastAsia" w:ascii="仿宋_GB2312" w:hAnsi="仿宋" w:eastAsia="仿宋_GB2312"/>
          <w:sz w:val="30"/>
          <w:szCs w:val="30"/>
          <w:highlight w:val="none"/>
        </w:rPr>
        <w:t>0%，提示核实性错误，并需填写情况说明</w:t>
      </w:r>
      <w:r>
        <w:rPr>
          <w:rFonts w:hint="eastAsia" w:ascii="仿宋_GB2312" w:hAnsi="仿宋" w:eastAsia="仿宋_GB2312"/>
          <w:sz w:val="30"/>
          <w:szCs w:val="30"/>
          <w:highlight w:val="none"/>
          <w:lang w:eastAsia="zh-CN"/>
        </w:rPr>
        <w:t>。</w:t>
      </w:r>
    </w:p>
    <w:p w14:paraId="52B66A6A">
      <w:pPr>
        <w:pStyle w:val="2"/>
        <w:ind w:firstLine="0" w:firstLineChars="0"/>
        <w:rPr>
          <w:rFonts w:hint="eastAsia"/>
          <w:color w:val="auto"/>
          <w:highlight w:val="none"/>
        </w:rPr>
      </w:pPr>
      <w:r>
        <w:rPr>
          <w:rFonts w:hint="eastAsia"/>
          <w:color w:val="auto"/>
          <w:highlight w:val="none"/>
        </w:rPr>
        <w:t>（八）</w:t>
      </w:r>
      <w:r>
        <w:rPr>
          <w:color w:val="auto"/>
          <w:highlight w:val="none"/>
        </w:rPr>
        <w:t>资产情况汇总表（</w:t>
      </w:r>
      <w:r>
        <w:rPr>
          <w:rFonts w:hint="eastAsia"/>
          <w:color w:val="auto"/>
          <w:highlight w:val="none"/>
        </w:rPr>
        <w:t>五</w:t>
      </w:r>
      <w:r>
        <w:rPr>
          <w:color w:val="auto"/>
          <w:highlight w:val="none"/>
        </w:rPr>
        <w:t>）</w:t>
      </w:r>
      <w:r>
        <w:rPr>
          <w:rFonts w:hint="eastAsia"/>
          <w:color w:val="auto"/>
          <w:highlight w:val="none"/>
        </w:rPr>
        <w:t>（</w:t>
      </w:r>
      <w:r>
        <w:rPr>
          <w:color w:val="auto"/>
          <w:highlight w:val="none"/>
        </w:rPr>
        <w:t>财资综03-</w:t>
      </w:r>
      <w:r>
        <w:rPr>
          <w:rFonts w:hint="eastAsia"/>
          <w:color w:val="auto"/>
          <w:highlight w:val="none"/>
        </w:rPr>
        <w:t>5表）</w:t>
      </w:r>
    </w:p>
    <w:p w14:paraId="0C1D27DE">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eastAsia="仿宋_GB2312"/>
          <w:kern w:val="0"/>
          <w:sz w:val="30"/>
          <w:szCs w:val="30"/>
          <w:highlight w:val="none"/>
        </w:rPr>
        <w:t>本表按照行政单位、事业单位口径汇总数据，</w:t>
      </w:r>
      <w:r>
        <w:rPr>
          <w:rFonts w:ascii="仿宋_GB2312" w:hAnsi="仿宋" w:eastAsia="仿宋_GB2312"/>
          <w:sz w:val="30"/>
          <w:szCs w:val="30"/>
          <w:highlight w:val="none"/>
        </w:rPr>
        <w:t>反映单位</w:t>
      </w:r>
      <w:r>
        <w:rPr>
          <w:rFonts w:hint="eastAsia" w:ascii="仿宋_GB2312" w:hAnsi="仿宋" w:eastAsia="仿宋_GB2312"/>
          <w:sz w:val="30"/>
          <w:szCs w:val="30"/>
          <w:highlight w:val="none"/>
        </w:rPr>
        <w:t>已入账的政府储备物资、文物文化资产、保障性住房</w:t>
      </w:r>
      <w:r>
        <w:rPr>
          <w:rFonts w:ascii="仿宋_GB2312" w:hAnsi="仿宋" w:eastAsia="仿宋_GB2312"/>
          <w:sz w:val="30"/>
          <w:szCs w:val="30"/>
          <w:highlight w:val="none"/>
        </w:rPr>
        <w:t>资产</w:t>
      </w:r>
      <w:r>
        <w:rPr>
          <w:rFonts w:hint="eastAsia" w:ascii="仿宋_GB2312" w:hAnsi="仿宋" w:eastAsia="仿宋_GB2312"/>
          <w:sz w:val="30"/>
          <w:szCs w:val="30"/>
          <w:highlight w:val="none"/>
        </w:rPr>
        <w:t>情况，表中数据以财资13政府储备物资情况表、财资14文物文化资产情况和财资15保障性住房情况表为基础自动提取生成。</w:t>
      </w:r>
    </w:p>
    <w:p w14:paraId="576F341B">
      <w:pPr>
        <w:adjustRightInd w:val="0"/>
        <w:snapToGrid w:val="0"/>
        <w:spacing w:line="360" w:lineRule="auto"/>
        <w:ind w:firstLine="602" w:firstLineChars="200"/>
        <w:rPr>
          <w:rFonts w:hint="eastAsia" w:ascii="仿宋_GB2312" w:hAnsi="仿宋" w:eastAsia="仿宋_GB2312"/>
          <w:b/>
          <w:bCs/>
          <w:sz w:val="30"/>
          <w:szCs w:val="30"/>
          <w:highlight w:val="none"/>
        </w:rPr>
      </w:pPr>
      <w:r>
        <w:rPr>
          <w:rFonts w:hint="eastAsia" w:ascii="仿宋_GB2312" w:hAnsi="仿宋" w:eastAsia="仿宋_GB2312"/>
          <w:b/>
          <w:bCs/>
          <w:sz w:val="30"/>
          <w:szCs w:val="30"/>
          <w:highlight w:val="none"/>
        </w:rPr>
        <w:t>核实性公式：</w:t>
      </w:r>
    </w:p>
    <w:p w14:paraId="6E5C4721">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粮食等农产品和农资储备</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4行</w:t>
      </w:r>
      <w:r>
        <w:rPr>
          <w:rFonts w:hint="eastAsia" w:ascii="仿宋_GB2312" w:hAnsi="仿宋" w:eastAsia="仿宋_GB2312"/>
          <w:sz w:val="30"/>
          <w:szCs w:val="30"/>
          <w:highlight w:val="none"/>
          <w:lang w:eastAsia="zh-CN"/>
        </w:rPr>
        <w:t>）、能源储备（</w:t>
      </w:r>
      <w:r>
        <w:rPr>
          <w:rFonts w:hint="eastAsia" w:ascii="仿宋_GB2312" w:hAnsi="仿宋" w:eastAsia="仿宋_GB2312"/>
          <w:sz w:val="30"/>
          <w:szCs w:val="30"/>
          <w:highlight w:val="none"/>
          <w:lang w:val="en-US" w:eastAsia="zh-CN"/>
        </w:rPr>
        <w:t>15行</w:t>
      </w:r>
      <w:r>
        <w:rPr>
          <w:rFonts w:hint="eastAsia" w:ascii="仿宋_GB2312" w:hAnsi="仿宋" w:eastAsia="仿宋_GB2312"/>
          <w:sz w:val="30"/>
          <w:szCs w:val="30"/>
          <w:highlight w:val="none"/>
          <w:lang w:eastAsia="zh-CN"/>
        </w:rPr>
        <w:t>）、矿产品原材料储备（</w:t>
      </w:r>
      <w:r>
        <w:rPr>
          <w:rFonts w:hint="eastAsia" w:ascii="仿宋_GB2312" w:hAnsi="仿宋" w:eastAsia="仿宋_GB2312"/>
          <w:sz w:val="30"/>
          <w:szCs w:val="30"/>
          <w:highlight w:val="none"/>
          <w:lang w:val="en-US" w:eastAsia="zh-CN"/>
        </w:rPr>
        <w:t>16行</w:t>
      </w:r>
      <w:r>
        <w:rPr>
          <w:rFonts w:hint="eastAsia" w:ascii="仿宋_GB2312" w:hAnsi="仿宋" w:eastAsia="仿宋_GB2312"/>
          <w:sz w:val="30"/>
          <w:szCs w:val="30"/>
          <w:highlight w:val="none"/>
          <w:lang w:eastAsia="zh-CN"/>
        </w:rPr>
        <w:t>）、公租房（套）（</w:t>
      </w:r>
      <w:r>
        <w:rPr>
          <w:rFonts w:hint="eastAsia" w:ascii="仿宋_GB2312" w:hAnsi="仿宋" w:eastAsia="仿宋_GB2312"/>
          <w:sz w:val="30"/>
          <w:szCs w:val="30"/>
          <w:highlight w:val="none"/>
          <w:lang w:val="en-US" w:eastAsia="zh-CN"/>
        </w:rPr>
        <w:t>39行</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的合计期末账面数量（7栏）与合计期初账面数量（2栏）的</w:t>
      </w:r>
      <w:r>
        <w:rPr>
          <w:rFonts w:hint="eastAsia" w:ascii="仿宋_GB2312" w:hAnsi="宋体" w:eastAsia="仿宋_GB2312"/>
          <w:sz w:val="30"/>
          <w:szCs w:val="30"/>
          <w:highlight w:val="none"/>
        </w:rPr>
        <w:t>增减变动超过</w:t>
      </w:r>
      <w:r>
        <w:rPr>
          <w:rFonts w:hint="eastAsia" w:ascii="仿宋_GB2312" w:hAnsi="仿宋" w:eastAsia="仿宋_GB2312"/>
          <w:sz w:val="30"/>
          <w:szCs w:val="30"/>
          <w:highlight w:val="none"/>
        </w:rPr>
        <w:t>20%，提示核实性错误，并需填写情况说明</w:t>
      </w:r>
      <w:r>
        <w:rPr>
          <w:rFonts w:hint="eastAsia" w:ascii="仿宋_GB2312" w:hAnsi="仿宋" w:eastAsia="仿宋_GB2312"/>
          <w:sz w:val="30"/>
          <w:szCs w:val="30"/>
          <w:highlight w:val="none"/>
          <w:lang w:eastAsia="zh-CN"/>
        </w:rPr>
        <w:t>；</w:t>
      </w:r>
    </w:p>
    <w:p w14:paraId="73EA5BBE">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粮食等农产品和农资储备</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4行</w:t>
      </w:r>
      <w:r>
        <w:rPr>
          <w:rFonts w:hint="eastAsia" w:ascii="仿宋_GB2312" w:hAnsi="仿宋" w:eastAsia="仿宋_GB2312"/>
          <w:sz w:val="30"/>
          <w:szCs w:val="30"/>
          <w:highlight w:val="none"/>
          <w:lang w:eastAsia="zh-CN"/>
        </w:rPr>
        <w:t>）、能源储备（</w:t>
      </w:r>
      <w:r>
        <w:rPr>
          <w:rFonts w:hint="eastAsia" w:ascii="仿宋_GB2312" w:hAnsi="仿宋" w:eastAsia="仿宋_GB2312"/>
          <w:sz w:val="30"/>
          <w:szCs w:val="30"/>
          <w:highlight w:val="none"/>
        </w:rPr>
        <w:t>15行</w:t>
      </w:r>
      <w:r>
        <w:rPr>
          <w:rFonts w:hint="eastAsia" w:ascii="仿宋_GB2312" w:hAnsi="仿宋" w:eastAsia="仿宋_GB2312"/>
          <w:sz w:val="30"/>
          <w:szCs w:val="30"/>
          <w:highlight w:val="none"/>
          <w:lang w:eastAsia="zh-CN"/>
        </w:rPr>
        <w:t>）、矿产品原材料储备（</w:t>
      </w:r>
      <w:r>
        <w:rPr>
          <w:rFonts w:hint="eastAsia" w:ascii="仿宋_GB2312" w:hAnsi="仿宋" w:eastAsia="仿宋_GB2312"/>
          <w:sz w:val="30"/>
          <w:szCs w:val="30"/>
          <w:highlight w:val="none"/>
          <w:lang w:val="en-US" w:eastAsia="zh-CN"/>
        </w:rPr>
        <w:t>16行</w:t>
      </w:r>
      <w:r>
        <w:rPr>
          <w:rFonts w:hint="eastAsia" w:ascii="仿宋_GB2312" w:hAnsi="仿宋" w:eastAsia="仿宋_GB2312"/>
          <w:sz w:val="30"/>
          <w:szCs w:val="30"/>
          <w:highlight w:val="none"/>
          <w:lang w:eastAsia="zh-CN"/>
        </w:rPr>
        <w:t>）、应急专用物资储备（</w:t>
      </w:r>
      <w:r>
        <w:rPr>
          <w:rFonts w:hint="eastAsia" w:ascii="仿宋_GB2312" w:hAnsi="仿宋" w:eastAsia="仿宋_GB2312"/>
          <w:sz w:val="30"/>
          <w:szCs w:val="30"/>
          <w:highlight w:val="none"/>
          <w:lang w:val="en-US" w:eastAsia="zh-CN"/>
        </w:rPr>
        <w:t>18行</w:t>
      </w:r>
      <w:r>
        <w:rPr>
          <w:rFonts w:hint="eastAsia" w:ascii="仿宋_GB2312" w:hAnsi="仿宋" w:eastAsia="仿宋_GB2312"/>
          <w:sz w:val="30"/>
          <w:szCs w:val="30"/>
          <w:highlight w:val="none"/>
          <w:lang w:eastAsia="zh-CN"/>
        </w:rPr>
        <w:t>）、公租房（平方米）（</w:t>
      </w:r>
      <w:r>
        <w:rPr>
          <w:rFonts w:hint="eastAsia" w:ascii="仿宋_GB2312" w:hAnsi="仿宋" w:eastAsia="仿宋_GB2312"/>
          <w:sz w:val="30"/>
          <w:szCs w:val="30"/>
          <w:highlight w:val="none"/>
          <w:lang w:val="en-US" w:eastAsia="zh-CN"/>
        </w:rPr>
        <w:t>38行</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的合计期末账面净值数（10栏）与合计期初账面净值数（5栏）的</w:t>
      </w:r>
      <w:r>
        <w:rPr>
          <w:rFonts w:hint="eastAsia" w:ascii="仿宋_GB2312" w:hAnsi="宋体" w:eastAsia="仿宋_GB2312"/>
          <w:sz w:val="30"/>
          <w:szCs w:val="30"/>
          <w:highlight w:val="none"/>
        </w:rPr>
        <w:t>增减变动超过</w:t>
      </w:r>
      <w:r>
        <w:rPr>
          <w:rFonts w:hint="eastAsia" w:ascii="仿宋_GB2312" w:hAnsi="仿宋" w:eastAsia="仿宋_GB2312"/>
          <w:sz w:val="30"/>
          <w:szCs w:val="30"/>
          <w:highlight w:val="none"/>
        </w:rPr>
        <w:t>20%，提示核实性错误，并需填写情况说明</w:t>
      </w:r>
      <w:r>
        <w:rPr>
          <w:rFonts w:hint="eastAsia" w:ascii="仿宋_GB2312" w:hAnsi="仿宋" w:eastAsia="仿宋_GB2312"/>
          <w:sz w:val="30"/>
          <w:szCs w:val="30"/>
          <w:highlight w:val="none"/>
          <w:lang w:eastAsia="zh-CN"/>
        </w:rPr>
        <w:t>；</w:t>
      </w:r>
    </w:p>
    <w:p w14:paraId="5E11C148">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不可移动文物</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25行</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的合计期末负有管理维护职责数量（6栏）与合计期初负有管理维护职责数量（1栏）的</w:t>
      </w:r>
      <w:r>
        <w:rPr>
          <w:rFonts w:hint="eastAsia" w:ascii="仿宋_GB2312" w:hAnsi="宋体" w:eastAsia="仿宋_GB2312"/>
          <w:sz w:val="30"/>
          <w:szCs w:val="30"/>
          <w:highlight w:val="none"/>
        </w:rPr>
        <w:t>增减变动超过</w:t>
      </w:r>
      <w:r>
        <w:rPr>
          <w:rFonts w:hint="eastAsia" w:ascii="仿宋_GB2312" w:hAnsi="宋体" w:eastAsia="仿宋_GB2312"/>
          <w:sz w:val="30"/>
          <w:szCs w:val="30"/>
          <w:highlight w:val="none"/>
          <w:lang w:val="en-US" w:eastAsia="zh-CN"/>
        </w:rPr>
        <w:t>3</w:t>
      </w:r>
      <w:r>
        <w:rPr>
          <w:rFonts w:hint="eastAsia" w:ascii="仿宋_GB2312" w:hAnsi="仿宋" w:eastAsia="仿宋_GB2312"/>
          <w:sz w:val="30"/>
          <w:szCs w:val="30"/>
          <w:highlight w:val="none"/>
        </w:rPr>
        <w:t>0%</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提示核实性错误，并需填写情况说明</w:t>
      </w:r>
      <w:r>
        <w:rPr>
          <w:rFonts w:hint="eastAsia" w:ascii="仿宋_GB2312" w:hAnsi="仿宋" w:eastAsia="仿宋_GB2312"/>
          <w:sz w:val="30"/>
          <w:szCs w:val="30"/>
          <w:highlight w:val="none"/>
          <w:lang w:eastAsia="zh-CN"/>
        </w:rPr>
        <w:t>；</w:t>
      </w:r>
    </w:p>
    <w:p w14:paraId="6B6DE5D8">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可移动文物</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30行</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的合计期末负有管理维护职责数量（6栏）与合计期初负有管理维护职责数量（1栏）的</w:t>
      </w:r>
      <w:r>
        <w:rPr>
          <w:rFonts w:hint="eastAsia" w:ascii="仿宋_GB2312" w:hAnsi="宋体" w:eastAsia="仿宋_GB2312"/>
          <w:sz w:val="30"/>
          <w:szCs w:val="30"/>
          <w:highlight w:val="none"/>
        </w:rPr>
        <w:t>增减变动超过</w:t>
      </w:r>
      <w:r>
        <w:rPr>
          <w:rFonts w:hint="eastAsia" w:ascii="仿宋_GB2312" w:hAnsi="仿宋" w:eastAsia="仿宋_GB2312"/>
          <w:sz w:val="30"/>
          <w:szCs w:val="30"/>
          <w:highlight w:val="none"/>
        </w:rPr>
        <w:t>50%</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提示</w:t>
      </w:r>
      <w:r>
        <w:rPr>
          <w:rFonts w:hint="eastAsia" w:ascii="仿宋_GB2312" w:hAnsi="仿宋" w:eastAsia="仿宋_GB2312"/>
          <w:sz w:val="30"/>
          <w:szCs w:val="30"/>
          <w:highlight w:val="none"/>
        </w:rPr>
        <w:t>核实性错误，并需填写情况说明</w:t>
      </w:r>
      <w:r>
        <w:rPr>
          <w:rFonts w:hint="eastAsia" w:ascii="仿宋_GB2312" w:hAnsi="仿宋" w:eastAsia="仿宋_GB2312"/>
          <w:sz w:val="30"/>
          <w:szCs w:val="30"/>
          <w:highlight w:val="none"/>
          <w:lang w:eastAsia="zh-CN"/>
        </w:rPr>
        <w:t>；</w:t>
      </w:r>
    </w:p>
    <w:p w14:paraId="792B76FA">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其他文物文化资产</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36行</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的合计期末负有管理维护职责数量（6栏）与合计期初负有管理维护职责数量（1栏）的</w:t>
      </w:r>
      <w:r>
        <w:rPr>
          <w:rFonts w:hint="eastAsia" w:ascii="仿宋_GB2312" w:hAnsi="宋体" w:eastAsia="仿宋_GB2312"/>
          <w:sz w:val="30"/>
          <w:szCs w:val="30"/>
          <w:highlight w:val="none"/>
        </w:rPr>
        <w:t>增减变动超过</w:t>
      </w:r>
      <w:r>
        <w:rPr>
          <w:rFonts w:hint="eastAsia" w:ascii="仿宋_GB2312" w:hAnsi="仿宋" w:eastAsia="仿宋_GB2312"/>
          <w:sz w:val="30"/>
          <w:szCs w:val="30"/>
          <w:highlight w:val="none"/>
          <w:lang w:val="en-US" w:eastAsia="zh-CN"/>
        </w:rPr>
        <w:t>10</w:t>
      </w:r>
      <w:r>
        <w:rPr>
          <w:rFonts w:hint="eastAsia" w:ascii="仿宋_GB2312" w:hAnsi="仿宋" w:eastAsia="仿宋_GB2312"/>
          <w:sz w:val="30"/>
          <w:szCs w:val="30"/>
          <w:highlight w:val="none"/>
        </w:rPr>
        <w:t>0%</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提示</w:t>
      </w:r>
      <w:r>
        <w:rPr>
          <w:rFonts w:hint="eastAsia" w:ascii="仿宋_GB2312" w:hAnsi="仿宋" w:eastAsia="仿宋_GB2312"/>
          <w:sz w:val="30"/>
          <w:szCs w:val="30"/>
          <w:highlight w:val="none"/>
        </w:rPr>
        <w:t>核实性错误，并需填写情况说明</w:t>
      </w:r>
      <w:r>
        <w:rPr>
          <w:rFonts w:hint="eastAsia" w:ascii="仿宋_GB2312" w:hAnsi="仿宋" w:eastAsia="仿宋_GB2312"/>
          <w:sz w:val="30"/>
          <w:szCs w:val="30"/>
          <w:highlight w:val="none"/>
          <w:lang w:eastAsia="zh-CN"/>
        </w:rPr>
        <w:t>；</w:t>
      </w:r>
    </w:p>
    <w:p w14:paraId="0FD1F0DC">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hint="eastAsia" w:ascii="仿宋_GB2312" w:hAnsi="仿宋" w:eastAsia="仿宋_GB2312"/>
          <w:sz w:val="30"/>
          <w:szCs w:val="30"/>
          <w:highlight w:val="none"/>
        </w:rPr>
        <w:t>不可移动文物</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25行</w:t>
      </w:r>
      <w:r>
        <w:rPr>
          <w:rFonts w:hint="eastAsia" w:ascii="仿宋_GB2312" w:hAnsi="仿宋" w:eastAsia="仿宋_GB2312"/>
          <w:sz w:val="30"/>
          <w:szCs w:val="30"/>
          <w:highlight w:val="none"/>
          <w:lang w:eastAsia="zh-CN"/>
        </w:rPr>
        <w:t>）、可移动文物（</w:t>
      </w:r>
      <w:r>
        <w:rPr>
          <w:rFonts w:hint="eastAsia" w:ascii="仿宋_GB2312" w:hAnsi="仿宋" w:eastAsia="仿宋_GB2312"/>
          <w:sz w:val="30"/>
          <w:szCs w:val="30"/>
          <w:highlight w:val="none"/>
        </w:rPr>
        <w:t>30行</w:t>
      </w:r>
      <w:r>
        <w:rPr>
          <w:rFonts w:hint="eastAsia" w:ascii="仿宋_GB2312" w:hAnsi="仿宋" w:eastAsia="仿宋_GB2312"/>
          <w:sz w:val="30"/>
          <w:szCs w:val="30"/>
          <w:highlight w:val="none"/>
          <w:lang w:eastAsia="zh-CN"/>
        </w:rPr>
        <w:t>）、其他文物文化资产（件/套）（</w:t>
      </w:r>
      <w:r>
        <w:rPr>
          <w:rFonts w:hint="eastAsia" w:ascii="仿宋_GB2312" w:hAnsi="仿宋" w:eastAsia="仿宋_GB2312"/>
          <w:sz w:val="30"/>
          <w:szCs w:val="30"/>
          <w:highlight w:val="none"/>
          <w:lang w:val="en-US" w:eastAsia="zh-CN"/>
        </w:rPr>
        <w:t>36行</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的合计期末账面数净值（10</w:t>
      </w:r>
      <w:r>
        <w:rPr>
          <w:rFonts w:hint="eastAsia" w:ascii="仿宋_GB2312" w:hAnsi="仿宋" w:eastAsia="仿宋_GB2312"/>
          <w:sz w:val="30"/>
          <w:szCs w:val="30"/>
          <w:highlight w:val="none"/>
        </w:rPr>
        <w:t>栏</w:t>
      </w:r>
      <w:r>
        <w:rPr>
          <w:rFonts w:hint="eastAsia" w:ascii="仿宋_GB2312" w:hAnsi="仿宋" w:eastAsia="仿宋_GB2312"/>
          <w:sz w:val="30"/>
          <w:szCs w:val="30"/>
          <w:highlight w:val="none"/>
          <w:lang w:val="en-US" w:eastAsia="zh-CN"/>
        </w:rPr>
        <w:t>）与合计期初账面数净值（5</w:t>
      </w:r>
      <w:r>
        <w:rPr>
          <w:rFonts w:hint="eastAsia" w:ascii="仿宋_GB2312" w:hAnsi="仿宋" w:eastAsia="仿宋_GB2312"/>
          <w:sz w:val="30"/>
          <w:szCs w:val="30"/>
          <w:highlight w:val="none"/>
        </w:rPr>
        <w:t>栏</w:t>
      </w:r>
      <w:r>
        <w:rPr>
          <w:rFonts w:hint="eastAsia" w:ascii="仿宋_GB2312" w:hAnsi="仿宋" w:eastAsia="仿宋_GB2312"/>
          <w:sz w:val="30"/>
          <w:szCs w:val="30"/>
          <w:highlight w:val="none"/>
          <w:lang w:val="en-US" w:eastAsia="zh-CN"/>
        </w:rPr>
        <w:t>）的</w:t>
      </w:r>
      <w:r>
        <w:rPr>
          <w:rFonts w:hint="eastAsia" w:ascii="仿宋_GB2312" w:hAnsi="宋体" w:eastAsia="仿宋_GB2312"/>
          <w:sz w:val="30"/>
          <w:szCs w:val="30"/>
          <w:highlight w:val="none"/>
        </w:rPr>
        <w:t>增减变动超过</w:t>
      </w:r>
      <w:r>
        <w:rPr>
          <w:rFonts w:hint="eastAsia" w:ascii="仿宋_GB2312" w:hAnsi="仿宋" w:eastAsia="仿宋_GB2312"/>
          <w:sz w:val="30"/>
          <w:szCs w:val="30"/>
          <w:highlight w:val="none"/>
        </w:rPr>
        <w:t>300%</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提示核实性错误，并需填写情况说明</w:t>
      </w:r>
      <w:r>
        <w:rPr>
          <w:rFonts w:hint="eastAsia" w:ascii="仿宋_GB2312" w:hAnsi="仿宋" w:eastAsia="仿宋_GB2312"/>
          <w:sz w:val="30"/>
          <w:szCs w:val="30"/>
          <w:highlight w:val="none"/>
          <w:lang w:eastAsia="zh-CN"/>
        </w:rPr>
        <w:t>。</w:t>
      </w:r>
    </w:p>
    <w:p w14:paraId="0F32E58F">
      <w:pPr>
        <w:pStyle w:val="2"/>
        <w:ind w:firstLine="0" w:firstLineChars="0"/>
        <w:rPr>
          <w:rFonts w:hint="eastAsia"/>
          <w:color w:val="auto"/>
          <w:highlight w:val="none"/>
        </w:rPr>
      </w:pPr>
      <w:r>
        <w:rPr>
          <w:rFonts w:hint="eastAsia"/>
          <w:color w:val="auto"/>
          <w:highlight w:val="none"/>
        </w:rPr>
        <w:t>（九）</w:t>
      </w:r>
      <w:r>
        <w:rPr>
          <w:color w:val="auto"/>
          <w:highlight w:val="none"/>
        </w:rPr>
        <w:t>资产配置情况汇总表</w:t>
      </w:r>
      <w:r>
        <w:rPr>
          <w:rFonts w:hint="eastAsia"/>
          <w:color w:val="auto"/>
          <w:highlight w:val="none"/>
        </w:rPr>
        <w:t>（</w:t>
      </w:r>
      <w:r>
        <w:rPr>
          <w:color w:val="auto"/>
          <w:highlight w:val="none"/>
        </w:rPr>
        <w:t>财资综04</w:t>
      </w:r>
      <w:r>
        <w:rPr>
          <w:rFonts w:hint="eastAsia"/>
          <w:color w:val="auto"/>
          <w:highlight w:val="none"/>
        </w:rPr>
        <w:t>表）</w:t>
      </w:r>
    </w:p>
    <w:p w14:paraId="0F90CA69">
      <w:pPr>
        <w:adjustRightInd w:val="0"/>
        <w:snapToGrid w:val="0"/>
        <w:spacing w:line="360" w:lineRule="auto"/>
        <w:ind w:firstLine="600" w:firstLineChars="200"/>
        <w:rPr>
          <w:rFonts w:hint="eastAsia" w:ascii="仿宋_GB2312" w:hAnsi="仿宋" w:eastAsia="仿宋_GB2312"/>
          <w:sz w:val="30"/>
          <w:szCs w:val="30"/>
          <w:highlight w:val="none"/>
        </w:rPr>
      </w:pPr>
      <w:r>
        <w:rPr>
          <w:rFonts w:hint="eastAsia" w:ascii="仿宋_GB2312" w:eastAsia="仿宋_GB2312"/>
          <w:kern w:val="0"/>
          <w:sz w:val="30"/>
          <w:szCs w:val="30"/>
          <w:highlight w:val="none"/>
        </w:rPr>
        <w:t>本表按照行政单位、事业单位口径汇总数据，</w:t>
      </w:r>
      <w:r>
        <w:rPr>
          <w:rFonts w:ascii="仿宋_GB2312" w:hAnsi="仿宋" w:eastAsia="仿宋_GB2312"/>
          <w:sz w:val="30"/>
          <w:szCs w:val="30"/>
          <w:highlight w:val="none"/>
        </w:rPr>
        <w:t>反映</w:t>
      </w:r>
      <w:r>
        <w:rPr>
          <w:rFonts w:hint="eastAsia" w:ascii="仿宋_GB2312" w:eastAsia="仿宋_GB2312"/>
          <w:kern w:val="0"/>
          <w:sz w:val="30"/>
          <w:szCs w:val="30"/>
          <w:highlight w:val="none"/>
        </w:rPr>
        <w:t>单位通过不同配置方式</w:t>
      </w:r>
      <w:r>
        <w:rPr>
          <w:rFonts w:ascii="仿宋_GB2312" w:eastAsia="仿宋_GB2312"/>
          <w:kern w:val="0"/>
          <w:sz w:val="30"/>
          <w:szCs w:val="30"/>
          <w:highlight w:val="none"/>
        </w:rPr>
        <w:t>本年</w:t>
      </w:r>
      <w:r>
        <w:rPr>
          <w:rFonts w:hint="eastAsia" w:ascii="仿宋_GB2312" w:eastAsia="仿宋_GB2312"/>
          <w:kern w:val="0"/>
          <w:sz w:val="30"/>
          <w:szCs w:val="30"/>
          <w:highlight w:val="none"/>
        </w:rPr>
        <w:t>增加</w:t>
      </w:r>
      <w:r>
        <w:rPr>
          <w:rFonts w:ascii="仿宋_GB2312" w:eastAsia="仿宋_GB2312"/>
          <w:kern w:val="0"/>
          <w:sz w:val="30"/>
          <w:szCs w:val="30"/>
          <w:highlight w:val="none"/>
        </w:rPr>
        <w:t>固定</w:t>
      </w:r>
      <w:r>
        <w:rPr>
          <w:rFonts w:hint="eastAsia" w:ascii="仿宋_GB2312" w:eastAsia="仿宋_GB2312"/>
          <w:kern w:val="0"/>
          <w:sz w:val="30"/>
          <w:szCs w:val="30"/>
          <w:highlight w:val="none"/>
        </w:rPr>
        <w:t>资产、无形</w:t>
      </w:r>
      <w:r>
        <w:rPr>
          <w:rFonts w:ascii="仿宋_GB2312" w:eastAsia="仿宋_GB2312"/>
          <w:kern w:val="0"/>
          <w:sz w:val="30"/>
          <w:szCs w:val="30"/>
          <w:highlight w:val="none"/>
        </w:rPr>
        <w:t>资产</w:t>
      </w:r>
      <w:r>
        <w:rPr>
          <w:rFonts w:hint="eastAsia" w:ascii="仿宋_GB2312" w:eastAsia="仿宋_GB2312"/>
          <w:kern w:val="0"/>
          <w:sz w:val="30"/>
          <w:szCs w:val="30"/>
          <w:highlight w:val="none"/>
        </w:rPr>
        <w:t>和在建工程的账面数情况，本表数据以财资07在建工程情况表和财资08固定和无形资产配置情况表为基础自动提取生成。</w:t>
      </w:r>
    </w:p>
    <w:p w14:paraId="149E9F28">
      <w:pPr>
        <w:adjustRightInd w:val="0"/>
        <w:snapToGrid w:val="0"/>
        <w:spacing w:line="360" w:lineRule="auto"/>
        <w:ind w:firstLine="602" w:firstLineChars="200"/>
        <w:rPr>
          <w:rFonts w:hint="eastAsia" w:ascii="仿宋_GB2312" w:hAnsi="仿宋" w:eastAsia="仿宋_GB2312"/>
          <w:b/>
          <w:bCs/>
          <w:sz w:val="30"/>
          <w:szCs w:val="30"/>
          <w:highlight w:val="none"/>
        </w:rPr>
      </w:pPr>
      <w:r>
        <w:rPr>
          <w:rFonts w:hint="eastAsia" w:ascii="仿宋_GB2312" w:hAnsi="仿宋" w:eastAsia="仿宋_GB2312"/>
          <w:b/>
          <w:bCs/>
          <w:sz w:val="30"/>
          <w:szCs w:val="30"/>
          <w:highlight w:val="none"/>
        </w:rPr>
        <w:t>核实性公式：</w:t>
      </w:r>
    </w:p>
    <w:p w14:paraId="0931D911">
      <w:pPr>
        <w:numPr>
          <w:ilvl w:val="0"/>
          <w:numId w:val="6"/>
        </w:numPr>
        <w:adjustRightInd w:val="0"/>
        <w:snapToGrid w:val="0"/>
        <w:spacing w:line="360" w:lineRule="auto"/>
        <w:ind w:left="-142" w:firstLine="600" w:firstLineChars="200"/>
        <w:jc w:val="left"/>
        <w:rPr>
          <w:rFonts w:hint="eastAsia" w:ascii="仿宋_GB2312" w:hAnsi="仿宋" w:eastAsia="仿宋_GB2312"/>
          <w:sz w:val="30"/>
          <w:szCs w:val="30"/>
          <w:highlight w:val="none"/>
        </w:rPr>
      </w:pPr>
      <w:r>
        <w:rPr>
          <w:rFonts w:hint="eastAsia" w:ascii="仿宋_GB2312" w:hAnsi="仿宋" w:eastAsia="仿宋_GB2312"/>
          <w:sz w:val="30"/>
          <w:szCs w:val="30"/>
          <w:highlight w:val="none"/>
        </w:rPr>
        <w:t>如果财资综01表固定资产原值期末账面数</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19行2栏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大于期初账面数</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19行1栏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，财资综04表</w:t>
      </w:r>
      <w:r>
        <w:rPr>
          <w:rFonts w:hint="eastAsia" w:ascii="仿宋_GB2312" w:hAnsi="仿宋" w:eastAsia="仿宋_GB2312"/>
          <w:sz w:val="30"/>
          <w:szCs w:val="30"/>
          <w:highlight w:val="none"/>
          <w:lang w:val="en-US" w:eastAsia="zh-CN"/>
        </w:rPr>
        <w:t>固定资产的原值</w:t>
      </w:r>
      <w:r>
        <w:rPr>
          <w:rFonts w:hint="eastAsia" w:ascii="仿宋_GB2312" w:hAnsi="仿宋" w:eastAsia="仿宋_GB2312"/>
          <w:sz w:val="30"/>
          <w:szCs w:val="30"/>
          <w:highlight w:val="none"/>
          <w:lang w:eastAsia="zh-CN"/>
        </w:rPr>
        <w:t>（</w:t>
      </w:r>
      <w:r>
        <w:rPr>
          <w:rFonts w:ascii="仿宋_GB2312" w:hAnsi="仿宋" w:eastAsia="仿宋_GB2312"/>
          <w:sz w:val="30"/>
          <w:szCs w:val="30"/>
          <w:highlight w:val="none"/>
        </w:rPr>
        <w:t>2</w:t>
      </w:r>
      <w:r>
        <w:rPr>
          <w:rFonts w:hint="eastAsia" w:ascii="仿宋_GB2312" w:hAnsi="仿宋" w:eastAsia="仿宋_GB2312"/>
          <w:sz w:val="30"/>
          <w:szCs w:val="30"/>
          <w:highlight w:val="none"/>
        </w:rPr>
        <w:t>行2栏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=0，提示核实性错误，并需填写情况说明；</w:t>
      </w:r>
    </w:p>
    <w:p w14:paraId="1DD77ACD">
      <w:pPr>
        <w:numPr>
          <w:ilvl w:val="0"/>
          <w:numId w:val="6"/>
        </w:numPr>
        <w:adjustRightInd w:val="0"/>
        <w:snapToGrid w:val="0"/>
        <w:spacing w:line="360" w:lineRule="auto"/>
        <w:ind w:left="-142" w:firstLine="600" w:firstLineChars="200"/>
        <w:jc w:val="left"/>
        <w:rPr>
          <w:rFonts w:ascii="仿宋_GB2312" w:eastAsia="仿宋_GB2312"/>
          <w:sz w:val="30"/>
          <w:szCs w:val="30"/>
          <w:highlight w:val="none"/>
        </w:rPr>
      </w:pPr>
      <w:r>
        <w:rPr>
          <w:rFonts w:hint="eastAsia" w:ascii="仿宋_GB2312" w:hAnsi="仿宋" w:eastAsia="仿宋_GB2312"/>
          <w:sz w:val="30"/>
          <w:szCs w:val="30"/>
          <w:highlight w:val="none"/>
        </w:rPr>
        <w:t>如果财资综01表无形资产原值期末账面数</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24行2栏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大于期初账面数</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24行1栏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，财资综04表</w:t>
      </w:r>
      <w:r>
        <w:rPr>
          <w:rFonts w:hint="eastAsia" w:ascii="仿宋_GB2312" w:hAnsi="仿宋" w:eastAsia="仿宋_GB2312"/>
          <w:sz w:val="30"/>
          <w:szCs w:val="30"/>
          <w:highlight w:val="none"/>
          <w:lang w:val="en-US" w:eastAsia="zh-CN"/>
        </w:rPr>
        <w:t>无形资产的原值</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20</w:t>
      </w:r>
      <w:r>
        <w:rPr>
          <w:rFonts w:hint="eastAsia" w:ascii="仿宋_GB2312" w:hAnsi="仿宋" w:eastAsia="仿宋_GB2312"/>
          <w:sz w:val="30"/>
          <w:szCs w:val="30"/>
          <w:highlight w:val="none"/>
        </w:rPr>
        <w:t>行2栏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=0，提示核实性错误，并需填写情况说明；</w:t>
      </w:r>
    </w:p>
    <w:p w14:paraId="1832C988">
      <w:pPr>
        <w:numPr>
          <w:ilvl w:val="0"/>
          <w:numId w:val="2"/>
        </w:numPr>
        <w:adjustRightInd w:val="0"/>
        <w:snapToGrid w:val="0"/>
        <w:spacing w:line="360" w:lineRule="auto"/>
        <w:ind w:left="0" w:firstLine="600" w:firstLineChars="200"/>
        <w:rPr>
          <w:rFonts w:hint="eastAsia" w:ascii="仿宋_GB2312" w:hAnsi="仿宋" w:eastAsia="仿宋_GB2312"/>
          <w:sz w:val="30"/>
          <w:szCs w:val="30"/>
          <w:highlight w:val="none"/>
        </w:rPr>
      </w:pPr>
      <w:r>
        <w:rPr>
          <w:rFonts w:hint="eastAsia" w:ascii="仿宋_GB2312" w:eastAsia="仿宋_GB2312"/>
          <w:sz w:val="30"/>
          <w:szCs w:val="30"/>
          <w:highlight w:val="none"/>
        </w:rPr>
        <w:t>如果</w:t>
      </w:r>
      <w:r>
        <w:rPr>
          <w:rFonts w:hint="eastAsia" w:ascii="仿宋_GB2312" w:hAnsi="仿宋" w:eastAsia="仿宋_GB2312"/>
          <w:sz w:val="30"/>
          <w:szCs w:val="30"/>
          <w:highlight w:val="none"/>
        </w:rPr>
        <w:t>财资综01表</w:t>
      </w:r>
      <w:r>
        <w:rPr>
          <w:rFonts w:hint="eastAsia" w:ascii="仿宋_GB2312" w:eastAsia="仿宋_GB2312"/>
          <w:sz w:val="30"/>
          <w:szCs w:val="30"/>
          <w:highlight w:val="none"/>
        </w:rPr>
        <w:t>固定资产原值期末账面数</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19行2栏</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大于期初账面数</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19行1栏</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，那么行政单位的固定资产原值小计</w:t>
      </w:r>
      <w:r>
        <w:rPr>
          <w:rFonts w:hint="eastAsia" w:ascii="仿宋_GB2312" w:eastAsia="仿宋_GB2312"/>
          <w:sz w:val="30"/>
          <w:szCs w:val="30"/>
          <w:highlight w:val="none"/>
          <w:lang w:eastAsia="zh-CN"/>
        </w:rPr>
        <w:t>（</w:t>
      </w:r>
      <w:r>
        <w:rPr>
          <w:rFonts w:hint="eastAsia" w:ascii="仿宋_GB2312" w:hAnsi="仿宋" w:eastAsia="仿宋_GB2312"/>
          <w:sz w:val="30"/>
          <w:szCs w:val="30"/>
          <w:highlight w:val="none"/>
        </w:rPr>
        <w:t>财资综04表</w:t>
      </w:r>
      <w:r>
        <w:rPr>
          <w:rFonts w:hint="eastAsia" w:ascii="仿宋_GB2312" w:eastAsia="仿宋_GB2312"/>
          <w:sz w:val="30"/>
          <w:szCs w:val="30"/>
          <w:highlight w:val="none"/>
          <w:lang w:val="en-US" w:eastAsia="zh-CN"/>
        </w:rPr>
        <w:t>2行16栏</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应大于0，否则</w:t>
      </w:r>
      <w:r>
        <w:rPr>
          <w:rFonts w:hint="eastAsia" w:ascii="仿宋_GB2312" w:hAnsi="仿宋" w:eastAsia="仿宋_GB2312"/>
          <w:sz w:val="30"/>
          <w:szCs w:val="30"/>
          <w:highlight w:val="none"/>
        </w:rPr>
        <w:t>提示核实性错误，需结合实际情况修改或填写情况说明；</w:t>
      </w:r>
    </w:p>
    <w:p w14:paraId="264F33B8">
      <w:pPr>
        <w:numPr>
          <w:ilvl w:val="0"/>
          <w:numId w:val="2"/>
        </w:numPr>
        <w:adjustRightInd w:val="0"/>
        <w:snapToGrid w:val="0"/>
        <w:spacing w:line="360" w:lineRule="auto"/>
        <w:ind w:left="0" w:firstLine="600" w:firstLineChars="200"/>
        <w:rPr>
          <w:rFonts w:hint="eastAsia" w:ascii="仿宋_GB2312" w:hAnsi="仿宋" w:eastAsia="仿宋_GB2312"/>
          <w:sz w:val="30"/>
          <w:szCs w:val="30"/>
          <w:highlight w:val="none"/>
        </w:rPr>
      </w:pPr>
      <w:r>
        <w:rPr>
          <w:rFonts w:hint="eastAsia" w:ascii="仿宋_GB2312" w:eastAsia="仿宋_GB2312"/>
          <w:sz w:val="30"/>
          <w:szCs w:val="30"/>
          <w:highlight w:val="none"/>
        </w:rPr>
        <w:t>如果</w:t>
      </w:r>
      <w:r>
        <w:rPr>
          <w:rFonts w:hint="eastAsia" w:ascii="仿宋_GB2312" w:hAnsi="仿宋" w:eastAsia="仿宋_GB2312"/>
          <w:sz w:val="30"/>
          <w:szCs w:val="30"/>
          <w:highlight w:val="none"/>
        </w:rPr>
        <w:t>财资综01表</w:t>
      </w:r>
      <w:r>
        <w:rPr>
          <w:rFonts w:hint="eastAsia" w:ascii="仿宋_GB2312" w:eastAsia="仿宋_GB2312"/>
          <w:sz w:val="30"/>
          <w:szCs w:val="30"/>
          <w:highlight w:val="none"/>
        </w:rPr>
        <w:t>固定资产原值期末账面数</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19行2栏</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大于期初账面数</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19行1栏</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，那么事业单位固定资产原值小计</w:t>
      </w:r>
      <w:r>
        <w:rPr>
          <w:rFonts w:hint="eastAsia" w:ascii="仿宋_GB2312" w:eastAsia="仿宋_GB2312"/>
          <w:sz w:val="30"/>
          <w:szCs w:val="30"/>
          <w:highlight w:val="none"/>
          <w:lang w:eastAsia="zh-CN"/>
        </w:rPr>
        <w:t>（</w:t>
      </w:r>
      <w:r>
        <w:rPr>
          <w:rFonts w:hint="eastAsia" w:ascii="仿宋_GB2312" w:hAnsi="仿宋" w:eastAsia="仿宋_GB2312"/>
          <w:sz w:val="30"/>
          <w:szCs w:val="30"/>
          <w:highlight w:val="none"/>
        </w:rPr>
        <w:t>财资综04表</w:t>
      </w:r>
      <w:r>
        <w:rPr>
          <w:rFonts w:hint="eastAsia" w:ascii="仿宋_GB2312" w:eastAsia="仿宋_GB2312"/>
          <w:sz w:val="30"/>
          <w:szCs w:val="30"/>
          <w:highlight w:val="none"/>
          <w:lang w:val="en-US" w:eastAsia="zh-CN"/>
        </w:rPr>
        <w:t>2行30栏</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应大于0，否则</w:t>
      </w:r>
      <w:r>
        <w:rPr>
          <w:rFonts w:hint="eastAsia" w:ascii="仿宋_GB2312" w:hAnsi="仿宋" w:eastAsia="仿宋_GB2312"/>
          <w:sz w:val="30"/>
          <w:szCs w:val="30"/>
          <w:highlight w:val="none"/>
        </w:rPr>
        <w:t>提示核实性错误，需结合实际情况修改或填写情况说明；</w:t>
      </w:r>
    </w:p>
    <w:p w14:paraId="0E8AE3E1">
      <w:pPr>
        <w:numPr>
          <w:ilvl w:val="0"/>
          <w:numId w:val="2"/>
        </w:numPr>
        <w:adjustRightInd w:val="0"/>
        <w:snapToGrid w:val="0"/>
        <w:spacing w:line="360" w:lineRule="auto"/>
        <w:ind w:left="0" w:firstLine="600" w:firstLineChars="200"/>
        <w:rPr>
          <w:rFonts w:hint="eastAsia" w:ascii="仿宋_GB2312" w:hAnsi="仿宋" w:eastAsia="仿宋_GB2312"/>
          <w:sz w:val="30"/>
          <w:szCs w:val="30"/>
          <w:highlight w:val="none"/>
        </w:rPr>
      </w:pPr>
      <w:r>
        <w:rPr>
          <w:rFonts w:hint="eastAsia" w:ascii="仿宋_GB2312" w:eastAsia="仿宋_GB2312"/>
          <w:sz w:val="30"/>
          <w:szCs w:val="30"/>
          <w:highlight w:val="none"/>
        </w:rPr>
        <w:t>如果</w:t>
      </w:r>
      <w:r>
        <w:rPr>
          <w:rFonts w:hint="eastAsia" w:ascii="仿宋_GB2312" w:hAnsi="仿宋" w:eastAsia="仿宋_GB2312"/>
          <w:sz w:val="30"/>
          <w:szCs w:val="30"/>
          <w:highlight w:val="none"/>
        </w:rPr>
        <w:t>财资综01表</w:t>
      </w:r>
      <w:r>
        <w:rPr>
          <w:rFonts w:hint="eastAsia" w:ascii="仿宋_GB2312" w:eastAsia="仿宋_GB2312"/>
          <w:sz w:val="30"/>
          <w:szCs w:val="30"/>
          <w:highlight w:val="none"/>
        </w:rPr>
        <w:t>无形资产原值期末账面数</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24行2栏</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大于期初账面数</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24行1栏</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，那么行政单位无形资产原值小计</w:t>
      </w:r>
      <w:r>
        <w:rPr>
          <w:rFonts w:hint="eastAsia" w:ascii="仿宋_GB2312" w:eastAsia="仿宋_GB2312"/>
          <w:sz w:val="30"/>
          <w:szCs w:val="30"/>
          <w:highlight w:val="none"/>
          <w:lang w:eastAsia="zh-CN"/>
        </w:rPr>
        <w:t>（</w:t>
      </w:r>
      <w:r>
        <w:rPr>
          <w:rFonts w:hint="eastAsia" w:ascii="仿宋_GB2312" w:hAnsi="仿宋" w:eastAsia="仿宋_GB2312"/>
          <w:sz w:val="30"/>
          <w:szCs w:val="30"/>
          <w:highlight w:val="none"/>
        </w:rPr>
        <w:t>财资综04表</w:t>
      </w:r>
      <w:r>
        <w:rPr>
          <w:rFonts w:hint="eastAsia" w:ascii="仿宋_GB2312" w:hAnsi="仿宋" w:eastAsia="仿宋_GB2312"/>
          <w:sz w:val="30"/>
          <w:szCs w:val="30"/>
          <w:highlight w:val="none"/>
          <w:lang w:val="en-US" w:eastAsia="zh-CN"/>
        </w:rPr>
        <w:t>20</w:t>
      </w:r>
      <w:r>
        <w:rPr>
          <w:rFonts w:hint="eastAsia" w:ascii="仿宋_GB2312" w:eastAsia="仿宋_GB2312"/>
          <w:sz w:val="30"/>
          <w:szCs w:val="30"/>
          <w:highlight w:val="none"/>
          <w:lang w:val="en-US" w:eastAsia="zh-CN"/>
        </w:rPr>
        <w:t>行16栏</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应大于0，否则</w:t>
      </w:r>
      <w:r>
        <w:rPr>
          <w:rFonts w:hint="eastAsia" w:ascii="仿宋_GB2312" w:hAnsi="仿宋" w:eastAsia="仿宋_GB2312"/>
          <w:sz w:val="30"/>
          <w:szCs w:val="30"/>
          <w:highlight w:val="none"/>
        </w:rPr>
        <w:t>提示核实性错误，需结合实际情况修改或填写情况说明；</w:t>
      </w:r>
    </w:p>
    <w:p w14:paraId="00F2FA7A">
      <w:pPr>
        <w:numPr>
          <w:ilvl w:val="0"/>
          <w:numId w:val="2"/>
        </w:numPr>
        <w:adjustRightInd w:val="0"/>
        <w:snapToGrid w:val="0"/>
        <w:spacing w:line="360" w:lineRule="auto"/>
        <w:ind w:left="0" w:firstLine="600" w:firstLineChars="200"/>
        <w:rPr>
          <w:rFonts w:hint="eastAsia" w:ascii="仿宋_GB2312" w:hAnsi="仿宋" w:eastAsia="仿宋_GB2312"/>
          <w:sz w:val="30"/>
          <w:szCs w:val="30"/>
          <w:highlight w:val="none"/>
        </w:rPr>
      </w:pPr>
      <w:r>
        <w:rPr>
          <w:rFonts w:hint="eastAsia" w:ascii="仿宋_GB2312" w:hAnsi="仿宋" w:eastAsia="仿宋_GB2312"/>
          <w:sz w:val="30"/>
          <w:szCs w:val="30"/>
          <w:highlight w:val="none"/>
        </w:rPr>
        <w:t>如果财资综01表无形资产原值期末账面数</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24行2栏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大于期初账面数</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24行1栏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，那么事业单位无形资产原值小计</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财资综04表</w:t>
      </w:r>
      <w:r>
        <w:rPr>
          <w:rFonts w:hint="eastAsia" w:ascii="仿宋_GB2312" w:hAnsi="仿宋" w:eastAsia="仿宋_GB2312"/>
          <w:sz w:val="30"/>
          <w:szCs w:val="30"/>
          <w:highlight w:val="none"/>
          <w:lang w:val="en-US" w:eastAsia="zh-CN"/>
        </w:rPr>
        <w:t>20行30栏</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应大于0，否则提示核实性错误，需结合实际情况修改或填写情况说明。</w:t>
      </w:r>
    </w:p>
    <w:p w14:paraId="02F44B0F">
      <w:pPr>
        <w:pStyle w:val="2"/>
        <w:ind w:firstLine="0" w:firstLineChars="0"/>
        <w:rPr>
          <w:rFonts w:hint="eastAsia"/>
          <w:color w:val="auto"/>
          <w:highlight w:val="none"/>
        </w:rPr>
      </w:pPr>
      <w:r>
        <w:rPr>
          <w:rFonts w:hint="eastAsia"/>
          <w:color w:val="auto"/>
          <w:highlight w:val="none"/>
        </w:rPr>
        <w:t>（十）</w:t>
      </w:r>
      <w:r>
        <w:rPr>
          <w:color w:val="auto"/>
          <w:highlight w:val="none"/>
        </w:rPr>
        <w:t>资产使用情况汇总表</w:t>
      </w:r>
      <w:r>
        <w:rPr>
          <w:rFonts w:hint="eastAsia"/>
          <w:color w:val="auto"/>
          <w:highlight w:val="none"/>
        </w:rPr>
        <w:t>（</w:t>
      </w:r>
      <w:r>
        <w:rPr>
          <w:color w:val="auto"/>
          <w:highlight w:val="none"/>
        </w:rPr>
        <w:t>财资综05</w:t>
      </w:r>
      <w:r>
        <w:rPr>
          <w:rFonts w:hint="eastAsia"/>
          <w:color w:val="auto"/>
          <w:highlight w:val="none"/>
        </w:rPr>
        <w:t>表）</w:t>
      </w:r>
    </w:p>
    <w:p w14:paraId="18256472">
      <w:pPr>
        <w:adjustRightInd w:val="0"/>
        <w:snapToGrid w:val="0"/>
        <w:spacing w:line="360" w:lineRule="auto"/>
        <w:ind w:firstLine="600" w:firstLineChars="200"/>
        <w:rPr>
          <w:rFonts w:hint="eastAsia" w:ascii="仿宋_GB2312" w:hAnsi="仿宋" w:eastAsia="仿宋_GB2312"/>
          <w:b/>
          <w:bCs/>
          <w:sz w:val="30"/>
          <w:szCs w:val="30"/>
          <w:highlight w:val="none"/>
        </w:rPr>
      </w:pPr>
      <w:r>
        <w:rPr>
          <w:rFonts w:hint="eastAsia" w:ascii="仿宋_GB2312" w:eastAsia="仿宋_GB2312"/>
          <w:kern w:val="0"/>
          <w:sz w:val="30"/>
          <w:szCs w:val="30"/>
          <w:highlight w:val="none"/>
        </w:rPr>
        <w:t>本表按照行政单位、事业单位口径汇总数据，</w:t>
      </w:r>
      <w:r>
        <w:rPr>
          <w:rFonts w:ascii="仿宋_GB2312" w:hAnsi="仿宋" w:eastAsia="仿宋_GB2312"/>
          <w:sz w:val="30"/>
          <w:szCs w:val="30"/>
          <w:highlight w:val="none"/>
        </w:rPr>
        <w:t>反映</w:t>
      </w:r>
      <w:r>
        <w:rPr>
          <w:rFonts w:hint="eastAsia" w:ascii="仿宋_GB2312" w:eastAsia="仿宋_GB2312"/>
          <w:kern w:val="0"/>
          <w:sz w:val="30"/>
          <w:szCs w:val="30"/>
          <w:highlight w:val="none"/>
        </w:rPr>
        <w:t>单位本期账面资产出租出借、对外投资情况，本表数据以财资09出租出借情况表和财资11对外投资情况表为基础自动提取生成。</w:t>
      </w:r>
    </w:p>
    <w:p w14:paraId="1D271A43">
      <w:pPr>
        <w:adjustRightInd w:val="0"/>
        <w:snapToGrid w:val="0"/>
        <w:spacing w:line="360" w:lineRule="auto"/>
        <w:ind w:firstLine="602" w:firstLineChars="200"/>
        <w:rPr>
          <w:rFonts w:hint="eastAsia" w:ascii="仿宋_GB2312" w:hAnsi="仿宋" w:eastAsia="仿宋_GB2312"/>
          <w:b/>
          <w:bCs/>
          <w:sz w:val="30"/>
          <w:szCs w:val="30"/>
          <w:highlight w:val="none"/>
        </w:rPr>
      </w:pPr>
      <w:r>
        <w:rPr>
          <w:rFonts w:hint="eastAsia" w:ascii="仿宋_GB2312" w:hAnsi="仿宋" w:eastAsia="仿宋_GB2312"/>
          <w:b/>
          <w:bCs/>
          <w:sz w:val="30"/>
          <w:szCs w:val="30"/>
          <w:highlight w:val="none"/>
        </w:rPr>
        <w:t>核实性公式：</w:t>
      </w:r>
    </w:p>
    <w:p w14:paraId="0D41C6C4">
      <w:pPr>
        <w:numPr>
          <w:ilvl w:val="0"/>
          <w:numId w:val="2"/>
        </w:numPr>
        <w:adjustRightInd w:val="0"/>
        <w:snapToGrid w:val="0"/>
        <w:spacing w:line="360" w:lineRule="auto"/>
        <w:ind w:left="0" w:firstLine="600"/>
        <w:rPr>
          <w:rFonts w:hint="eastAsia" w:ascii="仿宋_GB2312" w:hAnsi="仿宋" w:eastAsia="仿宋_GB2312"/>
          <w:sz w:val="30"/>
          <w:szCs w:val="30"/>
          <w:highlight w:val="none"/>
        </w:rPr>
      </w:pPr>
      <w:r>
        <w:rPr>
          <w:rFonts w:ascii="仿宋_GB2312" w:hAnsi="仿宋" w:eastAsia="仿宋_GB2312"/>
          <w:sz w:val="30"/>
          <w:szCs w:val="30"/>
          <w:highlight w:val="none"/>
        </w:rPr>
        <w:t>主管单位</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货币资金</w:t>
      </w:r>
      <w:r>
        <w:rPr>
          <w:rFonts w:hint="eastAsia" w:ascii="仿宋_GB2312" w:hAnsi="仿宋" w:eastAsia="仿宋_GB2312"/>
          <w:sz w:val="30"/>
          <w:szCs w:val="30"/>
          <w:highlight w:val="none"/>
          <w:lang w:val="en-US" w:eastAsia="zh-CN"/>
        </w:rPr>
        <w:t>的账面原值（</w:t>
      </w:r>
      <w:r>
        <w:rPr>
          <w:rFonts w:ascii="仿宋_GB2312" w:hAnsi="仿宋" w:eastAsia="仿宋_GB2312"/>
          <w:sz w:val="30"/>
          <w:szCs w:val="30"/>
          <w:highlight w:val="none"/>
        </w:rPr>
        <w:t>3行2栏</w:t>
      </w:r>
      <w:r>
        <w:rPr>
          <w:rFonts w:hint="eastAsia" w:ascii="仿宋_GB2312" w:hAnsi="仿宋" w:eastAsia="仿宋_GB2312"/>
          <w:sz w:val="30"/>
          <w:szCs w:val="30"/>
          <w:highlight w:val="none"/>
          <w:lang w:eastAsia="zh-CN"/>
        </w:rPr>
        <w:t>）</w:t>
      </w:r>
      <w:r>
        <w:rPr>
          <w:rFonts w:ascii="仿宋_GB2312" w:hAnsi="仿宋" w:eastAsia="仿宋_GB2312"/>
          <w:sz w:val="30"/>
          <w:szCs w:val="30"/>
          <w:highlight w:val="none"/>
        </w:rPr>
        <w:t>&gt;0时，提示核实性错误，</w:t>
      </w:r>
      <w:r>
        <w:rPr>
          <w:rFonts w:hint="eastAsia" w:ascii="仿宋_GB2312" w:hAnsi="仿宋" w:eastAsia="仿宋_GB2312"/>
          <w:sz w:val="30"/>
          <w:szCs w:val="30"/>
          <w:highlight w:val="none"/>
        </w:rPr>
        <w:t>需结合实际情况修改或填写情况说明。</w:t>
      </w:r>
    </w:p>
    <w:p w14:paraId="3DBD0C09">
      <w:pPr>
        <w:pStyle w:val="2"/>
        <w:ind w:firstLine="0" w:firstLineChars="0"/>
        <w:rPr>
          <w:rFonts w:hint="eastAsia"/>
          <w:color w:val="auto"/>
          <w:highlight w:val="none"/>
        </w:rPr>
      </w:pPr>
      <w:r>
        <w:rPr>
          <w:rFonts w:hint="eastAsia"/>
          <w:color w:val="auto"/>
          <w:highlight w:val="none"/>
        </w:rPr>
        <w:t>（十一）</w:t>
      </w:r>
      <w:r>
        <w:rPr>
          <w:color w:val="auto"/>
          <w:highlight w:val="none"/>
        </w:rPr>
        <w:t>资产处置情况汇总表</w:t>
      </w:r>
      <w:r>
        <w:rPr>
          <w:rFonts w:hint="eastAsia"/>
          <w:color w:val="auto"/>
          <w:highlight w:val="none"/>
        </w:rPr>
        <w:t>（</w:t>
      </w:r>
      <w:r>
        <w:rPr>
          <w:color w:val="auto"/>
          <w:highlight w:val="none"/>
        </w:rPr>
        <w:t>财资综06</w:t>
      </w:r>
      <w:r>
        <w:rPr>
          <w:rFonts w:hint="eastAsia"/>
          <w:color w:val="auto"/>
          <w:highlight w:val="none"/>
        </w:rPr>
        <w:t>表）</w:t>
      </w:r>
    </w:p>
    <w:p w14:paraId="58D8BB5E">
      <w:pPr>
        <w:adjustRightInd w:val="0"/>
        <w:snapToGrid w:val="0"/>
        <w:spacing w:line="360" w:lineRule="auto"/>
        <w:ind w:firstLine="600" w:firstLineChars="200"/>
        <w:rPr>
          <w:rFonts w:ascii="仿宋_GB2312" w:eastAsia="仿宋_GB2312"/>
          <w:kern w:val="0"/>
          <w:sz w:val="30"/>
          <w:szCs w:val="30"/>
          <w:highlight w:val="none"/>
        </w:rPr>
      </w:pPr>
      <w:r>
        <w:rPr>
          <w:rFonts w:hint="eastAsia" w:ascii="仿宋_GB2312" w:eastAsia="仿宋_GB2312"/>
          <w:kern w:val="0"/>
          <w:sz w:val="30"/>
          <w:szCs w:val="30"/>
          <w:highlight w:val="none"/>
        </w:rPr>
        <w:t>本表按照行政单位、事业单位口径汇总数据，</w:t>
      </w:r>
      <w:r>
        <w:rPr>
          <w:rFonts w:ascii="仿宋_GB2312" w:eastAsia="仿宋_GB2312"/>
          <w:kern w:val="0"/>
          <w:sz w:val="30"/>
          <w:szCs w:val="30"/>
          <w:highlight w:val="none"/>
        </w:rPr>
        <w:t>反映</w:t>
      </w:r>
      <w:r>
        <w:rPr>
          <w:rFonts w:hint="eastAsia" w:ascii="仿宋_GB2312" w:eastAsia="仿宋_GB2312"/>
          <w:kern w:val="0"/>
          <w:sz w:val="30"/>
          <w:szCs w:val="30"/>
          <w:highlight w:val="none"/>
        </w:rPr>
        <w:t>单位当年账面资产处置情况。本表数据以财资10资产处置情况表为基础自动提取生成。</w:t>
      </w:r>
    </w:p>
    <w:p w14:paraId="530387C6">
      <w:pPr>
        <w:pStyle w:val="2"/>
        <w:ind w:firstLine="0" w:firstLineChars="0"/>
        <w:rPr>
          <w:rFonts w:hint="eastAsia"/>
          <w:color w:val="auto"/>
          <w:highlight w:val="none"/>
        </w:rPr>
      </w:pPr>
      <w:r>
        <w:rPr>
          <w:rFonts w:hint="eastAsia"/>
          <w:color w:val="auto"/>
          <w:highlight w:val="none"/>
        </w:rPr>
        <w:t>（十二）</w:t>
      </w:r>
      <w:r>
        <w:rPr>
          <w:color w:val="auto"/>
          <w:highlight w:val="none"/>
        </w:rPr>
        <w:t>资产收益情况汇总表</w:t>
      </w:r>
      <w:r>
        <w:rPr>
          <w:rFonts w:hint="eastAsia"/>
          <w:color w:val="auto"/>
          <w:highlight w:val="none"/>
        </w:rPr>
        <w:t>（</w:t>
      </w:r>
      <w:r>
        <w:rPr>
          <w:color w:val="auto"/>
          <w:highlight w:val="none"/>
        </w:rPr>
        <w:t>财资综07</w:t>
      </w:r>
      <w:r>
        <w:rPr>
          <w:rFonts w:hint="eastAsia"/>
          <w:color w:val="auto"/>
          <w:highlight w:val="none"/>
        </w:rPr>
        <w:t>表）</w:t>
      </w:r>
    </w:p>
    <w:p w14:paraId="1C62E397">
      <w:pPr>
        <w:adjustRightInd w:val="0"/>
        <w:snapToGrid w:val="0"/>
        <w:spacing w:line="360" w:lineRule="auto"/>
        <w:ind w:firstLine="600" w:firstLineChars="200"/>
        <w:rPr>
          <w:rFonts w:hint="eastAsia" w:ascii="仿宋_GB2312" w:eastAsia="仿宋_GB2312"/>
          <w:kern w:val="0"/>
          <w:sz w:val="30"/>
          <w:szCs w:val="30"/>
          <w:highlight w:val="none"/>
        </w:rPr>
      </w:pPr>
      <w:r>
        <w:rPr>
          <w:rFonts w:hint="eastAsia" w:ascii="仿宋_GB2312" w:eastAsia="仿宋_GB2312"/>
          <w:kern w:val="0"/>
          <w:sz w:val="30"/>
          <w:szCs w:val="30"/>
          <w:highlight w:val="none"/>
        </w:rPr>
        <w:t>本表按照行政单位、事业单位口径汇总数据，</w:t>
      </w:r>
      <w:r>
        <w:rPr>
          <w:rFonts w:ascii="仿宋_GB2312" w:eastAsia="仿宋_GB2312"/>
          <w:kern w:val="0"/>
          <w:sz w:val="30"/>
          <w:szCs w:val="30"/>
          <w:highlight w:val="none"/>
        </w:rPr>
        <w:t>反映</w:t>
      </w:r>
      <w:r>
        <w:rPr>
          <w:rFonts w:hint="eastAsia" w:ascii="仿宋_GB2312" w:eastAsia="仿宋_GB2312"/>
          <w:kern w:val="0"/>
          <w:sz w:val="30"/>
          <w:szCs w:val="30"/>
          <w:highlight w:val="none"/>
        </w:rPr>
        <w:t>单位本期实收收益情况。本表数据以财资09出租出借情况表、财资10资产处置情况表和财资11对外投资情况表为基础自动提取生成。</w:t>
      </w:r>
    </w:p>
    <w:p w14:paraId="3F6A8580">
      <w:pPr>
        <w:pStyle w:val="2"/>
        <w:ind w:firstLine="0" w:firstLineChars="0"/>
        <w:rPr>
          <w:rFonts w:hint="eastAsia"/>
          <w:color w:val="auto"/>
          <w:highlight w:val="none"/>
        </w:rPr>
      </w:pPr>
      <w:r>
        <w:rPr>
          <w:rFonts w:hint="eastAsia"/>
          <w:color w:val="auto"/>
          <w:highlight w:val="none"/>
        </w:rPr>
        <w:t>（十</w:t>
      </w:r>
      <w:r>
        <w:rPr>
          <w:rFonts w:hint="eastAsia"/>
          <w:color w:val="auto"/>
          <w:highlight w:val="none"/>
          <w:lang w:val="en-US" w:eastAsia="zh-CN"/>
        </w:rPr>
        <w:t>三</w:t>
      </w:r>
      <w:r>
        <w:rPr>
          <w:rFonts w:hint="eastAsia"/>
          <w:color w:val="auto"/>
          <w:highlight w:val="none"/>
        </w:rPr>
        <w:t>）</w:t>
      </w:r>
      <w:r>
        <w:rPr>
          <w:color w:val="auto"/>
          <w:highlight w:val="none"/>
        </w:rPr>
        <w:t>资产</w:t>
      </w:r>
      <w:r>
        <w:rPr>
          <w:rFonts w:hint="eastAsia"/>
          <w:color w:val="auto"/>
          <w:highlight w:val="none"/>
          <w:lang w:val="en-US" w:eastAsia="zh-CN"/>
        </w:rPr>
        <w:t>盘活</w:t>
      </w:r>
      <w:r>
        <w:rPr>
          <w:color w:val="auto"/>
          <w:highlight w:val="none"/>
        </w:rPr>
        <w:t>情况汇总表</w:t>
      </w:r>
      <w:r>
        <w:rPr>
          <w:rFonts w:hint="eastAsia"/>
          <w:color w:val="auto"/>
          <w:highlight w:val="none"/>
        </w:rPr>
        <w:t>（</w:t>
      </w:r>
      <w:r>
        <w:rPr>
          <w:color w:val="auto"/>
          <w:highlight w:val="none"/>
        </w:rPr>
        <w:t>财资</w:t>
      </w:r>
      <w:r>
        <w:rPr>
          <w:rFonts w:hint="eastAsia"/>
          <w:color w:val="auto"/>
          <w:highlight w:val="none"/>
          <w:lang w:val="en-US" w:eastAsia="zh-CN"/>
        </w:rPr>
        <w:t>综附01</w:t>
      </w:r>
      <w:r>
        <w:rPr>
          <w:rFonts w:hint="eastAsia"/>
          <w:color w:val="auto"/>
          <w:highlight w:val="none"/>
        </w:rPr>
        <w:t>表）</w:t>
      </w:r>
    </w:p>
    <w:p w14:paraId="119800C0">
      <w:pPr>
        <w:adjustRightInd w:val="0"/>
        <w:snapToGrid w:val="0"/>
        <w:spacing w:line="360" w:lineRule="auto"/>
        <w:ind w:firstLine="600" w:firstLineChars="200"/>
        <w:rPr>
          <w:rFonts w:hint="eastAsia" w:ascii="仿宋_GB2312" w:eastAsia="仿宋_GB2312"/>
          <w:kern w:val="0"/>
          <w:sz w:val="30"/>
          <w:szCs w:val="30"/>
          <w:highlight w:val="none"/>
        </w:rPr>
      </w:pPr>
      <w:r>
        <w:rPr>
          <w:rFonts w:hint="eastAsia" w:ascii="仿宋_GB2312" w:eastAsia="仿宋_GB2312"/>
          <w:kern w:val="0"/>
          <w:sz w:val="30"/>
          <w:szCs w:val="30"/>
          <w:highlight w:val="none"/>
        </w:rPr>
        <w:t>本表按照行政单位、事业单位口径汇总数据，</w:t>
      </w:r>
      <w:r>
        <w:rPr>
          <w:rFonts w:ascii="仿宋_GB2312" w:eastAsia="仿宋_GB2312"/>
          <w:kern w:val="0"/>
          <w:sz w:val="30"/>
          <w:szCs w:val="30"/>
          <w:highlight w:val="none"/>
        </w:rPr>
        <w:t>反映</w:t>
      </w:r>
      <w:r>
        <w:rPr>
          <w:rFonts w:hint="eastAsia" w:ascii="仿宋_GB2312" w:eastAsia="仿宋_GB2312"/>
          <w:kern w:val="0"/>
          <w:sz w:val="30"/>
          <w:szCs w:val="30"/>
          <w:highlight w:val="none"/>
        </w:rPr>
        <w:t>单位本期</w:t>
      </w:r>
      <w:r>
        <w:rPr>
          <w:rFonts w:hint="eastAsia" w:ascii="仿宋_GB2312" w:eastAsia="仿宋_GB2312"/>
          <w:kern w:val="0"/>
          <w:sz w:val="30"/>
          <w:szCs w:val="30"/>
          <w:highlight w:val="none"/>
          <w:lang w:val="en-US" w:eastAsia="zh-CN"/>
        </w:rPr>
        <w:t>资产盘活</w:t>
      </w:r>
      <w:r>
        <w:rPr>
          <w:rFonts w:hint="eastAsia" w:ascii="仿宋_GB2312" w:eastAsia="仿宋_GB2312"/>
          <w:kern w:val="0"/>
          <w:sz w:val="30"/>
          <w:szCs w:val="30"/>
          <w:highlight w:val="none"/>
        </w:rPr>
        <w:t>情况。本表数据以财资</w:t>
      </w:r>
      <w:r>
        <w:rPr>
          <w:rFonts w:hint="eastAsia" w:ascii="仿宋_GB2312" w:eastAsia="仿宋_GB2312"/>
          <w:kern w:val="0"/>
          <w:sz w:val="30"/>
          <w:szCs w:val="30"/>
          <w:highlight w:val="none"/>
          <w:lang w:val="en-US" w:eastAsia="zh-CN"/>
        </w:rPr>
        <w:t>附01表资产盘活</w:t>
      </w:r>
      <w:r>
        <w:rPr>
          <w:rFonts w:hint="eastAsia" w:ascii="仿宋_GB2312" w:eastAsia="仿宋_GB2312"/>
          <w:kern w:val="0"/>
          <w:sz w:val="30"/>
          <w:szCs w:val="30"/>
          <w:highlight w:val="none"/>
        </w:rPr>
        <w:t>情况表为基础自动提取生成。</w:t>
      </w:r>
    </w:p>
    <w:p w14:paraId="2FA6DD80">
      <w:pPr>
        <w:spacing w:line="360" w:lineRule="auto"/>
        <w:ind w:firstLine="578" w:firstLineChars="192"/>
        <w:rPr>
          <w:rFonts w:hint="eastAsia" w:ascii="仿宋_GB2312" w:hAnsi="等线" w:eastAsia="仿宋_GB2312"/>
          <w:b/>
          <w:sz w:val="30"/>
          <w:szCs w:val="30"/>
          <w:highlight w:val="none"/>
          <w:lang w:val="en-US" w:eastAsia="zh-CN"/>
        </w:rPr>
      </w:pPr>
      <w:r>
        <w:rPr>
          <w:rFonts w:hint="eastAsia" w:ascii="仿宋_GB2312" w:hAnsi="等线" w:eastAsia="仿宋_GB2312"/>
          <w:b/>
          <w:sz w:val="30"/>
          <w:szCs w:val="30"/>
          <w:highlight w:val="none"/>
          <w:lang w:val="en-US" w:eastAsia="zh-CN"/>
        </w:rPr>
        <w:t>核实性公式：</w:t>
      </w:r>
    </w:p>
    <w:p w14:paraId="10B6F7E7">
      <w:pPr>
        <w:numPr>
          <w:ilvl w:val="0"/>
          <w:numId w:val="2"/>
        </w:numPr>
        <w:adjustRightInd w:val="0"/>
        <w:snapToGrid w:val="0"/>
        <w:spacing w:line="360" w:lineRule="auto"/>
        <w:ind w:left="0" w:firstLine="600"/>
        <w:rPr>
          <w:rFonts w:hint="eastAsia" w:ascii="仿宋_GB2312" w:hAnsi="仿宋" w:eastAsia="仿宋_GB2312"/>
          <w:sz w:val="30"/>
          <w:szCs w:val="30"/>
          <w:highlight w:val="none"/>
          <w:lang w:val="en-US" w:eastAsia="zh-CN"/>
        </w:rPr>
      </w:pPr>
      <w:r>
        <w:rPr>
          <w:rFonts w:hint="eastAsia" w:ascii="仿宋_GB2312" w:hAnsi="仿宋" w:eastAsia="仿宋_GB2312"/>
          <w:sz w:val="30"/>
          <w:szCs w:val="30"/>
          <w:highlight w:val="none"/>
          <w:lang w:val="en-US" w:eastAsia="zh-CN"/>
        </w:rPr>
        <w:t>数量（1、5、7、11、13、17、21栏）大于0，则原值（2、6、8、12、14、18、22栏）大于0，否则提示核实性错误，需结合实际情况修改或填写情况说明；</w:t>
      </w:r>
    </w:p>
    <w:p w14:paraId="0DDDF7A3">
      <w:pPr>
        <w:numPr>
          <w:ilvl w:val="0"/>
          <w:numId w:val="2"/>
        </w:numPr>
        <w:adjustRightInd w:val="0"/>
        <w:snapToGrid w:val="0"/>
        <w:spacing w:line="360" w:lineRule="auto"/>
        <w:ind w:left="0" w:firstLine="600"/>
        <w:rPr>
          <w:rFonts w:hint="eastAsia" w:ascii="仿宋_GB2312" w:eastAsia="仿宋_GB2312"/>
          <w:kern w:val="0"/>
          <w:sz w:val="30"/>
          <w:szCs w:val="30"/>
          <w:highlight w:val="none"/>
        </w:rPr>
      </w:pPr>
      <w:r>
        <w:rPr>
          <w:rFonts w:hint="eastAsia" w:ascii="仿宋_GB2312" w:hAnsi="仿宋" w:eastAsia="仿宋_GB2312"/>
          <w:sz w:val="30"/>
          <w:szCs w:val="30"/>
          <w:highlight w:val="none"/>
          <w:lang w:val="en-US" w:eastAsia="zh-CN"/>
        </w:rPr>
        <w:t>原值（2、6、8、12、14、18、22栏）大于0，则数量（1、5、7、11、13、17、21栏）大于0，否则提示核实性错误，需结合实际情况修改或填写情况说明。</w:t>
      </w:r>
    </w:p>
    <w:p w14:paraId="0F4A2E5C">
      <w:pPr>
        <w:pStyle w:val="2"/>
        <w:ind w:firstLine="0" w:firstLineChars="0"/>
        <w:rPr>
          <w:rFonts w:hint="eastAsia"/>
          <w:color w:val="auto"/>
          <w:highlight w:val="none"/>
        </w:rPr>
      </w:pPr>
      <w:r>
        <w:rPr>
          <w:rFonts w:hint="eastAsia"/>
          <w:color w:val="auto"/>
          <w:highlight w:val="none"/>
        </w:rPr>
        <w:t>（十</w:t>
      </w:r>
      <w:r>
        <w:rPr>
          <w:rFonts w:hint="eastAsia"/>
          <w:color w:val="auto"/>
          <w:highlight w:val="none"/>
          <w:lang w:val="en-US" w:eastAsia="zh-CN"/>
        </w:rPr>
        <w:t>四</w:t>
      </w:r>
      <w:r>
        <w:rPr>
          <w:rFonts w:hint="eastAsia"/>
          <w:color w:val="auto"/>
          <w:highlight w:val="none"/>
        </w:rPr>
        <w:t>）</w:t>
      </w:r>
      <w:r>
        <w:rPr>
          <w:rFonts w:hint="eastAsia"/>
          <w:color w:val="auto"/>
          <w:highlight w:val="none"/>
          <w:lang w:val="en-US" w:eastAsia="zh-CN"/>
        </w:rPr>
        <w:t>执法执勤用车编制等情况汇总表（中央部门）</w:t>
      </w:r>
      <w:r>
        <w:rPr>
          <w:rFonts w:hint="eastAsia"/>
          <w:color w:val="auto"/>
          <w:highlight w:val="none"/>
        </w:rPr>
        <w:t>（</w:t>
      </w:r>
      <w:r>
        <w:rPr>
          <w:color w:val="auto"/>
          <w:highlight w:val="none"/>
        </w:rPr>
        <w:t>财资</w:t>
      </w:r>
      <w:r>
        <w:rPr>
          <w:rFonts w:hint="eastAsia"/>
          <w:color w:val="auto"/>
          <w:highlight w:val="none"/>
          <w:lang w:val="en-US" w:eastAsia="zh-CN"/>
        </w:rPr>
        <w:t>综附02-1</w:t>
      </w:r>
      <w:r>
        <w:rPr>
          <w:rFonts w:hint="eastAsia"/>
          <w:color w:val="auto"/>
          <w:highlight w:val="none"/>
        </w:rPr>
        <w:t>表）</w:t>
      </w:r>
    </w:p>
    <w:p w14:paraId="7E347E33">
      <w:pPr>
        <w:adjustRightInd w:val="0"/>
        <w:snapToGrid w:val="0"/>
        <w:spacing w:line="360" w:lineRule="auto"/>
        <w:ind w:firstLine="600" w:firstLineChars="200"/>
        <w:rPr>
          <w:rFonts w:hint="eastAsia" w:ascii="仿宋_GB2312" w:eastAsia="仿宋_GB2312"/>
          <w:kern w:val="0"/>
          <w:sz w:val="30"/>
          <w:szCs w:val="30"/>
          <w:highlight w:val="none"/>
        </w:rPr>
      </w:pPr>
      <w:r>
        <w:rPr>
          <w:rFonts w:hint="eastAsia" w:ascii="仿宋_GB2312" w:eastAsia="仿宋_GB2312"/>
          <w:kern w:val="0"/>
          <w:sz w:val="30"/>
          <w:szCs w:val="30"/>
          <w:highlight w:val="none"/>
        </w:rPr>
        <w:t>本表按照行政单位、事业单位口径汇总数据，反映</w:t>
      </w:r>
      <w:r>
        <w:rPr>
          <w:rFonts w:hint="eastAsia" w:ascii="仿宋_GB2312" w:eastAsia="仿宋_GB2312"/>
          <w:kern w:val="0"/>
          <w:sz w:val="30"/>
          <w:szCs w:val="30"/>
          <w:highlight w:val="none"/>
          <w:lang w:val="en-US" w:eastAsia="zh-CN"/>
        </w:rPr>
        <w:t>中央部门执法执勤用车</w:t>
      </w:r>
      <w:r>
        <w:rPr>
          <w:rFonts w:hint="eastAsia" w:ascii="仿宋_GB2312" w:eastAsia="仿宋_GB2312"/>
          <w:kern w:val="0"/>
          <w:sz w:val="30"/>
          <w:szCs w:val="30"/>
          <w:highlight w:val="none"/>
        </w:rPr>
        <w:t>情况。本表数据以财资</w:t>
      </w:r>
      <w:r>
        <w:rPr>
          <w:rFonts w:hint="eastAsia" w:ascii="仿宋_GB2312" w:eastAsia="仿宋_GB2312"/>
          <w:kern w:val="0"/>
          <w:sz w:val="30"/>
          <w:szCs w:val="30"/>
          <w:highlight w:val="none"/>
          <w:lang w:val="en-US" w:eastAsia="zh-CN"/>
        </w:rPr>
        <w:t>附02-1表执法执勤用车情况备案表（中央部门）</w:t>
      </w:r>
      <w:r>
        <w:rPr>
          <w:rFonts w:hint="eastAsia" w:ascii="仿宋_GB2312" w:eastAsia="仿宋_GB2312"/>
          <w:kern w:val="0"/>
          <w:sz w:val="30"/>
          <w:szCs w:val="30"/>
          <w:highlight w:val="none"/>
        </w:rPr>
        <w:t>为基础自动提取生成。</w:t>
      </w:r>
    </w:p>
    <w:p w14:paraId="3FF3B6BB">
      <w:pPr>
        <w:pStyle w:val="2"/>
        <w:ind w:firstLine="0" w:firstLineChars="0"/>
        <w:rPr>
          <w:rFonts w:hint="eastAsia"/>
          <w:color w:val="auto"/>
          <w:highlight w:val="none"/>
        </w:rPr>
      </w:pPr>
      <w:r>
        <w:rPr>
          <w:rFonts w:hint="eastAsia"/>
          <w:color w:val="auto"/>
          <w:highlight w:val="none"/>
        </w:rPr>
        <w:t>（十</w:t>
      </w:r>
      <w:r>
        <w:rPr>
          <w:rFonts w:hint="eastAsia"/>
          <w:color w:val="auto"/>
          <w:highlight w:val="none"/>
          <w:lang w:val="en-US" w:eastAsia="zh-CN"/>
        </w:rPr>
        <w:t>五</w:t>
      </w:r>
      <w:r>
        <w:rPr>
          <w:rFonts w:hint="eastAsia"/>
          <w:color w:val="auto"/>
          <w:highlight w:val="none"/>
        </w:rPr>
        <w:t>）</w:t>
      </w:r>
      <w:r>
        <w:rPr>
          <w:rFonts w:hint="eastAsia"/>
          <w:color w:val="auto"/>
          <w:highlight w:val="none"/>
          <w:lang w:val="en-US" w:eastAsia="zh-CN"/>
        </w:rPr>
        <w:t>执法执勤用车编制等情况汇总表（地方财政部门）</w:t>
      </w:r>
      <w:r>
        <w:rPr>
          <w:rFonts w:hint="eastAsia"/>
          <w:color w:val="auto"/>
          <w:highlight w:val="none"/>
        </w:rPr>
        <w:t>（</w:t>
      </w:r>
      <w:r>
        <w:rPr>
          <w:color w:val="auto"/>
          <w:highlight w:val="none"/>
        </w:rPr>
        <w:t>财资</w:t>
      </w:r>
      <w:r>
        <w:rPr>
          <w:rFonts w:hint="eastAsia"/>
          <w:color w:val="auto"/>
          <w:highlight w:val="none"/>
          <w:lang w:val="en-US" w:eastAsia="zh-CN"/>
        </w:rPr>
        <w:t>综附02-2</w:t>
      </w:r>
      <w:r>
        <w:rPr>
          <w:rFonts w:hint="eastAsia"/>
          <w:color w:val="auto"/>
          <w:highlight w:val="none"/>
        </w:rPr>
        <w:t>表）</w:t>
      </w:r>
    </w:p>
    <w:p w14:paraId="7D4FE1E9">
      <w:pPr>
        <w:adjustRightInd w:val="0"/>
        <w:snapToGrid w:val="0"/>
        <w:spacing w:line="360" w:lineRule="auto"/>
        <w:ind w:firstLine="600" w:firstLineChars="200"/>
        <w:rPr>
          <w:rFonts w:hint="eastAsia" w:ascii="仿宋_GB2312" w:eastAsia="仿宋_GB2312"/>
          <w:kern w:val="0"/>
          <w:sz w:val="30"/>
          <w:szCs w:val="30"/>
          <w:highlight w:val="none"/>
        </w:rPr>
      </w:pPr>
      <w:r>
        <w:rPr>
          <w:rFonts w:hint="eastAsia" w:ascii="仿宋_GB2312" w:eastAsia="仿宋_GB2312"/>
          <w:kern w:val="0"/>
          <w:sz w:val="30"/>
          <w:szCs w:val="30"/>
          <w:highlight w:val="none"/>
        </w:rPr>
        <w:t>本表按照行政单位、事业单位口径汇总数据，反映</w:t>
      </w:r>
      <w:r>
        <w:rPr>
          <w:rFonts w:hint="eastAsia" w:ascii="仿宋_GB2312" w:eastAsia="仿宋_GB2312"/>
          <w:kern w:val="0"/>
          <w:sz w:val="30"/>
          <w:szCs w:val="30"/>
          <w:highlight w:val="none"/>
          <w:lang w:val="en-US" w:eastAsia="zh-CN"/>
        </w:rPr>
        <w:t>地方财政部门执法执勤用车</w:t>
      </w:r>
      <w:r>
        <w:rPr>
          <w:rFonts w:hint="eastAsia" w:ascii="仿宋_GB2312" w:eastAsia="仿宋_GB2312"/>
          <w:kern w:val="0"/>
          <w:sz w:val="30"/>
          <w:szCs w:val="30"/>
          <w:highlight w:val="none"/>
        </w:rPr>
        <w:t>情况。本表数据以财资</w:t>
      </w:r>
      <w:r>
        <w:rPr>
          <w:rFonts w:hint="eastAsia" w:ascii="仿宋_GB2312" w:eastAsia="仿宋_GB2312"/>
          <w:kern w:val="0"/>
          <w:sz w:val="30"/>
          <w:szCs w:val="30"/>
          <w:highlight w:val="none"/>
          <w:lang w:val="en-US" w:eastAsia="zh-CN"/>
        </w:rPr>
        <w:t>附02-2表执法执勤用车情况备案表（地方财政部门）</w:t>
      </w:r>
      <w:r>
        <w:rPr>
          <w:rFonts w:hint="eastAsia" w:ascii="仿宋_GB2312" w:eastAsia="仿宋_GB2312"/>
          <w:kern w:val="0"/>
          <w:sz w:val="30"/>
          <w:szCs w:val="30"/>
          <w:highlight w:val="none"/>
        </w:rPr>
        <w:t>为基础自动提取生成。</w:t>
      </w:r>
    </w:p>
    <w:p w14:paraId="54E4A21C">
      <w:pPr>
        <w:pStyle w:val="2"/>
        <w:rPr>
          <w:rFonts w:hint="eastAsia"/>
          <w:b/>
          <w:color w:val="auto"/>
          <w:highlight w:val="none"/>
        </w:rPr>
      </w:pPr>
      <w:r>
        <w:rPr>
          <w:rFonts w:hint="eastAsia"/>
          <w:color w:val="auto"/>
          <w:highlight w:val="none"/>
        </w:rPr>
        <w:t>（</w:t>
      </w:r>
      <w:r>
        <w:rPr>
          <w:rFonts w:hint="eastAsia"/>
          <w:color w:val="auto"/>
          <w:highlight w:val="none"/>
          <w:lang w:val="en-US" w:eastAsia="zh-CN"/>
        </w:rPr>
        <w:t>十六</w:t>
      </w:r>
      <w:r>
        <w:rPr>
          <w:rFonts w:hint="eastAsia"/>
          <w:color w:val="auto"/>
          <w:highlight w:val="none"/>
        </w:rPr>
        <w:t>）</w:t>
      </w:r>
      <w:r>
        <w:rPr>
          <w:rFonts w:hint="eastAsia"/>
          <w:color w:val="auto"/>
          <w:highlight w:val="none"/>
          <w:lang w:val="en-US" w:eastAsia="zh-CN"/>
        </w:rPr>
        <w:t>卫生健康行业资产情况汇总表</w:t>
      </w:r>
      <w:r>
        <w:rPr>
          <w:rFonts w:hint="eastAsia"/>
          <w:color w:val="auto"/>
          <w:highlight w:val="none"/>
        </w:rPr>
        <w:t>（财资</w:t>
      </w:r>
      <w:r>
        <w:rPr>
          <w:rFonts w:hint="eastAsia"/>
          <w:color w:val="auto"/>
          <w:highlight w:val="none"/>
          <w:lang w:val="en-US" w:eastAsia="zh-CN"/>
        </w:rPr>
        <w:t>综附03表</w:t>
      </w:r>
      <w:r>
        <w:rPr>
          <w:rFonts w:hint="eastAsia"/>
          <w:color w:val="auto"/>
          <w:highlight w:val="none"/>
        </w:rPr>
        <w:t>）</w:t>
      </w:r>
    </w:p>
    <w:p w14:paraId="3AEC196E">
      <w:pPr>
        <w:adjustRightInd w:val="0"/>
        <w:snapToGrid w:val="0"/>
        <w:spacing w:line="360" w:lineRule="auto"/>
        <w:ind w:firstLine="600" w:firstLineChars="200"/>
        <w:rPr>
          <w:rFonts w:hint="eastAsia" w:ascii="仿宋_GB2312" w:eastAsia="仿宋_GB2312"/>
          <w:kern w:val="0"/>
          <w:sz w:val="30"/>
          <w:szCs w:val="30"/>
          <w:highlight w:val="none"/>
        </w:rPr>
      </w:pPr>
      <w:r>
        <w:rPr>
          <w:rFonts w:hint="eastAsia" w:ascii="仿宋_GB2312" w:eastAsia="仿宋_GB2312"/>
          <w:kern w:val="0"/>
          <w:sz w:val="30"/>
          <w:szCs w:val="30"/>
          <w:highlight w:val="none"/>
        </w:rPr>
        <w:t>本表按照行政单位、事业单位口径汇总数据，反映</w:t>
      </w:r>
      <w:r>
        <w:rPr>
          <w:rFonts w:hint="eastAsia" w:ascii="仿宋_GB2312" w:eastAsia="仿宋_GB2312"/>
          <w:kern w:val="0"/>
          <w:sz w:val="30"/>
          <w:szCs w:val="30"/>
          <w:highlight w:val="none"/>
          <w:lang w:val="en-US" w:eastAsia="zh-CN"/>
        </w:rPr>
        <w:t>卫生健康行业资产情况</w:t>
      </w:r>
      <w:r>
        <w:rPr>
          <w:rFonts w:hint="eastAsia" w:ascii="仿宋_GB2312" w:eastAsia="仿宋_GB2312"/>
          <w:kern w:val="0"/>
          <w:sz w:val="30"/>
          <w:szCs w:val="30"/>
          <w:highlight w:val="none"/>
        </w:rPr>
        <w:t>。本表数据以财资</w:t>
      </w:r>
      <w:r>
        <w:rPr>
          <w:rFonts w:hint="eastAsia" w:ascii="仿宋_GB2312" w:eastAsia="仿宋_GB2312"/>
          <w:kern w:val="0"/>
          <w:sz w:val="30"/>
          <w:szCs w:val="30"/>
          <w:highlight w:val="none"/>
          <w:lang w:val="en-US" w:eastAsia="zh-CN"/>
        </w:rPr>
        <w:t>附03表卫生健康行业资产情况表</w:t>
      </w:r>
      <w:r>
        <w:rPr>
          <w:rFonts w:hint="eastAsia" w:ascii="仿宋_GB2312" w:eastAsia="仿宋_GB2312"/>
          <w:kern w:val="0"/>
          <w:sz w:val="30"/>
          <w:szCs w:val="30"/>
          <w:highlight w:val="none"/>
        </w:rPr>
        <w:t>为基础自动提取生成。</w:t>
      </w:r>
    </w:p>
    <w:p w14:paraId="53B4C2B0">
      <w:pPr>
        <w:pStyle w:val="2"/>
        <w:rPr>
          <w:rFonts w:hint="eastAsia"/>
          <w:b/>
          <w:color w:val="auto"/>
          <w:highlight w:val="none"/>
        </w:rPr>
      </w:pPr>
      <w:r>
        <w:rPr>
          <w:rFonts w:hint="eastAsia"/>
          <w:color w:val="auto"/>
          <w:highlight w:val="none"/>
        </w:rPr>
        <w:t>（</w:t>
      </w:r>
      <w:r>
        <w:rPr>
          <w:rFonts w:hint="eastAsia"/>
          <w:color w:val="auto"/>
          <w:highlight w:val="none"/>
          <w:lang w:val="en-US" w:eastAsia="zh-CN"/>
        </w:rPr>
        <w:t>十七</w:t>
      </w:r>
      <w:r>
        <w:rPr>
          <w:rFonts w:hint="eastAsia"/>
          <w:color w:val="auto"/>
          <w:highlight w:val="none"/>
        </w:rPr>
        <w:t>）</w:t>
      </w:r>
      <w:r>
        <w:rPr>
          <w:rFonts w:hint="eastAsia"/>
          <w:color w:val="auto"/>
          <w:highlight w:val="none"/>
          <w:lang w:val="en-US" w:eastAsia="zh-CN"/>
        </w:rPr>
        <w:t>实体公物仓情况表</w:t>
      </w:r>
      <w:r>
        <w:rPr>
          <w:rFonts w:hint="eastAsia"/>
          <w:color w:val="auto"/>
          <w:highlight w:val="none"/>
        </w:rPr>
        <w:t>（</w:t>
      </w:r>
      <w:r>
        <w:rPr>
          <w:rFonts w:hint="eastAsia"/>
          <w:color w:val="auto"/>
          <w:highlight w:val="none"/>
          <w:lang w:val="en-US" w:eastAsia="zh-CN"/>
        </w:rPr>
        <w:t>财资综附04</w:t>
      </w:r>
      <w:r>
        <w:rPr>
          <w:rFonts w:hint="eastAsia"/>
          <w:color w:val="auto"/>
          <w:highlight w:val="none"/>
        </w:rPr>
        <w:t>）</w:t>
      </w:r>
    </w:p>
    <w:p w14:paraId="24C72FC1">
      <w:pPr>
        <w:adjustRightInd w:val="0"/>
        <w:snapToGrid w:val="0"/>
        <w:spacing w:line="360" w:lineRule="auto"/>
        <w:ind w:firstLine="600" w:firstLineChars="200"/>
        <w:rPr>
          <w:rFonts w:hint="eastAsia" w:ascii="仿宋_GB2312" w:eastAsia="仿宋_GB2312"/>
          <w:kern w:val="0"/>
          <w:sz w:val="30"/>
          <w:szCs w:val="30"/>
          <w:highlight w:val="none"/>
          <w:lang w:val="en-US" w:eastAsia="zh-CN"/>
        </w:rPr>
      </w:pPr>
      <w:r>
        <w:rPr>
          <w:rFonts w:hint="eastAsia" w:ascii="仿宋_GB2312" w:eastAsia="仿宋_GB2312"/>
          <w:kern w:val="0"/>
          <w:sz w:val="30"/>
          <w:szCs w:val="30"/>
          <w:highlight w:val="none"/>
          <w:lang w:val="en-US" w:eastAsia="zh-CN"/>
        </w:rPr>
        <w:t>实体公物仓是指具有相应设施设备，用于集中存放、统筹利用公物仓资产的仓库。</w:t>
      </w:r>
      <w:r>
        <w:rPr>
          <w:rFonts w:hint="eastAsia" w:ascii="仿宋_GB2312" w:eastAsia="仿宋_GB2312"/>
          <w:kern w:val="0"/>
          <w:sz w:val="30"/>
          <w:szCs w:val="30"/>
          <w:highlight w:val="none"/>
        </w:rPr>
        <w:t>本表</w:t>
      </w:r>
      <w:r>
        <w:rPr>
          <w:rFonts w:hint="eastAsia" w:ascii="仿宋_GB2312" w:eastAsia="仿宋_GB2312"/>
          <w:kern w:val="0"/>
          <w:sz w:val="30"/>
          <w:szCs w:val="30"/>
          <w:highlight w:val="none"/>
          <w:lang w:val="en-US" w:eastAsia="zh-CN"/>
        </w:rPr>
        <w:t>由中央部门一级主管部门、地方各级财政部门，根据本部门本地区实际情况手动填列。</w:t>
      </w:r>
    </w:p>
    <w:p w14:paraId="0866EC7E">
      <w:pPr>
        <w:spacing w:line="360" w:lineRule="auto"/>
        <w:ind w:firstLine="578" w:firstLineChars="192"/>
        <w:rPr>
          <w:rFonts w:hint="eastAsia" w:ascii="仿宋_GB2312" w:hAnsi="等线" w:eastAsia="仿宋_GB2312"/>
          <w:b/>
          <w:sz w:val="30"/>
          <w:szCs w:val="30"/>
          <w:highlight w:val="none"/>
          <w:lang w:val="en-US" w:eastAsia="zh-CN"/>
        </w:rPr>
      </w:pPr>
      <w:r>
        <w:rPr>
          <w:rFonts w:hint="eastAsia" w:ascii="仿宋_GB2312" w:hAnsi="等线" w:eastAsia="仿宋_GB2312"/>
          <w:b/>
          <w:sz w:val="30"/>
          <w:szCs w:val="30"/>
          <w:highlight w:val="none"/>
          <w:lang w:val="en-US" w:eastAsia="zh-CN"/>
        </w:rPr>
        <w:t>主要指标解释：</w:t>
      </w:r>
    </w:p>
    <w:p w14:paraId="26E75556">
      <w:pPr>
        <w:spacing w:line="360" w:lineRule="auto"/>
        <w:ind w:firstLine="576" w:firstLineChars="192"/>
        <w:rPr>
          <w:rFonts w:hint="default" w:ascii="仿宋_GB2312" w:eastAsia="仿宋_GB2312"/>
          <w:kern w:val="0"/>
          <w:sz w:val="30"/>
          <w:szCs w:val="30"/>
          <w:highlight w:val="none"/>
          <w:lang w:val="en-US" w:eastAsia="zh-CN"/>
        </w:rPr>
      </w:pPr>
      <w:r>
        <w:rPr>
          <w:rFonts w:hint="eastAsia" w:ascii="仿宋_GB2312" w:eastAsia="仿宋_GB2312"/>
          <w:kern w:val="0"/>
          <w:sz w:val="30"/>
          <w:szCs w:val="30"/>
          <w:highlight w:val="none"/>
          <w:lang w:val="en-US" w:eastAsia="zh-CN"/>
        </w:rPr>
        <w:t>1.实体公物仓名称：按照实体公物仓具体名称填列。</w:t>
      </w:r>
    </w:p>
    <w:p w14:paraId="17DF30D8">
      <w:pPr>
        <w:spacing w:line="360" w:lineRule="auto"/>
        <w:ind w:firstLine="576" w:firstLineChars="192"/>
        <w:rPr>
          <w:rFonts w:hint="default" w:ascii="仿宋_GB2312" w:eastAsia="仿宋_GB2312"/>
          <w:kern w:val="0"/>
          <w:sz w:val="30"/>
          <w:szCs w:val="30"/>
          <w:highlight w:val="none"/>
          <w:lang w:val="en-US" w:eastAsia="zh-CN"/>
        </w:rPr>
      </w:pPr>
      <w:r>
        <w:rPr>
          <w:rFonts w:hint="eastAsia" w:ascii="仿宋_GB2312" w:eastAsia="仿宋_GB2312"/>
          <w:kern w:val="0"/>
          <w:sz w:val="30"/>
          <w:szCs w:val="30"/>
          <w:highlight w:val="none"/>
          <w:lang w:val="en-US" w:eastAsia="zh-CN"/>
        </w:rPr>
        <w:t>2.建设开始日期：反映实际开始建设实体公物仓的时间，如XX年XX月。</w:t>
      </w:r>
    </w:p>
    <w:p w14:paraId="0C48D8E1">
      <w:pPr>
        <w:spacing w:line="360" w:lineRule="auto"/>
        <w:ind w:firstLine="576" w:firstLineChars="192"/>
        <w:rPr>
          <w:rFonts w:hint="default" w:ascii="仿宋_GB2312" w:eastAsia="仿宋_GB2312"/>
          <w:kern w:val="0"/>
          <w:sz w:val="30"/>
          <w:szCs w:val="30"/>
          <w:highlight w:val="none"/>
          <w:lang w:val="en-US" w:eastAsia="zh-CN"/>
        </w:rPr>
      </w:pPr>
      <w:r>
        <w:rPr>
          <w:rFonts w:hint="eastAsia" w:ascii="仿宋_GB2312" w:eastAsia="仿宋_GB2312"/>
          <w:kern w:val="0"/>
          <w:sz w:val="30"/>
          <w:szCs w:val="30"/>
          <w:highlight w:val="none"/>
          <w:lang w:val="en-US" w:eastAsia="zh-CN"/>
        </w:rPr>
        <w:t>3.启用日期：反映实体公物仓投入使用的时间，如XX年XX月。</w:t>
      </w:r>
    </w:p>
    <w:p w14:paraId="55981201">
      <w:pPr>
        <w:spacing w:line="360" w:lineRule="auto"/>
        <w:ind w:firstLine="576" w:firstLineChars="192"/>
        <w:rPr>
          <w:rFonts w:hint="eastAsia" w:ascii="仿宋_GB2312" w:eastAsia="仿宋_GB2312"/>
          <w:kern w:val="0"/>
          <w:sz w:val="30"/>
          <w:szCs w:val="30"/>
          <w:highlight w:val="none"/>
          <w:lang w:val="en-US" w:eastAsia="zh-CN"/>
        </w:rPr>
      </w:pPr>
      <w:r>
        <w:rPr>
          <w:rFonts w:hint="eastAsia" w:ascii="仿宋_GB2312" w:eastAsia="仿宋_GB2312"/>
          <w:kern w:val="0"/>
          <w:sz w:val="30"/>
          <w:szCs w:val="30"/>
          <w:highlight w:val="none"/>
          <w:lang w:val="en-US" w:eastAsia="zh-CN"/>
        </w:rPr>
        <w:t>4.详细地址：反映实体公物仓的详细坐落位置，如</w:t>
      </w:r>
      <w:r>
        <w:rPr>
          <w:rFonts w:hint="eastAsia" w:ascii="仿宋_GB2312" w:eastAsia="仿宋_GB2312"/>
          <w:sz w:val="30"/>
          <w:szCs w:val="30"/>
          <w:highlight w:val="none"/>
        </w:rPr>
        <w:t>“XX省XX市XX县（区）XX街道XX号”</w:t>
      </w:r>
      <w:r>
        <w:rPr>
          <w:rFonts w:hint="eastAsia" w:ascii="仿宋_GB2312" w:eastAsia="仿宋_GB2312"/>
          <w:kern w:val="0"/>
          <w:sz w:val="30"/>
          <w:szCs w:val="30"/>
          <w:highlight w:val="none"/>
          <w:lang w:val="en-US" w:eastAsia="zh-CN"/>
        </w:rPr>
        <w:t>。</w:t>
      </w:r>
    </w:p>
    <w:p w14:paraId="73BCD573">
      <w:pPr>
        <w:spacing w:line="360" w:lineRule="auto"/>
        <w:ind w:firstLine="576" w:firstLineChars="192"/>
        <w:rPr>
          <w:rFonts w:hint="default" w:ascii="仿宋_GB2312" w:eastAsia="仿宋_GB2312"/>
          <w:kern w:val="0"/>
          <w:sz w:val="30"/>
          <w:szCs w:val="30"/>
          <w:highlight w:val="none"/>
          <w:lang w:val="en-US" w:eastAsia="zh-CN"/>
        </w:rPr>
      </w:pPr>
      <w:r>
        <w:rPr>
          <w:rFonts w:hint="eastAsia" w:ascii="仿宋_GB2312" w:eastAsia="仿宋_GB2312"/>
          <w:kern w:val="0"/>
          <w:sz w:val="30"/>
          <w:szCs w:val="30"/>
          <w:highlight w:val="none"/>
          <w:lang w:val="en-US" w:eastAsia="zh-CN"/>
        </w:rPr>
        <w:t>5.建筑面积：反映实体公物仓的实际建筑面积。</w:t>
      </w:r>
    </w:p>
    <w:p w14:paraId="0A99C9E3">
      <w:pPr>
        <w:spacing w:line="360" w:lineRule="auto"/>
        <w:ind w:firstLine="576" w:firstLineChars="192"/>
        <w:rPr>
          <w:rFonts w:hint="eastAsia" w:ascii="仿宋_GB2312" w:eastAsia="仿宋_GB2312"/>
          <w:kern w:val="0"/>
          <w:sz w:val="30"/>
          <w:szCs w:val="30"/>
          <w:highlight w:val="none"/>
          <w:lang w:val="en-US" w:eastAsia="zh-CN"/>
        </w:rPr>
      </w:pPr>
      <w:r>
        <w:rPr>
          <w:rFonts w:hint="eastAsia" w:ascii="仿宋_GB2312" w:eastAsia="仿宋_GB2312"/>
          <w:kern w:val="0"/>
          <w:sz w:val="30"/>
          <w:szCs w:val="30"/>
          <w:highlight w:val="none"/>
          <w:lang w:val="en-US" w:eastAsia="zh-CN"/>
        </w:rPr>
        <w:t>6.主要牵头部门：按照财政部门、机关事务管理部门选择填列。</w:t>
      </w:r>
    </w:p>
    <w:p w14:paraId="6C328431">
      <w:pPr>
        <w:spacing w:line="360" w:lineRule="auto"/>
        <w:ind w:firstLine="576" w:firstLineChars="192"/>
        <w:rPr>
          <w:rFonts w:hint="default" w:ascii="仿宋_GB2312" w:eastAsia="仿宋_GB2312"/>
          <w:kern w:val="0"/>
          <w:sz w:val="30"/>
          <w:szCs w:val="30"/>
          <w:highlight w:val="none"/>
          <w:lang w:val="en-US" w:eastAsia="zh-CN"/>
        </w:rPr>
      </w:pPr>
      <w:r>
        <w:rPr>
          <w:rFonts w:hint="eastAsia" w:ascii="仿宋_GB2312" w:eastAsia="仿宋_GB2312"/>
          <w:kern w:val="0"/>
          <w:sz w:val="30"/>
          <w:szCs w:val="30"/>
          <w:highlight w:val="none"/>
          <w:lang w:val="en-US" w:eastAsia="zh-CN"/>
        </w:rPr>
        <w:t>7.运营单位名称：反映负责实体公物仓实际运营的组织或者机构名称。</w:t>
      </w:r>
    </w:p>
    <w:p w14:paraId="5C443A6E">
      <w:pPr>
        <w:spacing w:line="360" w:lineRule="auto"/>
        <w:ind w:firstLine="576" w:firstLineChars="192"/>
        <w:rPr>
          <w:rFonts w:hint="default" w:ascii="仿宋_GB2312" w:eastAsia="仿宋_GB2312"/>
          <w:kern w:val="0"/>
          <w:sz w:val="30"/>
          <w:szCs w:val="30"/>
          <w:highlight w:val="none"/>
          <w:lang w:val="en-US" w:eastAsia="zh-CN"/>
        </w:rPr>
      </w:pPr>
      <w:r>
        <w:rPr>
          <w:rFonts w:hint="eastAsia" w:ascii="仿宋_GB2312" w:eastAsia="仿宋_GB2312"/>
          <w:kern w:val="0"/>
          <w:sz w:val="30"/>
          <w:szCs w:val="30"/>
          <w:highlight w:val="none"/>
          <w:lang w:val="en-US" w:eastAsia="zh-CN"/>
        </w:rPr>
        <w:t>8.涵盖单位范围：反映实体公物仓覆盖的单位范围，如省直所有行政事业单位、市级所有行政事业单位等。</w:t>
      </w:r>
    </w:p>
    <w:p w14:paraId="605B9442">
      <w:pPr>
        <w:spacing w:line="360" w:lineRule="auto"/>
        <w:ind w:firstLine="576" w:firstLineChars="192"/>
        <w:rPr>
          <w:rFonts w:hint="default" w:ascii="仿宋_GB2312" w:eastAsia="仿宋_GB2312"/>
          <w:kern w:val="0"/>
          <w:sz w:val="30"/>
          <w:szCs w:val="30"/>
          <w:highlight w:val="none"/>
          <w:lang w:val="en-US" w:eastAsia="zh-CN"/>
        </w:rPr>
      </w:pPr>
      <w:r>
        <w:rPr>
          <w:rFonts w:hint="eastAsia" w:ascii="仿宋_GB2312" w:eastAsia="仿宋_GB2312"/>
          <w:kern w:val="0"/>
          <w:sz w:val="30"/>
          <w:szCs w:val="30"/>
          <w:highlight w:val="none"/>
          <w:lang w:val="en-US" w:eastAsia="zh-CN"/>
        </w:rPr>
        <w:t>9.本年度运营成本：反映实体公物仓本年度运营过程中所产生的成本，包括管理费用、维修和维护费用、人工费用等。</w:t>
      </w:r>
    </w:p>
    <w:p w14:paraId="3374954E">
      <w:pPr>
        <w:spacing w:line="360" w:lineRule="auto"/>
        <w:ind w:firstLine="576" w:firstLineChars="192"/>
        <w:rPr>
          <w:rFonts w:hint="eastAsia" w:ascii="仿宋_GB2312" w:eastAsia="仿宋_GB2312"/>
          <w:kern w:val="0"/>
          <w:sz w:val="30"/>
          <w:szCs w:val="30"/>
          <w:highlight w:val="none"/>
          <w:lang w:val="en-US" w:eastAsia="zh-CN"/>
        </w:rPr>
      </w:pPr>
      <w:r>
        <w:rPr>
          <w:rFonts w:hint="eastAsia" w:ascii="仿宋_GB2312" w:eastAsia="仿宋_GB2312"/>
          <w:kern w:val="0"/>
          <w:sz w:val="30"/>
          <w:szCs w:val="30"/>
          <w:highlight w:val="none"/>
          <w:lang w:val="en-US" w:eastAsia="zh-CN"/>
        </w:rPr>
        <w:t>10.本年度成本效益分析情况：结合建设及运营成本与本年度出仓资产节约的资金情况比较分析，反映成本效益情况。</w:t>
      </w:r>
    </w:p>
    <w:p w14:paraId="2FE4EBF7">
      <w:pPr>
        <w:snapToGrid w:val="0"/>
        <w:spacing w:line="360" w:lineRule="auto"/>
        <w:ind w:firstLine="626" w:firstLineChars="200"/>
        <w:rPr>
          <w:rFonts w:hint="eastAsia" w:ascii="仿宋_GB2312" w:hAnsi="仿宋" w:eastAsia="仿宋_GB2312"/>
          <w:b/>
          <w:spacing w:val="6"/>
          <w:sz w:val="30"/>
          <w:szCs w:val="30"/>
          <w:highlight w:val="none"/>
        </w:rPr>
      </w:pPr>
      <w:r>
        <w:rPr>
          <w:rFonts w:hint="eastAsia" w:ascii="仿宋_GB2312" w:hAnsi="仿宋" w:eastAsia="仿宋_GB2312"/>
          <w:b/>
          <w:spacing w:val="6"/>
          <w:sz w:val="30"/>
          <w:szCs w:val="30"/>
          <w:highlight w:val="none"/>
        </w:rPr>
        <w:t>逻辑性审核公式：</w:t>
      </w:r>
    </w:p>
    <w:p w14:paraId="716E18D6">
      <w:pPr>
        <w:snapToGrid w:val="0"/>
        <w:spacing w:line="360" w:lineRule="auto"/>
        <w:ind w:firstLine="626" w:firstLineChars="200"/>
        <w:rPr>
          <w:rFonts w:hint="eastAsia" w:ascii="仿宋_GB2312" w:hAnsi="仿宋" w:eastAsia="仿宋_GB2312"/>
          <w:b/>
          <w:spacing w:val="6"/>
          <w:sz w:val="30"/>
          <w:szCs w:val="30"/>
          <w:highlight w:val="none"/>
        </w:rPr>
      </w:pPr>
      <w:r>
        <w:rPr>
          <w:rFonts w:hint="eastAsia" w:ascii="仿宋_GB2312" w:hAnsi="仿宋" w:eastAsia="仿宋_GB2312"/>
          <w:b/>
          <w:spacing w:val="6"/>
          <w:sz w:val="30"/>
          <w:szCs w:val="30"/>
          <w:highlight w:val="none"/>
        </w:rPr>
        <w:t>表内公式：</w:t>
      </w:r>
    </w:p>
    <w:p w14:paraId="27B1B235">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600" w:firstLineChars="200"/>
        <w:textAlignment w:val="auto"/>
        <w:rPr>
          <w:rFonts w:hint="default" w:ascii="仿宋_GB2312" w:eastAsia="仿宋_GB2312"/>
          <w:kern w:val="0"/>
          <w:sz w:val="30"/>
          <w:szCs w:val="30"/>
          <w:highlight w:val="none"/>
          <w:lang w:val="en-US" w:eastAsia="zh-CN"/>
        </w:rPr>
      </w:pPr>
      <w:r>
        <w:rPr>
          <w:rFonts w:hint="eastAsia" w:ascii="仿宋_GB2312" w:eastAsia="仿宋_GB2312"/>
          <w:kern w:val="0"/>
          <w:sz w:val="30"/>
          <w:szCs w:val="30"/>
          <w:highlight w:val="none"/>
          <w:lang w:val="en-US" w:eastAsia="zh-CN"/>
        </w:rPr>
        <w:t>本年入仓资产情况合计栏（10~11栏）应等于各类资产设备（13~14栏）、家具（16~17栏）、其他资产（19~20栏）对应栏次之和；</w:t>
      </w:r>
    </w:p>
    <w:p w14:paraId="4095FA40">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600" w:firstLineChars="200"/>
        <w:textAlignment w:val="auto"/>
        <w:rPr>
          <w:rFonts w:hint="default" w:ascii="仿宋_GB2312" w:eastAsia="仿宋_GB2312"/>
          <w:kern w:val="0"/>
          <w:sz w:val="30"/>
          <w:szCs w:val="30"/>
          <w:highlight w:val="none"/>
          <w:lang w:val="en-US" w:eastAsia="zh-CN"/>
        </w:rPr>
      </w:pPr>
      <w:r>
        <w:rPr>
          <w:rFonts w:hint="eastAsia" w:ascii="仿宋_GB2312" w:eastAsia="仿宋_GB2312"/>
          <w:kern w:val="0"/>
          <w:sz w:val="30"/>
          <w:szCs w:val="30"/>
          <w:highlight w:val="none"/>
          <w:lang w:val="en-US" w:eastAsia="zh-CN"/>
        </w:rPr>
        <w:t>本年出仓资产情况合计栏（22~23栏）应等于各类资产设备（25~26栏）、家具（28~29栏）、其他资产（31~32栏）对应栏次之和；</w:t>
      </w:r>
    </w:p>
    <w:p w14:paraId="49C12E40">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600" w:firstLineChars="200"/>
        <w:textAlignment w:val="auto"/>
        <w:rPr>
          <w:rFonts w:hint="default" w:ascii="仿宋_GB2312" w:eastAsia="仿宋_GB2312"/>
          <w:kern w:val="0"/>
          <w:sz w:val="30"/>
          <w:szCs w:val="30"/>
          <w:highlight w:val="none"/>
          <w:lang w:val="en-US" w:eastAsia="zh-CN"/>
        </w:rPr>
      </w:pPr>
      <w:r>
        <w:rPr>
          <w:rFonts w:hint="eastAsia" w:ascii="仿宋_GB2312" w:eastAsia="仿宋_GB2312"/>
          <w:kern w:val="0"/>
          <w:sz w:val="30"/>
          <w:szCs w:val="30"/>
          <w:highlight w:val="none"/>
          <w:lang w:val="en-US" w:eastAsia="zh-CN"/>
        </w:rPr>
        <w:t>原值大于等于净值。</w:t>
      </w:r>
    </w:p>
    <w:p w14:paraId="4DA6FA5B">
      <w:pPr>
        <w:snapToGrid w:val="0"/>
        <w:spacing w:line="360" w:lineRule="auto"/>
        <w:ind w:firstLine="626" w:firstLineChars="200"/>
        <w:rPr>
          <w:rFonts w:hint="eastAsia" w:ascii="仿宋_GB2312" w:hAnsi="仿宋" w:eastAsia="仿宋_GB2312"/>
          <w:b/>
          <w:spacing w:val="6"/>
          <w:sz w:val="30"/>
          <w:szCs w:val="30"/>
          <w:highlight w:val="none"/>
          <w:lang w:val="en-US" w:eastAsia="zh-CN"/>
        </w:rPr>
      </w:pPr>
      <w:r>
        <w:rPr>
          <w:rFonts w:hint="eastAsia" w:ascii="仿宋_GB2312" w:hAnsi="仿宋" w:eastAsia="仿宋_GB2312"/>
          <w:b/>
          <w:spacing w:val="6"/>
          <w:sz w:val="30"/>
          <w:szCs w:val="30"/>
          <w:highlight w:val="none"/>
          <w:lang w:val="en-US" w:eastAsia="zh-CN"/>
        </w:rPr>
        <w:t>提示公式：</w:t>
      </w:r>
    </w:p>
    <w:p w14:paraId="43D5B347">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600" w:firstLineChars="200"/>
        <w:textAlignment w:val="auto"/>
        <w:rPr>
          <w:rFonts w:hint="default" w:ascii="仿宋_GB2312" w:eastAsia="仿宋_GB2312"/>
          <w:kern w:val="0"/>
          <w:sz w:val="30"/>
          <w:szCs w:val="30"/>
          <w:highlight w:val="none"/>
          <w:lang w:val="en-US" w:eastAsia="zh-CN"/>
        </w:rPr>
      </w:pPr>
      <w:r>
        <w:rPr>
          <w:rFonts w:hint="eastAsia" w:ascii="仿宋_GB2312" w:eastAsia="仿宋_GB2312"/>
          <w:kern w:val="0"/>
          <w:sz w:val="30"/>
          <w:szCs w:val="30"/>
          <w:highlight w:val="none"/>
          <w:lang w:val="en-US" w:eastAsia="zh-CN"/>
        </w:rPr>
        <w:t>请注意：财资综附0</w:t>
      </w:r>
      <w:r>
        <w:rPr>
          <w:rFonts w:hint="eastAsia" w:ascii="仿宋_GB2312" w:eastAsia="仿宋_GB2312"/>
          <w:kern w:val="0"/>
          <w:sz w:val="30"/>
          <w:szCs w:val="30"/>
          <w:highlight w:val="none"/>
          <w:lang w:val="en-US" w:eastAsia="zh"/>
        </w:rPr>
        <w:t>4</w:t>
      </w:r>
      <w:r>
        <w:rPr>
          <w:rFonts w:hint="eastAsia" w:ascii="仿宋_GB2312" w:eastAsia="仿宋_GB2312"/>
          <w:kern w:val="0"/>
          <w:sz w:val="30"/>
          <w:szCs w:val="30"/>
          <w:highlight w:val="none"/>
          <w:lang w:val="en-US" w:eastAsia="zh-CN"/>
        </w:rPr>
        <w:t>表实体公物仓情况表需由中央部门一级主管部门、地方各级财政部门，根据本部门本地区情况进行手动填列。</w:t>
      </w:r>
    </w:p>
    <w:p w14:paraId="6113CBE6">
      <w:pPr>
        <w:pStyle w:val="2"/>
        <w:rPr>
          <w:rFonts w:hint="eastAsia"/>
          <w:b/>
          <w:color w:val="auto"/>
          <w:highlight w:val="none"/>
        </w:rPr>
      </w:pPr>
      <w:r>
        <w:rPr>
          <w:rFonts w:hint="eastAsia"/>
          <w:color w:val="auto"/>
          <w:highlight w:val="none"/>
        </w:rPr>
        <w:t>（</w:t>
      </w:r>
      <w:r>
        <w:rPr>
          <w:rFonts w:hint="eastAsia"/>
          <w:color w:val="auto"/>
          <w:highlight w:val="none"/>
          <w:lang w:val="en-US" w:eastAsia="zh-CN"/>
        </w:rPr>
        <w:t>十八</w:t>
      </w:r>
      <w:r>
        <w:rPr>
          <w:rFonts w:hint="eastAsia"/>
          <w:color w:val="auto"/>
          <w:highlight w:val="none"/>
        </w:rPr>
        <w:t>）</w:t>
      </w:r>
      <w:r>
        <w:rPr>
          <w:rFonts w:hint="eastAsia"/>
          <w:color w:val="auto"/>
          <w:highlight w:val="none"/>
          <w:lang w:val="en-US" w:eastAsia="zh-CN"/>
        </w:rPr>
        <w:t>全国资产调剂共享平台情况表</w:t>
      </w:r>
      <w:r>
        <w:rPr>
          <w:rFonts w:hint="eastAsia"/>
          <w:color w:val="auto"/>
          <w:highlight w:val="none"/>
        </w:rPr>
        <w:t>（</w:t>
      </w:r>
      <w:r>
        <w:rPr>
          <w:rFonts w:hint="eastAsia"/>
          <w:color w:val="auto"/>
          <w:highlight w:val="none"/>
          <w:lang w:val="en-US" w:eastAsia="zh-CN"/>
        </w:rPr>
        <w:t>财资综附05</w:t>
      </w:r>
      <w:r>
        <w:rPr>
          <w:rFonts w:hint="eastAsia"/>
          <w:color w:val="auto"/>
          <w:highlight w:val="none"/>
        </w:rPr>
        <w:t>）</w:t>
      </w:r>
    </w:p>
    <w:p w14:paraId="063DF397">
      <w:pPr>
        <w:adjustRightInd w:val="0"/>
        <w:snapToGrid w:val="0"/>
        <w:spacing w:line="360" w:lineRule="auto"/>
        <w:ind w:firstLine="600" w:firstLineChars="200"/>
        <w:rPr>
          <w:rFonts w:hint="eastAsia" w:ascii="仿宋_GB2312" w:eastAsia="仿宋_GB2312"/>
          <w:kern w:val="0"/>
          <w:sz w:val="30"/>
          <w:szCs w:val="30"/>
          <w:highlight w:val="none"/>
          <w:lang w:val="en-US" w:eastAsia="zh-CN"/>
        </w:rPr>
      </w:pPr>
      <w:r>
        <w:rPr>
          <w:rFonts w:hint="eastAsia" w:ascii="仿宋_GB2312" w:eastAsia="仿宋_GB2312"/>
          <w:kern w:val="0"/>
          <w:sz w:val="30"/>
          <w:szCs w:val="30"/>
          <w:highlight w:val="none"/>
          <w:lang w:val="en-US" w:eastAsia="zh-CN"/>
        </w:rPr>
        <w:t>资产调剂共享平台是指跨部门、跨地区、跨层级的资产调剂使用和共享共用平台。</w:t>
      </w:r>
      <w:r>
        <w:rPr>
          <w:rFonts w:hint="eastAsia" w:ascii="仿宋_GB2312" w:eastAsia="仿宋_GB2312"/>
          <w:kern w:val="0"/>
          <w:sz w:val="30"/>
          <w:szCs w:val="30"/>
          <w:highlight w:val="none"/>
        </w:rPr>
        <w:t>本表</w:t>
      </w:r>
      <w:r>
        <w:rPr>
          <w:rFonts w:hint="eastAsia" w:ascii="仿宋_GB2312" w:eastAsia="仿宋_GB2312"/>
          <w:kern w:val="0"/>
          <w:sz w:val="30"/>
          <w:szCs w:val="30"/>
          <w:highlight w:val="none"/>
          <w:lang w:val="en-US" w:eastAsia="zh-CN"/>
        </w:rPr>
        <w:t>由各省级财政部门根据本省、自治区、直辖市、计划单列市财政厅（局）实际情况手动填列。</w:t>
      </w:r>
    </w:p>
    <w:p w14:paraId="30D897C1">
      <w:pPr>
        <w:spacing w:line="360" w:lineRule="auto"/>
        <w:ind w:firstLine="578" w:firstLineChars="192"/>
        <w:rPr>
          <w:rFonts w:hint="eastAsia" w:ascii="仿宋_GB2312" w:hAnsi="等线" w:eastAsia="仿宋_GB2312"/>
          <w:b/>
          <w:sz w:val="30"/>
          <w:szCs w:val="30"/>
          <w:highlight w:val="none"/>
          <w:lang w:val="en-US" w:eastAsia="zh-CN"/>
        </w:rPr>
      </w:pPr>
      <w:r>
        <w:rPr>
          <w:rFonts w:hint="eastAsia" w:ascii="仿宋_GB2312" w:hAnsi="等线" w:eastAsia="仿宋_GB2312"/>
          <w:b/>
          <w:sz w:val="30"/>
          <w:szCs w:val="30"/>
          <w:highlight w:val="none"/>
          <w:lang w:val="en-US" w:eastAsia="zh-CN"/>
        </w:rPr>
        <w:t>主要指标解释：</w:t>
      </w:r>
    </w:p>
    <w:p w14:paraId="71D92018">
      <w:pPr>
        <w:spacing w:line="360" w:lineRule="auto"/>
        <w:ind w:firstLine="576" w:firstLineChars="192"/>
        <w:rPr>
          <w:rFonts w:hint="default" w:ascii="仿宋_GB2312" w:eastAsia="仿宋_GB2312"/>
          <w:kern w:val="0"/>
          <w:sz w:val="30"/>
          <w:szCs w:val="30"/>
          <w:highlight w:val="none"/>
          <w:lang w:val="en-US" w:eastAsia="zh-CN"/>
        </w:rPr>
      </w:pPr>
      <w:r>
        <w:rPr>
          <w:rFonts w:hint="eastAsia" w:ascii="仿宋_GB2312" w:eastAsia="仿宋_GB2312"/>
          <w:kern w:val="0"/>
          <w:sz w:val="30"/>
          <w:szCs w:val="30"/>
          <w:highlight w:val="none"/>
          <w:lang w:val="en-US" w:eastAsia="zh-CN"/>
        </w:rPr>
        <w:t>1.省级财政部门是否建立资产调剂共享平台：反映省级财政部门建立资产调剂共享平台情况，按照是、否填列。</w:t>
      </w:r>
    </w:p>
    <w:p w14:paraId="19B661D1">
      <w:pPr>
        <w:spacing w:line="360" w:lineRule="auto"/>
        <w:ind w:firstLine="576" w:firstLineChars="192"/>
        <w:rPr>
          <w:rFonts w:hint="eastAsia" w:ascii="仿宋_GB2312" w:eastAsia="仿宋_GB2312"/>
          <w:kern w:val="0"/>
          <w:sz w:val="30"/>
          <w:szCs w:val="30"/>
          <w:highlight w:val="none"/>
          <w:lang w:val="en-US" w:eastAsia="zh-CN"/>
        </w:rPr>
      </w:pPr>
      <w:r>
        <w:rPr>
          <w:rFonts w:hint="eastAsia" w:ascii="仿宋_GB2312" w:eastAsia="仿宋_GB2312"/>
          <w:kern w:val="0"/>
          <w:sz w:val="30"/>
          <w:szCs w:val="30"/>
          <w:highlight w:val="none"/>
          <w:lang w:val="en-US" w:eastAsia="zh-CN"/>
        </w:rPr>
        <w:t>2.</w:t>
      </w:r>
      <w:r>
        <w:rPr>
          <w:rFonts w:hint="default" w:ascii="仿宋_GB2312" w:eastAsia="仿宋_GB2312"/>
          <w:kern w:val="0"/>
          <w:sz w:val="30"/>
          <w:szCs w:val="30"/>
          <w:highlight w:val="none"/>
          <w:lang w:val="en-US" w:eastAsia="zh-CN"/>
        </w:rPr>
        <w:t>是否基于预算管理一体化系统</w:t>
      </w:r>
      <w:r>
        <w:rPr>
          <w:rFonts w:hint="eastAsia" w:ascii="仿宋_GB2312" w:eastAsia="仿宋_GB2312"/>
          <w:kern w:val="0"/>
          <w:sz w:val="30"/>
          <w:szCs w:val="30"/>
          <w:highlight w:val="none"/>
          <w:lang w:val="en-US" w:eastAsia="zh-CN"/>
        </w:rPr>
        <w:t>：反映资产调剂共享平台是否基于预算管理一体化系统建设，按照是、否填列。若“省级财政部门是否建立资产调剂共享平台”选择“是”，本项必填。</w:t>
      </w:r>
    </w:p>
    <w:p w14:paraId="693DCBBE">
      <w:pPr>
        <w:spacing w:line="360" w:lineRule="auto"/>
        <w:ind w:firstLine="576" w:firstLineChars="192"/>
        <w:rPr>
          <w:rFonts w:hint="default" w:ascii="仿宋_GB2312" w:eastAsia="仿宋_GB2312"/>
          <w:kern w:val="0"/>
          <w:sz w:val="30"/>
          <w:szCs w:val="30"/>
          <w:highlight w:val="none"/>
          <w:lang w:val="en-US" w:eastAsia="zh-CN"/>
        </w:rPr>
      </w:pPr>
      <w:r>
        <w:rPr>
          <w:rFonts w:hint="eastAsia" w:ascii="仿宋_GB2312" w:eastAsia="仿宋_GB2312"/>
          <w:kern w:val="0"/>
          <w:sz w:val="30"/>
          <w:szCs w:val="30"/>
          <w:highlight w:val="none"/>
          <w:lang w:val="en-US" w:eastAsia="zh-CN"/>
        </w:rPr>
        <w:t>3.建设开始日期：反映实际开始建设资产调剂共享平台的时间，如XX年XX月。</w:t>
      </w:r>
    </w:p>
    <w:p w14:paraId="0CD41C16">
      <w:pPr>
        <w:spacing w:line="360" w:lineRule="auto"/>
        <w:ind w:firstLine="576" w:firstLineChars="192"/>
        <w:rPr>
          <w:rFonts w:hint="eastAsia" w:ascii="仿宋_GB2312" w:eastAsia="仿宋_GB2312"/>
          <w:kern w:val="0"/>
          <w:sz w:val="30"/>
          <w:szCs w:val="30"/>
          <w:highlight w:val="none"/>
          <w:lang w:val="en-US" w:eastAsia="zh-CN"/>
        </w:rPr>
      </w:pPr>
      <w:r>
        <w:rPr>
          <w:rFonts w:hint="eastAsia" w:ascii="仿宋_GB2312" w:eastAsia="仿宋_GB2312"/>
          <w:kern w:val="0"/>
          <w:sz w:val="30"/>
          <w:szCs w:val="30"/>
          <w:highlight w:val="none"/>
          <w:lang w:val="en-US" w:eastAsia="zh-CN"/>
        </w:rPr>
        <w:t>4.启用日期：反映资产调剂共享平台投入使用的时间，如XX年XX月。</w:t>
      </w:r>
    </w:p>
    <w:p w14:paraId="76E89BFA">
      <w:pPr>
        <w:spacing w:line="360" w:lineRule="auto"/>
        <w:ind w:firstLine="576" w:firstLineChars="192"/>
        <w:rPr>
          <w:rFonts w:hint="default" w:ascii="仿宋_GB2312" w:eastAsia="仿宋_GB2312"/>
          <w:kern w:val="0"/>
          <w:sz w:val="30"/>
          <w:szCs w:val="30"/>
          <w:highlight w:val="none"/>
          <w:lang w:val="en-US" w:eastAsia="zh-CN"/>
        </w:rPr>
      </w:pPr>
      <w:r>
        <w:rPr>
          <w:rFonts w:hint="eastAsia" w:ascii="仿宋_GB2312" w:eastAsia="仿宋_GB2312"/>
          <w:kern w:val="0"/>
          <w:sz w:val="30"/>
          <w:szCs w:val="30"/>
          <w:highlight w:val="none"/>
          <w:lang w:val="en-US" w:eastAsia="zh-CN"/>
        </w:rPr>
        <w:t>5.开发成本：反映资产调剂共享平台在开发阶段所发生的全部成本。</w:t>
      </w:r>
    </w:p>
    <w:p w14:paraId="39AADC34">
      <w:pPr>
        <w:spacing w:line="360" w:lineRule="auto"/>
        <w:ind w:firstLine="576" w:firstLineChars="192"/>
        <w:rPr>
          <w:rFonts w:hint="default" w:ascii="仿宋_GB2312" w:eastAsia="仿宋_GB2312"/>
          <w:kern w:val="0"/>
          <w:sz w:val="30"/>
          <w:szCs w:val="30"/>
          <w:highlight w:val="none"/>
          <w:lang w:val="en-US" w:eastAsia="zh-CN"/>
        </w:rPr>
      </w:pPr>
      <w:r>
        <w:rPr>
          <w:rFonts w:hint="eastAsia" w:ascii="仿宋_GB2312" w:eastAsia="仿宋_GB2312"/>
          <w:kern w:val="0"/>
          <w:sz w:val="30"/>
          <w:szCs w:val="30"/>
          <w:highlight w:val="none"/>
          <w:lang w:val="en-US" w:eastAsia="zh-CN"/>
        </w:rPr>
        <w:t>6.</w:t>
      </w:r>
      <w:r>
        <w:rPr>
          <w:rFonts w:hint="default" w:ascii="仿宋_GB2312" w:eastAsia="仿宋_GB2312"/>
          <w:kern w:val="0"/>
          <w:sz w:val="30"/>
          <w:szCs w:val="30"/>
          <w:highlight w:val="none"/>
          <w:lang w:val="en-US" w:eastAsia="zh-CN"/>
        </w:rPr>
        <w:t>是否覆盖全省各级各类行政事业单位</w:t>
      </w:r>
      <w:r>
        <w:rPr>
          <w:rFonts w:hint="eastAsia" w:ascii="仿宋_GB2312" w:eastAsia="仿宋_GB2312"/>
          <w:kern w:val="0"/>
          <w:sz w:val="30"/>
          <w:szCs w:val="30"/>
          <w:highlight w:val="none"/>
          <w:lang w:val="en-US" w:eastAsia="zh-CN"/>
        </w:rPr>
        <w:t>：按照是、否填列。</w:t>
      </w:r>
    </w:p>
    <w:p w14:paraId="6FBBAC30">
      <w:pPr>
        <w:spacing w:line="360" w:lineRule="auto"/>
        <w:ind w:firstLine="576" w:firstLineChars="192"/>
        <w:rPr>
          <w:rFonts w:hint="eastAsia" w:ascii="仿宋_GB2312" w:eastAsia="仿宋_GB2312"/>
          <w:kern w:val="0"/>
          <w:sz w:val="30"/>
          <w:szCs w:val="30"/>
          <w:highlight w:val="none"/>
          <w:lang w:val="en-US" w:eastAsia="zh-CN"/>
        </w:rPr>
      </w:pPr>
      <w:r>
        <w:rPr>
          <w:rFonts w:hint="eastAsia" w:ascii="仿宋_GB2312" w:eastAsia="仿宋_GB2312"/>
          <w:kern w:val="0"/>
          <w:sz w:val="30"/>
          <w:szCs w:val="30"/>
          <w:highlight w:val="none"/>
          <w:lang w:val="en-US" w:eastAsia="zh-CN"/>
        </w:rPr>
        <w:t>7.覆盖单位范围：反映资产调剂共享平台覆盖的单位范围，如省直所有行政事业单位。若“</w:t>
      </w:r>
      <w:r>
        <w:rPr>
          <w:rFonts w:hint="default" w:ascii="仿宋_GB2312" w:eastAsia="仿宋_GB2312"/>
          <w:kern w:val="0"/>
          <w:sz w:val="30"/>
          <w:szCs w:val="30"/>
          <w:highlight w:val="none"/>
          <w:lang w:val="en-US" w:eastAsia="zh-CN"/>
        </w:rPr>
        <w:t>是否覆盖全省各级各类行政事业单位</w:t>
      </w:r>
      <w:r>
        <w:rPr>
          <w:rFonts w:hint="eastAsia" w:ascii="仿宋_GB2312" w:eastAsia="仿宋_GB2312"/>
          <w:kern w:val="0"/>
          <w:sz w:val="30"/>
          <w:szCs w:val="30"/>
          <w:highlight w:val="none"/>
          <w:lang w:val="en-US" w:eastAsia="zh-CN"/>
        </w:rPr>
        <w:t>”选择“否”，本项必填。</w:t>
      </w:r>
    </w:p>
    <w:p w14:paraId="0AD82B64">
      <w:pPr>
        <w:spacing w:line="360" w:lineRule="auto"/>
        <w:ind w:firstLine="576" w:firstLineChars="192"/>
        <w:rPr>
          <w:rFonts w:hint="eastAsia" w:ascii="仿宋_GB2312" w:eastAsia="仿宋_GB2312"/>
          <w:kern w:val="0"/>
          <w:sz w:val="30"/>
          <w:szCs w:val="30"/>
          <w:highlight w:val="none"/>
          <w:lang w:val="en-US" w:eastAsia="zh-CN"/>
        </w:rPr>
      </w:pPr>
      <w:r>
        <w:rPr>
          <w:rFonts w:hint="eastAsia" w:ascii="仿宋_GB2312" w:eastAsia="仿宋_GB2312"/>
          <w:kern w:val="0"/>
          <w:sz w:val="30"/>
          <w:szCs w:val="30"/>
          <w:highlight w:val="none"/>
          <w:lang w:val="en-US" w:eastAsia="zh-CN"/>
        </w:rPr>
        <w:t>8.</w:t>
      </w:r>
      <w:r>
        <w:rPr>
          <w:rFonts w:hint="default" w:ascii="仿宋_GB2312" w:eastAsia="仿宋_GB2312"/>
          <w:kern w:val="0"/>
          <w:sz w:val="30"/>
          <w:szCs w:val="30"/>
          <w:highlight w:val="none"/>
          <w:lang w:val="en-US" w:eastAsia="zh-CN"/>
        </w:rPr>
        <w:t>本年</w:t>
      </w:r>
      <w:r>
        <w:rPr>
          <w:rFonts w:hint="eastAsia" w:ascii="仿宋_GB2312" w:eastAsia="仿宋_GB2312"/>
          <w:kern w:val="0"/>
          <w:sz w:val="30"/>
          <w:szCs w:val="30"/>
          <w:highlight w:val="none"/>
          <w:lang w:val="en-US" w:eastAsia="zh-CN"/>
        </w:rPr>
        <w:t>资产</w:t>
      </w:r>
      <w:r>
        <w:rPr>
          <w:rFonts w:hint="default" w:ascii="仿宋_GB2312" w:eastAsia="仿宋_GB2312"/>
          <w:kern w:val="0"/>
          <w:sz w:val="30"/>
          <w:szCs w:val="30"/>
          <w:highlight w:val="none"/>
          <w:lang w:val="en-US" w:eastAsia="zh-CN"/>
        </w:rPr>
        <w:t>调剂共享平台接收资产情况</w:t>
      </w:r>
      <w:r>
        <w:rPr>
          <w:rFonts w:hint="eastAsia" w:ascii="仿宋_GB2312" w:eastAsia="仿宋_GB2312"/>
          <w:kern w:val="0"/>
          <w:sz w:val="30"/>
          <w:szCs w:val="30"/>
          <w:highlight w:val="none"/>
          <w:lang w:val="en-US" w:eastAsia="zh-CN"/>
        </w:rPr>
        <w:t>：反映本年资产调剂共享平台中接收单位闲置、低效资产的情况。</w:t>
      </w:r>
    </w:p>
    <w:p w14:paraId="10EA0BA6">
      <w:pPr>
        <w:spacing w:line="360" w:lineRule="auto"/>
        <w:ind w:firstLine="576" w:firstLineChars="192"/>
        <w:rPr>
          <w:rFonts w:hint="default" w:ascii="仿宋_GB2312" w:eastAsia="仿宋_GB2312"/>
          <w:kern w:val="0"/>
          <w:sz w:val="30"/>
          <w:szCs w:val="30"/>
          <w:highlight w:val="none"/>
          <w:lang w:val="en-US" w:eastAsia="zh-CN"/>
        </w:rPr>
      </w:pPr>
      <w:r>
        <w:rPr>
          <w:rFonts w:hint="eastAsia" w:ascii="仿宋_GB2312" w:eastAsia="仿宋_GB2312"/>
          <w:kern w:val="0"/>
          <w:sz w:val="30"/>
          <w:szCs w:val="30"/>
          <w:highlight w:val="none"/>
          <w:lang w:val="en-US" w:eastAsia="zh-CN"/>
        </w:rPr>
        <w:t>9</w:t>
      </w:r>
      <w:r>
        <w:rPr>
          <w:rFonts w:hint="default" w:ascii="仿宋_GB2312" w:eastAsia="仿宋_GB2312"/>
          <w:kern w:val="0"/>
          <w:sz w:val="30"/>
          <w:szCs w:val="30"/>
          <w:highlight w:val="none"/>
          <w:lang w:val="en-US" w:eastAsia="zh-CN"/>
        </w:rPr>
        <w:t>本年</w:t>
      </w:r>
      <w:r>
        <w:rPr>
          <w:rFonts w:hint="eastAsia" w:ascii="仿宋_GB2312" w:eastAsia="仿宋_GB2312"/>
          <w:kern w:val="0"/>
          <w:sz w:val="30"/>
          <w:szCs w:val="30"/>
          <w:highlight w:val="none"/>
          <w:lang w:val="en-US" w:eastAsia="zh-CN"/>
        </w:rPr>
        <w:t>资产</w:t>
      </w:r>
      <w:r>
        <w:rPr>
          <w:rFonts w:hint="default" w:ascii="仿宋_GB2312" w:eastAsia="仿宋_GB2312"/>
          <w:kern w:val="0"/>
          <w:sz w:val="30"/>
          <w:szCs w:val="30"/>
          <w:highlight w:val="none"/>
          <w:lang w:val="en-US" w:eastAsia="zh-CN"/>
        </w:rPr>
        <w:t>调剂共享平台</w:t>
      </w:r>
      <w:r>
        <w:rPr>
          <w:rFonts w:hint="eastAsia" w:ascii="仿宋_GB2312" w:eastAsia="仿宋_GB2312"/>
          <w:kern w:val="0"/>
          <w:sz w:val="30"/>
          <w:szCs w:val="30"/>
          <w:highlight w:val="none"/>
          <w:lang w:val="en-US" w:eastAsia="zh-CN"/>
        </w:rPr>
        <w:t>调剂</w:t>
      </w:r>
      <w:r>
        <w:rPr>
          <w:rFonts w:hint="default" w:ascii="仿宋_GB2312" w:eastAsia="仿宋_GB2312"/>
          <w:kern w:val="0"/>
          <w:sz w:val="30"/>
          <w:szCs w:val="30"/>
          <w:highlight w:val="none"/>
          <w:lang w:val="en-US" w:eastAsia="zh-CN"/>
        </w:rPr>
        <w:t>资产情况</w:t>
      </w:r>
      <w:r>
        <w:rPr>
          <w:rFonts w:hint="eastAsia" w:ascii="仿宋_GB2312" w:eastAsia="仿宋_GB2312"/>
          <w:kern w:val="0"/>
          <w:sz w:val="30"/>
          <w:szCs w:val="30"/>
          <w:highlight w:val="none"/>
          <w:lang w:val="en-US" w:eastAsia="zh-CN"/>
        </w:rPr>
        <w:t>：反映本年通过资产调剂共享平台满足单位需要，调出的资产情况。</w:t>
      </w:r>
    </w:p>
    <w:p w14:paraId="6C11F783">
      <w:pPr>
        <w:spacing w:line="360" w:lineRule="auto"/>
        <w:ind w:firstLine="576" w:firstLineChars="192"/>
        <w:rPr>
          <w:rFonts w:hint="eastAsia" w:ascii="仿宋_GB2312" w:eastAsia="仿宋_GB2312"/>
          <w:kern w:val="0"/>
          <w:sz w:val="30"/>
          <w:szCs w:val="30"/>
          <w:highlight w:val="none"/>
          <w:lang w:val="en-US" w:eastAsia="zh-CN"/>
        </w:rPr>
      </w:pPr>
      <w:r>
        <w:rPr>
          <w:rFonts w:hint="eastAsia" w:ascii="仿宋_GB2312" w:eastAsia="仿宋_GB2312"/>
          <w:kern w:val="0"/>
          <w:sz w:val="30"/>
          <w:szCs w:val="30"/>
          <w:highlight w:val="none"/>
          <w:lang w:val="en-US" w:eastAsia="zh-CN"/>
        </w:rPr>
        <w:t>10.建立激励约束机制，推动通过资产调剂共享平台盘活资产情况：反映依据资产调剂共享平台建立激励约束机制的具体举措，如将资产调剂共享平台使用情况纳入行政事业单位绩效考核；推动通过资产调剂共享平台盘活资产的具体成效情况。</w:t>
      </w:r>
    </w:p>
    <w:p w14:paraId="56F46F23">
      <w:pPr>
        <w:snapToGrid w:val="0"/>
        <w:spacing w:line="360" w:lineRule="auto"/>
        <w:ind w:firstLine="626" w:firstLineChars="200"/>
        <w:rPr>
          <w:rFonts w:hint="eastAsia" w:ascii="仿宋_GB2312" w:hAnsi="仿宋" w:eastAsia="仿宋_GB2312"/>
          <w:b/>
          <w:spacing w:val="6"/>
          <w:sz w:val="30"/>
          <w:szCs w:val="30"/>
          <w:highlight w:val="none"/>
        </w:rPr>
      </w:pPr>
      <w:r>
        <w:rPr>
          <w:rFonts w:hint="eastAsia" w:ascii="仿宋_GB2312" w:hAnsi="仿宋" w:eastAsia="仿宋_GB2312"/>
          <w:b/>
          <w:spacing w:val="6"/>
          <w:sz w:val="30"/>
          <w:szCs w:val="30"/>
          <w:highlight w:val="none"/>
        </w:rPr>
        <w:t>逻辑性审核公式：</w:t>
      </w:r>
    </w:p>
    <w:p w14:paraId="5EFC1677">
      <w:pPr>
        <w:snapToGrid w:val="0"/>
        <w:spacing w:line="360" w:lineRule="auto"/>
        <w:ind w:firstLine="626" w:firstLineChars="200"/>
        <w:rPr>
          <w:rFonts w:hint="eastAsia" w:ascii="仿宋_GB2312" w:hAnsi="仿宋" w:eastAsia="仿宋_GB2312"/>
          <w:b/>
          <w:spacing w:val="6"/>
          <w:sz w:val="30"/>
          <w:szCs w:val="30"/>
          <w:highlight w:val="none"/>
        </w:rPr>
      </w:pPr>
      <w:r>
        <w:rPr>
          <w:rFonts w:hint="eastAsia" w:ascii="仿宋_GB2312" w:hAnsi="仿宋" w:eastAsia="仿宋_GB2312"/>
          <w:b/>
          <w:spacing w:val="6"/>
          <w:sz w:val="30"/>
          <w:szCs w:val="30"/>
          <w:highlight w:val="none"/>
        </w:rPr>
        <w:t>表内公式：</w:t>
      </w:r>
    </w:p>
    <w:p w14:paraId="6D6C4CDB">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600" w:firstLineChars="200"/>
        <w:textAlignment w:val="auto"/>
        <w:rPr>
          <w:rFonts w:hint="default" w:ascii="仿宋_GB2312" w:eastAsia="仿宋_GB2312"/>
          <w:kern w:val="0"/>
          <w:sz w:val="30"/>
          <w:szCs w:val="30"/>
          <w:highlight w:val="none"/>
          <w:lang w:val="en-US" w:eastAsia="zh-CN"/>
        </w:rPr>
      </w:pPr>
      <w:r>
        <w:rPr>
          <w:rFonts w:hint="eastAsia" w:ascii="仿宋_GB2312" w:eastAsia="仿宋_GB2312"/>
          <w:kern w:val="0"/>
          <w:sz w:val="30"/>
          <w:szCs w:val="30"/>
          <w:highlight w:val="none"/>
          <w:lang w:val="en-US" w:eastAsia="zh-CN"/>
        </w:rPr>
        <w:t>当省级财政部门是否建立资产调剂共享平台（2栏）为“是”时，是否基于预算管理一体化系统（3栏）、是否覆盖全省各级各类行政事业单位（7栏）必填；</w:t>
      </w:r>
    </w:p>
    <w:p w14:paraId="04F3315C">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600" w:firstLineChars="200"/>
        <w:textAlignment w:val="auto"/>
        <w:rPr>
          <w:rFonts w:hint="default" w:ascii="仿宋_GB2312" w:eastAsia="仿宋_GB2312"/>
          <w:kern w:val="0"/>
          <w:sz w:val="30"/>
          <w:szCs w:val="30"/>
          <w:highlight w:val="none"/>
          <w:lang w:val="en-US" w:eastAsia="zh-CN"/>
        </w:rPr>
      </w:pPr>
      <w:r>
        <w:rPr>
          <w:rFonts w:hint="eastAsia" w:ascii="仿宋_GB2312" w:eastAsia="仿宋_GB2312"/>
          <w:kern w:val="0"/>
          <w:sz w:val="30"/>
          <w:szCs w:val="30"/>
          <w:highlight w:val="none"/>
          <w:lang w:val="en-US" w:eastAsia="zh-CN"/>
        </w:rPr>
        <w:t>当</w:t>
      </w:r>
      <w:r>
        <w:rPr>
          <w:rFonts w:hint="default" w:ascii="仿宋_GB2312" w:eastAsia="仿宋_GB2312"/>
          <w:kern w:val="0"/>
          <w:sz w:val="30"/>
          <w:szCs w:val="30"/>
          <w:highlight w:val="none"/>
          <w:lang w:val="en-US" w:eastAsia="zh-CN"/>
        </w:rPr>
        <w:t>是否覆盖全省各级各类行政事业单位</w:t>
      </w:r>
      <w:r>
        <w:rPr>
          <w:rFonts w:hint="eastAsia" w:ascii="仿宋_GB2312" w:eastAsia="仿宋_GB2312"/>
          <w:kern w:val="0"/>
          <w:sz w:val="30"/>
          <w:szCs w:val="30"/>
          <w:highlight w:val="none"/>
          <w:lang w:val="en-US" w:eastAsia="zh-CN"/>
        </w:rPr>
        <w:t>为“是”时，覆盖单位范围（8栏）必填；</w:t>
      </w:r>
    </w:p>
    <w:p w14:paraId="20D92DC1">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600" w:firstLineChars="200"/>
        <w:textAlignment w:val="auto"/>
        <w:rPr>
          <w:rFonts w:hint="default" w:ascii="仿宋_GB2312" w:eastAsia="仿宋_GB2312"/>
          <w:kern w:val="0"/>
          <w:sz w:val="30"/>
          <w:szCs w:val="30"/>
          <w:highlight w:val="none"/>
          <w:lang w:val="en-US" w:eastAsia="zh-CN"/>
        </w:rPr>
      </w:pPr>
      <w:r>
        <w:rPr>
          <w:rFonts w:hint="eastAsia" w:ascii="仿宋_GB2312" w:eastAsia="仿宋_GB2312"/>
          <w:kern w:val="0"/>
          <w:sz w:val="30"/>
          <w:szCs w:val="30"/>
          <w:highlight w:val="none"/>
          <w:lang w:val="en-US" w:eastAsia="zh-CN"/>
        </w:rPr>
        <w:t>本年调剂共享平台接收资产情况合计栏（10~11栏）应等于各类资产设备（13~14栏）、房屋（16~17栏）、家具（19~20栏）、其他资产（22~23栏）对应栏次之和；</w:t>
      </w:r>
    </w:p>
    <w:p w14:paraId="05EF2A00">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600" w:firstLineChars="200"/>
        <w:textAlignment w:val="auto"/>
        <w:rPr>
          <w:rFonts w:hint="default" w:ascii="仿宋_GB2312" w:eastAsia="仿宋_GB2312"/>
          <w:kern w:val="0"/>
          <w:sz w:val="30"/>
          <w:szCs w:val="30"/>
          <w:highlight w:val="none"/>
          <w:lang w:val="en-US" w:eastAsia="zh-CN"/>
        </w:rPr>
      </w:pPr>
      <w:r>
        <w:rPr>
          <w:rFonts w:hint="eastAsia" w:ascii="仿宋_GB2312" w:eastAsia="仿宋_GB2312"/>
          <w:kern w:val="0"/>
          <w:sz w:val="30"/>
          <w:szCs w:val="30"/>
          <w:highlight w:val="none"/>
          <w:lang w:val="en-US" w:eastAsia="zh-CN"/>
        </w:rPr>
        <w:t>本年调剂共享平台调剂资产情况合计栏（25~26栏）应等于各类资产设备（28~29栏）、房屋（31~32栏）、家具（34~35栏）、其他资产（37~38栏）对应栏次之和；</w:t>
      </w:r>
    </w:p>
    <w:p w14:paraId="5937C117">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600" w:firstLineChars="200"/>
        <w:textAlignment w:val="auto"/>
        <w:rPr>
          <w:rFonts w:hint="default" w:ascii="仿宋_GB2312" w:eastAsia="仿宋_GB2312"/>
          <w:kern w:val="0"/>
          <w:sz w:val="30"/>
          <w:szCs w:val="30"/>
          <w:highlight w:val="none"/>
          <w:lang w:val="en-US" w:eastAsia="zh-CN"/>
        </w:rPr>
      </w:pPr>
      <w:r>
        <w:rPr>
          <w:rFonts w:hint="eastAsia" w:ascii="仿宋_GB2312" w:eastAsia="仿宋_GB2312"/>
          <w:kern w:val="0"/>
          <w:sz w:val="30"/>
          <w:szCs w:val="30"/>
          <w:highlight w:val="none"/>
          <w:lang w:val="en-US" w:eastAsia="zh-CN"/>
        </w:rPr>
        <w:t>原值大于等于净值。</w:t>
      </w:r>
    </w:p>
    <w:p w14:paraId="755B5453">
      <w:pPr>
        <w:snapToGrid w:val="0"/>
        <w:spacing w:line="360" w:lineRule="auto"/>
        <w:ind w:firstLine="626" w:firstLineChars="200"/>
        <w:rPr>
          <w:rFonts w:hint="eastAsia" w:ascii="仿宋_GB2312" w:hAnsi="仿宋" w:eastAsia="仿宋_GB2312"/>
          <w:b/>
          <w:spacing w:val="6"/>
          <w:sz w:val="30"/>
          <w:szCs w:val="30"/>
          <w:highlight w:val="none"/>
          <w:lang w:val="en-US" w:eastAsia="zh-CN"/>
        </w:rPr>
      </w:pPr>
      <w:r>
        <w:rPr>
          <w:rFonts w:hint="eastAsia" w:ascii="仿宋_GB2312" w:hAnsi="仿宋" w:eastAsia="仿宋_GB2312"/>
          <w:b/>
          <w:spacing w:val="6"/>
          <w:sz w:val="30"/>
          <w:szCs w:val="30"/>
          <w:highlight w:val="none"/>
          <w:lang w:val="en-US" w:eastAsia="zh-CN"/>
        </w:rPr>
        <w:t>提示公式：</w:t>
      </w:r>
    </w:p>
    <w:p w14:paraId="2AF11DF2">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600" w:firstLineChars="200"/>
        <w:textAlignment w:val="auto"/>
        <w:rPr>
          <w:rFonts w:hint="eastAsia" w:ascii="仿宋_GB2312" w:eastAsia="仿宋_GB2312"/>
          <w:kern w:val="0"/>
          <w:sz w:val="30"/>
          <w:szCs w:val="30"/>
          <w:highlight w:val="none"/>
          <w:lang w:val="en-US" w:eastAsia="zh-CN"/>
        </w:rPr>
      </w:pPr>
      <w:r>
        <w:rPr>
          <w:rFonts w:hint="eastAsia" w:ascii="仿宋_GB2312" w:eastAsia="仿宋_GB2312"/>
          <w:kern w:val="0"/>
          <w:sz w:val="30"/>
          <w:szCs w:val="30"/>
          <w:highlight w:val="none"/>
          <w:lang w:val="en-US" w:eastAsia="zh-CN"/>
        </w:rPr>
        <w:t>请注意：财资综附0</w:t>
      </w:r>
      <w:r>
        <w:rPr>
          <w:rFonts w:hint="eastAsia" w:ascii="仿宋_GB2312" w:eastAsia="仿宋_GB2312"/>
          <w:kern w:val="0"/>
          <w:sz w:val="30"/>
          <w:szCs w:val="30"/>
          <w:highlight w:val="none"/>
          <w:lang w:val="en-US" w:eastAsia="zh"/>
        </w:rPr>
        <w:t>5</w:t>
      </w:r>
      <w:r>
        <w:rPr>
          <w:rFonts w:hint="eastAsia" w:ascii="仿宋_GB2312" w:eastAsia="仿宋_GB2312"/>
          <w:kern w:val="0"/>
          <w:sz w:val="30"/>
          <w:szCs w:val="30"/>
          <w:highlight w:val="none"/>
          <w:lang w:val="en-US" w:eastAsia="zh-CN"/>
        </w:rPr>
        <w:t>表全国资产调剂共享平台情况表需由各省级财政部门根据本省、自治区、直辖市、计划单列市财政厅（局）实际情况手动填列。</w:t>
      </w:r>
    </w:p>
    <w:p w14:paraId="6CCDD23E">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仿宋_GB2312" w:eastAsia="仿宋_GB2312"/>
          <w:kern w:val="0"/>
          <w:sz w:val="30"/>
          <w:szCs w:val="30"/>
          <w:highlight w:val="none"/>
          <w:lang w:val="en-US" w:eastAsia="zh-CN"/>
        </w:rPr>
      </w:pPr>
    </w:p>
    <w:p w14:paraId="07B782B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ascii="仿宋_GB2312" w:eastAsia="仿宋_GB2312"/>
          <w:kern w:val="0"/>
          <w:sz w:val="30"/>
          <w:szCs w:val="30"/>
          <w:highlight w:val="none"/>
          <w:lang w:val="en-US" w:eastAsia="zh-CN"/>
        </w:rPr>
      </w:pPr>
    </w:p>
    <w:p w14:paraId="7BA33709">
      <w:pPr>
        <w:rPr>
          <w:highlight w:val="none"/>
        </w:rPr>
      </w:pPr>
    </w:p>
    <w:p w14:paraId="2A9132FB">
      <w:pPr>
        <w:rPr>
          <w:highlight w:val="none"/>
        </w:rPr>
      </w:pPr>
    </w:p>
    <w:sectPr>
      <w:footerReference r:id="rId3" w:type="default"/>
      <w:footerReference r:id="rId4" w:type="even"/>
      <w:pgSz w:w="11906" w:h="16838"/>
      <w:pgMar w:top="1440" w:right="1797" w:bottom="1440" w:left="1797" w:header="851" w:footer="992"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51C3B02-7B2A-4597-8057-D5D0A6F46777}"/>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F7FF8018-8F91-4EFD-A9F0-F47AD6E8586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4307DF86-5F01-4797-871C-DE3D16B4E2A8}"/>
  </w:font>
  <w:font w:name="仿宋_GB2312">
    <w:panose1 w:val="02010609030101010101"/>
    <w:charset w:val="86"/>
    <w:family w:val="modern"/>
    <w:pitch w:val="default"/>
    <w:sig w:usb0="00000001" w:usb1="080E0000" w:usb2="00000000" w:usb3="00000000" w:csb0="00040000" w:csb1="00000000"/>
    <w:embedRegular r:id="rId4" w:fontKey="{7BEC56A6-E4E6-42CA-8787-4C2DC64FEACC}"/>
  </w:font>
  <w:font w:name="楷体_GB2312">
    <w:altName w:val="楷体"/>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embedRegular r:id="rId5" w:fontKey="{36C980E6-0E87-4BD1-B3FE-410EDF1DCAA0}"/>
  </w:font>
  <w:font w:name="仿宋">
    <w:panose1 w:val="02010609060101010101"/>
    <w:charset w:val="86"/>
    <w:family w:val="modern"/>
    <w:pitch w:val="default"/>
    <w:sig w:usb0="800002BF" w:usb1="38CF7CFA" w:usb2="00000016" w:usb3="00000000" w:csb0="00040001" w:csb1="00000000"/>
    <w:embedRegular r:id="rId6" w:fontKey="{8682BA54-8694-46BE-AA8A-213338FE5028}"/>
  </w:font>
  <w:font w:name="方正小标宋简体">
    <w:panose1 w:val="02000000000000000000"/>
    <w:charset w:val="86"/>
    <w:family w:val="script"/>
    <w:pitch w:val="default"/>
    <w:sig w:usb0="00000001" w:usb1="080E0000" w:usb2="00000000" w:usb3="00000000" w:csb0="00040000" w:csb1="00000000"/>
    <w:embedRegular r:id="rId7" w:fontKey="{CC64ADEB-EBC3-4E30-AAAE-4284BB6AABD7}"/>
  </w:font>
  <w:font w:name="楷体">
    <w:panose1 w:val="02010609060101010101"/>
    <w:charset w:val="86"/>
    <w:family w:val="modern"/>
    <w:pitch w:val="default"/>
    <w:sig w:usb0="800002BF" w:usb1="38CF7CFA" w:usb2="00000016" w:usb3="00000000" w:csb0="00040001" w:csb1="00000000"/>
    <w:embedRegular r:id="rId8" w:fontKey="{2063C155-F8A6-4AD2-B6A7-7502658F07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2367E">
    <w:pPr>
      <w:pStyle w:val="8"/>
      <w:jc w:val="center"/>
      <w:rPr>
        <w:rFonts w:hint="eastAsia" w:ascii="宋体" w:hAnsi="宋体"/>
        <w:sz w:val="21"/>
      </w:rPr>
    </w:pPr>
    <w:r>
      <w:fldChar w:fldCharType="begin"/>
    </w:r>
    <w:r>
      <w:rPr>
        <w:rStyle w:val="14"/>
      </w:rPr>
      <w:instrText xml:space="preserve"> PAGE </w:instrText>
    </w:r>
    <w:r>
      <w:fldChar w:fldCharType="separate"/>
    </w:r>
    <w:r>
      <w:rPr>
        <w:rStyle w:val="14"/>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452E0">
    <w:pPr>
      <w:pStyle w:val="8"/>
      <w:framePr w:wrap="around" w:vAnchor="text" w:hAnchor="margin" w:xAlign="center" w:y="1"/>
      <w:rPr>
        <w:rStyle w:val="14"/>
      </w:rPr>
    </w:pPr>
    <w:r>
      <w:fldChar w:fldCharType="begin"/>
    </w:r>
    <w:r>
      <w:rPr>
        <w:rStyle w:val="14"/>
      </w:rPr>
      <w:instrText xml:space="preserve">PAGE  </w:instrText>
    </w:r>
    <w:r>
      <w:fldChar w:fldCharType="end"/>
    </w:r>
  </w:p>
  <w:p w14:paraId="71191F6A">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D7B624"/>
    <w:multiLevelType w:val="singleLevel"/>
    <w:tmpl w:val="95D7B624"/>
    <w:lvl w:ilvl="0" w:tentative="0">
      <w:start w:val="1"/>
      <w:numFmt w:val="bullet"/>
      <w:lvlText w:val=""/>
      <w:lvlJc w:val="left"/>
      <w:pPr>
        <w:ind w:left="420" w:hanging="420"/>
      </w:pPr>
      <w:rPr>
        <w:rFonts w:hint="default" w:ascii="Wingdings" w:hAnsi="Wingdings"/>
      </w:rPr>
    </w:lvl>
  </w:abstractNum>
  <w:abstractNum w:abstractNumId="1">
    <w:nsid w:val="FE373D42"/>
    <w:multiLevelType w:val="singleLevel"/>
    <w:tmpl w:val="FE373D42"/>
    <w:lvl w:ilvl="0" w:tentative="0">
      <w:start w:val="1"/>
      <w:numFmt w:val="bullet"/>
      <w:lvlText w:val=""/>
      <w:lvlJc w:val="left"/>
      <w:pPr>
        <w:ind w:left="420" w:hanging="420"/>
      </w:pPr>
      <w:rPr>
        <w:rFonts w:hint="default" w:ascii="Wingdings" w:hAnsi="Wingdings"/>
      </w:rPr>
    </w:lvl>
  </w:abstractNum>
  <w:abstractNum w:abstractNumId="2">
    <w:nsid w:val="FE773C03"/>
    <w:multiLevelType w:val="singleLevel"/>
    <w:tmpl w:val="FE773C03"/>
    <w:lvl w:ilvl="0" w:tentative="0">
      <w:start w:val="2"/>
      <w:numFmt w:val="decimal"/>
      <w:suff w:val="nothing"/>
      <w:lvlText w:val="（%1）"/>
      <w:lvlJc w:val="left"/>
    </w:lvl>
  </w:abstractNum>
  <w:abstractNum w:abstractNumId="3">
    <w:nsid w:val="FF7F792B"/>
    <w:multiLevelType w:val="singleLevel"/>
    <w:tmpl w:val="FF7F792B"/>
    <w:lvl w:ilvl="0" w:tentative="0">
      <w:start w:val="2"/>
      <w:numFmt w:val="decimal"/>
      <w:lvlText w:val="%1."/>
      <w:lvlJc w:val="left"/>
      <w:pPr>
        <w:tabs>
          <w:tab w:val="left" w:pos="312"/>
        </w:tabs>
      </w:pPr>
    </w:lvl>
  </w:abstractNum>
  <w:abstractNum w:abstractNumId="4">
    <w:nsid w:val="00000006"/>
    <w:multiLevelType w:val="multilevel"/>
    <w:tmpl w:val="00000006"/>
    <w:lvl w:ilvl="0" w:tentative="0">
      <w:start w:val="1"/>
      <w:numFmt w:val="bullet"/>
      <w:lvlText w:val=""/>
      <w:lvlJc w:val="left"/>
      <w:pPr>
        <w:ind w:left="996" w:hanging="420"/>
      </w:pPr>
      <w:rPr>
        <w:rFonts w:hint="default" w:ascii="Wingdings" w:hAnsi="Wingdings"/>
      </w:rPr>
    </w:lvl>
    <w:lvl w:ilvl="1" w:tentative="0">
      <w:start w:val="1"/>
      <w:numFmt w:val="bullet"/>
      <w:lvlText w:val=""/>
      <w:lvlJc w:val="left"/>
      <w:pPr>
        <w:ind w:left="1416" w:hanging="420"/>
      </w:pPr>
      <w:rPr>
        <w:rFonts w:hint="default" w:ascii="Wingdings" w:hAnsi="Wingdings"/>
      </w:rPr>
    </w:lvl>
    <w:lvl w:ilvl="2" w:tentative="0">
      <w:start w:val="1"/>
      <w:numFmt w:val="bullet"/>
      <w:lvlText w:val=""/>
      <w:lvlJc w:val="left"/>
      <w:pPr>
        <w:ind w:left="1836" w:hanging="420"/>
      </w:pPr>
      <w:rPr>
        <w:rFonts w:hint="default" w:ascii="Wingdings" w:hAnsi="Wingdings"/>
      </w:rPr>
    </w:lvl>
    <w:lvl w:ilvl="3" w:tentative="0">
      <w:start w:val="1"/>
      <w:numFmt w:val="bullet"/>
      <w:lvlText w:val=""/>
      <w:lvlJc w:val="left"/>
      <w:pPr>
        <w:ind w:left="2256" w:hanging="420"/>
      </w:pPr>
      <w:rPr>
        <w:rFonts w:hint="default" w:ascii="Wingdings" w:hAnsi="Wingdings"/>
      </w:rPr>
    </w:lvl>
    <w:lvl w:ilvl="4" w:tentative="0">
      <w:start w:val="1"/>
      <w:numFmt w:val="bullet"/>
      <w:lvlText w:val=""/>
      <w:lvlJc w:val="left"/>
      <w:pPr>
        <w:ind w:left="2676" w:hanging="420"/>
      </w:pPr>
      <w:rPr>
        <w:rFonts w:hint="default" w:ascii="Wingdings" w:hAnsi="Wingdings"/>
      </w:rPr>
    </w:lvl>
    <w:lvl w:ilvl="5" w:tentative="0">
      <w:start w:val="1"/>
      <w:numFmt w:val="bullet"/>
      <w:lvlText w:val=""/>
      <w:lvlJc w:val="left"/>
      <w:pPr>
        <w:ind w:left="3096" w:hanging="420"/>
      </w:pPr>
      <w:rPr>
        <w:rFonts w:hint="default" w:ascii="Wingdings" w:hAnsi="Wingdings"/>
      </w:rPr>
    </w:lvl>
    <w:lvl w:ilvl="6" w:tentative="0">
      <w:start w:val="1"/>
      <w:numFmt w:val="bullet"/>
      <w:lvlText w:val=""/>
      <w:lvlJc w:val="left"/>
      <w:pPr>
        <w:ind w:left="3516" w:hanging="420"/>
      </w:pPr>
      <w:rPr>
        <w:rFonts w:hint="default" w:ascii="Wingdings" w:hAnsi="Wingdings"/>
      </w:rPr>
    </w:lvl>
    <w:lvl w:ilvl="7" w:tentative="0">
      <w:start w:val="1"/>
      <w:numFmt w:val="bullet"/>
      <w:lvlText w:val=""/>
      <w:lvlJc w:val="left"/>
      <w:pPr>
        <w:ind w:left="3936" w:hanging="420"/>
      </w:pPr>
      <w:rPr>
        <w:rFonts w:hint="default" w:ascii="Wingdings" w:hAnsi="Wingdings"/>
      </w:rPr>
    </w:lvl>
    <w:lvl w:ilvl="8" w:tentative="0">
      <w:start w:val="1"/>
      <w:numFmt w:val="bullet"/>
      <w:lvlText w:val=""/>
      <w:lvlJc w:val="left"/>
      <w:pPr>
        <w:ind w:left="4356" w:hanging="420"/>
      </w:pPr>
      <w:rPr>
        <w:rFonts w:hint="default" w:ascii="Wingdings" w:hAnsi="Wingdings"/>
      </w:rPr>
    </w:lvl>
  </w:abstractNum>
  <w:abstractNum w:abstractNumId="5">
    <w:nsid w:val="02D96376"/>
    <w:multiLevelType w:val="multilevel"/>
    <w:tmpl w:val="02D96376"/>
    <w:lvl w:ilvl="0" w:tentative="0">
      <w:start w:val="1"/>
      <w:numFmt w:val="bullet"/>
      <w:lvlText w:val=""/>
      <w:lvlJc w:val="left"/>
      <w:pPr>
        <w:ind w:left="1020" w:hanging="420"/>
      </w:pPr>
      <w:rPr>
        <w:rFonts w:hint="default" w:ascii="Wingdings" w:hAnsi="Wingdings"/>
      </w:rPr>
    </w:lvl>
    <w:lvl w:ilvl="1" w:tentative="0">
      <w:start w:val="1"/>
      <w:numFmt w:val="bullet"/>
      <w:lvlText w:val=""/>
      <w:lvlJc w:val="left"/>
      <w:pPr>
        <w:ind w:left="1440" w:hanging="420"/>
      </w:pPr>
      <w:rPr>
        <w:rFonts w:hint="default" w:ascii="Wingdings" w:hAnsi="Wingdings"/>
      </w:rPr>
    </w:lvl>
    <w:lvl w:ilvl="2" w:tentative="0">
      <w:start w:val="1"/>
      <w:numFmt w:val="bullet"/>
      <w:lvlText w:val=""/>
      <w:lvlJc w:val="left"/>
      <w:pPr>
        <w:ind w:left="1860" w:hanging="420"/>
      </w:pPr>
      <w:rPr>
        <w:rFonts w:hint="default" w:ascii="Wingdings" w:hAnsi="Wingdings"/>
      </w:rPr>
    </w:lvl>
    <w:lvl w:ilvl="3" w:tentative="0">
      <w:start w:val="1"/>
      <w:numFmt w:val="bullet"/>
      <w:lvlText w:val=""/>
      <w:lvlJc w:val="left"/>
      <w:pPr>
        <w:ind w:left="2280" w:hanging="420"/>
      </w:pPr>
      <w:rPr>
        <w:rFonts w:hint="default" w:ascii="Wingdings" w:hAnsi="Wingdings"/>
      </w:rPr>
    </w:lvl>
    <w:lvl w:ilvl="4" w:tentative="0">
      <w:start w:val="1"/>
      <w:numFmt w:val="bullet"/>
      <w:lvlText w:val=""/>
      <w:lvlJc w:val="left"/>
      <w:pPr>
        <w:ind w:left="2700" w:hanging="420"/>
      </w:pPr>
      <w:rPr>
        <w:rFonts w:hint="default" w:ascii="Wingdings" w:hAnsi="Wingdings"/>
      </w:rPr>
    </w:lvl>
    <w:lvl w:ilvl="5" w:tentative="0">
      <w:start w:val="1"/>
      <w:numFmt w:val="bullet"/>
      <w:lvlText w:val=""/>
      <w:lvlJc w:val="left"/>
      <w:pPr>
        <w:ind w:left="3120" w:hanging="420"/>
      </w:pPr>
      <w:rPr>
        <w:rFonts w:hint="default" w:ascii="Wingdings" w:hAnsi="Wingdings"/>
      </w:rPr>
    </w:lvl>
    <w:lvl w:ilvl="6" w:tentative="0">
      <w:start w:val="1"/>
      <w:numFmt w:val="bullet"/>
      <w:lvlText w:val=""/>
      <w:lvlJc w:val="left"/>
      <w:pPr>
        <w:ind w:left="3540" w:hanging="420"/>
      </w:pPr>
      <w:rPr>
        <w:rFonts w:hint="default" w:ascii="Wingdings" w:hAnsi="Wingdings"/>
      </w:rPr>
    </w:lvl>
    <w:lvl w:ilvl="7" w:tentative="0">
      <w:start w:val="1"/>
      <w:numFmt w:val="bullet"/>
      <w:lvlText w:val=""/>
      <w:lvlJc w:val="left"/>
      <w:pPr>
        <w:ind w:left="3960" w:hanging="420"/>
      </w:pPr>
      <w:rPr>
        <w:rFonts w:hint="default" w:ascii="Wingdings" w:hAnsi="Wingdings"/>
      </w:rPr>
    </w:lvl>
    <w:lvl w:ilvl="8" w:tentative="0">
      <w:start w:val="1"/>
      <w:numFmt w:val="bullet"/>
      <w:lvlText w:val=""/>
      <w:lvlJc w:val="left"/>
      <w:pPr>
        <w:ind w:left="4380" w:hanging="420"/>
      </w:pPr>
      <w:rPr>
        <w:rFonts w:hint="default" w:ascii="Wingdings" w:hAnsi="Wingdings"/>
      </w:rPr>
    </w:lvl>
  </w:abstractNum>
  <w:abstractNum w:abstractNumId="6">
    <w:nsid w:val="44A70813"/>
    <w:multiLevelType w:val="multilevel"/>
    <w:tmpl w:val="44A70813"/>
    <w:lvl w:ilvl="0" w:tentative="0">
      <w:start w:val="1"/>
      <w:numFmt w:val="bullet"/>
      <w:lvlText w:val=""/>
      <w:lvlJc w:val="left"/>
      <w:pPr>
        <w:ind w:left="1020" w:hanging="420"/>
      </w:pPr>
      <w:rPr>
        <w:rFonts w:hint="default" w:ascii="Wingdings" w:hAnsi="Wingdings"/>
      </w:rPr>
    </w:lvl>
    <w:lvl w:ilvl="1" w:tentative="0">
      <w:start w:val="1"/>
      <w:numFmt w:val="bullet"/>
      <w:lvlText w:val=""/>
      <w:lvlJc w:val="left"/>
      <w:pPr>
        <w:ind w:left="1440" w:hanging="420"/>
      </w:pPr>
      <w:rPr>
        <w:rFonts w:hint="default" w:ascii="Wingdings" w:hAnsi="Wingdings"/>
      </w:rPr>
    </w:lvl>
    <w:lvl w:ilvl="2" w:tentative="0">
      <w:start w:val="1"/>
      <w:numFmt w:val="bullet"/>
      <w:lvlText w:val=""/>
      <w:lvlJc w:val="left"/>
      <w:pPr>
        <w:ind w:left="1860" w:hanging="420"/>
      </w:pPr>
      <w:rPr>
        <w:rFonts w:hint="default" w:ascii="Wingdings" w:hAnsi="Wingdings"/>
      </w:rPr>
    </w:lvl>
    <w:lvl w:ilvl="3" w:tentative="0">
      <w:start w:val="1"/>
      <w:numFmt w:val="bullet"/>
      <w:lvlText w:val=""/>
      <w:lvlJc w:val="left"/>
      <w:pPr>
        <w:ind w:left="2280" w:hanging="420"/>
      </w:pPr>
      <w:rPr>
        <w:rFonts w:hint="default" w:ascii="Wingdings" w:hAnsi="Wingdings"/>
      </w:rPr>
    </w:lvl>
    <w:lvl w:ilvl="4" w:tentative="0">
      <w:start w:val="1"/>
      <w:numFmt w:val="bullet"/>
      <w:lvlText w:val=""/>
      <w:lvlJc w:val="left"/>
      <w:pPr>
        <w:ind w:left="2700" w:hanging="420"/>
      </w:pPr>
      <w:rPr>
        <w:rFonts w:hint="default" w:ascii="Wingdings" w:hAnsi="Wingdings"/>
      </w:rPr>
    </w:lvl>
    <w:lvl w:ilvl="5" w:tentative="0">
      <w:start w:val="1"/>
      <w:numFmt w:val="bullet"/>
      <w:lvlText w:val=""/>
      <w:lvlJc w:val="left"/>
      <w:pPr>
        <w:ind w:left="3120" w:hanging="420"/>
      </w:pPr>
      <w:rPr>
        <w:rFonts w:hint="default" w:ascii="Wingdings" w:hAnsi="Wingdings"/>
      </w:rPr>
    </w:lvl>
    <w:lvl w:ilvl="6" w:tentative="0">
      <w:start w:val="1"/>
      <w:numFmt w:val="bullet"/>
      <w:lvlText w:val=""/>
      <w:lvlJc w:val="left"/>
      <w:pPr>
        <w:ind w:left="3540" w:hanging="420"/>
      </w:pPr>
      <w:rPr>
        <w:rFonts w:hint="default" w:ascii="Wingdings" w:hAnsi="Wingdings"/>
      </w:rPr>
    </w:lvl>
    <w:lvl w:ilvl="7" w:tentative="0">
      <w:start w:val="1"/>
      <w:numFmt w:val="bullet"/>
      <w:lvlText w:val=""/>
      <w:lvlJc w:val="left"/>
      <w:pPr>
        <w:ind w:left="3960" w:hanging="420"/>
      </w:pPr>
      <w:rPr>
        <w:rFonts w:hint="default" w:ascii="Wingdings" w:hAnsi="Wingdings"/>
      </w:rPr>
    </w:lvl>
    <w:lvl w:ilvl="8" w:tentative="0">
      <w:start w:val="1"/>
      <w:numFmt w:val="bullet"/>
      <w:lvlText w:val=""/>
      <w:lvlJc w:val="left"/>
      <w:pPr>
        <w:ind w:left="4380" w:hanging="420"/>
      </w:pPr>
      <w:rPr>
        <w:rFonts w:hint="default" w:ascii="Wingdings" w:hAnsi="Wingdings"/>
      </w:rPr>
    </w:lvl>
  </w:abstractNum>
  <w:abstractNum w:abstractNumId="7">
    <w:nsid w:val="56CB01D0"/>
    <w:multiLevelType w:val="multilevel"/>
    <w:tmpl w:val="56CB01D0"/>
    <w:lvl w:ilvl="0" w:tentative="0">
      <w:start w:val="1"/>
      <w:numFmt w:val="bullet"/>
      <w:lvlText w:val=""/>
      <w:lvlJc w:val="left"/>
      <w:pPr>
        <w:ind w:left="0" w:firstLine="576"/>
      </w:pPr>
      <w:rPr>
        <w:rFonts w:hint="default" w:ascii="Wingdings" w:hAnsi="Wingdings"/>
        <w:sz w:val="30"/>
        <w:szCs w:val="30"/>
      </w:rPr>
    </w:lvl>
    <w:lvl w:ilvl="1" w:tentative="0">
      <w:start w:val="1"/>
      <w:numFmt w:val="bullet"/>
      <w:lvlText w:val=""/>
      <w:lvlJc w:val="left"/>
      <w:pPr>
        <w:ind w:left="1416" w:hanging="420"/>
      </w:pPr>
      <w:rPr>
        <w:rFonts w:hint="default" w:ascii="Wingdings" w:hAnsi="Wingdings"/>
      </w:rPr>
    </w:lvl>
    <w:lvl w:ilvl="2" w:tentative="0">
      <w:start w:val="1"/>
      <w:numFmt w:val="bullet"/>
      <w:lvlText w:val=""/>
      <w:lvlJc w:val="left"/>
      <w:pPr>
        <w:ind w:left="1836" w:hanging="420"/>
      </w:pPr>
      <w:rPr>
        <w:rFonts w:hint="default" w:ascii="Wingdings" w:hAnsi="Wingdings"/>
      </w:rPr>
    </w:lvl>
    <w:lvl w:ilvl="3" w:tentative="0">
      <w:start w:val="1"/>
      <w:numFmt w:val="bullet"/>
      <w:lvlText w:val=""/>
      <w:lvlJc w:val="left"/>
      <w:pPr>
        <w:ind w:left="2256" w:hanging="420"/>
      </w:pPr>
      <w:rPr>
        <w:rFonts w:hint="default" w:ascii="Wingdings" w:hAnsi="Wingdings"/>
      </w:rPr>
    </w:lvl>
    <w:lvl w:ilvl="4" w:tentative="0">
      <w:start w:val="1"/>
      <w:numFmt w:val="bullet"/>
      <w:lvlText w:val=""/>
      <w:lvlJc w:val="left"/>
      <w:pPr>
        <w:ind w:left="2676" w:hanging="420"/>
      </w:pPr>
      <w:rPr>
        <w:rFonts w:hint="default" w:ascii="Wingdings" w:hAnsi="Wingdings"/>
      </w:rPr>
    </w:lvl>
    <w:lvl w:ilvl="5" w:tentative="0">
      <w:start w:val="1"/>
      <w:numFmt w:val="bullet"/>
      <w:lvlText w:val=""/>
      <w:lvlJc w:val="left"/>
      <w:pPr>
        <w:ind w:left="3096" w:hanging="420"/>
      </w:pPr>
      <w:rPr>
        <w:rFonts w:hint="default" w:ascii="Wingdings" w:hAnsi="Wingdings"/>
      </w:rPr>
    </w:lvl>
    <w:lvl w:ilvl="6" w:tentative="0">
      <w:start w:val="1"/>
      <w:numFmt w:val="bullet"/>
      <w:lvlText w:val=""/>
      <w:lvlJc w:val="left"/>
      <w:pPr>
        <w:ind w:left="3516" w:hanging="420"/>
      </w:pPr>
      <w:rPr>
        <w:rFonts w:hint="default" w:ascii="Wingdings" w:hAnsi="Wingdings"/>
      </w:rPr>
    </w:lvl>
    <w:lvl w:ilvl="7" w:tentative="0">
      <w:start w:val="1"/>
      <w:numFmt w:val="bullet"/>
      <w:lvlText w:val=""/>
      <w:lvlJc w:val="left"/>
      <w:pPr>
        <w:ind w:left="3936" w:hanging="420"/>
      </w:pPr>
      <w:rPr>
        <w:rFonts w:hint="default" w:ascii="Wingdings" w:hAnsi="Wingdings"/>
      </w:rPr>
    </w:lvl>
    <w:lvl w:ilvl="8" w:tentative="0">
      <w:start w:val="1"/>
      <w:numFmt w:val="bullet"/>
      <w:lvlText w:val=""/>
      <w:lvlJc w:val="left"/>
      <w:pPr>
        <w:ind w:left="4356" w:hanging="420"/>
      </w:pPr>
      <w:rPr>
        <w:rFonts w:hint="default" w:ascii="Wingdings" w:hAnsi="Wingdings"/>
      </w:rPr>
    </w:lvl>
  </w:abstractNum>
  <w:abstractNum w:abstractNumId="8">
    <w:nsid w:val="5FFF1082"/>
    <w:multiLevelType w:val="multilevel"/>
    <w:tmpl w:val="5FFF1082"/>
    <w:lvl w:ilvl="0" w:tentative="0">
      <w:start w:val="1"/>
      <w:numFmt w:val="bullet"/>
      <w:lvlText w:val=""/>
      <w:lvlJc w:val="left"/>
      <w:pPr>
        <w:ind w:left="1020" w:hanging="420"/>
      </w:pPr>
      <w:rPr>
        <w:rFonts w:hint="default" w:ascii="Wingdings" w:hAnsi="Wingdings"/>
      </w:rPr>
    </w:lvl>
    <w:lvl w:ilvl="1" w:tentative="0">
      <w:start w:val="1"/>
      <w:numFmt w:val="bullet"/>
      <w:lvlText w:val=""/>
      <w:lvlJc w:val="left"/>
      <w:pPr>
        <w:ind w:left="1440" w:hanging="420"/>
      </w:pPr>
      <w:rPr>
        <w:rFonts w:hint="default" w:ascii="Wingdings" w:hAnsi="Wingdings"/>
      </w:rPr>
    </w:lvl>
    <w:lvl w:ilvl="2" w:tentative="0">
      <w:start w:val="1"/>
      <w:numFmt w:val="bullet"/>
      <w:lvlText w:val=""/>
      <w:lvlJc w:val="left"/>
      <w:pPr>
        <w:ind w:left="1860" w:hanging="420"/>
      </w:pPr>
      <w:rPr>
        <w:rFonts w:hint="default" w:ascii="Wingdings" w:hAnsi="Wingdings"/>
      </w:rPr>
    </w:lvl>
    <w:lvl w:ilvl="3" w:tentative="0">
      <w:start w:val="1"/>
      <w:numFmt w:val="bullet"/>
      <w:lvlText w:val=""/>
      <w:lvlJc w:val="left"/>
      <w:pPr>
        <w:ind w:left="2280" w:hanging="420"/>
      </w:pPr>
      <w:rPr>
        <w:rFonts w:hint="default" w:ascii="Wingdings" w:hAnsi="Wingdings"/>
      </w:rPr>
    </w:lvl>
    <w:lvl w:ilvl="4" w:tentative="0">
      <w:start w:val="1"/>
      <w:numFmt w:val="bullet"/>
      <w:lvlText w:val=""/>
      <w:lvlJc w:val="left"/>
      <w:pPr>
        <w:ind w:left="2700" w:hanging="420"/>
      </w:pPr>
      <w:rPr>
        <w:rFonts w:hint="default" w:ascii="Wingdings" w:hAnsi="Wingdings"/>
      </w:rPr>
    </w:lvl>
    <w:lvl w:ilvl="5" w:tentative="0">
      <w:start w:val="1"/>
      <w:numFmt w:val="bullet"/>
      <w:lvlText w:val=""/>
      <w:lvlJc w:val="left"/>
      <w:pPr>
        <w:ind w:left="3120" w:hanging="420"/>
      </w:pPr>
      <w:rPr>
        <w:rFonts w:hint="default" w:ascii="Wingdings" w:hAnsi="Wingdings"/>
      </w:rPr>
    </w:lvl>
    <w:lvl w:ilvl="6" w:tentative="0">
      <w:start w:val="1"/>
      <w:numFmt w:val="bullet"/>
      <w:lvlText w:val=""/>
      <w:lvlJc w:val="left"/>
      <w:pPr>
        <w:ind w:left="3540" w:hanging="420"/>
      </w:pPr>
      <w:rPr>
        <w:rFonts w:hint="default" w:ascii="Wingdings" w:hAnsi="Wingdings"/>
      </w:rPr>
    </w:lvl>
    <w:lvl w:ilvl="7" w:tentative="0">
      <w:start w:val="1"/>
      <w:numFmt w:val="bullet"/>
      <w:lvlText w:val=""/>
      <w:lvlJc w:val="left"/>
      <w:pPr>
        <w:ind w:left="3960" w:hanging="420"/>
      </w:pPr>
      <w:rPr>
        <w:rFonts w:hint="default" w:ascii="Wingdings" w:hAnsi="Wingdings"/>
      </w:rPr>
    </w:lvl>
    <w:lvl w:ilvl="8" w:tentative="0">
      <w:start w:val="1"/>
      <w:numFmt w:val="bullet"/>
      <w:lvlText w:val=""/>
      <w:lvlJc w:val="left"/>
      <w:pPr>
        <w:ind w:left="4380" w:hanging="420"/>
      </w:pPr>
      <w:rPr>
        <w:rFonts w:hint="default" w:ascii="Wingdings" w:hAnsi="Wingdings"/>
      </w:rPr>
    </w:lvl>
  </w:abstractNum>
  <w:abstractNum w:abstractNumId="9">
    <w:nsid w:val="6BC821B6"/>
    <w:multiLevelType w:val="multilevel"/>
    <w:tmpl w:val="6BC821B6"/>
    <w:lvl w:ilvl="0" w:tentative="0">
      <w:start w:val="1"/>
      <w:numFmt w:val="bullet"/>
      <w:lvlText w:val=""/>
      <w:lvlJc w:val="left"/>
      <w:pPr>
        <w:ind w:left="0" w:firstLine="576"/>
      </w:pPr>
      <w:rPr>
        <w:rFonts w:hint="default" w:ascii="Wingdings" w:hAnsi="Wingdings"/>
        <w:sz w:val="30"/>
        <w:szCs w:val="30"/>
      </w:rPr>
    </w:lvl>
    <w:lvl w:ilvl="1" w:tentative="0">
      <w:start w:val="1"/>
      <w:numFmt w:val="bullet"/>
      <w:lvlText w:val=""/>
      <w:lvlJc w:val="left"/>
      <w:pPr>
        <w:ind w:left="1416" w:hanging="420"/>
      </w:pPr>
      <w:rPr>
        <w:rFonts w:hint="default" w:ascii="Wingdings" w:hAnsi="Wingdings"/>
      </w:rPr>
    </w:lvl>
    <w:lvl w:ilvl="2" w:tentative="0">
      <w:start w:val="1"/>
      <w:numFmt w:val="bullet"/>
      <w:lvlText w:val=""/>
      <w:lvlJc w:val="left"/>
      <w:pPr>
        <w:ind w:left="1836" w:hanging="420"/>
      </w:pPr>
      <w:rPr>
        <w:rFonts w:hint="default" w:ascii="Wingdings" w:hAnsi="Wingdings"/>
      </w:rPr>
    </w:lvl>
    <w:lvl w:ilvl="3" w:tentative="0">
      <w:start w:val="1"/>
      <w:numFmt w:val="bullet"/>
      <w:lvlText w:val=""/>
      <w:lvlJc w:val="left"/>
      <w:pPr>
        <w:ind w:left="2256" w:hanging="420"/>
      </w:pPr>
      <w:rPr>
        <w:rFonts w:hint="default" w:ascii="Wingdings" w:hAnsi="Wingdings"/>
      </w:rPr>
    </w:lvl>
    <w:lvl w:ilvl="4" w:tentative="0">
      <w:start w:val="1"/>
      <w:numFmt w:val="bullet"/>
      <w:lvlText w:val=""/>
      <w:lvlJc w:val="left"/>
      <w:pPr>
        <w:ind w:left="2676" w:hanging="420"/>
      </w:pPr>
      <w:rPr>
        <w:rFonts w:hint="default" w:ascii="Wingdings" w:hAnsi="Wingdings"/>
      </w:rPr>
    </w:lvl>
    <w:lvl w:ilvl="5" w:tentative="0">
      <w:start w:val="1"/>
      <w:numFmt w:val="bullet"/>
      <w:lvlText w:val=""/>
      <w:lvlJc w:val="left"/>
      <w:pPr>
        <w:ind w:left="3096" w:hanging="420"/>
      </w:pPr>
      <w:rPr>
        <w:rFonts w:hint="default" w:ascii="Wingdings" w:hAnsi="Wingdings"/>
      </w:rPr>
    </w:lvl>
    <w:lvl w:ilvl="6" w:tentative="0">
      <w:start w:val="1"/>
      <w:numFmt w:val="bullet"/>
      <w:lvlText w:val=""/>
      <w:lvlJc w:val="left"/>
      <w:pPr>
        <w:ind w:left="3516" w:hanging="420"/>
      </w:pPr>
      <w:rPr>
        <w:rFonts w:hint="default" w:ascii="Wingdings" w:hAnsi="Wingdings"/>
      </w:rPr>
    </w:lvl>
    <w:lvl w:ilvl="7" w:tentative="0">
      <w:start w:val="1"/>
      <w:numFmt w:val="bullet"/>
      <w:lvlText w:val=""/>
      <w:lvlJc w:val="left"/>
      <w:pPr>
        <w:ind w:left="3936" w:hanging="420"/>
      </w:pPr>
      <w:rPr>
        <w:rFonts w:hint="default" w:ascii="Wingdings" w:hAnsi="Wingdings"/>
      </w:rPr>
    </w:lvl>
    <w:lvl w:ilvl="8" w:tentative="0">
      <w:start w:val="1"/>
      <w:numFmt w:val="bullet"/>
      <w:lvlText w:val=""/>
      <w:lvlJc w:val="left"/>
      <w:pPr>
        <w:ind w:left="4356" w:hanging="420"/>
      </w:pPr>
      <w:rPr>
        <w:rFonts w:hint="default" w:ascii="Wingdings" w:hAnsi="Wingdings"/>
      </w:rPr>
    </w:lvl>
  </w:abstractNum>
  <w:abstractNum w:abstractNumId="10">
    <w:nsid w:val="6E661852"/>
    <w:multiLevelType w:val="multilevel"/>
    <w:tmpl w:val="6E661852"/>
    <w:lvl w:ilvl="0" w:tentative="0">
      <w:start w:val="1"/>
      <w:numFmt w:val="bullet"/>
      <w:lvlText w:val=""/>
      <w:lvlJc w:val="left"/>
      <w:pPr>
        <w:ind w:left="7932" w:hanging="420"/>
      </w:pPr>
      <w:rPr>
        <w:rFonts w:hint="default" w:ascii="Wingdings" w:hAnsi="Wingdings"/>
      </w:rPr>
    </w:lvl>
    <w:lvl w:ilvl="1" w:tentative="0">
      <w:start w:val="1"/>
      <w:numFmt w:val="bullet"/>
      <w:lvlText w:val=""/>
      <w:lvlJc w:val="left"/>
      <w:pPr>
        <w:ind w:left="1440" w:hanging="420"/>
      </w:pPr>
      <w:rPr>
        <w:rFonts w:hint="default" w:ascii="Wingdings" w:hAnsi="Wingdings"/>
      </w:rPr>
    </w:lvl>
    <w:lvl w:ilvl="2" w:tentative="0">
      <w:start w:val="1"/>
      <w:numFmt w:val="bullet"/>
      <w:lvlText w:val=""/>
      <w:lvlJc w:val="left"/>
      <w:pPr>
        <w:ind w:left="1860" w:hanging="420"/>
      </w:pPr>
      <w:rPr>
        <w:rFonts w:hint="default" w:ascii="Wingdings" w:hAnsi="Wingdings"/>
      </w:rPr>
    </w:lvl>
    <w:lvl w:ilvl="3" w:tentative="0">
      <w:start w:val="1"/>
      <w:numFmt w:val="bullet"/>
      <w:lvlText w:val=""/>
      <w:lvlJc w:val="left"/>
      <w:pPr>
        <w:ind w:left="2280" w:hanging="420"/>
      </w:pPr>
      <w:rPr>
        <w:rFonts w:hint="default" w:ascii="Wingdings" w:hAnsi="Wingdings"/>
      </w:rPr>
    </w:lvl>
    <w:lvl w:ilvl="4" w:tentative="0">
      <w:start w:val="1"/>
      <w:numFmt w:val="bullet"/>
      <w:lvlText w:val=""/>
      <w:lvlJc w:val="left"/>
      <w:pPr>
        <w:ind w:left="2700" w:hanging="420"/>
      </w:pPr>
      <w:rPr>
        <w:rFonts w:hint="default" w:ascii="Wingdings" w:hAnsi="Wingdings"/>
      </w:rPr>
    </w:lvl>
    <w:lvl w:ilvl="5" w:tentative="0">
      <w:start w:val="1"/>
      <w:numFmt w:val="bullet"/>
      <w:lvlText w:val=""/>
      <w:lvlJc w:val="left"/>
      <w:pPr>
        <w:ind w:left="3120" w:hanging="420"/>
      </w:pPr>
      <w:rPr>
        <w:rFonts w:hint="default" w:ascii="Wingdings" w:hAnsi="Wingdings"/>
      </w:rPr>
    </w:lvl>
    <w:lvl w:ilvl="6" w:tentative="0">
      <w:start w:val="1"/>
      <w:numFmt w:val="bullet"/>
      <w:lvlText w:val=""/>
      <w:lvlJc w:val="left"/>
      <w:pPr>
        <w:ind w:left="3540" w:hanging="420"/>
      </w:pPr>
      <w:rPr>
        <w:rFonts w:hint="default" w:ascii="Wingdings" w:hAnsi="Wingdings"/>
      </w:rPr>
    </w:lvl>
    <w:lvl w:ilvl="7" w:tentative="0">
      <w:start w:val="1"/>
      <w:numFmt w:val="bullet"/>
      <w:lvlText w:val=""/>
      <w:lvlJc w:val="left"/>
      <w:pPr>
        <w:ind w:left="3960" w:hanging="420"/>
      </w:pPr>
      <w:rPr>
        <w:rFonts w:hint="default" w:ascii="Wingdings" w:hAnsi="Wingdings"/>
      </w:rPr>
    </w:lvl>
    <w:lvl w:ilvl="8" w:tentative="0">
      <w:start w:val="1"/>
      <w:numFmt w:val="bullet"/>
      <w:lvlText w:val=""/>
      <w:lvlJc w:val="left"/>
      <w:pPr>
        <w:ind w:left="4380" w:hanging="420"/>
      </w:pPr>
      <w:rPr>
        <w:rFonts w:hint="default" w:ascii="Wingdings" w:hAnsi="Wingdings"/>
      </w:rPr>
    </w:lvl>
  </w:abstractNum>
  <w:abstractNum w:abstractNumId="11">
    <w:nsid w:val="767DD8FD"/>
    <w:multiLevelType w:val="singleLevel"/>
    <w:tmpl w:val="767DD8FD"/>
    <w:lvl w:ilvl="0" w:tentative="0">
      <w:start w:val="1"/>
      <w:numFmt w:val="bullet"/>
      <w:lvlText w:val=""/>
      <w:lvlJc w:val="left"/>
      <w:pPr>
        <w:ind w:left="420" w:hanging="420"/>
      </w:pPr>
      <w:rPr>
        <w:rFonts w:hint="default" w:ascii="Wingdings" w:hAnsi="Wingdings"/>
      </w:rPr>
    </w:lvl>
  </w:abstractNum>
  <w:num w:numId="1">
    <w:abstractNumId w:val="5"/>
  </w:num>
  <w:num w:numId="2">
    <w:abstractNumId w:val="8"/>
  </w:num>
  <w:num w:numId="3">
    <w:abstractNumId w:val="10"/>
  </w:num>
  <w:num w:numId="4">
    <w:abstractNumId w:val="7"/>
  </w:num>
  <w:num w:numId="5">
    <w:abstractNumId w:val="9"/>
  </w:num>
  <w:num w:numId="6">
    <w:abstractNumId w:val="6"/>
  </w:num>
  <w:num w:numId="7">
    <w:abstractNumId w:val="3"/>
  </w:num>
  <w:num w:numId="8">
    <w:abstractNumId w:val="4"/>
  </w:num>
  <w:num w:numId="9">
    <w:abstractNumId w:val="1"/>
  </w:num>
  <w:num w:numId="10">
    <w:abstractNumId w:val="0"/>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NotTrackMoves/>
  <w:documentProtection w:edit="readOnly" w:enforcement="0"/>
  <w:defaultTabStop w:val="4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BhNjYwZmFmZTEzMzg4ZDU3OTU4Y2JlMWFiNmM2NTYifQ=="/>
    <w:docVar w:name="KSO_WPS_MARK_KEY" w:val="9e8cd4af-5a4a-44e3-9ecd-0ed477667254"/>
  </w:docVars>
  <w:rsids>
    <w:rsidRoot w:val="00672F27"/>
    <w:rsid w:val="00000F27"/>
    <w:rsid w:val="0000174C"/>
    <w:rsid w:val="000025B6"/>
    <w:rsid w:val="00002884"/>
    <w:rsid w:val="00002AB1"/>
    <w:rsid w:val="00003611"/>
    <w:rsid w:val="00003C90"/>
    <w:rsid w:val="000043B6"/>
    <w:rsid w:val="00004C3F"/>
    <w:rsid w:val="000057B9"/>
    <w:rsid w:val="000058B5"/>
    <w:rsid w:val="000060CA"/>
    <w:rsid w:val="0000628E"/>
    <w:rsid w:val="00006B7D"/>
    <w:rsid w:val="00006DFD"/>
    <w:rsid w:val="0000751C"/>
    <w:rsid w:val="000077B4"/>
    <w:rsid w:val="00007AA6"/>
    <w:rsid w:val="00007ADE"/>
    <w:rsid w:val="00007DE3"/>
    <w:rsid w:val="000105DD"/>
    <w:rsid w:val="00010D1B"/>
    <w:rsid w:val="000120A7"/>
    <w:rsid w:val="00014B77"/>
    <w:rsid w:val="00014D0A"/>
    <w:rsid w:val="000155E4"/>
    <w:rsid w:val="0001622A"/>
    <w:rsid w:val="00016761"/>
    <w:rsid w:val="00016E03"/>
    <w:rsid w:val="00017AEA"/>
    <w:rsid w:val="00022800"/>
    <w:rsid w:val="00022970"/>
    <w:rsid w:val="00022DAC"/>
    <w:rsid w:val="00022E4D"/>
    <w:rsid w:val="0002376B"/>
    <w:rsid w:val="00023833"/>
    <w:rsid w:val="00023900"/>
    <w:rsid w:val="00023998"/>
    <w:rsid w:val="0002473B"/>
    <w:rsid w:val="0002481E"/>
    <w:rsid w:val="0002561E"/>
    <w:rsid w:val="00025EAA"/>
    <w:rsid w:val="0002716F"/>
    <w:rsid w:val="000279A1"/>
    <w:rsid w:val="00027A06"/>
    <w:rsid w:val="00030CFC"/>
    <w:rsid w:val="00030F62"/>
    <w:rsid w:val="000316A9"/>
    <w:rsid w:val="000318BA"/>
    <w:rsid w:val="00031A69"/>
    <w:rsid w:val="00031E0B"/>
    <w:rsid w:val="00032033"/>
    <w:rsid w:val="0003213A"/>
    <w:rsid w:val="00032FFD"/>
    <w:rsid w:val="00033CFD"/>
    <w:rsid w:val="0003426E"/>
    <w:rsid w:val="00034574"/>
    <w:rsid w:val="00034BA6"/>
    <w:rsid w:val="000363D4"/>
    <w:rsid w:val="00036DC9"/>
    <w:rsid w:val="00037270"/>
    <w:rsid w:val="000375F3"/>
    <w:rsid w:val="00037DFB"/>
    <w:rsid w:val="00040157"/>
    <w:rsid w:val="00040178"/>
    <w:rsid w:val="000407C4"/>
    <w:rsid w:val="00040D6B"/>
    <w:rsid w:val="000413E5"/>
    <w:rsid w:val="0004176D"/>
    <w:rsid w:val="00041967"/>
    <w:rsid w:val="000427D7"/>
    <w:rsid w:val="00042B7F"/>
    <w:rsid w:val="00043BDA"/>
    <w:rsid w:val="00044FDB"/>
    <w:rsid w:val="000461F2"/>
    <w:rsid w:val="00046A41"/>
    <w:rsid w:val="00046F33"/>
    <w:rsid w:val="0004777C"/>
    <w:rsid w:val="000477A1"/>
    <w:rsid w:val="00047806"/>
    <w:rsid w:val="00047BE4"/>
    <w:rsid w:val="00047E6D"/>
    <w:rsid w:val="00050B00"/>
    <w:rsid w:val="000510F0"/>
    <w:rsid w:val="000523BF"/>
    <w:rsid w:val="000525B1"/>
    <w:rsid w:val="000528F4"/>
    <w:rsid w:val="00052B0B"/>
    <w:rsid w:val="000539AA"/>
    <w:rsid w:val="00054A9F"/>
    <w:rsid w:val="00056094"/>
    <w:rsid w:val="00057A88"/>
    <w:rsid w:val="00057DAE"/>
    <w:rsid w:val="00057F2C"/>
    <w:rsid w:val="00060E92"/>
    <w:rsid w:val="00062060"/>
    <w:rsid w:val="00063DBD"/>
    <w:rsid w:val="00064181"/>
    <w:rsid w:val="0006431D"/>
    <w:rsid w:val="00064D94"/>
    <w:rsid w:val="000651AA"/>
    <w:rsid w:val="0006532B"/>
    <w:rsid w:val="000655F5"/>
    <w:rsid w:val="00066742"/>
    <w:rsid w:val="00066DA2"/>
    <w:rsid w:val="00067635"/>
    <w:rsid w:val="00067919"/>
    <w:rsid w:val="00070916"/>
    <w:rsid w:val="0007155C"/>
    <w:rsid w:val="00071BF5"/>
    <w:rsid w:val="00071D58"/>
    <w:rsid w:val="00072A2F"/>
    <w:rsid w:val="00072CFB"/>
    <w:rsid w:val="00073421"/>
    <w:rsid w:val="00073BC2"/>
    <w:rsid w:val="00073C02"/>
    <w:rsid w:val="000746CB"/>
    <w:rsid w:val="00076453"/>
    <w:rsid w:val="00077AED"/>
    <w:rsid w:val="000804C5"/>
    <w:rsid w:val="00080EC6"/>
    <w:rsid w:val="000821D4"/>
    <w:rsid w:val="00083037"/>
    <w:rsid w:val="00083278"/>
    <w:rsid w:val="00083476"/>
    <w:rsid w:val="00084007"/>
    <w:rsid w:val="00087F88"/>
    <w:rsid w:val="00091E7B"/>
    <w:rsid w:val="0009207E"/>
    <w:rsid w:val="00093280"/>
    <w:rsid w:val="00093E49"/>
    <w:rsid w:val="000942B7"/>
    <w:rsid w:val="00094D15"/>
    <w:rsid w:val="00094EAA"/>
    <w:rsid w:val="0009558F"/>
    <w:rsid w:val="000968A6"/>
    <w:rsid w:val="000A0341"/>
    <w:rsid w:val="000A08A1"/>
    <w:rsid w:val="000A0CBE"/>
    <w:rsid w:val="000A1558"/>
    <w:rsid w:val="000A1FF0"/>
    <w:rsid w:val="000A234C"/>
    <w:rsid w:val="000A3C3C"/>
    <w:rsid w:val="000A43B0"/>
    <w:rsid w:val="000A5777"/>
    <w:rsid w:val="000A78A4"/>
    <w:rsid w:val="000B106C"/>
    <w:rsid w:val="000B14DF"/>
    <w:rsid w:val="000B23DF"/>
    <w:rsid w:val="000B29A9"/>
    <w:rsid w:val="000B3070"/>
    <w:rsid w:val="000B3614"/>
    <w:rsid w:val="000B37B7"/>
    <w:rsid w:val="000B487E"/>
    <w:rsid w:val="000B5A38"/>
    <w:rsid w:val="000B5BD1"/>
    <w:rsid w:val="000B6A88"/>
    <w:rsid w:val="000B6D13"/>
    <w:rsid w:val="000B7695"/>
    <w:rsid w:val="000B7FE8"/>
    <w:rsid w:val="000C01DF"/>
    <w:rsid w:val="000C1167"/>
    <w:rsid w:val="000C180C"/>
    <w:rsid w:val="000C29E7"/>
    <w:rsid w:val="000C5C05"/>
    <w:rsid w:val="000C602A"/>
    <w:rsid w:val="000C66A9"/>
    <w:rsid w:val="000C66C0"/>
    <w:rsid w:val="000C6712"/>
    <w:rsid w:val="000C7C26"/>
    <w:rsid w:val="000D0EAE"/>
    <w:rsid w:val="000D2785"/>
    <w:rsid w:val="000D296F"/>
    <w:rsid w:val="000D2FF7"/>
    <w:rsid w:val="000D35A9"/>
    <w:rsid w:val="000D380E"/>
    <w:rsid w:val="000D57F7"/>
    <w:rsid w:val="000D623E"/>
    <w:rsid w:val="000E0AD5"/>
    <w:rsid w:val="000E13D5"/>
    <w:rsid w:val="000E1A40"/>
    <w:rsid w:val="000E2F6E"/>
    <w:rsid w:val="000E3106"/>
    <w:rsid w:val="000E3162"/>
    <w:rsid w:val="000E364F"/>
    <w:rsid w:val="000E392B"/>
    <w:rsid w:val="000E3E6D"/>
    <w:rsid w:val="000E3F4E"/>
    <w:rsid w:val="000E4D2F"/>
    <w:rsid w:val="000E59E4"/>
    <w:rsid w:val="000E5D7A"/>
    <w:rsid w:val="000E6063"/>
    <w:rsid w:val="000E6B70"/>
    <w:rsid w:val="000E7035"/>
    <w:rsid w:val="000E7393"/>
    <w:rsid w:val="000F0531"/>
    <w:rsid w:val="000F0D1F"/>
    <w:rsid w:val="000F1FB8"/>
    <w:rsid w:val="000F2561"/>
    <w:rsid w:val="000F270A"/>
    <w:rsid w:val="000F2A58"/>
    <w:rsid w:val="000F30C2"/>
    <w:rsid w:val="000F30D4"/>
    <w:rsid w:val="000F337A"/>
    <w:rsid w:val="000F346C"/>
    <w:rsid w:val="000F47DD"/>
    <w:rsid w:val="000F4C34"/>
    <w:rsid w:val="000F4FA7"/>
    <w:rsid w:val="000F57F9"/>
    <w:rsid w:val="000F63C7"/>
    <w:rsid w:val="000F7FBC"/>
    <w:rsid w:val="0010003C"/>
    <w:rsid w:val="0010084C"/>
    <w:rsid w:val="0010165E"/>
    <w:rsid w:val="0010275B"/>
    <w:rsid w:val="00102E95"/>
    <w:rsid w:val="001036F3"/>
    <w:rsid w:val="00103897"/>
    <w:rsid w:val="00103904"/>
    <w:rsid w:val="00105AFD"/>
    <w:rsid w:val="00105D95"/>
    <w:rsid w:val="00106CCA"/>
    <w:rsid w:val="0010788E"/>
    <w:rsid w:val="00107DD9"/>
    <w:rsid w:val="00110A56"/>
    <w:rsid w:val="00112FA8"/>
    <w:rsid w:val="00113ED7"/>
    <w:rsid w:val="00114195"/>
    <w:rsid w:val="00115D52"/>
    <w:rsid w:val="00116186"/>
    <w:rsid w:val="0011687F"/>
    <w:rsid w:val="00116C7D"/>
    <w:rsid w:val="00117677"/>
    <w:rsid w:val="00117837"/>
    <w:rsid w:val="001206D9"/>
    <w:rsid w:val="00120F17"/>
    <w:rsid w:val="00121B1C"/>
    <w:rsid w:val="00122808"/>
    <w:rsid w:val="00122E59"/>
    <w:rsid w:val="001232F6"/>
    <w:rsid w:val="00123531"/>
    <w:rsid w:val="0012432C"/>
    <w:rsid w:val="00124670"/>
    <w:rsid w:val="00125011"/>
    <w:rsid w:val="001257EB"/>
    <w:rsid w:val="001260A0"/>
    <w:rsid w:val="00126E81"/>
    <w:rsid w:val="001274DB"/>
    <w:rsid w:val="00127A48"/>
    <w:rsid w:val="00127AE4"/>
    <w:rsid w:val="0013008E"/>
    <w:rsid w:val="00131CDC"/>
    <w:rsid w:val="00132566"/>
    <w:rsid w:val="00133C45"/>
    <w:rsid w:val="00134810"/>
    <w:rsid w:val="00135185"/>
    <w:rsid w:val="0013518E"/>
    <w:rsid w:val="00135D55"/>
    <w:rsid w:val="00135FE1"/>
    <w:rsid w:val="00136044"/>
    <w:rsid w:val="001364F6"/>
    <w:rsid w:val="00136CDC"/>
    <w:rsid w:val="00137559"/>
    <w:rsid w:val="0013775A"/>
    <w:rsid w:val="00137CE4"/>
    <w:rsid w:val="00140013"/>
    <w:rsid w:val="001408BA"/>
    <w:rsid w:val="00140E80"/>
    <w:rsid w:val="00141140"/>
    <w:rsid w:val="00141DAF"/>
    <w:rsid w:val="0014205B"/>
    <w:rsid w:val="0014256B"/>
    <w:rsid w:val="001427EB"/>
    <w:rsid w:val="00143155"/>
    <w:rsid w:val="001439F4"/>
    <w:rsid w:val="001441DD"/>
    <w:rsid w:val="00144D96"/>
    <w:rsid w:val="001451E8"/>
    <w:rsid w:val="00145D9F"/>
    <w:rsid w:val="001460F6"/>
    <w:rsid w:val="00146422"/>
    <w:rsid w:val="00146FD6"/>
    <w:rsid w:val="00147C6F"/>
    <w:rsid w:val="00150295"/>
    <w:rsid w:val="00150A2D"/>
    <w:rsid w:val="00150F31"/>
    <w:rsid w:val="00150FDF"/>
    <w:rsid w:val="00151503"/>
    <w:rsid w:val="00151515"/>
    <w:rsid w:val="00152E31"/>
    <w:rsid w:val="00152F4D"/>
    <w:rsid w:val="001533A0"/>
    <w:rsid w:val="001535F4"/>
    <w:rsid w:val="00153782"/>
    <w:rsid w:val="00153830"/>
    <w:rsid w:val="00153E6F"/>
    <w:rsid w:val="00154445"/>
    <w:rsid w:val="00154627"/>
    <w:rsid w:val="00154FB1"/>
    <w:rsid w:val="00155080"/>
    <w:rsid w:val="001550A5"/>
    <w:rsid w:val="001550FB"/>
    <w:rsid w:val="00155A09"/>
    <w:rsid w:val="00156158"/>
    <w:rsid w:val="0015618C"/>
    <w:rsid w:val="0015663A"/>
    <w:rsid w:val="001567B6"/>
    <w:rsid w:val="00156D6B"/>
    <w:rsid w:val="00157200"/>
    <w:rsid w:val="00157C2C"/>
    <w:rsid w:val="00160B34"/>
    <w:rsid w:val="00161C83"/>
    <w:rsid w:val="00162559"/>
    <w:rsid w:val="00162D9C"/>
    <w:rsid w:val="00162E35"/>
    <w:rsid w:val="00163417"/>
    <w:rsid w:val="001634AF"/>
    <w:rsid w:val="001638EA"/>
    <w:rsid w:val="00163AE0"/>
    <w:rsid w:val="00164515"/>
    <w:rsid w:val="001648F9"/>
    <w:rsid w:val="00164E99"/>
    <w:rsid w:val="00165C0D"/>
    <w:rsid w:val="00166F8C"/>
    <w:rsid w:val="00166F8D"/>
    <w:rsid w:val="0016716A"/>
    <w:rsid w:val="00167E68"/>
    <w:rsid w:val="00170B6C"/>
    <w:rsid w:val="00170EAD"/>
    <w:rsid w:val="001715A5"/>
    <w:rsid w:val="001717E2"/>
    <w:rsid w:val="00171AC6"/>
    <w:rsid w:val="00171B21"/>
    <w:rsid w:val="00172D82"/>
    <w:rsid w:val="00173B80"/>
    <w:rsid w:val="00173EB6"/>
    <w:rsid w:val="00174658"/>
    <w:rsid w:val="00174BAA"/>
    <w:rsid w:val="00174E3D"/>
    <w:rsid w:val="001757C3"/>
    <w:rsid w:val="00175D17"/>
    <w:rsid w:val="00175FE6"/>
    <w:rsid w:val="00176FA9"/>
    <w:rsid w:val="00180E4C"/>
    <w:rsid w:val="00181229"/>
    <w:rsid w:val="001819FD"/>
    <w:rsid w:val="00182086"/>
    <w:rsid w:val="00182F8C"/>
    <w:rsid w:val="00183440"/>
    <w:rsid w:val="00183568"/>
    <w:rsid w:val="00183E06"/>
    <w:rsid w:val="00184064"/>
    <w:rsid w:val="001846CA"/>
    <w:rsid w:val="001849E4"/>
    <w:rsid w:val="00184A1B"/>
    <w:rsid w:val="00184CA1"/>
    <w:rsid w:val="00186466"/>
    <w:rsid w:val="00186CED"/>
    <w:rsid w:val="00186F09"/>
    <w:rsid w:val="0018700C"/>
    <w:rsid w:val="0018728E"/>
    <w:rsid w:val="00190FC3"/>
    <w:rsid w:val="00191272"/>
    <w:rsid w:val="001921B7"/>
    <w:rsid w:val="001926B4"/>
    <w:rsid w:val="00192C72"/>
    <w:rsid w:val="00193630"/>
    <w:rsid w:val="001937A6"/>
    <w:rsid w:val="001939B2"/>
    <w:rsid w:val="00194AE8"/>
    <w:rsid w:val="0019525D"/>
    <w:rsid w:val="001959B4"/>
    <w:rsid w:val="00195FA4"/>
    <w:rsid w:val="00196473"/>
    <w:rsid w:val="001A08F1"/>
    <w:rsid w:val="001A0E09"/>
    <w:rsid w:val="001A137B"/>
    <w:rsid w:val="001A147D"/>
    <w:rsid w:val="001A1FF8"/>
    <w:rsid w:val="001A2049"/>
    <w:rsid w:val="001A24F4"/>
    <w:rsid w:val="001A2E3D"/>
    <w:rsid w:val="001A309F"/>
    <w:rsid w:val="001A31FC"/>
    <w:rsid w:val="001A3284"/>
    <w:rsid w:val="001A3670"/>
    <w:rsid w:val="001A42F6"/>
    <w:rsid w:val="001A5334"/>
    <w:rsid w:val="001A5E49"/>
    <w:rsid w:val="001A6365"/>
    <w:rsid w:val="001A6504"/>
    <w:rsid w:val="001A65EA"/>
    <w:rsid w:val="001A6E7F"/>
    <w:rsid w:val="001B0AC5"/>
    <w:rsid w:val="001B0D00"/>
    <w:rsid w:val="001B0EFD"/>
    <w:rsid w:val="001B17BA"/>
    <w:rsid w:val="001B18B2"/>
    <w:rsid w:val="001B205D"/>
    <w:rsid w:val="001B2378"/>
    <w:rsid w:val="001B285A"/>
    <w:rsid w:val="001B31D8"/>
    <w:rsid w:val="001B3B84"/>
    <w:rsid w:val="001B3FC6"/>
    <w:rsid w:val="001B414F"/>
    <w:rsid w:val="001B45F5"/>
    <w:rsid w:val="001B494F"/>
    <w:rsid w:val="001B4E45"/>
    <w:rsid w:val="001B59EF"/>
    <w:rsid w:val="001B5A9A"/>
    <w:rsid w:val="001C0116"/>
    <w:rsid w:val="001C0862"/>
    <w:rsid w:val="001C0CDF"/>
    <w:rsid w:val="001C0D77"/>
    <w:rsid w:val="001C0D91"/>
    <w:rsid w:val="001C156B"/>
    <w:rsid w:val="001C15DA"/>
    <w:rsid w:val="001C28A9"/>
    <w:rsid w:val="001C2B0D"/>
    <w:rsid w:val="001C305E"/>
    <w:rsid w:val="001C33EA"/>
    <w:rsid w:val="001C36E3"/>
    <w:rsid w:val="001C49ED"/>
    <w:rsid w:val="001C4BEF"/>
    <w:rsid w:val="001C5081"/>
    <w:rsid w:val="001C5475"/>
    <w:rsid w:val="001C54FC"/>
    <w:rsid w:val="001C568B"/>
    <w:rsid w:val="001C651E"/>
    <w:rsid w:val="001C68FA"/>
    <w:rsid w:val="001D2460"/>
    <w:rsid w:val="001D2EAD"/>
    <w:rsid w:val="001D2F3C"/>
    <w:rsid w:val="001D3273"/>
    <w:rsid w:val="001D37C4"/>
    <w:rsid w:val="001D3B3B"/>
    <w:rsid w:val="001D4065"/>
    <w:rsid w:val="001D46B5"/>
    <w:rsid w:val="001D4C83"/>
    <w:rsid w:val="001D4F4E"/>
    <w:rsid w:val="001D5282"/>
    <w:rsid w:val="001D6141"/>
    <w:rsid w:val="001D6E94"/>
    <w:rsid w:val="001D7398"/>
    <w:rsid w:val="001D7C56"/>
    <w:rsid w:val="001E0BDA"/>
    <w:rsid w:val="001E148F"/>
    <w:rsid w:val="001E15ED"/>
    <w:rsid w:val="001E1C8F"/>
    <w:rsid w:val="001E1D80"/>
    <w:rsid w:val="001E2A8B"/>
    <w:rsid w:val="001E3215"/>
    <w:rsid w:val="001E451B"/>
    <w:rsid w:val="001E535D"/>
    <w:rsid w:val="001E54BB"/>
    <w:rsid w:val="001E56DB"/>
    <w:rsid w:val="001E5B08"/>
    <w:rsid w:val="001E5BE3"/>
    <w:rsid w:val="001E63FF"/>
    <w:rsid w:val="001E65D6"/>
    <w:rsid w:val="001E76D7"/>
    <w:rsid w:val="001F02C1"/>
    <w:rsid w:val="001F054C"/>
    <w:rsid w:val="001F1393"/>
    <w:rsid w:val="001F1616"/>
    <w:rsid w:val="001F18FB"/>
    <w:rsid w:val="001F2A8C"/>
    <w:rsid w:val="001F2BF2"/>
    <w:rsid w:val="001F390D"/>
    <w:rsid w:val="001F3982"/>
    <w:rsid w:val="001F4251"/>
    <w:rsid w:val="001F43C1"/>
    <w:rsid w:val="001F507E"/>
    <w:rsid w:val="001F54E8"/>
    <w:rsid w:val="001F654C"/>
    <w:rsid w:val="001F7D6C"/>
    <w:rsid w:val="001F7F9C"/>
    <w:rsid w:val="00200D39"/>
    <w:rsid w:val="00200ECD"/>
    <w:rsid w:val="002014E0"/>
    <w:rsid w:val="00202FD5"/>
    <w:rsid w:val="0020305A"/>
    <w:rsid w:val="00203368"/>
    <w:rsid w:val="00205740"/>
    <w:rsid w:val="00206499"/>
    <w:rsid w:val="0020687C"/>
    <w:rsid w:val="00207D07"/>
    <w:rsid w:val="00210834"/>
    <w:rsid w:val="00210CA9"/>
    <w:rsid w:val="002110A4"/>
    <w:rsid w:val="00211263"/>
    <w:rsid w:val="002112A5"/>
    <w:rsid w:val="002121D6"/>
    <w:rsid w:val="00213841"/>
    <w:rsid w:val="00213AA7"/>
    <w:rsid w:val="00213D8F"/>
    <w:rsid w:val="00215795"/>
    <w:rsid w:val="00216E31"/>
    <w:rsid w:val="00217C40"/>
    <w:rsid w:val="002204DC"/>
    <w:rsid w:val="00221E7C"/>
    <w:rsid w:val="002222C4"/>
    <w:rsid w:val="002227C1"/>
    <w:rsid w:val="00222ED2"/>
    <w:rsid w:val="00223572"/>
    <w:rsid w:val="002236DD"/>
    <w:rsid w:val="00223A13"/>
    <w:rsid w:val="002244ED"/>
    <w:rsid w:val="00225378"/>
    <w:rsid w:val="002257F2"/>
    <w:rsid w:val="00225ECF"/>
    <w:rsid w:val="002264AA"/>
    <w:rsid w:val="002277AF"/>
    <w:rsid w:val="00230D87"/>
    <w:rsid w:val="00230E98"/>
    <w:rsid w:val="0023113D"/>
    <w:rsid w:val="0023152A"/>
    <w:rsid w:val="00233AB2"/>
    <w:rsid w:val="00236115"/>
    <w:rsid w:val="00236539"/>
    <w:rsid w:val="00240379"/>
    <w:rsid w:val="00240AC4"/>
    <w:rsid w:val="00240C36"/>
    <w:rsid w:val="00240C7B"/>
    <w:rsid w:val="002419F7"/>
    <w:rsid w:val="00241A67"/>
    <w:rsid w:val="00241DA6"/>
    <w:rsid w:val="00241F05"/>
    <w:rsid w:val="00242884"/>
    <w:rsid w:val="00242CBD"/>
    <w:rsid w:val="00242F1A"/>
    <w:rsid w:val="00243A6F"/>
    <w:rsid w:val="00243AC9"/>
    <w:rsid w:val="0024449D"/>
    <w:rsid w:val="002445F3"/>
    <w:rsid w:val="00244F52"/>
    <w:rsid w:val="00245157"/>
    <w:rsid w:val="00245361"/>
    <w:rsid w:val="002462F7"/>
    <w:rsid w:val="00246984"/>
    <w:rsid w:val="002470F3"/>
    <w:rsid w:val="0024785E"/>
    <w:rsid w:val="00250047"/>
    <w:rsid w:val="00250CF8"/>
    <w:rsid w:val="00251169"/>
    <w:rsid w:val="002532DA"/>
    <w:rsid w:val="00253549"/>
    <w:rsid w:val="002541E0"/>
    <w:rsid w:val="002554AA"/>
    <w:rsid w:val="00255B8D"/>
    <w:rsid w:val="002564F3"/>
    <w:rsid w:val="00257374"/>
    <w:rsid w:val="0026045C"/>
    <w:rsid w:val="00260A4D"/>
    <w:rsid w:val="0026143C"/>
    <w:rsid w:val="002619FE"/>
    <w:rsid w:val="00261D8F"/>
    <w:rsid w:val="00262233"/>
    <w:rsid w:val="00262761"/>
    <w:rsid w:val="0026324A"/>
    <w:rsid w:val="0026328B"/>
    <w:rsid w:val="00263B21"/>
    <w:rsid w:val="00263F85"/>
    <w:rsid w:val="00264386"/>
    <w:rsid w:val="002655B6"/>
    <w:rsid w:val="002658C0"/>
    <w:rsid w:val="00265D73"/>
    <w:rsid w:val="002669E6"/>
    <w:rsid w:val="00266C3C"/>
    <w:rsid w:val="002707E2"/>
    <w:rsid w:val="00270B66"/>
    <w:rsid w:val="002713D3"/>
    <w:rsid w:val="00272511"/>
    <w:rsid w:val="00273763"/>
    <w:rsid w:val="0027434D"/>
    <w:rsid w:val="00274FAC"/>
    <w:rsid w:val="0027551C"/>
    <w:rsid w:val="00275D36"/>
    <w:rsid w:val="00275D65"/>
    <w:rsid w:val="00275E79"/>
    <w:rsid w:val="002766EC"/>
    <w:rsid w:val="002767A0"/>
    <w:rsid w:val="00277910"/>
    <w:rsid w:val="00280443"/>
    <w:rsid w:val="00281287"/>
    <w:rsid w:val="00282A84"/>
    <w:rsid w:val="00282AD8"/>
    <w:rsid w:val="00283540"/>
    <w:rsid w:val="00283838"/>
    <w:rsid w:val="00283B6A"/>
    <w:rsid w:val="002841EB"/>
    <w:rsid w:val="00284A2A"/>
    <w:rsid w:val="00285475"/>
    <w:rsid w:val="0028553A"/>
    <w:rsid w:val="00285B03"/>
    <w:rsid w:val="00285DB7"/>
    <w:rsid w:val="00286BE0"/>
    <w:rsid w:val="00286C03"/>
    <w:rsid w:val="00286F0D"/>
    <w:rsid w:val="00287242"/>
    <w:rsid w:val="0029168F"/>
    <w:rsid w:val="00291A23"/>
    <w:rsid w:val="00291A84"/>
    <w:rsid w:val="002920C6"/>
    <w:rsid w:val="002920DE"/>
    <w:rsid w:val="00292919"/>
    <w:rsid w:val="00293CCF"/>
    <w:rsid w:val="00293DB0"/>
    <w:rsid w:val="0029576C"/>
    <w:rsid w:val="00295CD6"/>
    <w:rsid w:val="00295D1D"/>
    <w:rsid w:val="00296CB1"/>
    <w:rsid w:val="00297D44"/>
    <w:rsid w:val="002A0384"/>
    <w:rsid w:val="002A0387"/>
    <w:rsid w:val="002A0475"/>
    <w:rsid w:val="002A0C55"/>
    <w:rsid w:val="002A46AC"/>
    <w:rsid w:val="002A4EF1"/>
    <w:rsid w:val="002A50A0"/>
    <w:rsid w:val="002A552B"/>
    <w:rsid w:val="002A5F99"/>
    <w:rsid w:val="002A634A"/>
    <w:rsid w:val="002B174F"/>
    <w:rsid w:val="002B1AF5"/>
    <w:rsid w:val="002B2A2F"/>
    <w:rsid w:val="002B3334"/>
    <w:rsid w:val="002B3C3F"/>
    <w:rsid w:val="002B3CC4"/>
    <w:rsid w:val="002B4AA8"/>
    <w:rsid w:val="002B4AF3"/>
    <w:rsid w:val="002B59CF"/>
    <w:rsid w:val="002B7ADD"/>
    <w:rsid w:val="002C08EF"/>
    <w:rsid w:val="002C0C5C"/>
    <w:rsid w:val="002C120C"/>
    <w:rsid w:val="002C130B"/>
    <w:rsid w:val="002C16A7"/>
    <w:rsid w:val="002C1E80"/>
    <w:rsid w:val="002C2077"/>
    <w:rsid w:val="002C224C"/>
    <w:rsid w:val="002C2D95"/>
    <w:rsid w:val="002C3515"/>
    <w:rsid w:val="002C4A2E"/>
    <w:rsid w:val="002C4DC0"/>
    <w:rsid w:val="002C5FD8"/>
    <w:rsid w:val="002C6152"/>
    <w:rsid w:val="002C69A3"/>
    <w:rsid w:val="002C7774"/>
    <w:rsid w:val="002D073B"/>
    <w:rsid w:val="002D0978"/>
    <w:rsid w:val="002D1456"/>
    <w:rsid w:val="002D1696"/>
    <w:rsid w:val="002D1DED"/>
    <w:rsid w:val="002D207A"/>
    <w:rsid w:val="002D2791"/>
    <w:rsid w:val="002D338F"/>
    <w:rsid w:val="002D3713"/>
    <w:rsid w:val="002D3CA2"/>
    <w:rsid w:val="002D3E14"/>
    <w:rsid w:val="002D3F23"/>
    <w:rsid w:val="002D4158"/>
    <w:rsid w:val="002D423C"/>
    <w:rsid w:val="002D43D6"/>
    <w:rsid w:val="002D54D5"/>
    <w:rsid w:val="002D58C5"/>
    <w:rsid w:val="002D5C78"/>
    <w:rsid w:val="002D6503"/>
    <w:rsid w:val="002D6E97"/>
    <w:rsid w:val="002E04E3"/>
    <w:rsid w:val="002E130C"/>
    <w:rsid w:val="002E1A09"/>
    <w:rsid w:val="002E257E"/>
    <w:rsid w:val="002E261D"/>
    <w:rsid w:val="002E4066"/>
    <w:rsid w:val="002E4B82"/>
    <w:rsid w:val="002E4C62"/>
    <w:rsid w:val="002E4E1C"/>
    <w:rsid w:val="002E50F0"/>
    <w:rsid w:val="002E544B"/>
    <w:rsid w:val="002E5B9B"/>
    <w:rsid w:val="002E605B"/>
    <w:rsid w:val="002E670F"/>
    <w:rsid w:val="002E6EFB"/>
    <w:rsid w:val="002E72C0"/>
    <w:rsid w:val="002E7AA7"/>
    <w:rsid w:val="002F01D0"/>
    <w:rsid w:val="002F0D00"/>
    <w:rsid w:val="002F127A"/>
    <w:rsid w:val="002F14B5"/>
    <w:rsid w:val="002F18CC"/>
    <w:rsid w:val="002F2F09"/>
    <w:rsid w:val="002F2F36"/>
    <w:rsid w:val="002F2F88"/>
    <w:rsid w:val="002F2F8F"/>
    <w:rsid w:val="002F384B"/>
    <w:rsid w:val="002F40BE"/>
    <w:rsid w:val="002F4986"/>
    <w:rsid w:val="002F4E9A"/>
    <w:rsid w:val="002F4EF3"/>
    <w:rsid w:val="002F7650"/>
    <w:rsid w:val="00300E8F"/>
    <w:rsid w:val="0030189B"/>
    <w:rsid w:val="003019DF"/>
    <w:rsid w:val="0030217F"/>
    <w:rsid w:val="0030229E"/>
    <w:rsid w:val="0030254C"/>
    <w:rsid w:val="00302DAD"/>
    <w:rsid w:val="003032FE"/>
    <w:rsid w:val="00304000"/>
    <w:rsid w:val="00304A44"/>
    <w:rsid w:val="003055B5"/>
    <w:rsid w:val="00305CDE"/>
    <w:rsid w:val="00305FE6"/>
    <w:rsid w:val="00306A87"/>
    <w:rsid w:val="00306B5F"/>
    <w:rsid w:val="00307FC9"/>
    <w:rsid w:val="00310061"/>
    <w:rsid w:val="003109C9"/>
    <w:rsid w:val="00311570"/>
    <w:rsid w:val="00311943"/>
    <w:rsid w:val="003133CC"/>
    <w:rsid w:val="003133EF"/>
    <w:rsid w:val="00313B69"/>
    <w:rsid w:val="00313F37"/>
    <w:rsid w:val="003146A8"/>
    <w:rsid w:val="00314989"/>
    <w:rsid w:val="003153FA"/>
    <w:rsid w:val="00315651"/>
    <w:rsid w:val="003158A0"/>
    <w:rsid w:val="00315B96"/>
    <w:rsid w:val="00315EED"/>
    <w:rsid w:val="0031749F"/>
    <w:rsid w:val="00317788"/>
    <w:rsid w:val="00317B41"/>
    <w:rsid w:val="00320618"/>
    <w:rsid w:val="00320ED1"/>
    <w:rsid w:val="00321385"/>
    <w:rsid w:val="00321B41"/>
    <w:rsid w:val="003223F4"/>
    <w:rsid w:val="0032246C"/>
    <w:rsid w:val="00322C65"/>
    <w:rsid w:val="00322DD4"/>
    <w:rsid w:val="0032317A"/>
    <w:rsid w:val="00323331"/>
    <w:rsid w:val="003234A0"/>
    <w:rsid w:val="00323594"/>
    <w:rsid w:val="0032366B"/>
    <w:rsid w:val="0032595E"/>
    <w:rsid w:val="00325A3E"/>
    <w:rsid w:val="003260B6"/>
    <w:rsid w:val="0032646C"/>
    <w:rsid w:val="00327066"/>
    <w:rsid w:val="003273C2"/>
    <w:rsid w:val="0032761B"/>
    <w:rsid w:val="003306AF"/>
    <w:rsid w:val="00330FB3"/>
    <w:rsid w:val="0033288B"/>
    <w:rsid w:val="00332B62"/>
    <w:rsid w:val="00332D20"/>
    <w:rsid w:val="003340B9"/>
    <w:rsid w:val="00334D7E"/>
    <w:rsid w:val="003375DC"/>
    <w:rsid w:val="00340164"/>
    <w:rsid w:val="0034054D"/>
    <w:rsid w:val="003420BF"/>
    <w:rsid w:val="00342937"/>
    <w:rsid w:val="003429C9"/>
    <w:rsid w:val="00342DBF"/>
    <w:rsid w:val="003442D0"/>
    <w:rsid w:val="00345423"/>
    <w:rsid w:val="00345C96"/>
    <w:rsid w:val="00345D07"/>
    <w:rsid w:val="00346086"/>
    <w:rsid w:val="0034637E"/>
    <w:rsid w:val="00346931"/>
    <w:rsid w:val="003474B6"/>
    <w:rsid w:val="003475D0"/>
    <w:rsid w:val="00347898"/>
    <w:rsid w:val="00347BC3"/>
    <w:rsid w:val="00347C2E"/>
    <w:rsid w:val="00350406"/>
    <w:rsid w:val="0035046F"/>
    <w:rsid w:val="00350516"/>
    <w:rsid w:val="00352488"/>
    <w:rsid w:val="00352786"/>
    <w:rsid w:val="0035287F"/>
    <w:rsid w:val="003535FC"/>
    <w:rsid w:val="0035447E"/>
    <w:rsid w:val="00354D62"/>
    <w:rsid w:val="00355457"/>
    <w:rsid w:val="0035603D"/>
    <w:rsid w:val="00356CEA"/>
    <w:rsid w:val="00356EE0"/>
    <w:rsid w:val="003571CA"/>
    <w:rsid w:val="00357485"/>
    <w:rsid w:val="00360023"/>
    <w:rsid w:val="00360393"/>
    <w:rsid w:val="003608A6"/>
    <w:rsid w:val="00360B1B"/>
    <w:rsid w:val="003611F9"/>
    <w:rsid w:val="0036220B"/>
    <w:rsid w:val="00362A8F"/>
    <w:rsid w:val="00363D35"/>
    <w:rsid w:val="0036439A"/>
    <w:rsid w:val="003647EC"/>
    <w:rsid w:val="00364AB1"/>
    <w:rsid w:val="00364AF6"/>
    <w:rsid w:val="0036509F"/>
    <w:rsid w:val="00365142"/>
    <w:rsid w:val="0036563F"/>
    <w:rsid w:val="00365F05"/>
    <w:rsid w:val="003664FC"/>
    <w:rsid w:val="00366C14"/>
    <w:rsid w:val="00366C9B"/>
    <w:rsid w:val="00367C2B"/>
    <w:rsid w:val="00370C19"/>
    <w:rsid w:val="00370E88"/>
    <w:rsid w:val="0037129A"/>
    <w:rsid w:val="00371AF2"/>
    <w:rsid w:val="003732C7"/>
    <w:rsid w:val="003748F6"/>
    <w:rsid w:val="0037493A"/>
    <w:rsid w:val="00374B7D"/>
    <w:rsid w:val="003754B2"/>
    <w:rsid w:val="0037652F"/>
    <w:rsid w:val="00376AFD"/>
    <w:rsid w:val="00376D5D"/>
    <w:rsid w:val="00376F76"/>
    <w:rsid w:val="0037704F"/>
    <w:rsid w:val="003776ED"/>
    <w:rsid w:val="003777A8"/>
    <w:rsid w:val="003801CE"/>
    <w:rsid w:val="00380570"/>
    <w:rsid w:val="0038189D"/>
    <w:rsid w:val="0038237D"/>
    <w:rsid w:val="00382E38"/>
    <w:rsid w:val="0038304E"/>
    <w:rsid w:val="00383277"/>
    <w:rsid w:val="00386017"/>
    <w:rsid w:val="003879A5"/>
    <w:rsid w:val="00390035"/>
    <w:rsid w:val="00390AF7"/>
    <w:rsid w:val="00391329"/>
    <w:rsid w:val="00391F51"/>
    <w:rsid w:val="0039263E"/>
    <w:rsid w:val="003927CC"/>
    <w:rsid w:val="00392B34"/>
    <w:rsid w:val="003930A2"/>
    <w:rsid w:val="0039496C"/>
    <w:rsid w:val="00396CC2"/>
    <w:rsid w:val="003977ED"/>
    <w:rsid w:val="003A0589"/>
    <w:rsid w:val="003A05B1"/>
    <w:rsid w:val="003A087C"/>
    <w:rsid w:val="003A1150"/>
    <w:rsid w:val="003A2B9D"/>
    <w:rsid w:val="003A312D"/>
    <w:rsid w:val="003A3311"/>
    <w:rsid w:val="003A3810"/>
    <w:rsid w:val="003A3854"/>
    <w:rsid w:val="003A3CEB"/>
    <w:rsid w:val="003A4245"/>
    <w:rsid w:val="003A51C3"/>
    <w:rsid w:val="003A51CE"/>
    <w:rsid w:val="003A5C38"/>
    <w:rsid w:val="003A5CB9"/>
    <w:rsid w:val="003A685B"/>
    <w:rsid w:val="003A6A30"/>
    <w:rsid w:val="003A6A93"/>
    <w:rsid w:val="003A6AC6"/>
    <w:rsid w:val="003A7321"/>
    <w:rsid w:val="003A7A18"/>
    <w:rsid w:val="003A7B1F"/>
    <w:rsid w:val="003A7FB3"/>
    <w:rsid w:val="003B019B"/>
    <w:rsid w:val="003B025C"/>
    <w:rsid w:val="003B07F9"/>
    <w:rsid w:val="003B192B"/>
    <w:rsid w:val="003B1C49"/>
    <w:rsid w:val="003B3EAA"/>
    <w:rsid w:val="003B3ECF"/>
    <w:rsid w:val="003B49F8"/>
    <w:rsid w:val="003B5597"/>
    <w:rsid w:val="003B5B6F"/>
    <w:rsid w:val="003B612B"/>
    <w:rsid w:val="003B65C1"/>
    <w:rsid w:val="003B662E"/>
    <w:rsid w:val="003B6962"/>
    <w:rsid w:val="003B69C8"/>
    <w:rsid w:val="003B7CA4"/>
    <w:rsid w:val="003B7D02"/>
    <w:rsid w:val="003B7F56"/>
    <w:rsid w:val="003C0D6C"/>
    <w:rsid w:val="003C0FDF"/>
    <w:rsid w:val="003C1C9D"/>
    <w:rsid w:val="003C1F69"/>
    <w:rsid w:val="003C2832"/>
    <w:rsid w:val="003C2843"/>
    <w:rsid w:val="003C3168"/>
    <w:rsid w:val="003C350A"/>
    <w:rsid w:val="003C385F"/>
    <w:rsid w:val="003C3992"/>
    <w:rsid w:val="003C3B8C"/>
    <w:rsid w:val="003C3F27"/>
    <w:rsid w:val="003C49DF"/>
    <w:rsid w:val="003C6AB8"/>
    <w:rsid w:val="003C72A4"/>
    <w:rsid w:val="003D09AD"/>
    <w:rsid w:val="003D1365"/>
    <w:rsid w:val="003D1EF6"/>
    <w:rsid w:val="003D2B92"/>
    <w:rsid w:val="003D30FD"/>
    <w:rsid w:val="003D4006"/>
    <w:rsid w:val="003D49FF"/>
    <w:rsid w:val="003D50F4"/>
    <w:rsid w:val="003D5259"/>
    <w:rsid w:val="003D546D"/>
    <w:rsid w:val="003D5634"/>
    <w:rsid w:val="003D5842"/>
    <w:rsid w:val="003D5B26"/>
    <w:rsid w:val="003D5BA2"/>
    <w:rsid w:val="003D6F53"/>
    <w:rsid w:val="003D7481"/>
    <w:rsid w:val="003D7600"/>
    <w:rsid w:val="003E0D4B"/>
    <w:rsid w:val="003E0F10"/>
    <w:rsid w:val="003E0F79"/>
    <w:rsid w:val="003E1A29"/>
    <w:rsid w:val="003E1FBA"/>
    <w:rsid w:val="003E37A7"/>
    <w:rsid w:val="003E4584"/>
    <w:rsid w:val="003E57CD"/>
    <w:rsid w:val="003E57D7"/>
    <w:rsid w:val="003E581B"/>
    <w:rsid w:val="003E5AA0"/>
    <w:rsid w:val="003E7898"/>
    <w:rsid w:val="003F0738"/>
    <w:rsid w:val="003F0A4F"/>
    <w:rsid w:val="003F0B19"/>
    <w:rsid w:val="003F0BC1"/>
    <w:rsid w:val="003F1986"/>
    <w:rsid w:val="003F1C81"/>
    <w:rsid w:val="003F21C4"/>
    <w:rsid w:val="003F2EAF"/>
    <w:rsid w:val="003F31FC"/>
    <w:rsid w:val="003F3C99"/>
    <w:rsid w:val="003F5E7F"/>
    <w:rsid w:val="003F5E83"/>
    <w:rsid w:val="003F5F2A"/>
    <w:rsid w:val="003F711C"/>
    <w:rsid w:val="00400809"/>
    <w:rsid w:val="0040185C"/>
    <w:rsid w:val="004019B6"/>
    <w:rsid w:val="00401C3A"/>
    <w:rsid w:val="00401CBF"/>
    <w:rsid w:val="00401DF8"/>
    <w:rsid w:val="004027A3"/>
    <w:rsid w:val="00402F27"/>
    <w:rsid w:val="004034CE"/>
    <w:rsid w:val="0040360E"/>
    <w:rsid w:val="00403904"/>
    <w:rsid w:val="004052F0"/>
    <w:rsid w:val="00405EA4"/>
    <w:rsid w:val="00406268"/>
    <w:rsid w:val="00406270"/>
    <w:rsid w:val="00406318"/>
    <w:rsid w:val="00406E61"/>
    <w:rsid w:val="004104D6"/>
    <w:rsid w:val="00410692"/>
    <w:rsid w:val="0041239B"/>
    <w:rsid w:val="00412A5C"/>
    <w:rsid w:val="00413539"/>
    <w:rsid w:val="00413742"/>
    <w:rsid w:val="00414061"/>
    <w:rsid w:val="004141E4"/>
    <w:rsid w:val="00414647"/>
    <w:rsid w:val="0041573D"/>
    <w:rsid w:val="00415B68"/>
    <w:rsid w:val="00415E28"/>
    <w:rsid w:val="00417035"/>
    <w:rsid w:val="00417310"/>
    <w:rsid w:val="0042023A"/>
    <w:rsid w:val="004205C2"/>
    <w:rsid w:val="00421182"/>
    <w:rsid w:val="00422AFE"/>
    <w:rsid w:val="00423B2E"/>
    <w:rsid w:val="0042424A"/>
    <w:rsid w:val="0042435C"/>
    <w:rsid w:val="00424858"/>
    <w:rsid w:val="00424EE3"/>
    <w:rsid w:val="00425872"/>
    <w:rsid w:val="004307F7"/>
    <w:rsid w:val="00430825"/>
    <w:rsid w:val="00431760"/>
    <w:rsid w:val="004319A5"/>
    <w:rsid w:val="00431DE4"/>
    <w:rsid w:val="00432296"/>
    <w:rsid w:val="00433B17"/>
    <w:rsid w:val="00433FD7"/>
    <w:rsid w:val="00434584"/>
    <w:rsid w:val="00434648"/>
    <w:rsid w:val="004347A4"/>
    <w:rsid w:val="0043481D"/>
    <w:rsid w:val="00434EB5"/>
    <w:rsid w:val="004402A0"/>
    <w:rsid w:val="00440936"/>
    <w:rsid w:val="00440A93"/>
    <w:rsid w:val="00440C82"/>
    <w:rsid w:val="004413FB"/>
    <w:rsid w:val="0044152F"/>
    <w:rsid w:val="004428E6"/>
    <w:rsid w:val="0044290E"/>
    <w:rsid w:val="00442FDE"/>
    <w:rsid w:val="0044376F"/>
    <w:rsid w:val="00444333"/>
    <w:rsid w:val="0044457E"/>
    <w:rsid w:val="004449D3"/>
    <w:rsid w:val="00444BC5"/>
    <w:rsid w:val="00444DBF"/>
    <w:rsid w:val="004459BA"/>
    <w:rsid w:val="00445DE8"/>
    <w:rsid w:val="0044661A"/>
    <w:rsid w:val="00446C0E"/>
    <w:rsid w:val="00446CB2"/>
    <w:rsid w:val="00446FBB"/>
    <w:rsid w:val="004517D0"/>
    <w:rsid w:val="004520E1"/>
    <w:rsid w:val="004530AE"/>
    <w:rsid w:val="00453824"/>
    <w:rsid w:val="0045417C"/>
    <w:rsid w:val="004545E5"/>
    <w:rsid w:val="00454621"/>
    <w:rsid w:val="00454E6A"/>
    <w:rsid w:val="00456493"/>
    <w:rsid w:val="004569C0"/>
    <w:rsid w:val="00457130"/>
    <w:rsid w:val="00460040"/>
    <w:rsid w:val="0046030D"/>
    <w:rsid w:val="004603D9"/>
    <w:rsid w:val="0046066C"/>
    <w:rsid w:val="004610D9"/>
    <w:rsid w:val="00461119"/>
    <w:rsid w:val="00461EA0"/>
    <w:rsid w:val="0046214D"/>
    <w:rsid w:val="0046244E"/>
    <w:rsid w:val="00462B18"/>
    <w:rsid w:val="00463537"/>
    <w:rsid w:val="00463720"/>
    <w:rsid w:val="00463C81"/>
    <w:rsid w:val="004649C4"/>
    <w:rsid w:val="00464B76"/>
    <w:rsid w:val="00465B6E"/>
    <w:rsid w:val="00465DBA"/>
    <w:rsid w:val="00467A7B"/>
    <w:rsid w:val="0047038A"/>
    <w:rsid w:val="004705B5"/>
    <w:rsid w:val="004705C2"/>
    <w:rsid w:val="00470CA2"/>
    <w:rsid w:val="00470F01"/>
    <w:rsid w:val="004714B1"/>
    <w:rsid w:val="004721DF"/>
    <w:rsid w:val="0047231E"/>
    <w:rsid w:val="004728BA"/>
    <w:rsid w:val="00472F57"/>
    <w:rsid w:val="00473462"/>
    <w:rsid w:val="00473B60"/>
    <w:rsid w:val="00474270"/>
    <w:rsid w:val="00474286"/>
    <w:rsid w:val="00474292"/>
    <w:rsid w:val="004747F8"/>
    <w:rsid w:val="00475610"/>
    <w:rsid w:val="004758BA"/>
    <w:rsid w:val="004773E9"/>
    <w:rsid w:val="00480158"/>
    <w:rsid w:val="004802F7"/>
    <w:rsid w:val="004806D9"/>
    <w:rsid w:val="0048090E"/>
    <w:rsid w:val="0048096D"/>
    <w:rsid w:val="00480B77"/>
    <w:rsid w:val="00481410"/>
    <w:rsid w:val="004815CB"/>
    <w:rsid w:val="00481EED"/>
    <w:rsid w:val="00482851"/>
    <w:rsid w:val="00482CD8"/>
    <w:rsid w:val="00482D85"/>
    <w:rsid w:val="00482F24"/>
    <w:rsid w:val="00482FC5"/>
    <w:rsid w:val="004832E5"/>
    <w:rsid w:val="00483BC6"/>
    <w:rsid w:val="0048498F"/>
    <w:rsid w:val="00485477"/>
    <w:rsid w:val="0048564C"/>
    <w:rsid w:val="00486121"/>
    <w:rsid w:val="0049074F"/>
    <w:rsid w:val="00490982"/>
    <w:rsid w:val="00490D2F"/>
    <w:rsid w:val="00491297"/>
    <w:rsid w:val="0049147A"/>
    <w:rsid w:val="004919A5"/>
    <w:rsid w:val="00491C2E"/>
    <w:rsid w:val="00491E54"/>
    <w:rsid w:val="00491FE8"/>
    <w:rsid w:val="00492770"/>
    <w:rsid w:val="00492771"/>
    <w:rsid w:val="00492D18"/>
    <w:rsid w:val="004931F6"/>
    <w:rsid w:val="00493B81"/>
    <w:rsid w:val="00493EDE"/>
    <w:rsid w:val="004943ED"/>
    <w:rsid w:val="004944FD"/>
    <w:rsid w:val="004953CF"/>
    <w:rsid w:val="00495777"/>
    <w:rsid w:val="00497EE9"/>
    <w:rsid w:val="004A0AAD"/>
    <w:rsid w:val="004A203E"/>
    <w:rsid w:val="004A21F4"/>
    <w:rsid w:val="004A226A"/>
    <w:rsid w:val="004A22FE"/>
    <w:rsid w:val="004A230C"/>
    <w:rsid w:val="004A3121"/>
    <w:rsid w:val="004A3716"/>
    <w:rsid w:val="004A4013"/>
    <w:rsid w:val="004A429A"/>
    <w:rsid w:val="004A4632"/>
    <w:rsid w:val="004B0B09"/>
    <w:rsid w:val="004B15F6"/>
    <w:rsid w:val="004B214A"/>
    <w:rsid w:val="004B3027"/>
    <w:rsid w:val="004B3EB8"/>
    <w:rsid w:val="004B4249"/>
    <w:rsid w:val="004B464E"/>
    <w:rsid w:val="004B5024"/>
    <w:rsid w:val="004B58C0"/>
    <w:rsid w:val="004B65B9"/>
    <w:rsid w:val="004B6C17"/>
    <w:rsid w:val="004B72E4"/>
    <w:rsid w:val="004C0ECD"/>
    <w:rsid w:val="004C1072"/>
    <w:rsid w:val="004C15A6"/>
    <w:rsid w:val="004C171C"/>
    <w:rsid w:val="004C20DE"/>
    <w:rsid w:val="004C3EDA"/>
    <w:rsid w:val="004C48A1"/>
    <w:rsid w:val="004C4B46"/>
    <w:rsid w:val="004C4E87"/>
    <w:rsid w:val="004C5E19"/>
    <w:rsid w:val="004C5F3A"/>
    <w:rsid w:val="004C5F41"/>
    <w:rsid w:val="004C6844"/>
    <w:rsid w:val="004C72D5"/>
    <w:rsid w:val="004D06B4"/>
    <w:rsid w:val="004D0BED"/>
    <w:rsid w:val="004D140B"/>
    <w:rsid w:val="004D1B5A"/>
    <w:rsid w:val="004D22B8"/>
    <w:rsid w:val="004D4069"/>
    <w:rsid w:val="004D479C"/>
    <w:rsid w:val="004D48E7"/>
    <w:rsid w:val="004D4AF1"/>
    <w:rsid w:val="004D5A8F"/>
    <w:rsid w:val="004D6820"/>
    <w:rsid w:val="004D6CF5"/>
    <w:rsid w:val="004D6FD4"/>
    <w:rsid w:val="004D7F15"/>
    <w:rsid w:val="004D7F3F"/>
    <w:rsid w:val="004E06F8"/>
    <w:rsid w:val="004E0E6C"/>
    <w:rsid w:val="004E0F53"/>
    <w:rsid w:val="004E1074"/>
    <w:rsid w:val="004E118D"/>
    <w:rsid w:val="004E1BFE"/>
    <w:rsid w:val="004E1FAD"/>
    <w:rsid w:val="004E2064"/>
    <w:rsid w:val="004E28D3"/>
    <w:rsid w:val="004E28E6"/>
    <w:rsid w:val="004E295C"/>
    <w:rsid w:val="004E2F28"/>
    <w:rsid w:val="004E300B"/>
    <w:rsid w:val="004E375D"/>
    <w:rsid w:val="004E3817"/>
    <w:rsid w:val="004E4B51"/>
    <w:rsid w:val="004E4F56"/>
    <w:rsid w:val="004E5544"/>
    <w:rsid w:val="004E5731"/>
    <w:rsid w:val="004E68FE"/>
    <w:rsid w:val="004E6926"/>
    <w:rsid w:val="004E71AB"/>
    <w:rsid w:val="004E7C70"/>
    <w:rsid w:val="004E7CD2"/>
    <w:rsid w:val="004E7FD0"/>
    <w:rsid w:val="004F0B30"/>
    <w:rsid w:val="004F0CEC"/>
    <w:rsid w:val="004F12EA"/>
    <w:rsid w:val="004F13BB"/>
    <w:rsid w:val="004F195E"/>
    <w:rsid w:val="004F1BCA"/>
    <w:rsid w:val="004F1C67"/>
    <w:rsid w:val="004F2491"/>
    <w:rsid w:val="004F29F9"/>
    <w:rsid w:val="004F30E2"/>
    <w:rsid w:val="004F3591"/>
    <w:rsid w:val="004F35DC"/>
    <w:rsid w:val="004F396B"/>
    <w:rsid w:val="004F3EEC"/>
    <w:rsid w:val="004F410D"/>
    <w:rsid w:val="004F476C"/>
    <w:rsid w:val="004F48B8"/>
    <w:rsid w:val="004F4A49"/>
    <w:rsid w:val="004F4C41"/>
    <w:rsid w:val="004F503F"/>
    <w:rsid w:val="004F51E5"/>
    <w:rsid w:val="004F5435"/>
    <w:rsid w:val="004F5D60"/>
    <w:rsid w:val="004F658A"/>
    <w:rsid w:val="004F68C3"/>
    <w:rsid w:val="004F6909"/>
    <w:rsid w:val="004F6AED"/>
    <w:rsid w:val="004F778F"/>
    <w:rsid w:val="004F7F01"/>
    <w:rsid w:val="00500C29"/>
    <w:rsid w:val="005014A3"/>
    <w:rsid w:val="00502077"/>
    <w:rsid w:val="00502694"/>
    <w:rsid w:val="00502A91"/>
    <w:rsid w:val="00503239"/>
    <w:rsid w:val="00503254"/>
    <w:rsid w:val="00503297"/>
    <w:rsid w:val="00503697"/>
    <w:rsid w:val="00504355"/>
    <w:rsid w:val="00505112"/>
    <w:rsid w:val="0050603B"/>
    <w:rsid w:val="00506ABE"/>
    <w:rsid w:val="00506DD0"/>
    <w:rsid w:val="00510482"/>
    <w:rsid w:val="005118D6"/>
    <w:rsid w:val="00511992"/>
    <w:rsid w:val="0051261A"/>
    <w:rsid w:val="005131CD"/>
    <w:rsid w:val="0051366A"/>
    <w:rsid w:val="00514B25"/>
    <w:rsid w:val="00515D3D"/>
    <w:rsid w:val="00516A60"/>
    <w:rsid w:val="00516F02"/>
    <w:rsid w:val="00517DB4"/>
    <w:rsid w:val="00517DD4"/>
    <w:rsid w:val="00520950"/>
    <w:rsid w:val="00521570"/>
    <w:rsid w:val="00521D51"/>
    <w:rsid w:val="0052227E"/>
    <w:rsid w:val="0052230D"/>
    <w:rsid w:val="00523973"/>
    <w:rsid w:val="0052397A"/>
    <w:rsid w:val="00524DED"/>
    <w:rsid w:val="00525035"/>
    <w:rsid w:val="005254B0"/>
    <w:rsid w:val="005255C5"/>
    <w:rsid w:val="005267C8"/>
    <w:rsid w:val="00526D7B"/>
    <w:rsid w:val="005272CA"/>
    <w:rsid w:val="005272F7"/>
    <w:rsid w:val="005276BF"/>
    <w:rsid w:val="00527EBC"/>
    <w:rsid w:val="00530ACB"/>
    <w:rsid w:val="00530C3D"/>
    <w:rsid w:val="00532B1F"/>
    <w:rsid w:val="00533FD8"/>
    <w:rsid w:val="00534954"/>
    <w:rsid w:val="00534D9E"/>
    <w:rsid w:val="00535499"/>
    <w:rsid w:val="00535699"/>
    <w:rsid w:val="00535828"/>
    <w:rsid w:val="00535A46"/>
    <w:rsid w:val="00535E6E"/>
    <w:rsid w:val="0053653F"/>
    <w:rsid w:val="005372E6"/>
    <w:rsid w:val="005379AE"/>
    <w:rsid w:val="00537AC4"/>
    <w:rsid w:val="00537FB9"/>
    <w:rsid w:val="00540DCB"/>
    <w:rsid w:val="00541490"/>
    <w:rsid w:val="00542B2F"/>
    <w:rsid w:val="00543289"/>
    <w:rsid w:val="00543482"/>
    <w:rsid w:val="00544ABD"/>
    <w:rsid w:val="00545488"/>
    <w:rsid w:val="005456B6"/>
    <w:rsid w:val="00545793"/>
    <w:rsid w:val="00545F5D"/>
    <w:rsid w:val="00546186"/>
    <w:rsid w:val="00547672"/>
    <w:rsid w:val="0055053F"/>
    <w:rsid w:val="005505D5"/>
    <w:rsid w:val="0055079B"/>
    <w:rsid w:val="00550B51"/>
    <w:rsid w:val="0055124B"/>
    <w:rsid w:val="0055134C"/>
    <w:rsid w:val="00551587"/>
    <w:rsid w:val="00551AB6"/>
    <w:rsid w:val="0055211D"/>
    <w:rsid w:val="00552CE2"/>
    <w:rsid w:val="00554D2A"/>
    <w:rsid w:val="00555755"/>
    <w:rsid w:val="00555906"/>
    <w:rsid w:val="00555D4A"/>
    <w:rsid w:val="00556D5E"/>
    <w:rsid w:val="00556E3A"/>
    <w:rsid w:val="0055739F"/>
    <w:rsid w:val="00557701"/>
    <w:rsid w:val="00562EFB"/>
    <w:rsid w:val="0056315A"/>
    <w:rsid w:val="00563192"/>
    <w:rsid w:val="00563878"/>
    <w:rsid w:val="00563C61"/>
    <w:rsid w:val="00563E78"/>
    <w:rsid w:val="00564215"/>
    <w:rsid w:val="005651B6"/>
    <w:rsid w:val="00566F0A"/>
    <w:rsid w:val="00567310"/>
    <w:rsid w:val="005709D8"/>
    <w:rsid w:val="00570EF9"/>
    <w:rsid w:val="005719E8"/>
    <w:rsid w:val="005724AA"/>
    <w:rsid w:val="005725B4"/>
    <w:rsid w:val="00572E97"/>
    <w:rsid w:val="005734D2"/>
    <w:rsid w:val="005748F1"/>
    <w:rsid w:val="00574C95"/>
    <w:rsid w:val="00576805"/>
    <w:rsid w:val="005776E5"/>
    <w:rsid w:val="0057775D"/>
    <w:rsid w:val="005777EB"/>
    <w:rsid w:val="0058025D"/>
    <w:rsid w:val="005803A0"/>
    <w:rsid w:val="005804AA"/>
    <w:rsid w:val="0058097B"/>
    <w:rsid w:val="0058167E"/>
    <w:rsid w:val="005824F9"/>
    <w:rsid w:val="005828B0"/>
    <w:rsid w:val="00582904"/>
    <w:rsid w:val="005835EA"/>
    <w:rsid w:val="0058396F"/>
    <w:rsid w:val="005849B1"/>
    <w:rsid w:val="00584EF2"/>
    <w:rsid w:val="0058639A"/>
    <w:rsid w:val="0058698A"/>
    <w:rsid w:val="005876F4"/>
    <w:rsid w:val="00587B09"/>
    <w:rsid w:val="0059030E"/>
    <w:rsid w:val="005908A6"/>
    <w:rsid w:val="005912BF"/>
    <w:rsid w:val="00592543"/>
    <w:rsid w:val="005927D5"/>
    <w:rsid w:val="005931FC"/>
    <w:rsid w:val="00593654"/>
    <w:rsid w:val="0059371E"/>
    <w:rsid w:val="00593759"/>
    <w:rsid w:val="005937BC"/>
    <w:rsid w:val="0059416F"/>
    <w:rsid w:val="005942C5"/>
    <w:rsid w:val="0059475A"/>
    <w:rsid w:val="00594945"/>
    <w:rsid w:val="0059526C"/>
    <w:rsid w:val="005955E3"/>
    <w:rsid w:val="00595D0D"/>
    <w:rsid w:val="00596419"/>
    <w:rsid w:val="00596ABA"/>
    <w:rsid w:val="0059707F"/>
    <w:rsid w:val="005977E7"/>
    <w:rsid w:val="005A06D8"/>
    <w:rsid w:val="005A0A79"/>
    <w:rsid w:val="005A0E3A"/>
    <w:rsid w:val="005A188B"/>
    <w:rsid w:val="005A297D"/>
    <w:rsid w:val="005A3FB6"/>
    <w:rsid w:val="005A41FE"/>
    <w:rsid w:val="005A42AB"/>
    <w:rsid w:val="005A72D3"/>
    <w:rsid w:val="005A742E"/>
    <w:rsid w:val="005A7430"/>
    <w:rsid w:val="005B08D1"/>
    <w:rsid w:val="005B09B9"/>
    <w:rsid w:val="005B119F"/>
    <w:rsid w:val="005B2459"/>
    <w:rsid w:val="005B24BE"/>
    <w:rsid w:val="005B298E"/>
    <w:rsid w:val="005B2D82"/>
    <w:rsid w:val="005B2E3B"/>
    <w:rsid w:val="005B31E9"/>
    <w:rsid w:val="005B3D13"/>
    <w:rsid w:val="005B4214"/>
    <w:rsid w:val="005B4418"/>
    <w:rsid w:val="005B511D"/>
    <w:rsid w:val="005B6056"/>
    <w:rsid w:val="005B63E3"/>
    <w:rsid w:val="005B6945"/>
    <w:rsid w:val="005B73FC"/>
    <w:rsid w:val="005B76A1"/>
    <w:rsid w:val="005B7F44"/>
    <w:rsid w:val="005C0041"/>
    <w:rsid w:val="005C079D"/>
    <w:rsid w:val="005C0BB3"/>
    <w:rsid w:val="005C0DE7"/>
    <w:rsid w:val="005C108F"/>
    <w:rsid w:val="005C18C1"/>
    <w:rsid w:val="005C2763"/>
    <w:rsid w:val="005C4AF0"/>
    <w:rsid w:val="005C4EFF"/>
    <w:rsid w:val="005C505D"/>
    <w:rsid w:val="005C5B1A"/>
    <w:rsid w:val="005C5DAE"/>
    <w:rsid w:val="005C61EF"/>
    <w:rsid w:val="005C65AA"/>
    <w:rsid w:val="005C67A2"/>
    <w:rsid w:val="005C68CE"/>
    <w:rsid w:val="005C6BFF"/>
    <w:rsid w:val="005C7702"/>
    <w:rsid w:val="005C7E9A"/>
    <w:rsid w:val="005D0655"/>
    <w:rsid w:val="005D06F3"/>
    <w:rsid w:val="005D1C31"/>
    <w:rsid w:val="005D2044"/>
    <w:rsid w:val="005D2144"/>
    <w:rsid w:val="005D23D3"/>
    <w:rsid w:val="005D2F3D"/>
    <w:rsid w:val="005D34DE"/>
    <w:rsid w:val="005D391D"/>
    <w:rsid w:val="005D438B"/>
    <w:rsid w:val="005D4603"/>
    <w:rsid w:val="005D5055"/>
    <w:rsid w:val="005D56FC"/>
    <w:rsid w:val="005D58C6"/>
    <w:rsid w:val="005D613C"/>
    <w:rsid w:val="005D63A7"/>
    <w:rsid w:val="005D6929"/>
    <w:rsid w:val="005D6A75"/>
    <w:rsid w:val="005D6AAC"/>
    <w:rsid w:val="005E0256"/>
    <w:rsid w:val="005E07A2"/>
    <w:rsid w:val="005E0B47"/>
    <w:rsid w:val="005E16D1"/>
    <w:rsid w:val="005E1BA4"/>
    <w:rsid w:val="005E1E6E"/>
    <w:rsid w:val="005E1E9E"/>
    <w:rsid w:val="005E1F0A"/>
    <w:rsid w:val="005E2CAA"/>
    <w:rsid w:val="005E3C5E"/>
    <w:rsid w:val="005E40F5"/>
    <w:rsid w:val="005E4E8A"/>
    <w:rsid w:val="005E59B6"/>
    <w:rsid w:val="005E6031"/>
    <w:rsid w:val="005E6CB3"/>
    <w:rsid w:val="005E7421"/>
    <w:rsid w:val="005E7679"/>
    <w:rsid w:val="005E7AFC"/>
    <w:rsid w:val="005F00BC"/>
    <w:rsid w:val="005F03BC"/>
    <w:rsid w:val="005F0526"/>
    <w:rsid w:val="005F0621"/>
    <w:rsid w:val="005F0E1A"/>
    <w:rsid w:val="005F2392"/>
    <w:rsid w:val="005F2AA8"/>
    <w:rsid w:val="005F3426"/>
    <w:rsid w:val="005F393B"/>
    <w:rsid w:val="005F39AC"/>
    <w:rsid w:val="005F521E"/>
    <w:rsid w:val="005F5768"/>
    <w:rsid w:val="005F5DE1"/>
    <w:rsid w:val="005F5EB1"/>
    <w:rsid w:val="005F76D8"/>
    <w:rsid w:val="005F7C71"/>
    <w:rsid w:val="006002F7"/>
    <w:rsid w:val="00600A18"/>
    <w:rsid w:val="00600A2A"/>
    <w:rsid w:val="00600DBA"/>
    <w:rsid w:val="00602513"/>
    <w:rsid w:val="00602CDD"/>
    <w:rsid w:val="0060312D"/>
    <w:rsid w:val="00603665"/>
    <w:rsid w:val="00603C4F"/>
    <w:rsid w:val="00603F04"/>
    <w:rsid w:val="00604619"/>
    <w:rsid w:val="006048E9"/>
    <w:rsid w:val="00604D4D"/>
    <w:rsid w:val="0060588F"/>
    <w:rsid w:val="006059DB"/>
    <w:rsid w:val="00606321"/>
    <w:rsid w:val="0060645D"/>
    <w:rsid w:val="006078AB"/>
    <w:rsid w:val="006078D4"/>
    <w:rsid w:val="00607D78"/>
    <w:rsid w:val="00607EC5"/>
    <w:rsid w:val="00610670"/>
    <w:rsid w:val="00611016"/>
    <w:rsid w:val="006112D2"/>
    <w:rsid w:val="006113A1"/>
    <w:rsid w:val="00611734"/>
    <w:rsid w:val="006132BA"/>
    <w:rsid w:val="00613622"/>
    <w:rsid w:val="00613799"/>
    <w:rsid w:val="00615719"/>
    <w:rsid w:val="00616BB1"/>
    <w:rsid w:val="00616C54"/>
    <w:rsid w:val="00617771"/>
    <w:rsid w:val="006179BD"/>
    <w:rsid w:val="00617AF3"/>
    <w:rsid w:val="00620BC1"/>
    <w:rsid w:val="00620C15"/>
    <w:rsid w:val="00620D63"/>
    <w:rsid w:val="0062153A"/>
    <w:rsid w:val="0062262C"/>
    <w:rsid w:val="00622C55"/>
    <w:rsid w:val="00622DCD"/>
    <w:rsid w:val="00623332"/>
    <w:rsid w:val="00624575"/>
    <w:rsid w:val="00624A85"/>
    <w:rsid w:val="006256C0"/>
    <w:rsid w:val="006263B7"/>
    <w:rsid w:val="00626439"/>
    <w:rsid w:val="00626E7C"/>
    <w:rsid w:val="00627B0B"/>
    <w:rsid w:val="0063025A"/>
    <w:rsid w:val="00630287"/>
    <w:rsid w:val="0063103F"/>
    <w:rsid w:val="0063108B"/>
    <w:rsid w:val="006310B4"/>
    <w:rsid w:val="00633CC6"/>
    <w:rsid w:val="00634103"/>
    <w:rsid w:val="0063492D"/>
    <w:rsid w:val="00634959"/>
    <w:rsid w:val="00634BC6"/>
    <w:rsid w:val="006352CA"/>
    <w:rsid w:val="006360BD"/>
    <w:rsid w:val="0063718A"/>
    <w:rsid w:val="00637194"/>
    <w:rsid w:val="00637303"/>
    <w:rsid w:val="00637335"/>
    <w:rsid w:val="00637582"/>
    <w:rsid w:val="00637686"/>
    <w:rsid w:val="00637C18"/>
    <w:rsid w:val="00637FF2"/>
    <w:rsid w:val="00637FF8"/>
    <w:rsid w:val="00640747"/>
    <w:rsid w:val="00640F8E"/>
    <w:rsid w:val="0064152F"/>
    <w:rsid w:val="0064167E"/>
    <w:rsid w:val="00641875"/>
    <w:rsid w:val="00642DC5"/>
    <w:rsid w:val="00642E3F"/>
    <w:rsid w:val="00643AB4"/>
    <w:rsid w:val="00643B78"/>
    <w:rsid w:val="00644174"/>
    <w:rsid w:val="006449A2"/>
    <w:rsid w:val="00644A41"/>
    <w:rsid w:val="00646277"/>
    <w:rsid w:val="006462E7"/>
    <w:rsid w:val="006463D3"/>
    <w:rsid w:val="0064667E"/>
    <w:rsid w:val="00646832"/>
    <w:rsid w:val="00647734"/>
    <w:rsid w:val="00647B61"/>
    <w:rsid w:val="00647FA7"/>
    <w:rsid w:val="00650E00"/>
    <w:rsid w:val="00652B12"/>
    <w:rsid w:val="006536D7"/>
    <w:rsid w:val="0065420E"/>
    <w:rsid w:val="0065486C"/>
    <w:rsid w:val="006551AF"/>
    <w:rsid w:val="006568AA"/>
    <w:rsid w:val="00656D31"/>
    <w:rsid w:val="00656DE5"/>
    <w:rsid w:val="0065741B"/>
    <w:rsid w:val="006611E3"/>
    <w:rsid w:val="00661FE1"/>
    <w:rsid w:val="0066250A"/>
    <w:rsid w:val="00662DA2"/>
    <w:rsid w:val="00662DD7"/>
    <w:rsid w:val="00662F36"/>
    <w:rsid w:val="00662FDB"/>
    <w:rsid w:val="00663015"/>
    <w:rsid w:val="006638C5"/>
    <w:rsid w:val="00664553"/>
    <w:rsid w:val="00664586"/>
    <w:rsid w:val="00664867"/>
    <w:rsid w:val="0066572A"/>
    <w:rsid w:val="0066681F"/>
    <w:rsid w:val="006669E0"/>
    <w:rsid w:val="006678F9"/>
    <w:rsid w:val="00667A07"/>
    <w:rsid w:val="00670641"/>
    <w:rsid w:val="006714B7"/>
    <w:rsid w:val="006714F9"/>
    <w:rsid w:val="00671AC4"/>
    <w:rsid w:val="00671C13"/>
    <w:rsid w:val="00672887"/>
    <w:rsid w:val="006728EA"/>
    <w:rsid w:val="00672A07"/>
    <w:rsid w:val="00672B48"/>
    <w:rsid w:val="00672F27"/>
    <w:rsid w:val="00673C7D"/>
    <w:rsid w:val="00674120"/>
    <w:rsid w:val="00674256"/>
    <w:rsid w:val="00675DC7"/>
    <w:rsid w:val="00676C35"/>
    <w:rsid w:val="0067741B"/>
    <w:rsid w:val="00677830"/>
    <w:rsid w:val="00680204"/>
    <w:rsid w:val="00680692"/>
    <w:rsid w:val="00681046"/>
    <w:rsid w:val="006812F8"/>
    <w:rsid w:val="0068158A"/>
    <w:rsid w:val="00681BC6"/>
    <w:rsid w:val="00681FB3"/>
    <w:rsid w:val="00682494"/>
    <w:rsid w:val="0068370D"/>
    <w:rsid w:val="006839B3"/>
    <w:rsid w:val="0068458E"/>
    <w:rsid w:val="00685AF7"/>
    <w:rsid w:val="00687103"/>
    <w:rsid w:val="00690926"/>
    <w:rsid w:val="00691018"/>
    <w:rsid w:val="006916D0"/>
    <w:rsid w:val="0069171A"/>
    <w:rsid w:val="0069190C"/>
    <w:rsid w:val="0069196D"/>
    <w:rsid w:val="006921AF"/>
    <w:rsid w:val="00692215"/>
    <w:rsid w:val="00692908"/>
    <w:rsid w:val="006962E0"/>
    <w:rsid w:val="00696C08"/>
    <w:rsid w:val="00697EC8"/>
    <w:rsid w:val="006A0251"/>
    <w:rsid w:val="006A0EF4"/>
    <w:rsid w:val="006A0F05"/>
    <w:rsid w:val="006A111E"/>
    <w:rsid w:val="006A1529"/>
    <w:rsid w:val="006A2F3A"/>
    <w:rsid w:val="006A363D"/>
    <w:rsid w:val="006A42A3"/>
    <w:rsid w:val="006A4996"/>
    <w:rsid w:val="006A53E8"/>
    <w:rsid w:val="006A5CBC"/>
    <w:rsid w:val="006A62A9"/>
    <w:rsid w:val="006A6385"/>
    <w:rsid w:val="006A6686"/>
    <w:rsid w:val="006A679C"/>
    <w:rsid w:val="006A6866"/>
    <w:rsid w:val="006A6BDC"/>
    <w:rsid w:val="006A735A"/>
    <w:rsid w:val="006A77A5"/>
    <w:rsid w:val="006B0297"/>
    <w:rsid w:val="006B1608"/>
    <w:rsid w:val="006B26B0"/>
    <w:rsid w:val="006B3586"/>
    <w:rsid w:val="006B3C91"/>
    <w:rsid w:val="006B5A76"/>
    <w:rsid w:val="006B66A8"/>
    <w:rsid w:val="006B6BA4"/>
    <w:rsid w:val="006B6F29"/>
    <w:rsid w:val="006B73FB"/>
    <w:rsid w:val="006C00D4"/>
    <w:rsid w:val="006C1461"/>
    <w:rsid w:val="006C1BBF"/>
    <w:rsid w:val="006C22C9"/>
    <w:rsid w:val="006C2566"/>
    <w:rsid w:val="006C3ACF"/>
    <w:rsid w:val="006C511A"/>
    <w:rsid w:val="006C5A45"/>
    <w:rsid w:val="006C5AE7"/>
    <w:rsid w:val="006C64B3"/>
    <w:rsid w:val="006C6585"/>
    <w:rsid w:val="006D03B7"/>
    <w:rsid w:val="006D0DDA"/>
    <w:rsid w:val="006D1A5E"/>
    <w:rsid w:val="006D1D86"/>
    <w:rsid w:val="006D1F33"/>
    <w:rsid w:val="006D280C"/>
    <w:rsid w:val="006D29FD"/>
    <w:rsid w:val="006D2B48"/>
    <w:rsid w:val="006D2CAA"/>
    <w:rsid w:val="006D423F"/>
    <w:rsid w:val="006D4F36"/>
    <w:rsid w:val="006D5880"/>
    <w:rsid w:val="006D5E3D"/>
    <w:rsid w:val="006D5FF0"/>
    <w:rsid w:val="006D61F2"/>
    <w:rsid w:val="006D652E"/>
    <w:rsid w:val="006D709D"/>
    <w:rsid w:val="006D757C"/>
    <w:rsid w:val="006D7E09"/>
    <w:rsid w:val="006D7E79"/>
    <w:rsid w:val="006D7F78"/>
    <w:rsid w:val="006E0563"/>
    <w:rsid w:val="006E0994"/>
    <w:rsid w:val="006E155A"/>
    <w:rsid w:val="006E1FBD"/>
    <w:rsid w:val="006E247C"/>
    <w:rsid w:val="006E27AB"/>
    <w:rsid w:val="006E2FF9"/>
    <w:rsid w:val="006E315A"/>
    <w:rsid w:val="006E3194"/>
    <w:rsid w:val="006E32F5"/>
    <w:rsid w:val="006E33FE"/>
    <w:rsid w:val="006E4C09"/>
    <w:rsid w:val="006E5792"/>
    <w:rsid w:val="006E74CF"/>
    <w:rsid w:val="006F0904"/>
    <w:rsid w:val="006F158C"/>
    <w:rsid w:val="006F15CC"/>
    <w:rsid w:val="006F216D"/>
    <w:rsid w:val="006F2376"/>
    <w:rsid w:val="006F26B3"/>
    <w:rsid w:val="006F290F"/>
    <w:rsid w:val="006F2BA3"/>
    <w:rsid w:val="006F2BF0"/>
    <w:rsid w:val="006F2CBE"/>
    <w:rsid w:val="006F2E66"/>
    <w:rsid w:val="006F302C"/>
    <w:rsid w:val="006F344E"/>
    <w:rsid w:val="006F3452"/>
    <w:rsid w:val="006F3453"/>
    <w:rsid w:val="006F354F"/>
    <w:rsid w:val="006F398E"/>
    <w:rsid w:val="006F3FBD"/>
    <w:rsid w:val="006F3FD2"/>
    <w:rsid w:val="006F4948"/>
    <w:rsid w:val="006F4CAD"/>
    <w:rsid w:val="006F4DF5"/>
    <w:rsid w:val="006F4EE2"/>
    <w:rsid w:val="006F4F53"/>
    <w:rsid w:val="006F5CB3"/>
    <w:rsid w:val="006F6198"/>
    <w:rsid w:val="006F6211"/>
    <w:rsid w:val="006F6996"/>
    <w:rsid w:val="006F6AC6"/>
    <w:rsid w:val="006F715C"/>
    <w:rsid w:val="006F7402"/>
    <w:rsid w:val="0070076F"/>
    <w:rsid w:val="00702597"/>
    <w:rsid w:val="00702CCD"/>
    <w:rsid w:val="00702F10"/>
    <w:rsid w:val="00703102"/>
    <w:rsid w:val="007032B6"/>
    <w:rsid w:val="00703627"/>
    <w:rsid w:val="00703EDB"/>
    <w:rsid w:val="00704336"/>
    <w:rsid w:val="007046B2"/>
    <w:rsid w:val="007053E7"/>
    <w:rsid w:val="0070575E"/>
    <w:rsid w:val="0070598A"/>
    <w:rsid w:val="00706713"/>
    <w:rsid w:val="00706B45"/>
    <w:rsid w:val="007076CC"/>
    <w:rsid w:val="00707D6C"/>
    <w:rsid w:val="00710026"/>
    <w:rsid w:val="00710E70"/>
    <w:rsid w:val="0071277F"/>
    <w:rsid w:val="0071291E"/>
    <w:rsid w:val="0071355B"/>
    <w:rsid w:val="00713597"/>
    <w:rsid w:val="0071384C"/>
    <w:rsid w:val="007138B6"/>
    <w:rsid w:val="007140F1"/>
    <w:rsid w:val="007144A2"/>
    <w:rsid w:val="0071492E"/>
    <w:rsid w:val="007155B3"/>
    <w:rsid w:val="007158E5"/>
    <w:rsid w:val="00715F30"/>
    <w:rsid w:val="00716436"/>
    <w:rsid w:val="00716AB0"/>
    <w:rsid w:val="00717E22"/>
    <w:rsid w:val="007204E6"/>
    <w:rsid w:val="00720DC5"/>
    <w:rsid w:val="007212E6"/>
    <w:rsid w:val="00721451"/>
    <w:rsid w:val="0072146D"/>
    <w:rsid w:val="00721C48"/>
    <w:rsid w:val="00721DFA"/>
    <w:rsid w:val="00722D87"/>
    <w:rsid w:val="007237AD"/>
    <w:rsid w:val="00723B45"/>
    <w:rsid w:val="00723C54"/>
    <w:rsid w:val="00724682"/>
    <w:rsid w:val="00724958"/>
    <w:rsid w:val="00725C67"/>
    <w:rsid w:val="00725EBF"/>
    <w:rsid w:val="007265C1"/>
    <w:rsid w:val="007266AF"/>
    <w:rsid w:val="00727BC9"/>
    <w:rsid w:val="00730525"/>
    <w:rsid w:val="00730A28"/>
    <w:rsid w:val="00730EBC"/>
    <w:rsid w:val="00731324"/>
    <w:rsid w:val="00732062"/>
    <w:rsid w:val="007323D4"/>
    <w:rsid w:val="00733E1E"/>
    <w:rsid w:val="00734452"/>
    <w:rsid w:val="00734DC9"/>
    <w:rsid w:val="00734EDC"/>
    <w:rsid w:val="00735957"/>
    <w:rsid w:val="00736774"/>
    <w:rsid w:val="00736BA5"/>
    <w:rsid w:val="0073737F"/>
    <w:rsid w:val="0073738B"/>
    <w:rsid w:val="0074020D"/>
    <w:rsid w:val="00740B5B"/>
    <w:rsid w:val="00740CAB"/>
    <w:rsid w:val="00740FCE"/>
    <w:rsid w:val="00741F7C"/>
    <w:rsid w:val="00742801"/>
    <w:rsid w:val="0074288B"/>
    <w:rsid w:val="007434AB"/>
    <w:rsid w:val="00743966"/>
    <w:rsid w:val="0074580F"/>
    <w:rsid w:val="00745B56"/>
    <w:rsid w:val="00745F2B"/>
    <w:rsid w:val="0074617E"/>
    <w:rsid w:val="007465FF"/>
    <w:rsid w:val="0074660A"/>
    <w:rsid w:val="007469AC"/>
    <w:rsid w:val="00747733"/>
    <w:rsid w:val="00750125"/>
    <w:rsid w:val="00750739"/>
    <w:rsid w:val="00751093"/>
    <w:rsid w:val="00751812"/>
    <w:rsid w:val="00751906"/>
    <w:rsid w:val="00751B34"/>
    <w:rsid w:val="007523BF"/>
    <w:rsid w:val="007524F1"/>
    <w:rsid w:val="0075305C"/>
    <w:rsid w:val="0075392F"/>
    <w:rsid w:val="00753C0F"/>
    <w:rsid w:val="00754420"/>
    <w:rsid w:val="0075547A"/>
    <w:rsid w:val="007554D5"/>
    <w:rsid w:val="00755BF0"/>
    <w:rsid w:val="0075637C"/>
    <w:rsid w:val="0075642A"/>
    <w:rsid w:val="00756C3E"/>
    <w:rsid w:val="00760141"/>
    <w:rsid w:val="0076096C"/>
    <w:rsid w:val="00760DF0"/>
    <w:rsid w:val="00760E6F"/>
    <w:rsid w:val="0076141B"/>
    <w:rsid w:val="00761A00"/>
    <w:rsid w:val="00761BF9"/>
    <w:rsid w:val="00762A82"/>
    <w:rsid w:val="00762AD2"/>
    <w:rsid w:val="00762BE6"/>
    <w:rsid w:val="00763316"/>
    <w:rsid w:val="00764063"/>
    <w:rsid w:val="00764104"/>
    <w:rsid w:val="00764281"/>
    <w:rsid w:val="007657C0"/>
    <w:rsid w:val="0076675A"/>
    <w:rsid w:val="00767937"/>
    <w:rsid w:val="00770051"/>
    <w:rsid w:val="00770595"/>
    <w:rsid w:val="00770882"/>
    <w:rsid w:val="00770E15"/>
    <w:rsid w:val="0077100E"/>
    <w:rsid w:val="00771140"/>
    <w:rsid w:val="007717AC"/>
    <w:rsid w:val="00772019"/>
    <w:rsid w:val="007722CA"/>
    <w:rsid w:val="00772788"/>
    <w:rsid w:val="00772E53"/>
    <w:rsid w:val="00772EDE"/>
    <w:rsid w:val="0077486C"/>
    <w:rsid w:val="00774A11"/>
    <w:rsid w:val="00774E17"/>
    <w:rsid w:val="00775DCC"/>
    <w:rsid w:val="0077645B"/>
    <w:rsid w:val="00776784"/>
    <w:rsid w:val="007767DE"/>
    <w:rsid w:val="00776B41"/>
    <w:rsid w:val="00776B83"/>
    <w:rsid w:val="00776F50"/>
    <w:rsid w:val="00777CB5"/>
    <w:rsid w:val="00777DB6"/>
    <w:rsid w:val="007804C4"/>
    <w:rsid w:val="00780D5E"/>
    <w:rsid w:val="00782252"/>
    <w:rsid w:val="0078228D"/>
    <w:rsid w:val="00782443"/>
    <w:rsid w:val="00782F40"/>
    <w:rsid w:val="00784AD7"/>
    <w:rsid w:val="00785229"/>
    <w:rsid w:val="0078531C"/>
    <w:rsid w:val="00785597"/>
    <w:rsid w:val="00785B4F"/>
    <w:rsid w:val="00786DB3"/>
    <w:rsid w:val="00786DF0"/>
    <w:rsid w:val="0078713F"/>
    <w:rsid w:val="0078718B"/>
    <w:rsid w:val="00787976"/>
    <w:rsid w:val="0079013F"/>
    <w:rsid w:val="007901D5"/>
    <w:rsid w:val="00790406"/>
    <w:rsid w:val="007909EC"/>
    <w:rsid w:val="00791DDD"/>
    <w:rsid w:val="007923E7"/>
    <w:rsid w:val="00792D65"/>
    <w:rsid w:val="0079340C"/>
    <w:rsid w:val="00794A05"/>
    <w:rsid w:val="007960CA"/>
    <w:rsid w:val="007961EC"/>
    <w:rsid w:val="00796633"/>
    <w:rsid w:val="00797EA3"/>
    <w:rsid w:val="007A00D6"/>
    <w:rsid w:val="007A120D"/>
    <w:rsid w:val="007A236E"/>
    <w:rsid w:val="007A2724"/>
    <w:rsid w:val="007A41C5"/>
    <w:rsid w:val="007A4457"/>
    <w:rsid w:val="007A4740"/>
    <w:rsid w:val="007A5149"/>
    <w:rsid w:val="007A51B4"/>
    <w:rsid w:val="007A5751"/>
    <w:rsid w:val="007A67C8"/>
    <w:rsid w:val="007A6CEB"/>
    <w:rsid w:val="007A733C"/>
    <w:rsid w:val="007B081B"/>
    <w:rsid w:val="007B0976"/>
    <w:rsid w:val="007B0A19"/>
    <w:rsid w:val="007B0BD5"/>
    <w:rsid w:val="007B108C"/>
    <w:rsid w:val="007B1628"/>
    <w:rsid w:val="007B1FD3"/>
    <w:rsid w:val="007B2885"/>
    <w:rsid w:val="007B3621"/>
    <w:rsid w:val="007B3B04"/>
    <w:rsid w:val="007B3B8C"/>
    <w:rsid w:val="007B462F"/>
    <w:rsid w:val="007B4EF3"/>
    <w:rsid w:val="007B5E89"/>
    <w:rsid w:val="007B6131"/>
    <w:rsid w:val="007B7014"/>
    <w:rsid w:val="007B70E1"/>
    <w:rsid w:val="007B7C3C"/>
    <w:rsid w:val="007C0085"/>
    <w:rsid w:val="007C0A2F"/>
    <w:rsid w:val="007C21A9"/>
    <w:rsid w:val="007C222D"/>
    <w:rsid w:val="007C2569"/>
    <w:rsid w:val="007C2F45"/>
    <w:rsid w:val="007C34FA"/>
    <w:rsid w:val="007C364C"/>
    <w:rsid w:val="007C3933"/>
    <w:rsid w:val="007C4DD1"/>
    <w:rsid w:val="007C56F3"/>
    <w:rsid w:val="007C5EEF"/>
    <w:rsid w:val="007C7036"/>
    <w:rsid w:val="007D075B"/>
    <w:rsid w:val="007D118B"/>
    <w:rsid w:val="007D1240"/>
    <w:rsid w:val="007D12C5"/>
    <w:rsid w:val="007D1CA9"/>
    <w:rsid w:val="007D2239"/>
    <w:rsid w:val="007D2458"/>
    <w:rsid w:val="007D389D"/>
    <w:rsid w:val="007D3B8F"/>
    <w:rsid w:val="007D3D1C"/>
    <w:rsid w:val="007D56F7"/>
    <w:rsid w:val="007D7AF3"/>
    <w:rsid w:val="007D7D7F"/>
    <w:rsid w:val="007E04A1"/>
    <w:rsid w:val="007E062F"/>
    <w:rsid w:val="007E1E62"/>
    <w:rsid w:val="007E2186"/>
    <w:rsid w:val="007E252D"/>
    <w:rsid w:val="007E2C82"/>
    <w:rsid w:val="007E2C99"/>
    <w:rsid w:val="007E2F47"/>
    <w:rsid w:val="007E33AB"/>
    <w:rsid w:val="007E3EB6"/>
    <w:rsid w:val="007E400B"/>
    <w:rsid w:val="007E465B"/>
    <w:rsid w:val="007E4799"/>
    <w:rsid w:val="007E53BA"/>
    <w:rsid w:val="007E5733"/>
    <w:rsid w:val="007E5FC8"/>
    <w:rsid w:val="007E60CC"/>
    <w:rsid w:val="007E632A"/>
    <w:rsid w:val="007E6487"/>
    <w:rsid w:val="007E71F3"/>
    <w:rsid w:val="007E74C8"/>
    <w:rsid w:val="007E7A7E"/>
    <w:rsid w:val="007F006C"/>
    <w:rsid w:val="007F01A1"/>
    <w:rsid w:val="007F0505"/>
    <w:rsid w:val="007F16EE"/>
    <w:rsid w:val="007F2D63"/>
    <w:rsid w:val="007F32C1"/>
    <w:rsid w:val="007F361F"/>
    <w:rsid w:val="007F3CB8"/>
    <w:rsid w:val="007F4885"/>
    <w:rsid w:val="007F4A9F"/>
    <w:rsid w:val="007F509A"/>
    <w:rsid w:val="007F5AE1"/>
    <w:rsid w:val="007F5C46"/>
    <w:rsid w:val="007F5DC2"/>
    <w:rsid w:val="007F5F90"/>
    <w:rsid w:val="007F61CA"/>
    <w:rsid w:val="007F6668"/>
    <w:rsid w:val="007F6BCD"/>
    <w:rsid w:val="007F6C6F"/>
    <w:rsid w:val="007F7777"/>
    <w:rsid w:val="00800FFA"/>
    <w:rsid w:val="00801311"/>
    <w:rsid w:val="00801B84"/>
    <w:rsid w:val="00801E72"/>
    <w:rsid w:val="008023C3"/>
    <w:rsid w:val="008025A7"/>
    <w:rsid w:val="008048E0"/>
    <w:rsid w:val="00804DCE"/>
    <w:rsid w:val="008052B2"/>
    <w:rsid w:val="00805F0F"/>
    <w:rsid w:val="00806522"/>
    <w:rsid w:val="00806FCC"/>
    <w:rsid w:val="008073C7"/>
    <w:rsid w:val="00807CC3"/>
    <w:rsid w:val="00810D09"/>
    <w:rsid w:val="00810E0F"/>
    <w:rsid w:val="0081153D"/>
    <w:rsid w:val="00811C6F"/>
    <w:rsid w:val="00811E11"/>
    <w:rsid w:val="00812458"/>
    <w:rsid w:val="0081256A"/>
    <w:rsid w:val="008125E3"/>
    <w:rsid w:val="00812B65"/>
    <w:rsid w:val="0081320F"/>
    <w:rsid w:val="00813553"/>
    <w:rsid w:val="008135F0"/>
    <w:rsid w:val="00813991"/>
    <w:rsid w:val="00813E8F"/>
    <w:rsid w:val="00813F49"/>
    <w:rsid w:val="00814403"/>
    <w:rsid w:val="00814912"/>
    <w:rsid w:val="0081539C"/>
    <w:rsid w:val="00815602"/>
    <w:rsid w:val="00815E8A"/>
    <w:rsid w:val="008160BB"/>
    <w:rsid w:val="00816823"/>
    <w:rsid w:val="008169D5"/>
    <w:rsid w:val="00816D96"/>
    <w:rsid w:val="00816DC9"/>
    <w:rsid w:val="0081746B"/>
    <w:rsid w:val="008204F7"/>
    <w:rsid w:val="00820B35"/>
    <w:rsid w:val="0082185D"/>
    <w:rsid w:val="008218EA"/>
    <w:rsid w:val="00821B94"/>
    <w:rsid w:val="00821FA2"/>
    <w:rsid w:val="00823189"/>
    <w:rsid w:val="00823CB5"/>
    <w:rsid w:val="00826C76"/>
    <w:rsid w:val="0083110F"/>
    <w:rsid w:val="008315E2"/>
    <w:rsid w:val="008317A3"/>
    <w:rsid w:val="00831AB2"/>
    <w:rsid w:val="00831D2A"/>
    <w:rsid w:val="00832635"/>
    <w:rsid w:val="008327FB"/>
    <w:rsid w:val="00833340"/>
    <w:rsid w:val="00835660"/>
    <w:rsid w:val="00836438"/>
    <w:rsid w:val="0083650F"/>
    <w:rsid w:val="00836FC0"/>
    <w:rsid w:val="00837105"/>
    <w:rsid w:val="00837928"/>
    <w:rsid w:val="0084007C"/>
    <w:rsid w:val="008400EA"/>
    <w:rsid w:val="00840232"/>
    <w:rsid w:val="00840C19"/>
    <w:rsid w:val="00840FB4"/>
    <w:rsid w:val="00842732"/>
    <w:rsid w:val="00842989"/>
    <w:rsid w:val="008436AA"/>
    <w:rsid w:val="00843820"/>
    <w:rsid w:val="008439CE"/>
    <w:rsid w:val="00843BE4"/>
    <w:rsid w:val="00843BEF"/>
    <w:rsid w:val="00844045"/>
    <w:rsid w:val="0084502B"/>
    <w:rsid w:val="008450DC"/>
    <w:rsid w:val="0084697F"/>
    <w:rsid w:val="008477E4"/>
    <w:rsid w:val="00847996"/>
    <w:rsid w:val="00850090"/>
    <w:rsid w:val="00850CBE"/>
    <w:rsid w:val="00850D74"/>
    <w:rsid w:val="008514CC"/>
    <w:rsid w:val="008518AF"/>
    <w:rsid w:val="008521B5"/>
    <w:rsid w:val="008526AE"/>
    <w:rsid w:val="008531B4"/>
    <w:rsid w:val="00853832"/>
    <w:rsid w:val="00854314"/>
    <w:rsid w:val="00854B7C"/>
    <w:rsid w:val="00854F73"/>
    <w:rsid w:val="008556C1"/>
    <w:rsid w:val="00855A7D"/>
    <w:rsid w:val="00855B4E"/>
    <w:rsid w:val="0085671F"/>
    <w:rsid w:val="0085680B"/>
    <w:rsid w:val="00857241"/>
    <w:rsid w:val="0085773C"/>
    <w:rsid w:val="0085788B"/>
    <w:rsid w:val="00857AFC"/>
    <w:rsid w:val="00857C6F"/>
    <w:rsid w:val="00857D71"/>
    <w:rsid w:val="00860EDA"/>
    <w:rsid w:val="00861C22"/>
    <w:rsid w:val="00864A7B"/>
    <w:rsid w:val="0086529D"/>
    <w:rsid w:val="0086562D"/>
    <w:rsid w:val="00866AAC"/>
    <w:rsid w:val="008670F9"/>
    <w:rsid w:val="00867137"/>
    <w:rsid w:val="00867E11"/>
    <w:rsid w:val="008704D8"/>
    <w:rsid w:val="0087059E"/>
    <w:rsid w:val="00870B8E"/>
    <w:rsid w:val="00871000"/>
    <w:rsid w:val="00871B33"/>
    <w:rsid w:val="00871D05"/>
    <w:rsid w:val="00872CA8"/>
    <w:rsid w:val="00872E33"/>
    <w:rsid w:val="00872F34"/>
    <w:rsid w:val="00873432"/>
    <w:rsid w:val="00873D6B"/>
    <w:rsid w:val="00874357"/>
    <w:rsid w:val="0087511D"/>
    <w:rsid w:val="0087558E"/>
    <w:rsid w:val="00875647"/>
    <w:rsid w:val="00875D99"/>
    <w:rsid w:val="00876789"/>
    <w:rsid w:val="00876955"/>
    <w:rsid w:val="00876BE6"/>
    <w:rsid w:val="0088192F"/>
    <w:rsid w:val="00881947"/>
    <w:rsid w:val="00881BA4"/>
    <w:rsid w:val="008824D9"/>
    <w:rsid w:val="00882BDE"/>
    <w:rsid w:val="00882F5F"/>
    <w:rsid w:val="0088341C"/>
    <w:rsid w:val="00883699"/>
    <w:rsid w:val="008842B4"/>
    <w:rsid w:val="00884721"/>
    <w:rsid w:val="008853C8"/>
    <w:rsid w:val="0088546B"/>
    <w:rsid w:val="00885552"/>
    <w:rsid w:val="00885D79"/>
    <w:rsid w:val="008868E9"/>
    <w:rsid w:val="00887296"/>
    <w:rsid w:val="008877C5"/>
    <w:rsid w:val="0088790B"/>
    <w:rsid w:val="00890B5B"/>
    <w:rsid w:val="0089112F"/>
    <w:rsid w:val="0089138A"/>
    <w:rsid w:val="008913F6"/>
    <w:rsid w:val="00891576"/>
    <w:rsid w:val="008942F9"/>
    <w:rsid w:val="00895587"/>
    <w:rsid w:val="00896D04"/>
    <w:rsid w:val="008A039A"/>
    <w:rsid w:val="008A07CF"/>
    <w:rsid w:val="008A12EB"/>
    <w:rsid w:val="008A1635"/>
    <w:rsid w:val="008A1FF9"/>
    <w:rsid w:val="008A2040"/>
    <w:rsid w:val="008A205E"/>
    <w:rsid w:val="008A2682"/>
    <w:rsid w:val="008A2A73"/>
    <w:rsid w:val="008A2CBB"/>
    <w:rsid w:val="008A3268"/>
    <w:rsid w:val="008A376A"/>
    <w:rsid w:val="008A3E78"/>
    <w:rsid w:val="008A405A"/>
    <w:rsid w:val="008A436D"/>
    <w:rsid w:val="008A4B4D"/>
    <w:rsid w:val="008A590C"/>
    <w:rsid w:val="008A5942"/>
    <w:rsid w:val="008A63BB"/>
    <w:rsid w:val="008A70D0"/>
    <w:rsid w:val="008A7867"/>
    <w:rsid w:val="008B07BB"/>
    <w:rsid w:val="008B1628"/>
    <w:rsid w:val="008B1665"/>
    <w:rsid w:val="008B2910"/>
    <w:rsid w:val="008B2980"/>
    <w:rsid w:val="008B2D2B"/>
    <w:rsid w:val="008B4818"/>
    <w:rsid w:val="008B4C80"/>
    <w:rsid w:val="008B4DD4"/>
    <w:rsid w:val="008B565E"/>
    <w:rsid w:val="008B615D"/>
    <w:rsid w:val="008B6656"/>
    <w:rsid w:val="008B6691"/>
    <w:rsid w:val="008C04B8"/>
    <w:rsid w:val="008C09F3"/>
    <w:rsid w:val="008C0F07"/>
    <w:rsid w:val="008C0F27"/>
    <w:rsid w:val="008C1171"/>
    <w:rsid w:val="008C1234"/>
    <w:rsid w:val="008C1BF9"/>
    <w:rsid w:val="008C1DD7"/>
    <w:rsid w:val="008C2ECD"/>
    <w:rsid w:val="008C3204"/>
    <w:rsid w:val="008C4556"/>
    <w:rsid w:val="008C50D3"/>
    <w:rsid w:val="008C552B"/>
    <w:rsid w:val="008C619A"/>
    <w:rsid w:val="008C7D3E"/>
    <w:rsid w:val="008D02F7"/>
    <w:rsid w:val="008D103B"/>
    <w:rsid w:val="008D22F9"/>
    <w:rsid w:val="008D2AE2"/>
    <w:rsid w:val="008D2E72"/>
    <w:rsid w:val="008D4456"/>
    <w:rsid w:val="008D5896"/>
    <w:rsid w:val="008D6421"/>
    <w:rsid w:val="008D6480"/>
    <w:rsid w:val="008D6F74"/>
    <w:rsid w:val="008E01CC"/>
    <w:rsid w:val="008E03C0"/>
    <w:rsid w:val="008E07A7"/>
    <w:rsid w:val="008E176E"/>
    <w:rsid w:val="008E229E"/>
    <w:rsid w:val="008E3054"/>
    <w:rsid w:val="008E3063"/>
    <w:rsid w:val="008E3522"/>
    <w:rsid w:val="008E3C6B"/>
    <w:rsid w:val="008E3EC8"/>
    <w:rsid w:val="008E41CA"/>
    <w:rsid w:val="008E4A20"/>
    <w:rsid w:val="008E559B"/>
    <w:rsid w:val="008E571D"/>
    <w:rsid w:val="008E5B1D"/>
    <w:rsid w:val="008E5EEA"/>
    <w:rsid w:val="008E6851"/>
    <w:rsid w:val="008E71D8"/>
    <w:rsid w:val="008E7AC6"/>
    <w:rsid w:val="008F042C"/>
    <w:rsid w:val="008F042F"/>
    <w:rsid w:val="008F2794"/>
    <w:rsid w:val="008F34EC"/>
    <w:rsid w:val="008F485D"/>
    <w:rsid w:val="008F4A53"/>
    <w:rsid w:val="008F4A63"/>
    <w:rsid w:val="008F4A6E"/>
    <w:rsid w:val="008F518C"/>
    <w:rsid w:val="008F51E4"/>
    <w:rsid w:val="008F54A5"/>
    <w:rsid w:val="008F6AE6"/>
    <w:rsid w:val="008F71F3"/>
    <w:rsid w:val="008F73BC"/>
    <w:rsid w:val="008F7BC3"/>
    <w:rsid w:val="008F7F15"/>
    <w:rsid w:val="00900732"/>
    <w:rsid w:val="0090113C"/>
    <w:rsid w:val="0090123E"/>
    <w:rsid w:val="00901D6C"/>
    <w:rsid w:val="00901E59"/>
    <w:rsid w:val="0090217B"/>
    <w:rsid w:val="00902232"/>
    <w:rsid w:val="00902466"/>
    <w:rsid w:val="00902668"/>
    <w:rsid w:val="00903A6A"/>
    <w:rsid w:val="00903F18"/>
    <w:rsid w:val="009045D1"/>
    <w:rsid w:val="00904C74"/>
    <w:rsid w:val="00904D82"/>
    <w:rsid w:val="00905320"/>
    <w:rsid w:val="0090602D"/>
    <w:rsid w:val="009078D4"/>
    <w:rsid w:val="00907A70"/>
    <w:rsid w:val="009107A9"/>
    <w:rsid w:val="00910993"/>
    <w:rsid w:val="0091104E"/>
    <w:rsid w:val="009129ED"/>
    <w:rsid w:val="009136AF"/>
    <w:rsid w:val="009136B8"/>
    <w:rsid w:val="009138C0"/>
    <w:rsid w:val="00913F98"/>
    <w:rsid w:val="00914032"/>
    <w:rsid w:val="009145BE"/>
    <w:rsid w:val="009160F5"/>
    <w:rsid w:val="009179A3"/>
    <w:rsid w:val="00917ED5"/>
    <w:rsid w:val="0092028E"/>
    <w:rsid w:val="009209DD"/>
    <w:rsid w:val="00920CFB"/>
    <w:rsid w:val="00921B1D"/>
    <w:rsid w:val="00921E97"/>
    <w:rsid w:val="00921E99"/>
    <w:rsid w:val="00921F4F"/>
    <w:rsid w:val="00922B8B"/>
    <w:rsid w:val="00924483"/>
    <w:rsid w:val="00924CEA"/>
    <w:rsid w:val="00925701"/>
    <w:rsid w:val="009262B6"/>
    <w:rsid w:val="009263BB"/>
    <w:rsid w:val="00926966"/>
    <w:rsid w:val="00926A64"/>
    <w:rsid w:val="00926DCF"/>
    <w:rsid w:val="00927481"/>
    <w:rsid w:val="009274B1"/>
    <w:rsid w:val="00930692"/>
    <w:rsid w:val="009306D6"/>
    <w:rsid w:val="00930B46"/>
    <w:rsid w:val="00931656"/>
    <w:rsid w:val="00931DFC"/>
    <w:rsid w:val="009327CD"/>
    <w:rsid w:val="00932D15"/>
    <w:rsid w:val="0093327F"/>
    <w:rsid w:val="0093332D"/>
    <w:rsid w:val="009339C0"/>
    <w:rsid w:val="009339E5"/>
    <w:rsid w:val="00933A1F"/>
    <w:rsid w:val="00933CEF"/>
    <w:rsid w:val="00934D03"/>
    <w:rsid w:val="00934F17"/>
    <w:rsid w:val="00934F33"/>
    <w:rsid w:val="00934FD6"/>
    <w:rsid w:val="00935492"/>
    <w:rsid w:val="009358B1"/>
    <w:rsid w:val="00935FCE"/>
    <w:rsid w:val="009372BC"/>
    <w:rsid w:val="00937EA7"/>
    <w:rsid w:val="00937F04"/>
    <w:rsid w:val="00941225"/>
    <w:rsid w:val="009413BC"/>
    <w:rsid w:val="00943564"/>
    <w:rsid w:val="0094380A"/>
    <w:rsid w:val="00943AE2"/>
    <w:rsid w:val="009455AF"/>
    <w:rsid w:val="009456F5"/>
    <w:rsid w:val="0094640F"/>
    <w:rsid w:val="00946859"/>
    <w:rsid w:val="009468AC"/>
    <w:rsid w:val="009504B1"/>
    <w:rsid w:val="00950D4B"/>
    <w:rsid w:val="00950DFC"/>
    <w:rsid w:val="00951A02"/>
    <w:rsid w:val="00951D56"/>
    <w:rsid w:val="0095201C"/>
    <w:rsid w:val="00952D37"/>
    <w:rsid w:val="00953151"/>
    <w:rsid w:val="009542E9"/>
    <w:rsid w:val="00954908"/>
    <w:rsid w:val="00955196"/>
    <w:rsid w:val="00955463"/>
    <w:rsid w:val="009561F8"/>
    <w:rsid w:val="00956546"/>
    <w:rsid w:val="009569E9"/>
    <w:rsid w:val="00956A45"/>
    <w:rsid w:val="00957870"/>
    <w:rsid w:val="00957A10"/>
    <w:rsid w:val="00957B2D"/>
    <w:rsid w:val="00960390"/>
    <w:rsid w:val="009616F1"/>
    <w:rsid w:val="009622B1"/>
    <w:rsid w:val="00962976"/>
    <w:rsid w:val="00962AAC"/>
    <w:rsid w:val="0096437D"/>
    <w:rsid w:val="00964665"/>
    <w:rsid w:val="009646A0"/>
    <w:rsid w:val="00964C6A"/>
    <w:rsid w:val="00965096"/>
    <w:rsid w:val="00965688"/>
    <w:rsid w:val="009656C3"/>
    <w:rsid w:val="009656D3"/>
    <w:rsid w:val="00965B68"/>
    <w:rsid w:val="00965F9F"/>
    <w:rsid w:val="009662E9"/>
    <w:rsid w:val="009674A3"/>
    <w:rsid w:val="00967996"/>
    <w:rsid w:val="00970A33"/>
    <w:rsid w:val="009716EC"/>
    <w:rsid w:val="00971C97"/>
    <w:rsid w:val="00972155"/>
    <w:rsid w:val="009725F4"/>
    <w:rsid w:val="0097321D"/>
    <w:rsid w:val="00973432"/>
    <w:rsid w:val="009735D9"/>
    <w:rsid w:val="00975084"/>
    <w:rsid w:val="00976B7D"/>
    <w:rsid w:val="009808A3"/>
    <w:rsid w:val="00980F15"/>
    <w:rsid w:val="00981DF8"/>
    <w:rsid w:val="00982C8F"/>
    <w:rsid w:val="00982D09"/>
    <w:rsid w:val="00982D1B"/>
    <w:rsid w:val="009836AB"/>
    <w:rsid w:val="009840D8"/>
    <w:rsid w:val="009844E1"/>
    <w:rsid w:val="009845A8"/>
    <w:rsid w:val="00984A62"/>
    <w:rsid w:val="009852DC"/>
    <w:rsid w:val="0098552E"/>
    <w:rsid w:val="00986C61"/>
    <w:rsid w:val="00986E86"/>
    <w:rsid w:val="0098701A"/>
    <w:rsid w:val="00987237"/>
    <w:rsid w:val="00987707"/>
    <w:rsid w:val="009879E4"/>
    <w:rsid w:val="00987B83"/>
    <w:rsid w:val="00987E5B"/>
    <w:rsid w:val="00987FF9"/>
    <w:rsid w:val="0099147B"/>
    <w:rsid w:val="009916E2"/>
    <w:rsid w:val="00992098"/>
    <w:rsid w:val="0099234D"/>
    <w:rsid w:val="00992480"/>
    <w:rsid w:val="00993A89"/>
    <w:rsid w:val="00993B21"/>
    <w:rsid w:val="0099460E"/>
    <w:rsid w:val="00994E08"/>
    <w:rsid w:val="00994EE7"/>
    <w:rsid w:val="00995551"/>
    <w:rsid w:val="00996BC6"/>
    <w:rsid w:val="00996D31"/>
    <w:rsid w:val="009970E3"/>
    <w:rsid w:val="0099713F"/>
    <w:rsid w:val="00997811"/>
    <w:rsid w:val="00997965"/>
    <w:rsid w:val="00997BC4"/>
    <w:rsid w:val="009A03A1"/>
    <w:rsid w:val="009A09FC"/>
    <w:rsid w:val="009A0A71"/>
    <w:rsid w:val="009A1399"/>
    <w:rsid w:val="009A215B"/>
    <w:rsid w:val="009A2501"/>
    <w:rsid w:val="009A2546"/>
    <w:rsid w:val="009A2717"/>
    <w:rsid w:val="009A275F"/>
    <w:rsid w:val="009A278F"/>
    <w:rsid w:val="009A2CE6"/>
    <w:rsid w:val="009A2F94"/>
    <w:rsid w:val="009A32C7"/>
    <w:rsid w:val="009A42C7"/>
    <w:rsid w:val="009A433F"/>
    <w:rsid w:val="009A4349"/>
    <w:rsid w:val="009A447A"/>
    <w:rsid w:val="009A4684"/>
    <w:rsid w:val="009A4AE9"/>
    <w:rsid w:val="009A4D8D"/>
    <w:rsid w:val="009A4F9E"/>
    <w:rsid w:val="009A4FD7"/>
    <w:rsid w:val="009A5B53"/>
    <w:rsid w:val="009A631E"/>
    <w:rsid w:val="009A6DB2"/>
    <w:rsid w:val="009B0500"/>
    <w:rsid w:val="009B0691"/>
    <w:rsid w:val="009B0CAE"/>
    <w:rsid w:val="009B1351"/>
    <w:rsid w:val="009B25F5"/>
    <w:rsid w:val="009B2BCB"/>
    <w:rsid w:val="009B2D33"/>
    <w:rsid w:val="009B3226"/>
    <w:rsid w:val="009B3375"/>
    <w:rsid w:val="009B3940"/>
    <w:rsid w:val="009B45A6"/>
    <w:rsid w:val="009B60E1"/>
    <w:rsid w:val="009B6B0C"/>
    <w:rsid w:val="009B6E87"/>
    <w:rsid w:val="009B6EC4"/>
    <w:rsid w:val="009B7428"/>
    <w:rsid w:val="009B74BB"/>
    <w:rsid w:val="009C0A43"/>
    <w:rsid w:val="009C16FB"/>
    <w:rsid w:val="009C1A03"/>
    <w:rsid w:val="009C1BA4"/>
    <w:rsid w:val="009C2182"/>
    <w:rsid w:val="009C2275"/>
    <w:rsid w:val="009C295B"/>
    <w:rsid w:val="009C38C9"/>
    <w:rsid w:val="009C3BCE"/>
    <w:rsid w:val="009C4DEF"/>
    <w:rsid w:val="009C642E"/>
    <w:rsid w:val="009C6543"/>
    <w:rsid w:val="009C743B"/>
    <w:rsid w:val="009D0440"/>
    <w:rsid w:val="009D09D9"/>
    <w:rsid w:val="009D0BEE"/>
    <w:rsid w:val="009D0F36"/>
    <w:rsid w:val="009D197C"/>
    <w:rsid w:val="009D24EE"/>
    <w:rsid w:val="009D2F0C"/>
    <w:rsid w:val="009D3211"/>
    <w:rsid w:val="009D3754"/>
    <w:rsid w:val="009D3761"/>
    <w:rsid w:val="009D4020"/>
    <w:rsid w:val="009D5698"/>
    <w:rsid w:val="009D7573"/>
    <w:rsid w:val="009D7AD8"/>
    <w:rsid w:val="009D7B7C"/>
    <w:rsid w:val="009E1828"/>
    <w:rsid w:val="009E19B5"/>
    <w:rsid w:val="009E285B"/>
    <w:rsid w:val="009E33D2"/>
    <w:rsid w:val="009E35FD"/>
    <w:rsid w:val="009E3B8E"/>
    <w:rsid w:val="009E43AB"/>
    <w:rsid w:val="009E454F"/>
    <w:rsid w:val="009E490B"/>
    <w:rsid w:val="009E4ADB"/>
    <w:rsid w:val="009E4DF7"/>
    <w:rsid w:val="009E5566"/>
    <w:rsid w:val="009E5A50"/>
    <w:rsid w:val="009E5A7C"/>
    <w:rsid w:val="009E6C7E"/>
    <w:rsid w:val="009E7696"/>
    <w:rsid w:val="009E7E75"/>
    <w:rsid w:val="009F0C6F"/>
    <w:rsid w:val="009F12A9"/>
    <w:rsid w:val="009F14CD"/>
    <w:rsid w:val="009F2180"/>
    <w:rsid w:val="009F2843"/>
    <w:rsid w:val="009F52DA"/>
    <w:rsid w:val="009F5FDD"/>
    <w:rsid w:val="009F620A"/>
    <w:rsid w:val="009F6D38"/>
    <w:rsid w:val="009F70AC"/>
    <w:rsid w:val="009F71F5"/>
    <w:rsid w:val="009F7319"/>
    <w:rsid w:val="009F7368"/>
    <w:rsid w:val="00A0065A"/>
    <w:rsid w:val="00A008E3"/>
    <w:rsid w:val="00A01366"/>
    <w:rsid w:val="00A0146C"/>
    <w:rsid w:val="00A02584"/>
    <w:rsid w:val="00A03813"/>
    <w:rsid w:val="00A03B6C"/>
    <w:rsid w:val="00A04692"/>
    <w:rsid w:val="00A04BF6"/>
    <w:rsid w:val="00A05329"/>
    <w:rsid w:val="00A06925"/>
    <w:rsid w:val="00A077F2"/>
    <w:rsid w:val="00A1024E"/>
    <w:rsid w:val="00A12ACE"/>
    <w:rsid w:val="00A12C8B"/>
    <w:rsid w:val="00A13004"/>
    <w:rsid w:val="00A13008"/>
    <w:rsid w:val="00A130D9"/>
    <w:rsid w:val="00A1396F"/>
    <w:rsid w:val="00A15443"/>
    <w:rsid w:val="00A15D4A"/>
    <w:rsid w:val="00A16543"/>
    <w:rsid w:val="00A16C3B"/>
    <w:rsid w:val="00A1700F"/>
    <w:rsid w:val="00A171ED"/>
    <w:rsid w:val="00A17B69"/>
    <w:rsid w:val="00A203DB"/>
    <w:rsid w:val="00A24110"/>
    <w:rsid w:val="00A24A30"/>
    <w:rsid w:val="00A27231"/>
    <w:rsid w:val="00A27880"/>
    <w:rsid w:val="00A325F2"/>
    <w:rsid w:val="00A3280F"/>
    <w:rsid w:val="00A32B24"/>
    <w:rsid w:val="00A32CDF"/>
    <w:rsid w:val="00A3309D"/>
    <w:rsid w:val="00A34D40"/>
    <w:rsid w:val="00A35082"/>
    <w:rsid w:val="00A3536D"/>
    <w:rsid w:val="00A353AA"/>
    <w:rsid w:val="00A35C94"/>
    <w:rsid w:val="00A35E52"/>
    <w:rsid w:val="00A3649E"/>
    <w:rsid w:val="00A36652"/>
    <w:rsid w:val="00A36873"/>
    <w:rsid w:val="00A37483"/>
    <w:rsid w:val="00A4201F"/>
    <w:rsid w:val="00A4232B"/>
    <w:rsid w:val="00A4293A"/>
    <w:rsid w:val="00A42A39"/>
    <w:rsid w:val="00A42C9A"/>
    <w:rsid w:val="00A43624"/>
    <w:rsid w:val="00A436C6"/>
    <w:rsid w:val="00A45482"/>
    <w:rsid w:val="00A455DE"/>
    <w:rsid w:val="00A45738"/>
    <w:rsid w:val="00A45748"/>
    <w:rsid w:val="00A46458"/>
    <w:rsid w:val="00A464C6"/>
    <w:rsid w:val="00A4697D"/>
    <w:rsid w:val="00A46C43"/>
    <w:rsid w:val="00A47324"/>
    <w:rsid w:val="00A509E8"/>
    <w:rsid w:val="00A51EE4"/>
    <w:rsid w:val="00A52542"/>
    <w:rsid w:val="00A526D8"/>
    <w:rsid w:val="00A52AFE"/>
    <w:rsid w:val="00A52EB2"/>
    <w:rsid w:val="00A53EC9"/>
    <w:rsid w:val="00A54AB0"/>
    <w:rsid w:val="00A56B07"/>
    <w:rsid w:val="00A576DC"/>
    <w:rsid w:val="00A577A3"/>
    <w:rsid w:val="00A602DE"/>
    <w:rsid w:val="00A604E7"/>
    <w:rsid w:val="00A60B26"/>
    <w:rsid w:val="00A60BA0"/>
    <w:rsid w:val="00A612E3"/>
    <w:rsid w:val="00A62A20"/>
    <w:rsid w:val="00A6320F"/>
    <w:rsid w:val="00A64E08"/>
    <w:rsid w:val="00A652EC"/>
    <w:rsid w:val="00A65C3D"/>
    <w:rsid w:val="00A663E2"/>
    <w:rsid w:val="00A664EB"/>
    <w:rsid w:val="00A6754E"/>
    <w:rsid w:val="00A7056D"/>
    <w:rsid w:val="00A71392"/>
    <w:rsid w:val="00A722D0"/>
    <w:rsid w:val="00A726D1"/>
    <w:rsid w:val="00A72F0D"/>
    <w:rsid w:val="00A76E31"/>
    <w:rsid w:val="00A77053"/>
    <w:rsid w:val="00A77EED"/>
    <w:rsid w:val="00A80B00"/>
    <w:rsid w:val="00A80BBF"/>
    <w:rsid w:val="00A80C4D"/>
    <w:rsid w:val="00A817FC"/>
    <w:rsid w:val="00A81E8A"/>
    <w:rsid w:val="00A81F60"/>
    <w:rsid w:val="00A81FCA"/>
    <w:rsid w:val="00A8204F"/>
    <w:rsid w:val="00A829CC"/>
    <w:rsid w:val="00A82E01"/>
    <w:rsid w:val="00A83597"/>
    <w:rsid w:val="00A83637"/>
    <w:rsid w:val="00A847C4"/>
    <w:rsid w:val="00A84F90"/>
    <w:rsid w:val="00A865A9"/>
    <w:rsid w:val="00A87119"/>
    <w:rsid w:val="00A87392"/>
    <w:rsid w:val="00A87AAE"/>
    <w:rsid w:val="00A90249"/>
    <w:rsid w:val="00A90642"/>
    <w:rsid w:val="00A92095"/>
    <w:rsid w:val="00A92884"/>
    <w:rsid w:val="00A928AD"/>
    <w:rsid w:val="00A93645"/>
    <w:rsid w:val="00A939AF"/>
    <w:rsid w:val="00A94EAD"/>
    <w:rsid w:val="00A9556B"/>
    <w:rsid w:val="00A95E7A"/>
    <w:rsid w:val="00A9638F"/>
    <w:rsid w:val="00A96A8F"/>
    <w:rsid w:val="00AA1034"/>
    <w:rsid w:val="00AA1503"/>
    <w:rsid w:val="00AA1A21"/>
    <w:rsid w:val="00AA26A6"/>
    <w:rsid w:val="00AA333F"/>
    <w:rsid w:val="00AA42B3"/>
    <w:rsid w:val="00AA47D1"/>
    <w:rsid w:val="00AA4B3D"/>
    <w:rsid w:val="00AA4C00"/>
    <w:rsid w:val="00AA79DD"/>
    <w:rsid w:val="00AA7DDD"/>
    <w:rsid w:val="00AA7EB8"/>
    <w:rsid w:val="00AB0738"/>
    <w:rsid w:val="00AB08C7"/>
    <w:rsid w:val="00AB0C3B"/>
    <w:rsid w:val="00AB0D03"/>
    <w:rsid w:val="00AB2291"/>
    <w:rsid w:val="00AB2712"/>
    <w:rsid w:val="00AB508D"/>
    <w:rsid w:val="00AB57F8"/>
    <w:rsid w:val="00AB5CCC"/>
    <w:rsid w:val="00AB5D45"/>
    <w:rsid w:val="00AB69AA"/>
    <w:rsid w:val="00AB6C00"/>
    <w:rsid w:val="00AB7E84"/>
    <w:rsid w:val="00AC036C"/>
    <w:rsid w:val="00AC0F0B"/>
    <w:rsid w:val="00AC2707"/>
    <w:rsid w:val="00AC2D8F"/>
    <w:rsid w:val="00AC374C"/>
    <w:rsid w:val="00AC411B"/>
    <w:rsid w:val="00AC414B"/>
    <w:rsid w:val="00AC4BA7"/>
    <w:rsid w:val="00AC4E59"/>
    <w:rsid w:val="00AC588F"/>
    <w:rsid w:val="00AC63DA"/>
    <w:rsid w:val="00AC6496"/>
    <w:rsid w:val="00AD03EB"/>
    <w:rsid w:val="00AD049C"/>
    <w:rsid w:val="00AD14F8"/>
    <w:rsid w:val="00AD17AA"/>
    <w:rsid w:val="00AD24B5"/>
    <w:rsid w:val="00AD379D"/>
    <w:rsid w:val="00AD3E3D"/>
    <w:rsid w:val="00AD42B3"/>
    <w:rsid w:val="00AD44B3"/>
    <w:rsid w:val="00AD558A"/>
    <w:rsid w:val="00AD5FFE"/>
    <w:rsid w:val="00AD60E8"/>
    <w:rsid w:val="00AD6D16"/>
    <w:rsid w:val="00AD7D37"/>
    <w:rsid w:val="00AE1311"/>
    <w:rsid w:val="00AE159B"/>
    <w:rsid w:val="00AE4128"/>
    <w:rsid w:val="00AE4AEB"/>
    <w:rsid w:val="00AE51F4"/>
    <w:rsid w:val="00AE55E4"/>
    <w:rsid w:val="00AE5E67"/>
    <w:rsid w:val="00AE5FAD"/>
    <w:rsid w:val="00AE655F"/>
    <w:rsid w:val="00AE75AC"/>
    <w:rsid w:val="00AE79CF"/>
    <w:rsid w:val="00AE7E90"/>
    <w:rsid w:val="00AF0365"/>
    <w:rsid w:val="00AF04A7"/>
    <w:rsid w:val="00AF07C0"/>
    <w:rsid w:val="00AF0813"/>
    <w:rsid w:val="00AF0836"/>
    <w:rsid w:val="00AF0FAA"/>
    <w:rsid w:val="00AF1B52"/>
    <w:rsid w:val="00AF30EE"/>
    <w:rsid w:val="00AF3169"/>
    <w:rsid w:val="00AF3705"/>
    <w:rsid w:val="00AF50F1"/>
    <w:rsid w:val="00AF52CE"/>
    <w:rsid w:val="00AF5AD2"/>
    <w:rsid w:val="00AF609B"/>
    <w:rsid w:val="00AF6222"/>
    <w:rsid w:val="00AF6B05"/>
    <w:rsid w:val="00AF729E"/>
    <w:rsid w:val="00AF7478"/>
    <w:rsid w:val="00AF761E"/>
    <w:rsid w:val="00B00DDC"/>
    <w:rsid w:val="00B03D14"/>
    <w:rsid w:val="00B03D6E"/>
    <w:rsid w:val="00B03E44"/>
    <w:rsid w:val="00B04688"/>
    <w:rsid w:val="00B04C27"/>
    <w:rsid w:val="00B052E6"/>
    <w:rsid w:val="00B05B49"/>
    <w:rsid w:val="00B06053"/>
    <w:rsid w:val="00B06404"/>
    <w:rsid w:val="00B067F1"/>
    <w:rsid w:val="00B072AD"/>
    <w:rsid w:val="00B0738B"/>
    <w:rsid w:val="00B0766A"/>
    <w:rsid w:val="00B10816"/>
    <w:rsid w:val="00B1095A"/>
    <w:rsid w:val="00B10E85"/>
    <w:rsid w:val="00B11996"/>
    <w:rsid w:val="00B11E1B"/>
    <w:rsid w:val="00B12026"/>
    <w:rsid w:val="00B12291"/>
    <w:rsid w:val="00B13699"/>
    <w:rsid w:val="00B13B96"/>
    <w:rsid w:val="00B14882"/>
    <w:rsid w:val="00B14F38"/>
    <w:rsid w:val="00B1563C"/>
    <w:rsid w:val="00B15B65"/>
    <w:rsid w:val="00B162EE"/>
    <w:rsid w:val="00B16410"/>
    <w:rsid w:val="00B16A2F"/>
    <w:rsid w:val="00B16EAF"/>
    <w:rsid w:val="00B20B37"/>
    <w:rsid w:val="00B20E5E"/>
    <w:rsid w:val="00B21830"/>
    <w:rsid w:val="00B221A5"/>
    <w:rsid w:val="00B22D14"/>
    <w:rsid w:val="00B22EB8"/>
    <w:rsid w:val="00B22FB6"/>
    <w:rsid w:val="00B2372E"/>
    <w:rsid w:val="00B2498F"/>
    <w:rsid w:val="00B24A7C"/>
    <w:rsid w:val="00B2550B"/>
    <w:rsid w:val="00B25D8F"/>
    <w:rsid w:val="00B270AB"/>
    <w:rsid w:val="00B27149"/>
    <w:rsid w:val="00B30330"/>
    <w:rsid w:val="00B304E0"/>
    <w:rsid w:val="00B30613"/>
    <w:rsid w:val="00B30FF4"/>
    <w:rsid w:val="00B31108"/>
    <w:rsid w:val="00B312C2"/>
    <w:rsid w:val="00B318A6"/>
    <w:rsid w:val="00B33EB6"/>
    <w:rsid w:val="00B33F9F"/>
    <w:rsid w:val="00B34CC6"/>
    <w:rsid w:val="00B34F2E"/>
    <w:rsid w:val="00B35649"/>
    <w:rsid w:val="00B36913"/>
    <w:rsid w:val="00B3745B"/>
    <w:rsid w:val="00B409F9"/>
    <w:rsid w:val="00B413E8"/>
    <w:rsid w:val="00B41AAB"/>
    <w:rsid w:val="00B41EB2"/>
    <w:rsid w:val="00B42892"/>
    <w:rsid w:val="00B43D0F"/>
    <w:rsid w:val="00B446BA"/>
    <w:rsid w:val="00B4496C"/>
    <w:rsid w:val="00B44DEE"/>
    <w:rsid w:val="00B45B7F"/>
    <w:rsid w:val="00B45C25"/>
    <w:rsid w:val="00B4619E"/>
    <w:rsid w:val="00B464F8"/>
    <w:rsid w:val="00B47B70"/>
    <w:rsid w:val="00B502A6"/>
    <w:rsid w:val="00B51821"/>
    <w:rsid w:val="00B524B1"/>
    <w:rsid w:val="00B52601"/>
    <w:rsid w:val="00B526E6"/>
    <w:rsid w:val="00B53112"/>
    <w:rsid w:val="00B5375E"/>
    <w:rsid w:val="00B5399F"/>
    <w:rsid w:val="00B53F8E"/>
    <w:rsid w:val="00B5537A"/>
    <w:rsid w:val="00B55817"/>
    <w:rsid w:val="00B55FE7"/>
    <w:rsid w:val="00B56936"/>
    <w:rsid w:val="00B571F3"/>
    <w:rsid w:val="00B57B78"/>
    <w:rsid w:val="00B57BD6"/>
    <w:rsid w:val="00B60A4A"/>
    <w:rsid w:val="00B60E03"/>
    <w:rsid w:val="00B615A2"/>
    <w:rsid w:val="00B615F5"/>
    <w:rsid w:val="00B62113"/>
    <w:rsid w:val="00B6279B"/>
    <w:rsid w:val="00B631D3"/>
    <w:rsid w:val="00B637E1"/>
    <w:rsid w:val="00B64435"/>
    <w:rsid w:val="00B65406"/>
    <w:rsid w:val="00B655F4"/>
    <w:rsid w:val="00B65E01"/>
    <w:rsid w:val="00B6676A"/>
    <w:rsid w:val="00B671F8"/>
    <w:rsid w:val="00B67A04"/>
    <w:rsid w:val="00B67D88"/>
    <w:rsid w:val="00B70844"/>
    <w:rsid w:val="00B70F26"/>
    <w:rsid w:val="00B710A6"/>
    <w:rsid w:val="00B710AF"/>
    <w:rsid w:val="00B7114C"/>
    <w:rsid w:val="00B71979"/>
    <w:rsid w:val="00B71D2D"/>
    <w:rsid w:val="00B7211F"/>
    <w:rsid w:val="00B722FD"/>
    <w:rsid w:val="00B72675"/>
    <w:rsid w:val="00B7317A"/>
    <w:rsid w:val="00B73619"/>
    <w:rsid w:val="00B73831"/>
    <w:rsid w:val="00B73AB6"/>
    <w:rsid w:val="00B748D7"/>
    <w:rsid w:val="00B751EA"/>
    <w:rsid w:val="00B760F1"/>
    <w:rsid w:val="00B76F92"/>
    <w:rsid w:val="00B774FE"/>
    <w:rsid w:val="00B7759F"/>
    <w:rsid w:val="00B8005D"/>
    <w:rsid w:val="00B813D5"/>
    <w:rsid w:val="00B819D4"/>
    <w:rsid w:val="00B81CDA"/>
    <w:rsid w:val="00B8209F"/>
    <w:rsid w:val="00B8220F"/>
    <w:rsid w:val="00B82720"/>
    <w:rsid w:val="00B82908"/>
    <w:rsid w:val="00B83055"/>
    <w:rsid w:val="00B83733"/>
    <w:rsid w:val="00B837B7"/>
    <w:rsid w:val="00B837D1"/>
    <w:rsid w:val="00B83B3C"/>
    <w:rsid w:val="00B84608"/>
    <w:rsid w:val="00B852D4"/>
    <w:rsid w:val="00B85615"/>
    <w:rsid w:val="00B856B4"/>
    <w:rsid w:val="00B859D4"/>
    <w:rsid w:val="00B85EDB"/>
    <w:rsid w:val="00B86199"/>
    <w:rsid w:val="00B86415"/>
    <w:rsid w:val="00B869F5"/>
    <w:rsid w:val="00B86DEF"/>
    <w:rsid w:val="00B87165"/>
    <w:rsid w:val="00B87FEF"/>
    <w:rsid w:val="00B901DB"/>
    <w:rsid w:val="00B90602"/>
    <w:rsid w:val="00B91830"/>
    <w:rsid w:val="00B928ED"/>
    <w:rsid w:val="00B92B14"/>
    <w:rsid w:val="00B9368F"/>
    <w:rsid w:val="00B93730"/>
    <w:rsid w:val="00B9452D"/>
    <w:rsid w:val="00B94766"/>
    <w:rsid w:val="00B94E02"/>
    <w:rsid w:val="00B9542B"/>
    <w:rsid w:val="00B95F5F"/>
    <w:rsid w:val="00B966B7"/>
    <w:rsid w:val="00B97A2C"/>
    <w:rsid w:val="00B97FE1"/>
    <w:rsid w:val="00BA03F1"/>
    <w:rsid w:val="00BA04F4"/>
    <w:rsid w:val="00BA1A55"/>
    <w:rsid w:val="00BA275E"/>
    <w:rsid w:val="00BA2898"/>
    <w:rsid w:val="00BA2C1D"/>
    <w:rsid w:val="00BA30DB"/>
    <w:rsid w:val="00BA31B7"/>
    <w:rsid w:val="00BA40E8"/>
    <w:rsid w:val="00BA41AF"/>
    <w:rsid w:val="00BA42CB"/>
    <w:rsid w:val="00BA44FB"/>
    <w:rsid w:val="00BA512B"/>
    <w:rsid w:val="00BA5427"/>
    <w:rsid w:val="00BA5B34"/>
    <w:rsid w:val="00BA6A52"/>
    <w:rsid w:val="00BA6C8C"/>
    <w:rsid w:val="00BA71F7"/>
    <w:rsid w:val="00BA7386"/>
    <w:rsid w:val="00BB0089"/>
    <w:rsid w:val="00BB1A43"/>
    <w:rsid w:val="00BB2417"/>
    <w:rsid w:val="00BB24AB"/>
    <w:rsid w:val="00BB3141"/>
    <w:rsid w:val="00BB3AB6"/>
    <w:rsid w:val="00BB448A"/>
    <w:rsid w:val="00BB457A"/>
    <w:rsid w:val="00BB4889"/>
    <w:rsid w:val="00BB4B49"/>
    <w:rsid w:val="00BB4EB6"/>
    <w:rsid w:val="00BB5CF7"/>
    <w:rsid w:val="00BB6DAC"/>
    <w:rsid w:val="00BB77F6"/>
    <w:rsid w:val="00BC07B5"/>
    <w:rsid w:val="00BC09D3"/>
    <w:rsid w:val="00BC0E1B"/>
    <w:rsid w:val="00BC1F65"/>
    <w:rsid w:val="00BC2824"/>
    <w:rsid w:val="00BC2DE7"/>
    <w:rsid w:val="00BC2ECC"/>
    <w:rsid w:val="00BC2F7A"/>
    <w:rsid w:val="00BC356D"/>
    <w:rsid w:val="00BC377A"/>
    <w:rsid w:val="00BC3CBE"/>
    <w:rsid w:val="00BC4D14"/>
    <w:rsid w:val="00BC57CD"/>
    <w:rsid w:val="00BC5FDC"/>
    <w:rsid w:val="00BC67A4"/>
    <w:rsid w:val="00BC6AB5"/>
    <w:rsid w:val="00BC7190"/>
    <w:rsid w:val="00BC79EE"/>
    <w:rsid w:val="00BC7ED4"/>
    <w:rsid w:val="00BD0437"/>
    <w:rsid w:val="00BD0E2C"/>
    <w:rsid w:val="00BD12A5"/>
    <w:rsid w:val="00BD1652"/>
    <w:rsid w:val="00BD2F72"/>
    <w:rsid w:val="00BD369C"/>
    <w:rsid w:val="00BD5C1C"/>
    <w:rsid w:val="00BD5DD2"/>
    <w:rsid w:val="00BD7CF1"/>
    <w:rsid w:val="00BE0217"/>
    <w:rsid w:val="00BE14AB"/>
    <w:rsid w:val="00BE1693"/>
    <w:rsid w:val="00BE28DB"/>
    <w:rsid w:val="00BE2F19"/>
    <w:rsid w:val="00BE2FC7"/>
    <w:rsid w:val="00BE3141"/>
    <w:rsid w:val="00BE3206"/>
    <w:rsid w:val="00BE3C93"/>
    <w:rsid w:val="00BE448E"/>
    <w:rsid w:val="00BE5B89"/>
    <w:rsid w:val="00BE5DD7"/>
    <w:rsid w:val="00BE6050"/>
    <w:rsid w:val="00BE6985"/>
    <w:rsid w:val="00BE7613"/>
    <w:rsid w:val="00BE776A"/>
    <w:rsid w:val="00BE7C2C"/>
    <w:rsid w:val="00BF17FC"/>
    <w:rsid w:val="00BF1892"/>
    <w:rsid w:val="00BF1DC5"/>
    <w:rsid w:val="00BF24A2"/>
    <w:rsid w:val="00BF2B31"/>
    <w:rsid w:val="00BF353A"/>
    <w:rsid w:val="00BF3CDF"/>
    <w:rsid w:val="00BF3DEE"/>
    <w:rsid w:val="00BF4B4E"/>
    <w:rsid w:val="00BF4B83"/>
    <w:rsid w:val="00BF52EB"/>
    <w:rsid w:val="00BF548C"/>
    <w:rsid w:val="00BF593E"/>
    <w:rsid w:val="00BF60A0"/>
    <w:rsid w:val="00BF63A7"/>
    <w:rsid w:val="00BF644B"/>
    <w:rsid w:val="00BF7107"/>
    <w:rsid w:val="00BF73D1"/>
    <w:rsid w:val="00C01D29"/>
    <w:rsid w:val="00C01DDD"/>
    <w:rsid w:val="00C020BE"/>
    <w:rsid w:val="00C022E5"/>
    <w:rsid w:val="00C0235A"/>
    <w:rsid w:val="00C02DEC"/>
    <w:rsid w:val="00C02F36"/>
    <w:rsid w:val="00C0359C"/>
    <w:rsid w:val="00C045F8"/>
    <w:rsid w:val="00C06212"/>
    <w:rsid w:val="00C064C8"/>
    <w:rsid w:val="00C064F1"/>
    <w:rsid w:val="00C0666B"/>
    <w:rsid w:val="00C0684F"/>
    <w:rsid w:val="00C068C2"/>
    <w:rsid w:val="00C07773"/>
    <w:rsid w:val="00C07B80"/>
    <w:rsid w:val="00C07D8C"/>
    <w:rsid w:val="00C1019C"/>
    <w:rsid w:val="00C10227"/>
    <w:rsid w:val="00C111ED"/>
    <w:rsid w:val="00C11B90"/>
    <w:rsid w:val="00C13D71"/>
    <w:rsid w:val="00C13F59"/>
    <w:rsid w:val="00C144CE"/>
    <w:rsid w:val="00C14FDB"/>
    <w:rsid w:val="00C155DC"/>
    <w:rsid w:val="00C161CB"/>
    <w:rsid w:val="00C163BA"/>
    <w:rsid w:val="00C1659A"/>
    <w:rsid w:val="00C1702C"/>
    <w:rsid w:val="00C17245"/>
    <w:rsid w:val="00C175CE"/>
    <w:rsid w:val="00C17E5F"/>
    <w:rsid w:val="00C17E90"/>
    <w:rsid w:val="00C20711"/>
    <w:rsid w:val="00C22143"/>
    <w:rsid w:val="00C2219B"/>
    <w:rsid w:val="00C22D9A"/>
    <w:rsid w:val="00C23432"/>
    <w:rsid w:val="00C234E8"/>
    <w:rsid w:val="00C2452E"/>
    <w:rsid w:val="00C25AC2"/>
    <w:rsid w:val="00C26981"/>
    <w:rsid w:val="00C26C7E"/>
    <w:rsid w:val="00C27EAE"/>
    <w:rsid w:val="00C302C8"/>
    <w:rsid w:val="00C304DC"/>
    <w:rsid w:val="00C3158F"/>
    <w:rsid w:val="00C31BB7"/>
    <w:rsid w:val="00C321D0"/>
    <w:rsid w:val="00C32C1E"/>
    <w:rsid w:val="00C32ED2"/>
    <w:rsid w:val="00C332A7"/>
    <w:rsid w:val="00C3334B"/>
    <w:rsid w:val="00C34F13"/>
    <w:rsid w:val="00C352DB"/>
    <w:rsid w:val="00C35491"/>
    <w:rsid w:val="00C35F77"/>
    <w:rsid w:val="00C367DF"/>
    <w:rsid w:val="00C37408"/>
    <w:rsid w:val="00C37EE1"/>
    <w:rsid w:val="00C405BB"/>
    <w:rsid w:val="00C40A4A"/>
    <w:rsid w:val="00C413CA"/>
    <w:rsid w:val="00C41B93"/>
    <w:rsid w:val="00C4264B"/>
    <w:rsid w:val="00C43865"/>
    <w:rsid w:val="00C440E0"/>
    <w:rsid w:val="00C44AA2"/>
    <w:rsid w:val="00C45140"/>
    <w:rsid w:val="00C46A53"/>
    <w:rsid w:val="00C47859"/>
    <w:rsid w:val="00C51946"/>
    <w:rsid w:val="00C52161"/>
    <w:rsid w:val="00C52494"/>
    <w:rsid w:val="00C5280C"/>
    <w:rsid w:val="00C52D0A"/>
    <w:rsid w:val="00C53A02"/>
    <w:rsid w:val="00C53C1D"/>
    <w:rsid w:val="00C54574"/>
    <w:rsid w:val="00C54AFC"/>
    <w:rsid w:val="00C54FA2"/>
    <w:rsid w:val="00C556B0"/>
    <w:rsid w:val="00C55796"/>
    <w:rsid w:val="00C55ACB"/>
    <w:rsid w:val="00C5666B"/>
    <w:rsid w:val="00C57294"/>
    <w:rsid w:val="00C60A1F"/>
    <w:rsid w:val="00C60A60"/>
    <w:rsid w:val="00C61FFE"/>
    <w:rsid w:val="00C621EB"/>
    <w:rsid w:val="00C6228E"/>
    <w:rsid w:val="00C62299"/>
    <w:rsid w:val="00C626CA"/>
    <w:rsid w:val="00C6301D"/>
    <w:rsid w:val="00C63A32"/>
    <w:rsid w:val="00C63E73"/>
    <w:rsid w:val="00C6466F"/>
    <w:rsid w:val="00C653C0"/>
    <w:rsid w:val="00C66681"/>
    <w:rsid w:val="00C66967"/>
    <w:rsid w:val="00C66EF8"/>
    <w:rsid w:val="00C67099"/>
    <w:rsid w:val="00C6728A"/>
    <w:rsid w:val="00C67AAE"/>
    <w:rsid w:val="00C67E94"/>
    <w:rsid w:val="00C70487"/>
    <w:rsid w:val="00C70F76"/>
    <w:rsid w:val="00C71662"/>
    <w:rsid w:val="00C7166C"/>
    <w:rsid w:val="00C7173C"/>
    <w:rsid w:val="00C72154"/>
    <w:rsid w:val="00C7225F"/>
    <w:rsid w:val="00C72A18"/>
    <w:rsid w:val="00C734A7"/>
    <w:rsid w:val="00C73F4C"/>
    <w:rsid w:val="00C74593"/>
    <w:rsid w:val="00C74E1E"/>
    <w:rsid w:val="00C75749"/>
    <w:rsid w:val="00C75EB4"/>
    <w:rsid w:val="00C760A5"/>
    <w:rsid w:val="00C76838"/>
    <w:rsid w:val="00C770B4"/>
    <w:rsid w:val="00C7766D"/>
    <w:rsid w:val="00C7781E"/>
    <w:rsid w:val="00C77E25"/>
    <w:rsid w:val="00C77F60"/>
    <w:rsid w:val="00C800E8"/>
    <w:rsid w:val="00C8150A"/>
    <w:rsid w:val="00C83175"/>
    <w:rsid w:val="00C832E1"/>
    <w:rsid w:val="00C8340D"/>
    <w:rsid w:val="00C83599"/>
    <w:rsid w:val="00C83CB6"/>
    <w:rsid w:val="00C85128"/>
    <w:rsid w:val="00C85973"/>
    <w:rsid w:val="00C85C91"/>
    <w:rsid w:val="00C879DC"/>
    <w:rsid w:val="00C90118"/>
    <w:rsid w:val="00C91400"/>
    <w:rsid w:val="00C91910"/>
    <w:rsid w:val="00C91DA8"/>
    <w:rsid w:val="00C92979"/>
    <w:rsid w:val="00C931BA"/>
    <w:rsid w:val="00C937CB"/>
    <w:rsid w:val="00C93914"/>
    <w:rsid w:val="00C946E7"/>
    <w:rsid w:val="00C9559B"/>
    <w:rsid w:val="00C961A9"/>
    <w:rsid w:val="00C96CA8"/>
    <w:rsid w:val="00C96DEC"/>
    <w:rsid w:val="00C96E0B"/>
    <w:rsid w:val="00C97F1C"/>
    <w:rsid w:val="00CA0CE0"/>
    <w:rsid w:val="00CA0D5C"/>
    <w:rsid w:val="00CA0E2B"/>
    <w:rsid w:val="00CA1794"/>
    <w:rsid w:val="00CA1ED8"/>
    <w:rsid w:val="00CA3068"/>
    <w:rsid w:val="00CA3B94"/>
    <w:rsid w:val="00CA3D3A"/>
    <w:rsid w:val="00CA4320"/>
    <w:rsid w:val="00CA4E2A"/>
    <w:rsid w:val="00CA55A9"/>
    <w:rsid w:val="00CA5954"/>
    <w:rsid w:val="00CA6E66"/>
    <w:rsid w:val="00CA7376"/>
    <w:rsid w:val="00CA7A5D"/>
    <w:rsid w:val="00CB0605"/>
    <w:rsid w:val="00CB0726"/>
    <w:rsid w:val="00CB0759"/>
    <w:rsid w:val="00CB0761"/>
    <w:rsid w:val="00CB0990"/>
    <w:rsid w:val="00CB0C90"/>
    <w:rsid w:val="00CB1804"/>
    <w:rsid w:val="00CB18CD"/>
    <w:rsid w:val="00CB3AC6"/>
    <w:rsid w:val="00CB46BB"/>
    <w:rsid w:val="00CB50ED"/>
    <w:rsid w:val="00CB5387"/>
    <w:rsid w:val="00CB551D"/>
    <w:rsid w:val="00CB5BE3"/>
    <w:rsid w:val="00CB5E12"/>
    <w:rsid w:val="00CB7790"/>
    <w:rsid w:val="00CB7991"/>
    <w:rsid w:val="00CC021E"/>
    <w:rsid w:val="00CC0CC6"/>
    <w:rsid w:val="00CC10F7"/>
    <w:rsid w:val="00CC20FE"/>
    <w:rsid w:val="00CC2492"/>
    <w:rsid w:val="00CC2E07"/>
    <w:rsid w:val="00CC3E76"/>
    <w:rsid w:val="00CC4302"/>
    <w:rsid w:val="00CC51E6"/>
    <w:rsid w:val="00CC5A84"/>
    <w:rsid w:val="00CC617A"/>
    <w:rsid w:val="00CC6289"/>
    <w:rsid w:val="00CC7066"/>
    <w:rsid w:val="00CD01AE"/>
    <w:rsid w:val="00CD0267"/>
    <w:rsid w:val="00CD0334"/>
    <w:rsid w:val="00CD0789"/>
    <w:rsid w:val="00CD0CA0"/>
    <w:rsid w:val="00CD0D97"/>
    <w:rsid w:val="00CD103A"/>
    <w:rsid w:val="00CD13CA"/>
    <w:rsid w:val="00CD1788"/>
    <w:rsid w:val="00CD1C2B"/>
    <w:rsid w:val="00CD1CB3"/>
    <w:rsid w:val="00CD1DEE"/>
    <w:rsid w:val="00CD3097"/>
    <w:rsid w:val="00CD34DB"/>
    <w:rsid w:val="00CD367D"/>
    <w:rsid w:val="00CD3ADB"/>
    <w:rsid w:val="00CD3F99"/>
    <w:rsid w:val="00CD4FA7"/>
    <w:rsid w:val="00CD5536"/>
    <w:rsid w:val="00CD620B"/>
    <w:rsid w:val="00CD6604"/>
    <w:rsid w:val="00CD673E"/>
    <w:rsid w:val="00CE0105"/>
    <w:rsid w:val="00CE0900"/>
    <w:rsid w:val="00CE10EF"/>
    <w:rsid w:val="00CE1163"/>
    <w:rsid w:val="00CE12BF"/>
    <w:rsid w:val="00CE1535"/>
    <w:rsid w:val="00CE1742"/>
    <w:rsid w:val="00CE2907"/>
    <w:rsid w:val="00CE2B29"/>
    <w:rsid w:val="00CE3569"/>
    <w:rsid w:val="00CE3997"/>
    <w:rsid w:val="00CE3BAB"/>
    <w:rsid w:val="00CE3DA1"/>
    <w:rsid w:val="00CE4C99"/>
    <w:rsid w:val="00CE4FD0"/>
    <w:rsid w:val="00CE4FD7"/>
    <w:rsid w:val="00CE5021"/>
    <w:rsid w:val="00CE5D2D"/>
    <w:rsid w:val="00CE75E0"/>
    <w:rsid w:val="00CF02B7"/>
    <w:rsid w:val="00CF1686"/>
    <w:rsid w:val="00CF2BC8"/>
    <w:rsid w:val="00CF452A"/>
    <w:rsid w:val="00CF4A44"/>
    <w:rsid w:val="00CF5500"/>
    <w:rsid w:val="00CF6D66"/>
    <w:rsid w:val="00CF7AC1"/>
    <w:rsid w:val="00D00567"/>
    <w:rsid w:val="00D00628"/>
    <w:rsid w:val="00D007E2"/>
    <w:rsid w:val="00D00DC0"/>
    <w:rsid w:val="00D01248"/>
    <w:rsid w:val="00D012E7"/>
    <w:rsid w:val="00D026DF"/>
    <w:rsid w:val="00D02739"/>
    <w:rsid w:val="00D03026"/>
    <w:rsid w:val="00D033F0"/>
    <w:rsid w:val="00D03A27"/>
    <w:rsid w:val="00D03CA4"/>
    <w:rsid w:val="00D0423D"/>
    <w:rsid w:val="00D05379"/>
    <w:rsid w:val="00D05A02"/>
    <w:rsid w:val="00D05E02"/>
    <w:rsid w:val="00D05F3F"/>
    <w:rsid w:val="00D06572"/>
    <w:rsid w:val="00D06BA6"/>
    <w:rsid w:val="00D06EA2"/>
    <w:rsid w:val="00D07104"/>
    <w:rsid w:val="00D073BA"/>
    <w:rsid w:val="00D07746"/>
    <w:rsid w:val="00D10FB6"/>
    <w:rsid w:val="00D112E1"/>
    <w:rsid w:val="00D114EA"/>
    <w:rsid w:val="00D12495"/>
    <w:rsid w:val="00D13256"/>
    <w:rsid w:val="00D13939"/>
    <w:rsid w:val="00D13A16"/>
    <w:rsid w:val="00D13C5E"/>
    <w:rsid w:val="00D14B82"/>
    <w:rsid w:val="00D15364"/>
    <w:rsid w:val="00D1568C"/>
    <w:rsid w:val="00D16517"/>
    <w:rsid w:val="00D16821"/>
    <w:rsid w:val="00D16887"/>
    <w:rsid w:val="00D169C6"/>
    <w:rsid w:val="00D175E3"/>
    <w:rsid w:val="00D17620"/>
    <w:rsid w:val="00D17EC0"/>
    <w:rsid w:val="00D2142E"/>
    <w:rsid w:val="00D22405"/>
    <w:rsid w:val="00D22C39"/>
    <w:rsid w:val="00D22D4A"/>
    <w:rsid w:val="00D22EA9"/>
    <w:rsid w:val="00D23674"/>
    <w:rsid w:val="00D23992"/>
    <w:rsid w:val="00D24062"/>
    <w:rsid w:val="00D2406A"/>
    <w:rsid w:val="00D24D23"/>
    <w:rsid w:val="00D2500F"/>
    <w:rsid w:val="00D26B76"/>
    <w:rsid w:val="00D27595"/>
    <w:rsid w:val="00D275AD"/>
    <w:rsid w:val="00D275CF"/>
    <w:rsid w:val="00D27725"/>
    <w:rsid w:val="00D305DA"/>
    <w:rsid w:val="00D306DD"/>
    <w:rsid w:val="00D307B6"/>
    <w:rsid w:val="00D30EA4"/>
    <w:rsid w:val="00D31E3B"/>
    <w:rsid w:val="00D31F84"/>
    <w:rsid w:val="00D3281A"/>
    <w:rsid w:val="00D32BCB"/>
    <w:rsid w:val="00D330DC"/>
    <w:rsid w:val="00D34130"/>
    <w:rsid w:val="00D342B0"/>
    <w:rsid w:val="00D351C9"/>
    <w:rsid w:val="00D35212"/>
    <w:rsid w:val="00D353E8"/>
    <w:rsid w:val="00D36E63"/>
    <w:rsid w:val="00D371B8"/>
    <w:rsid w:val="00D405BA"/>
    <w:rsid w:val="00D40A4F"/>
    <w:rsid w:val="00D40EA7"/>
    <w:rsid w:val="00D41523"/>
    <w:rsid w:val="00D416B7"/>
    <w:rsid w:val="00D41906"/>
    <w:rsid w:val="00D41BB6"/>
    <w:rsid w:val="00D42BF5"/>
    <w:rsid w:val="00D42CEF"/>
    <w:rsid w:val="00D433A4"/>
    <w:rsid w:val="00D44C98"/>
    <w:rsid w:val="00D4572B"/>
    <w:rsid w:val="00D45A06"/>
    <w:rsid w:val="00D45E50"/>
    <w:rsid w:val="00D461D2"/>
    <w:rsid w:val="00D46D23"/>
    <w:rsid w:val="00D47298"/>
    <w:rsid w:val="00D52355"/>
    <w:rsid w:val="00D53B43"/>
    <w:rsid w:val="00D53D03"/>
    <w:rsid w:val="00D5485A"/>
    <w:rsid w:val="00D54965"/>
    <w:rsid w:val="00D549E2"/>
    <w:rsid w:val="00D54D9B"/>
    <w:rsid w:val="00D553D5"/>
    <w:rsid w:val="00D55941"/>
    <w:rsid w:val="00D567E6"/>
    <w:rsid w:val="00D569C6"/>
    <w:rsid w:val="00D576D4"/>
    <w:rsid w:val="00D615B1"/>
    <w:rsid w:val="00D62277"/>
    <w:rsid w:val="00D622B4"/>
    <w:rsid w:val="00D6403A"/>
    <w:rsid w:val="00D6416C"/>
    <w:rsid w:val="00D64801"/>
    <w:rsid w:val="00D649F4"/>
    <w:rsid w:val="00D6513F"/>
    <w:rsid w:val="00D65B5C"/>
    <w:rsid w:val="00D662D5"/>
    <w:rsid w:val="00D6732B"/>
    <w:rsid w:val="00D70064"/>
    <w:rsid w:val="00D732CF"/>
    <w:rsid w:val="00D741EB"/>
    <w:rsid w:val="00D7433B"/>
    <w:rsid w:val="00D75FBE"/>
    <w:rsid w:val="00D764F5"/>
    <w:rsid w:val="00D76B8D"/>
    <w:rsid w:val="00D76E69"/>
    <w:rsid w:val="00D77D30"/>
    <w:rsid w:val="00D801E6"/>
    <w:rsid w:val="00D80614"/>
    <w:rsid w:val="00D8065A"/>
    <w:rsid w:val="00D8093D"/>
    <w:rsid w:val="00D81CD2"/>
    <w:rsid w:val="00D836DD"/>
    <w:rsid w:val="00D83AD6"/>
    <w:rsid w:val="00D84400"/>
    <w:rsid w:val="00D8534A"/>
    <w:rsid w:val="00D859CC"/>
    <w:rsid w:val="00D86710"/>
    <w:rsid w:val="00D86B6B"/>
    <w:rsid w:val="00D86C44"/>
    <w:rsid w:val="00D90CF4"/>
    <w:rsid w:val="00D91C26"/>
    <w:rsid w:val="00D91E0E"/>
    <w:rsid w:val="00DA078C"/>
    <w:rsid w:val="00DA07D4"/>
    <w:rsid w:val="00DA0A7D"/>
    <w:rsid w:val="00DA0C6F"/>
    <w:rsid w:val="00DA0D56"/>
    <w:rsid w:val="00DA0D96"/>
    <w:rsid w:val="00DA0F16"/>
    <w:rsid w:val="00DA1388"/>
    <w:rsid w:val="00DA1A0C"/>
    <w:rsid w:val="00DA1FC8"/>
    <w:rsid w:val="00DA220A"/>
    <w:rsid w:val="00DA255B"/>
    <w:rsid w:val="00DA2CFF"/>
    <w:rsid w:val="00DA2F80"/>
    <w:rsid w:val="00DA3144"/>
    <w:rsid w:val="00DA4930"/>
    <w:rsid w:val="00DA4F88"/>
    <w:rsid w:val="00DA5544"/>
    <w:rsid w:val="00DA57C0"/>
    <w:rsid w:val="00DA5991"/>
    <w:rsid w:val="00DA6317"/>
    <w:rsid w:val="00DA66BA"/>
    <w:rsid w:val="00DA7235"/>
    <w:rsid w:val="00DA7309"/>
    <w:rsid w:val="00DA7DA4"/>
    <w:rsid w:val="00DA7E95"/>
    <w:rsid w:val="00DB0287"/>
    <w:rsid w:val="00DB02B3"/>
    <w:rsid w:val="00DB0483"/>
    <w:rsid w:val="00DB08D9"/>
    <w:rsid w:val="00DB0B18"/>
    <w:rsid w:val="00DB10BF"/>
    <w:rsid w:val="00DB1182"/>
    <w:rsid w:val="00DB12FB"/>
    <w:rsid w:val="00DB214F"/>
    <w:rsid w:val="00DB2D30"/>
    <w:rsid w:val="00DB3D40"/>
    <w:rsid w:val="00DB3E88"/>
    <w:rsid w:val="00DB3F3E"/>
    <w:rsid w:val="00DB4298"/>
    <w:rsid w:val="00DB4396"/>
    <w:rsid w:val="00DB466B"/>
    <w:rsid w:val="00DB5A59"/>
    <w:rsid w:val="00DC094E"/>
    <w:rsid w:val="00DC0CDA"/>
    <w:rsid w:val="00DC1AF2"/>
    <w:rsid w:val="00DC24DF"/>
    <w:rsid w:val="00DC2719"/>
    <w:rsid w:val="00DC3370"/>
    <w:rsid w:val="00DC3A63"/>
    <w:rsid w:val="00DC403F"/>
    <w:rsid w:val="00DC4672"/>
    <w:rsid w:val="00DC47C9"/>
    <w:rsid w:val="00DC529B"/>
    <w:rsid w:val="00DC5607"/>
    <w:rsid w:val="00DC5BE4"/>
    <w:rsid w:val="00DC5C31"/>
    <w:rsid w:val="00DC5C49"/>
    <w:rsid w:val="00DC6079"/>
    <w:rsid w:val="00DC6212"/>
    <w:rsid w:val="00DC6282"/>
    <w:rsid w:val="00DC6C28"/>
    <w:rsid w:val="00DC6C76"/>
    <w:rsid w:val="00DC6C7B"/>
    <w:rsid w:val="00DC7779"/>
    <w:rsid w:val="00DC7EC4"/>
    <w:rsid w:val="00DD0B33"/>
    <w:rsid w:val="00DD10BB"/>
    <w:rsid w:val="00DD1D22"/>
    <w:rsid w:val="00DD2982"/>
    <w:rsid w:val="00DD4551"/>
    <w:rsid w:val="00DD45B0"/>
    <w:rsid w:val="00DD45F3"/>
    <w:rsid w:val="00DD4E3F"/>
    <w:rsid w:val="00DD4E97"/>
    <w:rsid w:val="00DD57A8"/>
    <w:rsid w:val="00DD5DD5"/>
    <w:rsid w:val="00DD632B"/>
    <w:rsid w:val="00DD6653"/>
    <w:rsid w:val="00DE016E"/>
    <w:rsid w:val="00DE0523"/>
    <w:rsid w:val="00DE0A79"/>
    <w:rsid w:val="00DE0CF0"/>
    <w:rsid w:val="00DE18C3"/>
    <w:rsid w:val="00DE321A"/>
    <w:rsid w:val="00DE334D"/>
    <w:rsid w:val="00DE360E"/>
    <w:rsid w:val="00DE3E70"/>
    <w:rsid w:val="00DE4116"/>
    <w:rsid w:val="00DE4766"/>
    <w:rsid w:val="00DE4933"/>
    <w:rsid w:val="00DE5343"/>
    <w:rsid w:val="00DE563A"/>
    <w:rsid w:val="00DE626C"/>
    <w:rsid w:val="00DF135A"/>
    <w:rsid w:val="00DF1510"/>
    <w:rsid w:val="00DF2EAE"/>
    <w:rsid w:val="00DF31F1"/>
    <w:rsid w:val="00DF3269"/>
    <w:rsid w:val="00DF3D2F"/>
    <w:rsid w:val="00DF4635"/>
    <w:rsid w:val="00DF49EF"/>
    <w:rsid w:val="00DF5317"/>
    <w:rsid w:val="00DF636A"/>
    <w:rsid w:val="00DF6B16"/>
    <w:rsid w:val="00DF768F"/>
    <w:rsid w:val="00E00362"/>
    <w:rsid w:val="00E00DF5"/>
    <w:rsid w:val="00E0121A"/>
    <w:rsid w:val="00E02000"/>
    <w:rsid w:val="00E02837"/>
    <w:rsid w:val="00E02BCF"/>
    <w:rsid w:val="00E02D90"/>
    <w:rsid w:val="00E03AD9"/>
    <w:rsid w:val="00E0476D"/>
    <w:rsid w:val="00E04BD4"/>
    <w:rsid w:val="00E063F5"/>
    <w:rsid w:val="00E06B86"/>
    <w:rsid w:val="00E06F5B"/>
    <w:rsid w:val="00E073EA"/>
    <w:rsid w:val="00E1026A"/>
    <w:rsid w:val="00E10520"/>
    <w:rsid w:val="00E10BB2"/>
    <w:rsid w:val="00E10E5A"/>
    <w:rsid w:val="00E11A91"/>
    <w:rsid w:val="00E125D8"/>
    <w:rsid w:val="00E128CD"/>
    <w:rsid w:val="00E1347A"/>
    <w:rsid w:val="00E13C21"/>
    <w:rsid w:val="00E14A12"/>
    <w:rsid w:val="00E14F1E"/>
    <w:rsid w:val="00E153F8"/>
    <w:rsid w:val="00E15901"/>
    <w:rsid w:val="00E15C13"/>
    <w:rsid w:val="00E15F9D"/>
    <w:rsid w:val="00E15FF4"/>
    <w:rsid w:val="00E1627D"/>
    <w:rsid w:val="00E16906"/>
    <w:rsid w:val="00E16C64"/>
    <w:rsid w:val="00E17DCF"/>
    <w:rsid w:val="00E20202"/>
    <w:rsid w:val="00E206B1"/>
    <w:rsid w:val="00E20D1A"/>
    <w:rsid w:val="00E21F42"/>
    <w:rsid w:val="00E22324"/>
    <w:rsid w:val="00E2255C"/>
    <w:rsid w:val="00E22CAE"/>
    <w:rsid w:val="00E230A6"/>
    <w:rsid w:val="00E232FC"/>
    <w:rsid w:val="00E23309"/>
    <w:rsid w:val="00E234A1"/>
    <w:rsid w:val="00E235A3"/>
    <w:rsid w:val="00E243A0"/>
    <w:rsid w:val="00E24E06"/>
    <w:rsid w:val="00E25BC9"/>
    <w:rsid w:val="00E2694F"/>
    <w:rsid w:val="00E279DE"/>
    <w:rsid w:val="00E3179C"/>
    <w:rsid w:val="00E320FE"/>
    <w:rsid w:val="00E32834"/>
    <w:rsid w:val="00E32C31"/>
    <w:rsid w:val="00E337C6"/>
    <w:rsid w:val="00E3602F"/>
    <w:rsid w:val="00E36CEF"/>
    <w:rsid w:val="00E36F5A"/>
    <w:rsid w:val="00E3716D"/>
    <w:rsid w:val="00E37701"/>
    <w:rsid w:val="00E379FC"/>
    <w:rsid w:val="00E37F2B"/>
    <w:rsid w:val="00E40F4F"/>
    <w:rsid w:val="00E4145A"/>
    <w:rsid w:val="00E415B5"/>
    <w:rsid w:val="00E4176A"/>
    <w:rsid w:val="00E44103"/>
    <w:rsid w:val="00E44156"/>
    <w:rsid w:val="00E44A26"/>
    <w:rsid w:val="00E44AD9"/>
    <w:rsid w:val="00E45202"/>
    <w:rsid w:val="00E45BA3"/>
    <w:rsid w:val="00E462C2"/>
    <w:rsid w:val="00E46824"/>
    <w:rsid w:val="00E468BE"/>
    <w:rsid w:val="00E47BD4"/>
    <w:rsid w:val="00E50C87"/>
    <w:rsid w:val="00E50FE0"/>
    <w:rsid w:val="00E5105B"/>
    <w:rsid w:val="00E516DC"/>
    <w:rsid w:val="00E517EA"/>
    <w:rsid w:val="00E51C59"/>
    <w:rsid w:val="00E51DB8"/>
    <w:rsid w:val="00E52E51"/>
    <w:rsid w:val="00E52FC7"/>
    <w:rsid w:val="00E53723"/>
    <w:rsid w:val="00E5444D"/>
    <w:rsid w:val="00E55152"/>
    <w:rsid w:val="00E551A0"/>
    <w:rsid w:val="00E55650"/>
    <w:rsid w:val="00E5587A"/>
    <w:rsid w:val="00E55BA6"/>
    <w:rsid w:val="00E56CD7"/>
    <w:rsid w:val="00E56DD1"/>
    <w:rsid w:val="00E57B72"/>
    <w:rsid w:val="00E57C84"/>
    <w:rsid w:val="00E57D1E"/>
    <w:rsid w:val="00E60514"/>
    <w:rsid w:val="00E612A5"/>
    <w:rsid w:val="00E614C3"/>
    <w:rsid w:val="00E61728"/>
    <w:rsid w:val="00E61921"/>
    <w:rsid w:val="00E62F91"/>
    <w:rsid w:val="00E634D4"/>
    <w:rsid w:val="00E63731"/>
    <w:rsid w:val="00E640C6"/>
    <w:rsid w:val="00E64832"/>
    <w:rsid w:val="00E64972"/>
    <w:rsid w:val="00E65036"/>
    <w:rsid w:val="00E6525B"/>
    <w:rsid w:val="00E6560E"/>
    <w:rsid w:val="00E65E10"/>
    <w:rsid w:val="00E65F67"/>
    <w:rsid w:val="00E663C2"/>
    <w:rsid w:val="00E6678D"/>
    <w:rsid w:val="00E66FA1"/>
    <w:rsid w:val="00E6740B"/>
    <w:rsid w:val="00E6768D"/>
    <w:rsid w:val="00E70E38"/>
    <w:rsid w:val="00E71488"/>
    <w:rsid w:val="00E7189E"/>
    <w:rsid w:val="00E7230E"/>
    <w:rsid w:val="00E72BA1"/>
    <w:rsid w:val="00E73D2C"/>
    <w:rsid w:val="00E74283"/>
    <w:rsid w:val="00E762C3"/>
    <w:rsid w:val="00E76365"/>
    <w:rsid w:val="00E7671F"/>
    <w:rsid w:val="00E767F7"/>
    <w:rsid w:val="00E774DC"/>
    <w:rsid w:val="00E812DA"/>
    <w:rsid w:val="00E8180B"/>
    <w:rsid w:val="00E81D79"/>
    <w:rsid w:val="00E81F6C"/>
    <w:rsid w:val="00E8247C"/>
    <w:rsid w:val="00E834B4"/>
    <w:rsid w:val="00E838FF"/>
    <w:rsid w:val="00E83BEE"/>
    <w:rsid w:val="00E83E46"/>
    <w:rsid w:val="00E83F80"/>
    <w:rsid w:val="00E840BA"/>
    <w:rsid w:val="00E84C0A"/>
    <w:rsid w:val="00E84D37"/>
    <w:rsid w:val="00E84F6D"/>
    <w:rsid w:val="00E85264"/>
    <w:rsid w:val="00E85369"/>
    <w:rsid w:val="00E855CF"/>
    <w:rsid w:val="00E85968"/>
    <w:rsid w:val="00E85A2B"/>
    <w:rsid w:val="00E86239"/>
    <w:rsid w:val="00E865C2"/>
    <w:rsid w:val="00E867E2"/>
    <w:rsid w:val="00E875DD"/>
    <w:rsid w:val="00E9065A"/>
    <w:rsid w:val="00E908AE"/>
    <w:rsid w:val="00E92123"/>
    <w:rsid w:val="00E93BD2"/>
    <w:rsid w:val="00E947F5"/>
    <w:rsid w:val="00E949CB"/>
    <w:rsid w:val="00E970E7"/>
    <w:rsid w:val="00E9773D"/>
    <w:rsid w:val="00E97827"/>
    <w:rsid w:val="00E97B91"/>
    <w:rsid w:val="00E97CE6"/>
    <w:rsid w:val="00EA08AA"/>
    <w:rsid w:val="00EA0A23"/>
    <w:rsid w:val="00EA150F"/>
    <w:rsid w:val="00EA1E71"/>
    <w:rsid w:val="00EA26A0"/>
    <w:rsid w:val="00EA28C4"/>
    <w:rsid w:val="00EA5A7C"/>
    <w:rsid w:val="00EA5BE3"/>
    <w:rsid w:val="00EA6E9E"/>
    <w:rsid w:val="00EA6ED6"/>
    <w:rsid w:val="00EA6EF0"/>
    <w:rsid w:val="00EA7775"/>
    <w:rsid w:val="00EB06D4"/>
    <w:rsid w:val="00EB07A7"/>
    <w:rsid w:val="00EB08B3"/>
    <w:rsid w:val="00EB163B"/>
    <w:rsid w:val="00EB1879"/>
    <w:rsid w:val="00EB200D"/>
    <w:rsid w:val="00EB2A5A"/>
    <w:rsid w:val="00EB2CE5"/>
    <w:rsid w:val="00EB2F47"/>
    <w:rsid w:val="00EB3412"/>
    <w:rsid w:val="00EB45AC"/>
    <w:rsid w:val="00EB4759"/>
    <w:rsid w:val="00EB485D"/>
    <w:rsid w:val="00EB4F6A"/>
    <w:rsid w:val="00EB5C9A"/>
    <w:rsid w:val="00EB60C6"/>
    <w:rsid w:val="00EB65B6"/>
    <w:rsid w:val="00EB71DE"/>
    <w:rsid w:val="00EB7437"/>
    <w:rsid w:val="00EB7AE5"/>
    <w:rsid w:val="00EC045C"/>
    <w:rsid w:val="00EC0C2B"/>
    <w:rsid w:val="00EC10BF"/>
    <w:rsid w:val="00EC118B"/>
    <w:rsid w:val="00EC12D7"/>
    <w:rsid w:val="00EC1509"/>
    <w:rsid w:val="00EC188B"/>
    <w:rsid w:val="00EC2B2E"/>
    <w:rsid w:val="00EC31C1"/>
    <w:rsid w:val="00EC3209"/>
    <w:rsid w:val="00EC332E"/>
    <w:rsid w:val="00EC5224"/>
    <w:rsid w:val="00EC52DA"/>
    <w:rsid w:val="00EC5469"/>
    <w:rsid w:val="00EC7440"/>
    <w:rsid w:val="00EC7A94"/>
    <w:rsid w:val="00EC7FB9"/>
    <w:rsid w:val="00ED1837"/>
    <w:rsid w:val="00ED270C"/>
    <w:rsid w:val="00ED2FD5"/>
    <w:rsid w:val="00ED308A"/>
    <w:rsid w:val="00ED3B18"/>
    <w:rsid w:val="00ED4C4F"/>
    <w:rsid w:val="00ED5FB4"/>
    <w:rsid w:val="00ED6C79"/>
    <w:rsid w:val="00ED6DEA"/>
    <w:rsid w:val="00ED79DB"/>
    <w:rsid w:val="00ED7F04"/>
    <w:rsid w:val="00EE0161"/>
    <w:rsid w:val="00EE06C0"/>
    <w:rsid w:val="00EE103F"/>
    <w:rsid w:val="00EE19F0"/>
    <w:rsid w:val="00EE1B5D"/>
    <w:rsid w:val="00EE1F5F"/>
    <w:rsid w:val="00EE22E1"/>
    <w:rsid w:val="00EE318F"/>
    <w:rsid w:val="00EE384D"/>
    <w:rsid w:val="00EE4A16"/>
    <w:rsid w:val="00EE4BB9"/>
    <w:rsid w:val="00EE6363"/>
    <w:rsid w:val="00EE6608"/>
    <w:rsid w:val="00EE6987"/>
    <w:rsid w:val="00EE7502"/>
    <w:rsid w:val="00EE75DA"/>
    <w:rsid w:val="00EE7FE5"/>
    <w:rsid w:val="00EF13AA"/>
    <w:rsid w:val="00EF288E"/>
    <w:rsid w:val="00EF2D33"/>
    <w:rsid w:val="00EF54C1"/>
    <w:rsid w:val="00EF5B22"/>
    <w:rsid w:val="00EF5C96"/>
    <w:rsid w:val="00EF61D6"/>
    <w:rsid w:val="00EF64EC"/>
    <w:rsid w:val="00EF65EC"/>
    <w:rsid w:val="00F012DD"/>
    <w:rsid w:val="00F01390"/>
    <w:rsid w:val="00F017A8"/>
    <w:rsid w:val="00F045A0"/>
    <w:rsid w:val="00F04F10"/>
    <w:rsid w:val="00F05309"/>
    <w:rsid w:val="00F053F1"/>
    <w:rsid w:val="00F05A54"/>
    <w:rsid w:val="00F062C6"/>
    <w:rsid w:val="00F06B05"/>
    <w:rsid w:val="00F07001"/>
    <w:rsid w:val="00F07331"/>
    <w:rsid w:val="00F073CB"/>
    <w:rsid w:val="00F101E4"/>
    <w:rsid w:val="00F1072B"/>
    <w:rsid w:val="00F11B6C"/>
    <w:rsid w:val="00F11E64"/>
    <w:rsid w:val="00F1210A"/>
    <w:rsid w:val="00F1278F"/>
    <w:rsid w:val="00F13B89"/>
    <w:rsid w:val="00F13C14"/>
    <w:rsid w:val="00F16422"/>
    <w:rsid w:val="00F164A9"/>
    <w:rsid w:val="00F16773"/>
    <w:rsid w:val="00F16800"/>
    <w:rsid w:val="00F16B76"/>
    <w:rsid w:val="00F1774B"/>
    <w:rsid w:val="00F17771"/>
    <w:rsid w:val="00F17EED"/>
    <w:rsid w:val="00F20214"/>
    <w:rsid w:val="00F20397"/>
    <w:rsid w:val="00F208A7"/>
    <w:rsid w:val="00F21333"/>
    <w:rsid w:val="00F237A9"/>
    <w:rsid w:val="00F23E79"/>
    <w:rsid w:val="00F24E9A"/>
    <w:rsid w:val="00F2553A"/>
    <w:rsid w:val="00F27089"/>
    <w:rsid w:val="00F273FA"/>
    <w:rsid w:val="00F2799B"/>
    <w:rsid w:val="00F30740"/>
    <w:rsid w:val="00F31814"/>
    <w:rsid w:val="00F3279E"/>
    <w:rsid w:val="00F32AB4"/>
    <w:rsid w:val="00F3383E"/>
    <w:rsid w:val="00F33F62"/>
    <w:rsid w:val="00F342FA"/>
    <w:rsid w:val="00F346F8"/>
    <w:rsid w:val="00F35CF9"/>
    <w:rsid w:val="00F35F41"/>
    <w:rsid w:val="00F36338"/>
    <w:rsid w:val="00F40EFD"/>
    <w:rsid w:val="00F41241"/>
    <w:rsid w:val="00F42594"/>
    <w:rsid w:val="00F43204"/>
    <w:rsid w:val="00F4333F"/>
    <w:rsid w:val="00F4387E"/>
    <w:rsid w:val="00F43B92"/>
    <w:rsid w:val="00F441A8"/>
    <w:rsid w:val="00F4420F"/>
    <w:rsid w:val="00F45709"/>
    <w:rsid w:val="00F46184"/>
    <w:rsid w:val="00F4621D"/>
    <w:rsid w:val="00F46D3A"/>
    <w:rsid w:val="00F4743A"/>
    <w:rsid w:val="00F5259D"/>
    <w:rsid w:val="00F52852"/>
    <w:rsid w:val="00F54252"/>
    <w:rsid w:val="00F552BE"/>
    <w:rsid w:val="00F5532D"/>
    <w:rsid w:val="00F55D6D"/>
    <w:rsid w:val="00F55FD5"/>
    <w:rsid w:val="00F562D8"/>
    <w:rsid w:val="00F564FA"/>
    <w:rsid w:val="00F56C87"/>
    <w:rsid w:val="00F60246"/>
    <w:rsid w:val="00F60BC2"/>
    <w:rsid w:val="00F6186E"/>
    <w:rsid w:val="00F61954"/>
    <w:rsid w:val="00F61A4C"/>
    <w:rsid w:val="00F61E7D"/>
    <w:rsid w:val="00F6239D"/>
    <w:rsid w:val="00F6293A"/>
    <w:rsid w:val="00F62DB8"/>
    <w:rsid w:val="00F62FB4"/>
    <w:rsid w:val="00F6324B"/>
    <w:rsid w:val="00F633B5"/>
    <w:rsid w:val="00F63E8B"/>
    <w:rsid w:val="00F65130"/>
    <w:rsid w:val="00F66D1C"/>
    <w:rsid w:val="00F7052D"/>
    <w:rsid w:val="00F70D36"/>
    <w:rsid w:val="00F71962"/>
    <w:rsid w:val="00F727F1"/>
    <w:rsid w:val="00F72A42"/>
    <w:rsid w:val="00F72B93"/>
    <w:rsid w:val="00F74501"/>
    <w:rsid w:val="00F74EFE"/>
    <w:rsid w:val="00F74FCD"/>
    <w:rsid w:val="00F75860"/>
    <w:rsid w:val="00F75CC3"/>
    <w:rsid w:val="00F76153"/>
    <w:rsid w:val="00F76189"/>
    <w:rsid w:val="00F76D82"/>
    <w:rsid w:val="00F77637"/>
    <w:rsid w:val="00F77D5D"/>
    <w:rsid w:val="00F80A8B"/>
    <w:rsid w:val="00F8125D"/>
    <w:rsid w:val="00F81B41"/>
    <w:rsid w:val="00F81E3B"/>
    <w:rsid w:val="00F81F49"/>
    <w:rsid w:val="00F820AE"/>
    <w:rsid w:val="00F824C6"/>
    <w:rsid w:val="00F82FAA"/>
    <w:rsid w:val="00F83E8B"/>
    <w:rsid w:val="00F842AB"/>
    <w:rsid w:val="00F84B3C"/>
    <w:rsid w:val="00F84BC6"/>
    <w:rsid w:val="00F8518C"/>
    <w:rsid w:val="00F854FF"/>
    <w:rsid w:val="00F85C87"/>
    <w:rsid w:val="00F86A15"/>
    <w:rsid w:val="00F87D25"/>
    <w:rsid w:val="00F903E2"/>
    <w:rsid w:val="00F905EF"/>
    <w:rsid w:val="00F909ED"/>
    <w:rsid w:val="00F9230A"/>
    <w:rsid w:val="00F93180"/>
    <w:rsid w:val="00F93DBF"/>
    <w:rsid w:val="00F95700"/>
    <w:rsid w:val="00F96C9F"/>
    <w:rsid w:val="00F96E85"/>
    <w:rsid w:val="00F9705A"/>
    <w:rsid w:val="00F97776"/>
    <w:rsid w:val="00F977F1"/>
    <w:rsid w:val="00F97AB2"/>
    <w:rsid w:val="00FA0293"/>
    <w:rsid w:val="00FA0E55"/>
    <w:rsid w:val="00FA1094"/>
    <w:rsid w:val="00FA22EA"/>
    <w:rsid w:val="00FA26DC"/>
    <w:rsid w:val="00FA27B1"/>
    <w:rsid w:val="00FA42E2"/>
    <w:rsid w:val="00FA4762"/>
    <w:rsid w:val="00FA5026"/>
    <w:rsid w:val="00FA5173"/>
    <w:rsid w:val="00FA5778"/>
    <w:rsid w:val="00FA5C81"/>
    <w:rsid w:val="00FA5FE2"/>
    <w:rsid w:val="00FA69B7"/>
    <w:rsid w:val="00FA720C"/>
    <w:rsid w:val="00FA77EB"/>
    <w:rsid w:val="00FB1C8E"/>
    <w:rsid w:val="00FB2846"/>
    <w:rsid w:val="00FB2F51"/>
    <w:rsid w:val="00FB318E"/>
    <w:rsid w:val="00FB376C"/>
    <w:rsid w:val="00FB3884"/>
    <w:rsid w:val="00FB3BE3"/>
    <w:rsid w:val="00FB49EF"/>
    <w:rsid w:val="00FB4FCB"/>
    <w:rsid w:val="00FB527C"/>
    <w:rsid w:val="00FB55B4"/>
    <w:rsid w:val="00FB5CB2"/>
    <w:rsid w:val="00FB6F00"/>
    <w:rsid w:val="00FB75B9"/>
    <w:rsid w:val="00FC0E10"/>
    <w:rsid w:val="00FC15B9"/>
    <w:rsid w:val="00FC1804"/>
    <w:rsid w:val="00FC21B0"/>
    <w:rsid w:val="00FC26CE"/>
    <w:rsid w:val="00FC270F"/>
    <w:rsid w:val="00FC35AB"/>
    <w:rsid w:val="00FC3666"/>
    <w:rsid w:val="00FC4649"/>
    <w:rsid w:val="00FC4888"/>
    <w:rsid w:val="00FC5722"/>
    <w:rsid w:val="00FC6044"/>
    <w:rsid w:val="00FC6256"/>
    <w:rsid w:val="00FC7117"/>
    <w:rsid w:val="00FC7C69"/>
    <w:rsid w:val="00FD1318"/>
    <w:rsid w:val="00FD16DF"/>
    <w:rsid w:val="00FD1753"/>
    <w:rsid w:val="00FD17FB"/>
    <w:rsid w:val="00FD2182"/>
    <w:rsid w:val="00FD248D"/>
    <w:rsid w:val="00FD2BBD"/>
    <w:rsid w:val="00FD3193"/>
    <w:rsid w:val="00FD339A"/>
    <w:rsid w:val="00FD3AB1"/>
    <w:rsid w:val="00FD3F5F"/>
    <w:rsid w:val="00FD5025"/>
    <w:rsid w:val="00FD558D"/>
    <w:rsid w:val="00FD735C"/>
    <w:rsid w:val="00FD783F"/>
    <w:rsid w:val="00FD79FF"/>
    <w:rsid w:val="00FE0788"/>
    <w:rsid w:val="00FE08A9"/>
    <w:rsid w:val="00FE0BA2"/>
    <w:rsid w:val="00FE0D41"/>
    <w:rsid w:val="00FE1045"/>
    <w:rsid w:val="00FE2A3A"/>
    <w:rsid w:val="00FE2D17"/>
    <w:rsid w:val="00FE34B2"/>
    <w:rsid w:val="00FE3A4B"/>
    <w:rsid w:val="00FE46AA"/>
    <w:rsid w:val="00FE49CC"/>
    <w:rsid w:val="00FE5802"/>
    <w:rsid w:val="00FE59E6"/>
    <w:rsid w:val="00FE5DB0"/>
    <w:rsid w:val="00FE608B"/>
    <w:rsid w:val="00FE63CC"/>
    <w:rsid w:val="00FE7B94"/>
    <w:rsid w:val="00FE7CDF"/>
    <w:rsid w:val="00FE7F9F"/>
    <w:rsid w:val="00FF3197"/>
    <w:rsid w:val="00FF3C97"/>
    <w:rsid w:val="00FF3E30"/>
    <w:rsid w:val="00FF5C87"/>
    <w:rsid w:val="00FF61FA"/>
    <w:rsid w:val="00FF6F06"/>
    <w:rsid w:val="00FF6F96"/>
    <w:rsid w:val="00FF7E0C"/>
    <w:rsid w:val="010158D6"/>
    <w:rsid w:val="01113D6B"/>
    <w:rsid w:val="01137ECF"/>
    <w:rsid w:val="011B081B"/>
    <w:rsid w:val="011D4062"/>
    <w:rsid w:val="01256F50"/>
    <w:rsid w:val="012810B4"/>
    <w:rsid w:val="012C687B"/>
    <w:rsid w:val="013730A5"/>
    <w:rsid w:val="0137715B"/>
    <w:rsid w:val="013D4B60"/>
    <w:rsid w:val="01474EA6"/>
    <w:rsid w:val="01511039"/>
    <w:rsid w:val="0153673B"/>
    <w:rsid w:val="01572F42"/>
    <w:rsid w:val="01592D6B"/>
    <w:rsid w:val="015D20F7"/>
    <w:rsid w:val="01630F53"/>
    <w:rsid w:val="01633E9B"/>
    <w:rsid w:val="0166575B"/>
    <w:rsid w:val="016D07F5"/>
    <w:rsid w:val="01756A62"/>
    <w:rsid w:val="01826A17"/>
    <w:rsid w:val="01893391"/>
    <w:rsid w:val="018D0F17"/>
    <w:rsid w:val="018D1D97"/>
    <w:rsid w:val="019271CC"/>
    <w:rsid w:val="01952A27"/>
    <w:rsid w:val="019D55FE"/>
    <w:rsid w:val="01A7022B"/>
    <w:rsid w:val="01A9632F"/>
    <w:rsid w:val="01B34E22"/>
    <w:rsid w:val="01C012ED"/>
    <w:rsid w:val="01C866F9"/>
    <w:rsid w:val="01CA5CC8"/>
    <w:rsid w:val="01CC0CC7"/>
    <w:rsid w:val="01D17056"/>
    <w:rsid w:val="01D37272"/>
    <w:rsid w:val="01D86637"/>
    <w:rsid w:val="01EB45BC"/>
    <w:rsid w:val="01EC5634"/>
    <w:rsid w:val="020E6E6E"/>
    <w:rsid w:val="02234DAC"/>
    <w:rsid w:val="023128A5"/>
    <w:rsid w:val="02316129"/>
    <w:rsid w:val="023870D5"/>
    <w:rsid w:val="02485D4E"/>
    <w:rsid w:val="024B6E08"/>
    <w:rsid w:val="024C4754"/>
    <w:rsid w:val="025305CA"/>
    <w:rsid w:val="025874A5"/>
    <w:rsid w:val="025A3A6A"/>
    <w:rsid w:val="025B2DC4"/>
    <w:rsid w:val="025D6BED"/>
    <w:rsid w:val="025F28B4"/>
    <w:rsid w:val="02653FF9"/>
    <w:rsid w:val="027125E7"/>
    <w:rsid w:val="02765598"/>
    <w:rsid w:val="027F0426"/>
    <w:rsid w:val="02832138"/>
    <w:rsid w:val="02864C0D"/>
    <w:rsid w:val="028B1CBA"/>
    <w:rsid w:val="02907ECF"/>
    <w:rsid w:val="02924A37"/>
    <w:rsid w:val="02990FD0"/>
    <w:rsid w:val="029C1412"/>
    <w:rsid w:val="02A4476B"/>
    <w:rsid w:val="02AA4AEE"/>
    <w:rsid w:val="02AD361F"/>
    <w:rsid w:val="02B04EBD"/>
    <w:rsid w:val="02E1151B"/>
    <w:rsid w:val="02E132C9"/>
    <w:rsid w:val="02EB5557"/>
    <w:rsid w:val="02F2197A"/>
    <w:rsid w:val="02F24EE2"/>
    <w:rsid w:val="02FC549B"/>
    <w:rsid w:val="02FE1FF9"/>
    <w:rsid w:val="030B47EA"/>
    <w:rsid w:val="03190625"/>
    <w:rsid w:val="03253AFD"/>
    <w:rsid w:val="032D0FE9"/>
    <w:rsid w:val="032D1844"/>
    <w:rsid w:val="033433CD"/>
    <w:rsid w:val="03373831"/>
    <w:rsid w:val="0338006F"/>
    <w:rsid w:val="033F6241"/>
    <w:rsid w:val="0343328D"/>
    <w:rsid w:val="034675D0"/>
    <w:rsid w:val="034F46D6"/>
    <w:rsid w:val="0350044F"/>
    <w:rsid w:val="03506580"/>
    <w:rsid w:val="035C5045"/>
    <w:rsid w:val="03632B55"/>
    <w:rsid w:val="03726617"/>
    <w:rsid w:val="0376513B"/>
    <w:rsid w:val="03766107"/>
    <w:rsid w:val="03771E7F"/>
    <w:rsid w:val="037979A5"/>
    <w:rsid w:val="037D0349"/>
    <w:rsid w:val="03816D4F"/>
    <w:rsid w:val="03887BE8"/>
    <w:rsid w:val="03936CB9"/>
    <w:rsid w:val="0398271D"/>
    <w:rsid w:val="039D2DFC"/>
    <w:rsid w:val="03A2514E"/>
    <w:rsid w:val="03A82039"/>
    <w:rsid w:val="03BC7E2E"/>
    <w:rsid w:val="03BD6164"/>
    <w:rsid w:val="03C06834"/>
    <w:rsid w:val="03C21D37"/>
    <w:rsid w:val="03C42E23"/>
    <w:rsid w:val="03C86237"/>
    <w:rsid w:val="03C947DD"/>
    <w:rsid w:val="03D17DD3"/>
    <w:rsid w:val="03D8775E"/>
    <w:rsid w:val="03D90444"/>
    <w:rsid w:val="03D97BA9"/>
    <w:rsid w:val="03DE3179"/>
    <w:rsid w:val="03E2379C"/>
    <w:rsid w:val="03E91996"/>
    <w:rsid w:val="03EE2141"/>
    <w:rsid w:val="03EF3B00"/>
    <w:rsid w:val="03F31506"/>
    <w:rsid w:val="03F60FF6"/>
    <w:rsid w:val="03F67926"/>
    <w:rsid w:val="040B3430"/>
    <w:rsid w:val="04155920"/>
    <w:rsid w:val="041651F4"/>
    <w:rsid w:val="04180F6C"/>
    <w:rsid w:val="041C10A2"/>
    <w:rsid w:val="042042C5"/>
    <w:rsid w:val="04230AD7"/>
    <w:rsid w:val="04272D60"/>
    <w:rsid w:val="042C3965"/>
    <w:rsid w:val="043F600F"/>
    <w:rsid w:val="04436E0D"/>
    <w:rsid w:val="044C0C16"/>
    <w:rsid w:val="044C50BA"/>
    <w:rsid w:val="044F06A2"/>
    <w:rsid w:val="04545D1C"/>
    <w:rsid w:val="0458352F"/>
    <w:rsid w:val="04654DC4"/>
    <w:rsid w:val="046B5540"/>
    <w:rsid w:val="046C12B8"/>
    <w:rsid w:val="046E16BD"/>
    <w:rsid w:val="046E5030"/>
    <w:rsid w:val="046E6DDE"/>
    <w:rsid w:val="046F4189"/>
    <w:rsid w:val="047C599F"/>
    <w:rsid w:val="04842AA6"/>
    <w:rsid w:val="048760F2"/>
    <w:rsid w:val="049031F8"/>
    <w:rsid w:val="04960E16"/>
    <w:rsid w:val="04965593"/>
    <w:rsid w:val="04974587"/>
    <w:rsid w:val="04A226F5"/>
    <w:rsid w:val="04A5362F"/>
    <w:rsid w:val="04B17441"/>
    <w:rsid w:val="04B213C1"/>
    <w:rsid w:val="04B96A4C"/>
    <w:rsid w:val="04C3735B"/>
    <w:rsid w:val="04CC7C6B"/>
    <w:rsid w:val="04CD7FA9"/>
    <w:rsid w:val="04D94D82"/>
    <w:rsid w:val="04E35A1E"/>
    <w:rsid w:val="04E43544"/>
    <w:rsid w:val="04E84DE3"/>
    <w:rsid w:val="04E92909"/>
    <w:rsid w:val="04E97BF7"/>
    <w:rsid w:val="04F808C2"/>
    <w:rsid w:val="04F85637"/>
    <w:rsid w:val="04FA68C4"/>
    <w:rsid w:val="04FB4950"/>
    <w:rsid w:val="04FC6AE0"/>
    <w:rsid w:val="050414F1"/>
    <w:rsid w:val="05094D59"/>
    <w:rsid w:val="0509734D"/>
    <w:rsid w:val="050D2A9B"/>
    <w:rsid w:val="05181037"/>
    <w:rsid w:val="051C0693"/>
    <w:rsid w:val="05233EFD"/>
    <w:rsid w:val="05290F57"/>
    <w:rsid w:val="052F2A11"/>
    <w:rsid w:val="05336716"/>
    <w:rsid w:val="05373674"/>
    <w:rsid w:val="05482E38"/>
    <w:rsid w:val="054B01AE"/>
    <w:rsid w:val="054B711F"/>
    <w:rsid w:val="055B3806"/>
    <w:rsid w:val="056501EA"/>
    <w:rsid w:val="056C7B90"/>
    <w:rsid w:val="056D0012"/>
    <w:rsid w:val="05734F81"/>
    <w:rsid w:val="05762682"/>
    <w:rsid w:val="057C7E0F"/>
    <w:rsid w:val="058C3E4F"/>
    <w:rsid w:val="058D598A"/>
    <w:rsid w:val="05900FD6"/>
    <w:rsid w:val="059211F2"/>
    <w:rsid w:val="059565ED"/>
    <w:rsid w:val="059F67B7"/>
    <w:rsid w:val="05A37CCE"/>
    <w:rsid w:val="05A64326"/>
    <w:rsid w:val="05AF76AE"/>
    <w:rsid w:val="05B93636"/>
    <w:rsid w:val="05B943F0"/>
    <w:rsid w:val="05BC570A"/>
    <w:rsid w:val="05C0366A"/>
    <w:rsid w:val="05C621CD"/>
    <w:rsid w:val="05C86C09"/>
    <w:rsid w:val="05C93DB1"/>
    <w:rsid w:val="05CA44E8"/>
    <w:rsid w:val="05DE530E"/>
    <w:rsid w:val="05DF20B2"/>
    <w:rsid w:val="05E774BE"/>
    <w:rsid w:val="05E82BC0"/>
    <w:rsid w:val="05ED01D7"/>
    <w:rsid w:val="05EE7472"/>
    <w:rsid w:val="05EF21A1"/>
    <w:rsid w:val="05F54255"/>
    <w:rsid w:val="05FC3BE0"/>
    <w:rsid w:val="05FE4192"/>
    <w:rsid w:val="060E29BA"/>
    <w:rsid w:val="06104528"/>
    <w:rsid w:val="06150D98"/>
    <w:rsid w:val="061C6693"/>
    <w:rsid w:val="06253E14"/>
    <w:rsid w:val="06256FA3"/>
    <w:rsid w:val="06262826"/>
    <w:rsid w:val="06293905"/>
    <w:rsid w:val="062F6A41"/>
    <w:rsid w:val="0636392C"/>
    <w:rsid w:val="06443FD4"/>
    <w:rsid w:val="064707DC"/>
    <w:rsid w:val="06497B03"/>
    <w:rsid w:val="065F2600"/>
    <w:rsid w:val="066E7569"/>
    <w:rsid w:val="0677352A"/>
    <w:rsid w:val="06945058"/>
    <w:rsid w:val="069D0C9C"/>
    <w:rsid w:val="06A13342"/>
    <w:rsid w:val="06AE6F4B"/>
    <w:rsid w:val="06B744EC"/>
    <w:rsid w:val="06BE35C9"/>
    <w:rsid w:val="06C4362D"/>
    <w:rsid w:val="06C673A5"/>
    <w:rsid w:val="06E45A7E"/>
    <w:rsid w:val="06F36D64"/>
    <w:rsid w:val="06FA704F"/>
    <w:rsid w:val="06FD08ED"/>
    <w:rsid w:val="07027CB2"/>
    <w:rsid w:val="070D6D82"/>
    <w:rsid w:val="07114922"/>
    <w:rsid w:val="07230354"/>
    <w:rsid w:val="072A7934"/>
    <w:rsid w:val="072E6CF9"/>
    <w:rsid w:val="07537A15"/>
    <w:rsid w:val="07541C13"/>
    <w:rsid w:val="07545496"/>
    <w:rsid w:val="07572B98"/>
    <w:rsid w:val="07591FC8"/>
    <w:rsid w:val="075A189C"/>
    <w:rsid w:val="07683FB9"/>
    <w:rsid w:val="076E6040"/>
    <w:rsid w:val="07740BAF"/>
    <w:rsid w:val="077956DC"/>
    <w:rsid w:val="077FE512"/>
    <w:rsid w:val="078F2583"/>
    <w:rsid w:val="078F6575"/>
    <w:rsid w:val="07943000"/>
    <w:rsid w:val="079B438E"/>
    <w:rsid w:val="07AE35A7"/>
    <w:rsid w:val="07AF2EC2"/>
    <w:rsid w:val="07B13BB2"/>
    <w:rsid w:val="07C05BA3"/>
    <w:rsid w:val="07C264EE"/>
    <w:rsid w:val="07D02862"/>
    <w:rsid w:val="07D43F81"/>
    <w:rsid w:val="07D6476B"/>
    <w:rsid w:val="07DB2121"/>
    <w:rsid w:val="07E15B19"/>
    <w:rsid w:val="07E301FD"/>
    <w:rsid w:val="07E850FA"/>
    <w:rsid w:val="08147C9D"/>
    <w:rsid w:val="0817778D"/>
    <w:rsid w:val="081952B3"/>
    <w:rsid w:val="08251344"/>
    <w:rsid w:val="08273E74"/>
    <w:rsid w:val="0828546F"/>
    <w:rsid w:val="082E7378"/>
    <w:rsid w:val="08331281"/>
    <w:rsid w:val="08346D03"/>
    <w:rsid w:val="085A5FF7"/>
    <w:rsid w:val="085F49A3"/>
    <w:rsid w:val="08610ACC"/>
    <w:rsid w:val="086E55FF"/>
    <w:rsid w:val="08744BDF"/>
    <w:rsid w:val="0875422F"/>
    <w:rsid w:val="087B457E"/>
    <w:rsid w:val="087D5842"/>
    <w:rsid w:val="088865FB"/>
    <w:rsid w:val="089A0E0D"/>
    <w:rsid w:val="089D4136"/>
    <w:rsid w:val="089E0931"/>
    <w:rsid w:val="08A454C4"/>
    <w:rsid w:val="08A84AC3"/>
    <w:rsid w:val="08B01ED0"/>
    <w:rsid w:val="08BA0261"/>
    <w:rsid w:val="08BE565E"/>
    <w:rsid w:val="08C21DEA"/>
    <w:rsid w:val="08C330EF"/>
    <w:rsid w:val="08D613F6"/>
    <w:rsid w:val="08EC051C"/>
    <w:rsid w:val="08ED6E6B"/>
    <w:rsid w:val="090D12BC"/>
    <w:rsid w:val="091266F1"/>
    <w:rsid w:val="091650F7"/>
    <w:rsid w:val="091E4702"/>
    <w:rsid w:val="091E5277"/>
    <w:rsid w:val="0926237D"/>
    <w:rsid w:val="0932487E"/>
    <w:rsid w:val="093525C0"/>
    <w:rsid w:val="093E76C7"/>
    <w:rsid w:val="09436A8B"/>
    <w:rsid w:val="094620D8"/>
    <w:rsid w:val="09466604"/>
    <w:rsid w:val="09497E1A"/>
    <w:rsid w:val="09503FD7"/>
    <w:rsid w:val="09511A59"/>
    <w:rsid w:val="09523172"/>
    <w:rsid w:val="09767F69"/>
    <w:rsid w:val="09772BD9"/>
    <w:rsid w:val="097B289D"/>
    <w:rsid w:val="097E5D15"/>
    <w:rsid w:val="09954E0D"/>
    <w:rsid w:val="099752DD"/>
    <w:rsid w:val="099F5C8C"/>
    <w:rsid w:val="09A56C35"/>
    <w:rsid w:val="09A82D92"/>
    <w:rsid w:val="09BD4D6C"/>
    <w:rsid w:val="09C25210"/>
    <w:rsid w:val="09D103A6"/>
    <w:rsid w:val="09D873B4"/>
    <w:rsid w:val="09DE0562"/>
    <w:rsid w:val="09E047C0"/>
    <w:rsid w:val="09F21777"/>
    <w:rsid w:val="09F935EE"/>
    <w:rsid w:val="09F9539C"/>
    <w:rsid w:val="0A00497C"/>
    <w:rsid w:val="0A0124A3"/>
    <w:rsid w:val="0A014251"/>
    <w:rsid w:val="0A072481"/>
    <w:rsid w:val="0A09367D"/>
    <w:rsid w:val="0A0D21C8"/>
    <w:rsid w:val="0A173A74"/>
    <w:rsid w:val="0A187F18"/>
    <w:rsid w:val="0A264D9A"/>
    <w:rsid w:val="0A2A19F9"/>
    <w:rsid w:val="0A2F5262"/>
    <w:rsid w:val="0A311903"/>
    <w:rsid w:val="0A3208AE"/>
    <w:rsid w:val="0A3B3C06"/>
    <w:rsid w:val="0A3F5E5E"/>
    <w:rsid w:val="0A4679E7"/>
    <w:rsid w:val="0A474359"/>
    <w:rsid w:val="0A4822B5"/>
    <w:rsid w:val="0A482EEB"/>
    <w:rsid w:val="0A48720E"/>
    <w:rsid w:val="0A4A1C71"/>
    <w:rsid w:val="0A564F2E"/>
    <w:rsid w:val="0A586566"/>
    <w:rsid w:val="0A64315D"/>
    <w:rsid w:val="0A7140AF"/>
    <w:rsid w:val="0A764C3F"/>
    <w:rsid w:val="0A7D56BF"/>
    <w:rsid w:val="0A7E3AF3"/>
    <w:rsid w:val="0A83110A"/>
    <w:rsid w:val="0A863B8C"/>
    <w:rsid w:val="0A9037A2"/>
    <w:rsid w:val="0A95686D"/>
    <w:rsid w:val="0AA47A04"/>
    <w:rsid w:val="0AA53284"/>
    <w:rsid w:val="0AA76787"/>
    <w:rsid w:val="0AAA0FE6"/>
    <w:rsid w:val="0AAC0660"/>
    <w:rsid w:val="0ABA57A8"/>
    <w:rsid w:val="0ABF5171"/>
    <w:rsid w:val="0ABF65E6"/>
    <w:rsid w:val="0AC05EBA"/>
    <w:rsid w:val="0AC637B9"/>
    <w:rsid w:val="0ACC4142"/>
    <w:rsid w:val="0AD61B81"/>
    <w:rsid w:val="0ADC2637"/>
    <w:rsid w:val="0ADD4CBE"/>
    <w:rsid w:val="0AE71698"/>
    <w:rsid w:val="0AF3628F"/>
    <w:rsid w:val="0AFB3396"/>
    <w:rsid w:val="0AFB5144"/>
    <w:rsid w:val="0AFC2280"/>
    <w:rsid w:val="0AFD2C6A"/>
    <w:rsid w:val="0AFD710E"/>
    <w:rsid w:val="0AFE7196"/>
    <w:rsid w:val="0B025226"/>
    <w:rsid w:val="0B106E41"/>
    <w:rsid w:val="0B1F76CB"/>
    <w:rsid w:val="0B2226D0"/>
    <w:rsid w:val="0B3243DF"/>
    <w:rsid w:val="0B393AF8"/>
    <w:rsid w:val="0B3C4B15"/>
    <w:rsid w:val="0B3D24FE"/>
    <w:rsid w:val="0B4765DB"/>
    <w:rsid w:val="0B4B0D06"/>
    <w:rsid w:val="0B4C2B18"/>
    <w:rsid w:val="0B5036E2"/>
    <w:rsid w:val="0B5807E8"/>
    <w:rsid w:val="0B612388"/>
    <w:rsid w:val="0B676BC5"/>
    <w:rsid w:val="0B7218AA"/>
    <w:rsid w:val="0B745622"/>
    <w:rsid w:val="0B7A2363"/>
    <w:rsid w:val="0B82196E"/>
    <w:rsid w:val="0B856A8B"/>
    <w:rsid w:val="0B8A6D7A"/>
    <w:rsid w:val="0B8E5FB8"/>
    <w:rsid w:val="0B916209"/>
    <w:rsid w:val="0B925AA8"/>
    <w:rsid w:val="0B951472"/>
    <w:rsid w:val="0B9814FE"/>
    <w:rsid w:val="0B995089"/>
    <w:rsid w:val="0B9C6927"/>
    <w:rsid w:val="0BA666AA"/>
    <w:rsid w:val="0BA717DB"/>
    <w:rsid w:val="0BAA1044"/>
    <w:rsid w:val="0BAD28E2"/>
    <w:rsid w:val="0BAE4BF1"/>
    <w:rsid w:val="0BB70ED4"/>
    <w:rsid w:val="0BB721C8"/>
    <w:rsid w:val="0BB81E48"/>
    <w:rsid w:val="0BBA0B5B"/>
    <w:rsid w:val="0BBC084E"/>
    <w:rsid w:val="0BBF5056"/>
    <w:rsid w:val="0BC35599"/>
    <w:rsid w:val="0BC536DC"/>
    <w:rsid w:val="0BC55E7E"/>
    <w:rsid w:val="0BCD0C64"/>
    <w:rsid w:val="0BCD436B"/>
    <w:rsid w:val="0BCE514A"/>
    <w:rsid w:val="0BD639A2"/>
    <w:rsid w:val="0BD6482C"/>
    <w:rsid w:val="0BDA3681"/>
    <w:rsid w:val="0BDF2758"/>
    <w:rsid w:val="0BE1086E"/>
    <w:rsid w:val="0BE360E1"/>
    <w:rsid w:val="0BE3650F"/>
    <w:rsid w:val="0BE572AB"/>
    <w:rsid w:val="0BEC359B"/>
    <w:rsid w:val="0BF10B5F"/>
    <w:rsid w:val="0BF17A23"/>
    <w:rsid w:val="0BF4422B"/>
    <w:rsid w:val="0C0D512F"/>
    <w:rsid w:val="0C183166"/>
    <w:rsid w:val="0C1A6669"/>
    <w:rsid w:val="0C281202"/>
    <w:rsid w:val="0C3B1111"/>
    <w:rsid w:val="0C4007E9"/>
    <w:rsid w:val="0C430B50"/>
    <w:rsid w:val="0C43782D"/>
    <w:rsid w:val="0C44594F"/>
    <w:rsid w:val="0C4548C9"/>
    <w:rsid w:val="0C460641"/>
    <w:rsid w:val="0C493935"/>
    <w:rsid w:val="0C4E6409"/>
    <w:rsid w:val="0C4F1BEB"/>
    <w:rsid w:val="0C50326D"/>
    <w:rsid w:val="0C5032C0"/>
    <w:rsid w:val="0C5F6BFB"/>
    <w:rsid w:val="0C601702"/>
    <w:rsid w:val="0C62485F"/>
    <w:rsid w:val="0C663265"/>
    <w:rsid w:val="0C7D22B4"/>
    <w:rsid w:val="0C8A5A23"/>
    <w:rsid w:val="0C8D626F"/>
    <w:rsid w:val="0C8F3D96"/>
    <w:rsid w:val="0C9615C8"/>
    <w:rsid w:val="0C9D2956"/>
    <w:rsid w:val="0CA710DF"/>
    <w:rsid w:val="0CA80AC7"/>
    <w:rsid w:val="0CAA5073"/>
    <w:rsid w:val="0CAB5F58"/>
    <w:rsid w:val="0CAE6912"/>
    <w:rsid w:val="0CB258D1"/>
    <w:rsid w:val="0CB72AA7"/>
    <w:rsid w:val="0CB877EC"/>
    <w:rsid w:val="0CB90E13"/>
    <w:rsid w:val="0CBB296F"/>
    <w:rsid w:val="0CBD4DA7"/>
    <w:rsid w:val="0CCF276E"/>
    <w:rsid w:val="0CDC1ECE"/>
    <w:rsid w:val="0CE51C08"/>
    <w:rsid w:val="0CE54304"/>
    <w:rsid w:val="0CE916F8"/>
    <w:rsid w:val="0CF167FE"/>
    <w:rsid w:val="0CFCDAA7"/>
    <w:rsid w:val="0D026C5D"/>
    <w:rsid w:val="0D0A1648"/>
    <w:rsid w:val="0D0A78C0"/>
    <w:rsid w:val="0D0E4978"/>
    <w:rsid w:val="0D136775"/>
    <w:rsid w:val="0D192565"/>
    <w:rsid w:val="0D197B03"/>
    <w:rsid w:val="0D1D4F92"/>
    <w:rsid w:val="0D2074BF"/>
    <w:rsid w:val="0D246B1B"/>
    <w:rsid w:val="0D277430"/>
    <w:rsid w:val="0D38267F"/>
    <w:rsid w:val="0D483312"/>
    <w:rsid w:val="0D4E5761"/>
    <w:rsid w:val="0D53766A"/>
    <w:rsid w:val="0D541E54"/>
    <w:rsid w:val="0D55096F"/>
    <w:rsid w:val="0D5C2500"/>
    <w:rsid w:val="0D5C5D7C"/>
    <w:rsid w:val="0D670889"/>
    <w:rsid w:val="0D6A5091"/>
    <w:rsid w:val="0D6A62E0"/>
    <w:rsid w:val="0D6B5B56"/>
    <w:rsid w:val="0D75742F"/>
    <w:rsid w:val="0D826EB5"/>
    <w:rsid w:val="0D8A7B44"/>
    <w:rsid w:val="0D903C4C"/>
    <w:rsid w:val="0D913B3D"/>
    <w:rsid w:val="0D9838BD"/>
    <w:rsid w:val="0D9C2C0E"/>
    <w:rsid w:val="0D9C32E2"/>
    <w:rsid w:val="0DB03409"/>
    <w:rsid w:val="0DB05806"/>
    <w:rsid w:val="0DB25F8E"/>
    <w:rsid w:val="0DBE3638"/>
    <w:rsid w:val="0DC363ED"/>
    <w:rsid w:val="0DCC75CE"/>
    <w:rsid w:val="0DCD3AB1"/>
    <w:rsid w:val="0DCF6FB4"/>
    <w:rsid w:val="0DD24882"/>
    <w:rsid w:val="0DD405FA"/>
    <w:rsid w:val="0DD56120"/>
    <w:rsid w:val="0DDE464E"/>
    <w:rsid w:val="0DE933E1"/>
    <w:rsid w:val="0DEE2B4B"/>
    <w:rsid w:val="0DFA4660"/>
    <w:rsid w:val="0E0013EF"/>
    <w:rsid w:val="0E041A0C"/>
    <w:rsid w:val="0E072991"/>
    <w:rsid w:val="0E0F1632"/>
    <w:rsid w:val="0E2624D8"/>
    <w:rsid w:val="0E290A20"/>
    <w:rsid w:val="0E2A646C"/>
    <w:rsid w:val="0E2D0F5F"/>
    <w:rsid w:val="0E356BBF"/>
    <w:rsid w:val="0E364E11"/>
    <w:rsid w:val="0E3966AF"/>
    <w:rsid w:val="0E407A3D"/>
    <w:rsid w:val="0E4259A9"/>
    <w:rsid w:val="0E4F2D85"/>
    <w:rsid w:val="0E576B35"/>
    <w:rsid w:val="0E5F3EA6"/>
    <w:rsid w:val="0E7019A5"/>
    <w:rsid w:val="0E72396F"/>
    <w:rsid w:val="0E811F50"/>
    <w:rsid w:val="0E837D5C"/>
    <w:rsid w:val="0E8405CB"/>
    <w:rsid w:val="0E85325F"/>
    <w:rsid w:val="0E8D066C"/>
    <w:rsid w:val="0EA24254"/>
    <w:rsid w:val="0EA649FA"/>
    <w:rsid w:val="0EA67017"/>
    <w:rsid w:val="0EA8251A"/>
    <w:rsid w:val="0EAF6971"/>
    <w:rsid w:val="0EB126E9"/>
    <w:rsid w:val="0EB43F87"/>
    <w:rsid w:val="0EB7170A"/>
    <w:rsid w:val="0EB775D4"/>
    <w:rsid w:val="0EB94C69"/>
    <w:rsid w:val="0EC50D66"/>
    <w:rsid w:val="0EC82A4F"/>
    <w:rsid w:val="0EC95C85"/>
    <w:rsid w:val="0ECC7523"/>
    <w:rsid w:val="0ED30DE0"/>
    <w:rsid w:val="0EE14237"/>
    <w:rsid w:val="0EE15B77"/>
    <w:rsid w:val="0EF14797"/>
    <w:rsid w:val="0EF25E12"/>
    <w:rsid w:val="0EF44384"/>
    <w:rsid w:val="0EF56D96"/>
    <w:rsid w:val="0EFD148A"/>
    <w:rsid w:val="0F00541F"/>
    <w:rsid w:val="0F050299"/>
    <w:rsid w:val="0F075DB7"/>
    <w:rsid w:val="0F0A16BC"/>
    <w:rsid w:val="0F1D102F"/>
    <w:rsid w:val="0F1D410D"/>
    <w:rsid w:val="0F3139F2"/>
    <w:rsid w:val="0F475035"/>
    <w:rsid w:val="0F504C70"/>
    <w:rsid w:val="0F534BB2"/>
    <w:rsid w:val="0F5B3F73"/>
    <w:rsid w:val="0F5C08A7"/>
    <w:rsid w:val="0F5D017B"/>
    <w:rsid w:val="0F5D54C1"/>
    <w:rsid w:val="0F6251CC"/>
    <w:rsid w:val="0F6A47D7"/>
    <w:rsid w:val="0F704352"/>
    <w:rsid w:val="0F732EE8"/>
    <w:rsid w:val="0F786D63"/>
    <w:rsid w:val="0F7A2873"/>
    <w:rsid w:val="0F7A6F7F"/>
    <w:rsid w:val="0F7D247B"/>
    <w:rsid w:val="0F8021FE"/>
    <w:rsid w:val="0F824086"/>
    <w:rsid w:val="0F921AF0"/>
    <w:rsid w:val="0F931DEF"/>
    <w:rsid w:val="0F96368D"/>
    <w:rsid w:val="0FA0212C"/>
    <w:rsid w:val="0FA83AEC"/>
    <w:rsid w:val="0FB3423F"/>
    <w:rsid w:val="0FB56F73"/>
    <w:rsid w:val="0FBE4187"/>
    <w:rsid w:val="0FBE4261"/>
    <w:rsid w:val="0FC1695C"/>
    <w:rsid w:val="0FC33738"/>
    <w:rsid w:val="0FC611FF"/>
    <w:rsid w:val="0FC65D20"/>
    <w:rsid w:val="0FD30983"/>
    <w:rsid w:val="0FD41C88"/>
    <w:rsid w:val="0FD61908"/>
    <w:rsid w:val="0FD6518B"/>
    <w:rsid w:val="0FDD3329"/>
    <w:rsid w:val="0FE12B5A"/>
    <w:rsid w:val="0FE23CB5"/>
    <w:rsid w:val="0FE850A5"/>
    <w:rsid w:val="0FEE5EBF"/>
    <w:rsid w:val="0FFD54BA"/>
    <w:rsid w:val="0FFF56D6"/>
    <w:rsid w:val="100B7BD7"/>
    <w:rsid w:val="100E76C7"/>
    <w:rsid w:val="101A606C"/>
    <w:rsid w:val="101C3B92"/>
    <w:rsid w:val="101C52D6"/>
    <w:rsid w:val="1025078D"/>
    <w:rsid w:val="10250CCD"/>
    <w:rsid w:val="10280686"/>
    <w:rsid w:val="10293910"/>
    <w:rsid w:val="102962AF"/>
    <w:rsid w:val="102D5B9A"/>
    <w:rsid w:val="102E56E2"/>
    <w:rsid w:val="10306B1E"/>
    <w:rsid w:val="10383F2B"/>
    <w:rsid w:val="1039481A"/>
    <w:rsid w:val="103B70AE"/>
    <w:rsid w:val="1045133B"/>
    <w:rsid w:val="104906FF"/>
    <w:rsid w:val="105527CB"/>
    <w:rsid w:val="1057106E"/>
    <w:rsid w:val="105C0433"/>
    <w:rsid w:val="106C201D"/>
    <w:rsid w:val="106D0892"/>
    <w:rsid w:val="107717E2"/>
    <w:rsid w:val="1081433D"/>
    <w:rsid w:val="10817E99"/>
    <w:rsid w:val="108D5DE2"/>
    <w:rsid w:val="109777C7"/>
    <w:rsid w:val="10A100D7"/>
    <w:rsid w:val="10A46ADD"/>
    <w:rsid w:val="10CE3146"/>
    <w:rsid w:val="10D4446D"/>
    <w:rsid w:val="10D75D0B"/>
    <w:rsid w:val="10D85020"/>
    <w:rsid w:val="10E16B8A"/>
    <w:rsid w:val="10E36DA6"/>
    <w:rsid w:val="10E50428"/>
    <w:rsid w:val="10EC6ED1"/>
    <w:rsid w:val="10F32CC7"/>
    <w:rsid w:val="110754FD"/>
    <w:rsid w:val="110F2909"/>
    <w:rsid w:val="111032D6"/>
    <w:rsid w:val="1111746F"/>
    <w:rsid w:val="11162CD7"/>
    <w:rsid w:val="111807FE"/>
    <w:rsid w:val="11185797"/>
    <w:rsid w:val="111927C8"/>
    <w:rsid w:val="111C566F"/>
    <w:rsid w:val="111D4066"/>
    <w:rsid w:val="112812B5"/>
    <w:rsid w:val="112845C2"/>
    <w:rsid w:val="11285A31"/>
    <w:rsid w:val="11317B11"/>
    <w:rsid w:val="1137606C"/>
    <w:rsid w:val="113F222E"/>
    <w:rsid w:val="11425F69"/>
    <w:rsid w:val="11474599"/>
    <w:rsid w:val="114A472F"/>
    <w:rsid w:val="114D6D8E"/>
    <w:rsid w:val="1157357D"/>
    <w:rsid w:val="115B693C"/>
    <w:rsid w:val="116E3FA7"/>
    <w:rsid w:val="117F262B"/>
    <w:rsid w:val="118355A0"/>
    <w:rsid w:val="1185041F"/>
    <w:rsid w:val="118947D1"/>
    <w:rsid w:val="11915C91"/>
    <w:rsid w:val="119631A9"/>
    <w:rsid w:val="11A26319"/>
    <w:rsid w:val="11B10FCC"/>
    <w:rsid w:val="11B83122"/>
    <w:rsid w:val="11BD13A5"/>
    <w:rsid w:val="11BE502B"/>
    <w:rsid w:val="11C6025A"/>
    <w:rsid w:val="11C75232"/>
    <w:rsid w:val="11D16BFE"/>
    <w:rsid w:val="11DB6B5A"/>
    <w:rsid w:val="11E626AA"/>
    <w:rsid w:val="11E800CE"/>
    <w:rsid w:val="11F12DFD"/>
    <w:rsid w:val="11F272A1"/>
    <w:rsid w:val="11F27D69"/>
    <w:rsid w:val="12036C76"/>
    <w:rsid w:val="120F5D2F"/>
    <w:rsid w:val="121A05A5"/>
    <w:rsid w:val="12211934"/>
    <w:rsid w:val="12422116"/>
    <w:rsid w:val="12435103"/>
    <w:rsid w:val="1249138C"/>
    <w:rsid w:val="1250459A"/>
    <w:rsid w:val="12695089"/>
    <w:rsid w:val="126C254B"/>
    <w:rsid w:val="126E0CFC"/>
    <w:rsid w:val="127001C5"/>
    <w:rsid w:val="12723F3D"/>
    <w:rsid w:val="128724F6"/>
    <w:rsid w:val="128A347A"/>
    <w:rsid w:val="128D0E5D"/>
    <w:rsid w:val="128D521B"/>
    <w:rsid w:val="12900868"/>
    <w:rsid w:val="12906AB9"/>
    <w:rsid w:val="12971BF6"/>
    <w:rsid w:val="12977E48"/>
    <w:rsid w:val="129E2F84"/>
    <w:rsid w:val="12B24C82"/>
    <w:rsid w:val="12B90746"/>
    <w:rsid w:val="12BC023A"/>
    <w:rsid w:val="12C10A21"/>
    <w:rsid w:val="12C74CD1"/>
    <w:rsid w:val="12CC7FD0"/>
    <w:rsid w:val="12D627D0"/>
    <w:rsid w:val="12DD5483"/>
    <w:rsid w:val="12E00606"/>
    <w:rsid w:val="12E110C3"/>
    <w:rsid w:val="12E3308D"/>
    <w:rsid w:val="12E3738C"/>
    <w:rsid w:val="12E60488"/>
    <w:rsid w:val="12E96A91"/>
    <w:rsid w:val="12EA0CED"/>
    <w:rsid w:val="12F47048"/>
    <w:rsid w:val="12F85CAD"/>
    <w:rsid w:val="1300693C"/>
    <w:rsid w:val="130C25E4"/>
    <w:rsid w:val="130D1EB8"/>
    <w:rsid w:val="130F36D3"/>
    <w:rsid w:val="13143247"/>
    <w:rsid w:val="1319260B"/>
    <w:rsid w:val="131A3751"/>
    <w:rsid w:val="13205DAA"/>
    <w:rsid w:val="132316DC"/>
    <w:rsid w:val="13371015"/>
    <w:rsid w:val="13392CAD"/>
    <w:rsid w:val="13402A9B"/>
    <w:rsid w:val="13451652"/>
    <w:rsid w:val="1347361C"/>
    <w:rsid w:val="13486D30"/>
    <w:rsid w:val="13547AE7"/>
    <w:rsid w:val="13573133"/>
    <w:rsid w:val="13581385"/>
    <w:rsid w:val="135B0E75"/>
    <w:rsid w:val="136F7127"/>
    <w:rsid w:val="1374267F"/>
    <w:rsid w:val="137837D5"/>
    <w:rsid w:val="13855EBC"/>
    <w:rsid w:val="13995836"/>
    <w:rsid w:val="139B3968"/>
    <w:rsid w:val="139B74C4"/>
    <w:rsid w:val="13A14F2C"/>
    <w:rsid w:val="13A670CA"/>
    <w:rsid w:val="13B2095E"/>
    <w:rsid w:val="13B3480E"/>
    <w:rsid w:val="13BA5D6B"/>
    <w:rsid w:val="13D201A5"/>
    <w:rsid w:val="13D34716"/>
    <w:rsid w:val="13D604FC"/>
    <w:rsid w:val="13F217DA"/>
    <w:rsid w:val="13FC61B5"/>
    <w:rsid w:val="140E413A"/>
    <w:rsid w:val="141352AC"/>
    <w:rsid w:val="1424395D"/>
    <w:rsid w:val="14250C9D"/>
    <w:rsid w:val="1428639F"/>
    <w:rsid w:val="143769B9"/>
    <w:rsid w:val="1439793E"/>
    <w:rsid w:val="143A53BF"/>
    <w:rsid w:val="143D67CD"/>
    <w:rsid w:val="14423DE3"/>
    <w:rsid w:val="14531B4D"/>
    <w:rsid w:val="145F3F63"/>
    <w:rsid w:val="14641FAC"/>
    <w:rsid w:val="146E4BD8"/>
    <w:rsid w:val="14706BA3"/>
    <w:rsid w:val="14720225"/>
    <w:rsid w:val="147F13C2"/>
    <w:rsid w:val="14997EA7"/>
    <w:rsid w:val="149A59CD"/>
    <w:rsid w:val="149E1860"/>
    <w:rsid w:val="149F4D92"/>
    <w:rsid w:val="14A979BF"/>
    <w:rsid w:val="14B14FFE"/>
    <w:rsid w:val="14B22D17"/>
    <w:rsid w:val="14B35F82"/>
    <w:rsid w:val="14C15298"/>
    <w:rsid w:val="14CD18FF"/>
    <w:rsid w:val="14CD3A65"/>
    <w:rsid w:val="14D07AD9"/>
    <w:rsid w:val="14DC7D94"/>
    <w:rsid w:val="14FC07AC"/>
    <w:rsid w:val="15015A4D"/>
    <w:rsid w:val="15023B03"/>
    <w:rsid w:val="15027387"/>
    <w:rsid w:val="15064E11"/>
    <w:rsid w:val="15082937"/>
    <w:rsid w:val="150855A5"/>
    <w:rsid w:val="15127621"/>
    <w:rsid w:val="151D2886"/>
    <w:rsid w:val="151E34D5"/>
    <w:rsid w:val="15200B35"/>
    <w:rsid w:val="15204125"/>
    <w:rsid w:val="153220D4"/>
    <w:rsid w:val="15332247"/>
    <w:rsid w:val="153A74E0"/>
    <w:rsid w:val="15436065"/>
    <w:rsid w:val="154C2C7E"/>
    <w:rsid w:val="154C301A"/>
    <w:rsid w:val="15535E8C"/>
    <w:rsid w:val="15567B46"/>
    <w:rsid w:val="155913E5"/>
    <w:rsid w:val="15591F94"/>
    <w:rsid w:val="156222AC"/>
    <w:rsid w:val="156C0FB4"/>
    <w:rsid w:val="157E0E4B"/>
    <w:rsid w:val="15836462"/>
    <w:rsid w:val="158775E0"/>
    <w:rsid w:val="158972DF"/>
    <w:rsid w:val="158A3C94"/>
    <w:rsid w:val="15961DF8"/>
    <w:rsid w:val="15997A33"/>
    <w:rsid w:val="15A2559D"/>
    <w:rsid w:val="15A25786"/>
    <w:rsid w:val="15AA7E92"/>
    <w:rsid w:val="15B825AF"/>
    <w:rsid w:val="15B8610B"/>
    <w:rsid w:val="15BE4B39"/>
    <w:rsid w:val="15BE6A5D"/>
    <w:rsid w:val="15C03A4F"/>
    <w:rsid w:val="15C947BC"/>
    <w:rsid w:val="15E215B3"/>
    <w:rsid w:val="15EB7F26"/>
    <w:rsid w:val="15F01D49"/>
    <w:rsid w:val="15FC6940"/>
    <w:rsid w:val="160A1413"/>
    <w:rsid w:val="16111CBF"/>
    <w:rsid w:val="16157A01"/>
    <w:rsid w:val="161726D9"/>
    <w:rsid w:val="161810CD"/>
    <w:rsid w:val="161A5018"/>
    <w:rsid w:val="161C0D90"/>
    <w:rsid w:val="162309D2"/>
    <w:rsid w:val="1630328A"/>
    <w:rsid w:val="16321213"/>
    <w:rsid w:val="163360DA"/>
    <w:rsid w:val="1635775C"/>
    <w:rsid w:val="163806CE"/>
    <w:rsid w:val="163F4D52"/>
    <w:rsid w:val="16430D4A"/>
    <w:rsid w:val="164D0F49"/>
    <w:rsid w:val="164F4B0E"/>
    <w:rsid w:val="16554715"/>
    <w:rsid w:val="16557DFE"/>
    <w:rsid w:val="165840B5"/>
    <w:rsid w:val="165B7221"/>
    <w:rsid w:val="167209B0"/>
    <w:rsid w:val="16781D3E"/>
    <w:rsid w:val="167823EB"/>
    <w:rsid w:val="1680307B"/>
    <w:rsid w:val="16822CFB"/>
    <w:rsid w:val="16832127"/>
    <w:rsid w:val="168B1A72"/>
    <w:rsid w:val="168E11C7"/>
    <w:rsid w:val="1696199B"/>
    <w:rsid w:val="16A4650F"/>
    <w:rsid w:val="16AA639C"/>
    <w:rsid w:val="16AB5C70"/>
    <w:rsid w:val="16B831D5"/>
    <w:rsid w:val="16BA2357"/>
    <w:rsid w:val="16BB08D6"/>
    <w:rsid w:val="16C3120C"/>
    <w:rsid w:val="16C476BC"/>
    <w:rsid w:val="16CE3829"/>
    <w:rsid w:val="16D17044"/>
    <w:rsid w:val="16DB41BD"/>
    <w:rsid w:val="16DE6045"/>
    <w:rsid w:val="16E00B16"/>
    <w:rsid w:val="16E15B36"/>
    <w:rsid w:val="16E31A9A"/>
    <w:rsid w:val="16E52D9F"/>
    <w:rsid w:val="16E974B8"/>
    <w:rsid w:val="16EB272A"/>
    <w:rsid w:val="16EE354D"/>
    <w:rsid w:val="16F2389F"/>
    <w:rsid w:val="16F5513D"/>
    <w:rsid w:val="16F92E7F"/>
    <w:rsid w:val="17006E4C"/>
    <w:rsid w:val="170139CD"/>
    <w:rsid w:val="170A508C"/>
    <w:rsid w:val="170B68AC"/>
    <w:rsid w:val="171952CF"/>
    <w:rsid w:val="171F3E7E"/>
    <w:rsid w:val="17233A58"/>
    <w:rsid w:val="17416345"/>
    <w:rsid w:val="1743228E"/>
    <w:rsid w:val="17463BEB"/>
    <w:rsid w:val="174C5C47"/>
    <w:rsid w:val="174D36C8"/>
    <w:rsid w:val="1752433D"/>
    <w:rsid w:val="175A4F5C"/>
    <w:rsid w:val="17681CF4"/>
    <w:rsid w:val="1768590F"/>
    <w:rsid w:val="176C3F7D"/>
    <w:rsid w:val="17722F72"/>
    <w:rsid w:val="177C50D5"/>
    <w:rsid w:val="178C0D2D"/>
    <w:rsid w:val="178C5AA1"/>
    <w:rsid w:val="17914F17"/>
    <w:rsid w:val="179E7583"/>
    <w:rsid w:val="17A32DEB"/>
    <w:rsid w:val="17A440D7"/>
    <w:rsid w:val="17A70B2D"/>
    <w:rsid w:val="17AB1459"/>
    <w:rsid w:val="17AC4D67"/>
    <w:rsid w:val="17B0300D"/>
    <w:rsid w:val="17B46DA6"/>
    <w:rsid w:val="17B9260F"/>
    <w:rsid w:val="17BC177E"/>
    <w:rsid w:val="17C771E9"/>
    <w:rsid w:val="17D23921"/>
    <w:rsid w:val="17D65BAB"/>
    <w:rsid w:val="17DC4231"/>
    <w:rsid w:val="17E05DED"/>
    <w:rsid w:val="17E3693C"/>
    <w:rsid w:val="17E4768B"/>
    <w:rsid w:val="180A6A0E"/>
    <w:rsid w:val="180C6BE2"/>
    <w:rsid w:val="1811244B"/>
    <w:rsid w:val="18133ACD"/>
    <w:rsid w:val="18166027"/>
    <w:rsid w:val="183121A5"/>
    <w:rsid w:val="183539C6"/>
    <w:rsid w:val="18477163"/>
    <w:rsid w:val="184B7D68"/>
    <w:rsid w:val="185145F5"/>
    <w:rsid w:val="18581E27"/>
    <w:rsid w:val="18694035"/>
    <w:rsid w:val="186B3909"/>
    <w:rsid w:val="186C2485"/>
    <w:rsid w:val="18707171"/>
    <w:rsid w:val="187334AB"/>
    <w:rsid w:val="187B413A"/>
    <w:rsid w:val="187C78C4"/>
    <w:rsid w:val="187D763D"/>
    <w:rsid w:val="1881312C"/>
    <w:rsid w:val="189162DE"/>
    <w:rsid w:val="18947263"/>
    <w:rsid w:val="189C466F"/>
    <w:rsid w:val="189E7B72"/>
    <w:rsid w:val="189F57CC"/>
    <w:rsid w:val="18A10FBB"/>
    <w:rsid w:val="18AB4A67"/>
    <w:rsid w:val="18AD3F21"/>
    <w:rsid w:val="18B0330F"/>
    <w:rsid w:val="18B232E6"/>
    <w:rsid w:val="18B54290"/>
    <w:rsid w:val="18B54B84"/>
    <w:rsid w:val="18BC5F12"/>
    <w:rsid w:val="18C179CD"/>
    <w:rsid w:val="18C379AA"/>
    <w:rsid w:val="18C43019"/>
    <w:rsid w:val="18CB193B"/>
    <w:rsid w:val="18CE5C46"/>
    <w:rsid w:val="18D37174"/>
    <w:rsid w:val="18DC30F4"/>
    <w:rsid w:val="18DD1183"/>
    <w:rsid w:val="18DF42F7"/>
    <w:rsid w:val="18E32865"/>
    <w:rsid w:val="18EA6F23"/>
    <w:rsid w:val="18EC56F3"/>
    <w:rsid w:val="18F5277F"/>
    <w:rsid w:val="19016592"/>
    <w:rsid w:val="19031D93"/>
    <w:rsid w:val="190478B9"/>
    <w:rsid w:val="19085091"/>
    <w:rsid w:val="190D49C0"/>
    <w:rsid w:val="19197809"/>
    <w:rsid w:val="191B0CE6"/>
    <w:rsid w:val="191E3943"/>
    <w:rsid w:val="19201045"/>
    <w:rsid w:val="192A5572"/>
    <w:rsid w:val="192B0FA6"/>
    <w:rsid w:val="192B3098"/>
    <w:rsid w:val="192B4BE1"/>
    <w:rsid w:val="19443A4D"/>
    <w:rsid w:val="194D300E"/>
    <w:rsid w:val="194F441F"/>
    <w:rsid w:val="195C122A"/>
    <w:rsid w:val="19645891"/>
    <w:rsid w:val="197467ED"/>
    <w:rsid w:val="19771A54"/>
    <w:rsid w:val="19782D58"/>
    <w:rsid w:val="19871CEE"/>
    <w:rsid w:val="198C416F"/>
    <w:rsid w:val="198D78AF"/>
    <w:rsid w:val="199926F8"/>
    <w:rsid w:val="199A0D0F"/>
    <w:rsid w:val="19B363EB"/>
    <w:rsid w:val="19B66E06"/>
    <w:rsid w:val="19B7492C"/>
    <w:rsid w:val="19B80DD0"/>
    <w:rsid w:val="19B968F6"/>
    <w:rsid w:val="19BA405F"/>
    <w:rsid w:val="19BE3F0C"/>
    <w:rsid w:val="19C21C4E"/>
    <w:rsid w:val="19C534ED"/>
    <w:rsid w:val="19C83DDC"/>
    <w:rsid w:val="19D43730"/>
    <w:rsid w:val="19E576EB"/>
    <w:rsid w:val="19E8300C"/>
    <w:rsid w:val="19EB5B18"/>
    <w:rsid w:val="19F65454"/>
    <w:rsid w:val="19FA202D"/>
    <w:rsid w:val="19FE0A33"/>
    <w:rsid w:val="1A001F21"/>
    <w:rsid w:val="1A0B4930"/>
    <w:rsid w:val="1A1041D0"/>
    <w:rsid w:val="1A13247F"/>
    <w:rsid w:val="1A133E0E"/>
    <w:rsid w:val="1A1D3736"/>
    <w:rsid w:val="1A1D4091"/>
    <w:rsid w:val="1A1F3FB2"/>
    <w:rsid w:val="1A2C356C"/>
    <w:rsid w:val="1A2C5CA9"/>
    <w:rsid w:val="1A3C2084"/>
    <w:rsid w:val="1A4646AB"/>
    <w:rsid w:val="1A464F9E"/>
    <w:rsid w:val="1A4E703E"/>
    <w:rsid w:val="1A7043B7"/>
    <w:rsid w:val="1A707A6D"/>
    <w:rsid w:val="1A750A6F"/>
    <w:rsid w:val="1A772A39"/>
    <w:rsid w:val="1A84446B"/>
    <w:rsid w:val="1A8707A2"/>
    <w:rsid w:val="1A8A5BDF"/>
    <w:rsid w:val="1A9C1E5C"/>
    <w:rsid w:val="1AA2738A"/>
    <w:rsid w:val="1AA768ED"/>
    <w:rsid w:val="1AB175CD"/>
    <w:rsid w:val="1AB217DB"/>
    <w:rsid w:val="1AB5530F"/>
    <w:rsid w:val="1AB772D9"/>
    <w:rsid w:val="1AB86BAD"/>
    <w:rsid w:val="1AC63078"/>
    <w:rsid w:val="1ADA3D30"/>
    <w:rsid w:val="1ADF05DE"/>
    <w:rsid w:val="1ADF238C"/>
    <w:rsid w:val="1AED1747"/>
    <w:rsid w:val="1AF06347"/>
    <w:rsid w:val="1AF23E6D"/>
    <w:rsid w:val="1AFD0956"/>
    <w:rsid w:val="1B063DBD"/>
    <w:rsid w:val="1B065B6B"/>
    <w:rsid w:val="1B087B35"/>
    <w:rsid w:val="1B102FA7"/>
    <w:rsid w:val="1B1262BE"/>
    <w:rsid w:val="1B1A1531"/>
    <w:rsid w:val="1B217891"/>
    <w:rsid w:val="1B222849"/>
    <w:rsid w:val="1B245FF1"/>
    <w:rsid w:val="1B252495"/>
    <w:rsid w:val="1B283D33"/>
    <w:rsid w:val="1B2F2D9B"/>
    <w:rsid w:val="1B306F48"/>
    <w:rsid w:val="1B351FAC"/>
    <w:rsid w:val="1B4D72F6"/>
    <w:rsid w:val="1B4F70DB"/>
    <w:rsid w:val="1B612879"/>
    <w:rsid w:val="1B66485B"/>
    <w:rsid w:val="1B6A5C07"/>
    <w:rsid w:val="1B6B1E72"/>
    <w:rsid w:val="1B79334E"/>
    <w:rsid w:val="1B7B7A15"/>
    <w:rsid w:val="1B8156FF"/>
    <w:rsid w:val="1B8847D2"/>
    <w:rsid w:val="1B8D003A"/>
    <w:rsid w:val="1B8D3B96"/>
    <w:rsid w:val="1B967850"/>
    <w:rsid w:val="1BA50EE0"/>
    <w:rsid w:val="1BAF61FB"/>
    <w:rsid w:val="1BB90E2F"/>
    <w:rsid w:val="1BBE2F3B"/>
    <w:rsid w:val="1BBE4697"/>
    <w:rsid w:val="1BC05D1A"/>
    <w:rsid w:val="1BC54B1C"/>
    <w:rsid w:val="1BC577D4"/>
    <w:rsid w:val="1BCE322D"/>
    <w:rsid w:val="1BD143CB"/>
    <w:rsid w:val="1BD25A4D"/>
    <w:rsid w:val="1BD276B4"/>
    <w:rsid w:val="1BD619E1"/>
    <w:rsid w:val="1BD87507"/>
    <w:rsid w:val="1BDD3D46"/>
    <w:rsid w:val="1BDF56C5"/>
    <w:rsid w:val="1BFE0522"/>
    <w:rsid w:val="1C0906A0"/>
    <w:rsid w:val="1C1B5646"/>
    <w:rsid w:val="1C1C2FAC"/>
    <w:rsid w:val="1C1E0C92"/>
    <w:rsid w:val="1C2403B8"/>
    <w:rsid w:val="1C2516BD"/>
    <w:rsid w:val="1C2A5F5B"/>
    <w:rsid w:val="1C2C57C5"/>
    <w:rsid w:val="1C2D6AC9"/>
    <w:rsid w:val="1C322F51"/>
    <w:rsid w:val="1C3D380E"/>
    <w:rsid w:val="1C4A1A87"/>
    <w:rsid w:val="1C6C3A38"/>
    <w:rsid w:val="1C71394B"/>
    <w:rsid w:val="1C725F39"/>
    <w:rsid w:val="1C782A98"/>
    <w:rsid w:val="1C827F34"/>
    <w:rsid w:val="1C830879"/>
    <w:rsid w:val="1C8B6E63"/>
    <w:rsid w:val="1C8C6544"/>
    <w:rsid w:val="1C984EE8"/>
    <w:rsid w:val="1CA27B15"/>
    <w:rsid w:val="1CA613B3"/>
    <w:rsid w:val="1CAD0994"/>
    <w:rsid w:val="1CAE0268"/>
    <w:rsid w:val="1CB67927"/>
    <w:rsid w:val="1CB76508"/>
    <w:rsid w:val="1CBA4E5F"/>
    <w:rsid w:val="1CBF4223"/>
    <w:rsid w:val="1CC161ED"/>
    <w:rsid w:val="1CC730D8"/>
    <w:rsid w:val="1CC80EC6"/>
    <w:rsid w:val="1CD203FA"/>
    <w:rsid w:val="1CD441A9"/>
    <w:rsid w:val="1CD61BA7"/>
    <w:rsid w:val="1CDA4664"/>
    <w:rsid w:val="1CDB5968"/>
    <w:rsid w:val="1CDD55E8"/>
    <w:rsid w:val="1CE44F73"/>
    <w:rsid w:val="1CE50760"/>
    <w:rsid w:val="1CEA6E7C"/>
    <w:rsid w:val="1CF60711"/>
    <w:rsid w:val="1CFE11EF"/>
    <w:rsid w:val="1D012A8E"/>
    <w:rsid w:val="1D016AA2"/>
    <w:rsid w:val="1D104B3E"/>
    <w:rsid w:val="1D1125BF"/>
    <w:rsid w:val="1D1502E7"/>
    <w:rsid w:val="1D176D12"/>
    <w:rsid w:val="1D1D719C"/>
    <w:rsid w:val="1D2D666C"/>
    <w:rsid w:val="1D305121"/>
    <w:rsid w:val="1D320E8A"/>
    <w:rsid w:val="1D3C3403"/>
    <w:rsid w:val="1D444728"/>
    <w:rsid w:val="1D484C98"/>
    <w:rsid w:val="1D4C75FB"/>
    <w:rsid w:val="1D56364B"/>
    <w:rsid w:val="1D5801D4"/>
    <w:rsid w:val="1D6923E1"/>
    <w:rsid w:val="1D6D1ED1"/>
    <w:rsid w:val="1D6E17A5"/>
    <w:rsid w:val="1D70376F"/>
    <w:rsid w:val="1D71005A"/>
    <w:rsid w:val="1D840FC9"/>
    <w:rsid w:val="1D883D3A"/>
    <w:rsid w:val="1D8879E9"/>
    <w:rsid w:val="1D8A1F95"/>
    <w:rsid w:val="1D8B1ECB"/>
    <w:rsid w:val="1D931894"/>
    <w:rsid w:val="1DA45229"/>
    <w:rsid w:val="1DA82F09"/>
    <w:rsid w:val="1DAB29F9"/>
    <w:rsid w:val="1DB47B00"/>
    <w:rsid w:val="1DB55626"/>
    <w:rsid w:val="1DB65DD3"/>
    <w:rsid w:val="1DB95116"/>
    <w:rsid w:val="1DC0145E"/>
    <w:rsid w:val="1DC44991"/>
    <w:rsid w:val="1DE81558"/>
    <w:rsid w:val="1DEB4F9C"/>
    <w:rsid w:val="1DEC1F22"/>
    <w:rsid w:val="1DF83E91"/>
    <w:rsid w:val="1DFB74DD"/>
    <w:rsid w:val="1DFD640B"/>
    <w:rsid w:val="1E162569"/>
    <w:rsid w:val="1E2733B4"/>
    <w:rsid w:val="1E2B58F9"/>
    <w:rsid w:val="1E2F4F95"/>
    <w:rsid w:val="1E4A2212"/>
    <w:rsid w:val="1E5B385B"/>
    <w:rsid w:val="1E6A785E"/>
    <w:rsid w:val="1E902DEF"/>
    <w:rsid w:val="1E914478"/>
    <w:rsid w:val="1E94348E"/>
    <w:rsid w:val="1E9601BD"/>
    <w:rsid w:val="1E9A4645"/>
    <w:rsid w:val="1E9A4F48"/>
    <w:rsid w:val="1E9C42C4"/>
    <w:rsid w:val="1E9D1FC2"/>
    <w:rsid w:val="1E9D2342"/>
    <w:rsid w:val="1E9D67E6"/>
    <w:rsid w:val="1EA01E32"/>
    <w:rsid w:val="1EA03E84"/>
    <w:rsid w:val="1EA1074C"/>
    <w:rsid w:val="1EA5569B"/>
    <w:rsid w:val="1EA72655"/>
    <w:rsid w:val="1EA935DA"/>
    <w:rsid w:val="1EB23EB8"/>
    <w:rsid w:val="1EB268D8"/>
    <w:rsid w:val="1EB31B66"/>
    <w:rsid w:val="1EBE26B3"/>
    <w:rsid w:val="1EBF3A51"/>
    <w:rsid w:val="1EC2624D"/>
    <w:rsid w:val="1EC364F5"/>
    <w:rsid w:val="1ECD0317"/>
    <w:rsid w:val="1ECE074D"/>
    <w:rsid w:val="1EDB10BC"/>
    <w:rsid w:val="1EDD63B3"/>
    <w:rsid w:val="1EE066D3"/>
    <w:rsid w:val="1EF92460"/>
    <w:rsid w:val="1F0028D1"/>
    <w:rsid w:val="1F0E4FEE"/>
    <w:rsid w:val="1F1E3599"/>
    <w:rsid w:val="1F1F101A"/>
    <w:rsid w:val="1F234F3D"/>
    <w:rsid w:val="1F262338"/>
    <w:rsid w:val="1F3C1B5B"/>
    <w:rsid w:val="1F3E5153"/>
    <w:rsid w:val="1F497C60"/>
    <w:rsid w:val="1F4B6242"/>
    <w:rsid w:val="1F4C6F83"/>
    <w:rsid w:val="1F525822"/>
    <w:rsid w:val="1F550E6F"/>
    <w:rsid w:val="1F5B6C81"/>
    <w:rsid w:val="1F5F4C10"/>
    <w:rsid w:val="1F5FCE12"/>
    <w:rsid w:val="1F672A94"/>
    <w:rsid w:val="1F81363D"/>
    <w:rsid w:val="1F884DA0"/>
    <w:rsid w:val="1F8B459C"/>
    <w:rsid w:val="1F903C55"/>
    <w:rsid w:val="1F90634B"/>
    <w:rsid w:val="1F91275B"/>
    <w:rsid w:val="1F976502"/>
    <w:rsid w:val="1F9F20EA"/>
    <w:rsid w:val="1FA3607E"/>
    <w:rsid w:val="1FB44D91"/>
    <w:rsid w:val="1FB97650"/>
    <w:rsid w:val="1FCB27B8"/>
    <w:rsid w:val="1FD0701B"/>
    <w:rsid w:val="1FD9384E"/>
    <w:rsid w:val="1FE06EDA"/>
    <w:rsid w:val="1FE741BD"/>
    <w:rsid w:val="1FEB7469"/>
    <w:rsid w:val="1FF764E0"/>
    <w:rsid w:val="1FF90EEE"/>
    <w:rsid w:val="1FFA20C8"/>
    <w:rsid w:val="1FFC753C"/>
    <w:rsid w:val="1FFE1EE2"/>
    <w:rsid w:val="20074B9B"/>
    <w:rsid w:val="200D1749"/>
    <w:rsid w:val="200D799B"/>
    <w:rsid w:val="20176124"/>
    <w:rsid w:val="202B1BD0"/>
    <w:rsid w:val="202F7912"/>
    <w:rsid w:val="20305383"/>
    <w:rsid w:val="203543E6"/>
    <w:rsid w:val="203640A2"/>
    <w:rsid w:val="20541126"/>
    <w:rsid w:val="2058589F"/>
    <w:rsid w:val="205935E1"/>
    <w:rsid w:val="205F7254"/>
    <w:rsid w:val="206044EB"/>
    <w:rsid w:val="20647D92"/>
    <w:rsid w:val="206F7D0E"/>
    <w:rsid w:val="207109C7"/>
    <w:rsid w:val="20711CD8"/>
    <w:rsid w:val="20726449"/>
    <w:rsid w:val="207451CF"/>
    <w:rsid w:val="207573CE"/>
    <w:rsid w:val="20784E15"/>
    <w:rsid w:val="2079293B"/>
    <w:rsid w:val="20857532"/>
    <w:rsid w:val="20947775"/>
    <w:rsid w:val="209D2B10"/>
    <w:rsid w:val="209E23A2"/>
    <w:rsid w:val="20A63420"/>
    <w:rsid w:val="20AA65A3"/>
    <w:rsid w:val="20AE4FA9"/>
    <w:rsid w:val="20BE2A44"/>
    <w:rsid w:val="20D451E9"/>
    <w:rsid w:val="20D52267"/>
    <w:rsid w:val="20D564EE"/>
    <w:rsid w:val="20D81D57"/>
    <w:rsid w:val="20DB64DD"/>
    <w:rsid w:val="20E06A7D"/>
    <w:rsid w:val="20E06E5E"/>
    <w:rsid w:val="20E57FD0"/>
    <w:rsid w:val="20EA3839"/>
    <w:rsid w:val="20F01248"/>
    <w:rsid w:val="20F46465"/>
    <w:rsid w:val="20F50A1B"/>
    <w:rsid w:val="2110329F"/>
    <w:rsid w:val="21156B08"/>
    <w:rsid w:val="2118245A"/>
    <w:rsid w:val="21187874"/>
    <w:rsid w:val="211A2370"/>
    <w:rsid w:val="211F7986"/>
    <w:rsid w:val="21290176"/>
    <w:rsid w:val="213A47C0"/>
    <w:rsid w:val="213B5E42"/>
    <w:rsid w:val="213C5449"/>
    <w:rsid w:val="213E04F7"/>
    <w:rsid w:val="2147194A"/>
    <w:rsid w:val="21472A39"/>
    <w:rsid w:val="21502CCB"/>
    <w:rsid w:val="215304DF"/>
    <w:rsid w:val="21652559"/>
    <w:rsid w:val="21687C5B"/>
    <w:rsid w:val="217008EA"/>
    <w:rsid w:val="217575A6"/>
    <w:rsid w:val="21793558"/>
    <w:rsid w:val="217952E8"/>
    <w:rsid w:val="2185500C"/>
    <w:rsid w:val="2188552B"/>
    <w:rsid w:val="218C0E74"/>
    <w:rsid w:val="21902632"/>
    <w:rsid w:val="21A57AC0"/>
    <w:rsid w:val="21AE03CF"/>
    <w:rsid w:val="21B87493"/>
    <w:rsid w:val="21BA320B"/>
    <w:rsid w:val="21C24E71"/>
    <w:rsid w:val="21C9156A"/>
    <w:rsid w:val="21C978F2"/>
    <w:rsid w:val="21D7362A"/>
    <w:rsid w:val="21DB7F9A"/>
    <w:rsid w:val="21DC13D3"/>
    <w:rsid w:val="21DE311D"/>
    <w:rsid w:val="21E07116"/>
    <w:rsid w:val="21E169EA"/>
    <w:rsid w:val="21E85FCA"/>
    <w:rsid w:val="21F8754A"/>
    <w:rsid w:val="21F911D4"/>
    <w:rsid w:val="21FF3314"/>
    <w:rsid w:val="22001566"/>
    <w:rsid w:val="220A23E4"/>
    <w:rsid w:val="220D61EA"/>
    <w:rsid w:val="220E74EF"/>
    <w:rsid w:val="2217457B"/>
    <w:rsid w:val="22194E15"/>
    <w:rsid w:val="2222290C"/>
    <w:rsid w:val="22244B28"/>
    <w:rsid w:val="222B5EB7"/>
    <w:rsid w:val="222F54A5"/>
    <w:rsid w:val="223631D9"/>
    <w:rsid w:val="223C00C4"/>
    <w:rsid w:val="224945A6"/>
    <w:rsid w:val="224D4A55"/>
    <w:rsid w:val="226338A3"/>
    <w:rsid w:val="2278111D"/>
    <w:rsid w:val="227D71CC"/>
    <w:rsid w:val="228136F2"/>
    <w:rsid w:val="22813D29"/>
    <w:rsid w:val="228F0D42"/>
    <w:rsid w:val="22917898"/>
    <w:rsid w:val="22937748"/>
    <w:rsid w:val="22A53EBB"/>
    <w:rsid w:val="22A55C69"/>
    <w:rsid w:val="22A918EC"/>
    <w:rsid w:val="22AA5F7F"/>
    <w:rsid w:val="22AC65B5"/>
    <w:rsid w:val="22AD02F2"/>
    <w:rsid w:val="22AE0FC2"/>
    <w:rsid w:val="22B03475"/>
    <w:rsid w:val="22B10AB2"/>
    <w:rsid w:val="22B55DBA"/>
    <w:rsid w:val="22F92970"/>
    <w:rsid w:val="22FB2F8D"/>
    <w:rsid w:val="22FF181D"/>
    <w:rsid w:val="230213B5"/>
    <w:rsid w:val="23055715"/>
    <w:rsid w:val="230C030B"/>
    <w:rsid w:val="231C3E29"/>
    <w:rsid w:val="232044A9"/>
    <w:rsid w:val="233C68DC"/>
    <w:rsid w:val="23447230"/>
    <w:rsid w:val="2344756C"/>
    <w:rsid w:val="234731C4"/>
    <w:rsid w:val="235551CF"/>
    <w:rsid w:val="2356427F"/>
    <w:rsid w:val="235D2694"/>
    <w:rsid w:val="23671171"/>
    <w:rsid w:val="236A6126"/>
    <w:rsid w:val="2378320C"/>
    <w:rsid w:val="237C2E6E"/>
    <w:rsid w:val="238002CA"/>
    <w:rsid w:val="238115CF"/>
    <w:rsid w:val="238E0DF3"/>
    <w:rsid w:val="23A556D9"/>
    <w:rsid w:val="23A6613D"/>
    <w:rsid w:val="23A93537"/>
    <w:rsid w:val="23AA2793"/>
    <w:rsid w:val="23AA6F10"/>
    <w:rsid w:val="23B343B6"/>
    <w:rsid w:val="23B76226"/>
    <w:rsid w:val="23BC0A50"/>
    <w:rsid w:val="23C50DBF"/>
    <w:rsid w:val="23D22653"/>
    <w:rsid w:val="23D426DD"/>
    <w:rsid w:val="23DF51AB"/>
    <w:rsid w:val="23E33B7E"/>
    <w:rsid w:val="23E71422"/>
    <w:rsid w:val="23F32A04"/>
    <w:rsid w:val="23F52C20"/>
    <w:rsid w:val="23F90BF9"/>
    <w:rsid w:val="23FB483C"/>
    <w:rsid w:val="23FC7B0B"/>
    <w:rsid w:val="24023736"/>
    <w:rsid w:val="2406098A"/>
    <w:rsid w:val="240B41F2"/>
    <w:rsid w:val="240E79FB"/>
    <w:rsid w:val="241919A4"/>
    <w:rsid w:val="241B0219"/>
    <w:rsid w:val="241F37F9"/>
    <w:rsid w:val="24212F0F"/>
    <w:rsid w:val="24231158"/>
    <w:rsid w:val="242552B4"/>
    <w:rsid w:val="242D115C"/>
    <w:rsid w:val="242E68D6"/>
    <w:rsid w:val="2443398C"/>
    <w:rsid w:val="2445130D"/>
    <w:rsid w:val="244A2F6C"/>
    <w:rsid w:val="244D0826"/>
    <w:rsid w:val="245109A3"/>
    <w:rsid w:val="24534DF9"/>
    <w:rsid w:val="245500BD"/>
    <w:rsid w:val="246D02D3"/>
    <w:rsid w:val="247B2001"/>
    <w:rsid w:val="2483647E"/>
    <w:rsid w:val="248A5117"/>
    <w:rsid w:val="248E2A06"/>
    <w:rsid w:val="2491720E"/>
    <w:rsid w:val="24924C8F"/>
    <w:rsid w:val="24967F5F"/>
    <w:rsid w:val="249F7A3B"/>
    <w:rsid w:val="24A5262B"/>
    <w:rsid w:val="24AF4B7D"/>
    <w:rsid w:val="24C16567"/>
    <w:rsid w:val="24C22B02"/>
    <w:rsid w:val="24C3545E"/>
    <w:rsid w:val="24C70119"/>
    <w:rsid w:val="24D26ABE"/>
    <w:rsid w:val="24D456F9"/>
    <w:rsid w:val="24D9609E"/>
    <w:rsid w:val="24D97E4C"/>
    <w:rsid w:val="24E72569"/>
    <w:rsid w:val="24F1107B"/>
    <w:rsid w:val="24F353B2"/>
    <w:rsid w:val="24F37160"/>
    <w:rsid w:val="24F46A34"/>
    <w:rsid w:val="24F627AC"/>
    <w:rsid w:val="24F95938"/>
    <w:rsid w:val="250550E5"/>
    <w:rsid w:val="250A5096"/>
    <w:rsid w:val="251C29DF"/>
    <w:rsid w:val="252512E3"/>
    <w:rsid w:val="25251747"/>
    <w:rsid w:val="252F3F10"/>
    <w:rsid w:val="25315A92"/>
    <w:rsid w:val="2538541D"/>
    <w:rsid w:val="25413B2E"/>
    <w:rsid w:val="254A0BBB"/>
    <w:rsid w:val="25510545"/>
    <w:rsid w:val="2554491A"/>
    <w:rsid w:val="255A6C57"/>
    <w:rsid w:val="255B2F57"/>
    <w:rsid w:val="255F2A47"/>
    <w:rsid w:val="256065CC"/>
    <w:rsid w:val="256736AA"/>
    <w:rsid w:val="25695674"/>
    <w:rsid w:val="256A366E"/>
    <w:rsid w:val="256E4A38"/>
    <w:rsid w:val="25772983"/>
    <w:rsid w:val="257858B7"/>
    <w:rsid w:val="257D0E06"/>
    <w:rsid w:val="257D2ECD"/>
    <w:rsid w:val="258666D1"/>
    <w:rsid w:val="2593624D"/>
    <w:rsid w:val="2596002F"/>
    <w:rsid w:val="25A04A79"/>
    <w:rsid w:val="25B305EA"/>
    <w:rsid w:val="25B368EF"/>
    <w:rsid w:val="25BA7C7E"/>
    <w:rsid w:val="25BC1C48"/>
    <w:rsid w:val="25C01E7E"/>
    <w:rsid w:val="25C51D55"/>
    <w:rsid w:val="25CA23FF"/>
    <w:rsid w:val="25CB1E8B"/>
    <w:rsid w:val="25CB240D"/>
    <w:rsid w:val="25D17B9A"/>
    <w:rsid w:val="25DE142E"/>
    <w:rsid w:val="25E371D4"/>
    <w:rsid w:val="25E42F4C"/>
    <w:rsid w:val="25E71D3E"/>
    <w:rsid w:val="25EE16C9"/>
    <w:rsid w:val="25F51053"/>
    <w:rsid w:val="25F87C7B"/>
    <w:rsid w:val="260B6221"/>
    <w:rsid w:val="260E1D77"/>
    <w:rsid w:val="26125E7B"/>
    <w:rsid w:val="26185D90"/>
    <w:rsid w:val="2629095F"/>
    <w:rsid w:val="262E41C8"/>
    <w:rsid w:val="264777D9"/>
    <w:rsid w:val="264B2FCC"/>
    <w:rsid w:val="2650413E"/>
    <w:rsid w:val="26526108"/>
    <w:rsid w:val="26571970"/>
    <w:rsid w:val="26600825"/>
    <w:rsid w:val="266F2F1B"/>
    <w:rsid w:val="26720A30"/>
    <w:rsid w:val="26795B43"/>
    <w:rsid w:val="267E1DC4"/>
    <w:rsid w:val="26811F3C"/>
    <w:rsid w:val="26897349"/>
    <w:rsid w:val="268F0567"/>
    <w:rsid w:val="268F1252"/>
    <w:rsid w:val="26937C58"/>
    <w:rsid w:val="26960BDD"/>
    <w:rsid w:val="26996C1D"/>
    <w:rsid w:val="269E759F"/>
    <w:rsid w:val="26A242FB"/>
    <w:rsid w:val="26A526DC"/>
    <w:rsid w:val="26A922FB"/>
    <w:rsid w:val="26AF355A"/>
    <w:rsid w:val="26B53276"/>
    <w:rsid w:val="26B91CE3"/>
    <w:rsid w:val="26BF062B"/>
    <w:rsid w:val="26C32B62"/>
    <w:rsid w:val="26CD23A7"/>
    <w:rsid w:val="26CF423A"/>
    <w:rsid w:val="26D32C40"/>
    <w:rsid w:val="26D94133"/>
    <w:rsid w:val="26ED7BDF"/>
    <w:rsid w:val="26F074FD"/>
    <w:rsid w:val="26F07FF2"/>
    <w:rsid w:val="26F61EFB"/>
    <w:rsid w:val="26F70A5D"/>
    <w:rsid w:val="26F853FE"/>
    <w:rsid w:val="27082C6B"/>
    <w:rsid w:val="270F224B"/>
    <w:rsid w:val="270F5023"/>
    <w:rsid w:val="271433BD"/>
    <w:rsid w:val="271C2272"/>
    <w:rsid w:val="272726CA"/>
    <w:rsid w:val="27402404"/>
    <w:rsid w:val="2741632C"/>
    <w:rsid w:val="27435A51"/>
    <w:rsid w:val="27447A7C"/>
    <w:rsid w:val="274E68CF"/>
    <w:rsid w:val="274E70AD"/>
    <w:rsid w:val="275356B2"/>
    <w:rsid w:val="275A2BAD"/>
    <w:rsid w:val="275E288B"/>
    <w:rsid w:val="27600F19"/>
    <w:rsid w:val="276734B3"/>
    <w:rsid w:val="276854B7"/>
    <w:rsid w:val="276C2E52"/>
    <w:rsid w:val="276D2E3E"/>
    <w:rsid w:val="276F09CF"/>
    <w:rsid w:val="276F6846"/>
    <w:rsid w:val="277272C6"/>
    <w:rsid w:val="2775024B"/>
    <w:rsid w:val="277E52D7"/>
    <w:rsid w:val="277F1DC6"/>
    <w:rsid w:val="278B78AA"/>
    <w:rsid w:val="27A26C1B"/>
    <w:rsid w:val="27AA6231"/>
    <w:rsid w:val="27B64475"/>
    <w:rsid w:val="27BF3329"/>
    <w:rsid w:val="27BF73C5"/>
    <w:rsid w:val="27CE415D"/>
    <w:rsid w:val="27D74B17"/>
    <w:rsid w:val="27E64575"/>
    <w:rsid w:val="27ED6C10"/>
    <w:rsid w:val="27EF6B91"/>
    <w:rsid w:val="27F4659B"/>
    <w:rsid w:val="27F51441"/>
    <w:rsid w:val="27F84A8D"/>
    <w:rsid w:val="27FA25B3"/>
    <w:rsid w:val="28247630"/>
    <w:rsid w:val="282B6C11"/>
    <w:rsid w:val="2839380C"/>
    <w:rsid w:val="283B4790"/>
    <w:rsid w:val="283D7C94"/>
    <w:rsid w:val="283E187C"/>
    <w:rsid w:val="283E1E92"/>
    <w:rsid w:val="28425D08"/>
    <w:rsid w:val="284952E9"/>
    <w:rsid w:val="284E28FF"/>
    <w:rsid w:val="28612632"/>
    <w:rsid w:val="286C2D61"/>
    <w:rsid w:val="28703966"/>
    <w:rsid w:val="28726E69"/>
    <w:rsid w:val="2874236C"/>
    <w:rsid w:val="28754330"/>
    <w:rsid w:val="287C2FFC"/>
    <w:rsid w:val="287D5314"/>
    <w:rsid w:val="287F0D0A"/>
    <w:rsid w:val="288D39BF"/>
    <w:rsid w:val="28991DCC"/>
    <w:rsid w:val="289A25AC"/>
    <w:rsid w:val="289E3886"/>
    <w:rsid w:val="28A044B5"/>
    <w:rsid w:val="28AD1D1C"/>
    <w:rsid w:val="28B430AA"/>
    <w:rsid w:val="28C57065"/>
    <w:rsid w:val="28C62164"/>
    <w:rsid w:val="28D10507"/>
    <w:rsid w:val="28D14C84"/>
    <w:rsid w:val="28D472A8"/>
    <w:rsid w:val="28E155EF"/>
    <w:rsid w:val="28E30421"/>
    <w:rsid w:val="28E82D54"/>
    <w:rsid w:val="28E848A9"/>
    <w:rsid w:val="28EC32AF"/>
    <w:rsid w:val="28EF7AB7"/>
    <w:rsid w:val="29023709"/>
    <w:rsid w:val="290A02E1"/>
    <w:rsid w:val="29147BAB"/>
    <w:rsid w:val="2916166F"/>
    <w:rsid w:val="291C47AB"/>
    <w:rsid w:val="2920429C"/>
    <w:rsid w:val="292F0982"/>
    <w:rsid w:val="29323FCF"/>
    <w:rsid w:val="293314A5"/>
    <w:rsid w:val="29347D47"/>
    <w:rsid w:val="293933AF"/>
    <w:rsid w:val="293D679A"/>
    <w:rsid w:val="294A494E"/>
    <w:rsid w:val="294F4B81"/>
    <w:rsid w:val="295377DC"/>
    <w:rsid w:val="295E5B6D"/>
    <w:rsid w:val="29672BF9"/>
    <w:rsid w:val="296879F1"/>
    <w:rsid w:val="296A3769"/>
    <w:rsid w:val="296E0005"/>
    <w:rsid w:val="296E2584"/>
    <w:rsid w:val="29710A8D"/>
    <w:rsid w:val="297306C9"/>
    <w:rsid w:val="297445E7"/>
    <w:rsid w:val="297840D8"/>
    <w:rsid w:val="297B511D"/>
    <w:rsid w:val="29847DB9"/>
    <w:rsid w:val="29890093"/>
    <w:rsid w:val="298A7967"/>
    <w:rsid w:val="299E3412"/>
    <w:rsid w:val="299F78B6"/>
    <w:rsid w:val="29A617E4"/>
    <w:rsid w:val="29A9603F"/>
    <w:rsid w:val="29BC137D"/>
    <w:rsid w:val="29C25891"/>
    <w:rsid w:val="29C42E79"/>
    <w:rsid w:val="29C76E0D"/>
    <w:rsid w:val="29D84B76"/>
    <w:rsid w:val="29D86924"/>
    <w:rsid w:val="29EE7A91"/>
    <w:rsid w:val="2A0911D4"/>
    <w:rsid w:val="2A0F245E"/>
    <w:rsid w:val="2A134397"/>
    <w:rsid w:val="2A1862A0"/>
    <w:rsid w:val="2A2658E2"/>
    <w:rsid w:val="2A302D58"/>
    <w:rsid w:val="2A3732D1"/>
    <w:rsid w:val="2A3A138D"/>
    <w:rsid w:val="2A3F06DE"/>
    <w:rsid w:val="2A41096D"/>
    <w:rsid w:val="2A4A5D93"/>
    <w:rsid w:val="2A500BB0"/>
    <w:rsid w:val="2A673E21"/>
    <w:rsid w:val="2A694DA5"/>
    <w:rsid w:val="2A784A7C"/>
    <w:rsid w:val="2A7950A7"/>
    <w:rsid w:val="2A81027A"/>
    <w:rsid w:val="2A81030D"/>
    <w:rsid w:val="2A827ECE"/>
    <w:rsid w:val="2A930A9D"/>
    <w:rsid w:val="2A9C7924"/>
    <w:rsid w:val="2AA9450A"/>
    <w:rsid w:val="2AB949A8"/>
    <w:rsid w:val="2ABC352B"/>
    <w:rsid w:val="2AC65DFD"/>
    <w:rsid w:val="2ACB651E"/>
    <w:rsid w:val="2AD51ED6"/>
    <w:rsid w:val="2AD76BDC"/>
    <w:rsid w:val="2ADE440E"/>
    <w:rsid w:val="2ADE7F6A"/>
    <w:rsid w:val="2AE403E0"/>
    <w:rsid w:val="2AE5579D"/>
    <w:rsid w:val="2AF709DB"/>
    <w:rsid w:val="2AF74A05"/>
    <w:rsid w:val="2B0513A0"/>
    <w:rsid w:val="2B053749"/>
    <w:rsid w:val="2B0C5062"/>
    <w:rsid w:val="2B0E18C1"/>
    <w:rsid w:val="2B0E422E"/>
    <w:rsid w:val="2B0F45C8"/>
    <w:rsid w:val="2B164BB8"/>
    <w:rsid w:val="2B1C6CE5"/>
    <w:rsid w:val="2B1E480B"/>
    <w:rsid w:val="2B200583"/>
    <w:rsid w:val="2B253DEB"/>
    <w:rsid w:val="2B275DB5"/>
    <w:rsid w:val="2B286BBF"/>
    <w:rsid w:val="2B3012EB"/>
    <w:rsid w:val="2B345DDC"/>
    <w:rsid w:val="2B37482F"/>
    <w:rsid w:val="2B467BED"/>
    <w:rsid w:val="2B467C0B"/>
    <w:rsid w:val="2B47568D"/>
    <w:rsid w:val="2B4F50DB"/>
    <w:rsid w:val="2B51698E"/>
    <w:rsid w:val="2B634FBD"/>
    <w:rsid w:val="2B6371BC"/>
    <w:rsid w:val="2B754FB5"/>
    <w:rsid w:val="2B762D4B"/>
    <w:rsid w:val="2B7C00E6"/>
    <w:rsid w:val="2B8723B0"/>
    <w:rsid w:val="2B88197A"/>
    <w:rsid w:val="2B8A6344"/>
    <w:rsid w:val="2B9176D3"/>
    <w:rsid w:val="2B9C6064"/>
    <w:rsid w:val="2BA72A52"/>
    <w:rsid w:val="2BAC1E16"/>
    <w:rsid w:val="2BAE3DE1"/>
    <w:rsid w:val="2BB01839"/>
    <w:rsid w:val="2BB51544"/>
    <w:rsid w:val="2BB84C5F"/>
    <w:rsid w:val="2BBB0AD1"/>
    <w:rsid w:val="2BBD6C58"/>
    <w:rsid w:val="2BBE5E32"/>
    <w:rsid w:val="2BC2788C"/>
    <w:rsid w:val="2BC5112A"/>
    <w:rsid w:val="2BCA04EF"/>
    <w:rsid w:val="2BD12CFE"/>
    <w:rsid w:val="2BD551D5"/>
    <w:rsid w:val="2BE912BD"/>
    <w:rsid w:val="2C0003B4"/>
    <w:rsid w:val="2C0B66D0"/>
    <w:rsid w:val="2C0C4FAB"/>
    <w:rsid w:val="2C183950"/>
    <w:rsid w:val="2C1A1476"/>
    <w:rsid w:val="2C225C99"/>
    <w:rsid w:val="2C2E598B"/>
    <w:rsid w:val="2C2F1A6C"/>
    <w:rsid w:val="2C332538"/>
    <w:rsid w:val="2C354822"/>
    <w:rsid w:val="2C3D0F42"/>
    <w:rsid w:val="2C414C55"/>
    <w:rsid w:val="2C46226B"/>
    <w:rsid w:val="2C477AA2"/>
    <w:rsid w:val="2C4958B7"/>
    <w:rsid w:val="2C583D4C"/>
    <w:rsid w:val="2C626979"/>
    <w:rsid w:val="2C6538E6"/>
    <w:rsid w:val="2C6C546F"/>
    <w:rsid w:val="2C7212B2"/>
    <w:rsid w:val="2C732934"/>
    <w:rsid w:val="2C883B4B"/>
    <w:rsid w:val="2C8B4122"/>
    <w:rsid w:val="2C8B462E"/>
    <w:rsid w:val="2C8D6075"/>
    <w:rsid w:val="2C9111D4"/>
    <w:rsid w:val="2C9D3A40"/>
    <w:rsid w:val="2CA156F3"/>
    <w:rsid w:val="2CA174A1"/>
    <w:rsid w:val="2CA46F92"/>
    <w:rsid w:val="2CA538A8"/>
    <w:rsid w:val="2CA70830"/>
    <w:rsid w:val="2CB27BEA"/>
    <w:rsid w:val="2CBA0563"/>
    <w:rsid w:val="2CBF3DCB"/>
    <w:rsid w:val="2CC94C4A"/>
    <w:rsid w:val="2CCD678E"/>
    <w:rsid w:val="2CD51841"/>
    <w:rsid w:val="2CDF7304"/>
    <w:rsid w:val="2CE04CCC"/>
    <w:rsid w:val="2CE341B5"/>
    <w:rsid w:val="2CED6B8B"/>
    <w:rsid w:val="2CF25F4F"/>
    <w:rsid w:val="2CF9108B"/>
    <w:rsid w:val="2CFD700F"/>
    <w:rsid w:val="2D001CDF"/>
    <w:rsid w:val="2D016192"/>
    <w:rsid w:val="2D0637A8"/>
    <w:rsid w:val="2D076FA2"/>
    <w:rsid w:val="2D16052D"/>
    <w:rsid w:val="2D177764"/>
    <w:rsid w:val="2D297497"/>
    <w:rsid w:val="2D3B5B48"/>
    <w:rsid w:val="2D460049"/>
    <w:rsid w:val="2D4F716D"/>
    <w:rsid w:val="2D5B7F98"/>
    <w:rsid w:val="2D607001"/>
    <w:rsid w:val="2D654973"/>
    <w:rsid w:val="2D657C06"/>
    <w:rsid w:val="2D686211"/>
    <w:rsid w:val="2D6B02E7"/>
    <w:rsid w:val="2D7352E2"/>
    <w:rsid w:val="2D7B4196"/>
    <w:rsid w:val="2D7C19E3"/>
    <w:rsid w:val="2D7D0B30"/>
    <w:rsid w:val="2D83129D"/>
    <w:rsid w:val="2D870D8D"/>
    <w:rsid w:val="2D8F19F0"/>
    <w:rsid w:val="2D90585A"/>
    <w:rsid w:val="2D947006"/>
    <w:rsid w:val="2D98715B"/>
    <w:rsid w:val="2D9B00E0"/>
    <w:rsid w:val="2DA225D6"/>
    <w:rsid w:val="2DA53367"/>
    <w:rsid w:val="2DA80E6D"/>
    <w:rsid w:val="2DA85453"/>
    <w:rsid w:val="2DB00085"/>
    <w:rsid w:val="2DB476A8"/>
    <w:rsid w:val="2DB73EA8"/>
    <w:rsid w:val="2DBE50C5"/>
    <w:rsid w:val="2DBE75B2"/>
    <w:rsid w:val="2DC35A21"/>
    <w:rsid w:val="2DCF1834"/>
    <w:rsid w:val="2DD27913"/>
    <w:rsid w:val="2DD613CD"/>
    <w:rsid w:val="2DEA30CA"/>
    <w:rsid w:val="2DF31F7F"/>
    <w:rsid w:val="2DF74E76"/>
    <w:rsid w:val="2DF81343"/>
    <w:rsid w:val="2DFF6B75"/>
    <w:rsid w:val="2E0C3040"/>
    <w:rsid w:val="2E0C4DEE"/>
    <w:rsid w:val="2E0F261D"/>
    <w:rsid w:val="2E194CBF"/>
    <w:rsid w:val="2E250044"/>
    <w:rsid w:val="2E2547C1"/>
    <w:rsid w:val="2E2C5010"/>
    <w:rsid w:val="2E2E2FB7"/>
    <w:rsid w:val="2E314855"/>
    <w:rsid w:val="2E344345"/>
    <w:rsid w:val="2E361642"/>
    <w:rsid w:val="2E362579"/>
    <w:rsid w:val="2E405253"/>
    <w:rsid w:val="2E47051C"/>
    <w:rsid w:val="2E4722CA"/>
    <w:rsid w:val="2E5073D1"/>
    <w:rsid w:val="2E521E0D"/>
    <w:rsid w:val="2E57641F"/>
    <w:rsid w:val="2E625356"/>
    <w:rsid w:val="2E6B5FB9"/>
    <w:rsid w:val="2E6C29B7"/>
    <w:rsid w:val="2E6D3A00"/>
    <w:rsid w:val="2E7374C5"/>
    <w:rsid w:val="2E7A444E"/>
    <w:rsid w:val="2E7C4040"/>
    <w:rsid w:val="2E7E638B"/>
    <w:rsid w:val="2E840F6E"/>
    <w:rsid w:val="2E84609C"/>
    <w:rsid w:val="2E84707B"/>
    <w:rsid w:val="2E8A57EA"/>
    <w:rsid w:val="2E8B1624"/>
    <w:rsid w:val="2E912128"/>
    <w:rsid w:val="2E913546"/>
    <w:rsid w:val="2E942DF2"/>
    <w:rsid w:val="2EA27501"/>
    <w:rsid w:val="2EA30912"/>
    <w:rsid w:val="2EA414CB"/>
    <w:rsid w:val="2EAB2859"/>
    <w:rsid w:val="2EB17C28"/>
    <w:rsid w:val="2EB540B0"/>
    <w:rsid w:val="2EBE07DF"/>
    <w:rsid w:val="2EC830D0"/>
    <w:rsid w:val="2EC952CF"/>
    <w:rsid w:val="2ECA07D2"/>
    <w:rsid w:val="2EE144CD"/>
    <w:rsid w:val="2EE31FF3"/>
    <w:rsid w:val="2EE44500"/>
    <w:rsid w:val="2EE61AE3"/>
    <w:rsid w:val="2EE62680"/>
    <w:rsid w:val="2EEF2F90"/>
    <w:rsid w:val="2EF31996"/>
    <w:rsid w:val="2F070637"/>
    <w:rsid w:val="2F13562C"/>
    <w:rsid w:val="2F146650"/>
    <w:rsid w:val="2F1C5505"/>
    <w:rsid w:val="2F2820FC"/>
    <w:rsid w:val="2F326EFC"/>
    <w:rsid w:val="2F39722B"/>
    <w:rsid w:val="2F414F6C"/>
    <w:rsid w:val="2F437197"/>
    <w:rsid w:val="2F4862FA"/>
    <w:rsid w:val="2F503401"/>
    <w:rsid w:val="2F542EF1"/>
    <w:rsid w:val="2F594063"/>
    <w:rsid w:val="2F5C7FF7"/>
    <w:rsid w:val="2F5E78CC"/>
    <w:rsid w:val="2F627A4C"/>
    <w:rsid w:val="2F6354CD"/>
    <w:rsid w:val="2F64514D"/>
    <w:rsid w:val="2F6760D2"/>
    <w:rsid w:val="2F6B3D97"/>
    <w:rsid w:val="2F7431E9"/>
    <w:rsid w:val="2F794705"/>
    <w:rsid w:val="2F79501C"/>
    <w:rsid w:val="2F7D2448"/>
    <w:rsid w:val="2F837332"/>
    <w:rsid w:val="2F952FD4"/>
    <w:rsid w:val="2F956EAA"/>
    <w:rsid w:val="2FAA36C3"/>
    <w:rsid w:val="2FC32F68"/>
    <w:rsid w:val="2FC409EA"/>
    <w:rsid w:val="2FC811E9"/>
    <w:rsid w:val="2FCB3C7C"/>
    <w:rsid w:val="2FD0745B"/>
    <w:rsid w:val="2FD23E16"/>
    <w:rsid w:val="2FD24DB8"/>
    <w:rsid w:val="2FDF3613"/>
    <w:rsid w:val="2FE0031A"/>
    <w:rsid w:val="2FE04785"/>
    <w:rsid w:val="2FE51D9B"/>
    <w:rsid w:val="2FEA5603"/>
    <w:rsid w:val="2FEB66AB"/>
    <w:rsid w:val="2FEC4ED7"/>
    <w:rsid w:val="2FF34CA8"/>
    <w:rsid w:val="2FFA4747"/>
    <w:rsid w:val="2FFF0BCF"/>
    <w:rsid w:val="301277B1"/>
    <w:rsid w:val="301663F8"/>
    <w:rsid w:val="30193429"/>
    <w:rsid w:val="301B756B"/>
    <w:rsid w:val="301D0BE2"/>
    <w:rsid w:val="301D32E3"/>
    <w:rsid w:val="30226805"/>
    <w:rsid w:val="3024558B"/>
    <w:rsid w:val="302604DC"/>
    <w:rsid w:val="3029612C"/>
    <w:rsid w:val="30327D25"/>
    <w:rsid w:val="30357A24"/>
    <w:rsid w:val="30474804"/>
    <w:rsid w:val="30486A45"/>
    <w:rsid w:val="30536D05"/>
    <w:rsid w:val="305A62E5"/>
    <w:rsid w:val="305D4027"/>
    <w:rsid w:val="306B2017"/>
    <w:rsid w:val="3072568A"/>
    <w:rsid w:val="307940FA"/>
    <w:rsid w:val="307B625B"/>
    <w:rsid w:val="307D0225"/>
    <w:rsid w:val="307D2FD7"/>
    <w:rsid w:val="308455A5"/>
    <w:rsid w:val="308A2D31"/>
    <w:rsid w:val="309D2676"/>
    <w:rsid w:val="30A13F14"/>
    <w:rsid w:val="30A14B55"/>
    <w:rsid w:val="30A203D8"/>
    <w:rsid w:val="30AE03DF"/>
    <w:rsid w:val="30C220DC"/>
    <w:rsid w:val="30C709FF"/>
    <w:rsid w:val="30D675AD"/>
    <w:rsid w:val="30D75B88"/>
    <w:rsid w:val="30DD2A72"/>
    <w:rsid w:val="30DE49BA"/>
    <w:rsid w:val="30E763F8"/>
    <w:rsid w:val="30E82921"/>
    <w:rsid w:val="30ED4FD4"/>
    <w:rsid w:val="30F73365"/>
    <w:rsid w:val="30F85AFE"/>
    <w:rsid w:val="30FD4EC2"/>
    <w:rsid w:val="310B3A83"/>
    <w:rsid w:val="310D6FB8"/>
    <w:rsid w:val="31124E12"/>
    <w:rsid w:val="31181CFC"/>
    <w:rsid w:val="31197F4E"/>
    <w:rsid w:val="31317BDC"/>
    <w:rsid w:val="313A50D3"/>
    <w:rsid w:val="313F0ED5"/>
    <w:rsid w:val="31444EC1"/>
    <w:rsid w:val="314B32BF"/>
    <w:rsid w:val="314B3E80"/>
    <w:rsid w:val="314D409C"/>
    <w:rsid w:val="315076E8"/>
    <w:rsid w:val="31533090"/>
    <w:rsid w:val="31615451"/>
    <w:rsid w:val="31624854"/>
    <w:rsid w:val="31692558"/>
    <w:rsid w:val="316C7AA1"/>
    <w:rsid w:val="31794E91"/>
    <w:rsid w:val="31A35A6A"/>
    <w:rsid w:val="31AD0696"/>
    <w:rsid w:val="31B06E17"/>
    <w:rsid w:val="31C0661C"/>
    <w:rsid w:val="31C12394"/>
    <w:rsid w:val="31C64CB7"/>
    <w:rsid w:val="31DB5204"/>
    <w:rsid w:val="31EA18EB"/>
    <w:rsid w:val="32002EBC"/>
    <w:rsid w:val="32067C9F"/>
    <w:rsid w:val="3207249C"/>
    <w:rsid w:val="320A6B04"/>
    <w:rsid w:val="320E382B"/>
    <w:rsid w:val="320E65BA"/>
    <w:rsid w:val="32136BCC"/>
    <w:rsid w:val="3217559C"/>
    <w:rsid w:val="322272D6"/>
    <w:rsid w:val="32364B30"/>
    <w:rsid w:val="323B26F8"/>
    <w:rsid w:val="323F2762"/>
    <w:rsid w:val="32491A0D"/>
    <w:rsid w:val="324D5E95"/>
    <w:rsid w:val="324E1E79"/>
    <w:rsid w:val="32513A83"/>
    <w:rsid w:val="32562ADC"/>
    <w:rsid w:val="325B7E6C"/>
    <w:rsid w:val="325F5E35"/>
    <w:rsid w:val="32645ABA"/>
    <w:rsid w:val="3273368E"/>
    <w:rsid w:val="327B56DF"/>
    <w:rsid w:val="327B69E7"/>
    <w:rsid w:val="327F0285"/>
    <w:rsid w:val="32874D75"/>
    <w:rsid w:val="328A6951"/>
    <w:rsid w:val="328F68FE"/>
    <w:rsid w:val="32917FB8"/>
    <w:rsid w:val="32930B88"/>
    <w:rsid w:val="32941583"/>
    <w:rsid w:val="32987598"/>
    <w:rsid w:val="329E499A"/>
    <w:rsid w:val="329F60D6"/>
    <w:rsid w:val="32A55811"/>
    <w:rsid w:val="32A714A7"/>
    <w:rsid w:val="32AC1A0B"/>
    <w:rsid w:val="32B83797"/>
    <w:rsid w:val="32C739DA"/>
    <w:rsid w:val="32CE0B70"/>
    <w:rsid w:val="32D14858"/>
    <w:rsid w:val="32D7E4B1"/>
    <w:rsid w:val="32D95A79"/>
    <w:rsid w:val="32DC67BF"/>
    <w:rsid w:val="32E93950"/>
    <w:rsid w:val="32EE71B8"/>
    <w:rsid w:val="32F00F21"/>
    <w:rsid w:val="32F62E2B"/>
    <w:rsid w:val="32FD564D"/>
    <w:rsid w:val="330630C5"/>
    <w:rsid w:val="330C5891"/>
    <w:rsid w:val="33196863"/>
    <w:rsid w:val="332848FF"/>
    <w:rsid w:val="332D0D86"/>
    <w:rsid w:val="33332C90"/>
    <w:rsid w:val="33365E13"/>
    <w:rsid w:val="333A41AC"/>
    <w:rsid w:val="33417A27"/>
    <w:rsid w:val="334376A7"/>
    <w:rsid w:val="33484B1B"/>
    <w:rsid w:val="33492641"/>
    <w:rsid w:val="3357327E"/>
    <w:rsid w:val="335E1555"/>
    <w:rsid w:val="33604A58"/>
    <w:rsid w:val="33616C57"/>
    <w:rsid w:val="33675B0D"/>
    <w:rsid w:val="337B4EF0"/>
    <w:rsid w:val="33851415"/>
    <w:rsid w:val="3392652C"/>
    <w:rsid w:val="33983602"/>
    <w:rsid w:val="339A3939"/>
    <w:rsid w:val="339E0BDF"/>
    <w:rsid w:val="33B71CA0"/>
    <w:rsid w:val="33C40DF9"/>
    <w:rsid w:val="33C61EE3"/>
    <w:rsid w:val="33D83A69"/>
    <w:rsid w:val="33DE0FDB"/>
    <w:rsid w:val="33DE722D"/>
    <w:rsid w:val="33E16D1D"/>
    <w:rsid w:val="33F00D0E"/>
    <w:rsid w:val="33F151B2"/>
    <w:rsid w:val="33F153DA"/>
    <w:rsid w:val="33F61249"/>
    <w:rsid w:val="33FBA573"/>
    <w:rsid w:val="33FC7260"/>
    <w:rsid w:val="34006B60"/>
    <w:rsid w:val="34015A6A"/>
    <w:rsid w:val="340764EB"/>
    <w:rsid w:val="340C4B71"/>
    <w:rsid w:val="341113B0"/>
    <w:rsid w:val="34140495"/>
    <w:rsid w:val="34184207"/>
    <w:rsid w:val="341D7D55"/>
    <w:rsid w:val="34237336"/>
    <w:rsid w:val="34242218"/>
    <w:rsid w:val="34313AAC"/>
    <w:rsid w:val="34336FAF"/>
    <w:rsid w:val="34357F34"/>
    <w:rsid w:val="34394463"/>
    <w:rsid w:val="344109CC"/>
    <w:rsid w:val="34433534"/>
    <w:rsid w:val="344B0B14"/>
    <w:rsid w:val="34503A45"/>
    <w:rsid w:val="345117AD"/>
    <w:rsid w:val="3451733C"/>
    <w:rsid w:val="345B0173"/>
    <w:rsid w:val="345B087E"/>
    <w:rsid w:val="345D2848"/>
    <w:rsid w:val="345D3677"/>
    <w:rsid w:val="346256C0"/>
    <w:rsid w:val="346534AA"/>
    <w:rsid w:val="347545A1"/>
    <w:rsid w:val="3477275B"/>
    <w:rsid w:val="347A51A5"/>
    <w:rsid w:val="348114DF"/>
    <w:rsid w:val="348E47AF"/>
    <w:rsid w:val="349415D2"/>
    <w:rsid w:val="34941E16"/>
    <w:rsid w:val="34B34216"/>
    <w:rsid w:val="34B87A7E"/>
    <w:rsid w:val="34BE5460"/>
    <w:rsid w:val="34C419B9"/>
    <w:rsid w:val="34C74165"/>
    <w:rsid w:val="34D039B6"/>
    <w:rsid w:val="34D545BA"/>
    <w:rsid w:val="34DA5C46"/>
    <w:rsid w:val="34DB376C"/>
    <w:rsid w:val="34DF14AF"/>
    <w:rsid w:val="34E5558C"/>
    <w:rsid w:val="34EA455F"/>
    <w:rsid w:val="34F77FF2"/>
    <w:rsid w:val="34F860CC"/>
    <w:rsid w:val="34F928F1"/>
    <w:rsid w:val="34F934F5"/>
    <w:rsid w:val="34FC47AF"/>
    <w:rsid w:val="350C7DCA"/>
    <w:rsid w:val="350D7F97"/>
    <w:rsid w:val="35135904"/>
    <w:rsid w:val="35163581"/>
    <w:rsid w:val="351B5A6B"/>
    <w:rsid w:val="351C27B0"/>
    <w:rsid w:val="351F3735"/>
    <w:rsid w:val="351F5D4F"/>
    <w:rsid w:val="35246EC1"/>
    <w:rsid w:val="352B0250"/>
    <w:rsid w:val="35314135"/>
    <w:rsid w:val="35341E00"/>
    <w:rsid w:val="35357321"/>
    <w:rsid w:val="3537465F"/>
    <w:rsid w:val="35374E47"/>
    <w:rsid w:val="353C420B"/>
    <w:rsid w:val="35414F6E"/>
    <w:rsid w:val="354C01C6"/>
    <w:rsid w:val="35565E0D"/>
    <w:rsid w:val="3559381E"/>
    <w:rsid w:val="355B40AE"/>
    <w:rsid w:val="3569702C"/>
    <w:rsid w:val="356B4AF0"/>
    <w:rsid w:val="35747D20"/>
    <w:rsid w:val="357850C8"/>
    <w:rsid w:val="357D65D2"/>
    <w:rsid w:val="358C62E7"/>
    <w:rsid w:val="35973B37"/>
    <w:rsid w:val="35B74BAD"/>
    <w:rsid w:val="35BA13B5"/>
    <w:rsid w:val="35C0308E"/>
    <w:rsid w:val="35C273A3"/>
    <w:rsid w:val="35C459EF"/>
    <w:rsid w:val="35CA5DCC"/>
    <w:rsid w:val="35D46B3A"/>
    <w:rsid w:val="35D655BE"/>
    <w:rsid w:val="35E7324A"/>
    <w:rsid w:val="35F26FC0"/>
    <w:rsid w:val="35F9471D"/>
    <w:rsid w:val="35FC56A1"/>
    <w:rsid w:val="360219A7"/>
    <w:rsid w:val="36032EB0"/>
    <w:rsid w:val="36080591"/>
    <w:rsid w:val="360B0081"/>
    <w:rsid w:val="36170625"/>
    <w:rsid w:val="36222223"/>
    <w:rsid w:val="362353CB"/>
    <w:rsid w:val="3624775F"/>
    <w:rsid w:val="362664E5"/>
    <w:rsid w:val="362A70EA"/>
    <w:rsid w:val="363037C3"/>
    <w:rsid w:val="36356EAC"/>
    <w:rsid w:val="36362EFD"/>
    <w:rsid w:val="363D008E"/>
    <w:rsid w:val="363E2205"/>
    <w:rsid w:val="36414B11"/>
    <w:rsid w:val="364F7F6E"/>
    <w:rsid w:val="365732C7"/>
    <w:rsid w:val="365B0F3E"/>
    <w:rsid w:val="365B6913"/>
    <w:rsid w:val="36681030"/>
    <w:rsid w:val="366C33D7"/>
    <w:rsid w:val="366F435B"/>
    <w:rsid w:val="36914A2B"/>
    <w:rsid w:val="36940F52"/>
    <w:rsid w:val="36A062A6"/>
    <w:rsid w:val="36A06A1C"/>
    <w:rsid w:val="36A43B1D"/>
    <w:rsid w:val="36A857BA"/>
    <w:rsid w:val="36B81FB7"/>
    <w:rsid w:val="36BF3D0E"/>
    <w:rsid w:val="36C066E4"/>
    <w:rsid w:val="36C143AD"/>
    <w:rsid w:val="36C21BE7"/>
    <w:rsid w:val="36C24BE4"/>
    <w:rsid w:val="36C26992"/>
    <w:rsid w:val="36CA11F2"/>
    <w:rsid w:val="36D030FB"/>
    <w:rsid w:val="36D13079"/>
    <w:rsid w:val="36D330C6"/>
    <w:rsid w:val="36D9128A"/>
    <w:rsid w:val="36E0506A"/>
    <w:rsid w:val="36E94025"/>
    <w:rsid w:val="36EB4FAA"/>
    <w:rsid w:val="36EE3C2B"/>
    <w:rsid w:val="36F6333B"/>
    <w:rsid w:val="36F6663C"/>
    <w:rsid w:val="36F77144"/>
    <w:rsid w:val="36F90B2F"/>
    <w:rsid w:val="36FB00F6"/>
    <w:rsid w:val="36FF03C7"/>
    <w:rsid w:val="36FF3742"/>
    <w:rsid w:val="36FF6A9B"/>
    <w:rsid w:val="36FF7BE6"/>
    <w:rsid w:val="370054AD"/>
    <w:rsid w:val="3701395E"/>
    <w:rsid w:val="37021484"/>
    <w:rsid w:val="37152F66"/>
    <w:rsid w:val="371601C3"/>
    <w:rsid w:val="37180CA8"/>
    <w:rsid w:val="371D6438"/>
    <w:rsid w:val="372B09DB"/>
    <w:rsid w:val="372F1B4E"/>
    <w:rsid w:val="37306998"/>
    <w:rsid w:val="373F65F1"/>
    <w:rsid w:val="374923A6"/>
    <w:rsid w:val="37537F32"/>
    <w:rsid w:val="37599A0C"/>
    <w:rsid w:val="3764396F"/>
    <w:rsid w:val="37645C9B"/>
    <w:rsid w:val="37676AF2"/>
    <w:rsid w:val="376C4B50"/>
    <w:rsid w:val="376D6450"/>
    <w:rsid w:val="376F3EFE"/>
    <w:rsid w:val="37701980"/>
    <w:rsid w:val="37743C09"/>
    <w:rsid w:val="3779679F"/>
    <w:rsid w:val="37842271"/>
    <w:rsid w:val="37933BAB"/>
    <w:rsid w:val="37983073"/>
    <w:rsid w:val="379E6032"/>
    <w:rsid w:val="379FD9AA"/>
    <w:rsid w:val="37A367C3"/>
    <w:rsid w:val="37A442EA"/>
    <w:rsid w:val="37A96FC5"/>
    <w:rsid w:val="37AC3D63"/>
    <w:rsid w:val="37AE5990"/>
    <w:rsid w:val="37B00EE0"/>
    <w:rsid w:val="37BD07A9"/>
    <w:rsid w:val="37C42558"/>
    <w:rsid w:val="37C64260"/>
    <w:rsid w:val="37DA31EB"/>
    <w:rsid w:val="37DC1CD5"/>
    <w:rsid w:val="37E31CBE"/>
    <w:rsid w:val="37EA2644"/>
    <w:rsid w:val="37F00FD4"/>
    <w:rsid w:val="37F3036D"/>
    <w:rsid w:val="37F5325E"/>
    <w:rsid w:val="38022573"/>
    <w:rsid w:val="380F20AB"/>
    <w:rsid w:val="38156F95"/>
    <w:rsid w:val="381B27FE"/>
    <w:rsid w:val="381F3C83"/>
    <w:rsid w:val="3821593A"/>
    <w:rsid w:val="382C33B7"/>
    <w:rsid w:val="38390ED6"/>
    <w:rsid w:val="384A4E91"/>
    <w:rsid w:val="385A2C02"/>
    <w:rsid w:val="38657F1D"/>
    <w:rsid w:val="3869321C"/>
    <w:rsid w:val="38710670"/>
    <w:rsid w:val="3872263A"/>
    <w:rsid w:val="38726196"/>
    <w:rsid w:val="38741F0E"/>
    <w:rsid w:val="38765C86"/>
    <w:rsid w:val="387D663A"/>
    <w:rsid w:val="388727CC"/>
    <w:rsid w:val="388B11D3"/>
    <w:rsid w:val="38960D90"/>
    <w:rsid w:val="38966328"/>
    <w:rsid w:val="38B13611"/>
    <w:rsid w:val="38B42746"/>
    <w:rsid w:val="38B86FFA"/>
    <w:rsid w:val="38C509BB"/>
    <w:rsid w:val="38CA31B0"/>
    <w:rsid w:val="38CF0F38"/>
    <w:rsid w:val="38D75A4F"/>
    <w:rsid w:val="38D949DC"/>
    <w:rsid w:val="38DD3F57"/>
    <w:rsid w:val="38DD7AB3"/>
    <w:rsid w:val="38EA5B3F"/>
    <w:rsid w:val="38ED6BBF"/>
    <w:rsid w:val="38F31085"/>
    <w:rsid w:val="38F378FD"/>
    <w:rsid w:val="38F46CB5"/>
    <w:rsid w:val="38F911DD"/>
    <w:rsid w:val="38FB2132"/>
    <w:rsid w:val="38FD63A7"/>
    <w:rsid w:val="39072D82"/>
    <w:rsid w:val="391A2AB5"/>
    <w:rsid w:val="391C4D28"/>
    <w:rsid w:val="39253208"/>
    <w:rsid w:val="392635CF"/>
    <w:rsid w:val="39284554"/>
    <w:rsid w:val="39297DD7"/>
    <w:rsid w:val="392A081F"/>
    <w:rsid w:val="392F3772"/>
    <w:rsid w:val="393B7CF1"/>
    <w:rsid w:val="393C0FF6"/>
    <w:rsid w:val="393F076E"/>
    <w:rsid w:val="3941767C"/>
    <w:rsid w:val="39510569"/>
    <w:rsid w:val="3952319A"/>
    <w:rsid w:val="39555F8E"/>
    <w:rsid w:val="395A27A5"/>
    <w:rsid w:val="39665CFB"/>
    <w:rsid w:val="396A04DF"/>
    <w:rsid w:val="396C0E37"/>
    <w:rsid w:val="39704948"/>
    <w:rsid w:val="398D3FDB"/>
    <w:rsid w:val="398E1CFA"/>
    <w:rsid w:val="398F13B6"/>
    <w:rsid w:val="39900A80"/>
    <w:rsid w:val="399B34CA"/>
    <w:rsid w:val="399D4513"/>
    <w:rsid w:val="399E1F94"/>
    <w:rsid w:val="39A17917"/>
    <w:rsid w:val="39A673A1"/>
    <w:rsid w:val="39A86127"/>
    <w:rsid w:val="39BD0B31"/>
    <w:rsid w:val="39C037CE"/>
    <w:rsid w:val="39C62C3D"/>
    <w:rsid w:val="39C73159"/>
    <w:rsid w:val="39C9085A"/>
    <w:rsid w:val="39C940DD"/>
    <w:rsid w:val="39D01131"/>
    <w:rsid w:val="39D65971"/>
    <w:rsid w:val="39D720A1"/>
    <w:rsid w:val="39DA3296"/>
    <w:rsid w:val="39DC7D6B"/>
    <w:rsid w:val="39DF07FF"/>
    <w:rsid w:val="39E34C87"/>
    <w:rsid w:val="39E66E3B"/>
    <w:rsid w:val="39E75D70"/>
    <w:rsid w:val="39EB6200"/>
    <w:rsid w:val="39F44F22"/>
    <w:rsid w:val="39F96C51"/>
    <w:rsid w:val="39FC1D20"/>
    <w:rsid w:val="3A0045B7"/>
    <w:rsid w:val="3A0D6176"/>
    <w:rsid w:val="3A2F78EF"/>
    <w:rsid w:val="3A305703"/>
    <w:rsid w:val="3A3B1097"/>
    <w:rsid w:val="3A3F02FA"/>
    <w:rsid w:val="3A4849AC"/>
    <w:rsid w:val="3A50783A"/>
    <w:rsid w:val="3A546240"/>
    <w:rsid w:val="3A606BEE"/>
    <w:rsid w:val="3A630A59"/>
    <w:rsid w:val="3A6464DA"/>
    <w:rsid w:val="3A6A7A6C"/>
    <w:rsid w:val="3A6D130B"/>
    <w:rsid w:val="3A816D0A"/>
    <w:rsid w:val="3A8A671A"/>
    <w:rsid w:val="3A960861"/>
    <w:rsid w:val="3A9643BE"/>
    <w:rsid w:val="3AA30888"/>
    <w:rsid w:val="3AA4042D"/>
    <w:rsid w:val="3AB94550"/>
    <w:rsid w:val="3ABB2076"/>
    <w:rsid w:val="3AC23405"/>
    <w:rsid w:val="3ACC6031"/>
    <w:rsid w:val="3ACC7DDF"/>
    <w:rsid w:val="3AD969A0"/>
    <w:rsid w:val="3AE73230"/>
    <w:rsid w:val="3B027CA5"/>
    <w:rsid w:val="3B0E664A"/>
    <w:rsid w:val="3B0F4170"/>
    <w:rsid w:val="3B1254FB"/>
    <w:rsid w:val="3B163750"/>
    <w:rsid w:val="3B1E76C7"/>
    <w:rsid w:val="3B246918"/>
    <w:rsid w:val="3B2714BA"/>
    <w:rsid w:val="3B292DA0"/>
    <w:rsid w:val="3B31058A"/>
    <w:rsid w:val="3B3F16C0"/>
    <w:rsid w:val="3B3F4A55"/>
    <w:rsid w:val="3B414F5D"/>
    <w:rsid w:val="3B4160B1"/>
    <w:rsid w:val="3B556027"/>
    <w:rsid w:val="3B5F4174"/>
    <w:rsid w:val="3B651900"/>
    <w:rsid w:val="3B691AD2"/>
    <w:rsid w:val="3B692505"/>
    <w:rsid w:val="3B716BD9"/>
    <w:rsid w:val="3B783AC3"/>
    <w:rsid w:val="3B854432"/>
    <w:rsid w:val="3B89083B"/>
    <w:rsid w:val="3B8B7644"/>
    <w:rsid w:val="3B8D6AEC"/>
    <w:rsid w:val="3B8F4148"/>
    <w:rsid w:val="3B954675"/>
    <w:rsid w:val="3B980E56"/>
    <w:rsid w:val="3B9B3B03"/>
    <w:rsid w:val="3B9C7128"/>
    <w:rsid w:val="3B9D177C"/>
    <w:rsid w:val="3BB13F7E"/>
    <w:rsid w:val="3BBD5812"/>
    <w:rsid w:val="3BBF16F2"/>
    <w:rsid w:val="3BC5739B"/>
    <w:rsid w:val="3BCB12A4"/>
    <w:rsid w:val="3BD41BB4"/>
    <w:rsid w:val="3BDA477E"/>
    <w:rsid w:val="3BDA7A57"/>
    <w:rsid w:val="3BDD7DCA"/>
    <w:rsid w:val="3BDF1D94"/>
    <w:rsid w:val="3BE22435"/>
    <w:rsid w:val="3BF13876"/>
    <w:rsid w:val="3BF27A61"/>
    <w:rsid w:val="3BF7967A"/>
    <w:rsid w:val="3BFA2ADD"/>
    <w:rsid w:val="3BFC2946"/>
    <w:rsid w:val="3BFFC69F"/>
    <w:rsid w:val="3C086B8B"/>
    <w:rsid w:val="3C1852A6"/>
    <w:rsid w:val="3C2974B3"/>
    <w:rsid w:val="3C2D2B00"/>
    <w:rsid w:val="3C2D5E53"/>
    <w:rsid w:val="3C320116"/>
    <w:rsid w:val="3C3245BA"/>
    <w:rsid w:val="3C39515C"/>
    <w:rsid w:val="3C3A5833"/>
    <w:rsid w:val="3C4147FD"/>
    <w:rsid w:val="3C475F8B"/>
    <w:rsid w:val="3C4B742A"/>
    <w:rsid w:val="3C575ACA"/>
    <w:rsid w:val="3C577B7C"/>
    <w:rsid w:val="3C5C1637"/>
    <w:rsid w:val="3C5F6A31"/>
    <w:rsid w:val="3C6472A5"/>
    <w:rsid w:val="3C6978B0"/>
    <w:rsid w:val="3C6B6C2F"/>
    <w:rsid w:val="3C6C1F0C"/>
    <w:rsid w:val="3C7626F9"/>
    <w:rsid w:val="3C770338"/>
    <w:rsid w:val="3C790143"/>
    <w:rsid w:val="3C8446EA"/>
    <w:rsid w:val="3C862210"/>
    <w:rsid w:val="3C8B38E1"/>
    <w:rsid w:val="3C941F0E"/>
    <w:rsid w:val="3C9E57AB"/>
    <w:rsid w:val="3C9E707E"/>
    <w:rsid w:val="3CA134EE"/>
    <w:rsid w:val="3CB72D11"/>
    <w:rsid w:val="3CBA38B2"/>
    <w:rsid w:val="3CBD71B8"/>
    <w:rsid w:val="3CBE19AA"/>
    <w:rsid w:val="3CC64D02"/>
    <w:rsid w:val="3CD411CD"/>
    <w:rsid w:val="3CDD0F98"/>
    <w:rsid w:val="3CE422AF"/>
    <w:rsid w:val="3CE61A49"/>
    <w:rsid w:val="3CEA16FC"/>
    <w:rsid w:val="3CEF24AB"/>
    <w:rsid w:val="3CF67395"/>
    <w:rsid w:val="3CFD24BF"/>
    <w:rsid w:val="3CFD4BC8"/>
    <w:rsid w:val="3D037D04"/>
    <w:rsid w:val="3D0C0967"/>
    <w:rsid w:val="3D0D2931"/>
    <w:rsid w:val="3D1D5019"/>
    <w:rsid w:val="3D286FE2"/>
    <w:rsid w:val="3D2A703F"/>
    <w:rsid w:val="3D2F21F1"/>
    <w:rsid w:val="3D3D14A5"/>
    <w:rsid w:val="3D477BF1"/>
    <w:rsid w:val="3D485319"/>
    <w:rsid w:val="3D4F4CF8"/>
    <w:rsid w:val="3D4F6312"/>
    <w:rsid w:val="3D566086"/>
    <w:rsid w:val="3D5B369C"/>
    <w:rsid w:val="3D6C09D0"/>
    <w:rsid w:val="3D6C3AFB"/>
    <w:rsid w:val="3D737524"/>
    <w:rsid w:val="3D7378FA"/>
    <w:rsid w:val="3D840617"/>
    <w:rsid w:val="3D840E45"/>
    <w:rsid w:val="3D883B84"/>
    <w:rsid w:val="3D957616"/>
    <w:rsid w:val="3D98059B"/>
    <w:rsid w:val="3D98669F"/>
    <w:rsid w:val="3D9F17DB"/>
    <w:rsid w:val="3DA51E2F"/>
    <w:rsid w:val="3DA622AE"/>
    <w:rsid w:val="3DAF2263"/>
    <w:rsid w:val="3DB02952"/>
    <w:rsid w:val="3DB633CE"/>
    <w:rsid w:val="3DB86D41"/>
    <w:rsid w:val="3DC014B6"/>
    <w:rsid w:val="3DC425D7"/>
    <w:rsid w:val="3DC70D32"/>
    <w:rsid w:val="3DCB0822"/>
    <w:rsid w:val="3DCE20C0"/>
    <w:rsid w:val="3DCE51F2"/>
    <w:rsid w:val="3DDC2A2F"/>
    <w:rsid w:val="3DEB4A20"/>
    <w:rsid w:val="3DFF04CC"/>
    <w:rsid w:val="3DFF4F62"/>
    <w:rsid w:val="3E0478E2"/>
    <w:rsid w:val="3E0A75D5"/>
    <w:rsid w:val="3E15478E"/>
    <w:rsid w:val="3E1C107E"/>
    <w:rsid w:val="3E1D6BA4"/>
    <w:rsid w:val="3E263CAA"/>
    <w:rsid w:val="3E2D6A23"/>
    <w:rsid w:val="3E332998"/>
    <w:rsid w:val="3E457E51"/>
    <w:rsid w:val="3E4A3B11"/>
    <w:rsid w:val="3E4E3201"/>
    <w:rsid w:val="3E6212E9"/>
    <w:rsid w:val="3E691DE9"/>
    <w:rsid w:val="3E6B5444"/>
    <w:rsid w:val="3E75078E"/>
    <w:rsid w:val="3E7A698F"/>
    <w:rsid w:val="3E7F0656"/>
    <w:rsid w:val="3E8B0E28"/>
    <w:rsid w:val="3E8F69F4"/>
    <w:rsid w:val="3E9052B0"/>
    <w:rsid w:val="3E950E30"/>
    <w:rsid w:val="3E9C72F7"/>
    <w:rsid w:val="3EA13331"/>
    <w:rsid w:val="3EA346E6"/>
    <w:rsid w:val="3EA62CD7"/>
    <w:rsid w:val="3EA96606"/>
    <w:rsid w:val="3EB23790"/>
    <w:rsid w:val="3EB3456B"/>
    <w:rsid w:val="3EB47508"/>
    <w:rsid w:val="3EB92D70"/>
    <w:rsid w:val="3EBC460F"/>
    <w:rsid w:val="3EC07104"/>
    <w:rsid w:val="3EC47D75"/>
    <w:rsid w:val="3EC534C3"/>
    <w:rsid w:val="3ECB7706"/>
    <w:rsid w:val="3ECC5115"/>
    <w:rsid w:val="3ED11935"/>
    <w:rsid w:val="3EDE27D7"/>
    <w:rsid w:val="3EDE4585"/>
    <w:rsid w:val="3EE15E23"/>
    <w:rsid w:val="3EE250BA"/>
    <w:rsid w:val="3EE32B3C"/>
    <w:rsid w:val="3EE52AB3"/>
    <w:rsid w:val="3EE71542"/>
    <w:rsid w:val="3EF12C61"/>
    <w:rsid w:val="3EFA4543"/>
    <w:rsid w:val="3EFE6044"/>
    <w:rsid w:val="3EFF6BE9"/>
    <w:rsid w:val="3F0142EA"/>
    <w:rsid w:val="3F026891"/>
    <w:rsid w:val="3F0355EF"/>
    <w:rsid w:val="3F0664ED"/>
    <w:rsid w:val="3F081602"/>
    <w:rsid w:val="3F0D24C1"/>
    <w:rsid w:val="3F112569"/>
    <w:rsid w:val="3F2435A5"/>
    <w:rsid w:val="3F2C09B1"/>
    <w:rsid w:val="3F2D6433"/>
    <w:rsid w:val="3F3F7C11"/>
    <w:rsid w:val="3F4B1266"/>
    <w:rsid w:val="3F4E170B"/>
    <w:rsid w:val="3F5617F6"/>
    <w:rsid w:val="3F595FFD"/>
    <w:rsid w:val="3F5B7324"/>
    <w:rsid w:val="3F602105"/>
    <w:rsid w:val="3F634A8A"/>
    <w:rsid w:val="3F661A90"/>
    <w:rsid w:val="3F746C97"/>
    <w:rsid w:val="3F753F51"/>
    <w:rsid w:val="3F76496D"/>
    <w:rsid w:val="3F7722E4"/>
    <w:rsid w:val="3F8E1B07"/>
    <w:rsid w:val="3F980BD8"/>
    <w:rsid w:val="3F9B4224"/>
    <w:rsid w:val="3F9E326F"/>
    <w:rsid w:val="3F9F3F9D"/>
    <w:rsid w:val="3FA70E1B"/>
    <w:rsid w:val="3FAA4B03"/>
    <w:rsid w:val="3FAB2D08"/>
    <w:rsid w:val="3FAC6431"/>
    <w:rsid w:val="3FAE21A9"/>
    <w:rsid w:val="3FB10C0A"/>
    <w:rsid w:val="3FB5178A"/>
    <w:rsid w:val="3FB70595"/>
    <w:rsid w:val="3FB9189A"/>
    <w:rsid w:val="3FBA6DA0"/>
    <w:rsid w:val="3FBA731C"/>
    <w:rsid w:val="3FC03423"/>
    <w:rsid w:val="3FC1012F"/>
    <w:rsid w:val="3FC13358"/>
    <w:rsid w:val="3FC419CD"/>
    <w:rsid w:val="3FC6532D"/>
    <w:rsid w:val="3FD1113F"/>
    <w:rsid w:val="3FD16950"/>
    <w:rsid w:val="3FDA799C"/>
    <w:rsid w:val="3FE47F8D"/>
    <w:rsid w:val="3FE59B75"/>
    <w:rsid w:val="3FE931E1"/>
    <w:rsid w:val="3FEB51AC"/>
    <w:rsid w:val="3FED6871"/>
    <w:rsid w:val="3FEE4885"/>
    <w:rsid w:val="3FF37BBC"/>
    <w:rsid w:val="3FF7731F"/>
    <w:rsid w:val="3FFB2F15"/>
    <w:rsid w:val="3FFB4B8C"/>
    <w:rsid w:val="40063D93"/>
    <w:rsid w:val="4009291E"/>
    <w:rsid w:val="40093884"/>
    <w:rsid w:val="400D1324"/>
    <w:rsid w:val="400E4827"/>
    <w:rsid w:val="400F22A9"/>
    <w:rsid w:val="40104C12"/>
    <w:rsid w:val="401C5365"/>
    <w:rsid w:val="4026444D"/>
    <w:rsid w:val="402A5051"/>
    <w:rsid w:val="402F14D9"/>
    <w:rsid w:val="40361D15"/>
    <w:rsid w:val="403768E5"/>
    <w:rsid w:val="403D52DB"/>
    <w:rsid w:val="40416B7A"/>
    <w:rsid w:val="40437D31"/>
    <w:rsid w:val="40464190"/>
    <w:rsid w:val="40490124"/>
    <w:rsid w:val="404B4760"/>
    <w:rsid w:val="405368AD"/>
    <w:rsid w:val="405C1C05"/>
    <w:rsid w:val="405E2028"/>
    <w:rsid w:val="4065146E"/>
    <w:rsid w:val="406541BE"/>
    <w:rsid w:val="40757A4F"/>
    <w:rsid w:val="40784565"/>
    <w:rsid w:val="407A02DD"/>
    <w:rsid w:val="407E4ADB"/>
    <w:rsid w:val="40834CE1"/>
    <w:rsid w:val="408D1DBF"/>
    <w:rsid w:val="40946C7F"/>
    <w:rsid w:val="409842FD"/>
    <w:rsid w:val="4099698A"/>
    <w:rsid w:val="409B6AB4"/>
    <w:rsid w:val="409D5D7A"/>
    <w:rsid w:val="409F7D44"/>
    <w:rsid w:val="40A236A9"/>
    <w:rsid w:val="40A538A2"/>
    <w:rsid w:val="40AB7342"/>
    <w:rsid w:val="40BC5C45"/>
    <w:rsid w:val="40BE466E"/>
    <w:rsid w:val="40BE641C"/>
    <w:rsid w:val="40C50F41"/>
    <w:rsid w:val="40CA3013"/>
    <w:rsid w:val="40D21EC7"/>
    <w:rsid w:val="40E32281"/>
    <w:rsid w:val="40E35E83"/>
    <w:rsid w:val="40EC5FBF"/>
    <w:rsid w:val="40EF2A79"/>
    <w:rsid w:val="40F956A6"/>
    <w:rsid w:val="410150B4"/>
    <w:rsid w:val="41032081"/>
    <w:rsid w:val="41137DFA"/>
    <w:rsid w:val="41157505"/>
    <w:rsid w:val="411C75E7"/>
    <w:rsid w:val="411F4664"/>
    <w:rsid w:val="4123306B"/>
    <w:rsid w:val="41282D76"/>
    <w:rsid w:val="412A5860"/>
    <w:rsid w:val="412E13D5"/>
    <w:rsid w:val="41367B0D"/>
    <w:rsid w:val="4138778D"/>
    <w:rsid w:val="414032D5"/>
    <w:rsid w:val="41406E31"/>
    <w:rsid w:val="414A67AD"/>
    <w:rsid w:val="415648A7"/>
    <w:rsid w:val="41635215"/>
    <w:rsid w:val="41651556"/>
    <w:rsid w:val="417359C2"/>
    <w:rsid w:val="41787E9D"/>
    <w:rsid w:val="417B6F7C"/>
    <w:rsid w:val="417D2679"/>
    <w:rsid w:val="417F5983"/>
    <w:rsid w:val="41850CE8"/>
    <w:rsid w:val="41870D93"/>
    <w:rsid w:val="418C651A"/>
    <w:rsid w:val="419D0727"/>
    <w:rsid w:val="41A074D3"/>
    <w:rsid w:val="41A67DC1"/>
    <w:rsid w:val="41AE0A50"/>
    <w:rsid w:val="41B45A71"/>
    <w:rsid w:val="41B86DE1"/>
    <w:rsid w:val="41BB6E00"/>
    <w:rsid w:val="41D02A92"/>
    <w:rsid w:val="41DB44AF"/>
    <w:rsid w:val="41DD6D76"/>
    <w:rsid w:val="41E9003A"/>
    <w:rsid w:val="41EA5032"/>
    <w:rsid w:val="41EE3A38"/>
    <w:rsid w:val="41FB36A0"/>
    <w:rsid w:val="42025F5C"/>
    <w:rsid w:val="420970D6"/>
    <w:rsid w:val="42117470"/>
    <w:rsid w:val="421264C2"/>
    <w:rsid w:val="42164036"/>
    <w:rsid w:val="421A7D7F"/>
    <w:rsid w:val="421E2009"/>
    <w:rsid w:val="42251994"/>
    <w:rsid w:val="423746D8"/>
    <w:rsid w:val="42411196"/>
    <w:rsid w:val="42430FDF"/>
    <w:rsid w:val="42446DF5"/>
    <w:rsid w:val="42470693"/>
    <w:rsid w:val="424B3DD2"/>
    <w:rsid w:val="42507548"/>
    <w:rsid w:val="42534C0B"/>
    <w:rsid w:val="425424E3"/>
    <w:rsid w:val="425F25BC"/>
    <w:rsid w:val="42772697"/>
    <w:rsid w:val="427B20EB"/>
    <w:rsid w:val="427F607F"/>
    <w:rsid w:val="4285742F"/>
    <w:rsid w:val="42890ABC"/>
    <w:rsid w:val="42952A23"/>
    <w:rsid w:val="42957651"/>
    <w:rsid w:val="42980EEF"/>
    <w:rsid w:val="42A41642"/>
    <w:rsid w:val="42AE0712"/>
    <w:rsid w:val="42AE426E"/>
    <w:rsid w:val="42B31885"/>
    <w:rsid w:val="42BC2E2F"/>
    <w:rsid w:val="42BC318C"/>
    <w:rsid w:val="42BE088D"/>
    <w:rsid w:val="42C4601A"/>
    <w:rsid w:val="42D075D2"/>
    <w:rsid w:val="42D27F5D"/>
    <w:rsid w:val="42DB1202"/>
    <w:rsid w:val="42E5501C"/>
    <w:rsid w:val="42E934F8"/>
    <w:rsid w:val="42EF3F47"/>
    <w:rsid w:val="42F17878"/>
    <w:rsid w:val="42F24F43"/>
    <w:rsid w:val="42F44377"/>
    <w:rsid w:val="42FF2D1C"/>
    <w:rsid w:val="43065E58"/>
    <w:rsid w:val="430976F7"/>
    <w:rsid w:val="431A7B56"/>
    <w:rsid w:val="432D21C6"/>
    <w:rsid w:val="43302ED5"/>
    <w:rsid w:val="43326C4D"/>
    <w:rsid w:val="433F0E43"/>
    <w:rsid w:val="433F5BE0"/>
    <w:rsid w:val="43484F6E"/>
    <w:rsid w:val="434A3CF5"/>
    <w:rsid w:val="434D6E78"/>
    <w:rsid w:val="43554284"/>
    <w:rsid w:val="43605E98"/>
    <w:rsid w:val="4361391A"/>
    <w:rsid w:val="436212F6"/>
    <w:rsid w:val="43650DD1"/>
    <w:rsid w:val="43672D9B"/>
    <w:rsid w:val="436A4639"/>
    <w:rsid w:val="436C6603"/>
    <w:rsid w:val="436F1C50"/>
    <w:rsid w:val="43814AFD"/>
    <w:rsid w:val="438276D2"/>
    <w:rsid w:val="43862855"/>
    <w:rsid w:val="438A6CDC"/>
    <w:rsid w:val="438B1D22"/>
    <w:rsid w:val="438D657A"/>
    <w:rsid w:val="43A062AD"/>
    <w:rsid w:val="43A23152"/>
    <w:rsid w:val="43A538C3"/>
    <w:rsid w:val="43AC0516"/>
    <w:rsid w:val="43B41D58"/>
    <w:rsid w:val="43B458B4"/>
    <w:rsid w:val="43B60E25"/>
    <w:rsid w:val="43B6162D"/>
    <w:rsid w:val="43BE15D6"/>
    <w:rsid w:val="43CD6487"/>
    <w:rsid w:val="43D146B8"/>
    <w:rsid w:val="43D55E57"/>
    <w:rsid w:val="43DC49E4"/>
    <w:rsid w:val="43EC32A0"/>
    <w:rsid w:val="43F5418D"/>
    <w:rsid w:val="43F5638C"/>
    <w:rsid w:val="43F839F3"/>
    <w:rsid w:val="43FE4D82"/>
    <w:rsid w:val="44024872"/>
    <w:rsid w:val="440700DA"/>
    <w:rsid w:val="440C3DB3"/>
    <w:rsid w:val="440E1469"/>
    <w:rsid w:val="441A52C7"/>
    <w:rsid w:val="442A5561"/>
    <w:rsid w:val="442C0C88"/>
    <w:rsid w:val="44307631"/>
    <w:rsid w:val="443239D6"/>
    <w:rsid w:val="443261F1"/>
    <w:rsid w:val="4439400C"/>
    <w:rsid w:val="443C4228"/>
    <w:rsid w:val="44501024"/>
    <w:rsid w:val="445D7CFA"/>
    <w:rsid w:val="44692B43"/>
    <w:rsid w:val="446C184E"/>
    <w:rsid w:val="44747449"/>
    <w:rsid w:val="447B63D2"/>
    <w:rsid w:val="44901E7E"/>
    <w:rsid w:val="44937BC0"/>
    <w:rsid w:val="449A1098"/>
    <w:rsid w:val="44A2690B"/>
    <w:rsid w:val="44A6072E"/>
    <w:rsid w:val="44A92DA6"/>
    <w:rsid w:val="44A973E3"/>
    <w:rsid w:val="44B55DB2"/>
    <w:rsid w:val="44BF6C07"/>
    <w:rsid w:val="44C06D59"/>
    <w:rsid w:val="44C84166"/>
    <w:rsid w:val="44D82202"/>
    <w:rsid w:val="44D91E82"/>
    <w:rsid w:val="44DC1567"/>
    <w:rsid w:val="44E24D0F"/>
    <w:rsid w:val="44E26451"/>
    <w:rsid w:val="44EB7B9D"/>
    <w:rsid w:val="44ED6924"/>
    <w:rsid w:val="44F55F2E"/>
    <w:rsid w:val="44FA7920"/>
    <w:rsid w:val="45014B29"/>
    <w:rsid w:val="450D30D4"/>
    <w:rsid w:val="450E7246"/>
    <w:rsid w:val="4519207C"/>
    <w:rsid w:val="451C590A"/>
    <w:rsid w:val="451E0411"/>
    <w:rsid w:val="451F4B74"/>
    <w:rsid w:val="452A0524"/>
    <w:rsid w:val="452C1C8C"/>
    <w:rsid w:val="452F5B3A"/>
    <w:rsid w:val="453372D1"/>
    <w:rsid w:val="45360DE1"/>
    <w:rsid w:val="453A31A0"/>
    <w:rsid w:val="4542602E"/>
    <w:rsid w:val="454702B7"/>
    <w:rsid w:val="454A2974"/>
    <w:rsid w:val="4557299B"/>
    <w:rsid w:val="455E01CE"/>
    <w:rsid w:val="45620AE1"/>
    <w:rsid w:val="456357E4"/>
    <w:rsid w:val="45682DFA"/>
    <w:rsid w:val="45726DF1"/>
    <w:rsid w:val="457F1EF2"/>
    <w:rsid w:val="458A4B1F"/>
    <w:rsid w:val="459019B0"/>
    <w:rsid w:val="45917432"/>
    <w:rsid w:val="45953543"/>
    <w:rsid w:val="45975C56"/>
    <w:rsid w:val="459A638D"/>
    <w:rsid w:val="45A176CC"/>
    <w:rsid w:val="45A73923"/>
    <w:rsid w:val="45AA51C1"/>
    <w:rsid w:val="45AD2F03"/>
    <w:rsid w:val="45B147A1"/>
    <w:rsid w:val="45B3662D"/>
    <w:rsid w:val="45B5636D"/>
    <w:rsid w:val="45B914F0"/>
    <w:rsid w:val="45D24718"/>
    <w:rsid w:val="45D64208"/>
    <w:rsid w:val="45DC07AB"/>
    <w:rsid w:val="45E2495B"/>
    <w:rsid w:val="45EE1552"/>
    <w:rsid w:val="45F33C53"/>
    <w:rsid w:val="45F4468E"/>
    <w:rsid w:val="45FC4BF9"/>
    <w:rsid w:val="4604196F"/>
    <w:rsid w:val="460A72F0"/>
    <w:rsid w:val="460C5E7C"/>
    <w:rsid w:val="46105782"/>
    <w:rsid w:val="46113492"/>
    <w:rsid w:val="46132D66"/>
    <w:rsid w:val="461F5228"/>
    <w:rsid w:val="461F7F9A"/>
    <w:rsid w:val="46205A1C"/>
    <w:rsid w:val="462A0F49"/>
    <w:rsid w:val="462F1B6A"/>
    <w:rsid w:val="46301EB1"/>
    <w:rsid w:val="46367777"/>
    <w:rsid w:val="464078D3"/>
    <w:rsid w:val="464801B8"/>
    <w:rsid w:val="465D1FFE"/>
    <w:rsid w:val="466801ED"/>
    <w:rsid w:val="467158F2"/>
    <w:rsid w:val="46737A92"/>
    <w:rsid w:val="4674545C"/>
    <w:rsid w:val="46780629"/>
    <w:rsid w:val="46783EAC"/>
    <w:rsid w:val="467852BF"/>
    <w:rsid w:val="467A2DE5"/>
    <w:rsid w:val="468034B7"/>
    <w:rsid w:val="468247BC"/>
    <w:rsid w:val="468E6891"/>
    <w:rsid w:val="46971BE9"/>
    <w:rsid w:val="46A55C75"/>
    <w:rsid w:val="46A61E2C"/>
    <w:rsid w:val="46B3080E"/>
    <w:rsid w:val="46B8573B"/>
    <w:rsid w:val="46C41FCD"/>
    <w:rsid w:val="46C95B1B"/>
    <w:rsid w:val="46CE6E39"/>
    <w:rsid w:val="46DB614F"/>
    <w:rsid w:val="46E63189"/>
    <w:rsid w:val="46E82445"/>
    <w:rsid w:val="46EE732F"/>
    <w:rsid w:val="46F102F3"/>
    <w:rsid w:val="46F459F4"/>
    <w:rsid w:val="46F87C7E"/>
    <w:rsid w:val="46FC6684"/>
    <w:rsid w:val="470923BB"/>
    <w:rsid w:val="470B3360"/>
    <w:rsid w:val="471C3E9C"/>
    <w:rsid w:val="471C7CE4"/>
    <w:rsid w:val="47305B9A"/>
    <w:rsid w:val="47376F28"/>
    <w:rsid w:val="47387782"/>
    <w:rsid w:val="473E2065"/>
    <w:rsid w:val="474653BD"/>
    <w:rsid w:val="474F144D"/>
    <w:rsid w:val="47521367"/>
    <w:rsid w:val="47546D12"/>
    <w:rsid w:val="47577675"/>
    <w:rsid w:val="475909CE"/>
    <w:rsid w:val="47602B25"/>
    <w:rsid w:val="476B6BD2"/>
    <w:rsid w:val="4770243A"/>
    <w:rsid w:val="477A6F52"/>
    <w:rsid w:val="47827BE2"/>
    <w:rsid w:val="47833F1C"/>
    <w:rsid w:val="478D4D9A"/>
    <w:rsid w:val="479003E6"/>
    <w:rsid w:val="4791488A"/>
    <w:rsid w:val="47916B77"/>
    <w:rsid w:val="479A3013"/>
    <w:rsid w:val="479C078C"/>
    <w:rsid w:val="479DBD1F"/>
    <w:rsid w:val="479E3C8F"/>
    <w:rsid w:val="47AD2C24"/>
    <w:rsid w:val="47AD64A7"/>
    <w:rsid w:val="47B75973"/>
    <w:rsid w:val="47BB57BD"/>
    <w:rsid w:val="47C22C96"/>
    <w:rsid w:val="47C46FA4"/>
    <w:rsid w:val="47C6205A"/>
    <w:rsid w:val="47CB7671"/>
    <w:rsid w:val="47D814BE"/>
    <w:rsid w:val="47DC187E"/>
    <w:rsid w:val="47DF52C2"/>
    <w:rsid w:val="47E66258"/>
    <w:rsid w:val="47E726FC"/>
    <w:rsid w:val="47EE3067"/>
    <w:rsid w:val="47F40E1A"/>
    <w:rsid w:val="47F86962"/>
    <w:rsid w:val="47FE17F4"/>
    <w:rsid w:val="480F7446"/>
    <w:rsid w:val="48112949"/>
    <w:rsid w:val="481132D5"/>
    <w:rsid w:val="48185B57"/>
    <w:rsid w:val="481935D8"/>
    <w:rsid w:val="482254E2"/>
    <w:rsid w:val="482D56C4"/>
    <w:rsid w:val="483B158F"/>
    <w:rsid w:val="484A762B"/>
    <w:rsid w:val="48515DC8"/>
    <w:rsid w:val="48516FB5"/>
    <w:rsid w:val="48537D92"/>
    <w:rsid w:val="48594C7C"/>
    <w:rsid w:val="48715FBB"/>
    <w:rsid w:val="488C32A4"/>
    <w:rsid w:val="488E3597"/>
    <w:rsid w:val="48945463"/>
    <w:rsid w:val="489932CB"/>
    <w:rsid w:val="489D5DB0"/>
    <w:rsid w:val="48A203D1"/>
    <w:rsid w:val="48A30D75"/>
    <w:rsid w:val="48C22822"/>
    <w:rsid w:val="48C4659A"/>
    <w:rsid w:val="48C514F3"/>
    <w:rsid w:val="48C60564"/>
    <w:rsid w:val="48C742DC"/>
    <w:rsid w:val="48C84676"/>
    <w:rsid w:val="48D367DD"/>
    <w:rsid w:val="48D6451F"/>
    <w:rsid w:val="48E924A4"/>
    <w:rsid w:val="48EB6CD4"/>
    <w:rsid w:val="48F31612"/>
    <w:rsid w:val="48F331AB"/>
    <w:rsid w:val="48F350D1"/>
    <w:rsid w:val="48F74BC1"/>
    <w:rsid w:val="48FA1700"/>
    <w:rsid w:val="48FC21D7"/>
    <w:rsid w:val="48FD7FF1"/>
    <w:rsid w:val="48FF5824"/>
    <w:rsid w:val="490746D8"/>
    <w:rsid w:val="49131272"/>
    <w:rsid w:val="4913307D"/>
    <w:rsid w:val="491D5404"/>
    <w:rsid w:val="49202B06"/>
    <w:rsid w:val="49296EDF"/>
    <w:rsid w:val="492C413F"/>
    <w:rsid w:val="49333D25"/>
    <w:rsid w:val="49375FAE"/>
    <w:rsid w:val="4942433F"/>
    <w:rsid w:val="49447842"/>
    <w:rsid w:val="49492F43"/>
    <w:rsid w:val="494B7CEF"/>
    <w:rsid w:val="495913D8"/>
    <w:rsid w:val="49816239"/>
    <w:rsid w:val="49896CB2"/>
    <w:rsid w:val="498D72D3"/>
    <w:rsid w:val="498E313A"/>
    <w:rsid w:val="498F4DFA"/>
    <w:rsid w:val="499441BE"/>
    <w:rsid w:val="499B42CB"/>
    <w:rsid w:val="499B5CD3"/>
    <w:rsid w:val="499D5628"/>
    <w:rsid w:val="49A17BDC"/>
    <w:rsid w:val="49B123F5"/>
    <w:rsid w:val="49BA5AB6"/>
    <w:rsid w:val="49BE56DF"/>
    <w:rsid w:val="49CA7BE0"/>
    <w:rsid w:val="49D7054F"/>
    <w:rsid w:val="49D71E0D"/>
    <w:rsid w:val="49DC5B65"/>
    <w:rsid w:val="49E113CD"/>
    <w:rsid w:val="49EC2B6F"/>
    <w:rsid w:val="49EC47D8"/>
    <w:rsid w:val="49F036DF"/>
    <w:rsid w:val="49F53DE3"/>
    <w:rsid w:val="49F71C24"/>
    <w:rsid w:val="49FB156F"/>
    <w:rsid w:val="4A007AA5"/>
    <w:rsid w:val="4A093DAC"/>
    <w:rsid w:val="4A0E6F0B"/>
    <w:rsid w:val="4A1452FF"/>
    <w:rsid w:val="4A18529C"/>
    <w:rsid w:val="4A193364"/>
    <w:rsid w:val="4A2117CA"/>
    <w:rsid w:val="4A222C04"/>
    <w:rsid w:val="4A242D2C"/>
    <w:rsid w:val="4A273284"/>
    <w:rsid w:val="4A295537"/>
    <w:rsid w:val="4A2C23FD"/>
    <w:rsid w:val="4A2F4251"/>
    <w:rsid w:val="4A3143E9"/>
    <w:rsid w:val="4A3F72C9"/>
    <w:rsid w:val="4A49371A"/>
    <w:rsid w:val="4A4A21C1"/>
    <w:rsid w:val="4A4B5F65"/>
    <w:rsid w:val="4A4C0075"/>
    <w:rsid w:val="4A4C2273"/>
    <w:rsid w:val="4A5144FD"/>
    <w:rsid w:val="4A547DF1"/>
    <w:rsid w:val="4A5967BE"/>
    <w:rsid w:val="4A5B700A"/>
    <w:rsid w:val="4A626995"/>
    <w:rsid w:val="4A65319D"/>
    <w:rsid w:val="4A653DAC"/>
    <w:rsid w:val="4A662E1D"/>
    <w:rsid w:val="4A69564B"/>
    <w:rsid w:val="4A7459B6"/>
    <w:rsid w:val="4A8133AC"/>
    <w:rsid w:val="4A876BD5"/>
    <w:rsid w:val="4AA25380"/>
    <w:rsid w:val="4AAD027F"/>
    <w:rsid w:val="4AAF2318"/>
    <w:rsid w:val="4AB11F98"/>
    <w:rsid w:val="4AB2329C"/>
    <w:rsid w:val="4AB30D1E"/>
    <w:rsid w:val="4AB5641F"/>
    <w:rsid w:val="4ABE12AD"/>
    <w:rsid w:val="4AC40AD3"/>
    <w:rsid w:val="4ACA27B2"/>
    <w:rsid w:val="4AD856DA"/>
    <w:rsid w:val="4AE271AB"/>
    <w:rsid w:val="4AFD7739"/>
    <w:rsid w:val="4B151CBC"/>
    <w:rsid w:val="4B15553F"/>
    <w:rsid w:val="4B1A4FF3"/>
    <w:rsid w:val="4B2E23F0"/>
    <w:rsid w:val="4B2E570F"/>
    <w:rsid w:val="4B3043BA"/>
    <w:rsid w:val="4B335C59"/>
    <w:rsid w:val="4B447E66"/>
    <w:rsid w:val="4B45028D"/>
    <w:rsid w:val="4B46598C"/>
    <w:rsid w:val="4B4D5699"/>
    <w:rsid w:val="4B517E8D"/>
    <w:rsid w:val="4B5A31E5"/>
    <w:rsid w:val="4B5BEE36"/>
    <w:rsid w:val="4B5F55B3"/>
    <w:rsid w:val="4B62209A"/>
    <w:rsid w:val="4B6F10D1"/>
    <w:rsid w:val="4B8357E4"/>
    <w:rsid w:val="4B891F50"/>
    <w:rsid w:val="4B8D228F"/>
    <w:rsid w:val="4B92038C"/>
    <w:rsid w:val="4B9D671D"/>
    <w:rsid w:val="4BA33C6C"/>
    <w:rsid w:val="4BAF6637"/>
    <w:rsid w:val="4BB11B3A"/>
    <w:rsid w:val="4BB26B7D"/>
    <w:rsid w:val="4BBF74EC"/>
    <w:rsid w:val="4BC42D59"/>
    <w:rsid w:val="4BC62629"/>
    <w:rsid w:val="4BC9027E"/>
    <w:rsid w:val="4BD400C4"/>
    <w:rsid w:val="4BE1398E"/>
    <w:rsid w:val="4BE156B5"/>
    <w:rsid w:val="4BE72014"/>
    <w:rsid w:val="4BED4059"/>
    <w:rsid w:val="4BEE4308"/>
    <w:rsid w:val="4BF5394C"/>
    <w:rsid w:val="4BF821AF"/>
    <w:rsid w:val="4BFA0524"/>
    <w:rsid w:val="4BFB6776"/>
    <w:rsid w:val="4BFE1DC3"/>
    <w:rsid w:val="4C074703"/>
    <w:rsid w:val="4C121D12"/>
    <w:rsid w:val="4C3452BF"/>
    <w:rsid w:val="4C380B1A"/>
    <w:rsid w:val="4C6251E1"/>
    <w:rsid w:val="4C657AFB"/>
    <w:rsid w:val="4C6A0691"/>
    <w:rsid w:val="4C7279FA"/>
    <w:rsid w:val="4C7E1178"/>
    <w:rsid w:val="4C827C94"/>
    <w:rsid w:val="4C871DB8"/>
    <w:rsid w:val="4C8A7AFA"/>
    <w:rsid w:val="4CAA1F4A"/>
    <w:rsid w:val="4CAC0AD9"/>
    <w:rsid w:val="4CB052E1"/>
    <w:rsid w:val="4CC55583"/>
    <w:rsid w:val="4CCF596A"/>
    <w:rsid w:val="4CD11285"/>
    <w:rsid w:val="4CD928A1"/>
    <w:rsid w:val="4CDC1628"/>
    <w:rsid w:val="4CE865CF"/>
    <w:rsid w:val="4CF04B5C"/>
    <w:rsid w:val="4CF22C41"/>
    <w:rsid w:val="4CFE69B1"/>
    <w:rsid w:val="4D090A1F"/>
    <w:rsid w:val="4D0C06BA"/>
    <w:rsid w:val="4D1107FD"/>
    <w:rsid w:val="4D15661C"/>
    <w:rsid w:val="4D160508"/>
    <w:rsid w:val="4D267823"/>
    <w:rsid w:val="4D2A7D91"/>
    <w:rsid w:val="4D2B4FE7"/>
    <w:rsid w:val="4D2E492A"/>
    <w:rsid w:val="4D313179"/>
    <w:rsid w:val="4D331F40"/>
    <w:rsid w:val="4D341EAC"/>
    <w:rsid w:val="4D34553A"/>
    <w:rsid w:val="4D3651B9"/>
    <w:rsid w:val="4D39613E"/>
    <w:rsid w:val="4D396183"/>
    <w:rsid w:val="4D3C534E"/>
    <w:rsid w:val="4D3D2DBF"/>
    <w:rsid w:val="4D4322D1"/>
    <w:rsid w:val="4D536CE8"/>
    <w:rsid w:val="4D537EEC"/>
    <w:rsid w:val="4D601964"/>
    <w:rsid w:val="4D636B45"/>
    <w:rsid w:val="4D673998"/>
    <w:rsid w:val="4D6756A5"/>
    <w:rsid w:val="4D677E3B"/>
    <w:rsid w:val="4D6B4150"/>
    <w:rsid w:val="4D6C5694"/>
    <w:rsid w:val="4D6D5452"/>
    <w:rsid w:val="4D720544"/>
    <w:rsid w:val="4D732CDE"/>
    <w:rsid w:val="4D743C0B"/>
    <w:rsid w:val="4D7550D0"/>
    <w:rsid w:val="4D7F33D7"/>
    <w:rsid w:val="4D88228C"/>
    <w:rsid w:val="4D8B3B2A"/>
    <w:rsid w:val="4D99525E"/>
    <w:rsid w:val="4D9A5B1B"/>
    <w:rsid w:val="4D9C5D37"/>
    <w:rsid w:val="4DAE20A0"/>
    <w:rsid w:val="4DBA286F"/>
    <w:rsid w:val="4DBD720E"/>
    <w:rsid w:val="4DC0511E"/>
    <w:rsid w:val="4DCC4C78"/>
    <w:rsid w:val="4DD43DBE"/>
    <w:rsid w:val="4DD45334"/>
    <w:rsid w:val="4DD454D1"/>
    <w:rsid w:val="4DD72791"/>
    <w:rsid w:val="4DE230D4"/>
    <w:rsid w:val="4DE41E5A"/>
    <w:rsid w:val="4DE65204"/>
    <w:rsid w:val="4DE66FB2"/>
    <w:rsid w:val="4DE74FDD"/>
    <w:rsid w:val="4DEE027A"/>
    <w:rsid w:val="4DF46871"/>
    <w:rsid w:val="4DF66DDC"/>
    <w:rsid w:val="4DF94F37"/>
    <w:rsid w:val="4DFA480C"/>
    <w:rsid w:val="4DFF0074"/>
    <w:rsid w:val="4E0062C6"/>
    <w:rsid w:val="4E0631B0"/>
    <w:rsid w:val="4E0F0720"/>
    <w:rsid w:val="4E19322E"/>
    <w:rsid w:val="4E1F0BAF"/>
    <w:rsid w:val="4E200716"/>
    <w:rsid w:val="4E261AA5"/>
    <w:rsid w:val="4E2875CB"/>
    <w:rsid w:val="4E355844"/>
    <w:rsid w:val="4E375A60"/>
    <w:rsid w:val="4E3A10AC"/>
    <w:rsid w:val="4E3A2A49"/>
    <w:rsid w:val="4E41068C"/>
    <w:rsid w:val="4E4C150B"/>
    <w:rsid w:val="4E4E741F"/>
    <w:rsid w:val="4E516B22"/>
    <w:rsid w:val="4E545991"/>
    <w:rsid w:val="4E550E94"/>
    <w:rsid w:val="4E557C94"/>
    <w:rsid w:val="4E571CB8"/>
    <w:rsid w:val="4E5D62A1"/>
    <w:rsid w:val="4E6D3230"/>
    <w:rsid w:val="4E703C3C"/>
    <w:rsid w:val="4E760ECF"/>
    <w:rsid w:val="4E775E5C"/>
    <w:rsid w:val="4E875D21"/>
    <w:rsid w:val="4E914171"/>
    <w:rsid w:val="4E930FA3"/>
    <w:rsid w:val="4E9B5FEF"/>
    <w:rsid w:val="4EA4317A"/>
    <w:rsid w:val="4EAF1A9A"/>
    <w:rsid w:val="4EB359AB"/>
    <w:rsid w:val="4EB4342C"/>
    <w:rsid w:val="4EB50EAE"/>
    <w:rsid w:val="4EB86669"/>
    <w:rsid w:val="4EC2357B"/>
    <w:rsid w:val="4EC314C8"/>
    <w:rsid w:val="4ED04F5B"/>
    <w:rsid w:val="4ED626E7"/>
    <w:rsid w:val="4EE72FE2"/>
    <w:rsid w:val="4EE74D90"/>
    <w:rsid w:val="4EEE25C2"/>
    <w:rsid w:val="4EF43951"/>
    <w:rsid w:val="4EF46414"/>
    <w:rsid w:val="4EF61477"/>
    <w:rsid w:val="4EF93CB2"/>
    <w:rsid w:val="4EF94FE3"/>
    <w:rsid w:val="4F0E67C1"/>
    <w:rsid w:val="4F1162B1"/>
    <w:rsid w:val="4F1418FD"/>
    <w:rsid w:val="4F1F055D"/>
    <w:rsid w:val="4F2676B5"/>
    <w:rsid w:val="4F2733FA"/>
    <w:rsid w:val="4F2B090E"/>
    <w:rsid w:val="4F4E12B3"/>
    <w:rsid w:val="4F50255A"/>
    <w:rsid w:val="4F5148FF"/>
    <w:rsid w:val="4F7505EE"/>
    <w:rsid w:val="4F7A20A8"/>
    <w:rsid w:val="4F7D56F4"/>
    <w:rsid w:val="4F7F767D"/>
    <w:rsid w:val="4F943D9F"/>
    <w:rsid w:val="4FB01626"/>
    <w:rsid w:val="4FB0334F"/>
    <w:rsid w:val="4FB15401"/>
    <w:rsid w:val="4FB21355"/>
    <w:rsid w:val="4FB82BD0"/>
    <w:rsid w:val="4FB96743"/>
    <w:rsid w:val="4FC04443"/>
    <w:rsid w:val="4FC41575"/>
    <w:rsid w:val="4FCD667C"/>
    <w:rsid w:val="4FD05B13"/>
    <w:rsid w:val="4FD12E75"/>
    <w:rsid w:val="4FDB6712"/>
    <w:rsid w:val="4FEF31B4"/>
    <w:rsid w:val="4FF05FF2"/>
    <w:rsid w:val="4FFE62DF"/>
    <w:rsid w:val="4FFF663D"/>
    <w:rsid w:val="50081462"/>
    <w:rsid w:val="501156E2"/>
    <w:rsid w:val="5012466D"/>
    <w:rsid w:val="501C315F"/>
    <w:rsid w:val="501D717B"/>
    <w:rsid w:val="50281B04"/>
    <w:rsid w:val="50342624"/>
    <w:rsid w:val="504306EC"/>
    <w:rsid w:val="505674EE"/>
    <w:rsid w:val="505C7A00"/>
    <w:rsid w:val="505C7F65"/>
    <w:rsid w:val="505E3468"/>
    <w:rsid w:val="50610B72"/>
    <w:rsid w:val="506D39BB"/>
    <w:rsid w:val="50714687"/>
    <w:rsid w:val="50715259"/>
    <w:rsid w:val="5074510C"/>
    <w:rsid w:val="50795316"/>
    <w:rsid w:val="507A7515"/>
    <w:rsid w:val="507B7E86"/>
    <w:rsid w:val="50923421"/>
    <w:rsid w:val="509D67D0"/>
    <w:rsid w:val="509D7168"/>
    <w:rsid w:val="50A8054F"/>
    <w:rsid w:val="50B22EF2"/>
    <w:rsid w:val="50B40B13"/>
    <w:rsid w:val="50B62C6F"/>
    <w:rsid w:val="50C067B2"/>
    <w:rsid w:val="50D21228"/>
    <w:rsid w:val="50D41344"/>
    <w:rsid w:val="50D94BAC"/>
    <w:rsid w:val="50EB0ACD"/>
    <w:rsid w:val="50ED7D32"/>
    <w:rsid w:val="50F413DD"/>
    <w:rsid w:val="50F54865"/>
    <w:rsid w:val="50F934A0"/>
    <w:rsid w:val="50FD06D6"/>
    <w:rsid w:val="51033699"/>
    <w:rsid w:val="51051E45"/>
    <w:rsid w:val="51072BF7"/>
    <w:rsid w:val="510E7D88"/>
    <w:rsid w:val="5116195C"/>
    <w:rsid w:val="511A67A2"/>
    <w:rsid w:val="511D6814"/>
    <w:rsid w:val="511E6A63"/>
    <w:rsid w:val="51204589"/>
    <w:rsid w:val="512322CB"/>
    <w:rsid w:val="51363DAD"/>
    <w:rsid w:val="51365736"/>
    <w:rsid w:val="513D08D8"/>
    <w:rsid w:val="513E26CB"/>
    <w:rsid w:val="514B3CFC"/>
    <w:rsid w:val="514E10F6"/>
    <w:rsid w:val="51581F75"/>
    <w:rsid w:val="515C14C3"/>
    <w:rsid w:val="51651C94"/>
    <w:rsid w:val="516A1CA8"/>
    <w:rsid w:val="516B0122"/>
    <w:rsid w:val="517123ED"/>
    <w:rsid w:val="51764AF1"/>
    <w:rsid w:val="51785239"/>
    <w:rsid w:val="51825244"/>
    <w:rsid w:val="518C60C3"/>
    <w:rsid w:val="519277D2"/>
    <w:rsid w:val="519C08F1"/>
    <w:rsid w:val="51A32658"/>
    <w:rsid w:val="51AB6549"/>
    <w:rsid w:val="51AF590D"/>
    <w:rsid w:val="51AF7912"/>
    <w:rsid w:val="51B40BB6"/>
    <w:rsid w:val="51B74F20"/>
    <w:rsid w:val="51BA6943"/>
    <w:rsid w:val="51C01DAA"/>
    <w:rsid w:val="51C20B31"/>
    <w:rsid w:val="51C27D36"/>
    <w:rsid w:val="51C66CCF"/>
    <w:rsid w:val="51CB2747"/>
    <w:rsid w:val="51CE0489"/>
    <w:rsid w:val="51D442CE"/>
    <w:rsid w:val="51D51CAE"/>
    <w:rsid w:val="51D5415B"/>
    <w:rsid w:val="51D67DB1"/>
    <w:rsid w:val="51E27A91"/>
    <w:rsid w:val="51E731C5"/>
    <w:rsid w:val="51E73E42"/>
    <w:rsid w:val="51F83758"/>
    <w:rsid w:val="52067C23"/>
    <w:rsid w:val="521A1920"/>
    <w:rsid w:val="5223404D"/>
    <w:rsid w:val="52302EF2"/>
    <w:rsid w:val="52344790"/>
    <w:rsid w:val="523522B6"/>
    <w:rsid w:val="523A09B3"/>
    <w:rsid w:val="52461B27"/>
    <w:rsid w:val="524A3FB4"/>
    <w:rsid w:val="52546BE0"/>
    <w:rsid w:val="5258273E"/>
    <w:rsid w:val="5265033A"/>
    <w:rsid w:val="526770C0"/>
    <w:rsid w:val="5268528B"/>
    <w:rsid w:val="527079D0"/>
    <w:rsid w:val="5277735B"/>
    <w:rsid w:val="527903F5"/>
    <w:rsid w:val="527C1C93"/>
    <w:rsid w:val="527D59E1"/>
    <w:rsid w:val="5282529F"/>
    <w:rsid w:val="528775F5"/>
    <w:rsid w:val="529B0B2F"/>
    <w:rsid w:val="52A41123"/>
    <w:rsid w:val="52AB2578"/>
    <w:rsid w:val="52B129B7"/>
    <w:rsid w:val="52BE405A"/>
    <w:rsid w:val="52C33D66"/>
    <w:rsid w:val="52C5188C"/>
    <w:rsid w:val="52C91423"/>
    <w:rsid w:val="52D67374"/>
    <w:rsid w:val="52DB2E5E"/>
    <w:rsid w:val="52E26A0A"/>
    <w:rsid w:val="52E837CD"/>
    <w:rsid w:val="52E93F07"/>
    <w:rsid w:val="52EB5004"/>
    <w:rsid w:val="52EC506B"/>
    <w:rsid w:val="52EC7319"/>
    <w:rsid w:val="52EF7E07"/>
    <w:rsid w:val="52F42171"/>
    <w:rsid w:val="52F67C97"/>
    <w:rsid w:val="52FA40B1"/>
    <w:rsid w:val="52FD37D9"/>
    <w:rsid w:val="53004E49"/>
    <w:rsid w:val="53034162"/>
    <w:rsid w:val="530A434B"/>
    <w:rsid w:val="53114AD1"/>
    <w:rsid w:val="53135C27"/>
    <w:rsid w:val="53171462"/>
    <w:rsid w:val="531E556A"/>
    <w:rsid w:val="53252976"/>
    <w:rsid w:val="532716FD"/>
    <w:rsid w:val="532F31A9"/>
    <w:rsid w:val="532F3286"/>
    <w:rsid w:val="53363B55"/>
    <w:rsid w:val="5338205E"/>
    <w:rsid w:val="533C1422"/>
    <w:rsid w:val="533F163E"/>
    <w:rsid w:val="534741B0"/>
    <w:rsid w:val="534A5134"/>
    <w:rsid w:val="534E16A9"/>
    <w:rsid w:val="53583FF3"/>
    <w:rsid w:val="535B2E50"/>
    <w:rsid w:val="53654E1D"/>
    <w:rsid w:val="538A011C"/>
    <w:rsid w:val="538C7AE3"/>
    <w:rsid w:val="539677B2"/>
    <w:rsid w:val="53A75FF1"/>
    <w:rsid w:val="53A81DB0"/>
    <w:rsid w:val="53B84F4D"/>
    <w:rsid w:val="53BA0CC5"/>
    <w:rsid w:val="53BA3826"/>
    <w:rsid w:val="53C102A5"/>
    <w:rsid w:val="53CC5EA8"/>
    <w:rsid w:val="53D41815"/>
    <w:rsid w:val="53D77AC9"/>
    <w:rsid w:val="53E126F6"/>
    <w:rsid w:val="53E36ED5"/>
    <w:rsid w:val="54063F0A"/>
    <w:rsid w:val="54077C82"/>
    <w:rsid w:val="54123B09"/>
    <w:rsid w:val="54146C3E"/>
    <w:rsid w:val="541D1728"/>
    <w:rsid w:val="542B571F"/>
    <w:rsid w:val="542E0F22"/>
    <w:rsid w:val="5430412D"/>
    <w:rsid w:val="543350B2"/>
    <w:rsid w:val="54336CC9"/>
    <w:rsid w:val="5438608E"/>
    <w:rsid w:val="543D5452"/>
    <w:rsid w:val="54401EDC"/>
    <w:rsid w:val="54653303"/>
    <w:rsid w:val="547200D6"/>
    <w:rsid w:val="5479292E"/>
    <w:rsid w:val="54813591"/>
    <w:rsid w:val="54840334"/>
    <w:rsid w:val="54874B3C"/>
    <w:rsid w:val="549239F0"/>
    <w:rsid w:val="54992FD0"/>
    <w:rsid w:val="54994D7E"/>
    <w:rsid w:val="549F610D"/>
    <w:rsid w:val="54B75204"/>
    <w:rsid w:val="54BC6CBF"/>
    <w:rsid w:val="54C3004D"/>
    <w:rsid w:val="54C90F5D"/>
    <w:rsid w:val="54D51B2F"/>
    <w:rsid w:val="54D779D8"/>
    <w:rsid w:val="54E26CF7"/>
    <w:rsid w:val="54E67898"/>
    <w:rsid w:val="54ED0C26"/>
    <w:rsid w:val="54ED6E78"/>
    <w:rsid w:val="54F55170"/>
    <w:rsid w:val="54F71AA5"/>
    <w:rsid w:val="54FE3450"/>
    <w:rsid w:val="55026486"/>
    <w:rsid w:val="55164621"/>
    <w:rsid w:val="55226F39"/>
    <w:rsid w:val="55230100"/>
    <w:rsid w:val="55326F81"/>
    <w:rsid w:val="5540202B"/>
    <w:rsid w:val="55450A62"/>
    <w:rsid w:val="554C3B9F"/>
    <w:rsid w:val="554D7917"/>
    <w:rsid w:val="555313D1"/>
    <w:rsid w:val="55537708"/>
    <w:rsid w:val="55560EC1"/>
    <w:rsid w:val="555667CB"/>
    <w:rsid w:val="555E7D76"/>
    <w:rsid w:val="55690BF5"/>
    <w:rsid w:val="55704ABA"/>
    <w:rsid w:val="557430F6"/>
    <w:rsid w:val="55904808"/>
    <w:rsid w:val="55964CF9"/>
    <w:rsid w:val="55A15289"/>
    <w:rsid w:val="55A3400F"/>
    <w:rsid w:val="55AE2AAB"/>
    <w:rsid w:val="55B20DA6"/>
    <w:rsid w:val="55B61960"/>
    <w:rsid w:val="55B6370E"/>
    <w:rsid w:val="55C135BF"/>
    <w:rsid w:val="55C20305"/>
    <w:rsid w:val="55C3384A"/>
    <w:rsid w:val="55D24D26"/>
    <w:rsid w:val="55D36D5C"/>
    <w:rsid w:val="55D43B94"/>
    <w:rsid w:val="55DF2B6F"/>
    <w:rsid w:val="55E06161"/>
    <w:rsid w:val="55E524FA"/>
    <w:rsid w:val="55EC22A5"/>
    <w:rsid w:val="55F02AE1"/>
    <w:rsid w:val="55FF3307"/>
    <w:rsid w:val="56052DAF"/>
    <w:rsid w:val="5605438B"/>
    <w:rsid w:val="560817B5"/>
    <w:rsid w:val="56091A90"/>
    <w:rsid w:val="56183FCE"/>
    <w:rsid w:val="561D553B"/>
    <w:rsid w:val="561F3061"/>
    <w:rsid w:val="56220DA3"/>
    <w:rsid w:val="5623409C"/>
    <w:rsid w:val="56244B1C"/>
    <w:rsid w:val="562E14F6"/>
    <w:rsid w:val="562E599A"/>
    <w:rsid w:val="563C2632"/>
    <w:rsid w:val="56503922"/>
    <w:rsid w:val="56535401"/>
    <w:rsid w:val="565717FF"/>
    <w:rsid w:val="565B7F3A"/>
    <w:rsid w:val="565C123F"/>
    <w:rsid w:val="566540CD"/>
    <w:rsid w:val="567A0BDF"/>
    <w:rsid w:val="56815ACA"/>
    <w:rsid w:val="568376D6"/>
    <w:rsid w:val="56861332"/>
    <w:rsid w:val="56876E58"/>
    <w:rsid w:val="568B6949"/>
    <w:rsid w:val="568D446F"/>
    <w:rsid w:val="568E6439"/>
    <w:rsid w:val="56934A0C"/>
    <w:rsid w:val="56951575"/>
    <w:rsid w:val="56A9133E"/>
    <w:rsid w:val="56AB6FEB"/>
    <w:rsid w:val="56AC22C3"/>
    <w:rsid w:val="56B539C6"/>
    <w:rsid w:val="56B95D55"/>
    <w:rsid w:val="56BF7C5F"/>
    <w:rsid w:val="56C105BC"/>
    <w:rsid w:val="56D34701"/>
    <w:rsid w:val="56DA628A"/>
    <w:rsid w:val="56DE116E"/>
    <w:rsid w:val="56E10C5F"/>
    <w:rsid w:val="56E322E1"/>
    <w:rsid w:val="56E4241D"/>
    <w:rsid w:val="56EF5E54"/>
    <w:rsid w:val="56FC33A3"/>
    <w:rsid w:val="56FD5BF6"/>
    <w:rsid w:val="57081D47"/>
    <w:rsid w:val="570F757A"/>
    <w:rsid w:val="5714693E"/>
    <w:rsid w:val="571B7CCD"/>
    <w:rsid w:val="571F34FB"/>
    <w:rsid w:val="571F7091"/>
    <w:rsid w:val="5728768E"/>
    <w:rsid w:val="572B4D8F"/>
    <w:rsid w:val="57304A9B"/>
    <w:rsid w:val="5732471A"/>
    <w:rsid w:val="573945F7"/>
    <w:rsid w:val="574A5644"/>
    <w:rsid w:val="574D1E50"/>
    <w:rsid w:val="57500E33"/>
    <w:rsid w:val="57511940"/>
    <w:rsid w:val="575326D1"/>
    <w:rsid w:val="57560A2F"/>
    <w:rsid w:val="57601B83"/>
    <w:rsid w:val="57622EEB"/>
    <w:rsid w:val="576D604E"/>
    <w:rsid w:val="57715B3F"/>
    <w:rsid w:val="577603EC"/>
    <w:rsid w:val="5778511F"/>
    <w:rsid w:val="57796194"/>
    <w:rsid w:val="577B076B"/>
    <w:rsid w:val="577F16B1"/>
    <w:rsid w:val="578C4726"/>
    <w:rsid w:val="57905DB9"/>
    <w:rsid w:val="57914433"/>
    <w:rsid w:val="579730CB"/>
    <w:rsid w:val="579831C5"/>
    <w:rsid w:val="57995923"/>
    <w:rsid w:val="57A027D0"/>
    <w:rsid w:val="57B87DA9"/>
    <w:rsid w:val="57BB7307"/>
    <w:rsid w:val="57BE4AFC"/>
    <w:rsid w:val="57C021C8"/>
    <w:rsid w:val="57D83FAF"/>
    <w:rsid w:val="57E37481"/>
    <w:rsid w:val="57E767C7"/>
    <w:rsid w:val="57EBF7A8"/>
    <w:rsid w:val="57ED4E4E"/>
    <w:rsid w:val="57F542C9"/>
    <w:rsid w:val="57F66044"/>
    <w:rsid w:val="57F8000E"/>
    <w:rsid w:val="57F944E3"/>
    <w:rsid w:val="57F95178"/>
    <w:rsid w:val="57FD3876"/>
    <w:rsid w:val="580A5802"/>
    <w:rsid w:val="581035A9"/>
    <w:rsid w:val="5814296E"/>
    <w:rsid w:val="581F309E"/>
    <w:rsid w:val="58247055"/>
    <w:rsid w:val="582662AC"/>
    <w:rsid w:val="58273D2E"/>
    <w:rsid w:val="583067EF"/>
    <w:rsid w:val="58323CA7"/>
    <w:rsid w:val="583354EA"/>
    <w:rsid w:val="58347B5F"/>
    <w:rsid w:val="583D5ED1"/>
    <w:rsid w:val="58545AF7"/>
    <w:rsid w:val="58570FE0"/>
    <w:rsid w:val="58690F0C"/>
    <w:rsid w:val="586A351D"/>
    <w:rsid w:val="58704048"/>
    <w:rsid w:val="5874602B"/>
    <w:rsid w:val="587753D7"/>
    <w:rsid w:val="587B3263"/>
    <w:rsid w:val="58906498"/>
    <w:rsid w:val="589136D6"/>
    <w:rsid w:val="589233DD"/>
    <w:rsid w:val="58951DE3"/>
    <w:rsid w:val="58974CD2"/>
    <w:rsid w:val="58A65CBC"/>
    <w:rsid w:val="58AB5080"/>
    <w:rsid w:val="58AB67AF"/>
    <w:rsid w:val="58AC780A"/>
    <w:rsid w:val="58B46E15"/>
    <w:rsid w:val="58B9329D"/>
    <w:rsid w:val="58BF0B2C"/>
    <w:rsid w:val="58C3061C"/>
    <w:rsid w:val="58C3686E"/>
    <w:rsid w:val="58D06EBB"/>
    <w:rsid w:val="58D21C48"/>
    <w:rsid w:val="58D520FD"/>
    <w:rsid w:val="58D85309"/>
    <w:rsid w:val="58E10AA2"/>
    <w:rsid w:val="58E42340"/>
    <w:rsid w:val="58E55011"/>
    <w:rsid w:val="58EB1FE8"/>
    <w:rsid w:val="58EB36CF"/>
    <w:rsid w:val="58FE1654"/>
    <w:rsid w:val="590C4068"/>
    <w:rsid w:val="59126EAD"/>
    <w:rsid w:val="591304B3"/>
    <w:rsid w:val="5915699E"/>
    <w:rsid w:val="59182B18"/>
    <w:rsid w:val="5921524A"/>
    <w:rsid w:val="592941F7"/>
    <w:rsid w:val="592D3CE7"/>
    <w:rsid w:val="59317A63"/>
    <w:rsid w:val="59350DEE"/>
    <w:rsid w:val="593928F1"/>
    <w:rsid w:val="593E1362"/>
    <w:rsid w:val="595079D6"/>
    <w:rsid w:val="5954396A"/>
    <w:rsid w:val="59594ADC"/>
    <w:rsid w:val="595C45CC"/>
    <w:rsid w:val="595D3DAB"/>
    <w:rsid w:val="595DFE2D"/>
    <w:rsid w:val="59624E00"/>
    <w:rsid w:val="59637709"/>
    <w:rsid w:val="59646078"/>
    <w:rsid w:val="596A50AD"/>
    <w:rsid w:val="59774954"/>
    <w:rsid w:val="5979134F"/>
    <w:rsid w:val="597E6792"/>
    <w:rsid w:val="59810AE7"/>
    <w:rsid w:val="59826569"/>
    <w:rsid w:val="598361E9"/>
    <w:rsid w:val="59873015"/>
    <w:rsid w:val="59874BEF"/>
    <w:rsid w:val="59903C64"/>
    <w:rsid w:val="599770AA"/>
    <w:rsid w:val="599975CF"/>
    <w:rsid w:val="599B8EB9"/>
    <w:rsid w:val="59A246D5"/>
    <w:rsid w:val="59AB6638"/>
    <w:rsid w:val="59AB7363"/>
    <w:rsid w:val="59BF46DB"/>
    <w:rsid w:val="59C606AB"/>
    <w:rsid w:val="59D216B8"/>
    <w:rsid w:val="59DF051F"/>
    <w:rsid w:val="59DF53CD"/>
    <w:rsid w:val="59E16582"/>
    <w:rsid w:val="59E24AD2"/>
    <w:rsid w:val="59E72C8C"/>
    <w:rsid w:val="59EE5898"/>
    <w:rsid w:val="59F1740B"/>
    <w:rsid w:val="59FF2351"/>
    <w:rsid w:val="5A0507C0"/>
    <w:rsid w:val="5A0C4A03"/>
    <w:rsid w:val="5A0E034B"/>
    <w:rsid w:val="5A1B4488"/>
    <w:rsid w:val="5A1B5462"/>
    <w:rsid w:val="5A1B6236"/>
    <w:rsid w:val="5A1B7FE4"/>
    <w:rsid w:val="5A1D63E7"/>
    <w:rsid w:val="5A317807"/>
    <w:rsid w:val="5A3A7F15"/>
    <w:rsid w:val="5A44753A"/>
    <w:rsid w:val="5A4F2439"/>
    <w:rsid w:val="5A540ABF"/>
    <w:rsid w:val="5A6544C9"/>
    <w:rsid w:val="5A690D4F"/>
    <w:rsid w:val="5A781F79"/>
    <w:rsid w:val="5A7B6CD4"/>
    <w:rsid w:val="5A7C624D"/>
    <w:rsid w:val="5A89319F"/>
    <w:rsid w:val="5A8C6BB6"/>
    <w:rsid w:val="5A8D7133"/>
    <w:rsid w:val="5A9D30EE"/>
    <w:rsid w:val="5AA20705"/>
    <w:rsid w:val="5AA4622B"/>
    <w:rsid w:val="5AA93841"/>
    <w:rsid w:val="5AAA3A4D"/>
    <w:rsid w:val="5AAB4D51"/>
    <w:rsid w:val="5AB521E6"/>
    <w:rsid w:val="5ABB1768"/>
    <w:rsid w:val="5ABF12B7"/>
    <w:rsid w:val="5AC5499A"/>
    <w:rsid w:val="5ACC3E3E"/>
    <w:rsid w:val="5AD2718F"/>
    <w:rsid w:val="5AD30AFA"/>
    <w:rsid w:val="5ADA39FB"/>
    <w:rsid w:val="5AE03059"/>
    <w:rsid w:val="5AF02819"/>
    <w:rsid w:val="5AF44393"/>
    <w:rsid w:val="5B084A0C"/>
    <w:rsid w:val="5B0D5CEF"/>
    <w:rsid w:val="5B0E7B48"/>
    <w:rsid w:val="5B1765FF"/>
    <w:rsid w:val="5B1C04B7"/>
    <w:rsid w:val="5B253396"/>
    <w:rsid w:val="5B296730"/>
    <w:rsid w:val="5B2A4F24"/>
    <w:rsid w:val="5B302C25"/>
    <w:rsid w:val="5B355BAF"/>
    <w:rsid w:val="5B425BAA"/>
    <w:rsid w:val="5B4377F2"/>
    <w:rsid w:val="5B47134C"/>
    <w:rsid w:val="5B4F43E9"/>
    <w:rsid w:val="5B501C5C"/>
    <w:rsid w:val="5B503CBD"/>
    <w:rsid w:val="5B5A4B3C"/>
    <w:rsid w:val="5B6D5280"/>
    <w:rsid w:val="5B7976B8"/>
    <w:rsid w:val="5B7E72A8"/>
    <w:rsid w:val="5B8B1789"/>
    <w:rsid w:val="5B8E5344"/>
    <w:rsid w:val="5B906046"/>
    <w:rsid w:val="5B9B13DC"/>
    <w:rsid w:val="5BA3796A"/>
    <w:rsid w:val="5BA57168"/>
    <w:rsid w:val="5BB64468"/>
    <w:rsid w:val="5BBA55DA"/>
    <w:rsid w:val="5BCC5A39"/>
    <w:rsid w:val="5BD112A2"/>
    <w:rsid w:val="5BD844BF"/>
    <w:rsid w:val="5BD91F40"/>
    <w:rsid w:val="5BDF23D2"/>
    <w:rsid w:val="5BE921DB"/>
    <w:rsid w:val="5BE96957"/>
    <w:rsid w:val="5BF175E7"/>
    <w:rsid w:val="5BF86F72"/>
    <w:rsid w:val="5BF925A6"/>
    <w:rsid w:val="5C0D1BAE"/>
    <w:rsid w:val="5C1178F0"/>
    <w:rsid w:val="5C2C297C"/>
    <w:rsid w:val="5C317F92"/>
    <w:rsid w:val="5C3C0960"/>
    <w:rsid w:val="5C3F445D"/>
    <w:rsid w:val="5C403D31"/>
    <w:rsid w:val="5C425CFC"/>
    <w:rsid w:val="5C435D6C"/>
    <w:rsid w:val="5C4516B9"/>
    <w:rsid w:val="5C4C11DD"/>
    <w:rsid w:val="5C4E40FD"/>
    <w:rsid w:val="5C515F3F"/>
    <w:rsid w:val="5C56150A"/>
    <w:rsid w:val="5C5C6C96"/>
    <w:rsid w:val="5C602626"/>
    <w:rsid w:val="5C62014C"/>
    <w:rsid w:val="5C6C0FCA"/>
    <w:rsid w:val="5C702869"/>
    <w:rsid w:val="5C852059"/>
    <w:rsid w:val="5C855BE8"/>
    <w:rsid w:val="5C910A31"/>
    <w:rsid w:val="5C9347A9"/>
    <w:rsid w:val="5C9522F3"/>
    <w:rsid w:val="5C9F180D"/>
    <w:rsid w:val="5CA7000F"/>
    <w:rsid w:val="5CAA4817"/>
    <w:rsid w:val="5CB337F7"/>
    <w:rsid w:val="5CBB2E53"/>
    <w:rsid w:val="5CBF10FA"/>
    <w:rsid w:val="5CBF734C"/>
    <w:rsid w:val="5CCA6F71"/>
    <w:rsid w:val="5CCB7A9F"/>
    <w:rsid w:val="5CCE3752"/>
    <w:rsid w:val="5CD60B5E"/>
    <w:rsid w:val="5CDE5F6B"/>
    <w:rsid w:val="5CE24971"/>
    <w:rsid w:val="5CEB6393"/>
    <w:rsid w:val="5CED0F9A"/>
    <w:rsid w:val="5CF50C1D"/>
    <w:rsid w:val="5CFD7E74"/>
    <w:rsid w:val="5CFF1E3E"/>
    <w:rsid w:val="5D027239"/>
    <w:rsid w:val="5D07484F"/>
    <w:rsid w:val="5D0C4BC1"/>
    <w:rsid w:val="5D136571"/>
    <w:rsid w:val="5D1E0517"/>
    <w:rsid w:val="5D1F428F"/>
    <w:rsid w:val="5D207CD9"/>
    <w:rsid w:val="5D2418A5"/>
    <w:rsid w:val="5D2A4D65"/>
    <w:rsid w:val="5D323FC2"/>
    <w:rsid w:val="5D373386"/>
    <w:rsid w:val="5D406F09"/>
    <w:rsid w:val="5D470262"/>
    <w:rsid w:val="5D545BA9"/>
    <w:rsid w:val="5D552D03"/>
    <w:rsid w:val="5D5A7075"/>
    <w:rsid w:val="5D662079"/>
    <w:rsid w:val="5D777C27"/>
    <w:rsid w:val="5D7F3DAB"/>
    <w:rsid w:val="5D820C77"/>
    <w:rsid w:val="5D926300"/>
    <w:rsid w:val="5DA212E7"/>
    <w:rsid w:val="5DA546AF"/>
    <w:rsid w:val="5DA54794"/>
    <w:rsid w:val="5DD9443E"/>
    <w:rsid w:val="5DDC260A"/>
    <w:rsid w:val="5DDD390F"/>
    <w:rsid w:val="5DE80ADC"/>
    <w:rsid w:val="5DEC23C3"/>
    <w:rsid w:val="5DEF1EB3"/>
    <w:rsid w:val="5DF20031"/>
    <w:rsid w:val="5DF9688E"/>
    <w:rsid w:val="5DFB4B1B"/>
    <w:rsid w:val="5E014DC8"/>
    <w:rsid w:val="5E021BDC"/>
    <w:rsid w:val="5E0F60B1"/>
    <w:rsid w:val="5E174F66"/>
    <w:rsid w:val="5E23390B"/>
    <w:rsid w:val="5E255ABC"/>
    <w:rsid w:val="5E257683"/>
    <w:rsid w:val="5E2D1110"/>
    <w:rsid w:val="5E482FBE"/>
    <w:rsid w:val="5E4A64C2"/>
    <w:rsid w:val="5E515E4C"/>
    <w:rsid w:val="5E6C521E"/>
    <w:rsid w:val="5E7423B8"/>
    <w:rsid w:val="5E783D07"/>
    <w:rsid w:val="5E7A21F1"/>
    <w:rsid w:val="5E7B340D"/>
    <w:rsid w:val="5E7B49D2"/>
    <w:rsid w:val="5E857144"/>
    <w:rsid w:val="5E8C7702"/>
    <w:rsid w:val="5E9A1E1F"/>
    <w:rsid w:val="5EA80A59"/>
    <w:rsid w:val="5EAA7B89"/>
    <w:rsid w:val="5EB427B5"/>
    <w:rsid w:val="5EBF1051"/>
    <w:rsid w:val="5ECA2293"/>
    <w:rsid w:val="5ED2780B"/>
    <w:rsid w:val="5ED46B20"/>
    <w:rsid w:val="5ED5070F"/>
    <w:rsid w:val="5ED75D25"/>
    <w:rsid w:val="5EDD7F5D"/>
    <w:rsid w:val="5EDF7832"/>
    <w:rsid w:val="5EE376EA"/>
    <w:rsid w:val="5EE4309A"/>
    <w:rsid w:val="5EEEC381"/>
    <w:rsid w:val="5EEF11CE"/>
    <w:rsid w:val="5EF3152F"/>
    <w:rsid w:val="5EFD5F0A"/>
    <w:rsid w:val="5F0279C4"/>
    <w:rsid w:val="5F0E0117"/>
    <w:rsid w:val="5F125DF8"/>
    <w:rsid w:val="5F225970"/>
    <w:rsid w:val="5F2512EF"/>
    <w:rsid w:val="5F351942"/>
    <w:rsid w:val="5F3F2252"/>
    <w:rsid w:val="5F405755"/>
    <w:rsid w:val="5F473629"/>
    <w:rsid w:val="5F4A27E1"/>
    <w:rsid w:val="5F4D3255"/>
    <w:rsid w:val="5F51216C"/>
    <w:rsid w:val="5F517BED"/>
    <w:rsid w:val="5F5244A8"/>
    <w:rsid w:val="5F57199D"/>
    <w:rsid w:val="5F577E3F"/>
    <w:rsid w:val="5F5A4D23"/>
    <w:rsid w:val="5F5E7701"/>
    <w:rsid w:val="5F601622"/>
    <w:rsid w:val="5F713D25"/>
    <w:rsid w:val="5F8A5F66"/>
    <w:rsid w:val="5F9B3610"/>
    <w:rsid w:val="5F9E76ED"/>
    <w:rsid w:val="5FA32F55"/>
    <w:rsid w:val="5FAD2FF7"/>
    <w:rsid w:val="5FBE7D8F"/>
    <w:rsid w:val="5FC24A29"/>
    <w:rsid w:val="5FCA4DCB"/>
    <w:rsid w:val="5FCB6008"/>
    <w:rsid w:val="5FD81327"/>
    <w:rsid w:val="5FD92450"/>
    <w:rsid w:val="5FDD0BB6"/>
    <w:rsid w:val="5FDF7E90"/>
    <w:rsid w:val="5FE07D05"/>
    <w:rsid w:val="5FE13A7D"/>
    <w:rsid w:val="5FE315A4"/>
    <w:rsid w:val="5FE813E6"/>
    <w:rsid w:val="5FEA48E9"/>
    <w:rsid w:val="5FEB5BEE"/>
    <w:rsid w:val="5FEC3008"/>
    <w:rsid w:val="5FEF45F4"/>
    <w:rsid w:val="5FF564FD"/>
    <w:rsid w:val="5FFEAD44"/>
    <w:rsid w:val="60017C7C"/>
    <w:rsid w:val="60114363"/>
    <w:rsid w:val="60116111"/>
    <w:rsid w:val="6017124D"/>
    <w:rsid w:val="60171F35"/>
    <w:rsid w:val="601A7636"/>
    <w:rsid w:val="60275934"/>
    <w:rsid w:val="60297B7D"/>
    <w:rsid w:val="602A2D2E"/>
    <w:rsid w:val="602D40D8"/>
    <w:rsid w:val="60326087"/>
    <w:rsid w:val="60385CED"/>
    <w:rsid w:val="603E1BD1"/>
    <w:rsid w:val="60436538"/>
    <w:rsid w:val="604A33D1"/>
    <w:rsid w:val="604E3162"/>
    <w:rsid w:val="6051475F"/>
    <w:rsid w:val="60536275"/>
    <w:rsid w:val="60591866"/>
    <w:rsid w:val="60634492"/>
    <w:rsid w:val="60651FB9"/>
    <w:rsid w:val="6066021D"/>
    <w:rsid w:val="60682A7A"/>
    <w:rsid w:val="606A75CF"/>
    <w:rsid w:val="606E2944"/>
    <w:rsid w:val="607544CD"/>
    <w:rsid w:val="60766AF1"/>
    <w:rsid w:val="60786190"/>
    <w:rsid w:val="60830691"/>
    <w:rsid w:val="608337E2"/>
    <w:rsid w:val="60854409"/>
    <w:rsid w:val="609008FA"/>
    <w:rsid w:val="6094289E"/>
    <w:rsid w:val="60960285"/>
    <w:rsid w:val="60A54657"/>
    <w:rsid w:val="60AA35C5"/>
    <w:rsid w:val="60AC7BE7"/>
    <w:rsid w:val="60BA67A8"/>
    <w:rsid w:val="60C60DD4"/>
    <w:rsid w:val="60CE03DF"/>
    <w:rsid w:val="60CF23D1"/>
    <w:rsid w:val="60D81A4E"/>
    <w:rsid w:val="60D94755"/>
    <w:rsid w:val="60DA0BF8"/>
    <w:rsid w:val="60DB671F"/>
    <w:rsid w:val="60DF1D6B"/>
    <w:rsid w:val="60E24E4A"/>
    <w:rsid w:val="60EA3CA2"/>
    <w:rsid w:val="60EB4BB4"/>
    <w:rsid w:val="61010012"/>
    <w:rsid w:val="61017934"/>
    <w:rsid w:val="61021EFD"/>
    <w:rsid w:val="61045C75"/>
    <w:rsid w:val="610C322B"/>
    <w:rsid w:val="611759A9"/>
    <w:rsid w:val="611834CF"/>
    <w:rsid w:val="611E1462"/>
    <w:rsid w:val="612105D5"/>
    <w:rsid w:val="6127471F"/>
    <w:rsid w:val="612754C0"/>
    <w:rsid w:val="61291238"/>
    <w:rsid w:val="61294BB7"/>
    <w:rsid w:val="612B4FB0"/>
    <w:rsid w:val="612C016B"/>
    <w:rsid w:val="61314591"/>
    <w:rsid w:val="61380441"/>
    <w:rsid w:val="613C4296"/>
    <w:rsid w:val="614C4F26"/>
    <w:rsid w:val="616A3AE0"/>
    <w:rsid w:val="616E1341"/>
    <w:rsid w:val="6170330B"/>
    <w:rsid w:val="617D727E"/>
    <w:rsid w:val="61883090"/>
    <w:rsid w:val="619D55B4"/>
    <w:rsid w:val="61A23C3A"/>
    <w:rsid w:val="61A905CB"/>
    <w:rsid w:val="61AE5BE1"/>
    <w:rsid w:val="61AF40C9"/>
    <w:rsid w:val="61B03707"/>
    <w:rsid w:val="61BC02FE"/>
    <w:rsid w:val="61C379F2"/>
    <w:rsid w:val="61C60977"/>
    <w:rsid w:val="61D60C11"/>
    <w:rsid w:val="61DF7322"/>
    <w:rsid w:val="61E026E2"/>
    <w:rsid w:val="61E22C52"/>
    <w:rsid w:val="61E821B0"/>
    <w:rsid w:val="61F1723C"/>
    <w:rsid w:val="61F84AED"/>
    <w:rsid w:val="61FB4B51"/>
    <w:rsid w:val="62037CDB"/>
    <w:rsid w:val="620713E0"/>
    <w:rsid w:val="6211064A"/>
    <w:rsid w:val="62150B7D"/>
    <w:rsid w:val="621E68C3"/>
    <w:rsid w:val="622121FB"/>
    <w:rsid w:val="622A34BA"/>
    <w:rsid w:val="622C3B9E"/>
    <w:rsid w:val="622C5484"/>
    <w:rsid w:val="622D4D58"/>
    <w:rsid w:val="623B11F9"/>
    <w:rsid w:val="62402CDD"/>
    <w:rsid w:val="624102C0"/>
    <w:rsid w:val="62456545"/>
    <w:rsid w:val="6249475F"/>
    <w:rsid w:val="624B51DE"/>
    <w:rsid w:val="6251055B"/>
    <w:rsid w:val="62597ADE"/>
    <w:rsid w:val="62603BD2"/>
    <w:rsid w:val="6264738A"/>
    <w:rsid w:val="626544F2"/>
    <w:rsid w:val="626A1485"/>
    <w:rsid w:val="626E7E8B"/>
    <w:rsid w:val="6272582F"/>
    <w:rsid w:val="62731D94"/>
    <w:rsid w:val="62767495"/>
    <w:rsid w:val="62835411"/>
    <w:rsid w:val="629038C3"/>
    <w:rsid w:val="62A0377C"/>
    <w:rsid w:val="62B64D4D"/>
    <w:rsid w:val="62BC7E8A"/>
    <w:rsid w:val="62C0797A"/>
    <w:rsid w:val="62CD1B21"/>
    <w:rsid w:val="62CE02E9"/>
    <w:rsid w:val="62D068AA"/>
    <w:rsid w:val="62D83CB7"/>
    <w:rsid w:val="62DA4EE0"/>
    <w:rsid w:val="62EC69C1"/>
    <w:rsid w:val="62F12662"/>
    <w:rsid w:val="62F87114"/>
    <w:rsid w:val="62FB30A8"/>
    <w:rsid w:val="63027F93"/>
    <w:rsid w:val="63057105"/>
    <w:rsid w:val="631D4DCC"/>
    <w:rsid w:val="631D6B7A"/>
    <w:rsid w:val="632624E0"/>
    <w:rsid w:val="633F2762"/>
    <w:rsid w:val="63402869"/>
    <w:rsid w:val="63486A9F"/>
    <w:rsid w:val="634B193A"/>
    <w:rsid w:val="634E4F86"/>
    <w:rsid w:val="6352680D"/>
    <w:rsid w:val="63536A40"/>
    <w:rsid w:val="63541865"/>
    <w:rsid w:val="63584057"/>
    <w:rsid w:val="635D341B"/>
    <w:rsid w:val="635D4FAC"/>
    <w:rsid w:val="6372336A"/>
    <w:rsid w:val="637606BD"/>
    <w:rsid w:val="63792E03"/>
    <w:rsid w:val="63972DD1"/>
    <w:rsid w:val="639D0E96"/>
    <w:rsid w:val="639F57E1"/>
    <w:rsid w:val="63A13CBF"/>
    <w:rsid w:val="63A159FD"/>
    <w:rsid w:val="63A27AA9"/>
    <w:rsid w:val="63AD6150"/>
    <w:rsid w:val="63AE3C76"/>
    <w:rsid w:val="63B5131B"/>
    <w:rsid w:val="63B55C23"/>
    <w:rsid w:val="63BE035D"/>
    <w:rsid w:val="63E1404C"/>
    <w:rsid w:val="63E42EEF"/>
    <w:rsid w:val="63E783B7"/>
    <w:rsid w:val="63E853DA"/>
    <w:rsid w:val="63EA73A4"/>
    <w:rsid w:val="63EB4ECB"/>
    <w:rsid w:val="63ED7C79"/>
    <w:rsid w:val="63EE2B91"/>
    <w:rsid w:val="63EF49BB"/>
    <w:rsid w:val="63F25A88"/>
    <w:rsid w:val="64073A9D"/>
    <w:rsid w:val="64156F42"/>
    <w:rsid w:val="641A130C"/>
    <w:rsid w:val="641B0E4B"/>
    <w:rsid w:val="641D4AED"/>
    <w:rsid w:val="641E2BAA"/>
    <w:rsid w:val="6424218B"/>
    <w:rsid w:val="6425175A"/>
    <w:rsid w:val="642B10E5"/>
    <w:rsid w:val="64303B5B"/>
    <w:rsid w:val="64487C27"/>
    <w:rsid w:val="64495FE5"/>
    <w:rsid w:val="644C161A"/>
    <w:rsid w:val="644D018C"/>
    <w:rsid w:val="645038A3"/>
    <w:rsid w:val="64542A70"/>
    <w:rsid w:val="6458542D"/>
    <w:rsid w:val="645A3903"/>
    <w:rsid w:val="645A5BAC"/>
    <w:rsid w:val="645C6E93"/>
    <w:rsid w:val="645C76B6"/>
    <w:rsid w:val="645E38EF"/>
    <w:rsid w:val="64616F3B"/>
    <w:rsid w:val="6468287D"/>
    <w:rsid w:val="646E7A48"/>
    <w:rsid w:val="647153D0"/>
    <w:rsid w:val="6472739A"/>
    <w:rsid w:val="64760260"/>
    <w:rsid w:val="647B3267"/>
    <w:rsid w:val="64833355"/>
    <w:rsid w:val="6488096B"/>
    <w:rsid w:val="649015CE"/>
    <w:rsid w:val="64963088"/>
    <w:rsid w:val="64A17D10"/>
    <w:rsid w:val="64A70DF2"/>
    <w:rsid w:val="64A72DC6"/>
    <w:rsid w:val="64AE5E3B"/>
    <w:rsid w:val="64B17EC2"/>
    <w:rsid w:val="64B941CC"/>
    <w:rsid w:val="64BB664B"/>
    <w:rsid w:val="64BD6456"/>
    <w:rsid w:val="64BD6867"/>
    <w:rsid w:val="64BE438D"/>
    <w:rsid w:val="64C01EB3"/>
    <w:rsid w:val="64C612E4"/>
    <w:rsid w:val="64CD2E6D"/>
    <w:rsid w:val="64D31757"/>
    <w:rsid w:val="64D37E39"/>
    <w:rsid w:val="64DD469E"/>
    <w:rsid w:val="64E21E2A"/>
    <w:rsid w:val="64E43618"/>
    <w:rsid w:val="64EA775D"/>
    <w:rsid w:val="64EC0EFA"/>
    <w:rsid w:val="64F0304B"/>
    <w:rsid w:val="64F1206D"/>
    <w:rsid w:val="64F20549"/>
    <w:rsid w:val="64F2562B"/>
    <w:rsid w:val="64F74F29"/>
    <w:rsid w:val="65043C34"/>
    <w:rsid w:val="65085608"/>
    <w:rsid w:val="650C334B"/>
    <w:rsid w:val="651346D9"/>
    <w:rsid w:val="651B4274"/>
    <w:rsid w:val="651B4F6E"/>
    <w:rsid w:val="65220379"/>
    <w:rsid w:val="65276A93"/>
    <w:rsid w:val="652B6A8A"/>
    <w:rsid w:val="65347F69"/>
    <w:rsid w:val="65360CBB"/>
    <w:rsid w:val="653E4426"/>
    <w:rsid w:val="6545060B"/>
    <w:rsid w:val="654B3E73"/>
    <w:rsid w:val="654E74BF"/>
    <w:rsid w:val="655962D4"/>
    <w:rsid w:val="655B7E2E"/>
    <w:rsid w:val="655F01DD"/>
    <w:rsid w:val="655F16CC"/>
    <w:rsid w:val="655F347A"/>
    <w:rsid w:val="65680AED"/>
    <w:rsid w:val="65681823"/>
    <w:rsid w:val="656D07F8"/>
    <w:rsid w:val="65750EF0"/>
    <w:rsid w:val="65752381"/>
    <w:rsid w:val="657611B8"/>
    <w:rsid w:val="65813C15"/>
    <w:rsid w:val="65896749"/>
    <w:rsid w:val="658B24C1"/>
    <w:rsid w:val="658E3D60"/>
    <w:rsid w:val="65962C14"/>
    <w:rsid w:val="65A13A93"/>
    <w:rsid w:val="65A23D53"/>
    <w:rsid w:val="65A74E21"/>
    <w:rsid w:val="65AC2438"/>
    <w:rsid w:val="65AC729B"/>
    <w:rsid w:val="65B06CE3"/>
    <w:rsid w:val="65B44B9A"/>
    <w:rsid w:val="65CE3D15"/>
    <w:rsid w:val="65D26342"/>
    <w:rsid w:val="65D73958"/>
    <w:rsid w:val="65DD5527"/>
    <w:rsid w:val="65DF0A5F"/>
    <w:rsid w:val="65E329B5"/>
    <w:rsid w:val="65EE6398"/>
    <w:rsid w:val="65F54093"/>
    <w:rsid w:val="65F938CF"/>
    <w:rsid w:val="65FC2492"/>
    <w:rsid w:val="660109D5"/>
    <w:rsid w:val="6602511F"/>
    <w:rsid w:val="660A60F8"/>
    <w:rsid w:val="660B3602"/>
    <w:rsid w:val="660D4A4B"/>
    <w:rsid w:val="660E4EA0"/>
    <w:rsid w:val="660E6C4E"/>
    <w:rsid w:val="661A3845"/>
    <w:rsid w:val="6621433B"/>
    <w:rsid w:val="6624042A"/>
    <w:rsid w:val="66306773"/>
    <w:rsid w:val="66344907"/>
    <w:rsid w:val="66344D3E"/>
    <w:rsid w:val="66426252"/>
    <w:rsid w:val="6648015B"/>
    <w:rsid w:val="66495ED8"/>
    <w:rsid w:val="664C6B61"/>
    <w:rsid w:val="664D7777"/>
    <w:rsid w:val="665A015E"/>
    <w:rsid w:val="666F593F"/>
    <w:rsid w:val="667149FB"/>
    <w:rsid w:val="66794A10"/>
    <w:rsid w:val="667C62AE"/>
    <w:rsid w:val="66876D20"/>
    <w:rsid w:val="668E08CF"/>
    <w:rsid w:val="66925AD1"/>
    <w:rsid w:val="669B5DDA"/>
    <w:rsid w:val="66A27570"/>
    <w:rsid w:val="66AC1E92"/>
    <w:rsid w:val="66AD69B5"/>
    <w:rsid w:val="66AD7D14"/>
    <w:rsid w:val="66B37FED"/>
    <w:rsid w:val="66BB049A"/>
    <w:rsid w:val="66C20165"/>
    <w:rsid w:val="66C37A39"/>
    <w:rsid w:val="66CB0163"/>
    <w:rsid w:val="66D71736"/>
    <w:rsid w:val="66E97CE4"/>
    <w:rsid w:val="66FE4F15"/>
    <w:rsid w:val="67027D8E"/>
    <w:rsid w:val="670F2C7E"/>
    <w:rsid w:val="67107BA4"/>
    <w:rsid w:val="671B04DF"/>
    <w:rsid w:val="67236770"/>
    <w:rsid w:val="67242BCD"/>
    <w:rsid w:val="672F488E"/>
    <w:rsid w:val="67362901"/>
    <w:rsid w:val="673F2C72"/>
    <w:rsid w:val="674412F8"/>
    <w:rsid w:val="6744501E"/>
    <w:rsid w:val="6749577F"/>
    <w:rsid w:val="67524FE5"/>
    <w:rsid w:val="67547394"/>
    <w:rsid w:val="675A343C"/>
    <w:rsid w:val="676C6322"/>
    <w:rsid w:val="67760F4F"/>
    <w:rsid w:val="67786A75"/>
    <w:rsid w:val="677B6196"/>
    <w:rsid w:val="677D667D"/>
    <w:rsid w:val="67826BDE"/>
    <w:rsid w:val="67891733"/>
    <w:rsid w:val="67896ED4"/>
    <w:rsid w:val="678B52EF"/>
    <w:rsid w:val="67973300"/>
    <w:rsid w:val="67A400BF"/>
    <w:rsid w:val="67A725D7"/>
    <w:rsid w:val="67AE06E9"/>
    <w:rsid w:val="67AF1E61"/>
    <w:rsid w:val="67B04660"/>
    <w:rsid w:val="67B13D35"/>
    <w:rsid w:val="67B1772D"/>
    <w:rsid w:val="67B37AAD"/>
    <w:rsid w:val="67BB4BB4"/>
    <w:rsid w:val="67BC6533"/>
    <w:rsid w:val="67C41CBB"/>
    <w:rsid w:val="67CE48E7"/>
    <w:rsid w:val="67D758DA"/>
    <w:rsid w:val="67DF0AA1"/>
    <w:rsid w:val="67E433FF"/>
    <w:rsid w:val="67EC5907"/>
    <w:rsid w:val="67F03A23"/>
    <w:rsid w:val="67F73E3E"/>
    <w:rsid w:val="680456B0"/>
    <w:rsid w:val="68053C27"/>
    <w:rsid w:val="68111210"/>
    <w:rsid w:val="68112FCA"/>
    <w:rsid w:val="68120C78"/>
    <w:rsid w:val="68156BD4"/>
    <w:rsid w:val="682B13A4"/>
    <w:rsid w:val="682C7077"/>
    <w:rsid w:val="68326D82"/>
    <w:rsid w:val="68336E40"/>
    <w:rsid w:val="683F3A37"/>
    <w:rsid w:val="684014B1"/>
    <w:rsid w:val="684479D5"/>
    <w:rsid w:val="6845219F"/>
    <w:rsid w:val="684734A4"/>
    <w:rsid w:val="6853303E"/>
    <w:rsid w:val="685968A7"/>
    <w:rsid w:val="685A43CD"/>
    <w:rsid w:val="685D7846"/>
    <w:rsid w:val="68654258"/>
    <w:rsid w:val="68696EDC"/>
    <w:rsid w:val="68752CEE"/>
    <w:rsid w:val="68863414"/>
    <w:rsid w:val="688A52EC"/>
    <w:rsid w:val="688F22C8"/>
    <w:rsid w:val="68906041"/>
    <w:rsid w:val="689E7173"/>
    <w:rsid w:val="689F73B6"/>
    <w:rsid w:val="68A32539"/>
    <w:rsid w:val="68AA0EB0"/>
    <w:rsid w:val="68AA0FE1"/>
    <w:rsid w:val="68AF3DCD"/>
    <w:rsid w:val="68B946DC"/>
    <w:rsid w:val="68C1444C"/>
    <w:rsid w:val="68C42A6D"/>
    <w:rsid w:val="68C61A62"/>
    <w:rsid w:val="68C77CB4"/>
    <w:rsid w:val="68C83A2C"/>
    <w:rsid w:val="68CD1043"/>
    <w:rsid w:val="68DB3760"/>
    <w:rsid w:val="68DC1286"/>
    <w:rsid w:val="68E542A7"/>
    <w:rsid w:val="68EA5751"/>
    <w:rsid w:val="69010354"/>
    <w:rsid w:val="69020CEC"/>
    <w:rsid w:val="69031659"/>
    <w:rsid w:val="6909506F"/>
    <w:rsid w:val="690B0C63"/>
    <w:rsid w:val="690B25F2"/>
    <w:rsid w:val="69124CA8"/>
    <w:rsid w:val="69136070"/>
    <w:rsid w:val="69143783"/>
    <w:rsid w:val="691959A0"/>
    <w:rsid w:val="691E189E"/>
    <w:rsid w:val="6922410C"/>
    <w:rsid w:val="692376AD"/>
    <w:rsid w:val="692B6F9A"/>
    <w:rsid w:val="69326925"/>
    <w:rsid w:val="69351AA8"/>
    <w:rsid w:val="693B7D5A"/>
    <w:rsid w:val="693D6EB4"/>
    <w:rsid w:val="693F1D4C"/>
    <w:rsid w:val="69423318"/>
    <w:rsid w:val="695A0B28"/>
    <w:rsid w:val="696F55C2"/>
    <w:rsid w:val="69756114"/>
    <w:rsid w:val="69783816"/>
    <w:rsid w:val="69811F27"/>
    <w:rsid w:val="699F478D"/>
    <w:rsid w:val="69AF5F2D"/>
    <w:rsid w:val="69B273EE"/>
    <w:rsid w:val="69CB5582"/>
    <w:rsid w:val="69CB581E"/>
    <w:rsid w:val="69CF40DE"/>
    <w:rsid w:val="69D06970"/>
    <w:rsid w:val="69D12FAB"/>
    <w:rsid w:val="69D602A8"/>
    <w:rsid w:val="69DB153D"/>
    <w:rsid w:val="69DE22C1"/>
    <w:rsid w:val="69EE4AD9"/>
    <w:rsid w:val="69F82E6A"/>
    <w:rsid w:val="69FB4581"/>
    <w:rsid w:val="6A022F6E"/>
    <w:rsid w:val="6A075683"/>
    <w:rsid w:val="6A0C7949"/>
    <w:rsid w:val="6A0F43B7"/>
    <w:rsid w:val="6A1A691F"/>
    <w:rsid w:val="6A270365"/>
    <w:rsid w:val="6A2C45BE"/>
    <w:rsid w:val="6A3526CB"/>
    <w:rsid w:val="6A3F7D1E"/>
    <w:rsid w:val="6A4175F2"/>
    <w:rsid w:val="6A45374C"/>
    <w:rsid w:val="6A4B00E6"/>
    <w:rsid w:val="6A4B0471"/>
    <w:rsid w:val="6A5012FB"/>
    <w:rsid w:val="6A5A6906"/>
    <w:rsid w:val="6A667059"/>
    <w:rsid w:val="6A6908F7"/>
    <w:rsid w:val="6A6B7926"/>
    <w:rsid w:val="6A6D6639"/>
    <w:rsid w:val="6A6E2AA9"/>
    <w:rsid w:val="6A6F632C"/>
    <w:rsid w:val="6A7F011B"/>
    <w:rsid w:val="6A883473"/>
    <w:rsid w:val="6A885221"/>
    <w:rsid w:val="6A8C423E"/>
    <w:rsid w:val="6A8F4802"/>
    <w:rsid w:val="6A8F6861"/>
    <w:rsid w:val="6A95793E"/>
    <w:rsid w:val="6AD62685"/>
    <w:rsid w:val="6ADB0EDF"/>
    <w:rsid w:val="6ADC556D"/>
    <w:rsid w:val="6AE939E5"/>
    <w:rsid w:val="6AEC1C54"/>
    <w:rsid w:val="6AED1528"/>
    <w:rsid w:val="6B01111E"/>
    <w:rsid w:val="6B014E9A"/>
    <w:rsid w:val="6B0542A1"/>
    <w:rsid w:val="6B0B1A2E"/>
    <w:rsid w:val="6B0C16AE"/>
    <w:rsid w:val="6B0D712F"/>
    <w:rsid w:val="6B0F2632"/>
    <w:rsid w:val="6B1271E1"/>
    <w:rsid w:val="6B1B6095"/>
    <w:rsid w:val="6B2667E8"/>
    <w:rsid w:val="6B2C2051"/>
    <w:rsid w:val="6B423186"/>
    <w:rsid w:val="6B451364"/>
    <w:rsid w:val="6B4F21E3"/>
    <w:rsid w:val="6B5670CE"/>
    <w:rsid w:val="6B59096C"/>
    <w:rsid w:val="6B6F1F3D"/>
    <w:rsid w:val="6B7632DB"/>
    <w:rsid w:val="6B777044"/>
    <w:rsid w:val="6B7B74A0"/>
    <w:rsid w:val="6B8579B3"/>
    <w:rsid w:val="6B896D65"/>
    <w:rsid w:val="6B8A6D77"/>
    <w:rsid w:val="6B8D6867"/>
    <w:rsid w:val="6B923E7E"/>
    <w:rsid w:val="6BA3608B"/>
    <w:rsid w:val="6BA63E2B"/>
    <w:rsid w:val="6BAA566B"/>
    <w:rsid w:val="6BC32289"/>
    <w:rsid w:val="6BC56001"/>
    <w:rsid w:val="6BD26964"/>
    <w:rsid w:val="6BDF7488"/>
    <w:rsid w:val="6BE566A3"/>
    <w:rsid w:val="6BEE37AA"/>
    <w:rsid w:val="6BEF4DCA"/>
    <w:rsid w:val="6BFA47EC"/>
    <w:rsid w:val="6C027255"/>
    <w:rsid w:val="6C07486C"/>
    <w:rsid w:val="6C1274B0"/>
    <w:rsid w:val="6C17274D"/>
    <w:rsid w:val="6C1762A9"/>
    <w:rsid w:val="6C20148A"/>
    <w:rsid w:val="6C276CBC"/>
    <w:rsid w:val="6C2B055A"/>
    <w:rsid w:val="6C3A689C"/>
    <w:rsid w:val="6C3F7B62"/>
    <w:rsid w:val="6C4C19E8"/>
    <w:rsid w:val="6C586E75"/>
    <w:rsid w:val="6C6509E5"/>
    <w:rsid w:val="6C715150"/>
    <w:rsid w:val="6C7B7004"/>
    <w:rsid w:val="6C8C4C6F"/>
    <w:rsid w:val="6C9360FF"/>
    <w:rsid w:val="6C946BA7"/>
    <w:rsid w:val="6C9F6852"/>
    <w:rsid w:val="6CA64085"/>
    <w:rsid w:val="6CB0280D"/>
    <w:rsid w:val="6CBA7B30"/>
    <w:rsid w:val="6CBB3973"/>
    <w:rsid w:val="6CC12C6C"/>
    <w:rsid w:val="6CC400FE"/>
    <w:rsid w:val="6CC42F7D"/>
    <w:rsid w:val="6CC61123"/>
    <w:rsid w:val="6CC61D04"/>
    <w:rsid w:val="6CC85207"/>
    <w:rsid w:val="6CC94334"/>
    <w:rsid w:val="6CD15B16"/>
    <w:rsid w:val="6CDB1F80"/>
    <w:rsid w:val="6CDD2328"/>
    <w:rsid w:val="6CF03552"/>
    <w:rsid w:val="6CF230C5"/>
    <w:rsid w:val="6CF50B68"/>
    <w:rsid w:val="6CF546C4"/>
    <w:rsid w:val="6CF56FD0"/>
    <w:rsid w:val="6CF92406"/>
    <w:rsid w:val="6CFB475C"/>
    <w:rsid w:val="6CFF3162"/>
    <w:rsid w:val="6CFFFBD2"/>
    <w:rsid w:val="6D0860A6"/>
    <w:rsid w:val="6D0C7C9A"/>
    <w:rsid w:val="6D0D417B"/>
    <w:rsid w:val="6D0F7B79"/>
    <w:rsid w:val="6D193D0C"/>
    <w:rsid w:val="6D195F0B"/>
    <w:rsid w:val="6D275220"/>
    <w:rsid w:val="6D283B29"/>
    <w:rsid w:val="6D317A8C"/>
    <w:rsid w:val="6D325918"/>
    <w:rsid w:val="6D365409"/>
    <w:rsid w:val="6D3714F5"/>
    <w:rsid w:val="6D372F2F"/>
    <w:rsid w:val="6D3B6481"/>
    <w:rsid w:val="6D3E250F"/>
    <w:rsid w:val="6D417909"/>
    <w:rsid w:val="6D4F63E5"/>
    <w:rsid w:val="6D535CD9"/>
    <w:rsid w:val="6D5B4E6F"/>
    <w:rsid w:val="6D661E07"/>
    <w:rsid w:val="6D741A8D"/>
    <w:rsid w:val="6D793547"/>
    <w:rsid w:val="6D7952F5"/>
    <w:rsid w:val="6D7D4DE5"/>
    <w:rsid w:val="6D8141AA"/>
    <w:rsid w:val="6D853540"/>
    <w:rsid w:val="6D9B526C"/>
    <w:rsid w:val="6D9C4931"/>
    <w:rsid w:val="6DA71E62"/>
    <w:rsid w:val="6DA74F3C"/>
    <w:rsid w:val="6DB85E1E"/>
    <w:rsid w:val="6DB90A69"/>
    <w:rsid w:val="6DC140F6"/>
    <w:rsid w:val="6DD10F6F"/>
    <w:rsid w:val="6DD30EA9"/>
    <w:rsid w:val="6DD57146"/>
    <w:rsid w:val="6DDB184C"/>
    <w:rsid w:val="6DE36C13"/>
    <w:rsid w:val="6DE54DB4"/>
    <w:rsid w:val="6DEF4C69"/>
    <w:rsid w:val="6DEF6CFC"/>
    <w:rsid w:val="6DF350A8"/>
    <w:rsid w:val="6DF67E77"/>
    <w:rsid w:val="6E032E11"/>
    <w:rsid w:val="6E1938AF"/>
    <w:rsid w:val="6E1942CA"/>
    <w:rsid w:val="6E1A1C88"/>
    <w:rsid w:val="6E1D0376"/>
    <w:rsid w:val="6E1D3ED3"/>
    <w:rsid w:val="6E1F57B8"/>
    <w:rsid w:val="6E21673D"/>
    <w:rsid w:val="6E231C40"/>
    <w:rsid w:val="6E2F12D6"/>
    <w:rsid w:val="6E3034D4"/>
    <w:rsid w:val="6E372E5F"/>
    <w:rsid w:val="6E3D05EC"/>
    <w:rsid w:val="6E3D1350"/>
    <w:rsid w:val="6E3E59ED"/>
    <w:rsid w:val="6E4C5D0B"/>
    <w:rsid w:val="6E4D5003"/>
    <w:rsid w:val="6E573888"/>
    <w:rsid w:val="6E601AA5"/>
    <w:rsid w:val="6E657628"/>
    <w:rsid w:val="6E6733A0"/>
    <w:rsid w:val="6E675BAD"/>
    <w:rsid w:val="6E753D0F"/>
    <w:rsid w:val="6E7B6E4B"/>
    <w:rsid w:val="6E8C2E06"/>
    <w:rsid w:val="6E930639"/>
    <w:rsid w:val="6E961E78"/>
    <w:rsid w:val="6EA2087C"/>
    <w:rsid w:val="6EA66996"/>
    <w:rsid w:val="6EAB7730"/>
    <w:rsid w:val="6EAC089F"/>
    <w:rsid w:val="6EB32A89"/>
    <w:rsid w:val="6EB8009F"/>
    <w:rsid w:val="6EC05342"/>
    <w:rsid w:val="6EC802E2"/>
    <w:rsid w:val="6EC906D5"/>
    <w:rsid w:val="6ECD3B4B"/>
    <w:rsid w:val="6ECD58F9"/>
    <w:rsid w:val="6ED1305E"/>
    <w:rsid w:val="6EE060A1"/>
    <w:rsid w:val="6EF72976"/>
    <w:rsid w:val="6EFA2466"/>
    <w:rsid w:val="6EFA4214"/>
    <w:rsid w:val="6EFB5B0A"/>
    <w:rsid w:val="6F08510F"/>
    <w:rsid w:val="6F0E5196"/>
    <w:rsid w:val="6F0E5640"/>
    <w:rsid w:val="6F116045"/>
    <w:rsid w:val="6F12155D"/>
    <w:rsid w:val="6F1B2B08"/>
    <w:rsid w:val="6F1C062E"/>
    <w:rsid w:val="6F2474E3"/>
    <w:rsid w:val="6F2567B7"/>
    <w:rsid w:val="6F3239AE"/>
    <w:rsid w:val="6F3911E0"/>
    <w:rsid w:val="6F3C490B"/>
    <w:rsid w:val="6F3D018E"/>
    <w:rsid w:val="6F4831D1"/>
    <w:rsid w:val="6F5E29F5"/>
    <w:rsid w:val="6F616041"/>
    <w:rsid w:val="6F63BAFC"/>
    <w:rsid w:val="6F755D6A"/>
    <w:rsid w:val="6F795A80"/>
    <w:rsid w:val="6F7A7103"/>
    <w:rsid w:val="6F800BBD"/>
    <w:rsid w:val="6F87574E"/>
    <w:rsid w:val="6F9817A2"/>
    <w:rsid w:val="6F9B2726"/>
    <w:rsid w:val="6F9E7185"/>
    <w:rsid w:val="6FAB29C1"/>
    <w:rsid w:val="6FAF3250"/>
    <w:rsid w:val="6FC24E8B"/>
    <w:rsid w:val="6FC52A74"/>
    <w:rsid w:val="6FC82564"/>
    <w:rsid w:val="6FCB457A"/>
    <w:rsid w:val="6FD094B9"/>
    <w:rsid w:val="6FD857F8"/>
    <w:rsid w:val="6FD93890"/>
    <w:rsid w:val="6FDA05C9"/>
    <w:rsid w:val="6FE23626"/>
    <w:rsid w:val="6FF3138F"/>
    <w:rsid w:val="6FFB0243"/>
    <w:rsid w:val="6FFB438B"/>
    <w:rsid w:val="6FFF7360"/>
    <w:rsid w:val="6FFF8178"/>
    <w:rsid w:val="6FFF8EB5"/>
    <w:rsid w:val="6FFFC03B"/>
    <w:rsid w:val="70001CFE"/>
    <w:rsid w:val="70027824"/>
    <w:rsid w:val="700673CD"/>
    <w:rsid w:val="70086079"/>
    <w:rsid w:val="70092D5A"/>
    <w:rsid w:val="70161521"/>
    <w:rsid w:val="701800D2"/>
    <w:rsid w:val="70194B6E"/>
    <w:rsid w:val="701B1D7B"/>
    <w:rsid w:val="703933FE"/>
    <w:rsid w:val="703D3F4C"/>
    <w:rsid w:val="70400CB6"/>
    <w:rsid w:val="70423F1C"/>
    <w:rsid w:val="705067E1"/>
    <w:rsid w:val="70580172"/>
    <w:rsid w:val="705D27E4"/>
    <w:rsid w:val="707029DF"/>
    <w:rsid w:val="70707286"/>
    <w:rsid w:val="70792114"/>
    <w:rsid w:val="708756DC"/>
    <w:rsid w:val="708A66AF"/>
    <w:rsid w:val="70931DD1"/>
    <w:rsid w:val="70981F36"/>
    <w:rsid w:val="70992649"/>
    <w:rsid w:val="709B03FF"/>
    <w:rsid w:val="709C24CA"/>
    <w:rsid w:val="709C7156"/>
    <w:rsid w:val="709F4552"/>
    <w:rsid w:val="70A02B99"/>
    <w:rsid w:val="70A906E5"/>
    <w:rsid w:val="70AD0C67"/>
    <w:rsid w:val="70B467D2"/>
    <w:rsid w:val="70BA3C5B"/>
    <w:rsid w:val="70C40F7D"/>
    <w:rsid w:val="70CA03C5"/>
    <w:rsid w:val="70D6480D"/>
    <w:rsid w:val="70DF1913"/>
    <w:rsid w:val="70E33D42"/>
    <w:rsid w:val="70F80C27"/>
    <w:rsid w:val="70FC0717"/>
    <w:rsid w:val="70FD164D"/>
    <w:rsid w:val="70FF0C77"/>
    <w:rsid w:val="710C4966"/>
    <w:rsid w:val="710E5E8B"/>
    <w:rsid w:val="710F390D"/>
    <w:rsid w:val="711C0290"/>
    <w:rsid w:val="711F7F62"/>
    <w:rsid w:val="71275AA2"/>
    <w:rsid w:val="71341D27"/>
    <w:rsid w:val="71457DBB"/>
    <w:rsid w:val="714D4ACF"/>
    <w:rsid w:val="71500A63"/>
    <w:rsid w:val="715414DE"/>
    <w:rsid w:val="71542765"/>
    <w:rsid w:val="7166029D"/>
    <w:rsid w:val="71663DE2"/>
    <w:rsid w:val="716D7E90"/>
    <w:rsid w:val="71722787"/>
    <w:rsid w:val="717958C4"/>
    <w:rsid w:val="717B3F21"/>
    <w:rsid w:val="717FAE0D"/>
    <w:rsid w:val="71804EA4"/>
    <w:rsid w:val="718F3339"/>
    <w:rsid w:val="71967069"/>
    <w:rsid w:val="71973F9C"/>
    <w:rsid w:val="719E17CE"/>
    <w:rsid w:val="71A5490B"/>
    <w:rsid w:val="71AD37BF"/>
    <w:rsid w:val="71B0648B"/>
    <w:rsid w:val="71BD17DB"/>
    <w:rsid w:val="71C11019"/>
    <w:rsid w:val="71C130F2"/>
    <w:rsid w:val="71C1726B"/>
    <w:rsid w:val="71C6563A"/>
    <w:rsid w:val="71CF1988"/>
    <w:rsid w:val="71D67E52"/>
    <w:rsid w:val="71D77AD2"/>
    <w:rsid w:val="71D85554"/>
    <w:rsid w:val="71DE64D4"/>
    <w:rsid w:val="71E03B95"/>
    <w:rsid w:val="71E07D90"/>
    <w:rsid w:val="71E76CD1"/>
    <w:rsid w:val="71ED7A68"/>
    <w:rsid w:val="71EE54F9"/>
    <w:rsid w:val="71F1067C"/>
    <w:rsid w:val="71F3088C"/>
    <w:rsid w:val="72000C97"/>
    <w:rsid w:val="720158B9"/>
    <w:rsid w:val="72070621"/>
    <w:rsid w:val="720C2BDC"/>
    <w:rsid w:val="721B697B"/>
    <w:rsid w:val="72200A6A"/>
    <w:rsid w:val="722717C4"/>
    <w:rsid w:val="72281098"/>
    <w:rsid w:val="7229553C"/>
    <w:rsid w:val="723B0DCB"/>
    <w:rsid w:val="723E657D"/>
    <w:rsid w:val="72401A80"/>
    <w:rsid w:val="724211B7"/>
    <w:rsid w:val="7249173A"/>
    <w:rsid w:val="72581C1D"/>
    <w:rsid w:val="725D3437"/>
    <w:rsid w:val="72617A36"/>
    <w:rsid w:val="727453D2"/>
    <w:rsid w:val="728946B0"/>
    <w:rsid w:val="72895378"/>
    <w:rsid w:val="728F2419"/>
    <w:rsid w:val="72945CA0"/>
    <w:rsid w:val="72A417A5"/>
    <w:rsid w:val="72A5093A"/>
    <w:rsid w:val="72C15774"/>
    <w:rsid w:val="72C6338C"/>
    <w:rsid w:val="72CA3BE3"/>
    <w:rsid w:val="72CD12BC"/>
    <w:rsid w:val="72E94CCB"/>
    <w:rsid w:val="72EC1B99"/>
    <w:rsid w:val="72ED761A"/>
    <w:rsid w:val="72FA0C86"/>
    <w:rsid w:val="73065FC6"/>
    <w:rsid w:val="73076EFF"/>
    <w:rsid w:val="73125FD0"/>
    <w:rsid w:val="7315786E"/>
    <w:rsid w:val="732F5B05"/>
    <w:rsid w:val="73304D18"/>
    <w:rsid w:val="73374D00"/>
    <w:rsid w:val="733D289D"/>
    <w:rsid w:val="733E5017"/>
    <w:rsid w:val="734112A3"/>
    <w:rsid w:val="7343262D"/>
    <w:rsid w:val="734737A0"/>
    <w:rsid w:val="73487C44"/>
    <w:rsid w:val="734973DD"/>
    <w:rsid w:val="734B5436"/>
    <w:rsid w:val="734D525A"/>
    <w:rsid w:val="73530396"/>
    <w:rsid w:val="735932CF"/>
    <w:rsid w:val="735B5323"/>
    <w:rsid w:val="73636360"/>
    <w:rsid w:val="7366143E"/>
    <w:rsid w:val="73697BBA"/>
    <w:rsid w:val="736B376C"/>
    <w:rsid w:val="736F5C2F"/>
    <w:rsid w:val="7375030D"/>
    <w:rsid w:val="738B621F"/>
    <w:rsid w:val="738C409C"/>
    <w:rsid w:val="738E153C"/>
    <w:rsid w:val="73927111"/>
    <w:rsid w:val="739428F8"/>
    <w:rsid w:val="73944C37"/>
    <w:rsid w:val="73977AB3"/>
    <w:rsid w:val="739E67ED"/>
    <w:rsid w:val="73AC41D5"/>
    <w:rsid w:val="73AC6754"/>
    <w:rsid w:val="73B01345"/>
    <w:rsid w:val="73B250BD"/>
    <w:rsid w:val="73B9469D"/>
    <w:rsid w:val="73BC577A"/>
    <w:rsid w:val="73C053F4"/>
    <w:rsid w:val="73C179F6"/>
    <w:rsid w:val="73C372CA"/>
    <w:rsid w:val="73C70602"/>
    <w:rsid w:val="73C90E07"/>
    <w:rsid w:val="73CA2B30"/>
    <w:rsid w:val="73CB617F"/>
    <w:rsid w:val="73D03795"/>
    <w:rsid w:val="73D75019"/>
    <w:rsid w:val="73DE0228"/>
    <w:rsid w:val="73DF5CA9"/>
    <w:rsid w:val="73E00E2F"/>
    <w:rsid w:val="73E334C8"/>
    <w:rsid w:val="73E9224C"/>
    <w:rsid w:val="73F0057A"/>
    <w:rsid w:val="73F26EC8"/>
    <w:rsid w:val="73F310C6"/>
    <w:rsid w:val="73F43927"/>
    <w:rsid w:val="73FF0E05"/>
    <w:rsid w:val="73FF8E82"/>
    <w:rsid w:val="74003C5F"/>
    <w:rsid w:val="74065409"/>
    <w:rsid w:val="7408106C"/>
    <w:rsid w:val="740A4074"/>
    <w:rsid w:val="740D54F4"/>
    <w:rsid w:val="740E2F75"/>
    <w:rsid w:val="741C7D0C"/>
    <w:rsid w:val="741E5919"/>
    <w:rsid w:val="742C1313"/>
    <w:rsid w:val="74393A30"/>
    <w:rsid w:val="743B4D3E"/>
    <w:rsid w:val="74404DBF"/>
    <w:rsid w:val="744530CF"/>
    <w:rsid w:val="74454183"/>
    <w:rsid w:val="74512609"/>
    <w:rsid w:val="745201E6"/>
    <w:rsid w:val="745B7503"/>
    <w:rsid w:val="745E5245"/>
    <w:rsid w:val="745E6DA9"/>
    <w:rsid w:val="74675EA7"/>
    <w:rsid w:val="748436FE"/>
    <w:rsid w:val="74890514"/>
    <w:rsid w:val="748E25CA"/>
    <w:rsid w:val="74964153"/>
    <w:rsid w:val="749A7D0E"/>
    <w:rsid w:val="74A17F65"/>
    <w:rsid w:val="74A72748"/>
    <w:rsid w:val="74B46F86"/>
    <w:rsid w:val="74B66E2F"/>
    <w:rsid w:val="74BB2697"/>
    <w:rsid w:val="74BD01BD"/>
    <w:rsid w:val="74BE1A94"/>
    <w:rsid w:val="74D05231"/>
    <w:rsid w:val="74DA7670"/>
    <w:rsid w:val="74DD0860"/>
    <w:rsid w:val="74DF53AE"/>
    <w:rsid w:val="74E53270"/>
    <w:rsid w:val="74E7523A"/>
    <w:rsid w:val="74E8615B"/>
    <w:rsid w:val="74F00593"/>
    <w:rsid w:val="7506350D"/>
    <w:rsid w:val="75080C0F"/>
    <w:rsid w:val="75107E41"/>
    <w:rsid w:val="751F2C26"/>
    <w:rsid w:val="75263FB5"/>
    <w:rsid w:val="75387844"/>
    <w:rsid w:val="753A7A60"/>
    <w:rsid w:val="754C32EF"/>
    <w:rsid w:val="754E0E15"/>
    <w:rsid w:val="75502DDF"/>
    <w:rsid w:val="75552540"/>
    <w:rsid w:val="75585F01"/>
    <w:rsid w:val="755C1784"/>
    <w:rsid w:val="755F3023"/>
    <w:rsid w:val="75625E25"/>
    <w:rsid w:val="75703482"/>
    <w:rsid w:val="757445DC"/>
    <w:rsid w:val="757A1C0A"/>
    <w:rsid w:val="757F1917"/>
    <w:rsid w:val="758075D4"/>
    <w:rsid w:val="7583635A"/>
    <w:rsid w:val="758827E2"/>
    <w:rsid w:val="7591502E"/>
    <w:rsid w:val="759251A6"/>
    <w:rsid w:val="75932CCC"/>
    <w:rsid w:val="75970A0E"/>
    <w:rsid w:val="75A1363B"/>
    <w:rsid w:val="75A373B3"/>
    <w:rsid w:val="75BB0F5C"/>
    <w:rsid w:val="75C15A8B"/>
    <w:rsid w:val="75C335B1"/>
    <w:rsid w:val="75C630A2"/>
    <w:rsid w:val="75C65B4A"/>
    <w:rsid w:val="75C84B60"/>
    <w:rsid w:val="75CD1AC7"/>
    <w:rsid w:val="75E11C8A"/>
    <w:rsid w:val="75EF348B"/>
    <w:rsid w:val="75F0310B"/>
    <w:rsid w:val="75F47C0F"/>
    <w:rsid w:val="75F51CBE"/>
    <w:rsid w:val="75F714AD"/>
    <w:rsid w:val="75FE2420"/>
    <w:rsid w:val="75FF3FFD"/>
    <w:rsid w:val="76052E1B"/>
    <w:rsid w:val="76065B94"/>
    <w:rsid w:val="760B3DC4"/>
    <w:rsid w:val="760D2A7F"/>
    <w:rsid w:val="761409A5"/>
    <w:rsid w:val="76157B85"/>
    <w:rsid w:val="761A26B8"/>
    <w:rsid w:val="762F36CF"/>
    <w:rsid w:val="763224E5"/>
    <w:rsid w:val="76384B84"/>
    <w:rsid w:val="763D720A"/>
    <w:rsid w:val="763E7042"/>
    <w:rsid w:val="76487F5B"/>
    <w:rsid w:val="764B5DA3"/>
    <w:rsid w:val="764B78F8"/>
    <w:rsid w:val="764E6D27"/>
    <w:rsid w:val="76517CAC"/>
    <w:rsid w:val="76522B87"/>
    <w:rsid w:val="7652773F"/>
    <w:rsid w:val="76564426"/>
    <w:rsid w:val="76603E41"/>
    <w:rsid w:val="766345A1"/>
    <w:rsid w:val="76634D94"/>
    <w:rsid w:val="766E31DB"/>
    <w:rsid w:val="766F7295"/>
    <w:rsid w:val="767174B1"/>
    <w:rsid w:val="76724FD8"/>
    <w:rsid w:val="76737606"/>
    <w:rsid w:val="76764668"/>
    <w:rsid w:val="768216BE"/>
    <w:rsid w:val="768764F7"/>
    <w:rsid w:val="768D3BBF"/>
    <w:rsid w:val="76911422"/>
    <w:rsid w:val="76915FF8"/>
    <w:rsid w:val="7697169B"/>
    <w:rsid w:val="76A01B45"/>
    <w:rsid w:val="76BA0E58"/>
    <w:rsid w:val="76BB0BDD"/>
    <w:rsid w:val="76D336FD"/>
    <w:rsid w:val="76DA32A9"/>
    <w:rsid w:val="76DD5C10"/>
    <w:rsid w:val="76E23F0B"/>
    <w:rsid w:val="76E975D8"/>
    <w:rsid w:val="76F30229"/>
    <w:rsid w:val="76FA8835"/>
    <w:rsid w:val="76FB4FCD"/>
    <w:rsid w:val="76FE4817"/>
    <w:rsid w:val="77005B02"/>
    <w:rsid w:val="7702635B"/>
    <w:rsid w:val="77027AD0"/>
    <w:rsid w:val="770551D1"/>
    <w:rsid w:val="77072E6C"/>
    <w:rsid w:val="770A5210"/>
    <w:rsid w:val="770B068C"/>
    <w:rsid w:val="77166770"/>
    <w:rsid w:val="771976F5"/>
    <w:rsid w:val="771A5453"/>
    <w:rsid w:val="771E3B12"/>
    <w:rsid w:val="77230004"/>
    <w:rsid w:val="7726029C"/>
    <w:rsid w:val="77260F89"/>
    <w:rsid w:val="772C33D8"/>
    <w:rsid w:val="77333076"/>
    <w:rsid w:val="77380EA3"/>
    <w:rsid w:val="77420B7B"/>
    <w:rsid w:val="774335EA"/>
    <w:rsid w:val="774E0CC1"/>
    <w:rsid w:val="77556CEB"/>
    <w:rsid w:val="775A2BCB"/>
    <w:rsid w:val="775E425F"/>
    <w:rsid w:val="77632FEC"/>
    <w:rsid w:val="77696DF7"/>
    <w:rsid w:val="776A1CF5"/>
    <w:rsid w:val="776C3892"/>
    <w:rsid w:val="776D5ECB"/>
    <w:rsid w:val="777D651D"/>
    <w:rsid w:val="77843214"/>
    <w:rsid w:val="7788581E"/>
    <w:rsid w:val="779506FC"/>
    <w:rsid w:val="77980A6E"/>
    <w:rsid w:val="779A2A38"/>
    <w:rsid w:val="77A15B74"/>
    <w:rsid w:val="77AB69F3"/>
    <w:rsid w:val="77B34070"/>
    <w:rsid w:val="77B45115"/>
    <w:rsid w:val="77B72A76"/>
    <w:rsid w:val="77DEE694"/>
    <w:rsid w:val="77E07C4C"/>
    <w:rsid w:val="77EF4B32"/>
    <w:rsid w:val="77FB04E4"/>
    <w:rsid w:val="77FC724F"/>
    <w:rsid w:val="77FE8858"/>
    <w:rsid w:val="78030B2C"/>
    <w:rsid w:val="78175E36"/>
    <w:rsid w:val="78197E01"/>
    <w:rsid w:val="7831514A"/>
    <w:rsid w:val="78324A1E"/>
    <w:rsid w:val="783562BD"/>
    <w:rsid w:val="78377D43"/>
    <w:rsid w:val="78393FFF"/>
    <w:rsid w:val="783A641B"/>
    <w:rsid w:val="783E1615"/>
    <w:rsid w:val="784129DA"/>
    <w:rsid w:val="784513E1"/>
    <w:rsid w:val="784A620C"/>
    <w:rsid w:val="784E5805"/>
    <w:rsid w:val="7855167B"/>
    <w:rsid w:val="786170B2"/>
    <w:rsid w:val="787B0173"/>
    <w:rsid w:val="78850FF2"/>
    <w:rsid w:val="78861E4A"/>
    <w:rsid w:val="788778CC"/>
    <w:rsid w:val="78A27DF6"/>
    <w:rsid w:val="78A60180"/>
    <w:rsid w:val="78A648FD"/>
    <w:rsid w:val="78A84CE1"/>
    <w:rsid w:val="78AA6D8C"/>
    <w:rsid w:val="78AC47D1"/>
    <w:rsid w:val="78AD7B0B"/>
    <w:rsid w:val="78B00A90"/>
    <w:rsid w:val="78B638A1"/>
    <w:rsid w:val="78C23FF4"/>
    <w:rsid w:val="78C31CAF"/>
    <w:rsid w:val="78CA163A"/>
    <w:rsid w:val="78CF4963"/>
    <w:rsid w:val="78DB7356"/>
    <w:rsid w:val="78E026CC"/>
    <w:rsid w:val="78E0447A"/>
    <w:rsid w:val="78EC2E1F"/>
    <w:rsid w:val="78F30652"/>
    <w:rsid w:val="78F41CD4"/>
    <w:rsid w:val="78F9424F"/>
    <w:rsid w:val="78F96906"/>
    <w:rsid w:val="790C34C1"/>
    <w:rsid w:val="79121A2E"/>
    <w:rsid w:val="791A3E30"/>
    <w:rsid w:val="79297BCF"/>
    <w:rsid w:val="79306A60"/>
    <w:rsid w:val="79306E65"/>
    <w:rsid w:val="7932115B"/>
    <w:rsid w:val="79382508"/>
    <w:rsid w:val="79390690"/>
    <w:rsid w:val="793B4DF1"/>
    <w:rsid w:val="794964C4"/>
    <w:rsid w:val="79510115"/>
    <w:rsid w:val="79537685"/>
    <w:rsid w:val="795C2431"/>
    <w:rsid w:val="795E2449"/>
    <w:rsid w:val="7968023E"/>
    <w:rsid w:val="796C6C45"/>
    <w:rsid w:val="79703A50"/>
    <w:rsid w:val="79753CD1"/>
    <w:rsid w:val="797877E6"/>
    <w:rsid w:val="797C17A1"/>
    <w:rsid w:val="797D7F1B"/>
    <w:rsid w:val="797F5A41"/>
    <w:rsid w:val="798961F5"/>
    <w:rsid w:val="799022FC"/>
    <w:rsid w:val="79917872"/>
    <w:rsid w:val="799367A2"/>
    <w:rsid w:val="79B42F8A"/>
    <w:rsid w:val="79BA116F"/>
    <w:rsid w:val="79C63670"/>
    <w:rsid w:val="79C67B14"/>
    <w:rsid w:val="79D06969"/>
    <w:rsid w:val="79D31AEC"/>
    <w:rsid w:val="79DC01FD"/>
    <w:rsid w:val="79DF9D88"/>
    <w:rsid w:val="79E104AA"/>
    <w:rsid w:val="79E34A36"/>
    <w:rsid w:val="79E61F64"/>
    <w:rsid w:val="79E85CDC"/>
    <w:rsid w:val="79ED50A1"/>
    <w:rsid w:val="79EE0E19"/>
    <w:rsid w:val="79F2235B"/>
    <w:rsid w:val="79FC3536"/>
    <w:rsid w:val="79FF6B82"/>
    <w:rsid w:val="7A016D9E"/>
    <w:rsid w:val="7A085CAD"/>
    <w:rsid w:val="7A0B54C9"/>
    <w:rsid w:val="7A0F3269"/>
    <w:rsid w:val="7A106FE1"/>
    <w:rsid w:val="7A1D7B00"/>
    <w:rsid w:val="7A1F03DF"/>
    <w:rsid w:val="7A214D4A"/>
    <w:rsid w:val="7A2465E9"/>
    <w:rsid w:val="7A287E87"/>
    <w:rsid w:val="7A2D6D03"/>
    <w:rsid w:val="7A427BA1"/>
    <w:rsid w:val="7A4B626B"/>
    <w:rsid w:val="7A4D17B6"/>
    <w:rsid w:val="7A574C10"/>
    <w:rsid w:val="7A584DB7"/>
    <w:rsid w:val="7A5E7D4D"/>
    <w:rsid w:val="7A5F16D0"/>
    <w:rsid w:val="7A644C45"/>
    <w:rsid w:val="7A7266C5"/>
    <w:rsid w:val="7A792DD8"/>
    <w:rsid w:val="7A96762C"/>
    <w:rsid w:val="7A9814B1"/>
    <w:rsid w:val="7A9A18B5"/>
    <w:rsid w:val="7A9C2623"/>
    <w:rsid w:val="7AA27302"/>
    <w:rsid w:val="7AA5772A"/>
    <w:rsid w:val="7AAA2F92"/>
    <w:rsid w:val="7AB648AE"/>
    <w:rsid w:val="7AB855E2"/>
    <w:rsid w:val="7AC369F2"/>
    <w:rsid w:val="7AC62379"/>
    <w:rsid w:val="7ACB6801"/>
    <w:rsid w:val="7ACE4ED2"/>
    <w:rsid w:val="7ADB139D"/>
    <w:rsid w:val="7AE169D4"/>
    <w:rsid w:val="7AE35B14"/>
    <w:rsid w:val="7AF34939"/>
    <w:rsid w:val="7AF741CD"/>
    <w:rsid w:val="7B0B2AA4"/>
    <w:rsid w:val="7B130B37"/>
    <w:rsid w:val="7B214B23"/>
    <w:rsid w:val="7B215011"/>
    <w:rsid w:val="7B2745E3"/>
    <w:rsid w:val="7B303FA7"/>
    <w:rsid w:val="7B365EB0"/>
    <w:rsid w:val="7B396E35"/>
    <w:rsid w:val="7B4A02D1"/>
    <w:rsid w:val="7B4D1359"/>
    <w:rsid w:val="7B513A73"/>
    <w:rsid w:val="7B540CE3"/>
    <w:rsid w:val="7B551C87"/>
    <w:rsid w:val="7B5A49B8"/>
    <w:rsid w:val="7B5C397C"/>
    <w:rsid w:val="7B6B0487"/>
    <w:rsid w:val="7B6F730F"/>
    <w:rsid w:val="7B7367C2"/>
    <w:rsid w:val="7B7610C6"/>
    <w:rsid w:val="7B7F7F7B"/>
    <w:rsid w:val="7B882437"/>
    <w:rsid w:val="7BA00F12"/>
    <w:rsid w:val="7BA13AA1"/>
    <w:rsid w:val="7BAA499E"/>
    <w:rsid w:val="7BAE0860"/>
    <w:rsid w:val="7BAE6410"/>
    <w:rsid w:val="7BB816DF"/>
    <w:rsid w:val="7BBB4D2B"/>
    <w:rsid w:val="7BBC740E"/>
    <w:rsid w:val="7BBD4F47"/>
    <w:rsid w:val="7BC2255D"/>
    <w:rsid w:val="7BC27D34"/>
    <w:rsid w:val="7BC73221"/>
    <w:rsid w:val="7BCF3E99"/>
    <w:rsid w:val="7BD90F3C"/>
    <w:rsid w:val="7BDF0A19"/>
    <w:rsid w:val="7BE81FC4"/>
    <w:rsid w:val="7BEB3862"/>
    <w:rsid w:val="7BEB5610"/>
    <w:rsid w:val="7BF04FC9"/>
    <w:rsid w:val="7BFC781D"/>
    <w:rsid w:val="7BFE117C"/>
    <w:rsid w:val="7BFF4AE2"/>
    <w:rsid w:val="7C0B2A10"/>
    <w:rsid w:val="7C106E98"/>
    <w:rsid w:val="7C134B67"/>
    <w:rsid w:val="7C1C0FFC"/>
    <w:rsid w:val="7C1E3C37"/>
    <w:rsid w:val="7C1F52BA"/>
    <w:rsid w:val="7C2179C4"/>
    <w:rsid w:val="7C245B39"/>
    <w:rsid w:val="7C272341"/>
    <w:rsid w:val="7C2B1EB0"/>
    <w:rsid w:val="7C2E1847"/>
    <w:rsid w:val="7C2E19A1"/>
    <w:rsid w:val="7C354ADD"/>
    <w:rsid w:val="7C484810"/>
    <w:rsid w:val="7C5F7DAC"/>
    <w:rsid w:val="7C605FFE"/>
    <w:rsid w:val="7C613B24"/>
    <w:rsid w:val="7C643B5F"/>
    <w:rsid w:val="7C6453C2"/>
    <w:rsid w:val="7C6D24C9"/>
    <w:rsid w:val="7C6F4493"/>
    <w:rsid w:val="7C7B6547"/>
    <w:rsid w:val="7C7E0A74"/>
    <w:rsid w:val="7C855A65"/>
    <w:rsid w:val="7C865339"/>
    <w:rsid w:val="7C891BCF"/>
    <w:rsid w:val="7C8A0A8D"/>
    <w:rsid w:val="7C8A0D60"/>
    <w:rsid w:val="7C8A307B"/>
    <w:rsid w:val="7C8B71B9"/>
    <w:rsid w:val="7C95228E"/>
    <w:rsid w:val="7C964B73"/>
    <w:rsid w:val="7CA0621D"/>
    <w:rsid w:val="7CA103C5"/>
    <w:rsid w:val="7CA44D00"/>
    <w:rsid w:val="7CA52C0F"/>
    <w:rsid w:val="7CAB4D9F"/>
    <w:rsid w:val="7CAD001B"/>
    <w:rsid w:val="7CB00FA0"/>
    <w:rsid w:val="7CB242E6"/>
    <w:rsid w:val="7CB43C54"/>
    <w:rsid w:val="7CB91E86"/>
    <w:rsid w:val="7CC06A9D"/>
    <w:rsid w:val="7CC426DC"/>
    <w:rsid w:val="7CC85951"/>
    <w:rsid w:val="7CCA16C9"/>
    <w:rsid w:val="7CDA3824"/>
    <w:rsid w:val="7CE34539"/>
    <w:rsid w:val="7CEF2EDE"/>
    <w:rsid w:val="7CF6426C"/>
    <w:rsid w:val="7CF76237"/>
    <w:rsid w:val="7CF84C17"/>
    <w:rsid w:val="7CFA4897"/>
    <w:rsid w:val="7CFB5D27"/>
    <w:rsid w:val="7CFD1A9F"/>
    <w:rsid w:val="7CFD4CC6"/>
    <w:rsid w:val="7D083FA0"/>
    <w:rsid w:val="7D0B5E36"/>
    <w:rsid w:val="7D0D7808"/>
    <w:rsid w:val="7D0E3538"/>
    <w:rsid w:val="7D133070"/>
    <w:rsid w:val="7D133243"/>
    <w:rsid w:val="7D1641C7"/>
    <w:rsid w:val="7D1E37D2"/>
    <w:rsid w:val="7D252DA4"/>
    <w:rsid w:val="7D256900"/>
    <w:rsid w:val="7D2B08E9"/>
    <w:rsid w:val="7D3A315F"/>
    <w:rsid w:val="7D4A280A"/>
    <w:rsid w:val="7D52485C"/>
    <w:rsid w:val="7D5A1F78"/>
    <w:rsid w:val="7D5A5BB5"/>
    <w:rsid w:val="7D5F62B6"/>
    <w:rsid w:val="7D625DA6"/>
    <w:rsid w:val="7D757A64"/>
    <w:rsid w:val="7D817FF3"/>
    <w:rsid w:val="7D830F78"/>
    <w:rsid w:val="7D883202"/>
    <w:rsid w:val="7D8A2C07"/>
    <w:rsid w:val="7D8C7388"/>
    <w:rsid w:val="7D8E0949"/>
    <w:rsid w:val="7DAC7021"/>
    <w:rsid w:val="7DAF3557"/>
    <w:rsid w:val="7DB3215D"/>
    <w:rsid w:val="7DBC167C"/>
    <w:rsid w:val="7DBD1F2D"/>
    <w:rsid w:val="7DCA16EC"/>
    <w:rsid w:val="7DCC0473"/>
    <w:rsid w:val="7DCC321F"/>
    <w:rsid w:val="7DD12549"/>
    <w:rsid w:val="7DD6409E"/>
    <w:rsid w:val="7DD6F850"/>
    <w:rsid w:val="7DD87E16"/>
    <w:rsid w:val="7DD8CC09"/>
    <w:rsid w:val="7DD97789"/>
    <w:rsid w:val="7DE07113"/>
    <w:rsid w:val="7DE14F1D"/>
    <w:rsid w:val="7DE26D93"/>
    <w:rsid w:val="7DE65799"/>
    <w:rsid w:val="7DE822A1"/>
    <w:rsid w:val="7DE91FA1"/>
    <w:rsid w:val="7DF173AE"/>
    <w:rsid w:val="7DF54524"/>
    <w:rsid w:val="7E1827B4"/>
    <w:rsid w:val="7E2E6CC1"/>
    <w:rsid w:val="7E30457B"/>
    <w:rsid w:val="7E370FE0"/>
    <w:rsid w:val="7E394D59"/>
    <w:rsid w:val="7E3F60E7"/>
    <w:rsid w:val="7E4159BB"/>
    <w:rsid w:val="7E425EB3"/>
    <w:rsid w:val="7E4436FD"/>
    <w:rsid w:val="7E481FBB"/>
    <w:rsid w:val="7E497A3C"/>
    <w:rsid w:val="7E4A06B1"/>
    <w:rsid w:val="7E4D1CC6"/>
    <w:rsid w:val="7E5A355A"/>
    <w:rsid w:val="7E5C0A47"/>
    <w:rsid w:val="7E655B4E"/>
    <w:rsid w:val="7E6671D0"/>
    <w:rsid w:val="7E694F12"/>
    <w:rsid w:val="7E6F3C67"/>
    <w:rsid w:val="7E795155"/>
    <w:rsid w:val="7E8458A8"/>
    <w:rsid w:val="7E8705BC"/>
    <w:rsid w:val="7E9214D5"/>
    <w:rsid w:val="7E9A6542"/>
    <w:rsid w:val="7EA271D1"/>
    <w:rsid w:val="7EA63A7B"/>
    <w:rsid w:val="7EAC5BC7"/>
    <w:rsid w:val="7EBC7D7B"/>
    <w:rsid w:val="7EC81C39"/>
    <w:rsid w:val="7ECD2214"/>
    <w:rsid w:val="7ECE2051"/>
    <w:rsid w:val="7ECF1219"/>
    <w:rsid w:val="7ECF77F4"/>
    <w:rsid w:val="7ED06D3F"/>
    <w:rsid w:val="7ED10C1A"/>
    <w:rsid w:val="7EDC282E"/>
    <w:rsid w:val="7EDF4744"/>
    <w:rsid w:val="7EE12CFA"/>
    <w:rsid w:val="7EE60BBF"/>
    <w:rsid w:val="7EEF71C5"/>
    <w:rsid w:val="7EF23159"/>
    <w:rsid w:val="7EF43758"/>
    <w:rsid w:val="7EFC5D86"/>
    <w:rsid w:val="7EFF3CE8"/>
    <w:rsid w:val="7F021B99"/>
    <w:rsid w:val="7F0A2251"/>
    <w:rsid w:val="7F160BF6"/>
    <w:rsid w:val="7F222FA3"/>
    <w:rsid w:val="7F2D7CEE"/>
    <w:rsid w:val="7F3279BA"/>
    <w:rsid w:val="7F32C2EB"/>
    <w:rsid w:val="7F363046"/>
    <w:rsid w:val="7F3F16E9"/>
    <w:rsid w:val="7F4339B5"/>
    <w:rsid w:val="7F4A6AF1"/>
    <w:rsid w:val="7F536FF5"/>
    <w:rsid w:val="7F58120E"/>
    <w:rsid w:val="7F5C6600"/>
    <w:rsid w:val="7F5D4748"/>
    <w:rsid w:val="7F5E5386"/>
    <w:rsid w:val="7F625F8B"/>
    <w:rsid w:val="7F691199"/>
    <w:rsid w:val="7F736225"/>
    <w:rsid w:val="7F74752A"/>
    <w:rsid w:val="7F754FAB"/>
    <w:rsid w:val="7F7D7E39"/>
    <w:rsid w:val="7F800DBE"/>
    <w:rsid w:val="7F8BEEBF"/>
    <w:rsid w:val="7F912972"/>
    <w:rsid w:val="7F995383"/>
    <w:rsid w:val="7F9D1317"/>
    <w:rsid w:val="7F9D28EC"/>
    <w:rsid w:val="7F9D7069"/>
    <w:rsid w:val="7FB80F18"/>
    <w:rsid w:val="7FBAA851"/>
    <w:rsid w:val="7FC22B2C"/>
    <w:rsid w:val="7FCA43A0"/>
    <w:rsid w:val="7FCD0DEE"/>
    <w:rsid w:val="7FCE7723"/>
    <w:rsid w:val="7FD02A1D"/>
    <w:rsid w:val="7FD0349B"/>
    <w:rsid w:val="7FD22AED"/>
    <w:rsid w:val="7FD71F4F"/>
    <w:rsid w:val="7FD91C23"/>
    <w:rsid w:val="7FDA0E4E"/>
    <w:rsid w:val="7FDAC636"/>
    <w:rsid w:val="7FDE1157"/>
    <w:rsid w:val="7FEC544C"/>
    <w:rsid w:val="7FF179B1"/>
    <w:rsid w:val="7FF2303E"/>
    <w:rsid w:val="7FF73105"/>
    <w:rsid w:val="7FF83F00"/>
    <w:rsid w:val="7FFB4EDE"/>
    <w:rsid w:val="7FFB8065"/>
    <w:rsid w:val="7FFEEA3E"/>
    <w:rsid w:val="7FFF3060"/>
    <w:rsid w:val="7FFFC5E1"/>
    <w:rsid w:val="917BD80A"/>
    <w:rsid w:val="99FF9A2B"/>
    <w:rsid w:val="9BB9FFBC"/>
    <w:rsid w:val="9BF51662"/>
    <w:rsid w:val="9EDF85ED"/>
    <w:rsid w:val="9EEED8B6"/>
    <w:rsid w:val="9EFD73C9"/>
    <w:rsid w:val="9F3C2C0B"/>
    <w:rsid w:val="AFB56FEB"/>
    <w:rsid w:val="AFFBDC84"/>
    <w:rsid w:val="B4FB3CBD"/>
    <w:rsid w:val="B747EF1D"/>
    <w:rsid w:val="B7FE59DC"/>
    <w:rsid w:val="B7FF2B54"/>
    <w:rsid w:val="B87F6715"/>
    <w:rsid w:val="BB5DFEA7"/>
    <w:rsid w:val="BDEBF985"/>
    <w:rsid w:val="BDFD3547"/>
    <w:rsid w:val="BEEBD0B7"/>
    <w:rsid w:val="BEFE9A5C"/>
    <w:rsid w:val="BF7F08E0"/>
    <w:rsid w:val="BF7F7519"/>
    <w:rsid w:val="BFF4D782"/>
    <w:rsid w:val="C7DDBF0B"/>
    <w:rsid w:val="CABF8226"/>
    <w:rsid w:val="CEF7F395"/>
    <w:rsid w:val="CFAF26BE"/>
    <w:rsid w:val="D5FEFBDD"/>
    <w:rsid w:val="D97F7ED1"/>
    <w:rsid w:val="DB7D6E83"/>
    <w:rsid w:val="DBF903B6"/>
    <w:rsid w:val="DCDFFBFC"/>
    <w:rsid w:val="DEBB516D"/>
    <w:rsid w:val="DEF34999"/>
    <w:rsid w:val="DFBD16BB"/>
    <w:rsid w:val="DFBF2881"/>
    <w:rsid w:val="DFF74AB2"/>
    <w:rsid w:val="DFFD84B6"/>
    <w:rsid w:val="E3F6C3C8"/>
    <w:rsid w:val="E4F3D20E"/>
    <w:rsid w:val="E5EF0606"/>
    <w:rsid w:val="E6BD01E3"/>
    <w:rsid w:val="E6EBEC04"/>
    <w:rsid w:val="E7F57A12"/>
    <w:rsid w:val="E9CFB369"/>
    <w:rsid w:val="EAF37E5B"/>
    <w:rsid w:val="EAFFE847"/>
    <w:rsid w:val="ECF79786"/>
    <w:rsid w:val="EE7F15FE"/>
    <w:rsid w:val="EEB7DDC9"/>
    <w:rsid w:val="EFD5B796"/>
    <w:rsid w:val="EFF748B9"/>
    <w:rsid w:val="F1FFFCA9"/>
    <w:rsid w:val="F2B7CCA1"/>
    <w:rsid w:val="F3B11C21"/>
    <w:rsid w:val="F3FA7A8D"/>
    <w:rsid w:val="F4EF286C"/>
    <w:rsid w:val="F5AC4226"/>
    <w:rsid w:val="F5BF694A"/>
    <w:rsid w:val="F5F981DD"/>
    <w:rsid w:val="F73FEE2E"/>
    <w:rsid w:val="F79B3F86"/>
    <w:rsid w:val="F7B9CBCB"/>
    <w:rsid w:val="F7F549B8"/>
    <w:rsid w:val="F7F75EB5"/>
    <w:rsid w:val="FA63DC4F"/>
    <w:rsid w:val="FAFAE44E"/>
    <w:rsid w:val="FAFF50CC"/>
    <w:rsid w:val="FB7964AE"/>
    <w:rsid w:val="FBFBE988"/>
    <w:rsid w:val="FC690031"/>
    <w:rsid w:val="FCBF5ADE"/>
    <w:rsid w:val="FD9DF4DD"/>
    <w:rsid w:val="FDBE8679"/>
    <w:rsid w:val="FDCB6AFC"/>
    <w:rsid w:val="FDFBEEB8"/>
    <w:rsid w:val="FEBFB8BE"/>
    <w:rsid w:val="FEFF456C"/>
    <w:rsid w:val="FF6EB2C4"/>
    <w:rsid w:val="FF7E2F70"/>
    <w:rsid w:val="FF7F6999"/>
    <w:rsid w:val="FF951DBE"/>
    <w:rsid w:val="FFDF7EFC"/>
    <w:rsid w:val="FFF5F49A"/>
    <w:rsid w:val="FFF9C6D8"/>
    <w:rsid w:val="FFFBDB87"/>
    <w:rsid w:val="FFFE3A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qFormat="1" w:unhideWhenUsed="0" w:uiPriority="0" w:semiHidden="0" w:name="Body Text Indent 3"/>
    <w:lsdException w:uiPriority="0" w:name="Block Text"/>
    <w:lsdException w:qFormat="1"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99"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9"/>
    <w:qFormat/>
    <w:uiPriority w:val="0"/>
    <w:pPr>
      <w:keepNext/>
      <w:keepLines/>
      <w:spacing w:line="360" w:lineRule="auto"/>
      <w:ind w:firstLine="141" w:firstLineChars="47"/>
      <w:outlineLvl w:val="0"/>
    </w:pPr>
    <w:rPr>
      <w:rFonts w:ascii="黑体" w:hAnsi="黑体" w:eastAsia="黑体"/>
      <w:bCs/>
      <w:color w:val="FF0000"/>
      <w:kern w:val="44"/>
      <w:sz w:val="30"/>
      <w:szCs w:val="30"/>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1"/>
    <w:qFormat/>
    <w:uiPriority w:val="0"/>
    <w:pPr>
      <w:jc w:val="left"/>
    </w:pPr>
    <w:rPr>
      <w:rFonts w:ascii="Calibri" w:hAnsi="Calibri"/>
    </w:rPr>
  </w:style>
  <w:style w:type="paragraph" w:styleId="4">
    <w:name w:val="Body Text Indent"/>
    <w:basedOn w:val="1"/>
    <w:link w:val="22"/>
    <w:qFormat/>
    <w:uiPriority w:val="0"/>
    <w:pPr>
      <w:ind w:firstLine="560" w:firstLineChars="200"/>
    </w:pPr>
    <w:rPr>
      <w:rFonts w:ascii="宋体" w:hAnsi="宋体"/>
      <w:color w:val="000000"/>
      <w:sz w:val="28"/>
    </w:rPr>
  </w:style>
  <w:style w:type="paragraph" w:styleId="5">
    <w:name w:val="Plain Text"/>
    <w:basedOn w:val="1"/>
    <w:link w:val="25"/>
    <w:qFormat/>
    <w:uiPriority w:val="99"/>
    <w:rPr>
      <w:rFonts w:ascii="宋体" w:hAnsi="Courier New"/>
      <w:szCs w:val="20"/>
    </w:rPr>
  </w:style>
  <w:style w:type="paragraph" w:styleId="6">
    <w:name w:val="Body Text Indent 2"/>
    <w:basedOn w:val="1"/>
    <w:link w:val="18"/>
    <w:qFormat/>
    <w:uiPriority w:val="0"/>
    <w:pPr>
      <w:snapToGrid w:val="0"/>
      <w:spacing w:line="620" w:lineRule="exact"/>
      <w:ind w:firstLine="584" w:firstLineChars="200"/>
    </w:pPr>
    <w:rPr>
      <w:rFonts w:ascii="仿宋_GB2312" w:hAnsi="宋体" w:eastAsia="仿宋_GB2312"/>
      <w:spacing w:val="6"/>
      <w:sz w:val="28"/>
    </w:rPr>
  </w:style>
  <w:style w:type="paragraph" w:styleId="7">
    <w:name w:val="Balloon Text"/>
    <w:basedOn w:val="1"/>
    <w:link w:val="17"/>
    <w:semiHidden/>
    <w:qFormat/>
    <w:uiPriority w:val="99"/>
    <w:rPr>
      <w:sz w:val="18"/>
      <w:szCs w:val="18"/>
    </w:rPr>
  </w:style>
  <w:style w:type="paragraph" w:styleId="8">
    <w:name w:val="footer"/>
    <w:basedOn w:val="1"/>
    <w:link w:val="20"/>
    <w:qFormat/>
    <w:uiPriority w:val="99"/>
    <w:pPr>
      <w:tabs>
        <w:tab w:val="center" w:pos="4153"/>
        <w:tab w:val="right" w:pos="8306"/>
      </w:tabs>
      <w:snapToGrid w:val="0"/>
      <w:jc w:val="left"/>
    </w:pPr>
    <w:rPr>
      <w:rFonts w:ascii="Calibri" w:hAnsi="Calibri"/>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Body Text Indent 3"/>
    <w:basedOn w:val="1"/>
    <w:qFormat/>
    <w:uiPriority w:val="0"/>
    <w:pPr>
      <w:spacing w:line="600" w:lineRule="exact"/>
      <w:ind w:left="480"/>
    </w:pPr>
    <w:rPr>
      <w:rFonts w:ascii="楷体_GB2312" w:eastAsia="楷体_GB2312"/>
      <w:bCs/>
      <w:sz w:val="24"/>
    </w:rPr>
  </w:style>
  <w:style w:type="paragraph" w:styleId="11">
    <w:name w:val="annotation subject"/>
    <w:basedOn w:val="3"/>
    <w:next w:val="3"/>
    <w:link w:val="24"/>
    <w:qFormat/>
    <w:uiPriority w:val="0"/>
    <w:rPr>
      <w:b/>
      <w:bCs/>
    </w:rPr>
  </w:style>
  <w:style w:type="character" w:styleId="14">
    <w:name w:val="page number"/>
    <w:basedOn w:val="13"/>
    <w:qFormat/>
    <w:uiPriority w:val="0"/>
  </w:style>
  <w:style w:type="character" w:styleId="15">
    <w:name w:val="Hyperlink"/>
    <w:basedOn w:val="13"/>
    <w:unhideWhenUsed/>
    <w:qFormat/>
    <w:uiPriority w:val="0"/>
    <w:rPr>
      <w:color w:val="0563C1" w:themeColor="hyperlink"/>
      <w:u w:val="single"/>
      <w14:textFill>
        <w14:solidFill>
          <w14:schemeClr w14:val="hlink"/>
        </w14:solidFill>
      </w14:textFill>
    </w:rPr>
  </w:style>
  <w:style w:type="character" w:styleId="16">
    <w:name w:val="annotation reference"/>
    <w:qFormat/>
    <w:uiPriority w:val="0"/>
    <w:rPr>
      <w:sz w:val="21"/>
      <w:szCs w:val="21"/>
    </w:rPr>
  </w:style>
  <w:style w:type="character" w:customStyle="1" w:styleId="17">
    <w:name w:val="批注框文本 字符"/>
    <w:link w:val="7"/>
    <w:semiHidden/>
    <w:qFormat/>
    <w:uiPriority w:val="99"/>
    <w:rPr>
      <w:rFonts w:ascii="Times New Roman" w:hAnsi="Times New Roman"/>
      <w:kern w:val="2"/>
      <w:sz w:val="18"/>
      <w:szCs w:val="18"/>
    </w:rPr>
  </w:style>
  <w:style w:type="character" w:customStyle="1" w:styleId="18">
    <w:name w:val="正文文本缩进 2 字符"/>
    <w:link w:val="6"/>
    <w:qFormat/>
    <w:uiPriority w:val="0"/>
    <w:rPr>
      <w:rFonts w:ascii="仿宋_GB2312" w:hAnsi="宋体" w:eastAsia="仿宋_GB2312"/>
      <w:spacing w:val="6"/>
      <w:kern w:val="2"/>
      <w:sz w:val="28"/>
      <w:szCs w:val="24"/>
    </w:rPr>
  </w:style>
  <w:style w:type="character" w:customStyle="1" w:styleId="19">
    <w:name w:val="标题 1 字符"/>
    <w:link w:val="2"/>
    <w:qFormat/>
    <w:uiPriority w:val="0"/>
    <w:rPr>
      <w:rFonts w:ascii="黑体" w:hAnsi="黑体" w:eastAsia="黑体"/>
      <w:bCs/>
      <w:color w:val="FF0000"/>
      <w:kern w:val="44"/>
      <w:sz w:val="30"/>
      <w:szCs w:val="30"/>
    </w:rPr>
  </w:style>
  <w:style w:type="character" w:customStyle="1" w:styleId="20">
    <w:name w:val="页脚 字符"/>
    <w:link w:val="8"/>
    <w:qFormat/>
    <w:uiPriority w:val="99"/>
    <w:rPr>
      <w:kern w:val="2"/>
      <w:sz w:val="18"/>
      <w:szCs w:val="18"/>
    </w:rPr>
  </w:style>
  <w:style w:type="character" w:customStyle="1" w:styleId="21">
    <w:name w:val="批注文字 字符"/>
    <w:link w:val="3"/>
    <w:qFormat/>
    <w:uiPriority w:val="0"/>
    <w:rPr>
      <w:kern w:val="2"/>
      <w:sz w:val="21"/>
      <w:szCs w:val="24"/>
    </w:rPr>
  </w:style>
  <w:style w:type="character" w:customStyle="1" w:styleId="22">
    <w:name w:val="正文文本缩进 字符"/>
    <w:link w:val="4"/>
    <w:qFormat/>
    <w:uiPriority w:val="0"/>
    <w:rPr>
      <w:rFonts w:ascii="宋体" w:hAnsi="宋体"/>
      <w:color w:val="000000"/>
      <w:kern w:val="2"/>
      <w:sz w:val="28"/>
      <w:szCs w:val="24"/>
    </w:rPr>
  </w:style>
  <w:style w:type="character" w:customStyle="1" w:styleId="23">
    <w:name w:val="标题 1 Char"/>
    <w:qFormat/>
    <w:uiPriority w:val="0"/>
    <w:rPr>
      <w:rFonts w:ascii="Times New Roman" w:hAnsi="Times New Roman" w:eastAsia="宋体" w:cs="Times New Roman"/>
      <w:b/>
      <w:bCs/>
      <w:kern w:val="44"/>
      <w:sz w:val="44"/>
      <w:szCs w:val="44"/>
    </w:rPr>
  </w:style>
  <w:style w:type="character" w:customStyle="1" w:styleId="24">
    <w:name w:val="批注主题 字符"/>
    <w:link w:val="11"/>
    <w:qFormat/>
    <w:uiPriority w:val="0"/>
    <w:rPr>
      <w:b/>
      <w:bCs/>
      <w:kern w:val="2"/>
      <w:sz w:val="21"/>
      <w:szCs w:val="24"/>
    </w:rPr>
  </w:style>
  <w:style w:type="character" w:customStyle="1" w:styleId="25">
    <w:name w:val="纯文本 字符"/>
    <w:link w:val="5"/>
    <w:qFormat/>
    <w:uiPriority w:val="99"/>
    <w:rPr>
      <w:rFonts w:ascii="宋体" w:hAnsi="Courier New"/>
      <w:kern w:val="2"/>
      <w:sz w:val="21"/>
    </w:rPr>
  </w:style>
  <w:style w:type="character" w:customStyle="1" w:styleId="26">
    <w:name w:val="标题 1 Char1"/>
    <w:qFormat/>
    <w:uiPriority w:val="0"/>
    <w:rPr>
      <w:b/>
      <w:bCs/>
      <w:kern w:val="44"/>
      <w:sz w:val="44"/>
      <w:szCs w:val="44"/>
    </w:rPr>
  </w:style>
  <w:style w:type="paragraph" w:customStyle="1" w:styleId="27">
    <w:name w:val="修订1"/>
    <w:unhideWhenUsed/>
    <w:qFormat/>
    <w:uiPriority w:val="99"/>
    <w:rPr>
      <w:rFonts w:ascii="Times New Roman" w:hAnsi="Times New Roman" w:eastAsia="宋体" w:cs="Times New Roman"/>
      <w:kern w:val="2"/>
      <w:sz w:val="21"/>
      <w:szCs w:val="24"/>
      <w:lang w:val="en-US" w:eastAsia="zh-CN" w:bidi="ar-SA"/>
    </w:rPr>
  </w:style>
  <w:style w:type="paragraph" w:customStyle="1" w:styleId="28">
    <w:name w:val="彩色底纹 - 强调文字颜色 11"/>
    <w:unhideWhenUsed/>
    <w:qFormat/>
    <w:uiPriority w:val="99"/>
    <w:rPr>
      <w:rFonts w:ascii="Times New Roman" w:hAnsi="Times New Roman" w:eastAsia="宋体" w:cs="Times New Roman"/>
      <w:kern w:val="2"/>
      <w:sz w:val="21"/>
      <w:szCs w:val="24"/>
      <w:lang w:val="en-US" w:eastAsia="zh-CN" w:bidi="ar-SA"/>
    </w:rPr>
  </w:style>
  <w:style w:type="paragraph" w:customStyle="1" w:styleId="29">
    <w:name w:val="彩色列表 - 强调文字颜色 11"/>
    <w:basedOn w:val="1"/>
    <w:qFormat/>
    <w:uiPriority w:val="34"/>
    <w:pPr>
      <w:ind w:firstLine="420" w:firstLineChars="200"/>
    </w:pPr>
  </w:style>
  <w:style w:type="paragraph" w:customStyle="1" w:styleId="30">
    <w:name w:val="中等深浅网格 1 - 着色 21"/>
    <w:basedOn w:val="1"/>
    <w:qFormat/>
    <w:uiPriority w:val="34"/>
    <w:pPr>
      <w:ind w:firstLine="420" w:firstLineChars="200"/>
    </w:pPr>
  </w:style>
  <w:style w:type="paragraph" w:customStyle="1" w:styleId="31">
    <w:name w:val="p0"/>
    <w:basedOn w:val="1"/>
    <w:qFormat/>
    <w:uiPriority w:val="0"/>
    <w:pPr>
      <w:widowControl/>
    </w:pPr>
    <w:rPr>
      <w:rFonts w:ascii="等线" w:hAnsi="等线" w:eastAsia="等线" w:cs="宋体"/>
      <w:kern w:val="0"/>
      <w:szCs w:val="21"/>
    </w:rPr>
  </w:style>
  <w:style w:type="paragraph" w:customStyle="1" w:styleId="32">
    <w:name w:val="Char"/>
    <w:basedOn w:val="1"/>
    <w:semiHidden/>
    <w:qFormat/>
    <w:uiPriority w:val="0"/>
    <w:rPr>
      <w:rFonts w:eastAsia="仿宋_GB2312"/>
      <w:sz w:val="28"/>
    </w:rPr>
  </w:style>
  <w:style w:type="paragraph" w:customStyle="1" w:styleId="33">
    <w:name w:val="Default"/>
    <w:qFormat/>
    <w:uiPriority w:val="0"/>
    <w:pPr>
      <w:widowControl w:val="0"/>
      <w:autoSpaceDE w:val="0"/>
      <w:autoSpaceDN w:val="0"/>
      <w:adjustRightInd w:val="0"/>
    </w:pPr>
    <w:rPr>
      <w:rFonts w:ascii="仿宋" w:hAnsi="Calibri" w:eastAsia="仿宋" w:cs="仿宋"/>
      <w:color w:val="000000"/>
      <w:sz w:val="24"/>
      <w:szCs w:val="24"/>
      <w:lang w:val="en-US" w:eastAsia="zh-CN" w:bidi="ar-SA"/>
    </w:rPr>
  </w:style>
  <w:style w:type="paragraph" w:customStyle="1" w:styleId="34">
    <w:name w:val="中等深浅列表 2 - 着色 21"/>
    <w:unhideWhenUsed/>
    <w:qFormat/>
    <w:uiPriority w:val="99"/>
    <w:rPr>
      <w:rFonts w:ascii="Times New Roman" w:hAnsi="Times New Roman" w:eastAsia="宋体" w:cs="Times New Roman"/>
      <w:kern w:val="2"/>
      <w:sz w:val="21"/>
      <w:szCs w:val="24"/>
      <w:lang w:val="en-US" w:eastAsia="zh-CN" w:bidi="ar-SA"/>
    </w:rPr>
  </w:style>
  <w:style w:type="paragraph" w:styleId="35">
    <w:name w:val="List Paragraph"/>
    <w:basedOn w:val="1"/>
    <w:qFormat/>
    <w:uiPriority w:val="34"/>
    <w:pPr>
      <w:ind w:firstLine="420" w:firstLineChars="200"/>
    </w:pPr>
    <w:rPr>
      <w:rFonts w:ascii="Calibri" w:hAnsi="Calibri"/>
      <w:szCs w:val="22"/>
    </w:rPr>
  </w:style>
  <w:style w:type="paragraph" w:customStyle="1" w:styleId="36">
    <w:name w:val="修订2"/>
    <w:hidden/>
    <w:semiHidden/>
    <w:qFormat/>
    <w:uiPriority w:val="99"/>
    <w:rPr>
      <w:rFonts w:ascii="Times New Roman" w:hAnsi="Times New Roman" w:eastAsia="宋体" w:cs="Times New Roman"/>
      <w:kern w:val="2"/>
      <w:sz w:val="21"/>
      <w:szCs w:val="24"/>
      <w:lang w:val="en-US" w:eastAsia="zh-CN" w:bidi="ar-SA"/>
    </w:rPr>
  </w:style>
  <w:style w:type="paragraph" w:customStyle="1" w:styleId="37">
    <w:name w:val="修订3"/>
    <w:hidden/>
    <w:semiHidden/>
    <w:qFormat/>
    <w:uiPriority w:val="99"/>
    <w:rPr>
      <w:rFonts w:ascii="Times New Roman" w:hAnsi="Times New Roman" w:eastAsia="宋体" w:cs="Times New Roman"/>
      <w:kern w:val="2"/>
      <w:sz w:val="21"/>
      <w:szCs w:val="24"/>
      <w:lang w:val="en-US" w:eastAsia="zh-CN" w:bidi="ar-SA"/>
    </w:rPr>
  </w:style>
  <w:style w:type="character" w:customStyle="1" w:styleId="38">
    <w:name w:val="未处理的提及1"/>
    <w:basedOn w:val="13"/>
    <w:semiHidden/>
    <w:unhideWhenUsed/>
    <w:qFormat/>
    <w:uiPriority w:val="99"/>
    <w:rPr>
      <w:color w:val="605E5C"/>
      <w:shd w:val="clear" w:color="auto" w:fill="E1DFDD"/>
    </w:rPr>
  </w:style>
  <w:style w:type="paragraph" w:customStyle="1" w:styleId="39">
    <w:name w:val="修订4"/>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czb</Company>
  <Pages>124</Pages>
  <Words>3922</Words>
  <Characters>4119</Characters>
  <Lines>390</Lines>
  <Paragraphs>109</Paragraphs>
  <TotalTime>53</TotalTime>
  <ScaleCrop>false</ScaleCrop>
  <LinksUpToDate>false</LinksUpToDate>
  <CharactersWithSpaces>4136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2016-01-15T12:34:00Z</dcterms:created>
  <dc:creator>czb</dc:creator>
  <cp:lastModifiedBy>朱</cp:lastModifiedBy>
  <cp:lastPrinted>2023-12-15T01:32:00Z</cp:lastPrinted>
  <dcterms:modified xsi:type="dcterms:W3CDTF">2024-12-20T03:28:16Z</dcterms:modified>
  <dc:title>行政事业单位资产清查报表、基础表填报说明</dc:title>
  <cp:revision>879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51E59D199BB4FE5EC2DDE46623F3BC99_43</vt:lpwstr>
  </property>
</Properties>
</file>