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4AF51">
      <w:pPr>
        <w:pStyle w:val="30"/>
        <w:tabs>
          <w:tab w:val="left" w:pos="420"/>
          <w:tab w:val="right" w:leader="dot" w:pos="8296"/>
        </w:tabs>
        <w:rPr>
          <w:rFonts w:ascii="仿宋_GB2312" w:hAnsi="仿宋_GB2312" w:eastAsia="仿宋_GB2312"/>
          <w:sz w:val="30"/>
          <w:szCs w:val="30"/>
        </w:rPr>
      </w:pPr>
      <w:bookmarkStart w:id="3543" w:name="_GoBack"/>
      <w:bookmarkEnd w:id="3543"/>
    </w:p>
    <w:p w14:paraId="3CA006FA">
      <w:pPr>
        <w:pStyle w:val="30"/>
        <w:tabs>
          <w:tab w:val="left" w:pos="420"/>
          <w:tab w:val="right" w:leader="dot" w:pos="8296"/>
        </w:tabs>
        <w:jc w:val="center"/>
        <w:rPr>
          <w:rFonts w:ascii="黑体" w:hAnsi="黑体"/>
          <w:sz w:val="56"/>
        </w:rPr>
      </w:pPr>
    </w:p>
    <w:p w14:paraId="162CE4E8">
      <w:pPr>
        <w:pStyle w:val="30"/>
        <w:tabs>
          <w:tab w:val="left" w:pos="420"/>
          <w:tab w:val="right" w:leader="dot" w:pos="8296"/>
        </w:tabs>
        <w:jc w:val="center"/>
        <w:rPr>
          <w:rFonts w:ascii="黑体" w:hAnsi="黑体"/>
          <w:sz w:val="56"/>
        </w:rPr>
      </w:pPr>
    </w:p>
    <w:p w14:paraId="1015B9AE">
      <w:pPr>
        <w:pStyle w:val="30"/>
        <w:tabs>
          <w:tab w:val="left" w:pos="420"/>
          <w:tab w:val="right" w:leader="dot" w:pos="8296"/>
        </w:tabs>
        <w:jc w:val="center"/>
        <w:rPr>
          <w:rFonts w:ascii="黑体" w:hAnsi="黑体"/>
          <w:sz w:val="56"/>
        </w:rPr>
      </w:pPr>
    </w:p>
    <w:p w14:paraId="36DD1620">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上海证券交易所债券交易业务</w:t>
      </w:r>
    </w:p>
    <w:p w14:paraId="2DA16491">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指南第1号——交易业务</w:t>
      </w:r>
    </w:p>
    <w:p w14:paraId="5B3C36A2">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（202</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年</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月修订）</w:t>
      </w:r>
    </w:p>
    <w:p w14:paraId="04EE8E57"/>
    <w:p w14:paraId="4F64F28C"/>
    <w:p w14:paraId="1D6843D7"/>
    <w:p w14:paraId="5E9B6653"/>
    <w:p w14:paraId="0039FE8C"/>
    <w:p w14:paraId="5F8F4BB5"/>
    <w:p w14:paraId="62F3660C"/>
    <w:p w14:paraId="4A34F923"/>
    <w:p w14:paraId="77B61A48"/>
    <w:p w14:paraId="1FF953EC"/>
    <w:p w14:paraId="4241414F">
      <w:pPr>
        <w:jc w:val="center"/>
        <w:rPr>
          <w:rFonts w:ascii="仿宋_GB2312" w:eastAsia="仿宋_GB2312"/>
          <w:sz w:val="30"/>
          <w:szCs w:val="30"/>
        </w:rPr>
      </w:pPr>
    </w:p>
    <w:p w14:paraId="3DA6CC51">
      <w:pPr>
        <w:jc w:val="center"/>
        <w:rPr>
          <w:rFonts w:ascii="仿宋_GB2312" w:eastAsia="仿宋_GB2312"/>
          <w:sz w:val="30"/>
          <w:szCs w:val="30"/>
        </w:rPr>
      </w:pPr>
    </w:p>
    <w:p w14:paraId="7BA74F6A">
      <w:pPr>
        <w:jc w:val="center"/>
        <w:rPr>
          <w:rFonts w:ascii="仿宋_GB2312" w:eastAsia="仿宋_GB2312"/>
          <w:sz w:val="30"/>
          <w:szCs w:val="30"/>
        </w:rPr>
      </w:pPr>
    </w:p>
    <w:p w14:paraId="780AB25D">
      <w:pPr>
        <w:jc w:val="center"/>
        <w:rPr>
          <w:rFonts w:ascii="仿宋_GB2312" w:eastAsia="仿宋_GB2312"/>
          <w:sz w:val="30"/>
          <w:szCs w:val="30"/>
        </w:rPr>
      </w:pPr>
    </w:p>
    <w:p w14:paraId="514BF914">
      <w:pPr>
        <w:jc w:val="center"/>
        <w:rPr>
          <w:rFonts w:ascii="仿宋_GB2312" w:eastAsia="仿宋_GB2312"/>
          <w:b/>
          <w:sz w:val="30"/>
          <w:szCs w:val="30"/>
        </w:rPr>
      </w:pPr>
      <w:r>
        <w:rPr>
          <w:rFonts w:hint="eastAsia" w:ascii="仿宋_GB2312" w:eastAsia="仿宋_GB2312"/>
          <w:b/>
          <w:sz w:val="30"/>
          <w:szCs w:val="30"/>
        </w:rPr>
        <w:t>202</w:t>
      </w:r>
      <w:r>
        <w:rPr>
          <w:rFonts w:hint="eastAsia" w:ascii="仿宋_GB2312" w:eastAsia="仿宋_GB2312"/>
          <w:b/>
          <w:sz w:val="30"/>
          <w:szCs w:val="30"/>
          <w:lang w:val="en-US" w:eastAsia="zh-CN"/>
        </w:rPr>
        <w:t>5</w:t>
      </w:r>
      <w:r>
        <w:rPr>
          <w:rFonts w:hint="eastAsia" w:ascii="仿宋_GB2312" w:eastAsia="仿宋_GB2312"/>
          <w:b/>
          <w:sz w:val="30"/>
          <w:szCs w:val="30"/>
        </w:rPr>
        <w:t>年</w:t>
      </w:r>
      <w:r>
        <w:rPr>
          <w:rFonts w:hint="eastAsia" w:ascii="仿宋_GB2312" w:eastAsia="仿宋_GB2312"/>
          <w:b/>
          <w:sz w:val="30"/>
          <w:szCs w:val="30"/>
          <w:lang w:val="en-US" w:eastAsia="zh-CN"/>
        </w:rPr>
        <w:t>3</w:t>
      </w:r>
      <w:r>
        <w:rPr>
          <w:rFonts w:hint="eastAsia" w:ascii="仿宋_GB2312" w:eastAsia="仿宋_GB2312"/>
          <w:b/>
          <w:sz w:val="30"/>
          <w:szCs w:val="30"/>
        </w:rPr>
        <w:t>月</w:t>
      </w:r>
    </w:p>
    <w:p w14:paraId="27A2B6C5">
      <w:pPr>
        <w:widowControl/>
        <w:jc w:val="left"/>
        <w:rPr>
          <w:rFonts w:ascii="仿宋_GB2312" w:eastAsia="仿宋_GB2312"/>
          <w:b/>
          <w:sz w:val="30"/>
          <w:szCs w:val="30"/>
        </w:rPr>
      </w:pPr>
      <w:r>
        <w:rPr>
          <w:rFonts w:ascii="仿宋_GB2312" w:eastAsia="仿宋_GB2312"/>
          <w:b/>
          <w:sz w:val="30"/>
          <w:szCs w:val="30"/>
        </w:rPr>
        <w:br w:type="page"/>
      </w:r>
    </w:p>
    <w:p w14:paraId="19BD6247">
      <w:pPr>
        <w:pStyle w:val="39"/>
        <w:spacing w:before="0" w:beforeAutospacing="0" w:after="0" w:afterAutospacing="0" w:line="360" w:lineRule="auto"/>
        <w:jc w:val="center"/>
        <w:outlineLvl w:val="0"/>
        <w:rPr>
          <w:b/>
          <w:sz w:val="32"/>
          <w:szCs w:val="32"/>
        </w:rPr>
      </w:pPr>
      <w:bookmarkStart w:id="0" w:name="_Toc151136875"/>
      <w:bookmarkStart w:id="1" w:name="_Toc31763"/>
      <w:bookmarkStart w:id="2" w:name="_Toc105612272"/>
      <w:r>
        <w:rPr>
          <w:rFonts w:hint="eastAsia"/>
          <w:b/>
          <w:sz w:val="32"/>
          <w:szCs w:val="32"/>
        </w:rPr>
        <w:t>版本说明</w:t>
      </w:r>
      <w:bookmarkEnd w:id="0"/>
      <w:bookmarkEnd w:id="1"/>
      <w:bookmarkEnd w:id="2"/>
    </w:p>
    <w:tbl>
      <w:tblPr>
        <w:tblStyle w:val="43"/>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25"/>
        <w:gridCol w:w="850"/>
        <w:gridCol w:w="1276"/>
        <w:gridCol w:w="3765"/>
        <w:gridCol w:w="113"/>
      </w:tblGrid>
      <w:tr w14:paraId="650F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 w:type="dxa"/>
            <w:tcBorders>
              <w:top w:val="single" w:color="auto" w:sz="4" w:space="0"/>
              <w:left w:val="single" w:color="auto" w:sz="4" w:space="0"/>
              <w:bottom w:val="single" w:color="auto" w:sz="4" w:space="0"/>
              <w:right w:val="single" w:color="auto" w:sz="4" w:space="0"/>
            </w:tcBorders>
            <w:shd w:val="clear" w:color="auto" w:fill="E6E6E6"/>
            <w:vAlign w:val="center"/>
          </w:tcPr>
          <w:p w14:paraId="791D6BA1">
            <w:pPr>
              <w:jc w:val="center"/>
              <w:rPr>
                <w:rFonts w:ascii="宋体" w:hAnsi="宋体"/>
                <w:b/>
                <w:sz w:val="18"/>
              </w:rPr>
            </w:pPr>
            <w:r>
              <w:rPr>
                <w:rFonts w:hint="eastAsia" w:ascii="宋体" w:hAnsi="宋体"/>
                <w:b/>
                <w:sz w:val="18"/>
              </w:rPr>
              <w:t>版本号</w:t>
            </w:r>
          </w:p>
        </w:tc>
        <w:tc>
          <w:tcPr>
            <w:tcW w:w="1425" w:type="dxa"/>
            <w:tcBorders>
              <w:top w:val="single" w:color="auto" w:sz="4" w:space="0"/>
              <w:left w:val="single" w:color="auto" w:sz="4" w:space="0"/>
              <w:bottom w:val="single" w:color="auto" w:sz="4" w:space="0"/>
              <w:right w:val="single" w:color="auto" w:sz="4" w:space="0"/>
            </w:tcBorders>
            <w:shd w:val="clear" w:color="auto" w:fill="E6E6E6"/>
          </w:tcPr>
          <w:p w14:paraId="5E442DB6">
            <w:pPr>
              <w:jc w:val="center"/>
              <w:rPr>
                <w:rFonts w:ascii="宋体" w:hAnsi="宋体"/>
                <w:b/>
                <w:sz w:val="18"/>
              </w:rPr>
            </w:pPr>
            <w:r>
              <w:rPr>
                <w:rFonts w:hint="eastAsia" w:ascii="宋体" w:hAnsi="宋体"/>
                <w:b/>
                <w:sz w:val="18"/>
              </w:rPr>
              <w:t>发起部门</w:t>
            </w:r>
          </w:p>
        </w:tc>
        <w:tc>
          <w:tcPr>
            <w:tcW w:w="850" w:type="dxa"/>
            <w:tcBorders>
              <w:top w:val="single" w:color="auto" w:sz="4" w:space="0"/>
              <w:left w:val="single" w:color="auto" w:sz="4" w:space="0"/>
              <w:bottom w:val="single" w:color="auto" w:sz="4" w:space="0"/>
              <w:right w:val="single" w:color="auto" w:sz="4" w:space="0"/>
            </w:tcBorders>
            <w:shd w:val="clear" w:color="auto" w:fill="E6E6E6"/>
            <w:vAlign w:val="center"/>
          </w:tcPr>
          <w:p w14:paraId="003585C4">
            <w:pPr>
              <w:jc w:val="center"/>
              <w:rPr>
                <w:rFonts w:ascii="宋体" w:hAnsi="宋体"/>
                <w:b/>
                <w:sz w:val="18"/>
              </w:rPr>
            </w:pPr>
            <w:r>
              <w:rPr>
                <w:rFonts w:hint="eastAsia" w:ascii="宋体" w:hAnsi="宋体"/>
                <w:b/>
                <w:sz w:val="18"/>
              </w:rPr>
              <w:t>操作</w:t>
            </w:r>
          </w:p>
        </w:tc>
        <w:tc>
          <w:tcPr>
            <w:tcW w:w="1276" w:type="dxa"/>
            <w:tcBorders>
              <w:top w:val="single" w:color="auto" w:sz="4" w:space="0"/>
              <w:left w:val="single" w:color="auto" w:sz="4" w:space="0"/>
              <w:bottom w:val="single" w:color="auto" w:sz="4" w:space="0"/>
              <w:right w:val="single" w:color="auto" w:sz="4" w:space="0"/>
            </w:tcBorders>
            <w:shd w:val="clear" w:color="auto" w:fill="E6E6E6"/>
            <w:vAlign w:val="center"/>
          </w:tcPr>
          <w:p w14:paraId="34EA08C3">
            <w:pPr>
              <w:jc w:val="center"/>
              <w:rPr>
                <w:rFonts w:ascii="宋体" w:hAnsi="宋体"/>
                <w:b/>
                <w:sz w:val="18"/>
              </w:rPr>
            </w:pPr>
            <w:r>
              <w:rPr>
                <w:rFonts w:hint="eastAsia" w:ascii="宋体" w:hAnsi="宋体"/>
                <w:b/>
                <w:sz w:val="18"/>
              </w:rPr>
              <w:t>日期</w:t>
            </w:r>
          </w:p>
        </w:tc>
        <w:tc>
          <w:tcPr>
            <w:tcW w:w="3878" w:type="dxa"/>
            <w:gridSpan w:val="2"/>
            <w:tcBorders>
              <w:top w:val="single" w:color="auto" w:sz="4" w:space="0"/>
              <w:left w:val="single" w:color="auto" w:sz="4" w:space="0"/>
              <w:bottom w:val="single" w:color="auto" w:sz="4" w:space="0"/>
              <w:right w:val="single" w:color="auto" w:sz="4" w:space="0"/>
            </w:tcBorders>
            <w:shd w:val="clear" w:color="auto" w:fill="E6E6E6"/>
            <w:vAlign w:val="center"/>
          </w:tcPr>
          <w:p w14:paraId="26FD9AB2">
            <w:pPr>
              <w:jc w:val="center"/>
              <w:rPr>
                <w:rFonts w:ascii="宋体" w:hAnsi="宋体"/>
                <w:b/>
                <w:sz w:val="18"/>
              </w:rPr>
            </w:pPr>
            <w:r>
              <w:rPr>
                <w:rFonts w:hint="eastAsia" w:ascii="宋体" w:hAnsi="宋体"/>
                <w:b/>
                <w:sz w:val="18"/>
              </w:rPr>
              <w:t>说明</w:t>
            </w:r>
          </w:p>
        </w:tc>
      </w:tr>
      <w:tr w14:paraId="0F3B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10805E69">
            <w:pPr>
              <w:rPr>
                <w:rFonts w:ascii="宋体" w:hAnsi="宋体"/>
                <w:bCs/>
                <w:sz w:val="18"/>
              </w:rPr>
            </w:pPr>
            <w:r>
              <w:rPr>
                <w:bCs/>
                <w:sz w:val="18"/>
              </w:rPr>
              <w:t>V</w:t>
            </w:r>
            <w:r>
              <w:rPr>
                <w:bCs/>
                <w:iCs/>
                <w:sz w:val="18"/>
              </w:rPr>
              <w:t>1.0</w:t>
            </w:r>
          </w:p>
        </w:tc>
        <w:tc>
          <w:tcPr>
            <w:tcW w:w="1425" w:type="dxa"/>
            <w:tcBorders>
              <w:top w:val="single" w:color="auto" w:sz="4" w:space="0"/>
              <w:left w:val="single" w:color="auto" w:sz="4" w:space="0"/>
              <w:bottom w:val="single" w:color="auto" w:sz="4" w:space="0"/>
              <w:right w:val="single" w:color="auto" w:sz="4" w:space="0"/>
            </w:tcBorders>
          </w:tcPr>
          <w:p w14:paraId="2CC3AECE">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3929970E">
            <w:pPr>
              <w:rPr>
                <w:rFonts w:ascii="宋体" w:hAnsi="宋体"/>
                <w:bCs/>
                <w:sz w:val="18"/>
              </w:rPr>
            </w:pPr>
            <w:r>
              <w:rPr>
                <w:rFonts w:hint="eastAsia" w:ascii="宋体" w:hAnsi="宋体"/>
                <w:bCs/>
                <w:iCs/>
                <w:sz w:val="18"/>
              </w:rPr>
              <w:t>创建</w:t>
            </w:r>
          </w:p>
        </w:tc>
        <w:tc>
          <w:tcPr>
            <w:tcW w:w="1276" w:type="dxa"/>
            <w:tcBorders>
              <w:top w:val="single" w:color="auto" w:sz="4" w:space="0"/>
              <w:left w:val="single" w:color="auto" w:sz="4" w:space="0"/>
              <w:bottom w:val="single" w:color="auto" w:sz="4" w:space="0"/>
              <w:right w:val="single" w:color="auto" w:sz="4" w:space="0"/>
            </w:tcBorders>
          </w:tcPr>
          <w:p w14:paraId="4BAE027F">
            <w:pPr>
              <w:rPr>
                <w:rFonts w:ascii="宋体" w:hAnsi="宋体"/>
                <w:bCs/>
                <w:sz w:val="18"/>
              </w:rPr>
            </w:pPr>
            <w:r>
              <w:rPr>
                <w:iCs/>
                <w:sz w:val="18"/>
              </w:rPr>
              <w:t>2022</w:t>
            </w:r>
            <w:r>
              <w:rPr>
                <w:rFonts w:hint="eastAsia"/>
                <w:iCs/>
                <w:sz w:val="18"/>
              </w:rPr>
              <w:t>年</w:t>
            </w:r>
            <w:r>
              <w:rPr>
                <w:iCs/>
                <w:sz w:val="18"/>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6B190A56">
            <w:pPr>
              <w:rPr>
                <w:rFonts w:ascii="宋体" w:hAnsi="宋体"/>
                <w:bCs/>
                <w:sz w:val="18"/>
              </w:rPr>
            </w:pPr>
            <w:r>
              <w:rPr>
                <w:rFonts w:hint="eastAsia" w:ascii="宋体" w:hAnsi="宋体"/>
                <w:bCs/>
                <w:iCs/>
                <w:sz w:val="18"/>
              </w:rPr>
              <w:t>根据债券</w:t>
            </w:r>
            <w:r>
              <w:rPr>
                <w:rFonts w:ascii="宋体" w:hAnsi="宋体"/>
                <w:bCs/>
                <w:iCs/>
                <w:sz w:val="18"/>
              </w:rPr>
              <w:t>交易规则</w:t>
            </w:r>
            <w:r>
              <w:rPr>
                <w:rFonts w:hint="eastAsia" w:ascii="宋体" w:hAnsi="宋体"/>
                <w:bCs/>
                <w:iCs/>
                <w:sz w:val="18"/>
              </w:rPr>
              <w:t>、</w:t>
            </w:r>
            <w:r>
              <w:rPr>
                <w:rFonts w:ascii="宋体" w:hAnsi="宋体"/>
                <w:bCs/>
                <w:iCs/>
                <w:sz w:val="18"/>
              </w:rPr>
              <w:t>指引</w:t>
            </w:r>
            <w:r>
              <w:rPr>
                <w:rFonts w:hint="eastAsia" w:ascii="宋体" w:hAnsi="宋体"/>
                <w:bCs/>
                <w:iCs/>
                <w:sz w:val="18"/>
              </w:rPr>
              <w:t>及</w:t>
            </w:r>
            <w:r>
              <w:rPr>
                <w:rFonts w:ascii="宋体" w:hAnsi="宋体"/>
                <w:bCs/>
                <w:iCs/>
                <w:sz w:val="18"/>
              </w:rPr>
              <w:t>各项创新产品细则</w:t>
            </w:r>
            <w:r>
              <w:rPr>
                <w:rFonts w:hint="eastAsia" w:ascii="宋体" w:hAnsi="宋体"/>
                <w:bCs/>
                <w:iCs/>
                <w:sz w:val="18"/>
              </w:rPr>
              <w:t>，</w:t>
            </w:r>
            <w:r>
              <w:rPr>
                <w:rFonts w:ascii="宋体" w:hAnsi="宋体"/>
                <w:bCs/>
                <w:iCs/>
                <w:sz w:val="18"/>
              </w:rPr>
              <w:t>制定“</w:t>
            </w:r>
            <w:r>
              <w:rPr>
                <w:rFonts w:hint="eastAsia" w:ascii="宋体" w:hAnsi="宋体"/>
                <w:bCs/>
                <w:iCs/>
                <w:sz w:val="18"/>
              </w:rPr>
              <w:t>一本通</w:t>
            </w:r>
            <w:r>
              <w:rPr>
                <w:rFonts w:ascii="宋体" w:hAnsi="宋体"/>
                <w:bCs/>
                <w:iCs/>
                <w:sz w:val="18"/>
              </w:rPr>
              <w:t>”</w:t>
            </w:r>
            <w:r>
              <w:rPr>
                <w:rFonts w:hint="eastAsia" w:ascii="宋体" w:hAnsi="宋体"/>
                <w:bCs/>
                <w:iCs/>
                <w:sz w:val="18"/>
              </w:rPr>
              <w:t>式</w:t>
            </w:r>
            <w:r>
              <w:rPr>
                <w:rFonts w:ascii="宋体" w:hAnsi="宋体"/>
                <w:bCs/>
                <w:iCs/>
                <w:sz w:val="18"/>
              </w:rPr>
              <w:t>债券交易指南</w:t>
            </w:r>
            <w:r>
              <w:rPr>
                <w:rFonts w:hint="eastAsia" w:ascii="宋体" w:hAnsi="宋体"/>
                <w:bCs/>
                <w:iCs/>
                <w:sz w:val="18"/>
              </w:rPr>
              <w:t>。</w:t>
            </w:r>
          </w:p>
        </w:tc>
      </w:tr>
      <w:tr w14:paraId="437C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630F09B">
            <w:pPr>
              <w:rPr>
                <w:bCs/>
                <w:sz w:val="18"/>
              </w:rPr>
            </w:pPr>
            <w:r>
              <w:rPr>
                <w:bCs/>
                <w:sz w:val="18"/>
              </w:rPr>
              <w:t>V</w:t>
            </w:r>
            <w:r>
              <w:rPr>
                <w:bCs/>
                <w:iCs/>
                <w:sz w:val="18"/>
              </w:rPr>
              <w:t>1.1</w:t>
            </w:r>
          </w:p>
        </w:tc>
        <w:tc>
          <w:tcPr>
            <w:tcW w:w="1425" w:type="dxa"/>
            <w:tcBorders>
              <w:top w:val="single" w:color="auto" w:sz="4" w:space="0"/>
              <w:left w:val="single" w:color="auto" w:sz="4" w:space="0"/>
              <w:bottom w:val="single" w:color="auto" w:sz="4" w:space="0"/>
              <w:right w:val="single" w:color="auto" w:sz="4" w:space="0"/>
            </w:tcBorders>
          </w:tcPr>
          <w:p w14:paraId="423F65CB">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450E804E">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E93D7BC">
            <w:pPr>
              <w:rPr>
                <w:iCs/>
                <w:sz w:val="18"/>
              </w:rPr>
            </w:pPr>
            <w:r>
              <w:rPr>
                <w:iCs/>
                <w:sz w:val="18"/>
              </w:rPr>
              <w:t>2022</w:t>
            </w:r>
            <w:r>
              <w:rPr>
                <w:rFonts w:hint="eastAsia"/>
                <w:iCs/>
                <w:sz w:val="18"/>
              </w:rPr>
              <w:t>年</w:t>
            </w:r>
            <w:r>
              <w:rPr>
                <w:iCs/>
                <w:sz w:val="18"/>
              </w:rPr>
              <w:t>7</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E15E5E0">
            <w:pPr>
              <w:rPr>
                <w:rFonts w:ascii="宋体" w:hAnsi="宋体"/>
                <w:bCs/>
                <w:iCs/>
                <w:sz w:val="18"/>
              </w:rPr>
            </w:pPr>
            <w:r>
              <w:rPr>
                <w:rFonts w:hint="eastAsia" w:ascii="宋体" w:hAnsi="宋体"/>
                <w:bCs/>
                <w:iCs/>
                <w:sz w:val="18"/>
              </w:rPr>
              <w:t>1.根据《上海证券交易所信用保护工具交易业务指引（2022年修订）》实施，对指南信用保护工具内容进行修订，主要修订内容包括：明确试点初期可作为核心交易商参与CDX业务的主体；规定试点初期可采用实物结算的可交付债务范围；新增CDX交易确认书、交易要素等内容便利市场机构和投资者具体参与CDX业务。</w:t>
            </w:r>
          </w:p>
          <w:p w14:paraId="0E2F66EC">
            <w:pPr>
              <w:rPr>
                <w:rFonts w:ascii="宋体" w:hAnsi="宋体"/>
                <w:bCs/>
                <w:iCs/>
                <w:sz w:val="18"/>
              </w:rPr>
            </w:pPr>
            <w:r>
              <w:rPr>
                <w:rFonts w:hint="eastAsia" w:ascii="宋体" w:hAnsi="宋体"/>
                <w:bCs/>
                <w:iCs/>
                <w:sz w:val="18"/>
              </w:rPr>
              <w:t>2.在指南中新增对申请成为债券做市商的债券</w:t>
            </w:r>
            <w:r>
              <w:rPr>
                <w:rFonts w:ascii="宋体" w:hAnsi="宋体"/>
                <w:bCs/>
                <w:iCs/>
                <w:sz w:val="18"/>
              </w:rPr>
              <w:t>交易参与人</w:t>
            </w:r>
            <w:r>
              <w:rPr>
                <w:rFonts w:hint="eastAsia" w:ascii="宋体" w:hAnsi="宋体"/>
                <w:bCs/>
                <w:iCs/>
                <w:sz w:val="18"/>
              </w:rPr>
              <w:t>开展技术验收的流程，明确交易所债券做市技术验收规则依据和操作指南。</w:t>
            </w:r>
          </w:p>
          <w:p w14:paraId="32E263ED">
            <w:pPr>
              <w:rPr>
                <w:rFonts w:ascii="宋体" w:hAnsi="宋体"/>
                <w:bCs/>
                <w:iCs/>
                <w:sz w:val="18"/>
              </w:rPr>
            </w:pPr>
            <w:r>
              <w:rPr>
                <w:rFonts w:hint="eastAsia" w:ascii="宋体" w:hAnsi="宋体"/>
                <w:bCs/>
                <w:iCs/>
                <w:sz w:val="18"/>
              </w:rPr>
              <w:t>3.根据《上海证券交易所 中国证券登记结算有限责任公司境外机构投资者债券交易及登记结算业务实施细则》，增加境外机构投资者信息报送具体内容及要求。</w:t>
            </w:r>
          </w:p>
          <w:p w14:paraId="6F49A92F">
            <w:pPr>
              <w:rPr>
                <w:rFonts w:ascii="宋体" w:hAnsi="宋体"/>
                <w:bCs/>
                <w:iCs/>
                <w:sz w:val="18"/>
              </w:rPr>
            </w:pPr>
            <w:r>
              <w:rPr>
                <w:rFonts w:hint="eastAsia" w:ascii="宋体" w:hAnsi="宋体"/>
                <w:bCs/>
                <w:iCs/>
                <w:sz w:val="18"/>
              </w:rPr>
              <w:t>4.修订</w:t>
            </w:r>
            <w:r>
              <w:rPr>
                <w:rFonts w:ascii="宋体" w:hAnsi="宋体"/>
                <w:bCs/>
                <w:iCs/>
                <w:sz w:val="18"/>
              </w:rPr>
              <w:t>询价成交</w:t>
            </w:r>
            <w:r>
              <w:rPr>
                <w:rFonts w:hint="eastAsia" w:ascii="宋体" w:hAnsi="宋体"/>
                <w:bCs/>
                <w:iCs/>
                <w:sz w:val="18"/>
              </w:rPr>
              <w:t>的</w:t>
            </w:r>
            <w:r>
              <w:rPr>
                <w:rFonts w:ascii="宋体" w:hAnsi="宋体"/>
                <w:bCs/>
                <w:iCs/>
                <w:sz w:val="18"/>
              </w:rPr>
              <w:t>询价对象相关要求。</w:t>
            </w:r>
          </w:p>
          <w:p w14:paraId="557AAF7A">
            <w:pPr>
              <w:rPr>
                <w:rFonts w:ascii="宋体" w:hAnsi="宋体"/>
                <w:bCs/>
                <w:iCs/>
                <w:sz w:val="18"/>
              </w:rPr>
            </w:pPr>
            <w:r>
              <w:rPr>
                <w:rFonts w:ascii="宋体" w:hAnsi="宋体"/>
                <w:bCs/>
                <w:iCs/>
                <w:sz w:val="18"/>
              </w:rPr>
              <w:t>5.</w:t>
            </w:r>
            <w:r>
              <w:rPr>
                <w:rFonts w:hint="eastAsia" w:ascii="宋体" w:hAnsi="宋体"/>
                <w:bCs/>
                <w:iCs/>
                <w:sz w:val="18"/>
              </w:rPr>
              <w:t>修订</w:t>
            </w:r>
            <w:r>
              <w:rPr>
                <w:rFonts w:ascii="宋体" w:hAnsi="宋体"/>
                <w:bCs/>
                <w:iCs/>
                <w:sz w:val="18"/>
              </w:rPr>
              <w:t>转股和换股结算相关</w:t>
            </w:r>
            <w:r>
              <w:rPr>
                <w:rFonts w:hint="eastAsia" w:ascii="宋体" w:hAnsi="宋体"/>
                <w:bCs/>
                <w:iCs/>
                <w:sz w:val="18"/>
              </w:rPr>
              <w:t>安排</w:t>
            </w:r>
            <w:r>
              <w:rPr>
                <w:rFonts w:ascii="宋体" w:hAnsi="宋体"/>
                <w:bCs/>
                <w:iCs/>
                <w:sz w:val="18"/>
              </w:rPr>
              <w:t>。</w:t>
            </w:r>
          </w:p>
          <w:p w14:paraId="1087354C">
            <w:pPr>
              <w:rPr>
                <w:rFonts w:ascii="宋体" w:hAnsi="宋体"/>
                <w:bCs/>
                <w:iCs/>
                <w:sz w:val="18"/>
              </w:rPr>
            </w:pPr>
            <w:r>
              <w:rPr>
                <w:rFonts w:hint="eastAsia" w:ascii="宋体" w:hAnsi="宋体"/>
                <w:bCs/>
                <w:iCs/>
                <w:sz w:val="18"/>
              </w:rPr>
              <w:t>6.进一步明确价格偏离报告的报备流程。</w:t>
            </w:r>
          </w:p>
        </w:tc>
      </w:tr>
      <w:tr w14:paraId="422D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0A1845CB">
            <w:pPr>
              <w:rPr>
                <w:bCs/>
                <w:sz w:val="18"/>
              </w:rPr>
            </w:pPr>
            <w:r>
              <w:rPr>
                <w:bCs/>
                <w:sz w:val="18"/>
              </w:rPr>
              <w:t>V</w:t>
            </w:r>
            <w:r>
              <w:rPr>
                <w:bCs/>
                <w:iCs/>
                <w:sz w:val="18"/>
              </w:rPr>
              <w:t>1.2</w:t>
            </w:r>
          </w:p>
        </w:tc>
        <w:tc>
          <w:tcPr>
            <w:tcW w:w="1425" w:type="dxa"/>
            <w:tcBorders>
              <w:top w:val="single" w:color="auto" w:sz="4" w:space="0"/>
              <w:left w:val="single" w:color="auto" w:sz="4" w:space="0"/>
              <w:bottom w:val="single" w:color="auto" w:sz="4" w:space="0"/>
              <w:right w:val="single" w:color="auto" w:sz="4" w:space="0"/>
            </w:tcBorders>
          </w:tcPr>
          <w:p w14:paraId="302469BD">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13C90437">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F1567C5">
            <w:pPr>
              <w:rPr>
                <w:iCs/>
                <w:sz w:val="18"/>
              </w:rPr>
            </w:pPr>
            <w:r>
              <w:rPr>
                <w:iCs/>
                <w:sz w:val="18"/>
              </w:rPr>
              <w:t>202</w:t>
            </w:r>
            <w:r>
              <w:rPr>
                <w:rFonts w:hint="eastAsia"/>
                <w:iCs/>
                <w:sz w:val="18"/>
              </w:rPr>
              <w:t>3年</w:t>
            </w:r>
            <w:r>
              <w:rPr>
                <w:iCs/>
                <w:sz w:val="18"/>
              </w:rPr>
              <w:t>1</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17FCF2ED">
            <w:pPr>
              <w:rPr>
                <w:rFonts w:ascii="宋体" w:hAnsi="宋体"/>
                <w:bCs/>
                <w:iCs/>
                <w:sz w:val="18"/>
              </w:rPr>
            </w:pPr>
            <w:r>
              <w:rPr>
                <w:rFonts w:hint="eastAsia" w:ascii="宋体" w:hAnsi="宋体"/>
                <w:bCs/>
                <w:iCs/>
                <w:sz w:val="18"/>
              </w:rPr>
              <w:t>1.根据指定交易迁移实施情况修订指定交易相关内容（4.1.2指定交易办理）。</w:t>
            </w:r>
          </w:p>
          <w:p w14:paraId="4AF97736">
            <w:pPr>
              <w:rPr>
                <w:rFonts w:ascii="宋体" w:hAnsi="宋体"/>
                <w:bCs/>
                <w:iCs/>
                <w:sz w:val="18"/>
              </w:rPr>
            </w:pPr>
            <w:r>
              <w:rPr>
                <w:rFonts w:hint="eastAsia" w:ascii="宋体" w:hAnsi="宋体"/>
                <w:bCs/>
                <w:iCs/>
                <w:sz w:val="18"/>
              </w:rPr>
              <w:t>2.吸收归并《关于上海证券交易所债券市场机构投资者接受货币经纪公司服务有关事项的通知》相关内容（4.2.2交易对手）。</w:t>
            </w:r>
          </w:p>
          <w:p w14:paraId="35F55E5A">
            <w:pPr>
              <w:rPr>
                <w:rFonts w:ascii="宋体" w:hAnsi="宋体"/>
                <w:bCs/>
                <w:iCs/>
                <w:sz w:val="18"/>
              </w:rPr>
            </w:pPr>
            <w:r>
              <w:rPr>
                <w:rFonts w:hint="eastAsia" w:ascii="宋体" w:hAnsi="宋体"/>
                <w:bCs/>
                <w:iCs/>
                <w:sz w:val="18"/>
              </w:rPr>
              <w:t>3.进一步明确做市商评价周期（6.3.5做市商管理） 。</w:t>
            </w:r>
          </w:p>
          <w:p w14:paraId="02C79FFF">
            <w:pPr>
              <w:rPr>
                <w:rFonts w:ascii="宋体" w:hAnsi="宋体"/>
                <w:bCs/>
                <w:iCs/>
                <w:sz w:val="18"/>
              </w:rPr>
            </w:pPr>
            <w:r>
              <w:rPr>
                <w:rFonts w:hint="eastAsia" w:ascii="宋体" w:hAnsi="宋体"/>
                <w:bCs/>
                <w:iCs/>
                <w:sz w:val="18"/>
              </w:rPr>
              <w:t>4.吸收归并《上海证券交易所债券质押式三方回购交易业务指南》回购双方、经纪客户所在的证券公司、结算参与人及相关人员违反三方回购相关规则的处罚措施等内容（7.4.7异常情况及违约处置） 。</w:t>
            </w:r>
          </w:p>
          <w:p w14:paraId="50E25AA7">
            <w:pPr>
              <w:rPr>
                <w:rFonts w:ascii="宋体" w:hAnsi="宋体"/>
                <w:bCs/>
                <w:iCs/>
                <w:sz w:val="18"/>
              </w:rPr>
            </w:pPr>
            <w:r>
              <w:rPr>
                <w:rFonts w:hint="eastAsia" w:ascii="宋体" w:hAnsi="宋体"/>
                <w:bCs/>
                <w:iCs/>
                <w:sz w:val="18"/>
              </w:rPr>
              <w:t>5.吸收归并《上海证券交易所债券质押式三方回购交易业务指南》三方回购交收结果的查询方式、统计数据所含要素等内容（7.4.8其他事项）。</w:t>
            </w:r>
          </w:p>
          <w:p w14:paraId="55BDFF2F">
            <w:pPr>
              <w:rPr>
                <w:rFonts w:ascii="宋体" w:hAnsi="宋体"/>
                <w:bCs/>
                <w:iCs/>
                <w:sz w:val="18"/>
              </w:rPr>
            </w:pPr>
            <w:r>
              <w:rPr>
                <w:rFonts w:hint="eastAsia" w:ascii="宋体" w:hAnsi="宋体"/>
                <w:bCs/>
                <w:iCs/>
                <w:sz w:val="18"/>
              </w:rPr>
              <w:t>6.吸收归并《关于关键期限国债开展预发行（试点）交易有关事项的通知》各关键期限国债预发行交易的证券代码、各关键期限国债预发行交易的履约保证金比例等内容（8.1.3交易流程）。</w:t>
            </w:r>
          </w:p>
          <w:p w14:paraId="79E1257A">
            <w:pPr>
              <w:rPr>
                <w:rFonts w:ascii="宋体" w:hAnsi="宋体"/>
                <w:bCs/>
                <w:iCs/>
                <w:sz w:val="18"/>
              </w:rPr>
            </w:pPr>
            <w:r>
              <w:rPr>
                <w:rFonts w:hint="eastAsia" w:ascii="宋体" w:hAnsi="宋体"/>
                <w:bCs/>
                <w:iCs/>
                <w:sz w:val="18"/>
              </w:rPr>
              <w:t>7.吸收归并《上海证券交易所债券担保品处置平台业务操作指南》相关内容（8.4担保品处置）。</w:t>
            </w:r>
          </w:p>
          <w:p w14:paraId="1522B812">
            <w:pPr>
              <w:rPr>
                <w:rFonts w:ascii="宋体" w:hAnsi="宋体"/>
                <w:bCs/>
                <w:iCs/>
                <w:sz w:val="18"/>
              </w:rPr>
            </w:pPr>
            <w:r>
              <w:rPr>
                <w:rFonts w:hint="eastAsia" w:ascii="宋体" w:hAnsi="宋体"/>
                <w:bCs/>
                <w:iCs/>
                <w:sz w:val="18"/>
              </w:rPr>
              <w:t>8.补充核心交易系统备用通道相关介绍（9.7核心交易系统备用通道）。</w:t>
            </w:r>
          </w:p>
          <w:p w14:paraId="4524FB17">
            <w:pPr>
              <w:rPr>
                <w:rFonts w:ascii="宋体" w:hAnsi="宋体"/>
                <w:bCs/>
                <w:iCs/>
                <w:sz w:val="18"/>
              </w:rPr>
            </w:pPr>
            <w:r>
              <w:rPr>
                <w:rFonts w:hint="eastAsia" w:ascii="宋体" w:hAnsi="宋体"/>
                <w:bCs/>
                <w:iCs/>
                <w:sz w:val="18"/>
              </w:rPr>
              <w:t>9. 吸收归并《上海证券交易所债券质押式三方回购交易业务指南》三方回购9个类型对应代码、简称等内容（10.3.2成交统计行情）。</w:t>
            </w:r>
          </w:p>
          <w:p w14:paraId="19E3A490">
            <w:pPr>
              <w:rPr>
                <w:rFonts w:ascii="宋体" w:hAnsi="宋体"/>
                <w:bCs/>
                <w:iCs/>
                <w:sz w:val="18"/>
              </w:rPr>
            </w:pPr>
            <w:r>
              <w:rPr>
                <w:rFonts w:hint="eastAsia" w:ascii="宋体" w:hAnsi="宋体"/>
                <w:bCs/>
                <w:iCs/>
                <w:sz w:val="18"/>
              </w:rPr>
              <w:t>10.吸收归并《上海证券交易所债券质押式三方回购交易业务指南》中相关附件，主要包括：《附件18 三方回购投资者适当性备案表》《附件19 投资者适当性备案渠道》；吸收归并《上海证券交易所债券担保品处置平台业务操作指南》中相关附件，主要包括《附件36 上海证券交易所债券担保品处置平台功能简介》《附件37 债券担保品处置平台用户数字证书办理流程》《附件38 拟参与债券担保品处置的指定报价团成员名单》《附件39 处置现场负责人及进入处置场所的人员名单》《附件40 上交所债券担保品处置服务联系人》《附件41 处置结果公告（样张）》（附件） 。</w:t>
            </w:r>
          </w:p>
        </w:tc>
      </w:tr>
      <w:tr w14:paraId="6E7B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3EE2BF76">
            <w:pPr>
              <w:rPr>
                <w:bCs/>
                <w:sz w:val="18"/>
              </w:rPr>
            </w:pPr>
            <w:r>
              <w:rPr>
                <w:rFonts w:hint="eastAsia"/>
                <w:bCs/>
                <w:sz w:val="18"/>
              </w:rPr>
              <w:t>V1.3</w:t>
            </w:r>
          </w:p>
        </w:tc>
        <w:tc>
          <w:tcPr>
            <w:tcW w:w="1425" w:type="dxa"/>
            <w:tcBorders>
              <w:top w:val="single" w:color="auto" w:sz="4" w:space="0"/>
              <w:left w:val="single" w:color="auto" w:sz="4" w:space="0"/>
              <w:bottom w:val="single" w:color="auto" w:sz="4" w:space="0"/>
              <w:right w:val="single" w:color="auto" w:sz="4" w:space="0"/>
            </w:tcBorders>
          </w:tcPr>
          <w:p w14:paraId="54777518">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25F961">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2CD1C85B">
            <w:pPr>
              <w:rPr>
                <w:iCs/>
                <w:sz w:val="18"/>
              </w:rPr>
            </w:pPr>
            <w:r>
              <w:rPr>
                <w:iCs/>
                <w:sz w:val="18"/>
              </w:rPr>
              <w:t>202</w:t>
            </w:r>
            <w:r>
              <w:rPr>
                <w:rFonts w:hint="eastAsia"/>
                <w:iCs/>
                <w:sz w:val="18"/>
              </w:rPr>
              <w:t>3年</w:t>
            </w:r>
            <w:r>
              <w:rPr>
                <w:iCs/>
                <w:sz w:val="18"/>
              </w:rPr>
              <w:t>10</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7645A10A">
            <w:pPr>
              <w:rPr>
                <w:rFonts w:ascii="宋体" w:hAnsi="宋体"/>
                <w:bCs/>
                <w:iCs/>
                <w:sz w:val="18"/>
              </w:rPr>
            </w:pPr>
            <w:r>
              <w:rPr>
                <w:rFonts w:hint="eastAsia" w:ascii="宋体" w:hAnsi="宋体"/>
                <w:bCs/>
                <w:iCs/>
                <w:sz w:val="18"/>
              </w:rPr>
              <w:t>1.根据证监会关于</w:t>
            </w:r>
            <w:r>
              <w:rPr>
                <w:rFonts w:ascii="宋体" w:hAnsi="宋体"/>
                <w:bCs/>
                <w:iCs/>
                <w:sz w:val="18"/>
              </w:rPr>
              <w:t>企业债监管职责划转相关安排修改企业债相关条款。</w:t>
            </w:r>
            <w:r>
              <w:rPr>
                <w:rFonts w:hint="eastAsia" w:ascii="宋体" w:hAnsi="宋体"/>
                <w:bCs/>
                <w:iCs/>
                <w:sz w:val="18"/>
              </w:rPr>
              <w:t>如无</w:t>
            </w:r>
            <w:r>
              <w:rPr>
                <w:rFonts w:ascii="宋体" w:hAnsi="宋体"/>
                <w:bCs/>
                <w:iCs/>
                <w:sz w:val="18"/>
              </w:rPr>
              <w:t>特殊说明，本指南所称公司债券包含企业债券。</w:t>
            </w:r>
          </w:p>
          <w:p w14:paraId="0DFF0913">
            <w:pPr>
              <w:rPr>
                <w:rFonts w:ascii="宋体" w:hAnsi="宋体"/>
                <w:bCs/>
                <w:iCs/>
                <w:sz w:val="18"/>
              </w:rPr>
            </w:pPr>
            <w:r>
              <w:rPr>
                <w:rFonts w:ascii="宋体" w:hAnsi="宋体"/>
                <w:bCs/>
                <w:iCs/>
                <w:sz w:val="18"/>
              </w:rPr>
              <w:t>2.</w:t>
            </w:r>
            <w:r>
              <w:rPr>
                <w:rFonts w:hint="eastAsia" w:ascii="宋体" w:hAnsi="宋体"/>
                <w:bCs/>
                <w:iCs/>
                <w:sz w:val="18"/>
              </w:rPr>
              <w:t>根据投资者适当性</w:t>
            </w:r>
            <w:r>
              <w:rPr>
                <w:rFonts w:ascii="宋体" w:hAnsi="宋体"/>
                <w:bCs/>
                <w:iCs/>
                <w:sz w:val="18"/>
              </w:rPr>
              <w:t>规则</w:t>
            </w:r>
            <w:r>
              <w:rPr>
                <w:rFonts w:hint="eastAsia" w:ascii="宋体" w:hAnsi="宋体"/>
                <w:bCs/>
                <w:iCs/>
                <w:sz w:val="18"/>
              </w:rPr>
              <w:t>调整情况对指南</w:t>
            </w:r>
            <w:r>
              <w:rPr>
                <w:rFonts w:ascii="宋体" w:hAnsi="宋体"/>
                <w:bCs/>
                <w:iCs/>
                <w:sz w:val="18"/>
              </w:rPr>
              <w:t>做适应性调整。</w:t>
            </w:r>
          </w:p>
          <w:p w14:paraId="0A6D2B1B">
            <w:pPr>
              <w:tabs>
                <w:tab w:val="left" w:pos="312"/>
              </w:tabs>
              <w:rPr>
                <w:rFonts w:ascii="宋体" w:hAnsi="宋体"/>
                <w:bCs/>
                <w:iCs/>
                <w:sz w:val="18"/>
              </w:rPr>
            </w:pPr>
            <w:r>
              <w:rPr>
                <w:rFonts w:ascii="宋体" w:hAnsi="宋体"/>
                <w:bCs/>
                <w:iCs/>
                <w:sz w:val="18"/>
              </w:rPr>
              <w:t>3.</w:t>
            </w:r>
            <w:r>
              <w:rPr>
                <w:rFonts w:hint="eastAsia" w:ascii="宋体" w:hAnsi="宋体"/>
                <w:bCs/>
                <w:iCs/>
                <w:sz w:val="18"/>
              </w:rPr>
              <w:t>补充优化债券做市技术验收申请的相关要求（6.3.2债券做市商申请、附件8、附件10）。</w:t>
            </w:r>
          </w:p>
          <w:p w14:paraId="209BCEED">
            <w:pPr>
              <w:tabs>
                <w:tab w:val="left" w:pos="312"/>
              </w:tabs>
              <w:rPr>
                <w:rFonts w:ascii="宋体" w:hAnsi="宋体"/>
                <w:bCs/>
                <w:iCs/>
                <w:sz w:val="18"/>
              </w:rPr>
            </w:pPr>
            <w:r>
              <w:rPr>
                <w:rFonts w:hint="eastAsia" w:ascii="宋体" w:hAnsi="宋体"/>
                <w:bCs/>
                <w:iCs/>
                <w:sz w:val="18"/>
              </w:rPr>
              <w:t>4.完善基准做市品种的相关表述（6.3.3做市品种）。</w:t>
            </w:r>
          </w:p>
          <w:p w14:paraId="7FCEBB2F">
            <w:pPr>
              <w:rPr>
                <w:rFonts w:ascii="宋体" w:hAnsi="宋体"/>
                <w:bCs/>
                <w:iCs/>
                <w:sz w:val="18"/>
              </w:rPr>
            </w:pPr>
            <w:r>
              <w:rPr>
                <w:rFonts w:ascii="宋体" w:hAnsi="宋体"/>
                <w:bCs/>
                <w:iCs/>
                <w:sz w:val="18"/>
              </w:rPr>
              <w:t>5</w:t>
            </w:r>
            <w:r>
              <w:rPr>
                <w:rFonts w:hint="eastAsia" w:ascii="宋体" w:hAnsi="宋体"/>
                <w:bCs/>
                <w:iCs/>
                <w:sz w:val="18"/>
              </w:rPr>
              <w:t>.将本所要求做市商在《做市交易业务技术测试和专项检查申请书》中作出的承诺补充在附件中（附件7）。</w:t>
            </w:r>
          </w:p>
        </w:tc>
      </w:tr>
      <w:tr w14:paraId="0D0C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62013FA5">
            <w:pPr>
              <w:rPr>
                <w:bCs/>
                <w:sz w:val="18"/>
              </w:rPr>
            </w:pPr>
            <w:r>
              <w:rPr>
                <w:bCs/>
                <w:sz w:val="18"/>
              </w:rPr>
              <w:t>V1.3</w:t>
            </w:r>
          </w:p>
        </w:tc>
        <w:tc>
          <w:tcPr>
            <w:tcW w:w="1425" w:type="dxa"/>
            <w:tcBorders>
              <w:top w:val="single" w:color="auto" w:sz="4" w:space="0"/>
              <w:left w:val="single" w:color="auto" w:sz="4" w:space="0"/>
              <w:bottom w:val="single" w:color="auto" w:sz="4" w:space="0"/>
              <w:right w:val="single" w:color="auto" w:sz="4" w:space="0"/>
            </w:tcBorders>
          </w:tcPr>
          <w:p w14:paraId="7C5D647F">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7A7456">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D118271">
            <w:pPr>
              <w:rPr>
                <w:iCs/>
                <w:sz w:val="18"/>
              </w:rPr>
            </w:pPr>
            <w:r>
              <w:rPr>
                <w:iCs/>
                <w:sz w:val="18"/>
              </w:rPr>
              <w:t>202</w:t>
            </w:r>
            <w:r>
              <w:rPr>
                <w:rFonts w:hint="eastAsia"/>
                <w:iCs/>
                <w:sz w:val="18"/>
              </w:rPr>
              <w:t>3年11月</w:t>
            </w:r>
          </w:p>
        </w:tc>
        <w:tc>
          <w:tcPr>
            <w:tcW w:w="3765" w:type="dxa"/>
            <w:tcBorders>
              <w:top w:val="single" w:color="auto" w:sz="4" w:space="0"/>
              <w:left w:val="single" w:color="auto" w:sz="4" w:space="0"/>
              <w:bottom w:val="single" w:color="auto" w:sz="4" w:space="0"/>
              <w:right w:val="single" w:color="auto" w:sz="4" w:space="0"/>
            </w:tcBorders>
          </w:tcPr>
          <w:p w14:paraId="64A7D7FF">
            <w:pPr>
              <w:rPr>
                <w:rFonts w:ascii="宋体" w:hAnsi="宋体"/>
                <w:bCs/>
                <w:iCs/>
                <w:sz w:val="18"/>
              </w:rPr>
            </w:pPr>
            <w:r>
              <w:rPr>
                <w:rFonts w:hint="eastAsia" w:ascii="宋体" w:hAnsi="宋体"/>
                <w:bCs/>
                <w:iCs/>
                <w:sz w:val="18"/>
              </w:rPr>
              <w:t>1.根据</w:t>
            </w:r>
            <w:r>
              <w:rPr>
                <w:rFonts w:ascii="宋体" w:hAnsi="宋体"/>
                <w:bCs/>
                <w:iCs/>
                <w:sz w:val="18"/>
              </w:rPr>
              <w:t>新发布的</w:t>
            </w:r>
            <w:r>
              <w:rPr>
                <w:rFonts w:hint="eastAsia" w:ascii="宋体" w:hAnsi="宋体"/>
                <w:bCs/>
                <w:iCs/>
                <w:sz w:val="18"/>
              </w:rPr>
              <w:t>《上海证券交易所</w:t>
            </w:r>
            <w:r>
              <w:rPr>
                <w:rFonts w:ascii="宋体" w:hAnsi="宋体"/>
                <w:bCs/>
                <w:iCs/>
                <w:sz w:val="18"/>
              </w:rPr>
              <w:t xml:space="preserve"> </w:t>
            </w:r>
            <w:r>
              <w:rPr>
                <w:rFonts w:hint="eastAsia" w:ascii="宋体" w:hAnsi="宋体"/>
                <w:bCs/>
                <w:iCs/>
                <w:sz w:val="18"/>
              </w:rPr>
              <w:t>中国证券登记结算有限责任公司债券借贷业务办法</w:t>
            </w:r>
            <w:r>
              <w:rPr>
                <w:rFonts w:ascii="宋体" w:hAnsi="宋体"/>
                <w:bCs/>
                <w:iCs/>
                <w:sz w:val="18"/>
              </w:rPr>
              <w:t>》</w:t>
            </w:r>
            <w:r>
              <w:rPr>
                <w:rFonts w:hint="eastAsia" w:ascii="宋体" w:hAnsi="宋体"/>
                <w:bCs/>
                <w:iCs/>
                <w:sz w:val="18"/>
              </w:rPr>
              <w:t>修订债券借贷</w:t>
            </w:r>
            <w:r>
              <w:rPr>
                <w:rFonts w:ascii="宋体" w:hAnsi="宋体"/>
                <w:bCs/>
                <w:iCs/>
                <w:sz w:val="18"/>
              </w:rPr>
              <w:t>业务相关内容</w:t>
            </w:r>
            <w:r>
              <w:rPr>
                <w:rFonts w:hint="eastAsia" w:ascii="宋体" w:hAnsi="宋体"/>
                <w:bCs/>
                <w:iCs/>
                <w:sz w:val="18"/>
              </w:rPr>
              <w:t>（8</w:t>
            </w:r>
            <w:r>
              <w:rPr>
                <w:rFonts w:ascii="宋体" w:hAnsi="宋体"/>
                <w:bCs/>
                <w:iCs/>
                <w:sz w:val="18"/>
              </w:rPr>
              <w:t>.2</w:t>
            </w:r>
            <w:r>
              <w:rPr>
                <w:rFonts w:hint="eastAsia" w:ascii="宋体" w:hAnsi="宋体"/>
                <w:bCs/>
                <w:iCs/>
                <w:sz w:val="18"/>
              </w:rPr>
              <w:t>债券</w:t>
            </w:r>
            <w:r>
              <w:rPr>
                <w:rFonts w:ascii="宋体" w:hAnsi="宋体"/>
                <w:bCs/>
                <w:iCs/>
                <w:sz w:val="18"/>
              </w:rPr>
              <w:t>借贷</w:t>
            </w:r>
            <w:r>
              <w:rPr>
                <w:rFonts w:hint="eastAsia" w:ascii="宋体" w:hAnsi="宋体"/>
                <w:bCs/>
                <w:iCs/>
                <w:sz w:val="18"/>
              </w:rPr>
              <w:t>与</w:t>
            </w:r>
            <w:r>
              <w:rPr>
                <w:rFonts w:ascii="宋体" w:hAnsi="宋体"/>
                <w:bCs/>
                <w:iCs/>
                <w:sz w:val="18"/>
              </w:rPr>
              <w:t>附件20、附件21</w:t>
            </w:r>
            <w:r>
              <w:rPr>
                <w:rFonts w:hint="eastAsia" w:ascii="宋体" w:hAnsi="宋体"/>
                <w:bCs/>
                <w:iCs/>
                <w:sz w:val="18"/>
              </w:rPr>
              <w:t>）。</w:t>
            </w:r>
          </w:p>
          <w:p w14:paraId="6FDAE42F">
            <w:pPr>
              <w:rPr>
                <w:rFonts w:ascii="宋体" w:hAnsi="宋体"/>
                <w:bCs/>
                <w:iCs/>
                <w:sz w:val="18"/>
              </w:rPr>
            </w:pPr>
            <w:r>
              <w:rPr>
                <w:rFonts w:ascii="宋体" w:hAnsi="宋体"/>
                <w:bCs/>
                <w:iCs/>
                <w:sz w:val="18"/>
              </w:rPr>
              <w:t>2.</w:t>
            </w:r>
            <w:r>
              <w:rPr>
                <w:rFonts w:hint="eastAsia" w:ascii="宋体" w:hAnsi="宋体"/>
                <w:bCs/>
                <w:iCs/>
                <w:sz w:val="18"/>
              </w:rPr>
              <w:t xml:space="preserve"> 进一步补充交易业务互联网申报通道相关介绍（9.7交易业务互联网申报通道）</w:t>
            </w:r>
          </w:p>
        </w:tc>
      </w:tr>
      <w:tr w14:paraId="3539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7088E350">
            <w:pPr>
              <w:rPr>
                <w:bCs/>
                <w:sz w:val="18"/>
              </w:rPr>
            </w:pPr>
            <w:r>
              <w:rPr>
                <w:bCs/>
                <w:sz w:val="18"/>
              </w:rPr>
              <w:t>V1.4</w:t>
            </w:r>
          </w:p>
        </w:tc>
        <w:tc>
          <w:tcPr>
            <w:tcW w:w="1425" w:type="dxa"/>
            <w:tcBorders>
              <w:top w:val="single" w:color="auto" w:sz="4" w:space="0"/>
              <w:left w:val="single" w:color="auto" w:sz="4" w:space="0"/>
              <w:bottom w:val="single" w:color="auto" w:sz="4" w:space="0"/>
              <w:right w:val="single" w:color="auto" w:sz="4" w:space="0"/>
            </w:tcBorders>
          </w:tcPr>
          <w:p w14:paraId="409690A4">
            <w:pPr>
              <w:rPr>
                <w:rFonts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4E91F61B">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0AE8B36">
            <w:pPr>
              <w:rPr>
                <w:iCs/>
                <w:sz w:val="18"/>
              </w:rPr>
            </w:pPr>
            <w:r>
              <w:rPr>
                <w:iCs/>
                <w:sz w:val="18"/>
              </w:rPr>
              <w:t>202</w:t>
            </w:r>
            <w:r>
              <w:rPr>
                <w:rFonts w:hint="eastAsia"/>
                <w:iCs/>
                <w:sz w:val="18"/>
              </w:rPr>
              <w:t>4年9月</w:t>
            </w:r>
          </w:p>
        </w:tc>
        <w:tc>
          <w:tcPr>
            <w:tcW w:w="3765" w:type="dxa"/>
            <w:tcBorders>
              <w:top w:val="single" w:color="auto" w:sz="4" w:space="0"/>
              <w:left w:val="single" w:color="auto" w:sz="4" w:space="0"/>
              <w:bottom w:val="single" w:color="auto" w:sz="4" w:space="0"/>
              <w:right w:val="single" w:color="auto" w:sz="4" w:space="0"/>
            </w:tcBorders>
          </w:tcPr>
          <w:p w14:paraId="7AA8642C">
            <w:pPr>
              <w:rPr>
                <w:rFonts w:ascii="宋体" w:hAnsi="宋体"/>
                <w:bCs/>
                <w:iCs/>
                <w:sz w:val="18"/>
              </w:rPr>
            </w:pPr>
            <w:r>
              <w:rPr>
                <w:rFonts w:hint="eastAsia" w:ascii="宋体" w:hAnsi="宋体"/>
                <w:bCs/>
                <w:iCs/>
                <w:sz w:val="18"/>
              </w:rPr>
              <w:t>完善基准做市品种的相关表述（6.3.3做市品种）</w:t>
            </w:r>
          </w:p>
        </w:tc>
      </w:tr>
      <w:tr w14:paraId="1C9A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5E180BA">
            <w:pPr>
              <w:rPr>
                <w:rFonts w:hint="eastAsia" w:eastAsia="宋体"/>
                <w:bCs/>
                <w:sz w:val="18"/>
                <w:lang w:eastAsia="zh-CN"/>
              </w:rPr>
            </w:pPr>
            <w:r>
              <w:rPr>
                <w:bCs/>
                <w:sz w:val="18"/>
              </w:rPr>
              <w:t>V1.</w:t>
            </w:r>
            <w:r>
              <w:rPr>
                <w:rFonts w:hint="eastAsia"/>
                <w:bCs/>
                <w:sz w:val="18"/>
                <w:lang w:val="en-US" w:eastAsia="zh-CN"/>
              </w:rPr>
              <w:t>5</w:t>
            </w:r>
          </w:p>
        </w:tc>
        <w:tc>
          <w:tcPr>
            <w:tcW w:w="1425" w:type="dxa"/>
            <w:tcBorders>
              <w:top w:val="single" w:color="auto" w:sz="4" w:space="0"/>
              <w:left w:val="single" w:color="auto" w:sz="4" w:space="0"/>
              <w:bottom w:val="single" w:color="auto" w:sz="4" w:space="0"/>
              <w:right w:val="single" w:color="auto" w:sz="4" w:space="0"/>
            </w:tcBorders>
          </w:tcPr>
          <w:p w14:paraId="4C2BA8BC">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5C0150A6">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64F75097">
            <w:pPr>
              <w:rPr>
                <w:iCs/>
                <w:sz w:val="18"/>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3</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A75F3B8">
            <w:pPr>
              <w:rPr>
                <w:rFonts w:hint="eastAsia" w:ascii="宋体" w:hAnsi="宋体"/>
                <w:bCs/>
                <w:iCs/>
                <w:sz w:val="18"/>
              </w:rPr>
            </w:pPr>
            <w:r>
              <w:rPr>
                <w:rFonts w:hint="eastAsia" w:ascii="宋体" w:hAnsi="宋体"/>
                <w:bCs/>
                <w:iCs/>
                <w:sz w:val="18"/>
                <w:lang w:eastAsia="zh-CN"/>
              </w:rPr>
              <w:t>调整</w:t>
            </w:r>
            <w:r>
              <w:rPr>
                <w:rFonts w:hint="eastAsia" w:ascii="宋体" w:hAnsi="宋体"/>
                <w:bCs/>
                <w:iCs/>
                <w:sz w:val="18"/>
              </w:rPr>
              <w:t>基准做市品种相关表述（6.3.3做市品种）</w:t>
            </w:r>
          </w:p>
        </w:tc>
      </w:tr>
    </w:tbl>
    <w:p w14:paraId="443885A5">
      <w:pPr>
        <w:jc w:val="center"/>
        <w:rPr>
          <w:rFonts w:ascii="仿宋_GB2312" w:eastAsia="仿宋_GB2312"/>
          <w:b/>
          <w:sz w:val="30"/>
          <w:szCs w:val="30"/>
        </w:rPr>
      </w:pPr>
    </w:p>
    <w:p w14:paraId="61C3E034">
      <w:pPr>
        <w:widowControl/>
        <w:jc w:val="left"/>
        <w:rPr>
          <w:rFonts w:ascii="仿宋_GB2312" w:eastAsia="仿宋_GB2312"/>
          <w:b/>
          <w:sz w:val="30"/>
          <w:szCs w:val="30"/>
        </w:rPr>
      </w:pPr>
      <w:r>
        <w:rPr>
          <w:rFonts w:ascii="仿宋_GB2312" w:eastAsia="仿宋_GB2312"/>
          <w:b/>
          <w:sz w:val="30"/>
          <w:szCs w:val="30"/>
        </w:rPr>
        <w:br w:type="page"/>
      </w:r>
    </w:p>
    <w:p w14:paraId="78548613">
      <w:pPr>
        <w:jc w:val="center"/>
        <w:rPr>
          <w:rFonts w:ascii="黑体" w:hAnsi="黑体"/>
          <w:b/>
          <w:sz w:val="30"/>
          <w:szCs w:val="30"/>
        </w:rPr>
      </w:pPr>
      <w:r>
        <w:rPr>
          <w:rFonts w:hint="eastAsia" w:ascii="黑体" w:hAnsi="黑体"/>
          <w:b/>
          <w:sz w:val="30"/>
          <w:szCs w:val="30"/>
        </w:rPr>
        <w:t>目录</w:t>
      </w:r>
    </w:p>
    <w:p w14:paraId="6FFA0D7F">
      <w:pPr>
        <w:pStyle w:val="30"/>
        <w:tabs>
          <w:tab w:val="right" w:leader="dot" w:pos="8296"/>
        </w:tabs>
        <w:rPr>
          <w:rFonts w:asciiTheme="minorHAnsi" w:hAnsiTheme="minorHAnsi" w:eastAsiaTheme="minorEastAsia" w:cstheme="minorBidi"/>
          <w:b w:val="0"/>
          <w:bCs w:val="0"/>
          <w:caps w:val="0"/>
          <w:sz w:val="21"/>
          <w:szCs w:val="22"/>
        </w:rPr>
      </w:pPr>
      <w:r>
        <w:rPr>
          <w:rFonts w:ascii="黑体" w:hAnsi="黑体"/>
          <w:b w:val="0"/>
          <w:sz w:val="30"/>
          <w:szCs w:val="30"/>
        </w:rPr>
        <w:fldChar w:fldCharType="begin"/>
      </w:r>
      <w:r>
        <w:rPr>
          <w:rFonts w:ascii="黑体" w:hAnsi="黑体"/>
          <w:b w:val="0"/>
          <w:sz w:val="30"/>
          <w:szCs w:val="30"/>
        </w:rPr>
        <w:instrText xml:space="preserve"> TOC \o "1-2" \h \z \u </w:instrText>
      </w:r>
      <w:r>
        <w:rPr>
          <w:rFonts w:ascii="黑体" w:hAnsi="黑体"/>
          <w:b w:val="0"/>
          <w:sz w:val="30"/>
          <w:szCs w:val="30"/>
        </w:rPr>
        <w:fldChar w:fldCharType="separate"/>
      </w:r>
      <w:r>
        <w:fldChar w:fldCharType="begin"/>
      </w:r>
      <w:r>
        <w:instrText xml:space="preserve"> HYPERLINK \l "_Toc151136875" </w:instrText>
      </w:r>
      <w:r>
        <w:fldChar w:fldCharType="separate"/>
      </w:r>
      <w:r>
        <w:rPr>
          <w:rStyle w:val="51"/>
          <w:rFonts w:hint="eastAsia"/>
          <w:lang w:bidi="en-US"/>
        </w:rPr>
        <w:t>版本说明</w:t>
      </w:r>
      <w:r>
        <w:tab/>
      </w:r>
      <w:r>
        <w:fldChar w:fldCharType="begin"/>
      </w:r>
      <w:r>
        <w:instrText xml:space="preserve"> PAGEREF _Toc151136875 \h </w:instrText>
      </w:r>
      <w:r>
        <w:fldChar w:fldCharType="separate"/>
      </w:r>
      <w:r>
        <w:t>2</w:t>
      </w:r>
      <w:r>
        <w:fldChar w:fldCharType="end"/>
      </w:r>
      <w:r>
        <w:fldChar w:fldCharType="end"/>
      </w:r>
    </w:p>
    <w:p w14:paraId="703D1D51">
      <w:pPr>
        <w:pStyle w:val="30"/>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"_Toc151136876" </w:instrText>
      </w:r>
      <w:r>
        <w:fldChar w:fldCharType="separate"/>
      </w:r>
      <w:r>
        <w:rPr>
          <w:rStyle w:val="51"/>
          <w:rFonts w:hint="eastAsia" w:ascii="黑体" w:hAnsi="黑体" w:eastAsia="黑体" w:cs="黑体"/>
        </w:rPr>
        <w:t>引言</w:t>
      </w:r>
      <w:r>
        <w:tab/>
      </w:r>
      <w:r>
        <w:fldChar w:fldCharType="begin"/>
      </w:r>
      <w:r>
        <w:instrText xml:space="preserve"> PAGEREF _Toc151136876 \h </w:instrText>
      </w:r>
      <w:r>
        <w:fldChar w:fldCharType="separate"/>
      </w:r>
      <w:r>
        <w:t>8</w:t>
      </w:r>
      <w:r>
        <w:fldChar w:fldCharType="end"/>
      </w:r>
      <w:r>
        <w:fldChar w:fldCharType="end"/>
      </w:r>
    </w:p>
    <w:p w14:paraId="2F57CAF0">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"_Toc151136877" </w:instrText>
      </w:r>
      <w:r>
        <w:fldChar w:fldCharType="separate"/>
      </w:r>
      <w:r>
        <w:rPr>
          <w:rStyle w:val="51"/>
          <w:rFonts w:ascii="黑体" w:hAnsi="黑体" w:eastAsia="黑体" w:cs="黑体"/>
        </w:rPr>
        <w:t>1.</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上交所债券交易市场总体介绍</w:t>
      </w:r>
      <w:r>
        <w:tab/>
      </w:r>
      <w:r>
        <w:fldChar w:fldCharType="begin"/>
      </w:r>
      <w:r>
        <w:instrText xml:space="preserve"> PAGEREF _Toc151136877 \h </w:instrText>
      </w:r>
      <w:r>
        <w:fldChar w:fldCharType="separate"/>
      </w:r>
      <w:r>
        <w:t>9</w:t>
      </w:r>
      <w:r>
        <w:fldChar w:fldCharType="end"/>
      </w:r>
      <w:r>
        <w:fldChar w:fldCharType="end"/>
      </w:r>
    </w:p>
    <w:p w14:paraId="0A10421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"_Toc151136878" </w:instrText>
      </w:r>
      <w:r>
        <w:fldChar w:fldCharType="separate"/>
      </w:r>
      <w:r>
        <w:rPr>
          <w:rStyle w:val="51"/>
          <w:rFonts w:ascii="仿宋_GB2312" w:eastAsia="仿宋_GB2312"/>
          <w:b/>
        </w:rPr>
        <w:t>1.1.</w:t>
      </w:r>
      <w:r>
        <w:rPr>
          <w:rFonts w:asciiTheme="minorHAnsi" w:hAnsiTheme="minorHAnsi" w:eastAsiaTheme="minorEastAsia" w:cstheme="minorBidi"/>
          <w:smallCaps w:val="0"/>
          <w:sz w:val="21"/>
          <w:szCs w:val="22"/>
        </w:rPr>
        <w:tab/>
      </w:r>
      <w:r>
        <w:rPr>
          <w:rStyle w:val="51"/>
          <w:rFonts w:hint="eastAsia" w:ascii="仿宋_GB2312" w:eastAsia="仿宋_GB2312"/>
          <w:b/>
        </w:rPr>
        <w:t>概况</w:t>
      </w:r>
      <w:r>
        <w:tab/>
      </w:r>
      <w:r>
        <w:fldChar w:fldCharType="begin"/>
      </w:r>
      <w:r>
        <w:instrText xml:space="preserve"> PAGEREF _Toc151136878 \h </w:instrText>
      </w:r>
      <w:r>
        <w:fldChar w:fldCharType="separate"/>
      </w:r>
      <w:r>
        <w:t>9</w:t>
      </w:r>
      <w:r>
        <w:fldChar w:fldCharType="end"/>
      </w:r>
      <w:r>
        <w:fldChar w:fldCharType="end"/>
      </w:r>
    </w:p>
    <w:p w14:paraId="516108A0">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"_Toc151136879" </w:instrText>
      </w:r>
      <w:r>
        <w:fldChar w:fldCharType="separate"/>
      </w:r>
      <w:r>
        <w:rPr>
          <w:rStyle w:val="51"/>
          <w:rFonts w:ascii="仿宋_GB2312" w:eastAsia="仿宋_GB2312"/>
          <w:b/>
        </w:rPr>
        <w:t>1.2.</w:t>
      </w:r>
      <w:r>
        <w:rPr>
          <w:rFonts w:asciiTheme="minorHAnsi" w:hAnsiTheme="minorHAnsi" w:eastAsiaTheme="minorEastAsia" w:cstheme="minorBidi"/>
          <w:smallCaps w:val="0"/>
          <w:sz w:val="21"/>
          <w:szCs w:val="22"/>
        </w:rPr>
        <w:tab/>
      </w:r>
      <w:r>
        <w:rPr>
          <w:rStyle w:val="51"/>
          <w:rFonts w:hint="eastAsia" w:ascii="仿宋_GB2312" w:eastAsia="仿宋_GB2312"/>
          <w:b/>
        </w:rPr>
        <w:t>债券交易业务</w:t>
      </w:r>
      <w:r>
        <w:tab/>
      </w:r>
      <w:r>
        <w:fldChar w:fldCharType="begin"/>
      </w:r>
      <w:r>
        <w:instrText xml:space="preserve"> PAGEREF _Toc151136879 \h </w:instrText>
      </w:r>
      <w:r>
        <w:fldChar w:fldCharType="separate"/>
      </w:r>
      <w:r>
        <w:t>10</w:t>
      </w:r>
      <w:r>
        <w:fldChar w:fldCharType="end"/>
      </w:r>
      <w:r>
        <w:fldChar w:fldCharType="end"/>
      </w:r>
    </w:p>
    <w:p w14:paraId="08C09D5F">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"_Toc151136880" </w:instrText>
      </w:r>
      <w:r>
        <w:fldChar w:fldCharType="separate"/>
      </w:r>
      <w:r>
        <w:rPr>
          <w:rStyle w:val="51"/>
          <w:rFonts w:ascii="仿宋_GB2312" w:eastAsia="仿宋_GB2312"/>
          <w:b/>
        </w:rPr>
        <w:t>1.3.</w:t>
      </w:r>
      <w:r>
        <w:rPr>
          <w:rFonts w:asciiTheme="minorHAnsi" w:hAnsiTheme="minorHAnsi" w:eastAsiaTheme="minorEastAsia" w:cstheme="minorBidi"/>
          <w:smallCaps w:val="0"/>
          <w:sz w:val="21"/>
          <w:szCs w:val="22"/>
        </w:rPr>
        <w:tab/>
      </w:r>
      <w:r>
        <w:rPr>
          <w:rStyle w:val="51"/>
          <w:rFonts w:hint="eastAsia" w:ascii="仿宋_GB2312" w:eastAsia="仿宋_GB2312"/>
          <w:b/>
        </w:rPr>
        <w:t>债券投资者</w:t>
      </w:r>
      <w:r>
        <w:tab/>
      </w:r>
      <w:r>
        <w:fldChar w:fldCharType="begin"/>
      </w:r>
      <w:r>
        <w:instrText xml:space="preserve"> PAGEREF _Toc151136880 \h </w:instrText>
      </w:r>
      <w:r>
        <w:fldChar w:fldCharType="separate"/>
      </w:r>
      <w:r>
        <w:t>12</w:t>
      </w:r>
      <w:r>
        <w:fldChar w:fldCharType="end"/>
      </w:r>
      <w:r>
        <w:fldChar w:fldCharType="end"/>
      </w:r>
    </w:p>
    <w:p w14:paraId="37A4AB3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"_Toc151136881" </w:instrText>
      </w:r>
      <w:r>
        <w:fldChar w:fldCharType="separate"/>
      </w:r>
      <w:r>
        <w:rPr>
          <w:rStyle w:val="51"/>
          <w:rFonts w:ascii="仿宋_GB2312" w:eastAsia="仿宋_GB2312"/>
          <w:b/>
        </w:rPr>
        <w:t>1.4.</w:t>
      </w:r>
      <w:r>
        <w:rPr>
          <w:rFonts w:asciiTheme="minorHAnsi" w:hAnsiTheme="minorHAnsi" w:eastAsiaTheme="minorEastAsia" w:cstheme="minorBidi"/>
          <w:smallCaps w:val="0"/>
          <w:sz w:val="21"/>
          <w:szCs w:val="22"/>
        </w:rPr>
        <w:tab/>
      </w:r>
      <w:r>
        <w:rPr>
          <w:rStyle w:val="51"/>
          <w:rFonts w:hint="eastAsia" w:ascii="仿宋_GB2312" w:eastAsia="仿宋_GB2312"/>
          <w:b/>
        </w:rPr>
        <w:t>参与方式</w:t>
      </w:r>
      <w:r>
        <w:tab/>
      </w:r>
      <w:r>
        <w:fldChar w:fldCharType="begin"/>
      </w:r>
      <w:r>
        <w:instrText xml:space="preserve"> PAGEREF _Toc151136881 \h </w:instrText>
      </w:r>
      <w:r>
        <w:fldChar w:fldCharType="separate"/>
      </w:r>
      <w:r>
        <w:t>12</w:t>
      </w:r>
      <w:r>
        <w:fldChar w:fldCharType="end"/>
      </w:r>
      <w:r>
        <w:fldChar w:fldCharType="end"/>
      </w:r>
    </w:p>
    <w:p w14:paraId="7ED76EA6">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"_Toc151136882" </w:instrText>
      </w:r>
      <w:r>
        <w:fldChar w:fldCharType="separate"/>
      </w:r>
      <w:r>
        <w:rPr>
          <w:rStyle w:val="51"/>
          <w:rFonts w:ascii="黑体" w:hAnsi="黑体" w:eastAsia="黑体"/>
        </w:rPr>
        <w:t>2.</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债券交易参与人</w:t>
      </w:r>
      <w:r>
        <w:tab/>
      </w:r>
      <w:r>
        <w:fldChar w:fldCharType="begin"/>
      </w:r>
      <w:r>
        <w:instrText xml:space="preserve"> PAGEREF _Toc151136882 \h </w:instrText>
      </w:r>
      <w:r>
        <w:fldChar w:fldCharType="separate"/>
      </w:r>
      <w:r>
        <w:t>15</w:t>
      </w:r>
      <w:r>
        <w:fldChar w:fldCharType="end"/>
      </w:r>
      <w:r>
        <w:fldChar w:fldCharType="end"/>
      </w:r>
    </w:p>
    <w:p w14:paraId="6EE24BE0">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"_Toc151136883" </w:instrText>
      </w:r>
      <w:r>
        <w:fldChar w:fldCharType="separate"/>
      </w:r>
      <w:r>
        <w:rPr>
          <w:rStyle w:val="51"/>
          <w:rFonts w:ascii="仿宋_GB2312" w:eastAsia="仿宋_GB2312"/>
          <w:b/>
        </w:rPr>
        <w:t>2.1.</w:t>
      </w:r>
      <w:r>
        <w:rPr>
          <w:rFonts w:asciiTheme="minorHAnsi" w:hAnsiTheme="minorHAnsi" w:eastAsiaTheme="minorEastAsia" w:cstheme="minorBidi"/>
          <w:smallCaps w:val="0"/>
          <w:sz w:val="21"/>
          <w:szCs w:val="22"/>
        </w:rPr>
        <w:tab/>
      </w:r>
      <w:r>
        <w:rPr>
          <w:rStyle w:val="51"/>
          <w:rFonts w:hint="eastAsia" w:ascii="仿宋_GB2312" w:hAnsi="黑体" w:eastAsia="仿宋_GB2312"/>
          <w:b/>
        </w:rPr>
        <w:t>债券交易参与人申请</w:t>
      </w:r>
      <w:r>
        <w:tab/>
      </w:r>
      <w:r>
        <w:fldChar w:fldCharType="begin"/>
      </w:r>
      <w:r>
        <w:instrText xml:space="preserve"> PAGEREF _Toc151136883 \h </w:instrText>
      </w:r>
      <w:r>
        <w:fldChar w:fldCharType="separate"/>
      </w:r>
      <w:r>
        <w:t>15</w:t>
      </w:r>
      <w:r>
        <w:fldChar w:fldCharType="end"/>
      </w:r>
      <w:r>
        <w:fldChar w:fldCharType="end"/>
      </w:r>
    </w:p>
    <w:p w14:paraId="57FED4F8">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"_Toc151136884" </w:instrText>
      </w:r>
      <w:r>
        <w:fldChar w:fldCharType="separate"/>
      </w:r>
      <w:r>
        <w:rPr>
          <w:rStyle w:val="51"/>
          <w:rFonts w:ascii="仿宋_GB2312" w:hAnsi="黑体" w:eastAsia="仿宋_GB2312"/>
          <w:b/>
        </w:rPr>
        <w:t>2.2.</w:t>
      </w:r>
      <w:r>
        <w:rPr>
          <w:rFonts w:asciiTheme="minorHAnsi" w:hAnsiTheme="minorHAnsi" w:eastAsiaTheme="minorEastAsia" w:cstheme="minorBidi"/>
          <w:smallCaps w:val="0"/>
          <w:sz w:val="21"/>
          <w:szCs w:val="22"/>
        </w:rPr>
        <w:tab/>
      </w:r>
      <w:r>
        <w:rPr>
          <w:rStyle w:val="51"/>
          <w:rFonts w:hint="eastAsia" w:ascii="仿宋_GB2312" w:hAnsi="黑体" w:eastAsia="仿宋_GB2312"/>
          <w:b/>
        </w:rPr>
        <w:t>债券交易参与人变更与终止</w:t>
      </w:r>
      <w:r>
        <w:tab/>
      </w:r>
      <w:r>
        <w:fldChar w:fldCharType="begin"/>
      </w:r>
      <w:r>
        <w:instrText xml:space="preserve"> PAGEREF _Toc151136884 \h </w:instrText>
      </w:r>
      <w:r>
        <w:fldChar w:fldCharType="separate"/>
      </w:r>
      <w:r>
        <w:t>22</w:t>
      </w:r>
      <w:r>
        <w:fldChar w:fldCharType="end"/>
      </w:r>
      <w:r>
        <w:fldChar w:fldCharType="end"/>
      </w:r>
    </w:p>
    <w:p w14:paraId="7BBB516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"_Toc151136885" </w:instrText>
      </w:r>
      <w:r>
        <w:fldChar w:fldCharType="separate"/>
      </w:r>
      <w:r>
        <w:rPr>
          <w:rStyle w:val="51"/>
          <w:rFonts w:ascii="仿宋_GB2312" w:eastAsia="仿宋_GB2312"/>
          <w:b/>
        </w:rPr>
        <w:t>2.3.</w:t>
      </w:r>
      <w:r>
        <w:rPr>
          <w:rFonts w:asciiTheme="minorHAnsi" w:hAnsiTheme="minorHAnsi" w:eastAsiaTheme="minorEastAsia" w:cstheme="minorBidi"/>
          <w:smallCaps w:val="0"/>
          <w:sz w:val="21"/>
          <w:szCs w:val="22"/>
        </w:rPr>
        <w:tab/>
      </w:r>
      <w:r>
        <w:rPr>
          <w:rStyle w:val="51"/>
          <w:rFonts w:hint="eastAsia" w:ascii="仿宋_GB2312" w:eastAsia="仿宋_GB2312"/>
          <w:b/>
        </w:rPr>
        <w:t>系统接入前准备</w:t>
      </w:r>
      <w:r>
        <w:tab/>
      </w:r>
      <w:r>
        <w:fldChar w:fldCharType="begin"/>
      </w:r>
      <w:r>
        <w:instrText xml:space="preserve"> PAGEREF _Toc151136885 \h </w:instrText>
      </w:r>
      <w:r>
        <w:fldChar w:fldCharType="separate"/>
      </w:r>
      <w:r>
        <w:t>25</w:t>
      </w:r>
      <w:r>
        <w:fldChar w:fldCharType="end"/>
      </w:r>
      <w:r>
        <w:fldChar w:fldCharType="end"/>
      </w:r>
    </w:p>
    <w:p w14:paraId="05017C25">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"_Toc151136886" </w:instrText>
      </w:r>
      <w:r>
        <w:fldChar w:fldCharType="separate"/>
      </w:r>
      <w:r>
        <w:rPr>
          <w:rStyle w:val="51"/>
          <w:rFonts w:ascii="黑体" w:hAnsi="黑体" w:eastAsia="黑体"/>
        </w:rPr>
        <w:t>3.</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债券经纪业务</w:t>
      </w:r>
      <w:r>
        <w:tab/>
      </w:r>
      <w:r>
        <w:fldChar w:fldCharType="begin"/>
      </w:r>
      <w:r>
        <w:instrText xml:space="preserve"> PAGEREF _Toc151136886 \h </w:instrText>
      </w:r>
      <w:r>
        <w:fldChar w:fldCharType="separate"/>
      </w:r>
      <w:r>
        <w:t>30</w:t>
      </w:r>
      <w:r>
        <w:fldChar w:fldCharType="end"/>
      </w:r>
      <w:r>
        <w:fldChar w:fldCharType="end"/>
      </w:r>
    </w:p>
    <w:p w14:paraId="61CDC13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"_Toc151136887" </w:instrText>
      </w:r>
      <w:r>
        <w:fldChar w:fldCharType="separate"/>
      </w:r>
      <w:r>
        <w:rPr>
          <w:rStyle w:val="51"/>
          <w:rFonts w:ascii="仿宋_GB2312" w:eastAsia="仿宋_GB2312"/>
          <w:b/>
        </w:rPr>
        <w:t>3.1.</w:t>
      </w:r>
      <w:r>
        <w:rPr>
          <w:rFonts w:asciiTheme="minorHAnsi" w:hAnsiTheme="minorHAnsi" w:eastAsiaTheme="minorEastAsia" w:cstheme="minorBidi"/>
          <w:smallCaps w:val="0"/>
          <w:sz w:val="21"/>
          <w:szCs w:val="22"/>
        </w:rPr>
        <w:tab/>
      </w:r>
      <w:r>
        <w:rPr>
          <w:rStyle w:val="51"/>
          <w:rFonts w:hint="eastAsia" w:ascii="仿宋_GB2312" w:eastAsia="仿宋_GB2312"/>
          <w:b/>
        </w:rPr>
        <w:t>投资者适当性</w:t>
      </w:r>
      <w:r>
        <w:tab/>
      </w:r>
      <w:r>
        <w:fldChar w:fldCharType="begin"/>
      </w:r>
      <w:r>
        <w:instrText xml:space="preserve"> PAGEREF _Toc151136887 \h </w:instrText>
      </w:r>
      <w:r>
        <w:fldChar w:fldCharType="separate"/>
      </w:r>
      <w:r>
        <w:t>30</w:t>
      </w:r>
      <w:r>
        <w:fldChar w:fldCharType="end"/>
      </w:r>
      <w:r>
        <w:fldChar w:fldCharType="end"/>
      </w:r>
    </w:p>
    <w:p w14:paraId="3AF6BBC3">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"_Toc151136888" </w:instrText>
      </w:r>
      <w:r>
        <w:fldChar w:fldCharType="separate"/>
      </w:r>
      <w:r>
        <w:rPr>
          <w:rStyle w:val="51"/>
          <w:rFonts w:ascii="仿宋_GB2312" w:eastAsia="仿宋_GB2312"/>
          <w:b/>
        </w:rPr>
        <w:t>3.2.</w:t>
      </w:r>
      <w:r>
        <w:rPr>
          <w:rFonts w:asciiTheme="minorHAnsi" w:hAnsiTheme="minorHAnsi" w:eastAsiaTheme="minorEastAsia" w:cstheme="minorBidi"/>
          <w:smallCaps w:val="0"/>
          <w:sz w:val="21"/>
          <w:szCs w:val="22"/>
        </w:rPr>
        <w:tab/>
      </w:r>
      <w:r>
        <w:rPr>
          <w:rStyle w:val="51"/>
          <w:rFonts w:hint="eastAsia" w:ascii="仿宋_GB2312" w:eastAsia="仿宋_GB2312"/>
          <w:b/>
        </w:rPr>
        <w:t>委托交易</w:t>
      </w:r>
      <w:r>
        <w:tab/>
      </w:r>
      <w:r>
        <w:fldChar w:fldCharType="begin"/>
      </w:r>
      <w:r>
        <w:instrText xml:space="preserve"> PAGEREF _Toc151136888 \h </w:instrText>
      </w:r>
      <w:r>
        <w:fldChar w:fldCharType="separate"/>
      </w:r>
      <w:r>
        <w:t>34</w:t>
      </w:r>
      <w:r>
        <w:fldChar w:fldCharType="end"/>
      </w:r>
      <w:r>
        <w:fldChar w:fldCharType="end"/>
      </w:r>
    </w:p>
    <w:p w14:paraId="6CE8B8A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"_Toc151136889" </w:instrText>
      </w:r>
      <w:r>
        <w:fldChar w:fldCharType="separate"/>
      </w:r>
      <w:r>
        <w:rPr>
          <w:rStyle w:val="51"/>
          <w:rFonts w:ascii="仿宋_GB2312" w:eastAsia="仿宋_GB2312"/>
          <w:b/>
        </w:rPr>
        <w:t>3.3.</w:t>
      </w:r>
      <w:r>
        <w:rPr>
          <w:rFonts w:asciiTheme="minorHAnsi" w:hAnsiTheme="minorHAnsi" w:eastAsiaTheme="minorEastAsia" w:cstheme="minorBidi"/>
          <w:smallCaps w:val="0"/>
          <w:sz w:val="21"/>
          <w:szCs w:val="22"/>
        </w:rPr>
        <w:tab/>
      </w:r>
      <w:r>
        <w:rPr>
          <w:rStyle w:val="51"/>
          <w:rFonts w:hint="eastAsia" w:ascii="仿宋_GB2312" w:eastAsia="仿宋_GB2312"/>
          <w:b/>
        </w:rPr>
        <w:t>券商结算</w:t>
      </w:r>
      <w:r>
        <w:tab/>
      </w:r>
      <w:r>
        <w:fldChar w:fldCharType="begin"/>
      </w:r>
      <w:r>
        <w:instrText xml:space="preserve"> PAGEREF _Toc151136889 \h </w:instrText>
      </w:r>
      <w:r>
        <w:fldChar w:fldCharType="separate"/>
      </w:r>
      <w:r>
        <w:t>43</w:t>
      </w:r>
      <w:r>
        <w:fldChar w:fldCharType="end"/>
      </w:r>
      <w:r>
        <w:fldChar w:fldCharType="end"/>
      </w:r>
    </w:p>
    <w:p w14:paraId="58D01268">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"_Toc151136890" </w:instrText>
      </w:r>
      <w:r>
        <w:fldChar w:fldCharType="separate"/>
      </w:r>
      <w:r>
        <w:rPr>
          <w:rStyle w:val="51"/>
          <w:rFonts w:ascii="黑体" w:hAnsi="黑体" w:eastAsia="黑体"/>
        </w:rPr>
        <w:t>4.</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债券交易一般要求</w:t>
      </w:r>
      <w:r>
        <w:tab/>
      </w:r>
      <w:r>
        <w:fldChar w:fldCharType="begin"/>
      </w:r>
      <w:r>
        <w:instrText xml:space="preserve"> PAGEREF _Toc151136890 \h </w:instrText>
      </w:r>
      <w:r>
        <w:fldChar w:fldCharType="separate"/>
      </w:r>
      <w:r>
        <w:t>44</w:t>
      </w:r>
      <w:r>
        <w:fldChar w:fldCharType="end"/>
      </w:r>
      <w:r>
        <w:fldChar w:fldCharType="end"/>
      </w:r>
    </w:p>
    <w:p w14:paraId="78C309CC">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"_Toc151136891" </w:instrText>
      </w:r>
      <w:r>
        <w:fldChar w:fldCharType="separate"/>
      </w:r>
      <w:r>
        <w:rPr>
          <w:rStyle w:val="51"/>
          <w:rFonts w:ascii="仿宋_GB2312" w:eastAsia="仿宋_GB2312"/>
          <w:b/>
        </w:rPr>
        <w:t>4.1.</w:t>
      </w:r>
      <w:r>
        <w:rPr>
          <w:rFonts w:asciiTheme="minorHAnsi" w:hAnsiTheme="minorHAnsi" w:eastAsiaTheme="minorEastAsia" w:cstheme="minorBidi"/>
          <w:smallCaps w:val="0"/>
          <w:sz w:val="21"/>
          <w:szCs w:val="22"/>
        </w:rPr>
        <w:tab/>
      </w:r>
      <w:r>
        <w:rPr>
          <w:rStyle w:val="51"/>
          <w:rFonts w:hint="eastAsia" w:ascii="仿宋_GB2312" w:eastAsia="仿宋_GB2312"/>
          <w:b/>
        </w:rPr>
        <w:t>指定交易</w:t>
      </w:r>
      <w:r>
        <w:tab/>
      </w:r>
      <w:r>
        <w:fldChar w:fldCharType="begin"/>
      </w:r>
      <w:r>
        <w:instrText xml:space="preserve"> PAGEREF _Toc151136891 \h </w:instrText>
      </w:r>
      <w:r>
        <w:fldChar w:fldCharType="separate"/>
      </w:r>
      <w:r>
        <w:t>44</w:t>
      </w:r>
      <w:r>
        <w:fldChar w:fldCharType="end"/>
      </w:r>
      <w:r>
        <w:fldChar w:fldCharType="end"/>
      </w:r>
    </w:p>
    <w:p w14:paraId="088773B4">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"_Toc151136892" </w:instrText>
      </w:r>
      <w:r>
        <w:fldChar w:fldCharType="separate"/>
      </w:r>
      <w:r>
        <w:rPr>
          <w:rStyle w:val="51"/>
          <w:rFonts w:ascii="仿宋_GB2312" w:eastAsia="仿宋_GB2312"/>
          <w:b/>
        </w:rPr>
        <w:t>4.2.</w:t>
      </w:r>
      <w:r>
        <w:rPr>
          <w:rFonts w:asciiTheme="minorHAnsi" w:hAnsiTheme="minorHAnsi" w:eastAsiaTheme="minorEastAsia" w:cstheme="minorBidi"/>
          <w:smallCaps w:val="0"/>
          <w:sz w:val="21"/>
          <w:szCs w:val="22"/>
        </w:rPr>
        <w:tab/>
      </w:r>
      <w:r>
        <w:rPr>
          <w:rStyle w:val="51"/>
          <w:rFonts w:hint="eastAsia" w:ascii="仿宋_GB2312" w:eastAsia="仿宋_GB2312"/>
          <w:b/>
        </w:rPr>
        <w:t>交易对手</w:t>
      </w:r>
      <w:r>
        <w:tab/>
      </w:r>
      <w:r>
        <w:fldChar w:fldCharType="begin"/>
      </w:r>
      <w:r>
        <w:instrText xml:space="preserve"> PAGEREF _Toc151136892 \h </w:instrText>
      </w:r>
      <w:r>
        <w:fldChar w:fldCharType="separate"/>
      </w:r>
      <w:r>
        <w:t>47</w:t>
      </w:r>
      <w:r>
        <w:fldChar w:fldCharType="end"/>
      </w:r>
      <w:r>
        <w:fldChar w:fldCharType="end"/>
      </w:r>
    </w:p>
    <w:p w14:paraId="2901F22B">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"_Toc151136893" </w:instrText>
      </w:r>
      <w:r>
        <w:fldChar w:fldCharType="separate"/>
      </w:r>
      <w:r>
        <w:rPr>
          <w:rStyle w:val="51"/>
          <w:rFonts w:ascii="仿宋_GB2312" w:eastAsia="仿宋_GB2312"/>
          <w:b/>
        </w:rPr>
        <w:t>4.3.</w:t>
      </w:r>
      <w:r>
        <w:rPr>
          <w:rFonts w:asciiTheme="minorHAnsi" w:hAnsiTheme="minorHAnsi" w:eastAsiaTheme="minorEastAsia" w:cstheme="minorBidi"/>
          <w:smallCaps w:val="0"/>
          <w:sz w:val="21"/>
          <w:szCs w:val="22"/>
        </w:rPr>
        <w:tab/>
      </w:r>
      <w:r>
        <w:rPr>
          <w:rStyle w:val="51"/>
          <w:rFonts w:hint="eastAsia" w:ascii="仿宋_GB2312" w:eastAsia="仿宋_GB2312"/>
          <w:b/>
        </w:rPr>
        <w:t>交易前端控制</w:t>
      </w:r>
      <w:r>
        <w:tab/>
      </w:r>
      <w:r>
        <w:fldChar w:fldCharType="begin"/>
      </w:r>
      <w:r>
        <w:instrText xml:space="preserve"> PAGEREF _Toc151136893 \h </w:instrText>
      </w:r>
      <w:r>
        <w:fldChar w:fldCharType="separate"/>
      </w:r>
      <w:r>
        <w:t>47</w:t>
      </w:r>
      <w:r>
        <w:fldChar w:fldCharType="end"/>
      </w:r>
      <w:r>
        <w:fldChar w:fldCharType="end"/>
      </w:r>
    </w:p>
    <w:p w14:paraId="5D9C6848">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"_Toc151136894" </w:instrText>
      </w:r>
      <w:r>
        <w:fldChar w:fldCharType="separate"/>
      </w:r>
      <w:r>
        <w:rPr>
          <w:rStyle w:val="51"/>
          <w:rFonts w:ascii="仿宋_GB2312" w:eastAsia="仿宋_GB2312"/>
          <w:b/>
        </w:rPr>
        <w:t>4.4.</w:t>
      </w:r>
      <w:r>
        <w:rPr>
          <w:rFonts w:asciiTheme="minorHAnsi" w:hAnsiTheme="minorHAnsi" w:eastAsiaTheme="minorEastAsia" w:cstheme="minorBidi"/>
          <w:smallCaps w:val="0"/>
          <w:sz w:val="21"/>
          <w:szCs w:val="22"/>
        </w:rPr>
        <w:tab/>
      </w:r>
      <w:r>
        <w:rPr>
          <w:rStyle w:val="51"/>
          <w:rFonts w:hint="eastAsia" w:ascii="仿宋_GB2312" w:eastAsia="仿宋_GB2312"/>
          <w:b/>
        </w:rPr>
        <w:t>交易日和交易时间</w:t>
      </w:r>
      <w:r>
        <w:tab/>
      </w:r>
      <w:r>
        <w:fldChar w:fldCharType="begin"/>
      </w:r>
      <w:r>
        <w:instrText xml:space="preserve"> PAGEREF _Toc151136894 \h </w:instrText>
      </w:r>
      <w:r>
        <w:fldChar w:fldCharType="separate"/>
      </w:r>
      <w:r>
        <w:t>50</w:t>
      </w:r>
      <w:r>
        <w:fldChar w:fldCharType="end"/>
      </w:r>
      <w:r>
        <w:fldChar w:fldCharType="end"/>
      </w:r>
    </w:p>
    <w:p w14:paraId="2B5108C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"_Toc151136895" </w:instrText>
      </w:r>
      <w:r>
        <w:fldChar w:fldCharType="separate"/>
      </w:r>
      <w:r>
        <w:rPr>
          <w:rStyle w:val="51"/>
          <w:rFonts w:ascii="仿宋_GB2312" w:eastAsia="仿宋_GB2312"/>
          <w:b/>
        </w:rPr>
        <w:t>4.5.</w:t>
      </w:r>
      <w:r>
        <w:rPr>
          <w:rFonts w:asciiTheme="minorHAnsi" w:hAnsiTheme="minorHAnsi" w:eastAsiaTheme="minorEastAsia" w:cstheme="minorBidi"/>
          <w:smallCaps w:val="0"/>
          <w:sz w:val="21"/>
          <w:szCs w:val="22"/>
        </w:rPr>
        <w:tab/>
      </w:r>
      <w:r>
        <w:rPr>
          <w:rStyle w:val="51"/>
          <w:rFonts w:hint="eastAsia" w:ascii="仿宋_GB2312" w:eastAsia="仿宋_GB2312"/>
          <w:b/>
        </w:rPr>
        <w:t>交易方式分类管理</w:t>
      </w:r>
      <w:r>
        <w:tab/>
      </w:r>
      <w:r>
        <w:fldChar w:fldCharType="begin"/>
      </w:r>
      <w:r>
        <w:instrText xml:space="preserve"> PAGEREF _Toc151136895 \h </w:instrText>
      </w:r>
      <w:r>
        <w:fldChar w:fldCharType="separate"/>
      </w:r>
      <w:r>
        <w:t>51</w:t>
      </w:r>
      <w:r>
        <w:fldChar w:fldCharType="end"/>
      </w:r>
      <w:r>
        <w:fldChar w:fldCharType="end"/>
      </w:r>
    </w:p>
    <w:p w14:paraId="4ECD962E">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"_Toc151136896" </w:instrText>
      </w:r>
      <w:r>
        <w:fldChar w:fldCharType="separate"/>
      </w:r>
      <w:r>
        <w:rPr>
          <w:rStyle w:val="51"/>
          <w:rFonts w:ascii="仿宋_GB2312" w:eastAsia="仿宋_GB2312"/>
          <w:b/>
        </w:rPr>
        <w:t>4.6.</w:t>
      </w:r>
      <w:r>
        <w:rPr>
          <w:rFonts w:asciiTheme="minorHAnsi" w:hAnsiTheme="minorHAnsi" w:eastAsiaTheme="minorEastAsia" w:cstheme="minorBidi"/>
          <w:smallCaps w:val="0"/>
          <w:sz w:val="21"/>
          <w:szCs w:val="22"/>
        </w:rPr>
        <w:tab/>
      </w:r>
      <w:r>
        <w:rPr>
          <w:rStyle w:val="51"/>
          <w:rFonts w:hint="eastAsia" w:ascii="仿宋_GB2312" w:eastAsia="仿宋_GB2312"/>
          <w:b/>
        </w:rPr>
        <w:t>交易申报</w:t>
      </w:r>
      <w:r>
        <w:tab/>
      </w:r>
      <w:r>
        <w:fldChar w:fldCharType="begin"/>
      </w:r>
      <w:r>
        <w:instrText xml:space="preserve"> PAGEREF _Toc151136896 \h </w:instrText>
      </w:r>
      <w:r>
        <w:fldChar w:fldCharType="separate"/>
      </w:r>
      <w:r>
        <w:t>52</w:t>
      </w:r>
      <w:r>
        <w:fldChar w:fldCharType="end"/>
      </w:r>
      <w:r>
        <w:fldChar w:fldCharType="end"/>
      </w:r>
    </w:p>
    <w:p w14:paraId="18811837">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"_Toc151136897" </w:instrText>
      </w:r>
      <w:r>
        <w:fldChar w:fldCharType="separate"/>
      </w:r>
      <w:r>
        <w:rPr>
          <w:rStyle w:val="51"/>
          <w:rFonts w:ascii="仿宋_GB2312" w:eastAsia="仿宋_GB2312"/>
          <w:b/>
        </w:rPr>
        <w:t>4.7.</w:t>
      </w:r>
      <w:r>
        <w:rPr>
          <w:rFonts w:asciiTheme="minorHAnsi" w:hAnsiTheme="minorHAnsi" w:eastAsiaTheme="minorEastAsia" w:cstheme="minorBidi"/>
          <w:smallCaps w:val="0"/>
          <w:sz w:val="21"/>
          <w:szCs w:val="22"/>
        </w:rPr>
        <w:tab/>
      </w:r>
      <w:r>
        <w:rPr>
          <w:rStyle w:val="51"/>
          <w:rFonts w:hint="eastAsia" w:ascii="仿宋_GB2312" w:eastAsia="仿宋_GB2312"/>
          <w:b/>
        </w:rPr>
        <w:t>成交</w:t>
      </w:r>
      <w:r>
        <w:tab/>
      </w:r>
      <w:r>
        <w:fldChar w:fldCharType="begin"/>
      </w:r>
      <w:r>
        <w:instrText xml:space="preserve"> PAGEREF _Toc151136897 \h </w:instrText>
      </w:r>
      <w:r>
        <w:fldChar w:fldCharType="separate"/>
      </w:r>
      <w:r>
        <w:t>57</w:t>
      </w:r>
      <w:r>
        <w:fldChar w:fldCharType="end"/>
      </w:r>
      <w:r>
        <w:fldChar w:fldCharType="end"/>
      </w:r>
    </w:p>
    <w:p w14:paraId="5F1CB9A7">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"_Toc151136898" </w:instrText>
      </w:r>
      <w:r>
        <w:fldChar w:fldCharType="separate"/>
      </w:r>
      <w:r>
        <w:rPr>
          <w:rStyle w:val="51"/>
          <w:rFonts w:ascii="仿宋_GB2312" w:eastAsia="仿宋_GB2312"/>
          <w:b/>
        </w:rPr>
        <w:t>4.8.</w:t>
      </w:r>
      <w:r>
        <w:rPr>
          <w:rFonts w:asciiTheme="minorHAnsi" w:hAnsiTheme="minorHAnsi" w:eastAsiaTheme="minorEastAsia" w:cstheme="minorBidi"/>
          <w:smallCaps w:val="0"/>
          <w:sz w:val="21"/>
          <w:szCs w:val="22"/>
        </w:rPr>
        <w:tab/>
      </w:r>
      <w:r>
        <w:rPr>
          <w:rStyle w:val="51"/>
          <w:rFonts w:hint="eastAsia" w:ascii="仿宋_GB2312" w:eastAsia="仿宋_GB2312"/>
          <w:b/>
        </w:rPr>
        <w:t>结算</w:t>
      </w:r>
      <w:r>
        <w:tab/>
      </w:r>
      <w:r>
        <w:fldChar w:fldCharType="begin"/>
      </w:r>
      <w:r>
        <w:instrText xml:space="preserve"> PAGEREF _Toc151136898 \h </w:instrText>
      </w:r>
      <w:r>
        <w:fldChar w:fldCharType="separate"/>
      </w:r>
      <w:r>
        <w:t>58</w:t>
      </w:r>
      <w:r>
        <w:fldChar w:fldCharType="end"/>
      </w:r>
      <w:r>
        <w:fldChar w:fldCharType="end"/>
      </w:r>
    </w:p>
    <w:p w14:paraId="541C1C86">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"_Toc151136899" </w:instrText>
      </w:r>
      <w:r>
        <w:fldChar w:fldCharType="separate"/>
      </w:r>
      <w:r>
        <w:rPr>
          <w:rStyle w:val="51"/>
          <w:rFonts w:ascii="黑体" w:hAnsi="黑体" w:eastAsia="黑体"/>
        </w:rPr>
        <w:t>5.</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债券交易方式</w:t>
      </w:r>
      <w:r>
        <w:tab/>
      </w:r>
      <w:r>
        <w:fldChar w:fldCharType="begin"/>
      </w:r>
      <w:r>
        <w:instrText xml:space="preserve"> PAGEREF _Toc151136899 \h </w:instrText>
      </w:r>
      <w:r>
        <w:fldChar w:fldCharType="separate"/>
      </w:r>
      <w:r>
        <w:t>59</w:t>
      </w:r>
      <w:r>
        <w:fldChar w:fldCharType="end"/>
      </w:r>
      <w:r>
        <w:fldChar w:fldCharType="end"/>
      </w:r>
    </w:p>
    <w:p w14:paraId="6787D60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"_Toc151136900" </w:instrText>
      </w:r>
      <w:r>
        <w:fldChar w:fldCharType="separate"/>
      </w:r>
      <w:r>
        <w:rPr>
          <w:rStyle w:val="51"/>
          <w:rFonts w:ascii="仿宋_GB2312" w:eastAsia="仿宋_GB2312"/>
          <w:b/>
        </w:rPr>
        <w:t>5.1.</w:t>
      </w:r>
      <w:r>
        <w:rPr>
          <w:rFonts w:asciiTheme="minorHAnsi" w:hAnsiTheme="minorHAnsi" w:eastAsiaTheme="minorEastAsia" w:cstheme="minorBidi"/>
          <w:smallCaps w:val="0"/>
          <w:sz w:val="21"/>
          <w:szCs w:val="22"/>
        </w:rPr>
        <w:tab/>
      </w:r>
      <w:r>
        <w:rPr>
          <w:rStyle w:val="51"/>
          <w:rFonts w:hint="eastAsia" w:ascii="仿宋_GB2312" w:eastAsia="仿宋_GB2312"/>
          <w:b/>
        </w:rPr>
        <w:t>匹配成交</w:t>
      </w:r>
      <w:r>
        <w:tab/>
      </w:r>
      <w:r>
        <w:fldChar w:fldCharType="begin"/>
      </w:r>
      <w:r>
        <w:instrText xml:space="preserve"> PAGEREF _Toc151136900 \h </w:instrText>
      </w:r>
      <w:r>
        <w:fldChar w:fldCharType="separate"/>
      </w:r>
      <w:r>
        <w:t>59</w:t>
      </w:r>
      <w:r>
        <w:fldChar w:fldCharType="end"/>
      </w:r>
      <w:r>
        <w:fldChar w:fldCharType="end"/>
      </w:r>
    </w:p>
    <w:p w14:paraId="0B68364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"_Toc151136901" </w:instrText>
      </w:r>
      <w:r>
        <w:fldChar w:fldCharType="separate"/>
      </w:r>
      <w:r>
        <w:rPr>
          <w:rStyle w:val="51"/>
          <w:rFonts w:ascii="仿宋_GB2312" w:eastAsia="仿宋_GB2312"/>
          <w:b/>
        </w:rPr>
        <w:t>5.2.</w:t>
      </w:r>
      <w:r>
        <w:rPr>
          <w:rFonts w:asciiTheme="minorHAnsi" w:hAnsiTheme="minorHAnsi" w:eastAsiaTheme="minorEastAsia" w:cstheme="minorBidi"/>
          <w:smallCaps w:val="0"/>
          <w:sz w:val="21"/>
          <w:szCs w:val="22"/>
        </w:rPr>
        <w:tab/>
      </w:r>
      <w:r>
        <w:rPr>
          <w:rStyle w:val="51"/>
          <w:rFonts w:hint="eastAsia" w:ascii="仿宋_GB2312" w:eastAsia="仿宋_GB2312"/>
          <w:b/>
        </w:rPr>
        <w:t>协商成交</w:t>
      </w:r>
      <w:r>
        <w:tab/>
      </w:r>
      <w:r>
        <w:fldChar w:fldCharType="begin"/>
      </w:r>
      <w:r>
        <w:instrText xml:space="preserve"> PAGEREF _Toc151136901 \h </w:instrText>
      </w:r>
      <w:r>
        <w:fldChar w:fldCharType="separate"/>
      </w:r>
      <w:r>
        <w:t>64</w:t>
      </w:r>
      <w:r>
        <w:fldChar w:fldCharType="end"/>
      </w:r>
      <w:r>
        <w:fldChar w:fldCharType="end"/>
      </w:r>
    </w:p>
    <w:p w14:paraId="27765FA1">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"_Toc151136902" </w:instrText>
      </w:r>
      <w:r>
        <w:fldChar w:fldCharType="separate"/>
      </w:r>
      <w:r>
        <w:rPr>
          <w:rStyle w:val="51"/>
          <w:rFonts w:ascii="仿宋_GB2312" w:eastAsia="仿宋_GB2312"/>
          <w:b/>
        </w:rPr>
        <w:t>5.3.</w:t>
      </w:r>
      <w:r>
        <w:rPr>
          <w:rFonts w:asciiTheme="minorHAnsi" w:hAnsiTheme="minorHAnsi" w:eastAsiaTheme="minorEastAsia" w:cstheme="minorBidi"/>
          <w:smallCaps w:val="0"/>
          <w:sz w:val="21"/>
          <w:szCs w:val="22"/>
        </w:rPr>
        <w:tab/>
      </w:r>
      <w:r>
        <w:rPr>
          <w:rStyle w:val="51"/>
          <w:rFonts w:hint="eastAsia" w:ascii="仿宋_GB2312" w:eastAsia="仿宋_GB2312"/>
          <w:b/>
        </w:rPr>
        <w:t>点击成交</w:t>
      </w:r>
      <w:r>
        <w:tab/>
      </w:r>
      <w:r>
        <w:fldChar w:fldCharType="begin"/>
      </w:r>
      <w:r>
        <w:instrText xml:space="preserve"> PAGEREF _Toc151136902 \h </w:instrText>
      </w:r>
      <w:r>
        <w:fldChar w:fldCharType="separate"/>
      </w:r>
      <w:r>
        <w:t>68</w:t>
      </w:r>
      <w:r>
        <w:fldChar w:fldCharType="end"/>
      </w:r>
      <w:r>
        <w:fldChar w:fldCharType="end"/>
      </w:r>
    </w:p>
    <w:p w14:paraId="70230402">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"_Toc151136903" </w:instrText>
      </w:r>
      <w:r>
        <w:fldChar w:fldCharType="separate"/>
      </w:r>
      <w:r>
        <w:rPr>
          <w:rStyle w:val="51"/>
          <w:rFonts w:ascii="仿宋_GB2312" w:eastAsia="仿宋_GB2312"/>
          <w:b/>
        </w:rPr>
        <w:t>5.4.</w:t>
      </w:r>
      <w:r>
        <w:rPr>
          <w:rFonts w:asciiTheme="minorHAnsi" w:hAnsiTheme="minorHAnsi" w:eastAsiaTheme="minorEastAsia" w:cstheme="minorBidi"/>
          <w:smallCaps w:val="0"/>
          <w:sz w:val="21"/>
          <w:szCs w:val="22"/>
        </w:rPr>
        <w:tab/>
      </w:r>
      <w:r>
        <w:rPr>
          <w:rStyle w:val="51"/>
          <w:rFonts w:hint="eastAsia" w:ascii="仿宋_GB2312" w:eastAsia="仿宋_GB2312"/>
          <w:b/>
        </w:rPr>
        <w:t>询价成交</w:t>
      </w:r>
      <w:r>
        <w:tab/>
      </w:r>
      <w:r>
        <w:fldChar w:fldCharType="begin"/>
      </w:r>
      <w:r>
        <w:instrText xml:space="preserve"> PAGEREF _Toc151136903 \h </w:instrText>
      </w:r>
      <w:r>
        <w:fldChar w:fldCharType="separate"/>
      </w:r>
      <w:r>
        <w:t>73</w:t>
      </w:r>
      <w:r>
        <w:fldChar w:fldCharType="end"/>
      </w:r>
      <w:r>
        <w:fldChar w:fldCharType="end"/>
      </w:r>
    </w:p>
    <w:p w14:paraId="6488EDF2">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"_Toc151136904" </w:instrText>
      </w:r>
      <w:r>
        <w:fldChar w:fldCharType="separate"/>
      </w:r>
      <w:r>
        <w:rPr>
          <w:rStyle w:val="51"/>
          <w:rFonts w:ascii="仿宋_GB2312" w:eastAsia="仿宋_GB2312"/>
          <w:b/>
        </w:rPr>
        <w:t>5.5.</w:t>
      </w:r>
      <w:r>
        <w:rPr>
          <w:rFonts w:asciiTheme="minorHAnsi" w:hAnsiTheme="minorHAnsi" w:eastAsiaTheme="minorEastAsia" w:cstheme="minorBidi"/>
          <w:smallCaps w:val="0"/>
          <w:sz w:val="21"/>
          <w:szCs w:val="22"/>
        </w:rPr>
        <w:tab/>
      </w:r>
      <w:r>
        <w:rPr>
          <w:rStyle w:val="51"/>
          <w:rFonts w:hint="eastAsia" w:ascii="仿宋_GB2312" w:eastAsia="仿宋_GB2312"/>
          <w:b/>
        </w:rPr>
        <w:t>竞买成交</w:t>
      </w:r>
      <w:r>
        <w:tab/>
      </w:r>
      <w:r>
        <w:fldChar w:fldCharType="begin"/>
      </w:r>
      <w:r>
        <w:instrText xml:space="preserve"> PAGEREF _Toc151136904 \h </w:instrText>
      </w:r>
      <w:r>
        <w:fldChar w:fldCharType="separate"/>
      </w:r>
      <w:r>
        <w:t>78</w:t>
      </w:r>
      <w:r>
        <w:fldChar w:fldCharType="end"/>
      </w:r>
      <w:r>
        <w:fldChar w:fldCharType="end"/>
      </w:r>
    </w:p>
    <w:p w14:paraId="5B3315A9">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"_Toc151136905" </w:instrText>
      </w:r>
      <w:r>
        <w:fldChar w:fldCharType="separate"/>
      </w:r>
      <w:r>
        <w:rPr>
          <w:rStyle w:val="51"/>
          <w:rFonts w:ascii="仿宋_GB2312" w:eastAsia="仿宋_GB2312"/>
          <w:b/>
        </w:rPr>
        <w:t>5.6.</w:t>
      </w:r>
      <w:r>
        <w:rPr>
          <w:rFonts w:asciiTheme="minorHAnsi" w:hAnsiTheme="minorHAnsi" w:eastAsiaTheme="minorEastAsia" w:cstheme="minorBidi"/>
          <w:smallCaps w:val="0"/>
          <w:sz w:val="21"/>
          <w:szCs w:val="22"/>
        </w:rPr>
        <w:tab/>
      </w:r>
      <w:r>
        <w:rPr>
          <w:rStyle w:val="51"/>
          <w:rFonts w:hint="eastAsia" w:ascii="仿宋_GB2312" w:eastAsia="仿宋_GB2312"/>
          <w:b/>
        </w:rPr>
        <w:t>意向申报</w:t>
      </w:r>
      <w:r>
        <w:tab/>
      </w:r>
      <w:r>
        <w:fldChar w:fldCharType="begin"/>
      </w:r>
      <w:r>
        <w:instrText xml:space="preserve"> PAGEREF _Toc151136905 \h </w:instrText>
      </w:r>
      <w:r>
        <w:fldChar w:fldCharType="separate"/>
      </w:r>
      <w:r>
        <w:t>86</w:t>
      </w:r>
      <w:r>
        <w:fldChar w:fldCharType="end"/>
      </w:r>
      <w:r>
        <w:fldChar w:fldCharType="end"/>
      </w:r>
    </w:p>
    <w:p w14:paraId="5A58328B">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"_Toc151136906" </w:instrText>
      </w:r>
      <w:r>
        <w:fldChar w:fldCharType="separate"/>
      </w:r>
      <w:r>
        <w:rPr>
          <w:rStyle w:val="51"/>
          <w:rFonts w:ascii="黑体" w:hAnsi="黑体" w:eastAsia="黑体"/>
        </w:rPr>
        <w:t>6.</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债券现券交易</w:t>
      </w:r>
      <w:r>
        <w:tab/>
      </w:r>
      <w:r>
        <w:fldChar w:fldCharType="begin"/>
      </w:r>
      <w:r>
        <w:instrText xml:space="preserve"> PAGEREF _Toc151136906 \h </w:instrText>
      </w:r>
      <w:r>
        <w:fldChar w:fldCharType="separate"/>
      </w:r>
      <w:r>
        <w:t>89</w:t>
      </w:r>
      <w:r>
        <w:fldChar w:fldCharType="end"/>
      </w:r>
      <w:r>
        <w:fldChar w:fldCharType="end"/>
      </w:r>
    </w:p>
    <w:p w14:paraId="770B8F33">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"_Toc151136907" </w:instrText>
      </w:r>
      <w:r>
        <w:fldChar w:fldCharType="separate"/>
      </w:r>
      <w:r>
        <w:rPr>
          <w:rStyle w:val="51"/>
          <w:rFonts w:ascii="仿宋_GB2312" w:eastAsia="仿宋_GB2312"/>
          <w:b/>
        </w:rPr>
        <w:t>6.1.</w:t>
      </w:r>
      <w:r>
        <w:rPr>
          <w:rFonts w:asciiTheme="minorHAnsi" w:hAnsiTheme="minorHAnsi" w:eastAsiaTheme="minorEastAsia" w:cstheme="minorBidi"/>
          <w:smallCaps w:val="0"/>
          <w:sz w:val="21"/>
          <w:szCs w:val="22"/>
        </w:rPr>
        <w:tab/>
      </w:r>
      <w:r>
        <w:rPr>
          <w:rStyle w:val="51"/>
          <w:rFonts w:hint="eastAsia" w:ascii="仿宋_GB2312" w:eastAsia="仿宋_GB2312"/>
          <w:b/>
        </w:rPr>
        <w:t>交易品种</w:t>
      </w:r>
      <w:r>
        <w:tab/>
      </w:r>
      <w:r>
        <w:fldChar w:fldCharType="begin"/>
      </w:r>
      <w:r>
        <w:instrText xml:space="preserve"> PAGEREF _Toc151136907 \h </w:instrText>
      </w:r>
      <w:r>
        <w:fldChar w:fldCharType="separate"/>
      </w:r>
      <w:r>
        <w:t>89</w:t>
      </w:r>
      <w:r>
        <w:fldChar w:fldCharType="end"/>
      </w:r>
      <w:r>
        <w:fldChar w:fldCharType="end"/>
      </w:r>
    </w:p>
    <w:p w14:paraId="02BF72CC">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"_Toc151136908" </w:instrText>
      </w:r>
      <w:r>
        <w:fldChar w:fldCharType="separate"/>
      </w:r>
      <w:r>
        <w:rPr>
          <w:rStyle w:val="51"/>
          <w:rFonts w:ascii="仿宋_GB2312" w:eastAsia="仿宋_GB2312"/>
          <w:b/>
        </w:rPr>
        <w:t>6.2.</w:t>
      </w:r>
      <w:r>
        <w:rPr>
          <w:rFonts w:asciiTheme="minorHAnsi" w:hAnsiTheme="minorHAnsi" w:eastAsiaTheme="minorEastAsia" w:cstheme="minorBidi"/>
          <w:smallCaps w:val="0"/>
          <w:sz w:val="21"/>
          <w:szCs w:val="22"/>
        </w:rPr>
        <w:tab/>
      </w:r>
      <w:r>
        <w:rPr>
          <w:rStyle w:val="51"/>
          <w:rFonts w:hint="eastAsia" w:ascii="仿宋_GB2312" w:eastAsia="仿宋_GB2312"/>
          <w:b/>
        </w:rPr>
        <w:t>现券交易申报与成交</w:t>
      </w:r>
      <w:r>
        <w:tab/>
      </w:r>
      <w:r>
        <w:fldChar w:fldCharType="begin"/>
      </w:r>
      <w:r>
        <w:instrText xml:space="preserve"> PAGEREF _Toc151136908 \h </w:instrText>
      </w:r>
      <w:r>
        <w:fldChar w:fldCharType="separate"/>
      </w:r>
      <w:r>
        <w:t>91</w:t>
      </w:r>
      <w:r>
        <w:fldChar w:fldCharType="end"/>
      </w:r>
      <w:r>
        <w:fldChar w:fldCharType="end"/>
      </w:r>
    </w:p>
    <w:p w14:paraId="68603309">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"_Toc151136909" </w:instrText>
      </w:r>
      <w:r>
        <w:fldChar w:fldCharType="separate"/>
      </w:r>
      <w:r>
        <w:rPr>
          <w:rStyle w:val="51"/>
          <w:rFonts w:ascii="仿宋_GB2312" w:eastAsia="仿宋_GB2312"/>
          <w:b/>
        </w:rPr>
        <w:t>6.3.</w:t>
      </w:r>
      <w:r>
        <w:rPr>
          <w:rFonts w:asciiTheme="minorHAnsi" w:hAnsiTheme="minorHAnsi" w:eastAsiaTheme="minorEastAsia" w:cstheme="minorBidi"/>
          <w:smallCaps w:val="0"/>
          <w:sz w:val="21"/>
          <w:szCs w:val="22"/>
        </w:rPr>
        <w:tab/>
      </w:r>
      <w:r>
        <w:rPr>
          <w:rStyle w:val="51"/>
          <w:rFonts w:hint="eastAsia" w:ascii="仿宋_GB2312" w:eastAsia="仿宋_GB2312"/>
          <w:b/>
        </w:rPr>
        <w:t>债券做市</w:t>
      </w:r>
      <w:r>
        <w:tab/>
      </w:r>
      <w:r>
        <w:fldChar w:fldCharType="begin"/>
      </w:r>
      <w:r>
        <w:instrText xml:space="preserve"> PAGEREF _Toc151136909 \h </w:instrText>
      </w:r>
      <w:r>
        <w:fldChar w:fldCharType="separate"/>
      </w:r>
      <w:r>
        <w:t>91</w:t>
      </w:r>
      <w:r>
        <w:fldChar w:fldCharType="end"/>
      </w:r>
      <w:r>
        <w:fldChar w:fldCharType="end"/>
      </w:r>
    </w:p>
    <w:p w14:paraId="52C86F15">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"_Toc151136910" </w:instrText>
      </w:r>
      <w:r>
        <w:fldChar w:fldCharType="separate"/>
      </w:r>
      <w:r>
        <w:rPr>
          <w:rStyle w:val="51"/>
          <w:rFonts w:ascii="仿宋_GB2312" w:eastAsia="仿宋_GB2312"/>
          <w:b/>
        </w:rPr>
        <w:t>6.4.</w:t>
      </w:r>
      <w:r>
        <w:rPr>
          <w:rFonts w:asciiTheme="minorHAnsi" w:hAnsiTheme="minorHAnsi" w:eastAsiaTheme="minorEastAsia" w:cstheme="minorBidi"/>
          <w:smallCaps w:val="0"/>
          <w:sz w:val="21"/>
          <w:szCs w:val="22"/>
        </w:rPr>
        <w:tab/>
      </w:r>
      <w:r>
        <w:rPr>
          <w:rStyle w:val="51"/>
          <w:rFonts w:hint="eastAsia" w:ascii="仿宋_GB2312" w:eastAsia="仿宋_GB2312"/>
          <w:b/>
        </w:rPr>
        <w:t>特定债券转让</w:t>
      </w:r>
      <w:r>
        <w:tab/>
      </w:r>
      <w:r>
        <w:fldChar w:fldCharType="begin"/>
      </w:r>
      <w:r>
        <w:instrText xml:space="preserve"> PAGEREF _Toc151136910 \h </w:instrText>
      </w:r>
      <w:r>
        <w:fldChar w:fldCharType="separate"/>
      </w:r>
      <w:r>
        <w:t>105</w:t>
      </w:r>
      <w:r>
        <w:fldChar w:fldCharType="end"/>
      </w:r>
      <w:r>
        <w:fldChar w:fldCharType="end"/>
      </w:r>
    </w:p>
    <w:p w14:paraId="24111A57">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"_Toc151136911" </w:instrText>
      </w:r>
      <w:r>
        <w:fldChar w:fldCharType="separate"/>
      </w:r>
      <w:r>
        <w:rPr>
          <w:rStyle w:val="51"/>
          <w:rFonts w:ascii="仿宋_GB2312" w:eastAsia="仿宋_GB2312"/>
          <w:b/>
        </w:rPr>
        <w:t>6.5.</w:t>
      </w:r>
      <w:r>
        <w:rPr>
          <w:rFonts w:asciiTheme="minorHAnsi" w:hAnsiTheme="minorHAnsi" w:eastAsiaTheme="minorEastAsia" w:cstheme="minorBidi"/>
          <w:smallCaps w:val="0"/>
          <w:sz w:val="21"/>
          <w:szCs w:val="22"/>
        </w:rPr>
        <w:tab/>
      </w:r>
      <w:r>
        <w:rPr>
          <w:rStyle w:val="51"/>
          <w:rFonts w:hint="eastAsia" w:ascii="仿宋_GB2312" w:eastAsia="仿宋_GB2312"/>
          <w:b/>
        </w:rPr>
        <w:t>盘中临时停牌</w:t>
      </w:r>
      <w:r>
        <w:tab/>
      </w:r>
      <w:r>
        <w:fldChar w:fldCharType="begin"/>
      </w:r>
      <w:r>
        <w:instrText xml:space="preserve"> PAGEREF _Toc151136911 \h </w:instrText>
      </w:r>
      <w:r>
        <w:fldChar w:fldCharType="separate"/>
      </w:r>
      <w:r>
        <w:t>107</w:t>
      </w:r>
      <w:r>
        <w:fldChar w:fldCharType="end"/>
      </w:r>
      <w:r>
        <w:fldChar w:fldCharType="end"/>
      </w:r>
    </w:p>
    <w:p w14:paraId="13A55EAB">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"_Toc151136912" </w:instrText>
      </w:r>
      <w:r>
        <w:fldChar w:fldCharType="separate"/>
      </w:r>
      <w:r>
        <w:rPr>
          <w:rStyle w:val="51"/>
          <w:rFonts w:ascii="黑体" w:hAnsi="黑体" w:eastAsia="黑体"/>
        </w:rPr>
        <w:t>7.</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债券回购交易</w:t>
      </w:r>
      <w:r>
        <w:tab/>
      </w:r>
      <w:r>
        <w:fldChar w:fldCharType="begin"/>
      </w:r>
      <w:r>
        <w:instrText xml:space="preserve"> PAGEREF _Toc151136912 \h </w:instrText>
      </w:r>
      <w:r>
        <w:fldChar w:fldCharType="separate"/>
      </w:r>
      <w:r>
        <w:t>109</w:t>
      </w:r>
      <w:r>
        <w:fldChar w:fldCharType="end"/>
      </w:r>
      <w:r>
        <w:fldChar w:fldCharType="end"/>
      </w:r>
    </w:p>
    <w:p w14:paraId="7CF0BDA3">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"_Toc151136913" </w:instrText>
      </w:r>
      <w:r>
        <w:fldChar w:fldCharType="separate"/>
      </w:r>
      <w:r>
        <w:rPr>
          <w:rStyle w:val="51"/>
          <w:rFonts w:ascii="仿宋_GB2312" w:eastAsia="仿宋_GB2312"/>
          <w:b/>
        </w:rPr>
        <w:t>7.1.</w:t>
      </w:r>
      <w:r>
        <w:rPr>
          <w:rFonts w:asciiTheme="minorHAnsi" w:hAnsiTheme="minorHAnsi" w:eastAsiaTheme="minorEastAsia" w:cstheme="minorBidi"/>
          <w:smallCaps w:val="0"/>
          <w:sz w:val="21"/>
          <w:szCs w:val="22"/>
        </w:rPr>
        <w:tab/>
      </w:r>
      <w:r>
        <w:rPr>
          <w:rStyle w:val="51"/>
          <w:rFonts w:hint="eastAsia" w:ascii="仿宋_GB2312" w:eastAsia="仿宋_GB2312"/>
          <w:b/>
        </w:rPr>
        <w:t>一般规定</w:t>
      </w:r>
      <w:r>
        <w:tab/>
      </w:r>
      <w:r>
        <w:fldChar w:fldCharType="begin"/>
      </w:r>
      <w:r>
        <w:instrText xml:space="preserve"> PAGEREF _Toc151136913 \h </w:instrText>
      </w:r>
      <w:r>
        <w:fldChar w:fldCharType="separate"/>
      </w:r>
      <w:r>
        <w:t>109</w:t>
      </w:r>
      <w:r>
        <w:fldChar w:fldCharType="end"/>
      </w:r>
      <w:r>
        <w:fldChar w:fldCharType="end"/>
      </w:r>
    </w:p>
    <w:p w14:paraId="6D8AF73E">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"_Toc151136914" </w:instrText>
      </w:r>
      <w:r>
        <w:fldChar w:fldCharType="separate"/>
      </w:r>
      <w:r>
        <w:rPr>
          <w:rStyle w:val="51"/>
          <w:rFonts w:ascii="仿宋_GB2312" w:eastAsia="仿宋_GB2312"/>
          <w:b/>
        </w:rPr>
        <w:t>7.2.</w:t>
      </w:r>
      <w:r>
        <w:rPr>
          <w:rFonts w:asciiTheme="minorHAnsi" w:hAnsiTheme="minorHAnsi" w:eastAsiaTheme="minorEastAsia" w:cstheme="minorBidi"/>
          <w:smallCaps w:val="0"/>
          <w:sz w:val="21"/>
          <w:szCs w:val="22"/>
        </w:rPr>
        <w:tab/>
      </w:r>
      <w:r>
        <w:rPr>
          <w:rStyle w:val="51"/>
          <w:rFonts w:hint="eastAsia" w:ascii="仿宋_GB2312" w:eastAsia="仿宋_GB2312"/>
          <w:b/>
        </w:rPr>
        <w:t>债券通用质押式回购</w:t>
      </w:r>
      <w:r>
        <w:tab/>
      </w:r>
      <w:r>
        <w:fldChar w:fldCharType="begin"/>
      </w:r>
      <w:r>
        <w:instrText xml:space="preserve"> PAGEREF _Toc151136914 \h </w:instrText>
      </w:r>
      <w:r>
        <w:fldChar w:fldCharType="separate"/>
      </w:r>
      <w:r>
        <w:t>113</w:t>
      </w:r>
      <w:r>
        <w:fldChar w:fldCharType="end"/>
      </w:r>
      <w:r>
        <w:fldChar w:fldCharType="end"/>
      </w:r>
    </w:p>
    <w:p w14:paraId="4DE3D7F2">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"_Toc151136915" </w:instrText>
      </w:r>
      <w:r>
        <w:fldChar w:fldCharType="separate"/>
      </w:r>
      <w:r>
        <w:rPr>
          <w:rStyle w:val="51"/>
          <w:rFonts w:ascii="仿宋_GB2312" w:eastAsia="仿宋_GB2312"/>
          <w:b/>
        </w:rPr>
        <w:t>7.3.</w:t>
      </w:r>
      <w:r>
        <w:rPr>
          <w:rFonts w:asciiTheme="minorHAnsi" w:hAnsiTheme="minorHAnsi" w:eastAsiaTheme="minorEastAsia" w:cstheme="minorBidi"/>
          <w:smallCaps w:val="0"/>
          <w:sz w:val="21"/>
          <w:szCs w:val="22"/>
        </w:rPr>
        <w:tab/>
      </w:r>
      <w:r>
        <w:rPr>
          <w:rStyle w:val="51"/>
          <w:rFonts w:hint="eastAsia" w:ascii="仿宋_GB2312" w:eastAsia="仿宋_GB2312"/>
          <w:b/>
        </w:rPr>
        <w:t>债券质押式协议回购</w:t>
      </w:r>
      <w:r>
        <w:tab/>
      </w:r>
      <w:r>
        <w:fldChar w:fldCharType="begin"/>
      </w:r>
      <w:r>
        <w:instrText xml:space="preserve"> PAGEREF _Toc151136915 \h </w:instrText>
      </w:r>
      <w:r>
        <w:fldChar w:fldCharType="separate"/>
      </w:r>
      <w:r>
        <w:t>128</w:t>
      </w:r>
      <w:r>
        <w:fldChar w:fldCharType="end"/>
      </w:r>
      <w:r>
        <w:fldChar w:fldCharType="end"/>
      </w:r>
    </w:p>
    <w:p w14:paraId="7C161FCE">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"_Toc151136916" </w:instrText>
      </w:r>
      <w:r>
        <w:fldChar w:fldCharType="separate"/>
      </w:r>
      <w:r>
        <w:rPr>
          <w:rStyle w:val="51"/>
          <w:rFonts w:ascii="仿宋_GB2312" w:eastAsia="仿宋_GB2312"/>
          <w:b/>
        </w:rPr>
        <w:t>7.4.</w:t>
      </w:r>
      <w:r>
        <w:rPr>
          <w:rFonts w:asciiTheme="minorHAnsi" w:hAnsiTheme="minorHAnsi" w:eastAsiaTheme="minorEastAsia" w:cstheme="minorBidi"/>
          <w:smallCaps w:val="0"/>
          <w:sz w:val="21"/>
          <w:szCs w:val="22"/>
        </w:rPr>
        <w:tab/>
      </w:r>
      <w:r>
        <w:rPr>
          <w:rStyle w:val="51"/>
          <w:rFonts w:hint="eastAsia" w:ascii="仿宋_GB2312" w:eastAsia="仿宋_GB2312"/>
          <w:b/>
        </w:rPr>
        <w:t>债券质押式三方回购</w:t>
      </w:r>
      <w:r>
        <w:tab/>
      </w:r>
      <w:r>
        <w:fldChar w:fldCharType="begin"/>
      </w:r>
      <w:r>
        <w:instrText xml:space="preserve"> PAGEREF _Toc151136916 \h </w:instrText>
      </w:r>
      <w:r>
        <w:fldChar w:fldCharType="separate"/>
      </w:r>
      <w:r>
        <w:t>139</w:t>
      </w:r>
      <w:r>
        <w:fldChar w:fldCharType="end"/>
      </w:r>
      <w:r>
        <w:fldChar w:fldCharType="end"/>
      </w:r>
    </w:p>
    <w:p w14:paraId="3368752C">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"_Toc151136917" </w:instrText>
      </w:r>
      <w:r>
        <w:fldChar w:fldCharType="separate"/>
      </w:r>
      <w:r>
        <w:rPr>
          <w:rStyle w:val="51"/>
          <w:rFonts w:ascii="黑体" w:hAnsi="黑体" w:eastAsia="黑体"/>
        </w:rPr>
        <w:t>8.</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其他交易类型</w:t>
      </w:r>
      <w:r>
        <w:tab/>
      </w:r>
      <w:r>
        <w:fldChar w:fldCharType="begin"/>
      </w:r>
      <w:r>
        <w:instrText xml:space="preserve"> PAGEREF _Toc151136917 \h </w:instrText>
      </w:r>
      <w:r>
        <w:fldChar w:fldCharType="separate"/>
      </w:r>
      <w:r>
        <w:t>167</w:t>
      </w:r>
      <w:r>
        <w:fldChar w:fldCharType="end"/>
      </w:r>
      <w:r>
        <w:fldChar w:fldCharType="end"/>
      </w:r>
    </w:p>
    <w:p w14:paraId="09E05C37">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"_Toc151136918" </w:instrText>
      </w:r>
      <w:r>
        <w:fldChar w:fldCharType="separate"/>
      </w:r>
      <w:r>
        <w:rPr>
          <w:rStyle w:val="51"/>
          <w:rFonts w:ascii="仿宋_GB2312" w:eastAsia="仿宋_GB2312"/>
          <w:b/>
        </w:rPr>
        <w:t>8.1.</w:t>
      </w:r>
      <w:r>
        <w:rPr>
          <w:rFonts w:asciiTheme="minorHAnsi" w:hAnsiTheme="minorHAnsi" w:eastAsiaTheme="minorEastAsia" w:cstheme="minorBidi"/>
          <w:smallCaps w:val="0"/>
          <w:sz w:val="21"/>
          <w:szCs w:val="22"/>
        </w:rPr>
        <w:tab/>
      </w:r>
      <w:r>
        <w:rPr>
          <w:rStyle w:val="51"/>
          <w:rFonts w:hint="eastAsia" w:ascii="仿宋_GB2312" w:eastAsia="仿宋_GB2312"/>
          <w:b/>
        </w:rPr>
        <w:t>国债预发行</w:t>
      </w:r>
      <w:r>
        <w:tab/>
      </w:r>
      <w:r>
        <w:fldChar w:fldCharType="begin"/>
      </w:r>
      <w:r>
        <w:instrText xml:space="preserve"> PAGEREF _Toc151136918 \h </w:instrText>
      </w:r>
      <w:r>
        <w:fldChar w:fldCharType="separate"/>
      </w:r>
      <w:r>
        <w:t>167</w:t>
      </w:r>
      <w:r>
        <w:fldChar w:fldCharType="end"/>
      </w:r>
      <w:r>
        <w:fldChar w:fldCharType="end"/>
      </w:r>
    </w:p>
    <w:p w14:paraId="3EBACE98">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"_Toc151136919" </w:instrText>
      </w:r>
      <w:r>
        <w:fldChar w:fldCharType="separate"/>
      </w:r>
      <w:r>
        <w:rPr>
          <w:rStyle w:val="51"/>
          <w:rFonts w:ascii="仿宋_GB2312" w:eastAsia="仿宋_GB2312"/>
          <w:b/>
        </w:rPr>
        <w:t>8.2.</w:t>
      </w:r>
      <w:r>
        <w:rPr>
          <w:rFonts w:asciiTheme="minorHAnsi" w:hAnsiTheme="minorHAnsi" w:eastAsiaTheme="minorEastAsia" w:cstheme="minorBidi"/>
          <w:smallCaps w:val="0"/>
          <w:sz w:val="21"/>
          <w:szCs w:val="22"/>
        </w:rPr>
        <w:tab/>
      </w:r>
      <w:r>
        <w:rPr>
          <w:rStyle w:val="51"/>
          <w:rFonts w:hint="eastAsia" w:ascii="仿宋_GB2312" w:eastAsia="仿宋_GB2312"/>
          <w:b/>
        </w:rPr>
        <w:t>债券借贷</w:t>
      </w:r>
      <w:r>
        <w:tab/>
      </w:r>
      <w:r>
        <w:fldChar w:fldCharType="begin"/>
      </w:r>
      <w:r>
        <w:instrText xml:space="preserve"> PAGEREF _Toc151136919 \h </w:instrText>
      </w:r>
      <w:r>
        <w:fldChar w:fldCharType="separate"/>
      </w:r>
      <w:r>
        <w:t>176</w:t>
      </w:r>
      <w:r>
        <w:fldChar w:fldCharType="end"/>
      </w:r>
      <w:r>
        <w:fldChar w:fldCharType="end"/>
      </w:r>
    </w:p>
    <w:p w14:paraId="415907CB">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"_Toc151137052" </w:instrText>
      </w:r>
      <w:r>
        <w:fldChar w:fldCharType="separate"/>
      </w:r>
      <w:r>
        <w:rPr>
          <w:rStyle w:val="51"/>
          <w:rFonts w:ascii="仿宋_GB2312" w:eastAsia="仿宋_GB2312"/>
          <w:b/>
        </w:rPr>
        <w:t>8.3.</w:t>
      </w:r>
      <w:r>
        <w:rPr>
          <w:rFonts w:asciiTheme="minorHAnsi" w:hAnsiTheme="minorHAnsi" w:eastAsiaTheme="minorEastAsia" w:cstheme="minorBidi"/>
          <w:smallCaps w:val="0"/>
          <w:sz w:val="21"/>
          <w:szCs w:val="22"/>
        </w:rPr>
        <w:tab/>
      </w:r>
      <w:r>
        <w:rPr>
          <w:rStyle w:val="51"/>
          <w:rFonts w:hint="eastAsia" w:ascii="仿宋_GB2312" w:eastAsia="仿宋_GB2312"/>
          <w:b/>
        </w:rPr>
        <w:t>信用保护工具</w:t>
      </w:r>
      <w:r>
        <w:tab/>
      </w:r>
      <w:r>
        <w:fldChar w:fldCharType="begin"/>
      </w:r>
      <w:r>
        <w:instrText xml:space="preserve"> PAGEREF _Toc151137052 \h </w:instrText>
      </w:r>
      <w:r>
        <w:fldChar w:fldCharType="separate"/>
      </w:r>
      <w:r>
        <w:t>190</w:t>
      </w:r>
      <w:r>
        <w:fldChar w:fldCharType="end"/>
      </w:r>
      <w:r>
        <w:fldChar w:fldCharType="end"/>
      </w:r>
    </w:p>
    <w:p w14:paraId="0B5BFE8D">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"_Toc151137053" </w:instrText>
      </w:r>
      <w:r>
        <w:fldChar w:fldCharType="separate"/>
      </w:r>
      <w:r>
        <w:rPr>
          <w:rStyle w:val="51"/>
          <w:rFonts w:ascii="仿宋_GB2312" w:eastAsia="仿宋_GB2312" w:cs="宋体"/>
          <w:b/>
        </w:rPr>
        <w:t>8.4.</w:t>
      </w:r>
      <w:r>
        <w:rPr>
          <w:rFonts w:asciiTheme="minorHAnsi" w:hAnsiTheme="minorHAnsi" w:eastAsiaTheme="minorEastAsia" w:cstheme="minorBidi"/>
          <w:smallCaps w:val="0"/>
          <w:sz w:val="21"/>
          <w:szCs w:val="22"/>
        </w:rPr>
        <w:tab/>
      </w:r>
      <w:r>
        <w:rPr>
          <w:rStyle w:val="51"/>
          <w:rFonts w:hint="eastAsia" w:eastAsia="仿宋_GB2312" w:cs="宋体"/>
          <w:b/>
        </w:rPr>
        <w:t>担保品处置</w:t>
      </w:r>
      <w:r>
        <w:tab/>
      </w:r>
      <w:r>
        <w:fldChar w:fldCharType="begin"/>
      </w:r>
      <w:r>
        <w:instrText xml:space="preserve"> PAGEREF _Toc151137053 \h </w:instrText>
      </w:r>
      <w:r>
        <w:fldChar w:fldCharType="separate"/>
      </w:r>
      <w:r>
        <w:t>210</w:t>
      </w:r>
      <w:r>
        <w:fldChar w:fldCharType="end"/>
      </w:r>
      <w:r>
        <w:fldChar w:fldCharType="end"/>
      </w:r>
    </w:p>
    <w:p w14:paraId="5E269DCF">
      <w:pPr>
        <w:pStyle w:val="30"/>
        <w:tabs>
          <w:tab w:val="left" w:pos="42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"_Toc151137054" </w:instrText>
      </w:r>
      <w:r>
        <w:fldChar w:fldCharType="separate"/>
      </w:r>
      <w:r>
        <w:rPr>
          <w:rStyle w:val="51"/>
          <w:rFonts w:ascii="黑体" w:hAnsi="黑体" w:eastAsia="黑体"/>
        </w:rPr>
        <w:t>9.</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非交易类服务</w:t>
      </w:r>
      <w:r>
        <w:tab/>
      </w:r>
      <w:r>
        <w:fldChar w:fldCharType="begin"/>
      </w:r>
      <w:r>
        <w:instrText xml:space="preserve"> PAGEREF _Toc151137054 \h </w:instrText>
      </w:r>
      <w:r>
        <w:fldChar w:fldCharType="separate"/>
      </w:r>
      <w:r>
        <w:t>224</w:t>
      </w:r>
      <w:r>
        <w:fldChar w:fldCharType="end"/>
      </w:r>
      <w:r>
        <w:fldChar w:fldCharType="end"/>
      </w:r>
    </w:p>
    <w:p w14:paraId="016B3CFC">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"_Toc151137055" </w:instrText>
      </w:r>
      <w:r>
        <w:fldChar w:fldCharType="separate"/>
      </w:r>
      <w:r>
        <w:rPr>
          <w:rStyle w:val="51"/>
          <w:rFonts w:ascii="仿宋_GB2312" w:eastAsia="仿宋_GB2312"/>
          <w:b/>
        </w:rPr>
        <w:t>9.1.</w:t>
      </w:r>
      <w:r>
        <w:rPr>
          <w:rFonts w:asciiTheme="minorHAnsi" w:hAnsiTheme="minorHAnsi" w:eastAsiaTheme="minorEastAsia" w:cstheme="minorBidi"/>
          <w:smallCaps w:val="0"/>
          <w:sz w:val="21"/>
          <w:szCs w:val="22"/>
        </w:rPr>
        <w:tab/>
      </w:r>
      <w:r>
        <w:rPr>
          <w:rStyle w:val="51"/>
          <w:rFonts w:hint="eastAsia" w:ascii="仿宋_GB2312" w:eastAsia="仿宋_GB2312"/>
          <w:b/>
        </w:rPr>
        <w:t>分期偿还</w:t>
      </w:r>
      <w:r>
        <w:tab/>
      </w:r>
      <w:r>
        <w:fldChar w:fldCharType="begin"/>
      </w:r>
      <w:r>
        <w:instrText xml:space="preserve"> PAGEREF _Toc151137055 \h </w:instrText>
      </w:r>
      <w:r>
        <w:fldChar w:fldCharType="separate"/>
      </w:r>
      <w:r>
        <w:t>224</w:t>
      </w:r>
      <w:r>
        <w:fldChar w:fldCharType="end"/>
      </w:r>
      <w:r>
        <w:fldChar w:fldCharType="end"/>
      </w:r>
    </w:p>
    <w:p w14:paraId="2A146A91">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"_Toc151137056" </w:instrText>
      </w:r>
      <w:r>
        <w:fldChar w:fldCharType="separate"/>
      </w:r>
      <w:r>
        <w:rPr>
          <w:rStyle w:val="51"/>
          <w:rFonts w:ascii="仿宋_GB2312" w:eastAsia="仿宋_GB2312"/>
          <w:b/>
        </w:rPr>
        <w:t>9.2.</w:t>
      </w:r>
      <w:r>
        <w:rPr>
          <w:rFonts w:asciiTheme="minorHAnsi" w:hAnsiTheme="minorHAnsi" w:eastAsiaTheme="minorEastAsia" w:cstheme="minorBidi"/>
          <w:smallCaps w:val="0"/>
          <w:sz w:val="21"/>
          <w:szCs w:val="22"/>
        </w:rPr>
        <w:tab/>
      </w:r>
      <w:r>
        <w:rPr>
          <w:rStyle w:val="51"/>
          <w:rFonts w:hint="eastAsia" w:ascii="仿宋_GB2312" w:eastAsia="仿宋_GB2312"/>
          <w:b/>
        </w:rPr>
        <w:t>债券回售</w:t>
      </w:r>
      <w:r>
        <w:tab/>
      </w:r>
      <w:r>
        <w:fldChar w:fldCharType="begin"/>
      </w:r>
      <w:r>
        <w:instrText xml:space="preserve"> PAGEREF _Toc151137056 \h </w:instrText>
      </w:r>
      <w:r>
        <w:fldChar w:fldCharType="separate"/>
      </w:r>
      <w:r>
        <w:t>225</w:t>
      </w:r>
      <w:r>
        <w:fldChar w:fldCharType="end"/>
      </w:r>
      <w:r>
        <w:fldChar w:fldCharType="end"/>
      </w:r>
    </w:p>
    <w:p w14:paraId="1B51B423">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"_Toc151137057" </w:instrText>
      </w:r>
      <w:r>
        <w:fldChar w:fldCharType="separate"/>
      </w:r>
      <w:r>
        <w:rPr>
          <w:rStyle w:val="51"/>
          <w:rFonts w:ascii="仿宋_GB2312" w:eastAsia="仿宋_GB2312"/>
          <w:b/>
        </w:rPr>
        <w:t>9.3.</w:t>
      </w:r>
      <w:r>
        <w:rPr>
          <w:rFonts w:asciiTheme="minorHAnsi" w:hAnsiTheme="minorHAnsi" w:eastAsiaTheme="minorEastAsia" w:cstheme="minorBidi"/>
          <w:smallCaps w:val="0"/>
          <w:sz w:val="21"/>
          <w:szCs w:val="22"/>
        </w:rPr>
        <w:tab/>
      </w:r>
      <w:r>
        <w:rPr>
          <w:rStyle w:val="51"/>
          <w:rFonts w:hint="eastAsia" w:ascii="仿宋_GB2312" w:eastAsia="仿宋_GB2312"/>
          <w:b/>
        </w:rPr>
        <w:t>债券回售后转售</w:t>
      </w:r>
      <w:r>
        <w:tab/>
      </w:r>
      <w:r>
        <w:fldChar w:fldCharType="begin"/>
      </w:r>
      <w:r>
        <w:instrText xml:space="preserve"> PAGEREF _Toc151137057 \h </w:instrText>
      </w:r>
      <w:r>
        <w:fldChar w:fldCharType="separate"/>
      </w:r>
      <w:r>
        <w:t>228</w:t>
      </w:r>
      <w:r>
        <w:fldChar w:fldCharType="end"/>
      </w:r>
      <w:r>
        <w:fldChar w:fldCharType="end"/>
      </w:r>
    </w:p>
    <w:p w14:paraId="4E1AFDAA">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"_Toc151137058" </w:instrText>
      </w:r>
      <w:r>
        <w:fldChar w:fldCharType="separate"/>
      </w:r>
      <w:r>
        <w:rPr>
          <w:rStyle w:val="51"/>
          <w:rFonts w:ascii="仿宋_GB2312" w:eastAsia="仿宋_GB2312"/>
          <w:b/>
        </w:rPr>
        <w:t>9.4.</w:t>
      </w:r>
      <w:r>
        <w:rPr>
          <w:rFonts w:asciiTheme="minorHAnsi" w:hAnsiTheme="minorHAnsi" w:eastAsiaTheme="minorEastAsia" w:cstheme="minorBidi"/>
          <w:smallCaps w:val="0"/>
          <w:sz w:val="21"/>
          <w:szCs w:val="22"/>
        </w:rPr>
        <w:tab/>
      </w:r>
      <w:r>
        <w:rPr>
          <w:rStyle w:val="51"/>
          <w:rFonts w:hint="eastAsia" w:ascii="仿宋_GB2312" w:eastAsia="仿宋_GB2312"/>
          <w:b/>
        </w:rPr>
        <w:t>债券转股</w:t>
      </w:r>
      <w:r>
        <w:tab/>
      </w:r>
      <w:r>
        <w:fldChar w:fldCharType="begin"/>
      </w:r>
      <w:r>
        <w:instrText xml:space="preserve"> PAGEREF _Toc151137058 \h </w:instrText>
      </w:r>
      <w:r>
        <w:fldChar w:fldCharType="separate"/>
      </w:r>
      <w:r>
        <w:t>229</w:t>
      </w:r>
      <w:r>
        <w:fldChar w:fldCharType="end"/>
      </w:r>
      <w:r>
        <w:fldChar w:fldCharType="end"/>
      </w:r>
    </w:p>
    <w:p w14:paraId="53C0D010">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"_Toc151137059" </w:instrText>
      </w:r>
      <w:r>
        <w:fldChar w:fldCharType="separate"/>
      </w:r>
      <w:r>
        <w:rPr>
          <w:rStyle w:val="51"/>
          <w:rFonts w:ascii="仿宋_GB2312" w:eastAsia="仿宋_GB2312"/>
          <w:b/>
        </w:rPr>
        <w:t>9.5.</w:t>
      </w:r>
      <w:r>
        <w:rPr>
          <w:rFonts w:asciiTheme="minorHAnsi" w:hAnsiTheme="minorHAnsi" w:eastAsiaTheme="minorEastAsia" w:cstheme="minorBidi"/>
          <w:smallCaps w:val="0"/>
          <w:sz w:val="21"/>
          <w:szCs w:val="22"/>
        </w:rPr>
        <w:tab/>
      </w:r>
      <w:r>
        <w:rPr>
          <w:rStyle w:val="51"/>
          <w:rFonts w:hint="eastAsia" w:ascii="仿宋_GB2312" w:eastAsia="仿宋_GB2312"/>
          <w:b/>
        </w:rPr>
        <w:t>债券换股</w:t>
      </w:r>
      <w:r>
        <w:tab/>
      </w:r>
      <w:r>
        <w:fldChar w:fldCharType="begin"/>
      </w:r>
      <w:r>
        <w:instrText xml:space="preserve"> PAGEREF _Toc151137059 \h </w:instrText>
      </w:r>
      <w:r>
        <w:fldChar w:fldCharType="separate"/>
      </w:r>
      <w:r>
        <w:t>232</w:t>
      </w:r>
      <w:r>
        <w:fldChar w:fldCharType="end"/>
      </w:r>
      <w:r>
        <w:fldChar w:fldCharType="end"/>
      </w:r>
    </w:p>
    <w:p w14:paraId="301FFAD2">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"_Toc151137060" </w:instrText>
      </w:r>
      <w:r>
        <w:fldChar w:fldCharType="separate"/>
      </w:r>
      <w:r>
        <w:rPr>
          <w:rStyle w:val="51"/>
          <w:rFonts w:ascii="仿宋_GB2312" w:eastAsia="仿宋_GB2312"/>
          <w:b/>
        </w:rPr>
        <w:t>9.6.</w:t>
      </w:r>
      <w:r>
        <w:rPr>
          <w:rFonts w:asciiTheme="minorHAnsi" w:hAnsiTheme="minorHAnsi" w:eastAsiaTheme="minorEastAsia" w:cstheme="minorBidi"/>
          <w:smallCaps w:val="0"/>
          <w:sz w:val="21"/>
          <w:szCs w:val="22"/>
        </w:rPr>
        <w:tab/>
      </w:r>
      <w:r>
        <w:rPr>
          <w:rStyle w:val="51"/>
          <w:rFonts w:hint="eastAsia" w:ascii="仿宋_GB2312" w:eastAsia="仿宋_GB2312"/>
          <w:b/>
        </w:rPr>
        <w:t>债券转托管</w:t>
      </w:r>
      <w:r>
        <w:tab/>
      </w:r>
      <w:r>
        <w:fldChar w:fldCharType="begin"/>
      </w:r>
      <w:r>
        <w:instrText xml:space="preserve"> PAGEREF _Toc151137060 \h </w:instrText>
      </w:r>
      <w:r>
        <w:fldChar w:fldCharType="separate"/>
      </w:r>
      <w:r>
        <w:t>235</w:t>
      </w:r>
      <w:r>
        <w:fldChar w:fldCharType="end"/>
      </w:r>
      <w:r>
        <w:fldChar w:fldCharType="end"/>
      </w:r>
    </w:p>
    <w:p w14:paraId="3A2A9736">
      <w:pPr>
        <w:pStyle w:val="36"/>
        <w:tabs>
          <w:tab w:val="left" w:pos="84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"_Toc151137061" </w:instrText>
      </w:r>
      <w:r>
        <w:fldChar w:fldCharType="separate"/>
      </w:r>
      <w:r>
        <w:rPr>
          <w:rStyle w:val="51"/>
          <w:rFonts w:ascii="仿宋_GB2312" w:eastAsia="仿宋_GB2312"/>
          <w:b/>
        </w:rPr>
        <w:t>9.7.</w:t>
      </w:r>
      <w:r>
        <w:rPr>
          <w:rFonts w:asciiTheme="minorHAnsi" w:hAnsiTheme="minorHAnsi" w:eastAsiaTheme="minorEastAsia" w:cstheme="minorBidi"/>
          <w:smallCaps w:val="0"/>
          <w:sz w:val="21"/>
          <w:szCs w:val="22"/>
        </w:rPr>
        <w:tab/>
      </w:r>
      <w:r>
        <w:rPr>
          <w:rStyle w:val="51"/>
          <w:rFonts w:hint="eastAsia" w:ascii="仿宋_GB2312" w:eastAsia="仿宋_GB2312"/>
          <w:b/>
        </w:rPr>
        <w:t>核心交易系统备用通道</w:t>
      </w:r>
      <w:r>
        <w:tab/>
      </w:r>
      <w:r>
        <w:fldChar w:fldCharType="begin"/>
      </w:r>
      <w:r>
        <w:instrText xml:space="preserve"> PAGEREF _Toc151137061 \h </w:instrText>
      </w:r>
      <w:r>
        <w:fldChar w:fldCharType="separate"/>
      </w:r>
      <w:r>
        <w:t>237</w:t>
      </w:r>
      <w:r>
        <w:fldChar w:fldCharType="end"/>
      </w:r>
      <w:r>
        <w:fldChar w:fldCharType="end"/>
      </w:r>
    </w:p>
    <w:p w14:paraId="590EB6B9">
      <w:pPr>
        <w:pStyle w:val="30"/>
        <w:tabs>
          <w:tab w:val="left" w:pos="63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"_Toc151137062" </w:instrText>
      </w:r>
      <w:r>
        <w:fldChar w:fldCharType="separate"/>
      </w:r>
      <w:r>
        <w:rPr>
          <w:rStyle w:val="51"/>
          <w:rFonts w:ascii="黑体" w:hAnsi="黑体" w:eastAsia="黑体"/>
        </w:rPr>
        <w:t>10.</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债券行情展示</w:t>
      </w:r>
      <w:r>
        <w:tab/>
      </w:r>
      <w:r>
        <w:fldChar w:fldCharType="begin"/>
      </w:r>
      <w:r>
        <w:instrText xml:space="preserve"> PAGEREF _Toc151137062 \h </w:instrText>
      </w:r>
      <w:r>
        <w:fldChar w:fldCharType="separate"/>
      </w:r>
      <w:r>
        <w:t>238</w:t>
      </w:r>
      <w:r>
        <w:fldChar w:fldCharType="end"/>
      </w:r>
      <w:r>
        <w:fldChar w:fldCharType="end"/>
      </w:r>
    </w:p>
    <w:p w14:paraId="117E40AF">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"_Toc151137063" </w:instrText>
      </w:r>
      <w:r>
        <w:fldChar w:fldCharType="separate"/>
      </w:r>
      <w:r>
        <w:rPr>
          <w:rStyle w:val="51"/>
          <w:rFonts w:ascii="仿宋_GB2312" w:eastAsia="仿宋_GB2312"/>
          <w:b/>
        </w:rPr>
        <w:t>10.1.</w:t>
      </w:r>
      <w:r>
        <w:rPr>
          <w:rFonts w:asciiTheme="minorHAnsi" w:hAnsiTheme="minorHAnsi" w:eastAsiaTheme="minorEastAsia" w:cstheme="minorBidi"/>
          <w:smallCaps w:val="0"/>
          <w:sz w:val="21"/>
          <w:szCs w:val="22"/>
        </w:rPr>
        <w:tab/>
      </w:r>
      <w:r>
        <w:rPr>
          <w:rStyle w:val="51"/>
          <w:rFonts w:hint="eastAsia" w:ascii="仿宋_GB2312" w:eastAsia="仿宋_GB2312"/>
          <w:b/>
        </w:rPr>
        <w:t>概述</w:t>
      </w:r>
      <w:r>
        <w:tab/>
      </w:r>
      <w:r>
        <w:fldChar w:fldCharType="begin"/>
      </w:r>
      <w:r>
        <w:instrText xml:space="preserve"> PAGEREF _Toc151137063 \h </w:instrText>
      </w:r>
      <w:r>
        <w:fldChar w:fldCharType="separate"/>
      </w:r>
      <w:r>
        <w:t>238</w:t>
      </w:r>
      <w:r>
        <w:fldChar w:fldCharType="end"/>
      </w:r>
      <w:r>
        <w:fldChar w:fldCharType="end"/>
      </w:r>
    </w:p>
    <w:p w14:paraId="69075235">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"_Toc151137064" </w:instrText>
      </w:r>
      <w:r>
        <w:fldChar w:fldCharType="separate"/>
      </w:r>
      <w:r>
        <w:rPr>
          <w:rStyle w:val="51"/>
          <w:rFonts w:ascii="仿宋_GB2312" w:eastAsia="仿宋_GB2312"/>
          <w:b/>
        </w:rPr>
        <w:t>10.2.</w:t>
      </w:r>
      <w:r>
        <w:rPr>
          <w:rFonts w:asciiTheme="minorHAnsi" w:hAnsiTheme="minorHAnsi" w:eastAsiaTheme="minorEastAsia" w:cstheme="minorBidi"/>
          <w:smallCaps w:val="0"/>
          <w:sz w:val="21"/>
          <w:szCs w:val="22"/>
        </w:rPr>
        <w:tab/>
      </w:r>
      <w:r>
        <w:rPr>
          <w:rStyle w:val="51"/>
          <w:rFonts w:hint="eastAsia" w:ascii="仿宋_GB2312" w:eastAsia="仿宋_GB2312"/>
          <w:b/>
        </w:rPr>
        <w:t>实时数据</w:t>
      </w:r>
      <w:r>
        <w:tab/>
      </w:r>
      <w:r>
        <w:fldChar w:fldCharType="begin"/>
      </w:r>
      <w:r>
        <w:instrText xml:space="preserve"> PAGEREF _Toc151137064 \h </w:instrText>
      </w:r>
      <w:r>
        <w:fldChar w:fldCharType="separate"/>
      </w:r>
      <w:r>
        <w:t>238</w:t>
      </w:r>
      <w:r>
        <w:fldChar w:fldCharType="end"/>
      </w:r>
      <w:r>
        <w:fldChar w:fldCharType="end"/>
      </w:r>
    </w:p>
    <w:p w14:paraId="570DF7F0">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"_Toc151137065" </w:instrText>
      </w:r>
      <w:r>
        <w:fldChar w:fldCharType="separate"/>
      </w:r>
      <w:r>
        <w:rPr>
          <w:rStyle w:val="51"/>
          <w:rFonts w:ascii="仿宋_GB2312" w:eastAsia="仿宋_GB2312"/>
          <w:b/>
        </w:rPr>
        <w:t>10.3.</w:t>
      </w:r>
      <w:r>
        <w:rPr>
          <w:rFonts w:asciiTheme="minorHAnsi" w:hAnsiTheme="minorHAnsi" w:eastAsiaTheme="minorEastAsia" w:cstheme="minorBidi"/>
          <w:smallCaps w:val="0"/>
          <w:sz w:val="21"/>
          <w:szCs w:val="22"/>
        </w:rPr>
        <w:tab/>
      </w:r>
      <w:r>
        <w:rPr>
          <w:rStyle w:val="51"/>
          <w:rFonts w:hint="eastAsia" w:ascii="仿宋_GB2312" w:eastAsia="仿宋_GB2312"/>
          <w:b/>
        </w:rPr>
        <w:t>统计行情</w:t>
      </w:r>
      <w:r>
        <w:tab/>
      </w:r>
      <w:r>
        <w:fldChar w:fldCharType="begin"/>
      </w:r>
      <w:r>
        <w:instrText xml:space="preserve"> PAGEREF _Toc151137065 \h </w:instrText>
      </w:r>
      <w:r>
        <w:fldChar w:fldCharType="separate"/>
      </w:r>
      <w:r>
        <w:t>248</w:t>
      </w:r>
      <w:r>
        <w:fldChar w:fldCharType="end"/>
      </w:r>
      <w:r>
        <w:fldChar w:fldCharType="end"/>
      </w:r>
    </w:p>
    <w:p w14:paraId="7374386A">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"_Toc151137066" </w:instrText>
      </w:r>
      <w:r>
        <w:fldChar w:fldCharType="separate"/>
      </w:r>
      <w:r>
        <w:rPr>
          <w:rStyle w:val="51"/>
          <w:rFonts w:ascii="仿宋_GB2312" w:eastAsia="仿宋_GB2312"/>
          <w:b/>
        </w:rPr>
        <w:t>10.4.</w:t>
      </w:r>
      <w:r>
        <w:rPr>
          <w:rFonts w:asciiTheme="minorHAnsi" w:hAnsiTheme="minorHAnsi" w:eastAsiaTheme="minorEastAsia" w:cstheme="minorBidi"/>
          <w:smallCaps w:val="0"/>
          <w:sz w:val="21"/>
          <w:szCs w:val="22"/>
        </w:rPr>
        <w:tab/>
      </w:r>
      <w:r>
        <w:rPr>
          <w:rStyle w:val="51"/>
          <w:rFonts w:hint="eastAsia" w:ascii="仿宋_GB2312" w:eastAsia="仿宋_GB2312"/>
          <w:b/>
        </w:rPr>
        <w:t>参考数据</w:t>
      </w:r>
      <w:r>
        <w:tab/>
      </w:r>
      <w:r>
        <w:fldChar w:fldCharType="begin"/>
      </w:r>
      <w:r>
        <w:instrText xml:space="preserve"> PAGEREF _Toc151137066 \h </w:instrText>
      </w:r>
      <w:r>
        <w:fldChar w:fldCharType="separate"/>
      </w:r>
      <w:r>
        <w:t>256</w:t>
      </w:r>
      <w:r>
        <w:fldChar w:fldCharType="end"/>
      </w:r>
      <w:r>
        <w:fldChar w:fldCharType="end"/>
      </w:r>
    </w:p>
    <w:p w14:paraId="0C3B833B">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"_Toc151137067" </w:instrText>
      </w:r>
      <w:r>
        <w:fldChar w:fldCharType="separate"/>
      </w:r>
      <w:r>
        <w:rPr>
          <w:rStyle w:val="51"/>
          <w:rFonts w:ascii="仿宋_GB2312" w:eastAsia="仿宋_GB2312"/>
          <w:b/>
        </w:rPr>
        <w:t>10.5.</w:t>
      </w:r>
      <w:r>
        <w:rPr>
          <w:rFonts w:asciiTheme="minorHAnsi" w:hAnsiTheme="minorHAnsi" w:eastAsiaTheme="minorEastAsia" w:cstheme="minorBidi"/>
          <w:smallCaps w:val="0"/>
          <w:sz w:val="21"/>
          <w:szCs w:val="22"/>
        </w:rPr>
        <w:tab/>
      </w:r>
      <w:r>
        <w:rPr>
          <w:rStyle w:val="51"/>
          <w:rFonts w:hint="eastAsia" w:ascii="仿宋_GB2312" w:eastAsia="仿宋_GB2312"/>
          <w:b/>
        </w:rPr>
        <w:t>交易信息权属</w:t>
      </w:r>
      <w:r>
        <w:tab/>
      </w:r>
      <w:r>
        <w:fldChar w:fldCharType="begin"/>
      </w:r>
      <w:r>
        <w:instrText xml:space="preserve"> PAGEREF _Toc151137067 \h </w:instrText>
      </w:r>
      <w:r>
        <w:fldChar w:fldCharType="separate"/>
      </w:r>
      <w:r>
        <w:t>258</w:t>
      </w:r>
      <w:r>
        <w:fldChar w:fldCharType="end"/>
      </w:r>
      <w:r>
        <w:fldChar w:fldCharType="end"/>
      </w:r>
    </w:p>
    <w:p w14:paraId="05DCD65B">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"_Toc151137068" </w:instrText>
      </w:r>
      <w:r>
        <w:fldChar w:fldCharType="separate"/>
      </w:r>
      <w:r>
        <w:rPr>
          <w:rStyle w:val="51"/>
          <w:rFonts w:ascii="仿宋_GB2312" w:eastAsia="仿宋_GB2312"/>
          <w:b/>
        </w:rPr>
        <w:t>10.6.</w:t>
      </w:r>
      <w:r>
        <w:rPr>
          <w:rFonts w:asciiTheme="minorHAnsi" w:hAnsiTheme="minorHAnsi" w:eastAsiaTheme="minorEastAsia" w:cstheme="minorBidi"/>
          <w:smallCaps w:val="0"/>
          <w:sz w:val="21"/>
          <w:szCs w:val="22"/>
        </w:rPr>
        <w:tab/>
      </w:r>
      <w:r>
        <w:rPr>
          <w:rStyle w:val="51"/>
          <w:rFonts w:hint="eastAsia" w:ascii="仿宋_GB2312" w:eastAsia="仿宋_GB2312"/>
          <w:b/>
        </w:rPr>
        <w:t>债券指数及其他</w:t>
      </w:r>
      <w:r>
        <w:tab/>
      </w:r>
      <w:r>
        <w:fldChar w:fldCharType="begin"/>
      </w:r>
      <w:r>
        <w:instrText xml:space="preserve"> PAGEREF _Toc151137068 \h </w:instrText>
      </w:r>
      <w:r>
        <w:fldChar w:fldCharType="separate"/>
      </w:r>
      <w:r>
        <w:t>258</w:t>
      </w:r>
      <w:r>
        <w:fldChar w:fldCharType="end"/>
      </w:r>
      <w:r>
        <w:fldChar w:fldCharType="end"/>
      </w:r>
    </w:p>
    <w:p w14:paraId="59E61B94">
      <w:pPr>
        <w:pStyle w:val="30"/>
        <w:tabs>
          <w:tab w:val="left" w:pos="63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"_Toc151137069" </w:instrText>
      </w:r>
      <w:r>
        <w:fldChar w:fldCharType="separate"/>
      </w:r>
      <w:r>
        <w:rPr>
          <w:rStyle w:val="51"/>
          <w:rFonts w:ascii="黑体" w:hAnsi="黑体" w:eastAsia="黑体"/>
        </w:rPr>
        <w:t>11.</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交易行为监督</w:t>
      </w:r>
      <w:r>
        <w:tab/>
      </w:r>
      <w:r>
        <w:fldChar w:fldCharType="begin"/>
      </w:r>
      <w:r>
        <w:instrText xml:space="preserve"> PAGEREF _Toc151137069 \h </w:instrText>
      </w:r>
      <w:r>
        <w:fldChar w:fldCharType="separate"/>
      </w:r>
      <w:r>
        <w:t>262</w:t>
      </w:r>
      <w:r>
        <w:fldChar w:fldCharType="end"/>
      </w:r>
      <w:r>
        <w:fldChar w:fldCharType="end"/>
      </w:r>
    </w:p>
    <w:p w14:paraId="38769A33">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"_Toc151137070" </w:instrText>
      </w:r>
      <w:r>
        <w:fldChar w:fldCharType="separate"/>
      </w:r>
      <w:r>
        <w:rPr>
          <w:rStyle w:val="51"/>
          <w:rFonts w:ascii="仿宋_GB2312" w:eastAsia="仿宋_GB2312"/>
          <w:b/>
        </w:rPr>
        <w:t>11.1.</w:t>
      </w:r>
      <w:r>
        <w:rPr>
          <w:rFonts w:asciiTheme="minorHAnsi" w:hAnsiTheme="minorHAnsi" w:eastAsiaTheme="minorEastAsia" w:cstheme="minorBidi"/>
          <w:smallCaps w:val="0"/>
          <w:sz w:val="21"/>
          <w:szCs w:val="22"/>
        </w:rPr>
        <w:tab/>
      </w:r>
      <w:r>
        <w:rPr>
          <w:rStyle w:val="51"/>
          <w:rFonts w:hint="eastAsia" w:ascii="仿宋_GB2312" w:eastAsia="仿宋_GB2312"/>
          <w:b/>
        </w:rPr>
        <w:t>交易异常行为监督</w:t>
      </w:r>
      <w:r>
        <w:tab/>
      </w:r>
      <w:r>
        <w:fldChar w:fldCharType="begin"/>
      </w:r>
      <w:r>
        <w:instrText xml:space="preserve"> PAGEREF _Toc151137070 \h </w:instrText>
      </w:r>
      <w:r>
        <w:fldChar w:fldCharType="separate"/>
      </w:r>
      <w:r>
        <w:t>262</w:t>
      </w:r>
      <w:r>
        <w:fldChar w:fldCharType="end"/>
      </w:r>
      <w:r>
        <w:fldChar w:fldCharType="end"/>
      </w:r>
    </w:p>
    <w:p w14:paraId="3D106012">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"_Toc151137071" </w:instrText>
      </w:r>
      <w:r>
        <w:fldChar w:fldCharType="separate"/>
      </w:r>
      <w:r>
        <w:rPr>
          <w:rStyle w:val="51"/>
          <w:rFonts w:ascii="仿宋_GB2312" w:eastAsia="仿宋_GB2312"/>
          <w:b/>
        </w:rPr>
        <w:t>11.2.</w:t>
      </w:r>
      <w:r>
        <w:rPr>
          <w:rFonts w:asciiTheme="minorHAnsi" w:hAnsiTheme="minorHAnsi" w:eastAsiaTheme="minorEastAsia" w:cstheme="minorBidi"/>
          <w:smallCaps w:val="0"/>
          <w:sz w:val="21"/>
          <w:szCs w:val="22"/>
        </w:rPr>
        <w:tab/>
      </w:r>
      <w:r>
        <w:rPr>
          <w:rStyle w:val="51"/>
          <w:rFonts w:hint="eastAsia" w:ascii="仿宋_GB2312" w:eastAsia="仿宋_GB2312"/>
          <w:b/>
        </w:rPr>
        <w:t>价格偏离报告</w:t>
      </w:r>
      <w:r>
        <w:tab/>
      </w:r>
      <w:r>
        <w:fldChar w:fldCharType="begin"/>
      </w:r>
      <w:r>
        <w:instrText xml:space="preserve"> PAGEREF _Toc151137071 \h </w:instrText>
      </w:r>
      <w:r>
        <w:fldChar w:fldCharType="separate"/>
      </w:r>
      <w:r>
        <w:t>263</w:t>
      </w:r>
      <w:r>
        <w:fldChar w:fldCharType="end"/>
      </w:r>
      <w:r>
        <w:fldChar w:fldCharType="end"/>
      </w:r>
    </w:p>
    <w:p w14:paraId="61DA6C23">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"_Toc151137072" </w:instrText>
      </w:r>
      <w:r>
        <w:fldChar w:fldCharType="separate"/>
      </w:r>
      <w:r>
        <w:rPr>
          <w:rStyle w:val="51"/>
          <w:rFonts w:ascii="仿宋_GB2312" w:eastAsia="仿宋_GB2312"/>
          <w:b/>
        </w:rPr>
        <w:t>11.3.</w:t>
      </w:r>
      <w:r>
        <w:rPr>
          <w:rFonts w:asciiTheme="minorHAnsi" w:hAnsiTheme="minorHAnsi" w:eastAsiaTheme="minorEastAsia" w:cstheme="minorBidi"/>
          <w:smallCaps w:val="0"/>
          <w:sz w:val="21"/>
          <w:szCs w:val="22"/>
        </w:rPr>
        <w:tab/>
      </w:r>
      <w:r>
        <w:rPr>
          <w:rStyle w:val="51"/>
          <w:rFonts w:hint="eastAsia" w:ascii="仿宋_GB2312" w:eastAsia="仿宋_GB2312"/>
          <w:b/>
        </w:rPr>
        <w:t>日常工作措施、监管措施和纪律处分</w:t>
      </w:r>
      <w:r>
        <w:tab/>
      </w:r>
      <w:r>
        <w:fldChar w:fldCharType="begin"/>
      </w:r>
      <w:r>
        <w:instrText xml:space="preserve"> PAGEREF _Toc151137072 \h </w:instrText>
      </w:r>
      <w:r>
        <w:fldChar w:fldCharType="separate"/>
      </w:r>
      <w:r>
        <w:t>265</w:t>
      </w:r>
      <w:r>
        <w:fldChar w:fldCharType="end"/>
      </w:r>
      <w:r>
        <w:fldChar w:fldCharType="end"/>
      </w:r>
    </w:p>
    <w:p w14:paraId="3ABCB739">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"_Toc151137073" </w:instrText>
      </w:r>
      <w:r>
        <w:fldChar w:fldCharType="separate"/>
      </w:r>
      <w:r>
        <w:rPr>
          <w:rStyle w:val="51"/>
          <w:rFonts w:ascii="仿宋_GB2312" w:eastAsia="仿宋_GB2312"/>
          <w:b/>
        </w:rPr>
        <w:t>11.4.</w:t>
      </w:r>
      <w:r>
        <w:rPr>
          <w:rFonts w:asciiTheme="minorHAnsi" w:hAnsiTheme="minorHAnsi" w:eastAsiaTheme="minorEastAsia" w:cstheme="minorBidi"/>
          <w:smallCaps w:val="0"/>
          <w:sz w:val="21"/>
          <w:szCs w:val="22"/>
        </w:rPr>
        <w:tab/>
      </w:r>
      <w:r>
        <w:rPr>
          <w:rStyle w:val="51"/>
          <w:rFonts w:hint="eastAsia" w:ascii="仿宋_GB2312" w:eastAsia="仿宋_GB2312"/>
          <w:b/>
        </w:rPr>
        <w:t>其他</w:t>
      </w:r>
      <w:r>
        <w:tab/>
      </w:r>
      <w:r>
        <w:fldChar w:fldCharType="begin"/>
      </w:r>
      <w:r>
        <w:instrText xml:space="preserve"> PAGEREF _Toc151137073 \h </w:instrText>
      </w:r>
      <w:r>
        <w:fldChar w:fldCharType="separate"/>
      </w:r>
      <w:r>
        <w:t>268</w:t>
      </w:r>
      <w:r>
        <w:fldChar w:fldCharType="end"/>
      </w:r>
      <w:r>
        <w:fldChar w:fldCharType="end"/>
      </w:r>
    </w:p>
    <w:p w14:paraId="4D6AE000">
      <w:pPr>
        <w:pStyle w:val="30"/>
        <w:tabs>
          <w:tab w:val="left" w:pos="630"/>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"_Toc151137074" </w:instrText>
      </w:r>
      <w:r>
        <w:fldChar w:fldCharType="separate"/>
      </w:r>
      <w:r>
        <w:rPr>
          <w:rStyle w:val="51"/>
          <w:rFonts w:ascii="黑体" w:hAnsi="黑体" w:eastAsia="黑体"/>
        </w:rPr>
        <w:t>12.</w:t>
      </w:r>
      <w:r>
        <w:rPr>
          <w:rFonts w:asciiTheme="minorHAnsi" w:hAnsiTheme="minorHAnsi" w:eastAsiaTheme="minorEastAsia" w:cstheme="minorBidi"/>
          <w:b w:val="0"/>
          <w:bCs w:val="0"/>
          <w:caps w:val="0"/>
          <w:sz w:val="21"/>
          <w:szCs w:val="22"/>
        </w:rPr>
        <w:tab/>
      </w:r>
      <w:r>
        <w:rPr>
          <w:rStyle w:val="51"/>
          <w:rFonts w:hint="eastAsia" w:ascii="黑体" w:hAnsi="黑体" w:eastAsia="黑体" w:cs="黑体"/>
        </w:rPr>
        <w:t>应急交易及交易异常情况处理</w:t>
      </w:r>
      <w:r>
        <w:tab/>
      </w:r>
      <w:r>
        <w:fldChar w:fldCharType="begin"/>
      </w:r>
      <w:r>
        <w:instrText xml:space="preserve"> PAGEREF _Toc151137074 \h </w:instrText>
      </w:r>
      <w:r>
        <w:fldChar w:fldCharType="separate"/>
      </w:r>
      <w:r>
        <w:t>270</w:t>
      </w:r>
      <w:r>
        <w:fldChar w:fldCharType="end"/>
      </w:r>
      <w:r>
        <w:fldChar w:fldCharType="end"/>
      </w:r>
    </w:p>
    <w:p w14:paraId="7548C3FD">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"_Toc151137075" </w:instrText>
      </w:r>
      <w:r>
        <w:fldChar w:fldCharType="separate"/>
      </w:r>
      <w:r>
        <w:rPr>
          <w:rStyle w:val="51"/>
          <w:rFonts w:ascii="仿宋_GB2312" w:eastAsia="仿宋_GB2312"/>
          <w:b/>
        </w:rPr>
        <w:t>12.1.</w:t>
      </w:r>
      <w:r>
        <w:rPr>
          <w:rFonts w:asciiTheme="minorHAnsi" w:hAnsiTheme="minorHAnsi" w:eastAsiaTheme="minorEastAsia" w:cstheme="minorBidi"/>
          <w:smallCaps w:val="0"/>
          <w:sz w:val="21"/>
          <w:szCs w:val="22"/>
        </w:rPr>
        <w:tab/>
      </w:r>
      <w:r>
        <w:rPr>
          <w:rStyle w:val="51"/>
          <w:rFonts w:hint="eastAsia" w:ascii="仿宋_GB2312" w:eastAsia="仿宋_GB2312"/>
          <w:b/>
        </w:rPr>
        <w:t>债券交易停复牌管理</w:t>
      </w:r>
      <w:r>
        <w:tab/>
      </w:r>
      <w:r>
        <w:fldChar w:fldCharType="begin"/>
      </w:r>
      <w:r>
        <w:instrText xml:space="preserve"> PAGEREF _Toc151137075 \h </w:instrText>
      </w:r>
      <w:r>
        <w:fldChar w:fldCharType="separate"/>
      </w:r>
      <w:r>
        <w:t>270</w:t>
      </w:r>
      <w:r>
        <w:fldChar w:fldCharType="end"/>
      </w:r>
      <w:r>
        <w:fldChar w:fldCharType="end"/>
      </w:r>
    </w:p>
    <w:p w14:paraId="7B424152">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"_Toc151137076" </w:instrText>
      </w:r>
      <w:r>
        <w:fldChar w:fldCharType="separate"/>
      </w:r>
      <w:r>
        <w:rPr>
          <w:rStyle w:val="51"/>
          <w:rFonts w:ascii="仿宋_GB2312" w:eastAsia="仿宋_GB2312"/>
          <w:b/>
        </w:rPr>
        <w:t>12.2.</w:t>
      </w:r>
      <w:r>
        <w:rPr>
          <w:rFonts w:asciiTheme="minorHAnsi" w:hAnsiTheme="minorHAnsi" w:eastAsiaTheme="minorEastAsia" w:cstheme="minorBidi"/>
          <w:smallCaps w:val="0"/>
          <w:sz w:val="21"/>
          <w:szCs w:val="22"/>
        </w:rPr>
        <w:tab/>
      </w:r>
      <w:r>
        <w:rPr>
          <w:rStyle w:val="51"/>
          <w:rFonts w:hint="eastAsia" w:ascii="仿宋_GB2312" w:eastAsia="仿宋_GB2312"/>
          <w:b/>
        </w:rPr>
        <w:t>债券交易突发性事件</w:t>
      </w:r>
      <w:r>
        <w:tab/>
      </w:r>
      <w:r>
        <w:fldChar w:fldCharType="begin"/>
      </w:r>
      <w:r>
        <w:instrText xml:space="preserve"> PAGEREF _Toc151137076 \h </w:instrText>
      </w:r>
      <w:r>
        <w:fldChar w:fldCharType="separate"/>
      </w:r>
      <w:r>
        <w:t>270</w:t>
      </w:r>
      <w:r>
        <w:fldChar w:fldCharType="end"/>
      </w:r>
      <w:r>
        <w:fldChar w:fldCharType="end"/>
      </w:r>
    </w:p>
    <w:p w14:paraId="48E48F80">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"_Toc151137077" </w:instrText>
      </w:r>
      <w:r>
        <w:fldChar w:fldCharType="separate"/>
      </w:r>
      <w:r>
        <w:rPr>
          <w:rStyle w:val="51"/>
          <w:rFonts w:ascii="仿宋_GB2312" w:eastAsia="仿宋_GB2312"/>
          <w:b/>
        </w:rPr>
        <w:t>12.3.</w:t>
      </w:r>
      <w:r>
        <w:rPr>
          <w:rFonts w:asciiTheme="minorHAnsi" w:hAnsiTheme="minorHAnsi" w:eastAsiaTheme="minorEastAsia" w:cstheme="minorBidi"/>
          <w:smallCaps w:val="0"/>
          <w:sz w:val="21"/>
          <w:szCs w:val="22"/>
        </w:rPr>
        <w:tab/>
      </w:r>
      <w:r>
        <w:rPr>
          <w:rStyle w:val="51"/>
          <w:rFonts w:hint="eastAsia" w:ascii="仿宋_GB2312" w:eastAsia="仿宋_GB2312"/>
          <w:b/>
        </w:rPr>
        <w:t>债券交易重大异常波动</w:t>
      </w:r>
      <w:r>
        <w:tab/>
      </w:r>
      <w:r>
        <w:fldChar w:fldCharType="begin"/>
      </w:r>
      <w:r>
        <w:instrText xml:space="preserve"> PAGEREF _Toc151137077 \h </w:instrText>
      </w:r>
      <w:r>
        <w:fldChar w:fldCharType="separate"/>
      </w:r>
      <w:r>
        <w:t>272</w:t>
      </w:r>
      <w:r>
        <w:fldChar w:fldCharType="end"/>
      </w:r>
      <w:r>
        <w:fldChar w:fldCharType="end"/>
      </w:r>
    </w:p>
    <w:p w14:paraId="3D573478">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"_Toc151137078" </w:instrText>
      </w:r>
      <w:r>
        <w:fldChar w:fldCharType="separate"/>
      </w:r>
      <w:r>
        <w:rPr>
          <w:rStyle w:val="51"/>
          <w:rFonts w:ascii="仿宋_GB2312" w:eastAsia="仿宋_GB2312"/>
          <w:b/>
        </w:rPr>
        <w:t>12.4.</w:t>
      </w:r>
      <w:r>
        <w:rPr>
          <w:rFonts w:asciiTheme="minorHAnsi" w:hAnsiTheme="minorHAnsi" w:eastAsiaTheme="minorEastAsia" w:cstheme="minorBidi"/>
          <w:smallCaps w:val="0"/>
          <w:sz w:val="21"/>
          <w:szCs w:val="22"/>
        </w:rPr>
        <w:tab/>
      </w:r>
      <w:r>
        <w:rPr>
          <w:rStyle w:val="51"/>
          <w:rFonts w:hint="eastAsia" w:ascii="仿宋_GB2312" w:eastAsia="仿宋_GB2312"/>
          <w:b/>
        </w:rPr>
        <w:t>交易异常处置措施</w:t>
      </w:r>
      <w:r>
        <w:tab/>
      </w:r>
      <w:r>
        <w:fldChar w:fldCharType="begin"/>
      </w:r>
      <w:r>
        <w:instrText xml:space="preserve"> PAGEREF _Toc151137078 \h </w:instrText>
      </w:r>
      <w:r>
        <w:fldChar w:fldCharType="separate"/>
      </w:r>
      <w:r>
        <w:t>272</w:t>
      </w:r>
      <w:r>
        <w:fldChar w:fldCharType="end"/>
      </w:r>
      <w:r>
        <w:fldChar w:fldCharType="end"/>
      </w:r>
    </w:p>
    <w:p w14:paraId="3094D44F">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"_Toc151137079" </w:instrText>
      </w:r>
      <w:r>
        <w:fldChar w:fldCharType="separate"/>
      </w:r>
      <w:r>
        <w:rPr>
          <w:rStyle w:val="51"/>
          <w:rFonts w:ascii="仿宋_GB2312" w:eastAsia="仿宋_GB2312"/>
          <w:b/>
        </w:rPr>
        <w:t>12.5.</w:t>
      </w:r>
      <w:r>
        <w:rPr>
          <w:rFonts w:asciiTheme="minorHAnsi" w:hAnsiTheme="minorHAnsi" w:eastAsiaTheme="minorEastAsia" w:cstheme="minorBidi"/>
          <w:smallCaps w:val="0"/>
          <w:sz w:val="21"/>
          <w:szCs w:val="22"/>
        </w:rPr>
        <w:tab/>
      </w:r>
      <w:r>
        <w:rPr>
          <w:rStyle w:val="51"/>
          <w:rFonts w:hint="eastAsia" w:ascii="仿宋_GB2312" w:eastAsia="仿宋_GB2312"/>
          <w:b/>
        </w:rPr>
        <w:t>应急申报与成交</w:t>
      </w:r>
      <w:r>
        <w:tab/>
      </w:r>
      <w:r>
        <w:fldChar w:fldCharType="begin"/>
      </w:r>
      <w:r>
        <w:instrText xml:space="preserve"> PAGEREF _Toc151137079 \h </w:instrText>
      </w:r>
      <w:r>
        <w:fldChar w:fldCharType="separate"/>
      </w:r>
      <w:r>
        <w:t>273</w:t>
      </w:r>
      <w:r>
        <w:fldChar w:fldCharType="end"/>
      </w:r>
      <w:r>
        <w:fldChar w:fldCharType="end"/>
      </w:r>
    </w:p>
    <w:p w14:paraId="271E1F81">
      <w:pPr>
        <w:pStyle w:val="36"/>
        <w:tabs>
          <w:tab w:val="left" w:pos="1050"/>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"_Toc151137080" </w:instrText>
      </w:r>
      <w:r>
        <w:fldChar w:fldCharType="separate"/>
      </w:r>
      <w:r>
        <w:rPr>
          <w:rStyle w:val="51"/>
          <w:rFonts w:ascii="仿宋_GB2312" w:eastAsia="仿宋_GB2312"/>
          <w:b/>
        </w:rPr>
        <w:t>12.6.</w:t>
      </w:r>
      <w:r>
        <w:rPr>
          <w:rFonts w:asciiTheme="minorHAnsi" w:hAnsiTheme="minorHAnsi" w:eastAsiaTheme="minorEastAsia" w:cstheme="minorBidi"/>
          <w:smallCaps w:val="0"/>
          <w:sz w:val="21"/>
          <w:szCs w:val="22"/>
        </w:rPr>
        <w:tab/>
      </w:r>
      <w:r>
        <w:rPr>
          <w:rStyle w:val="51"/>
          <w:rFonts w:hint="eastAsia" w:ascii="仿宋_GB2312" w:eastAsia="仿宋_GB2312"/>
          <w:b/>
        </w:rPr>
        <w:t>交易解除</w:t>
      </w:r>
      <w:r>
        <w:tab/>
      </w:r>
      <w:r>
        <w:fldChar w:fldCharType="begin"/>
      </w:r>
      <w:r>
        <w:instrText xml:space="preserve"> PAGEREF _Toc151137080 \h </w:instrText>
      </w:r>
      <w:r>
        <w:fldChar w:fldCharType="separate"/>
      </w:r>
      <w:r>
        <w:t>273</w:t>
      </w:r>
      <w:r>
        <w:fldChar w:fldCharType="end"/>
      </w:r>
      <w:r>
        <w:fldChar w:fldCharType="end"/>
      </w:r>
    </w:p>
    <w:p w14:paraId="27BDAB0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 </w:t>
      </w:r>
      <w:r>
        <w:rPr>
          <w:rStyle w:val="51"/>
          <w:rFonts w:hint="eastAsia" w:ascii="仿宋_GB2312" w:hAnsi="黑体" w:eastAsia="仿宋_GB2312"/>
          <w:b/>
        </w:rPr>
        <w:t>债券交易参与人申请表</w:t>
      </w:r>
      <w:r>
        <w:tab/>
      </w:r>
      <w:r>
        <w:fldChar w:fldCharType="begin"/>
      </w:r>
      <w:r>
        <w:instrText xml:space="preserve"> PAGEREF _Toc151137081 \h </w:instrText>
      </w:r>
      <w:r>
        <w:fldChar w:fldCharType="separate"/>
      </w:r>
      <w:r>
        <w:t>275</w:t>
      </w:r>
      <w:r>
        <w:fldChar w:fldCharType="end"/>
      </w:r>
      <w:r>
        <w:fldChar w:fldCharType="end"/>
      </w:r>
    </w:p>
    <w:p w14:paraId="470FF9B9">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 </w:t>
      </w:r>
      <w:r>
        <w:rPr>
          <w:rStyle w:val="51"/>
          <w:rFonts w:hint="eastAsia" w:ascii="仿宋_GB2312" w:hAnsi="黑体" w:eastAsia="仿宋_GB2312"/>
          <w:b/>
        </w:rPr>
        <w:t>会籍系统资格申请报告</w:t>
      </w:r>
      <w:r>
        <w:tab/>
      </w:r>
      <w:r>
        <w:fldChar w:fldCharType="begin"/>
      </w:r>
      <w:r>
        <w:instrText xml:space="preserve"> PAGEREF _Toc151137082 \h </w:instrText>
      </w:r>
      <w:r>
        <w:fldChar w:fldCharType="separate"/>
      </w:r>
      <w:r>
        <w:t>277</w:t>
      </w:r>
      <w:r>
        <w:fldChar w:fldCharType="end"/>
      </w:r>
      <w:r>
        <w:fldChar w:fldCharType="end"/>
      </w:r>
    </w:p>
    <w:p w14:paraId="02A54B1A">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 </w:t>
      </w:r>
      <w:r>
        <w:rPr>
          <w:rStyle w:val="51"/>
          <w:rFonts w:hint="eastAsia" w:ascii="仿宋_GB2312" w:hAnsi="黑体" w:eastAsia="仿宋_GB2312"/>
          <w:b/>
        </w:rPr>
        <w:t>债券交易参与人业务联络人基本信息表</w:t>
      </w:r>
      <w:r>
        <w:tab/>
      </w:r>
      <w:r>
        <w:fldChar w:fldCharType="begin"/>
      </w:r>
      <w:r>
        <w:instrText xml:space="preserve"> PAGEREF _Toc151137083 \h </w:instrText>
      </w:r>
      <w:r>
        <w:fldChar w:fldCharType="separate"/>
      </w:r>
      <w:r>
        <w:t>278</w:t>
      </w:r>
      <w:r>
        <w:fldChar w:fldCharType="end"/>
      </w:r>
      <w:r>
        <w:fldChar w:fldCharType="end"/>
      </w:r>
    </w:p>
    <w:p w14:paraId="3BDEEC94">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4 </w:t>
      </w:r>
      <w:r>
        <w:rPr>
          <w:rStyle w:val="51"/>
          <w:rFonts w:hint="eastAsia" w:ascii="仿宋_GB2312" w:hAnsi="黑体" w:eastAsia="仿宋_GB2312"/>
          <w:b/>
        </w:rPr>
        <w:t>境外机构投资者信息报送表</w:t>
      </w:r>
      <w:r>
        <w:tab/>
      </w:r>
      <w:r>
        <w:fldChar w:fldCharType="begin"/>
      </w:r>
      <w:r>
        <w:instrText xml:space="preserve"> PAGEREF _Toc151137084 \h </w:instrText>
      </w:r>
      <w:r>
        <w:fldChar w:fldCharType="separate"/>
      </w:r>
      <w:r>
        <w:t>279</w:t>
      </w:r>
      <w:r>
        <w:fldChar w:fldCharType="end"/>
      </w:r>
      <w:r>
        <w:fldChar w:fldCharType="end"/>
      </w:r>
    </w:p>
    <w:p w14:paraId="2CE9DFB5">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5 </w:t>
      </w:r>
      <w:r>
        <w:rPr>
          <w:rStyle w:val="51"/>
          <w:rFonts w:hint="eastAsia" w:ascii="仿宋_GB2312" w:hAnsi="黑体" w:eastAsia="仿宋_GB2312"/>
          <w:b/>
        </w:rPr>
        <w:t>资金前端控制设置流程说明</w:t>
      </w:r>
      <w:r>
        <w:tab/>
      </w:r>
      <w:r>
        <w:fldChar w:fldCharType="begin"/>
      </w:r>
      <w:r>
        <w:instrText xml:space="preserve"> PAGEREF _Toc151137085 \h </w:instrText>
      </w:r>
      <w:r>
        <w:fldChar w:fldCharType="separate"/>
      </w:r>
      <w:r>
        <w:t>282</w:t>
      </w:r>
      <w:r>
        <w:fldChar w:fldCharType="end"/>
      </w:r>
      <w:r>
        <w:fldChar w:fldCharType="end"/>
      </w:r>
    </w:p>
    <w:p w14:paraId="5C5F673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"_Toc151137086"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6-1 </w:t>
      </w:r>
      <w:r>
        <w:rPr>
          <w:rStyle w:val="51"/>
          <w:rFonts w:hint="eastAsia" w:ascii="仿宋_GB2312" w:hAnsi="黑体" w:eastAsia="仿宋_GB2312"/>
          <w:b/>
        </w:rPr>
        <w:t>竞买预约提示</w:t>
      </w:r>
      <w:r>
        <w:tab/>
      </w:r>
      <w:r>
        <w:fldChar w:fldCharType="begin"/>
      </w:r>
      <w:r>
        <w:instrText xml:space="preserve"> PAGEREF _Toc151137086 \h </w:instrText>
      </w:r>
      <w:r>
        <w:fldChar w:fldCharType="separate"/>
      </w:r>
      <w:r>
        <w:t>287</w:t>
      </w:r>
      <w:r>
        <w:fldChar w:fldCharType="end"/>
      </w:r>
      <w:r>
        <w:fldChar w:fldCharType="end"/>
      </w:r>
    </w:p>
    <w:p w14:paraId="6A70D48C">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"_Toc151137087" </w:instrText>
      </w:r>
      <w:r>
        <w:fldChar w:fldCharType="separate"/>
      </w:r>
      <w:r>
        <w:rPr>
          <w:rStyle w:val="51"/>
          <w:rFonts w:hint="eastAsia" w:ascii="仿宋_GB2312" w:eastAsia="仿宋_GB2312"/>
          <w:b/>
        </w:rPr>
        <w:t>附件</w:t>
      </w:r>
      <w:r>
        <w:rPr>
          <w:rStyle w:val="51"/>
          <w:rFonts w:ascii="仿宋_GB2312" w:eastAsia="仿宋_GB2312"/>
          <w:b/>
        </w:rPr>
        <w:t xml:space="preserve">6-2 </w:t>
      </w:r>
      <w:r>
        <w:rPr>
          <w:rStyle w:val="51"/>
          <w:rFonts w:hint="eastAsia" w:ascii="仿宋_GB2312" w:eastAsia="仿宋_GB2312"/>
          <w:b/>
        </w:rPr>
        <w:t>竞买预约撤销提示</w:t>
      </w:r>
      <w:r>
        <w:tab/>
      </w:r>
      <w:r>
        <w:fldChar w:fldCharType="begin"/>
      </w:r>
      <w:r>
        <w:instrText xml:space="preserve"> PAGEREF _Toc151137087 \h </w:instrText>
      </w:r>
      <w:r>
        <w:fldChar w:fldCharType="separate"/>
      </w:r>
      <w:r>
        <w:t>287</w:t>
      </w:r>
      <w:r>
        <w:fldChar w:fldCharType="end"/>
      </w:r>
      <w:r>
        <w:fldChar w:fldCharType="end"/>
      </w:r>
    </w:p>
    <w:p w14:paraId="4D0D8C6C">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6-3 </w:t>
      </w:r>
      <w:r>
        <w:rPr>
          <w:rStyle w:val="51"/>
          <w:rFonts w:hint="eastAsia" w:ascii="仿宋_GB2312" w:hAnsi="黑体" w:eastAsia="仿宋_GB2312"/>
          <w:b/>
        </w:rPr>
        <w:t>竞买取消提示</w:t>
      </w:r>
      <w:r>
        <w:tab/>
      </w:r>
      <w:r>
        <w:fldChar w:fldCharType="begin"/>
      </w:r>
      <w:r>
        <w:instrText xml:space="preserve"> PAGEREF _Toc151137088 \h </w:instrText>
      </w:r>
      <w:r>
        <w:fldChar w:fldCharType="separate"/>
      </w:r>
      <w:r>
        <w:t>288</w:t>
      </w:r>
      <w:r>
        <w:fldChar w:fldCharType="end"/>
      </w:r>
      <w:r>
        <w:fldChar w:fldCharType="end"/>
      </w:r>
    </w:p>
    <w:p w14:paraId="54637103">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"_Toc151137089"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6-4 </w:t>
      </w:r>
      <w:r>
        <w:rPr>
          <w:rStyle w:val="51"/>
          <w:rFonts w:hint="eastAsia" w:ascii="仿宋_GB2312" w:hAnsi="黑体" w:eastAsia="仿宋_GB2312"/>
          <w:b/>
        </w:rPr>
        <w:t>竞买结果提示</w:t>
      </w:r>
      <w:r>
        <w:tab/>
      </w:r>
      <w:r>
        <w:fldChar w:fldCharType="begin"/>
      </w:r>
      <w:r>
        <w:instrText xml:space="preserve"> PAGEREF _Toc151137089 \h </w:instrText>
      </w:r>
      <w:r>
        <w:fldChar w:fldCharType="separate"/>
      </w:r>
      <w:r>
        <w:t>288</w:t>
      </w:r>
      <w:r>
        <w:fldChar w:fldCharType="end"/>
      </w:r>
      <w:r>
        <w:fldChar w:fldCharType="end"/>
      </w:r>
    </w:p>
    <w:p w14:paraId="2657418C">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7 </w:t>
      </w:r>
      <w:r>
        <w:rPr>
          <w:rStyle w:val="51"/>
          <w:rFonts w:hint="eastAsia" w:ascii="仿宋_GB2312" w:hAnsi="黑体" w:eastAsia="仿宋_GB2312"/>
          <w:b/>
        </w:rPr>
        <w:t>做市交易业务技术测试和专项检查申请</w:t>
      </w:r>
      <w:r>
        <w:rPr>
          <w:rStyle w:val="51"/>
          <w:rFonts w:hint="eastAsia" w:ascii="仿宋_GB2312" w:eastAsia="仿宋_GB2312"/>
          <w:b/>
        </w:rPr>
        <w:t>书</w:t>
      </w:r>
      <w:r>
        <w:tab/>
      </w:r>
      <w:r>
        <w:fldChar w:fldCharType="begin"/>
      </w:r>
      <w:r>
        <w:instrText xml:space="preserve"> PAGEREF _Toc151137090 \h </w:instrText>
      </w:r>
      <w:r>
        <w:fldChar w:fldCharType="separate"/>
      </w:r>
      <w:r>
        <w:t>290</w:t>
      </w:r>
      <w:r>
        <w:fldChar w:fldCharType="end"/>
      </w:r>
      <w:r>
        <w:fldChar w:fldCharType="end"/>
      </w:r>
    </w:p>
    <w:p w14:paraId="7DD7978F">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8 </w:t>
      </w:r>
      <w:r>
        <w:rPr>
          <w:rStyle w:val="51"/>
          <w:rFonts w:hint="eastAsia" w:ascii="仿宋_GB2312" w:hAnsi="黑体" w:eastAsia="仿宋_GB2312"/>
          <w:b/>
        </w:rPr>
        <w:t>做市交易业务实施方案与管理制度必备要点</w:t>
      </w:r>
      <w:r>
        <w:tab/>
      </w:r>
      <w:r>
        <w:fldChar w:fldCharType="begin"/>
      </w:r>
      <w:r>
        <w:instrText xml:space="preserve"> PAGEREF _Toc151137091 \h </w:instrText>
      </w:r>
      <w:r>
        <w:fldChar w:fldCharType="separate"/>
      </w:r>
      <w:r>
        <w:t>291</w:t>
      </w:r>
      <w:r>
        <w:fldChar w:fldCharType="end"/>
      </w:r>
      <w:r>
        <w:fldChar w:fldCharType="end"/>
      </w:r>
    </w:p>
    <w:p w14:paraId="5F53EB9D">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9 </w:t>
      </w:r>
      <w:r>
        <w:rPr>
          <w:rStyle w:val="51"/>
          <w:rFonts w:hint="eastAsia" w:ascii="仿宋_GB2312" w:hAnsi="黑体" w:eastAsia="仿宋_GB2312"/>
          <w:b/>
        </w:rPr>
        <w:t>债券做市交易业务人员情况表</w:t>
      </w:r>
      <w:r>
        <w:tab/>
      </w:r>
      <w:r>
        <w:fldChar w:fldCharType="begin"/>
      </w:r>
      <w:r>
        <w:instrText xml:space="preserve"> PAGEREF _Toc151137092 \h </w:instrText>
      </w:r>
      <w:r>
        <w:fldChar w:fldCharType="separate"/>
      </w:r>
      <w:r>
        <w:t>293</w:t>
      </w:r>
      <w:r>
        <w:fldChar w:fldCharType="end"/>
      </w:r>
      <w:r>
        <w:fldChar w:fldCharType="end"/>
      </w:r>
    </w:p>
    <w:p w14:paraId="308A7637">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10 </w:t>
      </w:r>
      <w:r>
        <w:rPr>
          <w:rStyle w:val="51"/>
          <w:rFonts w:hint="eastAsia" w:ascii="仿宋_GB2312" w:hAnsi="黑体" w:eastAsia="仿宋_GB2312"/>
          <w:b/>
        </w:rPr>
        <w:t>上海证券交易所债券做市交易业务检查工作底稿</w:t>
      </w:r>
      <w:r>
        <w:tab/>
      </w:r>
      <w:r>
        <w:fldChar w:fldCharType="begin"/>
      </w:r>
      <w:r>
        <w:instrText xml:space="preserve"> PAGEREF _Toc151137093 \h </w:instrText>
      </w:r>
      <w:r>
        <w:fldChar w:fldCharType="separate"/>
      </w:r>
      <w:r>
        <w:t>295</w:t>
      </w:r>
      <w:r>
        <w:fldChar w:fldCharType="end"/>
      </w:r>
      <w:r>
        <w:fldChar w:fldCharType="end"/>
      </w:r>
    </w:p>
    <w:p w14:paraId="171D8EC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11 </w:t>
      </w:r>
      <w:r>
        <w:rPr>
          <w:rStyle w:val="51"/>
          <w:rFonts w:hint="eastAsia" w:ascii="仿宋_GB2312" w:hAnsi="黑体" w:eastAsia="仿宋_GB2312"/>
          <w:b/>
        </w:rPr>
        <w:t>债券基准做市业务方案</w:t>
      </w:r>
      <w:r>
        <w:tab/>
      </w:r>
      <w:r>
        <w:fldChar w:fldCharType="begin"/>
      </w:r>
      <w:r>
        <w:instrText xml:space="preserve"> PAGEREF _Toc151137094 \h </w:instrText>
      </w:r>
      <w:r>
        <w:fldChar w:fldCharType="separate"/>
      </w:r>
      <w:r>
        <w:t>297</w:t>
      </w:r>
      <w:r>
        <w:fldChar w:fldCharType="end"/>
      </w:r>
      <w:r>
        <w:fldChar w:fldCharType="end"/>
      </w:r>
    </w:p>
    <w:p w14:paraId="2DA17FCF">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12 </w:t>
      </w:r>
      <w:r>
        <w:rPr>
          <w:rStyle w:val="51"/>
          <w:rFonts w:hint="eastAsia" w:ascii="仿宋_GB2312" w:hAnsi="黑体" w:eastAsia="仿宋_GB2312"/>
          <w:b/>
        </w:rPr>
        <w:t>债券一般做市商登记表</w:t>
      </w:r>
      <w:r>
        <w:tab/>
      </w:r>
      <w:r>
        <w:fldChar w:fldCharType="begin"/>
      </w:r>
      <w:r>
        <w:instrText xml:space="preserve"> PAGEREF _Toc151137095 \h </w:instrText>
      </w:r>
      <w:r>
        <w:fldChar w:fldCharType="separate"/>
      </w:r>
      <w:r>
        <w:t>300</w:t>
      </w:r>
      <w:r>
        <w:fldChar w:fldCharType="end"/>
      </w:r>
      <w:r>
        <w:fldChar w:fldCharType="end"/>
      </w:r>
    </w:p>
    <w:p w14:paraId="56FFD4A6">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"_Toc151137096"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13 </w:t>
      </w:r>
      <w:r>
        <w:rPr>
          <w:rStyle w:val="51"/>
          <w:rFonts w:hint="eastAsia" w:ascii="仿宋_GB2312" w:hAnsi="黑体" w:eastAsia="仿宋_GB2312"/>
          <w:b/>
        </w:rPr>
        <w:t>债券做市账户登记表</w:t>
      </w:r>
      <w:r>
        <w:tab/>
      </w:r>
      <w:r>
        <w:fldChar w:fldCharType="begin"/>
      </w:r>
      <w:r>
        <w:instrText xml:space="preserve"> PAGEREF _Toc151137096 \h </w:instrText>
      </w:r>
      <w:r>
        <w:fldChar w:fldCharType="separate"/>
      </w:r>
      <w:r>
        <w:t>302</w:t>
      </w:r>
      <w:r>
        <w:fldChar w:fldCharType="end"/>
      </w:r>
      <w:r>
        <w:fldChar w:fldCharType="end"/>
      </w:r>
    </w:p>
    <w:p w14:paraId="0B9E741C">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"_Toc151137097"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14 </w:t>
      </w:r>
      <w:r>
        <w:rPr>
          <w:rStyle w:val="51"/>
          <w:rFonts w:hint="eastAsia" w:ascii="仿宋_GB2312" w:hAnsi="黑体" w:eastAsia="仿宋_GB2312"/>
          <w:b/>
        </w:rPr>
        <w:t>债券做市账户变更表</w:t>
      </w:r>
      <w:r>
        <w:tab/>
      </w:r>
      <w:r>
        <w:fldChar w:fldCharType="begin"/>
      </w:r>
      <w:r>
        <w:instrText xml:space="preserve"> PAGEREF _Toc151137097 \h </w:instrText>
      </w:r>
      <w:r>
        <w:fldChar w:fldCharType="separate"/>
      </w:r>
      <w:r>
        <w:t>303</w:t>
      </w:r>
      <w:r>
        <w:fldChar w:fldCharType="end"/>
      </w:r>
      <w:r>
        <w:fldChar w:fldCharType="end"/>
      </w:r>
    </w:p>
    <w:p w14:paraId="7DE326B8">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15 </w:t>
      </w:r>
      <w:r>
        <w:rPr>
          <w:rStyle w:val="51"/>
          <w:rFonts w:hint="eastAsia" w:ascii="仿宋_GB2312" w:hAnsi="黑体" w:eastAsia="仿宋_GB2312"/>
          <w:b/>
        </w:rPr>
        <w:t>添加债券做市标的登记表</w:t>
      </w:r>
      <w:r>
        <w:tab/>
      </w:r>
      <w:r>
        <w:fldChar w:fldCharType="begin"/>
      </w:r>
      <w:r>
        <w:instrText xml:space="preserve"> PAGEREF _Toc151137098 \h </w:instrText>
      </w:r>
      <w:r>
        <w:fldChar w:fldCharType="separate"/>
      </w:r>
      <w:r>
        <w:t>305</w:t>
      </w:r>
      <w:r>
        <w:fldChar w:fldCharType="end"/>
      </w:r>
      <w:r>
        <w:fldChar w:fldCharType="end"/>
      </w:r>
    </w:p>
    <w:p w14:paraId="5AF3323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"_Toc151137099"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16 </w:t>
      </w:r>
      <w:r>
        <w:rPr>
          <w:rStyle w:val="51"/>
          <w:rFonts w:hint="eastAsia" w:ascii="仿宋_GB2312" w:hAnsi="黑体" w:eastAsia="仿宋_GB2312"/>
          <w:b/>
        </w:rPr>
        <w:t>取消债券做市标的登记表</w:t>
      </w:r>
      <w:r>
        <w:tab/>
      </w:r>
      <w:r>
        <w:fldChar w:fldCharType="begin"/>
      </w:r>
      <w:r>
        <w:instrText xml:space="preserve"> PAGEREF _Toc151137099 \h </w:instrText>
      </w:r>
      <w:r>
        <w:fldChar w:fldCharType="separate"/>
      </w:r>
      <w:r>
        <w:t>306</w:t>
      </w:r>
      <w:r>
        <w:fldChar w:fldCharType="end"/>
      </w:r>
      <w:r>
        <w:fldChar w:fldCharType="end"/>
      </w:r>
    </w:p>
    <w:p w14:paraId="6C40AE0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17 </w:t>
      </w:r>
      <w:r>
        <w:rPr>
          <w:rStyle w:val="51"/>
          <w:rFonts w:hint="eastAsia" w:ascii="仿宋_GB2312" w:hAnsi="黑体" w:eastAsia="仿宋_GB2312"/>
          <w:b/>
        </w:rPr>
        <w:t>终止债券做市业务申请表</w:t>
      </w:r>
      <w:r>
        <w:tab/>
      </w:r>
      <w:r>
        <w:fldChar w:fldCharType="begin"/>
      </w:r>
      <w:r>
        <w:instrText xml:space="preserve"> PAGEREF _Toc151137100 \h </w:instrText>
      </w:r>
      <w:r>
        <w:fldChar w:fldCharType="separate"/>
      </w:r>
      <w:r>
        <w:t>308</w:t>
      </w:r>
      <w:r>
        <w:fldChar w:fldCharType="end"/>
      </w:r>
      <w:r>
        <w:fldChar w:fldCharType="end"/>
      </w:r>
    </w:p>
    <w:p w14:paraId="66637E0A">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18 </w:t>
      </w:r>
      <w:r>
        <w:rPr>
          <w:rStyle w:val="51"/>
          <w:rFonts w:hint="eastAsia" w:ascii="仿宋_GB2312" w:hAnsi="黑体" w:eastAsia="仿宋_GB2312"/>
          <w:b/>
        </w:rPr>
        <w:t>三方回购投资者适当性备案表</w:t>
      </w:r>
      <w:r>
        <w:tab/>
      </w:r>
      <w:r>
        <w:fldChar w:fldCharType="begin"/>
      </w:r>
      <w:r>
        <w:instrText xml:space="preserve"> PAGEREF _Toc151137101 \h </w:instrText>
      </w:r>
      <w:r>
        <w:fldChar w:fldCharType="separate"/>
      </w:r>
      <w:r>
        <w:t>308</w:t>
      </w:r>
      <w:r>
        <w:fldChar w:fldCharType="end"/>
      </w:r>
      <w:r>
        <w:fldChar w:fldCharType="end"/>
      </w:r>
    </w:p>
    <w:p w14:paraId="37DDEB31">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19 </w:t>
      </w:r>
      <w:r>
        <w:rPr>
          <w:rStyle w:val="51"/>
          <w:rFonts w:hint="eastAsia" w:ascii="仿宋_GB2312" w:hAnsi="黑体" w:eastAsia="仿宋_GB2312"/>
          <w:b/>
        </w:rPr>
        <w:t>投资者适当性备案渠道</w:t>
      </w:r>
      <w:r>
        <w:tab/>
      </w:r>
      <w:r>
        <w:fldChar w:fldCharType="begin"/>
      </w:r>
      <w:r>
        <w:instrText xml:space="preserve"> PAGEREF _Toc151137102 \h </w:instrText>
      </w:r>
      <w:r>
        <w:fldChar w:fldCharType="separate"/>
      </w:r>
      <w:r>
        <w:t>314</w:t>
      </w:r>
      <w:r>
        <w:fldChar w:fldCharType="end"/>
      </w:r>
      <w:r>
        <w:fldChar w:fldCharType="end"/>
      </w:r>
    </w:p>
    <w:p w14:paraId="30BD6EA2">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20 </w:t>
      </w:r>
      <w:r>
        <w:rPr>
          <w:rStyle w:val="51"/>
          <w:rFonts w:hint="eastAsia" w:ascii="仿宋_GB2312" w:hAnsi="黑体" w:eastAsia="仿宋_GB2312"/>
          <w:b/>
        </w:rPr>
        <w:t>债券借贷业务用户登记表</w:t>
      </w:r>
      <w:r>
        <w:tab/>
      </w:r>
      <w:r>
        <w:fldChar w:fldCharType="begin"/>
      </w:r>
      <w:r>
        <w:instrText xml:space="preserve"> PAGEREF _Toc151137103 \h </w:instrText>
      </w:r>
      <w:r>
        <w:fldChar w:fldCharType="separate"/>
      </w:r>
      <w:r>
        <w:t>318</w:t>
      </w:r>
      <w:r>
        <w:fldChar w:fldCharType="end"/>
      </w:r>
      <w:r>
        <w:fldChar w:fldCharType="end"/>
      </w:r>
    </w:p>
    <w:p w14:paraId="1F06A17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21 </w:t>
      </w:r>
      <w:r>
        <w:rPr>
          <w:rStyle w:val="51"/>
          <w:rFonts w:hint="eastAsia" w:ascii="仿宋_GB2312" w:hAnsi="黑体" w:eastAsia="仿宋_GB2312"/>
          <w:b/>
        </w:rPr>
        <w:t>债券借贷业务主协议</w:t>
      </w:r>
      <w:r>
        <w:tab/>
      </w:r>
      <w:r>
        <w:fldChar w:fldCharType="begin"/>
      </w:r>
      <w:r>
        <w:instrText xml:space="preserve"> PAGEREF _Toc151137104 \h </w:instrText>
      </w:r>
      <w:r>
        <w:fldChar w:fldCharType="separate"/>
      </w:r>
      <w:r>
        <w:t>319</w:t>
      </w:r>
      <w:r>
        <w:fldChar w:fldCharType="end"/>
      </w:r>
      <w:r>
        <w:fldChar w:fldCharType="end"/>
      </w:r>
    </w:p>
    <w:p w14:paraId="5FB6116A">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22 </w:t>
      </w:r>
      <w:r>
        <w:rPr>
          <w:rStyle w:val="51"/>
          <w:rFonts w:hint="eastAsia" w:ascii="仿宋_GB2312" w:hAnsi="黑体" w:eastAsia="仿宋_GB2312"/>
          <w:b/>
        </w:rPr>
        <w:t>信用保护合约核心交易商</w:t>
      </w:r>
      <w:r>
        <w:rPr>
          <w:rStyle w:val="51"/>
          <w:rFonts w:ascii="仿宋_GB2312" w:hAnsi="黑体" w:eastAsia="仿宋_GB2312"/>
          <w:b/>
        </w:rPr>
        <w:t>/</w:t>
      </w:r>
      <w:r>
        <w:rPr>
          <w:rStyle w:val="51"/>
          <w:rFonts w:hint="eastAsia" w:ascii="仿宋_GB2312" w:hAnsi="黑体" w:eastAsia="仿宋_GB2312"/>
          <w:b/>
        </w:rPr>
        <w:t>凭证创设机构资质申请信息表</w:t>
      </w:r>
      <w:r>
        <w:tab/>
      </w:r>
      <w:r>
        <w:fldChar w:fldCharType="begin"/>
      </w:r>
      <w:r>
        <w:instrText xml:space="preserve"> PAGEREF _Toc151137105 \h </w:instrText>
      </w:r>
      <w:r>
        <w:fldChar w:fldCharType="separate"/>
      </w:r>
      <w:r>
        <w:t>338</w:t>
      </w:r>
      <w:r>
        <w:fldChar w:fldCharType="end"/>
      </w:r>
      <w:r>
        <w:fldChar w:fldCharType="end"/>
      </w:r>
    </w:p>
    <w:p w14:paraId="19BEFF8F">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"_Toc151137106" </w:instrText>
      </w:r>
      <w:r>
        <w:fldChar w:fldCharType="separate"/>
      </w:r>
      <w:r>
        <w:rPr>
          <w:rStyle w:val="51"/>
          <w:rFonts w:hint="eastAsia" w:ascii="仿宋_GB2312" w:hAnsi="黑体" w:eastAsia="仿宋_GB2312"/>
          <w:b/>
        </w:rPr>
        <w:t>附件</w:t>
      </w:r>
      <w:r>
        <w:rPr>
          <w:rStyle w:val="51"/>
          <w:rFonts w:ascii="仿宋_GB2312" w:hAnsi="黑体" w:eastAsia="仿宋_GB2312"/>
          <w:b/>
        </w:rPr>
        <w:t>23 XXXX</w:t>
      </w:r>
      <w:r>
        <w:rPr>
          <w:rStyle w:val="51"/>
          <w:rFonts w:hint="eastAsia" w:ascii="仿宋_GB2312" w:hAnsi="黑体" w:eastAsia="仿宋_GB2312"/>
          <w:b/>
        </w:rPr>
        <w:t>信用保护合约交易确认书</w:t>
      </w:r>
      <w:r>
        <w:tab/>
      </w:r>
      <w:r>
        <w:fldChar w:fldCharType="begin"/>
      </w:r>
      <w:r>
        <w:instrText xml:space="preserve"> PAGEREF _Toc151137106 \h </w:instrText>
      </w:r>
      <w:r>
        <w:fldChar w:fldCharType="separate"/>
      </w:r>
      <w:r>
        <w:t>341</w:t>
      </w:r>
      <w:r>
        <w:fldChar w:fldCharType="end"/>
      </w:r>
      <w:r>
        <w:fldChar w:fldCharType="end"/>
      </w:r>
    </w:p>
    <w:p w14:paraId="50DB2E8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"_Toc151137107"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24 </w:t>
      </w:r>
      <w:r>
        <w:rPr>
          <w:rStyle w:val="51"/>
          <w:rFonts w:hint="eastAsia" w:ascii="仿宋_GB2312" w:hAnsi="黑体" w:eastAsia="仿宋_GB2312"/>
          <w:b/>
        </w:rPr>
        <w:t>组合型信用保护合约要素表</w:t>
      </w:r>
      <w:r>
        <w:tab/>
      </w:r>
      <w:r>
        <w:fldChar w:fldCharType="begin"/>
      </w:r>
      <w:r>
        <w:instrText xml:space="preserve"> PAGEREF _Toc151137107 \h </w:instrText>
      </w:r>
      <w:r>
        <w:fldChar w:fldCharType="separate"/>
      </w:r>
      <w:r>
        <w:t>366</w:t>
      </w:r>
      <w:r>
        <w:fldChar w:fldCharType="end"/>
      </w:r>
      <w:r>
        <w:fldChar w:fldCharType="end"/>
      </w:r>
    </w:p>
    <w:p w14:paraId="6B7645B7">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25 </w:t>
      </w:r>
      <w:r>
        <w:rPr>
          <w:rStyle w:val="51"/>
          <w:rFonts w:hint="eastAsia" w:ascii="仿宋_GB2312" w:hAnsi="黑体" w:eastAsia="仿宋_GB2312"/>
          <w:b/>
        </w:rPr>
        <w:t>信用保护凭证创设说明书参考格式</w:t>
      </w:r>
      <w:r>
        <w:tab/>
      </w:r>
      <w:r>
        <w:fldChar w:fldCharType="begin"/>
      </w:r>
      <w:r>
        <w:instrText xml:space="preserve"> PAGEREF _Toc151137108 \h </w:instrText>
      </w:r>
      <w:r>
        <w:fldChar w:fldCharType="separate"/>
      </w:r>
      <w:r>
        <w:t>368</w:t>
      </w:r>
      <w:r>
        <w:fldChar w:fldCharType="end"/>
      </w:r>
      <w:r>
        <w:fldChar w:fldCharType="end"/>
      </w:r>
    </w:p>
    <w:p w14:paraId="4E4EEF31">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"_Toc151137109"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26 </w:t>
      </w:r>
      <w:r>
        <w:rPr>
          <w:rStyle w:val="51"/>
          <w:rFonts w:hint="eastAsia" w:ascii="仿宋_GB2312" w:hAnsi="黑体" w:eastAsia="仿宋_GB2312"/>
          <w:b/>
        </w:rPr>
        <w:t>信用保护凭证创设情况公告</w:t>
      </w:r>
      <w:r>
        <w:tab/>
      </w:r>
      <w:r>
        <w:fldChar w:fldCharType="begin"/>
      </w:r>
      <w:r>
        <w:instrText xml:space="preserve"> PAGEREF _Toc151137109 \h </w:instrText>
      </w:r>
      <w:r>
        <w:fldChar w:fldCharType="separate"/>
      </w:r>
      <w:r>
        <w:t>375</w:t>
      </w:r>
      <w:r>
        <w:fldChar w:fldCharType="end"/>
      </w:r>
      <w:r>
        <w:fldChar w:fldCharType="end"/>
      </w:r>
    </w:p>
    <w:p w14:paraId="7E81F8F5">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27 </w:t>
      </w:r>
      <w:r>
        <w:rPr>
          <w:rStyle w:val="51"/>
          <w:rFonts w:hint="eastAsia" w:ascii="仿宋_GB2312" w:hAnsi="黑体" w:eastAsia="仿宋_GB2312"/>
          <w:b/>
        </w:rPr>
        <w:t>信用保护凭证挂牌转让申请书</w:t>
      </w:r>
      <w:r>
        <w:tab/>
      </w:r>
      <w:r>
        <w:fldChar w:fldCharType="begin"/>
      </w:r>
      <w:r>
        <w:instrText xml:space="preserve"> PAGEREF _Toc151137110 \h </w:instrText>
      </w:r>
      <w:r>
        <w:fldChar w:fldCharType="separate"/>
      </w:r>
      <w:r>
        <w:t>376</w:t>
      </w:r>
      <w:r>
        <w:fldChar w:fldCharType="end"/>
      </w:r>
      <w:r>
        <w:fldChar w:fldCharType="end"/>
      </w:r>
    </w:p>
    <w:p w14:paraId="3329382A">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28 </w:t>
      </w:r>
      <w:r>
        <w:rPr>
          <w:rStyle w:val="51"/>
          <w:rFonts w:hint="eastAsia" w:ascii="仿宋_GB2312" w:hAnsi="黑体" w:eastAsia="仿宋_GB2312"/>
          <w:b/>
        </w:rPr>
        <w:t>创设款到账确认书</w:t>
      </w:r>
      <w:r>
        <w:tab/>
      </w:r>
      <w:r>
        <w:fldChar w:fldCharType="begin"/>
      </w:r>
      <w:r>
        <w:instrText xml:space="preserve"> PAGEREF _Toc151137111 \h </w:instrText>
      </w:r>
      <w:r>
        <w:fldChar w:fldCharType="separate"/>
      </w:r>
      <w:r>
        <w:t>377</w:t>
      </w:r>
      <w:r>
        <w:fldChar w:fldCharType="end"/>
      </w:r>
      <w:r>
        <w:fldChar w:fldCharType="end"/>
      </w:r>
    </w:p>
    <w:p w14:paraId="3EA0C87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29 </w:t>
      </w:r>
      <w:r>
        <w:rPr>
          <w:rStyle w:val="51"/>
          <w:rFonts w:hint="eastAsia" w:ascii="仿宋_GB2312" w:hAnsi="黑体" w:eastAsia="仿宋_GB2312"/>
          <w:b/>
        </w:rPr>
        <w:t>信用保护凭证在上海证券交易所挂牌转让的公告</w:t>
      </w:r>
      <w:r>
        <w:tab/>
      </w:r>
      <w:r>
        <w:fldChar w:fldCharType="begin"/>
      </w:r>
      <w:r>
        <w:instrText xml:space="preserve"> PAGEREF _Toc151137112 \h </w:instrText>
      </w:r>
      <w:r>
        <w:fldChar w:fldCharType="separate"/>
      </w:r>
      <w:r>
        <w:t>378</w:t>
      </w:r>
      <w:r>
        <w:fldChar w:fldCharType="end"/>
      </w:r>
      <w:r>
        <w:fldChar w:fldCharType="end"/>
      </w:r>
    </w:p>
    <w:p w14:paraId="27A3FFC8">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"_Toc151137113"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30 </w:t>
      </w:r>
      <w:r>
        <w:rPr>
          <w:rStyle w:val="51"/>
          <w:rFonts w:hint="eastAsia" w:ascii="仿宋_GB2312" w:hAnsi="黑体" w:eastAsia="仿宋_GB2312"/>
          <w:b/>
        </w:rPr>
        <w:t>信用保护工具信用事件通知书参考模板</w:t>
      </w:r>
      <w:r>
        <w:tab/>
      </w:r>
      <w:r>
        <w:fldChar w:fldCharType="begin"/>
      </w:r>
      <w:r>
        <w:instrText xml:space="preserve"> PAGEREF _Toc151137113 \h </w:instrText>
      </w:r>
      <w:r>
        <w:fldChar w:fldCharType="separate"/>
      </w:r>
      <w:r>
        <w:t>379</w:t>
      </w:r>
      <w:r>
        <w:fldChar w:fldCharType="end"/>
      </w:r>
      <w:r>
        <w:fldChar w:fldCharType="end"/>
      </w:r>
    </w:p>
    <w:p w14:paraId="5A0A7D5D">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"_Toc151137114"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31 </w:t>
      </w:r>
      <w:r>
        <w:rPr>
          <w:rStyle w:val="51"/>
          <w:rFonts w:hint="eastAsia" w:ascii="仿宋_GB2312" w:hAnsi="黑体" w:eastAsia="仿宋_GB2312"/>
          <w:b/>
        </w:rPr>
        <w:t>信用保护工具公共信息通知书参考模板</w:t>
      </w:r>
      <w:r>
        <w:tab/>
      </w:r>
      <w:r>
        <w:fldChar w:fldCharType="begin"/>
      </w:r>
      <w:r>
        <w:instrText xml:space="preserve"> PAGEREF _Toc151137114 \h </w:instrText>
      </w:r>
      <w:r>
        <w:fldChar w:fldCharType="separate"/>
      </w:r>
      <w:r>
        <w:t>382</w:t>
      </w:r>
      <w:r>
        <w:fldChar w:fldCharType="end"/>
      </w:r>
      <w:r>
        <w:fldChar w:fldCharType="end"/>
      </w:r>
    </w:p>
    <w:p w14:paraId="5DD2512B">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"_Toc151137115"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32 </w:t>
      </w:r>
      <w:r>
        <w:rPr>
          <w:rStyle w:val="51"/>
          <w:rFonts w:hint="eastAsia" w:ascii="仿宋_GB2312" w:hAnsi="黑体" w:eastAsia="仿宋_GB2312"/>
          <w:b/>
        </w:rPr>
        <w:t>信用保护工具结算通知书参考模板</w:t>
      </w:r>
      <w:r>
        <w:tab/>
      </w:r>
      <w:r>
        <w:fldChar w:fldCharType="begin"/>
      </w:r>
      <w:r>
        <w:instrText xml:space="preserve"> PAGEREF _Toc151137115 \h </w:instrText>
      </w:r>
      <w:r>
        <w:fldChar w:fldCharType="separate"/>
      </w:r>
      <w:r>
        <w:t>384</w:t>
      </w:r>
      <w:r>
        <w:fldChar w:fldCharType="end"/>
      </w:r>
      <w:r>
        <w:fldChar w:fldCharType="end"/>
      </w:r>
    </w:p>
    <w:p w14:paraId="72F4BFBF">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"_Toc151137116"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33 </w:t>
      </w:r>
      <w:r>
        <w:rPr>
          <w:rStyle w:val="51"/>
          <w:rFonts w:hint="eastAsia" w:ascii="仿宋_GB2312" w:hAnsi="黑体" w:eastAsia="仿宋_GB2312"/>
          <w:b/>
        </w:rPr>
        <w:t>上海证券交易所债券担保品处置平台功能简介</w:t>
      </w:r>
      <w:r>
        <w:tab/>
      </w:r>
      <w:r>
        <w:fldChar w:fldCharType="begin"/>
      </w:r>
      <w:r>
        <w:instrText xml:space="preserve"> PAGEREF _Toc151137116 \h </w:instrText>
      </w:r>
      <w:r>
        <w:fldChar w:fldCharType="separate"/>
      </w:r>
      <w:r>
        <w:t>387</w:t>
      </w:r>
      <w:r>
        <w:fldChar w:fldCharType="end"/>
      </w:r>
      <w:r>
        <w:fldChar w:fldCharType="end"/>
      </w:r>
    </w:p>
    <w:p w14:paraId="5BA8AAB6">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"_Toc151137117"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34 </w:t>
      </w:r>
      <w:r>
        <w:rPr>
          <w:rStyle w:val="51"/>
          <w:rFonts w:hint="eastAsia" w:ascii="仿宋_GB2312" w:hAnsi="黑体" w:eastAsia="仿宋_GB2312"/>
          <w:b/>
        </w:rPr>
        <w:t>债券担保品处置平台用户数字证书办理流程</w:t>
      </w:r>
      <w:r>
        <w:tab/>
      </w:r>
      <w:r>
        <w:fldChar w:fldCharType="begin"/>
      </w:r>
      <w:r>
        <w:instrText xml:space="preserve"> PAGEREF _Toc151137117 \h </w:instrText>
      </w:r>
      <w:r>
        <w:fldChar w:fldCharType="separate"/>
      </w:r>
      <w:r>
        <w:t>400</w:t>
      </w:r>
      <w:r>
        <w:fldChar w:fldCharType="end"/>
      </w:r>
      <w:r>
        <w:fldChar w:fldCharType="end"/>
      </w:r>
    </w:p>
    <w:p w14:paraId="1B009EE1">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"_Toc151137118"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35 </w:t>
      </w:r>
      <w:r>
        <w:rPr>
          <w:rStyle w:val="51"/>
          <w:rFonts w:hint="eastAsia" w:ascii="仿宋_GB2312" w:hAnsi="黑体" w:eastAsia="仿宋_GB2312"/>
          <w:b/>
        </w:rPr>
        <w:t>拟参与债券担保品处置的指定报价团成员名单</w:t>
      </w:r>
      <w:r>
        <w:tab/>
      </w:r>
      <w:r>
        <w:fldChar w:fldCharType="begin"/>
      </w:r>
      <w:r>
        <w:instrText xml:space="preserve"> PAGEREF _Toc151137118 \h </w:instrText>
      </w:r>
      <w:r>
        <w:fldChar w:fldCharType="separate"/>
      </w:r>
      <w:r>
        <w:t>404</w:t>
      </w:r>
      <w:r>
        <w:fldChar w:fldCharType="end"/>
      </w:r>
      <w:r>
        <w:fldChar w:fldCharType="end"/>
      </w:r>
    </w:p>
    <w:p w14:paraId="46BA7428">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"_Toc151137119"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36 </w:t>
      </w:r>
      <w:r>
        <w:rPr>
          <w:rStyle w:val="51"/>
          <w:rFonts w:hint="eastAsia" w:ascii="仿宋_GB2312" w:hAnsi="黑体" w:eastAsia="仿宋_GB2312"/>
          <w:b/>
        </w:rPr>
        <w:t>处置现场负责人及进入处置场所的人员名单</w:t>
      </w:r>
      <w:r>
        <w:tab/>
      </w:r>
      <w:r>
        <w:fldChar w:fldCharType="begin"/>
      </w:r>
      <w:r>
        <w:instrText xml:space="preserve"> PAGEREF _Toc151137119 \h </w:instrText>
      </w:r>
      <w:r>
        <w:fldChar w:fldCharType="separate"/>
      </w:r>
      <w:r>
        <w:t>405</w:t>
      </w:r>
      <w:r>
        <w:fldChar w:fldCharType="end"/>
      </w:r>
      <w:r>
        <w:fldChar w:fldCharType="end"/>
      </w:r>
    </w:p>
    <w:p w14:paraId="54FF9276">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"_Toc151137120"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37 </w:t>
      </w:r>
      <w:r>
        <w:rPr>
          <w:rStyle w:val="51"/>
          <w:rFonts w:hint="eastAsia" w:ascii="仿宋_GB2312" w:hAnsi="黑体" w:eastAsia="仿宋_GB2312"/>
          <w:b/>
        </w:rPr>
        <w:t>上交所债券担保品处置服务联系人</w:t>
      </w:r>
      <w:r>
        <w:tab/>
      </w:r>
      <w:r>
        <w:fldChar w:fldCharType="begin"/>
      </w:r>
      <w:r>
        <w:instrText xml:space="preserve"> PAGEREF _Toc151137120 \h </w:instrText>
      </w:r>
      <w:r>
        <w:fldChar w:fldCharType="separate"/>
      </w:r>
      <w:r>
        <w:t>406</w:t>
      </w:r>
      <w:r>
        <w:fldChar w:fldCharType="end"/>
      </w:r>
      <w:r>
        <w:fldChar w:fldCharType="end"/>
      </w:r>
    </w:p>
    <w:p w14:paraId="28A82083">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"_Toc151137121"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38 </w:t>
      </w:r>
      <w:r>
        <w:rPr>
          <w:rStyle w:val="51"/>
          <w:rFonts w:hint="eastAsia" w:ascii="仿宋_GB2312" w:hAnsi="黑体" w:eastAsia="仿宋_GB2312"/>
          <w:b/>
        </w:rPr>
        <w:t>处置结果公告（样张）</w:t>
      </w:r>
      <w:r>
        <w:tab/>
      </w:r>
      <w:r>
        <w:fldChar w:fldCharType="begin"/>
      </w:r>
      <w:r>
        <w:instrText xml:space="preserve"> PAGEREF _Toc151137121 \h </w:instrText>
      </w:r>
      <w:r>
        <w:fldChar w:fldCharType="separate"/>
      </w:r>
      <w:r>
        <w:t>407</w:t>
      </w:r>
      <w:r>
        <w:fldChar w:fldCharType="end"/>
      </w:r>
      <w:r>
        <w:fldChar w:fldCharType="end"/>
      </w:r>
    </w:p>
    <w:p w14:paraId="3682EF60">
      <w:pPr>
        <w:pStyle w:val="36"/>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"_Toc151137122" </w:instrText>
      </w:r>
      <w:r>
        <w:fldChar w:fldCharType="separate"/>
      </w:r>
      <w:r>
        <w:rPr>
          <w:rStyle w:val="51"/>
          <w:rFonts w:hint="eastAsia" w:ascii="仿宋_GB2312" w:hAnsi="黑体" w:eastAsia="仿宋_GB2312"/>
          <w:b/>
        </w:rPr>
        <w:t>附件</w:t>
      </w:r>
      <w:r>
        <w:rPr>
          <w:rStyle w:val="51"/>
          <w:rFonts w:ascii="仿宋_GB2312" w:hAnsi="黑体" w:eastAsia="仿宋_GB2312"/>
          <w:b/>
        </w:rPr>
        <w:t xml:space="preserve">39 </w:t>
      </w:r>
      <w:r>
        <w:rPr>
          <w:rStyle w:val="51"/>
          <w:rFonts w:hint="eastAsia" w:ascii="仿宋_GB2312" w:hAnsi="黑体" w:eastAsia="仿宋_GB2312"/>
          <w:b/>
        </w:rPr>
        <w:t>债券交易情况说明表</w:t>
      </w:r>
      <w:r>
        <w:tab/>
      </w:r>
      <w:r>
        <w:fldChar w:fldCharType="begin"/>
      </w:r>
      <w:r>
        <w:instrText xml:space="preserve"> PAGEREF _Toc151137122 \h </w:instrText>
      </w:r>
      <w:r>
        <w:fldChar w:fldCharType="separate"/>
      </w:r>
      <w:r>
        <w:t>408</w:t>
      </w:r>
      <w:r>
        <w:fldChar w:fldCharType="end"/>
      </w:r>
      <w:r>
        <w:fldChar w:fldCharType="end"/>
      </w:r>
    </w:p>
    <w:p w14:paraId="5ECC1BAC">
      <w:pPr>
        <w:jc w:val="center"/>
        <w:outlineLvl w:val="0"/>
        <w:rPr>
          <w:rFonts w:ascii="黑体" w:hAnsi="黑体"/>
          <w:b/>
          <w:kern w:val="0"/>
          <w:szCs w:val="32"/>
        </w:rPr>
      </w:pPr>
      <w:r>
        <w:rPr>
          <w:rFonts w:ascii="黑体" w:hAnsi="黑体"/>
          <w:szCs w:val="30"/>
        </w:rPr>
        <w:fldChar w:fldCharType="end"/>
      </w:r>
      <w:r>
        <w:rPr>
          <w:rFonts w:ascii="黑体" w:hAnsi="黑体"/>
          <w:b/>
          <w:sz w:val="30"/>
          <w:szCs w:val="30"/>
        </w:rPr>
        <w:br w:type="page"/>
      </w:r>
      <w:bookmarkStart w:id="3" w:name="_Toc151136876"/>
      <w:r>
        <w:rPr>
          <w:rFonts w:hint="eastAsia" w:ascii="黑体" w:hAnsi="黑体" w:eastAsia="黑体" w:cs="黑体"/>
          <w:b/>
          <w:bCs/>
          <w:sz w:val="36"/>
        </w:rPr>
        <w:t>引言</w:t>
      </w:r>
      <w:bookmarkEnd w:id="3"/>
    </w:p>
    <w:p w14:paraId="4D22DF63">
      <w:pPr>
        <w:widowControl/>
        <w:spacing w:line="600" w:lineRule="exact"/>
        <w:ind w:firstLine="600" w:firstLineChars="200"/>
        <w:rPr>
          <w:rFonts w:ascii="仿宋_GB2312" w:eastAsia="仿宋_GB2312"/>
          <w:sz w:val="30"/>
          <w:szCs w:val="30"/>
        </w:rPr>
      </w:pPr>
    </w:p>
    <w:p w14:paraId="7CD95372">
      <w:pPr>
        <w:widowControl/>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为规范债券市场交易行为，便利债券投资者开展债券交易业务，提升市场服务水平，根据《中华人民共和国证券法》《上海证券交易所债券交易规则》（以下简称《债券交易规则》）《上海证券交易所债券市场投资者适当性管理办法》《上海证券交易所会员管理规则》《上海证券交易所证券异常交易实时监控细则》和其他相关规定，制定《上海证券交易所债券交易业务指南第1号——交易业务》（以下简称本指南）。</w:t>
      </w:r>
    </w:p>
    <w:p w14:paraId="49C83698">
      <w:pPr>
        <w:widowControl/>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在上海证券交易所（以下简称本所</w:t>
      </w:r>
      <w:r>
        <w:rPr>
          <w:rFonts w:hint="eastAsia" w:ascii="仿宋_GB2312" w:eastAsia="仿宋_GB2312"/>
          <w:sz w:val="30"/>
          <w:szCs w:val="30"/>
        </w:rPr>
        <w:t>或上交所</w:t>
      </w:r>
      <w:r>
        <w:rPr>
          <w:rFonts w:hint="eastAsia" w:ascii="仿宋_GB2312" w:eastAsia="仿宋_GB2312"/>
          <w:color w:val="000000"/>
          <w:sz w:val="30"/>
          <w:szCs w:val="30"/>
        </w:rPr>
        <w:t>）开展的债券、资产支持证券和其他具有固定收益特征的产品的交易或者转让（以下简称债券交易）适用本指南。本指南规范的债券业务类型包括债券现券交易、债券回购交易、债券借贷业务、债券预发行交易、信用保护工具以及本所认可的其他交易。</w:t>
      </w:r>
      <w:r>
        <w:rPr>
          <w:rFonts w:hint="eastAsia" w:ascii="仿宋_GB2312" w:eastAsia="仿宋_GB2312"/>
          <w:sz w:val="30"/>
          <w:szCs w:val="30"/>
        </w:rPr>
        <w:t>本所依据法律、行政法规、部门规章、规范性文件（以下合称法律法规）和业务规则，对债券提供回售、回售转售、赎回、分期偿还、换股、转股、转托管等相关服务。</w:t>
      </w:r>
    </w:p>
    <w:p w14:paraId="6D8B14D5">
      <w:pPr>
        <w:widowControl/>
        <w:spacing w:line="600" w:lineRule="exact"/>
        <w:ind w:firstLine="600" w:firstLineChars="200"/>
        <w:rPr>
          <w:rFonts w:ascii="黑体" w:hAnsi="黑体"/>
          <w:b/>
          <w:sz w:val="30"/>
          <w:szCs w:val="30"/>
        </w:rPr>
      </w:pPr>
      <w:r>
        <w:rPr>
          <w:rFonts w:hint="eastAsia" w:ascii="仿宋_GB2312" w:eastAsia="仿宋_GB2312"/>
          <w:sz w:val="30"/>
          <w:szCs w:val="30"/>
        </w:rPr>
        <w:t>本指南为开放性指南，本所将根据实际情况，对本指南进行不定期修订更新并发布更新版本。本所对本指南保留最终解释权。</w:t>
      </w:r>
    </w:p>
    <w:p w14:paraId="41875792">
      <w:pPr>
        <w:numPr>
          <w:ilvl w:val="255"/>
          <w:numId w:val="0"/>
        </w:numPr>
        <w:rPr>
          <w:b/>
          <w:sz w:val="36"/>
        </w:rPr>
      </w:pPr>
      <w:bookmarkStart w:id="4" w:name="_Toc56166251"/>
      <w:bookmarkStart w:id="5" w:name="_Toc56166062"/>
      <w:r>
        <w:rPr>
          <w:rFonts w:hint="eastAsia"/>
          <w:b/>
          <w:sz w:val="36"/>
        </w:rPr>
        <w:br w:type="page"/>
      </w:r>
    </w:p>
    <w:p w14:paraId="784E46C3">
      <w:pPr>
        <w:numPr>
          <w:ilvl w:val="0"/>
          <w:numId w:val="4"/>
        </w:numPr>
        <w:spacing w:line="600" w:lineRule="exact"/>
        <w:outlineLvl w:val="0"/>
        <w:rPr>
          <w:rFonts w:ascii="黑体" w:hAnsi="黑体" w:eastAsia="黑体" w:cs="黑体"/>
          <w:b/>
          <w:sz w:val="36"/>
        </w:rPr>
      </w:pPr>
      <w:bookmarkStart w:id="6" w:name="_Toc151136877"/>
      <w:r>
        <w:rPr>
          <w:rFonts w:hint="eastAsia" w:ascii="黑体" w:hAnsi="黑体" w:eastAsia="黑体" w:cs="黑体"/>
          <w:b/>
          <w:sz w:val="36"/>
        </w:rPr>
        <w:t>上交所债券交易市场总体介绍</w:t>
      </w:r>
      <w:bookmarkEnd w:id="4"/>
      <w:bookmarkEnd w:id="5"/>
      <w:bookmarkEnd w:id="6"/>
    </w:p>
    <w:p w14:paraId="3C805860">
      <w:pPr>
        <w:spacing w:line="600" w:lineRule="exact"/>
        <w:ind w:left="105" w:leftChars="50" w:firstLine="450" w:firstLineChars="150"/>
        <w:rPr>
          <w:rFonts w:ascii="仿宋_GB2312" w:eastAsia="仿宋_GB2312"/>
          <w:sz w:val="30"/>
          <w:szCs w:val="30"/>
        </w:rPr>
      </w:pPr>
      <w:r>
        <w:rPr>
          <w:rFonts w:hint="eastAsia" w:ascii="仿宋_GB2312" w:eastAsia="仿宋_GB2312"/>
          <w:sz w:val="30"/>
          <w:szCs w:val="30"/>
        </w:rPr>
        <w:t>本章主要对本所债券交易市场的发展概况、交易业务、参与主体、参与方式等总体情况进行介绍。</w:t>
      </w:r>
    </w:p>
    <w:p w14:paraId="32FB46CE">
      <w:pPr>
        <w:numPr>
          <w:ilvl w:val="1"/>
          <w:numId w:val="4"/>
        </w:numPr>
        <w:spacing w:line="600" w:lineRule="exact"/>
        <w:ind w:left="0" w:firstLine="0"/>
        <w:outlineLvl w:val="1"/>
        <w:rPr>
          <w:rFonts w:ascii="仿宋_GB2312" w:eastAsia="仿宋_GB2312"/>
          <w:b/>
          <w:sz w:val="30"/>
          <w:szCs w:val="30"/>
        </w:rPr>
      </w:pPr>
      <w:bookmarkStart w:id="7" w:name="_Toc56166252"/>
      <w:bookmarkStart w:id="8" w:name="_Toc151136878"/>
      <w:bookmarkStart w:id="9" w:name="_Toc56166063"/>
      <w:bookmarkStart w:id="10" w:name="_Toc434708067"/>
      <w:bookmarkStart w:id="11" w:name="_Toc491112922"/>
      <w:r>
        <w:rPr>
          <w:rFonts w:hint="eastAsia" w:ascii="仿宋_GB2312" w:eastAsia="仿宋_GB2312"/>
          <w:b/>
          <w:sz w:val="30"/>
          <w:szCs w:val="30"/>
        </w:rPr>
        <w:t>概况</w:t>
      </w:r>
      <w:bookmarkEnd w:id="7"/>
      <w:bookmarkEnd w:id="8"/>
      <w:bookmarkEnd w:id="9"/>
    </w:p>
    <w:p w14:paraId="51957064">
      <w:pPr>
        <w:spacing w:line="600" w:lineRule="exact"/>
        <w:ind w:firstLine="600" w:firstLineChars="200"/>
        <w:rPr>
          <w:rFonts w:ascii="仿宋_GB2312" w:eastAsia="仿宋_GB2312"/>
          <w:sz w:val="30"/>
          <w:szCs w:val="30"/>
        </w:rPr>
      </w:pPr>
      <w:r>
        <w:rPr>
          <w:rFonts w:hint="eastAsia" w:ascii="仿宋_GB2312" w:eastAsia="仿宋_GB2312"/>
          <w:sz w:val="30"/>
          <w:szCs w:val="30"/>
        </w:rPr>
        <w:t>现阶段，本所债券交易相关业务可分为交易类、融资类和风险管理类三种类型。交易类业务包括债券现券交易与债券预发行交易；融资类业务包括债券通用质押式回购（以下简称通用回购）交易、债券质押式协议回购（以下简称协议回购）交易、债券质押式三方回购（以下简称三方回购）交易与债券借贷业务等；风险管理类业务包括信用保护工具等。本所</w:t>
      </w:r>
      <w:r>
        <w:rPr>
          <w:rFonts w:ascii="仿宋_GB2312" w:eastAsia="仿宋_GB2312"/>
          <w:sz w:val="30"/>
          <w:szCs w:val="30"/>
        </w:rPr>
        <w:t>债券交易主要在</w:t>
      </w:r>
      <w:r>
        <w:rPr>
          <w:rFonts w:hint="eastAsia" w:ascii="仿宋_GB2312" w:eastAsia="仿宋_GB2312"/>
          <w:sz w:val="30"/>
          <w:szCs w:val="30"/>
        </w:rPr>
        <w:t>新债券</w:t>
      </w:r>
      <w:r>
        <w:rPr>
          <w:rFonts w:hint="eastAsia" w:ascii="仿宋_GB2312" w:eastAsia="仿宋_GB2312"/>
          <w:kern w:val="0"/>
          <w:sz w:val="30"/>
          <w:szCs w:val="30"/>
        </w:rPr>
        <w:t>交易系统债券集中竞价交易平台（以下简称新</w:t>
      </w:r>
      <w:r>
        <w:rPr>
          <w:rFonts w:hint="eastAsia" w:ascii="仿宋_GB2312" w:eastAsia="仿宋_GB2312"/>
          <w:sz w:val="30"/>
          <w:szCs w:val="30"/>
        </w:rPr>
        <w:t>债券</w:t>
      </w:r>
      <w:r>
        <w:rPr>
          <w:rFonts w:hint="eastAsia" w:ascii="仿宋_GB2312" w:eastAsia="仿宋_GB2312"/>
          <w:kern w:val="0"/>
          <w:sz w:val="30"/>
          <w:szCs w:val="30"/>
        </w:rPr>
        <w:t>交易系统）</w:t>
      </w:r>
      <w:r>
        <w:rPr>
          <w:rFonts w:ascii="仿宋_GB2312" w:eastAsia="仿宋_GB2312"/>
          <w:sz w:val="30"/>
          <w:szCs w:val="30"/>
        </w:rPr>
        <w:t>与</w:t>
      </w:r>
      <w:r>
        <w:rPr>
          <w:rFonts w:hint="eastAsia" w:ascii="仿宋_GB2312" w:eastAsia="仿宋_GB2312"/>
          <w:sz w:val="30"/>
          <w:szCs w:val="30"/>
        </w:rPr>
        <w:t>固定收益证券综合电子平台（以下简称固定收益平台或固收平台）等</w:t>
      </w:r>
      <w:r>
        <w:rPr>
          <w:rFonts w:ascii="仿宋_GB2312" w:eastAsia="仿宋_GB2312"/>
          <w:sz w:val="30"/>
          <w:szCs w:val="30"/>
        </w:rPr>
        <w:t>本所</w:t>
      </w:r>
      <w:r>
        <w:rPr>
          <w:rFonts w:hint="eastAsia" w:ascii="仿宋_GB2312" w:eastAsia="仿宋_GB2312"/>
          <w:sz w:val="30"/>
          <w:szCs w:val="30"/>
        </w:rPr>
        <w:t>核心</w:t>
      </w:r>
      <w:r>
        <w:rPr>
          <w:rFonts w:ascii="仿宋_GB2312" w:eastAsia="仿宋_GB2312"/>
          <w:sz w:val="30"/>
          <w:szCs w:val="30"/>
        </w:rPr>
        <w:t>债券交易</w:t>
      </w:r>
      <w:r>
        <w:rPr>
          <w:rFonts w:hint="eastAsia" w:ascii="仿宋_GB2312" w:eastAsia="仿宋_GB2312"/>
          <w:sz w:val="30"/>
          <w:szCs w:val="30"/>
        </w:rPr>
        <w:t>系统</w:t>
      </w:r>
      <w:r>
        <w:rPr>
          <w:rFonts w:ascii="仿宋_GB2312" w:eastAsia="仿宋_GB2312"/>
          <w:sz w:val="30"/>
          <w:szCs w:val="30"/>
        </w:rPr>
        <w:t>上进行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情形除外。</w:t>
      </w:r>
    </w:p>
    <w:p w14:paraId="13756F0E">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本所债券市场的交易主体包括证券公司、保险、银行、财务公司、银行理财、公募基金、基金专户、企业年金、券商资管、信托、保险资管、私募基金、社会保险基金、期货资管、一般法人/组织、QFII、RQFII、个人等，债券投资者群体相对多元化。</w:t>
      </w:r>
      <w:r>
        <w:rPr>
          <w:rFonts w:hint="eastAsia" w:ascii="仿宋_GB2312" w:hAnsi="仿宋" w:eastAsia="仿宋_GB2312"/>
          <w:sz w:val="30"/>
          <w:szCs w:val="30"/>
        </w:rPr>
        <w:t>现有债券交易方式包括匹配成交、点击成交、询价成交、竞买成交与协商成交；结算方式包括多边净额结算或逐笔全额结算等。</w:t>
      </w:r>
    </w:p>
    <w:p w14:paraId="7A12E91A">
      <w:pPr>
        <w:spacing w:line="600" w:lineRule="exact"/>
        <w:ind w:firstLine="600" w:firstLineChars="200"/>
        <w:rPr>
          <w:rFonts w:ascii="仿宋_GB2312" w:eastAsia="仿宋_GB2312"/>
          <w:sz w:val="30"/>
          <w:szCs w:val="30"/>
        </w:rPr>
      </w:pPr>
      <w:r>
        <w:rPr>
          <w:rFonts w:hint="eastAsia" w:ascii="仿宋_GB2312" w:eastAsia="仿宋_GB2312"/>
          <w:sz w:val="30"/>
          <w:szCs w:val="30"/>
        </w:rPr>
        <w:t>除</w:t>
      </w:r>
      <w:r>
        <w:rPr>
          <w:rFonts w:ascii="仿宋_GB2312" w:eastAsia="仿宋_GB2312"/>
          <w:sz w:val="30"/>
          <w:szCs w:val="30"/>
        </w:rPr>
        <w:t>交易业务外，</w:t>
      </w:r>
      <w:r>
        <w:rPr>
          <w:rFonts w:hint="eastAsia" w:ascii="仿宋_GB2312" w:eastAsia="仿宋_GB2312"/>
          <w:sz w:val="30"/>
          <w:szCs w:val="30"/>
        </w:rPr>
        <w:t>本所根据市场发展情况和债券投资者需求提供相关非交易服务，包括债券分期偿还、回售及其转售、转股、换股、转托管、质押券出入库业务等，相关规定详见本指南第</w:t>
      </w:r>
      <w:r>
        <w:rPr>
          <w:rFonts w:ascii="仿宋_GB2312" w:eastAsia="仿宋_GB2312"/>
          <w:sz w:val="30"/>
          <w:szCs w:val="30"/>
        </w:rPr>
        <w:t>9</w:t>
      </w:r>
      <w:r>
        <w:rPr>
          <w:rFonts w:hint="eastAsia" w:ascii="仿宋_GB2312" w:eastAsia="仿宋_GB2312"/>
          <w:sz w:val="30"/>
          <w:szCs w:val="30"/>
        </w:rPr>
        <w:t>章。前述非交易</w:t>
      </w:r>
      <w:r>
        <w:rPr>
          <w:rFonts w:ascii="仿宋_GB2312" w:eastAsia="仿宋_GB2312"/>
          <w:sz w:val="30"/>
          <w:szCs w:val="30"/>
        </w:rPr>
        <w:t>业务主要在本所综合业务平台</w:t>
      </w:r>
      <w:r>
        <w:rPr>
          <w:rFonts w:hint="eastAsia" w:ascii="仿宋_GB2312" w:eastAsia="仿宋_GB2312"/>
          <w:sz w:val="30"/>
          <w:szCs w:val="30"/>
        </w:rPr>
        <w:t>和固收平台</w:t>
      </w:r>
      <w:r>
        <w:rPr>
          <w:rFonts w:ascii="仿宋_GB2312" w:eastAsia="仿宋_GB2312"/>
          <w:sz w:val="30"/>
          <w:szCs w:val="30"/>
        </w:rPr>
        <w:t>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除外。</w:t>
      </w:r>
    </w:p>
    <w:bookmarkEnd w:id="10"/>
    <w:bookmarkEnd w:id="11"/>
    <w:p w14:paraId="7D46B913">
      <w:pPr>
        <w:numPr>
          <w:ilvl w:val="1"/>
          <w:numId w:val="4"/>
        </w:numPr>
        <w:spacing w:line="600" w:lineRule="exact"/>
        <w:ind w:left="0" w:firstLine="0"/>
        <w:outlineLvl w:val="1"/>
        <w:rPr>
          <w:rFonts w:ascii="仿宋_GB2312" w:eastAsia="仿宋_GB2312"/>
          <w:b/>
          <w:sz w:val="30"/>
          <w:szCs w:val="30"/>
        </w:rPr>
      </w:pPr>
      <w:bookmarkStart w:id="12" w:name="_Toc59181031"/>
      <w:bookmarkEnd w:id="12"/>
      <w:bookmarkStart w:id="13" w:name="_Toc59106931"/>
      <w:bookmarkEnd w:id="13"/>
      <w:bookmarkStart w:id="14" w:name="_Toc59106930"/>
      <w:bookmarkEnd w:id="14"/>
      <w:bookmarkStart w:id="15" w:name="_Toc59106932"/>
      <w:bookmarkEnd w:id="15"/>
      <w:bookmarkStart w:id="16" w:name="_Toc60331809"/>
      <w:bookmarkEnd w:id="16"/>
      <w:bookmarkStart w:id="17" w:name="_Toc59181144"/>
      <w:bookmarkEnd w:id="17"/>
      <w:bookmarkStart w:id="18" w:name="_Toc60327057"/>
      <w:bookmarkEnd w:id="18"/>
      <w:bookmarkStart w:id="19" w:name="_Toc59106936"/>
      <w:bookmarkEnd w:id="19"/>
      <w:bookmarkStart w:id="20" w:name="_Toc59181146"/>
      <w:bookmarkEnd w:id="20"/>
      <w:bookmarkStart w:id="21" w:name="_Toc59034051"/>
      <w:bookmarkEnd w:id="21"/>
      <w:bookmarkStart w:id="22" w:name="_Toc59181032"/>
      <w:bookmarkEnd w:id="22"/>
      <w:bookmarkStart w:id="23" w:name="_Toc57908822"/>
      <w:bookmarkEnd w:id="23"/>
      <w:bookmarkStart w:id="24" w:name="_Toc59034530"/>
      <w:bookmarkEnd w:id="24"/>
      <w:bookmarkStart w:id="25" w:name="_Toc60327055"/>
      <w:bookmarkEnd w:id="25"/>
      <w:bookmarkStart w:id="26" w:name="_Toc59034053"/>
      <w:bookmarkEnd w:id="26"/>
      <w:bookmarkStart w:id="27" w:name="_Toc59034525"/>
      <w:bookmarkEnd w:id="27"/>
      <w:bookmarkStart w:id="28" w:name="_Toc59181258"/>
      <w:bookmarkEnd w:id="28"/>
      <w:bookmarkStart w:id="29" w:name="_Toc59106933"/>
      <w:bookmarkEnd w:id="29"/>
      <w:bookmarkStart w:id="30" w:name="_Toc60331811"/>
      <w:bookmarkEnd w:id="30"/>
      <w:bookmarkStart w:id="31" w:name="_Toc60327050"/>
      <w:bookmarkEnd w:id="31"/>
      <w:bookmarkStart w:id="32" w:name="_Toc60331814"/>
      <w:bookmarkEnd w:id="32"/>
      <w:bookmarkStart w:id="33" w:name="_Toc59181145"/>
      <w:bookmarkEnd w:id="33"/>
      <w:bookmarkStart w:id="34" w:name="_Toc59106935"/>
      <w:bookmarkEnd w:id="34"/>
      <w:bookmarkStart w:id="35" w:name="_Toc59034531"/>
      <w:bookmarkEnd w:id="35"/>
      <w:bookmarkStart w:id="36" w:name="_Toc59181035"/>
      <w:bookmarkEnd w:id="36"/>
      <w:bookmarkStart w:id="37" w:name="_Toc59034527"/>
      <w:bookmarkEnd w:id="37"/>
      <w:bookmarkStart w:id="38" w:name="_Toc59181257"/>
      <w:bookmarkEnd w:id="38"/>
      <w:bookmarkStart w:id="39" w:name="_Toc59106934"/>
      <w:bookmarkEnd w:id="39"/>
      <w:bookmarkStart w:id="40" w:name="_Toc59034050"/>
      <w:bookmarkEnd w:id="40"/>
      <w:bookmarkStart w:id="41" w:name="_Toc59181030"/>
      <w:bookmarkEnd w:id="41"/>
      <w:bookmarkStart w:id="42" w:name="_Toc60331812"/>
      <w:bookmarkEnd w:id="42"/>
      <w:bookmarkStart w:id="43" w:name="_Toc60327054"/>
      <w:bookmarkEnd w:id="43"/>
      <w:bookmarkStart w:id="44" w:name="_Toc59034526"/>
      <w:bookmarkEnd w:id="44"/>
      <w:bookmarkStart w:id="45" w:name="_Toc57908819"/>
      <w:bookmarkEnd w:id="45"/>
      <w:bookmarkStart w:id="46" w:name="_Toc57908824"/>
      <w:bookmarkEnd w:id="46"/>
      <w:bookmarkStart w:id="47" w:name="_Toc59181148"/>
      <w:bookmarkEnd w:id="47"/>
      <w:bookmarkStart w:id="48" w:name="_Toc59181036"/>
      <w:bookmarkEnd w:id="48"/>
      <w:bookmarkStart w:id="49" w:name="_Toc59181147"/>
      <w:bookmarkEnd w:id="49"/>
      <w:bookmarkStart w:id="50" w:name="_Toc59034046"/>
      <w:bookmarkEnd w:id="50"/>
      <w:bookmarkStart w:id="51" w:name="_Toc60327056"/>
      <w:bookmarkEnd w:id="51"/>
      <w:bookmarkStart w:id="52" w:name="_Toc60331813"/>
      <w:bookmarkEnd w:id="52"/>
      <w:bookmarkStart w:id="53" w:name="_Toc59181037"/>
      <w:bookmarkEnd w:id="53"/>
      <w:bookmarkStart w:id="54" w:name="_Toc57908820"/>
      <w:bookmarkEnd w:id="54"/>
      <w:bookmarkStart w:id="55" w:name="_Toc59181150"/>
      <w:bookmarkEnd w:id="55"/>
      <w:bookmarkStart w:id="56" w:name="_Toc60331810"/>
      <w:bookmarkEnd w:id="56"/>
      <w:bookmarkStart w:id="57" w:name="_Toc57908821"/>
      <w:bookmarkEnd w:id="57"/>
      <w:bookmarkStart w:id="58" w:name="_Toc59106929"/>
      <w:bookmarkEnd w:id="58"/>
      <w:bookmarkStart w:id="59" w:name="_Toc59034048"/>
      <w:bookmarkEnd w:id="59"/>
      <w:bookmarkStart w:id="60" w:name="_Toc59181034"/>
      <w:bookmarkEnd w:id="60"/>
      <w:bookmarkStart w:id="61" w:name="_Toc59181256"/>
      <w:bookmarkEnd w:id="61"/>
      <w:bookmarkStart w:id="62" w:name="_Toc59181149"/>
      <w:bookmarkEnd w:id="62"/>
      <w:bookmarkStart w:id="63" w:name="_Toc60331807"/>
      <w:bookmarkEnd w:id="63"/>
      <w:bookmarkStart w:id="64" w:name="_Toc59181263"/>
      <w:bookmarkEnd w:id="64"/>
      <w:bookmarkStart w:id="65" w:name="_Toc57908817"/>
      <w:bookmarkEnd w:id="65"/>
      <w:bookmarkStart w:id="66" w:name="_Toc59181260"/>
      <w:bookmarkEnd w:id="66"/>
      <w:bookmarkStart w:id="67" w:name="_Toc59034047"/>
      <w:bookmarkEnd w:id="67"/>
      <w:bookmarkStart w:id="68" w:name="_Toc59181261"/>
      <w:bookmarkEnd w:id="68"/>
      <w:bookmarkStart w:id="69" w:name="_Toc59181033"/>
      <w:bookmarkEnd w:id="69"/>
      <w:bookmarkStart w:id="70" w:name="_Toc59034529"/>
      <w:bookmarkEnd w:id="70"/>
      <w:bookmarkStart w:id="71" w:name="_Toc59034528"/>
      <w:bookmarkEnd w:id="71"/>
      <w:bookmarkStart w:id="72" w:name="_Toc59181151"/>
      <w:bookmarkEnd w:id="72"/>
      <w:bookmarkStart w:id="73" w:name="_Toc57908818"/>
      <w:bookmarkEnd w:id="73"/>
      <w:bookmarkStart w:id="74" w:name="_Toc59034052"/>
      <w:bookmarkEnd w:id="74"/>
      <w:bookmarkStart w:id="75" w:name="_Toc60327053"/>
      <w:bookmarkEnd w:id="75"/>
      <w:bookmarkStart w:id="76" w:name="_Toc60327051"/>
      <w:bookmarkEnd w:id="76"/>
      <w:bookmarkStart w:id="77" w:name="_Toc59034532"/>
      <w:bookmarkEnd w:id="77"/>
      <w:bookmarkStart w:id="78" w:name="_Toc59181262"/>
      <w:bookmarkEnd w:id="78"/>
      <w:bookmarkStart w:id="79" w:name="_Toc59181259"/>
      <w:bookmarkEnd w:id="79"/>
      <w:bookmarkStart w:id="80" w:name="_Toc60327052"/>
      <w:bookmarkEnd w:id="80"/>
      <w:bookmarkStart w:id="81" w:name="_Toc57908823"/>
      <w:bookmarkEnd w:id="81"/>
      <w:bookmarkStart w:id="82" w:name="_Toc59034049"/>
      <w:bookmarkEnd w:id="82"/>
      <w:bookmarkStart w:id="83" w:name="_Toc60331808"/>
      <w:bookmarkEnd w:id="83"/>
      <w:bookmarkStart w:id="84" w:name="_Toc56166253"/>
      <w:bookmarkStart w:id="85" w:name="_Toc56166064"/>
      <w:bookmarkStart w:id="86" w:name="_Toc151136879"/>
      <w:r>
        <w:rPr>
          <w:rFonts w:hint="eastAsia" w:ascii="仿宋_GB2312" w:eastAsia="仿宋_GB2312"/>
          <w:b/>
          <w:sz w:val="30"/>
          <w:szCs w:val="30"/>
        </w:rPr>
        <w:t>债券交易业务</w:t>
      </w:r>
      <w:bookmarkEnd w:id="84"/>
      <w:bookmarkEnd w:id="85"/>
      <w:bookmarkEnd w:id="86"/>
    </w:p>
    <w:p w14:paraId="1D2DB06F">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本所债券交易相关业务可分为交易类、融资类和风险管理类三种类型。</w:t>
      </w:r>
    </w:p>
    <w:p w14:paraId="63BEA097">
      <w:pPr>
        <w:numPr>
          <w:ilvl w:val="2"/>
          <w:numId w:val="4"/>
        </w:numPr>
        <w:spacing w:line="600" w:lineRule="exact"/>
        <w:ind w:left="0" w:firstLine="0"/>
        <w:outlineLvl w:val="2"/>
        <w:rPr>
          <w:rFonts w:ascii="仿宋_GB2312" w:eastAsia="仿宋_GB2312"/>
          <w:b/>
          <w:sz w:val="30"/>
          <w:szCs w:val="30"/>
        </w:rPr>
      </w:pPr>
      <w:bookmarkStart w:id="87" w:name="_Toc57908826"/>
      <w:r>
        <w:rPr>
          <w:rFonts w:hint="eastAsia" w:ascii="仿宋_GB2312" w:eastAsia="仿宋_GB2312"/>
          <w:b/>
          <w:sz w:val="30"/>
          <w:szCs w:val="30"/>
        </w:rPr>
        <w:t>交易类业务</w:t>
      </w:r>
      <w:bookmarkEnd w:id="87"/>
    </w:p>
    <w:p w14:paraId="6B427AE9">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在本所开展的交易类业务包括债券现券交易和债券预发行交易。</w:t>
      </w:r>
    </w:p>
    <w:p w14:paraId="65E7E76B">
      <w:pPr>
        <w:spacing w:line="600" w:lineRule="exact"/>
        <w:ind w:firstLine="600" w:firstLineChars="200"/>
        <w:rPr>
          <w:rFonts w:ascii="仿宋_GB2312" w:eastAsia="仿宋_GB2312"/>
          <w:sz w:val="30"/>
          <w:szCs w:val="30"/>
        </w:rPr>
      </w:pPr>
      <w:r>
        <w:rPr>
          <w:rFonts w:hint="eastAsia" w:ascii="仿宋_GB2312" w:eastAsia="仿宋_GB2312"/>
          <w:sz w:val="30"/>
          <w:szCs w:val="30"/>
        </w:rPr>
        <w:t>现券交易是指交易双方以一定的价格转让债券现券产品所有权的交易行为。现券交易的交易品种包括国债、地方政府债券、政策性银行金融债券（以下简称政策性金融债）、政府支持机构债券（以下简称政府支持债券）、公司债券（如无特别说明，本指南中公司债券含企业债</w:t>
      </w:r>
      <w:r>
        <w:rPr>
          <w:rFonts w:ascii="仿宋_GB2312" w:eastAsia="仿宋_GB2312"/>
          <w:sz w:val="30"/>
          <w:szCs w:val="30"/>
        </w:rPr>
        <w:t>券、</w:t>
      </w:r>
      <w:r>
        <w:rPr>
          <w:rFonts w:hint="eastAsia" w:ascii="仿宋_GB2312" w:eastAsia="仿宋_GB2312"/>
          <w:sz w:val="30"/>
          <w:szCs w:val="30"/>
        </w:rPr>
        <w:t>可交换公司债券、非上市公司非公开发行的可转换公司债券）、资产支持证券等。针对现券交易的相关规定详见本指南第6章。</w:t>
      </w: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9C248B7">
      <w:pPr>
        <w:spacing w:line="600" w:lineRule="exact"/>
        <w:ind w:firstLine="600" w:firstLineChars="200"/>
        <w:rPr>
          <w:rFonts w:ascii="仿宋_GB2312" w:eastAsia="仿宋_GB2312"/>
          <w:sz w:val="30"/>
          <w:szCs w:val="30"/>
        </w:rPr>
      </w:pPr>
      <w:r>
        <w:rPr>
          <w:rFonts w:hint="eastAsia" w:ascii="仿宋_GB2312" w:eastAsia="仿宋_GB2312"/>
          <w:sz w:val="30"/>
          <w:szCs w:val="30"/>
        </w:rPr>
        <w:t>债券预发行交易是指在债券发行前特定期间进行交易并在债券发行完成后进行交收的债券交易行为。其中，国债预发行交易，是指在关键期限（1、3、5、7、10年期）的记账式国债招标日前特定期间进行交易，并在国债招标完成后进行交收的债券买卖行为。针对国债预发行交易的相关规定详见本指南第8章。</w:t>
      </w:r>
    </w:p>
    <w:p w14:paraId="6B907C03">
      <w:pPr>
        <w:numPr>
          <w:ilvl w:val="2"/>
          <w:numId w:val="4"/>
        </w:numPr>
        <w:spacing w:line="600" w:lineRule="exact"/>
        <w:ind w:left="0" w:firstLine="0"/>
        <w:outlineLvl w:val="2"/>
        <w:rPr>
          <w:rFonts w:ascii="仿宋_GB2312" w:eastAsia="仿宋_GB2312"/>
          <w:b/>
          <w:sz w:val="30"/>
          <w:szCs w:val="30"/>
        </w:rPr>
      </w:pPr>
      <w:bookmarkStart w:id="88" w:name="_Toc57908827"/>
      <w:r>
        <w:rPr>
          <w:rFonts w:hint="eastAsia" w:ascii="仿宋_GB2312" w:eastAsia="仿宋_GB2312"/>
          <w:b/>
          <w:sz w:val="30"/>
          <w:szCs w:val="30"/>
        </w:rPr>
        <w:t>融资类业务</w:t>
      </w:r>
      <w:bookmarkEnd w:id="88"/>
    </w:p>
    <w:p w14:paraId="091BCA45">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在本所开展的融资类业务包括通用回购交易、协议回购交易、三方回购交易、债券借贷业务等。</w:t>
      </w:r>
    </w:p>
    <w:p w14:paraId="3D99384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通用回购交易指资金融入方将符合要求的债券申报质押，以相应折算率计算出的质押券价值为融资额度进行质押融资，交易双方约定在回购期满后返还资金同时解除债券质押的交易。通用</w:t>
      </w:r>
      <w:r>
        <w:rPr>
          <w:rFonts w:ascii="仿宋_GB2312" w:eastAsia="仿宋_GB2312"/>
          <w:color w:val="000000"/>
          <w:sz w:val="30"/>
          <w:szCs w:val="30"/>
        </w:rPr>
        <w:t>回购</w:t>
      </w:r>
      <w:r>
        <w:rPr>
          <w:rFonts w:hint="eastAsia" w:ascii="仿宋_GB2312" w:eastAsia="仿宋_GB2312"/>
          <w:color w:val="000000"/>
          <w:sz w:val="30"/>
          <w:szCs w:val="30"/>
        </w:rPr>
        <w:t>由登记结算机构进行质押券集中管理并作为中央对手方组织集中清算交收。通用回购交易相关规定详见本指南第7章。</w:t>
      </w:r>
    </w:p>
    <w:p w14:paraId="2DBD57C5">
      <w:pPr>
        <w:pStyle w:val="90"/>
        <w:spacing w:line="600" w:lineRule="exact"/>
        <w:ind w:firstLineChars="0"/>
        <w:rPr>
          <w:color w:val="000000"/>
          <w:sz w:val="30"/>
          <w:szCs w:val="30"/>
        </w:rPr>
      </w:pPr>
      <w:r>
        <w:rPr>
          <w:rFonts w:hint="eastAsia"/>
          <w:color w:val="000000"/>
          <w:sz w:val="30"/>
          <w:szCs w:val="30"/>
        </w:rPr>
        <w:t>协议回购交易是指回购双方自主协商约定，由资金融入方将债券出质给资金融出方融入资金，并在未来返还资金和支付回购利息，同时解除债券质押登记的交易。协议回购交易相关规定详见本指南第7章。</w:t>
      </w:r>
    </w:p>
    <w:p w14:paraId="1F63344F">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交易是指资金融入方将债券出质给资金融出方以融入资金，约定在未来返还资金和支付回购利息，同时解除债券质押，并由本所、证券登记结算机构等根据相关规定提供相关的担保品管理服务的交易。三方回购交易相关规定详见本指南第7章。</w:t>
      </w:r>
    </w:p>
    <w:p w14:paraId="49378639">
      <w:pPr>
        <w:pStyle w:val="90"/>
        <w:spacing w:line="600" w:lineRule="exact"/>
        <w:ind w:firstLine="600"/>
        <w:rPr>
          <w:color w:val="000000"/>
          <w:sz w:val="30"/>
          <w:szCs w:val="30"/>
        </w:rPr>
      </w:pPr>
      <w:r>
        <w:rPr>
          <w:rFonts w:hint="eastAsia"/>
          <w:color w:val="000000"/>
          <w:sz w:val="30"/>
          <w:szCs w:val="30"/>
        </w:rPr>
        <w:t>债券借贷业务</w:t>
      </w:r>
      <w:r>
        <w:rPr>
          <w:rFonts w:hint="eastAsia"/>
          <w:color w:val="000000"/>
          <w:sz w:val="30"/>
          <w:szCs w:val="30"/>
          <w:shd w:val="clear" w:color="auto" w:fill="FFFFFF"/>
        </w:rPr>
        <w:t>是指债券借贷双方自主协商约定，由债券借入方以一定数量的债券设定质押，从债券借出方借入标的债券，同时约定在未来特定日期归还标的债券和支付债券借贷费用，并解除出质债券质押登记的行为。</w:t>
      </w:r>
      <w:r>
        <w:rPr>
          <w:rFonts w:hint="eastAsia"/>
          <w:color w:val="000000"/>
          <w:sz w:val="30"/>
          <w:szCs w:val="30"/>
        </w:rPr>
        <w:t>债券借贷业务相关规定详见本指南第8章。</w:t>
      </w:r>
    </w:p>
    <w:p w14:paraId="508545C0">
      <w:pPr>
        <w:numPr>
          <w:ilvl w:val="2"/>
          <w:numId w:val="4"/>
        </w:numPr>
        <w:spacing w:line="600" w:lineRule="exact"/>
        <w:ind w:left="0" w:firstLine="0"/>
        <w:outlineLvl w:val="2"/>
        <w:rPr>
          <w:rFonts w:ascii="仿宋_GB2312" w:eastAsia="仿宋_GB2312"/>
          <w:b/>
          <w:sz w:val="30"/>
          <w:szCs w:val="30"/>
        </w:rPr>
      </w:pPr>
      <w:bookmarkStart w:id="89" w:name="_Toc57908828"/>
      <w:r>
        <w:rPr>
          <w:rFonts w:hint="eastAsia" w:ascii="仿宋_GB2312" w:eastAsia="仿宋_GB2312"/>
          <w:b/>
          <w:sz w:val="30"/>
          <w:szCs w:val="30"/>
        </w:rPr>
        <w:t>风险管理类业务</w:t>
      </w:r>
      <w:bookmarkEnd w:id="89"/>
    </w:p>
    <w:p w14:paraId="2D1A9899">
      <w:pPr>
        <w:pStyle w:val="90"/>
        <w:spacing w:line="600" w:lineRule="exact"/>
        <w:ind w:firstLine="600"/>
        <w:rPr>
          <w:color w:val="000000"/>
          <w:sz w:val="30"/>
        </w:rPr>
      </w:pPr>
      <w:r>
        <w:rPr>
          <w:rFonts w:hint="eastAsia"/>
          <w:color w:val="000000"/>
          <w:sz w:val="30"/>
        </w:rPr>
        <w:t>在本所开展的风险管理类业务包括信用保护工具等。信用保护工具是指信用保护卖方和信用保护买方达成的，约定在未来一定期限内，信用保护买方按照约定的标准和方式向信用保护卖方支付信用保护费用，由卖方就约定的一个或多个参考实体或其符合特定债务种类和债务特征的一个或多个、一类或多类债务向买方提供信用风险保护的金融工具。信用保护工具</w:t>
      </w:r>
      <w:r>
        <w:rPr>
          <w:rFonts w:hint="eastAsia"/>
          <w:color w:val="000000"/>
          <w:sz w:val="30"/>
          <w:szCs w:val="30"/>
        </w:rPr>
        <w:t>相关规定详见本指南第8章。</w:t>
      </w:r>
    </w:p>
    <w:p w14:paraId="46593139">
      <w:pPr>
        <w:numPr>
          <w:ilvl w:val="1"/>
          <w:numId w:val="4"/>
        </w:numPr>
        <w:spacing w:line="600" w:lineRule="exact"/>
        <w:ind w:left="0" w:firstLine="0"/>
        <w:outlineLvl w:val="1"/>
        <w:rPr>
          <w:rFonts w:ascii="仿宋_GB2312" w:eastAsia="仿宋_GB2312"/>
          <w:b/>
          <w:sz w:val="30"/>
          <w:szCs w:val="30"/>
        </w:rPr>
      </w:pPr>
      <w:bookmarkStart w:id="90" w:name="_Toc151136880"/>
      <w:r>
        <w:rPr>
          <w:rFonts w:hint="eastAsia" w:ascii="仿宋_GB2312" w:eastAsia="仿宋_GB2312"/>
          <w:b/>
          <w:sz w:val="30"/>
          <w:szCs w:val="30"/>
        </w:rPr>
        <w:t>债券投资者</w:t>
      </w:r>
      <w:bookmarkEnd w:id="90"/>
    </w:p>
    <w:p w14:paraId="44093AF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债券投资者类别</w:t>
      </w:r>
    </w:p>
    <w:p w14:paraId="59210951">
      <w:pPr>
        <w:pStyle w:val="90"/>
        <w:spacing w:line="600" w:lineRule="exact"/>
        <w:ind w:firstLine="600"/>
        <w:rPr>
          <w:rFonts w:hAnsi="宋体" w:cs="宋体"/>
          <w:sz w:val="30"/>
          <w:szCs w:val="30"/>
          <w:lang w:bidi="en-US"/>
        </w:rPr>
      </w:pPr>
      <w:r>
        <w:rPr>
          <w:rFonts w:hint="eastAsia"/>
          <w:sz w:val="30"/>
          <w:szCs w:val="30"/>
        </w:rPr>
        <w:t>债券投资者包括债券交易参与人与其他债券投资者（即经纪客户）两类。债券交易参与人是指直接参与本所债券市场的债券投资者</w:t>
      </w:r>
      <w:r>
        <w:rPr>
          <w:rFonts w:hint="eastAsia" w:hAnsi="Times New Roman"/>
          <w:color w:val="000000"/>
          <w:sz w:val="30"/>
          <w:szCs w:val="30"/>
        </w:rPr>
        <w:t>。</w:t>
      </w:r>
      <w:r>
        <w:rPr>
          <w:rFonts w:hint="eastAsia" w:hAnsi="宋体" w:cs="宋体"/>
          <w:sz w:val="30"/>
          <w:szCs w:val="30"/>
          <w:lang w:bidi="en-US"/>
        </w:rPr>
        <w:t>经纪客户是指通过</w:t>
      </w:r>
      <w:r>
        <w:rPr>
          <w:rFonts w:hint="eastAsia"/>
          <w:sz w:val="30"/>
          <w:szCs w:val="30"/>
        </w:rPr>
        <w:t>委托本所会员的方式参与本所债券市场的债券投资者</w:t>
      </w:r>
      <w:r>
        <w:rPr>
          <w:rFonts w:hint="eastAsia" w:hAnsi="宋体" w:cs="宋体"/>
          <w:sz w:val="30"/>
          <w:szCs w:val="30"/>
          <w:lang w:bidi="en-US"/>
        </w:rPr>
        <w:t>。</w:t>
      </w:r>
    </w:p>
    <w:p w14:paraId="09C59F11">
      <w:pPr>
        <w:pStyle w:val="90"/>
        <w:spacing w:line="600" w:lineRule="exact"/>
        <w:ind w:firstLine="600"/>
        <w:rPr>
          <w:rFonts w:hAnsi="宋体" w:cs="宋体"/>
          <w:sz w:val="30"/>
          <w:szCs w:val="30"/>
          <w:lang w:bidi="en-US"/>
        </w:rPr>
      </w:pPr>
      <w:r>
        <w:rPr>
          <w:rFonts w:hint="eastAsia" w:hAnsi="宋体" w:cs="宋体"/>
          <w:sz w:val="30"/>
          <w:szCs w:val="30"/>
          <w:lang w:bidi="en-US"/>
        </w:rPr>
        <w:t>债券交易参与人相关规定详见本指南第2章。经纪客户相关规定详见本指南第3章。</w:t>
      </w:r>
    </w:p>
    <w:p w14:paraId="26C13A56">
      <w:pPr>
        <w:numPr>
          <w:ilvl w:val="2"/>
          <w:numId w:val="4"/>
        </w:numPr>
        <w:spacing w:line="600" w:lineRule="exact"/>
        <w:ind w:left="0" w:firstLine="0"/>
        <w:outlineLvl w:val="2"/>
        <w:rPr>
          <w:rFonts w:ascii="仿宋_GB2312" w:eastAsia="仿宋_GB2312"/>
          <w:b/>
          <w:sz w:val="30"/>
          <w:szCs w:val="30"/>
        </w:rPr>
      </w:pPr>
      <w:bookmarkStart w:id="91" w:name="_Toc57908839"/>
      <w:bookmarkEnd w:id="91"/>
      <w:bookmarkStart w:id="92" w:name="_Toc57908845"/>
      <w:bookmarkEnd w:id="92"/>
      <w:bookmarkStart w:id="93" w:name="_Toc57908843"/>
      <w:bookmarkEnd w:id="93"/>
      <w:bookmarkStart w:id="94" w:name="_Toc57908836"/>
      <w:bookmarkEnd w:id="94"/>
      <w:bookmarkStart w:id="95" w:name="_Toc57908841"/>
      <w:bookmarkEnd w:id="95"/>
      <w:bookmarkStart w:id="96" w:name="_Toc57908847"/>
      <w:bookmarkEnd w:id="96"/>
      <w:bookmarkStart w:id="97" w:name="_Toc57908846"/>
      <w:bookmarkEnd w:id="97"/>
      <w:bookmarkStart w:id="98" w:name="_Toc57908850"/>
      <w:bookmarkEnd w:id="98"/>
      <w:bookmarkStart w:id="99" w:name="_Toc57908833"/>
      <w:bookmarkEnd w:id="99"/>
      <w:bookmarkStart w:id="100" w:name="_Toc57908840"/>
      <w:bookmarkEnd w:id="100"/>
      <w:bookmarkStart w:id="101" w:name="_Toc57908838"/>
      <w:bookmarkEnd w:id="101"/>
      <w:bookmarkStart w:id="102" w:name="_Toc57908834"/>
      <w:bookmarkEnd w:id="102"/>
      <w:bookmarkStart w:id="103" w:name="_Toc57908837"/>
      <w:bookmarkEnd w:id="103"/>
      <w:bookmarkStart w:id="104" w:name="_Toc57908835"/>
      <w:bookmarkEnd w:id="104"/>
      <w:bookmarkStart w:id="105" w:name="_Toc57908848"/>
      <w:bookmarkEnd w:id="105"/>
      <w:bookmarkStart w:id="106" w:name="_Toc57908844"/>
      <w:bookmarkEnd w:id="106"/>
      <w:bookmarkStart w:id="107" w:name="_Toc57908842"/>
      <w:bookmarkEnd w:id="107"/>
      <w:bookmarkStart w:id="108" w:name="_Toc57908849"/>
      <w:bookmarkEnd w:id="108"/>
      <w:bookmarkStart w:id="109" w:name="_Toc57908832"/>
      <w:bookmarkEnd w:id="109"/>
      <w:r>
        <w:rPr>
          <w:rFonts w:hint="eastAsia" w:ascii="仿宋_GB2312" w:eastAsia="仿宋_GB2312"/>
          <w:b/>
          <w:sz w:val="30"/>
          <w:szCs w:val="30"/>
        </w:rPr>
        <w:t>投资者适当性</w:t>
      </w:r>
    </w:p>
    <w:p w14:paraId="0F461B1E">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本所债券市场实行投资者适当性管理制度。投资者适当性相关规定和具体要求，详见本指南第3章。</w:t>
      </w:r>
    </w:p>
    <w:p w14:paraId="6271D58A">
      <w:pPr>
        <w:numPr>
          <w:ilvl w:val="1"/>
          <w:numId w:val="4"/>
        </w:numPr>
        <w:spacing w:line="600" w:lineRule="exact"/>
        <w:ind w:left="0" w:firstLine="0"/>
        <w:outlineLvl w:val="1"/>
        <w:rPr>
          <w:rFonts w:ascii="仿宋_GB2312" w:eastAsia="仿宋_GB2312"/>
          <w:b/>
          <w:sz w:val="30"/>
          <w:szCs w:val="30"/>
        </w:rPr>
      </w:pPr>
      <w:bookmarkStart w:id="110" w:name="_Toc60327066"/>
      <w:bookmarkEnd w:id="110"/>
      <w:bookmarkStart w:id="111" w:name="_Toc59106943"/>
      <w:bookmarkEnd w:id="111"/>
      <w:bookmarkStart w:id="112" w:name="_Toc59181267"/>
      <w:bookmarkEnd w:id="112"/>
      <w:bookmarkStart w:id="113" w:name="_Toc59181272"/>
      <w:bookmarkEnd w:id="113"/>
      <w:bookmarkStart w:id="114" w:name="_Toc60331821"/>
      <w:bookmarkEnd w:id="114"/>
      <w:bookmarkStart w:id="115" w:name="_Toc60331823"/>
      <w:bookmarkEnd w:id="115"/>
      <w:bookmarkStart w:id="116" w:name="_Toc60327064"/>
      <w:bookmarkEnd w:id="116"/>
      <w:bookmarkStart w:id="117" w:name="_Toc60327060"/>
      <w:bookmarkEnd w:id="117"/>
      <w:bookmarkStart w:id="118" w:name="_Toc59181043"/>
      <w:bookmarkEnd w:id="118"/>
      <w:bookmarkStart w:id="119" w:name="_Toc60327061"/>
      <w:bookmarkEnd w:id="119"/>
      <w:bookmarkStart w:id="120" w:name="_Toc60331817"/>
      <w:bookmarkEnd w:id="120"/>
      <w:bookmarkStart w:id="121" w:name="_Toc59034541"/>
      <w:bookmarkEnd w:id="121"/>
      <w:bookmarkStart w:id="122" w:name="_Toc59034061"/>
      <w:bookmarkEnd w:id="122"/>
      <w:bookmarkStart w:id="123" w:name="_Toc59181268"/>
      <w:bookmarkEnd w:id="123"/>
      <w:bookmarkStart w:id="124" w:name="_Toc59034535"/>
      <w:bookmarkEnd w:id="124"/>
      <w:bookmarkStart w:id="125" w:name="_Toc59106945"/>
      <w:bookmarkEnd w:id="125"/>
      <w:bookmarkStart w:id="126" w:name="_Toc59181158"/>
      <w:bookmarkEnd w:id="126"/>
      <w:bookmarkStart w:id="127" w:name="_Toc59106941"/>
      <w:bookmarkEnd w:id="127"/>
      <w:bookmarkStart w:id="128" w:name="_Toc59181269"/>
      <w:bookmarkEnd w:id="128"/>
      <w:bookmarkStart w:id="129" w:name="_Toc59034536"/>
      <w:bookmarkEnd w:id="129"/>
      <w:bookmarkStart w:id="130" w:name="_Toc59181044"/>
      <w:bookmarkEnd w:id="130"/>
      <w:bookmarkStart w:id="131" w:name="_Toc59034058"/>
      <w:bookmarkEnd w:id="131"/>
      <w:bookmarkStart w:id="132" w:name="_Toc60331822"/>
      <w:bookmarkEnd w:id="132"/>
      <w:bookmarkStart w:id="133" w:name="_Toc59181155"/>
      <w:bookmarkEnd w:id="133"/>
      <w:bookmarkStart w:id="134" w:name="_Toc59034538"/>
      <w:bookmarkEnd w:id="134"/>
      <w:bookmarkStart w:id="135" w:name="_Toc59034060"/>
      <w:bookmarkEnd w:id="135"/>
      <w:bookmarkStart w:id="136" w:name="_Toc60331820"/>
      <w:bookmarkEnd w:id="136"/>
      <w:bookmarkStart w:id="137" w:name="_Toc59181156"/>
      <w:bookmarkEnd w:id="137"/>
      <w:bookmarkStart w:id="138" w:name="_Toc59106940"/>
      <w:bookmarkEnd w:id="138"/>
      <w:bookmarkStart w:id="139" w:name="_Toc59181041"/>
      <w:bookmarkEnd w:id="139"/>
      <w:bookmarkStart w:id="140" w:name="_Toc59181040"/>
      <w:bookmarkEnd w:id="140"/>
      <w:bookmarkStart w:id="141" w:name="_Toc59034059"/>
      <w:bookmarkEnd w:id="141"/>
      <w:bookmarkStart w:id="142" w:name="_Toc59181159"/>
      <w:bookmarkEnd w:id="142"/>
      <w:bookmarkStart w:id="143" w:name="_Toc60327065"/>
      <w:bookmarkEnd w:id="143"/>
      <w:bookmarkStart w:id="144" w:name="_Toc59181271"/>
      <w:bookmarkEnd w:id="144"/>
      <w:bookmarkStart w:id="145" w:name="_Toc59181157"/>
      <w:bookmarkEnd w:id="145"/>
      <w:bookmarkStart w:id="146" w:name="_Toc59181154"/>
      <w:bookmarkEnd w:id="146"/>
      <w:bookmarkStart w:id="147" w:name="_Toc59181046"/>
      <w:bookmarkEnd w:id="147"/>
      <w:bookmarkStart w:id="148" w:name="_Toc59181045"/>
      <w:bookmarkEnd w:id="148"/>
      <w:bookmarkStart w:id="149" w:name="_Toc59181270"/>
      <w:bookmarkEnd w:id="149"/>
      <w:bookmarkStart w:id="150" w:name="_Toc59181160"/>
      <w:bookmarkEnd w:id="150"/>
      <w:bookmarkStart w:id="151" w:name="_Toc59034062"/>
      <w:bookmarkEnd w:id="151"/>
      <w:bookmarkStart w:id="152" w:name="_Toc60331818"/>
      <w:bookmarkEnd w:id="152"/>
      <w:bookmarkStart w:id="153" w:name="_Toc59034539"/>
      <w:bookmarkEnd w:id="153"/>
      <w:bookmarkStart w:id="154" w:name="_Toc59106944"/>
      <w:bookmarkEnd w:id="154"/>
      <w:bookmarkStart w:id="155" w:name="_Toc59034540"/>
      <w:bookmarkEnd w:id="155"/>
      <w:bookmarkStart w:id="156" w:name="_Toc59181042"/>
      <w:bookmarkEnd w:id="156"/>
      <w:bookmarkStart w:id="157" w:name="_Toc59106939"/>
      <w:bookmarkEnd w:id="157"/>
      <w:bookmarkStart w:id="158" w:name="_Toc59106942"/>
      <w:bookmarkEnd w:id="158"/>
      <w:bookmarkStart w:id="159" w:name="_Toc59034056"/>
      <w:bookmarkEnd w:id="159"/>
      <w:bookmarkStart w:id="160" w:name="_Toc60327063"/>
      <w:bookmarkEnd w:id="160"/>
      <w:bookmarkStart w:id="161" w:name="_Toc60331819"/>
      <w:bookmarkEnd w:id="161"/>
      <w:bookmarkStart w:id="162" w:name="_Toc59034537"/>
      <w:bookmarkEnd w:id="162"/>
      <w:bookmarkStart w:id="163" w:name="_Toc59034057"/>
      <w:bookmarkEnd w:id="163"/>
      <w:bookmarkStart w:id="164" w:name="_Toc60327062"/>
      <w:bookmarkEnd w:id="164"/>
      <w:bookmarkStart w:id="165" w:name="_Toc59181266"/>
      <w:bookmarkEnd w:id="165"/>
      <w:bookmarkStart w:id="166" w:name="_Toc151136881"/>
      <w:r>
        <w:rPr>
          <w:rFonts w:hint="eastAsia" w:ascii="仿宋_GB2312" w:eastAsia="仿宋_GB2312"/>
          <w:b/>
          <w:sz w:val="30"/>
          <w:szCs w:val="30"/>
        </w:rPr>
        <w:t>参与方式</w:t>
      </w:r>
      <w:bookmarkEnd w:id="166"/>
    </w:p>
    <w:p w14:paraId="5F1421E3">
      <w:pPr>
        <w:numPr>
          <w:ilvl w:val="2"/>
          <w:numId w:val="4"/>
        </w:numPr>
        <w:spacing w:line="600" w:lineRule="exact"/>
        <w:ind w:left="0" w:firstLine="0"/>
        <w:outlineLvl w:val="2"/>
        <w:rPr>
          <w:rFonts w:ascii="仿宋_GB2312" w:eastAsia="仿宋_GB2312"/>
          <w:b/>
          <w:sz w:val="30"/>
          <w:szCs w:val="30"/>
        </w:rPr>
      </w:pPr>
      <w:bookmarkStart w:id="167" w:name="_Toc57908853"/>
      <w:r>
        <w:rPr>
          <w:rFonts w:hint="eastAsia" w:ascii="仿宋_GB2312" w:eastAsia="仿宋_GB2312"/>
          <w:b/>
          <w:sz w:val="30"/>
          <w:szCs w:val="30"/>
        </w:rPr>
        <w:t>交易参与</w:t>
      </w:r>
      <w:bookmarkEnd w:id="167"/>
    </w:p>
    <w:p w14:paraId="4782D45A">
      <w:pPr>
        <w:spacing w:line="600" w:lineRule="exact"/>
        <w:ind w:firstLine="600"/>
        <w:rPr>
          <w:rFonts w:ascii="仿宋_GB2312" w:eastAsia="仿宋_GB2312"/>
          <w:sz w:val="30"/>
          <w:szCs w:val="30"/>
        </w:rPr>
      </w:pPr>
      <w:r>
        <w:rPr>
          <w:rFonts w:hint="eastAsia" w:ascii="仿宋_GB2312" w:eastAsia="仿宋_GB2312"/>
          <w:sz w:val="30"/>
          <w:szCs w:val="30"/>
        </w:rPr>
        <w:t>本所债券市场交易参与方式分为两种，一是直接入场方式，债券投资者以债券交易参与人身份直接进入本所债券市场进行交易；二是间接入场方式，债券投资者作为经纪客户通过委托具有本所会员资格的证券公司接入本所债券市场进行交易。</w:t>
      </w:r>
    </w:p>
    <w:p w14:paraId="10559052">
      <w:pPr>
        <w:spacing w:line="600" w:lineRule="exact"/>
        <w:ind w:firstLine="600"/>
        <w:rPr>
          <w:rFonts w:ascii="仿宋_GB2312" w:eastAsia="仿宋_GB2312"/>
          <w:sz w:val="30"/>
          <w:szCs w:val="30"/>
        </w:rPr>
      </w:pPr>
      <w:r>
        <w:rPr>
          <w:rFonts w:hint="eastAsia" w:ascii="仿宋_GB2312" w:eastAsia="仿宋_GB2312"/>
          <w:sz w:val="30"/>
          <w:szCs w:val="30"/>
        </w:rPr>
        <w:t>债券交易参与人申请条件及参与流程，详见本指南第2章相关规定。</w:t>
      </w:r>
    </w:p>
    <w:p w14:paraId="1B4BA56E">
      <w:pPr>
        <w:spacing w:line="600" w:lineRule="exact"/>
        <w:ind w:firstLine="600"/>
        <w:rPr>
          <w:rFonts w:ascii="仿宋_GB2312" w:hAnsi="宋体" w:eastAsia="仿宋_GB2312" w:cs="宋体"/>
          <w:kern w:val="0"/>
          <w:sz w:val="30"/>
          <w:szCs w:val="30"/>
          <w:lang w:bidi="en-US"/>
        </w:rPr>
      </w:pPr>
      <w:r>
        <w:rPr>
          <w:rFonts w:hint="eastAsia" w:ascii="仿宋_GB2312" w:hAnsi="宋体" w:eastAsia="仿宋_GB2312" w:cs="宋体"/>
          <w:kern w:val="0"/>
          <w:sz w:val="30"/>
          <w:szCs w:val="30"/>
          <w:lang w:bidi="en-US"/>
        </w:rPr>
        <w:t>经纪客户参与本所债券交易的要求与流程，详见本指南第3章</w:t>
      </w:r>
      <w:r>
        <w:rPr>
          <w:rFonts w:hint="eastAsia" w:ascii="仿宋_GB2312" w:eastAsia="仿宋_GB2312"/>
          <w:sz w:val="30"/>
          <w:szCs w:val="30"/>
        </w:rPr>
        <w:t>相关规定</w:t>
      </w:r>
      <w:r>
        <w:rPr>
          <w:rFonts w:hint="eastAsia" w:ascii="仿宋_GB2312" w:hAnsi="宋体" w:eastAsia="仿宋_GB2312" w:cs="宋体"/>
          <w:kern w:val="0"/>
          <w:sz w:val="30"/>
          <w:szCs w:val="30"/>
          <w:lang w:bidi="en-US"/>
        </w:rPr>
        <w:t>。</w:t>
      </w:r>
    </w:p>
    <w:p w14:paraId="0CCC047A">
      <w:pPr>
        <w:numPr>
          <w:ilvl w:val="2"/>
          <w:numId w:val="4"/>
        </w:numPr>
        <w:spacing w:line="600" w:lineRule="exact"/>
        <w:ind w:left="0" w:firstLine="0"/>
        <w:outlineLvl w:val="2"/>
        <w:rPr>
          <w:rFonts w:ascii="仿宋_GB2312" w:eastAsia="仿宋_GB2312"/>
          <w:b/>
          <w:sz w:val="30"/>
          <w:szCs w:val="30"/>
        </w:rPr>
      </w:pPr>
      <w:bookmarkStart w:id="168" w:name="_Toc57908854"/>
      <w:r>
        <w:rPr>
          <w:rFonts w:ascii="仿宋_GB2312" w:eastAsia="仿宋_GB2312"/>
          <w:b/>
          <w:sz w:val="30"/>
          <w:szCs w:val="30"/>
        </w:rPr>
        <w:t>结算</w:t>
      </w:r>
      <w:r>
        <w:rPr>
          <w:rFonts w:hint="eastAsia" w:ascii="仿宋_GB2312" w:eastAsia="仿宋_GB2312"/>
          <w:b/>
          <w:sz w:val="30"/>
          <w:szCs w:val="30"/>
        </w:rPr>
        <w:t>参与</w:t>
      </w:r>
      <w:bookmarkEnd w:id="168"/>
    </w:p>
    <w:p w14:paraId="141FDFF9">
      <w:pPr>
        <w:spacing w:line="600" w:lineRule="exact"/>
        <w:ind w:firstLine="600"/>
        <w:rPr>
          <w:rFonts w:ascii="仿宋_GB2312" w:eastAsia="仿宋_GB2312"/>
          <w:sz w:val="30"/>
          <w:szCs w:val="30"/>
        </w:rPr>
      </w:pPr>
      <w:r>
        <w:rPr>
          <w:rFonts w:hint="eastAsia" w:ascii="仿宋_GB2312" w:eastAsia="仿宋_GB2312"/>
          <w:sz w:val="30"/>
          <w:szCs w:val="30"/>
        </w:rPr>
        <w:t>债券交易的结算，由登记结算机构按照相关规则办理。债券</w:t>
      </w:r>
      <w:r>
        <w:rPr>
          <w:rFonts w:ascii="仿宋_GB2312" w:eastAsia="仿宋_GB2312"/>
          <w:sz w:val="30"/>
          <w:szCs w:val="30"/>
        </w:rPr>
        <w:t>投资者</w:t>
      </w:r>
      <w:r>
        <w:rPr>
          <w:rFonts w:hint="eastAsia" w:ascii="仿宋_GB2312" w:eastAsia="仿宋_GB2312"/>
          <w:sz w:val="30"/>
          <w:szCs w:val="30"/>
        </w:rPr>
        <w:t>可通过直接结算、托管人结算和券商结算三种方式</w:t>
      </w:r>
      <w:r>
        <w:rPr>
          <w:rFonts w:ascii="仿宋_GB2312" w:eastAsia="仿宋_GB2312"/>
          <w:sz w:val="30"/>
          <w:szCs w:val="30"/>
        </w:rPr>
        <w:t>参与</w:t>
      </w:r>
      <w:r>
        <w:rPr>
          <w:rFonts w:hint="eastAsia" w:ascii="仿宋_GB2312" w:eastAsia="仿宋_GB2312"/>
          <w:sz w:val="30"/>
          <w:szCs w:val="30"/>
        </w:rPr>
        <w:t>结算。</w:t>
      </w:r>
    </w:p>
    <w:p w14:paraId="7187DA82">
      <w:pPr>
        <w:spacing w:line="600" w:lineRule="exact"/>
        <w:ind w:firstLine="600"/>
        <w:rPr>
          <w:rFonts w:ascii="仿宋_GB2312" w:eastAsia="仿宋_GB2312"/>
          <w:sz w:val="30"/>
          <w:szCs w:val="30"/>
        </w:rPr>
      </w:pPr>
      <w:r>
        <w:rPr>
          <w:rFonts w:hint="eastAsia" w:ascii="仿宋_GB2312" w:eastAsia="仿宋_GB2312"/>
          <w:sz w:val="30"/>
          <w:szCs w:val="30"/>
        </w:rPr>
        <w:t>直接结算是指债券投资者与登记结算机构进行清算交收的方式，主要是具备结算参与人资格的债券投资者进行的自营交易的结算。</w:t>
      </w:r>
    </w:p>
    <w:p w14:paraId="7714688C">
      <w:pPr>
        <w:spacing w:line="600" w:lineRule="exact"/>
        <w:ind w:firstLine="600"/>
        <w:rPr>
          <w:rFonts w:ascii="仿宋_GB2312" w:eastAsia="仿宋_GB2312"/>
          <w:sz w:val="30"/>
          <w:szCs w:val="30"/>
        </w:rPr>
      </w:pPr>
      <w:r>
        <w:rPr>
          <w:rFonts w:hint="eastAsia" w:ascii="仿宋_GB2312" w:eastAsia="仿宋_GB2312"/>
          <w:sz w:val="30"/>
          <w:szCs w:val="30"/>
        </w:rPr>
        <w:t>托管人结算是指基金、部分券商资管产品、保险资金、保险产品等在交易所市场达成交易后，由产品托管人与登记结算机构进行清算交收。</w:t>
      </w:r>
    </w:p>
    <w:p w14:paraId="7FDED2C7">
      <w:pPr>
        <w:spacing w:line="600" w:lineRule="exact"/>
        <w:ind w:firstLine="600"/>
        <w:rPr>
          <w:rFonts w:ascii="仿宋_GB2312" w:eastAsia="仿宋_GB2312"/>
          <w:sz w:val="30"/>
          <w:szCs w:val="30"/>
        </w:rPr>
      </w:pPr>
      <w:r>
        <w:rPr>
          <w:rFonts w:hint="eastAsia" w:ascii="仿宋_GB2312" w:eastAsia="仿宋_GB2312"/>
          <w:sz w:val="30"/>
          <w:szCs w:val="30"/>
        </w:rPr>
        <w:t>券商结算是指经纪业务模式下,债券投资者委托证券公司进行交易，并委托证券公司进行清算交收的方式。</w:t>
      </w:r>
    </w:p>
    <w:p w14:paraId="30C7AB80">
      <w:pPr>
        <w:spacing w:line="600" w:lineRule="exact"/>
        <w:ind w:firstLine="600"/>
        <w:rPr>
          <w:rFonts w:ascii="仿宋_GB2312" w:eastAsia="仿宋_GB2312"/>
          <w:sz w:val="30"/>
          <w:szCs w:val="30"/>
        </w:rPr>
      </w:pPr>
      <w:r>
        <w:rPr>
          <w:rFonts w:hint="eastAsia" w:ascii="仿宋_GB2312" w:eastAsia="仿宋_GB2312"/>
          <w:sz w:val="30"/>
          <w:szCs w:val="30"/>
        </w:rPr>
        <w:t>本指南涉及的</w:t>
      </w:r>
      <w:r>
        <w:rPr>
          <w:rFonts w:ascii="仿宋_GB2312" w:eastAsia="仿宋_GB2312"/>
          <w:sz w:val="30"/>
          <w:szCs w:val="30"/>
        </w:rPr>
        <w:t>结算相关内容，以</w:t>
      </w:r>
      <w:r>
        <w:rPr>
          <w:rFonts w:hint="eastAsia" w:ascii="仿宋_GB2312" w:eastAsia="仿宋_GB2312"/>
          <w:sz w:val="30"/>
          <w:szCs w:val="30"/>
        </w:rPr>
        <w:t>登记结算机构</w:t>
      </w:r>
      <w:r>
        <w:rPr>
          <w:rFonts w:ascii="仿宋_GB2312" w:eastAsia="仿宋_GB2312"/>
          <w:sz w:val="30"/>
          <w:szCs w:val="30"/>
        </w:rPr>
        <w:t>相关规定为准。</w:t>
      </w:r>
    </w:p>
    <w:p w14:paraId="4F58E739">
      <w:pPr>
        <w:numPr>
          <w:ilvl w:val="2"/>
          <w:numId w:val="4"/>
        </w:numPr>
        <w:spacing w:line="600" w:lineRule="exact"/>
        <w:ind w:left="0" w:firstLine="0"/>
        <w:outlineLvl w:val="2"/>
        <w:rPr>
          <w:rFonts w:ascii="仿宋_GB2312" w:eastAsia="仿宋_GB2312"/>
          <w:b/>
          <w:sz w:val="30"/>
          <w:szCs w:val="30"/>
        </w:rPr>
      </w:pPr>
      <w:bookmarkStart w:id="169" w:name="_Toc57908855"/>
      <w:r>
        <w:rPr>
          <w:rFonts w:hint="eastAsia" w:ascii="仿宋_GB2312" w:eastAsia="仿宋_GB2312"/>
          <w:b/>
          <w:sz w:val="30"/>
          <w:szCs w:val="30"/>
        </w:rPr>
        <w:t>各类债券投资者可选用的交易结算参与方式</w:t>
      </w:r>
      <w:bookmarkEnd w:id="169"/>
    </w:p>
    <w:p w14:paraId="4E42B73D">
      <w:pPr>
        <w:spacing w:line="600" w:lineRule="exact"/>
        <w:ind w:firstLine="600"/>
        <w:rPr>
          <w:rFonts w:ascii="仿宋_GB2312" w:eastAsia="仿宋_GB2312"/>
          <w:sz w:val="30"/>
          <w:szCs w:val="30"/>
        </w:rPr>
      </w:pPr>
      <w:r>
        <w:rPr>
          <w:rFonts w:hint="eastAsia" w:ascii="仿宋_GB2312" w:eastAsia="仿宋_GB2312"/>
          <w:sz w:val="30"/>
          <w:szCs w:val="30"/>
        </w:rPr>
        <w:t>总体而言，当前债券投资者可在以下四种交易与结算参与方式中</w:t>
      </w:r>
      <w:r>
        <w:rPr>
          <w:rFonts w:ascii="仿宋_GB2312" w:eastAsia="仿宋_GB2312"/>
          <w:sz w:val="30"/>
          <w:szCs w:val="30"/>
        </w:rPr>
        <w:t>选择</w:t>
      </w:r>
      <w:r>
        <w:rPr>
          <w:rFonts w:hint="eastAsia" w:ascii="仿宋_GB2312" w:eastAsia="仿宋_GB2312"/>
          <w:sz w:val="30"/>
          <w:szCs w:val="30"/>
        </w:rPr>
        <w:t>：直接入场交易、直接结算；直接入场交易、托管人结算；间接入场交易、托管人结算；间接入场交易、券商结算。</w:t>
      </w:r>
    </w:p>
    <w:p w14:paraId="6BE3F331">
      <w:pPr>
        <w:spacing w:line="600" w:lineRule="exact"/>
        <w:ind w:firstLine="600"/>
        <w:rPr>
          <w:rFonts w:ascii="仿宋_GB2312" w:eastAsia="仿宋_GB2312"/>
          <w:sz w:val="30"/>
          <w:szCs w:val="30"/>
        </w:rPr>
      </w:pPr>
      <w:r>
        <w:rPr>
          <w:rFonts w:hint="eastAsia" w:ascii="仿宋_GB2312" w:eastAsia="仿宋_GB2312"/>
          <w:sz w:val="30"/>
          <w:szCs w:val="30"/>
        </w:rPr>
        <w:t>以下为根据不同机构类型建议选用的相关交易结算参与方式</w:t>
      </w:r>
      <w:r>
        <w:rPr>
          <w:rStyle w:val="53"/>
          <w:rFonts w:hint="eastAsia" w:ascii="仿宋_GB2312" w:eastAsia="仿宋_GB2312"/>
          <w:sz w:val="30"/>
          <w:szCs w:val="30"/>
        </w:rPr>
        <w:footnoteReference w:id="0"/>
      </w:r>
      <w:r>
        <w:rPr>
          <w:rFonts w:hint="eastAsia" w:ascii="仿宋_GB2312" w:eastAsia="仿宋_GB2312"/>
          <w:sz w:val="30"/>
          <w:szCs w:val="30"/>
        </w:rPr>
        <w:t>：</w:t>
      </w:r>
    </w:p>
    <w:tbl>
      <w:tblPr>
        <w:tblStyle w:val="43"/>
        <w:tblW w:w="500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584"/>
        <w:gridCol w:w="1617"/>
        <w:gridCol w:w="1424"/>
        <w:gridCol w:w="1501"/>
      </w:tblGrid>
      <w:tr w14:paraId="6E19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restart"/>
            <w:vAlign w:val="center"/>
          </w:tcPr>
          <w:p w14:paraId="4F89586A">
            <w:pPr>
              <w:jc w:val="left"/>
              <w:rPr>
                <w:rFonts w:ascii="仿宋_GB2312" w:hAnsi="微软雅黑" w:eastAsia="仿宋_GB2312"/>
                <w:b/>
                <w:sz w:val="24"/>
                <w:szCs w:val="24"/>
              </w:rPr>
            </w:pPr>
            <w:r>
              <w:rPr>
                <w:rFonts w:hint="eastAsia" w:ascii="仿宋_GB2312" w:hAnsi="微软雅黑" w:eastAsia="仿宋_GB2312"/>
                <w:b/>
                <w:sz w:val="24"/>
                <w:szCs w:val="24"/>
              </w:rPr>
              <w:t>债券投资者类型</w:t>
            </w:r>
          </w:p>
        </w:tc>
        <w:tc>
          <w:tcPr>
            <w:tcW w:w="1877" w:type="pct"/>
            <w:gridSpan w:val="2"/>
          </w:tcPr>
          <w:p w14:paraId="4B7FB58F">
            <w:pPr>
              <w:rPr>
                <w:rFonts w:ascii="仿宋_GB2312" w:hAnsi="微软雅黑" w:eastAsia="仿宋_GB2312"/>
                <w:b/>
                <w:sz w:val="24"/>
                <w:szCs w:val="24"/>
              </w:rPr>
            </w:pPr>
            <w:r>
              <w:rPr>
                <w:rFonts w:hint="eastAsia" w:ascii="仿宋_GB2312" w:hAnsi="微软雅黑" w:eastAsia="仿宋_GB2312"/>
                <w:b/>
                <w:sz w:val="24"/>
                <w:szCs w:val="24"/>
              </w:rPr>
              <w:t>直接入场交易</w:t>
            </w:r>
          </w:p>
        </w:tc>
        <w:tc>
          <w:tcPr>
            <w:tcW w:w="1715" w:type="pct"/>
            <w:gridSpan w:val="2"/>
          </w:tcPr>
          <w:p w14:paraId="5F2E05C8">
            <w:pPr>
              <w:rPr>
                <w:rFonts w:ascii="仿宋_GB2312" w:hAnsi="微软雅黑" w:eastAsia="仿宋_GB2312"/>
                <w:b/>
                <w:sz w:val="24"/>
                <w:szCs w:val="24"/>
              </w:rPr>
            </w:pPr>
            <w:r>
              <w:rPr>
                <w:rFonts w:hint="eastAsia" w:ascii="仿宋_GB2312" w:hAnsi="微软雅黑" w:eastAsia="仿宋_GB2312"/>
                <w:b/>
                <w:sz w:val="24"/>
                <w:szCs w:val="24"/>
              </w:rPr>
              <w:t>间接入场交易</w:t>
            </w:r>
          </w:p>
        </w:tc>
      </w:tr>
      <w:tr w14:paraId="2BA7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continue"/>
          </w:tcPr>
          <w:p w14:paraId="3F793B75">
            <w:pPr>
              <w:ind w:firstLine="482"/>
              <w:jc w:val="left"/>
              <w:rPr>
                <w:rFonts w:ascii="仿宋_GB2312" w:hAnsi="微软雅黑" w:eastAsia="仿宋_GB2312"/>
                <w:b/>
                <w:sz w:val="24"/>
                <w:szCs w:val="24"/>
              </w:rPr>
            </w:pPr>
          </w:p>
        </w:tc>
        <w:tc>
          <w:tcPr>
            <w:tcW w:w="929" w:type="pct"/>
          </w:tcPr>
          <w:p w14:paraId="5912671F">
            <w:pPr>
              <w:rPr>
                <w:rFonts w:ascii="仿宋_GB2312" w:hAnsi="微软雅黑" w:eastAsia="仿宋_GB2312"/>
                <w:b/>
                <w:sz w:val="24"/>
                <w:szCs w:val="24"/>
              </w:rPr>
            </w:pPr>
            <w:r>
              <w:rPr>
                <w:rFonts w:hint="eastAsia" w:ascii="仿宋_GB2312" w:hAnsi="微软雅黑" w:eastAsia="仿宋_GB2312"/>
                <w:b/>
                <w:sz w:val="24"/>
                <w:szCs w:val="24"/>
              </w:rPr>
              <w:t>直接结算</w:t>
            </w:r>
          </w:p>
        </w:tc>
        <w:tc>
          <w:tcPr>
            <w:tcW w:w="948" w:type="pct"/>
          </w:tcPr>
          <w:p w14:paraId="7B55387A">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35" w:type="pct"/>
          </w:tcPr>
          <w:p w14:paraId="2726DD1F">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79" w:type="pct"/>
          </w:tcPr>
          <w:p w14:paraId="42D67422">
            <w:pPr>
              <w:rPr>
                <w:rFonts w:ascii="仿宋_GB2312" w:hAnsi="微软雅黑" w:eastAsia="仿宋_GB2312"/>
                <w:b/>
                <w:sz w:val="24"/>
                <w:szCs w:val="24"/>
              </w:rPr>
            </w:pPr>
            <w:r>
              <w:rPr>
                <w:rFonts w:hint="eastAsia" w:ascii="仿宋_GB2312" w:hAnsi="微软雅黑" w:eastAsia="仿宋_GB2312"/>
                <w:b/>
                <w:sz w:val="24"/>
                <w:szCs w:val="24"/>
              </w:rPr>
              <w:t>券商结算</w:t>
            </w:r>
          </w:p>
        </w:tc>
      </w:tr>
      <w:tr w14:paraId="03CD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C4438C3">
            <w:pPr>
              <w:jc w:val="left"/>
              <w:rPr>
                <w:rFonts w:ascii="仿宋_GB2312" w:hAnsi="微软雅黑" w:eastAsia="仿宋_GB2312"/>
                <w:sz w:val="24"/>
                <w:szCs w:val="24"/>
              </w:rPr>
            </w:pPr>
            <w:r>
              <w:rPr>
                <w:rFonts w:hint="eastAsia" w:ascii="仿宋_GB2312" w:hAnsi="微软雅黑" w:eastAsia="仿宋_GB2312"/>
                <w:sz w:val="24"/>
                <w:szCs w:val="24"/>
              </w:rPr>
              <w:t>证券公司自营</w:t>
            </w:r>
          </w:p>
        </w:tc>
        <w:tc>
          <w:tcPr>
            <w:tcW w:w="929" w:type="pct"/>
          </w:tcPr>
          <w:p w14:paraId="0C3FAF84">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3FF651C4">
            <w:pPr>
              <w:ind w:firstLine="480"/>
              <w:jc w:val="center"/>
              <w:rPr>
                <w:rFonts w:ascii="仿宋_GB2312" w:hAnsi="微软雅黑" w:eastAsia="仿宋_GB2312"/>
                <w:sz w:val="24"/>
                <w:szCs w:val="24"/>
              </w:rPr>
            </w:pPr>
          </w:p>
        </w:tc>
        <w:tc>
          <w:tcPr>
            <w:tcW w:w="835" w:type="pct"/>
          </w:tcPr>
          <w:p w14:paraId="015CD064">
            <w:pPr>
              <w:ind w:firstLine="480"/>
              <w:jc w:val="center"/>
              <w:rPr>
                <w:rFonts w:ascii="仿宋_GB2312" w:hAnsi="微软雅黑" w:eastAsia="仿宋_GB2312"/>
                <w:sz w:val="24"/>
                <w:szCs w:val="24"/>
              </w:rPr>
            </w:pPr>
          </w:p>
        </w:tc>
        <w:tc>
          <w:tcPr>
            <w:tcW w:w="879" w:type="pct"/>
          </w:tcPr>
          <w:p w14:paraId="2D20B825">
            <w:pPr>
              <w:ind w:firstLine="480"/>
              <w:jc w:val="center"/>
              <w:rPr>
                <w:rFonts w:ascii="仿宋_GB2312" w:hAnsi="微软雅黑" w:eastAsia="仿宋_GB2312"/>
                <w:sz w:val="24"/>
                <w:szCs w:val="24"/>
              </w:rPr>
            </w:pPr>
          </w:p>
        </w:tc>
      </w:tr>
      <w:tr w14:paraId="63F2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091D6CB">
            <w:pPr>
              <w:jc w:val="left"/>
              <w:rPr>
                <w:rFonts w:ascii="仿宋_GB2312" w:hAnsi="微软雅黑" w:eastAsia="仿宋_GB2312"/>
                <w:sz w:val="24"/>
                <w:szCs w:val="24"/>
              </w:rPr>
            </w:pPr>
            <w:r>
              <w:rPr>
                <w:rFonts w:hint="eastAsia" w:ascii="仿宋_GB2312" w:hAnsi="微软雅黑" w:eastAsia="仿宋_GB2312"/>
                <w:sz w:val="24"/>
                <w:szCs w:val="24"/>
              </w:rPr>
              <w:t>证券公司资管</w:t>
            </w:r>
          </w:p>
        </w:tc>
        <w:tc>
          <w:tcPr>
            <w:tcW w:w="929" w:type="pct"/>
          </w:tcPr>
          <w:p w14:paraId="477E9AB4">
            <w:pPr>
              <w:ind w:firstLine="480"/>
              <w:rPr>
                <w:rFonts w:ascii="仿宋_GB2312" w:hAnsi="微软雅黑" w:eastAsia="仿宋_GB2312"/>
                <w:sz w:val="24"/>
                <w:szCs w:val="24"/>
              </w:rPr>
            </w:pPr>
          </w:p>
        </w:tc>
        <w:tc>
          <w:tcPr>
            <w:tcW w:w="948" w:type="pct"/>
          </w:tcPr>
          <w:p w14:paraId="5E6D2A3F">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B04CBFF">
            <w:pPr>
              <w:ind w:firstLine="480"/>
              <w:rPr>
                <w:rFonts w:ascii="仿宋_GB2312" w:hAnsi="微软雅黑" w:eastAsia="仿宋_GB2312"/>
                <w:sz w:val="24"/>
                <w:szCs w:val="24"/>
              </w:rPr>
            </w:pPr>
          </w:p>
        </w:tc>
        <w:tc>
          <w:tcPr>
            <w:tcW w:w="879" w:type="pct"/>
          </w:tcPr>
          <w:p w14:paraId="6F653A38">
            <w:pPr>
              <w:ind w:firstLine="480"/>
              <w:rPr>
                <w:rFonts w:ascii="仿宋_GB2312" w:hAnsi="微软雅黑" w:eastAsia="仿宋_GB2312"/>
                <w:sz w:val="24"/>
                <w:szCs w:val="24"/>
              </w:rPr>
            </w:pPr>
          </w:p>
        </w:tc>
      </w:tr>
      <w:tr w14:paraId="168A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9AA2658">
            <w:pPr>
              <w:jc w:val="left"/>
              <w:rPr>
                <w:rFonts w:ascii="仿宋_GB2312" w:hAnsi="微软雅黑" w:eastAsia="仿宋_GB2312"/>
                <w:sz w:val="24"/>
                <w:szCs w:val="24"/>
              </w:rPr>
            </w:pPr>
            <w:r>
              <w:rPr>
                <w:rFonts w:hint="eastAsia" w:ascii="仿宋_GB2312" w:hAnsi="微软雅黑" w:eastAsia="仿宋_GB2312"/>
                <w:sz w:val="24"/>
                <w:szCs w:val="24"/>
              </w:rPr>
              <w:t>证券投资基金</w:t>
            </w:r>
          </w:p>
        </w:tc>
        <w:tc>
          <w:tcPr>
            <w:tcW w:w="929" w:type="pct"/>
          </w:tcPr>
          <w:p w14:paraId="305989BB">
            <w:pPr>
              <w:ind w:firstLine="480"/>
              <w:rPr>
                <w:rFonts w:ascii="仿宋_GB2312" w:hAnsi="微软雅黑" w:eastAsia="仿宋_GB2312"/>
                <w:sz w:val="24"/>
                <w:szCs w:val="24"/>
              </w:rPr>
            </w:pPr>
          </w:p>
        </w:tc>
        <w:tc>
          <w:tcPr>
            <w:tcW w:w="948" w:type="pct"/>
          </w:tcPr>
          <w:p w14:paraId="08BB27F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7F084B6">
            <w:pPr>
              <w:ind w:firstLine="480"/>
              <w:rPr>
                <w:rFonts w:ascii="仿宋_GB2312" w:hAnsi="微软雅黑" w:eastAsia="仿宋_GB2312"/>
                <w:sz w:val="24"/>
                <w:szCs w:val="24"/>
              </w:rPr>
            </w:pPr>
          </w:p>
        </w:tc>
        <w:tc>
          <w:tcPr>
            <w:tcW w:w="879" w:type="pct"/>
          </w:tcPr>
          <w:p w14:paraId="64AF697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6E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067F874">
            <w:pPr>
              <w:jc w:val="left"/>
              <w:rPr>
                <w:rFonts w:ascii="仿宋_GB2312" w:hAnsi="微软雅黑" w:eastAsia="仿宋_GB2312"/>
                <w:sz w:val="24"/>
                <w:szCs w:val="24"/>
              </w:rPr>
            </w:pPr>
            <w:r>
              <w:rPr>
                <w:rFonts w:hint="eastAsia" w:ascii="仿宋_GB2312" w:hAnsi="微软雅黑" w:eastAsia="仿宋_GB2312"/>
                <w:sz w:val="24"/>
                <w:szCs w:val="24"/>
              </w:rPr>
              <w:t>基金公司专户</w:t>
            </w:r>
          </w:p>
        </w:tc>
        <w:tc>
          <w:tcPr>
            <w:tcW w:w="929" w:type="pct"/>
          </w:tcPr>
          <w:p w14:paraId="3A50AEEC">
            <w:pPr>
              <w:ind w:firstLine="480"/>
              <w:rPr>
                <w:rFonts w:ascii="仿宋_GB2312" w:hAnsi="微软雅黑" w:eastAsia="仿宋_GB2312"/>
                <w:sz w:val="24"/>
                <w:szCs w:val="24"/>
              </w:rPr>
            </w:pPr>
          </w:p>
        </w:tc>
        <w:tc>
          <w:tcPr>
            <w:tcW w:w="948" w:type="pct"/>
          </w:tcPr>
          <w:p w14:paraId="64F79A0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BCBCC9C">
            <w:pPr>
              <w:ind w:firstLine="480"/>
              <w:rPr>
                <w:rFonts w:ascii="仿宋_GB2312" w:hAnsi="微软雅黑" w:eastAsia="仿宋_GB2312"/>
                <w:sz w:val="24"/>
                <w:szCs w:val="24"/>
              </w:rPr>
            </w:pPr>
          </w:p>
        </w:tc>
        <w:tc>
          <w:tcPr>
            <w:tcW w:w="879" w:type="pct"/>
          </w:tcPr>
          <w:p w14:paraId="0855042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551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884E091">
            <w:pPr>
              <w:jc w:val="left"/>
              <w:rPr>
                <w:rFonts w:ascii="仿宋_GB2312" w:hAnsi="微软雅黑" w:eastAsia="仿宋_GB2312"/>
                <w:sz w:val="24"/>
                <w:szCs w:val="24"/>
              </w:rPr>
            </w:pPr>
            <w:r>
              <w:rPr>
                <w:rFonts w:hint="eastAsia" w:ascii="仿宋_GB2312" w:hAnsi="微软雅黑" w:eastAsia="仿宋_GB2312"/>
                <w:sz w:val="24"/>
                <w:szCs w:val="24"/>
              </w:rPr>
              <w:t>基金子</w:t>
            </w:r>
            <w:r>
              <w:rPr>
                <w:rFonts w:ascii="仿宋_GB2312" w:hAnsi="微软雅黑" w:eastAsia="仿宋_GB2312"/>
                <w:sz w:val="24"/>
                <w:szCs w:val="24"/>
              </w:rPr>
              <w:t>公司</w:t>
            </w:r>
            <w:r>
              <w:rPr>
                <w:rFonts w:hint="eastAsia" w:ascii="仿宋_GB2312" w:hAnsi="微软雅黑" w:eastAsia="仿宋_GB2312"/>
                <w:sz w:val="24"/>
                <w:szCs w:val="24"/>
              </w:rPr>
              <w:t>专户</w:t>
            </w:r>
          </w:p>
        </w:tc>
        <w:tc>
          <w:tcPr>
            <w:tcW w:w="929" w:type="pct"/>
          </w:tcPr>
          <w:p w14:paraId="5536C6EA">
            <w:pPr>
              <w:ind w:firstLine="480"/>
              <w:rPr>
                <w:rFonts w:ascii="仿宋_GB2312" w:hAnsi="微软雅黑" w:eastAsia="仿宋_GB2312"/>
                <w:sz w:val="24"/>
                <w:szCs w:val="24"/>
              </w:rPr>
            </w:pPr>
          </w:p>
        </w:tc>
        <w:tc>
          <w:tcPr>
            <w:tcW w:w="948" w:type="pct"/>
          </w:tcPr>
          <w:p w14:paraId="039D6B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E0ACD1B">
            <w:pPr>
              <w:ind w:firstLine="480"/>
              <w:rPr>
                <w:rFonts w:ascii="仿宋_GB2312" w:hAnsi="微软雅黑" w:eastAsia="仿宋_GB2312"/>
                <w:sz w:val="24"/>
                <w:szCs w:val="24"/>
              </w:rPr>
            </w:pPr>
          </w:p>
        </w:tc>
        <w:tc>
          <w:tcPr>
            <w:tcW w:w="879" w:type="pct"/>
          </w:tcPr>
          <w:p w14:paraId="2759BFE2">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EF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25A1B08">
            <w:pPr>
              <w:jc w:val="left"/>
              <w:rPr>
                <w:rFonts w:ascii="仿宋_GB2312" w:hAnsi="微软雅黑" w:eastAsia="仿宋_GB2312"/>
                <w:sz w:val="24"/>
                <w:szCs w:val="24"/>
              </w:rPr>
            </w:pPr>
            <w:r>
              <w:rPr>
                <w:rFonts w:hint="eastAsia" w:ascii="仿宋_GB2312" w:hAnsi="微软雅黑" w:eastAsia="仿宋_GB2312"/>
                <w:sz w:val="24"/>
                <w:szCs w:val="24"/>
              </w:rPr>
              <w:t>保险公司及其产品</w:t>
            </w:r>
          </w:p>
        </w:tc>
        <w:tc>
          <w:tcPr>
            <w:tcW w:w="929" w:type="pct"/>
          </w:tcPr>
          <w:p w14:paraId="128142B3">
            <w:pPr>
              <w:ind w:firstLine="480"/>
              <w:rPr>
                <w:rFonts w:ascii="仿宋_GB2312" w:hAnsi="微软雅黑" w:eastAsia="仿宋_GB2312"/>
                <w:sz w:val="24"/>
                <w:szCs w:val="24"/>
              </w:rPr>
            </w:pPr>
          </w:p>
        </w:tc>
        <w:tc>
          <w:tcPr>
            <w:tcW w:w="948" w:type="pct"/>
          </w:tcPr>
          <w:p w14:paraId="7266880E">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0FE83480">
            <w:pPr>
              <w:ind w:firstLine="480"/>
              <w:rPr>
                <w:rFonts w:ascii="仿宋_GB2312" w:hAnsi="微软雅黑" w:eastAsia="仿宋_GB2312"/>
                <w:sz w:val="24"/>
                <w:szCs w:val="24"/>
              </w:rPr>
            </w:pPr>
          </w:p>
        </w:tc>
        <w:tc>
          <w:tcPr>
            <w:tcW w:w="879" w:type="pct"/>
          </w:tcPr>
          <w:p w14:paraId="78F655A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F72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9CC8266">
            <w:pPr>
              <w:jc w:val="left"/>
              <w:rPr>
                <w:rFonts w:ascii="仿宋_GB2312" w:hAnsi="微软雅黑" w:eastAsia="仿宋_GB2312"/>
                <w:sz w:val="24"/>
                <w:szCs w:val="24"/>
              </w:rPr>
            </w:pPr>
            <w:r>
              <w:rPr>
                <w:rFonts w:hint="eastAsia" w:ascii="仿宋_GB2312" w:hAnsi="微软雅黑" w:eastAsia="仿宋_GB2312"/>
                <w:sz w:val="24"/>
                <w:szCs w:val="24"/>
              </w:rPr>
              <w:t>银行自营</w:t>
            </w:r>
          </w:p>
        </w:tc>
        <w:tc>
          <w:tcPr>
            <w:tcW w:w="929" w:type="pct"/>
          </w:tcPr>
          <w:p w14:paraId="0101D9F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614C64F2">
            <w:pPr>
              <w:ind w:firstLine="480"/>
              <w:rPr>
                <w:rFonts w:ascii="仿宋_GB2312" w:hAnsi="微软雅黑" w:eastAsia="仿宋_GB2312"/>
                <w:sz w:val="24"/>
                <w:szCs w:val="24"/>
              </w:rPr>
            </w:pPr>
          </w:p>
        </w:tc>
        <w:tc>
          <w:tcPr>
            <w:tcW w:w="835" w:type="pct"/>
          </w:tcPr>
          <w:p w14:paraId="021A4658">
            <w:pPr>
              <w:ind w:firstLine="480"/>
              <w:rPr>
                <w:rFonts w:ascii="仿宋_GB2312" w:hAnsi="微软雅黑" w:eastAsia="仿宋_GB2312"/>
                <w:sz w:val="24"/>
                <w:szCs w:val="24"/>
              </w:rPr>
            </w:pPr>
          </w:p>
        </w:tc>
        <w:tc>
          <w:tcPr>
            <w:tcW w:w="879" w:type="pct"/>
          </w:tcPr>
          <w:p w14:paraId="178689E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8DA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DCBF2E8">
            <w:pPr>
              <w:jc w:val="left"/>
              <w:rPr>
                <w:rFonts w:ascii="仿宋_GB2312" w:hAnsi="微软雅黑" w:eastAsia="仿宋_GB2312"/>
                <w:sz w:val="24"/>
                <w:szCs w:val="24"/>
              </w:rPr>
            </w:pPr>
            <w:r>
              <w:rPr>
                <w:rFonts w:hint="eastAsia" w:ascii="仿宋_GB2312" w:hAnsi="微软雅黑" w:eastAsia="仿宋_GB2312"/>
                <w:sz w:val="24"/>
                <w:szCs w:val="24"/>
              </w:rPr>
              <w:t>银行理财产品</w:t>
            </w:r>
          </w:p>
        </w:tc>
        <w:tc>
          <w:tcPr>
            <w:tcW w:w="929" w:type="pct"/>
          </w:tcPr>
          <w:p w14:paraId="79FB9D5E">
            <w:pPr>
              <w:ind w:firstLine="480"/>
              <w:rPr>
                <w:rFonts w:ascii="仿宋_GB2312" w:hAnsi="微软雅黑" w:eastAsia="仿宋_GB2312"/>
                <w:sz w:val="24"/>
                <w:szCs w:val="24"/>
              </w:rPr>
            </w:pPr>
          </w:p>
        </w:tc>
        <w:tc>
          <w:tcPr>
            <w:tcW w:w="948" w:type="pct"/>
          </w:tcPr>
          <w:p w14:paraId="6493B7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D8CE0F3">
            <w:pPr>
              <w:ind w:firstLine="480"/>
              <w:rPr>
                <w:rFonts w:ascii="仿宋_GB2312" w:hAnsi="微软雅黑" w:eastAsia="仿宋_GB2312"/>
                <w:sz w:val="24"/>
                <w:szCs w:val="24"/>
              </w:rPr>
            </w:pPr>
          </w:p>
        </w:tc>
        <w:tc>
          <w:tcPr>
            <w:tcW w:w="879" w:type="pct"/>
          </w:tcPr>
          <w:p w14:paraId="190466F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161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AEE9F5F">
            <w:pPr>
              <w:jc w:val="left"/>
              <w:rPr>
                <w:rFonts w:ascii="仿宋_GB2312" w:hAnsi="微软雅黑" w:eastAsia="仿宋_GB2312"/>
                <w:sz w:val="24"/>
                <w:szCs w:val="24"/>
              </w:rPr>
            </w:pPr>
            <w:r>
              <w:rPr>
                <w:rFonts w:hint="eastAsia" w:ascii="仿宋_GB2312" w:hAnsi="微软雅黑" w:eastAsia="仿宋_GB2312"/>
                <w:sz w:val="24"/>
                <w:szCs w:val="24"/>
              </w:rPr>
              <w:t>信托产品</w:t>
            </w:r>
          </w:p>
        </w:tc>
        <w:tc>
          <w:tcPr>
            <w:tcW w:w="929" w:type="pct"/>
          </w:tcPr>
          <w:p w14:paraId="4C045B08">
            <w:pPr>
              <w:ind w:firstLine="480"/>
              <w:rPr>
                <w:rFonts w:ascii="仿宋_GB2312" w:hAnsi="微软雅黑" w:eastAsia="仿宋_GB2312"/>
                <w:sz w:val="24"/>
                <w:szCs w:val="24"/>
              </w:rPr>
            </w:pPr>
          </w:p>
        </w:tc>
        <w:tc>
          <w:tcPr>
            <w:tcW w:w="948" w:type="pct"/>
          </w:tcPr>
          <w:p w14:paraId="2C29621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68F5BAB6">
            <w:pPr>
              <w:ind w:firstLine="482"/>
              <w:rPr>
                <w:rFonts w:ascii="仿宋_GB2312" w:hAnsi="微软雅黑" w:eastAsia="仿宋_GB2312"/>
                <w:sz w:val="24"/>
                <w:szCs w:val="24"/>
              </w:rPr>
            </w:pPr>
          </w:p>
        </w:tc>
        <w:tc>
          <w:tcPr>
            <w:tcW w:w="879" w:type="pct"/>
          </w:tcPr>
          <w:p w14:paraId="72F17AE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54ED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16CAC82">
            <w:pPr>
              <w:jc w:val="left"/>
              <w:rPr>
                <w:rFonts w:ascii="仿宋_GB2312" w:hAnsi="微软雅黑" w:eastAsia="仿宋_GB2312"/>
                <w:sz w:val="24"/>
                <w:szCs w:val="24"/>
              </w:rPr>
            </w:pPr>
            <w:r>
              <w:rPr>
                <w:rFonts w:hint="eastAsia" w:ascii="仿宋_GB2312" w:hAnsi="微软雅黑" w:eastAsia="仿宋_GB2312"/>
                <w:sz w:val="24"/>
                <w:szCs w:val="24"/>
              </w:rPr>
              <w:t>私募基金</w:t>
            </w:r>
          </w:p>
        </w:tc>
        <w:tc>
          <w:tcPr>
            <w:tcW w:w="929" w:type="pct"/>
          </w:tcPr>
          <w:p w14:paraId="180A31B4">
            <w:pPr>
              <w:ind w:firstLine="480"/>
              <w:rPr>
                <w:rFonts w:ascii="仿宋_GB2312" w:hAnsi="微软雅黑" w:eastAsia="仿宋_GB2312"/>
                <w:sz w:val="24"/>
                <w:szCs w:val="24"/>
              </w:rPr>
            </w:pPr>
          </w:p>
        </w:tc>
        <w:tc>
          <w:tcPr>
            <w:tcW w:w="948" w:type="pct"/>
          </w:tcPr>
          <w:p w14:paraId="733782FB">
            <w:pPr>
              <w:ind w:firstLine="480"/>
              <w:rPr>
                <w:rFonts w:ascii="仿宋_GB2312" w:hAnsi="微软雅黑" w:eastAsia="仿宋_GB2312"/>
                <w:sz w:val="24"/>
                <w:szCs w:val="24"/>
              </w:rPr>
            </w:pPr>
          </w:p>
        </w:tc>
        <w:tc>
          <w:tcPr>
            <w:tcW w:w="835" w:type="pct"/>
          </w:tcPr>
          <w:p w14:paraId="04587641">
            <w:pPr>
              <w:ind w:firstLine="482"/>
              <w:rPr>
                <w:rFonts w:ascii="仿宋_GB2312" w:hAnsi="微软雅黑" w:eastAsia="仿宋_GB2312"/>
                <w:sz w:val="24"/>
                <w:szCs w:val="24"/>
              </w:rPr>
            </w:pPr>
          </w:p>
        </w:tc>
        <w:tc>
          <w:tcPr>
            <w:tcW w:w="879" w:type="pct"/>
          </w:tcPr>
          <w:p w14:paraId="39282FC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28D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684048B">
            <w:pPr>
              <w:jc w:val="left"/>
              <w:rPr>
                <w:rFonts w:ascii="仿宋_GB2312" w:hAnsi="微软雅黑" w:eastAsia="仿宋_GB2312"/>
                <w:sz w:val="24"/>
                <w:szCs w:val="24"/>
              </w:rPr>
            </w:pPr>
            <w:r>
              <w:rPr>
                <w:rFonts w:hint="eastAsia" w:ascii="仿宋_GB2312" w:hAnsi="微软雅黑" w:eastAsia="仿宋_GB2312"/>
                <w:sz w:val="24"/>
                <w:szCs w:val="24"/>
              </w:rPr>
              <w:t>财务公司</w:t>
            </w:r>
          </w:p>
        </w:tc>
        <w:tc>
          <w:tcPr>
            <w:tcW w:w="929" w:type="pct"/>
          </w:tcPr>
          <w:p w14:paraId="5EFB10C7">
            <w:pPr>
              <w:ind w:firstLine="480"/>
              <w:rPr>
                <w:rFonts w:ascii="仿宋_GB2312" w:hAnsi="微软雅黑" w:eastAsia="仿宋_GB2312"/>
                <w:sz w:val="24"/>
                <w:szCs w:val="24"/>
              </w:rPr>
            </w:pPr>
          </w:p>
        </w:tc>
        <w:tc>
          <w:tcPr>
            <w:tcW w:w="948" w:type="pct"/>
          </w:tcPr>
          <w:p w14:paraId="30A13FD9">
            <w:pPr>
              <w:ind w:firstLine="480"/>
              <w:rPr>
                <w:rFonts w:ascii="仿宋_GB2312" w:hAnsi="微软雅黑" w:eastAsia="仿宋_GB2312"/>
                <w:sz w:val="24"/>
                <w:szCs w:val="24"/>
              </w:rPr>
            </w:pPr>
          </w:p>
        </w:tc>
        <w:tc>
          <w:tcPr>
            <w:tcW w:w="835" w:type="pct"/>
          </w:tcPr>
          <w:p w14:paraId="5A4B689B">
            <w:pPr>
              <w:ind w:firstLine="480"/>
              <w:rPr>
                <w:rFonts w:ascii="仿宋_GB2312" w:hAnsi="微软雅黑" w:eastAsia="仿宋_GB2312"/>
                <w:sz w:val="24"/>
                <w:szCs w:val="24"/>
              </w:rPr>
            </w:pPr>
          </w:p>
        </w:tc>
        <w:tc>
          <w:tcPr>
            <w:tcW w:w="879" w:type="pct"/>
          </w:tcPr>
          <w:p w14:paraId="50238B3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37A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FC3A7F0">
            <w:pPr>
              <w:jc w:val="left"/>
              <w:rPr>
                <w:rFonts w:ascii="仿宋_GB2312" w:hAnsi="微软雅黑" w:eastAsia="仿宋_GB2312"/>
                <w:sz w:val="24"/>
                <w:szCs w:val="24"/>
              </w:rPr>
            </w:pPr>
            <w:r>
              <w:rPr>
                <w:rFonts w:ascii="仿宋_GB2312" w:hAnsi="微软雅黑" w:eastAsia="仿宋_GB2312"/>
                <w:sz w:val="24"/>
                <w:szCs w:val="24"/>
              </w:rPr>
              <w:t>QFII/RQFII</w:t>
            </w:r>
          </w:p>
        </w:tc>
        <w:tc>
          <w:tcPr>
            <w:tcW w:w="929" w:type="pct"/>
          </w:tcPr>
          <w:p w14:paraId="66F71A0A">
            <w:pPr>
              <w:ind w:firstLine="480"/>
              <w:rPr>
                <w:rFonts w:ascii="仿宋_GB2312" w:hAnsi="微软雅黑" w:eastAsia="仿宋_GB2312"/>
                <w:sz w:val="24"/>
                <w:szCs w:val="24"/>
              </w:rPr>
            </w:pPr>
          </w:p>
        </w:tc>
        <w:tc>
          <w:tcPr>
            <w:tcW w:w="948" w:type="pct"/>
          </w:tcPr>
          <w:p w14:paraId="18B6D0E3">
            <w:pPr>
              <w:ind w:firstLine="480"/>
              <w:rPr>
                <w:rFonts w:ascii="仿宋_GB2312" w:hAnsi="微软雅黑" w:eastAsia="仿宋_GB2312"/>
                <w:sz w:val="24"/>
                <w:szCs w:val="24"/>
              </w:rPr>
            </w:pPr>
          </w:p>
        </w:tc>
        <w:tc>
          <w:tcPr>
            <w:tcW w:w="835" w:type="pct"/>
          </w:tcPr>
          <w:p w14:paraId="7FA48FD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79" w:type="pct"/>
          </w:tcPr>
          <w:p w14:paraId="233E2FF3">
            <w:pPr>
              <w:ind w:firstLine="480"/>
              <w:rPr>
                <w:rFonts w:ascii="仿宋_GB2312" w:hAnsi="微软雅黑" w:eastAsia="仿宋_GB2312"/>
                <w:sz w:val="24"/>
                <w:szCs w:val="24"/>
              </w:rPr>
            </w:pPr>
          </w:p>
        </w:tc>
      </w:tr>
      <w:tr w14:paraId="264B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168FE9">
            <w:pPr>
              <w:jc w:val="left"/>
              <w:rPr>
                <w:rFonts w:ascii="仿宋_GB2312" w:hAnsi="微软雅黑" w:eastAsia="仿宋_GB2312"/>
                <w:sz w:val="24"/>
                <w:szCs w:val="24"/>
              </w:rPr>
            </w:pPr>
            <w:r>
              <w:rPr>
                <w:rFonts w:hint="eastAsia" w:ascii="仿宋_GB2312" w:hAnsi="微软雅黑" w:eastAsia="仿宋_GB2312"/>
                <w:sz w:val="24"/>
                <w:szCs w:val="24"/>
              </w:rPr>
              <w:t>社保</w:t>
            </w:r>
            <w:r>
              <w:rPr>
                <w:rFonts w:ascii="仿宋_GB2312" w:hAnsi="微软雅黑" w:eastAsia="仿宋_GB2312"/>
                <w:sz w:val="24"/>
                <w:szCs w:val="24"/>
              </w:rPr>
              <w:t>/</w:t>
            </w:r>
            <w:r>
              <w:rPr>
                <w:rFonts w:hint="eastAsia" w:ascii="仿宋_GB2312" w:hAnsi="微软雅黑" w:eastAsia="仿宋_GB2312"/>
                <w:sz w:val="24"/>
                <w:szCs w:val="24"/>
              </w:rPr>
              <w:t>企业年金等</w:t>
            </w:r>
          </w:p>
        </w:tc>
        <w:tc>
          <w:tcPr>
            <w:tcW w:w="929" w:type="pct"/>
          </w:tcPr>
          <w:p w14:paraId="671A406B">
            <w:pPr>
              <w:ind w:firstLine="480"/>
              <w:rPr>
                <w:rFonts w:ascii="仿宋_GB2312" w:hAnsi="微软雅黑" w:eastAsia="仿宋_GB2312"/>
                <w:sz w:val="24"/>
                <w:szCs w:val="24"/>
              </w:rPr>
            </w:pPr>
          </w:p>
        </w:tc>
        <w:tc>
          <w:tcPr>
            <w:tcW w:w="948" w:type="pct"/>
          </w:tcPr>
          <w:p w14:paraId="103F514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4A06275">
            <w:pPr>
              <w:ind w:firstLine="480"/>
              <w:rPr>
                <w:rFonts w:ascii="仿宋_GB2312" w:hAnsi="微软雅黑" w:eastAsia="仿宋_GB2312"/>
                <w:sz w:val="24"/>
                <w:szCs w:val="24"/>
              </w:rPr>
            </w:pPr>
          </w:p>
        </w:tc>
        <w:tc>
          <w:tcPr>
            <w:tcW w:w="879" w:type="pct"/>
          </w:tcPr>
          <w:p w14:paraId="349C16F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84B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0D142FE">
            <w:pPr>
              <w:jc w:val="left"/>
              <w:rPr>
                <w:rFonts w:ascii="仿宋_GB2312" w:hAnsi="微软雅黑" w:eastAsia="仿宋_GB2312"/>
                <w:sz w:val="24"/>
                <w:szCs w:val="24"/>
              </w:rPr>
            </w:pPr>
            <w:r>
              <w:rPr>
                <w:rFonts w:hint="eastAsia" w:ascii="仿宋_GB2312" w:hAnsi="微软雅黑" w:eastAsia="仿宋_GB2312"/>
                <w:sz w:val="24"/>
                <w:szCs w:val="24"/>
              </w:rPr>
              <w:t>其他金融机构</w:t>
            </w:r>
          </w:p>
        </w:tc>
        <w:tc>
          <w:tcPr>
            <w:tcW w:w="929" w:type="pct"/>
          </w:tcPr>
          <w:p w14:paraId="6557DC25">
            <w:pPr>
              <w:ind w:firstLine="480"/>
              <w:rPr>
                <w:rFonts w:ascii="仿宋_GB2312" w:hAnsi="微软雅黑" w:eastAsia="仿宋_GB2312"/>
                <w:sz w:val="24"/>
                <w:szCs w:val="24"/>
              </w:rPr>
            </w:pPr>
          </w:p>
        </w:tc>
        <w:tc>
          <w:tcPr>
            <w:tcW w:w="948" w:type="pct"/>
          </w:tcPr>
          <w:p w14:paraId="1D389C32">
            <w:pPr>
              <w:ind w:firstLine="480"/>
              <w:rPr>
                <w:rFonts w:ascii="仿宋_GB2312" w:hAnsi="微软雅黑" w:eastAsia="仿宋_GB2312"/>
                <w:sz w:val="24"/>
                <w:szCs w:val="24"/>
              </w:rPr>
            </w:pPr>
          </w:p>
        </w:tc>
        <w:tc>
          <w:tcPr>
            <w:tcW w:w="835" w:type="pct"/>
          </w:tcPr>
          <w:p w14:paraId="653B5AD8">
            <w:pPr>
              <w:ind w:firstLine="480"/>
              <w:rPr>
                <w:rFonts w:ascii="仿宋_GB2312" w:hAnsi="微软雅黑" w:eastAsia="仿宋_GB2312"/>
                <w:sz w:val="24"/>
                <w:szCs w:val="24"/>
              </w:rPr>
            </w:pPr>
          </w:p>
        </w:tc>
        <w:tc>
          <w:tcPr>
            <w:tcW w:w="879" w:type="pct"/>
          </w:tcPr>
          <w:p w14:paraId="12062F7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49C9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E48E203">
            <w:pPr>
              <w:jc w:val="left"/>
              <w:rPr>
                <w:rFonts w:ascii="仿宋_GB2312" w:hAnsi="微软雅黑" w:eastAsia="仿宋_GB2312"/>
                <w:sz w:val="24"/>
                <w:szCs w:val="24"/>
              </w:rPr>
            </w:pPr>
            <w:r>
              <w:rPr>
                <w:rFonts w:hint="eastAsia" w:ascii="仿宋_GB2312" w:hAnsi="微软雅黑" w:eastAsia="仿宋_GB2312"/>
                <w:sz w:val="24"/>
                <w:szCs w:val="24"/>
              </w:rPr>
              <w:t>其他金融机构产品</w:t>
            </w:r>
          </w:p>
        </w:tc>
        <w:tc>
          <w:tcPr>
            <w:tcW w:w="929" w:type="pct"/>
          </w:tcPr>
          <w:p w14:paraId="6586671D">
            <w:pPr>
              <w:ind w:firstLine="480"/>
              <w:rPr>
                <w:rFonts w:ascii="仿宋_GB2312" w:hAnsi="微软雅黑" w:eastAsia="仿宋_GB2312"/>
                <w:sz w:val="24"/>
                <w:szCs w:val="24"/>
              </w:rPr>
            </w:pPr>
          </w:p>
        </w:tc>
        <w:tc>
          <w:tcPr>
            <w:tcW w:w="948" w:type="pct"/>
          </w:tcPr>
          <w:p w14:paraId="067E6837">
            <w:pPr>
              <w:ind w:firstLine="480"/>
              <w:rPr>
                <w:rFonts w:ascii="仿宋_GB2312" w:hAnsi="微软雅黑" w:eastAsia="仿宋_GB2312"/>
                <w:sz w:val="24"/>
                <w:szCs w:val="24"/>
              </w:rPr>
            </w:pPr>
          </w:p>
        </w:tc>
        <w:tc>
          <w:tcPr>
            <w:tcW w:w="835" w:type="pct"/>
          </w:tcPr>
          <w:p w14:paraId="20027206">
            <w:pPr>
              <w:ind w:firstLine="482"/>
              <w:rPr>
                <w:rFonts w:ascii="仿宋_GB2312" w:hAnsi="微软雅黑" w:eastAsia="仿宋_GB2312"/>
                <w:sz w:val="24"/>
                <w:szCs w:val="24"/>
              </w:rPr>
            </w:pPr>
          </w:p>
        </w:tc>
        <w:tc>
          <w:tcPr>
            <w:tcW w:w="879" w:type="pct"/>
          </w:tcPr>
          <w:p w14:paraId="0CE6A847">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A37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E2CF26">
            <w:pPr>
              <w:jc w:val="left"/>
              <w:rPr>
                <w:rFonts w:ascii="仿宋_GB2312" w:hAnsi="微软雅黑" w:eastAsia="仿宋_GB2312"/>
                <w:sz w:val="24"/>
                <w:szCs w:val="24"/>
              </w:rPr>
            </w:pPr>
            <w:r>
              <w:rPr>
                <w:rFonts w:hint="eastAsia" w:ascii="仿宋_GB2312" w:hAnsi="微软雅黑" w:eastAsia="仿宋_GB2312"/>
                <w:sz w:val="24"/>
                <w:szCs w:val="24"/>
              </w:rPr>
              <w:t>非金融机构</w:t>
            </w:r>
          </w:p>
        </w:tc>
        <w:tc>
          <w:tcPr>
            <w:tcW w:w="929" w:type="pct"/>
          </w:tcPr>
          <w:p w14:paraId="3B33EB2A">
            <w:pPr>
              <w:ind w:firstLine="480"/>
              <w:rPr>
                <w:rFonts w:ascii="仿宋_GB2312" w:hAnsi="微软雅黑" w:eastAsia="仿宋_GB2312"/>
                <w:sz w:val="24"/>
                <w:szCs w:val="24"/>
              </w:rPr>
            </w:pPr>
          </w:p>
        </w:tc>
        <w:tc>
          <w:tcPr>
            <w:tcW w:w="948" w:type="pct"/>
          </w:tcPr>
          <w:p w14:paraId="312ADACD">
            <w:pPr>
              <w:ind w:firstLine="480"/>
              <w:rPr>
                <w:rFonts w:ascii="仿宋_GB2312" w:hAnsi="微软雅黑" w:eastAsia="仿宋_GB2312"/>
                <w:sz w:val="24"/>
                <w:szCs w:val="24"/>
              </w:rPr>
            </w:pPr>
          </w:p>
        </w:tc>
        <w:tc>
          <w:tcPr>
            <w:tcW w:w="835" w:type="pct"/>
          </w:tcPr>
          <w:p w14:paraId="15515F92">
            <w:pPr>
              <w:ind w:firstLine="480"/>
              <w:rPr>
                <w:rFonts w:ascii="仿宋_GB2312" w:hAnsi="微软雅黑" w:eastAsia="仿宋_GB2312"/>
                <w:sz w:val="24"/>
                <w:szCs w:val="24"/>
              </w:rPr>
            </w:pPr>
          </w:p>
        </w:tc>
        <w:tc>
          <w:tcPr>
            <w:tcW w:w="879" w:type="pct"/>
          </w:tcPr>
          <w:p w14:paraId="3F1A65D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02C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1C94B1F">
            <w:pPr>
              <w:jc w:val="left"/>
              <w:rPr>
                <w:rFonts w:ascii="仿宋_GB2312" w:hAnsi="微软雅黑" w:eastAsia="仿宋_GB2312"/>
                <w:sz w:val="24"/>
                <w:szCs w:val="24"/>
              </w:rPr>
            </w:pPr>
            <w:r>
              <w:rPr>
                <w:rFonts w:hint="eastAsia" w:ascii="仿宋_GB2312" w:hAnsi="微软雅黑" w:eastAsia="仿宋_GB2312"/>
                <w:sz w:val="24"/>
                <w:szCs w:val="24"/>
              </w:rPr>
              <w:t>个人</w:t>
            </w:r>
          </w:p>
        </w:tc>
        <w:tc>
          <w:tcPr>
            <w:tcW w:w="929" w:type="pct"/>
          </w:tcPr>
          <w:p w14:paraId="3EEA89F6">
            <w:pPr>
              <w:ind w:firstLine="480"/>
              <w:rPr>
                <w:rFonts w:ascii="仿宋_GB2312" w:hAnsi="微软雅黑" w:eastAsia="仿宋_GB2312"/>
                <w:sz w:val="24"/>
                <w:szCs w:val="24"/>
              </w:rPr>
            </w:pPr>
          </w:p>
        </w:tc>
        <w:tc>
          <w:tcPr>
            <w:tcW w:w="948" w:type="pct"/>
          </w:tcPr>
          <w:p w14:paraId="05B534DE">
            <w:pPr>
              <w:ind w:firstLine="480"/>
              <w:rPr>
                <w:rFonts w:ascii="仿宋_GB2312" w:hAnsi="微软雅黑" w:eastAsia="仿宋_GB2312"/>
                <w:sz w:val="24"/>
                <w:szCs w:val="24"/>
              </w:rPr>
            </w:pPr>
          </w:p>
        </w:tc>
        <w:tc>
          <w:tcPr>
            <w:tcW w:w="835" w:type="pct"/>
          </w:tcPr>
          <w:p w14:paraId="348FD340">
            <w:pPr>
              <w:ind w:firstLine="480"/>
              <w:rPr>
                <w:rFonts w:ascii="仿宋_GB2312" w:hAnsi="微软雅黑" w:eastAsia="仿宋_GB2312"/>
                <w:sz w:val="24"/>
                <w:szCs w:val="24"/>
              </w:rPr>
            </w:pPr>
          </w:p>
        </w:tc>
        <w:tc>
          <w:tcPr>
            <w:tcW w:w="879" w:type="pct"/>
          </w:tcPr>
          <w:p w14:paraId="265DCF50">
            <w:pPr>
              <w:ind w:firstLine="480"/>
              <w:rPr>
                <w:rFonts w:ascii="仿宋_GB2312" w:hAnsi="微软雅黑" w:eastAsia="仿宋_GB2312"/>
                <w:sz w:val="24"/>
                <w:szCs w:val="24"/>
              </w:rPr>
            </w:pPr>
            <w:r>
              <w:rPr>
                <w:rFonts w:hint="eastAsia" w:ascii="仿宋_GB2312" w:hAnsi="微软雅黑" w:eastAsia="仿宋_GB2312"/>
                <w:sz w:val="24"/>
                <w:szCs w:val="24"/>
              </w:rPr>
              <w:t>√</w:t>
            </w:r>
          </w:p>
        </w:tc>
      </w:tr>
    </w:tbl>
    <w:p w14:paraId="6F1F536D">
      <w:pPr>
        <w:numPr>
          <w:ilvl w:val="2"/>
          <w:numId w:val="4"/>
        </w:numPr>
        <w:spacing w:line="600" w:lineRule="exact"/>
        <w:ind w:left="0" w:firstLine="0"/>
        <w:outlineLvl w:val="2"/>
        <w:rPr>
          <w:rFonts w:ascii="仿宋_GB2312" w:eastAsia="仿宋_GB2312"/>
          <w:b/>
          <w:sz w:val="30"/>
          <w:szCs w:val="30"/>
        </w:rPr>
      </w:pPr>
      <w:bookmarkStart w:id="170" w:name="_Toc56166065"/>
      <w:bookmarkStart w:id="171" w:name="_Toc56166254"/>
      <w:r>
        <w:rPr>
          <w:rFonts w:hint="eastAsia" w:ascii="仿宋_GB2312" w:eastAsia="仿宋_GB2312"/>
          <w:b/>
          <w:sz w:val="30"/>
          <w:szCs w:val="30"/>
        </w:rPr>
        <w:t>交易结算方式</w:t>
      </w:r>
    </w:p>
    <w:p w14:paraId="66787EF2">
      <w:pPr>
        <w:spacing w:line="600" w:lineRule="exact"/>
        <w:ind w:firstLine="600" w:firstLineChars="200"/>
        <w:rPr>
          <w:rFonts w:ascii="仿宋_GB2312" w:hAnsi="黑体" w:eastAsia="仿宋_GB2312"/>
          <w:b/>
          <w:sz w:val="30"/>
          <w:szCs w:val="30"/>
        </w:rPr>
      </w:pPr>
      <w:r>
        <w:rPr>
          <w:rFonts w:hint="eastAsia" w:ascii="仿宋_GB2312" w:hAnsi="仿宋" w:eastAsia="仿宋_GB2312"/>
          <w:sz w:val="30"/>
          <w:szCs w:val="30"/>
        </w:rPr>
        <w:t>本所现有债券交易方式包括匹配成交、点击成交、询价成交、竞买成交与协商成交；结算方式包括多边净额结算或逐笔全额结算等，</w:t>
      </w:r>
      <w:r>
        <w:rPr>
          <w:rFonts w:hint="eastAsia" w:ascii="仿宋_GB2312" w:eastAsia="仿宋_GB2312"/>
          <w:color w:val="000000"/>
          <w:sz w:val="30"/>
          <w:szCs w:val="30"/>
        </w:rPr>
        <w:t>详见本指</w:t>
      </w:r>
      <w:r>
        <w:rPr>
          <w:rFonts w:hint="eastAsia" w:ascii="仿宋_GB2312" w:eastAsia="仿宋_GB2312"/>
          <w:sz w:val="30"/>
          <w:szCs w:val="30"/>
        </w:rPr>
        <w:t>南第4章、第5章相关规定</w:t>
      </w:r>
      <w:r>
        <w:rPr>
          <w:rFonts w:hint="eastAsia" w:ascii="仿宋_GB2312" w:hAnsi="仿宋" w:eastAsia="仿宋_GB2312"/>
          <w:sz w:val="30"/>
          <w:szCs w:val="30"/>
        </w:rPr>
        <w:t>。</w:t>
      </w:r>
    </w:p>
    <w:p w14:paraId="6C08CAD4">
      <w:pPr>
        <w:numPr>
          <w:ilvl w:val="0"/>
          <w:numId w:val="4"/>
        </w:numPr>
        <w:spacing w:line="600" w:lineRule="exact"/>
        <w:outlineLvl w:val="0"/>
        <w:rPr>
          <w:b/>
          <w:sz w:val="36"/>
        </w:rPr>
      </w:pPr>
      <w:r>
        <w:rPr>
          <w:b/>
          <w:sz w:val="36"/>
        </w:rPr>
        <w:br w:type="page"/>
      </w:r>
      <w:bookmarkStart w:id="172" w:name="_Toc151136882"/>
      <w:r>
        <w:rPr>
          <w:rFonts w:hint="eastAsia" w:ascii="黑体" w:hAnsi="黑体" w:eastAsia="黑体" w:cs="黑体"/>
          <w:b/>
          <w:sz w:val="36"/>
        </w:rPr>
        <w:t>债券交易参与人</w:t>
      </w:r>
      <w:bookmarkEnd w:id="170"/>
      <w:bookmarkEnd w:id="171"/>
      <w:bookmarkEnd w:id="172"/>
    </w:p>
    <w:p w14:paraId="629B6C40">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机构可以申请成为本所债券交易参与人，直接参与本所债券交易。债券交易参与人直接入场参与本所债券交易的，可以通过开设或者租用参与者交易业务单元（以下简称交易单元或PBU）或者本所认可的其他方式，通过本所认可的接入服务系统接入本所债券交易系统进行交易。</w:t>
      </w:r>
    </w:p>
    <w:p w14:paraId="17F2170D">
      <w:pPr>
        <w:spacing w:line="600" w:lineRule="exact"/>
        <w:ind w:firstLine="600"/>
        <w:rPr>
          <w:rFonts w:ascii="仿宋_GB2312" w:eastAsia="仿宋_GB2312"/>
          <w:sz w:val="30"/>
          <w:szCs w:val="30"/>
        </w:rPr>
      </w:pPr>
      <w:r>
        <w:rPr>
          <w:rFonts w:hint="eastAsia" w:ascii="仿宋_GB2312" w:eastAsia="仿宋_GB2312"/>
          <w:sz w:val="30"/>
          <w:szCs w:val="30"/>
        </w:rPr>
        <w:t>债券交易参与人从事本所债券交易及相关业务，应当遵守法律法规和本所业务规则，诚实守信、规范运作，接受本所的自律监管。</w:t>
      </w:r>
    </w:p>
    <w:p w14:paraId="060AF313">
      <w:pPr>
        <w:numPr>
          <w:ilvl w:val="1"/>
          <w:numId w:val="4"/>
        </w:numPr>
        <w:spacing w:line="600" w:lineRule="exact"/>
        <w:ind w:left="0" w:firstLine="0"/>
        <w:outlineLvl w:val="1"/>
        <w:rPr>
          <w:rFonts w:ascii="仿宋_GB2312" w:eastAsia="仿宋_GB2312"/>
          <w:b/>
          <w:sz w:val="30"/>
          <w:szCs w:val="30"/>
        </w:rPr>
      </w:pPr>
      <w:bookmarkStart w:id="173" w:name="_Toc59106948"/>
      <w:bookmarkEnd w:id="173"/>
      <w:bookmarkStart w:id="174" w:name="_Toc59181275"/>
      <w:bookmarkEnd w:id="174"/>
      <w:bookmarkStart w:id="175" w:name="_Toc59181163"/>
      <w:bookmarkEnd w:id="175"/>
      <w:bookmarkStart w:id="176" w:name="_Toc59034065"/>
      <w:bookmarkEnd w:id="176"/>
      <w:bookmarkStart w:id="177" w:name="_Toc57908857"/>
      <w:bookmarkEnd w:id="177"/>
      <w:bookmarkStart w:id="178" w:name="_Toc60327069"/>
      <w:bookmarkEnd w:id="178"/>
      <w:bookmarkStart w:id="179" w:name="_Toc59181049"/>
      <w:bookmarkEnd w:id="179"/>
      <w:bookmarkStart w:id="180" w:name="_Toc59034544"/>
      <w:bookmarkEnd w:id="180"/>
      <w:bookmarkStart w:id="181" w:name="_Toc60331826"/>
      <w:bookmarkEnd w:id="181"/>
      <w:bookmarkStart w:id="182" w:name="_Toc151136883"/>
      <w:bookmarkStart w:id="183" w:name="_Toc56166066"/>
      <w:bookmarkStart w:id="184" w:name="_Toc56166255"/>
      <w:r>
        <w:rPr>
          <w:rFonts w:ascii="仿宋_GB2312" w:hAnsi="黑体" w:eastAsia="仿宋_GB2312"/>
          <w:b/>
          <w:sz w:val="30"/>
          <w:szCs w:val="30"/>
        </w:rPr>
        <w:t>债券交易参与人</w:t>
      </w:r>
      <w:r>
        <w:rPr>
          <w:rFonts w:hint="eastAsia" w:ascii="仿宋_GB2312" w:hAnsi="黑体" w:eastAsia="仿宋_GB2312"/>
          <w:b/>
          <w:sz w:val="30"/>
          <w:szCs w:val="30"/>
        </w:rPr>
        <w:t>申请</w:t>
      </w:r>
      <w:bookmarkEnd w:id="182"/>
      <w:bookmarkEnd w:id="183"/>
      <w:bookmarkEnd w:id="184"/>
    </w:p>
    <w:p w14:paraId="1673FCAC">
      <w:pPr>
        <w:numPr>
          <w:ilvl w:val="2"/>
          <w:numId w:val="4"/>
        </w:numPr>
        <w:spacing w:line="600" w:lineRule="exact"/>
        <w:ind w:left="0" w:firstLine="0"/>
        <w:outlineLvl w:val="2"/>
        <w:rPr>
          <w:rFonts w:ascii="仿宋_GB2312" w:eastAsia="仿宋_GB2312"/>
          <w:b/>
          <w:sz w:val="30"/>
          <w:szCs w:val="30"/>
        </w:rPr>
      </w:pPr>
      <w:bookmarkStart w:id="185" w:name="_Toc57908859"/>
      <w:r>
        <w:rPr>
          <w:rFonts w:hint="eastAsia" w:ascii="仿宋_GB2312" w:eastAsia="仿宋_GB2312"/>
          <w:b/>
          <w:sz w:val="30"/>
          <w:szCs w:val="30"/>
        </w:rPr>
        <w:t>申请条件</w:t>
      </w:r>
      <w:bookmarkEnd w:id="185"/>
    </w:p>
    <w:p w14:paraId="7F8F49E7">
      <w:pPr>
        <w:spacing w:line="600" w:lineRule="exact"/>
        <w:ind w:firstLine="600"/>
        <w:rPr>
          <w:rFonts w:ascii="仿宋_GB2312" w:eastAsia="仿宋_GB2312"/>
          <w:sz w:val="30"/>
          <w:szCs w:val="30"/>
        </w:rPr>
      </w:pPr>
      <w:r>
        <w:rPr>
          <w:rFonts w:hint="eastAsia" w:ascii="仿宋_GB2312" w:eastAsia="仿宋_GB2312"/>
          <w:sz w:val="30"/>
          <w:szCs w:val="30"/>
        </w:rPr>
        <w:t>【会员类机构】</w:t>
      </w:r>
    </w:p>
    <w:p w14:paraId="44EA6CF6">
      <w:pPr>
        <w:spacing w:line="600" w:lineRule="exact"/>
        <w:ind w:firstLine="600"/>
        <w:rPr>
          <w:rFonts w:ascii="仿宋_GB2312" w:eastAsia="仿宋_GB2312"/>
          <w:sz w:val="30"/>
          <w:szCs w:val="30"/>
        </w:rPr>
      </w:pPr>
      <w:r>
        <w:rPr>
          <w:rFonts w:hint="eastAsia" w:ascii="仿宋_GB2312" w:eastAsia="仿宋_GB2312"/>
          <w:sz w:val="30"/>
          <w:szCs w:val="30"/>
        </w:rPr>
        <w:t>证券公司按照《上海证券交易所会员管理规则》等本所会员管理规则申请成为本所会员的，直接成为债券交易参与人。</w:t>
      </w:r>
    </w:p>
    <w:p w14:paraId="1C6391C1">
      <w:pPr>
        <w:spacing w:line="600" w:lineRule="exact"/>
        <w:ind w:firstLine="600"/>
        <w:rPr>
          <w:rFonts w:ascii="仿宋_GB2312" w:eastAsia="仿宋_GB2312"/>
          <w:sz w:val="30"/>
          <w:szCs w:val="30"/>
        </w:rPr>
      </w:pPr>
      <w:r>
        <w:rPr>
          <w:rFonts w:hint="eastAsia" w:ascii="仿宋_GB2312" w:eastAsia="仿宋_GB2312"/>
          <w:sz w:val="30"/>
          <w:szCs w:val="30"/>
        </w:rPr>
        <w:t>本所会员资格申请，按照《上海证券交易所会员管理规则（2019年修订）》相关业务流程办理。</w:t>
      </w:r>
    </w:p>
    <w:p w14:paraId="65E4B594">
      <w:pPr>
        <w:spacing w:line="600" w:lineRule="exact"/>
        <w:ind w:firstLine="600"/>
        <w:rPr>
          <w:rFonts w:ascii="仿宋_GB2312" w:eastAsia="仿宋_GB2312"/>
          <w:sz w:val="30"/>
          <w:szCs w:val="30"/>
        </w:rPr>
      </w:pPr>
      <w:r>
        <w:rPr>
          <w:rFonts w:hint="eastAsia" w:ascii="仿宋_GB2312" w:eastAsia="仿宋_GB2312"/>
          <w:sz w:val="30"/>
          <w:szCs w:val="30"/>
        </w:rPr>
        <w:t>【非会员机构申请条件】</w:t>
      </w:r>
    </w:p>
    <w:p w14:paraId="07ADF58C">
      <w:pPr>
        <w:spacing w:line="600" w:lineRule="exact"/>
        <w:ind w:firstLine="600"/>
        <w:rPr>
          <w:rFonts w:ascii="仿宋_GB2312" w:eastAsia="仿宋_GB2312"/>
          <w:sz w:val="30"/>
          <w:szCs w:val="30"/>
        </w:rPr>
      </w:pPr>
      <w:r>
        <w:rPr>
          <w:rFonts w:hint="eastAsia" w:ascii="仿宋_GB2312" w:eastAsia="仿宋_GB2312"/>
          <w:sz w:val="30"/>
          <w:szCs w:val="30"/>
        </w:rPr>
        <w:t>固定收益平台交易商（含一级交易商）及已在本所开立或租用交易单元的非会员机构，可直接成为本所债券交易参与人，</w:t>
      </w:r>
      <w:r>
        <w:rPr>
          <w:rFonts w:ascii="仿宋_GB2312" w:eastAsia="仿宋_GB2312"/>
          <w:sz w:val="30"/>
          <w:szCs w:val="30"/>
        </w:rPr>
        <w:t>无需另行申请</w:t>
      </w:r>
      <w:r>
        <w:rPr>
          <w:rFonts w:hint="eastAsia" w:ascii="仿宋_GB2312" w:eastAsia="仿宋_GB2312"/>
          <w:sz w:val="30"/>
          <w:szCs w:val="30"/>
        </w:rPr>
        <w:t>。</w:t>
      </w:r>
    </w:p>
    <w:p w14:paraId="324EBEEA">
      <w:pPr>
        <w:spacing w:line="600" w:lineRule="exact"/>
        <w:ind w:firstLine="600"/>
        <w:rPr>
          <w:rFonts w:ascii="仿宋_GB2312" w:eastAsia="仿宋_GB2312"/>
          <w:sz w:val="30"/>
          <w:szCs w:val="30"/>
        </w:rPr>
      </w:pPr>
      <w:r>
        <w:rPr>
          <w:rFonts w:hint="eastAsia" w:ascii="仿宋_GB2312" w:eastAsia="仿宋_GB2312"/>
          <w:sz w:val="30"/>
          <w:szCs w:val="30"/>
        </w:rPr>
        <w:t>符合下列条件的金融机构和本所认可的其他机构可以申请成为本所债券交易参与人：</w:t>
      </w:r>
    </w:p>
    <w:p w14:paraId="504E7A4E">
      <w:pPr>
        <w:spacing w:line="600" w:lineRule="exact"/>
        <w:ind w:firstLine="600"/>
        <w:rPr>
          <w:rFonts w:ascii="仿宋_GB2312" w:eastAsia="仿宋_GB2312"/>
          <w:sz w:val="30"/>
          <w:szCs w:val="30"/>
        </w:rPr>
      </w:pPr>
      <w:r>
        <w:rPr>
          <w:rFonts w:hint="eastAsia" w:ascii="仿宋_GB2312" w:eastAsia="仿宋_GB2312"/>
          <w:sz w:val="30"/>
          <w:szCs w:val="30"/>
        </w:rPr>
        <w:t>（1）具有较强的资本、资金实力与持续经营能力，或者具有参与本所债券交易的相应功能；</w:t>
      </w:r>
    </w:p>
    <w:p w14:paraId="63A961BC">
      <w:pPr>
        <w:spacing w:line="600" w:lineRule="exact"/>
        <w:ind w:firstLine="600"/>
        <w:rPr>
          <w:rFonts w:ascii="仿宋_GB2312" w:eastAsia="仿宋_GB2312"/>
          <w:sz w:val="30"/>
          <w:szCs w:val="30"/>
        </w:rPr>
      </w:pPr>
      <w:r>
        <w:rPr>
          <w:rFonts w:hint="eastAsia" w:ascii="仿宋_GB2312" w:eastAsia="仿宋_GB2312"/>
          <w:sz w:val="30"/>
          <w:szCs w:val="30"/>
        </w:rPr>
        <w:t xml:space="preserve">（2）具有独立的债券交易团队； </w:t>
      </w:r>
    </w:p>
    <w:p w14:paraId="3C7717A7">
      <w:pPr>
        <w:spacing w:line="600" w:lineRule="exact"/>
        <w:ind w:firstLine="600"/>
        <w:rPr>
          <w:rFonts w:ascii="仿宋_GB2312" w:eastAsia="仿宋_GB2312"/>
          <w:sz w:val="30"/>
          <w:szCs w:val="30"/>
        </w:rPr>
      </w:pPr>
      <w:r>
        <w:rPr>
          <w:rFonts w:hint="eastAsia" w:ascii="仿宋_GB2312" w:eastAsia="仿宋_GB2312"/>
          <w:sz w:val="30"/>
          <w:szCs w:val="30"/>
        </w:rPr>
        <w:t>（3）具有完善的交易业务管理制度和风险控制制度；</w:t>
      </w:r>
    </w:p>
    <w:p w14:paraId="65DB9811">
      <w:pPr>
        <w:spacing w:line="600" w:lineRule="exact"/>
        <w:ind w:firstLine="600"/>
        <w:rPr>
          <w:rFonts w:ascii="仿宋_GB2312" w:eastAsia="仿宋_GB2312"/>
          <w:sz w:val="30"/>
          <w:szCs w:val="30"/>
        </w:rPr>
      </w:pPr>
      <w:r>
        <w:rPr>
          <w:rFonts w:hint="eastAsia" w:ascii="仿宋_GB2312" w:eastAsia="仿宋_GB2312"/>
          <w:sz w:val="30"/>
          <w:szCs w:val="30"/>
        </w:rPr>
        <w:t>（4）具有能够支持开展债券交易的相关技术系统；</w:t>
      </w:r>
    </w:p>
    <w:p w14:paraId="6915ACD5">
      <w:pPr>
        <w:spacing w:line="600" w:lineRule="exact"/>
        <w:ind w:firstLine="600"/>
        <w:rPr>
          <w:rFonts w:ascii="仿宋_GB2312" w:eastAsia="仿宋_GB2312"/>
          <w:sz w:val="30"/>
          <w:szCs w:val="30"/>
        </w:rPr>
      </w:pPr>
      <w:r>
        <w:rPr>
          <w:rFonts w:hint="eastAsia" w:ascii="仿宋_GB2312" w:eastAsia="仿宋_GB2312"/>
          <w:sz w:val="30"/>
          <w:szCs w:val="30"/>
        </w:rPr>
        <w:t>（5）债券投资交易量较大，具有较强的债券交易需求；</w:t>
      </w:r>
    </w:p>
    <w:p w14:paraId="4CA3F569">
      <w:pPr>
        <w:spacing w:line="600" w:lineRule="exact"/>
        <w:ind w:firstLine="600"/>
        <w:rPr>
          <w:rFonts w:ascii="仿宋_GB2312" w:eastAsia="仿宋_GB2312"/>
          <w:sz w:val="30"/>
          <w:szCs w:val="30"/>
        </w:rPr>
      </w:pPr>
      <w:r>
        <w:rPr>
          <w:rFonts w:hint="eastAsia" w:ascii="仿宋_GB2312" w:eastAsia="仿宋_GB2312"/>
          <w:sz w:val="30"/>
          <w:szCs w:val="30"/>
        </w:rPr>
        <w:t>（6）近2年无债券交易结算重大违法违规行为；</w:t>
      </w:r>
    </w:p>
    <w:p w14:paraId="42D1C855">
      <w:pPr>
        <w:spacing w:line="600" w:lineRule="exact"/>
        <w:ind w:firstLine="600"/>
        <w:rPr>
          <w:rFonts w:ascii="仿宋_GB2312" w:eastAsia="仿宋_GB2312"/>
          <w:sz w:val="30"/>
          <w:szCs w:val="30"/>
        </w:rPr>
      </w:pPr>
      <w:r>
        <w:rPr>
          <w:rFonts w:hint="eastAsia" w:ascii="仿宋_GB2312" w:eastAsia="仿宋_GB2312"/>
          <w:sz w:val="30"/>
          <w:szCs w:val="30"/>
        </w:rPr>
        <w:t>（7）本所规定的其他条件。</w:t>
      </w:r>
    </w:p>
    <w:p w14:paraId="1739D12D">
      <w:pPr>
        <w:spacing w:line="600" w:lineRule="exact"/>
        <w:ind w:firstLine="600"/>
        <w:rPr>
          <w:rFonts w:ascii="仿宋_GB2312" w:eastAsia="仿宋_GB2312"/>
          <w:sz w:val="30"/>
          <w:szCs w:val="30"/>
        </w:rPr>
      </w:pPr>
      <w:r>
        <w:rPr>
          <w:rFonts w:hint="eastAsia" w:ascii="仿宋_GB2312" w:eastAsia="仿宋_GB2312"/>
          <w:sz w:val="30"/>
          <w:szCs w:val="30"/>
        </w:rPr>
        <w:t>第（1）项所称的资本、资金实力，是指非会员单位达到下列标准：</w:t>
      </w:r>
    </w:p>
    <w:p w14:paraId="057C8615">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银行最近一个会计年度年末净资产不低于100亿元人民币。上文所指银行包括政策性银行和国家开发银行、国有大型商业银行、股份制商业银行、城市商业银行、在华外资银行、境内上市的其他银行等；</w:t>
      </w:r>
    </w:p>
    <w:p w14:paraId="1CD6FA5E">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资产管理机构应当具有发行公募资产管理产品资格，或者最近一个会计年度年末管理资产规模不低于500亿元人民币；上文所指资产管理机构，包括但不限于银行理财子公司、基金管理公司及其子公司、证券公司及其资产管理子公司、保险及保险资产管理公司、信托公司、期货公司及其子公司、金融资产投资公司等金融机构；</w:t>
      </w:r>
    </w:p>
    <w:p w14:paraId="3167D16B">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银行、资产管理机构以外的其他机构，包括但不限于保险公司、财务公司、消费金融公司、金融资产管理公司及本所认可的其他机构、法人，最近一个会计年度年末净资产不低于50亿元人民币。</w:t>
      </w:r>
    </w:p>
    <w:p w14:paraId="20D10E3F">
      <w:pPr>
        <w:spacing w:line="600" w:lineRule="exact"/>
        <w:ind w:firstLine="600"/>
        <w:rPr>
          <w:rFonts w:ascii="仿宋_GB2312" w:eastAsia="仿宋_GB2312"/>
          <w:sz w:val="30"/>
          <w:szCs w:val="30"/>
        </w:rPr>
      </w:pPr>
      <w:r>
        <w:rPr>
          <w:rFonts w:hint="eastAsia" w:ascii="仿宋_GB2312" w:eastAsia="仿宋_GB2312"/>
          <w:sz w:val="30"/>
          <w:szCs w:val="30"/>
        </w:rPr>
        <w:t>第（4）项所指技术系统标准指申请人的交易及相关系统与本所接口部分的建设、运行、维护，应当符合本所或者本所授权机构的规定或者认可的技术管理规范。申请人的交易及相关系统通过了本所相关测试，系统的性能、容量及扩展能力应当与其业务发展及市场需求相适应，能够保障交易及相关业务的持续开展。</w:t>
      </w:r>
    </w:p>
    <w:p w14:paraId="11D451E4">
      <w:pPr>
        <w:spacing w:line="600" w:lineRule="exact"/>
        <w:ind w:firstLine="600"/>
        <w:rPr>
          <w:rFonts w:ascii="仿宋_GB2312" w:eastAsia="仿宋_GB2312"/>
          <w:sz w:val="30"/>
          <w:szCs w:val="30"/>
        </w:rPr>
      </w:pPr>
      <w:r>
        <w:rPr>
          <w:rFonts w:hint="eastAsia" w:ascii="仿宋_GB2312" w:eastAsia="仿宋_GB2312"/>
          <w:sz w:val="30"/>
          <w:szCs w:val="30"/>
        </w:rPr>
        <w:t>第（5）项所指的债券投资交易量的统计范围包括交易所市场及银行间市场的债券现券交易、债券回购交易、债券借贷业务等各类债券交易，最近一个年度各类债券投资交易量合计不低于</w:t>
      </w:r>
      <w:r>
        <w:rPr>
          <w:rFonts w:ascii="仿宋_GB2312" w:eastAsia="仿宋_GB2312"/>
          <w:sz w:val="30"/>
          <w:szCs w:val="30"/>
        </w:rPr>
        <w:t>1000</w:t>
      </w:r>
      <w:r>
        <w:rPr>
          <w:rFonts w:hint="eastAsia" w:ascii="仿宋_GB2312" w:eastAsia="仿宋_GB2312"/>
          <w:sz w:val="30"/>
          <w:szCs w:val="30"/>
        </w:rPr>
        <w:t>亿元。对于因承接原机构业务分设成立的新机构，按原机构债券投资交易量统计。</w:t>
      </w:r>
    </w:p>
    <w:p w14:paraId="2F4414D4">
      <w:pPr>
        <w:spacing w:line="600" w:lineRule="exact"/>
        <w:ind w:firstLine="600"/>
        <w:rPr>
          <w:rFonts w:ascii="仿宋_GB2312" w:eastAsia="仿宋_GB2312"/>
          <w:sz w:val="30"/>
          <w:szCs w:val="30"/>
        </w:rPr>
      </w:pPr>
      <w:r>
        <w:rPr>
          <w:rFonts w:hint="eastAsia" w:ascii="仿宋_GB2312" w:eastAsia="仿宋_GB2312"/>
          <w:sz w:val="30"/>
          <w:szCs w:val="30"/>
        </w:rPr>
        <w:t>根据市场发展情况，本所可以调整非会员机构申请成为债券交易参与人的标准。</w:t>
      </w:r>
    </w:p>
    <w:p w14:paraId="5FE1249A">
      <w:pPr>
        <w:numPr>
          <w:ilvl w:val="2"/>
          <w:numId w:val="4"/>
        </w:numPr>
        <w:spacing w:line="600" w:lineRule="exact"/>
        <w:ind w:left="0" w:firstLine="0"/>
        <w:outlineLvl w:val="2"/>
        <w:rPr>
          <w:rFonts w:ascii="仿宋_GB2312" w:eastAsia="仿宋_GB2312"/>
          <w:b/>
          <w:sz w:val="30"/>
          <w:szCs w:val="30"/>
        </w:rPr>
      </w:pPr>
      <w:bookmarkStart w:id="186" w:name="_Toc57908860"/>
      <w:r>
        <w:rPr>
          <w:rFonts w:hint="eastAsia" w:ascii="仿宋_GB2312" w:eastAsia="仿宋_GB2312"/>
          <w:b/>
          <w:sz w:val="30"/>
          <w:szCs w:val="30"/>
        </w:rPr>
        <w:t>申请材料</w:t>
      </w:r>
      <w:bookmarkEnd w:id="186"/>
    </w:p>
    <w:p w14:paraId="5CDA6FC4">
      <w:pPr>
        <w:spacing w:line="600" w:lineRule="exact"/>
        <w:ind w:firstLine="600"/>
        <w:rPr>
          <w:rFonts w:ascii="仿宋_GB2312" w:eastAsia="仿宋_GB2312"/>
          <w:sz w:val="30"/>
          <w:szCs w:val="30"/>
        </w:rPr>
      </w:pPr>
      <w:r>
        <w:rPr>
          <w:rFonts w:hint="eastAsia" w:ascii="仿宋_GB2312" w:eastAsia="仿宋_GB2312"/>
          <w:sz w:val="30"/>
          <w:szCs w:val="30"/>
        </w:rPr>
        <w:t>【非会员机构申请材料】</w:t>
      </w:r>
    </w:p>
    <w:p w14:paraId="082AD5D4">
      <w:pPr>
        <w:spacing w:line="600" w:lineRule="exact"/>
        <w:ind w:firstLine="600"/>
        <w:rPr>
          <w:rFonts w:ascii="仿宋_GB2312" w:eastAsia="仿宋_GB2312"/>
          <w:sz w:val="30"/>
          <w:szCs w:val="30"/>
        </w:rPr>
      </w:pPr>
      <w:r>
        <w:rPr>
          <w:rFonts w:hint="eastAsia" w:ascii="仿宋_GB2312" w:eastAsia="仿宋_GB2312"/>
          <w:sz w:val="30"/>
          <w:szCs w:val="30"/>
        </w:rPr>
        <w:t>非会员机构申请成为债券交易参与人,应向本所提交以下材料，申请材料均应加盖机构公章：</w:t>
      </w:r>
    </w:p>
    <w:p w14:paraId="00E66ADC">
      <w:pPr>
        <w:spacing w:line="600" w:lineRule="exact"/>
        <w:ind w:firstLine="600"/>
        <w:rPr>
          <w:rFonts w:ascii="仿宋_GB2312" w:eastAsia="仿宋_GB2312"/>
          <w:sz w:val="30"/>
          <w:szCs w:val="30"/>
        </w:rPr>
      </w:pPr>
      <w:r>
        <w:rPr>
          <w:rFonts w:hint="eastAsia" w:ascii="仿宋_GB2312" w:eastAsia="仿宋_GB2312"/>
          <w:sz w:val="30"/>
          <w:szCs w:val="30"/>
        </w:rPr>
        <w:t>（1）《债券交易参与人申请表》（附件1）；</w:t>
      </w:r>
    </w:p>
    <w:p w14:paraId="19402D48">
      <w:pPr>
        <w:spacing w:line="600" w:lineRule="exact"/>
        <w:ind w:firstLine="600"/>
        <w:rPr>
          <w:rFonts w:ascii="仿宋_GB2312" w:eastAsia="仿宋_GB2312"/>
          <w:sz w:val="30"/>
          <w:szCs w:val="30"/>
        </w:rPr>
      </w:pPr>
      <w:r>
        <w:rPr>
          <w:rFonts w:hint="eastAsia" w:ascii="仿宋_GB2312" w:eastAsia="仿宋_GB2312"/>
          <w:sz w:val="30"/>
          <w:szCs w:val="30"/>
        </w:rPr>
        <w:t>（2）营业执照复印件；</w:t>
      </w:r>
    </w:p>
    <w:p w14:paraId="69ABA909">
      <w:pPr>
        <w:spacing w:line="600" w:lineRule="exact"/>
        <w:ind w:firstLine="600"/>
        <w:rPr>
          <w:rFonts w:ascii="仿宋_GB2312" w:eastAsia="仿宋_GB2312"/>
          <w:sz w:val="30"/>
          <w:szCs w:val="30"/>
        </w:rPr>
      </w:pPr>
      <w:r>
        <w:rPr>
          <w:rFonts w:hint="eastAsia" w:ascii="仿宋_GB2312" w:eastAsia="仿宋_GB2312"/>
          <w:sz w:val="30"/>
          <w:szCs w:val="30"/>
        </w:rPr>
        <w:t>（3）金融机构营业许可证复印件（如有）；</w:t>
      </w:r>
    </w:p>
    <w:p w14:paraId="06E5E1D7">
      <w:pPr>
        <w:spacing w:line="600" w:lineRule="exact"/>
        <w:ind w:firstLine="600"/>
        <w:rPr>
          <w:rFonts w:ascii="仿宋_GB2312" w:eastAsia="仿宋_GB2312"/>
          <w:sz w:val="30"/>
          <w:szCs w:val="30"/>
        </w:rPr>
      </w:pPr>
      <w:r>
        <w:rPr>
          <w:rFonts w:hint="eastAsia" w:ascii="仿宋_GB2312" w:eastAsia="仿宋_GB2312"/>
          <w:sz w:val="30"/>
          <w:szCs w:val="30"/>
        </w:rPr>
        <w:t>（4）关于以下情况的说明：注册资本、净资产或者管理资产情况，债券交易业务及风险管理制度，债券交易部门设置及业务人员配备情况，债券交易相关技术系统建设情况，关于近2年来债券投资交易情况（包括交易所市场及银行间市场投资交易情况）等；</w:t>
      </w:r>
    </w:p>
    <w:p w14:paraId="0A322F1D">
      <w:pPr>
        <w:spacing w:line="600" w:lineRule="exact"/>
        <w:ind w:firstLine="600"/>
        <w:rPr>
          <w:rFonts w:ascii="仿宋_GB2312" w:eastAsia="仿宋_GB2312"/>
          <w:sz w:val="30"/>
          <w:szCs w:val="30"/>
        </w:rPr>
      </w:pPr>
      <w:r>
        <w:rPr>
          <w:rFonts w:hint="eastAsia" w:ascii="仿宋_GB2312" w:eastAsia="仿宋_GB2312"/>
          <w:sz w:val="30"/>
          <w:szCs w:val="30"/>
        </w:rPr>
        <w:t>（5）本所要求的其他材料。</w:t>
      </w:r>
    </w:p>
    <w:p w14:paraId="6BAFAB32">
      <w:pPr>
        <w:numPr>
          <w:ilvl w:val="2"/>
          <w:numId w:val="4"/>
        </w:numPr>
        <w:spacing w:line="600" w:lineRule="exact"/>
        <w:ind w:left="0" w:firstLine="0"/>
        <w:outlineLvl w:val="2"/>
        <w:rPr>
          <w:rFonts w:ascii="仿宋_GB2312" w:eastAsia="仿宋_GB2312"/>
          <w:b/>
          <w:sz w:val="30"/>
          <w:szCs w:val="30"/>
        </w:rPr>
      </w:pPr>
      <w:bookmarkStart w:id="187" w:name="_Toc57908861"/>
      <w:r>
        <w:rPr>
          <w:rFonts w:hint="eastAsia" w:ascii="仿宋_GB2312" w:eastAsia="仿宋_GB2312"/>
          <w:b/>
          <w:sz w:val="30"/>
          <w:szCs w:val="30"/>
        </w:rPr>
        <w:t>申请流程</w:t>
      </w:r>
      <w:bookmarkEnd w:id="187"/>
    </w:p>
    <w:p w14:paraId="1C3C874C">
      <w:pPr>
        <w:spacing w:line="600" w:lineRule="exact"/>
        <w:ind w:firstLine="600"/>
        <w:rPr>
          <w:rFonts w:ascii="仿宋_GB2312" w:eastAsia="仿宋_GB2312"/>
          <w:sz w:val="30"/>
          <w:szCs w:val="30"/>
        </w:rPr>
      </w:pPr>
      <w:r>
        <w:rPr>
          <w:rFonts w:hint="eastAsia" w:ascii="仿宋_GB2312" w:eastAsia="仿宋_GB2312"/>
          <w:sz w:val="30"/>
          <w:szCs w:val="30"/>
        </w:rPr>
        <w:t>非会员机构申请受理流程:</w:t>
      </w:r>
    </w:p>
    <w:p w14:paraId="5EB95CE9">
      <w:pPr>
        <w:spacing w:line="600" w:lineRule="exact"/>
        <w:ind w:firstLine="600"/>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3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2FC68910">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p>
    <w:p w14:paraId="6EBBFC5E">
      <w:pPr>
        <w:spacing w:line="600" w:lineRule="exact"/>
        <w:ind w:firstLine="600"/>
        <w:rPr>
          <w:rFonts w:ascii="仿宋_GB2312" w:eastAsia="仿宋_GB2312"/>
          <w:sz w:val="30"/>
          <w:szCs w:val="30"/>
        </w:rPr>
      </w:pPr>
      <w:r>
        <w:rPr>
          <w:rFonts w:hint="eastAsia" w:ascii="仿宋_GB2312" w:eastAsia="仿宋_GB2312"/>
          <w:sz w:val="30"/>
          <w:szCs w:val="30"/>
        </w:rPr>
        <w:t>非会员机构符合债券交易参与人申请条件且申请材料齐备的，可通过本所邮箱bondtrading@sse.com.cn进行提交。</w:t>
      </w:r>
    </w:p>
    <w:p w14:paraId="36E04744">
      <w:pPr>
        <w:spacing w:line="600" w:lineRule="exact"/>
        <w:ind w:firstLine="600"/>
        <w:rPr>
          <w:rFonts w:ascii="仿宋_GB2312" w:eastAsia="仿宋_GB2312"/>
          <w:sz w:val="30"/>
          <w:szCs w:val="30"/>
        </w:rPr>
      </w:pPr>
      <w:r>
        <w:rPr>
          <w:rFonts w:hint="eastAsia" w:ascii="仿宋_GB2312" w:eastAsia="仿宋_GB2312"/>
          <w:sz w:val="30"/>
          <w:szCs w:val="30"/>
        </w:rPr>
        <w:t>申请人符合规定条件的，本所自</w:t>
      </w:r>
      <w:r>
        <w:rPr>
          <w:rFonts w:hint="eastAsia" w:ascii="仿宋_GB2312" w:eastAsia="仿宋_GB2312"/>
          <w:color w:val="000000"/>
          <w:sz w:val="30"/>
          <w:szCs w:val="30"/>
        </w:rPr>
        <w:t>申请文件齐备并</w:t>
      </w:r>
      <w:r>
        <w:rPr>
          <w:rFonts w:ascii="仿宋_GB2312" w:eastAsia="仿宋_GB2312"/>
          <w:color w:val="000000"/>
          <w:sz w:val="30"/>
          <w:szCs w:val="30"/>
        </w:rPr>
        <w:t>予以受理</w:t>
      </w:r>
      <w:r>
        <w:rPr>
          <w:rFonts w:hint="eastAsia" w:ascii="仿宋_GB2312" w:eastAsia="仿宋_GB2312"/>
          <w:sz w:val="30"/>
          <w:szCs w:val="30"/>
        </w:rPr>
        <w:t>之日起10个交易日以内接受其成为债券交易参与人。本所及时向市场公告债券交易参与人名单及其变更情况。</w:t>
      </w:r>
    </w:p>
    <w:p w14:paraId="560BF480">
      <w:pPr>
        <w:spacing w:line="600" w:lineRule="exact"/>
        <w:ind w:firstLine="600"/>
        <w:rPr>
          <w:rFonts w:ascii="仿宋_GB2312" w:eastAsia="仿宋_GB2312"/>
          <w:sz w:val="30"/>
          <w:szCs w:val="30"/>
        </w:rPr>
      </w:pPr>
      <w:r>
        <w:rPr>
          <w:rFonts w:hint="eastAsia" w:ascii="仿宋_GB2312" w:eastAsia="仿宋_GB2312"/>
          <w:sz w:val="30"/>
          <w:szCs w:val="30"/>
        </w:rPr>
        <w:t>申请</w:t>
      </w:r>
      <w:r>
        <w:rPr>
          <w:rFonts w:ascii="仿宋_GB2312" w:eastAsia="仿宋_GB2312"/>
          <w:sz w:val="30"/>
          <w:szCs w:val="30"/>
        </w:rPr>
        <w:t>人</w:t>
      </w:r>
      <w:r>
        <w:rPr>
          <w:rFonts w:hint="eastAsia" w:ascii="仿宋_GB2312" w:eastAsia="仿宋_GB2312"/>
          <w:sz w:val="30"/>
          <w:szCs w:val="30"/>
        </w:rPr>
        <w:t>通过登录“CnSCA在线业务系统”（</w:t>
      </w:r>
      <w:r>
        <w:rPr>
          <w:rFonts w:ascii="仿宋_GB2312" w:eastAsia="仿宋_GB2312"/>
          <w:sz w:val="30"/>
          <w:szCs w:val="30"/>
        </w:rPr>
        <w:t>https://cnsca.sse.com.cn/</w:t>
      </w:r>
      <w:r>
        <w:rPr>
          <w:rFonts w:hint="eastAsia" w:ascii="仿宋_GB2312" w:eastAsia="仿宋_GB2312"/>
          <w:sz w:val="30"/>
          <w:szCs w:val="30"/>
        </w:rPr>
        <w:t>）进行“业务管理系统平台-会籍</w:t>
      </w:r>
      <w:r>
        <w:rPr>
          <w:rFonts w:ascii="仿宋_GB2312" w:eastAsia="仿宋_GB2312"/>
          <w:sz w:val="30"/>
          <w:szCs w:val="30"/>
        </w:rPr>
        <w:t>业务</w:t>
      </w:r>
      <w:r>
        <w:rPr>
          <w:rFonts w:hint="eastAsia" w:ascii="仿宋_GB2312" w:eastAsia="仿宋_GB2312"/>
          <w:sz w:val="30"/>
          <w:szCs w:val="30"/>
        </w:rPr>
        <w:t>”模块的数字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31C7DC9C">
      <w:pPr>
        <w:spacing w:line="600" w:lineRule="exact"/>
        <w:ind w:firstLine="600"/>
        <w:rPr>
          <w:rFonts w:ascii="仿宋_GB2312" w:eastAsia="仿宋_GB2312"/>
          <w:sz w:val="30"/>
          <w:szCs w:val="30"/>
        </w:rPr>
      </w:pPr>
      <w:r>
        <w:rPr>
          <w:rFonts w:hint="eastAsia" w:ascii="仿宋_GB2312" w:eastAsia="仿宋_GB2312"/>
          <w:sz w:val="30"/>
          <w:szCs w:val="30"/>
        </w:rPr>
        <w:t>数字证书在线申请流程</w:t>
      </w:r>
      <w:r>
        <w:rPr>
          <w:rFonts w:ascii="仿宋_GB2312" w:eastAsia="仿宋_GB2312"/>
          <w:sz w:val="30"/>
          <w:szCs w:val="30"/>
        </w:rPr>
        <w:t>：</w:t>
      </w:r>
    </w:p>
    <w:p w14:paraId="3C126588">
      <w:pPr>
        <w:spacing w:line="600" w:lineRule="exact"/>
        <w:ind w:firstLine="600"/>
        <w:rPr>
          <w:rFonts w:ascii="仿宋_GB2312" w:eastAsia="仿宋_GB2312"/>
          <w:sz w:val="30"/>
          <w:szCs w:val="30"/>
        </w:rPr>
      </w:pPr>
      <w:r>
        <w:rPr>
          <w:rFonts w:hint="eastAsia" w:ascii="仿宋_GB2312" w:eastAsia="仿宋_GB2312"/>
          <w:sz w:val="30"/>
          <w:szCs w:val="30"/>
        </w:rPr>
        <w:t xml:space="preserve">http://www.sse.com.cn/home/biz/cnsca/process/operation/ </w:t>
      </w:r>
    </w:p>
    <w:p w14:paraId="2B8AD72F">
      <w:pPr>
        <w:spacing w:line="600" w:lineRule="exact"/>
        <w:ind w:firstLine="600"/>
        <w:rPr>
          <w:rFonts w:ascii="仿宋_GB2312" w:eastAsia="仿宋_GB2312"/>
          <w:sz w:val="30"/>
          <w:szCs w:val="30"/>
        </w:rPr>
      </w:pPr>
      <w:r>
        <w:rPr>
          <w:rFonts w:hint="eastAsia" w:ascii="仿宋_GB2312" w:eastAsia="仿宋_GB2312"/>
          <w:sz w:val="30"/>
          <w:szCs w:val="30"/>
        </w:rPr>
        <w:t>数字证书业务</w:t>
      </w:r>
      <w:r>
        <w:rPr>
          <w:rFonts w:ascii="仿宋_GB2312" w:eastAsia="仿宋_GB2312"/>
          <w:sz w:val="30"/>
          <w:szCs w:val="30"/>
        </w:rPr>
        <w:t>支持电话</w:t>
      </w:r>
      <w:r>
        <w:rPr>
          <w:rFonts w:hint="eastAsia" w:ascii="仿宋_GB2312" w:eastAsia="仿宋_GB2312"/>
          <w:sz w:val="30"/>
          <w:szCs w:val="30"/>
        </w:rPr>
        <w:t>：021-68814725</w:t>
      </w:r>
    </w:p>
    <w:p w14:paraId="7E814B7C">
      <w:pPr>
        <w:spacing w:line="600" w:lineRule="exact"/>
        <w:ind w:firstLine="600"/>
        <w:rPr>
          <w:rFonts w:ascii="仿宋_GB2312" w:eastAsia="仿宋_GB2312"/>
          <w:sz w:val="30"/>
          <w:szCs w:val="30"/>
        </w:rPr>
      </w:pPr>
      <w:r>
        <w:rPr>
          <w:rFonts w:hint="eastAsia" w:ascii="仿宋_GB2312" w:eastAsia="仿宋_GB2312"/>
          <w:sz w:val="30"/>
          <w:szCs w:val="30"/>
        </w:rPr>
        <w:t>数字证书技术</w:t>
      </w:r>
      <w:r>
        <w:rPr>
          <w:rFonts w:ascii="仿宋_GB2312" w:eastAsia="仿宋_GB2312"/>
          <w:sz w:val="30"/>
          <w:szCs w:val="30"/>
        </w:rPr>
        <w:t>支持电话</w:t>
      </w:r>
      <w:r>
        <w:rPr>
          <w:rFonts w:hint="eastAsia" w:ascii="仿宋_GB2312" w:eastAsia="仿宋_GB2312"/>
          <w:sz w:val="30"/>
          <w:szCs w:val="30"/>
        </w:rPr>
        <w:t>：021-58654194</w:t>
      </w:r>
    </w:p>
    <w:p w14:paraId="14227F4E">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p>
    <w:p w14:paraId="1F4D2368">
      <w:pPr>
        <w:spacing w:line="600" w:lineRule="exact"/>
        <w:ind w:firstLine="600"/>
        <w:jc w:val="left"/>
        <w:rPr>
          <w:rFonts w:ascii="仿宋_GB2312" w:eastAsia="仿宋_GB2312"/>
          <w:sz w:val="30"/>
          <w:szCs w:val="30"/>
        </w:rPr>
      </w:pPr>
      <w:r>
        <w:rPr>
          <w:rFonts w:hint="eastAsia" w:ascii="仿宋_GB2312" w:eastAsia="仿宋_GB2312"/>
          <w:sz w:val="30"/>
          <w:szCs w:val="30"/>
        </w:rPr>
        <w:t>（1）访问上交所</w:t>
      </w:r>
      <w:r>
        <w:rPr>
          <w:rFonts w:ascii="仿宋_GB2312" w:eastAsia="仿宋_GB2312"/>
          <w:sz w:val="30"/>
          <w:szCs w:val="30"/>
        </w:rPr>
        <w:t>会员业务一站式服务平台</w:t>
      </w:r>
      <w:r>
        <w:rPr>
          <w:rFonts w:hint="eastAsia" w:ascii="仿宋_GB2312" w:eastAsia="仿宋_GB2312"/>
          <w:sz w:val="30"/>
          <w:szCs w:val="30"/>
        </w:rPr>
        <w:t>（</w:t>
      </w:r>
      <w:r>
        <w:rPr>
          <w:rFonts w:ascii="仿宋_GB2312" w:eastAsia="仿宋_GB2312"/>
          <w:sz w:val="30"/>
          <w:szCs w:val="30"/>
        </w:rPr>
        <w:t>http://biz.sse.com.cn/member/</w:t>
      </w:r>
      <w:r>
        <w:rPr>
          <w:rFonts w:hint="eastAsia" w:ascii="仿宋_GB2312" w:eastAsia="仿宋_GB2312"/>
          <w:sz w:val="30"/>
          <w:szCs w:val="30"/>
        </w:rPr>
        <w:t>），使用上交所信息公司颁发的数字证书，输入证书密码，登录上交所“业务管理系统平台-会籍</w:t>
      </w:r>
      <w:r>
        <w:rPr>
          <w:rFonts w:ascii="仿宋_GB2312" w:eastAsia="仿宋_GB2312"/>
          <w:sz w:val="30"/>
          <w:szCs w:val="30"/>
        </w:rPr>
        <w:t>业务</w:t>
      </w:r>
      <w:r>
        <w:rPr>
          <w:rFonts w:hint="eastAsia" w:ascii="仿宋_GB2312" w:eastAsia="仿宋_GB2312"/>
          <w:sz w:val="30"/>
          <w:szCs w:val="30"/>
        </w:rPr>
        <w:t>”模块（</w:t>
      </w:r>
      <w:r>
        <w:fldChar w:fldCharType="begin"/>
      </w:r>
      <w:r>
        <w:instrText xml:space="preserve"> HYPERLINK "https://bmsp.uap.sse.com.cn" </w:instrText>
      </w:r>
      <w:r>
        <w:fldChar w:fldCharType="separate"/>
      </w:r>
      <w:r>
        <w:rPr>
          <w:rFonts w:hint="eastAsia" w:ascii="仿宋_GB2312" w:eastAsia="仿宋_GB2312"/>
          <w:sz w:val="30"/>
          <w:szCs w:val="30"/>
        </w:rPr>
        <w:t>h</w:t>
      </w:r>
      <w:r>
        <w:rPr>
          <w:rFonts w:ascii="仿宋_GB2312" w:eastAsia="仿宋_GB2312"/>
          <w:sz w:val="30"/>
          <w:szCs w:val="30"/>
        </w:rPr>
        <w:t>ttps://bmsp.</w:t>
      </w:r>
      <w:r>
        <w:rPr>
          <w:rFonts w:hint="eastAsia" w:ascii="仿宋_GB2312" w:eastAsia="仿宋_GB2312"/>
          <w:sz w:val="30"/>
          <w:szCs w:val="30"/>
        </w:rPr>
        <w:t>uap.sse</w:t>
      </w:r>
      <w:r>
        <w:rPr>
          <w:rFonts w:ascii="仿宋_GB2312" w:eastAsia="仿宋_GB2312"/>
          <w:sz w:val="30"/>
          <w:szCs w:val="30"/>
        </w:rPr>
        <w:t>.com.cn</w:t>
      </w:r>
      <w:r>
        <w:rPr>
          <w:rFonts w:ascii="仿宋_GB2312" w:eastAsia="仿宋_GB2312"/>
          <w:sz w:val="30"/>
          <w:szCs w:val="30"/>
        </w:rPr>
        <w:fldChar w:fldCharType="end"/>
      </w:r>
      <w:r>
        <w:rPr>
          <w:rFonts w:hint="eastAsia" w:ascii="仿宋_GB2312" w:eastAsia="仿宋_GB2312"/>
          <w:sz w:val="30"/>
          <w:szCs w:val="30"/>
        </w:rPr>
        <w:t>，</w:t>
      </w:r>
      <w:r>
        <w:rPr>
          <w:rFonts w:ascii="仿宋_GB2312" w:eastAsia="仿宋_GB2312"/>
          <w:sz w:val="30"/>
          <w:szCs w:val="30"/>
        </w:rPr>
        <w:t>以下简称会籍业务平台</w:t>
      </w:r>
      <w:r>
        <w:rPr>
          <w:rFonts w:hint="eastAsia" w:ascii="仿宋_GB2312" w:eastAsia="仿宋_GB2312"/>
          <w:sz w:val="30"/>
          <w:szCs w:val="30"/>
        </w:rPr>
        <w:t>）。</w:t>
      </w:r>
    </w:p>
    <w:p w14:paraId="06659C26">
      <w:pPr>
        <w:spacing w:line="600" w:lineRule="exact"/>
        <w:ind w:firstLine="600"/>
        <w:jc w:val="left"/>
        <w:rPr>
          <w:rFonts w:ascii="仿宋_GB2312" w:eastAsia="仿宋_GB2312"/>
          <w:sz w:val="30"/>
          <w:szCs w:val="30"/>
        </w:rPr>
      </w:pPr>
      <w:r>
        <w:rPr>
          <w:rFonts w:hint="eastAsia" w:ascii="仿宋_GB2312" w:eastAsia="仿宋_GB2312"/>
          <w:sz w:val="30"/>
          <w:szCs w:val="30"/>
        </w:rPr>
        <w:t xml:space="preserve"> （2）进入系统登录页面，使用非会员机构用户进行登录，非会员机构用户类型，用户名插入数字证书后自动跳出，密码</w:t>
      </w:r>
      <w:r>
        <w:rPr>
          <w:rFonts w:ascii="仿宋_GB2312" w:eastAsia="仿宋_GB2312"/>
          <w:sz w:val="30"/>
          <w:szCs w:val="30"/>
        </w:rPr>
        <w:t>“xxxxx</w:t>
      </w:r>
      <w:r>
        <w:rPr>
          <w:rFonts w:hint="eastAsia" w:ascii="仿宋_GB2312" w:eastAsia="仿宋_GB2312"/>
          <w:sz w:val="30"/>
          <w:szCs w:val="30"/>
        </w:rPr>
        <w:t>”为阿拉伯数字。</w:t>
      </w:r>
    </w:p>
    <w:p w14:paraId="7C79611A">
      <w:pPr>
        <w:spacing w:line="600" w:lineRule="exact"/>
        <w:ind w:firstLine="600"/>
        <w:rPr>
          <w:rFonts w:ascii="仿宋_GB2312" w:eastAsia="仿宋_GB2312"/>
          <w:sz w:val="30"/>
          <w:szCs w:val="30"/>
        </w:rPr>
      </w:pPr>
      <w:r>
        <w:rPr>
          <w:rFonts w:hint="eastAsia" w:ascii="仿宋_GB2312" w:eastAsia="仿宋_GB2312"/>
          <w:sz w:val="30"/>
          <w:szCs w:val="30"/>
        </w:rPr>
        <w:t>（3）登录后，选择“会员管理业务二期”，“机构业务操作岗”进入“机构新设”。</w:t>
      </w:r>
    </w:p>
    <w:p w14:paraId="0BF26C25">
      <w:pPr>
        <w:spacing w:line="600" w:lineRule="exact"/>
        <w:ind w:firstLine="600"/>
        <w:rPr>
          <w:rFonts w:ascii="仿宋_GB2312" w:eastAsia="仿宋_GB2312"/>
          <w:sz w:val="30"/>
          <w:szCs w:val="30"/>
        </w:rPr>
      </w:pPr>
      <w:r>
        <w:rPr>
          <w:rFonts w:hint="eastAsia" w:ascii="仿宋_GB2312" w:eastAsia="仿宋_GB2312"/>
          <w:sz w:val="30"/>
          <w:szCs w:val="30"/>
        </w:rPr>
        <w:t>（4）进入非会员机构登记首页，上传如下材料：</w:t>
      </w:r>
    </w:p>
    <w:p w14:paraId="6BBF18C0">
      <w:pPr>
        <w:spacing w:line="600" w:lineRule="exact"/>
        <w:ind w:firstLine="600"/>
        <w:rPr>
          <w:rFonts w:ascii="仿宋_GB2312" w:eastAsia="仿宋_GB2312"/>
          <w:sz w:val="30"/>
          <w:szCs w:val="30"/>
        </w:rPr>
      </w:pPr>
      <w:r>
        <w:rPr>
          <w:rFonts w:hint="eastAsia" w:ascii="仿宋_GB2312" w:eastAsia="仿宋_GB2312"/>
          <w:sz w:val="30"/>
          <w:szCs w:val="30"/>
        </w:rPr>
        <w:t>1）主管机关同意公司设立的批复</w:t>
      </w:r>
    </w:p>
    <w:p w14:paraId="61FCFCE9">
      <w:pPr>
        <w:spacing w:line="600" w:lineRule="exact"/>
        <w:ind w:firstLine="600"/>
        <w:rPr>
          <w:rFonts w:ascii="仿宋_GB2312" w:eastAsia="仿宋_GB2312"/>
          <w:sz w:val="30"/>
          <w:szCs w:val="30"/>
        </w:rPr>
      </w:pPr>
      <w:r>
        <w:rPr>
          <w:rFonts w:hint="eastAsia" w:ascii="仿宋_GB2312" w:eastAsia="仿宋_GB2312"/>
          <w:sz w:val="30"/>
          <w:szCs w:val="30"/>
        </w:rPr>
        <w:t>2）公司金融许可证</w:t>
      </w:r>
    </w:p>
    <w:p w14:paraId="77AAE831">
      <w:pPr>
        <w:spacing w:line="600" w:lineRule="exact"/>
        <w:ind w:firstLine="600"/>
        <w:rPr>
          <w:rFonts w:ascii="仿宋_GB2312" w:eastAsia="仿宋_GB2312"/>
          <w:sz w:val="30"/>
          <w:szCs w:val="30"/>
        </w:rPr>
      </w:pPr>
      <w:r>
        <w:rPr>
          <w:rFonts w:hint="eastAsia" w:ascii="仿宋_GB2312" w:eastAsia="仿宋_GB2312"/>
          <w:sz w:val="30"/>
          <w:szCs w:val="30"/>
        </w:rPr>
        <w:t>3）营业执照</w:t>
      </w:r>
    </w:p>
    <w:p w14:paraId="7903EC0F">
      <w:pPr>
        <w:spacing w:line="600" w:lineRule="exact"/>
        <w:ind w:firstLine="600"/>
        <w:rPr>
          <w:rFonts w:ascii="仿宋_GB2312" w:eastAsia="仿宋_GB2312"/>
          <w:sz w:val="30"/>
          <w:szCs w:val="30"/>
        </w:rPr>
      </w:pPr>
      <w:r>
        <w:rPr>
          <w:rFonts w:hint="eastAsia" w:ascii="仿宋_GB2312" w:eastAsia="仿宋_GB2312"/>
          <w:sz w:val="30"/>
          <w:szCs w:val="30"/>
        </w:rPr>
        <w:t>4）会籍系统资格申请报告（模板参见附件2）</w:t>
      </w:r>
    </w:p>
    <w:p w14:paraId="2B7A4784">
      <w:pPr>
        <w:spacing w:line="600" w:lineRule="exact"/>
        <w:ind w:firstLine="600"/>
        <w:rPr>
          <w:rFonts w:ascii="仿宋_GB2312" w:eastAsia="仿宋_GB2312"/>
          <w:sz w:val="30"/>
          <w:szCs w:val="30"/>
        </w:rPr>
      </w:pPr>
      <w:r>
        <w:rPr>
          <w:rFonts w:hint="eastAsia" w:ascii="仿宋_GB2312" w:eastAsia="仿宋_GB2312"/>
          <w:sz w:val="30"/>
          <w:szCs w:val="30"/>
        </w:rPr>
        <w:t>5）专职部门及主要管理人员概况</w:t>
      </w:r>
    </w:p>
    <w:p w14:paraId="12B25BE9">
      <w:pPr>
        <w:spacing w:line="600" w:lineRule="exact"/>
        <w:ind w:firstLine="600"/>
        <w:rPr>
          <w:rFonts w:ascii="仿宋_GB2312" w:eastAsia="仿宋_GB2312"/>
          <w:sz w:val="30"/>
          <w:szCs w:val="30"/>
        </w:rPr>
      </w:pPr>
      <w:r>
        <w:rPr>
          <w:rFonts w:hint="eastAsia" w:ascii="仿宋_GB2312" w:eastAsia="仿宋_GB2312"/>
          <w:sz w:val="30"/>
          <w:szCs w:val="30"/>
        </w:rPr>
        <w:t>6）公司章程及内控制度</w:t>
      </w:r>
    </w:p>
    <w:p w14:paraId="5593CA48">
      <w:pPr>
        <w:spacing w:line="600" w:lineRule="exact"/>
        <w:ind w:firstLine="600"/>
        <w:rPr>
          <w:rFonts w:ascii="仿宋_GB2312" w:eastAsia="仿宋_GB2312"/>
          <w:sz w:val="30"/>
          <w:szCs w:val="30"/>
        </w:rPr>
      </w:pPr>
      <w:r>
        <w:rPr>
          <w:rFonts w:hint="eastAsia" w:ascii="仿宋_GB2312" w:eastAsia="仿宋_GB2312"/>
          <w:sz w:val="30"/>
          <w:szCs w:val="30"/>
        </w:rPr>
        <w:t>7）承诺书</w:t>
      </w:r>
    </w:p>
    <w:p w14:paraId="1F7BFD96">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72B4A756">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600DE6BD">
      <w:pPr>
        <w:spacing w:line="600" w:lineRule="exact"/>
        <w:ind w:firstLine="600"/>
        <w:rPr>
          <w:rFonts w:ascii="仿宋_GB2312" w:eastAsia="仿宋_GB2312"/>
          <w:sz w:val="30"/>
          <w:szCs w:val="30"/>
        </w:rPr>
      </w:pPr>
      <w:r>
        <w:rPr>
          <w:rFonts w:hint="eastAsia" w:ascii="仿宋_GB2312" w:eastAsia="仿宋_GB2312"/>
          <w:sz w:val="30"/>
          <w:szCs w:val="30"/>
        </w:rPr>
        <w:t>其中，材料2）公司金融许可证、材料3）营业执照、材料</w:t>
      </w:r>
      <w:r>
        <w:rPr>
          <w:rFonts w:ascii="仿宋_GB2312" w:eastAsia="仿宋_GB2312"/>
          <w:sz w:val="30"/>
          <w:szCs w:val="30"/>
        </w:rPr>
        <w:t>5</w:t>
      </w:r>
      <w:r>
        <w:rPr>
          <w:rFonts w:hint="eastAsia" w:ascii="仿宋_GB2312" w:eastAsia="仿宋_GB2312"/>
          <w:sz w:val="30"/>
          <w:szCs w:val="30"/>
        </w:rPr>
        <w:t>）专职部门及主要管理人员概况、材料6）公司章程及内控制度等，如在债券交易参与人申请环节已提供的，可复用。</w:t>
      </w:r>
    </w:p>
    <w:p w14:paraId="0112DB0B">
      <w:pPr>
        <w:spacing w:line="600" w:lineRule="exact"/>
        <w:ind w:firstLine="600"/>
        <w:rPr>
          <w:rFonts w:ascii="仿宋_GB2312" w:eastAsia="仿宋_GB2312"/>
          <w:sz w:val="30"/>
          <w:szCs w:val="30"/>
        </w:rPr>
      </w:pPr>
      <w:r>
        <w:rPr>
          <w:rFonts w:hint="eastAsia" w:ascii="仿宋_GB2312" w:eastAsia="仿宋_GB2312"/>
          <w:sz w:val="30"/>
          <w:szCs w:val="30"/>
        </w:rPr>
        <w:t>（9）点击“现在申请”后进入机构登记业务流程，*为必填或必传项。点击下一步进入“非会员机构基本情况登记表”。非会员类型根据机构类型进行选择，如商业银行，*为必填项。点击下一步进入“非会员公司主要职能登记表”。</w:t>
      </w:r>
    </w:p>
    <w:p w14:paraId="0DB8D7C0">
      <w:pPr>
        <w:spacing w:line="600" w:lineRule="exact"/>
        <w:ind w:firstLine="600"/>
        <w:rPr>
          <w:rFonts w:ascii="仿宋_GB2312" w:eastAsia="仿宋_GB2312"/>
          <w:sz w:val="30"/>
          <w:szCs w:val="30"/>
        </w:rPr>
      </w:pPr>
      <w:r>
        <w:rPr>
          <w:rFonts w:hint="eastAsia" w:ascii="仿宋_GB2312" w:eastAsia="仿宋_GB2312"/>
          <w:sz w:val="30"/>
          <w:szCs w:val="30"/>
        </w:rPr>
        <w:t>股东情况可以最近一个年度公司财务报表中的数据为准填写前十位股东。点击下一步进入“非会员机构基本情况登记表”。非会员类*为必填项。</w:t>
      </w:r>
    </w:p>
    <w:p w14:paraId="02DD4C12">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 3 \* GB3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p>
    <w:p w14:paraId="01CD5632">
      <w:pPr>
        <w:spacing w:line="600" w:lineRule="exact"/>
        <w:ind w:firstLine="600"/>
        <w:rPr>
          <w:rFonts w:ascii="仿宋_GB2312" w:eastAsia="仿宋_GB2312"/>
          <w:sz w:val="30"/>
          <w:szCs w:val="30"/>
        </w:rPr>
      </w:pPr>
      <w:r>
        <w:rPr>
          <w:rFonts w:hint="eastAsia" w:ascii="仿宋_GB2312" w:eastAsia="仿宋_GB2312"/>
          <w:sz w:val="30"/>
          <w:szCs w:val="30"/>
        </w:rPr>
        <w:t>债券交易参与人在参与债券交易前应当按照登记结算机构相关规定建立结算路径，以履行相应的交收义务。</w:t>
      </w:r>
    </w:p>
    <w:p w14:paraId="4AFB750D">
      <w:pPr>
        <w:spacing w:line="600" w:lineRule="exact"/>
        <w:ind w:firstLine="600"/>
        <w:rPr>
          <w:rFonts w:ascii="仿宋_GB2312" w:eastAsia="仿宋_GB2312"/>
          <w:sz w:val="30"/>
          <w:szCs w:val="30"/>
        </w:rPr>
      </w:pPr>
      <w:r>
        <w:rPr>
          <w:rFonts w:hint="eastAsia" w:ascii="仿宋_GB2312" w:eastAsia="仿宋_GB2312"/>
          <w:sz w:val="30"/>
          <w:szCs w:val="30"/>
        </w:rPr>
        <w:t>取得登记结算机构结算参与人资格的债券交易参与人，可自行办理结算业务；未取得结算参与人资格的债券交易参与人，应当委托其他结算参与人办理结算业务。</w:t>
      </w:r>
    </w:p>
    <w:p w14:paraId="74482E65">
      <w:pPr>
        <w:spacing w:line="600" w:lineRule="exact"/>
        <w:ind w:firstLine="600"/>
        <w:rPr>
          <w:rFonts w:ascii="仿宋_GB2312" w:eastAsia="仿宋_GB2312"/>
          <w:sz w:val="30"/>
          <w:szCs w:val="30"/>
        </w:rPr>
      </w:pPr>
      <w:r>
        <w:rPr>
          <w:rFonts w:hint="eastAsia" w:ascii="仿宋_GB2312" w:eastAsia="仿宋_GB2312"/>
          <w:sz w:val="30"/>
          <w:szCs w:val="30"/>
        </w:rPr>
        <w:t>以下情形视作结算路径已经确定：</w:t>
      </w:r>
    </w:p>
    <w:p w14:paraId="3FDB244A">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债券交易参与人已经取得登记结算机构的结算资格，在登记结算机构开通了结算业务，开立了各类结算备付金账户，获得了结算编号。</w:t>
      </w:r>
    </w:p>
    <w:p w14:paraId="29575A10">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产品的托管人已经取得登记结算机构的结算资格，在登记结算机构开通了结算业务，开立了各类结算备付金账户，获得了结算编号。</w:t>
      </w:r>
    </w:p>
    <w:p w14:paraId="06BF9F1B">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p>
    <w:p w14:paraId="4EE23C00">
      <w:pPr>
        <w:spacing w:line="600" w:lineRule="exact"/>
        <w:ind w:firstLine="600"/>
        <w:rPr>
          <w:rFonts w:ascii="仿宋_GB2312" w:eastAsia="仿宋_GB2312"/>
          <w:sz w:val="30"/>
          <w:szCs w:val="30"/>
        </w:rPr>
      </w:pPr>
      <w:r>
        <w:rPr>
          <w:rFonts w:hint="eastAsia" w:ascii="仿宋_GB2312" w:eastAsia="仿宋_GB2312"/>
          <w:sz w:val="30"/>
          <w:szCs w:val="30"/>
        </w:rPr>
        <w:t>（1）交易单元种类</w:t>
      </w:r>
    </w:p>
    <w:p w14:paraId="53E16CFE">
      <w:pPr>
        <w:spacing w:line="600" w:lineRule="exact"/>
        <w:ind w:firstLine="600"/>
        <w:rPr>
          <w:rFonts w:ascii="仿宋_GB2312" w:eastAsia="仿宋_GB2312"/>
          <w:sz w:val="30"/>
          <w:szCs w:val="30"/>
        </w:rPr>
      </w:pPr>
      <w:r>
        <w:rPr>
          <w:rFonts w:hint="eastAsia" w:ascii="仿宋_GB2312" w:eastAsia="仿宋_GB2312"/>
          <w:sz w:val="30"/>
          <w:szCs w:val="30"/>
        </w:rPr>
        <w:t>按照交易单元的获取方式不同，债券交易相关的交易单元分为三类：</w:t>
      </w:r>
    </w:p>
    <w:p w14:paraId="3934CE33">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会员开设的交易单元；</w:t>
      </w:r>
    </w:p>
    <w:p w14:paraId="429A04A7">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从会员租用的交易单元，租用方包括银行、基金公司、保险公司等；</w:t>
      </w:r>
    </w:p>
    <w:p w14:paraId="00AA81C9">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非会员债券交易参与人开设的交易单元。</w:t>
      </w:r>
    </w:p>
    <w:p w14:paraId="05706BDC">
      <w:pPr>
        <w:spacing w:line="600" w:lineRule="exact"/>
        <w:ind w:firstLine="600"/>
        <w:rPr>
          <w:rFonts w:ascii="仿宋_GB2312" w:eastAsia="仿宋_GB2312"/>
          <w:sz w:val="30"/>
          <w:szCs w:val="30"/>
        </w:rPr>
      </w:pPr>
      <w:r>
        <w:rPr>
          <w:rFonts w:hint="eastAsia" w:ascii="仿宋_GB2312" w:eastAsia="仿宋_GB2312"/>
          <w:sz w:val="30"/>
          <w:szCs w:val="30"/>
        </w:rPr>
        <w:t>交易单元的开设、使用与管理，按照《上海证券交易所参与者交易业务单元实施细则》及本所其他有关规定执行。</w:t>
      </w:r>
    </w:p>
    <w:p w14:paraId="4ABBBBDE">
      <w:pPr>
        <w:spacing w:line="600" w:lineRule="exact"/>
        <w:ind w:firstLine="600"/>
        <w:rPr>
          <w:rFonts w:ascii="仿宋_GB2312" w:eastAsia="仿宋_GB2312"/>
          <w:sz w:val="30"/>
          <w:szCs w:val="30"/>
        </w:rPr>
      </w:pPr>
      <w:r>
        <w:rPr>
          <w:rFonts w:hint="eastAsia" w:ascii="仿宋_GB2312" w:eastAsia="仿宋_GB2312"/>
          <w:sz w:val="30"/>
          <w:szCs w:val="30"/>
        </w:rPr>
        <w:t>非会员机构租用交易单元的要求和流程，按照《</w:t>
      </w:r>
      <w:r>
        <w:rPr>
          <w:rFonts w:hint="eastAsia" w:ascii="仿宋_GB2312" w:hAnsi="Calibri" w:eastAsia="仿宋_GB2312"/>
          <w:sz w:val="30"/>
          <w:szCs w:val="30"/>
        </w:rPr>
        <w:t>上海证券交易所会籍业务网上办理指引</w:t>
      </w:r>
      <w:r>
        <w:rPr>
          <w:rFonts w:hint="eastAsia" w:ascii="仿宋_GB2312" w:eastAsia="仿宋_GB2312"/>
          <w:sz w:val="30"/>
          <w:szCs w:val="30"/>
        </w:rPr>
        <w:t>》等相关规定办理。</w:t>
      </w:r>
    </w:p>
    <w:p w14:paraId="52768309">
      <w:pPr>
        <w:spacing w:line="600" w:lineRule="exact"/>
        <w:ind w:firstLine="600"/>
        <w:rPr>
          <w:rFonts w:ascii="仿宋_GB2312" w:eastAsia="仿宋_GB2312"/>
          <w:sz w:val="30"/>
          <w:szCs w:val="30"/>
        </w:rPr>
      </w:pPr>
      <w:r>
        <w:rPr>
          <w:rFonts w:hint="eastAsia" w:ascii="仿宋_GB2312" w:eastAsia="仿宋_GB2312"/>
          <w:sz w:val="30"/>
          <w:szCs w:val="30"/>
        </w:rPr>
        <w:t>（2）新设交易单元流程</w:t>
      </w:r>
    </w:p>
    <w:p w14:paraId="3A3886A5">
      <w:pPr>
        <w:spacing w:line="600" w:lineRule="exact"/>
        <w:ind w:firstLine="600"/>
        <w:rPr>
          <w:rFonts w:ascii="仿宋_GB2312" w:eastAsia="仿宋_GB2312"/>
          <w:sz w:val="30"/>
          <w:szCs w:val="30"/>
        </w:rPr>
      </w:pPr>
      <w:r>
        <w:rPr>
          <w:rFonts w:hint="eastAsia" w:ascii="仿宋_GB2312" w:eastAsia="仿宋_GB2312"/>
          <w:sz w:val="30"/>
          <w:szCs w:val="30"/>
        </w:rPr>
        <w:t>新设交易单元流程在</w:t>
      </w:r>
      <w:r>
        <w:rPr>
          <w:rFonts w:ascii="仿宋_GB2312" w:eastAsia="仿宋_GB2312"/>
          <w:sz w:val="30"/>
          <w:szCs w:val="30"/>
        </w:rPr>
        <w:t>会籍业务平台</w:t>
      </w:r>
      <w:r>
        <w:rPr>
          <w:rFonts w:hint="eastAsia" w:ascii="仿宋_GB2312" w:eastAsia="仿宋_GB2312"/>
          <w:sz w:val="30"/>
          <w:szCs w:val="30"/>
        </w:rPr>
        <w:t>登录办理。非会员登录后，选择“新设交易单元”开始业务办理，进入业务说明页。非会员机构新设债券交易单元申请材料如下：</w:t>
      </w:r>
    </w:p>
    <w:p w14:paraId="76609593">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新设交易单元申请信息</w:t>
      </w:r>
    </w:p>
    <w:p w14:paraId="4ED5527E">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非会员机构交易单元联通申请表</w:t>
      </w:r>
    </w:p>
    <w:p w14:paraId="16EBEAC7">
      <w:pPr>
        <w:spacing w:line="600" w:lineRule="exact"/>
        <w:ind w:firstLine="600"/>
        <w:rPr>
          <w:rFonts w:ascii="仿宋_GB2312" w:eastAsia="仿宋_GB2312"/>
          <w:sz w:val="30"/>
          <w:szCs w:val="30"/>
        </w:rPr>
      </w:pPr>
      <w:r>
        <w:rPr>
          <w:rFonts w:hint="eastAsia" w:ascii="仿宋_GB2312" w:eastAsia="仿宋_GB2312"/>
          <w:sz w:val="30"/>
          <w:szCs w:val="30"/>
        </w:rPr>
        <w:t>办理完成后可通过本平台</w:t>
      </w:r>
      <w:r>
        <w:rPr>
          <w:rFonts w:ascii="仿宋_GB2312" w:eastAsia="仿宋_GB2312"/>
          <w:sz w:val="30"/>
          <w:szCs w:val="30"/>
        </w:rPr>
        <w:t>会员业务模块</w:t>
      </w:r>
      <w:r>
        <w:rPr>
          <w:rFonts w:hint="eastAsia" w:ascii="仿宋_GB2312" w:eastAsia="仿宋_GB2312"/>
          <w:sz w:val="30"/>
          <w:szCs w:val="30"/>
        </w:rPr>
        <w:t>查询业务办理结果。</w:t>
      </w:r>
    </w:p>
    <w:p w14:paraId="1402FA85">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4DCE3827">
      <w:pPr>
        <w:spacing w:line="600" w:lineRule="exact"/>
        <w:ind w:firstLine="600"/>
        <w:rPr>
          <w:rFonts w:ascii="仿宋_GB2312" w:eastAsia="仿宋_GB2312"/>
          <w:sz w:val="30"/>
          <w:szCs w:val="30"/>
        </w:rPr>
      </w:pPr>
      <w:r>
        <w:rPr>
          <w:rFonts w:hint="eastAsia" w:ascii="仿宋_GB2312" w:eastAsia="仿宋_GB2312"/>
          <w:sz w:val="30"/>
          <w:szCs w:val="30"/>
        </w:rPr>
        <w:t>申请债券交易参与人时已经提供固定收益平台的申请材料，无需重复提交。</w:t>
      </w:r>
    </w:p>
    <w:p w14:paraId="32E369A0">
      <w:pPr>
        <w:spacing w:line="600" w:lineRule="exact"/>
        <w:ind w:firstLine="600"/>
        <w:rPr>
          <w:rFonts w:ascii="仿宋_GB2312" w:eastAsia="仿宋_GB2312"/>
          <w:sz w:val="30"/>
          <w:szCs w:val="30"/>
        </w:rPr>
      </w:pPr>
      <w:r>
        <w:rPr>
          <w:rFonts w:hint="eastAsia" w:ascii="仿宋_GB2312" w:eastAsia="仿宋_GB2312"/>
          <w:sz w:val="30"/>
          <w:szCs w:val="30"/>
        </w:rPr>
        <w:t>债券</w:t>
      </w:r>
      <w:r>
        <w:rPr>
          <w:rFonts w:ascii="仿宋_GB2312" w:eastAsia="仿宋_GB2312"/>
          <w:sz w:val="30"/>
          <w:szCs w:val="30"/>
        </w:rPr>
        <w:t>交易参与人</w:t>
      </w:r>
      <w:r>
        <w:rPr>
          <w:rFonts w:hint="eastAsia" w:ascii="仿宋_GB2312" w:eastAsia="仿宋_GB2312"/>
          <w:sz w:val="30"/>
          <w:szCs w:val="30"/>
        </w:rPr>
        <w:t>在开展固定</w:t>
      </w:r>
      <w:r>
        <w:rPr>
          <w:rFonts w:ascii="仿宋_GB2312" w:eastAsia="仿宋_GB2312"/>
          <w:sz w:val="30"/>
          <w:szCs w:val="30"/>
        </w:rPr>
        <w:t>收益平台业务前，需先</w:t>
      </w:r>
      <w:r>
        <w:rPr>
          <w:rFonts w:hint="eastAsia" w:ascii="仿宋_GB2312" w:eastAsia="仿宋_GB2312"/>
          <w:sz w:val="30"/>
          <w:szCs w:val="30"/>
        </w:rPr>
        <w:t>向本所</w:t>
      </w:r>
      <w:r>
        <w:rPr>
          <w:rFonts w:ascii="仿宋_GB2312" w:eastAsia="仿宋_GB2312"/>
          <w:sz w:val="30"/>
          <w:szCs w:val="30"/>
        </w:rPr>
        <w:t>申请</w:t>
      </w:r>
      <w:r>
        <w:rPr>
          <w:rFonts w:hint="eastAsia" w:ascii="仿宋_GB2312" w:eastAsia="仿宋_GB2312"/>
          <w:sz w:val="30"/>
          <w:szCs w:val="30"/>
        </w:rPr>
        <w:t>固定</w:t>
      </w:r>
      <w:r>
        <w:rPr>
          <w:rFonts w:ascii="仿宋_GB2312" w:eastAsia="仿宋_GB2312"/>
          <w:sz w:val="30"/>
          <w:szCs w:val="30"/>
        </w:rPr>
        <w:t>收益平台的交易商资格，</w:t>
      </w:r>
      <w:r>
        <w:rPr>
          <w:rFonts w:hint="eastAsia" w:ascii="仿宋_GB2312" w:eastAsia="仿宋_GB2312"/>
          <w:sz w:val="30"/>
          <w:szCs w:val="30"/>
        </w:rPr>
        <w:t>随后通过</w:t>
      </w:r>
      <w:r>
        <w:rPr>
          <w:rFonts w:ascii="仿宋_GB2312" w:eastAsia="仿宋_GB2312"/>
          <w:sz w:val="30"/>
          <w:szCs w:val="30"/>
        </w:rPr>
        <w:t>办理数字证书申请或</w:t>
      </w:r>
      <w:r>
        <w:rPr>
          <w:rFonts w:hint="eastAsia" w:ascii="仿宋_GB2312" w:eastAsia="仿宋_GB2312"/>
          <w:sz w:val="30"/>
          <w:szCs w:val="30"/>
        </w:rPr>
        <w:t>EZ</w:t>
      </w:r>
      <w:r>
        <w:rPr>
          <w:rFonts w:ascii="仿宋_GB2312" w:eastAsia="仿宋_GB2312"/>
          <w:sz w:val="30"/>
          <w:szCs w:val="30"/>
        </w:rPr>
        <w:t>DA</w:t>
      </w:r>
      <w:r>
        <w:rPr>
          <w:rFonts w:hint="eastAsia" w:ascii="仿宋_GB2312" w:eastAsia="仿宋_GB2312"/>
          <w:sz w:val="30"/>
          <w:szCs w:val="30"/>
        </w:rPr>
        <w:t>电子</w:t>
      </w:r>
      <w:r>
        <w:rPr>
          <w:rFonts w:ascii="仿宋_GB2312" w:eastAsia="仿宋_GB2312"/>
          <w:sz w:val="30"/>
          <w:szCs w:val="30"/>
        </w:rPr>
        <w:t>接口</w:t>
      </w:r>
      <w:r>
        <w:rPr>
          <w:rFonts w:hint="eastAsia" w:ascii="仿宋_GB2312" w:eastAsia="仿宋_GB2312"/>
          <w:sz w:val="30"/>
          <w:szCs w:val="30"/>
        </w:rPr>
        <w:t>两种</w:t>
      </w:r>
      <w:r>
        <w:rPr>
          <w:rFonts w:ascii="仿宋_GB2312" w:eastAsia="仿宋_GB2312"/>
          <w:sz w:val="30"/>
          <w:szCs w:val="30"/>
        </w:rPr>
        <w:t>方式新增</w:t>
      </w:r>
      <w:r>
        <w:rPr>
          <w:rFonts w:hint="eastAsia" w:ascii="仿宋_GB2312" w:eastAsia="仿宋_GB2312"/>
          <w:sz w:val="30"/>
          <w:szCs w:val="30"/>
        </w:rPr>
        <w:t>交易员</w:t>
      </w:r>
      <w:r>
        <w:rPr>
          <w:rFonts w:ascii="仿宋_GB2312" w:eastAsia="仿宋_GB2312"/>
          <w:sz w:val="30"/>
          <w:szCs w:val="30"/>
        </w:rPr>
        <w:t>，</w:t>
      </w:r>
      <w:r>
        <w:rPr>
          <w:rFonts w:hint="eastAsia" w:ascii="仿宋_GB2312" w:eastAsia="仿宋_GB2312"/>
          <w:sz w:val="30"/>
          <w:szCs w:val="30"/>
        </w:rPr>
        <w:t>从而开通固定收益平台权限。本所为债券交易参与人开通固定收益平台权限后，</w:t>
      </w:r>
      <w:r>
        <w:rPr>
          <w:rFonts w:ascii="仿宋_GB2312" w:eastAsia="仿宋_GB2312"/>
          <w:sz w:val="30"/>
          <w:szCs w:val="30"/>
        </w:rPr>
        <w:t>本所</w:t>
      </w:r>
      <w:r>
        <w:rPr>
          <w:rFonts w:hint="eastAsia" w:ascii="仿宋_GB2312" w:eastAsia="仿宋_GB2312"/>
          <w:sz w:val="30"/>
          <w:szCs w:val="30"/>
        </w:rPr>
        <w:t>将向该申请人发送固定收益平台的用户名和密码，并寄送“固定收益平台”EKey数字证书。具体</w:t>
      </w:r>
      <w:r>
        <w:rPr>
          <w:rFonts w:ascii="仿宋_GB2312" w:eastAsia="仿宋_GB2312"/>
          <w:sz w:val="30"/>
          <w:szCs w:val="30"/>
        </w:rPr>
        <w:t>流程</w:t>
      </w:r>
      <w:r>
        <w:rPr>
          <w:rFonts w:hint="eastAsia" w:ascii="仿宋_GB2312" w:eastAsia="仿宋_GB2312"/>
          <w:sz w:val="30"/>
          <w:szCs w:val="30"/>
        </w:rPr>
        <w:t>包括</w:t>
      </w:r>
      <w:r>
        <w:rPr>
          <w:rFonts w:ascii="仿宋_GB2312" w:eastAsia="仿宋_GB2312"/>
          <w:sz w:val="30"/>
          <w:szCs w:val="30"/>
        </w:rPr>
        <w:t>：</w:t>
      </w:r>
    </w:p>
    <w:p w14:paraId="27F6BD9E">
      <w:pPr>
        <w:spacing w:line="600" w:lineRule="exact"/>
        <w:ind w:firstLine="600"/>
        <w:rPr>
          <w:rFonts w:ascii="仿宋_GB2312" w:eastAsia="仿宋_GB2312"/>
          <w:sz w:val="30"/>
          <w:szCs w:val="30"/>
        </w:rPr>
      </w:pPr>
      <w:r>
        <w:rPr>
          <w:rFonts w:hint="eastAsia" w:ascii="仿宋_GB2312" w:eastAsia="仿宋_GB2312"/>
          <w:sz w:val="30"/>
          <w:szCs w:val="30"/>
        </w:rPr>
        <w:t>交易商</w:t>
      </w:r>
      <w:r>
        <w:rPr>
          <w:rFonts w:ascii="仿宋_GB2312" w:eastAsia="仿宋_GB2312"/>
          <w:sz w:val="30"/>
          <w:szCs w:val="30"/>
        </w:rPr>
        <w:t>资格申请：</w:t>
      </w:r>
    </w:p>
    <w:p w14:paraId="3800C1C1">
      <w:pPr>
        <w:spacing w:line="600" w:lineRule="exact"/>
        <w:ind w:firstLine="600"/>
        <w:rPr>
          <w:rFonts w:ascii="仿宋_GB2312" w:eastAsia="仿宋_GB2312"/>
          <w:sz w:val="30"/>
          <w:szCs w:val="30"/>
        </w:rPr>
      </w:pPr>
      <w:r>
        <w:fldChar w:fldCharType="begin"/>
      </w:r>
      <w:r>
        <w:instrText xml:space="preserve"> HYPERLINK "http://bond.sse.com.cn/business/dealerb/dealerapp/" </w:instrText>
      </w:r>
      <w:r>
        <w:fldChar w:fldCharType="separate"/>
      </w:r>
      <w:r>
        <w:rPr>
          <w:rFonts w:ascii="仿宋_GB2312" w:eastAsia="仿宋_GB2312"/>
          <w:sz w:val="30"/>
          <w:szCs w:val="30"/>
        </w:rPr>
        <w:t>http://bond.sse.com.cn/business/dealerb/dealerapp/</w:t>
      </w:r>
      <w:r>
        <w:rPr>
          <w:rFonts w:ascii="仿宋_GB2312" w:eastAsia="仿宋_GB2312"/>
          <w:sz w:val="30"/>
          <w:szCs w:val="30"/>
        </w:rPr>
        <w:fldChar w:fldCharType="end"/>
      </w:r>
    </w:p>
    <w:p w14:paraId="5F033506">
      <w:pPr>
        <w:spacing w:line="600" w:lineRule="exact"/>
        <w:ind w:firstLine="600"/>
        <w:rPr>
          <w:rFonts w:ascii="仿宋_GB2312" w:eastAsia="仿宋_GB2312"/>
          <w:sz w:val="30"/>
          <w:szCs w:val="30"/>
        </w:rPr>
      </w:pPr>
      <w:r>
        <w:rPr>
          <w:rFonts w:hint="eastAsia" w:ascii="仿宋_GB2312" w:eastAsia="仿宋_GB2312"/>
          <w:sz w:val="30"/>
          <w:szCs w:val="30"/>
        </w:rPr>
        <w:t>新增交易员</w:t>
      </w:r>
      <w:r>
        <w:rPr>
          <w:rFonts w:ascii="仿宋_GB2312" w:eastAsia="仿宋_GB2312"/>
          <w:sz w:val="30"/>
          <w:szCs w:val="30"/>
        </w:rPr>
        <w:t>申请：</w:t>
      </w:r>
    </w:p>
    <w:p w14:paraId="39DEFDB8">
      <w:pPr>
        <w:spacing w:line="600" w:lineRule="exact"/>
        <w:ind w:firstLine="600"/>
        <w:rPr>
          <w:rFonts w:ascii="仿宋_GB2312" w:eastAsia="仿宋_GB2312"/>
          <w:sz w:val="30"/>
          <w:szCs w:val="30"/>
        </w:rPr>
      </w:pPr>
      <w:r>
        <w:rPr>
          <w:rFonts w:ascii="仿宋_GB2312" w:eastAsia="仿宋_GB2312"/>
          <w:sz w:val="30"/>
          <w:szCs w:val="30"/>
        </w:rPr>
        <w:t>http://bond.sse.com.cn/business/dealerb/traderadd/</w:t>
      </w:r>
    </w:p>
    <w:p w14:paraId="16535B87">
      <w:pPr>
        <w:spacing w:line="600" w:lineRule="exact"/>
        <w:ind w:firstLine="600"/>
        <w:rPr>
          <w:rFonts w:ascii="仿宋_GB2312" w:eastAsia="仿宋_GB2312"/>
          <w:sz w:val="30"/>
          <w:szCs w:val="30"/>
        </w:rPr>
      </w:pPr>
      <w:r>
        <w:rPr>
          <w:rFonts w:hint="eastAsia" w:ascii="仿宋_GB2312" w:eastAsia="仿宋_GB2312"/>
          <w:sz w:val="30"/>
          <w:szCs w:val="30"/>
        </w:rPr>
        <w:t>数字证书在线申请：申请</w:t>
      </w:r>
      <w:r>
        <w:rPr>
          <w:rFonts w:ascii="仿宋_GB2312" w:eastAsia="仿宋_GB2312"/>
          <w:sz w:val="30"/>
          <w:szCs w:val="30"/>
        </w:rPr>
        <w:t>人</w:t>
      </w:r>
      <w:r>
        <w:rPr>
          <w:rFonts w:hint="eastAsia" w:ascii="仿宋_GB2312" w:eastAsia="仿宋_GB2312"/>
          <w:sz w:val="30"/>
          <w:szCs w:val="30"/>
        </w:rPr>
        <w:t>访问通过登录“CnSCA在线业务系统”（</w:t>
      </w:r>
      <w:r>
        <w:rPr>
          <w:rFonts w:ascii="仿宋_GB2312" w:eastAsia="仿宋_GB2312"/>
          <w:sz w:val="30"/>
          <w:szCs w:val="30"/>
        </w:rPr>
        <w:t>https://cnsca.sse.com.cn/</w:t>
      </w:r>
      <w:r>
        <w:rPr>
          <w:rFonts w:hint="eastAsia" w:ascii="仿宋_GB2312" w:eastAsia="仿宋_GB2312"/>
          <w:sz w:val="30"/>
          <w:szCs w:val="30"/>
        </w:rPr>
        <w:t>）进行“固定收益平台”数字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5B9D2FA7">
      <w:pPr>
        <w:numPr>
          <w:ilvl w:val="1"/>
          <w:numId w:val="4"/>
        </w:numPr>
        <w:spacing w:line="600" w:lineRule="exact"/>
        <w:ind w:left="0" w:firstLine="0"/>
        <w:outlineLvl w:val="1"/>
        <w:rPr>
          <w:rFonts w:ascii="仿宋_GB2312" w:hAnsi="黑体" w:eastAsia="仿宋_GB2312"/>
          <w:b/>
          <w:sz w:val="30"/>
          <w:szCs w:val="30"/>
        </w:rPr>
      </w:pPr>
      <w:bookmarkStart w:id="188" w:name="_Toc151136884"/>
      <w:r>
        <w:rPr>
          <w:rFonts w:ascii="仿宋_GB2312" w:hAnsi="黑体" w:eastAsia="仿宋_GB2312"/>
          <w:b/>
          <w:sz w:val="30"/>
          <w:szCs w:val="30"/>
        </w:rPr>
        <w:t>债券交易参与人变更</w:t>
      </w:r>
      <w:r>
        <w:rPr>
          <w:rFonts w:hint="eastAsia" w:ascii="仿宋_GB2312" w:hAnsi="黑体" w:eastAsia="仿宋_GB2312"/>
          <w:b/>
          <w:sz w:val="30"/>
          <w:szCs w:val="30"/>
        </w:rPr>
        <w:t>与终止</w:t>
      </w:r>
      <w:bookmarkEnd w:id="188"/>
    </w:p>
    <w:p w14:paraId="28CF7956">
      <w:pPr>
        <w:numPr>
          <w:ilvl w:val="2"/>
          <w:numId w:val="4"/>
        </w:numPr>
        <w:spacing w:line="600" w:lineRule="exact"/>
        <w:ind w:left="0" w:firstLine="0"/>
        <w:outlineLvl w:val="2"/>
        <w:rPr>
          <w:rFonts w:ascii="仿宋_GB2312" w:eastAsia="仿宋_GB2312"/>
          <w:b/>
          <w:sz w:val="30"/>
          <w:szCs w:val="30"/>
        </w:rPr>
      </w:pPr>
      <w:bookmarkStart w:id="189" w:name="_Toc57908863"/>
      <w:r>
        <w:rPr>
          <w:rFonts w:ascii="仿宋_GB2312" w:eastAsia="仿宋_GB2312"/>
          <w:b/>
          <w:sz w:val="30"/>
          <w:szCs w:val="30"/>
        </w:rPr>
        <w:t>债券交易参与人变更</w:t>
      </w:r>
      <w:bookmarkEnd w:id="189"/>
    </w:p>
    <w:p w14:paraId="7D6F342C">
      <w:pPr>
        <w:spacing w:line="600" w:lineRule="exact"/>
        <w:ind w:firstLine="600"/>
        <w:rPr>
          <w:rFonts w:ascii="仿宋_GB2312" w:eastAsia="仿宋_GB2312"/>
          <w:sz w:val="30"/>
          <w:szCs w:val="30"/>
        </w:rPr>
      </w:pPr>
      <w:r>
        <w:rPr>
          <w:rFonts w:hint="eastAsia" w:ascii="仿宋_GB2312" w:eastAsia="仿宋_GB2312"/>
          <w:sz w:val="30"/>
          <w:szCs w:val="30"/>
        </w:rPr>
        <w:t>会员类债券交易参与人变更名称的，按照本所会员管理规则的规定办理名称变更登记。</w:t>
      </w:r>
    </w:p>
    <w:p w14:paraId="02047C24">
      <w:pPr>
        <w:spacing w:line="600" w:lineRule="exact"/>
        <w:ind w:firstLine="600"/>
        <w:rPr>
          <w:rFonts w:ascii="仿宋_GB2312" w:eastAsia="仿宋_GB2312"/>
          <w:sz w:val="30"/>
          <w:szCs w:val="30"/>
        </w:rPr>
      </w:pPr>
      <w:r>
        <w:rPr>
          <w:rFonts w:hint="eastAsia" w:ascii="仿宋_GB2312" w:eastAsia="仿宋_GB2312"/>
          <w:sz w:val="30"/>
          <w:szCs w:val="30"/>
        </w:rPr>
        <w:t>非会员类债券交易参与人变更名称的，应当向本所邮箱bondtr</w:t>
      </w:r>
      <w:r>
        <w:rPr>
          <w:rFonts w:ascii="仿宋_GB2312" w:eastAsia="仿宋_GB2312"/>
          <w:sz w:val="30"/>
          <w:szCs w:val="30"/>
        </w:rPr>
        <w:t>ading@sse.com.cn</w:t>
      </w:r>
      <w:r>
        <w:rPr>
          <w:rFonts w:hint="eastAsia" w:ascii="仿宋_GB2312" w:eastAsia="仿宋_GB2312"/>
          <w:sz w:val="30"/>
          <w:szCs w:val="30"/>
        </w:rPr>
        <w:t>提交名称变更登记申请及相关证明文件。本所自受理申请文件之日起10个交易日以内办理名称变更登记，并予以公告。申请材料如下：</w:t>
      </w:r>
    </w:p>
    <w:p w14:paraId="1BB088E5">
      <w:pPr>
        <w:spacing w:line="600" w:lineRule="exact"/>
        <w:ind w:firstLine="600"/>
        <w:rPr>
          <w:rFonts w:ascii="仿宋_GB2312" w:eastAsia="仿宋_GB2312"/>
          <w:sz w:val="30"/>
          <w:szCs w:val="30"/>
        </w:rPr>
      </w:pPr>
      <w:r>
        <w:rPr>
          <w:rFonts w:hint="eastAsia" w:ascii="仿宋_GB2312" w:eastAsia="仿宋_GB2312"/>
          <w:sz w:val="30"/>
          <w:szCs w:val="30"/>
        </w:rPr>
        <w:t>（1）主管机关同意公司变更的批复；</w:t>
      </w:r>
    </w:p>
    <w:p w14:paraId="708F21DE">
      <w:pPr>
        <w:spacing w:line="600" w:lineRule="exact"/>
        <w:ind w:firstLine="600"/>
        <w:rPr>
          <w:rFonts w:ascii="仿宋_GB2312" w:eastAsia="仿宋_GB2312"/>
          <w:sz w:val="30"/>
          <w:szCs w:val="30"/>
        </w:rPr>
      </w:pPr>
      <w:r>
        <w:rPr>
          <w:rFonts w:hint="eastAsia" w:ascii="仿宋_GB2312" w:eastAsia="仿宋_GB2312"/>
          <w:sz w:val="30"/>
          <w:szCs w:val="30"/>
        </w:rPr>
        <w:t>（2）变更后的金融许可证；</w:t>
      </w:r>
    </w:p>
    <w:p w14:paraId="0424BB0D">
      <w:pPr>
        <w:spacing w:line="600" w:lineRule="exact"/>
        <w:ind w:firstLine="600"/>
        <w:rPr>
          <w:rFonts w:ascii="仿宋_GB2312" w:eastAsia="仿宋_GB2312"/>
          <w:sz w:val="30"/>
          <w:szCs w:val="30"/>
        </w:rPr>
      </w:pPr>
      <w:r>
        <w:rPr>
          <w:rFonts w:hint="eastAsia" w:ascii="仿宋_GB2312" w:eastAsia="仿宋_GB2312"/>
          <w:sz w:val="30"/>
          <w:szCs w:val="30"/>
        </w:rPr>
        <w:t>（3）变更后的营业执照；</w:t>
      </w:r>
    </w:p>
    <w:p w14:paraId="7CB5A5DF">
      <w:pPr>
        <w:spacing w:line="600" w:lineRule="exact"/>
        <w:ind w:firstLine="600"/>
        <w:rPr>
          <w:rFonts w:ascii="仿宋_GB2312" w:eastAsia="仿宋_GB2312"/>
          <w:sz w:val="30"/>
          <w:szCs w:val="30"/>
        </w:rPr>
      </w:pPr>
      <w:r>
        <w:rPr>
          <w:rFonts w:hint="eastAsia" w:ascii="仿宋_GB2312" w:eastAsia="仿宋_GB2312"/>
          <w:sz w:val="30"/>
          <w:szCs w:val="30"/>
        </w:rPr>
        <w:t>（4）公司更名申请报告（承诺遵守本所业务规则并接受本所监督）；</w:t>
      </w:r>
    </w:p>
    <w:p w14:paraId="41D19A5F">
      <w:pPr>
        <w:spacing w:line="600" w:lineRule="exact"/>
        <w:ind w:firstLine="600"/>
        <w:rPr>
          <w:rFonts w:ascii="仿宋_GB2312" w:eastAsia="仿宋_GB2312"/>
          <w:sz w:val="30"/>
          <w:szCs w:val="30"/>
        </w:rPr>
      </w:pPr>
      <w:r>
        <w:rPr>
          <w:rFonts w:hint="eastAsia" w:ascii="仿宋_GB2312" w:eastAsia="仿宋_GB2312"/>
          <w:sz w:val="30"/>
          <w:szCs w:val="30"/>
        </w:rPr>
        <w:t>（5）原交易单元所属关系变更批复；</w:t>
      </w:r>
    </w:p>
    <w:p w14:paraId="04C00B64">
      <w:pPr>
        <w:spacing w:line="600" w:lineRule="exact"/>
        <w:ind w:firstLine="600"/>
        <w:rPr>
          <w:rFonts w:ascii="仿宋_GB2312" w:eastAsia="仿宋_GB2312"/>
          <w:sz w:val="30"/>
          <w:szCs w:val="30"/>
        </w:rPr>
      </w:pPr>
      <w:r>
        <w:rPr>
          <w:rFonts w:hint="eastAsia" w:ascii="仿宋_GB2312" w:eastAsia="仿宋_GB2312"/>
          <w:sz w:val="30"/>
          <w:szCs w:val="30"/>
        </w:rPr>
        <w:t>（6）专职部门及主要管理人员概况；</w:t>
      </w:r>
    </w:p>
    <w:p w14:paraId="56F9C41B">
      <w:pPr>
        <w:spacing w:line="600" w:lineRule="exact"/>
        <w:ind w:firstLine="600"/>
        <w:rPr>
          <w:rFonts w:ascii="仿宋_GB2312" w:eastAsia="仿宋_GB2312"/>
          <w:sz w:val="30"/>
          <w:szCs w:val="30"/>
        </w:rPr>
      </w:pPr>
      <w:r>
        <w:rPr>
          <w:rFonts w:hint="eastAsia" w:ascii="仿宋_GB2312" w:eastAsia="仿宋_GB2312"/>
          <w:sz w:val="30"/>
          <w:szCs w:val="30"/>
        </w:rPr>
        <w:t>（7）变更后的公司章程及内控制度；</w:t>
      </w:r>
    </w:p>
    <w:p w14:paraId="06DBC849">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65F8D0C9">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22A10CDD">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债券交易参与人</w:t>
      </w:r>
      <w:r>
        <w:rPr>
          <w:rFonts w:hint="eastAsia" w:ascii="仿宋_GB2312" w:hAnsi="黑体" w:eastAsia="仿宋_GB2312"/>
          <w:b/>
          <w:sz w:val="30"/>
          <w:szCs w:val="30"/>
        </w:rPr>
        <w:t>终止</w:t>
      </w:r>
    </w:p>
    <w:p w14:paraId="26F015C3">
      <w:pPr>
        <w:spacing w:line="600" w:lineRule="exact"/>
        <w:ind w:firstLine="600"/>
        <w:rPr>
          <w:rFonts w:ascii="仿宋_GB2312" w:eastAsia="仿宋_GB2312" w:cs="宋体"/>
          <w:color w:val="000000"/>
          <w:sz w:val="30"/>
          <w:szCs w:val="30"/>
        </w:rPr>
      </w:pPr>
      <w:r>
        <w:rPr>
          <w:rFonts w:hint="eastAsia" w:ascii="仿宋_GB2312" w:eastAsia="仿宋_GB2312" w:cs="宋体"/>
          <w:color w:val="000000"/>
          <w:sz w:val="30"/>
          <w:szCs w:val="30"/>
        </w:rPr>
        <w:t>债券交易参与人存在以下情形的，本所可以终止其作为债券交易参与人：</w:t>
      </w:r>
    </w:p>
    <w:p w14:paraId="4F5315CC">
      <w:pPr>
        <w:spacing w:line="600" w:lineRule="exact"/>
        <w:ind w:firstLine="600"/>
        <w:rPr>
          <w:rFonts w:ascii="仿宋_GB2312" w:eastAsia="仿宋_GB2312"/>
          <w:sz w:val="30"/>
          <w:szCs w:val="30"/>
        </w:rPr>
      </w:pPr>
      <w:r>
        <w:rPr>
          <w:rFonts w:hint="eastAsia" w:ascii="仿宋_GB2312" w:eastAsia="仿宋_GB2312"/>
          <w:sz w:val="30"/>
          <w:szCs w:val="30"/>
        </w:rPr>
        <w:t>（1）不再符合本所规定的债券交易参与人条件的；</w:t>
      </w:r>
    </w:p>
    <w:p w14:paraId="2B7A6C8C">
      <w:pPr>
        <w:spacing w:line="600" w:lineRule="exact"/>
        <w:ind w:firstLine="600"/>
        <w:rPr>
          <w:rFonts w:ascii="仿宋_GB2312" w:eastAsia="仿宋_GB2312"/>
          <w:sz w:val="30"/>
          <w:szCs w:val="30"/>
        </w:rPr>
      </w:pPr>
      <w:r>
        <w:rPr>
          <w:rFonts w:hint="eastAsia" w:ascii="仿宋_GB2312" w:eastAsia="仿宋_GB2312"/>
          <w:sz w:val="30"/>
          <w:szCs w:val="30"/>
        </w:rPr>
        <w:t>（2）主动申请不再作为债券交易参与人的；</w:t>
      </w:r>
    </w:p>
    <w:p w14:paraId="40A5B702">
      <w:pPr>
        <w:spacing w:line="600" w:lineRule="exact"/>
        <w:ind w:firstLine="600"/>
        <w:rPr>
          <w:rFonts w:ascii="仿宋_GB2312" w:eastAsia="仿宋_GB2312"/>
          <w:sz w:val="30"/>
          <w:szCs w:val="30"/>
        </w:rPr>
      </w:pPr>
      <w:r>
        <w:rPr>
          <w:rFonts w:hint="eastAsia" w:ascii="仿宋_GB2312" w:eastAsia="仿宋_GB2312"/>
          <w:sz w:val="30"/>
          <w:szCs w:val="30"/>
        </w:rPr>
        <w:t>（3）超过12个月不参与本所债券交易且无合理理由的；</w:t>
      </w:r>
    </w:p>
    <w:p w14:paraId="23A4F823">
      <w:pPr>
        <w:spacing w:line="600" w:lineRule="exact"/>
        <w:ind w:firstLine="600"/>
        <w:rPr>
          <w:rFonts w:ascii="仿宋_GB2312" w:eastAsia="仿宋_GB2312"/>
          <w:sz w:val="30"/>
          <w:szCs w:val="30"/>
        </w:rPr>
      </w:pPr>
      <w:r>
        <w:rPr>
          <w:rFonts w:hint="eastAsia" w:ascii="仿宋_GB2312" w:eastAsia="仿宋_GB2312"/>
          <w:sz w:val="30"/>
          <w:szCs w:val="30"/>
        </w:rPr>
        <w:t>（4）本所规定的其他情形。</w:t>
      </w:r>
    </w:p>
    <w:p w14:paraId="5A99BD65">
      <w:pPr>
        <w:spacing w:line="600" w:lineRule="exact"/>
        <w:ind w:firstLine="600"/>
        <w:rPr>
          <w:rFonts w:ascii="仿宋_GB2312" w:eastAsia="仿宋_GB2312"/>
          <w:sz w:val="30"/>
          <w:szCs w:val="30"/>
        </w:rPr>
      </w:pPr>
      <w:r>
        <w:rPr>
          <w:rFonts w:hint="eastAsia" w:ascii="仿宋_GB2312" w:eastAsia="仿宋_GB2312"/>
          <w:sz w:val="30"/>
          <w:szCs w:val="30"/>
        </w:rPr>
        <w:t>债券交易参与人不再符合本所规定条件的，应当及时向本所报告，债券交易参与人可将具体情况说明及“债券交易参与人注销登记表”发送至本所邮箱bondtrading@sse.com.cn。本所于材料齐备后5个工作日内完成债券交易参与人的注销工作。</w:t>
      </w:r>
    </w:p>
    <w:p w14:paraId="796EE774">
      <w:pPr>
        <w:spacing w:line="600" w:lineRule="exact"/>
        <w:ind w:firstLine="600"/>
        <w:rPr>
          <w:rFonts w:ascii="仿宋_GB2312" w:eastAsia="仿宋_GB2312"/>
          <w:sz w:val="30"/>
          <w:szCs w:val="30"/>
        </w:rPr>
      </w:pPr>
      <w:r>
        <w:rPr>
          <w:rFonts w:hint="eastAsia" w:ascii="仿宋_GB2312" w:eastAsia="仿宋_GB2312"/>
          <w:sz w:val="30"/>
          <w:szCs w:val="30"/>
        </w:rPr>
        <w:t>债券交易参与人主动申请不再作为债券交易参与人的，可通过</w:t>
      </w:r>
      <w:r>
        <w:rPr>
          <w:rFonts w:ascii="仿宋_GB2312" w:eastAsia="仿宋_GB2312"/>
          <w:sz w:val="30"/>
          <w:szCs w:val="30"/>
        </w:rPr>
        <w:t>会籍业务平台</w:t>
      </w:r>
      <w:r>
        <w:rPr>
          <w:rFonts w:hint="eastAsia" w:ascii="仿宋_GB2312" w:eastAsia="仿宋_GB2312"/>
          <w:sz w:val="30"/>
          <w:szCs w:val="30"/>
        </w:rPr>
        <w:t>进行办理。债券交易参与人应通过</w:t>
      </w:r>
      <w:r>
        <w:rPr>
          <w:rFonts w:ascii="仿宋_GB2312" w:eastAsia="仿宋_GB2312"/>
          <w:sz w:val="30"/>
          <w:szCs w:val="30"/>
        </w:rPr>
        <w:t>会籍业务平台</w:t>
      </w:r>
      <w:r>
        <w:rPr>
          <w:rFonts w:hint="eastAsia" w:ascii="仿宋_GB2312" w:eastAsia="仿宋_GB2312"/>
          <w:sz w:val="30"/>
          <w:szCs w:val="30"/>
        </w:rPr>
        <w:t>发起相关申请，并及时解除名下证券账户与交易单元的指定交易关系。该债券交易参与人其名下的所有交易单元将同步进行注销。债券交易系统根据会员</w:t>
      </w:r>
      <w:r>
        <w:rPr>
          <w:rFonts w:ascii="仿宋_GB2312" w:eastAsia="仿宋_GB2312"/>
          <w:sz w:val="30"/>
          <w:szCs w:val="30"/>
        </w:rPr>
        <w:t>业务</w:t>
      </w:r>
      <w:r>
        <w:rPr>
          <w:rFonts w:hint="eastAsia" w:ascii="仿宋_GB2312" w:eastAsia="仿宋_GB2312"/>
          <w:sz w:val="30"/>
          <w:szCs w:val="30"/>
        </w:rPr>
        <w:t>的交易单元数据同步更新。</w:t>
      </w:r>
    </w:p>
    <w:p w14:paraId="04160DC9">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债券交易业务联络人</w:t>
      </w:r>
    </w:p>
    <w:p w14:paraId="1372D1C2">
      <w:pPr>
        <w:spacing w:line="600" w:lineRule="exact"/>
        <w:ind w:firstLine="600"/>
        <w:rPr>
          <w:rFonts w:ascii="仿宋_GB2312" w:eastAsia="仿宋_GB2312"/>
          <w:sz w:val="30"/>
          <w:szCs w:val="30"/>
        </w:rPr>
      </w:pPr>
      <w:r>
        <w:rPr>
          <w:rFonts w:hint="eastAsia" w:ascii="仿宋_GB2312" w:eastAsia="仿宋_GB2312"/>
          <w:sz w:val="30"/>
          <w:szCs w:val="30"/>
        </w:rPr>
        <w:t>债券交易参与人应当设债券交易业务联络人一至四名，负责组织、协调债券交易参与人在本所开展的各项债券交易业务，并向本所提交债券交易业务联络人任职情况及联络方式等信息。</w:t>
      </w:r>
    </w:p>
    <w:p w14:paraId="010C9CC1">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本所会员及本所认可的其他债券交易参与人设置债券交易业务联络人时，应当将盖章后（可为部门章）的《债券交易参与人业务联络人基本信息表》（</w:t>
      </w:r>
      <w:r>
        <w:fldChar w:fldCharType="begin"/>
      </w:r>
      <w:r>
        <w:instrText xml:space="preserve"> HYPERLINK \l "_债券交易参与人业务联络人基本信息表" </w:instrText>
      </w:r>
      <w:r>
        <w:fldChar w:fldCharType="separate"/>
      </w:r>
      <w:r>
        <w:rPr>
          <w:rFonts w:hint="eastAsia" w:ascii="仿宋_GB2312" w:eastAsia="仿宋_GB2312"/>
          <w:sz w:val="30"/>
          <w:szCs w:val="30"/>
        </w:rPr>
        <w:t>附件</w:t>
      </w:r>
      <w:r>
        <w:rPr>
          <w:rFonts w:hint="eastAsia" w:ascii="仿宋_GB2312" w:eastAsia="仿宋_GB2312"/>
          <w:sz w:val="30"/>
          <w:szCs w:val="30"/>
        </w:rPr>
        <w:fldChar w:fldCharType="end"/>
      </w:r>
      <w:r>
        <w:rPr>
          <w:rFonts w:hint="eastAsia" w:ascii="仿宋_GB2312" w:eastAsia="仿宋_GB2312"/>
          <w:sz w:val="30"/>
          <w:szCs w:val="30"/>
        </w:rPr>
        <w:t>3），发送至本所邮箱bondtrading@sse.com.cn。债券交易业务联络人基本信息齐备的，本所予以确认，并根据需要安排培训。</w:t>
      </w:r>
    </w:p>
    <w:p w14:paraId="20592239">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债券交易业务联络人应当根据债券交易参与人授权，履行下列职责：</w:t>
      </w:r>
    </w:p>
    <w:p w14:paraId="02A95B66">
      <w:pPr>
        <w:spacing w:line="600" w:lineRule="exact"/>
        <w:ind w:firstLine="600"/>
        <w:rPr>
          <w:rFonts w:ascii="仿宋_GB2312" w:eastAsia="仿宋_GB2312"/>
          <w:sz w:val="30"/>
          <w:szCs w:val="30"/>
        </w:rPr>
      </w:pPr>
      <w:r>
        <w:rPr>
          <w:rFonts w:hint="eastAsia" w:ascii="仿宋_GB2312" w:eastAsia="仿宋_GB2312"/>
          <w:sz w:val="30"/>
          <w:szCs w:val="30"/>
        </w:rPr>
        <w:t>（1）办理本所债券交易参与人申请及变更、交易权限申请等相关业务；</w:t>
      </w:r>
    </w:p>
    <w:p w14:paraId="27F92C8C">
      <w:pPr>
        <w:spacing w:line="600" w:lineRule="exact"/>
        <w:ind w:firstLine="600"/>
        <w:rPr>
          <w:rFonts w:ascii="仿宋_GB2312" w:eastAsia="仿宋_GB2312"/>
          <w:sz w:val="30"/>
          <w:szCs w:val="30"/>
        </w:rPr>
      </w:pPr>
      <w:r>
        <w:rPr>
          <w:rFonts w:hint="eastAsia" w:ascii="仿宋_GB2312" w:eastAsia="仿宋_GB2312"/>
          <w:sz w:val="30"/>
          <w:szCs w:val="30"/>
        </w:rPr>
        <w:t>（2）办理债券交易相关数据、材料和情况的报送；</w:t>
      </w:r>
    </w:p>
    <w:p w14:paraId="5ACF4333">
      <w:pPr>
        <w:spacing w:line="600" w:lineRule="exact"/>
        <w:ind w:firstLine="600"/>
        <w:rPr>
          <w:rFonts w:ascii="仿宋_GB2312" w:eastAsia="仿宋_GB2312"/>
          <w:sz w:val="30"/>
          <w:szCs w:val="30"/>
        </w:rPr>
      </w:pPr>
      <w:r>
        <w:rPr>
          <w:rFonts w:hint="eastAsia" w:ascii="仿宋_GB2312" w:eastAsia="仿宋_GB2312"/>
          <w:sz w:val="30"/>
          <w:szCs w:val="30"/>
        </w:rPr>
        <w:t>（3）及时、准确、完整地接收本所发布的各类通知和信息；</w:t>
      </w:r>
    </w:p>
    <w:p w14:paraId="045961D8">
      <w:pPr>
        <w:spacing w:line="600" w:lineRule="exact"/>
        <w:ind w:firstLine="600"/>
        <w:rPr>
          <w:rFonts w:ascii="仿宋_GB2312" w:eastAsia="仿宋_GB2312"/>
          <w:sz w:val="30"/>
          <w:szCs w:val="30"/>
        </w:rPr>
      </w:pPr>
      <w:r>
        <w:rPr>
          <w:rFonts w:hint="eastAsia" w:ascii="仿宋_GB2312" w:eastAsia="仿宋_GB2312"/>
          <w:sz w:val="30"/>
          <w:szCs w:val="30"/>
        </w:rPr>
        <w:t>（4）组织本机构相关业务人员参加本所债券业务培训；</w:t>
      </w:r>
    </w:p>
    <w:p w14:paraId="5B0C42C4">
      <w:pPr>
        <w:spacing w:line="600" w:lineRule="exact"/>
        <w:ind w:firstLine="600"/>
        <w:rPr>
          <w:rFonts w:ascii="仿宋_GB2312" w:eastAsia="仿宋_GB2312"/>
          <w:sz w:val="30"/>
          <w:szCs w:val="30"/>
        </w:rPr>
      </w:pPr>
      <w:r>
        <w:rPr>
          <w:rFonts w:hint="eastAsia" w:ascii="仿宋_GB2312" w:eastAsia="仿宋_GB2312"/>
          <w:sz w:val="30"/>
          <w:szCs w:val="30"/>
        </w:rPr>
        <w:t>（5）协调债券交易相关系统建设、改造、测试等；</w:t>
      </w:r>
    </w:p>
    <w:p w14:paraId="2B6600D6">
      <w:pPr>
        <w:spacing w:line="600" w:lineRule="exact"/>
        <w:ind w:firstLine="600"/>
        <w:rPr>
          <w:rFonts w:ascii="仿宋_GB2312" w:eastAsia="仿宋_GB2312"/>
          <w:sz w:val="30"/>
          <w:szCs w:val="30"/>
        </w:rPr>
      </w:pPr>
      <w:r>
        <w:rPr>
          <w:rFonts w:hint="eastAsia" w:ascii="仿宋_GB2312" w:eastAsia="仿宋_GB2312"/>
          <w:sz w:val="30"/>
          <w:szCs w:val="30"/>
        </w:rPr>
        <w:t>（6）督促本机构及时更新在本所债券交易系统注册的交易人员信息、证券账户信息等；</w:t>
      </w:r>
    </w:p>
    <w:p w14:paraId="50E12658">
      <w:pPr>
        <w:spacing w:line="600" w:lineRule="exact"/>
        <w:ind w:firstLine="600"/>
        <w:rPr>
          <w:rFonts w:ascii="仿宋_GB2312" w:eastAsia="仿宋_GB2312"/>
          <w:sz w:val="30"/>
          <w:szCs w:val="30"/>
        </w:rPr>
      </w:pPr>
      <w:r>
        <w:rPr>
          <w:rFonts w:hint="eastAsia" w:ascii="仿宋_GB2312" w:eastAsia="仿宋_GB2312"/>
          <w:sz w:val="30"/>
          <w:szCs w:val="30"/>
        </w:rPr>
        <w:t>（7）本所要求履行的其他职责。</w:t>
      </w:r>
    </w:p>
    <w:p w14:paraId="2A430E61">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发生无法履行职责或者履行职责时出现重大过错并产生严重后果等情形的，本所可以要求债券交易参与人更换联络人。债券交易参与人向本所申请更换债券交易业务联络人或债券交易业务联络人信息变更的，应通过前述邮箱，向本所重新提交《债券交易参与人业务联络人基本信息表》，材料均应盖章（可为部门章）。</w:t>
      </w:r>
    </w:p>
    <w:p w14:paraId="21891AEE">
      <w:pPr>
        <w:numPr>
          <w:ilvl w:val="1"/>
          <w:numId w:val="4"/>
        </w:numPr>
        <w:spacing w:line="600" w:lineRule="exact"/>
        <w:ind w:left="0" w:firstLine="0"/>
        <w:outlineLvl w:val="1"/>
        <w:rPr>
          <w:rFonts w:ascii="仿宋_GB2312" w:eastAsia="仿宋_GB2312"/>
          <w:b/>
          <w:sz w:val="30"/>
          <w:szCs w:val="30"/>
        </w:rPr>
      </w:pPr>
      <w:bookmarkStart w:id="190" w:name="_Toc151136885"/>
      <w:bookmarkStart w:id="191" w:name="_Toc56166067"/>
      <w:bookmarkStart w:id="192" w:name="_Toc56166256"/>
      <w:r>
        <w:rPr>
          <w:rFonts w:hint="eastAsia" w:ascii="仿宋_GB2312" w:eastAsia="仿宋_GB2312"/>
          <w:b/>
          <w:sz w:val="30"/>
          <w:szCs w:val="30"/>
        </w:rPr>
        <w:t>系统接入前准备</w:t>
      </w:r>
      <w:bookmarkEnd w:id="190"/>
      <w:bookmarkEnd w:id="191"/>
      <w:bookmarkEnd w:id="192"/>
    </w:p>
    <w:p w14:paraId="32786D6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账户开立</w:t>
      </w:r>
    </w:p>
    <w:p w14:paraId="27F0107D">
      <w:pPr>
        <w:spacing w:line="600" w:lineRule="exact"/>
        <w:ind w:firstLine="600"/>
        <w:rPr>
          <w:rFonts w:ascii="仿宋_GB2312" w:eastAsia="仿宋_GB2312"/>
          <w:sz w:val="30"/>
          <w:szCs w:val="30"/>
        </w:rPr>
      </w:pPr>
      <w:r>
        <w:rPr>
          <w:rFonts w:hint="eastAsia" w:ascii="仿宋_GB2312" w:eastAsia="仿宋_GB2312"/>
          <w:sz w:val="30"/>
          <w:szCs w:val="30"/>
        </w:rPr>
        <w:t>开展交易所市场债券交易前，债券投资者应办理证券账户开立手续。债券投资者应当按照《中国证券登记结算有限责任公司证券账户业务指南》或《中国证券登记结算有限责任公司特殊机构及产品证券账户业务指南》等规则规定的流程办理证券账户开立。</w:t>
      </w:r>
    </w:p>
    <w:p w14:paraId="30D8749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系统联网</w:t>
      </w:r>
    </w:p>
    <w:p w14:paraId="5B8317C0">
      <w:pPr>
        <w:spacing w:line="600" w:lineRule="exact"/>
        <w:ind w:firstLine="600"/>
        <w:rPr>
          <w:rFonts w:ascii="仿宋_GB2312" w:eastAsia="仿宋_GB2312"/>
          <w:sz w:val="30"/>
          <w:szCs w:val="30"/>
        </w:rPr>
      </w:pPr>
      <w:r>
        <w:rPr>
          <w:rFonts w:hint="eastAsia" w:ascii="仿宋_GB2312" w:eastAsia="仿宋_GB2312"/>
          <w:sz w:val="30"/>
          <w:szCs w:val="30"/>
        </w:rPr>
        <w:t>债券交易采用匹配成交方式的，债券交易参与人需与本所新债券交易系统联网。采用点击成交、询价成交、协商成交、竞买成交等方式的，需与本所固定收益平台联网。</w:t>
      </w:r>
    </w:p>
    <w:p w14:paraId="1B043ECC">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（1）新债券交易系统</w:t>
      </w:r>
    </w:p>
    <w:p w14:paraId="6D33DDD4">
      <w:pPr>
        <w:spacing w:line="600" w:lineRule="exact"/>
        <w:ind w:firstLine="600"/>
        <w:rPr>
          <w:rFonts w:ascii="仿宋_GB2312" w:eastAsia="仿宋_GB2312"/>
          <w:sz w:val="30"/>
          <w:szCs w:val="30"/>
        </w:rPr>
      </w:pPr>
      <w:r>
        <w:rPr>
          <w:rFonts w:hint="eastAsia" w:ascii="仿宋_GB2312" w:eastAsia="仿宋_GB2312"/>
          <w:sz w:val="30"/>
          <w:szCs w:val="30"/>
        </w:rPr>
        <w:t>1）开通通信线路</w:t>
      </w:r>
    </w:p>
    <w:p w14:paraId="453D8060">
      <w:pPr>
        <w:spacing w:line="600" w:lineRule="exact"/>
        <w:ind w:firstLine="600"/>
        <w:rPr>
          <w:rFonts w:ascii="仿宋_GB2312" w:eastAsia="仿宋_GB2312"/>
          <w:sz w:val="30"/>
          <w:szCs w:val="30"/>
        </w:rPr>
      </w:pPr>
      <w:r>
        <w:rPr>
          <w:rFonts w:hint="eastAsia" w:ascii="仿宋_GB2312" w:eastAsia="仿宋_GB2312"/>
          <w:sz w:val="30"/>
          <w:szCs w:val="30"/>
        </w:rPr>
        <w:t>本所新债券交易系统运行在证券交易专网上，市场机构与本所新债券交易系统联网前，应先接入证券交易专网。</w:t>
      </w:r>
    </w:p>
    <w:p w14:paraId="122E35A1">
      <w:pPr>
        <w:spacing w:line="600" w:lineRule="exact"/>
        <w:ind w:firstLine="600"/>
        <w:rPr>
          <w:rFonts w:ascii="仿宋_GB2312" w:eastAsia="仿宋_GB2312"/>
          <w:sz w:val="30"/>
          <w:szCs w:val="30"/>
        </w:rPr>
      </w:pPr>
      <w:r>
        <w:rPr>
          <w:rFonts w:hint="eastAsia" w:ascii="仿宋_GB2312" w:eastAsia="仿宋_GB2312"/>
          <w:sz w:val="30"/>
          <w:szCs w:val="30"/>
        </w:rPr>
        <w:t>证券交易专网的通信线路开通由上交所技术有限责任公司（以下简称上交所技术公司）负责，联系方式：</w:t>
      </w:r>
    </w:p>
    <w:p w14:paraId="413205CC">
      <w:pPr>
        <w:spacing w:line="600" w:lineRule="exact"/>
        <w:ind w:firstLine="600"/>
        <w:rPr>
          <w:rFonts w:ascii="仿宋_GB2312" w:eastAsia="仿宋_GB2312"/>
          <w:sz w:val="30"/>
          <w:szCs w:val="30"/>
        </w:rPr>
      </w:pPr>
      <w:r>
        <w:rPr>
          <w:rFonts w:hint="eastAsia" w:ascii="仿宋_GB2312" w:eastAsia="仿宋_GB2312"/>
          <w:sz w:val="30"/>
          <w:szCs w:val="30"/>
        </w:rPr>
        <w:t>客户服务部（热线电话）：021-58656238</w:t>
      </w:r>
    </w:p>
    <w:p w14:paraId="1D59109E">
      <w:pPr>
        <w:spacing w:line="600" w:lineRule="exact"/>
        <w:ind w:firstLine="600"/>
        <w:rPr>
          <w:rFonts w:ascii="仿宋_GB2312" w:eastAsia="仿宋_GB2312"/>
          <w:sz w:val="30"/>
          <w:szCs w:val="30"/>
        </w:rPr>
      </w:pPr>
      <w:r>
        <w:rPr>
          <w:rFonts w:hint="eastAsia" w:ascii="仿宋_GB2312" w:eastAsia="仿宋_GB2312"/>
          <w:sz w:val="30"/>
          <w:szCs w:val="30"/>
        </w:rPr>
        <w:t>技术服务热线：4009003600-3</w:t>
      </w:r>
    </w:p>
    <w:p w14:paraId="5ADF5FA8">
      <w:pPr>
        <w:wordWrap w:val="0"/>
        <w:spacing w:line="600" w:lineRule="exact"/>
        <w:ind w:firstLine="601"/>
        <w:rPr>
          <w:rFonts w:ascii="仿宋_GB2312" w:eastAsia="仿宋_GB2312"/>
          <w:sz w:val="30"/>
          <w:szCs w:val="30"/>
        </w:rPr>
      </w:pPr>
      <w:r>
        <w:rPr>
          <w:rFonts w:hint="eastAsia" w:ascii="仿宋_GB2312" w:eastAsia="仿宋_GB2312"/>
          <w:sz w:val="30"/>
          <w:szCs w:val="30"/>
        </w:rPr>
        <w:t>选用联网服务时，请选用“数据中心交易行情接入服务”，通过该服务可以通过实现委托报单、接收成交回报、清算数据及接入中登PROP系统，接收债券行情数据。</w:t>
      </w:r>
    </w:p>
    <w:p w14:paraId="772B45AF">
      <w:pPr>
        <w:wordWrap w:val="0"/>
        <w:spacing w:line="600" w:lineRule="exact"/>
        <w:ind w:firstLine="601"/>
        <w:rPr>
          <w:rFonts w:ascii="仿宋_GB2312" w:eastAsia="仿宋_GB2312"/>
          <w:sz w:val="30"/>
          <w:szCs w:val="30"/>
        </w:rPr>
      </w:pPr>
      <w:r>
        <w:rPr>
          <w:rFonts w:hint="eastAsia" w:ascii="仿宋_GB2312" w:eastAsia="仿宋_GB2312"/>
          <w:sz w:val="30"/>
          <w:szCs w:val="30"/>
        </w:rPr>
        <w:t>数据中心交易行情接入服务的开通申请指引和</w:t>
      </w:r>
      <w:r>
        <w:rPr>
          <w:rFonts w:ascii="仿宋_GB2312" w:eastAsia="仿宋_GB2312"/>
          <w:sz w:val="30"/>
          <w:szCs w:val="30"/>
        </w:rPr>
        <w:t>撤销</w:t>
      </w:r>
      <w:r>
        <w:rPr>
          <w:rFonts w:hint="eastAsia" w:ascii="仿宋_GB2312" w:eastAsia="仿宋_GB2312"/>
          <w:sz w:val="30"/>
          <w:szCs w:val="30"/>
        </w:rPr>
        <w:t>申请</w:t>
      </w:r>
      <w:r>
        <w:rPr>
          <w:rFonts w:ascii="仿宋_GB2312" w:eastAsia="仿宋_GB2312"/>
          <w:sz w:val="30"/>
          <w:szCs w:val="30"/>
        </w:rPr>
        <w:t>指引</w:t>
      </w:r>
      <w:r>
        <w:rPr>
          <w:rFonts w:hint="eastAsia" w:ascii="仿宋_GB2312" w:eastAsia="仿宋_GB2312"/>
          <w:sz w:val="30"/>
          <w:szCs w:val="30"/>
        </w:rPr>
        <w:t>请见上交所</w:t>
      </w:r>
      <w:r>
        <w:rPr>
          <w:rFonts w:ascii="仿宋_GB2312" w:eastAsia="仿宋_GB2312"/>
          <w:sz w:val="30"/>
          <w:szCs w:val="30"/>
        </w:rPr>
        <w:t>技术公司官网</w:t>
      </w:r>
      <w:r>
        <w:rPr>
          <w:rFonts w:hint="eastAsia" w:ascii="仿宋_GB2312" w:eastAsia="仿宋_GB2312"/>
          <w:sz w:val="30"/>
          <w:szCs w:val="30"/>
        </w:rPr>
        <w:t>，链接</w:t>
      </w:r>
      <w:r>
        <w:rPr>
          <w:rFonts w:ascii="仿宋_GB2312" w:eastAsia="仿宋_GB2312"/>
          <w:sz w:val="30"/>
          <w:szCs w:val="30"/>
        </w:rPr>
        <w:t>：</w:t>
      </w:r>
      <w:r>
        <w:fldChar w:fldCharType="begin"/>
      </w:r>
      <w:r>
        <w:instrText xml:space="preserve"> HYPERLINK "https://www.ssetech.com.cn/statics/businessGuide/index.html" </w:instrText>
      </w:r>
      <w:r>
        <w:fldChar w:fldCharType="separate"/>
      </w:r>
      <w:r>
        <w:rPr>
          <w:rStyle w:val="51"/>
          <w:rFonts w:ascii="仿宋_GB2312" w:eastAsia="仿宋_GB2312"/>
          <w:sz w:val="30"/>
          <w:szCs w:val="30"/>
        </w:rPr>
        <w:t>https://www.ssetech.com.cn/statics/businessGuide/index.html</w:t>
      </w:r>
      <w:r>
        <w:rPr>
          <w:rStyle w:val="51"/>
          <w:rFonts w:ascii="仿宋_GB2312" w:eastAsia="仿宋_GB2312"/>
          <w:sz w:val="30"/>
          <w:szCs w:val="30"/>
        </w:rPr>
        <w:fldChar w:fldCharType="end"/>
      </w:r>
      <w:r>
        <w:rPr>
          <w:rFonts w:hint="eastAsia" w:ascii="仿宋_GB2312" w:eastAsia="仿宋_GB2312"/>
          <w:sz w:val="30"/>
          <w:szCs w:val="30"/>
        </w:rPr>
        <w:t>。</w:t>
      </w:r>
    </w:p>
    <w:p w14:paraId="1D137821">
      <w:pPr>
        <w:wordWrap w:val="0"/>
        <w:spacing w:line="600" w:lineRule="exact"/>
        <w:ind w:firstLine="601"/>
        <w:rPr>
          <w:rFonts w:ascii="仿宋_GB2312" w:eastAsia="仿宋_GB2312"/>
          <w:sz w:val="30"/>
          <w:szCs w:val="30"/>
        </w:rPr>
      </w:pPr>
      <w:r>
        <w:rPr>
          <w:rFonts w:hint="eastAsia" w:ascii="仿宋_GB2312" w:eastAsia="仿宋_GB2312"/>
          <w:sz w:val="30"/>
          <w:szCs w:val="30"/>
        </w:rPr>
        <w:t>交易行情接入服务的收费标准以上交所技术公司公布的</w:t>
      </w:r>
      <w:r>
        <w:rPr>
          <w:rFonts w:ascii="仿宋_GB2312" w:eastAsia="仿宋_GB2312"/>
          <w:sz w:val="30"/>
          <w:szCs w:val="30"/>
        </w:rPr>
        <w:t>收费标准</w:t>
      </w:r>
      <w:r>
        <w:rPr>
          <w:rFonts w:hint="eastAsia" w:ascii="仿宋_GB2312" w:eastAsia="仿宋_GB2312"/>
          <w:sz w:val="30"/>
          <w:szCs w:val="30"/>
        </w:rPr>
        <w:t>为准，链接：</w:t>
      </w:r>
      <w:r>
        <w:fldChar w:fldCharType="begin"/>
      </w:r>
      <w:r>
        <w:instrText xml:space="preserve"> HYPERLINK "https://www.ssetech.com.cn/statics/exchangecharges/index.html" </w:instrText>
      </w:r>
      <w:r>
        <w:fldChar w:fldCharType="separate"/>
      </w:r>
      <w:r>
        <w:rPr>
          <w:rStyle w:val="51"/>
          <w:rFonts w:ascii="仿宋_GB2312" w:eastAsia="仿宋_GB2312"/>
          <w:sz w:val="30"/>
          <w:szCs w:val="30"/>
        </w:rPr>
        <w:t>https://www.ssetech.com.cn/statics/exchangecharges/index.html</w:t>
      </w:r>
      <w:r>
        <w:rPr>
          <w:rStyle w:val="51"/>
          <w:rFonts w:ascii="仿宋_GB2312" w:eastAsia="仿宋_GB2312"/>
          <w:sz w:val="30"/>
          <w:szCs w:val="30"/>
        </w:rPr>
        <w:fldChar w:fldCharType="end"/>
      </w:r>
      <w:r>
        <w:rPr>
          <w:rFonts w:hint="eastAsia" w:ascii="仿宋_GB2312" w:eastAsia="仿宋_GB2312"/>
          <w:sz w:val="30"/>
          <w:szCs w:val="30"/>
        </w:rPr>
        <w:t>。</w:t>
      </w:r>
    </w:p>
    <w:p w14:paraId="397075FD">
      <w:pPr>
        <w:ind w:firstLine="600" w:firstLineChars="200"/>
        <w:rPr>
          <w:rFonts w:ascii="仿宋_GB2312" w:eastAsia="仿宋_GB2312"/>
          <w:sz w:val="30"/>
          <w:szCs w:val="30"/>
        </w:rPr>
      </w:pPr>
      <w:r>
        <w:rPr>
          <w:rFonts w:hint="eastAsia" w:ascii="仿宋_GB2312" w:eastAsia="仿宋_GB2312"/>
          <w:sz w:val="30"/>
          <w:szCs w:val="30"/>
        </w:rPr>
        <w:t>2）通过上下行电子接口方式接入</w:t>
      </w:r>
    </w:p>
    <w:p w14:paraId="1625982C">
      <w:pPr>
        <w:ind w:firstLine="600" w:firstLineChars="200"/>
        <w:rPr>
          <w:rFonts w:ascii="仿宋_GB2312" w:eastAsia="仿宋_GB2312"/>
          <w:sz w:val="30"/>
          <w:szCs w:val="30"/>
        </w:rPr>
      </w:pPr>
      <w:r>
        <w:rPr>
          <w:rFonts w:hint="eastAsia" w:ascii="仿宋_GB2312" w:eastAsia="仿宋_GB2312"/>
          <w:sz w:val="30"/>
          <w:szCs w:val="30"/>
        </w:rPr>
        <w:t>本所新债券交易系统目前仅支持通过上下行电子接口方式接入，尚未提供交易客户端。债券交易参与人可通过采购市场金融科技机构提供的集中交易系统进行接入。建议联系主流集中交易系统提供商，购买并安装集中交易系统，完成与本所新债券交易系统的联网。</w:t>
      </w:r>
    </w:p>
    <w:p w14:paraId="6D3E7303">
      <w:pPr>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开通交易网关及行情网关</w:t>
      </w:r>
    </w:p>
    <w:p w14:paraId="6B5D4061">
      <w:pPr>
        <w:ind w:firstLine="600" w:firstLineChars="200"/>
        <w:rPr>
          <w:rFonts w:ascii="仿宋_GB2312" w:eastAsia="仿宋_GB2312"/>
          <w:sz w:val="30"/>
          <w:szCs w:val="30"/>
        </w:rPr>
      </w:pPr>
      <w:r>
        <w:rPr>
          <w:rFonts w:hint="eastAsia" w:ascii="仿宋_GB2312" w:eastAsia="仿宋_GB2312"/>
          <w:sz w:val="30"/>
          <w:szCs w:val="30"/>
        </w:rPr>
        <w:t>交易网关</w:t>
      </w:r>
      <w:r>
        <w:rPr>
          <w:rFonts w:ascii="仿宋_GB2312" w:eastAsia="仿宋_GB2312"/>
          <w:sz w:val="30"/>
          <w:szCs w:val="30"/>
        </w:rPr>
        <w:t>和行情网关的开通</w:t>
      </w:r>
      <w:r>
        <w:rPr>
          <w:rFonts w:hint="eastAsia" w:ascii="仿宋_GB2312" w:eastAsia="仿宋_GB2312"/>
          <w:sz w:val="30"/>
          <w:szCs w:val="30"/>
        </w:rPr>
        <w:t>申请流程以上交所技术公司公布</w:t>
      </w:r>
      <w:r>
        <w:rPr>
          <w:rFonts w:ascii="仿宋_GB2312" w:eastAsia="仿宋_GB2312"/>
          <w:sz w:val="30"/>
          <w:szCs w:val="30"/>
        </w:rPr>
        <w:t>的指南为准</w:t>
      </w:r>
      <w:r>
        <w:rPr>
          <w:rFonts w:hint="eastAsia" w:ascii="仿宋_GB2312" w:eastAsia="仿宋_GB2312"/>
          <w:sz w:val="30"/>
          <w:szCs w:val="30"/>
        </w:rPr>
        <w:t>，链接：</w:t>
      </w:r>
    </w:p>
    <w:p w14:paraId="09001F68">
      <w:pPr>
        <w:ind w:firstLine="420" w:firstLineChars="200"/>
        <w:rPr>
          <w:rFonts w:ascii="仿宋_GB2312" w:eastAsia="仿宋_GB2312"/>
          <w:sz w:val="30"/>
          <w:szCs w:val="30"/>
        </w:rPr>
      </w:pPr>
      <w:r>
        <w:fldChar w:fldCharType="begin"/>
      </w:r>
      <w:r>
        <w:instrText xml:space="preserve"> HYPERLINK "http://www.sse.com.cn/services/tradingtech/services/c/SSE_KEY_TechnicalGuide_CV1.0_20211216.pdf" </w:instrText>
      </w:r>
      <w:r>
        <w:fldChar w:fldCharType="separate"/>
      </w:r>
      <w:r>
        <w:rPr>
          <w:rStyle w:val="51"/>
          <w:rFonts w:ascii="仿宋_GB2312" w:eastAsia="仿宋_GB2312"/>
          <w:sz w:val="30"/>
          <w:szCs w:val="30"/>
        </w:rPr>
        <w:t>http://www.sse.com.cn/services/tradingtech/services/c/SSE_KEY_TechnicalGuide_CV1.0_20211216.pdf</w:t>
      </w:r>
      <w:r>
        <w:rPr>
          <w:rStyle w:val="51"/>
          <w:rFonts w:ascii="仿宋_GB2312" w:eastAsia="仿宋_GB2312"/>
          <w:sz w:val="30"/>
          <w:szCs w:val="30"/>
        </w:rPr>
        <w:fldChar w:fldCharType="end"/>
      </w:r>
    </w:p>
    <w:p w14:paraId="118E112F">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（2）固定收益平台联网</w:t>
      </w:r>
    </w:p>
    <w:p w14:paraId="7086CB20">
      <w:pPr>
        <w:spacing w:line="600" w:lineRule="exact"/>
        <w:ind w:firstLine="600"/>
        <w:rPr>
          <w:rFonts w:ascii="仿宋_GB2312" w:eastAsia="仿宋_GB2312"/>
          <w:sz w:val="30"/>
          <w:szCs w:val="30"/>
        </w:rPr>
      </w:pPr>
      <w:r>
        <w:rPr>
          <w:rFonts w:hint="eastAsia" w:ascii="仿宋_GB2312" w:eastAsia="仿宋_GB2312"/>
          <w:sz w:val="30"/>
          <w:szCs w:val="30"/>
        </w:rPr>
        <w:t>固定收益平台可以通过互联网或专网方式进行接入，具体联网接入方式包括两种：</w:t>
      </w:r>
    </w:p>
    <w:p w14:paraId="4A5EF6E7">
      <w:pPr>
        <w:spacing w:line="600" w:lineRule="exact"/>
        <w:ind w:firstLine="600"/>
        <w:rPr>
          <w:rFonts w:ascii="仿宋_GB2312" w:eastAsia="仿宋_GB2312"/>
          <w:sz w:val="30"/>
          <w:szCs w:val="30"/>
        </w:rPr>
      </w:pPr>
      <w:r>
        <w:rPr>
          <w:rFonts w:hint="eastAsia" w:ascii="仿宋_GB2312" w:eastAsia="仿宋_GB2312"/>
          <w:sz w:val="30"/>
          <w:szCs w:val="30"/>
        </w:rPr>
        <w:t>一是通过固定收益平台客户端方式接入。首先需要安装EKey驱动程序，然后登录本所网站下载固定收益平台客户端。</w:t>
      </w:r>
    </w:p>
    <w:p w14:paraId="67288733">
      <w:pPr>
        <w:spacing w:line="600" w:lineRule="exact"/>
        <w:ind w:firstLine="600"/>
        <w:rPr>
          <w:rFonts w:ascii="仿宋_GB2312" w:eastAsia="仿宋_GB2312"/>
          <w:sz w:val="30"/>
          <w:szCs w:val="30"/>
        </w:rPr>
      </w:pPr>
      <w:r>
        <w:rPr>
          <w:rFonts w:hint="eastAsia" w:ascii="仿宋_GB2312" w:eastAsia="仿宋_GB2312"/>
          <w:sz w:val="30"/>
          <w:szCs w:val="30"/>
        </w:rPr>
        <w:t>固定收益平台客户端下载地址：</w:t>
      </w:r>
      <w:r>
        <w:rPr>
          <w:rFonts w:ascii="仿宋_GB2312" w:eastAsia="仿宋_GB2312"/>
          <w:sz w:val="30"/>
          <w:szCs w:val="30"/>
        </w:rPr>
        <w:t>https://120.204.69.12/</w:t>
      </w:r>
    </w:p>
    <w:p w14:paraId="77A6FB99">
      <w:pPr>
        <w:spacing w:line="600" w:lineRule="exact"/>
        <w:ind w:firstLine="600" w:firstLineChars="200"/>
        <w:rPr>
          <w:rFonts w:ascii="仿宋_GB2312" w:eastAsia="仿宋_GB2312"/>
          <w:sz w:val="30"/>
          <w:szCs w:val="30"/>
        </w:rPr>
      </w:pPr>
      <w:r>
        <w:rPr>
          <w:rFonts w:hint="eastAsia" w:ascii="仿宋_GB2312" w:eastAsia="仿宋_GB2312"/>
          <w:sz w:val="30"/>
          <w:szCs w:val="30"/>
        </w:rPr>
        <w:t>安装完成后凭固定收益平台的用户名、密码及EKey数字证书登录本所固定收益平台。</w:t>
      </w:r>
    </w:p>
    <w:p w14:paraId="052A6305">
      <w:pPr>
        <w:spacing w:line="600" w:lineRule="exact"/>
        <w:ind w:firstLine="600"/>
        <w:rPr>
          <w:rFonts w:ascii="仿宋_GB2312" w:eastAsia="仿宋_GB2312"/>
          <w:sz w:val="30"/>
          <w:szCs w:val="30"/>
        </w:rPr>
      </w:pPr>
      <w:r>
        <w:rPr>
          <w:rFonts w:hint="eastAsia" w:ascii="仿宋_GB2312" w:eastAsia="仿宋_GB2312"/>
          <w:sz w:val="30"/>
          <w:szCs w:val="30"/>
        </w:rPr>
        <w:t>二是通过上下行电子接口方式接入。按照固定收益平台的外部数据接口规范以及本所技术部门的相关安排，做好事前技术系统的接入测试，符合相关规范，通过验证测试后方可联网接入交易。</w:t>
      </w:r>
    </w:p>
    <w:p w14:paraId="58D0268F">
      <w:pPr>
        <w:spacing w:line="600" w:lineRule="exact"/>
        <w:ind w:firstLine="600"/>
        <w:rPr>
          <w:rFonts w:ascii="仿宋_GB2312" w:eastAsia="仿宋_GB2312"/>
          <w:sz w:val="30"/>
          <w:szCs w:val="30"/>
        </w:rPr>
      </w:pPr>
      <w:r>
        <w:rPr>
          <w:rFonts w:hint="eastAsia" w:ascii="仿宋_GB2312" w:eastAsia="仿宋_GB2312"/>
          <w:sz w:val="30"/>
          <w:szCs w:val="30"/>
        </w:rPr>
        <w:t>本所</w:t>
      </w:r>
      <w:r>
        <w:rPr>
          <w:rFonts w:ascii="仿宋_GB2312" w:eastAsia="仿宋_GB2312"/>
          <w:sz w:val="30"/>
          <w:szCs w:val="30"/>
        </w:rPr>
        <w:t>将根据系统的升级情况</w:t>
      </w:r>
      <w:r>
        <w:rPr>
          <w:rFonts w:hint="eastAsia" w:ascii="仿宋_GB2312" w:eastAsia="仿宋_GB2312"/>
          <w:sz w:val="30"/>
          <w:szCs w:val="30"/>
        </w:rPr>
        <w:t>及时更新</w:t>
      </w:r>
      <w:r>
        <w:rPr>
          <w:rFonts w:ascii="仿宋_GB2312" w:eastAsia="仿宋_GB2312"/>
          <w:sz w:val="30"/>
          <w:szCs w:val="30"/>
        </w:rPr>
        <w:t>接口规范，最新接口</w:t>
      </w:r>
      <w:r>
        <w:rPr>
          <w:rFonts w:hint="eastAsia" w:ascii="仿宋_GB2312" w:eastAsia="仿宋_GB2312"/>
          <w:sz w:val="30"/>
          <w:szCs w:val="30"/>
        </w:rPr>
        <w:t>规范</w:t>
      </w:r>
      <w:r>
        <w:rPr>
          <w:rFonts w:ascii="仿宋_GB2312" w:eastAsia="仿宋_GB2312"/>
          <w:sz w:val="30"/>
          <w:szCs w:val="30"/>
        </w:rPr>
        <w:t>的查询路径为：本所官网-服务-交易技术支持专区</w:t>
      </w:r>
      <w:r>
        <w:rPr>
          <w:rFonts w:hint="eastAsia" w:ascii="仿宋_GB2312" w:eastAsia="仿宋_GB2312"/>
          <w:sz w:val="30"/>
          <w:szCs w:val="30"/>
        </w:rPr>
        <w:t>-</w:t>
      </w:r>
      <w:r>
        <w:rPr>
          <w:rFonts w:ascii="仿宋_GB2312" w:eastAsia="仿宋_GB2312"/>
          <w:sz w:val="30"/>
          <w:szCs w:val="30"/>
        </w:rPr>
        <w:t>技术</w:t>
      </w:r>
      <w:r>
        <w:rPr>
          <w:rFonts w:hint="eastAsia" w:ascii="仿宋_GB2312" w:eastAsia="仿宋_GB2312"/>
          <w:sz w:val="30"/>
          <w:szCs w:val="30"/>
        </w:rPr>
        <w:t>接口</w:t>
      </w:r>
      <w:r>
        <w:rPr>
          <w:rFonts w:ascii="仿宋_GB2312" w:eastAsia="仿宋_GB2312"/>
          <w:sz w:val="30"/>
          <w:szCs w:val="30"/>
        </w:rPr>
        <w:t>。</w:t>
      </w:r>
    </w:p>
    <w:p w14:paraId="1DB56783">
      <w:pPr>
        <w:spacing w:line="600" w:lineRule="exact"/>
        <w:ind w:firstLine="600"/>
        <w:rPr>
          <w:rFonts w:ascii="仿宋_GB2312" w:eastAsia="仿宋_GB2312"/>
          <w:sz w:val="30"/>
          <w:szCs w:val="30"/>
        </w:rPr>
      </w:pPr>
      <w:r>
        <w:rPr>
          <w:rFonts w:hint="eastAsia" w:ascii="仿宋_GB2312" w:eastAsia="仿宋_GB2312"/>
          <w:sz w:val="30"/>
          <w:szCs w:val="30"/>
        </w:rPr>
        <w:t>联网接入过程中需要技术支持的，请按以下方式联系：</w:t>
      </w:r>
    </w:p>
    <w:p w14:paraId="591018EF">
      <w:pPr>
        <w:spacing w:line="600" w:lineRule="exact"/>
        <w:ind w:firstLine="600"/>
        <w:rPr>
          <w:rFonts w:ascii="仿宋_GB2312" w:eastAsia="仿宋_GB2312"/>
          <w:sz w:val="30"/>
          <w:szCs w:val="30"/>
        </w:rPr>
      </w:pPr>
      <w:r>
        <w:rPr>
          <w:rFonts w:hint="eastAsia" w:ascii="仿宋_GB2312" w:eastAsia="仿宋_GB2312"/>
          <w:sz w:val="30"/>
          <w:szCs w:val="30"/>
        </w:rPr>
        <w:t>技术服务热线:</w:t>
      </w:r>
      <w:r>
        <w:rPr>
          <w:rFonts w:ascii="仿宋_GB2312" w:eastAsia="仿宋_GB2312"/>
          <w:sz w:val="30"/>
          <w:szCs w:val="30"/>
        </w:rPr>
        <w:t> </w:t>
      </w:r>
      <w:r>
        <w:rPr>
          <w:rFonts w:hint="eastAsia" w:ascii="仿宋_GB2312" w:eastAsia="仿宋_GB2312"/>
          <w:sz w:val="30"/>
          <w:szCs w:val="30"/>
        </w:rPr>
        <w:t>　 4009003600（8:00-20:00）</w:t>
      </w:r>
    </w:p>
    <w:p w14:paraId="4D16C755">
      <w:pPr>
        <w:spacing w:line="600" w:lineRule="exact"/>
        <w:ind w:firstLine="600"/>
        <w:rPr>
          <w:rFonts w:ascii="仿宋_GB2312" w:eastAsia="仿宋_GB2312"/>
          <w:sz w:val="30"/>
          <w:szCs w:val="30"/>
        </w:rPr>
      </w:pPr>
      <w:r>
        <w:rPr>
          <w:rFonts w:hint="eastAsia" w:ascii="仿宋_GB2312" w:eastAsia="仿宋_GB2312"/>
          <w:sz w:val="30"/>
          <w:szCs w:val="30"/>
        </w:rPr>
        <w:t>技术服务QQ群：  298643611</w:t>
      </w:r>
    </w:p>
    <w:p w14:paraId="7972F161">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（3）互联网交易平台</w:t>
      </w:r>
    </w:p>
    <w:p w14:paraId="177DE2F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可通过互联网和交易专网进行接入。</w:t>
      </w:r>
    </w:p>
    <w:p w14:paraId="25004377">
      <w:pPr>
        <w:pStyle w:val="15"/>
        <w:ind w:firstLine="600" w:firstLineChars="200"/>
      </w:pPr>
      <w:r>
        <w:rPr>
          <w:rFonts w:hint="eastAsia" w:ascii="仿宋_GB2312" w:eastAsia="仿宋_GB2312"/>
          <w:sz w:val="30"/>
          <w:szCs w:val="30"/>
        </w:rPr>
        <w:t>互</w:t>
      </w:r>
      <w:r>
        <w:rPr>
          <w:rFonts w:hint="eastAsia"/>
        </w:rPr>
        <w:t>联网地址：</w:t>
      </w:r>
      <w:r>
        <w:rPr>
          <w:rFonts w:hint="eastAsia"/>
          <w:lang w:eastAsia="zh-CN"/>
        </w:rPr>
        <w:t>https://iitp.uap.sse.com.cn/</w:t>
      </w:r>
    </w:p>
    <w:p w14:paraId="3165127B">
      <w:pPr>
        <w:pStyle w:val="22"/>
        <w:ind w:firstLine="600" w:firstLineChars="200"/>
        <w:rPr>
          <w:rFonts w:ascii="仿宋_GB2312" w:eastAsia="仿宋_GB2312"/>
          <w:sz w:val="30"/>
          <w:szCs w:val="30"/>
        </w:rPr>
      </w:pPr>
      <w:r>
        <w:rPr>
          <w:rFonts w:hint="eastAsia" w:ascii="仿宋_GB2312" w:eastAsia="仿宋_GB2312"/>
          <w:sz w:val="30"/>
          <w:szCs w:val="30"/>
        </w:rPr>
        <w:t>专网地址：http://180.7.37.3/（金桥站点）</w:t>
      </w:r>
    </w:p>
    <w:p w14:paraId="5C7B035C">
      <w:pPr>
        <w:pStyle w:val="22"/>
        <w:ind w:firstLine="2100" w:firstLineChars="700"/>
        <w:rPr>
          <w:rFonts w:ascii="仿宋_GB2312" w:eastAsia="仿宋_GB2312"/>
          <w:sz w:val="30"/>
          <w:szCs w:val="30"/>
        </w:rPr>
      </w:pPr>
      <w:r>
        <w:rPr>
          <w:rFonts w:hint="eastAsia" w:ascii="仿宋_GB2312" w:eastAsia="仿宋_GB2312"/>
          <w:sz w:val="30"/>
          <w:szCs w:val="30"/>
        </w:rPr>
        <w:t>http://180.7.167.3/（外高桥站点）</w:t>
      </w:r>
    </w:p>
    <w:p w14:paraId="1E34DFD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62B6311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技术服务热线：4009003600</w:t>
      </w:r>
    </w:p>
    <w:p w14:paraId="070F88EE">
      <w:pPr>
        <w:spacing w:line="600" w:lineRule="exact"/>
        <w:ind w:firstLine="600"/>
        <w:rPr>
          <w:rFonts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38B13464">
      <w:pPr>
        <w:spacing w:line="600" w:lineRule="exact"/>
        <w:ind w:firstLine="600"/>
        <w:rPr>
          <w:rFonts w:ascii="仿宋_GB2312" w:eastAsia="仿宋_GB2312"/>
          <w:sz w:val="30"/>
          <w:szCs w:val="30"/>
        </w:rPr>
      </w:pPr>
      <w:r>
        <w:rPr>
          <w:rFonts w:hint="eastAsia" w:ascii="仿宋_GB2312" w:eastAsia="仿宋_GB2312"/>
          <w:sz w:val="30"/>
          <w:szCs w:val="30"/>
        </w:rPr>
        <w:t>上交所网站</w:t>
      </w:r>
      <w:r>
        <w:rPr>
          <w:rFonts w:ascii="仿宋_GB2312" w:eastAsia="仿宋_GB2312"/>
          <w:sz w:val="30"/>
          <w:szCs w:val="30"/>
        </w:rPr>
        <w:t xml:space="preserve"> -&gt;</w:t>
      </w:r>
      <w:r>
        <w:rPr>
          <w:rFonts w:hint="eastAsia" w:ascii="仿宋_GB2312" w:eastAsia="仿宋_GB2312"/>
          <w:sz w:val="30"/>
          <w:szCs w:val="30"/>
        </w:rPr>
        <w:t>业务办理专区-</w:t>
      </w:r>
      <w:r>
        <w:rPr>
          <w:rFonts w:ascii="仿宋_GB2312" w:eastAsia="仿宋_GB2312"/>
          <w:sz w:val="30"/>
          <w:szCs w:val="30"/>
        </w:rPr>
        <w:t>&gt;</w:t>
      </w:r>
      <w:r>
        <w:rPr>
          <w:rFonts w:hint="eastAsia" w:ascii="仿宋_GB2312" w:eastAsia="仿宋_GB2312"/>
          <w:sz w:val="30"/>
          <w:szCs w:val="30"/>
        </w:rPr>
        <w:t>CA服务专区-</w:t>
      </w:r>
      <w:r>
        <w:rPr>
          <w:rFonts w:ascii="仿宋_GB2312" w:eastAsia="仿宋_GB2312"/>
          <w:sz w:val="30"/>
          <w:szCs w:val="30"/>
        </w:rPr>
        <w:t>&gt;</w:t>
      </w:r>
      <w:r>
        <w:rPr>
          <w:rFonts w:hint="eastAsia" w:ascii="仿宋_GB2312" w:eastAsia="仿宋_GB2312"/>
          <w:sz w:val="30"/>
          <w:szCs w:val="30"/>
        </w:rPr>
        <w:t>驱动程序及工具，按</w:t>
      </w:r>
      <w:r>
        <w:rPr>
          <w:rFonts w:ascii="仿宋_GB2312" w:eastAsia="仿宋_GB2312"/>
          <w:sz w:val="30"/>
          <w:szCs w:val="30"/>
        </w:rPr>
        <w:t xml:space="preserve"> EKey </w:t>
      </w:r>
      <w:r>
        <w:rPr>
          <w:rFonts w:hint="eastAsia" w:ascii="仿宋_GB2312" w:eastAsia="仿宋_GB2312"/>
          <w:sz w:val="30"/>
          <w:szCs w:val="30"/>
        </w:rPr>
        <w:t>型号下载。</w:t>
      </w:r>
    </w:p>
    <w:p w14:paraId="147B66FA">
      <w:pPr>
        <w:spacing w:line="600" w:lineRule="exact"/>
        <w:ind w:firstLine="600"/>
        <w:rPr>
          <w:rFonts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5CF217F1">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固定收益平台相关设置准备</w:t>
      </w:r>
    </w:p>
    <w:p w14:paraId="3A7A9566">
      <w:pPr>
        <w:spacing w:line="600" w:lineRule="exact"/>
        <w:ind w:firstLine="600"/>
        <w:rPr>
          <w:rFonts w:ascii="仿宋_GB2312" w:eastAsia="仿宋_GB2312"/>
          <w:sz w:val="30"/>
          <w:szCs w:val="30"/>
        </w:rPr>
      </w:pPr>
      <w:r>
        <w:rPr>
          <w:rFonts w:hint="eastAsia" w:ascii="仿宋_GB2312" w:eastAsia="仿宋_GB2312"/>
          <w:sz w:val="30"/>
          <w:szCs w:val="30"/>
        </w:rPr>
        <w:t>固定收益平台上开展债券交易前，债券交易参与人应登录本所固定收益平台进行相关设置，做好业务开展准备。设置内容包括证券账户的指定交易、债券交易参与人账户信息维护、交易员信息维护、群组维护等。</w:t>
      </w:r>
      <w:bookmarkStart w:id="193" w:name="_Toc35006206"/>
    </w:p>
    <w:p w14:paraId="240429BD">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债券交易参与人</w:t>
      </w:r>
      <w:r>
        <w:rPr>
          <w:rFonts w:hint="eastAsia" w:ascii="仿宋_GB2312" w:hAnsi="黑体" w:eastAsia="仿宋_GB2312"/>
          <w:b/>
          <w:sz w:val="30"/>
          <w:szCs w:val="30"/>
        </w:rPr>
        <w:t>账户信息</w:t>
      </w:r>
      <w:r>
        <w:rPr>
          <w:rFonts w:ascii="仿宋_GB2312" w:hAnsi="黑体" w:eastAsia="仿宋_GB2312"/>
          <w:b/>
          <w:sz w:val="30"/>
          <w:szCs w:val="30"/>
        </w:rPr>
        <w:t>维护</w:t>
      </w:r>
      <w:bookmarkEnd w:id="193"/>
    </w:p>
    <w:p w14:paraId="21F2B009">
      <w:pPr>
        <w:spacing w:line="600" w:lineRule="exact"/>
        <w:ind w:firstLine="600"/>
        <w:rPr>
          <w:rFonts w:ascii="仿宋_GB2312" w:eastAsia="仿宋_GB2312"/>
          <w:sz w:val="30"/>
          <w:szCs w:val="30"/>
        </w:rPr>
      </w:pPr>
      <w:r>
        <w:rPr>
          <w:rFonts w:hint="eastAsia" w:ascii="仿宋_GB2312" w:eastAsia="仿宋_GB2312"/>
          <w:sz w:val="30"/>
          <w:szCs w:val="30"/>
        </w:rPr>
        <w:t>债券交易参与人凭首席交易员用户名、密码信息以及数字证书登录本所固定收益平台后，需要在“系统管理-交易商账户管理”界面上将本债券交易参与人可用的证券账户信息进行录入。</w:t>
      </w:r>
      <w:bookmarkStart w:id="194" w:name="_Toc35006207"/>
      <w:r>
        <w:rPr>
          <w:rFonts w:hint="eastAsia" w:ascii="仿宋_GB2312" w:eastAsia="仿宋_GB2312"/>
          <w:sz w:val="30"/>
          <w:szCs w:val="30"/>
        </w:rPr>
        <w:t>证券账户信息经录入后才可使用。</w:t>
      </w:r>
    </w:p>
    <w:p w14:paraId="4003AAE6">
      <w:pPr>
        <w:spacing w:line="600" w:lineRule="exact"/>
        <w:ind w:firstLine="600"/>
        <w:rPr>
          <w:rFonts w:ascii="仿宋_GB2312" w:eastAsia="仿宋_GB2312"/>
          <w:sz w:val="30"/>
          <w:szCs w:val="30"/>
        </w:rPr>
      </w:pPr>
      <w:r>
        <w:rPr>
          <w:rFonts w:hint="eastAsia" w:ascii="仿宋_GB2312" w:eastAsia="仿宋_GB2312"/>
          <w:sz w:val="30"/>
          <w:szCs w:val="30"/>
        </w:rPr>
        <w:t>录入时，应填写证券账户号码以及办理指定交易手续时所对应的交易单元。</w:t>
      </w:r>
    </w:p>
    <w:p w14:paraId="01802BF2">
      <w:pPr>
        <w:spacing w:line="600" w:lineRule="exact"/>
        <w:ind w:firstLine="600"/>
        <w:rPr>
          <w:rFonts w:ascii="仿宋_GB2312" w:eastAsia="仿宋_GB2312"/>
          <w:sz w:val="30"/>
          <w:szCs w:val="30"/>
        </w:rPr>
      </w:pPr>
      <w:r>
        <w:rPr>
          <w:rFonts w:hint="eastAsia" w:ascii="仿宋_GB2312" w:eastAsia="仿宋_GB2312"/>
          <w:sz w:val="30"/>
          <w:szCs w:val="30"/>
        </w:rPr>
        <w:t>本所将向每个债券交易参与人分配首席交易员用于登录固定收益平台。对于固定收益平台中的系统管理功能，只能由首席交易员用户做设置，普通交易员用户无法做修改。</w:t>
      </w:r>
    </w:p>
    <w:p w14:paraId="2B29AB46">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（2）</w:t>
      </w:r>
      <w:r>
        <w:rPr>
          <w:rFonts w:ascii="仿宋_GB2312" w:hAnsi="黑体" w:eastAsia="仿宋_GB2312"/>
          <w:b/>
          <w:sz w:val="30"/>
          <w:szCs w:val="30"/>
        </w:rPr>
        <w:t>群组维护</w:t>
      </w:r>
      <w:bookmarkEnd w:id="194"/>
    </w:p>
    <w:p w14:paraId="4C2207BE">
      <w:pPr>
        <w:spacing w:line="600" w:lineRule="exact"/>
        <w:ind w:firstLine="600"/>
        <w:rPr>
          <w:rFonts w:ascii="仿宋_GB2312" w:eastAsia="仿宋_GB2312"/>
          <w:sz w:val="30"/>
          <w:szCs w:val="30"/>
        </w:rPr>
      </w:pPr>
      <w:r>
        <w:rPr>
          <w:rFonts w:hint="eastAsia" w:ascii="仿宋_GB2312" w:eastAsia="仿宋_GB2312"/>
          <w:sz w:val="30"/>
          <w:szCs w:val="30"/>
        </w:rPr>
        <w:t>为辅助实现公司内部不同业务条线、不同交易团队的业务隔离，债券交易参与人可凭首席交易员用户名、密码以及数字证书登录固定收益平台，在“系统管理-</w:t>
      </w:r>
      <w:r>
        <w:rPr>
          <w:rFonts w:ascii="仿宋_GB2312" w:eastAsia="仿宋_GB2312"/>
          <w:sz w:val="30"/>
          <w:szCs w:val="30"/>
        </w:rPr>
        <w:t>&gt;</w:t>
      </w:r>
      <w:r>
        <w:rPr>
          <w:rFonts w:hint="eastAsia" w:ascii="仿宋_GB2312" w:eastAsia="仿宋_GB2312"/>
          <w:sz w:val="30"/>
          <w:szCs w:val="30"/>
        </w:rPr>
        <w:t>群组管理”对本债券交易参与人名下普通交易员实行划分群组管理（可选）。</w:t>
      </w:r>
    </w:p>
    <w:p w14:paraId="1B54ADEC">
      <w:pPr>
        <w:spacing w:line="600" w:lineRule="exact"/>
        <w:ind w:firstLine="600" w:firstLineChars="200"/>
        <w:rPr>
          <w:rFonts w:ascii="仿宋_GB2312" w:eastAsia="仿宋_GB2312"/>
          <w:sz w:val="30"/>
          <w:szCs w:val="30"/>
        </w:rPr>
      </w:pPr>
      <w:r>
        <w:rPr>
          <w:rFonts w:hint="eastAsia" w:ascii="仿宋_GB2312" w:eastAsia="仿宋_GB2312"/>
          <w:sz w:val="30"/>
          <w:szCs w:val="30"/>
        </w:rPr>
        <w:t>同一个债券交易参与人下的交易员用户可组成若干群组。群组主要用于信息隔离，群组和群组之间相互看不到对方交易记录（含申报、成交等）、持仓信息；同一个群组内部，交易员用户之间可查看对方的交易、持仓信息。</w:t>
      </w:r>
      <w:bookmarkStart w:id="195" w:name="_Toc35006209"/>
    </w:p>
    <w:bookmarkEnd w:id="195"/>
    <w:p w14:paraId="4E988364">
      <w:pPr>
        <w:numPr>
          <w:ilvl w:val="0"/>
          <w:numId w:val="4"/>
        </w:numPr>
        <w:spacing w:line="600" w:lineRule="exact"/>
        <w:outlineLvl w:val="0"/>
        <w:rPr>
          <w:b/>
          <w:sz w:val="36"/>
        </w:rPr>
      </w:pPr>
      <w:bookmarkStart w:id="196" w:name="_Toc56166257"/>
      <w:bookmarkStart w:id="197" w:name="_Toc56166068"/>
      <w:r>
        <w:rPr>
          <w:b/>
          <w:sz w:val="36"/>
        </w:rPr>
        <w:br w:type="page"/>
      </w:r>
      <w:bookmarkStart w:id="198" w:name="_Toc151136886"/>
      <w:r>
        <w:rPr>
          <w:rFonts w:hint="eastAsia" w:ascii="黑体" w:hAnsi="黑体" w:eastAsia="黑体" w:cs="黑体"/>
          <w:b/>
          <w:sz w:val="36"/>
        </w:rPr>
        <w:t>债券经纪业务</w:t>
      </w:r>
      <w:bookmarkEnd w:id="196"/>
      <w:bookmarkEnd w:id="197"/>
      <w:bookmarkEnd w:id="198"/>
    </w:p>
    <w:p w14:paraId="5CB6BB82">
      <w:pPr>
        <w:spacing w:line="600" w:lineRule="exact"/>
        <w:ind w:firstLine="600"/>
        <w:rPr>
          <w:b/>
          <w:sz w:val="36"/>
        </w:rPr>
      </w:pPr>
      <w:r>
        <w:rPr>
          <w:rFonts w:hint="eastAsia" w:ascii="仿宋_GB2312" w:eastAsia="仿宋_GB2312"/>
          <w:sz w:val="30"/>
          <w:szCs w:val="30"/>
        </w:rPr>
        <w:t>债券经纪业务，是指债券交易参与人以外的债券投资者</w:t>
      </w:r>
      <w:r>
        <w:rPr>
          <w:rFonts w:hint="eastAsia" w:ascii="仿宋_GB2312" w:eastAsia="仿宋_GB2312"/>
          <w:color w:val="000000"/>
          <w:sz w:val="30"/>
          <w:szCs w:val="30"/>
        </w:rPr>
        <w:t>可以</w:t>
      </w:r>
      <w:r>
        <w:rPr>
          <w:rFonts w:hint="eastAsia" w:ascii="仿宋_GB2312" w:eastAsia="仿宋_GB2312"/>
          <w:sz w:val="30"/>
          <w:szCs w:val="30"/>
        </w:rPr>
        <w:t>作为经纪客户委托具有本所会员资格的证券公司参与本所债券交易；证券公司按照债券投资者的要求，接受其委托代理进行债券交易，并代理其办理交易结算。</w:t>
      </w:r>
    </w:p>
    <w:p w14:paraId="0DC080E4">
      <w:pPr>
        <w:numPr>
          <w:ilvl w:val="1"/>
          <w:numId w:val="4"/>
        </w:numPr>
        <w:spacing w:line="600" w:lineRule="exact"/>
        <w:ind w:left="0" w:firstLine="0"/>
        <w:outlineLvl w:val="1"/>
        <w:rPr>
          <w:rFonts w:ascii="仿宋_GB2312" w:eastAsia="仿宋_GB2312"/>
          <w:b/>
          <w:sz w:val="30"/>
          <w:szCs w:val="30"/>
        </w:rPr>
      </w:pPr>
      <w:bookmarkStart w:id="199" w:name="_Toc151136887"/>
      <w:r>
        <w:rPr>
          <w:rFonts w:hint="eastAsia" w:ascii="仿宋_GB2312" w:eastAsia="仿宋_GB2312"/>
          <w:b/>
          <w:sz w:val="30"/>
          <w:szCs w:val="30"/>
        </w:rPr>
        <w:t>投资者适当性</w:t>
      </w:r>
      <w:bookmarkEnd w:id="199"/>
    </w:p>
    <w:p w14:paraId="3120AF37">
      <w:pPr>
        <w:spacing w:line="600" w:lineRule="exact"/>
        <w:rPr>
          <w:rFonts w:ascii="仿宋_GB2312" w:eastAsia="仿宋_GB2312"/>
          <w:b/>
          <w:sz w:val="30"/>
          <w:szCs w:val="30"/>
        </w:rPr>
      </w:pPr>
      <w:r>
        <w:rPr>
          <w:rFonts w:hint="eastAsia" w:ascii="仿宋_GB2312" w:eastAsia="仿宋_GB2312"/>
          <w:b/>
          <w:sz w:val="30"/>
          <w:szCs w:val="30"/>
        </w:rPr>
        <w:t xml:space="preserve">   </w:t>
      </w:r>
      <w:r>
        <w:rPr>
          <w:rFonts w:hint="eastAsia" w:ascii="仿宋_GB2312" w:eastAsia="仿宋_GB2312"/>
          <w:sz w:val="30"/>
          <w:szCs w:val="30"/>
        </w:rPr>
        <w:t xml:space="preserve"> 本所债券市场实行投资者适当性管理制度。经纪客户需符合本所投资者适当性的相关规定。</w:t>
      </w:r>
    </w:p>
    <w:p w14:paraId="2575692E">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债券投资者分类</w:t>
      </w:r>
    </w:p>
    <w:p w14:paraId="4DEE5185">
      <w:pPr>
        <w:pStyle w:val="90"/>
        <w:spacing w:line="600" w:lineRule="exact"/>
        <w:ind w:firstLine="600"/>
        <w:rPr>
          <w:sz w:val="30"/>
          <w:szCs w:val="30"/>
        </w:rPr>
      </w:pPr>
      <w:r>
        <w:rPr>
          <w:rFonts w:hint="eastAsia"/>
          <w:sz w:val="30"/>
          <w:szCs w:val="30"/>
        </w:rPr>
        <w:t>债券市场债券投资者按照财产状况、金融资产状况、投资知识和经验、专业能力等因素，分为专业投资者和普通投资者。专业投资者之外的债券投资者为普通投资者。</w:t>
      </w:r>
    </w:p>
    <w:p w14:paraId="1B503BBB">
      <w:pPr>
        <w:spacing w:line="600" w:lineRule="exact"/>
        <w:ind w:firstLine="600"/>
        <w:rPr>
          <w:rFonts w:ascii="仿宋_GB2312" w:eastAsia="仿宋_GB2312"/>
          <w:sz w:val="30"/>
          <w:szCs w:val="30"/>
        </w:rPr>
      </w:pPr>
      <w:r>
        <w:rPr>
          <w:rFonts w:hint="eastAsia" w:ascii="仿宋_GB2312" w:eastAsia="仿宋_GB2312"/>
          <w:sz w:val="30"/>
          <w:szCs w:val="30"/>
        </w:rPr>
        <w:t>专业投资者应当符合下列条件：</w:t>
      </w:r>
    </w:p>
    <w:p w14:paraId="7EC3BF58">
      <w:pPr>
        <w:spacing w:line="600" w:lineRule="exact"/>
        <w:ind w:firstLine="600"/>
        <w:rPr>
          <w:rFonts w:ascii="仿宋_GB2312" w:eastAsia="仿宋_GB2312"/>
          <w:sz w:val="30"/>
          <w:szCs w:val="30"/>
        </w:rPr>
      </w:pPr>
      <w:r>
        <w:rPr>
          <w:rFonts w:hint="eastAsia" w:ascii="仿宋_GB2312" w:eastAsia="仿宋_GB2312"/>
          <w:sz w:val="30"/>
          <w:szCs w:val="30"/>
        </w:rPr>
        <w:t>（1）经有关金融监管部门批准设立的金融机构，包括证券公司、期货公司、基金管理公司及其子公司、银行及其理财子公司、保险公司、信托公司、财务公司等；经行业协会备案或者登记的证券公司子公司、期货公司子公司、私募基金管理人。</w:t>
      </w:r>
    </w:p>
    <w:p w14:paraId="7CAC7356">
      <w:pPr>
        <w:spacing w:line="600" w:lineRule="exact"/>
        <w:ind w:firstLine="600"/>
        <w:rPr>
          <w:rFonts w:ascii="仿宋_GB2312" w:eastAsia="仿宋_GB2312"/>
          <w:sz w:val="30"/>
          <w:szCs w:val="30"/>
        </w:rPr>
      </w:pPr>
      <w:r>
        <w:rPr>
          <w:rFonts w:hint="eastAsia" w:ascii="仿宋_GB2312"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4B578836">
      <w:pPr>
        <w:spacing w:line="600" w:lineRule="exact"/>
        <w:ind w:firstLine="600"/>
        <w:rPr>
          <w:rFonts w:ascii="仿宋_GB2312" w:eastAsia="仿宋_GB2312"/>
          <w:sz w:val="30"/>
          <w:szCs w:val="30"/>
        </w:rPr>
      </w:pPr>
      <w:r>
        <w:rPr>
          <w:rFonts w:hint="eastAsia" w:ascii="仿宋_GB2312" w:eastAsia="仿宋_GB2312"/>
          <w:sz w:val="30"/>
          <w:szCs w:val="30"/>
        </w:rPr>
        <w:t>（3）社会保障基金、企业年金等养老基金，慈善基金等社会公益基金，合格境外机构投资者（QFII）、人民币合格境外机构投资者（RQFII）。</w:t>
      </w:r>
    </w:p>
    <w:p w14:paraId="74C4088C">
      <w:pPr>
        <w:spacing w:line="600" w:lineRule="exact"/>
        <w:ind w:firstLine="600"/>
        <w:rPr>
          <w:rFonts w:ascii="仿宋_GB2312" w:eastAsia="仿宋_GB2312"/>
          <w:sz w:val="30"/>
          <w:szCs w:val="30"/>
        </w:rPr>
      </w:pPr>
      <w:r>
        <w:rPr>
          <w:rFonts w:hint="eastAsia" w:ascii="仿宋_GB2312" w:eastAsia="仿宋_GB2312"/>
          <w:sz w:val="30"/>
          <w:szCs w:val="30"/>
        </w:rPr>
        <w:t>（4）同时符合下列条件的法人或者其他组织：</w:t>
      </w:r>
    </w:p>
    <w:p w14:paraId="5B2A9741">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最近1年末净资产不低于2000万元；</w:t>
      </w:r>
    </w:p>
    <w:p w14:paraId="409C81E3">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最近1年末金融资产不低于1000万元；</w:t>
      </w:r>
    </w:p>
    <w:p w14:paraId="02C7E579">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w:t>
      </w:r>
    </w:p>
    <w:p w14:paraId="4AC3B3DD">
      <w:pPr>
        <w:spacing w:line="600" w:lineRule="exact"/>
        <w:ind w:firstLine="600"/>
        <w:rPr>
          <w:rFonts w:ascii="仿宋_GB2312" w:eastAsia="仿宋_GB2312"/>
          <w:sz w:val="30"/>
          <w:szCs w:val="30"/>
        </w:rPr>
      </w:pPr>
      <w:r>
        <w:rPr>
          <w:rFonts w:hint="eastAsia" w:ascii="仿宋_GB2312" w:eastAsia="仿宋_GB2312"/>
          <w:sz w:val="30"/>
          <w:szCs w:val="30"/>
        </w:rPr>
        <w:t>（5）同时符合下列条件的个人：</w:t>
      </w:r>
    </w:p>
    <w:p w14:paraId="1FB0EEBC">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申请资格认定前20个交易日名下金融资产日均不低于500万元，或者最近3年个人年均收入不低于50万元；</w:t>
      </w:r>
    </w:p>
    <w:p w14:paraId="60AFA2D4">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或者具有2年以上金融产品设计、投资、风险管理及相关工作经历，或者属于本条第（1）项规定的专业投资者的高级管理人员、获得职业资格认证的从事金融相关业务的注册会计师和律师。</w:t>
      </w:r>
    </w:p>
    <w:p w14:paraId="0E5D29D7">
      <w:pPr>
        <w:spacing w:line="600" w:lineRule="exact"/>
        <w:ind w:firstLine="600"/>
        <w:rPr>
          <w:rFonts w:ascii="仿宋_GB2312" w:eastAsia="仿宋_GB2312"/>
          <w:sz w:val="30"/>
          <w:szCs w:val="30"/>
        </w:rPr>
      </w:pPr>
      <w:r>
        <w:rPr>
          <w:rFonts w:hint="eastAsia" w:ascii="仿宋_GB2312" w:eastAsia="仿宋_GB2312"/>
          <w:sz w:val="30"/>
          <w:szCs w:val="30"/>
        </w:rPr>
        <w:t>前款所称金融资产，是指银行存款、股票、债券、基金份额、资产管理计划、银行理财产品、信托计划、保险产品、期货及其他衍生产品等。</w:t>
      </w:r>
    </w:p>
    <w:p w14:paraId="58CC1980">
      <w:pPr>
        <w:numPr>
          <w:ilvl w:val="0"/>
          <w:numId w:val="11"/>
        </w:numPr>
        <w:spacing w:line="600" w:lineRule="exact"/>
        <w:ind w:firstLine="600"/>
        <w:rPr>
          <w:rFonts w:ascii="仿宋_GB2312" w:eastAsia="仿宋_GB2312"/>
          <w:sz w:val="30"/>
          <w:szCs w:val="30"/>
        </w:rPr>
      </w:pPr>
      <w:r>
        <w:rPr>
          <w:rFonts w:hint="eastAsia" w:ascii="仿宋_GB2312" w:eastAsia="仿宋_GB2312"/>
          <w:sz w:val="30"/>
          <w:szCs w:val="30"/>
        </w:rPr>
        <w:t>中国证监会和本所认可的其他投资者。</w:t>
      </w:r>
    </w:p>
    <w:p w14:paraId="43B5AB88">
      <w:pPr>
        <w:numPr>
          <w:ilvl w:val="2"/>
          <w:numId w:val="4"/>
        </w:numPr>
        <w:spacing w:line="600" w:lineRule="exact"/>
        <w:ind w:left="0" w:firstLine="0"/>
        <w:outlineLvl w:val="2"/>
        <w:rPr>
          <w:rFonts w:ascii="仿宋_GB2312" w:eastAsia="仿宋_GB2312"/>
          <w:sz w:val="30"/>
          <w:szCs w:val="30"/>
        </w:rPr>
      </w:pPr>
      <w:r>
        <w:rPr>
          <w:rFonts w:hint="eastAsia" w:ascii="仿宋_GB2312" w:eastAsia="仿宋_GB2312"/>
          <w:b/>
          <w:sz w:val="30"/>
          <w:szCs w:val="30"/>
          <w:lang w:bidi="en-US"/>
        </w:rPr>
        <w:t>债券现券交易投资品种范围</w:t>
      </w:r>
    </w:p>
    <w:p w14:paraId="4F73660C">
      <w:pPr>
        <w:pStyle w:val="90"/>
        <w:spacing w:line="600" w:lineRule="exact"/>
        <w:ind w:firstLine="600"/>
        <w:rPr>
          <w:rFonts w:hAnsi="黑体"/>
          <w:sz w:val="30"/>
          <w:szCs w:val="30"/>
        </w:rPr>
      </w:pPr>
      <w:r>
        <w:rPr>
          <w:rFonts w:hint="eastAsia" w:hAnsi="黑体"/>
          <w:sz w:val="30"/>
          <w:szCs w:val="30"/>
        </w:rPr>
        <w:t>（1）专业投资者投资品种范围</w:t>
      </w:r>
    </w:p>
    <w:p w14:paraId="1694F112">
      <w:pPr>
        <w:spacing w:line="600" w:lineRule="exact"/>
        <w:ind w:firstLine="600"/>
        <w:rPr>
          <w:rFonts w:ascii="仿宋_GB2312" w:eastAsia="仿宋_GB2312"/>
          <w:sz w:val="30"/>
          <w:szCs w:val="30"/>
        </w:rPr>
      </w:pPr>
      <w:r>
        <w:rPr>
          <w:rFonts w:hint="eastAsia" w:ascii="仿宋_GB2312" w:eastAsia="仿宋_GB2312"/>
          <w:sz w:val="30"/>
          <w:szCs w:val="30"/>
        </w:rPr>
        <w:t>专业投资者可以认购及交易在本所上市交易或者挂牌转让的全部债券，但下列债券仅限专业投资者中的机构投资者认购及交易：依据《公司债券发行</w:t>
      </w:r>
      <w:r>
        <w:rPr>
          <w:rFonts w:ascii="仿宋_GB2312" w:eastAsia="仿宋_GB2312"/>
          <w:sz w:val="30"/>
          <w:szCs w:val="30"/>
        </w:rPr>
        <w:t>与</w:t>
      </w:r>
      <w:r>
        <w:rPr>
          <w:rFonts w:hint="eastAsia" w:ascii="仿宋_GB2312" w:eastAsia="仿宋_GB2312"/>
          <w:sz w:val="30"/>
          <w:szCs w:val="30"/>
        </w:rPr>
        <w:t>交易管理办法》第十六条面向普通投资者公开发行的公司债券以外的其他公司债券、资产支持证券、特定债券、本所认可的其他仅限专业投资者中的机构投资者认购及交易的债券。</w:t>
      </w:r>
    </w:p>
    <w:p w14:paraId="7D23632A">
      <w:pPr>
        <w:pStyle w:val="90"/>
        <w:spacing w:line="600" w:lineRule="exact"/>
        <w:ind w:firstLine="600"/>
        <w:rPr>
          <w:rFonts w:hAnsi="黑体"/>
          <w:sz w:val="30"/>
          <w:szCs w:val="30"/>
        </w:rPr>
      </w:pPr>
      <w:r>
        <w:rPr>
          <w:rFonts w:hint="eastAsia" w:hAnsi="黑体"/>
          <w:sz w:val="30"/>
          <w:szCs w:val="30"/>
        </w:rPr>
        <w:t>（2）普通投资者投资品种范围</w:t>
      </w:r>
    </w:p>
    <w:p w14:paraId="07F52BB2">
      <w:pPr>
        <w:spacing w:line="600" w:lineRule="exact"/>
        <w:ind w:firstLine="600"/>
        <w:rPr>
          <w:rFonts w:ascii="仿宋_GB2312" w:eastAsia="仿宋_GB2312"/>
          <w:sz w:val="30"/>
          <w:szCs w:val="30"/>
        </w:rPr>
      </w:pPr>
      <w:r>
        <w:rPr>
          <w:rFonts w:hint="eastAsia" w:ascii="仿宋_GB2312" w:eastAsia="仿宋_GB2312"/>
          <w:sz w:val="30"/>
          <w:szCs w:val="30"/>
        </w:rPr>
        <w:t>普通投资者可以认购及交易在本所上市交易或者挂牌转让的国债、地方政府债券、政策性金融债、中国铁路建设债券等政府支持债券、政府支持机构债券、资信状况符合《公司债券发行与交易管理办法》第十六条规定标准的面向普通投资者公开发行的公司债券及本所认可的其他债券品种。</w:t>
      </w:r>
    </w:p>
    <w:p w14:paraId="425DA038">
      <w:pPr>
        <w:spacing w:line="600" w:lineRule="exact"/>
        <w:ind w:firstLine="600"/>
        <w:rPr>
          <w:rFonts w:ascii="仿宋_GB2312" w:eastAsia="仿宋_GB2312"/>
          <w:sz w:val="30"/>
          <w:szCs w:val="30"/>
        </w:rPr>
      </w:pPr>
      <w:r>
        <w:rPr>
          <w:rFonts w:hint="eastAsia" w:ascii="仿宋_GB2312" w:eastAsia="仿宋_GB2312"/>
          <w:sz w:val="30"/>
          <w:szCs w:val="30"/>
        </w:rPr>
        <w:t>其中</w:t>
      </w:r>
      <w:r>
        <w:rPr>
          <w:rFonts w:ascii="仿宋_GB2312" w:eastAsia="仿宋_GB2312"/>
          <w:sz w:val="30"/>
          <w:szCs w:val="30"/>
        </w:rPr>
        <w:t>，《</w:t>
      </w:r>
      <w:r>
        <w:rPr>
          <w:rFonts w:hint="eastAsia" w:ascii="仿宋_GB2312" w:eastAsia="仿宋_GB2312"/>
          <w:sz w:val="30"/>
          <w:szCs w:val="30"/>
        </w:rPr>
        <w:t>公司债券发行</w:t>
      </w:r>
      <w:r>
        <w:rPr>
          <w:rFonts w:ascii="仿宋_GB2312" w:eastAsia="仿宋_GB2312"/>
          <w:sz w:val="30"/>
          <w:szCs w:val="30"/>
        </w:rPr>
        <w:t>与</w:t>
      </w:r>
      <w:r>
        <w:rPr>
          <w:rFonts w:hint="eastAsia" w:ascii="仿宋_GB2312" w:eastAsia="仿宋_GB2312"/>
          <w:sz w:val="30"/>
          <w:szCs w:val="30"/>
        </w:rPr>
        <w:t>交易管理办法</w:t>
      </w:r>
      <w:r>
        <w:rPr>
          <w:rFonts w:ascii="仿宋_GB2312" w:eastAsia="仿宋_GB2312"/>
          <w:sz w:val="30"/>
          <w:szCs w:val="30"/>
        </w:rPr>
        <w:t>》</w:t>
      </w:r>
      <w:r>
        <w:rPr>
          <w:rFonts w:hint="eastAsia" w:ascii="仿宋_GB2312" w:eastAsia="仿宋_GB2312"/>
          <w:sz w:val="30"/>
          <w:szCs w:val="30"/>
        </w:rPr>
        <w:t>第</w:t>
      </w:r>
      <w:r>
        <w:rPr>
          <w:rFonts w:ascii="仿宋_GB2312" w:eastAsia="仿宋_GB2312"/>
          <w:sz w:val="30"/>
          <w:szCs w:val="30"/>
        </w:rPr>
        <w:t>十</w:t>
      </w:r>
      <w:r>
        <w:rPr>
          <w:rFonts w:hint="eastAsia" w:ascii="仿宋_GB2312" w:eastAsia="仿宋_GB2312"/>
          <w:sz w:val="30"/>
          <w:szCs w:val="30"/>
        </w:rPr>
        <w:t>六</w:t>
      </w:r>
      <w:r>
        <w:rPr>
          <w:rFonts w:ascii="仿宋_GB2312" w:eastAsia="仿宋_GB2312"/>
          <w:sz w:val="30"/>
          <w:szCs w:val="30"/>
        </w:rPr>
        <w:t>条</w:t>
      </w:r>
      <w:r>
        <w:rPr>
          <w:rFonts w:hint="eastAsia" w:ascii="仿宋_GB2312" w:eastAsia="仿宋_GB2312"/>
          <w:sz w:val="30"/>
          <w:szCs w:val="30"/>
        </w:rPr>
        <w:t>规定</w:t>
      </w:r>
      <w:r>
        <w:rPr>
          <w:rFonts w:ascii="仿宋_GB2312" w:eastAsia="仿宋_GB2312"/>
          <w:sz w:val="30"/>
          <w:szCs w:val="30"/>
        </w:rPr>
        <w:t>的标准是指：</w:t>
      </w:r>
    </w:p>
    <w:p w14:paraId="58920134">
      <w:pPr>
        <w:spacing w:line="600" w:lineRule="exact"/>
        <w:ind w:firstLine="600" w:firstLineChars="200"/>
        <w:rPr>
          <w:rFonts w:ascii="仿宋_GB2312" w:eastAsia="仿宋_GB2312"/>
          <w:sz w:val="30"/>
          <w:szCs w:val="30"/>
        </w:rPr>
      </w:pPr>
      <w:r>
        <w:rPr>
          <w:rFonts w:hint="eastAsia" w:ascii="仿宋_GB2312" w:eastAsia="仿宋_GB2312"/>
          <w:sz w:val="30"/>
          <w:szCs w:val="30"/>
        </w:rPr>
        <w:t>1）发行人最近三年无债务违约或者延迟支付本息的事实；</w:t>
      </w:r>
    </w:p>
    <w:p w14:paraId="4CACB43C">
      <w:pPr>
        <w:spacing w:line="600" w:lineRule="exact"/>
        <w:ind w:firstLine="600"/>
        <w:rPr>
          <w:rFonts w:ascii="仿宋_GB2312" w:eastAsia="仿宋_GB2312"/>
          <w:sz w:val="30"/>
          <w:szCs w:val="30"/>
        </w:rPr>
      </w:pPr>
      <w:r>
        <w:rPr>
          <w:rFonts w:hint="eastAsia" w:ascii="仿宋_GB2312" w:eastAsia="仿宋_GB2312"/>
          <w:sz w:val="30"/>
          <w:szCs w:val="30"/>
        </w:rPr>
        <w:t>2）发行人最近三年平均可分配利润不少于债券一年利息的1.5 倍；</w:t>
      </w:r>
    </w:p>
    <w:p w14:paraId="3A8A543C">
      <w:pPr>
        <w:spacing w:line="600" w:lineRule="exact"/>
        <w:ind w:firstLine="600"/>
        <w:rPr>
          <w:rFonts w:ascii="仿宋_GB2312" w:eastAsia="仿宋_GB2312"/>
          <w:sz w:val="30"/>
          <w:szCs w:val="30"/>
        </w:rPr>
      </w:pPr>
      <w:r>
        <w:rPr>
          <w:rFonts w:hint="eastAsia" w:ascii="仿宋_GB2312" w:eastAsia="仿宋_GB2312"/>
          <w:sz w:val="30"/>
          <w:szCs w:val="30"/>
        </w:rPr>
        <w:t>3）发行人最近一期末净资产规模不少于250 亿元；</w:t>
      </w:r>
    </w:p>
    <w:p w14:paraId="3C59A081">
      <w:pPr>
        <w:spacing w:line="600" w:lineRule="exact"/>
        <w:ind w:firstLine="600"/>
        <w:rPr>
          <w:rFonts w:ascii="仿宋_GB2312" w:eastAsia="仿宋_GB2312"/>
          <w:sz w:val="30"/>
          <w:szCs w:val="30"/>
        </w:rPr>
      </w:pPr>
      <w:r>
        <w:rPr>
          <w:rFonts w:hint="eastAsia" w:ascii="仿宋_GB2312" w:eastAsia="仿宋_GB2312"/>
          <w:sz w:val="30"/>
          <w:szCs w:val="30"/>
        </w:rPr>
        <w:t>4）发行人最近36 个月内累计公开发行债券不少于3期，发行规模不少于100 亿元；</w:t>
      </w:r>
    </w:p>
    <w:p w14:paraId="10C7F174">
      <w:pPr>
        <w:spacing w:line="600" w:lineRule="exact"/>
        <w:ind w:firstLine="600"/>
        <w:rPr>
          <w:rFonts w:ascii="仿宋_GB2312" w:eastAsia="仿宋_GB2312"/>
          <w:sz w:val="30"/>
          <w:szCs w:val="30"/>
        </w:rPr>
      </w:pPr>
      <w:r>
        <w:rPr>
          <w:rFonts w:hint="eastAsia" w:ascii="仿宋_GB2312" w:eastAsia="仿宋_GB2312"/>
          <w:sz w:val="30"/>
          <w:szCs w:val="30"/>
        </w:rPr>
        <w:t>5）中国证监会根据投资者保护的需要规定的其他条件。</w:t>
      </w:r>
    </w:p>
    <w:p w14:paraId="37EE980B">
      <w:pPr>
        <w:widowControl/>
        <w:jc w:val="left"/>
        <w:rPr>
          <w:rFonts w:ascii="仿宋_GB2312" w:hAnsi="黑体" w:eastAsia="仿宋_GB2312"/>
          <w:kern w:val="0"/>
          <w:sz w:val="30"/>
          <w:szCs w:val="30"/>
        </w:rPr>
      </w:pPr>
      <w:r>
        <w:rPr>
          <w:rFonts w:hAnsi="黑体"/>
          <w:sz w:val="30"/>
          <w:szCs w:val="30"/>
        </w:rPr>
        <w:br w:type="page"/>
      </w:r>
    </w:p>
    <w:p w14:paraId="4F82417D">
      <w:pPr>
        <w:pStyle w:val="90"/>
        <w:spacing w:line="600" w:lineRule="exact"/>
        <w:ind w:firstLine="600" w:firstLineChars="0"/>
      </w:pPr>
      <w:r>
        <w:rPr>
          <w:rFonts w:hint="eastAsia" w:hAnsi="黑体"/>
          <w:sz w:val="30"/>
          <w:szCs w:val="30"/>
        </w:rPr>
        <w:t>（3）投资品种范围细化表</w:t>
      </w:r>
    </w:p>
    <w:tbl>
      <w:tblPr>
        <w:tblStyle w:val="43"/>
        <w:tblW w:w="5356"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80"/>
        <w:gridCol w:w="1413"/>
        <w:gridCol w:w="1832"/>
        <w:gridCol w:w="1775"/>
      </w:tblGrid>
      <w:tr w14:paraId="3086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5E828DE2">
            <w:pPr>
              <w:rPr>
                <w:rFonts w:ascii="仿宋_GB2312" w:eastAsia="仿宋_GB2312"/>
                <w:b/>
                <w:sz w:val="24"/>
                <w:szCs w:val="30"/>
              </w:rPr>
            </w:pPr>
            <w:r>
              <w:rPr>
                <w:rFonts w:hint="eastAsia" w:ascii="仿宋_GB2312" w:eastAsia="仿宋_GB2312"/>
                <w:b/>
                <w:sz w:val="24"/>
                <w:szCs w:val="30"/>
              </w:rPr>
              <w:t>债券品种</w:t>
            </w:r>
          </w:p>
        </w:tc>
        <w:tc>
          <w:tcPr>
            <w:tcW w:w="774" w:type="pct"/>
            <w:vAlign w:val="center"/>
          </w:tcPr>
          <w:p w14:paraId="38985486">
            <w:pPr>
              <w:rPr>
                <w:rFonts w:ascii="仿宋_GB2312" w:eastAsia="仿宋_GB2312"/>
                <w:b/>
                <w:szCs w:val="30"/>
              </w:rPr>
            </w:pPr>
            <w:r>
              <w:rPr>
                <w:rFonts w:hint="eastAsia" w:ascii="仿宋_GB2312" w:eastAsia="仿宋_GB2312"/>
                <w:b/>
                <w:szCs w:val="30"/>
              </w:rPr>
              <w:t>普通投资者</w:t>
            </w:r>
          </w:p>
        </w:tc>
        <w:tc>
          <w:tcPr>
            <w:tcW w:w="1003" w:type="pct"/>
            <w:vAlign w:val="center"/>
          </w:tcPr>
          <w:p w14:paraId="482B1CEC">
            <w:pPr>
              <w:rPr>
                <w:rFonts w:ascii="仿宋_GB2312" w:eastAsia="仿宋_GB2312"/>
                <w:b/>
                <w:szCs w:val="30"/>
              </w:rPr>
            </w:pPr>
            <w:r>
              <w:rPr>
                <w:rFonts w:hint="eastAsia" w:ascii="仿宋_GB2312" w:eastAsia="仿宋_GB2312"/>
                <w:b/>
                <w:szCs w:val="30"/>
              </w:rPr>
              <w:t>专业个人投资者</w:t>
            </w:r>
          </w:p>
        </w:tc>
        <w:tc>
          <w:tcPr>
            <w:tcW w:w="972" w:type="pct"/>
            <w:vAlign w:val="center"/>
          </w:tcPr>
          <w:p w14:paraId="3F9EF4FB">
            <w:pPr>
              <w:rPr>
                <w:rFonts w:ascii="仿宋_GB2312" w:eastAsia="仿宋_GB2312"/>
                <w:b/>
                <w:szCs w:val="30"/>
              </w:rPr>
            </w:pPr>
            <w:r>
              <w:rPr>
                <w:rFonts w:hint="eastAsia" w:ascii="仿宋_GB2312" w:eastAsia="仿宋_GB2312"/>
                <w:b/>
                <w:szCs w:val="30"/>
              </w:rPr>
              <w:t>专业机构投资者</w:t>
            </w:r>
          </w:p>
        </w:tc>
      </w:tr>
      <w:tr w14:paraId="2F54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C4CA851">
            <w:pPr>
              <w:rPr>
                <w:rFonts w:ascii="仿宋_GB2312" w:eastAsia="仿宋_GB2312"/>
                <w:sz w:val="24"/>
                <w:szCs w:val="30"/>
              </w:rPr>
            </w:pPr>
            <w:r>
              <w:rPr>
                <w:rFonts w:hint="eastAsia" w:ascii="仿宋_GB2312" w:eastAsia="仿宋_GB2312"/>
                <w:sz w:val="24"/>
                <w:szCs w:val="30"/>
              </w:rPr>
              <w:t>国债</w:t>
            </w:r>
          </w:p>
        </w:tc>
        <w:tc>
          <w:tcPr>
            <w:tcW w:w="774" w:type="pct"/>
            <w:vAlign w:val="center"/>
          </w:tcPr>
          <w:p w14:paraId="3D0BEC6B">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1CDED24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23C9D3A2">
            <w:pPr>
              <w:ind w:firstLine="480"/>
              <w:rPr>
                <w:rFonts w:ascii="仿宋_GB2312" w:eastAsia="仿宋_GB2312"/>
                <w:sz w:val="24"/>
                <w:szCs w:val="30"/>
              </w:rPr>
            </w:pPr>
            <w:r>
              <w:rPr>
                <w:rFonts w:hint="eastAsia" w:ascii="仿宋_GB2312" w:eastAsia="仿宋_GB2312"/>
                <w:sz w:val="24"/>
                <w:szCs w:val="30"/>
              </w:rPr>
              <w:t>√</w:t>
            </w:r>
          </w:p>
        </w:tc>
      </w:tr>
      <w:tr w14:paraId="10C7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6BD2628">
            <w:pPr>
              <w:rPr>
                <w:rFonts w:ascii="仿宋_GB2312" w:eastAsia="仿宋_GB2312"/>
                <w:sz w:val="24"/>
                <w:szCs w:val="30"/>
              </w:rPr>
            </w:pPr>
            <w:r>
              <w:rPr>
                <w:rFonts w:hint="eastAsia" w:ascii="仿宋_GB2312" w:eastAsia="仿宋_GB2312"/>
                <w:sz w:val="24"/>
                <w:szCs w:val="30"/>
              </w:rPr>
              <w:t>地方政府债券</w:t>
            </w:r>
          </w:p>
        </w:tc>
        <w:tc>
          <w:tcPr>
            <w:tcW w:w="774" w:type="pct"/>
            <w:vAlign w:val="center"/>
          </w:tcPr>
          <w:p w14:paraId="6836CAF9">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74743818">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27A64E5">
            <w:pPr>
              <w:ind w:firstLine="480"/>
              <w:rPr>
                <w:rFonts w:ascii="仿宋_GB2312" w:eastAsia="仿宋_GB2312"/>
                <w:sz w:val="24"/>
                <w:szCs w:val="30"/>
              </w:rPr>
            </w:pPr>
            <w:r>
              <w:rPr>
                <w:rFonts w:hint="eastAsia" w:ascii="仿宋_GB2312" w:eastAsia="仿宋_GB2312"/>
                <w:sz w:val="24"/>
                <w:szCs w:val="30"/>
              </w:rPr>
              <w:t>√</w:t>
            </w:r>
          </w:p>
        </w:tc>
      </w:tr>
      <w:tr w14:paraId="345E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0" w:type="pct"/>
            <w:gridSpan w:val="2"/>
            <w:vAlign w:val="center"/>
          </w:tcPr>
          <w:p w14:paraId="05CE53B0">
            <w:pPr>
              <w:rPr>
                <w:rFonts w:ascii="仿宋_GB2312" w:eastAsia="仿宋_GB2312"/>
                <w:sz w:val="24"/>
                <w:szCs w:val="30"/>
              </w:rPr>
            </w:pPr>
            <w:r>
              <w:rPr>
                <w:rFonts w:hint="eastAsia" w:ascii="仿宋_GB2312" w:eastAsia="仿宋_GB2312"/>
                <w:sz w:val="24"/>
                <w:szCs w:val="30"/>
              </w:rPr>
              <w:t>政策性金融债</w:t>
            </w:r>
          </w:p>
        </w:tc>
        <w:tc>
          <w:tcPr>
            <w:tcW w:w="774" w:type="pct"/>
            <w:vAlign w:val="center"/>
          </w:tcPr>
          <w:p w14:paraId="12F9A971">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1A24BD2">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D287435">
            <w:pPr>
              <w:ind w:firstLine="480"/>
              <w:rPr>
                <w:rFonts w:ascii="仿宋_GB2312" w:eastAsia="仿宋_GB2312"/>
                <w:sz w:val="24"/>
                <w:szCs w:val="30"/>
              </w:rPr>
            </w:pPr>
            <w:r>
              <w:rPr>
                <w:rFonts w:hint="eastAsia" w:ascii="仿宋_GB2312" w:eastAsia="仿宋_GB2312"/>
                <w:sz w:val="24"/>
                <w:szCs w:val="30"/>
              </w:rPr>
              <w:t>√</w:t>
            </w:r>
          </w:p>
        </w:tc>
      </w:tr>
      <w:tr w14:paraId="03FB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4FD864C2">
            <w:pPr>
              <w:rPr>
                <w:rFonts w:ascii="仿宋_GB2312" w:eastAsia="仿宋_GB2312"/>
                <w:sz w:val="24"/>
                <w:szCs w:val="30"/>
              </w:rPr>
            </w:pPr>
            <w:r>
              <w:rPr>
                <w:rFonts w:hint="eastAsia" w:ascii="仿宋_GB2312" w:eastAsia="仿宋_GB2312"/>
                <w:sz w:val="24"/>
                <w:szCs w:val="30"/>
              </w:rPr>
              <w:t>中国铁路建设债券等政府支持债券</w:t>
            </w:r>
          </w:p>
        </w:tc>
        <w:tc>
          <w:tcPr>
            <w:tcW w:w="774" w:type="pct"/>
            <w:vAlign w:val="center"/>
          </w:tcPr>
          <w:p w14:paraId="6029C735">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8DACF9F">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310FD754">
            <w:pPr>
              <w:ind w:firstLine="480"/>
              <w:rPr>
                <w:rFonts w:ascii="仿宋_GB2312" w:eastAsia="仿宋_GB2312"/>
                <w:sz w:val="24"/>
                <w:szCs w:val="30"/>
              </w:rPr>
            </w:pPr>
            <w:r>
              <w:rPr>
                <w:rFonts w:hint="eastAsia" w:ascii="仿宋_GB2312" w:eastAsia="仿宋_GB2312"/>
                <w:sz w:val="24"/>
                <w:szCs w:val="30"/>
              </w:rPr>
              <w:t>√</w:t>
            </w:r>
          </w:p>
        </w:tc>
      </w:tr>
      <w:tr w14:paraId="5E26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19EC4B80">
            <w:pPr>
              <w:rPr>
                <w:rFonts w:ascii="仿宋_GB2312" w:eastAsia="仿宋_GB2312"/>
                <w:sz w:val="24"/>
                <w:szCs w:val="30"/>
              </w:rPr>
            </w:pPr>
            <w:r>
              <w:rPr>
                <w:rFonts w:hint="eastAsia" w:ascii="仿宋_GB2312" w:eastAsia="仿宋_GB2312"/>
                <w:sz w:val="24"/>
                <w:szCs w:val="30"/>
              </w:rPr>
              <w:t>政府支持机构债券</w:t>
            </w:r>
          </w:p>
        </w:tc>
        <w:tc>
          <w:tcPr>
            <w:tcW w:w="774" w:type="pct"/>
            <w:vAlign w:val="center"/>
          </w:tcPr>
          <w:p w14:paraId="710DB13C">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C4ADA1B">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0D04619">
            <w:pPr>
              <w:ind w:firstLine="480"/>
              <w:rPr>
                <w:rFonts w:ascii="仿宋_GB2312" w:eastAsia="仿宋_GB2312"/>
                <w:sz w:val="24"/>
                <w:szCs w:val="30"/>
              </w:rPr>
            </w:pPr>
            <w:r>
              <w:rPr>
                <w:rFonts w:hint="eastAsia" w:ascii="仿宋_GB2312" w:eastAsia="仿宋_GB2312"/>
                <w:sz w:val="24"/>
                <w:szCs w:val="30"/>
              </w:rPr>
              <w:t>√</w:t>
            </w:r>
          </w:p>
        </w:tc>
      </w:tr>
      <w:tr w14:paraId="2A4C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18" w:type="pct"/>
            <w:vMerge w:val="restart"/>
            <w:vAlign w:val="center"/>
          </w:tcPr>
          <w:p w14:paraId="50CE7F53">
            <w:pPr>
              <w:rPr>
                <w:rFonts w:ascii="仿宋_GB2312" w:eastAsia="仿宋_GB2312"/>
                <w:sz w:val="24"/>
                <w:szCs w:val="30"/>
              </w:rPr>
            </w:pPr>
            <w:r>
              <w:rPr>
                <w:rFonts w:hint="eastAsia" w:ascii="仿宋_GB2312" w:eastAsia="仿宋_GB2312"/>
                <w:sz w:val="24"/>
                <w:szCs w:val="30"/>
              </w:rPr>
              <w:t>公开发行公司债</w:t>
            </w:r>
          </w:p>
        </w:tc>
        <w:tc>
          <w:tcPr>
            <w:tcW w:w="1632" w:type="pct"/>
            <w:vAlign w:val="center"/>
          </w:tcPr>
          <w:p w14:paraId="785BECAA">
            <w:pPr>
              <w:rPr>
                <w:rFonts w:ascii="仿宋_GB2312" w:eastAsia="仿宋_GB2312"/>
                <w:sz w:val="24"/>
                <w:szCs w:val="30"/>
              </w:rPr>
            </w:pPr>
            <w:r>
              <w:rPr>
                <w:rFonts w:hint="eastAsia" w:ascii="仿宋_GB2312" w:eastAsia="仿宋_GB2312"/>
                <w:sz w:val="24"/>
                <w:szCs w:val="30"/>
              </w:rPr>
              <w:t>资信状况符合《公司债券管理办法》第十六条规定标准的面向普通投资者公开发行的公司债券</w:t>
            </w:r>
          </w:p>
        </w:tc>
        <w:tc>
          <w:tcPr>
            <w:tcW w:w="774" w:type="pct"/>
            <w:vAlign w:val="center"/>
          </w:tcPr>
          <w:p w14:paraId="1FD459A6">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E5A111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51125E2">
            <w:pPr>
              <w:ind w:firstLine="480"/>
              <w:rPr>
                <w:rFonts w:ascii="仿宋_GB2312" w:eastAsia="仿宋_GB2312"/>
                <w:sz w:val="24"/>
                <w:szCs w:val="30"/>
              </w:rPr>
            </w:pPr>
            <w:r>
              <w:rPr>
                <w:rFonts w:hint="eastAsia" w:ascii="仿宋_GB2312" w:eastAsia="仿宋_GB2312"/>
                <w:sz w:val="24"/>
                <w:szCs w:val="30"/>
              </w:rPr>
              <w:t>√</w:t>
            </w:r>
          </w:p>
        </w:tc>
      </w:tr>
      <w:tr w14:paraId="70C8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18" w:type="pct"/>
            <w:vMerge w:val="continue"/>
            <w:vAlign w:val="center"/>
          </w:tcPr>
          <w:p w14:paraId="228D9EAD">
            <w:pPr>
              <w:ind w:firstLine="480"/>
              <w:rPr>
                <w:rFonts w:ascii="仿宋_GB2312" w:eastAsia="仿宋_GB2312"/>
                <w:sz w:val="24"/>
                <w:szCs w:val="30"/>
              </w:rPr>
            </w:pPr>
          </w:p>
        </w:tc>
        <w:tc>
          <w:tcPr>
            <w:tcW w:w="1632" w:type="pct"/>
            <w:vAlign w:val="center"/>
          </w:tcPr>
          <w:p w14:paraId="1B1B7431">
            <w:pPr>
              <w:rPr>
                <w:rFonts w:ascii="仿宋_GB2312" w:eastAsia="仿宋_GB2312"/>
                <w:sz w:val="24"/>
                <w:szCs w:val="30"/>
              </w:rPr>
            </w:pPr>
            <w:r>
              <w:rPr>
                <w:rFonts w:hint="eastAsia" w:ascii="仿宋_GB2312" w:eastAsia="仿宋_GB2312"/>
                <w:sz w:val="24"/>
                <w:szCs w:val="30"/>
              </w:rPr>
              <w:t>依据《公司债券管理办法》第十六条面向普通投资者公开发行的公司债券以外的其他公司债券</w:t>
            </w:r>
          </w:p>
        </w:tc>
        <w:tc>
          <w:tcPr>
            <w:tcW w:w="774" w:type="pct"/>
            <w:vAlign w:val="center"/>
          </w:tcPr>
          <w:p w14:paraId="28644B04">
            <w:pPr>
              <w:ind w:firstLine="480"/>
              <w:rPr>
                <w:rFonts w:ascii="仿宋_GB2312" w:eastAsia="仿宋_GB2312"/>
                <w:sz w:val="24"/>
                <w:szCs w:val="30"/>
              </w:rPr>
            </w:pPr>
          </w:p>
        </w:tc>
        <w:tc>
          <w:tcPr>
            <w:tcW w:w="1003" w:type="pct"/>
            <w:vAlign w:val="center"/>
          </w:tcPr>
          <w:p w14:paraId="7FC1F70E">
            <w:pPr>
              <w:ind w:firstLine="480"/>
              <w:rPr>
                <w:rFonts w:ascii="仿宋_GB2312" w:eastAsia="仿宋_GB2312"/>
                <w:sz w:val="24"/>
                <w:szCs w:val="30"/>
              </w:rPr>
            </w:pPr>
          </w:p>
        </w:tc>
        <w:tc>
          <w:tcPr>
            <w:tcW w:w="972" w:type="pct"/>
            <w:vAlign w:val="center"/>
          </w:tcPr>
          <w:p w14:paraId="78A85AF2">
            <w:pPr>
              <w:ind w:firstLine="480"/>
              <w:rPr>
                <w:rFonts w:ascii="仿宋_GB2312" w:eastAsia="仿宋_GB2312"/>
                <w:sz w:val="24"/>
                <w:szCs w:val="30"/>
              </w:rPr>
            </w:pPr>
            <w:r>
              <w:rPr>
                <w:rFonts w:hint="eastAsia" w:ascii="仿宋_GB2312" w:eastAsia="仿宋_GB2312"/>
                <w:sz w:val="24"/>
                <w:szCs w:val="30"/>
              </w:rPr>
              <w:t>√</w:t>
            </w:r>
          </w:p>
        </w:tc>
      </w:tr>
      <w:tr w14:paraId="0F15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50" w:type="pct"/>
            <w:gridSpan w:val="2"/>
            <w:vAlign w:val="center"/>
          </w:tcPr>
          <w:p w14:paraId="7DFE2C59">
            <w:pPr>
              <w:rPr>
                <w:rFonts w:ascii="仿宋_GB2312" w:eastAsia="仿宋_GB2312"/>
                <w:sz w:val="24"/>
                <w:szCs w:val="30"/>
              </w:rPr>
            </w:pPr>
            <w:r>
              <w:rPr>
                <w:rFonts w:hint="eastAsia" w:ascii="仿宋_GB2312" w:eastAsia="仿宋_GB2312"/>
                <w:sz w:val="24"/>
                <w:szCs w:val="30"/>
              </w:rPr>
              <w:t>非公开发行公司债（含私募可转换</w:t>
            </w:r>
            <w:r>
              <w:rPr>
                <w:rFonts w:ascii="仿宋_GB2312" w:eastAsia="仿宋_GB2312"/>
                <w:sz w:val="24"/>
                <w:szCs w:val="30"/>
              </w:rPr>
              <w:t>公司</w:t>
            </w:r>
            <w:r>
              <w:rPr>
                <w:rFonts w:hint="eastAsia" w:ascii="仿宋_GB2312" w:eastAsia="仿宋_GB2312"/>
                <w:sz w:val="24"/>
                <w:szCs w:val="30"/>
              </w:rPr>
              <w:t>债券、私募可交换公司债券）</w:t>
            </w:r>
          </w:p>
        </w:tc>
        <w:tc>
          <w:tcPr>
            <w:tcW w:w="774" w:type="pct"/>
            <w:vAlign w:val="center"/>
          </w:tcPr>
          <w:p w14:paraId="277F8609">
            <w:pPr>
              <w:ind w:firstLine="480"/>
              <w:rPr>
                <w:rFonts w:ascii="仿宋_GB2312" w:eastAsia="仿宋_GB2312"/>
                <w:sz w:val="24"/>
                <w:szCs w:val="30"/>
              </w:rPr>
            </w:pPr>
          </w:p>
        </w:tc>
        <w:tc>
          <w:tcPr>
            <w:tcW w:w="1003" w:type="pct"/>
            <w:vAlign w:val="center"/>
          </w:tcPr>
          <w:p w14:paraId="5C486F4B">
            <w:pPr>
              <w:ind w:firstLine="480"/>
              <w:rPr>
                <w:rFonts w:ascii="仿宋_GB2312" w:eastAsia="仿宋_GB2312"/>
                <w:sz w:val="24"/>
                <w:szCs w:val="30"/>
              </w:rPr>
            </w:pPr>
          </w:p>
        </w:tc>
        <w:tc>
          <w:tcPr>
            <w:tcW w:w="972" w:type="pct"/>
            <w:vAlign w:val="center"/>
          </w:tcPr>
          <w:p w14:paraId="0D1A4C31">
            <w:pPr>
              <w:ind w:firstLine="480"/>
              <w:rPr>
                <w:rFonts w:ascii="仿宋_GB2312" w:eastAsia="仿宋_GB2312"/>
                <w:sz w:val="24"/>
                <w:szCs w:val="30"/>
              </w:rPr>
            </w:pPr>
            <w:r>
              <w:rPr>
                <w:rFonts w:hint="eastAsia" w:ascii="仿宋_GB2312" w:eastAsia="仿宋_GB2312"/>
                <w:sz w:val="24"/>
                <w:szCs w:val="30"/>
              </w:rPr>
              <w:t>√</w:t>
            </w:r>
          </w:p>
        </w:tc>
      </w:tr>
      <w:tr w14:paraId="093B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21EA82C8">
            <w:pPr>
              <w:rPr>
                <w:rFonts w:ascii="仿宋_GB2312" w:eastAsia="仿宋_GB2312"/>
                <w:sz w:val="24"/>
                <w:szCs w:val="30"/>
              </w:rPr>
            </w:pPr>
            <w:r>
              <w:rPr>
                <w:rFonts w:hint="eastAsia" w:ascii="仿宋_GB2312" w:eastAsia="仿宋_GB2312"/>
                <w:sz w:val="24"/>
                <w:szCs w:val="30"/>
              </w:rPr>
              <w:t>资产支持证券</w:t>
            </w:r>
          </w:p>
        </w:tc>
        <w:tc>
          <w:tcPr>
            <w:tcW w:w="774" w:type="pct"/>
            <w:vAlign w:val="center"/>
          </w:tcPr>
          <w:p w14:paraId="44293C13">
            <w:pPr>
              <w:ind w:firstLine="480"/>
              <w:rPr>
                <w:rFonts w:ascii="仿宋_GB2312" w:eastAsia="仿宋_GB2312"/>
                <w:sz w:val="24"/>
                <w:szCs w:val="30"/>
              </w:rPr>
            </w:pPr>
          </w:p>
        </w:tc>
        <w:tc>
          <w:tcPr>
            <w:tcW w:w="1003" w:type="pct"/>
            <w:vAlign w:val="center"/>
          </w:tcPr>
          <w:p w14:paraId="3F0A0F7A">
            <w:pPr>
              <w:ind w:firstLine="480"/>
              <w:jc w:val="center"/>
              <w:rPr>
                <w:rFonts w:ascii="仿宋_GB2312" w:eastAsia="仿宋_GB2312"/>
                <w:sz w:val="24"/>
                <w:szCs w:val="30"/>
              </w:rPr>
            </w:pPr>
          </w:p>
        </w:tc>
        <w:tc>
          <w:tcPr>
            <w:tcW w:w="972" w:type="pct"/>
            <w:vAlign w:val="center"/>
          </w:tcPr>
          <w:p w14:paraId="0AE8F046">
            <w:pPr>
              <w:ind w:firstLine="480"/>
              <w:rPr>
                <w:rFonts w:ascii="仿宋_GB2312" w:eastAsia="仿宋_GB2312"/>
                <w:sz w:val="24"/>
                <w:szCs w:val="30"/>
              </w:rPr>
            </w:pPr>
            <w:r>
              <w:rPr>
                <w:rFonts w:hint="eastAsia" w:ascii="仿宋_GB2312" w:eastAsia="仿宋_GB2312"/>
                <w:sz w:val="24"/>
                <w:szCs w:val="30"/>
              </w:rPr>
              <w:t>√</w:t>
            </w:r>
          </w:p>
        </w:tc>
      </w:tr>
      <w:tr w14:paraId="4961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7AEAC462">
            <w:pPr>
              <w:rPr>
                <w:rFonts w:ascii="仿宋_GB2312" w:eastAsia="仿宋_GB2312"/>
                <w:sz w:val="24"/>
                <w:szCs w:val="30"/>
              </w:rPr>
            </w:pPr>
            <w:r>
              <w:rPr>
                <w:rFonts w:hint="eastAsia" w:ascii="仿宋_GB2312" w:eastAsia="仿宋_GB2312"/>
                <w:sz w:val="24"/>
                <w:szCs w:val="30"/>
              </w:rPr>
              <w:t>特定债券</w:t>
            </w:r>
          </w:p>
        </w:tc>
        <w:tc>
          <w:tcPr>
            <w:tcW w:w="774" w:type="pct"/>
            <w:vAlign w:val="center"/>
          </w:tcPr>
          <w:p w14:paraId="2F6F376F">
            <w:pPr>
              <w:ind w:firstLine="480"/>
              <w:rPr>
                <w:rFonts w:ascii="仿宋_GB2312" w:eastAsia="仿宋_GB2312"/>
                <w:sz w:val="24"/>
                <w:szCs w:val="30"/>
              </w:rPr>
            </w:pPr>
          </w:p>
        </w:tc>
        <w:tc>
          <w:tcPr>
            <w:tcW w:w="1003" w:type="pct"/>
            <w:vAlign w:val="center"/>
          </w:tcPr>
          <w:p w14:paraId="79665855">
            <w:pPr>
              <w:ind w:firstLine="480"/>
              <w:jc w:val="center"/>
              <w:rPr>
                <w:rFonts w:ascii="仿宋_GB2312" w:eastAsia="仿宋_GB2312"/>
                <w:sz w:val="24"/>
                <w:szCs w:val="30"/>
              </w:rPr>
            </w:pPr>
          </w:p>
        </w:tc>
        <w:tc>
          <w:tcPr>
            <w:tcW w:w="972" w:type="pct"/>
            <w:vAlign w:val="center"/>
          </w:tcPr>
          <w:p w14:paraId="44E17D28">
            <w:pPr>
              <w:ind w:firstLine="480"/>
              <w:rPr>
                <w:rFonts w:ascii="仿宋_GB2312" w:eastAsia="仿宋_GB2312"/>
                <w:sz w:val="24"/>
                <w:szCs w:val="30"/>
              </w:rPr>
            </w:pPr>
            <w:r>
              <w:rPr>
                <w:rFonts w:hint="eastAsia" w:ascii="仿宋_GB2312" w:eastAsia="仿宋_GB2312"/>
                <w:sz w:val="24"/>
                <w:szCs w:val="30"/>
              </w:rPr>
              <w:t>√</w:t>
            </w:r>
          </w:p>
        </w:tc>
      </w:tr>
    </w:tbl>
    <w:p w14:paraId="6ABCF485">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投资者适当性备案</w:t>
      </w:r>
    </w:p>
    <w:p w14:paraId="58346C68">
      <w:pPr>
        <w:spacing w:line="600" w:lineRule="exact"/>
        <w:ind w:firstLine="600" w:firstLineChars="200"/>
        <w:rPr>
          <w:rFonts w:ascii="仿宋_GB2312" w:eastAsia="仿宋_GB2312"/>
          <w:sz w:val="30"/>
          <w:szCs w:val="30"/>
        </w:rPr>
      </w:pPr>
      <w:r>
        <w:rPr>
          <w:rFonts w:hint="eastAsia" w:ascii="仿宋_GB2312" w:eastAsia="仿宋_GB2312"/>
          <w:sz w:val="30"/>
          <w:szCs w:val="30"/>
        </w:rPr>
        <w:t>债券交易参与人参与本所债券现券交易，无需进行备案，但本所另有规定的情形除外。</w:t>
      </w:r>
    </w:p>
    <w:p w14:paraId="120CDF03">
      <w:pPr>
        <w:spacing w:line="600" w:lineRule="exact"/>
        <w:ind w:firstLine="600" w:firstLineChars="200"/>
        <w:rPr>
          <w:rFonts w:ascii="仿宋_GB2312" w:hAnsi="黑体" w:eastAsia="仿宋_GB2312"/>
          <w:sz w:val="30"/>
          <w:szCs w:val="30"/>
        </w:rPr>
      </w:pPr>
      <w:r>
        <w:rPr>
          <w:rFonts w:hint="eastAsia" w:ascii="仿宋_GB2312" w:eastAsia="仿宋_GB2312"/>
          <w:sz w:val="30"/>
          <w:szCs w:val="30"/>
        </w:rPr>
        <w:t>协议回购、三方回购及债券借贷等业务的投资者适当性备案要求，详见本指南第7章和第8章。</w:t>
      </w:r>
      <w:r>
        <w:rPr>
          <w:rFonts w:hint="eastAsia" w:ascii="仿宋_GB2312" w:hAnsi="黑体" w:eastAsia="仿宋_GB2312"/>
          <w:sz w:val="30"/>
          <w:szCs w:val="30"/>
        </w:rPr>
        <w:t>本所对其他交易类型的投资者适当性另有规定的，从其规定。</w:t>
      </w:r>
    </w:p>
    <w:p w14:paraId="38DD8776">
      <w:pPr>
        <w:numPr>
          <w:ilvl w:val="2"/>
          <w:numId w:val="4"/>
        </w:numPr>
        <w:spacing w:line="600" w:lineRule="exact"/>
        <w:ind w:left="0" w:firstLine="0"/>
        <w:outlineLvl w:val="2"/>
        <w:rPr>
          <w:rFonts w:ascii="仿宋_GB2312" w:eastAsia="仿宋_GB2312"/>
          <w:sz w:val="30"/>
          <w:szCs w:val="30"/>
        </w:rPr>
      </w:pPr>
      <w:r>
        <w:rPr>
          <w:rFonts w:ascii="仿宋_GB2312" w:hAnsi="黑体" w:eastAsia="仿宋_GB2312"/>
          <w:b/>
          <w:sz w:val="30"/>
          <w:szCs w:val="30"/>
        </w:rPr>
        <w:t>投资者适当性</w:t>
      </w:r>
      <w:r>
        <w:rPr>
          <w:rFonts w:hint="eastAsia" w:ascii="仿宋_GB2312" w:hAnsi="黑体" w:eastAsia="仿宋_GB2312"/>
          <w:b/>
          <w:sz w:val="30"/>
          <w:szCs w:val="30"/>
        </w:rPr>
        <w:t>管理</w:t>
      </w:r>
    </w:p>
    <w:p w14:paraId="5CBABCD0">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经纪客户需由证券公司根据债券市场投资者适当性管理制度，明确债券投资者是否满足专业投资者条件，为专业投资者开通相关的认购和交易权限，并于当日通过本所业务管理系统平台提交更新的专业投资者账户名单。</w:t>
      </w:r>
    </w:p>
    <w:p w14:paraId="393060E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接受经纪客户委托前，应当按照规定充分了解经纪客户的基本情况、财产状况、金融资产状况、投资知识和经验、专业能力等相关信息，向经纪客户如实说明相关债券交易品种性质、特征等，充分揭示投资风险，确保经纪客户符合相关的投资者适当性管理规定。</w:t>
      </w:r>
    </w:p>
    <w:p w14:paraId="54BE4477">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经纪客户应当按照证券公司明示的要求提供前款所列真实信息。拒绝提供或者未按照要求提供信息的，证券公司应当告知其后果，并按照规定拒绝接受委托。</w:t>
      </w:r>
    </w:p>
    <w:p w14:paraId="7E50AD0E">
      <w:pPr>
        <w:spacing w:line="600" w:lineRule="exact"/>
        <w:ind w:firstLine="600"/>
        <w:rPr>
          <w:rFonts w:ascii="仿宋_GB2312" w:eastAsia="仿宋_GB2312"/>
          <w:sz w:val="30"/>
          <w:szCs w:val="30"/>
        </w:rPr>
      </w:pPr>
      <w:r>
        <w:rPr>
          <w:rFonts w:hint="eastAsia" w:ascii="仿宋_GB2312" w:eastAsia="仿宋_GB2312"/>
          <w:sz w:val="30"/>
          <w:szCs w:val="30"/>
        </w:rPr>
        <w:t>通过经纪业务模式接入本所债券交易的，证券公司应当动态跟踪和持续了解专业投资者条件，至少每两年对债券投资者进行一次后续资格评估，根据评估情况更新专业投资者名单，并于当日通过本所业务管理系统平台提交更新的专业投资者账户名单。</w:t>
      </w:r>
    </w:p>
    <w:p w14:paraId="32334623">
      <w:pPr>
        <w:numPr>
          <w:ilvl w:val="1"/>
          <w:numId w:val="4"/>
        </w:numPr>
        <w:spacing w:line="600" w:lineRule="exact"/>
        <w:ind w:left="0" w:firstLine="0"/>
        <w:outlineLvl w:val="1"/>
        <w:rPr>
          <w:rFonts w:ascii="仿宋_GB2312" w:eastAsia="仿宋_GB2312"/>
          <w:b/>
          <w:sz w:val="30"/>
          <w:szCs w:val="30"/>
        </w:rPr>
      </w:pPr>
      <w:bookmarkStart w:id="200" w:name="_Toc56166069"/>
      <w:bookmarkStart w:id="201" w:name="_Toc151136888"/>
      <w:bookmarkStart w:id="202" w:name="_Toc56166258"/>
      <w:r>
        <w:rPr>
          <w:rFonts w:hint="eastAsia" w:ascii="仿宋_GB2312" w:eastAsia="仿宋_GB2312"/>
          <w:b/>
          <w:sz w:val="30"/>
          <w:szCs w:val="30"/>
        </w:rPr>
        <w:t>委托交易</w:t>
      </w:r>
      <w:bookmarkEnd w:id="200"/>
      <w:bookmarkEnd w:id="201"/>
      <w:bookmarkEnd w:id="202"/>
    </w:p>
    <w:p w14:paraId="2D1D65B6">
      <w:pPr>
        <w:numPr>
          <w:ilvl w:val="2"/>
          <w:numId w:val="4"/>
        </w:numPr>
        <w:spacing w:line="600" w:lineRule="exact"/>
        <w:ind w:left="0" w:firstLine="0"/>
        <w:outlineLvl w:val="2"/>
        <w:rPr>
          <w:rFonts w:ascii="仿宋_GB2312" w:hAnsi="黑体" w:eastAsia="仿宋_GB2312" w:cs="仿宋_GB2312"/>
          <w:b/>
          <w:sz w:val="30"/>
          <w:szCs w:val="30"/>
        </w:rPr>
      </w:pPr>
      <w:r>
        <w:rPr>
          <w:rFonts w:hint="eastAsia" w:ascii="仿宋_GB2312" w:hAnsi="黑体" w:eastAsia="仿宋_GB2312" w:cs="仿宋_GB2312"/>
          <w:b/>
          <w:sz w:val="30"/>
          <w:szCs w:val="30"/>
        </w:rPr>
        <w:t>交易前准备</w:t>
      </w:r>
    </w:p>
    <w:p w14:paraId="22BBEB55">
      <w:pPr>
        <w:spacing w:line="600" w:lineRule="exact"/>
        <w:ind w:firstLine="600" w:firstLineChars="200"/>
        <w:rPr>
          <w:rFonts w:ascii="仿宋_GB2312" w:eastAsia="仿宋_GB2312"/>
          <w:sz w:val="30"/>
          <w:szCs w:val="30"/>
        </w:rPr>
      </w:pPr>
      <w:r>
        <w:rPr>
          <w:rFonts w:hint="eastAsia" w:ascii="仿宋_GB2312" w:eastAsia="仿宋_GB2312"/>
          <w:sz w:val="30"/>
          <w:szCs w:val="30"/>
        </w:rPr>
        <w:t>债券投资者通过债券经纪业务模式参与交易所债券市场投资交易的，应当提前完成以下工作：</w:t>
      </w:r>
    </w:p>
    <w:p w14:paraId="76C531DC">
      <w:pPr>
        <w:spacing w:line="600" w:lineRule="exact"/>
        <w:ind w:firstLine="600" w:firstLineChars="200"/>
        <w:rPr>
          <w:rFonts w:ascii="仿宋_GB2312" w:eastAsia="仿宋_GB2312"/>
          <w:sz w:val="30"/>
          <w:szCs w:val="30"/>
        </w:rPr>
      </w:pPr>
      <w:r>
        <w:rPr>
          <w:rFonts w:hint="eastAsia" w:ascii="仿宋_GB2312" w:eastAsia="仿宋_GB2312"/>
          <w:sz w:val="30"/>
          <w:szCs w:val="30"/>
        </w:rPr>
        <w:t>（1）在登记结算机构开立证券账户；</w:t>
      </w:r>
    </w:p>
    <w:p w14:paraId="744332BD">
      <w:pPr>
        <w:spacing w:line="600" w:lineRule="exact"/>
        <w:ind w:firstLine="600" w:firstLineChars="200"/>
        <w:rPr>
          <w:rFonts w:ascii="仿宋_GB2312" w:eastAsia="仿宋_GB2312"/>
          <w:sz w:val="30"/>
          <w:szCs w:val="30"/>
        </w:rPr>
      </w:pPr>
      <w:r>
        <w:rPr>
          <w:rFonts w:hint="eastAsia" w:ascii="仿宋_GB2312" w:eastAsia="仿宋_GB2312"/>
          <w:sz w:val="30"/>
          <w:szCs w:val="30"/>
        </w:rPr>
        <w:t>（2）与证券公司签署证券交易委托协议；</w:t>
      </w:r>
    </w:p>
    <w:p w14:paraId="05F64D0E">
      <w:pPr>
        <w:spacing w:line="600" w:lineRule="exact"/>
        <w:ind w:firstLine="600" w:firstLineChars="200"/>
        <w:rPr>
          <w:rFonts w:ascii="仿宋_GB2312" w:eastAsia="仿宋_GB2312"/>
          <w:sz w:val="30"/>
          <w:szCs w:val="30"/>
        </w:rPr>
      </w:pPr>
      <w:r>
        <w:rPr>
          <w:rFonts w:hint="eastAsia" w:ascii="仿宋_GB2312" w:eastAsia="仿宋_GB2312"/>
          <w:sz w:val="30"/>
          <w:szCs w:val="30"/>
        </w:rPr>
        <w:t>（3）在证券公司开立资金账户，用于证券资金结算；</w:t>
      </w:r>
      <w:r>
        <w:rPr>
          <w:rFonts w:ascii="仿宋_GB2312" w:eastAsia="仿宋_GB2312"/>
          <w:sz w:val="30"/>
          <w:szCs w:val="30"/>
        </w:rPr>
        <w:t xml:space="preserve"> </w:t>
      </w:r>
    </w:p>
    <w:p w14:paraId="3AB5EBD6">
      <w:pPr>
        <w:spacing w:line="600" w:lineRule="exact"/>
        <w:ind w:firstLine="600" w:firstLineChars="200"/>
        <w:rPr>
          <w:rFonts w:ascii="仿宋_GB2312" w:eastAsia="仿宋_GB2312"/>
          <w:sz w:val="30"/>
          <w:szCs w:val="30"/>
        </w:rPr>
      </w:pPr>
      <w:r>
        <w:rPr>
          <w:rFonts w:hint="eastAsia" w:ascii="仿宋_GB2312" w:eastAsia="仿宋_GB2312"/>
          <w:sz w:val="30"/>
          <w:szCs w:val="30"/>
        </w:rPr>
        <w:t>（4）签署三方存管协议，建立三方存管关系；</w:t>
      </w:r>
    </w:p>
    <w:p w14:paraId="44D66C30">
      <w:pPr>
        <w:spacing w:line="600" w:lineRule="exact"/>
        <w:ind w:firstLine="600" w:firstLineChars="200"/>
        <w:rPr>
          <w:rFonts w:ascii="仿宋_GB2312" w:eastAsia="仿宋_GB2312"/>
          <w:sz w:val="30"/>
          <w:szCs w:val="30"/>
        </w:rPr>
      </w:pPr>
      <w:r>
        <w:rPr>
          <w:rFonts w:hint="eastAsia" w:ascii="仿宋_GB2312" w:eastAsia="仿宋_GB2312"/>
          <w:sz w:val="30"/>
          <w:szCs w:val="30"/>
        </w:rPr>
        <w:t>（5）完成证券账户指定交易；</w:t>
      </w:r>
    </w:p>
    <w:p w14:paraId="6249162C">
      <w:pPr>
        <w:spacing w:line="600" w:lineRule="exact"/>
        <w:ind w:firstLine="600" w:firstLineChars="200"/>
        <w:rPr>
          <w:rFonts w:ascii="仿宋_GB2312" w:eastAsia="仿宋_GB2312"/>
          <w:sz w:val="30"/>
          <w:szCs w:val="30"/>
        </w:rPr>
      </w:pPr>
      <w:r>
        <w:rPr>
          <w:rFonts w:hint="eastAsia" w:ascii="仿宋_GB2312" w:eastAsia="仿宋_GB2312"/>
          <w:sz w:val="30"/>
          <w:szCs w:val="30"/>
        </w:rPr>
        <w:t>（6）开通由证券公司提供的主经纪商系统（以下简称“PB系统”）权限（可选）。</w:t>
      </w:r>
    </w:p>
    <w:p w14:paraId="420E9D98">
      <w:pPr>
        <w:numPr>
          <w:ilvl w:val="2"/>
          <w:numId w:val="4"/>
        </w:numPr>
        <w:spacing w:line="600" w:lineRule="exact"/>
        <w:ind w:left="0" w:firstLine="0"/>
        <w:outlineLvl w:val="2"/>
        <w:rPr>
          <w:rFonts w:ascii="仿宋_GB2312" w:eastAsia="仿宋_GB2312"/>
          <w:b/>
          <w:sz w:val="30"/>
          <w:szCs w:val="30"/>
        </w:rPr>
      </w:pPr>
      <w:bookmarkStart w:id="203" w:name="_Toc57908872"/>
      <w:r>
        <w:rPr>
          <w:rFonts w:hint="eastAsia" w:ascii="仿宋_GB2312" w:hAnsi="黑体" w:eastAsia="仿宋_GB2312" w:cs="仿宋_GB2312"/>
          <w:b/>
          <w:sz w:val="30"/>
          <w:szCs w:val="30"/>
        </w:rPr>
        <w:t>证券账户开立</w:t>
      </w:r>
      <w:bookmarkEnd w:id="203"/>
    </w:p>
    <w:p w14:paraId="590E3E1B">
      <w:pPr>
        <w:spacing w:line="600" w:lineRule="exact"/>
        <w:ind w:firstLine="600" w:firstLineChars="200"/>
        <w:rPr>
          <w:rFonts w:ascii="仿宋_GB2312" w:eastAsia="仿宋_GB2312"/>
          <w:sz w:val="30"/>
          <w:szCs w:val="30"/>
        </w:rPr>
      </w:pPr>
      <w:r>
        <w:rPr>
          <w:rFonts w:hint="eastAsia" w:ascii="仿宋_GB2312" w:eastAsia="仿宋_GB2312"/>
          <w:sz w:val="30"/>
          <w:szCs w:val="30"/>
        </w:rPr>
        <w:t>（1）特殊机构及产品证券账户开立</w:t>
      </w:r>
    </w:p>
    <w:p w14:paraId="0150FE43">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特殊机构或产品开立证券账户，可根据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《特殊机构及产品证券账户业务指南》，视不同特殊机构和产品类型进行申请及提交材料。</w:t>
      </w:r>
    </w:p>
    <w:p w14:paraId="642E653C">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上述指南所称特殊机构，是指证券公司及其资管子公司、基金管理公司及其子公司、保险公司、信托公司、银行及银行理财子公司、及外国战略投资者、境外机构投资者等特殊市场参与主体。</w:t>
      </w:r>
    </w:p>
    <w:p w14:paraId="7DCACE8F">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产品，是指证券公司单一资产管理计划及集合资产管理计划、基金管理公司单一资产管理计划及集合资产管理计划、期货公司单一资产管理计划及集合资产管理计划、保险资产管理公司特定客户资产管理计划及集合资产管理计划、证券投资基金、信托产品、保险产品、银行理财产品（含银行理财子公司发行的理财产品）、企业年金计划、职业年金计划、养老金产品、全国社会保障基金投资组合、全国及地方社保基金、私募基金、合格境外机构投资者和人民币合格境外机构投资者等依法设立的证券投资产品。</w:t>
      </w:r>
    </w:p>
    <w:p w14:paraId="72EEBF4B">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特殊机构或产品的具体开户流程与要求，依据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《特殊机构及产品证券账户业务指南》相关规定办理。</w:t>
      </w:r>
    </w:p>
    <w:p w14:paraId="47825229">
      <w:pPr>
        <w:spacing w:line="600" w:lineRule="exact"/>
        <w:ind w:firstLine="600" w:firstLineChars="200"/>
        <w:rPr>
          <w:rFonts w:ascii="仿宋_GB2312" w:eastAsia="仿宋_GB2312"/>
          <w:sz w:val="30"/>
          <w:szCs w:val="30"/>
        </w:rPr>
      </w:pPr>
      <w:r>
        <w:rPr>
          <w:rFonts w:hint="eastAsia" w:ascii="仿宋_GB2312" w:eastAsia="仿宋_GB2312"/>
          <w:sz w:val="30"/>
          <w:szCs w:val="30"/>
        </w:rPr>
        <w:t>（2）一般机构投资者证券账户开立</w:t>
      </w:r>
    </w:p>
    <w:p w14:paraId="4E52D05D">
      <w:pPr>
        <w:spacing w:line="600" w:lineRule="exact"/>
        <w:ind w:firstLine="600" w:firstLineChars="200"/>
        <w:rPr>
          <w:rFonts w:ascii="仿宋_GB2312" w:eastAsia="仿宋_GB2312"/>
          <w:sz w:val="30"/>
          <w:szCs w:val="30"/>
        </w:rPr>
      </w:pPr>
      <w:r>
        <w:rPr>
          <w:rFonts w:hint="eastAsia" w:ascii="仿宋_GB2312" w:eastAsia="仿宋_GB2312"/>
          <w:sz w:val="30"/>
          <w:szCs w:val="30"/>
        </w:rPr>
        <w:t>上述特殊机构和产品以外的债券投资者开立证券账户，依据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《证券账户业务指南》相关规定办理。</w:t>
      </w:r>
    </w:p>
    <w:p w14:paraId="10C60F6B">
      <w:pPr>
        <w:numPr>
          <w:ilvl w:val="2"/>
          <w:numId w:val="4"/>
        </w:numPr>
        <w:spacing w:line="600" w:lineRule="exact"/>
        <w:ind w:left="0" w:firstLine="0"/>
        <w:outlineLvl w:val="2"/>
        <w:rPr>
          <w:rFonts w:ascii="仿宋_GB2312" w:hAnsi="黑体" w:eastAsia="仿宋_GB2312" w:cs="仿宋_GB2312"/>
          <w:b/>
          <w:sz w:val="30"/>
          <w:szCs w:val="30"/>
        </w:rPr>
      </w:pPr>
      <w:bookmarkStart w:id="204" w:name="_Toc57908873"/>
      <w:r>
        <w:rPr>
          <w:rFonts w:hint="eastAsia" w:ascii="仿宋_GB2312" w:hAnsi="黑体" w:eastAsia="仿宋_GB2312" w:cs="仿宋_GB2312"/>
          <w:b/>
          <w:sz w:val="30"/>
          <w:szCs w:val="30"/>
        </w:rPr>
        <w:t>证券交易委托协议签署</w:t>
      </w:r>
      <w:bookmarkEnd w:id="204"/>
    </w:p>
    <w:p w14:paraId="5389D0A7">
      <w:pPr>
        <w:spacing w:line="600" w:lineRule="exact"/>
        <w:ind w:firstLine="600" w:firstLineChars="200"/>
        <w:rPr>
          <w:rFonts w:ascii="仿宋_GB2312" w:eastAsia="仿宋_GB2312"/>
          <w:sz w:val="30"/>
          <w:szCs w:val="30"/>
        </w:rPr>
      </w:pPr>
      <w:r>
        <w:rPr>
          <w:rFonts w:hint="eastAsia" w:ascii="仿宋_GB2312" w:eastAsia="仿宋_GB2312"/>
          <w:sz w:val="30"/>
          <w:szCs w:val="30"/>
        </w:rPr>
        <w:t>证券交易委托协议是经纪客户与证券公司签订的证券买卖代理协议。经纪客户通过债券经纪业务模式开展债券交易，应当与证券公司签订证券交易委托协议。</w:t>
      </w:r>
    </w:p>
    <w:p w14:paraId="77FF70DC">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在证券交易委托协议中与经纪客户明确双方的权利与义务，并对经纪客户资料提供、账户交易权限管理、资金存管、委托交易指令核查、异常交易行为处理、拒绝经纪客户委托以及委托关系解除等事项作出约定。</w:t>
      </w:r>
    </w:p>
    <w:p w14:paraId="7F3B37C7">
      <w:pPr>
        <w:spacing w:line="600" w:lineRule="exact"/>
        <w:ind w:firstLine="600" w:firstLineChars="200"/>
        <w:rPr>
          <w:rFonts w:ascii="仿宋_GB2312" w:eastAsia="仿宋_GB2312"/>
          <w:sz w:val="30"/>
          <w:szCs w:val="30"/>
        </w:rPr>
      </w:pPr>
      <w:r>
        <w:rPr>
          <w:rFonts w:hint="eastAsia" w:ascii="仿宋_GB2312" w:eastAsia="仿宋_GB2312"/>
          <w:sz w:val="30"/>
          <w:szCs w:val="30"/>
        </w:rPr>
        <w:t>除本指南与其他相关文件规定的必备条款外，证券交易委托协议的格式及具体内容可由各证券公司根据自身业务需求与内控要求自行规定。</w:t>
      </w:r>
    </w:p>
    <w:p w14:paraId="7D4302B2">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经纪客户若有多个证券账户，可选择一家或多家证券公司进行委托。单个证券账户仅允许指定一家证券公司作为其债券交易的委托人。</w:t>
      </w:r>
    </w:p>
    <w:p w14:paraId="53BDA4BD">
      <w:pPr>
        <w:numPr>
          <w:ilvl w:val="2"/>
          <w:numId w:val="4"/>
        </w:numPr>
        <w:spacing w:line="600" w:lineRule="exact"/>
        <w:ind w:left="0" w:firstLine="0"/>
        <w:outlineLvl w:val="2"/>
        <w:rPr>
          <w:rFonts w:ascii="仿宋_GB2312" w:hAnsi="黑体" w:eastAsia="仿宋_GB2312" w:cs="仿宋_GB2312"/>
          <w:b/>
          <w:sz w:val="30"/>
          <w:szCs w:val="30"/>
        </w:rPr>
      </w:pPr>
      <w:bookmarkStart w:id="205" w:name="_Toc57908874"/>
      <w:r>
        <w:rPr>
          <w:rFonts w:ascii="仿宋_GB2312" w:hAnsi="黑体" w:eastAsia="仿宋_GB2312" w:cs="仿宋_GB2312"/>
          <w:b/>
          <w:sz w:val="30"/>
          <w:szCs w:val="30"/>
        </w:rPr>
        <w:t>资金账户开立及三方存管建立</w:t>
      </w:r>
      <w:bookmarkEnd w:id="205"/>
    </w:p>
    <w:p w14:paraId="249EF2E2">
      <w:pPr>
        <w:spacing w:line="600" w:lineRule="exact"/>
        <w:ind w:firstLine="600" w:firstLineChars="200"/>
        <w:rPr>
          <w:rFonts w:ascii="仿宋_GB2312" w:eastAsia="仿宋_GB2312"/>
          <w:sz w:val="30"/>
          <w:szCs w:val="30"/>
        </w:rPr>
      </w:pPr>
      <w:r>
        <w:rPr>
          <w:rFonts w:hint="eastAsia" w:ascii="仿宋_GB2312" w:eastAsia="仿宋_GB2312"/>
          <w:sz w:val="30"/>
          <w:szCs w:val="30"/>
        </w:rPr>
        <w:t>三方存管是指经纪客户的证券交易结算资金交由银行统一存管。经纪客户开立证券账户的同时，应当同步在证券公司开立资金账户，在具备三方存管资质的银行指定或开立三方存管账户，并由证券公司建立三方存管账户与资金账户的对应关系，形成经纪客户在场内交易结算资金的划转通道。经纪客户需与存管银行、受托证券公司签署三方存管协议，并将资金账户、三方存管账户及证券账户进行一一对应的关联绑定。开立资金账户所需材料、三方存管具体办理流程可咨询证券公司。</w:t>
      </w:r>
    </w:p>
    <w:p w14:paraId="0A32ECBB">
      <w:pPr>
        <w:numPr>
          <w:ilvl w:val="2"/>
          <w:numId w:val="4"/>
        </w:numPr>
        <w:spacing w:line="600" w:lineRule="exact"/>
        <w:ind w:left="0" w:firstLine="0"/>
        <w:outlineLvl w:val="2"/>
        <w:rPr>
          <w:rFonts w:ascii="仿宋_GB2312" w:hAnsi="黑体" w:eastAsia="仿宋_GB2312" w:cs="仿宋_GB2312"/>
          <w:b/>
          <w:sz w:val="30"/>
          <w:szCs w:val="30"/>
        </w:rPr>
      </w:pPr>
      <w:bookmarkStart w:id="206" w:name="_Toc57908875"/>
      <w:r>
        <w:rPr>
          <w:rFonts w:ascii="仿宋_GB2312" w:hAnsi="黑体" w:eastAsia="仿宋_GB2312" w:cs="仿宋_GB2312"/>
          <w:b/>
          <w:sz w:val="30"/>
          <w:szCs w:val="30"/>
        </w:rPr>
        <w:t>证券账户指定交易</w:t>
      </w:r>
      <w:bookmarkEnd w:id="206"/>
    </w:p>
    <w:p w14:paraId="5D4B5554">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实行指定交易制度。指定交易制度，在经纪业务模式下，是指经纪客户应当事先指定一家本所会员作为其债券交易的受托人，通过该会员参与本所债券交易。证券账户的指定交易是指经纪客户的证券账户需要指定到其委托的证券公司的交易单元上，每一个证券账户仅能指定一个交易单元。</w:t>
      </w:r>
    </w:p>
    <w:p w14:paraId="243AD531">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证券公司为经纪客户办理指定交易业务，需经过签订指定交易协议、办理指定交易两步。</w:t>
      </w:r>
    </w:p>
    <w:p w14:paraId="4F7596F3">
      <w:pPr>
        <w:pStyle w:val="92"/>
        <w:widowControl w:val="0"/>
        <w:numPr>
          <w:ilvl w:val="0"/>
          <w:numId w:val="12"/>
        </w:numPr>
        <w:spacing w:line="600" w:lineRule="exact"/>
        <w:ind w:left="0" w:firstLine="600"/>
        <w:jc w:val="both"/>
        <w:rPr>
          <w:rFonts w:ascii="仿宋_GB2312" w:eastAsia="仿宋_GB2312"/>
          <w:sz w:val="30"/>
          <w:szCs w:val="30"/>
        </w:rPr>
      </w:pPr>
      <w:r>
        <w:rPr>
          <w:rFonts w:hint="eastAsia" w:ascii="仿宋_GB2312" w:eastAsia="仿宋_GB2312"/>
          <w:sz w:val="30"/>
          <w:szCs w:val="30"/>
        </w:rPr>
        <w:t>签订指定交易协议</w:t>
      </w:r>
    </w:p>
    <w:p w14:paraId="1E9B4409">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与其委托的证券公司签订指定交易协议，明确双方的权利、义务和责任。证券交易委托协议若已包含指定交易协议内容，可不再重复签订。指定交易协议书参考范例及具体的业务流程可参见本所发布的《上海证券交易所指定交易业务办理指南（试行）》。</w:t>
      </w:r>
    </w:p>
    <w:p w14:paraId="4ADAFC37">
      <w:pPr>
        <w:pStyle w:val="92"/>
        <w:widowControl w:val="0"/>
        <w:numPr>
          <w:ilvl w:val="0"/>
          <w:numId w:val="12"/>
        </w:numPr>
        <w:spacing w:line="600" w:lineRule="exact"/>
        <w:ind w:left="0" w:firstLine="600"/>
        <w:jc w:val="both"/>
        <w:rPr>
          <w:rFonts w:ascii="仿宋_GB2312" w:eastAsia="仿宋_GB2312"/>
          <w:sz w:val="30"/>
          <w:szCs w:val="30"/>
          <w:lang w:eastAsia="zh-CN"/>
        </w:rPr>
      </w:pPr>
      <w:r>
        <w:rPr>
          <w:rFonts w:hint="eastAsia" w:ascii="仿宋_GB2312" w:eastAsia="仿宋_GB2312"/>
          <w:sz w:val="30"/>
          <w:szCs w:val="30"/>
          <w:lang w:eastAsia="zh-CN"/>
        </w:rPr>
        <w:t>经纪客户指定交易申报、变更与撤销</w:t>
      </w:r>
    </w:p>
    <w:p w14:paraId="7D3DA9E5">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指定交易协议一经签订，证券公司即可根据经纪客户的申请，按照本所规定的申报要素，向本所进行指定交易申报。</w:t>
      </w:r>
    </w:p>
    <w:p w14:paraId="7CC439DE">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变更指定交易的，应当向已指定的证券公司提出撤销指定申请，由该证券公司申报撤销指令。对于符合撤销指定条件的，证券公司不得限制、阻挠或者拖延其办理撤销指定手续。撤销指定交易的指令申报一经确认，其撤销即刻生效。指定交易撤销成功后须另行选择一个交易单元重新申报指定交易，方可进行交易。</w:t>
      </w:r>
    </w:p>
    <w:p w14:paraId="100D9AAE">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指定交易申报、变更与撤销具体规定，详见本指南第4章的相关规定。</w:t>
      </w:r>
    </w:p>
    <w:p w14:paraId="6CC6E090">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委托方式</w:t>
      </w:r>
    </w:p>
    <w:p w14:paraId="5BA8302D">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经纪客户按照与证券公司的协定，可通过</w:t>
      </w:r>
      <w:r>
        <w:rPr>
          <w:rFonts w:hint="eastAsia" w:ascii="仿宋_GB2312" w:eastAsia="仿宋_GB2312"/>
          <w:color w:val="000000"/>
          <w:sz w:val="30"/>
          <w:szCs w:val="30"/>
        </w:rPr>
        <w:t>书面、电话、自助终端、网络等自助委托方式委托会员参与债券交易</w:t>
      </w:r>
      <w:r>
        <w:rPr>
          <w:rFonts w:hint="eastAsia" w:ascii="仿宋_GB2312" w:eastAsia="仿宋_GB2312"/>
          <w:sz w:val="30"/>
          <w:szCs w:val="30"/>
        </w:rPr>
        <w:t>。证券公司对经纪客户的交易委托进行资券足额验证。</w:t>
      </w:r>
    </w:p>
    <w:p w14:paraId="5090791E">
      <w:pPr>
        <w:spacing w:line="600" w:lineRule="exact"/>
        <w:ind w:firstLine="600" w:firstLineChars="200"/>
        <w:rPr>
          <w:rFonts w:ascii="仿宋_GB2312" w:eastAsia="仿宋_GB2312"/>
          <w:sz w:val="30"/>
          <w:szCs w:val="30"/>
        </w:rPr>
      </w:pPr>
      <w:r>
        <w:rPr>
          <w:rFonts w:hint="eastAsia" w:ascii="仿宋_GB2312" w:eastAsia="仿宋_GB2312"/>
          <w:sz w:val="30"/>
          <w:szCs w:val="30"/>
        </w:rPr>
        <w:t>实时完成验资验券后，证券公司根据经纪客户的委托交易指令及时向本所相关交易系统发送各种交易方式的申报指令。证券公司应当对其向交易系统发送的债券交易申报指令的合法性、真实性、准确性及完整性承担相应的法律责任。</w:t>
      </w:r>
    </w:p>
    <w:p w14:paraId="116FBE29">
      <w:pPr>
        <w:numPr>
          <w:ilvl w:val="2"/>
          <w:numId w:val="4"/>
        </w:numPr>
        <w:spacing w:line="600" w:lineRule="exact"/>
        <w:ind w:left="0" w:firstLine="0"/>
        <w:outlineLvl w:val="2"/>
        <w:rPr>
          <w:rFonts w:ascii="仿宋_GB2312" w:hAnsi="仿宋_GB2312" w:eastAsia="仿宋_GB2312" w:cs="仿宋_GB2312"/>
          <w:b/>
          <w:sz w:val="30"/>
          <w:szCs w:val="30"/>
        </w:rPr>
      </w:pPr>
      <w:r>
        <w:rPr>
          <w:rFonts w:hint="eastAsia" w:ascii="仿宋_GB2312" w:hAnsi="仿宋_GB2312" w:eastAsia="仿宋_GB2312" w:cs="仿宋_GB2312"/>
          <w:b/>
          <w:sz w:val="30"/>
          <w:szCs w:val="30"/>
        </w:rPr>
        <w:t>交易服务提供与交易系统接入</w:t>
      </w:r>
    </w:p>
    <w:p w14:paraId="20062985">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经纪客户参与场内交易，原则上应当使用证券公司提供的交易终端进行证券交易业务，通常需联系证券公司安装其提供的交易</w:t>
      </w:r>
      <w:r>
        <w:rPr>
          <w:rFonts w:ascii="仿宋_GB2312" w:eastAsia="仿宋_GB2312"/>
          <w:sz w:val="30"/>
          <w:szCs w:val="30"/>
        </w:rPr>
        <w:t>终端或</w:t>
      </w:r>
      <w:r>
        <w:rPr>
          <w:rFonts w:hint="eastAsia" w:ascii="仿宋_GB2312" w:eastAsia="仿宋_GB2312"/>
          <w:sz w:val="30"/>
          <w:szCs w:val="30"/>
        </w:rPr>
        <w:t>主经纪商系统（即“PB系统”）客户端，部分投资机构也可视实际情况，经证券公司评估同意其使用自身投资管理系统接入交易。</w:t>
      </w:r>
    </w:p>
    <w:p w14:paraId="06050F31">
      <w:pPr>
        <w:spacing w:line="600" w:lineRule="exact"/>
        <w:ind w:firstLine="600" w:firstLineChars="200"/>
        <w:rPr>
          <w:rFonts w:ascii="仿宋_GB2312" w:eastAsia="仿宋_GB2312"/>
          <w:sz w:val="30"/>
          <w:szCs w:val="30"/>
        </w:rPr>
      </w:pPr>
      <w:r>
        <w:rPr>
          <w:rFonts w:hint="eastAsia" w:ascii="仿宋_GB2312" w:eastAsia="仿宋_GB2312"/>
          <w:sz w:val="30"/>
          <w:szCs w:val="30"/>
        </w:rPr>
        <w:t>（1）使用交易终端、PB系统参与</w:t>
      </w:r>
      <w:r>
        <w:rPr>
          <w:rFonts w:ascii="仿宋_GB2312" w:eastAsia="仿宋_GB2312"/>
          <w:sz w:val="30"/>
          <w:szCs w:val="30"/>
        </w:rPr>
        <w:t>交易</w:t>
      </w:r>
    </w:p>
    <w:p w14:paraId="778692CD">
      <w:pPr>
        <w:spacing w:line="600" w:lineRule="exact"/>
        <w:ind w:firstLine="600" w:firstLineChars="200"/>
        <w:rPr>
          <w:rFonts w:ascii="仿宋_GB2312" w:eastAsia="仿宋_GB2312"/>
          <w:sz w:val="30"/>
          <w:szCs w:val="30"/>
        </w:rPr>
      </w:pPr>
      <w:r>
        <w:rPr>
          <w:rFonts w:hint="eastAsia" w:ascii="仿宋_GB2312" w:eastAsia="仿宋_GB2312"/>
          <w:sz w:val="30"/>
          <w:szCs w:val="30"/>
        </w:rPr>
        <w:t>交易终端是指会员传统证券集中交易平台的申报通道，包括但不限于</w:t>
      </w:r>
      <w:r>
        <w:rPr>
          <w:rFonts w:ascii="仿宋_GB2312" w:eastAsia="仿宋_GB2312"/>
          <w:sz w:val="30"/>
          <w:szCs w:val="30"/>
        </w:rPr>
        <w:t>网上交易、移动端交易等，</w:t>
      </w:r>
      <w:r>
        <w:rPr>
          <w:rFonts w:hint="eastAsia" w:ascii="仿宋_GB2312" w:eastAsia="仿宋_GB2312"/>
          <w:sz w:val="30"/>
          <w:szCs w:val="30"/>
        </w:rPr>
        <w:t>可</w:t>
      </w:r>
      <w:r>
        <w:rPr>
          <w:rFonts w:ascii="仿宋_GB2312" w:eastAsia="仿宋_GB2312"/>
          <w:sz w:val="30"/>
          <w:szCs w:val="30"/>
        </w:rPr>
        <w:t>有效支持交易所债券市场的现券匹配成交、</w:t>
      </w:r>
      <w:r>
        <w:rPr>
          <w:rFonts w:hint="eastAsia" w:ascii="仿宋_GB2312" w:eastAsia="仿宋_GB2312"/>
          <w:sz w:val="30"/>
          <w:szCs w:val="30"/>
        </w:rPr>
        <w:t>通用</w:t>
      </w:r>
      <w:r>
        <w:rPr>
          <w:rFonts w:ascii="仿宋_GB2312" w:eastAsia="仿宋_GB2312"/>
          <w:sz w:val="30"/>
          <w:szCs w:val="30"/>
        </w:rPr>
        <w:t>回购</w:t>
      </w:r>
      <w:r>
        <w:rPr>
          <w:rFonts w:hint="eastAsia" w:ascii="仿宋_GB2312" w:eastAsia="仿宋_GB2312"/>
          <w:sz w:val="30"/>
          <w:szCs w:val="30"/>
        </w:rPr>
        <w:t>等业务</w:t>
      </w:r>
      <w:r>
        <w:rPr>
          <w:rFonts w:ascii="仿宋_GB2312" w:eastAsia="仿宋_GB2312"/>
          <w:sz w:val="30"/>
          <w:szCs w:val="30"/>
        </w:rPr>
        <w:t>。</w:t>
      </w:r>
    </w:p>
    <w:p w14:paraId="048E5008">
      <w:pPr>
        <w:spacing w:line="600" w:lineRule="exact"/>
        <w:ind w:firstLine="600" w:firstLineChars="200"/>
        <w:rPr>
          <w:rFonts w:ascii="仿宋_GB2312" w:eastAsia="仿宋_GB2312"/>
          <w:sz w:val="30"/>
          <w:szCs w:val="30"/>
        </w:rPr>
      </w:pPr>
      <w:r>
        <w:rPr>
          <w:rFonts w:hint="eastAsia" w:ascii="仿宋_GB2312" w:eastAsia="仿宋_GB2312"/>
          <w:sz w:val="30"/>
          <w:szCs w:val="30"/>
        </w:rPr>
        <w:t>PB系统是指证券公司为机构客户提供的，集合了投资决策、交易下单、流程审批、风险监控、成交确认、资金处理、投资清算、数据统计等功能的综合金融交易服务系统。目前市场上使用较为普遍的PB系统主要由相关软件供应商开发，也有少部分证券公司的PB系统为自主研发。债券投资者通过PB系统可实现各类债券业务功能，包括：现券交易、回购交易、质押券出入库、债券回售、债券转股/换股、转托管等。</w:t>
      </w:r>
    </w:p>
    <w:p w14:paraId="7DA9EECF">
      <w:pPr>
        <w:spacing w:line="600" w:lineRule="exact"/>
        <w:ind w:firstLine="600" w:firstLineChars="200"/>
        <w:rPr>
          <w:rFonts w:ascii="仿宋_GB2312" w:eastAsia="仿宋_GB2312"/>
          <w:sz w:val="30"/>
          <w:szCs w:val="30"/>
        </w:rPr>
      </w:pPr>
      <w:r>
        <w:rPr>
          <w:rFonts w:hint="eastAsia" w:ascii="仿宋_GB2312" w:eastAsia="仿宋_GB2312"/>
          <w:sz w:val="30"/>
          <w:szCs w:val="30"/>
        </w:rPr>
        <w:t>（2）使用自身投资管理系统接入交易</w:t>
      </w:r>
    </w:p>
    <w:p w14:paraId="3A612361">
      <w:pPr>
        <w:spacing w:line="600" w:lineRule="exact"/>
        <w:ind w:firstLine="600" w:firstLineChars="200"/>
        <w:rPr>
          <w:rFonts w:ascii="仿宋_GB2312" w:eastAsia="仿宋_GB2312"/>
          <w:sz w:val="30"/>
          <w:szCs w:val="30"/>
        </w:rPr>
      </w:pPr>
      <w:r>
        <w:rPr>
          <w:rFonts w:hint="eastAsia" w:ascii="仿宋_GB2312" w:eastAsia="仿宋_GB2312"/>
          <w:sz w:val="30"/>
          <w:szCs w:val="30"/>
        </w:rPr>
        <w:t>公募基金、保险公司及保险资产管理公司、商业银行及商业银行理财机构、期货公司资产管理子公司等金融机构及其管理的各类产品，若证券公司交易终端、</w:t>
      </w:r>
      <w:r>
        <w:rPr>
          <w:rFonts w:ascii="仿宋_GB2312" w:eastAsia="仿宋_GB2312"/>
          <w:sz w:val="30"/>
          <w:szCs w:val="30"/>
        </w:rPr>
        <w:t>PB系统</w:t>
      </w:r>
      <w:r>
        <w:rPr>
          <w:rFonts w:hint="eastAsia" w:ascii="仿宋_GB2312" w:eastAsia="仿宋_GB2312"/>
          <w:sz w:val="30"/>
          <w:szCs w:val="30"/>
        </w:rPr>
        <w:t>无法满足其正常交易需求的，证券公司可在确保合规与风险可控的前提下允许前述债券投资者的相关系统接入。</w:t>
      </w:r>
    </w:p>
    <w:p w14:paraId="08FF81A5">
      <w:pPr>
        <w:spacing w:line="600" w:lineRule="exact"/>
        <w:ind w:firstLine="600" w:firstLineChars="200"/>
        <w:rPr>
          <w:rFonts w:ascii="仿宋_GB2312" w:eastAsia="仿宋_GB2312"/>
          <w:sz w:val="30"/>
          <w:szCs w:val="30"/>
        </w:rPr>
      </w:pPr>
      <w:r>
        <w:rPr>
          <w:rFonts w:hint="eastAsia" w:ascii="仿宋_GB2312" w:eastAsia="仿宋_GB2312"/>
          <w:sz w:val="30"/>
          <w:szCs w:val="30"/>
        </w:rPr>
        <w:t>在前述情况下，相关债券投资者不得将相关系统转让、出借给第三方使用或为第三方提供接入服务，不得借助证券公司提供的接入服务违规出借账户或者违法从事相关业务活动。</w:t>
      </w:r>
    </w:p>
    <w:p w14:paraId="414D062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委托指令</w:t>
      </w:r>
    </w:p>
    <w:p w14:paraId="2CE35EBA">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经纪客户要确保本方发出的交易指令所载明的相关内容真实、完整、准确，采用匹配成交方式的委托指令应当包括下列内容：</w:t>
      </w:r>
    </w:p>
    <w:p w14:paraId="3254EC3A">
      <w:pPr>
        <w:spacing w:line="600" w:lineRule="exact"/>
        <w:ind w:firstLine="600" w:firstLineChars="200"/>
        <w:rPr>
          <w:rFonts w:ascii="仿宋_GB2312" w:eastAsia="仿宋_GB2312"/>
          <w:sz w:val="30"/>
          <w:szCs w:val="30"/>
        </w:rPr>
      </w:pPr>
      <w:r>
        <w:rPr>
          <w:rFonts w:hint="eastAsia" w:ascii="仿宋_GB2312" w:eastAsia="仿宋_GB2312"/>
          <w:sz w:val="30"/>
          <w:szCs w:val="30"/>
        </w:rPr>
        <w:t>（1）证券账户号码；</w:t>
      </w:r>
    </w:p>
    <w:p w14:paraId="419C06BF">
      <w:pPr>
        <w:spacing w:line="600" w:lineRule="exact"/>
        <w:ind w:firstLine="600" w:firstLineChars="200"/>
        <w:rPr>
          <w:rFonts w:ascii="仿宋_GB2312" w:eastAsia="仿宋_GB2312"/>
          <w:sz w:val="30"/>
          <w:szCs w:val="30"/>
        </w:rPr>
      </w:pPr>
      <w:r>
        <w:rPr>
          <w:rFonts w:hint="eastAsia" w:ascii="仿宋_GB2312" w:eastAsia="仿宋_GB2312"/>
          <w:sz w:val="30"/>
          <w:szCs w:val="30"/>
        </w:rPr>
        <w:t>（2）证券代码；</w:t>
      </w:r>
    </w:p>
    <w:p w14:paraId="4AFB65C6">
      <w:pPr>
        <w:spacing w:line="600" w:lineRule="exact"/>
        <w:ind w:firstLine="600" w:firstLineChars="200"/>
        <w:rPr>
          <w:rFonts w:ascii="仿宋_GB2312" w:eastAsia="仿宋_GB2312"/>
          <w:sz w:val="30"/>
          <w:szCs w:val="30"/>
        </w:rPr>
      </w:pPr>
      <w:r>
        <w:rPr>
          <w:rFonts w:hint="eastAsia" w:ascii="仿宋_GB2312" w:eastAsia="仿宋_GB2312"/>
          <w:sz w:val="30"/>
          <w:szCs w:val="30"/>
        </w:rPr>
        <w:t>（3）交易方向；</w:t>
      </w:r>
    </w:p>
    <w:p w14:paraId="72362296">
      <w:pPr>
        <w:spacing w:line="600" w:lineRule="exact"/>
        <w:ind w:firstLine="600" w:firstLineChars="200"/>
        <w:rPr>
          <w:rFonts w:ascii="仿宋_GB2312" w:eastAsia="仿宋_GB2312"/>
          <w:sz w:val="30"/>
          <w:szCs w:val="30"/>
        </w:rPr>
      </w:pPr>
      <w:r>
        <w:rPr>
          <w:rFonts w:hint="eastAsia" w:ascii="仿宋_GB2312" w:eastAsia="仿宋_GB2312"/>
          <w:sz w:val="30"/>
          <w:szCs w:val="30"/>
        </w:rPr>
        <w:t>（4）委托数量；</w:t>
      </w:r>
    </w:p>
    <w:p w14:paraId="6473C988">
      <w:pPr>
        <w:spacing w:line="600" w:lineRule="exact"/>
        <w:ind w:firstLine="600" w:firstLineChars="200"/>
        <w:rPr>
          <w:rFonts w:ascii="仿宋_GB2312" w:eastAsia="仿宋_GB2312"/>
          <w:sz w:val="30"/>
          <w:szCs w:val="30"/>
        </w:rPr>
      </w:pPr>
      <w:r>
        <w:rPr>
          <w:rFonts w:hint="eastAsia" w:ascii="仿宋_GB2312" w:eastAsia="仿宋_GB2312"/>
          <w:sz w:val="30"/>
          <w:szCs w:val="30"/>
        </w:rPr>
        <w:t>（5）委托价格；</w:t>
      </w:r>
    </w:p>
    <w:p w14:paraId="14D92A81">
      <w:pPr>
        <w:spacing w:line="600" w:lineRule="exact"/>
        <w:ind w:firstLine="600" w:firstLineChars="200"/>
        <w:rPr>
          <w:rFonts w:ascii="仿宋_GB2312" w:eastAsia="仿宋_GB2312"/>
          <w:sz w:val="30"/>
          <w:szCs w:val="30"/>
        </w:rPr>
      </w:pPr>
      <w:r>
        <w:rPr>
          <w:rFonts w:hint="eastAsia" w:ascii="仿宋_GB2312" w:eastAsia="仿宋_GB2312"/>
          <w:sz w:val="30"/>
          <w:szCs w:val="30"/>
        </w:rPr>
        <w:t>（6）本所及会员要求的其他内容</w:t>
      </w:r>
    </w:p>
    <w:p w14:paraId="3E33D262">
      <w:pPr>
        <w:spacing w:line="600" w:lineRule="exact"/>
        <w:ind w:firstLine="600" w:firstLineChars="200"/>
        <w:rPr>
          <w:rFonts w:ascii="仿宋_GB2312" w:eastAsia="仿宋_GB2312"/>
          <w:sz w:val="30"/>
          <w:szCs w:val="30"/>
        </w:rPr>
      </w:pPr>
      <w:r>
        <w:rPr>
          <w:rFonts w:hint="eastAsia" w:ascii="仿宋_GB2312" w:eastAsia="仿宋_GB2312"/>
          <w:sz w:val="30"/>
          <w:szCs w:val="30"/>
        </w:rPr>
        <w:t>采用匹配成交方式的，经纪客户仅允许采用限价委托的方式委托证券公司下达委托指令。</w:t>
      </w:r>
    </w:p>
    <w:p w14:paraId="64DD271F">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经纪客户采用点击成交、询价成交、竞买成交、协商成交等交易方式的委托指令内容，应当包含本指南第</w:t>
      </w:r>
      <w:r>
        <w:rPr>
          <w:rFonts w:ascii="仿宋_GB2312" w:eastAsia="仿宋_GB2312"/>
          <w:sz w:val="30"/>
          <w:szCs w:val="30"/>
        </w:rPr>
        <w:t>5</w:t>
      </w:r>
      <w:r>
        <w:rPr>
          <w:rFonts w:hint="eastAsia" w:ascii="仿宋_GB2312" w:eastAsia="仿宋_GB2312"/>
          <w:sz w:val="30"/>
          <w:szCs w:val="30"/>
        </w:rPr>
        <w:t>章中各交易方式所对应的申报要素。</w:t>
      </w:r>
    </w:p>
    <w:p w14:paraId="4CB7CEA1">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经纪客户可通过交易终端、证券公司PB系统客户端或向证券公司书面报单等方式下达债券交易委托。经纪客户委托证券公司申报并达成债券交易的，应当及时向证券公司交付相应的债券或者资金。</w:t>
      </w:r>
    </w:p>
    <w:p w14:paraId="7A3E9CA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和债券交易监测监控系统，按照本所会员管理相关规则，对其经纪客户的债券交易委托指令进行核查，完成验资或验券操作后，冻结该客户账户资金或相应的债券。对不符合相关规定或可能严重影响正常交易秩序的委托指令应当拒绝接受。</w:t>
      </w:r>
    </w:p>
    <w:p w14:paraId="5FC5263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委托撤销</w:t>
      </w:r>
      <w:r>
        <w:rPr>
          <w:rFonts w:hint="eastAsia" w:ascii="仿宋_GB2312" w:hAnsi="黑体" w:eastAsia="仿宋_GB2312" w:cs="仿宋_GB2312"/>
          <w:b/>
          <w:sz w:val="30"/>
          <w:szCs w:val="30"/>
        </w:rPr>
        <w:t>和交易解除</w:t>
      </w:r>
    </w:p>
    <w:p w14:paraId="507BF4B5">
      <w:pPr>
        <w:pStyle w:val="90"/>
        <w:adjustRightInd w:val="0"/>
        <w:snapToGrid w:val="0"/>
        <w:spacing w:line="600" w:lineRule="exact"/>
        <w:ind w:firstLine="600"/>
        <w:rPr>
          <w:rFonts w:hAnsi="Times New Roman"/>
          <w:sz w:val="30"/>
          <w:szCs w:val="30"/>
        </w:rPr>
      </w:pPr>
      <w:r>
        <w:rPr>
          <w:rFonts w:hint="eastAsia" w:hAnsi="Times New Roman"/>
          <w:sz w:val="30"/>
          <w:szCs w:val="30"/>
        </w:rPr>
        <w:t>经纪客户按照与证券公司的协定，可通过交易终端、证券公司PB系统客户端或向证券公司书面报单等方式撤销委托指令的未成交部分。</w:t>
      </w:r>
    </w:p>
    <w:p w14:paraId="5225FF51">
      <w:pPr>
        <w:pStyle w:val="90"/>
        <w:adjustRightInd w:val="0"/>
        <w:snapToGrid w:val="0"/>
        <w:spacing w:line="600" w:lineRule="exact"/>
        <w:ind w:firstLine="600"/>
        <w:rPr>
          <w:rFonts w:hAnsi="Times New Roman"/>
          <w:sz w:val="30"/>
          <w:szCs w:val="30"/>
        </w:rPr>
      </w:pPr>
      <w:r>
        <w:rPr>
          <w:rFonts w:hint="eastAsia" w:hAnsi="Times New Roman"/>
          <w:sz w:val="30"/>
          <w:szCs w:val="30"/>
        </w:rPr>
        <w:t>经纪客户若通过交易终端、证券公司PB系统客户端下达债券交易委托的，对于未成交部分，客户可通过</w:t>
      </w:r>
      <w:r>
        <w:rPr>
          <w:rFonts w:hAnsi="Times New Roman"/>
          <w:sz w:val="30"/>
          <w:szCs w:val="30"/>
        </w:rPr>
        <w:t>原方式</w:t>
      </w:r>
      <w:r>
        <w:rPr>
          <w:rFonts w:hint="eastAsia" w:hAnsi="Times New Roman"/>
          <w:sz w:val="30"/>
          <w:szCs w:val="30"/>
        </w:rPr>
        <w:t>下达撤销原委托的指令；经纪客户若以书面方式向证券公司进行债券交易委托的，对于未成交部分，同样以书面方式向证券公司下达撤销原委托的指令。证券公司在收到经纪客户撤销委托后，应准确及时地执行撤销委托指令的提交。</w:t>
      </w:r>
    </w:p>
    <w:p w14:paraId="64F7700B">
      <w:pPr>
        <w:pStyle w:val="90"/>
        <w:adjustRightInd w:val="0"/>
        <w:snapToGrid w:val="0"/>
        <w:spacing w:line="600" w:lineRule="exact"/>
        <w:ind w:firstLine="600"/>
        <w:rPr>
          <w:rFonts w:hAnsi="Times New Roman"/>
          <w:sz w:val="30"/>
          <w:szCs w:val="30"/>
        </w:rPr>
      </w:pPr>
      <w:r>
        <w:rPr>
          <w:rFonts w:hint="eastAsia" w:hAnsi="Times New Roman"/>
          <w:sz w:val="30"/>
          <w:szCs w:val="30"/>
        </w:rPr>
        <w:t>被撤销和失效的委托，证券公司应当在确认后及时向经纪客户返还相应的资金或者债券。</w:t>
      </w:r>
    </w:p>
    <w:p w14:paraId="2314F968">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交易数据传输</w:t>
      </w:r>
    </w:p>
    <w:p w14:paraId="40F2199F">
      <w:pPr>
        <w:pStyle w:val="90"/>
        <w:adjustRightInd w:val="0"/>
        <w:snapToGrid w:val="0"/>
        <w:spacing w:line="600" w:lineRule="exact"/>
        <w:ind w:firstLine="600"/>
        <w:rPr>
          <w:rFonts w:hAnsi="Times New Roman"/>
          <w:sz w:val="30"/>
          <w:szCs w:val="30"/>
        </w:rPr>
      </w:pPr>
      <w:r>
        <w:rPr>
          <w:rFonts w:hint="eastAsia" w:hAnsi="Times New Roman"/>
          <w:sz w:val="30"/>
          <w:szCs w:val="30"/>
        </w:rPr>
        <w:t>经纪客户如采用证券公司PB系统客户终端或自有系统接入证券公司柜台系统提交委托指令时，可在日间实时或日终获取导出委托记录、成交回报、交易流水、资金头寸等数据。</w:t>
      </w:r>
    </w:p>
    <w:p w14:paraId="69B14C42">
      <w:pPr>
        <w:pStyle w:val="90"/>
        <w:adjustRightInd w:val="0"/>
        <w:snapToGrid w:val="0"/>
        <w:spacing w:line="600" w:lineRule="exact"/>
        <w:ind w:firstLine="600"/>
        <w:rPr>
          <w:rFonts w:hAnsi="Times New Roman"/>
          <w:sz w:val="30"/>
          <w:szCs w:val="30"/>
        </w:rPr>
      </w:pPr>
      <w:r>
        <w:rPr>
          <w:rFonts w:hint="eastAsia" w:hAnsi="Times New Roman"/>
          <w:sz w:val="30"/>
          <w:szCs w:val="30"/>
        </w:rPr>
        <w:t>经纪客户可与证券公司约定交易结算数据的接收方式及接收时点，证券公司应当保证如实向其经纪客户转发指定交易单元上的交易结算数据（可根据实际情况一次或多次转发交易结算数据）。证券公司还需按照约定时间，在其交易系统清算后，及时将资金账户电子对账单按约定方式发送给经纪客户，若经纪客户对电子对账单数据有疑义，证券公司应当协助排查问题原因，错误方应及时修正。</w:t>
      </w:r>
    </w:p>
    <w:p w14:paraId="7BF1CC93">
      <w:pPr>
        <w:numPr>
          <w:ilvl w:val="2"/>
          <w:numId w:val="4"/>
        </w:numPr>
        <w:spacing w:line="600" w:lineRule="exact"/>
        <w:ind w:left="0" w:firstLine="0"/>
        <w:outlineLvl w:val="2"/>
        <w:rPr>
          <w:sz w:val="30"/>
          <w:szCs w:val="30"/>
        </w:rPr>
      </w:pPr>
      <w:r>
        <w:rPr>
          <w:rFonts w:hint="eastAsia" w:ascii="仿宋_GB2312" w:eastAsia="仿宋_GB2312"/>
          <w:b/>
          <w:sz w:val="30"/>
          <w:szCs w:val="30"/>
        </w:rPr>
        <w:t>境外机构投资者信息报送</w:t>
      </w:r>
    </w:p>
    <w:p w14:paraId="4D6DBC07">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应当与境内托管人签署信息报送相关委托书。托管人应在境外投资者账户开立之日起5个交易日内，向本所报送境外机构投资者基本信息、托管人基本信息及交易参与人基本信息。报送材料均应加盖机构公章或由主要负责人签字：</w:t>
      </w:r>
    </w:p>
    <w:p w14:paraId="440E5E8A">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宋体" w:eastAsia="仿宋_GB2312" w:cs="宋体"/>
          <w:kern w:val="0"/>
          <w:sz w:val="30"/>
          <w:szCs w:val="30"/>
        </w:rPr>
        <w:t>（1）境外机构投资者信息报送表（附件4，</w:t>
      </w:r>
      <w:r>
        <w:rPr>
          <w:rFonts w:hint="eastAsia" w:ascii="仿宋_GB2312" w:hAnsi="华文细黑" w:eastAsia="仿宋_GB2312" w:cs="华文细黑"/>
          <w:color w:val="000000"/>
          <w:sz w:val="30"/>
          <w:szCs w:val="30"/>
        </w:rPr>
        <w:t>需加盖境外机构投资者印鉴或由主要负责人签字）；</w:t>
      </w:r>
    </w:p>
    <w:p w14:paraId="752C1181">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（2）中国人民银行或中国人民银行上海总部向境外机构投资者出具的备案证明文件复印件（需加盖境外机构投资者印鉴或由主要负责人签字）；</w:t>
      </w:r>
    </w:p>
    <w:p w14:paraId="78246C88">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（3）上交所要求的其他材料。</w:t>
      </w:r>
    </w:p>
    <w:p w14:paraId="539A9A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境外机构投资者存在下列情形之一的，其托管人应当在该事实发生之日或客户通知之日起</w:t>
      </w:r>
      <w:r>
        <w:rPr>
          <w:rFonts w:ascii="仿宋_GB2312" w:hAnsi="华文细黑" w:eastAsia="仿宋_GB2312" w:cs="华文细黑"/>
          <w:color w:val="000000"/>
          <w:sz w:val="30"/>
          <w:szCs w:val="30"/>
        </w:rPr>
        <w:t>5个</w:t>
      </w:r>
      <w:r>
        <w:rPr>
          <w:rFonts w:hint="eastAsia" w:ascii="仿宋_GB2312" w:hAnsi="华文细黑" w:eastAsia="仿宋_GB2312" w:cs="华文细黑"/>
          <w:color w:val="000000"/>
          <w:sz w:val="30"/>
          <w:szCs w:val="30"/>
        </w:rPr>
        <w:t>交易日内将有关情况报送上交所：</w:t>
      </w:r>
    </w:p>
    <w:p w14:paraId="74439C4F">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（1）指定或变更托管人；</w:t>
      </w:r>
      <w:r>
        <w:rPr>
          <w:rFonts w:ascii="仿宋_GB2312" w:hAnsi="华文细黑" w:eastAsia="仿宋_GB2312" w:cs="华文细黑"/>
          <w:color w:val="000000"/>
          <w:sz w:val="30"/>
          <w:szCs w:val="30"/>
        </w:rPr>
        <w:t xml:space="preserve">  </w:t>
      </w:r>
    </w:p>
    <w:p w14:paraId="4B785470">
      <w:pPr>
        <w:spacing w:line="600" w:lineRule="exact"/>
        <w:ind w:left="150" w:firstLine="450" w:firstLineChars="15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（2）开立、注销证券账户，指定或变更交易参与人、结算参与人；</w:t>
      </w:r>
    </w:p>
    <w:p w14:paraId="225F847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（3）变更机构名称、注册地、业务联系人等基本信息；</w:t>
      </w:r>
    </w:p>
    <w:p w14:paraId="193604CE">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（4）解散、宣告破产或者被其他机构合并；</w:t>
      </w:r>
    </w:p>
    <w:p w14:paraId="414D9C32">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（5）涉及境内外重大诉讼或其他重大事件；</w:t>
      </w:r>
    </w:p>
    <w:p w14:paraId="6D776D9B">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（6）在境内外受到重大处罚；</w:t>
      </w:r>
    </w:p>
    <w:p w14:paraId="1F4AF7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（7）受到自律管理措施；</w:t>
      </w:r>
    </w:p>
    <w:p w14:paraId="12A807F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（8）受到中国证监会、中国人民银行或国家外汇管理局处罚；</w:t>
      </w:r>
    </w:p>
    <w:p w14:paraId="15E44B0A">
      <w:pPr>
        <w:spacing w:line="600" w:lineRule="exact"/>
        <w:ind w:firstLine="600" w:firstLineChars="200"/>
        <w:rPr>
          <w:rFonts w:ascii="仿宋_GB2312" w:eastAsia="仿宋_GB2312"/>
          <w:sz w:val="30"/>
          <w:szCs w:val="30"/>
        </w:rPr>
      </w:pPr>
      <w:r>
        <w:rPr>
          <w:rFonts w:hint="eastAsia" w:ascii="仿宋_GB2312" w:hAnsi="华文细黑" w:eastAsia="仿宋_GB2312" w:cs="华文细黑"/>
          <w:color w:val="000000"/>
          <w:sz w:val="30"/>
          <w:szCs w:val="30"/>
        </w:rPr>
        <w:t>（9）有关监管机构以及上交所、中国结算规定的其他情形。</w:t>
      </w:r>
    </w:p>
    <w:p w14:paraId="23E3D154">
      <w:pPr>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业务初期，托管人可将相关材料扫描件通过电子邮件发送至本所邮箱bondtrading@sse.com.cn，邮件标题注明“境外机构投资者信息报送”。电子报送实施时间另行通知。</w:t>
      </w:r>
    </w:p>
    <w:p w14:paraId="5E10C842">
      <w:pPr>
        <w:pStyle w:val="90"/>
        <w:adjustRightInd w:val="0"/>
        <w:snapToGrid w:val="0"/>
        <w:spacing w:line="600" w:lineRule="exact"/>
        <w:ind w:firstLine="600"/>
        <w:rPr>
          <w:rFonts w:hAnsi="Times New Roman"/>
          <w:sz w:val="30"/>
          <w:szCs w:val="30"/>
        </w:rPr>
      </w:pPr>
      <w:r>
        <w:rPr>
          <w:rFonts w:hint="eastAsia" w:hAnsi="华文细黑" w:cs="华文细黑"/>
          <w:color w:val="000000"/>
          <w:sz w:val="30"/>
          <w:szCs w:val="30"/>
        </w:rPr>
        <w:t>境外机构投资者参与上交所债券投资业务的具体要求，参见《上海证券交易所 中国证券登记结算有限责任公司境外机构投资者债券交易及登记结算业务实施细则》（</w:t>
      </w:r>
      <w:r>
        <w:rPr>
          <w:rFonts w:hint="eastAsia" w:hAnsi="华文细黑" w:cs="华文细黑"/>
          <w:color w:val="000000"/>
          <w:sz w:val="30"/>
          <w:szCs w:val="30"/>
        </w:rPr>
        <w:tab/>
      </w:r>
      <w:r>
        <w:fldChar w:fldCharType="begin"/>
      </w:r>
      <w:r>
        <w:instrText xml:space="preserve"> HYPERLINK "http://www.sse.com.cn/lawandrules/sselawsrules/bond/trading/currency/c/c_20220628_5704754.shtml" </w:instrText>
      </w:r>
      <w:r>
        <w:fldChar w:fldCharType="separate"/>
      </w:r>
      <w:r>
        <w:rPr>
          <w:rStyle w:val="51"/>
          <w:rFonts w:hAnsi="华文细黑" w:cs="华文细黑"/>
          <w:sz w:val="30"/>
          <w:szCs w:val="30"/>
        </w:rPr>
        <w:t>http://www.sse.com.cn/lawandrules/sselawsrules/bond/trading/currency/c/c_20220628_5704754.shtml</w:t>
      </w:r>
      <w:r>
        <w:rPr>
          <w:rStyle w:val="51"/>
          <w:rFonts w:hAnsi="华文细黑" w:cs="华文细黑"/>
          <w:sz w:val="30"/>
          <w:szCs w:val="30"/>
        </w:rPr>
        <w:fldChar w:fldCharType="end"/>
      </w:r>
      <w:r>
        <w:rPr>
          <w:rFonts w:hint="eastAsia" w:hAnsi="华文细黑" w:cs="华文细黑"/>
          <w:color w:val="000000"/>
          <w:sz w:val="30"/>
          <w:szCs w:val="30"/>
        </w:rPr>
        <w:t>）。</w:t>
      </w:r>
    </w:p>
    <w:p w14:paraId="0A0AA21F">
      <w:pPr>
        <w:numPr>
          <w:ilvl w:val="1"/>
          <w:numId w:val="4"/>
        </w:numPr>
        <w:spacing w:line="600" w:lineRule="exact"/>
        <w:ind w:left="0" w:firstLine="0"/>
        <w:outlineLvl w:val="1"/>
        <w:rPr>
          <w:rFonts w:ascii="仿宋_GB2312" w:eastAsia="仿宋_GB2312"/>
          <w:b/>
          <w:sz w:val="30"/>
          <w:szCs w:val="30"/>
        </w:rPr>
      </w:pPr>
      <w:bookmarkStart w:id="207" w:name="_Toc60327076"/>
      <w:bookmarkEnd w:id="207"/>
      <w:bookmarkStart w:id="208" w:name="_Toc59106956"/>
      <w:bookmarkEnd w:id="208"/>
      <w:bookmarkStart w:id="209" w:name="_Toc59181282"/>
      <w:bookmarkEnd w:id="209"/>
      <w:bookmarkStart w:id="210" w:name="_Toc57908876"/>
      <w:bookmarkEnd w:id="210"/>
      <w:bookmarkStart w:id="211" w:name="_Toc59181170"/>
      <w:bookmarkEnd w:id="211"/>
      <w:bookmarkStart w:id="212" w:name="_Toc59034552"/>
      <w:bookmarkEnd w:id="212"/>
      <w:bookmarkStart w:id="213" w:name="_Toc59181058"/>
      <w:bookmarkEnd w:id="213"/>
      <w:bookmarkStart w:id="214" w:name="_Toc60331833"/>
      <w:bookmarkEnd w:id="214"/>
      <w:bookmarkStart w:id="215" w:name="_Toc59034073"/>
      <w:bookmarkEnd w:id="215"/>
      <w:bookmarkStart w:id="216" w:name="_Toc56166070"/>
      <w:bookmarkStart w:id="217" w:name="_Toc56166259"/>
      <w:bookmarkStart w:id="218" w:name="_Toc151136889"/>
      <w:r>
        <w:rPr>
          <w:rFonts w:hint="eastAsia" w:ascii="仿宋_GB2312" w:eastAsia="仿宋_GB2312"/>
          <w:b/>
          <w:sz w:val="30"/>
          <w:szCs w:val="30"/>
        </w:rPr>
        <w:t>券商</w:t>
      </w:r>
      <w:r>
        <w:rPr>
          <w:rFonts w:ascii="仿宋_GB2312" w:eastAsia="仿宋_GB2312"/>
          <w:b/>
          <w:sz w:val="30"/>
          <w:szCs w:val="30"/>
        </w:rPr>
        <w:t>结算</w:t>
      </w:r>
      <w:bookmarkEnd w:id="216"/>
      <w:bookmarkEnd w:id="217"/>
      <w:bookmarkEnd w:id="218"/>
    </w:p>
    <w:p w14:paraId="2267AF06">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证券公司接受经纪客户的债券交易委托后，应当按照委托的内容向本所申报，并承担相应的交易、结算责任。</w:t>
      </w:r>
    </w:p>
    <w:p w14:paraId="797EEF55">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证券公司接受经纪客户买卖委托达成交易的，经纪客户应当向证券公司交付其委托证券公司卖出的债券或其委托证券公司买入债券的款项，证券公司应当向经纪客户交付卖出债券所得款项或买入的债券。</w:t>
      </w:r>
    </w:p>
    <w:p w14:paraId="3E09EDEC">
      <w:pPr>
        <w:pStyle w:val="90"/>
        <w:adjustRightInd w:val="0"/>
        <w:snapToGrid w:val="0"/>
        <w:spacing w:line="600" w:lineRule="exact"/>
        <w:ind w:firstLine="600"/>
        <w:rPr>
          <w:rFonts w:hAnsi="Times New Roman"/>
          <w:sz w:val="30"/>
          <w:szCs w:val="30"/>
        </w:rPr>
      </w:pPr>
      <w:r>
        <w:rPr>
          <w:rFonts w:hint="eastAsia" w:hAnsi="Times New Roman"/>
          <w:sz w:val="30"/>
          <w:szCs w:val="30"/>
        </w:rPr>
        <w:t>通过证券公司结算的经纪客户的证券和资金适用分级结算原则，即登记结算机构负责办理登记结算机构与证券公司之间的集中清算交收，证券公司负责按照登记结算机构的结算规则与证券交易委托协议约定，办理其与经纪客户之间的清算交收。</w:t>
      </w:r>
    </w:p>
    <w:p w14:paraId="3D09BF1D">
      <w:pPr>
        <w:numPr>
          <w:ilvl w:val="0"/>
          <w:numId w:val="4"/>
        </w:numPr>
        <w:spacing w:line="600" w:lineRule="exact"/>
        <w:outlineLvl w:val="0"/>
        <w:rPr>
          <w:b/>
          <w:sz w:val="36"/>
        </w:rPr>
      </w:pPr>
      <w:bookmarkStart w:id="219" w:name="_Toc97819615"/>
      <w:bookmarkEnd w:id="219"/>
      <w:bookmarkStart w:id="220" w:name="_Toc97819614"/>
      <w:bookmarkEnd w:id="220"/>
      <w:bookmarkStart w:id="221" w:name="_Toc97819612"/>
      <w:bookmarkEnd w:id="221"/>
      <w:bookmarkStart w:id="222" w:name="_Toc97819613"/>
      <w:bookmarkEnd w:id="222"/>
      <w:bookmarkStart w:id="223" w:name="_Toc56166072"/>
      <w:bookmarkStart w:id="224" w:name="_Toc56166261"/>
      <w:r>
        <w:rPr>
          <w:b/>
          <w:sz w:val="36"/>
        </w:rPr>
        <w:br w:type="page"/>
      </w:r>
      <w:bookmarkStart w:id="225" w:name="_Toc151136890"/>
      <w:r>
        <w:rPr>
          <w:rFonts w:hint="eastAsia" w:ascii="黑体" w:hAnsi="黑体" w:eastAsia="黑体" w:cs="黑体"/>
          <w:b/>
          <w:sz w:val="36"/>
        </w:rPr>
        <w:t>债券交易一般要求</w:t>
      </w:r>
      <w:bookmarkEnd w:id="223"/>
      <w:bookmarkEnd w:id="224"/>
      <w:bookmarkEnd w:id="225"/>
      <w:r>
        <w:rPr>
          <w:rFonts w:hint="eastAsia"/>
          <w:b/>
          <w:sz w:val="36"/>
        </w:rPr>
        <w:t xml:space="preserve"> </w:t>
      </w:r>
    </w:p>
    <w:p w14:paraId="11E16BE4">
      <w:pPr>
        <w:pStyle w:val="90"/>
        <w:spacing w:line="600" w:lineRule="exact"/>
        <w:ind w:firstLine="600"/>
        <w:rPr>
          <w:rFonts w:hAnsi="Times New Roman"/>
          <w:sz w:val="30"/>
          <w:szCs w:val="30"/>
        </w:rPr>
      </w:pPr>
      <w:r>
        <w:rPr>
          <w:rFonts w:hint="eastAsia" w:hAnsi="Times New Roman"/>
          <w:sz w:val="30"/>
          <w:szCs w:val="30"/>
        </w:rPr>
        <w:t>本所为债券交易提供设施和相关服务，并依据《债券交易规则》和本所其他相关业务规则对债券交易相关的业务活动进行自律管理。债券交易应当遵循公开、公平、公正以及自愿、有偿、诚实信用等原则。</w:t>
      </w:r>
    </w:p>
    <w:p w14:paraId="73C8EE6C">
      <w:pPr>
        <w:pStyle w:val="90"/>
        <w:spacing w:line="600" w:lineRule="exact"/>
        <w:ind w:firstLine="600"/>
        <w:rPr>
          <w:rFonts w:hAnsi="Times New Roman"/>
          <w:sz w:val="30"/>
          <w:szCs w:val="30"/>
        </w:rPr>
      </w:pPr>
      <w:r>
        <w:rPr>
          <w:rFonts w:hint="eastAsia" w:hAnsi="Times New Roman"/>
          <w:sz w:val="30"/>
          <w:szCs w:val="30"/>
        </w:rPr>
        <w:t>本章主要明确指定交易、交易前端控制、交易时间、交易方式、申报与成交等债券交易一般性规定与要求。</w:t>
      </w:r>
    </w:p>
    <w:p w14:paraId="1F5B9579">
      <w:pPr>
        <w:numPr>
          <w:ilvl w:val="1"/>
          <w:numId w:val="4"/>
        </w:numPr>
        <w:spacing w:line="600" w:lineRule="exact"/>
        <w:ind w:left="0" w:firstLine="0"/>
        <w:outlineLvl w:val="1"/>
        <w:rPr>
          <w:rFonts w:ascii="仿宋_GB2312" w:eastAsia="仿宋_GB2312"/>
          <w:b/>
          <w:sz w:val="30"/>
          <w:szCs w:val="30"/>
        </w:rPr>
      </w:pPr>
      <w:bookmarkStart w:id="226" w:name="_Toc56166262"/>
      <w:bookmarkStart w:id="227" w:name="_Toc56166073"/>
      <w:bookmarkStart w:id="228" w:name="_Toc151136891"/>
      <w:r>
        <w:rPr>
          <w:rFonts w:hint="eastAsia" w:ascii="仿宋_GB2312" w:eastAsia="仿宋_GB2312"/>
          <w:b/>
          <w:sz w:val="30"/>
          <w:szCs w:val="30"/>
        </w:rPr>
        <w:t>指定交易</w:t>
      </w:r>
      <w:bookmarkEnd w:id="226"/>
      <w:bookmarkEnd w:id="227"/>
      <w:bookmarkEnd w:id="228"/>
    </w:p>
    <w:p w14:paraId="0F6FA78D">
      <w:pPr>
        <w:pStyle w:val="90"/>
        <w:spacing w:line="600" w:lineRule="exact"/>
        <w:ind w:firstLine="600"/>
        <w:rPr>
          <w:rFonts w:hAnsi="Times New Roman"/>
          <w:sz w:val="30"/>
          <w:szCs w:val="30"/>
        </w:rPr>
      </w:pPr>
      <w:r>
        <w:rPr>
          <w:rFonts w:hint="eastAsia" w:hAnsi="Times New Roman"/>
          <w:sz w:val="30"/>
          <w:szCs w:val="30"/>
        </w:rPr>
        <w:t>本所债券交易实行指定交易制度或者本所规定的其他委托交易制度。本节对指定交易办理、变更与撤销进行规定。</w:t>
      </w:r>
    </w:p>
    <w:p w14:paraId="23D54A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指定交易定义</w:t>
      </w:r>
    </w:p>
    <w:p w14:paraId="65B99268">
      <w:pPr>
        <w:pStyle w:val="90"/>
        <w:spacing w:line="600" w:lineRule="exact"/>
        <w:ind w:firstLine="600"/>
        <w:rPr>
          <w:rFonts w:hAnsi="Times New Roman"/>
          <w:sz w:val="30"/>
          <w:szCs w:val="30"/>
        </w:rPr>
      </w:pPr>
      <w:r>
        <w:rPr>
          <w:rFonts w:hint="eastAsia" w:hAnsi="Times New Roman"/>
          <w:sz w:val="30"/>
          <w:szCs w:val="30"/>
        </w:rPr>
        <w:t>指定交易是指凡在本所市场进行债券交易的债券投资者，必须事先指定特定的交易单元参与本所市场债券交易。</w:t>
      </w:r>
    </w:p>
    <w:p w14:paraId="20AE9934">
      <w:pPr>
        <w:pStyle w:val="90"/>
        <w:spacing w:line="600" w:lineRule="exact"/>
        <w:ind w:firstLine="600"/>
        <w:rPr>
          <w:rFonts w:hAnsi="Times New Roman"/>
          <w:sz w:val="30"/>
          <w:szCs w:val="30"/>
        </w:rPr>
      </w:pPr>
      <w:r>
        <w:rPr>
          <w:rFonts w:hint="eastAsia" w:hAnsi="Times New Roman"/>
          <w:sz w:val="30"/>
          <w:szCs w:val="30"/>
        </w:rPr>
        <w:t>新开设的证券账户在交易前，应事先办理指定交易手续，指定到具体的交易单元上。证券账户在发起指定交易时应当尚未与任何交易单元建立指定交易关系。已经办理完成指定交易手续的无需重复提交指定交易申报。</w:t>
      </w:r>
    </w:p>
    <w:p w14:paraId="127E8B3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指定交易办理</w:t>
      </w:r>
    </w:p>
    <w:p w14:paraId="05751573">
      <w:pPr>
        <w:pStyle w:val="90"/>
        <w:adjustRightInd w:val="0"/>
        <w:snapToGrid w:val="0"/>
        <w:spacing w:line="600" w:lineRule="exact"/>
        <w:ind w:firstLine="600"/>
        <w:rPr>
          <w:rFonts w:hAnsi="Times New Roman"/>
          <w:sz w:val="30"/>
          <w:szCs w:val="30"/>
        </w:rPr>
      </w:pPr>
      <w:r>
        <w:rPr>
          <w:rFonts w:hint="eastAsia" w:hAnsi="Times New Roman"/>
          <w:sz w:val="30"/>
          <w:szCs w:val="30"/>
        </w:rPr>
        <w:t>指定交易申报通过本所综合业务平台、互联网交易平台或</w:t>
      </w:r>
      <w:r>
        <w:rPr>
          <w:rFonts w:hAnsi="Times New Roman"/>
          <w:sz w:val="30"/>
          <w:szCs w:val="30"/>
        </w:rPr>
        <w:t>本所认可</w:t>
      </w:r>
      <w:r>
        <w:rPr>
          <w:rFonts w:hint="eastAsia" w:hAnsi="Times New Roman"/>
          <w:sz w:val="30"/>
          <w:szCs w:val="30"/>
        </w:rPr>
        <w:t>的</w:t>
      </w:r>
      <w:r>
        <w:rPr>
          <w:rFonts w:hAnsi="Times New Roman"/>
          <w:sz w:val="30"/>
          <w:szCs w:val="30"/>
        </w:rPr>
        <w:t>其他渠道</w:t>
      </w:r>
      <w:r>
        <w:rPr>
          <w:rFonts w:hint="eastAsia" w:hAnsi="Times New Roman"/>
          <w:sz w:val="30"/>
          <w:szCs w:val="30"/>
        </w:rPr>
        <w:t>办理。</w:t>
      </w:r>
    </w:p>
    <w:p w14:paraId="27D3E3CA">
      <w:pPr>
        <w:pStyle w:val="90"/>
        <w:spacing w:line="600" w:lineRule="exact"/>
        <w:ind w:firstLine="600"/>
        <w:rPr>
          <w:rFonts w:hAnsi="Times New Roman"/>
          <w:sz w:val="30"/>
          <w:szCs w:val="30"/>
        </w:rPr>
      </w:pPr>
      <w:r>
        <w:rPr>
          <w:rFonts w:hint="eastAsia" w:hAnsi="Times New Roman"/>
          <w:sz w:val="30"/>
          <w:szCs w:val="30"/>
        </w:rPr>
        <w:t>指定交易申报时，债券交易参与人应当选择一个证券账户，并选择一个交易单元作为债券交易参与人用于该账户的交易单元。会员类债券交易参与人可以为其自营账户、资管产品账户及经纪客户账户办理指定交易，非会员类债券交易参与人可以为其自营账户和资管产品账户办理指定交易。</w:t>
      </w:r>
    </w:p>
    <w:p w14:paraId="3CFFBBD2">
      <w:pPr>
        <w:pStyle w:val="90"/>
        <w:spacing w:line="600" w:lineRule="exact"/>
        <w:ind w:firstLine="600"/>
        <w:rPr>
          <w:rFonts w:hAnsi="Times New Roman"/>
          <w:sz w:val="30"/>
          <w:szCs w:val="30"/>
        </w:rPr>
      </w:pPr>
      <w:r>
        <w:rPr>
          <w:rFonts w:hint="eastAsia" w:hAnsi="Times New Roman"/>
          <w:sz w:val="30"/>
          <w:szCs w:val="30"/>
        </w:rPr>
        <w:t>指定交易办理应遵守本所发布的《上海证券交易所指定交易实施细则》及《上海证券交易所指定交易业务办理指南（试行）》。</w:t>
      </w:r>
    </w:p>
    <w:tbl>
      <w:tblPr>
        <w:tblStyle w:val="43"/>
        <w:tblW w:w="0" w:type="auto"/>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3622E6D5">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1061" w:hRule="atLeast"/>
        </w:trPr>
        <w:tc>
          <w:tcPr>
            <w:tcW w:w="8393" w:type="dxa"/>
          </w:tcPr>
          <w:p w14:paraId="0C2F290A">
            <w:pPr>
              <w:pStyle w:val="90"/>
              <w:spacing w:line="240" w:lineRule="auto"/>
              <w:ind w:firstLine="480"/>
              <w:rPr>
                <w:rFonts w:hAnsi="Times New Roman"/>
                <w:sz w:val="24"/>
                <w:szCs w:val="24"/>
              </w:rPr>
            </w:pPr>
            <w:r>
              <w:rPr>
                <w:rFonts w:hint="eastAsia" w:hAnsi="Times New Roman"/>
                <w:sz w:val="24"/>
                <w:szCs w:val="24"/>
              </w:rPr>
              <w:t>《上海证券交易所指定交易实施细则》网址为：</w:t>
            </w:r>
          </w:p>
          <w:p w14:paraId="2807A193">
            <w:pPr>
              <w:pStyle w:val="90"/>
              <w:spacing w:line="240" w:lineRule="auto"/>
              <w:rPr>
                <w:rFonts w:hAnsi="Times New Roman"/>
                <w:sz w:val="24"/>
                <w:szCs w:val="24"/>
              </w:rPr>
            </w:pPr>
            <w:r>
              <w:fldChar w:fldCharType="begin"/>
            </w:r>
            <w:r>
              <w:instrText xml:space="preserve"> HYPERLINK "http://www.sse.com.cn/lawandrules/sserules/trading/universal/a/20150906/c1a52b7d67c6f63f3e1ef4d21c8ad40b.doc" </w:instrText>
            </w:r>
            <w:r>
              <w:fldChar w:fldCharType="separate"/>
            </w:r>
            <w:r>
              <w:rPr>
                <w:rStyle w:val="51"/>
                <w:rFonts w:hAnsi="Times New Roman"/>
                <w:sz w:val="24"/>
                <w:szCs w:val="24"/>
              </w:rPr>
              <w:t>http://www.sse.com.cn/lawandrules/sserules/trading/universal/a/20150906/c1a52b7d67c6f63f3e1ef4d21c8ad40b.doc</w:t>
            </w:r>
            <w:r>
              <w:rPr>
                <w:rStyle w:val="51"/>
                <w:rFonts w:hAnsi="Times New Roman"/>
                <w:sz w:val="24"/>
                <w:szCs w:val="24"/>
              </w:rPr>
              <w:fldChar w:fldCharType="end"/>
            </w:r>
          </w:p>
        </w:tc>
      </w:tr>
      <w:tr w14:paraId="3BE5272E">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706" w:hRule="atLeast"/>
        </w:trPr>
        <w:tc>
          <w:tcPr>
            <w:tcW w:w="8393" w:type="dxa"/>
          </w:tcPr>
          <w:p w14:paraId="355E6ED1">
            <w:pPr>
              <w:pStyle w:val="90"/>
              <w:spacing w:line="240" w:lineRule="auto"/>
              <w:ind w:firstLine="480"/>
              <w:rPr>
                <w:rFonts w:hAnsi="Times New Roman"/>
                <w:sz w:val="24"/>
                <w:szCs w:val="24"/>
              </w:rPr>
            </w:pPr>
            <w:r>
              <w:rPr>
                <w:rFonts w:hint="eastAsia" w:hAnsi="Times New Roman"/>
                <w:sz w:val="24"/>
                <w:szCs w:val="24"/>
              </w:rPr>
              <w:t>《上海证券交易所指定交易业务办理指南（试行）》网址为：</w:t>
            </w:r>
          </w:p>
          <w:p w14:paraId="19C17FD7">
            <w:pPr>
              <w:pStyle w:val="90"/>
              <w:spacing w:line="240" w:lineRule="auto"/>
              <w:rPr>
                <w:rFonts w:hAnsi="Times New Roman"/>
                <w:sz w:val="24"/>
                <w:szCs w:val="24"/>
              </w:rPr>
            </w:pPr>
            <w:r>
              <w:fldChar w:fldCharType="begin"/>
            </w:r>
            <w:r>
              <w:instrText xml:space="preserve"> HYPERLINK "http://www.sse.com.cn/lawandrules/guide/jyznlc/jyzn/c/3986065.pdf" </w:instrText>
            </w:r>
            <w:r>
              <w:fldChar w:fldCharType="separate"/>
            </w:r>
            <w:r>
              <w:rPr>
                <w:rStyle w:val="51"/>
                <w:rFonts w:hAnsi="Times New Roman"/>
                <w:sz w:val="24"/>
                <w:szCs w:val="24"/>
              </w:rPr>
              <w:t>http:/</w:t>
            </w:r>
            <w:bookmarkStart w:id="229" w:name="_Hlt57734820"/>
            <w:bookmarkStart w:id="230" w:name="_Hlt57734819"/>
            <w:r>
              <w:rPr>
                <w:rStyle w:val="51"/>
                <w:rFonts w:hAnsi="Times New Roman"/>
                <w:sz w:val="24"/>
                <w:szCs w:val="24"/>
              </w:rPr>
              <w:t>/</w:t>
            </w:r>
            <w:bookmarkEnd w:id="229"/>
            <w:bookmarkEnd w:id="230"/>
            <w:r>
              <w:rPr>
                <w:rStyle w:val="51"/>
                <w:rFonts w:hAnsi="Times New Roman"/>
                <w:sz w:val="24"/>
                <w:szCs w:val="24"/>
              </w:rPr>
              <w:t>www.sse.com.cn/lawandrules/guide/jyznlc/jyzn/c/3986065.pdf</w:t>
            </w:r>
            <w:r>
              <w:rPr>
                <w:rStyle w:val="51"/>
                <w:rFonts w:hAnsi="Times New Roman"/>
                <w:sz w:val="24"/>
                <w:szCs w:val="24"/>
              </w:rPr>
              <w:fldChar w:fldCharType="end"/>
            </w:r>
          </w:p>
        </w:tc>
      </w:tr>
    </w:tbl>
    <w:p w14:paraId="13B4D2FB">
      <w:pPr>
        <w:spacing w:line="600" w:lineRule="exact"/>
        <w:ind w:left="567"/>
        <w:outlineLvl w:val="3"/>
        <w:rPr>
          <w:rFonts w:ascii="仿宋_GB2312" w:eastAsia="仿宋_GB2312"/>
          <w:b/>
          <w:sz w:val="30"/>
          <w:szCs w:val="30"/>
        </w:rPr>
      </w:pPr>
      <w:r>
        <w:rPr>
          <w:rFonts w:hint="eastAsia" w:ascii="仿宋_GB2312" w:eastAsia="仿宋_GB2312"/>
          <w:b/>
          <w:sz w:val="30"/>
          <w:szCs w:val="30"/>
        </w:rPr>
        <w:t>（1） 指定交易申报</w:t>
      </w:r>
    </w:p>
    <w:p w14:paraId="142206E9">
      <w:pPr>
        <w:pStyle w:val="90"/>
        <w:spacing w:line="600" w:lineRule="exact"/>
        <w:ind w:firstLine="600"/>
        <w:rPr>
          <w:rFonts w:hAnsi="Times New Roman"/>
          <w:sz w:val="30"/>
          <w:szCs w:val="30"/>
        </w:rPr>
      </w:pPr>
      <w:r>
        <w:rPr>
          <w:rFonts w:hint="eastAsia" w:hAnsi="Times New Roman"/>
          <w:sz w:val="30"/>
          <w:szCs w:val="30"/>
        </w:rPr>
        <w:t>综合</w:t>
      </w:r>
      <w:r>
        <w:rPr>
          <w:rFonts w:hAnsi="Times New Roman"/>
          <w:sz w:val="30"/>
          <w:szCs w:val="30"/>
        </w:rPr>
        <w:t>业务平台</w:t>
      </w:r>
      <w:r>
        <w:rPr>
          <w:rFonts w:hint="eastAsia" w:hAnsi="Times New Roman"/>
          <w:sz w:val="30"/>
          <w:szCs w:val="30"/>
        </w:rPr>
        <w:t>指定交易及撤销指定交易的申报时间为每个交易日的9:15-9:25, 9:30-11:30，13:00-15:00。</w:t>
      </w:r>
    </w:p>
    <w:p w14:paraId="1FA41805">
      <w:pPr>
        <w:pStyle w:val="90"/>
        <w:spacing w:line="600" w:lineRule="exact"/>
        <w:ind w:firstLine="600"/>
        <w:rPr>
          <w:rFonts w:hAnsi="Times New Roman"/>
          <w:sz w:val="30"/>
          <w:szCs w:val="30"/>
        </w:rPr>
      </w:pPr>
      <w:r>
        <w:rPr>
          <w:rFonts w:hint="eastAsia" w:hAnsi="Times New Roman"/>
          <w:sz w:val="30"/>
          <w:szCs w:val="30"/>
        </w:rPr>
        <w:t>指定交易/撤销指定交易的申报要素如下：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1"/>
        <w:gridCol w:w="5291"/>
      </w:tblGrid>
      <w:tr w14:paraId="18EE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70EE8EF4">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申报要素</w:t>
            </w:r>
          </w:p>
        </w:tc>
        <w:tc>
          <w:tcPr>
            <w:tcW w:w="5291" w:type="dxa"/>
          </w:tcPr>
          <w:p w14:paraId="410FE72F">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要素说明</w:t>
            </w:r>
          </w:p>
        </w:tc>
      </w:tr>
      <w:tr w14:paraId="43A3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2BD4B88C">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申报类型</w:t>
            </w:r>
          </w:p>
        </w:tc>
        <w:tc>
          <w:tcPr>
            <w:tcW w:w="5291" w:type="dxa"/>
          </w:tcPr>
          <w:p w14:paraId="5C43693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指定交易申报</w:t>
            </w:r>
            <w:r>
              <w:rPr>
                <w:rFonts w:hAnsi="Times New Roman"/>
                <w:sz w:val="24"/>
                <w:szCs w:val="24"/>
              </w:rPr>
              <w:t>/撤销指定交易申报</w:t>
            </w:r>
          </w:p>
        </w:tc>
      </w:tr>
      <w:tr w14:paraId="65F8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07AA2C9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申报代码</w:t>
            </w:r>
          </w:p>
        </w:tc>
        <w:tc>
          <w:tcPr>
            <w:tcW w:w="5291" w:type="dxa"/>
          </w:tcPr>
          <w:p w14:paraId="35E133F3">
            <w:pPr>
              <w:pStyle w:val="90"/>
              <w:adjustRightInd w:val="0"/>
              <w:snapToGrid w:val="0"/>
              <w:spacing w:line="240" w:lineRule="auto"/>
              <w:ind w:firstLine="0" w:firstLineChars="0"/>
              <w:rPr>
                <w:rFonts w:hAnsi="Times New Roman"/>
                <w:sz w:val="24"/>
                <w:szCs w:val="24"/>
              </w:rPr>
            </w:pPr>
            <w:r>
              <w:rPr>
                <w:rFonts w:hAnsi="Times New Roman"/>
                <w:sz w:val="24"/>
                <w:szCs w:val="24"/>
              </w:rPr>
              <w:t>799999</w:t>
            </w:r>
            <w:r>
              <w:rPr>
                <w:rFonts w:hint="eastAsia" w:hAnsi="Times New Roman"/>
                <w:sz w:val="24"/>
                <w:szCs w:val="24"/>
              </w:rPr>
              <w:t>（指定交易申报）</w:t>
            </w:r>
            <w:r>
              <w:rPr>
                <w:rFonts w:hAnsi="Times New Roman"/>
                <w:sz w:val="24"/>
                <w:szCs w:val="24"/>
              </w:rPr>
              <w:t>/799998</w:t>
            </w:r>
            <w:r>
              <w:rPr>
                <w:rFonts w:hint="eastAsia" w:hAnsi="Times New Roman"/>
                <w:sz w:val="24"/>
                <w:szCs w:val="24"/>
              </w:rPr>
              <w:t>（撤销指定交易申报）</w:t>
            </w:r>
          </w:p>
        </w:tc>
      </w:tr>
      <w:tr w14:paraId="3E9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31" w:type="dxa"/>
          </w:tcPr>
          <w:p w14:paraId="7C9A7917">
            <w:pPr>
              <w:pStyle w:val="90"/>
              <w:adjustRightInd w:val="0"/>
              <w:snapToGrid w:val="0"/>
              <w:spacing w:line="240" w:lineRule="auto"/>
              <w:ind w:firstLine="0" w:firstLineChars="0"/>
              <w:rPr>
                <w:rFonts w:hAnsi="Times New Roman"/>
                <w:sz w:val="24"/>
                <w:szCs w:val="24"/>
              </w:rPr>
            </w:pPr>
            <w:r>
              <w:rPr>
                <w:rFonts w:hint="eastAsia" w:hAnsi="Times New Roman"/>
                <w:sz w:val="24"/>
                <w:szCs w:val="24"/>
              </w:rPr>
              <w:t>证券账户</w:t>
            </w:r>
          </w:p>
        </w:tc>
        <w:tc>
          <w:tcPr>
            <w:tcW w:w="5291" w:type="dxa"/>
          </w:tcPr>
          <w:p w14:paraId="3486621A">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办理指定交易手续的证券账户号码</w:t>
            </w:r>
          </w:p>
        </w:tc>
      </w:tr>
      <w:tr w14:paraId="3D48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6E488421">
            <w:pPr>
              <w:pStyle w:val="90"/>
              <w:adjustRightInd w:val="0"/>
              <w:snapToGrid w:val="0"/>
              <w:spacing w:line="240" w:lineRule="auto"/>
              <w:ind w:firstLine="0" w:firstLineChars="0"/>
              <w:rPr>
                <w:rFonts w:hAnsi="Times New Roman"/>
                <w:sz w:val="24"/>
                <w:szCs w:val="24"/>
              </w:rPr>
            </w:pPr>
            <w:r>
              <w:rPr>
                <w:rFonts w:hint="eastAsia" w:hAnsi="Times New Roman"/>
                <w:sz w:val="24"/>
                <w:szCs w:val="24"/>
              </w:rPr>
              <w:t>交易单元（</w:t>
            </w:r>
            <w:r>
              <w:rPr>
                <w:rFonts w:hAnsi="Times New Roman"/>
                <w:sz w:val="24"/>
                <w:szCs w:val="24"/>
              </w:rPr>
              <w:t>PBU</w:t>
            </w:r>
            <w:r>
              <w:rPr>
                <w:rFonts w:hint="eastAsia" w:hAnsi="Times New Roman"/>
                <w:sz w:val="24"/>
                <w:szCs w:val="24"/>
              </w:rPr>
              <w:t>）</w:t>
            </w:r>
          </w:p>
        </w:tc>
        <w:tc>
          <w:tcPr>
            <w:tcW w:w="5291" w:type="dxa"/>
          </w:tcPr>
          <w:p w14:paraId="2D2DBB36">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债券交易参与人的交易业务单元</w:t>
            </w:r>
          </w:p>
        </w:tc>
      </w:tr>
    </w:tbl>
    <w:p w14:paraId="46CDD4BB">
      <w:pPr>
        <w:pStyle w:val="90"/>
        <w:adjustRightInd w:val="0"/>
        <w:snapToGrid w:val="0"/>
        <w:spacing w:line="600" w:lineRule="exact"/>
        <w:ind w:firstLine="600"/>
        <w:rPr>
          <w:rFonts w:hAnsi="Times New Roman"/>
          <w:sz w:val="30"/>
          <w:szCs w:val="30"/>
        </w:rPr>
      </w:pPr>
      <w:r>
        <w:rPr>
          <w:rFonts w:hint="eastAsia" w:hAnsi="Times New Roman"/>
          <w:sz w:val="30"/>
          <w:szCs w:val="30"/>
        </w:rPr>
        <w:t>证券账户开立成功后次一交易日可进行指定交易申报。</w:t>
      </w:r>
    </w:p>
    <w:p w14:paraId="312E7568">
      <w:pPr>
        <w:pStyle w:val="90"/>
        <w:adjustRightInd w:val="0"/>
        <w:snapToGrid w:val="0"/>
        <w:spacing w:line="600" w:lineRule="exact"/>
        <w:ind w:firstLine="600"/>
        <w:rPr>
          <w:rFonts w:hAnsi="Times New Roman"/>
          <w:sz w:val="30"/>
          <w:szCs w:val="30"/>
        </w:rPr>
      </w:pPr>
      <w:r>
        <w:rPr>
          <w:rFonts w:hint="eastAsia" w:hAnsi="Times New Roman"/>
          <w:sz w:val="30"/>
          <w:szCs w:val="30"/>
        </w:rPr>
        <w:t>通过互联网交易平台申报指定登记、指定撤销业务生效时间与综业平台申报一致，市场参与者可以根据自身业务需要，选择使用（互联网交易平台</w:t>
      </w:r>
      <w:r>
        <w:rPr>
          <w:rFonts w:hAnsi="Times New Roman"/>
          <w:sz w:val="30"/>
          <w:szCs w:val="30"/>
        </w:rPr>
        <w:t>的</w:t>
      </w:r>
      <w:r>
        <w:rPr>
          <w:rFonts w:hint="eastAsia" w:hAnsi="Times New Roman"/>
          <w:sz w:val="30"/>
          <w:szCs w:val="30"/>
        </w:rPr>
        <w:t>申请</w:t>
      </w:r>
      <w:r>
        <w:rPr>
          <w:rFonts w:hAnsi="Times New Roman"/>
          <w:sz w:val="30"/>
          <w:szCs w:val="30"/>
        </w:rPr>
        <w:t>详见本指南</w:t>
      </w:r>
      <w:r>
        <w:rPr>
          <w:rFonts w:hint="eastAsia" w:hAnsi="Times New Roman"/>
          <w:sz w:val="30"/>
          <w:szCs w:val="30"/>
        </w:rPr>
        <w:t>9.7章节）</w:t>
      </w:r>
    </w:p>
    <w:p w14:paraId="51B36CD8">
      <w:pPr>
        <w:spacing w:line="600" w:lineRule="exact"/>
        <w:ind w:left="567"/>
        <w:outlineLvl w:val="3"/>
        <w:rPr>
          <w:rFonts w:ascii="仿宋_GB2312" w:eastAsia="仿宋_GB2312"/>
          <w:b/>
          <w:sz w:val="30"/>
          <w:szCs w:val="30"/>
        </w:rPr>
      </w:pPr>
      <w:r>
        <w:rPr>
          <w:rFonts w:hint="eastAsia" w:ascii="仿宋_GB2312" w:eastAsia="仿宋_GB2312"/>
          <w:b/>
          <w:sz w:val="30"/>
          <w:szCs w:val="30"/>
        </w:rPr>
        <w:t>（2）指定交易的变更和撤销</w:t>
      </w:r>
    </w:p>
    <w:p w14:paraId="0B92890A">
      <w:pPr>
        <w:pStyle w:val="90"/>
        <w:spacing w:line="600" w:lineRule="exact"/>
        <w:ind w:firstLine="600"/>
        <w:rPr>
          <w:rFonts w:hAnsi="Times New Roman"/>
          <w:sz w:val="30"/>
          <w:szCs w:val="30"/>
        </w:rPr>
      </w:pPr>
      <w:r>
        <w:rPr>
          <w:rFonts w:hint="eastAsia" w:hAnsi="Times New Roman"/>
          <w:sz w:val="30"/>
          <w:szCs w:val="30"/>
        </w:rPr>
        <w:t>已办理指定交易的证券账户，根据需要可以变更指定交易关系。</w:t>
      </w:r>
    </w:p>
    <w:p w14:paraId="6E7E3149">
      <w:pPr>
        <w:pStyle w:val="90"/>
        <w:spacing w:line="600" w:lineRule="exact"/>
        <w:ind w:firstLine="600"/>
        <w:rPr>
          <w:rFonts w:hAnsi="Times New Roman"/>
          <w:sz w:val="30"/>
          <w:szCs w:val="30"/>
        </w:rPr>
      </w:pPr>
      <w:r>
        <w:rPr>
          <w:rFonts w:hint="eastAsia" w:hAnsi="Times New Roman"/>
          <w:sz w:val="30"/>
          <w:szCs w:val="30"/>
        </w:rPr>
        <w:t>证券账户办理指定交易变更手续时，由原指定交易的债券交易参与人完成向本所提出撤销指定交易的申报。申报一经确认，其撤销即刻生效。</w:t>
      </w:r>
    </w:p>
    <w:p w14:paraId="1367F98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交易参与人应当严格落实</w:t>
      </w:r>
      <w:r>
        <w:rPr>
          <w:sz w:val="30"/>
          <w:szCs w:val="30"/>
        </w:rPr>
        <w:t>《</w:t>
      </w:r>
      <w:r>
        <w:rPr>
          <w:rFonts w:hint="eastAsia"/>
          <w:sz w:val="30"/>
          <w:szCs w:val="30"/>
        </w:rPr>
        <w:t>上海证券交易所指定交易实施细则</w:t>
      </w:r>
      <w:r>
        <w:rPr>
          <w:sz w:val="30"/>
          <w:szCs w:val="30"/>
        </w:rPr>
        <w:t>》</w:t>
      </w:r>
      <w:r>
        <w:rPr>
          <w:rFonts w:hint="eastAsia"/>
          <w:sz w:val="30"/>
          <w:szCs w:val="30"/>
        </w:rPr>
        <w:t>的</w:t>
      </w:r>
      <w:r>
        <w:rPr>
          <w:sz w:val="30"/>
          <w:szCs w:val="30"/>
        </w:rPr>
        <w:t>要求</w:t>
      </w:r>
      <w:r>
        <w:rPr>
          <w:rFonts w:hint="eastAsia"/>
          <w:sz w:val="30"/>
          <w:szCs w:val="30"/>
        </w:rPr>
        <w:t>，</w:t>
      </w:r>
      <w:r>
        <w:rPr>
          <w:rFonts w:hint="eastAsia" w:hAnsi="Times New Roman"/>
          <w:sz w:val="30"/>
          <w:szCs w:val="30"/>
        </w:rPr>
        <w:t>证券账户具有下列情形之一的，债券交易参与人不得为其申报撤销指定交易：</w:t>
      </w:r>
    </w:p>
    <w:p w14:paraId="28373B19">
      <w:pPr>
        <w:pStyle w:val="90"/>
        <w:spacing w:line="600" w:lineRule="exact"/>
        <w:ind w:firstLine="600"/>
        <w:rPr>
          <w:rFonts w:hAnsi="Times New Roman"/>
          <w:sz w:val="30"/>
          <w:szCs w:val="30"/>
        </w:rPr>
      </w:pPr>
      <w:r>
        <w:rPr>
          <w:rFonts w:hint="eastAsia" w:hAnsi="Times New Roman"/>
          <w:sz w:val="30"/>
          <w:szCs w:val="30"/>
        </w:rPr>
        <w:t>1）撤销当日有交易行为的；</w:t>
      </w:r>
    </w:p>
    <w:p w14:paraId="25345AD3">
      <w:pPr>
        <w:pStyle w:val="90"/>
        <w:spacing w:line="600" w:lineRule="exact"/>
        <w:ind w:firstLine="600"/>
        <w:rPr>
          <w:rFonts w:hAnsi="Times New Roman"/>
          <w:sz w:val="30"/>
          <w:szCs w:val="30"/>
        </w:rPr>
      </w:pPr>
      <w:r>
        <w:rPr>
          <w:rFonts w:hint="eastAsia" w:hAnsi="Times New Roman"/>
          <w:sz w:val="30"/>
          <w:szCs w:val="30"/>
        </w:rPr>
        <w:t>2）撤销当日有申报的；</w:t>
      </w:r>
    </w:p>
    <w:p w14:paraId="062216FF">
      <w:pPr>
        <w:pStyle w:val="90"/>
        <w:spacing w:line="600" w:lineRule="exact"/>
        <w:ind w:firstLine="600"/>
        <w:rPr>
          <w:rFonts w:hAnsi="Times New Roman"/>
          <w:sz w:val="30"/>
          <w:szCs w:val="30"/>
        </w:rPr>
      </w:pPr>
      <w:r>
        <w:rPr>
          <w:rFonts w:hint="eastAsia" w:hAnsi="Times New Roman"/>
          <w:sz w:val="30"/>
          <w:szCs w:val="30"/>
        </w:rPr>
        <w:t>3）新股申购未到期的；</w:t>
      </w:r>
    </w:p>
    <w:p w14:paraId="3AD2614B">
      <w:pPr>
        <w:pStyle w:val="90"/>
        <w:spacing w:line="600" w:lineRule="exact"/>
        <w:ind w:firstLine="600"/>
        <w:rPr>
          <w:rFonts w:hAnsi="Times New Roman"/>
          <w:sz w:val="30"/>
          <w:szCs w:val="30"/>
        </w:rPr>
      </w:pPr>
      <w:r>
        <w:rPr>
          <w:rFonts w:hint="eastAsia" w:hAnsi="Times New Roman"/>
          <w:sz w:val="30"/>
          <w:szCs w:val="30"/>
        </w:rPr>
        <w:t>4）因回购、借贷或其他事项未了结的；</w:t>
      </w:r>
    </w:p>
    <w:p w14:paraId="25DE1C41">
      <w:pPr>
        <w:pStyle w:val="90"/>
        <w:spacing w:line="600" w:lineRule="exact"/>
        <w:ind w:firstLine="600"/>
        <w:rPr>
          <w:rFonts w:hAnsi="Times New Roman"/>
          <w:sz w:val="30"/>
          <w:szCs w:val="30"/>
        </w:rPr>
      </w:pPr>
      <w:r>
        <w:rPr>
          <w:rFonts w:hint="eastAsia" w:hAnsi="Times New Roman"/>
          <w:sz w:val="30"/>
          <w:szCs w:val="30"/>
        </w:rPr>
        <w:t>5）相关机构未允许撤销的。</w:t>
      </w:r>
    </w:p>
    <w:p w14:paraId="390911AB">
      <w:pPr>
        <w:pStyle w:val="90"/>
        <w:spacing w:line="600" w:lineRule="exact"/>
        <w:ind w:firstLine="600"/>
        <w:rPr>
          <w:rFonts w:hAnsi="Times New Roman"/>
          <w:sz w:val="30"/>
          <w:szCs w:val="30"/>
        </w:rPr>
      </w:pPr>
      <w:r>
        <w:rPr>
          <w:rFonts w:hint="eastAsia" w:hAnsi="Times New Roman"/>
          <w:sz w:val="30"/>
          <w:szCs w:val="30"/>
        </w:rPr>
        <w:t>撤销指定交易的证券账户，在撤销指定交易的手续办妥后，须另行选择一个交易单元重新办理指定交易申请后，方可进行交易。</w:t>
      </w:r>
    </w:p>
    <w:p w14:paraId="5BCE01C9">
      <w:pPr>
        <w:pStyle w:val="90"/>
        <w:spacing w:line="600" w:lineRule="exact"/>
        <w:ind w:firstLine="602"/>
        <w:rPr>
          <w:rFonts w:hAnsi="Times New Roman"/>
          <w:sz w:val="30"/>
          <w:szCs w:val="30"/>
        </w:rPr>
      </w:pPr>
      <w:r>
        <w:rPr>
          <w:rFonts w:hint="eastAsia"/>
          <w:b/>
          <w:sz w:val="30"/>
          <w:szCs w:val="30"/>
        </w:rPr>
        <w:t>（</w:t>
      </w:r>
      <w:r>
        <w:rPr>
          <w:b/>
          <w:sz w:val="30"/>
          <w:szCs w:val="30"/>
        </w:rPr>
        <w:t>3</w:t>
      </w:r>
      <w:r>
        <w:rPr>
          <w:rFonts w:hint="eastAsia"/>
          <w:b/>
          <w:sz w:val="30"/>
          <w:szCs w:val="30"/>
        </w:rPr>
        <w:t>）</w:t>
      </w:r>
      <w:r>
        <w:rPr>
          <w:rFonts w:hint="eastAsia" w:hAnsi="Times New Roman"/>
          <w:b/>
          <w:sz w:val="30"/>
          <w:szCs w:val="30"/>
        </w:rPr>
        <w:t>指定交易生效</w:t>
      </w:r>
    </w:p>
    <w:p w14:paraId="14A3254F">
      <w:pPr>
        <w:pStyle w:val="90"/>
        <w:adjustRightInd w:val="0"/>
        <w:snapToGrid w:val="0"/>
        <w:spacing w:line="600" w:lineRule="exact"/>
        <w:ind w:firstLine="600"/>
        <w:rPr>
          <w:rFonts w:hAnsi="Times New Roman"/>
          <w:sz w:val="30"/>
          <w:szCs w:val="30"/>
        </w:rPr>
      </w:pPr>
      <w:r>
        <w:rPr>
          <w:rFonts w:hint="eastAsia" w:hAnsi="Times New Roman"/>
          <w:sz w:val="30"/>
          <w:szCs w:val="30"/>
        </w:rPr>
        <w:t>新债券交易</w:t>
      </w:r>
      <w:r>
        <w:rPr>
          <w:rFonts w:hAnsi="Times New Roman"/>
          <w:sz w:val="30"/>
          <w:szCs w:val="30"/>
        </w:rPr>
        <w:t>系统</w:t>
      </w:r>
      <w:r>
        <w:rPr>
          <w:rFonts w:hint="eastAsia" w:hAnsi="Times New Roman"/>
          <w:sz w:val="30"/>
          <w:szCs w:val="30"/>
        </w:rPr>
        <w:t>的</w:t>
      </w:r>
      <w:r>
        <w:rPr>
          <w:rFonts w:hAnsi="Times New Roman"/>
          <w:sz w:val="30"/>
          <w:szCs w:val="30"/>
        </w:rPr>
        <w:t>债券交易业务</w:t>
      </w:r>
      <w:r>
        <w:rPr>
          <w:rFonts w:hint="eastAsia" w:hAnsi="Times New Roman"/>
          <w:sz w:val="30"/>
          <w:szCs w:val="30"/>
        </w:rPr>
        <w:t>和综合</w:t>
      </w:r>
      <w:r>
        <w:rPr>
          <w:rFonts w:hAnsi="Times New Roman"/>
          <w:sz w:val="30"/>
          <w:szCs w:val="30"/>
        </w:rPr>
        <w:t>业务平台</w:t>
      </w:r>
      <w:r>
        <w:rPr>
          <w:rFonts w:hint="eastAsia" w:hAnsi="Times New Roman"/>
          <w:sz w:val="30"/>
          <w:szCs w:val="30"/>
        </w:rPr>
        <w:t>的</w:t>
      </w:r>
      <w:r>
        <w:rPr>
          <w:rFonts w:hAnsi="Times New Roman"/>
          <w:sz w:val="30"/>
          <w:szCs w:val="30"/>
        </w:rPr>
        <w:t>债券非交易业务</w:t>
      </w:r>
      <w:r>
        <w:rPr>
          <w:rFonts w:hint="eastAsia" w:hAnsi="Times New Roman"/>
          <w:sz w:val="30"/>
          <w:szCs w:val="30"/>
        </w:rPr>
        <w:t>均采用实时指定关系</w:t>
      </w:r>
      <w:r>
        <w:rPr>
          <w:rFonts w:hAnsi="Times New Roman"/>
          <w:sz w:val="30"/>
          <w:szCs w:val="30"/>
        </w:rPr>
        <w:t>，</w:t>
      </w:r>
      <w:r>
        <w:rPr>
          <w:rFonts w:hint="eastAsia" w:hAnsi="Times New Roman"/>
          <w:sz w:val="30"/>
          <w:szCs w:val="30"/>
        </w:rPr>
        <w:t>新指定及变更指定交易关系</w:t>
      </w:r>
      <w:r>
        <w:rPr>
          <w:rFonts w:hAnsi="Times New Roman"/>
          <w:sz w:val="30"/>
          <w:szCs w:val="30"/>
        </w:rPr>
        <w:t>后实时可以申报</w:t>
      </w:r>
      <w:r>
        <w:rPr>
          <w:rFonts w:hint="eastAsia" w:hAnsi="Times New Roman"/>
          <w:sz w:val="30"/>
          <w:szCs w:val="30"/>
        </w:rPr>
        <w:t>业务</w:t>
      </w:r>
      <w:r>
        <w:rPr>
          <w:rFonts w:hAnsi="Times New Roman"/>
          <w:sz w:val="30"/>
          <w:szCs w:val="30"/>
        </w:rPr>
        <w:t>。</w:t>
      </w:r>
    </w:p>
    <w:p w14:paraId="5641D16E">
      <w:pPr>
        <w:pStyle w:val="90"/>
        <w:adjustRightInd w:val="0"/>
        <w:snapToGrid w:val="0"/>
        <w:spacing w:line="600" w:lineRule="exact"/>
        <w:ind w:firstLine="600"/>
        <w:rPr>
          <w:rFonts w:hAnsi="Times New Roman"/>
          <w:sz w:val="30"/>
          <w:szCs w:val="30"/>
        </w:rPr>
      </w:pPr>
      <w:r>
        <w:rPr>
          <w:rFonts w:hAnsi="Times New Roman"/>
          <w:sz w:val="30"/>
          <w:szCs w:val="30"/>
        </w:rPr>
        <w:t>固定收益平台</w:t>
      </w:r>
      <w:r>
        <w:rPr>
          <w:rFonts w:hint="eastAsia" w:hAnsi="Times New Roman"/>
          <w:sz w:val="30"/>
          <w:szCs w:val="30"/>
        </w:rPr>
        <w:t>、互联网交易平台的债券</w:t>
      </w:r>
      <w:r>
        <w:rPr>
          <w:rFonts w:hAnsi="Times New Roman"/>
          <w:sz w:val="30"/>
          <w:szCs w:val="30"/>
        </w:rPr>
        <w:t>交易业务</w:t>
      </w:r>
      <w:r>
        <w:rPr>
          <w:rFonts w:hint="eastAsia" w:hAnsi="Times New Roman"/>
          <w:sz w:val="30"/>
          <w:szCs w:val="30"/>
        </w:rPr>
        <w:t>及非交易业务</w:t>
      </w:r>
      <w:r>
        <w:rPr>
          <w:rFonts w:hAnsi="Times New Roman"/>
          <w:sz w:val="30"/>
          <w:szCs w:val="30"/>
        </w:rPr>
        <w:t>采用</w:t>
      </w:r>
      <w:r>
        <w:rPr>
          <w:rFonts w:hint="eastAsia" w:hAnsi="Times New Roman"/>
          <w:sz w:val="30"/>
          <w:szCs w:val="30"/>
        </w:rPr>
        <w:t>上一个</w:t>
      </w:r>
      <w:r>
        <w:rPr>
          <w:rFonts w:hAnsi="Times New Roman"/>
          <w:sz w:val="30"/>
          <w:szCs w:val="30"/>
        </w:rPr>
        <w:t>交易日</w:t>
      </w:r>
      <w:r>
        <w:rPr>
          <w:rFonts w:hint="eastAsia" w:hAnsi="Times New Roman"/>
          <w:sz w:val="30"/>
          <w:szCs w:val="30"/>
        </w:rPr>
        <w:t>（</w:t>
      </w:r>
      <w:r>
        <w:rPr>
          <w:rFonts w:hAnsi="Times New Roman"/>
          <w:sz w:val="30"/>
          <w:szCs w:val="30"/>
        </w:rPr>
        <w:t>T-1</w:t>
      </w:r>
      <w:r>
        <w:rPr>
          <w:rFonts w:hint="eastAsia" w:hAnsi="Times New Roman"/>
          <w:sz w:val="30"/>
          <w:szCs w:val="30"/>
        </w:rPr>
        <w:t>日）</w:t>
      </w:r>
      <w:r>
        <w:rPr>
          <w:rFonts w:hAnsi="Times New Roman"/>
          <w:sz w:val="30"/>
          <w:szCs w:val="30"/>
        </w:rPr>
        <w:t>的</w:t>
      </w:r>
      <w:r>
        <w:rPr>
          <w:rFonts w:hint="eastAsia" w:hAnsi="Times New Roman"/>
          <w:sz w:val="30"/>
          <w:szCs w:val="30"/>
        </w:rPr>
        <w:t>指定交易关系，新开立及变更指定交易的证券账户在</w:t>
      </w:r>
      <w:r>
        <w:rPr>
          <w:rFonts w:hAnsi="Times New Roman"/>
          <w:sz w:val="30"/>
          <w:szCs w:val="30"/>
        </w:rPr>
        <w:t>办理</w:t>
      </w:r>
      <w:r>
        <w:rPr>
          <w:rFonts w:hint="eastAsia" w:hAnsi="Times New Roman"/>
          <w:sz w:val="30"/>
          <w:szCs w:val="30"/>
        </w:rPr>
        <w:t>或变更</w:t>
      </w:r>
      <w:r>
        <w:rPr>
          <w:rFonts w:hAnsi="Times New Roman"/>
          <w:sz w:val="30"/>
          <w:szCs w:val="30"/>
        </w:rPr>
        <w:t>指定交易后</w:t>
      </w:r>
      <w:r>
        <w:rPr>
          <w:rFonts w:hint="eastAsia" w:hAnsi="Times New Roman"/>
          <w:sz w:val="30"/>
          <w:szCs w:val="30"/>
        </w:rPr>
        <w:t>的</w:t>
      </w:r>
      <w:r>
        <w:rPr>
          <w:rFonts w:hAnsi="Times New Roman"/>
          <w:sz w:val="30"/>
          <w:szCs w:val="30"/>
        </w:rPr>
        <w:t>次一</w:t>
      </w:r>
      <w:r>
        <w:rPr>
          <w:rFonts w:hint="eastAsia" w:hAnsi="Times New Roman"/>
          <w:sz w:val="30"/>
          <w:szCs w:val="30"/>
        </w:rPr>
        <w:t>交易</w:t>
      </w:r>
      <w:r>
        <w:rPr>
          <w:rFonts w:hAnsi="Times New Roman"/>
          <w:sz w:val="30"/>
          <w:szCs w:val="30"/>
        </w:rPr>
        <w:t>日</w:t>
      </w:r>
      <w:r>
        <w:rPr>
          <w:rFonts w:hint="eastAsia" w:hAnsi="Times New Roman"/>
          <w:sz w:val="30"/>
          <w:szCs w:val="30"/>
        </w:rPr>
        <w:t>生效</w:t>
      </w:r>
      <w:r>
        <w:rPr>
          <w:rFonts w:hAnsi="Times New Roman"/>
          <w:sz w:val="30"/>
          <w:szCs w:val="30"/>
        </w:rPr>
        <w:t>。</w:t>
      </w:r>
      <w:r>
        <w:rPr>
          <w:rFonts w:hint="eastAsia" w:hAnsi="Times New Roman"/>
          <w:sz w:val="30"/>
          <w:szCs w:val="30"/>
        </w:rPr>
        <w:t>当日新开设的证券账户以及撤销或变更指定交易的证券账户，当日不得在固定收益平台、互联网交易平台开展债券交易申报及</w:t>
      </w:r>
      <w:r>
        <w:rPr>
          <w:rFonts w:hAnsi="Times New Roman"/>
          <w:sz w:val="30"/>
          <w:szCs w:val="30"/>
        </w:rPr>
        <w:t>非交易申报</w:t>
      </w:r>
      <w:r>
        <w:rPr>
          <w:rFonts w:hint="eastAsia" w:hAnsi="Times New Roman"/>
          <w:sz w:val="30"/>
          <w:szCs w:val="30"/>
        </w:rPr>
        <w:t>，指定交易生效后方可申报</w:t>
      </w:r>
      <w:r>
        <w:rPr>
          <w:rFonts w:hAnsi="Times New Roman"/>
          <w:sz w:val="30"/>
          <w:szCs w:val="30"/>
        </w:rPr>
        <w:t>。</w:t>
      </w:r>
    </w:p>
    <w:p w14:paraId="5B1C349E">
      <w:pPr>
        <w:numPr>
          <w:ilvl w:val="1"/>
          <w:numId w:val="4"/>
        </w:numPr>
        <w:spacing w:line="600" w:lineRule="exact"/>
        <w:ind w:left="0" w:firstLine="0"/>
        <w:outlineLvl w:val="1"/>
        <w:rPr>
          <w:rFonts w:ascii="仿宋_GB2312" w:eastAsia="仿宋_GB2312"/>
          <w:b/>
          <w:sz w:val="30"/>
          <w:szCs w:val="30"/>
        </w:rPr>
      </w:pPr>
      <w:bookmarkStart w:id="231" w:name="_Toc59181286"/>
      <w:bookmarkEnd w:id="231"/>
      <w:bookmarkStart w:id="232" w:name="_Toc59034078"/>
      <w:bookmarkEnd w:id="232"/>
      <w:bookmarkStart w:id="233" w:name="_Toc59181063"/>
      <w:bookmarkEnd w:id="233"/>
      <w:bookmarkStart w:id="234" w:name="_Toc59181174"/>
      <w:bookmarkEnd w:id="234"/>
      <w:bookmarkStart w:id="235" w:name="_Toc59181062"/>
      <w:bookmarkEnd w:id="235"/>
      <w:bookmarkStart w:id="236" w:name="_Toc59034557"/>
      <w:bookmarkEnd w:id="236"/>
      <w:bookmarkStart w:id="237" w:name="_Toc59034556"/>
      <w:bookmarkEnd w:id="237"/>
      <w:bookmarkStart w:id="238" w:name="_Toc60331838"/>
      <w:bookmarkEnd w:id="238"/>
      <w:bookmarkStart w:id="239" w:name="_Toc57908880"/>
      <w:bookmarkEnd w:id="239"/>
      <w:bookmarkStart w:id="240" w:name="_Toc59034077"/>
      <w:bookmarkEnd w:id="240"/>
      <w:bookmarkStart w:id="241" w:name="_Toc59181175"/>
      <w:bookmarkEnd w:id="241"/>
      <w:bookmarkStart w:id="242" w:name="_Toc59181287"/>
      <w:bookmarkEnd w:id="242"/>
      <w:bookmarkStart w:id="243" w:name="_Toc60331837"/>
      <w:bookmarkEnd w:id="243"/>
      <w:bookmarkStart w:id="244" w:name="_Toc60327080"/>
      <w:bookmarkEnd w:id="244"/>
      <w:bookmarkStart w:id="245" w:name="_Toc59106961"/>
      <w:bookmarkEnd w:id="245"/>
      <w:bookmarkStart w:id="246" w:name="_Toc60327081"/>
      <w:bookmarkEnd w:id="246"/>
      <w:bookmarkStart w:id="247" w:name="_Toc59106960"/>
      <w:bookmarkEnd w:id="247"/>
      <w:bookmarkStart w:id="248" w:name="_Toc57908881"/>
      <w:bookmarkEnd w:id="248"/>
      <w:bookmarkStart w:id="249" w:name="_Toc151136892"/>
      <w:bookmarkStart w:id="250" w:name="_Toc56166074"/>
      <w:bookmarkStart w:id="251" w:name="_Toc56166263"/>
      <w:r>
        <w:rPr>
          <w:rFonts w:hint="eastAsia" w:ascii="仿宋_GB2312" w:eastAsia="仿宋_GB2312"/>
          <w:b/>
          <w:sz w:val="30"/>
          <w:szCs w:val="30"/>
        </w:rPr>
        <w:t>交易</w:t>
      </w:r>
      <w:r>
        <w:rPr>
          <w:rFonts w:ascii="仿宋_GB2312" w:eastAsia="仿宋_GB2312"/>
          <w:b/>
          <w:sz w:val="30"/>
          <w:szCs w:val="30"/>
        </w:rPr>
        <w:t>对手</w:t>
      </w:r>
      <w:bookmarkEnd w:id="249"/>
    </w:p>
    <w:p w14:paraId="549EC16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交易对手范围</w:t>
      </w:r>
    </w:p>
    <w:p w14:paraId="368057B9">
      <w:pPr>
        <w:pStyle w:val="90"/>
        <w:spacing w:line="600" w:lineRule="exact"/>
        <w:ind w:firstLine="600"/>
        <w:rPr>
          <w:rFonts w:hAnsi="Times New Roman"/>
          <w:sz w:val="30"/>
          <w:szCs w:val="30"/>
        </w:rPr>
      </w:pPr>
      <w:r>
        <w:rPr>
          <w:rFonts w:hint="eastAsia" w:hAnsi="Times New Roman"/>
          <w:sz w:val="30"/>
          <w:szCs w:val="30"/>
        </w:rPr>
        <w:t>采用逐笔全额结算方式的债券交易，债券投资者可以通过固定收益平台以“黑名单”</w:t>
      </w:r>
      <w:r>
        <w:rPr>
          <w:rFonts w:hAnsi="Times New Roman"/>
          <w:sz w:val="30"/>
          <w:szCs w:val="30"/>
        </w:rPr>
        <w:t>形式</w:t>
      </w:r>
      <w:r>
        <w:rPr>
          <w:rFonts w:hint="eastAsia" w:hAnsi="Times New Roman"/>
          <w:sz w:val="30"/>
          <w:szCs w:val="30"/>
        </w:rPr>
        <w:t>设置交易对手范围，即授信</w:t>
      </w:r>
      <w:r>
        <w:rPr>
          <w:rFonts w:hAnsi="Times New Roman"/>
          <w:sz w:val="30"/>
          <w:szCs w:val="30"/>
        </w:rPr>
        <w:t>关注名单</w:t>
      </w:r>
      <w:r>
        <w:rPr>
          <w:rFonts w:hint="eastAsia" w:hAnsi="Times New Roman"/>
          <w:sz w:val="30"/>
          <w:szCs w:val="30"/>
        </w:rPr>
        <w:t>。交易一方被列入授信</w:t>
      </w:r>
      <w:r>
        <w:rPr>
          <w:rFonts w:hAnsi="Times New Roman"/>
          <w:sz w:val="30"/>
          <w:szCs w:val="30"/>
        </w:rPr>
        <w:t>关注名单的</w:t>
      </w:r>
      <w:r>
        <w:rPr>
          <w:rFonts w:hint="eastAsia" w:hAnsi="Times New Roman"/>
          <w:sz w:val="30"/>
          <w:szCs w:val="30"/>
        </w:rPr>
        <w:t>，本所不予确认成交。</w:t>
      </w:r>
    </w:p>
    <w:p w14:paraId="00988FBA">
      <w:pPr>
        <w:pStyle w:val="90"/>
        <w:spacing w:line="600" w:lineRule="exact"/>
        <w:ind w:firstLine="600"/>
        <w:rPr>
          <w:rFonts w:hAnsi="Times New Roman"/>
          <w:sz w:val="30"/>
          <w:szCs w:val="30"/>
        </w:rPr>
      </w:pPr>
      <w:r>
        <w:rPr>
          <w:rFonts w:hint="eastAsia" w:hAnsi="Times New Roman"/>
          <w:sz w:val="30"/>
          <w:szCs w:val="30"/>
        </w:rPr>
        <w:t>初始</w:t>
      </w:r>
      <w:r>
        <w:rPr>
          <w:rFonts w:hAnsi="Times New Roman"/>
          <w:sz w:val="30"/>
          <w:szCs w:val="30"/>
        </w:rPr>
        <w:t>状态下</w:t>
      </w:r>
      <w:r>
        <w:rPr>
          <w:rFonts w:hint="eastAsia" w:hAnsi="Times New Roman"/>
          <w:sz w:val="30"/>
          <w:szCs w:val="30"/>
        </w:rPr>
        <w:t>，授信关注名单为空。授信关注名单仅能由债券交易参与人的首席交易员进行维护。</w:t>
      </w:r>
    </w:p>
    <w:p w14:paraId="47BB7C3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交易对手寻找</w:t>
      </w:r>
    </w:p>
    <w:p w14:paraId="62E0EAEC">
      <w:pPr>
        <w:pStyle w:val="90"/>
        <w:spacing w:line="600" w:lineRule="exact"/>
        <w:ind w:firstLine="600"/>
        <w:rPr>
          <w:rFonts w:hAnsi="Times New Roman"/>
          <w:sz w:val="30"/>
          <w:szCs w:val="30"/>
        </w:rPr>
      </w:pPr>
      <w:r>
        <w:rPr>
          <w:rFonts w:hint="eastAsia" w:hAnsi="Times New Roman"/>
          <w:sz w:val="30"/>
          <w:szCs w:val="30"/>
        </w:rPr>
        <w:t>本所债券市场的机构投资者可以自行</w:t>
      </w:r>
      <w:r>
        <w:rPr>
          <w:rFonts w:hAnsi="Times New Roman"/>
          <w:sz w:val="30"/>
          <w:szCs w:val="30"/>
        </w:rPr>
        <w:t>寻找交易对手</w:t>
      </w:r>
      <w:r>
        <w:rPr>
          <w:rFonts w:hint="eastAsia" w:hAnsi="Times New Roman"/>
          <w:sz w:val="30"/>
          <w:szCs w:val="30"/>
        </w:rPr>
        <w:t>；或者委托经银行业监督管理部门批准成立的货币经纪公司，为其交易或转让在本所上市或挂牌的债券（含资产支持证券）、债券回购、债券衍生品以及其他相关品种提供居间服务。</w:t>
      </w:r>
    </w:p>
    <w:p w14:paraId="706C4972">
      <w:pPr>
        <w:pStyle w:val="90"/>
        <w:spacing w:line="600" w:lineRule="exact"/>
        <w:ind w:firstLine="600"/>
        <w:rPr>
          <w:rFonts w:hAnsi="Times New Roman"/>
          <w:sz w:val="30"/>
          <w:szCs w:val="30"/>
        </w:rPr>
      </w:pPr>
      <w:r>
        <w:rPr>
          <w:rFonts w:hint="eastAsia" w:hAnsi="Times New Roman"/>
          <w:sz w:val="30"/>
          <w:szCs w:val="30"/>
        </w:rPr>
        <w:t>债券投资者通过货币经纪公司达成交易意向后，应当由交易双方通过本所系统进行成交申报，经本所确认后成交。货币经纪公司不得从事或变相从事代理买卖或交易资金结算业务。</w:t>
      </w:r>
    </w:p>
    <w:p w14:paraId="64F0A2CE">
      <w:pPr>
        <w:pStyle w:val="90"/>
        <w:spacing w:line="600" w:lineRule="exact"/>
        <w:ind w:firstLine="600"/>
        <w:rPr>
          <w:rFonts w:hAnsi="Times New Roman"/>
          <w:sz w:val="30"/>
          <w:szCs w:val="30"/>
        </w:rPr>
      </w:pPr>
      <w:r>
        <w:rPr>
          <w:rFonts w:hint="eastAsia" w:hAnsi="Times New Roman"/>
          <w:sz w:val="30"/>
          <w:szCs w:val="30"/>
        </w:rPr>
        <w:t>货币经纪公司应当严格管理居间服务信息，妥善保存委托记录和交易记录，定期向本所提交相关统计信息。</w:t>
      </w:r>
    </w:p>
    <w:p w14:paraId="3951CCE7">
      <w:pPr>
        <w:pStyle w:val="90"/>
        <w:spacing w:line="600" w:lineRule="exact"/>
        <w:ind w:firstLineChars="0"/>
        <w:rPr>
          <w:rFonts w:hAnsi="Times New Roman"/>
          <w:sz w:val="30"/>
          <w:szCs w:val="30"/>
        </w:rPr>
      </w:pPr>
      <w:r>
        <w:rPr>
          <w:rFonts w:hint="eastAsia" w:hAnsi="Times New Roman"/>
          <w:sz w:val="30"/>
          <w:szCs w:val="30"/>
        </w:rPr>
        <w:t>货币经纪公司提供居间服务应当遵循公正、公平、诚实守信、为客户保密的原则，遵守相关法律、法规、规章和本所债券市场业务规则，建立有效的内部风险控制制度和技术系统。</w:t>
      </w:r>
    </w:p>
    <w:p w14:paraId="73A04430">
      <w:pPr>
        <w:numPr>
          <w:ilvl w:val="1"/>
          <w:numId w:val="4"/>
        </w:numPr>
        <w:spacing w:line="600" w:lineRule="exact"/>
        <w:ind w:left="0" w:firstLine="0"/>
        <w:outlineLvl w:val="1"/>
        <w:rPr>
          <w:rFonts w:ascii="仿宋_GB2312" w:eastAsia="仿宋_GB2312"/>
          <w:b/>
          <w:sz w:val="30"/>
          <w:szCs w:val="30"/>
        </w:rPr>
      </w:pPr>
      <w:bookmarkStart w:id="252" w:name="_Toc151136893"/>
      <w:r>
        <w:rPr>
          <w:rFonts w:hint="eastAsia" w:ascii="仿宋_GB2312" w:eastAsia="仿宋_GB2312"/>
          <w:b/>
          <w:sz w:val="30"/>
          <w:szCs w:val="30"/>
        </w:rPr>
        <w:t>交易前端控制</w:t>
      </w:r>
      <w:bookmarkEnd w:id="250"/>
      <w:bookmarkEnd w:id="251"/>
      <w:bookmarkEnd w:id="252"/>
    </w:p>
    <w:p w14:paraId="5CD773D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资金前端控制</w:t>
      </w:r>
    </w:p>
    <w:p w14:paraId="61B13ECC">
      <w:pPr>
        <w:spacing w:line="600" w:lineRule="exact"/>
        <w:ind w:left="567"/>
        <w:outlineLvl w:val="3"/>
        <w:rPr>
          <w:rFonts w:ascii="仿宋_GB2312" w:eastAsia="仿宋_GB2312"/>
          <w:b/>
          <w:sz w:val="30"/>
          <w:szCs w:val="30"/>
        </w:rPr>
      </w:pPr>
      <w:r>
        <w:rPr>
          <w:rFonts w:hint="eastAsia" w:ascii="仿宋_GB2312" w:eastAsia="仿宋_GB2312"/>
          <w:b/>
          <w:sz w:val="30"/>
          <w:szCs w:val="30"/>
        </w:rPr>
        <w:t>（1）资金前端控制定义</w:t>
      </w:r>
    </w:p>
    <w:p w14:paraId="03AC3E9B">
      <w:pPr>
        <w:pStyle w:val="90"/>
        <w:spacing w:line="600" w:lineRule="exact"/>
        <w:ind w:firstLine="600"/>
        <w:rPr>
          <w:rFonts w:hAnsi="Times New Roman"/>
          <w:sz w:val="30"/>
          <w:szCs w:val="30"/>
        </w:rPr>
      </w:pPr>
      <w:r>
        <w:rPr>
          <w:rFonts w:hint="eastAsia" w:hAnsi="Times New Roman"/>
          <w:sz w:val="30"/>
          <w:szCs w:val="30"/>
        </w:rPr>
        <w:t>本指南所称资金前端控制，是指本所、结算登记机构对债券交易参与人交易单元全天净买入申报金额总量实施额度管理，并通过本所对债券交易参与人实施前端控制的制度。</w:t>
      </w:r>
    </w:p>
    <w:p w14:paraId="30235248">
      <w:pPr>
        <w:pStyle w:val="90"/>
        <w:spacing w:line="600" w:lineRule="exact"/>
        <w:ind w:firstLine="600"/>
        <w:rPr>
          <w:rFonts w:hAnsi="Times New Roman"/>
          <w:sz w:val="30"/>
          <w:szCs w:val="30"/>
        </w:rPr>
      </w:pPr>
      <w:r>
        <w:rPr>
          <w:rFonts w:hint="eastAsia" w:hAnsi="Times New Roman"/>
          <w:sz w:val="30"/>
          <w:szCs w:val="30"/>
        </w:rPr>
        <w:t>资金前端控制的意义在于在</w:t>
      </w:r>
      <w:r>
        <w:rPr>
          <w:rFonts w:hAnsi="Times New Roman"/>
          <w:sz w:val="30"/>
          <w:szCs w:val="30"/>
        </w:rPr>
        <w:t>净额担保交收制度安排下，</w:t>
      </w:r>
      <w:r>
        <w:rPr>
          <w:rFonts w:hint="eastAsia" w:hAnsi="Times New Roman"/>
          <w:sz w:val="30"/>
          <w:szCs w:val="30"/>
        </w:rPr>
        <w:t>通过事前申报拟用资金额度的方式来预防风险，一定程度上避免重大人为差错、参与人</w:t>
      </w:r>
      <w:r>
        <w:rPr>
          <w:rFonts w:hAnsi="Times New Roman"/>
          <w:sz w:val="30"/>
          <w:szCs w:val="30"/>
        </w:rPr>
        <w:t>技术系统故障</w:t>
      </w:r>
      <w:r>
        <w:rPr>
          <w:rFonts w:hint="eastAsia" w:hAnsi="Times New Roman"/>
          <w:sz w:val="30"/>
          <w:szCs w:val="30"/>
        </w:rPr>
        <w:t>等突发性事件给市场带来的极端冲击。</w:t>
      </w:r>
    </w:p>
    <w:p w14:paraId="3F69F3B8">
      <w:pPr>
        <w:spacing w:line="600" w:lineRule="exact"/>
        <w:ind w:left="567"/>
        <w:outlineLvl w:val="3"/>
        <w:rPr>
          <w:rFonts w:ascii="仿宋_GB2312" w:eastAsia="仿宋_GB2312"/>
          <w:b/>
          <w:sz w:val="30"/>
          <w:szCs w:val="30"/>
        </w:rPr>
      </w:pPr>
      <w:r>
        <w:rPr>
          <w:rFonts w:hint="eastAsia" w:ascii="仿宋_GB2312" w:eastAsia="仿宋_GB2312"/>
          <w:b/>
          <w:sz w:val="30"/>
          <w:szCs w:val="30"/>
        </w:rPr>
        <w:t>（2）资金前端控制范围</w:t>
      </w:r>
    </w:p>
    <w:p w14:paraId="43EC765C">
      <w:pPr>
        <w:pStyle w:val="90"/>
        <w:spacing w:line="600" w:lineRule="exact"/>
        <w:ind w:firstLine="600"/>
        <w:rPr>
          <w:rFonts w:hAnsi="Times New Roman"/>
          <w:sz w:val="30"/>
          <w:szCs w:val="30"/>
        </w:rPr>
      </w:pPr>
      <w:r>
        <w:rPr>
          <w:rFonts w:hint="eastAsia" w:hAnsi="Times New Roman"/>
          <w:sz w:val="30"/>
          <w:szCs w:val="30"/>
        </w:rPr>
        <w:t>本所将实施匹配成交且采用多边净额结算方式的现券交易及通用回购交易纳入资金前端控制实施范围。</w:t>
      </w:r>
    </w:p>
    <w:p w14:paraId="2BAFCD1A">
      <w:pPr>
        <w:pStyle w:val="90"/>
        <w:adjustRightInd w:val="0"/>
        <w:snapToGrid w:val="0"/>
        <w:spacing w:line="600" w:lineRule="exact"/>
        <w:ind w:firstLine="600"/>
        <w:rPr>
          <w:rFonts w:hAnsi="Times New Roman"/>
          <w:sz w:val="30"/>
          <w:szCs w:val="30"/>
        </w:rPr>
      </w:pPr>
      <w:r>
        <w:rPr>
          <w:rFonts w:hint="eastAsia" w:hAnsi="Times New Roman"/>
          <w:sz w:val="30"/>
          <w:szCs w:val="30"/>
        </w:rPr>
        <w:t>1）最高额度</w:t>
      </w:r>
    </w:p>
    <w:p w14:paraId="37E82C5B">
      <w:pPr>
        <w:pStyle w:val="90"/>
        <w:adjustRightInd w:val="0"/>
        <w:snapToGrid w:val="0"/>
        <w:spacing w:line="600" w:lineRule="exact"/>
        <w:ind w:firstLine="600"/>
        <w:rPr>
          <w:rFonts w:hAnsi="Times New Roman"/>
          <w:sz w:val="30"/>
          <w:szCs w:val="30"/>
        </w:rPr>
      </w:pPr>
      <w:r>
        <w:rPr>
          <w:rFonts w:hint="eastAsia" w:hAnsi="Times New Roman"/>
          <w:sz w:val="30"/>
          <w:szCs w:val="30"/>
        </w:rPr>
        <w:t>债券交易参与人通过其结算参与人向登记结算机构申报最高额度，最高额度是关联交易单元全天净买入申报金额的最高上限。登记结算机构于当日日终将最高额度信息发送本所，本所技术系统根据登记结算机构发送的最高额度等信息，对关联交易单元设置最高额度。</w:t>
      </w:r>
    </w:p>
    <w:p w14:paraId="290E7666">
      <w:pPr>
        <w:pStyle w:val="90"/>
        <w:spacing w:line="600" w:lineRule="exact"/>
        <w:ind w:firstLine="600"/>
        <w:rPr>
          <w:rFonts w:hAnsi="Times New Roman"/>
          <w:sz w:val="30"/>
          <w:szCs w:val="30"/>
        </w:rPr>
      </w:pPr>
      <w:r>
        <w:rPr>
          <w:rFonts w:hint="eastAsia" w:hAnsi="Times New Roman"/>
          <w:sz w:val="30"/>
          <w:szCs w:val="30"/>
        </w:rPr>
        <w:t>2）自设额度</w:t>
      </w:r>
    </w:p>
    <w:p w14:paraId="4AC10385">
      <w:pPr>
        <w:pStyle w:val="90"/>
        <w:spacing w:line="600" w:lineRule="exact"/>
        <w:ind w:firstLine="600"/>
        <w:rPr>
          <w:rFonts w:hAnsi="Times New Roman"/>
          <w:sz w:val="30"/>
          <w:szCs w:val="30"/>
        </w:rPr>
      </w:pPr>
      <w:r>
        <w:rPr>
          <w:rFonts w:hint="eastAsia" w:hAnsi="Times New Roman"/>
          <w:sz w:val="30"/>
          <w:szCs w:val="30"/>
        </w:rPr>
        <w:t>债券交易参与人可登录本所网站会员专区向本所申报设定关联交易单元的自设额度。债券交易参与人申报的自设额度不得超过该关联交易单元的最高额度，超出最高额度的，申报无效；未申报的，默认为该关联交易单元的最高额度。</w:t>
      </w:r>
    </w:p>
    <w:p w14:paraId="33D5D239">
      <w:pPr>
        <w:pStyle w:val="90"/>
        <w:spacing w:line="600" w:lineRule="exact"/>
        <w:ind w:firstLine="600"/>
        <w:rPr>
          <w:rFonts w:hAnsi="Times New Roman"/>
          <w:sz w:val="30"/>
          <w:szCs w:val="30"/>
        </w:rPr>
      </w:pPr>
      <w:r>
        <w:rPr>
          <w:rFonts w:hint="eastAsia" w:hAnsi="Times New Roman"/>
          <w:sz w:val="30"/>
          <w:szCs w:val="30"/>
        </w:rPr>
        <w:t>本所根据债券交易参与人申报的自设额度，对关联交易单元的全天净买入申报金额总量实施额度控制。对于资金前端控制适用的交易品种，当债券交易参与人的关联交易单元全天净买入申报金额达到或超过自设额度时，本所不接受关联交易单元下的所有交易单元的匹配成交交易买入申报。</w:t>
      </w:r>
    </w:p>
    <w:p w14:paraId="78EADE14">
      <w:pPr>
        <w:spacing w:line="600" w:lineRule="exact"/>
        <w:ind w:left="567"/>
        <w:outlineLvl w:val="3"/>
        <w:rPr>
          <w:rFonts w:ascii="仿宋_GB2312" w:eastAsia="仿宋_GB2312"/>
          <w:b/>
          <w:sz w:val="30"/>
          <w:szCs w:val="30"/>
        </w:rPr>
      </w:pPr>
      <w:r>
        <w:rPr>
          <w:rFonts w:hint="eastAsia" w:ascii="仿宋_GB2312" w:eastAsia="仿宋_GB2312"/>
          <w:b/>
          <w:sz w:val="30"/>
          <w:szCs w:val="30"/>
        </w:rPr>
        <w:t>（3）资金前端控制额度设置流程</w:t>
      </w:r>
    </w:p>
    <w:p w14:paraId="767125D3">
      <w:pPr>
        <w:pStyle w:val="90"/>
        <w:spacing w:line="600" w:lineRule="exact"/>
        <w:ind w:firstLine="600"/>
        <w:rPr>
          <w:rFonts w:hAnsi="Times New Roman"/>
          <w:sz w:val="30"/>
          <w:szCs w:val="30"/>
        </w:rPr>
      </w:pPr>
      <w:r>
        <w:rPr>
          <w:rFonts w:hint="eastAsia" w:hAnsi="Times New Roman"/>
          <w:sz w:val="30"/>
          <w:szCs w:val="30"/>
        </w:rPr>
        <w:t>债券交易参与人的资金前端控制额度设置流程，适用本所</w:t>
      </w:r>
      <w:r>
        <w:rPr>
          <w:rFonts w:hint="eastAsia"/>
          <w:sz w:val="30"/>
          <w:szCs w:val="30"/>
        </w:rPr>
        <w:t>《上海证券交易所 深圳证券交易所 中国证券登记结算有限责任公司证券交易资金前端风险控制业务规则》《上海证券交易所 中国证券登记结算有限责任公司证券交易资金前端风险控制业务实施细则》</w:t>
      </w:r>
      <w:r>
        <w:rPr>
          <w:rFonts w:hint="eastAsia" w:hAnsi="Times New Roman"/>
          <w:sz w:val="30"/>
          <w:szCs w:val="30"/>
        </w:rPr>
        <w:t>《</w:t>
      </w:r>
      <w:r>
        <w:rPr>
          <w:rFonts w:hint="eastAsia" w:hAnsi="微软雅黑" w:cs="宋体"/>
          <w:color w:val="050505"/>
          <w:sz w:val="30"/>
          <w:szCs w:val="30"/>
        </w:rPr>
        <w:t>上海证券交易所证券交易业务指南第5号——证券交易资金前端风险控制业务</w:t>
      </w:r>
      <w:r>
        <w:rPr>
          <w:rFonts w:hint="eastAsia" w:hAnsi="Times New Roman"/>
          <w:sz w:val="30"/>
          <w:szCs w:val="30"/>
        </w:rPr>
        <w:t>》等相关规定（详见附件5资金前端控制设置流程说明）。</w:t>
      </w:r>
    </w:p>
    <w:p w14:paraId="28F24874">
      <w:pPr>
        <w:spacing w:line="600" w:lineRule="exact"/>
        <w:ind w:left="567"/>
        <w:outlineLvl w:val="3"/>
        <w:rPr>
          <w:rFonts w:ascii="仿宋_GB2312" w:eastAsia="仿宋_GB2312"/>
          <w:b/>
          <w:sz w:val="30"/>
          <w:szCs w:val="30"/>
        </w:rPr>
      </w:pPr>
      <w:r>
        <w:rPr>
          <w:rFonts w:hint="eastAsia" w:ascii="仿宋_GB2312" w:eastAsia="仿宋_GB2312"/>
          <w:b/>
          <w:sz w:val="30"/>
          <w:szCs w:val="30"/>
        </w:rPr>
        <w:t>（4）资金前端控制信息检查</w:t>
      </w:r>
    </w:p>
    <w:p w14:paraId="1AB60958">
      <w:pPr>
        <w:pStyle w:val="90"/>
        <w:spacing w:line="600" w:lineRule="exact"/>
        <w:ind w:firstLine="600"/>
        <w:rPr>
          <w:rFonts w:hAnsi="Times New Roman"/>
          <w:sz w:val="30"/>
          <w:szCs w:val="30"/>
        </w:rPr>
      </w:pPr>
      <w:r>
        <w:rPr>
          <w:rFonts w:hint="eastAsia" w:hAnsi="Times New Roman"/>
          <w:sz w:val="30"/>
          <w:szCs w:val="30"/>
        </w:rPr>
        <w:t>资金前端控制信息检查是指本所交易系统在交易单元事前报备的额度内对于每笔申报进行可用资金额度检查。</w:t>
      </w:r>
    </w:p>
    <w:p w14:paraId="681FF8ED">
      <w:pPr>
        <w:pStyle w:val="90"/>
        <w:spacing w:line="600" w:lineRule="exact"/>
        <w:ind w:firstLine="600"/>
        <w:rPr>
          <w:rFonts w:hAnsi="Times New Roman"/>
          <w:sz w:val="30"/>
          <w:szCs w:val="30"/>
        </w:rPr>
      </w:pPr>
      <w:r>
        <w:rPr>
          <w:rFonts w:hint="eastAsia" w:hAnsi="Times New Roman"/>
          <w:sz w:val="30"/>
          <w:szCs w:val="30"/>
        </w:rPr>
        <w:t>本所通过虚拟资金额度进行资金前端控制。买入方交易单元应有足额虚拟资金额度（根据申报数量、申报价格计算），对纳入</w:t>
      </w:r>
      <w:r>
        <w:rPr>
          <w:rFonts w:hint="eastAsia" w:hAnsi="Times New Roman"/>
          <w:sz w:val="30"/>
          <w:szCs w:val="30"/>
          <w:lang w:bidi="en-US"/>
        </w:rPr>
        <w:t>资金前端控制范围内的</w:t>
      </w:r>
      <w:r>
        <w:rPr>
          <w:rFonts w:hint="eastAsia" w:hAnsi="Times New Roman"/>
          <w:sz w:val="30"/>
          <w:szCs w:val="30"/>
        </w:rPr>
        <w:t>每笔申报，扣减买入方交易单元虚拟可用资金额度（对通用回购扣减资金融出方交易单元虚拟可用资金额度），并与交易单元资金前端控制信息联动互通。</w:t>
      </w:r>
    </w:p>
    <w:p w14:paraId="25C321A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持仓前端控制</w:t>
      </w:r>
    </w:p>
    <w:p w14:paraId="745E984E">
      <w:pPr>
        <w:spacing w:line="600" w:lineRule="exact"/>
        <w:ind w:left="567"/>
        <w:outlineLvl w:val="3"/>
        <w:rPr>
          <w:rFonts w:ascii="仿宋_GB2312" w:eastAsia="仿宋_GB2312"/>
          <w:b/>
          <w:sz w:val="30"/>
          <w:szCs w:val="30"/>
        </w:rPr>
      </w:pPr>
      <w:r>
        <w:rPr>
          <w:rFonts w:hint="eastAsia" w:ascii="仿宋_GB2312" w:eastAsia="仿宋_GB2312"/>
          <w:b/>
          <w:sz w:val="30"/>
          <w:szCs w:val="30"/>
        </w:rPr>
        <w:t>（1）持仓前端控制定义</w:t>
      </w:r>
    </w:p>
    <w:p w14:paraId="23EC8361">
      <w:pPr>
        <w:pStyle w:val="90"/>
        <w:spacing w:line="600" w:lineRule="exact"/>
        <w:ind w:firstLine="600"/>
        <w:rPr>
          <w:rFonts w:hAnsi="Times New Roman"/>
          <w:sz w:val="30"/>
          <w:szCs w:val="30"/>
        </w:rPr>
      </w:pPr>
      <w:r>
        <w:rPr>
          <w:rFonts w:hint="eastAsia" w:hAnsi="Times New Roman"/>
          <w:sz w:val="30"/>
          <w:szCs w:val="30"/>
        </w:rPr>
        <w:t>本指南所称持仓前端控制，是指本所对债券交易参与人证券账户卖出（或出质）债券持仓进行检查，并对债券交易参与人所提交的申报实施前端控制的制度。</w:t>
      </w:r>
    </w:p>
    <w:p w14:paraId="245CBD75">
      <w:pPr>
        <w:spacing w:line="600" w:lineRule="exact"/>
        <w:ind w:left="567"/>
        <w:outlineLvl w:val="3"/>
        <w:rPr>
          <w:rFonts w:ascii="仿宋_GB2312" w:eastAsia="仿宋_GB2312"/>
          <w:b/>
          <w:sz w:val="30"/>
          <w:szCs w:val="30"/>
        </w:rPr>
      </w:pPr>
      <w:r>
        <w:rPr>
          <w:rFonts w:hint="eastAsia" w:ascii="仿宋_GB2312" w:eastAsia="仿宋_GB2312"/>
          <w:b/>
          <w:sz w:val="30"/>
          <w:szCs w:val="30"/>
        </w:rPr>
        <w:t>（2）持仓前端控制范围</w:t>
      </w:r>
    </w:p>
    <w:p w14:paraId="3B16E053">
      <w:pPr>
        <w:pStyle w:val="90"/>
        <w:spacing w:line="600" w:lineRule="exact"/>
        <w:ind w:firstLine="600"/>
        <w:rPr>
          <w:rFonts w:hAnsi="Times New Roman"/>
          <w:sz w:val="30"/>
          <w:szCs w:val="30"/>
        </w:rPr>
      </w:pPr>
      <w:r>
        <w:rPr>
          <w:rFonts w:hint="eastAsia" w:hAnsi="Times New Roman"/>
          <w:sz w:val="30"/>
          <w:szCs w:val="30"/>
        </w:rPr>
        <w:t>本所对可以采用多边净额结算方式的债券实施持仓前端控制。</w:t>
      </w:r>
    </w:p>
    <w:p w14:paraId="50F04204">
      <w:pPr>
        <w:spacing w:line="600" w:lineRule="exact"/>
        <w:ind w:left="567"/>
        <w:outlineLvl w:val="3"/>
        <w:rPr>
          <w:rFonts w:ascii="仿宋_GB2312" w:eastAsia="仿宋_GB2312"/>
          <w:b/>
          <w:sz w:val="30"/>
          <w:szCs w:val="30"/>
        </w:rPr>
      </w:pPr>
      <w:r>
        <w:rPr>
          <w:rFonts w:hint="eastAsia" w:ascii="仿宋_GB2312" w:eastAsia="仿宋_GB2312"/>
          <w:b/>
          <w:sz w:val="30"/>
          <w:szCs w:val="30"/>
        </w:rPr>
        <w:t>（3）持仓前端控制实施方式</w:t>
      </w:r>
    </w:p>
    <w:p w14:paraId="24F095C1">
      <w:pPr>
        <w:pStyle w:val="90"/>
        <w:spacing w:line="600" w:lineRule="exact"/>
        <w:ind w:firstLine="600"/>
        <w:rPr>
          <w:rFonts w:hAnsi="Times New Roman"/>
          <w:sz w:val="30"/>
          <w:szCs w:val="30"/>
        </w:rPr>
      </w:pPr>
      <w:r>
        <w:rPr>
          <w:rFonts w:hint="eastAsia"/>
          <w:sz w:val="30"/>
          <w:szCs w:val="30"/>
        </w:rPr>
        <w:t>一是利率债、符合净额结算标准的公募公司债等</w:t>
      </w:r>
      <w:r>
        <w:rPr>
          <w:rFonts w:hint="eastAsia"/>
          <w:color w:val="000000"/>
          <w:sz w:val="30"/>
          <w:szCs w:val="30"/>
          <w:shd w:val="clear" w:color="auto" w:fill="FFFFFF"/>
        </w:rPr>
        <w:t>符合净额结算标准</w:t>
      </w:r>
      <w:r>
        <w:rPr>
          <w:rFonts w:hint="eastAsia" w:hAnsi="Times New Roman"/>
          <w:sz w:val="30"/>
          <w:szCs w:val="30"/>
        </w:rPr>
        <w:t>的债券。上述债券申报卖出或者通用回购入库时，本所对卖出方（或出质方）证券账户进行持仓检查，并预冻结其申报数量（申报撤销后予以解冻）。交易达成后，交易双方选择多边净额结算方式的，本所对卖出方证券账户实时扣减持仓，买入方所在证券账户实时增加持仓；交易双方选择实时逐笔全额结算（RTGS）方式的，本所对卖出方证券账户实时扣减持仓，买入方证券账户不立即增加持仓，待交收完成后次日增加持仓。</w:t>
      </w:r>
      <w:r>
        <w:rPr>
          <w:rFonts w:hint="eastAsia"/>
          <w:sz w:val="30"/>
          <w:szCs w:val="30"/>
        </w:rPr>
        <w:t>为避免“净额结算</w:t>
      </w:r>
      <w:r>
        <w:rPr>
          <w:sz w:val="30"/>
          <w:szCs w:val="30"/>
        </w:rPr>
        <w:t>方式买入</w:t>
      </w:r>
      <w:r>
        <w:rPr>
          <w:rFonts w:hint="eastAsia"/>
          <w:sz w:val="30"/>
          <w:szCs w:val="30"/>
        </w:rPr>
        <w:t>，</w:t>
      </w:r>
      <w:r>
        <w:rPr>
          <w:sz w:val="30"/>
          <w:szCs w:val="30"/>
        </w:rPr>
        <w:t>当日RTGS方式卖出</w:t>
      </w:r>
      <w:r>
        <w:rPr>
          <w:rFonts w:hint="eastAsia"/>
          <w:sz w:val="30"/>
          <w:szCs w:val="30"/>
        </w:rPr>
        <w:t>”</w:t>
      </w:r>
      <w:r>
        <w:rPr>
          <w:sz w:val="30"/>
          <w:szCs w:val="30"/>
        </w:rPr>
        <w:t>造成的</w:t>
      </w:r>
      <w:r>
        <w:rPr>
          <w:rFonts w:hint="eastAsia"/>
          <w:sz w:val="30"/>
          <w:szCs w:val="30"/>
        </w:rPr>
        <w:t>结算</w:t>
      </w:r>
      <w:r>
        <w:rPr>
          <w:sz w:val="30"/>
          <w:szCs w:val="30"/>
        </w:rPr>
        <w:t>风险</w:t>
      </w:r>
      <w:r>
        <w:rPr>
          <w:rFonts w:hint="eastAsia"/>
          <w:sz w:val="30"/>
          <w:szCs w:val="30"/>
        </w:rPr>
        <w:t>，</w:t>
      </w:r>
      <w:r>
        <w:rPr>
          <w:rFonts w:hint="eastAsia" w:hAnsi="Times New Roman"/>
          <w:sz w:val="30"/>
          <w:szCs w:val="30"/>
        </w:rPr>
        <w:t>对</w:t>
      </w:r>
      <w:r>
        <w:rPr>
          <w:rFonts w:hAnsi="Times New Roman"/>
          <w:sz w:val="30"/>
          <w:szCs w:val="30"/>
        </w:rPr>
        <w:t>选用</w:t>
      </w:r>
      <w:r>
        <w:rPr>
          <w:rFonts w:hint="eastAsia" w:hAnsi="Times New Roman"/>
          <w:sz w:val="30"/>
          <w:szCs w:val="30"/>
        </w:rPr>
        <w:t>RTGS结算方式的债券</w:t>
      </w:r>
      <w:r>
        <w:rPr>
          <w:rFonts w:hAnsi="Times New Roman"/>
          <w:sz w:val="30"/>
          <w:szCs w:val="30"/>
        </w:rPr>
        <w:t>交易</w:t>
      </w:r>
      <w:r>
        <w:rPr>
          <w:rFonts w:hint="eastAsia" w:hAnsi="Times New Roman"/>
          <w:sz w:val="30"/>
          <w:szCs w:val="30"/>
        </w:rPr>
        <w:t>，</w:t>
      </w:r>
      <w:r>
        <w:rPr>
          <w:rFonts w:hAnsi="Times New Roman"/>
          <w:sz w:val="30"/>
          <w:szCs w:val="30"/>
        </w:rPr>
        <w:t>要求</w:t>
      </w:r>
      <w:r>
        <w:rPr>
          <w:rFonts w:hint="eastAsia" w:hAnsi="Times New Roman"/>
          <w:sz w:val="30"/>
          <w:szCs w:val="30"/>
        </w:rPr>
        <w:t>当日</w:t>
      </w:r>
      <w:r>
        <w:rPr>
          <w:sz w:val="30"/>
          <w:szCs w:val="30"/>
        </w:rPr>
        <w:t>卖出</w:t>
      </w:r>
      <w:r>
        <w:rPr>
          <w:rFonts w:hint="eastAsia"/>
          <w:sz w:val="30"/>
          <w:szCs w:val="30"/>
        </w:rPr>
        <w:t>（或</w:t>
      </w:r>
      <w:r>
        <w:rPr>
          <w:sz w:val="30"/>
          <w:szCs w:val="30"/>
        </w:rPr>
        <w:t>出质</w:t>
      </w:r>
      <w:r>
        <w:rPr>
          <w:rFonts w:hint="eastAsia"/>
          <w:sz w:val="30"/>
          <w:szCs w:val="30"/>
        </w:rPr>
        <w:t>）的债券申报总</w:t>
      </w:r>
      <w:r>
        <w:rPr>
          <w:sz w:val="30"/>
          <w:szCs w:val="30"/>
        </w:rPr>
        <w:t>量不得超过日初债券持仓</w:t>
      </w:r>
      <w:r>
        <w:rPr>
          <w:rFonts w:hint="eastAsia"/>
          <w:sz w:val="30"/>
          <w:szCs w:val="30"/>
        </w:rPr>
        <w:t>。</w:t>
      </w:r>
    </w:p>
    <w:p w14:paraId="7172CB62">
      <w:pPr>
        <w:pStyle w:val="90"/>
        <w:spacing w:line="600" w:lineRule="exact"/>
        <w:ind w:firstLine="600"/>
        <w:rPr>
          <w:rFonts w:hAnsi="Times New Roman"/>
          <w:sz w:val="30"/>
          <w:szCs w:val="30"/>
        </w:rPr>
      </w:pPr>
      <w:r>
        <w:rPr>
          <w:rFonts w:hint="eastAsia"/>
          <w:color w:val="000000"/>
          <w:sz w:val="30"/>
          <w:szCs w:val="30"/>
          <w:shd w:val="clear" w:color="auto" w:fill="FFFFFF"/>
        </w:rPr>
        <w:t>二是不符合净额结算标准的公募公司债、私募债、资产支持证券、特定债券等。上述</w:t>
      </w:r>
      <w:r>
        <w:rPr>
          <w:color w:val="000000"/>
          <w:sz w:val="30"/>
          <w:szCs w:val="30"/>
          <w:shd w:val="clear" w:color="auto" w:fill="FFFFFF"/>
        </w:rPr>
        <w:t>债券</w:t>
      </w:r>
      <w:r>
        <w:rPr>
          <w:rFonts w:hint="eastAsia"/>
          <w:color w:val="000000"/>
          <w:sz w:val="30"/>
          <w:szCs w:val="30"/>
          <w:shd w:val="clear" w:color="auto" w:fill="FFFFFF"/>
        </w:rPr>
        <w:t>的交易申报，交易系统不对持仓进行前端检查。</w:t>
      </w:r>
    </w:p>
    <w:p w14:paraId="33ACE1E3">
      <w:pPr>
        <w:numPr>
          <w:ilvl w:val="1"/>
          <w:numId w:val="4"/>
        </w:numPr>
        <w:spacing w:line="600" w:lineRule="exact"/>
        <w:ind w:left="0" w:firstLine="0"/>
        <w:outlineLvl w:val="1"/>
        <w:rPr>
          <w:rFonts w:ascii="仿宋_GB2312" w:eastAsia="仿宋_GB2312"/>
          <w:b/>
          <w:sz w:val="30"/>
          <w:szCs w:val="30"/>
        </w:rPr>
      </w:pPr>
      <w:r>
        <w:rPr>
          <w:rFonts w:ascii="仿宋_GB2312" w:eastAsia="仿宋_GB2312"/>
          <w:b/>
          <w:sz w:val="30"/>
          <w:szCs w:val="30"/>
        </w:rPr>
        <w:t xml:space="preserve"> </w:t>
      </w:r>
      <w:bookmarkStart w:id="253" w:name="_Toc151136894"/>
      <w:bookmarkStart w:id="254" w:name="_Toc56166264"/>
      <w:bookmarkStart w:id="255" w:name="_Toc56166075"/>
      <w:r>
        <w:rPr>
          <w:rFonts w:hint="eastAsia" w:ascii="仿宋_GB2312" w:eastAsia="仿宋_GB2312"/>
          <w:b/>
          <w:sz w:val="30"/>
          <w:szCs w:val="30"/>
        </w:rPr>
        <w:t>交易日和交易时间</w:t>
      </w:r>
      <w:bookmarkEnd w:id="253"/>
      <w:bookmarkEnd w:id="254"/>
      <w:bookmarkEnd w:id="255"/>
    </w:p>
    <w:p w14:paraId="0CD8E456">
      <w:pPr>
        <w:pStyle w:val="90"/>
        <w:spacing w:line="600" w:lineRule="exact"/>
        <w:ind w:firstLine="600"/>
        <w:rPr>
          <w:rFonts w:hAnsi="Times New Roman"/>
          <w:sz w:val="30"/>
          <w:szCs w:val="30"/>
        </w:rPr>
      </w:pPr>
      <w:r>
        <w:rPr>
          <w:rFonts w:hint="eastAsia" w:hAnsi="Times New Roman"/>
          <w:sz w:val="30"/>
          <w:szCs w:val="30"/>
        </w:rPr>
        <w:t>本所债券交易日为每周一至周五。国家法定假日和本所公告的休市日，本所债券市场休市。本所另有规定的除外。</w:t>
      </w:r>
    </w:p>
    <w:p w14:paraId="01488905">
      <w:pPr>
        <w:pStyle w:val="90"/>
        <w:adjustRightInd w:val="0"/>
        <w:snapToGrid w:val="0"/>
        <w:spacing w:line="600" w:lineRule="exact"/>
        <w:ind w:firstLine="600"/>
        <w:rPr>
          <w:rFonts w:hAnsi="Times New Roman"/>
          <w:sz w:val="30"/>
          <w:szCs w:val="30"/>
        </w:rPr>
      </w:pPr>
      <w:r>
        <w:rPr>
          <w:rFonts w:hint="eastAsia" w:hAnsi="Times New Roman"/>
          <w:sz w:val="30"/>
          <w:szCs w:val="30"/>
        </w:rPr>
        <w:t>现券交易采用匹配成交方式的，每个交易日的9:15至9:25为集合匹配时间，9:30至11:30、13:00至15:</w:t>
      </w:r>
      <w:r>
        <w:rPr>
          <w:rFonts w:hAnsi="Times New Roman"/>
          <w:sz w:val="30"/>
          <w:szCs w:val="30"/>
        </w:rPr>
        <w:t>3</w:t>
      </w:r>
      <w:r>
        <w:rPr>
          <w:rFonts w:hint="eastAsia" w:hAnsi="Times New Roman"/>
          <w:sz w:val="30"/>
          <w:szCs w:val="30"/>
        </w:rPr>
        <w:t>0为连续匹配时间；通用回购交易采用匹配成交方式的，每个交易日的9:15至9:25为开盘集合匹配时间，9:30至11:30、13:00至15:30为连续匹配时间。本所另有规定的除外。</w:t>
      </w:r>
    </w:p>
    <w:p w14:paraId="4D04CBC7">
      <w:pPr>
        <w:pStyle w:val="90"/>
        <w:spacing w:line="600" w:lineRule="exact"/>
        <w:ind w:firstLine="600"/>
        <w:rPr>
          <w:rFonts w:hAnsi="Times New Roman"/>
          <w:sz w:val="30"/>
          <w:szCs w:val="30"/>
        </w:rPr>
      </w:pPr>
      <w:r>
        <w:rPr>
          <w:rFonts w:hint="eastAsia" w:hAnsi="Times New Roman"/>
          <w:sz w:val="30"/>
          <w:szCs w:val="30"/>
        </w:rPr>
        <w:t>采用点击成交、询价成交、协商成交方式的，每个交易日的9:00至11:30、13:00至15:30为交易时间，本所另有规定的除外。（《债券</w:t>
      </w:r>
      <w:r>
        <w:rPr>
          <w:rFonts w:hAnsi="Times New Roman"/>
          <w:sz w:val="30"/>
          <w:szCs w:val="30"/>
        </w:rPr>
        <w:t>交易规则</w:t>
      </w:r>
      <w:r>
        <w:rPr>
          <w:rFonts w:hint="eastAsia" w:hAnsi="Times New Roman"/>
          <w:sz w:val="30"/>
          <w:szCs w:val="30"/>
        </w:rPr>
        <w:t>》</w:t>
      </w:r>
      <w:r>
        <w:rPr>
          <w:rFonts w:hAnsi="Times New Roman"/>
          <w:sz w:val="30"/>
          <w:szCs w:val="30"/>
        </w:rPr>
        <w:t>中有关</w:t>
      </w:r>
      <w:r>
        <w:rPr>
          <w:rFonts w:hint="eastAsia" w:hAnsi="Times New Roman"/>
          <w:sz w:val="30"/>
          <w:szCs w:val="30"/>
        </w:rPr>
        <w:t>15:30</w:t>
      </w:r>
      <w:r>
        <w:rPr>
          <w:rFonts w:hAnsi="Times New Roman"/>
          <w:sz w:val="30"/>
          <w:szCs w:val="30"/>
        </w:rPr>
        <w:t>-20</w:t>
      </w:r>
      <w:r>
        <w:rPr>
          <w:rFonts w:hint="eastAsia" w:hAnsi="Times New Roman"/>
          <w:sz w:val="30"/>
          <w:szCs w:val="30"/>
        </w:rPr>
        <w:t>:00夜盘交易</w:t>
      </w:r>
      <w:r>
        <w:rPr>
          <w:rFonts w:hAnsi="Times New Roman"/>
          <w:sz w:val="30"/>
          <w:szCs w:val="30"/>
        </w:rPr>
        <w:t>相关规定暂缓实施</w:t>
      </w:r>
      <w:r>
        <w:rPr>
          <w:rFonts w:hint="eastAsia" w:hAnsi="Times New Roman"/>
          <w:sz w:val="30"/>
          <w:szCs w:val="30"/>
        </w:rPr>
        <w:t>）</w:t>
      </w:r>
    </w:p>
    <w:p w14:paraId="4C48F2EA">
      <w:pPr>
        <w:pStyle w:val="90"/>
        <w:spacing w:line="600" w:lineRule="exact"/>
        <w:ind w:firstLine="600"/>
        <w:rPr>
          <w:rFonts w:hAnsi="Times New Roman"/>
          <w:sz w:val="30"/>
          <w:szCs w:val="30"/>
        </w:rPr>
      </w:pPr>
      <w:r>
        <w:rPr>
          <w:rFonts w:hint="eastAsia" w:hAnsi="Times New Roman"/>
          <w:sz w:val="30"/>
          <w:szCs w:val="30"/>
        </w:rPr>
        <w:t>采用竞买成交方式的，每个交易日的9:00至10:00为卖方提交竞买发起申报时间，10:00至11:30为应价方提交应价申报时间。</w:t>
      </w:r>
    </w:p>
    <w:p w14:paraId="054F912D">
      <w:pPr>
        <w:pStyle w:val="90"/>
        <w:spacing w:line="600" w:lineRule="exact"/>
        <w:ind w:firstLine="600"/>
        <w:rPr>
          <w:rFonts w:hAnsi="Times New Roman"/>
          <w:sz w:val="30"/>
          <w:szCs w:val="30"/>
        </w:rPr>
      </w:pPr>
      <w:r>
        <w:rPr>
          <w:rFonts w:hint="eastAsia" w:hAnsi="Times New Roman"/>
          <w:sz w:val="30"/>
          <w:szCs w:val="30"/>
        </w:rPr>
        <w:t>交易时间内因故停市，交易时间不作顺延。根据市场发展需要，本所可以调整债券交易时间。</w:t>
      </w:r>
      <w:bookmarkStart w:id="256" w:name="_Toc22572929"/>
      <w:bookmarkEnd w:id="256"/>
      <w:bookmarkStart w:id="257" w:name="_Toc12360833"/>
      <w:bookmarkEnd w:id="257"/>
      <w:bookmarkStart w:id="258" w:name="_Toc17799360"/>
      <w:bookmarkEnd w:id="258"/>
      <w:bookmarkStart w:id="259" w:name="_Toc12360743"/>
      <w:bookmarkEnd w:id="259"/>
      <w:bookmarkStart w:id="260" w:name="_Toc22572928"/>
      <w:bookmarkEnd w:id="260"/>
      <w:bookmarkStart w:id="261" w:name="_Toc22662839"/>
      <w:bookmarkEnd w:id="261"/>
      <w:bookmarkStart w:id="262" w:name="_Toc22573186"/>
      <w:bookmarkEnd w:id="262"/>
      <w:bookmarkStart w:id="263" w:name="_Toc22573184"/>
      <w:bookmarkEnd w:id="263"/>
      <w:bookmarkStart w:id="264" w:name="_Toc18410654"/>
      <w:bookmarkEnd w:id="264"/>
      <w:bookmarkStart w:id="265" w:name="_Toc22572930"/>
      <w:bookmarkEnd w:id="265"/>
      <w:bookmarkStart w:id="266" w:name="_Toc22662837"/>
      <w:bookmarkEnd w:id="266"/>
      <w:bookmarkStart w:id="267" w:name="_Toc17465718"/>
      <w:bookmarkEnd w:id="267"/>
      <w:bookmarkStart w:id="268" w:name="_Toc24638115"/>
      <w:bookmarkEnd w:id="268"/>
      <w:bookmarkStart w:id="269" w:name="_Toc17799389"/>
      <w:bookmarkEnd w:id="269"/>
      <w:bookmarkStart w:id="270" w:name="_Toc22573013"/>
      <w:bookmarkEnd w:id="270"/>
      <w:bookmarkStart w:id="271" w:name="_Toc17993016"/>
      <w:bookmarkEnd w:id="271"/>
      <w:bookmarkStart w:id="272" w:name="_Toc22573012"/>
      <w:bookmarkEnd w:id="272"/>
      <w:bookmarkStart w:id="273" w:name="_Toc22573014"/>
      <w:bookmarkEnd w:id="273"/>
      <w:bookmarkStart w:id="274" w:name="_Toc17791434"/>
      <w:bookmarkEnd w:id="274"/>
      <w:bookmarkStart w:id="275" w:name="_Toc22662841"/>
      <w:bookmarkEnd w:id="275"/>
      <w:bookmarkStart w:id="276" w:name="_Toc22573185"/>
      <w:bookmarkEnd w:id="276"/>
      <w:bookmarkStart w:id="277" w:name="_Toc22662840"/>
      <w:bookmarkEnd w:id="277"/>
      <w:bookmarkStart w:id="278" w:name="_Toc18410651"/>
      <w:bookmarkEnd w:id="278"/>
      <w:bookmarkStart w:id="279" w:name="_Toc12545548"/>
      <w:bookmarkEnd w:id="279"/>
      <w:bookmarkStart w:id="280" w:name="_Toc12545677"/>
      <w:bookmarkEnd w:id="280"/>
      <w:bookmarkStart w:id="281" w:name="_Toc41585521"/>
    </w:p>
    <w:p w14:paraId="5A88EA62">
      <w:pPr>
        <w:pStyle w:val="90"/>
        <w:spacing w:line="600" w:lineRule="exact"/>
        <w:ind w:firstLine="600"/>
        <w:rPr>
          <w:rFonts w:hAnsi="Times New Roman"/>
          <w:sz w:val="30"/>
          <w:szCs w:val="30"/>
        </w:rPr>
      </w:pPr>
      <w:r>
        <w:rPr>
          <w:rFonts w:hint="eastAsia" w:hAnsi="Times New Roman"/>
          <w:sz w:val="30"/>
          <w:szCs w:val="30"/>
        </w:rPr>
        <w:t>债券质押式协议回购、债券质押式三方回购、债券借贷业务、信用保护工具的交易时间，详见本指南第7、8章。相关规定中关于交易时间的规定与本指南不一致的，适用本指南相关规定。</w:t>
      </w:r>
    </w:p>
    <w:bookmarkEnd w:id="281"/>
    <w:p w14:paraId="6B2978A6">
      <w:pPr>
        <w:numPr>
          <w:ilvl w:val="1"/>
          <w:numId w:val="4"/>
        </w:numPr>
        <w:spacing w:line="600" w:lineRule="exact"/>
        <w:ind w:left="0" w:firstLine="0"/>
        <w:outlineLvl w:val="1"/>
        <w:rPr>
          <w:rFonts w:ascii="仿宋_GB2312" w:eastAsia="仿宋_GB2312"/>
          <w:b/>
          <w:sz w:val="30"/>
          <w:szCs w:val="30"/>
        </w:rPr>
      </w:pPr>
      <w:bookmarkStart w:id="282" w:name="_Toc56166076"/>
      <w:bookmarkStart w:id="283" w:name="_Toc151136895"/>
      <w:bookmarkStart w:id="284" w:name="_Toc56166265"/>
      <w:bookmarkStart w:id="285" w:name="_Toc41585522"/>
      <w:r>
        <w:rPr>
          <w:rFonts w:hint="eastAsia" w:ascii="仿宋_GB2312" w:eastAsia="仿宋_GB2312"/>
          <w:b/>
          <w:sz w:val="30"/>
          <w:szCs w:val="30"/>
        </w:rPr>
        <w:t>交易方式分类管理</w:t>
      </w:r>
      <w:bookmarkEnd w:id="282"/>
      <w:bookmarkEnd w:id="283"/>
      <w:bookmarkEnd w:id="284"/>
    </w:p>
    <w:p w14:paraId="2092DC5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分类管理</w:t>
      </w:r>
      <w:bookmarkEnd w:id="285"/>
    </w:p>
    <w:p w14:paraId="16E0942B">
      <w:pPr>
        <w:pStyle w:val="90"/>
        <w:spacing w:line="600" w:lineRule="exact"/>
        <w:ind w:firstLine="600"/>
        <w:rPr>
          <w:rFonts w:hAnsi="Times New Roman"/>
          <w:sz w:val="30"/>
          <w:szCs w:val="30"/>
        </w:rPr>
      </w:pPr>
      <w:r>
        <w:rPr>
          <w:rFonts w:hint="eastAsia" w:hAnsi="Times New Roman"/>
          <w:sz w:val="30"/>
          <w:szCs w:val="30"/>
        </w:rPr>
        <w:t>本所根据债券的信用资质、发行方式和投资者适当性等不同特点安排差异化的交易方式，并对债券上市后的交易方式实施动态调整，并向市场及时公布。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4447"/>
        <w:gridCol w:w="2835"/>
      </w:tblGrid>
      <w:tr w14:paraId="4F7A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583D8FCF">
            <w:pPr>
              <w:pStyle w:val="90"/>
              <w:spacing w:line="240" w:lineRule="auto"/>
              <w:ind w:firstLine="0" w:firstLineChars="0"/>
              <w:rPr>
                <w:rFonts w:hAnsi="Times New Roman"/>
                <w:b/>
                <w:sz w:val="24"/>
                <w:szCs w:val="24"/>
              </w:rPr>
            </w:pPr>
            <w:r>
              <w:rPr>
                <w:rFonts w:hint="eastAsia" w:hAnsi="Times New Roman"/>
                <w:b/>
                <w:sz w:val="24"/>
                <w:szCs w:val="24"/>
              </w:rPr>
              <w:t>债券品种</w:t>
            </w:r>
          </w:p>
        </w:tc>
        <w:tc>
          <w:tcPr>
            <w:tcW w:w="4447" w:type="dxa"/>
          </w:tcPr>
          <w:p w14:paraId="6A00A667">
            <w:pPr>
              <w:pStyle w:val="90"/>
              <w:ind w:firstLine="480"/>
              <w:rPr>
                <w:rFonts w:hAnsi="Times New Roman"/>
                <w:sz w:val="24"/>
                <w:szCs w:val="24"/>
              </w:rPr>
            </w:pPr>
            <w:r>
              <w:rPr>
                <w:rFonts w:hint="eastAsia" w:hAnsi="Times New Roman"/>
                <w:sz w:val="24"/>
                <w:szCs w:val="24"/>
              </w:rPr>
              <w:t>国债、地方债、政策性金融债、政府支持债券、公开发行公司债券</w:t>
            </w:r>
          </w:p>
        </w:tc>
        <w:tc>
          <w:tcPr>
            <w:tcW w:w="2835" w:type="dxa"/>
          </w:tcPr>
          <w:p w14:paraId="6C7A1FD1">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w:t>
            </w:r>
          </w:p>
        </w:tc>
      </w:tr>
      <w:tr w14:paraId="0985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2C131FA9">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4447" w:type="dxa"/>
          </w:tcPr>
          <w:p w14:paraId="21F838E4">
            <w:pPr>
              <w:pStyle w:val="90"/>
              <w:spacing w:line="240" w:lineRule="auto"/>
              <w:ind w:firstLine="0" w:firstLineChars="0"/>
              <w:rPr>
                <w:rFonts w:hAnsi="Times New Roman"/>
                <w:sz w:val="24"/>
                <w:szCs w:val="24"/>
              </w:rPr>
            </w:pPr>
            <w:r>
              <w:rPr>
                <w:rFonts w:hint="eastAsia" w:hAnsi="Times New Roman"/>
                <w:sz w:val="24"/>
                <w:szCs w:val="24"/>
              </w:rPr>
              <w:t>5类：匹配成交、询价成交、点击成交、竞买成交、协商成交</w:t>
            </w:r>
          </w:p>
        </w:tc>
        <w:tc>
          <w:tcPr>
            <w:tcW w:w="2835" w:type="dxa"/>
          </w:tcPr>
          <w:p w14:paraId="0614F67D">
            <w:pPr>
              <w:pStyle w:val="90"/>
              <w:spacing w:line="240" w:lineRule="auto"/>
              <w:ind w:firstLine="0" w:firstLineChars="0"/>
              <w:rPr>
                <w:rFonts w:hAnsi="Times New Roman"/>
                <w:sz w:val="24"/>
                <w:szCs w:val="24"/>
              </w:rPr>
            </w:pPr>
            <w:r>
              <w:rPr>
                <w:rFonts w:hint="eastAsia" w:hAnsi="Times New Roman"/>
                <w:sz w:val="24"/>
                <w:szCs w:val="24"/>
              </w:rPr>
              <w:t>4类：询价成交、点击成交、竞买成交、协商成交</w:t>
            </w:r>
          </w:p>
        </w:tc>
      </w:tr>
    </w:tbl>
    <w:p w14:paraId="4D4A6B1E">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交易方式动态调整</w:t>
      </w:r>
    </w:p>
    <w:p w14:paraId="7305E2F1">
      <w:pPr>
        <w:pStyle w:val="90"/>
        <w:spacing w:line="600" w:lineRule="exact"/>
        <w:ind w:firstLine="600"/>
        <w:rPr>
          <w:rFonts w:hAnsi="Times New Roman"/>
          <w:sz w:val="30"/>
          <w:szCs w:val="30"/>
        </w:rPr>
      </w:pPr>
      <w:r>
        <w:rPr>
          <w:rFonts w:hint="eastAsia" w:hAnsi="Times New Roman"/>
          <w:sz w:val="30"/>
          <w:szCs w:val="30"/>
        </w:rPr>
        <w:t>本所对债券上市交易实行分类管理，采取差异化的交易机制，并实行投资者适当性制度。</w:t>
      </w:r>
    </w:p>
    <w:p w14:paraId="67507688">
      <w:pPr>
        <w:pStyle w:val="90"/>
        <w:spacing w:line="600" w:lineRule="exact"/>
        <w:ind w:firstLine="600"/>
        <w:rPr>
          <w:rFonts w:hAnsi="Times New Roman"/>
          <w:sz w:val="30"/>
          <w:szCs w:val="30"/>
        </w:rPr>
      </w:pPr>
      <w:r>
        <w:rPr>
          <w:rFonts w:hint="eastAsia" w:hAnsi="Times New Roman"/>
          <w:sz w:val="30"/>
          <w:szCs w:val="30"/>
        </w:rPr>
        <w:t>本所可根据市场情况和债券资信状况的变化，在债券上市交易期间动态调整债券交易机制、投资者适当性及信息披露安排。债券交易方式调整</w:t>
      </w:r>
      <w:r>
        <w:rPr>
          <w:rFonts w:hAnsi="Times New Roman"/>
          <w:sz w:val="30"/>
          <w:szCs w:val="30"/>
        </w:rPr>
        <w:t>T+1</w:t>
      </w:r>
      <w:r>
        <w:rPr>
          <w:rFonts w:hint="eastAsia" w:hAnsi="Times New Roman"/>
          <w:sz w:val="30"/>
          <w:szCs w:val="30"/>
        </w:rPr>
        <w:t>日</w:t>
      </w:r>
      <w:r>
        <w:rPr>
          <w:rFonts w:hAnsi="Times New Roman"/>
          <w:sz w:val="30"/>
          <w:szCs w:val="30"/>
        </w:rPr>
        <w:t>生效。</w:t>
      </w:r>
      <w:bookmarkStart w:id="286" w:name="_Toc41581081"/>
      <w:bookmarkEnd w:id="286"/>
      <w:bookmarkStart w:id="287" w:name="_Toc41580961"/>
      <w:bookmarkEnd w:id="287"/>
      <w:bookmarkStart w:id="288" w:name="_Toc41575869"/>
      <w:bookmarkEnd w:id="288"/>
      <w:bookmarkStart w:id="289" w:name="_Toc41581080"/>
      <w:bookmarkEnd w:id="289"/>
      <w:bookmarkStart w:id="290" w:name="_Toc41580993"/>
      <w:bookmarkEnd w:id="290"/>
      <w:bookmarkStart w:id="291" w:name="_Toc40343387"/>
      <w:bookmarkEnd w:id="291"/>
      <w:bookmarkStart w:id="292" w:name="_Toc41581052"/>
      <w:bookmarkEnd w:id="292"/>
      <w:bookmarkStart w:id="293" w:name="_Toc41581051"/>
      <w:bookmarkEnd w:id="293"/>
      <w:bookmarkStart w:id="294" w:name="_Toc41575868"/>
      <w:bookmarkEnd w:id="294"/>
      <w:bookmarkStart w:id="295" w:name="_Toc40108215"/>
      <w:bookmarkEnd w:id="295"/>
      <w:bookmarkStart w:id="296" w:name="_Toc41581022"/>
      <w:bookmarkEnd w:id="296"/>
      <w:bookmarkStart w:id="297" w:name="_Toc39759411"/>
      <w:bookmarkEnd w:id="297"/>
      <w:bookmarkStart w:id="298" w:name="_Toc39759412"/>
      <w:bookmarkEnd w:id="298"/>
      <w:bookmarkStart w:id="299" w:name="_Toc41581108"/>
      <w:bookmarkEnd w:id="299"/>
      <w:bookmarkStart w:id="300" w:name="_Toc41580962"/>
      <w:bookmarkEnd w:id="300"/>
      <w:bookmarkStart w:id="301" w:name="_Toc41580849"/>
      <w:bookmarkEnd w:id="301"/>
      <w:bookmarkStart w:id="302" w:name="_Toc41580850"/>
      <w:bookmarkEnd w:id="302"/>
      <w:bookmarkStart w:id="303" w:name="_Toc41578205"/>
      <w:bookmarkEnd w:id="303"/>
      <w:bookmarkStart w:id="304" w:name="_Toc41578204"/>
      <w:bookmarkEnd w:id="304"/>
      <w:bookmarkStart w:id="305" w:name="_Toc41580994"/>
      <w:bookmarkEnd w:id="305"/>
      <w:bookmarkStart w:id="306" w:name="_Toc40108216"/>
      <w:bookmarkEnd w:id="306"/>
      <w:bookmarkStart w:id="307" w:name="_Toc41581023"/>
      <w:bookmarkEnd w:id="307"/>
      <w:bookmarkStart w:id="308" w:name="_Toc41581109"/>
      <w:bookmarkEnd w:id="308"/>
      <w:bookmarkStart w:id="309" w:name="_Toc40343386"/>
      <w:bookmarkEnd w:id="309"/>
      <w:bookmarkStart w:id="310" w:name="_Toc41585524"/>
    </w:p>
    <w:p w14:paraId="59388B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交易方式分类管理实施安排</w:t>
      </w:r>
    </w:p>
    <w:tbl>
      <w:tblPr>
        <w:tblStyle w:val="43"/>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926"/>
        <w:gridCol w:w="1298"/>
        <w:gridCol w:w="851"/>
        <w:gridCol w:w="2126"/>
        <w:gridCol w:w="992"/>
        <w:gridCol w:w="1560"/>
        <w:gridCol w:w="1134"/>
        <w:gridCol w:w="1031"/>
      </w:tblGrid>
      <w:tr w14:paraId="5E96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666E79B">
            <w:pPr>
              <w:pStyle w:val="90"/>
              <w:spacing w:line="240" w:lineRule="auto"/>
              <w:ind w:firstLine="0" w:firstLineChars="0"/>
              <w:rPr>
                <w:rFonts w:hAnsi="Times New Roman"/>
                <w:b/>
                <w:sz w:val="24"/>
                <w:szCs w:val="24"/>
              </w:rPr>
            </w:pPr>
            <w:r>
              <w:rPr>
                <w:rFonts w:hint="eastAsia" w:hAnsi="Times New Roman"/>
                <w:b/>
                <w:sz w:val="24"/>
                <w:szCs w:val="24"/>
              </w:rPr>
              <w:t>平台</w:t>
            </w:r>
          </w:p>
        </w:tc>
        <w:tc>
          <w:tcPr>
            <w:tcW w:w="3075" w:type="dxa"/>
            <w:gridSpan w:val="3"/>
            <w:vAlign w:val="center"/>
          </w:tcPr>
          <w:p w14:paraId="7C7C1444">
            <w:pPr>
              <w:pStyle w:val="90"/>
              <w:spacing w:line="240" w:lineRule="auto"/>
              <w:ind w:firstLine="482"/>
              <w:rPr>
                <w:rFonts w:hAnsi="Times New Roman"/>
                <w:b/>
                <w:sz w:val="24"/>
                <w:szCs w:val="24"/>
              </w:rPr>
            </w:pPr>
            <w:r>
              <w:rPr>
                <w:rFonts w:hint="eastAsia" w:hAnsi="Times New Roman"/>
                <w:b/>
                <w:sz w:val="24"/>
                <w:szCs w:val="24"/>
              </w:rPr>
              <w:t>新债券交易系统</w:t>
            </w:r>
          </w:p>
        </w:tc>
        <w:tc>
          <w:tcPr>
            <w:tcW w:w="4678" w:type="dxa"/>
            <w:gridSpan w:val="3"/>
            <w:vAlign w:val="center"/>
          </w:tcPr>
          <w:p w14:paraId="7349BEAF">
            <w:pPr>
              <w:pStyle w:val="90"/>
              <w:spacing w:line="240" w:lineRule="auto"/>
              <w:ind w:firstLine="0" w:firstLineChars="0"/>
              <w:jc w:val="center"/>
              <w:rPr>
                <w:rFonts w:hAnsi="Times New Roman"/>
                <w:b/>
                <w:sz w:val="24"/>
                <w:szCs w:val="24"/>
              </w:rPr>
            </w:pPr>
            <w:r>
              <w:rPr>
                <w:rFonts w:hint="eastAsia" w:hAnsi="Times New Roman"/>
                <w:b/>
                <w:sz w:val="24"/>
                <w:szCs w:val="24"/>
              </w:rPr>
              <w:t>固定收益平台</w:t>
            </w:r>
          </w:p>
        </w:tc>
        <w:tc>
          <w:tcPr>
            <w:tcW w:w="1134" w:type="dxa"/>
            <w:vAlign w:val="center"/>
          </w:tcPr>
          <w:p w14:paraId="0649D29A">
            <w:pPr>
              <w:pStyle w:val="90"/>
              <w:spacing w:line="240" w:lineRule="auto"/>
              <w:ind w:firstLine="0" w:firstLineChars="0"/>
              <w:jc w:val="center"/>
              <w:rPr>
                <w:rFonts w:hAnsi="Times New Roman"/>
                <w:b/>
                <w:sz w:val="24"/>
                <w:szCs w:val="24"/>
              </w:rPr>
            </w:pPr>
            <w:r>
              <w:rPr>
                <w:rFonts w:hint="eastAsia" w:hAnsi="Times New Roman"/>
                <w:b/>
                <w:sz w:val="24"/>
                <w:szCs w:val="24"/>
              </w:rPr>
              <w:t>综合业务平台</w:t>
            </w:r>
          </w:p>
        </w:tc>
        <w:tc>
          <w:tcPr>
            <w:tcW w:w="1031" w:type="dxa"/>
            <w:vAlign w:val="center"/>
          </w:tcPr>
          <w:p w14:paraId="7E608BC9">
            <w:pPr>
              <w:pStyle w:val="90"/>
              <w:spacing w:line="240" w:lineRule="auto"/>
              <w:ind w:firstLine="0" w:firstLineChars="0"/>
              <w:jc w:val="center"/>
              <w:rPr>
                <w:rFonts w:hAnsi="Times New Roman"/>
                <w:b/>
                <w:sz w:val="24"/>
                <w:szCs w:val="24"/>
              </w:rPr>
            </w:pPr>
            <w:r>
              <w:rPr>
                <w:rFonts w:hint="eastAsia" w:hAnsi="Times New Roman"/>
                <w:b/>
                <w:sz w:val="24"/>
                <w:szCs w:val="24"/>
              </w:rPr>
              <w:t>互联网交易平台</w:t>
            </w:r>
          </w:p>
        </w:tc>
      </w:tr>
      <w:tr w14:paraId="5CD0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99C6D5C">
            <w:pPr>
              <w:pStyle w:val="90"/>
              <w:spacing w:line="240" w:lineRule="auto"/>
              <w:ind w:firstLine="0" w:firstLineChars="0"/>
              <w:rPr>
                <w:rFonts w:hAnsi="Times New Roman"/>
                <w:b/>
                <w:sz w:val="24"/>
                <w:szCs w:val="24"/>
              </w:rPr>
            </w:pPr>
            <w:r>
              <w:rPr>
                <w:rFonts w:hint="eastAsia" w:hAnsi="Times New Roman"/>
                <w:b/>
                <w:sz w:val="24"/>
                <w:szCs w:val="24"/>
              </w:rPr>
              <w:t>交易品种</w:t>
            </w:r>
          </w:p>
        </w:tc>
        <w:tc>
          <w:tcPr>
            <w:tcW w:w="926" w:type="dxa"/>
            <w:vAlign w:val="center"/>
          </w:tcPr>
          <w:p w14:paraId="213BD8E5">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w:t>
            </w:r>
          </w:p>
        </w:tc>
        <w:tc>
          <w:tcPr>
            <w:tcW w:w="1298" w:type="dxa"/>
            <w:vAlign w:val="center"/>
          </w:tcPr>
          <w:p w14:paraId="773C652E">
            <w:pPr>
              <w:pStyle w:val="90"/>
              <w:ind w:firstLine="0" w:firstLineChars="0"/>
              <w:rPr>
                <w:rFonts w:hAnsi="Times New Roman"/>
                <w:sz w:val="24"/>
                <w:szCs w:val="24"/>
              </w:rPr>
            </w:pPr>
            <w:r>
              <w:rPr>
                <w:rFonts w:hint="eastAsia" w:hAnsi="Times New Roman"/>
                <w:sz w:val="24"/>
                <w:szCs w:val="24"/>
              </w:rPr>
              <w:t>公开发行公司债券、向不特定</w:t>
            </w:r>
            <w:r>
              <w:rPr>
                <w:rFonts w:hAnsi="Times New Roman"/>
                <w:sz w:val="24"/>
                <w:szCs w:val="24"/>
              </w:rPr>
              <w:t>对象发行的可转换公司债券（以下简称公</w:t>
            </w:r>
            <w:r>
              <w:rPr>
                <w:rFonts w:hint="eastAsia" w:hAnsi="Times New Roman"/>
                <w:sz w:val="24"/>
                <w:szCs w:val="24"/>
              </w:rPr>
              <w:t>募</w:t>
            </w:r>
            <w:r>
              <w:rPr>
                <w:rFonts w:hAnsi="Times New Roman"/>
                <w:sz w:val="24"/>
                <w:szCs w:val="24"/>
              </w:rPr>
              <w:t>可转债）</w:t>
            </w:r>
          </w:p>
        </w:tc>
        <w:tc>
          <w:tcPr>
            <w:tcW w:w="851" w:type="dxa"/>
            <w:vAlign w:val="center"/>
          </w:tcPr>
          <w:p w14:paraId="25244BF3">
            <w:pPr>
              <w:pStyle w:val="90"/>
              <w:spacing w:line="240" w:lineRule="auto"/>
              <w:ind w:firstLine="0" w:firstLineChars="0"/>
              <w:rPr>
                <w:rFonts w:hAnsi="Times New Roman"/>
                <w:sz w:val="24"/>
                <w:szCs w:val="24"/>
              </w:rPr>
            </w:pPr>
          </w:p>
          <w:p w14:paraId="4FFE668F">
            <w:pPr>
              <w:pStyle w:val="90"/>
              <w:spacing w:line="240" w:lineRule="auto"/>
              <w:ind w:firstLine="0" w:firstLineChars="0"/>
              <w:rPr>
                <w:rFonts w:hAnsi="Times New Roman"/>
                <w:sz w:val="24"/>
                <w:szCs w:val="24"/>
              </w:rPr>
            </w:pPr>
            <w:r>
              <w:rPr>
                <w:rFonts w:hint="eastAsia" w:hAnsi="Times New Roman"/>
                <w:sz w:val="24"/>
                <w:szCs w:val="24"/>
              </w:rPr>
              <w:t>债券通用质押式回购</w:t>
            </w:r>
          </w:p>
        </w:tc>
        <w:tc>
          <w:tcPr>
            <w:tcW w:w="2126" w:type="dxa"/>
            <w:vAlign w:val="center"/>
          </w:tcPr>
          <w:p w14:paraId="3F83BDE3">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债券现券、资产支持证券（《上海证券交易所债券交易规则适用指引第2号——债券通用质押式回购交易》中关于通用回购交易可以采用点击成交、询价成交、竞买成交、协商成交的规定暂缓实施）</w:t>
            </w:r>
          </w:p>
        </w:tc>
        <w:tc>
          <w:tcPr>
            <w:tcW w:w="992" w:type="dxa"/>
            <w:vAlign w:val="center"/>
          </w:tcPr>
          <w:p w14:paraId="55836065">
            <w:pPr>
              <w:pStyle w:val="90"/>
              <w:spacing w:line="240" w:lineRule="auto"/>
              <w:ind w:firstLine="0" w:firstLineChars="0"/>
              <w:rPr>
                <w:rFonts w:hAnsi="Times New Roman"/>
                <w:b/>
                <w:sz w:val="24"/>
                <w:szCs w:val="24"/>
              </w:rPr>
            </w:pPr>
            <w:r>
              <w:rPr>
                <w:rFonts w:hint="eastAsia" w:hAnsi="Times New Roman"/>
                <w:sz w:val="24"/>
                <w:szCs w:val="24"/>
              </w:rPr>
              <w:t>公募</w:t>
            </w:r>
            <w:r>
              <w:rPr>
                <w:rFonts w:hAnsi="Times New Roman"/>
                <w:sz w:val="24"/>
                <w:szCs w:val="24"/>
              </w:rPr>
              <w:t>可转债</w:t>
            </w:r>
            <w:r>
              <w:rPr>
                <w:rFonts w:hint="eastAsia" w:hAnsi="Times New Roman"/>
                <w:sz w:val="24"/>
                <w:szCs w:val="24"/>
              </w:rPr>
              <w:t>、R</w:t>
            </w:r>
            <w:r>
              <w:rPr>
                <w:rFonts w:hAnsi="Times New Roman"/>
                <w:sz w:val="24"/>
                <w:szCs w:val="24"/>
              </w:rPr>
              <w:t>EITs</w:t>
            </w:r>
          </w:p>
        </w:tc>
        <w:tc>
          <w:tcPr>
            <w:tcW w:w="1560" w:type="dxa"/>
            <w:vAlign w:val="center"/>
          </w:tcPr>
          <w:p w14:paraId="70F96E09">
            <w:pPr>
              <w:pStyle w:val="90"/>
              <w:spacing w:line="240" w:lineRule="auto"/>
              <w:ind w:firstLine="0" w:firstLineChars="0"/>
              <w:rPr>
                <w:rFonts w:hAnsi="Times New Roman"/>
                <w:b/>
                <w:sz w:val="24"/>
                <w:szCs w:val="24"/>
              </w:rPr>
            </w:pPr>
            <w:r>
              <w:rPr>
                <w:rFonts w:hint="eastAsia" w:hAnsi="Times New Roman"/>
                <w:sz w:val="24"/>
                <w:szCs w:val="24"/>
              </w:rPr>
              <w:t>协议回购、三方回购、信用保护工具</w:t>
            </w:r>
            <w:r>
              <w:rPr>
                <w:rFonts w:hAnsi="Times New Roman"/>
                <w:sz w:val="24"/>
                <w:szCs w:val="24"/>
              </w:rPr>
              <w:t>等</w:t>
            </w:r>
          </w:p>
        </w:tc>
        <w:tc>
          <w:tcPr>
            <w:tcW w:w="1134" w:type="dxa"/>
            <w:vAlign w:val="center"/>
          </w:tcPr>
          <w:p w14:paraId="4B904BFA">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031" w:type="dxa"/>
            <w:vAlign w:val="center"/>
          </w:tcPr>
          <w:p w14:paraId="14EAB72E">
            <w:pPr>
              <w:pStyle w:val="90"/>
              <w:spacing w:line="240" w:lineRule="auto"/>
              <w:ind w:firstLine="0" w:firstLineChars="0"/>
              <w:rPr>
                <w:rFonts w:hAnsi="Times New Roman"/>
                <w:sz w:val="24"/>
                <w:szCs w:val="24"/>
              </w:rPr>
            </w:pPr>
            <w:r>
              <w:rPr>
                <w:rFonts w:hint="eastAsia" w:hAnsi="Times New Roman"/>
                <w:sz w:val="24"/>
                <w:szCs w:val="24"/>
              </w:rPr>
              <w:t>债券借贷</w:t>
            </w:r>
          </w:p>
        </w:tc>
      </w:tr>
      <w:tr w14:paraId="4069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31686F7">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3075" w:type="dxa"/>
            <w:gridSpan w:val="3"/>
            <w:vAlign w:val="center"/>
          </w:tcPr>
          <w:p w14:paraId="2CA28A0C">
            <w:pPr>
              <w:pStyle w:val="90"/>
              <w:spacing w:line="240" w:lineRule="auto"/>
              <w:ind w:firstLine="480"/>
              <w:rPr>
                <w:rFonts w:hAnsi="Times New Roman"/>
                <w:sz w:val="24"/>
                <w:szCs w:val="24"/>
              </w:rPr>
            </w:pPr>
            <w:r>
              <w:rPr>
                <w:rFonts w:hint="eastAsia" w:hAnsi="Times New Roman"/>
                <w:sz w:val="24"/>
                <w:szCs w:val="24"/>
              </w:rPr>
              <w:t>匹配成交</w:t>
            </w:r>
          </w:p>
        </w:tc>
        <w:tc>
          <w:tcPr>
            <w:tcW w:w="2126" w:type="dxa"/>
            <w:vAlign w:val="center"/>
          </w:tcPr>
          <w:p w14:paraId="6745B43E">
            <w:pPr>
              <w:pStyle w:val="90"/>
              <w:spacing w:line="240" w:lineRule="auto"/>
              <w:ind w:firstLine="0" w:firstLineChars="0"/>
              <w:rPr>
                <w:rFonts w:hAnsi="Times New Roman"/>
                <w:sz w:val="24"/>
                <w:szCs w:val="24"/>
              </w:rPr>
            </w:pPr>
            <w:r>
              <w:rPr>
                <w:rFonts w:hint="eastAsia" w:hAnsi="Times New Roman"/>
                <w:sz w:val="24"/>
                <w:szCs w:val="24"/>
              </w:rPr>
              <w:t>询价成交、点击成交、竞买成交、协商成交</w:t>
            </w:r>
          </w:p>
        </w:tc>
        <w:tc>
          <w:tcPr>
            <w:tcW w:w="992" w:type="dxa"/>
            <w:vAlign w:val="center"/>
          </w:tcPr>
          <w:p w14:paraId="24E87DBE">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1560" w:type="dxa"/>
            <w:vAlign w:val="center"/>
          </w:tcPr>
          <w:p w14:paraId="62527ADD">
            <w:pPr>
              <w:pStyle w:val="90"/>
              <w:spacing w:line="240" w:lineRule="auto"/>
              <w:ind w:firstLine="0" w:firstLineChars="0"/>
              <w:rPr>
                <w:rFonts w:hAnsi="Times New Roman"/>
                <w:b/>
                <w:sz w:val="24"/>
                <w:szCs w:val="24"/>
              </w:rPr>
            </w:pPr>
            <w:r>
              <w:rPr>
                <w:rFonts w:hint="eastAsia" w:hAnsi="Times New Roman"/>
                <w:sz w:val="24"/>
                <w:szCs w:val="24"/>
              </w:rPr>
              <w:t>协商成交（其他交易方式开通时间由本所另行通知）</w:t>
            </w:r>
          </w:p>
        </w:tc>
        <w:tc>
          <w:tcPr>
            <w:tcW w:w="1134" w:type="dxa"/>
            <w:vAlign w:val="center"/>
          </w:tcPr>
          <w:p w14:paraId="71B51DC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1031" w:type="dxa"/>
            <w:vAlign w:val="center"/>
          </w:tcPr>
          <w:p w14:paraId="53AC2FAB">
            <w:pPr>
              <w:pStyle w:val="90"/>
              <w:spacing w:line="240" w:lineRule="auto"/>
              <w:ind w:firstLine="0" w:firstLineChars="0"/>
              <w:rPr>
                <w:rFonts w:hAnsi="Times New Roman"/>
                <w:sz w:val="24"/>
                <w:szCs w:val="24"/>
              </w:rPr>
            </w:pPr>
            <w:r>
              <w:rPr>
                <w:rFonts w:hint="eastAsia" w:hAnsi="Times New Roman"/>
                <w:sz w:val="24"/>
                <w:szCs w:val="24"/>
              </w:rPr>
              <w:t>协商成交</w:t>
            </w:r>
          </w:p>
        </w:tc>
      </w:tr>
    </w:tbl>
    <w:p w14:paraId="4BE6E768">
      <w:pPr>
        <w:numPr>
          <w:ilvl w:val="1"/>
          <w:numId w:val="4"/>
        </w:numPr>
        <w:spacing w:line="600" w:lineRule="exact"/>
        <w:ind w:left="0" w:firstLine="0"/>
        <w:outlineLvl w:val="1"/>
        <w:rPr>
          <w:rFonts w:ascii="仿宋_GB2312" w:eastAsia="仿宋_GB2312"/>
          <w:b/>
          <w:sz w:val="30"/>
          <w:szCs w:val="30"/>
        </w:rPr>
      </w:pPr>
      <w:bookmarkStart w:id="311" w:name="_Toc56166077"/>
      <w:bookmarkStart w:id="312" w:name="_Toc56166266"/>
      <w:bookmarkStart w:id="313" w:name="_Toc151136896"/>
      <w:r>
        <w:rPr>
          <w:rFonts w:hint="eastAsia" w:ascii="仿宋_GB2312" w:eastAsia="仿宋_GB2312"/>
          <w:b/>
          <w:sz w:val="30"/>
          <w:szCs w:val="30"/>
        </w:rPr>
        <w:t>交易</w:t>
      </w:r>
      <w:r>
        <w:rPr>
          <w:rFonts w:ascii="仿宋_GB2312" w:eastAsia="仿宋_GB2312"/>
          <w:b/>
          <w:sz w:val="30"/>
          <w:szCs w:val="30"/>
        </w:rPr>
        <w:t>申报</w:t>
      </w:r>
      <w:bookmarkEnd w:id="310"/>
      <w:bookmarkEnd w:id="311"/>
      <w:bookmarkEnd w:id="312"/>
      <w:bookmarkEnd w:id="313"/>
    </w:p>
    <w:p w14:paraId="652102A5">
      <w:pPr>
        <w:numPr>
          <w:ilvl w:val="2"/>
          <w:numId w:val="4"/>
        </w:numPr>
        <w:spacing w:line="600" w:lineRule="exact"/>
        <w:ind w:left="0" w:firstLine="0"/>
        <w:outlineLvl w:val="2"/>
        <w:rPr>
          <w:rFonts w:ascii="仿宋_GB2312" w:eastAsia="仿宋_GB2312"/>
          <w:b/>
          <w:kern w:val="0"/>
          <w:sz w:val="30"/>
          <w:szCs w:val="30"/>
        </w:rPr>
      </w:pPr>
      <w:bookmarkStart w:id="314" w:name="_Toc57908886"/>
      <w:r>
        <w:rPr>
          <w:rFonts w:hint="eastAsia" w:ascii="仿宋_GB2312" w:eastAsia="仿宋_GB2312"/>
          <w:b/>
          <w:kern w:val="0"/>
          <w:sz w:val="30"/>
          <w:szCs w:val="30"/>
        </w:rPr>
        <w:t>申报数量要求</w:t>
      </w:r>
      <w:bookmarkEnd w:id="314"/>
    </w:p>
    <w:p w14:paraId="1E4E91F2">
      <w:pPr>
        <w:spacing w:line="600" w:lineRule="exact"/>
        <w:ind w:left="567"/>
        <w:outlineLvl w:val="3"/>
        <w:rPr>
          <w:rFonts w:ascii="仿宋_GB2312" w:eastAsia="仿宋_GB2312"/>
          <w:kern w:val="0"/>
          <w:sz w:val="30"/>
          <w:szCs w:val="30"/>
        </w:rPr>
      </w:pPr>
      <w:r>
        <w:rPr>
          <w:rFonts w:hint="eastAsia" w:ascii="仿宋_GB2312" w:eastAsia="仿宋_GB2312"/>
          <w:kern w:val="0"/>
          <w:sz w:val="30"/>
          <w:szCs w:val="30"/>
        </w:rPr>
        <w:t>（</w:t>
      </w:r>
      <w:r>
        <w:rPr>
          <w:rFonts w:ascii="仿宋_GB2312" w:eastAsia="仿宋_GB2312"/>
          <w:kern w:val="0"/>
          <w:sz w:val="30"/>
          <w:szCs w:val="30"/>
        </w:rPr>
        <w:t>1</w:t>
      </w:r>
      <w:r>
        <w:rPr>
          <w:rFonts w:hint="eastAsia" w:ascii="仿宋_GB2312" w:eastAsia="仿宋_GB2312"/>
          <w:kern w:val="0"/>
          <w:sz w:val="30"/>
          <w:szCs w:val="30"/>
        </w:rPr>
        <w:t>）最小申报数量与申报数量最小变动单位</w:t>
      </w:r>
    </w:p>
    <w:p w14:paraId="3413A6A2">
      <w:pPr>
        <w:pStyle w:val="90"/>
        <w:spacing w:line="600" w:lineRule="exact"/>
        <w:ind w:firstLine="600"/>
        <w:rPr>
          <w:rFonts w:hAnsi="Times New Roman"/>
          <w:sz w:val="30"/>
          <w:szCs w:val="30"/>
        </w:rPr>
      </w:pPr>
      <w:r>
        <w:rPr>
          <w:rFonts w:hint="eastAsia" w:hAnsi="Times New Roman"/>
          <w:sz w:val="30"/>
          <w:szCs w:val="30"/>
        </w:rPr>
        <w:t>本所对不同债券在不同交易方式下的最小申报数量与申报数量最小变动单位有不同要求（详见下表），</w:t>
      </w:r>
      <w:r>
        <w:rPr>
          <w:rFonts w:hAnsi="Times New Roman"/>
          <w:sz w:val="30"/>
          <w:szCs w:val="30"/>
        </w:rPr>
        <w:t>本所可以根据市场情况调整</w:t>
      </w:r>
      <w:r>
        <w:rPr>
          <w:rFonts w:hint="eastAsia" w:hAnsi="Times New Roman"/>
          <w:sz w:val="30"/>
          <w:szCs w:val="30"/>
        </w:rPr>
        <w:t>相关</w:t>
      </w:r>
      <w:r>
        <w:rPr>
          <w:rFonts w:hAnsi="Times New Roman"/>
          <w:sz w:val="30"/>
          <w:szCs w:val="30"/>
        </w:rPr>
        <w:t>申报数量</w:t>
      </w:r>
      <w:r>
        <w:rPr>
          <w:rFonts w:hint="eastAsia" w:hAnsi="Times New Roman"/>
          <w:sz w:val="30"/>
          <w:szCs w:val="30"/>
        </w:rPr>
        <w:t>要求</w:t>
      </w:r>
      <w:r>
        <w:rPr>
          <w:rFonts w:hAnsi="Times New Roman"/>
          <w:sz w:val="30"/>
          <w:szCs w:val="30"/>
        </w:rPr>
        <w:t>。</w:t>
      </w:r>
    </w:p>
    <w:tbl>
      <w:tblPr>
        <w:tblStyle w:val="43"/>
        <w:tblW w:w="11057" w:type="dxa"/>
        <w:tblInd w:w="-1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352"/>
        <w:gridCol w:w="2268"/>
        <w:gridCol w:w="1843"/>
        <w:gridCol w:w="1417"/>
        <w:gridCol w:w="2127"/>
        <w:gridCol w:w="1275"/>
      </w:tblGrid>
      <w:tr w14:paraId="2159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Align w:val="center"/>
          </w:tcPr>
          <w:p w14:paraId="5E48EA32">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352" w:type="dxa"/>
            <w:vAlign w:val="center"/>
          </w:tcPr>
          <w:p w14:paraId="720F4651">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2268" w:type="dxa"/>
            <w:vAlign w:val="center"/>
          </w:tcPr>
          <w:p w14:paraId="1E77080A">
            <w:pPr>
              <w:pStyle w:val="90"/>
              <w:spacing w:line="240" w:lineRule="auto"/>
              <w:ind w:firstLine="482"/>
              <w:rPr>
                <w:rFonts w:hAnsi="Times New Roman"/>
                <w:b/>
                <w:sz w:val="24"/>
                <w:szCs w:val="24"/>
              </w:rPr>
            </w:pPr>
            <w:r>
              <w:rPr>
                <w:rFonts w:hint="eastAsia" w:hAnsi="Times New Roman"/>
                <w:b/>
                <w:sz w:val="24"/>
                <w:szCs w:val="24"/>
              </w:rPr>
              <w:t>匹配成交</w:t>
            </w:r>
          </w:p>
        </w:tc>
        <w:tc>
          <w:tcPr>
            <w:tcW w:w="1843" w:type="dxa"/>
            <w:vAlign w:val="center"/>
          </w:tcPr>
          <w:p w14:paraId="6D8A63C3">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417" w:type="dxa"/>
            <w:vAlign w:val="center"/>
          </w:tcPr>
          <w:p w14:paraId="0ADA20D8">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2127" w:type="dxa"/>
            <w:vAlign w:val="center"/>
          </w:tcPr>
          <w:p w14:paraId="3AE34641">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5B701CEE">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2C37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75" w:type="dxa"/>
            <w:vMerge w:val="restart"/>
            <w:vAlign w:val="center"/>
          </w:tcPr>
          <w:p w14:paraId="2D3EF174">
            <w:pPr>
              <w:pStyle w:val="90"/>
              <w:spacing w:line="240" w:lineRule="auto"/>
              <w:ind w:firstLine="0" w:firstLineChars="0"/>
              <w:rPr>
                <w:rFonts w:hAnsi="Times New Roman"/>
                <w:sz w:val="24"/>
                <w:szCs w:val="24"/>
              </w:rPr>
            </w:pPr>
            <w:r>
              <w:rPr>
                <w:rFonts w:hint="eastAsia" w:hAnsi="Times New Roman"/>
                <w:sz w:val="24"/>
                <w:szCs w:val="24"/>
              </w:rPr>
              <w:t>现券</w:t>
            </w:r>
          </w:p>
          <w:p w14:paraId="12E04584">
            <w:pPr>
              <w:pStyle w:val="90"/>
              <w:spacing w:line="240" w:lineRule="auto"/>
              <w:ind w:firstLine="480"/>
              <w:rPr>
                <w:rFonts w:hAnsi="Times New Roman"/>
                <w:sz w:val="24"/>
                <w:szCs w:val="24"/>
              </w:rPr>
            </w:pPr>
          </w:p>
        </w:tc>
        <w:tc>
          <w:tcPr>
            <w:tcW w:w="1352" w:type="dxa"/>
            <w:vAlign w:val="center"/>
          </w:tcPr>
          <w:p w14:paraId="35D2BE04">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国债、地方债、政策性金融债、政府支持债券、公司债</w:t>
            </w:r>
          </w:p>
          <w:p w14:paraId="3332050C">
            <w:pPr>
              <w:pStyle w:val="90"/>
              <w:spacing w:line="240" w:lineRule="auto"/>
              <w:ind w:firstLine="0" w:firstLineChars="0"/>
              <w:rPr>
                <w:rFonts w:hAnsi="Times New Roman"/>
                <w:sz w:val="24"/>
                <w:szCs w:val="24"/>
              </w:rPr>
            </w:pPr>
          </w:p>
        </w:tc>
        <w:tc>
          <w:tcPr>
            <w:tcW w:w="2268" w:type="dxa"/>
            <w:vAlign w:val="center"/>
          </w:tcPr>
          <w:p w14:paraId="72EA5F6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万元面额，卖出时不足</w:t>
            </w:r>
            <w:r>
              <w:rPr>
                <w:rFonts w:hAnsi="Times New Roman"/>
                <w:sz w:val="24"/>
                <w:szCs w:val="24"/>
              </w:rPr>
              <w:t>10</w:t>
            </w:r>
            <w:r>
              <w:rPr>
                <w:rFonts w:hint="eastAsia" w:hAnsi="Times New Roman"/>
                <w:sz w:val="24"/>
                <w:szCs w:val="24"/>
              </w:rPr>
              <w:t>万元面额的部分，应当一次性申报；</w:t>
            </w:r>
          </w:p>
          <w:p w14:paraId="6218754F">
            <w:pPr>
              <w:pStyle w:val="90"/>
              <w:spacing w:line="240" w:lineRule="auto"/>
              <w:ind w:firstLine="480"/>
              <w:rPr>
                <w:rFonts w:hAnsi="Times New Roman"/>
                <w:sz w:val="24"/>
                <w:szCs w:val="24"/>
              </w:rPr>
            </w:pPr>
          </w:p>
        </w:tc>
        <w:tc>
          <w:tcPr>
            <w:tcW w:w="1843" w:type="dxa"/>
            <w:vAlign w:val="center"/>
          </w:tcPr>
          <w:p w14:paraId="336BD85D">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w:t>
            </w:r>
          </w:p>
        </w:tc>
        <w:tc>
          <w:tcPr>
            <w:tcW w:w="1417" w:type="dxa"/>
            <w:vAlign w:val="center"/>
          </w:tcPr>
          <w:p w14:paraId="1C66093B">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c>
          <w:tcPr>
            <w:tcW w:w="2127" w:type="dxa"/>
            <w:vAlign w:val="center"/>
          </w:tcPr>
          <w:p w14:paraId="1728ED87">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p w14:paraId="6E100643">
            <w:pPr>
              <w:pStyle w:val="90"/>
              <w:spacing w:line="240" w:lineRule="auto"/>
              <w:ind w:firstLine="0" w:firstLineChars="0"/>
              <w:rPr>
                <w:rFonts w:hAnsi="Times New Roman"/>
                <w:sz w:val="24"/>
                <w:szCs w:val="24"/>
              </w:rPr>
            </w:pPr>
            <w:r>
              <w:rPr>
                <w:rFonts w:hint="eastAsia" w:hAnsi="Times New Roman"/>
                <w:sz w:val="24"/>
                <w:szCs w:val="24"/>
              </w:rPr>
              <w:t>（《债券交易规则》关于“采用协商成交方式的，债券现券申报数量应当不低于</w:t>
            </w:r>
            <w:r>
              <w:rPr>
                <w:rFonts w:hAnsi="Times New Roman"/>
                <w:sz w:val="24"/>
                <w:szCs w:val="24"/>
              </w:rPr>
              <w:t>1000</w:t>
            </w:r>
            <w:r>
              <w:rPr>
                <w:rFonts w:hint="eastAsia" w:hAnsi="Times New Roman"/>
                <w:sz w:val="24"/>
                <w:szCs w:val="24"/>
              </w:rPr>
              <w:t>元面额，且为</w:t>
            </w:r>
            <w:r>
              <w:rPr>
                <w:rFonts w:hAnsi="Times New Roman"/>
                <w:sz w:val="24"/>
                <w:szCs w:val="24"/>
              </w:rPr>
              <w:t>100</w:t>
            </w:r>
            <w:r>
              <w:rPr>
                <w:rFonts w:hint="eastAsia" w:hAnsi="Times New Roman"/>
                <w:sz w:val="24"/>
                <w:szCs w:val="24"/>
              </w:rPr>
              <w:t>元面额整数倍”的规定暂缓施行。）</w:t>
            </w:r>
          </w:p>
        </w:tc>
        <w:tc>
          <w:tcPr>
            <w:tcW w:w="1275" w:type="dxa"/>
            <w:vAlign w:val="center"/>
          </w:tcPr>
          <w:p w14:paraId="090B5D9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r>
      <w:tr w14:paraId="6EFB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40B93BB">
            <w:pPr>
              <w:pStyle w:val="90"/>
              <w:spacing w:line="240" w:lineRule="auto"/>
              <w:ind w:firstLine="0" w:firstLineChars="0"/>
              <w:rPr>
                <w:rFonts w:hAnsi="Times New Roman"/>
                <w:sz w:val="24"/>
                <w:szCs w:val="24"/>
              </w:rPr>
            </w:pPr>
          </w:p>
        </w:tc>
        <w:tc>
          <w:tcPr>
            <w:tcW w:w="1352" w:type="dxa"/>
            <w:vAlign w:val="center"/>
          </w:tcPr>
          <w:p w14:paraId="1760CCF1">
            <w:pPr>
              <w:pStyle w:val="90"/>
              <w:spacing w:line="240" w:lineRule="auto"/>
              <w:ind w:firstLine="0" w:firstLineChars="0"/>
              <w:rPr>
                <w:rFonts w:hAnsi="Times New Roman"/>
                <w:sz w:val="24"/>
                <w:szCs w:val="24"/>
              </w:rPr>
            </w:pPr>
            <w:r>
              <w:rPr>
                <w:rFonts w:hAnsi="Times New Roman"/>
                <w:sz w:val="24"/>
                <w:szCs w:val="24"/>
              </w:rPr>
              <w:t>ABS</w:t>
            </w:r>
          </w:p>
        </w:tc>
        <w:tc>
          <w:tcPr>
            <w:tcW w:w="2268" w:type="dxa"/>
            <w:vAlign w:val="center"/>
          </w:tcPr>
          <w:p w14:paraId="07BC3635">
            <w:pPr>
              <w:pStyle w:val="90"/>
              <w:spacing w:line="240" w:lineRule="auto"/>
              <w:ind w:firstLine="0" w:firstLineChars="0"/>
              <w:jc w:val="center"/>
              <w:rPr>
                <w:rFonts w:hAnsi="Times New Roman"/>
                <w:sz w:val="24"/>
                <w:szCs w:val="24"/>
              </w:rPr>
            </w:pPr>
            <w:r>
              <w:rPr>
                <w:rFonts w:hAnsi="Times New Roman"/>
                <w:sz w:val="24"/>
                <w:szCs w:val="24"/>
              </w:rPr>
              <w:t>--</w:t>
            </w:r>
          </w:p>
        </w:tc>
        <w:tc>
          <w:tcPr>
            <w:tcW w:w="6662" w:type="dxa"/>
            <w:gridSpan w:val="4"/>
            <w:vAlign w:val="center"/>
          </w:tcPr>
          <w:p w14:paraId="589821C0">
            <w:pPr>
              <w:pStyle w:val="90"/>
              <w:spacing w:line="240" w:lineRule="auto"/>
              <w:ind w:firstLine="0" w:firstLineChars="0"/>
              <w:rPr>
                <w:rFonts w:hAnsi="Times New Roman"/>
                <w:sz w:val="24"/>
                <w:szCs w:val="24"/>
              </w:rPr>
            </w:pPr>
            <w:r>
              <w:rPr>
                <w:rFonts w:hint="eastAsia" w:hAnsi="Times New Roman"/>
                <w:sz w:val="24"/>
                <w:szCs w:val="24"/>
              </w:rPr>
              <w:t>单笔最小申报数量为</w:t>
            </w:r>
            <w:r>
              <w:rPr>
                <w:rFonts w:hAnsi="Times New Roman"/>
                <w:sz w:val="24"/>
                <w:szCs w:val="24"/>
              </w:rPr>
              <w:t>10</w:t>
            </w:r>
            <w:r>
              <w:rPr>
                <w:rFonts w:hint="eastAsia" w:hAnsi="Times New Roman"/>
                <w:sz w:val="24"/>
                <w:szCs w:val="24"/>
              </w:rPr>
              <w:t>0万元面额</w:t>
            </w:r>
          </w:p>
        </w:tc>
      </w:tr>
      <w:tr w14:paraId="72C1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4F833489">
            <w:pPr>
              <w:pStyle w:val="90"/>
              <w:spacing w:line="240" w:lineRule="auto"/>
              <w:ind w:firstLine="0" w:firstLineChars="0"/>
              <w:rPr>
                <w:rFonts w:hAnsi="Times New Roman"/>
                <w:sz w:val="24"/>
                <w:szCs w:val="24"/>
              </w:rPr>
            </w:pPr>
            <w:r>
              <w:rPr>
                <w:rFonts w:hint="eastAsia" w:hAnsi="Times New Roman"/>
                <w:sz w:val="24"/>
                <w:szCs w:val="24"/>
              </w:rPr>
              <w:t>回购</w:t>
            </w:r>
          </w:p>
        </w:tc>
        <w:tc>
          <w:tcPr>
            <w:tcW w:w="1352" w:type="dxa"/>
            <w:vAlign w:val="center"/>
          </w:tcPr>
          <w:p w14:paraId="65D0B369">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2268" w:type="dxa"/>
            <w:vAlign w:val="center"/>
          </w:tcPr>
          <w:p w14:paraId="4B25CE9E">
            <w:pPr>
              <w:pStyle w:val="90"/>
              <w:spacing w:line="240" w:lineRule="auto"/>
              <w:ind w:firstLine="0" w:firstLineChars="0"/>
              <w:rPr>
                <w:rFonts w:hAnsi="Times New Roman"/>
                <w:sz w:val="24"/>
                <w:szCs w:val="24"/>
              </w:rPr>
            </w:pPr>
            <w:r>
              <w:rPr>
                <w:rFonts w:hint="eastAsia" w:hAnsi="Times New Roman"/>
                <w:sz w:val="24"/>
                <w:szCs w:val="24"/>
              </w:rPr>
              <w:t>最小申报数量</w:t>
            </w:r>
            <w:r>
              <w:rPr>
                <w:rFonts w:hAnsi="Times New Roman"/>
                <w:sz w:val="24"/>
                <w:szCs w:val="24"/>
              </w:rPr>
              <w:t>1000</w:t>
            </w:r>
            <w:r>
              <w:rPr>
                <w:rFonts w:hint="eastAsia" w:hAnsi="Times New Roman"/>
                <w:sz w:val="24"/>
                <w:szCs w:val="24"/>
              </w:rPr>
              <w:t>元面额；数量最小变动单位</w:t>
            </w:r>
            <w:r>
              <w:rPr>
                <w:rFonts w:hAnsi="Times New Roman"/>
                <w:sz w:val="24"/>
                <w:szCs w:val="24"/>
              </w:rPr>
              <w:t>1000</w:t>
            </w:r>
            <w:r>
              <w:rPr>
                <w:rFonts w:hint="eastAsia" w:hAnsi="Times New Roman"/>
                <w:sz w:val="24"/>
                <w:szCs w:val="24"/>
              </w:rPr>
              <w:t>元面额</w:t>
            </w:r>
          </w:p>
        </w:tc>
        <w:tc>
          <w:tcPr>
            <w:tcW w:w="6662" w:type="dxa"/>
            <w:gridSpan w:val="4"/>
            <w:vAlign w:val="center"/>
          </w:tcPr>
          <w:p w14:paraId="7506CBC1">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（《上海证券交易所债券交易规则适用指引第2号——债券通用质押式回购交易》关于“通用回购交易采用点击成交、询价成交、竞买成交、协商成交等其他交易方式达成”的规定暂缓施行。）</w:t>
            </w:r>
          </w:p>
        </w:tc>
      </w:tr>
      <w:tr w14:paraId="26F1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5E950660">
            <w:pPr>
              <w:pStyle w:val="90"/>
              <w:spacing w:line="240" w:lineRule="auto"/>
              <w:ind w:firstLine="480"/>
              <w:rPr>
                <w:rFonts w:hAnsi="Times New Roman"/>
                <w:sz w:val="24"/>
                <w:szCs w:val="24"/>
              </w:rPr>
            </w:pPr>
          </w:p>
        </w:tc>
        <w:tc>
          <w:tcPr>
            <w:tcW w:w="1352" w:type="dxa"/>
            <w:vAlign w:val="center"/>
          </w:tcPr>
          <w:p w14:paraId="08D18459">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2268" w:type="dxa"/>
            <w:vAlign w:val="center"/>
          </w:tcPr>
          <w:p w14:paraId="2BD84C2A">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6106EFEF">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CBB4D33">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41C42AD5">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7FA19B19">
            <w:pPr>
              <w:pStyle w:val="90"/>
              <w:spacing w:line="240" w:lineRule="auto"/>
              <w:ind w:firstLine="480"/>
              <w:rPr>
                <w:rFonts w:hAnsi="Times New Roman"/>
                <w:sz w:val="24"/>
                <w:szCs w:val="24"/>
              </w:rPr>
            </w:pPr>
            <w:r>
              <w:rPr>
                <w:rFonts w:hAnsi="Times New Roman"/>
                <w:sz w:val="24"/>
                <w:szCs w:val="24"/>
              </w:rPr>
              <w:t>--</w:t>
            </w:r>
          </w:p>
        </w:tc>
      </w:tr>
      <w:tr w14:paraId="2BB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2FF389CE">
            <w:pPr>
              <w:pStyle w:val="90"/>
              <w:spacing w:line="240" w:lineRule="auto"/>
              <w:ind w:firstLine="480"/>
              <w:rPr>
                <w:rFonts w:hAnsi="Times New Roman"/>
                <w:sz w:val="24"/>
                <w:szCs w:val="24"/>
              </w:rPr>
            </w:pPr>
          </w:p>
        </w:tc>
        <w:tc>
          <w:tcPr>
            <w:tcW w:w="1352" w:type="dxa"/>
            <w:vAlign w:val="center"/>
          </w:tcPr>
          <w:p w14:paraId="038E7F5F">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2268" w:type="dxa"/>
            <w:vAlign w:val="center"/>
          </w:tcPr>
          <w:p w14:paraId="2687BF48">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7B0EA56">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5EF43911">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054C7692">
            <w:pPr>
              <w:pStyle w:val="90"/>
              <w:spacing w:line="240" w:lineRule="auto"/>
              <w:ind w:firstLine="0" w:firstLineChars="0"/>
              <w:rPr>
                <w:rFonts w:hAnsi="Times New Roman"/>
                <w:sz w:val="24"/>
                <w:szCs w:val="24"/>
              </w:rPr>
            </w:pPr>
            <w:r>
              <w:rPr>
                <w:rFonts w:hint="eastAsia" w:hAnsi="Times New Roman"/>
                <w:sz w:val="24"/>
                <w:szCs w:val="24"/>
              </w:rPr>
              <w:t>回购金额为</w:t>
            </w:r>
            <w:r>
              <w:rPr>
                <w:rFonts w:hAnsi="Times New Roman"/>
                <w:sz w:val="24"/>
                <w:szCs w:val="24"/>
              </w:rPr>
              <w:t>100</w:t>
            </w:r>
            <w:r>
              <w:rPr>
                <w:rFonts w:hint="eastAsia" w:hAnsi="Times New Roman"/>
                <w:sz w:val="24"/>
                <w:szCs w:val="24"/>
              </w:rPr>
              <w:t>万元及整数倍</w:t>
            </w:r>
          </w:p>
        </w:tc>
        <w:tc>
          <w:tcPr>
            <w:tcW w:w="1275" w:type="dxa"/>
            <w:vAlign w:val="center"/>
          </w:tcPr>
          <w:p w14:paraId="70B335E3">
            <w:pPr>
              <w:pStyle w:val="90"/>
              <w:spacing w:line="240" w:lineRule="auto"/>
              <w:ind w:firstLine="480"/>
              <w:rPr>
                <w:rFonts w:hAnsi="Times New Roman"/>
                <w:sz w:val="24"/>
                <w:szCs w:val="24"/>
              </w:rPr>
            </w:pPr>
            <w:r>
              <w:rPr>
                <w:rFonts w:hAnsi="Times New Roman"/>
                <w:sz w:val="24"/>
                <w:szCs w:val="24"/>
              </w:rPr>
              <w:t>--</w:t>
            </w:r>
          </w:p>
        </w:tc>
      </w:tr>
      <w:tr w14:paraId="69BF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1F826056">
            <w:pPr>
              <w:pStyle w:val="90"/>
              <w:spacing w:line="240" w:lineRule="auto"/>
              <w:ind w:firstLine="0" w:firstLineChars="0"/>
              <w:rPr>
                <w:rFonts w:hAnsi="Times New Roman"/>
                <w:sz w:val="24"/>
                <w:szCs w:val="24"/>
              </w:rPr>
            </w:pPr>
            <w:r>
              <w:rPr>
                <w:rFonts w:hint="eastAsia" w:hAnsi="Times New Roman"/>
                <w:sz w:val="24"/>
                <w:szCs w:val="24"/>
              </w:rPr>
              <w:t>其他</w:t>
            </w:r>
          </w:p>
        </w:tc>
        <w:tc>
          <w:tcPr>
            <w:tcW w:w="1352" w:type="dxa"/>
            <w:vAlign w:val="center"/>
          </w:tcPr>
          <w:p w14:paraId="547DE611">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2268" w:type="dxa"/>
            <w:vAlign w:val="center"/>
          </w:tcPr>
          <w:p w14:paraId="22435D37">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013D0C1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4EBAA29C">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75E620DC">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409F3724">
            <w:pPr>
              <w:pStyle w:val="90"/>
              <w:spacing w:line="240" w:lineRule="auto"/>
              <w:ind w:firstLine="480"/>
              <w:rPr>
                <w:rFonts w:hAnsi="Times New Roman"/>
                <w:sz w:val="24"/>
                <w:szCs w:val="24"/>
              </w:rPr>
            </w:pPr>
            <w:r>
              <w:rPr>
                <w:rFonts w:hAnsi="Times New Roman"/>
                <w:sz w:val="24"/>
                <w:szCs w:val="24"/>
              </w:rPr>
              <w:t>--</w:t>
            </w:r>
          </w:p>
        </w:tc>
      </w:tr>
      <w:tr w14:paraId="6276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009A0790">
            <w:pPr>
              <w:pStyle w:val="90"/>
              <w:spacing w:line="240" w:lineRule="auto"/>
              <w:ind w:firstLine="480"/>
              <w:rPr>
                <w:rFonts w:hAnsi="Times New Roman"/>
                <w:sz w:val="24"/>
                <w:szCs w:val="24"/>
              </w:rPr>
            </w:pPr>
          </w:p>
        </w:tc>
        <w:tc>
          <w:tcPr>
            <w:tcW w:w="1352" w:type="dxa"/>
            <w:vAlign w:val="center"/>
          </w:tcPr>
          <w:p w14:paraId="75880F50">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2268" w:type="dxa"/>
            <w:vAlign w:val="center"/>
          </w:tcPr>
          <w:p w14:paraId="35DE3ABE">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w:t>
            </w:r>
            <w:r>
              <w:rPr>
                <w:rFonts w:hint="eastAsia" w:hAnsi="Times New Roman"/>
                <w:sz w:val="24"/>
                <w:szCs w:val="24"/>
              </w:rPr>
              <w:t>万元面额；数量最小变动单位为</w:t>
            </w:r>
            <w:r>
              <w:rPr>
                <w:rFonts w:hAnsi="Times New Roman"/>
                <w:sz w:val="24"/>
                <w:szCs w:val="24"/>
              </w:rPr>
              <w:t>100</w:t>
            </w:r>
            <w:r>
              <w:rPr>
                <w:rFonts w:hint="eastAsia" w:hAnsi="Times New Roman"/>
                <w:sz w:val="24"/>
                <w:szCs w:val="24"/>
              </w:rPr>
              <w:t>万元面额</w:t>
            </w:r>
          </w:p>
        </w:tc>
        <w:tc>
          <w:tcPr>
            <w:tcW w:w="1843" w:type="dxa"/>
            <w:vAlign w:val="center"/>
          </w:tcPr>
          <w:p w14:paraId="0FA32C92">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63CBA69">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B5C8B28">
            <w:pPr>
              <w:pStyle w:val="90"/>
              <w:spacing w:line="240" w:lineRule="auto"/>
              <w:ind w:firstLine="480"/>
              <w:rPr>
                <w:rFonts w:hAnsi="Times New Roman"/>
                <w:sz w:val="24"/>
                <w:szCs w:val="24"/>
              </w:rPr>
            </w:pPr>
            <w:r>
              <w:rPr>
                <w:rFonts w:hAnsi="Times New Roman"/>
                <w:sz w:val="24"/>
                <w:szCs w:val="24"/>
              </w:rPr>
              <w:t>--</w:t>
            </w:r>
          </w:p>
        </w:tc>
        <w:tc>
          <w:tcPr>
            <w:tcW w:w="1275" w:type="dxa"/>
            <w:vAlign w:val="center"/>
          </w:tcPr>
          <w:p w14:paraId="645CE04E">
            <w:pPr>
              <w:pStyle w:val="90"/>
              <w:spacing w:line="240" w:lineRule="auto"/>
              <w:ind w:firstLine="480"/>
              <w:rPr>
                <w:rFonts w:hAnsi="Times New Roman"/>
                <w:sz w:val="24"/>
                <w:szCs w:val="24"/>
              </w:rPr>
            </w:pPr>
            <w:r>
              <w:rPr>
                <w:rFonts w:hAnsi="Times New Roman"/>
                <w:sz w:val="24"/>
                <w:szCs w:val="24"/>
              </w:rPr>
              <w:t>--</w:t>
            </w:r>
          </w:p>
        </w:tc>
      </w:tr>
      <w:tr w14:paraId="43F5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39AE84E">
            <w:pPr>
              <w:pStyle w:val="90"/>
              <w:spacing w:line="240" w:lineRule="auto"/>
              <w:ind w:firstLine="480"/>
              <w:rPr>
                <w:rFonts w:hAnsi="Times New Roman"/>
                <w:sz w:val="24"/>
                <w:szCs w:val="24"/>
              </w:rPr>
            </w:pPr>
          </w:p>
        </w:tc>
        <w:tc>
          <w:tcPr>
            <w:tcW w:w="1352" w:type="dxa"/>
            <w:vAlign w:val="center"/>
          </w:tcPr>
          <w:p w14:paraId="59CF182F">
            <w:pPr>
              <w:pStyle w:val="90"/>
              <w:spacing w:line="240" w:lineRule="auto"/>
              <w:ind w:firstLine="0" w:firstLineChars="0"/>
              <w:rPr>
                <w:rFonts w:hAnsi="Times New Roman"/>
                <w:sz w:val="24"/>
                <w:szCs w:val="24"/>
              </w:rPr>
            </w:pPr>
            <w:r>
              <w:rPr>
                <w:rFonts w:hint="eastAsia" w:hAnsi="Times New Roman"/>
                <w:sz w:val="24"/>
                <w:szCs w:val="24"/>
              </w:rPr>
              <w:t>信用保护工具（</w:t>
            </w:r>
            <w:r>
              <w:rPr>
                <w:rFonts w:hAnsi="Times New Roman"/>
                <w:sz w:val="24"/>
                <w:szCs w:val="24"/>
              </w:rPr>
              <w:t>CDS</w:t>
            </w:r>
            <w:r>
              <w:rPr>
                <w:rFonts w:hint="eastAsia" w:hAnsi="Times New Roman"/>
                <w:sz w:val="24"/>
                <w:szCs w:val="24"/>
              </w:rPr>
              <w:t>）</w:t>
            </w:r>
          </w:p>
        </w:tc>
        <w:tc>
          <w:tcPr>
            <w:tcW w:w="2268" w:type="dxa"/>
            <w:vAlign w:val="center"/>
          </w:tcPr>
          <w:p w14:paraId="3B69AC2F">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1D5EA5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1E183C30">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2DAAF8C">
            <w:pPr>
              <w:pStyle w:val="90"/>
              <w:spacing w:line="240" w:lineRule="auto"/>
              <w:ind w:firstLine="0" w:firstLineChars="0"/>
              <w:rPr>
                <w:rFonts w:hAnsi="Times New Roman"/>
                <w:sz w:val="24"/>
                <w:szCs w:val="24"/>
              </w:rPr>
            </w:pPr>
            <w:r>
              <w:rPr>
                <w:rFonts w:hint="eastAsia" w:hAnsi="Times New Roman"/>
                <w:sz w:val="24"/>
                <w:szCs w:val="24"/>
              </w:rPr>
              <w:t>名义本金不低于</w:t>
            </w:r>
            <w:r>
              <w:rPr>
                <w:rFonts w:hAnsi="Times New Roman"/>
                <w:sz w:val="24"/>
                <w:szCs w:val="24"/>
              </w:rPr>
              <w:t>50</w:t>
            </w:r>
            <w:r>
              <w:rPr>
                <w:rFonts w:hint="eastAsia" w:hAnsi="Times New Roman"/>
                <w:sz w:val="24"/>
                <w:szCs w:val="24"/>
              </w:rPr>
              <w:t>万元，且为</w:t>
            </w:r>
            <w:r>
              <w:rPr>
                <w:rFonts w:hAnsi="Times New Roman"/>
                <w:sz w:val="24"/>
                <w:szCs w:val="24"/>
              </w:rPr>
              <w:t>1000</w:t>
            </w:r>
            <w:r>
              <w:rPr>
                <w:rFonts w:hint="eastAsia" w:hAnsi="Times New Roman"/>
                <w:sz w:val="24"/>
                <w:szCs w:val="24"/>
              </w:rPr>
              <w:t>元的整数倍</w:t>
            </w:r>
          </w:p>
        </w:tc>
        <w:tc>
          <w:tcPr>
            <w:tcW w:w="1275" w:type="dxa"/>
            <w:vAlign w:val="center"/>
          </w:tcPr>
          <w:p w14:paraId="6CC64313">
            <w:pPr>
              <w:pStyle w:val="90"/>
              <w:spacing w:line="240" w:lineRule="auto"/>
              <w:ind w:firstLine="480"/>
              <w:rPr>
                <w:rFonts w:hAnsi="Times New Roman"/>
                <w:sz w:val="24"/>
                <w:szCs w:val="24"/>
              </w:rPr>
            </w:pPr>
            <w:r>
              <w:rPr>
                <w:rFonts w:hAnsi="Times New Roman"/>
                <w:sz w:val="24"/>
                <w:szCs w:val="24"/>
              </w:rPr>
              <w:t>--</w:t>
            </w:r>
          </w:p>
        </w:tc>
      </w:tr>
    </w:tbl>
    <w:p w14:paraId="3DFBF908">
      <w:pPr>
        <w:pStyle w:val="90"/>
        <w:spacing w:line="600" w:lineRule="exact"/>
        <w:ind w:firstLine="600"/>
        <w:rPr>
          <w:rFonts w:hAnsi="Times New Roman"/>
          <w:sz w:val="30"/>
          <w:szCs w:val="30"/>
        </w:rPr>
      </w:pPr>
      <w:bookmarkStart w:id="315" w:name="_Toc57908887"/>
      <w:bookmarkStart w:id="316" w:name="_Toc57908888"/>
      <w:bookmarkStart w:id="317" w:name="_Toc56166078"/>
      <w:bookmarkStart w:id="318" w:name="_Toc56166267"/>
      <w:r>
        <w:rPr>
          <w:rFonts w:hint="eastAsia" w:hAnsi="Times New Roman"/>
          <w:sz w:val="30"/>
          <w:szCs w:val="30"/>
        </w:rPr>
        <w:t>（</w:t>
      </w:r>
      <w:r>
        <w:rPr>
          <w:rFonts w:hAnsi="Times New Roman"/>
          <w:sz w:val="30"/>
          <w:szCs w:val="30"/>
        </w:rPr>
        <w:t>2</w:t>
      </w:r>
      <w:r>
        <w:rPr>
          <w:rFonts w:hint="eastAsia" w:hAnsi="Times New Roman"/>
          <w:sz w:val="30"/>
          <w:szCs w:val="30"/>
        </w:rPr>
        <w:t>）单笔申报最大数量</w:t>
      </w:r>
      <w:bookmarkEnd w:id="315"/>
    </w:p>
    <w:p w14:paraId="6419BACB">
      <w:pPr>
        <w:pStyle w:val="90"/>
        <w:spacing w:line="600" w:lineRule="exact"/>
        <w:ind w:firstLine="600"/>
        <w:rPr>
          <w:rFonts w:hAnsi="Times New Roman"/>
          <w:sz w:val="30"/>
          <w:szCs w:val="30"/>
        </w:rPr>
      </w:pPr>
      <w:r>
        <w:rPr>
          <w:rFonts w:hint="eastAsia" w:hAnsi="Times New Roman"/>
          <w:sz w:val="30"/>
          <w:szCs w:val="30"/>
        </w:rPr>
        <w:tab/>
      </w:r>
      <w:r>
        <w:rPr>
          <w:rFonts w:hint="eastAsia" w:hAnsi="Times New Roman"/>
          <w:sz w:val="30"/>
          <w:szCs w:val="30"/>
        </w:rPr>
        <w:t>债券现券交易与通用回购单笔申报最大数量不超过1</w:t>
      </w:r>
      <w:r>
        <w:rPr>
          <w:rFonts w:hAnsi="Times New Roman"/>
          <w:sz w:val="30"/>
          <w:szCs w:val="30"/>
        </w:rPr>
        <w:t>00</w:t>
      </w:r>
      <w:r>
        <w:rPr>
          <w:rFonts w:hint="eastAsia" w:hAnsi="Times New Roman"/>
          <w:sz w:val="30"/>
          <w:szCs w:val="30"/>
        </w:rPr>
        <w:t>亿元面额；国债预发行交易单笔申报最大数量不超过10亿元面额。</w:t>
      </w:r>
    </w:p>
    <w:p w14:paraId="70D01DE7">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申报价格最小变动单位及价格限制</w:t>
      </w:r>
      <w:bookmarkEnd w:id="316"/>
      <w:bookmarkEnd w:id="317"/>
      <w:bookmarkEnd w:id="318"/>
    </w:p>
    <w:p w14:paraId="435A0D0B">
      <w:pPr>
        <w:pStyle w:val="90"/>
        <w:spacing w:line="600" w:lineRule="exact"/>
        <w:ind w:firstLine="600"/>
        <w:rPr>
          <w:rFonts w:hAnsi="Times New Roman"/>
          <w:sz w:val="30"/>
          <w:szCs w:val="30"/>
        </w:rPr>
      </w:pPr>
      <w:r>
        <w:rPr>
          <w:rFonts w:hint="eastAsia" w:hAnsi="Times New Roman"/>
          <w:sz w:val="30"/>
          <w:szCs w:val="30"/>
        </w:rPr>
        <w:t>债券现券交易申报的价格单位为“每百元面额债券的价格”，通用回购的价格单位为“每百元资金到期年收益”。本所另有规定的除外。</w:t>
      </w:r>
    </w:p>
    <w:p w14:paraId="2A75ACEB">
      <w:pPr>
        <w:pStyle w:val="90"/>
        <w:spacing w:line="600" w:lineRule="exact"/>
        <w:ind w:firstLine="600"/>
        <w:rPr>
          <w:rFonts w:hAnsi="Times New Roman"/>
          <w:sz w:val="30"/>
          <w:szCs w:val="30"/>
        </w:rPr>
      </w:pPr>
      <w:r>
        <w:rPr>
          <w:rFonts w:hint="eastAsia" w:hAnsi="Times New Roman"/>
          <w:sz w:val="30"/>
          <w:szCs w:val="30"/>
        </w:rPr>
        <w:t>债券交易设置申报价格最小变动单位及价格限制。</w:t>
      </w:r>
    </w:p>
    <w:p w14:paraId="6234B62F">
      <w:pPr>
        <w:spacing w:line="600" w:lineRule="exact"/>
        <w:ind w:left="567"/>
        <w:outlineLvl w:val="3"/>
        <w:rPr>
          <w:rFonts w:ascii="仿宋_GB2312" w:eastAsia="仿宋_GB2312"/>
          <w:b/>
          <w:sz w:val="30"/>
          <w:szCs w:val="30"/>
        </w:rPr>
      </w:pPr>
      <w:r>
        <w:rPr>
          <w:rFonts w:hint="eastAsia" w:ascii="仿宋_GB2312" w:eastAsia="仿宋_GB2312"/>
          <w:b/>
          <w:sz w:val="30"/>
          <w:szCs w:val="30"/>
        </w:rPr>
        <w:t>（1）价格最小变动单位</w:t>
      </w:r>
    </w:p>
    <w:p w14:paraId="0DB98F56">
      <w:pPr>
        <w:pStyle w:val="90"/>
        <w:spacing w:line="600" w:lineRule="exact"/>
        <w:ind w:firstLine="600"/>
        <w:rPr>
          <w:rFonts w:hAnsi="Times New Roman"/>
          <w:sz w:val="30"/>
          <w:szCs w:val="30"/>
        </w:rPr>
      </w:pPr>
      <w:r>
        <w:rPr>
          <w:rFonts w:hint="eastAsia" w:hAnsi="Times New Roman"/>
          <w:sz w:val="30"/>
          <w:szCs w:val="30"/>
        </w:rPr>
        <w:t>采用匹配成交方式的，债券现券的申报价格最小变动单位为0.0</w:t>
      </w:r>
      <w:r>
        <w:rPr>
          <w:rFonts w:hAnsi="Times New Roman"/>
          <w:sz w:val="30"/>
          <w:szCs w:val="30"/>
        </w:rPr>
        <w:t>0</w:t>
      </w:r>
      <w:r>
        <w:rPr>
          <w:rFonts w:hint="eastAsia" w:hAnsi="Times New Roman"/>
          <w:sz w:val="30"/>
          <w:szCs w:val="30"/>
        </w:rPr>
        <w:t>1元，通用回购的申报价格最小变动单位为0.005元；采用其他交易方式的，债券交易的申报价格最小变动单位为0.001元（《债券交易规则》关于申报价格最小变动单位为</w:t>
      </w:r>
      <w:r>
        <w:rPr>
          <w:rFonts w:hAnsi="Times New Roman"/>
          <w:sz w:val="30"/>
          <w:szCs w:val="30"/>
        </w:rPr>
        <w:t>0.0001</w:t>
      </w:r>
      <w:r>
        <w:rPr>
          <w:rFonts w:hint="eastAsia" w:hAnsi="Times New Roman"/>
          <w:sz w:val="30"/>
          <w:szCs w:val="30"/>
        </w:rPr>
        <w:t>元的规定暂缓施行）。本所另有规定的除外。本所可以根据市场发展需要，调整申报价格最小变动单位。</w:t>
      </w:r>
    </w:p>
    <w:tbl>
      <w:tblPr>
        <w:tblStyle w:val="43"/>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758"/>
        <w:gridCol w:w="1360"/>
        <w:gridCol w:w="1276"/>
        <w:gridCol w:w="1276"/>
        <w:gridCol w:w="1701"/>
        <w:gridCol w:w="1275"/>
      </w:tblGrid>
      <w:tr w14:paraId="74B1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47F6F24E">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758" w:type="dxa"/>
            <w:vAlign w:val="center"/>
          </w:tcPr>
          <w:p w14:paraId="0B5D4EA0">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1360" w:type="dxa"/>
            <w:vAlign w:val="center"/>
          </w:tcPr>
          <w:p w14:paraId="3D2C6580">
            <w:pPr>
              <w:pStyle w:val="90"/>
              <w:spacing w:line="240" w:lineRule="auto"/>
              <w:ind w:firstLine="0" w:firstLineChars="0"/>
              <w:rPr>
                <w:rFonts w:hAnsi="Times New Roman"/>
                <w:b/>
                <w:sz w:val="24"/>
                <w:szCs w:val="24"/>
              </w:rPr>
            </w:pPr>
            <w:r>
              <w:rPr>
                <w:rFonts w:hint="eastAsia" w:hAnsi="Times New Roman"/>
                <w:b/>
                <w:sz w:val="24"/>
                <w:szCs w:val="24"/>
              </w:rPr>
              <w:t>匹配成交</w:t>
            </w:r>
          </w:p>
        </w:tc>
        <w:tc>
          <w:tcPr>
            <w:tcW w:w="1276" w:type="dxa"/>
            <w:vAlign w:val="center"/>
          </w:tcPr>
          <w:p w14:paraId="543B9EB9">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276" w:type="dxa"/>
            <w:vAlign w:val="center"/>
          </w:tcPr>
          <w:p w14:paraId="3FF648B3">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1701" w:type="dxa"/>
            <w:vAlign w:val="center"/>
          </w:tcPr>
          <w:p w14:paraId="186A7472">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7F25C70A">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4C92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23020CF3">
            <w:pPr>
              <w:pStyle w:val="90"/>
              <w:spacing w:line="240" w:lineRule="auto"/>
              <w:ind w:firstLine="0" w:firstLineChars="0"/>
              <w:rPr>
                <w:rFonts w:hAnsi="Times New Roman"/>
                <w:sz w:val="24"/>
                <w:szCs w:val="24"/>
              </w:rPr>
            </w:pPr>
            <w:r>
              <w:rPr>
                <w:rFonts w:hint="eastAsia" w:hAnsi="Times New Roman"/>
                <w:sz w:val="24"/>
                <w:szCs w:val="24"/>
              </w:rPr>
              <w:t>现券</w:t>
            </w:r>
          </w:p>
        </w:tc>
        <w:tc>
          <w:tcPr>
            <w:tcW w:w="1758" w:type="dxa"/>
            <w:vAlign w:val="center"/>
          </w:tcPr>
          <w:p w14:paraId="199A58C9">
            <w:pPr>
              <w:pStyle w:val="90"/>
              <w:spacing w:line="240" w:lineRule="auto"/>
              <w:ind w:firstLine="0" w:firstLineChars="0"/>
              <w:rPr>
                <w:rFonts w:hAnsi="Times New Roman"/>
                <w:sz w:val="24"/>
                <w:szCs w:val="24"/>
              </w:rPr>
            </w:pPr>
            <w:r>
              <w:rPr>
                <w:rFonts w:hint="eastAsia" w:hAnsi="Times New Roman"/>
                <w:sz w:val="24"/>
                <w:szCs w:val="24"/>
              </w:rPr>
              <w:t>国债</w:t>
            </w:r>
          </w:p>
        </w:tc>
        <w:tc>
          <w:tcPr>
            <w:tcW w:w="1360" w:type="dxa"/>
            <w:vMerge w:val="restart"/>
            <w:vAlign w:val="center"/>
          </w:tcPr>
          <w:p w14:paraId="702182C4">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5528" w:type="dxa"/>
            <w:gridSpan w:val="4"/>
            <w:vMerge w:val="restart"/>
            <w:vAlign w:val="center"/>
          </w:tcPr>
          <w:p w14:paraId="384ECF18">
            <w:pPr>
              <w:pStyle w:val="90"/>
              <w:spacing w:line="240" w:lineRule="auto"/>
              <w:ind w:firstLine="48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r>
      <w:tr w14:paraId="0F61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864D4E7">
            <w:pPr>
              <w:pStyle w:val="90"/>
              <w:spacing w:line="240" w:lineRule="auto"/>
              <w:ind w:firstLine="480"/>
              <w:rPr>
                <w:rFonts w:hAnsi="Times New Roman"/>
                <w:sz w:val="24"/>
                <w:szCs w:val="24"/>
              </w:rPr>
            </w:pPr>
          </w:p>
        </w:tc>
        <w:tc>
          <w:tcPr>
            <w:tcW w:w="1758" w:type="dxa"/>
            <w:vAlign w:val="center"/>
          </w:tcPr>
          <w:p w14:paraId="076268BA">
            <w:pPr>
              <w:pStyle w:val="90"/>
              <w:spacing w:line="240" w:lineRule="auto"/>
              <w:ind w:firstLine="0" w:firstLineChars="0"/>
              <w:rPr>
                <w:rFonts w:hAnsi="Times New Roman"/>
                <w:sz w:val="24"/>
                <w:szCs w:val="24"/>
              </w:rPr>
            </w:pPr>
            <w:r>
              <w:rPr>
                <w:rFonts w:hint="eastAsia" w:hAnsi="Times New Roman"/>
                <w:sz w:val="24"/>
                <w:szCs w:val="24"/>
              </w:rPr>
              <w:t>地方债</w:t>
            </w:r>
          </w:p>
        </w:tc>
        <w:tc>
          <w:tcPr>
            <w:tcW w:w="1360" w:type="dxa"/>
            <w:vMerge w:val="continue"/>
            <w:vAlign w:val="center"/>
          </w:tcPr>
          <w:p w14:paraId="306522CB">
            <w:pPr>
              <w:pStyle w:val="90"/>
              <w:spacing w:line="240" w:lineRule="auto"/>
              <w:ind w:firstLine="480"/>
              <w:rPr>
                <w:rFonts w:hAnsi="Times New Roman"/>
                <w:sz w:val="24"/>
                <w:szCs w:val="24"/>
              </w:rPr>
            </w:pPr>
          </w:p>
        </w:tc>
        <w:tc>
          <w:tcPr>
            <w:tcW w:w="5528" w:type="dxa"/>
            <w:gridSpan w:val="4"/>
            <w:vMerge w:val="continue"/>
            <w:vAlign w:val="center"/>
          </w:tcPr>
          <w:p w14:paraId="7CC19B3B">
            <w:pPr>
              <w:pStyle w:val="90"/>
              <w:spacing w:line="240" w:lineRule="auto"/>
              <w:ind w:firstLine="480"/>
              <w:rPr>
                <w:rFonts w:hAnsi="Times New Roman"/>
                <w:sz w:val="24"/>
                <w:szCs w:val="24"/>
              </w:rPr>
            </w:pPr>
          </w:p>
        </w:tc>
      </w:tr>
      <w:tr w14:paraId="28F6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vMerge w:val="continue"/>
            <w:vAlign w:val="center"/>
          </w:tcPr>
          <w:p w14:paraId="1B68F8A1">
            <w:pPr>
              <w:pStyle w:val="90"/>
              <w:spacing w:line="240" w:lineRule="auto"/>
              <w:ind w:firstLine="480"/>
              <w:rPr>
                <w:rFonts w:hAnsi="Times New Roman"/>
                <w:sz w:val="24"/>
                <w:szCs w:val="24"/>
              </w:rPr>
            </w:pPr>
          </w:p>
        </w:tc>
        <w:tc>
          <w:tcPr>
            <w:tcW w:w="1758" w:type="dxa"/>
            <w:vAlign w:val="center"/>
          </w:tcPr>
          <w:p w14:paraId="7F23900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1360" w:type="dxa"/>
            <w:vMerge w:val="continue"/>
            <w:vAlign w:val="center"/>
          </w:tcPr>
          <w:p w14:paraId="2C3A9881">
            <w:pPr>
              <w:pStyle w:val="90"/>
              <w:spacing w:line="240" w:lineRule="auto"/>
              <w:ind w:firstLine="480"/>
              <w:rPr>
                <w:rFonts w:hAnsi="Times New Roman"/>
                <w:sz w:val="24"/>
                <w:szCs w:val="24"/>
              </w:rPr>
            </w:pPr>
          </w:p>
        </w:tc>
        <w:tc>
          <w:tcPr>
            <w:tcW w:w="5528" w:type="dxa"/>
            <w:gridSpan w:val="4"/>
            <w:vMerge w:val="continue"/>
            <w:vAlign w:val="center"/>
          </w:tcPr>
          <w:p w14:paraId="0CDF2156">
            <w:pPr>
              <w:pStyle w:val="90"/>
              <w:spacing w:line="240" w:lineRule="auto"/>
              <w:ind w:firstLine="480"/>
              <w:rPr>
                <w:rFonts w:hAnsi="Times New Roman"/>
                <w:sz w:val="24"/>
                <w:szCs w:val="24"/>
              </w:rPr>
            </w:pPr>
          </w:p>
        </w:tc>
      </w:tr>
      <w:tr w14:paraId="0559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19EE48D3">
            <w:pPr>
              <w:pStyle w:val="90"/>
              <w:spacing w:line="240" w:lineRule="auto"/>
              <w:ind w:firstLine="480"/>
              <w:rPr>
                <w:rFonts w:hAnsi="Times New Roman"/>
                <w:sz w:val="24"/>
                <w:szCs w:val="24"/>
              </w:rPr>
            </w:pPr>
          </w:p>
        </w:tc>
        <w:tc>
          <w:tcPr>
            <w:tcW w:w="1758" w:type="dxa"/>
            <w:vAlign w:val="center"/>
          </w:tcPr>
          <w:p w14:paraId="77123923">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1360" w:type="dxa"/>
            <w:vMerge w:val="continue"/>
            <w:vAlign w:val="center"/>
          </w:tcPr>
          <w:p w14:paraId="621F2691">
            <w:pPr>
              <w:pStyle w:val="90"/>
              <w:spacing w:line="240" w:lineRule="auto"/>
              <w:ind w:firstLine="480"/>
              <w:rPr>
                <w:rFonts w:hAnsi="Times New Roman"/>
                <w:sz w:val="24"/>
                <w:szCs w:val="24"/>
              </w:rPr>
            </w:pPr>
          </w:p>
        </w:tc>
        <w:tc>
          <w:tcPr>
            <w:tcW w:w="5528" w:type="dxa"/>
            <w:gridSpan w:val="4"/>
            <w:vMerge w:val="continue"/>
            <w:vAlign w:val="center"/>
          </w:tcPr>
          <w:p w14:paraId="0249CC48">
            <w:pPr>
              <w:pStyle w:val="90"/>
              <w:spacing w:line="240" w:lineRule="auto"/>
              <w:ind w:firstLine="480"/>
              <w:rPr>
                <w:rFonts w:hAnsi="Times New Roman"/>
                <w:sz w:val="24"/>
                <w:szCs w:val="24"/>
              </w:rPr>
            </w:pPr>
          </w:p>
        </w:tc>
      </w:tr>
      <w:tr w14:paraId="276E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57D69A7">
            <w:pPr>
              <w:pStyle w:val="90"/>
              <w:spacing w:line="240" w:lineRule="auto"/>
              <w:ind w:firstLine="480"/>
              <w:rPr>
                <w:rFonts w:hAnsi="Times New Roman"/>
                <w:sz w:val="24"/>
                <w:szCs w:val="24"/>
              </w:rPr>
            </w:pPr>
          </w:p>
        </w:tc>
        <w:tc>
          <w:tcPr>
            <w:tcW w:w="1758" w:type="dxa"/>
            <w:vAlign w:val="center"/>
          </w:tcPr>
          <w:p w14:paraId="71312414">
            <w:pPr>
              <w:pStyle w:val="90"/>
              <w:spacing w:line="240" w:lineRule="auto"/>
              <w:ind w:firstLine="0" w:firstLineChars="0"/>
              <w:rPr>
                <w:rFonts w:hAnsi="Times New Roman"/>
                <w:sz w:val="24"/>
                <w:szCs w:val="24"/>
              </w:rPr>
            </w:pPr>
            <w:r>
              <w:rPr>
                <w:rFonts w:hint="eastAsia" w:hAnsi="Times New Roman"/>
                <w:sz w:val="24"/>
                <w:szCs w:val="24"/>
              </w:rPr>
              <w:t>公司债</w:t>
            </w:r>
          </w:p>
        </w:tc>
        <w:tc>
          <w:tcPr>
            <w:tcW w:w="1360" w:type="dxa"/>
            <w:vMerge w:val="continue"/>
            <w:vAlign w:val="center"/>
          </w:tcPr>
          <w:p w14:paraId="70CBCCFC">
            <w:pPr>
              <w:pStyle w:val="90"/>
              <w:spacing w:line="240" w:lineRule="auto"/>
              <w:ind w:firstLine="480"/>
              <w:rPr>
                <w:rFonts w:hAnsi="Times New Roman"/>
                <w:sz w:val="24"/>
                <w:szCs w:val="24"/>
              </w:rPr>
            </w:pPr>
          </w:p>
        </w:tc>
        <w:tc>
          <w:tcPr>
            <w:tcW w:w="5528" w:type="dxa"/>
            <w:gridSpan w:val="4"/>
            <w:vMerge w:val="continue"/>
            <w:vAlign w:val="center"/>
          </w:tcPr>
          <w:p w14:paraId="7C44D26D">
            <w:pPr>
              <w:pStyle w:val="90"/>
              <w:spacing w:line="240" w:lineRule="auto"/>
              <w:ind w:firstLine="480"/>
              <w:rPr>
                <w:rFonts w:hAnsi="Times New Roman"/>
                <w:sz w:val="24"/>
                <w:szCs w:val="24"/>
              </w:rPr>
            </w:pPr>
          </w:p>
        </w:tc>
      </w:tr>
      <w:tr w14:paraId="6175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226AD59">
            <w:pPr>
              <w:pStyle w:val="90"/>
              <w:spacing w:line="240" w:lineRule="auto"/>
              <w:ind w:firstLine="480"/>
              <w:rPr>
                <w:rFonts w:hAnsi="Times New Roman"/>
                <w:sz w:val="24"/>
                <w:szCs w:val="24"/>
              </w:rPr>
            </w:pPr>
          </w:p>
        </w:tc>
        <w:tc>
          <w:tcPr>
            <w:tcW w:w="1758" w:type="dxa"/>
            <w:vAlign w:val="center"/>
          </w:tcPr>
          <w:p w14:paraId="20B7E4DD">
            <w:pPr>
              <w:pStyle w:val="90"/>
              <w:spacing w:line="240" w:lineRule="auto"/>
              <w:ind w:firstLine="0" w:firstLineChars="0"/>
              <w:rPr>
                <w:rFonts w:hAnsi="Times New Roman"/>
                <w:sz w:val="24"/>
                <w:szCs w:val="24"/>
              </w:rPr>
            </w:pPr>
            <w:r>
              <w:rPr>
                <w:rFonts w:hAnsi="Times New Roman"/>
                <w:sz w:val="24"/>
                <w:szCs w:val="24"/>
              </w:rPr>
              <w:t>ABS</w:t>
            </w:r>
          </w:p>
        </w:tc>
        <w:tc>
          <w:tcPr>
            <w:tcW w:w="1360" w:type="dxa"/>
            <w:vAlign w:val="center"/>
          </w:tcPr>
          <w:p w14:paraId="666D0F16">
            <w:pPr>
              <w:pStyle w:val="90"/>
              <w:spacing w:line="240" w:lineRule="auto"/>
              <w:ind w:firstLine="480"/>
              <w:rPr>
                <w:rFonts w:hAnsi="Times New Roman"/>
                <w:sz w:val="24"/>
                <w:szCs w:val="24"/>
              </w:rPr>
            </w:pPr>
            <w:r>
              <w:rPr>
                <w:rFonts w:hAnsi="Times New Roman"/>
                <w:sz w:val="24"/>
                <w:szCs w:val="24"/>
              </w:rPr>
              <w:t>--</w:t>
            </w:r>
          </w:p>
        </w:tc>
        <w:tc>
          <w:tcPr>
            <w:tcW w:w="5528" w:type="dxa"/>
            <w:gridSpan w:val="4"/>
            <w:vMerge w:val="continue"/>
            <w:vAlign w:val="center"/>
          </w:tcPr>
          <w:p w14:paraId="23E8D76A">
            <w:pPr>
              <w:pStyle w:val="90"/>
              <w:spacing w:line="240" w:lineRule="auto"/>
              <w:ind w:firstLine="480"/>
              <w:rPr>
                <w:rFonts w:hAnsi="Times New Roman"/>
                <w:sz w:val="24"/>
                <w:szCs w:val="24"/>
              </w:rPr>
            </w:pPr>
          </w:p>
        </w:tc>
      </w:tr>
      <w:tr w14:paraId="1927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993" w:type="dxa"/>
            <w:vMerge w:val="restart"/>
            <w:vAlign w:val="center"/>
          </w:tcPr>
          <w:p w14:paraId="00452CAB">
            <w:pPr>
              <w:pStyle w:val="90"/>
              <w:spacing w:line="240" w:lineRule="auto"/>
              <w:ind w:firstLine="0" w:firstLineChars="0"/>
              <w:rPr>
                <w:rFonts w:hAnsi="Times New Roman"/>
                <w:sz w:val="24"/>
                <w:szCs w:val="24"/>
              </w:rPr>
            </w:pPr>
            <w:r>
              <w:rPr>
                <w:rFonts w:hint="eastAsia" w:hAnsi="Times New Roman"/>
                <w:sz w:val="24"/>
                <w:szCs w:val="24"/>
              </w:rPr>
              <w:t>回购</w:t>
            </w:r>
          </w:p>
        </w:tc>
        <w:tc>
          <w:tcPr>
            <w:tcW w:w="1758" w:type="dxa"/>
            <w:vAlign w:val="center"/>
          </w:tcPr>
          <w:p w14:paraId="04DDD97B">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1360" w:type="dxa"/>
            <w:vAlign w:val="center"/>
          </w:tcPr>
          <w:p w14:paraId="2D0C08DC">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0.005</w:t>
            </w:r>
            <w:r>
              <w:rPr>
                <w:rFonts w:hint="eastAsia" w:hAnsi="Times New Roman"/>
                <w:sz w:val="24"/>
                <w:szCs w:val="24"/>
              </w:rPr>
              <w:t>元</w:t>
            </w:r>
          </w:p>
        </w:tc>
        <w:tc>
          <w:tcPr>
            <w:tcW w:w="5528" w:type="dxa"/>
            <w:gridSpan w:val="4"/>
            <w:vAlign w:val="center"/>
          </w:tcPr>
          <w:p w14:paraId="1737B583">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以及“采用其他成交方式的，申报价格最小变动单位为</w:t>
            </w:r>
            <w:r>
              <w:rPr>
                <w:rFonts w:hAnsi="Times New Roman"/>
                <w:sz w:val="24"/>
                <w:szCs w:val="24"/>
              </w:rPr>
              <w:t>0.0001</w:t>
            </w:r>
            <w:r>
              <w:rPr>
                <w:rFonts w:hint="eastAsia" w:hAnsi="Times New Roman"/>
                <w:sz w:val="24"/>
                <w:szCs w:val="24"/>
              </w:rPr>
              <w:t>元”的相关规定暂缓实施）</w:t>
            </w:r>
          </w:p>
        </w:tc>
      </w:tr>
      <w:tr w14:paraId="5FDE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0087D86E">
            <w:pPr>
              <w:pStyle w:val="90"/>
              <w:spacing w:line="240" w:lineRule="auto"/>
              <w:ind w:firstLine="480"/>
              <w:rPr>
                <w:rFonts w:hAnsi="Times New Roman"/>
                <w:sz w:val="24"/>
                <w:szCs w:val="24"/>
              </w:rPr>
            </w:pPr>
          </w:p>
        </w:tc>
        <w:tc>
          <w:tcPr>
            <w:tcW w:w="1758" w:type="dxa"/>
            <w:vAlign w:val="center"/>
          </w:tcPr>
          <w:p w14:paraId="091542BB">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1360" w:type="dxa"/>
            <w:vAlign w:val="center"/>
          </w:tcPr>
          <w:p w14:paraId="78856D7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6881A2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4D2BCDA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3ED18A6">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16F02C2F">
            <w:pPr>
              <w:pStyle w:val="90"/>
              <w:spacing w:line="240" w:lineRule="auto"/>
              <w:ind w:firstLine="480"/>
              <w:rPr>
                <w:rFonts w:hAnsi="Times New Roman"/>
                <w:sz w:val="24"/>
                <w:szCs w:val="24"/>
              </w:rPr>
            </w:pPr>
            <w:r>
              <w:rPr>
                <w:rFonts w:hAnsi="Times New Roman"/>
                <w:sz w:val="24"/>
                <w:szCs w:val="24"/>
              </w:rPr>
              <w:t>--</w:t>
            </w:r>
          </w:p>
        </w:tc>
      </w:tr>
      <w:tr w14:paraId="6D58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DE5FAD9">
            <w:pPr>
              <w:pStyle w:val="90"/>
              <w:spacing w:line="240" w:lineRule="auto"/>
              <w:ind w:firstLine="480"/>
              <w:rPr>
                <w:rFonts w:hAnsi="Times New Roman"/>
                <w:sz w:val="24"/>
                <w:szCs w:val="24"/>
              </w:rPr>
            </w:pPr>
          </w:p>
        </w:tc>
        <w:tc>
          <w:tcPr>
            <w:tcW w:w="1758" w:type="dxa"/>
            <w:vAlign w:val="center"/>
          </w:tcPr>
          <w:p w14:paraId="78AB1BFD">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1360" w:type="dxa"/>
            <w:vAlign w:val="center"/>
          </w:tcPr>
          <w:p w14:paraId="4730299A">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0C42F9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3B4D28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01EFFC24">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0F79D07E">
            <w:pPr>
              <w:pStyle w:val="90"/>
              <w:spacing w:line="240" w:lineRule="auto"/>
              <w:ind w:firstLine="480"/>
              <w:rPr>
                <w:rFonts w:hAnsi="Times New Roman"/>
                <w:sz w:val="24"/>
                <w:szCs w:val="24"/>
              </w:rPr>
            </w:pPr>
            <w:r>
              <w:rPr>
                <w:rFonts w:hAnsi="Times New Roman"/>
                <w:sz w:val="24"/>
                <w:szCs w:val="24"/>
              </w:rPr>
              <w:t>--</w:t>
            </w:r>
          </w:p>
        </w:tc>
      </w:tr>
      <w:tr w14:paraId="405E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34FF28E1">
            <w:pPr>
              <w:pStyle w:val="90"/>
              <w:spacing w:line="240" w:lineRule="auto"/>
              <w:ind w:firstLine="0" w:firstLineChars="0"/>
              <w:rPr>
                <w:rFonts w:hAnsi="Times New Roman"/>
                <w:sz w:val="24"/>
                <w:szCs w:val="24"/>
              </w:rPr>
            </w:pPr>
            <w:r>
              <w:rPr>
                <w:rFonts w:hint="eastAsia" w:hAnsi="Times New Roman"/>
                <w:sz w:val="24"/>
                <w:szCs w:val="24"/>
              </w:rPr>
              <w:t>其他</w:t>
            </w:r>
          </w:p>
          <w:p w14:paraId="25F0FE1F">
            <w:pPr>
              <w:pStyle w:val="90"/>
              <w:spacing w:line="240" w:lineRule="auto"/>
              <w:ind w:firstLine="480"/>
              <w:rPr>
                <w:rFonts w:hAnsi="Times New Roman"/>
                <w:sz w:val="24"/>
                <w:szCs w:val="24"/>
              </w:rPr>
            </w:pPr>
          </w:p>
        </w:tc>
        <w:tc>
          <w:tcPr>
            <w:tcW w:w="1758" w:type="dxa"/>
            <w:vAlign w:val="center"/>
          </w:tcPr>
          <w:p w14:paraId="5DF144A9">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1360" w:type="dxa"/>
            <w:vAlign w:val="center"/>
          </w:tcPr>
          <w:p w14:paraId="56C542C3">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24B3E3F4">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AF8C6F9">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1E9EFE8">
            <w:pPr>
              <w:pStyle w:val="90"/>
              <w:spacing w:line="240" w:lineRule="auto"/>
              <w:ind w:firstLine="0" w:firstLineChars="0"/>
              <w:rPr>
                <w:rFonts w:hAnsi="Times New Roman"/>
                <w:sz w:val="24"/>
                <w:szCs w:val="24"/>
              </w:rPr>
            </w:pPr>
            <w:r>
              <w:rPr>
                <w:rFonts w:hint="eastAsia" w:hAnsi="Times New Roman"/>
                <w:sz w:val="24"/>
                <w:szCs w:val="24"/>
              </w:rPr>
              <w:t>申报费率最小变动单位为</w:t>
            </w:r>
            <w:r>
              <w:rPr>
                <w:rFonts w:hAnsi="Times New Roman"/>
                <w:sz w:val="24"/>
                <w:szCs w:val="24"/>
              </w:rPr>
              <w:t>0.0</w:t>
            </w:r>
            <w:r>
              <w:rPr>
                <w:rFonts w:hint="eastAsia" w:hAnsi="Times New Roman"/>
                <w:sz w:val="24"/>
                <w:szCs w:val="24"/>
              </w:rPr>
              <w:t>0</w:t>
            </w:r>
            <w:r>
              <w:rPr>
                <w:rFonts w:hAnsi="Times New Roman"/>
                <w:sz w:val="24"/>
                <w:szCs w:val="24"/>
              </w:rPr>
              <w:t>1%</w:t>
            </w:r>
            <w:r>
              <w:rPr>
                <w:rFonts w:hint="eastAsia" w:hAnsi="Times New Roman"/>
                <w:sz w:val="24"/>
                <w:szCs w:val="24"/>
              </w:rPr>
              <w:t>。</w:t>
            </w:r>
          </w:p>
        </w:tc>
        <w:tc>
          <w:tcPr>
            <w:tcW w:w="1275" w:type="dxa"/>
            <w:vAlign w:val="center"/>
          </w:tcPr>
          <w:p w14:paraId="761683F1">
            <w:pPr>
              <w:pStyle w:val="90"/>
              <w:spacing w:line="240" w:lineRule="auto"/>
              <w:ind w:firstLine="480"/>
              <w:rPr>
                <w:rFonts w:hAnsi="Times New Roman"/>
                <w:sz w:val="24"/>
                <w:szCs w:val="24"/>
              </w:rPr>
            </w:pPr>
            <w:r>
              <w:rPr>
                <w:rFonts w:hAnsi="Times New Roman"/>
                <w:sz w:val="24"/>
                <w:szCs w:val="24"/>
              </w:rPr>
              <w:t>--</w:t>
            </w:r>
          </w:p>
        </w:tc>
      </w:tr>
      <w:tr w14:paraId="73E6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4953E28D">
            <w:pPr>
              <w:pStyle w:val="90"/>
              <w:spacing w:line="240" w:lineRule="auto"/>
              <w:ind w:firstLine="480"/>
              <w:rPr>
                <w:rFonts w:hAnsi="Times New Roman"/>
                <w:sz w:val="24"/>
                <w:szCs w:val="24"/>
              </w:rPr>
            </w:pPr>
          </w:p>
        </w:tc>
        <w:tc>
          <w:tcPr>
            <w:tcW w:w="1758" w:type="dxa"/>
            <w:vAlign w:val="center"/>
          </w:tcPr>
          <w:p w14:paraId="77172390">
            <w:pPr>
              <w:pStyle w:val="90"/>
              <w:spacing w:line="240" w:lineRule="auto"/>
              <w:ind w:firstLine="0" w:firstLineChars="0"/>
              <w:rPr>
                <w:rFonts w:hAnsi="Times New Roman"/>
                <w:sz w:val="24"/>
                <w:szCs w:val="24"/>
              </w:rPr>
            </w:pPr>
            <w:r>
              <w:rPr>
                <w:rFonts w:hint="eastAsia" w:hAnsi="Times New Roman"/>
                <w:sz w:val="24"/>
                <w:szCs w:val="24"/>
              </w:rPr>
              <w:t>信用保护合约</w:t>
            </w:r>
          </w:p>
        </w:tc>
        <w:tc>
          <w:tcPr>
            <w:tcW w:w="1360" w:type="dxa"/>
            <w:vAlign w:val="center"/>
          </w:tcPr>
          <w:p w14:paraId="2A3CECCB">
            <w:pPr>
              <w:pStyle w:val="90"/>
              <w:spacing w:line="240" w:lineRule="auto"/>
              <w:ind w:firstLine="480"/>
              <w:rPr>
                <w:rFonts w:hAnsi="Times New Roman"/>
                <w:sz w:val="24"/>
                <w:szCs w:val="24"/>
              </w:rPr>
            </w:pPr>
          </w:p>
        </w:tc>
        <w:tc>
          <w:tcPr>
            <w:tcW w:w="1276" w:type="dxa"/>
            <w:vAlign w:val="center"/>
          </w:tcPr>
          <w:p w14:paraId="64BD1F7F">
            <w:pPr>
              <w:pStyle w:val="90"/>
              <w:spacing w:line="240" w:lineRule="auto"/>
              <w:ind w:firstLine="480"/>
              <w:rPr>
                <w:rFonts w:hAnsi="Times New Roman"/>
                <w:sz w:val="24"/>
                <w:szCs w:val="24"/>
              </w:rPr>
            </w:pPr>
          </w:p>
        </w:tc>
        <w:tc>
          <w:tcPr>
            <w:tcW w:w="1276" w:type="dxa"/>
            <w:vAlign w:val="center"/>
          </w:tcPr>
          <w:p w14:paraId="759CBFEF">
            <w:pPr>
              <w:pStyle w:val="90"/>
              <w:spacing w:line="240" w:lineRule="auto"/>
              <w:ind w:firstLine="480"/>
              <w:rPr>
                <w:rFonts w:hAnsi="Times New Roman"/>
                <w:sz w:val="24"/>
                <w:szCs w:val="24"/>
              </w:rPr>
            </w:pPr>
          </w:p>
        </w:tc>
        <w:tc>
          <w:tcPr>
            <w:tcW w:w="1701" w:type="dxa"/>
            <w:vAlign w:val="center"/>
          </w:tcPr>
          <w:p w14:paraId="151E4AAF">
            <w:pPr>
              <w:pStyle w:val="90"/>
              <w:spacing w:line="240" w:lineRule="auto"/>
              <w:ind w:firstLine="0" w:firstLineChars="0"/>
              <w:rPr>
                <w:rFonts w:hAnsi="Times New Roman"/>
                <w:sz w:val="24"/>
                <w:szCs w:val="24"/>
              </w:rPr>
            </w:pPr>
            <w:r>
              <w:rPr>
                <w:rFonts w:hint="eastAsia" w:hAnsi="Times New Roman"/>
                <w:sz w:val="24"/>
                <w:szCs w:val="24"/>
              </w:rPr>
              <w:t>依据相关规定，保护费率最小变动单位1bp。但实践中，前端费用、保护费支付金额最小变动单位</w:t>
            </w:r>
            <w:r>
              <w:rPr>
                <w:rFonts w:hAnsi="Times New Roman"/>
                <w:sz w:val="24"/>
                <w:szCs w:val="24"/>
              </w:rPr>
              <w:t>0.001</w:t>
            </w:r>
            <w:r>
              <w:rPr>
                <w:rFonts w:hint="eastAsia" w:hAnsi="Times New Roman"/>
                <w:sz w:val="24"/>
                <w:szCs w:val="24"/>
              </w:rPr>
              <w:t>元，系统显示保护费率最小变动单位</w:t>
            </w:r>
            <w:r>
              <w:rPr>
                <w:rFonts w:hAnsi="Times New Roman"/>
                <w:sz w:val="24"/>
                <w:szCs w:val="24"/>
              </w:rPr>
              <w:t>0.001bp</w:t>
            </w:r>
          </w:p>
        </w:tc>
        <w:tc>
          <w:tcPr>
            <w:tcW w:w="1275" w:type="dxa"/>
            <w:vAlign w:val="center"/>
          </w:tcPr>
          <w:p w14:paraId="7C2025FC">
            <w:pPr>
              <w:pStyle w:val="90"/>
              <w:spacing w:line="240" w:lineRule="auto"/>
              <w:ind w:firstLine="480"/>
              <w:rPr>
                <w:rFonts w:hAnsi="Times New Roman"/>
                <w:sz w:val="24"/>
                <w:szCs w:val="24"/>
              </w:rPr>
            </w:pPr>
          </w:p>
        </w:tc>
      </w:tr>
      <w:tr w14:paraId="7799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3B45A48C">
            <w:pPr>
              <w:pStyle w:val="90"/>
              <w:spacing w:line="240" w:lineRule="auto"/>
              <w:ind w:firstLine="480"/>
              <w:rPr>
                <w:rFonts w:hAnsi="Times New Roman"/>
                <w:sz w:val="24"/>
                <w:szCs w:val="24"/>
              </w:rPr>
            </w:pPr>
          </w:p>
        </w:tc>
        <w:tc>
          <w:tcPr>
            <w:tcW w:w="1758" w:type="dxa"/>
            <w:vAlign w:val="center"/>
          </w:tcPr>
          <w:p w14:paraId="5188752A">
            <w:pPr>
              <w:pStyle w:val="90"/>
              <w:spacing w:line="240" w:lineRule="auto"/>
              <w:ind w:firstLine="0" w:firstLineChars="0"/>
              <w:rPr>
                <w:rFonts w:hAnsi="Times New Roman"/>
                <w:sz w:val="24"/>
                <w:szCs w:val="24"/>
              </w:rPr>
            </w:pPr>
            <w:r>
              <w:rPr>
                <w:rFonts w:hint="eastAsia" w:hAnsi="Times New Roman"/>
                <w:sz w:val="24"/>
                <w:szCs w:val="24"/>
              </w:rPr>
              <w:t>信用保护凭证</w:t>
            </w:r>
          </w:p>
        </w:tc>
        <w:tc>
          <w:tcPr>
            <w:tcW w:w="1360" w:type="dxa"/>
            <w:vAlign w:val="center"/>
          </w:tcPr>
          <w:p w14:paraId="0DCC8D38">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0F1423AC">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6EDCFA1E">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1FB4C325">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1275" w:type="dxa"/>
            <w:vAlign w:val="center"/>
          </w:tcPr>
          <w:p w14:paraId="33209069">
            <w:pPr>
              <w:pStyle w:val="90"/>
              <w:spacing w:line="240" w:lineRule="auto"/>
              <w:ind w:firstLine="480"/>
              <w:rPr>
                <w:rFonts w:hAnsi="Times New Roman"/>
                <w:sz w:val="24"/>
                <w:szCs w:val="24"/>
              </w:rPr>
            </w:pPr>
            <w:r>
              <w:rPr>
                <w:rFonts w:hAnsi="Times New Roman"/>
                <w:sz w:val="24"/>
                <w:szCs w:val="24"/>
              </w:rPr>
              <w:t>--</w:t>
            </w:r>
          </w:p>
        </w:tc>
      </w:tr>
      <w:tr w14:paraId="19CB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3C31B5ED">
            <w:pPr>
              <w:pStyle w:val="90"/>
              <w:spacing w:line="240" w:lineRule="auto"/>
              <w:ind w:firstLine="480"/>
              <w:rPr>
                <w:rFonts w:hAnsi="Times New Roman"/>
                <w:sz w:val="24"/>
                <w:szCs w:val="24"/>
              </w:rPr>
            </w:pPr>
          </w:p>
        </w:tc>
        <w:tc>
          <w:tcPr>
            <w:tcW w:w="1758" w:type="dxa"/>
            <w:vAlign w:val="center"/>
          </w:tcPr>
          <w:p w14:paraId="6DE8A116">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360" w:type="dxa"/>
            <w:vAlign w:val="center"/>
          </w:tcPr>
          <w:p w14:paraId="757A8B8B">
            <w:pPr>
              <w:pStyle w:val="90"/>
              <w:spacing w:line="240" w:lineRule="auto"/>
              <w:ind w:firstLine="0" w:firstLineChars="0"/>
              <w:rPr>
                <w:rFonts w:hAnsi="Times New Roman"/>
                <w:sz w:val="24"/>
                <w:szCs w:val="24"/>
              </w:rPr>
            </w:pPr>
            <w:r>
              <w:rPr>
                <w:rFonts w:hint="eastAsia" w:hAnsi="Times New Roman"/>
                <w:sz w:val="24"/>
                <w:szCs w:val="24"/>
              </w:rPr>
              <w:t>价格招标：</w:t>
            </w:r>
            <w:r>
              <w:rPr>
                <w:rFonts w:hAnsi="Times New Roman"/>
                <w:sz w:val="24"/>
                <w:szCs w:val="24"/>
              </w:rPr>
              <w:t>0.001</w:t>
            </w:r>
            <w:r>
              <w:rPr>
                <w:rFonts w:hint="eastAsia" w:hAnsi="Times New Roman"/>
                <w:sz w:val="24"/>
                <w:szCs w:val="24"/>
              </w:rPr>
              <w:t>元；收益率招标：</w:t>
            </w:r>
            <w:r>
              <w:rPr>
                <w:rFonts w:hAnsi="Times New Roman"/>
                <w:sz w:val="24"/>
                <w:szCs w:val="24"/>
              </w:rPr>
              <w:t>0.001%</w:t>
            </w:r>
          </w:p>
        </w:tc>
        <w:tc>
          <w:tcPr>
            <w:tcW w:w="1276" w:type="dxa"/>
            <w:vAlign w:val="center"/>
          </w:tcPr>
          <w:p w14:paraId="1378756E">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7B1739AD">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54CA66D1">
            <w:pPr>
              <w:pStyle w:val="90"/>
              <w:spacing w:line="240" w:lineRule="auto"/>
              <w:ind w:firstLine="0" w:firstLineChars="0"/>
              <w:jc w:val="center"/>
              <w:rPr>
                <w:rFonts w:hAnsi="Times New Roman"/>
                <w:sz w:val="24"/>
                <w:szCs w:val="24"/>
              </w:rPr>
            </w:pPr>
            <w:r>
              <w:rPr>
                <w:rFonts w:hAnsi="Times New Roman"/>
                <w:sz w:val="24"/>
                <w:szCs w:val="24"/>
              </w:rPr>
              <w:t>--</w:t>
            </w:r>
          </w:p>
        </w:tc>
        <w:tc>
          <w:tcPr>
            <w:tcW w:w="1275" w:type="dxa"/>
            <w:vAlign w:val="center"/>
          </w:tcPr>
          <w:p w14:paraId="0F183A7E">
            <w:pPr>
              <w:pStyle w:val="90"/>
              <w:spacing w:line="240" w:lineRule="auto"/>
              <w:ind w:firstLine="480"/>
              <w:rPr>
                <w:rFonts w:hAnsi="Times New Roman"/>
                <w:sz w:val="24"/>
                <w:szCs w:val="24"/>
              </w:rPr>
            </w:pPr>
            <w:r>
              <w:rPr>
                <w:rFonts w:hAnsi="Times New Roman"/>
                <w:sz w:val="24"/>
                <w:szCs w:val="24"/>
              </w:rPr>
              <w:t>--</w:t>
            </w:r>
          </w:p>
        </w:tc>
      </w:tr>
    </w:tbl>
    <w:p w14:paraId="7B55EDA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价格限制</w:t>
      </w:r>
    </w:p>
    <w:p w14:paraId="0465CC88">
      <w:pPr>
        <w:pStyle w:val="90"/>
        <w:spacing w:line="600" w:lineRule="exact"/>
        <w:ind w:firstLine="600"/>
        <w:rPr>
          <w:rFonts w:hAnsi="Times New Roman"/>
          <w:sz w:val="30"/>
          <w:szCs w:val="30"/>
        </w:rPr>
      </w:pPr>
      <w:r>
        <w:rPr>
          <w:rFonts w:hint="eastAsia" w:hAnsi="Times New Roman"/>
          <w:sz w:val="30"/>
          <w:szCs w:val="30"/>
        </w:rPr>
        <w:t>债券现券交易及通用回购交易申报中，申报价格应符合一定的要求。不符合申报价格范围要求的，交易系统不接受相关申报。各产品类型的价格控制基准如下表：</w:t>
      </w:r>
    </w:p>
    <w:tbl>
      <w:tblPr>
        <w:tblStyle w:val="43"/>
        <w:tblW w:w="5739"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17"/>
        <w:gridCol w:w="1135"/>
        <w:gridCol w:w="1276"/>
        <w:gridCol w:w="5246"/>
      </w:tblGrid>
      <w:tr w14:paraId="5246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62" w:type="pct"/>
            <w:vAlign w:val="center"/>
          </w:tcPr>
          <w:p w14:paraId="17FD0C4F">
            <w:pPr>
              <w:pStyle w:val="90"/>
              <w:spacing w:line="240" w:lineRule="auto"/>
              <w:ind w:firstLine="0" w:firstLineChars="0"/>
              <w:rPr>
                <w:rFonts w:hAnsi="Times New Roman"/>
                <w:b/>
                <w:sz w:val="24"/>
                <w:szCs w:val="24"/>
              </w:rPr>
            </w:pPr>
          </w:p>
        </w:tc>
        <w:tc>
          <w:tcPr>
            <w:tcW w:w="724" w:type="pct"/>
            <w:vAlign w:val="center"/>
          </w:tcPr>
          <w:p w14:paraId="4BA80E74">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580" w:type="pct"/>
            <w:vAlign w:val="center"/>
          </w:tcPr>
          <w:p w14:paraId="38CAD7EB">
            <w:pPr>
              <w:pStyle w:val="90"/>
              <w:spacing w:line="240" w:lineRule="auto"/>
              <w:ind w:firstLine="0" w:firstLineChars="0"/>
              <w:rPr>
                <w:rFonts w:hAnsi="Times New Roman"/>
                <w:b/>
                <w:sz w:val="24"/>
                <w:szCs w:val="24"/>
              </w:rPr>
            </w:pPr>
            <w:r>
              <w:rPr>
                <w:rFonts w:hint="eastAsia" w:hAnsi="Times New Roman"/>
                <w:b/>
                <w:sz w:val="24"/>
                <w:szCs w:val="24"/>
              </w:rPr>
              <w:t>控制方式</w:t>
            </w:r>
          </w:p>
        </w:tc>
        <w:tc>
          <w:tcPr>
            <w:tcW w:w="652" w:type="pct"/>
            <w:vAlign w:val="center"/>
          </w:tcPr>
          <w:p w14:paraId="7D50E111">
            <w:pPr>
              <w:pStyle w:val="90"/>
              <w:spacing w:line="240" w:lineRule="auto"/>
              <w:ind w:firstLine="0" w:firstLineChars="0"/>
              <w:rPr>
                <w:rFonts w:hAnsi="Times New Roman"/>
                <w:b/>
                <w:sz w:val="24"/>
                <w:szCs w:val="24"/>
              </w:rPr>
            </w:pPr>
            <w:r>
              <w:rPr>
                <w:rFonts w:hint="eastAsia" w:hAnsi="Times New Roman"/>
                <w:b/>
                <w:sz w:val="24"/>
                <w:szCs w:val="24"/>
              </w:rPr>
              <w:t>适用的交易方式</w:t>
            </w:r>
          </w:p>
        </w:tc>
        <w:tc>
          <w:tcPr>
            <w:tcW w:w="2681" w:type="pct"/>
            <w:vAlign w:val="center"/>
          </w:tcPr>
          <w:p w14:paraId="32C284A9">
            <w:pPr>
              <w:pStyle w:val="90"/>
              <w:spacing w:line="240" w:lineRule="auto"/>
              <w:ind w:firstLine="0" w:firstLineChars="0"/>
              <w:rPr>
                <w:rFonts w:hAnsi="Times New Roman"/>
                <w:b/>
                <w:sz w:val="24"/>
                <w:szCs w:val="24"/>
              </w:rPr>
            </w:pPr>
            <w:r>
              <w:rPr>
                <w:rFonts w:hint="eastAsia" w:hAnsi="Times New Roman"/>
                <w:b/>
                <w:sz w:val="24"/>
                <w:szCs w:val="24"/>
              </w:rPr>
              <w:t>有效申报价格范围</w:t>
            </w:r>
          </w:p>
        </w:tc>
      </w:tr>
      <w:tr w14:paraId="0163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trPr>
        <w:tc>
          <w:tcPr>
            <w:tcW w:w="362" w:type="pct"/>
            <w:vMerge w:val="restart"/>
            <w:vAlign w:val="center"/>
          </w:tcPr>
          <w:p w14:paraId="317208EE">
            <w:pPr>
              <w:pStyle w:val="90"/>
              <w:spacing w:line="240" w:lineRule="auto"/>
              <w:ind w:firstLine="0" w:firstLineChars="0"/>
              <w:rPr>
                <w:rFonts w:hAnsi="Times New Roman"/>
                <w:sz w:val="24"/>
                <w:szCs w:val="24"/>
              </w:rPr>
            </w:pPr>
            <w:r>
              <w:rPr>
                <w:rFonts w:hint="eastAsia" w:hAnsi="Times New Roman"/>
                <w:sz w:val="24"/>
                <w:szCs w:val="24"/>
              </w:rPr>
              <w:t>现券</w:t>
            </w:r>
          </w:p>
        </w:tc>
        <w:tc>
          <w:tcPr>
            <w:tcW w:w="724" w:type="pct"/>
            <w:vAlign w:val="center"/>
          </w:tcPr>
          <w:p w14:paraId="30945449">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国债、地方债、政府支持债券、政策性金融债</w:t>
            </w:r>
          </w:p>
        </w:tc>
        <w:tc>
          <w:tcPr>
            <w:tcW w:w="580" w:type="pct"/>
            <w:vMerge w:val="restart"/>
            <w:vAlign w:val="center"/>
          </w:tcPr>
          <w:p w14:paraId="18B6E89F">
            <w:pPr>
              <w:pStyle w:val="90"/>
              <w:spacing w:line="240" w:lineRule="auto"/>
              <w:ind w:firstLine="0" w:firstLineChars="0"/>
              <w:rPr>
                <w:rFonts w:hAnsi="Times New Roman"/>
                <w:sz w:val="24"/>
                <w:szCs w:val="24"/>
              </w:rPr>
            </w:pPr>
            <w:r>
              <w:rPr>
                <w:rFonts w:hint="eastAsia" w:hAnsi="Times New Roman"/>
                <w:sz w:val="24"/>
                <w:szCs w:val="24"/>
              </w:rPr>
              <w:t>有效申报价格范围</w:t>
            </w:r>
          </w:p>
        </w:tc>
        <w:tc>
          <w:tcPr>
            <w:tcW w:w="652" w:type="pct"/>
            <w:vMerge w:val="restart"/>
            <w:vAlign w:val="center"/>
          </w:tcPr>
          <w:p w14:paraId="372AD31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Merge w:val="restart"/>
            <w:vAlign w:val="center"/>
          </w:tcPr>
          <w:p w14:paraId="793AC4B9">
            <w:pPr>
              <w:pStyle w:val="90"/>
              <w:spacing w:line="240" w:lineRule="auto"/>
              <w:ind w:firstLine="0" w:firstLineChars="0"/>
              <w:rPr>
                <w:rFonts w:hAnsi="Times New Roman"/>
                <w:sz w:val="24"/>
                <w:szCs w:val="24"/>
              </w:rPr>
            </w:pPr>
            <w:r>
              <w:rPr>
                <w:rFonts w:hint="eastAsia" w:hAnsi="Times New Roman"/>
                <w:b/>
                <w:sz w:val="24"/>
                <w:szCs w:val="24"/>
              </w:rPr>
              <w:t>集合匹配价格限制：</w:t>
            </w:r>
            <w:r>
              <w:rPr>
                <w:rFonts w:hint="eastAsia" w:hAnsi="Times New Roman"/>
                <w:sz w:val="24"/>
                <w:szCs w:val="24"/>
              </w:rPr>
              <w:t>债券的有效申报价格范围为前收盘价的上下30%</w:t>
            </w:r>
          </w:p>
          <w:p w14:paraId="7710CEA5">
            <w:pPr>
              <w:pStyle w:val="90"/>
              <w:spacing w:line="240" w:lineRule="auto"/>
              <w:ind w:firstLine="0" w:firstLineChars="0"/>
              <w:rPr>
                <w:rFonts w:hAnsi="Times New Roman"/>
                <w:sz w:val="24"/>
                <w:szCs w:val="24"/>
              </w:rPr>
            </w:pPr>
            <w:r>
              <w:rPr>
                <w:rFonts w:hint="eastAsia" w:hAnsi="Times New Roman"/>
                <w:b/>
                <w:sz w:val="24"/>
                <w:szCs w:val="24"/>
              </w:rPr>
              <w:t>连续匹配价格限制：</w:t>
            </w:r>
            <w:r>
              <w:rPr>
                <w:rFonts w:hint="eastAsia" w:hAnsi="Times New Roman"/>
                <w:sz w:val="24"/>
                <w:szCs w:val="24"/>
              </w:rPr>
              <w:t>政府债券、政府支持债券、政策性金融债等的有效申报价格范围为匹配成交最新成交价格的上下10%，其他债券的有效申报价格范围为匹配成交最新成交价格的上下20%</w:t>
            </w:r>
          </w:p>
        </w:tc>
      </w:tr>
      <w:tr w14:paraId="5727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1C89AC36">
            <w:pPr>
              <w:pStyle w:val="90"/>
              <w:spacing w:line="240" w:lineRule="auto"/>
              <w:ind w:firstLine="480"/>
              <w:rPr>
                <w:rFonts w:hAnsi="Times New Roman"/>
                <w:sz w:val="24"/>
                <w:szCs w:val="24"/>
              </w:rPr>
            </w:pPr>
          </w:p>
        </w:tc>
        <w:tc>
          <w:tcPr>
            <w:tcW w:w="724" w:type="pct"/>
            <w:vAlign w:val="center"/>
          </w:tcPr>
          <w:p w14:paraId="6AE7FE54">
            <w:pPr>
              <w:pStyle w:val="90"/>
              <w:spacing w:line="240" w:lineRule="auto"/>
              <w:ind w:firstLine="0" w:firstLineChars="0"/>
              <w:rPr>
                <w:rFonts w:hAnsi="Times New Roman"/>
                <w:sz w:val="24"/>
                <w:szCs w:val="24"/>
              </w:rPr>
            </w:pPr>
            <w:r>
              <w:rPr>
                <w:rFonts w:hint="eastAsia" w:hAnsi="Times New Roman"/>
                <w:sz w:val="24"/>
                <w:szCs w:val="24"/>
              </w:rPr>
              <w:t>公司债</w:t>
            </w:r>
          </w:p>
        </w:tc>
        <w:tc>
          <w:tcPr>
            <w:tcW w:w="580" w:type="pct"/>
            <w:vMerge w:val="continue"/>
            <w:vAlign w:val="center"/>
          </w:tcPr>
          <w:p w14:paraId="2973D1F9">
            <w:pPr>
              <w:pStyle w:val="90"/>
              <w:spacing w:line="240" w:lineRule="auto"/>
              <w:ind w:firstLine="480"/>
              <w:rPr>
                <w:rFonts w:hAnsi="Times New Roman"/>
                <w:sz w:val="24"/>
                <w:szCs w:val="24"/>
              </w:rPr>
            </w:pPr>
          </w:p>
        </w:tc>
        <w:tc>
          <w:tcPr>
            <w:tcW w:w="652" w:type="pct"/>
            <w:vMerge w:val="continue"/>
            <w:vAlign w:val="center"/>
          </w:tcPr>
          <w:p w14:paraId="3E3C742A">
            <w:pPr>
              <w:pStyle w:val="90"/>
              <w:spacing w:line="240" w:lineRule="auto"/>
              <w:ind w:firstLine="480"/>
              <w:rPr>
                <w:rFonts w:hAnsi="Times New Roman"/>
                <w:sz w:val="24"/>
                <w:szCs w:val="24"/>
              </w:rPr>
            </w:pPr>
          </w:p>
        </w:tc>
        <w:tc>
          <w:tcPr>
            <w:tcW w:w="2681" w:type="pct"/>
            <w:vMerge w:val="continue"/>
            <w:vAlign w:val="center"/>
          </w:tcPr>
          <w:p w14:paraId="2F6AFF25">
            <w:pPr>
              <w:pStyle w:val="90"/>
              <w:spacing w:line="240" w:lineRule="auto"/>
              <w:ind w:firstLine="480"/>
              <w:rPr>
                <w:rFonts w:hAnsi="Times New Roman"/>
                <w:sz w:val="24"/>
                <w:szCs w:val="24"/>
              </w:rPr>
            </w:pPr>
          </w:p>
        </w:tc>
      </w:tr>
      <w:tr w14:paraId="6337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C7E1C3B">
            <w:pPr>
              <w:pStyle w:val="90"/>
              <w:spacing w:line="240" w:lineRule="auto"/>
              <w:ind w:firstLine="480"/>
              <w:rPr>
                <w:rFonts w:hAnsi="Times New Roman"/>
                <w:sz w:val="24"/>
                <w:szCs w:val="24"/>
              </w:rPr>
            </w:pPr>
          </w:p>
        </w:tc>
        <w:tc>
          <w:tcPr>
            <w:tcW w:w="724" w:type="pct"/>
            <w:vAlign w:val="center"/>
          </w:tcPr>
          <w:p w14:paraId="35277503">
            <w:pPr>
              <w:pStyle w:val="90"/>
              <w:spacing w:line="240" w:lineRule="auto"/>
              <w:ind w:firstLine="0" w:firstLineChars="0"/>
              <w:rPr>
                <w:rFonts w:hAnsi="Times New Roman"/>
                <w:sz w:val="24"/>
                <w:szCs w:val="24"/>
              </w:rPr>
            </w:pPr>
            <w:r>
              <w:rPr>
                <w:rFonts w:hint="eastAsia" w:hAnsi="Times New Roman"/>
                <w:sz w:val="24"/>
                <w:szCs w:val="24"/>
              </w:rPr>
              <w:t>可交换债</w:t>
            </w:r>
          </w:p>
        </w:tc>
        <w:tc>
          <w:tcPr>
            <w:tcW w:w="580" w:type="pct"/>
            <w:vMerge w:val="continue"/>
            <w:vAlign w:val="center"/>
          </w:tcPr>
          <w:p w14:paraId="57BC814B">
            <w:pPr>
              <w:pStyle w:val="90"/>
              <w:spacing w:line="240" w:lineRule="auto"/>
              <w:ind w:firstLine="480"/>
              <w:rPr>
                <w:rFonts w:hAnsi="Times New Roman"/>
                <w:sz w:val="24"/>
                <w:szCs w:val="24"/>
              </w:rPr>
            </w:pPr>
          </w:p>
        </w:tc>
        <w:tc>
          <w:tcPr>
            <w:tcW w:w="652" w:type="pct"/>
            <w:vMerge w:val="continue"/>
            <w:vAlign w:val="center"/>
          </w:tcPr>
          <w:p w14:paraId="6C451DBD">
            <w:pPr>
              <w:pStyle w:val="90"/>
              <w:spacing w:line="240" w:lineRule="auto"/>
              <w:ind w:firstLine="480"/>
              <w:rPr>
                <w:rFonts w:hAnsi="Times New Roman"/>
                <w:sz w:val="24"/>
                <w:szCs w:val="24"/>
              </w:rPr>
            </w:pPr>
          </w:p>
        </w:tc>
        <w:tc>
          <w:tcPr>
            <w:tcW w:w="2681" w:type="pct"/>
            <w:vMerge w:val="continue"/>
            <w:vAlign w:val="center"/>
          </w:tcPr>
          <w:p w14:paraId="1067936B">
            <w:pPr>
              <w:pStyle w:val="90"/>
              <w:spacing w:line="240" w:lineRule="auto"/>
              <w:ind w:firstLine="480"/>
              <w:rPr>
                <w:rFonts w:hAnsi="Times New Roman"/>
                <w:sz w:val="24"/>
                <w:szCs w:val="24"/>
              </w:rPr>
            </w:pPr>
          </w:p>
        </w:tc>
      </w:tr>
      <w:tr w14:paraId="7E16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restart"/>
            <w:vAlign w:val="center"/>
          </w:tcPr>
          <w:p w14:paraId="39D5570B">
            <w:pPr>
              <w:pStyle w:val="90"/>
              <w:spacing w:line="240" w:lineRule="auto"/>
              <w:ind w:firstLine="0" w:firstLineChars="0"/>
              <w:rPr>
                <w:rFonts w:hAnsi="Times New Roman"/>
                <w:sz w:val="24"/>
                <w:szCs w:val="24"/>
              </w:rPr>
            </w:pPr>
            <w:r>
              <w:rPr>
                <w:rFonts w:hint="eastAsia" w:hAnsi="Times New Roman"/>
                <w:sz w:val="24"/>
                <w:szCs w:val="24"/>
              </w:rPr>
              <w:t>回购</w:t>
            </w:r>
          </w:p>
        </w:tc>
        <w:tc>
          <w:tcPr>
            <w:tcW w:w="724" w:type="pct"/>
            <w:vAlign w:val="center"/>
          </w:tcPr>
          <w:p w14:paraId="6E12C6E7">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580" w:type="pct"/>
            <w:vAlign w:val="center"/>
          </w:tcPr>
          <w:p w14:paraId="2AB2E0DA">
            <w:pPr>
              <w:pStyle w:val="90"/>
              <w:spacing w:line="240" w:lineRule="auto"/>
              <w:ind w:firstLine="0" w:firstLineChars="0"/>
              <w:rPr>
                <w:rFonts w:hAnsi="Times New Roman"/>
                <w:sz w:val="24"/>
                <w:szCs w:val="24"/>
              </w:rPr>
            </w:pPr>
            <w:r>
              <w:rPr>
                <w:rFonts w:hint="eastAsia" w:hAnsi="Times New Roman"/>
                <w:sz w:val="24"/>
                <w:szCs w:val="24"/>
              </w:rPr>
              <w:t>有效申报价格范围（“价格笼子”）</w:t>
            </w:r>
          </w:p>
        </w:tc>
        <w:tc>
          <w:tcPr>
            <w:tcW w:w="652" w:type="pct"/>
            <w:vAlign w:val="center"/>
          </w:tcPr>
          <w:p w14:paraId="0688919D">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Align w:val="center"/>
          </w:tcPr>
          <w:p w14:paraId="0F6481DE">
            <w:pPr>
              <w:pStyle w:val="90"/>
              <w:spacing w:line="240" w:lineRule="auto"/>
              <w:ind w:firstLine="0" w:firstLineChars="0"/>
              <w:rPr>
                <w:rFonts w:hAnsi="Times New Roman"/>
                <w:sz w:val="24"/>
                <w:szCs w:val="24"/>
              </w:rPr>
            </w:pPr>
            <w:r>
              <w:rPr>
                <w:rFonts w:hint="eastAsia" w:hAnsi="Times New Roman"/>
                <w:sz w:val="24"/>
                <w:szCs w:val="24"/>
              </w:rPr>
              <w:t>在集合匹配阶段，有效申报价格范围为前收盘价的上下</w:t>
            </w:r>
            <w:r>
              <w:rPr>
                <w:rFonts w:hAnsi="Times New Roman"/>
                <w:sz w:val="24"/>
                <w:szCs w:val="24"/>
              </w:rPr>
              <w:t>100%</w:t>
            </w:r>
            <w:r>
              <w:rPr>
                <w:rFonts w:hint="eastAsia" w:hAnsi="Times New Roman"/>
                <w:sz w:val="24"/>
                <w:szCs w:val="24"/>
              </w:rPr>
              <w:t>；连续匹配阶段，有效申报价格不得高于匹配成交最新成交价格</w:t>
            </w:r>
            <w:r>
              <w:rPr>
                <w:rFonts w:hAnsi="Times New Roman"/>
                <w:sz w:val="24"/>
                <w:szCs w:val="24"/>
              </w:rPr>
              <w:t>100个基点</w:t>
            </w:r>
          </w:p>
        </w:tc>
      </w:tr>
      <w:tr w14:paraId="03A9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20C174F">
            <w:pPr>
              <w:pStyle w:val="90"/>
              <w:spacing w:line="240" w:lineRule="auto"/>
              <w:ind w:firstLine="480"/>
              <w:rPr>
                <w:rFonts w:hAnsi="Times New Roman"/>
                <w:sz w:val="24"/>
                <w:szCs w:val="24"/>
              </w:rPr>
            </w:pPr>
          </w:p>
        </w:tc>
        <w:tc>
          <w:tcPr>
            <w:tcW w:w="724" w:type="pct"/>
            <w:vAlign w:val="center"/>
          </w:tcPr>
          <w:p w14:paraId="37E5991D">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580" w:type="pct"/>
            <w:vMerge w:val="restart"/>
            <w:vAlign w:val="center"/>
          </w:tcPr>
          <w:p w14:paraId="12E9C224">
            <w:pPr>
              <w:pStyle w:val="90"/>
              <w:spacing w:line="240" w:lineRule="auto"/>
              <w:ind w:firstLine="0" w:firstLineChars="0"/>
              <w:rPr>
                <w:rFonts w:hAnsi="Times New Roman"/>
                <w:sz w:val="24"/>
                <w:szCs w:val="24"/>
              </w:rPr>
            </w:pPr>
            <w:r>
              <w:rPr>
                <w:rFonts w:hint="eastAsia" w:hAnsi="Times New Roman"/>
                <w:sz w:val="24"/>
                <w:szCs w:val="24"/>
              </w:rPr>
              <w:t>价格上下限</w:t>
            </w:r>
          </w:p>
        </w:tc>
        <w:tc>
          <w:tcPr>
            <w:tcW w:w="652" w:type="pct"/>
            <w:vAlign w:val="center"/>
          </w:tcPr>
          <w:p w14:paraId="0CE51D87">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0C1FF2D9">
            <w:pPr>
              <w:pStyle w:val="90"/>
              <w:spacing w:line="240" w:lineRule="auto"/>
              <w:ind w:firstLine="0" w:firstLineChars="0"/>
              <w:rPr>
                <w:rFonts w:hAnsi="Times New Roman"/>
                <w:sz w:val="24"/>
                <w:szCs w:val="24"/>
              </w:rPr>
            </w:pPr>
            <w:r>
              <w:rPr>
                <w:rFonts w:hint="eastAsia" w:hAnsi="Times New Roman"/>
                <w:sz w:val="24"/>
                <w:szCs w:val="24"/>
              </w:rPr>
              <w:t>利率不得超过100%。</w:t>
            </w:r>
          </w:p>
        </w:tc>
      </w:tr>
      <w:tr w14:paraId="495C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E1AA919">
            <w:pPr>
              <w:pStyle w:val="90"/>
              <w:spacing w:line="240" w:lineRule="auto"/>
              <w:ind w:firstLine="480"/>
              <w:rPr>
                <w:rFonts w:hAnsi="Times New Roman"/>
                <w:sz w:val="24"/>
                <w:szCs w:val="24"/>
              </w:rPr>
            </w:pPr>
          </w:p>
        </w:tc>
        <w:tc>
          <w:tcPr>
            <w:tcW w:w="724" w:type="pct"/>
            <w:vAlign w:val="center"/>
          </w:tcPr>
          <w:p w14:paraId="359E1789">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580" w:type="pct"/>
            <w:vMerge w:val="continue"/>
            <w:vAlign w:val="center"/>
          </w:tcPr>
          <w:p w14:paraId="792E26C3">
            <w:pPr>
              <w:pStyle w:val="90"/>
              <w:spacing w:line="240" w:lineRule="auto"/>
              <w:ind w:firstLine="480"/>
              <w:rPr>
                <w:rFonts w:hAnsi="Times New Roman"/>
                <w:sz w:val="24"/>
                <w:szCs w:val="24"/>
              </w:rPr>
            </w:pPr>
          </w:p>
        </w:tc>
        <w:tc>
          <w:tcPr>
            <w:tcW w:w="652" w:type="pct"/>
            <w:vAlign w:val="center"/>
          </w:tcPr>
          <w:p w14:paraId="1CC574DA">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478AAADB">
            <w:pPr>
              <w:pStyle w:val="90"/>
              <w:spacing w:line="240" w:lineRule="auto"/>
              <w:ind w:firstLine="0" w:firstLineChars="0"/>
              <w:rPr>
                <w:rFonts w:hAnsi="Times New Roman"/>
                <w:sz w:val="24"/>
                <w:szCs w:val="24"/>
              </w:rPr>
            </w:pPr>
            <w:r>
              <w:rPr>
                <w:rFonts w:hint="eastAsia" w:hAnsi="Times New Roman"/>
                <w:sz w:val="24"/>
                <w:szCs w:val="24"/>
              </w:rPr>
              <w:t>回购利率不能超过法律法规及司法解释允许的利率范围</w:t>
            </w:r>
          </w:p>
        </w:tc>
      </w:tr>
    </w:tbl>
    <w:p w14:paraId="1693E247">
      <w:pPr>
        <w:pStyle w:val="90"/>
        <w:spacing w:line="600" w:lineRule="exact"/>
        <w:ind w:firstLine="600"/>
        <w:rPr>
          <w:rFonts w:hAnsi="Times New Roman"/>
          <w:sz w:val="30"/>
          <w:szCs w:val="30"/>
        </w:rPr>
      </w:pPr>
      <w:r>
        <w:rPr>
          <w:rFonts w:hint="eastAsia" w:hAnsi="Times New Roman"/>
          <w:sz w:val="30"/>
          <w:szCs w:val="30"/>
        </w:rPr>
        <w:t>有效申报价格范围的确定，</w:t>
      </w:r>
      <w:r>
        <w:rPr>
          <w:rFonts w:hAnsi="Times New Roman"/>
          <w:sz w:val="30"/>
          <w:szCs w:val="30"/>
        </w:rPr>
        <w:t>详见</w:t>
      </w:r>
      <w:r>
        <w:rPr>
          <w:rFonts w:hint="eastAsia" w:hAnsi="Times New Roman"/>
          <w:sz w:val="30"/>
          <w:szCs w:val="30"/>
        </w:rPr>
        <w:t>本指南</w:t>
      </w:r>
      <w:r>
        <w:rPr>
          <w:rFonts w:hAnsi="Times New Roman"/>
          <w:sz w:val="30"/>
          <w:szCs w:val="30"/>
        </w:rPr>
        <w:t>第</w:t>
      </w:r>
      <w:r>
        <w:rPr>
          <w:rFonts w:hint="eastAsia" w:hAnsi="Times New Roman"/>
          <w:sz w:val="30"/>
          <w:szCs w:val="30"/>
        </w:rPr>
        <w:t>5</w:t>
      </w:r>
      <w:r>
        <w:rPr>
          <w:rFonts w:hAnsi="Times New Roman"/>
          <w:sz w:val="30"/>
          <w:szCs w:val="30"/>
        </w:rPr>
        <w:t>章</w:t>
      </w:r>
      <w:r>
        <w:rPr>
          <w:rFonts w:hint="eastAsia" w:hAnsi="Times New Roman"/>
          <w:sz w:val="30"/>
          <w:szCs w:val="30"/>
        </w:rPr>
        <w:t>相关内容。</w:t>
      </w:r>
    </w:p>
    <w:p w14:paraId="01C8D93C">
      <w:pPr>
        <w:pStyle w:val="90"/>
        <w:spacing w:line="600" w:lineRule="exact"/>
        <w:ind w:firstLine="600"/>
        <w:rPr>
          <w:rFonts w:hAnsi="Times New Roman"/>
          <w:sz w:val="30"/>
          <w:szCs w:val="30"/>
        </w:rPr>
      </w:pPr>
      <w:r>
        <w:rPr>
          <w:rFonts w:hint="eastAsia" w:hAnsi="Times New Roman"/>
          <w:sz w:val="30"/>
          <w:szCs w:val="30"/>
        </w:rPr>
        <w:t>有效申报价格范围或者按照成交原则达成的价格不在价格最小变动单位范围内的，按照四舍五入原则取至相应的价格最小变动单位。</w:t>
      </w:r>
    </w:p>
    <w:p w14:paraId="771F5CC3">
      <w:pPr>
        <w:numPr>
          <w:ilvl w:val="2"/>
          <w:numId w:val="4"/>
        </w:numPr>
        <w:spacing w:line="600" w:lineRule="exact"/>
        <w:ind w:left="0" w:firstLine="0"/>
        <w:outlineLvl w:val="2"/>
        <w:rPr>
          <w:rFonts w:ascii="仿宋_GB2312" w:eastAsia="仿宋_GB2312"/>
          <w:b/>
          <w:sz w:val="30"/>
          <w:szCs w:val="30"/>
        </w:rPr>
      </w:pPr>
      <w:bookmarkStart w:id="319" w:name="_Toc57908889"/>
      <w:r>
        <w:rPr>
          <w:rFonts w:hint="eastAsia" w:ascii="仿宋_GB2312" w:eastAsia="仿宋_GB2312"/>
          <w:b/>
          <w:sz w:val="30"/>
          <w:szCs w:val="30"/>
        </w:rPr>
        <w:t>涨跌幅限制</w:t>
      </w:r>
      <w:bookmarkEnd w:id="319"/>
    </w:p>
    <w:p w14:paraId="23F30A61">
      <w:pPr>
        <w:pStyle w:val="90"/>
        <w:spacing w:line="600" w:lineRule="exact"/>
        <w:ind w:firstLine="600"/>
        <w:rPr>
          <w:rFonts w:hAnsi="Times New Roman"/>
          <w:sz w:val="30"/>
          <w:szCs w:val="30"/>
        </w:rPr>
      </w:pPr>
      <w:r>
        <w:rPr>
          <w:rFonts w:hint="eastAsia" w:hAnsi="Times New Roman"/>
          <w:sz w:val="30"/>
          <w:szCs w:val="30"/>
        </w:rPr>
        <w:t>债券交易不设价格涨跌幅限制，本所另有规定的除外。</w:t>
      </w:r>
    </w:p>
    <w:p w14:paraId="7E26EA2E">
      <w:pPr>
        <w:numPr>
          <w:ilvl w:val="2"/>
          <w:numId w:val="4"/>
        </w:numPr>
        <w:spacing w:line="600" w:lineRule="exact"/>
        <w:ind w:left="0" w:firstLine="0"/>
        <w:outlineLvl w:val="2"/>
        <w:rPr>
          <w:rFonts w:ascii="仿宋_GB2312" w:eastAsia="仿宋_GB2312"/>
          <w:b/>
          <w:sz w:val="30"/>
          <w:szCs w:val="30"/>
        </w:rPr>
      </w:pPr>
      <w:bookmarkStart w:id="320" w:name="_Toc56166268"/>
      <w:bookmarkStart w:id="321" w:name="_Toc56166079"/>
      <w:bookmarkStart w:id="322" w:name="_Toc57908890"/>
      <w:r>
        <w:rPr>
          <w:rFonts w:hint="eastAsia" w:ascii="仿宋_GB2312" w:eastAsia="仿宋_GB2312"/>
          <w:b/>
          <w:sz w:val="30"/>
          <w:szCs w:val="30"/>
        </w:rPr>
        <w:t>价格类型</w:t>
      </w:r>
      <w:bookmarkEnd w:id="320"/>
      <w:bookmarkEnd w:id="321"/>
      <w:bookmarkEnd w:id="322"/>
    </w:p>
    <w:p w14:paraId="4C23146E">
      <w:pPr>
        <w:pStyle w:val="90"/>
        <w:spacing w:line="600" w:lineRule="exact"/>
        <w:ind w:firstLine="600"/>
        <w:rPr>
          <w:rFonts w:hAnsi="Times New Roman"/>
          <w:sz w:val="30"/>
          <w:szCs w:val="30"/>
        </w:rPr>
      </w:pPr>
      <w:r>
        <w:rPr>
          <w:rFonts w:hint="eastAsia" w:hAnsi="Times New Roman"/>
          <w:sz w:val="30"/>
          <w:szCs w:val="30"/>
        </w:rPr>
        <w:t>除可转债、</w:t>
      </w:r>
      <w:r>
        <w:rPr>
          <w:rFonts w:hAnsi="Times New Roman"/>
          <w:sz w:val="30"/>
          <w:szCs w:val="30"/>
        </w:rPr>
        <w:t>ABS中的次级档和</w:t>
      </w:r>
      <w:r>
        <w:rPr>
          <w:rFonts w:hint="eastAsia" w:hAnsi="Times New Roman"/>
          <w:sz w:val="30"/>
          <w:szCs w:val="30"/>
        </w:rPr>
        <w:t>特定</w:t>
      </w:r>
      <w:r>
        <w:rPr>
          <w:rFonts w:hAnsi="Times New Roman"/>
          <w:sz w:val="30"/>
          <w:szCs w:val="30"/>
        </w:rPr>
        <w:t>债券采用全价交易外，其余债券现券实行净价交易。</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136"/>
        <w:gridCol w:w="3096"/>
      </w:tblGrid>
      <w:tr w14:paraId="649E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2D2BAA9">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0" w:type="auto"/>
          </w:tcPr>
          <w:p w14:paraId="2197BBBA">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0" w:type="auto"/>
          </w:tcPr>
          <w:p w14:paraId="4DB41A59">
            <w:pPr>
              <w:pStyle w:val="90"/>
              <w:spacing w:line="240" w:lineRule="auto"/>
              <w:ind w:firstLine="0" w:firstLineChars="0"/>
              <w:rPr>
                <w:rFonts w:hAnsi="Times New Roman"/>
                <w:b/>
                <w:sz w:val="24"/>
                <w:szCs w:val="24"/>
              </w:rPr>
            </w:pPr>
            <w:r>
              <w:rPr>
                <w:rFonts w:hint="eastAsia" w:hAnsi="Times New Roman"/>
                <w:b/>
                <w:sz w:val="24"/>
                <w:szCs w:val="24"/>
              </w:rPr>
              <w:t>价格类型</w:t>
            </w:r>
          </w:p>
        </w:tc>
      </w:tr>
      <w:tr w14:paraId="7536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Pr>
          <w:p w14:paraId="3A134F82">
            <w:pPr>
              <w:pStyle w:val="90"/>
              <w:spacing w:line="240" w:lineRule="auto"/>
              <w:ind w:firstLine="0" w:firstLineChars="0"/>
              <w:rPr>
                <w:rFonts w:hAnsi="Times New Roman"/>
                <w:sz w:val="24"/>
                <w:szCs w:val="24"/>
              </w:rPr>
            </w:pPr>
            <w:r>
              <w:rPr>
                <w:rFonts w:hint="eastAsia" w:hAnsi="Times New Roman"/>
                <w:sz w:val="24"/>
                <w:szCs w:val="24"/>
              </w:rPr>
              <w:t>现券</w:t>
            </w:r>
          </w:p>
        </w:tc>
        <w:tc>
          <w:tcPr>
            <w:tcW w:w="0" w:type="auto"/>
          </w:tcPr>
          <w:p w14:paraId="749CEA59">
            <w:pPr>
              <w:pStyle w:val="90"/>
              <w:spacing w:line="240" w:lineRule="auto"/>
              <w:ind w:firstLine="0" w:firstLineChars="0"/>
              <w:rPr>
                <w:rFonts w:hAnsi="Times New Roman"/>
                <w:sz w:val="24"/>
                <w:szCs w:val="24"/>
              </w:rPr>
            </w:pPr>
            <w:r>
              <w:rPr>
                <w:rFonts w:hint="eastAsia" w:hAnsi="Times New Roman"/>
                <w:sz w:val="24"/>
                <w:szCs w:val="24"/>
              </w:rPr>
              <w:t>国债</w:t>
            </w:r>
          </w:p>
        </w:tc>
        <w:tc>
          <w:tcPr>
            <w:tcW w:w="0" w:type="auto"/>
          </w:tcPr>
          <w:p w14:paraId="00AD4E69">
            <w:pPr>
              <w:pStyle w:val="90"/>
              <w:spacing w:line="240" w:lineRule="auto"/>
              <w:ind w:firstLine="0" w:firstLineChars="0"/>
              <w:rPr>
                <w:rFonts w:hAnsi="Times New Roman"/>
                <w:sz w:val="24"/>
                <w:szCs w:val="24"/>
              </w:rPr>
            </w:pPr>
            <w:r>
              <w:rPr>
                <w:rFonts w:hint="eastAsia" w:hAnsi="Times New Roman"/>
                <w:sz w:val="24"/>
                <w:szCs w:val="24"/>
              </w:rPr>
              <w:t>净价</w:t>
            </w:r>
          </w:p>
        </w:tc>
      </w:tr>
      <w:tr w14:paraId="1A45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9A74A4">
            <w:pPr>
              <w:pStyle w:val="90"/>
              <w:spacing w:line="240" w:lineRule="auto"/>
              <w:ind w:firstLine="480"/>
              <w:rPr>
                <w:rFonts w:hAnsi="Times New Roman"/>
                <w:sz w:val="24"/>
                <w:szCs w:val="24"/>
              </w:rPr>
            </w:pPr>
          </w:p>
        </w:tc>
        <w:tc>
          <w:tcPr>
            <w:tcW w:w="0" w:type="auto"/>
          </w:tcPr>
          <w:p w14:paraId="1921A9DB">
            <w:pPr>
              <w:pStyle w:val="90"/>
              <w:spacing w:line="240" w:lineRule="auto"/>
              <w:ind w:firstLine="0" w:firstLineChars="0"/>
              <w:rPr>
                <w:rFonts w:hAnsi="Times New Roman"/>
                <w:sz w:val="24"/>
                <w:szCs w:val="24"/>
              </w:rPr>
            </w:pPr>
            <w:r>
              <w:rPr>
                <w:rFonts w:hint="eastAsia" w:hAnsi="Times New Roman"/>
                <w:sz w:val="24"/>
                <w:szCs w:val="24"/>
              </w:rPr>
              <w:t>地方债</w:t>
            </w:r>
          </w:p>
        </w:tc>
        <w:tc>
          <w:tcPr>
            <w:tcW w:w="0" w:type="auto"/>
          </w:tcPr>
          <w:p w14:paraId="7A6CE994">
            <w:pPr>
              <w:pStyle w:val="90"/>
              <w:spacing w:line="240" w:lineRule="auto"/>
              <w:ind w:firstLine="0" w:firstLineChars="0"/>
              <w:rPr>
                <w:rFonts w:hAnsi="Times New Roman"/>
                <w:sz w:val="24"/>
                <w:szCs w:val="24"/>
              </w:rPr>
            </w:pPr>
            <w:r>
              <w:rPr>
                <w:rFonts w:hint="eastAsia" w:hAnsi="Times New Roman"/>
                <w:sz w:val="24"/>
                <w:szCs w:val="24"/>
              </w:rPr>
              <w:t>净价</w:t>
            </w:r>
          </w:p>
        </w:tc>
      </w:tr>
      <w:tr w14:paraId="5932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4007F04F">
            <w:pPr>
              <w:pStyle w:val="90"/>
              <w:spacing w:line="240" w:lineRule="auto"/>
              <w:ind w:firstLine="480"/>
              <w:rPr>
                <w:rFonts w:hAnsi="Times New Roman"/>
                <w:sz w:val="24"/>
                <w:szCs w:val="24"/>
              </w:rPr>
            </w:pPr>
          </w:p>
        </w:tc>
        <w:tc>
          <w:tcPr>
            <w:tcW w:w="0" w:type="auto"/>
          </w:tcPr>
          <w:p w14:paraId="4B2BEB4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0" w:type="auto"/>
          </w:tcPr>
          <w:p w14:paraId="5CD3A40A">
            <w:pPr>
              <w:pStyle w:val="90"/>
              <w:spacing w:line="240" w:lineRule="auto"/>
              <w:ind w:firstLine="0" w:firstLineChars="0"/>
              <w:rPr>
                <w:rFonts w:hAnsi="Times New Roman"/>
                <w:sz w:val="24"/>
                <w:szCs w:val="24"/>
              </w:rPr>
            </w:pPr>
            <w:r>
              <w:rPr>
                <w:rFonts w:hint="eastAsia" w:hAnsi="Times New Roman"/>
                <w:sz w:val="24"/>
                <w:szCs w:val="24"/>
              </w:rPr>
              <w:t>净价</w:t>
            </w:r>
          </w:p>
        </w:tc>
      </w:tr>
      <w:tr w14:paraId="76B3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A9E7E2">
            <w:pPr>
              <w:pStyle w:val="90"/>
              <w:spacing w:line="240" w:lineRule="auto"/>
              <w:ind w:firstLine="480"/>
              <w:rPr>
                <w:rFonts w:hAnsi="Times New Roman"/>
                <w:sz w:val="24"/>
                <w:szCs w:val="24"/>
              </w:rPr>
            </w:pPr>
          </w:p>
        </w:tc>
        <w:tc>
          <w:tcPr>
            <w:tcW w:w="0" w:type="auto"/>
          </w:tcPr>
          <w:p w14:paraId="6D694505">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0" w:type="auto"/>
          </w:tcPr>
          <w:p w14:paraId="4F7E97BD">
            <w:pPr>
              <w:pStyle w:val="90"/>
              <w:spacing w:line="240" w:lineRule="auto"/>
              <w:ind w:firstLine="0" w:firstLineChars="0"/>
              <w:rPr>
                <w:rFonts w:hAnsi="Times New Roman"/>
                <w:sz w:val="24"/>
                <w:szCs w:val="24"/>
              </w:rPr>
            </w:pPr>
            <w:r>
              <w:rPr>
                <w:rFonts w:hint="eastAsia" w:hAnsi="Times New Roman"/>
                <w:sz w:val="24"/>
                <w:szCs w:val="24"/>
              </w:rPr>
              <w:t>净价</w:t>
            </w:r>
          </w:p>
        </w:tc>
      </w:tr>
      <w:tr w14:paraId="2A39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F56B759">
            <w:pPr>
              <w:pStyle w:val="90"/>
              <w:spacing w:line="240" w:lineRule="auto"/>
              <w:ind w:firstLine="480"/>
              <w:rPr>
                <w:rFonts w:hAnsi="Times New Roman"/>
                <w:sz w:val="24"/>
                <w:szCs w:val="24"/>
              </w:rPr>
            </w:pPr>
          </w:p>
        </w:tc>
        <w:tc>
          <w:tcPr>
            <w:tcW w:w="0" w:type="auto"/>
          </w:tcPr>
          <w:p w14:paraId="23ED0BA3">
            <w:pPr>
              <w:pStyle w:val="90"/>
              <w:spacing w:line="240" w:lineRule="auto"/>
              <w:ind w:firstLine="0" w:firstLineChars="0"/>
              <w:rPr>
                <w:rFonts w:hAnsi="Times New Roman"/>
                <w:sz w:val="24"/>
                <w:szCs w:val="24"/>
              </w:rPr>
            </w:pPr>
            <w:r>
              <w:rPr>
                <w:rFonts w:hint="eastAsia" w:hAnsi="Times New Roman"/>
                <w:sz w:val="24"/>
                <w:szCs w:val="24"/>
              </w:rPr>
              <w:t>公司债</w:t>
            </w:r>
          </w:p>
        </w:tc>
        <w:tc>
          <w:tcPr>
            <w:tcW w:w="0" w:type="auto"/>
          </w:tcPr>
          <w:p w14:paraId="6698A225">
            <w:pPr>
              <w:pStyle w:val="90"/>
              <w:spacing w:line="240" w:lineRule="auto"/>
              <w:ind w:firstLine="0" w:firstLineChars="0"/>
              <w:rPr>
                <w:rFonts w:hAnsi="Times New Roman"/>
                <w:sz w:val="24"/>
                <w:szCs w:val="24"/>
              </w:rPr>
            </w:pPr>
            <w:r>
              <w:rPr>
                <w:rFonts w:hint="eastAsia" w:hAnsi="Times New Roman"/>
                <w:sz w:val="24"/>
                <w:szCs w:val="24"/>
              </w:rPr>
              <w:t>净价</w:t>
            </w:r>
          </w:p>
        </w:tc>
      </w:tr>
      <w:tr w14:paraId="3CF2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B00420A">
            <w:pPr>
              <w:pStyle w:val="90"/>
              <w:spacing w:line="240" w:lineRule="auto"/>
              <w:ind w:firstLine="480"/>
              <w:rPr>
                <w:rFonts w:hAnsi="Times New Roman"/>
                <w:sz w:val="24"/>
                <w:szCs w:val="24"/>
              </w:rPr>
            </w:pPr>
          </w:p>
        </w:tc>
        <w:tc>
          <w:tcPr>
            <w:tcW w:w="0" w:type="auto"/>
          </w:tcPr>
          <w:p w14:paraId="472968B8">
            <w:pPr>
              <w:pStyle w:val="90"/>
              <w:spacing w:line="240" w:lineRule="auto"/>
              <w:ind w:firstLine="0" w:firstLineChars="0"/>
              <w:rPr>
                <w:rFonts w:hAnsi="Times New Roman"/>
                <w:sz w:val="24"/>
                <w:szCs w:val="24"/>
              </w:rPr>
            </w:pPr>
            <w:r>
              <w:rPr>
                <w:rFonts w:hAnsi="Times New Roman"/>
                <w:sz w:val="24"/>
                <w:szCs w:val="24"/>
              </w:rPr>
              <w:t>ABS</w:t>
            </w:r>
          </w:p>
        </w:tc>
        <w:tc>
          <w:tcPr>
            <w:tcW w:w="0" w:type="auto"/>
          </w:tcPr>
          <w:p w14:paraId="64B1ADF1">
            <w:pPr>
              <w:pStyle w:val="90"/>
              <w:spacing w:line="240" w:lineRule="auto"/>
              <w:ind w:firstLine="0" w:firstLineChars="0"/>
              <w:rPr>
                <w:rFonts w:hAnsi="Times New Roman"/>
                <w:sz w:val="24"/>
                <w:szCs w:val="24"/>
              </w:rPr>
            </w:pPr>
            <w:r>
              <w:rPr>
                <w:rFonts w:hint="eastAsia" w:hAnsi="Times New Roman"/>
                <w:sz w:val="24"/>
                <w:szCs w:val="24"/>
              </w:rPr>
              <w:t>净价，其中次级档采用全价</w:t>
            </w:r>
          </w:p>
        </w:tc>
      </w:tr>
      <w:tr w14:paraId="02A2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28C2FB61">
            <w:pPr>
              <w:pStyle w:val="90"/>
              <w:spacing w:line="240" w:lineRule="auto"/>
              <w:ind w:firstLine="480"/>
              <w:rPr>
                <w:rFonts w:hAnsi="Times New Roman"/>
                <w:sz w:val="24"/>
                <w:szCs w:val="24"/>
              </w:rPr>
            </w:pPr>
          </w:p>
        </w:tc>
        <w:tc>
          <w:tcPr>
            <w:tcW w:w="0" w:type="auto"/>
          </w:tcPr>
          <w:p w14:paraId="4334CC1C">
            <w:pPr>
              <w:pStyle w:val="90"/>
              <w:spacing w:line="240" w:lineRule="auto"/>
              <w:ind w:firstLine="0" w:firstLineChars="0"/>
              <w:rPr>
                <w:rFonts w:hAnsi="Times New Roman"/>
                <w:sz w:val="24"/>
                <w:szCs w:val="24"/>
              </w:rPr>
            </w:pPr>
            <w:r>
              <w:rPr>
                <w:rFonts w:hint="eastAsia" w:hAnsi="Times New Roman"/>
                <w:sz w:val="24"/>
                <w:szCs w:val="24"/>
              </w:rPr>
              <w:t>特定债券</w:t>
            </w:r>
          </w:p>
        </w:tc>
        <w:tc>
          <w:tcPr>
            <w:tcW w:w="0" w:type="auto"/>
          </w:tcPr>
          <w:p w14:paraId="4965F48B">
            <w:pPr>
              <w:pStyle w:val="90"/>
              <w:spacing w:line="240" w:lineRule="auto"/>
              <w:ind w:firstLine="0" w:firstLineChars="0"/>
              <w:rPr>
                <w:rFonts w:hAnsi="Times New Roman"/>
                <w:sz w:val="24"/>
                <w:szCs w:val="24"/>
              </w:rPr>
            </w:pPr>
            <w:r>
              <w:rPr>
                <w:rFonts w:hint="eastAsia" w:hAnsi="Times New Roman"/>
                <w:sz w:val="24"/>
                <w:szCs w:val="24"/>
              </w:rPr>
              <w:t>全价</w:t>
            </w:r>
          </w:p>
        </w:tc>
      </w:tr>
      <w:tr w14:paraId="3235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6567B0AC">
            <w:pPr>
              <w:pStyle w:val="90"/>
              <w:spacing w:line="240" w:lineRule="auto"/>
              <w:ind w:firstLine="0" w:firstLineChars="0"/>
              <w:rPr>
                <w:rFonts w:hAnsi="Times New Roman"/>
                <w:sz w:val="24"/>
                <w:szCs w:val="24"/>
              </w:rPr>
            </w:pPr>
          </w:p>
        </w:tc>
        <w:tc>
          <w:tcPr>
            <w:tcW w:w="0" w:type="auto"/>
          </w:tcPr>
          <w:p w14:paraId="5A4B8268">
            <w:pPr>
              <w:pStyle w:val="90"/>
              <w:spacing w:line="240" w:lineRule="auto"/>
              <w:ind w:firstLine="0" w:firstLineChars="0"/>
              <w:rPr>
                <w:rFonts w:hAnsi="Times New Roman"/>
                <w:sz w:val="24"/>
                <w:szCs w:val="24"/>
              </w:rPr>
            </w:pPr>
            <w:r>
              <w:rPr>
                <w:rFonts w:hint="eastAsia" w:hAnsi="Times New Roman"/>
                <w:sz w:val="24"/>
                <w:szCs w:val="24"/>
              </w:rPr>
              <w:t>公开发行</w:t>
            </w:r>
            <w:r>
              <w:rPr>
                <w:rFonts w:hAnsi="Times New Roman"/>
                <w:sz w:val="24"/>
                <w:szCs w:val="24"/>
              </w:rPr>
              <w:t>的</w:t>
            </w:r>
            <w:r>
              <w:rPr>
                <w:rFonts w:hint="eastAsia" w:hAnsi="Times New Roman"/>
                <w:sz w:val="24"/>
                <w:szCs w:val="24"/>
              </w:rPr>
              <w:t>可转债</w:t>
            </w:r>
          </w:p>
        </w:tc>
        <w:tc>
          <w:tcPr>
            <w:tcW w:w="0" w:type="auto"/>
          </w:tcPr>
          <w:p w14:paraId="5FE65173">
            <w:pPr>
              <w:pStyle w:val="90"/>
              <w:spacing w:line="240" w:lineRule="auto"/>
              <w:ind w:firstLine="0" w:firstLineChars="0"/>
              <w:rPr>
                <w:rFonts w:hAnsi="Times New Roman"/>
                <w:sz w:val="24"/>
                <w:szCs w:val="24"/>
              </w:rPr>
            </w:pPr>
            <w:r>
              <w:rPr>
                <w:rFonts w:hint="eastAsia" w:hAnsi="Times New Roman"/>
                <w:sz w:val="24"/>
                <w:szCs w:val="24"/>
              </w:rPr>
              <w:t>全价</w:t>
            </w:r>
          </w:p>
        </w:tc>
      </w:tr>
    </w:tbl>
    <w:p w14:paraId="13FA6712">
      <w:pPr>
        <w:numPr>
          <w:ilvl w:val="2"/>
          <w:numId w:val="4"/>
        </w:numPr>
        <w:spacing w:line="600" w:lineRule="exact"/>
        <w:ind w:left="0" w:firstLine="0"/>
        <w:outlineLvl w:val="2"/>
        <w:rPr>
          <w:rFonts w:ascii="仿宋_GB2312" w:eastAsia="仿宋_GB2312"/>
          <w:b/>
          <w:sz w:val="30"/>
          <w:szCs w:val="30"/>
        </w:rPr>
      </w:pPr>
      <w:bookmarkStart w:id="323" w:name="_Toc39759417"/>
      <w:bookmarkEnd w:id="323"/>
      <w:bookmarkStart w:id="324" w:name="_Toc41581086"/>
      <w:bookmarkEnd w:id="324"/>
      <w:bookmarkStart w:id="325" w:name="_Toc41580855"/>
      <w:bookmarkEnd w:id="325"/>
      <w:bookmarkStart w:id="326" w:name="_Toc40343392"/>
      <w:bookmarkEnd w:id="326"/>
      <w:bookmarkStart w:id="327" w:name="_Toc41581028"/>
      <w:bookmarkEnd w:id="327"/>
      <w:bookmarkStart w:id="328" w:name="_Toc41581057"/>
      <w:bookmarkEnd w:id="328"/>
      <w:bookmarkStart w:id="329" w:name="_Toc41578210"/>
      <w:bookmarkEnd w:id="329"/>
      <w:bookmarkStart w:id="330" w:name="_Toc41580967"/>
      <w:bookmarkEnd w:id="330"/>
      <w:bookmarkStart w:id="331" w:name="_Toc40108221"/>
      <w:bookmarkEnd w:id="331"/>
      <w:bookmarkStart w:id="332" w:name="_Toc41581114"/>
      <w:bookmarkEnd w:id="332"/>
      <w:bookmarkStart w:id="333" w:name="_Toc41575874"/>
      <w:bookmarkEnd w:id="333"/>
      <w:bookmarkStart w:id="334" w:name="_Toc41580999"/>
      <w:bookmarkEnd w:id="334"/>
      <w:bookmarkStart w:id="335" w:name="_Toc57908891"/>
      <w:bookmarkStart w:id="336" w:name="_Toc56166269"/>
      <w:bookmarkStart w:id="337" w:name="_Toc56166080"/>
      <w:r>
        <w:rPr>
          <w:rFonts w:hint="eastAsia" w:ascii="仿宋_GB2312" w:eastAsia="仿宋_GB2312"/>
          <w:b/>
          <w:sz w:val="30"/>
          <w:szCs w:val="30"/>
        </w:rPr>
        <w:t>申报有效期及申报撤销</w:t>
      </w:r>
      <w:bookmarkEnd w:id="335"/>
      <w:bookmarkEnd w:id="336"/>
      <w:bookmarkEnd w:id="337"/>
    </w:p>
    <w:p w14:paraId="3ED99AD6">
      <w:pPr>
        <w:spacing w:line="600" w:lineRule="exact"/>
        <w:ind w:left="567"/>
        <w:outlineLvl w:val="3"/>
        <w:rPr>
          <w:rFonts w:ascii="仿宋_GB2312" w:eastAsia="仿宋_GB2312"/>
          <w:b/>
          <w:sz w:val="30"/>
          <w:szCs w:val="30"/>
        </w:rPr>
      </w:pPr>
      <w:r>
        <w:rPr>
          <w:rFonts w:hint="eastAsia" w:ascii="仿宋_GB2312" w:eastAsia="仿宋_GB2312"/>
          <w:b/>
          <w:sz w:val="30"/>
          <w:szCs w:val="30"/>
        </w:rPr>
        <w:t>（1）申报撤销</w:t>
      </w:r>
    </w:p>
    <w:p w14:paraId="79688151">
      <w:pPr>
        <w:pStyle w:val="90"/>
        <w:spacing w:line="600" w:lineRule="exact"/>
        <w:ind w:firstLine="600"/>
        <w:rPr>
          <w:rFonts w:hAnsi="Times New Roman"/>
          <w:sz w:val="30"/>
          <w:szCs w:val="30"/>
        </w:rPr>
      </w:pPr>
      <w:r>
        <w:rPr>
          <w:rFonts w:hint="eastAsia" w:hAnsi="Times New Roman"/>
          <w:sz w:val="30"/>
          <w:szCs w:val="30"/>
        </w:rPr>
        <w:t>当日提交的债券交易申报当日有效，未成交的申报可以撤销，本所另有规定的情形除外。每个交易日9:20至9:25的开盘集合匹配阶段，交易系统不接受匹配成交的撤销申报；采用竞买成交下单一主体中标方式的，应价申报不可撤销。</w:t>
      </w:r>
    </w:p>
    <w:p w14:paraId="0ADAC4C6">
      <w:pPr>
        <w:pStyle w:val="90"/>
        <w:spacing w:line="600" w:lineRule="exact"/>
        <w:ind w:firstLine="600"/>
        <w:rPr>
          <w:rFonts w:hAnsi="Times New Roman"/>
          <w:sz w:val="30"/>
          <w:szCs w:val="30"/>
        </w:rPr>
      </w:pPr>
      <w:r>
        <w:rPr>
          <w:rFonts w:hint="eastAsia" w:hAnsi="Times New Roman"/>
          <w:sz w:val="30"/>
          <w:szCs w:val="30"/>
        </w:rPr>
        <w:t>若原申报订单已部分成交，则未成交的部分可以撤销；若原申报订单已经撤销成功，则撤销申报作废。若原申报订单也是撤销申报，则撤销申报作废。</w:t>
      </w:r>
    </w:p>
    <w:p w14:paraId="0AC31E4F">
      <w:pPr>
        <w:pStyle w:val="90"/>
        <w:spacing w:line="600" w:lineRule="exact"/>
        <w:ind w:firstLine="600"/>
        <w:rPr>
          <w:rFonts w:hAnsi="Times New Roman"/>
          <w:sz w:val="30"/>
          <w:szCs w:val="30"/>
        </w:rPr>
      </w:pPr>
      <w:r>
        <w:rPr>
          <w:rFonts w:hint="eastAsia" w:hAnsi="Times New Roman"/>
          <w:sz w:val="30"/>
          <w:szCs w:val="30"/>
        </w:rPr>
        <w:t>撤销指令经本所确认方为有效。债券停牌期间，本所接受符合要求的撤销申报。</w:t>
      </w:r>
    </w:p>
    <w:p w14:paraId="519E3630">
      <w:pPr>
        <w:spacing w:line="600" w:lineRule="exact"/>
        <w:ind w:left="567"/>
        <w:outlineLvl w:val="3"/>
        <w:rPr>
          <w:rFonts w:ascii="仿宋_GB2312" w:eastAsia="仿宋_GB2312"/>
          <w:b/>
          <w:sz w:val="30"/>
          <w:szCs w:val="30"/>
        </w:rPr>
      </w:pPr>
      <w:r>
        <w:rPr>
          <w:rFonts w:hint="eastAsia" w:ascii="仿宋_GB2312" w:eastAsia="仿宋_GB2312"/>
          <w:b/>
          <w:sz w:val="30"/>
          <w:szCs w:val="30"/>
        </w:rPr>
        <w:t>（2）撤销申报的要素及要求</w:t>
      </w:r>
    </w:p>
    <w:p w14:paraId="646089C1">
      <w:pPr>
        <w:pStyle w:val="90"/>
        <w:spacing w:line="600" w:lineRule="exact"/>
        <w:ind w:firstLine="600"/>
        <w:rPr>
          <w:rFonts w:hAnsi="Times New Roman"/>
          <w:sz w:val="30"/>
          <w:szCs w:val="30"/>
        </w:rPr>
      </w:pPr>
      <w:r>
        <w:rPr>
          <w:rFonts w:hint="eastAsia" w:hAnsi="Times New Roman"/>
          <w:sz w:val="30"/>
          <w:szCs w:val="30"/>
        </w:rPr>
        <w:t>撤销申报要素包括证券代码、交易方向、申报价格、申报数量、申报账号、原申报编号，相关要素应与原交易申报匹配，以免撤销失败。</w:t>
      </w:r>
    </w:p>
    <w:p w14:paraId="27282CBA">
      <w:pPr>
        <w:pStyle w:val="90"/>
        <w:spacing w:line="600" w:lineRule="exact"/>
        <w:ind w:firstLine="600"/>
        <w:rPr>
          <w:rFonts w:hAnsi="Times New Roman"/>
          <w:sz w:val="30"/>
          <w:szCs w:val="30"/>
        </w:rPr>
      </w:pPr>
      <w:r>
        <w:rPr>
          <w:rFonts w:hint="eastAsia" w:hAnsi="Times New Roman"/>
          <w:sz w:val="30"/>
          <w:szCs w:val="30"/>
        </w:rPr>
        <w:t>对买入方向的纳入资金前端控制范围内的申报撤销后，原先资金前端控制中交易单元虚拟资金额度应计增。</w:t>
      </w:r>
    </w:p>
    <w:p w14:paraId="43C3F4F8">
      <w:pPr>
        <w:numPr>
          <w:ilvl w:val="1"/>
          <w:numId w:val="4"/>
        </w:numPr>
        <w:spacing w:line="600" w:lineRule="exact"/>
        <w:ind w:left="0" w:firstLine="0"/>
        <w:outlineLvl w:val="1"/>
        <w:rPr>
          <w:rFonts w:ascii="仿宋_GB2312" w:eastAsia="仿宋_GB2312"/>
          <w:b/>
          <w:sz w:val="30"/>
          <w:szCs w:val="30"/>
        </w:rPr>
      </w:pPr>
      <w:bookmarkStart w:id="338" w:name="_Toc56166081"/>
      <w:bookmarkStart w:id="339" w:name="_Toc56166270"/>
      <w:bookmarkStart w:id="340" w:name="_Toc151136897"/>
      <w:r>
        <w:rPr>
          <w:rFonts w:hint="eastAsia" w:ascii="仿宋_GB2312" w:eastAsia="仿宋_GB2312"/>
          <w:b/>
          <w:sz w:val="30"/>
          <w:szCs w:val="30"/>
        </w:rPr>
        <w:t>成交</w:t>
      </w:r>
      <w:bookmarkEnd w:id="338"/>
      <w:bookmarkEnd w:id="339"/>
      <w:bookmarkEnd w:id="340"/>
    </w:p>
    <w:p w14:paraId="246ADE4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成交原则</w:t>
      </w:r>
    </w:p>
    <w:p w14:paraId="24749646">
      <w:pPr>
        <w:pStyle w:val="90"/>
        <w:spacing w:line="600" w:lineRule="exact"/>
        <w:ind w:firstLine="600"/>
        <w:rPr>
          <w:rFonts w:hAnsi="Times New Roman"/>
          <w:sz w:val="30"/>
          <w:szCs w:val="30"/>
        </w:rPr>
      </w:pPr>
      <w:r>
        <w:rPr>
          <w:rFonts w:hint="eastAsia" w:hAnsi="Times New Roman"/>
          <w:sz w:val="30"/>
          <w:szCs w:val="30"/>
        </w:rPr>
        <w:t>债券交易申报依据法律法规和本所业务规则的相关规定以及债券投资者的风险控制要求和交易需求，按照价格竞争性、数量匹配性、时间优先性等原则达成交易。</w:t>
      </w:r>
    </w:p>
    <w:p w14:paraId="6BD25101">
      <w:pPr>
        <w:pStyle w:val="90"/>
        <w:spacing w:line="600" w:lineRule="exact"/>
        <w:ind w:firstLine="600"/>
        <w:rPr>
          <w:rFonts w:hAnsi="Times New Roman"/>
          <w:sz w:val="30"/>
          <w:szCs w:val="30"/>
        </w:rPr>
      </w:pPr>
      <w:r>
        <w:rPr>
          <w:rFonts w:hint="eastAsia" w:hAnsi="Times New Roman"/>
          <w:sz w:val="30"/>
          <w:szCs w:val="30"/>
        </w:rPr>
        <w:t>价格竞争性：较高价格买入申报优先于较低价格买入申报，较低价格卖出申报优先于较高价格卖出申报。</w:t>
      </w:r>
    </w:p>
    <w:p w14:paraId="0C2212F8">
      <w:pPr>
        <w:pStyle w:val="90"/>
        <w:spacing w:line="600" w:lineRule="exact"/>
        <w:ind w:firstLine="600"/>
        <w:rPr>
          <w:rFonts w:hAnsi="Times New Roman"/>
          <w:sz w:val="30"/>
          <w:szCs w:val="30"/>
        </w:rPr>
      </w:pPr>
      <w:r>
        <w:rPr>
          <w:rFonts w:hint="eastAsia" w:hAnsi="Times New Roman"/>
          <w:sz w:val="30"/>
          <w:szCs w:val="30"/>
        </w:rPr>
        <w:t>数量匹配性：在买卖双方确认的数量范围内达成交易。</w:t>
      </w:r>
    </w:p>
    <w:p w14:paraId="1A0AA642">
      <w:pPr>
        <w:pStyle w:val="90"/>
        <w:spacing w:line="600" w:lineRule="exact"/>
        <w:ind w:firstLine="600"/>
        <w:rPr>
          <w:rFonts w:hAnsi="Times New Roman"/>
          <w:sz w:val="30"/>
          <w:szCs w:val="30"/>
        </w:rPr>
      </w:pPr>
      <w:r>
        <w:rPr>
          <w:rFonts w:hint="eastAsia" w:hAnsi="Times New Roman"/>
          <w:sz w:val="30"/>
          <w:szCs w:val="30"/>
        </w:rPr>
        <w:t>时间优先性：买卖方向、价格相同的，先申报者优先于后申报者。先后顺序按本所接受申报的时间确定。</w:t>
      </w:r>
    </w:p>
    <w:p w14:paraId="6FC73B6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回转交易</w:t>
      </w:r>
    </w:p>
    <w:p w14:paraId="7C661482">
      <w:pPr>
        <w:pStyle w:val="90"/>
        <w:spacing w:line="600" w:lineRule="exact"/>
        <w:ind w:firstLine="600"/>
        <w:rPr>
          <w:rFonts w:hAnsi="Times New Roman"/>
          <w:sz w:val="30"/>
          <w:szCs w:val="30"/>
        </w:rPr>
      </w:pPr>
      <w:r>
        <w:rPr>
          <w:rFonts w:hint="eastAsia" w:hAnsi="Times New Roman"/>
          <w:sz w:val="30"/>
          <w:szCs w:val="30"/>
        </w:rPr>
        <w:t>债券现券交易实行当日回转交易，债券投资者当日买入的债券可以在当日卖出。本所另有规定的除外。</w:t>
      </w:r>
    </w:p>
    <w:p w14:paraId="22EDCF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私募债持有人数量上限</w:t>
      </w:r>
    </w:p>
    <w:p w14:paraId="4574800A">
      <w:pPr>
        <w:pStyle w:val="90"/>
        <w:spacing w:line="600" w:lineRule="exact"/>
        <w:ind w:firstLine="600"/>
        <w:rPr>
          <w:rFonts w:hAnsi="Times New Roman"/>
          <w:sz w:val="30"/>
          <w:szCs w:val="30"/>
        </w:rPr>
      </w:pPr>
      <w:r>
        <w:rPr>
          <w:rFonts w:hint="eastAsia" w:hAnsi="Times New Roman"/>
          <w:sz w:val="30"/>
          <w:szCs w:val="30"/>
        </w:rPr>
        <w:t>非公开发行债券的转让，导致债券持有人数量超过法律法规或者本所业务规则规定人数上限的，本所不予确认成交。</w:t>
      </w:r>
    </w:p>
    <w:p w14:paraId="4743F23B">
      <w:pPr>
        <w:pStyle w:val="90"/>
        <w:spacing w:line="600" w:lineRule="exact"/>
        <w:ind w:firstLine="600"/>
        <w:rPr>
          <w:rFonts w:hAnsi="Times New Roman"/>
          <w:sz w:val="30"/>
          <w:szCs w:val="30"/>
        </w:rPr>
      </w:pPr>
      <w:r>
        <w:rPr>
          <w:rFonts w:hint="eastAsia" w:hAnsi="Times New Roman"/>
          <w:sz w:val="30"/>
          <w:szCs w:val="30"/>
        </w:rPr>
        <w:t>债券交易导致非公开发行债券的持有人数量超过200人的，本所按照交易时间顺序从先到后确认至200人，后续交易不予确认。</w:t>
      </w:r>
    </w:p>
    <w:p w14:paraId="7C89910E">
      <w:pPr>
        <w:numPr>
          <w:ilvl w:val="1"/>
          <w:numId w:val="4"/>
        </w:numPr>
        <w:spacing w:line="600" w:lineRule="exact"/>
        <w:ind w:left="0" w:firstLine="0"/>
        <w:outlineLvl w:val="1"/>
        <w:rPr>
          <w:rFonts w:ascii="仿宋_GB2312" w:eastAsia="仿宋_GB2312"/>
          <w:b/>
          <w:sz w:val="30"/>
          <w:szCs w:val="30"/>
        </w:rPr>
      </w:pPr>
      <w:bookmarkStart w:id="341" w:name="_Toc120286346"/>
      <w:bookmarkEnd w:id="341"/>
      <w:bookmarkStart w:id="342" w:name="_Toc151136898"/>
      <w:r>
        <w:rPr>
          <w:rFonts w:hint="eastAsia" w:ascii="仿宋_GB2312" w:eastAsia="仿宋_GB2312"/>
          <w:b/>
          <w:sz w:val="30"/>
          <w:szCs w:val="30"/>
        </w:rPr>
        <w:t>结算</w:t>
      </w:r>
      <w:bookmarkEnd w:id="342"/>
    </w:p>
    <w:p w14:paraId="353C958E">
      <w:pPr>
        <w:pStyle w:val="90"/>
        <w:spacing w:line="600" w:lineRule="exact"/>
        <w:ind w:firstLine="600"/>
        <w:rPr>
          <w:rFonts w:hAnsi="Times New Roman"/>
          <w:sz w:val="30"/>
          <w:szCs w:val="30"/>
        </w:rPr>
      </w:pPr>
      <w:r>
        <w:rPr>
          <w:rFonts w:hint="eastAsia" w:hAnsi="Times New Roman"/>
          <w:sz w:val="30"/>
          <w:szCs w:val="30"/>
        </w:rPr>
        <w:t>债券交易的结算业务，由登记结算机构按照相关规则办理。债券交易的结算方式包括多边净额结算和逐笔全额结算等。债券投资者选择结算方式的，应当符合本所和登记结算机构的规定及要求。</w:t>
      </w:r>
    </w:p>
    <w:p w14:paraId="703BF341">
      <w:pPr>
        <w:pStyle w:val="90"/>
        <w:spacing w:line="600" w:lineRule="exact"/>
        <w:ind w:firstLine="600"/>
        <w:rPr>
          <w:rFonts w:hAnsi="Times New Roman"/>
          <w:sz w:val="30"/>
          <w:szCs w:val="30"/>
        </w:rPr>
      </w:pPr>
      <w:r>
        <w:rPr>
          <w:rFonts w:hint="eastAsia" w:hAnsi="Times New Roman"/>
          <w:sz w:val="30"/>
          <w:szCs w:val="30"/>
        </w:rPr>
        <w:t>匹配成交</w:t>
      </w:r>
      <w:r>
        <w:rPr>
          <w:rFonts w:hAnsi="Times New Roman"/>
          <w:sz w:val="30"/>
          <w:szCs w:val="30"/>
        </w:rPr>
        <w:t>交易方式下，</w:t>
      </w:r>
      <w:r>
        <w:rPr>
          <w:rFonts w:hint="eastAsia" w:hAnsi="Times New Roman"/>
          <w:sz w:val="30"/>
          <w:szCs w:val="30"/>
        </w:rPr>
        <w:t>仅可采用多边</w:t>
      </w:r>
      <w:r>
        <w:rPr>
          <w:rFonts w:hAnsi="Times New Roman"/>
          <w:sz w:val="30"/>
          <w:szCs w:val="30"/>
        </w:rPr>
        <w:t>净额结算方式。</w:t>
      </w:r>
    </w:p>
    <w:p w14:paraId="03064411">
      <w:pPr>
        <w:pStyle w:val="90"/>
        <w:spacing w:line="600" w:lineRule="exact"/>
        <w:ind w:firstLine="600"/>
        <w:rPr>
          <w:rFonts w:hAnsi="Times New Roman"/>
          <w:sz w:val="30"/>
          <w:szCs w:val="30"/>
        </w:rPr>
      </w:pPr>
      <w:r>
        <w:rPr>
          <w:rFonts w:hint="eastAsia" w:hAnsi="Times New Roman"/>
          <w:sz w:val="30"/>
          <w:szCs w:val="30"/>
        </w:rPr>
        <w:t>点击</w:t>
      </w:r>
      <w:r>
        <w:rPr>
          <w:rFonts w:hAnsi="Times New Roman"/>
          <w:sz w:val="30"/>
          <w:szCs w:val="30"/>
        </w:rPr>
        <w:t>成交、询价成交、</w:t>
      </w:r>
      <w:r>
        <w:rPr>
          <w:rFonts w:hint="eastAsia" w:hAnsi="Times New Roman"/>
          <w:sz w:val="30"/>
          <w:szCs w:val="30"/>
        </w:rPr>
        <w:t>竞买</w:t>
      </w:r>
      <w:r>
        <w:rPr>
          <w:rFonts w:hAnsi="Times New Roman"/>
          <w:sz w:val="30"/>
          <w:szCs w:val="30"/>
        </w:rPr>
        <w:t>成交和协商成交交易方式下，</w:t>
      </w:r>
      <w:r>
        <w:rPr>
          <w:rFonts w:hint="eastAsia" w:hAnsi="Times New Roman"/>
          <w:sz w:val="30"/>
          <w:szCs w:val="30"/>
        </w:rPr>
        <w:t>对于</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w:t>
      </w:r>
      <w:r>
        <w:rPr>
          <w:rFonts w:hAnsi="Times New Roman"/>
          <w:sz w:val="30"/>
          <w:szCs w:val="30"/>
        </w:rPr>
        <w:t>债券投资者</w:t>
      </w:r>
      <w:r>
        <w:rPr>
          <w:rFonts w:hint="eastAsia" w:hAnsi="Times New Roman"/>
          <w:sz w:val="30"/>
          <w:szCs w:val="30"/>
        </w:rPr>
        <w:t>可以</w:t>
      </w:r>
      <w:r>
        <w:rPr>
          <w:rFonts w:hAnsi="Times New Roman"/>
          <w:sz w:val="30"/>
          <w:szCs w:val="30"/>
        </w:rPr>
        <w:t>自行选择采用</w:t>
      </w:r>
      <w:r>
        <w:rPr>
          <w:rFonts w:hint="eastAsia" w:hAnsi="Times New Roman"/>
          <w:sz w:val="30"/>
          <w:szCs w:val="30"/>
        </w:rPr>
        <w:t>T</w:t>
      </w:r>
      <w:r>
        <w:rPr>
          <w:rFonts w:hAnsi="Times New Roman"/>
          <w:sz w:val="30"/>
          <w:szCs w:val="30"/>
        </w:rPr>
        <w:t>+1</w:t>
      </w:r>
      <w:r>
        <w:rPr>
          <w:rFonts w:hint="eastAsia" w:hAnsi="Times New Roman"/>
          <w:sz w:val="30"/>
          <w:szCs w:val="30"/>
        </w:rPr>
        <w:t>多边净额结算或T</w:t>
      </w:r>
      <w:r>
        <w:rPr>
          <w:rFonts w:hAnsi="Times New Roman"/>
          <w:sz w:val="30"/>
          <w:szCs w:val="30"/>
        </w:rPr>
        <w:t>+0</w:t>
      </w:r>
      <w:r>
        <w:rPr>
          <w:rFonts w:hint="eastAsia" w:hAnsi="Times New Roman"/>
          <w:sz w:val="30"/>
          <w:szCs w:val="30"/>
        </w:rPr>
        <w:t>逐笔全额结算；对于不</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，仅可采用T</w:t>
      </w:r>
      <w:r>
        <w:rPr>
          <w:rFonts w:hAnsi="Times New Roman"/>
          <w:sz w:val="30"/>
          <w:szCs w:val="30"/>
        </w:rPr>
        <w:t>+0逐笔全额结算</w:t>
      </w:r>
      <w:r>
        <w:rPr>
          <w:rFonts w:hint="eastAsia" w:hAnsi="Times New Roman"/>
          <w:sz w:val="30"/>
          <w:szCs w:val="30"/>
        </w:rPr>
        <w:t>。</w:t>
      </w:r>
    </w:p>
    <w:p w14:paraId="4013079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交易规则</w:t>
      </w:r>
      <w:r>
        <w:rPr>
          <w:rFonts w:hint="eastAsia" w:hAnsi="Times New Roman"/>
          <w:sz w:val="30"/>
          <w:szCs w:val="30"/>
        </w:rPr>
        <w:t>》</w:t>
      </w:r>
      <w:r>
        <w:rPr>
          <w:rFonts w:hAnsi="Times New Roman"/>
          <w:sz w:val="30"/>
          <w:szCs w:val="30"/>
        </w:rPr>
        <w:t>中</w:t>
      </w:r>
      <w:r>
        <w:rPr>
          <w:rFonts w:hint="eastAsia" w:hAnsi="Times New Roman"/>
          <w:sz w:val="30"/>
          <w:szCs w:val="30"/>
        </w:rPr>
        <w:t>债券</w:t>
      </w:r>
      <w:r>
        <w:rPr>
          <w:rFonts w:hAnsi="Times New Roman"/>
          <w:sz w:val="30"/>
          <w:szCs w:val="30"/>
        </w:rPr>
        <w:t>交易自选结算</w:t>
      </w:r>
      <w:r>
        <w:rPr>
          <w:rFonts w:hint="eastAsia" w:hAnsi="Times New Roman"/>
          <w:sz w:val="30"/>
          <w:szCs w:val="30"/>
        </w:rPr>
        <w:t>周期</w:t>
      </w:r>
      <w:r>
        <w:rPr>
          <w:rFonts w:hAnsi="Times New Roman"/>
          <w:sz w:val="30"/>
          <w:szCs w:val="30"/>
        </w:rPr>
        <w:t>的相关规定</w:t>
      </w:r>
      <w:r>
        <w:rPr>
          <w:rFonts w:hint="eastAsia" w:hAnsi="Times New Roman"/>
          <w:sz w:val="30"/>
          <w:szCs w:val="30"/>
        </w:rPr>
        <w:t>暂缓实施</w:t>
      </w:r>
      <w:r>
        <w:rPr>
          <w:rFonts w:hAnsi="Times New Roman"/>
          <w:sz w:val="30"/>
          <w:szCs w:val="30"/>
        </w:rPr>
        <w:t>。</w:t>
      </w:r>
    </w:p>
    <w:p w14:paraId="514316FC">
      <w:pPr>
        <w:spacing w:line="600" w:lineRule="exact"/>
        <w:ind w:firstLine="600"/>
        <w:rPr>
          <w:sz w:val="30"/>
          <w:szCs w:val="30"/>
        </w:rPr>
      </w:pPr>
      <w:r>
        <w:rPr>
          <w:sz w:val="30"/>
          <w:szCs w:val="30"/>
        </w:rPr>
        <w:br w:type="page"/>
      </w:r>
    </w:p>
    <w:p w14:paraId="39CA19AA">
      <w:pPr>
        <w:numPr>
          <w:ilvl w:val="0"/>
          <w:numId w:val="4"/>
        </w:numPr>
        <w:spacing w:line="600" w:lineRule="exact"/>
        <w:outlineLvl w:val="0"/>
        <w:rPr>
          <w:b/>
          <w:sz w:val="36"/>
        </w:rPr>
      </w:pPr>
      <w:bookmarkStart w:id="343" w:name="_Toc56166082"/>
      <w:bookmarkStart w:id="344" w:name="_Toc56166271"/>
      <w:bookmarkStart w:id="345" w:name="_Toc151136899"/>
      <w:r>
        <w:rPr>
          <w:rFonts w:hint="eastAsia" w:ascii="黑体" w:hAnsi="黑体" w:eastAsia="黑体" w:cs="黑体"/>
          <w:b/>
          <w:sz w:val="36"/>
        </w:rPr>
        <w:t>债券交易方式</w:t>
      </w:r>
      <w:bookmarkEnd w:id="343"/>
      <w:bookmarkEnd w:id="344"/>
      <w:bookmarkEnd w:id="345"/>
    </w:p>
    <w:p w14:paraId="5AD38317">
      <w:pPr>
        <w:spacing w:line="600" w:lineRule="exact"/>
        <w:ind w:firstLine="600" w:firstLineChars="200"/>
        <w:rPr>
          <w:rFonts w:ascii="黑体" w:hAnsi="黑体"/>
          <w:b/>
          <w:sz w:val="30"/>
          <w:szCs w:val="30"/>
        </w:rPr>
      </w:pPr>
      <w:r>
        <w:rPr>
          <w:rFonts w:hint="eastAsia" w:ascii="仿宋_GB2312" w:eastAsia="仿宋_GB2312"/>
          <w:color w:val="000000"/>
          <w:sz w:val="30"/>
          <w:szCs w:val="30"/>
        </w:rPr>
        <w:t>在本所开展的债券交易可以采用匹配成交、点击成交、询价成交、竞买成交、协商成交以及本所认可的其他交易方式。</w:t>
      </w:r>
    </w:p>
    <w:p w14:paraId="50EF3463">
      <w:pPr>
        <w:numPr>
          <w:ilvl w:val="1"/>
          <w:numId w:val="4"/>
        </w:numPr>
        <w:spacing w:line="600" w:lineRule="exact"/>
        <w:ind w:left="0" w:firstLine="0"/>
        <w:outlineLvl w:val="1"/>
        <w:rPr>
          <w:rFonts w:ascii="仿宋_GB2312" w:eastAsia="仿宋_GB2312"/>
          <w:b/>
          <w:sz w:val="30"/>
          <w:szCs w:val="30"/>
        </w:rPr>
      </w:pPr>
      <w:bookmarkStart w:id="346" w:name="_Toc151136900"/>
      <w:bookmarkStart w:id="347" w:name="_Toc56166272"/>
      <w:bookmarkStart w:id="348" w:name="_Toc56166083"/>
      <w:r>
        <w:rPr>
          <w:rFonts w:hint="eastAsia" w:ascii="仿宋_GB2312" w:eastAsia="仿宋_GB2312"/>
          <w:b/>
          <w:sz w:val="30"/>
          <w:szCs w:val="30"/>
        </w:rPr>
        <w:t>匹配成交</w:t>
      </w:r>
      <w:bookmarkEnd w:id="346"/>
      <w:bookmarkEnd w:id="347"/>
      <w:bookmarkEnd w:id="348"/>
    </w:p>
    <w:p w14:paraId="35F607D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5BA02A7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匹配成交是指新债券交易系统按价格优先、时间优先的原则和本规则相关规定，对债券交易申报自动匹配成交并实行多边净额结算的交易方式。</w:t>
      </w:r>
    </w:p>
    <w:p w14:paraId="4479DEE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7460F1A">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集合匹配与连续匹配</w:t>
      </w:r>
    </w:p>
    <w:p w14:paraId="29CA4B4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匹配成交采用集合匹配和连续匹配两种方式。集合匹配是对规定时间内接受的交易申报一次性集中匹配的成交方式。连续匹配是对接受的交易申报逐笔连续匹配的成交方式。</w:t>
      </w:r>
    </w:p>
    <w:p w14:paraId="75B5F85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集合匹配期间未成交的交易申报，自动进入连续匹配。</w:t>
      </w:r>
    </w:p>
    <w:p w14:paraId="674F2FE8">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申报类型</w:t>
      </w:r>
    </w:p>
    <w:p w14:paraId="34A398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采用匹配成交方式的，采用限价申报。</w:t>
      </w:r>
    </w:p>
    <w:p w14:paraId="6C25847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限价申报按照优于或者等于限定的价格进行债券交易。即按限定的价格或低于限定的价格申报买入证券，按限定的价格或高于限定的价格申报卖出证券。</w:t>
      </w:r>
    </w:p>
    <w:p w14:paraId="0ED01941">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申报要素</w:t>
      </w:r>
    </w:p>
    <w:p w14:paraId="7AEEF9B0">
      <w:pPr>
        <w:spacing w:line="600" w:lineRule="exact"/>
        <w:ind w:firstLine="600" w:firstLineChars="200"/>
        <w:rPr>
          <w:rFonts w:ascii="仿宋_GB2312" w:hAnsi="黑体" w:eastAsia="仿宋_GB2312"/>
        </w:rPr>
      </w:pPr>
      <w:r>
        <w:rPr>
          <w:rFonts w:hint="eastAsia" w:ascii="仿宋_GB2312" w:hAnsi="仿宋" w:eastAsia="仿宋_GB2312"/>
          <w:sz w:val="30"/>
          <w:szCs w:val="30"/>
        </w:rPr>
        <w:t>限价申报要素应当包括证券代码、交易方向、价格、数量、证券账户等内容。具体如下：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729E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711BD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50638EA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BB3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AE26E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2F697C29">
            <w:pPr>
              <w:pStyle w:val="12"/>
              <w:ind w:firstLine="0" w:firstLineChars="0"/>
              <w:rPr>
                <w:rFonts w:ascii="仿宋_GB2312" w:eastAsia="仿宋_GB2312"/>
                <w:kern w:val="0"/>
                <w:lang w:bidi="en-US"/>
              </w:rPr>
            </w:pPr>
            <w:r>
              <w:rPr>
                <w:rFonts w:hint="eastAsia" w:ascii="仿宋_GB2312" w:eastAsia="仿宋_GB2312"/>
                <w:kern w:val="0"/>
                <w:lang w:bidi="en-US"/>
              </w:rPr>
              <w:t>交易订单的申报类型，初期只支持限价申报</w:t>
            </w:r>
          </w:p>
        </w:tc>
      </w:tr>
      <w:tr w14:paraId="4E63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0D576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713" w:type="dxa"/>
          </w:tcPr>
          <w:p w14:paraId="3B3DE266">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交易品种的证券代码，6位数字，唯一标识该证券</w:t>
            </w:r>
          </w:p>
        </w:tc>
      </w:tr>
      <w:tr w14:paraId="1CB6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548A8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1199740C">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2F1E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73C6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1CEA5822">
            <w:pPr>
              <w:pStyle w:val="12"/>
              <w:ind w:firstLine="0" w:firstLineChars="0"/>
              <w:rPr>
                <w:rFonts w:ascii="仿宋_GB2312" w:eastAsia="仿宋_GB2312"/>
                <w:kern w:val="0"/>
                <w:lang w:bidi="en-US"/>
              </w:rPr>
            </w:pPr>
            <w:r>
              <w:rPr>
                <w:rFonts w:hint="eastAsia" w:ascii="仿宋_GB2312" w:eastAsia="仿宋_GB2312"/>
                <w:kern w:val="0"/>
                <w:lang w:bidi="en-US"/>
              </w:rPr>
              <w:t>交易的价格，单位：元</w:t>
            </w:r>
          </w:p>
        </w:tc>
      </w:tr>
      <w:tr w14:paraId="7463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2433B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0D4A3242">
            <w:pPr>
              <w:pStyle w:val="12"/>
              <w:ind w:firstLine="0" w:firstLineChars="0"/>
              <w:rPr>
                <w:rFonts w:ascii="仿宋_GB2312" w:eastAsia="仿宋_GB2312"/>
                <w:kern w:val="0"/>
                <w:lang w:bidi="en-US"/>
              </w:rPr>
            </w:pPr>
            <w:r>
              <w:rPr>
                <w:rFonts w:hint="eastAsia" w:ascii="仿宋_GB2312" w:eastAsia="仿宋_GB2312"/>
                <w:kern w:val="0"/>
                <w:lang w:bidi="en-US"/>
              </w:rPr>
              <w:t>交易的数量，单位：千元面额。</w:t>
            </w:r>
          </w:p>
        </w:tc>
      </w:tr>
      <w:tr w14:paraId="60DC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E387D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331EA1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交易的证券账户号码</w:t>
            </w:r>
          </w:p>
        </w:tc>
      </w:tr>
      <w:tr w14:paraId="0800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973C88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4DA0DD1C">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19A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84B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38003153">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7980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84BE3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713" w:type="dxa"/>
          </w:tcPr>
          <w:p w14:paraId="320B34D7">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315A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AA9195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713" w:type="dxa"/>
          </w:tcPr>
          <w:p w14:paraId="24296A53">
            <w:pPr>
              <w:pStyle w:val="12"/>
              <w:ind w:firstLine="0" w:firstLineChars="0"/>
              <w:rPr>
                <w:rFonts w:ascii="仿宋_GB2312" w:eastAsia="仿宋_GB2312"/>
                <w:kern w:val="0"/>
                <w:lang w:bidi="en-US"/>
              </w:rPr>
            </w:pPr>
            <w:r>
              <w:rPr>
                <w:rFonts w:hint="eastAsia" w:ascii="仿宋_GB2312" w:eastAsia="仿宋_GB2312"/>
                <w:kern w:val="0"/>
                <w:lang w:bidi="en-US"/>
              </w:rPr>
              <w:t>交易参与人为申报订单编制的序号，供交易参与人使用，自动显示</w:t>
            </w:r>
          </w:p>
        </w:tc>
      </w:tr>
      <w:tr w14:paraId="1B4A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DC102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营业部代码</w:t>
            </w:r>
          </w:p>
        </w:tc>
        <w:tc>
          <w:tcPr>
            <w:tcW w:w="6713" w:type="dxa"/>
          </w:tcPr>
          <w:p w14:paraId="604C90F4">
            <w:pPr>
              <w:pStyle w:val="12"/>
              <w:ind w:firstLine="0" w:firstLineChars="0"/>
              <w:rPr>
                <w:rFonts w:ascii="仿宋_GB2312" w:eastAsia="仿宋_GB2312"/>
                <w:kern w:val="0"/>
                <w:lang w:bidi="en-US"/>
              </w:rPr>
            </w:pPr>
            <w:r>
              <w:rPr>
                <w:rFonts w:hint="eastAsia" w:ascii="仿宋_GB2312" w:eastAsia="仿宋_GB2312"/>
                <w:kern w:val="0"/>
                <w:lang w:bidi="en-US"/>
              </w:rPr>
              <w:t>营业部代码，自动显示</w:t>
            </w:r>
          </w:p>
        </w:tc>
      </w:tr>
      <w:tr w14:paraId="3F92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2E02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75F45BC8">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54CC11AE">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集合匹配有效申报价格范围</w:t>
      </w:r>
    </w:p>
    <w:p w14:paraId="101BF9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w:t>
      </w:r>
      <w:r>
        <w:rPr>
          <w:rFonts w:hint="eastAsia" w:ascii="仿宋_GB2312" w:eastAsia="仿宋_GB2312"/>
          <w:color w:val="000000"/>
          <w:sz w:val="30"/>
          <w:szCs w:val="30"/>
        </w:rPr>
        <w:t>债券的有效申报价格范围为前收盘价的上下30%，通用回购的有效申报价格范围为前收盘价的上下</w:t>
      </w:r>
      <w:r>
        <w:rPr>
          <w:rFonts w:ascii="仿宋_GB2312" w:eastAsia="仿宋_GB2312"/>
          <w:sz w:val="30"/>
          <w:szCs w:val="30"/>
        </w:rPr>
        <w:t>100%</w:t>
      </w:r>
      <w:r>
        <w:rPr>
          <w:rFonts w:hint="eastAsia" w:ascii="仿宋_GB2312" w:eastAsia="仿宋_GB2312"/>
          <w:sz w:val="30"/>
          <w:szCs w:val="30"/>
        </w:rPr>
        <w:t>。本所另有规定的除外。</w:t>
      </w:r>
    </w:p>
    <w:p w14:paraId="6D822F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债券上市首日，以该债券的发行价格作为前收盘价。</w:t>
      </w:r>
    </w:p>
    <w:p w14:paraId="16CBF681">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连续匹配有效申报价格范围</w:t>
      </w:r>
    </w:p>
    <w:p w14:paraId="0EE9458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阶段，政府债券、政府支持债券、政策性金融债等的有效申报价格范围为匹配成交最新成交价格的上下10%，其他债券的有效申报价格范围为匹配成交最新成交价格的上下20%，通用回购的有效申报价格不得高于匹配成交最新成交价格100个基点。本所另有规定的除外。</w:t>
      </w:r>
    </w:p>
    <w:p w14:paraId="3BB365EF">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债券在集合匹配阶段、连续匹配阶段没有达成交易的，连续匹配阶段按照下列方式调整有效申报价格范围：最高买入申报价格高于前收盘价的，以最高买入申报价格为基准调整有效申报价格范围；最低卖出申报价格低于前收盘价的，以最低卖出申报价格为基准调整有效申报价格范围。</w:t>
      </w:r>
    </w:p>
    <w:p w14:paraId="21FC3962">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当日无交易的，前收盘价视为最新成交价格。</w:t>
      </w:r>
    </w:p>
    <w:p w14:paraId="27A90965">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根据市场发展需要，本所可以调整有效申报价格范围。</w:t>
      </w:r>
    </w:p>
    <w:p w14:paraId="2BF860A9">
      <w:pPr>
        <w:pStyle w:val="92"/>
        <w:widowControl w:val="0"/>
        <w:numPr>
          <w:ilvl w:val="1"/>
          <w:numId w:val="13"/>
        </w:numPr>
        <w:spacing w:line="600" w:lineRule="exact"/>
        <w:ind w:left="0" w:firstLine="600" w:firstLineChars="200"/>
        <w:outlineLvl w:val="3"/>
        <w:rPr>
          <w:rFonts w:ascii="仿宋_GB2312" w:eastAsia="仿宋_GB2312"/>
          <w:sz w:val="30"/>
          <w:szCs w:val="30"/>
        </w:rPr>
      </w:pPr>
      <w:r>
        <w:rPr>
          <w:rFonts w:hint="eastAsia" w:ascii="仿宋_GB2312" w:hAnsi="仿宋" w:eastAsia="仿宋_GB2312"/>
          <w:sz w:val="30"/>
          <w:szCs w:val="30"/>
        </w:rPr>
        <w:t>申报方式</w:t>
      </w:r>
      <w:r>
        <w:rPr>
          <w:rFonts w:hint="eastAsia" w:ascii="仿宋_GB2312" w:eastAsia="仿宋_GB2312"/>
          <w:sz w:val="30"/>
          <w:szCs w:val="30"/>
        </w:rPr>
        <w:t xml:space="preserve"> </w:t>
      </w:r>
    </w:p>
    <w:p w14:paraId="76912CBA">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本所新债券交易系统为匹配成交提供电子化接口，债券投资者可通过电子化接口接入本所新债券交易系统，并提交匹配成交的交易申报。</w:t>
      </w:r>
    </w:p>
    <w:p w14:paraId="7DD0723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申报撤销</w:t>
      </w:r>
    </w:p>
    <w:p w14:paraId="486B4DF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申报未成交时，债券投资者可提交撤销申报。每个交易日9:20至9:25的开盘集合匹配阶段，新债券交易系统不接受撤销申报。其他接受申报的时间内，未成交的申报可以撤销；若原申报订单已部分成交，则未成交的部分可以撤销；若原申报订单已经成功撤销，则此撤销申报作废；若原申报订单也是撤销申报，则此撤销申报作废。债券停牌期间，新债券交易系统接受符合要求的撤销申报。</w:t>
      </w:r>
    </w:p>
    <w:p w14:paraId="180A25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撤销申报</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12FD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BE4E3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ED944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EB9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2D4A15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0A9E8B65">
            <w:pPr>
              <w:pStyle w:val="12"/>
              <w:ind w:firstLine="0" w:firstLineChars="0"/>
              <w:rPr>
                <w:rFonts w:ascii="仿宋_GB2312" w:eastAsia="仿宋_GB2312"/>
                <w:kern w:val="0"/>
                <w:lang w:bidi="en-US"/>
              </w:rPr>
            </w:pPr>
            <w:r>
              <w:rPr>
                <w:rFonts w:hint="eastAsia" w:ascii="仿宋_GB2312" w:eastAsia="仿宋_GB2312"/>
                <w:kern w:val="0"/>
                <w:lang w:bidi="en-US"/>
              </w:rPr>
              <w:t>撤单的申报类型，对应为：现券限价申报撤单</w:t>
            </w:r>
          </w:p>
        </w:tc>
      </w:tr>
      <w:tr w14:paraId="77E0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A2A5C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对应原申报编号</w:t>
            </w:r>
          </w:p>
        </w:tc>
        <w:tc>
          <w:tcPr>
            <w:tcW w:w="6571" w:type="dxa"/>
          </w:tcPr>
          <w:p w14:paraId="186E9C31">
            <w:pPr>
              <w:pStyle w:val="12"/>
              <w:ind w:firstLine="0" w:firstLineChars="0"/>
              <w:rPr>
                <w:rFonts w:ascii="仿宋_GB2312" w:eastAsia="仿宋_GB2312"/>
                <w:kern w:val="0"/>
                <w:lang w:bidi="en-US"/>
              </w:rPr>
            </w:pPr>
            <w:r>
              <w:rPr>
                <w:rFonts w:hint="eastAsia" w:ascii="仿宋_GB2312" w:eastAsia="仿宋_GB2312"/>
                <w:kern w:val="0"/>
                <w:lang w:bidi="en-US"/>
              </w:rPr>
              <w:t>原交易申报订单的申报编号</w:t>
            </w:r>
          </w:p>
        </w:tc>
      </w:tr>
      <w:tr w14:paraId="0C18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9D4B8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571" w:type="dxa"/>
          </w:tcPr>
          <w:p w14:paraId="39A59028">
            <w:pPr>
              <w:pStyle w:val="12"/>
              <w:ind w:firstLine="0" w:firstLineChars="0"/>
              <w:rPr>
                <w:rFonts w:ascii="仿宋_GB2312" w:eastAsia="仿宋_GB2312"/>
                <w:kern w:val="0"/>
                <w:lang w:bidi="en-US"/>
              </w:rPr>
            </w:pPr>
            <w:r>
              <w:rPr>
                <w:rFonts w:hint="eastAsia" w:ascii="仿宋_GB2312" w:eastAsia="仿宋_GB2312"/>
                <w:kern w:val="0"/>
                <w:lang w:bidi="en-US"/>
              </w:rPr>
              <w:t>原</w:t>
            </w:r>
            <w:r>
              <w:rPr>
                <w:rFonts w:hint="eastAsia" w:ascii="仿宋_GB2312" w:hAnsi="宋体" w:eastAsia="仿宋_GB2312"/>
                <w:kern w:val="0"/>
                <w:lang w:bidi="en-US"/>
              </w:rPr>
              <w:t>交易品种的证券代码</w:t>
            </w:r>
            <w:r>
              <w:rPr>
                <w:rFonts w:hint="eastAsia" w:ascii="仿宋_GB2312" w:eastAsia="仿宋_GB2312"/>
                <w:kern w:val="0"/>
                <w:lang w:bidi="en-US"/>
              </w:rPr>
              <w:t>，自动显示</w:t>
            </w:r>
          </w:p>
        </w:tc>
      </w:tr>
      <w:tr w14:paraId="0233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A02BF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34D51C5C">
            <w:pPr>
              <w:pStyle w:val="12"/>
              <w:ind w:firstLine="0" w:firstLineChars="0"/>
              <w:rPr>
                <w:rFonts w:ascii="仿宋_GB2312" w:eastAsia="仿宋_GB2312"/>
                <w:kern w:val="0"/>
                <w:lang w:bidi="en-US"/>
              </w:rPr>
            </w:pPr>
            <w:r>
              <w:rPr>
                <w:rFonts w:hint="eastAsia" w:ascii="仿宋_GB2312" w:eastAsia="仿宋_GB2312"/>
                <w:kern w:val="0"/>
                <w:lang w:bidi="en-US"/>
              </w:rPr>
              <w:t>原交易的买卖方向，即买入/卖出，自动显示</w:t>
            </w:r>
          </w:p>
        </w:tc>
      </w:tr>
      <w:tr w14:paraId="0AF7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634B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571" w:type="dxa"/>
          </w:tcPr>
          <w:p w14:paraId="3A2D95B1">
            <w:pPr>
              <w:pStyle w:val="12"/>
              <w:ind w:firstLine="0" w:firstLineChars="0"/>
              <w:rPr>
                <w:rFonts w:ascii="仿宋_GB2312" w:eastAsia="仿宋_GB2312"/>
                <w:kern w:val="0"/>
                <w:lang w:bidi="en-US"/>
              </w:rPr>
            </w:pPr>
            <w:r>
              <w:rPr>
                <w:rFonts w:hint="eastAsia" w:ascii="仿宋_GB2312" w:eastAsia="仿宋_GB2312"/>
                <w:kern w:val="0"/>
                <w:lang w:bidi="en-US"/>
              </w:rPr>
              <w:t>原交易的价格，单位：元，自动显示</w:t>
            </w:r>
          </w:p>
        </w:tc>
      </w:tr>
      <w:tr w14:paraId="7C5E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5E03A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571" w:type="dxa"/>
          </w:tcPr>
          <w:p w14:paraId="3FDB9B01">
            <w:pPr>
              <w:pStyle w:val="12"/>
              <w:ind w:firstLine="0" w:firstLineChars="0"/>
              <w:rPr>
                <w:rFonts w:ascii="仿宋_GB2312" w:eastAsia="仿宋_GB2312"/>
                <w:kern w:val="0"/>
                <w:lang w:bidi="en-US"/>
              </w:rPr>
            </w:pPr>
            <w:r>
              <w:rPr>
                <w:rFonts w:hint="eastAsia" w:ascii="仿宋_GB2312" w:eastAsia="仿宋_GB2312"/>
                <w:kern w:val="0"/>
                <w:lang w:bidi="en-US"/>
              </w:rPr>
              <w:t>原交易的数量，单位：千元面额，自动显示</w:t>
            </w:r>
          </w:p>
        </w:tc>
      </w:tr>
      <w:tr w14:paraId="0608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7B5F606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571" w:type="dxa"/>
          </w:tcPr>
          <w:p w14:paraId="3494CD9A">
            <w:pPr>
              <w:pStyle w:val="12"/>
              <w:ind w:firstLine="0" w:firstLineChars="0"/>
              <w:rPr>
                <w:rFonts w:ascii="仿宋_GB2312" w:eastAsia="仿宋_GB2312"/>
                <w:kern w:val="0"/>
                <w:lang w:bidi="en-US"/>
              </w:rPr>
            </w:pPr>
            <w:r>
              <w:rPr>
                <w:rFonts w:hint="eastAsia" w:ascii="仿宋_GB2312" w:eastAsia="仿宋_GB2312"/>
                <w:kern w:val="0"/>
                <w:lang w:bidi="en-US"/>
              </w:rPr>
              <w:t>原交易的证券账户号码，自动显示</w:t>
            </w:r>
          </w:p>
        </w:tc>
      </w:tr>
      <w:tr w14:paraId="43AC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121E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CED4FCF">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DC6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1E017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4F7B281">
            <w:pPr>
              <w:pStyle w:val="12"/>
              <w:ind w:firstLine="0" w:firstLineChars="0"/>
              <w:rPr>
                <w:rFonts w:ascii="仿宋_GB2312" w:eastAsia="仿宋_GB2312"/>
                <w:kern w:val="0"/>
                <w:lang w:bidi="en-US"/>
              </w:rPr>
            </w:pPr>
            <w:r>
              <w:rPr>
                <w:rFonts w:hint="eastAsia" w:ascii="仿宋_GB2312" w:eastAsia="仿宋_GB2312"/>
                <w:kern w:val="0"/>
                <w:lang w:bidi="en-US"/>
              </w:rPr>
              <w:t>撤单生成的申报日期（年月日）及时间（时分秒），自动显示</w:t>
            </w:r>
          </w:p>
        </w:tc>
      </w:tr>
      <w:tr w14:paraId="2A35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12648C5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571" w:type="dxa"/>
          </w:tcPr>
          <w:p w14:paraId="115C0AF9">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0891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197C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9381BE5">
            <w:pPr>
              <w:pStyle w:val="12"/>
              <w:ind w:firstLine="0" w:firstLineChars="0"/>
              <w:rPr>
                <w:rFonts w:ascii="仿宋_GB2312" w:eastAsia="仿宋_GB2312"/>
                <w:kern w:val="0"/>
                <w:lang w:bidi="en-US"/>
              </w:rPr>
            </w:pPr>
            <w:r>
              <w:rPr>
                <w:rFonts w:hint="eastAsia" w:ascii="仿宋_GB2312" w:eastAsia="仿宋_GB2312"/>
                <w:kern w:val="0"/>
                <w:lang w:bidi="en-US"/>
              </w:rPr>
              <w:t>交易参与人为撤销申报订单编制的序号，自动显示</w:t>
            </w:r>
          </w:p>
        </w:tc>
      </w:tr>
      <w:tr w14:paraId="6ECC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D4E8F0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60839396">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3DA3BE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撤销指令经本所新债券交易系统确认后实时生效。</w:t>
      </w:r>
    </w:p>
    <w:p w14:paraId="7B91F87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成交规则</w:t>
      </w:r>
    </w:p>
    <w:p w14:paraId="663A7BC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成交时价格优先的原则为：较高价格买入申报优先于较低价格买入申报，较低价格卖出申报优先于较高价格卖出申报。</w:t>
      </w:r>
    </w:p>
    <w:p w14:paraId="596B30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成交时时间优先的原则为：交易方向、价格相同的，先申报者优先于后申报者。先后顺序按新债券交易系统接受申报的时间确定。</w:t>
      </w:r>
    </w:p>
    <w:p w14:paraId="159A1534">
      <w:p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（1）</w:t>
      </w:r>
      <w:r>
        <w:rPr>
          <w:rFonts w:hint="eastAsia" w:ascii="仿宋_GB2312" w:hAnsi="仿宋" w:eastAsia="仿宋_GB2312"/>
          <w:sz w:val="30"/>
          <w:szCs w:val="30"/>
        </w:rPr>
        <w:t>集合匹配成交价格确定原则</w:t>
      </w:r>
    </w:p>
    <w:p w14:paraId="671F3D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集合匹配时，成交价格的确定原则为：</w:t>
      </w:r>
    </w:p>
    <w:p w14:paraId="4C0DB3AC">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可实现最大成交量的价格；</w:t>
      </w:r>
    </w:p>
    <w:p w14:paraId="320B9C4F">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高于该价格的买入申报与低于该价格的卖出申报全部成交的价格；</w:t>
      </w:r>
    </w:p>
    <w:p w14:paraId="3BE1E889">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与该价格相同的买方或者卖方至少有一方全部成交的价格。</w:t>
      </w:r>
    </w:p>
    <w:p w14:paraId="7A56C2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两个以上申报价格符合上述条件的，使未成交量最小的申报价格为成交价格；仍有两个以上使未成交量最小的申报价格符合上述条件的，其中间价为成交价格。</w:t>
      </w:r>
    </w:p>
    <w:p w14:paraId="2F5E6AD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集合匹配阶段的所有交易以同一价格成交。</w:t>
      </w:r>
    </w:p>
    <w:p w14:paraId="316DAA14">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w:t>
      </w:r>
      <w:r>
        <w:rPr>
          <w:rFonts w:hint="eastAsia" w:ascii="仿宋_GB2312" w:hAnsi="仿宋" w:eastAsia="仿宋_GB2312"/>
          <w:sz w:val="30"/>
          <w:szCs w:val="30"/>
        </w:rPr>
        <w:t>连续匹配成交价格确定原则</w:t>
      </w:r>
    </w:p>
    <w:p w14:paraId="04239A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连续匹配时，成交价格的确定原则为：</w:t>
      </w:r>
    </w:p>
    <w:p w14:paraId="56E7B81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w:t>
      </w:r>
      <w:r>
        <w:rPr>
          <w:rFonts w:ascii="仿宋_GB2312" w:hAnsi="仿宋" w:eastAsia="仿宋_GB2312"/>
          <w:sz w:val="30"/>
          <w:szCs w:val="30"/>
        </w:rPr>
        <w:t>）</w:t>
      </w:r>
      <w:r>
        <w:rPr>
          <w:rFonts w:hint="eastAsia" w:ascii="仿宋_GB2312" w:hAnsi="仿宋" w:eastAsia="仿宋_GB2312"/>
          <w:sz w:val="30"/>
          <w:szCs w:val="30"/>
        </w:rPr>
        <w:t>最高买入申报价格与最低卖出申报价格相同，以该价格为成交价格；</w:t>
      </w:r>
    </w:p>
    <w:p w14:paraId="48A3D0AC">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买入申报价格高于即时揭示的最低卖出申报价格的，以即时揭示的最低卖出申报价格为成交价格；</w:t>
      </w:r>
    </w:p>
    <w:p w14:paraId="57C70169">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3）</w:t>
      </w:r>
      <w:r>
        <w:rPr>
          <w:rFonts w:hint="eastAsia" w:ascii="仿宋_GB2312" w:hAnsi="仿宋" w:eastAsia="仿宋_GB2312"/>
          <w:sz w:val="30"/>
          <w:szCs w:val="30"/>
        </w:rPr>
        <w:t>卖出申报价格低于即时揭示的最高买入申报价格的，以即时揭示的最高买入申报价格为成交价格。</w:t>
      </w:r>
    </w:p>
    <w:p w14:paraId="7BB28D2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连续匹配的申报可以部分成交。</w:t>
      </w:r>
    </w:p>
    <w:p w14:paraId="6BD9C0F5">
      <w:pPr>
        <w:numPr>
          <w:ilvl w:val="2"/>
          <w:numId w:val="4"/>
        </w:numPr>
        <w:spacing w:line="600" w:lineRule="exact"/>
        <w:ind w:left="0" w:firstLine="0"/>
        <w:outlineLvl w:val="2"/>
        <w:rPr>
          <w:rFonts w:ascii="仿宋_GB2312" w:eastAsia="仿宋_GB2312"/>
          <w:b/>
          <w:sz w:val="30"/>
          <w:szCs w:val="30"/>
        </w:rPr>
      </w:pPr>
      <w:bookmarkStart w:id="349" w:name="_Toc37254252"/>
      <w:r>
        <w:rPr>
          <w:rFonts w:hint="eastAsia" w:ascii="仿宋_GB2312" w:eastAsia="仿宋_GB2312"/>
          <w:b/>
          <w:sz w:val="30"/>
          <w:szCs w:val="30"/>
        </w:rPr>
        <w:t xml:space="preserve"> 成交数据发送</w:t>
      </w:r>
      <w:bookmarkEnd w:id="349"/>
    </w:p>
    <w:p w14:paraId="7BA10DF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成交后，新债券交易系统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100335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16D6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05C2B3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0F96648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4B7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CE14A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7B54C0F9">
            <w:pPr>
              <w:pStyle w:val="12"/>
              <w:ind w:firstLine="0" w:firstLineChars="0"/>
              <w:rPr>
                <w:rFonts w:ascii="仿宋_GB2312" w:eastAsia="仿宋_GB2312"/>
                <w:kern w:val="0"/>
                <w:lang w:bidi="en-US"/>
              </w:rPr>
            </w:pPr>
            <w:r>
              <w:rPr>
                <w:rFonts w:hint="eastAsia" w:ascii="仿宋_GB2312" w:eastAsia="仿宋_GB2312"/>
                <w:kern w:val="0"/>
                <w:lang w:bidi="en-US"/>
              </w:rPr>
              <w:t>新债券交易系统给成交单分配的唯一标识</w:t>
            </w:r>
          </w:p>
        </w:tc>
      </w:tr>
      <w:tr w14:paraId="6A81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D28298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996" w:type="dxa"/>
          </w:tcPr>
          <w:p w14:paraId="3DD2EA0E">
            <w:pPr>
              <w:pStyle w:val="12"/>
              <w:ind w:firstLine="0" w:firstLineChars="0"/>
              <w:rPr>
                <w:rFonts w:ascii="仿宋_GB2312" w:eastAsia="仿宋_GB2312"/>
                <w:kern w:val="0"/>
                <w:lang w:bidi="en-US"/>
              </w:rPr>
            </w:pPr>
            <w:r>
              <w:rPr>
                <w:rFonts w:hint="eastAsia" w:ascii="仿宋_GB2312" w:eastAsia="仿宋_GB2312"/>
                <w:kern w:val="0"/>
                <w:lang w:bidi="en-US"/>
              </w:rPr>
              <w:t>对应交易订单的申报类型，第一阶段为现券限价申报</w:t>
            </w:r>
          </w:p>
        </w:tc>
      </w:tr>
      <w:tr w14:paraId="4BDF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9B5BCF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996" w:type="dxa"/>
          </w:tcPr>
          <w:p w14:paraId="3BE28D8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交易品种的证券代码，同申报订单</w:t>
            </w:r>
          </w:p>
        </w:tc>
      </w:tr>
      <w:tr w14:paraId="4FB8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9DBE18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96" w:type="dxa"/>
          </w:tcPr>
          <w:p w14:paraId="19B3DB95">
            <w:pPr>
              <w:pStyle w:val="12"/>
              <w:ind w:firstLine="0" w:firstLineChars="0"/>
              <w:rPr>
                <w:rFonts w:ascii="仿宋_GB2312" w:hAnsi="宋体"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3E0F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88B8A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32BDC92C">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633A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847F1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6D2BE14F">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512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C257D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996" w:type="dxa"/>
          </w:tcPr>
          <w:p w14:paraId="7346F9AD">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1768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D206E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996" w:type="dxa"/>
          </w:tcPr>
          <w:p w14:paraId="0D632462">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02A5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CE713D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1B40DE33">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CCEE1E9">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7B14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F6E8C0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交易账号</w:t>
            </w:r>
          </w:p>
        </w:tc>
        <w:tc>
          <w:tcPr>
            <w:tcW w:w="6996" w:type="dxa"/>
          </w:tcPr>
          <w:p w14:paraId="5E9AC734">
            <w:pPr>
              <w:pStyle w:val="12"/>
              <w:ind w:firstLine="0" w:firstLineChars="0"/>
              <w:rPr>
                <w:rFonts w:ascii="仿宋_GB2312" w:eastAsia="仿宋_GB2312"/>
                <w:kern w:val="0"/>
                <w:lang w:bidi="en-US"/>
              </w:rPr>
            </w:pPr>
            <w:r>
              <w:rPr>
                <w:rFonts w:hint="eastAsia" w:ascii="仿宋_GB2312" w:eastAsia="仿宋_GB2312"/>
                <w:kern w:val="0"/>
                <w:lang w:bidi="en-US"/>
              </w:rPr>
              <w:t>交易的证券账户号码</w:t>
            </w:r>
            <w:r>
              <w:rPr>
                <w:rFonts w:hint="eastAsia" w:ascii="仿宋_GB2312" w:hAnsi="宋体" w:eastAsia="仿宋_GB2312"/>
                <w:kern w:val="0"/>
                <w:lang w:bidi="en-US"/>
              </w:rPr>
              <w:t>，同申报订单</w:t>
            </w:r>
          </w:p>
        </w:tc>
      </w:tr>
      <w:tr w14:paraId="24D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44C8A81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062CBAB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C95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C6FFA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08F4CD05">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8F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9DC62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222A38D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匹配成交</w:t>
            </w:r>
          </w:p>
        </w:tc>
      </w:tr>
    </w:tbl>
    <w:p w14:paraId="3DA7B25E">
      <w:pPr>
        <w:numPr>
          <w:ilvl w:val="1"/>
          <w:numId w:val="4"/>
        </w:numPr>
        <w:spacing w:line="600" w:lineRule="exact"/>
        <w:ind w:left="0" w:firstLine="0"/>
        <w:outlineLvl w:val="1"/>
        <w:rPr>
          <w:rFonts w:ascii="仿宋_GB2312" w:eastAsia="仿宋_GB2312"/>
          <w:b/>
          <w:sz w:val="30"/>
          <w:szCs w:val="30"/>
        </w:rPr>
      </w:pPr>
      <w:bookmarkStart w:id="350" w:name="_Toc151136901"/>
      <w:r>
        <w:rPr>
          <w:rFonts w:hint="eastAsia" w:ascii="仿宋_GB2312" w:eastAsia="仿宋_GB2312"/>
          <w:b/>
          <w:sz w:val="30"/>
          <w:szCs w:val="30"/>
        </w:rPr>
        <w:t>协商成交</w:t>
      </w:r>
      <w:bookmarkEnd w:id="350"/>
    </w:p>
    <w:p w14:paraId="16E28135">
      <w:pPr>
        <w:numPr>
          <w:ilvl w:val="2"/>
          <w:numId w:val="4"/>
        </w:numPr>
        <w:spacing w:line="600" w:lineRule="exact"/>
        <w:ind w:left="0" w:firstLine="0"/>
        <w:outlineLvl w:val="2"/>
        <w:rPr>
          <w:rFonts w:ascii="仿宋_GB2312" w:eastAsia="仿宋_GB2312"/>
          <w:b/>
          <w:sz w:val="30"/>
          <w:szCs w:val="30"/>
        </w:rPr>
      </w:pPr>
      <w:bookmarkStart w:id="351" w:name="_Toc57908913"/>
      <w:r>
        <w:rPr>
          <w:rFonts w:hint="eastAsia" w:ascii="仿宋_GB2312" w:eastAsia="仿宋_GB2312"/>
          <w:b/>
          <w:sz w:val="30"/>
          <w:szCs w:val="30"/>
        </w:rPr>
        <w:t>定义</w:t>
      </w:r>
      <w:bookmarkEnd w:id="351"/>
    </w:p>
    <w:p w14:paraId="59F6C0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协商成交是指债券投资者之间通过协商等方式达成债券交易意向，并向固定收益平台申报，经固定收益平台确认成交的交易方式。</w:t>
      </w:r>
    </w:p>
    <w:p w14:paraId="0AF7CD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协商成交申报提交</w:t>
      </w:r>
      <w:r>
        <w:rPr>
          <w:rFonts w:hint="eastAsia" w:ascii="仿宋_GB2312" w:hAnsi="仿宋" w:eastAsia="仿宋_GB2312"/>
          <w:sz w:val="30"/>
          <w:szCs w:val="30"/>
        </w:rPr>
        <w:t>提供客户端和电子化接口，债券交易参与人可通过客户端与电子化接口接入本所系统，并提交</w:t>
      </w:r>
      <w:r>
        <w:rPr>
          <w:rFonts w:hint="eastAsia" w:ascii="仿宋_GB2312" w:eastAsia="仿宋_GB2312"/>
          <w:sz w:val="30"/>
          <w:szCs w:val="30"/>
        </w:rPr>
        <w:t>协商成交申报信息</w:t>
      </w:r>
      <w:r>
        <w:rPr>
          <w:rFonts w:hint="eastAsia" w:ascii="仿宋_GB2312" w:hAnsi="仿宋" w:eastAsia="仿宋_GB2312"/>
          <w:sz w:val="30"/>
          <w:szCs w:val="30"/>
        </w:rPr>
        <w:t>。</w:t>
      </w:r>
    </w:p>
    <w:p w14:paraId="12CE7676">
      <w:pPr>
        <w:numPr>
          <w:ilvl w:val="2"/>
          <w:numId w:val="4"/>
        </w:numPr>
        <w:spacing w:line="600" w:lineRule="exact"/>
        <w:ind w:left="0" w:firstLine="0"/>
        <w:outlineLvl w:val="2"/>
        <w:rPr>
          <w:rFonts w:ascii="仿宋_GB2312" w:eastAsia="仿宋_GB2312"/>
          <w:b/>
          <w:sz w:val="30"/>
          <w:szCs w:val="30"/>
        </w:rPr>
      </w:pPr>
      <w:bookmarkStart w:id="352" w:name="_Toc57908914"/>
      <w:r>
        <w:rPr>
          <w:rFonts w:hint="eastAsia" w:ascii="仿宋_GB2312" w:eastAsia="仿宋_GB2312"/>
          <w:b/>
          <w:sz w:val="30"/>
          <w:szCs w:val="30"/>
        </w:rPr>
        <w:t>协商方式与流程</w:t>
      </w:r>
      <w:bookmarkEnd w:id="352"/>
    </w:p>
    <w:p w14:paraId="7168015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以按照相关规则、本指南规定及内部风险控制要求，委托居间服务机构或者自行寻找交易对手，按照债券交易成交原则就债券交易要素协商达成一致。债券投资者可以通过多种方式寻找交易对手方并协商确定价格。</w:t>
      </w:r>
    </w:p>
    <w:p w14:paraId="5CD90D4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w:t>
      </w:r>
      <w:r>
        <w:rPr>
          <w:rFonts w:ascii="仿宋_GB2312" w:hAnsi="仿宋" w:eastAsia="仿宋_GB2312"/>
          <w:sz w:val="30"/>
          <w:szCs w:val="30"/>
        </w:rPr>
        <w:t>要素协商确定之后，</w:t>
      </w:r>
      <w:r>
        <w:rPr>
          <w:rFonts w:hint="eastAsia" w:ascii="仿宋_GB2312" w:hAnsi="仿宋" w:eastAsia="仿宋_GB2312"/>
          <w:sz w:val="30"/>
          <w:szCs w:val="30"/>
        </w:rPr>
        <w:t>双方可</w:t>
      </w:r>
      <w:r>
        <w:rPr>
          <w:rFonts w:ascii="仿宋_GB2312" w:hAnsi="仿宋" w:eastAsia="仿宋_GB2312"/>
          <w:sz w:val="30"/>
          <w:szCs w:val="30"/>
        </w:rPr>
        <w:t>分别</w:t>
      </w:r>
      <w:r>
        <w:rPr>
          <w:rFonts w:hint="eastAsia" w:ascii="仿宋_GB2312" w:hAnsi="仿宋" w:eastAsia="仿宋_GB2312"/>
          <w:sz w:val="30"/>
          <w:szCs w:val="30"/>
        </w:rPr>
        <w:t>提交协商</w:t>
      </w:r>
      <w:r>
        <w:rPr>
          <w:rFonts w:ascii="仿宋_GB2312" w:hAnsi="仿宋" w:eastAsia="仿宋_GB2312"/>
          <w:sz w:val="30"/>
          <w:szCs w:val="30"/>
        </w:rPr>
        <w:t>成交的</w:t>
      </w:r>
      <w:r>
        <w:rPr>
          <w:rFonts w:hint="eastAsia" w:ascii="仿宋_GB2312" w:hAnsi="仿宋" w:eastAsia="仿宋_GB2312"/>
          <w:sz w:val="30"/>
          <w:szCs w:val="30"/>
        </w:rPr>
        <w:t>申报，要素</w:t>
      </w:r>
      <w:r>
        <w:rPr>
          <w:rFonts w:ascii="仿宋_GB2312" w:hAnsi="仿宋" w:eastAsia="仿宋_GB2312"/>
          <w:sz w:val="30"/>
          <w:szCs w:val="30"/>
        </w:rPr>
        <w:t>相互匹配的，交易</w:t>
      </w:r>
      <w:r>
        <w:rPr>
          <w:rFonts w:hint="eastAsia" w:ascii="仿宋_GB2312" w:hAnsi="仿宋" w:eastAsia="仿宋_GB2312"/>
          <w:sz w:val="30"/>
          <w:szCs w:val="30"/>
        </w:rPr>
        <w:t>系统</w:t>
      </w:r>
      <w:r>
        <w:rPr>
          <w:rFonts w:ascii="仿宋_GB2312" w:hAnsi="仿宋" w:eastAsia="仿宋_GB2312"/>
          <w:sz w:val="30"/>
          <w:szCs w:val="30"/>
        </w:rPr>
        <w:t>予以</w:t>
      </w:r>
      <w:r>
        <w:rPr>
          <w:rFonts w:hint="eastAsia" w:ascii="仿宋_GB2312" w:hAnsi="仿宋" w:eastAsia="仿宋_GB2312"/>
          <w:sz w:val="30"/>
          <w:szCs w:val="30"/>
        </w:rPr>
        <w:t>确认。</w:t>
      </w:r>
    </w:p>
    <w:p w14:paraId="1B23D24D">
      <w:pPr>
        <w:numPr>
          <w:ilvl w:val="2"/>
          <w:numId w:val="4"/>
        </w:numPr>
        <w:spacing w:line="600" w:lineRule="exact"/>
        <w:ind w:left="0" w:firstLine="0"/>
        <w:outlineLvl w:val="2"/>
        <w:rPr>
          <w:rFonts w:ascii="仿宋_GB2312" w:eastAsia="仿宋_GB2312"/>
          <w:b/>
          <w:sz w:val="30"/>
          <w:szCs w:val="30"/>
        </w:rPr>
      </w:pPr>
      <w:bookmarkStart w:id="353" w:name="_Toc57908915"/>
      <w:r>
        <w:rPr>
          <w:rFonts w:hint="eastAsia" w:ascii="仿宋_GB2312" w:eastAsia="仿宋_GB2312"/>
          <w:b/>
          <w:sz w:val="30"/>
          <w:szCs w:val="30"/>
        </w:rPr>
        <w:t>申报要求</w:t>
      </w:r>
      <w:bookmarkEnd w:id="353"/>
    </w:p>
    <w:p w14:paraId="25A8B32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协商成交的申报要素应当包括交易品种、交易方向、价格、数量、证券账号、</w:t>
      </w:r>
      <w:r>
        <w:rPr>
          <w:rFonts w:hint="eastAsia" w:ascii="仿宋_GB2312" w:eastAsia="仿宋_GB2312"/>
          <w:color w:val="000000"/>
          <w:sz w:val="30"/>
          <w:szCs w:val="30"/>
        </w:rPr>
        <w:t>交易双方名称、</w:t>
      </w:r>
      <w:r>
        <w:rPr>
          <w:rFonts w:hint="eastAsia" w:ascii="仿宋_GB2312" w:hAnsi="仿宋" w:eastAsia="仿宋_GB2312"/>
          <w:sz w:val="30"/>
          <w:szCs w:val="30"/>
        </w:rPr>
        <w:t>对手方交易员、结算方式、约定号、结算周期等内容。协商成交由交易双方分别填妥申报要素后各自提交申报。</w:t>
      </w:r>
    </w:p>
    <w:p w14:paraId="0A205B5D">
      <w:pPr>
        <w:widowControl/>
        <w:snapToGrid w:val="0"/>
        <w:spacing w:line="600" w:lineRule="exact"/>
        <w:ind w:firstLine="600" w:firstLineChars="200"/>
        <w:rPr>
          <w:kern w:val="0"/>
          <w:sz w:val="24"/>
          <w:szCs w:val="24"/>
        </w:rPr>
      </w:pPr>
      <w:r>
        <w:rPr>
          <w:rFonts w:hint="eastAsia" w:ascii="仿宋_GB2312" w:hAnsi="仿宋" w:eastAsia="仿宋_GB2312"/>
          <w:sz w:val="30"/>
          <w:szCs w:val="30"/>
        </w:rPr>
        <w:t>协商成交申报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146"/>
      </w:tblGrid>
      <w:tr w14:paraId="1B75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9ECC0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146" w:type="dxa"/>
          </w:tcPr>
          <w:p w14:paraId="2126F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25E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ADABA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146" w:type="dxa"/>
          </w:tcPr>
          <w:p w14:paraId="6518CC55">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协商成交申报</w:t>
            </w:r>
          </w:p>
        </w:tc>
      </w:tr>
      <w:tr w14:paraId="6386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150D21">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146" w:type="dxa"/>
          </w:tcPr>
          <w:p w14:paraId="5193B8C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3BFD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03EB2C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146" w:type="dxa"/>
          </w:tcPr>
          <w:p w14:paraId="56ABCEB4">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1A2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27F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146" w:type="dxa"/>
          </w:tcPr>
          <w:p w14:paraId="50050B17">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4322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647A82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146" w:type="dxa"/>
          </w:tcPr>
          <w:p w14:paraId="7FD18C6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985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C7040B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146" w:type="dxa"/>
          </w:tcPr>
          <w:p w14:paraId="34BD55B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0343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195F3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约定号</w:t>
            </w:r>
          </w:p>
        </w:tc>
        <w:tc>
          <w:tcPr>
            <w:tcW w:w="6146" w:type="dxa"/>
          </w:tcPr>
          <w:p w14:paraId="0F19FA2E">
            <w:pPr>
              <w:pStyle w:val="12"/>
              <w:ind w:firstLine="0" w:firstLineChars="0"/>
              <w:rPr>
                <w:rFonts w:ascii="仿宋_GB2312" w:eastAsia="仿宋_GB2312"/>
                <w:kern w:val="0"/>
                <w:lang w:bidi="en-US"/>
              </w:rPr>
            </w:pPr>
            <w:r>
              <w:rPr>
                <w:rFonts w:hint="eastAsia" w:ascii="仿宋_GB2312" w:eastAsia="仿宋_GB2312"/>
                <w:kern w:val="0"/>
                <w:lang w:bidi="en-US"/>
              </w:rPr>
              <w:t>双方线下协商约定的三位数字</w:t>
            </w:r>
          </w:p>
        </w:tc>
      </w:tr>
      <w:tr w14:paraId="56CA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69625E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146" w:type="dxa"/>
          </w:tcPr>
          <w:p w14:paraId="29635F2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3270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B9FE3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146" w:type="dxa"/>
          </w:tcPr>
          <w:p w14:paraId="4CE3B4E1">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2A0C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4059C7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146" w:type="dxa"/>
          </w:tcPr>
          <w:p w14:paraId="3CFFA07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909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DE0B7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146" w:type="dxa"/>
          </w:tcPr>
          <w:p w14:paraId="1442ABB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CB6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FC1C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146" w:type="dxa"/>
          </w:tcPr>
          <w:p w14:paraId="4123CA9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5EDA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8D900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146" w:type="dxa"/>
          </w:tcPr>
          <w:p w14:paraId="00C81BAA">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C4C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00093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146" w:type="dxa"/>
          </w:tcPr>
          <w:p w14:paraId="2C4B24E1">
            <w:pPr>
              <w:pStyle w:val="12"/>
              <w:ind w:firstLine="0" w:firstLineChars="0"/>
              <w:rPr>
                <w:rFonts w:ascii="仿宋_GB2312" w:eastAsia="仿宋_GB2312"/>
                <w:kern w:val="0"/>
                <w:lang w:bidi="en-US"/>
              </w:rPr>
            </w:pPr>
            <w:r>
              <w:rPr>
                <w:rFonts w:hint="eastAsia" w:ascii="仿宋_GB2312" w:eastAsia="仿宋_GB2312"/>
                <w:kern w:val="0"/>
                <w:lang w:bidi="en-US"/>
              </w:rPr>
              <w:t>对手方交易员代码</w:t>
            </w:r>
          </w:p>
          <w:p w14:paraId="00B2F4B6">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3845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65D0007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146" w:type="dxa"/>
          </w:tcPr>
          <w:p w14:paraId="614BCB3A">
            <w:pPr>
              <w:pStyle w:val="12"/>
              <w:ind w:firstLine="0" w:firstLineChars="0"/>
              <w:rPr>
                <w:rFonts w:ascii="仿宋_GB2312" w:eastAsia="仿宋_GB2312"/>
                <w:kern w:val="0"/>
                <w:lang w:bidi="en-US"/>
              </w:rPr>
            </w:pPr>
            <w:r>
              <w:rPr>
                <w:rFonts w:hint="eastAsia" w:ascii="仿宋_GB2312" w:eastAsia="仿宋_GB2312"/>
                <w:kern w:val="0"/>
                <w:lang w:bidi="en-US"/>
              </w:rPr>
              <w:t>对手方交易员名称</w:t>
            </w:r>
          </w:p>
          <w:p w14:paraId="359E69A7">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5ABE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4D6737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146" w:type="dxa"/>
          </w:tcPr>
          <w:p w14:paraId="43BF363E">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w:t>
            </w:r>
            <w:r>
              <w:rPr>
                <w:rFonts w:hint="eastAsia" w:ascii="仿宋_GB2312" w:eastAsia="仿宋_GB2312"/>
                <w:kern w:val="0"/>
                <w:lang w:bidi="en-US"/>
              </w:rPr>
              <w:t>品种</w:t>
            </w:r>
            <w:r>
              <w:rPr>
                <w:rFonts w:ascii="仿宋_GB2312" w:eastAsia="仿宋_GB2312"/>
                <w:kern w:val="0"/>
                <w:lang w:bidi="en-US"/>
              </w:rPr>
              <w:t>，可选</w:t>
            </w:r>
            <w:r>
              <w:rPr>
                <w:rFonts w:hint="eastAsia" w:ascii="仿宋_GB2312" w:eastAsia="仿宋_GB2312"/>
                <w:kern w:val="0"/>
                <w:lang w:bidi="en-US"/>
              </w:rPr>
              <w:t>“逐笔全额结算”或“多边净额结算”。</w:t>
            </w:r>
          </w:p>
        </w:tc>
      </w:tr>
      <w:tr w14:paraId="7394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5E8A88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146" w:type="dxa"/>
          </w:tcPr>
          <w:p w14:paraId="70E5CD1F">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7607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7FBC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146" w:type="dxa"/>
          </w:tcPr>
          <w:p w14:paraId="353DEFE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1C59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F287707">
            <w:pPr>
              <w:pStyle w:val="12"/>
              <w:ind w:firstLine="0" w:firstLineChars="0"/>
              <w:rPr>
                <w:rFonts w:ascii="仿宋_GB2312" w:eastAsia="仿宋_GB2312"/>
                <w:b/>
                <w:kern w:val="0"/>
                <w:lang w:bidi="en-US"/>
              </w:rPr>
            </w:pPr>
            <w:r>
              <w:rPr>
                <w:rFonts w:hint="eastAsia" w:ascii="仿宋_GB2312" w:eastAsia="仿宋_GB2312"/>
                <w:b/>
                <w:kern w:val="0"/>
                <w:lang w:bidi="en-US"/>
              </w:rPr>
              <w:t>参考</w:t>
            </w:r>
            <w:r>
              <w:rPr>
                <w:rFonts w:ascii="仿宋_GB2312" w:eastAsia="仿宋_GB2312"/>
                <w:b/>
                <w:kern w:val="0"/>
                <w:lang w:bidi="en-US"/>
              </w:rPr>
              <w:t>结算金额</w:t>
            </w:r>
          </w:p>
        </w:tc>
        <w:tc>
          <w:tcPr>
            <w:tcW w:w="6146" w:type="dxa"/>
          </w:tcPr>
          <w:p w14:paraId="4B925D62">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单位</w:t>
            </w:r>
            <w:r>
              <w:rPr>
                <w:rFonts w:ascii="仿宋_GB2312" w:hAnsi="宋体" w:eastAsia="仿宋_GB2312"/>
                <w:kern w:val="0"/>
                <w:lang w:bidi="en-US"/>
              </w:rPr>
              <w:t>：万元</w:t>
            </w:r>
            <w:r>
              <w:rPr>
                <w:rFonts w:hint="eastAsia" w:ascii="仿宋_GB2312" w:hAnsi="宋体" w:eastAsia="仿宋_GB2312"/>
                <w:kern w:val="0"/>
                <w:lang w:bidi="en-US"/>
              </w:rPr>
              <w:t>，</w:t>
            </w:r>
            <w:r>
              <w:rPr>
                <w:rFonts w:ascii="仿宋_GB2312" w:hAnsi="宋体" w:eastAsia="仿宋_GB2312"/>
                <w:kern w:val="0"/>
                <w:lang w:bidi="en-US"/>
              </w:rPr>
              <w:t>系统计算</w:t>
            </w:r>
            <w:r>
              <w:rPr>
                <w:rFonts w:hint="eastAsia" w:ascii="仿宋_GB2312" w:hAnsi="宋体" w:eastAsia="仿宋_GB2312"/>
                <w:kern w:val="0"/>
                <w:lang w:bidi="en-US"/>
              </w:rPr>
              <w:t>：</w:t>
            </w:r>
            <w:r>
              <w:rPr>
                <w:rFonts w:hint="eastAsia" w:ascii="仿宋_GB2312" w:hAnsi="宋体" w:eastAsia="仿宋_GB2312"/>
                <w:kern w:val="0"/>
                <w:szCs w:val="21"/>
                <w:lang w:bidi="en-US"/>
              </w:rPr>
              <w:t>申报</w:t>
            </w:r>
            <w:r>
              <w:rPr>
                <w:rFonts w:ascii="仿宋_GB2312" w:hAnsi="宋体" w:eastAsia="仿宋_GB2312"/>
                <w:kern w:val="0"/>
                <w:szCs w:val="21"/>
                <w:lang w:bidi="en-US"/>
              </w:rPr>
              <w:t>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w:t>
            </w:r>
            <w:r>
              <w:rPr>
                <w:rFonts w:hint="eastAsia" w:ascii="仿宋_GB2312" w:hAnsi="宋体" w:eastAsia="仿宋_GB2312"/>
                <w:kern w:val="0"/>
                <w:szCs w:val="21"/>
                <w:lang w:bidi="en-US"/>
              </w:rPr>
              <w:t>申报全价（元）</w:t>
            </w:r>
            <w:r>
              <w:rPr>
                <w:rFonts w:ascii="仿宋_GB2312" w:hAnsi="宋体" w:eastAsia="仿宋_GB2312"/>
                <w:kern w:val="0"/>
                <w:szCs w:val="21"/>
                <w:lang w:bidi="en-US"/>
              </w:rPr>
              <w:t>/1000</w:t>
            </w:r>
          </w:p>
        </w:tc>
      </w:tr>
      <w:tr w14:paraId="16AC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EB592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146" w:type="dxa"/>
          </w:tcPr>
          <w:p w14:paraId="0AB366EC">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3DE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00C9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146" w:type="dxa"/>
          </w:tcPr>
          <w:p w14:paraId="1BDDD9C4">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654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132B65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146" w:type="dxa"/>
          </w:tcPr>
          <w:p w14:paraId="4EB36BD9">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94A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5B82DB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146" w:type="dxa"/>
          </w:tcPr>
          <w:p w14:paraId="0900B8CA">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bl>
    <w:p w14:paraId="0E3B57E5">
      <w:pPr>
        <w:numPr>
          <w:ilvl w:val="2"/>
          <w:numId w:val="4"/>
        </w:numPr>
        <w:spacing w:line="600" w:lineRule="exact"/>
        <w:ind w:left="0" w:firstLine="0"/>
        <w:outlineLvl w:val="2"/>
        <w:rPr>
          <w:rFonts w:ascii="仿宋_GB2312" w:eastAsia="仿宋_GB2312"/>
          <w:b/>
          <w:sz w:val="30"/>
          <w:szCs w:val="30"/>
        </w:rPr>
      </w:pPr>
      <w:bookmarkStart w:id="354" w:name="_Toc1655697"/>
      <w:bookmarkEnd w:id="354"/>
      <w:bookmarkStart w:id="355" w:name="_Toc1038835"/>
      <w:bookmarkEnd w:id="355"/>
      <w:bookmarkStart w:id="356" w:name="_Toc969297"/>
      <w:bookmarkEnd w:id="356"/>
      <w:bookmarkStart w:id="357" w:name="_Toc969387"/>
      <w:bookmarkEnd w:id="357"/>
      <w:bookmarkStart w:id="358" w:name="_Toc1657013"/>
      <w:bookmarkEnd w:id="358"/>
      <w:bookmarkStart w:id="359" w:name="_Toc969477"/>
      <w:bookmarkEnd w:id="359"/>
      <w:bookmarkStart w:id="360" w:name="_Toc1488569"/>
      <w:bookmarkEnd w:id="360"/>
      <w:bookmarkStart w:id="361" w:name="_Toc1045266"/>
      <w:bookmarkEnd w:id="361"/>
      <w:r>
        <w:rPr>
          <w:rFonts w:hint="eastAsia" w:ascii="仿宋_GB2312" w:eastAsia="仿宋_GB2312"/>
          <w:b/>
          <w:sz w:val="30"/>
          <w:szCs w:val="30"/>
        </w:rPr>
        <w:t xml:space="preserve"> </w:t>
      </w:r>
      <w:bookmarkStart w:id="362" w:name="_Toc57908916"/>
      <w:r>
        <w:rPr>
          <w:rFonts w:hint="eastAsia" w:ascii="仿宋_GB2312" w:eastAsia="仿宋_GB2312"/>
          <w:b/>
          <w:sz w:val="30"/>
          <w:szCs w:val="30"/>
        </w:rPr>
        <w:t>成交</w:t>
      </w:r>
      <w:bookmarkEnd w:id="362"/>
    </w:p>
    <w:p w14:paraId="57A32EE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协商成交交易按双方协商一致的价格、数量、结算方式、结算周期等要素成交。</w:t>
      </w:r>
    </w:p>
    <w:p w14:paraId="261756F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交易双方填写的约定号一致，固定收益平台可确认成交。</w:t>
      </w:r>
    </w:p>
    <w:p w14:paraId="33C5668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 </w:t>
      </w:r>
      <w:bookmarkStart w:id="363" w:name="_Toc57908917"/>
      <w:r>
        <w:rPr>
          <w:rFonts w:hint="eastAsia" w:ascii="仿宋_GB2312" w:eastAsia="仿宋_GB2312"/>
          <w:b/>
          <w:sz w:val="30"/>
          <w:szCs w:val="30"/>
        </w:rPr>
        <w:t>合并申报</w:t>
      </w:r>
      <w:bookmarkEnd w:id="363"/>
    </w:p>
    <w:p w14:paraId="2142860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（1）定义</w:t>
      </w:r>
    </w:p>
    <w:p w14:paraId="6F558E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合并申报是指主做市商</w:t>
      </w:r>
      <w:r>
        <w:rPr>
          <w:rFonts w:hint="eastAsia" w:ascii="仿宋_GB2312" w:eastAsia="仿宋_GB2312"/>
          <w:color w:val="000000"/>
          <w:sz w:val="30"/>
          <w:szCs w:val="30"/>
        </w:rPr>
        <w:t>或者本所认可的其他机构</w:t>
      </w:r>
      <w:r>
        <w:rPr>
          <w:rFonts w:hint="eastAsia" w:ascii="仿宋_GB2312" w:hAnsi="仿宋" w:eastAsia="仿宋_GB2312"/>
          <w:sz w:val="30"/>
          <w:szCs w:val="30"/>
        </w:rPr>
        <w:t>（以下简称中间方）与不同对手方针对同一交易品种达成两笔数量、结算方式、结算周期相同但方向相反的交易意向，可以作为中间方将两笔交易合并向系统申报。</w:t>
      </w:r>
    </w:p>
    <w:p w14:paraId="301D7B8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中间方在场外以人工撮合买卖双方方式达成成交的，三方可以采用合并申报的方式。引入中间方不改变交易的权利义务关系</w:t>
      </w:r>
      <w:r>
        <w:rPr>
          <w:rFonts w:ascii="仿宋_GB2312" w:hAnsi="仿宋" w:eastAsia="仿宋_GB2312"/>
          <w:sz w:val="30"/>
          <w:szCs w:val="30"/>
        </w:rPr>
        <w:t>,合并申报</w:t>
      </w:r>
      <w:r>
        <w:rPr>
          <w:rFonts w:hint="eastAsia" w:ascii="仿宋_GB2312" w:hAnsi="仿宋" w:eastAsia="仿宋_GB2312"/>
          <w:sz w:val="30"/>
          <w:szCs w:val="30"/>
        </w:rPr>
        <w:t>实质为</w:t>
      </w:r>
      <w:r>
        <w:rPr>
          <w:rFonts w:ascii="仿宋_GB2312" w:hAnsi="仿宋" w:eastAsia="仿宋_GB2312"/>
          <w:sz w:val="30"/>
          <w:szCs w:val="30"/>
        </w:rPr>
        <w:t>两笔交易，分别是中间方</w:t>
      </w:r>
      <w:r>
        <w:rPr>
          <w:rFonts w:hint="eastAsia" w:ascii="仿宋_GB2312" w:hAnsi="仿宋" w:eastAsia="仿宋_GB2312"/>
          <w:sz w:val="30"/>
          <w:szCs w:val="30"/>
        </w:rPr>
        <w:t>从卖</w:t>
      </w:r>
      <w:r>
        <w:rPr>
          <w:rFonts w:ascii="仿宋_GB2312" w:hAnsi="仿宋" w:eastAsia="仿宋_GB2312"/>
          <w:sz w:val="30"/>
          <w:szCs w:val="30"/>
        </w:rPr>
        <w:t>方买入，中间方向</w:t>
      </w:r>
      <w:r>
        <w:rPr>
          <w:rFonts w:hint="eastAsia" w:ascii="仿宋_GB2312" w:hAnsi="仿宋" w:eastAsia="仿宋_GB2312"/>
          <w:sz w:val="30"/>
          <w:szCs w:val="30"/>
        </w:rPr>
        <w:t>买</w:t>
      </w:r>
      <w:r>
        <w:rPr>
          <w:rFonts w:ascii="仿宋_GB2312" w:hAnsi="仿宋" w:eastAsia="仿宋_GB2312"/>
          <w:sz w:val="30"/>
          <w:szCs w:val="30"/>
        </w:rPr>
        <w:t>方卖出。</w:t>
      </w:r>
    </w:p>
    <w:p w14:paraId="03F833A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合并申报涉及买方、卖方和中间方，合并申报只能由中间方发起，买方、卖方分别进行确认。</w:t>
      </w:r>
    </w:p>
    <w:p w14:paraId="5F587FD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（2）申报与成交</w:t>
      </w:r>
    </w:p>
    <w:p w14:paraId="261C659E">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合并申报提交</w:t>
      </w:r>
      <w:r>
        <w:rPr>
          <w:rFonts w:hint="eastAsia" w:ascii="仿宋_GB2312" w:hAnsi="仿宋" w:eastAsia="仿宋_GB2312"/>
          <w:sz w:val="30"/>
          <w:szCs w:val="30"/>
        </w:rPr>
        <w:t>提供客户端，中间方可通过客户端接入本所系统，并提交</w:t>
      </w:r>
      <w:r>
        <w:rPr>
          <w:rFonts w:hint="eastAsia" w:ascii="仿宋_GB2312" w:eastAsia="仿宋_GB2312"/>
          <w:sz w:val="30"/>
          <w:szCs w:val="30"/>
        </w:rPr>
        <w:t>合并申报信息</w:t>
      </w:r>
      <w:r>
        <w:rPr>
          <w:rFonts w:hint="eastAsia" w:ascii="仿宋_GB2312" w:hAnsi="仿宋" w:eastAsia="仿宋_GB2312"/>
          <w:sz w:val="30"/>
          <w:szCs w:val="30"/>
        </w:rPr>
        <w:t>。</w:t>
      </w:r>
    </w:p>
    <w:p w14:paraId="42F287A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中间方发起的合并申报要素应包括交易品种、买入价格、卖出价格、数量、买方交易参与人、买方交易员、卖方交易参与人、卖方交易员、结算方式、结算周期、中间方交易参与人、中间方证券账户等。</w:t>
      </w:r>
    </w:p>
    <w:p w14:paraId="3AF2DA0F">
      <w:pPr>
        <w:spacing w:line="600" w:lineRule="exact"/>
        <w:ind w:firstLine="600" w:firstLineChars="200"/>
      </w:pPr>
      <w:r>
        <w:rPr>
          <w:rFonts w:hint="eastAsia" w:ascii="仿宋_GB2312" w:hAnsi="仿宋" w:eastAsia="仿宋_GB2312"/>
          <w:sz w:val="30"/>
          <w:szCs w:val="30"/>
        </w:rPr>
        <w:t>中间方合并申报</w:t>
      </w:r>
      <w:r>
        <w:rPr>
          <w:rFonts w:hint="eastAsia" w:ascii="仿宋_GB2312" w:eastAsia="仿宋_GB2312"/>
          <w:sz w:val="30"/>
          <w:szCs w:val="30"/>
        </w:rPr>
        <w:t>具体要素及要素说明如下</w:t>
      </w:r>
      <w:r>
        <w:rPr>
          <w:rFonts w:hint="eastAsia"/>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6571"/>
      </w:tblGrid>
      <w:tr w14:paraId="2CEA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2F0B39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w:t>
            </w:r>
          </w:p>
        </w:tc>
        <w:tc>
          <w:tcPr>
            <w:tcW w:w="6571" w:type="dxa"/>
          </w:tcPr>
          <w:p w14:paraId="72A484B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要素说明</w:t>
            </w:r>
          </w:p>
        </w:tc>
      </w:tr>
      <w:tr w14:paraId="6288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4298509">
            <w:pPr>
              <w:pStyle w:val="12"/>
              <w:ind w:firstLine="0" w:firstLineChars="0"/>
              <w:rPr>
                <w:rFonts w:ascii="宋体" w:hAnsi="宋体"/>
                <w:color w:val="000000"/>
                <w:kern w:val="0"/>
                <w:lang w:eastAsia="en-US" w:bidi="en-US"/>
              </w:rPr>
            </w:pPr>
            <w:r>
              <w:rPr>
                <w:rFonts w:hint="eastAsia" w:ascii="仿宋_GB2312" w:eastAsia="仿宋_GB2312"/>
                <w:b/>
                <w:kern w:val="0"/>
                <w:lang w:eastAsia="en-US" w:bidi="en-US"/>
              </w:rPr>
              <w:t>申报类型</w:t>
            </w:r>
          </w:p>
        </w:tc>
        <w:tc>
          <w:tcPr>
            <w:tcW w:w="6571" w:type="dxa"/>
          </w:tcPr>
          <w:p w14:paraId="7B04D3ED">
            <w:pPr>
              <w:pStyle w:val="12"/>
              <w:ind w:firstLine="0" w:firstLineChars="0"/>
              <w:rPr>
                <w:rFonts w:ascii="仿宋_GB2312" w:eastAsia="仿宋_GB2312"/>
                <w:kern w:val="0"/>
                <w:lang w:bidi="en-US"/>
              </w:rPr>
            </w:pPr>
            <w:r>
              <w:rPr>
                <w:rFonts w:hint="eastAsia" w:ascii="仿宋_GB2312" w:eastAsia="仿宋_GB2312"/>
                <w:kern w:val="0"/>
                <w:lang w:bidi="en-US"/>
              </w:rPr>
              <w:t>协商交易（合并申报）</w:t>
            </w:r>
          </w:p>
        </w:tc>
      </w:tr>
      <w:tr w14:paraId="639F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A7418">
            <w:pPr>
              <w:pStyle w:val="12"/>
              <w:ind w:firstLine="0" w:firstLineChars="0"/>
              <w:rPr>
                <w:rFonts w:ascii="宋体" w:hAnsi="宋体"/>
                <w:color w:val="000000"/>
                <w:kern w:val="0"/>
                <w:lang w:bidi="en-US"/>
              </w:rPr>
            </w:pPr>
            <w:r>
              <w:rPr>
                <w:rFonts w:hint="eastAsia" w:ascii="仿宋_GB2312" w:eastAsia="仿宋_GB2312"/>
                <w:b/>
                <w:kern w:val="0"/>
                <w:lang w:bidi="en-US"/>
              </w:rPr>
              <w:t>交易品种</w:t>
            </w:r>
          </w:p>
        </w:tc>
        <w:tc>
          <w:tcPr>
            <w:tcW w:w="6571" w:type="dxa"/>
          </w:tcPr>
          <w:p w14:paraId="5BA8B458">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3550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50F193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571" w:type="dxa"/>
          </w:tcPr>
          <w:p w14:paraId="0CF975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6716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599D1F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w:t>
            </w:r>
          </w:p>
        </w:tc>
        <w:tc>
          <w:tcPr>
            <w:tcW w:w="6571" w:type="dxa"/>
          </w:tcPr>
          <w:p w14:paraId="228253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买入方简称</w:t>
            </w:r>
          </w:p>
        </w:tc>
      </w:tr>
      <w:tr w14:paraId="11F1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550C3A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买入方交易员</w:t>
            </w:r>
          </w:p>
        </w:tc>
        <w:tc>
          <w:tcPr>
            <w:tcW w:w="6571" w:type="dxa"/>
          </w:tcPr>
          <w:p w14:paraId="649FFD5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买入方交易员标识</w:t>
            </w:r>
          </w:p>
        </w:tc>
      </w:tr>
      <w:tr w14:paraId="4CA9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978273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本方卖出价格</w:t>
            </w:r>
          </w:p>
        </w:tc>
        <w:tc>
          <w:tcPr>
            <w:tcW w:w="6571" w:type="dxa"/>
          </w:tcPr>
          <w:p w14:paraId="3FB3F9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45AB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751A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w:t>
            </w:r>
          </w:p>
        </w:tc>
        <w:tc>
          <w:tcPr>
            <w:tcW w:w="6571" w:type="dxa"/>
          </w:tcPr>
          <w:p w14:paraId="5F122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卖出方简称</w:t>
            </w:r>
          </w:p>
        </w:tc>
      </w:tr>
      <w:tr w14:paraId="1502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3AD9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卖出方交易员</w:t>
            </w:r>
          </w:p>
        </w:tc>
        <w:tc>
          <w:tcPr>
            <w:tcW w:w="6571" w:type="dxa"/>
          </w:tcPr>
          <w:p w14:paraId="0BDEC2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卖出方交易员标识</w:t>
            </w:r>
          </w:p>
        </w:tc>
      </w:tr>
      <w:tr w14:paraId="0F82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B566F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本方买入价格</w:t>
            </w:r>
          </w:p>
        </w:tc>
        <w:tc>
          <w:tcPr>
            <w:tcW w:w="6571" w:type="dxa"/>
          </w:tcPr>
          <w:p w14:paraId="136CA9B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0B1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44CFE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740DB21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91C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2B43FB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196B72E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1345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8A45C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04F021CB">
            <w:pPr>
              <w:pStyle w:val="12"/>
              <w:ind w:firstLine="0" w:firstLineChars="0"/>
              <w:rPr>
                <w:rFonts w:ascii="仿宋_GB2312" w:eastAsia="仿宋_GB2312"/>
                <w:kern w:val="0"/>
                <w:lang w:bidi="en-US"/>
              </w:rPr>
            </w:pPr>
            <w:r>
              <w:rPr>
                <w:rFonts w:hint="eastAsia" w:ascii="仿宋_GB2312" w:eastAsia="仿宋_GB2312"/>
                <w:kern w:val="0"/>
                <w:lang w:bidi="en-US"/>
              </w:rPr>
              <w:t>根据交易</w:t>
            </w:r>
            <w:r>
              <w:rPr>
                <w:rFonts w:ascii="仿宋_GB2312" w:eastAsia="仿宋_GB2312"/>
                <w:kern w:val="0"/>
                <w:lang w:bidi="en-US"/>
              </w:rPr>
              <w:t>品种，</w:t>
            </w:r>
            <w:r>
              <w:rPr>
                <w:rFonts w:hint="eastAsia" w:ascii="仿宋_GB2312" w:eastAsia="仿宋_GB2312"/>
                <w:kern w:val="0"/>
                <w:lang w:bidi="en-US"/>
              </w:rPr>
              <w:t>可选“逐笔全额结算”或“多边净额结算”。</w:t>
            </w:r>
          </w:p>
        </w:tc>
      </w:tr>
      <w:tr w14:paraId="48FA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7B84D1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347B0DF">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53A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C9171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4E703C5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755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08B3AA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F4112A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568A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50A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336FBED">
            <w:pPr>
              <w:pStyle w:val="12"/>
              <w:ind w:firstLine="0" w:firstLineChars="0"/>
              <w:rPr>
                <w:rFonts w:ascii="宋体" w:hAnsi="宋体"/>
                <w:color w:val="000000"/>
                <w:kern w:val="0"/>
                <w:lang w:bidi="en-US"/>
              </w:rPr>
            </w:pPr>
            <w:r>
              <w:rPr>
                <w:rFonts w:hint="eastAsia" w:ascii="仿宋_GB2312" w:eastAsia="仿宋_GB2312"/>
                <w:kern w:val="0"/>
                <w:lang w:bidi="en-US"/>
              </w:rPr>
              <w:t>根据当前交易日期、结算周期，自动显示</w:t>
            </w:r>
          </w:p>
        </w:tc>
      </w:tr>
      <w:tr w14:paraId="278D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04FB6B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2D008D28">
            <w:pPr>
              <w:pStyle w:val="12"/>
              <w:ind w:firstLine="0" w:firstLineChars="0"/>
              <w:rPr>
                <w:rFonts w:ascii="宋体" w:hAnsi="宋体"/>
                <w:color w:val="000000"/>
                <w:kern w:val="0"/>
                <w:lang w:bidi="en-US"/>
              </w:rPr>
            </w:pPr>
            <w:r>
              <w:rPr>
                <w:rFonts w:hint="eastAsia" w:ascii="仿宋_GB2312" w:eastAsia="仿宋_GB2312"/>
                <w:kern w:val="0"/>
                <w:lang w:bidi="en-US"/>
              </w:rPr>
              <w:t>交易参与人的交易单元号码，自动显示</w:t>
            </w:r>
          </w:p>
        </w:tc>
      </w:tr>
    </w:tbl>
    <w:p w14:paraId="45E1633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合并申报，合并申报经前述两笔交易的对手方（买方、卖方）分别确认后，由固定收益平台确认成交，同时生成两笔成交记录。单方确认的交易，固定收益平台不生成成交记录。双方确认时，仅需提交本方证券账户，且不显示实际对手方的价格信息。对买方和卖方而言，对手方都是中间方。</w:t>
      </w:r>
    </w:p>
    <w:p w14:paraId="492748B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在买卖双方全部确认之前，中间方可以撤销合并申报。</w:t>
      </w:r>
    </w:p>
    <w:p w14:paraId="5D7F850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（3）结算</w:t>
      </w:r>
    </w:p>
    <w:p w14:paraId="456E11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合并申报在结算指令确认环节由实际买方勾单。合并申报的协商交易的中间方如有应付资金需求，需要勾单，</w:t>
      </w:r>
      <w:r>
        <w:rPr>
          <w:rFonts w:ascii="仿宋_GB2312" w:hAnsi="仿宋" w:eastAsia="仿宋_GB2312"/>
          <w:sz w:val="30"/>
          <w:szCs w:val="30"/>
        </w:rPr>
        <w:t>如无应付资金需求，则不需要勾单</w:t>
      </w:r>
      <w:r>
        <w:rPr>
          <w:rFonts w:hint="eastAsia" w:ascii="仿宋_GB2312" w:hAnsi="仿宋" w:eastAsia="仿宋_GB2312"/>
          <w:sz w:val="30"/>
          <w:szCs w:val="30"/>
        </w:rPr>
        <w:t>。</w:t>
      </w:r>
    </w:p>
    <w:p w14:paraId="5F2639E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合并申报结算方式包括“多边净额结算”和“逐笔全额结算</w:t>
      </w:r>
      <w:r>
        <w:rPr>
          <w:rFonts w:ascii="仿宋_GB2312" w:hAnsi="仿宋" w:eastAsia="仿宋_GB2312"/>
          <w:sz w:val="30"/>
          <w:szCs w:val="30"/>
        </w:rPr>
        <w:t>”</w:t>
      </w:r>
      <w:r>
        <w:rPr>
          <w:rFonts w:hint="eastAsia" w:ascii="仿宋_GB2312" w:hAnsi="仿宋" w:eastAsia="仿宋_GB2312"/>
          <w:sz w:val="30"/>
          <w:szCs w:val="30"/>
        </w:rPr>
        <w:t>。本所另有规定的除外</w:t>
      </w:r>
      <w:r>
        <w:rPr>
          <w:rFonts w:ascii="仿宋_GB2312" w:hAnsi="仿宋" w:eastAsia="仿宋_GB2312"/>
          <w:sz w:val="30"/>
          <w:szCs w:val="30"/>
        </w:rPr>
        <w:t>。</w:t>
      </w:r>
    </w:p>
    <w:p w14:paraId="4B1ADFA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若合并申报采用净额结算方式，中间方担保交收账户轧差结算，无需发生实际的债券交收，资金仅需交收轧差后的差额部分。</w:t>
      </w:r>
    </w:p>
    <w:p w14:paraId="7B607F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若合并申报采用逐笔全额结算</w:t>
      </w:r>
      <w:r>
        <w:rPr>
          <w:rFonts w:ascii="仿宋_GB2312" w:hAnsi="仿宋" w:eastAsia="仿宋_GB2312"/>
          <w:sz w:val="30"/>
          <w:szCs w:val="30"/>
        </w:rPr>
        <w:t>方式，则</w:t>
      </w:r>
      <w:r>
        <w:rPr>
          <w:rFonts w:hint="eastAsia" w:ascii="仿宋_GB2312" w:hAnsi="仿宋" w:eastAsia="仿宋_GB2312"/>
          <w:sz w:val="30"/>
          <w:szCs w:val="30"/>
        </w:rPr>
        <w:t>登记结算机构</w:t>
      </w:r>
      <w:r>
        <w:rPr>
          <w:rFonts w:ascii="仿宋_GB2312" w:hAnsi="仿宋" w:eastAsia="仿宋_GB2312"/>
          <w:sz w:val="30"/>
          <w:szCs w:val="30"/>
        </w:rPr>
        <w:t>对合并申报拆分后的两笔交易</w:t>
      </w:r>
      <w:r>
        <w:rPr>
          <w:rFonts w:hint="eastAsia" w:ascii="仿宋_GB2312" w:hAnsi="仿宋" w:eastAsia="仿宋_GB2312"/>
          <w:sz w:val="30"/>
          <w:szCs w:val="30"/>
        </w:rPr>
        <w:t>通过交收顺序安排实现类似轧差效果，勾单完成后，两笔交易的交收要么一起成功，要么一起失败，中间方无需发生实际债券交收。</w:t>
      </w:r>
    </w:p>
    <w:p w14:paraId="4B303DBD">
      <w:pPr>
        <w:numPr>
          <w:ilvl w:val="1"/>
          <w:numId w:val="4"/>
        </w:numPr>
        <w:spacing w:line="600" w:lineRule="exact"/>
        <w:ind w:left="0" w:firstLine="0"/>
        <w:outlineLvl w:val="1"/>
        <w:rPr>
          <w:rFonts w:ascii="仿宋_GB2312" w:eastAsia="仿宋_GB2312"/>
          <w:b/>
          <w:sz w:val="30"/>
          <w:szCs w:val="30"/>
        </w:rPr>
      </w:pPr>
      <w:bookmarkStart w:id="364" w:name="_Toc151136902"/>
      <w:r>
        <w:rPr>
          <w:rFonts w:hint="eastAsia" w:ascii="仿宋_GB2312" w:eastAsia="仿宋_GB2312"/>
          <w:b/>
          <w:sz w:val="30"/>
          <w:szCs w:val="30"/>
        </w:rPr>
        <w:t>点击成交</w:t>
      </w:r>
      <w:bookmarkEnd w:id="364"/>
    </w:p>
    <w:p w14:paraId="67667DEB">
      <w:pPr>
        <w:numPr>
          <w:ilvl w:val="2"/>
          <w:numId w:val="4"/>
        </w:numPr>
        <w:spacing w:line="600" w:lineRule="exact"/>
        <w:ind w:left="0" w:firstLine="0"/>
        <w:outlineLvl w:val="2"/>
        <w:rPr>
          <w:rFonts w:ascii="仿宋_GB2312" w:eastAsia="仿宋_GB2312"/>
          <w:b/>
          <w:sz w:val="30"/>
          <w:szCs w:val="30"/>
        </w:rPr>
      </w:pPr>
      <w:bookmarkStart w:id="365" w:name="_Toc57908896"/>
      <w:r>
        <w:rPr>
          <w:rFonts w:hint="eastAsia" w:ascii="仿宋_GB2312" w:eastAsia="仿宋_GB2312"/>
          <w:b/>
          <w:sz w:val="30"/>
          <w:szCs w:val="30"/>
        </w:rPr>
        <w:t>定义</w:t>
      </w:r>
      <w:bookmarkEnd w:id="365"/>
    </w:p>
    <w:p w14:paraId="2397B0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成交是指报价方发出报价，相关报价经其他债券投资者点击后由固定收益平台确认成交的，或者依据本所相关规定通过交易系统自动匹配成交的交易方式（《债券交易规则》第八十三条关于“报价方可以选择在本所连续匹配阶段的整时点按照连续匹配的相关规定参与限价申报的匹配成交”的规定暂缓实施）。</w:t>
      </w:r>
    </w:p>
    <w:p w14:paraId="7C4CAF0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本所固定收益平台为点击成交申报提供电子化接口及客户端，债券交易参与人可通过电子化接口及客户端接入本所系统，并提交报价申报。</w:t>
      </w:r>
    </w:p>
    <w:p w14:paraId="2DE1FC0F">
      <w:pPr>
        <w:numPr>
          <w:ilvl w:val="2"/>
          <w:numId w:val="4"/>
        </w:numPr>
        <w:spacing w:line="600" w:lineRule="exact"/>
        <w:ind w:left="0" w:firstLine="0"/>
        <w:outlineLvl w:val="2"/>
        <w:rPr>
          <w:rFonts w:ascii="仿宋_GB2312" w:eastAsia="仿宋_GB2312"/>
          <w:b/>
          <w:sz w:val="30"/>
          <w:szCs w:val="30"/>
        </w:rPr>
      </w:pPr>
      <w:bookmarkStart w:id="366" w:name="_Toc57908897"/>
      <w:r>
        <w:rPr>
          <w:rFonts w:hint="eastAsia" w:ascii="仿宋_GB2312" w:eastAsia="仿宋_GB2312"/>
          <w:b/>
          <w:sz w:val="30"/>
          <w:szCs w:val="30"/>
        </w:rPr>
        <w:t>报价类型</w:t>
      </w:r>
      <w:bookmarkEnd w:id="366"/>
    </w:p>
    <w:p w14:paraId="7A0539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可分为单边报价和双边报价两种类型。单边报价是报价方向其他部分或所有债券交易参与人提交的列明了单个方向价格和数量等要素的报价；双边报价是报价方向其他部分或所有债券交易参与人提交的列明了买卖两个方向价格和数量等要素的报价。</w:t>
      </w:r>
    </w:p>
    <w:p w14:paraId="3B447E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报价方发布报价后，其他债券投资者可作为点击方对报价进行点击成交，若是双边报价，则可选择一个方向进行点击成交。</w:t>
      </w:r>
    </w:p>
    <w:p w14:paraId="6F4613C8">
      <w:pPr>
        <w:numPr>
          <w:ilvl w:val="2"/>
          <w:numId w:val="4"/>
        </w:numPr>
        <w:spacing w:line="600" w:lineRule="exact"/>
        <w:ind w:left="0" w:firstLine="0"/>
        <w:outlineLvl w:val="2"/>
        <w:rPr>
          <w:rFonts w:ascii="仿宋_GB2312" w:eastAsia="仿宋_GB2312"/>
          <w:b/>
          <w:sz w:val="30"/>
          <w:szCs w:val="30"/>
        </w:rPr>
      </w:pPr>
      <w:bookmarkStart w:id="367" w:name="_Toc57908898"/>
      <w:r>
        <w:rPr>
          <w:rFonts w:hint="eastAsia" w:ascii="仿宋_GB2312" w:eastAsia="仿宋_GB2312"/>
          <w:b/>
          <w:sz w:val="30"/>
          <w:szCs w:val="30"/>
        </w:rPr>
        <w:t>申报要求</w:t>
      </w:r>
      <w:bookmarkEnd w:id="367"/>
    </w:p>
    <w:p w14:paraId="65B2ABC6">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（1）报价范围</w:t>
      </w:r>
    </w:p>
    <w:p w14:paraId="5ABC12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采用点击成交方式的，报价方可以向全市场发出报价，也可以向报价方自行选定的部分债券投资者发出报价。</w:t>
      </w:r>
    </w:p>
    <w:p w14:paraId="57BC3C4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在报价录入界面中，报价的发布对象除了全市场外，可以自行选择,仅被选中的对象可以查看到该报价信息。报价方可在“发送范围”中选择“全市场”或“指定交易参与人”。</w:t>
      </w:r>
    </w:p>
    <w:p w14:paraId="137527D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其中，选择“指定交易参与人”的，可在显示的“交易参与人列表”中选择不超过</w:t>
      </w:r>
      <w:r>
        <w:rPr>
          <w:rFonts w:ascii="仿宋_GB2312" w:hAnsi="仿宋" w:eastAsia="仿宋_GB2312"/>
          <w:sz w:val="30"/>
          <w:szCs w:val="30"/>
        </w:rPr>
        <w:t>5</w:t>
      </w:r>
      <w:r>
        <w:rPr>
          <w:rFonts w:hint="eastAsia" w:ascii="仿宋_GB2312" w:hAnsi="仿宋" w:eastAsia="仿宋_GB2312"/>
          <w:sz w:val="30"/>
          <w:szCs w:val="30"/>
        </w:rPr>
        <w:t>个交易参与人进行报价发送。</w:t>
      </w:r>
    </w:p>
    <w:p w14:paraId="0523E588">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（2）报价要素</w:t>
      </w:r>
    </w:p>
    <w:p w14:paraId="719C0E9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报价方发出的报价要素应当包括交易品种、交易方向、价格、申报数量、发送范围、报价方证券账号、结算方式、结算周期、结算日期、是否匿名等内容。</w:t>
      </w:r>
    </w:p>
    <w:p w14:paraId="19A1D25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1）单边报价</w:t>
      </w:r>
    </w:p>
    <w:p w14:paraId="3C7BEEB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单边报价具体要素及要素说明如下：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C09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8FA7B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4446B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5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26CB8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5765970D">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单边报价申报</w:t>
            </w:r>
          </w:p>
        </w:tc>
      </w:tr>
      <w:tr w14:paraId="1F9A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CB05669">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4405641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交易品种名称或证券代码</w:t>
            </w:r>
          </w:p>
        </w:tc>
      </w:tr>
      <w:tr w14:paraId="25B8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380323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7E35C8A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44C0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6FE3B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09045666">
            <w:pPr>
              <w:pStyle w:val="12"/>
              <w:ind w:firstLine="0" w:firstLineChars="0"/>
              <w:rPr>
                <w:rFonts w:ascii="仿宋_GB2312" w:eastAsia="仿宋_GB2312"/>
                <w:kern w:val="0"/>
                <w:lang w:bidi="en-US"/>
              </w:rPr>
            </w:pPr>
            <w:r>
              <w:rPr>
                <w:rFonts w:hint="eastAsia" w:ascii="仿宋_GB2312" w:eastAsia="仿宋_GB2312"/>
                <w:kern w:val="0"/>
                <w:lang w:bidi="en-US"/>
              </w:rPr>
              <w:t>报价价格，单位：元（在价格输入框下相应位置会在输入价格后自动算出该价格的到期收益率，方便用户查看）</w:t>
            </w:r>
          </w:p>
        </w:tc>
      </w:tr>
      <w:tr w14:paraId="053C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3F449E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26367C75">
            <w:pPr>
              <w:pStyle w:val="12"/>
              <w:ind w:firstLine="0" w:firstLineChars="0"/>
              <w:rPr>
                <w:rFonts w:ascii="仿宋_GB2312" w:eastAsia="仿宋_GB2312"/>
                <w:kern w:val="0"/>
                <w:lang w:bidi="en-US"/>
              </w:rPr>
            </w:pPr>
            <w:r>
              <w:rPr>
                <w:rFonts w:hint="eastAsia" w:ascii="仿宋_GB2312" w:eastAsia="仿宋_GB2312"/>
                <w:kern w:val="0"/>
                <w:lang w:bidi="en-US"/>
              </w:rPr>
              <w:t>报价数量，单位：千元面额。</w:t>
            </w:r>
          </w:p>
        </w:tc>
      </w:tr>
      <w:tr w14:paraId="442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46AA2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66E3E032">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w:t>
            </w:r>
          </w:p>
        </w:tc>
      </w:tr>
      <w:tr w14:paraId="517A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9F457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35B5DA75">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勾选向全市场或向指定债券交易参与人发送</w:t>
            </w:r>
          </w:p>
        </w:tc>
      </w:tr>
      <w:tr w14:paraId="270C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4201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BBDC459">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3C39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5A3F2D7">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77D2EAF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w:t>
            </w:r>
            <w:r>
              <w:rPr>
                <w:rFonts w:hint="eastAsia" w:ascii="仿宋_GB2312" w:eastAsia="仿宋_GB2312"/>
                <w:kern w:val="0"/>
                <w:lang w:bidi="en-US"/>
              </w:rPr>
              <w:t>动</w:t>
            </w:r>
            <w:r>
              <w:rPr>
                <w:rFonts w:ascii="仿宋_GB2312" w:eastAsia="仿宋_GB2312"/>
                <w:kern w:val="0"/>
                <w:lang w:bidi="en-US"/>
              </w:rPr>
              <w:t>带出</w:t>
            </w:r>
          </w:p>
        </w:tc>
      </w:tr>
      <w:tr w14:paraId="17BB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0318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05D0B2BC">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2FC2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48784A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74CB033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5F8473C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1E5D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70D3C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024B6AC">
            <w:pPr>
              <w:pStyle w:val="12"/>
              <w:ind w:firstLine="0" w:firstLineChars="0"/>
              <w:rPr>
                <w:rFonts w:ascii="仿宋_GB2312" w:eastAsia="仿宋_GB2312"/>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10BB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1CDA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2BD914">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5BBB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35D2E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64E4AF3B">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2ED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99BB46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28EB1CF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2A78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F25157C">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5F87DD6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5D77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487759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43DD327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5108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D0CA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46B8697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53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BB50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375EB6BD">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608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E7E7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7F59851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251F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3A335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530E2A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868F1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2）双边报价</w:t>
      </w:r>
    </w:p>
    <w:p w14:paraId="5DC3EA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双边报价具体要素及要素说明如下：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4859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38C6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FD78D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8A8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3BB8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16F34A62">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双边报价申报</w:t>
            </w:r>
          </w:p>
        </w:tc>
      </w:tr>
      <w:tr w14:paraId="53E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AE109E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7B8021A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6A3C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F90AC6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买入申报价格</w:t>
            </w:r>
          </w:p>
        </w:tc>
        <w:tc>
          <w:tcPr>
            <w:tcW w:w="6713" w:type="dxa"/>
          </w:tcPr>
          <w:p w14:paraId="4C3E388E">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11E3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13D2F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买入申报数量</w:t>
            </w:r>
          </w:p>
        </w:tc>
        <w:tc>
          <w:tcPr>
            <w:tcW w:w="6713" w:type="dxa"/>
          </w:tcPr>
          <w:p w14:paraId="06996E0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7394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11E68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卖出申报价格</w:t>
            </w:r>
          </w:p>
        </w:tc>
        <w:tc>
          <w:tcPr>
            <w:tcW w:w="6713" w:type="dxa"/>
          </w:tcPr>
          <w:p w14:paraId="68F30E92">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5352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CE7D6F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卖出申报数量</w:t>
            </w:r>
          </w:p>
        </w:tc>
        <w:tc>
          <w:tcPr>
            <w:tcW w:w="6713" w:type="dxa"/>
          </w:tcPr>
          <w:p w14:paraId="6D8A04A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5643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3E45D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28E16613">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报价方的证券账户号码（可以选择本交易员有权使用的所有交易账户），固收平台机构类账户显示证券账户名称。</w:t>
            </w:r>
          </w:p>
        </w:tc>
      </w:tr>
      <w:tr w14:paraId="2841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9BEE7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2623B007">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勾选向全市场或向部分债券交易参与人发送</w:t>
            </w:r>
          </w:p>
        </w:tc>
      </w:tr>
      <w:tr w14:paraId="7FA4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14:paraId="035A77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4BD56E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 xml:space="preserve">自动带出逐笔全额结算”或“多边净额结算” </w:t>
            </w:r>
          </w:p>
        </w:tc>
      </w:tr>
      <w:tr w14:paraId="76C7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FA540B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47F1A49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4B29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143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1784E57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66F2A9A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5FF2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D4543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做市报价</w:t>
            </w:r>
          </w:p>
        </w:tc>
        <w:tc>
          <w:tcPr>
            <w:tcW w:w="6713" w:type="dxa"/>
          </w:tcPr>
          <w:p w14:paraId="7537C5F6">
            <w:pPr>
              <w:pStyle w:val="12"/>
              <w:ind w:firstLine="0" w:firstLineChars="0"/>
              <w:rPr>
                <w:rFonts w:ascii="仿宋_GB2312" w:eastAsia="仿宋_GB2312"/>
                <w:kern w:val="0"/>
                <w:lang w:bidi="en-US"/>
              </w:rPr>
            </w:pPr>
            <w:r>
              <w:rPr>
                <w:rFonts w:hint="eastAsia" w:ascii="仿宋_GB2312" w:eastAsia="仿宋_GB2312"/>
                <w:kern w:val="0"/>
                <w:lang w:bidi="en-US"/>
              </w:rPr>
              <w:t>只有做市商才能勾选做市报价，则此时交易员需将报价的所有买卖输入项都填上才能申报成功。</w:t>
            </w:r>
          </w:p>
        </w:tc>
      </w:tr>
      <w:tr w14:paraId="1356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4BD97C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162D028F">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04F6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8227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8E0B16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003A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D418E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538399">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05E6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077AA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21AA5230">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2E4E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9B53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593A169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190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DABAA13">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4C9A2841">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2509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14327E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3C14563A">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29E4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8778A6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19F2284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2829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D43ACF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552D90F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578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82769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5CEE028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4C17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98E39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810921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AE2D33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（3）全额成交</w:t>
      </w:r>
    </w:p>
    <w:p w14:paraId="5990397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报价方发出报价时，可设置申报数量全额成交要求。</w:t>
      </w:r>
    </w:p>
    <w:p w14:paraId="6D2922B7">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本指南所称全额成交，是指相关报价仅在全部申报数量经报价点击方（以下简称点击方）一次性点击接受的情形下方可确认成交，不接受部分成交。</w:t>
      </w:r>
    </w:p>
    <w:p w14:paraId="03C4A111">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债券投资者可在固定收益平台点击成交申报页面进行勾选</w:t>
      </w:r>
      <w:r>
        <w:rPr>
          <w:rFonts w:hint="eastAsia" w:ascii="仿宋_GB2312" w:hAnsi="仿宋" w:eastAsia="仿宋_GB2312"/>
          <w:sz w:val="30"/>
          <w:szCs w:val="30"/>
        </w:rPr>
        <w:t>，全额成交被勾选的，表示该申报不能部分成交。</w:t>
      </w:r>
    </w:p>
    <w:p w14:paraId="3484401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（4）分次显示与成交（冰山订单）</w:t>
      </w:r>
    </w:p>
    <w:p w14:paraId="33CF8A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报价方可设定申报数量分次显示与成交，每次仅显示部分申报数量（以下简称显示数量）。显示数量由报价方于发起报价时设置，并应符合《债券交易规则》和本指南关于点击成交方式申报数量的相关规定。</w:t>
      </w:r>
    </w:p>
    <w:p w14:paraId="11E4054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每次成交数量不得超过显示数量。前次显示数量全部成交后，继续显示剩余申报数量与显示数量的孰低值，直至申报数量完全显示并成交。</w:t>
      </w:r>
    </w:p>
    <w:p w14:paraId="25F60A0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（5</w:t>
      </w:r>
      <w:r>
        <w:rPr>
          <w:rFonts w:ascii="仿宋_GB2312" w:hAnsi="仿宋" w:eastAsia="仿宋_GB2312"/>
          <w:sz w:val="30"/>
          <w:szCs w:val="30"/>
        </w:rPr>
        <w:t>）</w:t>
      </w:r>
      <w:r>
        <w:rPr>
          <w:rFonts w:hint="eastAsia" w:ascii="仿宋_GB2312" w:hAnsi="仿宋" w:eastAsia="仿宋_GB2312"/>
          <w:sz w:val="30"/>
          <w:szCs w:val="30"/>
        </w:rPr>
        <w:t>修改价格和数量</w:t>
      </w:r>
    </w:p>
    <w:p w14:paraId="587FE896">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报价方发出报价后，可修改未成交部分的价格、数量等要素。</w:t>
      </w:r>
    </w:p>
    <w:p w14:paraId="6944BAC0">
      <w:pPr>
        <w:numPr>
          <w:ilvl w:val="2"/>
          <w:numId w:val="4"/>
        </w:numPr>
        <w:spacing w:line="600" w:lineRule="exact"/>
        <w:ind w:left="0" w:firstLine="0"/>
        <w:outlineLvl w:val="2"/>
        <w:rPr>
          <w:rFonts w:ascii="仿宋_GB2312" w:eastAsia="仿宋_GB2312"/>
          <w:b/>
          <w:sz w:val="30"/>
          <w:szCs w:val="30"/>
        </w:rPr>
      </w:pPr>
      <w:bookmarkStart w:id="368" w:name="_Toc57908899"/>
      <w:r>
        <w:rPr>
          <w:rFonts w:hint="eastAsia" w:ascii="仿宋_GB2312" w:eastAsia="仿宋_GB2312"/>
          <w:b/>
          <w:sz w:val="30"/>
          <w:szCs w:val="30"/>
        </w:rPr>
        <w:t>成交</w:t>
      </w:r>
      <w:bookmarkEnd w:id="368"/>
    </w:p>
    <w:p w14:paraId="6FFC8C86">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（1）报价点击</w:t>
      </w:r>
    </w:p>
    <w:p w14:paraId="18B5BF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点击方在点击相关报价时，应输入拟接受的申报数量（以下简称点击数量）。点击数量的设置应符合本节相关条款的规定，</w:t>
      </w:r>
      <w:r>
        <w:rPr>
          <w:rFonts w:hint="eastAsia" w:ascii="仿宋_GB2312" w:eastAsia="仿宋_GB2312"/>
          <w:color w:val="000000"/>
          <w:sz w:val="30"/>
          <w:szCs w:val="30"/>
        </w:rPr>
        <w:t>点击数量不得超过报价数量或冰</w:t>
      </w:r>
      <w:r>
        <w:rPr>
          <w:rFonts w:hint="eastAsia" w:ascii="仿宋_GB2312" w:hAnsi="仿宋" w:eastAsia="仿宋_GB2312"/>
          <w:sz w:val="30"/>
          <w:szCs w:val="30"/>
        </w:rPr>
        <w:t>山订单报价方设置的显示数量。</w:t>
      </w:r>
    </w:p>
    <w:p w14:paraId="49CA70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（2）成交规则</w:t>
      </w:r>
    </w:p>
    <w:p w14:paraId="0506E3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相关交易应按点击数量以及报价方所报价格、结算方式、结算周期等其他报价要素成交。</w:t>
      </w:r>
    </w:p>
    <w:p w14:paraId="290484D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成交数据发送</w:t>
      </w:r>
    </w:p>
    <w:p w14:paraId="6A422E8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67970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周期，价格类型，结算日期等。</w:t>
      </w:r>
    </w:p>
    <w:p w14:paraId="6D72EC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6854"/>
      </w:tblGrid>
      <w:tr w14:paraId="471A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C919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854" w:type="dxa"/>
          </w:tcPr>
          <w:p w14:paraId="2544D5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DDE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14392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854" w:type="dxa"/>
          </w:tcPr>
          <w:p w14:paraId="3A266003">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426E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44A9F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854" w:type="dxa"/>
          </w:tcPr>
          <w:p w14:paraId="673BCB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43A0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682E8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854" w:type="dxa"/>
          </w:tcPr>
          <w:p w14:paraId="4B4481A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1C72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1887DC6">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854" w:type="dxa"/>
          </w:tcPr>
          <w:p w14:paraId="736E987F">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5784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E2FD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854" w:type="dxa"/>
          </w:tcPr>
          <w:p w14:paraId="4B2DF304">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336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7F10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854" w:type="dxa"/>
          </w:tcPr>
          <w:p w14:paraId="2985B552">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79AB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146097E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854" w:type="dxa"/>
          </w:tcPr>
          <w:p w14:paraId="733D3AC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1AFE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DFE18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854" w:type="dxa"/>
          </w:tcPr>
          <w:p w14:paraId="7942112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6BDE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5B1B72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854" w:type="dxa"/>
          </w:tcPr>
          <w:p w14:paraId="12C6CE7B">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4635068">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352A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DF3C8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854" w:type="dxa"/>
          </w:tcPr>
          <w:p w14:paraId="29E213B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058D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6D4831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854" w:type="dxa"/>
          </w:tcPr>
          <w:p w14:paraId="00ABAF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1458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AE2DE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854" w:type="dxa"/>
          </w:tcPr>
          <w:p w14:paraId="3D7FE6D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7467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6C7C2C6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854" w:type="dxa"/>
          </w:tcPr>
          <w:p w14:paraId="7ED723B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209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681D58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854" w:type="dxa"/>
          </w:tcPr>
          <w:p w14:paraId="21D43BE4">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013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30A1F0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854" w:type="dxa"/>
          </w:tcPr>
          <w:p w14:paraId="68F9D8D0">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4F3C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3EA8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854" w:type="dxa"/>
          </w:tcPr>
          <w:p w14:paraId="7D84017A">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3F60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B9B03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854" w:type="dxa"/>
          </w:tcPr>
          <w:p w14:paraId="30FBA04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88F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23FE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854" w:type="dxa"/>
          </w:tcPr>
          <w:p w14:paraId="7CF4BBF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380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66218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854" w:type="dxa"/>
          </w:tcPr>
          <w:p w14:paraId="4C23A89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3841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4BBB03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854" w:type="dxa"/>
          </w:tcPr>
          <w:p w14:paraId="26585CDA">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6C1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2A0878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854" w:type="dxa"/>
          </w:tcPr>
          <w:p w14:paraId="5B49CDDB">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4A3E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03DA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854" w:type="dxa"/>
          </w:tcPr>
          <w:p w14:paraId="62ADB0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5113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8F59C3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854" w:type="dxa"/>
          </w:tcPr>
          <w:p w14:paraId="7BFAD4A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20C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F8CCC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854" w:type="dxa"/>
          </w:tcPr>
          <w:p w14:paraId="2A66A60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3EEC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BAC2BE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854" w:type="dxa"/>
          </w:tcPr>
          <w:p w14:paraId="0A8292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2B22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1426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854" w:type="dxa"/>
          </w:tcPr>
          <w:p w14:paraId="07F71F49">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5710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71DF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854" w:type="dxa"/>
          </w:tcPr>
          <w:p w14:paraId="29D75CB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3F070C7B">
      <w:pPr>
        <w:numPr>
          <w:ilvl w:val="1"/>
          <w:numId w:val="4"/>
        </w:numPr>
        <w:spacing w:line="600" w:lineRule="exact"/>
        <w:ind w:left="0" w:firstLine="0"/>
        <w:outlineLvl w:val="1"/>
        <w:rPr>
          <w:rFonts w:ascii="仿宋_GB2312" w:eastAsia="仿宋_GB2312"/>
          <w:b/>
          <w:sz w:val="30"/>
          <w:szCs w:val="30"/>
        </w:rPr>
      </w:pPr>
      <w:bookmarkStart w:id="369" w:name="_Toc151136903"/>
      <w:r>
        <w:rPr>
          <w:rFonts w:hint="eastAsia" w:ascii="仿宋_GB2312" w:eastAsia="仿宋_GB2312"/>
          <w:b/>
          <w:sz w:val="30"/>
          <w:szCs w:val="30"/>
        </w:rPr>
        <w:t>询价成交</w:t>
      </w:r>
      <w:bookmarkEnd w:id="369"/>
    </w:p>
    <w:p w14:paraId="2D6B8D8D">
      <w:pPr>
        <w:numPr>
          <w:ilvl w:val="2"/>
          <w:numId w:val="4"/>
        </w:numPr>
        <w:spacing w:line="600" w:lineRule="exact"/>
        <w:ind w:left="0" w:firstLine="0"/>
        <w:outlineLvl w:val="2"/>
        <w:rPr>
          <w:rFonts w:ascii="仿宋_GB2312" w:eastAsia="仿宋_GB2312"/>
          <w:b/>
          <w:sz w:val="30"/>
          <w:szCs w:val="30"/>
        </w:rPr>
      </w:pPr>
      <w:bookmarkStart w:id="370" w:name="_Toc57908901"/>
      <w:r>
        <w:rPr>
          <w:rFonts w:hint="eastAsia" w:ascii="仿宋_GB2312" w:eastAsia="仿宋_GB2312"/>
          <w:b/>
          <w:sz w:val="30"/>
          <w:szCs w:val="30"/>
        </w:rPr>
        <w:t>定义</w:t>
      </w:r>
      <w:bookmarkEnd w:id="370"/>
    </w:p>
    <w:p w14:paraId="093B69E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询价成交是指询价方向做市商或者其他债券交易参与人发送询价请求，并选择一个或多个询价回复确认成交的交易方式。</w:t>
      </w:r>
    </w:p>
    <w:p w14:paraId="6EFA4B5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本所固定收益平台为询价请求与询价回复申报提供电子化接口及客户端，债券交易参与人可通过电子化接口及客户端接入本所系统，并提交询价请求与询价回复申报。</w:t>
      </w:r>
    </w:p>
    <w:p w14:paraId="0DCF1967">
      <w:pPr>
        <w:numPr>
          <w:ilvl w:val="2"/>
          <w:numId w:val="4"/>
        </w:numPr>
        <w:spacing w:line="600" w:lineRule="exact"/>
        <w:ind w:left="0" w:firstLine="0"/>
        <w:outlineLvl w:val="2"/>
        <w:rPr>
          <w:rFonts w:ascii="仿宋_GB2312" w:eastAsia="仿宋_GB2312"/>
          <w:b/>
          <w:sz w:val="30"/>
          <w:szCs w:val="30"/>
        </w:rPr>
      </w:pPr>
      <w:bookmarkStart w:id="371" w:name="_Toc57908902"/>
      <w:r>
        <w:rPr>
          <w:rFonts w:hint="eastAsia" w:ascii="仿宋_GB2312" w:eastAsia="仿宋_GB2312"/>
          <w:b/>
          <w:sz w:val="30"/>
          <w:szCs w:val="30"/>
        </w:rPr>
        <w:t>申报要求</w:t>
      </w:r>
      <w:bookmarkEnd w:id="371"/>
    </w:p>
    <w:p w14:paraId="7D3E5D31">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（1）询价请求</w:t>
      </w:r>
    </w:p>
    <w:p w14:paraId="278D74DB">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询价方可以向其他部分债券投资者发送询价请求，被询价方可为做市商、其他债券交易参与人。</w:t>
      </w:r>
      <w:r>
        <w:rPr>
          <w:rFonts w:hint="eastAsia" w:ascii="仿宋_GB2312" w:eastAsia="仿宋_GB2312"/>
          <w:sz w:val="30"/>
          <w:szCs w:val="30"/>
        </w:rPr>
        <w:t>支持面向多主体询价。</w:t>
      </w:r>
    </w:p>
    <w:p w14:paraId="05ADC6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询价请求录入界面中，可以向自行选择的1-</w:t>
      </w:r>
      <w:r>
        <w:rPr>
          <w:rFonts w:ascii="仿宋_GB2312" w:hAnsi="仿宋" w:eastAsia="仿宋_GB2312"/>
          <w:sz w:val="30"/>
          <w:szCs w:val="30"/>
        </w:rPr>
        <w:t>5</w:t>
      </w:r>
      <w:r>
        <w:rPr>
          <w:rFonts w:hint="eastAsia" w:ascii="仿宋_GB2312" w:hAnsi="仿宋" w:eastAsia="仿宋_GB2312"/>
          <w:sz w:val="30"/>
          <w:szCs w:val="30"/>
        </w:rPr>
        <w:t>名债券交易参与人或者“</w:t>
      </w:r>
      <w:r>
        <w:rPr>
          <w:rFonts w:ascii="仿宋_GB2312" w:hAnsi="仿宋" w:eastAsia="仿宋_GB2312"/>
          <w:sz w:val="30"/>
          <w:szCs w:val="30"/>
        </w:rPr>
        <w:t>潜在投资者</w:t>
      </w:r>
      <w:r>
        <w:rPr>
          <w:rFonts w:hint="eastAsia" w:ascii="仿宋_GB2312" w:hAnsi="仿宋" w:eastAsia="仿宋_GB2312"/>
          <w:sz w:val="30"/>
          <w:szCs w:val="30"/>
        </w:rPr>
        <w:t>”发送询价请求。固定收益平台的询价请求接收方“询价请求展示页面”中对于发送范围不同的询价请求展示不做区分。</w:t>
      </w:r>
    </w:p>
    <w:p w14:paraId="3593E5B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询价请求要素应当包括交易品种、交易方向、数量、发送范围、询价方证券账号、结算方式、结算周期，是否匿名等内容。</w:t>
      </w:r>
    </w:p>
    <w:p w14:paraId="515BDB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询价请求具体要素及要素说明如下：</w:t>
      </w:r>
    </w:p>
    <w:tbl>
      <w:tblPr>
        <w:tblStyle w:val="4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946"/>
      </w:tblGrid>
      <w:tr w14:paraId="2802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E0BB4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6" w:type="dxa"/>
          </w:tcPr>
          <w:p w14:paraId="57792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D49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DB06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6" w:type="dxa"/>
          </w:tcPr>
          <w:p w14:paraId="23342789">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询价请求</w:t>
            </w:r>
          </w:p>
        </w:tc>
      </w:tr>
      <w:tr w14:paraId="4745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3E5870">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46" w:type="dxa"/>
          </w:tcPr>
          <w:p w14:paraId="3E8C2A7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406A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540627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6" w:type="dxa"/>
          </w:tcPr>
          <w:p w14:paraId="2D01E7E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357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0FF5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946" w:type="dxa"/>
          </w:tcPr>
          <w:p w14:paraId="13F2E715">
            <w:pPr>
              <w:pStyle w:val="12"/>
              <w:ind w:firstLine="0" w:firstLineChars="0"/>
              <w:rPr>
                <w:rFonts w:ascii="仿宋_GB2312" w:eastAsia="仿宋_GB2312"/>
                <w:kern w:val="0"/>
                <w:lang w:bidi="en-US"/>
              </w:rPr>
            </w:pPr>
            <w:r>
              <w:rPr>
                <w:rFonts w:hint="eastAsia" w:ascii="仿宋_GB2312" w:eastAsia="仿宋_GB2312"/>
                <w:kern w:val="0"/>
                <w:lang w:bidi="en-US"/>
              </w:rPr>
              <w:t>询价请求的申报数量，单位：千元面额。</w:t>
            </w:r>
          </w:p>
        </w:tc>
      </w:tr>
      <w:tr w14:paraId="584C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950032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946" w:type="dxa"/>
          </w:tcPr>
          <w:p w14:paraId="05CABFF9">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询价方的证券账户号码，固收平台机构类账户显示证券账户名称。可以选择本交易员有权使用的所有交易账户。</w:t>
            </w:r>
          </w:p>
        </w:tc>
      </w:tr>
      <w:tr w14:paraId="4E3E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E584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发送范围/询价对象</w:t>
            </w:r>
          </w:p>
        </w:tc>
        <w:tc>
          <w:tcPr>
            <w:tcW w:w="6946" w:type="dxa"/>
          </w:tcPr>
          <w:p w14:paraId="31C3CF09">
            <w:pPr>
              <w:pStyle w:val="12"/>
              <w:ind w:firstLine="0" w:firstLineChars="0"/>
              <w:rPr>
                <w:rFonts w:ascii="仿宋_GB2312" w:eastAsia="仿宋_GB2312"/>
                <w:kern w:val="0"/>
                <w:lang w:bidi="en-US"/>
              </w:rPr>
            </w:pPr>
            <w:r>
              <w:rPr>
                <w:rFonts w:hint="eastAsia" w:ascii="仿宋_GB2312" w:eastAsia="仿宋_GB2312"/>
                <w:kern w:val="0"/>
                <w:lang w:bidi="en-US"/>
              </w:rPr>
              <w:t>勾选询价请求发送对象。</w:t>
            </w:r>
          </w:p>
          <w:p w14:paraId="6182F29D">
            <w:pPr>
              <w:pStyle w:val="12"/>
              <w:ind w:firstLine="0" w:firstLineChars="0"/>
              <w:rPr>
                <w:rFonts w:ascii="仿宋_GB2312" w:eastAsia="仿宋_GB2312"/>
                <w:kern w:val="0"/>
                <w:lang w:bidi="en-US"/>
              </w:rPr>
            </w:pPr>
            <w:r>
              <w:rPr>
                <w:rFonts w:hint="eastAsia" w:ascii="仿宋_GB2312" w:eastAsia="仿宋_GB2312"/>
                <w:kern w:val="0"/>
                <w:lang w:bidi="en-US"/>
              </w:rPr>
              <w:t>发送对象的选择和配置同点击成交。</w:t>
            </w:r>
          </w:p>
        </w:tc>
      </w:tr>
      <w:tr w14:paraId="2022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2E9D118">
            <w:pPr>
              <w:pStyle w:val="12"/>
              <w:ind w:firstLine="0" w:firstLineChars="0"/>
              <w:rPr>
                <w:rFonts w:ascii="仿宋_GB2312" w:eastAsia="仿宋_GB2312"/>
                <w:b/>
                <w:kern w:val="0"/>
                <w:lang w:eastAsia="en-US" w:bidi="en-US"/>
              </w:rPr>
            </w:pPr>
            <w:r>
              <w:rPr>
                <w:rFonts w:hint="eastAsia" w:ascii="仿宋_GB2312" w:eastAsia="仿宋_GB2312"/>
                <w:b/>
                <w:kern w:val="0"/>
                <w:lang w:bidi="en-US"/>
              </w:rPr>
              <w:t>是否匿名</w:t>
            </w:r>
          </w:p>
        </w:tc>
        <w:tc>
          <w:tcPr>
            <w:tcW w:w="6946" w:type="dxa"/>
          </w:tcPr>
          <w:p w14:paraId="7455D3E8">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77E5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625B9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6" w:type="dxa"/>
          </w:tcPr>
          <w:p w14:paraId="5F090BFC">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自动带出“逐笔全额结算”或“多边净额结算”。</w:t>
            </w:r>
          </w:p>
        </w:tc>
      </w:tr>
      <w:tr w14:paraId="0294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E5C7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46" w:type="dxa"/>
          </w:tcPr>
          <w:p w14:paraId="6E51B8C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E14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3474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6" w:type="dxa"/>
          </w:tcPr>
          <w:p w14:paraId="1F8E1443">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0389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E37B0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6" w:type="dxa"/>
          </w:tcPr>
          <w:p w14:paraId="0C46DFA6">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F07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3443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6" w:type="dxa"/>
          </w:tcPr>
          <w:p w14:paraId="787C7D7F">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5B0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BE26D2">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6" w:type="dxa"/>
          </w:tcPr>
          <w:p w14:paraId="0061E86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1A85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711D8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6" w:type="dxa"/>
          </w:tcPr>
          <w:p w14:paraId="79EE3D6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0A33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E7706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6" w:type="dxa"/>
          </w:tcPr>
          <w:p w14:paraId="20E08C0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E3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4C59C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6" w:type="dxa"/>
          </w:tcPr>
          <w:p w14:paraId="0A664DD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1BD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95310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6" w:type="dxa"/>
          </w:tcPr>
          <w:p w14:paraId="39B798A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1614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3B377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6" w:type="dxa"/>
          </w:tcPr>
          <w:p w14:paraId="37019F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7AAE50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2）询价</w:t>
      </w:r>
      <w:r>
        <w:rPr>
          <w:rFonts w:hint="eastAsia" w:ascii="仿宋_GB2312" w:hAnsi="仿宋" w:eastAsia="仿宋_GB2312"/>
          <w:sz w:val="30"/>
          <w:szCs w:val="30"/>
        </w:rPr>
        <w:t>回复</w:t>
      </w:r>
    </w:p>
    <w:p w14:paraId="05A4A42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被询价方收到询价请求后，可依据相关规则与本指南相关规定对询价请求进行回复。</w:t>
      </w:r>
      <w:r>
        <w:rPr>
          <w:rFonts w:hint="eastAsia" w:ascii="仿宋_GB2312" w:eastAsia="仿宋_GB2312"/>
          <w:sz w:val="30"/>
          <w:szCs w:val="30"/>
        </w:rPr>
        <w:t>询价回复方针对询价请求进行询价回复时，可以修改数量、结算方式、结算周期等。</w:t>
      </w:r>
    </w:p>
    <w:p w14:paraId="6D6EA21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询价回复的要素应当包括价格、数量、被询价方证券账户等内容，</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6945"/>
      </w:tblGrid>
      <w:tr w14:paraId="6C7F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D3D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5" w:type="dxa"/>
          </w:tcPr>
          <w:p w14:paraId="512DDC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7BFD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BA18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5" w:type="dxa"/>
          </w:tcPr>
          <w:p w14:paraId="2424422F">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询价回复</w:t>
            </w:r>
          </w:p>
        </w:tc>
      </w:tr>
      <w:tr w14:paraId="24CF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3F13C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交易品种</w:t>
            </w:r>
          </w:p>
        </w:tc>
        <w:tc>
          <w:tcPr>
            <w:tcW w:w="6945" w:type="dxa"/>
          </w:tcPr>
          <w:p w14:paraId="742FC96F">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1EA7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4FF7BD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5" w:type="dxa"/>
          </w:tcPr>
          <w:p w14:paraId="3DF63509">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04C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FC084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w:t>
            </w:r>
          </w:p>
        </w:tc>
        <w:tc>
          <w:tcPr>
            <w:tcW w:w="6945" w:type="dxa"/>
          </w:tcPr>
          <w:p w14:paraId="293BB5FE">
            <w:pPr>
              <w:pStyle w:val="12"/>
              <w:ind w:firstLine="0" w:firstLineChars="0"/>
              <w:rPr>
                <w:rFonts w:ascii="仿宋_GB2312" w:eastAsia="仿宋_GB2312"/>
                <w:kern w:val="0"/>
                <w:lang w:bidi="en-US"/>
              </w:rPr>
            </w:pPr>
            <w:r>
              <w:rPr>
                <w:rFonts w:hint="eastAsia" w:ascii="仿宋_GB2312" w:eastAsia="仿宋_GB2312"/>
                <w:kern w:val="0"/>
                <w:lang w:bidi="en-US"/>
              </w:rPr>
              <w:t>回复的价格，单位：元</w:t>
            </w:r>
          </w:p>
        </w:tc>
      </w:tr>
      <w:tr w14:paraId="1CF8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9DF485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945" w:type="dxa"/>
          </w:tcPr>
          <w:p w14:paraId="628D9033">
            <w:pPr>
              <w:pStyle w:val="12"/>
              <w:ind w:firstLine="0" w:firstLineChars="0"/>
              <w:rPr>
                <w:rFonts w:ascii="仿宋_GB2312" w:eastAsia="仿宋_GB2312"/>
                <w:kern w:val="0"/>
                <w:lang w:bidi="en-US"/>
              </w:rPr>
            </w:pPr>
            <w:r>
              <w:rPr>
                <w:rFonts w:hint="eastAsia" w:ascii="仿宋_GB2312" w:eastAsia="仿宋_GB2312"/>
                <w:kern w:val="0"/>
                <w:lang w:bidi="en-US"/>
              </w:rPr>
              <w:t>回复的数量，单位：千元面额。询价回复数量应小于或等于询价请求设定的数量。</w:t>
            </w:r>
          </w:p>
        </w:tc>
      </w:tr>
      <w:tr w14:paraId="0BD2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2978F8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证券账户/账户名称</w:t>
            </w:r>
          </w:p>
        </w:tc>
        <w:tc>
          <w:tcPr>
            <w:tcW w:w="6945" w:type="dxa"/>
          </w:tcPr>
          <w:p w14:paraId="3DD1A94B">
            <w:pPr>
              <w:pStyle w:val="12"/>
              <w:ind w:firstLine="0" w:firstLineChars="0"/>
              <w:rPr>
                <w:rFonts w:ascii="仿宋_GB2312" w:eastAsia="仿宋_GB2312"/>
                <w:kern w:val="0"/>
                <w:lang w:bidi="en-US"/>
              </w:rPr>
            </w:pPr>
            <w:r>
              <w:rPr>
                <w:rFonts w:hint="eastAsia" w:ascii="仿宋_GB2312" w:eastAsia="仿宋_GB2312"/>
                <w:kern w:val="0"/>
                <w:lang w:bidi="en-US"/>
              </w:rPr>
              <w:t>被询价方的证券账户号码，固收平台机构类账户显示证券账户名称。</w:t>
            </w:r>
          </w:p>
        </w:tc>
      </w:tr>
      <w:tr w14:paraId="5ABD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0EF1C09A">
            <w:pPr>
              <w:pStyle w:val="12"/>
              <w:ind w:firstLine="0" w:firstLineChars="0"/>
              <w:rPr>
                <w:rFonts w:ascii="仿宋_GB2312" w:eastAsia="仿宋_GB2312"/>
                <w:b/>
                <w:kern w:val="0"/>
                <w:lang w:bidi="en-US"/>
              </w:rPr>
            </w:pPr>
            <w:r>
              <w:rPr>
                <w:rFonts w:hint="eastAsia" w:ascii="仿宋_GB2312" w:eastAsia="仿宋_GB2312"/>
                <w:b/>
                <w:kern w:val="0"/>
                <w:lang w:bidi="en-US"/>
              </w:rPr>
              <w:t>对手方证券账户/账户名称</w:t>
            </w:r>
          </w:p>
        </w:tc>
        <w:tc>
          <w:tcPr>
            <w:tcW w:w="6945" w:type="dxa"/>
          </w:tcPr>
          <w:p w14:paraId="3A7B15A8">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w:t>
            </w:r>
          </w:p>
        </w:tc>
      </w:tr>
      <w:tr w14:paraId="3340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0BA7E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5" w:type="dxa"/>
          </w:tcPr>
          <w:p w14:paraId="1453A675">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自动带出勾选“逐笔全额结算”或“多边净额结算”。</w:t>
            </w:r>
          </w:p>
        </w:tc>
      </w:tr>
      <w:tr w14:paraId="6BFA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12B6CF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结算速度</w:t>
            </w:r>
          </w:p>
        </w:tc>
        <w:tc>
          <w:tcPr>
            <w:tcW w:w="6945" w:type="dxa"/>
          </w:tcPr>
          <w:p w14:paraId="5CA94CAF">
            <w:pPr>
              <w:pStyle w:val="12"/>
              <w:ind w:firstLine="0" w:firstLineChars="0"/>
              <w:rPr>
                <w:rFonts w:ascii="仿宋_GB2312" w:eastAsia="仿宋_GB2312"/>
                <w:kern w:val="0"/>
                <w:lang w:bidi="en-US"/>
              </w:rPr>
            </w:pPr>
            <w:r>
              <w:rPr>
                <w:rFonts w:hint="eastAsia" w:ascii="仿宋_GB2312" w:eastAsia="仿宋_GB2312"/>
                <w:kern w:val="0"/>
                <w:lang w:bidi="en-US"/>
              </w:rPr>
              <w:t>根据结算方式自动带出</w:t>
            </w:r>
          </w:p>
        </w:tc>
      </w:tr>
      <w:tr w14:paraId="0DEC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4DDF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5" w:type="dxa"/>
          </w:tcPr>
          <w:p w14:paraId="598FEF8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交易的买卖方向，即买入/卖出，自动显示</w:t>
            </w:r>
          </w:p>
        </w:tc>
      </w:tr>
      <w:tr w14:paraId="4282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22EF889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5" w:type="dxa"/>
          </w:tcPr>
          <w:p w14:paraId="5659D623">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3B9E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701C12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5" w:type="dxa"/>
          </w:tcPr>
          <w:p w14:paraId="2384C04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14B5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D2E6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5" w:type="dxa"/>
          </w:tcPr>
          <w:p w14:paraId="23129B81">
            <w:pPr>
              <w:pStyle w:val="12"/>
              <w:ind w:firstLine="0" w:firstLineChars="0"/>
              <w:rPr>
                <w:rFonts w:ascii="仿宋_GB2312" w:hAnsi="宋体" w:eastAsia="仿宋_GB2312"/>
                <w:b/>
                <w:bCs/>
                <w:kern w:val="0"/>
                <w:lang w:bidi="en-US"/>
              </w:rPr>
            </w:pPr>
            <w:r>
              <w:rPr>
                <w:rFonts w:hint="eastAsia" w:ascii="仿宋_GB2312" w:eastAsia="仿宋_GB2312"/>
                <w:kern w:val="0"/>
                <w:lang w:bidi="en-US"/>
              </w:rPr>
              <w:t>根据当前交易日期、结算速度，自动显示</w:t>
            </w:r>
          </w:p>
        </w:tc>
      </w:tr>
      <w:tr w14:paraId="3F46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8290D7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5" w:type="dxa"/>
          </w:tcPr>
          <w:p w14:paraId="1D10653F">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的交易单元号码</w:t>
            </w:r>
            <w:r>
              <w:rPr>
                <w:rFonts w:hint="eastAsia" w:ascii="仿宋_GB2312" w:hAnsi="宋体" w:eastAsia="仿宋_GB2312"/>
                <w:kern w:val="0"/>
                <w:lang w:bidi="en-US"/>
              </w:rPr>
              <w:t>，同询价请求订单</w:t>
            </w:r>
            <w:r>
              <w:rPr>
                <w:rFonts w:hint="eastAsia" w:ascii="仿宋_GB2312" w:eastAsia="仿宋_GB2312"/>
                <w:kern w:val="0"/>
                <w:lang w:bidi="en-US"/>
              </w:rPr>
              <w:t>，自动显示</w:t>
            </w:r>
          </w:p>
        </w:tc>
      </w:tr>
      <w:tr w14:paraId="7C65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11F370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5" w:type="dxa"/>
          </w:tcPr>
          <w:p w14:paraId="50C4EF13">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交易参与人简称，自动显示，无需输入</w:t>
            </w:r>
          </w:p>
        </w:tc>
      </w:tr>
      <w:tr w14:paraId="45B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6D3B0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5" w:type="dxa"/>
          </w:tcPr>
          <w:p w14:paraId="5DEDF9DE">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交易员代码，自动显示，无需输入</w:t>
            </w:r>
          </w:p>
        </w:tc>
      </w:tr>
      <w:tr w14:paraId="3890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44117D6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5" w:type="dxa"/>
          </w:tcPr>
          <w:p w14:paraId="046E0FE4">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交易员名称，自动显示，无需输入</w:t>
            </w:r>
          </w:p>
        </w:tc>
      </w:tr>
      <w:tr w14:paraId="6D15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9B7FB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5" w:type="dxa"/>
          </w:tcPr>
          <w:p w14:paraId="480456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B106D05">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当日提交的询价回复当日有效，未成交询价回复由被询价方撤销的情形除外。</w:t>
      </w:r>
    </w:p>
    <w:p w14:paraId="36FF5F0D">
      <w:pPr>
        <w:numPr>
          <w:ilvl w:val="2"/>
          <w:numId w:val="4"/>
        </w:numPr>
        <w:spacing w:line="600" w:lineRule="exact"/>
        <w:ind w:left="0" w:firstLine="0"/>
        <w:outlineLvl w:val="2"/>
        <w:rPr>
          <w:rFonts w:ascii="仿宋_GB2312" w:eastAsia="仿宋_GB2312"/>
          <w:b/>
          <w:sz w:val="30"/>
          <w:szCs w:val="30"/>
        </w:rPr>
      </w:pPr>
      <w:bookmarkStart w:id="372" w:name="_Toc57908903"/>
      <w:r>
        <w:rPr>
          <w:rFonts w:hint="eastAsia" w:ascii="仿宋_GB2312" w:eastAsia="仿宋_GB2312"/>
          <w:b/>
          <w:sz w:val="30"/>
          <w:szCs w:val="30"/>
        </w:rPr>
        <w:t>成交</w:t>
      </w:r>
      <w:bookmarkEnd w:id="372"/>
    </w:p>
    <w:p w14:paraId="69744F78">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（1）成交规则</w:t>
      </w:r>
    </w:p>
    <w:p w14:paraId="2CF5616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询价方收到询价回复后，依据本所规定的债券交易成交原则选择询价回复，对询价回复要素无异议的，点击确认后，相关交易按询价方确认的数量、价格、结算方式与结算周期成交。</w:t>
      </w:r>
    </w:p>
    <w:p w14:paraId="395FE288">
      <w:pPr>
        <w:spacing w:line="600" w:lineRule="exact"/>
        <w:ind w:firstLine="600" w:firstLineChars="200"/>
        <w:outlineLvl w:val="3"/>
        <w:rPr>
          <w:rFonts w:ascii="仿宋_GB2312" w:eastAsia="仿宋_GB2312"/>
          <w:sz w:val="30"/>
          <w:szCs w:val="30"/>
        </w:rPr>
      </w:pPr>
      <w:r>
        <w:rPr>
          <w:rFonts w:hint="eastAsia" w:ascii="仿宋_GB2312" w:hAnsi="仿宋" w:eastAsia="仿宋_GB2312"/>
          <w:sz w:val="30"/>
          <w:szCs w:val="30"/>
        </w:rPr>
        <w:t>询价方对多笔询价回复点击确认的，经询价方确认的询价回复均由系统确认成交。</w:t>
      </w:r>
      <w:r>
        <w:rPr>
          <w:rFonts w:hint="eastAsia" w:ascii="仿宋_GB2312" w:eastAsia="仿宋_GB2312"/>
          <w:sz w:val="30"/>
          <w:szCs w:val="30"/>
        </w:rPr>
        <w:t>如果多个询价回复方回复后，询价方对多个报价均进行确认，则累计数量可能超过原询价申报数量，这种确认均认定有效。</w:t>
      </w:r>
    </w:p>
    <w:p w14:paraId="47C964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（2）询价请求与询价回复的撤销</w:t>
      </w:r>
    </w:p>
    <w:p w14:paraId="4A9D84B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询价方可以撤销未成交的询价请求，被询价方可以撤销未成交的询价回复。询价请求被撤销后，针对该询价的回复也随之自动撤销。被询价方撤销其询价回复的，不影响询价请求的效力。</w:t>
      </w:r>
    </w:p>
    <w:p w14:paraId="3F0A1F1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询价请求可部分成交，未成交部分可由询价方撤销，询价方未提交撤销申报的，未成交部分当日继续有效。询价请求部分成交的，询价方未选择的询价回复当日继续有效。</w:t>
      </w:r>
    </w:p>
    <w:p w14:paraId="28060D04">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（3）成交数据发送</w:t>
      </w:r>
    </w:p>
    <w:p w14:paraId="5668937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38BE74A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速度，价格类型，结算日期等。</w:t>
      </w:r>
    </w:p>
    <w:p w14:paraId="358389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0B06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D3209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23082E4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168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50F7F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57BB7658">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3806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5409E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996" w:type="dxa"/>
          </w:tcPr>
          <w:p w14:paraId="4F855A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3CFD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27B52B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996" w:type="dxa"/>
          </w:tcPr>
          <w:p w14:paraId="1703CCD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7F6D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DB6A2FE">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96" w:type="dxa"/>
          </w:tcPr>
          <w:p w14:paraId="0A7202FB">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7517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F1C613D">
            <w:pPr>
              <w:pStyle w:val="12"/>
              <w:ind w:firstLine="0" w:firstLineChars="0"/>
              <w:rPr>
                <w:rFonts w:ascii="仿宋_GB2312" w:eastAsia="仿宋_GB2312"/>
                <w:b/>
                <w:kern w:val="0"/>
                <w:lang w:bidi="en-US"/>
              </w:rPr>
            </w:pPr>
            <w:r>
              <w:rPr>
                <w:rFonts w:hint="eastAsia" w:ascii="仿宋_GB2312" w:eastAsia="仿宋_GB2312"/>
                <w:b/>
                <w:kern w:val="0"/>
                <w:lang w:eastAsia="en-US" w:bidi="en-US"/>
              </w:rPr>
              <w:t>证券</w:t>
            </w:r>
            <w:r>
              <w:rPr>
                <w:rFonts w:hint="eastAsia" w:ascii="仿宋_GB2312" w:eastAsia="仿宋_GB2312"/>
                <w:b/>
                <w:kern w:val="0"/>
                <w:lang w:bidi="en-US"/>
              </w:rPr>
              <w:t>简称</w:t>
            </w:r>
          </w:p>
        </w:tc>
        <w:tc>
          <w:tcPr>
            <w:tcW w:w="6996" w:type="dxa"/>
          </w:tcPr>
          <w:p w14:paraId="7098CD2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交易品种的证券简称，同申报订单</w:t>
            </w:r>
          </w:p>
        </w:tc>
      </w:tr>
      <w:tr w14:paraId="7213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B48E4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6A9039A2">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1687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D94B5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1E0DA12D">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6C9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58B62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96" w:type="dxa"/>
          </w:tcPr>
          <w:p w14:paraId="4A434E9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43E5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7374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996" w:type="dxa"/>
          </w:tcPr>
          <w:p w14:paraId="11D8C14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5673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76B27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79F04011">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05AAC9A4">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0193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5771A3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996" w:type="dxa"/>
          </w:tcPr>
          <w:p w14:paraId="5D24B1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7A4F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8A3227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96" w:type="dxa"/>
          </w:tcPr>
          <w:p w14:paraId="5646ACC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7C9E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32F1A5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96" w:type="dxa"/>
          </w:tcPr>
          <w:p w14:paraId="645512F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1AD7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EB6DD5">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96" w:type="dxa"/>
          </w:tcPr>
          <w:p w14:paraId="7F4639D5">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2A4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9F43F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996" w:type="dxa"/>
          </w:tcPr>
          <w:p w14:paraId="6429B97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7F2D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70A759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996" w:type="dxa"/>
          </w:tcPr>
          <w:p w14:paraId="3A67237A">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7041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41D7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5F4AE524">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F7A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E312FE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96" w:type="dxa"/>
          </w:tcPr>
          <w:p w14:paraId="3F723A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12B4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339F054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96" w:type="dxa"/>
          </w:tcPr>
          <w:p w14:paraId="2D4B4DC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1C81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081E96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96" w:type="dxa"/>
          </w:tcPr>
          <w:p w14:paraId="384D284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4049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D34E0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33D517BB">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92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0EB54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996" w:type="dxa"/>
          </w:tcPr>
          <w:p w14:paraId="45DDAFC6">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6B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797F3C2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996" w:type="dxa"/>
          </w:tcPr>
          <w:p w14:paraId="1D664E1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482A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8E0753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996" w:type="dxa"/>
          </w:tcPr>
          <w:p w14:paraId="0031DA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7932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481B0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996" w:type="dxa"/>
          </w:tcPr>
          <w:p w14:paraId="619BCC7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28F5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607014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996" w:type="dxa"/>
          </w:tcPr>
          <w:p w14:paraId="5EE0195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462D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B3FF1A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996" w:type="dxa"/>
          </w:tcPr>
          <w:p w14:paraId="58492018">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3299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A6D08F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0342F1C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0EEE9ABC">
      <w:pPr>
        <w:numPr>
          <w:ilvl w:val="1"/>
          <w:numId w:val="4"/>
        </w:numPr>
        <w:spacing w:line="600" w:lineRule="exact"/>
        <w:ind w:left="0" w:firstLine="0"/>
        <w:outlineLvl w:val="1"/>
        <w:rPr>
          <w:rFonts w:ascii="仿宋_GB2312" w:eastAsia="仿宋_GB2312"/>
          <w:b/>
          <w:sz w:val="30"/>
          <w:szCs w:val="30"/>
        </w:rPr>
      </w:pPr>
      <w:bookmarkStart w:id="373" w:name="_Toc151136904"/>
      <w:r>
        <w:rPr>
          <w:rFonts w:hint="eastAsia" w:ascii="仿宋_GB2312" w:eastAsia="仿宋_GB2312"/>
          <w:b/>
          <w:sz w:val="30"/>
          <w:szCs w:val="30"/>
        </w:rPr>
        <w:t>竞买成交</w:t>
      </w:r>
      <w:bookmarkEnd w:id="373"/>
    </w:p>
    <w:p w14:paraId="71CF39B1">
      <w:pPr>
        <w:numPr>
          <w:ilvl w:val="2"/>
          <w:numId w:val="4"/>
        </w:numPr>
        <w:spacing w:line="600" w:lineRule="exact"/>
        <w:ind w:left="0" w:firstLine="0"/>
        <w:outlineLvl w:val="2"/>
        <w:rPr>
          <w:rFonts w:ascii="仿宋_GB2312" w:eastAsia="仿宋_GB2312"/>
          <w:b/>
          <w:sz w:val="30"/>
          <w:szCs w:val="30"/>
        </w:rPr>
      </w:pPr>
      <w:bookmarkStart w:id="374" w:name="_Toc57908905"/>
      <w:r>
        <w:rPr>
          <w:rFonts w:hint="eastAsia" w:ascii="仿宋_GB2312" w:eastAsia="仿宋_GB2312"/>
          <w:b/>
          <w:sz w:val="30"/>
          <w:szCs w:val="30"/>
        </w:rPr>
        <w:t>定义</w:t>
      </w:r>
      <w:bookmarkEnd w:id="374"/>
    </w:p>
    <w:p w14:paraId="65D8FDD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竞买成交是指卖方在限定时间内按照确定的竞买成交规则，将债券出售给最优应价的单个或者多个应价方的交易方式。</w:t>
      </w:r>
    </w:p>
    <w:p w14:paraId="1163ACE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竞买成交方式通常适用于流动性较低的债券（例如，特定债券）与资产支持证券等。</w:t>
      </w:r>
    </w:p>
    <w:p w14:paraId="5EBF003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债券交易参与人可通过固定收益平台客户端接入本所系统，并提交竞买信息、竞买发起申报与应价申报。</w:t>
      </w:r>
    </w:p>
    <w:p w14:paraId="79B26770">
      <w:pPr>
        <w:numPr>
          <w:ilvl w:val="2"/>
          <w:numId w:val="4"/>
        </w:numPr>
        <w:spacing w:line="600" w:lineRule="exact"/>
        <w:ind w:left="0" w:firstLine="0"/>
        <w:outlineLvl w:val="2"/>
        <w:rPr>
          <w:rFonts w:ascii="仿宋_GB2312" w:eastAsia="仿宋_GB2312"/>
          <w:b/>
          <w:sz w:val="30"/>
          <w:szCs w:val="30"/>
        </w:rPr>
      </w:pPr>
      <w:bookmarkStart w:id="375" w:name="_Toc57908906"/>
      <w:r>
        <w:rPr>
          <w:rFonts w:hint="eastAsia" w:ascii="仿宋_GB2312" w:eastAsia="仿宋_GB2312"/>
          <w:b/>
          <w:sz w:val="30"/>
          <w:szCs w:val="30"/>
        </w:rPr>
        <w:t>选定竞买方式、确定价格区间</w:t>
      </w:r>
      <w:bookmarkEnd w:id="375"/>
    </w:p>
    <w:p w14:paraId="1E615FB9">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（1）竞买方式选择</w:t>
      </w:r>
    </w:p>
    <w:p w14:paraId="0F4B7C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债券投资者采用竞买成交方式的，可选择单一主体中标方式或多主体中标方式，其中多主体中标方式暂缓实施。</w:t>
      </w:r>
    </w:p>
    <w:p w14:paraId="616DA86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（2）确定价格区间/竞买底价</w:t>
      </w:r>
    </w:p>
    <w:p w14:paraId="20A9EC4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选定竞买方式后，卖方还需根据债券的市场行情确定价格区间/竞买底价。卖方应充分参考债券的市场估值、市场成交价以及市场报价等信息，合理确定竞买价格区间。</w:t>
      </w:r>
    </w:p>
    <w:p w14:paraId="4BF37359">
      <w:pPr>
        <w:numPr>
          <w:ilvl w:val="2"/>
          <w:numId w:val="4"/>
        </w:numPr>
        <w:spacing w:line="600" w:lineRule="exact"/>
        <w:ind w:left="0" w:firstLine="0"/>
        <w:outlineLvl w:val="2"/>
        <w:rPr>
          <w:rFonts w:ascii="仿宋_GB2312" w:eastAsia="仿宋_GB2312"/>
          <w:b/>
          <w:sz w:val="30"/>
          <w:szCs w:val="30"/>
        </w:rPr>
      </w:pPr>
      <w:bookmarkStart w:id="376" w:name="_Toc57908907"/>
      <w:r>
        <w:rPr>
          <w:rFonts w:hint="eastAsia" w:ascii="仿宋_GB2312" w:eastAsia="仿宋_GB2312"/>
          <w:b/>
          <w:sz w:val="30"/>
          <w:szCs w:val="30"/>
        </w:rPr>
        <w:t>竞买预约</w:t>
      </w:r>
      <w:bookmarkEnd w:id="376"/>
    </w:p>
    <w:p w14:paraId="19363F7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竞买日前，卖方应当提前1至5个交易日通过固定收益平台向本所提前预约竞买，确定竞买日，并通过本所向市场发布竞买信息，方可在竞买日当天提交竞买发起申报。</w:t>
      </w:r>
    </w:p>
    <w:p w14:paraId="25EEDDBC">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（1）竞买预约提交</w:t>
      </w:r>
    </w:p>
    <w:p w14:paraId="38FCC0A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卖方应提前向本所提交以下信息以完成竞买预约：交易品种、价格区间（底价）、数量</w:t>
      </w:r>
      <w:r>
        <w:rPr>
          <w:rFonts w:ascii="仿宋_GB2312" w:hAnsi="仿宋" w:eastAsia="仿宋_GB2312"/>
          <w:sz w:val="30"/>
          <w:szCs w:val="30"/>
        </w:rPr>
        <w:t>、竞买方式、竞买时间</w:t>
      </w:r>
      <w:r>
        <w:rPr>
          <w:rFonts w:hint="eastAsia" w:ascii="仿宋_GB2312" w:hAnsi="仿宋" w:eastAsia="仿宋_GB2312"/>
          <w:sz w:val="30"/>
          <w:szCs w:val="30"/>
        </w:rPr>
        <w:t>、卖方、是否匿名等。</w:t>
      </w:r>
      <w:r>
        <w:rPr>
          <w:rFonts w:hint="eastAsia" w:ascii="仿宋_GB2312" w:eastAsia="仿宋_GB2312"/>
          <w:sz w:val="30"/>
          <w:szCs w:val="30"/>
        </w:rPr>
        <w:t>竞买预约具体要素及要素说明如下</w:t>
      </w:r>
      <w:r>
        <w:rPr>
          <w:rFonts w:hint="eastAsia" w:ascii="仿宋_GB2312" w:hAnsi="仿宋" w:eastAsia="仿宋_GB2312"/>
          <w:sz w:val="30"/>
          <w:szCs w:val="30"/>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609"/>
      </w:tblGrid>
      <w:tr w14:paraId="34D1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4DCDF7C">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5609" w:type="dxa"/>
          </w:tcPr>
          <w:p w14:paraId="36121D3B">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28D0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5DCFB44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竞买方式</w:t>
            </w:r>
          </w:p>
        </w:tc>
        <w:tc>
          <w:tcPr>
            <w:tcW w:w="5609" w:type="dxa"/>
          </w:tcPr>
          <w:p w14:paraId="2DB18CB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3964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B633FF9">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5609" w:type="dxa"/>
          </w:tcPr>
          <w:p w14:paraId="2D0D6E6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竞买预约</w:t>
            </w:r>
          </w:p>
        </w:tc>
      </w:tr>
      <w:tr w14:paraId="07D8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160B7C21">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5609" w:type="dxa"/>
          </w:tcPr>
          <w:p w14:paraId="6FA9D893">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7287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263B82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5609" w:type="dxa"/>
          </w:tcPr>
          <w:p w14:paraId="1E10D281">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拟卖出数量，单位：千元面额</w:t>
            </w:r>
          </w:p>
        </w:tc>
      </w:tr>
      <w:tr w14:paraId="4784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7F05D9F2">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5609" w:type="dxa"/>
          </w:tcPr>
          <w:p w14:paraId="733F3020">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4430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673FFA5">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w:t>
            </w:r>
            <w:r>
              <w:rPr>
                <w:rFonts w:hint="eastAsia" w:ascii="仿宋_GB2312" w:hAnsi="宋体" w:eastAsia="仿宋_GB2312"/>
                <w:b/>
                <w:color w:val="000000"/>
                <w:kern w:val="0"/>
                <w:lang w:bidi="en-US"/>
              </w:rPr>
              <w:t>申报日</w:t>
            </w:r>
          </w:p>
        </w:tc>
        <w:tc>
          <w:tcPr>
            <w:tcW w:w="5609" w:type="dxa"/>
          </w:tcPr>
          <w:p w14:paraId="45751E67">
            <w:pPr>
              <w:pStyle w:val="12"/>
              <w:ind w:firstLine="0" w:firstLineChars="0"/>
              <w:rPr>
                <w:rFonts w:ascii="仿宋_GB2312" w:hAnsi="宋体" w:eastAsia="仿宋_GB2312"/>
                <w:color w:val="000000"/>
                <w:kern w:val="0"/>
                <w:lang w:eastAsia="en-US" w:bidi="en-US"/>
              </w:rPr>
            </w:pPr>
            <w:r>
              <w:rPr>
                <w:rFonts w:ascii="仿宋_GB2312" w:hAnsi="宋体" w:eastAsia="仿宋_GB2312"/>
                <w:color w:val="000000"/>
                <w:kern w:val="0"/>
                <w:lang w:eastAsia="en-US" w:bidi="en-US"/>
              </w:rPr>
              <w:t>竞买日</w:t>
            </w:r>
          </w:p>
        </w:tc>
      </w:tr>
      <w:tr w14:paraId="734C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CFFBFC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卖方交易参与人</w:t>
            </w:r>
          </w:p>
        </w:tc>
        <w:tc>
          <w:tcPr>
            <w:tcW w:w="5609" w:type="dxa"/>
          </w:tcPr>
          <w:p w14:paraId="302EA103">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卖方的交易参与人简称</w:t>
            </w:r>
          </w:p>
        </w:tc>
      </w:tr>
      <w:tr w14:paraId="18FA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2F5A73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5609" w:type="dxa"/>
          </w:tcPr>
          <w:p w14:paraId="7A137F80">
            <w:pPr>
              <w:pStyle w:val="12"/>
              <w:ind w:firstLine="0" w:firstLineChars="0"/>
              <w:rPr>
                <w:rFonts w:ascii="宋体" w:hAnsi="宋体"/>
                <w:color w:val="000000"/>
                <w:kern w:val="0"/>
                <w:lang w:bidi="en-US"/>
              </w:rPr>
            </w:pPr>
            <w:r>
              <w:rPr>
                <w:rFonts w:hint="eastAsia" w:ascii="仿宋_GB2312" w:hAnsi="宋体" w:eastAsia="仿宋_GB2312"/>
                <w:color w:val="000000"/>
                <w:kern w:val="0"/>
                <w:lang w:bidi="en-US"/>
              </w:rPr>
              <w:t>需匿名的，勾选“匿名提交”</w:t>
            </w:r>
          </w:p>
        </w:tc>
      </w:tr>
      <w:tr w14:paraId="3D7B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47C86CB">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结算方</w:t>
            </w:r>
            <w:r>
              <w:rPr>
                <w:rFonts w:ascii="仿宋_GB2312" w:hAnsi="宋体" w:eastAsia="仿宋_GB2312"/>
                <w:b/>
                <w:color w:val="000000"/>
                <w:kern w:val="0"/>
                <w:lang w:bidi="en-US"/>
              </w:rPr>
              <w:t>式</w:t>
            </w:r>
          </w:p>
        </w:tc>
        <w:tc>
          <w:tcPr>
            <w:tcW w:w="5609" w:type="dxa"/>
          </w:tcPr>
          <w:p w14:paraId="0749C833">
            <w:pPr>
              <w:pStyle w:val="12"/>
              <w:ind w:firstLine="0" w:firstLineChars="0"/>
              <w:rPr>
                <w:rFonts w:ascii="仿宋_GB2312" w:hAnsi="宋体" w:eastAsia="仿宋_GB2312"/>
                <w:color w:val="000000"/>
                <w:kern w:val="0"/>
                <w:lang w:bidi="en-US"/>
              </w:rPr>
            </w:pPr>
            <w:r>
              <w:rPr>
                <w:rFonts w:hint="eastAsia" w:ascii="仿宋_GB2312" w:eastAsia="仿宋_GB2312"/>
                <w:kern w:val="0"/>
                <w:lang w:eastAsia="en-US" w:bidi="en-US"/>
              </w:rPr>
              <w:t>结算方式</w:t>
            </w:r>
          </w:p>
        </w:tc>
      </w:tr>
      <w:tr w14:paraId="715B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FCBE5C6">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自动发起</w:t>
            </w:r>
          </w:p>
        </w:tc>
        <w:tc>
          <w:tcPr>
            <w:tcW w:w="5609" w:type="dxa"/>
          </w:tcPr>
          <w:p w14:paraId="6E03C617">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默认勾选，同意系统于竞买日自动将竞买预约转竞买申报</w:t>
            </w:r>
          </w:p>
        </w:tc>
      </w:tr>
      <w:tr w14:paraId="3D7B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043D45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证券简称</w:t>
            </w:r>
          </w:p>
        </w:tc>
        <w:tc>
          <w:tcPr>
            <w:tcW w:w="5609" w:type="dxa"/>
          </w:tcPr>
          <w:p w14:paraId="11B3BD22">
            <w:pPr>
              <w:pStyle w:val="12"/>
              <w:ind w:firstLine="0" w:firstLineChars="0"/>
              <w:rPr>
                <w:rFonts w:ascii="仿宋_GB2312" w:hAnsi="宋体" w:eastAsia="仿宋_GB2312"/>
                <w:color w:val="000000"/>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50AA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0BD83D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5609" w:type="dxa"/>
          </w:tcPr>
          <w:p w14:paraId="73A84427">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42FC60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w:t>
      </w:r>
      <w:r>
        <w:rPr>
          <w:rFonts w:hint="eastAsia" w:ascii="仿宋_GB2312" w:eastAsia="仿宋_GB2312"/>
          <w:sz w:val="30"/>
          <w:szCs w:val="30"/>
        </w:rPr>
        <w:t>提交竞买预约</w:t>
      </w:r>
      <w:r>
        <w:rPr>
          <w:rFonts w:hint="eastAsia" w:ascii="仿宋_GB2312" w:hAnsi="仿宋" w:eastAsia="仿宋_GB2312"/>
          <w:sz w:val="30"/>
          <w:szCs w:val="30"/>
        </w:rPr>
        <w:t>时，可以同时委托系统自动提交</w:t>
      </w:r>
      <w:r>
        <w:rPr>
          <w:rFonts w:hint="eastAsia" w:ascii="仿宋_GB2312" w:eastAsia="仿宋_GB2312"/>
          <w:sz w:val="30"/>
          <w:szCs w:val="30"/>
        </w:rPr>
        <w:t>竞买发起</w:t>
      </w:r>
      <w:r>
        <w:rPr>
          <w:rFonts w:hint="eastAsia" w:ascii="仿宋_GB2312" w:hAnsi="仿宋" w:eastAsia="仿宋_GB2312"/>
          <w:sz w:val="30"/>
          <w:szCs w:val="30"/>
        </w:rPr>
        <w:t>申报，若同意委托且未手工提交</w:t>
      </w:r>
      <w:r>
        <w:rPr>
          <w:rFonts w:hint="eastAsia" w:ascii="仿宋_GB2312" w:eastAsia="仿宋_GB2312"/>
          <w:sz w:val="30"/>
          <w:szCs w:val="30"/>
        </w:rPr>
        <w:t>竞买发起</w:t>
      </w:r>
      <w:r>
        <w:rPr>
          <w:rFonts w:hint="eastAsia" w:ascii="仿宋_GB2312" w:hAnsi="仿宋" w:eastAsia="仿宋_GB2312"/>
          <w:sz w:val="30"/>
          <w:szCs w:val="30"/>
        </w:rPr>
        <w:t>申报的，则</w:t>
      </w:r>
      <w:r>
        <w:rPr>
          <w:rFonts w:hint="eastAsia" w:ascii="仿宋_GB2312" w:eastAsia="仿宋_GB2312"/>
          <w:sz w:val="30"/>
          <w:szCs w:val="30"/>
        </w:rPr>
        <w:t>竞买</w:t>
      </w:r>
      <w:r>
        <w:rPr>
          <w:rFonts w:hint="eastAsia" w:ascii="仿宋_GB2312" w:hAnsi="仿宋" w:eastAsia="仿宋_GB2312"/>
          <w:sz w:val="30"/>
          <w:szCs w:val="30"/>
        </w:rPr>
        <w:t>日当天</w:t>
      </w:r>
      <w:r>
        <w:rPr>
          <w:rFonts w:ascii="仿宋_GB2312" w:hAnsi="仿宋" w:eastAsia="仿宋_GB2312"/>
          <w:sz w:val="30"/>
          <w:szCs w:val="30"/>
        </w:rPr>
        <w:t>10：00系统将自动</w:t>
      </w:r>
      <w:r>
        <w:rPr>
          <w:rFonts w:hint="eastAsia" w:ascii="仿宋_GB2312" w:hAnsi="仿宋" w:eastAsia="仿宋_GB2312"/>
          <w:sz w:val="30"/>
          <w:szCs w:val="30"/>
        </w:rPr>
        <w:t>提交</w:t>
      </w:r>
      <w:r>
        <w:rPr>
          <w:rFonts w:hint="eastAsia" w:ascii="仿宋_GB2312" w:eastAsia="仿宋_GB2312"/>
          <w:sz w:val="30"/>
          <w:szCs w:val="30"/>
        </w:rPr>
        <w:t>竞买发起</w:t>
      </w:r>
      <w:r>
        <w:rPr>
          <w:rFonts w:hint="eastAsia" w:ascii="仿宋_GB2312" w:hAnsi="仿宋" w:eastAsia="仿宋_GB2312"/>
          <w:sz w:val="30"/>
          <w:szCs w:val="30"/>
        </w:rPr>
        <w:t>申报。</w:t>
      </w:r>
    </w:p>
    <w:p w14:paraId="18307B6D">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（2）竞买信息发布</w:t>
      </w:r>
    </w:p>
    <w:p w14:paraId="1C20D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卖方完成竞买预约后，卖方提交的前述信息将在固定收益平台客户端主界面展示，固定收益平台将生成对外发布的竞买信息。竞买信息生成后，债券投资者可在“</w:t>
      </w:r>
      <w:r>
        <w:rPr>
          <w:rFonts w:hint="eastAsia" w:ascii="仿宋_GB2312" w:eastAsia="仿宋_GB2312"/>
          <w:sz w:val="30"/>
          <w:szCs w:val="30"/>
        </w:rPr>
        <w:t>首页-披露-债券信息-竞买业务</w:t>
      </w:r>
      <w:r>
        <w:rPr>
          <w:rFonts w:ascii="仿宋_GB2312" w:eastAsia="仿宋_GB2312"/>
          <w:sz w:val="30"/>
          <w:szCs w:val="30"/>
        </w:rPr>
        <w:t>-</w:t>
      </w:r>
      <w:r>
        <w:rPr>
          <w:rFonts w:hint="eastAsia" w:ascii="仿宋_GB2312" w:eastAsia="仿宋_GB2312"/>
          <w:sz w:val="30"/>
          <w:szCs w:val="30"/>
        </w:rPr>
        <w:t>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”栏目查询到实时发布的竞买信息。竞买信息包括以下内容：竞买债券基础信息（债券名称、债券代码、债券简称）、价格区间（底价）、拟竞买数量</w:t>
      </w:r>
      <w:r>
        <w:rPr>
          <w:rFonts w:ascii="仿宋_GB2312" w:hAnsi="仿宋" w:eastAsia="仿宋_GB2312"/>
          <w:sz w:val="30"/>
          <w:szCs w:val="30"/>
        </w:rPr>
        <w:t>、</w:t>
      </w:r>
      <w:r>
        <w:rPr>
          <w:rFonts w:hint="eastAsia" w:ascii="仿宋_GB2312" w:hAnsi="仿宋" w:eastAsia="仿宋_GB2312"/>
          <w:sz w:val="30"/>
          <w:szCs w:val="30"/>
        </w:rPr>
        <w:t>竞买方式、竞买日等，详见附件6示例一。</w:t>
      </w:r>
    </w:p>
    <w:p w14:paraId="774F4416">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（3）竞买预约的修改及撤销</w:t>
      </w:r>
    </w:p>
    <w:p w14:paraId="0EE5FA94">
      <w:pPr>
        <w:spacing w:line="600" w:lineRule="exact"/>
        <w:ind w:firstLine="600" w:firstLineChars="200"/>
        <w:rPr>
          <w:rFonts w:ascii="仿宋_GB2312" w:eastAsia="仿宋_GB2312"/>
          <w:sz w:val="30"/>
          <w:szCs w:val="30"/>
        </w:rPr>
      </w:pPr>
      <w:r>
        <w:rPr>
          <w:rFonts w:hint="eastAsia" w:ascii="仿宋_GB2312" w:eastAsia="仿宋_GB2312" w:cs="宋体"/>
          <w:color w:val="000000"/>
          <w:sz w:val="30"/>
          <w:szCs w:val="30"/>
        </w:rPr>
        <w:t>竞买日前，卖方可以撤销</w:t>
      </w:r>
      <w:r>
        <w:rPr>
          <w:rFonts w:hint="eastAsia" w:ascii="仿宋_GB2312" w:eastAsia="仿宋_GB2312"/>
          <w:color w:val="000000"/>
          <w:sz w:val="30"/>
          <w:szCs w:val="30"/>
        </w:rPr>
        <w:t>竞买</w:t>
      </w:r>
      <w:r>
        <w:rPr>
          <w:rFonts w:hint="eastAsia" w:ascii="仿宋_GB2312" w:eastAsia="仿宋_GB2312" w:cs="宋体"/>
          <w:color w:val="000000"/>
          <w:sz w:val="30"/>
          <w:szCs w:val="30"/>
        </w:rPr>
        <w:t>预约</w:t>
      </w:r>
      <w:r>
        <w:rPr>
          <w:rFonts w:hint="eastAsia" w:ascii="仿宋_GB2312" w:eastAsia="仿宋_GB2312"/>
          <w:sz w:val="30"/>
          <w:szCs w:val="30"/>
        </w:rPr>
        <w:t>并修改要素后重新发起竞买预约。</w:t>
      </w:r>
    </w:p>
    <w:p w14:paraId="73DD31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卖方可在竞买日之前</w:t>
      </w:r>
      <w:r>
        <w:rPr>
          <w:rFonts w:hint="eastAsia" w:ascii="仿宋_GB2312" w:eastAsia="仿宋_GB2312" w:cs="宋体"/>
          <w:color w:val="000000"/>
          <w:sz w:val="30"/>
          <w:szCs w:val="30"/>
        </w:rPr>
        <w:t>取消</w:t>
      </w:r>
      <w:r>
        <w:rPr>
          <w:rFonts w:hint="eastAsia" w:ascii="仿宋_GB2312" w:hAnsi="仿宋" w:eastAsia="仿宋_GB2312"/>
          <w:sz w:val="30"/>
          <w:szCs w:val="30"/>
        </w:rPr>
        <w:t>竞买预约，固定收益平台将生成竞买预约撤销提示。竞买预约撤销提示生成后，当日日终自动发布到本所官网“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”栏目，债券投资者可在上述栏目查询到前述竞买预约撤销提示，详见附件6</w:t>
      </w:r>
      <w:r>
        <w:rPr>
          <w:rFonts w:ascii="仿宋_GB2312" w:hAnsi="仿宋" w:eastAsia="仿宋_GB2312"/>
          <w:sz w:val="30"/>
          <w:szCs w:val="30"/>
        </w:rPr>
        <w:t>示例二</w:t>
      </w:r>
      <w:r>
        <w:rPr>
          <w:rFonts w:hint="eastAsia" w:ascii="仿宋_GB2312" w:hAnsi="仿宋" w:eastAsia="仿宋_GB2312"/>
          <w:sz w:val="30"/>
          <w:szCs w:val="30"/>
        </w:rPr>
        <w:t>。</w:t>
      </w:r>
    </w:p>
    <w:p w14:paraId="20867CCA">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（4）</w:t>
      </w:r>
      <w:r>
        <w:rPr>
          <w:rFonts w:hint="eastAsia" w:ascii="仿宋_GB2312" w:hAnsi="仿宋" w:eastAsia="仿宋_GB2312"/>
          <w:sz w:val="30"/>
          <w:szCs w:val="30"/>
        </w:rPr>
        <w:t>竞买债券投资者组织</w:t>
      </w:r>
    </w:p>
    <w:p w14:paraId="2511339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竞买日前，卖方可以提前联系竞买债券的潜在债券投资者。 卖方应当</w:t>
      </w:r>
      <w:r>
        <w:rPr>
          <w:rFonts w:hint="eastAsia" w:ascii="仿宋_GB2312" w:eastAsia="仿宋_GB2312"/>
          <w:color w:val="000000"/>
          <w:sz w:val="30"/>
          <w:szCs w:val="30"/>
        </w:rPr>
        <w:t>视</w:t>
      </w:r>
      <w:r>
        <w:rPr>
          <w:rFonts w:ascii="仿宋_GB2312" w:eastAsia="仿宋_GB2312"/>
          <w:color w:val="000000"/>
          <w:sz w:val="30"/>
          <w:szCs w:val="30"/>
        </w:rPr>
        <w:t>自身需求</w:t>
      </w:r>
      <w:r>
        <w:rPr>
          <w:rFonts w:hint="eastAsia" w:ascii="仿宋_GB2312" w:hAnsi="仿宋" w:eastAsia="仿宋_GB2312"/>
          <w:sz w:val="30"/>
          <w:szCs w:val="30"/>
        </w:rPr>
        <w:t>做好债券投资者组织工作，事先了解潜在债券投资者的投资需求和申报意向，确保竞买平稳有序进行。</w:t>
      </w:r>
    </w:p>
    <w:p w14:paraId="4AD1BA8F">
      <w:pPr>
        <w:numPr>
          <w:ilvl w:val="2"/>
          <w:numId w:val="4"/>
        </w:numPr>
        <w:spacing w:line="600" w:lineRule="exact"/>
        <w:ind w:left="0" w:firstLine="0"/>
        <w:outlineLvl w:val="2"/>
        <w:rPr>
          <w:rFonts w:ascii="仿宋_GB2312" w:eastAsia="仿宋_GB2312"/>
          <w:b/>
          <w:sz w:val="30"/>
          <w:szCs w:val="30"/>
        </w:rPr>
      </w:pPr>
      <w:bookmarkStart w:id="377" w:name="_Toc57908908"/>
      <w:r>
        <w:rPr>
          <w:rFonts w:hint="eastAsia" w:ascii="仿宋_GB2312" w:eastAsia="仿宋_GB2312"/>
          <w:b/>
          <w:sz w:val="30"/>
          <w:szCs w:val="30"/>
        </w:rPr>
        <w:t>竞买发起申报</w:t>
      </w:r>
      <w:bookmarkEnd w:id="377"/>
    </w:p>
    <w:p w14:paraId="6930452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（1）竞买发起申报提交</w:t>
      </w:r>
    </w:p>
    <w:p w14:paraId="5A85B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在竞买日9:00-10:00，卖方通过固定收益平台提交竞买发起申报。竞买预约时卖方委托系统自动提交竞买发起申报的，竞买日</w:t>
      </w:r>
      <w:r>
        <w:rPr>
          <w:rFonts w:ascii="仿宋_GB2312" w:hAnsi="仿宋" w:eastAsia="仿宋_GB2312"/>
          <w:sz w:val="30"/>
          <w:szCs w:val="30"/>
        </w:rPr>
        <w:t>10:00系统自动</w:t>
      </w:r>
      <w:r>
        <w:rPr>
          <w:rFonts w:hint="eastAsia" w:ascii="仿宋_GB2312" w:hAnsi="仿宋" w:eastAsia="仿宋_GB2312"/>
          <w:sz w:val="30"/>
          <w:szCs w:val="30"/>
        </w:rPr>
        <w:t>按照竞买预约要素提交竞买发起申报。否则，卖方应当自行通过固定收益平台提交竞买发起申报。</w:t>
      </w:r>
    </w:p>
    <w:p w14:paraId="14AD7F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提交竞买发起申报时，应当已完成竞买预约。竞买预约和竞买发起申报是一对一关系，一笔竞买预约只能提交一笔竞买发起申报。</w:t>
      </w:r>
    </w:p>
    <w:p w14:paraId="5147B13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（2）竞买发起申报要素</w:t>
      </w:r>
    </w:p>
    <w:p w14:paraId="7456984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竞买发起申报要素应当包括竞买方式、竞买时间、交易品种、价格区间（底价）、数量、最低成交总量（如有）、卖方证券账户、结算方式、结算周期、是否匿名等。</w:t>
      </w:r>
      <w:r>
        <w:rPr>
          <w:rFonts w:hint="eastAsia" w:ascii="仿宋_GB2312" w:eastAsia="仿宋_GB2312"/>
          <w:sz w:val="30"/>
          <w:szCs w:val="30"/>
        </w:rPr>
        <w:t>竞买发起申报具体要素及要素说明如下</w:t>
      </w:r>
      <w:r>
        <w:rPr>
          <w:rFonts w:hint="eastAsia" w:ascii="仿宋_GB2312" w:hAnsi="仿宋" w:eastAsia="仿宋_GB2312"/>
          <w:sz w:val="30"/>
          <w:szCs w:val="30"/>
        </w:rPr>
        <w:t>：</w:t>
      </w:r>
    </w:p>
    <w:tbl>
      <w:tblPr>
        <w:tblStyle w:val="43"/>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6520"/>
      </w:tblGrid>
      <w:tr w14:paraId="758E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6AE8C61">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520" w:type="dxa"/>
          </w:tcPr>
          <w:p w14:paraId="2EFA9E82">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1649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D6C63EF">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520" w:type="dxa"/>
          </w:tcPr>
          <w:p w14:paraId="4E46ED0F">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55BB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7C00A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520" w:type="dxa"/>
          </w:tcPr>
          <w:p w14:paraId="0662B26E">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w:t>
            </w:r>
            <w:r>
              <w:rPr>
                <w:rFonts w:hint="eastAsia" w:ascii="仿宋_GB2312" w:hAnsi="宋体" w:eastAsia="仿宋_GB2312"/>
                <w:color w:val="000000"/>
                <w:kern w:val="0"/>
                <w:lang w:bidi="en-US"/>
              </w:rPr>
              <w:t>发起</w:t>
            </w:r>
            <w:r>
              <w:rPr>
                <w:rFonts w:hint="eastAsia" w:ascii="仿宋_GB2312" w:hAnsi="宋体" w:eastAsia="仿宋_GB2312"/>
                <w:color w:val="000000"/>
                <w:kern w:val="0"/>
                <w:lang w:eastAsia="en-US" w:bidi="en-US"/>
              </w:rPr>
              <w:t>申报</w:t>
            </w:r>
          </w:p>
        </w:tc>
      </w:tr>
      <w:tr w14:paraId="725B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2F2E3E00">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6520" w:type="dxa"/>
          </w:tcPr>
          <w:p w14:paraId="31FACBE1">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5C5F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441C11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申报时间</w:t>
            </w:r>
          </w:p>
        </w:tc>
        <w:tc>
          <w:tcPr>
            <w:tcW w:w="6520" w:type="dxa"/>
          </w:tcPr>
          <w:p w14:paraId="4037857B">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系统自动生成</w:t>
            </w:r>
          </w:p>
        </w:tc>
      </w:tr>
      <w:tr w14:paraId="48EC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9B65B2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520" w:type="dxa"/>
          </w:tcPr>
          <w:p w14:paraId="394E16C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2EDB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D64CC7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6520" w:type="dxa"/>
          </w:tcPr>
          <w:p w14:paraId="0E2C852C">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2AA5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F9B963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520" w:type="dxa"/>
          </w:tcPr>
          <w:p w14:paraId="2DDDFF25">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可选“逐笔全额结算”或“多边净额结算”。</w:t>
            </w:r>
          </w:p>
        </w:tc>
      </w:tr>
      <w:tr w14:paraId="4789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0BF005E">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20" w:type="dxa"/>
          </w:tcPr>
          <w:p w14:paraId="34CB3873">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4EE3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F10EEF2">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6520" w:type="dxa"/>
          </w:tcPr>
          <w:p w14:paraId="5938EB29">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需匿名的，勾选“匿名提交”</w:t>
            </w:r>
          </w:p>
        </w:tc>
      </w:tr>
      <w:tr w14:paraId="68E9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E53A11">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520" w:type="dxa"/>
          </w:tcPr>
          <w:p w14:paraId="2BE6A105">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卖方的证券账户号码</w:t>
            </w:r>
          </w:p>
        </w:tc>
      </w:tr>
      <w:tr w14:paraId="7627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3DD018F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520" w:type="dxa"/>
          </w:tcPr>
          <w:p w14:paraId="38DE26E6">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卖方的证券账户名称</w:t>
            </w:r>
          </w:p>
        </w:tc>
      </w:tr>
      <w:tr w14:paraId="5A47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F391649">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520" w:type="dxa"/>
          </w:tcPr>
          <w:p w14:paraId="038A04CF">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3A4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F8BFB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20" w:type="dxa"/>
          </w:tcPr>
          <w:p w14:paraId="454CC13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743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642398">
            <w:pPr>
              <w:pStyle w:val="12"/>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20" w:type="dxa"/>
          </w:tcPr>
          <w:p w14:paraId="62942F14">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09C5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1BD4A8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520" w:type="dxa"/>
          </w:tcPr>
          <w:p w14:paraId="73B2387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卖方交易参与人的交易单元号码，自动显示，无需输入</w:t>
            </w:r>
          </w:p>
        </w:tc>
      </w:tr>
      <w:tr w14:paraId="54CA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D139F3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520" w:type="dxa"/>
          </w:tcPr>
          <w:p w14:paraId="5F356B6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2FD1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C4D9C82">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520" w:type="dxa"/>
          </w:tcPr>
          <w:p w14:paraId="4E4C1E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卖方交易员代码，自动显示，无需输入</w:t>
            </w:r>
          </w:p>
        </w:tc>
      </w:tr>
      <w:tr w14:paraId="6C69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5A8BBDC">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520" w:type="dxa"/>
          </w:tcPr>
          <w:p w14:paraId="32B30FB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卖方交易员名称，自动显示，无需输入</w:t>
            </w:r>
          </w:p>
        </w:tc>
      </w:tr>
      <w:tr w14:paraId="4D65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95B2F7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520" w:type="dxa"/>
          </w:tcPr>
          <w:p w14:paraId="467749B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08FD0211">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竞买发起申报要素原则上应当与对应竞买预约的相关要素一致，本所另有规定的情形除外。</w:t>
      </w:r>
    </w:p>
    <w:p w14:paraId="197A79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债券投资者提交竞买发起申报时，债券代码、竞买方式应与提前发布的竞买信息一致。竞买当日，价格区间（底价）、数量、结算方式等要素可</w:t>
      </w:r>
      <w:r>
        <w:rPr>
          <w:rFonts w:ascii="仿宋_GB2312" w:hAnsi="仿宋" w:eastAsia="仿宋_GB2312"/>
          <w:sz w:val="30"/>
          <w:szCs w:val="30"/>
        </w:rPr>
        <w:t>在提交竞买发起申报时修改</w:t>
      </w:r>
      <w:r>
        <w:rPr>
          <w:rFonts w:hint="eastAsia" w:ascii="仿宋_GB2312" w:hAnsi="仿宋" w:eastAsia="仿宋_GB2312"/>
          <w:sz w:val="30"/>
          <w:szCs w:val="30"/>
        </w:rPr>
        <w:t>。证券</w:t>
      </w:r>
      <w:r>
        <w:rPr>
          <w:rFonts w:ascii="仿宋_GB2312" w:hAnsi="仿宋" w:eastAsia="仿宋_GB2312"/>
          <w:sz w:val="30"/>
          <w:szCs w:val="30"/>
        </w:rPr>
        <w:t>代码、竞买方式、竞买日期</w:t>
      </w:r>
      <w:r>
        <w:rPr>
          <w:rFonts w:hint="eastAsia" w:ascii="仿宋_GB2312" w:hAnsi="仿宋" w:eastAsia="仿宋_GB2312"/>
          <w:sz w:val="30"/>
          <w:szCs w:val="30"/>
        </w:rPr>
        <w:t>等</w:t>
      </w:r>
      <w:r>
        <w:rPr>
          <w:rFonts w:ascii="仿宋_GB2312" w:hAnsi="仿宋" w:eastAsia="仿宋_GB2312"/>
          <w:sz w:val="30"/>
          <w:szCs w:val="30"/>
        </w:rPr>
        <w:t>要素</w:t>
      </w:r>
      <w:r>
        <w:rPr>
          <w:rFonts w:hint="eastAsia" w:ascii="仿宋_GB2312" w:hAnsi="仿宋" w:eastAsia="仿宋_GB2312"/>
          <w:sz w:val="30"/>
          <w:szCs w:val="30"/>
        </w:rPr>
        <w:t>确有需要修改的，可在竞买日之前</w:t>
      </w:r>
      <w:r>
        <w:rPr>
          <w:rFonts w:hint="eastAsia" w:ascii="仿宋_GB2312" w:eastAsia="仿宋_GB2312" w:cs="宋体"/>
          <w:color w:val="000000"/>
          <w:sz w:val="30"/>
          <w:szCs w:val="30"/>
        </w:rPr>
        <w:t>撤销</w:t>
      </w:r>
      <w:r>
        <w:rPr>
          <w:rFonts w:hint="eastAsia" w:ascii="仿宋_GB2312" w:hAnsi="仿宋" w:eastAsia="仿宋_GB2312"/>
          <w:sz w:val="30"/>
          <w:szCs w:val="30"/>
        </w:rPr>
        <w:t>竞买预约，</w:t>
      </w:r>
      <w:r>
        <w:rPr>
          <w:rFonts w:ascii="仿宋_GB2312" w:hAnsi="仿宋" w:eastAsia="仿宋_GB2312"/>
          <w:sz w:val="30"/>
          <w:szCs w:val="30"/>
        </w:rPr>
        <w:t>重新</w:t>
      </w:r>
      <w:r>
        <w:rPr>
          <w:rFonts w:hint="eastAsia" w:ascii="仿宋_GB2312" w:hAnsi="仿宋" w:eastAsia="仿宋_GB2312"/>
          <w:sz w:val="30"/>
          <w:szCs w:val="30"/>
        </w:rPr>
        <w:t>提交</w:t>
      </w:r>
      <w:r>
        <w:rPr>
          <w:rFonts w:ascii="仿宋_GB2312" w:hAnsi="仿宋" w:eastAsia="仿宋_GB2312"/>
          <w:sz w:val="30"/>
          <w:szCs w:val="30"/>
        </w:rPr>
        <w:t>竞买预约</w:t>
      </w:r>
      <w:r>
        <w:rPr>
          <w:rFonts w:hint="eastAsia" w:ascii="仿宋_GB2312" w:hAnsi="仿宋" w:eastAsia="仿宋_GB2312"/>
          <w:sz w:val="30"/>
          <w:szCs w:val="30"/>
        </w:rPr>
        <w:t>。最终竞买成交申报要素以竞买发起申报要素为准。</w:t>
      </w:r>
    </w:p>
    <w:p w14:paraId="462A987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（3）竞买取消与竞买发起申报撤销</w:t>
      </w:r>
    </w:p>
    <w:p w14:paraId="3908A2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当天，卖方未针对已预约的竞买提交竞买发起申报，且未在竞买预约时同意委托系统自动提交竞买发起申报，则竞买取消，固定收益平台将自动生成竞买取消提示。竞买取消提示（详见附件6示例三）生成后，当日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w:t>
      </w:r>
    </w:p>
    <w:p w14:paraId="1D72461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在应价方提交有效的应价申报前，卖方申请并经本所认可后，可以撤销竞买发起申报。债券投资者可通过上述栏目查看相关提示。</w:t>
      </w:r>
    </w:p>
    <w:p w14:paraId="442DA538">
      <w:pPr>
        <w:numPr>
          <w:ilvl w:val="2"/>
          <w:numId w:val="4"/>
        </w:numPr>
        <w:spacing w:line="600" w:lineRule="exact"/>
        <w:ind w:left="0" w:firstLine="0"/>
        <w:outlineLvl w:val="2"/>
        <w:rPr>
          <w:rFonts w:ascii="仿宋_GB2312" w:eastAsia="仿宋_GB2312"/>
          <w:b/>
          <w:sz w:val="30"/>
          <w:szCs w:val="30"/>
        </w:rPr>
      </w:pPr>
      <w:bookmarkStart w:id="378" w:name="_Toc57908909"/>
      <w:r>
        <w:rPr>
          <w:rFonts w:hint="eastAsia" w:ascii="仿宋_GB2312" w:eastAsia="仿宋_GB2312"/>
          <w:b/>
          <w:sz w:val="30"/>
          <w:szCs w:val="30"/>
        </w:rPr>
        <w:t>应价申报</w:t>
      </w:r>
      <w:bookmarkEnd w:id="378"/>
    </w:p>
    <w:p w14:paraId="4F1FB54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（1）应价申报提交</w:t>
      </w:r>
    </w:p>
    <w:p w14:paraId="091ADCD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债券投资者可通过本所官网和上证债券信息网“竞买预约提示”栏目查看竞买信息，经履行内部合规风控等相关流程后，于应价申报提交时间内（竞买日10:00-11:30），作为应价方提交应价申报。</w:t>
      </w:r>
    </w:p>
    <w:p w14:paraId="274AEB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债券投资者可对正在进行的竞买发起申报进行应价申报。应价方可以针对同一笔竞买发起申报提交多笔应价申报。对于单一主体中标，固定收益平台将在“应价申报”菜单显示当前最优价的应价申报信息。</w:t>
      </w:r>
    </w:p>
    <w:p w14:paraId="484E482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（2）应价申报要素</w:t>
      </w:r>
    </w:p>
    <w:p w14:paraId="7A01C01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应价申报要素应当包括交易品种、价格、数量、应价方证券账户、是否匿名等内容。应价申报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004"/>
      </w:tblGrid>
      <w:tr w14:paraId="77E2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67CBAE6">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004" w:type="dxa"/>
          </w:tcPr>
          <w:p w14:paraId="11AF95FF">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53CF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DB7BD56">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004" w:type="dxa"/>
          </w:tcPr>
          <w:p w14:paraId="2699C34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288A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7F95D43">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004" w:type="dxa"/>
          </w:tcPr>
          <w:p w14:paraId="1F1C334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应价申报</w:t>
            </w:r>
          </w:p>
        </w:tc>
      </w:tr>
      <w:tr w14:paraId="7A1A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551FF7B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004" w:type="dxa"/>
          </w:tcPr>
          <w:p w14:paraId="67B8A27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76FF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4695AB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w:t>
            </w:r>
          </w:p>
        </w:tc>
        <w:tc>
          <w:tcPr>
            <w:tcW w:w="6004" w:type="dxa"/>
          </w:tcPr>
          <w:p w14:paraId="41B2918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应价价格</w:t>
            </w:r>
          </w:p>
        </w:tc>
      </w:tr>
      <w:tr w14:paraId="0C1E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3B6D5FE">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004" w:type="dxa"/>
          </w:tcPr>
          <w:p w14:paraId="3A8724F7">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应价方的证券账户号码</w:t>
            </w:r>
          </w:p>
        </w:tc>
      </w:tr>
      <w:tr w14:paraId="5D18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66CB820">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004" w:type="dxa"/>
          </w:tcPr>
          <w:p w14:paraId="312947FC">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应价方的证券账户名称</w:t>
            </w:r>
          </w:p>
        </w:tc>
      </w:tr>
      <w:tr w14:paraId="0041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9517231">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004" w:type="dxa"/>
          </w:tcPr>
          <w:p w14:paraId="38BDF97C">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27CB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753C311">
            <w:pPr>
              <w:pStyle w:val="12"/>
              <w:ind w:firstLine="0" w:firstLineChars="0"/>
              <w:rPr>
                <w:rFonts w:ascii="仿宋_GB2312" w:eastAsia="仿宋_GB2312"/>
                <w:b/>
                <w:kern w:val="0"/>
                <w:lang w:bidi="en-US"/>
              </w:rPr>
            </w:pPr>
            <w:r>
              <w:rPr>
                <w:rFonts w:hint="eastAsia" w:ascii="仿宋_GB2312" w:hAnsi="宋体" w:eastAsia="仿宋_GB2312"/>
                <w:b/>
                <w:color w:val="000000"/>
                <w:kern w:val="0"/>
                <w:lang w:bidi="en-US"/>
              </w:rPr>
              <w:t>交易品种</w:t>
            </w:r>
          </w:p>
        </w:tc>
        <w:tc>
          <w:tcPr>
            <w:tcW w:w="6004" w:type="dxa"/>
          </w:tcPr>
          <w:p w14:paraId="490C8A5D">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r>
              <w:rPr>
                <w:rFonts w:hint="eastAsia" w:ascii="仿宋_GB2312" w:eastAsia="仿宋_GB2312"/>
                <w:kern w:val="0"/>
                <w:lang w:bidi="en-US"/>
              </w:rPr>
              <w:t>，自动显示</w:t>
            </w:r>
          </w:p>
        </w:tc>
      </w:tr>
      <w:tr w14:paraId="69C9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3C1D193">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004" w:type="dxa"/>
          </w:tcPr>
          <w:p w14:paraId="7E03E4B7">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即上交所证券简称，自动显示</w:t>
            </w:r>
          </w:p>
        </w:tc>
      </w:tr>
      <w:tr w14:paraId="672B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6E58C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004" w:type="dxa"/>
          </w:tcPr>
          <w:p w14:paraId="6CEDBA3F">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结算方式，自动显示</w:t>
            </w:r>
          </w:p>
        </w:tc>
      </w:tr>
      <w:tr w14:paraId="4C57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7712ECE6">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结算速度</w:t>
            </w:r>
          </w:p>
        </w:tc>
        <w:tc>
          <w:tcPr>
            <w:tcW w:w="6004" w:type="dxa"/>
          </w:tcPr>
          <w:p w14:paraId="5B0D3516">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结算速度，自动显示</w:t>
            </w:r>
          </w:p>
        </w:tc>
      </w:tr>
      <w:tr w14:paraId="718A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2EDFD03">
            <w:pPr>
              <w:pStyle w:val="12"/>
              <w:tabs>
                <w:tab w:val="left" w:pos="0"/>
                <w:tab w:val="center" w:pos="4867"/>
                <w:tab w:val="right" w:pos="9360"/>
              </w:tabs>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004" w:type="dxa"/>
          </w:tcPr>
          <w:p w14:paraId="7A41D29A">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345F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D02AEA">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004" w:type="dxa"/>
          </w:tcPr>
          <w:p w14:paraId="174424DF">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根据当前交易日期、结算周期，自动显示</w:t>
            </w:r>
          </w:p>
        </w:tc>
      </w:tr>
      <w:tr w14:paraId="2323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63DFB5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004" w:type="dxa"/>
          </w:tcPr>
          <w:p w14:paraId="6F166384">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应价方交易参与人的交易单元号码，自动显示，无需输入</w:t>
            </w:r>
          </w:p>
        </w:tc>
      </w:tr>
      <w:tr w14:paraId="692B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0038E57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004" w:type="dxa"/>
          </w:tcPr>
          <w:p w14:paraId="645C8C7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应价方交易参与人简称，自动显示，无需输入</w:t>
            </w:r>
          </w:p>
        </w:tc>
      </w:tr>
      <w:tr w14:paraId="1883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F42E939">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004" w:type="dxa"/>
          </w:tcPr>
          <w:p w14:paraId="1F79959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应价方交易员代码，自动显示，无需输入</w:t>
            </w:r>
          </w:p>
        </w:tc>
      </w:tr>
      <w:tr w14:paraId="0172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135A4CF">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004" w:type="dxa"/>
          </w:tcPr>
          <w:p w14:paraId="41BCF6D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应价方交易员名称，自动显示，无需输入</w:t>
            </w:r>
          </w:p>
        </w:tc>
      </w:tr>
      <w:tr w14:paraId="68AB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9B225C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证券账号</w:t>
            </w:r>
          </w:p>
        </w:tc>
        <w:tc>
          <w:tcPr>
            <w:tcW w:w="6004" w:type="dxa"/>
          </w:tcPr>
          <w:p w14:paraId="3DFCA53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卖方的证券账户号码，无需输入</w:t>
            </w:r>
          </w:p>
        </w:tc>
      </w:tr>
      <w:tr w14:paraId="28B0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D9E8B0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证券账户名称</w:t>
            </w:r>
          </w:p>
        </w:tc>
        <w:tc>
          <w:tcPr>
            <w:tcW w:w="6004" w:type="dxa"/>
          </w:tcPr>
          <w:p w14:paraId="18E3E1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卖方的证券账户名称，无需输入</w:t>
            </w:r>
          </w:p>
        </w:tc>
      </w:tr>
      <w:tr w14:paraId="72F6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A999FB4">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交易参与人</w:t>
            </w:r>
          </w:p>
        </w:tc>
        <w:tc>
          <w:tcPr>
            <w:tcW w:w="6004" w:type="dxa"/>
          </w:tcPr>
          <w:p w14:paraId="5B31B797">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3694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8184F0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004" w:type="dxa"/>
          </w:tcPr>
          <w:p w14:paraId="673514A9">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718CAF2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采用单一主体中标方式的，应价申报包含交易品种、价格、应价方证券账户等信息。其中，应价申报价格应处于卖方明确的价格区间内，不得低于底价，否则视作无效应价申报。</w:t>
      </w:r>
    </w:p>
    <w:p w14:paraId="792FE0A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（3）应价申报撤销</w:t>
      </w:r>
    </w:p>
    <w:p w14:paraId="1422BD5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采用单一主体中标方式的，应价申报不可撤销。</w:t>
      </w:r>
    </w:p>
    <w:p w14:paraId="0AB84308">
      <w:pPr>
        <w:numPr>
          <w:ilvl w:val="2"/>
          <w:numId w:val="4"/>
        </w:numPr>
        <w:spacing w:line="600" w:lineRule="exact"/>
        <w:ind w:left="0" w:firstLine="0"/>
        <w:outlineLvl w:val="2"/>
        <w:rPr>
          <w:rFonts w:ascii="仿宋_GB2312" w:eastAsia="仿宋_GB2312"/>
          <w:b/>
          <w:sz w:val="30"/>
          <w:szCs w:val="30"/>
        </w:rPr>
      </w:pPr>
      <w:bookmarkStart w:id="379" w:name="_Toc57908910"/>
      <w:r>
        <w:rPr>
          <w:rFonts w:hint="eastAsia" w:ascii="仿宋_GB2312" w:eastAsia="仿宋_GB2312"/>
          <w:b/>
          <w:sz w:val="30"/>
          <w:szCs w:val="30"/>
        </w:rPr>
        <w:t>成交</w:t>
      </w:r>
      <w:bookmarkEnd w:id="379"/>
    </w:p>
    <w:p w14:paraId="22B2FF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时间截止后（竞买日11:30后），系统按竞买方式对应的成交规则计算成交价格和成交数量，生成成交信息。对于采用净额结算方式结算的，若交易对手方选择“匿名提交”，则成交信息不含交易对手方信息；反之，则显示交易对手方信息。对于采用逐笔全额结算方式的，成交信息包含交易双方信息。</w:t>
      </w:r>
    </w:p>
    <w:p w14:paraId="275BF9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w:t>
      </w:r>
      <w:r>
        <w:rPr>
          <w:rFonts w:hint="eastAsia" w:ascii="仿宋_GB2312" w:eastAsia="仿宋_GB2312"/>
          <w:color w:val="000000"/>
          <w:sz w:val="30"/>
          <w:szCs w:val="30"/>
        </w:rPr>
        <w:t>由最优出价的应价方按照其应价价格、该笔竞买的全部申报数量成交</w:t>
      </w:r>
      <w:r>
        <w:rPr>
          <w:rFonts w:hint="eastAsia" w:ascii="仿宋_GB2312" w:hAnsi="仿宋" w:eastAsia="仿宋_GB2312"/>
          <w:sz w:val="30"/>
          <w:szCs w:val="30"/>
        </w:rPr>
        <w:t>。若最优出价存在多笔应价申报的，按时间优先原则成交。</w:t>
      </w:r>
      <w:r>
        <w:rPr>
          <w:rFonts w:ascii="仿宋_GB2312" w:hAnsi="仿宋" w:eastAsia="仿宋_GB2312"/>
          <w:sz w:val="30"/>
          <w:szCs w:val="30"/>
        </w:rPr>
        <w:t>多主体中标</w:t>
      </w:r>
      <w:r>
        <w:rPr>
          <w:rFonts w:hint="eastAsia" w:ascii="仿宋_GB2312" w:hAnsi="仿宋" w:eastAsia="仿宋_GB2312"/>
          <w:sz w:val="30"/>
          <w:szCs w:val="30"/>
        </w:rPr>
        <w:t>方式因</w:t>
      </w:r>
      <w:r>
        <w:rPr>
          <w:rFonts w:ascii="仿宋_GB2312" w:hAnsi="仿宋" w:eastAsia="仿宋_GB2312"/>
          <w:sz w:val="30"/>
          <w:szCs w:val="30"/>
        </w:rPr>
        <w:t>暂缓实施</w:t>
      </w:r>
      <w:r>
        <w:rPr>
          <w:rFonts w:hint="eastAsia" w:ascii="仿宋_GB2312" w:hAnsi="仿宋" w:eastAsia="仿宋_GB2312"/>
          <w:sz w:val="30"/>
          <w:szCs w:val="30"/>
        </w:rPr>
        <w:t>不再赘述。</w:t>
      </w:r>
    </w:p>
    <w:p w14:paraId="068A5F24">
      <w:pPr>
        <w:numPr>
          <w:ilvl w:val="2"/>
          <w:numId w:val="4"/>
        </w:numPr>
        <w:spacing w:line="600" w:lineRule="exact"/>
        <w:ind w:left="0" w:firstLine="0"/>
        <w:outlineLvl w:val="2"/>
        <w:rPr>
          <w:rFonts w:ascii="仿宋_GB2312" w:eastAsia="仿宋_GB2312"/>
          <w:b/>
          <w:sz w:val="30"/>
          <w:szCs w:val="30"/>
        </w:rPr>
      </w:pPr>
      <w:bookmarkStart w:id="380" w:name="_Toc57908911"/>
      <w:r>
        <w:rPr>
          <w:rFonts w:hint="eastAsia" w:ascii="仿宋_GB2312" w:eastAsia="仿宋_GB2312"/>
          <w:b/>
          <w:sz w:val="30"/>
          <w:szCs w:val="30"/>
        </w:rPr>
        <w:t>竞买结果</w:t>
      </w:r>
      <w:bookmarkEnd w:id="380"/>
    </w:p>
    <w:p w14:paraId="46C79AE7">
      <w:pPr>
        <w:spacing w:line="600" w:lineRule="exact"/>
        <w:ind w:firstLine="600" w:firstLineChars="200"/>
        <w:outlineLvl w:val="3"/>
        <w:rPr>
          <w:rFonts w:ascii="仿宋_GB2312" w:eastAsia="仿宋_GB2312"/>
          <w:sz w:val="30"/>
          <w:szCs w:val="30"/>
        </w:rPr>
      </w:pPr>
      <w:r>
        <w:rPr>
          <w:rFonts w:hint="eastAsia" w:ascii="仿宋_GB2312" w:hAnsi="仿宋" w:eastAsia="仿宋_GB2312"/>
          <w:sz w:val="30"/>
          <w:szCs w:val="30"/>
        </w:rPr>
        <w:t>（1）成交数据发送</w:t>
      </w:r>
    </w:p>
    <w:p w14:paraId="6757BA5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成交后，系统将逐笔成交数据分别发送给交易对应的买卖双方，债券投资者仅能收到与自己相关的成交数据。</w:t>
      </w:r>
    </w:p>
    <w:p w14:paraId="6EB1D7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571"/>
      </w:tblGrid>
      <w:tr w14:paraId="2C38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F442F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1A414B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BA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DAEFA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571" w:type="dxa"/>
          </w:tcPr>
          <w:p w14:paraId="2657A321">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55B4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B02FE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571" w:type="dxa"/>
          </w:tcPr>
          <w:p w14:paraId="21CD3A5C">
            <w:pPr>
              <w:pStyle w:val="12"/>
              <w:ind w:firstLine="0" w:firstLineChars="0"/>
              <w:rPr>
                <w:rFonts w:ascii="仿宋_GB2312" w:eastAsia="仿宋_GB2312"/>
                <w:kern w:val="0"/>
                <w:lang w:bidi="en-US"/>
              </w:rPr>
            </w:pPr>
            <w:r>
              <w:rPr>
                <w:rFonts w:hint="eastAsia" w:ascii="仿宋_GB2312" w:eastAsia="仿宋_GB2312"/>
                <w:kern w:val="0"/>
                <w:lang w:bidi="en-US"/>
              </w:rPr>
              <w:t>单一主体中标</w:t>
            </w:r>
          </w:p>
        </w:tc>
      </w:tr>
      <w:tr w14:paraId="23A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B4D22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571" w:type="dxa"/>
          </w:tcPr>
          <w:p w14:paraId="77538734">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078D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8AA34C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18D3AD54">
            <w:pPr>
              <w:pStyle w:val="12"/>
              <w:ind w:firstLine="0" w:firstLineChars="0"/>
              <w:rPr>
                <w:rFonts w:ascii="仿宋_GB2312" w:hAnsi="宋体" w:eastAsia="仿宋_GB2312"/>
                <w:b/>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47EF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A973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571" w:type="dxa"/>
          </w:tcPr>
          <w:p w14:paraId="3F055856">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010B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8FC46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400FA697">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1496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6D2E39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571" w:type="dxa"/>
          </w:tcPr>
          <w:p w14:paraId="27086F9E">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6083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B772C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571" w:type="dxa"/>
          </w:tcPr>
          <w:p w14:paraId="2BF5C056">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372A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5683D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571" w:type="dxa"/>
          </w:tcPr>
          <w:p w14:paraId="622F8CB9">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20398D02">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6D51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205D91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701782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56CC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184437A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02A162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5BFB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F19FE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71" w:type="dxa"/>
          </w:tcPr>
          <w:p w14:paraId="6D18B68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1E9B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5B118E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571" w:type="dxa"/>
          </w:tcPr>
          <w:p w14:paraId="56AFC4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39DA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6D1D1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01680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r w14:paraId="3165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ACCDE3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0C72B122">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141E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AF0AE0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7CF1BB68">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6CDD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37C8B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75D173F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597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7F8CB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3410C2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2D08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3191D5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5E7C55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471A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7540AA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77E2A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00AA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745717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17ED6A8">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A38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31E489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571" w:type="dxa"/>
          </w:tcPr>
          <w:p w14:paraId="776A02EE">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6B6B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DF61E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571" w:type="dxa"/>
          </w:tcPr>
          <w:p w14:paraId="1F3DFFF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3B31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15A34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571" w:type="dxa"/>
          </w:tcPr>
          <w:p w14:paraId="52C70BE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DF5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4F3D49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571" w:type="dxa"/>
          </w:tcPr>
          <w:p w14:paraId="2B70413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5E3A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21DB86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571" w:type="dxa"/>
          </w:tcPr>
          <w:p w14:paraId="4BBA2C7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1B09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2863D3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571" w:type="dxa"/>
          </w:tcPr>
          <w:p w14:paraId="7F44A383">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4712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1CCC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26C52D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bl>
    <w:p w14:paraId="1083EA0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（2）竞买结果发布</w:t>
      </w:r>
    </w:p>
    <w:p w14:paraId="304382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竞买完成后，固定收益平台将根据竞买结果信息自动生成竞买结果公告，并于当日对外发布。债券投资者可在本所官网、上证债券信息网、固定收益平台客户端查询到发布的竞买结果信息。</w:t>
      </w:r>
    </w:p>
    <w:p w14:paraId="7E02E26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采用单一主体中标方式的，发布竞买债券信息、中标量、中标价格等信息（详见附件6示例四）。</w:t>
      </w:r>
    </w:p>
    <w:p w14:paraId="3D7218D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流拍情形</w:t>
      </w:r>
    </w:p>
    <w:p w14:paraId="029C53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若竞买最终未达成成交，则不对外发布结果公告信息。</w:t>
      </w:r>
    </w:p>
    <w:p w14:paraId="587782C6">
      <w:pPr>
        <w:numPr>
          <w:ilvl w:val="1"/>
          <w:numId w:val="4"/>
        </w:numPr>
        <w:spacing w:line="600" w:lineRule="exact"/>
        <w:ind w:left="0" w:firstLine="0"/>
        <w:outlineLvl w:val="1"/>
        <w:rPr>
          <w:rFonts w:ascii="仿宋_GB2312" w:eastAsia="仿宋_GB2312"/>
          <w:b/>
          <w:sz w:val="30"/>
          <w:szCs w:val="30"/>
        </w:rPr>
      </w:pPr>
      <w:bookmarkStart w:id="381" w:name="_Toc97819657"/>
      <w:bookmarkEnd w:id="381"/>
      <w:bookmarkStart w:id="382" w:name="_Toc97819658"/>
      <w:bookmarkEnd w:id="382"/>
      <w:bookmarkStart w:id="383" w:name="_Toc97819656"/>
      <w:bookmarkEnd w:id="383"/>
      <w:bookmarkStart w:id="384" w:name="_Toc151136905"/>
      <w:bookmarkStart w:id="385" w:name="_Toc56166273"/>
      <w:bookmarkStart w:id="386" w:name="_Toc56166084"/>
      <w:r>
        <w:rPr>
          <w:rFonts w:hint="eastAsia" w:ascii="仿宋_GB2312" w:eastAsia="仿宋_GB2312"/>
          <w:b/>
          <w:sz w:val="30"/>
          <w:szCs w:val="30"/>
        </w:rPr>
        <w:t>意向申报</w:t>
      </w:r>
      <w:bookmarkEnd w:id="384"/>
      <w:bookmarkEnd w:id="385"/>
      <w:bookmarkEnd w:id="386"/>
    </w:p>
    <w:p w14:paraId="562151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786AE19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意向申报是指表明其交易意向的申报，债券投资者可以向全市场或者部分债券投资者发送意向申报，意向申报不可直接确认成交。其他债券投资者可以通过询价成交、协商成交等方式与意向申报发出方达成交易。</w:t>
      </w:r>
    </w:p>
    <w:p w14:paraId="20CF14E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F64ED7B">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意向申报要素应当包括交易品种、交易方向、意向申报价格、是否匿名等内容。债券投资者可以选填意向申报数量等。</w:t>
      </w:r>
    </w:p>
    <w:p w14:paraId="5151C528">
      <w:pPr>
        <w:spacing w:line="600" w:lineRule="exact"/>
        <w:ind w:firstLine="600" w:firstLineChars="200"/>
        <w:rPr>
          <w:rFonts w:ascii="仿宋_GB2312" w:eastAsia="仿宋_GB2312"/>
          <w:color w:val="000000"/>
          <w:sz w:val="30"/>
          <w:szCs w:val="30"/>
        </w:rPr>
      </w:pPr>
      <w:r>
        <w:rPr>
          <w:rFonts w:hint="eastAsia" w:ascii="仿宋_GB2312" w:hAnsi="仿宋" w:eastAsia="仿宋_GB2312"/>
          <w:bCs/>
          <w:sz w:val="30"/>
          <w:szCs w:val="30"/>
        </w:rPr>
        <w:t>交易品种要素，包括标的债券的证券简称、证券代码（如适用），下同。</w:t>
      </w:r>
    </w:p>
    <w:p w14:paraId="5FCFB86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（1）现券交易意向申报</w:t>
      </w:r>
    </w:p>
    <w:p w14:paraId="3AD6EE7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债券投资者可填写的现券交易意向申报信息，包含证券代码、交易品种、买卖方向、意向申报价格、意向申报数量、是否匿名等。</w:t>
      </w:r>
    </w:p>
    <w:p w14:paraId="439C5B2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现券交易意向申报具体要素及要素说明如下：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2BAF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24B0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4F7A14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209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898C3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53A7650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意向申报</w:t>
            </w:r>
          </w:p>
        </w:tc>
      </w:tr>
      <w:tr w14:paraId="64CE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BA7821C">
            <w:pPr>
              <w:pStyle w:val="12"/>
              <w:ind w:firstLine="0" w:firstLineChars="0"/>
              <w:rPr>
                <w:rFonts w:ascii="仿宋_GB2312" w:eastAsia="仿宋_GB2312"/>
                <w:b/>
                <w:kern w:val="0"/>
                <w:lang w:eastAsia="en-US" w:bidi="en-US"/>
              </w:rPr>
            </w:pPr>
            <w:r>
              <w:rPr>
                <w:rFonts w:hint="eastAsia" w:ascii="仿宋_GB2312" w:eastAsia="仿宋_GB2312"/>
                <w:b/>
                <w:kern w:val="0"/>
                <w:lang w:bidi="en-US"/>
              </w:rPr>
              <w:t>交易品种</w:t>
            </w:r>
          </w:p>
        </w:tc>
        <w:tc>
          <w:tcPr>
            <w:tcW w:w="6571" w:type="dxa"/>
          </w:tcPr>
          <w:p w14:paraId="19CAFE03">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4D9A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C2FA1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买卖方向</w:t>
            </w:r>
          </w:p>
        </w:tc>
        <w:tc>
          <w:tcPr>
            <w:tcW w:w="6571" w:type="dxa"/>
          </w:tcPr>
          <w:p w14:paraId="36A873E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w:t>
            </w:r>
            <w:r>
              <w:rPr>
                <w:rFonts w:ascii="仿宋_GB2312" w:eastAsia="仿宋_GB2312"/>
                <w:kern w:val="0"/>
                <w:lang w:eastAsia="en-US" w:bidi="en-US"/>
              </w:rPr>
              <w:t>/</w:t>
            </w:r>
            <w:r>
              <w:rPr>
                <w:rFonts w:hint="eastAsia" w:ascii="仿宋_GB2312" w:eastAsia="仿宋_GB2312"/>
                <w:kern w:val="0"/>
                <w:lang w:eastAsia="en-US" w:bidi="en-US"/>
              </w:rPr>
              <w:t>卖出</w:t>
            </w:r>
          </w:p>
        </w:tc>
      </w:tr>
      <w:tr w14:paraId="3E20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690E8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意向价格</w:t>
            </w:r>
          </w:p>
        </w:tc>
        <w:tc>
          <w:tcPr>
            <w:tcW w:w="6571" w:type="dxa"/>
          </w:tcPr>
          <w:p w14:paraId="06F6B148">
            <w:pPr>
              <w:pStyle w:val="12"/>
              <w:ind w:firstLine="0" w:firstLineChars="0"/>
              <w:rPr>
                <w:rFonts w:ascii="仿宋_GB2312" w:eastAsia="仿宋_GB2312"/>
                <w:kern w:val="0"/>
                <w:lang w:bidi="en-US"/>
              </w:rPr>
            </w:pPr>
            <w:r>
              <w:rPr>
                <w:rFonts w:hint="eastAsia" w:ascii="仿宋_GB2312" w:eastAsia="仿宋_GB2312"/>
                <w:kern w:val="0"/>
                <w:lang w:bidi="en-US"/>
              </w:rPr>
              <w:t>意向申报的价格，单位：元</w:t>
            </w:r>
          </w:p>
        </w:tc>
      </w:tr>
      <w:tr w14:paraId="1F58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F2A5A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意向数量</w:t>
            </w:r>
          </w:p>
        </w:tc>
        <w:tc>
          <w:tcPr>
            <w:tcW w:w="6571" w:type="dxa"/>
          </w:tcPr>
          <w:p w14:paraId="10D0EBF2">
            <w:pPr>
              <w:pStyle w:val="12"/>
              <w:ind w:firstLine="0" w:firstLineChars="0"/>
              <w:rPr>
                <w:rFonts w:ascii="仿宋_GB2312" w:eastAsia="仿宋_GB2312"/>
                <w:kern w:val="0"/>
                <w:lang w:bidi="en-US"/>
              </w:rPr>
            </w:pPr>
            <w:r>
              <w:rPr>
                <w:rFonts w:hint="eastAsia" w:ascii="仿宋_GB2312" w:eastAsia="仿宋_GB2312"/>
                <w:kern w:val="0"/>
                <w:lang w:bidi="en-US"/>
              </w:rPr>
              <w:t>意向申报数量，单位：千元面额</w:t>
            </w:r>
          </w:p>
        </w:tc>
      </w:tr>
      <w:tr w14:paraId="4D1D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0D5008BE">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571" w:type="dxa"/>
          </w:tcPr>
          <w:p w14:paraId="39A91E59">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4864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381FD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3B276AEB">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0D1A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61F6B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0DC53BCD">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结算方式自动带出</w:t>
            </w:r>
          </w:p>
        </w:tc>
      </w:tr>
      <w:tr w14:paraId="48B9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85B13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401F43E">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77D3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E062F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2F2FEB1A">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299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40A254C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049019D">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DFB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2D477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71B16F4">
            <w:pPr>
              <w:pStyle w:val="12"/>
              <w:ind w:firstLine="0" w:firstLineChars="0"/>
              <w:rPr>
                <w:rFonts w:ascii="仿宋_GB2312" w:eastAsia="仿宋_GB2312"/>
                <w:kern w:val="0"/>
                <w:lang w:bidi="en-US"/>
              </w:rPr>
            </w:pPr>
            <w:r>
              <w:rPr>
                <w:rFonts w:hint="eastAsia" w:ascii="仿宋_GB2312" w:eastAsia="仿宋_GB2312"/>
                <w:kern w:val="0"/>
                <w:lang w:bidi="en-US"/>
              </w:rPr>
              <w:t>交易参与人简称，自动显示，无需输入</w:t>
            </w:r>
          </w:p>
        </w:tc>
      </w:tr>
      <w:tr w14:paraId="0EE4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401F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717AE763">
            <w:pPr>
              <w:pStyle w:val="12"/>
              <w:ind w:firstLine="0" w:firstLineChars="0"/>
              <w:rPr>
                <w:rFonts w:ascii="仿宋_GB2312" w:eastAsia="仿宋_GB2312"/>
                <w:kern w:val="0"/>
                <w:lang w:bidi="en-US"/>
              </w:rPr>
            </w:pPr>
            <w:r>
              <w:rPr>
                <w:rFonts w:hint="eastAsia" w:ascii="仿宋_GB2312" w:eastAsia="仿宋_GB2312"/>
                <w:kern w:val="0"/>
                <w:lang w:bidi="en-US"/>
              </w:rPr>
              <w:t>申报方交易员代码，自动显示，无需输入</w:t>
            </w:r>
          </w:p>
        </w:tc>
      </w:tr>
      <w:tr w14:paraId="4E90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256F1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49C54728">
            <w:pPr>
              <w:pStyle w:val="12"/>
              <w:ind w:firstLine="0" w:firstLineChars="0"/>
              <w:rPr>
                <w:rFonts w:ascii="仿宋_GB2312" w:eastAsia="仿宋_GB2312"/>
                <w:kern w:val="0"/>
                <w:lang w:bidi="en-US"/>
              </w:rPr>
            </w:pPr>
            <w:r>
              <w:rPr>
                <w:rFonts w:hint="eastAsia" w:ascii="仿宋_GB2312" w:eastAsia="仿宋_GB2312"/>
                <w:kern w:val="0"/>
                <w:lang w:bidi="en-US"/>
              </w:rPr>
              <w:t>申报方交易员名称，自动显示，无需输入</w:t>
            </w:r>
          </w:p>
        </w:tc>
      </w:tr>
    </w:tbl>
    <w:p w14:paraId="31AFBE5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（2）债券质押式协议回购意向申报</w:t>
      </w:r>
    </w:p>
    <w:p w14:paraId="57465C7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协议回购（以下简称协议回购）意向申报信息，包含回购方向、回购期限、质押券代码、质押券简称、回购利率、券面总额、质押数量、折算比例、成交金额、首次结算日、回购到期日、到期结算日、申报交易参与人简称、申报交易员代码等。</w:t>
      </w:r>
    </w:p>
    <w:p w14:paraId="6980F36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协议回购意向申报具体要素及要素说明详见本指南第7章关于债券质押式协议回购的相关规定。</w:t>
      </w:r>
    </w:p>
    <w:p w14:paraId="0DF74093">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（3）债券质押式三方回购意向申报</w:t>
      </w:r>
    </w:p>
    <w:p w14:paraId="5E55E1F3">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债券质押式三方回购（以下简称三方回购）意向申报信息，包含回购方向、回购期限、回购利率、金额、三方回购专用证券账户、交易单元、质押券篮子、申报交易参与人简称、申报交易员代码等。</w:t>
      </w:r>
    </w:p>
    <w:p w14:paraId="7E792589">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三方回购意向申报具体要素及要素说明详见本指南第7章关于债券质押式三方回购的相关规定。</w:t>
      </w:r>
    </w:p>
    <w:p w14:paraId="44C95BA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申报方式 </w:t>
      </w:r>
    </w:p>
    <w:p w14:paraId="4743C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本所固定收益平台为意向申报提供电子化接口及客户端，债券交易参与人可通过电子化接口及客户端接入本所系统，并提交意向申报。</w:t>
      </w:r>
    </w:p>
    <w:p w14:paraId="1A329AD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关于债券投资者其他接入本所系统相关事宜详见本指南第2章。</w:t>
      </w:r>
    </w:p>
    <w:p w14:paraId="67EA0B9C">
      <w:pPr>
        <w:numPr>
          <w:ilvl w:val="0"/>
          <w:numId w:val="4"/>
        </w:numPr>
        <w:spacing w:line="600" w:lineRule="exact"/>
        <w:outlineLvl w:val="0"/>
        <w:rPr>
          <w:szCs w:val="30"/>
        </w:rPr>
      </w:pPr>
      <w:r>
        <w:rPr>
          <w:rFonts w:ascii="仿宋_GB2312" w:hAnsi="仿宋" w:eastAsia="仿宋_GB2312"/>
          <w:szCs w:val="30"/>
        </w:rPr>
        <w:br w:type="page"/>
      </w:r>
      <w:bookmarkStart w:id="387" w:name="_Toc46910494"/>
      <w:bookmarkStart w:id="388" w:name="_Toc47457021"/>
      <w:bookmarkStart w:id="389" w:name="_Toc48742264"/>
      <w:bookmarkStart w:id="390" w:name="_Toc56166085"/>
      <w:bookmarkStart w:id="391" w:name="_Toc55318666"/>
      <w:bookmarkStart w:id="392" w:name="_Toc56166274"/>
      <w:bookmarkStart w:id="393" w:name="_Toc47455764"/>
      <w:bookmarkStart w:id="394" w:name="_Toc151136906"/>
      <w:r>
        <w:rPr>
          <w:rFonts w:hint="eastAsia" w:ascii="黑体" w:hAnsi="黑体" w:eastAsia="黑体" w:cs="黑体"/>
          <w:b/>
          <w:sz w:val="36"/>
        </w:rPr>
        <w:t>债券现券交易</w:t>
      </w:r>
      <w:bookmarkEnd w:id="387"/>
      <w:bookmarkEnd w:id="388"/>
      <w:bookmarkEnd w:id="389"/>
      <w:bookmarkEnd w:id="390"/>
      <w:bookmarkEnd w:id="391"/>
      <w:bookmarkEnd w:id="392"/>
      <w:bookmarkEnd w:id="393"/>
      <w:bookmarkEnd w:id="394"/>
    </w:p>
    <w:p w14:paraId="27EA3B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本章主要对债券现券交易中的交易品种、现券交易申报与成交、做市业务、特定债券转让、价格异常波动临时停牌机制等事项进行明确。</w:t>
      </w:r>
    </w:p>
    <w:p w14:paraId="4DCBB22C">
      <w:pPr>
        <w:numPr>
          <w:ilvl w:val="1"/>
          <w:numId w:val="4"/>
        </w:numPr>
        <w:spacing w:line="600" w:lineRule="exact"/>
        <w:ind w:left="0" w:firstLine="0"/>
        <w:outlineLvl w:val="1"/>
        <w:rPr>
          <w:rFonts w:ascii="仿宋_GB2312" w:eastAsia="仿宋_GB2312"/>
          <w:b/>
          <w:sz w:val="30"/>
          <w:szCs w:val="30"/>
        </w:rPr>
      </w:pPr>
      <w:bookmarkStart w:id="395" w:name="_Toc48742265"/>
      <w:bookmarkStart w:id="396" w:name="_Toc46910495"/>
      <w:bookmarkStart w:id="397" w:name="_Toc56166086"/>
      <w:bookmarkStart w:id="398" w:name="_Toc56166275"/>
      <w:bookmarkStart w:id="399" w:name="_Toc47455765"/>
      <w:bookmarkStart w:id="400" w:name="_Toc151136907"/>
      <w:bookmarkStart w:id="401" w:name="_Toc47457022"/>
      <w:bookmarkStart w:id="402" w:name="_Toc55318667"/>
      <w:r>
        <w:rPr>
          <w:rFonts w:hint="eastAsia" w:ascii="仿宋_GB2312" w:eastAsia="仿宋_GB2312"/>
          <w:b/>
          <w:sz w:val="30"/>
          <w:szCs w:val="30"/>
        </w:rPr>
        <w:t>交易品种</w:t>
      </w:r>
      <w:bookmarkEnd w:id="395"/>
      <w:bookmarkEnd w:id="396"/>
      <w:bookmarkEnd w:id="397"/>
      <w:bookmarkEnd w:id="398"/>
      <w:bookmarkEnd w:id="399"/>
      <w:bookmarkEnd w:id="400"/>
      <w:bookmarkEnd w:id="401"/>
      <w:bookmarkEnd w:id="402"/>
    </w:p>
    <w:p w14:paraId="32222FF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目前在本所债券市场挂牌交易的债券现券包括国债、地方政府债券、政策性金融债、政府支持债券、公司债券、资产支持证券、可交换公司债券、</w:t>
      </w:r>
      <w:r>
        <w:rPr>
          <w:rFonts w:ascii="仿宋_GB2312" w:hAnsi="仿宋" w:eastAsia="仿宋_GB2312"/>
          <w:sz w:val="30"/>
          <w:szCs w:val="30"/>
        </w:rPr>
        <w:t>可转换公司</w:t>
      </w:r>
      <w:r>
        <w:rPr>
          <w:rFonts w:hint="eastAsia" w:ascii="仿宋_GB2312" w:hAnsi="仿宋" w:eastAsia="仿宋_GB2312"/>
          <w:sz w:val="30"/>
          <w:szCs w:val="30"/>
        </w:rPr>
        <w:t>债券等品种：</w:t>
      </w:r>
    </w:p>
    <w:p w14:paraId="6EBC869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（1）国债</w:t>
      </w:r>
    </w:p>
    <w:p w14:paraId="46B05DC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国债是国家为筹集财政资金，以其信用为基础，通过向社会筹集资金所形成的债权债务关系。目前，我国国债托管在交易所市场的均为记账式国债。记账式国债又分为附息国债和贴现国债两类。附息国债定期支付利息、到期还本付息、期限为</w:t>
      </w:r>
      <w:r>
        <w:rPr>
          <w:rFonts w:ascii="仿宋_GB2312" w:hAnsi="仿宋" w:eastAsia="仿宋_GB2312"/>
          <w:sz w:val="30"/>
          <w:szCs w:val="30"/>
        </w:rPr>
        <w:t>1年以上（含1年）。贴现国债以低于面值的价格贴现发行、到期按面值还本、期限为1年以下（不含1年）。</w:t>
      </w:r>
    </w:p>
    <w:p w14:paraId="7DA503E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w:t>
      </w:r>
      <w:r>
        <w:rPr>
          <w:rFonts w:ascii="仿宋_GB2312" w:hAnsi="仿宋" w:eastAsia="仿宋_GB2312"/>
          <w:sz w:val="30"/>
          <w:szCs w:val="30"/>
        </w:rPr>
        <w:t>地方政府债券（以下简称地方债）</w:t>
      </w:r>
    </w:p>
    <w:p w14:paraId="64DC69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地方债是指地方政府、地方公共机构发行的债券。一般用于交通、通讯、住宅、教育、医院和污水处理系统等的建设，以当地政府的税收能力和其他收入作为还本付息的担保，包含地方政府一般债券、地方政府专项债券。</w:t>
      </w:r>
      <w:r>
        <w:rPr>
          <w:rFonts w:ascii="仿宋_GB2312" w:hAnsi="仿宋" w:eastAsia="仿宋_GB2312"/>
          <w:sz w:val="30"/>
          <w:szCs w:val="30"/>
        </w:rPr>
        <w:t xml:space="preserve"> </w:t>
      </w:r>
    </w:p>
    <w:p w14:paraId="156BA9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w:t>
      </w:r>
      <w:r>
        <w:rPr>
          <w:rFonts w:ascii="仿宋_GB2312" w:hAnsi="仿宋" w:eastAsia="仿宋_GB2312"/>
          <w:sz w:val="30"/>
          <w:szCs w:val="30"/>
        </w:rPr>
        <w:t>政策性金融债</w:t>
      </w:r>
    </w:p>
    <w:p w14:paraId="7B6CE0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政策性金融债是由我国政策性银行为筹集信贷资金，经国务院批准向银行金融机构及其机构发行的金融债券，包含国家开发银行金融债券、农业发展银行金融债券和进出口银行金融债券。</w:t>
      </w:r>
    </w:p>
    <w:p w14:paraId="6E4E68F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（4）</w:t>
      </w:r>
      <w:r>
        <w:rPr>
          <w:rFonts w:ascii="仿宋_GB2312" w:hAnsi="仿宋" w:eastAsia="仿宋_GB2312"/>
          <w:sz w:val="30"/>
          <w:szCs w:val="30"/>
        </w:rPr>
        <w:t>政府支持债券</w:t>
      </w:r>
    </w:p>
    <w:p w14:paraId="184BBE4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政府支持债券是政府机构证券的一种，在交易所市场指</w:t>
      </w:r>
      <w:r>
        <w:fldChar w:fldCharType="begin"/>
      </w:r>
      <w:r>
        <w:instrText xml:space="preserve"> HYPERLINK "http://x/local/!CommandParam(8514,CompanyId=2002209)" </w:instrText>
      </w:r>
      <w:r>
        <w:fldChar w:fldCharType="separate"/>
      </w:r>
      <w:r>
        <w:rPr>
          <w:rFonts w:hint="eastAsia" w:ascii="仿宋_GB2312" w:hAnsi="仿宋" w:eastAsia="仿宋_GB2312"/>
          <w:sz w:val="30"/>
          <w:szCs w:val="30"/>
        </w:rPr>
        <w:t>中国国家铁路集团有限公司</w:t>
      </w:r>
      <w:r>
        <w:rPr>
          <w:rFonts w:hint="eastAsia" w:ascii="仿宋_GB2312" w:hAnsi="仿宋" w:eastAsia="仿宋_GB2312"/>
          <w:sz w:val="30"/>
          <w:szCs w:val="30"/>
        </w:rPr>
        <w:fldChar w:fldCharType="end"/>
      </w:r>
      <w:r>
        <w:rPr>
          <w:rFonts w:hint="eastAsia" w:ascii="仿宋_GB2312" w:hAnsi="仿宋" w:eastAsia="仿宋_GB2312"/>
          <w:sz w:val="30"/>
          <w:szCs w:val="30"/>
        </w:rPr>
        <w:t>（原铁道部）发行的铁路建设债券。自</w:t>
      </w:r>
      <w:r>
        <w:rPr>
          <w:rFonts w:ascii="仿宋_GB2312" w:hAnsi="仿宋" w:eastAsia="仿宋_GB2312"/>
          <w:sz w:val="30"/>
          <w:szCs w:val="30"/>
        </w:rPr>
        <w:t>2011年10月起，中国铁路建设债券被认定为“政府支持债券”</w:t>
      </w:r>
      <w:r>
        <w:rPr>
          <w:rFonts w:hint="eastAsia" w:ascii="仿宋_GB2312" w:hAnsi="仿宋" w:eastAsia="仿宋_GB2312"/>
          <w:sz w:val="30"/>
          <w:szCs w:val="30"/>
        </w:rPr>
        <w:t>。</w:t>
      </w:r>
    </w:p>
    <w:p w14:paraId="6EE5DB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（5）公司债券</w:t>
      </w:r>
    </w:p>
    <w:p w14:paraId="0631EF2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公司债券是指公司依照法定程序发行、约定在一定期限内还本付息的有价证券。公司债以公司制法人作为发行主体，按照法定程序发行，到期还本付息的有价证券。</w:t>
      </w:r>
    </w:p>
    <w:p w14:paraId="5B4B19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6</w:t>
      </w:r>
      <w:r>
        <w:rPr>
          <w:rFonts w:hint="eastAsia" w:ascii="仿宋_GB2312" w:hAnsi="仿宋" w:eastAsia="仿宋_GB2312"/>
          <w:sz w:val="30"/>
          <w:szCs w:val="30"/>
        </w:rPr>
        <w:t>）</w:t>
      </w:r>
      <w:r>
        <w:rPr>
          <w:rFonts w:ascii="仿宋_GB2312" w:hAnsi="仿宋" w:eastAsia="仿宋_GB2312"/>
          <w:sz w:val="30"/>
          <w:szCs w:val="30"/>
        </w:rPr>
        <w:t>资产支持证券</w:t>
      </w:r>
    </w:p>
    <w:p w14:paraId="4CE4FD6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资产支持证券，是指企业或其他融资主体将合法享有的、缺乏流动性但具有可预测的稳定现金流的资产或资产组合（基础资产）出售给特定的机构或载体（</w:t>
      </w:r>
      <w:r>
        <w:rPr>
          <w:rFonts w:ascii="仿宋_GB2312" w:hAnsi="仿宋" w:eastAsia="仿宋_GB2312"/>
          <w:sz w:val="30"/>
          <w:szCs w:val="30"/>
        </w:rPr>
        <w:t>SPV），SPV以该基础资产产生的现金流为支持发行证券，以获得融资并最大化提高资产流动性的一种结构性融资</w:t>
      </w:r>
      <w:r>
        <w:rPr>
          <w:rFonts w:hint="eastAsia" w:ascii="仿宋_GB2312" w:hAnsi="仿宋" w:eastAsia="仿宋_GB2312"/>
          <w:sz w:val="30"/>
          <w:szCs w:val="30"/>
        </w:rPr>
        <w:t>工具</w:t>
      </w:r>
      <w:r>
        <w:rPr>
          <w:rFonts w:ascii="仿宋_GB2312" w:hAnsi="仿宋" w:eastAsia="仿宋_GB2312"/>
          <w:sz w:val="30"/>
          <w:szCs w:val="30"/>
        </w:rPr>
        <w:t>。</w:t>
      </w:r>
    </w:p>
    <w:p w14:paraId="76DA93C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7</w:t>
      </w:r>
      <w:r>
        <w:rPr>
          <w:rFonts w:hint="eastAsia" w:ascii="仿宋_GB2312" w:hAnsi="仿宋" w:eastAsia="仿宋_GB2312"/>
          <w:sz w:val="30"/>
          <w:szCs w:val="30"/>
        </w:rPr>
        <w:t>）</w:t>
      </w:r>
      <w:r>
        <w:rPr>
          <w:rFonts w:ascii="仿宋_GB2312" w:hAnsi="仿宋" w:eastAsia="仿宋_GB2312"/>
          <w:sz w:val="30"/>
          <w:szCs w:val="30"/>
        </w:rPr>
        <w:t>可交换</w:t>
      </w:r>
      <w:r>
        <w:rPr>
          <w:rFonts w:hint="eastAsia" w:ascii="仿宋_GB2312" w:hAnsi="仿宋" w:eastAsia="仿宋_GB2312"/>
          <w:sz w:val="30"/>
          <w:szCs w:val="30"/>
        </w:rPr>
        <w:t>公司</w:t>
      </w:r>
      <w:r>
        <w:rPr>
          <w:rFonts w:ascii="仿宋_GB2312" w:hAnsi="仿宋" w:eastAsia="仿宋_GB2312"/>
          <w:sz w:val="30"/>
          <w:szCs w:val="30"/>
        </w:rPr>
        <w:t>债券</w:t>
      </w:r>
    </w:p>
    <w:p w14:paraId="42BFAF7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交换债券是指上市公司的股东依法发行、在一定期限内依据约定的条件可以交换成该股东所持有的上市公司股票的债券品种。可交换债的持有人有权按一定条件将债券交换为标的公司的股票，在此之前可定期获得如纯债一样的票息，若持有到期未行权可获得到期本息偿付。</w:t>
      </w:r>
    </w:p>
    <w:p w14:paraId="009C1A7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8</w:t>
      </w:r>
      <w:r>
        <w:rPr>
          <w:rFonts w:hint="eastAsia" w:ascii="仿宋_GB2312" w:hAnsi="仿宋" w:eastAsia="仿宋_GB2312"/>
          <w:sz w:val="30"/>
          <w:szCs w:val="30"/>
        </w:rPr>
        <w:t>）可转换</w:t>
      </w:r>
      <w:r>
        <w:rPr>
          <w:rFonts w:ascii="仿宋_GB2312" w:hAnsi="仿宋" w:eastAsia="仿宋_GB2312"/>
          <w:sz w:val="30"/>
          <w:szCs w:val="30"/>
        </w:rPr>
        <w:t>公司债券</w:t>
      </w:r>
    </w:p>
    <w:p w14:paraId="38A0330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可转换</w:t>
      </w:r>
      <w:r>
        <w:rPr>
          <w:rFonts w:ascii="仿宋_GB2312" w:hAnsi="仿宋" w:eastAsia="仿宋_GB2312"/>
          <w:sz w:val="30"/>
          <w:szCs w:val="30"/>
        </w:rPr>
        <w:t>公司债券</w:t>
      </w:r>
      <w:r>
        <w:rPr>
          <w:rFonts w:hint="eastAsia" w:ascii="仿宋_GB2312" w:hAnsi="仿宋" w:eastAsia="仿宋_GB2312"/>
          <w:sz w:val="30"/>
          <w:szCs w:val="30"/>
        </w:rPr>
        <w:t>是指上市公司</w:t>
      </w:r>
      <w:r>
        <w:rPr>
          <w:rFonts w:ascii="仿宋_GB2312" w:hAnsi="仿宋" w:eastAsia="仿宋_GB2312"/>
          <w:sz w:val="30"/>
          <w:szCs w:val="30"/>
        </w:rPr>
        <w:t>依法发行、在一定期间内依据约定的条件可以转换成本公司股票的公司债券。</w:t>
      </w:r>
    </w:p>
    <w:p w14:paraId="2D7E868E">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D78EC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9</w:t>
      </w:r>
      <w:r>
        <w:rPr>
          <w:rFonts w:hint="eastAsia" w:ascii="仿宋_GB2312" w:hAnsi="仿宋" w:eastAsia="仿宋_GB2312"/>
          <w:sz w:val="30"/>
          <w:szCs w:val="30"/>
        </w:rPr>
        <w:t>）</w:t>
      </w:r>
      <w:r>
        <w:rPr>
          <w:rFonts w:ascii="仿宋_GB2312" w:hAnsi="仿宋" w:eastAsia="仿宋_GB2312"/>
          <w:sz w:val="30"/>
          <w:szCs w:val="30"/>
        </w:rPr>
        <w:t>本所规定的其他品种</w:t>
      </w:r>
    </w:p>
    <w:p w14:paraId="30DE4BD0">
      <w:pPr>
        <w:numPr>
          <w:ilvl w:val="1"/>
          <w:numId w:val="4"/>
        </w:numPr>
        <w:spacing w:line="600" w:lineRule="exact"/>
        <w:ind w:left="0" w:firstLine="0"/>
        <w:outlineLvl w:val="1"/>
        <w:rPr>
          <w:rFonts w:ascii="仿宋_GB2312" w:eastAsia="仿宋_GB2312"/>
          <w:b/>
          <w:sz w:val="30"/>
          <w:szCs w:val="30"/>
        </w:rPr>
      </w:pPr>
      <w:bookmarkStart w:id="403" w:name="_Toc151136908"/>
      <w:bookmarkStart w:id="404" w:name="_Toc48742266"/>
      <w:bookmarkStart w:id="405" w:name="_Toc56166087"/>
      <w:bookmarkStart w:id="406" w:name="_Toc55318668"/>
      <w:bookmarkStart w:id="407" w:name="_Toc56166276"/>
      <w:r>
        <w:rPr>
          <w:rFonts w:hint="eastAsia" w:ascii="仿宋_GB2312" w:eastAsia="仿宋_GB2312"/>
          <w:b/>
          <w:sz w:val="30"/>
          <w:szCs w:val="30"/>
        </w:rPr>
        <w:t>现券交易申报与成交</w:t>
      </w:r>
      <w:bookmarkEnd w:id="403"/>
      <w:bookmarkEnd w:id="404"/>
      <w:bookmarkEnd w:id="405"/>
      <w:bookmarkEnd w:id="406"/>
      <w:bookmarkEnd w:id="407"/>
    </w:p>
    <w:p w14:paraId="05F9D547">
      <w:pPr>
        <w:spacing w:line="600" w:lineRule="exact"/>
        <w:ind w:firstLine="600" w:firstLineChars="200"/>
        <w:rPr>
          <w:rFonts w:ascii="仿宋_GB2312" w:hAnsi="微软雅黑"/>
          <w:sz w:val="30"/>
        </w:rPr>
      </w:pPr>
      <w:r>
        <w:rPr>
          <w:rFonts w:hint="eastAsia" w:ascii="仿宋_GB2312" w:hAnsi="微软雅黑" w:eastAsia="仿宋_GB2312"/>
          <w:sz w:val="30"/>
          <w:szCs w:val="30"/>
        </w:rPr>
        <w:t>债券交易参与人在进行现券交易申报与成交时，相关</w:t>
      </w:r>
      <w:r>
        <w:rPr>
          <w:rFonts w:ascii="仿宋_GB2312" w:hAnsi="微软雅黑" w:eastAsia="仿宋_GB2312"/>
          <w:sz w:val="30"/>
          <w:szCs w:val="30"/>
        </w:rPr>
        <w:t>申报数量要求、申报价格最小变动单位及价格限制、有效申报价格范围</w:t>
      </w:r>
      <w:r>
        <w:rPr>
          <w:rFonts w:hint="eastAsia" w:ascii="仿宋_GB2312" w:hAnsi="微软雅黑" w:eastAsia="仿宋_GB2312"/>
          <w:sz w:val="30"/>
          <w:szCs w:val="30"/>
        </w:rPr>
        <w:t>、申报有效期及申报撤销安排、成交原则、交易解除安排、交易对手范围设置、不同交易方式的申报要素要求等详见本指南第4章和第5章的相关规定。</w:t>
      </w:r>
    </w:p>
    <w:p w14:paraId="5529AD47">
      <w:pPr>
        <w:numPr>
          <w:ilvl w:val="1"/>
          <w:numId w:val="4"/>
        </w:numPr>
        <w:spacing w:line="600" w:lineRule="exact"/>
        <w:ind w:left="0" w:firstLine="0"/>
        <w:outlineLvl w:val="1"/>
        <w:rPr>
          <w:rFonts w:ascii="仿宋_GB2312" w:eastAsia="仿宋_GB2312"/>
          <w:b/>
          <w:sz w:val="30"/>
          <w:szCs w:val="30"/>
        </w:rPr>
      </w:pPr>
      <w:bookmarkStart w:id="408" w:name="_Toc47455778"/>
      <w:bookmarkEnd w:id="408"/>
      <w:bookmarkStart w:id="409" w:name="_Toc47372554"/>
      <w:bookmarkEnd w:id="409"/>
      <w:bookmarkStart w:id="410" w:name="_Toc47451764"/>
      <w:bookmarkEnd w:id="410"/>
      <w:bookmarkStart w:id="411" w:name="_Toc46137828"/>
      <w:bookmarkEnd w:id="411"/>
      <w:bookmarkStart w:id="412" w:name="_Toc47452081"/>
      <w:bookmarkEnd w:id="412"/>
      <w:bookmarkStart w:id="413" w:name="_Toc47443004"/>
      <w:bookmarkEnd w:id="413"/>
      <w:bookmarkStart w:id="414" w:name="_Toc47345556"/>
      <w:bookmarkEnd w:id="414"/>
      <w:bookmarkStart w:id="415" w:name="_Toc47451767"/>
      <w:bookmarkEnd w:id="415"/>
      <w:bookmarkStart w:id="416" w:name="_Toc47457040"/>
      <w:bookmarkEnd w:id="416"/>
      <w:bookmarkStart w:id="417" w:name="_Toc47442991"/>
      <w:bookmarkEnd w:id="417"/>
      <w:bookmarkStart w:id="418" w:name="_Toc47443675"/>
      <w:bookmarkEnd w:id="418"/>
      <w:bookmarkStart w:id="419" w:name="_Toc47443671"/>
      <w:bookmarkEnd w:id="419"/>
      <w:bookmarkStart w:id="420" w:name="_Toc47443672"/>
      <w:bookmarkEnd w:id="420"/>
      <w:bookmarkStart w:id="421" w:name="_Toc47443683"/>
      <w:bookmarkEnd w:id="421"/>
      <w:bookmarkStart w:id="422" w:name="_Toc47451762"/>
      <w:bookmarkEnd w:id="422"/>
      <w:bookmarkStart w:id="423" w:name="_Toc47457032"/>
      <w:bookmarkEnd w:id="423"/>
      <w:bookmarkStart w:id="424" w:name="_Toc47452080"/>
      <w:bookmarkEnd w:id="424"/>
      <w:bookmarkStart w:id="425" w:name="_Toc47443001"/>
      <w:bookmarkEnd w:id="425"/>
      <w:bookmarkStart w:id="426" w:name="_Toc46137831"/>
      <w:bookmarkEnd w:id="426"/>
      <w:bookmarkStart w:id="427" w:name="_Toc47443105"/>
      <w:bookmarkEnd w:id="427"/>
      <w:bookmarkStart w:id="428" w:name="_Toc47443101"/>
      <w:bookmarkEnd w:id="428"/>
      <w:bookmarkStart w:id="429" w:name="_Toc47443108"/>
      <w:bookmarkEnd w:id="429"/>
      <w:bookmarkStart w:id="430" w:name="_Toc47372545"/>
      <w:bookmarkEnd w:id="430"/>
      <w:bookmarkStart w:id="431" w:name="_Toc46137837"/>
      <w:bookmarkEnd w:id="431"/>
      <w:bookmarkStart w:id="432" w:name="_Toc47372544"/>
      <w:bookmarkEnd w:id="432"/>
      <w:bookmarkStart w:id="433" w:name="_Toc47455771"/>
      <w:bookmarkEnd w:id="433"/>
      <w:bookmarkStart w:id="434" w:name="_Toc47366747"/>
      <w:bookmarkEnd w:id="434"/>
      <w:bookmarkStart w:id="435" w:name="_Toc46147886"/>
      <w:bookmarkEnd w:id="435"/>
      <w:bookmarkStart w:id="436" w:name="_Toc47372559"/>
      <w:bookmarkEnd w:id="436"/>
      <w:bookmarkStart w:id="437" w:name="_Toc47455787"/>
      <w:bookmarkEnd w:id="437"/>
      <w:bookmarkStart w:id="438" w:name="_Toc47451763"/>
      <w:bookmarkEnd w:id="438"/>
      <w:bookmarkStart w:id="439" w:name="_Toc47346911"/>
      <w:bookmarkEnd w:id="439"/>
      <w:bookmarkStart w:id="440" w:name="_Toc47457035"/>
      <w:bookmarkEnd w:id="440"/>
      <w:bookmarkStart w:id="441" w:name="_Toc47442993"/>
      <w:bookmarkEnd w:id="441"/>
      <w:bookmarkStart w:id="442" w:name="_Toc47451748"/>
      <w:bookmarkEnd w:id="442"/>
      <w:bookmarkStart w:id="443" w:name="_Toc47346910"/>
      <w:bookmarkEnd w:id="443"/>
      <w:bookmarkStart w:id="444" w:name="_Toc47443099"/>
      <w:bookmarkEnd w:id="444"/>
      <w:bookmarkStart w:id="445" w:name="_Toc47366755"/>
      <w:bookmarkEnd w:id="445"/>
      <w:bookmarkStart w:id="446" w:name="_Toc47366746"/>
      <w:bookmarkEnd w:id="446"/>
      <w:bookmarkStart w:id="447" w:name="_Toc47372549"/>
      <w:bookmarkEnd w:id="447"/>
      <w:bookmarkStart w:id="448" w:name="_Toc47346912"/>
      <w:bookmarkEnd w:id="448"/>
      <w:bookmarkStart w:id="449" w:name="_Toc47372548"/>
      <w:bookmarkEnd w:id="449"/>
      <w:bookmarkStart w:id="450" w:name="_Toc47346906"/>
      <w:bookmarkEnd w:id="450"/>
      <w:bookmarkStart w:id="451" w:name="_Toc47366749"/>
      <w:bookmarkEnd w:id="451"/>
      <w:bookmarkStart w:id="452" w:name="_Toc47455767"/>
      <w:bookmarkEnd w:id="452"/>
      <w:bookmarkStart w:id="453" w:name="_Toc47452079"/>
      <w:bookmarkEnd w:id="453"/>
      <w:bookmarkStart w:id="454" w:name="_Toc47346913"/>
      <w:bookmarkEnd w:id="454"/>
      <w:bookmarkStart w:id="455" w:name="_Toc47347751"/>
      <w:bookmarkEnd w:id="455"/>
      <w:bookmarkStart w:id="456" w:name="_Toc47442997"/>
      <w:bookmarkEnd w:id="456"/>
      <w:bookmarkStart w:id="457" w:name="_Toc47451499"/>
      <w:bookmarkEnd w:id="457"/>
      <w:bookmarkStart w:id="458" w:name="_Toc47347746"/>
      <w:bookmarkEnd w:id="458"/>
      <w:bookmarkStart w:id="459" w:name="_Toc47451756"/>
      <w:bookmarkEnd w:id="459"/>
      <w:bookmarkStart w:id="460" w:name="_Toc47457038"/>
      <w:bookmarkEnd w:id="460"/>
      <w:bookmarkStart w:id="461" w:name="_Toc47451364"/>
      <w:bookmarkEnd w:id="461"/>
      <w:bookmarkStart w:id="462" w:name="_Toc47443002"/>
      <w:bookmarkEnd w:id="462"/>
      <w:bookmarkStart w:id="463" w:name="_Toc47451365"/>
      <w:bookmarkEnd w:id="463"/>
      <w:bookmarkStart w:id="464" w:name="_Toc47347748"/>
      <w:bookmarkEnd w:id="464"/>
      <w:bookmarkStart w:id="465" w:name="_Toc47442990"/>
      <w:bookmarkEnd w:id="465"/>
      <w:bookmarkStart w:id="466" w:name="_Toc47451477"/>
      <w:bookmarkEnd w:id="466"/>
      <w:bookmarkStart w:id="467" w:name="_Toc47347744"/>
      <w:bookmarkEnd w:id="467"/>
      <w:bookmarkStart w:id="468" w:name="_Toc47455766"/>
      <w:bookmarkEnd w:id="468"/>
      <w:bookmarkStart w:id="469" w:name="_Toc47457034"/>
      <w:bookmarkEnd w:id="469"/>
      <w:bookmarkStart w:id="470" w:name="_Toc47372562"/>
      <w:bookmarkEnd w:id="470"/>
      <w:bookmarkStart w:id="471" w:name="_Toc47345555"/>
      <w:bookmarkEnd w:id="471"/>
      <w:bookmarkStart w:id="472" w:name="_Toc47451747"/>
      <w:bookmarkEnd w:id="472"/>
      <w:bookmarkStart w:id="473" w:name="_Toc47452084"/>
      <w:bookmarkEnd w:id="473"/>
      <w:bookmarkStart w:id="474" w:name="_Toc47451369"/>
      <w:bookmarkEnd w:id="474"/>
      <w:bookmarkStart w:id="475" w:name="_Toc47443670"/>
      <w:bookmarkEnd w:id="475"/>
      <w:bookmarkStart w:id="476" w:name="_Toc47457031"/>
      <w:bookmarkEnd w:id="476"/>
      <w:bookmarkStart w:id="477" w:name="_Toc47455783"/>
      <w:bookmarkEnd w:id="477"/>
      <w:bookmarkStart w:id="478" w:name="_Toc47366761"/>
      <w:bookmarkEnd w:id="478"/>
      <w:bookmarkStart w:id="479" w:name="_Toc47366756"/>
      <w:bookmarkEnd w:id="479"/>
      <w:bookmarkStart w:id="480" w:name="_Toc47457024"/>
      <w:bookmarkEnd w:id="480"/>
      <w:bookmarkStart w:id="481" w:name="_Toc47346923"/>
      <w:bookmarkEnd w:id="481"/>
      <w:bookmarkStart w:id="482" w:name="_Toc47451761"/>
      <w:bookmarkEnd w:id="482"/>
      <w:bookmarkStart w:id="483" w:name="_Toc47443007"/>
      <w:bookmarkEnd w:id="483"/>
      <w:bookmarkStart w:id="484" w:name="_Toc47372550"/>
      <w:bookmarkEnd w:id="484"/>
      <w:bookmarkStart w:id="485" w:name="_Toc47443098"/>
      <w:bookmarkEnd w:id="485"/>
      <w:bookmarkStart w:id="486" w:name="_Toc47451768"/>
      <w:bookmarkEnd w:id="486"/>
      <w:bookmarkStart w:id="487" w:name="_Toc47457026"/>
      <w:bookmarkEnd w:id="487"/>
      <w:bookmarkStart w:id="488" w:name="_Toc47451486"/>
      <w:bookmarkEnd w:id="488"/>
      <w:bookmarkStart w:id="489" w:name="_Toc47347747"/>
      <w:bookmarkEnd w:id="489"/>
      <w:bookmarkStart w:id="490" w:name="_Toc47442995"/>
      <w:bookmarkEnd w:id="490"/>
      <w:bookmarkStart w:id="491" w:name="_Toc47347759"/>
      <w:bookmarkEnd w:id="491"/>
      <w:bookmarkStart w:id="492" w:name="_Toc47443112"/>
      <w:bookmarkEnd w:id="492"/>
      <w:bookmarkStart w:id="493" w:name="_Toc47347757"/>
      <w:bookmarkEnd w:id="493"/>
      <w:bookmarkStart w:id="494" w:name="_Toc47366748"/>
      <w:bookmarkEnd w:id="494"/>
      <w:bookmarkStart w:id="495" w:name="_Toc47451382"/>
      <w:bookmarkEnd w:id="495"/>
      <w:bookmarkStart w:id="496" w:name="_Toc46137838"/>
      <w:bookmarkEnd w:id="496"/>
      <w:bookmarkStart w:id="497" w:name="_Toc47451765"/>
      <w:bookmarkEnd w:id="497"/>
      <w:bookmarkStart w:id="498" w:name="_Toc47451371"/>
      <w:bookmarkEnd w:id="498"/>
      <w:bookmarkStart w:id="499" w:name="_Toc46147890"/>
      <w:bookmarkEnd w:id="499"/>
      <w:bookmarkStart w:id="500" w:name="_Toc47455777"/>
      <w:bookmarkEnd w:id="500"/>
      <w:bookmarkStart w:id="501" w:name="_Toc47451361"/>
      <w:bookmarkEnd w:id="501"/>
      <w:bookmarkStart w:id="502" w:name="_Toc47452094"/>
      <w:bookmarkEnd w:id="502"/>
      <w:bookmarkStart w:id="503" w:name="_Toc47451751"/>
      <w:bookmarkEnd w:id="503"/>
      <w:bookmarkStart w:id="504" w:name="_Toc47452093"/>
      <w:bookmarkEnd w:id="504"/>
      <w:bookmarkStart w:id="505" w:name="_Toc47347739"/>
      <w:bookmarkEnd w:id="505"/>
      <w:bookmarkStart w:id="506" w:name="_Toc47372551"/>
      <w:bookmarkEnd w:id="506"/>
      <w:bookmarkStart w:id="507" w:name="_Toc47347743"/>
      <w:bookmarkEnd w:id="507"/>
      <w:bookmarkStart w:id="508" w:name="_Toc47455779"/>
      <w:bookmarkEnd w:id="508"/>
      <w:bookmarkStart w:id="509" w:name="_Toc47345551"/>
      <w:bookmarkEnd w:id="509"/>
      <w:bookmarkStart w:id="510" w:name="_Toc47443684"/>
      <w:bookmarkEnd w:id="510"/>
      <w:bookmarkStart w:id="511" w:name="_Toc47457023"/>
      <w:bookmarkEnd w:id="511"/>
      <w:bookmarkStart w:id="512" w:name="_Toc47451755"/>
      <w:bookmarkEnd w:id="512"/>
      <w:bookmarkStart w:id="513" w:name="_Toc47366750"/>
      <w:bookmarkEnd w:id="513"/>
      <w:bookmarkStart w:id="514" w:name="_Toc47451478"/>
      <w:bookmarkEnd w:id="514"/>
      <w:bookmarkStart w:id="515" w:name="_Toc47452087"/>
      <w:bookmarkEnd w:id="515"/>
      <w:bookmarkStart w:id="516" w:name="_Toc47347753"/>
      <w:bookmarkEnd w:id="516"/>
      <w:bookmarkStart w:id="517" w:name="_Toc47347750"/>
      <w:bookmarkEnd w:id="517"/>
      <w:bookmarkStart w:id="518" w:name="_Toc47345548"/>
      <w:bookmarkEnd w:id="518"/>
      <w:bookmarkStart w:id="519" w:name="_Toc47443679"/>
      <w:bookmarkEnd w:id="519"/>
      <w:bookmarkStart w:id="520" w:name="_Toc47451492"/>
      <w:bookmarkEnd w:id="520"/>
      <w:bookmarkStart w:id="521" w:name="_Toc47443104"/>
      <w:bookmarkEnd w:id="521"/>
      <w:bookmarkStart w:id="522" w:name="_Toc47451750"/>
      <w:bookmarkEnd w:id="522"/>
      <w:bookmarkStart w:id="523" w:name="_Toc47451481"/>
      <w:bookmarkEnd w:id="523"/>
      <w:bookmarkStart w:id="524" w:name="_Toc47346929"/>
      <w:bookmarkEnd w:id="524"/>
      <w:bookmarkStart w:id="525" w:name="_Toc47457025"/>
      <w:bookmarkEnd w:id="525"/>
      <w:bookmarkStart w:id="526" w:name="_Toc47372564"/>
      <w:bookmarkEnd w:id="526"/>
      <w:bookmarkStart w:id="527" w:name="_Toc47442999"/>
      <w:bookmarkEnd w:id="527"/>
      <w:bookmarkStart w:id="528" w:name="_Toc47442989"/>
      <w:bookmarkEnd w:id="528"/>
      <w:bookmarkStart w:id="529" w:name="_Toc47346920"/>
      <w:bookmarkEnd w:id="529"/>
      <w:bookmarkStart w:id="530" w:name="_Toc47442998"/>
      <w:bookmarkEnd w:id="530"/>
      <w:bookmarkStart w:id="531" w:name="_Toc47455788"/>
      <w:bookmarkEnd w:id="531"/>
      <w:bookmarkStart w:id="532" w:name="_Toc47442987"/>
      <w:bookmarkEnd w:id="532"/>
      <w:bookmarkStart w:id="533" w:name="_Toc47457029"/>
      <w:bookmarkEnd w:id="533"/>
      <w:bookmarkStart w:id="534" w:name="_Toc46147894"/>
      <w:bookmarkEnd w:id="534"/>
      <w:bookmarkStart w:id="535" w:name="_Toc47451370"/>
      <w:bookmarkEnd w:id="535"/>
      <w:bookmarkStart w:id="536" w:name="_Toc47457043"/>
      <w:bookmarkEnd w:id="536"/>
      <w:bookmarkStart w:id="537" w:name="_Toc47451484"/>
      <w:bookmarkEnd w:id="537"/>
      <w:bookmarkStart w:id="538" w:name="_Toc47443114"/>
      <w:bookmarkEnd w:id="538"/>
      <w:bookmarkStart w:id="539" w:name="_Toc46147883"/>
      <w:bookmarkEnd w:id="539"/>
      <w:bookmarkStart w:id="540" w:name="_Toc46147891"/>
      <w:bookmarkEnd w:id="540"/>
      <w:bookmarkStart w:id="541" w:name="_Toc47372553"/>
      <w:bookmarkEnd w:id="541"/>
      <w:bookmarkStart w:id="542" w:name="_Toc46147892"/>
      <w:bookmarkEnd w:id="542"/>
      <w:bookmarkStart w:id="543" w:name="_Toc47346924"/>
      <w:bookmarkEnd w:id="543"/>
      <w:bookmarkStart w:id="544" w:name="_Toc47366751"/>
      <w:bookmarkEnd w:id="544"/>
      <w:bookmarkStart w:id="545" w:name="_Toc47451366"/>
      <w:bookmarkEnd w:id="545"/>
      <w:bookmarkStart w:id="546" w:name="_Toc47443677"/>
      <w:bookmarkEnd w:id="546"/>
      <w:bookmarkStart w:id="547" w:name="_Toc47347745"/>
      <w:bookmarkEnd w:id="547"/>
      <w:bookmarkStart w:id="548" w:name="_Toc47443003"/>
      <w:bookmarkEnd w:id="548"/>
      <w:bookmarkStart w:id="549" w:name="_Toc47452083"/>
      <w:bookmarkEnd w:id="549"/>
      <w:bookmarkStart w:id="550" w:name="_Toc47345559"/>
      <w:bookmarkEnd w:id="550"/>
      <w:bookmarkStart w:id="551" w:name="_Toc47443673"/>
      <w:bookmarkEnd w:id="551"/>
      <w:bookmarkStart w:id="552" w:name="_Toc47452082"/>
      <w:bookmarkEnd w:id="552"/>
      <w:bookmarkStart w:id="553" w:name="_Toc47366752"/>
      <w:bookmarkEnd w:id="553"/>
      <w:bookmarkStart w:id="554" w:name="_Toc47372557"/>
      <w:bookmarkEnd w:id="554"/>
      <w:bookmarkStart w:id="555" w:name="_Toc47443669"/>
      <w:bookmarkEnd w:id="555"/>
      <w:bookmarkStart w:id="556" w:name="_Toc47455776"/>
      <w:bookmarkEnd w:id="556"/>
      <w:bookmarkStart w:id="557" w:name="_Toc47346915"/>
      <w:bookmarkEnd w:id="557"/>
      <w:bookmarkStart w:id="558" w:name="_Toc47451485"/>
      <w:bookmarkEnd w:id="558"/>
      <w:bookmarkStart w:id="559" w:name="_Toc47346928"/>
      <w:bookmarkEnd w:id="559"/>
      <w:bookmarkStart w:id="560" w:name="_Toc47366753"/>
      <w:bookmarkEnd w:id="560"/>
      <w:bookmarkStart w:id="561" w:name="_Toc47451752"/>
      <w:bookmarkEnd w:id="561"/>
      <w:bookmarkStart w:id="562" w:name="_Toc47366754"/>
      <w:bookmarkEnd w:id="562"/>
      <w:bookmarkStart w:id="563" w:name="_Toc47452078"/>
      <w:bookmarkEnd w:id="563"/>
      <w:bookmarkStart w:id="564" w:name="_Toc47451753"/>
      <w:bookmarkEnd w:id="564"/>
      <w:bookmarkStart w:id="565" w:name="_Toc47443115"/>
      <w:bookmarkEnd w:id="565"/>
      <w:bookmarkStart w:id="566" w:name="_Toc47346926"/>
      <w:bookmarkEnd w:id="566"/>
      <w:bookmarkStart w:id="567" w:name="_Toc47451489"/>
      <w:bookmarkEnd w:id="567"/>
      <w:bookmarkStart w:id="568" w:name="_Toc47451480"/>
      <w:bookmarkEnd w:id="568"/>
      <w:bookmarkStart w:id="569" w:name="_Toc47346917"/>
      <w:bookmarkEnd w:id="569"/>
      <w:bookmarkStart w:id="570" w:name="_Toc47366767"/>
      <w:bookmarkEnd w:id="570"/>
      <w:bookmarkStart w:id="571" w:name="_Toc47443096"/>
      <w:bookmarkEnd w:id="571"/>
      <w:bookmarkStart w:id="572" w:name="_Toc47457030"/>
      <w:bookmarkEnd w:id="572"/>
      <w:bookmarkStart w:id="573" w:name="_Toc47372566"/>
      <w:bookmarkEnd w:id="573"/>
      <w:bookmarkStart w:id="574" w:name="_Toc47442988"/>
      <w:bookmarkEnd w:id="574"/>
      <w:bookmarkStart w:id="575" w:name="_Toc47451368"/>
      <w:bookmarkEnd w:id="575"/>
      <w:bookmarkStart w:id="576" w:name="_Toc47347760"/>
      <w:bookmarkEnd w:id="576"/>
      <w:bookmarkStart w:id="577" w:name="_Toc47346907"/>
      <w:bookmarkEnd w:id="577"/>
      <w:bookmarkStart w:id="578" w:name="_Toc47442994"/>
      <w:bookmarkEnd w:id="578"/>
      <w:bookmarkStart w:id="579" w:name="_Toc47443107"/>
      <w:bookmarkEnd w:id="579"/>
      <w:bookmarkStart w:id="580" w:name="_Toc47346927"/>
      <w:bookmarkEnd w:id="580"/>
      <w:bookmarkStart w:id="581" w:name="_Toc47452075"/>
      <w:bookmarkEnd w:id="581"/>
      <w:bookmarkStart w:id="582" w:name="_Toc46137836"/>
      <w:bookmarkEnd w:id="582"/>
      <w:bookmarkStart w:id="583" w:name="_Toc47345550"/>
      <w:bookmarkEnd w:id="583"/>
      <w:bookmarkStart w:id="584" w:name="_Toc47372556"/>
      <w:bookmarkEnd w:id="584"/>
      <w:bookmarkStart w:id="585" w:name="_Toc47457041"/>
      <w:bookmarkEnd w:id="585"/>
      <w:bookmarkStart w:id="586" w:name="_Toc47443678"/>
      <w:bookmarkEnd w:id="586"/>
      <w:bookmarkStart w:id="587" w:name="_Toc47346909"/>
      <w:bookmarkEnd w:id="587"/>
      <w:bookmarkStart w:id="588" w:name="_Toc47451759"/>
      <w:bookmarkEnd w:id="588"/>
      <w:bookmarkStart w:id="589" w:name="_Toc47452077"/>
      <w:bookmarkEnd w:id="589"/>
      <w:bookmarkStart w:id="590" w:name="_Toc47366758"/>
      <w:bookmarkEnd w:id="590"/>
      <w:bookmarkStart w:id="591" w:name="_Toc47452086"/>
      <w:bookmarkEnd w:id="591"/>
      <w:bookmarkStart w:id="592" w:name="_Toc47346916"/>
      <w:bookmarkEnd w:id="592"/>
      <w:bookmarkStart w:id="593" w:name="_Toc47443111"/>
      <w:bookmarkEnd w:id="593"/>
      <w:bookmarkStart w:id="594" w:name="_Toc47443097"/>
      <w:bookmarkEnd w:id="594"/>
      <w:bookmarkStart w:id="595" w:name="_Toc47366762"/>
      <w:bookmarkEnd w:id="595"/>
      <w:bookmarkStart w:id="596" w:name="_Toc47347742"/>
      <w:bookmarkEnd w:id="596"/>
      <w:bookmarkStart w:id="597" w:name="_Toc47442984"/>
      <w:bookmarkEnd w:id="597"/>
      <w:bookmarkStart w:id="598" w:name="_Toc47451496"/>
      <w:bookmarkEnd w:id="598"/>
      <w:bookmarkStart w:id="599" w:name="_Toc47347755"/>
      <w:bookmarkEnd w:id="599"/>
      <w:bookmarkStart w:id="600" w:name="_Toc47443118"/>
      <w:bookmarkEnd w:id="600"/>
      <w:bookmarkStart w:id="601" w:name="_Toc47346921"/>
      <w:bookmarkEnd w:id="601"/>
      <w:bookmarkStart w:id="602" w:name="_Toc47455782"/>
      <w:bookmarkEnd w:id="602"/>
      <w:bookmarkStart w:id="603" w:name="_Toc47443106"/>
      <w:bookmarkEnd w:id="603"/>
      <w:bookmarkStart w:id="604" w:name="_Toc47451362"/>
      <w:bookmarkEnd w:id="604"/>
      <w:bookmarkStart w:id="605" w:name="_Toc47443681"/>
      <w:bookmarkEnd w:id="605"/>
      <w:bookmarkStart w:id="606" w:name="_Toc47451360"/>
      <w:bookmarkEnd w:id="606"/>
      <w:bookmarkStart w:id="607" w:name="_Toc47443682"/>
      <w:bookmarkEnd w:id="607"/>
      <w:bookmarkStart w:id="608" w:name="_Toc47372565"/>
      <w:bookmarkEnd w:id="608"/>
      <w:bookmarkStart w:id="609" w:name="_Toc47443690"/>
      <w:bookmarkEnd w:id="609"/>
      <w:bookmarkStart w:id="610" w:name="_Toc47451479"/>
      <w:bookmarkEnd w:id="610"/>
      <w:bookmarkStart w:id="611" w:name="_Toc47451381"/>
      <w:bookmarkEnd w:id="611"/>
      <w:bookmarkStart w:id="612" w:name="_Toc47345549"/>
      <w:bookmarkEnd w:id="612"/>
      <w:bookmarkStart w:id="613" w:name="_Toc47455768"/>
      <w:bookmarkEnd w:id="613"/>
      <w:bookmarkStart w:id="614" w:name="_Toc47366760"/>
      <w:bookmarkEnd w:id="614"/>
      <w:bookmarkStart w:id="615" w:name="_Toc47451760"/>
      <w:bookmarkEnd w:id="615"/>
      <w:bookmarkStart w:id="616" w:name="_Toc47451488"/>
      <w:bookmarkEnd w:id="616"/>
      <w:bookmarkStart w:id="617" w:name="_Toc46137846"/>
      <w:bookmarkEnd w:id="617"/>
      <w:bookmarkStart w:id="618" w:name="_Toc47443676"/>
      <w:bookmarkEnd w:id="618"/>
      <w:bookmarkStart w:id="619" w:name="_Toc47451487"/>
      <w:bookmarkEnd w:id="619"/>
      <w:bookmarkStart w:id="620" w:name="_Toc46147893"/>
      <w:bookmarkEnd w:id="620"/>
      <w:bookmarkStart w:id="621" w:name="_Toc47345553"/>
      <w:bookmarkEnd w:id="621"/>
      <w:bookmarkStart w:id="622" w:name="_Toc47452085"/>
      <w:bookmarkEnd w:id="622"/>
      <w:bookmarkStart w:id="623" w:name="_Toc47347741"/>
      <w:bookmarkEnd w:id="623"/>
      <w:bookmarkStart w:id="624" w:name="_Toc47455786"/>
      <w:bookmarkEnd w:id="624"/>
      <w:bookmarkStart w:id="625" w:name="_Toc47442986"/>
      <w:bookmarkEnd w:id="625"/>
      <w:bookmarkStart w:id="626" w:name="_Toc46147885"/>
      <w:bookmarkEnd w:id="626"/>
      <w:bookmarkStart w:id="627" w:name="_Toc46137834"/>
      <w:bookmarkEnd w:id="627"/>
      <w:bookmarkStart w:id="628" w:name="_Toc47347737"/>
      <w:bookmarkEnd w:id="628"/>
      <w:bookmarkStart w:id="629" w:name="_Toc47452090"/>
      <w:bookmarkEnd w:id="629"/>
      <w:bookmarkStart w:id="630" w:name="_Toc47455772"/>
      <w:bookmarkEnd w:id="630"/>
      <w:bookmarkStart w:id="631" w:name="_Toc47372546"/>
      <w:bookmarkEnd w:id="631"/>
      <w:bookmarkStart w:id="632" w:name="_Toc47347738"/>
      <w:bookmarkEnd w:id="632"/>
      <w:bookmarkStart w:id="633" w:name="_Toc47455784"/>
      <w:bookmarkEnd w:id="633"/>
      <w:bookmarkStart w:id="634" w:name="_Toc47451374"/>
      <w:bookmarkEnd w:id="634"/>
      <w:bookmarkStart w:id="635" w:name="_Toc47451491"/>
      <w:bookmarkEnd w:id="635"/>
      <w:bookmarkStart w:id="636" w:name="_Toc47451367"/>
      <w:bookmarkEnd w:id="636"/>
      <w:bookmarkStart w:id="637" w:name="_Toc47366764"/>
      <w:bookmarkEnd w:id="637"/>
      <w:bookmarkStart w:id="638" w:name="_Toc46137826"/>
      <w:bookmarkEnd w:id="638"/>
      <w:bookmarkStart w:id="639" w:name="_Toc47457036"/>
      <w:bookmarkEnd w:id="639"/>
      <w:bookmarkStart w:id="640" w:name="_Toc47345554"/>
      <w:bookmarkEnd w:id="640"/>
      <w:bookmarkStart w:id="641" w:name="_Toc47455769"/>
      <w:bookmarkEnd w:id="641"/>
      <w:bookmarkStart w:id="642" w:name="_Toc47451375"/>
      <w:bookmarkEnd w:id="642"/>
      <w:bookmarkStart w:id="643" w:name="_Toc47455785"/>
      <w:bookmarkEnd w:id="643"/>
      <w:bookmarkStart w:id="644" w:name="_Toc47455789"/>
      <w:bookmarkEnd w:id="644"/>
      <w:bookmarkStart w:id="645" w:name="_Toc47347749"/>
      <w:bookmarkEnd w:id="645"/>
      <w:bookmarkStart w:id="646" w:name="_Toc47452091"/>
      <w:bookmarkEnd w:id="646"/>
      <w:bookmarkStart w:id="647" w:name="_Toc47451379"/>
      <w:bookmarkEnd w:id="647"/>
      <w:bookmarkStart w:id="648" w:name="_Toc47366765"/>
      <w:bookmarkEnd w:id="648"/>
      <w:bookmarkStart w:id="649" w:name="_Toc47452074"/>
      <w:bookmarkEnd w:id="649"/>
      <w:bookmarkStart w:id="650" w:name="_Toc47455774"/>
      <w:bookmarkEnd w:id="650"/>
      <w:bookmarkStart w:id="651" w:name="_Toc47443006"/>
      <w:bookmarkEnd w:id="651"/>
      <w:bookmarkStart w:id="652" w:name="_Toc47452076"/>
      <w:bookmarkEnd w:id="652"/>
      <w:bookmarkStart w:id="653" w:name="_Toc47347754"/>
      <w:bookmarkEnd w:id="653"/>
      <w:bookmarkStart w:id="654" w:name="_Toc46137835"/>
      <w:bookmarkEnd w:id="654"/>
      <w:bookmarkStart w:id="655" w:name="_Toc47451363"/>
      <w:bookmarkEnd w:id="655"/>
      <w:bookmarkStart w:id="656" w:name="_Toc47443687"/>
      <w:bookmarkEnd w:id="656"/>
      <w:bookmarkStart w:id="657" w:name="_Toc47372561"/>
      <w:bookmarkEnd w:id="657"/>
      <w:bookmarkStart w:id="658" w:name="_Toc47372560"/>
      <w:bookmarkEnd w:id="658"/>
      <w:bookmarkStart w:id="659" w:name="_Toc47451749"/>
      <w:bookmarkEnd w:id="659"/>
      <w:bookmarkStart w:id="660" w:name="_Toc47366763"/>
      <w:bookmarkEnd w:id="660"/>
      <w:bookmarkStart w:id="661" w:name="_Toc47442992"/>
      <w:bookmarkEnd w:id="661"/>
      <w:bookmarkStart w:id="662" w:name="_Toc47455773"/>
      <w:bookmarkEnd w:id="662"/>
      <w:bookmarkStart w:id="663" w:name="_Toc47451766"/>
      <w:bookmarkEnd w:id="663"/>
      <w:bookmarkStart w:id="664" w:name="_Toc47366757"/>
      <w:bookmarkEnd w:id="664"/>
      <w:bookmarkStart w:id="665" w:name="_Toc47372555"/>
      <w:bookmarkEnd w:id="665"/>
      <w:bookmarkStart w:id="666" w:name="_Toc47451372"/>
      <w:bookmarkEnd w:id="666"/>
      <w:bookmarkStart w:id="667" w:name="_Toc46137827"/>
      <w:bookmarkEnd w:id="667"/>
      <w:bookmarkStart w:id="668" w:name="_Toc47451373"/>
      <w:bookmarkEnd w:id="668"/>
      <w:bookmarkStart w:id="669" w:name="_Toc47451746"/>
      <w:bookmarkEnd w:id="669"/>
      <w:bookmarkStart w:id="670" w:name="_Toc47457045"/>
      <w:bookmarkEnd w:id="670"/>
      <w:bookmarkStart w:id="671" w:name="_Toc47347752"/>
      <w:bookmarkEnd w:id="671"/>
      <w:bookmarkStart w:id="672" w:name="_Toc47451359"/>
      <w:bookmarkEnd w:id="672"/>
      <w:bookmarkStart w:id="673" w:name="_Toc47372543"/>
      <w:bookmarkEnd w:id="673"/>
      <w:bookmarkStart w:id="674" w:name="_Toc47366745"/>
      <w:bookmarkEnd w:id="674"/>
      <w:bookmarkStart w:id="675" w:name="_Toc47451482"/>
      <w:bookmarkEnd w:id="675"/>
      <w:bookmarkStart w:id="676" w:name="_Toc46137829"/>
      <w:bookmarkEnd w:id="676"/>
      <w:bookmarkStart w:id="677" w:name="_Toc47457042"/>
      <w:bookmarkEnd w:id="677"/>
      <w:bookmarkStart w:id="678" w:name="_Toc46137830"/>
      <w:bookmarkEnd w:id="678"/>
      <w:bookmarkStart w:id="679" w:name="_Toc47346918"/>
      <w:bookmarkEnd w:id="679"/>
      <w:bookmarkStart w:id="680" w:name="_Toc47452089"/>
      <w:bookmarkEnd w:id="680"/>
      <w:bookmarkStart w:id="681" w:name="_Toc47345558"/>
      <w:bookmarkEnd w:id="681"/>
      <w:bookmarkStart w:id="682" w:name="_Toc47347758"/>
      <w:bookmarkEnd w:id="682"/>
      <w:bookmarkStart w:id="683" w:name="_Toc47455775"/>
      <w:bookmarkEnd w:id="683"/>
      <w:bookmarkStart w:id="684" w:name="_Toc47346914"/>
      <w:bookmarkEnd w:id="684"/>
      <w:bookmarkStart w:id="685" w:name="_Toc47451493"/>
      <w:bookmarkEnd w:id="685"/>
      <w:bookmarkStart w:id="686" w:name="_Toc47455780"/>
      <w:bookmarkEnd w:id="686"/>
      <w:bookmarkStart w:id="687" w:name="_Toc47443667"/>
      <w:bookmarkEnd w:id="687"/>
      <w:bookmarkStart w:id="688" w:name="_Toc47443688"/>
      <w:bookmarkEnd w:id="688"/>
      <w:bookmarkStart w:id="689" w:name="_Toc47443685"/>
      <w:bookmarkEnd w:id="689"/>
      <w:bookmarkStart w:id="690" w:name="_Toc47455781"/>
      <w:bookmarkEnd w:id="690"/>
      <w:bookmarkStart w:id="691" w:name="_Toc47451494"/>
      <w:bookmarkEnd w:id="691"/>
      <w:bookmarkStart w:id="692" w:name="_Toc47451483"/>
      <w:bookmarkEnd w:id="692"/>
      <w:bookmarkStart w:id="693" w:name="_Toc47442985"/>
      <w:bookmarkEnd w:id="693"/>
      <w:bookmarkStart w:id="694" w:name="_Toc47457044"/>
      <w:bookmarkEnd w:id="694"/>
      <w:bookmarkStart w:id="695" w:name="_Toc47347756"/>
      <w:bookmarkEnd w:id="695"/>
      <w:bookmarkStart w:id="696" w:name="_Toc47443116"/>
      <w:bookmarkEnd w:id="696"/>
      <w:bookmarkStart w:id="697" w:name="_Toc47443113"/>
      <w:bookmarkEnd w:id="697"/>
      <w:bookmarkStart w:id="698" w:name="_Toc47443109"/>
      <w:bookmarkEnd w:id="698"/>
      <w:bookmarkStart w:id="699" w:name="_Toc46147887"/>
      <w:bookmarkEnd w:id="699"/>
      <w:bookmarkStart w:id="700" w:name="_Toc47457046"/>
      <w:bookmarkEnd w:id="700"/>
      <w:bookmarkStart w:id="701" w:name="_Toc47443100"/>
      <w:bookmarkEnd w:id="701"/>
      <w:bookmarkStart w:id="702" w:name="_Toc47452096"/>
      <w:bookmarkEnd w:id="702"/>
      <w:bookmarkStart w:id="703" w:name="_Toc47347740"/>
      <w:bookmarkEnd w:id="703"/>
      <w:bookmarkStart w:id="704" w:name="_Toc47451754"/>
      <w:bookmarkEnd w:id="704"/>
      <w:bookmarkStart w:id="705" w:name="_Toc47452092"/>
      <w:bookmarkEnd w:id="705"/>
      <w:bookmarkStart w:id="706" w:name="_Toc46147902"/>
      <w:bookmarkEnd w:id="706"/>
      <w:bookmarkStart w:id="707" w:name="_Toc47443668"/>
      <w:bookmarkEnd w:id="707"/>
      <w:bookmarkStart w:id="708" w:name="_Toc47443110"/>
      <w:bookmarkEnd w:id="708"/>
      <w:bookmarkStart w:id="709" w:name="_Toc47451758"/>
      <w:bookmarkEnd w:id="709"/>
      <w:bookmarkStart w:id="710" w:name="_Toc47366766"/>
      <w:bookmarkEnd w:id="710"/>
      <w:bookmarkStart w:id="711" w:name="_Toc47451497"/>
      <w:bookmarkEnd w:id="711"/>
      <w:bookmarkStart w:id="712" w:name="_Toc47443005"/>
      <w:bookmarkEnd w:id="712"/>
      <w:bookmarkStart w:id="713" w:name="_Toc47366759"/>
      <w:bookmarkEnd w:id="713"/>
      <w:bookmarkStart w:id="714" w:name="_Toc47346919"/>
      <w:bookmarkEnd w:id="714"/>
      <w:bookmarkStart w:id="715" w:name="_Toc47443117"/>
      <w:bookmarkEnd w:id="715"/>
      <w:bookmarkStart w:id="716" w:name="_Toc47443680"/>
      <w:bookmarkEnd w:id="716"/>
      <w:bookmarkStart w:id="717" w:name="_Toc47345552"/>
      <w:bookmarkEnd w:id="717"/>
      <w:bookmarkStart w:id="718" w:name="_Toc47372563"/>
      <w:bookmarkEnd w:id="718"/>
      <w:bookmarkStart w:id="719" w:name="_Toc47457027"/>
      <w:bookmarkEnd w:id="719"/>
      <w:bookmarkStart w:id="720" w:name="_Toc47372558"/>
      <w:bookmarkEnd w:id="720"/>
      <w:bookmarkStart w:id="721" w:name="_Toc46147884"/>
      <w:bookmarkEnd w:id="721"/>
      <w:bookmarkStart w:id="722" w:name="_Toc47451376"/>
      <w:bookmarkEnd w:id="722"/>
      <w:bookmarkStart w:id="723" w:name="_Toc47457039"/>
      <w:bookmarkEnd w:id="723"/>
      <w:bookmarkStart w:id="724" w:name="_Toc47443095"/>
      <w:bookmarkEnd w:id="724"/>
      <w:bookmarkStart w:id="725" w:name="_Toc47443103"/>
      <w:bookmarkEnd w:id="725"/>
      <w:bookmarkStart w:id="726" w:name="_Toc47443674"/>
      <w:bookmarkEnd w:id="726"/>
      <w:bookmarkStart w:id="727" w:name="_Toc47457028"/>
      <w:bookmarkEnd w:id="727"/>
      <w:bookmarkStart w:id="728" w:name="_Toc47345557"/>
      <w:bookmarkEnd w:id="728"/>
      <w:bookmarkStart w:id="729" w:name="_Toc47455770"/>
      <w:bookmarkEnd w:id="729"/>
      <w:bookmarkStart w:id="730" w:name="_Toc47451498"/>
      <w:bookmarkEnd w:id="730"/>
      <w:bookmarkStart w:id="731" w:name="_Toc47366744"/>
      <w:bookmarkEnd w:id="731"/>
      <w:bookmarkStart w:id="732" w:name="_Toc47451377"/>
      <w:bookmarkEnd w:id="732"/>
      <w:bookmarkStart w:id="733" w:name="_Toc46147889"/>
      <w:bookmarkEnd w:id="733"/>
      <w:bookmarkStart w:id="734" w:name="_Toc47443000"/>
      <w:bookmarkEnd w:id="734"/>
      <w:bookmarkStart w:id="735" w:name="_Toc47451745"/>
      <w:bookmarkEnd w:id="735"/>
      <w:bookmarkStart w:id="736" w:name="_Toc47372547"/>
      <w:bookmarkEnd w:id="736"/>
      <w:bookmarkStart w:id="737" w:name="_Toc47451757"/>
      <w:bookmarkEnd w:id="737"/>
      <w:bookmarkStart w:id="738" w:name="_Toc47451378"/>
      <w:bookmarkEnd w:id="738"/>
      <w:bookmarkStart w:id="739" w:name="_Toc47346922"/>
      <w:bookmarkEnd w:id="739"/>
      <w:bookmarkStart w:id="740" w:name="_Toc47452095"/>
      <w:bookmarkEnd w:id="740"/>
      <w:bookmarkStart w:id="741" w:name="_Toc47346908"/>
      <w:bookmarkEnd w:id="741"/>
      <w:bookmarkStart w:id="742" w:name="_Toc47442996"/>
      <w:bookmarkEnd w:id="742"/>
      <w:bookmarkStart w:id="743" w:name="_Toc47457037"/>
      <w:bookmarkEnd w:id="743"/>
      <w:bookmarkStart w:id="744" w:name="_Toc47452088"/>
      <w:bookmarkEnd w:id="744"/>
      <w:bookmarkStart w:id="745" w:name="_Toc47443689"/>
      <w:bookmarkEnd w:id="745"/>
      <w:bookmarkStart w:id="746" w:name="_Toc47451490"/>
      <w:bookmarkEnd w:id="746"/>
      <w:bookmarkStart w:id="747" w:name="_Toc47451380"/>
      <w:bookmarkEnd w:id="747"/>
      <w:bookmarkStart w:id="748" w:name="_Toc47372552"/>
      <w:bookmarkEnd w:id="748"/>
      <w:bookmarkStart w:id="749" w:name="_Toc47452097"/>
      <w:bookmarkEnd w:id="749"/>
      <w:bookmarkStart w:id="750" w:name="_Toc46137833"/>
      <w:bookmarkEnd w:id="750"/>
      <w:bookmarkStart w:id="751" w:name="_Toc47451500"/>
      <w:bookmarkEnd w:id="751"/>
      <w:bookmarkStart w:id="752" w:name="_Toc47443686"/>
      <w:bookmarkEnd w:id="752"/>
      <w:bookmarkStart w:id="753" w:name="_Toc47443102"/>
      <w:bookmarkEnd w:id="753"/>
      <w:bookmarkStart w:id="754" w:name="_Toc47451495"/>
      <w:bookmarkEnd w:id="754"/>
      <w:bookmarkStart w:id="755" w:name="_Toc46147882"/>
      <w:bookmarkEnd w:id="755"/>
      <w:bookmarkStart w:id="756" w:name="_Toc47346925"/>
      <w:bookmarkEnd w:id="756"/>
      <w:bookmarkStart w:id="757" w:name="_Toc47457033"/>
      <w:bookmarkEnd w:id="757"/>
      <w:bookmarkStart w:id="758" w:name="_Toc151136909"/>
      <w:bookmarkStart w:id="759" w:name="_Toc56166088"/>
      <w:bookmarkStart w:id="760" w:name="_Toc47455790"/>
      <w:bookmarkStart w:id="761" w:name="_Toc46910498"/>
      <w:bookmarkStart w:id="762" w:name="_Toc48742267"/>
      <w:bookmarkStart w:id="763" w:name="_Toc55318669"/>
      <w:bookmarkStart w:id="764" w:name="_Toc47457047"/>
      <w:bookmarkStart w:id="765" w:name="_Toc56166277"/>
      <w:r>
        <w:rPr>
          <w:rFonts w:hint="eastAsia" w:ascii="仿宋_GB2312" w:eastAsia="仿宋_GB2312"/>
          <w:b/>
          <w:sz w:val="30"/>
          <w:szCs w:val="30"/>
        </w:rPr>
        <w:t>债券做市</w:t>
      </w:r>
      <w:bookmarkEnd w:id="758"/>
      <w:bookmarkEnd w:id="759"/>
      <w:bookmarkEnd w:id="760"/>
      <w:bookmarkEnd w:id="761"/>
      <w:bookmarkEnd w:id="762"/>
      <w:bookmarkEnd w:id="763"/>
      <w:bookmarkEnd w:id="764"/>
      <w:bookmarkEnd w:id="765"/>
    </w:p>
    <w:p w14:paraId="3EF69382">
      <w:pPr>
        <w:spacing w:line="600" w:lineRule="exact"/>
        <w:ind w:firstLine="600" w:firstLineChars="200"/>
        <w:rPr>
          <w:rFonts w:ascii="仿宋_GB2312" w:hAnsi="微软雅黑" w:eastAsia="仿宋_GB2312"/>
          <w:sz w:val="30"/>
          <w:szCs w:val="30"/>
        </w:rPr>
      </w:pPr>
      <w:bookmarkStart w:id="766" w:name="_Toc55318670"/>
      <w:bookmarkEnd w:id="766"/>
      <w:bookmarkStart w:id="767" w:name="_Toc55318541"/>
      <w:bookmarkEnd w:id="767"/>
      <w:bookmarkStart w:id="768" w:name="_Toc55318643"/>
      <w:bookmarkEnd w:id="768"/>
      <w:r>
        <w:rPr>
          <w:rFonts w:hint="eastAsia" w:ascii="仿宋_GB2312" w:hAnsi="微软雅黑" w:eastAsia="仿宋_GB2312"/>
          <w:sz w:val="30"/>
          <w:szCs w:val="30"/>
        </w:rPr>
        <w:t>债券做市商，是指依据《上海证券交易所债券交易规则适用指引第3号——债券做市业务》等规定，在本所债券市场为债券持续提供流动性服务，开展债券做市业务的债券交易参与人。</w:t>
      </w:r>
    </w:p>
    <w:p w14:paraId="29E1F3B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债券做市品种包括基准做市品种和自选做市品种。</w:t>
      </w:r>
      <w:r>
        <w:rPr>
          <w:rFonts w:hint="eastAsia" w:ascii="仿宋_GB2312" w:eastAsia="仿宋_GB2312"/>
          <w:sz w:val="30"/>
          <w:szCs w:val="30"/>
        </w:rPr>
        <w:t>基准做市品种包括关键期限的利率类债券、符合本所要求的信用类债券以及本所认可的其他品种。</w:t>
      </w:r>
    </w:p>
    <w:p w14:paraId="52DE166E">
      <w:pPr>
        <w:spacing w:line="560" w:lineRule="exact"/>
        <w:ind w:firstLine="600" w:firstLineChars="200"/>
        <w:rPr>
          <w:rFonts w:ascii="仿宋_GB2312" w:eastAsia="仿宋_GB2312"/>
          <w:sz w:val="30"/>
          <w:szCs w:val="30"/>
        </w:rPr>
      </w:pPr>
      <w:r>
        <w:rPr>
          <w:rFonts w:hint="eastAsia" w:ascii="仿宋_GB2312" w:hAnsi="微软雅黑" w:eastAsia="仿宋_GB2312"/>
          <w:sz w:val="30"/>
          <w:szCs w:val="30"/>
        </w:rPr>
        <w:t>债券做市业务，是指做市商在本所债券市场持续报出做市品种的双边买卖价格，对本所债券投资者的询价请求进行回复，</w:t>
      </w:r>
      <w:r>
        <w:rPr>
          <w:rFonts w:hint="eastAsia" w:ascii="仿宋_GB2312" w:eastAsia="仿宋_GB2312"/>
          <w:sz w:val="30"/>
          <w:szCs w:val="30"/>
        </w:rPr>
        <w:t>以及通过本所认可的其他做市方式，为债券提供流动性的行为。</w:t>
      </w:r>
    </w:p>
    <w:p w14:paraId="725B663C">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债券做市商应当具备符合要求的技术系统、风险管理和内部控制制度，加强对市场风险、模型风险、存货风险、做市风险、操作风险等业务风险的识别、监测和控制。</w:t>
      </w:r>
    </w:p>
    <w:p w14:paraId="4933BD17">
      <w:pPr>
        <w:numPr>
          <w:ilvl w:val="2"/>
          <w:numId w:val="4"/>
        </w:numPr>
        <w:spacing w:line="600" w:lineRule="exact"/>
        <w:ind w:left="0" w:firstLine="0"/>
        <w:outlineLvl w:val="2"/>
        <w:rPr>
          <w:rFonts w:ascii="仿宋_GB2312" w:eastAsia="仿宋_GB2312"/>
          <w:b/>
          <w:sz w:val="30"/>
          <w:szCs w:val="30"/>
        </w:rPr>
      </w:pPr>
      <w:bookmarkStart w:id="769" w:name="_Toc48742269"/>
      <w:bookmarkStart w:id="770" w:name="_Toc47457049"/>
      <w:bookmarkStart w:id="771" w:name="_Toc47455792"/>
      <w:bookmarkStart w:id="772" w:name="_Toc55318672"/>
      <w:r>
        <w:rPr>
          <w:rFonts w:hint="eastAsia" w:ascii="仿宋_GB2312" w:eastAsia="仿宋_GB2312"/>
          <w:b/>
          <w:sz w:val="30"/>
          <w:szCs w:val="30"/>
        </w:rPr>
        <w:t>债券做市商</w:t>
      </w:r>
      <w:bookmarkEnd w:id="769"/>
      <w:bookmarkEnd w:id="770"/>
      <w:bookmarkEnd w:id="771"/>
      <w:bookmarkEnd w:id="772"/>
      <w:r>
        <w:rPr>
          <w:rFonts w:hint="eastAsia" w:ascii="仿宋_GB2312" w:eastAsia="仿宋_GB2312"/>
          <w:b/>
          <w:sz w:val="30"/>
          <w:szCs w:val="30"/>
        </w:rPr>
        <w:t>分类</w:t>
      </w:r>
    </w:p>
    <w:p w14:paraId="045E8AD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本所债券市场的做市商包括主做市商和一般做市商。</w:t>
      </w:r>
    </w:p>
    <w:p w14:paraId="29806318">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主做市商对基准做市品种开展持续做市业务（以下简称基准做市业务）。</w:t>
      </w:r>
    </w:p>
    <w:p w14:paraId="7AC9FAB2">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一般做市商对其自行选定的基准做市品种以外的</w:t>
      </w:r>
      <w:r>
        <w:rPr>
          <w:rFonts w:ascii="仿宋_GB2312" w:eastAsia="仿宋_GB2312"/>
          <w:sz w:val="30"/>
          <w:szCs w:val="30"/>
        </w:rPr>
        <w:t>债券</w:t>
      </w:r>
      <w:r>
        <w:rPr>
          <w:rFonts w:hint="eastAsia" w:ascii="仿宋_GB2312" w:eastAsia="仿宋_GB2312"/>
          <w:sz w:val="30"/>
          <w:szCs w:val="30"/>
        </w:rPr>
        <w:t>做市品种（</w:t>
      </w:r>
      <w:r>
        <w:rPr>
          <w:rFonts w:ascii="仿宋_GB2312" w:eastAsia="仿宋_GB2312"/>
          <w:sz w:val="30"/>
          <w:szCs w:val="30"/>
        </w:rPr>
        <w:t>以下简称自选做市品种）</w:t>
      </w:r>
      <w:r>
        <w:rPr>
          <w:rFonts w:hint="eastAsia" w:ascii="仿宋_GB2312" w:eastAsia="仿宋_GB2312"/>
          <w:sz w:val="30"/>
          <w:szCs w:val="30"/>
        </w:rPr>
        <w:t>在一定时期内面向全市场或者部分债券投资者开展做市业务（以下简称一般做市业务）。</w:t>
      </w:r>
    </w:p>
    <w:p w14:paraId="28370C7D">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主做市商可以参照一般做市业务的要求对自选做市品种开展做市业务。</w:t>
      </w:r>
    </w:p>
    <w:p w14:paraId="763CCFA6">
      <w:pPr>
        <w:spacing w:line="600" w:lineRule="exact"/>
        <w:ind w:firstLine="600" w:firstLineChars="200"/>
        <w:rPr>
          <w:rFonts w:eastAsia="仿宋_GB2312"/>
          <w:szCs w:val="28"/>
        </w:rPr>
      </w:pPr>
      <w:r>
        <w:rPr>
          <w:rFonts w:hint="eastAsia" w:ascii="仿宋_GB2312" w:hAnsi="微软雅黑" w:eastAsia="仿宋_GB2312"/>
          <w:sz w:val="30"/>
          <w:szCs w:val="30"/>
        </w:rPr>
        <w:t>证券公司为债券交易开展做市业务的，应依据相关法律法规申请相应的经营证券业务许可，</w:t>
      </w:r>
      <w:r>
        <w:rPr>
          <w:rFonts w:hint="eastAsia" w:ascii="仿宋_GB2312" w:hAnsi="黑体" w:eastAsia="仿宋_GB2312"/>
          <w:sz w:val="30"/>
          <w:szCs w:val="30"/>
        </w:rPr>
        <w:t>经证监会核准取得做市交易业务资格的，向本所提供相关</w:t>
      </w:r>
      <w:r>
        <w:rPr>
          <w:rFonts w:ascii="仿宋_GB2312" w:hAnsi="黑体" w:eastAsia="仿宋_GB2312"/>
          <w:sz w:val="30"/>
          <w:szCs w:val="30"/>
        </w:rPr>
        <w:t>文件</w:t>
      </w:r>
      <w:r>
        <w:rPr>
          <w:rFonts w:hint="eastAsia" w:ascii="仿宋_GB2312" w:hAnsi="黑体" w:eastAsia="仿宋_GB2312"/>
          <w:sz w:val="30"/>
          <w:szCs w:val="30"/>
        </w:rPr>
        <w:t>，经本所评估后开展债券做市业务。</w:t>
      </w:r>
    </w:p>
    <w:p w14:paraId="46AE5F2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债券做市商申请</w:t>
      </w:r>
    </w:p>
    <w:p w14:paraId="1E409E9C">
      <w:pPr>
        <w:spacing w:line="600" w:lineRule="exact"/>
        <w:ind w:firstLine="600" w:firstLineChars="200"/>
        <w:rPr>
          <w:rFonts w:eastAsia="仿宋_GB2312"/>
          <w:sz w:val="30"/>
          <w:szCs w:val="30"/>
        </w:rPr>
      </w:pPr>
      <w:r>
        <w:rPr>
          <w:rFonts w:hint="eastAsia" w:ascii="仿宋_GB2312" w:hAnsi="黑体" w:eastAsia="仿宋_GB2312"/>
          <w:sz w:val="30"/>
          <w:szCs w:val="30"/>
        </w:rPr>
        <w:t>债券</w:t>
      </w:r>
      <w:r>
        <w:rPr>
          <w:rFonts w:hint="eastAsia" w:eastAsia="仿宋_GB2312"/>
          <w:sz w:val="30"/>
          <w:szCs w:val="30"/>
        </w:rPr>
        <w:t>做市商须配置专门的做市团队开展做市业务，不得将做市业务外包，或交给第三方机构开展业务。做市商开展做市业务应当设立交易岗、风险控制岗、技术运维岗等岗位，并建立备岗机制。</w:t>
      </w:r>
    </w:p>
    <w:p w14:paraId="4342157E">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1）</w:t>
      </w:r>
      <w:r>
        <w:rPr>
          <w:rFonts w:hint="eastAsia" w:ascii="仿宋_GB2312" w:hAnsi="黑体" w:eastAsia="仿宋_GB2312"/>
          <w:b/>
          <w:sz w:val="30"/>
          <w:szCs w:val="30"/>
        </w:rPr>
        <w:t>做市技术验收申请</w:t>
      </w:r>
    </w:p>
    <w:p w14:paraId="7BAEA9BB">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1）申请材料</w:t>
      </w:r>
    </w:p>
    <w:p w14:paraId="5A93AC24">
      <w:pPr>
        <w:spacing w:line="540" w:lineRule="exact"/>
        <w:ind w:firstLine="600" w:firstLineChars="200"/>
        <w:rPr>
          <w:rFonts w:ascii="仿宋_GB2312" w:eastAsia="仿宋_GB2312"/>
          <w:sz w:val="30"/>
          <w:szCs w:val="30"/>
        </w:rPr>
      </w:pPr>
      <w:r>
        <w:rPr>
          <w:rFonts w:hint="eastAsia" w:ascii="仿宋_GB2312" w:hAnsi="宋体" w:eastAsia="仿宋_GB2312" w:cs="宋体"/>
          <w:sz w:val="30"/>
          <w:szCs w:val="30"/>
        </w:rPr>
        <w:t>拟成为本所债券</w:t>
      </w:r>
      <w:r>
        <w:rPr>
          <w:rFonts w:hint="eastAsia" w:ascii="仿宋_GB2312" w:eastAsia="仿宋_GB2312"/>
          <w:sz w:val="30"/>
          <w:szCs w:val="30"/>
        </w:rPr>
        <w:t>做市商的债券交易参与人，</w:t>
      </w:r>
      <w:r>
        <w:rPr>
          <w:rFonts w:hint="eastAsia" w:ascii="仿宋_GB2312" w:hAnsi="黑体" w:eastAsia="仿宋_GB2312"/>
          <w:sz w:val="30"/>
          <w:szCs w:val="30"/>
        </w:rPr>
        <w:t>应向本所申请债券做市交易业务相关检查和测试，提交以下申请材料：</w:t>
      </w:r>
    </w:p>
    <w:p w14:paraId="7B2A90E1">
      <w:pPr>
        <w:spacing w:line="540" w:lineRule="exact"/>
        <w:ind w:firstLine="600" w:firstLineChars="200"/>
        <w:rPr>
          <w:rFonts w:ascii="仿宋_GB2312" w:eastAsia="仿宋_GB2312"/>
          <w:sz w:val="30"/>
          <w:szCs w:val="30"/>
        </w:rPr>
      </w:pPr>
      <w:r>
        <w:rPr>
          <w:rFonts w:hint="eastAsia" w:ascii="仿宋_GB2312" w:eastAsia="仿宋_GB2312"/>
          <w:sz w:val="30"/>
          <w:szCs w:val="30"/>
        </w:rPr>
        <w:t>1.做市交易业务技术测试和专项检查申请书（附件7）；</w:t>
      </w:r>
    </w:p>
    <w:p w14:paraId="7BD8AEBF">
      <w:pPr>
        <w:spacing w:line="540" w:lineRule="exact"/>
        <w:ind w:firstLine="600" w:firstLineChars="200"/>
        <w:rPr>
          <w:rFonts w:ascii="仿宋_GB2312" w:eastAsia="仿宋_GB2312"/>
          <w:sz w:val="30"/>
          <w:szCs w:val="30"/>
        </w:rPr>
      </w:pPr>
      <w:r>
        <w:rPr>
          <w:rFonts w:hint="eastAsia" w:ascii="仿宋_GB2312" w:eastAsia="仿宋_GB2312"/>
          <w:sz w:val="30"/>
          <w:szCs w:val="30"/>
        </w:rPr>
        <w:t>2.债券做市交易业务实施方案、风险控制制度、相关内部管理制度、应急风险处置制度（做市交易业务实施方案、管理制度与应急风险处置制度必备要点参考见附件8）；</w:t>
      </w:r>
    </w:p>
    <w:p w14:paraId="54284ED7">
      <w:pPr>
        <w:spacing w:line="540" w:lineRule="exact"/>
        <w:ind w:firstLine="600" w:firstLineChars="200"/>
        <w:rPr>
          <w:rFonts w:ascii="仿宋_GB2312" w:eastAsia="仿宋_GB2312"/>
          <w:sz w:val="30"/>
          <w:szCs w:val="30"/>
        </w:rPr>
      </w:pPr>
      <w:r>
        <w:rPr>
          <w:rFonts w:hint="eastAsia" w:ascii="仿宋_GB2312" w:eastAsia="仿宋_GB2312"/>
          <w:sz w:val="30"/>
          <w:szCs w:val="30"/>
        </w:rPr>
        <w:t>3.债券做市交易业务的部门、岗位设置、人员情况说明（做市交易业务人员情况表见附件9）；</w:t>
      </w:r>
    </w:p>
    <w:p w14:paraId="5C36AA43">
      <w:pPr>
        <w:spacing w:line="540" w:lineRule="exact"/>
        <w:ind w:firstLine="600" w:firstLineChars="200"/>
        <w:rPr>
          <w:rFonts w:ascii="仿宋_GB2312" w:eastAsia="仿宋_GB2312"/>
          <w:sz w:val="30"/>
          <w:szCs w:val="30"/>
        </w:rPr>
      </w:pPr>
      <w:r>
        <w:rPr>
          <w:rFonts w:hint="eastAsia" w:ascii="仿宋_GB2312" w:eastAsia="仿宋_GB2312"/>
          <w:sz w:val="30"/>
          <w:szCs w:val="30"/>
        </w:rPr>
        <w:t>4.开展债券做市交易业务的技术系统准备情况说明；</w:t>
      </w:r>
    </w:p>
    <w:p w14:paraId="2CD95971">
      <w:pPr>
        <w:spacing w:line="540" w:lineRule="exact"/>
        <w:ind w:firstLine="600" w:firstLineChars="200"/>
        <w:rPr>
          <w:rFonts w:ascii="仿宋_GB2312" w:eastAsia="仿宋_GB2312"/>
          <w:sz w:val="30"/>
          <w:szCs w:val="30"/>
        </w:rPr>
      </w:pPr>
      <w:r>
        <w:rPr>
          <w:rFonts w:hint="eastAsia" w:ascii="仿宋_GB2312" w:eastAsia="仿宋_GB2312"/>
          <w:sz w:val="30"/>
          <w:szCs w:val="30"/>
        </w:rPr>
        <w:t>5.本所规定的其他材料。</w:t>
      </w:r>
    </w:p>
    <w:p w14:paraId="252404CD">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申请机构需向本所提交电子版申请材料，材料发送至本所债券做市业务材料报备邮箱</w:t>
      </w:r>
      <w:r>
        <w:rPr>
          <w:rFonts w:hint="eastAsia" w:ascii="仿宋_GB2312" w:eastAsia="仿宋_GB2312"/>
          <w:sz w:val="30"/>
          <w:szCs w:val="30"/>
        </w:rPr>
        <w:t>bondtr</w:t>
      </w:r>
      <w:r>
        <w:rPr>
          <w:rFonts w:ascii="仿宋_GB2312" w:eastAsia="仿宋_GB2312"/>
          <w:sz w:val="30"/>
          <w:szCs w:val="30"/>
        </w:rPr>
        <w:t>ading@sse.com.cn</w:t>
      </w:r>
      <w:r>
        <w:rPr>
          <w:rFonts w:hint="eastAsia" w:ascii="仿宋_GB2312" w:hAnsi="黑体" w:eastAsia="仿宋_GB2312"/>
          <w:sz w:val="30"/>
          <w:szCs w:val="30"/>
        </w:rPr>
        <w:t>，或以本所认可的其他方式提交。材料1需加盖单位公章，并做出如下承诺：申请人提交的申请材料内容真实、准确、完整，如存在虚假记载、误导性陈述或重大遗漏，将承担相关法律责任。</w:t>
      </w:r>
    </w:p>
    <w:p w14:paraId="772A06D0">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2）申请环节</w:t>
      </w:r>
    </w:p>
    <w:p w14:paraId="40D21D57">
      <w:pPr>
        <w:spacing w:line="600" w:lineRule="exact"/>
        <w:ind w:firstLine="600" w:firstLineChars="200"/>
        <w:rPr>
          <w:rFonts w:ascii="仿宋_GB2312" w:eastAsia="仿宋_GB2312"/>
          <w:sz w:val="30"/>
          <w:szCs w:val="30"/>
        </w:rPr>
      </w:pPr>
      <w:r>
        <w:rPr>
          <w:rFonts w:hint="eastAsia" w:ascii="仿宋_GB2312" w:hAnsi="黑体" w:eastAsia="仿宋_GB2312"/>
          <w:sz w:val="30"/>
          <w:szCs w:val="30"/>
        </w:rPr>
        <w:t>本所依据相关规则与做市交易业务检查工作底稿，对申请机构进行检查并开展</w:t>
      </w:r>
      <w:r>
        <w:rPr>
          <w:rFonts w:ascii="仿宋_GB2312" w:hAnsi="黑体" w:eastAsia="仿宋_GB2312"/>
          <w:sz w:val="30"/>
          <w:szCs w:val="30"/>
        </w:rPr>
        <w:t>技术</w:t>
      </w:r>
      <w:r>
        <w:rPr>
          <w:rFonts w:hint="eastAsia" w:ascii="仿宋_GB2312" w:hAnsi="黑体" w:eastAsia="仿宋_GB2312"/>
          <w:sz w:val="30"/>
          <w:szCs w:val="30"/>
        </w:rPr>
        <w:t>测试，</w:t>
      </w:r>
      <w:r>
        <w:rPr>
          <w:rFonts w:hint="eastAsia" w:ascii="仿宋_GB2312" w:eastAsia="仿宋_GB2312"/>
          <w:sz w:val="30"/>
          <w:szCs w:val="30"/>
        </w:rPr>
        <w:t>专项检查重点内容包括做市业务相关制度流程、组织架构、交易管理、风控合规、技术系统等（检查要点详见附件10）。本所将于技术测试和检查完成后10个交易日内做出结果反馈。如本所在验收时发现申请机构在业务方案、制度流程、风险控制、技术准备等方面存在不足，申请机构应按照本所的要求进行完善并补充材料，补充完善后如符合要求,本所于10个交易日内发送通过技术测试和检查结果通知。</w:t>
      </w:r>
    </w:p>
    <w:p w14:paraId="2ED6738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2</w:t>
      </w:r>
      <w:r>
        <w:rPr>
          <w:rFonts w:hint="eastAsia" w:ascii="仿宋_GB2312" w:hAnsi="黑体" w:eastAsia="仿宋_GB2312"/>
          <w:b/>
          <w:sz w:val="30"/>
          <w:szCs w:val="30"/>
        </w:rPr>
        <w:t xml:space="preserve">）主做市商 </w:t>
      </w:r>
    </w:p>
    <w:p w14:paraId="0ECF10B2">
      <w:pPr>
        <w:spacing w:line="600" w:lineRule="exact"/>
        <w:ind w:firstLine="564" w:firstLineChars="188"/>
        <w:rPr>
          <w:rFonts w:ascii="仿宋_GB2312" w:hAnsi="微软雅黑" w:eastAsia="仿宋_GB2312"/>
          <w:sz w:val="30"/>
          <w:szCs w:val="30"/>
        </w:rPr>
      </w:pPr>
      <w:r>
        <w:rPr>
          <w:rFonts w:hint="eastAsia" w:ascii="仿宋_GB2312" w:hAnsi="微软雅黑" w:eastAsia="仿宋_GB2312"/>
          <w:sz w:val="30"/>
          <w:szCs w:val="30"/>
        </w:rPr>
        <w:t>符合下列条件的债券交易参与人可以成为主做市商：</w:t>
      </w:r>
    </w:p>
    <w:p w14:paraId="54289DBB">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市场交易活跃，近2年债券交易量排名靠前；</w:t>
      </w:r>
    </w:p>
    <w:p w14:paraId="52DFB4F3">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具有专业的做市团队和较强的做市能力；</w:t>
      </w:r>
    </w:p>
    <w:p w14:paraId="5FAFC7CD">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本所规定的其他条件。</w:t>
      </w:r>
    </w:p>
    <w:p w14:paraId="7AED3667">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拟开展基准做市业务的债券交易参与人，应在通过债券做市测试与检查后，向本所提交开展债券基准做市业务方案</w:t>
      </w:r>
      <w:r>
        <w:rPr>
          <w:rFonts w:hint="eastAsia" w:ascii="仿宋_GB2312" w:hAnsi="微软雅黑" w:eastAsia="仿宋_GB2312"/>
          <w:sz w:val="30"/>
          <w:szCs w:val="30"/>
        </w:rPr>
        <w:t>（以下简称基准做市方案）。</w:t>
      </w:r>
    </w:p>
    <w:p w14:paraId="6630D03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债券基准做市业务方案中应当包含以下内容（附件</w:t>
      </w:r>
      <w:r>
        <w:rPr>
          <w:rFonts w:ascii="仿宋_GB2312" w:hAnsi="微软雅黑" w:eastAsia="仿宋_GB2312"/>
          <w:sz w:val="30"/>
          <w:szCs w:val="30"/>
        </w:rPr>
        <w:t>1</w:t>
      </w:r>
      <w:r>
        <w:rPr>
          <w:rFonts w:hint="eastAsia" w:ascii="仿宋_GB2312" w:hAnsi="微软雅黑" w:eastAsia="仿宋_GB2312"/>
          <w:sz w:val="30"/>
          <w:szCs w:val="30"/>
        </w:rPr>
        <w:t>1）：</w:t>
      </w:r>
    </w:p>
    <w:p w14:paraId="42E9547E">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机构基本情况；</w:t>
      </w:r>
    </w:p>
    <w:p w14:paraId="7A6EAB8C">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近2年债券投资交易情况；</w:t>
      </w:r>
    </w:p>
    <w:p w14:paraId="6B5F81DD">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做市相关部门设置、</w:t>
      </w:r>
      <w:r>
        <w:rPr>
          <w:rFonts w:ascii="仿宋_GB2312" w:hAnsi="微软雅黑" w:eastAsia="仿宋_GB2312"/>
          <w:sz w:val="30"/>
          <w:szCs w:val="30"/>
          <w:lang w:eastAsia="zh-CN"/>
        </w:rPr>
        <w:t>内部控制制度</w:t>
      </w:r>
      <w:r>
        <w:rPr>
          <w:rFonts w:hint="eastAsia" w:ascii="仿宋_GB2312" w:hAnsi="微软雅黑" w:eastAsia="仿宋_GB2312"/>
          <w:sz w:val="30"/>
          <w:szCs w:val="30"/>
          <w:lang w:eastAsia="zh-CN"/>
        </w:rPr>
        <w:t>、</w:t>
      </w:r>
      <w:r>
        <w:rPr>
          <w:rFonts w:ascii="仿宋_GB2312" w:hAnsi="微软雅黑" w:eastAsia="仿宋_GB2312"/>
          <w:sz w:val="30"/>
          <w:szCs w:val="30"/>
          <w:lang w:eastAsia="zh-CN"/>
        </w:rPr>
        <w:t>技术系统准备情况</w:t>
      </w:r>
      <w:r>
        <w:rPr>
          <w:rFonts w:hint="eastAsia" w:ascii="仿宋_GB2312" w:hAnsi="微软雅黑" w:eastAsia="仿宋_GB2312"/>
          <w:sz w:val="30"/>
          <w:szCs w:val="30"/>
          <w:lang w:eastAsia="zh-CN"/>
        </w:rPr>
        <w:t>及业务人员配备情况；</w:t>
      </w:r>
    </w:p>
    <w:p w14:paraId="337E78CA">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拟做市品种、做市证券账户安排；</w:t>
      </w:r>
    </w:p>
    <w:p w14:paraId="734C05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做市相关风险控制安排、</w:t>
      </w:r>
      <w:r>
        <w:rPr>
          <w:rFonts w:ascii="仿宋_GB2312" w:hAnsi="微软雅黑" w:eastAsia="仿宋_GB2312"/>
          <w:sz w:val="30"/>
          <w:szCs w:val="30"/>
          <w:lang w:eastAsia="zh-CN"/>
        </w:rPr>
        <w:t>系统应急预案</w:t>
      </w:r>
      <w:r>
        <w:rPr>
          <w:rFonts w:hint="eastAsia" w:ascii="仿宋_GB2312" w:hAnsi="微软雅黑" w:eastAsia="仿宋_GB2312"/>
          <w:sz w:val="30"/>
          <w:szCs w:val="30"/>
          <w:lang w:eastAsia="zh-CN"/>
        </w:rPr>
        <w:t xml:space="preserve">； </w:t>
      </w:r>
    </w:p>
    <w:p w14:paraId="119B37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本所要求说明的其他情况。</w:t>
      </w:r>
    </w:p>
    <w:p w14:paraId="4BCE0A30">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申请人应当通过“上交所业务管理系统平台交易参与人模块-债券做市业务”</w:t>
      </w:r>
      <w:r>
        <w:rPr>
          <w:rFonts w:ascii="仿宋_GB2312" w:hAnsi="微软雅黑" w:eastAsia="仿宋_GB2312"/>
          <w:sz w:val="30"/>
          <w:szCs w:val="30"/>
        </w:rPr>
        <w:t>（以下简称</w:t>
      </w:r>
      <w:r>
        <w:rPr>
          <w:rFonts w:hint="eastAsia" w:ascii="仿宋_GB2312" w:hAnsi="微软雅黑" w:eastAsia="仿宋_GB2312"/>
          <w:sz w:val="30"/>
          <w:szCs w:val="30"/>
        </w:rPr>
        <w:t>“业管系统平台交易参与人模块”</w:t>
      </w:r>
      <w:r>
        <w:rPr>
          <w:rFonts w:ascii="仿宋_GB2312" w:hAnsi="微软雅黑" w:eastAsia="仿宋_GB2312"/>
          <w:sz w:val="30"/>
          <w:szCs w:val="30"/>
        </w:rPr>
        <w:t>）</w:t>
      </w:r>
      <w:r>
        <w:rPr>
          <w:rFonts w:hint="eastAsia" w:ascii="仿宋_GB2312" w:hAnsi="微软雅黑" w:eastAsia="仿宋_GB2312"/>
          <w:sz w:val="30"/>
          <w:szCs w:val="30"/>
        </w:rPr>
        <w:t>提交材料，</w:t>
      </w:r>
      <w:r>
        <w:rPr>
          <w:rFonts w:hint="eastAsia" w:ascii="仿宋_GB2312" w:hAnsi="Calibri" w:eastAsia="仿宋_GB2312"/>
          <w:sz w:val="30"/>
          <w:szCs w:val="30"/>
        </w:rPr>
        <w:t>并做出如下承诺：申请材料的内容真实、准确、完整，如申请材料存在虚假记载、误导性陈述和重大遗漏，将承担全部法律责任。</w:t>
      </w:r>
      <w:r>
        <w:rPr>
          <w:rFonts w:hint="eastAsia" w:ascii="仿宋_GB2312" w:hAnsi="微软雅黑" w:eastAsia="仿宋_GB2312"/>
          <w:sz w:val="30"/>
          <w:szCs w:val="30"/>
        </w:rPr>
        <w:t>申请人上传材料的电子件及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w:t>
      </w:r>
      <w:r>
        <w:rPr>
          <w:rFonts w:ascii="仿宋_GB2312" w:hAnsi="微软雅黑" w:eastAsia="仿宋_GB2312"/>
          <w:sz w:val="30"/>
          <w:szCs w:val="30"/>
        </w:rPr>
        <w:t>材料均需加盖机构公章。</w:t>
      </w:r>
      <w:r>
        <w:rPr>
          <w:rFonts w:hint="eastAsia" w:ascii="仿宋_GB2312" w:eastAsia="仿宋_GB2312"/>
          <w:sz w:val="30"/>
          <w:szCs w:val="30"/>
        </w:rPr>
        <w:t>本所自收到基准做市方案之日起5个交易日以内进行评估并通知申请人。</w:t>
      </w:r>
    </w:p>
    <w:p w14:paraId="33A1A5E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本所对主做市商的受理持续开放，满足条件的债券交易参与人可以随时提交材料。</w:t>
      </w:r>
    </w:p>
    <w:p w14:paraId="2B538454">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3</w:t>
      </w:r>
      <w:r>
        <w:rPr>
          <w:rFonts w:hint="eastAsia" w:ascii="仿宋_GB2312" w:hAnsi="黑体" w:eastAsia="仿宋_GB2312"/>
          <w:b/>
          <w:sz w:val="30"/>
          <w:szCs w:val="30"/>
        </w:rPr>
        <w:t>）一般做市商</w:t>
      </w:r>
    </w:p>
    <w:p w14:paraId="2DC7835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拟开展一般做市业务的债券交易参与人，应在</w:t>
      </w:r>
      <w:r>
        <w:rPr>
          <w:rFonts w:hint="eastAsia" w:ascii="仿宋_GB2312" w:eastAsia="仿宋_GB2312"/>
          <w:sz w:val="30"/>
          <w:szCs w:val="30"/>
        </w:rPr>
        <w:t>通过债券做市测试与检查后，</w:t>
      </w:r>
      <w:r>
        <w:rPr>
          <w:rFonts w:hint="eastAsia" w:ascii="仿宋_GB2312" w:hAnsi="微软雅黑" w:eastAsia="仿宋_GB2312"/>
          <w:sz w:val="30"/>
          <w:szCs w:val="30"/>
        </w:rPr>
        <w:t>向本所</w:t>
      </w:r>
      <w:r>
        <w:rPr>
          <w:rFonts w:hint="eastAsia" w:ascii="仿宋_GB2312" w:eastAsia="仿宋_GB2312"/>
          <w:sz w:val="30"/>
          <w:szCs w:val="30"/>
        </w:rPr>
        <w:t>提交债券一般做市商登记表，具体需</w:t>
      </w:r>
      <w:r>
        <w:rPr>
          <w:rFonts w:hint="eastAsia" w:ascii="仿宋_GB2312" w:hAnsi="微软雅黑" w:eastAsia="仿宋_GB2312"/>
          <w:sz w:val="30"/>
          <w:szCs w:val="30"/>
        </w:rPr>
        <w:t>提交材料可参考附件</w:t>
      </w:r>
      <w:r>
        <w:rPr>
          <w:rFonts w:ascii="仿宋_GB2312" w:hAnsi="微软雅黑" w:eastAsia="仿宋_GB2312"/>
          <w:sz w:val="30"/>
          <w:szCs w:val="30"/>
        </w:rPr>
        <w:t>1</w:t>
      </w:r>
      <w:r>
        <w:rPr>
          <w:rFonts w:hint="eastAsia" w:ascii="仿宋_GB2312" w:hAnsi="微软雅黑" w:eastAsia="仿宋_GB2312"/>
          <w:sz w:val="30"/>
          <w:szCs w:val="30"/>
        </w:rPr>
        <w:t>2。</w:t>
      </w:r>
    </w:p>
    <w:p w14:paraId="0EABF3C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债券交易参与人应当保证所提交的材料真实、准确、完整。申请人应当通过业管系统平台交易参与人模块上传材料的电子件及</w:t>
      </w:r>
      <w:r>
        <w:rPr>
          <w:rFonts w:ascii="仿宋_GB2312" w:hAnsi="微软雅黑" w:eastAsia="仿宋_GB2312"/>
          <w:sz w:val="30"/>
          <w:szCs w:val="30"/>
        </w:rPr>
        <w:t>PDF格式彩色扫描件，材料均需加盖机构公章。</w:t>
      </w:r>
    </w:p>
    <w:p w14:paraId="158F6FA2">
      <w:pPr>
        <w:spacing w:line="600" w:lineRule="exact"/>
        <w:ind w:firstLine="600" w:firstLineChars="200"/>
        <w:rPr>
          <w:rFonts w:ascii="仿宋_GB2312" w:eastAsia="仿宋_GB2312"/>
          <w:sz w:val="30"/>
          <w:szCs w:val="30"/>
        </w:rPr>
      </w:pPr>
      <w:r>
        <w:rPr>
          <w:rFonts w:hint="eastAsia" w:ascii="仿宋_GB2312" w:eastAsia="仿宋_GB2312"/>
          <w:sz w:val="30"/>
          <w:szCs w:val="30"/>
        </w:rPr>
        <w:t>本所自收到债券一般做市商登记表之日起2个交易日以内进行确认。</w:t>
      </w:r>
    </w:p>
    <w:p w14:paraId="4B0FA06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4</w:t>
      </w:r>
      <w:r>
        <w:rPr>
          <w:rFonts w:hint="eastAsia" w:ascii="仿宋_GB2312" w:hAnsi="黑体" w:eastAsia="仿宋_GB2312"/>
          <w:b/>
          <w:sz w:val="30"/>
          <w:szCs w:val="30"/>
        </w:rPr>
        <w:t>）做市商类型变更</w:t>
      </w:r>
    </w:p>
    <w:p w14:paraId="6573CFD9">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一般做市商拟变更为主做市商的，应符合主做市商申请条件，并通过业管系统平台交易参与人模块提交基准做市方案（附件</w:t>
      </w:r>
      <w:r>
        <w:rPr>
          <w:rFonts w:ascii="仿宋_GB2312" w:eastAsia="仿宋_GB2312"/>
          <w:sz w:val="30"/>
          <w:szCs w:val="30"/>
        </w:rPr>
        <w:t>1</w:t>
      </w:r>
      <w:r>
        <w:rPr>
          <w:rFonts w:hint="eastAsia" w:ascii="仿宋_GB2312" w:eastAsia="仿宋_GB2312"/>
          <w:sz w:val="30"/>
          <w:szCs w:val="30"/>
        </w:rPr>
        <w:t>1）。本所自收到基准做市方案之日起5个交易日以内进行评估并通知申请人。</w:t>
      </w:r>
    </w:p>
    <w:p w14:paraId="237BC36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主做市商拟变更为一般做市商的，应提交债券一般做市商登记表（附件</w:t>
      </w:r>
      <w:r>
        <w:rPr>
          <w:rFonts w:ascii="仿宋_GB2312" w:eastAsia="仿宋_GB2312"/>
          <w:sz w:val="30"/>
          <w:szCs w:val="30"/>
        </w:rPr>
        <w:t>1</w:t>
      </w:r>
      <w:r>
        <w:rPr>
          <w:rFonts w:hint="eastAsia" w:ascii="仿宋_GB2312" w:eastAsia="仿宋_GB2312"/>
          <w:sz w:val="30"/>
          <w:szCs w:val="30"/>
        </w:rPr>
        <w:t>2）。本所自收到债券一般做市商登记表之日起2个交易日以内进行确认。主</w:t>
      </w:r>
      <w:r>
        <w:rPr>
          <w:rFonts w:hint="eastAsia" w:ascii="仿宋_GB2312" w:hAnsi="微软雅黑" w:eastAsia="仿宋_GB2312"/>
          <w:sz w:val="30"/>
          <w:szCs w:val="30"/>
        </w:rPr>
        <w:t>做市商申请</w:t>
      </w:r>
      <w:r>
        <w:rPr>
          <w:rFonts w:hint="eastAsia" w:ascii="仿宋_GB2312" w:eastAsia="仿宋_GB2312"/>
          <w:sz w:val="30"/>
          <w:szCs w:val="30"/>
        </w:rPr>
        <w:t>变更为一般做市商的</w:t>
      </w:r>
      <w:r>
        <w:rPr>
          <w:rFonts w:hint="eastAsia" w:ascii="仿宋_GB2312" w:hAnsi="微软雅黑" w:eastAsia="仿宋_GB2312"/>
          <w:sz w:val="30"/>
          <w:szCs w:val="30"/>
        </w:rPr>
        <w:t>，</w:t>
      </w:r>
      <w:r>
        <w:rPr>
          <w:rFonts w:ascii="仿宋_GB2312" w:hAnsi="微软雅黑" w:eastAsia="仿宋_GB2312"/>
          <w:sz w:val="30"/>
          <w:szCs w:val="30"/>
        </w:rPr>
        <w:t>3</w:t>
      </w:r>
      <w:r>
        <w:rPr>
          <w:rFonts w:hint="eastAsia" w:ascii="仿宋_GB2312" w:hAnsi="微软雅黑" w:eastAsia="仿宋_GB2312"/>
          <w:sz w:val="30"/>
          <w:szCs w:val="30"/>
        </w:rPr>
        <w:t>个月内不得重新申请变更为主做市商。</w:t>
      </w:r>
    </w:p>
    <w:p w14:paraId="6AFC55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5</w:t>
      </w:r>
      <w:r>
        <w:rPr>
          <w:rFonts w:hint="eastAsia" w:ascii="仿宋_GB2312" w:hAnsi="黑体" w:eastAsia="仿宋_GB2312"/>
          <w:b/>
          <w:sz w:val="30"/>
          <w:szCs w:val="30"/>
        </w:rPr>
        <w:t>）做市商信息变更与公示</w:t>
      </w:r>
    </w:p>
    <w:p w14:paraId="77BC07C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做市商信息与债券交易参与人信息同步变更，不需要单独申请。</w:t>
      </w:r>
    </w:p>
    <w:p w14:paraId="355606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除机构信息、证券账户信息以外的做市业务相关信息变更，如做市业务部门人员、岗位设置等信息的变更，可通过业管系统平台交易参与人模块完成。</w:t>
      </w:r>
    </w:p>
    <w:p w14:paraId="065B1D9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本所向市场公示主做市商及一般做市商名单，并对名单进行及时更新。名单可在本所上证债券信息网（</w:t>
      </w:r>
      <w:r>
        <w:rPr>
          <w:rFonts w:ascii="仿宋_GB2312" w:hAnsi="微软雅黑" w:eastAsia="仿宋_GB2312"/>
          <w:sz w:val="30"/>
          <w:szCs w:val="30"/>
        </w:rPr>
        <w:t>http://bond.sse.com.cn/</w:t>
      </w:r>
      <w:r>
        <w:rPr>
          <w:rFonts w:hint="eastAsia" w:ascii="仿宋_GB2312" w:hAnsi="微软雅黑" w:eastAsia="仿宋_GB2312"/>
          <w:sz w:val="30"/>
          <w:szCs w:val="30"/>
        </w:rPr>
        <w:t>）进行查看。</w:t>
      </w:r>
    </w:p>
    <w:p w14:paraId="17CFD04A">
      <w:pPr>
        <w:numPr>
          <w:ilvl w:val="2"/>
          <w:numId w:val="4"/>
        </w:numPr>
        <w:spacing w:line="600" w:lineRule="exact"/>
        <w:ind w:left="0" w:firstLine="0"/>
        <w:outlineLvl w:val="2"/>
        <w:rPr>
          <w:rFonts w:ascii="仿宋_GB2312" w:eastAsia="仿宋_GB2312"/>
          <w:b/>
          <w:sz w:val="30"/>
          <w:szCs w:val="30"/>
        </w:rPr>
      </w:pPr>
      <w:bookmarkStart w:id="773" w:name="_Toc47457050"/>
      <w:bookmarkEnd w:id="773"/>
      <w:bookmarkStart w:id="774" w:name="_Toc47443122"/>
      <w:bookmarkEnd w:id="774"/>
      <w:bookmarkStart w:id="775" w:name="_Toc47452101"/>
      <w:bookmarkEnd w:id="775"/>
      <w:bookmarkStart w:id="776" w:name="_Toc47451772"/>
      <w:bookmarkEnd w:id="776"/>
      <w:bookmarkStart w:id="777" w:name="_Toc47443694"/>
      <w:bookmarkEnd w:id="777"/>
      <w:bookmarkStart w:id="778" w:name="_Toc47443011"/>
      <w:bookmarkEnd w:id="778"/>
      <w:bookmarkStart w:id="779" w:name="_Toc47455793"/>
      <w:bookmarkEnd w:id="779"/>
      <w:bookmarkStart w:id="780" w:name="_Toc47451504"/>
      <w:bookmarkEnd w:id="780"/>
      <w:bookmarkStart w:id="781" w:name="_Toc47372570"/>
      <w:bookmarkEnd w:id="781"/>
      <w:bookmarkStart w:id="782" w:name="_Toc47451386"/>
      <w:bookmarkEnd w:id="782"/>
      <w:bookmarkStart w:id="783" w:name="_Toc16497684"/>
      <w:bookmarkStart w:id="784" w:name="_Toc19541966"/>
      <w:bookmarkStart w:id="785" w:name="_Toc55318673"/>
      <w:bookmarkStart w:id="786" w:name="_Toc35006301"/>
      <w:bookmarkStart w:id="787" w:name="_Toc48742270"/>
      <w:bookmarkStart w:id="788" w:name="_Toc47457051"/>
      <w:bookmarkStart w:id="789" w:name="_Toc47455794"/>
      <w:bookmarkStart w:id="790" w:name="_Toc24459820"/>
      <w:bookmarkStart w:id="791" w:name="_Toc46910499"/>
      <w:r>
        <w:rPr>
          <w:rFonts w:hint="eastAsia" w:ascii="仿宋_GB2312" w:eastAsia="仿宋_GB2312"/>
          <w:b/>
          <w:sz w:val="30"/>
          <w:szCs w:val="30"/>
        </w:rPr>
        <w:t>做市品种</w:t>
      </w:r>
      <w:bookmarkEnd w:id="783"/>
      <w:bookmarkEnd w:id="784"/>
      <w:bookmarkEnd w:id="785"/>
      <w:bookmarkEnd w:id="786"/>
      <w:bookmarkEnd w:id="787"/>
      <w:bookmarkEnd w:id="788"/>
      <w:bookmarkEnd w:id="789"/>
      <w:bookmarkEnd w:id="790"/>
      <w:bookmarkEnd w:id="791"/>
    </w:p>
    <w:p w14:paraId="414DDE6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本所债券市场的做市品种包括基准做市品种和自选做市品种。</w:t>
      </w:r>
    </w:p>
    <w:p w14:paraId="23BA65D8">
      <w:pPr>
        <w:spacing w:line="600" w:lineRule="exact"/>
        <w:ind w:left="567"/>
        <w:outlineLvl w:val="3"/>
        <w:rPr>
          <w:rFonts w:ascii="仿宋_GB2312" w:eastAsia="仿宋_GB2312"/>
          <w:b/>
          <w:sz w:val="30"/>
          <w:szCs w:val="30"/>
        </w:rPr>
      </w:pPr>
      <w:r>
        <w:rPr>
          <w:rFonts w:hint="eastAsia" w:ascii="仿宋_GB2312" w:eastAsia="仿宋_GB2312"/>
          <w:b/>
          <w:sz w:val="30"/>
          <w:szCs w:val="30"/>
        </w:rPr>
        <w:t>（1）基准做市品种</w:t>
      </w:r>
    </w:p>
    <w:p w14:paraId="56E64F91">
      <w:pPr>
        <w:spacing w:line="600" w:lineRule="exact"/>
        <w:ind w:firstLine="600" w:firstLineChars="200"/>
        <w:rPr>
          <w:rFonts w:ascii="仿宋_GB2312" w:hAnsi="黑体" w:eastAsia="仿宋_GB2312"/>
          <w:b/>
          <w:sz w:val="30"/>
          <w:szCs w:val="30"/>
        </w:rPr>
      </w:pPr>
      <w:r>
        <w:rPr>
          <w:rFonts w:hint="eastAsia" w:ascii="仿宋_GB2312" w:hAnsi="微软雅黑" w:eastAsia="仿宋_GB2312"/>
          <w:sz w:val="30"/>
          <w:szCs w:val="30"/>
        </w:rPr>
        <w:t>基准做市品种包括基准利率类债券和基准信用类债券及本所认可的其他品种。</w:t>
      </w:r>
    </w:p>
    <w:p w14:paraId="6C0379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1）基准利率类债券</w:t>
      </w:r>
    </w:p>
    <w:p w14:paraId="23CD4E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基准利率类债券包括：</w:t>
      </w:r>
    </w:p>
    <w:p w14:paraId="32416F63">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1年期、2年期、3年期、5年期、10年期的国债中，分别选取最新上市的</w:t>
      </w:r>
      <w:r>
        <w:rPr>
          <w:rFonts w:ascii="仿宋_GB2312" w:eastAsia="仿宋_GB2312"/>
          <w:sz w:val="30"/>
          <w:szCs w:val="30"/>
        </w:rPr>
        <w:t>两</w:t>
      </w:r>
      <w:r>
        <w:rPr>
          <w:rFonts w:hint="eastAsia" w:ascii="仿宋_GB2312" w:eastAsia="仿宋_GB2312"/>
          <w:sz w:val="30"/>
          <w:szCs w:val="30"/>
        </w:rPr>
        <w:t>期国债；</w:t>
      </w:r>
    </w:p>
    <w:p w14:paraId="17601680">
      <w:pPr>
        <w:numPr>
          <w:ilvl w:val="0"/>
          <w:numId w:val="0"/>
        </w:numPr>
        <w:spacing w:line="600" w:lineRule="exact"/>
        <w:ind w:firstLine="600" w:firstLineChars="200"/>
        <w:rPr>
          <w:rFonts w:ascii="仿宋_GB2312" w:eastAsia="仿宋_GB2312"/>
          <w:sz w:val="30"/>
          <w:szCs w:val="30"/>
        </w:rPr>
      </w:pPr>
      <w:r>
        <w:rPr>
          <w:rFonts w:ascii="仿宋_GB2312" w:hAnsi="Times New Roman" w:eastAsia="仿宋_GB2312" w:cs="Times New Roman"/>
          <w:kern w:val="2"/>
          <w:sz w:val="30"/>
          <w:szCs w:val="30"/>
          <w:lang w:val="en-US" w:eastAsia="zh-CN" w:bidi="ar-SA"/>
        </w:rPr>
        <w:t>2.</w:t>
      </w:r>
      <w:r>
        <w:rPr>
          <w:rFonts w:hint="eastAsia" w:ascii="仿宋_GB2312" w:eastAsia="仿宋_GB2312"/>
          <w:sz w:val="30"/>
          <w:szCs w:val="30"/>
        </w:rPr>
        <w:t>20年期、3</w:t>
      </w:r>
      <w:r>
        <w:rPr>
          <w:rFonts w:ascii="仿宋_GB2312" w:eastAsia="仿宋_GB2312"/>
          <w:sz w:val="30"/>
          <w:szCs w:val="30"/>
        </w:rPr>
        <w:t>0</w:t>
      </w:r>
      <w:r>
        <w:rPr>
          <w:rFonts w:hint="eastAsia" w:ascii="仿宋_GB2312" w:eastAsia="仿宋_GB2312"/>
          <w:sz w:val="30"/>
          <w:szCs w:val="30"/>
        </w:rPr>
        <w:t>年期、50年期的国债中，分别选取最新上市品种，最多选取三期；</w:t>
      </w:r>
    </w:p>
    <w:p w14:paraId="10DF0D4C">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3.</w:t>
      </w:r>
      <w:r>
        <w:rPr>
          <w:rFonts w:hint="eastAsia" w:ascii="仿宋_GB2312" w:eastAsia="仿宋_GB2312"/>
          <w:sz w:val="30"/>
          <w:szCs w:val="30"/>
        </w:rPr>
        <w:t>新发行且在本所招标发行的单只规模不少于</w:t>
      </w:r>
      <w:r>
        <w:rPr>
          <w:rFonts w:hint="eastAsia" w:ascii="仿宋_GB2312" w:eastAsia="仿宋_GB2312"/>
          <w:sz w:val="30"/>
          <w:szCs w:val="30"/>
          <w:lang w:val="en-US" w:eastAsia="zh-CN"/>
        </w:rPr>
        <w:t>8</w:t>
      </w:r>
      <w:r>
        <w:rPr>
          <w:rFonts w:hint="eastAsia" w:ascii="仿宋_GB2312" w:eastAsia="仿宋_GB2312"/>
          <w:sz w:val="30"/>
          <w:szCs w:val="30"/>
        </w:rPr>
        <w:t>0亿元的地方债；</w:t>
      </w:r>
    </w:p>
    <w:p w14:paraId="5A037A07">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4.</w:t>
      </w:r>
      <w:r>
        <w:rPr>
          <w:rFonts w:hint="eastAsia" w:ascii="仿宋_GB2312" w:eastAsia="仿宋_GB2312"/>
          <w:sz w:val="30"/>
          <w:szCs w:val="30"/>
        </w:rPr>
        <w:t>新发行且在本所招标发行的政府支持债券；</w:t>
      </w:r>
    </w:p>
    <w:p w14:paraId="5A1170E1">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5.</w:t>
      </w:r>
      <w:r>
        <w:rPr>
          <w:rFonts w:hint="eastAsia" w:ascii="仿宋_GB2312" w:eastAsia="仿宋_GB2312"/>
          <w:sz w:val="30"/>
          <w:szCs w:val="30"/>
        </w:rPr>
        <w:t>本所指定开展做市的其他政府债券、政策性金融债、政府支持债券等品种</w:t>
      </w:r>
      <w:r>
        <w:rPr>
          <w:rFonts w:ascii="仿宋_GB2312" w:hAnsi="微软雅黑" w:eastAsia="仿宋_GB2312"/>
          <w:sz w:val="30"/>
          <w:szCs w:val="30"/>
        </w:rPr>
        <w:t>。</w:t>
      </w:r>
    </w:p>
    <w:p w14:paraId="2A14441B">
      <w:pPr>
        <w:numPr>
          <w:ilvl w:val="0"/>
          <w:numId w:val="0"/>
        </w:num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lang w:val="en-US" w:eastAsia="zh-CN"/>
        </w:rPr>
        <w:t>第3、4类</w:t>
      </w:r>
      <w:r>
        <w:rPr>
          <w:rFonts w:hint="eastAsia" w:ascii="仿宋_GB2312" w:hAnsi="微软雅黑" w:eastAsia="仿宋_GB2312"/>
          <w:sz w:val="30"/>
          <w:szCs w:val="30"/>
        </w:rPr>
        <w:t>债券品种</w:t>
      </w:r>
      <w:r>
        <w:rPr>
          <w:rFonts w:hint="eastAsia" w:ascii="仿宋_GB2312" w:hAnsi="微软雅黑" w:eastAsia="仿宋_GB2312"/>
          <w:sz w:val="30"/>
          <w:szCs w:val="30"/>
          <w:lang w:eastAsia="zh-CN"/>
        </w:rPr>
        <w:t>做市期限为</w:t>
      </w:r>
      <w:r>
        <w:rPr>
          <w:rFonts w:hint="eastAsia" w:ascii="仿宋_GB2312" w:hAnsi="微软雅黑" w:eastAsia="仿宋_GB2312"/>
          <w:sz w:val="30"/>
          <w:szCs w:val="30"/>
          <w:lang w:val="en-US" w:eastAsia="zh-CN"/>
        </w:rPr>
        <w:t>6个月，本所定期对名单进行调整。第5类债券品种</w:t>
      </w:r>
      <w:r>
        <w:rPr>
          <w:rFonts w:hint="eastAsia" w:ascii="仿宋_GB2312" w:hAnsi="微软雅黑" w:eastAsia="仿宋_GB2312"/>
          <w:sz w:val="30"/>
          <w:szCs w:val="30"/>
        </w:rPr>
        <w:t>由本所从交易活跃程度排名靠前的其他利率类债券（如国开债）中指定，或者根据市场情况选定。</w:t>
      </w:r>
    </w:p>
    <w:p w14:paraId="5CEFD21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本所将在正式做市开始前至少</w:t>
      </w:r>
      <w:r>
        <w:rPr>
          <w:rFonts w:ascii="仿宋_GB2312" w:hAnsi="微软雅黑" w:eastAsia="仿宋_GB2312"/>
          <w:sz w:val="30"/>
          <w:szCs w:val="30"/>
        </w:rPr>
        <w:t>2个交易日向市场</w:t>
      </w:r>
      <w:r>
        <w:rPr>
          <w:rFonts w:hint="eastAsia" w:ascii="仿宋_GB2312" w:hAnsi="微软雅黑" w:eastAsia="仿宋_GB2312"/>
          <w:sz w:val="30"/>
          <w:szCs w:val="30"/>
        </w:rPr>
        <w:t>公</w:t>
      </w:r>
      <w:r>
        <w:rPr>
          <w:rFonts w:ascii="仿宋_GB2312" w:hAnsi="微软雅黑" w:eastAsia="仿宋_GB2312"/>
          <w:sz w:val="30"/>
          <w:szCs w:val="30"/>
        </w:rPr>
        <w:t>布</w:t>
      </w:r>
      <w:r>
        <w:rPr>
          <w:rFonts w:hint="eastAsia" w:ascii="仿宋_GB2312" w:hAnsi="微软雅黑" w:eastAsia="仿宋_GB2312"/>
          <w:sz w:val="30"/>
          <w:szCs w:val="30"/>
        </w:rPr>
        <w:t>基准利率类债券品种</w:t>
      </w:r>
      <w:r>
        <w:rPr>
          <w:rFonts w:ascii="仿宋_GB2312" w:hAnsi="微软雅黑" w:eastAsia="仿宋_GB2312"/>
          <w:sz w:val="30"/>
          <w:szCs w:val="30"/>
        </w:rPr>
        <w:t>，</w:t>
      </w:r>
      <w:r>
        <w:rPr>
          <w:rFonts w:hint="eastAsia" w:ascii="仿宋_GB2312" w:hAnsi="微软雅黑" w:eastAsia="仿宋_GB2312"/>
          <w:sz w:val="30"/>
          <w:szCs w:val="30"/>
        </w:rPr>
        <w:t>名单可在本所上证债券信息网查看。</w:t>
      </w:r>
    </w:p>
    <w:p w14:paraId="0807F04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基准信用类债券包括：</w:t>
      </w:r>
    </w:p>
    <w:p w14:paraId="0F140C5F">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本所指定的发行规模在30亿元以上、主体评级为AAA级的公司债券</w:t>
      </w:r>
      <w:r>
        <w:rPr>
          <w:rFonts w:hint="eastAsia" w:ascii="仿宋_GB2312" w:eastAsia="仿宋_GB2312"/>
          <w:sz w:val="30"/>
          <w:szCs w:val="30"/>
          <w:lang w:bidi="en-US"/>
        </w:rPr>
        <w:t>；</w:t>
      </w:r>
    </w:p>
    <w:p w14:paraId="29E57187">
      <w:pPr>
        <w:spacing w:line="600" w:lineRule="exact"/>
        <w:ind w:firstLine="600" w:firstLineChars="200"/>
        <w:rPr>
          <w:rFonts w:ascii="仿宋_GB2312" w:eastAsia="仿宋_GB2312"/>
          <w:sz w:val="30"/>
          <w:szCs w:val="30"/>
        </w:rPr>
      </w:pPr>
      <w:r>
        <w:rPr>
          <w:rFonts w:hint="eastAsia" w:ascii="仿宋_GB2312" w:eastAsia="仿宋_GB2312"/>
          <w:sz w:val="30"/>
          <w:szCs w:val="30"/>
        </w:rPr>
        <w:t>2.本所指定的发行规模在20亿元以上、主体评级为AAA级的科技创新公司债券、</w:t>
      </w:r>
      <w:r>
        <w:rPr>
          <w:rFonts w:ascii="仿宋_GB2312" w:eastAsia="仿宋_GB2312"/>
          <w:sz w:val="30"/>
          <w:szCs w:val="30"/>
        </w:rPr>
        <w:t>绿色公司</w:t>
      </w:r>
      <w:r>
        <w:rPr>
          <w:rFonts w:hint="eastAsia" w:ascii="仿宋_GB2312" w:eastAsia="仿宋_GB2312"/>
          <w:sz w:val="30"/>
          <w:szCs w:val="30"/>
        </w:rPr>
        <w:t>债券和民营企业发行的公司债券；</w:t>
      </w:r>
    </w:p>
    <w:p w14:paraId="2F70494F">
      <w:pPr>
        <w:spacing w:line="600" w:lineRule="exact"/>
        <w:ind w:firstLine="600" w:firstLineChars="200"/>
        <w:rPr>
          <w:rFonts w:ascii="仿宋_GB2312" w:hAnsi="微软雅黑" w:eastAsia="仿宋_GB2312"/>
          <w:sz w:val="30"/>
          <w:szCs w:val="30"/>
        </w:rPr>
      </w:pPr>
      <w:r>
        <w:rPr>
          <w:rFonts w:hint="default" w:ascii="仿宋_GB2312" w:eastAsia="仿宋_GB2312"/>
          <w:sz w:val="30"/>
          <w:szCs w:val="30"/>
          <w:lang w:val="en-US"/>
        </w:rPr>
        <w:t>3</w:t>
      </w:r>
      <w:r>
        <w:rPr>
          <w:rFonts w:hint="eastAsia" w:ascii="仿宋_GB2312" w:eastAsia="仿宋_GB2312"/>
          <w:sz w:val="30"/>
          <w:szCs w:val="30"/>
        </w:rPr>
        <w:t>.本所指定开展做市的其他信用类债券。</w:t>
      </w:r>
    </w:p>
    <w:p w14:paraId="48035533">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本所将在每次更新基准信用类债券品种名单时向市场公布，名单可在本所上证债券信息网查看</w:t>
      </w:r>
      <w:r>
        <w:rPr>
          <w:rFonts w:ascii="仿宋_GB2312" w:hAnsi="微软雅黑" w:eastAsia="仿宋_GB2312"/>
          <w:sz w:val="30"/>
          <w:szCs w:val="30"/>
        </w:rPr>
        <w:t>。</w:t>
      </w:r>
    </w:p>
    <w:p w14:paraId="173BE156">
      <w:pPr>
        <w:spacing w:line="600" w:lineRule="exact"/>
        <w:ind w:left="567"/>
        <w:outlineLvl w:val="3"/>
        <w:rPr>
          <w:rFonts w:ascii="仿宋_GB2312" w:eastAsia="仿宋_GB2312"/>
          <w:b/>
          <w:sz w:val="30"/>
          <w:szCs w:val="30"/>
        </w:rPr>
      </w:pPr>
      <w:r>
        <w:rPr>
          <w:rFonts w:hint="eastAsia" w:ascii="仿宋_GB2312" w:eastAsia="仿宋_GB2312"/>
          <w:b/>
          <w:sz w:val="30"/>
          <w:szCs w:val="30"/>
        </w:rPr>
        <w:t>（2）基准做市品种管理</w:t>
      </w:r>
    </w:p>
    <w:p w14:paraId="3638FE3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1）做市债券选择</w:t>
      </w:r>
    </w:p>
    <w:p w14:paraId="48E21F1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主做市商应当从政府债券和政策性金融债基准做市品种范围中选择至少</w:t>
      </w:r>
      <w:r>
        <w:rPr>
          <w:rFonts w:ascii="仿宋_GB2312" w:eastAsia="仿宋_GB2312"/>
          <w:sz w:val="30"/>
          <w:szCs w:val="30"/>
        </w:rPr>
        <w:t>5</w:t>
      </w:r>
      <w:r>
        <w:rPr>
          <w:rFonts w:hint="eastAsia" w:ascii="仿宋_GB2312" w:eastAsia="仿宋_GB2312"/>
          <w:sz w:val="30"/>
          <w:szCs w:val="30"/>
        </w:rPr>
        <w:t>只债券持续做市，从公司债券基准做市品种范围中选择至少</w:t>
      </w:r>
      <w:r>
        <w:rPr>
          <w:rFonts w:ascii="仿宋_GB2312" w:eastAsia="仿宋_GB2312"/>
          <w:sz w:val="30"/>
          <w:szCs w:val="30"/>
        </w:rPr>
        <w:t>10</w:t>
      </w:r>
      <w:r>
        <w:rPr>
          <w:rFonts w:hint="eastAsia" w:ascii="仿宋_GB2312" w:eastAsia="仿宋_GB2312"/>
          <w:sz w:val="30"/>
          <w:szCs w:val="30"/>
        </w:rPr>
        <w:t>只债券持续做市。</w:t>
      </w:r>
    </w:p>
    <w:p w14:paraId="779F223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主做市商启动做市业务前，应至少提前</w:t>
      </w:r>
      <w:r>
        <w:rPr>
          <w:rFonts w:ascii="仿宋_GB2312" w:hAnsi="微软雅黑" w:eastAsia="仿宋_GB2312"/>
          <w:sz w:val="30"/>
          <w:szCs w:val="30"/>
        </w:rPr>
        <w:t>2个交易日</w:t>
      </w:r>
      <w:r>
        <w:rPr>
          <w:rFonts w:hint="eastAsia" w:ascii="仿宋_GB2312" w:hAnsi="微软雅黑" w:eastAsia="仿宋_GB2312"/>
          <w:sz w:val="30"/>
          <w:szCs w:val="30"/>
        </w:rPr>
        <w:t>选择基准做市品种并通过业管系统平台交易参与人模块向本所报备，经本所确认后生成做市债券品种列表自动挂网。</w:t>
      </w:r>
    </w:p>
    <w:p w14:paraId="4C326C8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2）被动调整</w:t>
      </w:r>
    </w:p>
    <w:p w14:paraId="5EEF809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国债新发、其他本所指定利率债品种的变化和基准信用类债券剩余期限、存续规模的减少都会导致基准做市品种调整。本所对于基准做市品种的调入和调出，将在调整前至少</w:t>
      </w:r>
      <w:r>
        <w:rPr>
          <w:rFonts w:ascii="仿宋_GB2312" w:hAnsi="微软雅黑" w:eastAsia="仿宋_GB2312"/>
          <w:sz w:val="30"/>
          <w:szCs w:val="30"/>
        </w:rPr>
        <w:t>2个交易日向市场发布公告</w:t>
      </w:r>
      <w:r>
        <w:rPr>
          <w:rFonts w:hint="eastAsia" w:ascii="仿宋_GB2312" w:hAnsi="微软雅黑" w:eastAsia="仿宋_GB2312"/>
          <w:sz w:val="30"/>
          <w:szCs w:val="30"/>
        </w:rPr>
        <w:t>，在公告中确认基准做市品种调入和调出的日期。</w:t>
      </w:r>
    </w:p>
    <w:p w14:paraId="61855B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主做市商据此添加/取消做市品种选择，并将调整后的做市品种通过业管系统平台交易参与人模块向本所报备，调整后的债券品种替代原有品种，经本所确认后同步挂网。</w:t>
      </w:r>
    </w:p>
    <w:p w14:paraId="65774D9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3）主动调整</w:t>
      </w:r>
    </w:p>
    <w:p w14:paraId="6530BBC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主做市商选定基准做市品种之后每个季度内仅可主动调整一次（被动调整除外），且须在调整前至少</w:t>
      </w:r>
      <w:r>
        <w:rPr>
          <w:rFonts w:ascii="仿宋_GB2312" w:hAnsi="微软雅黑" w:eastAsia="仿宋_GB2312"/>
          <w:sz w:val="30"/>
          <w:szCs w:val="30"/>
        </w:rPr>
        <w:t>2个交易日</w:t>
      </w:r>
      <w:r>
        <w:rPr>
          <w:rFonts w:hint="eastAsia" w:ascii="仿宋_GB2312" w:hAnsi="微软雅黑" w:eastAsia="仿宋_GB2312"/>
          <w:sz w:val="30"/>
          <w:szCs w:val="30"/>
        </w:rPr>
        <w:t>将</w:t>
      </w:r>
      <w:r>
        <w:rPr>
          <w:rFonts w:ascii="仿宋_GB2312" w:hAnsi="微软雅黑" w:eastAsia="仿宋_GB2312"/>
          <w:sz w:val="30"/>
          <w:szCs w:val="30"/>
        </w:rPr>
        <w:t>相关</w:t>
      </w:r>
      <w:r>
        <w:rPr>
          <w:rFonts w:hint="eastAsia" w:ascii="仿宋_GB2312" w:hAnsi="微软雅黑" w:eastAsia="仿宋_GB2312"/>
          <w:sz w:val="30"/>
          <w:szCs w:val="30"/>
        </w:rPr>
        <w:t>信息上传至业管系统平台交易参与人模块。</w:t>
      </w:r>
      <w:r>
        <w:rPr>
          <w:rFonts w:ascii="仿宋_GB2312" w:hAnsi="微软雅黑" w:eastAsia="仿宋_GB2312"/>
          <w:sz w:val="30"/>
          <w:szCs w:val="30"/>
        </w:rPr>
        <w:t>经本所</w:t>
      </w:r>
      <w:r>
        <w:rPr>
          <w:rFonts w:hint="eastAsia" w:ascii="仿宋_GB2312" w:hAnsi="微软雅黑" w:eastAsia="仿宋_GB2312"/>
          <w:sz w:val="30"/>
          <w:szCs w:val="30"/>
        </w:rPr>
        <w:t>评估确认后挂网并明确调整生效日期，调整后的债券品种替代原有品种。</w:t>
      </w:r>
    </w:p>
    <w:p w14:paraId="45274A5A">
      <w:pPr>
        <w:spacing w:line="600" w:lineRule="exact"/>
        <w:ind w:left="567"/>
        <w:outlineLvl w:val="3"/>
        <w:rPr>
          <w:rFonts w:ascii="仿宋_GB2312" w:eastAsia="仿宋_GB2312"/>
          <w:b/>
          <w:sz w:val="30"/>
          <w:szCs w:val="30"/>
        </w:rPr>
      </w:pPr>
      <w:r>
        <w:rPr>
          <w:rFonts w:hint="eastAsia" w:ascii="仿宋_GB2312" w:eastAsia="仿宋_GB2312"/>
          <w:b/>
          <w:sz w:val="30"/>
          <w:szCs w:val="30"/>
        </w:rPr>
        <w:t>（3）自选做市品种</w:t>
      </w:r>
    </w:p>
    <w:p w14:paraId="3E7497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w:t>
      </w:r>
      <w:r>
        <w:rPr>
          <w:rFonts w:ascii="仿宋_GB2312" w:hAnsi="微软雅黑" w:eastAsia="仿宋_GB2312"/>
          <w:sz w:val="30"/>
          <w:szCs w:val="30"/>
        </w:rPr>
        <w:t>/一般做市商</w:t>
      </w:r>
      <w:r>
        <w:rPr>
          <w:rFonts w:hint="eastAsia" w:ascii="仿宋_GB2312" w:hAnsi="微软雅黑" w:eastAsia="仿宋_GB2312"/>
          <w:sz w:val="30"/>
          <w:szCs w:val="30"/>
        </w:rPr>
        <w:t>对自选</w:t>
      </w:r>
      <w:r>
        <w:rPr>
          <w:rFonts w:ascii="仿宋_GB2312" w:hAnsi="微软雅黑" w:eastAsia="仿宋_GB2312"/>
          <w:sz w:val="30"/>
          <w:szCs w:val="30"/>
        </w:rPr>
        <w:t>品种</w:t>
      </w:r>
      <w:r>
        <w:rPr>
          <w:rFonts w:hint="eastAsia" w:ascii="仿宋_GB2312" w:hAnsi="微软雅黑" w:eastAsia="仿宋_GB2312"/>
          <w:sz w:val="30"/>
          <w:szCs w:val="30"/>
        </w:rPr>
        <w:t>开展</w:t>
      </w:r>
      <w:r>
        <w:rPr>
          <w:rFonts w:ascii="仿宋_GB2312" w:hAnsi="微软雅黑" w:eastAsia="仿宋_GB2312"/>
          <w:sz w:val="30"/>
          <w:szCs w:val="30"/>
        </w:rPr>
        <w:t>做市</w:t>
      </w:r>
      <w:r>
        <w:rPr>
          <w:rFonts w:hint="eastAsia" w:ascii="仿宋_GB2312" w:hAnsi="微软雅黑" w:eastAsia="仿宋_GB2312"/>
          <w:sz w:val="30"/>
          <w:szCs w:val="30"/>
        </w:rPr>
        <w:t>业务</w:t>
      </w:r>
      <w:r>
        <w:rPr>
          <w:rFonts w:ascii="仿宋_GB2312" w:hAnsi="微软雅黑" w:eastAsia="仿宋_GB2312"/>
          <w:sz w:val="30"/>
          <w:szCs w:val="30"/>
        </w:rPr>
        <w:t>的，</w:t>
      </w:r>
      <w:r>
        <w:rPr>
          <w:rFonts w:hint="eastAsia" w:ascii="仿宋_GB2312" w:hAnsi="微软雅黑" w:eastAsia="仿宋_GB2312"/>
          <w:sz w:val="30"/>
          <w:szCs w:val="30"/>
        </w:rPr>
        <w:t>需在做市开始前至少2</w:t>
      </w:r>
      <w:r>
        <w:rPr>
          <w:rFonts w:ascii="仿宋_GB2312" w:hAnsi="微软雅黑" w:eastAsia="仿宋_GB2312"/>
          <w:sz w:val="30"/>
          <w:szCs w:val="30"/>
        </w:rPr>
        <w:t>个交易日</w:t>
      </w:r>
      <w:r>
        <w:rPr>
          <w:rFonts w:hint="eastAsia" w:ascii="仿宋_GB2312" w:hAnsi="微软雅黑" w:eastAsia="仿宋_GB2312"/>
          <w:sz w:val="30"/>
          <w:szCs w:val="30"/>
        </w:rPr>
        <w:t>选择自选做市品种，通过业管系统平台交易参与人模块向本所报备，经本所确认后自动生成清单挂网。其中，做市期限不得少于</w:t>
      </w:r>
      <w:r>
        <w:rPr>
          <w:rFonts w:ascii="仿宋_GB2312" w:hAnsi="微软雅黑" w:eastAsia="仿宋_GB2312"/>
          <w:sz w:val="30"/>
          <w:szCs w:val="30"/>
        </w:rPr>
        <w:t>1个月。</w:t>
      </w:r>
    </w:p>
    <w:p w14:paraId="4F30B0C2">
      <w:pPr>
        <w:spacing w:line="600" w:lineRule="exact"/>
        <w:ind w:left="567"/>
        <w:outlineLvl w:val="3"/>
        <w:rPr>
          <w:rFonts w:ascii="仿宋_GB2312" w:eastAsia="仿宋_GB2312"/>
          <w:b/>
          <w:sz w:val="30"/>
          <w:szCs w:val="30"/>
        </w:rPr>
      </w:pPr>
      <w:r>
        <w:rPr>
          <w:rFonts w:hint="eastAsia" w:ascii="仿宋_GB2312" w:eastAsia="仿宋_GB2312"/>
          <w:b/>
          <w:sz w:val="30"/>
          <w:szCs w:val="30"/>
        </w:rPr>
        <w:t>（4）信息展示</w:t>
      </w:r>
    </w:p>
    <w:p w14:paraId="019A1198">
      <w:pPr>
        <w:spacing w:line="600" w:lineRule="exact"/>
        <w:ind w:left="567"/>
        <w:outlineLvl w:val="3"/>
        <w:rPr>
          <w:rFonts w:ascii="仿宋_GB2312" w:eastAsia="仿宋_GB2312"/>
          <w:bCs/>
          <w:sz w:val="30"/>
          <w:szCs w:val="30"/>
        </w:rPr>
      </w:pPr>
      <w:r>
        <w:rPr>
          <w:rFonts w:hint="eastAsia" w:ascii="仿宋_GB2312" w:eastAsia="仿宋_GB2312"/>
          <w:bCs/>
          <w:sz w:val="30"/>
          <w:szCs w:val="30"/>
        </w:rPr>
        <w:t>本所做市业务正式启动后，进行以下信息展示：</w:t>
      </w:r>
    </w:p>
    <w:p w14:paraId="00C9C8F5">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1）做市商清单</w:t>
      </w:r>
    </w:p>
    <w:p w14:paraId="5E0D2B22">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本所每日向市场公布主做市商及一般做市商名单。</w:t>
      </w:r>
    </w:p>
    <w:p w14:paraId="55FBD0E4">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2）基准做市品种</w:t>
      </w:r>
    </w:p>
    <w:p w14:paraId="6D50FD31">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本所每日向市场公布当日利率债基准做市品种和信用债基准做市品种。</w:t>
      </w:r>
      <w:bookmarkStart w:id="792" w:name="_Toc47372611"/>
      <w:bookmarkEnd w:id="792"/>
      <w:bookmarkStart w:id="793" w:name="_Toc47457102"/>
      <w:bookmarkEnd w:id="793"/>
      <w:bookmarkStart w:id="794" w:name="_Toc47347781"/>
      <w:bookmarkEnd w:id="794"/>
      <w:bookmarkStart w:id="795" w:name="_Toc47451786"/>
      <w:bookmarkEnd w:id="795"/>
      <w:bookmarkStart w:id="796" w:name="_Toc47451409"/>
      <w:bookmarkEnd w:id="796"/>
      <w:bookmarkStart w:id="797" w:name="_Toc47457080"/>
      <w:bookmarkEnd w:id="797"/>
      <w:bookmarkStart w:id="798" w:name="_Toc47346975"/>
      <w:bookmarkEnd w:id="798"/>
      <w:bookmarkStart w:id="799" w:name="_Toc47451525"/>
      <w:bookmarkEnd w:id="799"/>
      <w:bookmarkStart w:id="800" w:name="_Toc47451410"/>
      <w:bookmarkEnd w:id="800"/>
      <w:bookmarkStart w:id="801" w:name="_Toc47451791"/>
      <w:bookmarkEnd w:id="801"/>
      <w:bookmarkStart w:id="802" w:name="_Toc47457088"/>
      <w:bookmarkEnd w:id="802"/>
      <w:bookmarkStart w:id="803" w:name="_Toc47451830"/>
      <w:bookmarkEnd w:id="803"/>
      <w:bookmarkStart w:id="804" w:name="_Toc47346977"/>
      <w:bookmarkEnd w:id="804"/>
      <w:bookmarkStart w:id="805" w:name="_Toc47443752"/>
      <w:bookmarkEnd w:id="805"/>
      <w:bookmarkStart w:id="806" w:name="_Toc47451530"/>
      <w:bookmarkEnd w:id="806"/>
      <w:bookmarkStart w:id="807" w:name="_Toc47457099"/>
      <w:bookmarkEnd w:id="807"/>
      <w:bookmarkStart w:id="808" w:name="_Toc47366807"/>
      <w:bookmarkEnd w:id="808"/>
      <w:bookmarkStart w:id="809" w:name="_Toc47451509"/>
      <w:bookmarkEnd w:id="809"/>
      <w:bookmarkStart w:id="810" w:name="_Toc47452127"/>
      <w:bookmarkEnd w:id="810"/>
      <w:bookmarkStart w:id="811" w:name="_Toc47443168"/>
      <w:bookmarkEnd w:id="811"/>
      <w:bookmarkStart w:id="812" w:name="_Toc47347769"/>
      <w:bookmarkEnd w:id="812"/>
      <w:bookmarkStart w:id="813" w:name="_Toc47372619"/>
      <w:bookmarkEnd w:id="813"/>
      <w:bookmarkStart w:id="814" w:name="_Toc47443038"/>
      <w:bookmarkEnd w:id="814"/>
      <w:bookmarkStart w:id="815" w:name="_Toc47346972"/>
      <w:bookmarkEnd w:id="815"/>
      <w:bookmarkStart w:id="816" w:name="_Toc47451511"/>
      <w:bookmarkEnd w:id="816"/>
      <w:bookmarkStart w:id="817" w:name="_Toc47372613"/>
      <w:bookmarkEnd w:id="817"/>
      <w:bookmarkStart w:id="818" w:name="_Toc47372593"/>
      <w:bookmarkEnd w:id="818"/>
      <w:bookmarkStart w:id="819" w:name="_Toc47451813"/>
      <w:bookmarkEnd w:id="819"/>
      <w:bookmarkStart w:id="820" w:name="_Toc47366790"/>
      <w:bookmarkEnd w:id="820"/>
      <w:bookmarkStart w:id="821" w:name="_Toc47366810"/>
      <w:bookmarkEnd w:id="821"/>
      <w:bookmarkStart w:id="822" w:name="_Toc47372621"/>
      <w:bookmarkEnd w:id="822"/>
      <w:bookmarkStart w:id="823" w:name="_Toc47346976"/>
      <w:bookmarkEnd w:id="823"/>
      <w:bookmarkStart w:id="824" w:name="_Toc47443153"/>
      <w:bookmarkEnd w:id="824"/>
      <w:bookmarkStart w:id="825" w:name="_Toc47452135"/>
      <w:bookmarkEnd w:id="825"/>
      <w:bookmarkStart w:id="826" w:name="_Toc47457105"/>
      <w:bookmarkEnd w:id="826"/>
      <w:bookmarkStart w:id="827" w:name="_Toc47451439"/>
      <w:bookmarkEnd w:id="827"/>
      <w:bookmarkStart w:id="828" w:name="_Toc47443145"/>
      <w:bookmarkEnd w:id="828"/>
      <w:bookmarkStart w:id="829" w:name="_Toc47443021"/>
      <w:bookmarkEnd w:id="829"/>
      <w:bookmarkStart w:id="830" w:name="_Toc47451517"/>
      <w:bookmarkEnd w:id="830"/>
      <w:bookmarkStart w:id="831" w:name="_Toc47443030"/>
      <w:bookmarkEnd w:id="831"/>
      <w:bookmarkStart w:id="832" w:name="_Toc47443747"/>
      <w:bookmarkEnd w:id="832"/>
      <w:bookmarkStart w:id="833" w:name="_Toc47372630"/>
      <w:bookmarkEnd w:id="833"/>
      <w:bookmarkStart w:id="834" w:name="_Toc47451832"/>
      <w:bookmarkEnd w:id="834"/>
      <w:bookmarkStart w:id="835" w:name="_Toc47451510"/>
      <w:bookmarkEnd w:id="835"/>
      <w:bookmarkStart w:id="836" w:name="_Toc47451817"/>
      <w:bookmarkEnd w:id="836"/>
      <w:bookmarkStart w:id="837" w:name="_Toc47366783"/>
      <w:bookmarkEnd w:id="837"/>
      <w:bookmarkStart w:id="838" w:name="_Toc47452116"/>
      <w:bookmarkEnd w:id="838"/>
      <w:bookmarkStart w:id="839" w:name="_Toc47451441"/>
      <w:bookmarkEnd w:id="839"/>
      <w:bookmarkStart w:id="840" w:name="_Toc47451554"/>
      <w:bookmarkEnd w:id="840"/>
      <w:bookmarkStart w:id="841" w:name="_Toc47455823"/>
      <w:bookmarkEnd w:id="841"/>
      <w:bookmarkStart w:id="842" w:name="_Toc47457063"/>
      <w:bookmarkEnd w:id="842"/>
      <w:bookmarkStart w:id="843" w:name="_Toc47452147"/>
      <w:bookmarkEnd w:id="843"/>
      <w:bookmarkStart w:id="844" w:name="_Toc47443042"/>
      <w:bookmarkEnd w:id="844"/>
      <w:bookmarkStart w:id="845" w:name="_Toc47457053"/>
      <w:bookmarkEnd w:id="845"/>
      <w:bookmarkStart w:id="846" w:name="_Toc47451431"/>
      <w:bookmarkEnd w:id="846"/>
      <w:bookmarkStart w:id="847" w:name="_Toc47347772"/>
      <w:bookmarkEnd w:id="847"/>
      <w:bookmarkStart w:id="848" w:name="_Toc47451415"/>
      <w:bookmarkEnd w:id="848"/>
      <w:bookmarkStart w:id="849" w:name="_Toc47347793"/>
      <w:bookmarkEnd w:id="849"/>
      <w:bookmarkStart w:id="850" w:name="_Toc47451445"/>
      <w:bookmarkEnd w:id="850"/>
      <w:bookmarkStart w:id="851" w:name="_Toc47443046"/>
      <w:bookmarkEnd w:id="851"/>
      <w:bookmarkStart w:id="852" w:name="_Toc47366799"/>
      <w:bookmarkEnd w:id="852"/>
      <w:bookmarkStart w:id="853" w:name="_Toc47443033"/>
      <w:bookmarkEnd w:id="853"/>
      <w:bookmarkStart w:id="854" w:name="_Toc47452139"/>
      <w:bookmarkEnd w:id="854"/>
      <w:bookmarkStart w:id="855" w:name="_Toc47347815"/>
      <w:bookmarkEnd w:id="855"/>
      <w:bookmarkStart w:id="856" w:name="_Toc47452107"/>
      <w:bookmarkEnd w:id="856"/>
      <w:bookmarkStart w:id="857" w:name="_Toc47443066"/>
      <w:bookmarkEnd w:id="857"/>
      <w:bookmarkStart w:id="858" w:name="_Toc41581118"/>
      <w:bookmarkEnd w:id="858"/>
      <w:bookmarkStart w:id="859" w:name="_Toc47443131"/>
      <w:bookmarkEnd w:id="859"/>
      <w:bookmarkStart w:id="860" w:name="_Toc47451443"/>
      <w:bookmarkEnd w:id="860"/>
      <w:bookmarkStart w:id="861" w:name="_Toc47452122"/>
      <w:bookmarkEnd w:id="861"/>
      <w:bookmarkStart w:id="862" w:name="_Toc47443173"/>
      <w:bookmarkEnd w:id="862"/>
      <w:bookmarkStart w:id="863" w:name="_Toc47451514"/>
      <w:bookmarkEnd w:id="863"/>
      <w:bookmarkStart w:id="864" w:name="_Toc47372615"/>
      <w:bookmarkEnd w:id="864"/>
      <w:bookmarkStart w:id="865" w:name="_Toc40108225"/>
      <w:bookmarkEnd w:id="865"/>
      <w:bookmarkStart w:id="866" w:name="_Toc47346948"/>
      <w:bookmarkEnd w:id="866"/>
      <w:bookmarkStart w:id="867" w:name="_Toc47366794"/>
      <w:bookmarkEnd w:id="867"/>
      <w:bookmarkStart w:id="868" w:name="_Toc47347794"/>
      <w:bookmarkEnd w:id="868"/>
      <w:bookmarkStart w:id="869" w:name="_Toc47457091"/>
      <w:bookmarkEnd w:id="869"/>
      <w:bookmarkStart w:id="870" w:name="_Toc47443037"/>
      <w:bookmarkEnd w:id="870"/>
      <w:bookmarkStart w:id="871" w:name="_Toc47372608"/>
      <w:bookmarkEnd w:id="871"/>
      <w:bookmarkStart w:id="872" w:name="_Toc47443721"/>
      <w:bookmarkEnd w:id="872"/>
      <w:bookmarkStart w:id="873" w:name="_Toc47451414"/>
      <w:bookmarkEnd w:id="873"/>
      <w:bookmarkStart w:id="874" w:name="_Toc47346988"/>
      <w:bookmarkEnd w:id="874"/>
      <w:bookmarkStart w:id="875" w:name="_Toc47451411"/>
      <w:bookmarkEnd w:id="875"/>
      <w:bookmarkStart w:id="876" w:name="_Toc47366801"/>
      <w:bookmarkEnd w:id="876"/>
      <w:bookmarkStart w:id="877" w:name="_Toc47347823"/>
      <w:bookmarkEnd w:id="877"/>
      <w:bookmarkStart w:id="878" w:name="_Toc47451829"/>
      <w:bookmarkEnd w:id="878"/>
      <w:bookmarkStart w:id="879" w:name="_Toc47366772"/>
      <w:bookmarkEnd w:id="879"/>
      <w:bookmarkStart w:id="880" w:name="_Toc47451795"/>
      <w:bookmarkEnd w:id="880"/>
      <w:bookmarkStart w:id="881" w:name="_Toc47443132"/>
      <w:bookmarkEnd w:id="881"/>
      <w:bookmarkStart w:id="882" w:name="_Toc47347812"/>
      <w:bookmarkEnd w:id="882"/>
      <w:bookmarkStart w:id="883" w:name="_Toc47451420"/>
      <w:bookmarkEnd w:id="883"/>
      <w:bookmarkStart w:id="884" w:name="_Toc47372614"/>
      <w:bookmarkEnd w:id="884"/>
      <w:bookmarkStart w:id="885" w:name="_Toc47366815"/>
      <w:bookmarkEnd w:id="885"/>
      <w:bookmarkStart w:id="886" w:name="_Toc47452145"/>
      <w:bookmarkEnd w:id="886"/>
      <w:bookmarkStart w:id="887" w:name="_Toc47452154"/>
      <w:bookmarkEnd w:id="887"/>
      <w:bookmarkStart w:id="888" w:name="_Toc47346943"/>
      <w:bookmarkEnd w:id="888"/>
      <w:bookmarkStart w:id="889" w:name="_Toc47443716"/>
      <w:bookmarkEnd w:id="889"/>
      <w:bookmarkStart w:id="890" w:name="_Toc47451809"/>
      <w:bookmarkEnd w:id="890"/>
      <w:bookmarkStart w:id="891" w:name="_Toc47366787"/>
      <w:bookmarkEnd w:id="891"/>
      <w:bookmarkStart w:id="892" w:name="_Toc47346945"/>
      <w:bookmarkEnd w:id="892"/>
      <w:bookmarkStart w:id="893" w:name="_Toc47457092"/>
      <w:bookmarkEnd w:id="893"/>
      <w:bookmarkStart w:id="894" w:name="_Toc47443032"/>
      <w:bookmarkEnd w:id="894"/>
      <w:bookmarkStart w:id="895" w:name="_Toc47372598"/>
      <w:bookmarkEnd w:id="895"/>
      <w:bookmarkStart w:id="896" w:name="_Toc47451537"/>
      <w:bookmarkEnd w:id="896"/>
      <w:bookmarkStart w:id="897" w:name="_Toc47443158"/>
      <w:bookmarkEnd w:id="897"/>
      <w:bookmarkStart w:id="898" w:name="_Toc47443160"/>
      <w:bookmarkEnd w:id="898"/>
      <w:bookmarkStart w:id="899" w:name="_Toc47372590"/>
      <w:bookmarkEnd w:id="899"/>
      <w:bookmarkStart w:id="900" w:name="_Toc47451432"/>
      <w:bookmarkEnd w:id="900"/>
      <w:bookmarkStart w:id="901" w:name="_Toc47457071"/>
      <w:bookmarkEnd w:id="901"/>
      <w:bookmarkStart w:id="902" w:name="_Toc47443152"/>
      <w:bookmarkEnd w:id="902"/>
      <w:bookmarkStart w:id="903" w:name="_Toc47443714"/>
      <w:bookmarkEnd w:id="903"/>
      <w:bookmarkStart w:id="904" w:name="_Toc47451440"/>
      <w:bookmarkEnd w:id="904"/>
      <w:bookmarkStart w:id="905" w:name="_Toc47443054"/>
      <w:bookmarkEnd w:id="905"/>
      <w:bookmarkStart w:id="906" w:name="_Toc47347819"/>
      <w:bookmarkEnd w:id="906"/>
      <w:bookmarkStart w:id="907" w:name="_Toc47451545"/>
      <w:bookmarkEnd w:id="907"/>
      <w:bookmarkStart w:id="908" w:name="_Toc47443016"/>
      <w:bookmarkEnd w:id="908"/>
      <w:bookmarkStart w:id="909" w:name="_Toc47457108"/>
      <w:bookmarkEnd w:id="909"/>
      <w:bookmarkStart w:id="910" w:name="_Toc47347795"/>
      <w:bookmarkEnd w:id="910"/>
      <w:bookmarkStart w:id="911" w:name="_Toc47457090"/>
      <w:bookmarkEnd w:id="911"/>
      <w:bookmarkStart w:id="912" w:name="_Toc47451548"/>
      <w:bookmarkEnd w:id="912"/>
      <w:bookmarkStart w:id="913" w:name="_Toc47366813"/>
      <w:bookmarkEnd w:id="913"/>
      <w:bookmarkStart w:id="914" w:name="_Toc47347818"/>
      <w:bookmarkEnd w:id="914"/>
      <w:bookmarkStart w:id="915" w:name="_Toc47443706"/>
      <w:bookmarkEnd w:id="915"/>
      <w:bookmarkStart w:id="916" w:name="_Toc47443034"/>
      <w:bookmarkEnd w:id="916"/>
      <w:bookmarkStart w:id="917" w:name="_Toc47455835"/>
      <w:bookmarkEnd w:id="917"/>
      <w:bookmarkStart w:id="918" w:name="_Toc47366826"/>
      <w:bookmarkEnd w:id="918"/>
      <w:bookmarkStart w:id="919" w:name="_Toc47455804"/>
      <w:bookmarkEnd w:id="919"/>
      <w:bookmarkStart w:id="920" w:name="_Toc47451532"/>
      <w:bookmarkEnd w:id="920"/>
      <w:bookmarkStart w:id="921" w:name="_Toc47366806"/>
      <w:bookmarkEnd w:id="921"/>
      <w:bookmarkStart w:id="922" w:name="_Toc47452157"/>
      <w:bookmarkEnd w:id="922"/>
      <w:bookmarkStart w:id="923" w:name="_Toc47457087"/>
      <w:bookmarkEnd w:id="923"/>
      <w:bookmarkStart w:id="924" w:name="_Toc47346940"/>
      <w:bookmarkEnd w:id="924"/>
      <w:bookmarkStart w:id="925" w:name="_Toc47443064"/>
      <w:bookmarkEnd w:id="925"/>
      <w:bookmarkStart w:id="926" w:name="_Toc47455800"/>
      <w:bookmarkEnd w:id="926"/>
      <w:bookmarkStart w:id="927" w:name="_Toc47346949"/>
      <w:bookmarkEnd w:id="927"/>
      <w:bookmarkStart w:id="928" w:name="_Toc47451446"/>
      <w:bookmarkEnd w:id="928"/>
      <w:bookmarkStart w:id="929" w:name="_Toc47347792"/>
      <w:bookmarkEnd w:id="929"/>
      <w:bookmarkStart w:id="930" w:name="_Toc47451788"/>
      <w:bookmarkEnd w:id="930"/>
      <w:bookmarkStart w:id="931" w:name="_Toc47455825"/>
      <w:bookmarkEnd w:id="931"/>
      <w:bookmarkStart w:id="932" w:name="_Toc47451815"/>
      <w:bookmarkEnd w:id="932"/>
      <w:bookmarkStart w:id="933" w:name="_Toc47451552"/>
      <w:bookmarkEnd w:id="933"/>
      <w:bookmarkStart w:id="934" w:name="_Toc47443125"/>
      <w:bookmarkEnd w:id="934"/>
      <w:bookmarkStart w:id="935" w:name="_Toc47347809"/>
      <w:bookmarkEnd w:id="935"/>
      <w:bookmarkStart w:id="936" w:name="_Toc47457085"/>
      <w:bookmarkEnd w:id="936"/>
      <w:bookmarkStart w:id="937" w:name="_Toc47451562"/>
      <w:bookmarkEnd w:id="937"/>
      <w:bookmarkStart w:id="938" w:name="_Toc47443148"/>
      <w:bookmarkEnd w:id="938"/>
      <w:bookmarkStart w:id="939" w:name="_Toc47443026"/>
      <w:bookmarkEnd w:id="939"/>
      <w:bookmarkStart w:id="940" w:name="_Toc47457083"/>
      <w:bookmarkEnd w:id="940"/>
      <w:bookmarkStart w:id="941" w:name="_Toc47347801"/>
      <w:bookmarkEnd w:id="941"/>
      <w:bookmarkStart w:id="942" w:name="_Toc47443136"/>
      <w:bookmarkEnd w:id="942"/>
      <w:bookmarkStart w:id="943" w:name="_Toc47346970"/>
      <w:bookmarkEnd w:id="943"/>
      <w:bookmarkStart w:id="944" w:name="_Toc47455845"/>
      <w:bookmarkEnd w:id="944"/>
      <w:bookmarkStart w:id="945" w:name="_Toc47451422"/>
      <w:bookmarkEnd w:id="945"/>
      <w:bookmarkStart w:id="946" w:name="_Toc47443750"/>
      <w:bookmarkEnd w:id="946"/>
      <w:bookmarkStart w:id="947" w:name="_Toc47443744"/>
      <w:bookmarkEnd w:id="947"/>
      <w:bookmarkStart w:id="948" w:name="_Toc47443047"/>
      <w:bookmarkEnd w:id="948"/>
      <w:bookmarkStart w:id="949" w:name="_Toc47346941"/>
      <w:bookmarkEnd w:id="949"/>
      <w:bookmarkStart w:id="950" w:name="_Toc47451394"/>
      <w:bookmarkEnd w:id="950"/>
      <w:bookmarkStart w:id="951" w:name="_Toc47451404"/>
      <w:bookmarkEnd w:id="951"/>
      <w:bookmarkStart w:id="952" w:name="_Toc47457107"/>
      <w:bookmarkEnd w:id="952"/>
      <w:bookmarkStart w:id="953" w:name="_Toc47366798"/>
      <w:bookmarkEnd w:id="953"/>
      <w:bookmarkStart w:id="954" w:name="_Toc47366803"/>
      <w:bookmarkEnd w:id="954"/>
      <w:bookmarkStart w:id="955" w:name="_Toc47452124"/>
      <w:bookmarkEnd w:id="955"/>
      <w:bookmarkStart w:id="956" w:name="_Toc47451790"/>
      <w:bookmarkEnd w:id="956"/>
      <w:bookmarkStart w:id="957" w:name="_Toc47451812"/>
      <w:bookmarkEnd w:id="957"/>
      <w:bookmarkStart w:id="958" w:name="_Toc47452113"/>
      <w:bookmarkEnd w:id="958"/>
      <w:bookmarkStart w:id="959" w:name="_Toc47346952"/>
      <w:bookmarkEnd w:id="959"/>
      <w:bookmarkStart w:id="960" w:name="_Toc47443129"/>
      <w:bookmarkEnd w:id="960"/>
      <w:bookmarkStart w:id="961" w:name="_Toc47455821"/>
      <w:bookmarkEnd w:id="961"/>
      <w:bookmarkStart w:id="962" w:name="_Toc47451407"/>
      <w:bookmarkEnd w:id="962"/>
      <w:bookmarkStart w:id="963" w:name="_Toc47452118"/>
      <w:bookmarkEnd w:id="963"/>
      <w:bookmarkStart w:id="964" w:name="_Toc47366774"/>
      <w:bookmarkEnd w:id="964"/>
      <w:bookmarkStart w:id="965" w:name="_Toc47451806"/>
      <w:bookmarkEnd w:id="965"/>
      <w:bookmarkStart w:id="966" w:name="_Toc47347806"/>
      <w:bookmarkEnd w:id="966"/>
      <w:bookmarkStart w:id="967" w:name="_Toc47372582"/>
      <w:bookmarkEnd w:id="967"/>
      <w:bookmarkStart w:id="968" w:name="_Toc47457109"/>
      <w:bookmarkEnd w:id="968"/>
      <w:bookmarkStart w:id="969" w:name="_Toc47451778"/>
      <w:bookmarkEnd w:id="969"/>
      <w:bookmarkStart w:id="970" w:name="_Toc47443040"/>
      <w:bookmarkEnd w:id="970"/>
      <w:bookmarkStart w:id="971" w:name="_Toc47457104"/>
      <w:bookmarkEnd w:id="971"/>
      <w:bookmarkStart w:id="972" w:name="_Toc47455851"/>
      <w:bookmarkEnd w:id="972"/>
      <w:bookmarkStart w:id="973" w:name="_Toc47443019"/>
      <w:bookmarkEnd w:id="973"/>
      <w:bookmarkStart w:id="974" w:name="_Toc47451399"/>
      <w:bookmarkEnd w:id="974"/>
      <w:bookmarkStart w:id="975" w:name="_Toc47443722"/>
      <w:bookmarkEnd w:id="975"/>
      <w:bookmarkStart w:id="976" w:name="_Toc47366784"/>
      <w:bookmarkEnd w:id="976"/>
      <w:bookmarkStart w:id="977" w:name="_Toc47451800"/>
      <w:bookmarkEnd w:id="977"/>
      <w:bookmarkStart w:id="978" w:name="_Toc47452130"/>
      <w:bookmarkEnd w:id="978"/>
      <w:bookmarkStart w:id="979" w:name="_Toc47457061"/>
      <w:bookmarkEnd w:id="979"/>
      <w:bookmarkStart w:id="980" w:name="_Toc47346983"/>
      <w:bookmarkEnd w:id="980"/>
      <w:bookmarkStart w:id="981" w:name="_Toc47372595"/>
      <w:bookmarkEnd w:id="981"/>
      <w:bookmarkStart w:id="982" w:name="_Toc47457096"/>
      <w:bookmarkEnd w:id="982"/>
      <w:bookmarkStart w:id="983" w:name="_Toc47346946"/>
      <w:bookmarkEnd w:id="983"/>
      <w:bookmarkStart w:id="984" w:name="_Toc47451541"/>
      <w:bookmarkEnd w:id="984"/>
      <w:bookmarkStart w:id="985" w:name="_Toc47455840"/>
      <w:bookmarkEnd w:id="985"/>
      <w:bookmarkStart w:id="986" w:name="_Toc47443071"/>
      <w:bookmarkEnd w:id="986"/>
      <w:bookmarkStart w:id="987" w:name="_Toc47451811"/>
      <w:bookmarkEnd w:id="987"/>
      <w:bookmarkStart w:id="988" w:name="_Toc47451559"/>
      <w:bookmarkEnd w:id="988"/>
      <w:bookmarkStart w:id="989" w:name="_Toc47455826"/>
      <w:bookmarkEnd w:id="989"/>
      <w:bookmarkStart w:id="990" w:name="_Toc47452131"/>
      <w:bookmarkEnd w:id="990"/>
      <w:bookmarkStart w:id="991" w:name="_Toc47455801"/>
      <w:bookmarkEnd w:id="991"/>
      <w:bookmarkStart w:id="992" w:name="_Toc47451820"/>
      <w:bookmarkEnd w:id="992"/>
      <w:bookmarkStart w:id="993" w:name="_Toc47443703"/>
      <w:bookmarkEnd w:id="993"/>
      <w:bookmarkStart w:id="994" w:name="_Toc47455808"/>
      <w:bookmarkEnd w:id="994"/>
      <w:bookmarkStart w:id="995" w:name="_Toc47372607"/>
      <w:bookmarkEnd w:id="995"/>
      <w:bookmarkStart w:id="996" w:name="_Toc47443029"/>
      <w:bookmarkEnd w:id="996"/>
      <w:bookmarkStart w:id="997" w:name="_Toc47457110"/>
      <w:bookmarkEnd w:id="997"/>
      <w:bookmarkStart w:id="998" w:name="_Toc47366781"/>
      <w:bookmarkEnd w:id="998"/>
      <w:bookmarkStart w:id="999" w:name="_Toc47443749"/>
      <w:bookmarkEnd w:id="999"/>
      <w:bookmarkStart w:id="1000" w:name="_Toc47443023"/>
      <w:bookmarkEnd w:id="1000"/>
      <w:bookmarkStart w:id="1001" w:name="_Toc47443155"/>
      <w:bookmarkEnd w:id="1001"/>
      <w:bookmarkStart w:id="1002" w:name="_Toc47457062"/>
      <w:bookmarkEnd w:id="1002"/>
      <w:bookmarkStart w:id="1003" w:name="_Toc47451546"/>
      <w:bookmarkEnd w:id="1003"/>
      <w:bookmarkStart w:id="1004" w:name="_Toc47443162"/>
      <w:bookmarkEnd w:id="1004"/>
      <w:bookmarkStart w:id="1005" w:name="_Toc47372626"/>
      <w:bookmarkEnd w:id="1005"/>
      <w:bookmarkStart w:id="1006" w:name="_Toc47451419"/>
      <w:bookmarkEnd w:id="1006"/>
      <w:bookmarkStart w:id="1007" w:name="_Toc47451804"/>
      <w:bookmarkEnd w:id="1007"/>
      <w:bookmarkStart w:id="1008" w:name="_Toc47452111"/>
      <w:bookmarkEnd w:id="1008"/>
      <w:bookmarkStart w:id="1009" w:name="_Toc47452133"/>
      <w:bookmarkEnd w:id="1009"/>
      <w:bookmarkStart w:id="1010" w:name="_Toc47451398"/>
      <w:bookmarkEnd w:id="1010"/>
      <w:bookmarkStart w:id="1011" w:name="_Toc47457098"/>
      <w:bookmarkEnd w:id="1011"/>
      <w:bookmarkStart w:id="1012" w:name="_Toc47347796"/>
      <w:bookmarkEnd w:id="1012"/>
      <w:bookmarkStart w:id="1013" w:name="_Toc47347775"/>
      <w:bookmarkEnd w:id="1013"/>
      <w:bookmarkStart w:id="1014" w:name="_Toc47372600"/>
      <w:bookmarkEnd w:id="1014"/>
      <w:bookmarkStart w:id="1015" w:name="_Toc47455797"/>
      <w:bookmarkEnd w:id="1015"/>
      <w:bookmarkStart w:id="1016" w:name="_Toc47451555"/>
      <w:bookmarkEnd w:id="1016"/>
      <w:bookmarkStart w:id="1017" w:name="_Toc47347821"/>
      <w:bookmarkEnd w:id="1017"/>
      <w:bookmarkStart w:id="1018" w:name="_Toc47346971"/>
      <w:bookmarkEnd w:id="1018"/>
      <w:bookmarkStart w:id="1019" w:name="_Toc47451424"/>
      <w:bookmarkEnd w:id="1019"/>
      <w:bookmarkStart w:id="1020" w:name="_Toc47443741"/>
      <w:bookmarkEnd w:id="1020"/>
      <w:bookmarkStart w:id="1021" w:name="_Toc47443031"/>
      <w:bookmarkEnd w:id="1021"/>
      <w:bookmarkStart w:id="1022" w:name="_Toc47366808"/>
      <w:bookmarkEnd w:id="1022"/>
      <w:bookmarkStart w:id="1023" w:name="_Toc41581032"/>
      <w:bookmarkEnd w:id="1023"/>
      <w:bookmarkStart w:id="1024" w:name="_Toc47457068"/>
      <w:bookmarkEnd w:id="1024"/>
      <w:bookmarkStart w:id="1025" w:name="_Toc47443730"/>
      <w:bookmarkEnd w:id="1025"/>
      <w:bookmarkStart w:id="1026" w:name="_Toc47455810"/>
      <w:bookmarkEnd w:id="1026"/>
      <w:bookmarkStart w:id="1027" w:name="_Toc47452137"/>
      <w:bookmarkEnd w:id="1027"/>
      <w:bookmarkStart w:id="1028" w:name="_Toc47366791"/>
      <w:bookmarkEnd w:id="1028"/>
      <w:bookmarkStart w:id="1029" w:name="_Toc47443144"/>
      <w:bookmarkEnd w:id="1029"/>
      <w:bookmarkStart w:id="1030" w:name="_Toc47443015"/>
      <w:bookmarkEnd w:id="1030"/>
      <w:bookmarkStart w:id="1031" w:name="_Toc47443737"/>
      <w:bookmarkEnd w:id="1031"/>
      <w:bookmarkStart w:id="1032" w:name="_Toc47443039"/>
      <w:bookmarkEnd w:id="1032"/>
      <w:bookmarkStart w:id="1033" w:name="_Toc47451527"/>
      <w:bookmarkEnd w:id="1033"/>
      <w:bookmarkStart w:id="1034" w:name="_Toc47346934"/>
      <w:bookmarkEnd w:id="1034"/>
      <w:bookmarkStart w:id="1035" w:name="_Toc47347800"/>
      <w:bookmarkEnd w:id="1035"/>
      <w:bookmarkStart w:id="1036" w:name="_Toc47443165"/>
      <w:bookmarkEnd w:id="1036"/>
      <w:bookmarkStart w:id="1037" w:name="_Toc47366773"/>
      <w:bookmarkEnd w:id="1037"/>
      <w:bookmarkStart w:id="1038" w:name="_Toc47451776"/>
      <w:bookmarkEnd w:id="1038"/>
      <w:bookmarkStart w:id="1039" w:name="_Toc47451827"/>
      <w:bookmarkEnd w:id="1039"/>
      <w:bookmarkStart w:id="1040" w:name="_Toc47346992"/>
      <w:bookmarkEnd w:id="1040"/>
      <w:bookmarkStart w:id="1041" w:name="_Toc47451789"/>
      <w:bookmarkEnd w:id="1041"/>
      <w:bookmarkStart w:id="1042" w:name="_Toc47451792"/>
      <w:bookmarkEnd w:id="1042"/>
      <w:bookmarkStart w:id="1043" w:name="_Toc47455827"/>
      <w:bookmarkEnd w:id="1043"/>
      <w:bookmarkStart w:id="1044" w:name="_Toc47451430"/>
      <w:bookmarkEnd w:id="1044"/>
      <w:bookmarkStart w:id="1045" w:name="_Toc47451779"/>
      <w:bookmarkEnd w:id="1045"/>
      <w:bookmarkStart w:id="1046" w:name="_Toc47443068"/>
      <w:bookmarkEnd w:id="1046"/>
      <w:bookmarkStart w:id="1047" w:name="_Toc47451442"/>
      <w:bookmarkEnd w:id="1047"/>
      <w:bookmarkStart w:id="1048" w:name="_Toc47346944"/>
      <w:bookmarkEnd w:id="1048"/>
      <w:bookmarkStart w:id="1049" w:name="_Toc47451418"/>
      <w:bookmarkEnd w:id="1049"/>
      <w:bookmarkStart w:id="1050" w:name="_Toc47452151"/>
      <w:bookmarkEnd w:id="1050"/>
      <w:bookmarkStart w:id="1051" w:name="_Toc47443154"/>
      <w:bookmarkEnd w:id="1051"/>
      <w:bookmarkStart w:id="1052" w:name="_Toc47443733"/>
      <w:bookmarkEnd w:id="1052"/>
      <w:bookmarkStart w:id="1053" w:name="_Toc47457057"/>
      <w:bookmarkEnd w:id="1053"/>
      <w:bookmarkStart w:id="1054" w:name="_Toc47346954"/>
      <w:bookmarkEnd w:id="1054"/>
      <w:bookmarkStart w:id="1055" w:name="_Toc47443698"/>
      <w:bookmarkEnd w:id="1055"/>
      <w:bookmarkStart w:id="1056" w:name="_Toc47346967"/>
      <w:bookmarkEnd w:id="1056"/>
      <w:bookmarkStart w:id="1057" w:name="_Toc47451535"/>
      <w:bookmarkEnd w:id="1057"/>
      <w:bookmarkStart w:id="1058" w:name="_Toc47455839"/>
      <w:bookmarkEnd w:id="1058"/>
      <w:bookmarkStart w:id="1059" w:name="_Toc47451783"/>
      <w:bookmarkEnd w:id="1059"/>
      <w:bookmarkStart w:id="1060" w:name="_Toc47443696"/>
      <w:bookmarkEnd w:id="1060"/>
      <w:bookmarkStart w:id="1061" w:name="_Toc47451389"/>
      <w:bookmarkEnd w:id="1061"/>
      <w:bookmarkStart w:id="1062" w:name="_Toc47346968"/>
      <w:bookmarkEnd w:id="1062"/>
      <w:bookmarkStart w:id="1063" w:name="_Toc47372618"/>
      <w:bookmarkEnd w:id="1063"/>
      <w:bookmarkStart w:id="1064" w:name="_Toc47451553"/>
      <w:bookmarkEnd w:id="1064"/>
      <w:bookmarkStart w:id="1065" w:name="_Toc47451434"/>
      <w:bookmarkEnd w:id="1065"/>
      <w:bookmarkStart w:id="1066" w:name="_Toc47443067"/>
      <w:bookmarkEnd w:id="1066"/>
      <w:bookmarkStart w:id="1067" w:name="_Toc47372602"/>
      <w:bookmarkEnd w:id="1067"/>
      <w:bookmarkStart w:id="1068" w:name="_Toc47347789"/>
      <w:bookmarkEnd w:id="1068"/>
      <w:bookmarkStart w:id="1069" w:name="_Toc47346935"/>
      <w:bookmarkEnd w:id="1069"/>
      <w:bookmarkStart w:id="1070" w:name="_Toc47443172"/>
      <w:bookmarkEnd w:id="1070"/>
      <w:bookmarkStart w:id="1071" w:name="_Toc47457075"/>
      <w:bookmarkEnd w:id="1071"/>
      <w:bookmarkStart w:id="1072" w:name="_Toc47372624"/>
      <w:bookmarkEnd w:id="1072"/>
      <w:bookmarkStart w:id="1073" w:name="_Toc47346938"/>
      <w:bookmarkEnd w:id="1073"/>
      <w:bookmarkStart w:id="1074" w:name="_Toc47452141"/>
      <w:bookmarkEnd w:id="1074"/>
      <w:bookmarkStart w:id="1075" w:name="_Toc47346965"/>
      <w:bookmarkEnd w:id="1075"/>
      <w:bookmarkStart w:id="1076" w:name="_Toc47443729"/>
      <w:bookmarkEnd w:id="1076"/>
      <w:bookmarkStart w:id="1077" w:name="_Toc47443063"/>
      <w:bookmarkEnd w:id="1077"/>
      <w:bookmarkStart w:id="1078" w:name="_Toc47455798"/>
      <w:bookmarkEnd w:id="1078"/>
      <w:bookmarkStart w:id="1079" w:name="_Toc47457097"/>
      <w:bookmarkEnd w:id="1079"/>
      <w:bookmarkStart w:id="1080" w:name="_Toc47451507"/>
      <w:bookmarkEnd w:id="1080"/>
      <w:bookmarkStart w:id="1081" w:name="_Toc47347790"/>
      <w:bookmarkEnd w:id="1081"/>
      <w:bookmarkStart w:id="1082" w:name="_Toc47443738"/>
      <w:bookmarkEnd w:id="1082"/>
      <w:bookmarkStart w:id="1083" w:name="_Toc47455820"/>
      <w:bookmarkEnd w:id="1083"/>
      <w:bookmarkStart w:id="1084" w:name="_Toc47452128"/>
      <w:bookmarkEnd w:id="1084"/>
      <w:bookmarkStart w:id="1085" w:name="_Toc47455812"/>
      <w:bookmarkEnd w:id="1085"/>
      <w:bookmarkStart w:id="1086" w:name="_Toc47451551"/>
      <w:bookmarkEnd w:id="1086"/>
      <w:bookmarkStart w:id="1087" w:name="_Toc47347787"/>
      <w:bookmarkEnd w:id="1087"/>
      <w:bookmarkStart w:id="1088" w:name="_Toc47452115"/>
      <w:bookmarkEnd w:id="1088"/>
      <w:bookmarkStart w:id="1089" w:name="_Toc47455832"/>
      <w:bookmarkEnd w:id="1089"/>
      <w:bookmarkStart w:id="1090" w:name="_Toc47455796"/>
      <w:bookmarkEnd w:id="1090"/>
      <w:bookmarkStart w:id="1091" w:name="_Toc47455831"/>
      <w:bookmarkEnd w:id="1091"/>
      <w:bookmarkStart w:id="1092" w:name="_Toc47347770"/>
      <w:bookmarkEnd w:id="1092"/>
      <w:bookmarkStart w:id="1093" w:name="_Toc47443159"/>
      <w:bookmarkEnd w:id="1093"/>
      <w:bookmarkStart w:id="1094" w:name="_Toc47347805"/>
      <w:bookmarkEnd w:id="1094"/>
      <w:bookmarkStart w:id="1095" w:name="_Toc47346989"/>
      <w:bookmarkEnd w:id="1095"/>
      <w:bookmarkStart w:id="1096" w:name="_Toc47443056"/>
      <w:bookmarkEnd w:id="1096"/>
      <w:bookmarkStart w:id="1097" w:name="_Toc47443700"/>
      <w:bookmarkEnd w:id="1097"/>
      <w:bookmarkStart w:id="1098" w:name="_Toc47455822"/>
      <w:bookmarkEnd w:id="1098"/>
      <w:bookmarkStart w:id="1099" w:name="_Toc47451516"/>
      <w:bookmarkEnd w:id="1099"/>
      <w:bookmarkStart w:id="1100" w:name="_Toc47347807"/>
      <w:bookmarkEnd w:id="1100"/>
      <w:bookmarkStart w:id="1101" w:name="_Toc47443060"/>
      <w:bookmarkEnd w:id="1101"/>
      <w:bookmarkStart w:id="1102" w:name="_Toc47443707"/>
      <w:bookmarkEnd w:id="1102"/>
      <w:bookmarkStart w:id="1103" w:name="_Toc47451807"/>
      <w:bookmarkEnd w:id="1103"/>
      <w:bookmarkStart w:id="1104" w:name="_Toc47443732"/>
      <w:bookmarkEnd w:id="1104"/>
      <w:bookmarkStart w:id="1105" w:name="_Toc47366809"/>
      <w:bookmarkEnd w:id="1105"/>
      <w:bookmarkStart w:id="1106" w:name="_Toc47443725"/>
      <w:bookmarkEnd w:id="1106"/>
      <w:bookmarkStart w:id="1107" w:name="_Toc47443742"/>
      <w:bookmarkEnd w:id="1107"/>
      <w:bookmarkStart w:id="1108" w:name="_Toc47452150"/>
      <w:bookmarkEnd w:id="1108"/>
      <w:bookmarkStart w:id="1109" w:name="_Toc47443014"/>
      <w:bookmarkEnd w:id="1109"/>
      <w:bookmarkStart w:id="1110" w:name="_Toc47347822"/>
      <w:bookmarkEnd w:id="1110"/>
      <w:bookmarkStart w:id="1111" w:name="_Toc47366820"/>
      <w:bookmarkEnd w:id="1111"/>
      <w:bookmarkStart w:id="1112" w:name="_Toc47346942"/>
      <w:bookmarkEnd w:id="1112"/>
      <w:bookmarkStart w:id="1113" w:name="_Toc41581090"/>
      <w:bookmarkEnd w:id="1113"/>
      <w:bookmarkStart w:id="1114" w:name="_Toc47443025"/>
      <w:bookmarkEnd w:id="1114"/>
      <w:bookmarkStart w:id="1115" w:name="_Toc47451823"/>
      <w:bookmarkEnd w:id="1115"/>
      <w:bookmarkStart w:id="1116" w:name="_Toc47457076"/>
      <w:bookmarkEnd w:id="1116"/>
      <w:bookmarkStart w:id="1117" w:name="_Toc47443057"/>
      <w:bookmarkEnd w:id="1117"/>
      <w:bookmarkStart w:id="1118" w:name="_Toc47346964"/>
      <w:bookmarkEnd w:id="1118"/>
      <w:bookmarkStart w:id="1119" w:name="_Toc47451550"/>
      <w:bookmarkEnd w:id="1119"/>
      <w:bookmarkStart w:id="1120" w:name="_Toc47451818"/>
      <w:bookmarkEnd w:id="1120"/>
      <w:bookmarkStart w:id="1121" w:name="_Toc47372586"/>
      <w:bookmarkEnd w:id="1121"/>
      <w:bookmarkStart w:id="1122" w:name="_Toc47443705"/>
      <w:bookmarkEnd w:id="1122"/>
      <w:bookmarkStart w:id="1123" w:name="_Toc47443061"/>
      <w:bookmarkEnd w:id="1123"/>
      <w:bookmarkStart w:id="1124" w:name="_Toc47443027"/>
      <w:bookmarkEnd w:id="1124"/>
      <w:bookmarkStart w:id="1125" w:name="_Toc47443138"/>
      <w:bookmarkEnd w:id="1125"/>
      <w:bookmarkStart w:id="1126" w:name="_Toc47451429"/>
      <w:bookmarkEnd w:id="1126"/>
      <w:bookmarkStart w:id="1127" w:name="_Toc41581061"/>
      <w:bookmarkEnd w:id="1127"/>
      <w:bookmarkStart w:id="1128" w:name="_Toc47443701"/>
      <w:bookmarkEnd w:id="1128"/>
      <w:bookmarkStart w:id="1129" w:name="_Toc47346978"/>
      <w:bookmarkEnd w:id="1129"/>
      <w:bookmarkStart w:id="1130" w:name="_Toc47457067"/>
      <w:bookmarkEnd w:id="1130"/>
      <w:bookmarkStart w:id="1131" w:name="_Toc47346956"/>
      <w:bookmarkEnd w:id="1131"/>
      <w:bookmarkStart w:id="1132" w:name="_Toc47457093"/>
      <w:bookmarkEnd w:id="1132"/>
      <w:bookmarkStart w:id="1133" w:name="_Toc47452121"/>
      <w:bookmarkEnd w:id="1133"/>
      <w:bookmarkStart w:id="1134" w:name="_Toc47346979"/>
      <w:bookmarkEnd w:id="1134"/>
      <w:bookmarkStart w:id="1135" w:name="_Toc47451557"/>
      <w:bookmarkEnd w:id="1135"/>
      <w:bookmarkStart w:id="1136" w:name="_Toc47451538"/>
      <w:bookmarkEnd w:id="1136"/>
      <w:bookmarkStart w:id="1137" w:name="_Toc47443130"/>
      <w:bookmarkEnd w:id="1137"/>
      <w:bookmarkStart w:id="1138" w:name="_Toc47451801"/>
      <w:bookmarkEnd w:id="1138"/>
      <w:bookmarkStart w:id="1139" w:name="_Toc47455806"/>
      <w:bookmarkEnd w:id="1139"/>
      <w:bookmarkStart w:id="1140" w:name="_Toc47372573"/>
      <w:bookmarkEnd w:id="1140"/>
      <w:bookmarkStart w:id="1141" w:name="_Toc47372576"/>
      <w:bookmarkEnd w:id="1141"/>
      <w:bookmarkStart w:id="1142" w:name="_Toc47443745"/>
      <w:bookmarkEnd w:id="1142"/>
      <w:bookmarkStart w:id="1143" w:name="_Toc47457060"/>
      <w:bookmarkEnd w:id="1143"/>
      <w:bookmarkStart w:id="1144" w:name="_Toc47346980"/>
      <w:bookmarkEnd w:id="1144"/>
      <w:bookmarkStart w:id="1145" w:name="_Toc47451819"/>
      <w:bookmarkEnd w:id="1145"/>
      <w:bookmarkStart w:id="1146" w:name="_Toc47452149"/>
      <w:bookmarkEnd w:id="1146"/>
      <w:bookmarkStart w:id="1147" w:name="_Toc47443720"/>
      <w:bookmarkEnd w:id="1147"/>
      <w:bookmarkStart w:id="1148" w:name="_Toc47372578"/>
      <w:bookmarkEnd w:id="1148"/>
      <w:bookmarkStart w:id="1149" w:name="_Toc47455803"/>
      <w:bookmarkEnd w:id="1149"/>
      <w:bookmarkStart w:id="1150" w:name="_Toc47455819"/>
      <w:bookmarkEnd w:id="1150"/>
      <w:bookmarkStart w:id="1151" w:name="_Toc47452143"/>
      <w:bookmarkEnd w:id="1151"/>
      <w:bookmarkStart w:id="1152" w:name="_Toc47347766"/>
      <w:bookmarkEnd w:id="1152"/>
      <w:bookmarkStart w:id="1153" w:name="_Toc47372629"/>
      <w:bookmarkEnd w:id="1153"/>
      <w:bookmarkStart w:id="1154" w:name="_Toc47346984"/>
      <w:bookmarkEnd w:id="1154"/>
      <w:bookmarkStart w:id="1155" w:name="_Toc47451405"/>
      <w:bookmarkEnd w:id="1155"/>
      <w:bookmarkStart w:id="1156" w:name="_Toc47455850"/>
      <w:bookmarkEnd w:id="1156"/>
      <w:bookmarkStart w:id="1157" w:name="_Toc47451784"/>
      <w:bookmarkEnd w:id="1157"/>
      <w:bookmarkStart w:id="1158" w:name="_Toc47443128"/>
      <w:bookmarkEnd w:id="1158"/>
      <w:bookmarkStart w:id="1159" w:name="_Toc47366777"/>
      <w:bookmarkEnd w:id="1159"/>
      <w:bookmarkStart w:id="1160" w:name="_Toc47366775"/>
      <w:bookmarkEnd w:id="1160"/>
      <w:bookmarkStart w:id="1161" w:name="_Toc47372628"/>
      <w:bookmarkEnd w:id="1161"/>
      <w:bookmarkStart w:id="1162" w:name="_Toc47455816"/>
      <w:bookmarkEnd w:id="1162"/>
      <w:bookmarkStart w:id="1163" w:name="_Toc47455809"/>
      <w:bookmarkEnd w:id="1163"/>
      <w:bookmarkStart w:id="1164" w:name="_Toc47443013"/>
      <w:bookmarkEnd w:id="1164"/>
      <w:bookmarkStart w:id="1165" w:name="_Toc47452112"/>
      <w:bookmarkEnd w:id="1165"/>
      <w:bookmarkStart w:id="1166" w:name="_Toc47347768"/>
      <w:bookmarkEnd w:id="1166"/>
      <w:bookmarkStart w:id="1167" w:name="_Toc47452106"/>
      <w:bookmarkEnd w:id="1167"/>
      <w:bookmarkStart w:id="1168" w:name="_Toc47347778"/>
      <w:bookmarkEnd w:id="1168"/>
      <w:bookmarkStart w:id="1169" w:name="_Toc47457101"/>
      <w:bookmarkEnd w:id="1169"/>
      <w:bookmarkStart w:id="1170" w:name="_Toc47452110"/>
      <w:bookmarkEnd w:id="1170"/>
      <w:bookmarkStart w:id="1171" w:name="_Toc47457089"/>
      <w:bookmarkEnd w:id="1171"/>
      <w:bookmarkStart w:id="1172" w:name="_Toc47443727"/>
      <w:bookmarkEnd w:id="1172"/>
      <w:bookmarkStart w:id="1173" w:name="_Toc47443022"/>
      <w:bookmarkEnd w:id="1173"/>
      <w:bookmarkStart w:id="1174" w:name="_Toc47443135"/>
      <w:bookmarkEnd w:id="1174"/>
      <w:bookmarkStart w:id="1175" w:name="_Toc47455846"/>
      <w:bookmarkEnd w:id="1175"/>
      <w:bookmarkStart w:id="1176" w:name="_Toc47451400"/>
      <w:bookmarkEnd w:id="1176"/>
      <w:bookmarkStart w:id="1177" w:name="_Toc47455802"/>
      <w:bookmarkEnd w:id="1177"/>
      <w:bookmarkStart w:id="1178" w:name="_Toc47455842"/>
      <w:bookmarkEnd w:id="1178"/>
      <w:bookmarkStart w:id="1179" w:name="_Toc47443150"/>
      <w:bookmarkEnd w:id="1179"/>
      <w:bookmarkStart w:id="1180" w:name="_Toc47443151"/>
      <w:bookmarkEnd w:id="1180"/>
      <w:bookmarkStart w:id="1181" w:name="_Toc47346991"/>
      <w:bookmarkEnd w:id="1181"/>
      <w:bookmarkStart w:id="1182" w:name="_Toc47455834"/>
      <w:bookmarkEnd w:id="1182"/>
      <w:bookmarkStart w:id="1183" w:name="_Toc47443146"/>
      <w:bookmarkEnd w:id="1183"/>
      <w:bookmarkStart w:id="1184" w:name="_Toc47451397"/>
      <w:bookmarkEnd w:id="1184"/>
      <w:bookmarkStart w:id="1185" w:name="_Toc47451805"/>
      <w:bookmarkEnd w:id="1185"/>
      <w:bookmarkStart w:id="1186" w:name="_Toc47372579"/>
      <w:bookmarkEnd w:id="1186"/>
      <w:bookmarkStart w:id="1187" w:name="_Toc47457052"/>
      <w:bookmarkEnd w:id="1187"/>
      <w:bookmarkStart w:id="1188" w:name="_Toc47443704"/>
      <w:bookmarkEnd w:id="1188"/>
      <w:bookmarkStart w:id="1189" w:name="_Toc47451395"/>
      <w:bookmarkEnd w:id="1189"/>
      <w:bookmarkStart w:id="1190" w:name="_Toc47443043"/>
      <w:bookmarkEnd w:id="1190"/>
      <w:bookmarkStart w:id="1191" w:name="_Toc47451412"/>
      <w:bookmarkEnd w:id="1191"/>
      <w:bookmarkStart w:id="1192" w:name="_Toc47366811"/>
      <w:bookmarkEnd w:id="1192"/>
      <w:bookmarkStart w:id="1193" w:name="_Toc47372617"/>
      <w:bookmarkEnd w:id="1193"/>
      <w:bookmarkStart w:id="1194" w:name="_Toc47451539"/>
      <w:bookmarkEnd w:id="1194"/>
      <w:bookmarkStart w:id="1195" w:name="_Toc47452105"/>
      <w:bookmarkEnd w:id="1195"/>
      <w:bookmarkStart w:id="1196" w:name="_Toc47451775"/>
      <w:bookmarkEnd w:id="1196"/>
      <w:bookmarkStart w:id="1197" w:name="_Toc47372616"/>
      <w:bookmarkEnd w:id="1197"/>
      <w:bookmarkStart w:id="1198" w:name="_Toc47451508"/>
      <w:bookmarkEnd w:id="1198"/>
      <w:bookmarkStart w:id="1199" w:name="_Toc47443137"/>
      <w:bookmarkEnd w:id="1199"/>
      <w:bookmarkStart w:id="1200" w:name="_Toc47443140"/>
      <w:bookmarkEnd w:id="1200"/>
      <w:bookmarkStart w:id="1201" w:name="_Toc47443170"/>
      <w:bookmarkEnd w:id="1201"/>
      <w:bookmarkStart w:id="1202" w:name="_Toc47346958"/>
      <w:bookmarkEnd w:id="1202"/>
      <w:bookmarkStart w:id="1203" w:name="_Toc47452104"/>
      <w:bookmarkEnd w:id="1203"/>
      <w:bookmarkStart w:id="1204" w:name="_Toc47451528"/>
      <w:bookmarkEnd w:id="1204"/>
      <w:bookmarkStart w:id="1205" w:name="_Toc47366795"/>
      <w:bookmarkEnd w:id="1205"/>
      <w:bookmarkStart w:id="1206" w:name="_Toc47457103"/>
      <w:bookmarkEnd w:id="1206"/>
      <w:bookmarkStart w:id="1207" w:name="_Toc47347779"/>
      <w:bookmarkEnd w:id="1207"/>
      <w:bookmarkStart w:id="1208" w:name="_Toc47457082"/>
      <w:bookmarkEnd w:id="1208"/>
      <w:bookmarkStart w:id="1209" w:name="_Toc47451518"/>
      <w:bookmarkEnd w:id="1209"/>
      <w:bookmarkStart w:id="1210" w:name="_Toc47347810"/>
      <w:bookmarkEnd w:id="1210"/>
      <w:bookmarkStart w:id="1211" w:name="_Toc47443139"/>
      <w:bookmarkEnd w:id="1211"/>
      <w:bookmarkStart w:id="1212" w:name="_Toc47457095"/>
      <w:bookmarkEnd w:id="1212"/>
      <w:bookmarkStart w:id="1213" w:name="_Toc47443699"/>
      <w:bookmarkEnd w:id="1213"/>
      <w:bookmarkStart w:id="1214" w:name="_Toc47452119"/>
      <w:bookmarkEnd w:id="1214"/>
      <w:bookmarkStart w:id="1215" w:name="_Toc47452120"/>
      <w:bookmarkEnd w:id="1215"/>
      <w:bookmarkStart w:id="1216" w:name="_Toc47372585"/>
      <w:bookmarkEnd w:id="1216"/>
      <w:bookmarkStart w:id="1217" w:name="_Toc47452103"/>
      <w:bookmarkEnd w:id="1217"/>
      <w:bookmarkStart w:id="1218" w:name="_Toc47372597"/>
      <w:bookmarkEnd w:id="1218"/>
      <w:bookmarkStart w:id="1219" w:name="_Toc47366785"/>
      <w:bookmarkEnd w:id="1219"/>
      <w:bookmarkStart w:id="1220" w:name="_Toc47451425"/>
      <w:bookmarkEnd w:id="1220"/>
      <w:bookmarkStart w:id="1221" w:name="_Toc47451393"/>
      <w:bookmarkEnd w:id="1221"/>
      <w:bookmarkStart w:id="1222" w:name="_Toc47457073"/>
      <w:bookmarkEnd w:id="1222"/>
      <w:bookmarkStart w:id="1223" w:name="_Toc47457084"/>
      <w:bookmarkEnd w:id="1223"/>
      <w:bookmarkStart w:id="1224" w:name="_Toc47372599"/>
      <w:bookmarkEnd w:id="1224"/>
      <w:bookmarkStart w:id="1225" w:name="_Toc47452125"/>
      <w:bookmarkEnd w:id="1225"/>
      <w:bookmarkStart w:id="1226" w:name="_Toc47451780"/>
      <w:bookmarkEnd w:id="1226"/>
      <w:bookmarkStart w:id="1227" w:name="_Toc47347771"/>
      <w:bookmarkEnd w:id="1227"/>
      <w:bookmarkStart w:id="1228" w:name="_Toc47451564"/>
      <w:bookmarkEnd w:id="1228"/>
      <w:bookmarkStart w:id="1229" w:name="_Toc47451825"/>
      <w:bookmarkEnd w:id="1229"/>
      <w:bookmarkStart w:id="1230" w:name="_Toc47451803"/>
      <w:bookmarkEnd w:id="1230"/>
      <w:bookmarkStart w:id="1231" w:name="_Toc47346947"/>
      <w:bookmarkEnd w:id="1231"/>
      <w:bookmarkStart w:id="1232" w:name="_Toc47457072"/>
      <w:bookmarkEnd w:id="1232"/>
      <w:bookmarkStart w:id="1233" w:name="_Toc47451794"/>
      <w:bookmarkEnd w:id="1233"/>
      <w:bookmarkStart w:id="1234" w:name="_Toc47346963"/>
      <w:bookmarkEnd w:id="1234"/>
      <w:bookmarkStart w:id="1235" w:name="_Toc47451427"/>
      <w:bookmarkEnd w:id="1235"/>
      <w:bookmarkStart w:id="1236" w:name="_Toc47366796"/>
      <w:bookmarkEnd w:id="1236"/>
      <w:bookmarkStart w:id="1237" w:name="_Toc47451408"/>
      <w:bookmarkEnd w:id="1237"/>
      <w:bookmarkStart w:id="1238" w:name="_Toc47347813"/>
      <w:bookmarkEnd w:id="1238"/>
      <w:bookmarkStart w:id="1239" w:name="_Toc47451824"/>
      <w:bookmarkEnd w:id="1239"/>
      <w:bookmarkStart w:id="1240" w:name="_Toc47443053"/>
      <w:bookmarkEnd w:id="1240"/>
      <w:bookmarkStart w:id="1241" w:name="_Toc47366797"/>
      <w:bookmarkEnd w:id="1241"/>
      <w:bookmarkStart w:id="1242" w:name="_Toc47443748"/>
      <w:bookmarkEnd w:id="1242"/>
      <w:bookmarkStart w:id="1243" w:name="_Toc47451797"/>
      <w:bookmarkEnd w:id="1243"/>
      <w:bookmarkStart w:id="1244" w:name="_Toc47451796"/>
      <w:bookmarkEnd w:id="1244"/>
      <w:bookmarkStart w:id="1245" w:name="_Toc47347784"/>
      <w:bookmarkEnd w:id="1245"/>
      <w:bookmarkStart w:id="1246" w:name="_Toc47455828"/>
      <w:bookmarkEnd w:id="1246"/>
      <w:bookmarkStart w:id="1247" w:name="_Toc47457074"/>
      <w:bookmarkEnd w:id="1247"/>
      <w:bookmarkStart w:id="1248" w:name="_Toc47346957"/>
      <w:bookmarkEnd w:id="1248"/>
      <w:bookmarkStart w:id="1249" w:name="_Toc47451423"/>
      <w:bookmarkEnd w:id="1249"/>
      <w:bookmarkStart w:id="1250" w:name="_Toc47443171"/>
      <w:bookmarkEnd w:id="1250"/>
      <w:bookmarkStart w:id="1251" w:name="_Toc47451540"/>
      <w:bookmarkEnd w:id="1251"/>
      <w:bookmarkStart w:id="1252" w:name="_Toc47443731"/>
      <w:bookmarkEnd w:id="1252"/>
      <w:bookmarkStart w:id="1253" w:name="_Toc47443743"/>
      <w:bookmarkEnd w:id="1253"/>
      <w:bookmarkStart w:id="1254" w:name="_Toc47451534"/>
      <w:bookmarkEnd w:id="1254"/>
      <w:bookmarkStart w:id="1255" w:name="_Toc47457056"/>
      <w:bookmarkEnd w:id="1255"/>
      <w:bookmarkStart w:id="1256" w:name="_Toc47451549"/>
      <w:bookmarkEnd w:id="1256"/>
      <w:bookmarkStart w:id="1257" w:name="_Toc47443041"/>
      <w:bookmarkEnd w:id="1257"/>
      <w:bookmarkStart w:id="1258" w:name="_Toc47346973"/>
      <w:bookmarkEnd w:id="1258"/>
      <w:bookmarkStart w:id="1259" w:name="_Toc47457058"/>
      <w:bookmarkEnd w:id="1259"/>
      <w:bookmarkStart w:id="1260" w:name="_Toc47443059"/>
      <w:bookmarkEnd w:id="1260"/>
      <w:bookmarkStart w:id="1261" w:name="_Toc47443143"/>
      <w:bookmarkEnd w:id="1261"/>
      <w:bookmarkStart w:id="1262" w:name="_Toc47443157"/>
      <w:bookmarkEnd w:id="1262"/>
      <w:bookmarkStart w:id="1263" w:name="_Toc47443069"/>
      <w:bookmarkEnd w:id="1263"/>
      <w:bookmarkStart w:id="1264" w:name="_Toc47443163"/>
      <w:bookmarkEnd w:id="1264"/>
      <w:bookmarkStart w:id="1265" w:name="_Toc47443717"/>
      <w:bookmarkEnd w:id="1265"/>
      <w:bookmarkStart w:id="1266" w:name="_Toc47451416"/>
      <w:bookmarkEnd w:id="1266"/>
      <w:bookmarkStart w:id="1267" w:name="_Toc47457077"/>
      <w:bookmarkEnd w:id="1267"/>
      <w:bookmarkStart w:id="1268" w:name="_Toc47372609"/>
      <w:bookmarkEnd w:id="1268"/>
      <w:bookmarkStart w:id="1269" w:name="_Toc47366805"/>
      <w:bookmarkEnd w:id="1269"/>
      <w:bookmarkStart w:id="1270" w:name="_Toc47455849"/>
      <w:bookmarkEnd w:id="1270"/>
      <w:bookmarkStart w:id="1271" w:name="_Toc47347782"/>
      <w:bookmarkEnd w:id="1271"/>
      <w:bookmarkStart w:id="1272" w:name="_Toc47455852"/>
      <w:bookmarkEnd w:id="1272"/>
      <w:bookmarkStart w:id="1273" w:name="_Toc47443018"/>
      <w:bookmarkEnd w:id="1273"/>
      <w:bookmarkStart w:id="1274" w:name="_Toc47366778"/>
      <w:bookmarkEnd w:id="1274"/>
      <w:bookmarkStart w:id="1275" w:name="_Toc47346987"/>
      <w:bookmarkEnd w:id="1275"/>
      <w:bookmarkStart w:id="1276" w:name="_Toc47366819"/>
      <w:bookmarkEnd w:id="1276"/>
      <w:bookmarkStart w:id="1277" w:name="_Toc47452152"/>
      <w:bookmarkEnd w:id="1277"/>
      <w:bookmarkStart w:id="1278" w:name="_Toc47455795"/>
      <w:bookmarkEnd w:id="1278"/>
      <w:bookmarkStart w:id="1279" w:name="_Toc47452146"/>
      <w:bookmarkEnd w:id="1279"/>
      <w:bookmarkStart w:id="1280" w:name="_Toc47452158"/>
      <w:bookmarkEnd w:id="1280"/>
      <w:bookmarkStart w:id="1281" w:name="_Toc47451799"/>
      <w:bookmarkEnd w:id="1281"/>
      <w:bookmarkStart w:id="1282" w:name="_Toc47451396"/>
      <w:bookmarkEnd w:id="1282"/>
      <w:bookmarkStart w:id="1283" w:name="_Toc47451782"/>
      <w:bookmarkEnd w:id="1283"/>
      <w:bookmarkStart w:id="1284" w:name="_Toc47372580"/>
      <w:bookmarkEnd w:id="1284"/>
      <w:bookmarkStart w:id="1285" w:name="_Toc47451406"/>
      <w:bookmarkEnd w:id="1285"/>
      <w:bookmarkStart w:id="1286" w:name="_Toc47452138"/>
      <w:bookmarkEnd w:id="1286"/>
      <w:bookmarkStart w:id="1287" w:name="_Toc47366792"/>
      <w:bookmarkEnd w:id="1287"/>
      <w:bookmarkStart w:id="1288" w:name="_Toc47346951"/>
      <w:bookmarkEnd w:id="1288"/>
      <w:bookmarkStart w:id="1289" w:name="_Toc47451547"/>
      <w:bookmarkEnd w:id="1289"/>
      <w:bookmarkStart w:id="1290" w:name="_Toc47451561"/>
      <w:bookmarkEnd w:id="1290"/>
      <w:bookmarkStart w:id="1291" w:name="_Toc47451556"/>
      <w:bookmarkEnd w:id="1291"/>
      <w:bookmarkStart w:id="1292" w:name="_Toc47455844"/>
      <w:bookmarkEnd w:id="1292"/>
      <w:bookmarkStart w:id="1293" w:name="_Toc47457054"/>
      <w:bookmarkEnd w:id="1293"/>
      <w:bookmarkStart w:id="1294" w:name="_Toc47372596"/>
      <w:bookmarkEnd w:id="1294"/>
      <w:bookmarkStart w:id="1295" w:name="_Toc40343396"/>
      <w:bookmarkEnd w:id="1295"/>
      <w:bookmarkStart w:id="1296" w:name="_Toc47443164"/>
      <w:bookmarkEnd w:id="1296"/>
      <w:bookmarkStart w:id="1297" w:name="_Toc47443174"/>
      <w:bookmarkEnd w:id="1297"/>
      <w:bookmarkStart w:id="1298" w:name="_Toc47451402"/>
      <w:bookmarkEnd w:id="1298"/>
      <w:bookmarkStart w:id="1299" w:name="_Toc47451822"/>
      <w:bookmarkEnd w:id="1299"/>
      <w:bookmarkStart w:id="1300" w:name="_Toc47443176"/>
      <w:bookmarkEnd w:id="1300"/>
      <w:bookmarkStart w:id="1301" w:name="_Toc47366822"/>
      <w:bookmarkEnd w:id="1301"/>
      <w:bookmarkStart w:id="1302" w:name="_Toc47451435"/>
      <w:bookmarkEnd w:id="1302"/>
      <w:bookmarkStart w:id="1303" w:name="_Toc47366816"/>
      <w:bookmarkEnd w:id="1303"/>
      <w:bookmarkStart w:id="1304" w:name="_Toc47443020"/>
      <w:bookmarkEnd w:id="1304"/>
      <w:bookmarkStart w:id="1305" w:name="_Toc47443062"/>
      <w:bookmarkEnd w:id="1305"/>
      <w:bookmarkStart w:id="1306" w:name="_Toc47347820"/>
      <w:bookmarkEnd w:id="1306"/>
      <w:bookmarkStart w:id="1307" w:name="_Toc47346955"/>
      <w:bookmarkEnd w:id="1307"/>
      <w:bookmarkStart w:id="1308" w:name="_Toc47347780"/>
      <w:bookmarkEnd w:id="1308"/>
      <w:bookmarkStart w:id="1309" w:name="_Toc47451391"/>
      <w:bookmarkEnd w:id="1309"/>
      <w:bookmarkStart w:id="1310" w:name="_Toc41580971"/>
      <w:bookmarkEnd w:id="1310"/>
      <w:bookmarkStart w:id="1311" w:name="_Toc47372589"/>
      <w:bookmarkEnd w:id="1311"/>
      <w:bookmarkStart w:id="1312" w:name="_Toc47451513"/>
      <w:bookmarkEnd w:id="1312"/>
      <w:bookmarkStart w:id="1313" w:name="_Toc47451558"/>
      <w:bookmarkEnd w:id="1313"/>
      <w:bookmarkStart w:id="1314" w:name="_Toc47347816"/>
      <w:bookmarkEnd w:id="1314"/>
      <w:bookmarkStart w:id="1315" w:name="_Toc47347817"/>
      <w:bookmarkEnd w:id="1315"/>
      <w:bookmarkStart w:id="1316" w:name="_Toc47451777"/>
      <w:bookmarkEnd w:id="1316"/>
      <w:bookmarkStart w:id="1317" w:name="_Toc47451401"/>
      <w:bookmarkEnd w:id="1317"/>
      <w:bookmarkStart w:id="1318" w:name="_Toc47443175"/>
      <w:bookmarkEnd w:id="1318"/>
      <w:bookmarkStart w:id="1319" w:name="_Toc47372588"/>
      <w:bookmarkEnd w:id="1319"/>
      <w:bookmarkStart w:id="1320" w:name="_Toc47346936"/>
      <w:bookmarkEnd w:id="1320"/>
      <w:bookmarkStart w:id="1321" w:name="_Toc47451816"/>
      <w:bookmarkEnd w:id="1321"/>
      <w:bookmarkStart w:id="1322" w:name="_Toc47346986"/>
      <w:bookmarkEnd w:id="1322"/>
      <w:bookmarkStart w:id="1323" w:name="_Toc47455813"/>
      <w:bookmarkEnd w:id="1323"/>
      <w:bookmarkStart w:id="1324" w:name="_Toc41575878"/>
      <w:bookmarkEnd w:id="1324"/>
      <w:bookmarkStart w:id="1325" w:name="_Toc47443181"/>
      <w:bookmarkEnd w:id="1325"/>
      <w:bookmarkStart w:id="1326" w:name="_Toc47347765"/>
      <w:bookmarkEnd w:id="1326"/>
      <w:bookmarkStart w:id="1327" w:name="_Toc47346985"/>
      <w:bookmarkEnd w:id="1327"/>
      <w:bookmarkStart w:id="1328" w:name="_Toc47443049"/>
      <w:bookmarkEnd w:id="1328"/>
      <w:bookmarkStart w:id="1329" w:name="_Toc47443070"/>
      <w:bookmarkEnd w:id="1329"/>
      <w:bookmarkStart w:id="1330" w:name="_Toc47347773"/>
      <w:bookmarkEnd w:id="1330"/>
      <w:bookmarkStart w:id="1331" w:name="_Toc47457065"/>
      <w:bookmarkEnd w:id="1331"/>
      <w:bookmarkStart w:id="1332" w:name="_Toc47443713"/>
      <w:bookmarkEnd w:id="1332"/>
      <w:bookmarkStart w:id="1333" w:name="_Toc47452108"/>
      <w:bookmarkEnd w:id="1333"/>
      <w:bookmarkStart w:id="1334" w:name="_Toc47455841"/>
      <w:bookmarkEnd w:id="1334"/>
      <w:bookmarkStart w:id="1335" w:name="_Toc47443751"/>
      <w:bookmarkEnd w:id="1335"/>
      <w:bookmarkStart w:id="1336" w:name="_Toc47443708"/>
      <w:bookmarkEnd w:id="1336"/>
      <w:bookmarkStart w:id="1337" w:name="_Toc47347803"/>
      <w:bookmarkEnd w:id="1337"/>
      <w:bookmarkStart w:id="1338" w:name="_Toc47455853"/>
      <w:bookmarkEnd w:id="1338"/>
      <w:bookmarkStart w:id="1339" w:name="_Toc47451437"/>
      <w:bookmarkEnd w:id="1339"/>
      <w:bookmarkStart w:id="1340" w:name="_Toc47451390"/>
      <w:bookmarkEnd w:id="1340"/>
      <w:bookmarkStart w:id="1341" w:name="_Toc47366830"/>
      <w:bookmarkEnd w:id="1341"/>
      <w:bookmarkStart w:id="1342" w:name="_Toc47457106"/>
      <w:bookmarkEnd w:id="1342"/>
      <w:bookmarkStart w:id="1343" w:name="_Toc47443711"/>
      <w:bookmarkEnd w:id="1343"/>
      <w:bookmarkStart w:id="1344" w:name="_Toc47443754"/>
      <w:bookmarkEnd w:id="1344"/>
      <w:bookmarkStart w:id="1345" w:name="_Toc47451563"/>
      <w:bookmarkEnd w:id="1345"/>
      <w:bookmarkStart w:id="1346" w:name="_Toc47347783"/>
      <w:bookmarkEnd w:id="1346"/>
      <w:bookmarkStart w:id="1347" w:name="_Toc47443065"/>
      <w:bookmarkEnd w:id="1347"/>
      <w:bookmarkStart w:id="1348" w:name="_Toc47366786"/>
      <w:bookmarkEnd w:id="1348"/>
      <w:bookmarkStart w:id="1349" w:name="_Toc47451826"/>
      <w:bookmarkEnd w:id="1349"/>
      <w:bookmarkStart w:id="1350" w:name="_Toc41578214"/>
      <w:bookmarkEnd w:id="1350"/>
      <w:bookmarkStart w:id="1351" w:name="_Toc47451828"/>
      <w:bookmarkEnd w:id="1351"/>
      <w:bookmarkStart w:id="1352" w:name="_Toc47451787"/>
      <w:bookmarkEnd w:id="1352"/>
      <w:bookmarkStart w:id="1353" w:name="_Toc47452132"/>
      <w:bookmarkEnd w:id="1353"/>
      <w:bookmarkStart w:id="1354" w:name="_Toc47451506"/>
      <w:bookmarkEnd w:id="1354"/>
      <w:bookmarkStart w:id="1355" w:name="_Toc47455799"/>
      <w:bookmarkEnd w:id="1355"/>
      <w:bookmarkStart w:id="1356" w:name="_Toc47443753"/>
      <w:bookmarkEnd w:id="1356"/>
      <w:bookmarkStart w:id="1357" w:name="_Toc47372620"/>
      <w:bookmarkEnd w:id="1357"/>
      <w:bookmarkStart w:id="1358" w:name="_Toc47443179"/>
      <w:bookmarkEnd w:id="1358"/>
      <w:bookmarkStart w:id="1359" w:name="_Toc47451831"/>
      <w:bookmarkEnd w:id="1359"/>
      <w:bookmarkStart w:id="1360" w:name="_Toc47443719"/>
      <w:bookmarkEnd w:id="1360"/>
      <w:bookmarkStart w:id="1361" w:name="_Toc47443142"/>
      <w:bookmarkEnd w:id="1361"/>
      <w:bookmarkStart w:id="1362" w:name="_Toc47451544"/>
      <w:bookmarkEnd w:id="1362"/>
      <w:bookmarkStart w:id="1363" w:name="_Toc47443133"/>
      <w:bookmarkEnd w:id="1363"/>
      <w:bookmarkStart w:id="1364" w:name="_Toc47451531"/>
      <w:bookmarkEnd w:id="1364"/>
      <w:bookmarkStart w:id="1365" w:name="_Toc47346960"/>
      <w:bookmarkEnd w:id="1365"/>
      <w:bookmarkStart w:id="1366" w:name="_Toc47443712"/>
      <w:bookmarkEnd w:id="1366"/>
      <w:bookmarkStart w:id="1367" w:name="_Toc47455805"/>
      <w:bookmarkEnd w:id="1367"/>
      <w:bookmarkStart w:id="1368" w:name="_Toc47372581"/>
      <w:bookmarkEnd w:id="1368"/>
      <w:bookmarkStart w:id="1369" w:name="_Toc47443058"/>
      <w:bookmarkEnd w:id="1369"/>
      <w:bookmarkStart w:id="1370" w:name="_Toc47346953"/>
      <w:bookmarkEnd w:id="1370"/>
      <w:bookmarkStart w:id="1371" w:name="_Toc47366827"/>
      <w:bookmarkEnd w:id="1371"/>
      <w:bookmarkStart w:id="1372" w:name="_Toc47451560"/>
      <w:bookmarkEnd w:id="1372"/>
      <w:bookmarkStart w:id="1373" w:name="_Toc47457086"/>
      <w:bookmarkEnd w:id="1373"/>
      <w:bookmarkStart w:id="1374" w:name="_Toc47443147"/>
      <w:bookmarkEnd w:id="1374"/>
      <w:bookmarkStart w:id="1375" w:name="_Toc47443126"/>
      <w:bookmarkEnd w:id="1375"/>
      <w:bookmarkStart w:id="1376" w:name="_Toc47451814"/>
      <w:bookmarkEnd w:id="1376"/>
      <w:bookmarkStart w:id="1377" w:name="_Toc47372623"/>
      <w:bookmarkEnd w:id="1377"/>
      <w:bookmarkStart w:id="1378" w:name="_Toc47457066"/>
      <w:bookmarkEnd w:id="1378"/>
      <w:bookmarkStart w:id="1379" w:name="_Toc47451802"/>
      <w:bookmarkEnd w:id="1379"/>
      <w:bookmarkStart w:id="1380" w:name="_Toc47347797"/>
      <w:bookmarkEnd w:id="1380"/>
      <w:bookmarkStart w:id="1381" w:name="_Toc47451426"/>
      <w:bookmarkEnd w:id="1381"/>
      <w:bookmarkStart w:id="1382" w:name="_Toc47443710"/>
      <w:bookmarkEnd w:id="1382"/>
      <w:bookmarkStart w:id="1383" w:name="_Toc47366817"/>
      <w:bookmarkEnd w:id="1383"/>
      <w:bookmarkStart w:id="1384" w:name="_Toc47366823"/>
      <w:bookmarkEnd w:id="1384"/>
      <w:bookmarkStart w:id="1385" w:name="_Toc47457100"/>
      <w:bookmarkEnd w:id="1385"/>
      <w:bookmarkStart w:id="1386" w:name="_Toc47346981"/>
      <w:bookmarkEnd w:id="1386"/>
      <w:bookmarkStart w:id="1387" w:name="_Toc47451444"/>
      <w:bookmarkEnd w:id="1387"/>
      <w:bookmarkStart w:id="1388" w:name="_Toc47372604"/>
      <w:bookmarkEnd w:id="1388"/>
      <w:bookmarkStart w:id="1389" w:name="_Toc47372627"/>
      <w:bookmarkEnd w:id="1389"/>
      <w:bookmarkStart w:id="1390" w:name="_Toc47372572"/>
      <w:bookmarkEnd w:id="1390"/>
      <w:bookmarkStart w:id="1391" w:name="_Toc47451774"/>
      <w:bookmarkEnd w:id="1391"/>
      <w:bookmarkStart w:id="1392" w:name="_Toc47372625"/>
      <w:bookmarkEnd w:id="1392"/>
      <w:bookmarkStart w:id="1393" w:name="_Toc47451808"/>
      <w:bookmarkEnd w:id="1393"/>
      <w:bookmarkStart w:id="1394" w:name="_Toc47443051"/>
      <w:bookmarkEnd w:id="1394"/>
      <w:bookmarkStart w:id="1395" w:name="_Toc47451522"/>
      <w:bookmarkEnd w:id="1395"/>
      <w:bookmarkStart w:id="1396" w:name="_Toc47366824"/>
      <w:bookmarkEnd w:id="1396"/>
      <w:bookmarkStart w:id="1397" w:name="_Toc47451526"/>
      <w:bookmarkEnd w:id="1397"/>
      <w:bookmarkStart w:id="1398" w:name="_Toc47372574"/>
      <w:bookmarkEnd w:id="1398"/>
      <w:bookmarkStart w:id="1399" w:name="_Toc47372592"/>
      <w:bookmarkEnd w:id="1399"/>
      <w:bookmarkStart w:id="1400" w:name="_Toc47366793"/>
      <w:bookmarkEnd w:id="1400"/>
      <w:bookmarkStart w:id="1401" w:name="_Toc47366818"/>
      <w:bookmarkEnd w:id="1401"/>
      <w:bookmarkStart w:id="1402" w:name="_Toc47443726"/>
      <w:bookmarkEnd w:id="1402"/>
      <w:bookmarkStart w:id="1403" w:name="_Toc47347767"/>
      <w:bookmarkEnd w:id="1403"/>
      <w:bookmarkStart w:id="1404" w:name="_Toc47366821"/>
      <w:bookmarkEnd w:id="1404"/>
      <w:bookmarkStart w:id="1405" w:name="_Toc41581003"/>
      <w:bookmarkEnd w:id="1405"/>
      <w:bookmarkStart w:id="1406" w:name="_Toc47443180"/>
      <w:bookmarkEnd w:id="1406"/>
      <w:bookmarkStart w:id="1407" w:name="_Toc47346969"/>
      <w:bookmarkEnd w:id="1407"/>
      <w:bookmarkStart w:id="1408" w:name="_Toc47451798"/>
      <w:bookmarkEnd w:id="1408"/>
      <w:bookmarkStart w:id="1409" w:name="_Toc47457069"/>
      <w:bookmarkEnd w:id="1409"/>
      <w:bookmarkStart w:id="1410" w:name="_Toc47451542"/>
      <w:bookmarkEnd w:id="1410"/>
      <w:bookmarkStart w:id="1411" w:name="_Toc47347804"/>
      <w:bookmarkEnd w:id="1411"/>
      <w:bookmarkStart w:id="1412" w:name="_Toc47451781"/>
      <w:bookmarkEnd w:id="1412"/>
      <w:bookmarkStart w:id="1413" w:name="_Toc47443055"/>
      <w:bookmarkEnd w:id="1413"/>
      <w:bookmarkStart w:id="1414" w:name="_Toc47452148"/>
      <w:bookmarkEnd w:id="1414"/>
      <w:bookmarkStart w:id="1415" w:name="_Toc47347814"/>
      <w:bookmarkEnd w:id="1415"/>
      <w:bookmarkStart w:id="1416" w:name="_Toc47443161"/>
      <w:bookmarkEnd w:id="1416"/>
      <w:bookmarkStart w:id="1417" w:name="_Toc47451524"/>
      <w:bookmarkEnd w:id="1417"/>
      <w:bookmarkStart w:id="1418" w:name="_Toc47443723"/>
      <w:bookmarkEnd w:id="1418"/>
      <w:bookmarkStart w:id="1419" w:name="_Toc47372612"/>
      <w:bookmarkEnd w:id="1419"/>
      <w:bookmarkStart w:id="1420" w:name="_Toc47452142"/>
      <w:bookmarkEnd w:id="1420"/>
      <w:bookmarkStart w:id="1421" w:name="_Toc47451512"/>
      <w:bookmarkEnd w:id="1421"/>
      <w:bookmarkStart w:id="1422" w:name="_Toc47451520"/>
      <w:bookmarkEnd w:id="1422"/>
      <w:bookmarkStart w:id="1423" w:name="_Toc47347808"/>
      <w:bookmarkEnd w:id="1423"/>
      <w:bookmarkStart w:id="1424" w:name="_Toc47443167"/>
      <w:bookmarkEnd w:id="1424"/>
      <w:bookmarkStart w:id="1425" w:name="_Toc47455837"/>
      <w:bookmarkEnd w:id="1425"/>
      <w:bookmarkStart w:id="1426" w:name="_Toc47443166"/>
      <w:bookmarkEnd w:id="1426"/>
      <w:bookmarkStart w:id="1427" w:name="_Toc47372575"/>
      <w:bookmarkEnd w:id="1427"/>
      <w:bookmarkStart w:id="1428" w:name="_Toc47455829"/>
      <w:bookmarkEnd w:id="1428"/>
      <w:bookmarkStart w:id="1429" w:name="_Toc47451433"/>
      <w:bookmarkEnd w:id="1429"/>
      <w:bookmarkStart w:id="1430" w:name="_Toc47455807"/>
      <w:bookmarkEnd w:id="1430"/>
      <w:bookmarkStart w:id="1431" w:name="_Toc47451417"/>
      <w:bookmarkEnd w:id="1431"/>
      <w:bookmarkStart w:id="1432" w:name="_Toc47366829"/>
      <w:bookmarkEnd w:id="1432"/>
      <w:bookmarkStart w:id="1433" w:name="_Toc47452153"/>
      <w:bookmarkEnd w:id="1433"/>
      <w:bookmarkStart w:id="1434" w:name="_Toc39759421"/>
      <w:bookmarkEnd w:id="1434"/>
      <w:bookmarkStart w:id="1435" w:name="_Toc47366825"/>
      <w:bookmarkEnd w:id="1435"/>
      <w:bookmarkStart w:id="1436" w:name="_Toc47452117"/>
      <w:bookmarkEnd w:id="1436"/>
      <w:bookmarkStart w:id="1437" w:name="_Toc47346959"/>
      <w:bookmarkEnd w:id="1437"/>
      <w:bookmarkStart w:id="1438" w:name="_Toc47455818"/>
      <w:bookmarkEnd w:id="1438"/>
      <w:bookmarkStart w:id="1439" w:name="_Toc47372601"/>
      <w:bookmarkEnd w:id="1439"/>
      <w:bookmarkStart w:id="1440" w:name="_Toc47372610"/>
      <w:bookmarkEnd w:id="1440"/>
      <w:bookmarkStart w:id="1441" w:name="_Toc47443156"/>
      <w:bookmarkEnd w:id="1441"/>
      <w:bookmarkStart w:id="1442" w:name="_Toc47443735"/>
      <w:bookmarkEnd w:id="1442"/>
      <w:bookmarkStart w:id="1443" w:name="_Toc47366789"/>
      <w:bookmarkEnd w:id="1443"/>
      <w:bookmarkStart w:id="1444" w:name="_Toc47452160"/>
      <w:bookmarkEnd w:id="1444"/>
      <w:bookmarkStart w:id="1445" w:name="_Toc47443048"/>
      <w:bookmarkEnd w:id="1445"/>
      <w:bookmarkStart w:id="1446" w:name="_Toc47346974"/>
      <w:bookmarkEnd w:id="1446"/>
      <w:bookmarkStart w:id="1447" w:name="_Toc47457064"/>
      <w:bookmarkEnd w:id="1447"/>
      <w:bookmarkStart w:id="1448" w:name="_Toc47366812"/>
      <w:bookmarkEnd w:id="1448"/>
      <w:bookmarkStart w:id="1449" w:name="_Toc47455843"/>
      <w:bookmarkEnd w:id="1449"/>
      <w:bookmarkStart w:id="1450" w:name="_Toc47347777"/>
      <w:bookmarkEnd w:id="1450"/>
      <w:bookmarkStart w:id="1451" w:name="_Toc47346990"/>
      <w:bookmarkEnd w:id="1451"/>
      <w:bookmarkStart w:id="1452" w:name="_Toc47347774"/>
      <w:bookmarkEnd w:id="1452"/>
      <w:bookmarkStart w:id="1453" w:name="_Toc47451438"/>
      <w:bookmarkEnd w:id="1453"/>
      <w:bookmarkStart w:id="1454" w:name="_Toc47451533"/>
      <w:bookmarkEnd w:id="1454"/>
      <w:bookmarkStart w:id="1455" w:name="_Toc47346962"/>
      <w:bookmarkEnd w:id="1455"/>
      <w:bookmarkStart w:id="1456" w:name="_Toc47347799"/>
      <w:bookmarkEnd w:id="1456"/>
      <w:bookmarkStart w:id="1457" w:name="_Toc47452126"/>
      <w:bookmarkEnd w:id="1457"/>
      <w:bookmarkStart w:id="1458" w:name="_Toc47372587"/>
      <w:bookmarkEnd w:id="1458"/>
      <w:bookmarkStart w:id="1459" w:name="_Toc47457070"/>
      <w:bookmarkEnd w:id="1459"/>
      <w:bookmarkStart w:id="1460" w:name="_Toc47455824"/>
      <w:bookmarkEnd w:id="1460"/>
      <w:bookmarkStart w:id="1461" w:name="_Toc47455833"/>
      <w:bookmarkEnd w:id="1461"/>
      <w:bookmarkStart w:id="1462" w:name="_Toc47443182"/>
      <w:bookmarkEnd w:id="1462"/>
      <w:bookmarkStart w:id="1463" w:name="_Toc47366802"/>
      <w:bookmarkEnd w:id="1463"/>
      <w:bookmarkStart w:id="1464" w:name="_Toc47452161"/>
      <w:bookmarkEnd w:id="1464"/>
      <w:bookmarkStart w:id="1465" w:name="_Toc47451785"/>
      <w:bookmarkEnd w:id="1465"/>
      <w:bookmarkStart w:id="1466" w:name="_Toc47443734"/>
      <w:bookmarkEnd w:id="1466"/>
      <w:bookmarkStart w:id="1467" w:name="_Toc47452140"/>
      <w:bookmarkEnd w:id="1467"/>
      <w:bookmarkStart w:id="1468" w:name="_Toc47443177"/>
      <w:bookmarkEnd w:id="1468"/>
      <w:bookmarkStart w:id="1469" w:name="_Toc47452129"/>
      <w:bookmarkEnd w:id="1469"/>
      <w:bookmarkStart w:id="1470" w:name="_Toc47443702"/>
      <w:bookmarkEnd w:id="1470"/>
      <w:bookmarkStart w:id="1471" w:name="_Toc47443035"/>
      <w:bookmarkEnd w:id="1471"/>
      <w:bookmarkStart w:id="1472" w:name="_Toc47443740"/>
      <w:bookmarkEnd w:id="1472"/>
      <w:bookmarkStart w:id="1473" w:name="_Toc47451521"/>
      <w:bookmarkEnd w:id="1473"/>
      <w:bookmarkStart w:id="1474" w:name="_Toc47451403"/>
      <w:bookmarkEnd w:id="1474"/>
      <w:bookmarkStart w:id="1475" w:name="_Toc47452114"/>
      <w:bookmarkEnd w:id="1475"/>
      <w:bookmarkStart w:id="1476" w:name="_Toc47443697"/>
      <w:bookmarkEnd w:id="1476"/>
      <w:bookmarkStart w:id="1477" w:name="_Toc47455838"/>
      <w:bookmarkEnd w:id="1477"/>
      <w:bookmarkStart w:id="1478" w:name="_Toc47451515"/>
      <w:bookmarkEnd w:id="1478"/>
      <w:bookmarkStart w:id="1479" w:name="_Toc47443149"/>
      <w:bookmarkEnd w:id="1479"/>
      <w:bookmarkStart w:id="1480" w:name="_Toc47443050"/>
      <w:bookmarkEnd w:id="1480"/>
      <w:bookmarkStart w:id="1481" w:name="_Toc47366788"/>
      <w:bookmarkEnd w:id="1481"/>
      <w:bookmarkStart w:id="1482" w:name="_Toc47455848"/>
      <w:bookmarkEnd w:id="1482"/>
      <w:bookmarkStart w:id="1483" w:name="_Toc47452155"/>
      <w:bookmarkEnd w:id="1483"/>
      <w:bookmarkStart w:id="1484" w:name="_Toc47366828"/>
      <w:bookmarkEnd w:id="1484"/>
      <w:bookmarkStart w:id="1485" w:name="_Toc47443169"/>
      <w:bookmarkEnd w:id="1485"/>
      <w:bookmarkStart w:id="1486" w:name="_Toc47451793"/>
      <w:bookmarkEnd w:id="1486"/>
      <w:bookmarkStart w:id="1487" w:name="_Toc47347785"/>
      <w:bookmarkEnd w:id="1487"/>
      <w:bookmarkStart w:id="1488" w:name="_Toc47366782"/>
      <w:bookmarkEnd w:id="1488"/>
      <w:bookmarkStart w:id="1489" w:name="_Toc47443024"/>
      <w:bookmarkEnd w:id="1489"/>
      <w:bookmarkStart w:id="1490" w:name="_Toc47443724"/>
      <w:bookmarkEnd w:id="1490"/>
      <w:bookmarkStart w:id="1491" w:name="_Toc47443715"/>
      <w:bookmarkEnd w:id="1491"/>
      <w:bookmarkStart w:id="1492" w:name="_Toc47443045"/>
      <w:bookmarkEnd w:id="1492"/>
      <w:bookmarkStart w:id="1493" w:name="_Toc47455817"/>
      <w:bookmarkEnd w:id="1493"/>
      <w:bookmarkStart w:id="1494" w:name="_Toc47452123"/>
      <w:bookmarkEnd w:id="1494"/>
      <w:bookmarkStart w:id="1495" w:name="_Toc47443746"/>
      <w:bookmarkEnd w:id="1495"/>
      <w:bookmarkStart w:id="1496" w:name="_Toc47457081"/>
      <w:bookmarkEnd w:id="1496"/>
      <w:bookmarkStart w:id="1497" w:name="_Toc47451543"/>
      <w:bookmarkEnd w:id="1497"/>
      <w:bookmarkStart w:id="1498" w:name="_Toc47452156"/>
      <w:bookmarkEnd w:id="1498"/>
      <w:bookmarkStart w:id="1499" w:name="_Toc47372622"/>
      <w:bookmarkEnd w:id="1499"/>
      <w:bookmarkStart w:id="1500" w:name="_Toc47443739"/>
      <w:bookmarkEnd w:id="1500"/>
      <w:bookmarkStart w:id="1501" w:name="_Toc47366814"/>
      <w:bookmarkEnd w:id="1501"/>
      <w:bookmarkStart w:id="1502" w:name="_Toc47452109"/>
      <w:bookmarkEnd w:id="1502"/>
      <w:bookmarkStart w:id="1503" w:name="_Toc47451523"/>
      <w:bookmarkEnd w:id="1503"/>
      <w:bookmarkStart w:id="1504" w:name="_Toc47443044"/>
      <w:bookmarkEnd w:id="1504"/>
      <w:bookmarkStart w:id="1505" w:name="_Toc47347786"/>
      <w:bookmarkEnd w:id="1505"/>
      <w:bookmarkStart w:id="1506" w:name="_Toc47346966"/>
      <w:bookmarkEnd w:id="1506"/>
      <w:bookmarkStart w:id="1507" w:name="_Toc47347811"/>
      <w:bookmarkEnd w:id="1507"/>
      <w:bookmarkStart w:id="1508" w:name="_Toc47457094"/>
      <w:bookmarkEnd w:id="1508"/>
      <w:bookmarkStart w:id="1509" w:name="_Toc47346937"/>
      <w:bookmarkEnd w:id="1509"/>
      <w:bookmarkStart w:id="1510" w:name="_Toc47451529"/>
      <w:bookmarkEnd w:id="1510"/>
      <w:bookmarkStart w:id="1511" w:name="_Toc47372606"/>
      <w:bookmarkEnd w:id="1511"/>
      <w:bookmarkStart w:id="1512" w:name="_Toc47366776"/>
      <w:bookmarkEnd w:id="1512"/>
      <w:bookmarkStart w:id="1513" w:name="_Toc47451810"/>
      <w:bookmarkEnd w:id="1513"/>
      <w:bookmarkStart w:id="1514" w:name="_Toc47455811"/>
      <w:bookmarkEnd w:id="1514"/>
      <w:bookmarkStart w:id="1515" w:name="_Toc47372577"/>
      <w:bookmarkEnd w:id="1515"/>
      <w:bookmarkStart w:id="1516" w:name="_Toc47452136"/>
      <w:bookmarkEnd w:id="1516"/>
      <w:bookmarkStart w:id="1517" w:name="_Toc47457079"/>
      <w:bookmarkEnd w:id="1517"/>
      <w:bookmarkStart w:id="1518" w:name="_Toc47366800"/>
      <w:bookmarkEnd w:id="1518"/>
      <w:bookmarkStart w:id="1519" w:name="_Toc47455847"/>
      <w:bookmarkEnd w:id="1519"/>
      <w:bookmarkStart w:id="1520" w:name="_Toc47451436"/>
      <w:bookmarkEnd w:id="1520"/>
      <w:bookmarkStart w:id="1521" w:name="_Toc47451519"/>
      <w:bookmarkEnd w:id="1521"/>
      <w:bookmarkStart w:id="1522" w:name="_Toc47443736"/>
      <w:bookmarkEnd w:id="1522"/>
      <w:bookmarkStart w:id="1523" w:name="_Toc47372584"/>
      <w:bookmarkEnd w:id="1523"/>
      <w:bookmarkStart w:id="1524" w:name="_Toc47443728"/>
      <w:bookmarkEnd w:id="1524"/>
      <w:bookmarkStart w:id="1525" w:name="_Toc47372594"/>
      <w:bookmarkEnd w:id="1525"/>
      <w:bookmarkStart w:id="1526" w:name="_Toc47443028"/>
      <w:bookmarkEnd w:id="1526"/>
      <w:bookmarkStart w:id="1527" w:name="_Toc47455815"/>
      <w:bookmarkEnd w:id="1527"/>
      <w:bookmarkStart w:id="1528" w:name="_Toc47366804"/>
      <w:bookmarkEnd w:id="1528"/>
      <w:bookmarkStart w:id="1529" w:name="_Toc47451428"/>
      <w:bookmarkEnd w:id="1529"/>
      <w:bookmarkStart w:id="1530" w:name="_Toc47372583"/>
      <w:bookmarkEnd w:id="1530"/>
      <w:bookmarkStart w:id="1531" w:name="_Toc47346961"/>
      <w:bookmarkEnd w:id="1531"/>
      <w:bookmarkStart w:id="1532" w:name="_Toc47443036"/>
      <w:bookmarkEnd w:id="1532"/>
      <w:bookmarkStart w:id="1533" w:name="_Toc47451536"/>
      <w:bookmarkEnd w:id="1533"/>
      <w:bookmarkStart w:id="1534" w:name="_Toc47443052"/>
      <w:bookmarkEnd w:id="1534"/>
      <w:bookmarkStart w:id="1535" w:name="_Toc47452134"/>
      <w:bookmarkEnd w:id="1535"/>
      <w:bookmarkStart w:id="1536" w:name="_Toc47347802"/>
      <w:bookmarkEnd w:id="1536"/>
      <w:bookmarkStart w:id="1537" w:name="_Toc47451821"/>
      <w:bookmarkEnd w:id="1537"/>
      <w:bookmarkStart w:id="1538" w:name="_Toc47346939"/>
      <w:bookmarkEnd w:id="1538"/>
      <w:bookmarkStart w:id="1539" w:name="_Toc47346982"/>
      <w:bookmarkEnd w:id="1539"/>
      <w:bookmarkStart w:id="1540" w:name="_Toc47455836"/>
      <w:bookmarkEnd w:id="1540"/>
      <w:bookmarkStart w:id="1541" w:name="_Toc47452159"/>
      <w:bookmarkEnd w:id="1541"/>
      <w:bookmarkStart w:id="1542" w:name="_Toc47366779"/>
      <w:bookmarkEnd w:id="1542"/>
      <w:bookmarkStart w:id="1543" w:name="_Toc47347791"/>
      <w:bookmarkEnd w:id="1543"/>
      <w:bookmarkStart w:id="1544" w:name="_Toc47346950"/>
      <w:bookmarkEnd w:id="1544"/>
      <w:bookmarkStart w:id="1545" w:name="_Toc47443178"/>
      <w:bookmarkEnd w:id="1545"/>
      <w:bookmarkStart w:id="1546" w:name="_Toc47372605"/>
      <w:bookmarkEnd w:id="1546"/>
      <w:bookmarkStart w:id="1547" w:name="_Toc47457055"/>
      <w:bookmarkEnd w:id="1547"/>
      <w:bookmarkStart w:id="1548" w:name="_Toc41580859"/>
      <w:bookmarkEnd w:id="1548"/>
      <w:bookmarkStart w:id="1549" w:name="_Toc47443141"/>
      <w:bookmarkEnd w:id="1549"/>
      <w:bookmarkStart w:id="1550" w:name="_Toc47443718"/>
      <w:bookmarkEnd w:id="1550"/>
      <w:bookmarkStart w:id="1551" w:name="_Toc47443124"/>
      <w:bookmarkEnd w:id="1551"/>
      <w:bookmarkStart w:id="1552" w:name="_Toc47372603"/>
      <w:bookmarkEnd w:id="1552"/>
      <w:bookmarkStart w:id="1553" w:name="_Toc47443134"/>
      <w:bookmarkEnd w:id="1553"/>
      <w:bookmarkStart w:id="1554" w:name="_Toc47366780"/>
      <w:bookmarkEnd w:id="1554"/>
      <w:bookmarkStart w:id="1555" w:name="_Toc47452144"/>
      <w:bookmarkEnd w:id="1555"/>
      <w:bookmarkStart w:id="1556" w:name="_Toc47457059"/>
      <w:bookmarkEnd w:id="1556"/>
      <w:bookmarkStart w:id="1557" w:name="_Toc47457078"/>
      <w:bookmarkEnd w:id="1557"/>
      <w:bookmarkStart w:id="1558" w:name="_Toc47347788"/>
      <w:bookmarkEnd w:id="1558"/>
      <w:bookmarkStart w:id="1559" w:name="_Toc47443017"/>
      <w:bookmarkEnd w:id="1559"/>
      <w:bookmarkStart w:id="1560" w:name="_Toc47347776"/>
      <w:bookmarkEnd w:id="1560"/>
      <w:bookmarkStart w:id="1561" w:name="_Toc47347798"/>
      <w:bookmarkEnd w:id="1561"/>
      <w:bookmarkStart w:id="1562" w:name="_Toc47443709"/>
      <w:bookmarkEnd w:id="1562"/>
      <w:bookmarkStart w:id="1563" w:name="_Toc47443127"/>
      <w:bookmarkEnd w:id="1563"/>
      <w:bookmarkStart w:id="1564" w:name="_Toc47451392"/>
      <w:bookmarkEnd w:id="1564"/>
      <w:bookmarkStart w:id="1565" w:name="_Toc47451388"/>
      <w:bookmarkEnd w:id="1565"/>
      <w:bookmarkStart w:id="1566" w:name="_Toc47451421"/>
      <w:bookmarkEnd w:id="1566"/>
      <w:bookmarkStart w:id="1567" w:name="_Toc47455830"/>
      <w:bookmarkEnd w:id="1567"/>
      <w:bookmarkStart w:id="1568" w:name="_Toc47372591"/>
      <w:bookmarkEnd w:id="1568"/>
      <w:bookmarkStart w:id="1569" w:name="_Toc47455814"/>
      <w:bookmarkEnd w:id="1569"/>
      <w:bookmarkStart w:id="1570" w:name="_Toc47451413"/>
      <w:bookmarkEnd w:id="1570"/>
      <w:bookmarkStart w:id="1571" w:name="_Toc35006303"/>
      <w:bookmarkStart w:id="1572" w:name="_Toc47457111"/>
      <w:bookmarkStart w:id="1573" w:name="_Toc19541968"/>
      <w:bookmarkStart w:id="1574" w:name="_Toc48742271"/>
      <w:bookmarkStart w:id="1575" w:name="_Toc16497686"/>
      <w:bookmarkStart w:id="1576" w:name="_Toc24459822"/>
      <w:bookmarkStart w:id="1577" w:name="_Toc46910501"/>
      <w:bookmarkStart w:id="1578" w:name="_Toc47455854"/>
    </w:p>
    <w:p w14:paraId="70656FA7">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3）自选做市品种</w:t>
      </w:r>
    </w:p>
    <w:p w14:paraId="27428FEB">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本所在上证债券信息网展示满足要求的自选做市品种及为其开展做市业务的一般做市商清单，并及时进行更新。</w:t>
      </w:r>
    </w:p>
    <w:p w14:paraId="3D4CA3F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做市商选择自选做市品种开展做市的，应满足自选做市相关要求。</w:t>
      </w:r>
    </w:p>
    <w:p w14:paraId="45FA49FB">
      <w:pPr>
        <w:numPr>
          <w:ilvl w:val="2"/>
          <w:numId w:val="4"/>
        </w:numPr>
        <w:spacing w:line="600" w:lineRule="exact"/>
        <w:ind w:left="0" w:firstLine="0"/>
        <w:outlineLvl w:val="2"/>
        <w:rPr>
          <w:rFonts w:ascii="仿宋_GB2312" w:eastAsia="仿宋_GB2312"/>
          <w:b/>
          <w:sz w:val="30"/>
          <w:szCs w:val="30"/>
        </w:rPr>
      </w:pPr>
      <w:bookmarkStart w:id="1579" w:name="_Toc55318674"/>
      <w:r>
        <w:rPr>
          <w:rFonts w:hint="eastAsia" w:ascii="仿宋_GB2312" w:eastAsia="仿宋_GB2312"/>
          <w:b/>
          <w:sz w:val="30"/>
          <w:szCs w:val="30"/>
        </w:rPr>
        <w:t>做市业务</w:t>
      </w:r>
      <w:bookmarkEnd w:id="1571"/>
      <w:bookmarkEnd w:id="1572"/>
      <w:bookmarkEnd w:id="1573"/>
      <w:bookmarkEnd w:id="1574"/>
      <w:bookmarkEnd w:id="1575"/>
      <w:bookmarkEnd w:id="1576"/>
      <w:bookmarkEnd w:id="1577"/>
      <w:bookmarkEnd w:id="1578"/>
      <w:bookmarkEnd w:id="1579"/>
    </w:p>
    <w:p w14:paraId="3419294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做市商通过业管系统平台交易参与人模块办理各项业务，系统访问地址: https://bmsp.uap.sse.com.cn。</w:t>
      </w:r>
    </w:p>
    <w:p w14:paraId="16F61DDC">
      <w:pPr>
        <w:spacing w:line="600" w:lineRule="exact"/>
        <w:ind w:left="567"/>
        <w:outlineLvl w:val="3"/>
        <w:rPr>
          <w:rFonts w:ascii="仿宋_GB2312" w:eastAsia="仿宋_GB2312"/>
          <w:b/>
          <w:sz w:val="30"/>
          <w:szCs w:val="30"/>
        </w:rPr>
      </w:pPr>
      <w:r>
        <w:rPr>
          <w:rFonts w:hint="eastAsia" w:ascii="仿宋_GB2312" w:eastAsia="仿宋_GB2312"/>
          <w:b/>
          <w:sz w:val="30"/>
          <w:szCs w:val="30"/>
        </w:rPr>
        <w:t>（1）确定做市账户</w:t>
      </w:r>
    </w:p>
    <w:p w14:paraId="044034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做市商从事做市业务，应当指定一个或多个证券账户作为做市证券账户，并向本所报备。做市商需填写《债券做市账户登记表》</w:t>
      </w:r>
      <w:r>
        <w:rPr>
          <w:rFonts w:ascii="仿宋_GB2312" w:hAnsi="微软雅黑" w:eastAsia="仿宋_GB2312"/>
          <w:sz w:val="30"/>
          <w:szCs w:val="30"/>
        </w:rPr>
        <w:t>（附件1</w:t>
      </w:r>
      <w:r>
        <w:rPr>
          <w:rFonts w:hint="eastAsia" w:ascii="仿宋_GB2312" w:hAnsi="微软雅黑" w:eastAsia="仿宋_GB2312"/>
          <w:sz w:val="30"/>
          <w:szCs w:val="30"/>
        </w:rPr>
        <w:t>3</w:t>
      </w:r>
      <w:r>
        <w:rPr>
          <w:rFonts w:ascii="仿宋_GB2312" w:hAnsi="微软雅黑" w:eastAsia="仿宋_GB2312"/>
          <w:sz w:val="30"/>
          <w:szCs w:val="30"/>
        </w:rPr>
        <w:t>）</w:t>
      </w:r>
      <w:r>
        <w:rPr>
          <w:rFonts w:hint="eastAsia" w:ascii="仿宋_GB2312" w:hAnsi="微软雅黑" w:eastAsia="仿宋_GB2312"/>
          <w:sz w:val="30"/>
          <w:szCs w:val="30"/>
        </w:rPr>
        <w:t>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2650F197">
      <w:pPr>
        <w:spacing w:line="600" w:lineRule="exact"/>
        <w:ind w:left="567"/>
        <w:outlineLvl w:val="3"/>
        <w:rPr>
          <w:rFonts w:ascii="仿宋_GB2312" w:eastAsia="仿宋_GB2312"/>
          <w:b/>
          <w:sz w:val="30"/>
          <w:szCs w:val="30"/>
        </w:rPr>
      </w:pPr>
      <w:r>
        <w:rPr>
          <w:rFonts w:hint="eastAsia" w:ascii="仿宋_GB2312" w:eastAsia="仿宋_GB2312"/>
          <w:b/>
          <w:sz w:val="30"/>
          <w:szCs w:val="30"/>
        </w:rPr>
        <w:t>（2）做市账户变更</w:t>
      </w:r>
    </w:p>
    <w:p w14:paraId="6912691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做市商上传做市证券账户之后，每个季度内最多可变更一次。做市商变更做市证券账户需填写《债券做市账户变更表》（附件</w:t>
      </w:r>
      <w:r>
        <w:rPr>
          <w:rFonts w:ascii="仿宋_GB2312" w:hAnsi="微软雅黑" w:eastAsia="仿宋_GB2312"/>
          <w:sz w:val="30"/>
          <w:szCs w:val="30"/>
        </w:rPr>
        <w:t>1</w:t>
      </w:r>
      <w:r>
        <w:rPr>
          <w:rFonts w:hint="eastAsia" w:ascii="仿宋_GB2312" w:hAnsi="微软雅黑" w:eastAsia="仿宋_GB2312"/>
          <w:sz w:val="30"/>
          <w:szCs w:val="30"/>
        </w:rPr>
        <w:t>4）并加盖公章，并将电子件及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上传至业管系统平台交易参与人模块。本所收到《债券做市账户变更表》后</w:t>
      </w:r>
      <w:r>
        <w:rPr>
          <w:rFonts w:ascii="仿宋_GB2312" w:hAnsi="微软雅黑" w:eastAsia="仿宋_GB2312"/>
          <w:sz w:val="30"/>
          <w:szCs w:val="30"/>
        </w:rPr>
        <w:t>2</w:t>
      </w:r>
      <w:r>
        <w:rPr>
          <w:rFonts w:hint="eastAsia" w:ascii="仿宋_GB2312" w:hAnsi="微软雅黑" w:eastAsia="仿宋_GB2312"/>
          <w:sz w:val="30"/>
          <w:szCs w:val="30"/>
        </w:rPr>
        <w:t>个交易日内完成评估并回复变更结果及变更生效日期</w:t>
      </w:r>
      <w:r>
        <w:rPr>
          <w:rFonts w:ascii="仿宋_GB2312" w:hAnsi="微软雅黑" w:eastAsia="仿宋_GB2312"/>
          <w:sz w:val="30"/>
          <w:szCs w:val="30"/>
        </w:rPr>
        <w:t>。</w:t>
      </w:r>
    </w:p>
    <w:p w14:paraId="56283823">
      <w:pPr>
        <w:spacing w:line="600" w:lineRule="exact"/>
        <w:ind w:left="567"/>
        <w:outlineLvl w:val="3"/>
        <w:rPr>
          <w:rFonts w:ascii="仿宋_GB2312" w:eastAsia="仿宋_GB2312"/>
          <w:b/>
          <w:sz w:val="30"/>
          <w:szCs w:val="30"/>
        </w:rPr>
      </w:pPr>
      <w:r>
        <w:rPr>
          <w:rFonts w:hint="eastAsia" w:ascii="仿宋_GB2312" w:eastAsia="仿宋_GB2312"/>
          <w:b/>
          <w:sz w:val="30"/>
          <w:szCs w:val="30"/>
        </w:rPr>
        <w:t>（3）添加/取消债券做市标的</w:t>
      </w:r>
    </w:p>
    <w:p w14:paraId="77FF85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做市商添加/取消债券做市标的（包括前述基准做市品种的主动调整和被动调整 ，自选做市品种的调整），应向本所报备。做市商需填写《添加债券做市标的登记表》</w:t>
      </w:r>
      <w:r>
        <w:rPr>
          <w:rFonts w:ascii="仿宋_GB2312" w:hAnsi="微软雅黑" w:eastAsia="仿宋_GB2312"/>
          <w:sz w:val="30"/>
          <w:szCs w:val="30"/>
        </w:rPr>
        <w:t>（附件1</w:t>
      </w:r>
      <w:r>
        <w:rPr>
          <w:rFonts w:hint="eastAsia" w:ascii="仿宋_GB2312" w:hAnsi="微软雅黑" w:eastAsia="仿宋_GB2312"/>
          <w:sz w:val="30"/>
          <w:szCs w:val="30"/>
        </w:rPr>
        <w:t>5</w:t>
      </w:r>
      <w:r>
        <w:rPr>
          <w:rFonts w:ascii="仿宋_GB2312" w:hAnsi="微软雅黑" w:eastAsia="仿宋_GB2312"/>
          <w:sz w:val="30"/>
          <w:szCs w:val="30"/>
        </w:rPr>
        <w:t>）</w:t>
      </w:r>
      <w:r>
        <w:rPr>
          <w:rFonts w:hint="eastAsia" w:ascii="仿宋_GB2312" w:hAnsi="微软雅黑" w:eastAsia="仿宋_GB2312"/>
          <w:sz w:val="30"/>
          <w:szCs w:val="30"/>
        </w:rPr>
        <w:t>或《取消债券做市标的登记表》（附件16）并加盖部门公章，并将电子件及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04FC55D0">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）做市方式</w:t>
      </w:r>
    </w:p>
    <w:p w14:paraId="0406E2F2">
      <w:pPr>
        <w:spacing w:line="600" w:lineRule="exact"/>
        <w:ind w:firstLine="600" w:firstLineChars="200"/>
        <w:rPr>
          <w:rFonts w:ascii="仿宋_GB2312" w:eastAsia="仿宋_GB2312"/>
          <w:sz w:val="30"/>
          <w:szCs w:val="30"/>
        </w:rPr>
      </w:pPr>
      <w:r>
        <w:rPr>
          <w:rFonts w:hint="eastAsia" w:ascii="仿宋_GB2312" w:eastAsia="仿宋_GB2312"/>
          <w:sz w:val="30"/>
          <w:szCs w:val="30"/>
        </w:rPr>
        <w:t>做市商可以采用匹配成交、点击成交方式，对做市品种进行双边买卖报价。</w:t>
      </w:r>
    </w:p>
    <w:p w14:paraId="6AE5351A">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对基准做市品种，主做市商可通过匹配成交、点击成交方式进行做市。本所鼓励主做市商采用匹配成交方式，对基准利率债做市品种面向全市场进行双边买卖报价；对自选做市品种，主做市商、一般做市商可通过点击成交方式进行做市。做市商对基准利率债做市品种以外的做市标的开展做市业务时，对债券投资者的询价请求应当予以回复。相关交易申报要素可参见本指南第</w:t>
      </w:r>
      <w:r>
        <w:rPr>
          <w:rFonts w:ascii="仿宋_GB2312" w:eastAsia="仿宋_GB2312"/>
          <w:sz w:val="30"/>
          <w:szCs w:val="30"/>
        </w:rPr>
        <w:t>5</w:t>
      </w:r>
      <w:r>
        <w:rPr>
          <w:rFonts w:hint="eastAsia" w:ascii="仿宋_GB2312" w:eastAsia="仿宋_GB2312"/>
          <w:sz w:val="30"/>
          <w:szCs w:val="30"/>
        </w:rPr>
        <w:t>章债券交易方式。</w:t>
      </w:r>
    </w:p>
    <w:p w14:paraId="130B0555">
      <w:pPr>
        <w:spacing w:line="600" w:lineRule="exact"/>
        <w:ind w:firstLine="600" w:firstLineChars="200"/>
        <w:rPr>
          <w:rFonts w:ascii="仿宋_GB2312" w:hAnsi="微软雅黑" w:eastAsia="仿宋_GB2312"/>
          <w:sz w:val="30"/>
          <w:szCs w:val="30"/>
        </w:rPr>
      </w:pPr>
      <w:r>
        <w:rPr>
          <w:rFonts w:ascii="仿宋_GB2312" w:hAnsi="微软雅黑" w:eastAsia="仿宋_GB2312"/>
          <w:sz w:val="30"/>
          <w:szCs w:val="30"/>
        </w:rPr>
        <w:t>1）匹配成交</w:t>
      </w:r>
    </w:p>
    <w:p w14:paraId="46DCF679">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本所鼓励主做市商采用匹配成交方式对基准利率债做市品种面向全市场进行双边买卖报价。</w:t>
      </w:r>
      <w:r>
        <w:rPr>
          <w:rFonts w:hint="eastAsia" w:ascii="仿宋_GB2312" w:hAnsi="微软雅黑" w:eastAsia="仿宋_GB2312"/>
          <w:sz w:val="30"/>
          <w:szCs w:val="30"/>
        </w:rPr>
        <w:t>匹配成交方式下，基准做市品种的申报数量应当</w:t>
      </w:r>
      <w:r>
        <w:rPr>
          <w:rFonts w:hint="eastAsia" w:ascii="仿宋_GB2312" w:eastAsia="仿宋_GB2312"/>
          <w:sz w:val="30"/>
          <w:szCs w:val="30"/>
        </w:rPr>
        <w:t>不低于100万元面额</w:t>
      </w:r>
      <w:r>
        <w:rPr>
          <w:rFonts w:hint="eastAsia" w:ascii="仿宋_GB2312" w:hAnsi="微软雅黑" w:eastAsia="仿宋_GB2312"/>
          <w:sz w:val="30"/>
          <w:szCs w:val="30"/>
        </w:rPr>
        <w:t>。</w:t>
      </w:r>
    </w:p>
    <w:p w14:paraId="2CC4F07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如果双边匹配成交申报其中一个方向的数量全部成交，做市商须再次进行匹配成交申报。做市的双边匹配成交申报可撤销，如果仅撤销单边，则该申报自单边撤销时起不计入做市。</w:t>
      </w:r>
    </w:p>
    <w:p w14:paraId="672BFAFC">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2）点击成交</w:t>
      </w:r>
    </w:p>
    <w:p w14:paraId="51DEF24B">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做市商可采用点击成交的方式面向全市场进行显名做市报价，做市商</w:t>
      </w:r>
      <w:r>
        <w:rPr>
          <w:rFonts w:hint="eastAsia" w:ascii="仿宋_GB2312" w:hAnsi="仿宋" w:eastAsia="仿宋_GB2312"/>
          <w:sz w:val="30"/>
          <w:szCs w:val="30"/>
        </w:rPr>
        <w:t>发出报价，相关报价经其他债券投资者点击后由固定收益平台确认成交</w:t>
      </w:r>
      <w:r>
        <w:rPr>
          <w:rFonts w:hint="eastAsia" w:ascii="仿宋_GB2312" w:hAnsi="微软雅黑" w:eastAsia="仿宋_GB2312"/>
          <w:sz w:val="30"/>
          <w:szCs w:val="30"/>
        </w:rPr>
        <w:t>。</w:t>
      </w:r>
      <w:r>
        <w:rPr>
          <w:rFonts w:hint="eastAsia" w:ascii="仿宋_GB2312" w:eastAsia="仿宋_GB2312"/>
          <w:sz w:val="30"/>
          <w:szCs w:val="30"/>
        </w:rPr>
        <w:t>做市商对做市品种双边买卖报价的单笔申报数量应当不低于100万元面额。</w:t>
      </w:r>
    </w:p>
    <w:p w14:paraId="2918201C">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此外，做市商可采用待定报价方式面向全市场进行显名做市报价。做市商</w:t>
      </w:r>
      <w:r>
        <w:rPr>
          <w:rFonts w:hint="eastAsia" w:ascii="仿宋_GB2312" w:hAnsi="仿宋" w:eastAsia="仿宋_GB2312"/>
          <w:sz w:val="30"/>
          <w:szCs w:val="30"/>
        </w:rPr>
        <w:t>发出</w:t>
      </w:r>
      <w:r>
        <w:rPr>
          <w:rFonts w:hint="eastAsia" w:ascii="仿宋_GB2312" w:hAnsi="微软雅黑" w:eastAsia="仿宋_GB2312"/>
          <w:sz w:val="30"/>
          <w:szCs w:val="30"/>
        </w:rPr>
        <w:t>待确认的</w:t>
      </w:r>
      <w:r>
        <w:rPr>
          <w:rFonts w:hint="eastAsia" w:ascii="仿宋_GB2312" w:hAnsi="仿宋" w:eastAsia="仿宋_GB2312"/>
          <w:sz w:val="30"/>
          <w:szCs w:val="30"/>
        </w:rPr>
        <w:t>报价</w:t>
      </w:r>
      <w:r>
        <w:rPr>
          <w:rFonts w:hint="eastAsia" w:ascii="仿宋_GB2312" w:hAnsi="微软雅黑" w:eastAsia="仿宋_GB2312"/>
          <w:sz w:val="30"/>
          <w:szCs w:val="30"/>
        </w:rPr>
        <w:t>，</w:t>
      </w:r>
      <w:r>
        <w:rPr>
          <w:rFonts w:hint="eastAsia" w:ascii="仿宋_GB2312" w:hAnsi="仿宋" w:eastAsia="仿宋_GB2312"/>
          <w:sz w:val="30"/>
          <w:szCs w:val="30"/>
        </w:rPr>
        <w:t>相关报价经其他债券投资者点击后返回至做市商</w:t>
      </w:r>
      <w:r>
        <w:rPr>
          <w:rFonts w:hint="eastAsia" w:ascii="仿宋_GB2312" w:hAnsi="微软雅黑" w:eastAsia="仿宋_GB2312"/>
          <w:sz w:val="30"/>
          <w:szCs w:val="30"/>
        </w:rPr>
        <w:t>，做市商于当日交易时间内再次进行确认后经固定收益平台确认成交。</w:t>
      </w:r>
      <w:r>
        <w:rPr>
          <w:rFonts w:hint="eastAsia" w:ascii="仿宋_GB2312" w:eastAsia="仿宋_GB2312"/>
          <w:sz w:val="30"/>
          <w:szCs w:val="30"/>
        </w:rPr>
        <w:t>做市商对做市品种双边买卖报价的单笔申报数量应当不低于100万元面额。</w:t>
      </w:r>
    </w:p>
    <w:p w14:paraId="236FA3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做市商进行双边点击成交申报，某一个方向的单边申报被全部点击成交后，做市商须再次进行点击成交申报。做市的双边点击成交申报可撤销，如果仅撤销单边，则该申报自单边撤销时起不计入做市。</w:t>
      </w:r>
    </w:p>
    <w:p w14:paraId="2FF08A1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3）询价回复</w:t>
      </w:r>
    </w:p>
    <w:p w14:paraId="6D96F13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其他债券交易参与人可以就做市券种向做市商进行询价，做市商应在当天交易时间内进行询价回复，询价回复当天有效。</w:t>
      </w:r>
    </w:p>
    <w:p w14:paraId="2C453773">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）做市业务暂停</w:t>
      </w:r>
    </w:p>
    <w:p w14:paraId="02EDCE1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出现下列第（1）项或者第（2）项情形的，债券做市商可以暂停对相应债券品种的做市；出现下列第（3）项或者第（4）项情形的，做市商可以暂停开展做市业务：</w:t>
      </w:r>
    </w:p>
    <w:p w14:paraId="545940B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ascii="仿宋_GB2312" w:hAnsi="微软雅黑" w:eastAsia="仿宋_GB2312"/>
          <w:sz w:val="30"/>
          <w:szCs w:val="30"/>
        </w:rPr>
        <w:t>做市品种被停牌的；</w:t>
      </w:r>
    </w:p>
    <w:p w14:paraId="6BBC3A4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ascii="仿宋_GB2312" w:hAnsi="微软雅黑" w:eastAsia="仿宋_GB2312"/>
          <w:sz w:val="30"/>
          <w:szCs w:val="30"/>
        </w:rPr>
        <w:t>做市品种的交易价格出现异常波动的；</w:t>
      </w:r>
    </w:p>
    <w:p w14:paraId="2AF9C73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ascii="仿宋_GB2312" w:hAnsi="微软雅黑" w:eastAsia="仿宋_GB2312"/>
          <w:sz w:val="30"/>
          <w:szCs w:val="30"/>
        </w:rPr>
        <w:t>因不可抗力或意外事件而无法正常开展做市业务的；</w:t>
      </w:r>
    </w:p>
    <w:p w14:paraId="4F97BE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w:t>
      </w:r>
      <w:r>
        <w:rPr>
          <w:rFonts w:ascii="仿宋_GB2312" w:hAnsi="微软雅黑" w:eastAsia="仿宋_GB2312"/>
          <w:sz w:val="30"/>
          <w:szCs w:val="30"/>
        </w:rPr>
        <w:t>本所认定的其他难以持续开展做市业务的情形。</w:t>
      </w:r>
    </w:p>
    <w:p w14:paraId="505A40B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上述情况消除后，做市商应当及时继续开展做市业务。</w:t>
      </w:r>
    </w:p>
    <w:p w14:paraId="6FDAE52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除前述第1）项情形外，做市商应通过业管系统平台交易参与人模块向本所告知相关情况。</w:t>
      </w:r>
    </w:p>
    <w:p w14:paraId="731D19A9">
      <w:pPr>
        <w:spacing w:line="600" w:lineRule="exact"/>
        <w:ind w:firstLine="602" w:firstLineChars="200"/>
        <w:rPr>
          <w:rFonts w:ascii="仿宋_GB2312" w:hAnsi="微软雅黑" w:eastAsia="仿宋_GB2312"/>
          <w:b/>
          <w:bCs/>
          <w:sz w:val="30"/>
          <w:szCs w:val="30"/>
        </w:rPr>
      </w:pPr>
      <w:r>
        <w:rPr>
          <w:rFonts w:hint="eastAsia" w:ascii="仿宋_GB2312" w:hAnsi="微软雅黑" w:eastAsia="仿宋_GB2312"/>
          <w:b/>
          <w:bCs/>
          <w:sz w:val="30"/>
          <w:szCs w:val="30"/>
        </w:rPr>
        <w:t>（6）做市业务终止</w:t>
      </w:r>
    </w:p>
    <w:p w14:paraId="18AB663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做市商主动申请终止债券做市业务的，应当通过业管系统平台交易参与人模块提前</w:t>
      </w:r>
      <w:r>
        <w:rPr>
          <w:rFonts w:ascii="仿宋_GB2312" w:hAnsi="微软雅黑" w:eastAsia="仿宋_GB2312"/>
          <w:sz w:val="30"/>
          <w:szCs w:val="30"/>
        </w:rPr>
        <w:t>5个交易日向本所提交终止申请（模板见附件1</w:t>
      </w:r>
      <w:r>
        <w:rPr>
          <w:rFonts w:hint="eastAsia" w:ascii="仿宋_GB2312" w:hAnsi="微软雅黑" w:eastAsia="仿宋_GB2312"/>
          <w:sz w:val="30"/>
          <w:szCs w:val="30"/>
        </w:rPr>
        <w:t>7</w:t>
      </w:r>
      <w:r>
        <w:rPr>
          <w:rFonts w:ascii="仿宋_GB2312" w:hAnsi="微软雅黑" w:eastAsia="仿宋_GB2312"/>
          <w:sz w:val="30"/>
          <w:szCs w:val="30"/>
        </w:rPr>
        <w:t>）。材料中须注明拟终止的生效时间。经本所确认后，做市商方可终止做市业务。做市商主动申请终止做</w:t>
      </w:r>
      <w:r>
        <w:rPr>
          <w:rFonts w:hint="eastAsia" w:ascii="仿宋_GB2312" w:hAnsi="微软雅黑" w:eastAsia="仿宋_GB2312"/>
          <w:sz w:val="30"/>
          <w:szCs w:val="30"/>
        </w:rPr>
        <w:t>市业务的，</w:t>
      </w:r>
      <w:r>
        <w:rPr>
          <w:rFonts w:ascii="仿宋_GB2312" w:hAnsi="微软雅黑" w:eastAsia="仿宋_GB2312"/>
          <w:sz w:val="30"/>
          <w:szCs w:val="30"/>
        </w:rPr>
        <w:t>6个月内不得重新申请开展债券做市业务。</w:t>
      </w:r>
    </w:p>
    <w:p w14:paraId="0015FA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做市商管理</w:t>
      </w:r>
    </w:p>
    <w:p w14:paraId="1764CCF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）做市业务支持</w:t>
      </w:r>
    </w:p>
    <w:p w14:paraId="752208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做市商开展做市业务，可享有以下支持措施：</w:t>
      </w:r>
    </w:p>
    <w:p w14:paraId="0492408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获得债券借贷、债券回购等融资、融券便利</w:t>
      </w:r>
      <w:r>
        <w:rPr>
          <w:rFonts w:hint="eastAsia" w:ascii="仿宋_GB2312" w:hAnsi="微软雅黑" w:eastAsia="仿宋_GB2312"/>
          <w:sz w:val="30"/>
          <w:szCs w:val="30"/>
        </w:rPr>
        <w:t>；</w:t>
      </w:r>
    </w:p>
    <w:p w14:paraId="2EFD71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hint="eastAsia" w:ascii="仿宋_GB2312" w:eastAsia="仿宋_GB2312"/>
          <w:sz w:val="30"/>
          <w:szCs w:val="30"/>
        </w:rPr>
        <w:t>优先开展债券创新产品和业务</w:t>
      </w:r>
      <w:r>
        <w:rPr>
          <w:rFonts w:hint="eastAsia" w:ascii="仿宋_GB2312" w:hAnsi="微软雅黑" w:eastAsia="仿宋_GB2312"/>
          <w:sz w:val="30"/>
          <w:szCs w:val="30"/>
        </w:rPr>
        <w:t>；</w:t>
      </w:r>
    </w:p>
    <w:p w14:paraId="7E20F12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hint="eastAsia" w:ascii="仿宋_GB2312" w:eastAsia="仿宋_GB2312"/>
          <w:sz w:val="30"/>
          <w:szCs w:val="30"/>
        </w:rPr>
        <w:t>获得本所实时提供的债券报价数据、成交数据等</w:t>
      </w:r>
      <w:r>
        <w:rPr>
          <w:rFonts w:hint="eastAsia" w:ascii="仿宋_GB2312" w:hAnsi="微软雅黑" w:eastAsia="仿宋_GB2312"/>
          <w:sz w:val="30"/>
          <w:szCs w:val="30"/>
        </w:rPr>
        <w:t>；</w:t>
      </w:r>
    </w:p>
    <w:p w14:paraId="101CC11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4） </w:t>
      </w:r>
      <w:r>
        <w:rPr>
          <w:rFonts w:hint="eastAsia" w:ascii="仿宋_GB2312" w:eastAsia="仿宋_GB2312"/>
          <w:sz w:val="30"/>
          <w:szCs w:val="30"/>
        </w:rPr>
        <w:t>减免做市业务达成的债券交易相关费用，并根据做市业务评价结果予以奖励</w:t>
      </w:r>
      <w:r>
        <w:rPr>
          <w:rFonts w:hint="eastAsia" w:ascii="仿宋_GB2312" w:hAnsi="微软雅黑" w:eastAsia="仿宋_GB2312"/>
          <w:sz w:val="30"/>
          <w:szCs w:val="30"/>
        </w:rPr>
        <w:t>；</w:t>
      </w:r>
    </w:p>
    <w:p w14:paraId="0D07512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5） </w:t>
      </w:r>
      <w:r>
        <w:rPr>
          <w:rFonts w:ascii="仿宋_GB2312" w:hAnsi="微软雅黑" w:eastAsia="仿宋_GB2312"/>
          <w:sz w:val="30"/>
          <w:szCs w:val="30"/>
        </w:rPr>
        <w:t>本所提供的其他支持。</w:t>
      </w:r>
    </w:p>
    <w:p w14:paraId="455C138C">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）监管豁免情形</w:t>
      </w:r>
    </w:p>
    <w:p w14:paraId="4E6C3334">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根据中国证监会《证券公司风险控制指标计算标准规定》相关条款，做市商在上交所开展做市业务，可豁免其所持单只债券的集中度要求。</w:t>
      </w:r>
    </w:p>
    <w:p w14:paraId="4945D25A">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做市商为开展做市业务进行的申报并撤销申报、做市证券账户与其他账户之间的交易等，不构成《债券交易规则》第一百二十五条第二项与第四项规定的以下异常交易行为：</w:t>
      </w:r>
    </w:p>
    <w:p w14:paraId="19216657">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1）拉抬打压，即大笔申报、连续申报、密集申报或者以明显偏离债券最新成交价的价格申报成交，导致债券交易价格明显上涨（下跌）；</w:t>
      </w:r>
    </w:p>
    <w:p w14:paraId="43D8457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2）自买自卖或者互为对手方交易，即在单个账户、自己实际控制的账户之间或者关联账户之间大量或者频繁进行债券交易，影响债券交易价格或者交易量。</w:t>
      </w:r>
    </w:p>
    <w:p w14:paraId="7A9827A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但明显偏离做市业务的合理范围，影响正常交易秩序的情形除外。</w:t>
      </w:r>
    </w:p>
    <w:p w14:paraId="58BDB98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）做市商评价</w:t>
      </w:r>
    </w:p>
    <w:p w14:paraId="19A85E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本所建立做市业务评价指标体系，对做市商的做市情况进行定期评价，公布考核结果并根据考核结果对优秀做市机构进行表彰，并根据做市考核情况对做市商进行动态管理。</w:t>
      </w:r>
    </w:p>
    <w:p w14:paraId="648C24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做市业务评价指标体系包括做市债券数量、报价时间、报价量、成交量等指标，对做市业务综合予以评价。</w:t>
      </w:r>
    </w:p>
    <w:p w14:paraId="484E1B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本所每季度对主做市商做市业务的情况进行评价</w:t>
      </w:r>
      <w:r>
        <w:rPr>
          <w:rFonts w:ascii="仿宋_GB2312" w:hAnsi="微软雅黑" w:eastAsia="仿宋_GB2312"/>
          <w:sz w:val="30"/>
          <w:szCs w:val="30"/>
        </w:rPr>
        <w:t xml:space="preserve">, </w:t>
      </w:r>
      <w:r>
        <w:rPr>
          <w:rFonts w:hint="eastAsia" w:ascii="仿宋_GB2312" w:hAnsi="微软雅黑" w:eastAsia="仿宋_GB2312"/>
          <w:sz w:val="30"/>
          <w:szCs w:val="30"/>
        </w:rPr>
        <w:t>并且每年</w:t>
      </w:r>
      <w:r>
        <w:rPr>
          <w:rFonts w:ascii="仿宋_GB2312" w:hAnsi="微软雅黑" w:eastAsia="仿宋_GB2312"/>
          <w:sz w:val="30"/>
          <w:szCs w:val="30"/>
        </w:rPr>
        <w:t>对</w:t>
      </w:r>
      <w:r>
        <w:rPr>
          <w:rFonts w:hint="eastAsia" w:ascii="仿宋_GB2312" w:hAnsi="微软雅黑" w:eastAsia="仿宋_GB2312"/>
          <w:sz w:val="30"/>
          <w:szCs w:val="30"/>
        </w:rPr>
        <w:t>主做市商在当年度</w:t>
      </w:r>
      <w:r>
        <w:rPr>
          <w:rFonts w:ascii="仿宋_GB2312" w:hAnsi="微软雅黑" w:eastAsia="仿宋_GB2312"/>
          <w:sz w:val="30"/>
          <w:szCs w:val="30"/>
        </w:rPr>
        <w:t>所有交易日的做市情况进行综合评价，季度和年度评价结果向市场公布。</w:t>
      </w:r>
    </w:p>
    <w:p w14:paraId="2C15343D">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）做市商监督管理</w:t>
      </w:r>
    </w:p>
    <w:p w14:paraId="2848104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做市商及其相关人员从事做市业务应当遵守法律法规和本所业务规则，诚实守信、规范运作，接受本所的自律监管。</w:t>
      </w:r>
    </w:p>
    <w:p w14:paraId="1B9EF0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本所依据《债券交易规则》《上海证券交易所债券交易规则适用指引第3号——债券做市业务》以及本所其他业务规则对</w:t>
      </w:r>
      <w:r>
        <w:rPr>
          <w:rFonts w:hint="eastAsia" w:ascii="仿宋_GB2312" w:eastAsia="仿宋_GB2312"/>
          <w:sz w:val="30"/>
          <w:szCs w:val="30"/>
        </w:rPr>
        <w:t>做市商的</w:t>
      </w:r>
      <w:r>
        <w:rPr>
          <w:rFonts w:hint="eastAsia" w:ascii="仿宋_GB2312" w:hAnsi="微软雅黑" w:eastAsia="仿宋_GB2312"/>
          <w:sz w:val="30"/>
          <w:szCs w:val="30"/>
        </w:rPr>
        <w:t>债券做市相关业务活动进行自律监管。</w:t>
      </w:r>
    </w:p>
    <w:p w14:paraId="78FDA1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做市商应当遵守法律法规以及本所有关规定，防范利益冲突，不得利用做市报价扰乱市场正常价格水平或者从事其他市场操纵行为。</w:t>
      </w:r>
    </w:p>
    <w:p w14:paraId="2D098F7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本所可以根据做市商的做市表现和监管需要，对做市商做市业务不定期开展现场或非现场检查，做市商应当积极配合，如实提供相关材料和说明。</w:t>
      </w:r>
    </w:p>
    <w:p w14:paraId="30B83D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风控合规管理</w:t>
      </w:r>
    </w:p>
    <w:p w14:paraId="1220789F">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微软雅黑" w:eastAsia="仿宋_GB2312"/>
          <w:b/>
          <w:bCs/>
          <w:sz w:val="30"/>
          <w:szCs w:val="30"/>
        </w:rPr>
        <w:t>风险管理制度</w:t>
      </w:r>
    </w:p>
    <w:p w14:paraId="3CA1DB9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制定做市业务风险管理制度，加强对做市业务的风险管理，有效防范和化解业务风险，内容包括但不限于做市业务风险管理基本原则、风险指标设计、风险识别与评估、风险控制与处置、风险定期报告机制、压力测试的情景设置和分析等。</w:t>
      </w:r>
    </w:p>
    <w:p w14:paraId="2237EFA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做市商通过自动化交易系统进行做市报价成交的，应注重系统的稳定性及报价策略的合理性。自动化交易系统应建立必要的风险防范措施和应急处置机制。</w:t>
      </w:r>
    </w:p>
    <w:p w14:paraId="50D27BDB">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Arial" w:eastAsia="仿宋_GB2312"/>
          <w:b/>
          <w:sz w:val="30"/>
          <w:szCs w:val="30"/>
        </w:rPr>
        <w:t>内部控制制度</w:t>
      </w:r>
    </w:p>
    <w:p w14:paraId="60010350">
      <w:pPr>
        <w:spacing w:line="600" w:lineRule="exact"/>
        <w:ind w:firstLine="600" w:firstLineChars="200"/>
        <w:rPr>
          <w:rFonts w:eastAsia="仿宋_GB2312"/>
          <w:sz w:val="30"/>
          <w:szCs w:val="30"/>
        </w:rPr>
      </w:pPr>
      <w:r>
        <w:rPr>
          <w:rFonts w:hint="eastAsia" w:eastAsia="仿宋_GB2312"/>
          <w:sz w:val="30"/>
          <w:szCs w:val="30"/>
        </w:rPr>
        <w:t>做市商应当建立严格的内部控制制度，对做市业务制定严格的权限管理制度和投资决策流程，建立有效的岗位分工和制衡机制，规范业务操作流程，确保研究分析、投资决策、交易执行等相关环节的独立运作。</w:t>
      </w:r>
    </w:p>
    <w:p w14:paraId="26F39827">
      <w:pPr>
        <w:numPr>
          <w:ilvl w:val="1"/>
          <w:numId w:val="10"/>
        </w:numPr>
        <w:spacing w:line="600" w:lineRule="exact"/>
        <w:ind w:left="567" w:firstLine="0"/>
        <w:outlineLvl w:val="3"/>
        <w:rPr>
          <w:rFonts w:ascii="仿宋_GB2312" w:eastAsia="仿宋_GB2312"/>
          <w:b/>
          <w:sz w:val="30"/>
          <w:szCs w:val="30"/>
        </w:rPr>
      </w:pPr>
      <w:r>
        <w:rPr>
          <w:rFonts w:hint="eastAsia" w:ascii="仿宋_GB2312" w:eastAsia="仿宋_GB2312"/>
          <w:b/>
          <w:sz w:val="30"/>
          <w:szCs w:val="30"/>
        </w:rPr>
        <w:t>岗位设置</w:t>
      </w:r>
      <w:r>
        <w:rPr>
          <w:rFonts w:ascii="仿宋_GB2312" w:eastAsia="仿宋_GB2312"/>
          <w:b/>
          <w:sz w:val="30"/>
          <w:szCs w:val="30"/>
        </w:rPr>
        <w:t>人员配备</w:t>
      </w:r>
    </w:p>
    <w:p w14:paraId="68691B8A">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债券做市业务涉及交易、风控、合规、</w:t>
      </w:r>
      <w:r>
        <w:rPr>
          <w:rFonts w:eastAsia="仿宋_GB2312"/>
          <w:sz w:val="30"/>
          <w:szCs w:val="30"/>
        </w:rPr>
        <w:t>技术等多个业务和功能支持</w:t>
      </w:r>
      <w:r>
        <w:rPr>
          <w:rFonts w:hint="eastAsia" w:eastAsia="仿宋_GB2312"/>
          <w:sz w:val="30"/>
          <w:szCs w:val="30"/>
        </w:rPr>
        <w:t>部门</w:t>
      </w:r>
      <w:r>
        <w:rPr>
          <w:rFonts w:eastAsia="仿宋_GB2312"/>
          <w:sz w:val="30"/>
          <w:szCs w:val="30"/>
        </w:rPr>
        <w:t>，</w:t>
      </w:r>
      <w:r>
        <w:rPr>
          <w:rFonts w:hint="eastAsia" w:eastAsia="仿宋_GB2312"/>
          <w:sz w:val="30"/>
          <w:szCs w:val="30"/>
        </w:rPr>
        <w:t>须设立专门的岗位并建立备岗机制，内容包括但不限于做市业务风险管理、内控与合规管理、清算、资金管理、技术支持等。做市业务应当与经纪、自营、资产管理等业务进行有效隔离，防止敏感信息的不当流动和使用。</w:t>
      </w:r>
    </w:p>
    <w:p w14:paraId="475B6383">
      <w:pPr>
        <w:numPr>
          <w:ilvl w:val="1"/>
          <w:numId w:val="4"/>
        </w:numPr>
        <w:spacing w:line="600" w:lineRule="exact"/>
        <w:ind w:left="0" w:firstLine="0"/>
        <w:outlineLvl w:val="1"/>
        <w:rPr>
          <w:rFonts w:ascii="仿宋_GB2312" w:eastAsia="仿宋_GB2312"/>
          <w:b/>
          <w:sz w:val="30"/>
          <w:szCs w:val="30"/>
        </w:rPr>
      </w:pPr>
      <w:bookmarkStart w:id="1580" w:name="_Toc56166278"/>
      <w:bookmarkStart w:id="1581" w:name="_Toc151136910"/>
      <w:bookmarkStart w:id="1582" w:name="_Toc48742272"/>
      <w:bookmarkStart w:id="1583" w:name="_Toc46910502"/>
      <w:bookmarkStart w:id="1584" w:name="_Toc47455855"/>
      <w:bookmarkStart w:id="1585" w:name="_Toc56166089"/>
      <w:bookmarkStart w:id="1586" w:name="_Toc55318675"/>
      <w:bookmarkStart w:id="1587" w:name="_Toc47457112"/>
      <w:r>
        <w:rPr>
          <w:rFonts w:hint="eastAsia" w:ascii="仿宋_GB2312" w:eastAsia="仿宋_GB2312"/>
          <w:b/>
          <w:sz w:val="30"/>
          <w:szCs w:val="30"/>
        </w:rPr>
        <w:t>特定债券转让</w:t>
      </w:r>
      <w:bookmarkEnd w:id="1580"/>
      <w:bookmarkEnd w:id="1581"/>
      <w:bookmarkEnd w:id="1582"/>
      <w:bookmarkEnd w:id="1583"/>
      <w:bookmarkEnd w:id="1584"/>
      <w:bookmarkEnd w:id="1585"/>
      <w:bookmarkEnd w:id="1586"/>
      <w:bookmarkEnd w:id="1587"/>
    </w:p>
    <w:p w14:paraId="450EA56A">
      <w:pPr>
        <w:numPr>
          <w:ilvl w:val="2"/>
          <w:numId w:val="4"/>
        </w:numPr>
        <w:spacing w:line="600" w:lineRule="exact"/>
        <w:ind w:left="0" w:firstLine="0"/>
        <w:outlineLvl w:val="2"/>
        <w:rPr>
          <w:rFonts w:ascii="仿宋_GB2312" w:eastAsia="仿宋_GB2312"/>
          <w:b/>
          <w:sz w:val="30"/>
          <w:szCs w:val="30"/>
        </w:rPr>
      </w:pPr>
      <w:bookmarkStart w:id="1588" w:name="_Toc46910503"/>
      <w:bookmarkStart w:id="1589" w:name="_Toc55318676"/>
      <w:bookmarkStart w:id="1590" w:name="_Toc48742273"/>
      <w:bookmarkStart w:id="1591" w:name="_Toc47457113"/>
      <w:bookmarkStart w:id="1592" w:name="_Toc47455856"/>
      <w:r>
        <w:rPr>
          <w:rFonts w:hint="eastAsia" w:ascii="仿宋_GB2312" w:eastAsia="仿宋_GB2312"/>
          <w:b/>
          <w:sz w:val="30"/>
          <w:szCs w:val="30"/>
        </w:rPr>
        <w:t>交易品种</w:t>
      </w:r>
      <w:bookmarkEnd w:id="1588"/>
      <w:bookmarkEnd w:id="1589"/>
      <w:bookmarkEnd w:id="1590"/>
      <w:bookmarkEnd w:id="1591"/>
      <w:bookmarkEnd w:id="1592"/>
    </w:p>
    <w:p w14:paraId="4E1F4F7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特定债券，是指在本所上市交易或者挂牌转让期间发生以下情形之一的公司债券：</w:t>
      </w:r>
    </w:p>
    <w:p w14:paraId="2564C5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（1）发行人未按约定履行还本付息义务（包括未按约定履行回售、分期偿还、加速清偿等义务，下同）；</w:t>
      </w:r>
    </w:p>
    <w:p w14:paraId="6413B7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（2）发行人发行的其他债券或债务融资工具未按约定履行还本付息义务；</w:t>
      </w:r>
    </w:p>
    <w:p w14:paraId="3DA62E5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（3）本所为保护债券投资者合法权益认定的其他情形。</w:t>
      </w:r>
    </w:p>
    <w:p w14:paraId="5B1AF43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债券兑付存在重大不确定性，且发行人或受托管理人发布公告明确提示风险的，可参照适用。</w:t>
      </w:r>
    </w:p>
    <w:p w14:paraId="2113CB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资产支持证券在本所挂牌转让期间出现未按约定分配收益情形的，可参照适用。</w:t>
      </w:r>
    </w:p>
    <w:p w14:paraId="44A5E7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特定债券简称前冠以“H”字样。</w:t>
      </w:r>
    </w:p>
    <w:p w14:paraId="36C36C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特定债券拟进行转让的，发行人或受托管理人将发布债券作为特定债券转让的公告。</w:t>
      </w:r>
    </w:p>
    <w:p w14:paraId="52F110CB">
      <w:pPr>
        <w:numPr>
          <w:ilvl w:val="2"/>
          <w:numId w:val="4"/>
        </w:numPr>
        <w:spacing w:line="600" w:lineRule="exact"/>
        <w:ind w:left="0" w:firstLine="0"/>
        <w:outlineLvl w:val="2"/>
        <w:rPr>
          <w:rFonts w:ascii="仿宋_GB2312" w:eastAsia="仿宋_GB2312"/>
          <w:b/>
          <w:sz w:val="30"/>
          <w:szCs w:val="30"/>
        </w:rPr>
      </w:pPr>
      <w:bookmarkStart w:id="1593" w:name="_Toc55318677"/>
      <w:bookmarkStart w:id="1594" w:name="_Toc47455857"/>
      <w:bookmarkStart w:id="1595" w:name="_Toc47457114"/>
      <w:bookmarkStart w:id="1596" w:name="_Toc48742274"/>
      <w:r>
        <w:rPr>
          <w:rFonts w:hint="eastAsia" w:ascii="仿宋_GB2312" w:eastAsia="仿宋_GB2312"/>
          <w:b/>
          <w:sz w:val="30"/>
          <w:szCs w:val="30"/>
        </w:rPr>
        <w:t>转让条件</w:t>
      </w:r>
      <w:bookmarkEnd w:id="1593"/>
      <w:bookmarkEnd w:id="1594"/>
      <w:bookmarkEnd w:id="1595"/>
      <w:bookmarkEnd w:id="1596"/>
    </w:p>
    <w:p w14:paraId="023C2C6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特定债券拟进行转让的，应当权属清晰，并具备一定的市场转让需求。存在以下情形之一的，不得在本所进行转让：</w:t>
      </w:r>
    </w:p>
    <w:p w14:paraId="32E0C220">
      <w:pPr>
        <w:spacing w:line="600" w:lineRule="exact"/>
        <w:ind w:firstLine="600"/>
        <w:rPr>
          <w:rFonts w:ascii="仿宋_GB2312" w:hAnsi="仿宋" w:eastAsia="仿宋_GB2312"/>
          <w:sz w:val="30"/>
          <w:szCs w:val="30"/>
        </w:rPr>
      </w:pPr>
      <w:r>
        <w:rPr>
          <w:rFonts w:hint="eastAsia" w:ascii="仿宋_GB2312" w:hAnsi="仿宋" w:eastAsia="仿宋_GB2312"/>
          <w:sz w:val="30"/>
          <w:szCs w:val="30"/>
        </w:rPr>
        <w:t>（1）特定债券发行人已进入破产程序且债权申报已结束，但破产管理人书面同意的除外；</w:t>
      </w:r>
    </w:p>
    <w:p w14:paraId="558DA1F1">
      <w:pPr>
        <w:spacing w:line="600" w:lineRule="exact"/>
        <w:ind w:firstLine="600"/>
        <w:rPr>
          <w:rFonts w:ascii="仿宋_GB2312" w:hAnsi="仿宋" w:eastAsia="仿宋_GB2312"/>
          <w:sz w:val="30"/>
          <w:szCs w:val="30"/>
        </w:rPr>
      </w:pPr>
      <w:r>
        <w:rPr>
          <w:rFonts w:hint="eastAsia" w:ascii="仿宋_GB2312" w:hAnsi="仿宋" w:eastAsia="仿宋_GB2312"/>
          <w:sz w:val="30"/>
          <w:szCs w:val="30"/>
        </w:rPr>
        <w:t>（2）特定债券因卖方与发行人已达成偿付协议等原因，与其他持有人所持债券不具备同等权利义务事项或风险特征；</w:t>
      </w:r>
    </w:p>
    <w:p w14:paraId="7BA8BE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（3）特定债券存在被司法冻结等权利瑕疵；</w:t>
      </w:r>
    </w:p>
    <w:p w14:paraId="4E206916">
      <w:pPr>
        <w:spacing w:line="600" w:lineRule="exact"/>
        <w:ind w:firstLine="600" w:firstLineChars="200"/>
        <w:rPr>
          <w:rFonts w:ascii="仿宋_GB2312" w:hAnsi="仿宋"/>
          <w:sz w:val="30"/>
          <w:szCs w:val="30"/>
        </w:rPr>
      </w:pPr>
      <w:r>
        <w:rPr>
          <w:rFonts w:hint="eastAsia" w:ascii="仿宋_GB2312" w:hAnsi="仿宋" w:eastAsia="仿宋_GB2312"/>
          <w:sz w:val="30"/>
          <w:szCs w:val="30"/>
        </w:rPr>
        <w:t>（</w:t>
      </w:r>
      <w:r>
        <w:rPr>
          <w:rFonts w:ascii="仿宋_GB2312" w:hAnsi="仿宋" w:eastAsia="仿宋_GB2312"/>
          <w:sz w:val="30"/>
          <w:szCs w:val="30"/>
        </w:rPr>
        <w:t>4）</w:t>
      </w:r>
      <w:r>
        <w:rPr>
          <w:rFonts w:hint="eastAsia" w:ascii="仿宋_GB2312" w:hAnsi="仿宋" w:eastAsia="仿宋_GB2312"/>
          <w:sz w:val="30"/>
          <w:szCs w:val="30"/>
        </w:rPr>
        <w:t>其他可能导致特定债券不适于转让的情形。</w:t>
      </w:r>
    </w:p>
    <w:p w14:paraId="45FB864C">
      <w:pPr>
        <w:numPr>
          <w:ilvl w:val="2"/>
          <w:numId w:val="4"/>
        </w:numPr>
        <w:spacing w:line="600" w:lineRule="exact"/>
        <w:ind w:left="0" w:firstLine="0"/>
        <w:outlineLvl w:val="2"/>
        <w:rPr>
          <w:rFonts w:ascii="仿宋_GB2312" w:eastAsia="仿宋_GB2312"/>
          <w:b/>
          <w:sz w:val="30"/>
          <w:szCs w:val="30"/>
        </w:rPr>
      </w:pPr>
      <w:bookmarkStart w:id="1597" w:name="_Toc47455858"/>
      <w:bookmarkStart w:id="1598" w:name="_Toc55318678"/>
      <w:bookmarkStart w:id="1599" w:name="_Toc47457115"/>
      <w:bookmarkStart w:id="1600" w:name="_Toc48742275"/>
      <w:r>
        <w:rPr>
          <w:rFonts w:hint="eastAsia" w:ascii="仿宋_GB2312" w:eastAsia="仿宋_GB2312"/>
          <w:b/>
          <w:sz w:val="30"/>
          <w:szCs w:val="30"/>
        </w:rPr>
        <w:t>投资者适当性管理</w:t>
      </w:r>
      <w:bookmarkEnd w:id="1597"/>
      <w:bookmarkEnd w:id="1598"/>
      <w:bookmarkEnd w:id="1599"/>
      <w:bookmarkEnd w:id="1600"/>
    </w:p>
    <w:p w14:paraId="79916AF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转让中的受让方，应当为专业投资者中的机构投资者。证券经营机构应当切实履行投资者适当性管理职责，采取有效措施，确保特定债券受让方符合本所投资者适当性管理规定，受让方应签署特定债券转让风险揭示书。</w:t>
      </w:r>
    </w:p>
    <w:p w14:paraId="3EE5E71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出让方应当将其知悉的关于拟出让特定债券相关权利义务事项及其他可能影响债券转让价格的重要事项如实告知受让方。受让方应当对影响特定债券权利义务的相关事项主动进行调查了解，充分评估并确保自身具备相应的风险识别和承受能力，能够自行承担所受让特定债券的投资风险及损失。</w:t>
      </w:r>
    </w:p>
    <w:p w14:paraId="0E0004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参与特定债券转让的市场主体，应当遵守法律法规及本所、登记结算机构的相关规定，禁止从事内幕交易、操纵市场及利益输送等违法违规行为。</w:t>
      </w:r>
    </w:p>
    <w:p w14:paraId="2117200A">
      <w:pPr>
        <w:numPr>
          <w:ilvl w:val="2"/>
          <w:numId w:val="4"/>
        </w:numPr>
        <w:spacing w:line="600" w:lineRule="exact"/>
        <w:ind w:left="0" w:firstLine="0"/>
        <w:outlineLvl w:val="2"/>
        <w:rPr>
          <w:rFonts w:ascii="仿宋_GB2312" w:eastAsia="仿宋_GB2312"/>
          <w:b/>
          <w:sz w:val="30"/>
          <w:szCs w:val="30"/>
        </w:rPr>
      </w:pPr>
      <w:bookmarkStart w:id="1601" w:name="_Toc48742276"/>
      <w:bookmarkStart w:id="1602" w:name="_Toc55318679"/>
      <w:bookmarkStart w:id="1603" w:name="_Toc47455859"/>
      <w:bookmarkStart w:id="1604" w:name="_Toc46910505"/>
      <w:bookmarkStart w:id="1605" w:name="_Toc47457116"/>
      <w:r>
        <w:rPr>
          <w:rFonts w:hint="eastAsia" w:ascii="仿宋_GB2312" w:eastAsia="仿宋_GB2312"/>
          <w:b/>
          <w:sz w:val="30"/>
          <w:szCs w:val="30"/>
        </w:rPr>
        <w:t>交易方式</w:t>
      </w:r>
      <w:bookmarkEnd w:id="1601"/>
      <w:bookmarkEnd w:id="1602"/>
      <w:bookmarkEnd w:id="1603"/>
      <w:bookmarkEnd w:id="1604"/>
      <w:bookmarkEnd w:id="1605"/>
    </w:p>
    <w:p w14:paraId="69C6D3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可以采用点击成交、询价成交、协商成交、竞买成交或上交所认可的其他交易方式，经固定收益平台确认后成交，结算方式为逐笔全额结算方式。债券持有数量少于本所规定的最低申报数量的，持有人可以一次性申报卖出。</w:t>
      </w:r>
    </w:p>
    <w:p w14:paraId="51525F4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特定债券交易采用全价价格进行申报。</w:t>
      </w:r>
    </w:p>
    <w:p w14:paraId="7185B0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除此之外，特定债券其他申报安排和要素可参照本指南第5章</w:t>
      </w:r>
      <w:r>
        <w:rPr>
          <w:rFonts w:ascii="仿宋_GB2312" w:hAnsi="仿宋" w:eastAsia="仿宋_GB2312"/>
          <w:sz w:val="30"/>
          <w:szCs w:val="30"/>
        </w:rPr>
        <w:t>。</w:t>
      </w:r>
    </w:p>
    <w:p w14:paraId="3C4873CD">
      <w:pPr>
        <w:numPr>
          <w:ilvl w:val="2"/>
          <w:numId w:val="4"/>
        </w:numPr>
        <w:spacing w:line="600" w:lineRule="exact"/>
        <w:ind w:left="0" w:firstLine="0"/>
        <w:outlineLvl w:val="2"/>
        <w:rPr>
          <w:rFonts w:ascii="仿宋_GB2312" w:eastAsia="仿宋_GB2312"/>
          <w:b/>
          <w:sz w:val="30"/>
          <w:szCs w:val="30"/>
        </w:rPr>
      </w:pPr>
      <w:bookmarkStart w:id="1606" w:name="_Toc47451839"/>
      <w:bookmarkEnd w:id="1606"/>
      <w:bookmarkStart w:id="1607" w:name="_Toc47451454"/>
      <w:bookmarkEnd w:id="1607"/>
      <w:bookmarkStart w:id="1608" w:name="_Toc47451572"/>
      <w:bookmarkEnd w:id="1608"/>
      <w:bookmarkStart w:id="1609" w:name="_Toc47451453"/>
      <w:bookmarkEnd w:id="1609"/>
      <w:bookmarkStart w:id="1610" w:name="_Toc47455861"/>
      <w:bookmarkEnd w:id="1610"/>
      <w:bookmarkStart w:id="1611" w:name="_Toc47451840"/>
      <w:bookmarkEnd w:id="1611"/>
      <w:bookmarkStart w:id="1612" w:name="_Toc47452168"/>
      <w:bookmarkEnd w:id="1612"/>
      <w:bookmarkStart w:id="1613" w:name="_Toc47452169"/>
      <w:bookmarkEnd w:id="1613"/>
      <w:bookmarkStart w:id="1614" w:name="_Toc47451571"/>
      <w:bookmarkEnd w:id="1614"/>
      <w:bookmarkStart w:id="1615" w:name="_Toc47455860"/>
      <w:bookmarkEnd w:id="1615"/>
      <w:bookmarkStart w:id="1616" w:name="_Toc47457117"/>
      <w:bookmarkEnd w:id="1616"/>
      <w:bookmarkStart w:id="1617" w:name="_Toc47457118"/>
      <w:bookmarkEnd w:id="1617"/>
      <w:bookmarkStart w:id="1618" w:name="_Toc47455862"/>
      <w:bookmarkStart w:id="1619" w:name="_Toc47457119"/>
      <w:bookmarkStart w:id="1620" w:name="_Toc55318680"/>
      <w:bookmarkStart w:id="1621" w:name="_Toc46910506"/>
      <w:bookmarkStart w:id="1622" w:name="_Toc48742277"/>
      <w:r>
        <w:rPr>
          <w:rFonts w:hint="eastAsia" w:ascii="仿宋_GB2312" w:eastAsia="仿宋_GB2312"/>
          <w:b/>
          <w:sz w:val="30"/>
          <w:szCs w:val="30"/>
        </w:rPr>
        <w:t>终止转让</w:t>
      </w:r>
      <w:bookmarkEnd w:id="1618"/>
      <w:bookmarkEnd w:id="1619"/>
      <w:bookmarkEnd w:id="1620"/>
      <w:bookmarkEnd w:id="1621"/>
      <w:bookmarkEnd w:id="1622"/>
    </w:p>
    <w:p w14:paraId="47BBB1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特定债券根据偿付方案偿付完毕、终止上市挂牌、存在不适宜转让情形或本所认定的其他情形的，本所可以终止该特定债券转让。</w:t>
      </w:r>
    </w:p>
    <w:p w14:paraId="3E34C5B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消除不再适用特定转让情形且债券仍存续的，本所可以终止该债券的特定转让，并安排其继续上市或挂牌交易，债券投资者可通过债券信息网查阅发行人或受托管理人的相关公告。恢复正常交易后，其交易方式按照进特定转让板块前的交易方式处理</w:t>
      </w:r>
      <w:r>
        <w:rPr>
          <w:rFonts w:ascii="仿宋_GB2312" w:hAnsi="仿宋" w:eastAsia="仿宋_GB2312"/>
          <w:sz w:val="30"/>
          <w:szCs w:val="30"/>
        </w:rPr>
        <w:t>。</w:t>
      </w:r>
    </w:p>
    <w:p w14:paraId="1450AA3A">
      <w:pPr>
        <w:numPr>
          <w:ilvl w:val="1"/>
          <w:numId w:val="4"/>
        </w:numPr>
        <w:spacing w:line="600" w:lineRule="exact"/>
        <w:ind w:left="0" w:firstLine="0"/>
        <w:outlineLvl w:val="1"/>
        <w:rPr>
          <w:rFonts w:ascii="仿宋_GB2312" w:eastAsia="仿宋_GB2312"/>
          <w:b/>
          <w:sz w:val="30"/>
          <w:szCs w:val="30"/>
        </w:rPr>
      </w:pPr>
      <w:bookmarkStart w:id="1623" w:name="_Toc97819665"/>
      <w:bookmarkEnd w:id="1623"/>
      <w:bookmarkStart w:id="1624" w:name="_Toc151136911"/>
      <w:r>
        <w:rPr>
          <w:rFonts w:ascii="仿宋_GB2312" w:eastAsia="仿宋_GB2312"/>
          <w:b/>
          <w:sz w:val="30"/>
          <w:szCs w:val="30"/>
        </w:rPr>
        <w:t>盘中临时停牌</w:t>
      </w:r>
      <w:bookmarkEnd w:id="1624"/>
    </w:p>
    <w:p w14:paraId="275939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w:t>
      </w:r>
      <w:r>
        <w:rPr>
          <w:rFonts w:ascii="仿宋_GB2312" w:hAnsi="仿宋" w:eastAsia="仿宋_GB2312"/>
          <w:sz w:val="30"/>
          <w:szCs w:val="30"/>
        </w:rPr>
        <w:t>现券交易按照</w:t>
      </w:r>
      <w:r>
        <w:rPr>
          <w:rFonts w:hint="eastAsia" w:ascii="仿宋_GB2312" w:hAnsi="仿宋" w:eastAsia="仿宋_GB2312"/>
          <w:sz w:val="30"/>
          <w:szCs w:val="30"/>
        </w:rPr>
        <w:t>《关于债券</w:t>
      </w:r>
      <w:r>
        <w:rPr>
          <w:rFonts w:ascii="仿宋_GB2312" w:hAnsi="仿宋" w:eastAsia="仿宋_GB2312"/>
          <w:sz w:val="30"/>
          <w:szCs w:val="30"/>
        </w:rPr>
        <w:t>匹配成交</w:t>
      </w:r>
      <w:r>
        <w:rPr>
          <w:rFonts w:hint="eastAsia" w:ascii="仿宋_GB2312" w:hAnsi="仿宋" w:eastAsia="仿宋_GB2312"/>
          <w:sz w:val="30"/>
          <w:szCs w:val="30"/>
        </w:rPr>
        <w:t>盘中临时停牌及有关事项的</w:t>
      </w:r>
      <w:r>
        <w:rPr>
          <w:rFonts w:ascii="仿宋_GB2312" w:hAnsi="仿宋" w:eastAsia="仿宋_GB2312"/>
          <w:sz w:val="30"/>
          <w:szCs w:val="30"/>
        </w:rPr>
        <w:t>通知</w:t>
      </w:r>
      <w:r>
        <w:rPr>
          <w:rFonts w:hint="eastAsia" w:ascii="仿宋_GB2312" w:hAnsi="仿宋" w:eastAsia="仿宋_GB2312"/>
          <w:sz w:val="30"/>
          <w:szCs w:val="30"/>
        </w:rPr>
        <w:t>》的</w:t>
      </w:r>
      <w:r>
        <w:rPr>
          <w:rFonts w:ascii="仿宋_GB2312" w:hAnsi="仿宋" w:eastAsia="仿宋_GB2312"/>
          <w:sz w:val="30"/>
          <w:szCs w:val="30"/>
        </w:rPr>
        <w:t>相关规定，实施价格异常波动盘中临时停牌。</w:t>
      </w:r>
    </w:p>
    <w:p w14:paraId="665A4B56">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适用情形</w:t>
      </w:r>
    </w:p>
    <w:p w14:paraId="04E69CC6">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债券匹配</w:t>
      </w:r>
      <w:r>
        <w:rPr>
          <w:rFonts w:ascii="仿宋_GB2312" w:hAnsi="仿宋" w:eastAsia="仿宋_GB2312"/>
          <w:bCs/>
          <w:sz w:val="30"/>
          <w:szCs w:val="30"/>
        </w:rPr>
        <w:t>成交</w:t>
      </w:r>
      <w:r>
        <w:rPr>
          <w:rFonts w:hint="eastAsia" w:ascii="仿宋_GB2312" w:hAnsi="仿宋" w:eastAsia="仿宋_GB2312"/>
          <w:bCs/>
          <w:sz w:val="30"/>
          <w:szCs w:val="30"/>
        </w:rPr>
        <w:t>出现以下异常波动情形之一的，本所可以实施盘中临时停牌：</w:t>
      </w:r>
    </w:p>
    <w:p w14:paraId="5390B1C8">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（1</w:t>
      </w:r>
      <w:r>
        <w:rPr>
          <w:rFonts w:ascii="仿宋_GB2312" w:hAnsi="仿宋" w:eastAsia="仿宋_GB2312"/>
          <w:bCs/>
          <w:sz w:val="30"/>
          <w:szCs w:val="30"/>
        </w:rPr>
        <w:t>）</w:t>
      </w:r>
      <w:r>
        <w:rPr>
          <w:rFonts w:hint="eastAsia" w:ascii="仿宋_GB2312" w:hAnsi="仿宋" w:eastAsia="仿宋_GB2312"/>
          <w:bCs/>
          <w:sz w:val="30"/>
          <w:szCs w:val="30"/>
        </w:rPr>
        <w:t>国债、地方政府债券、政策性金融债券和</w:t>
      </w:r>
      <w:r>
        <w:rPr>
          <w:rFonts w:ascii="仿宋_GB2312" w:hAnsi="仿宋" w:eastAsia="仿宋_GB2312"/>
          <w:bCs/>
          <w:sz w:val="30"/>
          <w:szCs w:val="30"/>
        </w:rPr>
        <w:t>政府支持债券</w:t>
      </w:r>
      <w:r>
        <w:rPr>
          <w:rFonts w:hint="eastAsia" w:ascii="仿宋_GB2312" w:hAnsi="仿宋" w:eastAsia="仿宋_GB2312"/>
          <w:bCs/>
          <w:sz w:val="30"/>
          <w:szCs w:val="30"/>
        </w:rPr>
        <w:t>盘中成交价格较前收盘价首次上涨或下跌达到或超过10%的，临时停牌持续时间为30分钟，临时停牌时间跨越</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的，于当日</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复牌；较前收盘价首次上涨或下跌达到或超过20%的，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3CB66E52">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（2</w:t>
      </w:r>
      <w:r>
        <w:rPr>
          <w:rFonts w:ascii="仿宋_GB2312" w:hAnsi="仿宋" w:eastAsia="仿宋_GB2312"/>
          <w:bCs/>
          <w:sz w:val="30"/>
          <w:szCs w:val="30"/>
        </w:rPr>
        <w:t>）</w:t>
      </w:r>
      <w:r>
        <w:rPr>
          <w:rFonts w:hint="eastAsia" w:ascii="仿宋_GB2312" w:hAnsi="仿宋" w:eastAsia="仿宋_GB2312"/>
          <w:bCs/>
          <w:sz w:val="30"/>
          <w:szCs w:val="30"/>
        </w:rPr>
        <w:t>其他债券（不含上市公司发行的可转换公司债券）盘中成交价格较前收盘价首次上涨或下跌达到或超过20%的，临时停牌持续时间为30分钟，临时停牌时间跨越15:27的，于当日15:27复牌；较前收盘价首次上涨或下跌达到或超过30%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4A1875D9">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（3</w:t>
      </w:r>
      <w:r>
        <w:rPr>
          <w:rFonts w:ascii="仿宋_GB2312" w:hAnsi="仿宋" w:eastAsia="仿宋_GB2312"/>
          <w:bCs/>
          <w:sz w:val="30"/>
          <w:szCs w:val="30"/>
        </w:rPr>
        <w:t>）</w:t>
      </w:r>
      <w:r>
        <w:rPr>
          <w:rFonts w:hint="eastAsia" w:ascii="仿宋_GB2312" w:hAnsi="仿宋" w:eastAsia="仿宋_GB2312"/>
          <w:bCs/>
          <w:sz w:val="30"/>
          <w:szCs w:val="30"/>
        </w:rPr>
        <w:t>本所认为可以实施盘中临时停牌的其他情形。</w:t>
      </w:r>
    </w:p>
    <w:p w14:paraId="21BE0A4F">
      <w:pPr>
        <w:spacing w:line="600" w:lineRule="exact"/>
        <w:ind w:firstLine="602" w:firstLineChars="201"/>
        <w:rPr>
          <w:rFonts w:ascii="仿宋_GB2312" w:hAnsi="仿宋" w:eastAsia="仿宋_GB2312"/>
          <w:bCs/>
          <w:sz w:val="30"/>
          <w:szCs w:val="30"/>
        </w:rPr>
      </w:pPr>
      <w:r>
        <w:rPr>
          <w:rFonts w:hint="eastAsia" w:ascii="仿宋_GB2312" w:eastAsia="仿宋_GB2312"/>
          <w:sz w:val="30"/>
          <w:szCs w:val="30"/>
        </w:rPr>
        <w:t>本所可以视债券交易情况调整相关指标阈值，或者采取进一步的盘中风险控制措施。</w:t>
      </w:r>
    </w:p>
    <w:p w14:paraId="2D10840F">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临停公告</w:t>
      </w:r>
    </w:p>
    <w:p w14:paraId="52E6448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实施盘中临时停牌后，本所将通过官方网站（www.sse.com.cn）和卫星传输系统对外发布公告。</w:t>
      </w:r>
    </w:p>
    <w:p w14:paraId="2D71897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具体停复牌时间，以本所公告为准。</w:t>
      </w:r>
    </w:p>
    <w:p w14:paraId="67163319">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临停</w:t>
      </w:r>
      <w:r>
        <w:rPr>
          <w:rFonts w:ascii="仿宋_GB2312" w:hAnsi="仿宋" w:eastAsia="仿宋_GB2312"/>
          <w:b/>
          <w:bCs/>
          <w:sz w:val="30"/>
          <w:szCs w:val="30"/>
        </w:rPr>
        <w:t>期间申报撤销</w:t>
      </w:r>
    </w:p>
    <w:p w14:paraId="07A02727">
      <w:pPr>
        <w:spacing w:line="600" w:lineRule="exact"/>
        <w:ind w:firstLine="750" w:firstLineChars="250"/>
        <w:rPr>
          <w:rFonts w:ascii="仿宋_GB2312" w:hAnsi="仿宋" w:eastAsia="仿宋_GB2312"/>
          <w:bCs/>
          <w:sz w:val="30"/>
          <w:szCs w:val="30"/>
        </w:rPr>
      </w:pPr>
      <w:r>
        <w:rPr>
          <w:rFonts w:hint="eastAsia" w:ascii="仿宋_GB2312" w:hAnsi="仿宋" w:eastAsia="仿宋_GB2312"/>
          <w:bCs/>
          <w:sz w:val="30"/>
          <w:szCs w:val="30"/>
        </w:rPr>
        <w:t>投资者可以在盘中临时停牌期间撤销未成交的申报。</w:t>
      </w:r>
    </w:p>
    <w:p w14:paraId="5DF73CB1">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可转债</w:t>
      </w:r>
      <w:r>
        <w:rPr>
          <w:rFonts w:ascii="仿宋_GB2312" w:hAnsi="仿宋" w:eastAsia="仿宋_GB2312"/>
          <w:b/>
          <w:bCs/>
          <w:sz w:val="30"/>
          <w:szCs w:val="30"/>
        </w:rPr>
        <w:t>盘中临时停牌</w:t>
      </w:r>
    </w:p>
    <w:p w14:paraId="33CB0ED7">
      <w:pPr>
        <w:spacing w:line="600" w:lineRule="exact"/>
        <w:ind w:firstLine="750" w:firstLineChars="250"/>
        <w:rPr>
          <w:rFonts w:ascii="仿宋_GB2312" w:hAnsi="仿宋" w:eastAsia="仿宋_GB2312"/>
          <w:bCs/>
          <w:sz w:val="30"/>
          <w:szCs w:val="30"/>
        </w:rPr>
      </w:pPr>
      <w:r>
        <w:rPr>
          <w:rFonts w:hint="eastAsia" w:ascii="仿宋_GB2312" w:hAnsi="微软雅黑" w:eastAsia="仿宋_GB2312"/>
          <w:sz w:val="30"/>
          <w:szCs w:val="30"/>
        </w:rPr>
        <w:t>上市公司发行的可转换公司债券（</w:t>
      </w:r>
      <w:r>
        <w:rPr>
          <w:rFonts w:ascii="仿宋_GB2312" w:hAnsi="微软雅黑" w:eastAsia="仿宋_GB2312"/>
          <w:sz w:val="30"/>
          <w:szCs w:val="30"/>
        </w:rPr>
        <w:t>以下简称</w:t>
      </w:r>
      <w:r>
        <w:rPr>
          <w:rFonts w:hint="eastAsia" w:ascii="仿宋_GB2312" w:hAnsi="微软雅黑" w:eastAsia="仿宋_GB2312"/>
          <w:sz w:val="30"/>
          <w:szCs w:val="30"/>
        </w:rPr>
        <w:t>可转债）盘中临时停牌仍继续适用</w:t>
      </w:r>
      <w:r>
        <w:rPr>
          <w:rFonts w:hint="eastAsia" w:ascii="仿宋_GB2312" w:hAnsi="微软雅黑" w:eastAsia="仿宋_GB2312" w:cs="宋体"/>
          <w:kern w:val="0"/>
          <w:sz w:val="30"/>
          <w:szCs w:val="30"/>
        </w:rPr>
        <w:t>《上海证券交易所证券异常交易实时监控细则》</w:t>
      </w:r>
      <w:r>
        <w:rPr>
          <w:rFonts w:ascii="仿宋_GB2312" w:hAnsi="微软雅黑" w:eastAsia="仿宋_GB2312"/>
          <w:sz w:val="30"/>
          <w:szCs w:val="30"/>
        </w:rPr>
        <w:t>相关规定</w:t>
      </w:r>
      <w:r>
        <w:rPr>
          <w:rFonts w:hint="eastAsia" w:ascii="仿宋_GB2312" w:hAnsi="微软雅黑" w:eastAsia="仿宋_GB2312"/>
          <w:sz w:val="30"/>
          <w:szCs w:val="30"/>
        </w:rPr>
        <w:t>，待本所发布实施可转债专门规定之后，可转债盘中临时停牌将适用专门规定，具体时间由本所另行通知。</w:t>
      </w:r>
    </w:p>
    <w:p w14:paraId="7DFE6EAE">
      <w:pPr>
        <w:spacing w:line="600" w:lineRule="exact"/>
        <w:ind w:firstLine="602" w:firstLineChars="201"/>
        <w:rPr>
          <w:rFonts w:ascii="仿宋_GB2312" w:hAnsi="仿宋" w:eastAsia="仿宋_GB2312"/>
          <w:bCs/>
          <w:sz w:val="30"/>
          <w:szCs w:val="30"/>
        </w:rPr>
      </w:pPr>
    </w:p>
    <w:p w14:paraId="68C03AD6">
      <w:pPr>
        <w:spacing w:line="600" w:lineRule="exact"/>
        <w:rPr>
          <w:rFonts w:ascii="仿宋_GB2312" w:eastAsia="仿宋_GB2312"/>
          <w:sz w:val="30"/>
          <w:szCs w:val="30"/>
        </w:rPr>
      </w:pPr>
    </w:p>
    <w:p w14:paraId="403FB803">
      <w:pPr>
        <w:numPr>
          <w:ilvl w:val="0"/>
          <w:numId w:val="4"/>
        </w:numPr>
        <w:spacing w:line="600" w:lineRule="exact"/>
        <w:outlineLvl w:val="0"/>
        <w:rPr>
          <w:rFonts w:ascii="仿宋_GB2312" w:hAnsi="仿宋" w:eastAsia="仿宋_GB2312"/>
          <w:szCs w:val="30"/>
        </w:rPr>
      </w:pPr>
      <w:bookmarkStart w:id="1625" w:name="_Toc47451574"/>
      <w:bookmarkEnd w:id="1625"/>
      <w:bookmarkStart w:id="1626" w:name="_Toc60331865"/>
      <w:bookmarkEnd w:id="1626"/>
      <w:bookmarkStart w:id="1627" w:name="_Toc59181194"/>
      <w:bookmarkEnd w:id="1627"/>
      <w:bookmarkStart w:id="1628" w:name="_Toc59181310"/>
      <w:bookmarkEnd w:id="1628"/>
      <w:bookmarkStart w:id="1629" w:name="_Toc60327106"/>
      <w:bookmarkEnd w:id="1629"/>
      <w:bookmarkStart w:id="1630" w:name="_Toc60331872"/>
      <w:bookmarkEnd w:id="1630"/>
      <w:bookmarkStart w:id="1631" w:name="_Toc59106992"/>
      <w:bookmarkEnd w:id="1631"/>
      <w:bookmarkStart w:id="1632" w:name="_Toc47443767"/>
      <w:bookmarkEnd w:id="1632"/>
      <w:bookmarkStart w:id="1633" w:name="_Toc60331868"/>
      <w:bookmarkEnd w:id="1633"/>
      <w:bookmarkStart w:id="1634" w:name="_Toc59034579"/>
      <w:bookmarkEnd w:id="1634"/>
      <w:bookmarkStart w:id="1635" w:name="_Toc59106982"/>
      <w:bookmarkEnd w:id="1635"/>
      <w:bookmarkStart w:id="1636" w:name="_Toc59034103"/>
      <w:bookmarkEnd w:id="1636"/>
      <w:bookmarkStart w:id="1637" w:name="_Toc59181308"/>
      <w:bookmarkEnd w:id="1637"/>
      <w:bookmarkStart w:id="1638" w:name="_Toc47457123"/>
      <w:bookmarkEnd w:id="1638"/>
      <w:bookmarkStart w:id="1639" w:name="_Toc47457120"/>
      <w:bookmarkEnd w:id="1639"/>
      <w:bookmarkStart w:id="1640" w:name="_Toc60331869"/>
      <w:bookmarkEnd w:id="1640"/>
      <w:bookmarkStart w:id="1641" w:name="_Toc59181090"/>
      <w:bookmarkEnd w:id="1641"/>
      <w:bookmarkStart w:id="1642" w:name="_Toc47443191"/>
      <w:bookmarkEnd w:id="1642"/>
      <w:bookmarkStart w:id="1643" w:name="_Toc59181322"/>
      <w:bookmarkEnd w:id="1643"/>
      <w:bookmarkStart w:id="1644" w:name="_Toc59034105"/>
      <w:bookmarkEnd w:id="1644"/>
      <w:bookmarkStart w:id="1645" w:name="_Toc59181086"/>
      <w:bookmarkEnd w:id="1645"/>
      <w:bookmarkStart w:id="1646" w:name="_Toc60331858"/>
      <w:bookmarkEnd w:id="1646"/>
      <w:bookmarkStart w:id="1647" w:name="_Toc47443082"/>
      <w:bookmarkEnd w:id="1647"/>
      <w:bookmarkStart w:id="1648" w:name="_Toc59034581"/>
      <w:bookmarkEnd w:id="1648"/>
      <w:bookmarkStart w:id="1649" w:name="_Toc47443190"/>
      <w:bookmarkEnd w:id="1649"/>
      <w:bookmarkStart w:id="1650" w:name="_Toc47443084"/>
      <w:bookmarkEnd w:id="1650"/>
      <w:bookmarkStart w:id="1651" w:name="_Toc47366838"/>
      <w:bookmarkEnd w:id="1651"/>
      <w:bookmarkStart w:id="1652" w:name="_Toc59034099"/>
      <w:bookmarkEnd w:id="1652"/>
      <w:bookmarkStart w:id="1653" w:name="_Toc59034104"/>
      <w:bookmarkEnd w:id="1653"/>
      <w:bookmarkStart w:id="1654" w:name="_Toc59034108"/>
      <w:bookmarkEnd w:id="1654"/>
      <w:bookmarkStart w:id="1655" w:name="_Toc59181202"/>
      <w:bookmarkEnd w:id="1655"/>
      <w:bookmarkStart w:id="1656" w:name="_Toc60327103"/>
      <w:bookmarkEnd w:id="1656"/>
      <w:bookmarkStart w:id="1657" w:name="_Toc60331874"/>
      <w:bookmarkEnd w:id="1657"/>
      <w:bookmarkStart w:id="1658" w:name="_Toc59181312"/>
      <w:bookmarkEnd w:id="1658"/>
      <w:bookmarkStart w:id="1659" w:name="_Toc59181082"/>
      <w:bookmarkEnd w:id="1659"/>
      <w:bookmarkStart w:id="1660" w:name="_Toc47443765"/>
      <w:bookmarkEnd w:id="1660"/>
      <w:bookmarkStart w:id="1661" w:name="_Toc59034098"/>
      <w:bookmarkEnd w:id="1661"/>
      <w:bookmarkStart w:id="1662" w:name="_Toc59181201"/>
      <w:bookmarkEnd w:id="1662"/>
      <w:bookmarkStart w:id="1663" w:name="_Toc60327112"/>
      <w:bookmarkEnd w:id="1663"/>
      <w:bookmarkStart w:id="1664" w:name="_Toc47443764"/>
      <w:bookmarkEnd w:id="1664"/>
      <w:bookmarkStart w:id="1665" w:name="_Toc47443078"/>
      <w:bookmarkEnd w:id="1665"/>
      <w:bookmarkStart w:id="1666" w:name="_Toc59181321"/>
      <w:bookmarkEnd w:id="1666"/>
      <w:bookmarkStart w:id="1667" w:name="_Toc59181314"/>
      <w:bookmarkEnd w:id="1667"/>
      <w:bookmarkStart w:id="1668" w:name="_Toc59034109"/>
      <w:bookmarkEnd w:id="1668"/>
      <w:bookmarkStart w:id="1669" w:name="_Toc47455864"/>
      <w:bookmarkEnd w:id="1669"/>
      <w:bookmarkStart w:id="1670" w:name="_Toc59034584"/>
      <w:bookmarkEnd w:id="1670"/>
      <w:bookmarkStart w:id="1671" w:name="_Toc59181088"/>
      <w:bookmarkEnd w:id="1671"/>
      <w:bookmarkStart w:id="1672" w:name="_Toc59034578"/>
      <w:bookmarkEnd w:id="1672"/>
      <w:bookmarkStart w:id="1673" w:name="_Toc47457126"/>
      <w:bookmarkEnd w:id="1673"/>
      <w:bookmarkStart w:id="1674" w:name="_Toc59181098"/>
      <w:bookmarkEnd w:id="1674"/>
      <w:bookmarkStart w:id="1675" w:name="_Toc59106989"/>
      <w:bookmarkEnd w:id="1675"/>
      <w:bookmarkStart w:id="1676" w:name="_Toc59181195"/>
      <w:bookmarkEnd w:id="1676"/>
      <w:bookmarkStart w:id="1677" w:name="_Toc59181085"/>
      <w:bookmarkEnd w:id="1677"/>
      <w:bookmarkStart w:id="1678" w:name="_Toc47451578"/>
      <w:bookmarkEnd w:id="1678"/>
      <w:bookmarkStart w:id="1679" w:name="_Toc59034582"/>
      <w:bookmarkEnd w:id="1679"/>
      <w:bookmarkStart w:id="1680" w:name="_Toc60327109"/>
      <w:bookmarkEnd w:id="1680"/>
      <w:bookmarkStart w:id="1681" w:name="_Toc59181199"/>
      <w:bookmarkEnd w:id="1681"/>
      <w:bookmarkStart w:id="1682" w:name="_Toc47451462"/>
      <w:bookmarkEnd w:id="1682"/>
      <w:bookmarkStart w:id="1683" w:name="_Toc60331860"/>
      <w:bookmarkEnd w:id="1683"/>
      <w:bookmarkStart w:id="1684" w:name="_Toc59034587"/>
      <w:bookmarkEnd w:id="1684"/>
      <w:bookmarkStart w:id="1685" w:name="_Toc47451844"/>
      <w:bookmarkEnd w:id="1685"/>
      <w:bookmarkStart w:id="1686" w:name="_Toc47451459"/>
      <w:bookmarkEnd w:id="1686"/>
      <w:bookmarkStart w:id="1687" w:name="_Toc47443079"/>
      <w:bookmarkEnd w:id="1687"/>
      <w:bookmarkStart w:id="1688" w:name="_Toc59181306"/>
      <w:bookmarkEnd w:id="1688"/>
      <w:bookmarkStart w:id="1689" w:name="_Toc47451460"/>
      <w:bookmarkEnd w:id="1689"/>
      <w:bookmarkStart w:id="1690" w:name="_Toc59106987"/>
      <w:bookmarkEnd w:id="1690"/>
      <w:bookmarkStart w:id="1691" w:name="_Toc47451575"/>
      <w:bookmarkEnd w:id="1691"/>
      <w:bookmarkStart w:id="1692" w:name="_Toc59034106"/>
      <w:bookmarkEnd w:id="1692"/>
      <w:bookmarkStart w:id="1693" w:name="_Toc60327110"/>
      <w:bookmarkEnd w:id="1693"/>
      <w:bookmarkStart w:id="1694" w:name="_Toc59034586"/>
      <w:bookmarkEnd w:id="1694"/>
      <w:bookmarkStart w:id="1695" w:name="_Toc47452173"/>
      <w:bookmarkEnd w:id="1695"/>
      <w:bookmarkStart w:id="1696" w:name="_Toc60327102"/>
      <w:bookmarkEnd w:id="1696"/>
      <w:bookmarkStart w:id="1697" w:name="_Toc59181097"/>
      <w:bookmarkEnd w:id="1697"/>
      <w:bookmarkStart w:id="1698" w:name="_Toc47443083"/>
      <w:bookmarkEnd w:id="1698"/>
      <w:bookmarkStart w:id="1699" w:name="_Toc47451577"/>
      <w:bookmarkEnd w:id="1699"/>
      <w:bookmarkStart w:id="1700" w:name="_Toc60331862"/>
      <w:bookmarkEnd w:id="1700"/>
      <w:bookmarkStart w:id="1701" w:name="_Toc59106984"/>
      <w:bookmarkEnd w:id="1701"/>
      <w:bookmarkStart w:id="1702" w:name="_Toc59181317"/>
      <w:bookmarkEnd w:id="1702"/>
      <w:bookmarkStart w:id="1703" w:name="_Toc47455865"/>
      <w:bookmarkEnd w:id="1703"/>
      <w:bookmarkStart w:id="1704" w:name="_Toc59181316"/>
      <w:bookmarkEnd w:id="1704"/>
      <w:bookmarkStart w:id="1705" w:name="_Toc59181084"/>
      <w:bookmarkEnd w:id="1705"/>
      <w:bookmarkStart w:id="1706" w:name="_Toc47451580"/>
      <w:bookmarkEnd w:id="1706"/>
      <w:bookmarkStart w:id="1707" w:name="_Toc59181323"/>
      <w:bookmarkEnd w:id="1707"/>
      <w:bookmarkStart w:id="1708" w:name="_Toc59181198"/>
      <w:bookmarkEnd w:id="1708"/>
      <w:bookmarkStart w:id="1709" w:name="_Toc47443195"/>
      <w:bookmarkEnd w:id="1709"/>
      <w:bookmarkStart w:id="1710" w:name="_Toc47455869"/>
      <w:bookmarkEnd w:id="1710"/>
      <w:bookmarkStart w:id="1711" w:name="_Toc47451847"/>
      <w:bookmarkEnd w:id="1711"/>
      <w:bookmarkStart w:id="1712" w:name="_Toc59181099"/>
      <w:bookmarkEnd w:id="1712"/>
      <w:bookmarkStart w:id="1713" w:name="_Toc60327100"/>
      <w:bookmarkEnd w:id="1713"/>
      <w:bookmarkStart w:id="1714" w:name="_Toc59034577"/>
      <w:bookmarkEnd w:id="1714"/>
      <w:bookmarkStart w:id="1715" w:name="_Toc47451576"/>
      <w:bookmarkEnd w:id="1715"/>
      <w:bookmarkStart w:id="1716" w:name="_Toc47443761"/>
      <w:bookmarkEnd w:id="1716"/>
      <w:bookmarkStart w:id="1717" w:name="_Toc60327111"/>
      <w:bookmarkEnd w:id="1717"/>
      <w:bookmarkStart w:id="1718" w:name="_Toc59181315"/>
      <w:bookmarkEnd w:id="1718"/>
      <w:bookmarkStart w:id="1719" w:name="_Toc59181320"/>
      <w:bookmarkEnd w:id="1719"/>
      <w:bookmarkStart w:id="1720" w:name="_Toc47372639"/>
      <w:bookmarkEnd w:id="1720"/>
      <w:bookmarkStart w:id="1721" w:name="_Toc60327115"/>
      <w:bookmarkEnd w:id="1721"/>
      <w:bookmarkStart w:id="1722" w:name="_Toc60327107"/>
      <w:bookmarkEnd w:id="1722"/>
      <w:bookmarkStart w:id="1723" w:name="_Toc59034107"/>
      <w:bookmarkEnd w:id="1723"/>
      <w:bookmarkStart w:id="1724" w:name="_Toc60331873"/>
      <w:bookmarkEnd w:id="1724"/>
      <w:bookmarkStart w:id="1725" w:name="_Toc47457121"/>
      <w:bookmarkEnd w:id="1725"/>
      <w:bookmarkStart w:id="1726" w:name="_Toc59181309"/>
      <w:bookmarkEnd w:id="1726"/>
      <w:bookmarkStart w:id="1727" w:name="_Toc59034101"/>
      <w:bookmarkEnd w:id="1727"/>
      <w:bookmarkStart w:id="1728" w:name="_Toc59181087"/>
      <w:bookmarkEnd w:id="1728"/>
      <w:bookmarkStart w:id="1729" w:name="_Toc59106991"/>
      <w:bookmarkEnd w:id="1729"/>
      <w:bookmarkStart w:id="1730" w:name="_Toc60331864"/>
      <w:bookmarkEnd w:id="1730"/>
      <w:bookmarkStart w:id="1731" w:name="_Toc47372642"/>
      <w:bookmarkEnd w:id="1731"/>
      <w:bookmarkStart w:id="1732" w:name="_Toc59181205"/>
      <w:bookmarkEnd w:id="1732"/>
      <w:bookmarkStart w:id="1733" w:name="_Toc59181091"/>
      <w:bookmarkEnd w:id="1733"/>
      <w:bookmarkStart w:id="1734" w:name="_Toc47455866"/>
      <w:bookmarkEnd w:id="1734"/>
      <w:bookmarkStart w:id="1735" w:name="_Toc59034102"/>
      <w:bookmarkEnd w:id="1735"/>
      <w:bookmarkStart w:id="1736" w:name="_Toc59106986"/>
      <w:bookmarkEnd w:id="1736"/>
      <w:bookmarkStart w:id="1737" w:name="_Toc47443766"/>
      <w:bookmarkEnd w:id="1737"/>
      <w:bookmarkStart w:id="1738" w:name="_Toc47452174"/>
      <w:bookmarkEnd w:id="1738"/>
      <w:bookmarkStart w:id="1739" w:name="_Toc59181318"/>
      <w:bookmarkEnd w:id="1739"/>
      <w:bookmarkStart w:id="1740" w:name="_Toc60327117"/>
      <w:bookmarkEnd w:id="1740"/>
      <w:bookmarkStart w:id="1741" w:name="_Toc60331857"/>
      <w:bookmarkEnd w:id="1741"/>
      <w:bookmarkStart w:id="1742" w:name="_Toc47452177"/>
      <w:bookmarkEnd w:id="1742"/>
      <w:bookmarkStart w:id="1743" w:name="_Toc60331871"/>
      <w:bookmarkEnd w:id="1743"/>
      <w:bookmarkStart w:id="1744" w:name="_Toc59034576"/>
      <w:bookmarkEnd w:id="1744"/>
      <w:bookmarkStart w:id="1745" w:name="_Toc47452175"/>
      <w:bookmarkEnd w:id="1745"/>
      <w:bookmarkStart w:id="1746" w:name="_Toc59106981"/>
      <w:bookmarkEnd w:id="1746"/>
      <w:bookmarkStart w:id="1747" w:name="_Toc59181206"/>
      <w:bookmarkEnd w:id="1747"/>
      <w:bookmarkStart w:id="1748" w:name="_Toc59106983"/>
      <w:bookmarkEnd w:id="1748"/>
      <w:bookmarkStart w:id="1749" w:name="_Toc47451579"/>
      <w:bookmarkEnd w:id="1749"/>
      <w:bookmarkStart w:id="1750" w:name="_Toc59181209"/>
      <w:bookmarkEnd w:id="1750"/>
      <w:bookmarkStart w:id="1751" w:name="_Toc60327105"/>
      <w:bookmarkEnd w:id="1751"/>
      <w:bookmarkStart w:id="1752" w:name="_Toc47451845"/>
      <w:bookmarkEnd w:id="1752"/>
      <w:bookmarkStart w:id="1753" w:name="_Toc47443194"/>
      <w:bookmarkEnd w:id="1753"/>
      <w:bookmarkStart w:id="1754" w:name="_Toc47457122"/>
      <w:bookmarkEnd w:id="1754"/>
      <w:bookmarkStart w:id="1755" w:name="_Toc47443080"/>
      <w:bookmarkEnd w:id="1755"/>
      <w:bookmarkStart w:id="1756" w:name="_Toc59181093"/>
      <w:bookmarkEnd w:id="1756"/>
      <w:bookmarkStart w:id="1757" w:name="_Toc47455863"/>
      <w:bookmarkEnd w:id="1757"/>
      <w:bookmarkStart w:id="1758" w:name="_Toc47457125"/>
      <w:bookmarkEnd w:id="1758"/>
      <w:bookmarkStart w:id="1759" w:name="_Toc60331863"/>
      <w:bookmarkEnd w:id="1759"/>
      <w:bookmarkStart w:id="1760" w:name="_Toc60327101"/>
      <w:bookmarkEnd w:id="1760"/>
      <w:bookmarkStart w:id="1761" w:name="_Toc47451461"/>
      <w:bookmarkEnd w:id="1761"/>
      <w:bookmarkStart w:id="1762" w:name="_Toc59181089"/>
      <w:bookmarkEnd w:id="1762"/>
      <w:bookmarkStart w:id="1763" w:name="_Toc59181208"/>
      <w:bookmarkEnd w:id="1763"/>
      <w:bookmarkStart w:id="1764" w:name="_Toc60327116"/>
      <w:bookmarkEnd w:id="1764"/>
      <w:bookmarkStart w:id="1765" w:name="_Toc60327114"/>
      <w:bookmarkEnd w:id="1765"/>
      <w:bookmarkStart w:id="1766" w:name="_Toc60331859"/>
      <w:bookmarkEnd w:id="1766"/>
      <w:bookmarkStart w:id="1767" w:name="_Toc47451456"/>
      <w:bookmarkEnd w:id="1767"/>
      <w:bookmarkStart w:id="1768" w:name="_Toc59034583"/>
      <w:bookmarkEnd w:id="1768"/>
      <w:bookmarkStart w:id="1769" w:name="_Toc59181307"/>
      <w:bookmarkEnd w:id="1769"/>
      <w:bookmarkStart w:id="1770" w:name="_Toc59181211"/>
      <w:bookmarkEnd w:id="1770"/>
      <w:bookmarkStart w:id="1771" w:name="_Toc59034585"/>
      <w:bookmarkEnd w:id="1771"/>
      <w:bookmarkStart w:id="1772" w:name="_Toc59181094"/>
      <w:bookmarkEnd w:id="1772"/>
      <w:bookmarkStart w:id="1773" w:name="_Toc59106988"/>
      <w:bookmarkEnd w:id="1773"/>
      <w:bookmarkStart w:id="1774" w:name="_Toc47452172"/>
      <w:bookmarkEnd w:id="1774"/>
      <w:bookmarkStart w:id="1775" w:name="_Toc47451842"/>
      <w:bookmarkEnd w:id="1775"/>
      <w:bookmarkStart w:id="1776" w:name="_Toc47443189"/>
      <w:bookmarkEnd w:id="1776"/>
      <w:bookmarkStart w:id="1777" w:name="_Toc59181197"/>
      <w:bookmarkEnd w:id="1777"/>
      <w:bookmarkStart w:id="1778" w:name="_Toc59034580"/>
      <w:bookmarkEnd w:id="1778"/>
      <w:bookmarkStart w:id="1779" w:name="_Toc47451846"/>
      <w:bookmarkEnd w:id="1779"/>
      <w:bookmarkStart w:id="1780" w:name="_Toc60331867"/>
      <w:bookmarkEnd w:id="1780"/>
      <w:bookmarkStart w:id="1781" w:name="_Toc59106990"/>
      <w:bookmarkEnd w:id="1781"/>
      <w:bookmarkStart w:id="1782" w:name="_Toc59181096"/>
      <w:bookmarkEnd w:id="1782"/>
      <w:bookmarkStart w:id="1783" w:name="_Toc47455868"/>
      <w:bookmarkEnd w:id="1783"/>
      <w:bookmarkStart w:id="1784" w:name="_Toc59181092"/>
      <w:bookmarkEnd w:id="1784"/>
      <w:bookmarkStart w:id="1785" w:name="_Toc60327108"/>
      <w:bookmarkEnd w:id="1785"/>
      <w:bookmarkStart w:id="1786" w:name="_Toc47451848"/>
      <w:bookmarkEnd w:id="1786"/>
      <w:bookmarkStart w:id="1787" w:name="_Toc47372641"/>
      <w:bookmarkEnd w:id="1787"/>
      <w:bookmarkStart w:id="1788" w:name="_Toc47443081"/>
      <w:bookmarkEnd w:id="1788"/>
      <w:bookmarkStart w:id="1789" w:name="_Toc59181311"/>
      <w:bookmarkEnd w:id="1789"/>
      <w:bookmarkStart w:id="1790" w:name="_Toc47443192"/>
      <w:bookmarkEnd w:id="1790"/>
      <w:bookmarkStart w:id="1791" w:name="_Toc47366839"/>
      <w:bookmarkEnd w:id="1791"/>
      <w:bookmarkStart w:id="1792" w:name="_Toc47451843"/>
      <w:bookmarkEnd w:id="1792"/>
      <w:bookmarkStart w:id="1793" w:name="_Toc47452176"/>
      <w:bookmarkEnd w:id="1793"/>
      <w:bookmarkStart w:id="1794" w:name="_Toc59181204"/>
      <w:bookmarkEnd w:id="1794"/>
      <w:bookmarkStart w:id="1795" w:name="_Toc47452171"/>
      <w:bookmarkEnd w:id="1795"/>
      <w:bookmarkStart w:id="1796" w:name="_Toc59106980"/>
      <w:bookmarkEnd w:id="1796"/>
      <w:bookmarkStart w:id="1797" w:name="_Toc59181203"/>
      <w:bookmarkEnd w:id="1797"/>
      <w:bookmarkStart w:id="1798" w:name="_Toc60331866"/>
      <w:bookmarkEnd w:id="1798"/>
      <w:bookmarkStart w:id="1799" w:name="_Toc59106985"/>
      <w:bookmarkEnd w:id="1799"/>
      <w:bookmarkStart w:id="1800" w:name="_Toc59181083"/>
      <w:bookmarkEnd w:id="1800"/>
      <w:bookmarkStart w:id="1801" w:name="_Toc47443193"/>
      <w:bookmarkEnd w:id="1801"/>
      <w:bookmarkStart w:id="1802" w:name="_Toc59181313"/>
      <w:bookmarkEnd w:id="1802"/>
      <w:bookmarkStart w:id="1803" w:name="_Toc59181196"/>
      <w:bookmarkEnd w:id="1803"/>
      <w:bookmarkStart w:id="1804" w:name="_Toc47443762"/>
      <w:bookmarkEnd w:id="1804"/>
      <w:bookmarkStart w:id="1805" w:name="_Toc47451458"/>
      <w:bookmarkEnd w:id="1805"/>
      <w:bookmarkStart w:id="1806" w:name="_Toc60331861"/>
      <w:bookmarkEnd w:id="1806"/>
      <w:bookmarkStart w:id="1807" w:name="_Toc59034097"/>
      <w:bookmarkEnd w:id="1807"/>
      <w:bookmarkStart w:id="1808" w:name="_Toc47457124"/>
      <w:bookmarkEnd w:id="1808"/>
      <w:bookmarkStart w:id="1809" w:name="_Toc47443763"/>
      <w:bookmarkEnd w:id="1809"/>
      <w:bookmarkStart w:id="1810" w:name="_Toc59034100"/>
      <w:bookmarkEnd w:id="1810"/>
      <w:bookmarkStart w:id="1811" w:name="_Toc59034588"/>
      <w:bookmarkEnd w:id="1811"/>
      <w:bookmarkStart w:id="1812" w:name="_Toc47372640"/>
      <w:bookmarkEnd w:id="1812"/>
      <w:bookmarkStart w:id="1813" w:name="_Toc59181200"/>
      <w:bookmarkEnd w:id="1813"/>
      <w:bookmarkStart w:id="1814" w:name="_Toc47451457"/>
      <w:bookmarkEnd w:id="1814"/>
      <w:bookmarkStart w:id="1815" w:name="_Toc47455867"/>
      <w:bookmarkEnd w:id="1815"/>
      <w:bookmarkStart w:id="1816" w:name="_Toc60327104"/>
      <w:bookmarkEnd w:id="1816"/>
      <w:bookmarkStart w:id="1817" w:name="_Toc59181210"/>
      <w:bookmarkEnd w:id="1817"/>
      <w:bookmarkStart w:id="1818" w:name="_Toc56166281"/>
      <w:bookmarkStart w:id="1819" w:name="_Toc56166092"/>
      <w:bookmarkStart w:id="1820" w:name="_Toc35006352"/>
      <w:bookmarkStart w:id="1821" w:name="_Toc24460045"/>
      <w:r>
        <w:rPr>
          <w:b/>
          <w:sz w:val="36"/>
        </w:rPr>
        <w:br w:type="page"/>
      </w:r>
      <w:bookmarkStart w:id="1822" w:name="_Toc151136912"/>
      <w:r>
        <w:rPr>
          <w:rFonts w:hint="eastAsia" w:ascii="黑体" w:hAnsi="黑体" w:eastAsia="黑体" w:cs="黑体"/>
          <w:b/>
          <w:sz w:val="36"/>
        </w:rPr>
        <w:t>债券回购交易</w:t>
      </w:r>
      <w:bookmarkEnd w:id="1818"/>
      <w:bookmarkEnd w:id="1819"/>
      <w:bookmarkEnd w:id="1822"/>
    </w:p>
    <w:p w14:paraId="42A7BA0E">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本指南所称债券回购交易是指资金融入方（正回购方）将债券出质以从资金融出方（逆</w:t>
      </w:r>
      <w:r>
        <w:rPr>
          <w:rFonts w:ascii="仿宋_GB2312" w:hAnsi="Calibri" w:eastAsia="仿宋_GB2312"/>
          <w:sz w:val="30"/>
          <w:szCs w:val="30"/>
        </w:rPr>
        <w:tab/>
      </w:r>
      <w:r>
        <w:rPr>
          <w:rFonts w:hint="eastAsia" w:ascii="仿宋_GB2312" w:hAnsi="Calibri" w:eastAsia="仿宋_GB2312"/>
          <w:sz w:val="30"/>
          <w:szCs w:val="30"/>
        </w:rPr>
        <w:t>回购方）融入资金，并约定到期解除质押返还资金的交易。</w:t>
      </w:r>
    </w:p>
    <w:p w14:paraId="624E2CB4">
      <w:pPr>
        <w:numPr>
          <w:ilvl w:val="1"/>
          <w:numId w:val="4"/>
        </w:numPr>
        <w:spacing w:line="600" w:lineRule="exact"/>
        <w:ind w:left="0" w:firstLine="0"/>
        <w:outlineLvl w:val="1"/>
        <w:rPr>
          <w:rFonts w:ascii="仿宋_GB2312" w:eastAsia="仿宋_GB2312"/>
          <w:b/>
          <w:sz w:val="30"/>
          <w:szCs w:val="30"/>
        </w:rPr>
      </w:pPr>
      <w:bookmarkStart w:id="1823" w:name="_Toc151136913"/>
      <w:bookmarkStart w:id="1824" w:name="_Toc56166282"/>
      <w:bookmarkStart w:id="1825" w:name="_Toc56166093"/>
      <w:r>
        <w:rPr>
          <w:rFonts w:hint="eastAsia" w:ascii="仿宋_GB2312" w:eastAsia="仿宋_GB2312"/>
          <w:b/>
          <w:sz w:val="30"/>
          <w:szCs w:val="30"/>
        </w:rPr>
        <w:t>一般规定</w:t>
      </w:r>
      <w:bookmarkEnd w:id="1823"/>
    </w:p>
    <w:p w14:paraId="33CC1066">
      <w:pPr>
        <w:numPr>
          <w:ilvl w:val="2"/>
          <w:numId w:val="4"/>
        </w:numPr>
        <w:spacing w:line="600" w:lineRule="exact"/>
        <w:ind w:left="0" w:firstLine="0"/>
        <w:outlineLvl w:val="2"/>
        <w:rPr>
          <w:rFonts w:ascii="仿宋_GB2312" w:eastAsia="仿宋_GB2312"/>
          <w:b/>
          <w:sz w:val="30"/>
          <w:szCs w:val="30"/>
        </w:rPr>
      </w:pPr>
      <w:bookmarkStart w:id="1826" w:name="_Toc57908928"/>
      <w:r>
        <w:rPr>
          <w:rFonts w:hint="eastAsia" w:ascii="仿宋_GB2312" w:eastAsia="仿宋_GB2312"/>
          <w:b/>
          <w:sz w:val="30"/>
          <w:szCs w:val="30"/>
        </w:rPr>
        <w:t>回购类型</w:t>
      </w:r>
      <w:bookmarkEnd w:id="1824"/>
      <w:bookmarkEnd w:id="1825"/>
      <w:bookmarkEnd w:id="1826"/>
    </w:p>
    <w:p w14:paraId="136070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本指南所称债券回购交易包括通用回购、协议回购与三方回购。</w:t>
      </w:r>
    </w:p>
    <w:p w14:paraId="6818EA72">
      <w:pPr>
        <w:adjustRightInd w:val="0"/>
        <w:snapToGrid w:val="0"/>
        <w:spacing w:line="600" w:lineRule="exact"/>
        <w:ind w:firstLine="600"/>
        <w:rPr>
          <w:rFonts w:ascii="仿宋_GB2312" w:hAnsi="Calibri" w:eastAsia="仿宋_GB2312"/>
          <w:color w:val="000000"/>
          <w:sz w:val="30"/>
          <w:szCs w:val="30"/>
        </w:rPr>
      </w:pPr>
      <w:r>
        <w:rPr>
          <w:rFonts w:hint="eastAsia" w:ascii="仿宋_GB2312" w:eastAsia="仿宋_GB2312"/>
          <w:color w:val="000000"/>
          <w:sz w:val="30"/>
          <w:szCs w:val="30"/>
        </w:rPr>
        <w:t>通用回购交易指资金融入方</w:t>
      </w:r>
      <w:r>
        <w:rPr>
          <w:rFonts w:hint="eastAsia" w:ascii="仿宋_GB2312" w:hAnsi="Calibri" w:eastAsia="仿宋_GB2312"/>
          <w:sz w:val="30"/>
          <w:szCs w:val="30"/>
        </w:rPr>
        <w:t>（正回购方）</w:t>
      </w:r>
      <w:r>
        <w:rPr>
          <w:rFonts w:hint="eastAsia" w:ascii="仿宋_GB2312" w:eastAsia="仿宋_GB2312"/>
          <w:color w:val="000000"/>
          <w:sz w:val="30"/>
          <w:szCs w:val="30"/>
        </w:rPr>
        <w:t>将符合要求的债券申报质押，以相应折算率计算出的质押券价值为融资额度进行质押融资，交易双方约定在回购期满后返还资金同时解除债券质押的交易。</w:t>
      </w:r>
    </w:p>
    <w:p w14:paraId="0B7728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协议回购是指回购双方自主协商约定，由资金融入方（正回购方）将债券出质给资金融出方（逆回购方）融入资金，并在未来返还资金和支付回购利息，同时解除债券质押登记的交易。</w:t>
      </w:r>
    </w:p>
    <w:p w14:paraId="6930F72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是指资金融入方（正回购方）将债券出质给资金融出方（逆回购方）以融入资金，约定在未来返还资金和支付回购利息，同时解除债券质押，并由本所、证券登记结算等提供相关的担保品管理服务的交易。在三方回购交易中，回购双方在交易环节主要协商回购交易的金额、期限、利率、质押券篮子等基本要素，双方可不指定具体质押券及折扣率，质押券由登记结算机构根据相关规则及约定事后选取并进行存续期管理。</w:t>
      </w:r>
    </w:p>
    <w:p w14:paraId="5C0193E3">
      <w:pPr>
        <w:numPr>
          <w:ilvl w:val="2"/>
          <w:numId w:val="4"/>
        </w:numPr>
        <w:spacing w:line="600" w:lineRule="exact"/>
        <w:ind w:left="0" w:firstLine="0"/>
        <w:outlineLvl w:val="2"/>
        <w:rPr>
          <w:rFonts w:ascii="仿宋_GB2312" w:eastAsia="仿宋_GB2312"/>
          <w:b/>
          <w:sz w:val="30"/>
          <w:szCs w:val="30"/>
        </w:rPr>
      </w:pPr>
      <w:bookmarkStart w:id="1827" w:name="_Toc56166094"/>
      <w:bookmarkStart w:id="1828" w:name="_Toc56166283"/>
      <w:bookmarkStart w:id="1829" w:name="_Toc57908929"/>
      <w:r>
        <w:rPr>
          <w:rFonts w:hint="eastAsia" w:ascii="仿宋_GB2312" w:eastAsia="仿宋_GB2312"/>
          <w:b/>
          <w:sz w:val="30"/>
          <w:szCs w:val="30"/>
        </w:rPr>
        <w:t>交易</w:t>
      </w:r>
      <w:bookmarkEnd w:id="1827"/>
      <w:bookmarkEnd w:id="1828"/>
      <w:bookmarkEnd w:id="1829"/>
    </w:p>
    <w:p w14:paraId="1E17D6E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通用回购交易暂仅采用匹配成交方式达成交易，协议回购交易及三方回购交易暂仅可发起意向申报并采用协商成交方式达成交易，其他交易方式实施时间由本所另行通知。</w:t>
      </w:r>
    </w:p>
    <w:p w14:paraId="30251E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债券回购具体交易事宜，详见本章第7.2、7.3、7.4节。</w:t>
      </w:r>
    </w:p>
    <w:p w14:paraId="2B78D7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回购数据报送</w:t>
      </w:r>
    </w:p>
    <w:p w14:paraId="1D172EBE">
      <w:pPr>
        <w:adjustRightInd w:val="0"/>
        <w:snapToGrid w:val="0"/>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本所及证券登记结算机构就债券回购建立回购融资主体的数据报送与监测机制。回购参与主体应当加强回购风险的监测与评估，定期向本所报送其主体信息及相关业务数据。</w:t>
      </w:r>
    </w:p>
    <w:p w14:paraId="52F2F494">
      <w:pPr>
        <w:adjustRightInd w:val="0"/>
        <w:snapToGrid w:val="0"/>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回购数据的报送内容及报送方式由本所及证券登记结算机构另行规定。</w:t>
      </w:r>
    </w:p>
    <w:p w14:paraId="719D0AC3">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Calibri" w:eastAsia="仿宋_GB2312"/>
          <w:b/>
          <w:kern w:val="0"/>
          <w:sz w:val="30"/>
          <w:szCs w:val="30"/>
        </w:rPr>
        <w:t>担保品处置</w:t>
      </w:r>
    </w:p>
    <w:p w14:paraId="3EF8F6B7">
      <w:pPr>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债券回购业务</w:t>
      </w:r>
      <w:r>
        <w:rPr>
          <w:rFonts w:hint="eastAsia" w:ascii="仿宋_GB2312" w:eastAsia="仿宋_GB2312"/>
          <w:sz w:val="30"/>
          <w:szCs w:val="30"/>
        </w:rPr>
        <w:t>出现支付违约或其他双方约定情形后，质权人（以下简称处置方）可根据与出质人的约定，通过本所建立的债券担保品处置平台（以下简称处置平台）对债券担保品（以下简称担保品）进行处置。</w:t>
      </w:r>
    </w:p>
    <w:p w14:paraId="39721264">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担保品处置平台的地址为https://bond.uap.sse.com.cn。</w:t>
      </w:r>
    </w:p>
    <w:p w14:paraId="25F5583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（1）处置标的</w:t>
      </w:r>
    </w:p>
    <w:p w14:paraId="3C2FCD6C">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处置平台可以支持的处置品种包括在指定登记结算机构存管并按规定办理担保的各类担保品，包括但不限于国债、地方政府债券、金融债、公司债券、可转债、资产支持证券以及本所认可的其他债券。本所可以调整通过处置平台处置的担保品范围。</w:t>
      </w:r>
    </w:p>
    <w:p w14:paraId="38C73EE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eastAsia="仿宋_GB2312"/>
          <w:sz w:val="30"/>
          <w:szCs w:val="30"/>
        </w:rPr>
        <w:t>（2）参与主体</w:t>
      </w:r>
    </w:p>
    <w:p w14:paraId="5E7FF091">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证券登记结算机构、协议回购的逆回购方、三方回购的逆回购方以及本所认可的其他机构可以申请通过处置平台对债券担保品进行处置。参加担保品处置平台报价的主体应当为合格报价团成员，符合下列条件之一的机构可以向本所申请加入合格报价团：</w:t>
      </w:r>
    </w:p>
    <w:p w14:paraId="7F663487">
      <w:pPr>
        <w:spacing w:line="540" w:lineRule="exact"/>
        <w:ind w:firstLine="600" w:firstLineChars="200"/>
        <w:rPr>
          <w:rFonts w:ascii="仿宋_GB2312" w:eastAsia="仿宋_GB2312"/>
          <w:sz w:val="30"/>
          <w:szCs w:val="30"/>
        </w:rPr>
      </w:pPr>
      <w:r>
        <w:rPr>
          <w:rFonts w:hint="eastAsia" w:ascii="仿宋_GB2312" w:eastAsia="仿宋_GB2312"/>
          <w:sz w:val="30"/>
          <w:szCs w:val="30"/>
        </w:rPr>
        <w:t>1）商业银行；</w:t>
      </w:r>
    </w:p>
    <w:p w14:paraId="6ADD81E1">
      <w:pPr>
        <w:spacing w:line="540" w:lineRule="exact"/>
        <w:ind w:firstLine="600" w:firstLineChars="200"/>
        <w:rPr>
          <w:rFonts w:ascii="仿宋_GB2312" w:eastAsia="仿宋_GB2312"/>
          <w:sz w:val="30"/>
          <w:szCs w:val="30"/>
        </w:rPr>
      </w:pPr>
      <w:r>
        <w:rPr>
          <w:rFonts w:hint="eastAsia" w:ascii="仿宋_GB2312" w:eastAsia="仿宋_GB2312"/>
          <w:sz w:val="30"/>
          <w:szCs w:val="30"/>
        </w:rPr>
        <w:t>2）证券公司；</w:t>
      </w:r>
    </w:p>
    <w:p w14:paraId="6D45EF2A">
      <w:pPr>
        <w:spacing w:line="540" w:lineRule="exact"/>
        <w:ind w:firstLine="600" w:firstLineChars="200"/>
        <w:rPr>
          <w:rFonts w:ascii="仿宋_GB2312" w:eastAsia="仿宋_GB2312"/>
          <w:sz w:val="30"/>
          <w:szCs w:val="30"/>
        </w:rPr>
      </w:pPr>
      <w:r>
        <w:rPr>
          <w:rFonts w:hint="eastAsia" w:ascii="仿宋_GB2312" w:eastAsia="仿宋_GB2312"/>
          <w:sz w:val="30"/>
          <w:szCs w:val="30"/>
        </w:rPr>
        <w:t>3）保险公司；</w:t>
      </w:r>
    </w:p>
    <w:p w14:paraId="68EB6188">
      <w:pPr>
        <w:spacing w:line="540" w:lineRule="exact"/>
        <w:ind w:firstLine="600" w:firstLineChars="200"/>
        <w:rPr>
          <w:rFonts w:ascii="仿宋_GB2312" w:eastAsia="仿宋_GB2312"/>
          <w:sz w:val="30"/>
          <w:szCs w:val="30"/>
        </w:rPr>
      </w:pPr>
      <w:r>
        <w:rPr>
          <w:rFonts w:hint="eastAsia" w:ascii="仿宋_GB2312" w:eastAsia="仿宋_GB2312"/>
          <w:sz w:val="30"/>
          <w:szCs w:val="30"/>
        </w:rPr>
        <w:t>4）上年末资产管理规模超过1000亿元人民币的资产管理机构；</w:t>
      </w:r>
    </w:p>
    <w:p w14:paraId="23A3C20B">
      <w:pPr>
        <w:spacing w:line="540" w:lineRule="exact"/>
        <w:ind w:firstLine="600" w:firstLineChars="200"/>
        <w:rPr>
          <w:rFonts w:ascii="仿宋_GB2312" w:eastAsia="仿宋_GB2312"/>
          <w:sz w:val="30"/>
          <w:szCs w:val="30"/>
        </w:rPr>
      </w:pPr>
      <w:r>
        <w:rPr>
          <w:rFonts w:hint="eastAsia" w:ascii="仿宋_GB2312" w:eastAsia="仿宋_GB2312"/>
          <w:sz w:val="30"/>
          <w:szCs w:val="30"/>
        </w:rPr>
        <w:t>5）金融资产管理公司；</w:t>
      </w:r>
    </w:p>
    <w:p w14:paraId="347D8180">
      <w:pPr>
        <w:spacing w:line="540" w:lineRule="exact"/>
        <w:ind w:firstLine="600" w:firstLineChars="200"/>
        <w:rPr>
          <w:rFonts w:ascii="仿宋_GB2312" w:eastAsia="仿宋_GB2312"/>
          <w:sz w:val="30"/>
          <w:szCs w:val="30"/>
        </w:rPr>
      </w:pPr>
      <w:r>
        <w:rPr>
          <w:rFonts w:hint="eastAsia" w:ascii="仿宋_GB2312" w:eastAsia="仿宋_GB2312"/>
          <w:sz w:val="30"/>
          <w:szCs w:val="30"/>
        </w:rPr>
        <w:t>6）本所认可的其他机构。</w:t>
      </w:r>
    </w:p>
    <w:p w14:paraId="747C529A">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合格报价团成员代其他债券投资者报价的，应确保其符合投资者适当性相关要求，并自行与其签订相关协议。</w:t>
      </w:r>
    </w:p>
    <w:p w14:paraId="0CE30943">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（3）处置流程</w:t>
      </w:r>
    </w:p>
    <w:p w14:paraId="70C4D123">
      <w:pPr>
        <w:pStyle w:val="92"/>
        <w:widowControl w:val="0"/>
        <w:spacing w:line="540" w:lineRule="exact"/>
        <w:ind w:left="0" w:firstLine="600" w:firstLineChars="200"/>
        <w:jc w:val="both"/>
        <w:rPr>
          <w:rFonts w:ascii="仿宋_GB2312" w:hAnsi="Calibri" w:eastAsia="仿宋_GB2312"/>
          <w:sz w:val="30"/>
          <w:szCs w:val="30"/>
          <w:lang w:eastAsia="zh-CN"/>
        </w:rPr>
      </w:pPr>
      <w:r>
        <w:rPr>
          <w:rFonts w:hint="eastAsia" w:ascii="仿宋_GB2312" w:eastAsia="仿宋_GB2312"/>
          <w:sz w:val="30"/>
          <w:szCs w:val="30"/>
          <w:lang w:eastAsia="zh-CN"/>
        </w:rPr>
        <w:t>协议回购、三方回购的逆回购方拟作为处置方通过处置平台进行担保品处置的，</w:t>
      </w:r>
      <w:r>
        <w:rPr>
          <w:rFonts w:hint="eastAsia" w:ascii="仿宋_GB2312" w:hAnsi="Calibri" w:eastAsia="仿宋_GB2312"/>
          <w:sz w:val="30"/>
          <w:szCs w:val="30"/>
          <w:lang w:eastAsia="zh-CN"/>
        </w:rPr>
        <w:t>按以下流程进行：</w:t>
      </w:r>
    </w:p>
    <w:p w14:paraId="6FF75B8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1）逆回购方作为处置方向本所提交处置申请材料。</w:t>
      </w:r>
    </w:p>
    <w:p w14:paraId="2F41F9B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2）处置方收到本所启动处置流程的通知后，与本所签订《上海证券交易所债券担保品处置技术服务协议》。</w:t>
      </w:r>
    </w:p>
    <w:p w14:paraId="6CDB2AD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3）处置方通过处置平台向市场发布处置公告。处置公告中应明确处置债券清单、处置方式、处置时间、合格报价团范围、报价要求、中标原则、最低处置价格、缴款安排等内容。</w:t>
      </w:r>
    </w:p>
    <w:p w14:paraId="1F52B1E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4）处置日，合格报价团成员通过债券担保品处置平台进行报价，对处置平台根据处置模式、中标原则产生处置的结果，处置方现场负责人签字确认。</w:t>
      </w:r>
    </w:p>
    <w:p w14:paraId="7F89D5F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5）处置方通过处置平台向报价团成员发送处置结果，并通过处置平台向市场公告。</w:t>
      </w:r>
    </w:p>
    <w:p w14:paraId="39AEB6B1">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6</w:t>
      </w:r>
      <w:r>
        <w:rPr>
          <w:rFonts w:hint="eastAsia" w:ascii="仿宋_GB2312" w:hAnsi="Calibri" w:eastAsia="仿宋_GB2312"/>
          <w:kern w:val="0"/>
          <w:sz w:val="30"/>
          <w:szCs w:val="30"/>
        </w:rPr>
        <w:t>）处置方和中标方根据缴款安排在线下完成缴款。</w:t>
      </w:r>
    </w:p>
    <w:p w14:paraId="3D82E823">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7</w:t>
      </w:r>
      <w:r>
        <w:rPr>
          <w:rFonts w:hint="eastAsia" w:ascii="仿宋_GB2312" w:hAnsi="Calibri" w:eastAsia="仿宋_GB2312"/>
          <w:kern w:val="0"/>
          <w:sz w:val="30"/>
          <w:szCs w:val="30"/>
        </w:rPr>
        <w:t>）处置方向本所提交资金到账确认书，本所依据处置方提交的资金到账确认书向债券登记结算机构发送债券过户通知单，由证券登记结算机构按相关规则办理债券过户。</w:t>
      </w:r>
    </w:p>
    <w:p w14:paraId="693F009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具体要求及流程按照《上海证券交易所债券担保品处置平台服务指引》执行。</w:t>
      </w:r>
    </w:p>
    <w:p w14:paraId="00455154">
      <w:pPr>
        <w:numPr>
          <w:ilvl w:val="2"/>
          <w:numId w:val="4"/>
        </w:numPr>
        <w:spacing w:line="600" w:lineRule="exact"/>
        <w:ind w:left="0" w:firstLine="0"/>
        <w:outlineLvl w:val="2"/>
        <w:rPr>
          <w:rFonts w:ascii="仿宋_GB2312" w:eastAsia="仿宋_GB2312"/>
          <w:b/>
          <w:sz w:val="30"/>
          <w:szCs w:val="30"/>
        </w:rPr>
      </w:pPr>
      <w:bookmarkStart w:id="1830" w:name="_Toc57908930"/>
      <w:bookmarkStart w:id="1831" w:name="_Toc56166284"/>
      <w:bookmarkStart w:id="1832" w:name="_Toc56166095"/>
      <w:r>
        <w:rPr>
          <w:rFonts w:hint="eastAsia" w:ascii="仿宋_GB2312" w:eastAsia="仿宋_GB2312"/>
          <w:b/>
          <w:sz w:val="30"/>
          <w:szCs w:val="30"/>
        </w:rPr>
        <w:t>名词解释</w:t>
      </w:r>
      <w:bookmarkEnd w:id="1830"/>
      <w:bookmarkEnd w:id="1831"/>
      <w:bookmarkEnd w:id="1832"/>
    </w:p>
    <w:p w14:paraId="088C0FD3">
      <w:pPr>
        <w:widowControl/>
        <w:adjustRightInd w:val="0"/>
        <w:snapToGrid w:val="0"/>
        <w:spacing w:line="600" w:lineRule="exact"/>
        <w:ind w:left="602"/>
        <w:rPr>
          <w:rFonts w:ascii="仿宋_GB2312" w:hAnsi="Calibri" w:eastAsia="仿宋_GB2312"/>
          <w:sz w:val="30"/>
          <w:szCs w:val="30"/>
        </w:rPr>
      </w:pPr>
      <w:r>
        <w:rPr>
          <w:rFonts w:hint="eastAsia" w:ascii="仿宋_GB2312" w:hAnsi="Calibri" w:eastAsia="仿宋_GB2312"/>
          <w:sz w:val="30"/>
          <w:szCs w:val="30"/>
        </w:rPr>
        <w:t>（1）回购方向，即正回购或逆回购；</w:t>
      </w:r>
    </w:p>
    <w:p w14:paraId="28EE90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（2）回购利率，即正回购方支付给逆回购方在回购期间融入资金的利息与融入资金的比例，以年利率（%）表示，保留三位小数；</w:t>
      </w:r>
    </w:p>
    <w:p w14:paraId="3F1921F3">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3）正回购方，即债券回购交易的资金融</w:t>
      </w:r>
      <w:r>
        <w:rPr>
          <w:rFonts w:hint="eastAsia" w:ascii="仿宋_GB2312" w:hAnsi="微软雅黑" w:eastAsia="仿宋_GB2312"/>
          <w:color w:val="000000"/>
          <w:sz w:val="30"/>
          <w:szCs w:val="30"/>
        </w:rPr>
        <w:t>入</w:t>
      </w:r>
      <w:r>
        <w:rPr>
          <w:rFonts w:ascii="仿宋_GB2312" w:hAnsi="微软雅黑" w:eastAsia="仿宋_GB2312"/>
          <w:color w:val="000000"/>
          <w:sz w:val="30"/>
          <w:szCs w:val="30"/>
        </w:rPr>
        <w:t>方</w:t>
      </w:r>
      <w:r>
        <w:rPr>
          <w:rFonts w:hint="eastAsia" w:ascii="仿宋_GB2312" w:hAnsi="微软雅黑" w:eastAsia="仿宋_GB2312"/>
          <w:color w:val="000000"/>
          <w:sz w:val="30"/>
          <w:szCs w:val="30"/>
        </w:rPr>
        <w:t>。</w:t>
      </w:r>
    </w:p>
    <w:p w14:paraId="1BFEE211">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4）逆回购方，即债券回购交易的资金融出方。</w:t>
      </w:r>
    </w:p>
    <w:p w14:paraId="0EDAA6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w:t>
      </w:r>
      <w:r>
        <w:rPr>
          <w:rFonts w:hint="eastAsia" w:ascii="仿宋_GB2312" w:hAnsi="微软雅黑" w:eastAsia="仿宋_GB2312"/>
          <w:color w:val="000000"/>
          <w:sz w:val="30"/>
          <w:szCs w:val="30"/>
        </w:rPr>
        <w:t>质押券，即作为</w:t>
      </w:r>
      <w:r>
        <w:rPr>
          <w:rFonts w:hint="eastAsia" w:ascii="仿宋_GB2312" w:hAnsi="Calibri" w:eastAsia="仿宋_GB2312"/>
          <w:sz w:val="30"/>
          <w:szCs w:val="30"/>
        </w:rPr>
        <w:t>债券回购交易</w:t>
      </w:r>
      <w:r>
        <w:rPr>
          <w:rFonts w:hint="eastAsia" w:ascii="Calibri" w:hAnsi="Calibri" w:eastAsia="仿宋_GB2312"/>
          <w:color w:val="000000"/>
          <w:sz w:val="30"/>
          <w:szCs w:val="30"/>
        </w:rPr>
        <w:t>担保品</w:t>
      </w:r>
      <w:r>
        <w:rPr>
          <w:rFonts w:hint="eastAsia" w:ascii="仿宋_GB2312" w:hAnsi="微软雅黑" w:eastAsia="仿宋_GB2312"/>
          <w:color w:val="000000"/>
          <w:sz w:val="30"/>
          <w:szCs w:val="30"/>
        </w:rPr>
        <w:t>的债券。</w:t>
      </w:r>
    </w:p>
    <w:p w14:paraId="77BF1A4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（6）质押券名称，即质押债券的债券简称；</w:t>
      </w:r>
    </w:p>
    <w:p w14:paraId="20FD982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（7）质押券代码，即质押债券的债券代码；</w:t>
      </w:r>
    </w:p>
    <w:p w14:paraId="5FED2EA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（8）质押券总面额，即用于回购交易的质押券的面额总和；</w:t>
      </w:r>
    </w:p>
    <w:p w14:paraId="63F397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（9）质权人，即逆回购方。逆回购方为证券投资基金、银行理财等资产管理或理财产品的，质权人登记为管理人；</w:t>
      </w:r>
    </w:p>
    <w:p w14:paraId="0BC92F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（10）成交金额，即正回购方实际融入金额（不含其它费用），单位为元，保留两位小数；</w:t>
      </w:r>
    </w:p>
    <w:p w14:paraId="5A2788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（11）质押券数量，即质押债券的数量，单位为千元面额；</w:t>
      </w:r>
    </w:p>
    <w:p w14:paraId="114F7A4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（12）折算比例，即成交金额占质押券总面额的百分比；</w:t>
      </w:r>
    </w:p>
    <w:p w14:paraId="61D4A7A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3）首次结算日，即回购双方达成交易的日期；</w:t>
      </w:r>
    </w:p>
    <w:p w14:paraId="276A3A0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4）回购到期日，即回购双方约定回购到期的日期；</w:t>
      </w:r>
    </w:p>
    <w:p w14:paraId="7AC06AF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5）回购期限，即成交日至回购到期日的实际天数。回购期限按自然日计算，以天为单位，含成交日，不含回购到期日；</w:t>
      </w:r>
    </w:p>
    <w:p w14:paraId="6D1363C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6）到期结算日，即回购双方履行到期结算义务的日期。回购到期日为本所交易日的，到期结算日为回购到期日；回购到期日非本所交易日的，到期结算日顺延至回购到期日的下一交易日；</w:t>
      </w:r>
    </w:p>
    <w:p w14:paraId="38D6549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7）实际占款天数，即首次结算日至到期结算日的实际天数。实际占款天数按自然日计算，以天为单位，含首次结算日，不含到期结算日（算头不算尾）；</w:t>
      </w:r>
    </w:p>
    <w:p w14:paraId="7804DAC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8）回购利息，即正回购方在到期结算日应当支付的利息。回购利息＝成交金额*回购利率*实际占款天数/365，单位为元，保留两位小数；</w:t>
      </w:r>
    </w:p>
    <w:p w14:paraId="3C3528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9）到期结算金额，即到期结算日正回购方应当支付的金额，等于成交金额与回购利息之和，单位为元，保留两位小数。</w:t>
      </w:r>
    </w:p>
    <w:p w14:paraId="6D83517B">
      <w:pPr>
        <w:numPr>
          <w:ilvl w:val="1"/>
          <w:numId w:val="4"/>
        </w:numPr>
        <w:spacing w:line="600" w:lineRule="exact"/>
        <w:ind w:left="0" w:firstLine="0"/>
        <w:outlineLvl w:val="1"/>
        <w:rPr>
          <w:rFonts w:ascii="仿宋_GB2312" w:eastAsia="仿宋_GB2312"/>
          <w:b/>
          <w:sz w:val="30"/>
          <w:szCs w:val="30"/>
        </w:rPr>
      </w:pPr>
      <w:bookmarkStart w:id="1833" w:name="_Toc60327124"/>
      <w:bookmarkEnd w:id="1833"/>
      <w:bookmarkStart w:id="1834" w:name="_Toc60331885"/>
      <w:bookmarkEnd w:id="1834"/>
      <w:bookmarkStart w:id="1835" w:name="_Toc60327127"/>
      <w:bookmarkEnd w:id="1835"/>
      <w:bookmarkStart w:id="1836" w:name="_Toc60327123"/>
      <w:bookmarkEnd w:id="1836"/>
      <w:bookmarkStart w:id="1837" w:name="_Toc60327130"/>
      <w:bookmarkEnd w:id="1837"/>
      <w:bookmarkStart w:id="1838" w:name="_Toc59106996"/>
      <w:bookmarkEnd w:id="1838"/>
      <w:bookmarkStart w:id="1839" w:name="_Toc60327120"/>
      <w:bookmarkEnd w:id="1839"/>
      <w:bookmarkStart w:id="1840" w:name="_Toc59034592"/>
      <w:bookmarkEnd w:id="1840"/>
      <w:bookmarkStart w:id="1841" w:name="_Toc60331884"/>
      <w:bookmarkEnd w:id="1841"/>
      <w:bookmarkStart w:id="1842" w:name="_Toc60331877"/>
      <w:bookmarkEnd w:id="1842"/>
      <w:bookmarkStart w:id="1843" w:name="_Toc60327125"/>
      <w:bookmarkEnd w:id="1843"/>
      <w:bookmarkStart w:id="1844" w:name="_Toc60327129"/>
      <w:bookmarkEnd w:id="1844"/>
      <w:bookmarkStart w:id="1845" w:name="_Toc60331887"/>
      <w:bookmarkEnd w:id="1845"/>
      <w:bookmarkStart w:id="1846" w:name="_Toc60331880"/>
      <w:bookmarkEnd w:id="1846"/>
      <w:bookmarkStart w:id="1847" w:name="_Toc60327122"/>
      <w:bookmarkEnd w:id="1847"/>
      <w:bookmarkStart w:id="1848" w:name="_Toc59181102"/>
      <w:bookmarkEnd w:id="1848"/>
      <w:bookmarkStart w:id="1849" w:name="_Toc59181326"/>
      <w:bookmarkEnd w:id="1849"/>
      <w:bookmarkStart w:id="1850" w:name="_Toc60331878"/>
      <w:bookmarkEnd w:id="1850"/>
      <w:bookmarkStart w:id="1851" w:name="_Toc60331879"/>
      <w:bookmarkEnd w:id="1851"/>
      <w:bookmarkStart w:id="1852" w:name="_Toc60331881"/>
      <w:bookmarkEnd w:id="1852"/>
      <w:bookmarkStart w:id="1853" w:name="_Toc60331883"/>
      <w:bookmarkEnd w:id="1853"/>
      <w:bookmarkStart w:id="1854" w:name="_Toc60331882"/>
      <w:bookmarkEnd w:id="1854"/>
      <w:bookmarkStart w:id="1855" w:name="_Toc59181214"/>
      <w:bookmarkEnd w:id="1855"/>
      <w:bookmarkStart w:id="1856" w:name="_Toc60327128"/>
      <w:bookmarkEnd w:id="1856"/>
      <w:bookmarkStart w:id="1857" w:name="_Toc60327121"/>
      <w:bookmarkEnd w:id="1857"/>
      <w:bookmarkStart w:id="1858" w:name="_Toc60331886"/>
      <w:bookmarkEnd w:id="1858"/>
      <w:bookmarkStart w:id="1859" w:name="_Toc60327126"/>
      <w:bookmarkEnd w:id="1859"/>
      <w:bookmarkStart w:id="1860" w:name="_Toc59034113"/>
      <w:bookmarkEnd w:id="1860"/>
      <w:bookmarkStart w:id="1861" w:name="_Toc56166285"/>
      <w:bookmarkStart w:id="1862" w:name="_Toc151136914"/>
      <w:bookmarkStart w:id="1863" w:name="_Toc56166096"/>
      <w:r>
        <w:rPr>
          <w:rFonts w:hint="eastAsia" w:ascii="仿宋_GB2312" w:eastAsia="仿宋_GB2312"/>
          <w:b/>
          <w:sz w:val="30"/>
          <w:szCs w:val="30"/>
        </w:rPr>
        <w:t>债券通用质押式回购</w:t>
      </w:r>
      <w:bookmarkEnd w:id="1861"/>
      <w:bookmarkEnd w:id="1862"/>
      <w:bookmarkEnd w:id="1863"/>
    </w:p>
    <w:p w14:paraId="1C9E4B9D">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56DA500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通用回购交易是指资金融入方将符合要求的债券申报质押，以相应折算率计算出的质押券价值为融资额度进行质押融资，交易双方约定在回购期满后返还资金同时解除债券质押的交易。</w:t>
      </w:r>
    </w:p>
    <w:p w14:paraId="04F814F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027A47C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1.《上海证券交易所债券交易规则适用指引第2号——债券通用质押式回购交易》（上证发〔2022〕26号）</w:t>
      </w:r>
    </w:p>
    <w:p w14:paraId="03FD6F2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2.《中国证券登记结算有限责任公司 上海证券交易所 深圳证券交易所债券质押式回购交易结算风险控制指引（2021年修订版）》（中国结算发字〔2021〕111号）</w:t>
      </w:r>
    </w:p>
    <w:p w14:paraId="5F9E9516">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3.中国证券登记结算有限责任公司《关于发布&lt;标准券折算率（值）管理办法（2020年修订版）&gt;有关事项的通知》（中国结算发字〔2020〕90 号）</w:t>
      </w:r>
    </w:p>
    <w:p w14:paraId="766BA8C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4.中国证券登记结算有限责任公司《</w:t>
      </w:r>
      <w:r>
        <w:rPr>
          <w:rFonts w:ascii="仿宋_GB2312" w:hAnsi="微软雅黑" w:eastAsia="仿宋_GB2312"/>
          <w:color w:val="000000"/>
          <w:sz w:val="30"/>
          <w:szCs w:val="30"/>
        </w:rPr>
        <w:t>关于发布</w:t>
      </w:r>
      <w:r>
        <w:rPr>
          <w:rFonts w:hint="eastAsia" w:ascii="仿宋_GB2312" w:hAnsi="微软雅黑" w:eastAsia="仿宋_GB2312"/>
          <w:color w:val="000000"/>
          <w:sz w:val="30"/>
          <w:szCs w:val="30"/>
        </w:rPr>
        <w:t>&lt;</w:t>
      </w:r>
      <w:r>
        <w:rPr>
          <w:rFonts w:ascii="仿宋_GB2312" w:hAnsi="微软雅黑" w:eastAsia="仿宋_GB2312"/>
          <w:color w:val="000000"/>
          <w:sz w:val="30"/>
          <w:szCs w:val="30"/>
        </w:rPr>
        <w:t>质押式回购资格准入标准及标准券折扣系数取值业务指引（2017 年修订版）</w:t>
      </w:r>
      <w:r>
        <w:rPr>
          <w:rFonts w:hint="eastAsia" w:ascii="仿宋_GB2312" w:hAnsi="微软雅黑" w:eastAsia="仿宋_GB2312"/>
          <w:color w:val="000000"/>
          <w:sz w:val="30"/>
          <w:szCs w:val="30"/>
        </w:rPr>
        <w:t>&gt;</w:t>
      </w:r>
      <w:r>
        <w:rPr>
          <w:rFonts w:ascii="仿宋_GB2312" w:hAnsi="微软雅黑" w:eastAsia="仿宋_GB2312"/>
          <w:color w:val="000000"/>
          <w:sz w:val="30"/>
          <w:szCs w:val="30"/>
        </w:rPr>
        <w:t>有关事项的通知</w:t>
      </w:r>
      <w:r>
        <w:rPr>
          <w:rFonts w:hint="eastAsia" w:ascii="仿宋_GB2312" w:hAnsi="微软雅黑" w:eastAsia="仿宋_GB2312"/>
          <w:color w:val="000000"/>
          <w:sz w:val="30"/>
          <w:szCs w:val="30"/>
        </w:rPr>
        <w:t>》（中国结算发字〔2017〕47 号）</w:t>
      </w:r>
    </w:p>
    <w:p w14:paraId="27088CE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5.中国证券登记结算有限责任公司《关于政府支持债券开展质押式回购有关事项的通知》</w:t>
      </w:r>
    </w:p>
    <w:p w14:paraId="005196B7">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6.中国证券登记结算有限责任公司《关于政府债券基金产品开展质押式回购有关事项的通知》（中国结算发字〔2020〕111 号）</w:t>
      </w:r>
    </w:p>
    <w:p w14:paraId="02980C04">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7</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中国证券登记结算有限责任公司《中国证券登记结算有限责任公司受信用保护债券质押式回购管理暂行办法》（中国结算发字〔202</w:t>
      </w:r>
      <w:r>
        <w:rPr>
          <w:rFonts w:ascii="仿宋_GB2312" w:hAnsi="微软雅黑" w:eastAsia="仿宋_GB2312"/>
          <w:color w:val="000000"/>
          <w:sz w:val="30"/>
          <w:szCs w:val="30"/>
        </w:rPr>
        <w:t>1</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53</w:t>
      </w:r>
      <w:r>
        <w:rPr>
          <w:rFonts w:hint="eastAsia" w:ascii="仿宋_GB2312" w:hAnsi="微软雅黑" w:eastAsia="仿宋_GB2312"/>
          <w:color w:val="000000"/>
          <w:sz w:val="30"/>
          <w:szCs w:val="30"/>
        </w:rPr>
        <w:t>号）</w:t>
      </w:r>
    </w:p>
    <w:p w14:paraId="6ADB3452">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8《中国证券登记结算有限责任公司、上海证券交易所、深圳证券交易所债券质押式回购融资主体数据报送指引》</w:t>
      </w:r>
      <w:r>
        <w:rPr>
          <w:rFonts w:hint="eastAsia" w:ascii="仿宋_GB2312" w:hAnsi="微软雅黑" w:eastAsia="仿宋_GB2312"/>
          <w:color w:val="000000"/>
          <w:sz w:val="30"/>
          <w:szCs w:val="30"/>
        </w:rPr>
        <w:t>（中国结算发字〔20</w:t>
      </w:r>
      <w:r>
        <w:rPr>
          <w:rFonts w:ascii="仿宋_GB2312" w:hAnsi="微软雅黑" w:eastAsia="仿宋_GB2312"/>
          <w:color w:val="000000"/>
          <w:sz w:val="30"/>
          <w:szCs w:val="30"/>
        </w:rPr>
        <w:t>17</w:t>
      </w:r>
      <w:r>
        <w:rPr>
          <w:rFonts w:hint="eastAsia" w:ascii="仿宋_GB2312" w:hAnsi="微软雅黑" w:eastAsia="仿宋_GB2312"/>
          <w:color w:val="000000"/>
          <w:sz w:val="30"/>
          <w:szCs w:val="30"/>
        </w:rPr>
        <w:t>〕153号）</w:t>
      </w:r>
    </w:p>
    <w:p w14:paraId="4A90C1CB">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9</w:t>
      </w:r>
      <w:r>
        <w:rPr>
          <w:rFonts w:hint="eastAsia" w:ascii="仿宋_GB2312" w:hAnsi="微软雅黑" w:eastAsia="仿宋_GB2312"/>
          <w:color w:val="000000"/>
          <w:sz w:val="30"/>
          <w:szCs w:val="30"/>
        </w:rPr>
        <w:t>.中国证券登记结算有限责任公司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关于加强企业债券回购风险管理相关措施的通知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（中国结算发字〔</w:t>
      </w:r>
      <w:r>
        <w:rPr>
          <w:rFonts w:ascii="仿宋_GB2312" w:hAnsi="微软雅黑" w:eastAsia="仿宋_GB2312"/>
          <w:color w:val="000000"/>
          <w:sz w:val="30"/>
          <w:szCs w:val="30"/>
        </w:rPr>
        <w:t>2014</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149</w:t>
      </w:r>
      <w:r>
        <w:rPr>
          <w:rFonts w:hint="eastAsia" w:ascii="仿宋_GB2312" w:hAnsi="微软雅黑" w:eastAsia="仿宋_GB2312"/>
          <w:color w:val="000000"/>
          <w:sz w:val="30"/>
          <w:szCs w:val="30"/>
        </w:rPr>
        <w:t>号）</w:t>
      </w:r>
    </w:p>
    <w:p w14:paraId="38D6CC7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r>
        <w:rPr>
          <w:rFonts w:ascii="仿宋_GB2312" w:eastAsia="仿宋_GB2312"/>
          <w:b/>
          <w:sz w:val="30"/>
          <w:szCs w:val="30"/>
        </w:rPr>
        <w:tab/>
      </w:r>
    </w:p>
    <w:p w14:paraId="5021933D">
      <w:pPr>
        <w:spacing w:line="600" w:lineRule="exact"/>
        <w:ind w:left="567"/>
        <w:outlineLvl w:val="3"/>
        <w:rPr>
          <w:rFonts w:ascii="仿宋_GB2312" w:eastAsia="仿宋_GB2312"/>
          <w:b/>
          <w:sz w:val="30"/>
          <w:szCs w:val="30"/>
        </w:rPr>
      </w:pPr>
      <w:r>
        <w:rPr>
          <w:rFonts w:hint="eastAsia" w:ascii="仿宋_GB2312" w:eastAsia="仿宋_GB2312"/>
          <w:b/>
          <w:sz w:val="30"/>
          <w:szCs w:val="30"/>
        </w:rPr>
        <w:t>（1）签署协议</w:t>
      </w:r>
    </w:p>
    <w:p w14:paraId="159274E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债券</w:t>
      </w:r>
      <w:r>
        <w:rPr>
          <w:rFonts w:ascii="仿宋_GB2312" w:hAnsi="宋体" w:eastAsia="仿宋_GB2312" w:cs="宋体"/>
          <w:color w:val="000000"/>
          <w:kern w:val="0"/>
          <w:sz w:val="30"/>
          <w:szCs w:val="30"/>
        </w:rPr>
        <w:t>交易参与人</w:t>
      </w:r>
      <w:r>
        <w:rPr>
          <w:rFonts w:hint="eastAsia" w:ascii="仿宋_GB2312" w:hAnsi="宋体" w:eastAsia="仿宋_GB2312" w:cs="宋体"/>
          <w:color w:val="000000"/>
          <w:kern w:val="0"/>
          <w:sz w:val="30"/>
          <w:szCs w:val="30"/>
        </w:rPr>
        <w:t>参与通用回购交易并自行办理结算，或委托经证券登记结算机构认可的结算参与人办理结算，同时签署相关结算协议。</w:t>
      </w:r>
    </w:p>
    <w:p w14:paraId="25E03290">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kern w:val="0"/>
          <w:sz w:val="30"/>
          <w:szCs w:val="30"/>
        </w:rPr>
        <w:t>通过经纪业务模式</w:t>
      </w:r>
      <w:r>
        <w:rPr>
          <w:rFonts w:hint="eastAsia" w:ascii="仿宋_GB2312" w:hAnsi="宋体" w:eastAsia="仿宋_GB2312" w:cs="宋体"/>
          <w:color w:val="000000"/>
          <w:kern w:val="0"/>
          <w:sz w:val="30"/>
          <w:szCs w:val="30"/>
        </w:rPr>
        <w:t>参与通用回购交易</w:t>
      </w:r>
      <w:r>
        <w:rPr>
          <w:rFonts w:hint="eastAsia" w:ascii="仿宋_GB2312" w:hAnsi="宋体" w:eastAsia="仿宋_GB2312" w:cs="宋体"/>
          <w:kern w:val="0"/>
          <w:sz w:val="30"/>
          <w:szCs w:val="30"/>
        </w:rPr>
        <w:t>的经纪客户</w:t>
      </w:r>
      <w:r>
        <w:rPr>
          <w:rFonts w:hint="eastAsia" w:ascii="仿宋_GB2312" w:hAnsi="宋体" w:eastAsia="仿宋_GB2312" w:cs="宋体"/>
          <w:color w:val="000000"/>
          <w:kern w:val="0"/>
          <w:sz w:val="30"/>
          <w:szCs w:val="30"/>
        </w:rPr>
        <w:t>，应当与其指定交易的会员签署通用回购委托协议。回购委托协议应当约定会员与其经纪客户之间的权利义务、交易结算流程、违约情形认定以及违约处置方案等内容，并符合相关市场自律组织的规定。</w:t>
      </w:r>
    </w:p>
    <w:p w14:paraId="22FBBF0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投资者适当性管理</w:t>
      </w:r>
    </w:p>
    <w:p w14:paraId="3D479D9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通用回购交易正回购方按照《中国证券登记结算有限责任公司、上海证券交易所、深圳证券交易所债券质押式回购交易结算风险控制指引》</w:t>
      </w:r>
      <w:r>
        <w:rPr>
          <w:rFonts w:hint="eastAsia" w:ascii="仿宋_GB2312" w:hAnsi="宋体" w:eastAsia="仿宋_GB2312" w:cs="宋体"/>
          <w:kern w:val="0"/>
          <w:sz w:val="30"/>
          <w:szCs w:val="30"/>
        </w:rPr>
        <w:t>（以下简称《风控指引》）</w:t>
      </w:r>
      <w:r>
        <w:rPr>
          <w:rFonts w:hint="eastAsia" w:ascii="仿宋_GB2312" w:hAnsi="宋体" w:eastAsia="仿宋_GB2312" w:cs="宋体"/>
          <w:color w:val="000000"/>
          <w:kern w:val="0"/>
          <w:sz w:val="30"/>
          <w:szCs w:val="30"/>
        </w:rPr>
        <w:t>和《上海证券交易所债券市场投资者适当性管理办法》等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562017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符合以下要求的专业投资者可以作为正回购方参与融资回购交易：</w:t>
      </w:r>
      <w:r>
        <w:rPr>
          <w:rFonts w:ascii="仿宋_GB2312" w:hAnsi="Calibri" w:eastAsia="仿宋_GB2312"/>
          <w:sz w:val="30"/>
          <w:szCs w:val="30"/>
        </w:rPr>
        <w:br w:type="textWrapping"/>
      </w:r>
      <w:r>
        <w:rPr>
          <w:rFonts w:hint="eastAsia" w:ascii="仿宋_GB2312" w:hAnsi="Calibri" w:eastAsia="仿宋_GB2312"/>
          <w:sz w:val="30"/>
          <w:szCs w:val="30"/>
        </w:rPr>
        <w:t>　　1）经有关金融监管部门批准设立的金融机构，包括证券公司、基金管理公司及其子公司、期货公司、商业银行、保险公司、信托公司、财务公司等；经行业协会备案或者登记的证券公司子公司、期货公司子公司、私募基金管理人。</w:t>
      </w:r>
    </w:p>
    <w:p w14:paraId="1B112A5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金融机构面向投资者发行的理财产品，包括但不限于证券公司资产管理产品、基金管理公司及其子公司产品、期货公司资产管理产品、银行理财产品、保险产品、保险资产管理产品、信托产品、经行业协会备案的私募基金；</w:t>
      </w:r>
    </w:p>
    <w:p w14:paraId="711DE75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3）全国社会保障基金、基本养老保险基金、年金基金等养老基金，慈善基金等社会公益基金；</w:t>
      </w:r>
    </w:p>
    <w:p w14:paraId="0C13FAC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4）同时符合下列条件的法人或其他组织：</w:t>
      </w:r>
    </w:p>
    <w:p w14:paraId="1567C0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1.最近1年末净资产不低于2000万元；2.最近1年末金融资产不低于1000万元；3.具有2年以上证券、基金、期货、黄金、外汇等投资经历；</w:t>
      </w:r>
    </w:p>
    <w:p w14:paraId="358E1A2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前款所称金融资产，是指银行存款、股票、债券、基金份额、资产管理计划、银行理财产品、信托计划、保险产品、期货及其他衍生品等。</w:t>
      </w:r>
    </w:p>
    <w:p w14:paraId="4D90F6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5）证券交易所和登记结算机构认可的其他专业投资者。</w:t>
      </w:r>
    </w:p>
    <w:p w14:paraId="6E71B4C6">
      <w:pPr>
        <w:adjustRightInd w:val="0"/>
        <w:snapToGrid w:val="0"/>
        <w:spacing w:line="600" w:lineRule="exact"/>
        <w:ind w:firstLine="600"/>
        <w:rPr>
          <w:rFonts w:ascii="仿宋_GB2312" w:hAnsi="Calibri" w:eastAsia="仿宋_GB2312" w:cs="宋体"/>
          <w:kern w:val="0"/>
          <w:sz w:val="30"/>
          <w:szCs w:val="30"/>
        </w:rPr>
      </w:pPr>
      <w:r>
        <w:rPr>
          <w:rFonts w:ascii="仿宋_GB2312" w:hAnsi="Calibri" w:eastAsia="仿宋_GB2312" w:cs="宋体"/>
          <w:kern w:val="0"/>
          <w:sz w:val="30"/>
          <w:szCs w:val="30"/>
        </w:rPr>
        <w:t>符合</w:t>
      </w:r>
      <w:r>
        <w:rPr>
          <w:rFonts w:hint="eastAsia" w:ascii="仿宋_GB2312" w:hAnsi="Calibri" w:eastAsia="仿宋_GB2312" w:cs="宋体"/>
          <w:kern w:val="0"/>
          <w:sz w:val="30"/>
          <w:szCs w:val="30"/>
        </w:rPr>
        <w:t>第四项规定的法人或其他组织仅可以参与利率类债券融资回购交易。</w:t>
      </w:r>
    </w:p>
    <w:p w14:paraId="55631A95">
      <w:pPr>
        <w:adjustRightInd w:val="0"/>
        <w:snapToGrid w:val="0"/>
        <w:spacing w:line="600" w:lineRule="exact"/>
        <w:ind w:firstLine="600"/>
        <w:rPr>
          <w:rFonts w:ascii="仿宋_GB2312" w:hAnsi="宋体" w:eastAsia="仿宋_GB2312" w:cs="宋体"/>
          <w:color w:val="000000"/>
          <w:kern w:val="0"/>
          <w:sz w:val="30"/>
          <w:szCs w:val="30"/>
        </w:rPr>
      </w:pPr>
      <w:r>
        <w:rPr>
          <w:rFonts w:hint="eastAsia" w:ascii="仿宋_GB2312" w:hAnsi="Calibri" w:eastAsia="仿宋_GB2312" w:cs="宋体"/>
          <w:kern w:val="0"/>
          <w:sz w:val="30"/>
          <w:szCs w:val="30"/>
        </w:rPr>
        <w:t>专业投资者及普通投资者均可以作为逆回购方参与通用回购交易。</w:t>
      </w:r>
    </w:p>
    <w:p w14:paraId="412810F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r>
        <w:rPr>
          <w:rFonts w:ascii="仿宋_GB2312" w:eastAsia="仿宋_GB2312"/>
          <w:b/>
          <w:sz w:val="30"/>
          <w:szCs w:val="30"/>
        </w:rPr>
        <w:tab/>
      </w:r>
      <w:bookmarkStart w:id="1864" w:name="_Toc35006237"/>
    </w:p>
    <w:bookmarkEnd w:id="1864"/>
    <w:p w14:paraId="1CCC3D3E">
      <w:pPr>
        <w:spacing w:line="600" w:lineRule="exact"/>
        <w:ind w:left="567"/>
        <w:outlineLvl w:val="3"/>
        <w:rPr>
          <w:rFonts w:ascii="仿宋_GB2312" w:eastAsia="仿宋_GB2312"/>
          <w:b/>
          <w:sz w:val="30"/>
          <w:szCs w:val="30"/>
        </w:rPr>
      </w:pPr>
      <w:r>
        <w:rPr>
          <w:rFonts w:hint="eastAsia" w:ascii="仿宋_GB2312" w:eastAsia="仿宋_GB2312"/>
          <w:b/>
          <w:sz w:val="30"/>
          <w:szCs w:val="30"/>
        </w:rPr>
        <w:t>（1）质押券准入标准</w:t>
      </w:r>
    </w:p>
    <w:p w14:paraId="65EFB7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在本所开展的债券质押式通用回购交易中，回购质押券需符合登记结算机构的标准。相关标准可参见</w:t>
      </w:r>
      <w:r>
        <w:rPr>
          <w:rFonts w:hint="eastAsia" w:ascii="仿宋_GB2312" w:hAnsi="仿宋" w:eastAsia="仿宋_GB2312"/>
          <w:sz w:val="30"/>
          <w:szCs w:val="30"/>
        </w:rPr>
        <w:t>登记结算机构</w:t>
      </w:r>
      <w:r>
        <w:rPr>
          <w:rFonts w:hint="eastAsia" w:ascii="仿宋_GB2312" w:hAnsi="微软雅黑" w:eastAsia="仿宋_GB2312"/>
          <w:color w:val="000000"/>
          <w:sz w:val="30"/>
          <w:szCs w:val="30"/>
        </w:rPr>
        <w:t>发布的《标准券折算率（值）管理办法（2</w:t>
      </w:r>
      <w:r>
        <w:rPr>
          <w:rFonts w:ascii="仿宋_GB2312" w:hAnsi="微软雅黑" w:eastAsia="仿宋_GB2312"/>
          <w:color w:val="000000"/>
          <w:sz w:val="30"/>
          <w:szCs w:val="30"/>
        </w:rPr>
        <w:t>020</w:t>
      </w:r>
      <w:r>
        <w:rPr>
          <w:rFonts w:hint="eastAsia" w:ascii="仿宋_GB2312" w:hAnsi="微软雅黑" w:eastAsia="仿宋_GB2312"/>
          <w:color w:val="000000"/>
          <w:sz w:val="30"/>
          <w:szCs w:val="30"/>
        </w:rPr>
        <w:t>年修订版）》《质押式回购资格准入标准及标准券折扣系数取值业务指引（2017 年修订版）》。</w:t>
      </w:r>
    </w:p>
    <w:p w14:paraId="48DDB64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标准券折算率（值）管理办法的地址：</w:t>
      </w:r>
    </w:p>
    <w:p w14:paraId="018CBD5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"http://www.chinaclear.cn/zdjs/editor_file/20200320170654890.pdf" </w:instrText>
      </w:r>
      <w:r>
        <w:fldChar w:fldCharType="separate"/>
      </w:r>
      <w:r>
        <w:rPr>
          <w:rStyle w:val="51"/>
          <w:rFonts w:hint="eastAsia" w:ascii="仿宋_GB2312" w:hAnsi="微软雅黑" w:eastAsia="仿宋_GB2312"/>
          <w:sz w:val="30"/>
          <w:szCs w:val="30"/>
        </w:rPr>
        <w:t>http://www.chinaclear.cn/zdjs/editor_file/20200320170654890.pdf</w:t>
      </w:r>
      <w:r>
        <w:rPr>
          <w:rStyle w:val="51"/>
          <w:rFonts w:hint="eastAsia" w:ascii="仿宋_GB2312" w:hAnsi="微软雅黑" w:eastAsia="仿宋_GB2312"/>
          <w:sz w:val="30"/>
          <w:szCs w:val="30"/>
        </w:rPr>
        <w:fldChar w:fldCharType="end"/>
      </w:r>
    </w:p>
    <w:p w14:paraId="78F44B1B">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质押券准入标准的地址：</w:t>
      </w:r>
    </w:p>
    <w:p w14:paraId="6A1EF779">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"http://www.chinaclear.cn/zdjs/editor_file/20170407171435538.pdf" </w:instrText>
      </w:r>
      <w:r>
        <w:fldChar w:fldCharType="separate"/>
      </w:r>
      <w:r>
        <w:rPr>
          <w:rStyle w:val="51"/>
          <w:rFonts w:hint="eastAsia" w:ascii="仿宋_GB2312" w:hAnsi="微软雅黑" w:eastAsia="仿宋_GB2312"/>
          <w:sz w:val="30"/>
          <w:szCs w:val="30"/>
        </w:rPr>
        <w:t>http://www.chinaclear.cn/zdjs/editor_file/20170407171435538.pdf</w:t>
      </w:r>
      <w:r>
        <w:rPr>
          <w:rStyle w:val="51"/>
          <w:rFonts w:hint="eastAsia" w:ascii="仿宋_GB2312" w:hAnsi="微软雅黑" w:eastAsia="仿宋_GB2312"/>
          <w:sz w:val="30"/>
          <w:szCs w:val="30"/>
        </w:rPr>
        <w:fldChar w:fldCharType="end"/>
      </w:r>
    </w:p>
    <w:p w14:paraId="25803EC9">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上述规则的基础上，根据《中国证券登记结算有限责任公司受信用保护债券质押式回购管理暂行办法》，符合条件的受信用保护债券纳入质押券范围。根据《关于政府支持债券开展质押式回购有关事项的通知》《关于政府债券基金产品开展质押式回购有关事项的通知》，政府支持债券、符合条件的政府债券基金产品纳入质押券范围。</w:t>
      </w:r>
    </w:p>
    <w:p w14:paraId="3EF66B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具体质押券范围及变动情况参照中国证券登记结算有限责任公司公布的最新回购准入标准执行。</w:t>
      </w:r>
      <w:bookmarkStart w:id="1865" w:name="_Toc35006238"/>
    </w:p>
    <w:p w14:paraId="22F0AD3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中国证券登记结算有限责任公司及本所在网站及时公布通用回购质押券清单及对应的折算率。</w:t>
      </w:r>
    </w:p>
    <w:p w14:paraId="51A812FC">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p>
    <w:p w14:paraId="208BF04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"http://www.sse.com.cn/disclosure/bond/repurchase/" </w:instrText>
      </w:r>
      <w:r>
        <w:fldChar w:fldCharType="separate"/>
      </w:r>
      <w:r>
        <w:rPr>
          <w:rStyle w:val="51"/>
          <w:rFonts w:hint="eastAsia" w:ascii="仿宋_GB2312" w:hAnsi="微软雅黑" w:eastAsia="仿宋_GB2312"/>
          <w:color w:val="000000"/>
          <w:sz w:val="30"/>
          <w:szCs w:val="30"/>
        </w:rPr>
        <w:t>http://www.sse.com.cn/disclosure/bond/repurchase/</w:t>
      </w:r>
      <w:r>
        <w:rPr>
          <w:rStyle w:val="51"/>
          <w:rFonts w:hint="eastAsia" w:ascii="仿宋_GB2312" w:hAnsi="微软雅黑" w:eastAsia="仿宋_GB2312"/>
          <w:color w:val="000000"/>
          <w:sz w:val="30"/>
          <w:szCs w:val="30"/>
        </w:rPr>
        <w:fldChar w:fldCharType="end"/>
      </w:r>
    </w:p>
    <w:bookmarkEnd w:id="1865"/>
    <w:p w14:paraId="1757D020">
      <w:pPr>
        <w:numPr>
          <w:ilvl w:val="2"/>
          <w:numId w:val="13"/>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质押券出入库</w:t>
      </w:r>
    </w:p>
    <w:p w14:paraId="2E8240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w:t>
      </w:r>
      <w:r>
        <w:rPr>
          <w:rFonts w:ascii="仿宋_GB2312" w:hAnsi="微软雅黑" w:eastAsia="仿宋_GB2312"/>
          <w:color w:val="000000"/>
          <w:sz w:val="30"/>
          <w:szCs w:val="30"/>
        </w:rPr>
        <w:t>出入库的</w:t>
      </w:r>
      <w:r>
        <w:rPr>
          <w:rFonts w:hint="eastAsia" w:ascii="仿宋_GB2312" w:hAnsi="微软雅黑" w:eastAsia="仿宋_GB2312"/>
          <w:color w:val="000000"/>
          <w:sz w:val="30"/>
          <w:szCs w:val="30"/>
        </w:rPr>
        <w:t>申报方式采用“现券代码+业务类型”方式进行。</w:t>
      </w:r>
      <w:r>
        <w:rPr>
          <w:rFonts w:hint="eastAsia" w:ascii="仿宋_GB2312" w:hAnsi="Calibri" w:eastAsia="仿宋_GB2312"/>
          <w:color w:val="000000"/>
          <w:sz w:val="30"/>
          <w:szCs w:val="30"/>
        </w:rPr>
        <w:t>申报要素包括证券代码、业务</w:t>
      </w:r>
      <w:r>
        <w:rPr>
          <w:rFonts w:ascii="仿宋_GB2312" w:hAnsi="Calibri" w:eastAsia="仿宋_GB2312"/>
          <w:color w:val="000000"/>
          <w:sz w:val="30"/>
          <w:szCs w:val="30"/>
        </w:rPr>
        <w:t>类型、</w:t>
      </w:r>
      <w:r>
        <w:rPr>
          <w:rFonts w:hint="eastAsia" w:ascii="仿宋_GB2312" w:hAnsi="Calibri" w:eastAsia="仿宋_GB2312"/>
          <w:color w:val="000000"/>
          <w:sz w:val="30"/>
          <w:szCs w:val="30"/>
        </w:rPr>
        <w:t>数量、证券账户号码等内容。</w:t>
      </w:r>
    </w:p>
    <w:p w14:paraId="3E0F5118">
      <w:pPr>
        <w:adjustRightInd w:val="0"/>
        <w:snapToGrid w:val="0"/>
        <w:spacing w:line="600" w:lineRule="exact"/>
        <w:ind w:left="600"/>
        <w:jc w:val="left"/>
        <w:rPr>
          <w:rFonts w:ascii="仿宋_GB2312" w:hAnsi="Calibri" w:eastAsia="仿宋_GB2312"/>
          <w:color w:val="000000"/>
          <w:sz w:val="30"/>
          <w:szCs w:val="30"/>
        </w:rPr>
      </w:pPr>
      <w:r>
        <w:rPr>
          <w:rFonts w:hint="eastAsia" w:ascii="仿宋_GB2312" w:hAnsi="Calibri" w:eastAsia="仿宋_GB2312"/>
          <w:color w:val="000000"/>
          <w:sz w:val="30"/>
          <w:szCs w:val="30"/>
        </w:rPr>
        <w:t>1）入库申报</w:t>
      </w:r>
    </w:p>
    <w:p w14:paraId="3961167C">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质押券的质押申报通过本所综合业务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提交。经纪业务模式下，会员应当在符合前述规定的前提下，根据其经纪客户的信用状况与风险承受能力，明确经纪客户适用的质押券准入标准，并对其证券账户内可用于通用回购交易的融资额度进行检查。</w:t>
      </w:r>
    </w:p>
    <w:p w14:paraId="20A465AB">
      <w:pPr>
        <w:adjustRightInd w:val="0"/>
        <w:snapToGrid w:val="0"/>
        <w:spacing w:line="600" w:lineRule="exact"/>
        <w:ind w:firstLine="600" w:firstLineChars="200"/>
        <w:rPr>
          <w:rFonts w:ascii="仿宋_GB2312" w:hAnsi="Calibri" w:eastAsia="仿宋_GB2312"/>
          <w:sz w:val="30"/>
          <w:szCs w:val="22"/>
        </w:rPr>
      </w:pPr>
      <w:r>
        <w:rPr>
          <w:rFonts w:hint="eastAsia" w:ascii="仿宋_GB2312" w:hAnsi="Calibri" w:eastAsia="仿宋_GB2312"/>
          <w:color w:val="000000"/>
          <w:sz w:val="30"/>
          <w:szCs w:val="30"/>
        </w:rPr>
        <w:t>入库申报的交易类型为</w:t>
      </w:r>
      <w:r>
        <w:rPr>
          <w:rFonts w:hint="eastAsia" w:ascii="仿宋_GB2312" w:hAnsi="Calibri" w:eastAsia="仿宋_GB2312"/>
          <w:color w:val="000000"/>
          <w:sz w:val="30"/>
          <w:szCs w:val="22"/>
        </w:rPr>
        <w:t>“BPD”，申报单位为“千元面额”（1,000元面额），</w:t>
      </w:r>
      <w:r>
        <w:rPr>
          <w:rFonts w:hint="eastAsia" w:ascii="仿宋_GB2312" w:hAnsi="Calibri" w:eastAsia="仿宋_GB2312"/>
          <w:color w:val="000000"/>
          <w:sz w:val="30"/>
          <w:szCs w:val="30"/>
        </w:rPr>
        <w:t>入库申报数量不得大于债券投资者证券账户现券可用余额。经纪业务模式下，经纪客户需委托证券公司提交</w:t>
      </w:r>
      <w:r>
        <w:rPr>
          <w:rFonts w:hint="eastAsia" w:ascii="仿宋_GB2312" w:hAnsi="Calibri" w:eastAsia="仿宋_GB2312"/>
          <w:sz w:val="30"/>
          <w:szCs w:val="30"/>
        </w:rPr>
        <w:t>质押申报。</w:t>
      </w:r>
    </w:p>
    <w:p w14:paraId="27BDF0E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完成后，质押券应当依据登记结算机构的相关规定，转移至质押品保管库（以下简称质押库）。质押券转移至质押库后，正回购方的可用融资额度相应增加，增加额度为入库债券按照相应质押券折算率计算出的质押券价值，现券可用余额中根据申报数量实时扣减。</w:t>
      </w:r>
    </w:p>
    <w:p w14:paraId="27CA3564">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前一日现券可用余额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（当日买入</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当日卖出）</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（当日转回质押券</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当日提交质押券）</w:t>
      </w:r>
    </w:p>
    <w:p w14:paraId="4F6291B6">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注：上述公式中的买入量仅计算净额结算方式下的买入量。</w:t>
      </w:r>
    </w:p>
    <w:p w14:paraId="62129AD9">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2</w:t>
      </w:r>
      <w:r>
        <w:rPr>
          <w:rFonts w:hint="eastAsia" w:ascii="仿宋_GB2312" w:hAnsi="Calibri" w:eastAsia="仿宋_GB2312"/>
          <w:color w:val="000000"/>
          <w:sz w:val="30"/>
          <w:szCs w:val="30"/>
        </w:rPr>
        <w:t>）质押券出库</w:t>
      </w:r>
    </w:p>
    <w:p w14:paraId="21957137">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质押券对应的融资额度有剩余的，正回购方可以通过综合业务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申报解除相应质押券的质押，</w:t>
      </w:r>
      <w:r>
        <w:rPr>
          <w:rFonts w:hint="eastAsia" w:ascii="仿宋_GB2312" w:hAnsi="Calibri" w:eastAsia="仿宋_GB2312"/>
          <w:sz w:val="30"/>
          <w:szCs w:val="22"/>
        </w:rPr>
        <w:t>质押券依据相关规定</w:t>
      </w:r>
      <w:r>
        <w:rPr>
          <w:rFonts w:hint="eastAsia" w:ascii="仿宋_GB2312" w:hAnsi="Calibri" w:eastAsia="仿宋_GB2312"/>
          <w:color w:val="000000"/>
          <w:sz w:val="30"/>
          <w:szCs w:val="30"/>
        </w:rPr>
        <w:t>转回原证券账户</w:t>
      </w:r>
      <w:r>
        <w:rPr>
          <w:rFonts w:hint="eastAsia" w:ascii="仿宋_GB2312" w:hAnsi="Calibri" w:eastAsia="仿宋_GB2312"/>
          <w:sz w:val="30"/>
          <w:szCs w:val="22"/>
        </w:rPr>
        <w:t>（</w:t>
      </w:r>
      <w:r>
        <w:rPr>
          <w:rFonts w:hint="eastAsia" w:ascii="仿宋_GB2312" w:hAnsi="Calibri" w:eastAsia="仿宋_GB2312"/>
          <w:sz w:val="30"/>
          <w:szCs w:val="30"/>
        </w:rPr>
        <w:t>以下简称出库申报）</w:t>
      </w:r>
      <w:r>
        <w:rPr>
          <w:rFonts w:hint="eastAsia" w:ascii="仿宋_GB2312" w:hAnsi="Calibri" w:eastAsia="仿宋_GB2312"/>
          <w:color w:val="000000"/>
          <w:sz w:val="30"/>
          <w:szCs w:val="30"/>
        </w:rPr>
        <w:t>。出库申报的交易类型为“BPW”，申报单位为“千元面额”（1,000元面额）。经纪业务模式下，经纪客户需委托证券公司提交出库</w:t>
      </w:r>
      <w:r>
        <w:rPr>
          <w:rFonts w:hint="eastAsia" w:ascii="仿宋_GB2312" w:hAnsi="Calibri" w:eastAsia="仿宋_GB2312"/>
          <w:sz w:val="30"/>
          <w:szCs w:val="30"/>
        </w:rPr>
        <w:t>申报。</w:t>
      </w:r>
    </w:p>
    <w:p w14:paraId="3E21092D">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申报转回数量不得大于该证券账户同品种可转出数量。可转出数量</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质押库内该账户的同品种余额</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当日该账户净转入的同品种数量。质押券转回数量折算的融资额度不得大于其当时可融资额度。</w:t>
      </w:r>
    </w:p>
    <w:p w14:paraId="193F4EBA">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30"/>
        </w:rPr>
        <w:t>申报完成后，质押券依据相关规定转回原证券账户。质押券出库后，正回购方的可用融资额度相应扣减，扣减额度为转回债券依据质押券折算率计算出的质押券价值</w:t>
      </w:r>
      <w:r>
        <w:rPr>
          <w:rFonts w:hint="eastAsia" w:ascii="仿宋_GB2312" w:hAnsi="Calibri" w:eastAsia="仿宋_GB2312"/>
          <w:color w:val="000000"/>
          <w:sz w:val="30"/>
          <w:szCs w:val="22"/>
        </w:rPr>
        <w:t>，并实时增加现券的可用余额。</w:t>
      </w:r>
    </w:p>
    <w:p w14:paraId="793F7F50">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3</w:t>
      </w:r>
      <w:r>
        <w:rPr>
          <w:rFonts w:hint="eastAsia" w:ascii="仿宋_GB2312" w:hAnsi="Calibri" w:eastAsia="仿宋_GB2312"/>
          <w:color w:val="000000"/>
          <w:sz w:val="30"/>
          <w:szCs w:val="30"/>
        </w:rPr>
        <w:t>）出入库申报要素</w:t>
      </w:r>
    </w:p>
    <w:p w14:paraId="4CB5B769">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质押券出入库申报时间为</w:t>
      </w:r>
      <w:r>
        <w:rPr>
          <w:rFonts w:hint="eastAsia" w:ascii="仿宋_GB2312" w:hAnsi="Calibri" w:eastAsia="仿宋_GB2312"/>
          <w:sz w:val="30"/>
          <w:szCs w:val="30"/>
        </w:rPr>
        <w:t>每个交易日的9：30至11：30，13：00至15：</w:t>
      </w:r>
      <w:r>
        <w:rPr>
          <w:rFonts w:ascii="仿宋_GB2312" w:hAnsi="Calibri" w:eastAsia="仿宋_GB2312"/>
          <w:sz w:val="30"/>
          <w:szCs w:val="30"/>
        </w:rPr>
        <w:t>3</w:t>
      </w:r>
      <w:r>
        <w:rPr>
          <w:rFonts w:hint="eastAsia" w:ascii="仿宋_GB2312" w:hAnsi="Calibri" w:eastAsia="仿宋_GB2312"/>
          <w:sz w:val="30"/>
          <w:szCs w:val="30"/>
        </w:rPr>
        <w:t>0。</w:t>
      </w:r>
    </w:p>
    <w:p w14:paraId="7B726C2E">
      <w:pPr>
        <w:adjustRightInd w:val="0"/>
        <w:snapToGrid w:val="0"/>
        <w:spacing w:line="600" w:lineRule="exact"/>
        <w:ind w:firstLine="6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质押券出入库申报要素包括证券代码</w:t>
      </w:r>
      <w:r>
        <w:rPr>
          <w:rFonts w:ascii="仿宋_GB2312" w:hAnsi="Calibri" w:eastAsia="仿宋_GB2312"/>
          <w:color w:val="000000"/>
          <w:sz w:val="30"/>
          <w:szCs w:val="30"/>
        </w:rPr>
        <w:t>、业务类型、</w:t>
      </w:r>
      <w:r>
        <w:rPr>
          <w:rFonts w:hint="eastAsia" w:ascii="仿宋_GB2312" w:hAnsi="Calibri" w:eastAsia="仿宋_GB2312"/>
          <w:color w:val="000000"/>
          <w:sz w:val="30"/>
          <w:szCs w:val="30"/>
        </w:rPr>
        <w:t>数量、证券账号等内容。</w:t>
      </w:r>
      <w:r>
        <w:rPr>
          <w:rFonts w:hint="eastAsia" w:ascii="仿宋_GB2312" w:hAnsi="Calibri" w:eastAsia="仿宋_GB2312"/>
          <w:sz w:val="30"/>
          <w:szCs w:val="30"/>
        </w:rPr>
        <w:t>质押券出入库申报实时生效，不可撤销。</w:t>
      </w:r>
    </w:p>
    <w:p w14:paraId="6076C534">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质押券出入库的申报要素具体如下：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6492"/>
      </w:tblGrid>
      <w:tr w14:paraId="6337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1B88000B">
            <w:pPr>
              <w:adjustRightInd w:val="0"/>
              <w:snapToGrid w:val="0"/>
              <w:rPr>
                <w:rFonts w:ascii="仿宋_GB2312" w:eastAsia="仿宋_GB2312"/>
                <w:b/>
                <w:kern w:val="0"/>
                <w:sz w:val="24"/>
                <w:szCs w:val="24"/>
              </w:rPr>
            </w:pPr>
            <w:r>
              <w:rPr>
                <w:rFonts w:hint="eastAsia" w:ascii="仿宋_GB2312" w:eastAsia="仿宋_GB2312"/>
                <w:b/>
                <w:kern w:val="0"/>
                <w:sz w:val="24"/>
                <w:szCs w:val="24"/>
              </w:rPr>
              <w:t>申报类型</w:t>
            </w:r>
          </w:p>
        </w:tc>
        <w:tc>
          <w:tcPr>
            <w:tcW w:w="3808" w:type="pct"/>
          </w:tcPr>
          <w:p w14:paraId="63CDDA16">
            <w:pPr>
              <w:adjustRightInd w:val="0"/>
              <w:snapToGrid w:val="0"/>
              <w:rPr>
                <w:rFonts w:ascii="仿宋_GB2312" w:eastAsia="仿宋_GB2312"/>
                <w:b/>
                <w:kern w:val="0"/>
                <w:sz w:val="24"/>
                <w:szCs w:val="24"/>
              </w:rPr>
            </w:pPr>
            <w:r>
              <w:rPr>
                <w:rFonts w:hint="eastAsia" w:ascii="仿宋_GB2312" w:eastAsia="仿宋_GB2312"/>
                <w:b/>
                <w:kern w:val="0"/>
                <w:sz w:val="24"/>
                <w:szCs w:val="24"/>
              </w:rPr>
              <w:t>质押券出库申报/入库申报</w:t>
            </w:r>
          </w:p>
        </w:tc>
      </w:tr>
      <w:tr w14:paraId="2FDC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49E6B88">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3808" w:type="pct"/>
          </w:tcPr>
          <w:p w14:paraId="014AEA4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拟质押债券的证券代码</w:t>
            </w:r>
          </w:p>
        </w:tc>
      </w:tr>
      <w:tr w14:paraId="1F71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C83F982">
            <w:pPr>
              <w:adjustRightInd w:val="0"/>
              <w:snapToGrid w:val="0"/>
              <w:rPr>
                <w:rFonts w:ascii="仿宋_GB2312" w:eastAsia="仿宋_GB2312"/>
                <w:b/>
                <w:kern w:val="0"/>
                <w:sz w:val="24"/>
                <w:szCs w:val="24"/>
              </w:rPr>
            </w:pPr>
            <w:r>
              <w:rPr>
                <w:rFonts w:hint="eastAsia" w:ascii="仿宋_GB2312" w:eastAsia="仿宋_GB2312"/>
                <w:b/>
                <w:kern w:val="0"/>
                <w:sz w:val="24"/>
                <w:szCs w:val="24"/>
              </w:rPr>
              <w:t>出入库类型</w:t>
            </w:r>
          </w:p>
        </w:tc>
        <w:tc>
          <w:tcPr>
            <w:tcW w:w="3808" w:type="pct"/>
          </w:tcPr>
          <w:p w14:paraId="267776BA">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入库为“BPD”，出库为“BPW”</w:t>
            </w:r>
          </w:p>
        </w:tc>
      </w:tr>
      <w:tr w14:paraId="5022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1" w:type="pct"/>
          </w:tcPr>
          <w:p w14:paraId="2558D438">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3808" w:type="pct"/>
          </w:tcPr>
          <w:p w14:paraId="58747E34">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质押债券的数量，单位：千元面额</w:t>
            </w:r>
          </w:p>
        </w:tc>
      </w:tr>
      <w:tr w14:paraId="0D25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66349C6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808" w:type="pct"/>
          </w:tcPr>
          <w:p w14:paraId="142006ED">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证券账号</w:t>
            </w:r>
          </w:p>
        </w:tc>
      </w:tr>
      <w:tr w14:paraId="4255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75E2C1CA">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808" w:type="pct"/>
          </w:tcPr>
          <w:p w14:paraId="540551FC">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交易单元号码</w:t>
            </w:r>
          </w:p>
        </w:tc>
      </w:tr>
      <w:tr w14:paraId="11E5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5BA156CF">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3808" w:type="pct"/>
          </w:tcPr>
          <w:p w14:paraId="4E577D8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交易申报日期（年月日）及时间（时分秒），自动显示</w:t>
            </w:r>
          </w:p>
        </w:tc>
      </w:tr>
    </w:tbl>
    <w:p w14:paraId="5637FFC1">
      <w:pPr>
        <w:spacing w:line="600" w:lineRule="exact"/>
        <w:ind w:firstLine="600" w:firstLineChars="200"/>
        <w:rPr>
          <w:rFonts w:ascii="仿宋_GB2312" w:hAnsi="黑体" w:eastAsia="仿宋_GB2312"/>
          <w:sz w:val="30"/>
          <w:szCs w:val="30"/>
        </w:rPr>
      </w:pPr>
      <w:r>
        <w:rPr>
          <w:rFonts w:ascii="仿宋_GB2312" w:hAnsi="Calibri" w:eastAsia="仿宋_GB2312"/>
          <w:color w:val="000000"/>
          <w:sz w:val="30"/>
          <w:szCs w:val="30"/>
        </w:rPr>
        <w:t>4</w:t>
      </w:r>
      <w:r>
        <w:rPr>
          <w:rFonts w:hint="eastAsia" w:ascii="仿宋_GB2312" w:hAnsi="Calibri" w:eastAsia="仿宋_GB2312"/>
          <w:color w:val="000000"/>
          <w:sz w:val="30"/>
          <w:szCs w:val="30"/>
        </w:rPr>
        <w:t>）</w:t>
      </w:r>
      <w:r>
        <w:rPr>
          <w:rFonts w:hint="eastAsia" w:ascii="仿宋_GB2312" w:hAnsi="Calibri" w:eastAsia="仿宋_GB2312"/>
          <w:sz w:val="30"/>
          <w:szCs w:val="30"/>
        </w:rPr>
        <w:t>出入库前提与质权设立</w:t>
      </w:r>
    </w:p>
    <w:p w14:paraId="78C5B929">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正回购方在提交质押申报时，应当确保其证券账户中有足额的质押券，且前述质押券上未设定任何形式的担保或其他第三方权利，不存在任何权属争议或权利瑕疵。</w:t>
      </w:r>
    </w:p>
    <w:p w14:paraId="75454AD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质权自登记结算机构将质押券转入质押库并进行出质登记时设立。质权担保范围包括质权人享有的债权、利息、违约金以及处置质押券所产生的全部税费等。</w:t>
      </w:r>
    </w:p>
    <w:p w14:paraId="4B4FB41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综合业务</w:t>
      </w:r>
      <w:r>
        <w:rPr>
          <w:rFonts w:ascii="仿宋_GB2312" w:hAnsi="Calibri" w:eastAsia="仿宋_GB2312"/>
          <w:sz w:val="30"/>
          <w:szCs w:val="30"/>
        </w:rPr>
        <w:t>平台</w:t>
      </w:r>
      <w:r>
        <w:rPr>
          <w:rFonts w:hint="eastAsia" w:ascii="仿宋_GB2312" w:hAnsi="Calibri" w:eastAsia="仿宋_GB2312"/>
          <w:sz w:val="30"/>
          <w:szCs w:val="30"/>
        </w:rPr>
        <w:t>对质押券出入库申报进行前端控制，不可卖空。入库申报的证券数量若超过当前证券账户的可用持仓，则该笔入库申报失败。出库申报的证券数量若超过剩余融资额度对应的证券数量，则该笔出库申报失败。</w:t>
      </w:r>
    </w:p>
    <w:p w14:paraId="02070D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当证券停牌时，该证券的通用回购出入库申报不受影响，正常进行。</w:t>
      </w:r>
    </w:p>
    <w:p w14:paraId="6AF35DEE">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5）日间出入库</w:t>
      </w:r>
    </w:p>
    <w:p w14:paraId="25F639D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当日采用多边净额结算方式买入的债券，当日可以提交质押申报并转入质押库，且当日即可用于回购融资交易。当日申报解除质押并转回成功的债券，当日可以卖出或者再次申报入库，</w:t>
      </w:r>
      <w:r>
        <w:rPr>
          <w:rFonts w:ascii="仿宋_GB2312" w:hAnsi="Calibri" w:eastAsia="仿宋_GB2312"/>
          <w:color w:val="000000"/>
          <w:sz w:val="30"/>
          <w:szCs w:val="30"/>
        </w:rPr>
        <w:t>亦</w:t>
      </w:r>
      <w:r>
        <w:rPr>
          <w:rFonts w:hint="eastAsia" w:ascii="仿宋_GB2312" w:hAnsi="Calibri" w:eastAsia="仿宋_GB2312"/>
          <w:color w:val="000000"/>
          <w:sz w:val="30"/>
          <w:szCs w:val="30"/>
        </w:rPr>
        <w:t>可以申报回售、转股。出入库结果以登记结算机构日终处理结果为准。</w:t>
      </w:r>
    </w:p>
    <w:p w14:paraId="24B908C7">
      <w:pPr>
        <w:tabs>
          <w:tab w:val="left" w:pos="3675"/>
        </w:tabs>
        <w:spacing w:line="600" w:lineRule="exact"/>
        <w:ind w:left="567"/>
        <w:outlineLvl w:val="3"/>
        <w:rPr>
          <w:rFonts w:ascii="仿宋_GB2312" w:eastAsia="仿宋_GB2312"/>
          <w:b/>
          <w:sz w:val="30"/>
          <w:szCs w:val="30"/>
        </w:rPr>
      </w:pPr>
      <w:bookmarkStart w:id="1866" w:name="_Toc35006240"/>
      <w:r>
        <w:rPr>
          <w:rFonts w:hint="eastAsia" w:ascii="仿宋_GB2312" w:eastAsia="仿宋_GB2312"/>
          <w:b/>
          <w:sz w:val="30"/>
          <w:szCs w:val="30"/>
        </w:rPr>
        <w:t>（3）融资额度管理</w:t>
      </w:r>
      <w:r>
        <w:rPr>
          <w:rFonts w:ascii="仿宋_GB2312" w:eastAsia="仿宋_GB2312"/>
          <w:b/>
          <w:sz w:val="30"/>
          <w:szCs w:val="30"/>
        </w:rPr>
        <w:tab/>
      </w:r>
    </w:p>
    <w:bookmarkEnd w:id="1866"/>
    <w:p w14:paraId="552C6E8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ETF申报为质押券后，其用于回购融资业务的质押价值将统一使用根据折算率（值）折合的融资额度数量表示。</w:t>
      </w:r>
      <w:r>
        <w:rPr>
          <w:rFonts w:hint="eastAsia" w:ascii="仿宋_GB2312" w:hAnsi="微软雅黑" w:eastAsia="仿宋_GB2312"/>
          <w:color w:val="000000"/>
          <w:sz w:val="30"/>
          <w:szCs w:val="30"/>
        </w:rPr>
        <w:t>计算公式为：</w:t>
      </w:r>
    </w:p>
    <w:p w14:paraId="6940FF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单位债券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ETF折合融资额度=单位债券</w:t>
      </w:r>
      <w:r>
        <w:rPr>
          <w:rFonts w:hint="eastAsia" w:ascii="仿宋_GB2312" w:hAnsi="微软雅黑" w:eastAsia="仿宋_GB2312"/>
          <w:color w:val="000000"/>
          <w:sz w:val="30"/>
          <w:szCs w:val="30"/>
        </w:rPr>
        <w:t>面额（</w:t>
      </w:r>
      <w:r>
        <w:rPr>
          <w:rFonts w:ascii="仿宋_GB2312" w:hAnsi="微软雅黑" w:eastAsia="仿宋_GB2312"/>
          <w:color w:val="000000"/>
          <w:sz w:val="30"/>
          <w:szCs w:val="30"/>
        </w:rPr>
        <w:t>份额</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质押</w:t>
      </w:r>
      <w:r>
        <w:rPr>
          <w:rFonts w:ascii="仿宋_GB2312" w:hAnsi="微软雅黑" w:eastAsia="仿宋_GB2312"/>
          <w:color w:val="000000"/>
          <w:sz w:val="30"/>
          <w:szCs w:val="30"/>
        </w:rPr>
        <w:t>券折算率（值）</w:t>
      </w:r>
    </w:p>
    <w:p w14:paraId="514C774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质押券的折算率可在中国证券登记结算有限责任公司的官方网站上查询，地址为：</w:t>
      </w:r>
    </w:p>
    <w:p w14:paraId="56D00441">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r>
        <w:rPr>
          <w:rFonts w:hint="eastAsia" w:ascii="仿宋_GB2312" w:hAnsi="微软雅黑" w:eastAsia="仿宋_GB2312"/>
          <w:color w:val="000000"/>
          <w:sz w:val="30"/>
          <w:szCs w:val="30"/>
        </w:rPr>
        <w:t xml:space="preserve"> 。</w:t>
      </w:r>
    </w:p>
    <w:p w14:paraId="114159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入库后，正回购方的可用融资额度相应增加，增加额度为入库债券按照相应质押券折算率计算出的质押券价值；质押券出库后，正回购方的可用融资额度相应扣减，扣减额度为转回债券依据质押券折算率计算出的质押券价值。</w:t>
      </w:r>
    </w:p>
    <w:p w14:paraId="3B1D477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本所以债券投资者为对象、以证券账户为明细核算单位进行回购融资的核算。某一账户提交的在库各品种质押券折合融资额度之和即为其可融资额度，但在库质押券与每笔未了结融资回购交易不存在一一对应关系。</w:t>
      </w:r>
    </w:p>
    <w:p w14:paraId="3EC7A3EE">
      <w:pPr>
        <w:tabs>
          <w:tab w:val="left" w:pos="3675"/>
        </w:tabs>
        <w:spacing w:line="600" w:lineRule="exact"/>
        <w:ind w:left="567"/>
        <w:outlineLvl w:val="3"/>
        <w:rPr>
          <w:rFonts w:ascii="仿宋_GB2312" w:eastAsia="仿宋_GB2312"/>
          <w:b/>
          <w:sz w:val="30"/>
          <w:szCs w:val="30"/>
        </w:rPr>
      </w:pPr>
      <w:r>
        <w:rPr>
          <w:rFonts w:hint="eastAsia" w:ascii="仿宋_GB2312" w:eastAsia="仿宋_GB2312"/>
          <w:b/>
          <w:sz w:val="30"/>
          <w:szCs w:val="30"/>
        </w:rPr>
        <w:t>（4）受信用保护债券质押式回购业务</w:t>
      </w:r>
    </w:p>
    <w:p w14:paraId="3B6A85DA">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对于经审核符合《中国证券登记结算有限责任公司受信用保护债券质押式回购管理暂行办法》相关规定的合格受信用保护债券，债券投资者可以将该债券及对应的合格信用保护凭证一并提交转入质押库开展融资回购交易。</w:t>
      </w:r>
    </w:p>
    <w:p w14:paraId="1F8EE9E1">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具体事项按照</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关于开展沪市受信用保护债券质押式回购业务相关事宜的通知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17ED2C9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通用回购匹配成交交易</w:t>
      </w:r>
    </w:p>
    <w:p w14:paraId="33FEF678">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根据</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上海证券交易所债券交易规则适用指引第2号——债券通用质押式回购交易</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，通用回购交易可以采用匹配成交、点击成交、询价成交、竞买成交、协商成交以及本所认可的其他交易方式达成，其中初期仅采用匹配成交交易方式，</w:t>
      </w:r>
      <w:r>
        <w:rPr>
          <w:rFonts w:ascii="仿宋_GB2312" w:hAnsi="微软雅黑" w:eastAsia="仿宋_GB2312"/>
          <w:color w:val="000000"/>
          <w:sz w:val="30"/>
          <w:szCs w:val="30"/>
        </w:rPr>
        <w:t>匹配成交</w:t>
      </w:r>
      <w:r>
        <w:rPr>
          <w:rFonts w:hint="eastAsia" w:ascii="仿宋_GB2312" w:hAnsi="微软雅黑" w:eastAsia="仿宋_GB2312"/>
          <w:color w:val="000000"/>
          <w:sz w:val="30"/>
          <w:szCs w:val="30"/>
        </w:rPr>
        <w:t>以外的</w:t>
      </w:r>
      <w:r>
        <w:rPr>
          <w:rFonts w:ascii="仿宋_GB2312" w:hAnsi="微软雅黑" w:eastAsia="仿宋_GB2312"/>
          <w:color w:val="000000"/>
          <w:sz w:val="30"/>
          <w:szCs w:val="30"/>
        </w:rPr>
        <w:t>交易方式</w:t>
      </w:r>
      <w:r>
        <w:rPr>
          <w:rFonts w:hint="eastAsia" w:ascii="仿宋_GB2312" w:hAnsi="微软雅黑" w:eastAsia="仿宋_GB2312"/>
          <w:color w:val="000000"/>
          <w:sz w:val="30"/>
          <w:szCs w:val="30"/>
        </w:rPr>
        <w:t>暂缓实施。</w:t>
      </w:r>
    </w:p>
    <w:p w14:paraId="020E0628">
      <w:pPr>
        <w:spacing w:line="600" w:lineRule="exact"/>
        <w:ind w:left="567"/>
        <w:outlineLvl w:val="3"/>
        <w:rPr>
          <w:rFonts w:ascii="仿宋_GB2312" w:eastAsia="仿宋_GB2312"/>
          <w:b/>
          <w:sz w:val="30"/>
          <w:szCs w:val="30"/>
        </w:rPr>
      </w:pPr>
      <w:r>
        <w:rPr>
          <w:rFonts w:hint="eastAsia" w:ascii="仿宋_GB2312" w:eastAsia="仿宋_GB2312"/>
          <w:b/>
          <w:sz w:val="30"/>
          <w:szCs w:val="30"/>
        </w:rPr>
        <w:t>（1）交易方向</w:t>
      </w:r>
    </w:p>
    <w:p w14:paraId="6087E66A">
      <w:pPr>
        <w:adjustRightInd w:val="0"/>
        <w:snapToGrid w:val="0"/>
        <w:spacing w:line="600" w:lineRule="exact"/>
        <w:ind w:firstLine="600"/>
        <w:rPr>
          <w:rFonts w:ascii="仿宋_GB2312" w:hAnsi="宋体" w:eastAsia="仿宋_GB2312"/>
          <w:sz w:val="30"/>
          <w:szCs w:val="30"/>
        </w:rPr>
      </w:pPr>
      <w:r>
        <w:rPr>
          <w:rFonts w:ascii="仿宋_GB2312" w:hAnsi="宋体" w:eastAsia="仿宋_GB2312"/>
          <w:sz w:val="30"/>
          <w:szCs w:val="30"/>
        </w:rPr>
        <w:t>回购交易申报中，正回购方按“买入”方向予以申报，逆回购方按“卖出”方向予以申报。</w:t>
      </w:r>
    </w:p>
    <w:p w14:paraId="6F0D1D77">
      <w:pPr>
        <w:spacing w:line="600" w:lineRule="exact"/>
        <w:ind w:left="567"/>
        <w:outlineLvl w:val="3"/>
        <w:rPr>
          <w:rFonts w:ascii="仿宋_GB2312" w:eastAsia="仿宋_GB2312"/>
          <w:b/>
          <w:sz w:val="30"/>
          <w:szCs w:val="30"/>
        </w:rPr>
      </w:pPr>
      <w:r>
        <w:rPr>
          <w:rFonts w:hint="eastAsia" w:ascii="仿宋_GB2312" w:eastAsia="仿宋_GB2312"/>
          <w:b/>
          <w:sz w:val="30"/>
          <w:szCs w:val="30"/>
        </w:rPr>
        <w:t>（2）交易</w:t>
      </w:r>
      <w:r>
        <w:rPr>
          <w:rFonts w:hint="eastAsia" w:ascii="仿宋_GB2312" w:hAnsi="黑体" w:eastAsia="仿宋_GB2312"/>
          <w:b/>
          <w:sz w:val="30"/>
          <w:szCs w:val="30"/>
        </w:rPr>
        <w:t>申报</w:t>
      </w:r>
    </w:p>
    <w:p w14:paraId="6EEF9411">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本所接受通用回购交易申报的时间为每个交易日的9:15至9:25，</w:t>
      </w:r>
      <w:r>
        <w:rPr>
          <w:rFonts w:ascii="仿宋_GB2312" w:hAnsi="宋体" w:eastAsia="仿宋_GB2312"/>
          <w:sz w:val="30"/>
          <w:szCs w:val="30"/>
        </w:rPr>
        <w:t>9：30至11：30，13：00至15：30。本所可以根据市场需要调整通用回购的申报时间。</w:t>
      </w:r>
    </w:p>
    <w:p w14:paraId="04AD9576">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申报价格与申报数量详见本指南第4</w:t>
      </w:r>
      <w:r>
        <w:rPr>
          <w:rFonts w:ascii="仿宋_GB2312" w:hAnsi="宋体" w:eastAsia="仿宋_GB2312"/>
          <w:sz w:val="30"/>
          <w:szCs w:val="30"/>
        </w:rPr>
        <w:t>章</w:t>
      </w:r>
      <w:r>
        <w:rPr>
          <w:rFonts w:hint="eastAsia" w:ascii="仿宋_GB2312" w:hAnsi="宋体" w:eastAsia="仿宋_GB2312"/>
          <w:sz w:val="30"/>
          <w:szCs w:val="30"/>
        </w:rPr>
        <w:t>“债券交易一般要求”。</w:t>
      </w:r>
      <w:r>
        <w:rPr>
          <w:rFonts w:hint="eastAsia" w:ascii="仿宋_GB2312" w:hAnsi="仿宋" w:eastAsia="仿宋_GB2312"/>
          <w:sz w:val="30"/>
          <w:szCs w:val="30"/>
        </w:rPr>
        <w:t>申报要素应当包括证券代码、交易方向、价格、数量、证券账号等内容。具体如下：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7669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B21022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583024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02C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98BE607">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27455EEF">
            <w:pPr>
              <w:adjustRightInd w:val="0"/>
              <w:snapToGrid w:val="0"/>
              <w:rPr>
                <w:rFonts w:ascii="仿宋_GB2312" w:eastAsia="仿宋_GB2312"/>
                <w:kern w:val="0"/>
                <w:sz w:val="24"/>
                <w:szCs w:val="24"/>
              </w:rPr>
            </w:pPr>
            <w:r>
              <w:rPr>
                <w:rFonts w:hint="eastAsia" w:ascii="仿宋_GB2312" w:eastAsia="仿宋_GB2312"/>
                <w:kern w:val="0"/>
                <w:sz w:val="24"/>
                <w:szCs w:val="24"/>
              </w:rPr>
              <w:t>通用回购的证券代码</w:t>
            </w:r>
          </w:p>
        </w:tc>
      </w:tr>
      <w:tr w14:paraId="2E36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920006F">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02F912C9">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交易的买卖方向，即买入/卖出</w:t>
            </w:r>
            <w:r>
              <w:rPr>
                <w:rFonts w:ascii="仿宋_GB2312" w:eastAsia="仿宋_GB2312"/>
                <w:kern w:val="0"/>
                <w:sz w:val="24"/>
                <w:szCs w:val="24"/>
              </w:rPr>
              <w:t>.</w:t>
            </w:r>
            <w:r>
              <w:rPr>
                <w:rFonts w:hint="eastAsia" w:ascii="仿宋_GB2312" w:eastAsia="仿宋_GB2312"/>
                <w:kern w:val="0"/>
                <w:sz w:val="24"/>
                <w:szCs w:val="24"/>
              </w:rPr>
              <w:t xml:space="preserve"> 正回购方按</w:t>
            </w:r>
            <w:r>
              <w:rPr>
                <w:rFonts w:ascii="仿宋_GB2312" w:eastAsia="仿宋_GB2312"/>
                <w:kern w:val="0"/>
                <w:sz w:val="24"/>
                <w:szCs w:val="24"/>
              </w:rPr>
              <w:t>“</w:t>
            </w:r>
            <w:r>
              <w:rPr>
                <w:rFonts w:hint="eastAsia" w:ascii="仿宋_GB2312" w:eastAsia="仿宋_GB2312"/>
                <w:kern w:val="0"/>
                <w:sz w:val="24"/>
                <w:szCs w:val="24"/>
              </w:rPr>
              <w:t>买入</w:t>
            </w:r>
            <w:r>
              <w:rPr>
                <w:rFonts w:ascii="仿宋_GB2312" w:eastAsia="仿宋_GB2312"/>
                <w:kern w:val="0"/>
                <w:sz w:val="24"/>
                <w:szCs w:val="24"/>
              </w:rPr>
              <w:t>”</w:t>
            </w:r>
            <w:r>
              <w:rPr>
                <w:rFonts w:hint="eastAsia" w:ascii="仿宋_GB2312" w:eastAsia="仿宋_GB2312"/>
                <w:kern w:val="0"/>
                <w:sz w:val="24"/>
                <w:szCs w:val="24"/>
              </w:rPr>
              <w:t>方向予以申报，逆回购方按</w:t>
            </w:r>
            <w:r>
              <w:rPr>
                <w:rFonts w:ascii="仿宋_GB2312" w:eastAsia="仿宋_GB2312"/>
                <w:kern w:val="0"/>
                <w:sz w:val="24"/>
                <w:szCs w:val="24"/>
              </w:rPr>
              <w:t>“</w:t>
            </w:r>
            <w:r>
              <w:rPr>
                <w:rFonts w:hint="eastAsia" w:ascii="仿宋_GB2312" w:eastAsia="仿宋_GB2312"/>
                <w:kern w:val="0"/>
                <w:sz w:val="24"/>
                <w:szCs w:val="24"/>
              </w:rPr>
              <w:t>卖出</w:t>
            </w:r>
            <w:r>
              <w:rPr>
                <w:rFonts w:ascii="仿宋_GB2312" w:eastAsia="仿宋_GB2312"/>
                <w:kern w:val="0"/>
                <w:sz w:val="24"/>
                <w:szCs w:val="24"/>
              </w:rPr>
              <w:t>”</w:t>
            </w:r>
            <w:r>
              <w:rPr>
                <w:rFonts w:hint="eastAsia" w:ascii="仿宋_GB2312" w:eastAsia="仿宋_GB2312"/>
                <w:kern w:val="0"/>
                <w:sz w:val="24"/>
                <w:szCs w:val="24"/>
              </w:rPr>
              <w:t>方向予以申报。</w:t>
            </w:r>
          </w:p>
        </w:tc>
      </w:tr>
      <w:tr w14:paraId="4DD3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5EA00BC0">
            <w:pPr>
              <w:adjustRightInd w:val="0"/>
              <w:snapToGrid w:val="0"/>
              <w:rPr>
                <w:rFonts w:ascii="仿宋_GB2312" w:eastAsia="仿宋_GB2312"/>
                <w:b/>
                <w:kern w:val="0"/>
                <w:sz w:val="24"/>
                <w:szCs w:val="24"/>
              </w:rPr>
            </w:pPr>
            <w:r>
              <w:rPr>
                <w:rFonts w:hint="eastAsia" w:ascii="仿宋_GB2312" w:eastAsia="仿宋_GB2312"/>
                <w:b/>
                <w:kern w:val="0"/>
                <w:sz w:val="24"/>
                <w:szCs w:val="24"/>
              </w:rPr>
              <w:t>申报价格</w:t>
            </w:r>
          </w:p>
        </w:tc>
        <w:tc>
          <w:tcPr>
            <w:tcW w:w="6429" w:type="dxa"/>
          </w:tcPr>
          <w:p w14:paraId="19A68CD5">
            <w:pPr>
              <w:adjustRightInd w:val="0"/>
              <w:snapToGrid w:val="0"/>
              <w:rPr>
                <w:rFonts w:ascii="仿宋_GB2312" w:eastAsia="仿宋_GB2312"/>
                <w:kern w:val="0"/>
                <w:sz w:val="24"/>
                <w:szCs w:val="24"/>
              </w:rPr>
            </w:pPr>
            <w:r>
              <w:rPr>
                <w:rFonts w:hint="eastAsia" w:ascii="仿宋_GB2312" w:eastAsia="仿宋_GB2312"/>
                <w:kern w:val="0"/>
                <w:sz w:val="24"/>
                <w:szCs w:val="24"/>
              </w:rPr>
              <w:t>交易的价格，“每百元资金到期年收益”，金额单位：元。</w:t>
            </w:r>
          </w:p>
        </w:tc>
      </w:tr>
      <w:tr w14:paraId="19F3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55E44D7">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6429" w:type="dxa"/>
          </w:tcPr>
          <w:p w14:paraId="6EBCFE77">
            <w:pPr>
              <w:adjustRightInd w:val="0"/>
              <w:snapToGrid w:val="0"/>
              <w:rPr>
                <w:rFonts w:ascii="仿宋_GB2312" w:eastAsia="仿宋_GB2312"/>
                <w:kern w:val="0"/>
                <w:sz w:val="24"/>
                <w:szCs w:val="24"/>
              </w:rPr>
            </w:pPr>
            <w:r>
              <w:rPr>
                <w:rFonts w:hint="eastAsia" w:ascii="仿宋_GB2312" w:eastAsia="仿宋_GB2312"/>
                <w:kern w:val="0"/>
                <w:sz w:val="24"/>
                <w:szCs w:val="24"/>
              </w:rPr>
              <w:t>交易的数量，单位：千元面额。</w:t>
            </w:r>
          </w:p>
        </w:tc>
      </w:tr>
      <w:tr w14:paraId="69ED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78E5711">
            <w:pPr>
              <w:adjustRightInd w:val="0"/>
              <w:snapToGrid w:val="0"/>
              <w:rPr>
                <w:rFonts w:ascii="仿宋_GB2312" w:eastAsia="仿宋_GB2312"/>
                <w:b/>
                <w:kern w:val="0"/>
                <w:sz w:val="24"/>
                <w:szCs w:val="24"/>
              </w:rPr>
            </w:pPr>
            <w:r>
              <w:rPr>
                <w:rFonts w:hint="eastAsia" w:ascii="仿宋_GB2312" w:eastAsia="仿宋_GB2312"/>
                <w:b/>
                <w:kern w:val="0"/>
                <w:sz w:val="24"/>
                <w:szCs w:val="24"/>
              </w:rPr>
              <w:t>申报账号</w:t>
            </w:r>
          </w:p>
        </w:tc>
        <w:tc>
          <w:tcPr>
            <w:tcW w:w="6429" w:type="dxa"/>
          </w:tcPr>
          <w:p w14:paraId="5906CEDE">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w:t>
            </w:r>
          </w:p>
        </w:tc>
      </w:tr>
      <w:tr w14:paraId="2D07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6E52545">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6429" w:type="dxa"/>
          </w:tcPr>
          <w:p w14:paraId="7965F28B">
            <w:pPr>
              <w:adjustRightInd w:val="0"/>
              <w:snapToGrid w:val="0"/>
              <w:rPr>
                <w:rFonts w:ascii="仿宋_GB2312" w:eastAsia="仿宋_GB2312"/>
                <w:kern w:val="0"/>
                <w:sz w:val="24"/>
                <w:szCs w:val="24"/>
              </w:rPr>
            </w:pPr>
            <w:r>
              <w:rPr>
                <w:rFonts w:hint="eastAsia" w:ascii="仿宋_GB2312" w:eastAsia="仿宋_GB2312"/>
                <w:kern w:val="0"/>
                <w:sz w:val="24"/>
                <w:szCs w:val="24"/>
              </w:rPr>
              <w:t>交易申报日期（年月日）及时间（时分秒），自动显示</w:t>
            </w:r>
          </w:p>
        </w:tc>
      </w:tr>
      <w:tr w14:paraId="1C14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4CCAF6E">
            <w:pPr>
              <w:adjustRightInd w:val="0"/>
              <w:snapToGrid w:val="0"/>
              <w:rPr>
                <w:rFonts w:ascii="仿宋_GB2312" w:eastAsia="仿宋_GB2312"/>
                <w:b/>
                <w:kern w:val="0"/>
                <w:sz w:val="24"/>
                <w:szCs w:val="24"/>
              </w:rPr>
            </w:pPr>
            <w:r>
              <w:rPr>
                <w:rFonts w:hint="eastAsia" w:ascii="仿宋_GB2312" w:eastAsia="仿宋_GB2312"/>
                <w:b/>
                <w:kern w:val="0"/>
                <w:sz w:val="24"/>
                <w:szCs w:val="24"/>
              </w:rPr>
              <w:t>申报PBU</w:t>
            </w:r>
          </w:p>
        </w:tc>
        <w:tc>
          <w:tcPr>
            <w:tcW w:w="6429" w:type="dxa"/>
          </w:tcPr>
          <w:p w14:paraId="32BFABF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债券交易参与人的交易单元号码，自动显示</w:t>
            </w:r>
          </w:p>
        </w:tc>
      </w:tr>
      <w:tr w14:paraId="00F9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77A046E">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0FC5C21F">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债券交易参与人为申报订单编制的序号，自动显示</w:t>
            </w:r>
          </w:p>
        </w:tc>
      </w:tr>
    </w:tbl>
    <w:p w14:paraId="302C6887">
      <w:pPr>
        <w:adjustRightInd w:val="0"/>
        <w:snapToGrid w:val="0"/>
        <w:spacing w:line="600" w:lineRule="exact"/>
        <w:ind w:firstLine="600" w:firstLineChars="200"/>
        <w:rPr>
          <w:rFonts w:ascii="仿宋_GB2312" w:hAnsi="宋体" w:eastAsia="仿宋_GB2312"/>
          <w:sz w:val="30"/>
          <w:szCs w:val="30"/>
        </w:rPr>
      </w:pPr>
      <w:r>
        <w:rPr>
          <w:rFonts w:ascii="仿宋_GB2312" w:hAnsi="宋体" w:eastAsia="仿宋_GB2312"/>
          <w:sz w:val="30"/>
          <w:szCs w:val="30"/>
        </w:rPr>
        <w:t>T日提交回购申报指令时，</w:t>
      </w:r>
      <w:r>
        <w:rPr>
          <w:rFonts w:hint="eastAsia" w:ascii="仿宋_GB2312" w:hAnsi="宋体" w:eastAsia="仿宋_GB2312"/>
          <w:sz w:val="30"/>
          <w:szCs w:val="30"/>
        </w:rPr>
        <w:t>新债券交易系统将</w:t>
      </w:r>
      <w:r>
        <w:rPr>
          <w:rFonts w:ascii="仿宋_GB2312" w:hAnsi="宋体" w:eastAsia="仿宋_GB2312"/>
          <w:sz w:val="30"/>
          <w:szCs w:val="30"/>
        </w:rPr>
        <w:t>对回购申报账户合法性（指定交易）进行检查。</w:t>
      </w:r>
      <w:r>
        <w:rPr>
          <w:rFonts w:hint="eastAsia" w:ascii="仿宋_GB2312" w:hAnsi="宋体" w:eastAsia="仿宋_GB2312"/>
          <w:sz w:val="30"/>
          <w:szCs w:val="30"/>
        </w:rPr>
        <w:t>正回购方可以在其质押券对应的融资额度内进行融资回购交易申报，系统将对</w:t>
      </w:r>
      <w:r>
        <w:rPr>
          <w:rFonts w:ascii="仿宋_GB2312" w:hAnsi="宋体" w:eastAsia="仿宋_GB2312"/>
          <w:sz w:val="30"/>
          <w:szCs w:val="30"/>
        </w:rPr>
        <w:t>正回购交易申报中的融资金额和该证券账户的实时可融资额度进行比较，如果申报的</w:t>
      </w:r>
      <w:r>
        <w:rPr>
          <w:rFonts w:hint="eastAsia" w:ascii="仿宋_GB2312" w:hAnsi="Calibri" w:eastAsia="仿宋_GB2312"/>
          <w:sz w:val="30"/>
          <w:szCs w:val="30"/>
        </w:rPr>
        <w:t>融资金额</w:t>
      </w:r>
      <w:r>
        <w:rPr>
          <w:rFonts w:hint="eastAsia" w:ascii="仿宋_GB2312" w:hAnsi="宋体" w:eastAsia="仿宋_GB2312"/>
          <w:sz w:val="30"/>
          <w:szCs w:val="30"/>
        </w:rPr>
        <w:t>超过该证券账户实时可融资额度则属于无效申报。</w:t>
      </w:r>
    </w:p>
    <w:p w14:paraId="672CA53E">
      <w:pPr>
        <w:spacing w:line="600" w:lineRule="exact"/>
        <w:ind w:left="567" w:firstLine="151" w:firstLineChars="50"/>
        <w:outlineLvl w:val="3"/>
        <w:rPr>
          <w:rFonts w:ascii="仿宋_GB2312" w:eastAsia="仿宋_GB2312"/>
          <w:b/>
          <w:sz w:val="30"/>
          <w:szCs w:val="30"/>
        </w:rPr>
      </w:pPr>
      <w:r>
        <w:rPr>
          <w:rFonts w:hint="eastAsia" w:ascii="仿宋_GB2312" w:eastAsia="仿宋_GB2312"/>
          <w:b/>
          <w:sz w:val="30"/>
          <w:szCs w:val="30"/>
        </w:rPr>
        <w:t>（3）成交</w:t>
      </w:r>
    </w:p>
    <w:p w14:paraId="75A2A30D">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新债券交易系统将有效的正回购交易申报和逆回购交易申报撮合配对，回购交易达成，新债券交易系统根据相应成交金额实时扣减正回购方相应证券账户的可融资额度。</w:t>
      </w:r>
    </w:p>
    <w:p w14:paraId="7CFCC823">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新债券交易系统将回购交易成交数据发送给交易对应的买卖双方。成交要素包括成交编号、价格、数量等信息，具体如下：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CE0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6BB68CF">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180B8B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7741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81EB68C">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6429" w:type="dxa"/>
          </w:tcPr>
          <w:p w14:paraId="15F2C92F">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w:t>
            </w:r>
          </w:p>
        </w:tc>
      </w:tr>
      <w:tr w14:paraId="506A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B2D00AB">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3758C13E">
            <w:pPr>
              <w:adjustRightInd w:val="0"/>
              <w:snapToGrid w:val="0"/>
              <w:rPr>
                <w:rFonts w:ascii="仿宋_GB2312" w:eastAsia="仿宋_GB2312"/>
                <w:kern w:val="0"/>
                <w:sz w:val="24"/>
                <w:szCs w:val="24"/>
              </w:rPr>
            </w:pPr>
            <w:r>
              <w:rPr>
                <w:rFonts w:hint="eastAsia" w:ascii="仿宋_GB2312" w:eastAsia="仿宋_GB2312"/>
                <w:kern w:val="0"/>
                <w:sz w:val="24"/>
                <w:szCs w:val="24"/>
              </w:rPr>
              <w:t>交易品种的证券代码，同申报订单</w:t>
            </w:r>
          </w:p>
        </w:tc>
      </w:tr>
      <w:tr w14:paraId="38A3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164FD67D">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成交日期时间</w:t>
            </w:r>
          </w:p>
        </w:tc>
        <w:tc>
          <w:tcPr>
            <w:tcW w:w="6429" w:type="dxa"/>
          </w:tcPr>
          <w:p w14:paraId="3BD59216">
            <w:pPr>
              <w:adjustRightInd w:val="0"/>
              <w:snapToGrid w:val="0"/>
              <w:rPr>
                <w:rFonts w:ascii="仿宋_GB2312" w:eastAsia="仿宋_GB2312"/>
                <w:kern w:val="0"/>
                <w:sz w:val="24"/>
                <w:szCs w:val="24"/>
              </w:rPr>
            </w:pPr>
            <w:r>
              <w:rPr>
                <w:rFonts w:hint="eastAsia" w:ascii="仿宋_GB2312" w:eastAsia="仿宋_GB2312"/>
                <w:kern w:val="0"/>
                <w:sz w:val="24"/>
                <w:szCs w:val="24"/>
              </w:rPr>
              <w:t>交易成交的日期（年月日）及时间（时分秒）</w:t>
            </w:r>
          </w:p>
        </w:tc>
      </w:tr>
      <w:tr w14:paraId="0F93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725436E">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56CB2422">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交易的买卖方向，同申报订单</w:t>
            </w:r>
          </w:p>
        </w:tc>
      </w:tr>
      <w:tr w14:paraId="46B6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3588471">
            <w:pPr>
              <w:adjustRightInd w:val="0"/>
              <w:snapToGrid w:val="0"/>
              <w:rPr>
                <w:rFonts w:ascii="仿宋_GB2312" w:eastAsia="仿宋_GB2312"/>
                <w:b/>
                <w:kern w:val="0"/>
                <w:sz w:val="24"/>
                <w:szCs w:val="24"/>
              </w:rPr>
            </w:pPr>
            <w:r>
              <w:rPr>
                <w:rFonts w:hint="eastAsia" w:ascii="仿宋_GB2312" w:eastAsia="仿宋_GB2312"/>
                <w:b/>
                <w:kern w:val="0"/>
                <w:sz w:val="24"/>
                <w:szCs w:val="24"/>
              </w:rPr>
              <w:t>成交价格</w:t>
            </w:r>
          </w:p>
        </w:tc>
        <w:tc>
          <w:tcPr>
            <w:tcW w:w="6429" w:type="dxa"/>
          </w:tcPr>
          <w:p w14:paraId="0FCF0BF7">
            <w:pPr>
              <w:adjustRightInd w:val="0"/>
              <w:snapToGrid w:val="0"/>
              <w:rPr>
                <w:rFonts w:ascii="仿宋_GB2312" w:eastAsia="仿宋_GB2312"/>
                <w:kern w:val="0"/>
                <w:sz w:val="24"/>
                <w:szCs w:val="24"/>
              </w:rPr>
            </w:pPr>
            <w:r>
              <w:rPr>
                <w:rFonts w:hint="eastAsia" w:ascii="仿宋_GB2312" w:eastAsia="仿宋_GB2312"/>
                <w:kern w:val="0"/>
                <w:sz w:val="24"/>
                <w:szCs w:val="24"/>
              </w:rPr>
              <w:t>成交的价格，每百元资金到期年收益（元）</w:t>
            </w:r>
          </w:p>
        </w:tc>
      </w:tr>
      <w:tr w14:paraId="1690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19E3162">
            <w:pPr>
              <w:adjustRightInd w:val="0"/>
              <w:snapToGrid w:val="0"/>
              <w:rPr>
                <w:rFonts w:ascii="仿宋_GB2312" w:eastAsia="仿宋_GB2312"/>
                <w:b/>
                <w:kern w:val="0"/>
                <w:sz w:val="24"/>
                <w:szCs w:val="24"/>
              </w:rPr>
            </w:pPr>
            <w:r>
              <w:rPr>
                <w:rFonts w:hint="eastAsia" w:ascii="仿宋_GB2312" w:eastAsia="仿宋_GB2312"/>
                <w:b/>
                <w:kern w:val="0"/>
                <w:sz w:val="24"/>
                <w:szCs w:val="24"/>
              </w:rPr>
              <w:t>成交数量</w:t>
            </w:r>
          </w:p>
        </w:tc>
        <w:tc>
          <w:tcPr>
            <w:tcW w:w="6429" w:type="dxa"/>
          </w:tcPr>
          <w:p w14:paraId="47D3759A">
            <w:pPr>
              <w:adjustRightInd w:val="0"/>
              <w:snapToGrid w:val="0"/>
              <w:rPr>
                <w:rFonts w:ascii="仿宋_GB2312" w:eastAsia="仿宋_GB2312"/>
                <w:kern w:val="0"/>
                <w:sz w:val="24"/>
                <w:szCs w:val="24"/>
              </w:rPr>
            </w:pPr>
            <w:r>
              <w:rPr>
                <w:rFonts w:hint="eastAsia" w:ascii="仿宋_GB2312" w:eastAsia="仿宋_GB2312"/>
                <w:kern w:val="0"/>
                <w:sz w:val="24"/>
                <w:szCs w:val="24"/>
              </w:rPr>
              <w:t>成交的数量，单位：千元面额。</w:t>
            </w:r>
          </w:p>
        </w:tc>
      </w:tr>
      <w:tr w14:paraId="720D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0DCB9C6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429" w:type="dxa"/>
          </w:tcPr>
          <w:p w14:paraId="6A956F4F">
            <w:pPr>
              <w:adjustRightInd w:val="0"/>
              <w:snapToGrid w:val="0"/>
              <w:rPr>
                <w:rFonts w:ascii="仿宋_GB2312" w:eastAsia="仿宋_GB2312"/>
                <w:kern w:val="0"/>
                <w:sz w:val="24"/>
                <w:szCs w:val="24"/>
              </w:rPr>
            </w:pPr>
            <w:r>
              <w:rPr>
                <w:rFonts w:hint="eastAsia" w:ascii="仿宋_GB2312" w:eastAsia="仿宋_GB2312"/>
                <w:kern w:val="0"/>
                <w:sz w:val="24"/>
                <w:szCs w:val="24"/>
              </w:rPr>
              <w:t>即回购总额</w:t>
            </w:r>
          </w:p>
        </w:tc>
      </w:tr>
      <w:tr w14:paraId="01B1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5CB4A216">
            <w:pPr>
              <w:adjustRightInd w:val="0"/>
              <w:snapToGrid w:val="0"/>
              <w:rPr>
                <w:rFonts w:ascii="仿宋_GB2312" w:eastAsia="仿宋_GB2312"/>
                <w:b/>
                <w:kern w:val="0"/>
                <w:sz w:val="24"/>
                <w:szCs w:val="24"/>
              </w:rPr>
            </w:pPr>
            <w:r>
              <w:rPr>
                <w:rFonts w:hint="eastAsia" w:ascii="仿宋_GB2312" w:eastAsia="仿宋_GB2312"/>
                <w:b/>
                <w:kern w:val="0"/>
                <w:sz w:val="24"/>
                <w:szCs w:val="24"/>
              </w:rPr>
              <w:t>交易账号</w:t>
            </w:r>
          </w:p>
        </w:tc>
        <w:tc>
          <w:tcPr>
            <w:tcW w:w="6429" w:type="dxa"/>
          </w:tcPr>
          <w:p w14:paraId="2470B4E8">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交易的证券账户号码，同申报订单</w:t>
            </w:r>
          </w:p>
        </w:tc>
      </w:tr>
      <w:tr w14:paraId="1AD0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C2F735B">
            <w:pPr>
              <w:adjustRightInd w:val="0"/>
              <w:snapToGrid w:val="0"/>
              <w:rPr>
                <w:rFonts w:ascii="仿宋_GB2312" w:eastAsia="仿宋_GB2312"/>
                <w:b/>
                <w:kern w:val="0"/>
                <w:sz w:val="24"/>
                <w:szCs w:val="24"/>
              </w:rPr>
            </w:pPr>
            <w:r>
              <w:rPr>
                <w:rFonts w:hint="eastAsia" w:ascii="仿宋_GB2312" w:eastAsia="仿宋_GB2312"/>
                <w:b/>
                <w:kern w:val="0"/>
                <w:sz w:val="24"/>
                <w:szCs w:val="24"/>
              </w:rPr>
              <w:t>交易PBU</w:t>
            </w:r>
          </w:p>
        </w:tc>
        <w:tc>
          <w:tcPr>
            <w:tcW w:w="6429" w:type="dxa"/>
          </w:tcPr>
          <w:p w14:paraId="521C0334">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债券交易参与人的交易单元号码，同申报订单</w:t>
            </w:r>
          </w:p>
        </w:tc>
      </w:tr>
      <w:tr w14:paraId="08B3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9AC8BFA">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23432A5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债券交易参与人内部为申报订单编制的序号，同申报订单</w:t>
            </w:r>
          </w:p>
        </w:tc>
      </w:tr>
      <w:tr w14:paraId="1EDD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8BD8724">
            <w:pPr>
              <w:adjustRightInd w:val="0"/>
              <w:snapToGrid w:val="0"/>
              <w:rPr>
                <w:rFonts w:ascii="仿宋_GB2312" w:eastAsia="仿宋_GB2312"/>
                <w:b/>
                <w:kern w:val="0"/>
                <w:sz w:val="24"/>
                <w:szCs w:val="24"/>
              </w:rPr>
            </w:pPr>
            <w:r>
              <w:rPr>
                <w:rFonts w:hint="eastAsia" w:ascii="仿宋_GB2312" w:eastAsia="仿宋_GB2312"/>
                <w:b/>
                <w:kern w:val="0"/>
                <w:sz w:val="24"/>
                <w:szCs w:val="24"/>
              </w:rPr>
              <w:t>成交状态</w:t>
            </w:r>
          </w:p>
        </w:tc>
        <w:tc>
          <w:tcPr>
            <w:tcW w:w="6429" w:type="dxa"/>
          </w:tcPr>
          <w:p w14:paraId="4FC5FED3">
            <w:pPr>
              <w:adjustRightInd w:val="0"/>
              <w:snapToGrid w:val="0"/>
              <w:rPr>
                <w:rFonts w:ascii="仿宋_GB2312" w:eastAsia="仿宋_GB2312"/>
                <w:kern w:val="0"/>
                <w:sz w:val="24"/>
                <w:szCs w:val="24"/>
              </w:rPr>
            </w:pPr>
            <w:r>
              <w:rPr>
                <w:rFonts w:hint="eastAsia" w:ascii="仿宋_GB2312" w:eastAsia="仿宋_GB2312"/>
                <w:kern w:val="0"/>
                <w:sz w:val="24"/>
                <w:szCs w:val="24"/>
              </w:rPr>
              <w:t>全部成交、部分成交</w:t>
            </w:r>
          </w:p>
        </w:tc>
      </w:tr>
    </w:tbl>
    <w:p w14:paraId="6341FD2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3AA19F73">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宋体" w:eastAsia="仿宋_GB2312" w:cs="宋体"/>
          <w:b/>
          <w:kern w:val="0"/>
          <w:sz w:val="30"/>
          <w:szCs w:val="30"/>
        </w:rPr>
        <w:t>（</w:t>
      </w:r>
      <w:r>
        <w:rPr>
          <w:rFonts w:ascii="仿宋_GB2312" w:hAnsi="宋体" w:eastAsia="仿宋_GB2312" w:cs="宋体"/>
          <w:b/>
          <w:kern w:val="0"/>
          <w:sz w:val="30"/>
          <w:szCs w:val="30"/>
        </w:rPr>
        <w:t>1）质押券价值</w:t>
      </w:r>
      <w:r>
        <w:rPr>
          <w:rFonts w:hint="eastAsia" w:ascii="仿宋_GB2312" w:hAnsi="宋体" w:eastAsia="仿宋_GB2312" w:cs="宋体"/>
          <w:b/>
          <w:color w:val="000000"/>
          <w:kern w:val="0"/>
          <w:sz w:val="30"/>
          <w:szCs w:val="30"/>
        </w:rPr>
        <w:t>足额要求</w:t>
      </w:r>
    </w:p>
    <w:p w14:paraId="631C8F78">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通用回购交易存续期内，正回购方应当保证质押券价值足额。因质押券准入标准调整、折算率调整等原因导致质押券价值不足时，正回购方应当按照登记结算机构的有关规定及时予以补足。</w:t>
      </w:r>
    </w:p>
    <w:p w14:paraId="0A0B7925">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正回购</w:t>
      </w:r>
      <w:r>
        <w:rPr>
          <w:rFonts w:ascii="仿宋_GB2312" w:hAnsi="宋体" w:eastAsia="仿宋_GB2312" w:cs="宋体"/>
          <w:color w:val="000000"/>
          <w:kern w:val="0"/>
          <w:sz w:val="30"/>
          <w:szCs w:val="30"/>
        </w:rPr>
        <w:t>方亦可通过其</w:t>
      </w:r>
      <w:r>
        <w:rPr>
          <w:rFonts w:hint="eastAsia" w:ascii="仿宋_GB2312" w:hAnsi="宋体" w:eastAsia="仿宋_GB2312" w:cs="宋体"/>
          <w:color w:val="000000"/>
          <w:kern w:val="0"/>
          <w:sz w:val="30"/>
          <w:szCs w:val="30"/>
        </w:rPr>
        <w:t>结算参与人</w:t>
      </w:r>
      <w:r>
        <w:rPr>
          <w:rFonts w:ascii="仿宋_GB2312" w:hAnsi="宋体" w:eastAsia="仿宋_GB2312" w:cs="宋体"/>
          <w:color w:val="000000"/>
          <w:kern w:val="0"/>
          <w:sz w:val="30"/>
          <w:szCs w:val="30"/>
        </w:rPr>
        <w:t>向登记结算机构</w:t>
      </w:r>
      <w:r>
        <w:rPr>
          <w:rFonts w:hint="eastAsia" w:ascii="仿宋_GB2312" w:hAnsi="宋体" w:eastAsia="仿宋_GB2312" w:cs="宋体"/>
          <w:color w:val="000000"/>
          <w:kern w:val="0"/>
          <w:sz w:val="30"/>
          <w:szCs w:val="30"/>
        </w:rPr>
        <w:t>提交现金担保品作为债券融资回购业务应付款项的担保金，但现金担保品不增加</w:t>
      </w:r>
      <w:r>
        <w:rPr>
          <w:rFonts w:ascii="仿宋_GB2312" w:hAnsi="宋体" w:eastAsia="仿宋_GB2312" w:cs="宋体"/>
          <w:color w:val="000000"/>
          <w:kern w:val="0"/>
          <w:sz w:val="30"/>
          <w:szCs w:val="30"/>
        </w:rPr>
        <w:t>该</w:t>
      </w:r>
      <w:r>
        <w:rPr>
          <w:rFonts w:hint="eastAsia" w:ascii="仿宋_GB2312" w:hAnsi="宋体" w:eastAsia="仿宋_GB2312" w:cs="宋体"/>
          <w:color w:val="000000"/>
          <w:kern w:val="0"/>
          <w:sz w:val="30"/>
          <w:szCs w:val="30"/>
        </w:rPr>
        <w:t>证券账户的可融资额度。</w:t>
      </w:r>
    </w:p>
    <w:p w14:paraId="19113D4B">
      <w:pPr>
        <w:adjustRightInd w:val="0"/>
        <w:snapToGrid w:val="0"/>
        <w:spacing w:line="600" w:lineRule="exact"/>
        <w:ind w:firstLine="600" w:firstLineChars="200"/>
        <w:rPr>
          <w:rFonts w:ascii="仿宋_GB2312" w:hAnsi="宋体" w:eastAsia="仿宋_GB2312" w:cs="宋体"/>
          <w:color w:val="000000"/>
          <w:kern w:val="0"/>
          <w:sz w:val="30"/>
          <w:szCs w:val="30"/>
        </w:rPr>
      </w:pPr>
      <w:r>
        <w:rPr>
          <w:rFonts w:ascii="仿宋_GB2312" w:hAnsi="宋体" w:eastAsia="仿宋_GB2312" w:cs="宋体"/>
          <w:color w:val="000000"/>
          <w:kern w:val="0"/>
          <w:sz w:val="30"/>
          <w:szCs w:val="30"/>
        </w:rPr>
        <w:t>现金担保品业务</w:t>
      </w:r>
      <w:r>
        <w:rPr>
          <w:rFonts w:hint="eastAsia" w:ascii="仿宋_GB2312" w:hAnsi="宋体" w:eastAsia="仿宋_GB2312" w:cs="宋体"/>
          <w:color w:val="000000"/>
          <w:kern w:val="0"/>
          <w:sz w:val="30"/>
          <w:szCs w:val="30"/>
        </w:rPr>
        <w:t>具体事项按照中国证券登记结算有限责任公司</w:t>
      </w:r>
      <w:r>
        <w:rPr>
          <w:rFonts w:ascii="仿宋_GB2312" w:hAnsi="宋体" w:eastAsia="仿宋_GB2312" w:cs="宋体"/>
          <w:color w:val="000000"/>
          <w:kern w:val="0"/>
          <w:sz w:val="30"/>
          <w:szCs w:val="30"/>
        </w:rPr>
        <w:t>《</w:t>
      </w:r>
      <w:r>
        <w:rPr>
          <w:rFonts w:hint="eastAsia" w:ascii="仿宋_GB2312" w:hAnsi="微软雅黑" w:eastAsia="仿宋_GB2312"/>
          <w:color w:val="000000"/>
          <w:sz w:val="30"/>
          <w:szCs w:val="30"/>
        </w:rPr>
        <w:t>关于质押式回购现金担保品有关事项的通知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67E6C9E0">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仿宋" w:cs="宋体"/>
          <w:b/>
          <w:color w:val="000000"/>
          <w:kern w:val="0"/>
          <w:sz w:val="30"/>
          <w:szCs w:val="30"/>
        </w:rPr>
        <w:t>（</w:t>
      </w:r>
      <w:r>
        <w:rPr>
          <w:rFonts w:ascii="仿宋_GB2312" w:hAnsi="仿宋" w:cs="宋体"/>
          <w:b/>
          <w:color w:val="000000"/>
          <w:kern w:val="0"/>
          <w:sz w:val="30"/>
          <w:szCs w:val="30"/>
        </w:rPr>
        <w:t>2</w:t>
      </w:r>
      <w:r>
        <w:rPr>
          <w:rFonts w:hint="eastAsia" w:ascii="仿宋_GB2312" w:hAnsi="仿宋" w:cs="宋体"/>
          <w:b/>
          <w:color w:val="000000"/>
          <w:kern w:val="0"/>
          <w:sz w:val="30"/>
          <w:szCs w:val="30"/>
        </w:rPr>
        <w:t>）</w:t>
      </w:r>
      <w:r>
        <w:rPr>
          <w:rFonts w:hint="eastAsia" w:ascii="仿宋_GB2312" w:hAnsi="宋体" w:eastAsia="仿宋_GB2312" w:cs="宋体"/>
          <w:b/>
          <w:color w:val="000000"/>
          <w:kern w:val="0"/>
          <w:sz w:val="30"/>
          <w:szCs w:val="30"/>
        </w:rPr>
        <w:t>权益处理</w:t>
      </w:r>
    </w:p>
    <w:p w14:paraId="03EE896C">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质押库内的质押券在质押期限内正回购方不得卖出、转股、换股和回售。质押期</w:t>
      </w:r>
      <w:r>
        <w:rPr>
          <w:rFonts w:hint="eastAsia" w:ascii="仿宋_GB2312" w:hAnsi="宋体" w:eastAsia="仿宋_GB2312" w:cs="宋体"/>
          <w:kern w:val="0"/>
          <w:sz w:val="30"/>
          <w:szCs w:val="30"/>
        </w:rPr>
        <w:t>限内</w:t>
      </w:r>
      <w:r>
        <w:rPr>
          <w:rFonts w:hint="eastAsia" w:ascii="仿宋_GB2312" w:hAnsi="宋体" w:eastAsia="仿宋_GB2312" w:cs="宋体"/>
          <w:color w:val="000000"/>
          <w:kern w:val="0"/>
          <w:sz w:val="30"/>
          <w:szCs w:val="30"/>
        </w:rPr>
        <w:t>，质押券发生派息、兑付等情形的，按照登记结算机构相关规则处理。</w:t>
      </w:r>
    </w:p>
    <w:p w14:paraId="04A262A5">
      <w:pPr>
        <w:adjustRightInd w:val="0"/>
        <w:snapToGrid w:val="0"/>
        <w:spacing w:line="600" w:lineRule="exact"/>
        <w:ind w:firstLine="602" w:firstLineChars="200"/>
        <w:rPr>
          <w:rFonts w:ascii="仿宋_GB2312" w:hAnsi="Calibri" w:eastAsia="仿宋_GB2312"/>
          <w:b/>
          <w:color w:val="000000"/>
          <w:sz w:val="30"/>
          <w:szCs w:val="30"/>
        </w:rPr>
      </w:pPr>
      <w:r>
        <w:rPr>
          <w:rFonts w:hint="eastAsia" w:ascii="仿宋_GB2312" w:hAnsi="Calibri" w:eastAsia="仿宋_GB2312"/>
          <w:b/>
          <w:color w:val="000000"/>
          <w:sz w:val="30"/>
          <w:szCs w:val="30"/>
        </w:rPr>
        <w:t>（3）换券</w:t>
      </w:r>
    </w:p>
    <w:p w14:paraId="3F2A3BFD">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color w:val="000000"/>
          <w:sz w:val="30"/>
          <w:szCs w:val="30"/>
        </w:rPr>
        <w:t>通用回购可利用T+0日间出入库申报，实现日内换券。</w:t>
      </w:r>
      <w:r>
        <w:rPr>
          <w:rFonts w:hint="eastAsia" w:ascii="仿宋_GB2312" w:hAnsi="Calibri" w:eastAsia="仿宋_GB2312"/>
          <w:sz w:val="30"/>
          <w:szCs w:val="30"/>
        </w:rPr>
        <w:t>正回购方</w:t>
      </w:r>
      <w:r>
        <w:rPr>
          <w:rFonts w:hint="eastAsia" w:ascii="仿宋_GB2312" w:hAnsi="Calibri" w:eastAsia="仿宋_GB2312"/>
          <w:color w:val="000000"/>
          <w:sz w:val="30"/>
          <w:szCs w:val="30"/>
        </w:rPr>
        <w:t>在质押券可转出数量足额时提交出库申报，出库成功后即可卖出，与此同时将购入的新券或其余存量持仓债券提交入库申报，入库成功后即实现了日内换券。</w:t>
      </w:r>
    </w:p>
    <w:p w14:paraId="4521D30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通用回购期限</w:t>
      </w:r>
    </w:p>
    <w:p w14:paraId="26A2F41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通用回购按照期限分为</w:t>
      </w:r>
      <w:r>
        <w:rPr>
          <w:rFonts w:ascii="仿宋_GB2312" w:hAnsi="微软雅黑" w:eastAsia="仿宋_GB2312"/>
          <w:color w:val="000000"/>
          <w:sz w:val="30"/>
          <w:szCs w:val="30"/>
        </w:rPr>
        <w:t>1天、2天、3天、4天、7天、14天、28天、91天和182天等。</w:t>
      </w:r>
      <w:r>
        <w:rPr>
          <w:rFonts w:hint="eastAsia" w:ascii="仿宋_GB2312" w:hAnsi="Calibri" w:eastAsia="仿宋_GB2312"/>
          <w:sz w:val="30"/>
          <w:szCs w:val="30"/>
        </w:rPr>
        <w:t>本所可以根据市场情况调整通用回购的期限。</w:t>
      </w:r>
      <w:r>
        <w:rPr>
          <w:rFonts w:hint="eastAsia" w:ascii="仿宋_GB2312" w:hAnsi="Calibri" w:eastAsia="仿宋_GB2312"/>
          <w:color w:val="000000"/>
          <w:sz w:val="30"/>
          <w:szCs w:val="30"/>
        </w:rPr>
        <w:t>通用回购的证券代码为</w:t>
      </w:r>
      <w:r>
        <w:rPr>
          <w:rFonts w:ascii="仿宋_GB2312" w:hAnsi="Calibri" w:eastAsia="仿宋_GB2312"/>
          <w:color w:val="000000"/>
          <w:sz w:val="30"/>
          <w:szCs w:val="30"/>
        </w:rPr>
        <w:t xml:space="preserve"> </w:t>
      </w:r>
      <w:r>
        <w:rPr>
          <w:rFonts w:hint="eastAsia" w:ascii="仿宋_GB2312" w:hAnsi="Calibri" w:eastAsia="仿宋_GB2312"/>
          <w:color w:val="000000"/>
          <w:sz w:val="30"/>
          <w:szCs w:val="30"/>
        </w:rPr>
        <w:t>“204***”，简称为“GC***”，其中后三位是以天数表示的通用回购期限。</w:t>
      </w:r>
    </w:p>
    <w:p w14:paraId="76295DE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通用回购交易的期限按日历时间（自然日）计算，如到期日为非交易日，顺延至下一个交易日结算。</w:t>
      </w:r>
    </w:p>
    <w:p w14:paraId="1DA15F45">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各回购品种的申报代码分别如下：</w:t>
      </w:r>
    </w:p>
    <w:tbl>
      <w:tblPr>
        <w:tblStyle w:val="43"/>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662"/>
        <w:gridCol w:w="2449"/>
        <w:gridCol w:w="3409"/>
      </w:tblGrid>
      <w:tr w14:paraId="4F2C16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3CA5749">
            <w:pPr>
              <w:tabs>
                <w:tab w:val="left" w:pos="0"/>
              </w:tabs>
              <w:adjustRightInd w:val="0"/>
              <w:snapToGrid w:val="0"/>
              <w:jc w:val="center"/>
              <w:rPr>
                <w:rFonts w:ascii="仿宋_GB2312" w:eastAsia="仿宋_GB2312"/>
                <w:b/>
                <w:bCs/>
                <w:sz w:val="24"/>
                <w:szCs w:val="24"/>
              </w:rPr>
            </w:pPr>
            <w:r>
              <w:rPr>
                <w:rFonts w:hint="eastAsia" w:ascii="仿宋_GB2312" w:eastAsia="仿宋_GB2312"/>
                <w:b/>
                <w:bCs/>
                <w:sz w:val="24"/>
                <w:szCs w:val="24"/>
              </w:rPr>
              <w:t>代码</w:t>
            </w:r>
          </w:p>
        </w:tc>
        <w:tc>
          <w:tcPr>
            <w:tcW w:w="1437" w:type="pct"/>
            <w:vAlign w:val="center"/>
          </w:tcPr>
          <w:p w14:paraId="63E8D7A6">
            <w:pPr>
              <w:tabs>
                <w:tab w:val="left" w:pos="0"/>
              </w:tabs>
              <w:adjustRightInd w:val="0"/>
              <w:snapToGrid w:val="0"/>
              <w:ind w:firstLine="843" w:firstLineChars="350"/>
              <w:rPr>
                <w:rFonts w:ascii="仿宋_GB2312" w:eastAsia="仿宋_GB2312"/>
                <w:b/>
                <w:bCs/>
                <w:sz w:val="24"/>
                <w:szCs w:val="24"/>
              </w:rPr>
            </w:pPr>
            <w:r>
              <w:rPr>
                <w:rFonts w:hint="eastAsia" w:ascii="仿宋_GB2312" w:eastAsia="仿宋_GB2312"/>
                <w:b/>
                <w:bCs/>
                <w:sz w:val="24"/>
                <w:szCs w:val="24"/>
              </w:rPr>
              <w:t>简称</w:t>
            </w:r>
          </w:p>
        </w:tc>
        <w:tc>
          <w:tcPr>
            <w:tcW w:w="2000" w:type="pct"/>
            <w:vAlign w:val="center"/>
          </w:tcPr>
          <w:p w14:paraId="75B14331">
            <w:pPr>
              <w:tabs>
                <w:tab w:val="left" w:pos="0"/>
              </w:tabs>
              <w:adjustRightInd w:val="0"/>
              <w:snapToGrid w:val="0"/>
              <w:ind w:firstLine="1205" w:firstLineChars="500"/>
              <w:rPr>
                <w:rFonts w:ascii="仿宋_GB2312" w:eastAsia="仿宋_GB2312"/>
                <w:b/>
                <w:bCs/>
                <w:sz w:val="24"/>
                <w:szCs w:val="24"/>
              </w:rPr>
            </w:pPr>
            <w:r>
              <w:rPr>
                <w:rFonts w:hint="eastAsia" w:ascii="仿宋_GB2312" w:eastAsia="仿宋_GB2312"/>
                <w:b/>
                <w:bCs/>
                <w:sz w:val="24"/>
                <w:szCs w:val="24"/>
              </w:rPr>
              <w:t>品种</w:t>
            </w:r>
          </w:p>
        </w:tc>
      </w:tr>
      <w:tr w14:paraId="12762A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28A61A35">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204001</w:t>
            </w:r>
          </w:p>
        </w:tc>
        <w:tc>
          <w:tcPr>
            <w:tcW w:w="1437" w:type="pct"/>
            <w:vAlign w:val="center"/>
          </w:tcPr>
          <w:p w14:paraId="7D71936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GC001</w:t>
            </w:r>
          </w:p>
        </w:tc>
        <w:tc>
          <w:tcPr>
            <w:tcW w:w="2000" w:type="pct"/>
            <w:vAlign w:val="center"/>
          </w:tcPr>
          <w:p w14:paraId="1F6CAD8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1天回购</w:t>
            </w:r>
          </w:p>
        </w:tc>
      </w:tr>
      <w:tr w14:paraId="7BB273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EC834D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204002</w:t>
            </w:r>
          </w:p>
        </w:tc>
        <w:tc>
          <w:tcPr>
            <w:tcW w:w="1437" w:type="pct"/>
            <w:vAlign w:val="center"/>
          </w:tcPr>
          <w:p w14:paraId="2378B5D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GC002</w:t>
            </w:r>
          </w:p>
        </w:tc>
        <w:tc>
          <w:tcPr>
            <w:tcW w:w="2000" w:type="pct"/>
            <w:vAlign w:val="center"/>
          </w:tcPr>
          <w:p w14:paraId="3183714F">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2天回购</w:t>
            </w:r>
          </w:p>
        </w:tc>
      </w:tr>
      <w:tr w14:paraId="173631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3C46215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204003</w:t>
            </w:r>
          </w:p>
        </w:tc>
        <w:tc>
          <w:tcPr>
            <w:tcW w:w="1437" w:type="pct"/>
            <w:vAlign w:val="center"/>
          </w:tcPr>
          <w:p w14:paraId="4364FFA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GC003</w:t>
            </w:r>
          </w:p>
        </w:tc>
        <w:tc>
          <w:tcPr>
            <w:tcW w:w="2000" w:type="pct"/>
            <w:vAlign w:val="center"/>
          </w:tcPr>
          <w:p w14:paraId="19D32B16">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3天回购</w:t>
            </w:r>
          </w:p>
        </w:tc>
      </w:tr>
      <w:tr w14:paraId="404C31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56F00DD1">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204004</w:t>
            </w:r>
          </w:p>
        </w:tc>
        <w:tc>
          <w:tcPr>
            <w:tcW w:w="1437" w:type="pct"/>
            <w:vAlign w:val="center"/>
          </w:tcPr>
          <w:p w14:paraId="02885D1D">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GC004</w:t>
            </w:r>
          </w:p>
        </w:tc>
        <w:tc>
          <w:tcPr>
            <w:tcW w:w="2000" w:type="pct"/>
            <w:vAlign w:val="center"/>
          </w:tcPr>
          <w:p w14:paraId="4C029CF5">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4天回购</w:t>
            </w:r>
          </w:p>
        </w:tc>
      </w:tr>
      <w:tr w14:paraId="390654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4C9F3C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204007</w:t>
            </w:r>
          </w:p>
        </w:tc>
        <w:tc>
          <w:tcPr>
            <w:tcW w:w="1437" w:type="pct"/>
            <w:vAlign w:val="center"/>
          </w:tcPr>
          <w:p w14:paraId="32852C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GC007</w:t>
            </w:r>
          </w:p>
        </w:tc>
        <w:tc>
          <w:tcPr>
            <w:tcW w:w="2000" w:type="pct"/>
            <w:vAlign w:val="center"/>
          </w:tcPr>
          <w:p w14:paraId="455D140A">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7天回购</w:t>
            </w:r>
          </w:p>
        </w:tc>
      </w:tr>
      <w:tr w14:paraId="2C8016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1A57B1F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204014</w:t>
            </w:r>
          </w:p>
        </w:tc>
        <w:tc>
          <w:tcPr>
            <w:tcW w:w="1437" w:type="pct"/>
            <w:vAlign w:val="center"/>
          </w:tcPr>
          <w:p w14:paraId="55B2799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GC014</w:t>
            </w:r>
          </w:p>
        </w:tc>
        <w:tc>
          <w:tcPr>
            <w:tcW w:w="2000" w:type="pct"/>
            <w:vAlign w:val="center"/>
          </w:tcPr>
          <w:p w14:paraId="6CE46CD9">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14天回购</w:t>
            </w:r>
          </w:p>
        </w:tc>
      </w:tr>
      <w:tr w14:paraId="6D3FD6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2CEB93C4">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204028</w:t>
            </w:r>
          </w:p>
        </w:tc>
        <w:tc>
          <w:tcPr>
            <w:tcW w:w="1437" w:type="pct"/>
            <w:vAlign w:val="center"/>
          </w:tcPr>
          <w:p w14:paraId="4A3590D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GC028</w:t>
            </w:r>
          </w:p>
        </w:tc>
        <w:tc>
          <w:tcPr>
            <w:tcW w:w="2000" w:type="pct"/>
            <w:vAlign w:val="center"/>
          </w:tcPr>
          <w:p w14:paraId="64341FEC">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28天回购</w:t>
            </w:r>
          </w:p>
        </w:tc>
      </w:tr>
      <w:tr w14:paraId="4D3CA8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BEFA369">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204091</w:t>
            </w:r>
          </w:p>
        </w:tc>
        <w:tc>
          <w:tcPr>
            <w:tcW w:w="1437" w:type="pct"/>
            <w:vAlign w:val="center"/>
          </w:tcPr>
          <w:p w14:paraId="2C93503E">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GC091</w:t>
            </w:r>
          </w:p>
        </w:tc>
        <w:tc>
          <w:tcPr>
            <w:tcW w:w="2000" w:type="pct"/>
            <w:vAlign w:val="center"/>
          </w:tcPr>
          <w:p w14:paraId="2BD040F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91天回购</w:t>
            </w:r>
          </w:p>
        </w:tc>
      </w:tr>
      <w:tr w14:paraId="43E32B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7FDF671B">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204182</w:t>
            </w:r>
          </w:p>
        </w:tc>
        <w:tc>
          <w:tcPr>
            <w:tcW w:w="1437" w:type="pct"/>
            <w:vAlign w:val="center"/>
          </w:tcPr>
          <w:p w14:paraId="03E8E4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GC182</w:t>
            </w:r>
          </w:p>
        </w:tc>
        <w:tc>
          <w:tcPr>
            <w:tcW w:w="2000" w:type="pct"/>
            <w:vAlign w:val="center"/>
          </w:tcPr>
          <w:p w14:paraId="48F142FD">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182天回购</w:t>
            </w:r>
          </w:p>
        </w:tc>
      </w:tr>
    </w:tbl>
    <w:p w14:paraId="12F7F4B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回购到期的处理</w:t>
      </w:r>
    </w:p>
    <w:p w14:paraId="1BE3D6E5">
      <w:pPr>
        <w:adjustRightInd w:val="0"/>
        <w:snapToGrid w:val="0"/>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回购到期日，新债券交易系统根据登记结算机构提供的当日回购到期的数据，为相关账户增加相应可融资额度。正回购方可实现到期滚动续做，</w:t>
      </w:r>
      <w:r>
        <w:rPr>
          <w:rFonts w:hint="eastAsia" w:ascii="仿宋_GB2312" w:hAnsi="Calibri" w:eastAsia="仿宋_GB2312"/>
          <w:sz w:val="30"/>
          <w:szCs w:val="30"/>
        </w:rPr>
        <w:t>在可融资额度内进行新的融资回购，从而实现滚动融资；</w:t>
      </w:r>
      <w:r>
        <w:rPr>
          <w:rFonts w:hint="eastAsia" w:ascii="仿宋_GB2312" w:hAnsi="宋体" w:eastAsia="仿宋_GB2312"/>
          <w:sz w:val="30"/>
          <w:szCs w:val="30"/>
        </w:rPr>
        <w:t>或者</w:t>
      </w:r>
      <w:r>
        <w:rPr>
          <w:rFonts w:hint="eastAsia" w:ascii="仿宋_GB2312" w:hAnsi="Calibri" w:eastAsia="仿宋_GB2312"/>
          <w:sz w:val="30"/>
          <w:szCs w:val="30"/>
        </w:rPr>
        <w:t>申报将相关质押券转回原证券账户，并可在当日卖出，卖出的资金可用于</w:t>
      </w:r>
      <w:r>
        <w:rPr>
          <w:rFonts w:hint="eastAsia" w:ascii="仿宋_GB2312" w:hAnsi="宋体" w:eastAsia="仿宋_GB2312"/>
          <w:sz w:val="30"/>
          <w:szCs w:val="30"/>
        </w:rPr>
        <w:t>偿还到期购回款。</w:t>
      </w:r>
    </w:p>
    <w:p w14:paraId="3BFD7E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结算安排</w:t>
      </w:r>
    </w:p>
    <w:p w14:paraId="44CD4904">
      <w:pPr>
        <w:adjustRightInd w:val="0"/>
        <w:snapToGrid w:val="0"/>
        <w:spacing w:line="600" w:lineRule="exact"/>
        <w:ind w:firstLine="600" w:firstLineChars="200"/>
        <w:outlineLvl w:val="3"/>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1）结算安排</w:t>
      </w:r>
    </w:p>
    <w:p w14:paraId="0D222E5A">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证券登记结算机构每日日终以证券账户为单位进行融资额度核算，如果某证券账户提交质押券折算成的融资额度与提交的现金担保品之和小于融资未到期余额，则为“欠库”，证券登记结算机构对相应参与人进行欠库扣款。</w:t>
      </w:r>
    </w:p>
    <w:p w14:paraId="7B4D43F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通用</w:t>
      </w:r>
      <w:r>
        <w:rPr>
          <w:rFonts w:hint="eastAsia" w:ascii="仿宋_GB2312" w:hAnsi="Calibri" w:eastAsia="仿宋_GB2312"/>
          <w:color w:val="000000"/>
          <w:sz w:val="30"/>
          <w:szCs w:val="30"/>
        </w:rPr>
        <w:t>回购实行“一次成交、两次结算”，由登记结算机构作为中央对手方采取多边净额结算方式进行结算。</w:t>
      </w:r>
      <w:r>
        <w:rPr>
          <w:rFonts w:hint="eastAsia" w:ascii="仿宋_GB2312" w:hAnsi="宋体" w:eastAsia="仿宋_GB2312"/>
          <w:sz w:val="30"/>
          <w:szCs w:val="30"/>
        </w:rPr>
        <w:t>登记结算机构以结算备付金账户为单位，将回购成交应付资金数据</w:t>
      </w:r>
      <w:r>
        <w:rPr>
          <w:rFonts w:ascii="仿宋_GB2312" w:hAnsi="宋体" w:eastAsia="仿宋_GB2312"/>
          <w:sz w:val="30"/>
          <w:szCs w:val="30"/>
        </w:rPr>
        <w:t xml:space="preserve">, </w:t>
      </w:r>
      <w:r>
        <w:rPr>
          <w:rFonts w:hint="eastAsia" w:ascii="仿宋_GB2312" w:hAnsi="宋体" w:eastAsia="仿宋_GB2312"/>
          <w:sz w:val="30"/>
          <w:szCs w:val="30"/>
        </w:rPr>
        <w:t>与当日其它证券交易数据合并清算，轧差计算出结算备付金账户净应收或净应付资金余额，并在</w:t>
      </w:r>
      <w:r>
        <w:rPr>
          <w:rFonts w:ascii="仿宋_GB2312" w:hAnsi="宋体" w:eastAsia="仿宋_GB2312"/>
          <w:sz w:val="30"/>
          <w:szCs w:val="30"/>
        </w:rPr>
        <w:t>T+1日办理资金交收（具体</w:t>
      </w:r>
      <w:r>
        <w:rPr>
          <w:rFonts w:hint="eastAsia" w:ascii="仿宋_GB2312" w:hAnsi="宋体" w:eastAsia="仿宋_GB2312"/>
          <w:sz w:val="30"/>
          <w:szCs w:val="30"/>
        </w:rPr>
        <w:t>以</w:t>
      </w:r>
      <w:r>
        <w:rPr>
          <w:rFonts w:ascii="仿宋_GB2312" w:hAnsi="宋体" w:eastAsia="仿宋_GB2312"/>
          <w:sz w:val="30"/>
          <w:szCs w:val="30"/>
        </w:rPr>
        <w:t>登记结算机构相关业务规则</w:t>
      </w:r>
      <w:r>
        <w:rPr>
          <w:rFonts w:hint="eastAsia" w:ascii="仿宋_GB2312" w:hAnsi="宋体" w:eastAsia="仿宋_GB2312"/>
          <w:sz w:val="30"/>
          <w:szCs w:val="30"/>
        </w:rPr>
        <w:t>为准</w:t>
      </w:r>
      <w:r>
        <w:rPr>
          <w:rFonts w:ascii="仿宋_GB2312" w:hAnsi="宋体" w:eastAsia="仿宋_GB2312"/>
          <w:sz w:val="30"/>
          <w:szCs w:val="30"/>
        </w:rPr>
        <w:t>）。</w:t>
      </w:r>
    </w:p>
    <w:p w14:paraId="2BC385E7">
      <w:pPr>
        <w:adjustRightInd w:val="0"/>
        <w:snapToGrid w:val="0"/>
        <w:spacing w:line="600" w:lineRule="exact"/>
        <w:ind w:firstLine="600" w:firstLineChars="200"/>
        <w:outlineLvl w:val="3"/>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w:t>
      </w:r>
      <w:r>
        <w:rPr>
          <w:rFonts w:ascii="仿宋_GB2312" w:hAnsi="宋体" w:eastAsia="仿宋_GB2312" w:cs="宋体"/>
          <w:color w:val="000000"/>
          <w:kern w:val="0"/>
          <w:sz w:val="30"/>
          <w:szCs w:val="30"/>
        </w:rPr>
        <w:t>2）</w:t>
      </w:r>
      <w:r>
        <w:rPr>
          <w:rFonts w:ascii="仿宋_GB2312" w:hAnsi="宋体" w:eastAsia="仿宋_GB2312"/>
          <w:sz w:val="30"/>
          <w:szCs w:val="30"/>
        </w:rPr>
        <w:t>结算价格</w:t>
      </w:r>
    </w:p>
    <w:p w14:paraId="5EC4E60B">
      <w:pPr>
        <w:widowControl/>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通用回购初次结算的结算价格为</w:t>
      </w:r>
      <w:r>
        <w:rPr>
          <w:rFonts w:ascii="仿宋_GB2312" w:hAnsi="宋体" w:eastAsia="仿宋_GB2312" w:cs="宋体"/>
          <w:color w:val="000000"/>
          <w:kern w:val="0"/>
          <w:sz w:val="30"/>
          <w:szCs w:val="30"/>
        </w:rPr>
        <w:t>100元，到期结算的结算价格为购回价。购回价等于每百元资金的本金和利息之和，其计算公式为：</w:t>
      </w:r>
    </w:p>
    <w:p w14:paraId="2A6C76BA">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购回价=100元＋每百元资金到期年收益×实际占款天数/365。</w:t>
      </w:r>
    </w:p>
    <w:p w14:paraId="28B4428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实际占款天数是指当次</w:t>
      </w:r>
      <w:r>
        <w:rPr>
          <w:rFonts w:hint="eastAsia" w:ascii="仿宋_GB2312" w:hAnsi="仿宋" w:eastAsia="仿宋_GB2312"/>
          <w:color w:val="000000"/>
          <w:sz w:val="30"/>
          <w:szCs w:val="30"/>
        </w:rPr>
        <w:t>通用</w:t>
      </w:r>
      <w:r>
        <w:rPr>
          <w:rFonts w:hint="eastAsia" w:ascii="仿宋_GB2312" w:eastAsia="仿宋_GB2312"/>
          <w:sz w:val="30"/>
          <w:szCs w:val="30"/>
        </w:rPr>
        <w:t>回购交易的首次交收日（含）至到期交收日（不含）的实际日历天数，按自然日计算。</w:t>
      </w:r>
    </w:p>
    <w:p w14:paraId="44BB5149">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实际占款天数计算示例见下表：</w:t>
      </w:r>
    </w:p>
    <w:tbl>
      <w:tblPr>
        <w:tblStyle w:val="43"/>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028"/>
        <w:gridCol w:w="1523"/>
        <w:gridCol w:w="1037"/>
        <w:gridCol w:w="1529"/>
        <w:gridCol w:w="1657"/>
        <w:gridCol w:w="1541"/>
      </w:tblGrid>
      <w:tr w14:paraId="631A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4AEECFB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品种</w:t>
            </w:r>
          </w:p>
        </w:tc>
        <w:tc>
          <w:tcPr>
            <w:tcW w:w="1028" w:type="dxa"/>
            <w:vAlign w:val="center"/>
          </w:tcPr>
          <w:p w14:paraId="719AF88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16DC9A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B39ECC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DB6A36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4F83949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33613E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75C6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0452C7D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1天回购</w:t>
            </w:r>
          </w:p>
        </w:tc>
        <w:tc>
          <w:tcPr>
            <w:tcW w:w="1028" w:type="dxa"/>
            <w:vAlign w:val="center"/>
          </w:tcPr>
          <w:p w14:paraId="47ADF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72D25E1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1936D4C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9" w:type="dxa"/>
            <w:vAlign w:val="center"/>
          </w:tcPr>
          <w:p w14:paraId="35DDDD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657" w:type="dxa"/>
            <w:vAlign w:val="center"/>
          </w:tcPr>
          <w:p w14:paraId="71B239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41" w:type="dxa"/>
            <w:vAlign w:val="center"/>
          </w:tcPr>
          <w:p w14:paraId="3FC06BC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7A9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75FF32D">
            <w:pPr>
              <w:widowControl/>
              <w:adjustRightInd w:val="0"/>
              <w:snapToGrid w:val="0"/>
              <w:rPr>
                <w:rFonts w:ascii="仿宋_GB2312" w:eastAsia="仿宋_GB2312"/>
                <w:b/>
                <w:bCs/>
                <w:kern w:val="0"/>
                <w:sz w:val="24"/>
                <w:szCs w:val="24"/>
              </w:rPr>
            </w:pPr>
          </w:p>
        </w:tc>
        <w:tc>
          <w:tcPr>
            <w:tcW w:w="1028" w:type="dxa"/>
            <w:vAlign w:val="center"/>
          </w:tcPr>
          <w:p w14:paraId="08D9D9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4710EC7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5F75CE5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417FEB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7ADE292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6B62C290">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1E3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2D55CEDD">
            <w:pPr>
              <w:widowControl/>
              <w:adjustRightInd w:val="0"/>
              <w:snapToGrid w:val="0"/>
              <w:rPr>
                <w:rFonts w:ascii="仿宋_GB2312" w:eastAsia="仿宋_GB2312"/>
                <w:b/>
                <w:bCs/>
                <w:kern w:val="0"/>
                <w:sz w:val="24"/>
                <w:szCs w:val="24"/>
              </w:rPr>
            </w:pPr>
          </w:p>
        </w:tc>
        <w:tc>
          <w:tcPr>
            <w:tcW w:w="1028" w:type="dxa"/>
            <w:vAlign w:val="center"/>
          </w:tcPr>
          <w:p w14:paraId="0394660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FC04E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BEBF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2E9F85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B14E8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1F3677A8">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1539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7CE4D83">
            <w:pPr>
              <w:widowControl/>
              <w:adjustRightInd w:val="0"/>
              <w:snapToGrid w:val="0"/>
              <w:rPr>
                <w:rFonts w:ascii="仿宋_GB2312" w:eastAsia="仿宋_GB2312"/>
                <w:b/>
                <w:bCs/>
                <w:kern w:val="0"/>
                <w:sz w:val="24"/>
                <w:szCs w:val="24"/>
              </w:rPr>
            </w:pPr>
          </w:p>
        </w:tc>
        <w:tc>
          <w:tcPr>
            <w:tcW w:w="1028" w:type="dxa"/>
            <w:vAlign w:val="center"/>
          </w:tcPr>
          <w:p w14:paraId="26A1EB4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0926DF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EDB088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010BD5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4553AD0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26661E21">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127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0E17D37">
            <w:pPr>
              <w:widowControl/>
              <w:adjustRightInd w:val="0"/>
              <w:snapToGrid w:val="0"/>
              <w:rPr>
                <w:rFonts w:ascii="仿宋_GB2312" w:eastAsia="仿宋_GB2312"/>
                <w:b/>
                <w:bCs/>
                <w:kern w:val="0"/>
                <w:sz w:val="24"/>
                <w:szCs w:val="24"/>
              </w:rPr>
            </w:pPr>
          </w:p>
        </w:tc>
        <w:tc>
          <w:tcPr>
            <w:tcW w:w="1028" w:type="dxa"/>
            <w:vAlign w:val="center"/>
          </w:tcPr>
          <w:p w14:paraId="73AF538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75AA45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1E55EF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16DDB3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A9E715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44E75D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22E7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091F5F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2天回购</w:t>
            </w:r>
          </w:p>
        </w:tc>
        <w:tc>
          <w:tcPr>
            <w:tcW w:w="1028" w:type="dxa"/>
            <w:vAlign w:val="center"/>
          </w:tcPr>
          <w:p w14:paraId="00AD0D9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0DAEC3B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06D65DC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632A11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1674EC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35B512D">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441F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1EB8A47B">
            <w:pPr>
              <w:widowControl/>
              <w:adjustRightInd w:val="0"/>
              <w:snapToGrid w:val="0"/>
              <w:rPr>
                <w:rFonts w:ascii="仿宋_GB2312" w:eastAsia="仿宋_GB2312"/>
                <w:b/>
                <w:bCs/>
                <w:kern w:val="0"/>
                <w:sz w:val="24"/>
                <w:szCs w:val="24"/>
              </w:rPr>
            </w:pPr>
          </w:p>
        </w:tc>
        <w:tc>
          <w:tcPr>
            <w:tcW w:w="1028" w:type="dxa"/>
            <w:vAlign w:val="center"/>
          </w:tcPr>
          <w:p w14:paraId="7269B05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653F666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30A928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189C7C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515B7F0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01B661F1">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6298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5624B90">
            <w:pPr>
              <w:widowControl/>
              <w:adjustRightInd w:val="0"/>
              <w:snapToGrid w:val="0"/>
              <w:rPr>
                <w:rFonts w:ascii="仿宋_GB2312" w:eastAsia="仿宋_GB2312"/>
                <w:b/>
                <w:bCs/>
                <w:kern w:val="0"/>
                <w:sz w:val="24"/>
                <w:szCs w:val="24"/>
              </w:rPr>
            </w:pPr>
          </w:p>
        </w:tc>
        <w:tc>
          <w:tcPr>
            <w:tcW w:w="1028" w:type="dxa"/>
            <w:vAlign w:val="center"/>
          </w:tcPr>
          <w:p w14:paraId="70CD67B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371C0A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23BA3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0B8A562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CBF921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5B832399">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257E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0FDC82B">
            <w:pPr>
              <w:widowControl/>
              <w:adjustRightInd w:val="0"/>
              <w:snapToGrid w:val="0"/>
              <w:rPr>
                <w:rFonts w:ascii="仿宋_GB2312" w:eastAsia="仿宋_GB2312"/>
                <w:b/>
                <w:bCs/>
                <w:kern w:val="0"/>
                <w:sz w:val="24"/>
                <w:szCs w:val="24"/>
              </w:rPr>
            </w:pPr>
          </w:p>
        </w:tc>
        <w:tc>
          <w:tcPr>
            <w:tcW w:w="1028" w:type="dxa"/>
            <w:vAlign w:val="center"/>
          </w:tcPr>
          <w:p w14:paraId="5BD2D51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10A1687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30784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326A42F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850C1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5407DC3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12C1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BA914E6">
            <w:pPr>
              <w:widowControl/>
              <w:adjustRightInd w:val="0"/>
              <w:snapToGrid w:val="0"/>
              <w:rPr>
                <w:rFonts w:ascii="仿宋_GB2312" w:eastAsia="仿宋_GB2312"/>
                <w:b/>
                <w:bCs/>
                <w:kern w:val="0"/>
                <w:sz w:val="24"/>
                <w:szCs w:val="24"/>
              </w:rPr>
            </w:pPr>
          </w:p>
        </w:tc>
        <w:tc>
          <w:tcPr>
            <w:tcW w:w="1028" w:type="dxa"/>
            <w:vAlign w:val="center"/>
          </w:tcPr>
          <w:p w14:paraId="3EB2C42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0FE140F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66ED2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7C103B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615181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582A0670">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5CE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5FFB0125">
            <w:pPr>
              <w:widowControl/>
              <w:adjustRightInd w:val="0"/>
              <w:snapToGrid w:val="0"/>
              <w:rPr>
                <w:rFonts w:ascii="仿宋_GB2312" w:eastAsia="仿宋_GB2312"/>
                <w:b/>
                <w:bCs/>
                <w:kern w:val="0"/>
                <w:sz w:val="24"/>
                <w:szCs w:val="24"/>
              </w:rPr>
            </w:pPr>
          </w:p>
        </w:tc>
        <w:tc>
          <w:tcPr>
            <w:tcW w:w="1028" w:type="dxa"/>
            <w:vAlign w:val="center"/>
          </w:tcPr>
          <w:p w14:paraId="3B38FB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E084E6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38C7E9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1FD4DC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3F9DAAE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C3744E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5782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0F77A7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3天回购</w:t>
            </w:r>
          </w:p>
        </w:tc>
        <w:tc>
          <w:tcPr>
            <w:tcW w:w="1028" w:type="dxa"/>
            <w:vAlign w:val="center"/>
          </w:tcPr>
          <w:p w14:paraId="55F096D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60CF232">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66998B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97FF14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15FCD88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1F5697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57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1B88283">
            <w:pPr>
              <w:widowControl/>
              <w:adjustRightInd w:val="0"/>
              <w:snapToGrid w:val="0"/>
              <w:rPr>
                <w:rFonts w:ascii="仿宋_GB2312" w:eastAsia="仿宋_GB2312"/>
                <w:b/>
                <w:bCs/>
                <w:kern w:val="0"/>
                <w:sz w:val="24"/>
                <w:szCs w:val="24"/>
              </w:rPr>
            </w:pPr>
          </w:p>
        </w:tc>
        <w:tc>
          <w:tcPr>
            <w:tcW w:w="1028" w:type="dxa"/>
            <w:vAlign w:val="center"/>
          </w:tcPr>
          <w:p w14:paraId="6E77E9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36737AE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6CBD3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6599601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100991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736DAC9A">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5DD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30AFC3A">
            <w:pPr>
              <w:widowControl/>
              <w:adjustRightInd w:val="0"/>
              <w:snapToGrid w:val="0"/>
              <w:rPr>
                <w:rFonts w:ascii="仿宋_GB2312" w:eastAsia="仿宋_GB2312"/>
                <w:b/>
                <w:bCs/>
                <w:kern w:val="0"/>
                <w:sz w:val="24"/>
                <w:szCs w:val="24"/>
              </w:rPr>
            </w:pPr>
          </w:p>
        </w:tc>
        <w:tc>
          <w:tcPr>
            <w:tcW w:w="1028" w:type="dxa"/>
            <w:vAlign w:val="center"/>
          </w:tcPr>
          <w:p w14:paraId="620067A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0A58DF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1BD683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5634A7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660395A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615708C5">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4361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024B02F1">
            <w:pPr>
              <w:widowControl/>
              <w:adjustRightInd w:val="0"/>
              <w:snapToGrid w:val="0"/>
              <w:rPr>
                <w:rFonts w:ascii="仿宋_GB2312" w:eastAsia="仿宋_GB2312"/>
                <w:b/>
                <w:bCs/>
                <w:kern w:val="0"/>
                <w:sz w:val="24"/>
                <w:szCs w:val="24"/>
              </w:rPr>
            </w:pPr>
          </w:p>
        </w:tc>
        <w:tc>
          <w:tcPr>
            <w:tcW w:w="1028" w:type="dxa"/>
            <w:vAlign w:val="center"/>
          </w:tcPr>
          <w:p w14:paraId="0AF827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80119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516B57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4140DD5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1F815E0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3F9EAC59">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7A84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640C498">
            <w:pPr>
              <w:widowControl/>
              <w:adjustRightInd w:val="0"/>
              <w:snapToGrid w:val="0"/>
              <w:rPr>
                <w:rFonts w:ascii="仿宋_GB2312" w:eastAsia="仿宋_GB2312"/>
                <w:b/>
                <w:bCs/>
                <w:kern w:val="0"/>
                <w:sz w:val="24"/>
                <w:szCs w:val="24"/>
              </w:rPr>
            </w:pPr>
          </w:p>
        </w:tc>
        <w:tc>
          <w:tcPr>
            <w:tcW w:w="1028" w:type="dxa"/>
            <w:vAlign w:val="center"/>
          </w:tcPr>
          <w:p w14:paraId="2652F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C989B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98129F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6983B3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34A53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4E3B72C5">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4FA5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133DB93">
            <w:pPr>
              <w:widowControl/>
              <w:adjustRightInd w:val="0"/>
              <w:snapToGrid w:val="0"/>
              <w:rPr>
                <w:rFonts w:ascii="仿宋_GB2312" w:eastAsia="仿宋_GB2312"/>
                <w:b/>
                <w:bCs/>
                <w:kern w:val="0"/>
                <w:sz w:val="24"/>
                <w:szCs w:val="24"/>
              </w:rPr>
            </w:pPr>
          </w:p>
        </w:tc>
        <w:tc>
          <w:tcPr>
            <w:tcW w:w="1028" w:type="dxa"/>
            <w:vAlign w:val="center"/>
          </w:tcPr>
          <w:p w14:paraId="5DBB1D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4A7E59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407F7B0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1644924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5DA9902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72D5DBB">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6291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2E0974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4天回购</w:t>
            </w:r>
          </w:p>
        </w:tc>
        <w:tc>
          <w:tcPr>
            <w:tcW w:w="1028" w:type="dxa"/>
            <w:vAlign w:val="center"/>
          </w:tcPr>
          <w:p w14:paraId="02262F35">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72B56C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59A7205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4AC12CE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62D8BC9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DB1D93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64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1F4A6F5C">
            <w:pPr>
              <w:widowControl/>
              <w:adjustRightInd w:val="0"/>
              <w:snapToGrid w:val="0"/>
              <w:rPr>
                <w:rFonts w:ascii="仿宋_GB2312" w:eastAsia="仿宋_GB2312"/>
                <w:b/>
                <w:bCs/>
                <w:kern w:val="0"/>
                <w:sz w:val="24"/>
                <w:szCs w:val="24"/>
              </w:rPr>
            </w:pPr>
          </w:p>
        </w:tc>
        <w:tc>
          <w:tcPr>
            <w:tcW w:w="1028" w:type="dxa"/>
            <w:vAlign w:val="center"/>
          </w:tcPr>
          <w:p w14:paraId="43572F6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4C6DA5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D5D66F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433B889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6C43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1C3B61E3">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2E4E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9238910">
            <w:pPr>
              <w:widowControl/>
              <w:adjustRightInd w:val="0"/>
              <w:snapToGrid w:val="0"/>
              <w:rPr>
                <w:rFonts w:ascii="仿宋_GB2312" w:eastAsia="仿宋_GB2312"/>
                <w:b/>
                <w:bCs/>
                <w:kern w:val="0"/>
                <w:sz w:val="24"/>
                <w:szCs w:val="24"/>
              </w:rPr>
            </w:pPr>
          </w:p>
        </w:tc>
        <w:tc>
          <w:tcPr>
            <w:tcW w:w="1028" w:type="dxa"/>
            <w:vAlign w:val="center"/>
          </w:tcPr>
          <w:p w14:paraId="3DF45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1806A9C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42B4CE7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0F8615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FDEC8D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D07B598">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42D3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CC3C522">
            <w:pPr>
              <w:widowControl/>
              <w:adjustRightInd w:val="0"/>
              <w:snapToGrid w:val="0"/>
              <w:rPr>
                <w:rFonts w:ascii="仿宋_GB2312" w:eastAsia="仿宋_GB2312"/>
                <w:b/>
                <w:bCs/>
                <w:kern w:val="0"/>
                <w:sz w:val="24"/>
                <w:szCs w:val="24"/>
              </w:rPr>
            </w:pPr>
          </w:p>
        </w:tc>
        <w:tc>
          <w:tcPr>
            <w:tcW w:w="1028" w:type="dxa"/>
            <w:vAlign w:val="center"/>
          </w:tcPr>
          <w:p w14:paraId="20BD5B3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4AE6EC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66BE7B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47BA2D6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6B9B8D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761A2CF">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01BE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B977304">
            <w:pPr>
              <w:widowControl/>
              <w:adjustRightInd w:val="0"/>
              <w:snapToGrid w:val="0"/>
              <w:rPr>
                <w:rFonts w:ascii="仿宋_GB2312" w:eastAsia="仿宋_GB2312"/>
                <w:b/>
                <w:bCs/>
                <w:kern w:val="0"/>
                <w:sz w:val="24"/>
                <w:szCs w:val="24"/>
              </w:rPr>
            </w:pPr>
          </w:p>
        </w:tc>
        <w:tc>
          <w:tcPr>
            <w:tcW w:w="1028" w:type="dxa"/>
            <w:vAlign w:val="center"/>
          </w:tcPr>
          <w:p w14:paraId="7FBC54C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13E7F0B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1EB0354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3091196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5AACB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0D4BA55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0B9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44CCC766">
            <w:pPr>
              <w:widowControl/>
              <w:adjustRightInd w:val="0"/>
              <w:snapToGrid w:val="0"/>
              <w:rPr>
                <w:rFonts w:ascii="仿宋_GB2312" w:eastAsia="仿宋_GB2312"/>
                <w:b/>
                <w:bCs/>
                <w:kern w:val="0"/>
                <w:sz w:val="24"/>
                <w:szCs w:val="24"/>
              </w:rPr>
            </w:pPr>
          </w:p>
        </w:tc>
        <w:tc>
          <w:tcPr>
            <w:tcW w:w="1028" w:type="dxa"/>
            <w:vAlign w:val="center"/>
          </w:tcPr>
          <w:p w14:paraId="07DAC46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549C1BC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67BAF15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78DA76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16CADF2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4E6E3345">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180D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895922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7天回购</w:t>
            </w:r>
          </w:p>
        </w:tc>
        <w:tc>
          <w:tcPr>
            <w:tcW w:w="1028" w:type="dxa"/>
            <w:vAlign w:val="center"/>
          </w:tcPr>
          <w:p w14:paraId="55FBA6E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506A92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3DC2780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D6A4C5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BFF2E8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08BDC85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5ED3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6009300">
            <w:pPr>
              <w:widowControl/>
              <w:adjustRightInd w:val="0"/>
              <w:snapToGrid w:val="0"/>
              <w:ind w:firstLine="400"/>
              <w:jc w:val="center"/>
              <w:rPr>
                <w:rFonts w:ascii="仿宋_GB2312" w:eastAsia="仿宋_GB2312"/>
                <w:kern w:val="0"/>
                <w:sz w:val="24"/>
                <w:szCs w:val="24"/>
              </w:rPr>
            </w:pPr>
          </w:p>
        </w:tc>
        <w:tc>
          <w:tcPr>
            <w:tcW w:w="1028" w:type="dxa"/>
            <w:vAlign w:val="center"/>
          </w:tcPr>
          <w:p w14:paraId="5BC4EA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21AC5F9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7DD9A0C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4B78C0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02FE0D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33BC1CE">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4149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2959C0C0">
            <w:pPr>
              <w:widowControl/>
              <w:adjustRightInd w:val="0"/>
              <w:snapToGrid w:val="0"/>
              <w:ind w:firstLine="400"/>
              <w:jc w:val="center"/>
              <w:rPr>
                <w:rFonts w:ascii="仿宋_GB2312" w:eastAsia="仿宋_GB2312"/>
                <w:kern w:val="0"/>
                <w:sz w:val="24"/>
                <w:szCs w:val="24"/>
              </w:rPr>
            </w:pPr>
          </w:p>
        </w:tc>
        <w:tc>
          <w:tcPr>
            <w:tcW w:w="1028" w:type="dxa"/>
            <w:vAlign w:val="center"/>
          </w:tcPr>
          <w:p w14:paraId="36665B6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160968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1D11A9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212441B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2F79AB1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12614CC3">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7B1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FF44117">
            <w:pPr>
              <w:widowControl/>
              <w:adjustRightInd w:val="0"/>
              <w:snapToGrid w:val="0"/>
              <w:ind w:firstLine="400"/>
              <w:jc w:val="center"/>
              <w:rPr>
                <w:rFonts w:ascii="仿宋_GB2312" w:eastAsia="仿宋_GB2312"/>
                <w:kern w:val="0"/>
                <w:sz w:val="24"/>
                <w:szCs w:val="24"/>
              </w:rPr>
            </w:pPr>
          </w:p>
        </w:tc>
        <w:tc>
          <w:tcPr>
            <w:tcW w:w="1028" w:type="dxa"/>
            <w:vAlign w:val="center"/>
          </w:tcPr>
          <w:p w14:paraId="5D9AB56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2D9384D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0AADF48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29" w:type="dxa"/>
            <w:vAlign w:val="center"/>
          </w:tcPr>
          <w:p w14:paraId="5E2329B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657" w:type="dxa"/>
            <w:vAlign w:val="center"/>
          </w:tcPr>
          <w:p w14:paraId="4B5DD5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41" w:type="dxa"/>
            <w:vAlign w:val="center"/>
          </w:tcPr>
          <w:p w14:paraId="22E8BC21">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2A3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8" w:type="dxa"/>
            <w:vMerge w:val="continue"/>
            <w:vAlign w:val="center"/>
          </w:tcPr>
          <w:p w14:paraId="2A4CEC6A">
            <w:pPr>
              <w:widowControl/>
              <w:adjustRightInd w:val="0"/>
              <w:snapToGrid w:val="0"/>
              <w:ind w:firstLine="400"/>
              <w:jc w:val="center"/>
              <w:rPr>
                <w:rFonts w:ascii="仿宋_GB2312" w:eastAsia="仿宋_GB2312"/>
                <w:kern w:val="0"/>
                <w:sz w:val="24"/>
                <w:szCs w:val="24"/>
              </w:rPr>
            </w:pPr>
          </w:p>
        </w:tc>
        <w:tc>
          <w:tcPr>
            <w:tcW w:w="1028" w:type="dxa"/>
            <w:vAlign w:val="center"/>
          </w:tcPr>
          <w:p w14:paraId="1CDDB9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6F5D173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43E41E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29" w:type="dxa"/>
            <w:vAlign w:val="center"/>
          </w:tcPr>
          <w:p w14:paraId="05E959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657" w:type="dxa"/>
            <w:vAlign w:val="center"/>
          </w:tcPr>
          <w:p w14:paraId="277927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41" w:type="dxa"/>
            <w:vAlign w:val="center"/>
          </w:tcPr>
          <w:p w14:paraId="1C08778C">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093F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BE782E9">
            <w:pPr>
              <w:widowControl/>
              <w:adjustRightInd w:val="0"/>
              <w:snapToGrid w:val="0"/>
              <w:ind w:firstLine="400"/>
              <w:jc w:val="center"/>
              <w:rPr>
                <w:rFonts w:ascii="仿宋_GB2312" w:eastAsia="仿宋_GB2312"/>
                <w:kern w:val="0"/>
                <w:sz w:val="24"/>
                <w:szCs w:val="24"/>
              </w:rPr>
            </w:pPr>
          </w:p>
        </w:tc>
        <w:tc>
          <w:tcPr>
            <w:tcW w:w="1028" w:type="dxa"/>
            <w:vAlign w:val="center"/>
          </w:tcPr>
          <w:p w14:paraId="394B941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8D6230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055F8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29" w:type="dxa"/>
            <w:vAlign w:val="center"/>
          </w:tcPr>
          <w:p w14:paraId="1FAF896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657" w:type="dxa"/>
            <w:vAlign w:val="center"/>
          </w:tcPr>
          <w:p w14:paraId="296C31F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再下周一</w:t>
            </w:r>
          </w:p>
        </w:tc>
        <w:tc>
          <w:tcPr>
            <w:tcW w:w="1541" w:type="dxa"/>
            <w:vAlign w:val="center"/>
          </w:tcPr>
          <w:p w14:paraId="67F19234">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bl>
    <w:p w14:paraId="1DF04A4F">
      <w:pPr>
        <w:spacing w:line="600" w:lineRule="exact"/>
        <w:ind w:firstLine="600" w:firstLineChars="200"/>
        <w:rPr>
          <w:rFonts w:ascii="仿宋_GB2312" w:eastAsia="仿宋_GB2312"/>
          <w:sz w:val="30"/>
          <w:szCs w:val="30"/>
        </w:rPr>
      </w:pPr>
      <w:r>
        <w:rPr>
          <w:rFonts w:hint="eastAsia" w:ascii="仿宋_GB2312" w:eastAsia="仿宋_GB2312"/>
          <w:sz w:val="30"/>
          <w:szCs w:val="30"/>
        </w:rPr>
        <w:t>前述占款天数计算仅适用于正常工作日（双休）情况，如遇其他法定节假日，实际占款天数需按休假天数相应顺延计算。</w:t>
      </w:r>
    </w:p>
    <w:p w14:paraId="712ECD0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定盘利率</w:t>
      </w:r>
    </w:p>
    <w:p w14:paraId="0F0AF0C7">
      <w:pPr>
        <w:spacing w:line="600" w:lineRule="exact"/>
        <w:ind w:firstLine="600" w:firstLineChars="200"/>
        <w:rPr>
          <w:rFonts w:ascii="仿宋_GB2312" w:hAnsi="Calibri" w:eastAsia="仿宋_GB2312"/>
          <w:b/>
          <w:sz w:val="30"/>
          <w:szCs w:val="30"/>
        </w:rPr>
      </w:pPr>
      <w:r>
        <w:rPr>
          <w:rFonts w:hint="eastAsia" w:ascii="仿宋_GB2312" w:hAnsi="宋体" w:eastAsia="仿宋_GB2312" w:cs="宋体"/>
          <w:color w:val="000000"/>
          <w:kern w:val="0"/>
          <w:sz w:val="30"/>
          <w:szCs w:val="30"/>
        </w:rPr>
        <w:t>本所逐日发布相关通用回购品种的定盘利率，具体网址为（</w:t>
      </w:r>
      <w:r>
        <w:fldChar w:fldCharType="begin"/>
      </w:r>
      <w:r>
        <w:instrText xml:space="preserve"> HYPERLINK "http://www.sse.com.cn/disclosure/bond/ratios/" </w:instrText>
      </w:r>
      <w:r>
        <w:fldChar w:fldCharType="separate"/>
      </w:r>
      <w:r>
        <w:rPr>
          <w:rStyle w:val="51"/>
          <w:rFonts w:ascii="仿宋_GB2312" w:hAnsi="宋体" w:eastAsia="仿宋_GB2312" w:cs="宋体"/>
          <w:color w:val="000000"/>
          <w:kern w:val="0"/>
          <w:sz w:val="30"/>
          <w:szCs w:val="30"/>
        </w:rPr>
        <w:t>http://www.sse.com.cn/disclosure/bond/ratios/</w:t>
      </w:r>
      <w:r>
        <w:rPr>
          <w:rStyle w:val="51"/>
          <w:rFonts w:ascii="仿宋_GB2312" w:hAnsi="宋体" w:eastAsia="仿宋_GB2312" w:cs="宋体"/>
          <w:color w:val="000000"/>
          <w:kern w:val="0"/>
          <w:sz w:val="30"/>
          <w:szCs w:val="30"/>
        </w:rPr>
        <w:fldChar w:fldCharType="end"/>
      </w:r>
      <w:r>
        <w:rPr>
          <w:rFonts w:hint="eastAsia" w:ascii="仿宋_GB2312" w:hAnsi="宋体" w:eastAsia="仿宋_GB2312" w:cs="宋体"/>
          <w:color w:val="000000"/>
          <w:kern w:val="0"/>
          <w:sz w:val="30"/>
          <w:szCs w:val="30"/>
        </w:rPr>
        <w:t>）</w:t>
      </w:r>
    </w:p>
    <w:p w14:paraId="2B882F33">
      <w:pPr>
        <w:widowControl/>
        <w:adjustRightInd w:val="0"/>
        <w:snapToGrid w:val="0"/>
        <w:spacing w:line="600" w:lineRule="exact"/>
        <w:ind w:firstLine="600"/>
        <w:rPr>
          <w:rFonts w:ascii="仿宋_GB2312" w:eastAsia="仿宋_GB2312"/>
          <w:sz w:val="30"/>
          <w:szCs w:val="30"/>
        </w:rPr>
      </w:pPr>
      <w:r>
        <w:rPr>
          <w:rFonts w:hint="eastAsia" w:ascii="仿宋_GB2312" w:hAnsi="宋体" w:eastAsia="仿宋_GB2312"/>
          <w:sz w:val="30"/>
          <w:szCs w:val="30"/>
        </w:rPr>
        <w:t>通用回购定盘利率</w:t>
      </w:r>
      <w:r>
        <w:rPr>
          <w:rFonts w:ascii="仿宋_GB2312" w:hAnsi="宋体" w:eastAsia="仿宋_GB2312"/>
          <w:sz w:val="30"/>
          <w:szCs w:val="30"/>
        </w:rPr>
        <w:t>=∑</w:t>
      </w:r>
      <w:r>
        <w:rPr>
          <w:rFonts w:hint="eastAsia" w:ascii="仿宋_GB2312" w:hAnsi="宋体" w:eastAsia="仿宋_GB2312"/>
          <w:sz w:val="30"/>
          <w:szCs w:val="30"/>
        </w:rPr>
        <w:t>（</w:t>
      </w:r>
      <w:r>
        <w:rPr>
          <w:rFonts w:ascii="仿宋_GB2312" w:hAnsi="宋体" w:eastAsia="仿宋_GB2312"/>
          <w:sz w:val="30"/>
          <w:szCs w:val="30"/>
        </w:rPr>
        <w:t>当日逐笔成交价×当日逐笔成交量</w:t>
      </w:r>
      <w:r>
        <w:rPr>
          <w:rFonts w:hint="eastAsia" w:ascii="仿宋_GB2312" w:hAnsi="宋体" w:eastAsia="仿宋_GB2312"/>
          <w:sz w:val="30"/>
          <w:szCs w:val="30"/>
        </w:rPr>
        <w:t>）</w:t>
      </w:r>
      <w:r>
        <w:rPr>
          <w:rFonts w:ascii="仿宋_GB2312" w:hAnsi="宋体" w:eastAsia="仿宋_GB2312"/>
          <w:sz w:val="30"/>
          <w:szCs w:val="30"/>
        </w:rPr>
        <w:t>/当日总成交量</w:t>
      </w:r>
      <w:r>
        <w:rPr>
          <w:rFonts w:hint="eastAsia" w:ascii="仿宋_GB2312" w:eastAsia="仿宋_GB2312"/>
          <w:sz w:val="30"/>
          <w:szCs w:val="30"/>
        </w:rPr>
        <w:t>。</w:t>
      </w:r>
    </w:p>
    <w:p w14:paraId="779B80AF">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color w:val="000000"/>
          <w:kern w:val="0"/>
          <w:sz w:val="30"/>
          <w:szCs w:val="30"/>
        </w:rPr>
        <w:t>若该通用回购品种当日无交易，则定盘利率取上一交易日的定盘利率。</w:t>
      </w:r>
    </w:p>
    <w:p w14:paraId="4317141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风险管理</w:t>
      </w:r>
      <w:r>
        <w:rPr>
          <w:rFonts w:ascii="仿宋_GB2312" w:eastAsia="仿宋_GB2312"/>
          <w:b/>
          <w:sz w:val="30"/>
          <w:szCs w:val="30"/>
        </w:rPr>
        <w:tab/>
      </w:r>
    </w:p>
    <w:p w14:paraId="7223A64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参与机构应当在符合《中国证券登记结算有限责任公司 上海证券交易所 深圳证券交易所债券质押式回购交易结算风险控制指引》一般风控指标规定的前提下，结合市场情况、自身风险承受能力以及回购融资主体的信用及风险承受能力，综合考虑回购规模、回购融资负债率、标准券使用率、信用类债券入库集中度、单一发行人信用类债券入库担保集中度、流动性情况等因素，对回购融资主体进行较一般风控指标更为严格的差异化风险管理。</w:t>
      </w:r>
      <w:r>
        <w:rPr>
          <w:rFonts w:ascii="仿宋_GB2312" w:hAnsi="Calibri" w:eastAsia="仿宋_GB2312"/>
          <w:sz w:val="30"/>
          <w:szCs w:val="30"/>
        </w:rPr>
        <w:br w:type="textWrapping"/>
      </w:r>
      <w:r>
        <w:rPr>
          <w:rFonts w:hint="eastAsia" w:ascii="仿宋_GB2312" w:hAnsi="Calibri" w:eastAsia="仿宋_GB2312"/>
          <w:sz w:val="30"/>
          <w:szCs w:val="30"/>
        </w:rPr>
        <w:t>　　参与机构应当建立回购融资主体风险监测机制，对于出现融资回购规模较大，融资回购规模增长较快，回购融资负债率较高，低信用等级质押券入库占比过高，单一发行人质押券入库集中度过高，经多次催告仍未补足欠库等情形之一或参与机构认定的其他高风险情形的，参与机构应当对其进行重点关注和管理。</w:t>
      </w:r>
    </w:p>
    <w:p w14:paraId="2F137D97">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数据</w:t>
      </w:r>
      <w:r>
        <w:rPr>
          <w:rFonts w:ascii="仿宋_GB2312" w:hAnsi="Calibri" w:eastAsia="仿宋_GB2312"/>
          <w:b/>
          <w:sz w:val="30"/>
          <w:szCs w:val="30"/>
        </w:rPr>
        <w:t>报送</w:t>
      </w:r>
    </w:p>
    <w:p w14:paraId="47C3F264">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回购融资主体及其结算参与人，产品类回购融资主体的托管人和管理人按照规定开展融资回购交易及结算相关业务的</w:t>
      </w:r>
      <w:bookmarkStart w:id="1867" w:name="OLE_LINK24"/>
      <w:bookmarkStart w:id="1868" w:name="OLE_LINK23"/>
      <w:r>
        <w:rPr>
          <w:rFonts w:hint="eastAsia" w:ascii="仿宋_GB2312" w:hAnsi="Calibri" w:eastAsia="仿宋_GB2312"/>
          <w:sz w:val="30"/>
          <w:szCs w:val="30"/>
        </w:rPr>
        <w:t>，</w:t>
      </w:r>
      <w:bookmarkEnd w:id="1867"/>
      <w:bookmarkEnd w:id="1868"/>
      <w:r>
        <w:rPr>
          <w:rFonts w:hint="eastAsia" w:ascii="仿宋_GB2312" w:hAnsi="Calibri" w:eastAsia="仿宋_GB2312"/>
          <w:sz w:val="30"/>
          <w:szCs w:val="30"/>
        </w:rPr>
        <w:t>其数据报送适用《中国证券登记结算有限责任公司、上海证券交易所、深圳证券交易所债券质押式回购融资主体数据报送指引》的</w:t>
      </w:r>
      <w:r>
        <w:rPr>
          <w:rFonts w:ascii="仿宋_GB2312" w:hAnsi="Calibri" w:eastAsia="仿宋_GB2312"/>
          <w:sz w:val="30"/>
          <w:szCs w:val="30"/>
        </w:rPr>
        <w:t>相关规定</w:t>
      </w:r>
      <w:r>
        <w:rPr>
          <w:rFonts w:hint="eastAsia" w:ascii="仿宋_GB2312" w:hAnsi="Calibri" w:eastAsia="仿宋_GB2312"/>
          <w:sz w:val="30"/>
          <w:szCs w:val="30"/>
        </w:rPr>
        <w:t>。</w:t>
      </w:r>
    </w:p>
    <w:p w14:paraId="61983CF6">
      <w:pPr>
        <w:numPr>
          <w:ilvl w:val="1"/>
          <w:numId w:val="4"/>
        </w:numPr>
        <w:spacing w:line="600" w:lineRule="exact"/>
        <w:ind w:left="0" w:firstLine="0"/>
        <w:outlineLvl w:val="1"/>
        <w:rPr>
          <w:rFonts w:ascii="仿宋_GB2312" w:eastAsia="仿宋_GB2312"/>
          <w:b/>
          <w:sz w:val="30"/>
          <w:szCs w:val="30"/>
        </w:rPr>
      </w:pPr>
      <w:bookmarkStart w:id="1869" w:name="_Toc56166286"/>
      <w:bookmarkStart w:id="1870" w:name="_Toc151136915"/>
      <w:bookmarkStart w:id="1871" w:name="_Toc56166097"/>
      <w:r>
        <w:rPr>
          <w:rFonts w:hint="eastAsia" w:ascii="仿宋_GB2312" w:eastAsia="仿宋_GB2312"/>
          <w:b/>
          <w:sz w:val="30"/>
          <w:szCs w:val="30"/>
        </w:rPr>
        <w:t>债券质押式协议回购</w:t>
      </w:r>
      <w:bookmarkEnd w:id="1869"/>
      <w:bookmarkEnd w:id="1870"/>
      <w:bookmarkEnd w:id="1871"/>
    </w:p>
    <w:p w14:paraId="677F08B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0C6E478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协议回购交易（以下简称协议回购）是指回购双方自主协商约定，由资金融入方（正回购方）将债券出质给资金融出方（逆回购方）融入资金，并在未来返还资金和支付回购利息，同时解除债券质押登记的交易。</w:t>
      </w:r>
    </w:p>
    <w:p w14:paraId="7BDAF40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BB7F9DA">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《上海证券交易所债券质押式协议回购交易暂行办法》（上证发〔2015〕26号）</w:t>
      </w:r>
    </w:p>
    <w:p w14:paraId="7DAD6345">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《上海证券交易所债券质押式协议回购交易业务指引&gt;的通知》（上证发〔2015〕27号）</w:t>
      </w:r>
    </w:p>
    <w:p w14:paraId="3261AD49">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《上海证券交易所债券交易规则适用指引第4号——债券质押式协议回购风险管理》（上证发〔2022〕169号）</w:t>
      </w:r>
    </w:p>
    <w:p w14:paraId="69DD5014">
      <w:pPr>
        <w:numPr>
          <w:ilvl w:val="0"/>
          <w:numId w:val="17"/>
        </w:num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《中国证券登记结算有限责任公司债券质押式协议回购登记结算业务实施细则》（中国结算发字〔2015〕20号）</w:t>
      </w:r>
    </w:p>
    <w:p w14:paraId="3555A524">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《关于修订&lt;中国证券登记结算有限责任公司上海分公司债券质押式协议回购登记结算业务指南&gt;的通知》（中国结算沪业字〔2021〕41 号）</w:t>
      </w:r>
    </w:p>
    <w:p w14:paraId="45430B0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签署协议</w:t>
      </w:r>
    </w:p>
    <w:p w14:paraId="2561961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参与协议回购前，应当签署《上海证券交易所债券质押式协议回购交易主协议》（以下简称主协议）并报送本所备案。签署方为证券公司经纪客户的，由所在证券公司留存备查。回购双方可以就协议回购相关事宜签订补充协议。补充协议不得违反法律、行政法规、部门规章、其他规范性文件以及本所、登记结算机构的相关规定，并且不得与主协议和回购双方申报的交易要素相冲突。补充协议的内容由回购双方自行遵照执行。</w:t>
      </w:r>
      <w:r>
        <w:rPr>
          <w:rFonts w:ascii="仿宋_GB2312" w:hAnsi="Calibri" w:eastAsia="仿宋_GB2312"/>
          <w:sz w:val="30"/>
          <w:szCs w:val="30"/>
        </w:rPr>
        <w:br w:type="textWrapping"/>
      </w:r>
      <w:r>
        <w:rPr>
          <w:rFonts w:hint="eastAsia" w:ascii="仿宋_GB2312" w:hAnsi="Calibri" w:eastAsia="仿宋_GB2312"/>
          <w:sz w:val="30"/>
          <w:szCs w:val="30"/>
        </w:rPr>
        <w:t>　　会员接受债券投资者委托进行协议回购申报，应当确认债券投资者已经签署主协议、风险揭示书等必要文件，并根据债券投资者的真实委托提交申报。证券公司未经委托虚假申报，或者存在伪造、篡改委托内容等未按客户指令进行申报和结算等情形的，应当承担全部法律责任，并赔偿由此造成的损失。</w:t>
      </w:r>
    </w:p>
    <w:p w14:paraId="0FA5A3A6">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投资者适当性管理</w:t>
      </w:r>
    </w:p>
    <w:p w14:paraId="088FDB8A">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（1）一般规定</w:t>
      </w:r>
    </w:p>
    <w:p w14:paraId="73A8C149">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协议回购交易按照《上海证券交易所债券质押式协议回购交易暂行办法》《上海证券交易所债券市场投资者适当性管理办法》《上海证券交易所债券交易规则适用指引第4号——债券质押式协议回购风险管理》等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033DE5A3">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（2）参与要求</w:t>
      </w:r>
    </w:p>
    <w:p w14:paraId="65D89406">
      <w:pPr>
        <w:adjustRightInd w:val="0"/>
        <w:snapToGrid w:val="0"/>
        <w:spacing w:line="600" w:lineRule="exact"/>
        <w:ind w:firstLine="600" w:firstLineChars="200"/>
        <w:rPr>
          <w:rFonts w:ascii="仿宋_GB2312" w:hAnsi="Calibri" w:eastAsia="仿宋_GB2312"/>
          <w:sz w:val="30"/>
          <w:szCs w:val="22"/>
        </w:rPr>
      </w:pPr>
      <w:r>
        <w:rPr>
          <w:rFonts w:hint="eastAsia" w:ascii="仿宋_GB2312" w:eastAsia="仿宋_GB2312"/>
          <w:sz w:val="30"/>
          <w:szCs w:val="30"/>
        </w:rPr>
        <w:t>协议回购实行投资者适当性管理制度，专业投资者中的机构投资者可以参与协议回购的融资和融券交易。</w:t>
      </w:r>
    </w:p>
    <w:p w14:paraId="66E17F1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p>
    <w:p w14:paraId="77C77184">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协议回购的质押券包括在本所交易或转让的各类债券、资产支持证券以及本所认可的其它产品；本所可以根据市场情况调整用于协议回购的质押券品种。质押券现货交易停牌的，不影响其用于协议回购交易，但本所另有规定的除外。</w:t>
      </w:r>
      <w:r>
        <w:rPr>
          <w:rFonts w:ascii="仿宋_GB2312" w:hAnsi="Calibri" w:eastAsia="仿宋_GB2312"/>
          <w:sz w:val="30"/>
          <w:szCs w:val="30"/>
        </w:rPr>
        <w:br w:type="textWrapping"/>
      </w:r>
      <w:r>
        <w:rPr>
          <w:rFonts w:hint="eastAsia" w:ascii="仿宋_GB2312" w:hAnsi="Calibri" w:eastAsia="仿宋_GB2312"/>
          <w:sz w:val="30"/>
          <w:szCs w:val="30"/>
        </w:rPr>
        <w:t>　　质押券在质押期间发生付息、分期偿还、分期摊还、提前赎回、兑付、回售、转股、换股和违约等情形的处理，由主协议进行约定。</w:t>
      </w:r>
    </w:p>
    <w:p w14:paraId="1A398D7C">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质押券在质押期间发生分期偿还、分期摊还等情形，回购双方应当充分评估质押券面额或数量减少对协议回购可能产生的影响，并可以在补充协议中约定变更质押券等处理方式。</w:t>
      </w:r>
    </w:p>
    <w:p w14:paraId="06D27CF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p>
    <w:p w14:paraId="63ACFA36">
      <w:pPr>
        <w:spacing w:line="600" w:lineRule="exact"/>
        <w:ind w:left="567"/>
        <w:outlineLvl w:val="3"/>
        <w:rPr>
          <w:rFonts w:ascii="仿宋_GB2312" w:eastAsia="仿宋_GB2312"/>
          <w:b/>
          <w:sz w:val="30"/>
          <w:szCs w:val="30"/>
        </w:rPr>
      </w:pPr>
      <w:r>
        <w:rPr>
          <w:rFonts w:hint="eastAsia" w:ascii="仿宋_GB2312" w:eastAsia="仿宋_GB2312"/>
          <w:b/>
          <w:sz w:val="30"/>
          <w:szCs w:val="30"/>
        </w:rPr>
        <w:t>（1）交易要素</w:t>
      </w:r>
      <w:bookmarkStart w:id="1872" w:name="12"/>
    </w:p>
    <w:bookmarkEnd w:id="1872"/>
    <w:p w14:paraId="78BE9D30">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交易要素包括但不限于回购方向、回购利率、质押券名称、质押券代码、质押券数量、质押券总面额、质权人、成交金额、折算比例、首次结算日、回购到期日、回购期限、到期结算日、实际占款天数、到期结算金额等。</w:t>
      </w:r>
    </w:p>
    <w:p w14:paraId="6BB2BCC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质押券、折算比例、回购利率、回购期限、成交金额等由回购双方自主协商确定。债券投资者应当依据法律、行政法规、部门规章、其他规范性文件以及本所、登记结算机构业务规则的规定，合理商定协议回购交易要素的具体内容，不得存在误导、欺诈、市场操纵或利益输送行为。</w:t>
      </w:r>
    </w:p>
    <w:p w14:paraId="151573DA">
      <w:pPr>
        <w:spacing w:line="600" w:lineRule="exact"/>
        <w:ind w:left="567"/>
        <w:outlineLvl w:val="3"/>
        <w:rPr>
          <w:rFonts w:ascii="仿宋_GB2312" w:eastAsia="仿宋_GB2312"/>
          <w:b/>
          <w:sz w:val="30"/>
          <w:szCs w:val="30"/>
        </w:rPr>
      </w:pPr>
      <w:r>
        <w:rPr>
          <w:rFonts w:hint="eastAsia" w:ascii="仿宋_GB2312" w:eastAsia="仿宋_GB2312"/>
          <w:b/>
          <w:sz w:val="30"/>
          <w:szCs w:val="30"/>
        </w:rPr>
        <w:t>（2）协议回购交易申报</w:t>
      </w:r>
    </w:p>
    <w:p w14:paraId="15D7BEF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本所接受协议回购申报的时间为每个交易日的9：00至11：30，13：00至</w:t>
      </w:r>
      <w:r>
        <w:rPr>
          <w:rFonts w:ascii="仿宋_GB2312" w:hAnsi="Calibri" w:eastAsia="仿宋_GB2312"/>
          <w:sz w:val="30"/>
          <w:szCs w:val="30"/>
        </w:rPr>
        <w:t>15</w:t>
      </w:r>
      <w:r>
        <w:rPr>
          <w:rFonts w:hint="eastAsia" w:ascii="仿宋_GB2312" w:hAnsi="Calibri" w:eastAsia="仿宋_GB2312"/>
          <w:sz w:val="30"/>
          <w:szCs w:val="30"/>
        </w:rPr>
        <w:t>：3</w:t>
      </w:r>
      <w:r>
        <w:rPr>
          <w:rFonts w:ascii="仿宋_GB2312" w:hAnsi="Calibri" w:eastAsia="仿宋_GB2312"/>
          <w:sz w:val="30"/>
          <w:szCs w:val="30"/>
        </w:rPr>
        <w:t>0</w:t>
      </w:r>
      <w:r>
        <w:rPr>
          <w:rFonts w:hint="eastAsia" w:ascii="仿宋_GB2312" w:hAnsi="Calibri" w:eastAsia="仿宋_GB2312"/>
          <w:sz w:val="30"/>
          <w:szCs w:val="30"/>
        </w:rPr>
        <w:t>。本所可以根据市场需要调整协议回购的申报时间。</w:t>
      </w:r>
    </w:p>
    <w:p w14:paraId="7F3BD51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协议回购的期限不得超过365天，且不得超过质押券的存续期间。协议回购的利率和折算比例不得超过100%。</w:t>
      </w:r>
    </w:p>
    <w:p w14:paraId="3582054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1）意向申报</w:t>
      </w:r>
    </w:p>
    <w:p w14:paraId="7BD54AC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债券投资者可以通过固定收益平台进行意向申报。意向申报是指债券投资者为寻找交易对手方发送的，表明协议回购意向的申报。意向申报应当至少包含回购方向等交易要素信息。意向申报不能直接成交。</w:t>
      </w:r>
    </w:p>
    <w:p w14:paraId="26F5950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意向申报</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6289"/>
      </w:tblGrid>
      <w:tr w14:paraId="4FC6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D87647D">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689" w:type="pct"/>
          </w:tcPr>
          <w:p w14:paraId="3889EA96">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634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485E0A8C">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689" w:type="pct"/>
          </w:tcPr>
          <w:p w14:paraId="08375098">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7A24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059195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689" w:type="pct"/>
          </w:tcPr>
          <w:p w14:paraId="2376F620">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D91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A65F13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689" w:type="pct"/>
          </w:tcPr>
          <w:p w14:paraId="4280821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4A50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0F1983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689" w:type="pct"/>
          </w:tcPr>
          <w:p w14:paraId="2FE884F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w:t>
            </w:r>
          </w:p>
        </w:tc>
      </w:tr>
      <w:tr w14:paraId="3AF5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7828D76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689" w:type="pct"/>
          </w:tcPr>
          <w:p w14:paraId="1AC8EB3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3555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65C42937">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3689" w:type="pct"/>
          </w:tcPr>
          <w:p w14:paraId="12074BE7">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3A26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68B69AE5">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3689" w:type="pct"/>
          </w:tcPr>
          <w:p w14:paraId="18B220EF">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45A5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EBDAE2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3689" w:type="pct"/>
          </w:tcPr>
          <w:p w14:paraId="511E2BB4">
            <w:pPr>
              <w:adjustRightInd w:val="0"/>
              <w:snapToGrid w:val="0"/>
              <w:rPr>
                <w:rFonts w:ascii="仿宋_GB2312" w:eastAsia="仿宋_GB2312"/>
                <w:kern w:val="0"/>
                <w:sz w:val="24"/>
                <w:szCs w:val="24"/>
              </w:rPr>
            </w:pPr>
            <w:r>
              <w:rPr>
                <w:rFonts w:hint="eastAsia" w:ascii="仿宋_GB2312" w:eastAsia="仿宋_GB2312"/>
                <w:kern w:val="0"/>
                <w:sz w:val="24"/>
                <w:szCs w:val="24"/>
              </w:rPr>
              <w:t>质押券数量*单张质押券面额</w:t>
            </w:r>
          </w:p>
        </w:tc>
      </w:tr>
      <w:tr w14:paraId="655C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7DE7FC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3689" w:type="pct"/>
          </w:tcPr>
          <w:p w14:paraId="2B13F3A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589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F13434E">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689" w:type="pct"/>
          </w:tcPr>
          <w:p w14:paraId="3B4A4B10">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债券交易参与人确定的回购到期日期</w:t>
            </w:r>
          </w:p>
        </w:tc>
      </w:tr>
      <w:tr w14:paraId="696E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F09C006">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689" w:type="pct"/>
          </w:tcPr>
          <w:p w14:paraId="584AD412">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319E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1D0EF0B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689" w:type="pct"/>
          </w:tcPr>
          <w:p w14:paraId="1481362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w:t>
            </w:r>
          </w:p>
        </w:tc>
      </w:tr>
      <w:tr w14:paraId="28EF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2A1B8E74">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w:t>
            </w:r>
          </w:p>
        </w:tc>
        <w:tc>
          <w:tcPr>
            <w:tcW w:w="3689" w:type="pct"/>
          </w:tcPr>
          <w:p w14:paraId="18B0C18B">
            <w:pPr>
              <w:adjustRightInd w:val="0"/>
              <w:snapToGrid w:val="0"/>
              <w:rPr>
                <w:rFonts w:ascii="仿宋_GB2312" w:eastAsia="仿宋_GB2312"/>
                <w:kern w:val="0"/>
                <w:sz w:val="24"/>
                <w:szCs w:val="24"/>
              </w:rPr>
            </w:pPr>
            <w:r>
              <w:rPr>
                <w:rFonts w:hint="eastAsia" w:ascii="仿宋_GB2312" w:eastAsia="仿宋_GB2312"/>
                <w:kern w:val="0"/>
                <w:sz w:val="24"/>
                <w:szCs w:val="24"/>
              </w:rPr>
              <w:t>交易日期</w:t>
            </w:r>
          </w:p>
        </w:tc>
      </w:tr>
      <w:tr w14:paraId="4E89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6409EAC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689" w:type="pct"/>
          </w:tcPr>
          <w:p w14:paraId="644E4A5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意向申报方交易员代码</w:t>
            </w:r>
          </w:p>
        </w:tc>
      </w:tr>
      <w:tr w14:paraId="6693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3B47537">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689" w:type="pct"/>
          </w:tcPr>
          <w:p w14:paraId="3D154D50">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意向申报方交易员名称</w:t>
            </w:r>
          </w:p>
        </w:tc>
      </w:tr>
      <w:tr w14:paraId="717E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6DF1FF4">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689" w:type="pct"/>
          </w:tcPr>
          <w:p w14:paraId="0CD2FB7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意向申报方债券交易参与人名称</w:t>
            </w:r>
          </w:p>
        </w:tc>
      </w:tr>
      <w:tr w14:paraId="1FBD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4DF45B30">
            <w:pPr>
              <w:adjustRightInd w:val="0"/>
              <w:snapToGrid w:val="0"/>
              <w:rPr>
                <w:rFonts w:ascii="仿宋_GB2312" w:eastAsia="仿宋_GB2312"/>
                <w:b/>
                <w:kern w:val="0"/>
                <w:sz w:val="24"/>
                <w:szCs w:val="24"/>
              </w:rPr>
            </w:pPr>
            <w:r>
              <w:rPr>
                <w:rFonts w:hint="eastAsia" w:ascii="仿宋_GB2312" w:eastAsia="仿宋_GB2312"/>
                <w:b/>
                <w:kern w:val="0"/>
                <w:sz w:val="24"/>
                <w:szCs w:val="24"/>
              </w:rPr>
              <w:t>备注</w:t>
            </w:r>
          </w:p>
        </w:tc>
        <w:tc>
          <w:tcPr>
            <w:tcW w:w="3689" w:type="pct"/>
          </w:tcPr>
          <w:p w14:paraId="417B8C23">
            <w:pPr>
              <w:adjustRightInd w:val="0"/>
              <w:snapToGrid w:val="0"/>
              <w:rPr>
                <w:rFonts w:ascii="仿宋_GB2312" w:eastAsia="仿宋_GB2312"/>
                <w:kern w:val="0"/>
                <w:sz w:val="24"/>
                <w:szCs w:val="24"/>
              </w:rPr>
            </w:pPr>
            <w:r>
              <w:rPr>
                <w:rFonts w:hint="eastAsia" w:ascii="仿宋_GB2312" w:eastAsia="仿宋_GB2312"/>
                <w:kern w:val="0"/>
                <w:sz w:val="24"/>
                <w:szCs w:val="24"/>
              </w:rPr>
              <w:t>输入联系方式等信息</w:t>
            </w:r>
          </w:p>
        </w:tc>
      </w:tr>
    </w:tbl>
    <w:p w14:paraId="4A5623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2）协商成交申报</w:t>
      </w:r>
      <w:bookmarkStart w:id="1873" w:name="18"/>
    </w:p>
    <w:bookmarkEnd w:id="1873"/>
    <w:p w14:paraId="490B4EF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经双方协商一致后，由正回购方通过固定收益平台进行协商成交申报。协商成交申报由正回购方填妥交易要素后发送到逆回购方，经逆回购方进行确认后，由固定收益平台确认成交。双方应当承认成交结果，并按约定履行义务。</w:t>
      </w:r>
    </w:p>
    <w:p w14:paraId="3B770BC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协商成交申报的</w:t>
      </w:r>
      <w:r>
        <w:rPr>
          <w:rFonts w:hint="eastAsia" w:ascii="仿宋_GB2312" w:hAnsi="宋体" w:eastAsia="仿宋_GB2312"/>
          <w:sz w:val="30"/>
          <w:szCs w:val="30"/>
        </w:rPr>
        <w:t>具体要素及要素说明如下：</w:t>
      </w:r>
    </w:p>
    <w:tbl>
      <w:tblPr>
        <w:tblStyle w:val="43"/>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7"/>
        <w:gridCol w:w="6018"/>
      </w:tblGrid>
      <w:tr w14:paraId="52B3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B7F1E4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018" w:type="dxa"/>
          </w:tcPr>
          <w:p w14:paraId="0C3BEEF0">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0A7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4EDE71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018" w:type="dxa"/>
          </w:tcPr>
          <w:p w14:paraId="075E1792">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默认正回购，协商成交申报只能正回购方发起</w:t>
            </w:r>
          </w:p>
        </w:tc>
      </w:tr>
      <w:tr w14:paraId="4D54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4059C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018" w:type="dxa"/>
          </w:tcPr>
          <w:p w14:paraId="2372EBE5">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33EB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201D4925">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018" w:type="dxa"/>
          </w:tcPr>
          <w:p w14:paraId="4E6C5187">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156F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DC4519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018" w:type="dxa"/>
          </w:tcPr>
          <w:p w14:paraId="0D77A5A2">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w:t>
            </w:r>
          </w:p>
        </w:tc>
      </w:tr>
      <w:tr w14:paraId="3E4A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5D97517">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6018" w:type="dxa"/>
          </w:tcPr>
          <w:p w14:paraId="77B88332">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w:t>
            </w:r>
          </w:p>
        </w:tc>
      </w:tr>
      <w:tr w14:paraId="6FEB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364307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6018" w:type="dxa"/>
          </w:tcPr>
          <w:p w14:paraId="77A5AEB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正回购方证券账号指定交易单元号</w:t>
            </w:r>
          </w:p>
        </w:tc>
      </w:tr>
      <w:tr w14:paraId="58E8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7F5AF09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018" w:type="dxa"/>
          </w:tcPr>
          <w:p w14:paraId="5507C5F9">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2AC1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9BF4FE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018" w:type="dxa"/>
          </w:tcPr>
          <w:p w14:paraId="5AE17668">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5289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9AE853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018" w:type="dxa"/>
          </w:tcPr>
          <w:p w14:paraId="26282CD8">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738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EC6BBA8">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6018" w:type="dxa"/>
          </w:tcPr>
          <w:p w14:paraId="74FE462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7A37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737" w:type="dxa"/>
          </w:tcPr>
          <w:p w14:paraId="719088B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018" w:type="dxa"/>
          </w:tcPr>
          <w:p w14:paraId="71224404">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068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7" w:type="dxa"/>
          </w:tcPr>
          <w:p w14:paraId="1062DB9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018" w:type="dxa"/>
          </w:tcPr>
          <w:p w14:paraId="1DE87E2C">
            <w:pPr>
              <w:adjustRightInd w:val="0"/>
              <w:snapToGrid w:val="0"/>
              <w:rPr>
                <w:rFonts w:ascii="仿宋_GB2312" w:eastAsia="仿宋_GB2312"/>
                <w:kern w:val="0"/>
                <w:sz w:val="24"/>
                <w:szCs w:val="24"/>
              </w:rPr>
            </w:pPr>
            <w:r>
              <w:rPr>
                <w:rFonts w:hint="eastAsia" w:ascii="仿宋_GB2312" w:eastAsia="仿宋_GB2312"/>
                <w:kern w:val="0"/>
                <w:sz w:val="24"/>
                <w:szCs w:val="24"/>
              </w:rPr>
              <w:t>即正回购方支付给逆回购方在回购期间融入资金的利息与融入资金的比例，以年利率（%）表示，保留三位小数</w:t>
            </w:r>
          </w:p>
        </w:tc>
      </w:tr>
      <w:tr w14:paraId="66F8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4DD41DCA">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6018" w:type="dxa"/>
          </w:tcPr>
          <w:p w14:paraId="6F56BA34">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30E0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08346F04">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018" w:type="dxa"/>
          </w:tcPr>
          <w:p w14:paraId="5D64658A">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w:t>
            </w:r>
          </w:p>
        </w:tc>
      </w:tr>
      <w:tr w14:paraId="1448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737" w:type="dxa"/>
          </w:tcPr>
          <w:p w14:paraId="25A73FDC">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018" w:type="dxa"/>
          </w:tcPr>
          <w:p w14:paraId="3CCD079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w:t>
            </w:r>
          </w:p>
        </w:tc>
      </w:tr>
      <w:tr w14:paraId="0E5A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C56953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018" w:type="dxa"/>
          </w:tcPr>
          <w:p w14:paraId="1AE4013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w:t>
            </w:r>
          </w:p>
        </w:tc>
      </w:tr>
      <w:tr w14:paraId="3410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0CA282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018" w:type="dxa"/>
          </w:tcPr>
          <w:p w14:paraId="769C87D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w:t>
            </w:r>
          </w:p>
        </w:tc>
      </w:tr>
      <w:tr w14:paraId="447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595BEBE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018" w:type="dxa"/>
          </w:tcPr>
          <w:p w14:paraId="1FDBEB41">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w:t>
            </w:r>
          </w:p>
        </w:tc>
      </w:tr>
      <w:tr w14:paraId="615E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1942A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质押券总面额合计</w:t>
            </w:r>
          </w:p>
        </w:tc>
        <w:tc>
          <w:tcPr>
            <w:tcW w:w="6018" w:type="dxa"/>
          </w:tcPr>
          <w:p w14:paraId="28EBE4F9">
            <w:pPr>
              <w:adjustRightInd w:val="0"/>
              <w:snapToGrid w:val="0"/>
              <w:rPr>
                <w:rFonts w:ascii="仿宋_GB2312" w:eastAsia="仿宋_GB2312"/>
                <w:kern w:val="0"/>
                <w:sz w:val="24"/>
                <w:szCs w:val="24"/>
              </w:rPr>
            </w:pPr>
            <w:r>
              <w:rPr>
                <w:rFonts w:hint="eastAsia" w:ascii="仿宋_GB2312" w:eastAsia="仿宋_GB2312"/>
                <w:kern w:val="0"/>
                <w:sz w:val="24"/>
                <w:szCs w:val="24"/>
              </w:rPr>
              <w:t>多券申报券总面额合计，自动显示</w:t>
            </w:r>
          </w:p>
        </w:tc>
      </w:tr>
      <w:tr w14:paraId="792A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9FAA733">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成交金额合计</w:t>
            </w:r>
          </w:p>
        </w:tc>
        <w:tc>
          <w:tcPr>
            <w:tcW w:w="6018" w:type="dxa"/>
          </w:tcPr>
          <w:p w14:paraId="513217C3">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多券申报正回购方融入的资金额度合计，自动显示</w:t>
            </w:r>
          </w:p>
        </w:tc>
      </w:tr>
      <w:tr w14:paraId="2C2B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697D984">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回购利息合计</w:t>
            </w:r>
          </w:p>
        </w:tc>
        <w:tc>
          <w:tcPr>
            <w:tcW w:w="6018" w:type="dxa"/>
          </w:tcPr>
          <w:p w14:paraId="769A2624">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w:t>
            </w:r>
            <w:r>
              <w:rPr>
                <w:rFonts w:ascii="仿宋_GB2312" w:eastAsia="仿宋_GB2312"/>
                <w:kern w:val="0"/>
                <w:sz w:val="24"/>
                <w:szCs w:val="24"/>
              </w:rPr>
              <w:t xml:space="preserve"> </w:t>
            </w:r>
            <w:r>
              <w:rPr>
                <w:rFonts w:hint="eastAsia" w:ascii="仿宋_GB2312" w:eastAsia="仿宋_GB2312"/>
                <w:kern w:val="0"/>
                <w:sz w:val="24"/>
                <w:szCs w:val="24"/>
              </w:rPr>
              <w:t>合计，自动显示</w:t>
            </w:r>
          </w:p>
        </w:tc>
      </w:tr>
      <w:tr w14:paraId="3ADA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758D39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5F4A8AA4">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r w14:paraId="67D6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6D7074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018" w:type="dxa"/>
          </w:tcPr>
          <w:p w14:paraId="65BCC984">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w:t>
            </w:r>
          </w:p>
        </w:tc>
      </w:tr>
      <w:tr w14:paraId="031F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23D609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018" w:type="dxa"/>
          </w:tcPr>
          <w:p w14:paraId="7EEF59FE">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w:t>
            </w:r>
          </w:p>
        </w:tc>
      </w:tr>
      <w:tr w14:paraId="2912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307094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018" w:type="dxa"/>
          </w:tcPr>
          <w:p w14:paraId="5AC15A7B">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正回购方债券交易参与人名称，自动显示</w:t>
            </w:r>
          </w:p>
        </w:tc>
      </w:tr>
      <w:tr w14:paraId="3C52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6A92B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018" w:type="dxa"/>
          </w:tcPr>
          <w:p w14:paraId="03941D3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w:t>
            </w:r>
          </w:p>
        </w:tc>
      </w:tr>
      <w:tr w14:paraId="2A3B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491A45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6018" w:type="dxa"/>
          </w:tcPr>
          <w:p w14:paraId="7CD8BBD4">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w:t>
            </w:r>
          </w:p>
        </w:tc>
      </w:tr>
      <w:tr w14:paraId="6B65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7F0803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018" w:type="dxa"/>
          </w:tcPr>
          <w:p w14:paraId="06B33EEB">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w:t>
            </w:r>
          </w:p>
        </w:tc>
      </w:tr>
      <w:tr w14:paraId="7C1C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4B2D7D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0F266625">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bl>
    <w:p w14:paraId="39625886">
      <w:pPr>
        <w:spacing w:line="600" w:lineRule="exact"/>
        <w:ind w:left="567"/>
        <w:outlineLvl w:val="3"/>
        <w:rPr>
          <w:rFonts w:ascii="仿宋_GB2312" w:eastAsia="仿宋_GB2312"/>
          <w:b/>
          <w:sz w:val="30"/>
          <w:szCs w:val="30"/>
        </w:rPr>
      </w:pPr>
      <w:r>
        <w:rPr>
          <w:rFonts w:hint="eastAsia" w:ascii="仿宋_GB2312" w:eastAsia="仿宋_GB2312"/>
          <w:b/>
          <w:sz w:val="30"/>
          <w:szCs w:val="30"/>
        </w:rPr>
        <w:t>（3）出入库效率</w:t>
      </w:r>
    </w:p>
    <w:p w14:paraId="653BBC0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当日买入的债券，属于非净额结算券种的，当日可以作为协议回购的质押券；属于净额结算券种的，当日不得作为协议回购的质押券。正回购方已经申报用于协议回购的质押券，属于净额结算券种的，当日不得申报卖出。</w:t>
      </w:r>
      <w:bookmarkStart w:id="1874" w:name="19"/>
    </w:p>
    <w:bookmarkEnd w:id="1874"/>
    <w:p w14:paraId="01F9E52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正回购方可以通过成交申报批量提交多个质押券，经逆回购方确认申报后，固定收益平台按质押券种分拆逐笔成交。</w:t>
      </w:r>
    </w:p>
    <w:p w14:paraId="750964F6">
      <w:pPr>
        <w:spacing w:line="600" w:lineRule="exact"/>
        <w:ind w:left="567"/>
        <w:outlineLvl w:val="3"/>
        <w:rPr>
          <w:rFonts w:ascii="仿宋_GB2312" w:eastAsia="仿宋_GB2312"/>
          <w:b/>
          <w:sz w:val="30"/>
          <w:szCs w:val="30"/>
        </w:rPr>
      </w:pPr>
      <w:r>
        <w:rPr>
          <w:rFonts w:hint="eastAsia" w:ascii="仿宋_GB2312" w:eastAsia="仿宋_GB2312"/>
          <w:b/>
          <w:sz w:val="30"/>
          <w:szCs w:val="30"/>
        </w:rPr>
        <w:t>（4）到期处理</w:t>
      </w:r>
      <w:bookmarkStart w:id="1875" w:name="21"/>
    </w:p>
    <w:bookmarkEnd w:id="1875"/>
    <w:p w14:paraId="3394FB2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协议回购到期结算日，正回购方应当通过固定收益平台进行到期确认申报或者到期续做申报。</w:t>
      </w:r>
    </w:p>
    <w:p w14:paraId="285451CB">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到期确认申报</w:t>
      </w:r>
    </w:p>
    <w:p w14:paraId="5BC7E4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到期确认申报是指正回购方确认履行到期回购义务的申报。到期确认申报由正回购方发起，固定收益平台予以确认，逆回购方无需进行确认申报。</w:t>
      </w:r>
    </w:p>
    <w:p w14:paraId="4B169FB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到期确认申报的</w:t>
      </w:r>
      <w:r>
        <w:rPr>
          <w:rFonts w:hint="eastAsia" w:ascii="仿宋_GB2312" w:hAnsi="宋体" w:eastAsia="仿宋_GB2312"/>
          <w:sz w:val="30"/>
          <w:szCs w:val="30"/>
        </w:rPr>
        <w:t>具体要素及要素说明如下</w:t>
      </w:r>
      <w:r>
        <w:rPr>
          <w:rFonts w:hint="eastAsia" w:ascii="仿宋_GB2312" w:hAnsi="Calibri" w:eastAsia="仿宋_GB2312"/>
          <w:sz w:val="30"/>
          <w:szCs w:val="30"/>
        </w:rPr>
        <w:t>：</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62"/>
      </w:tblGrid>
      <w:tr w14:paraId="725F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33FE11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62" w:type="dxa"/>
          </w:tcPr>
          <w:p w14:paraId="053A8174">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600E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0" w:type="dxa"/>
          </w:tcPr>
          <w:p w14:paraId="018B1A8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62" w:type="dxa"/>
          </w:tcPr>
          <w:p w14:paraId="6E8C9C8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360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A92C5BE">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862" w:type="dxa"/>
          </w:tcPr>
          <w:p w14:paraId="08C6207A">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4B51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E2BC564">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862" w:type="dxa"/>
          </w:tcPr>
          <w:p w14:paraId="2BF9BE5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774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43E19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62" w:type="dxa"/>
          </w:tcPr>
          <w:p w14:paraId="0432F8B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162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EEAA01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62" w:type="dxa"/>
          </w:tcPr>
          <w:p w14:paraId="3DBB37FC">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5802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5DFCD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62" w:type="dxa"/>
          </w:tcPr>
          <w:p w14:paraId="0202CE41">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2EBA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AA4D40D">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5862" w:type="dxa"/>
          </w:tcPr>
          <w:p w14:paraId="6B86BB9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4B9F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7D7E9C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62" w:type="dxa"/>
          </w:tcPr>
          <w:p w14:paraId="06027BBC">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5534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128C5A1">
            <w:pPr>
              <w:adjustRightInd w:val="0"/>
              <w:snapToGrid w:val="0"/>
              <w:rPr>
                <w:rFonts w:ascii="仿宋_GB2312" w:eastAsia="仿宋_GB2312"/>
                <w:b/>
                <w:kern w:val="0"/>
                <w:sz w:val="24"/>
                <w:szCs w:val="24"/>
              </w:rPr>
            </w:pPr>
            <w:r>
              <w:rPr>
                <w:rFonts w:hint="eastAsia" w:ascii="仿宋_GB2312" w:eastAsia="仿宋_GB2312"/>
                <w:b/>
                <w:kern w:val="0"/>
                <w:sz w:val="24"/>
                <w:szCs w:val="24"/>
              </w:rPr>
              <w:t>实际折算比例</w:t>
            </w:r>
          </w:p>
        </w:tc>
        <w:tc>
          <w:tcPr>
            <w:tcW w:w="5862" w:type="dxa"/>
          </w:tcPr>
          <w:p w14:paraId="1B358ED0">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成交金额/质押券总面额*100%，自动显示，无需输入</w:t>
            </w:r>
          </w:p>
        </w:tc>
      </w:tr>
      <w:tr w14:paraId="2578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5F724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62" w:type="dxa"/>
          </w:tcPr>
          <w:p w14:paraId="3C467273">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353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2563A38">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62" w:type="dxa"/>
          </w:tcPr>
          <w:p w14:paraId="694F9115">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1D1E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660" w:type="dxa"/>
          </w:tcPr>
          <w:p w14:paraId="7135510E">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5862" w:type="dxa"/>
          </w:tcPr>
          <w:p w14:paraId="4CE621B0">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系统给成交单分配的唯一标识，自动显示，无需输入</w:t>
            </w:r>
          </w:p>
        </w:tc>
      </w:tr>
      <w:tr w14:paraId="4158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0B752F">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5862" w:type="dxa"/>
          </w:tcPr>
          <w:p w14:paraId="23A9AE0F">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4BA7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F4BE9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62" w:type="dxa"/>
          </w:tcPr>
          <w:p w14:paraId="41F59807">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回购双方确定的回购到期日期，自动显示，无需输入</w:t>
            </w:r>
          </w:p>
        </w:tc>
      </w:tr>
      <w:tr w14:paraId="224A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2D003C1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62" w:type="dxa"/>
          </w:tcPr>
          <w:p w14:paraId="786DFFD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25B3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633F26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62" w:type="dxa"/>
          </w:tcPr>
          <w:p w14:paraId="2D5665D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682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8AD8EB6">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62" w:type="dxa"/>
          </w:tcPr>
          <w:p w14:paraId="6E9785B8">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173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C142257">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62" w:type="dxa"/>
          </w:tcPr>
          <w:p w14:paraId="51161DBC">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616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FF3442">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62" w:type="dxa"/>
          </w:tcPr>
          <w:p w14:paraId="5BF88D3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34A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5D2A93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62" w:type="dxa"/>
          </w:tcPr>
          <w:p w14:paraId="7D9098A5">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F5E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741D473">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首次结算方式</w:t>
            </w:r>
          </w:p>
        </w:tc>
        <w:tc>
          <w:tcPr>
            <w:tcW w:w="5862" w:type="dxa"/>
          </w:tcPr>
          <w:p w14:paraId="68686744">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 xml:space="preserve">, </w:t>
            </w:r>
            <w:r>
              <w:rPr>
                <w:rFonts w:hint="eastAsia" w:ascii="仿宋_GB2312" w:eastAsia="仿宋_GB2312"/>
                <w:kern w:val="0"/>
                <w:sz w:val="24"/>
                <w:szCs w:val="24"/>
              </w:rPr>
              <w:t>自动显示，无需输入</w:t>
            </w:r>
          </w:p>
        </w:tc>
      </w:tr>
      <w:tr w14:paraId="7C64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7EDFD50">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到期结算方式</w:t>
            </w:r>
          </w:p>
        </w:tc>
        <w:tc>
          <w:tcPr>
            <w:tcW w:w="5862" w:type="dxa"/>
          </w:tcPr>
          <w:p w14:paraId="54ADE8EE">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2F8F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F6CF9BB">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862" w:type="dxa"/>
          </w:tcPr>
          <w:p w14:paraId="6CB76B1F">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正回购方证券账户号码，自动显示，无需输入</w:t>
            </w:r>
          </w:p>
        </w:tc>
      </w:tr>
      <w:tr w14:paraId="690C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845F30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w:t>
            </w:r>
          </w:p>
        </w:tc>
        <w:tc>
          <w:tcPr>
            <w:tcW w:w="5862" w:type="dxa"/>
          </w:tcPr>
          <w:p w14:paraId="0190F3B3">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正回购方交易的结算参与人名称，自动显示，无需输入</w:t>
            </w:r>
          </w:p>
        </w:tc>
      </w:tr>
      <w:tr w14:paraId="3D36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D7771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862" w:type="dxa"/>
          </w:tcPr>
          <w:p w14:paraId="7F0BA9CF">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07D8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0" w:type="dxa"/>
          </w:tcPr>
          <w:p w14:paraId="0329F9B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862" w:type="dxa"/>
          </w:tcPr>
          <w:p w14:paraId="571A66BD">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76B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4541DFB">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逆回购方证券账户</w:t>
            </w:r>
          </w:p>
        </w:tc>
        <w:tc>
          <w:tcPr>
            <w:tcW w:w="5862" w:type="dxa"/>
          </w:tcPr>
          <w:p w14:paraId="0E927F4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逆回购方证券账户号码，自动显示，无需输入</w:t>
            </w:r>
          </w:p>
        </w:tc>
      </w:tr>
      <w:tr w14:paraId="0861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06B3635">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逆回购方交易单元号</w:t>
            </w:r>
          </w:p>
        </w:tc>
        <w:tc>
          <w:tcPr>
            <w:tcW w:w="5862" w:type="dxa"/>
          </w:tcPr>
          <w:p w14:paraId="4FC52A7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逆回购方证券账号指定交易单元号，自动显示，无需输入</w:t>
            </w:r>
          </w:p>
        </w:tc>
      </w:tr>
      <w:tr w14:paraId="320C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EED0763">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w:t>
            </w:r>
          </w:p>
        </w:tc>
        <w:tc>
          <w:tcPr>
            <w:tcW w:w="5862" w:type="dxa"/>
          </w:tcPr>
          <w:p w14:paraId="7E5CEADB">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逆回购方交易的结算参与人名称，自动显示，无需输入</w:t>
            </w:r>
          </w:p>
        </w:tc>
      </w:tr>
      <w:tr w14:paraId="517F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3E91F5A">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862" w:type="dxa"/>
          </w:tcPr>
          <w:p w14:paraId="5858726C">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5171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0409FEE">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862" w:type="dxa"/>
          </w:tcPr>
          <w:p w14:paraId="4C2203F8">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r w14:paraId="4F07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5B9F36">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5862" w:type="dxa"/>
          </w:tcPr>
          <w:p w14:paraId="209355A1">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占有质押券的债权人名称，默认显示逆回购方名称，自动显示，无需输入</w:t>
            </w:r>
          </w:p>
        </w:tc>
      </w:tr>
    </w:tbl>
    <w:p w14:paraId="28247AB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到期回购的质押券解除质押登记后，属于净额结算券种的，当日不可通过净额结算以及RTGS结算方式卖出；不属于净额结算券种的，当日可卖出。</w:t>
      </w:r>
    </w:p>
    <w:p w14:paraId="2CB64F1D">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2）</w:t>
      </w:r>
      <w:r>
        <w:rPr>
          <w:rFonts w:hint="eastAsia" w:ascii="仿宋_GB2312" w:eastAsia="仿宋_GB2312"/>
          <w:b/>
          <w:sz w:val="30"/>
          <w:szCs w:val="30"/>
        </w:rPr>
        <w:t>到期续做申报</w:t>
      </w:r>
    </w:p>
    <w:p w14:paraId="6093D58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申报是指正回购方确认履行到期回购义务，同时使用到期回购的全部质押券进行一笔新的协议回购，并约定在到期回购的质押券解除质押登记后用于新的协议回购。到期续做申报由正回购方发起，经续做逆回购方进行确认申报后，由固定收益平台确认成交。</w:t>
      </w:r>
    </w:p>
    <w:p w14:paraId="25C1EAD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到期续做申报的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5847"/>
      </w:tblGrid>
      <w:tr w14:paraId="0169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C5F23A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47" w:type="dxa"/>
          </w:tcPr>
          <w:p w14:paraId="236CD25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643C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36A384F">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47" w:type="dxa"/>
          </w:tcPr>
          <w:p w14:paraId="20D007B8">
            <w:pPr>
              <w:adjustRightInd w:val="0"/>
              <w:snapToGrid w:val="0"/>
              <w:rPr>
                <w:rFonts w:ascii="仿宋_GB2312" w:eastAsia="仿宋_GB2312"/>
                <w:kern w:val="0"/>
                <w:sz w:val="24"/>
                <w:szCs w:val="24"/>
              </w:rPr>
            </w:pPr>
            <w:r>
              <w:rPr>
                <w:rFonts w:hint="eastAsia" w:ascii="仿宋_GB2312" w:eastAsia="仿宋_GB2312"/>
                <w:kern w:val="0"/>
                <w:sz w:val="24"/>
                <w:szCs w:val="24"/>
              </w:rPr>
              <w:t>回购双方协商确定的回购到期日期</w:t>
            </w:r>
          </w:p>
        </w:tc>
      </w:tr>
      <w:tr w14:paraId="1BF5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F26302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47" w:type="dxa"/>
          </w:tcPr>
          <w:p w14:paraId="6B20A29E">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413D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071E163C">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5847" w:type="dxa"/>
          </w:tcPr>
          <w:p w14:paraId="1B86C89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21FE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C6C6B2E">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47" w:type="dxa"/>
          </w:tcPr>
          <w:p w14:paraId="68A323C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643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0951E9E">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47" w:type="dxa"/>
          </w:tcPr>
          <w:p w14:paraId="25F545F0">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1627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8AAFD4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847" w:type="dxa"/>
          </w:tcPr>
          <w:p w14:paraId="4856210D">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FF0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2DEE5879">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47" w:type="dxa"/>
          </w:tcPr>
          <w:p w14:paraId="4044639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99C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D3ED7DC">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847" w:type="dxa"/>
          </w:tcPr>
          <w:p w14:paraId="0340BDCB">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7FBC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34B1F5E">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5847" w:type="dxa"/>
          </w:tcPr>
          <w:p w14:paraId="7CC2D96D">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18E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4B604DC">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47" w:type="dxa"/>
          </w:tcPr>
          <w:p w14:paraId="78A55CA1">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4DB3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4678868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19DB89D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4B5E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39EA4B9">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47" w:type="dxa"/>
          </w:tcPr>
          <w:p w14:paraId="40CEDA8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560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677E531">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47" w:type="dxa"/>
          </w:tcPr>
          <w:p w14:paraId="31744DC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CFB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E87DAA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5847" w:type="dxa"/>
          </w:tcPr>
          <w:p w14:paraId="2B48D0D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686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5194C3D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5847" w:type="dxa"/>
          </w:tcPr>
          <w:p w14:paraId="3585FE53">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3325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3475740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5847" w:type="dxa"/>
          </w:tcPr>
          <w:p w14:paraId="1EA37233">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41DD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26315E4">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5847" w:type="dxa"/>
          </w:tcPr>
          <w:p w14:paraId="26E446DF">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4162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DCC5375">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w:t>
            </w:r>
          </w:p>
        </w:tc>
        <w:tc>
          <w:tcPr>
            <w:tcW w:w="5847" w:type="dxa"/>
          </w:tcPr>
          <w:p w14:paraId="78AE4915">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6C5E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7F957B63">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47" w:type="dxa"/>
          </w:tcPr>
          <w:p w14:paraId="3C9827B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5FC1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5" w:type="dxa"/>
          </w:tcPr>
          <w:p w14:paraId="40FC2863">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47" w:type="dxa"/>
          </w:tcPr>
          <w:p w14:paraId="5320903E">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201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4291B1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47" w:type="dxa"/>
          </w:tcPr>
          <w:p w14:paraId="14706CD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67C6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ABB5E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5847" w:type="dxa"/>
          </w:tcPr>
          <w:p w14:paraId="7C75E59E">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703F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D2E08C8">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47" w:type="dxa"/>
          </w:tcPr>
          <w:p w14:paraId="4081EEB7">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6BD0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B4696F">
            <w:pPr>
              <w:adjustRightInd w:val="0"/>
              <w:snapToGrid w:val="0"/>
              <w:rPr>
                <w:rFonts w:ascii="仿宋_GB2312" w:eastAsia="仿宋_GB2312"/>
                <w:b/>
                <w:kern w:val="0"/>
                <w:sz w:val="24"/>
                <w:szCs w:val="24"/>
              </w:rPr>
            </w:pPr>
            <w:r>
              <w:rPr>
                <w:rFonts w:hint="eastAsia" w:ascii="仿宋_GB2312" w:eastAsia="仿宋_GB2312"/>
                <w:b/>
                <w:kern w:val="0"/>
                <w:sz w:val="24"/>
                <w:szCs w:val="24"/>
              </w:rPr>
              <w:t>利息参考值</w:t>
            </w:r>
          </w:p>
        </w:tc>
        <w:tc>
          <w:tcPr>
            <w:tcW w:w="5847" w:type="dxa"/>
          </w:tcPr>
          <w:p w14:paraId="0272DC5D">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4E1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3589FFB">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6A55678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9C8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6CD0740">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47" w:type="dxa"/>
          </w:tcPr>
          <w:p w14:paraId="4496343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408C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79C5BA5">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847" w:type="dxa"/>
          </w:tcPr>
          <w:p w14:paraId="071ED9A4">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本方证券账户号码，自动显示，无需输入</w:t>
            </w:r>
          </w:p>
        </w:tc>
      </w:tr>
      <w:tr w14:paraId="2D52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BE4312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847" w:type="dxa"/>
          </w:tcPr>
          <w:p w14:paraId="0E6E7B7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294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C006890">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847" w:type="dxa"/>
          </w:tcPr>
          <w:p w14:paraId="583A89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bl>
    <w:p w14:paraId="27A7312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到期续做的逆回购方可以为到期回购的逆回购方，也可以为其他第三方。到期续做申报的成交金额、回购利率、回购期限等交易要素由双方自行协商确定。</w:t>
      </w:r>
    </w:p>
    <w:p w14:paraId="2EEC27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到期续做达成的新的协议回购独立于到期回购，协议回购各方分别就相应的回购享有权利并履行义务。</w:t>
      </w:r>
      <w:bookmarkStart w:id="1876" w:name="24"/>
    </w:p>
    <w:bookmarkEnd w:id="1876"/>
    <w:p w14:paraId="19509B8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03EB1E37">
      <w:pPr>
        <w:spacing w:line="600" w:lineRule="exact"/>
        <w:ind w:left="567"/>
        <w:outlineLvl w:val="3"/>
        <w:rPr>
          <w:rFonts w:ascii="仿宋_GB2312" w:eastAsia="仿宋_GB2312"/>
          <w:b/>
          <w:sz w:val="30"/>
          <w:szCs w:val="30"/>
        </w:rPr>
      </w:pPr>
      <w:r>
        <w:rPr>
          <w:rFonts w:hint="eastAsia" w:ascii="仿宋_GB2312" w:eastAsia="仿宋_GB2312"/>
          <w:b/>
          <w:sz w:val="30"/>
          <w:szCs w:val="30"/>
        </w:rPr>
        <w:t>（1）换券申报</w:t>
      </w:r>
    </w:p>
    <w:p w14:paraId="7F2B95B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协议回购确认成交后，在协议回购存续期间（不含首次结算日和到期结算日），经双方协商一致，可以对质押券进行变更。</w:t>
      </w:r>
    </w:p>
    <w:p w14:paraId="4168480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质押券变更申报由正回购方发起，经逆回购方进行确认申报后，由固定收益平台予以确认。</w:t>
      </w:r>
    </w:p>
    <w:p w14:paraId="2F866E5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5437"/>
      </w:tblGrid>
      <w:tr w14:paraId="22ED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D16843">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37" w:type="dxa"/>
          </w:tcPr>
          <w:p w14:paraId="20F6450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DD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14:paraId="22DE117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127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721AF7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437" w:type="dxa"/>
          </w:tcPr>
          <w:p w14:paraId="06A26E1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6795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3F19C5C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437" w:type="dxa"/>
          </w:tcPr>
          <w:p w14:paraId="680D2248">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C6B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ACD6015">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437" w:type="dxa"/>
          </w:tcPr>
          <w:p w14:paraId="0EA2084C">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6271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78CCD68B">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交易单元号</w:t>
            </w:r>
          </w:p>
        </w:tc>
        <w:tc>
          <w:tcPr>
            <w:tcW w:w="5437" w:type="dxa"/>
          </w:tcPr>
          <w:p w14:paraId="43CB31D5">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1E3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0D1BDF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补充条款</w:t>
            </w:r>
          </w:p>
        </w:tc>
        <w:tc>
          <w:tcPr>
            <w:tcW w:w="5437" w:type="dxa"/>
          </w:tcPr>
          <w:p w14:paraId="61A13F21">
            <w:pPr>
              <w:adjustRightInd w:val="0"/>
              <w:snapToGrid w:val="0"/>
              <w:jc w:val="left"/>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1E7B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54CB31B8">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437" w:type="dxa"/>
          </w:tcPr>
          <w:p w14:paraId="3EF2852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19CA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BF33C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437" w:type="dxa"/>
          </w:tcPr>
          <w:p w14:paraId="6BA45E31">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新质押券数量*单张质押券面额，自动显示，无需输入</w:t>
            </w:r>
          </w:p>
        </w:tc>
      </w:tr>
      <w:tr w14:paraId="4398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4B094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新折算比例</w:t>
            </w:r>
          </w:p>
        </w:tc>
        <w:tc>
          <w:tcPr>
            <w:tcW w:w="5437" w:type="dxa"/>
          </w:tcPr>
          <w:p w14:paraId="5A950682">
            <w:pPr>
              <w:adjustRightInd w:val="0"/>
              <w:snapToGrid w:val="0"/>
              <w:jc w:val="left"/>
              <w:rPr>
                <w:rFonts w:ascii="仿宋_GB2312" w:eastAsia="仿宋_GB2312"/>
                <w:kern w:val="0"/>
                <w:sz w:val="24"/>
                <w:szCs w:val="24"/>
              </w:rPr>
            </w:pPr>
            <w:r>
              <w:rPr>
                <w:rFonts w:hint="eastAsia" w:ascii="仿宋_GB2312" w:eastAsia="仿宋_GB2312"/>
                <w:kern w:val="0"/>
                <w:sz w:val="24"/>
                <w:szCs w:val="24"/>
              </w:rPr>
              <w:t>成交金额/新质押券总面额*100%，自动显示，无需输入</w:t>
            </w:r>
          </w:p>
        </w:tc>
      </w:tr>
      <w:tr w14:paraId="47AB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15D26FD2">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换券申报日期</w:t>
            </w:r>
          </w:p>
        </w:tc>
        <w:tc>
          <w:tcPr>
            <w:tcW w:w="5437" w:type="dxa"/>
          </w:tcPr>
          <w:p w14:paraId="305F32E1">
            <w:pPr>
              <w:adjustRightInd w:val="0"/>
              <w:snapToGrid w:val="0"/>
              <w:jc w:val="left"/>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20C8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18A233B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437" w:type="dxa"/>
          </w:tcPr>
          <w:p w14:paraId="6BF0233B">
            <w:pPr>
              <w:adjustRightInd w:val="0"/>
              <w:snapToGrid w:val="0"/>
              <w:jc w:val="left"/>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28F7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14:paraId="18146EF4">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原券申报信息</w:t>
            </w:r>
          </w:p>
        </w:tc>
      </w:tr>
      <w:tr w14:paraId="2AD1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CB5409E">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437" w:type="dxa"/>
          </w:tcPr>
          <w:p w14:paraId="072EF509">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6990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85" w:type="dxa"/>
          </w:tcPr>
          <w:p w14:paraId="223A345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437" w:type="dxa"/>
          </w:tcPr>
          <w:p w14:paraId="60C7368A">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原质押债券的代码,自动显示，无需输入</w:t>
            </w:r>
          </w:p>
        </w:tc>
      </w:tr>
      <w:tr w14:paraId="1588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C60D91A">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437" w:type="dxa"/>
          </w:tcPr>
          <w:p w14:paraId="3BD4E67F">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51A3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59F874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437" w:type="dxa"/>
          </w:tcPr>
          <w:p w14:paraId="0F9AF09B">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5520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0E72C1B">
            <w:pPr>
              <w:adjustRightInd w:val="0"/>
              <w:snapToGrid w:val="0"/>
              <w:rPr>
                <w:rFonts w:ascii="仿宋_GB2312" w:eastAsia="仿宋_GB2312"/>
                <w:b/>
                <w:kern w:val="0"/>
                <w:sz w:val="24"/>
                <w:szCs w:val="24"/>
              </w:rPr>
            </w:pPr>
            <w:r>
              <w:rPr>
                <w:rFonts w:hint="eastAsia" w:ascii="仿宋_GB2312" w:eastAsia="仿宋_GB2312"/>
                <w:b/>
                <w:kern w:val="0"/>
                <w:sz w:val="24"/>
                <w:szCs w:val="24"/>
              </w:rPr>
              <w:t>原实际折算比例</w:t>
            </w:r>
          </w:p>
        </w:tc>
        <w:tc>
          <w:tcPr>
            <w:tcW w:w="5437" w:type="dxa"/>
          </w:tcPr>
          <w:p w14:paraId="2B843C8E">
            <w:pPr>
              <w:adjustRightInd w:val="0"/>
              <w:snapToGrid w:val="0"/>
              <w:rPr>
                <w:rFonts w:ascii="仿宋_GB2312" w:eastAsia="仿宋_GB2312"/>
                <w:kern w:val="0"/>
                <w:sz w:val="24"/>
                <w:szCs w:val="24"/>
              </w:rPr>
            </w:pPr>
            <w:r>
              <w:rPr>
                <w:rFonts w:hint="eastAsia" w:ascii="仿宋_GB2312" w:eastAsia="仿宋_GB2312"/>
                <w:kern w:val="0"/>
                <w:sz w:val="24"/>
                <w:szCs w:val="24"/>
              </w:rPr>
              <w:t>原成交金额/原质押券总面额*100%，自动显示，无需输入</w:t>
            </w:r>
          </w:p>
        </w:tc>
      </w:tr>
      <w:tr w14:paraId="5FFB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CBF1F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437" w:type="dxa"/>
          </w:tcPr>
          <w:p w14:paraId="3E9DB8D9">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30AD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0C9D9E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437" w:type="dxa"/>
          </w:tcPr>
          <w:p w14:paraId="0885112C">
            <w:pPr>
              <w:adjustRightInd w:val="0"/>
              <w:snapToGrid w:val="0"/>
              <w:rPr>
                <w:rFonts w:ascii="仿宋_GB2312" w:eastAsia="仿宋_GB2312"/>
                <w:kern w:val="0"/>
                <w:sz w:val="24"/>
                <w:szCs w:val="24"/>
              </w:rPr>
            </w:pPr>
            <w:r>
              <w:rPr>
                <w:rFonts w:hint="eastAsia" w:ascii="仿宋_GB2312" w:eastAsia="仿宋_GB2312"/>
                <w:kern w:val="0"/>
                <w:sz w:val="24"/>
                <w:szCs w:val="24"/>
              </w:rPr>
              <w:t>原质押数量*原单张质押券面额，自动显示，无需输入，自动显示，无需输入</w:t>
            </w:r>
          </w:p>
        </w:tc>
      </w:tr>
      <w:tr w14:paraId="5A20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37AD0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原成交金额</w:t>
            </w:r>
          </w:p>
        </w:tc>
        <w:tc>
          <w:tcPr>
            <w:tcW w:w="5437" w:type="dxa"/>
          </w:tcPr>
          <w:p w14:paraId="262D871F">
            <w:pPr>
              <w:adjustRightInd w:val="0"/>
              <w:snapToGrid w:val="0"/>
              <w:rPr>
                <w:rFonts w:ascii="仿宋_GB2312" w:eastAsia="仿宋_GB2312"/>
                <w:kern w:val="0"/>
                <w:sz w:val="24"/>
                <w:szCs w:val="24"/>
              </w:rPr>
            </w:pPr>
            <w:r>
              <w:rPr>
                <w:rFonts w:hint="eastAsia" w:ascii="仿宋_GB2312" w:eastAsia="仿宋_GB2312"/>
                <w:kern w:val="0"/>
                <w:sz w:val="24"/>
                <w:szCs w:val="24"/>
              </w:rPr>
              <w:t>原正回购方融入的资金额度，自动显示，无需输入</w:t>
            </w:r>
          </w:p>
        </w:tc>
      </w:tr>
      <w:tr w14:paraId="1798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51F860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437" w:type="dxa"/>
          </w:tcPr>
          <w:p w14:paraId="475F209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默认正回购，换券申报只能正回购方发起，自动显示，无需输入</w:t>
            </w:r>
          </w:p>
        </w:tc>
      </w:tr>
      <w:tr w14:paraId="57B7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62B02B4">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437" w:type="dxa"/>
          </w:tcPr>
          <w:p w14:paraId="415E3B79">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6A3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7C9E63">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437" w:type="dxa"/>
          </w:tcPr>
          <w:p w14:paraId="3FC1AFA4">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7E9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31EF649">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437" w:type="dxa"/>
          </w:tcPr>
          <w:p w14:paraId="3D4FC09A">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3EB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61DE00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437" w:type="dxa"/>
          </w:tcPr>
          <w:p w14:paraId="6DD0B61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4B14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9C5FBDA">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437" w:type="dxa"/>
          </w:tcPr>
          <w:p w14:paraId="50BD01F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33C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AA1FE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437" w:type="dxa"/>
          </w:tcPr>
          <w:p w14:paraId="75EDB83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70F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73F66F">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437" w:type="dxa"/>
          </w:tcPr>
          <w:p w14:paraId="6851C8D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16F6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589F277">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正回购方债券交易参与人代码</w:t>
            </w:r>
          </w:p>
        </w:tc>
        <w:tc>
          <w:tcPr>
            <w:tcW w:w="5437" w:type="dxa"/>
          </w:tcPr>
          <w:p w14:paraId="1431238F">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正回购方债券交易参与人代码，自动显示，无需输入</w:t>
            </w:r>
          </w:p>
        </w:tc>
      </w:tr>
      <w:tr w14:paraId="2D8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0AFAFA9">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正回购方债券交易参与人简称</w:t>
            </w:r>
          </w:p>
        </w:tc>
        <w:tc>
          <w:tcPr>
            <w:tcW w:w="5437" w:type="dxa"/>
          </w:tcPr>
          <w:p w14:paraId="0237DAB9">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正回购方债券交易参与人简称，自动显示，无需输入</w:t>
            </w:r>
          </w:p>
        </w:tc>
      </w:tr>
      <w:tr w14:paraId="2DE7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4DC903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437" w:type="dxa"/>
          </w:tcPr>
          <w:p w14:paraId="4AD82505">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611B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610019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437" w:type="dxa"/>
          </w:tcPr>
          <w:p w14:paraId="2D58FF00">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3ED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9CE025D">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437" w:type="dxa"/>
          </w:tcPr>
          <w:p w14:paraId="1A5BB4A3">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默认显示正回购方证券账号指定交易单元号，自动显示，无需输入</w:t>
            </w:r>
          </w:p>
        </w:tc>
      </w:tr>
      <w:tr w14:paraId="62E2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ED5B76">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逆回购方债券交易参与人代码</w:t>
            </w:r>
          </w:p>
        </w:tc>
        <w:tc>
          <w:tcPr>
            <w:tcW w:w="5437" w:type="dxa"/>
          </w:tcPr>
          <w:p w14:paraId="64B3BFAE">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逆回购方债券交易参与人代码，自动显示，无需输入</w:t>
            </w:r>
          </w:p>
        </w:tc>
      </w:tr>
      <w:tr w14:paraId="1194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143FC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逆回购方债券交易参与人简称</w:t>
            </w:r>
          </w:p>
        </w:tc>
        <w:tc>
          <w:tcPr>
            <w:tcW w:w="5437" w:type="dxa"/>
          </w:tcPr>
          <w:p w14:paraId="34188E88">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逆回购方债券交易参与人简称，自动显示，无需输入</w:t>
            </w:r>
          </w:p>
        </w:tc>
      </w:tr>
      <w:tr w14:paraId="2969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31546F7">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437" w:type="dxa"/>
          </w:tcPr>
          <w:p w14:paraId="7537E164">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30C0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81121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437" w:type="dxa"/>
          </w:tcPr>
          <w:p w14:paraId="7ADEFB3F">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bl>
    <w:p w14:paraId="5BE7921B">
      <w:pPr>
        <w:spacing w:line="600" w:lineRule="exact"/>
        <w:ind w:left="567"/>
        <w:outlineLvl w:val="3"/>
        <w:rPr>
          <w:rFonts w:ascii="仿宋_GB2312" w:eastAsia="仿宋_GB2312"/>
          <w:b/>
          <w:sz w:val="30"/>
          <w:szCs w:val="30"/>
        </w:rPr>
      </w:pPr>
      <w:r>
        <w:rPr>
          <w:rFonts w:hint="eastAsia" w:ascii="仿宋_GB2312" w:eastAsia="仿宋_GB2312"/>
          <w:b/>
          <w:sz w:val="30"/>
          <w:szCs w:val="30"/>
        </w:rPr>
        <w:t>（2）提前终止申报</w:t>
      </w:r>
      <w:bookmarkStart w:id="1877" w:name="26"/>
    </w:p>
    <w:bookmarkEnd w:id="1877"/>
    <w:p w14:paraId="5E6CDF77">
      <w:pPr>
        <w:adjustRightInd w:val="0"/>
        <w:snapToGrid w:val="0"/>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协议</w:t>
      </w:r>
      <w:r>
        <w:rPr>
          <w:rFonts w:hint="eastAsia" w:ascii="仿宋_GB2312" w:hAnsi="Calibri" w:eastAsia="仿宋_GB2312"/>
          <w:sz w:val="30"/>
          <w:szCs w:val="30"/>
        </w:rPr>
        <w:t>回购达成后，在协议回购存续期间（不含首次结算日和到期结算日），经双方协商一致，协议回购可以提前终止，并按照双方重新商定的回购利率进行结算。</w:t>
      </w:r>
    </w:p>
    <w:p w14:paraId="3411891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提前终止申报由正回购方或者逆回购方发起，经对手方进行确认申报后，由固定收益平台予以确认。</w:t>
      </w:r>
    </w:p>
    <w:p w14:paraId="03F56D11">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提前终止申报的</w:t>
      </w:r>
      <w:r>
        <w:rPr>
          <w:rFonts w:hint="eastAsia" w:ascii="仿宋_GB2312" w:hAnsi="宋体" w:eastAsia="仿宋_GB2312"/>
          <w:sz w:val="30"/>
          <w:szCs w:val="30"/>
        </w:rPr>
        <w:t>具体要素及要素说明如下：</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4"/>
        <w:gridCol w:w="5720"/>
      </w:tblGrid>
      <w:tr w14:paraId="27D0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349BF4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720" w:type="dxa"/>
          </w:tcPr>
          <w:p w14:paraId="0B2F7DB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32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BF99D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720" w:type="dxa"/>
          </w:tcPr>
          <w:p w14:paraId="16FB9EA0">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431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B87ABD">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实际回购利率</w:t>
            </w:r>
          </w:p>
        </w:tc>
        <w:tc>
          <w:tcPr>
            <w:tcW w:w="5720" w:type="dxa"/>
          </w:tcPr>
          <w:p w14:paraId="604210D0">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3430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6D0D4EDC">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实际结算金额</w:t>
            </w:r>
          </w:p>
        </w:tc>
        <w:tc>
          <w:tcPr>
            <w:tcW w:w="5720" w:type="dxa"/>
          </w:tcPr>
          <w:p w14:paraId="78541851">
            <w:pPr>
              <w:adjustRightInd w:val="0"/>
              <w:snapToGrid w:val="0"/>
              <w:rPr>
                <w:rFonts w:ascii="仿宋_GB2312" w:eastAsia="仿宋_GB2312"/>
                <w:kern w:val="0"/>
                <w:sz w:val="24"/>
                <w:szCs w:val="24"/>
              </w:rPr>
            </w:pPr>
            <w:r>
              <w:rPr>
                <w:rFonts w:hint="eastAsia" w:ascii="仿宋_GB2312" w:eastAsia="仿宋_GB2312"/>
                <w:kern w:val="0"/>
                <w:sz w:val="24"/>
                <w:szCs w:val="24"/>
              </w:rPr>
              <w:t>为提前到期日正回购方返回的金额</w:t>
            </w:r>
          </w:p>
        </w:tc>
      </w:tr>
      <w:tr w14:paraId="5E6A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4B9B3E0">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720" w:type="dxa"/>
          </w:tcPr>
          <w:p w14:paraId="2174F91A">
            <w:pPr>
              <w:adjustRightInd w:val="0"/>
              <w:snapToGrid w:val="0"/>
              <w:rPr>
                <w:rFonts w:ascii="仿宋_GB2312" w:eastAsia="仿宋_GB2312"/>
                <w:kern w:val="0"/>
                <w:sz w:val="24"/>
                <w:szCs w:val="24"/>
              </w:rPr>
            </w:pPr>
            <w:r>
              <w:rPr>
                <w:rFonts w:hint="eastAsia" w:ascii="仿宋_GB2312" w:eastAsia="仿宋_GB2312"/>
                <w:kern w:val="0"/>
                <w:sz w:val="24"/>
                <w:szCs w:val="24"/>
              </w:rPr>
              <w:t>默认显示证券账号指定交易单元号</w:t>
            </w:r>
          </w:p>
        </w:tc>
      </w:tr>
      <w:tr w14:paraId="052A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0614A19">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720" w:type="dxa"/>
          </w:tcPr>
          <w:p w14:paraId="311DD936">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5FAB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5519BD2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720" w:type="dxa"/>
          </w:tcPr>
          <w:p w14:paraId="30F84621">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6240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10D67FE0">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实际回购利息</w:t>
            </w:r>
          </w:p>
        </w:tc>
        <w:tc>
          <w:tcPr>
            <w:tcW w:w="5720" w:type="dxa"/>
          </w:tcPr>
          <w:p w14:paraId="56DAC62E">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正回购方实际付给逆回购方的回购利息，自动显示，无需输入</w:t>
            </w:r>
          </w:p>
        </w:tc>
      </w:tr>
      <w:tr w14:paraId="53FF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500E4A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720" w:type="dxa"/>
          </w:tcPr>
          <w:p w14:paraId="75F61796">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3C35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E46FFA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720" w:type="dxa"/>
          </w:tcPr>
          <w:p w14:paraId="7178937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31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E02D8C4">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720" w:type="dxa"/>
          </w:tcPr>
          <w:p w14:paraId="470178FB">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正回购或逆回购，自动显示，无需输入</w:t>
            </w:r>
          </w:p>
        </w:tc>
      </w:tr>
      <w:tr w14:paraId="7154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301B800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720" w:type="dxa"/>
          </w:tcPr>
          <w:p w14:paraId="293A9A1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质押债券的代码,自动显示，无需输入</w:t>
            </w:r>
          </w:p>
        </w:tc>
      </w:tr>
      <w:tr w14:paraId="72DE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FCDE5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720" w:type="dxa"/>
          </w:tcPr>
          <w:p w14:paraId="33C38C96">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99B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98BA7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5720" w:type="dxa"/>
          </w:tcPr>
          <w:p w14:paraId="570C4FEB">
            <w:pPr>
              <w:adjustRightInd w:val="0"/>
              <w:snapToGrid w:val="0"/>
              <w:rPr>
                <w:rFonts w:ascii="仿宋_GB2312" w:eastAsia="仿宋_GB2312"/>
                <w:kern w:val="0"/>
                <w:sz w:val="24"/>
                <w:szCs w:val="24"/>
              </w:rPr>
            </w:pPr>
            <w:r>
              <w:rPr>
                <w:rFonts w:hint="eastAsia" w:ascii="仿宋_GB2312" w:eastAsia="仿宋_GB2312"/>
                <w:kern w:val="0"/>
                <w:sz w:val="24"/>
                <w:szCs w:val="24"/>
              </w:rPr>
              <w:t>原协议回购的回购到期日期，自动显示，无需输入</w:t>
            </w:r>
          </w:p>
        </w:tc>
      </w:tr>
      <w:tr w14:paraId="0124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306BA71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720" w:type="dxa"/>
          </w:tcPr>
          <w:p w14:paraId="672A2942">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4C45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0B84591B">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5720" w:type="dxa"/>
          </w:tcPr>
          <w:p w14:paraId="0E9AD1A8">
            <w:pPr>
              <w:adjustRightInd w:val="0"/>
              <w:snapToGrid w:val="0"/>
              <w:rPr>
                <w:rFonts w:ascii="仿宋_GB2312" w:eastAsia="仿宋_GB2312"/>
                <w:kern w:val="0"/>
                <w:sz w:val="24"/>
                <w:szCs w:val="24"/>
              </w:rPr>
            </w:pPr>
            <w:r>
              <w:rPr>
                <w:rFonts w:hint="eastAsia" w:ascii="仿宋_GB2312" w:eastAsia="仿宋_GB2312"/>
                <w:kern w:val="0"/>
                <w:sz w:val="24"/>
                <w:szCs w:val="24"/>
              </w:rPr>
              <w:t>回购交易的提前终止日期，自动显示，无需输入</w:t>
            </w:r>
          </w:p>
        </w:tc>
      </w:tr>
      <w:tr w14:paraId="6DC7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0AEE52F">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720" w:type="dxa"/>
          </w:tcPr>
          <w:p w14:paraId="762ABAFB">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本方证券账户号，自动显示，无需输入，自动显示，无需输入</w:t>
            </w:r>
          </w:p>
        </w:tc>
      </w:tr>
      <w:tr w14:paraId="1584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73D309D">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5720" w:type="dxa"/>
          </w:tcPr>
          <w:p w14:paraId="5F95BC06">
            <w:pPr>
              <w:adjustRightInd w:val="0"/>
              <w:snapToGrid w:val="0"/>
              <w:rPr>
                <w:rFonts w:ascii="仿宋_GB2312" w:eastAsia="仿宋_GB2312"/>
                <w:kern w:val="0"/>
                <w:sz w:val="24"/>
                <w:szCs w:val="24"/>
              </w:rPr>
            </w:pPr>
            <w:r>
              <w:rPr>
                <w:rFonts w:hint="eastAsia" w:ascii="仿宋_GB2312" w:eastAsia="仿宋_GB2312"/>
                <w:kern w:val="0"/>
                <w:sz w:val="24"/>
                <w:szCs w:val="24"/>
              </w:rPr>
              <w:t>即成交日至提前终止日的实际天数。回购期限按自然日计算，以天为单位，含成交日，不含提前终止日，自动显示，无需输入</w:t>
            </w:r>
          </w:p>
        </w:tc>
      </w:tr>
      <w:tr w14:paraId="06E5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1D4D2A1">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提前终止后实际占款期限</w:t>
            </w:r>
          </w:p>
        </w:tc>
        <w:tc>
          <w:tcPr>
            <w:tcW w:w="5720" w:type="dxa"/>
          </w:tcPr>
          <w:p w14:paraId="0D0B01E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提前终止日-首期结算日，自动显示，无需输入</w:t>
            </w:r>
          </w:p>
        </w:tc>
      </w:tr>
    </w:tbl>
    <w:p w14:paraId="25A0D5F9">
      <w:pPr>
        <w:spacing w:line="600" w:lineRule="exact"/>
        <w:ind w:left="567"/>
        <w:outlineLvl w:val="3"/>
        <w:rPr>
          <w:rFonts w:ascii="仿宋_GB2312" w:eastAsia="仿宋_GB2312"/>
          <w:b/>
          <w:sz w:val="30"/>
          <w:szCs w:val="30"/>
        </w:rPr>
      </w:pPr>
      <w:r>
        <w:rPr>
          <w:rFonts w:hint="eastAsia" w:ascii="仿宋_GB2312" w:eastAsia="仿宋_GB2312"/>
          <w:b/>
          <w:sz w:val="30"/>
          <w:szCs w:val="30"/>
        </w:rPr>
        <w:t>（3）异常情况处理</w:t>
      </w:r>
    </w:p>
    <w:p w14:paraId="0538790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协议回购存续期间发生以下情形的，列为异常情况：</w:t>
      </w:r>
    </w:p>
    <w:p w14:paraId="676E6D27">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）质押券、证券账户或资金账户被司法等机关冻结或强制执行；</w:t>
      </w:r>
    </w:p>
    <w:p w14:paraId="59AF228C">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）回购任何一方被暂停或终止协议回购交易权限；</w:t>
      </w:r>
    </w:p>
    <w:p w14:paraId="4CB5AF65">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）回购任何一方或代理证券公司进入风险处置、终止清算、破产程序或者理财产品提前终止；</w:t>
      </w:r>
    </w:p>
    <w:p w14:paraId="44C972A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）质押券被暂停、终止上市或者转让；</w:t>
      </w:r>
    </w:p>
    <w:p w14:paraId="5349B809">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5</w:t>
      </w:r>
      <w:r>
        <w:rPr>
          <w:rFonts w:hint="eastAsia" w:ascii="仿宋_GB2312" w:hAnsi="Calibri" w:eastAsia="仿宋_GB2312"/>
          <w:sz w:val="30"/>
          <w:szCs w:val="30"/>
        </w:rPr>
        <w:t>）本所认定的其他异常情况。</w:t>
      </w:r>
    </w:p>
    <w:p w14:paraId="685DBBB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发生异常情况的，一方应当在异常情况发生时及时通知对手方，并及时协商解决。回购双方可以采取以下方式进行处理：</w:t>
      </w:r>
    </w:p>
    <w:p w14:paraId="7F8E791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）提前终止；</w:t>
      </w:r>
    </w:p>
    <w:p w14:paraId="4C901BB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）变更质押券；</w:t>
      </w:r>
    </w:p>
    <w:p w14:paraId="36E44F1F">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）继续履行；</w:t>
      </w:r>
    </w:p>
    <w:p w14:paraId="4CA2914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）本认可的其他方式。</w:t>
      </w:r>
    </w:p>
    <w:p w14:paraId="0DB1938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违约处置</w:t>
      </w:r>
      <w:bookmarkStart w:id="1878" w:name="31"/>
    </w:p>
    <w:bookmarkEnd w:id="1878"/>
    <w:p w14:paraId="7CB2CBF6">
      <w:pPr>
        <w:spacing w:line="600" w:lineRule="exact"/>
        <w:ind w:left="567"/>
        <w:outlineLvl w:val="3"/>
        <w:rPr>
          <w:rFonts w:ascii="仿宋_GB2312" w:eastAsia="仿宋_GB2312"/>
          <w:b/>
          <w:sz w:val="30"/>
          <w:szCs w:val="30"/>
        </w:rPr>
      </w:pPr>
      <w:r>
        <w:rPr>
          <w:rFonts w:hint="eastAsia" w:ascii="仿宋_GB2312" w:eastAsia="仿宋_GB2312"/>
          <w:b/>
          <w:sz w:val="30"/>
          <w:szCs w:val="30"/>
        </w:rPr>
        <w:t>（1）一般规定</w:t>
      </w:r>
    </w:p>
    <w:p w14:paraId="60E15FA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应当首先协商解决，守约方有权要求违约方继续履行回购协议，也有权终止回购协议，并可要求违约方根据《上海证券交易所债券质押式协议回购交易暂行办法》《上海证券交易所债券质押式协议回购交易业务指引》</w:t>
      </w:r>
      <w:r>
        <w:rPr>
          <w:rFonts w:hint="eastAsia" w:ascii="仿宋_GB2312" w:hAnsi="宋体" w:eastAsia="仿宋_GB2312" w:cs="宋体"/>
          <w:color w:val="000000"/>
          <w:kern w:val="0"/>
          <w:sz w:val="30"/>
          <w:szCs w:val="30"/>
        </w:rPr>
        <w:t>《上海证券交易所债券交易规则适用指引第4号——债券质押式协议回购风险管理》</w:t>
      </w:r>
      <w:r>
        <w:rPr>
          <w:rFonts w:hint="eastAsia" w:ascii="仿宋_GB2312" w:hAnsi="Calibri" w:eastAsia="仿宋_GB2312"/>
          <w:sz w:val="30"/>
          <w:szCs w:val="30"/>
        </w:rPr>
        <w:t>以及主协议和补充协议等，采取收取补息、罚息等方式进行赔偿。回购双方经协商无法达成一致的，可以采取仲裁、诉讼等违约救济方式。</w:t>
      </w:r>
      <w:bookmarkStart w:id="1879" w:name="32"/>
    </w:p>
    <w:bookmarkEnd w:id="1879"/>
    <w:p w14:paraId="69B91C6A">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5C0AE57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协议回购发生违约，回购双方对质押券处置达成一致的，可通过固定收益平台进行申报、对质押券解除质押登记</w:t>
      </w:r>
      <w:r>
        <w:rPr>
          <w:rFonts w:ascii="仿宋_GB2312" w:hAnsi="Calibri" w:eastAsia="仿宋_GB2312"/>
          <w:sz w:val="30"/>
          <w:szCs w:val="30"/>
        </w:rPr>
        <w:t>，</w:t>
      </w:r>
      <w:r>
        <w:rPr>
          <w:rFonts w:hint="eastAsia" w:ascii="仿宋_GB2312" w:hAnsi="Calibri" w:eastAsia="仿宋_GB2312"/>
          <w:sz w:val="30"/>
          <w:szCs w:val="30"/>
        </w:rPr>
        <w:t>或申请质押证券处置过户至质权人或拍卖变卖的受让人。</w:t>
      </w:r>
      <w:r>
        <w:rPr>
          <w:rFonts w:ascii="仿宋_GB2312" w:hAnsi="Calibri" w:eastAsia="仿宋_GB2312"/>
          <w:sz w:val="30"/>
          <w:szCs w:val="30"/>
        </w:rPr>
        <w:t>申报解除质押登记的，</w:t>
      </w:r>
      <w:r>
        <w:rPr>
          <w:rFonts w:hint="eastAsia" w:ascii="仿宋_GB2312" w:hAnsi="Calibri" w:eastAsia="仿宋_GB2312"/>
          <w:sz w:val="30"/>
          <w:szCs w:val="30"/>
        </w:rPr>
        <w:t>解除质押申报由正回购方或者逆回购方发起，经对手方进行确认申报后，由固定收益平台予以确认。解除质押申报的交易要素应当包括质押券代码、解除质押登记的数量、解除质押日等内容。</w:t>
      </w:r>
    </w:p>
    <w:p w14:paraId="136C869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质押券解除质押后，按照交易双方约定的方式进行处置。</w:t>
      </w:r>
    </w:p>
    <w:p w14:paraId="6C43C82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申请质押证券处置过户至质权人或拍卖变卖的受让人的，登记结算机构根据证券过户指令，于日终逐笔办理质押证券的处置过户</w:t>
      </w:r>
      <w:r>
        <w:rPr>
          <w:rFonts w:ascii="仿宋_GB2312" w:hAnsi="Calibri" w:eastAsia="仿宋_GB2312"/>
          <w:sz w:val="30"/>
          <w:szCs w:val="30"/>
        </w:rPr>
        <w:t>。</w:t>
      </w:r>
    </w:p>
    <w:p w14:paraId="77088B21">
      <w:pPr>
        <w:numPr>
          <w:ilvl w:val="1"/>
          <w:numId w:val="4"/>
        </w:numPr>
        <w:spacing w:line="600" w:lineRule="exact"/>
        <w:ind w:left="0" w:firstLine="0"/>
        <w:outlineLvl w:val="1"/>
        <w:rPr>
          <w:rFonts w:ascii="仿宋_GB2312" w:eastAsia="仿宋_GB2312"/>
          <w:b/>
          <w:sz w:val="30"/>
          <w:szCs w:val="30"/>
        </w:rPr>
      </w:pPr>
      <w:bookmarkStart w:id="1880" w:name="_Toc151136916"/>
      <w:bookmarkStart w:id="1881" w:name="_Toc56166287"/>
      <w:bookmarkStart w:id="1882" w:name="_Toc56166098"/>
      <w:r>
        <w:rPr>
          <w:rFonts w:hint="eastAsia" w:ascii="仿宋_GB2312" w:eastAsia="仿宋_GB2312"/>
          <w:b/>
          <w:sz w:val="30"/>
          <w:szCs w:val="30"/>
        </w:rPr>
        <w:t>债券质押式三方回购</w:t>
      </w:r>
      <w:bookmarkEnd w:id="1880"/>
      <w:bookmarkEnd w:id="1881"/>
      <w:bookmarkEnd w:id="1882"/>
      <w:r>
        <w:rPr>
          <w:rFonts w:ascii="仿宋_GB2312" w:eastAsia="仿宋_GB2312"/>
          <w:b/>
          <w:sz w:val="30"/>
          <w:szCs w:val="30"/>
        </w:rPr>
        <w:tab/>
      </w:r>
      <w:bookmarkStart w:id="1883" w:name="_Toc500840217"/>
      <w:bookmarkStart w:id="1884" w:name="_Toc501552788"/>
    </w:p>
    <w:p w14:paraId="6FA65A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bookmarkEnd w:id="1883"/>
      <w:bookmarkEnd w:id="1884"/>
    </w:p>
    <w:p w14:paraId="69278B8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三方回购（以下简称三方回购）是指资金融入方（以下简称正回购方）将债券出质给资金融出方（以下简称逆回购方）以融入资金，约定在未来返还资金和支付回购利息，同时解除债券质押，并由第三方机构提供相关的担保品管理服务的交易。</w:t>
      </w:r>
    </w:p>
    <w:p w14:paraId="6B4C9C6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本所组织开展三方回购，提供交易申报及成交确认平台，并制定担保品管理的相关标准，开展对三方回购参与者和质押券篮子的管理。</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对三方回购进行集中登记、存管、结算，并根据相关业务规则规定提供担保品的选取分配、质押登记等服务。</w:t>
      </w:r>
    </w:p>
    <w:p w14:paraId="6E1BDD7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三方回购交易中，回购双方在交易环节主要协商回购交易的金额、回购期限、回购利率、质押券篮子等基本要素，双方可不指定具体质押券及折扣率，质押券由登记结算机构根据相关规则及约定事后选取并进行存续期管理。</w:t>
      </w:r>
    </w:p>
    <w:p w14:paraId="6A4807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72452D58">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中国证券登记结算有限责任公司债券质押式三方回购交易及结算暂行办法》（上证发〔2018〕22号）</w:t>
      </w:r>
    </w:p>
    <w:p w14:paraId="2752F9D2">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中国证券登记结算有限责任公司上海分公司债券质押式三方回购登记结算业务指南</w:t>
      </w:r>
      <w:r>
        <w:rPr>
          <w:rFonts w:hint="eastAsia" w:ascii="仿宋_GB2312" w:hAnsi="Calibri" w:eastAsia="仿宋_GB2312"/>
          <w:sz w:val="30"/>
          <w:szCs w:val="30"/>
        </w:rPr>
        <w:t>》（</w:t>
      </w:r>
      <w:r>
        <w:rPr>
          <w:rFonts w:ascii="仿宋_GB2312" w:hAnsi="Calibri" w:eastAsia="仿宋_GB2312"/>
          <w:sz w:val="30"/>
          <w:szCs w:val="30"/>
        </w:rPr>
        <w:t>中国结算沪业字〔2021〕42 号</w:t>
      </w:r>
      <w:r>
        <w:rPr>
          <w:rFonts w:hint="eastAsia" w:ascii="仿宋_GB2312" w:hAnsi="Calibri" w:eastAsia="仿宋_GB2312"/>
          <w:sz w:val="30"/>
          <w:szCs w:val="30"/>
        </w:rPr>
        <w:t>）</w:t>
      </w:r>
    </w:p>
    <w:p w14:paraId="5F765D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bookmarkStart w:id="1885" w:name="_Toc499849932"/>
      <w:bookmarkEnd w:id="1885"/>
      <w:bookmarkStart w:id="1886" w:name="_Toc499850129"/>
      <w:bookmarkEnd w:id="1886"/>
    </w:p>
    <w:p w14:paraId="28D9DF50">
      <w:pPr>
        <w:spacing w:line="600" w:lineRule="exact"/>
        <w:ind w:left="567"/>
        <w:outlineLvl w:val="3"/>
        <w:rPr>
          <w:rFonts w:ascii="仿宋_GB2312" w:eastAsia="仿宋_GB2312"/>
          <w:b/>
          <w:sz w:val="30"/>
          <w:szCs w:val="30"/>
        </w:rPr>
      </w:pPr>
      <w:r>
        <w:rPr>
          <w:rFonts w:hint="eastAsia" w:ascii="仿宋_GB2312" w:eastAsia="仿宋_GB2312"/>
          <w:b/>
          <w:sz w:val="30"/>
          <w:szCs w:val="30"/>
        </w:rPr>
        <w:t>（1）签署主协议</w:t>
      </w:r>
    </w:p>
    <w:p w14:paraId="38F30A59">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市场参与者在参与三方回购之前，应签署《上海证券交易所债券质押式三方回购主协议》（以下简称主协议）。主协议为开放式协议，签署后在各签署人之间生效。</w:t>
      </w:r>
    </w:p>
    <w:p w14:paraId="67940A3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为法人机构的，主协议由法定代表人或授权代理人进行签署；市场参与者为证券投资基金、银行理财等理财产品的，由管理人的法定代表人或授权代理人代为签署。同一个管理人管理的理财产品，应分别签署主协议。</w:t>
      </w:r>
    </w:p>
    <w:p w14:paraId="426B50C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三方回购主协议签署后电子扫描件应当提交本所备案,具体备案方式见投资者适当性备案相关介绍。证券公司经纪客户以书面方式签署的，应当一式两份，一份由签署人留存，一份由所在证券公司留存备查。</w:t>
      </w:r>
    </w:p>
    <w:p w14:paraId="4B74412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业务初期，三方回购主协议以书面方式签署，开通电子方式签署的具体时间由本所另行通知。</w:t>
      </w:r>
    </w:p>
    <w:p w14:paraId="0DD588FD">
      <w:pPr>
        <w:numPr>
          <w:ilvl w:val="0"/>
          <w:numId w:val="19"/>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证券账户</w:t>
      </w:r>
    </w:p>
    <w:p w14:paraId="67919CBB">
      <w:pPr>
        <w:spacing w:line="600" w:lineRule="exact"/>
        <w:ind w:firstLine="750" w:firstLineChars="250"/>
        <w:rPr>
          <w:rFonts w:ascii="仿宋_GB2312" w:hAnsi="黑体" w:eastAsia="仿宋_GB2312"/>
          <w:sz w:val="30"/>
          <w:szCs w:val="30"/>
        </w:rPr>
      </w:pPr>
      <w:r>
        <w:rPr>
          <w:rFonts w:hint="eastAsia" w:ascii="仿宋_GB2312" w:hAnsi="黑体" w:eastAsia="仿宋_GB2312"/>
          <w:sz w:val="30"/>
          <w:szCs w:val="30"/>
        </w:rPr>
        <w:t>1）三方回购专用证券账户</w:t>
      </w:r>
    </w:p>
    <w:p w14:paraId="027DB81F">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进行三方回购业务需要向证券登记结算机构申请开通三方回购专用证券账户或将持有的证券账户指定为三方回购专用证券账户。无持有的证券账户是指没有任何证券持仓且没有在途交易或结算业务的证券账户。具体按《中国证券登记结算有限责任公司特殊机构及产品证券账户业务指南》及《登记结算业务指南》规定流程办理。</w:t>
      </w:r>
    </w:p>
    <w:p w14:paraId="56BA17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初期，每个市场参与者只能开立一个三方回购专用证券账户。正回购方不得将三方回购专用证券账户用于三方回购以外的证券交易或其他用途。</w:t>
      </w:r>
    </w:p>
    <w:p w14:paraId="2C59648F">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专用证券账户开立后未在6个月内完成投资者适当性备案或被本所取消三方回购投资者适当性备案的，正回购方应当在15个工作日内按照登记结算机构的相关规定注销专用账户。未按要求注销的，登记结算机构有权注销或限制该账户的使用。</w:t>
      </w:r>
    </w:p>
    <w:p w14:paraId="09FAB5F8">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2）指定普通证券账户</w:t>
      </w:r>
    </w:p>
    <w:p w14:paraId="5A23732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同时还需指定且仅能指定一个普通证券账户用于开展三方回购交易，普通证券账户和三方回购专用证券账户一一对应，从而进行担保品在普通证券账户和三方回购专用证券账户的双向划拨。拟用作担保品的债券只能从该普通证券账户中转入对应的三方回购专用证券账户，三方回购专用证券账户中未被质押的债券只能转出至该普通证券账户。三方回购专用证券账户开通后，市场参与者完成该账户的指定交易，须和用于三方回购的普通证券账户指定在相同的交易单元上。</w:t>
      </w:r>
    </w:p>
    <w:p w14:paraId="2A1508F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投资者适当性备案完成后，市场参与者原则上不可进行普通证券账户的变更。确需变更的，需向本所提交书面申请。</w:t>
      </w:r>
    </w:p>
    <w:p w14:paraId="1AD95F2B">
      <w:pPr>
        <w:spacing w:line="600" w:lineRule="exact"/>
        <w:ind w:left="567"/>
        <w:outlineLvl w:val="3"/>
        <w:rPr>
          <w:rFonts w:ascii="仿宋_GB2312" w:eastAsia="仿宋_GB2312"/>
          <w:b/>
          <w:sz w:val="30"/>
          <w:szCs w:val="30"/>
        </w:rPr>
      </w:pPr>
      <w:r>
        <w:rPr>
          <w:rFonts w:hint="eastAsia" w:ascii="仿宋_GB2312" w:eastAsia="仿宋_GB2312"/>
          <w:b/>
          <w:sz w:val="30"/>
          <w:szCs w:val="30"/>
        </w:rPr>
        <w:t>（3）投资者适当性管理</w:t>
      </w:r>
    </w:p>
    <w:p w14:paraId="22233F1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三方回购交易按照《上海证券交易所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中国证券登记结算有限责任公司债券质押式三方回购交易及结算暂行办法》（以下简称《暂行办法》）《上海证券交易所债券市场投资者适当性管理办法》等相关规定，实行投资者适当性管理。</w:t>
      </w:r>
    </w:p>
    <w:p w14:paraId="36D7FD7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参与三方回购的债券投资者应当符合下列条件：</w:t>
      </w:r>
    </w:p>
    <w:p w14:paraId="26D733E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经有关金融监管部门批准设立的金融机构，包括证券公司、期货公司、基金管理公司及其子公司、商业银行、保险公司、信托公司、财务公司等；经行业协会备案或者登记的证券公司子公司、期货公司子公司、私募基金管理人。</w:t>
      </w:r>
    </w:p>
    <w:p w14:paraId="61FC5F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2B51627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3）社会保障基金、企业年金等养老基金，慈善基金等社会公益基金，合格境外机构投资者（QFII）、人民币合格境外机构投资者（RQFII）。</w:t>
      </w:r>
    </w:p>
    <w:p w14:paraId="62FE2C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4）同时符合下列条件的法人或者其他组织：</w:t>
      </w:r>
    </w:p>
    <w:p w14:paraId="31DDDBC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最近1年末净资产不低于2000万元；最近1年末金融资产不低于1000万元；具有2年以上证券、基金、期货、黄金、外汇等投资经历。</w:t>
      </w:r>
    </w:p>
    <w:p w14:paraId="5E9B2E4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5）中国证监会和本所认可的其他投资者。</w:t>
      </w:r>
    </w:p>
    <w:p w14:paraId="1EEB94D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前款所称金融资产，是指银行存款、股票、债券、基金份额、资产管理计划、银行理财产品、信托计划、保险产品、期货及其他衍生产品等。</w:t>
      </w:r>
    </w:p>
    <w:p w14:paraId="44F6D15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作为正回购方的债券投资者还应当符合下列条件：</w:t>
      </w:r>
    </w:p>
    <w:p w14:paraId="0BDACB0B">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1）具有较强风险管理及承担能力的金融机构或其理财产品或本所认可的其他机构投资者；</w:t>
      </w:r>
    </w:p>
    <w:p w14:paraId="20E914D3">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2）已建立完善健全的内部业务管理流程和风险管理制度；</w:t>
      </w:r>
    </w:p>
    <w:p w14:paraId="3B29D9D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3）具备支持三方回购业务开展的相关技术系统；</w:t>
      </w:r>
    </w:p>
    <w:p w14:paraId="2716CA0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4）近两年内未发生过重大回购违约</w:t>
      </w:r>
      <w:r>
        <w:rPr>
          <w:rFonts w:hint="eastAsia" w:eastAsia="仿宋_GB2312"/>
          <w:sz w:val="28"/>
          <w:szCs w:val="28"/>
        </w:rPr>
        <w:t>（成立不足两年的，从成立之日起计算）</w:t>
      </w:r>
      <w:r>
        <w:rPr>
          <w:rFonts w:hint="eastAsia" w:ascii="仿宋_GB2312" w:hAnsi="Calibri" w:eastAsia="仿宋_GB2312"/>
          <w:sz w:val="30"/>
          <w:szCs w:val="30"/>
        </w:rPr>
        <w:t>；</w:t>
      </w:r>
    </w:p>
    <w:p w14:paraId="08689E6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5）本所要求的其他条件。</w:t>
      </w:r>
    </w:p>
    <w:p w14:paraId="11324767">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开展初期，三方回购的正回购方限于以下机构或产品：经有关金融监管部门批准设立的金融机构；公募证券投资基金；商业银行的理财产品（含大型国有商业银行和全国股份制商业银行作为委托人的资产管理产品）。</w:t>
      </w:r>
    </w:p>
    <w:p w14:paraId="5D98384A">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（4）经纪客户</w:t>
      </w:r>
    </w:p>
    <w:p w14:paraId="0981593E">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证券公司应当按照《上海证券交易所债券市场投资者适当性管理办法》的规定对经纪客户进行管理。证券公司应当建立健全经纪客户参与三方回购相关的业务流程和风险控制制度。</w:t>
      </w:r>
    </w:p>
    <w:p w14:paraId="01D6B47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对经纪客户资质进行审查，确保参与三方回购的经纪客户符合投资者适当性管理要求，在经纪客户参与三方回购前，向其全面介绍三方回购的相关业务规则及协议，充分揭示可能产生的风险，并要求其签署风险揭示书。风险揭示书应当包含本所确定的风险揭示书必备条款。</w:t>
      </w:r>
    </w:p>
    <w:p w14:paraId="6D15872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（5）投资者适当性备案</w:t>
      </w:r>
    </w:p>
    <w:p w14:paraId="17CD6AF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市场参与者参与三方回购业务需提前向本所进行投资者适当性备案，备案通过的方可参与三方回购。</w:t>
      </w:r>
      <w:bookmarkStart w:id="1887" w:name="_Toc492555468"/>
      <w:bookmarkEnd w:id="1887"/>
      <w:bookmarkStart w:id="1888" w:name="_Toc492555469"/>
      <w:bookmarkEnd w:id="1888"/>
      <w:bookmarkStart w:id="1889" w:name="_Toc492555862"/>
      <w:bookmarkEnd w:id="1889"/>
      <w:bookmarkStart w:id="1890" w:name="_Toc492555861"/>
      <w:bookmarkEnd w:id="1890"/>
      <w:r>
        <w:rPr>
          <w:rFonts w:hint="eastAsia" w:ascii="仿宋_GB2312" w:hAnsi="Calibri" w:eastAsia="仿宋_GB2312"/>
          <w:sz w:val="30"/>
          <w:szCs w:val="30"/>
        </w:rPr>
        <w:t>市场参与者参与三方回购业务前，应当向本所提交以下投资者适当性备案文件，备案材料均应加盖机构（或管理人）公章：</w:t>
      </w:r>
    </w:p>
    <w:p w14:paraId="0AFE15B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1）三方回购投资者适当性备案表（附件18）；</w:t>
      </w:r>
    </w:p>
    <w:p w14:paraId="48AC820B">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2）三方回购主协议；</w:t>
      </w:r>
    </w:p>
    <w:p w14:paraId="407CCED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正回购方还需要向本所提交以下投资者适当性备案文件：</w:t>
      </w:r>
    </w:p>
    <w:p w14:paraId="259C545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3D1A79C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08389D2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3）关于技术系统准备情况的说明；</w:t>
      </w:r>
    </w:p>
    <w:p w14:paraId="0B0F284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4）本所要求的其他材料。</w:t>
      </w:r>
    </w:p>
    <w:p w14:paraId="0F1156C4">
      <w:pPr>
        <w:widowControl/>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投资者适当性备案材料可通过债券业务管理系统或电子邮件两种方式提交本所。其中，债券业务管理系统为主要的备案渠道，初期未接入债券业务管理系统的市场参与者可通过电子邮件（</w:t>
      </w:r>
      <w:r>
        <w:rPr>
          <w:rFonts w:ascii="仿宋_GB2312" w:hAnsi="Calibri" w:eastAsia="仿宋_GB2312"/>
          <w:sz w:val="30"/>
          <w:szCs w:val="30"/>
        </w:rPr>
        <w:t>ssebond@sse.com.cn</w:t>
      </w:r>
      <w:r>
        <w:rPr>
          <w:rFonts w:hint="eastAsia" w:ascii="仿宋_GB2312" w:hAnsi="Calibri" w:eastAsia="仿宋_GB2312"/>
          <w:sz w:val="30"/>
          <w:szCs w:val="30"/>
        </w:rPr>
        <w:t>）方式进行备案。（详见附件19的第二部分）</w:t>
      </w:r>
    </w:p>
    <w:p w14:paraId="3BE4D58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直接通过固定收益平台进行交易的回购双方直接向本所备案。理财产品由管理人提交投资者适当性备案文件，同一个管理人管理的多个理财产品视为不同主体，应当分别提交投资者适当性备案文件。</w:t>
      </w:r>
      <w:r>
        <w:rPr>
          <w:rFonts w:hint="eastAsia" w:ascii="仿宋_GB2312" w:hAnsi="Calibri" w:eastAsia="仿宋_GB2312"/>
          <w:kern w:val="0"/>
          <w:sz w:val="30"/>
          <w:szCs w:val="30"/>
          <w:lang w:bidi="en-US"/>
        </w:rPr>
        <w:t>商业银行作为委托人的资产管理产品，参与三方回购正回购业务，应由作为委托人的商业银行相关部门出具书面证明。</w:t>
      </w:r>
      <w:r>
        <w:rPr>
          <w:rFonts w:hint="eastAsia" w:ascii="仿宋_GB2312" w:hAnsi="Calibri" w:eastAsia="仿宋_GB2312"/>
          <w:sz w:val="30"/>
          <w:szCs w:val="30"/>
        </w:rPr>
        <w:t>证券公司经纪客户由证券公司确认其符合投资者适当性管理要求，并向本所提交规定的备案文件。</w:t>
      </w:r>
    </w:p>
    <w:p w14:paraId="32BFFA9F">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市场参与者可以对逆回购权限、正回购权限分别进行投资者适当性备案。已经进行逆回购方（正回购方）投资者适当性备案的，再次提交正回购方（逆回购方）投资者适当性备案材料时应确保前后信息的一致性。</w:t>
      </w:r>
    </w:p>
    <w:p w14:paraId="5FEA94CB">
      <w:pPr>
        <w:spacing w:line="600" w:lineRule="exact"/>
        <w:ind w:firstLine="452" w:firstLineChars="150"/>
        <w:outlineLvl w:val="3"/>
        <w:rPr>
          <w:rFonts w:ascii="仿宋_GB2312" w:eastAsia="仿宋_GB2312"/>
          <w:b/>
          <w:sz w:val="30"/>
          <w:szCs w:val="30"/>
        </w:rPr>
      </w:pPr>
      <w:r>
        <w:rPr>
          <w:rFonts w:hint="eastAsia" w:ascii="仿宋_GB2312" w:eastAsia="仿宋_GB2312"/>
          <w:b/>
          <w:sz w:val="30"/>
          <w:szCs w:val="30"/>
        </w:rPr>
        <w:t>（6）签署补充协议</w:t>
      </w:r>
    </w:p>
    <w:p w14:paraId="4D767DD8">
      <w:pPr>
        <w:widowControl/>
        <w:adjustRightInd w:val="0"/>
        <w:snapToGrid w:val="0"/>
        <w:spacing w:line="600" w:lineRule="exact"/>
        <w:ind w:firstLine="600" w:firstLineChars="200"/>
        <w:rPr>
          <w:rFonts w:ascii="仿宋_GB2312" w:hAnsi="Calibri" w:eastAsia="仿宋_GB2312"/>
          <w:kern w:val="0"/>
          <w:sz w:val="30"/>
          <w:szCs w:val="30"/>
        </w:rPr>
      </w:pPr>
      <w:bookmarkStart w:id="1891" w:name="_Toc499850144"/>
      <w:bookmarkEnd w:id="1891"/>
      <w:bookmarkStart w:id="1892" w:name="_Toc499850024"/>
      <w:bookmarkEnd w:id="1892"/>
      <w:bookmarkStart w:id="1893" w:name="_Toc499850221"/>
      <w:bookmarkEnd w:id="1893"/>
      <w:bookmarkStart w:id="1894" w:name="_Toc499849952"/>
      <w:bookmarkEnd w:id="1894"/>
      <w:bookmarkStart w:id="1895" w:name="_Toc499850029"/>
      <w:bookmarkEnd w:id="1895"/>
      <w:bookmarkStart w:id="1896" w:name="_Toc499850026"/>
      <w:bookmarkEnd w:id="1896"/>
      <w:bookmarkStart w:id="1897" w:name="_Toc499849948"/>
      <w:bookmarkEnd w:id="1897"/>
      <w:bookmarkStart w:id="1898" w:name="_Toc499850133"/>
      <w:bookmarkEnd w:id="1898"/>
      <w:bookmarkStart w:id="1899" w:name="_Toc499849945"/>
      <w:bookmarkEnd w:id="1899"/>
      <w:bookmarkStart w:id="1900" w:name="_Toc499850142"/>
      <w:bookmarkEnd w:id="1900"/>
      <w:bookmarkStart w:id="1901" w:name="_Toc499849944"/>
      <w:bookmarkEnd w:id="1901"/>
      <w:bookmarkStart w:id="1902" w:name="_Toc499850219"/>
      <w:bookmarkEnd w:id="1902"/>
      <w:bookmarkStart w:id="1903" w:name="_Toc499850138"/>
      <w:bookmarkEnd w:id="1903"/>
      <w:bookmarkStart w:id="1904" w:name="_Toc499850025"/>
      <w:bookmarkEnd w:id="1904"/>
      <w:bookmarkStart w:id="1905" w:name="_Toc499850216"/>
      <w:bookmarkEnd w:id="1905"/>
      <w:bookmarkStart w:id="1906" w:name="_Toc499849946"/>
      <w:bookmarkEnd w:id="1906"/>
      <w:bookmarkStart w:id="1907" w:name="_Toc499850143"/>
      <w:bookmarkEnd w:id="1907"/>
      <w:bookmarkStart w:id="1908" w:name="_Toc499850134"/>
      <w:bookmarkEnd w:id="1908"/>
      <w:bookmarkStart w:id="1909" w:name="_Toc499849941"/>
      <w:bookmarkEnd w:id="1909"/>
      <w:bookmarkStart w:id="1910" w:name="_Toc499850214"/>
      <w:bookmarkEnd w:id="1910"/>
      <w:bookmarkStart w:id="1911" w:name="_Toc499850139"/>
      <w:bookmarkEnd w:id="1911"/>
      <w:bookmarkStart w:id="1912" w:name="_Toc499850218"/>
      <w:bookmarkEnd w:id="1912"/>
      <w:bookmarkStart w:id="1913" w:name="_Toc499850136"/>
      <w:bookmarkEnd w:id="1913"/>
      <w:bookmarkStart w:id="1914" w:name="_Toc499850135"/>
      <w:bookmarkEnd w:id="1914"/>
      <w:bookmarkStart w:id="1915" w:name="_Toc499849942"/>
      <w:bookmarkEnd w:id="1915"/>
      <w:bookmarkStart w:id="1916" w:name="_Toc499849950"/>
      <w:bookmarkEnd w:id="1916"/>
      <w:bookmarkStart w:id="1917" w:name="_Toc499850215"/>
      <w:bookmarkEnd w:id="1917"/>
      <w:bookmarkStart w:id="1918" w:name="_Toc499849943"/>
      <w:bookmarkEnd w:id="1918"/>
      <w:bookmarkStart w:id="1919" w:name="_Toc499850137"/>
      <w:bookmarkEnd w:id="1919"/>
      <w:bookmarkStart w:id="1920" w:name="_Toc499849953"/>
      <w:bookmarkEnd w:id="1920"/>
      <w:bookmarkStart w:id="1921" w:name="_Toc499850145"/>
      <w:bookmarkEnd w:id="1921"/>
      <w:bookmarkStart w:id="1922" w:name="_Toc499850028"/>
      <w:bookmarkEnd w:id="1922"/>
      <w:bookmarkStart w:id="1923" w:name="_Toc499850140"/>
      <w:bookmarkEnd w:id="1923"/>
      <w:bookmarkStart w:id="1924" w:name="_Toc499850023"/>
      <w:bookmarkEnd w:id="1924"/>
      <w:bookmarkStart w:id="1925" w:name="_Toc499850027"/>
      <w:bookmarkEnd w:id="1925"/>
      <w:bookmarkStart w:id="1926" w:name="_Toc499850217"/>
      <w:bookmarkEnd w:id="1926"/>
      <w:bookmarkStart w:id="1927" w:name="_Toc499849951"/>
      <w:bookmarkEnd w:id="1927"/>
      <w:bookmarkStart w:id="1928" w:name="_Toc499849947"/>
      <w:bookmarkEnd w:id="1928"/>
      <w:bookmarkStart w:id="1929" w:name="_Toc499850022"/>
      <w:bookmarkEnd w:id="1929"/>
      <w:bookmarkStart w:id="1930" w:name="_Toc499850141"/>
      <w:bookmarkEnd w:id="1930"/>
      <w:bookmarkStart w:id="1931" w:name="_Toc499850220"/>
      <w:bookmarkEnd w:id="1931"/>
      <w:bookmarkStart w:id="1932" w:name="_Toc499849949"/>
      <w:bookmarkEnd w:id="1932"/>
      <w:r>
        <w:rPr>
          <w:rFonts w:hint="eastAsia" w:ascii="仿宋_GB2312" w:hAnsi="Calibri" w:eastAsia="仿宋_GB2312"/>
          <w:kern w:val="0"/>
          <w:sz w:val="30"/>
          <w:szCs w:val="30"/>
        </w:rPr>
        <w:t>回购双方可以就三方回购相关事宜签订补充协议，约定质押券篮子标准、授信、违约处置等内容，但不得违反法律、行政法规、部门规章、其他规范性文件、《暂行办法》以及本所、登记结算机构的其他相关规定，且不得与主协议以及成交记录相冲突。补充协议的格式由回购双方自行协商，补充协议的内容由回购双方自行履行。补充协议由双方自行留存，无需向本所备案。</w:t>
      </w:r>
    </w:p>
    <w:p w14:paraId="7D410F08">
      <w:pPr>
        <w:spacing w:line="600" w:lineRule="exact"/>
        <w:ind w:left="567"/>
        <w:outlineLvl w:val="3"/>
        <w:rPr>
          <w:rFonts w:ascii="仿宋_GB2312" w:eastAsia="仿宋_GB2312"/>
          <w:b/>
          <w:sz w:val="30"/>
          <w:szCs w:val="30"/>
        </w:rPr>
      </w:pPr>
      <w:r>
        <w:rPr>
          <w:rFonts w:hint="eastAsia" w:ascii="仿宋_GB2312" w:eastAsia="仿宋_GB2312"/>
          <w:b/>
          <w:sz w:val="30"/>
          <w:szCs w:val="30"/>
        </w:rPr>
        <w:t>（7）授信白名单</w:t>
      </w:r>
    </w:p>
    <w:p w14:paraId="60376A72">
      <w:pPr>
        <w:widowControl/>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支持设置授信白名单。市场参与者可在固定收益平台中设置授信白名单。正回购方在逆回购方的授信白名单内的情况下，双方才能达成回购交易，固定收益平台仅对符合授信白名单要求的交易予以确认。对法人类参与主体，按主体进行授信；对非法人类产品，按管理人进行授信。对经纪客户，按所在证券公司进行授信。</w:t>
      </w:r>
    </w:p>
    <w:p w14:paraId="6D336C0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授信可以由正回购方或逆回购方发起。正回购方通过固定收益平台向逆回购方发起授信请求，经逆回购方确认，加入到逆回购方的授信白名单。逆回购方也可以自行发起授信请求，无需正回购方确认。授信确认后实时生效。</w:t>
      </w:r>
    </w:p>
    <w:p w14:paraId="4E19771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逆回购方可以通过固定收益平台取消授信关系，无需正回购方确认。逆回购方调整授信名单的，后续回购交易均需在逆回购方新的授信白名单内达成，已经达成的交易不受新的授信白名单约束。</w:t>
      </w:r>
    </w:p>
    <w:p w14:paraId="787A329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担保品管理</w:t>
      </w:r>
      <w:r>
        <w:rPr>
          <w:rFonts w:ascii="仿宋_GB2312" w:eastAsia="仿宋_GB2312"/>
          <w:b/>
          <w:sz w:val="30"/>
          <w:szCs w:val="30"/>
        </w:rPr>
        <w:tab/>
      </w:r>
    </w:p>
    <w:p w14:paraId="72514F94">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（1）担保品范围</w:t>
      </w:r>
    </w:p>
    <w:p w14:paraId="29B3E92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三方回购的担保品范围为本所上市交易或者挂牌转让的债券（以下简称挂牌债券），包括公开发行债券、非公开发行债券和资产支持证券。本所可以根据市场情况调整用于三方回购的担保品品种。</w:t>
      </w:r>
    </w:p>
    <w:p w14:paraId="7B0E4B1F">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sz w:val="30"/>
          <w:szCs w:val="30"/>
        </w:rPr>
        <w:t>资产支持证券次级档、已经发生违约或经披露其还本付息存在重大风险的债券和资产支持证券或本所认为不适合充当回购担保品的其他债券不得作为三方回购担保品。</w:t>
      </w:r>
    </w:p>
    <w:p w14:paraId="749801E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（2）质押券转入转出</w:t>
      </w:r>
    </w:p>
    <w:p w14:paraId="24631B7B">
      <w:pPr>
        <w:spacing w:line="600" w:lineRule="exact"/>
        <w:ind w:firstLine="600" w:firstLineChars="200"/>
        <w:outlineLvl w:val="3"/>
        <w:rPr>
          <w:rFonts w:ascii="仿宋_GB2312" w:eastAsia="仿宋_GB2312"/>
          <w:vanish/>
          <w:sz w:val="30"/>
          <w:szCs w:val="30"/>
        </w:rPr>
      </w:pPr>
    </w:p>
    <w:p w14:paraId="2F9363B3">
      <w:pPr>
        <w:tabs>
          <w:tab w:val="left" w:pos="0"/>
        </w:tabs>
        <w:adjustRightInd w:val="0"/>
        <w:snapToGri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kern w:val="0"/>
          <w:sz w:val="30"/>
          <w:szCs w:val="30"/>
        </w:rPr>
        <w:t>正回购方可以将拟用于三方回购的担保品从普通证券账户</w:t>
      </w:r>
      <w:r>
        <w:rPr>
          <w:rFonts w:hint="eastAsia" w:ascii="仿宋_GB2312" w:hAnsi="Calibri" w:eastAsia="仿宋_GB2312"/>
          <w:sz w:val="30"/>
          <w:szCs w:val="30"/>
        </w:rPr>
        <w:t>转入三方回购专用证券账户，或将未处于质押状态的担保品从三方回购专用证券账户转出至普通证券账户。</w:t>
      </w:r>
    </w:p>
    <w:p w14:paraId="16FBE2B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转入成功的债券将从普通证券账户过户至三方回购专用证券账户，不能卖出，也不能充当三方回购以外业务的担保品。转入成功后，下一个交易日起可用于三方回购交易。不在质押券篮子内的债券不能从普通证券账户转入三方回购专用证券账户。</w:t>
      </w:r>
    </w:p>
    <w:p w14:paraId="63BAA0C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kern w:val="0"/>
          <w:sz w:val="30"/>
          <w:szCs w:val="30"/>
        </w:rPr>
        <w:t>转出时，</w:t>
      </w:r>
      <w:r>
        <w:rPr>
          <w:rFonts w:hint="eastAsia" w:ascii="仿宋_GB2312" w:hAnsi="Calibri" w:eastAsia="仿宋_GB2312"/>
          <w:sz w:val="30"/>
          <w:szCs w:val="30"/>
        </w:rPr>
        <w:t>三方回购专用证券账户内的债券仅可转出至原转入证券账户。转出成功的，下一个交易日方可卖出或用于其他类型的交易。</w:t>
      </w:r>
    </w:p>
    <w:p w14:paraId="2A2BE477">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（3）质押券篮子</w:t>
      </w:r>
    </w:p>
    <w:p w14:paraId="64D6E9F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为区分信用资质，根据债券类型、债券评级和发行方式，将债券按资质从高到低将本所挂牌债券分为八个“质押券篮子”。</w:t>
      </w:r>
    </w:p>
    <w:p w14:paraId="0346BD46">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具体“质押券篮子”信息如下：</w:t>
      </w:r>
    </w:p>
    <w:tbl>
      <w:tblPr>
        <w:tblStyle w:val="43"/>
        <w:tblW w:w="507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131"/>
        <w:gridCol w:w="4950"/>
        <w:gridCol w:w="1007"/>
      </w:tblGrid>
      <w:tr w14:paraId="4932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3E1EFF1B">
            <w:pPr>
              <w:adjustRightInd w:val="0"/>
              <w:snapToGrid w:val="0"/>
              <w:rPr>
                <w:rFonts w:ascii="仿宋_GB2312" w:eastAsia="仿宋_GB2312"/>
                <w:b/>
                <w:sz w:val="24"/>
                <w:szCs w:val="24"/>
              </w:rPr>
            </w:pPr>
            <w:r>
              <w:rPr>
                <w:rFonts w:hint="eastAsia" w:ascii="仿宋_GB2312" w:eastAsia="仿宋_GB2312"/>
                <w:b/>
                <w:sz w:val="24"/>
                <w:szCs w:val="24"/>
              </w:rPr>
              <w:t>质押券篮子</w:t>
            </w:r>
          </w:p>
        </w:tc>
        <w:tc>
          <w:tcPr>
            <w:tcW w:w="654" w:type="pct"/>
          </w:tcPr>
          <w:p w14:paraId="54E943DD">
            <w:pPr>
              <w:adjustRightInd w:val="0"/>
              <w:snapToGrid w:val="0"/>
              <w:rPr>
                <w:rFonts w:ascii="仿宋_GB2312" w:eastAsia="仿宋_GB2312"/>
                <w:b/>
                <w:sz w:val="24"/>
                <w:szCs w:val="24"/>
              </w:rPr>
            </w:pPr>
            <w:r>
              <w:rPr>
                <w:rFonts w:hint="eastAsia" w:ascii="仿宋_GB2312" w:eastAsia="仿宋_GB2312"/>
                <w:b/>
                <w:sz w:val="24"/>
                <w:szCs w:val="24"/>
              </w:rPr>
              <w:t>简称</w:t>
            </w:r>
          </w:p>
        </w:tc>
        <w:tc>
          <w:tcPr>
            <w:tcW w:w="2862" w:type="pct"/>
          </w:tcPr>
          <w:p w14:paraId="6E0898BF">
            <w:pPr>
              <w:adjustRightInd w:val="0"/>
              <w:snapToGrid w:val="0"/>
              <w:rPr>
                <w:rFonts w:ascii="仿宋_GB2312" w:eastAsia="仿宋_GB2312"/>
                <w:b/>
                <w:sz w:val="24"/>
                <w:szCs w:val="24"/>
              </w:rPr>
            </w:pPr>
            <w:r>
              <w:rPr>
                <w:rFonts w:hint="eastAsia" w:ascii="仿宋_GB2312" w:eastAsia="仿宋_GB2312"/>
                <w:b/>
                <w:sz w:val="24"/>
                <w:szCs w:val="24"/>
              </w:rPr>
              <w:t>篮子标准</w:t>
            </w:r>
          </w:p>
        </w:tc>
        <w:tc>
          <w:tcPr>
            <w:tcW w:w="582" w:type="pct"/>
          </w:tcPr>
          <w:p w14:paraId="495F9859">
            <w:pPr>
              <w:adjustRightInd w:val="0"/>
              <w:snapToGrid w:val="0"/>
              <w:rPr>
                <w:rFonts w:ascii="仿宋_GB2312" w:eastAsia="仿宋_GB2312"/>
                <w:b/>
                <w:sz w:val="24"/>
                <w:szCs w:val="24"/>
              </w:rPr>
            </w:pPr>
            <w:r>
              <w:rPr>
                <w:rFonts w:hint="eastAsia" w:ascii="仿宋_GB2312" w:eastAsia="仿宋_GB2312"/>
                <w:b/>
                <w:sz w:val="24"/>
                <w:szCs w:val="24"/>
              </w:rPr>
              <w:t>折扣率</w:t>
            </w:r>
          </w:p>
        </w:tc>
      </w:tr>
      <w:tr w14:paraId="1623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ADE6718">
            <w:pPr>
              <w:adjustRightInd w:val="0"/>
              <w:snapToGrid w:val="0"/>
              <w:rPr>
                <w:rFonts w:ascii="仿宋_GB2312" w:eastAsia="仿宋_GB2312"/>
                <w:b/>
                <w:sz w:val="24"/>
                <w:szCs w:val="24"/>
              </w:rPr>
            </w:pPr>
            <w:r>
              <w:rPr>
                <w:rFonts w:hint="eastAsia" w:ascii="仿宋_GB2312" w:eastAsia="仿宋_GB2312"/>
                <w:b/>
                <w:sz w:val="24"/>
                <w:szCs w:val="24"/>
              </w:rPr>
              <w:t>篮子1</w:t>
            </w:r>
          </w:p>
        </w:tc>
        <w:tc>
          <w:tcPr>
            <w:tcW w:w="654" w:type="pct"/>
          </w:tcPr>
          <w:p w14:paraId="34E1F385">
            <w:pPr>
              <w:adjustRightInd w:val="0"/>
              <w:snapToGrid w:val="0"/>
              <w:rPr>
                <w:rFonts w:ascii="仿宋_GB2312" w:eastAsia="仿宋_GB2312"/>
                <w:sz w:val="24"/>
                <w:szCs w:val="24"/>
              </w:rPr>
            </w:pPr>
            <w:r>
              <w:rPr>
                <w:rFonts w:hint="eastAsia" w:ascii="仿宋_GB2312" w:eastAsia="仿宋_GB2312"/>
                <w:sz w:val="24"/>
                <w:szCs w:val="24"/>
              </w:rPr>
              <w:t>利率债</w:t>
            </w:r>
          </w:p>
        </w:tc>
        <w:tc>
          <w:tcPr>
            <w:tcW w:w="2862" w:type="pct"/>
          </w:tcPr>
          <w:p w14:paraId="471ED1D6">
            <w:pPr>
              <w:adjustRightInd w:val="0"/>
              <w:snapToGrid w:val="0"/>
              <w:rPr>
                <w:rFonts w:ascii="仿宋_GB2312" w:eastAsia="仿宋_GB2312"/>
                <w:sz w:val="24"/>
                <w:szCs w:val="24"/>
              </w:rPr>
            </w:pPr>
            <w:r>
              <w:rPr>
                <w:rFonts w:hint="eastAsia" w:ascii="仿宋_GB2312" w:eastAsia="仿宋_GB2312"/>
                <w:sz w:val="24"/>
                <w:szCs w:val="24"/>
              </w:rPr>
              <w:t>政府债券（含国债、地方政府债券）、政策性金融机构债券、政府支持机构债券</w:t>
            </w:r>
          </w:p>
        </w:tc>
        <w:tc>
          <w:tcPr>
            <w:tcW w:w="582" w:type="pct"/>
          </w:tcPr>
          <w:p w14:paraId="4A91DBA9">
            <w:pPr>
              <w:adjustRightInd w:val="0"/>
              <w:snapToGrid w:val="0"/>
              <w:rPr>
                <w:rFonts w:ascii="仿宋_GB2312" w:eastAsia="仿宋_GB2312"/>
                <w:sz w:val="24"/>
                <w:szCs w:val="24"/>
              </w:rPr>
            </w:pPr>
            <w:r>
              <w:rPr>
                <w:rFonts w:ascii="仿宋_GB2312" w:eastAsia="仿宋_GB2312"/>
                <w:sz w:val="24"/>
                <w:szCs w:val="24"/>
              </w:rPr>
              <w:t>0%</w:t>
            </w:r>
          </w:p>
        </w:tc>
      </w:tr>
      <w:tr w14:paraId="75D2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00801215">
            <w:pPr>
              <w:adjustRightInd w:val="0"/>
              <w:snapToGrid w:val="0"/>
              <w:rPr>
                <w:rFonts w:ascii="仿宋_GB2312" w:eastAsia="仿宋_GB2312"/>
                <w:b/>
                <w:sz w:val="24"/>
                <w:szCs w:val="24"/>
              </w:rPr>
            </w:pPr>
            <w:r>
              <w:rPr>
                <w:rFonts w:hint="eastAsia" w:ascii="仿宋_GB2312" w:eastAsia="仿宋_GB2312"/>
                <w:b/>
                <w:sz w:val="24"/>
                <w:szCs w:val="24"/>
              </w:rPr>
              <w:t>篮子2</w:t>
            </w:r>
          </w:p>
        </w:tc>
        <w:tc>
          <w:tcPr>
            <w:tcW w:w="654" w:type="pct"/>
          </w:tcPr>
          <w:p w14:paraId="2A800217">
            <w:pPr>
              <w:adjustRightInd w:val="0"/>
              <w:snapToGrid w:val="0"/>
              <w:rPr>
                <w:rFonts w:ascii="仿宋_GB2312" w:eastAsia="仿宋_GB2312"/>
                <w:sz w:val="24"/>
                <w:szCs w:val="24"/>
              </w:rPr>
            </w:pPr>
            <w:r>
              <w:rPr>
                <w:rFonts w:hint="eastAsia" w:ascii="仿宋_GB2312" w:eastAsia="仿宋_GB2312"/>
                <w:sz w:val="24"/>
                <w:szCs w:val="24"/>
              </w:rPr>
              <w:t>AAA（公）</w:t>
            </w:r>
          </w:p>
        </w:tc>
        <w:tc>
          <w:tcPr>
            <w:tcW w:w="2862" w:type="pct"/>
          </w:tcPr>
          <w:p w14:paraId="080395E7">
            <w:pPr>
              <w:adjustRightInd w:val="0"/>
              <w:snapToGrid w:val="0"/>
              <w:rPr>
                <w:rFonts w:ascii="仿宋_GB2312" w:eastAsia="仿宋_GB2312"/>
                <w:sz w:val="24"/>
                <w:szCs w:val="24"/>
              </w:rPr>
            </w:pPr>
            <w:r>
              <w:rPr>
                <w:rFonts w:hint="eastAsia" w:ascii="仿宋_GB2312" w:eastAsia="仿宋_GB2312"/>
                <w:sz w:val="24"/>
                <w:szCs w:val="24"/>
              </w:rPr>
              <w:t>公开发行的、评级AAA信用债</w:t>
            </w:r>
          </w:p>
        </w:tc>
        <w:tc>
          <w:tcPr>
            <w:tcW w:w="582" w:type="pct"/>
          </w:tcPr>
          <w:p w14:paraId="3C132ECF">
            <w:pPr>
              <w:adjustRightInd w:val="0"/>
              <w:snapToGrid w:val="0"/>
              <w:rPr>
                <w:rFonts w:ascii="仿宋_GB2312" w:eastAsia="仿宋_GB2312"/>
                <w:sz w:val="24"/>
                <w:szCs w:val="24"/>
              </w:rPr>
            </w:pPr>
            <w:r>
              <w:rPr>
                <w:rFonts w:ascii="仿宋_GB2312" w:eastAsia="仿宋_GB2312"/>
                <w:sz w:val="24"/>
                <w:szCs w:val="24"/>
              </w:rPr>
              <w:t>3%</w:t>
            </w:r>
          </w:p>
        </w:tc>
      </w:tr>
      <w:tr w14:paraId="23F2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7A2A215C">
            <w:pPr>
              <w:adjustRightInd w:val="0"/>
              <w:snapToGrid w:val="0"/>
              <w:rPr>
                <w:rFonts w:ascii="仿宋_GB2312" w:eastAsia="仿宋_GB2312"/>
                <w:b/>
                <w:sz w:val="24"/>
                <w:szCs w:val="24"/>
              </w:rPr>
            </w:pPr>
            <w:r>
              <w:rPr>
                <w:rFonts w:hint="eastAsia" w:ascii="仿宋_GB2312" w:eastAsia="仿宋_GB2312"/>
                <w:b/>
                <w:sz w:val="24"/>
                <w:szCs w:val="24"/>
              </w:rPr>
              <w:t>篮子3</w:t>
            </w:r>
          </w:p>
        </w:tc>
        <w:tc>
          <w:tcPr>
            <w:tcW w:w="654" w:type="pct"/>
          </w:tcPr>
          <w:p w14:paraId="2EAE3E8F">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5AD7C25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3C65657E">
            <w:pPr>
              <w:adjustRightInd w:val="0"/>
              <w:snapToGrid w:val="0"/>
              <w:rPr>
                <w:rFonts w:ascii="仿宋_GB2312" w:eastAsia="仿宋_GB2312"/>
                <w:sz w:val="24"/>
                <w:szCs w:val="24"/>
              </w:rPr>
            </w:pPr>
            <w:r>
              <w:rPr>
                <w:rFonts w:ascii="仿宋_GB2312" w:eastAsia="仿宋_GB2312"/>
                <w:sz w:val="24"/>
                <w:szCs w:val="24"/>
              </w:rPr>
              <w:t>8%</w:t>
            </w:r>
          </w:p>
        </w:tc>
      </w:tr>
      <w:tr w14:paraId="08A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7F2E34D0">
            <w:pPr>
              <w:adjustRightInd w:val="0"/>
              <w:snapToGrid w:val="0"/>
              <w:rPr>
                <w:rFonts w:ascii="仿宋_GB2312" w:eastAsia="仿宋_GB2312"/>
                <w:b/>
                <w:sz w:val="24"/>
                <w:szCs w:val="24"/>
              </w:rPr>
            </w:pPr>
            <w:r>
              <w:rPr>
                <w:rFonts w:hint="eastAsia" w:ascii="仿宋_GB2312" w:eastAsia="仿宋_GB2312"/>
                <w:b/>
                <w:sz w:val="24"/>
                <w:szCs w:val="24"/>
              </w:rPr>
              <w:t>篮子4</w:t>
            </w:r>
          </w:p>
        </w:tc>
        <w:tc>
          <w:tcPr>
            <w:tcW w:w="654" w:type="pct"/>
          </w:tcPr>
          <w:p w14:paraId="12865C2A">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7D1BE6B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0AFA9A94">
            <w:pPr>
              <w:adjustRightInd w:val="0"/>
              <w:snapToGrid w:val="0"/>
              <w:rPr>
                <w:rFonts w:ascii="仿宋_GB2312" w:eastAsia="仿宋_GB2312"/>
                <w:sz w:val="24"/>
                <w:szCs w:val="24"/>
              </w:rPr>
            </w:pPr>
            <w:r>
              <w:rPr>
                <w:rFonts w:ascii="仿宋_GB2312" w:eastAsia="仿宋_GB2312"/>
                <w:sz w:val="24"/>
                <w:szCs w:val="24"/>
              </w:rPr>
              <w:t>15%</w:t>
            </w:r>
          </w:p>
        </w:tc>
      </w:tr>
      <w:tr w14:paraId="5398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4694AAE6">
            <w:pPr>
              <w:adjustRightInd w:val="0"/>
              <w:snapToGrid w:val="0"/>
              <w:rPr>
                <w:rFonts w:ascii="仿宋_GB2312" w:eastAsia="仿宋_GB2312"/>
                <w:b/>
                <w:sz w:val="24"/>
                <w:szCs w:val="24"/>
              </w:rPr>
            </w:pPr>
            <w:r>
              <w:rPr>
                <w:rFonts w:hint="eastAsia" w:ascii="仿宋_GB2312" w:eastAsia="仿宋_GB2312"/>
                <w:b/>
                <w:sz w:val="24"/>
                <w:szCs w:val="24"/>
              </w:rPr>
              <w:t>篮子5</w:t>
            </w:r>
          </w:p>
        </w:tc>
        <w:tc>
          <w:tcPr>
            <w:tcW w:w="654" w:type="pct"/>
          </w:tcPr>
          <w:p w14:paraId="63BA6894">
            <w:pPr>
              <w:adjustRightInd w:val="0"/>
              <w:snapToGrid w:val="0"/>
              <w:rPr>
                <w:rFonts w:ascii="仿宋_GB2312" w:eastAsia="仿宋_GB2312"/>
                <w:sz w:val="24"/>
                <w:szCs w:val="24"/>
              </w:rPr>
            </w:pPr>
            <w:r>
              <w:rPr>
                <w:rFonts w:hint="eastAsia" w:ascii="仿宋_GB2312" w:eastAsia="仿宋_GB2312"/>
                <w:sz w:val="24"/>
                <w:szCs w:val="24"/>
              </w:rPr>
              <w:t>AAA（私）</w:t>
            </w:r>
          </w:p>
        </w:tc>
        <w:tc>
          <w:tcPr>
            <w:tcW w:w="2862" w:type="pct"/>
          </w:tcPr>
          <w:p w14:paraId="39BA1267">
            <w:pPr>
              <w:adjustRightInd w:val="0"/>
              <w:snapToGrid w:val="0"/>
              <w:rPr>
                <w:rFonts w:ascii="仿宋_GB2312" w:eastAsia="仿宋_GB2312"/>
                <w:sz w:val="24"/>
                <w:szCs w:val="24"/>
              </w:rPr>
            </w:pPr>
            <w:r>
              <w:rPr>
                <w:rFonts w:hint="eastAsia" w:ascii="仿宋_GB2312" w:eastAsia="仿宋_GB2312"/>
                <w:sz w:val="24"/>
                <w:szCs w:val="24"/>
              </w:rPr>
              <w:t>非公开发行的、评级AAA的信用债</w:t>
            </w:r>
          </w:p>
        </w:tc>
        <w:tc>
          <w:tcPr>
            <w:tcW w:w="582" w:type="pct"/>
          </w:tcPr>
          <w:p w14:paraId="0D39043B">
            <w:pPr>
              <w:adjustRightInd w:val="0"/>
              <w:snapToGrid w:val="0"/>
              <w:rPr>
                <w:rFonts w:ascii="仿宋_GB2312" w:eastAsia="仿宋_GB2312"/>
                <w:sz w:val="24"/>
                <w:szCs w:val="24"/>
              </w:rPr>
            </w:pPr>
            <w:r>
              <w:rPr>
                <w:rFonts w:ascii="仿宋_GB2312" w:eastAsia="仿宋_GB2312"/>
                <w:sz w:val="24"/>
                <w:szCs w:val="24"/>
              </w:rPr>
              <w:t>8%</w:t>
            </w:r>
          </w:p>
        </w:tc>
      </w:tr>
      <w:tr w14:paraId="5570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637E709">
            <w:pPr>
              <w:adjustRightInd w:val="0"/>
              <w:snapToGrid w:val="0"/>
              <w:rPr>
                <w:rFonts w:ascii="仿宋_GB2312" w:eastAsia="仿宋_GB2312"/>
                <w:b/>
                <w:sz w:val="24"/>
                <w:szCs w:val="24"/>
              </w:rPr>
            </w:pPr>
            <w:r>
              <w:rPr>
                <w:rFonts w:hint="eastAsia" w:ascii="仿宋_GB2312" w:eastAsia="仿宋_GB2312"/>
                <w:b/>
                <w:sz w:val="24"/>
                <w:szCs w:val="24"/>
              </w:rPr>
              <w:t>篮子6</w:t>
            </w:r>
          </w:p>
        </w:tc>
        <w:tc>
          <w:tcPr>
            <w:tcW w:w="654" w:type="pct"/>
          </w:tcPr>
          <w:p w14:paraId="7966A700">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15FAFCC4">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72C08131">
            <w:pPr>
              <w:adjustRightInd w:val="0"/>
              <w:snapToGrid w:val="0"/>
              <w:rPr>
                <w:rFonts w:ascii="仿宋_GB2312" w:eastAsia="仿宋_GB2312"/>
                <w:sz w:val="24"/>
                <w:szCs w:val="24"/>
              </w:rPr>
            </w:pPr>
            <w:r>
              <w:rPr>
                <w:rFonts w:ascii="仿宋_GB2312" w:eastAsia="仿宋_GB2312"/>
                <w:sz w:val="24"/>
                <w:szCs w:val="24"/>
              </w:rPr>
              <w:t>15%</w:t>
            </w:r>
          </w:p>
        </w:tc>
      </w:tr>
      <w:tr w14:paraId="3C80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2B5857DB">
            <w:pPr>
              <w:adjustRightInd w:val="0"/>
              <w:snapToGrid w:val="0"/>
              <w:rPr>
                <w:rFonts w:ascii="仿宋_GB2312" w:eastAsia="仿宋_GB2312"/>
                <w:b/>
                <w:sz w:val="24"/>
                <w:szCs w:val="24"/>
              </w:rPr>
            </w:pPr>
            <w:r>
              <w:rPr>
                <w:rFonts w:hint="eastAsia" w:ascii="仿宋_GB2312" w:eastAsia="仿宋_GB2312"/>
                <w:b/>
                <w:sz w:val="24"/>
                <w:szCs w:val="24"/>
              </w:rPr>
              <w:t>篮子7</w:t>
            </w:r>
          </w:p>
        </w:tc>
        <w:tc>
          <w:tcPr>
            <w:tcW w:w="654" w:type="pct"/>
          </w:tcPr>
          <w:p w14:paraId="70A9C719">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6C1BA148">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4B7DBD78">
            <w:pPr>
              <w:adjustRightInd w:val="0"/>
              <w:snapToGrid w:val="0"/>
              <w:rPr>
                <w:rFonts w:ascii="仿宋_GB2312" w:eastAsia="仿宋_GB2312"/>
                <w:sz w:val="24"/>
                <w:szCs w:val="24"/>
              </w:rPr>
            </w:pPr>
            <w:r>
              <w:rPr>
                <w:rFonts w:ascii="仿宋_GB2312" w:eastAsia="仿宋_GB2312"/>
                <w:sz w:val="24"/>
                <w:szCs w:val="24"/>
              </w:rPr>
              <w:t>25%</w:t>
            </w:r>
          </w:p>
        </w:tc>
      </w:tr>
      <w:tr w14:paraId="04E6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05E5FAE">
            <w:pPr>
              <w:adjustRightInd w:val="0"/>
              <w:snapToGrid w:val="0"/>
              <w:rPr>
                <w:rFonts w:ascii="仿宋_GB2312" w:eastAsia="仿宋_GB2312"/>
                <w:b/>
                <w:sz w:val="24"/>
                <w:szCs w:val="24"/>
              </w:rPr>
            </w:pPr>
            <w:r>
              <w:rPr>
                <w:rFonts w:hint="eastAsia" w:ascii="仿宋_GB2312" w:eastAsia="仿宋_GB2312"/>
                <w:b/>
                <w:sz w:val="24"/>
                <w:szCs w:val="24"/>
              </w:rPr>
              <w:t>篮子8</w:t>
            </w:r>
          </w:p>
        </w:tc>
        <w:tc>
          <w:tcPr>
            <w:tcW w:w="654" w:type="pct"/>
          </w:tcPr>
          <w:p w14:paraId="7FD4314A">
            <w:pPr>
              <w:adjustRightInd w:val="0"/>
              <w:snapToGrid w:val="0"/>
              <w:rPr>
                <w:rFonts w:ascii="仿宋_GB2312" w:eastAsia="仿宋_GB2312"/>
                <w:sz w:val="24"/>
                <w:szCs w:val="24"/>
              </w:rPr>
            </w:pPr>
            <w:r>
              <w:rPr>
                <w:rFonts w:hint="eastAsia" w:ascii="仿宋_GB2312" w:eastAsia="仿宋_GB2312"/>
                <w:sz w:val="24"/>
                <w:szCs w:val="24"/>
              </w:rPr>
              <w:t>其他</w:t>
            </w:r>
          </w:p>
        </w:tc>
        <w:tc>
          <w:tcPr>
            <w:tcW w:w="2862" w:type="pct"/>
          </w:tcPr>
          <w:p w14:paraId="130C0B5B">
            <w:pPr>
              <w:adjustRightInd w:val="0"/>
              <w:snapToGrid w:val="0"/>
              <w:rPr>
                <w:rFonts w:ascii="仿宋_GB2312" w:eastAsia="仿宋_GB2312"/>
                <w:sz w:val="24"/>
                <w:szCs w:val="24"/>
              </w:rPr>
            </w:pPr>
            <w:r>
              <w:rPr>
                <w:rFonts w:hint="eastAsia" w:ascii="仿宋_GB2312" w:eastAsia="仿宋_GB2312"/>
                <w:sz w:val="24"/>
                <w:szCs w:val="24"/>
              </w:rPr>
              <w:t>篮子1-7以外的本所挂牌交易或转让信用债</w:t>
            </w:r>
          </w:p>
        </w:tc>
        <w:tc>
          <w:tcPr>
            <w:tcW w:w="582" w:type="pct"/>
          </w:tcPr>
          <w:p w14:paraId="7523072B">
            <w:pPr>
              <w:adjustRightInd w:val="0"/>
              <w:snapToGrid w:val="0"/>
              <w:rPr>
                <w:rFonts w:ascii="仿宋_GB2312" w:eastAsia="仿宋_GB2312"/>
                <w:sz w:val="24"/>
                <w:szCs w:val="24"/>
              </w:rPr>
            </w:pPr>
            <w:r>
              <w:rPr>
                <w:rFonts w:ascii="仿宋_GB2312" w:eastAsia="仿宋_GB2312"/>
                <w:sz w:val="24"/>
                <w:szCs w:val="24"/>
              </w:rPr>
              <w:t>40%</w:t>
            </w:r>
          </w:p>
        </w:tc>
      </w:tr>
    </w:tbl>
    <w:p w14:paraId="082F3DB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表格中的信用债含资产支持证券（次级档例外）。</w:t>
      </w:r>
    </w:p>
    <w:p w14:paraId="5E33B27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评级信息在主体评级（若有）和债项评级（若有）中取孰高者。债券存在双评级的，按孰低原则办理。</w:t>
      </w:r>
    </w:p>
    <w:p w14:paraId="7E6379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相同的质押券篮子内的所有债券实行相同的折扣率。本所可以根据市场情况对质押券篮子的内容及折扣率进行调整,有权将违约或存在信用风险事件的债券调出质押品范围。</w:t>
      </w:r>
    </w:p>
    <w:p w14:paraId="5E8B02E4">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 xml:space="preserve">三方回购交易可指定多个质押券篮子。篮子选择可以是连续（如选择篮子1、2、3、4、5），也可以是非连续（如选择篮子1、2、5）。      </w:t>
      </w:r>
    </w:p>
    <w:p w14:paraId="14EEB7C6">
      <w:pPr>
        <w:spacing w:line="600" w:lineRule="exact"/>
        <w:ind w:left="567"/>
        <w:outlineLvl w:val="3"/>
        <w:rPr>
          <w:rFonts w:ascii="仿宋_GB2312" w:eastAsia="仿宋_GB2312"/>
          <w:b/>
          <w:sz w:val="30"/>
          <w:szCs w:val="30"/>
        </w:rPr>
      </w:pPr>
      <w:r>
        <w:rPr>
          <w:rFonts w:hint="eastAsia" w:ascii="仿宋_GB2312" w:eastAsia="仿宋_GB2312"/>
          <w:b/>
          <w:sz w:val="30"/>
          <w:szCs w:val="30"/>
        </w:rPr>
        <w:t>（4）自行指定质押券</w:t>
      </w:r>
    </w:p>
    <w:p w14:paraId="553DD8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回购交易双方可以自行指定具体质押券，指定的质押券应在交易申报确定的质押券篮子范围内，且指定质押券到期日应晚于回购到期日。初期，</w:t>
      </w:r>
      <w:r>
        <w:rPr>
          <w:rFonts w:hint="eastAsia" w:ascii="仿宋_GB2312" w:hAnsi="Calibri" w:eastAsia="仿宋_GB2312"/>
          <w:kern w:val="0"/>
          <w:sz w:val="30"/>
          <w:szCs w:val="30"/>
        </w:rPr>
        <w:t>自行指定的质押券不能超过3只。</w:t>
      </w:r>
    </w:p>
    <w:p w14:paraId="529EA8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（5）质押券选取</w:t>
      </w:r>
    </w:p>
    <w:p w14:paraId="42C15A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证券登记结算机构将依据回购双方的交易申报数据进行实时逐笔结算并进行质押券选取。首次结算，登记结算机构从正回购方三方回购专用账户内按以下原则选取质押债券：</w:t>
      </w:r>
    </w:p>
    <w:p w14:paraId="11A3DE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1）如回购双方自行指定质押债券品种和对应数量，登记结算机构将优先选取双方指定的质押券品种。指定的任意一只质押券数量不足,交收失败。</w:t>
      </w:r>
    </w:p>
    <w:p w14:paraId="00EB18A8">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2）若双方未指定具体质押券品种或者已经指定的具体质押券品种担保品价值低于回购金额，对差额部分则按指定质押券篮子编号从大到小的顺序依次选取。编号大的篮子全部选取完依旧担保品不足额的，则到下一个质押券篮子中去选取，以此类推，直至足额为止。</w:t>
      </w:r>
    </w:p>
    <w:p w14:paraId="3B69CF5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3）</w:t>
      </w:r>
      <w:r>
        <w:rPr>
          <w:rFonts w:ascii="仿宋_GB2312" w:hAnsi="Calibri" w:eastAsia="仿宋_GB2312"/>
          <w:sz w:val="30"/>
          <w:szCs w:val="30"/>
        </w:rPr>
        <w:tab/>
      </w:r>
      <w:r>
        <w:rPr>
          <w:rFonts w:hint="eastAsia" w:ascii="仿宋_GB2312" w:hAnsi="Calibri" w:eastAsia="仿宋_GB2312"/>
          <w:sz w:val="30"/>
          <w:szCs w:val="30"/>
        </w:rPr>
        <w:t>同一质押券篮子中按可用数量由多到少的原则选取质押券，数量相同时按照代码由小到大原则选取，第一个选中的债券托管数量若足额则选取过程结束，否则继续按数量由多到少的原则选取下一个债券，直至足额为止。选取的质押券的到期日不得早于回购到期日。</w:t>
      </w:r>
    </w:p>
    <w:p w14:paraId="3E37773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4）若最终指定的所有质押券篮子中可供选择的债券仍不足额，则结算失败。</w:t>
      </w:r>
    </w:p>
    <w:p w14:paraId="5334C4A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bookmarkStart w:id="1933" w:name="_Toc499850039"/>
      <w:bookmarkEnd w:id="1933"/>
      <w:bookmarkStart w:id="1934" w:name="_Toc499850227"/>
      <w:bookmarkEnd w:id="1934"/>
      <w:bookmarkStart w:id="1935" w:name="_Toc480273855"/>
      <w:bookmarkStart w:id="1936" w:name="_Toc482797673"/>
      <w:bookmarkStart w:id="1937" w:name="_Toc480271907"/>
      <w:bookmarkStart w:id="1938" w:name="_Toc480273651"/>
    </w:p>
    <w:p w14:paraId="0C660267">
      <w:pPr>
        <w:spacing w:line="600" w:lineRule="exact"/>
        <w:ind w:left="567"/>
        <w:outlineLvl w:val="3"/>
        <w:rPr>
          <w:rFonts w:ascii="仿宋_GB2312" w:eastAsia="仿宋_GB2312"/>
          <w:b/>
          <w:sz w:val="30"/>
          <w:szCs w:val="30"/>
        </w:rPr>
      </w:pPr>
      <w:r>
        <w:rPr>
          <w:rFonts w:hint="eastAsia" w:ascii="仿宋_GB2312" w:eastAsia="仿宋_GB2312"/>
          <w:b/>
          <w:sz w:val="30"/>
          <w:szCs w:val="30"/>
        </w:rPr>
        <w:t>（1）交易平台</w:t>
      </w:r>
    </w:p>
    <w:p w14:paraId="3CEDA3E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的交易申报在固定收益平台进行。市场参与者为本所债券交易参与人的，可直接通过固定收益平台进行三方回购交易申报；市场参与者为经纪客户的，由证券公司根据客户的委托和真实意思表示在固定收益平台上代为申报。</w:t>
      </w:r>
    </w:p>
    <w:p w14:paraId="58A6E61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初期，申报通过固定收益平台的客户端完成。后续本所还将对三方回购的各类申报提供交易端电子接口接入方式，降低市场参与者的操作风险。</w:t>
      </w:r>
    </w:p>
    <w:p w14:paraId="3F4B6515">
      <w:pPr>
        <w:spacing w:line="600" w:lineRule="exact"/>
        <w:ind w:left="567"/>
        <w:outlineLvl w:val="3"/>
        <w:rPr>
          <w:rFonts w:ascii="仿宋_GB2312" w:eastAsia="仿宋_GB2312"/>
          <w:b/>
          <w:sz w:val="30"/>
          <w:szCs w:val="30"/>
        </w:rPr>
      </w:pPr>
      <w:r>
        <w:rPr>
          <w:rFonts w:hint="eastAsia" w:ascii="仿宋_GB2312" w:eastAsia="仿宋_GB2312"/>
          <w:b/>
          <w:sz w:val="30"/>
          <w:szCs w:val="30"/>
        </w:rPr>
        <w:t>（2）申报要素</w:t>
      </w:r>
      <w:bookmarkEnd w:id="1935"/>
      <w:bookmarkEnd w:id="1936"/>
      <w:bookmarkEnd w:id="1937"/>
      <w:bookmarkEnd w:id="1938"/>
    </w:p>
    <w:p w14:paraId="4B58452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三方回购的交易要素包括但不限于交易方向、回购利率、质押券篮子、质押券数量、质押券总面额、质权人、成交金额、折算比例、首次结算日、回购到期日、回购期限、到期结算日、实际占款天数、到期结算金额等。</w:t>
      </w:r>
    </w:p>
    <w:p w14:paraId="59BF1E0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正回购方申报的账户为三方回购专用证券账户，逆回购方为普通证券账户。</w:t>
      </w:r>
    </w:p>
    <w:p w14:paraId="50C4D3F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三方回购品种期限可以由</w:t>
      </w:r>
      <w:r>
        <w:rPr>
          <w:rFonts w:hint="eastAsia" w:ascii="仿宋_GB2312" w:hAnsi="Calibri" w:eastAsia="仿宋_GB2312"/>
          <w:kern w:val="0"/>
          <w:sz w:val="30"/>
          <w:szCs w:val="30"/>
        </w:rPr>
        <w:t>回购</w:t>
      </w:r>
      <w:r>
        <w:rPr>
          <w:rFonts w:hint="eastAsia" w:ascii="仿宋_GB2312" w:hAnsi="Calibri" w:eastAsia="仿宋_GB2312"/>
          <w:sz w:val="30"/>
          <w:szCs w:val="30"/>
        </w:rPr>
        <w:t>双方在1-365天的范围内自行商定；回购</w:t>
      </w:r>
      <w:r>
        <w:rPr>
          <w:rFonts w:hint="eastAsia" w:ascii="仿宋_GB2312" w:hAnsi="Calibri" w:eastAsia="仿宋_GB2312"/>
          <w:kern w:val="0"/>
          <w:sz w:val="30"/>
          <w:szCs w:val="30"/>
        </w:rPr>
        <w:t>金额为100万元及其整数倍；回购利率不能超过24%，超过10%的交易提醒回购双方二次确认。</w:t>
      </w:r>
    </w:p>
    <w:p w14:paraId="215E32EE">
      <w:pPr>
        <w:spacing w:line="600" w:lineRule="exact"/>
        <w:ind w:left="567"/>
        <w:outlineLvl w:val="3"/>
        <w:rPr>
          <w:rFonts w:ascii="仿宋_GB2312" w:eastAsia="仿宋_GB2312"/>
          <w:b/>
          <w:sz w:val="30"/>
          <w:szCs w:val="30"/>
        </w:rPr>
      </w:pPr>
      <w:r>
        <w:rPr>
          <w:rFonts w:hint="eastAsia" w:ascii="仿宋_GB2312" w:eastAsia="仿宋_GB2312"/>
          <w:b/>
          <w:sz w:val="30"/>
          <w:szCs w:val="30"/>
        </w:rPr>
        <w:t>（3）回购交易申报</w:t>
      </w:r>
    </w:p>
    <w:p w14:paraId="3851017A">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本所接受三方回购申报的时间为每个交易日的9：00至11：30，13：00至</w:t>
      </w:r>
      <w:r>
        <w:rPr>
          <w:rFonts w:ascii="仿宋_GB2312" w:hAnsi="Calibri" w:eastAsia="仿宋_GB2312"/>
          <w:kern w:val="0"/>
          <w:sz w:val="30"/>
          <w:szCs w:val="30"/>
        </w:rPr>
        <w:t>15</w:t>
      </w:r>
      <w:r>
        <w:rPr>
          <w:rFonts w:hint="eastAsia" w:ascii="仿宋_GB2312" w:hAnsi="Calibri" w:eastAsia="仿宋_GB2312"/>
          <w:kern w:val="0"/>
          <w:sz w:val="30"/>
          <w:szCs w:val="30"/>
        </w:rPr>
        <w:t>：</w:t>
      </w:r>
      <w:r>
        <w:rPr>
          <w:rFonts w:ascii="仿宋_GB2312" w:hAnsi="Calibri" w:eastAsia="仿宋_GB2312"/>
          <w:kern w:val="0"/>
          <w:sz w:val="30"/>
          <w:szCs w:val="30"/>
        </w:rPr>
        <w:t>30</w:t>
      </w:r>
      <w:r>
        <w:rPr>
          <w:rFonts w:hint="eastAsia" w:ascii="仿宋_GB2312" w:hAnsi="Calibri" w:eastAsia="仿宋_GB2312"/>
          <w:kern w:val="0"/>
          <w:sz w:val="30"/>
          <w:szCs w:val="30"/>
        </w:rPr>
        <w:t>。本所可以根据市场需要调整三方回购的申报时间。</w:t>
      </w:r>
    </w:p>
    <w:p w14:paraId="60DE09E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回购交易可以采用点击成交、询价成交及协商成交等方式达成交易。三方回购参与方可通过提交意向申报等方式自行寻找对手方或通过货币经纪公司寻找对手方。业务初期，固定收益平台仅支持协商成交方式达成交易。</w:t>
      </w:r>
    </w:p>
    <w:p w14:paraId="1795279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首次交易申报双方需指定质押券篮子，同时双方在质押券篮子的基础上可以自行指定质押券，且指定质押券的到期日不得早于回购到期日。</w:t>
      </w:r>
    </w:p>
    <w:p w14:paraId="2803D03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进行回购交易申报时填写交易补充约定，约定质押价值变动、违约处置等内容，但不得违反法律、行政法规、部门规章、其他规范性文件、《暂行办法》以及本所、证券登记结算机构的其他相关规定，且不得与主协议以及成交记录相冲突。交易补充约定的内容由回购双方自行履行。</w:t>
      </w:r>
    </w:p>
    <w:p w14:paraId="19C94096">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（4）</w:t>
      </w:r>
      <w:r>
        <w:rPr>
          <w:rFonts w:hint="eastAsia" w:ascii="仿宋_GB2312" w:hAnsi="黑体" w:eastAsia="仿宋_GB2312"/>
          <w:b/>
          <w:sz w:val="30"/>
          <w:szCs w:val="30"/>
        </w:rPr>
        <w:t>意向申报</w:t>
      </w:r>
    </w:p>
    <w:p w14:paraId="3244DC8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三方回购市场参与者可面向全市场提交意向申报。</w:t>
      </w:r>
    </w:p>
    <w:p w14:paraId="3CEDC5F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意向申报的</w:t>
      </w:r>
      <w:r>
        <w:rPr>
          <w:rFonts w:hint="eastAsia" w:ascii="仿宋_GB2312" w:hAnsi="宋体" w:eastAsia="仿宋_GB2312"/>
          <w:sz w:val="30"/>
          <w:szCs w:val="30"/>
        </w:rPr>
        <w:t>具体要素及要素说明如下：</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5506"/>
      </w:tblGrid>
      <w:tr w14:paraId="6488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4021E98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31" w:type="pct"/>
          </w:tcPr>
          <w:p w14:paraId="5230F79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505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1970E17">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231" w:type="pct"/>
          </w:tcPr>
          <w:p w14:paraId="301D3306">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4129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254AB5BA">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231" w:type="pct"/>
          </w:tcPr>
          <w:p w14:paraId="10F615F9">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w:t>
            </w:r>
          </w:p>
        </w:tc>
      </w:tr>
      <w:tr w14:paraId="0B14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7C01BF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31" w:type="pct"/>
          </w:tcPr>
          <w:p w14:paraId="6E33F65C">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658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627412B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31" w:type="pct"/>
          </w:tcPr>
          <w:p w14:paraId="2241BC12">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0435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7919218A">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31" w:type="pct"/>
          </w:tcPr>
          <w:p w14:paraId="3B61A26C">
            <w:pPr>
              <w:adjustRightInd w:val="0"/>
              <w:snapToGrid w:val="0"/>
              <w:rPr>
                <w:rFonts w:ascii="仿宋_GB2312" w:eastAsia="仿宋_GB2312"/>
                <w:kern w:val="0"/>
                <w:sz w:val="24"/>
                <w:szCs w:val="24"/>
              </w:rPr>
            </w:pPr>
            <w:r>
              <w:rPr>
                <w:rFonts w:hint="eastAsia" w:ascii="仿宋_GB2312" w:eastAsia="仿宋_GB2312"/>
                <w:kern w:val="0"/>
                <w:sz w:val="24"/>
                <w:szCs w:val="24"/>
              </w:rPr>
              <w:t>勾选质押券篮子编码</w:t>
            </w:r>
          </w:p>
        </w:tc>
      </w:tr>
      <w:tr w14:paraId="18CD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D89D543">
            <w:pPr>
              <w:adjustRightInd w:val="0"/>
              <w:snapToGrid w:val="0"/>
              <w:rPr>
                <w:rFonts w:ascii="仿宋_GB2312" w:eastAsia="仿宋_GB2312"/>
                <w:b/>
                <w:kern w:val="0"/>
                <w:sz w:val="24"/>
                <w:szCs w:val="24"/>
              </w:rPr>
            </w:pPr>
            <w:r>
              <w:rPr>
                <w:rFonts w:hint="eastAsia" w:ascii="仿宋_GB2312" w:eastAsia="仿宋_GB2312"/>
                <w:b/>
                <w:kern w:val="0"/>
                <w:sz w:val="24"/>
                <w:szCs w:val="24"/>
              </w:rPr>
              <w:t>金额</w:t>
            </w:r>
          </w:p>
        </w:tc>
        <w:tc>
          <w:tcPr>
            <w:tcW w:w="3231" w:type="pct"/>
          </w:tcPr>
          <w:p w14:paraId="6F84745A">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240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9E8507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231" w:type="pct"/>
          </w:tcPr>
          <w:p w14:paraId="5D9420FE">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正回购方账户名称，自动显示，无需输入</w:t>
            </w:r>
          </w:p>
        </w:tc>
      </w:tr>
      <w:tr w14:paraId="2EE8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0692F064">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31" w:type="pct"/>
          </w:tcPr>
          <w:p w14:paraId="3A4D7E2C">
            <w:pPr>
              <w:adjustRightInd w:val="0"/>
              <w:snapToGrid w:val="0"/>
              <w:rPr>
                <w:rFonts w:ascii="仿宋_GB2312" w:eastAsia="仿宋_GB2312"/>
                <w:kern w:val="0"/>
                <w:sz w:val="24"/>
                <w:szCs w:val="24"/>
              </w:rPr>
            </w:pPr>
            <w:r>
              <w:rPr>
                <w:rFonts w:hint="eastAsia" w:ascii="仿宋_GB2312" w:eastAsia="仿宋_GB2312"/>
                <w:kern w:val="0"/>
                <w:sz w:val="24"/>
                <w:szCs w:val="24"/>
              </w:rPr>
              <w:t>证券账号指定交易单元号，自动显示，无需输入</w:t>
            </w:r>
          </w:p>
        </w:tc>
      </w:tr>
      <w:tr w14:paraId="5368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E6F944E">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31" w:type="pct"/>
          </w:tcPr>
          <w:p w14:paraId="0556ACB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0BF5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4A8C675">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31" w:type="pct"/>
          </w:tcPr>
          <w:p w14:paraId="52BEC0BA">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1163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6F7EFF71">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31" w:type="pct"/>
          </w:tcPr>
          <w:p w14:paraId="02E827B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债券交易参与人简称，自动显示，无需输入</w:t>
            </w:r>
          </w:p>
        </w:tc>
      </w:tr>
      <w:tr w14:paraId="629F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5E9B9DE3">
            <w:pPr>
              <w:adjustRightInd w:val="0"/>
              <w:snapToGrid w:val="0"/>
              <w:rPr>
                <w:rFonts w:ascii="仿宋_GB2312" w:eastAsia="仿宋_GB2312"/>
                <w:b/>
                <w:kern w:val="0"/>
                <w:sz w:val="24"/>
                <w:szCs w:val="24"/>
              </w:rPr>
            </w:pPr>
            <w:r>
              <w:rPr>
                <w:rFonts w:hint="eastAsia" w:ascii="仿宋_GB2312" w:eastAsia="仿宋_GB2312"/>
                <w:b/>
                <w:kern w:val="0"/>
                <w:sz w:val="24"/>
                <w:szCs w:val="24"/>
              </w:rPr>
              <w:t>债券投资者名称</w:t>
            </w:r>
          </w:p>
        </w:tc>
        <w:tc>
          <w:tcPr>
            <w:tcW w:w="3231" w:type="pct"/>
          </w:tcPr>
          <w:p w14:paraId="19120F24">
            <w:pPr>
              <w:adjustRightInd w:val="0"/>
              <w:snapToGrid w:val="0"/>
              <w:rPr>
                <w:rFonts w:ascii="仿宋_GB2312" w:eastAsia="仿宋_GB2312"/>
                <w:kern w:val="0"/>
                <w:sz w:val="24"/>
                <w:szCs w:val="24"/>
              </w:rPr>
            </w:pPr>
            <w:r>
              <w:rPr>
                <w:rFonts w:hint="eastAsia" w:ascii="仿宋_GB2312" w:eastAsia="仿宋_GB2312"/>
                <w:kern w:val="0"/>
                <w:sz w:val="24"/>
                <w:szCs w:val="24"/>
              </w:rPr>
              <w:t>债券投资者名称，自动显示，无需输入</w:t>
            </w:r>
          </w:p>
        </w:tc>
      </w:tr>
    </w:tbl>
    <w:p w14:paraId="387C1E8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意向申报可不指定回购利率，但应当至少包含回购方向、质押券篮子等交易要素信息。意向申报不能直接成交。意向申报可以由回购双方任一交易员发起，意向申报的撤销只能由该笔申报的发起交易员进行。</w:t>
      </w:r>
    </w:p>
    <w:p w14:paraId="6842560C">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（5）协商成交申报</w:t>
      </w:r>
    </w:p>
    <w:p w14:paraId="48E7D15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协商成交申报是向特定的交易对手方发起一对一的申报。三方回购交易经双方协商一致后，由正回购方发起定向的协商成交申报，填妥交易要素后发送到逆回购方，逆回购方确认后成交。协商成交申报的撤销和确认/拒绝只能由该笔申报的发起交易员进行。协商成交申报时，正回购方必须在逆回购方的授信白名单内。</w:t>
      </w:r>
    </w:p>
    <w:p w14:paraId="6616487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协商成交申报的具体要素及要素说明如下：</w:t>
      </w:r>
    </w:p>
    <w:tbl>
      <w:tblPr>
        <w:tblStyle w:val="4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125"/>
      </w:tblGrid>
      <w:tr w14:paraId="0182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E673D3">
            <w:pPr>
              <w:adjustRightInd w:val="0"/>
              <w:snapToGrid w:val="0"/>
              <w:rPr>
                <w:rFonts w:ascii="仿宋_GB2312" w:eastAsia="仿宋_GB2312"/>
                <w:b/>
                <w:kern w:val="0"/>
                <w:sz w:val="24"/>
                <w:szCs w:val="24"/>
              </w:rPr>
            </w:pPr>
            <w:bookmarkStart w:id="1939" w:name="_Toc499850049"/>
            <w:bookmarkEnd w:id="1939"/>
            <w:bookmarkStart w:id="1940" w:name="_Toc499850233"/>
            <w:bookmarkEnd w:id="1940"/>
            <w:r>
              <w:rPr>
                <w:rFonts w:hint="eastAsia" w:ascii="仿宋_GB2312" w:eastAsia="仿宋_GB2312"/>
                <w:b/>
                <w:kern w:val="0"/>
                <w:sz w:val="24"/>
                <w:szCs w:val="24"/>
              </w:rPr>
              <w:t>要素名称</w:t>
            </w:r>
          </w:p>
        </w:tc>
        <w:tc>
          <w:tcPr>
            <w:tcW w:w="6125" w:type="dxa"/>
          </w:tcPr>
          <w:p w14:paraId="3189C0B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7A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BABEFF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6125" w:type="dxa"/>
          </w:tcPr>
          <w:p w14:paraId="583189D7">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正回购方的证券账户号</w:t>
            </w:r>
          </w:p>
        </w:tc>
      </w:tr>
      <w:tr w14:paraId="40C6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98E634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125" w:type="dxa"/>
          </w:tcPr>
          <w:p w14:paraId="00FBE09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B71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EAD06BB">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125" w:type="dxa"/>
          </w:tcPr>
          <w:p w14:paraId="54A1EE8B">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EC9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65FE3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125" w:type="dxa"/>
          </w:tcPr>
          <w:p w14:paraId="217768C0">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7060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7ADC1FA">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125" w:type="dxa"/>
          </w:tcPr>
          <w:p w14:paraId="37779B1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1516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DEC8B04">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6125" w:type="dxa"/>
          </w:tcPr>
          <w:p w14:paraId="656AA7FA">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w:t>
            </w:r>
          </w:p>
        </w:tc>
      </w:tr>
      <w:tr w14:paraId="685C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5FA7EE69">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6125" w:type="dxa"/>
          </w:tcPr>
          <w:p w14:paraId="7570909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50DA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60649839">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6125" w:type="dxa"/>
          </w:tcPr>
          <w:p w14:paraId="5F4497DC">
            <w:pPr>
              <w:adjustRightInd w:val="0"/>
              <w:snapToGrid w:val="0"/>
              <w:rPr>
                <w:rFonts w:ascii="仿宋_GB2312" w:eastAsia="仿宋_GB2312"/>
                <w:kern w:val="0"/>
                <w:sz w:val="24"/>
                <w:szCs w:val="24"/>
              </w:rPr>
            </w:pPr>
            <w:r>
              <w:rPr>
                <w:rFonts w:hint="eastAsia" w:ascii="仿宋_GB2312" w:eastAsia="仿宋_GB2312"/>
                <w:kern w:val="0"/>
                <w:sz w:val="24"/>
                <w:szCs w:val="24"/>
              </w:rPr>
              <w:t>违约后担保品是否由质权人处置</w:t>
            </w:r>
          </w:p>
        </w:tc>
      </w:tr>
      <w:tr w14:paraId="46F5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B95725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125" w:type="dxa"/>
          </w:tcPr>
          <w:p w14:paraId="0F4735E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0FD7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1B52404">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125" w:type="dxa"/>
          </w:tcPr>
          <w:p w14:paraId="708D7FC3">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1D1C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8BCAA0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6125" w:type="dxa"/>
          </w:tcPr>
          <w:p w14:paraId="3CDB25CE">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w:t>
            </w:r>
          </w:p>
        </w:tc>
      </w:tr>
      <w:tr w14:paraId="516F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823041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125" w:type="dxa"/>
          </w:tcPr>
          <w:p w14:paraId="6900AE98">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1C45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F06A875">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125" w:type="dxa"/>
          </w:tcPr>
          <w:p w14:paraId="7CDAAEAB">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519E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423EE7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125" w:type="dxa"/>
          </w:tcPr>
          <w:p w14:paraId="1B068EC6">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40F8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471A9E6">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125" w:type="dxa"/>
          </w:tcPr>
          <w:p w14:paraId="0FB67C13">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DF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0058D00">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6125" w:type="dxa"/>
          </w:tcPr>
          <w:p w14:paraId="32C89369">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1553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63774BF">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6125" w:type="dxa"/>
          </w:tcPr>
          <w:p w14:paraId="70E0840C">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4ECF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26B687E">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6125" w:type="dxa"/>
          </w:tcPr>
          <w:p w14:paraId="62D1EBDC">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414D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325BDF4">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6125" w:type="dxa"/>
          </w:tcPr>
          <w:p w14:paraId="62E4F716">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3A08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0511551">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6125" w:type="dxa"/>
          </w:tcPr>
          <w:p w14:paraId="19EBDCCB">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176C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5711F0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125" w:type="dxa"/>
          </w:tcPr>
          <w:p w14:paraId="2E6D4227">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140E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E7E6347">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125" w:type="dxa"/>
          </w:tcPr>
          <w:p w14:paraId="5267CBBD">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935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AC654FE">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125" w:type="dxa"/>
          </w:tcPr>
          <w:p w14:paraId="727518CD">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21FE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2CC0B7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125" w:type="dxa"/>
          </w:tcPr>
          <w:p w14:paraId="4C684DAB">
            <w:pPr>
              <w:adjustRightInd w:val="0"/>
              <w:snapToGrid w:val="0"/>
              <w:rPr>
                <w:rFonts w:ascii="仿宋_GB2312" w:eastAsia="仿宋_GB2312"/>
                <w:kern w:val="0"/>
                <w:sz w:val="24"/>
                <w:szCs w:val="24"/>
              </w:rPr>
            </w:pPr>
            <w:r>
              <w:rPr>
                <w:rFonts w:ascii="仿宋_GB2312" w:eastAsia="仿宋_GB2312"/>
                <w:kern w:val="0"/>
                <w:sz w:val="24"/>
                <w:szCs w:val="24"/>
              </w:rPr>
              <w:t>T+0</w:t>
            </w:r>
            <w:r>
              <w:rPr>
                <w:rFonts w:hint="eastAsia" w:ascii="仿宋_GB2312" w:eastAsia="仿宋_GB2312"/>
                <w:kern w:val="0"/>
                <w:sz w:val="24"/>
                <w:szCs w:val="24"/>
              </w:rPr>
              <w:t>，自动显示，无需输入</w:t>
            </w:r>
          </w:p>
        </w:tc>
      </w:tr>
      <w:tr w14:paraId="20F0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DA12ED">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125" w:type="dxa"/>
          </w:tcPr>
          <w:p w14:paraId="53FE5F0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122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635460A">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125" w:type="dxa"/>
          </w:tcPr>
          <w:p w14:paraId="1569CFF2">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0533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7B4C27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125" w:type="dxa"/>
          </w:tcPr>
          <w:p w14:paraId="6CCA2D61">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37DD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D3B3D1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6125" w:type="dxa"/>
          </w:tcPr>
          <w:p w14:paraId="495238AB">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5677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5C6BE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6125" w:type="dxa"/>
          </w:tcPr>
          <w:p w14:paraId="7CBBD278">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6671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1074F6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125" w:type="dxa"/>
          </w:tcPr>
          <w:p w14:paraId="384CBB40">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0B44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FAC5EB5">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6125" w:type="dxa"/>
          </w:tcPr>
          <w:p w14:paraId="7EDBC1A0">
            <w:pPr>
              <w:adjustRightInd w:val="0"/>
              <w:snapToGrid w:val="0"/>
              <w:rPr>
                <w:rFonts w:ascii="仿宋_GB2312" w:eastAsia="仿宋_GB2312"/>
                <w:kern w:val="0"/>
                <w:sz w:val="24"/>
                <w:szCs w:val="24"/>
              </w:rPr>
            </w:pPr>
            <w:r>
              <w:rPr>
                <w:rFonts w:hint="eastAsia" w:ascii="仿宋_GB2312" w:eastAsia="仿宋_GB2312"/>
                <w:kern w:val="0"/>
                <w:sz w:val="24"/>
                <w:szCs w:val="24"/>
              </w:rPr>
              <w:t>质押券的当前全价估值，自动显示，无需输入</w:t>
            </w:r>
          </w:p>
        </w:tc>
      </w:tr>
      <w:tr w14:paraId="269A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9DDA272">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6125" w:type="dxa"/>
          </w:tcPr>
          <w:p w14:paraId="57FA7CBB">
            <w:pPr>
              <w:adjustRightInd w:val="0"/>
              <w:snapToGrid w:val="0"/>
              <w:rPr>
                <w:rFonts w:ascii="仿宋_GB2312" w:eastAsia="仿宋_GB2312"/>
                <w:kern w:val="0"/>
                <w:sz w:val="24"/>
                <w:szCs w:val="24"/>
              </w:rPr>
            </w:pPr>
            <w:r>
              <w:rPr>
                <w:rFonts w:hint="eastAsia" w:ascii="仿宋_GB2312" w:eastAsia="仿宋_GB2312"/>
                <w:kern w:val="0"/>
                <w:sz w:val="24"/>
                <w:szCs w:val="24"/>
              </w:rPr>
              <w:t>所属质押券篮子的折扣率，自动显示，无需输入</w:t>
            </w:r>
          </w:p>
        </w:tc>
      </w:tr>
      <w:tr w14:paraId="3870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886D35A">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6125" w:type="dxa"/>
          </w:tcPr>
          <w:p w14:paraId="786886DB">
            <w:pPr>
              <w:adjustRightInd w:val="0"/>
              <w:snapToGrid w:val="0"/>
              <w:rPr>
                <w:rFonts w:ascii="仿宋_GB2312" w:eastAsia="仿宋_GB2312"/>
                <w:kern w:val="0"/>
                <w:sz w:val="24"/>
                <w:szCs w:val="24"/>
              </w:rPr>
            </w:pPr>
            <w:r>
              <w:rPr>
                <w:rFonts w:hint="eastAsia" w:ascii="仿宋_GB2312" w:eastAsia="仿宋_GB2312"/>
                <w:kern w:val="0"/>
                <w:sz w:val="24"/>
                <w:szCs w:val="24"/>
              </w:rPr>
              <w:t>全价估值*数量*（1-折扣率/100），自动显示，无需输入</w:t>
            </w:r>
          </w:p>
        </w:tc>
      </w:tr>
      <w:tr w14:paraId="7258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3F68E1C">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6125" w:type="dxa"/>
          </w:tcPr>
          <w:p w14:paraId="00231ED2">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bl>
    <w:p w14:paraId="09DAB89F">
      <w:pPr>
        <w:spacing w:line="600" w:lineRule="exact"/>
        <w:ind w:firstLine="602" w:firstLineChars="200"/>
        <w:outlineLvl w:val="3"/>
        <w:rPr>
          <w:rFonts w:ascii="仿宋_GB2312" w:eastAsia="仿宋_GB2312"/>
          <w:b/>
          <w:sz w:val="30"/>
          <w:szCs w:val="30"/>
        </w:rPr>
      </w:pPr>
      <w:bookmarkStart w:id="1941" w:name="_Toc499850051"/>
      <w:bookmarkEnd w:id="1941"/>
      <w:r>
        <w:rPr>
          <w:rFonts w:hint="eastAsia" w:ascii="仿宋_GB2312" w:eastAsia="仿宋_GB2312"/>
          <w:b/>
          <w:sz w:val="30"/>
          <w:szCs w:val="30"/>
        </w:rPr>
        <w:t>（6）到期购回交易申报</w:t>
      </w:r>
    </w:p>
    <w:p w14:paraId="6DC1144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购回。到期购回申报指回购双方在回购到期日针对到期回购按照约定返还资金、解除质押券及相应孳息质押登记的申报。到期购回申报由正回购方的任一交易员发起，无需逆回购方确认。到期购回申报一经提交，不可撤销。</w:t>
      </w:r>
      <w:bookmarkStart w:id="1942" w:name="_Toc499850053"/>
      <w:bookmarkEnd w:id="1942"/>
    </w:p>
    <w:p w14:paraId="58C2BB40">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到期购回申报的</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6322"/>
      </w:tblGrid>
      <w:tr w14:paraId="65CD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091F9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709" w:type="pct"/>
          </w:tcPr>
          <w:p w14:paraId="79F132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AFE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F4ABBE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709" w:type="pct"/>
          </w:tcPr>
          <w:p w14:paraId="7BFFBE23">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FA1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99EC62C">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709" w:type="pct"/>
          </w:tcPr>
          <w:p w14:paraId="051CF6B1">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303F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9FA946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709" w:type="pct"/>
          </w:tcPr>
          <w:p w14:paraId="13004AA5">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FD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BA8262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709" w:type="pct"/>
          </w:tcPr>
          <w:p w14:paraId="510EAF96">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563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5043773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709" w:type="pct"/>
          </w:tcPr>
          <w:p w14:paraId="619CC3F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C1A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682395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709" w:type="pct"/>
          </w:tcPr>
          <w:p w14:paraId="378AB6BC">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EB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3C49E45">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3709" w:type="pct"/>
          </w:tcPr>
          <w:p w14:paraId="6D6BDA4A">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36C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F013292">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3709" w:type="pct"/>
          </w:tcPr>
          <w:p w14:paraId="004BAD7D">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1E94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291F851">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3709" w:type="pct"/>
          </w:tcPr>
          <w:p w14:paraId="1D223658">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094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0CB14E">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3709" w:type="pct"/>
          </w:tcPr>
          <w:p w14:paraId="604DEA80">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5CE8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0B31B1B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709" w:type="pct"/>
          </w:tcPr>
          <w:p w14:paraId="3723A7B6">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C2C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6223B2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709" w:type="pct"/>
          </w:tcPr>
          <w:p w14:paraId="66CC3554">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E44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7FFDE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3709" w:type="pct"/>
          </w:tcPr>
          <w:p w14:paraId="711B54D5">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5F2E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4D46634">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3709" w:type="pct"/>
          </w:tcPr>
          <w:p w14:paraId="4440DCAA">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占有质押券的债权人名称，默认显示逆回购方债券交易参与人名称，自动显示，无需输入</w:t>
            </w:r>
          </w:p>
        </w:tc>
      </w:tr>
      <w:tr w14:paraId="07BD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5BFACE91">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709" w:type="pct"/>
          </w:tcPr>
          <w:p w14:paraId="23F8FD16">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回购到期日-成交日期，自动显示，无需输入</w:t>
            </w:r>
          </w:p>
        </w:tc>
      </w:tr>
      <w:tr w14:paraId="2AD4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BEADA29">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3709" w:type="pct"/>
          </w:tcPr>
          <w:p w14:paraId="0AAA82F6">
            <w:pPr>
              <w:adjustRightInd w:val="0"/>
              <w:snapToGrid w:val="0"/>
              <w:rPr>
                <w:rFonts w:ascii="仿宋_GB2312" w:eastAsia="仿宋_GB2312"/>
                <w:kern w:val="0"/>
                <w:sz w:val="24"/>
                <w:szCs w:val="24"/>
              </w:rPr>
            </w:pPr>
            <w:r>
              <w:rPr>
                <w:rFonts w:hint="eastAsia" w:ascii="仿宋_GB2312" w:eastAsia="仿宋_GB2312"/>
                <w:kern w:val="0"/>
                <w:sz w:val="24"/>
                <w:szCs w:val="24"/>
              </w:rPr>
              <w:t>回购交易成交编号，自动显示，无需输入</w:t>
            </w:r>
          </w:p>
        </w:tc>
      </w:tr>
      <w:tr w14:paraId="0C68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93BA6E9">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3709" w:type="pct"/>
          </w:tcPr>
          <w:p w14:paraId="325B018E">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065F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8672F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709" w:type="pct"/>
          </w:tcPr>
          <w:p w14:paraId="6A887509">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5026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7EE23F19">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709" w:type="pct"/>
          </w:tcPr>
          <w:p w14:paraId="5573094B">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59E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2B712B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709" w:type="pct"/>
          </w:tcPr>
          <w:p w14:paraId="58095E41">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58B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0E71023C">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709" w:type="pct"/>
          </w:tcPr>
          <w:p w14:paraId="489C1C2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2806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E84E35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709" w:type="pct"/>
          </w:tcPr>
          <w:p w14:paraId="21CBAE10">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1C8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80D9DF7">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709" w:type="pct"/>
          </w:tcPr>
          <w:p w14:paraId="5A58E237">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多券申报正回购方融入的资金额度，自动显示，无需输入</w:t>
            </w:r>
          </w:p>
        </w:tc>
      </w:tr>
      <w:tr w14:paraId="428B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CD8413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709" w:type="pct"/>
          </w:tcPr>
          <w:p w14:paraId="4F27ED3C">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27D5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24A5BFEE">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709" w:type="pct"/>
          </w:tcPr>
          <w:p w14:paraId="4A514AC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6B0F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17C42E9">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3709" w:type="pct"/>
          </w:tcPr>
          <w:p w14:paraId="7D520CEB">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r w14:paraId="1957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6737F4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709" w:type="pct"/>
          </w:tcPr>
          <w:p w14:paraId="73130E1B">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bl>
    <w:p w14:paraId="68201AD0">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（7）</w:t>
      </w:r>
      <w:r>
        <w:rPr>
          <w:rFonts w:hint="eastAsia" w:ascii="仿宋_GB2312" w:hAnsi="黑体" w:eastAsia="仿宋_GB2312"/>
          <w:b/>
          <w:sz w:val="30"/>
          <w:szCs w:val="30"/>
        </w:rPr>
        <w:t>到期续做交易申报</w:t>
      </w:r>
    </w:p>
    <w:p w14:paraId="22A172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续做。到期续做申报是指回购到期日，双方可基于原质押券申报回购续做，通过缔结新的回购合约来了结到期合约。正回购方的到期续做申报经续做逆回购方确认后生成新的回购合约，原到期回购合约终结。续做逆回购方必须是原回购逆回购方，续做的金额、期限、利率等要素和原回购可以不同。初期，续做的金额不能超过原回购金额。到期续做申报由回购双方的任一交易员发起，对手方任一交易员确认或拒绝。到期续做申报的撤销只能由发起的交易员进行。</w:t>
      </w:r>
    </w:p>
    <w:p w14:paraId="14EE61C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到期续作申报的</w:t>
      </w:r>
      <w:r>
        <w:rPr>
          <w:rFonts w:hint="eastAsia" w:ascii="仿宋_GB2312" w:hAnsi="宋体" w:eastAsia="仿宋_GB2312"/>
          <w:sz w:val="30"/>
          <w:szCs w:val="30"/>
        </w:rPr>
        <w:t>具体要素及要素说明如下：</w:t>
      </w:r>
    </w:p>
    <w:tbl>
      <w:tblPr>
        <w:tblStyle w:val="43"/>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3"/>
        <w:gridCol w:w="4975"/>
      </w:tblGrid>
      <w:tr w14:paraId="7573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F86BF2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859" w:type="pct"/>
          </w:tcPr>
          <w:p w14:paraId="29A465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AD0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Pr>
          <w:p w14:paraId="62F54F7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新续作信息</w:t>
            </w:r>
          </w:p>
        </w:tc>
      </w:tr>
      <w:tr w14:paraId="291E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CA63D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859" w:type="pct"/>
          </w:tcPr>
          <w:p w14:paraId="102073C7">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930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2BEAE6C7">
            <w:pPr>
              <w:adjustRightInd w:val="0"/>
              <w:snapToGrid w:val="0"/>
              <w:rPr>
                <w:rFonts w:ascii="仿宋_GB2312" w:eastAsia="仿宋_GB2312"/>
                <w:b/>
                <w:kern w:val="0"/>
                <w:sz w:val="24"/>
                <w:szCs w:val="24"/>
              </w:rPr>
            </w:pPr>
            <w:r>
              <w:rPr>
                <w:rFonts w:hint="eastAsia" w:ascii="仿宋_GB2312" w:eastAsia="仿宋_GB2312"/>
                <w:b/>
                <w:kern w:val="0"/>
                <w:sz w:val="24"/>
                <w:szCs w:val="24"/>
              </w:rPr>
              <w:t>续做期限</w:t>
            </w:r>
          </w:p>
        </w:tc>
        <w:tc>
          <w:tcPr>
            <w:tcW w:w="2859" w:type="pct"/>
          </w:tcPr>
          <w:p w14:paraId="5F39AAC6">
            <w:pPr>
              <w:adjustRightInd w:val="0"/>
              <w:snapToGrid w:val="0"/>
              <w:rPr>
                <w:rFonts w:ascii="仿宋_GB2312" w:eastAsia="仿宋_GB2312"/>
                <w:kern w:val="0"/>
                <w:sz w:val="24"/>
                <w:szCs w:val="24"/>
              </w:rPr>
            </w:pPr>
            <w:r>
              <w:rPr>
                <w:rFonts w:hint="eastAsia" w:ascii="仿宋_GB2312" w:eastAsia="仿宋_GB2312"/>
                <w:kern w:val="0"/>
                <w:sz w:val="24"/>
                <w:szCs w:val="24"/>
              </w:rPr>
              <w:t>续作到期日-续作成交日</w:t>
            </w:r>
          </w:p>
        </w:tc>
      </w:tr>
      <w:tr w14:paraId="095C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6B92479">
            <w:pPr>
              <w:adjustRightInd w:val="0"/>
              <w:snapToGrid w:val="0"/>
              <w:rPr>
                <w:rFonts w:ascii="仿宋_GB2312" w:eastAsia="仿宋_GB2312"/>
                <w:b/>
                <w:kern w:val="0"/>
                <w:sz w:val="24"/>
                <w:szCs w:val="24"/>
              </w:rPr>
            </w:pPr>
            <w:r>
              <w:rPr>
                <w:rFonts w:hint="eastAsia" w:ascii="仿宋_GB2312" w:eastAsia="仿宋_GB2312"/>
                <w:b/>
                <w:kern w:val="0"/>
                <w:sz w:val="24"/>
                <w:szCs w:val="24"/>
              </w:rPr>
              <w:t>续做回购到期日</w:t>
            </w:r>
          </w:p>
        </w:tc>
        <w:tc>
          <w:tcPr>
            <w:tcW w:w="2859" w:type="pct"/>
          </w:tcPr>
          <w:p w14:paraId="5E777203">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60D7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ADBF9C0">
            <w:pPr>
              <w:adjustRightInd w:val="0"/>
              <w:snapToGrid w:val="0"/>
              <w:rPr>
                <w:rFonts w:ascii="仿宋_GB2312" w:eastAsia="仿宋_GB2312"/>
                <w:b/>
                <w:kern w:val="0"/>
                <w:sz w:val="24"/>
                <w:szCs w:val="24"/>
              </w:rPr>
            </w:pPr>
            <w:r>
              <w:rPr>
                <w:rFonts w:hint="eastAsia" w:ascii="仿宋_GB2312" w:eastAsia="仿宋_GB2312"/>
                <w:b/>
                <w:kern w:val="0"/>
                <w:sz w:val="24"/>
                <w:szCs w:val="24"/>
              </w:rPr>
              <w:t>续做利率</w:t>
            </w:r>
          </w:p>
        </w:tc>
        <w:tc>
          <w:tcPr>
            <w:tcW w:w="2859" w:type="pct"/>
          </w:tcPr>
          <w:p w14:paraId="0E80E5D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BFE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4E037EB">
            <w:pPr>
              <w:adjustRightInd w:val="0"/>
              <w:snapToGrid w:val="0"/>
              <w:rPr>
                <w:rFonts w:ascii="仿宋_GB2312" w:eastAsia="仿宋_GB2312"/>
                <w:b/>
                <w:kern w:val="0"/>
                <w:sz w:val="24"/>
                <w:szCs w:val="24"/>
              </w:rPr>
            </w:pPr>
            <w:r>
              <w:rPr>
                <w:rFonts w:hint="eastAsia" w:ascii="仿宋_GB2312" w:eastAsia="仿宋_GB2312"/>
                <w:b/>
                <w:kern w:val="0"/>
                <w:sz w:val="24"/>
                <w:szCs w:val="24"/>
              </w:rPr>
              <w:t>续做金额</w:t>
            </w:r>
          </w:p>
        </w:tc>
        <w:tc>
          <w:tcPr>
            <w:tcW w:w="2859" w:type="pct"/>
          </w:tcPr>
          <w:p w14:paraId="7F999D83">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5312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3A677A07">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2859" w:type="pct"/>
          </w:tcPr>
          <w:p w14:paraId="58E0585E">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4258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A0AEA8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859" w:type="pct"/>
          </w:tcPr>
          <w:p w14:paraId="688CFD4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4A81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EE30AC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859" w:type="pct"/>
          </w:tcPr>
          <w:p w14:paraId="277DA6F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315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25AB71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859" w:type="pct"/>
          </w:tcPr>
          <w:p w14:paraId="6D0CCFF7">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402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22B584D">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859" w:type="pct"/>
          </w:tcPr>
          <w:p w14:paraId="6B15C75E">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2766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6B9EF625">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859" w:type="pct"/>
          </w:tcPr>
          <w:p w14:paraId="3385B7A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70FA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D13632">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859" w:type="pct"/>
          </w:tcPr>
          <w:p w14:paraId="57BE4A12">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ABF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E09C6B">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2859" w:type="pct"/>
          </w:tcPr>
          <w:p w14:paraId="0268B3D5">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6A92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E35B3C7">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2859" w:type="pct"/>
          </w:tcPr>
          <w:p w14:paraId="6A62AB3B">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841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945FBC5">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2859" w:type="pct"/>
          </w:tcPr>
          <w:p w14:paraId="6290721A">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4ABB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ABEBB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859" w:type="pct"/>
          </w:tcPr>
          <w:p w14:paraId="2A33EB4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5A3A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07ADFF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859" w:type="pct"/>
          </w:tcPr>
          <w:p w14:paraId="0A421D9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1D0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E74C3C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2859" w:type="pct"/>
          </w:tcPr>
          <w:p w14:paraId="4C2B1AD4">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4F06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B114851">
            <w:pPr>
              <w:adjustRightInd w:val="0"/>
              <w:snapToGrid w:val="0"/>
              <w:rPr>
                <w:rFonts w:ascii="仿宋_GB2312" w:eastAsia="仿宋_GB2312"/>
                <w:b/>
                <w:kern w:val="0"/>
                <w:sz w:val="24"/>
                <w:szCs w:val="24"/>
              </w:rPr>
            </w:pPr>
            <w:r>
              <w:rPr>
                <w:rFonts w:hint="eastAsia" w:ascii="仿宋_GB2312" w:eastAsia="仿宋_GB2312"/>
                <w:b/>
                <w:kern w:val="0"/>
                <w:sz w:val="24"/>
                <w:szCs w:val="24"/>
              </w:rPr>
              <w:t>续做日期</w:t>
            </w:r>
          </w:p>
        </w:tc>
        <w:tc>
          <w:tcPr>
            <w:tcW w:w="2859" w:type="pct"/>
          </w:tcPr>
          <w:p w14:paraId="337265EC">
            <w:pPr>
              <w:adjustRightInd w:val="0"/>
              <w:snapToGrid w:val="0"/>
              <w:rPr>
                <w:rFonts w:ascii="仿宋_GB2312" w:eastAsia="仿宋_GB2312"/>
                <w:kern w:val="0"/>
                <w:sz w:val="24"/>
                <w:szCs w:val="24"/>
              </w:rPr>
            </w:pPr>
            <w:r>
              <w:rPr>
                <w:rFonts w:hint="eastAsia" w:ascii="仿宋_GB2312" w:eastAsia="仿宋_GB2312"/>
                <w:kern w:val="0"/>
                <w:sz w:val="24"/>
                <w:szCs w:val="24"/>
              </w:rPr>
              <w:t>续做交易生效日，自动显示，无需输入</w:t>
            </w:r>
          </w:p>
        </w:tc>
      </w:tr>
      <w:tr w14:paraId="5FFD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19407E">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续做到期结算日</w:t>
            </w:r>
          </w:p>
        </w:tc>
        <w:tc>
          <w:tcPr>
            <w:tcW w:w="2859" w:type="pct"/>
          </w:tcPr>
          <w:p w14:paraId="34F04A96">
            <w:pPr>
              <w:adjustRightInd w:val="0"/>
              <w:snapToGrid w:val="0"/>
              <w:rPr>
                <w:rFonts w:ascii="仿宋_GB2312" w:eastAsia="仿宋_GB2312"/>
                <w:kern w:val="0"/>
                <w:sz w:val="24"/>
                <w:szCs w:val="24"/>
              </w:rPr>
            </w:pPr>
            <w:r>
              <w:rPr>
                <w:rFonts w:hint="eastAsia" w:ascii="仿宋_GB2312" w:eastAsia="仿宋_GB2312"/>
                <w:kern w:val="0"/>
                <w:sz w:val="24"/>
                <w:szCs w:val="24"/>
              </w:rPr>
              <w:t>续做交易到日结算日，自动显示，无需输入</w:t>
            </w:r>
          </w:p>
        </w:tc>
      </w:tr>
      <w:tr w14:paraId="395E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B79FE0A">
            <w:pPr>
              <w:adjustRightInd w:val="0"/>
              <w:snapToGrid w:val="0"/>
              <w:rPr>
                <w:rFonts w:ascii="仿宋_GB2312" w:eastAsia="仿宋_GB2312"/>
                <w:b/>
                <w:kern w:val="0"/>
                <w:sz w:val="24"/>
                <w:szCs w:val="24"/>
              </w:rPr>
            </w:pPr>
            <w:r>
              <w:rPr>
                <w:rFonts w:hint="eastAsia" w:ascii="仿宋_GB2312" w:eastAsia="仿宋_GB2312"/>
                <w:b/>
                <w:kern w:val="0"/>
                <w:sz w:val="24"/>
                <w:szCs w:val="24"/>
              </w:rPr>
              <w:t>续做实际占款天数</w:t>
            </w:r>
          </w:p>
        </w:tc>
        <w:tc>
          <w:tcPr>
            <w:tcW w:w="2859" w:type="pct"/>
          </w:tcPr>
          <w:p w14:paraId="4A417C6A">
            <w:pPr>
              <w:adjustRightInd w:val="0"/>
              <w:snapToGrid w:val="0"/>
              <w:rPr>
                <w:rFonts w:ascii="仿宋_GB2312" w:eastAsia="仿宋_GB2312"/>
                <w:kern w:val="0"/>
                <w:sz w:val="24"/>
                <w:szCs w:val="24"/>
              </w:rPr>
            </w:pPr>
            <w:r>
              <w:rPr>
                <w:rFonts w:hint="eastAsia" w:ascii="仿宋_GB2312" w:eastAsia="仿宋_GB2312"/>
                <w:kern w:val="0"/>
                <w:sz w:val="24"/>
                <w:szCs w:val="24"/>
              </w:rPr>
              <w:t>续做到期结算日-续做日期，自动显示，无需输入</w:t>
            </w:r>
          </w:p>
        </w:tc>
      </w:tr>
      <w:tr w14:paraId="26CC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6E13CEE">
            <w:pPr>
              <w:adjustRightInd w:val="0"/>
              <w:snapToGrid w:val="0"/>
              <w:rPr>
                <w:rFonts w:ascii="仿宋_GB2312" w:eastAsia="仿宋_GB2312"/>
                <w:b/>
                <w:kern w:val="0"/>
                <w:sz w:val="24"/>
                <w:szCs w:val="24"/>
              </w:rPr>
            </w:pPr>
            <w:r>
              <w:rPr>
                <w:rFonts w:hint="eastAsia" w:ascii="仿宋_GB2312" w:eastAsia="仿宋_GB2312"/>
                <w:b/>
                <w:kern w:val="0"/>
                <w:sz w:val="24"/>
                <w:szCs w:val="24"/>
              </w:rPr>
              <w:t>续做利息</w:t>
            </w:r>
          </w:p>
        </w:tc>
        <w:tc>
          <w:tcPr>
            <w:tcW w:w="2859" w:type="pct"/>
          </w:tcPr>
          <w:p w14:paraId="72367F20">
            <w:pPr>
              <w:adjustRightInd w:val="0"/>
              <w:snapToGrid w:val="0"/>
              <w:rPr>
                <w:rFonts w:ascii="仿宋_GB2312" w:eastAsia="仿宋_GB2312"/>
                <w:kern w:val="0"/>
                <w:sz w:val="24"/>
                <w:szCs w:val="24"/>
              </w:rPr>
            </w:pPr>
            <w:r>
              <w:rPr>
                <w:rFonts w:hint="eastAsia" w:ascii="仿宋_GB2312" w:eastAsia="仿宋_GB2312"/>
                <w:kern w:val="0"/>
                <w:sz w:val="24"/>
                <w:szCs w:val="24"/>
              </w:rPr>
              <w:t>续做金额×续做利率×续做实际占款天数/365，自动显示，无需输入</w:t>
            </w:r>
          </w:p>
        </w:tc>
      </w:tr>
      <w:tr w14:paraId="633D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F707EDF">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续做到期结算金额</w:t>
            </w:r>
          </w:p>
        </w:tc>
        <w:tc>
          <w:tcPr>
            <w:tcW w:w="2859" w:type="pct"/>
          </w:tcPr>
          <w:p w14:paraId="5FE91F66">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1151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E68AB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859" w:type="pct"/>
          </w:tcPr>
          <w:p w14:paraId="77EDEDA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08B6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DE0634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2859" w:type="pct"/>
          </w:tcPr>
          <w:p w14:paraId="1CB4CAE0">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4366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2"/>
          </w:tcPr>
          <w:p w14:paraId="789C7912">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原申报信息</w:t>
            </w:r>
          </w:p>
        </w:tc>
      </w:tr>
      <w:tr w14:paraId="770B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5935BE2D">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原回购利率</w:t>
            </w:r>
          </w:p>
        </w:tc>
        <w:tc>
          <w:tcPr>
            <w:tcW w:w="2859" w:type="pct"/>
          </w:tcPr>
          <w:p w14:paraId="5360A97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原回购交易正回购方付给逆回购方的资金价格，自动显示，无需输入</w:t>
            </w:r>
          </w:p>
        </w:tc>
      </w:tr>
      <w:tr w14:paraId="323A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53E6336">
            <w:pPr>
              <w:adjustRightInd w:val="0"/>
              <w:snapToGrid w:val="0"/>
              <w:rPr>
                <w:rFonts w:ascii="仿宋_GB2312" w:eastAsia="仿宋_GB2312"/>
                <w:b/>
                <w:kern w:val="0"/>
                <w:sz w:val="24"/>
                <w:szCs w:val="24"/>
              </w:rPr>
            </w:pPr>
            <w:r>
              <w:rPr>
                <w:rFonts w:hint="eastAsia" w:ascii="仿宋_GB2312" w:eastAsia="仿宋_GB2312"/>
                <w:b/>
                <w:kern w:val="0"/>
                <w:sz w:val="24"/>
                <w:szCs w:val="24"/>
              </w:rPr>
              <w:t>原回购金额</w:t>
            </w:r>
          </w:p>
        </w:tc>
        <w:tc>
          <w:tcPr>
            <w:tcW w:w="2859" w:type="pct"/>
          </w:tcPr>
          <w:p w14:paraId="155C9AB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原回购交易正回购方融入的资金额度，自动显示，无需输入</w:t>
            </w:r>
          </w:p>
        </w:tc>
      </w:tr>
      <w:tr w14:paraId="229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9491864">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原回购利息</w:t>
            </w:r>
          </w:p>
        </w:tc>
        <w:tc>
          <w:tcPr>
            <w:tcW w:w="2859" w:type="pct"/>
          </w:tcPr>
          <w:p w14:paraId="6F94C56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原回购交易的成交金额×回购利率×实际占款天数/365，自动显示，无需输入</w:t>
            </w:r>
          </w:p>
        </w:tc>
      </w:tr>
      <w:tr w14:paraId="52E9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F03B057">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原到期结算金额</w:t>
            </w:r>
          </w:p>
        </w:tc>
        <w:tc>
          <w:tcPr>
            <w:tcW w:w="2859" w:type="pct"/>
          </w:tcPr>
          <w:p w14:paraId="45436F8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74E1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42EDFB2">
            <w:pPr>
              <w:pBdr>
                <w:bottom w:val="single" w:color="auto" w:sz="6" w:space="1"/>
              </w:pBdr>
              <w:adjustRightInd w:val="0"/>
              <w:snapToGrid w:val="0"/>
              <w:rPr>
                <w:rFonts w:ascii="仿宋_GB2312" w:eastAsia="仿宋_GB2312"/>
                <w:b/>
                <w:kern w:val="0"/>
                <w:sz w:val="24"/>
                <w:szCs w:val="24"/>
              </w:rPr>
            </w:pPr>
            <w:r>
              <w:rPr>
                <w:rFonts w:hint="eastAsia" w:ascii="仿宋_GB2312" w:eastAsia="仿宋_GB2312"/>
                <w:b/>
                <w:kern w:val="0"/>
                <w:sz w:val="24"/>
                <w:szCs w:val="24"/>
              </w:rPr>
              <w:t>原回购期限</w:t>
            </w:r>
          </w:p>
        </w:tc>
        <w:tc>
          <w:tcPr>
            <w:tcW w:w="2859" w:type="pct"/>
          </w:tcPr>
          <w:p w14:paraId="1504E03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3856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824963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859" w:type="pct"/>
          </w:tcPr>
          <w:p w14:paraId="2D47A76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FDE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5C970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859" w:type="pct"/>
          </w:tcPr>
          <w:p w14:paraId="260C436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34ED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69928D6E">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859" w:type="pct"/>
          </w:tcPr>
          <w:p w14:paraId="09A41E7C">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5C5A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85A615C">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原到期结算日</w:t>
            </w:r>
          </w:p>
        </w:tc>
        <w:tc>
          <w:tcPr>
            <w:tcW w:w="2859" w:type="pct"/>
          </w:tcPr>
          <w:p w14:paraId="51B5BB86">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原回购交易的到期结算日，自动显示，无需输入</w:t>
            </w:r>
          </w:p>
        </w:tc>
      </w:tr>
      <w:tr w14:paraId="10E6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495596E">
            <w:pPr>
              <w:adjustRightInd w:val="0"/>
              <w:snapToGrid w:val="0"/>
              <w:rPr>
                <w:rFonts w:ascii="仿宋_GB2312" w:eastAsia="仿宋_GB2312"/>
                <w:b/>
                <w:kern w:val="0"/>
                <w:sz w:val="24"/>
                <w:szCs w:val="24"/>
              </w:rPr>
            </w:pPr>
            <w:r>
              <w:rPr>
                <w:rFonts w:hint="eastAsia" w:ascii="仿宋_GB2312" w:eastAsia="仿宋_GB2312"/>
                <w:b/>
                <w:kern w:val="0"/>
                <w:sz w:val="24"/>
                <w:szCs w:val="24"/>
              </w:rPr>
              <w:t>原实际占款天数</w:t>
            </w:r>
          </w:p>
        </w:tc>
        <w:tc>
          <w:tcPr>
            <w:tcW w:w="2859" w:type="pct"/>
          </w:tcPr>
          <w:p w14:paraId="30AF200A">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6C5B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774E1BD">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2859" w:type="pct"/>
          </w:tcPr>
          <w:p w14:paraId="3C8738C4">
            <w:pPr>
              <w:adjustRightInd w:val="0"/>
              <w:snapToGrid w:val="0"/>
              <w:rPr>
                <w:rFonts w:ascii="仿宋_GB2312" w:eastAsia="仿宋_GB2312"/>
                <w:kern w:val="0"/>
                <w:sz w:val="24"/>
                <w:szCs w:val="24"/>
              </w:rPr>
            </w:pPr>
            <w:r>
              <w:rPr>
                <w:rFonts w:hint="eastAsia" w:ascii="仿宋_GB2312" w:eastAsia="仿宋_GB2312"/>
                <w:kern w:val="0"/>
                <w:sz w:val="24"/>
                <w:szCs w:val="24"/>
              </w:rPr>
              <w:t>该笔三方回购交易所有担保债券的担保价值合计，自动显示，无需输入</w:t>
            </w:r>
          </w:p>
        </w:tc>
      </w:tr>
      <w:tr w14:paraId="459D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0C8AB226">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2859" w:type="pct"/>
          </w:tcPr>
          <w:p w14:paraId="63B8FEC9">
            <w:pPr>
              <w:adjustRightInd w:val="0"/>
              <w:snapToGrid w:val="0"/>
              <w:rPr>
                <w:rFonts w:ascii="仿宋_GB2312" w:eastAsia="仿宋_GB2312"/>
                <w:kern w:val="0"/>
                <w:sz w:val="24"/>
                <w:szCs w:val="24"/>
              </w:rPr>
            </w:pPr>
            <w:r>
              <w:rPr>
                <w:rFonts w:hint="eastAsia" w:ascii="仿宋_GB2312" w:eastAsia="仿宋_GB2312"/>
                <w:kern w:val="0"/>
                <w:sz w:val="24"/>
                <w:szCs w:val="24"/>
              </w:rPr>
              <w:t>默认勾选是，自动显示，无需输入</w:t>
            </w:r>
          </w:p>
        </w:tc>
      </w:tr>
    </w:tbl>
    <w:p w14:paraId="5155C728">
      <w:pPr>
        <w:spacing w:line="600" w:lineRule="exact"/>
        <w:ind w:left="567"/>
        <w:outlineLvl w:val="3"/>
        <w:rPr>
          <w:rFonts w:ascii="仿宋_GB2312" w:eastAsia="仿宋_GB2312"/>
          <w:b/>
          <w:sz w:val="30"/>
          <w:szCs w:val="30"/>
        </w:rPr>
      </w:pPr>
      <w:r>
        <w:rPr>
          <w:rFonts w:hint="eastAsia" w:ascii="仿宋_GB2312" w:eastAsia="仿宋_GB2312"/>
          <w:b/>
          <w:sz w:val="30"/>
          <w:szCs w:val="30"/>
        </w:rPr>
        <w:t>（8）提前终止</w:t>
      </w:r>
    </w:p>
    <w:p w14:paraId="719EA71B">
      <w:pPr>
        <w:adjustRightInd w:val="0"/>
        <w:snapToGrid w:val="0"/>
        <w:spacing w:line="600" w:lineRule="exact"/>
        <w:ind w:firstLine="600"/>
        <w:rPr>
          <w:rFonts w:ascii="仿宋_GB2312" w:hAnsi="Calibri" w:eastAsia="仿宋_GB2312"/>
          <w:kern w:val="0"/>
          <w:sz w:val="30"/>
          <w:szCs w:val="30"/>
        </w:rPr>
      </w:pPr>
      <w:r>
        <w:rPr>
          <w:rFonts w:hint="eastAsia" w:ascii="仿宋_GB2312" w:hAnsi="Calibri" w:eastAsia="仿宋_GB2312"/>
          <w:kern w:val="0"/>
          <w:sz w:val="30"/>
          <w:szCs w:val="30"/>
        </w:rPr>
        <w:t>三方回购存续期间，经回购双方协商一致可以提前终止，交易一方可以发起提前终止申报，并由对手方确认。提前终止申报须填写提前终止的结算金额和对应的提前终止利率。初期，提前终止结算金额不得低于回购的成交金额，暂不支持部分提前终止。</w:t>
      </w:r>
    </w:p>
    <w:p w14:paraId="2BD80CA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提交终止申报的具体要素及要素说明如下：</w:t>
      </w:r>
    </w:p>
    <w:tbl>
      <w:tblPr>
        <w:tblStyle w:val="43"/>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3"/>
        <w:gridCol w:w="5203"/>
      </w:tblGrid>
      <w:tr w14:paraId="25EF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2AFE01">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971" w:type="pct"/>
          </w:tcPr>
          <w:p w14:paraId="6E286F21">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AA7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7A57AA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971" w:type="pct"/>
          </w:tcPr>
          <w:p w14:paraId="5624CF93">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818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1D08A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提前终止回购利率</w:t>
            </w:r>
          </w:p>
        </w:tc>
        <w:tc>
          <w:tcPr>
            <w:tcW w:w="2971" w:type="pct"/>
          </w:tcPr>
          <w:p w14:paraId="729F9089">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2182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56105AF0">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971" w:type="pct"/>
          </w:tcPr>
          <w:p w14:paraId="60BA1DD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0703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1FC6FA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971" w:type="pct"/>
          </w:tcPr>
          <w:p w14:paraId="4B6B54D4">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69D7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04CFB3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971" w:type="pct"/>
          </w:tcPr>
          <w:p w14:paraId="6C19A9FE">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105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FD6AA0B">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971" w:type="pct"/>
          </w:tcPr>
          <w:p w14:paraId="4B409DC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781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6AB158AF">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971" w:type="pct"/>
          </w:tcPr>
          <w:p w14:paraId="6D78157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2E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0BCA013">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971" w:type="pct"/>
          </w:tcPr>
          <w:p w14:paraId="5E9BD4F1">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7AB8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8792C7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971" w:type="pct"/>
          </w:tcPr>
          <w:p w14:paraId="1B3F8C7B">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0D04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6E275740">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971" w:type="pct"/>
          </w:tcPr>
          <w:p w14:paraId="5AD739A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486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05D7D379">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971" w:type="pct"/>
          </w:tcPr>
          <w:p w14:paraId="1AF297F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3E3C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BC380B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2971" w:type="pct"/>
          </w:tcPr>
          <w:p w14:paraId="07855F72">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19BC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7E59F0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提前终止回购利息</w:t>
            </w:r>
          </w:p>
        </w:tc>
        <w:tc>
          <w:tcPr>
            <w:tcW w:w="2971" w:type="pct"/>
          </w:tcPr>
          <w:p w14:paraId="15B752B5">
            <w:pPr>
              <w:adjustRightInd w:val="0"/>
              <w:snapToGrid w:val="0"/>
              <w:rPr>
                <w:rFonts w:ascii="仿宋_GB2312" w:eastAsia="仿宋_GB2312"/>
                <w:kern w:val="0"/>
                <w:sz w:val="24"/>
                <w:szCs w:val="24"/>
              </w:rPr>
            </w:pPr>
            <w:r>
              <w:rPr>
                <w:rFonts w:hint="eastAsia" w:ascii="仿宋_GB2312" w:eastAsia="仿宋_GB2312"/>
                <w:kern w:val="0"/>
                <w:sz w:val="24"/>
                <w:szCs w:val="24"/>
              </w:rPr>
              <w:t>提前终止后正回购实际支付给逆回购方的利息，自动显示，无需输入</w:t>
            </w:r>
          </w:p>
        </w:tc>
      </w:tr>
      <w:tr w14:paraId="40EB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45092F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2971" w:type="pct"/>
          </w:tcPr>
          <w:p w14:paraId="6180F347">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6AC4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4BBBA30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提前终止结算金额</w:t>
            </w:r>
          </w:p>
        </w:tc>
        <w:tc>
          <w:tcPr>
            <w:tcW w:w="2971" w:type="pct"/>
          </w:tcPr>
          <w:p w14:paraId="28E30FE5">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提前终止日正回购方返回的金额合计，自动显示，无需输入</w:t>
            </w:r>
          </w:p>
        </w:tc>
      </w:tr>
      <w:tr w14:paraId="2879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098D5B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2971" w:type="pct"/>
          </w:tcPr>
          <w:p w14:paraId="6EE59D5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r w14:paraId="778B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2308C6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971" w:type="pct"/>
          </w:tcPr>
          <w:p w14:paraId="46A64C8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7ED2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00FCB2D">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971" w:type="pct"/>
          </w:tcPr>
          <w:p w14:paraId="101797F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18EE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1F1AB40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971" w:type="pct"/>
          </w:tcPr>
          <w:p w14:paraId="5D1850E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3740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E0B776C">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2971" w:type="pct"/>
          </w:tcPr>
          <w:p w14:paraId="4540BDDB">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提前终止日期，自动显示，无需输入</w:t>
            </w:r>
          </w:p>
        </w:tc>
      </w:tr>
      <w:tr w14:paraId="58C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2459B3C">
            <w:pPr>
              <w:adjustRightInd w:val="0"/>
              <w:snapToGrid w:val="0"/>
              <w:rPr>
                <w:rFonts w:ascii="仿宋_GB2312" w:eastAsia="仿宋_GB2312"/>
                <w:b/>
                <w:kern w:val="0"/>
                <w:sz w:val="24"/>
                <w:szCs w:val="24"/>
              </w:rPr>
            </w:pPr>
            <w:r>
              <w:rPr>
                <w:rFonts w:hint="eastAsia" w:ascii="仿宋_GB2312" w:eastAsia="仿宋_GB2312"/>
                <w:b/>
                <w:kern w:val="0"/>
                <w:sz w:val="24"/>
                <w:szCs w:val="24"/>
              </w:rPr>
              <w:t>终止后实际占款天数</w:t>
            </w:r>
          </w:p>
        </w:tc>
        <w:tc>
          <w:tcPr>
            <w:tcW w:w="2971" w:type="pct"/>
          </w:tcPr>
          <w:p w14:paraId="10B9B0C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bl>
    <w:p w14:paraId="7EBC81E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bookmarkStart w:id="1943" w:name="_Toc499850059"/>
      <w:bookmarkEnd w:id="1943"/>
      <w:bookmarkStart w:id="1944" w:name="_Toc501542019"/>
      <w:bookmarkEnd w:id="1944"/>
      <w:bookmarkStart w:id="1945" w:name="_Toc501542020"/>
      <w:bookmarkEnd w:id="1945"/>
      <w:bookmarkStart w:id="1946" w:name="_Toc501552794"/>
      <w:bookmarkEnd w:id="1946"/>
      <w:bookmarkStart w:id="1947" w:name="_Toc499850238"/>
      <w:bookmarkEnd w:id="1947"/>
      <w:bookmarkStart w:id="1948" w:name="_Toc499850058"/>
      <w:bookmarkEnd w:id="1948"/>
      <w:bookmarkStart w:id="1949" w:name="_Toc501542018"/>
      <w:bookmarkEnd w:id="1949"/>
      <w:bookmarkStart w:id="1950" w:name="_Toc499850063"/>
      <w:bookmarkEnd w:id="1950"/>
      <w:bookmarkStart w:id="1951" w:name="_Toc499850245"/>
      <w:bookmarkEnd w:id="1951"/>
      <w:bookmarkStart w:id="1952" w:name="_Toc501552796"/>
      <w:bookmarkEnd w:id="1952"/>
      <w:bookmarkStart w:id="1953" w:name="_Toc499850242"/>
      <w:bookmarkEnd w:id="1953"/>
      <w:bookmarkStart w:id="1954" w:name="_Toc499850067"/>
      <w:bookmarkEnd w:id="1954"/>
      <w:bookmarkStart w:id="1955" w:name="_Toc501542016"/>
      <w:bookmarkEnd w:id="1955"/>
      <w:bookmarkStart w:id="1956" w:name="_Toc499850057"/>
      <w:bookmarkEnd w:id="1956"/>
      <w:bookmarkStart w:id="1957" w:name="_Toc499850066"/>
      <w:bookmarkEnd w:id="1957"/>
      <w:bookmarkStart w:id="1958" w:name="_Toc501552795"/>
      <w:bookmarkEnd w:id="1958"/>
      <w:bookmarkStart w:id="1959" w:name="_Toc501552792"/>
      <w:bookmarkEnd w:id="1959"/>
      <w:bookmarkStart w:id="1960" w:name="_Toc499850060"/>
      <w:bookmarkEnd w:id="1960"/>
      <w:bookmarkStart w:id="1961" w:name="_Toc499850246"/>
      <w:bookmarkEnd w:id="1961"/>
      <w:bookmarkStart w:id="1962" w:name="_Toc499850237"/>
      <w:bookmarkEnd w:id="1962"/>
      <w:bookmarkStart w:id="1963" w:name="_Toc499850239"/>
      <w:bookmarkEnd w:id="1963"/>
      <w:bookmarkStart w:id="1964" w:name="_Toc501542017"/>
      <w:bookmarkEnd w:id="1964"/>
      <w:bookmarkStart w:id="1965" w:name="_Toc499850065"/>
      <w:bookmarkEnd w:id="1965"/>
      <w:bookmarkStart w:id="1966" w:name="_Toc499850243"/>
      <w:bookmarkEnd w:id="1966"/>
      <w:bookmarkStart w:id="1967" w:name="_Toc499850061"/>
      <w:bookmarkEnd w:id="1967"/>
      <w:bookmarkStart w:id="1968" w:name="_Toc499850240"/>
      <w:bookmarkEnd w:id="1968"/>
      <w:bookmarkStart w:id="1969" w:name="_Toc499850247"/>
      <w:bookmarkEnd w:id="1969"/>
      <w:bookmarkStart w:id="1970" w:name="_Toc501552793"/>
      <w:bookmarkEnd w:id="1970"/>
      <w:bookmarkStart w:id="1971" w:name="_Toc499850241"/>
      <w:bookmarkEnd w:id="1971"/>
      <w:bookmarkStart w:id="1972" w:name="_Toc499850062"/>
      <w:bookmarkEnd w:id="1972"/>
    </w:p>
    <w:p w14:paraId="5AAAEE8F">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（1）担保品价值计算</w:t>
      </w:r>
    </w:p>
    <w:p w14:paraId="0CDB15B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本所、证券登记结算机构逐日计算每笔三方回购交易担保品的担保价值，并通过固定收益平台向交易双方展示，便于回购双方进行逐日盯市。</w:t>
      </w:r>
    </w:p>
    <w:p w14:paraId="0BD5B131">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本所根据评级公司提交的债券评级信息每日更新各质押券篮子的债券清单。证券登记结算机构根据本所提供的各篮子债券清单、折扣率以及中证债券估值于每日闭市后核算每笔未到期及已到期未了结三方回购各只质押券的担保价值，并于日终发送至本所。固定收益平台向回购双方展示每笔回购的质押券担保价值。</w:t>
      </w:r>
    </w:p>
    <w:p w14:paraId="664D717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w:t>
      </w:r>
      <w:r>
        <w:rPr>
          <w:rFonts w:ascii="仿宋_GB2312" w:hAnsi="Calibri" w:eastAsia="仿宋_GB2312"/>
          <w:kern w:val="0"/>
          <w:sz w:val="30"/>
          <w:szCs w:val="30"/>
        </w:rPr>
        <w:t xml:space="preserve"> </w:t>
      </w:r>
      <w:r>
        <w:rPr>
          <w:rFonts w:hint="eastAsia" w:ascii="仿宋_GB2312" w:hAnsi="Calibri" w:eastAsia="仿宋_GB2312"/>
          <w:kern w:val="0"/>
          <w:sz w:val="30"/>
          <w:szCs w:val="30"/>
        </w:rPr>
        <w:t>质押券</w:t>
      </w:r>
      <w:r>
        <w:rPr>
          <w:rFonts w:ascii="仿宋_GB2312" w:hAnsi="Calibri" w:eastAsia="仿宋_GB2312"/>
          <w:kern w:val="0"/>
          <w:sz w:val="30"/>
          <w:szCs w:val="30"/>
        </w:rPr>
        <w:t>i</w:t>
      </w:r>
      <w:r>
        <w:rPr>
          <w:rFonts w:hint="eastAsia" w:ascii="仿宋_GB2312" w:hAnsi="Calibri" w:eastAsia="仿宋_GB2312"/>
          <w:kern w:val="0"/>
          <w:sz w:val="30"/>
          <w:szCs w:val="30"/>
        </w:rPr>
        <w:t>的全价估值×质押</w:t>
      </w:r>
      <w:r>
        <w:rPr>
          <w:rFonts w:ascii="仿宋_GB2312" w:hAnsi="Calibri" w:eastAsia="仿宋_GB2312"/>
          <w:kern w:val="0"/>
          <w:sz w:val="30"/>
          <w:szCs w:val="30"/>
        </w:rPr>
        <w:t>i</w:t>
      </w:r>
      <w:r>
        <w:rPr>
          <w:rFonts w:hint="eastAsia" w:ascii="仿宋_GB2312" w:hAnsi="Calibri" w:eastAsia="仿宋_GB2312"/>
          <w:kern w:val="0"/>
          <w:sz w:val="30"/>
          <w:szCs w:val="30"/>
        </w:rPr>
        <w:t>数量价估×（1－质押券</w:t>
      </w:r>
      <w:r>
        <w:rPr>
          <w:rFonts w:ascii="仿宋_GB2312" w:hAnsi="Calibri" w:eastAsia="仿宋_GB2312"/>
          <w:kern w:val="0"/>
          <w:sz w:val="30"/>
          <w:szCs w:val="30"/>
        </w:rPr>
        <w:t>i</w:t>
      </w:r>
      <w:r>
        <w:rPr>
          <w:rFonts w:hint="eastAsia" w:ascii="仿宋_GB2312" w:hAnsi="Calibri" w:eastAsia="仿宋_GB2312"/>
          <w:kern w:val="0"/>
          <w:sz w:val="30"/>
          <w:szCs w:val="30"/>
        </w:rPr>
        <w:t>的折扣率%）×10。</w:t>
      </w:r>
    </w:p>
    <w:p w14:paraId="2F0D4FA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担保价值计算时，需注意以下事项：</w:t>
      </w:r>
    </w:p>
    <w:p w14:paraId="50C81AC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1）数量单位为千元面额,估值采用的是T-2日收盘后中证指数有限公司发布的中证估值（全价估值），并根据质押券T-1日的债券评级确定其所属的质押券篮子，从而确定其适用的折扣率。</w:t>
      </w:r>
    </w:p>
    <w:p w14:paraId="51681D2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2）</w:t>
      </w:r>
      <w:r>
        <w:rPr>
          <w:rFonts w:ascii="仿宋_GB2312" w:hAnsi="Calibri" w:eastAsia="仿宋_GB2312"/>
          <w:kern w:val="0"/>
          <w:sz w:val="30"/>
          <w:szCs w:val="30"/>
        </w:rPr>
        <w:t xml:space="preserve"> </w:t>
      </w:r>
      <w:r>
        <w:rPr>
          <w:rFonts w:hint="eastAsia" w:ascii="仿宋_GB2312" w:hAnsi="Calibri" w:eastAsia="仿宋_GB2312"/>
          <w:kern w:val="0"/>
          <w:sz w:val="30"/>
          <w:szCs w:val="30"/>
        </w:rPr>
        <w:t>发生</w:t>
      </w:r>
      <w:r>
        <w:rPr>
          <w:rFonts w:hint="eastAsia" w:ascii="仿宋_GB2312" w:hAnsi="Calibri" w:eastAsia="仿宋_GB2312"/>
          <w:color w:val="000000"/>
          <w:sz w:val="30"/>
          <w:szCs w:val="30"/>
        </w:rPr>
        <w:t>提前赎回或到期兑付的，质押券的赎回款或兑付资金，其担保价值</w:t>
      </w:r>
      <w:r>
        <w:rPr>
          <w:rFonts w:hint="eastAsia" w:ascii="仿宋_GB2312" w:hAnsi="Calibri" w:eastAsia="仿宋_GB2312"/>
          <w:kern w:val="0"/>
          <w:sz w:val="30"/>
          <w:szCs w:val="30"/>
        </w:rPr>
        <w:t>固定收益平台不再计算，</w:t>
      </w:r>
      <w:r>
        <w:rPr>
          <w:rFonts w:hint="eastAsia" w:ascii="仿宋_GB2312" w:hAnsi="Calibri" w:eastAsia="仿宋_GB2312"/>
          <w:color w:val="000000"/>
          <w:sz w:val="30"/>
          <w:szCs w:val="30"/>
        </w:rPr>
        <w:t>由回购双方自行跟踪。</w:t>
      </w:r>
    </w:p>
    <w:p w14:paraId="573A3EA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3）担保品债券评级或资质发生变化，导致其被剔出篮子或不再符合质押券篮子要求的，</w:t>
      </w:r>
      <w:r>
        <w:rPr>
          <w:rFonts w:hint="eastAsia" w:ascii="仿宋_GB2312" w:hAnsi="Calibri" w:eastAsia="仿宋_GB2312"/>
          <w:color w:val="000000"/>
          <w:sz w:val="30"/>
          <w:szCs w:val="30"/>
        </w:rPr>
        <w:t>本所</w:t>
      </w:r>
      <w:r>
        <w:rPr>
          <w:rFonts w:hint="eastAsia" w:ascii="仿宋_GB2312" w:hAnsi="Calibri" w:eastAsia="仿宋_GB2312"/>
          <w:kern w:val="0"/>
          <w:sz w:val="30"/>
          <w:szCs w:val="30"/>
        </w:rPr>
        <w:t>固定收益平台不再将其计入</w:t>
      </w:r>
      <w:r>
        <w:rPr>
          <w:rFonts w:hint="eastAsia" w:ascii="仿宋_GB2312" w:hAnsi="Calibri" w:eastAsia="仿宋_GB2312"/>
          <w:color w:val="000000"/>
          <w:sz w:val="30"/>
          <w:szCs w:val="30"/>
        </w:rPr>
        <w:t xml:space="preserve">担保价值。    </w:t>
      </w:r>
    </w:p>
    <w:p w14:paraId="5A531909">
      <w:pPr>
        <w:spacing w:line="600" w:lineRule="exact"/>
        <w:ind w:left="567"/>
        <w:outlineLvl w:val="3"/>
        <w:rPr>
          <w:rFonts w:ascii="仿宋_GB2312" w:eastAsia="仿宋_GB2312"/>
          <w:b/>
          <w:sz w:val="30"/>
          <w:szCs w:val="30"/>
        </w:rPr>
      </w:pPr>
      <w:r>
        <w:rPr>
          <w:rFonts w:hint="eastAsia" w:ascii="仿宋_GB2312" w:eastAsia="仿宋_GB2312"/>
          <w:b/>
          <w:sz w:val="30"/>
          <w:szCs w:val="30"/>
        </w:rPr>
        <w:t>（2）换券</w:t>
      </w:r>
    </w:p>
    <w:p w14:paraId="2B5934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color w:val="000000"/>
          <w:sz w:val="30"/>
          <w:szCs w:val="30"/>
        </w:rPr>
        <w:t>三方回购存续期间</w:t>
      </w:r>
      <w:r>
        <w:rPr>
          <w:rFonts w:hint="eastAsia" w:ascii="仿宋_GB2312" w:hAnsi="Calibri" w:eastAsia="仿宋_GB2312"/>
          <w:sz w:val="30"/>
          <w:szCs w:val="30"/>
        </w:rPr>
        <w:t>（不含首次交易日和回购到期日）</w:t>
      </w:r>
      <w:r>
        <w:rPr>
          <w:rFonts w:hint="eastAsia" w:ascii="仿宋_GB2312" w:hAnsi="Calibri" w:eastAsia="仿宋_GB2312"/>
          <w:color w:val="000000"/>
          <w:sz w:val="30"/>
          <w:szCs w:val="30"/>
        </w:rPr>
        <w:t>，回购双方协商一致后可以通过</w:t>
      </w:r>
      <w:r>
        <w:rPr>
          <w:rFonts w:hint="eastAsia" w:ascii="仿宋_GB2312" w:hAnsi="Calibri" w:eastAsia="仿宋_GB2312"/>
          <w:kern w:val="0"/>
          <w:sz w:val="30"/>
          <w:szCs w:val="30"/>
        </w:rPr>
        <w:t>固定收益平台</w:t>
      </w:r>
      <w:r>
        <w:rPr>
          <w:rFonts w:hint="eastAsia" w:ascii="仿宋_GB2312" w:hAnsi="Calibri" w:eastAsia="仿宋_GB2312"/>
          <w:color w:val="000000"/>
          <w:sz w:val="30"/>
          <w:szCs w:val="30"/>
        </w:rPr>
        <w:t>申报质押券变更。</w:t>
      </w:r>
      <w:r>
        <w:rPr>
          <w:rFonts w:hint="eastAsia" w:ascii="仿宋_GB2312" w:hAnsi="Calibri" w:eastAsia="仿宋_GB2312"/>
          <w:sz w:val="30"/>
          <w:szCs w:val="30"/>
        </w:rPr>
        <w:t>正回购方发起换券申报，经对手方确认后，可实现质押券替换。</w:t>
      </w:r>
    </w:p>
    <w:p w14:paraId="1B896C4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换券申报的具体要素及要素说明如下：</w:t>
      </w:r>
    </w:p>
    <w:tbl>
      <w:tblPr>
        <w:tblStyle w:val="43"/>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5669"/>
      </w:tblGrid>
      <w:tr w14:paraId="2988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4C756C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91" w:type="pct"/>
          </w:tcPr>
          <w:p w14:paraId="3B3C111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A0E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7D060DBA">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318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5A699CE">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换出质押券代码</w:t>
            </w:r>
          </w:p>
        </w:tc>
        <w:tc>
          <w:tcPr>
            <w:tcW w:w="3291" w:type="pct"/>
          </w:tcPr>
          <w:p w14:paraId="53B6A8A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换出质押券代码</w:t>
            </w:r>
          </w:p>
        </w:tc>
      </w:tr>
      <w:tr w14:paraId="3E36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6FF7125A">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换出质押券数量</w:t>
            </w:r>
          </w:p>
        </w:tc>
        <w:tc>
          <w:tcPr>
            <w:tcW w:w="3291" w:type="pct"/>
          </w:tcPr>
          <w:p w14:paraId="678EE4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1CE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1CA8910">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换入质押券代码</w:t>
            </w:r>
          </w:p>
        </w:tc>
        <w:tc>
          <w:tcPr>
            <w:tcW w:w="3291" w:type="pct"/>
          </w:tcPr>
          <w:p w14:paraId="5541EDD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换入质押券代码</w:t>
            </w:r>
          </w:p>
        </w:tc>
      </w:tr>
      <w:tr w14:paraId="2893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46FAB95B">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换入质押券数量</w:t>
            </w:r>
          </w:p>
        </w:tc>
        <w:tc>
          <w:tcPr>
            <w:tcW w:w="3291" w:type="pct"/>
          </w:tcPr>
          <w:p w14:paraId="47DB25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5FA3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7147D098">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291" w:type="pct"/>
          </w:tcPr>
          <w:p w14:paraId="6198470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36C1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1A5A777">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换出质押券简称</w:t>
            </w:r>
          </w:p>
        </w:tc>
        <w:tc>
          <w:tcPr>
            <w:tcW w:w="3291" w:type="pct"/>
          </w:tcPr>
          <w:p w14:paraId="7282E27B">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换出质押券简称，自动显示，无需输入</w:t>
            </w:r>
          </w:p>
        </w:tc>
      </w:tr>
      <w:tr w14:paraId="74B7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495B06C">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换出质押券所属篮子</w:t>
            </w:r>
          </w:p>
        </w:tc>
        <w:tc>
          <w:tcPr>
            <w:tcW w:w="3291" w:type="pct"/>
          </w:tcPr>
          <w:p w14:paraId="7C5425E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换出质押券所属篮子，自动显示，无需输入</w:t>
            </w:r>
          </w:p>
        </w:tc>
      </w:tr>
      <w:tr w14:paraId="4E67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3EE8922">
            <w:pPr>
              <w:adjustRightInd w:val="0"/>
              <w:snapToGrid w:val="0"/>
              <w:rPr>
                <w:rFonts w:ascii="仿宋_GB2312" w:eastAsia="仿宋_GB2312"/>
                <w:b/>
                <w:kern w:val="0"/>
                <w:sz w:val="24"/>
                <w:szCs w:val="24"/>
              </w:rPr>
            </w:pPr>
            <w:r>
              <w:rPr>
                <w:rFonts w:hint="eastAsia" w:ascii="仿宋_GB2312" w:eastAsia="仿宋_GB2312"/>
                <w:b/>
                <w:kern w:val="0"/>
                <w:sz w:val="24"/>
                <w:szCs w:val="24"/>
              </w:rPr>
              <w:t>换出折扣率</w:t>
            </w:r>
          </w:p>
        </w:tc>
        <w:tc>
          <w:tcPr>
            <w:tcW w:w="3291" w:type="pct"/>
          </w:tcPr>
          <w:p w14:paraId="4295108D">
            <w:pPr>
              <w:adjustRightInd w:val="0"/>
              <w:snapToGrid w:val="0"/>
              <w:rPr>
                <w:rFonts w:ascii="仿宋_GB2312" w:eastAsia="仿宋_GB2312"/>
                <w:kern w:val="0"/>
                <w:sz w:val="24"/>
                <w:szCs w:val="24"/>
              </w:rPr>
            </w:pPr>
            <w:r>
              <w:rPr>
                <w:rFonts w:hint="eastAsia" w:ascii="仿宋_GB2312" w:eastAsia="仿宋_GB2312"/>
                <w:kern w:val="0"/>
                <w:sz w:val="24"/>
                <w:szCs w:val="24"/>
              </w:rPr>
              <w:t>换出质押券原有回购折扣率，自动显示，无需输入</w:t>
            </w:r>
          </w:p>
        </w:tc>
      </w:tr>
      <w:tr w14:paraId="7B5A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FD8223C">
            <w:pPr>
              <w:adjustRightInd w:val="0"/>
              <w:snapToGrid w:val="0"/>
              <w:rPr>
                <w:rFonts w:ascii="仿宋_GB2312" w:eastAsia="仿宋_GB2312"/>
                <w:b/>
                <w:kern w:val="0"/>
                <w:sz w:val="24"/>
                <w:szCs w:val="24"/>
              </w:rPr>
            </w:pPr>
            <w:r>
              <w:rPr>
                <w:rFonts w:hint="eastAsia" w:ascii="仿宋_GB2312" w:eastAsia="仿宋_GB2312"/>
                <w:b/>
                <w:kern w:val="0"/>
                <w:sz w:val="24"/>
                <w:szCs w:val="24"/>
              </w:rPr>
              <w:t>换出全价估值</w:t>
            </w:r>
          </w:p>
        </w:tc>
        <w:tc>
          <w:tcPr>
            <w:tcW w:w="3291" w:type="pct"/>
          </w:tcPr>
          <w:p w14:paraId="4B423C18">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换出质押券的当前全价估值，自动显示，无需输入</w:t>
            </w:r>
          </w:p>
        </w:tc>
      </w:tr>
      <w:tr w14:paraId="29E5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E68436E">
            <w:pPr>
              <w:adjustRightInd w:val="0"/>
              <w:snapToGrid w:val="0"/>
              <w:rPr>
                <w:rFonts w:ascii="仿宋_GB2312" w:eastAsia="仿宋_GB2312"/>
                <w:b/>
                <w:kern w:val="0"/>
                <w:sz w:val="24"/>
                <w:szCs w:val="24"/>
              </w:rPr>
            </w:pPr>
            <w:r>
              <w:rPr>
                <w:rFonts w:hint="eastAsia" w:ascii="仿宋_GB2312" w:eastAsia="仿宋_GB2312"/>
                <w:b/>
                <w:kern w:val="0"/>
                <w:sz w:val="24"/>
                <w:szCs w:val="24"/>
              </w:rPr>
              <w:t>换出债券担保价值</w:t>
            </w:r>
          </w:p>
        </w:tc>
        <w:tc>
          <w:tcPr>
            <w:tcW w:w="3291" w:type="pct"/>
          </w:tcPr>
          <w:p w14:paraId="01D544A1">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换出质押债券的担保价值，自动显示，无需输入</w:t>
            </w:r>
          </w:p>
        </w:tc>
      </w:tr>
      <w:tr w14:paraId="1AAB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690E2BF">
            <w:pPr>
              <w:adjustRightInd w:val="0"/>
              <w:snapToGrid w:val="0"/>
              <w:rPr>
                <w:rFonts w:ascii="仿宋_GB2312" w:eastAsia="仿宋_GB2312"/>
                <w:b/>
                <w:kern w:val="0"/>
                <w:sz w:val="24"/>
                <w:szCs w:val="24"/>
              </w:rPr>
            </w:pPr>
            <w:r>
              <w:rPr>
                <w:rFonts w:hint="eastAsia" w:ascii="仿宋_GB2312" w:eastAsia="仿宋_GB2312"/>
                <w:b/>
                <w:kern w:val="0"/>
                <w:sz w:val="24"/>
                <w:szCs w:val="24"/>
              </w:rPr>
              <w:t>换出担保价值合计</w:t>
            </w:r>
          </w:p>
        </w:tc>
        <w:tc>
          <w:tcPr>
            <w:tcW w:w="3291" w:type="pct"/>
          </w:tcPr>
          <w:p w14:paraId="4613C055">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换出质押债券的担保价值合计，自动显示，无需输入</w:t>
            </w:r>
          </w:p>
        </w:tc>
      </w:tr>
      <w:tr w14:paraId="18A2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88143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换入质押券简称</w:t>
            </w:r>
          </w:p>
        </w:tc>
        <w:tc>
          <w:tcPr>
            <w:tcW w:w="3291" w:type="pct"/>
          </w:tcPr>
          <w:p w14:paraId="63B8981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换入质押券简称，自动显示，无需输入</w:t>
            </w:r>
          </w:p>
        </w:tc>
      </w:tr>
      <w:tr w14:paraId="53E1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461C5A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换入质押券所属篮子</w:t>
            </w:r>
          </w:p>
        </w:tc>
        <w:tc>
          <w:tcPr>
            <w:tcW w:w="3291" w:type="pct"/>
          </w:tcPr>
          <w:p w14:paraId="6E9D8628">
            <w:pPr>
              <w:adjustRightInd w:val="0"/>
              <w:snapToGrid w:val="0"/>
              <w:rPr>
                <w:rFonts w:ascii="仿宋_GB2312" w:eastAsia="仿宋_GB2312"/>
                <w:kern w:val="0"/>
                <w:sz w:val="24"/>
                <w:szCs w:val="24"/>
              </w:rPr>
            </w:pPr>
            <w:r>
              <w:rPr>
                <w:rFonts w:hint="eastAsia" w:ascii="仿宋_GB2312" w:eastAsia="仿宋_GB2312"/>
                <w:kern w:val="0"/>
                <w:sz w:val="24"/>
                <w:szCs w:val="24"/>
              </w:rPr>
              <w:t>换入质押券所属篮子，自动显示，无需输入</w:t>
            </w:r>
          </w:p>
        </w:tc>
      </w:tr>
      <w:tr w14:paraId="2836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528EDBC">
            <w:pPr>
              <w:adjustRightInd w:val="0"/>
              <w:snapToGrid w:val="0"/>
              <w:rPr>
                <w:rFonts w:ascii="仿宋_GB2312" w:eastAsia="仿宋_GB2312"/>
                <w:b/>
                <w:kern w:val="0"/>
                <w:sz w:val="24"/>
                <w:szCs w:val="24"/>
              </w:rPr>
            </w:pPr>
            <w:r>
              <w:rPr>
                <w:rFonts w:hint="eastAsia" w:ascii="仿宋_GB2312" w:eastAsia="仿宋_GB2312"/>
                <w:b/>
                <w:kern w:val="0"/>
                <w:sz w:val="24"/>
                <w:szCs w:val="24"/>
              </w:rPr>
              <w:t>换入折扣率</w:t>
            </w:r>
          </w:p>
        </w:tc>
        <w:tc>
          <w:tcPr>
            <w:tcW w:w="3291" w:type="pct"/>
          </w:tcPr>
          <w:p w14:paraId="340D5610">
            <w:pPr>
              <w:adjustRightInd w:val="0"/>
              <w:snapToGrid w:val="0"/>
              <w:rPr>
                <w:rFonts w:ascii="仿宋_GB2312" w:eastAsia="仿宋_GB2312"/>
                <w:kern w:val="0"/>
                <w:sz w:val="24"/>
                <w:szCs w:val="24"/>
              </w:rPr>
            </w:pPr>
            <w:r>
              <w:rPr>
                <w:rFonts w:hint="eastAsia" w:ascii="仿宋_GB2312" w:eastAsia="仿宋_GB2312"/>
                <w:kern w:val="0"/>
                <w:sz w:val="24"/>
                <w:szCs w:val="24"/>
              </w:rPr>
              <w:t>换入质押券原有回购折扣率，自动显示，无需输入</w:t>
            </w:r>
          </w:p>
        </w:tc>
      </w:tr>
      <w:tr w14:paraId="7436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94F8016">
            <w:pPr>
              <w:adjustRightInd w:val="0"/>
              <w:snapToGrid w:val="0"/>
              <w:rPr>
                <w:rFonts w:ascii="仿宋_GB2312" w:eastAsia="仿宋_GB2312"/>
                <w:b/>
                <w:kern w:val="0"/>
                <w:sz w:val="24"/>
                <w:szCs w:val="24"/>
              </w:rPr>
            </w:pPr>
            <w:r>
              <w:rPr>
                <w:rFonts w:hint="eastAsia" w:ascii="仿宋_GB2312" w:eastAsia="仿宋_GB2312"/>
                <w:b/>
                <w:kern w:val="0"/>
                <w:sz w:val="24"/>
                <w:szCs w:val="24"/>
              </w:rPr>
              <w:t>换入全价估值</w:t>
            </w:r>
          </w:p>
        </w:tc>
        <w:tc>
          <w:tcPr>
            <w:tcW w:w="3291" w:type="pct"/>
          </w:tcPr>
          <w:p w14:paraId="40563151">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换入质押券的当前全价估值，自动显示，无需输入</w:t>
            </w:r>
          </w:p>
        </w:tc>
      </w:tr>
      <w:tr w14:paraId="0FEC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C39EC67">
            <w:pPr>
              <w:adjustRightInd w:val="0"/>
              <w:snapToGrid w:val="0"/>
              <w:rPr>
                <w:rFonts w:ascii="仿宋_GB2312" w:eastAsia="仿宋_GB2312"/>
                <w:b/>
                <w:kern w:val="0"/>
                <w:sz w:val="24"/>
                <w:szCs w:val="24"/>
              </w:rPr>
            </w:pPr>
            <w:r>
              <w:rPr>
                <w:rFonts w:hint="eastAsia" w:ascii="仿宋_GB2312" w:eastAsia="仿宋_GB2312"/>
                <w:b/>
                <w:kern w:val="0"/>
                <w:sz w:val="24"/>
                <w:szCs w:val="24"/>
              </w:rPr>
              <w:t>换入债券担保价值</w:t>
            </w:r>
          </w:p>
        </w:tc>
        <w:tc>
          <w:tcPr>
            <w:tcW w:w="3291" w:type="pct"/>
          </w:tcPr>
          <w:p w14:paraId="1E8E5E92">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换入质押债券的担保价值，自动显示，无需输入</w:t>
            </w:r>
          </w:p>
        </w:tc>
      </w:tr>
      <w:tr w14:paraId="63A0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99875AE">
            <w:pPr>
              <w:adjustRightInd w:val="0"/>
              <w:snapToGrid w:val="0"/>
              <w:rPr>
                <w:rFonts w:ascii="仿宋_GB2312" w:eastAsia="仿宋_GB2312"/>
                <w:b/>
                <w:kern w:val="0"/>
                <w:sz w:val="24"/>
                <w:szCs w:val="24"/>
              </w:rPr>
            </w:pPr>
            <w:r>
              <w:rPr>
                <w:rFonts w:hint="eastAsia" w:ascii="仿宋_GB2312" w:eastAsia="仿宋_GB2312"/>
                <w:b/>
                <w:kern w:val="0"/>
                <w:sz w:val="24"/>
                <w:szCs w:val="24"/>
              </w:rPr>
              <w:t>换入担保价值合计</w:t>
            </w:r>
          </w:p>
        </w:tc>
        <w:tc>
          <w:tcPr>
            <w:tcW w:w="3291" w:type="pct"/>
          </w:tcPr>
          <w:p w14:paraId="6AF803C9">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换入质押债券的担保价值合计，自动显示，无需输入</w:t>
            </w:r>
          </w:p>
        </w:tc>
      </w:tr>
      <w:tr w14:paraId="74D0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505D58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91" w:type="pct"/>
          </w:tcPr>
          <w:p w14:paraId="452F48AA">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7182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51B4A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291" w:type="pct"/>
          </w:tcPr>
          <w:p w14:paraId="505CA292">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608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1F567D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291" w:type="pct"/>
          </w:tcPr>
          <w:p w14:paraId="411F884B">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048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277E8CAC">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F3A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CEE9BE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91" w:type="pct"/>
          </w:tcPr>
          <w:p w14:paraId="77D4DF47">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2158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136096A">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91" w:type="pct"/>
          </w:tcPr>
          <w:p w14:paraId="3A8BEB46">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76DB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09AF98C">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91" w:type="pct"/>
          </w:tcPr>
          <w:p w14:paraId="2BF8505A">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24F2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9CE0193">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291" w:type="pct"/>
          </w:tcPr>
          <w:p w14:paraId="7DE8B3E2">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5DC5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7F169B9B">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291" w:type="pct"/>
          </w:tcPr>
          <w:p w14:paraId="1A61063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165B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EA09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91" w:type="pct"/>
          </w:tcPr>
          <w:p w14:paraId="21A3B05B">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6AE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CFCC2D4">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91" w:type="pct"/>
          </w:tcPr>
          <w:p w14:paraId="38CD248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32CE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5F335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91" w:type="pct"/>
          </w:tcPr>
          <w:p w14:paraId="6F71ED9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06C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0AA95981">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291" w:type="pct"/>
          </w:tcPr>
          <w:p w14:paraId="0104986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6FE1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4C314167">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291" w:type="pct"/>
          </w:tcPr>
          <w:p w14:paraId="1AEBAA10">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成交金额×回购利率×实际占款天数/365，自动显示，无需输入，自动显示，无需输入</w:t>
            </w:r>
          </w:p>
        </w:tc>
      </w:tr>
      <w:tr w14:paraId="035E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0807B9">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291" w:type="pct"/>
          </w:tcPr>
          <w:p w14:paraId="2654540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44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D2BA4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291" w:type="pct"/>
          </w:tcPr>
          <w:p w14:paraId="6DED86D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01A8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0E2A71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291" w:type="pct"/>
          </w:tcPr>
          <w:p w14:paraId="1FDB9E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30DA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BDA24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291" w:type="pct"/>
          </w:tcPr>
          <w:p w14:paraId="171FEE1F">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0613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0083C91">
            <w:pPr>
              <w:adjustRightInd w:val="0"/>
              <w:snapToGrid w:val="0"/>
              <w:rPr>
                <w:rFonts w:ascii="仿宋_GB2312" w:eastAsia="仿宋_GB2312"/>
                <w:b/>
                <w:kern w:val="0"/>
                <w:sz w:val="24"/>
                <w:szCs w:val="24"/>
              </w:rPr>
            </w:pPr>
            <w:r>
              <w:rPr>
                <w:rFonts w:hint="eastAsia" w:ascii="仿宋_GB2312" w:eastAsia="仿宋_GB2312"/>
                <w:b/>
                <w:kern w:val="0"/>
                <w:sz w:val="24"/>
                <w:szCs w:val="24"/>
              </w:rPr>
              <w:t>换券申报日期</w:t>
            </w:r>
          </w:p>
        </w:tc>
        <w:tc>
          <w:tcPr>
            <w:tcW w:w="3291" w:type="pct"/>
          </w:tcPr>
          <w:p w14:paraId="122945A3">
            <w:pPr>
              <w:adjustRightInd w:val="0"/>
              <w:snapToGrid w:val="0"/>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423C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0E8D545">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291" w:type="pct"/>
          </w:tcPr>
          <w:p w14:paraId="295F0395">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1580B406">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sz w:val="30"/>
          <w:szCs w:val="30"/>
        </w:rPr>
        <w:t>每次换券只能替换一只债券，换入的债券和换出的债券需要指定具体数量，换入的债券需要满足回购合约的质押券篮子要求，且换入的质押券的到期日不得早于回购到期日，否则换券申报失败。若换入债券的数量为0，则表示仅进行债券的换出，不进行换入，</w:t>
      </w:r>
      <w:r>
        <w:rPr>
          <w:rFonts w:hint="eastAsia" w:ascii="仿宋_GB2312" w:hAnsi="Calibri" w:eastAsia="仿宋_GB2312"/>
          <w:color w:val="000000"/>
          <w:sz w:val="30"/>
          <w:szCs w:val="30"/>
        </w:rPr>
        <w:t>登记结算机构只对换出的质押券解除质押登记。因换入债券数量不足等原因导致变更质押登记失败的，原质押券的质押状态不变。</w:t>
      </w:r>
      <w:bookmarkStart w:id="1973" w:name="_Toc489369914"/>
      <w:bookmarkEnd w:id="1973"/>
      <w:bookmarkStart w:id="1974" w:name="_Toc489369915"/>
      <w:bookmarkEnd w:id="1974"/>
      <w:bookmarkStart w:id="1975" w:name="_Toc489369916"/>
      <w:bookmarkEnd w:id="1975"/>
      <w:bookmarkStart w:id="1976" w:name="_Toc489369977"/>
      <w:bookmarkEnd w:id="1976"/>
      <w:bookmarkStart w:id="1977" w:name="_Toc489369912"/>
      <w:bookmarkEnd w:id="1977"/>
      <w:bookmarkStart w:id="1978" w:name="_Toc489369911"/>
      <w:bookmarkEnd w:id="1978"/>
      <w:bookmarkStart w:id="1979" w:name="_Toc489369981"/>
      <w:bookmarkEnd w:id="1979"/>
      <w:bookmarkStart w:id="1980" w:name="_Toc489369980"/>
      <w:bookmarkEnd w:id="1980"/>
      <w:bookmarkStart w:id="1981" w:name="_Toc489369982"/>
      <w:bookmarkEnd w:id="1981"/>
      <w:bookmarkStart w:id="1982" w:name="_Toc489369913"/>
      <w:bookmarkEnd w:id="1982"/>
      <w:bookmarkStart w:id="1983" w:name="_Toc489369978"/>
      <w:bookmarkEnd w:id="1983"/>
      <w:bookmarkStart w:id="1984" w:name="_Toc489369979"/>
      <w:bookmarkEnd w:id="1984"/>
    </w:p>
    <w:p w14:paraId="2D296196">
      <w:pPr>
        <w:spacing w:line="600" w:lineRule="exact"/>
        <w:ind w:left="567"/>
        <w:outlineLvl w:val="3"/>
        <w:rPr>
          <w:rFonts w:ascii="仿宋_GB2312" w:eastAsia="仿宋_GB2312"/>
          <w:b/>
          <w:sz w:val="30"/>
          <w:szCs w:val="30"/>
        </w:rPr>
      </w:pPr>
      <w:r>
        <w:rPr>
          <w:rFonts w:hint="eastAsia" w:ascii="仿宋_GB2312" w:eastAsia="仿宋_GB2312"/>
          <w:b/>
          <w:sz w:val="30"/>
          <w:szCs w:val="30"/>
        </w:rPr>
        <w:t>（3）补券</w:t>
      </w:r>
    </w:p>
    <w:p w14:paraId="481D23A3">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在质押券担保价值与回购金额相比出现不足且达到一定比例（暂定为5%）时，由固定收益平台对回购双方进行提示，逆回购方有权根据主协议、补充协议及交易补充约定要求正回购方补充、变更相应的质押券或提供其他相应担保，正回购方可通过固定收益平台申报补充质押券。</w:t>
      </w:r>
    </w:p>
    <w:p w14:paraId="55AB0C2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补券申报的具体要素及要素说明如下：</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6"/>
        <w:gridCol w:w="6006"/>
      </w:tblGrid>
      <w:tr w14:paraId="24A9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BA8FFB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523" w:type="pct"/>
          </w:tcPr>
          <w:p w14:paraId="7D3BF07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CF5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6B28A79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697A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6853AF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523" w:type="pct"/>
          </w:tcPr>
          <w:p w14:paraId="0EADBF17">
            <w:pPr>
              <w:adjustRightInd w:val="0"/>
              <w:snapToGrid w:val="0"/>
              <w:rPr>
                <w:rFonts w:ascii="仿宋_GB2312" w:eastAsia="仿宋_GB2312"/>
                <w:kern w:val="0"/>
                <w:sz w:val="24"/>
                <w:szCs w:val="24"/>
              </w:rPr>
            </w:pPr>
            <w:r>
              <w:rPr>
                <w:rFonts w:hint="eastAsia" w:ascii="仿宋_GB2312" w:eastAsia="仿宋_GB2312"/>
                <w:kern w:val="0"/>
                <w:sz w:val="24"/>
                <w:szCs w:val="24"/>
              </w:rPr>
              <w:t>质押券代码</w:t>
            </w:r>
          </w:p>
        </w:tc>
      </w:tr>
      <w:tr w14:paraId="7649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73C0F50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3523" w:type="pct"/>
          </w:tcPr>
          <w:p w14:paraId="48450CCD">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70BF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09EB4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523" w:type="pct"/>
          </w:tcPr>
          <w:p w14:paraId="4FB83ACA">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C4D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BADF4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523" w:type="pct"/>
          </w:tcPr>
          <w:p w14:paraId="0945497E">
            <w:pPr>
              <w:adjustRightInd w:val="0"/>
              <w:snapToGrid w:val="0"/>
              <w:rPr>
                <w:rFonts w:ascii="仿宋_GB2312" w:eastAsia="仿宋_GB2312"/>
                <w:kern w:val="0"/>
                <w:sz w:val="24"/>
                <w:szCs w:val="24"/>
              </w:rPr>
            </w:pPr>
            <w:r>
              <w:rPr>
                <w:rFonts w:hint="eastAsia" w:ascii="仿宋_GB2312" w:eastAsia="仿宋_GB2312"/>
                <w:kern w:val="0"/>
                <w:sz w:val="24"/>
                <w:szCs w:val="24"/>
              </w:rPr>
              <w:t>质押券简称，自动显示，无需输入</w:t>
            </w:r>
          </w:p>
        </w:tc>
      </w:tr>
      <w:tr w14:paraId="6930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6924D1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3523" w:type="pct"/>
          </w:tcPr>
          <w:p w14:paraId="15C0FD70">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补充质押券所属篮子，自动显示，无需输入</w:t>
            </w:r>
          </w:p>
        </w:tc>
      </w:tr>
      <w:tr w14:paraId="4A7F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DC2E3AC">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3523" w:type="pct"/>
          </w:tcPr>
          <w:p w14:paraId="46F6C88F">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补充质押券折扣率，自动显示，无需输入</w:t>
            </w:r>
          </w:p>
        </w:tc>
      </w:tr>
      <w:tr w14:paraId="3259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65468E7">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3523" w:type="pct"/>
          </w:tcPr>
          <w:p w14:paraId="2B9F3B26">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补充质押券的全价估值，自动显示，无需输入</w:t>
            </w:r>
          </w:p>
        </w:tc>
      </w:tr>
      <w:tr w14:paraId="25C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FF32942">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3523" w:type="pct"/>
          </w:tcPr>
          <w:p w14:paraId="271EA788">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补充质押券的担保价值，自动显示，无需输入</w:t>
            </w:r>
          </w:p>
        </w:tc>
      </w:tr>
      <w:tr w14:paraId="747A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58F670">
            <w:pPr>
              <w:adjustRightInd w:val="0"/>
              <w:snapToGrid w:val="0"/>
              <w:rPr>
                <w:rFonts w:ascii="仿宋_GB2312" w:eastAsia="仿宋_GB2312"/>
                <w:b/>
                <w:kern w:val="0"/>
                <w:sz w:val="24"/>
                <w:szCs w:val="24"/>
              </w:rPr>
            </w:pPr>
            <w:r>
              <w:rPr>
                <w:rFonts w:hint="eastAsia" w:ascii="仿宋_GB2312" w:eastAsia="仿宋_GB2312"/>
                <w:b/>
                <w:kern w:val="0"/>
                <w:sz w:val="24"/>
                <w:szCs w:val="24"/>
              </w:rPr>
              <w:t>原合计担保值</w:t>
            </w:r>
          </w:p>
        </w:tc>
        <w:tc>
          <w:tcPr>
            <w:tcW w:w="3523" w:type="pct"/>
          </w:tcPr>
          <w:p w14:paraId="5642E73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原回购交易的质押券合计担保值，自动显示，无需输入</w:t>
            </w:r>
          </w:p>
        </w:tc>
      </w:tr>
      <w:tr w14:paraId="46B4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1CAC0B5">
            <w:pPr>
              <w:adjustRightInd w:val="0"/>
              <w:snapToGrid w:val="0"/>
              <w:rPr>
                <w:rFonts w:ascii="仿宋_GB2312" w:eastAsia="仿宋_GB2312"/>
                <w:b/>
                <w:kern w:val="0"/>
                <w:sz w:val="24"/>
                <w:szCs w:val="24"/>
              </w:rPr>
            </w:pPr>
            <w:r>
              <w:rPr>
                <w:rFonts w:hint="eastAsia" w:ascii="仿宋_GB2312" w:eastAsia="仿宋_GB2312"/>
                <w:b/>
                <w:kern w:val="0"/>
                <w:sz w:val="24"/>
                <w:szCs w:val="24"/>
              </w:rPr>
              <w:t>新合计担保值</w:t>
            </w:r>
          </w:p>
        </w:tc>
        <w:tc>
          <w:tcPr>
            <w:tcW w:w="3523" w:type="pct"/>
          </w:tcPr>
          <w:p w14:paraId="7793CB30">
            <w:pPr>
              <w:adjustRightInd w:val="0"/>
              <w:snapToGrid w:val="0"/>
              <w:rPr>
                <w:rFonts w:ascii="仿宋_GB2312" w:eastAsia="仿宋_GB2312"/>
                <w:kern w:val="0"/>
                <w:sz w:val="24"/>
                <w:szCs w:val="24"/>
              </w:rPr>
            </w:pPr>
            <w:r>
              <w:rPr>
                <w:rFonts w:hint="eastAsia" w:ascii="仿宋_GB2312" w:eastAsia="仿宋_GB2312"/>
                <w:kern w:val="0"/>
                <w:sz w:val="24"/>
                <w:szCs w:val="24"/>
              </w:rPr>
              <w:t>补券后质押券合计担保值，自动显示，无需输入</w:t>
            </w:r>
          </w:p>
        </w:tc>
      </w:tr>
      <w:tr w14:paraId="07AC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70E13D8">
            <w:pPr>
              <w:adjustRightInd w:val="0"/>
              <w:snapToGrid w:val="0"/>
              <w:rPr>
                <w:rFonts w:ascii="仿宋_GB2312" w:eastAsia="仿宋_GB2312"/>
                <w:b/>
                <w:kern w:val="0"/>
                <w:sz w:val="24"/>
                <w:szCs w:val="24"/>
              </w:rPr>
            </w:pPr>
            <w:r>
              <w:rPr>
                <w:rFonts w:hint="eastAsia" w:ascii="仿宋_GB2312" w:eastAsia="仿宋_GB2312"/>
                <w:b/>
                <w:kern w:val="0"/>
                <w:sz w:val="24"/>
                <w:szCs w:val="24"/>
              </w:rPr>
              <w:t>担保值差额</w:t>
            </w:r>
          </w:p>
        </w:tc>
        <w:tc>
          <w:tcPr>
            <w:tcW w:w="3523" w:type="pct"/>
          </w:tcPr>
          <w:p w14:paraId="439512D9">
            <w:pPr>
              <w:adjustRightInd w:val="0"/>
              <w:snapToGrid w:val="0"/>
              <w:rPr>
                <w:rFonts w:ascii="仿宋_GB2312" w:eastAsia="仿宋_GB2312"/>
                <w:kern w:val="0"/>
                <w:sz w:val="24"/>
                <w:szCs w:val="24"/>
              </w:rPr>
            </w:pPr>
            <w:r>
              <w:rPr>
                <w:rFonts w:hint="eastAsia" w:ascii="仿宋_GB2312" w:eastAsia="仿宋_GB2312"/>
                <w:kern w:val="0"/>
                <w:sz w:val="24"/>
                <w:szCs w:val="24"/>
              </w:rPr>
              <w:t>新合计担保值-原合计担保值，自动显示，无需输入</w:t>
            </w:r>
          </w:p>
        </w:tc>
      </w:tr>
      <w:tr w14:paraId="1B85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31EE4A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523" w:type="pct"/>
          </w:tcPr>
          <w:p w14:paraId="1A91CFBE">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A9F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4F7644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523" w:type="pct"/>
          </w:tcPr>
          <w:p w14:paraId="359C4D1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4AA5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63F6B21">
            <w:pPr>
              <w:adjustRightInd w:val="0"/>
              <w:snapToGrid w:val="0"/>
              <w:rPr>
                <w:rFonts w:ascii="仿宋_GB2312" w:eastAsia="仿宋_GB2312"/>
                <w:b/>
                <w:kern w:val="0"/>
                <w:sz w:val="24"/>
                <w:szCs w:val="24"/>
              </w:rPr>
            </w:pPr>
            <w:r>
              <w:rPr>
                <w:rFonts w:hint="eastAsia" w:ascii="仿宋_GB2312" w:eastAsia="仿宋_GB2312"/>
                <w:b/>
                <w:kern w:val="0"/>
                <w:sz w:val="24"/>
                <w:szCs w:val="24"/>
              </w:rPr>
              <w:t>补券申报日期</w:t>
            </w:r>
          </w:p>
        </w:tc>
        <w:tc>
          <w:tcPr>
            <w:tcW w:w="3523" w:type="pct"/>
          </w:tcPr>
          <w:p w14:paraId="72237D96">
            <w:pPr>
              <w:adjustRightInd w:val="0"/>
              <w:snapToGrid w:val="0"/>
              <w:rPr>
                <w:rFonts w:ascii="仿宋_GB2312" w:eastAsia="仿宋_GB2312"/>
                <w:kern w:val="0"/>
                <w:sz w:val="24"/>
                <w:szCs w:val="24"/>
              </w:rPr>
            </w:pPr>
            <w:r>
              <w:rPr>
                <w:rFonts w:hint="eastAsia" w:ascii="仿宋_GB2312" w:eastAsia="仿宋_GB2312"/>
                <w:kern w:val="0"/>
                <w:sz w:val="24"/>
                <w:szCs w:val="24"/>
              </w:rPr>
              <w:t>补券申报日期，自动显示，无需输入</w:t>
            </w:r>
          </w:p>
        </w:tc>
      </w:tr>
      <w:tr w14:paraId="21CC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8F84D6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523" w:type="pct"/>
          </w:tcPr>
          <w:p w14:paraId="778819D2">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7732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1B3018A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72D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C1E92D8">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523" w:type="pct"/>
          </w:tcPr>
          <w:p w14:paraId="77D2272D">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6DA8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428491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523" w:type="pct"/>
          </w:tcPr>
          <w:p w14:paraId="3060C88B">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25EB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B7DF47B">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523" w:type="pct"/>
          </w:tcPr>
          <w:p w14:paraId="35A59B29">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320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B78C1A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523" w:type="pct"/>
          </w:tcPr>
          <w:p w14:paraId="74428EF5">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6FCF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8917C37">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523" w:type="pct"/>
          </w:tcPr>
          <w:p w14:paraId="01E8A557">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5337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79E4FDB">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523" w:type="pct"/>
          </w:tcPr>
          <w:p w14:paraId="3CC62D0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F9B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67B923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523" w:type="pct"/>
          </w:tcPr>
          <w:p w14:paraId="41AB3953">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2B5F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A73888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523" w:type="pct"/>
          </w:tcPr>
          <w:p w14:paraId="0F60CC5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B5A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025C16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523" w:type="pct"/>
          </w:tcPr>
          <w:p w14:paraId="1EB8F277">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746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BAF1ECB">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523" w:type="pct"/>
          </w:tcPr>
          <w:p w14:paraId="255A970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成交金额×回购利率×实际占款天数/365，自动显示，无需输入，自动显示，无需输入</w:t>
            </w:r>
          </w:p>
        </w:tc>
      </w:tr>
      <w:tr w14:paraId="20BF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80412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523" w:type="pct"/>
          </w:tcPr>
          <w:p w14:paraId="2055591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7D6D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6E3920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523" w:type="pct"/>
          </w:tcPr>
          <w:p w14:paraId="4DFDF16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0A0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35A7017">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523" w:type="pct"/>
          </w:tcPr>
          <w:p w14:paraId="5097689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0BE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2DCF8A0">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523" w:type="pct"/>
          </w:tcPr>
          <w:p w14:paraId="578D7BF1">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27D1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C9D7C20">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523" w:type="pct"/>
          </w:tcPr>
          <w:p w14:paraId="7A46FD6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2D708A8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回购双方可以在补充协议或交易补充约定中约定补券的触发情形及时限要求。补券提交的质押券的到期日不得早于回购到期日。补入的质押券必须符合质押券篮子的要求。</w:t>
      </w:r>
      <w:bookmarkStart w:id="1985" w:name="_Toc489369986"/>
      <w:bookmarkEnd w:id="1985"/>
      <w:bookmarkStart w:id="1986" w:name="_Toc489369923"/>
      <w:bookmarkEnd w:id="1986"/>
      <w:bookmarkStart w:id="1987" w:name="_Toc489369922"/>
      <w:bookmarkEnd w:id="1987"/>
      <w:bookmarkStart w:id="1988" w:name="_Toc489369921"/>
      <w:bookmarkEnd w:id="1988"/>
      <w:bookmarkStart w:id="1989" w:name="_Toc489369989"/>
      <w:bookmarkEnd w:id="1989"/>
      <w:bookmarkStart w:id="1990" w:name="_Toc492555497"/>
      <w:bookmarkEnd w:id="1990"/>
      <w:bookmarkStart w:id="1991" w:name="_Toc492555890"/>
      <w:bookmarkEnd w:id="1991"/>
      <w:bookmarkStart w:id="1992" w:name="_Toc489369918"/>
      <w:bookmarkEnd w:id="1992"/>
      <w:bookmarkStart w:id="1993" w:name="_Toc489369988"/>
      <w:bookmarkEnd w:id="1993"/>
      <w:bookmarkStart w:id="1994" w:name="_Toc489369984"/>
      <w:bookmarkEnd w:id="1994"/>
      <w:bookmarkStart w:id="1995" w:name="_Toc489369920"/>
      <w:bookmarkEnd w:id="1995"/>
      <w:bookmarkStart w:id="1996" w:name="_Toc489369985"/>
      <w:bookmarkEnd w:id="1996"/>
      <w:bookmarkStart w:id="1997" w:name="_Toc489369919"/>
      <w:bookmarkEnd w:id="1997"/>
      <w:bookmarkStart w:id="1998" w:name="_Toc489369987"/>
      <w:bookmarkEnd w:id="1998"/>
    </w:p>
    <w:p w14:paraId="272B9243">
      <w:pPr>
        <w:spacing w:line="600" w:lineRule="exact"/>
        <w:ind w:left="567"/>
        <w:outlineLvl w:val="3"/>
        <w:rPr>
          <w:rFonts w:ascii="仿宋_GB2312" w:eastAsia="仿宋_GB2312"/>
          <w:b/>
          <w:sz w:val="30"/>
          <w:szCs w:val="30"/>
        </w:rPr>
      </w:pPr>
      <w:r>
        <w:rPr>
          <w:rFonts w:hint="eastAsia" w:ascii="仿宋_GB2312" w:eastAsia="仿宋_GB2312"/>
          <w:b/>
          <w:sz w:val="30"/>
          <w:szCs w:val="30"/>
        </w:rPr>
        <w:t>（4）担保品孳息及附属权利的归属</w:t>
      </w:r>
    </w:p>
    <w:p w14:paraId="143CA2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期间，质权不及于质押券付息、分期偿还或分期摊还的本金和利息（最后一期除外）。若对于到期购回交易，正回购方未提交到期购回申报、正回购方结算参与人未提交结算指令或资金不足的；或对于到期续做交易，正回购方结算参与人未提交结算指令、三方回购专用证券账户中符合条件的质押券不足或资金不足的，正回购方违约；或对于提前终止交易，正回购方结算参与人未提交结算指令或资金不足的，正回购方违约，逆回购方可单方面申请将正回购方尚未收取的上述资金一并质押（质押券已被司法冻结的除外）。债券质押期间，质押券提前赎回或到期兑付的，质押券的赎回款或兑付资金（含最后一期利息）一并质押，其担保价值由回购双方自行计算。</w:t>
      </w:r>
    </w:p>
    <w:p w14:paraId="34C688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含回售、转股、换股条款的，并且正回购方需要行使回售、转股、换股权利的，正回购方须与逆回购方协商一致，将质押券解除质押并转出至普通证券账户再行使回售、转股、换股权利。正回购方可作为债券持有人享有出席债券持有人大会、提案、表决、追索等权利。</w:t>
      </w:r>
      <w:bookmarkStart w:id="1999" w:name="_Toc499850307"/>
    </w:p>
    <w:p w14:paraId="6B5A3D5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（5）投资者适当性持续管理</w:t>
      </w:r>
    </w:p>
    <w:p w14:paraId="3D624E28">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完成投资者适当性备案后,应当每两年进行一次投资者适当性自我评估，经纪客户由代理备案的证券公司进行投资者适当性评估，回购双方、代理备案的证券公司须将评估结果向本所报告。报告内容包括：</w:t>
      </w:r>
    </w:p>
    <w:p w14:paraId="3EC92BB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1BAFFF8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1CADFCE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3）技术系统能够支持三方回购业务的开展的说明；</w:t>
      </w:r>
    </w:p>
    <w:p w14:paraId="076898E4">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4）上一年度内参与回购业务交收失败、违约情况等事项的说明；</w:t>
      </w:r>
    </w:p>
    <w:p w14:paraId="73950410">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5）其他需要说明的事项。</w:t>
      </w:r>
    </w:p>
    <w:p w14:paraId="6A351E9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评估报告以电子邮件方式发送至本所债券业务部，邮箱ssebond@sse.com.cn，邮件主题统一格式为“XXX公司-三方回购投资者适当性持续管理”。</w:t>
      </w:r>
    </w:p>
    <w:p w14:paraId="0850F85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根据投资者适当性评估报告，本所对不符合投资者适当性要求的可视情况取消其备案，终止三方回购业务资格。三方回购参与者被取消投资者适当性备案的，应继续履行未到期三方回购合约的相关义务。</w:t>
      </w:r>
      <w:bookmarkStart w:id="2000" w:name="_Toc500840222"/>
      <w:bookmarkStart w:id="2001" w:name="_Toc501552798"/>
    </w:p>
    <w:p w14:paraId="2651DC1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异常情况及违约处置</w:t>
      </w:r>
      <w:bookmarkEnd w:id="1999"/>
      <w:bookmarkEnd w:id="2000"/>
      <w:bookmarkEnd w:id="2001"/>
    </w:p>
    <w:p w14:paraId="797378DE">
      <w:pPr>
        <w:spacing w:line="600" w:lineRule="exact"/>
        <w:ind w:left="567"/>
        <w:outlineLvl w:val="3"/>
        <w:rPr>
          <w:rFonts w:ascii="仿宋_GB2312" w:eastAsia="仿宋_GB2312"/>
          <w:b/>
          <w:sz w:val="30"/>
          <w:szCs w:val="30"/>
        </w:rPr>
      </w:pPr>
      <w:r>
        <w:rPr>
          <w:rFonts w:hint="eastAsia" w:ascii="仿宋_GB2312" w:eastAsia="仿宋_GB2312"/>
          <w:b/>
          <w:sz w:val="30"/>
          <w:szCs w:val="30"/>
        </w:rPr>
        <w:t>（1）异常情况</w:t>
      </w:r>
    </w:p>
    <w:p w14:paraId="6E37DCC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三方回购存续期间发生以下情形的，视为异常情况：</w:t>
      </w:r>
    </w:p>
    <w:p w14:paraId="38AE5D5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1）质押券、三方回购专用证券账户、回购双方证券账户或资金账户被有权机关冻结或强制执行；</w:t>
      </w:r>
    </w:p>
    <w:p w14:paraId="52EE150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2）回购任何一方被本所取消三方回购投资者适当性备案；</w:t>
      </w:r>
    </w:p>
    <w:p w14:paraId="669DEE5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3）质押券被本所终止上市或者终止转让；</w:t>
      </w:r>
    </w:p>
    <w:p w14:paraId="4162182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4）经纪客户所在的证券公司进入风险处置、终止清算、破产程序；</w:t>
      </w:r>
    </w:p>
    <w:p w14:paraId="3C0E7DE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5）回购存续期内，履行本主协议义务的回购任何一方发生虽不导致违约但可能影响其主体资格实质变化的事件或主体资格已经实质变化，或将本主协议下的义务拟转由他方履行等；</w:t>
      </w:r>
    </w:p>
    <w:p w14:paraId="7374BF9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6）回购双方认定的其他异常情况。</w:t>
      </w:r>
    </w:p>
    <w:p w14:paraId="7454E3A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回购一方应当在异常情况可能发生、已经发生或获知异常情况可能发生、已经发生后及时通知对方，并及时协商解决。回购双方可以在协商一致后，采取继续履约、提前终止、变更质押券或双方协商的其他方式进行处理。回购双方对异常情况处理另有约定的，从其约定。</w:t>
      </w:r>
    </w:p>
    <w:p w14:paraId="1E721467">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1FD453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回购双方中任何一方发生违约事件，应当及时通知对方，并可以采取下列方式处理：</w:t>
      </w:r>
    </w:p>
    <w:p w14:paraId="3A3D9C6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1）守约方可以要求违约方继续履行三方回购协议、单方面终止三方回购协议、按照三方回购协议约定向违约方收取违约金；</w:t>
      </w:r>
    </w:p>
    <w:p w14:paraId="66853A7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2）正回购方违约的，逆回购方可以按照三方回购协议的约定处置质押券；</w:t>
      </w:r>
    </w:p>
    <w:p w14:paraId="627CBD6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3）可以按照相关法律法规等规定提交上海国际经济贸易仲裁委员会仲裁或向人民法院提起诉讼。</w:t>
      </w:r>
    </w:p>
    <w:p w14:paraId="44A07CE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回购双方对违约处置方式等协商一致并另有约定的，从其约定。</w:t>
      </w:r>
    </w:p>
    <w:p w14:paraId="075B594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回购双方针对违约处置达成一致的，违约方通过场外向守约方支付本金、利息、违约金，当双方违约处置交付完成后，再到场内申请解除质押券质押。违约金数额的确定按照补充协议或主协议的约定办理。</w:t>
      </w:r>
    </w:p>
    <w:p w14:paraId="1A5F70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经纪客户所在的证券公司、结算参与人及相关人员违反《暂行办法》及本所、证券登记结算机构其他相关规定的，本所、证券登记结算机构可以视情况实施口头警示、书面警示、监管谈话、限制投资者证券账户交易、通报批评、公开谴责等监管措施或者纪律处分，并依照相关规定记入诚信档案。</w:t>
      </w:r>
    </w:p>
    <w:p w14:paraId="306BB71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发生违约情形，回购双方应当在违约事件发生3个交易日内向本所、证券登记结算机构书面报送违约原因以及双方协商的处理结果。违约处置报备相关材料可电子邮件方式发送至本所债券业务部，邮箱ssebond@sse.com.cn，邮件主题统一格式为“XXX公司-三方回购违约处置报备”。</w:t>
      </w:r>
    </w:p>
    <w:p w14:paraId="56407453">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（3）质押券处置</w:t>
      </w:r>
    </w:p>
    <w:p w14:paraId="1396AC0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回购双方须在交易申报中约定出现下列情形时，是否由逆回购方直接对该回购项下的质押券进行处置：</w:t>
      </w:r>
    </w:p>
    <w:p w14:paraId="3183A77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）出质债券在质权存续期间，发生违约、债券本息兑付面临重要风险或其他事件致使质押券价值明显减少，足以危害逆回购方权利的；</w:t>
      </w:r>
    </w:p>
    <w:p w14:paraId="5DC71AE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）对于到期购回交易，正回购方未提交到期购回申报、正回购方结算参与人未提交结算指令或资金不足的；</w:t>
      </w:r>
    </w:p>
    <w:p w14:paraId="1ADE18E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3）对于到期续做交易，正回购方结算参与人未提交结算指令、三方回购专用证券账户中符合条件的质押券不足或资金不足的；</w:t>
      </w:r>
    </w:p>
    <w:p w14:paraId="449BC90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4）对于提前终止交易，正回购方结算参与人未提交结算指令或资金不足的。</w:t>
      </w:r>
    </w:p>
    <w:p w14:paraId="27CD79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在交易申报中约定对质押券直接进行处置的，逆回购方在发生上述情形时起一个月后，可直接以拍卖、变卖质押券所得的价款清偿债务。质押券处置产生的任何法律后果及责任，由回购双方自行承担。回购双方在发生上述情形时起一个月内协商一致并另行约定的，从其约定。回购双方在交易申报中未约定发生上述情形时由逆回购方直接处置质押券的，可以另行约定其他处置方式。</w:t>
      </w:r>
    </w:p>
    <w:p w14:paraId="6AA45E2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逆回购方拍卖、变卖质押券的，参照质押券在银行间债券市场交易价格、交易所债券市场交易收盘价、中证指数公司的估值价格和市场需求，确定拍卖底价和变卖价格,通过上海证券交易所债券担保品处置平台或其他方式拍卖、变卖。处置所得价款以拍卖、变卖的成交金额为准。</w:t>
      </w:r>
    </w:p>
    <w:p w14:paraId="0C5BFF8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（4）质押券处置后安排</w:t>
      </w:r>
    </w:p>
    <w:p w14:paraId="57EF1FB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质押券处置所得，逆回购方拍卖、变卖质押券后，被拍卖、变卖的质押券解除质押登记并办理过户，所有权转移至拍卖、变卖的受让人；多余的未被拍卖、变卖的质押券解除质押登记。拍卖、变卖质押券所得价款扣除拍卖、变卖费用后，用于清偿逆回购方应收取的融出资金违约金、利息、本金，清偿之后如有价款余额应退还正回购方。拍卖、变卖质押券所得价款扣除拍卖、变卖费用后不足以清偿债务的，不足部分逆回购方继续向正回购方进行追索。</w:t>
      </w:r>
    </w:p>
    <w:p w14:paraId="4565D6F3">
      <w:pPr>
        <w:spacing w:line="600" w:lineRule="exact"/>
        <w:ind w:left="567"/>
        <w:outlineLvl w:val="3"/>
        <w:rPr>
          <w:rFonts w:ascii="仿宋_GB2312" w:eastAsia="仿宋_GB2312"/>
          <w:b/>
          <w:sz w:val="30"/>
          <w:szCs w:val="30"/>
        </w:rPr>
      </w:pPr>
      <w:r>
        <w:rPr>
          <w:rFonts w:hint="eastAsia" w:ascii="仿宋_GB2312" w:hAnsi="黑体" w:eastAsia="仿宋_GB2312"/>
          <w:b/>
          <w:sz w:val="30"/>
          <w:szCs w:val="30"/>
        </w:rPr>
        <w:t>（5）</w:t>
      </w:r>
      <w:r>
        <w:rPr>
          <w:rFonts w:hint="eastAsia" w:ascii="仿宋_GB2312" w:eastAsia="仿宋_GB2312"/>
          <w:b/>
          <w:sz w:val="30"/>
          <w:szCs w:val="30"/>
        </w:rPr>
        <w:t>解除质押券质押</w:t>
      </w:r>
    </w:p>
    <w:p w14:paraId="216073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由正回购方的任一交易员在固定收益平台针对某一笔违约的回购合约发起解除质押券质押申报，对手方进行确认或拒绝。双方确认达成一致后，正回购方在该笔回购交易项下质押登记的债券解除质押。证券登记结算机构将依据本所发送的数据通过日末逐笔全额结算方式办理解除质押登记。</w:t>
      </w:r>
    </w:p>
    <w:p w14:paraId="68033ED4">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）质押券处置过户</w:t>
      </w:r>
    </w:p>
    <w:p w14:paraId="7F3274F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经回购双方协商一致，可向本所申请质押证券处置过户至质权人或拍卖变卖的受让人。证券登记结算机构将根据证券过户指令，于日终逐笔办理质押证券的处置过户。</w:t>
      </w:r>
    </w:p>
    <w:p w14:paraId="07A49D7E">
      <w:pPr>
        <w:numPr>
          <w:ilvl w:val="2"/>
          <w:numId w:val="4"/>
        </w:numPr>
        <w:spacing w:line="600" w:lineRule="exact"/>
        <w:ind w:left="0" w:firstLine="0"/>
        <w:outlineLvl w:val="2"/>
        <w:rPr>
          <w:rFonts w:ascii="仿宋_GB2312" w:eastAsia="仿宋_GB2312"/>
          <w:b/>
          <w:sz w:val="30"/>
          <w:szCs w:val="30"/>
        </w:rPr>
      </w:pPr>
      <w:bookmarkStart w:id="2002" w:name="_Toc60331891"/>
      <w:bookmarkEnd w:id="2002"/>
      <w:bookmarkStart w:id="2003" w:name="_Toc60331893"/>
      <w:bookmarkEnd w:id="2003"/>
      <w:bookmarkStart w:id="2004" w:name="_Toc59181218"/>
      <w:bookmarkEnd w:id="2004"/>
      <w:bookmarkStart w:id="2005" w:name="_Toc59107002"/>
      <w:bookmarkEnd w:id="2005"/>
      <w:bookmarkStart w:id="2006" w:name="_Toc60327135"/>
      <w:bookmarkEnd w:id="2006"/>
      <w:bookmarkStart w:id="2007" w:name="_Toc59034598"/>
      <w:bookmarkEnd w:id="2007"/>
      <w:bookmarkStart w:id="2008" w:name="_Toc59181106"/>
      <w:bookmarkEnd w:id="2008"/>
      <w:bookmarkStart w:id="2009" w:name="_Toc59034118"/>
      <w:bookmarkEnd w:id="2009"/>
      <w:bookmarkStart w:id="2010" w:name="_Toc59181220"/>
      <w:bookmarkEnd w:id="2010"/>
      <w:bookmarkStart w:id="2011" w:name="_Toc60331892"/>
      <w:bookmarkEnd w:id="2011"/>
      <w:bookmarkStart w:id="2012" w:name="_Toc59034597"/>
      <w:bookmarkEnd w:id="2012"/>
      <w:bookmarkStart w:id="2013" w:name="_Toc59034596"/>
      <w:bookmarkEnd w:id="2013"/>
      <w:bookmarkStart w:id="2014" w:name="_Toc60327134"/>
      <w:bookmarkEnd w:id="2014"/>
      <w:bookmarkStart w:id="2015" w:name="_Toc59181219"/>
      <w:bookmarkEnd w:id="2015"/>
      <w:bookmarkStart w:id="2016" w:name="_Toc59181108"/>
      <w:bookmarkEnd w:id="2016"/>
      <w:bookmarkStart w:id="2017" w:name="_Toc59034117"/>
      <w:bookmarkEnd w:id="2017"/>
      <w:bookmarkStart w:id="2018" w:name="_Toc59107000"/>
      <w:bookmarkEnd w:id="2018"/>
      <w:bookmarkStart w:id="2019" w:name="_Toc60327136"/>
      <w:bookmarkEnd w:id="2019"/>
      <w:bookmarkStart w:id="2020" w:name="_Toc59034119"/>
      <w:bookmarkEnd w:id="2020"/>
      <w:bookmarkStart w:id="2021" w:name="_Toc59181107"/>
      <w:bookmarkEnd w:id="2021"/>
      <w:bookmarkStart w:id="2022" w:name="_Toc59107001"/>
      <w:bookmarkEnd w:id="2022"/>
      <w:bookmarkStart w:id="2023" w:name="_Toc59181330"/>
      <w:bookmarkEnd w:id="2023"/>
      <w:bookmarkStart w:id="2024" w:name="_Toc59181331"/>
      <w:bookmarkEnd w:id="2024"/>
      <w:bookmarkStart w:id="2025" w:name="_Toc59181332"/>
      <w:bookmarkEnd w:id="2025"/>
      <w:bookmarkStart w:id="2026" w:name="_Toc56166100"/>
      <w:bookmarkStart w:id="2027" w:name="_Toc56166289"/>
      <w:r>
        <w:rPr>
          <w:rFonts w:hint="eastAsia" w:ascii="仿宋_GB2312" w:eastAsia="仿宋_GB2312"/>
          <w:b/>
          <w:sz w:val="30"/>
          <w:szCs w:val="30"/>
        </w:rPr>
        <w:t>其他事项</w:t>
      </w:r>
    </w:p>
    <w:p w14:paraId="21C04562">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交收结果</w:t>
      </w:r>
    </w:p>
    <w:p w14:paraId="7F2DA634">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初期，市场参与者可以在</w:t>
      </w:r>
      <w:r>
        <w:rPr>
          <w:rFonts w:ascii="仿宋_GB2312" w:hAnsi="Calibri" w:eastAsia="仿宋_GB2312"/>
          <w:kern w:val="0"/>
          <w:sz w:val="30"/>
          <w:szCs w:val="30"/>
        </w:rPr>
        <w:t>T+1</w:t>
      </w:r>
      <w:r>
        <w:rPr>
          <w:rFonts w:hint="eastAsia" w:ascii="仿宋_GB2312" w:hAnsi="Calibri" w:eastAsia="仿宋_GB2312"/>
          <w:kern w:val="0"/>
          <w:sz w:val="30"/>
          <w:szCs w:val="30"/>
        </w:rPr>
        <w:t>日通过固定收益平台查看本交易商三方回购的结算结果信息。</w:t>
      </w:r>
    </w:p>
    <w:p w14:paraId="2659ADF4">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kern w:val="0"/>
          <w:sz w:val="30"/>
          <w:szCs w:val="30"/>
        </w:rPr>
        <w:t>结算参与人可于</w:t>
      </w:r>
      <w:r>
        <w:rPr>
          <w:rFonts w:ascii="仿宋_GB2312" w:hAnsi="Calibri" w:eastAsia="仿宋_GB2312"/>
          <w:kern w:val="0"/>
          <w:sz w:val="30"/>
          <w:szCs w:val="30"/>
        </w:rPr>
        <w:t>T</w:t>
      </w:r>
      <w:r>
        <w:rPr>
          <w:rFonts w:hint="eastAsia" w:ascii="仿宋_GB2312" w:hAnsi="Calibri" w:eastAsia="仿宋_GB2312"/>
          <w:kern w:val="0"/>
          <w:sz w:val="30"/>
          <w:szCs w:val="30"/>
        </w:rPr>
        <w:t>日通过中国</w:t>
      </w:r>
      <w:r>
        <w:rPr>
          <w:rFonts w:ascii="仿宋_GB2312" w:hAnsi="Calibri" w:eastAsia="仿宋_GB2312"/>
          <w:kern w:val="0"/>
          <w:sz w:val="30"/>
          <w:szCs w:val="30"/>
        </w:rPr>
        <w:t>结算PROP</w:t>
      </w:r>
      <w:r>
        <w:rPr>
          <w:rFonts w:hint="eastAsia" w:ascii="仿宋_GB2312" w:hAnsi="Calibri" w:eastAsia="仿宋_GB2312"/>
          <w:kern w:val="0"/>
          <w:sz w:val="30"/>
          <w:szCs w:val="30"/>
        </w:rPr>
        <w:t>综合业务终端查询本结算参与人三方回购的回购交易、回购到期、提前终止、回购续做、质押券变更和解除质押登记的清算交收情况。</w:t>
      </w:r>
    </w:p>
    <w:p w14:paraId="649AD8FC">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统计数据</w:t>
      </w:r>
    </w:p>
    <w:p w14:paraId="0678892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本所将定期发布三方回购交易统计数据，统计数据要素包括三方回购交易量、未到期余额、利率分布、投资者结构、质押券折扣率等信息。</w:t>
      </w:r>
    </w:p>
    <w:p w14:paraId="2C978406">
      <w:pPr>
        <w:spacing w:line="600" w:lineRule="exact"/>
        <w:outlineLvl w:val="3"/>
        <w:rPr>
          <w:rFonts w:ascii="仿宋_GB2312" w:hAnsi="Calibri" w:eastAsia="仿宋_GB2312"/>
          <w:kern w:val="0"/>
          <w:sz w:val="30"/>
          <w:szCs w:val="30"/>
        </w:rPr>
      </w:pPr>
    </w:p>
    <w:p w14:paraId="495EFAE8">
      <w:pPr>
        <w:numPr>
          <w:ilvl w:val="0"/>
          <w:numId w:val="4"/>
        </w:numPr>
        <w:spacing w:line="600" w:lineRule="exact"/>
        <w:outlineLvl w:val="0"/>
        <w:rPr>
          <w:b/>
          <w:sz w:val="36"/>
        </w:rPr>
      </w:pPr>
      <w:r>
        <w:rPr>
          <w:b/>
          <w:sz w:val="36"/>
        </w:rPr>
        <w:br w:type="page"/>
      </w:r>
      <w:bookmarkStart w:id="2028" w:name="_Toc151136917"/>
      <w:r>
        <w:rPr>
          <w:rFonts w:hint="eastAsia" w:ascii="黑体" w:hAnsi="黑体" w:eastAsia="黑体" w:cs="黑体"/>
          <w:b/>
          <w:sz w:val="36"/>
        </w:rPr>
        <w:t>其他交易类型</w:t>
      </w:r>
      <w:bookmarkEnd w:id="2026"/>
      <w:bookmarkEnd w:id="2027"/>
      <w:bookmarkEnd w:id="2028"/>
    </w:p>
    <w:p w14:paraId="226F9ABF">
      <w:pPr>
        <w:spacing w:line="600" w:lineRule="exact"/>
        <w:ind w:firstLine="600" w:firstLineChars="200"/>
        <w:rPr>
          <w:rFonts w:ascii="Calibri" w:hAnsi="Calibri"/>
          <w:b/>
          <w:szCs w:val="22"/>
        </w:rPr>
      </w:pPr>
      <w:r>
        <w:rPr>
          <w:rFonts w:hint="eastAsia" w:ascii="仿宋_GB2312" w:hAnsi="Calibri" w:eastAsia="仿宋_GB2312"/>
          <w:sz w:val="30"/>
          <w:szCs w:val="30"/>
        </w:rPr>
        <w:t>本章主要明确国债预发行、债券借贷、信用保护工具等业务品种的交易或者转让事项，</w:t>
      </w:r>
      <w:r>
        <w:rPr>
          <w:rFonts w:ascii="仿宋_GB2312" w:hAnsi="Calibri" w:eastAsia="仿宋_GB2312"/>
          <w:sz w:val="30"/>
          <w:szCs w:val="30"/>
        </w:rPr>
        <w:t>以及担保品处置相关事宜</w:t>
      </w:r>
      <w:r>
        <w:rPr>
          <w:rFonts w:hint="eastAsia" w:ascii="仿宋_GB2312" w:hAnsi="Calibri" w:eastAsia="仿宋_GB2312"/>
          <w:sz w:val="30"/>
          <w:szCs w:val="30"/>
        </w:rPr>
        <w:t>。</w:t>
      </w:r>
    </w:p>
    <w:p w14:paraId="3D25D4DA">
      <w:pPr>
        <w:numPr>
          <w:ilvl w:val="1"/>
          <w:numId w:val="4"/>
        </w:numPr>
        <w:spacing w:line="600" w:lineRule="exact"/>
        <w:ind w:left="0" w:firstLine="0"/>
        <w:outlineLvl w:val="1"/>
        <w:rPr>
          <w:rFonts w:ascii="仿宋_GB2312" w:eastAsia="仿宋_GB2312"/>
          <w:b/>
          <w:sz w:val="30"/>
          <w:szCs w:val="30"/>
        </w:rPr>
      </w:pPr>
      <w:bookmarkStart w:id="2029" w:name="_Toc56166290"/>
      <w:bookmarkStart w:id="2030" w:name="_Toc151136918"/>
      <w:bookmarkStart w:id="2031" w:name="_Toc56166101"/>
      <w:bookmarkStart w:id="2032" w:name="_Toc41660647"/>
      <w:r>
        <w:rPr>
          <w:rFonts w:hint="eastAsia" w:ascii="仿宋_GB2312" w:eastAsia="仿宋_GB2312"/>
          <w:b/>
          <w:sz w:val="30"/>
          <w:szCs w:val="30"/>
        </w:rPr>
        <w:t>国债预发行</w:t>
      </w:r>
      <w:bookmarkEnd w:id="2029"/>
      <w:bookmarkEnd w:id="2030"/>
      <w:bookmarkEnd w:id="2031"/>
      <w:bookmarkEnd w:id="2032"/>
    </w:p>
    <w:p w14:paraId="5451CA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国债预发行交易，是指在关键期限（1、3、5、7、10年期）的记账式国债招标日前特定期间进行交易，并在国债招标完成后进行交收的债券买卖行为。</w:t>
      </w:r>
    </w:p>
    <w:p w14:paraId="6CFFADA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国债招标日前四个法定工作日至招标日前一个法定工作日期间的本所交易日，可以进行国债预发行交易。</w:t>
      </w:r>
    </w:p>
    <w:p w14:paraId="5D324A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国债预发行交易的具体券种由本所根据财政部、中国人民银行、中国证券监督管理委员会有关通知确定，并向市场公布。</w:t>
      </w:r>
    </w:p>
    <w:p w14:paraId="1E91156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5B3E5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国债预发行相关规则如下：</w:t>
      </w:r>
    </w:p>
    <w:p w14:paraId="3AEB21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1.《财政部 中国人民银行 中国证券监督管理委员会关于开展国债预发行试点的通知》（财库［2013］28号）</w:t>
      </w:r>
    </w:p>
    <w:p w14:paraId="31833E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2.《财政部、中国人民银行、中国证券监督管理委员会关于7年期国债开展预发行试点的通知》（财库[2013]82号）</w:t>
      </w:r>
    </w:p>
    <w:p w14:paraId="4419C7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3.《财政部、中国人民银行和中国证券监督管理委员会关于关键期限国债开展预发行试点的通知》（财库〔2014〕72号）</w:t>
      </w:r>
    </w:p>
    <w:p w14:paraId="3F1A611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4.《关于发布&lt;上海证券交易所、中国证券登记结算有限责任公司国债预发行（试点）交易及登记结算业务办法&gt;及有关事项的通知》（上证发〔2013〕4号）</w:t>
      </w:r>
    </w:p>
    <w:p w14:paraId="557160D1">
      <w:pPr>
        <w:numPr>
          <w:ilvl w:val="2"/>
          <w:numId w:val="4"/>
        </w:numPr>
        <w:spacing w:line="600" w:lineRule="exact"/>
        <w:ind w:left="0" w:firstLine="0"/>
        <w:outlineLvl w:val="2"/>
        <w:rPr>
          <w:rFonts w:ascii="仿宋_GB2312" w:eastAsia="仿宋_GB2312"/>
          <w:b/>
          <w:sz w:val="30"/>
          <w:szCs w:val="30"/>
        </w:rPr>
      </w:pPr>
      <w:bookmarkStart w:id="2033" w:name="_Toc41660648"/>
      <w:r>
        <w:rPr>
          <w:rFonts w:hint="eastAsia" w:ascii="仿宋_GB2312" w:eastAsia="仿宋_GB2312"/>
          <w:b/>
          <w:sz w:val="30"/>
          <w:szCs w:val="30"/>
        </w:rPr>
        <w:t>参与者要求</w:t>
      </w:r>
      <w:bookmarkEnd w:id="2033"/>
    </w:p>
    <w:p w14:paraId="603D165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下列专业投资者可以参与国债预发行交易：</w:t>
      </w:r>
    </w:p>
    <w:p w14:paraId="67063F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（1）可参与本所债券交易的证券公司、银行、基金管理公司、保险公司等金融机构；</w:t>
      </w:r>
    </w:p>
    <w:p w14:paraId="0EE4D92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（2）符合本所债券市场投资者适当性管理相关规定的其他专业投资者。</w:t>
      </w:r>
    </w:p>
    <w:p w14:paraId="7E7B9CE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上述投资者参与国债预发行交易比照国债现券交易进行管理。</w:t>
      </w:r>
    </w:p>
    <w:p w14:paraId="6659EE3D">
      <w:pPr>
        <w:numPr>
          <w:ilvl w:val="2"/>
          <w:numId w:val="4"/>
        </w:numPr>
        <w:spacing w:line="600" w:lineRule="exact"/>
        <w:ind w:left="0" w:firstLine="0"/>
        <w:outlineLvl w:val="2"/>
        <w:rPr>
          <w:rFonts w:ascii="仿宋_GB2312" w:eastAsia="仿宋_GB2312"/>
          <w:b/>
          <w:sz w:val="30"/>
          <w:szCs w:val="30"/>
        </w:rPr>
      </w:pPr>
      <w:bookmarkStart w:id="2034" w:name="_Toc41660649"/>
      <w:r>
        <w:rPr>
          <w:rFonts w:hint="eastAsia" w:ascii="仿宋_GB2312" w:eastAsia="仿宋_GB2312"/>
          <w:b/>
          <w:sz w:val="30"/>
          <w:szCs w:val="30"/>
        </w:rPr>
        <w:t>交易流程</w:t>
      </w:r>
      <w:bookmarkEnd w:id="2034"/>
    </w:p>
    <w:p w14:paraId="3D8117D5">
      <w:pPr>
        <w:spacing w:line="600" w:lineRule="exact"/>
        <w:ind w:left="567"/>
        <w:outlineLvl w:val="3"/>
        <w:rPr>
          <w:rFonts w:ascii="仿宋_GB2312" w:eastAsia="仿宋_GB2312"/>
          <w:b/>
          <w:sz w:val="30"/>
          <w:szCs w:val="30"/>
        </w:rPr>
      </w:pPr>
      <w:bookmarkStart w:id="2035" w:name="_Toc41660650"/>
      <w:r>
        <w:rPr>
          <w:rFonts w:hint="eastAsia" w:ascii="仿宋_GB2312" w:eastAsia="仿宋_GB2312"/>
          <w:b/>
          <w:sz w:val="30"/>
          <w:szCs w:val="30"/>
        </w:rPr>
        <w:t>（1）净卖出</w:t>
      </w:r>
      <w:bookmarkEnd w:id="2035"/>
    </w:p>
    <w:p w14:paraId="2E90C1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国债预发行交易中，国债承销团成员可以在规定额度内申报净卖出，其他投资者不得净卖出。</w:t>
      </w:r>
    </w:p>
    <w:p w14:paraId="4BE9433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国债预发行交易起始日前一交易日，</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根据本所提供的数据在国债承销团成员证券账户内记增预发行国债净卖出额度，并于日终将相关数据发送相关结算参与人。</w:t>
      </w:r>
    </w:p>
    <w:p w14:paraId="5A848F35">
      <w:pPr>
        <w:spacing w:line="600" w:lineRule="exact"/>
        <w:ind w:left="567"/>
        <w:outlineLvl w:val="3"/>
        <w:rPr>
          <w:rFonts w:ascii="仿宋_GB2312" w:eastAsia="仿宋_GB2312"/>
          <w:b/>
          <w:sz w:val="30"/>
          <w:szCs w:val="30"/>
        </w:rPr>
      </w:pPr>
      <w:bookmarkStart w:id="2036" w:name="_Toc41660651"/>
      <w:r>
        <w:rPr>
          <w:rFonts w:hint="eastAsia" w:ascii="仿宋_GB2312" w:eastAsia="仿宋_GB2312"/>
          <w:b/>
          <w:sz w:val="30"/>
          <w:szCs w:val="30"/>
        </w:rPr>
        <w:t>（2）交易方式</w:t>
      </w:r>
      <w:bookmarkEnd w:id="2036"/>
    </w:p>
    <w:p w14:paraId="33CA60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国债预发行交易采用匹配成交方式。</w:t>
      </w:r>
    </w:p>
    <w:p w14:paraId="61A5964E">
      <w:pPr>
        <w:spacing w:line="600" w:lineRule="exact"/>
        <w:ind w:firstLine="602" w:firstLineChars="200"/>
        <w:outlineLvl w:val="3"/>
        <w:rPr>
          <w:rFonts w:ascii="仿宋_GB2312" w:eastAsia="仿宋_GB2312"/>
          <w:b/>
          <w:sz w:val="30"/>
          <w:szCs w:val="30"/>
        </w:rPr>
      </w:pPr>
      <w:bookmarkStart w:id="2037" w:name="_Toc41660652"/>
      <w:r>
        <w:rPr>
          <w:rFonts w:hint="eastAsia" w:ascii="仿宋_GB2312" w:eastAsia="仿宋_GB2312"/>
          <w:b/>
          <w:sz w:val="30"/>
          <w:szCs w:val="30"/>
        </w:rPr>
        <w:t>（3）交易申报</w:t>
      </w:r>
      <w:bookmarkEnd w:id="2037"/>
    </w:p>
    <w:p w14:paraId="773904B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国债通过价格招标发行的，国债预发行交易采用价格申报。卖出限价申报为按限定或高于限定的价格卖出标的国债；买入限价申报为按限定或低于限定的价格买入标的国债。计价单位为“每百元面额国债的价格”</w:t>
      </w:r>
      <w:r>
        <w:rPr>
          <w:rFonts w:hint="eastAsia" w:ascii="仿宋_GB2312" w:hAnsi="Calibri" w:eastAsia="仿宋_GB2312"/>
          <w:b/>
          <w:sz w:val="30"/>
          <w:szCs w:val="30"/>
        </w:rPr>
        <w:t>。</w:t>
      </w:r>
    </w:p>
    <w:p w14:paraId="0CD0568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国债通过利率招标发行的，国债预发行交易采用收益率申报。卖出限价申报为按限定或低于限定的收益率卖出标的国债；买入限价申报为按限定或高于限定的收益率买入标的国债。计价单位为“百分点”</w:t>
      </w:r>
      <w:r>
        <w:rPr>
          <w:rFonts w:hint="eastAsia" w:ascii="仿宋_GB2312" w:hAnsi="Calibri" w:eastAsia="仿宋_GB2312"/>
          <w:b/>
          <w:sz w:val="30"/>
          <w:szCs w:val="30"/>
        </w:rPr>
        <w:t>。</w:t>
      </w:r>
    </w:p>
    <w:p w14:paraId="48331E96">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本所接受国债预发行交易申报的时间为每个交易日的9：1</w:t>
      </w:r>
      <w:r>
        <w:rPr>
          <w:rFonts w:ascii="仿宋_GB2312" w:hAnsi="Calibri" w:eastAsia="仿宋_GB2312"/>
          <w:sz w:val="30"/>
          <w:szCs w:val="30"/>
        </w:rPr>
        <w:t>5</w:t>
      </w:r>
      <w:r>
        <w:rPr>
          <w:rFonts w:hint="eastAsia" w:ascii="仿宋_GB2312" w:hAnsi="Calibri" w:eastAsia="仿宋_GB2312"/>
          <w:sz w:val="30"/>
          <w:szCs w:val="30"/>
        </w:rPr>
        <w:t>至</w:t>
      </w:r>
      <w:r>
        <w:rPr>
          <w:rFonts w:ascii="仿宋_GB2312" w:hAnsi="Calibri" w:eastAsia="仿宋_GB2312"/>
          <w:sz w:val="30"/>
          <w:szCs w:val="30"/>
        </w:rPr>
        <w:t>9</w:t>
      </w:r>
      <w:r>
        <w:rPr>
          <w:rFonts w:hint="eastAsia" w:ascii="仿宋_GB2312" w:hAnsi="Calibri" w:eastAsia="仿宋_GB2312"/>
          <w:sz w:val="30"/>
          <w:szCs w:val="30"/>
        </w:rPr>
        <w:t>:2</w:t>
      </w:r>
      <w:r>
        <w:rPr>
          <w:rFonts w:ascii="仿宋_GB2312" w:hAnsi="Calibri" w:eastAsia="仿宋_GB2312"/>
          <w:sz w:val="30"/>
          <w:szCs w:val="30"/>
        </w:rPr>
        <w:t>5</w:t>
      </w:r>
      <w:r>
        <w:rPr>
          <w:rFonts w:hint="eastAsia" w:ascii="仿宋_GB2312" w:hAnsi="Calibri" w:eastAsia="仿宋_GB2312"/>
          <w:sz w:val="30"/>
          <w:szCs w:val="30"/>
        </w:rPr>
        <w:t>、9：30至11：30、13：00至15：00。</w:t>
      </w:r>
    </w:p>
    <w:p w14:paraId="09CFEE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国债预发行交易申报要素包括：证券代码、买卖方向、申报类型、价格、订单数量、交易业务单元、债券投资者账户、营业部代码等。</w:t>
      </w:r>
    </w:p>
    <w:p w14:paraId="623418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各关键期限国债预发行交易的证券代码如下：采用利率招标的，1、3、5、7、10年期关键期限国债预发行交易的证券代码分别为751801、751803、751805、751807和751800；采用价格招标的，1、3、5、7、10年期关键期限国债预发行交易的证券代码分别为751811、751813、751815、751817和751810。</w:t>
      </w:r>
    </w:p>
    <w:p w14:paraId="5D92F4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国债预发行交易申报应当符合以下要求：</w:t>
      </w:r>
    </w:p>
    <w:p w14:paraId="03F130D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1）价格申报的最小变动单位为0.001元，收益率申报的最小变动单位为0.001个百分点；</w:t>
      </w:r>
    </w:p>
    <w:p w14:paraId="3BBC2FD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2）申报数量为100万元面额或其整数倍；</w:t>
      </w:r>
    </w:p>
    <w:p w14:paraId="7350E92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3）单笔匹配成交申报最大数量为10亿元面额；</w:t>
      </w:r>
    </w:p>
    <w:p w14:paraId="2B7E314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4）本所规定的其他要求。</w:t>
      </w:r>
    </w:p>
    <w:p w14:paraId="135C1B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国债预发行交易实行价格（收益率）申报区间控制，具体要求为：</w:t>
      </w:r>
    </w:p>
    <w:p w14:paraId="6F13931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1）采用价格申报的，国债预发行交易的价格申报区间为该期国债招标日前第六个法定工作日理论估值价格加减3元。理论估值价格由本所公布。</w:t>
      </w:r>
    </w:p>
    <w:p w14:paraId="49C20F6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2）采用收益率申报的，国债预发行的收益率申报区间为该期国债招标日前第六个法定工作日该期限国债到期收益率加减0.75个百分点。该期限国债到期收益率由本所公布。</w:t>
      </w:r>
    </w:p>
    <w:p w14:paraId="1B7E68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本所可根据市场情况调整价格（收益率）申报区间，并于调整次日将调整情况报财政部、中国证券监督管理委员会备案。</w:t>
      </w:r>
    </w:p>
    <w:p w14:paraId="434A80BE">
      <w:pPr>
        <w:spacing w:line="600" w:lineRule="exact"/>
        <w:ind w:firstLine="602" w:firstLineChars="200"/>
        <w:outlineLvl w:val="3"/>
        <w:rPr>
          <w:rFonts w:ascii="仿宋_GB2312" w:eastAsia="仿宋_GB2312"/>
          <w:b/>
          <w:sz w:val="30"/>
          <w:szCs w:val="30"/>
        </w:rPr>
      </w:pPr>
      <w:bookmarkStart w:id="2038" w:name="_Toc41660653"/>
      <w:r>
        <w:rPr>
          <w:rFonts w:hint="eastAsia" w:ascii="仿宋_GB2312" w:eastAsia="仿宋_GB2312"/>
          <w:b/>
          <w:sz w:val="30"/>
          <w:szCs w:val="30"/>
        </w:rPr>
        <w:t>（4）交易达成</w:t>
      </w:r>
      <w:bookmarkEnd w:id="2038"/>
    </w:p>
    <w:p w14:paraId="2390A8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国债预发行交易通过匹配成交方式达成交易的，按“价格（收益率）优先、时间优先”的原则撮合成交。</w:t>
      </w:r>
    </w:p>
    <w:p w14:paraId="066808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价格优先，是指较高价格买入申报优先于较低价格买入申报，较低价格卖出申报优先于较高价格卖出申报。</w:t>
      </w:r>
    </w:p>
    <w:p w14:paraId="7F9E62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收益率优先，是指较低收益率买入申报优先于较高收益率买入申报，较高收益率卖出申报优先于较低收益率卖出申报。</w:t>
      </w:r>
    </w:p>
    <w:p w14:paraId="2CF32E2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时间优先，是指买卖方向、价格（收益率）相同的，先申报者优先于后申报者。先后顺序按本所综合业务平台接受申报的时间确定。</w:t>
      </w:r>
    </w:p>
    <w:p w14:paraId="1F3DB9AA">
      <w:pPr>
        <w:spacing w:line="600" w:lineRule="exact"/>
        <w:ind w:firstLine="602" w:firstLineChars="200"/>
        <w:outlineLvl w:val="3"/>
        <w:rPr>
          <w:rFonts w:ascii="仿宋_GB2312" w:eastAsia="仿宋_GB2312"/>
          <w:b/>
          <w:sz w:val="30"/>
          <w:szCs w:val="30"/>
        </w:rPr>
      </w:pPr>
      <w:bookmarkStart w:id="2039" w:name="_Toc41660655"/>
      <w:r>
        <w:rPr>
          <w:rFonts w:hint="eastAsia" w:ascii="仿宋_GB2312" w:eastAsia="仿宋_GB2312"/>
          <w:b/>
          <w:sz w:val="30"/>
          <w:szCs w:val="30"/>
        </w:rPr>
        <w:t>（5）持仓限额控制</w:t>
      </w:r>
      <w:bookmarkEnd w:id="2039"/>
    </w:p>
    <w:p w14:paraId="110C252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国债预发行交易实行持仓限额控制，具体要求为：</w:t>
      </w:r>
    </w:p>
    <w:p w14:paraId="0E0011E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1）国债承销团甲类成员净卖出余额不得超过当期国债当次计划发行量的6%，乙类成员净卖出余额不得超过当期国债当次计划发行量的1.5%；</w:t>
      </w:r>
    </w:p>
    <w:p w14:paraId="06F4660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2）单个参与者净买入余额不得超过当期国债当次计划发行量的6%。</w:t>
      </w:r>
    </w:p>
    <w:p w14:paraId="5150320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国债承销团甲类成员、乙类成员范围根据财政部相关规则确定。</w:t>
      </w:r>
    </w:p>
    <w:p w14:paraId="7F7D2F15">
      <w:pPr>
        <w:spacing w:line="600" w:lineRule="exact"/>
        <w:ind w:firstLine="602" w:firstLineChars="200"/>
        <w:outlineLvl w:val="3"/>
        <w:rPr>
          <w:rFonts w:ascii="仿宋_GB2312" w:eastAsia="仿宋_GB2312"/>
          <w:b/>
          <w:sz w:val="30"/>
          <w:szCs w:val="30"/>
        </w:rPr>
      </w:pPr>
      <w:bookmarkStart w:id="2040" w:name="_Toc41660656"/>
      <w:r>
        <w:rPr>
          <w:rFonts w:hint="eastAsia" w:ascii="仿宋_GB2312" w:eastAsia="仿宋_GB2312"/>
          <w:b/>
          <w:sz w:val="30"/>
          <w:szCs w:val="30"/>
        </w:rPr>
        <w:t>（6）暂停接受净卖出申报</w:t>
      </w:r>
      <w:bookmarkEnd w:id="2040"/>
    </w:p>
    <w:p w14:paraId="09B526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出现下列情形的，本所可以暂停接受国债预发行交易中的净卖出申报：</w:t>
      </w:r>
    </w:p>
    <w:p w14:paraId="3C1C02E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1）首次发行国债在本所债券市场净卖出合计余额达到当期国债当次计划发行量的60%；</w:t>
      </w:r>
    </w:p>
    <w:p w14:paraId="66ECFD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2）续发行国债在本所债券市场净卖出合计余额达到当期国债当次计划发行量的100%。</w:t>
      </w:r>
    </w:p>
    <w:p w14:paraId="0105CA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本所根据前款规定暂停接受净卖出申报的，如前款规定情形消失，本所可以自下一交易日起恢复接受净卖出申报。</w:t>
      </w:r>
    </w:p>
    <w:p w14:paraId="29E5C82D">
      <w:pPr>
        <w:spacing w:line="600" w:lineRule="exact"/>
        <w:ind w:firstLine="602" w:firstLineChars="200"/>
        <w:outlineLvl w:val="3"/>
        <w:rPr>
          <w:rFonts w:ascii="仿宋_GB2312" w:eastAsia="仿宋_GB2312"/>
          <w:b/>
          <w:sz w:val="30"/>
          <w:szCs w:val="30"/>
        </w:rPr>
      </w:pPr>
      <w:bookmarkStart w:id="2041" w:name="_Toc41660657"/>
      <w:r>
        <w:rPr>
          <w:rFonts w:hint="eastAsia" w:ascii="仿宋_GB2312" w:eastAsia="仿宋_GB2312"/>
          <w:b/>
          <w:sz w:val="30"/>
          <w:szCs w:val="30"/>
        </w:rPr>
        <w:t>（7）信息披露</w:t>
      </w:r>
      <w:bookmarkEnd w:id="2041"/>
    </w:p>
    <w:p w14:paraId="627A1C3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国债预发行交易起始日前，本所在本所官网发布关于国债预发行交易的通知。</w:t>
      </w:r>
    </w:p>
    <w:p w14:paraId="43A812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国债预发行交易期间，本所在每个交易日闭市后，在本所官网披露相应券种在本所债券市场的净卖出合计余额。</w:t>
      </w:r>
    </w:p>
    <w:p w14:paraId="717086C9">
      <w:pPr>
        <w:spacing w:line="600" w:lineRule="exact"/>
        <w:ind w:firstLine="602" w:firstLineChars="200"/>
        <w:outlineLvl w:val="3"/>
        <w:rPr>
          <w:rFonts w:ascii="仿宋_GB2312" w:eastAsia="仿宋_GB2312"/>
          <w:b/>
          <w:sz w:val="30"/>
          <w:szCs w:val="30"/>
        </w:rPr>
      </w:pPr>
      <w:bookmarkStart w:id="2042" w:name="_Toc41660658"/>
      <w:r>
        <w:rPr>
          <w:rFonts w:hint="eastAsia" w:ascii="仿宋_GB2312" w:eastAsia="仿宋_GB2312"/>
          <w:b/>
          <w:sz w:val="30"/>
          <w:szCs w:val="30"/>
        </w:rPr>
        <w:t>（8）指定交易撤销</w:t>
      </w:r>
      <w:bookmarkEnd w:id="2042"/>
    </w:p>
    <w:p w14:paraId="4D8D89B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债券投资者在国债预发行交易完成清算交收后，方可撤销其指定交易。</w:t>
      </w:r>
    </w:p>
    <w:p w14:paraId="6B4981A1">
      <w:pPr>
        <w:numPr>
          <w:ilvl w:val="2"/>
          <w:numId w:val="4"/>
        </w:numPr>
        <w:spacing w:line="600" w:lineRule="exact"/>
        <w:ind w:left="0" w:firstLine="0"/>
        <w:outlineLvl w:val="2"/>
        <w:rPr>
          <w:rFonts w:ascii="仿宋_GB2312" w:eastAsia="仿宋_GB2312"/>
          <w:b/>
          <w:sz w:val="30"/>
          <w:szCs w:val="30"/>
        </w:rPr>
      </w:pPr>
      <w:bookmarkStart w:id="2043" w:name="_Toc41660659"/>
      <w:r>
        <w:rPr>
          <w:rFonts w:hint="eastAsia" w:ascii="仿宋_GB2312" w:eastAsia="仿宋_GB2312"/>
          <w:b/>
          <w:sz w:val="30"/>
          <w:szCs w:val="30"/>
        </w:rPr>
        <w:t>保证金管理</w:t>
      </w:r>
      <w:bookmarkEnd w:id="2043"/>
    </w:p>
    <w:p w14:paraId="41E0894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国债预发行交易实行履约担保制度。</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以证券账户为基础核算单位计算下列保证金应收金额，并按结算参与人为单位向结算参与人收取：</w:t>
      </w:r>
    </w:p>
    <w:p w14:paraId="686411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履约保证金，即为保证结算参与人对国债预发行单边头寸履行交割义务而收取的保证金。履约保证金比例由本所和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确定并向市场公布。</w:t>
      </w:r>
    </w:p>
    <w:p w14:paraId="64EF21F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价差保证金，即为保证结算参与人对国债预发行平仓头寸履行结算义务而收取的保证金。</w:t>
      </w:r>
    </w:p>
    <w:p w14:paraId="78A6A9E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其中单边头寸是指单向净买入或净卖出的头寸，平仓头寸是指先买入后又卖出或者先卖出后又买入的头寸。平仓头寸按成交时间由先到后的顺序予以确定。</w:t>
      </w:r>
    </w:p>
    <w:p w14:paraId="16F68198">
      <w:pPr>
        <w:spacing w:line="600" w:lineRule="exact"/>
        <w:ind w:firstLine="602" w:firstLineChars="200"/>
        <w:outlineLvl w:val="3"/>
        <w:rPr>
          <w:rFonts w:ascii="仿宋_GB2312" w:eastAsia="仿宋_GB2312"/>
          <w:b/>
          <w:sz w:val="30"/>
          <w:szCs w:val="30"/>
        </w:rPr>
      </w:pPr>
      <w:bookmarkStart w:id="2044" w:name="_Toc41660660"/>
      <w:r>
        <w:rPr>
          <w:rFonts w:hint="eastAsia" w:ascii="仿宋_GB2312" w:eastAsia="仿宋_GB2312"/>
          <w:b/>
          <w:sz w:val="30"/>
          <w:szCs w:val="30"/>
        </w:rPr>
        <w:t>（1）价格招标预发行交易保证金</w:t>
      </w:r>
      <w:bookmarkEnd w:id="2044"/>
    </w:p>
    <w:p w14:paraId="338DF88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国债通过价格招标发行的，其预发行交易保证金按照以下标准收取：</w:t>
      </w:r>
    </w:p>
    <w:p w14:paraId="6250BF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履约保证金的计算公式为：履约保证金＝∑每个证券账户单边头寸成交金额×履约保证金比例；</w:t>
      </w:r>
    </w:p>
    <w:p w14:paraId="31F8C2D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价差保证金按买卖价差核算，并对亏损部分收取，计算公式为：价差保证金＝max[0，∑（平仓头寸面额×买入成交价格/100）-∑（平仓头寸面额×卖出成交价格/100）]。</w:t>
      </w:r>
    </w:p>
    <w:p w14:paraId="63F2EAB5">
      <w:pPr>
        <w:spacing w:line="600" w:lineRule="exact"/>
        <w:ind w:firstLine="602" w:firstLineChars="200"/>
        <w:outlineLvl w:val="3"/>
        <w:rPr>
          <w:rFonts w:ascii="仿宋_GB2312" w:eastAsia="仿宋_GB2312"/>
          <w:b/>
          <w:sz w:val="30"/>
          <w:szCs w:val="30"/>
        </w:rPr>
      </w:pPr>
      <w:bookmarkStart w:id="2045" w:name="_Toc41660661"/>
      <w:r>
        <w:rPr>
          <w:rFonts w:hint="eastAsia" w:ascii="仿宋_GB2312" w:eastAsia="仿宋_GB2312"/>
          <w:b/>
          <w:sz w:val="30"/>
          <w:szCs w:val="30"/>
        </w:rPr>
        <w:t>（2）利率招标预发行交易保证金</w:t>
      </w:r>
      <w:bookmarkEnd w:id="2045"/>
    </w:p>
    <w:p w14:paraId="7CDD577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国债通过利率招标发行的，其预发行交易保证金按照以下标准收取：</w:t>
      </w:r>
    </w:p>
    <w:p w14:paraId="1F3F2C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履约保证金的计算公式为：履约保证金＝∑每个证券账户单边头寸成交面额×履约保证金比例</w:t>
      </w:r>
    </w:p>
    <w:p w14:paraId="7DFA39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价差保证金按预期亏损额的120%收取。计算公式为：价差保证金＝max（0，预期亏损额）×120%。</w:t>
      </w:r>
    </w:p>
    <w:p w14:paraId="17EEF59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其中，预期亏损额=</w:t>
      </w:r>
      <w:r>
        <w:rPr>
          <w:rFonts w:ascii="仿宋_GB2312" w:hAnsi="Calibri" w:eastAsia="仿宋_GB2312"/>
          <w:sz w:val="30"/>
          <w:szCs w:val="30"/>
        </w:rPr>
        <w:drawing>
          <wp:inline distT="0" distB="0" distL="114300" distR="114300">
            <wp:extent cx="238125" cy="209550"/>
            <wp:effectExtent l="0" t="0" r="0" b="31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（平仓头寸面额×卖出收益率×参考久期）-</w:t>
      </w:r>
      <w:r>
        <w:rPr>
          <w:rFonts w:ascii="仿宋_GB2312" w:hAnsi="Calibri" w:eastAsia="仿宋_GB2312"/>
          <w:sz w:val="30"/>
          <w:szCs w:val="30"/>
        </w:rPr>
        <w:drawing>
          <wp:inline distT="0" distB="0" distL="114300" distR="114300">
            <wp:extent cx="238125" cy="209550"/>
            <wp:effectExtent l="0" t="0" r="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（平仓头寸面额×买入收益率×参考久期）。参考久期由本所在该国债预发行交易品种上市时公布，其计算公式如下：</w:t>
      </w:r>
    </w:p>
    <w:p w14:paraId="5064A72D">
      <w:pPr>
        <w:autoSpaceDE w:val="0"/>
        <w:autoSpaceDN w:val="0"/>
        <w:adjustRightInd w:val="0"/>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参考久期=</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r>
                <m:rPr>
                  <m:sty m:val="p"/>
                </m:rPr>
                <w:rPr>
                  <w:rFonts w:hint="eastAsia" w:ascii="Cambria Math" w:hAnsi="Cambria Math" w:eastAsia="仿宋_GB2312"/>
                  <w:sz w:val="30"/>
                  <w:szCs w:val="30"/>
                </w:rPr>
                <m:t>y</m:t>
              </m:r>
              <m:ctrlPr>
                <w:rPr>
                  <w:rFonts w:ascii="Cambria Math" w:hAnsi="Cambria Math" w:eastAsia="仿宋_GB2312"/>
                  <w:sz w:val="30"/>
                  <w:szCs w:val="30"/>
                </w:rPr>
              </m:ctrlPr>
            </m:den>
          </m:f>
          <m:r>
            <m:rPr>
              <m:sty m:val="p"/>
            </m:rPr>
            <w:rPr>
              <w:rFonts w:hint="eastAsia" w:ascii="Cambria Math" w:hAnsi="Cambria Math" w:eastAsia="仿宋_GB2312"/>
              <w:sz w:val="30"/>
              <w:szCs w:val="30"/>
            </w:rPr>
            <m:t>×</m:t>
          </m:r>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m:t>
              </m:r>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1+y/f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hint="eastAsia"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d>
        </m:oMath>
      </m:oMathPara>
    </w:p>
    <w:p w14:paraId="2AD425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其中，y为本所公布的该期限国债到期收益率，f为年付息频率，n为标的国债发行期限。</w:t>
      </w:r>
    </w:p>
    <w:p w14:paraId="43413130">
      <w:pPr>
        <w:spacing w:line="600" w:lineRule="exact"/>
        <w:ind w:firstLine="602" w:firstLineChars="200"/>
        <w:outlineLvl w:val="3"/>
        <w:rPr>
          <w:rFonts w:ascii="仿宋_GB2312" w:eastAsia="仿宋_GB2312"/>
          <w:b/>
          <w:sz w:val="30"/>
          <w:szCs w:val="30"/>
        </w:rPr>
      </w:pPr>
      <w:bookmarkStart w:id="2046" w:name="_Toc41660662"/>
      <w:r>
        <w:rPr>
          <w:rFonts w:hint="eastAsia" w:ascii="仿宋_GB2312" w:eastAsia="仿宋_GB2312"/>
          <w:b/>
          <w:sz w:val="30"/>
          <w:szCs w:val="30"/>
        </w:rPr>
        <w:t>（3）保证金账户</w:t>
      </w:r>
      <w:bookmarkEnd w:id="2046"/>
    </w:p>
    <w:p w14:paraId="253704B5">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通过结算参与人结算备付金账户收取和返还保证金，收取和返还数据通过结算明细文件发送结算参与人。</w:t>
      </w:r>
    </w:p>
    <w:p w14:paraId="55702E69">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将保证金存放于结算参与人价差保证金账户，与该账户内其它保证金分别核算。</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按照与结算银行商定的利率对价差保证金账户计付利息。结息日为每季度末月的20日，应计利息于结息日的次日记入价差保证金账户。</w:t>
      </w:r>
    </w:p>
    <w:p w14:paraId="253B626A">
      <w:pPr>
        <w:spacing w:line="600" w:lineRule="exact"/>
        <w:ind w:firstLine="602" w:firstLineChars="200"/>
        <w:outlineLvl w:val="3"/>
        <w:rPr>
          <w:rFonts w:ascii="仿宋_GB2312" w:eastAsia="仿宋_GB2312"/>
          <w:b/>
          <w:sz w:val="30"/>
          <w:szCs w:val="30"/>
        </w:rPr>
      </w:pPr>
      <w:bookmarkStart w:id="2047" w:name="_Toc41660663"/>
      <w:r>
        <w:rPr>
          <w:rFonts w:hint="eastAsia" w:ascii="仿宋_GB2312" w:eastAsia="仿宋_GB2312"/>
          <w:b/>
          <w:sz w:val="30"/>
          <w:szCs w:val="30"/>
        </w:rPr>
        <w:t>（4）保证金收取</w:t>
      </w:r>
      <w:bookmarkEnd w:id="2047"/>
    </w:p>
    <w:p w14:paraId="2F1A4B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于每个交易日日终核算应收保证金金额并于次日向结算参与人收取保证金。</w:t>
      </w:r>
    </w:p>
    <w:p w14:paraId="08B26A8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向结算参与人收取的保证金于国债预发行交易交收日交收完成后返还。如果结算参与人发生资金交收违约且证券处置所得不足以弥补违约金额，</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将动用违约结算参与人缴纳的保证金以弥补不足部分。</w:t>
      </w:r>
    </w:p>
    <w:p w14:paraId="12ACA6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证券公司向债券投资者收取保证金，不得低于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向结算参与人收取的标准。对于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收取的保证金部分，证券公司按照第8.1.4条第（3）款的规定收取。对于额外收取的保证金部分，证券公司可与债券投资者约定通过在其资金账户中冻结资金等方式收取。</w:t>
      </w:r>
    </w:p>
    <w:p w14:paraId="6CB44CAB">
      <w:pPr>
        <w:spacing w:line="600" w:lineRule="exact"/>
        <w:ind w:firstLine="602" w:firstLineChars="200"/>
        <w:rPr>
          <w:rFonts w:ascii="仿宋_GB2312" w:hAnsi="Calibri" w:eastAsia="仿宋_GB2312"/>
          <w:b/>
          <w:sz w:val="30"/>
          <w:szCs w:val="30"/>
        </w:rPr>
      </w:pPr>
      <w:r>
        <w:rPr>
          <w:rFonts w:hint="eastAsia" w:ascii="仿宋_GB2312" w:hAnsi="Calibri" w:eastAsia="仿宋_GB2312"/>
          <w:b/>
          <w:sz w:val="30"/>
          <w:szCs w:val="30"/>
        </w:rPr>
        <w:t>（5）各关键期限国债预发行交易的履约保证金比例</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5D76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4462F477">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期限</w:t>
            </w:r>
          </w:p>
        </w:tc>
        <w:tc>
          <w:tcPr>
            <w:tcW w:w="4148" w:type="dxa"/>
          </w:tcPr>
          <w:p w14:paraId="1163657B">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履约保证金比例</w:t>
            </w:r>
          </w:p>
        </w:tc>
      </w:tr>
      <w:tr w14:paraId="74B6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2D85E704">
            <w:pPr>
              <w:ind w:firstLine="357"/>
              <w:jc w:val="center"/>
              <w:rPr>
                <w:rFonts w:ascii="仿宋_GB2312" w:hAnsi="Calibri" w:eastAsia="仿宋_GB2312"/>
                <w:lang w:eastAsia="en-US" w:bidi="en-US"/>
              </w:rPr>
            </w:pPr>
            <w:r>
              <w:rPr>
                <w:rFonts w:hint="eastAsia" w:ascii="仿宋_GB2312" w:eastAsia="仿宋_GB2312"/>
                <w:color w:val="4D4D4D"/>
                <w:lang w:eastAsia="en-US" w:bidi="en-US"/>
              </w:rPr>
              <w:t>1年期</w:t>
            </w:r>
          </w:p>
        </w:tc>
        <w:tc>
          <w:tcPr>
            <w:tcW w:w="4148" w:type="dxa"/>
          </w:tcPr>
          <w:p w14:paraId="2BB65E46">
            <w:pPr>
              <w:ind w:firstLine="357"/>
              <w:jc w:val="center"/>
              <w:rPr>
                <w:rFonts w:ascii="仿宋_GB2312" w:hAnsi="Calibri" w:eastAsia="仿宋_GB2312"/>
                <w:lang w:eastAsia="en-US" w:bidi="en-US"/>
              </w:rPr>
            </w:pPr>
            <w:r>
              <w:rPr>
                <w:rFonts w:hint="eastAsia" w:ascii="仿宋_GB2312" w:eastAsia="仿宋_GB2312"/>
                <w:color w:val="4D4D4D"/>
                <w:lang w:eastAsia="en-US" w:bidi="en-US"/>
              </w:rPr>
              <w:t>1%</w:t>
            </w:r>
          </w:p>
        </w:tc>
      </w:tr>
      <w:tr w14:paraId="2BAC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781F7A3E">
            <w:pPr>
              <w:ind w:firstLine="357"/>
              <w:jc w:val="center"/>
              <w:rPr>
                <w:rFonts w:ascii="仿宋_GB2312" w:hAnsi="Calibri" w:eastAsia="仿宋_GB2312"/>
                <w:lang w:eastAsia="en-US" w:bidi="en-US"/>
              </w:rPr>
            </w:pPr>
            <w:r>
              <w:rPr>
                <w:rFonts w:hint="eastAsia" w:ascii="仿宋_GB2312" w:eastAsia="仿宋_GB2312"/>
                <w:color w:val="4D4D4D"/>
                <w:lang w:eastAsia="en-US" w:bidi="en-US"/>
              </w:rPr>
              <w:t>3年期</w:t>
            </w:r>
          </w:p>
        </w:tc>
        <w:tc>
          <w:tcPr>
            <w:tcW w:w="4148" w:type="dxa"/>
          </w:tcPr>
          <w:p w14:paraId="294DD18A">
            <w:pPr>
              <w:ind w:firstLine="357"/>
              <w:jc w:val="center"/>
              <w:rPr>
                <w:rFonts w:ascii="仿宋_GB2312" w:hAnsi="Calibri" w:eastAsia="仿宋_GB2312"/>
                <w:lang w:eastAsia="en-US" w:bidi="en-US"/>
              </w:rPr>
            </w:pPr>
            <w:r>
              <w:rPr>
                <w:rFonts w:hint="eastAsia" w:ascii="仿宋_GB2312" w:eastAsia="仿宋_GB2312"/>
                <w:color w:val="4D4D4D"/>
                <w:lang w:eastAsia="en-US" w:bidi="en-US"/>
              </w:rPr>
              <w:t>2%</w:t>
            </w:r>
          </w:p>
        </w:tc>
      </w:tr>
      <w:tr w14:paraId="33A9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14:paraId="54F90482">
            <w:pPr>
              <w:ind w:firstLine="357"/>
              <w:jc w:val="center"/>
              <w:rPr>
                <w:rFonts w:ascii="仿宋_GB2312" w:hAnsi="Calibri" w:eastAsia="仿宋_GB2312"/>
                <w:lang w:eastAsia="en-US" w:bidi="en-US"/>
              </w:rPr>
            </w:pPr>
            <w:r>
              <w:rPr>
                <w:rFonts w:hint="eastAsia" w:ascii="仿宋_GB2312" w:eastAsia="仿宋_GB2312"/>
                <w:color w:val="4D4D4D"/>
                <w:lang w:eastAsia="en-US" w:bidi="en-US"/>
              </w:rPr>
              <w:t>5年期</w:t>
            </w:r>
          </w:p>
        </w:tc>
        <w:tc>
          <w:tcPr>
            <w:tcW w:w="4148" w:type="dxa"/>
          </w:tcPr>
          <w:p w14:paraId="1CD7179B">
            <w:pPr>
              <w:ind w:firstLine="357"/>
              <w:jc w:val="center"/>
              <w:rPr>
                <w:rFonts w:ascii="仿宋_GB2312" w:hAnsi="Calibri" w:eastAsia="仿宋_GB2312"/>
                <w:lang w:eastAsia="en-US" w:bidi="en-US"/>
              </w:rPr>
            </w:pPr>
            <w:r>
              <w:rPr>
                <w:rFonts w:hint="eastAsia" w:ascii="仿宋_GB2312" w:eastAsia="仿宋_GB2312"/>
                <w:color w:val="4D4D4D"/>
                <w:lang w:eastAsia="en-US" w:bidi="en-US"/>
              </w:rPr>
              <w:t>3%</w:t>
            </w:r>
          </w:p>
        </w:tc>
      </w:tr>
      <w:tr w14:paraId="2D96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63C3E4D">
            <w:pPr>
              <w:ind w:firstLine="357"/>
              <w:jc w:val="center"/>
              <w:rPr>
                <w:rFonts w:ascii="仿宋_GB2312" w:hAnsi="Calibri" w:eastAsia="仿宋_GB2312"/>
                <w:lang w:eastAsia="en-US" w:bidi="en-US"/>
              </w:rPr>
            </w:pPr>
            <w:r>
              <w:rPr>
                <w:rFonts w:hint="eastAsia" w:ascii="仿宋_GB2312" w:eastAsia="仿宋_GB2312"/>
                <w:color w:val="4D4D4D"/>
                <w:lang w:eastAsia="en-US" w:bidi="en-US"/>
              </w:rPr>
              <w:t>7年期</w:t>
            </w:r>
          </w:p>
        </w:tc>
        <w:tc>
          <w:tcPr>
            <w:tcW w:w="4148" w:type="dxa"/>
          </w:tcPr>
          <w:p w14:paraId="08DCADF7">
            <w:pPr>
              <w:ind w:firstLine="357"/>
              <w:jc w:val="center"/>
              <w:rPr>
                <w:rFonts w:ascii="仿宋_GB2312" w:hAnsi="Calibri" w:eastAsia="仿宋_GB2312"/>
                <w:lang w:eastAsia="en-US" w:bidi="en-US"/>
              </w:rPr>
            </w:pPr>
            <w:r>
              <w:rPr>
                <w:rFonts w:hint="eastAsia" w:ascii="仿宋_GB2312" w:eastAsia="仿宋_GB2312"/>
                <w:color w:val="4D4D4D"/>
                <w:lang w:eastAsia="en-US" w:bidi="en-US"/>
              </w:rPr>
              <w:t>4%</w:t>
            </w:r>
          </w:p>
        </w:tc>
      </w:tr>
      <w:tr w14:paraId="675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3ADC9D0">
            <w:pPr>
              <w:ind w:firstLine="357"/>
              <w:jc w:val="center"/>
              <w:rPr>
                <w:rFonts w:ascii="仿宋_GB2312" w:hAnsi="Calibri" w:eastAsia="仿宋_GB2312"/>
                <w:lang w:eastAsia="en-US" w:bidi="en-US"/>
              </w:rPr>
            </w:pPr>
            <w:r>
              <w:rPr>
                <w:rFonts w:hint="eastAsia" w:ascii="仿宋_GB2312" w:eastAsia="仿宋_GB2312"/>
                <w:color w:val="4D4D4D"/>
                <w:lang w:eastAsia="en-US" w:bidi="en-US"/>
              </w:rPr>
              <w:t>10年期</w:t>
            </w:r>
          </w:p>
        </w:tc>
        <w:tc>
          <w:tcPr>
            <w:tcW w:w="4148" w:type="dxa"/>
          </w:tcPr>
          <w:p w14:paraId="55FFBA65">
            <w:pPr>
              <w:ind w:firstLine="357"/>
              <w:jc w:val="center"/>
              <w:rPr>
                <w:rFonts w:ascii="仿宋_GB2312" w:hAnsi="Calibri" w:eastAsia="仿宋_GB2312"/>
                <w:lang w:eastAsia="en-US" w:bidi="en-US"/>
              </w:rPr>
            </w:pPr>
            <w:r>
              <w:rPr>
                <w:rFonts w:hint="eastAsia" w:ascii="仿宋_GB2312" w:eastAsia="仿宋_GB2312"/>
                <w:color w:val="4D4D4D"/>
                <w:lang w:eastAsia="en-US" w:bidi="en-US"/>
              </w:rPr>
              <w:t>5%</w:t>
            </w:r>
          </w:p>
        </w:tc>
      </w:tr>
    </w:tbl>
    <w:p w14:paraId="2D365968">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上述各关键期限国债预发行交易的履约保证金比例于2014年7月18日起实施，《关于发布&lt;上海证券交易所、中国证券登记结算有限责任公司国债预发行（试点）交易及登记结算业务办法&gt;及有关事项的通知》（上证发〔2013〕4号）第二条“《办法》第二十条规定的国债预发行交易履约保证金比例暂定为10%”不再适用。</w:t>
      </w:r>
    </w:p>
    <w:p w14:paraId="45AB54F5">
      <w:pPr>
        <w:numPr>
          <w:ilvl w:val="2"/>
          <w:numId w:val="4"/>
        </w:numPr>
        <w:spacing w:line="600" w:lineRule="exact"/>
        <w:ind w:left="0" w:firstLine="0"/>
        <w:outlineLvl w:val="2"/>
        <w:rPr>
          <w:rFonts w:ascii="仿宋_GB2312" w:eastAsia="仿宋_GB2312"/>
          <w:b/>
          <w:sz w:val="30"/>
          <w:szCs w:val="30"/>
        </w:rPr>
      </w:pPr>
      <w:bookmarkStart w:id="2048" w:name="_Toc41660665"/>
      <w:r>
        <w:rPr>
          <w:rFonts w:hint="eastAsia" w:ascii="仿宋_GB2312" w:eastAsia="仿宋_GB2312"/>
          <w:b/>
          <w:sz w:val="30"/>
          <w:szCs w:val="30"/>
        </w:rPr>
        <w:t>清算与交收</w:t>
      </w:r>
      <w:bookmarkEnd w:id="2048"/>
    </w:p>
    <w:p w14:paraId="26CD4A21">
      <w:pPr>
        <w:spacing w:line="600" w:lineRule="exact"/>
        <w:ind w:firstLine="602" w:firstLineChars="200"/>
        <w:outlineLvl w:val="3"/>
        <w:rPr>
          <w:rFonts w:ascii="仿宋_GB2312" w:eastAsia="仿宋_GB2312"/>
          <w:b/>
          <w:sz w:val="30"/>
          <w:szCs w:val="30"/>
        </w:rPr>
      </w:pPr>
      <w:bookmarkStart w:id="2049" w:name="_Toc41660666"/>
      <w:r>
        <w:rPr>
          <w:rFonts w:hint="eastAsia" w:ascii="仿宋_GB2312" w:eastAsia="仿宋_GB2312"/>
          <w:b/>
          <w:sz w:val="30"/>
          <w:szCs w:val="30"/>
        </w:rPr>
        <w:t>（1）净额结算</w:t>
      </w:r>
      <w:bookmarkEnd w:id="2049"/>
    </w:p>
    <w:p w14:paraId="0FEDF6A4">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作为共同对手方，为国债预发行交易提供多边净额结算服务。</w:t>
      </w:r>
    </w:p>
    <w:p w14:paraId="462D612A">
      <w:pPr>
        <w:spacing w:line="600" w:lineRule="exact"/>
        <w:ind w:firstLine="602" w:firstLineChars="200"/>
        <w:outlineLvl w:val="3"/>
        <w:rPr>
          <w:rFonts w:ascii="仿宋_GB2312" w:eastAsia="仿宋_GB2312"/>
          <w:b/>
          <w:sz w:val="30"/>
          <w:szCs w:val="30"/>
        </w:rPr>
      </w:pPr>
      <w:bookmarkStart w:id="2050" w:name="_Toc41660667"/>
      <w:r>
        <w:rPr>
          <w:rFonts w:hint="eastAsia" w:ascii="仿宋_GB2312" w:eastAsia="仿宋_GB2312"/>
          <w:b/>
          <w:sz w:val="30"/>
          <w:szCs w:val="30"/>
        </w:rPr>
        <w:t>（2）国债清算</w:t>
      </w:r>
      <w:bookmarkEnd w:id="2050"/>
    </w:p>
    <w:p w14:paraId="42225F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于每一交易日闭市后对预发行交易的应收付国债进行清算，相关清算明细每日发送结算参与人。</w:t>
      </w:r>
    </w:p>
    <w:p w14:paraId="5BAB1248">
      <w:pPr>
        <w:spacing w:line="600" w:lineRule="exact"/>
        <w:ind w:firstLine="602" w:firstLineChars="200"/>
        <w:outlineLvl w:val="3"/>
        <w:rPr>
          <w:rFonts w:ascii="仿宋_GB2312" w:eastAsia="仿宋_GB2312"/>
          <w:b/>
          <w:sz w:val="30"/>
          <w:szCs w:val="30"/>
        </w:rPr>
      </w:pPr>
      <w:bookmarkStart w:id="2051" w:name="_Toc41660668"/>
      <w:r>
        <w:rPr>
          <w:rFonts w:hint="eastAsia" w:ascii="仿宋_GB2312" w:eastAsia="仿宋_GB2312"/>
          <w:b/>
          <w:sz w:val="30"/>
          <w:szCs w:val="30"/>
        </w:rPr>
        <w:t>（3）资金清算</w:t>
      </w:r>
      <w:bookmarkEnd w:id="2051"/>
    </w:p>
    <w:p w14:paraId="401B9CC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按照下列公式对相应券种的国债预发行交易进行资金清算，清算净额并入结算参与人当日首次清算净额并于次一交易日交收。</w:t>
      </w:r>
    </w:p>
    <w:p w14:paraId="391720A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结算参与人资金清算金额=∑（买入成交面额×结算价格/100）-∑（卖出成交面额×结算价格/100）</w:t>
      </w:r>
    </w:p>
    <w:p w14:paraId="6C88CBE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国债通过价格招标发行的，其结算价格为实际成交价格；国债通过利率招标发行的，其结算价格为按照以下公式计算的理论结算价格：</w:t>
      </w:r>
    </w:p>
    <w:p w14:paraId="5122E8AE">
      <w:pPr>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理论结算价格P=</m:t>
          </m:r>
          <m:nary>
            <m:naryPr>
              <m:chr m:val="∑"/>
              <m:limLoc m:val="undOvr"/>
              <m:ctrlPr>
                <w:rPr>
                  <w:rFonts w:ascii="Cambria Math" w:hAnsi="Cambria Math" w:eastAsia="仿宋_GB2312"/>
                  <w:sz w:val="30"/>
                  <w:szCs w:val="30"/>
                </w:rPr>
              </m:ctrlPr>
            </m:naryPr>
            <m:sub>
              <m:r>
                <m:rPr>
                  <m:sty m:val="p"/>
                </m:rPr>
                <w:rPr>
                  <w:rFonts w:ascii="Cambria Math" w:hAnsi="Cambria Math" w:eastAsia="仿宋_GB2312"/>
                  <w:sz w:val="30"/>
                  <w:szCs w:val="30"/>
                </w:rPr>
                <m:t>i=1</m:t>
              </m:r>
              <m:ctrlPr>
                <w:rPr>
                  <w:rFonts w:ascii="Cambria Math" w:hAnsi="Cambria Math" w:eastAsia="仿宋_GB2312"/>
                  <w:sz w:val="30"/>
                  <w:szCs w:val="30"/>
                </w:rPr>
              </m:ctrlPr>
            </m:sub>
            <m:sup>
              <m:r>
                <m:rPr>
                  <m:sty m:val="p"/>
                </m:rPr>
                <w:rPr>
                  <w:rFonts w:ascii="Cambria Math" w:hAnsi="Cambria Math" w:eastAsia="仿宋_GB2312"/>
                  <w:sz w:val="30"/>
                  <w:szCs w:val="30"/>
                </w:rPr>
                <m:t>f×n</m:t>
              </m:r>
              <m:ctrlPr>
                <w:rPr>
                  <w:rFonts w:ascii="Cambria Math" w:hAnsi="Cambria Math" w:eastAsia="仿宋_GB2312"/>
                  <w:sz w:val="30"/>
                  <w:szCs w:val="30"/>
                </w:rPr>
              </m:ctrlPr>
            </m:sup>
            <m:e>
              <m:f>
                <m:fPr>
                  <m:ctrlPr>
                    <w:rPr>
                      <w:rFonts w:ascii="Cambria Math" w:hAnsi="Cambria Math" w:eastAsia="仿宋_GB2312"/>
                      <w:sz w:val="30"/>
                      <w:szCs w:val="30"/>
                    </w:rPr>
                  </m:ctrlPr>
                </m:fPr>
                <m:num>
                  <m:r>
                    <m:rPr>
                      <m:sty m:val="p"/>
                    </m:rPr>
                    <w:rPr>
                      <w:rFonts w:ascii="Cambria Math" w:hAnsi="Cambria Math" w:eastAsia="仿宋_GB2312"/>
                      <w:sz w:val="30"/>
                      <w:szCs w:val="30"/>
                    </w:rPr>
                    <m:t>100×C/f</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i</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nary>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ascii="Cambria Math" w:hAnsi="Cambria Math" w:eastAsia="仿宋_GB2312"/>
                  <w:sz w:val="30"/>
                  <w:szCs w:val="30"/>
                </w:rPr>
                <m:t>100</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oMath>
      </m:oMathPara>
    </w:p>
    <w:p w14:paraId="44B324A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其中C为预发行国债发行票面利率，R为预发行交易成交收益率，f为年付息频率，n为预发行国债的期限。</w:t>
      </w:r>
    </w:p>
    <w:p w14:paraId="68A132FF">
      <w:pPr>
        <w:spacing w:line="600" w:lineRule="exact"/>
        <w:ind w:firstLine="602" w:firstLineChars="200"/>
        <w:outlineLvl w:val="3"/>
        <w:rPr>
          <w:rFonts w:ascii="仿宋_GB2312" w:eastAsia="仿宋_GB2312"/>
          <w:b/>
          <w:sz w:val="30"/>
          <w:szCs w:val="30"/>
        </w:rPr>
      </w:pPr>
      <w:bookmarkStart w:id="2052" w:name="_Toc41660669"/>
      <w:r>
        <w:rPr>
          <w:rFonts w:hint="eastAsia" w:ascii="仿宋_GB2312" w:eastAsia="仿宋_GB2312"/>
          <w:b/>
          <w:sz w:val="30"/>
          <w:szCs w:val="30"/>
        </w:rPr>
        <w:t>（4）国债交收</w:t>
      </w:r>
      <w:bookmarkEnd w:id="2052"/>
    </w:p>
    <w:p w14:paraId="7396F07B">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国债招标日，国债承销团成员应当在国债招标完成后及时向本所提交该期国债在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的托管量和场外分销计划量。</w:t>
      </w:r>
    </w:p>
    <w:p w14:paraId="37204E5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对国债预发行交易进行证券交收。</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的托管数量扣减其场外分销计划数量后，用于预发行交易国债的交收。对于续发国债的预发行交易，同期存量国债可用于其交收。</w:t>
      </w:r>
    </w:p>
    <w:p w14:paraId="29B7AC10">
      <w:pPr>
        <w:spacing w:line="600" w:lineRule="exact"/>
        <w:ind w:firstLine="600" w:firstLineChars="200"/>
        <w:rPr>
          <w:rFonts w:ascii="仿宋_GB2312" w:hAnsi="黑体" w:eastAsia="仿宋_GB2312"/>
          <w:bCs/>
          <w:sz w:val="30"/>
          <w:szCs w:val="30"/>
        </w:rPr>
      </w:pPr>
      <w:bookmarkStart w:id="2053" w:name="_Toc41660670"/>
      <w:r>
        <w:rPr>
          <w:rFonts w:hint="eastAsia" w:ascii="仿宋_GB2312" w:hAnsi="黑体" w:eastAsia="仿宋_GB2312"/>
          <w:bCs/>
          <w:sz w:val="30"/>
          <w:szCs w:val="30"/>
        </w:rPr>
        <w:t>1）国债交收不足</w:t>
      </w:r>
      <w:bookmarkEnd w:id="2053"/>
    </w:p>
    <w:p w14:paraId="1FD9F6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的国债托管数量扣减其场外分销计划数量后，小于其预发行交易期间的净卖出数量，则视为其国债预发行交易证券交收不足。</w:t>
      </w:r>
    </w:p>
    <w:p w14:paraId="130952D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国债预发行交易出现证券交收不足的，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于国债招标日按照单个账户净买入数量由小到大的顺序完成国债交收，并对国债预发行交易证券交收不足部分进行现金结算。</w:t>
      </w:r>
    </w:p>
    <w:p w14:paraId="33586A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现金结算金额的计算公式为：现金结算金额=证券交收不足面额×现金结算价格/100。</w:t>
      </w:r>
    </w:p>
    <w:p w14:paraId="694D968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国债通过价格招标发行的，其现金结算价格为该券种当次发行价格；国债通过利率招标发行的，其现金结算价格为该券种发行面额。</w:t>
      </w:r>
    </w:p>
    <w:p w14:paraId="5B003786">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证券交收不足部分向未能足额交付应付证券结算参与人收取补偿金并支付给未能足额收到应收证券的结算参与人，再由后者支付给其名下未能足额收到应收证券的债券投资者。上述补偿金标准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根据国债期限和市场情况确定并向市场公布。</w:t>
      </w:r>
    </w:p>
    <w:p w14:paraId="13060C63">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将现金结算金额与补偿金于国债招标日并入当日首次清算净额并于次一交易日交收。</w:t>
      </w:r>
    </w:p>
    <w:p w14:paraId="40C495FB">
      <w:pPr>
        <w:spacing w:line="600" w:lineRule="exact"/>
        <w:ind w:firstLine="600" w:firstLineChars="200"/>
        <w:rPr>
          <w:rFonts w:ascii="仿宋_GB2312" w:hAnsi="黑体" w:eastAsia="仿宋_GB2312"/>
          <w:bCs/>
          <w:sz w:val="30"/>
          <w:szCs w:val="30"/>
        </w:rPr>
      </w:pPr>
      <w:bookmarkStart w:id="2054" w:name="_Toc41660671"/>
      <w:r>
        <w:rPr>
          <w:rFonts w:hint="eastAsia" w:ascii="仿宋_GB2312" w:hAnsi="黑体" w:eastAsia="仿宋_GB2312"/>
          <w:bCs/>
          <w:sz w:val="30"/>
          <w:szCs w:val="30"/>
        </w:rPr>
        <w:t>2）资金交收违约</w:t>
      </w:r>
      <w:bookmarkEnd w:id="2054"/>
    </w:p>
    <w:p w14:paraId="241454C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结算参与人发生资金交收违约的，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有权按相关证券法规和业务规则采取扣收结算参与人自营证券、暂不交付相关国债并处置、提请本所暂停交易等风险控制措施。</w:t>
      </w:r>
    </w:p>
    <w:p w14:paraId="1B4A4DC3">
      <w:pPr>
        <w:numPr>
          <w:ilvl w:val="1"/>
          <w:numId w:val="4"/>
        </w:numPr>
        <w:spacing w:line="600" w:lineRule="exact"/>
        <w:outlineLvl w:val="1"/>
        <w:rPr>
          <w:rFonts w:ascii="仿宋_GB2312" w:eastAsia="仿宋_GB2312"/>
          <w:b/>
          <w:sz w:val="30"/>
          <w:szCs w:val="30"/>
        </w:rPr>
      </w:pPr>
      <w:bookmarkStart w:id="2055" w:name="_Toc151136919"/>
      <w:r>
        <w:rPr>
          <w:rFonts w:hint="eastAsia" w:ascii="仿宋_GB2312" w:eastAsia="仿宋_GB2312"/>
          <w:b/>
          <w:sz w:val="30"/>
          <w:szCs w:val="30"/>
        </w:rPr>
        <w:t>债券借贷</w:t>
      </w:r>
      <w:bookmarkEnd w:id="2055"/>
    </w:p>
    <w:p w14:paraId="4B3B925D">
      <w:pPr>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债券借贷是指债券借贷双方自主协商约定，由债券借入方以一定数量的债券设定质押，从债券借出方借入标的债券，同时约定在未来特定日期归还标的债券和支付债券借贷费用，并解除出质债券质押登记的行为。</w:t>
      </w:r>
    </w:p>
    <w:p w14:paraId="38F292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68AFA0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债券借贷相关规则如下：</w:t>
      </w:r>
    </w:p>
    <w:p w14:paraId="5D9E6CB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中国证券登记结算有限责任公司债券借贷业务办法》（以下</w:t>
      </w:r>
      <w:r>
        <w:rPr>
          <w:rFonts w:ascii="仿宋_GB2312" w:hAnsi="Calibri" w:eastAsia="仿宋_GB2312"/>
          <w:sz w:val="30"/>
          <w:szCs w:val="30"/>
        </w:rPr>
        <w:t>简称《</w:t>
      </w:r>
      <w:r>
        <w:rPr>
          <w:rFonts w:hint="eastAsia" w:ascii="仿宋_GB2312" w:hAnsi="Calibri" w:eastAsia="仿宋_GB2312"/>
          <w:sz w:val="30"/>
          <w:szCs w:val="30"/>
        </w:rPr>
        <w:t>办法</w:t>
      </w:r>
      <w:r>
        <w:rPr>
          <w:rFonts w:ascii="仿宋_GB2312" w:hAnsi="Calibri" w:eastAsia="仿宋_GB2312"/>
          <w:sz w:val="30"/>
          <w:szCs w:val="30"/>
        </w:rPr>
        <w:t>》</w:t>
      </w:r>
      <w:r>
        <w:rPr>
          <w:rFonts w:hint="eastAsia" w:ascii="仿宋_GB2312" w:hAnsi="Calibri" w:eastAsia="仿宋_GB2312"/>
          <w:sz w:val="30"/>
          <w:szCs w:val="30"/>
        </w:rPr>
        <w:t>）</w:t>
      </w:r>
    </w:p>
    <w:p w14:paraId="721D278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p>
    <w:p w14:paraId="035689AB">
      <w:pPr>
        <w:spacing w:line="600" w:lineRule="exact"/>
        <w:ind w:firstLine="602" w:firstLineChars="200"/>
        <w:outlineLvl w:val="3"/>
        <w:rPr>
          <w:rFonts w:ascii="仿宋_GB2312"/>
          <w:b/>
          <w:sz w:val="30"/>
        </w:rPr>
      </w:pPr>
      <w:r>
        <w:rPr>
          <w:rFonts w:hint="eastAsia" w:ascii="仿宋_GB2312" w:hAnsi="Calibri" w:eastAsia="仿宋_GB2312"/>
          <w:b/>
          <w:sz w:val="30"/>
          <w:szCs w:val="30"/>
        </w:rPr>
        <w:t>（</w:t>
      </w:r>
      <w:r>
        <w:rPr>
          <w:rFonts w:ascii="仿宋_GB2312" w:hAnsi="Calibri" w:eastAsia="仿宋_GB2312"/>
          <w:b/>
          <w:sz w:val="30"/>
          <w:szCs w:val="30"/>
        </w:rPr>
        <w:t>1</w:t>
      </w:r>
      <w:r>
        <w:rPr>
          <w:rFonts w:hint="eastAsia" w:ascii="仿宋_GB2312" w:hAnsi="Calibri" w:eastAsia="仿宋_GB2312"/>
          <w:b/>
          <w:sz w:val="30"/>
          <w:szCs w:val="30"/>
        </w:rPr>
        <w:t>）投资者适当性要求</w:t>
      </w:r>
    </w:p>
    <w:p w14:paraId="142375DC">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债券借贷实行投资者适当性管理制度，符合《上海证券交易所债券市场投资者适当性管理办法》规定的专业投资者中的机构投资者可以参与债券借贷。投资者应当根据本所的规定及自身的风险承受能力审慎评估是否参与债券借贷，并自行承担风险。</w:t>
      </w:r>
    </w:p>
    <w:p w14:paraId="400033C2">
      <w:pPr>
        <w:spacing w:line="600" w:lineRule="exact"/>
        <w:ind w:firstLine="600" w:firstLineChars="200"/>
        <w:outlineLvl w:val="3"/>
        <w:rPr>
          <w:rFonts w:ascii="仿宋_GB2312" w:hAnsi="宋体" w:eastAsia="仿宋_GB2312" w:cs="宋体"/>
          <w:sz w:val="30"/>
          <w:szCs w:val="30"/>
        </w:rPr>
      </w:pPr>
      <w:r>
        <w:rPr>
          <w:rFonts w:hint="eastAsia" w:ascii="仿宋_GB2312" w:eastAsia="仿宋_GB2312"/>
          <w:sz w:val="30"/>
          <w:szCs w:val="30"/>
        </w:rPr>
        <w:t>债券借贷双方作为证券公司经纪客户参与债券借贷业务，证</w:t>
      </w:r>
      <w:r>
        <w:rPr>
          <w:rFonts w:hint="eastAsia" w:ascii="仿宋_GB2312" w:hAnsi="宋体" w:eastAsia="仿宋_GB2312" w:cs="宋体"/>
          <w:sz w:val="30"/>
          <w:szCs w:val="30"/>
        </w:rPr>
        <w:t>券公司应当按照《上海证券交易所债券市场投资者适当性管理办法》的规定对经纪客户进行管理，建立健全经纪客户参与债券借贷相关的业务流程和风险管理制度。</w:t>
      </w:r>
      <w:r>
        <w:rPr>
          <w:rFonts w:hint="eastAsia" w:ascii="仿宋_GB2312" w:eastAsia="仿宋_GB2312"/>
          <w:sz w:val="30"/>
          <w:szCs w:val="30"/>
        </w:rPr>
        <w:t>证券公司应当对经纪客户资质进行审查，确保参与</w:t>
      </w:r>
      <w:r>
        <w:rPr>
          <w:rFonts w:hint="eastAsia" w:ascii="仿宋_GB2312" w:eastAsia="仿宋_GB2312"/>
          <w:color w:val="000000"/>
          <w:sz w:val="30"/>
          <w:szCs w:val="30"/>
        </w:rPr>
        <w:t>债券借贷的经纪客户</w:t>
      </w:r>
      <w:r>
        <w:rPr>
          <w:rFonts w:hint="eastAsia" w:ascii="仿宋_GB2312" w:hAnsi="宋体" w:eastAsia="仿宋_GB2312" w:cs="宋体"/>
          <w:sz w:val="30"/>
          <w:szCs w:val="30"/>
        </w:rPr>
        <w:t>符合投资者适当性管理要求，在经纪客户参与债券借贷前，</w:t>
      </w:r>
      <w:r>
        <w:rPr>
          <w:rFonts w:hint="eastAsia" w:ascii="仿宋_GB2312" w:eastAsia="仿宋_GB2312"/>
          <w:sz w:val="30"/>
          <w:szCs w:val="30"/>
        </w:rPr>
        <w:t>向其全面介绍相关业务规则及协议，充分揭示可能产生的风险，</w:t>
      </w:r>
      <w:r>
        <w:rPr>
          <w:rFonts w:hint="eastAsia" w:ascii="仿宋_GB2312" w:hAnsi="宋体" w:eastAsia="仿宋_GB2312" w:cs="宋体"/>
          <w:sz w:val="30"/>
          <w:szCs w:val="30"/>
        </w:rPr>
        <w:t>并要求其签署风险揭示书。风险揭示书应当包含本所确定的风险揭示书必备条款。</w:t>
      </w:r>
    </w:p>
    <w:p w14:paraId="19929E34">
      <w:pPr>
        <w:spacing w:line="600" w:lineRule="exact"/>
        <w:ind w:firstLine="600" w:firstLineChars="200"/>
        <w:outlineLvl w:val="3"/>
        <w:rPr>
          <w:rFonts w:ascii="仿宋_GB2312" w:hAnsi="宋体" w:eastAsia="仿宋_GB2312" w:cs="宋体"/>
          <w:sz w:val="30"/>
          <w:szCs w:val="30"/>
        </w:rPr>
      </w:pPr>
      <w:r>
        <w:rPr>
          <w:rFonts w:hint="eastAsia" w:ascii="仿宋_GB2312" w:hAnsi="宋体" w:eastAsia="仿宋_GB2312" w:cs="宋体"/>
          <w:sz w:val="30"/>
          <w:szCs w:val="30"/>
        </w:rPr>
        <w:t>风险</w:t>
      </w:r>
      <w:r>
        <w:rPr>
          <w:rFonts w:ascii="仿宋_GB2312" w:hAnsi="宋体" w:eastAsia="仿宋_GB2312" w:cs="宋体"/>
          <w:sz w:val="30"/>
          <w:szCs w:val="30"/>
        </w:rPr>
        <w:t>揭示书</w:t>
      </w:r>
      <w:r>
        <w:rPr>
          <w:rFonts w:hint="eastAsia" w:ascii="仿宋_GB2312" w:hAnsi="宋体" w:eastAsia="仿宋_GB2312" w:cs="宋体"/>
          <w:sz w:val="30"/>
          <w:szCs w:val="30"/>
        </w:rPr>
        <w:t>必备条款</w:t>
      </w:r>
      <w:r>
        <w:rPr>
          <w:rFonts w:ascii="仿宋_GB2312" w:hAnsi="宋体" w:eastAsia="仿宋_GB2312" w:cs="宋体"/>
          <w:sz w:val="30"/>
          <w:szCs w:val="30"/>
        </w:rPr>
        <w:t>文本请见</w:t>
      </w:r>
      <w:r>
        <w:rPr>
          <w:rFonts w:hint="eastAsia" w:ascii="仿宋_GB2312" w:hAnsi="宋体" w:eastAsia="仿宋_GB2312" w:cs="宋体"/>
          <w:sz w:val="30"/>
          <w:szCs w:val="30"/>
        </w:rPr>
        <w:t>《上海证券交易所会员管理业务指南第2号——风险揭示书必备条款》附件2.7。</w:t>
      </w:r>
    </w:p>
    <w:p w14:paraId="2A7EC70B">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（2）相关协议签署</w:t>
      </w:r>
    </w:p>
    <w:p w14:paraId="2D13B117">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借贷双方参与债券借贷应当签署《上海证券交易所债券借贷业务主协议》（以下简称《主协议》）。《主协议》</w:t>
      </w:r>
      <w:r>
        <w:rPr>
          <w:rFonts w:hint="eastAsia" w:ascii="仿宋_GB2312" w:hAnsi="宋体" w:eastAsia="仿宋_GB2312" w:cs="宋体"/>
          <w:sz w:val="30"/>
          <w:szCs w:val="30"/>
        </w:rPr>
        <w:t>内容包括但不限于各方权利义务、标的债券及质押债券风险处置及借贷违约责任的相关条款等。</w:t>
      </w:r>
      <w:r>
        <w:rPr>
          <w:rFonts w:hint="eastAsia" w:ascii="仿宋_GB2312" w:eastAsia="仿宋_GB2312"/>
          <w:sz w:val="30"/>
          <w:szCs w:val="30"/>
        </w:rPr>
        <w:t>《主协议》</w:t>
      </w:r>
      <w:r>
        <w:rPr>
          <w:rFonts w:hint="eastAsia" w:ascii="仿宋_GB2312" w:hAnsi="宋体" w:eastAsia="仿宋_GB2312" w:cs="宋体"/>
          <w:sz w:val="30"/>
          <w:szCs w:val="30"/>
        </w:rPr>
        <w:t>通过书面方式或电子方式签署。</w:t>
      </w:r>
      <w:r>
        <w:rPr>
          <w:rFonts w:hint="eastAsia" w:ascii="仿宋_GB2312" w:eastAsia="仿宋_GB2312"/>
          <w:sz w:val="30"/>
          <w:szCs w:val="30"/>
        </w:rPr>
        <w:t>主协议为开放式协议，由市场参与人签署后在各签署人之间生效。</w:t>
      </w:r>
    </w:p>
    <w:p w14:paraId="064097AF">
      <w:pPr>
        <w:spacing w:line="600" w:lineRule="exact"/>
        <w:ind w:firstLine="600" w:firstLineChars="200"/>
        <w:outlineLvl w:val="3"/>
        <w:rPr>
          <w:rFonts w:ascii="仿宋_GB2312" w:hAnsi="宋体" w:eastAsia="仿宋_GB2312" w:cs="宋体"/>
          <w:sz w:val="30"/>
          <w:szCs w:val="30"/>
        </w:rPr>
      </w:pPr>
      <w:r>
        <w:rPr>
          <w:rFonts w:hint="eastAsia" w:ascii="仿宋_GB2312" w:hAnsi="宋体" w:eastAsia="仿宋_GB2312" w:cs="宋体"/>
          <w:sz w:val="30"/>
          <w:szCs w:val="30"/>
        </w:rPr>
        <w:t>借贷双方可以就相关事宜签订补充协议，也可以在借贷申报时填写申报补充约定。补充协议、申报补充约定可以约定质押债券及标的债券的折算标准、费用、风险处置以及借贷违约处置等内容，但不得违反法律法规、</w:t>
      </w:r>
      <w:r>
        <w:rPr>
          <w:rFonts w:ascii="仿宋_GB2312" w:hAnsi="宋体" w:eastAsia="仿宋_GB2312" w:cs="宋体"/>
          <w:sz w:val="30"/>
          <w:szCs w:val="30"/>
        </w:rPr>
        <w:t>《办法》</w:t>
      </w:r>
      <w:r>
        <w:rPr>
          <w:rFonts w:hint="eastAsia" w:ascii="仿宋_GB2312" w:hAnsi="宋体" w:eastAsia="仿宋_GB2312" w:cs="宋体"/>
          <w:sz w:val="30"/>
          <w:szCs w:val="30"/>
        </w:rPr>
        <w:t>、</w:t>
      </w:r>
      <w:r>
        <w:rPr>
          <w:rFonts w:ascii="仿宋_GB2312" w:hAnsi="宋体" w:eastAsia="仿宋_GB2312" w:cs="宋体"/>
          <w:sz w:val="30"/>
          <w:szCs w:val="30"/>
        </w:rPr>
        <w:t>本指南</w:t>
      </w:r>
      <w:r>
        <w:rPr>
          <w:rFonts w:hint="eastAsia" w:ascii="仿宋_GB2312" w:hAnsi="宋体" w:eastAsia="仿宋_GB2312" w:cs="宋体"/>
          <w:sz w:val="30"/>
          <w:szCs w:val="30"/>
        </w:rPr>
        <w:t>以及本所和登记结算</w:t>
      </w:r>
      <w:r>
        <w:rPr>
          <w:rFonts w:ascii="仿宋_GB2312" w:hAnsi="宋体" w:eastAsia="仿宋_GB2312" w:cs="宋体"/>
          <w:sz w:val="30"/>
          <w:szCs w:val="30"/>
        </w:rPr>
        <w:t>机构</w:t>
      </w:r>
      <w:r>
        <w:rPr>
          <w:rFonts w:hint="eastAsia" w:ascii="仿宋_GB2312" w:hAnsi="宋体" w:eastAsia="仿宋_GB2312" w:cs="宋体"/>
          <w:sz w:val="30"/>
          <w:szCs w:val="30"/>
        </w:rPr>
        <w:t>的其他相关规定，且不得与主协议以及成交记录相冲突。补充协议、申报补充约定的内容由借贷双方自行履行。</w:t>
      </w:r>
      <w:r>
        <w:rPr>
          <w:rFonts w:hint="eastAsia" w:ascii="仿宋_GB2312" w:hAnsi="仿宋" w:eastAsia="仿宋_GB2312" w:cs="仿宋"/>
          <w:sz w:val="30"/>
          <w:szCs w:val="30"/>
        </w:rPr>
        <w:t>试点期间已签署的债券借贷双边协议可作为补充协议。</w:t>
      </w:r>
    </w:p>
    <w:p w14:paraId="00D36895">
      <w:pPr>
        <w:spacing w:line="600" w:lineRule="exact"/>
        <w:ind w:firstLine="600" w:firstLineChars="200"/>
        <w:outlineLvl w:val="3"/>
        <w:rPr>
          <w:rFonts w:ascii="仿宋_GB2312" w:eastAsia="仿宋_GB2312"/>
          <w:sz w:val="30"/>
          <w:szCs w:val="30"/>
        </w:rPr>
      </w:pPr>
      <w:r>
        <w:rPr>
          <w:rFonts w:hint="eastAsia" w:ascii="仿宋_GB2312" w:hAnsi="宋体" w:eastAsia="仿宋_GB2312" w:cs="宋体"/>
          <w:sz w:val="30"/>
          <w:szCs w:val="30"/>
        </w:rPr>
        <w:t>借贷双方应当在主协议、补充协议或申报补充约定中约定标的债券和质押债券发生违约、披露重大违约风险、停牌、摘牌等情形的处置方式，明确债券到期或者未到期以现金归还的换算标准，以及补充、变更质押债券的触发情形及时限等。</w:t>
      </w:r>
    </w:p>
    <w:p w14:paraId="796B6E98">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（3）业务开通</w:t>
      </w:r>
    </w:p>
    <w:p w14:paraId="51FA7224">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本所债券交易参与人及其面向投资者发行的产品，向本所提供债券借贷用户登记表并签署债券借贷《主协议》后，可以直接参与债券借贷。证券公司经纪客户，由证券公司确认其符合投资者适当性管理要求并留存经纪客户签署的《主协议》后，可以通过证券公司参与债券借贷。</w:t>
      </w:r>
    </w:p>
    <w:p w14:paraId="7868073C">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同一个管理人管理的多只非法人产品，仅需由管理人统一向本所提供债券借贷用户登记表，并签署一份《主协议》，无需分别签署主协议。</w:t>
      </w:r>
    </w:p>
    <w:p w14:paraId="0DF0141F">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本所债券交易参与人及其面向投资者发行的产品参与债券借贷业务，需向本所提交以下材料：</w:t>
      </w:r>
      <w:r>
        <w:rPr>
          <w:rFonts w:ascii="仿宋_GB2312" w:eastAsia="仿宋_GB2312"/>
          <w:sz w:val="30"/>
          <w:szCs w:val="30"/>
        </w:rPr>
        <w:t xml:space="preserve"> </w:t>
      </w:r>
    </w:p>
    <w:p w14:paraId="7D1D3E7B">
      <w:pPr>
        <w:spacing w:line="600" w:lineRule="exact"/>
        <w:ind w:firstLine="600" w:firstLineChars="200"/>
        <w:outlineLvl w:val="3"/>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）债券借贷用户登记表（附件</w:t>
      </w:r>
      <w:r>
        <w:rPr>
          <w:rFonts w:ascii="仿宋_GB2312" w:hAnsi="Calibri" w:eastAsia="仿宋_GB2312"/>
          <w:sz w:val="30"/>
          <w:szCs w:val="30"/>
        </w:rPr>
        <w:t>20</w:t>
      </w:r>
      <w:r>
        <w:rPr>
          <w:rFonts w:hint="eastAsia" w:ascii="仿宋_GB2312" w:hAnsi="Calibri" w:eastAsia="仿宋_GB2312"/>
          <w:sz w:val="30"/>
          <w:szCs w:val="30"/>
        </w:rPr>
        <w:t>）；</w:t>
      </w:r>
      <w:r>
        <w:rPr>
          <w:rFonts w:ascii="仿宋_GB2312" w:hAnsi="Calibri" w:eastAsia="仿宋_GB2312"/>
          <w:sz w:val="30"/>
          <w:szCs w:val="30"/>
        </w:rPr>
        <w:t xml:space="preserve"> </w:t>
      </w:r>
    </w:p>
    <w:p w14:paraId="0C8D0F12">
      <w:pPr>
        <w:spacing w:line="600" w:lineRule="exact"/>
        <w:ind w:firstLine="600" w:firstLineChars="200"/>
        <w:outlineLvl w:val="3"/>
        <w:rPr>
          <w:rFonts w:ascii="仿宋_GB2312"/>
          <w:sz w:val="30"/>
        </w:rPr>
      </w:pPr>
      <w:r>
        <w:rPr>
          <w:rFonts w:ascii="仿宋_GB2312" w:hAnsi="Calibri" w:eastAsia="仿宋_GB2312"/>
          <w:sz w:val="30"/>
          <w:szCs w:val="30"/>
        </w:rPr>
        <w:t>2</w:t>
      </w:r>
      <w:r>
        <w:rPr>
          <w:rFonts w:hint="eastAsia" w:ascii="仿宋_GB2312" w:hAnsi="Calibri" w:eastAsia="仿宋_GB2312"/>
          <w:sz w:val="30"/>
          <w:szCs w:val="30"/>
        </w:rPr>
        <w:t>）《</w:t>
      </w:r>
      <w:r>
        <w:rPr>
          <w:rFonts w:hint="eastAsia" w:ascii="仿宋_GB2312" w:eastAsia="仿宋_GB2312"/>
          <w:sz w:val="30"/>
          <w:szCs w:val="30"/>
        </w:rPr>
        <w:t>主协议》（附件2</w:t>
      </w:r>
      <w:r>
        <w:rPr>
          <w:rFonts w:ascii="仿宋_GB2312" w:eastAsia="仿宋_GB2312"/>
          <w:sz w:val="30"/>
          <w:szCs w:val="30"/>
        </w:rPr>
        <w:t>1</w:t>
      </w:r>
      <w:r>
        <w:rPr>
          <w:rFonts w:hint="eastAsia" w:ascii="仿宋_GB2312" w:eastAsia="仿宋_GB2312"/>
          <w:sz w:val="30"/>
          <w:szCs w:val="30"/>
        </w:rPr>
        <w:t>）</w:t>
      </w:r>
      <w:r>
        <w:rPr>
          <w:rFonts w:hint="eastAsia" w:ascii="仿宋_GB2312"/>
          <w:sz w:val="30"/>
        </w:rPr>
        <w:t>；</w:t>
      </w:r>
      <w:r>
        <w:rPr>
          <w:rFonts w:ascii="仿宋_GB2312"/>
          <w:sz w:val="30"/>
        </w:rPr>
        <w:t xml:space="preserve"> </w:t>
      </w:r>
    </w:p>
    <w:p w14:paraId="1294C42C">
      <w:pPr>
        <w:spacing w:line="600" w:lineRule="exact"/>
        <w:ind w:firstLine="600" w:firstLineChars="200"/>
        <w:outlineLvl w:val="3"/>
        <w:rPr>
          <w:rFonts w:ascii="仿宋_GB2312"/>
          <w:sz w:val="30"/>
        </w:rPr>
      </w:pPr>
      <w:r>
        <w:rPr>
          <w:rFonts w:ascii="仿宋_GB2312"/>
          <w:sz w:val="30"/>
        </w:rPr>
        <w:t>3</w:t>
      </w:r>
      <w:r>
        <w:rPr>
          <w:rFonts w:hint="eastAsia" w:ascii="仿宋_GB2312" w:hAnsi="Calibri" w:eastAsia="仿宋_GB2312"/>
          <w:sz w:val="30"/>
          <w:szCs w:val="30"/>
        </w:rPr>
        <w:t>）本所要求的其他材料</w:t>
      </w:r>
      <w:r>
        <w:rPr>
          <w:rFonts w:hint="eastAsia" w:ascii="仿宋_GB2312"/>
          <w:sz w:val="30"/>
        </w:rPr>
        <w:t>。</w:t>
      </w:r>
      <w:r>
        <w:rPr>
          <w:rFonts w:ascii="仿宋_GB2312"/>
          <w:sz w:val="30"/>
        </w:rPr>
        <w:t xml:space="preserve"> </w:t>
      </w:r>
    </w:p>
    <w:p w14:paraId="7A72AEEA">
      <w:pPr>
        <w:spacing w:line="600" w:lineRule="exact"/>
        <w:ind w:firstLine="600" w:firstLineChars="200"/>
        <w:outlineLvl w:val="3"/>
        <w:rPr>
          <w:rFonts w:ascii="仿宋_GB2312" w:hAnsi="仿宋"/>
          <w:sz w:val="30"/>
        </w:rPr>
      </w:pPr>
      <w:r>
        <w:rPr>
          <w:rFonts w:hint="eastAsia" w:ascii="仿宋_GB2312" w:eastAsia="仿宋_GB2312"/>
          <w:sz w:val="30"/>
          <w:szCs w:val="30"/>
        </w:rPr>
        <w:t>债券借贷用户登记表及《主协议》应加盖申请机构公章，并将电子扫描版通过电子邮件方式报送本所，</w:t>
      </w:r>
      <w:r>
        <w:fldChar w:fldCharType="begin"/>
      </w:r>
      <w:r>
        <w:instrText xml:space="preserve"> HYPERLINK "mailto:电子邮件地址bondtrading@sse.com.cn" </w:instrText>
      </w:r>
      <w:r>
        <w:fldChar w:fldCharType="separate"/>
      </w:r>
      <w:r>
        <w:rPr>
          <w:rStyle w:val="51"/>
          <w:rFonts w:hint="eastAsia" w:ascii="仿宋_GB2312" w:eastAsia="仿宋_GB2312"/>
          <w:sz w:val="30"/>
          <w:szCs w:val="30"/>
        </w:rPr>
        <w:t>电子邮件地址bondtrading@sse.com.cn</w:t>
      </w:r>
      <w:r>
        <w:rPr>
          <w:rStyle w:val="51"/>
          <w:rFonts w:hint="eastAsia" w:ascii="仿宋_GB2312" w:eastAsia="仿宋_GB2312"/>
          <w:sz w:val="30"/>
          <w:szCs w:val="30"/>
        </w:rPr>
        <w:fldChar w:fldCharType="end"/>
      </w:r>
      <w:r>
        <w:rPr>
          <w:rFonts w:hint="eastAsia" w:ascii="仿宋_GB2312" w:eastAsia="仿宋_GB2312"/>
          <w:sz w:val="30"/>
          <w:szCs w:val="30"/>
        </w:rPr>
        <w:t>，其他电子报送方式本所后续另行通知。用印纸质版材料应寄送至本所，</w:t>
      </w:r>
      <w:r>
        <w:rPr>
          <w:rFonts w:hint="eastAsia" w:ascii="仿宋_GB2312" w:hAnsi="Calibri" w:eastAsia="仿宋_GB2312"/>
          <w:sz w:val="30"/>
          <w:szCs w:val="30"/>
        </w:rPr>
        <w:t>寄送地址：上海市浦东新区杨高南路388号16楼债券业务部，联系电话：021-68602093 。</w:t>
      </w:r>
      <w:r>
        <w:rPr>
          <w:rFonts w:hint="eastAsia" w:ascii="仿宋_GB2312" w:eastAsia="仿宋_GB2312"/>
          <w:sz w:val="30"/>
          <w:szCs w:val="30"/>
        </w:rPr>
        <w:t>试点期间已参与债券借贷业务的债券交易参与人，无需另行提</w:t>
      </w:r>
      <w:r>
        <w:rPr>
          <w:rFonts w:hint="eastAsia" w:ascii="仿宋_GB2312" w:hAnsi="仿宋" w:eastAsia="仿宋_GB2312" w:cs="仿宋"/>
          <w:sz w:val="30"/>
          <w:szCs w:val="30"/>
        </w:rPr>
        <w:t>交债券借贷用户登记表</w:t>
      </w:r>
      <w:r>
        <w:rPr>
          <w:rFonts w:hint="eastAsia" w:ascii="仿宋_GB2312" w:hAnsi="仿宋"/>
          <w:sz w:val="30"/>
        </w:rPr>
        <w:t>。</w:t>
      </w:r>
    </w:p>
    <w:p w14:paraId="7D4E9139">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w:t>
      </w:r>
      <w:r>
        <w:rPr>
          <w:rFonts w:ascii="仿宋_GB2312" w:hAnsi="Calibri" w:eastAsia="仿宋_GB2312"/>
          <w:b/>
          <w:sz w:val="30"/>
          <w:szCs w:val="30"/>
        </w:rPr>
        <w:t>4）</w:t>
      </w:r>
      <w:bookmarkStart w:id="2056" w:name="_Toc515342695"/>
      <w:bookmarkStart w:id="2057" w:name="_Toc838952310"/>
      <w:bookmarkStart w:id="2058" w:name="_Toc14394"/>
      <w:bookmarkStart w:id="2059" w:name="_Toc6275"/>
      <w:r>
        <w:rPr>
          <w:rFonts w:hint="eastAsia" w:ascii="仿宋_GB2312" w:hAnsi="Calibri" w:eastAsia="仿宋_GB2312"/>
          <w:b/>
          <w:sz w:val="30"/>
          <w:szCs w:val="30"/>
        </w:rPr>
        <w:t>办理CA</w:t>
      </w:r>
      <w:r>
        <w:rPr>
          <w:rFonts w:ascii="仿宋_GB2312" w:hAnsi="Calibri" w:eastAsia="仿宋_GB2312"/>
          <w:b/>
          <w:sz w:val="30"/>
          <w:szCs w:val="30"/>
        </w:rPr>
        <w:t xml:space="preserve"> </w:t>
      </w:r>
      <w:r>
        <w:rPr>
          <w:rFonts w:hint="eastAsia" w:ascii="仿宋_GB2312" w:hAnsi="Calibri" w:eastAsia="仿宋_GB2312"/>
          <w:b/>
          <w:sz w:val="30"/>
          <w:szCs w:val="30"/>
        </w:rPr>
        <w:t>证书</w:t>
      </w:r>
      <w:bookmarkEnd w:id="2056"/>
      <w:bookmarkEnd w:id="2057"/>
      <w:bookmarkEnd w:id="2058"/>
      <w:bookmarkEnd w:id="2059"/>
    </w:p>
    <w:p w14:paraId="5020F556">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交易员若需要通过互联网访问本平台，应提前办理好互联网交易平台数字证书并确保能正常登陆。会员交易员证书申请办理流程如下：</w:t>
      </w:r>
    </w:p>
    <w:p w14:paraId="35CB6F11">
      <w:pPr>
        <w:spacing w:line="600" w:lineRule="exact"/>
        <w:ind w:firstLine="600" w:firstLineChars="200"/>
        <w:outlineLvl w:val="3"/>
        <w:rPr>
          <w:rFonts w:ascii="仿宋_GB2312" w:eastAsia="仿宋_GB2312"/>
          <w:sz w:val="30"/>
          <w:szCs w:val="30"/>
        </w:rPr>
      </w:pPr>
      <w:r>
        <w:rPr>
          <w:rFonts w:ascii="仿宋_GB2312" w:eastAsia="仿宋_GB2312"/>
          <w:sz w:val="30"/>
          <w:szCs w:val="30"/>
        </w:rPr>
        <w:t>登录CnSCA中心</w:t>
      </w:r>
      <w:r>
        <w:rPr>
          <w:rFonts w:hint="eastAsia" w:ascii="仿宋_GB2312" w:eastAsia="仿宋_GB2312"/>
          <w:sz w:val="30"/>
          <w:szCs w:val="30"/>
        </w:rPr>
        <w:t>（</w:t>
      </w:r>
      <w:r>
        <w:fldChar w:fldCharType="begin"/>
      </w:r>
      <w:r>
        <w:instrText xml:space="preserve"> HYPERLINK "http://www.sse.com.cn/home/biz/cnsca/" </w:instrText>
      </w:r>
      <w:r>
        <w:fldChar w:fldCharType="separate"/>
      </w:r>
      <w:r>
        <w:rPr>
          <w:rFonts w:ascii="仿宋_GB2312" w:eastAsia="仿宋_GB2312"/>
          <w:sz w:val="30"/>
          <w:szCs w:val="30"/>
        </w:rPr>
        <w:t>http://www.sse.com.cn/home/biz/cnsca/</w:t>
      </w:r>
      <w:r>
        <w:rPr>
          <w:rFonts w:ascii="仿宋_GB2312" w:eastAsia="仿宋_GB2312"/>
          <w:sz w:val="30"/>
          <w:szCs w:val="30"/>
        </w:rPr>
        <w:fldChar w:fldCharType="end"/>
      </w:r>
      <w:r>
        <w:rPr>
          <w:rFonts w:hint="eastAsia" w:ascii="仿宋_GB2312" w:eastAsia="仿宋_GB2312"/>
          <w:sz w:val="30"/>
          <w:szCs w:val="30"/>
        </w:rPr>
        <w:t>），选择交易业务互联网申报通道证书</w:t>
      </w:r>
      <w:r>
        <w:rPr>
          <w:rFonts w:ascii="仿宋_GB2312" w:eastAsia="仿宋_GB2312"/>
          <w:sz w:val="30"/>
          <w:szCs w:val="30"/>
        </w:rPr>
        <w:t>并申请</w:t>
      </w:r>
      <w:r>
        <w:rPr>
          <w:rFonts w:hint="eastAsia" w:ascii="仿宋_GB2312" w:eastAsia="仿宋_GB2312"/>
          <w:sz w:val="30"/>
          <w:szCs w:val="30"/>
        </w:rPr>
        <w:t>。</w:t>
      </w:r>
    </w:p>
    <w:p w14:paraId="4AC35EF8">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60170386">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上交所网站</w:t>
      </w:r>
      <w:r>
        <w:rPr>
          <w:rFonts w:ascii="仿宋_GB2312" w:eastAsia="仿宋_GB2312"/>
          <w:sz w:val="30"/>
          <w:szCs w:val="30"/>
        </w:rPr>
        <w:t xml:space="preserve"> -&gt;</w:t>
      </w:r>
      <w:r>
        <w:rPr>
          <w:rFonts w:hint="eastAsia" w:ascii="仿宋_GB2312" w:eastAsia="仿宋_GB2312"/>
          <w:sz w:val="30"/>
          <w:szCs w:val="30"/>
        </w:rPr>
        <w:t>业务办理专区-</w:t>
      </w:r>
      <w:r>
        <w:rPr>
          <w:rFonts w:ascii="仿宋_GB2312" w:eastAsia="仿宋_GB2312"/>
          <w:sz w:val="30"/>
          <w:szCs w:val="30"/>
        </w:rPr>
        <w:t>&gt;</w:t>
      </w:r>
      <w:r>
        <w:rPr>
          <w:rFonts w:hint="eastAsia" w:ascii="仿宋_GB2312" w:eastAsia="仿宋_GB2312"/>
          <w:sz w:val="30"/>
          <w:szCs w:val="30"/>
        </w:rPr>
        <w:t>CA服务专区-</w:t>
      </w:r>
      <w:r>
        <w:rPr>
          <w:rFonts w:ascii="仿宋_GB2312" w:eastAsia="仿宋_GB2312"/>
          <w:sz w:val="30"/>
          <w:szCs w:val="30"/>
        </w:rPr>
        <w:t>&gt;</w:t>
      </w:r>
      <w:r>
        <w:rPr>
          <w:rFonts w:hint="eastAsia" w:ascii="仿宋_GB2312" w:eastAsia="仿宋_GB2312"/>
          <w:sz w:val="30"/>
          <w:szCs w:val="30"/>
        </w:rPr>
        <w:t>驱动程序及工具，按</w:t>
      </w:r>
      <w:r>
        <w:rPr>
          <w:rFonts w:ascii="仿宋_GB2312" w:eastAsia="仿宋_GB2312"/>
          <w:sz w:val="30"/>
          <w:szCs w:val="30"/>
        </w:rPr>
        <w:t xml:space="preserve"> EKey </w:t>
      </w:r>
      <w:r>
        <w:rPr>
          <w:rFonts w:hint="eastAsia" w:ascii="仿宋_GB2312" w:eastAsia="仿宋_GB2312"/>
          <w:sz w:val="30"/>
          <w:szCs w:val="30"/>
        </w:rPr>
        <w:t>型号下载。</w:t>
      </w:r>
    </w:p>
    <w:p w14:paraId="6EDA01F8">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48C0E66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业务申报</w:t>
      </w:r>
    </w:p>
    <w:p w14:paraId="20A754BC">
      <w:pPr>
        <w:spacing w:line="560" w:lineRule="exact"/>
        <w:ind w:firstLine="600" w:firstLineChars="200"/>
        <w:rPr>
          <w:rFonts w:ascii="仿宋_GB2312" w:eastAsia="仿宋_GB2312"/>
          <w:sz w:val="30"/>
          <w:szCs w:val="30"/>
        </w:rPr>
      </w:pPr>
      <w:r>
        <w:rPr>
          <w:rFonts w:hint="eastAsia" w:ascii="仿宋_GB2312" w:eastAsia="仿宋_GB2312"/>
          <w:sz w:val="30"/>
          <w:szCs w:val="30"/>
        </w:rPr>
        <w:t>债券借贷期限由借贷双方协商确定，最长不得超过365天，且不得超过标的债券的剩余存续期限，但可以超过质押债券剩余期限。质押债券先于</w:t>
      </w:r>
      <w:r>
        <w:rPr>
          <w:rFonts w:ascii="仿宋_GB2312" w:eastAsia="仿宋_GB2312"/>
          <w:sz w:val="30"/>
          <w:szCs w:val="30"/>
        </w:rPr>
        <w:t>债券借贷到期导致质押率不符合债券借贷双方约定的，</w:t>
      </w:r>
      <w:r>
        <w:rPr>
          <w:rFonts w:hint="eastAsia" w:ascii="仿宋_GB2312" w:eastAsia="仿宋_GB2312"/>
          <w:sz w:val="30"/>
          <w:szCs w:val="30"/>
        </w:rPr>
        <w:t>借贷双方</w:t>
      </w:r>
      <w:r>
        <w:rPr>
          <w:rFonts w:ascii="仿宋_GB2312" w:eastAsia="仿宋_GB2312"/>
          <w:sz w:val="30"/>
          <w:szCs w:val="30"/>
        </w:rPr>
        <w:t>应当及时</w:t>
      </w:r>
      <w:r>
        <w:rPr>
          <w:rFonts w:hint="eastAsia" w:ascii="仿宋_GB2312" w:eastAsia="仿宋_GB2312"/>
          <w:sz w:val="30"/>
          <w:szCs w:val="30"/>
        </w:rPr>
        <w:t>协商</w:t>
      </w:r>
      <w:r>
        <w:rPr>
          <w:rFonts w:ascii="仿宋_GB2312" w:eastAsia="仿宋_GB2312"/>
          <w:sz w:val="30"/>
          <w:szCs w:val="30"/>
        </w:rPr>
        <w:t>补足。</w:t>
      </w:r>
    </w:p>
    <w:p w14:paraId="7ABDA36F">
      <w:pPr>
        <w:spacing w:line="560" w:lineRule="exact"/>
        <w:ind w:firstLine="600" w:firstLineChars="200"/>
        <w:rPr>
          <w:rFonts w:ascii="仿宋_GB2312" w:eastAsia="仿宋_GB2312"/>
          <w:sz w:val="30"/>
          <w:szCs w:val="30"/>
        </w:rPr>
      </w:pPr>
      <w:r>
        <w:rPr>
          <w:rFonts w:hint="eastAsia" w:ascii="仿宋_GB2312" w:eastAsia="仿宋_GB2312"/>
          <w:sz w:val="30"/>
          <w:szCs w:val="30"/>
        </w:rPr>
        <w:t>本所接受债券借贷申报的时间为每个交易日的</w:t>
      </w:r>
      <w:r>
        <w:rPr>
          <w:rFonts w:ascii="仿宋_GB2312" w:eastAsia="仿宋_GB2312"/>
          <w:sz w:val="30"/>
          <w:szCs w:val="30"/>
        </w:rPr>
        <w:t>9</w:t>
      </w:r>
      <w:r>
        <w:rPr>
          <w:rFonts w:hint="eastAsia" w:ascii="仿宋_GB2312" w:eastAsia="仿宋_GB2312"/>
          <w:sz w:val="30"/>
          <w:szCs w:val="30"/>
        </w:rPr>
        <w:t>：</w:t>
      </w:r>
      <w:r>
        <w:rPr>
          <w:rFonts w:ascii="仿宋_GB2312" w:eastAsia="仿宋_GB2312"/>
          <w:sz w:val="30"/>
          <w:szCs w:val="30"/>
        </w:rPr>
        <w:t>00</w:t>
      </w:r>
      <w:r>
        <w:rPr>
          <w:rFonts w:hint="eastAsia" w:ascii="仿宋_GB2312" w:eastAsia="仿宋_GB2312"/>
          <w:sz w:val="30"/>
          <w:szCs w:val="30"/>
        </w:rPr>
        <w:t>至</w:t>
      </w:r>
      <w:r>
        <w:rPr>
          <w:rFonts w:ascii="仿宋_GB2312" w:eastAsia="仿宋_GB2312"/>
          <w:sz w:val="30"/>
          <w:szCs w:val="30"/>
        </w:rPr>
        <w:t>11:30</w:t>
      </w:r>
      <w:r>
        <w:rPr>
          <w:rFonts w:hint="eastAsia" w:ascii="仿宋_GB2312" w:eastAsia="仿宋_GB2312"/>
          <w:sz w:val="30"/>
          <w:szCs w:val="30"/>
        </w:rPr>
        <w:t>，</w:t>
      </w:r>
      <w:r>
        <w:rPr>
          <w:rFonts w:ascii="仿宋_GB2312" w:eastAsia="仿宋_GB2312"/>
          <w:sz w:val="30"/>
          <w:szCs w:val="30"/>
        </w:rPr>
        <w:t>13:00</w:t>
      </w:r>
      <w:r>
        <w:rPr>
          <w:rFonts w:hint="eastAsia" w:ascii="仿宋_GB2312" w:eastAsia="仿宋_GB2312"/>
          <w:sz w:val="30"/>
          <w:szCs w:val="30"/>
        </w:rPr>
        <w:t>至</w:t>
      </w:r>
      <w:r>
        <w:rPr>
          <w:rFonts w:ascii="仿宋_GB2312" w:eastAsia="仿宋_GB2312"/>
          <w:sz w:val="30"/>
          <w:szCs w:val="30"/>
        </w:rPr>
        <w:t>15:30</w:t>
      </w:r>
      <w:r>
        <w:rPr>
          <w:rFonts w:hint="eastAsia" w:ascii="仿宋_GB2312" w:eastAsia="仿宋_GB2312"/>
          <w:sz w:val="30"/>
          <w:szCs w:val="30"/>
        </w:rPr>
        <w:t>。本所可以根据市场需要调整债券借贷的申报时间。试点期间申报的债券借贷业务，按照试点安排自然到期了结，也可按照试点业务安排进行质押券置换。</w:t>
      </w:r>
    </w:p>
    <w:p w14:paraId="4F75614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b/>
          <w:sz w:val="30"/>
        </w:rPr>
        <w:t>1</w:t>
      </w:r>
      <w:r>
        <w:rPr>
          <w:rFonts w:hint="eastAsia" w:ascii="仿宋_GB2312"/>
          <w:b/>
          <w:sz w:val="30"/>
        </w:rPr>
        <w:t>）</w:t>
      </w:r>
      <w:r>
        <w:rPr>
          <w:rFonts w:hint="eastAsia" w:ascii="仿宋_GB2312" w:eastAsia="仿宋_GB2312"/>
          <w:b/>
          <w:sz w:val="30"/>
          <w:szCs w:val="30"/>
        </w:rPr>
        <w:t>交易系统</w:t>
      </w:r>
    </w:p>
    <w:p w14:paraId="2F955114">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债券借贷的交易申报在本所互联网交易平台进行。本所债券交易参与人可直接通过互联网交易平台进行债券借贷业务申报；本所债券</w:t>
      </w:r>
      <w:r>
        <w:rPr>
          <w:rFonts w:ascii="仿宋_GB2312" w:hAnsi="Calibri" w:eastAsia="仿宋_GB2312"/>
          <w:kern w:val="0"/>
          <w:sz w:val="30"/>
          <w:szCs w:val="30"/>
        </w:rPr>
        <w:t>交易参与人以外的其他</w:t>
      </w:r>
      <w:r>
        <w:rPr>
          <w:rFonts w:hint="eastAsia" w:ascii="仿宋_GB2312" w:hAnsi="Calibri" w:eastAsia="仿宋_GB2312"/>
          <w:kern w:val="0"/>
          <w:sz w:val="30"/>
          <w:szCs w:val="30"/>
        </w:rPr>
        <w:t>专业</w:t>
      </w:r>
      <w:r>
        <w:rPr>
          <w:rFonts w:ascii="仿宋_GB2312" w:hAnsi="Calibri" w:eastAsia="仿宋_GB2312"/>
          <w:kern w:val="0"/>
          <w:sz w:val="30"/>
          <w:szCs w:val="30"/>
        </w:rPr>
        <w:t>机构投资者可以作为证券公司的</w:t>
      </w:r>
      <w:r>
        <w:rPr>
          <w:rFonts w:hint="eastAsia" w:ascii="仿宋_GB2312" w:hAnsi="Calibri" w:eastAsia="仿宋_GB2312"/>
          <w:kern w:val="0"/>
          <w:sz w:val="30"/>
          <w:szCs w:val="30"/>
        </w:rPr>
        <w:t>经纪客户，委托证券公司在互联网交易平台上代为申报。</w:t>
      </w:r>
    </w:p>
    <w:p w14:paraId="3D5C991B">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试点期间在原系统（业务管理系统平台-债券借贷模块）的债券借贷交易“成交申报”功能于11月24日日终关闭，其余“到期结算申报”“现金结算申报”“换券申报”继续支持申报，直至通过原系统申报的最后一笔债券借贷业务了结。</w:t>
      </w:r>
    </w:p>
    <w:p w14:paraId="7D370C5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（2）标的债券和质押债券范围</w:t>
      </w:r>
    </w:p>
    <w:p w14:paraId="6F216C63">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标的债券和质押债券应当是在本所上市交易或者挂牌转让的各类固定收益产品，包括债券、资产支持证券以及本所认可的其它产品，相关规则规定不得转让或者质押的除外。向特定对象发行的可转换公司债券暂不纳入债券借贷标的债券及质押债券范围。公开募集基础设施证券投资基金、债券</w:t>
      </w:r>
      <w:r>
        <w:rPr>
          <w:rFonts w:ascii="仿宋_GB2312" w:hAnsi="Calibri" w:eastAsia="仿宋_GB2312"/>
          <w:kern w:val="0"/>
          <w:sz w:val="30"/>
          <w:szCs w:val="30"/>
        </w:rPr>
        <w:t>ETF</w:t>
      </w:r>
      <w:r>
        <w:rPr>
          <w:rFonts w:hint="eastAsia" w:ascii="仿宋_GB2312" w:hAnsi="Calibri" w:eastAsia="仿宋_GB2312"/>
          <w:kern w:val="0"/>
          <w:sz w:val="30"/>
          <w:szCs w:val="30"/>
        </w:rPr>
        <w:t>可以参照适用《办法》与本指南，作为借贷业务标的证券或者质押证券，具体实施时间由本所另行通知。</w:t>
      </w:r>
    </w:p>
    <w:p w14:paraId="6E8FB9EE">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除</w:t>
      </w:r>
      <w:r>
        <w:rPr>
          <w:rFonts w:ascii="仿宋_GB2312" w:hAnsi="Calibri" w:eastAsia="仿宋_GB2312"/>
          <w:kern w:val="0"/>
          <w:sz w:val="30"/>
          <w:szCs w:val="30"/>
        </w:rPr>
        <w:t>前文规定的定向可转债</w:t>
      </w:r>
      <w:r>
        <w:rPr>
          <w:rFonts w:hint="eastAsia" w:ascii="仿宋_GB2312" w:hAnsi="Calibri" w:eastAsia="仿宋_GB2312"/>
          <w:kern w:val="0"/>
          <w:sz w:val="30"/>
          <w:szCs w:val="30"/>
        </w:rPr>
        <w:t>外</w:t>
      </w:r>
      <w:r>
        <w:rPr>
          <w:rFonts w:ascii="仿宋_GB2312" w:hAnsi="Calibri" w:eastAsia="仿宋_GB2312"/>
          <w:kern w:val="0"/>
          <w:sz w:val="30"/>
          <w:szCs w:val="30"/>
        </w:rPr>
        <w:t>，</w:t>
      </w:r>
      <w:r>
        <w:rPr>
          <w:rFonts w:hint="eastAsia" w:ascii="仿宋_GB2312" w:hAnsi="Calibri" w:eastAsia="仿宋_GB2312"/>
          <w:kern w:val="0"/>
          <w:sz w:val="30"/>
          <w:szCs w:val="30"/>
        </w:rPr>
        <w:t>限售类产品（包括限售债券和限售公募基础设施证券投资基金等</w:t>
      </w:r>
      <w:r>
        <w:rPr>
          <w:rFonts w:ascii="仿宋_GB2312" w:hAnsi="Calibri" w:eastAsia="仿宋_GB2312"/>
          <w:kern w:val="0"/>
          <w:sz w:val="30"/>
          <w:szCs w:val="30"/>
        </w:rPr>
        <w:t>）</w:t>
      </w:r>
      <w:r>
        <w:rPr>
          <w:rFonts w:hint="eastAsia" w:ascii="仿宋_GB2312" w:hAnsi="Calibri" w:eastAsia="仿宋_GB2312"/>
          <w:kern w:val="0"/>
          <w:sz w:val="30"/>
          <w:szCs w:val="30"/>
        </w:rPr>
        <w:t>、特定债券或者其他已经发生违约或者披露还本付息存在重大风险的债券以及存在司法冻结等瑕疵的债券，不能作为标的债券和质押债券。</w:t>
      </w:r>
    </w:p>
    <w:p w14:paraId="4FA90E91">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入方应向债券借出方提供约定的质押债券，债券借贷存续期间，质押债券价值应满足双方约定条件。借贷双方应当保证标的债券和质押债券未设定任何形式的担保，不存在任何权属争议或者权利瑕疵。一笔债券借贷支持多只债券质押，</w:t>
      </w:r>
      <w:r>
        <w:rPr>
          <w:rFonts w:hint="eastAsia" w:ascii="仿宋_GB2312" w:hAnsi="Calibri" w:eastAsia="仿宋_GB2312"/>
          <w:kern w:val="0"/>
          <w:sz w:val="30"/>
          <w:szCs w:val="30"/>
          <w:highlight w:val="none"/>
        </w:rPr>
        <w:t>但</w:t>
      </w:r>
      <w:r>
        <w:rPr>
          <w:rFonts w:hint="eastAsia" w:ascii="仿宋_GB2312" w:hAnsi="Calibri" w:eastAsia="仿宋_GB2312"/>
          <w:kern w:val="0"/>
          <w:sz w:val="30"/>
          <w:szCs w:val="30"/>
          <w:highlight w:val="none"/>
          <w:lang w:eastAsia="zh-CN"/>
        </w:rPr>
        <w:t>债券借贷存续期内质押券只数（</w:t>
      </w:r>
      <w:r>
        <w:rPr>
          <w:rFonts w:hint="eastAsia" w:ascii="仿宋_GB2312" w:hAnsi="Calibri" w:eastAsia="仿宋_GB2312"/>
          <w:kern w:val="0"/>
          <w:sz w:val="30"/>
          <w:szCs w:val="30"/>
          <w:highlight w:val="none"/>
        </w:rPr>
        <w:t>协商成交</w:t>
      </w:r>
      <w:r>
        <w:rPr>
          <w:rFonts w:hint="eastAsia" w:ascii="仿宋_GB2312" w:hAnsi="Calibri" w:eastAsia="仿宋_GB2312"/>
          <w:kern w:val="0"/>
          <w:sz w:val="30"/>
          <w:szCs w:val="30"/>
          <w:highlight w:val="none"/>
          <w:lang w:eastAsia="zh-CN"/>
        </w:rPr>
        <w:t>、</w:t>
      </w:r>
      <w:r>
        <w:rPr>
          <w:rFonts w:hint="eastAsia" w:ascii="仿宋_GB2312" w:hAnsi="Calibri" w:eastAsia="仿宋_GB2312"/>
          <w:kern w:val="0"/>
          <w:sz w:val="30"/>
          <w:szCs w:val="30"/>
          <w:highlight w:val="none"/>
        </w:rPr>
        <w:t>到期续做</w:t>
      </w:r>
      <w:r>
        <w:rPr>
          <w:rFonts w:hint="eastAsia" w:ascii="仿宋_GB2312" w:hAnsi="Calibri" w:eastAsia="仿宋_GB2312"/>
          <w:kern w:val="0"/>
          <w:sz w:val="30"/>
          <w:szCs w:val="30"/>
          <w:highlight w:val="none"/>
          <w:lang w:eastAsia="zh-CN"/>
        </w:rPr>
        <w:t>）不得超过</w:t>
      </w:r>
      <w:r>
        <w:rPr>
          <w:rFonts w:hint="eastAsia" w:ascii="仿宋_GB2312" w:hAnsi="Calibri" w:eastAsia="仿宋_GB2312"/>
          <w:kern w:val="0"/>
          <w:sz w:val="30"/>
          <w:szCs w:val="30"/>
          <w:highlight w:val="none"/>
          <w:lang w:val="en-US" w:eastAsia="zh-CN"/>
        </w:rPr>
        <w:t>20只；</w:t>
      </w:r>
      <w:r>
        <w:rPr>
          <w:rFonts w:hint="eastAsia" w:ascii="仿宋_GB2312" w:hAnsi="Calibri" w:eastAsia="仿宋_GB2312"/>
          <w:kern w:val="0"/>
          <w:sz w:val="30"/>
          <w:szCs w:val="30"/>
          <w:highlight w:val="none"/>
          <w:lang w:eastAsia="zh-CN"/>
        </w:rPr>
        <w:t>一笔</w:t>
      </w:r>
      <w:r>
        <w:rPr>
          <w:rFonts w:hint="eastAsia" w:ascii="仿宋_GB2312" w:hAnsi="Calibri" w:eastAsia="仿宋_GB2312"/>
          <w:sz w:val="30"/>
          <w:szCs w:val="30"/>
          <w:highlight w:val="none"/>
        </w:rPr>
        <w:t>质押券变更</w:t>
      </w:r>
      <w:r>
        <w:rPr>
          <w:rFonts w:hint="eastAsia" w:ascii="仿宋_GB2312" w:hAnsi="Calibri" w:eastAsia="仿宋_GB2312"/>
          <w:sz w:val="30"/>
          <w:szCs w:val="30"/>
          <w:highlight w:val="none"/>
          <w:lang w:eastAsia="zh-CN"/>
        </w:rPr>
        <w:t>申报不得超过</w:t>
      </w:r>
      <w:r>
        <w:rPr>
          <w:rFonts w:hint="eastAsia" w:ascii="仿宋_GB2312" w:hAnsi="Calibri" w:eastAsia="仿宋_GB2312"/>
          <w:sz w:val="30"/>
          <w:szCs w:val="30"/>
          <w:highlight w:val="none"/>
          <w:lang w:val="en-US" w:eastAsia="zh-CN"/>
        </w:rPr>
        <w:t>10只（含）质押券债券的变更</w:t>
      </w:r>
      <w:r>
        <w:rPr>
          <w:rFonts w:hint="eastAsia" w:ascii="仿宋_GB2312" w:hAnsi="Calibri" w:eastAsia="仿宋_GB2312"/>
          <w:kern w:val="0"/>
          <w:sz w:val="30"/>
          <w:szCs w:val="30"/>
        </w:rPr>
        <w:t>。</w:t>
      </w:r>
    </w:p>
    <w:p w14:paraId="11E60C9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）债券借贷申报</w:t>
      </w:r>
    </w:p>
    <w:p w14:paraId="6FC684F6">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债券借贷申报包括协商成交申报、提前终止申报、质押债券变更申报、到期债券结算申报、到期现金结算申报、到期部分现金结算申报、到期续做申报和</w:t>
      </w:r>
      <w:r>
        <w:rPr>
          <w:rFonts w:ascii="仿宋_GB2312" w:hAnsi="宋体" w:eastAsia="仿宋_GB2312" w:cs="宋体"/>
          <w:sz w:val="30"/>
          <w:szCs w:val="30"/>
        </w:rPr>
        <w:t>逾期结算申报</w:t>
      </w:r>
      <w:r>
        <w:rPr>
          <w:rFonts w:hint="eastAsia" w:ascii="仿宋_GB2312" w:hAnsi="宋体" w:eastAsia="仿宋_GB2312" w:cs="宋体"/>
          <w:sz w:val="30"/>
          <w:szCs w:val="30"/>
        </w:rPr>
        <w:t>等。</w:t>
      </w:r>
    </w:p>
    <w:p w14:paraId="2BABA4C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1）交易</w:t>
      </w:r>
      <w:r>
        <w:rPr>
          <w:rFonts w:ascii="仿宋_GB2312" w:hAnsi="Calibri" w:eastAsia="仿宋_GB2312"/>
          <w:kern w:val="0"/>
          <w:sz w:val="30"/>
          <w:szCs w:val="30"/>
        </w:rPr>
        <w:t>方式</w:t>
      </w:r>
    </w:p>
    <w:p w14:paraId="4F099FAE">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Calibri" w:eastAsia="仿宋_GB2312"/>
          <w:kern w:val="0"/>
          <w:sz w:val="30"/>
          <w:szCs w:val="30"/>
        </w:rPr>
        <w:t>首次</w:t>
      </w:r>
      <w:r>
        <w:rPr>
          <w:rFonts w:hint="eastAsia" w:ascii="仿宋_GB2312" w:eastAsia="仿宋_GB2312"/>
          <w:color w:val="000000"/>
          <w:sz w:val="30"/>
          <w:szCs w:val="30"/>
          <w:shd w:val="clear" w:color="auto" w:fill="FFFFFF"/>
        </w:rPr>
        <w:t>债券借贷采用</w:t>
      </w:r>
      <w:r>
        <w:rPr>
          <w:rFonts w:hint="eastAsia" w:ascii="仿宋_GB2312" w:hAnsi="宋体" w:eastAsia="仿宋_GB2312" w:cs="宋体"/>
          <w:sz w:val="30"/>
          <w:szCs w:val="30"/>
        </w:rPr>
        <w:t>协商</w:t>
      </w:r>
      <w:r>
        <w:rPr>
          <w:rFonts w:hint="eastAsia" w:ascii="仿宋_GB2312" w:eastAsia="仿宋_GB2312"/>
          <w:color w:val="000000"/>
          <w:sz w:val="30"/>
          <w:szCs w:val="30"/>
          <w:shd w:val="clear" w:color="auto" w:fill="FFFFFF"/>
        </w:rPr>
        <w:t>成交申报方式，借贷双方根据主协议及补充协议的约定，由债券</w:t>
      </w:r>
      <w:r>
        <w:rPr>
          <w:rFonts w:hint="eastAsia" w:ascii="仿宋_GB2312" w:hAnsi="宋体" w:eastAsia="仿宋_GB2312" w:cs="宋体"/>
          <w:sz w:val="30"/>
          <w:szCs w:val="30"/>
        </w:rPr>
        <w:t>借入方录入相关要素后，将全部要素发送至债券借出方，债券借出方确认无误后成交。</w:t>
      </w:r>
    </w:p>
    <w:p w14:paraId="43DFA1A2">
      <w:pPr>
        <w:spacing w:line="600" w:lineRule="exact"/>
        <w:ind w:firstLine="600" w:firstLineChars="200"/>
        <w:outlineLvl w:val="3"/>
        <w:rPr>
          <w:rFonts w:ascii="仿宋_GB2312" w:hAnsi="Calibri" w:eastAsia="仿宋_GB2312"/>
          <w:kern w:val="0"/>
          <w:sz w:val="30"/>
          <w:szCs w:val="30"/>
        </w:rPr>
      </w:pPr>
      <w:r>
        <w:rPr>
          <w:rFonts w:hint="eastAsia" w:ascii="仿宋_GB2312" w:hAnsi="Calibri" w:eastAsia="仿宋_GB2312"/>
          <w:kern w:val="0"/>
          <w:sz w:val="30"/>
          <w:szCs w:val="30"/>
        </w:rPr>
        <w:t>2）</w:t>
      </w:r>
      <w:r>
        <w:rPr>
          <w:rFonts w:hint="eastAsia" w:ascii="仿宋_GB2312" w:hAnsi="宋体" w:eastAsia="仿宋_GB2312" w:cs="宋体"/>
          <w:sz w:val="30"/>
          <w:szCs w:val="30"/>
        </w:rPr>
        <w:t>协商成交</w:t>
      </w:r>
      <w:r>
        <w:rPr>
          <w:rFonts w:hint="eastAsia" w:ascii="仿宋_GB2312" w:hAnsi="Calibri" w:eastAsia="仿宋_GB2312"/>
          <w:kern w:val="0"/>
          <w:sz w:val="30"/>
          <w:szCs w:val="30"/>
        </w:rPr>
        <w:t>申报要素</w:t>
      </w:r>
    </w:p>
    <w:p w14:paraId="0CD0943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 xml:space="preserve">债券借贷业务的要素包括但不限于成交日期、债券借出方和借入方的证券账户、标的债券、质押债券、标的债券总面额、质押债券总面额、首期结算日、到期结算日、借贷期限、标的债券付息日、应计利息总额、借贷费率、到期费用结算方式、申报补充约定等。各要素具体如下： </w:t>
      </w:r>
    </w:p>
    <w:tbl>
      <w:tblPr>
        <w:tblStyle w:val="43"/>
        <w:tblW w:w="8262" w:type="dxa"/>
        <w:tblInd w:w="93" w:type="dxa"/>
        <w:tblLayout w:type="autofit"/>
        <w:tblCellMar>
          <w:top w:w="0" w:type="dxa"/>
          <w:left w:w="108" w:type="dxa"/>
          <w:bottom w:w="0" w:type="dxa"/>
          <w:right w:w="108" w:type="dxa"/>
        </w:tblCellMar>
      </w:tblPr>
      <w:tblGrid>
        <w:gridCol w:w="2591"/>
        <w:gridCol w:w="5671"/>
      </w:tblGrid>
      <w:tr w14:paraId="62886BD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61831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要素名称</w:t>
            </w:r>
          </w:p>
        </w:tc>
        <w:tc>
          <w:tcPr>
            <w:tcW w:w="5671" w:type="dxa"/>
            <w:tcBorders>
              <w:top w:val="single" w:color="auto" w:sz="8" w:space="0"/>
              <w:left w:val="nil"/>
              <w:bottom w:val="single" w:color="auto" w:sz="8" w:space="0"/>
              <w:right w:val="single" w:color="auto" w:sz="8" w:space="0"/>
            </w:tcBorders>
            <w:vAlign w:val="center"/>
          </w:tcPr>
          <w:p w14:paraId="174A01D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要素说明</w:t>
            </w:r>
          </w:p>
        </w:tc>
      </w:tr>
      <w:tr w14:paraId="1F64FCF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068930C">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成交日期</w:t>
            </w:r>
          </w:p>
        </w:tc>
        <w:tc>
          <w:tcPr>
            <w:tcW w:w="5671" w:type="dxa"/>
            <w:tcBorders>
              <w:top w:val="single" w:color="auto" w:sz="8" w:space="0"/>
              <w:left w:val="nil"/>
              <w:bottom w:val="single" w:color="auto" w:sz="8" w:space="0"/>
              <w:right w:val="single" w:color="auto" w:sz="8" w:space="0"/>
            </w:tcBorders>
            <w:vAlign w:val="center"/>
          </w:tcPr>
          <w:p w14:paraId="42E92FC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借贷双方交易达成的日期（交易发生当日）</w:t>
            </w:r>
          </w:p>
        </w:tc>
      </w:tr>
      <w:tr w14:paraId="2285D83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2E10BA">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077C74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w:t>
            </w:r>
            <w:r>
              <w:rPr>
                <w:rFonts w:ascii="仿宋_GB2312" w:hAnsi="宋体" w:eastAsia="仿宋_GB2312" w:cs="宋体"/>
                <w:bCs/>
                <w:color w:val="000000"/>
                <w:kern w:val="0"/>
                <w:sz w:val="24"/>
                <w:szCs w:val="24"/>
              </w:rPr>
              <w:t>方机构名称自动生成</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电话、地址、传真</w:t>
            </w:r>
            <w:r>
              <w:rPr>
                <w:rFonts w:hint="eastAsia" w:ascii="仿宋_GB2312" w:hAnsi="宋体" w:eastAsia="仿宋_GB2312" w:cs="宋体"/>
                <w:bCs/>
                <w:color w:val="000000"/>
                <w:kern w:val="0"/>
                <w:sz w:val="24"/>
                <w:szCs w:val="24"/>
              </w:rPr>
              <w:t>选填</w:t>
            </w:r>
            <w:r>
              <w:rPr>
                <w:rFonts w:ascii="仿宋_GB2312" w:hAnsi="宋体" w:eastAsia="仿宋_GB2312" w:cs="宋体"/>
                <w:bCs/>
                <w:color w:val="000000"/>
                <w:kern w:val="0"/>
                <w:sz w:val="24"/>
                <w:szCs w:val="24"/>
              </w:rPr>
              <w:t>。</w:t>
            </w:r>
          </w:p>
        </w:tc>
      </w:tr>
      <w:tr w14:paraId="5B248EF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C562FB">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w:t>
            </w:r>
            <w:r>
              <w:rPr>
                <w:rFonts w:hint="eastAsia" w:ascii="仿宋_GB2312" w:hAnsi="宋体" w:eastAsia="仿宋_GB2312" w:cs="宋体"/>
                <w:b/>
                <w:bCs/>
                <w:color w:val="000000"/>
                <w:kern w:val="0"/>
                <w:sz w:val="24"/>
                <w:szCs w:val="24"/>
              </w:rPr>
              <w:t>交易</w:t>
            </w:r>
            <w:r>
              <w:rPr>
                <w:rFonts w:ascii="仿宋_GB2312" w:hAnsi="宋体" w:eastAsia="仿宋_GB2312" w:cs="宋体"/>
                <w:b/>
                <w:bCs/>
                <w:color w:val="000000"/>
                <w:kern w:val="0"/>
                <w:sz w:val="24"/>
                <w:szCs w:val="24"/>
              </w:rPr>
              <w:t>员</w:t>
            </w:r>
          </w:p>
        </w:tc>
        <w:tc>
          <w:tcPr>
            <w:tcW w:w="5671" w:type="dxa"/>
            <w:tcBorders>
              <w:top w:val="single" w:color="auto" w:sz="8" w:space="0"/>
              <w:left w:val="nil"/>
              <w:bottom w:val="single" w:color="auto" w:sz="8" w:space="0"/>
              <w:right w:val="single" w:color="auto" w:sz="8" w:space="0"/>
            </w:tcBorders>
            <w:vAlign w:val="center"/>
          </w:tcPr>
          <w:p w14:paraId="7B7F02C4">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w:t>
            </w:r>
            <w:r>
              <w:rPr>
                <w:rFonts w:ascii="仿宋_GB2312" w:hAnsi="宋体" w:eastAsia="仿宋_GB2312" w:cs="宋体"/>
                <w:bCs/>
                <w:color w:val="000000"/>
                <w:kern w:val="0"/>
                <w:sz w:val="24"/>
                <w:szCs w:val="24"/>
              </w:rPr>
              <w:t>生成</w:t>
            </w:r>
          </w:p>
        </w:tc>
      </w:tr>
      <w:tr w14:paraId="61C7930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A56D237">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借出方机构名称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1CA9B48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w:t>
            </w:r>
            <w:r>
              <w:rPr>
                <w:rFonts w:ascii="仿宋_GB2312" w:hAnsi="宋体" w:eastAsia="仿宋_GB2312" w:cs="宋体"/>
                <w:bCs/>
                <w:color w:val="000000"/>
                <w:kern w:val="0"/>
                <w:sz w:val="24"/>
                <w:szCs w:val="24"/>
              </w:rPr>
              <w:t>方机构名称</w:t>
            </w:r>
            <w:r>
              <w:rPr>
                <w:rFonts w:hint="eastAsia" w:ascii="仿宋_GB2312" w:hAnsi="宋体" w:eastAsia="仿宋_GB2312" w:cs="宋体"/>
                <w:bCs/>
                <w:color w:val="000000"/>
                <w:kern w:val="0"/>
                <w:sz w:val="24"/>
                <w:szCs w:val="24"/>
              </w:rPr>
              <w:t>由借入方录入</w:t>
            </w:r>
            <w:r>
              <w:rPr>
                <w:rFonts w:ascii="仿宋_GB2312" w:hAnsi="宋体" w:eastAsia="仿宋_GB2312" w:cs="宋体"/>
                <w:bCs/>
                <w:color w:val="000000"/>
                <w:kern w:val="0"/>
                <w:sz w:val="24"/>
                <w:szCs w:val="24"/>
              </w:rPr>
              <w:t>，电话地址传真于借出方确认时录入。</w:t>
            </w:r>
          </w:p>
        </w:tc>
      </w:tr>
      <w:tr w14:paraId="7FEF1E5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D14CB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借出</w:t>
            </w:r>
            <w:r>
              <w:rPr>
                <w:rFonts w:ascii="仿宋_GB2312" w:hAnsi="宋体" w:eastAsia="仿宋_GB2312" w:cs="宋体"/>
                <w:b/>
                <w:bCs/>
                <w:color w:val="000000"/>
                <w:kern w:val="0"/>
                <w:sz w:val="24"/>
                <w:szCs w:val="24"/>
              </w:rPr>
              <w:t>方交易员</w:t>
            </w:r>
          </w:p>
        </w:tc>
        <w:tc>
          <w:tcPr>
            <w:tcW w:w="5671" w:type="dxa"/>
            <w:tcBorders>
              <w:top w:val="single" w:color="auto" w:sz="8" w:space="0"/>
              <w:left w:val="nil"/>
              <w:bottom w:val="single" w:color="auto" w:sz="8" w:space="0"/>
              <w:right w:val="single" w:color="auto" w:sz="8" w:space="0"/>
            </w:tcBorders>
            <w:vAlign w:val="center"/>
          </w:tcPr>
          <w:p w14:paraId="4052016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借入方录入借出方机构名称后下拉选择借出方交易员。</w:t>
            </w:r>
          </w:p>
        </w:tc>
      </w:tr>
      <w:tr w14:paraId="302A47D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FD0B2BF">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借入方证券账户（以及证券账户名称）</w:t>
            </w:r>
          </w:p>
        </w:tc>
        <w:tc>
          <w:tcPr>
            <w:tcW w:w="5671" w:type="dxa"/>
            <w:tcBorders>
              <w:top w:val="single" w:color="auto" w:sz="8" w:space="0"/>
              <w:left w:val="nil"/>
              <w:bottom w:val="single" w:color="auto" w:sz="8" w:space="0"/>
              <w:right w:val="single" w:color="auto" w:sz="8" w:space="0"/>
            </w:tcBorders>
            <w:vAlign w:val="center"/>
          </w:tcPr>
          <w:p w14:paraId="445658F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首期结算时借入债券机构的证券账户，由借入方录入，证券账户名称自动生成。</w:t>
            </w:r>
          </w:p>
        </w:tc>
      </w:tr>
      <w:tr w14:paraId="1AEC6D0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A6EBDF">
            <w:pPr>
              <w:jc w:val="left"/>
              <w:rPr>
                <w:rFonts w:ascii="仿宋_GB2312"/>
                <w:b/>
                <w:sz w:val="24"/>
                <w:szCs w:val="22"/>
              </w:rPr>
            </w:pPr>
            <w:r>
              <w:rPr>
                <w:rFonts w:hint="eastAsia" w:ascii="仿宋_GB2312" w:eastAsia="仿宋_GB2312"/>
                <w:b/>
                <w:sz w:val="24"/>
              </w:rPr>
              <w:t>借</w:t>
            </w:r>
            <w:r>
              <w:rPr>
                <w:rFonts w:hint="eastAsia" w:ascii="仿宋_GB2312" w:eastAsia="仿宋_GB2312"/>
                <w:b/>
                <w:sz w:val="24"/>
                <w:szCs w:val="24"/>
              </w:rPr>
              <w:t>入</w:t>
            </w:r>
            <w:r>
              <w:rPr>
                <w:rFonts w:hint="eastAsia" w:ascii="仿宋_GB2312" w:eastAsia="仿宋_GB2312"/>
                <w:b/>
                <w:sz w:val="24"/>
              </w:rPr>
              <w:t>方交易</w:t>
            </w:r>
            <w:r>
              <w:rPr>
                <w:rFonts w:ascii="仿宋_GB2312" w:eastAsia="仿宋_GB2312"/>
                <w:b/>
                <w:sz w:val="24"/>
                <w:szCs w:val="24"/>
              </w:rPr>
              <w:t>单元</w:t>
            </w:r>
          </w:p>
        </w:tc>
        <w:tc>
          <w:tcPr>
            <w:tcW w:w="5671" w:type="dxa"/>
            <w:tcBorders>
              <w:top w:val="single" w:color="auto" w:sz="8" w:space="0"/>
              <w:left w:val="nil"/>
              <w:bottom w:val="single" w:color="auto" w:sz="8" w:space="0"/>
              <w:right w:val="single" w:color="auto" w:sz="8" w:space="0"/>
            </w:tcBorders>
            <w:vAlign w:val="center"/>
          </w:tcPr>
          <w:p w14:paraId="0C520C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首期结算时借入债券机构的交易单元，由借入方录入。</w:t>
            </w:r>
          </w:p>
        </w:tc>
      </w:tr>
      <w:tr w14:paraId="19AED8BF">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4B33BE4E">
            <w:pPr>
              <w:jc w:val="left"/>
              <w:rPr>
                <w:rFonts w:ascii="仿宋_GB2312"/>
                <w:b/>
                <w:sz w:val="24"/>
                <w:szCs w:val="22"/>
              </w:rPr>
            </w:pPr>
            <w:r>
              <w:rPr>
                <w:rFonts w:hint="eastAsia" w:ascii="仿宋_GB2312" w:eastAsia="仿宋_GB2312"/>
                <w:b/>
                <w:sz w:val="24"/>
              </w:rPr>
              <w:t>借入方</w:t>
            </w:r>
            <w:r>
              <w:rPr>
                <w:rFonts w:hint="eastAsia" w:ascii="仿宋_GB2312" w:eastAsia="仿宋_GB2312"/>
                <w:b/>
                <w:sz w:val="24"/>
                <w:szCs w:val="24"/>
              </w:rPr>
              <w:t>资金账户（以及资金账户名称）</w:t>
            </w:r>
          </w:p>
        </w:tc>
        <w:tc>
          <w:tcPr>
            <w:tcW w:w="5671" w:type="dxa"/>
            <w:tcBorders>
              <w:top w:val="single" w:color="auto" w:sz="8" w:space="0"/>
              <w:left w:val="nil"/>
              <w:bottom w:val="single" w:color="auto" w:sz="8" w:space="0"/>
              <w:right w:val="single" w:color="auto" w:sz="8" w:space="0"/>
            </w:tcBorders>
            <w:vAlign w:val="center"/>
          </w:tcPr>
          <w:p w14:paraId="2B4547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，由借入方录入。</w:t>
            </w:r>
          </w:p>
        </w:tc>
      </w:tr>
      <w:tr w14:paraId="41A4D4B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636C2D4">
            <w:pPr>
              <w:jc w:val="left"/>
              <w:rPr>
                <w:rFonts w:ascii="仿宋_GB2312" w:eastAsia="仿宋_GB2312"/>
                <w:b/>
                <w:sz w:val="24"/>
                <w:szCs w:val="24"/>
              </w:rPr>
            </w:pPr>
            <w:r>
              <w:rPr>
                <w:rFonts w:hint="eastAsia" w:ascii="仿宋_GB2312" w:hAnsi="宋体" w:eastAsia="仿宋_GB2312" w:cs="宋体"/>
                <w:b/>
                <w:bCs/>
                <w:color w:val="000000"/>
                <w:kern w:val="0"/>
                <w:sz w:val="24"/>
                <w:szCs w:val="24"/>
              </w:rPr>
              <w:t>借出方证券账户</w:t>
            </w:r>
          </w:p>
        </w:tc>
        <w:tc>
          <w:tcPr>
            <w:tcW w:w="5671" w:type="dxa"/>
            <w:tcBorders>
              <w:top w:val="single" w:color="auto" w:sz="8" w:space="0"/>
              <w:left w:val="nil"/>
              <w:bottom w:val="single" w:color="auto" w:sz="8" w:space="0"/>
              <w:right w:val="single" w:color="auto" w:sz="8" w:space="0"/>
            </w:tcBorders>
            <w:vAlign w:val="center"/>
          </w:tcPr>
          <w:p w14:paraId="74AA2CB8">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首期结算时借出债券机构的证券账户，</w:t>
            </w:r>
            <w:r>
              <w:rPr>
                <w:rFonts w:ascii="仿宋_GB2312" w:hAnsi="宋体" w:eastAsia="仿宋_GB2312" w:cs="宋体"/>
                <w:bCs/>
                <w:color w:val="000000"/>
                <w:kern w:val="0"/>
                <w:sz w:val="24"/>
                <w:szCs w:val="24"/>
              </w:rPr>
              <w:t>借出方确认时录入。</w:t>
            </w:r>
          </w:p>
        </w:tc>
      </w:tr>
      <w:tr w14:paraId="539047E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40A6FB4">
            <w:pPr>
              <w:jc w:val="left"/>
              <w:rPr>
                <w:rFonts w:ascii="仿宋_GB2312" w:eastAsia="仿宋_GB2312"/>
                <w:b/>
                <w:sz w:val="24"/>
                <w:szCs w:val="24"/>
              </w:rPr>
            </w:pPr>
            <w:r>
              <w:rPr>
                <w:rFonts w:hint="eastAsia" w:ascii="仿宋_GB2312" w:eastAsia="仿宋_GB2312"/>
                <w:b/>
                <w:sz w:val="24"/>
                <w:szCs w:val="24"/>
              </w:rPr>
              <w:t>借出方交易单元</w:t>
            </w:r>
          </w:p>
        </w:tc>
        <w:tc>
          <w:tcPr>
            <w:tcW w:w="5671" w:type="dxa"/>
            <w:tcBorders>
              <w:top w:val="single" w:color="auto" w:sz="8" w:space="0"/>
              <w:left w:val="nil"/>
              <w:bottom w:val="single" w:color="auto" w:sz="8" w:space="0"/>
              <w:right w:val="single" w:color="auto" w:sz="8" w:space="0"/>
            </w:tcBorders>
            <w:vAlign w:val="center"/>
          </w:tcPr>
          <w:p w14:paraId="788716BC">
            <w:pPr>
              <w:jc w:val="left"/>
              <w:rPr>
                <w:rFonts w:ascii="仿宋_GB2312" w:hAnsi="宋体" w:eastAsia="仿宋_GB2312" w:cs="宋体"/>
                <w:b/>
                <w:bCs/>
                <w:color w:val="000000"/>
                <w:kern w:val="0"/>
                <w:sz w:val="24"/>
                <w:szCs w:val="24"/>
              </w:rPr>
            </w:pPr>
            <w:r>
              <w:rPr>
                <w:rFonts w:hint="eastAsia" w:ascii="仿宋_GB2312" w:hAnsi="宋体" w:eastAsia="仿宋_GB2312" w:cs="宋体"/>
                <w:bCs/>
                <w:color w:val="000000"/>
                <w:kern w:val="0"/>
                <w:sz w:val="24"/>
                <w:szCs w:val="24"/>
              </w:rPr>
              <w:t>首期结算时借出债券机构的交易单元，</w:t>
            </w:r>
            <w:r>
              <w:rPr>
                <w:rFonts w:ascii="仿宋_GB2312" w:hAnsi="宋体" w:eastAsia="仿宋_GB2312" w:cs="宋体"/>
                <w:bCs/>
                <w:color w:val="000000"/>
                <w:kern w:val="0"/>
                <w:sz w:val="24"/>
                <w:szCs w:val="24"/>
              </w:rPr>
              <w:t>借出方确认时录入。</w:t>
            </w:r>
          </w:p>
        </w:tc>
      </w:tr>
      <w:tr w14:paraId="7B4BD03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6D330086">
            <w:pPr>
              <w:jc w:val="left"/>
              <w:rPr>
                <w:rFonts w:ascii="仿宋_GB2312" w:eastAsia="仿宋_GB2312"/>
                <w:b/>
                <w:sz w:val="24"/>
                <w:szCs w:val="24"/>
              </w:rPr>
            </w:pPr>
            <w:r>
              <w:rPr>
                <w:rFonts w:hint="eastAsia" w:ascii="仿宋_GB2312" w:eastAsia="仿宋_GB2312"/>
                <w:b/>
                <w:sz w:val="24"/>
                <w:szCs w:val="24"/>
              </w:rPr>
              <w:t>借出方资金账户</w:t>
            </w:r>
          </w:p>
        </w:tc>
        <w:tc>
          <w:tcPr>
            <w:tcW w:w="5671" w:type="dxa"/>
            <w:tcBorders>
              <w:top w:val="single" w:color="auto" w:sz="8" w:space="0"/>
              <w:left w:val="nil"/>
              <w:bottom w:val="single" w:color="auto" w:sz="8" w:space="0"/>
              <w:right w:val="single" w:color="auto" w:sz="8" w:space="0"/>
            </w:tcBorders>
            <w:vAlign w:val="center"/>
          </w:tcPr>
          <w:p w14:paraId="3403646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借出方确认时录入。</w:t>
            </w:r>
          </w:p>
        </w:tc>
      </w:tr>
      <w:tr w14:paraId="3A07815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E27E324">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w:t>
            </w:r>
          </w:p>
        </w:tc>
        <w:tc>
          <w:tcPr>
            <w:tcW w:w="5671" w:type="dxa"/>
            <w:tcBorders>
              <w:top w:val="single" w:color="auto" w:sz="8" w:space="0"/>
              <w:left w:val="nil"/>
              <w:bottom w:val="single" w:color="auto" w:sz="8" w:space="0"/>
              <w:right w:val="single" w:color="auto" w:sz="8" w:space="0"/>
            </w:tcBorders>
            <w:vAlign w:val="center"/>
          </w:tcPr>
          <w:p w14:paraId="0891432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债券借贷的标的债券代码和简称标识。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E01C7B1">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DF3674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7F135573">
            <w:pPr>
              <w:jc w:val="left"/>
              <w:rPr>
                <w:rFonts w:ascii="仿宋_GB2312" w:hAnsi="宋体" w:eastAsia="仿宋_GB2312" w:cs="宋体"/>
                <w:bCs/>
                <w:color w:val="000000"/>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w:t>
            </w:r>
          </w:p>
        </w:tc>
      </w:tr>
      <w:tr w14:paraId="1E2046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30455F3">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标的券数量</w:t>
            </w:r>
          </w:p>
        </w:tc>
        <w:tc>
          <w:tcPr>
            <w:tcW w:w="5671" w:type="dxa"/>
            <w:tcBorders>
              <w:top w:val="single" w:color="auto" w:sz="8" w:space="0"/>
              <w:left w:val="nil"/>
              <w:bottom w:val="single" w:color="auto" w:sz="8" w:space="0"/>
              <w:right w:val="single" w:color="auto" w:sz="8" w:space="0"/>
            </w:tcBorders>
            <w:vAlign w:val="center"/>
          </w:tcPr>
          <w:p w14:paraId="19C83D1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（千元面额），借入方录入。</w:t>
            </w:r>
          </w:p>
        </w:tc>
      </w:tr>
      <w:tr w14:paraId="0F70E30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483039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23A22DE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标的债券按发行面额计算的总量，单位为万元。债券发生分期偿还、分期摊还的，债券面值为减少后的面额。</w:t>
            </w:r>
          </w:p>
          <w:p w14:paraId="3675A397">
            <w:pPr>
              <w:jc w:val="left"/>
              <w:rPr>
                <w:rFonts w:ascii="仿宋_GB2312" w:hAnsi="宋体" w:eastAsia="仿宋_GB2312" w:cs="宋体"/>
                <w:bCs/>
                <w:color w:val="000000"/>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（万元）</w:t>
            </w:r>
            <w:r>
              <w:rPr>
                <w:rFonts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面额（元）</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（千元面额）×10/10000 （下同）</w:t>
            </w:r>
          </w:p>
        </w:tc>
      </w:tr>
      <w:tr w14:paraId="58AAE76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2548357">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5671" w:type="dxa"/>
            <w:tcBorders>
              <w:top w:val="single" w:color="auto" w:sz="8" w:space="0"/>
              <w:left w:val="nil"/>
              <w:bottom w:val="single" w:color="auto" w:sz="8" w:space="0"/>
              <w:right w:val="single" w:color="auto" w:sz="8" w:space="0"/>
            </w:tcBorders>
            <w:vAlign w:val="center"/>
          </w:tcPr>
          <w:p w14:paraId="2692A2A0">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标的债券下次付息日，借入方录入。</w:t>
            </w:r>
          </w:p>
        </w:tc>
      </w:tr>
      <w:tr w14:paraId="41AF2F9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E6C616D">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4D85532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标的债券下次付息日付息总额，借入方录入。</w:t>
            </w:r>
          </w:p>
        </w:tc>
      </w:tr>
      <w:tr w14:paraId="55529AE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43B99C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w:t>
            </w:r>
          </w:p>
        </w:tc>
        <w:tc>
          <w:tcPr>
            <w:tcW w:w="5671" w:type="dxa"/>
            <w:tcBorders>
              <w:top w:val="single" w:color="auto" w:sz="8" w:space="0"/>
              <w:left w:val="nil"/>
              <w:bottom w:val="single" w:color="auto" w:sz="8" w:space="0"/>
              <w:right w:val="single" w:color="auto" w:sz="8" w:space="0"/>
            </w:tcBorders>
            <w:vAlign w:val="center"/>
          </w:tcPr>
          <w:p w14:paraId="5AEADCE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6F2054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2A0435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02A802C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6875E06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78884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质押券数量</w:t>
            </w:r>
          </w:p>
        </w:tc>
        <w:tc>
          <w:tcPr>
            <w:tcW w:w="5671" w:type="dxa"/>
            <w:tcBorders>
              <w:top w:val="single" w:color="auto" w:sz="8" w:space="0"/>
              <w:left w:val="nil"/>
              <w:bottom w:val="single" w:color="auto" w:sz="8" w:space="0"/>
              <w:right w:val="single" w:color="auto" w:sz="8" w:space="0"/>
            </w:tcBorders>
            <w:vAlign w:val="center"/>
          </w:tcPr>
          <w:p w14:paraId="4902F8C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质押券数量（千元面额），借入方录入。</w:t>
            </w:r>
          </w:p>
        </w:tc>
      </w:tr>
      <w:tr w14:paraId="7E4E80A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074F21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640C93A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7D63469A">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7EFE4B39">
            <w:pPr>
              <w:jc w:val="left"/>
              <w:rPr>
                <w:rFonts w:ascii="仿宋_GB2312" w:hAnsi="仿宋_GB2312" w:eastAsia="仿宋_GB2312" w:cs="仿宋_GB2312"/>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单张质押券初始面额（元）×质押券数量（千元面额））×10/10000 （下同）</w:t>
            </w:r>
          </w:p>
          <w:p w14:paraId="543C4001">
            <w:pPr>
              <w:jc w:val="left"/>
              <w:rPr>
                <w:rFonts w:ascii="仿宋_GB2312" w:hAnsi="宋体"/>
                <w:b/>
                <w:color w:val="000000"/>
                <w:kern w:val="0"/>
                <w:sz w:val="24"/>
                <w:szCs w:val="22"/>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单张质押券最新面额（元）×质押券数量（千元面额）×10/10000 （下同）</w:t>
            </w:r>
          </w:p>
        </w:tc>
      </w:tr>
      <w:tr w14:paraId="39CDE104">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0F8C8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借贷费率</w:t>
            </w:r>
          </w:p>
        </w:tc>
        <w:tc>
          <w:tcPr>
            <w:tcW w:w="5671" w:type="dxa"/>
            <w:tcBorders>
              <w:top w:val="single" w:color="auto" w:sz="8" w:space="0"/>
              <w:left w:val="nil"/>
              <w:bottom w:val="single" w:color="auto" w:sz="8" w:space="0"/>
              <w:right w:val="single" w:color="auto" w:sz="8" w:space="0"/>
            </w:tcBorders>
            <w:vAlign w:val="center"/>
          </w:tcPr>
          <w:p w14:paraId="202C107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债券借入方从债券借出方借入标的债券支付借贷费用的约定费率。债券借贷费率由借贷双方自行约定。</w:t>
            </w:r>
          </w:p>
        </w:tc>
      </w:tr>
      <w:tr w14:paraId="79ECCDE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62C86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借贷期限</w:t>
            </w:r>
          </w:p>
        </w:tc>
        <w:tc>
          <w:tcPr>
            <w:tcW w:w="5671" w:type="dxa"/>
            <w:tcBorders>
              <w:top w:val="single" w:color="auto" w:sz="8" w:space="0"/>
              <w:left w:val="nil"/>
              <w:bottom w:val="single" w:color="auto" w:sz="8" w:space="0"/>
              <w:right w:val="single" w:color="auto" w:sz="8" w:space="0"/>
            </w:tcBorders>
            <w:vAlign w:val="center"/>
          </w:tcPr>
          <w:p w14:paraId="7D39985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77E89FA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B7EF26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5671" w:type="dxa"/>
            <w:tcBorders>
              <w:top w:val="single" w:color="auto" w:sz="8" w:space="0"/>
              <w:left w:val="nil"/>
              <w:bottom w:val="single" w:color="auto" w:sz="8" w:space="0"/>
              <w:right w:val="single" w:color="auto" w:sz="8" w:space="0"/>
            </w:tcBorders>
            <w:vAlign w:val="center"/>
          </w:tcPr>
          <w:p w14:paraId="36B6A0E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42411A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8F58CBE">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到期费用结算方式</w:t>
            </w:r>
          </w:p>
        </w:tc>
        <w:tc>
          <w:tcPr>
            <w:tcW w:w="5671" w:type="dxa"/>
            <w:tcBorders>
              <w:top w:val="single" w:color="auto" w:sz="8" w:space="0"/>
              <w:left w:val="nil"/>
              <w:bottom w:val="single" w:color="auto" w:sz="8" w:space="0"/>
              <w:right w:val="single" w:color="auto" w:sz="8" w:space="0"/>
            </w:tcBorders>
            <w:vAlign w:val="center"/>
          </w:tcPr>
          <w:p w14:paraId="191D104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可</w:t>
            </w:r>
            <w:r>
              <w:rPr>
                <w:rFonts w:ascii="仿宋_GB2312" w:eastAsia="仿宋_GB2312"/>
                <w:sz w:val="24"/>
                <w:szCs w:val="24"/>
              </w:rPr>
              <w:t>勾选场</w:t>
            </w:r>
            <w:r>
              <w:rPr>
                <w:rFonts w:hint="eastAsia" w:ascii="仿宋_GB2312" w:eastAsia="仿宋_GB2312"/>
                <w:sz w:val="24"/>
                <w:szCs w:val="24"/>
              </w:rPr>
              <w:t>内</w:t>
            </w:r>
            <w:r>
              <w:rPr>
                <w:rFonts w:ascii="仿宋_GB2312" w:eastAsia="仿宋_GB2312"/>
                <w:sz w:val="24"/>
                <w:szCs w:val="24"/>
              </w:rPr>
              <w:t>/外结算，</w:t>
            </w:r>
            <w:r>
              <w:rPr>
                <w:rFonts w:hint="eastAsia" w:ascii="仿宋_GB2312" w:eastAsia="仿宋_GB2312"/>
                <w:sz w:val="24"/>
                <w:szCs w:val="24"/>
              </w:rPr>
              <w:t>场内</w:t>
            </w:r>
            <w:r>
              <w:rPr>
                <w:rFonts w:ascii="仿宋_GB2312" w:eastAsia="仿宋_GB2312"/>
                <w:sz w:val="24"/>
                <w:szCs w:val="24"/>
              </w:rPr>
              <w:t>结算的，默认RTGS结算方式</w:t>
            </w:r>
            <w:r>
              <w:rPr>
                <w:rFonts w:hint="eastAsia" w:ascii="仿宋_GB2312" w:eastAsia="仿宋_GB2312"/>
                <w:sz w:val="24"/>
                <w:szCs w:val="24"/>
              </w:rPr>
              <w:t>。到期费用包括债券借贷费用、现金结算金额等。首期</w:t>
            </w:r>
            <w:r>
              <w:rPr>
                <w:rFonts w:ascii="仿宋_GB2312" w:eastAsia="仿宋_GB2312"/>
                <w:sz w:val="24"/>
                <w:szCs w:val="24"/>
              </w:rPr>
              <w:t>结算时填写的</w:t>
            </w:r>
            <w:r>
              <w:rPr>
                <w:rFonts w:hint="eastAsia" w:ascii="仿宋_GB2312" w:eastAsia="仿宋_GB2312"/>
                <w:sz w:val="24"/>
                <w:szCs w:val="24"/>
              </w:rPr>
              <w:t>到</w:t>
            </w:r>
            <w:r>
              <w:rPr>
                <w:rFonts w:ascii="仿宋_GB2312" w:eastAsia="仿宋_GB2312"/>
                <w:sz w:val="24"/>
                <w:szCs w:val="24"/>
              </w:rPr>
              <w:t>期</w:t>
            </w:r>
            <w:r>
              <w:rPr>
                <w:rFonts w:hint="eastAsia" w:ascii="仿宋_GB2312" w:eastAsia="仿宋_GB2312"/>
                <w:sz w:val="24"/>
                <w:szCs w:val="24"/>
              </w:rPr>
              <w:t>费用结算方式到期结算时可调整。</w:t>
            </w:r>
          </w:p>
        </w:tc>
      </w:tr>
      <w:tr w14:paraId="0366B38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DD00FD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首期结算日</w:t>
            </w:r>
          </w:p>
        </w:tc>
        <w:tc>
          <w:tcPr>
            <w:tcW w:w="5671" w:type="dxa"/>
            <w:tcBorders>
              <w:top w:val="single" w:color="auto" w:sz="8" w:space="0"/>
              <w:left w:val="nil"/>
              <w:bottom w:val="single" w:color="auto" w:sz="8" w:space="0"/>
              <w:right w:val="single" w:color="auto" w:sz="8" w:space="0"/>
            </w:tcBorders>
            <w:vAlign w:val="center"/>
          </w:tcPr>
          <w:p w14:paraId="59E2FF9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债券借出方将标的债券过户到借入方日期</w:t>
            </w:r>
          </w:p>
        </w:tc>
      </w:tr>
      <w:tr w14:paraId="469F2BBE">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B66762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到期结算日</w:t>
            </w:r>
          </w:p>
        </w:tc>
        <w:tc>
          <w:tcPr>
            <w:tcW w:w="5671" w:type="dxa"/>
            <w:tcBorders>
              <w:top w:val="single" w:color="auto" w:sz="8" w:space="0"/>
              <w:left w:val="nil"/>
              <w:bottom w:val="single" w:color="auto" w:sz="8" w:space="0"/>
              <w:right w:val="single" w:color="auto" w:sz="8" w:space="0"/>
            </w:tcBorders>
            <w:vAlign w:val="center"/>
          </w:tcPr>
          <w:p w14:paraId="165D5A1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6100EE9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62D44B5">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争议</w:t>
            </w:r>
            <w:r>
              <w:rPr>
                <w:rFonts w:ascii="仿宋_GB2312" w:hAnsi="宋体" w:eastAsia="仿宋_GB2312" w:cs="宋体"/>
                <w:b/>
                <w:bCs/>
                <w:color w:val="000000"/>
                <w:kern w:val="0"/>
                <w:sz w:val="24"/>
                <w:szCs w:val="24"/>
              </w:rPr>
              <w:t>解决方式</w:t>
            </w:r>
          </w:p>
        </w:tc>
        <w:tc>
          <w:tcPr>
            <w:tcW w:w="5671" w:type="dxa"/>
            <w:tcBorders>
              <w:top w:val="single" w:color="auto" w:sz="8" w:space="0"/>
              <w:left w:val="nil"/>
              <w:bottom w:val="single" w:color="auto" w:sz="8" w:space="0"/>
              <w:right w:val="single" w:color="auto" w:sz="8" w:space="0"/>
            </w:tcBorders>
            <w:vAlign w:val="center"/>
          </w:tcPr>
          <w:p w14:paraId="0CF9B1D3">
            <w:pPr>
              <w:jc w:val="left"/>
              <w:rPr>
                <w:rFonts w:ascii="仿宋_GB2312" w:hAnsi="宋体" w:eastAsia="仿宋_GB2312" w:cs="宋体"/>
                <w:bCs/>
                <w:color w:val="000000"/>
                <w:kern w:val="0"/>
                <w:sz w:val="24"/>
                <w:szCs w:val="24"/>
              </w:rPr>
            </w:pPr>
          </w:p>
        </w:tc>
      </w:tr>
      <w:tr w14:paraId="5E854A5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EEE0E3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补充</w:t>
            </w:r>
            <w:r>
              <w:rPr>
                <w:rFonts w:ascii="仿宋_GB2312" w:hAnsi="宋体" w:eastAsia="仿宋_GB2312" w:cs="宋体"/>
                <w:b/>
                <w:bCs/>
                <w:color w:val="000000"/>
                <w:kern w:val="0"/>
                <w:sz w:val="24"/>
                <w:szCs w:val="24"/>
              </w:rPr>
              <w:t>约定</w:t>
            </w:r>
          </w:p>
        </w:tc>
        <w:tc>
          <w:tcPr>
            <w:tcW w:w="5671" w:type="dxa"/>
            <w:tcBorders>
              <w:top w:val="single" w:color="auto" w:sz="8" w:space="0"/>
              <w:left w:val="nil"/>
              <w:bottom w:val="single" w:color="auto" w:sz="8" w:space="0"/>
              <w:right w:val="single" w:color="auto" w:sz="8" w:space="0"/>
            </w:tcBorders>
            <w:vAlign w:val="center"/>
          </w:tcPr>
          <w:p w14:paraId="321B54F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53B3EF02">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3）</w:t>
      </w:r>
      <w:r>
        <w:rPr>
          <w:rFonts w:hint="eastAsia" w:ascii="仿宋_GB2312" w:hAnsi="Calibri" w:eastAsia="仿宋_GB2312"/>
          <w:sz w:val="30"/>
          <w:szCs w:val="30"/>
        </w:rPr>
        <w:t>债券借贷费率与</w:t>
      </w:r>
      <w:r>
        <w:rPr>
          <w:rFonts w:hint="eastAsia" w:ascii="仿宋_GB2312" w:hAnsi="黑体" w:eastAsia="仿宋_GB2312"/>
          <w:bCs/>
          <w:sz w:val="30"/>
          <w:szCs w:val="30"/>
        </w:rPr>
        <w:t>申报最小价格单位</w:t>
      </w:r>
    </w:p>
    <w:p w14:paraId="3936A038">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债券借贷费率由借贷双方自行约定。债券借贷费用=标的债券券面总额×债券借贷费率×借贷期限/365。债券借贷交易申报的费率单位为0.0</w:t>
      </w:r>
      <w:r>
        <w:rPr>
          <w:rFonts w:ascii="仿宋_GB2312" w:hAnsi="Calibri" w:eastAsia="仿宋_GB2312"/>
          <w:sz w:val="30"/>
          <w:szCs w:val="30"/>
        </w:rPr>
        <w:t>0</w:t>
      </w:r>
      <w:r>
        <w:rPr>
          <w:rFonts w:hint="eastAsia" w:ascii="仿宋_GB2312" w:hAnsi="Calibri" w:eastAsia="仿宋_GB2312"/>
          <w:sz w:val="30"/>
          <w:szCs w:val="30"/>
        </w:rPr>
        <w:t>1%，申报费率最小变动单位为0.0</w:t>
      </w:r>
      <w:r>
        <w:rPr>
          <w:rFonts w:ascii="仿宋_GB2312" w:hAnsi="Calibri" w:eastAsia="仿宋_GB2312"/>
          <w:sz w:val="30"/>
          <w:szCs w:val="30"/>
        </w:rPr>
        <w:t>0</w:t>
      </w:r>
      <w:r>
        <w:rPr>
          <w:rFonts w:hint="eastAsia" w:ascii="仿宋_GB2312" w:hAnsi="Calibri" w:eastAsia="仿宋_GB2312"/>
          <w:sz w:val="30"/>
          <w:szCs w:val="30"/>
        </w:rPr>
        <w:t>1%。</w:t>
      </w:r>
    </w:p>
    <w:p w14:paraId="7BA4705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p>
    <w:p w14:paraId="3638B8B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（1）质押债券变更</w:t>
      </w:r>
    </w:p>
    <w:p w14:paraId="6721823B">
      <w:pPr>
        <w:spacing w:line="600" w:lineRule="exact"/>
        <w:ind w:firstLine="600" w:firstLineChars="200"/>
        <w:outlineLvl w:val="3"/>
        <w:rPr>
          <w:rFonts w:ascii="仿宋_GB2312" w:hAnsi="Calibri" w:eastAsia="仿宋_GB2312"/>
          <w:sz w:val="30"/>
          <w:szCs w:val="30"/>
        </w:rPr>
      </w:pPr>
      <w:r>
        <w:rPr>
          <w:rFonts w:hint="eastAsia" w:ascii="仿宋_GB2312" w:hAnsi="Calibri" w:eastAsia="仿宋_GB2312"/>
          <w:sz w:val="30"/>
          <w:szCs w:val="30"/>
        </w:rPr>
        <w:t xml:space="preserve">债券借贷期间，经借贷双方协商一致，可以申报质押债券变更，包括补充质押债券、置换质押债券或者解除部分质押债券质押。变更质押债券申报由债券借入方发起，并由债券借出方确认。一笔债券借贷每个交易日仅能申报一笔质押券变更（一笔申报可含多只质押券债券的变更）。  </w:t>
      </w:r>
    </w:p>
    <w:p w14:paraId="51631EB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5296"/>
      </w:tblGrid>
      <w:tr w14:paraId="0B5F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1F6D46D">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要素名称</w:t>
            </w:r>
          </w:p>
        </w:tc>
        <w:tc>
          <w:tcPr>
            <w:tcW w:w="5296" w:type="dxa"/>
          </w:tcPr>
          <w:p w14:paraId="6FEDA69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7B1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2"/>
          </w:tcPr>
          <w:p w14:paraId="0EB81B1B">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（补充质押债券或置换质押债券，</w:t>
            </w:r>
            <w:r>
              <w:rPr>
                <w:rFonts w:ascii="仿宋_GB2312" w:eastAsia="仿宋_GB2312"/>
                <w:b/>
                <w:kern w:val="0"/>
                <w:sz w:val="24"/>
                <w:szCs w:val="24"/>
              </w:rPr>
              <w:t>换入/</w:t>
            </w:r>
            <w:r>
              <w:rPr>
                <w:rFonts w:hint="eastAsia" w:ascii="仿宋_GB2312" w:eastAsia="仿宋_GB2312"/>
                <w:b/>
                <w:kern w:val="0"/>
                <w:sz w:val="24"/>
                <w:szCs w:val="24"/>
              </w:rPr>
              <w:t>补入</w:t>
            </w:r>
            <w:r>
              <w:rPr>
                <w:rFonts w:ascii="仿宋_GB2312" w:eastAsia="仿宋_GB2312"/>
                <w:b/>
                <w:kern w:val="0"/>
                <w:sz w:val="24"/>
                <w:szCs w:val="24"/>
              </w:rPr>
              <w:t>券简称新质押券</w:t>
            </w:r>
            <w:r>
              <w:rPr>
                <w:rFonts w:hint="eastAsia" w:ascii="仿宋_GB2312" w:eastAsia="仿宋_GB2312"/>
                <w:b/>
                <w:kern w:val="0"/>
                <w:sz w:val="24"/>
                <w:szCs w:val="24"/>
              </w:rPr>
              <w:t>）新券申报信息</w:t>
            </w:r>
          </w:p>
        </w:tc>
      </w:tr>
      <w:tr w14:paraId="0168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7E1758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296" w:type="dxa"/>
          </w:tcPr>
          <w:p w14:paraId="457CFF16">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777A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00" w:type="dxa"/>
          </w:tcPr>
          <w:p w14:paraId="5C6F8AA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296" w:type="dxa"/>
          </w:tcPr>
          <w:p w14:paraId="09BE16C8">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4891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64DC3C3">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新质押券面额</w:t>
            </w:r>
          </w:p>
        </w:tc>
        <w:tc>
          <w:tcPr>
            <w:tcW w:w="5296" w:type="dxa"/>
          </w:tcPr>
          <w:p w14:paraId="65CE5A08">
            <w:pPr>
              <w:adjustRightInd w:val="0"/>
              <w:snapToGrid w:val="0"/>
              <w:jc w:val="left"/>
              <w:rPr>
                <w:rFonts w:ascii="仿宋_GB2312" w:eastAsia="仿宋_GB2312"/>
                <w:kern w:val="0"/>
                <w:sz w:val="24"/>
                <w:szCs w:val="24"/>
              </w:rPr>
            </w:pPr>
            <w:r>
              <w:rPr>
                <w:rFonts w:hint="eastAsia" w:ascii="仿宋_GB2312" w:eastAsia="仿宋_GB2312"/>
                <w:kern w:val="0"/>
                <w:sz w:val="24"/>
                <w:szCs w:val="24"/>
              </w:rPr>
              <w:t>单张</w:t>
            </w:r>
            <w:r>
              <w:rPr>
                <w:rFonts w:ascii="仿宋_GB2312" w:eastAsia="仿宋_GB2312"/>
                <w:kern w:val="0"/>
                <w:sz w:val="24"/>
                <w:szCs w:val="24"/>
              </w:rPr>
              <w:t>新质押券面额</w:t>
            </w:r>
          </w:p>
        </w:tc>
      </w:tr>
      <w:tr w14:paraId="6684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986A8C0">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296" w:type="dxa"/>
          </w:tcPr>
          <w:p w14:paraId="4F196D10">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2D9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4BAE6A8A">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296" w:type="dxa"/>
          </w:tcPr>
          <w:p w14:paraId="1BD53D4F">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r w14:paraId="22F8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2"/>
          </w:tcPr>
          <w:p w14:paraId="392C3867">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（置换质押债券或解除部分质押，</w:t>
            </w:r>
            <w:r>
              <w:rPr>
                <w:rFonts w:ascii="仿宋_GB2312" w:eastAsia="仿宋_GB2312"/>
                <w:b/>
                <w:kern w:val="0"/>
                <w:sz w:val="24"/>
                <w:szCs w:val="24"/>
              </w:rPr>
              <w:t>换出证券简称原质押券</w:t>
            </w:r>
            <w:r>
              <w:rPr>
                <w:rFonts w:hint="eastAsia" w:ascii="仿宋_GB2312" w:eastAsia="仿宋_GB2312"/>
                <w:b/>
                <w:kern w:val="0"/>
                <w:sz w:val="24"/>
                <w:szCs w:val="24"/>
              </w:rPr>
              <w:t>）原券申报信息</w:t>
            </w:r>
          </w:p>
        </w:tc>
      </w:tr>
      <w:tr w14:paraId="0A53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00" w:type="dxa"/>
          </w:tcPr>
          <w:p w14:paraId="79F0D12C">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296" w:type="dxa"/>
          </w:tcPr>
          <w:p w14:paraId="024D8E37">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原质押债券的代码，自动显示，无需输入</w:t>
            </w:r>
          </w:p>
        </w:tc>
      </w:tr>
      <w:tr w14:paraId="250A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690AC077">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296" w:type="dxa"/>
          </w:tcPr>
          <w:p w14:paraId="64974F84">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4636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AB389A9">
            <w:pPr>
              <w:adjustRightInd w:val="0"/>
              <w:snapToGrid w:val="0"/>
              <w:rPr>
                <w:rFonts w:ascii="仿宋_GB2312" w:eastAsia="仿宋_GB2312"/>
                <w:b/>
                <w:kern w:val="0"/>
                <w:sz w:val="24"/>
                <w:szCs w:val="24"/>
              </w:rPr>
            </w:pPr>
            <w:r>
              <w:rPr>
                <w:rFonts w:hint="eastAsia" w:ascii="仿宋_GB2312" w:eastAsia="仿宋_GB2312"/>
                <w:b/>
                <w:kern w:val="0"/>
                <w:sz w:val="24"/>
                <w:szCs w:val="24"/>
              </w:rPr>
              <w:t>冻结</w:t>
            </w:r>
            <w:r>
              <w:rPr>
                <w:rFonts w:ascii="仿宋_GB2312" w:eastAsia="仿宋_GB2312"/>
                <w:b/>
                <w:kern w:val="0"/>
                <w:sz w:val="24"/>
                <w:szCs w:val="24"/>
              </w:rPr>
              <w:t>申请书号</w:t>
            </w:r>
          </w:p>
        </w:tc>
        <w:tc>
          <w:tcPr>
            <w:tcW w:w="5296" w:type="dxa"/>
          </w:tcPr>
          <w:p w14:paraId="46601870">
            <w:pPr>
              <w:adjustRightInd w:val="0"/>
              <w:snapToGrid w:val="0"/>
              <w:rPr>
                <w:rFonts w:ascii="仿宋_GB2312" w:eastAsia="仿宋_GB2312"/>
                <w:kern w:val="0"/>
                <w:sz w:val="24"/>
                <w:szCs w:val="24"/>
              </w:rPr>
            </w:pPr>
            <w:r>
              <w:rPr>
                <w:rFonts w:hint="eastAsia" w:ascii="仿宋_GB2312" w:eastAsia="仿宋_GB2312"/>
                <w:kern w:val="0"/>
                <w:sz w:val="24"/>
                <w:szCs w:val="24"/>
              </w:rPr>
              <w:t>换出</w:t>
            </w:r>
            <w:r>
              <w:rPr>
                <w:rFonts w:ascii="仿宋_GB2312" w:eastAsia="仿宋_GB2312"/>
                <w:kern w:val="0"/>
                <w:sz w:val="24"/>
                <w:szCs w:val="24"/>
              </w:rPr>
              <w:t>证券时仅能选原合约中的质押券及</w:t>
            </w:r>
            <w:r>
              <w:rPr>
                <w:rFonts w:hint="eastAsia" w:ascii="仿宋_GB2312" w:eastAsia="仿宋_GB2312"/>
                <w:kern w:val="0"/>
                <w:sz w:val="24"/>
                <w:szCs w:val="24"/>
              </w:rPr>
              <w:t>冻结</w:t>
            </w:r>
            <w:r>
              <w:rPr>
                <w:rFonts w:ascii="仿宋_GB2312" w:eastAsia="仿宋_GB2312"/>
                <w:kern w:val="0"/>
                <w:sz w:val="24"/>
                <w:szCs w:val="24"/>
              </w:rPr>
              <w:t>申请书号，不得超过原质押券该笔冻结申请书号对应的数量</w:t>
            </w:r>
          </w:p>
        </w:tc>
      </w:tr>
      <w:tr w14:paraId="5690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72381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原质押券面额</w:t>
            </w:r>
          </w:p>
        </w:tc>
        <w:tc>
          <w:tcPr>
            <w:tcW w:w="5296" w:type="dxa"/>
          </w:tcPr>
          <w:p w14:paraId="2E6AD434">
            <w:pPr>
              <w:adjustRightInd w:val="0"/>
              <w:snapToGrid w:val="0"/>
              <w:rPr>
                <w:rFonts w:ascii="仿宋_GB2312" w:eastAsia="仿宋_GB2312"/>
                <w:kern w:val="0"/>
                <w:sz w:val="24"/>
                <w:szCs w:val="24"/>
              </w:rPr>
            </w:pPr>
            <w:r>
              <w:rPr>
                <w:rFonts w:hint="eastAsia" w:ascii="仿宋_GB2312" w:eastAsia="仿宋_GB2312"/>
                <w:kern w:val="0"/>
                <w:sz w:val="24"/>
                <w:szCs w:val="24"/>
              </w:rPr>
              <w:t>单张原</w:t>
            </w:r>
            <w:r>
              <w:rPr>
                <w:rFonts w:ascii="仿宋_GB2312" w:eastAsia="仿宋_GB2312"/>
                <w:kern w:val="0"/>
                <w:sz w:val="24"/>
                <w:szCs w:val="24"/>
              </w:rPr>
              <w:t>质押券面额</w:t>
            </w:r>
          </w:p>
        </w:tc>
      </w:tr>
      <w:tr w14:paraId="2817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6D1C1834">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296" w:type="dxa"/>
          </w:tcPr>
          <w:p w14:paraId="2242B78E">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0221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47B7A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296" w:type="dxa"/>
          </w:tcPr>
          <w:p w14:paraId="295F4F85">
            <w:pPr>
              <w:adjustRightInd w:val="0"/>
              <w:snapToGrid w:val="0"/>
              <w:rPr>
                <w:rFonts w:ascii="仿宋_GB2312" w:eastAsia="仿宋_GB2312"/>
                <w:kern w:val="0"/>
                <w:sz w:val="24"/>
                <w:szCs w:val="24"/>
              </w:rPr>
            </w:pPr>
            <w:r>
              <w:rPr>
                <w:rFonts w:hint="eastAsia" w:ascii="仿宋_GB2312" w:eastAsia="仿宋_GB2312"/>
                <w:kern w:val="0"/>
                <w:sz w:val="24"/>
                <w:szCs w:val="24"/>
              </w:rPr>
              <w:t>原质押数量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原单张质押券面额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bl>
    <w:p w14:paraId="482D7FA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）提前终止借贷</w:t>
      </w:r>
    </w:p>
    <w:p w14:paraId="2CE2FA9F">
      <w:pPr>
        <w:spacing w:line="600" w:lineRule="exact"/>
        <w:ind w:firstLine="600" w:firstLineChars="200"/>
        <w:outlineLvl w:val="3"/>
        <w:rPr>
          <w:rFonts w:ascii="仿宋_GB2312" w:hAnsi="Calibri" w:eastAsia="仿宋_GB2312"/>
          <w:sz w:val="30"/>
          <w:szCs w:val="30"/>
        </w:rPr>
      </w:pPr>
      <w:r>
        <w:rPr>
          <w:rFonts w:hint="eastAsia" w:ascii="仿宋_GB2312" w:hAnsi="Calibri" w:eastAsia="仿宋_GB2312"/>
          <w:kern w:val="0"/>
          <w:sz w:val="30"/>
          <w:szCs w:val="30"/>
        </w:rPr>
        <w:t>债券借贷期间，标的债券发生违约、披露重大违约风险或者借贷双方协商一致的，可以按照约定提前终止借贷。债券借入方或债券借出方可以发起提前终止申报，并由对方确认，确认后按</w:t>
      </w:r>
      <w:r>
        <w:rPr>
          <w:rFonts w:hint="eastAsia" w:ascii="仿宋_GB2312" w:hAnsi="宋体" w:eastAsia="仿宋_GB2312" w:cs="宋体"/>
          <w:sz w:val="30"/>
          <w:szCs w:val="30"/>
        </w:rPr>
        <w:t>到期结算办理。</w:t>
      </w:r>
      <w:r>
        <w:rPr>
          <w:rFonts w:hint="eastAsia" w:ascii="仿宋_GB2312" w:hAnsi="Calibri" w:eastAsia="仿宋_GB2312"/>
          <w:sz w:val="30"/>
          <w:szCs w:val="30"/>
        </w:rPr>
        <w:t>提前终止借贷的具体要素及要素说明如下：</w:t>
      </w:r>
      <w:r>
        <w:rPr>
          <w:rFonts w:ascii="仿宋_GB2312" w:hAnsi="Calibri" w:eastAsia="仿宋_GB2312"/>
          <w:sz w:val="30"/>
          <w:szCs w:val="30"/>
        </w:rPr>
        <w:t xml:space="preserve"> </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812"/>
      </w:tblGrid>
      <w:tr w14:paraId="55ED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C4F1A3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12" w:type="dxa"/>
          </w:tcPr>
          <w:p w14:paraId="216BF03E">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1851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F2E5AE0">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w:t>
            </w:r>
          </w:p>
        </w:tc>
        <w:tc>
          <w:tcPr>
            <w:tcW w:w="5812" w:type="dxa"/>
          </w:tcPr>
          <w:p w14:paraId="3BF6E13E">
            <w:pPr>
              <w:adjustRightInd w:val="0"/>
              <w:snapToGrid w:val="0"/>
              <w:rPr>
                <w:rFonts w:ascii="仿宋_GB2312" w:eastAsia="仿宋_GB2312"/>
                <w:kern w:val="0"/>
                <w:sz w:val="24"/>
                <w:szCs w:val="24"/>
              </w:rPr>
            </w:pPr>
            <w:r>
              <w:rPr>
                <w:rFonts w:hint="eastAsia" w:ascii="仿宋_GB2312" w:eastAsia="仿宋_GB2312"/>
                <w:kern w:val="0"/>
                <w:sz w:val="24"/>
                <w:szCs w:val="24"/>
              </w:rPr>
              <w:t>债券借贷交易的提前终止日期，即申报提前终止当日，自动显示，无需输入。自动计算带出新的借贷期限和新的应付借贷费用，费用可修改。</w:t>
            </w:r>
          </w:p>
        </w:tc>
      </w:tr>
      <w:tr w14:paraId="12F6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D46CD1E">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借贷费率</w:t>
            </w:r>
          </w:p>
        </w:tc>
        <w:tc>
          <w:tcPr>
            <w:tcW w:w="5812" w:type="dxa"/>
          </w:tcPr>
          <w:p w14:paraId="69C2FEB2">
            <w:pPr>
              <w:adjustRightInd w:val="0"/>
              <w:snapToGrid w:val="0"/>
              <w:rPr>
                <w:rFonts w:ascii="仿宋_GB2312" w:eastAsia="仿宋_GB2312"/>
                <w:kern w:val="0"/>
                <w:sz w:val="24"/>
                <w:szCs w:val="24"/>
              </w:rPr>
            </w:pPr>
            <w:r>
              <w:rPr>
                <w:rFonts w:hint="eastAsia" w:ascii="仿宋_GB2312" w:eastAsia="仿宋_GB2312"/>
                <w:kern w:val="0"/>
                <w:sz w:val="24"/>
                <w:szCs w:val="24"/>
              </w:rPr>
              <w:t>自动带出协商成交申报中的借贷费率</w:t>
            </w:r>
          </w:p>
        </w:tc>
      </w:tr>
      <w:tr w14:paraId="65AF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01796172">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借贷费用</w:t>
            </w:r>
          </w:p>
        </w:tc>
        <w:tc>
          <w:tcPr>
            <w:tcW w:w="5812" w:type="dxa"/>
          </w:tcPr>
          <w:p w14:paraId="5D8723C6">
            <w:pPr>
              <w:adjustRightInd w:val="0"/>
              <w:snapToGrid w:val="0"/>
              <w:rPr>
                <w:rFonts w:ascii="仿宋_GB2312" w:eastAsia="仿宋_GB2312"/>
                <w:kern w:val="0"/>
                <w:sz w:val="24"/>
                <w:szCs w:val="24"/>
              </w:rPr>
            </w:pPr>
            <w:r>
              <w:rPr>
                <w:rFonts w:hint="eastAsia" w:ascii="仿宋_GB2312" w:eastAsia="仿宋_GB2312"/>
                <w:kern w:val="0"/>
                <w:sz w:val="24"/>
                <w:szCs w:val="24"/>
              </w:rPr>
              <w:t>提前到期日债券借入方支付</w:t>
            </w:r>
            <w:r>
              <w:rPr>
                <w:rFonts w:ascii="仿宋_GB2312" w:eastAsia="仿宋_GB2312"/>
                <w:kern w:val="0"/>
                <w:sz w:val="24"/>
                <w:szCs w:val="24"/>
              </w:rPr>
              <w:t>的</w:t>
            </w:r>
            <w:r>
              <w:rPr>
                <w:rFonts w:hint="eastAsia" w:ascii="仿宋_GB2312" w:eastAsia="仿宋_GB2312"/>
                <w:kern w:val="0"/>
                <w:sz w:val="24"/>
                <w:szCs w:val="24"/>
              </w:rPr>
              <w:t>借贷</w:t>
            </w:r>
            <w:r>
              <w:rPr>
                <w:rFonts w:ascii="仿宋_GB2312" w:eastAsia="仿宋_GB2312"/>
                <w:kern w:val="0"/>
                <w:sz w:val="24"/>
                <w:szCs w:val="24"/>
              </w:rPr>
              <w:t>费用</w:t>
            </w:r>
          </w:p>
        </w:tc>
      </w:tr>
      <w:tr w14:paraId="51D7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B3D78A2">
            <w:pPr>
              <w:adjustRightInd w:val="0"/>
              <w:snapToGrid w:val="0"/>
              <w:rPr>
                <w:rFonts w:ascii="仿宋_GB2312" w:eastAsia="仿宋_GB2312"/>
                <w:b/>
                <w:kern w:val="0"/>
                <w:sz w:val="24"/>
                <w:szCs w:val="24"/>
              </w:rPr>
            </w:pPr>
            <w:r>
              <w:rPr>
                <w:rFonts w:hint="eastAsia" w:ascii="仿宋_GB2312" w:eastAsia="仿宋_GB2312"/>
                <w:b/>
                <w:kern w:val="0"/>
                <w:sz w:val="24"/>
                <w:szCs w:val="24"/>
              </w:rPr>
              <w:t>结算</w:t>
            </w:r>
            <w:r>
              <w:rPr>
                <w:rFonts w:ascii="仿宋_GB2312" w:eastAsia="仿宋_GB2312"/>
                <w:b/>
                <w:kern w:val="0"/>
                <w:sz w:val="24"/>
                <w:szCs w:val="24"/>
              </w:rPr>
              <w:t>方式</w:t>
            </w:r>
          </w:p>
        </w:tc>
        <w:tc>
          <w:tcPr>
            <w:tcW w:w="5812" w:type="dxa"/>
          </w:tcPr>
          <w:p w14:paraId="3C340A8C">
            <w:pPr>
              <w:adjustRightInd w:val="0"/>
              <w:snapToGrid w:val="0"/>
              <w:rPr>
                <w:rFonts w:ascii="仿宋_GB2312" w:eastAsia="仿宋_GB2312"/>
                <w:kern w:val="0"/>
                <w:sz w:val="24"/>
                <w:szCs w:val="24"/>
              </w:rPr>
            </w:pPr>
            <w:r>
              <w:rPr>
                <w:rFonts w:hint="eastAsia" w:ascii="仿宋_GB2312" w:eastAsia="仿宋_GB2312"/>
                <w:kern w:val="0"/>
                <w:sz w:val="24"/>
                <w:szCs w:val="24"/>
              </w:rPr>
              <w:t>可以选择债券结算、现金结算和部分现金结算，选择现金结算的，需填写“现金结算金额”；选择部分现金结算的，需填写“部分现金结算金额”以及“标的债券归还数量”</w:t>
            </w:r>
          </w:p>
        </w:tc>
      </w:tr>
      <w:tr w14:paraId="0EAC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56693A7">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5812" w:type="dxa"/>
          </w:tcPr>
          <w:p w14:paraId="4DDC2A3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可</w:t>
            </w:r>
            <w:r>
              <w:rPr>
                <w:rFonts w:ascii="仿宋_GB2312" w:hAnsi="宋体" w:eastAsia="仿宋_GB2312" w:cs="宋体"/>
                <w:bCs/>
                <w:color w:val="000000"/>
                <w:kern w:val="0"/>
                <w:sz w:val="24"/>
                <w:szCs w:val="24"/>
              </w:rPr>
              <w:t>勾选场</w:t>
            </w:r>
            <w:r>
              <w:rPr>
                <w:rFonts w:hint="eastAsia" w:ascii="仿宋_GB2312" w:hAnsi="宋体" w:eastAsia="仿宋_GB2312" w:cs="宋体"/>
                <w:bCs/>
                <w:color w:val="000000"/>
                <w:kern w:val="0"/>
                <w:sz w:val="24"/>
                <w:szCs w:val="24"/>
              </w:rPr>
              <w:t>内</w:t>
            </w:r>
            <w:r>
              <w:rPr>
                <w:rFonts w:ascii="仿宋_GB2312" w:hAnsi="宋体" w:eastAsia="仿宋_GB2312" w:cs="宋体"/>
                <w:bCs/>
                <w:color w:val="000000"/>
                <w:kern w:val="0"/>
                <w:sz w:val="24"/>
                <w:szCs w:val="24"/>
              </w:rPr>
              <w:t>/外结算，</w:t>
            </w:r>
            <w:r>
              <w:rPr>
                <w:rFonts w:hint="eastAsia" w:ascii="仿宋_GB2312" w:hAnsi="宋体" w:eastAsia="仿宋_GB2312" w:cs="宋体"/>
                <w:bCs/>
                <w:color w:val="000000"/>
                <w:kern w:val="0"/>
                <w:sz w:val="24"/>
                <w:szCs w:val="24"/>
              </w:rPr>
              <w:t>场内</w:t>
            </w:r>
            <w:r>
              <w:rPr>
                <w:rFonts w:ascii="仿宋_GB2312" w:hAnsi="宋体" w:eastAsia="仿宋_GB2312" w:cs="宋体"/>
                <w:bCs/>
                <w:color w:val="000000"/>
                <w:kern w:val="0"/>
                <w:sz w:val="24"/>
                <w:szCs w:val="24"/>
              </w:rPr>
              <w:t>结算的，默认RTGS结算方式</w:t>
            </w:r>
          </w:p>
        </w:tc>
      </w:tr>
      <w:tr w14:paraId="41F3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88E0C3C">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5812" w:type="dxa"/>
            <w:vAlign w:val="center"/>
          </w:tcPr>
          <w:p w14:paraId="16B2855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借入债券机构的资金</w:t>
            </w:r>
            <w:r>
              <w:rPr>
                <w:rFonts w:ascii="仿宋_GB2312" w:hAnsi="宋体" w:eastAsia="仿宋_GB2312" w:cs="宋体"/>
                <w:bCs/>
                <w:color w:val="000000"/>
                <w:kern w:val="0"/>
                <w:sz w:val="24"/>
                <w:szCs w:val="24"/>
              </w:rPr>
              <w:t>账户与名称</w:t>
            </w:r>
          </w:p>
        </w:tc>
      </w:tr>
      <w:tr w14:paraId="68B1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39EB259">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5812" w:type="dxa"/>
            <w:vAlign w:val="center"/>
          </w:tcPr>
          <w:p w14:paraId="5302521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，对手方</w:t>
            </w:r>
            <w:r>
              <w:rPr>
                <w:rFonts w:ascii="仿宋_GB2312" w:hAnsi="宋体" w:eastAsia="仿宋_GB2312" w:cs="宋体"/>
                <w:bCs/>
                <w:color w:val="000000"/>
                <w:kern w:val="0"/>
                <w:sz w:val="24"/>
                <w:szCs w:val="24"/>
              </w:rPr>
              <w:t>确认时录入。</w:t>
            </w:r>
          </w:p>
        </w:tc>
      </w:tr>
    </w:tbl>
    <w:p w14:paraId="0C4DC3F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）借贷到期</w:t>
      </w:r>
    </w:p>
    <w:p w14:paraId="0888066B">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借贷双方协商一致后，可以于借贷到期日进行到期续做或到期结算，到期结算可以采用到期债券结算、到期现金结算或到期部分现金结算。</w:t>
      </w:r>
    </w:p>
    <w:p w14:paraId="48BAD528">
      <w:pPr>
        <w:spacing w:line="560" w:lineRule="exact"/>
        <w:ind w:firstLine="600" w:firstLineChars="200"/>
        <w:jc w:val="left"/>
        <w:rPr>
          <w:rFonts w:ascii="仿宋_GB2312" w:hAnsi="宋体" w:eastAsia="仿宋_GB2312" w:cs="宋体"/>
          <w:sz w:val="30"/>
          <w:szCs w:val="30"/>
        </w:rPr>
      </w:pPr>
      <w:r>
        <w:rPr>
          <w:rFonts w:ascii="仿宋_GB2312" w:hAnsi="宋体" w:eastAsia="仿宋_GB2312" w:cs="宋体"/>
          <w:sz w:val="30"/>
          <w:szCs w:val="30"/>
        </w:rPr>
        <w:t>1）</w:t>
      </w:r>
      <w:r>
        <w:rPr>
          <w:rFonts w:hint="eastAsia" w:ascii="仿宋_GB2312" w:hAnsi="宋体" w:eastAsia="仿宋_GB2312" w:cs="宋体"/>
          <w:sz w:val="30"/>
          <w:szCs w:val="30"/>
        </w:rPr>
        <w:t>到期续做</w:t>
      </w:r>
    </w:p>
    <w:p w14:paraId="450B642A">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cs="宋体"/>
          <w:sz w:val="30"/>
          <w:szCs w:val="30"/>
        </w:rPr>
        <w:t>到期续做的，债券借入方应当对当日到期的债券借贷提交到期续做申报，并由债券借出方确认生成新的债券借贷合约，原债券借贷合约终止。续做的债券借出方必须是原债券借贷的债券借出方，续做的标的债券必须与原债券借贷一致，标的债券总面额、质押债券、质押债券总面额、借贷期限、费率等要素可以与原债券借贷不同。</w:t>
      </w:r>
      <w:r>
        <w:rPr>
          <w:rFonts w:hint="eastAsia" w:ascii="仿宋_GB2312" w:hAnsi="Calibri" w:eastAsia="仿宋_GB2312"/>
          <w:kern w:val="0"/>
          <w:sz w:val="30"/>
          <w:szCs w:val="30"/>
        </w:rPr>
        <w:t>到期续做申报的</w:t>
      </w:r>
      <w:r>
        <w:rPr>
          <w:rFonts w:hint="eastAsia" w:ascii="仿宋_GB2312" w:hAnsi="宋体" w:eastAsia="仿宋_GB2312"/>
          <w:sz w:val="30"/>
          <w:szCs w:val="30"/>
        </w:rPr>
        <w:t>具体要素及要素说明如下：</w:t>
      </w:r>
    </w:p>
    <w:tbl>
      <w:tblPr>
        <w:tblStyle w:val="43"/>
        <w:tblW w:w="51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5943"/>
      </w:tblGrid>
      <w:tr w14:paraId="6E46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4C08AAC2">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358" w:type="pct"/>
          </w:tcPr>
          <w:p w14:paraId="766AB923">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83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2D7A988">
            <w:pPr>
              <w:adjustRightInd w:val="0"/>
              <w:snapToGrid w:val="0"/>
              <w:rPr>
                <w:rFonts w:ascii="仿宋_GB2312" w:eastAsia="仿宋_GB2312"/>
                <w:b/>
                <w:kern w:val="0"/>
                <w:sz w:val="24"/>
                <w:szCs w:val="24"/>
              </w:rPr>
            </w:pPr>
            <w:r>
              <w:rPr>
                <w:rFonts w:hint="eastAsia" w:ascii="仿宋_GB2312" w:eastAsia="仿宋_GB2312"/>
                <w:b/>
                <w:kern w:val="0"/>
                <w:sz w:val="24"/>
                <w:szCs w:val="24"/>
              </w:rPr>
              <w:t>资金结算</w:t>
            </w:r>
            <w:r>
              <w:rPr>
                <w:rFonts w:ascii="仿宋_GB2312" w:eastAsia="仿宋_GB2312"/>
                <w:b/>
                <w:kern w:val="0"/>
                <w:sz w:val="24"/>
                <w:szCs w:val="24"/>
              </w:rPr>
              <w:t>方式</w:t>
            </w:r>
          </w:p>
        </w:tc>
        <w:tc>
          <w:tcPr>
            <w:tcW w:w="3358" w:type="pct"/>
          </w:tcPr>
          <w:p w14:paraId="387437E5">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选择</w:t>
            </w:r>
            <w:r>
              <w:rPr>
                <w:rFonts w:hint="eastAsia" w:ascii="仿宋_GB2312" w:eastAsia="仿宋_GB2312"/>
                <w:kern w:val="0"/>
                <w:sz w:val="24"/>
                <w:szCs w:val="24"/>
              </w:rPr>
              <w:t>场内</w:t>
            </w:r>
            <w:r>
              <w:rPr>
                <w:rFonts w:ascii="仿宋_GB2312" w:eastAsia="仿宋_GB2312"/>
                <w:kern w:val="0"/>
                <w:sz w:val="24"/>
                <w:szCs w:val="24"/>
              </w:rPr>
              <w:t>或</w:t>
            </w:r>
            <w:r>
              <w:rPr>
                <w:rFonts w:hint="eastAsia" w:ascii="仿宋_GB2312" w:eastAsia="仿宋_GB2312"/>
                <w:kern w:val="0"/>
                <w:sz w:val="24"/>
                <w:szCs w:val="24"/>
              </w:rPr>
              <w:t>场外</w:t>
            </w:r>
            <w:r>
              <w:rPr>
                <w:rFonts w:ascii="仿宋_GB2312" w:eastAsia="仿宋_GB2312"/>
                <w:kern w:val="0"/>
                <w:sz w:val="24"/>
                <w:szCs w:val="24"/>
              </w:rPr>
              <w:t>结算</w:t>
            </w:r>
          </w:p>
        </w:tc>
      </w:tr>
      <w:tr w14:paraId="3DDC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A4B3A5">
            <w:pPr>
              <w:adjustRightInd w:val="0"/>
              <w:snapToGrid w:val="0"/>
              <w:rPr>
                <w:rFonts w:ascii="仿宋_GB2312" w:eastAsia="仿宋_GB2312"/>
                <w:b/>
                <w:kern w:val="0"/>
                <w:sz w:val="24"/>
                <w:szCs w:val="24"/>
              </w:rPr>
            </w:pPr>
            <w:r>
              <w:rPr>
                <w:rFonts w:hint="eastAsia" w:ascii="仿宋_GB2312" w:eastAsia="仿宋_GB2312"/>
                <w:b/>
                <w:kern w:val="0"/>
                <w:sz w:val="24"/>
                <w:szCs w:val="24"/>
              </w:rPr>
              <w:t>借入方</w:t>
            </w:r>
            <w:r>
              <w:rPr>
                <w:rFonts w:ascii="仿宋_GB2312" w:eastAsia="仿宋_GB2312"/>
                <w:b/>
                <w:kern w:val="0"/>
                <w:sz w:val="24"/>
                <w:szCs w:val="24"/>
              </w:rPr>
              <w:t>资金账户</w:t>
            </w:r>
          </w:p>
        </w:tc>
        <w:tc>
          <w:tcPr>
            <w:tcW w:w="3358" w:type="pct"/>
          </w:tcPr>
          <w:p w14:paraId="43E1B182">
            <w:pPr>
              <w:adjustRightInd w:val="0"/>
              <w:snapToGrid w:val="0"/>
              <w:rPr>
                <w:rFonts w:ascii="仿宋_GB2312" w:eastAsia="仿宋_GB2312"/>
                <w:kern w:val="0"/>
                <w:sz w:val="24"/>
                <w:szCs w:val="24"/>
              </w:rPr>
            </w:pPr>
            <w:r>
              <w:rPr>
                <w:rFonts w:hint="eastAsia" w:ascii="仿宋_GB2312" w:eastAsia="仿宋_GB2312"/>
                <w:kern w:val="0"/>
                <w:sz w:val="24"/>
                <w:szCs w:val="24"/>
              </w:rPr>
              <w:t>借入方资金账户与名称</w:t>
            </w:r>
          </w:p>
        </w:tc>
      </w:tr>
      <w:tr w14:paraId="485E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tcPr>
          <w:p w14:paraId="664A9FF6">
            <w:pPr>
              <w:adjustRightInd w:val="0"/>
              <w:snapToGrid w:val="0"/>
              <w:rPr>
                <w:rFonts w:ascii="仿宋_GB2312" w:eastAsia="仿宋_GB2312"/>
                <w:b/>
                <w:kern w:val="0"/>
                <w:sz w:val="24"/>
                <w:szCs w:val="24"/>
              </w:rPr>
            </w:pPr>
            <w:r>
              <w:rPr>
                <w:rFonts w:hint="eastAsia" w:ascii="仿宋_GB2312" w:eastAsia="仿宋_GB2312"/>
                <w:b/>
                <w:kern w:val="0"/>
                <w:sz w:val="24"/>
                <w:szCs w:val="24"/>
              </w:rPr>
              <w:t>借出方</w:t>
            </w:r>
            <w:r>
              <w:rPr>
                <w:rFonts w:ascii="仿宋_GB2312" w:eastAsia="仿宋_GB2312"/>
                <w:b/>
                <w:kern w:val="0"/>
                <w:sz w:val="24"/>
                <w:szCs w:val="24"/>
              </w:rPr>
              <w:t>资金账户</w:t>
            </w:r>
          </w:p>
        </w:tc>
        <w:tc>
          <w:tcPr>
            <w:tcW w:w="3358" w:type="pct"/>
          </w:tcPr>
          <w:p w14:paraId="5669763B">
            <w:pPr>
              <w:adjustRightInd w:val="0"/>
              <w:snapToGrid w:val="0"/>
              <w:rPr>
                <w:rFonts w:ascii="仿宋_GB2312" w:eastAsia="仿宋_GB2312"/>
                <w:kern w:val="0"/>
                <w:sz w:val="24"/>
                <w:szCs w:val="24"/>
              </w:rPr>
            </w:pPr>
            <w:r>
              <w:rPr>
                <w:rFonts w:hint="eastAsia" w:ascii="仿宋_GB2312" w:eastAsia="仿宋_GB2312"/>
                <w:kern w:val="0"/>
                <w:sz w:val="24"/>
                <w:szCs w:val="24"/>
              </w:rPr>
              <w:t>借出方资金账户与名称</w:t>
            </w:r>
          </w:p>
        </w:tc>
      </w:tr>
      <w:tr w14:paraId="2A9C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00" w:type="pct"/>
            <w:gridSpan w:val="2"/>
          </w:tcPr>
          <w:p w14:paraId="05F0D3B4">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续做</w:t>
            </w:r>
            <w:r>
              <w:rPr>
                <w:rFonts w:ascii="仿宋_GB2312" w:eastAsia="仿宋_GB2312"/>
                <w:b/>
                <w:bCs/>
                <w:kern w:val="0"/>
                <w:sz w:val="24"/>
                <w:szCs w:val="24"/>
              </w:rPr>
              <w:t>合约</w:t>
            </w:r>
          </w:p>
        </w:tc>
      </w:tr>
      <w:tr w14:paraId="30F5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C7D1CEB">
            <w:pPr>
              <w:adjustRightInd w:val="0"/>
              <w:snapToGrid w:val="0"/>
              <w:rPr>
                <w:rFonts w:ascii="仿宋_GB2312" w:eastAsia="仿宋_GB2312"/>
                <w:b/>
                <w:kern w:val="0"/>
                <w:sz w:val="24"/>
                <w:szCs w:val="24"/>
              </w:rPr>
            </w:pPr>
            <w:r>
              <w:rPr>
                <w:rFonts w:hint="eastAsia" w:ascii="仿宋_GB2312" w:eastAsia="仿宋_GB2312"/>
                <w:b/>
                <w:kern w:val="0"/>
                <w:sz w:val="24"/>
                <w:szCs w:val="24"/>
              </w:rPr>
              <w:t>借入方机构名称（电话、传真、地址）</w:t>
            </w:r>
          </w:p>
        </w:tc>
        <w:tc>
          <w:tcPr>
            <w:tcW w:w="3358" w:type="pct"/>
          </w:tcPr>
          <w:p w14:paraId="21B18F95">
            <w:pPr>
              <w:adjustRightInd w:val="0"/>
              <w:snapToGrid w:val="0"/>
              <w:rPr>
                <w:rFonts w:ascii="仿宋_GB2312" w:eastAsia="仿宋_GB2312"/>
                <w:kern w:val="0"/>
                <w:sz w:val="24"/>
                <w:szCs w:val="24"/>
              </w:rPr>
            </w:pPr>
            <w:r>
              <w:rPr>
                <w:rFonts w:hint="eastAsia" w:ascii="仿宋_GB2312" w:eastAsia="仿宋_GB2312"/>
                <w:kern w:val="0"/>
                <w:sz w:val="24"/>
                <w:szCs w:val="24"/>
              </w:rPr>
              <w:t>机构名称自动生成，电话、传真、地址选填</w:t>
            </w:r>
          </w:p>
        </w:tc>
      </w:tr>
      <w:tr w14:paraId="0FC9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785A425F">
            <w:pPr>
              <w:adjustRightInd w:val="0"/>
              <w:snapToGrid w:val="0"/>
              <w:rPr>
                <w:rFonts w:ascii="仿宋_GB2312" w:eastAsia="仿宋_GB2312"/>
                <w:b/>
                <w:kern w:val="0"/>
                <w:sz w:val="24"/>
                <w:szCs w:val="24"/>
              </w:rPr>
            </w:pPr>
            <w:r>
              <w:rPr>
                <w:rFonts w:hint="eastAsia" w:ascii="仿宋_GB2312" w:eastAsia="仿宋_GB2312"/>
                <w:b/>
                <w:kern w:val="0"/>
                <w:sz w:val="24"/>
                <w:szCs w:val="24"/>
              </w:rPr>
              <w:t>借入方交易员</w:t>
            </w:r>
          </w:p>
        </w:tc>
        <w:tc>
          <w:tcPr>
            <w:tcW w:w="3358" w:type="pct"/>
          </w:tcPr>
          <w:p w14:paraId="4DB8787B">
            <w:pPr>
              <w:adjustRightInd w:val="0"/>
              <w:snapToGrid w:val="0"/>
              <w:rPr>
                <w:rFonts w:ascii="仿宋_GB2312" w:eastAsia="仿宋_GB2312"/>
                <w:kern w:val="0"/>
                <w:sz w:val="24"/>
                <w:szCs w:val="24"/>
              </w:rPr>
            </w:pPr>
            <w:r>
              <w:rPr>
                <w:rFonts w:hint="eastAsia" w:ascii="仿宋_GB2312" w:eastAsia="仿宋_GB2312"/>
                <w:kern w:val="0"/>
                <w:sz w:val="24"/>
                <w:szCs w:val="24"/>
              </w:rPr>
              <w:t>自动生成</w:t>
            </w:r>
          </w:p>
        </w:tc>
      </w:tr>
      <w:tr w14:paraId="29C7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7410AF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借入方证券账户</w:t>
            </w:r>
          </w:p>
        </w:tc>
        <w:tc>
          <w:tcPr>
            <w:tcW w:w="3358" w:type="pct"/>
            <w:vAlign w:val="center"/>
          </w:tcPr>
          <w:p w14:paraId="5E9BA677">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自动生成</w:t>
            </w:r>
          </w:p>
        </w:tc>
      </w:tr>
      <w:tr w14:paraId="3799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C85F2BA">
            <w:pPr>
              <w:adjustRightInd w:val="0"/>
              <w:snapToGrid w:val="0"/>
              <w:rPr>
                <w:rFonts w:ascii="仿宋_GB2312" w:eastAsia="仿宋_GB2312"/>
                <w:b/>
                <w:sz w:val="24"/>
                <w:szCs w:val="24"/>
              </w:rPr>
            </w:pPr>
            <w:r>
              <w:rPr>
                <w:rFonts w:hint="eastAsia" w:ascii="仿宋_GB2312" w:eastAsia="仿宋_GB2312"/>
                <w:b/>
                <w:sz w:val="24"/>
                <w:szCs w:val="24"/>
              </w:rPr>
              <w:t>借入方交易单元</w:t>
            </w:r>
          </w:p>
        </w:tc>
        <w:tc>
          <w:tcPr>
            <w:tcW w:w="3358" w:type="pct"/>
            <w:vAlign w:val="center"/>
          </w:tcPr>
          <w:p w14:paraId="50E8AAF8">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续做时借入债券机构的交易单元</w:t>
            </w:r>
          </w:p>
        </w:tc>
      </w:tr>
      <w:tr w14:paraId="6B69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612754">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3358" w:type="pct"/>
            <w:vAlign w:val="center"/>
          </w:tcPr>
          <w:p w14:paraId="472150A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续做时借入债券机构的资金</w:t>
            </w:r>
            <w:r>
              <w:rPr>
                <w:rFonts w:ascii="仿宋_GB2312" w:hAnsi="宋体" w:eastAsia="仿宋_GB2312" w:cs="宋体"/>
                <w:bCs/>
                <w:color w:val="000000"/>
                <w:kern w:val="0"/>
                <w:sz w:val="24"/>
                <w:szCs w:val="24"/>
              </w:rPr>
              <w:t>账户与名称</w:t>
            </w:r>
          </w:p>
        </w:tc>
      </w:tr>
      <w:tr w14:paraId="7263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0D919E36">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借出方机构名称（电话、传真、地址）</w:t>
            </w:r>
          </w:p>
        </w:tc>
        <w:tc>
          <w:tcPr>
            <w:tcW w:w="3358" w:type="pct"/>
          </w:tcPr>
          <w:p w14:paraId="3E2F283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机构名称自动生成，电话、传真、地址选填</w:t>
            </w:r>
          </w:p>
        </w:tc>
      </w:tr>
      <w:tr w14:paraId="3CEC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4AD4F18">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借出方交易员</w:t>
            </w:r>
          </w:p>
        </w:tc>
        <w:tc>
          <w:tcPr>
            <w:tcW w:w="3358" w:type="pct"/>
          </w:tcPr>
          <w:p w14:paraId="15F8EEB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自动生成</w:t>
            </w:r>
          </w:p>
        </w:tc>
      </w:tr>
      <w:tr w14:paraId="043D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509CC87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借出方证券账户</w:t>
            </w:r>
          </w:p>
        </w:tc>
        <w:tc>
          <w:tcPr>
            <w:tcW w:w="3358" w:type="pct"/>
          </w:tcPr>
          <w:p w14:paraId="2795F841">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72D3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A145D3D">
            <w:pPr>
              <w:adjustRightInd w:val="0"/>
              <w:snapToGrid w:val="0"/>
              <w:rPr>
                <w:rFonts w:ascii="仿宋_GB2312" w:eastAsia="仿宋_GB2312"/>
                <w:b/>
                <w:kern w:val="0"/>
                <w:sz w:val="24"/>
                <w:szCs w:val="24"/>
              </w:rPr>
            </w:pPr>
            <w:r>
              <w:rPr>
                <w:rFonts w:hint="eastAsia" w:ascii="仿宋_GB2312" w:eastAsia="仿宋_GB2312"/>
                <w:b/>
                <w:sz w:val="24"/>
                <w:szCs w:val="24"/>
              </w:rPr>
              <w:t>借出方交易单元</w:t>
            </w:r>
          </w:p>
        </w:tc>
        <w:tc>
          <w:tcPr>
            <w:tcW w:w="3358" w:type="pct"/>
          </w:tcPr>
          <w:p w14:paraId="64069AB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064B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82DB52C">
            <w:pPr>
              <w:adjustRightInd w:val="0"/>
              <w:snapToGrid w:val="0"/>
              <w:rPr>
                <w:rFonts w:ascii="仿宋_GB2312" w:eastAsia="仿宋_GB2312"/>
                <w:b/>
                <w:kern w:val="0"/>
                <w:sz w:val="24"/>
                <w:szCs w:val="24"/>
              </w:rPr>
            </w:pPr>
            <w:r>
              <w:rPr>
                <w:rFonts w:hint="eastAsia" w:ascii="仿宋_GB2312" w:eastAsia="仿宋_GB2312"/>
                <w:b/>
                <w:sz w:val="24"/>
                <w:szCs w:val="24"/>
              </w:rPr>
              <w:t>借出方资金账户</w:t>
            </w:r>
          </w:p>
        </w:tc>
        <w:tc>
          <w:tcPr>
            <w:tcW w:w="3358" w:type="pct"/>
            <w:vAlign w:val="center"/>
          </w:tcPr>
          <w:p w14:paraId="78190D90">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续做时借出债券机构的资金</w:t>
            </w:r>
            <w:r>
              <w:rPr>
                <w:rFonts w:ascii="仿宋_GB2312" w:hAnsi="宋体" w:eastAsia="仿宋_GB2312" w:cs="宋体"/>
                <w:bCs/>
                <w:color w:val="000000"/>
                <w:kern w:val="0"/>
                <w:sz w:val="24"/>
                <w:szCs w:val="24"/>
              </w:rPr>
              <w:t>账户与名称</w:t>
            </w:r>
          </w:p>
        </w:tc>
      </w:tr>
      <w:tr w14:paraId="20A6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9E367C9">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w:t>
            </w:r>
          </w:p>
        </w:tc>
        <w:tc>
          <w:tcPr>
            <w:tcW w:w="3358" w:type="pct"/>
            <w:vAlign w:val="center"/>
          </w:tcPr>
          <w:p w14:paraId="5DE6D85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债券借贷的标的债券代码和简称标识。自动带出，无需录入</w:t>
            </w:r>
          </w:p>
        </w:tc>
      </w:tr>
      <w:tr w14:paraId="0F58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723F002">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p>
        </w:tc>
        <w:tc>
          <w:tcPr>
            <w:tcW w:w="3358" w:type="pct"/>
            <w:vAlign w:val="center"/>
          </w:tcPr>
          <w:p w14:paraId="39D60045">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，自动带出</w:t>
            </w:r>
          </w:p>
        </w:tc>
      </w:tr>
      <w:tr w14:paraId="783C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D12C9AB">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标的券数量(千元面额）</w:t>
            </w:r>
          </w:p>
        </w:tc>
        <w:tc>
          <w:tcPr>
            <w:tcW w:w="3358" w:type="pct"/>
            <w:vAlign w:val="center"/>
          </w:tcPr>
          <w:p w14:paraId="5DAC0CD0">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标的券数量可修改</w:t>
            </w:r>
          </w:p>
        </w:tc>
      </w:tr>
      <w:tr w14:paraId="2A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D7238E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3358" w:type="pct"/>
            <w:vAlign w:val="center"/>
          </w:tcPr>
          <w:p w14:paraId="09D9C1D3">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标的债券按发行面额计算的总量，单位为万元。债券发生分期偿还、分期摊还的，债券面值为减少后的面值。</w:t>
            </w:r>
          </w:p>
          <w:p w14:paraId="17AA469E">
            <w:pPr>
              <w:adjustRightInd w:val="0"/>
              <w:snapToGrid w:val="0"/>
              <w:rPr>
                <w:rFonts w:ascii="仿宋_GB2312" w:eastAsia="仿宋_GB2312"/>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p>
        </w:tc>
      </w:tr>
      <w:tr w14:paraId="600F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6EA61A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3358" w:type="pct"/>
            <w:vAlign w:val="center"/>
          </w:tcPr>
          <w:p w14:paraId="4CDFF242">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w:t>
            </w:r>
          </w:p>
        </w:tc>
      </w:tr>
      <w:tr w14:paraId="0A29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326D22E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3358" w:type="pct"/>
            <w:vAlign w:val="center"/>
          </w:tcPr>
          <w:p w14:paraId="52B9E81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标的债券下次付息日付息总额。</w:t>
            </w:r>
          </w:p>
        </w:tc>
      </w:tr>
      <w:tr w14:paraId="1F86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2BE310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w:t>
            </w:r>
          </w:p>
        </w:tc>
        <w:tc>
          <w:tcPr>
            <w:tcW w:w="3358" w:type="pct"/>
            <w:vAlign w:val="center"/>
          </w:tcPr>
          <w:p w14:paraId="3045D8B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p>
        </w:tc>
      </w:tr>
      <w:tr w14:paraId="6266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2E18F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r>
              <w:rPr>
                <w:rFonts w:ascii="仿宋_GB2312" w:hAnsi="宋体" w:eastAsia="仿宋_GB2312" w:cs="宋体"/>
                <w:b/>
                <w:bCs/>
                <w:color w:val="000000"/>
                <w:kern w:val="0"/>
                <w:sz w:val="24"/>
                <w:szCs w:val="24"/>
              </w:rPr>
              <w:t>元）</w:t>
            </w:r>
          </w:p>
        </w:tc>
        <w:tc>
          <w:tcPr>
            <w:tcW w:w="3358" w:type="pct"/>
            <w:vAlign w:val="center"/>
          </w:tcPr>
          <w:p w14:paraId="5B77E6F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7A23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F0D10D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质押券数量</w:t>
            </w:r>
            <w:r>
              <w:rPr>
                <w:rFonts w:ascii="仿宋_GB2312" w:hAnsi="宋体" w:eastAsia="仿宋_GB2312" w:cs="宋体"/>
                <w:b/>
                <w:bCs/>
                <w:color w:val="000000"/>
                <w:kern w:val="0"/>
                <w:sz w:val="24"/>
                <w:szCs w:val="24"/>
              </w:rPr>
              <w:t>（千元面额）</w:t>
            </w:r>
          </w:p>
        </w:tc>
        <w:tc>
          <w:tcPr>
            <w:tcW w:w="3358" w:type="pct"/>
            <w:vAlign w:val="center"/>
          </w:tcPr>
          <w:p w14:paraId="770A2F4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质押券数量</w:t>
            </w:r>
          </w:p>
        </w:tc>
      </w:tr>
      <w:tr w14:paraId="15D5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42" w:type="pct"/>
            <w:vAlign w:val="center"/>
          </w:tcPr>
          <w:p w14:paraId="675C0D7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3358" w:type="pct"/>
            <w:vAlign w:val="center"/>
          </w:tcPr>
          <w:p w14:paraId="665E01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427D0B3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29E453C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单张质押券初始面额×质押券数量</w:t>
            </w:r>
          </w:p>
          <w:p w14:paraId="7AF5216D">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单张质押券最新面额×质押券数量券面</w:t>
            </w:r>
          </w:p>
        </w:tc>
      </w:tr>
      <w:tr w14:paraId="421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EA2AB5A">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借贷费率</w:t>
            </w:r>
          </w:p>
        </w:tc>
        <w:tc>
          <w:tcPr>
            <w:tcW w:w="3358" w:type="pct"/>
            <w:vAlign w:val="center"/>
          </w:tcPr>
          <w:p w14:paraId="33E2A12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续做时债券借入方从债券借出方借入标的债券支付借贷费用的约定费率。</w:t>
            </w:r>
          </w:p>
        </w:tc>
      </w:tr>
      <w:tr w14:paraId="1A3D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88430D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借贷期限</w:t>
            </w:r>
          </w:p>
        </w:tc>
        <w:tc>
          <w:tcPr>
            <w:tcW w:w="3358" w:type="pct"/>
            <w:vAlign w:val="center"/>
          </w:tcPr>
          <w:p w14:paraId="777839EF">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w:t>
            </w:r>
            <w:r>
              <w:rPr>
                <w:rFonts w:ascii="仿宋_GB2312" w:hAnsi="宋体" w:eastAsia="仿宋_GB2312" w:cs="宋体"/>
                <w:bCs/>
                <w:color w:val="000000"/>
                <w:kern w:val="0"/>
                <w:sz w:val="24"/>
                <w:szCs w:val="24"/>
              </w:rPr>
              <w:t>时</w:t>
            </w: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53DA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EB1622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3358" w:type="pct"/>
            <w:vAlign w:val="center"/>
          </w:tcPr>
          <w:p w14:paraId="64006B1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55CC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shd w:val="clear" w:color="auto" w:fill="auto"/>
            <w:vAlign w:val="center"/>
          </w:tcPr>
          <w:p w14:paraId="77DCBC7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首期结算日</w:t>
            </w:r>
          </w:p>
        </w:tc>
        <w:tc>
          <w:tcPr>
            <w:tcW w:w="3358" w:type="pct"/>
            <w:shd w:val="clear" w:color="auto" w:fill="auto"/>
            <w:vAlign w:val="center"/>
          </w:tcPr>
          <w:p w14:paraId="039C6013">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针对</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合约，首期结算日为</w:t>
            </w:r>
            <w:r>
              <w:rPr>
                <w:rFonts w:hint="eastAsia" w:ascii="仿宋_GB2312" w:hAnsi="宋体" w:eastAsia="仿宋_GB2312" w:cs="宋体"/>
                <w:bCs/>
                <w:color w:val="000000"/>
                <w:kern w:val="0"/>
                <w:sz w:val="24"/>
                <w:szCs w:val="24"/>
              </w:rPr>
              <w:t>申报</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当日。</w:t>
            </w:r>
          </w:p>
        </w:tc>
      </w:tr>
      <w:tr w14:paraId="5562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B96D97">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到期结算日</w:t>
            </w:r>
          </w:p>
        </w:tc>
        <w:tc>
          <w:tcPr>
            <w:tcW w:w="3358" w:type="pct"/>
            <w:vAlign w:val="center"/>
          </w:tcPr>
          <w:p w14:paraId="51428FC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0A8F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03A701F">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其他</w:t>
            </w:r>
            <w:r>
              <w:rPr>
                <w:rFonts w:ascii="仿宋_GB2312" w:hAnsi="宋体" w:eastAsia="仿宋_GB2312" w:cs="宋体"/>
                <w:b/>
                <w:bCs/>
                <w:color w:val="000000"/>
                <w:kern w:val="0"/>
                <w:sz w:val="24"/>
                <w:szCs w:val="24"/>
              </w:rPr>
              <w:t>约定</w:t>
            </w:r>
          </w:p>
        </w:tc>
        <w:tc>
          <w:tcPr>
            <w:tcW w:w="3358" w:type="pct"/>
            <w:vAlign w:val="center"/>
          </w:tcPr>
          <w:p w14:paraId="25CAE86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7FCC9AB1">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2</w:t>
      </w:r>
      <w:r>
        <w:rPr>
          <w:rFonts w:ascii="仿宋_GB2312" w:hAnsi="宋体" w:eastAsia="仿宋_GB2312" w:cs="宋体"/>
          <w:sz w:val="30"/>
          <w:szCs w:val="30"/>
        </w:rPr>
        <w:t>）</w:t>
      </w:r>
      <w:r>
        <w:rPr>
          <w:rFonts w:hint="eastAsia" w:ascii="仿宋_GB2312" w:hAnsi="宋体" w:eastAsia="仿宋_GB2312" w:cs="宋体"/>
          <w:sz w:val="30"/>
          <w:szCs w:val="30"/>
        </w:rPr>
        <w:t>到期结算</w:t>
      </w:r>
    </w:p>
    <w:p w14:paraId="53EF454F">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到期债券结算的，债券借入方应对当日到期的债券借贷提交到期债券结算申报，选择</w:t>
      </w:r>
      <w:r>
        <w:rPr>
          <w:rFonts w:ascii="仿宋_GB2312" w:hAnsi="宋体" w:eastAsia="仿宋_GB2312" w:cs="宋体"/>
          <w:sz w:val="30"/>
          <w:szCs w:val="30"/>
        </w:rPr>
        <w:t>场内结算的</w:t>
      </w:r>
      <w:r>
        <w:rPr>
          <w:rFonts w:hint="eastAsia" w:ascii="仿宋_GB2312" w:hAnsi="宋体" w:eastAsia="仿宋_GB2312" w:cs="宋体"/>
          <w:sz w:val="30"/>
          <w:szCs w:val="30"/>
        </w:rPr>
        <w:t>，无需债券借出方确认；选择场外结算，需借出方确认。</w:t>
      </w:r>
    </w:p>
    <w:p w14:paraId="6960517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到期现金结算或到期部分现金结算的，债券借入方应对当日到期的债券借贷提交到期现金结算申报或到期部分现金结算申报，并由债券借出方确认。</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466"/>
      </w:tblGrid>
      <w:tr w14:paraId="1275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0ED6048">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66" w:type="dxa"/>
          </w:tcPr>
          <w:p w14:paraId="7DACEF67">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803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49A11A4">
            <w:pPr>
              <w:adjustRightInd w:val="0"/>
              <w:snapToGrid w:val="0"/>
              <w:rPr>
                <w:rFonts w:ascii="仿宋_GB2312" w:eastAsia="仿宋_GB2312"/>
                <w:b/>
                <w:sz w:val="24"/>
                <w:szCs w:val="24"/>
              </w:rPr>
            </w:pPr>
            <w:r>
              <w:rPr>
                <w:rFonts w:hint="eastAsia" w:ascii="仿宋_GB2312" w:eastAsia="仿宋_GB2312"/>
                <w:b/>
                <w:sz w:val="24"/>
                <w:szCs w:val="24"/>
              </w:rPr>
              <w:t>到期</w:t>
            </w:r>
            <w:r>
              <w:rPr>
                <w:rFonts w:ascii="仿宋_GB2312" w:eastAsia="仿宋_GB2312"/>
                <w:b/>
                <w:sz w:val="24"/>
                <w:szCs w:val="24"/>
              </w:rPr>
              <w:t>结算方式</w:t>
            </w:r>
          </w:p>
        </w:tc>
        <w:tc>
          <w:tcPr>
            <w:tcW w:w="5466" w:type="dxa"/>
            <w:vAlign w:val="center"/>
          </w:tcPr>
          <w:p w14:paraId="1F4F82D6">
            <w:pPr>
              <w:adjustRightInd w:val="0"/>
              <w:snapToGrid w:val="0"/>
              <w:rPr>
                <w:rFonts w:ascii="仿宋_GB2312" w:eastAsia="仿宋_GB2312"/>
                <w:kern w:val="0"/>
                <w:sz w:val="24"/>
                <w:szCs w:val="24"/>
              </w:rPr>
            </w:pPr>
            <w:r>
              <w:rPr>
                <w:rFonts w:hint="eastAsia" w:ascii="仿宋_GB2312" w:eastAsia="仿宋_GB2312"/>
                <w:kern w:val="0"/>
                <w:sz w:val="24"/>
                <w:szCs w:val="24"/>
              </w:rPr>
              <w:t>可选“到期</w:t>
            </w:r>
            <w:r>
              <w:rPr>
                <w:rFonts w:ascii="仿宋_GB2312" w:eastAsia="仿宋_GB2312"/>
                <w:kern w:val="0"/>
                <w:sz w:val="24"/>
                <w:szCs w:val="24"/>
              </w:rPr>
              <w:t>债券结算</w:t>
            </w:r>
            <w:r>
              <w:rPr>
                <w:rFonts w:hint="eastAsia" w:ascii="仿宋_GB2312" w:eastAsia="仿宋_GB2312"/>
                <w:kern w:val="0"/>
                <w:sz w:val="24"/>
                <w:szCs w:val="24"/>
              </w:rPr>
              <w:t>”、“</w:t>
            </w:r>
            <w:r>
              <w:rPr>
                <w:rFonts w:ascii="仿宋_GB2312" w:eastAsia="仿宋_GB2312"/>
                <w:kern w:val="0"/>
                <w:sz w:val="24"/>
                <w:szCs w:val="24"/>
              </w:rPr>
              <w:t>到期</w:t>
            </w:r>
            <w:r>
              <w:rPr>
                <w:rFonts w:hint="eastAsia" w:ascii="仿宋_GB2312" w:eastAsia="仿宋_GB2312"/>
                <w:kern w:val="0"/>
                <w:sz w:val="24"/>
                <w:szCs w:val="24"/>
              </w:rPr>
              <w:t>现金</w:t>
            </w:r>
            <w:r>
              <w:rPr>
                <w:rFonts w:ascii="仿宋_GB2312" w:eastAsia="仿宋_GB2312"/>
                <w:kern w:val="0"/>
                <w:sz w:val="24"/>
                <w:szCs w:val="24"/>
              </w:rPr>
              <w:t>结算</w:t>
            </w:r>
            <w:r>
              <w:rPr>
                <w:rFonts w:hint="eastAsia" w:ascii="仿宋_GB2312" w:eastAsia="仿宋_GB2312"/>
                <w:kern w:val="0"/>
                <w:sz w:val="24"/>
                <w:szCs w:val="24"/>
              </w:rPr>
              <w:t>”或“</w:t>
            </w:r>
            <w:r>
              <w:rPr>
                <w:rFonts w:ascii="仿宋_GB2312" w:eastAsia="仿宋_GB2312"/>
                <w:kern w:val="0"/>
                <w:sz w:val="24"/>
                <w:szCs w:val="24"/>
              </w:rPr>
              <w:t>到期</w:t>
            </w:r>
            <w:r>
              <w:rPr>
                <w:rFonts w:hint="eastAsia" w:ascii="仿宋_GB2312" w:eastAsia="仿宋_GB2312"/>
                <w:kern w:val="0"/>
                <w:sz w:val="24"/>
                <w:szCs w:val="24"/>
              </w:rPr>
              <w:t>部分现金</w:t>
            </w:r>
            <w:r>
              <w:rPr>
                <w:rFonts w:ascii="仿宋_GB2312" w:eastAsia="仿宋_GB2312"/>
                <w:kern w:val="0"/>
                <w:sz w:val="24"/>
                <w:szCs w:val="24"/>
              </w:rPr>
              <w:t>结算</w:t>
            </w:r>
            <w:r>
              <w:rPr>
                <w:rFonts w:hint="eastAsia" w:ascii="仿宋_GB2312" w:eastAsia="仿宋_GB2312"/>
                <w:kern w:val="0"/>
                <w:sz w:val="24"/>
                <w:szCs w:val="24"/>
              </w:rPr>
              <w:t>”。</w:t>
            </w:r>
            <w:r>
              <w:rPr>
                <w:rFonts w:ascii="仿宋_GB2312" w:eastAsia="仿宋_GB2312"/>
                <w:kern w:val="0"/>
                <w:sz w:val="24"/>
                <w:szCs w:val="24"/>
              </w:rPr>
              <w:t xml:space="preserve"> </w:t>
            </w:r>
          </w:p>
          <w:p w14:paraId="58CCAF24">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55C6434D">
            <w:pPr>
              <w:adjustRightInd w:val="0"/>
              <w:snapToGrid w:val="0"/>
              <w:rPr>
                <w:rFonts w:ascii="Arial" w:hAnsi="Arial" w:cs="Arial"/>
                <w:color w:val="0000FF"/>
                <w:sz w:val="20"/>
                <w:szCs w:val="20"/>
              </w:rPr>
            </w:pPr>
            <w:r>
              <w:rPr>
                <w:rFonts w:hint="eastAsia" w:ascii="仿宋_GB2312" w:eastAsia="仿宋_GB2312"/>
                <w:kern w:val="0"/>
                <w:sz w:val="24"/>
                <w:szCs w:val="24"/>
              </w:rPr>
              <w:t>【到期部分现金结算】，进入申报界面，带出原成交单，填写“部分现金结算金额”，填写“标的债券归还总面额”。</w:t>
            </w:r>
          </w:p>
        </w:tc>
      </w:tr>
      <w:tr w14:paraId="69A6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EDA55A8">
            <w:pPr>
              <w:adjustRightInd w:val="0"/>
              <w:snapToGrid w:val="0"/>
              <w:rPr>
                <w:rFonts w:ascii="仿宋_GB2312" w:eastAsia="仿宋_GB2312"/>
                <w:b/>
                <w:sz w:val="24"/>
                <w:szCs w:val="24"/>
              </w:rPr>
            </w:pPr>
            <w:r>
              <w:rPr>
                <w:rFonts w:hint="eastAsia" w:ascii="仿宋_GB2312" w:eastAsia="仿宋_GB2312"/>
                <w:b/>
                <w:kern w:val="0"/>
                <w:sz w:val="24"/>
                <w:szCs w:val="24"/>
              </w:rPr>
              <w:t>资金结算方式</w:t>
            </w:r>
          </w:p>
        </w:tc>
        <w:tc>
          <w:tcPr>
            <w:tcW w:w="5466" w:type="dxa"/>
            <w:vAlign w:val="center"/>
          </w:tcPr>
          <w:p w14:paraId="66D9E364">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资金结算方式下拉选择</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场内结算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或</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场外结算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。选择场外结算的时候，需输入资金账户。</w:t>
            </w:r>
          </w:p>
        </w:tc>
      </w:tr>
      <w:tr w14:paraId="217F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61DB7ED3">
            <w:pPr>
              <w:adjustRightInd w:val="0"/>
              <w:snapToGrid w:val="0"/>
              <w:rPr>
                <w:rFonts w:ascii="仿宋_GB2312" w:eastAsia="仿宋_GB2312"/>
                <w:b/>
                <w:kern w:val="0"/>
                <w:sz w:val="24"/>
                <w:szCs w:val="24"/>
              </w:rPr>
            </w:pPr>
            <w:r>
              <w:rPr>
                <w:rFonts w:hint="eastAsia" w:ascii="仿宋_GB2312" w:eastAsia="仿宋_GB2312"/>
                <w:b/>
                <w:kern w:val="0"/>
                <w:sz w:val="24"/>
                <w:szCs w:val="24"/>
              </w:rPr>
              <w:t>借入方资金账户</w:t>
            </w:r>
          </w:p>
        </w:tc>
        <w:tc>
          <w:tcPr>
            <w:tcW w:w="5466" w:type="dxa"/>
            <w:vAlign w:val="center"/>
          </w:tcPr>
          <w:p w14:paraId="3451A3BE">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借入方资金账户与名称。</w:t>
            </w:r>
          </w:p>
        </w:tc>
      </w:tr>
      <w:tr w14:paraId="3944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7556CD2">
            <w:pPr>
              <w:adjustRightInd w:val="0"/>
              <w:snapToGrid w:val="0"/>
              <w:rPr>
                <w:rFonts w:ascii="仿宋_GB2312" w:eastAsia="仿宋_GB2312"/>
                <w:b/>
                <w:kern w:val="0"/>
                <w:sz w:val="24"/>
                <w:szCs w:val="24"/>
              </w:rPr>
            </w:pPr>
            <w:r>
              <w:rPr>
                <w:rFonts w:hint="eastAsia" w:ascii="仿宋_GB2312" w:eastAsia="仿宋_GB2312"/>
                <w:b/>
                <w:kern w:val="0"/>
                <w:sz w:val="24"/>
                <w:szCs w:val="24"/>
              </w:rPr>
              <w:t>借出方资金账户</w:t>
            </w:r>
          </w:p>
        </w:tc>
        <w:tc>
          <w:tcPr>
            <w:tcW w:w="5466" w:type="dxa"/>
            <w:vAlign w:val="center"/>
          </w:tcPr>
          <w:p w14:paraId="30DDAAA6">
            <w:pPr>
              <w:adjustRightInd w:val="0"/>
              <w:snapToGrid w:val="0"/>
              <w:rPr>
                <w:rFonts w:ascii="仿宋_GB2312" w:hAnsi="宋体" w:eastAsia="仿宋_GB2312" w:cs="宋体"/>
                <w:bCs/>
                <w:color w:val="000000"/>
                <w:kern w:val="0"/>
                <w:sz w:val="24"/>
                <w:szCs w:val="24"/>
              </w:rPr>
            </w:pPr>
            <w:r>
              <w:rPr>
                <w:rFonts w:hint="eastAsia" w:ascii="仿宋_GB2312" w:eastAsia="仿宋_GB2312"/>
                <w:sz w:val="24"/>
                <w:szCs w:val="24"/>
              </w:rPr>
              <w:t>选择场外结算的时候，借出方也需填写资金账户与名称</w:t>
            </w:r>
            <w:r>
              <w:rPr>
                <w:rFonts w:hint="eastAsia" w:ascii="仿宋_GB2312" w:hAnsi="宋体" w:eastAsia="仿宋_GB2312" w:cs="宋体"/>
                <w:bCs/>
                <w:color w:val="000000"/>
                <w:kern w:val="0"/>
                <w:sz w:val="24"/>
                <w:szCs w:val="24"/>
              </w:rPr>
              <w:t>，</w:t>
            </w:r>
            <w:r>
              <w:rPr>
                <w:rFonts w:hint="eastAsia" w:ascii="仿宋_GB2312" w:eastAsia="仿宋_GB2312"/>
                <w:sz w:val="24"/>
                <w:szCs w:val="24"/>
              </w:rPr>
              <w:t>借出方</w:t>
            </w:r>
            <w:r>
              <w:rPr>
                <w:rFonts w:ascii="仿宋_GB2312" w:hAnsi="宋体" w:eastAsia="仿宋_GB2312" w:cs="宋体"/>
                <w:bCs/>
                <w:color w:val="000000"/>
                <w:kern w:val="0"/>
                <w:sz w:val="24"/>
                <w:szCs w:val="24"/>
              </w:rPr>
              <w:t>确认时录入</w:t>
            </w:r>
            <w:r>
              <w:rPr>
                <w:rFonts w:hint="eastAsia" w:ascii="仿宋_GB2312" w:eastAsia="仿宋_GB2312"/>
                <w:kern w:val="0"/>
                <w:sz w:val="24"/>
                <w:szCs w:val="24"/>
              </w:rPr>
              <w:t>。</w:t>
            </w:r>
          </w:p>
        </w:tc>
      </w:tr>
    </w:tbl>
    <w:p w14:paraId="5DF0A26D">
      <w:pPr>
        <w:spacing w:line="560" w:lineRule="exact"/>
        <w:ind w:firstLine="602" w:firstLineChars="200"/>
        <w:jc w:val="left"/>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）其他</w:t>
      </w:r>
    </w:p>
    <w:p w14:paraId="6764ACA9">
      <w:pPr>
        <w:spacing w:line="560" w:lineRule="exact"/>
        <w:ind w:firstLine="600" w:firstLineChars="200"/>
        <w:outlineLvl w:val="2"/>
        <w:rPr>
          <w:rFonts w:ascii="仿宋_GB2312" w:hAnsi="宋体" w:eastAsia="仿宋_GB2312" w:cs="宋体"/>
          <w:sz w:val="30"/>
          <w:szCs w:val="30"/>
        </w:rPr>
      </w:pPr>
      <w:r>
        <w:rPr>
          <w:rFonts w:hint="eastAsia" w:ascii="仿宋_GB2312" w:hAnsi="宋体" w:eastAsia="仿宋_GB2312" w:cs="宋体"/>
          <w:sz w:val="30"/>
          <w:szCs w:val="30"/>
        </w:rPr>
        <w:t>债券借入方针对已过期合约可以发起逾期结算申报，并由债券借出方确认。交易系统根据申报当日自动计算新的借贷期限，借贷费用由双方自行协商。逾期结算可选择债券结算、现金结算、部分现金结算。到期费用可选择场内结算、场外结算。</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6379"/>
      </w:tblGrid>
      <w:tr w14:paraId="51F5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D72ED0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379" w:type="dxa"/>
          </w:tcPr>
          <w:p w14:paraId="5ED8C3C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76D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510FF962">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实际结算日</w:t>
            </w:r>
          </w:p>
        </w:tc>
        <w:tc>
          <w:tcPr>
            <w:tcW w:w="6379" w:type="dxa"/>
          </w:tcPr>
          <w:p w14:paraId="0A62C2B5">
            <w:pPr>
              <w:adjustRightInd w:val="0"/>
              <w:snapToGrid w:val="0"/>
              <w:rPr>
                <w:rFonts w:ascii="仿宋_GB2312" w:eastAsia="仿宋_GB2312"/>
                <w:kern w:val="0"/>
                <w:sz w:val="24"/>
                <w:szCs w:val="24"/>
              </w:rPr>
            </w:pPr>
            <w:r>
              <w:rPr>
                <w:rFonts w:hint="eastAsia" w:ascii="仿宋_GB2312" w:eastAsia="仿宋_GB2312"/>
                <w:kern w:val="0"/>
                <w:sz w:val="24"/>
                <w:szCs w:val="24"/>
              </w:rPr>
              <w:t>自动显示，无需输入。</w:t>
            </w:r>
          </w:p>
        </w:tc>
      </w:tr>
      <w:tr w14:paraId="5E94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66E4B2">
            <w:pPr>
              <w:adjustRightInd w:val="0"/>
              <w:snapToGrid w:val="0"/>
              <w:rPr>
                <w:rFonts w:ascii="仿宋_GB2312" w:eastAsia="仿宋_GB2312"/>
                <w:b/>
                <w:kern w:val="0"/>
                <w:sz w:val="24"/>
                <w:szCs w:val="24"/>
              </w:rPr>
            </w:pPr>
            <w:r>
              <w:rPr>
                <w:rFonts w:hint="eastAsia" w:ascii="仿宋_GB2312" w:eastAsia="仿宋_GB2312"/>
                <w:b/>
                <w:kern w:val="0"/>
                <w:sz w:val="24"/>
                <w:szCs w:val="24"/>
              </w:rPr>
              <w:t>实际期限</w:t>
            </w:r>
          </w:p>
        </w:tc>
        <w:tc>
          <w:tcPr>
            <w:tcW w:w="6379" w:type="dxa"/>
          </w:tcPr>
          <w:p w14:paraId="5670C456">
            <w:pPr>
              <w:adjustRightInd w:val="0"/>
              <w:snapToGrid w:val="0"/>
              <w:rPr>
                <w:rFonts w:ascii="仿宋_GB2312" w:eastAsia="仿宋_GB2312"/>
                <w:kern w:val="0"/>
                <w:sz w:val="24"/>
                <w:szCs w:val="24"/>
              </w:rPr>
            </w:pPr>
            <w:r>
              <w:rPr>
                <w:rFonts w:hint="eastAsia" w:ascii="仿宋_GB2312" w:eastAsia="仿宋_GB2312"/>
                <w:kern w:val="0"/>
                <w:sz w:val="24"/>
                <w:szCs w:val="24"/>
              </w:rPr>
              <w:t>交易系统根据申报当日自动计算新的借贷期限</w:t>
            </w:r>
          </w:p>
        </w:tc>
      </w:tr>
      <w:tr w14:paraId="011F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34456197">
            <w:pPr>
              <w:adjustRightInd w:val="0"/>
              <w:snapToGrid w:val="0"/>
              <w:rPr>
                <w:rFonts w:ascii="仿宋_GB2312" w:eastAsia="仿宋_GB2312"/>
                <w:b/>
                <w:kern w:val="0"/>
                <w:sz w:val="24"/>
                <w:szCs w:val="24"/>
              </w:rPr>
            </w:pPr>
            <w:r>
              <w:rPr>
                <w:rFonts w:hint="eastAsia" w:ascii="仿宋_GB2312" w:eastAsia="仿宋_GB2312"/>
                <w:b/>
                <w:kern w:val="0"/>
                <w:sz w:val="24"/>
                <w:szCs w:val="24"/>
              </w:rPr>
              <w:t>实际借贷费用</w:t>
            </w:r>
          </w:p>
        </w:tc>
        <w:tc>
          <w:tcPr>
            <w:tcW w:w="6379" w:type="dxa"/>
          </w:tcPr>
          <w:p w14:paraId="36DA7E4C">
            <w:pPr>
              <w:adjustRightInd w:val="0"/>
              <w:snapToGrid w:val="0"/>
              <w:rPr>
                <w:rFonts w:ascii="仿宋_GB2312" w:eastAsia="仿宋_GB2312"/>
                <w:kern w:val="0"/>
                <w:sz w:val="24"/>
                <w:szCs w:val="24"/>
              </w:rPr>
            </w:pPr>
            <w:r>
              <w:rPr>
                <w:rFonts w:hint="eastAsia" w:ascii="仿宋_GB2312" w:eastAsia="仿宋_GB2312"/>
                <w:kern w:val="0"/>
                <w:sz w:val="24"/>
                <w:szCs w:val="24"/>
              </w:rPr>
              <w:t>债券借入方实际付给债券借出方的借贷费用，双方自行协商</w:t>
            </w:r>
          </w:p>
        </w:tc>
      </w:tr>
      <w:tr w14:paraId="450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8BD0C8B">
            <w:pPr>
              <w:adjustRightInd w:val="0"/>
              <w:snapToGrid w:val="0"/>
              <w:rPr>
                <w:rFonts w:ascii="仿宋_GB2312" w:eastAsia="仿宋_GB2312"/>
                <w:b/>
                <w:kern w:val="0"/>
                <w:sz w:val="24"/>
                <w:szCs w:val="24"/>
              </w:rPr>
            </w:pPr>
            <w:r>
              <w:rPr>
                <w:rFonts w:hint="eastAsia" w:ascii="仿宋_GB2312" w:eastAsia="仿宋_GB2312"/>
                <w:b/>
                <w:kern w:val="0"/>
                <w:sz w:val="24"/>
                <w:szCs w:val="24"/>
              </w:rPr>
              <w:t>逾期结算</w:t>
            </w:r>
            <w:r>
              <w:rPr>
                <w:rFonts w:ascii="仿宋_GB2312" w:eastAsia="仿宋_GB2312"/>
                <w:b/>
                <w:kern w:val="0"/>
                <w:sz w:val="24"/>
                <w:szCs w:val="24"/>
              </w:rPr>
              <w:t>方式</w:t>
            </w:r>
          </w:p>
        </w:tc>
        <w:tc>
          <w:tcPr>
            <w:tcW w:w="6379" w:type="dxa"/>
          </w:tcPr>
          <w:p w14:paraId="26E5525D">
            <w:pPr>
              <w:adjustRightInd w:val="0"/>
              <w:snapToGrid w:val="0"/>
              <w:rPr>
                <w:rFonts w:ascii="仿宋_GB2312" w:eastAsia="仿宋_GB2312"/>
                <w:kern w:val="0"/>
                <w:sz w:val="24"/>
                <w:szCs w:val="24"/>
              </w:rPr>
            </w:pPr>
            <w:r>
              <w:rPr>
                <w:rFonts w:hint="eastAsia" w:ascii="仿宋_GB2312" w:eastAsia="仿宋_GB2312"/>
                <w:kern w:val="0"/>
                <w:sz w:val="24"/>
                <w:szCs w:val="24"/>
              </w:rPr>
              <w:t>【债券结算】</w:t>
            </w:r>
            <w:r>
              <w:rPr>
                <w:rFonts w:ascii="仿宋_GB2312" w:eastAsia="仿宋_GB2312"/>
                <w:kern w:val="0"/>
                <w:sz w:val="24"/>
                <w:szCs w:val="24"/>
              </w:rPr>
              <w:t>，</w:t>
            </w:r>
            <w:r>
              <w:rPr>
                <w:rFonts w:hint="eastAsia" w:ascii="仿宋_GB2312" w:eastAsia="仿宋_GB2312"/>
                <w:kern w:val="0"/>
                <w:sz w:val="24"/>
                <w:szCs w:val="24"/>
              </w:rPr>
              <w:t>默认</w:t>
            </w:r>
            <w:r>
              <w:rPr>
                <w:rFonts w:ascii="仿宋_GB2312" w:eastAsia="仿宋_GB2312"/>
                <w:kern w:val="0"/>
                <w:sz w:val="24"/>
                <w:szCs w:val="24"/>
              </w:rPr>
              <w:t>RTGS</w:t>
            </w:r>
            <w:r>
              <w:rPr>
                <w:rFonts w:hint="eastAsia" w:ascii="仿宋_GB2312" w:eastAsia="仿宋_GB2312"/>
                <w:kern w:val="0"/>
                <w:sz w:val="24"/>
                <w:szCs w:val="24"/>
              </w:rPr>
              <w:t>。</w:t>
            </w:r>
          </w:p>
          <w:p w14:paraId="2485AEC7">
            <w:pPr>
              <w:adjustRightInd w:val="0"/>
              <w:snapToGrid w:val="0"/>
              <w:rPr>
                <w:rFonts w:ascii="仿宋_GB2312" w:eastAsia="仿宋_GB2312"/>
                <w:kern w:val="0"/>
                <w:sz w:val="24"/>
                <w:szCs w:val="24"/>
              </w:rPr>
            </w:pPr>
            <w:r>
              <w:rPr>
                <w:rFonts w:hint="eastAsia" w:ascii="仿宋_GB2312" w:eastAsia="仿宋_GB2312"/>
                <w:kern w:val="0"/>
                <w:sz w:val="24"/>
                <w:szCs w:val="24"/>
              </w:rPr>
              <w:t>现金结算、部分现金结算，根据结算方式需填写的字段不同。</w:t>
            </w:r>
          </w:p>
          <w:p w14:paraId="36FCA9D7">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24BB5B88">
            <w:pPr>
              <w:adjustRightInd w:val="0"/>
              <w:snapToGrid w:val="0"/>
              <w:rPr>
                <w:rFonts w:ascii="仿宋_GB2312" w:eastAsia="仿宋_GB2312"/>
                <w:kern w:val="0"/>
                <w:sz w:val="24"/>
                <w:szCs w:val="24"/>
              </w:rPr>
            </w:pPr>
            <w:r>
              <w:rPr>
                <w:rFonts w:hint="eastAsia" w:ascii="仿宋_GB2312" w:eastAsia="仿宋_GB2312"/>
                <w:kern w:val="0"/>
                <w:sz w:val="24"/>
                <w:szCs w:val="24"/>
              </w:rPr>
              <w:t>【到期部分现金结算】，进入申报界面，填写“现金结算金额”，填写“标的债券归还数量”。</w:t>
            </w:r>
          </w:p>
        </w:tc>
      </w:tr>
      <w:tr w14:paraId="28F7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057D0DD4">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6379" w:type="dxa"/>
          </w:tcPr>
          <w:p w14:paraId="6E0C2572">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勾选场</w:t>
            </w:r>
            <w:r>
              <w:rPr>
                <w:rFonts w:hint="eastAsia" w:ascii="仿宋_GB2312" w:eastAsia="仿宋_GB2312"/>
                <w:kern w:val="0"/>
                <w:sz w:val="24"/>
                <w:szCs w:val="24"/>
              </w:rPr>
              <w:t>内</w:t>
            </w:r>
            <w:r>
              <w:rPr>
                <w:rFonts w:ascii="仿宋_GB2312" w:eastAsia="仿宋_GB2312"/>
                <w:kern w:val="0"/>
                <w:sz w:val="24"/>
                <w:szCs w:val="24"/>
              </w:rPr>
              <w:t>/外结算，</w:t>
            </w:r>
            <w:r>
              <w:rPr>
                <w:rFonts w:hint="eastAsia" w:ascii="仿宋_GB2312" w:eastAsia="仿宋_GB2312"/>
                <w:kern w:val="0"/>
                <w:sz w:val="24"/>
                <w:szCs w:val="24"/>
              </w:rPr>
              <w:t>场内</w:t>
            </w:r>
            <w:r>
              <w:rPr>
                <w:rFonts w:ascii="仿宋_GB2312" w:eastAsia="仿宋_GB2312"/>
                <w:kern w:val="0"/>
                <w:sz w:val="24"/>
                <w:szCs w:val="24"/>
              </w:rPr>
              <w:t>结算的，默认RTGS结算方式</w:t>
            </w:r>
            <w:r>
              <w:rPr>
                <w:rFonts w:hint="eastAsia" w:ascii="仿宋_GB2312" w:eastAsia="仿宋_GB2312"/>
                <w:kern w:val="0"/>
                <w:sz w:val="24"/>
                <w:szCs w:val="24"/>
              </w:rPr>
              <w:t>。资金结算方式选场外结算时，需填写资金账户</w:t>
            </w:r>
          </w:p>
        </w:tc>
      </w:tr>
      <w:tr w14:paraId="2E46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1956C2">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6379" w:type="dxa"/>
            <w:vAlign w:val="center"/>
          </w:tcPr>
          <w:p w14:paraId="5ECEEABD">
            <w:pPr>
              <w:adjustRightInd w:val="0"/>
              <w:snapToGrid w:val="0"/>
              <w:rPr>
                <w:rFonts w:ascii="仿宋_GB2312" w:eastAsia="仿宋_GB2312"/>
                <w:kern w:val="0"/>
                <w:sz w:val="24"/>
                <w:szCs w:val="24"/>
              </w:rPr>
            </w:pPr>
            <w:r>
              <w:rPr>
                <w:rFonts w:hint="eastAsia" w:ascii="仿宋_GB2312" w:eastAsia="仿宋_GB2312"/>
                <w:kern w:val="0"/>
                <w:sz w:val="24"/>
                <w:szCs w:val="24"/>
              </w:rPr>
              <w:t>借入债券机构的资金</w:t>
            </w:r>
            <w:r>
              <w:rPr>
                <w:rFonts w:ascii="仿宋_GB2312" w:eastAsia="仿宋_GB2312"/>
                <w:kern w:val="0"/>
                <w:sz w:val="24"/>
                <w:szCs w:val="24"/>
              </w:rPr>
              <w:t>账户与名称</w:t>
            </w:r>
          </w:p>
        </w:tc>
      </w:tr>
      <w:tr w14:paraId="7050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6840D2B1">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6379" w:type="dxa"/>
            <w:vAlign w:val="center"/>
          </w:tcPr>
          <w:p w14:paraId="3C6CD153">
            <w:pPr>
              <w:adjustRightInd w:val="0"/>
              <w:snapToGrid w:val="0"/>
              <w:rPr>
                <w:rFonts w:ascii="仿宋_GB2312" w:eastAsia="仿宋_GB2312"/>
                <w:kern w:val="0"/>
                <w:sz w:val="24"/>
                <w:szCs w:val="24"/>
              </w:rPr>
            </w:pPr>
            <w:r>
              <w:rPr>
                <w:rFonts w:hint="eastAsia" w:ascii="仿宋_GB2312" w:eastAsia="仿宋_GB2312"/>
                <w:kern w:val="0"/>
                <w:sz w:val="24"/>
                <w:szCs w:val="24"/>
              </w:rPr>
              <w:t>借出债券机构的资金</w:t>
            </w:r>
            <w:r>
              <w:rPr>
                <w:rFonts w:ascii="仿宋_GB2312" w:eastAsia="仿宋_GB2312"/>
                <w:kern w:val="0"/>
                <w:sz w:val="24"/>
                <w:szCs w:val="24"/>
              </w:rPr>
              <w:t>账户与名称</w:t>
            </w:r>
            <w:r>
              <w:rPr>
                <w:rFonts w:hint="eastAsia" w:ascii="仿宋_GB2312" w:eastAsia="仿宋_GB2312"/>
                <w:kern w:val="0"/>
                <w:sz w:val="24"/>
                <w:szCs w:val="24"/>
              </w:rPr>
              <w:t>，对手方</w:t>
            </w:r>
            <w:r>
              <w:rPr>
                <w:rFonts w:ascii="仿宋_GB2312" w:eastAsia="仿宋_GB2312"/>
                <w:kern w:val="0"/>
                <w:sz w:val="24"/>
                <w:szCs w:val="24"/>
              </w:rPr>
              <w:t>确认时录入。</w:t>
            </w:r>
          </w:p>
        </w:tc>
      </w:tr>
    </w:tbl>
    <w:p w14:paraId="6D733973">
      <w:pPr>
        <w:numPr>
          <w:ilvl w:val="2"/>
          <w:numId w:val="4"/>
        </w:numPr>
        <w:spacing w:line="560" w:lineRule="exact"/>
        <w:ind w:left="0" w:firstLine="0"/>
        <w:outlineLvl w:val="2"/>
        <w:rPr>
          <w:rFonts w:ascii="仿宋_GB2312" w:eastAsia="仿宋_GB2312"/>
          <w:b/>
          <w:bCs/>
          <w:sz w:val="30"/>
          <w:szCs w:val="30"/>
        </w:rPr>
      </w:pPr>
      <w:r>
        <w:rPr>
          <w:rFonts w:hint="eastAsia" w:ascii="仿宋_GB2312" w:eastAsia="仿宋_GB2312"/>
          <w:b/>
          <w:bCs/>
          <w:sz w:val="30"/>
          <w:szCs w:val="30"/>
        </w:rPr>
        <w:t>前端控制与用券效率</w:t>
      </w:r>
    </w:p>
    <w:p w14:paraId="3C4CE1DA">
      <w:pPr>
        <w:spacing w:line="560" w:lineRule="exact"/>
        <w:ind w:firstLine="602"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eastAsia="仿宋_GB2312"/>
          <w:b/>
          <w:color w:val="000000" w:themeColor="text1"/>
          <w:sz w:val="30"/>
          <w:szCs w:val="30"/>
          <w14:textFill>
            <w14:solidFill>
              <w14:schemeClr w14:val="tx1"/>
            </w14:solidFill>
          </w14:textFill>
        </w:rPr>
        <w:t>（1）前端控制</w:t>
      </w:r>
    </w:p>
    <w:p w14:paraId="7B66B1A5">
      <w:pPr>
        <w:spacing w:line="560" w:lineRule="exact"/>
        <w:ind w:firstLine="600"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符合净额结算标准的债券，采用RTGS结算方式进行债券借贷的，在完成</w:t>
      </w:r>
      <w:r>
        <w:rPr>
          <w:rFonts w:ascii="仿宋_GB2312" w:hAnsi="黑体" w:eastAsia="仿宋_GB2312"/>
          <w:bCs/>
          <w:color w:val="000000" w:themeColor="text1"/>
          <w:sz w:val="30"/>
          <w:szCs w:val="30"/>
          <w14:textFill>
            <w14:solidFill>
              <w14:schemeClr w14:val="tx1"/>
            </w14:solidFill>
          </w14:textFill>
        </w:rPr>
        <w:t>交收后</w:t>
      </w:r>
      <w:r>
        <w:rPr>
          <w:rFonts w:hint="eastAsia" w:ascii="仿宋_GB2312" w:hAnsi="黑体" w:eastAsia="仿宋_GB2312"/>
          <w:bCs/>
          <w:color w:val="000000" w:themeColor="text1"/>
          <w:sz w:val="30"/>
          <w:szCs w:val="30"/>
          <w14:textFill>
            <w14:solidFill>
              <w14:schemeClr w14:val="tx1"/>
            </w14:solidFill>
          </w14:textFill>
        </w:rPr>
        <w:t>，互联网平台根据</w:t>
      </w:r>
      <w:r>
        <w:rPr>
          <w:rFonts w:ascii="仿宋_GB2312" w:hAnsi="黑体" w:eastAsia="仿宋_GB2312"/>
          <w:bCs/>
          <w:color w:val="000000" w:themeColor="text1"/>
          <w:sz w:val="30"/>
          <w:szCs w:val="30"/>
          <w14:textFill>
            <w14:solidFill>
              <w14:schemeClr w14:val="tx1"/>
            </w14:solidFill>
          </w14:textFill>
        </w:rPr>
        <w:t>交收结果</w:t>
      </w:r>
      <w:r>
        <w:rPr>
          <w:rFonts w:hint="eastAsia" w:ascii="仿宋_GB2312" w:hAnsi="黑体" w:eastAsia="仿宋_GB2312"/>
          <w:bCs/>
          <w:color w:val="000000" w:themeColor="text1"/>
          <w:sz w:val="30"/>
          <w:szCs w:val="30"/>
          <w14:textFill>
            <w14:solidFill>
              <w14:schemeClr w14:val="tx1"/>
            </w14:solidFill>
          </w14:textFill>
        </w:rPr>
        <w:t>实时更新相关债券持仓；固收平台RTGS相关交易</w:t>
      </w:r>
      <w:r>
        <w:rPr>
          <w:rFonts w:ascii="仿宋_GB2312" w:hAnsi="黑体" w:eastAsia="仿宋_GB2312"/>
          <w:bCs/>
          <w:color w:val="000000" w:themeColor="text1"/>
          <w:sz w:val="30"/>
          <w:szCs w:val="30"/>
          <w14:textFill>
            <w14:solidFill>
              <w14:schemeClr w14:val="tx1"/>
            </w14:solidFill>
          </w14:textFill>
        </w:rPr>
        <w:t>的</w:t>
      </w:r>
      <w:r>
        <w:rPr>
          <w:rFonts w:hint="eastAsia" w:ascii="仿宋_GB2312" w:hAnsi="黑体" w:eastAsia="仿宋_GB2312"/>
          <w:bCs/>
          <w:color w:val="000000" w:themeColor="text1"/>
          <w:sz w:val="30"/>
          <w:szCs w:val="30"/>
          <w14:textFill>
            <w14:solidFill>
              <w14:schemeClr w14:val="tx1"/>
            </w14:solidFill>
          </w14:textFill>
        </w:rPr>
        <w:t>总量不能超过日初持仓数量。</w:t>
      </w:r>
    </w:p>
    <w:p w14:paraId="3B61D09F">
      <w:pPr>
        <w:spacing w:line="560" w:lineRule="exact"/>
        <w:ind w:firstLine="600"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不符合净额结算标准的债券用于债券借贷业务的，以登记结算机构登记的持仓为准。</w:t>
      </w:r>
    </w:p>
    <w:p w14:paraId="2C0405B7">
      <w:pPr>
        <w:spacing w:line="560" w:lineRule="exact"/>
        <w:ind w:firstLine="602" w:firstLineChars="200"/>
        <w:outlineLvl w:val="2"/>
        <w:rPr>
          <w:rFonts w:ascii="仿宋_GB2312" w:hAnsi="宋体" w:eastAsia="仿宋_GB2312" w:cs="宋体"/>
          <w:b/>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（2）用券效率</w:t>
      </w:r>
    </w:p>
    <w:p w14:paraId="0DBAA2A1">
      <w:pPr>
        <w:spacing w:line="560" w:lineRule="exact"/>
        <w:ind w:firstLine="602" w:firstLineChars="200"/>
        <w:outlineLvl w:val="2"/>
        <w:rPr>
          <w:rFonts w:ascii="仿宋_GB2312" w:hAnsi="黑体" w:eastAsia="仿宋_GB2312"/>
          <w:b/>
          <w:bCs/>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1）现券买入以及回购业务中解除质押的债券用于债券借贷的效率</w:t>
      </w:r>
    </w:p>
    <w:p w14:paraId="72198C9C">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符合多边净额结算标准的债券，T日买入的，或者T日通用质押式回购、协议回购解除质押的，T+1日可用于债券借贷。</w:t>
      </w:r>
    </w:p>
    <w:p w14:paraId="2CFCF453">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不符合多边净额结算标准的债券，T日买入的，或者T日协议回购解除质押的，T日可用于债券借贷。</w:t>
      </w:r>
    </w:p>
    <w:p w14:paraId="45B75806">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T日三方回购解除质押且转出的债券，T+1日可用于债券借贷。</w:t>
      </w:r>
    </w:p>
    <w:p w14:paraId="7C2B4CAB">
      <w:pPr>
        <w:spacing w:line="560" w:lineRule="exact"/>
        <w:ind w:firstLine="602" w:firstLineChars="200"/>
        <w:outlineLvl w:val="2"/>
        <w:rPr>
          <w:rFonts w:ascii="仿宋_GB2312" w:hAnsi="黑体" w:eastAsia="仿宋_GB2312"/>
          <w:b/>
          <w:bCs/>
          <w:sz w:val="30"/>
          <w:szCs w:val="30"/>
        </w:rPr>
      </w:pPr>
      <w:r>
        <w:rPr>
          <w:rFonts w:ascii="仿宋_GB2312" w:hAnsi="黑体" w:eastAsia="仿宋_GB2312"/>
          <w:b/>
          <w:bCs/>
          <w:sz w:val="30"/>
          <w:szCs w:val="30"/>
        </w:rPr>
        <w:t>2</w:t>
      </w:r>
      <w:r>
        <w:rPr>
          <w:rFonts w:hint="eastAsia" w:ascii="仿宋_GB2312" w:hAnsi="黑体" w:eastAsia="仿宋_GB2312"/>
          <w:b/>
          <w:bCs/>
          <w:sz w:val="30"/>
          <w:szCs w:val="30"/>
        </w:rPr>
        <w:t>）债券借贷借入、返还、到期解除质押的债券用于现券、回购业务和新开债券借贷的效率</w:t>
      </w:r>
    </w:p>
    <w:p w14:paraId="0F3D8B24">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符合多边净额结算条件的债券，通过债券借贷</w:t>
      </w:r>
      <w:r>
        <w:rPr>
          <w:rFonts w:ascii="仿宋_GB2312" w:hAnsi="黑体" w:eastAsia="仿宋_GB2312"/>
          <w:bCs/>
          <w:sz w:val="30"/>
          <w:szCs w:val="30"/>
        </w:rPr>
        <w:t>业务</w:t>
      </w:r>
      <w:r>
        <w:rPr>
          <w:rFonts w:hint="eastAsia" w:ascii="仿宋_GB2312" w:hAnsi="黑体" w:eastAsia="仿宋_GB2312"/>
          <w:bCs/>
          <w:sz w:val="30"/>
          <w:szCs w:val="30"/>
        </w:rPr>
        <w:t>T日借入、返还、到期解除质押的，T日可采用多边净额结算方式申报卖出、入质押库，或用于债券借贷（包括作为标的债券和质押券用于新开合约、质押券变更等）；T+1日可采用RTGS结算方式申报卖出、用于协议回购或三方回购。</w:t>
      </w:r>
    </w:p>
    <w:p w14:paraId="09CBF85D">
      <w:pPr>
        <w:spacing w:line="560" w:lineRule="exact"/>
        <w:ind w:firstLine="600" w:firstLineChars="200"/>
        <w:outlineLvl w:val="2"/>
        <w:rPr>
          <w:rFonts w:ascii="仿宋_GB2312" w:hAnsi="黑体" w:eastAsia="仿宋_GB2312"/>
          <w:bCs/>
          <w:sz w:val="30"/>
          <w:szCs w:val="30"/>
        </w:rPr>
      </w:pPr>
      <w:r>
        <w:rPr>
          <w:rFonts w:hint="eastAsia" w:ascii="仿宋_GB2312" w:hAnsi="黑体" w:eastAsia="仿宋_GB2312"/>
          <w:bCs/>
          <w:sz w:val="30"/>
          <w:szCs w:val="30"/>
        </w:rPr>
        <w:t>不符合多边净额结算条件的债券，通过互联网平台T日借入、返还、到期解除质押的，T日可采用RTGS结算方式卖出、用于债券借贷（包括作为标的债券和质押券用于新开合约、质押券变更等）、协议回购或三方回购。</w:t>
      </w:r>
    </w:p>
    <w:p w14:paraId="39ACEA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行情展示</w:t>
      </w:r>
    </w:p>
    <w:p w14:paraId="25491C6B">
      <w:pPr>
        <w:spacing w:line="600" w:lineRule="exact"/>
        <w:ind w:firstLine="600" w:firstLineChars="200"/>
        <w:outlineLvl w:val="2"/>
        <w:rPr>
          <w:rFonts w:ascii="仿宋_GB2312" w:eastAsia="仿宋_GB2312"/>
          <w:b/>
          <w:sz w:val="30"/>
          <w:szCs w:val="30"/>
        </w:rPr>
      </w:pPr>
      <w:r>
        <w:rPr>
          <w:rFonts w:hint="eastAsia" w:ascii="仿宋_GB2312" w:hAnsi="宋体" w:eastAsia="仿宋_GB2312" w:cs="宋体"/>
          <w:sz w:val="30"/>
          <w:szCs w:val="30"/>
        </w:rPr>
        <w:t>本所公布当日的债券借贷逐笔成交行情和汇总行情，并定期披露全市场成交统计数据。</w:t>
      </w:r>
    </w:p>
    <w:p w14:paraId="4FE368A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w:t>
      </w:r>
      <w:r>
        <w:rPr>
          <w:rFonts w:ascii="仿宋_GB2312" w:eastAsia="仿宋_GB2312"/>
          <w:b/>
          <w:sz w:val="30"/>
          <w:szCs w:val="30"/>
        </w:rPr>
        <w:t>管理及</w:t>
      </w:r>
      <w:r>
        <w:rPr>
          <w:rFonts w:hint="eastAsia" w:ascii="仿宋_GB2312" w:eastAsia="仿宋_GB2312"/>
          <w:b/>
          <w:sz w:val="30"/>
          <w:szCs w:val="30"/>
        </w:rPr>
        <w:t>违约处置</w:t>
      </w:r>
    </w:p>
    <w:p w14:paraId="1C5BEB7D">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（1）</w:t>
      </w:r>
      <w:r>
        <w:rPr>
          <w:rFonts w:hint="eastAsia" w:ascii="仿宋_GB2312" w:eastAsia="仿宋_GB2312"/>
          <w:b/>
          <w:sz w:val="30"/>
          <w:szCs w:val="30"/>
        </w:rPr>
        <w:t>风险</w:t>
      </w:r>
      <w:r>
        <w:rPr>
          <w:rFonts w:ascii="仿宋_GB2312" w:eastAsia="仿宋_GB2312"/>
          <w:b/>
          <w:sz w:val="30"/>
          <w:szCs w:val="30"/>
        </w:rPr>
        <w:t>管理</w:t>
      </w:r>
    </w:p>
    <w:p w14:paraId="61DECFE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债券借贷申报、质押债券、交收违约情况等各种信息进行监控，加强对债券借贷业务的风险监测和评估。债券借贷存续期间，发生异常和违约事件的，借贷双方应及时向本所报告事件情况及其发生的原因、处理进展情况和处理结果。单个机构自债券借贷的借入余额超过其自有债券托管总量的20%(含20%)或单只债券借入余额超过该只债券发行量10%（含10%）起，每增加5个百分点，该机构应向本所报告并说明原因。</w:t>
      </w:r>
    </w:p>
    <w:p w14:paraId="4E9733E4">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（2）</w:t>
      </w:r>
      <w:r>
        <w:rPr>
          <w:rFonts w:hint="eastAsia" w:ascii="仿宋_GB2312" w:eastAsia="仿宋_GB2312"/>
          <w:b/>
          <w:sz w:val="30"/>
          <w:szCs w:val="30"/>
        </w:rPr>
        <w:t>违约处置</w:t>
      </w:r>
    </w:p>
    <w:p w14:paraId="7FCA437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借贷发生异常或者违约的，借贷双方应当按照《办法》、主协议、补充协议或申报补充约定等相关规定和约定，通过协商、支付违约金、偿还与标的债券等价的金额、处置质押债券、申请仲裁、诉讼等方式解决。违约发生后，违约方应积极采取措施处理违约事件，维护守约方的合法权益。双方对违约处理协商一致的，可以向本所申报解除质押登记、或申请将质押债券由违约方过户至守约方、或申请质押债券处置过户至拍卖、变卖的受让人，登记结算机构将依据本所发送的指令办理标的债券过户、解除质押登记或质押债券处置过户。发生违约后，借贷双方根据主协议、补充协议及申报补充约定等相关约定办理。质押债券处置产生的任何法律后果及责任，由借贷双方自行承担。</w:t>
      </w:r>
    </w:p>
    <w:p w14:paraId="103A3FE9">
      <w:pPr>
        <w:numPr>
          <w:ilvl w:val="1"/>
          <w:numId w:val="4"/>
        </w:numPr>
        <w:spacing w:line="600" w:lineRule="exact"/>
        <w:ind w:left="0" w:firstLine="0"/>
        <w:outlineLvl w:val="1"/>
        <w:rPr>
          <w:rFonts w:ascii="仿宋_GB2312" w:eastAsia="仿宋_GB2312"/>
          <w:b/>
          <w:sz w:val="30"/>
          <w:szCs w:val="30"/>
        </w:rPr>
      </w:pPr>
      <w:bookmarkStart w:id="2060" w:name="_Toc151136946"/>
      <w:bookmarkEnd w:id="2060"/>
      <w:bookmarkStart w:id="2061" w:name="_Toc151136944"/>
      <w:bookmarkEnd w:id="2061"/>
      <w:bookmarkStart w:id="2062" w:name="_Toc151136930"/>
      <w:bookmarkEnd w:id="2062"/>
      <w:bookmarkStart w:id="2063" w:name="_Toc151136945"/>
      <w:bookmarkEnd w:id="2063"/>
      <w:bookmarkStart w:id="2064" w:name="_Toc151136948"/>
      <w:bookmarkEnd w:id="2064"/>
      <w:bookmarkStart w:id="2065" w:name="_Toc151136927"/>
      <w:bookmarkEnd w:id="2065"/>
      <w:bookmarkStart w:id="2066" w:name="_Toc151136928"/>
      <w:bookmarkEnd w:id="2066"/>
      <w:bookmarkStart w:id="2067" w:name="_Toc151136929"/>
      <w:bookmarkEnd w:id="2067"/>
      <w:bookmarkStart w:id="2068" w:name="_Toc151136923"/>
      <w:bookmarkEnd w:id="2068"/>
      <w:bookmarkStart w:id="2069" w:name="_Toc151136924"/>
      <w:bookmarkEnd w:id="2069"/>
      <w:bookmarkStart w:id="2070" w:name="_Toc151136925"/>
      <w:bookmarkEnd w:id="2070"/>
      <w:bookmarkStart w:id="2071" w:name="_Toc151136926"/>
      <w:bookmarkEnd w:id="2071"/>
      <w:bookmarkStart w:id="2072" w:name="_Toc151137051"/>
      <w:bookmarkEnd w:id="2072"/>
      <w:bookmarkStart w:id="2073" w:name="_Toc151136920"/>
      <w:bookmarkEnd w:id="2073"/>
      <w:bookmarkStart w:id="2074" w:name="_Toc151136921"/>
      <w:bookmarkEnd w:id="2074"/>
      <w:bookmarkStart w:id="2075" w:name="_Toc151136922"/>
      <w:bookmarkEnd w:id="2075"/>
      <w:bookmarkStart w:id="2076" w:name="_Toc151137050"/>
      <w:bookmarkEnd w:id="2076"/>
      <w:bookmarkStart w:id="2077" w:name="_Toc151137049"/>
      <w:bookmarkEnd w:id="2077"/>
      <w:bookmarkStart w:id="2078" w:name="_Toc151137047"/>
      <w:bookmarkEnd w:id="2078"/>
      <w:bookmarkStart w:id="2079" w:name="_Toc151137048"/>
      <w:bookmarkEnd w:id="2079"/>
      <w:bookmarkStart w:id="2080" w:name="_Toc151137045"/>
      <w:bookmarkEnd w:id="2080"/>
      <w:bookmarkStart w:id="2081" w:name="_Toc151137046"/>
      <w:bookmarkEnd w:id="2081"/>
      <w:bookmarkStart w:id="2082" w:name="_Toc151137042"/>
      <w:bookmarkEnd w:id="2082"/>
      <w:bookmarkStart w:id="2083" w:name="_Toc151137043"/>
      <w:bookmarkEnd w:id="2083"/>
      <w:bookmarkStart w:id="2084" w:name="_Toc151137044"/>
      <w:bookmarkEnd w:id="2084"/>
      <w:bookmarkStart w:id="2085" w:name="_Toc151137033"/>
      <w:bookmarkEnd w:id="2085"/>
      <w:bookmarkStart w:id="2086" w:name="_Toc151137034"/>
      <w:bookmarkEnd w:id="2086"/>
      <w:bookmarkStart w:id="2087" w:name="_Toc151137035"/>
      <w:bookmarkEnd w:id="2087"/>
      <w:bookmarkStart w:id="2088" w:name="_Toc151137036"/>
      <w:bookmarkEnd w:id="2088"/>
      <w:bookmarkStart w:id="2089" w:name="_Toc151137037"/>
      <w:bookmarkEnd w:id="2089"/>
      <w:bookmarkStart w:id="2090" w:name="_Toc151137038"/>
      <w:bookmarkEnd w:id="2090"/>
      <w:bookmarkStart w:id="2091" w:name="_Toc151137039"/>
      <w:bookmarkEnd w:id="2091"/>
      <w:bookmarkStart w:id="2092" w:name="_Toc151137040"/>
      <w:bookmarkEnd w:id="2092"/>
      <w:bookmarkStart w:id="2093" w:name="_Toc151137041"/>
      <w:bookmarkEnd w:id="2093"/>
      <w:bookmarkStart w:id="2094" w:name="_Toc151137027"/>
      <w:bookmarkEnd w:id="2094"/>
      <w:bookmarkStart w:id="2095" w:name="_Toc151137028"/>
      <w:bookmarkEnd w:id="2095"/>
      <w:bookmarkStart w:id="2096" w:name="_Toc151137029"/>
      <w:bookmarkEnd w:id="2096"/>
      <w:bookmarkStart w:id="2097" w:name="_Toc151137030"/>
      <w:bookmarkEnd w:id="2097"/>
      <w:bookmarkStart w:id="2098" w:name="_Toc151137031"/>
      <w:bookmarkEnd w:id="2098"/>
      <w:bookmarkStart w:id="2099" w:name="_Toc151137032"/>
      <w:bookmarkEnd w:id="2099"/>
      <w:bookmarkStart w:id="2100" w:name="_Toc151137026"/>
      <w:bookmarkEnd w:id="2100"/>
      <w:bookmarkStart w:id="2101" w:name="_Toc151137024"/>
      <w:bookmarkEnd w:id="2101"/>
      <w:bookmarkStart w:id="2102" w:name="_Toc151137025"/>
      <w:bookmarkEnd w:id="2102"/>
      <w:bookmarkStart w:id="2103" w:name="_Toc151137023"/>
      <w:bookmarkEnd w:id="2103"/>
      <w:bookmarkStart w:id="2104" w:name="_Toc151137022"/>
      <w:bookmarkEnd w:id="2104"/>
      <w:bookmarkStart w:id="2105" w:name="_Toc151137018"/>
      <w:bookmarkEnd w:id="2105"/>
      <w:bookmarkStart w:id="2106" w:name="_Toc151137019"/>
      <w:bookmarkEnd w:id="2106"/>
      <w:bookmarkStart w:id="2107" w:name="_Toc151137020"/>
      <w:bookmarkEnd w:id="2107"/>
      <w:bookmarkStart w:id="2108" w:name="_Toc151137021"/>
      <w:bookmarkEnd w:id="2108"/>
      <w:bookmarkStart w:id="2109" w:name="_Toc151136955"/>
      <w:bookmarkEnd w:id="2109"/>
      <w:bookmarkStart w:id="2110" w:name="_Toc151136956"/>
      <w:bookmarkEnd w:id="2110"/>
      <w:bookmarkStart w:id="2111" w:name="_Toc151137017"/>
      <w:bookmarkEnd w:id="2111"/>
      <w:bookmarkStart w:id="2112" w:name="_Toc151136949"/>
      <w:bookmarkEnd w:id="2112"/>
      <w:bookmarkStart w:id="2113" w:name="_Toc151136950"/>
      <w:bookmarkEnd w:id="2113"/>
      <w:bookmarkStart w:id="2114" w:name="_Toc151136951"/>
      <w:bookmarkEnd w:id="2114"/>
      <w:bookmarkStart w:id="2115" w:name="_Toc151136952"/>
      <w:bookmarkEnd w:id="2115"/>
      <w:bookmarkStart w:id="2116" w:name="_Toc151136953"/>
      <w:bookmarkEnd w:id="2116"/>
      <w:bookmarkStart w:id="2117" w:name="_Toc151136954"/>
      <w:bookmarkEnd w:id="2117"/>
      <w:bookmarkStart w:id="2118" w:name="_Toc151136947"/>
      <w:bookmarkEnd w:id="2118"/>
      <w:bookmarkStart w:id="2119" w:name="_Toc151136932"/>
      <w:bookmarkEnd w:id="2119"/>
      <w:bookmarkStart w:id="2120" w:name="_Toc151136931"/>
      <w:bookmarkEnd w:id="2120"/>
      <w:bookmarkStart w:id="2121" w:name="_Toc151136943"/>
      <w:bookmarkEnd w:id="2121"/>
      <w:bookmarkStart w:id="2122" w:name="_Toc151136942"/>
      <w:bookmarkEnd w:id="2122"/>
      <w:bookmarkStart w:id="2123" w:name="_Toc151136934"/>
      <w:bookmarkEnd w:id="2123"/>
      <w:bookmarkStart w:id="2124" w:name="_Toc151136935"/>
      <w:bookmarkEnd w:id="2124"/>
      <w:bookmarkStart w:id="2125" w:name="_Toc151136941"/>
      <w:bookmarkEnd w:id="2125"/>
      <w:bookmarkStart w:id="2126" w:name="_Toc151136933"/>
      <w:bookmarkEnd w:id="2126"/>
      <w:bookmarkStart w:id="2127" w:name="_Toc151137052"/>
      <w:bookmarkStart w:id="2128" w:name="_Toc56166103"/>
      <w:bookmarkStart w:id="2129" w:name="_Toc56166292"/>
      <w:bookmarkStart w:id="2130" w:name="_Toc41660684"/>
      <w:r>
        <w:rPr>
          <w:rFonts w:hint="eastAsia" w:ascii="仿宋_GB2312" w:eastAsia="仿宋_GB2312"/>
          <w:b/>
          <w:sz w:val="30"/>
          <w:szCs w:val="30"/>
        </w:rPr>
        <w:t>信用保护工具</w:t>
      </w:r>
      <w:bookmarkEnd w:id="2127"/>
      <w:bookmarkEnd w:id="2128"/>
      <w:bookmarkEnd w:id="2129"/>
      <w:bookmarkEnd w:id="2130"/>
    </w:p>
    <w:p w14:paraId="5132D949">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418133D8">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中国证券登记结算有限责任公司信用保护工具业务管理试点办法》（上证发〔2019〕7号）</w:t>
      </w:r>
    </w:p>
    <w:p w14:paraId="3DF10030">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上海证券交易所信用保护工具交易业务指引</w:t>
      </w:r>
      <w:r>
        <w:rPr>
          <w:rFonts w:hint="eastAsia" w:ascii="仿宋_GB2312" w:hAnsi="Calibri" w:eastAsia="仿宋_GB2312"/>
          <w:sz w:val="30"/>
          <w:szCs w:val="30"/>
        </w:rPr>
        <w:t>（2</w:t>
      </w:r>
      <w:r>
        <w:rPr>
          <w:rFonts w:ascii="仿宋_GB2312" w:hAnsi="Calibri" w:eastAsia="仿宋_GB2312"/>
          <w:sz w:val="30"/>
          <w:szCs w:val="30"/>
        </w:rPr>
        <w:t>022</w:t>
      </w:r>
      <w:r>
        <w:rPr>
          <w:rFonts w:hint="eastAsia" w:ascii="仿宋_GB2312" w:hAnsi="Calibri" w:eastAsia="仿宋_GB2312"/>
          <w:sz w:val="30"/>
          <w:szCs w:val="30"/>
        </w:rPr>
        <w:t>年修订）》</w:t>
      </w:r>
    </w:p>
    <w:p w14:paraId="1CF68F4A">
      <w:pPr>
        <w:widowControl/>
        <w:numPr>
          <w:ilvl w:val="0"/>
          <w:numId w:val="21"/>
        </w:num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上海证券交易所</w:t>
      </w:r>
      <w:r>
        <w:rPr>
          <w:rFonts w:hint="eastAsia" w:ascii="仿宋_GB2312" w:hAnsi="Calibri" w:eastAsia="仿宋_GB2312"/>
          <w:sz w:val="30"/>
          <w:szCs w:val="30"/>
        </w:rPr>
        <w:t>《</w:t>
      </w:r>
      <w:r>
        <w:rPr>
          <w:rFonts w:ascii="仿宋_GB2312" w:hAnsi="Calibri" w:eastAsia="仿宋_GB2312"/>
          <w:sz w:val="30"/>
          <w:szCs w:val="30"/>
        </w:rPr>
        <w:t>关于开展信用保护凭证业务试点的通知</w:t>
      </w:r>
      <w:r>
        <w:rPr>
          <w:rFonts w:hint="eastAsia" w:ascii="仿宋_GB2312" w:hAnsi="Calibri" w:eastAsia="仿宋_GB2312"/>
          <w:sz w:val="30"/>
          <w:szCs w:val="30"/>
        </w:rPr>
        <w:t>》（上证函〔2019〕2208号）</w:t>
      </w:r>
    </w:p>
    <w:p w14:paraId="4AC0D87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6D7B7A8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是指信用保护卖方和信用保护买方（以下合称交易双方）达成的，约定在未来一定期限内，信用保护买方（以下简称买方）按照约定的标准和方式向信用保护卖方（以下简称卖方）支付信用保护费用，由卖方就约定的一个或多个参考实体或其符合特定债务种类和债务特征的一个或多个、一类或多类债务（以下简称受保护债务）向买方提供信用风险保护的金融工具。</w:t>
      </w:r>
    </w:p>
    <w:p w14:paraId="3070B19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前文所述参考实体是指交易双方约定的，以其信用风险作为信用保护工具交易标的的单个或者多个实体。</w:t>
      </w:r>
    </w:p>
    <w:p w14:paraId="2016A13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（1）分类</w:t>
      </w:r>
    </w:p>
    <w:p w14:paraId="033A59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分为信用保护合约（以下简称合约）和信用保护凭证（以下简称凭证）两类产品。合约由交易双方签署，相关权利义务限于合约签署双方，不可转让。凭证由凭证创设机构（以下简称创设机构）创设，就一个或多个参考实体或其符合特定债务种类和债务特征的一个或多个、一类或多类债务向凭证持有人提供信用保护，并可以通过交易系统转让。</w:t>
      </w:r>
    </w:p>
    <w:p w14:paraId="62F1430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组合型信用保护合约（以下简称CDX合约）是指合约交易双方达成的，以特定CDX组合项下全部参考实体或其符合特定债务种类和债务特征的全部债务为保护对象的信用保护合约。CDX组合设置和编制的具体方案由CDX组合管理人另行规定。</w:t>
      </w:r>
    </w:p>
    <w:p w14:paraId="38ED877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（2）参与机构</w:t>
      </w:r>
    </w:p>
    <w:p w14:paraId="19CE750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的参与机构实行分层管理制度。合约的参与者分为合约核心交易商（以下简称核心交易商）和其他投资者，核心交易商需事先向本所备案。凭证的参与者包括创设机构和其他投资者。创设机构需事先向本所备案。</w:t>
      </w:r>
    </w:p>
    <w:p w14:paraId="067AD8E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（3）业务流程</w:t>
      </w:r>
    </w:p>
    <w:p w14:paraId="272FB6B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流程包括参与者备案、业务实施、信用事件后续结算安排等环节。其中，参与者备案指核心交易商、创设机构按业务需求进行备案；合约业务实施包括签署主协议、签署交易确认书、支付保护费等流程；凭证业务实施包括凭证创设、登记、挂牌、转让等；信用事件后续结算安排包括确定信用事件决定日及实物结算、现金结算等。相关登记结算具体流程按照</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相关规则办理。</w:t>
      </w:r>
    </w:p>
    <w:p w14:paraId="6EA3AF8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（4）受保护债务范围</w:t>
      </w:r>
    </w:p>
    <w:p w14:paraId="36FDB2D7">
      <w:pPr>
        <w:spacing w:line="600" w:lineRule="exact"/>
        <w:ind w:firstLine="600" w:firstLineChars="200"/>
        <w:rPr>
          <w:rFonts w:ascii="仿宋_GB2312" w:hAnsi="Calibri" w:eastAsia="仿宋_GB2312"/>
          <w:sz w:val="30"/>
          <w:szCs w:val="30"/>
        </w:rPr>
      </w:pPr>
      <w:r>
        <w:rPr>
          <w:rFonts w:hint="eastAsia" w:ascii="仿宋_GB2312" w:hAnsi="Calibri" w:eastAsia="仿宋_GB2312" w:cs="宋体"/>
          <w:sz w:val="30"/>
          <w:szCs w:val="30"/>
        </w:rPr>
        <w:t>试点初期，信用保护工具受保护债务范围主要包括在中国境内发行并在沪深证券交易所上市交易或者挂牌转让的以人民币计价的公司债券（含次级债券）、可转换公司债券及本所认可的其他债务。其中，CDX合约的受保护债务范围为CDX组合内参考实体在中国境内发行并在沪深交易所上市交易或者挂牌转让的以人民币计价的公司债券和可转换公司债券。</w:t>
      </w:r>
    </w:p>
    <w:p w14:paraId="2422BE5D">
      <w:pPr>
        <w:numPr>
          <w:ilvl w:val="2"/>
          <w:numId w:val="4"/>
        </w:numPr>
        <w:spacing w:line="600" w:lineRule="exact"/>
        <w:ind w:left="0" w:firstLine="0"/>
        <w:outlineLvl w:val="2"/>
        <w:rPr>
          <w:rFonts w:ascii="仿宋_GB2312" w:eastAsia="仿宋_GB2312"/>
          <w:b/>
          <w:sz w:val="30"/>
          <w:szCs w:val="30"/>
        </w:rPr>
      </w:pPr>
      <w:bookmarkStart w:id="2131" w:name="_Toc41660690"/>
      <w:r>
        <w:rPr>
          <w:rFonts w:hint="eastAsia" w:ascii="仿宋_GB2312" w:eastAsia="仿宋_GB2312"/>
          <w:b/>
          <w:sz w:val="30"/>
          <w:szCs w:val="30"/>
        </w:rPr>
        <w:t>参与者资质要求及备案</w:t>
      </w:r>
      <w:bookmarkEnd w:id="2131"/>
    </w:p>
    <w:p w14:paraId="651C61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实行参与者资质管理。参与者应当充分知悉信用保护工具相关规则，了解信用保护工具的相关风险，根据《试点办法》《业务指引》规定的条件及自身的风险承受能力评估是否适合参与信用保护工具业务，并自行承担风险。</w:t>
      </w:r>
    </w:p>
    <w:p w14:paraId="290AA1C3">
      <w:pPr>
        <w:spacing w:line="600" w:lineRule="exact"/>
        <w:ind w:firstLine="600" w:firstLineChars="200"/>
        <w:rPr>
          <w:rFonts w:ascii="仿宋_GB2312" w:eastAsia="仿宋_GB2312"/>
          <w:sz w:val="30"/>
          <w:szCs w:val="30"/>
        </w:rPr>
      </w:pPr>
      <w:r>
        <w:rPr>
          <w:rFonts w:hint="eastAsia" w:ascii="仿宋_GB2312" w:eastAsia="仿宋_GB2312"/>
          <w:sz w:val="30"/>
          <w:szCs w:val="30"/>
        </w:rPr>
        <w:t>信用保护工具参与者的投资者适当性应当与</w:t>
      </w:r>
      <w:r>
        <w:rPr>
          <w:rFonts w:hint="eastAsia" w:eastAsia="仿宋_GB2312"/>
          <w:sz w:val="30"/>
          <w:szCs w:val="28"/>
        </w:rPr>
        <w:t>本所债券市场投资者适当性管理相关规则</w:t>
      </w:r>
      <w:r>
        <w:rPr>
          <w:rFonts w:hint="eastAsia" w:ascii="仿宋_GB2312" w:eastAsia="仿宋_GB2312"/>
          <w:sz w:val="30"/>
          <w:szCs w:val="30"/>
        </w:rPr>
        <w:t>规定的参考实体受保护债务的投资者适当性标准保持一致。参考实体受保护的多个债务投资者适当性标准不一致的，以受保护债务中较高的投资者适当性标准为准；受保护债务投资者适当性标准不明确的，仅限于</w:t>
      </w:r>
      <w:r>
        <w:rPr>
          <w:rFonts w:hint="eastAsia" w:eastAsia="仿宋_GB2312"/>
          <w:sz w:val="30"/>
          <w:szCs w:val="28"/>
        </w:rPr>
        <w:t>专业投资者中的</w:t>
      </w:r>
      <w:r>
        <w:rPr>
          <w:rFonts w:hint="eastAsia" w:ascii="仿宋_GB2312" w:eastAsia="仿宋_GB2312"/>
          <w:sz w:val="30"/>
          <w:szCs w:val="30"/>
        </w:rPr>
        <w:t>机构投资者。本所可以根据市场发展情况，调整信用保护工具投资者适当性标准。</w:t>
      </w:r>
    </w:p>
    <w:p w14:paraId="28373294">
      <w:pPr>
        <w:spacing w:line="600" w:lineRule="exact"/>
        <w:ind w:firstLine="602" w:firstLineChars="200"/>
        <w:outlineLvl w:val="3"/>
        <w:rPr>
          <w:rFonts w:ascii="仿宋_GB2312" w:hAnsi="黑体" w:eastAsia="仿宋_GB2312"/>
          <w:b/>
          <w:sz w:val="30"/>
          <w:szCs w:val="30"/>
        </w:rPr>
      </w:pPr>
      <w:bookmarkStart w:id="2132" w:name="_Toc41660691"/>
      <w:r>
        <w:rPr>
          <w:rFonts w:hint="eastAsia" w:ascii="仿宋_GB2312" w:hAnsi="黑体" w:eastAsia="仿宋_GB2312"/>
          <w:b/>
          <w:sz w:val="30"/>
          <w:szCs w:val="30"/>
        </w:rPr>
        <w:t>（1）核心交易商和创设机构</w:t>
      </w:r>
    </w:p>
    <w:bookmarkEnd w:id="2132"/>
    <w:p w14:paraId="126C527D">
      <w:pPr>
        <w:spacing w:line="600" w:lineRule="exact"/>
        <w:ind w:firstLine="600" w:firstLineChars="200"/>
        <w:rPr>
          <w:rFonts w:ascii="仿宋_GB2312" w:eastAsia="仿宋_GB2312"/>
          <w:sz w:val="30"/>
          <w:szCs w:val="30"/>
        </w:rPr>
      </w:pPr>
      <w:r>
        <w:rPr>
          <w:rFonts w:hint="eastAsia" w:ascii="仿宋_GB2312" w:eastAsia="仿宋_GB2312"/>
          <w:sz w:val="30"/>
          <w:szCs w:val="30"/>
        </w:rPr>
        <w:t>符合下列条件的金融机构、信用增进机构等经本所备案可成为核心交易商：</w:t>
      </w:r>
    </w:p>
    <w:p w14:paraId="4E0000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1）具有较丰富的信用风险管理经验和较强的信用风险承担能力；</w:t>
      </w:r>
    </w:p>
    <w:p w14:paraId="2D13761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2）具有相对独立的信用保护工具交易团队，建立完备的信用风险管理工具内部操作规程和业务管理制度；</w:t>
      </w:r>
    </w:p>
    <w:p w14:paraId="4E9B972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3）近三年未因重大的证券期货违法行为被采取过重大行政监管措施或者受到行政、刑事处罚；</w:t>
      </w:r>
    </w:p>
    <w:p w14:paraId="40A2599E">
      <w:pPr>
        <w:adjustRightInd w:val="0"/>
        <w:snapToGrid w:val="0"/>
        <w:spacing w:line="600" w:lineRule="exact"/>
        <w:ind w:firstLine="600" w:firstLineChars="200"/>
        <w:rPr>
          <w:rFonts w:ascii="仿宋_GB2312" w:eastAsia="仿宋_GB2312"/>
          <w:sz w:val="30"/>
          <w:szCs w:val="30"/>
        </w:rPr>
      </w:pPr>
      <w:bookmarkStart w:id="2133" w:name="OLE_LINK10"/>
      <w:r>
        <w:rPr>
          <w:rFonts w:hint="eastAsia" w:ascii="仿宋_GB2312" w:eastAsia="仿宋_GB2312"/>
          <w:sz w:val="30"/>
          <w:szCs w:val="30"/>
        </w:rPr>
        <w:t>4）本所要求的其他条件。</w:t>
      </w:r>
    </w:p>
    <w:bookmarkEnd w:id="2133"/>
    <w:p w14:paraId="359E601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符合以下条件的核心交易商经本所备案可成为创设机构：</w:t>
      </w:r>
    </w:p>
    <w:p w14:paraId="0BC0C0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1）最近一年末净资产不少于40亿元；</w:t>
      </w:r>
    </w:p>
    <w:p w14:paraId="01BD766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2）具有较强的信用风险管理和评估能力，并配备5名以上（含5名）的风险管理人员；</w:t>
      </w:r>
    </w:p>
    <w:p w14:paraId="6B64925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3）本所要求的其他条件。</w:t>
      </w:r>
    </w:p>
    <w:p w14:paraId="4799CC7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期货经营机构备案成为核心交易商或者创设机构的，还须符合中国证监会的相关规定。CDX业务试点初期，具有场外期权一级交易商资质的证券期货经营机构经备案可作为核心交易商参与CDX业务，其他证券期货经营机构可作为投资者参与CDX业务。可作为核心交易商参与</w:t>
      </w:r>
      <w:r>
        <w:rPr>
          <w:rFonts w:ascii="仿宋_GB2312" w:hAnsi="Calibri" w:eastAsia="仿宋_GB2312"/>
          <w:sz w:val="30"/>
          <w:szCs w:val="30"/>
        </w:rPr>
        <w:t>CDX</w:t>
      </w:r>
      <w:r>
        <w:rPr>
          <w:rFonts w:hint="eastAsia" w:ascii="仿宋_GB2312" w:hAnsi="Calibri" w:eastAsia="仿宋_GB2312"/>
          <w:sz w:val="30"/>
          <w:szCs w:val="30"/>
        </w:rPr>
        <w:t>业务的机构名单，将在本所网站公布。</w:t>
      </w:r>
    </w:p>
    <w:p w14:paraId="5D106E06">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（2）备案要求</w:t>
      </w:r>
    </w:p>
    <w:p w14:paraId="06AC15C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债券投资者拟成为核心交易商或者创设机构的，应当向本所提交以下参与者资质备案文件：</w:t>
      </w:r>
    </w:p>
    <w:p w14:paraId="4B2985E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1）信用保护合约核心交易商/凭证创设机构资质申请信息表（附件</w:t>
      </w:r>
      <w:r>
        <w:rPr>
          <w:rFonts w:ascii="仿宋_GB2312" w:hAnsi="Calibri" w:eastAsia="仿宋_GB2312"/>
          <w:sz w:val="30"/>
          <w:szCs w:val="30"/>
        </w:rPr>
        <w:t>2</w:t>
      </w:r>
      <w:r>
        <w:rPr>
          <w:rFonts w:hint="eastAsia" w:ascii="仿宋_GB2312" w:hAnsi="Calibri" w:eastAsia="仿宋_GB2312"/>
          <w:sz w:val="30"/>
          <w:szCs w:val="30"/>
        </w:rPr>
        <w:t>5）；</w:t>
      </w:r>
    </w:p>
    <w:p w14:paraId="59FC8E0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2）最近一个会计年度经审计的总资产、净资产的说明及相关证明文件；</w:t>
      </w:r>
    </w:p>
    <w:p w14:paraId="060CAC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3）公司信用保护工具交易团队、信用保护工具业务内部操作规程和业务管理制度或者业务系统说明；</w:t>
      </w:r>
    </w:p>
    <w:p w14:paraId="18C886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4）近三年未因重大的证券期货违法行为被采取过重大行政监管措施或受到行政或者刑事处罚的承诺函；</w:t>
      </w:r>
    </w:p>
    <w:p w14:paraId="1AB770E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5）本所要求的其他文件。</w:t>
      </w:r>
    </w:p>
    <w:p w14:paraId="1A558A6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上述第（二）至（四）项文件，对于合约核心交易商补充备案CDX业务和备案申请信息表内容变更的，如所涉及内容较此前提交材料无重大变化的，可免于重复提交。</w:t>
      </w:r>
    </w:p>
    <w:p w14:paraId="610A523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参与者备案成为核心交易商或创设机构</w:t>
      </w:r>
      <w:r>
        <w:rPr>
          <w:rFonts w:hint="eastAsia" w:eastAsia="仿宋_GB2312"/>
          <w:sz w:val="30"/>
          <w:szCs w:val="28"/>
        </w:rPr>
        <w:t>，以及变更相关备案信息</w:t>
      </w:r>
      <w:r>
        <w:rPr>
          <w:rFonts w:hint="eastAsia" w:ascii="仿宋_GB2312" w:hAnsi="Calibri" w:eastAsia="仿宋_GB2312"/>
          <w:sz w:val="30"/>
          <w:szCs w:val="30"/>
        </w:rPr>
        <w:t xml:space="preserve">的文件可通过以下两种方式提交本所： </w:t>
      </w:r>
    </w:p>
    <w:p w14:paraId="0ECFDF5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2FC61F7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679410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业务初期主要采用电子邮件方式，邮件标题格式为“【参与者备案】XXX公司-信用保护合约核心交易商/凭证创设机构备案材料”，附件超过20M的请以超大附件或网盘链接通过普通附件发送。</w:t>
      </w:r>
    </w:p>
    <w:p w14:paraId="2B3546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（3）经纪客户管理</w:t>
      </w:r>
    </w:p>
    <w:p w14:paraId="74E22A2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证券公司应当按照相关规定对经纪客户进行管理，建立健全经纪客户参与信用保护工具业务相关的风险控制制度和业务流程，并建立经纪客户参与信用保护工具业务的诚信档案。</w:t>
      </w:r>
    </w:p>
    <w:p w14:paraId="6F5D6F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证券公司应当在经纪客户参与信用保护工具业务前，向其全面介绍信用保护工具的相关业务规则及协议，充分揭示可能产生的风险，并要求其签署风险揭示书。风险揭示书应当包含本所确定的信用保护工具</w:t>
      </w:r>
      <w:r>
        <w:rPr>
          <w:rFonts w:hint="eastAsia" w:eastAsia="仿宋_GB2312"/>
          <w:sz w:val="30"/>
          <w:szCs w:val="28"/>
        </w:rPr>
        <w:t>债券投资者</w:t>
      </w:r>
      <w:r>
        <w:rPr>
          <w:rFonts w:hint="eastAsia" w:ascii="仿宋_GB2312" w:hAnsi="Calibri" w:eastAsia="仿宋_GB2312"/>
          <w:sz w:val="30"/>
          <w:szCs w:val="30"/>
        </w:rPr>
        <w:t>风险揭示书必备条款</w:t>
      </w:r>
      <w:r>
        <w:rPr>
          <w:rStyle w:val="53"/>
          <w:rFonts w:ascii="仿宋_GB2312" w:hAnsi="Calibri" w:eastAsia="仿宋_GB2312"/>
          <w:sz w:val="30"/>
          <w:szCs w:val="30"/>
        </w:rPr>
        <w:footnoteReference w:id="1"/>
      </w:r>
      <w:r>
        <w:rPr>
          <w:rFonts w:hint="eastAsia" w:ascii="仿宋_GB2312" w:hAnsi="Calibri" w:eastAsia="仿宋_GB2312"/>
          <w:sz w:val="30"/>
          <w:szCs w:val="30"/>
        </w:rPr>
        <w:t>。</w:t>
      </w:r>
    </w:p>
    <w:p w14:paraId="1FEF2DB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签署主协议和补充协议</w:t>
      </w:r>
    </w:p>
    <w:p w14:paraId="74F03E68">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交易双方参与合约业务前应当签署《中国证券期货市场衍生品交易主协议（信用保护合约专用版）》，主协议模板下载网址为：</w:t>
      </w:r>
    </w:p>
    <w:p w14:paraId="50E578A6">
      <w:pPr>
        <w:widowControl/>
        <w:spacing w:line="600" w:lineRule="exact"/>
        <w:ind w:firstLine="420" w:firstLineChars="200"/>
        <w:jc w:val="left"/>
        <w:rPr>
          <w:rFonts w:ascii="仿宋_GB2312" w:hAnsi="Calibri" w:eastAsia="仿宋_GB2312"/>
          <w:sz w:val="30"/>
          <w:szCs w:val="30"/>
        </w:rPr>
      </w:pPr>
      <w:r>
        <w:fldChar w:fldCharType="begin"/>
      </w:r>
      <w:r>
        <w:instrText xml:space="preserve"> HYPERLINK "https://www.sac.net.cn/tzgg/201812/t20181227_137452.html" </w:instrText>
      </w:r>
      <w:r>
        <w:fldChar w:fldCharType="separate"/>
      </w:r>
      <w:r>
        <w:rPr>
          <w:rStyle w:val="51"/>
          <w:rFonts w:ascii="仿宋_GB2312" w:hAnsi="Calibri" w:eastAsia="仿宋_GB2312"/>
          <w:sz w:val="30"/>
          <w:szCs w:val="30"/>
        </w:rPr>
        <w:t>https://www.sac.net.cn/tzgg/201812/t20181227_137452.html</w:t>
      </w:r>
      <w:r>
        <w:rPr>
          <w:rStyle w:val="51"/>
          <w:rFonts w:ascii="仿宋_GB2312" w:hAnsi="Calibri" w:eastAsia="仿宋_GB2312"/>
          <w:sz w:val="30"/>
          <w:szCs w:val="30"/>
        </w:rPr>
        <w:fldChar w:fldCharType="end"/>
      </w:r>
    </w:p>
    <w:p w14:paraId="1BDFAED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主协议为一对一签署，签署后在相关签署人之间生效。</w:t>
      </w:r>
    </w:p>
    <w:p w14:paraId="7C4D157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合约参与者为法人机构的，主协议由其法定代表人或授权代理人进行签署；参与者为证券投资基金、银行理财、资产管理计划等资管产品的，由管理人的法定代表人或授权代理人代为签署。</w:t>
      </w:r>
      <w:r>
        <w:rPr>
          <w:rFonts w:hint="eastAsia" w:eastAsia="仿宋_GB2312"/>
          <w:sz w:val="30"/>
          <w:szCs w:val="28"/>
        </w:rPr>
        <w:t>核心交易商与</w:t>
      </w:r>
      <w:r>
        <w:rPr>
          <w:rFonts w:hint="eastAsia" w:ascii="仿宋_GB2312" w:hAnsi="Calibri" w:eastAsia="仿宋_GB2312"/>
          <w:sz w:val="30"/>
          <w:szCs w:val="30"/>
        </w:rPr>
        <w:t>同一管理人管理的多只资管产品</w:t>
      </w:r>
      <w:r>
        <w:rPr>
          <w:rFonts w:hint="eastAsia" w:eastAsia="仿宋_GB2312"/>
          <w:sz w:val="30"/>
          <w:szCs w:val="28"/>
        </w:rPr>
        <w:t>开展合约交易的，可以与该资管产品管理人就多只资管产品合并签订一份</w:t>
      </w:r>
      <w:r>
        <w:rPr>
          <w:rFonts w:hint="eastAsia" w:ascii="仿宋_GB2312" w:hAnsi="Calibri" w:eastAsia="仿宋_GB2312"/>
          <w:sz w:val="30"/>
          <w:szCs w:val="30"/>
        </w:rPr>
        <w:t>主协议</w:t>
      </w:r>
      <w:r>
        <w:rPr>
          <w:rFonts w:hint="eastAsia" w:eastAsia="仿宋_GB2312"/>
          <w:sz w:val="30"/>
          <w:szCs w:val="28"/>
        </w:rPr>
        <w:t>，并附加盖交易双方公章的代签产品列表</w:t>
      </w:r>
      <w:r>
        <w:rPr>
          <w:rFonts w:hint="eastAsia" w:ascii="仿宋_GB2312" w:hAnsi="Calibri" w:eastAsia="仿宋_GB2312"/>
          <w:sz w:val="30"/>
          <w:szCs w:val="30"/>
        </w:rPr>
        <w:t>。</w:t>
      </w:r>
    </w:p>
    <w:p w14:paraId="773AF883">
      <w:pPr>
        <w:spacing w:line="600" w:lineRule="exact"/>
        <w:ind w:firstLine="600" w:firstLineChars="200"/>
        <w:rPr>
          <w:rFonts w:ascii="仿宋_GB2312" w:eastAsia="仿宋_GB2312"/>
          <w:kern w:val="0"/>
          <w:sz w:val="30"/>
          <w:szCs w:val="30"/>
        </w:rPr>
      </w:pPr>
      <w:r>
        <w:rPr>
          <w:rFonts w:hint="eastAsia" w:ascii="仿宋_GB2312" w:eastAsia="仿宋_GB2312"/>
          <w:kern w:val="0"/>
          <w:sz w:val="30"/>
          <w:szCs w:val="30"/>
        </w:rPr>
        <w:t>交易双方可以就合约相关事宜签订补充协议，但不得违反法律法规、部门规章、《</w:t>
      </w:r>
      <w:r>
        <w:rPr>
          <w:rFonts w:hint="eastAsia" w:ascii="仿宋_GB2312" w:hAnsi="Calibri" w:eastAsia="仿宋_GB2312"/>
          <w:sz w:val="30"/>
          <w:szCs w:val="30"/>
        </w:rPr>
        <w:t>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中国证券登记结算有限责任公司信用保护工具业务管理试点办法</w:t>
      </w:r>
      <w:r>
        <w:rPr>
          <w:rFonts w:hint="eastAsia" w:ascii="仿宋_GB2312" w:eastAsia="仿宋_GB2312"/>
          <w:kern w:val="0"/>
          <w:sz w:val="30"/>
          <w:szCs w:val="30"/>
        </w:rPr>
        <w:t>》（以下简称《试点办法》）《</w:t>
      </w:r>
      <w:r>
        <w:rPr>
          <w:rFonts w:hint="eastAsia" w:ascii="仿宋_GB2312" w:hAnsi="Calibri" w:eastAsia="仿宋_GB2312"/>
          <w:sz w:val="30"/>
          <w:szCs w:val="30"/>
        </w:rPr>
        <w:t>上海证券交易所信用保护工具交易业务指引</w:t>
      </w:r>
      <w:r>
        <w:rPr>
          <w:rFonts w:hint="eastAsia" w:ascii="仿宋_GB2312" w:eastAsia="仿宋_GB2312"/>
          <w:kern w:val="0"/>
          <w:sz w:val="30"/>
          <w:szCs w:val="30"/>
        </w:rPr>
        <w:t>》（以下简称《业务指引》）及本所、</w:t>
      </w:r>
      <w:r>
        <w:rPr>
          <w:rFonts w:hint="eastAsia" w:ascii="仿宋_GB2312" w:hAnsi="宋体" w:eastAsia="仿宋_GB2312" w:cs="宋体"/>
          <w:color w:val="000000"/>
          <w:kern w:val="0"/>
          <w:sz w:val="30"/>
          <w:szCs w:val="30"/>
        </w:rPr>
        <w:t>登记结算机构</w:t>
      </w:r>
      <w:r>
        <w:rPr>
          <w:rFonts w:hint="eastAsia" w:ascii="仿宋_GB2312" w:eastAsia="仿宋_GB2312"/>
          <w:kern w:val="0"/>
          <w:sz w:val="30"/>
          <w:szCs w:val="30"/>
        </w:rPr>
        <w:t>的其他相关规定。</w:t>
      </w:r>
    </w:p>
    <w:p w14:paraId="5BC9A3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交易双方签署主协议后，应当在5个交易日内向本所和中国证券业协会备案。中国证券业协会与本所进行主协议备案数据共享。</w:t>
      </w:r>
      <w:r>
        <w:rPr>
          <w:rFonts w:hint="eastAsia" w:eastAsia="仿宋_GB2312"/>
          <w:sz w:val="30"/>
          <w:szCs w:val="28"/>
        </w:rPr>
        <w:t>核心交易商应当按照中国证券业协会的要求填写代签产品明细表，并将代签产品列表与代签产品明细表随主协议一并在中国证券业协会相关报送系统中报送。代签产品列表如有变更，核心交易商应当在变更之日</w:t>
      </w:r>
      <w:r>
        <w:rPr>
          <w:rFonts w:ascii="仿宋_GB2312" w:hAnsi="Calibri" w:eastAsia="仿宋_GB2312"/>
          <w:sz w:val="30"/>
          <w:szCs w:val="30"/>
        </w:rPr>
        <w:t>5</w:t>
      </w:r>
      <w:r>
        <w:rPr>
          <w:rFonts w:hint="eastAsia" w:eastAsia="仿宋_GB2312"/>
          <w:sz w:val="30"/>
          <w:szCs w:val="28"/>
        </w:rPr>
        <w:t>个工作日内向中国证券业协会更新相关信息。</w:t>
      </w:r>
    </w:p>
    <w:p w14:paraId="509DCC3E">
      <w:pPr>
        <w:numPr>
          <w:ilvl w:val="2"/>
          <w:numId w:val="4"/>
        </w:numPr>
        <w:spacing w:line="600" w:lineRule="exact"/>
        <w:ind w:left="0" w:firstLine="0"/>
        <w:outlineLvl w:val="2"/>
        <w:rPr>
          <w:rFonts w:ascii="仿宋_GB2312" w:eastAsia="仿宋_GB2312"/>
          <w:b/>
          <w:sz w:val="30"/>
          <w:szCs w:val="30"/>
        </w:rPr>
      </w:pPr>
      <w:bookmarkStart w:id="2134" w:name="_Toc522561443"/>
      <w:bookmarkStart w:id="2135" w:name="_Toc534569692"/>
      <w:bookmarkStart w:id="2136" w:name="_Toc41660695"/>
      <w:r>
        <w:rPr>
          <w:rFonts w:hint="eastAsia" w:ascii="仿宋_GB2312" w:eastAsia="仿宋_GB2312"/>
          <w:b/>
          <w:sz w:val="30"/>
          <w:szCs w:val="30"/>
        </w:rPr>
        <w:t>合约</w:t>
      </w:r>
      <w:bookmarkEnd w:id="2134"/>
      <w:bookmarkStart w:id="2137" w:name="_Toc520192281"/>
      <w:bookmarkEnd w:id="2137"/>
      <w:bookmarkStart w:id="2138" w:name="_Toc522561461"/>
      <w:bookmarkEnd w:id="2138"/>
      <w:bookmarkStart w:id="2139" w:name="_Toc520192272"/>
      <w:bookmarkEnd w:id="2139"/>
      <w:bookmarkStart w:id="2140" w:name="_Toc520192278"/>
      <w:bookmarkEnd w:id="2140"/>
      <w:bookmarkStart w:id="2141" w:name="_Toc520192257"/>
      <w:bookmarkEnd w:id="2141"/>
      <w:bookmarkStart w:id="2142" w:name="_Toc520192280"/>
      <w:bookmarkEnd w:id="2142"/>
      <w:bookmarkStart w:id="2143" w:name="_Toc522561466"/>
      <w:bookmarkEnd w:id="2143"/>
      <w:bookmarkStart w:id="2144" w:name="_Toc520192270"/>
      <w:bookmarkEnd w:id="2144"/>
      <w:bookmarkStart w:id="2145" w:name="_Toc520192258"/>
      <w:bookmarkEnd w:id="2145"/>
      <w:bookmarkStart w:id="2146" w:name="_Toc522561450"/>
      <w:bookmarkEnd w:id="2146"/>
      <w:bookmarkStart w:id="2147" w:name="_Toc522561468"/>
      <w:bookmarkEnd w:id="2147"/>
      <w:bookmarkStart w:id="2148" w:name="_Toc520192256"/>
      <w:bookmarkEnd w:id="2148"/>
      <w:bookmarkStart w:id="2149" w:name="_Toc520192262"/>
      <w:bookmarkEnd w:id="2149"/>
      <w:bookmarkStart w:id="2150" w:name="_Toc520192266"/>
      <w:bookmarkEnd w:id="2150"/>
      <w:bookmarkStart w:id="2151" w:name="_Toc522561471"/>
      <w:bookmarkEnd w:id="2151"/>
      <w:bookmarkStart w:id="2152" w:name="_Toc520192283"/>
      <w:bookmarkEnd w:id="2152"/>
      <w:bookmarkStart w:id="2153" w:name="_Toc522561467"/>
      <w:bookmarkEnd w:id="2153"/>
      <w:bookmarkStart w:id="2154" w:name="_Toc520192267"/>
      <w:bookmarkEnd w:id="2154"/>
      <w:bookmarkStart w:id="2155" w:name="_Toc522561449"/>
      <w:bookmarkEnd w:id="2155"/>
      <w:bookmarkStart w:id="2156" w:name="_Toc522561459"/>
      <w:bookmarkEnd w:id="2156"/>
      <w:bookmarkStart w:id="2157" w:name="_Toc520192275"/>
      <w:bookmarkEnd w:id="2157"/>
      <w:bookmarkStart w:id="2158" w:name="_Toc520192261"/>
      <w:bookmarkEnd w:id="2158"/>
      <w:bookmarkStart w:id="2159" w:name="_Toc522561453"/>
      <w:bookmarkEnd w:id="2159"/>
      <w:bookmarkStart w:id="2160" w:name="_Toc520192263"/>
      <w:bookmarkEnd w:id="2160"/>
      <w:bookmarkStart w:id="2161" w:name="_Toc520192274"/>
      <w:bookmarkEnd w:id="2161"/>
      <w:bookmarkStart w:id="2162" w:name="_Toc522561456"/>
      <w:bookmarkEnd w:id="2162"/>
      <w:bookmarkStart w:id="2163" w:name="_Toc522561464"/>
      <w:bookmarkEnd w:id="2163"/>
      <w:bookmarkStart w:id="2164" w:name="_Toc522561447"/>
      <w:bookmarkEnd w:id="2164"/>
      <w:bookmarkStart w:id="2165" w:name="_Toc522561457"/>
      <w:bookmarkEnd w:id="2165"/>
      <w:bookmarkStart w:id="2166" w:name="_Toc522561444"/>
      <w:bookmarkEnd w:id="2166"/>
      <w:bookmarkStart w:id="2167" w:name="_Toc520192271"/>
      <w:bookmarkEnd w:id="2167"/>
      <w:bookmarkStart w:id="2168" w:name="_Toc522561460"/>
      <w:bookmarkEnd w:id="2168"/>
      <w:bookmarkStart w:id="2169" w:name="_Toc520192265"/>
      <w:bookmarkEnd w:id="2169"/>
      <w:bookmarkStart w:id="2170" w:name="_Toc520192276"/>
      <w:bookmarkEnd w:id="2170"/>
      <w:bookmarkStart w:id="2171" w:name="_Toc522561463"/>
      <w:bookmarkEnd w:id="2171"/>
      <w:bookmarkStart w:id="2172" w:name="_Toc520192259"/>
      <w:bookmarkEnd w:id="2172"/>
      <w:bookmarkStart w:id="2173" w:name="_Toc522561448"/>
      <w:bookmarkEnd w:id="2173"/>
      <w:bookmarkStart w:id="2174" w:name="_Toc522561445"/>
      <w:bookmarkEnd w:id="2174"/>
      <w:bookmarkStart w:id="2175" w:name="_Toc520192255"/>
      <w:bookmarkEnd w:id="2175"/>
      <w:bookmarkStart w:id="2176" w:name="_Toc520192264"/>
      <w:bookmarkEnd w:id="2176"/>
      <w:bookmarkStart w:id="2177" w:name="_Toc520192268"/>
      <w:bookmarkEnd w:id="2177"/>
      <w:bookmarkStart w:id="2178" w:name="_Toc520192277"/>
      <w:bookmarkEnd w:id="2178"/>
      <w:bookmarkStart w:id="2179" w:name="_Toc520192260"/>
      <w:bookmarkEnd w:id="2179"/>
      <w:bookmarkStart w:id="2180" w:name="_Toc520192279"/>
      <w:bookmarkEnd w:id="2180"/>
      <w:bookmarkStart w:id="2181" w:name="_Toc522561470"/>
      <w:bookmarkEnd w:id="2181"/>
      <w:bookmarkStart w:id="2182" w:name="_Toc522561469"/>
      <w:bookmarkEnd w:id="2182"/>
      <w:bookmarkStart w:id="2183" w:name="_Toc522561455"/>
      <w:bookmarkEnd w:id="2183"/>
      <w:bookmarkStart w:id="2184" w:name="_Toc522561451"/>
      <w:bookmarkEnd w:id="2184"/>
      <w:bookmarkStart w:id="2185" w:name="_Toc522561452"/>
      <w:bookmarkEnd w:id="2185"/>
      <w:bookmarkStart w:id="2186" w:name="_Toc520192282"/>
      <w:bookmarkEnd w:id="2186"/>
      <w:bookmarkStart w:id="2187" w:name="_Toc520192273"/>
      <w:bookmarkEnd w:id="2187"/>
      <w:bookmarkStart w:id="2188" w:name="_Toc522561462"/>
      <w:bookmarkEnd w:id="2188"/>
      <w:bookmarkStart w:id="2189" w:name="_Toc522561454"/>
      <w:bookmarkEnd w:id="2189"/>
      <w:bookmarkStart w:id="2190" w:name="_Toc520192269"/>
      <w:bookmarkEnd w:id="2190"/>
      <w:bookmarkStart w:id="2191" w:name="_Toc522561458"/>
      <w:bookmarkEnd w:id="2191"/>
      <w:bookmarkStart w:id="2192" w:name="_Toc522561465"/>
      <w:bookmarkEnd w:id="2192"/>
      <w:bookmarkStart w:id="2193" w:name="_Toc522561446"/>
      <w:bookmarkEnd w:id="2193"/>
      <w:r>
        <w:rPr>
          <w:rFonts w:hint="eastAsia" w:ascii="仿宋_GB2312" w:eastAsia="仿宋_GB2312"/>
          <w:b/>
          <w:sz w:val="30"/>
          <w:szCs w:val="30"/>
        </w:rPr>
        <w:t>业务流程</w:t>
      </w:r>
      <w:bookmarkEnd w:id="2135"/>
      <w:bookmarkEnd w:id="2136"/>
    </w:p>
    <w:p w14:paraId="4FF4D343">
      <w:pPr>
        <w:spacing w:line="600" w:lineRule="exact"/>
        <w:ind w:firstLine="602" w:firstLineChars="200"/>
        <w:outlineLvl w:val="3"/>
        <w:rPr>
          <w:rFonts w:ascii="仿宋_GB2312" w:eastAsia="仿宋_GB2312"/>
          <w:b/>
          <w:sz w:val="30"/>
          <w:szCs w:val="30"/>
        </w:rPr>
      </w:pPr>
      <w:bookmarkStart w:id="2194" w:name="_Toc41660696"/>
      <w:r>
        <w:rPr>
          <w:rFonts w:hint="eastAsia" w:ascii="仿宋_GB2312" w:eastAsia="仿宋_GB2312"/>
          <w:b/>
          <w:sz w:val="30"/>
          <w:szCs w:val="30"/>
        </w:rPr>
        <w:t>（1）合约申报及生成交易确认书</w:t>
      </w:r>
      <w:bookmarkEnd w:id="2194"/>
    </w:p>
    <w:p w14:paraId="4C127D83">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1）合约申报</w:t>
      </w:r>
    </w:p>
    <w:p w14:paraId="7CF2D51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交易双方协商一致后，一方通过交易系统进行合约申报，另一方进行确认。</w:t>
      </w:r>
    </w:p>
    <w:p w14:paraId="7D52F27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指定对手方协商成交方式达成交易。交易一方将协商一致的交易要素通过交易系统发送给交易对手方，经交易对手方确认后，由交易系统确认成交。发送协商成交指定对手方申报时，对手方必须符合相关参与者资质要求并签署了主协议。</w:t>
      </w:r>
    </w:p>
    <w:p w14:paraId="08979B5F">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2）生成交易确认书</w:t>
      </w:r>
    </w:p>
    <w:p w14:paraId="4F2874F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交易系统根据交易双方的确认，对符合形式要求的合约生成《XXXX信用保护合约交易确认书》（以下简称交易确认书，详见附件</w:t>
      </w:r>
      <w:r>
        <w:rPr>
          <w:rFonts w:ascii="仿宋_GB2312" w:hAnsi="Calibri" w:eastAsia="仿宋_GB2312"/>
          <w:sz w:val="30"/>
          <w:szCs w:val="30"/>
        </w:rPr>
        <w:t>2</w:t>
      </w:r>
      <w:r>
        <w:rPr>
          <w:rFonts w:hint="eastAsia" w:ascii="仿宋_GB2312" w:hAnsi="Calibri" w:eastAsia="仿宋_GB2312"/>
          <w:sz w:val="30"/>
          <w:szCs w:val="30"/>
        </w:rPr>
        <w:t>6）。</w:t>
      </w:r>
    </w:p>
    <w:p w14:paraId="3A75781D">
      <w:pPr>
        <w:widowControl/>
        <w:spacing w:line="600" w:lineRule="exact"/>
        <w:ind w:firstLine="600" w:firstLineChars="200"/>
        <w:rPr>
          <w:rFonts w:ascii="仿宋_GB2312" w:hAnsi="黑体" w:eastAsia="仿宋_GB2312"/>
          <w:sz w:val="30"/>
          <w:szCs w:val="30"/>
        </w:rPr>
      </w:pPr>
      <w:bookmarkStart w:id="2195" w:name="_Toc41660697"/>
      <w:r>
        <w:rPr>
          <w:rFonts w:hint="eastAsia" w:ascii="仿宋_GB2312" w:hAnsi="黑体" w:eastAsia="仿宋_GB2312"/>
          <w:sz w:val="30"/>
          <w:szCs w:val="30"/>
        </w:rPr>
        <w:t>3）合约申报要素</w:t>
      </w:r>
    </w:p>
    <w:bookmarkEnd w:id="2195"/>
    <w:p w14:paraId="2B8149B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要素包括：买方名称、买方证券账户、卖方名称、卖方证券账户、名义本金、参考实体、债务种类、债务特征、可交付债务（如有）、信用事件类型、合约起始日、合约到期日、保护费率、保护费支付方式（含保护费支付频率和支付日期、保护费支付路径）、信用事件后的结算方式等。</w:t>
      </w:r>
    </w:p>
    <w:p w14:paraId="08452A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合约申报名义本金应当不低于50万元；保护费率计价单位为bp；保护费率变动单位为1bp。</w:t>
      </w:r>
    </w:p>
    <w:p w14:paraId="1AD0B6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此外，针对CDX合约，合约特别要素参见《组合型信用保护合约要素表》（附件</w:t>
      </w:r>
      <w:r>
        <w:rPr>
          <w:rFonts w:ascii="仿宋_GB2312" w:hAnsi="Calibri" w:eastAsia="仿宋_GB2312"/>
          <w:sz w:val="30"/>
          <w:szCs w:val="30"/>
        </w:rPr>
        <w:t>2</w:t>
      </w:r>
      <w:r>
        <w:rPr>
          <w:rFonts w:hint="eastAsia" w:ascii="仿宋_GB2312" w:hAnsi="Calibri" w:eastAsia="仿宋_GB2312"/>
          <w:sz w:val="30"/>
          <w:szCs w:val="30"/>
        </w:rPr>
        <w:t>7）。</w:t>
      </w:r>
    </w:p>
    <w:p w14:paraId="0E9DDE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0。本所可以根据市场需要调整合约的申报时间。</w:t>
      </w:r>
    </w:p>
    <w:p w14:paraId="5C67916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债券投资者为本所债券交易参与人的，可直接通过交易系统进行申报；债券投资者为经纪客户的，由证券公司根据客户的委托和真实意思表示代为申报。本所可以根据市场需要调整合约的申报平台。</w:t>
      </w:r>
    </w:p>
    <w:p w14:paraId="0250F3B1">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4）合约头寸要求</w:t>
      </w:r>
    </w:p>
    <w:p w14:paraId="16B25BB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试点初期，任何一家债券投资者对特定受保护债务的信用保护合约净买入余额或净卖出余额均不得超过该受保护债务总余额的100%。</w:t>
      </w:r>
    </w:p>
    <w:p w14:paraId="44B704A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信用保护合约买入余额、卖出余额按照各期限未到期余额加总计算。</w:t>
      </w:r>
    </w:p>
    <w:p w14:paraId="1B726B20">
      <w:pPr>
        <w:spacing w:line="600" w:lineRule="exact"/>
        <w:ind w:firstLine="602" w:firstLineChars="200"/>
        <w:outlineLvl w:val="3"/>
        <w:rPr>
          <w:rFonts w:ascii="仿宋_GB2312" w:eastAsia="仿宋_GB2312"/>
          <w:b/>
          <w:sz w:val="30"/>
          <w:szCs w:val="30"/>
        </w:rPr>
      </w:pPr>
      <w:bookmarkStart w:id="2196" w:name="_Toc41660700"/>
      <w:r>
        <w:rPr>
          <w:rFonts w:hint="eastAsia" w:ascii="仿宋_GB2312" w:eastAsia="仿宋_GB2312"/>
          <w:b/>
          <w:sz w:val="30"/>
          <w:szCs w:val="30"/>
        </w:rPr>
        <w:t>（2）合约提前终止</w:t>
      </w:r>
    </w:p>
    <w:p w14:paraId="558CFA8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交易双方可在交易系统上提前终止合约。合约交易双方协商一致提前终止合约的，可以由一方通过交易系统申报，另一方进行确认。</w:t>
      </w:r>
    </w:p>
    <w:p w14:paraId="4DA19F7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交易双方自行计算相关结算金额并通过登记结算机构或者自行协商的其他方式支付结算金额。通过登记结算机构办理结算金额支付的，交易双方在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PROP综合业务终端办理资金代收代付，具体流程参见登记结算机构相关规定。通过自行协商支付结算金额的，交易双方需自行完成支付。</w:t>
      </w:r>
    </w:p>
    <w:bookmarkEnd w:id="2196"/>
    <w:p w14:paraId="734A9F08">
      <w:pPr>
        <w:spacing w:line="600" w:lineRule="exact"/>
        <w:ind w:firstLine="602" w:firstLineChars="200"/>
        <w:outlineLvl w:val="3"/>
        <w:rPr>
          <w:rFonts w:ascii="仿宋_GB2312" w:eastAsia="仿宋_GB2312"/>
          <w:b/>
          <w:sz w:val="30"/>
          <w:szCs w:val="30"/>
        </w:rPr>
      </w:pPr>
      <w:bookmarkStart w:id="2197" w:name="_Toc41660701"/>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）合约保护费支付</w:t>
      </w:r>
      <w:bookmarkEnd w:id="2197"/>
    </w:p>
    <w:p w14:paraId="2C3A359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合约的保护费支付方式可选择按季支付约定保护费、季度标准保护费和部分前端费用相结合、或者前端一次性支付。</w:t>
      </w:r>
    </w:p>
    <w:p w14:paraId="6A5251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合约保护费可以通过登记结算机构或者自行协商的其他方式支付。通过登记结算机构办理保护费支付的，交易双方在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PROP综合业务终端办理资金代收代付，具体流程参见登记结算机构相关规定。通过自行协商支付保护费的，在每个保护费支付日，合约买方需自行向卖方支付保护费。</w:t>
      </w:r>
    </w:p>
    <w:p w14:paraId="4EC3BA4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）合约保护费停止积累情形</w:t>
      </w:r>
    </w:p>
    <w:p w14:paraId="2FDE388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1）对于按季支付约定保护费、季度标准保护费率和部分前端费用相结合的，若合约存续期未发生信用事件，合约到期后停止保护费积累；</w:t>
      </w:r>
    </w:p>
    <w:p w14:paraId="3CC6ECDA">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对于按季支付约定保护费、季度标准保护费率和部分前端费用相结合的，若合约存续期发生信用事件，信用事件决定日后停止保护费积累。其中，对于CDX合约，在信用事件决定日后，发生信用事件的参考实体所代表的名义本金停止保护费积累，其余部分名义本金的保护费不受影响，继续积累；</w:t>
      </w:r>
    </w:p>
    <w:p w14:paraId="345D382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3）合约提前终止的，合约终止日后停止保护费积累，交易双方在合约终止日通过约定方式支付结算金额。</w:t>
      </w:r>
    </w:p>
    <w:p w14:paraId="7452311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（5）CDX合约意向申报</w:t>
      </w:r>
    </w:p>
    <w:p w14:paraId="0958EF6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每个交易日15:30前，可以作为核心交易商开展CDX合约业务的市场参与者证券期货经营机构须在交易系统就当日每个最新版本CDX组合的关键期限合约向全市场提供双边意向申报，意向申报不可直接确认成交。</w:t>
      </w:r>
    </w:p>
    <w:p w14:paraId="60C4E513">
      <w:pPr>
        <w:spacing w:line="560" w:lineRule="exact"/>
        <w:jc w:val="center"/>
        <w:rPr>
          <w:rFonts w:ascii="仿宋_GB2312" w:eastAsia="仿宋_GB2312"/>
          <w:b/>
          <w:sz w:val="30"/>
          <w:szCs w:val="30"/>
        </w:rPr>
      </w:pPr>
      <w:r>
        <w:rPr>
          <w:rFonts w:ascii="仿宋_GB2312" w:eastAsia="仿宋_GB2312"/>
          <w:b/>
          <w:sz w:val="30"/>
          <w:szCs w:val="30"/>
        </w:rPr>
        <w:t>CDX</w:t>
      </w:r>
      <w:r>
        <w:rPr>
          <w:rFonts w:hint="eastAsia" w:ascii="仿宋_GB2312" w:eastAsia="仿宋_GB2312"/>
          <w:b/>
          <w:sz w:val="30"/>
          <w:szCs w:val="30"/>
        </w:rPr>
        <w:t>合约意向申报参考要素</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410"/>
        <w:gridCol w:w="1559"/>
        <w:gridCol w:w="2631"/>
      </w:tblGrid>
      <w:tr w14:paraId="448E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72315CFC">
            <w:pPr>
              <w:ind w:firstLine="360"/>
              <w:jc w:val="center"/>
              <w:rPr>
                <w:rFonts w:ascii="仿宋_GB2312" w:eastAsia="仿宋_GB2312"/>
                <w:b/>
                <w:sz w:val="24"/>
                <w:szCs w:val="24"/>
                <w:lang w:eastAsia="en-US" w:bidi="en-US"/>
              </w:rPr>
            </w:pPr>
            <w:r>
              <w:rPr>
                <w:rFonts w:hint="eastAsia" w:ascii="仿宋_GB2312" w:eastAsia="仿宋_GB2312"/>
                <w:b/>
                <w:sz w:val="24"/>
                <w:szCs w:val="24"/>
                <w:lang w:eastAsia="en-US" w:bidi="en-US"/>
              </w:rPr>
              <w:t>一般要素</w:t>
            </w:r>
          </w:p>
        </w:tc>
      </w:tr>
      <w:tr w14:paraId="4D8A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D2B8CA0">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CDX组合</w:t>
            </w:r>
            <w:r>
              <w:rPr>
                <w:rFonts w:ascii="仿宋_GB2312" w:hAnsi="仿宋" w:eastAsia="仿宋_GB2312"/>
                <w:b/>
                <w:bCs/>
                <w:color w:val="000000"/>
                <w:sz w:val="24"/>
                <w:szCs w:val="24"/>
                <w:lang w:eastAsia="en-US" w:bidi="en-US"/>
              </w:rPr>
              <w:t>名称</w:t>
            </w:r>
          </w:p>
        </w:tc>
        <w:tc>
          <w:tcPr>
            <w:tcW w:w="2410" w:type="dxa"/>
            <w:vAlign w:val="center"/>
          </w:tcPr>
          <w:p w14:paraId="712C9BC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交易所大型发行人CDX/交易所民企CDX</w:t>
            </w:r>
          </w:p>
        </w:tc>
        <w:tc>
          <w:tcPr>
            <w:tcW w:w="1559" w:type="dxa"/>
            <w:vAlign w:val="center"/>
          </w:tcPr>
          <w:p w14:paraId="171B894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币种</w:t>
            </w:r>
          </w:p>
        </w:tc>
        <w:tc>
          <w:tcPr>
            <w:tcW w:w="2631" w:type="dxa"/>
            <w:vAlign w:val="center"/>
          </w:tcPr>
          <w:p w14:paraId="024C213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人民币</w:t>
            </w:r>
          </w:p>
        </w:tc>
      </w:tr>
      <w:tr w14:paraId="3FB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44509CEB">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起始日</w:t>
            </w:r>
          </w:p>
        </w:tc>
        <w:tc>
          <w:tcPr>
            <w:tcW w:w="2410" w:type="dxa"/>
            <w:vAlign w:val="center"/>
          </w:tcPr>
          <w:p w14:paraId="58A571B8">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当前日期的下一个交易日</w:t>
            </w:r>
          </w:p>
        </w:tc>
        <w:tc>
          <w:tcPr>
            <w:tcW w:w="1559" w:type="dxa"/>
            <w:vAlign w:val="center"/>
          </w:tcPr>
          <w:p w14:paraId="01364ED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期限</w:t>
            </w:r>
          </w:p>
        </w:tc>
        <w:tc>
          <w:tcPr>
            <w:tcW w:w="2631" w:type="dxa"/>
            <w:vAlign w:val="center"/>
          </w:tcPr>
          <w:p w14:paraId="6851F572">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6M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1Y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2Y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3Y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4Y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5Y</w:t>
            </w:r>
          </w:p>
        </w:tc>
      </w:tr>
      <w:tr w14:paraId="237A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323274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买入</w:t>
            </w:r>
            <w:r>
              <w:rPr>
                <w:rFonts w:hint="eastAsia" w:ascii="仿宋_GB2312" w:hAnsi="仿宋" w:eastAsia="仿宋_GB2312"/>
                <w:b/>
                <w:bCs/>
                <w:color w:val="000000"/>
                <w:sz w:val="24"/>
                <w:szCs w:val="24"/>
                <w:lang w:eastAsia="en-US" w:bidi="en-US"/>
              </w:rPr>
              <w:t>保护费率</w:t>
            </w:r>
          </w:p>
        </w:tc>
        <w:tc>
          <w:tcPr>
            <w:tcW w:w="2410" w:type="dxa"/>
            <w:vAlign w:val="center"/>
          </w:tcPr>
          <w:p w14:paraId="5315B93D">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53DBEA58">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sz w:val="24"/>
                <w:szCs w:val="24"/>
                <w:lang w:eastAsia="en-US" w:bidi="en-US"/>
              </w:rPr>
              <w:t>报价方式</w:t>
            </w:r>
          </w:p>
        </w:tc>
        <w:tc>
          <w:tcPr>
            <w:tcW w:w="2631" w:type="dxa"/>
            <w:vAlign w:val="center"/>
          </w:tcPr>
          <w:p w14:paraId="78FDDE1A">
            <w:pPr>
              <w:widowControl/>
              <w:ind w:firstLine="0"/>
              <w:rPr>
                <w:rFonts w:ascii="仿宋_GB2312" w:hAnsi="仿宋" w:eastAsia="仿宋_GB2312"/>
                <w:color w:val="000000"/>
                <w:sz w:val="24"/>
                <w:szCs w:val="24"/>
                <w:lang w:eastAsia="en-US" w:bidi="en-US"/>
              </w:rPr>
            </w:pPr>
            <w:r>
              <w:rPr>
                <w:rFonts w:hint="eastAsia" w:ascii="仿宋_GB2312" w:hAnsi="仿宋" w:eastAsia="仿宋_GB2312"/>
                <w:sz w:val="24"/>
                <w:szCs w:val="24"/>
                <w:lang w:eastAsia="en-US" w:bidi="en-US"/>
              </w:rPr>
              <w:t>按年化保护费报价</w:t>
            </w:r>
          </w:p>
        </w:tc>
      </w:tr>
      <w:tr w14:paraId="144C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1C8657CD">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卖出保护费率</w:t>
            </w:r>
          </w:p>
        </w:tc>
        <w:tc>
          <w:tcPr>
            <w:tcW w:w="2410" w:type="dxa"/>
            <w:vAlign w:val="center"/>
          </w:tcPr>
          <w:p w14:paraId="2D8BFAE9">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398FBE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约定回收率</w:t>
            </w:r>
          </w:p>
        </w:tc>
        <w:tc>
          <w:tcPr>
            <w:tcW w:w="2631" w:type="dxa"/>
            <w:vAlign w:val="center"/>
          </w:tcPr>
          <w:p w14:paraId="746FE305">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25%</w:t>
            </w:r>
          </w:p>
        </w:tc>
      </w:tr>
      <w:tr w14:paraId="3170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6B3F23D7">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计息基准</w:t>
            </w:r>
          </w:p>
        </w:tc>
        <w:tc>
          <w:tcPr>
            <w:tcW w:w="2410" w:type="dxa"/>
            <w:vAlign w:val="center"/>
          </w:tcPr>
          <w:p w14:paraId="472A6DD6">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A/365</w:t>
            </w:r>
          </w:p>
        </w:tc>
        <w:tc>
          <w:tcPr>
            <w:tcW w:w="1559" w:type="dxa"/>
            <w:vAlign w:val="center"/>
          </w:tcPr>
          <w:p w14:paraId="477B9EFE">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组合滚动日</w:t>
            </w:r>
          </w:p>
        </w:tc>
        <w:tc>
          <w:tcPr>
            <w:tcW w:w="2631" w:type="dxa"/>
            <w:vAlign w:val="center"/>
          </w:tcPr>
          <w:p w14:paraId="45A859FE">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3月20日</w:t>
            </w:r>
            <w:r>
              <w:rPr>
                <w:rFonts w:hint="eastAsia" w:ascii="仿宋_GB2312" w:hAnsi="仿宋" w:eastAsia="仿宋_GB2312"/>
                <w:color w:val="000000"/>
                <w:sz w:val="24"/>
                <w:szCs w:val="24"/>
                <w:lang w:eastAsia="en-US" w:bidi="en-US"/>
              </w:rPr>
              <w:t>和</w:t>
            </w:r>
            <w:r>
              <w:rPr>
                <w:rFonts w:ascii="仿宋_GB2312" w:hAnsi="仿宋" w:eastAsia="仿宋_GB2312"/>
                <w:color w:val="000000"/>
                <w:sz w:val="24"/>
                <w:szCs w:val="24"/>
                <w:lang w:eastAsia="en-US" w:bidi="en-US"/>
              </w:rPr>
              <w:t>9月20日，根据</w:t>
            </w:r>
            <w:r>
              <w:rPr>
                <w:rFonts w:hint="eastAsia" w:ascii="仿宋_GB2312" w:hAnsi="仿宋" w:eastAsia="仿宋_GB2312"/>
                <w:color w:val="000000"/>
                <w:sz w:val="24"/>
                <w:szCs w:val="24"/>
                <w:lang w:eastAsia="en-US" w:bidi="en-US"/>
              </w:rPr>
              <w:t>交易日准则调整</w:t>
            </w:r>
          </w:p>
        </w:tc>
      </w:tr>
      <w:tr w14:paraId="0BBC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5D038184">
            <w:pPr>
              <w:ind w:firstLine="360"/>
              <w:jc w:val="center"/>
              <w:rPr>
                <w:rFonts w:ascii="仿宋_GB2312" w:eastAsia="仿宋_GB2312"/>
                <w:b/>
                <w:sz w:val="24"/>
                <w:szCs w:val="24"/>
                <w:lang w:eastAsia="en-US" w:bidi="en-US"/>
              </w:rPr>
            </w:pPr>
            <w:r>
              <w:rPr>
                <w:rFonts w:hint="eastAsia" w:ascii="仿宋_GB2312" w:hAnsi="仿宋" w:eastAsia="仿宋_GB2312"/>
                <w:b/>
                <w:color w:val="000000"/>
                <w:sz w:val="24"/>
                <w:szCs w:val="24"/>
                <w:lang w:eastAsia="en-US" w:bidi="en-US"/>
              </w:rPr>
              <w:t>与信用事件有关要素</w:t>
            </w:r>
          </w:p>
        </w:tc>
      </w:tr>
      <w:tr w14:paraId="643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13264C51">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债务种类</w:t>
            </w:r>
          </w:p>
        </w:tc>
        <w:tc>
          <w:tcPr>
            <w:tcW w:w="2410" w:type="dxa"/>
            <w:vAlign w:val="center"/>
          </w:tcPr>
          <w:p w14:paraId="5C3D791B">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公司债；</w:t>
            </w:r>
            <w:r>
              <w:rPr>
                <w:rFonts w:ascii="仿宋_GB2312" w:hAnsi="仿宋" w:eastAsia="仿宋_GB2312"/>
                <w:color w:val="000000"/>
                <w:sz w:val="24"/>
                <w:szCs w:val="24"/>
                <w:lang w:eastAsia="en-US" w:bidi="en-US"/>
              </w:rPr>
              <w:t>可转债</w:t>
            </w:r>
          </w:p>
        </w:tc>
        <w:tc>
          <w:tcPr>
            <w:tcW w:w="1559" w:type="dxa"/>
            <w:vAlign w:val="center"/>
          </w:tcPr>
          <w:p w14:paraId="539EDE1E">
            <w:pPr>
              <w:widowControl/>
              <w:ind w:firstLine="360"/>
              <w:jc w:val="center"/>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债务特征</w:t>
            </w:r>
          </w:p>
        </w:tc>
        <w:tc>
          <w:tcPr>
            <w:tcW w:w="2631" w:type="dxa"/>
            <w:vAlign w:val="center"/>
          </w:tcPr>
          <w:p w14:paraId="51AA1B20">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一般债务；本币；交易流通</w:t>
            </w:r>
          </w:p>
        </w:tc>
      </w:tr>
      <w:tr w14:paraId="36F7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5616BF4">
            <w:pPr>
              <w:widowControl/>
              <w:ind w:firstLine="0"/>
              <w:rPr>
                <w:rFonts w:ascii="仿宋_GB2312" w:hAnsi="仿宋" w:eastAsia="仿宋_GB2312"/>
                <w:b/>
                <w:sz w:val="24"/>
                <w:szCs w:val="24"/>
                <w:lang w:eastAsia="en-US" w:bidi="en-US"/>
              </w:rPr>
            </w:pPr>
            <w:r>
              <w:rPr>
                <w:rFonts w:hint="eastAsia" w:ascii="仿宋_GB2312" w:hAnsi="仿宋" w:eastAsia="仿宋_GB2312"/>
                <w:b/>
                <w:bCs/>
                <w:color w:val="000000"/>
                <w:sz w:val="24"/>
                <w:szCs w:val="24"/>
                <w:lang w:eastAsia="en-US" w:bidi="en-US"/>
              </w:rPr>
              <w:t>信用事件</w:t>
            </w:r>
          </w:p>
        </w:tc>
        <w:tc>
          <w:tcPr>
            <w:tcW w:w="6600" w:type="dxa"/>
            <w:gridSpan w:val="3"/>
            <w:vAlign w:val="center"/>
          </w:tcPr>
          <w:p w14:paraId="1F060A11">
            <w:pPr>
              <w:widowControl/>
              <w:ind w:firstLine="0"/>
              <w:rPr>
                <w:rFonts w:ascii="仿宋_GB2312" w:hAnsi="仿宋" w:eastAsia="仿宋_GB2312"/>
                <w:sz w:val="24"/>
                <w:szCs w:val="24"/>
                <w:lang w:eastAsia="en-US" w:bidi="en-US"/>
              </w:rPr>
            </w:pPr>
            <w:r>
              <w:rPr>
                <w:rFonts w:hint="eastAsia" w:ascii="仿宋_GB2312" w:hAnsi="仿宋" w:eastAsia="仿宋_GB2312"/>
                <w:color w:val="000000"/>
                <w:sz w:val="24"/>
                <w:szCs w:val="24"/>
                <w:lang w:eastAsia="en-US" w:bidi="en-US"/>
              </w:rPr>
              <w:t>破产和支付违约（起点金额</w:t>
            </w:r>
            <w:r>
              <w:rPr>
                <w:rFonts w:ascii="仿宋_GB2312" w:hAnsi="仿宋" w:eastAsia="仿宋_GB2312"/>
                <w:color w:val="000000"/>
                <w:sz w:val="24"/>
                <w:szCs w:val="24"/>
                <w:lang w:eastAsia="en-US" w:bidi="en-US"/>
              </w:rPr>
              <w:t>100万元人民币或其等值金额；宽限期3个营业日；适用宽限期顺延）</w:t>
            </w:r>
          </w:p>
        </w:tc>
      </w:tr>
    </w:tbl>
    <w:p w14:paraId="30659C4D">
      <w:pPr>
        <w:numPr>
          <w:ilvl w:val="2"/>
          <w:numId w:val="4"/>
        </w:numPr>
        <w:spacing w:line="600" w:lineRule="exact"/>
        <w:ind w:left="0" w:firstLine="0"/>
        <w:outlineLvl w:val="2"/>
        <w:rPr>
          <w:rFonts w:ascii="仿宋_GB2312" w:eastAsia="仿宋_GB2312"/>
          <w:b/>
          <w:sz w:val="30"/>
          <w:szCs w:val="30"/>
        </w:rPr>
      </w:pPr>
      <w:bookmarkStart w:id="2198" w:name="_Toc41660706"/>
      <w:r>
        <w:rPr>
          <w:rFonts w:hint="eastAsia" w:ascii="仿宋_GB2312" w:eastAsia="仿宋_GB2312"/>
          <w:b/>
          <w:sz w:val="30"/>
          <w:szCs w:val="30"/>
        </w:rPr>
        <w:t>凭证创设流程</w:t>
      </w:r>
      <w:bookmarkEnd w:id="2198"/>
    </w:p>
    <w:p w14:paraId="4D0B409C">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（1）</w:t>
      </w:r>
      <w:r>
        <w:rPr>
          <w:rFonts w:hint="eastAsia" w:ascii="仿宋_GB2312" w:eastAsia="仿宋_GB2312"/>
          <w:b/>
          <w:sz w:val="30"/>
          <w:szCs w:val="30"/>
          <w:lang w:eastAsia="zh-CN"/>
        </w:rPr>
        <w:tab/>
      </w:r>
      <w:r>
        <w:rPr>
          <w:rFonts w:hint="eastAsia" w:ascii="仿宋_GB2312" w:eastAsia="仿宋_GB2312"/>
          <w:b/>
          <w:sz w:val="30"/>
          <w:szCs w:val="30"/>
          <w:lang w:eastAsia="zh-CN"/>
        </w:rPr>
        <w:t>凭证创设前准备</w:t>
      </w:r>
    </w:p>
    <w:p w14:paraId="7CE5B1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创设机构创设凭证应当向本所提交以下创设文件，创设文件均应加盖出具文件机构的公章：</w:t>
      </w:r>
    </w:p>
    <w:p w14:paraId="5C9579F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1）凭证创设说明书（附件</w:t>
      </w:r>
      <w:r>
        <w:rPr>
          <w:rFonts w:ascii="仿宋_GB2312" w:hAnsi="Calibri" w:eastAsia="仿宋_GB2312"/>
          <w:sz w:val="30"/>
          <w:szCs w:val="30"/>
        </w:rPr>
        <w:t>2</w:t>
      </w:r>
      <w:r>
        <w:rPr>
          <w:rFonts w:hint="eastAsia" w:ascii="仿宋_GB2312" w:hAnsi="Calibri" w:eastAsia="仿宋_GB2312"/>
          <w:sz w:val="30"/>
          <w:szCs w:val="30"/>
        </w:rPr>
        <w:t>8）；</w:t>
      </w:r>
    </w:p>
    <w:p w14:paraId="16064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2）创设机构的信用评级报告；</w:t>
      </w:r>
    </w:p>
    <w:p w14:paraId="3C31FD7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3）最近一个会计年度经审计的创设机构的财务报表和审计报告；</w:t>
      </w:r>
    </w:p>
    <w:p w14:paraId="09C4BD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4）本所要求提交的其他文件。</w:t>
      </w:r>
    </w:p>
    <w:p w14:paraId="64667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说明书中应当明确创设机构的基本情况、参考实体、债务种类、债务特征、可交付债务（如有）、名义本金、凭证起始日、凭证到期日、信用事件类型、结算方式、凭证持有人会议规则等相关内容。凭证持有人会议规则应当载明凭证持有人通过凭证持有人会议行使权利的范围、程序和其他重要事项。</w:t>
      </w:r>
    </w:p>
    <w:p w14:paraId="21A5DF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凭证创设文件可通过以下两种方式提交本所：</w:t>
      </w:r>
    </w:p>
    <w:p w14:paraId="19BAF3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w:t>
      </w:r>
      <w:r>
        <w:rPr>
          <w:rFonts w:ascii="仿宋_GB2312" w:hAnsi="Calibri" w:eastAsia="仿宋_GB2312"/>
          <w:sz w:val="30"/>
          <w:szCs w:val="30"/>
        </w:rPr>
        <w:t>ssebond@sse.com.cn</w:t>
      </w:r>
      <w:r>
        <w:rPr>
          <w:rFonts w:hint="eastAsia" w:ascii="仿宋_GB2312" w:hAnsi="Calibri" w:eastAsia="仿宋_GB2312"/>
          <w:sz w:val="30"/>
          <w:szCs w:val="30"/>
        </w:rPr>
        <w:t>）；</w:t>
      </w:r>
    </w:p>
    <w:p w14:paraId="442C6EA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7463A4A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w:t>
      </w:r>
      <w:r>
        <w:rPr>
          <w:rFonts w:ascii="仿宋_GB2312" w:hAnsi="Calibri" w:eastAsia="仿宋_GB2312"/>
          <w:sz w:val="30"/>
          <w:szCs w:val="30"/>
        </w:rPr>
        <w:t xml:space="preserve">, </w:t>
      </w:r>
      <w:r>
        <w:rPr>
          <w:rFonts w:hint="eastAsia" w:ascii="仿宋_GB2312" w:hAnsi="Calibri" w:eastAsia="仿宋_GB2312"/>
          <w:sz w:val="30"/>
          <w:szCs w:val="30"/>
        </w:rPr>
        <w:t>邮件标题格式为“【凭证创设备案】</w:t>
      </w:r>
      <w:r>
        <w:rPr>
          <w:rFonts w:ascii="仿宋_GB2312" w:hAnsi="Calibri" w:eastAsia="仿宋_GB2312"/>
          <w:sz w:val="30"/>
          <w:szCs w:val="30"/>
        </w:rPr>
        <w:t>XXX</w:t>
      </w:r>
      <w:r>
        <w:rPr>
          <w:rFonts w:hint="eastAsia" w:ascii="仿宋_GB2312" w:hAnsi="Calibri" w:eastAsia="仿宋_GB2312"/>
          <w:sz w:val="30"/>
          <w:szCs w:val="30"/>
        </w:rPr>
        <w:t>公司</w:t>
      </w:r>
      <w:r>
        <w:rPr>
          <w:rFonts w:ascii="仿宋_GB2312" w:hAnsi="Calibri" w:eastAsia="仿宋_GB2312"/>
          <w:sz w:val="30"/>
          <w:szCs w:val="30"/>
        </w:rPr>
        <w:t>XX</w:t>
      </w:r>
      <w:r>
        <w:rPr>
          <w:rFonts w:hint="eastAsia" w:ascii="仿宋_GB2312" w:hAnsi="Calibri" w:eastAsia="仿宋_GB2312"/>
          <w:sz w:val="30"/>
          <w:szCs w:val="30"/>
        </w:rPr>
        <w:t>年</w:t>
      </w:r>
      <w:r>
        <w:rPr>
          <w:rFonts w:ascii="仿宋_GB2312" w:hAnsi="Calibri" w:eastAsia="仿宋_GB2312"/>
          <w:sz w:val="30"/>
          <w:szCs w:val="30"/>
        </w:rPr>
        <w:t>XX</w:t>
      </w:r>
      <w:r>
        <w:rPr>
          <w:rFonts w:hint="eastAsia" w:ascii="仿宋_GB2312" w:hAnsi="Calibri" w:eastAsia="仿宋_GB2312"/>
          <w:sz w:val="30"/>
          <w:szCs w:val="30"/>
        </w:rPr>
        <w:t>期信用保护凭证创设备案材料”，附件超过</w:t>
      </w:r>
      <w:r>
        <w:rPr>
          <w:rFonts w:ascii="仿宋_GB2312" w:hAnsi="Calibri" w:eastAsia="仿宋_GB2312"/>
          <w:sz w:val="30"/>
          <w:szCs w:val="30"/>
        </w:rPr>
        <w:t>20M</w:t>
      </w:r>
      <w:r>
        <w:rPr>
          <w:rFonts w:hint="eastAsia" w:ascii="仿宋_GB2312" w:hAnsi="Calibri" w:eastAsia="仿宋_GB2312"/>
          <w:sz w:val="30"/>
          <w:szCs w:val="30"/>
        </w:rPr>
        <w:t>的请以超大附件或网盘链接通过普通附件发送。</w:t>
      </w:r>
    </w:p>
    <w:p w14:paraId="00AE45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本所对凭证创设文件进行完备性核对，不对凭证的投资价值及投资风险进行实质性判断。</w:t>
      </w:r>
    </w:p>
    <w:p w14:paraId="6140F45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创设文件完备的，本所在收到文件</w:t>
      </w:r>
      <w:r>
        <w:rPr>
          <w:rFonts w:ascii="仿宋_GB2312" w:hAnsi="Calibri" w:eastAsia="仿宋_GB2312"/>
          <w:sz w:val="30"/>
          <w:szCs w:val="30"/>
        </w:rPr>
        <w:t>10</w:t>
      </w:r>
      <w:r>
        <w:rPr>
          <w:rFonts w:hint="eastAsia" w:ascii="仿宋_GB2312" w:hAnsi="Calibri" w:eastAsia="仿宋_GB2312"/>
          <w:sz w:val="30"/>
          <w:szCs w:val="30"/>
        </w:rPr>
        <w:t>个交易日内，出具无异议函。</w:t>
      </w:r>
    </w:p>
    <w:p w14:paraId="4ECE920D">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2</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凭证创设文件披露</w:t>
      </w:r>
    </w:p>
    <w:p w14:paraId="40EA30F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创设前2个交易日通过债券业务管理系统向本所提交并通过本所债券业务平台（bond.uap.sse.com.cn）或者以本所认可的其他方式向投资者披露凭证创设说明书、创设机构的信用评级报告、创设机构经审计的财务报表和审计报告等相关文件。</w:t>
      </w:r>
    </w:p>
    <w:p w14:paraId="737C5765">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3</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凭证创设操作</w:t>
      </w:r>
    </w:p>
    <w:p w14:paraId="434A629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创设机构应在无异议函有效期内完成凭证创设工作。凭证创设可以采用簿记建档或者其他方式。</w:t>
      </w:r>
    </w:p>
    <w:p w14:paraId="0D7B97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凭证创设前，创设机构向本所申请确定凭证挂牌代码及简称。</w:t>
      </w:r>
    </w:p>
    <w:p w14:paraId="0E39935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凭证挂牌代码及简称可通过以下两种方式向本所申请：</w:t>
      </w:r>
    </w:p>
    <w:p w14:paraId="26E28F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5FF467B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7AE0D1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 邮件标题格式为“【凭证挂牌代码及简称申请】XXX公司XX年XX期信用保护凭证挂牌代码及简称申请”，邮件正文中需说明凭证品种及自拟简称（不超过8个字符），创设机构需一并提交本所出具的无异议函，附件超过20M的请以超大附件或网盘链接通过普通附件发送。</w:t>
      </w:r>
    </w:p>
    <w:p w14:paraId="175204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凭证的销售由创设机构自行完成。创设完成后，凭证创设机构发布凭证创设情况公告（附件</w:t>
      </w:r>
      <w:r>
        <w:rPr>
          <w:rFonts w:ascii="仿宋_GB2312" w:hAnsi="Calibri" w:eastAsia="仿宋_GB2312"/>
          <w:sz w:val="30"/>
          <w:szCs w:val="30"/>
        </w:rPr>
        <w:t>2</w:t>
      </w:r>
      <w:r>
        <w:rPr>
          <w:rFonts w:hint="eastAsia" w:ascii="仿宋_GB2312" w:hAnsi="Calibri" w:eastAsia="仿宋_GB2312"/>
          <w:sz w:val="30"/>
          <w:szCs w:val="30"/>
        </w:rPr>
        <w:t>9）。</w:t>
      </w:r>
    </w:p>
    <w:p w14:paraId="13808649">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4</w:t>
      </w:r>
      <w:r>
        <w:rPr>
          <w:rFonts w:hint="eastAsia" w:ascii="仿宋_GB2312" w:eastAsia="仿宋_GB2312"/>
          <w:b/>
          <w:sz w:val="30"/>
          <w:szCs w:val="30"/>
          <w:lang w:eastAsia="zh-CN"/>
        </w:rPr>
        <w:t>）凭证登记托管和挂牌</w:t>
      </w:r>
    </w:p>
    <w:p w14:paraId="1D15D4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本所为凭证办理登记、挂牌一站式服务。凭证创设完成后次日，创设机构需要向本所提交以下凭证挂牌申请电子材料：</w:t>
      </w:r>
    </w:p>
    <w:p w14:paraId="133EEB7A">
      <w:p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 xml:space="preserve">）凭证挂牌转让申请书（附件30）； </w:t>
      </w:r>
    </w:p>
    <w:p w14:paraId="1C5924F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2）信用保护凭证挂牌协议；</w:t>
      </w:r>
    </w:p>
    <w:p w14:paraId="54EC66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3）经具有从事证券期货业务资格的注册会计师签字的凭证募集资金的验资报告或创设款到账确认书（附件31）；</w:t>
      </w:r>
    </w:p>
    <w:p w14:paraId="72BEC21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4）凭证挂牌公告（附件32）；</w:t>
      </w:r>
    </w:p>
    <w:p w14:paraId="0932F5B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5）证券登记及服务协议；</w:t>
      </w:r>
    </w:p>
    <w:p w14:paraId="6142C7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6）证券登记申请表；</w:t>
      </w:r>
    </w:p>
    <w:p w14:paraId="15E52D1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7）凭证持有人名册清单；</w:t>
      </w:r>
    </w:p>
    <w:p w14:paraId="1CD207B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其中（1）-（4）为挂牌申请材料，（5）-（7）为登记申请材料。</w:t>
      </w:r>
    </w:p>
    <w:p w14:paraId="72084F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业务初期通过ssebond@sse.com.cn一次齐备提交电子文件，本所收到材料审核无误后发送中国结算上海分公司登记，本所将中国结算上海分公司登记结果及拟挂牌转让日期反馈给创设机构。 T日上午11:00前提交上述（1）-（7）申请材料且无误的，可安排T+2日挂牌转让。</w:t>
      </w:r>
    </w:p>
    <w:p w14:paraId="566E15D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若凭证投资者信息有误，根据中国结算上海分公司相关规定办理更正。</w:t>
      </w:r>
    </w:p>
    <w:p w14:paraId="5E7055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创设机构应当在凭证挂牌后5个交易日内将证券登记及服务协议原件邮寄至中国结算上海分公司。</w:t>
      </w:r>
    </w:p>
    <w:p w14:paraId="16E7C9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创设机构通过本所交易系统完成凭证ISIN代码申请。</w:t>
      </w:r>
    </w:p>
    <w:p w14:paraId="061A8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相关文件的纸质材料由创设机构保存，保存期限不得少于凭证摘牌之日起3年。</w:t>
      </w:r>
    </w:p>
    <w:p w14:paraId="73AE92F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凭证交易流程</w:t>
      </w:r>
    </w:p>
    <w:p w14:paraId="2C195AD0">
      <w:pPr>
        <w:spacing w:line="600" w:lineRule="exact"/>
        <w:ind w:firstLine="602" w:firstLineChars="200"/>
        <w:outlineLvl w:val="3"/>
        <w:rPr>
          <w:rFonts w:ascii="仿宋_GB2312" w:eastAsia="仿宋_GB2312"/>
          <w:b/>
          <w:sz w:val="30"/>
          <w:szCs w:val="30"/>
        </w:rPr>
      </w:pPr>
      <w:bookmarkStart w:id="2199" w:name="_Toc41660720"/>
      <w:r>
        <w:rPr>
          <w:rFonts w:hint="eastAsia" w:ascii="仿宋_GB2312" w:eastAsia="仿宋_GB2312"/>
          <w:b/>
          <w:sz w:val="30"/>
          <w:szCs w:val="30"/>
        </w:rPr>
        <w:t>（1）凭证交易</w:t>
      </w:r>
      <w:bookmarkEnd w:id="2199"/>
    </w:p>
    <w:p w14:paraId="165EE3F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凭证的交易时间为每个交易日的9:00-11:30、13:00-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0。本所可以根据市场需要调整凭证的交易时间。</w:t>
      </w:r>
    </w:p>
    <w:p w14:paraId="6F9DB63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凭证申报要求如下：</w:t>
      </w:r>
    </w:p>
    <w:p w14:paraId="21046E6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1）计价单位：百元名义本金凭证的价格；</w:t>
      </w:r>
    </w:p>
    <w:p w14:paraId="070461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2）申报价格变动单位：0.001元；</w:t>
      </w:r>
    </w:p>
    <w:p w14:paraId="5E8411A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3）申报数量：不低于50万元，且为1000元的整数倍。</w:t>
      </w:r>
    </w:p>
    <w:p w14:paraId="23863241">
      <w:pPr>
        <w:spacing w:line="600" w:lineRule="exact"/>
        <w:ind w:firstLine="600" w:firstLineChars="200"/>
        <w:rPr>
          <w:rFonts w:ascii="仿宋_GB2312" w:hAnsi="Calibri" w:eastAsia="仿宋_GB2312"/>
          <w:bCs/>
          <w:sz w:val="30"/>
          <w:szCs w:val="30"/>
        </w:rPr>
      </w:pPr>
      <w:r>
        <w:rPr>
          <w:rFonts w:hint="eastAsia" w:ascii="仿宋_GB2312" w:hAnsi="Calibri" w:eastAsia="仿宋_GB2312"/>
          <w:sz w:val="30"/>
          <w:szCs w:val="30"/>
        </w:rPr>
        <w:t>债券投资者为本所债券交易参与人的，可直接通过交易系统进行凭证交易申报；债券投资者为经纪客户的，由证券公司根据客户的委托在固定收益平台上代为申报。</w:t>
      </w:r>
      <w:r>
        <w:rPr>
          <w:rFonts w:hint="eastAsia" w:ascii="仿宋_GB2312" w:hAnsi="Calibri" w:eastAsia="仿宋_GB2312"/>
          <w:bCs/>
          <w:sz w:val="30"/>
          <w:szCs w:val="30"/>
        </w:rPr>
        <w:t>业务初期，交易申报通过固定收益平台的客户端完成。</w:t>
      </w:r>
    </w:p>
    <w:p w14:paraId="25247C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协商成交指定对手方方式达成交易。交易一方将协商一致的交易要素通过交易系统发送给交易对手方，经交易对手方确认后，由交易系统确认成交。发送协商成交指定对手方申报时，对手方必须符合相关投资者适当性要求。</w:t>
      </w:r>
    </w:p>
    <w:p w14:paraId="3539B2CF">
      <w:pPr>
        <w:spacing w:line="600" w:lineRule="exact"/>
        <w:ind w:firstLine="452" w:firstLineChars="150"/>
        <w:outlineLvl w:val="3"/>
        <w:rPr>
          <w:rFonts w:ascii="仿宋_GB2312" w:hAnsi="黑体" w:eastAsia="仿宋_GB2312"/>
          <w:b/>
          <w:sz w:val="30"/>
          <w:szCs w:val="30"/>
        </w:rPr>
      </w:pPr>
      <w:bookmarkStart w:id="2200" w:name="_Toc41660725"/>
      <w:r>
        <w:rPr>
          <w:rFonts w:hint="eastAsia" w:ascii="仿宋_GB2312" w:hAnsi="黑体" w:eastAsia="仿宋_GB2312"/>
          <w:b/>
          <w:sz w:val="30"/>
          <w:szCs w:val="30"/>
        </w:rPr>
        <w:t>（2）凭证转让限制</w:t>
      </w:r>
      <w:bookmarkEnd w:id="2200"/>
    </w:p>
    <w:p w14:paraId="5C39EF7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单只凭证创设及转让后的债券投资者原则上不超过200人，本所另有规定的除外。</w:t>
      </w:r>
    </w:p>
    <w:p w14:paraId="0143BEA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若凭证存续期间未发生信用事件，凭证自到期日收盘后终止转让流通；若凭证存续期间发生信用事件，凭证可交易至创设机构公告的最后交易日期。</w:t>
      </w:r>
    </w:p>
    <w:p w14:paraId="68AC659E">
      <w:pPr>
        <w:spacing w:line="600" w:lineRule="exact"/>
        <w:ind w:firstLine="602" w:firstLineChars="200"/>
        <w:outlineLvl w:val="3"/>
        <w:rPr>
          <w:rFonts w:ascii="仿宋_GB2312" w:hAnsi="黑体" w:eastAsia="仿宋_GB2312"/>
          <w:b/>
          <w:sz w:val="30"/>
          <w:szCs w:val="30"/>
        </w:rPr>
      </w:pPr>
      <w:bookmarkStart w:id="2201" w:name="_Toc41660726"/>
      <w:r>
        <w:rPr>
          <w:rFonts w:hint="eastAsia" w:ascii="仿宋_GB2312" w:hAnsi="黑体" w:eastAsia="仿宋_GB2312"/>
          <w:b/>
          <w:sz w:val="30"/>
          <w:szCs w:val="30"/>
        </w:rPr>
        <w:t>（3）凭证转让的结算</w:t>
      </w:r>
      <w:bookmarkEnd w:id="2201"/>
    </w:p>
    <w:p w14:paraId="02362A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凭证参与者在固定收益平台达成交易后，登记结算机构根据成交数据在结算日期办理实时逐笔全额结算。</w:t>
      </w:r>
    </w:p>
    <w:p w14:paraId="299A14BC">
      <w:pPr>
        <w:spacing w:line="600" w:lineRule="exact"/>
        <w:ind w:firstLine="602" w:firstLineChars="200"/>
        <w:outlineLvl w:val="3"/>
        <w:rPr>
          <w:rFonts w:ascii="仿宋_GB2312" w:hAnsi="黑体" w:eastAsia="仿宋_GB2312"/>
          <w:b/>
          <w:sz w:val="30"/>
          <w:szCs w:val="30"/>
        </w:rPr>
      </w:pPr>
      <w:bookmarkStart w:id="2202" w:name="_Toc41660727"/>
      <w:r>
        <w:rPr>
          <w:rFonts w:hint="eastAsia" w:ascii="仿宋_GB2312" w:hAnsi="黑体" w:eastAsia="仿宋_GB2312"/>
          <w:b/>
          <w:sz w:val="30"/>
          <w:szCs w:val="30"/>
        </w:rPr>
        <w:t>（4）凭证回购注销</w:t>
      </w:r>
      <w:bookmarkEnd w:id="2202"/>
    </w:p>
    <w:p w14:paraId="202AF5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创设机构可回购其创设的凭证，并将其注销。创设机构购回自身创设的凭证后，向本所提交注销申请，申请要素包括凭证名称、凭证代码、需要注销的凭证数量等。</w:t>
      </w:r>
    </w:p>
    <w:p w14:paraId="035A35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本所对注销申请进行形式审查，审查无误的将相关数据发送至登记结算机构。登记结算机构根据本所提供的数据完成注销并将相关数据反馈至本所。</w:t>
      </w:r>
    </w:p>
    <w:p w14:paraId="5C027893">
      <w:pPr>
        <w:spacing w:line="600" w:lineRule="exact"/>
        <w:ind w:firstLine="602" w:firstLineChars="200"/>
        <w:outlineLvl w:val="3"/>
        <w:rPr>
          <w:rFonts w:ascii="仿宋_GB2312" w:eastAsia="仿宋_GB2312"/>
          <w:b/>
          <w:sz w:val="30"/>
          <w:szCs w:val="30"/>
        </w:rPr>
      </w:pPr>
      <w:bookmarkStart w:id="2203" w:name="_Toc41660728"/>
      <w:r>
        <w:rPr>
          <w:rFonts w:hint="eastAsia" w:ascii="仿宋_GB2312" w:eastAsia="仿宋_GB2312"/>
          <w:b/>
          <w:sz w:val="30"/>
          <w:szCs w:val="30"/>
        </w:rPr>
        <w:t>（5）凭证头寸要求</w:t>
      </w:r>
      <w:bookmarkEnd w:id="2203"/>
    </w:p>
    <w:p w14:paraId="1E7CB31B">
      <w:pPr>
        <w:spacing w:line="600" w:lineRule="exact"/>
        <w:ind w:firstLine="600" w:firstLineChars="200"/>
        <w:rPr>
          <w:rFonts w:ascii="仿宋_GB2312" w:eastAsia="仿宋_GB2312"/>
          <w:sz w:val="30"/>
          <w:szCs w:val="30"/>
        </w:rPr>
      </w:pPr>
      <w:r>
        <w:rPr>
          <w:rFonts w:hint="eastAsia" w:ascii="仿宋_GB2312" w:eastAsia="仿宋_GB2312"/>
          <w:sz w:val="30"/>
          <w:szCs w:val="30"/>
        </w:rPr>
        <w:t>试点初期，任何一家债券投资者对特定受保护债务的信用保护凭证的买入余额不得超过该受保护债务总余额的100%；任何一家债券投资者对特定受保护债务的信用保护凭证的卖出余额不得超过该受保护债务总余额的100%。</w:t>
      </w:r>
    </w:p>
    <w:p w14:paraId="540E82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针对特定受保护债务的信用保护凭证创设总规模不得超过该受保护债务总余额的500%。</w:t>
      </w:r>
    </w:p>
    <w:p w14:paraId="69A0906B">
      <w:pPr>
        <w:numPr>
          <w:ilvl w:val="2"/>
          <w:numId w:val="4"/>
        </w:numPr>
        <w:spacing w:line="600" w:lineRule="exact"/>
        <w:ind w:left="0" w:firstLine="0"/>
        <w:outlineLvl w:val="2"/>
        <w:rPr>
          <w:rFonts w:ascii="仿宋_GB2312" w:eastAsia="仿宋_GB2312"/>
          <w:b/>
          <w:sz w:val="30"/>
          <w:szCs w:val="30"/>
        </w:rPr>
      </w:pPr>
      <w:bookmarkStart w:id="2204" w:name="_Toc41660734"/>
      <w:r>
        <w:rPr>
          <w:rFonts w:hint="eastAsia" w:ascii="仿宋_GB2312" w:eastAsia="仿宋_GB2312"/>
          <w:b/>
          <w:sz w:val="30"/>
          <w:szCs w:val="30"/>
        </w:rPr>
        <w:t>信息披露及行情</w:t>
      </w:r>
    </w:p>
    <w:p w14:paraId="56F94F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（1）信息披露</w:t>
      </w:r>
    </w:p>
    <w:p w14:paraId="1A3BFC2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信用保护工具在本所挂牌后的日常信息披露和操作业务由本所债券业务部受理。</w:t>
      </w:r>
    </w:p>
    <w:p w14:paraId="1335B6E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信息披露文件通过债券业务管理系统提交本所。</w:t>
      </w:r>
    </w:p>
    <w:p w14:paraId="2A09325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创设机构应当在每年4月30日之前通过本所网站或者以本所认可的其他方式披露上一年度的年度报告、财务报表及审计报告，并在每年6月30日之前通过本所网站或者以本所认可的其他方式披露定期跟踪评级报告。年度报告应当至少记载以下内容：</w:t>
      </w:r>
    </w:p>
    <w:p w14:paraId="3352CE5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1）创设机构概况；</w:t>
      </w:r>
    </w:p>
    <w:p w14:paraId="3F93084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2）创设机构经营情况、财务状况；</w:t>
      </w:r>
    </w:p>
    <w:p w14:paraId="58A29C9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3）创设机构主体评级情况；</w:t>
      </w:r>
    </w:p>
    <w:p w14:paraId="45355AB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4）创设机构在报告期内发生的可能影响创设机构赔付能力或者凭证价格的重大事项；</w:t>
      </w:r>
    </w:p>
    <w:p w14:paraId="1A572BC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5）本所要求披露的其他事项。</w:t>
      </w:r>
    </w:p>
    <w:p w14:paraId="29B559D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发生可能影响创设机构赔付能力的重大事项，或者存在关于创设机构及其创设的凭证的重大市场传闻的，创设机构应当及时向本所提交并通过本所网站或者以本所认可的其他方式披露临时报告，说明事件的起因、目前的状态和可能产生的后果。</w:t>
      </w:r>
    </w:p>
    <w:p w14:paraId="38FD4D9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重大事项包括：</w:t>
      </w:r>
    </w:p>
    <w:p w14:paraId="23C72BA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1）创设机构创设的凭证发生赔付；</w:t>
      </w:r>
    </w:p>
    <w:p w14:paraId="25E42B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2）创设机构主要资产被查封、扣押、冻结；</w:t>
      </w:r>
    </w:p>
    <w:p w14:paraId="326A00C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3）创设机构发生超过上年末净资产10%的重大损失；</w:t>
      </w:r>
    </w:p>
    <w:p w14:paraId="32A908F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4）创设机构发生未能清偿到期重大债务的违约情况；</w:t>
      </w:r>
    </w:p>
    <w:p w14:paraId="13E047A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5）创设机构作出减资、合并、分立、解散及申请破产的决定；</w:t>
      </w:r>
    </w:p>
    <w:p w14:paraId="1D60351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6）创设机构涉及重大诉讼、仲裁事项或者受到重大行政处罚；</w:t>
      </w:r>
    </w:p>
    <w:p w14:paraId="244AF03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7）创设机构履约保障方、担保物或者其他偿债保障措施发生重大变化；</w:t>
      </w:r>
    </w:p>
    <w:p w14:paraId="12EC319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8）创设机构涉嫌犯罪被司法机关立案调查，创设机构董事、监事、高级管理人员涉嫌犯罪被司法机关采取强制措施；</w:t>
      </w:r>
    </w:p>
    <w:p w14:paraId="032CC3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9）其他对投资者作出投资决策有重大影响的事项。；</w:t>
      </w:r>
    </w:p>
    <w:p w14:paraId="775E527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10）法律、行政法规、规章规定或中国证监会、本所规定的其他事项。</w:t>
      </w:r>
    </w:p>
    <w:p w14:paraId="4F03345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聘请资信评级机构进行定期和不定期跟踪信用评级。跟踪评级报告应当及时提交创设机构，并由创设机构或者资信评级机构按规定及时向市场披露。定期跟踪评级报告应当于每一会计年度结束之日起6个月内披露。</w:t>
      </w:r>
    </w:p>
    <w:p w14:paraId="0455B12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资信评级机构应当充分关注可能影响创设机构信用评级的各种重大因素，及时开展不定期跟踪评级，及时披露跟踪评级结果。</w:t>
      </w:r>
    </w:p>
    <w:p w14:paraId="405FC38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）违约报告义务</w:t>
      </w:r>
      <w:bookmarkEnd w:id="2204"/>
    </w:p>
    <w:p w14:paraId="0AA4A84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债券投资者未按照相关规定、约定履行信用保护工具支付或交付义务的，该债券投资者与其对手方应当在支付或交付违约情形发生后1个交易日内将相关违约情形报告本所。</w:t>
      </w:r>
    </w:p>
    <w:p w14:paraId="7A0A8E5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报告提交的邮箱地址为：</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，邮件标题格式为“</w:t>
      </w:r>
      <w:r>
        <w:rPr>
          <w:rFonts w:hint="eastAsia" w:ascii="仿宋_GB2312" w:hAnsi="Calibri" w:eastAsia="仿宋_GB2312"/>
          <w:b/>
          <w:sz w:val="30"/>
          <w:szCs w:val="30"/>
        </w:rPr>
        <w:t>【违约报告】</w:t>
      </w:r>
      <w:r>
        <w:rPr>
          <w:rFonts w:hint="eastAsia" w:ascii="仿宋_GB2312" w:hAnsi="Calibri" w:eastAsia="仿宋_GB2312"/>
          <w:sz w:val="30"/>
          <w:szCs w:val="30"/>
        </w:rPr>
        <w:t>XXX公司-信用保护工具违约报告”，附件超过20M的请以超大附件或网盘链接通过普通附件发送。</w:t>
      </w:r>
    </w:p>
    <w:p w14:paraId="6572AD4D">
      <w:pPr>
        <w:spacing w:line="600" w:lineRule="exact"/>
        <w:ind w:firstLine="602" w:firstLineChars="200"/>
        <w:outlineLvl w:val="3"/>
        <w:rPr>
          <w:rFonts w:ascii="仿宋_GB2312" w:eastAsia="仿宋_GB2312"/>
          <w:b/>
          <w:sz w:val="30"/>
          <w:szCs w:val="30"/>
        </w:rPr>
      </w:pPr>
      <w:bookmarkStart w:id="2205" w:name="_Toc41660735"/>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）到期风险提示</w:t>
      </w:r>
      <w:bookmarkEnd w:id="2205"/>
    </w:p>
    <w:p w14:paraId="26D79275">
      <w:pPr>
        <w:spacing w:line="600" w:lineRule="exact"/>
        <w:ind w:firstLine="600" w:firstLineChars="200"/>
        <w:rPr>
          <w:rFonts w:ascii="仿宋_GB2312" w:hAnsi="Calibri" w:eastAsia="仿宋_GB2312"/>
          <w:b/>
          <w:sz w:val="30"/>
          <w:szCs w:val="30"/>
        </w:rPr>
      </w:pPr>
      <w:r>
        <w:rPr>
          <w:rFonts w:hint="eastAsia" w:ascii="仿宋_GB2312" w:eastAsia="仿宋_GB2312"/>
          <w:sz w:val="30"/>
          <w:szCs w:val="30"/>
        </w:rPr>
        <w:t>创设机构应当于凭证到期日前30个交易日通过债券业务管理系统向本所提交并通过本所网站或者以本所认可的其他方式发布提示性公告，提示凭证即将到期及相关转让风险。证券公司应当于凭证到期前30个交易日起向申报买入凭证的经纪客户提示到期风险。</w:t>
      </w:r>
    </w:p>
    <w:p w14:paraId="67785695">
      <w:pPr>
        <w:spacing w:line="600" w:lineRule="exact"/>
        <w:ind w:firstLine="602" w:firstLineChars="200"/>
        <w:outlineLvl w:val="3"/>
        <w:rPr>
          <w:rFonts w:ascii="仿宋_GB2312" w:eastAsia="仿宋_GB2312"/>
          <w:b/>
          <w:sz w:val="30"/>
          <w:szCs w:val="30"/>
        </w:rPr>
      </w:pPr>
      <w:bookmarkStart w:id="2206" w:name="_Toc41660736"/>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）凭证摘牌公告</w:t>
      </w:r>
      <w:bookmarkEnd w:id="2206"/>
    </w:p>
    <w:p w14:paraId="35FC66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凭证到期且未发生信用事件、创设机构回购注销其全部凭证、凭证存续期间发生信用事件且创设机构与债券投资者完成结算或者出现本所认定的其他情形的，本所于相关日期确定后终止凭证的挂牌转让。</w:t>
      </w:r>
    </w:p>
    <w:p w14:paraId="38854406">
      <w:pPr>
        <w:spacing w:line="600" w:lineRule="exact"/>
        <w:ind w:firstLine="602" w:firstLineChars="200"/>
        <w:outlineLvl w:val="3"/>
        <w:rPr>
          <w:rFonts w:ascii="仿宋_GB2312" w:eastAsia="仿宋_GB2312"/>
          <w:b/>
          <w:sz w:val="30"/>
          <w:szCs w:val="30"/>
        </w:rPr>
      </w:pPr>
      <w:bookmarkStart w:id="2207" w:name="_Toc41660738"/>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）统计数据</w:t>
      </w:r>
      <w:bookmarkEnd w:id="2207"/>
    </w:p>
    <w:p w14:paraId="624166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本所将定期发布信用保护工具交易统计数据，统计数据要素包括核心交易商类型、合约规模等信息。</w:t>
      </w:r>
    </w:p>
    <w:p w14:paraId="5C581384">
      <w:pPr>
        <w:numPr>
          <w:ilvl w:val="2"/>
          <w:numId w:val="4"/>
        </w:numPr>
        <w:spacing w:line="600" w:lineRule="exact"/>
        <w:ind w:left="0" w:firstLine="0"/>
        <w:outlineLvl w:val="2"/>
        <w:rPr>
          <w:rFonts w:ascii="仿宋_GB2312" w:eastAsia="仿宋_GB2312"/>
          <w:b/>
          <w:sz w:val="30"/>
          <w:szCs w:val="30"/>
        </w:rPr>
      </w:pPr>
      <w:bookmarkStart w:id="2208" w:name="_Toc41660739"/>
      <w:bookmarkStart w:id="2209" w:name="_Toc534569695"/>
      <w:r>
        <w:rPr>
          <w:rFonts w:hint="eastAsia" w:ascii="仿宋_GB2312" w:eastAsia="仿宋_GB2312"/>
          <w:b/>
          <w:sz w:val="30"/>
          <w:szCs w:val="30"/>
        </w:rPr>
        <w:t>信用事件后续结算安排</w:t>
      </w:r>
      <w:bookmarkEnd w:id="2208"/>
      <w:bookmarkEnd w:id="2209"/>
    </w:p>
    <w:p w14:paraId="5D620EA1">
      <w:pPr>
        <w:spacing w:line="600" w:lineRule="exact"/>
        <w:ind w:firstLine="602" w:firstLineChars="200"/>
        <w:outlineLvl w:val="3"/>
        <w:rPr>
          <w:rFonts w:ascii="仿宋_GB2312" w:eastAsia="仿宋_GB2312"/>
          <w:b/>
          <w:sz w:val="30"/>
          <w:szCs w:val="30"/>
        </w:rPr>
      </w:pPr>
      <w:bookmarkStart w:id="2210" w:name="_Toc514051536"/>
      <w:bookmarkStart w:id="2211" w:name="_Toc41660740"/>
      <w:r>
        <w:rPr>
          <w:rFonts w:hint="eastAsia" w:ascii="仿宋_GB2312" w:eastAsia="仿宋_GB2312"/>
          <w:b/>
          <w:sz w:val="30"/>
          <w:szCs w:val="30"/>
        </w:rPr>
        <w:t>（1）确定信用事件决定日</w:t>
      </w:r>
      <w:bookmarkEnd w:id="2210"/>
      <w:bookmarkEnd w:id="2211"/>
    </w:p>
    <w:p w14:paraId="0412A5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信用事件发生后，买方或者卖方可按照双方约定的方式向对手方发送“信用事件通知书”并附“公共信息通知书”（以下简称信用事件通知书，详见附件</w:t>
      </w:r>
      <w:r>
        <w:rPr>
          <w:rFonts w:ascii="仿宋_GB2312" w:hAnsi="Calibri" w:eastAsia="仿宋_GB2312"/>
          <w:sz w:val="30"/>
          <w:szCs w:val="30"/>
        </w:rPr>
        <w:t>3</w:t>
      </w:r>
      <w:r>
        <w:rPr>
          <w:rFonts w:hint="eastAsia" w:ascii="仿宋_GB2312" w:hAnsi="Calibri" w:eastAsia="仿宋_GB2312"/>
          <w:sz w:val="30"/>
          <w:szCs w:val="30"/>
        </w:rPr>
        <w:t>3、</w:t>
      </w:r>
      <w:r>
        <w:rPr>
          <w:rFonts w:ascii="仿宋_GB2312" w:hAnsi="Calibri" w:eastAsia="仿宋_GB2312"/>
          <w:sz w:val="30"/>
          <w:szCs w:val="30"/>
        </w:rPr>
        <w:t>3</w:t>
      </w:r>
      <w:r>
        <w:rPr>
          <w:rFonts w:hint="eastAsia" w:ascii="仿宋_GB2312" w:hAnsi="Calibri" w:eastAsia="仿宋_GB2312"/>
          <w:sz w:val="30"/>
          <w:szCs w:val="30"/>
        </w:rPr>
        <w:t>4）。信用事件通知书中需对相关信用事件附有合理、详尽的说明，至少需要指出哪一个参考实体发生了哪一种信用事件、发生的时间和对信用事件的基本描述。</w:t>
      </w:r>
    </w:p>
    <w:p w14:paraId="61AE38E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公共信息通知书应列明买方或卖方从公开信息渠道获得的有关信用事件已经发生的信息或报道。除非交易双方另有约定，公开信息渠道限于全国发行报刊</w:t>
      </w:r>
      <w:r>
        <w:rPr>
          <w:rFonts w:hint="eastAsia" w:eastAsia="仿宋_GB2312"/>
          <w:sz w:val="30"/>
          <w:szCs w:val="28"/>
        </w:rPr>
        <w:t>或全国党政机关事业单位网站（及其子网站或平台）</w:t>
      </w:r>
      <w:r>
        <w:rPr>
          <w:rFonts w:hint="eastAsia" w:ascii="仿宋_GB2312" w:hAnsi="Calibri" w:eastAsia="仿宋_GB2312"/>
          <w:sz w:val="30"/>
          <w:szCs w:val="30"/>
        </w:rPr>
        <w:t>，或是参考实体所在行业协会</w:t>
      </w:r>
      <w:r>
        <w:rPr>
          <w:rFonts w:hint="eastAsia" w:eastAsia="仿宋_GB2312"/>
          <w:sz w:val="30"/>
          <w:szCs w:val="28"/>
        </w:rPr>
        <w:t>或参考债务所在市场</w:t>
      </w:r>
      <w:r>
        <w:rPr>
          <w:rFonts w:hint="eastAsia" w:ascii="仿宋_GB2312" w:hAnsi="Calibri" w:eastAsia="仿宋_GB2312"/>
          <w:sz w:val="30"/>
          <w:szCs w:val="30"/>
        </w:rPr>
        <w:t>认可的权威性专业报刊、网站或信息提供商，且有关报道者或报道机构未在提前终止日前撤</w:t>
      </w:r>
      <w:r>
        <w:rPr>
          <w:rFonts w:hint="eastAsia" w:eastAsia="仿宋_GB2312"/>
          <w:sz w:val="30"/>
          <w:szCs w:val="28"/>
        </w:rPr>
        <w:t>销</w:t>
      </w:r>
      <w:r>
        <w:rPr>
          <w:rFonts w:hint="eastAsia" w:ascii="仿宋_GB2312" w:hAnsi="Calibri" w:eastAsia="仿宋_GB2312"/>
          <w:sz w:val="30"/>
          <w:szCs w:val="30"/>
        </w:rPr>
        <w:t>该信息或报道，也未公开承认有重大误报。</w:t>
      </w:r>
    </w:p>
    <w:p w14:paraId="79D59B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若交易双方对信用事件无异议，则合约或者首份凭证信用事件通知书送达之日即为信用事件决定日。</w:t>
      </w:r>
    </w:p>
    <w:p w14:paraId="252767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合约或凭证参与者向对手方发送信用事件通知书及所附公共信息通知书后，应在1个交易日内向本所报告，将信用事件通知书及所附公共信息通知书的PDF扫描件发送到以下邮箱：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，邮件格式为“XXX信用保护工具信用事件通知书及公共信息通知书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【信用事件发生时间，即</w:t>
      </w:r>
      <w:r>
        <w:rPr>
          <w:rFonts w:ascii="仿宋_GB2312" w:hAnsi="Calibri" w:eastAsia="仿宋_GB2312"/>
          <w:sz w:val="30"/>
          <w:szCs w:val="30"/>
        </w:rPr>
        <w:t>YYYYMMDD</w:t>
      </w:r>
      <w:r>
        <w:rPr>
          <w:rFonts w:hint="eastAsia" w:eastAsia="仿宋_GB2312"/>
          <w:sz w:val="30"/>
          <w:szCs w:val="28"/>
        </w:rPr>
        <w:t>】</w:t>
      </w:r>
      <w:r>
        <w:rPr>
          <w:rFonts w:hint="eastAsia" w:ascii="仿宋_GB2312" w:hAnsi="Calibri" w:eastAsia="仿宋_GB2312"/>
          <w:sz w:val="30"/>
          <w:szCs w:val="30"/>
        </w:rPr>
        <w:t>”。对于CDX合约，信用事件通知书及所附公共信息通知书在向上交本所报告的同时，还需抄送CDX组合管理人邮箱csi</w:t>
      </w:r>
      <w:r>
        <w:rPr>
          <w:rFonts w:ascii="仿宋_GB2312" w:hAnsi="Calibri" w:eastAsia="仿宋_GB2312"/>
          <w:sz w:val="30"/>
          <w:szCs w:val="30"/>
        </w:rPr>
        <w:t>cslt@csindex.com.cn</w:t>
      </w:r>
      <w:r>
        <w:rPr>
          <w:rFonts w:hint="eastAsia" w:ascii="仿宋_GB2312" w:hAnsi="Calibri" w:eastAsia="仿宋_GB2312"/>
          <w:sz w:val="30"/>
          <w:szCs w:val="30"/>
        </w:rPr>
        <w:t>，同时电话通知CDX组合管理人相关业务负责人。</w:t>
      </w:r>
    </w:p>
    <w:p w14:paraId="7B6D43CA">
      <w:pPr>
        <w:spacing w:line="600" w:lineRule="exact"/>
        <w:ind w:firstLine="602" w:firstLineChars="200"/>
        <w:outlineLvl w:val="3"/>
        <w:rPr>
          <w:rFonts w:ascii="仿宋_GB2312" w:eastAsia="仿宋_GB2312"/>
          <w:b/>
          <w:sz w:val="30"/>
          <w:szCs w:val="30"/>
        </w:rPr>
      </w:pPr>
      <w:bookmarkStart w:id="2212" w:name="_Toc41660741"/>
      <w:r>
        <w:rPr>
          <w:rFonts w:hint="eastAsia" w:ascii="仿宋_GB2312" w:eastAsia="仿宋_GB2312"/>
          <w:b/>
          <w:sz w:val="30"/>
          <w:szCs w:val="30"/>
        </w:rPr>
        <w:t>（2）发送结算通知书</w:t>
      </w:r>
      <w:bookmarkEnd w:id="2212"/>
    </w:p>
    <w:p w14:paraId="1011AD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信用事件决定日确定后，需要明确相关结算安排。</w:t>
      </w:r>
    </w:p>
    <w:p w14:paraId="07F536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对于合约，信用事件决定日后30个自然日内，合约买方应按照约定的方式向合约卖方发送“结算通知书”（附件</w:t>
      </w:r>
      <w:r>
        <w:rPr>
          <w:rFonts w:ascii="仿宋_GB2312" w:hAnsi="Calibri" w:eastAsia="仿宋_GB2312"/>
          <w:sz w:val="30"/>
          <w:szCs w:val="30"/>
        </w:rPr>
        <w:t>3</w:t>
      </w:r>
      <w:r>
        <w:rPr>
          <w:rFonts w:hint="eastAsia" w:ascii="仿宋_GB2312" w:hAnsi="Calibri" w:eastAsia="仿宋_GB2312"/>
          <w:sz w:val="30"/>
          <w:szCs w:val="30"/>
        </w:rPr>
        <w:t>5），最后结算日不得超过结算通知书送达日后30个自然日。</w:t>
      </w:r>
    </w:p>
    <w:p w14:paraId="266F61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凭证，信用事件决定日后3个自然日内，创设机构须通过本所网站发布关于信用事件和后续结算安排公告，内容包括信用事件决定日、可交付债务（如有）、凭证最后交易日期，结算方式以及结算时间区间等信息。最后结算日不得超过信用事件决定日后60个自然日。信用事件和后续结算安排公告发布后，凭证买方应按照创设说明书中约定的方式向创设机构发送“结算通知书”（附件</w:t>
      </w:r>
      <w:r>
        <w:rPr>
          <w:rFonts w:ascii="仿宋_GB2312" w:hAnsi="Calibri" w:eastAsia="仿宋_GB2312"/>
          <w:sz w:val="30"/>
          <w:szCs w:val="30"/>
        </w:rPr>
        <w:t>3</w:t>
      </w:r>
      <w:r>
        <w:rPr>
          <w:rFonts w:hint="eastAsia" w:ascii="仿宋_GB2312" w:hAnsi="Calibri" w:eastAsia="仿宋_GB2312"/>
          <w:sz w:val="30"/>
          <w:szCs w:val="30"/>
        </w:rPr>
        <w:t>5），明确具体结算日，具体结算日不得晚于最后结算日。</w:t>
      </w:r>
    </w:p>
    <w:p w14:paraId="5555B2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若采取实物结算方式，结算通知书中应当包括用于结算的可交付债务的具体信息、交割方式、交割时间等。若采取现金结算方式，结算通知书中应包括现金结算的交付方式、交付时间等信息。</w:t>
      </w:r>
    </w:p>
    <w:p w14:paraId="7EEDC718">
      <w:pPr>
        <w:spacing w:line="600" w:lineRule="exact"/>
        <w:ind w:firstLine="600" w:firstLineChars="200"/>
        <w:rPr>
          <w:rFonts w:eastAsia="仿宋_GB2312"/>
          <w:sz w:val="30"/>
          <w:szCs w:val="28"/>
        </w:rPr>
      </w:pPr>
      <w:r>
        <w:rPr>
          <w:rFonts w:hint="eastAsia" w:eastAsia="仿宋_GB2312"/>
          <w:sz w:val="30"/>
          <w:szCs w:val="28"/>
        </w:rPr>
        <w:t>买方发出结算通知书后，应在</w:t>
      </w:r>
      <w:r>
        <w:rPr>
          <w:rFonts w:ascii="仿宋_GB2312" w:hAnsi="Calibri" w:eastAsia="仿宋_GB2312"/>
          <w:sz w:val="30"/>
          <w:szCs w:val="30"/>
        </w:rPr>
        <w:t>1</w:t>
      </w:r>
      <w:r>
        <w:rPr>
          <w:rFonts w:hint="eastAsia" w:eastAsia="仿宋_GB2312"/>
          <w:sz w:val="30"/>
          <w:szCs w:val="28"/>
        </w:rPr>
        <w:t>个交易日内向本所报告，将结算通知书的</w:t>
      </w:r>
      <w:r>
        <w:rPr>
          <w:rFonts w:ascii="仿宋_GB2312" w:hAnsi="Calibri" w:eastAsia="仿宋_GB2312"/>
          <w:sz w:val="30"/>
          <w:szCs w:val="30"/>
        </w:rPr>
        <w:t>PDF</w:t>
      </w:r>
      <w:r>
        <w:rPr>
          <w:rFonts w:hint="eastAsia" w:eastAsia="仿宋_GB2312"/>
          <w:sz w:val="30"/>
          <w:szCs w:val="28"/>
        </w:rPr>
        <w:t>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eastAsia="仿宋_GB2312"/>
          <w:sz w:val="30"/>
          <w:szCs w:val="28"/>
        </w:rPr>
        <w:t>，邮件格式为“信用保护工具结算通知书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【结算日，即</w:t>
      </w:r>
      <w:r>
        <w:rPr>
          <w:rFonts w:ascii="仿宋_GB2312" w:hAnsi="Calibri" w:eastAsia="仿宋_GB2312"/>
          <w:sz w:val="30"/>
          <w:szCs w:val="30"/>
        </w:rPr>
        <w:t>YYYYMMDD</w:t>
      </w:r>
      <w:r>
        <w:rPr>
          <w:rFonts w:hint="eastAsia" w:eastAsia="仿宋_GB2312"/>
          <w:sz w:val="30"/>
          <w:szCs w:val="28"/>
        </w:rPr>
        <w:t>】”。</w:t>
      </w:r>
    </w:p>
    <w:p w14:paraId="343786E8">
      <w:pPr>
        <w:spacing w:line="600" w:lineRule="exact"/>
        <w:ind w:firstLine="602" w:firstLineChars="200"/>
        <w:outlineLvl w:val="3"/>
        <w:rPr>
          <w:rFonts w:ascii="仿宋_GB2312" w:eastAsia="仿宋_GB2312"/>
          <w:b/>
          <w:sz w:val="30"/>
          <w:szCs w:val="30"/>
        </w:rPr>
      </w:pPr>
      <w:bookmarkStart w:id="2213" w:name="_Toc41660742"/>
      <w:r>
        <w:rPr>
          <w:rFonts w:hint="eastAsia" w:ascii="仿宋_GB2312" w:eastAsia="仿宋_GB2312"/>
          <w:b/>
          <w:sz w:val="30"/>
          <w:szCs w:val="30"/>
        </w:rPr>
        <w:t>（3）结算期间结算安排</w:t>
      </w:r>
      <w:bookmarkEnd w:id="2213"/>
    </w:p>
    <w:p w14:paraId="708A336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应当在结算日确认相关结算要素。凭证和采用实物结算的合约，由买方通过交易系统申报相关结算要素，卖方进行确认。登记结算机构根据固定收益平台发送的数据提供T+1日逐笔全额非担保交收服务。交收以单笔现金结算或实物结算为最小单位，不办理部分交收。</w:t>
      </w:r>
    </w:p>
    <w:p w14:paraId="5E4EFD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采用实物结算方式的，买方应向卖方交付充足的可交付债务；若买方没有充足的可交付债务，可申报部分可交付债务，则卖方按照实际交付债务的数量确认结算金额。对于按季度支付保护费的合约而言，买方还需向卖方支付应付未付的保护费，即从上一次保护费支付日到信用事件决定日期间的保护费。最终采用轧差方式支付，卖方支付的金额为轧差净额。</w:t>
      </w:r>
    </w:p>
    <w:p w14:paraId="762EC33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合约采用现金结算的，交易双方可以通过登记结算机构或者自行协商的其他方式支付结算金额。通过登记结算机构办理结算金额支付的，交易双方在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w:t>
      </w:r>
    </w:p>
    <w:p w14:paraId="4F9FD5BE">
      <w:pPr>
        <w:spacing w:line="600" w:lineRule="exact"/>
        <w:ind w:firstLine="600" w:firstLineChars="200"/>
        <w:rPr>
          <w:rFonts w:ascii="仿宋_GB2312" w:eastAsia="仿宋_GB2312" w:cs="宋体"/>
          <w:sz w:val="30"/>
          <w:szCs w:val="30"/>
        </w:rPr>
      </w:pPr>
      <w:r>
        <w:rPr>
          <w:rFonts w:ascii="仿宋_GB2312" w:eastAsia="仿宋_GB2312" w:cs="宋体"/>
          <w:sz w:val="30"/>
          <w:szCs w:val="30"/>
        </w:rPr>
        <w:t>CDX</w:t>
      </w:r>
      <w:r>
        <w:rPr>
          <w:rFonts w:hint="eastAsia" w:ascii="仿宋_GB2312" w:eastAsia="仿宋_GB2312"/>
          <w:sz w:val="30"/>
          <w:szCs w:val="28"/>
        </w:rPr>
        <w:t>业务试点初期，</w:t>
      </w:r>
      <w:r>
        <w:rPr>
          <w:rFonts w:hint="eastAsia" w:ascii="仿宋_GB2312" w:eastAsia="仿宋_GB2312" w:cs="宋体"/>
          <w:sz w:val="30"/>
          <w:szCs w:val="30"/>
        </w:rPr>
        <w:t>采用实物结算的，可交付债务仅限于参考实体在上交所上市或挂牌的债券。交易双方就</w:t>
      </w:r>
      <w:r>
        <w:rPr>
          <w:rFonts w:ascii="仿宋_GB2312" w:eastAsia="仿宋_GB2312" w:cs="宋体"/>
          <w:sz w:val="30"/>
          <w:szCs w:val="30"/>
        </w:rPr>
        <w:t>CDX</w:t>
      </w:r>
      <w:r>
        <w:rPr>
          <w:rFonts w:hint="eastAsia" w:ascii="仿宋_GB2312" w:eastAsia="仿宋_GB2312" w:cs="宋体"/>
          <w:sz w:val="30"/>
          <w:szCs w:val="30"/>
        </w:rPr>
        <w:t>合约部分参考实体进行信用事件结算的，应对进行结算的部分参考实体以及结算完成后继续存续的其余部分参考实体做好记录。交易双方在通过交易系统进行</w:t>
      </w:r>
      <w:r>
        <w:rPr>
          <w:rFonts w:ascii="仿宋_GB2312" w:eastAsia="仿宋_GB2312" w:cs="宋体"/>
          <w:sz w:val="30"/>
          <w:szCs w:val="30"/>
        </w:rPr>
        <w:t>CDX</w:t>
      </w:r>
      <w:r>
        <w:rPr>
          <w:rFonts w:hint="eastAsia" w:ascii="仿宋_GB2312" w:eastAsia="仿宋_GB2312" w:cs="宋体"/>
          <w:sz w:val="30"/>
          <w:szCs w:val="30"/>
        </w:rPr>
        <w:t>合约信用事件结算申报时，可以就此进行备注。</w:t>
      </w:r>
    </w:p>
    <w:p w14:paraId="189DF19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）信用事件分歧处理</w:t>
      </w:r>
    </w:p>
    <w:p w14:paraId="08F4AEFE">
      <w:pPr>
        <w:spacing w:line="600" w:lineRule="exact"/>
        <w:ind w:firstLine="600" w:firstLineChars="200"/>
        <w:rPr>
          <w:rFonts w:eastAsia="仿宋_GB2312" w:cs="宋体"/>
          <w:sz w:val="30"/>
          <w:szCs w:val="30"/>
        </w:rPr>
      </w:pPr>
      <w:r>
        <w:rPr>
          <w:rFonts w:hint="eastAsia" w:eastAsia="仿宋_GB2312" w:cs="宋体"/>
          <w:sz w:val="30"/>
          <w:szCs w:val="30"/>
        </w:rPr>
        <w:t>若交易双方对信用事件产生分歧，交易双方可对相关分歧进行协商，也可提请信用事件专家委员会出具专家意见并组织协商。若交易双方认可信用事件专家委员会出具的专家意见或协商结果，交易双方按照相关专家意见或协商结果进行处理。</w:t>
      </w:r>
    </w:p>
    <w:p w14:paraId="685F5570">
      <w:pPr>
        <w:spacing w:line="600" w:lineRule="exact"/>
        <w:ind w:firstLine="600" w:firstLineChars="200"/>
        <w:rPr>
          <w:rFonts w:eastAsia="仿宋_GB2312" w:cs="宋体"/>
          <w:sz w:val="30"/>
          <w:szCs w:val="30"/>
        </w:rPr>
      </w:pPr>
      <w:r>
        <w:rPr>
          <w:rFonts w:hint="eastAsia" w:eastAsia="仿宋_GB2312" w:cs="宋体"/>
          <w:sz w:val="30"/>
          <w:szCs w:val="30"/>
        </w:rPr>
        <w:t>若交易双方发生争议未提交信用事件专家委员会或者不认可相关专家意见或协商结果的，交易双方可根据约定就信用事件争议事项提交仲裁或诉讼。</w:t>
      </w:r>
    </w:p>
    <w:p w14:paraId="1E2AA021">
      <w:pPr>
        <w:spacing w:line="600" w:lineRule="exact"/>
        <w:ind w:firstLine="600" w:firstLineChars="200"/>
        <w:rPr>
          <w:rFonts w:eastAsia="仿宋_GB2312" w:cs="宋体"/>
          <w:sz w:val="30"/>
          <w:szCs w:val="30"/>
        </w:rPr>
      </w:pPr>
      <w:r>
        <w:rPr>
          <w:rFonts w:hint="eastAsia" w:eastAsia="仿宋_GB2312" w:cs="宋体"/>
          <w:sz w:val="30"/>
          <w:szCs w:val="30"/>
        </w:rPr>
        <w:t>若交易双方认可的信用事件专家委员会出具的专家意见、仲裁裁决或者诉讼判决支持买方的诉求，则合约或者首份凭证信用事件通知书送达之日即为信用事件决定日，最后结算日不得晚于信用事件专家委员会专家意见、仲裁裁决书或者判决书送达卖方之日后</w:t>
      </w:r>
      <w:r>
        <w:rPr>
          <w:rFonts w:eastAsia="仿宋_GB2312" w:cs="宋体"/>
          <w:sz w:val="30"/>
          <w:szCs w:val="30"/>
        </w:rPr>
        <w:t>30</w:t>
      </w:r>
      <w:r>
        <w:rPr>
          <w:rFonts w:hint="eastAsia" w:eastAsia="仿宋_GB2312" w:cs="宋体"/>
          <w:sz w:val="30"/>
          <w:szCs w:val="30"/>
        </w:rPr>
        <w:t>个自然日。</w:t>
      </w:r>
    </w:p>
    <w:p w14:paraId="300346ED">
      <w:pPr>
        <w:numPr>
          <w:ilvl w:val="1"/>
          <w:numId w:val="4"/>
        </w:numPr>
        <w:spacing w:line="600" w:lineRule="exact"/>
        <w:ind w:left="0" w:firstLine="0"/>
        <w:outlineLvl w:val="1"/>
        <w:rPr>
          <w:rFonts w:eastAsia="仿宋_GB2312" w:cs="宋体"/>
          <w:b/>
          <w:sz w:val="30"/>
          <w:szCs w:val="30"/>
        </w:rPr>
      </w:pPr>
      <w:bookmarkStart w:id="2214" w:name="_Toc151137053"/>
      <w:r>
        <w:rPr>
          <w:rFonts w:hint="eastAsia" w:eastAsia="仿宋_GB2312" w:cs="宋体"/>
          <w:b/>
          <w:sz w:val="30"/>
          <w:szCs w:val="30"/>
        </w:rPr>
        <w:t>担保品处置</w:t>
      </w:r>
      <w:bookmarkEnd w:id="2214"/>
    </w:p>
    <w:p w14:paraId="32E8F01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p>
    <w:p w14:paraId="78B769DE">
      <w:pPr>
        <w:spacing w:line="600" w:lineRule="exact"/>
        <w:ind w:firstLine="600" w:firstLineChars="200"/>
        <w:rPr>
          <w:rFonts w:eastAsia="仿宋_GB2312" w:cs="宋体"/>
          <w:sz w:val="30"/>
          <w:szCs w:val="30"/>
        </w:rPr>
      </w:pPr>
      <w:r>
        <w:rPr>
          <w:rFonts w:hint="eastAsia" w:eastAsia="仿宋_GB2312" w:cs="宋体"/>
          <w:sz w:val="30"/>
          <w:szCs w:val="30"/>
        </w:rPr>
        <w:t>债券质押类业务出现支付违约或其他双方约定情形后，质权人（以下称处置方）根据与出质人的约定，通过本所债券</w:t>
      </w:r>
      <w:r>
        <w:rPr>
          <w:rFonts w:hint="eastAsia" w:ascii="仿宋_GB2312" w:eastAsia="仿宋_GB2312" w:cs="宋体"/>
          <w:sz w:val="30"/>
          <w:szCs w:val="30"/>
        </w:rPr>
        <w:t>担保品处置平台（以下简称处置平台，功能简介见附件</w:t>
      </w:r>
      <w:r>
        <w:rPr>
          <w:rFonts w:ascii="仿宋_GB2312" w:eastAsia="仿宋_GB2312" w:cs="宋体"/>
          <w:sz w:val="30"/>
          <w:szCs w:val="30"/>
        </w:rPr>
        <w:t>3</w:t>
      </w:r>
      <w:r>
        <w:rPr>
          <w:rFonts w:hint="eastAsia" w:ascii="仿宋_GB2312" w:eastAsia="仿宋_GB2312" w:cs="宋体"/>
          <w:sz w:val="30"/>
          <w:szCs w:val="30"/>
        </w:rPr>
        <w:t>6，地址为</w:t>
      </w:r>
      <w:r>
        <w:rPr>
          <w:rFonts w:ascii="仿宋_GB2312" w:eastAsia="仿宋_GB2312" w:cs="宋体"/>
          <w:sz w:val="30"/>
          <w:szCs w:val="30"/>
        </w:rPr>
        <w:t>https://bond.uap.sse.com.cn</w:t>
      </w:r>
      <w:r>
        <w:rPr>
          <w:rFonts w:hint="eastAsia" w:ascii="仿宋_GB2312" w:eastAsia="仿宋_GB2312" w:cs="宋体"/>
          <w:sz w:val="30"/>
          <w:szCs w:val="30"/>
        </w:rPr>
        <w:t>）对债券担保品</w:t>
      </w:r>
      <w:r>
        <w:rPr>
          <w:rFonts w:hint="eastAsia" w:eastAsia="仿宋_GB2312" w:cs="宋体"/>
          <w:sz w:val="30"/>
          <w:szCs w:val="30"/>
        </w:rPr>
        <w:t>（以下简称担保品）进行处置。本所建立处置平台为担保品处置提供专业服务与技术支持，包括对处置平台系统进行运营和维护、建立并维护处置平台合格报价团（以下简称合格报价团）等服务内容。本所提供担保品处置服务不表明对担保品的权属、风险或收益作出判断或保证，相关风险由各方自行承担。前述所称债券质押类业务，包括债券通用质押式回购、债券质押式协议回购、债券质押式三方回购及本所认定的其他业务。</w:t>
      </w:r>
    </w:p>
    <w:p w14:paraId="67B5E02B">
      <w:pPr>
        <w:spacing w:line="600" w:lineRule="exact"/>
        <w:ind w:firstLine="600" w:firstLineChars="200"/>
        <w:rPr>
          <w:rFonts w:eastAsia="仿宋_GB2312" w:cs="宋体"/>
          <w:sz w:val="30"/>
          <w:szCs w:val="30"/>
        </w:rPr>
      </w:pPr>
      <w:r>
        <w:rPr>
          <w:rFonts w:hint="eastAsia" w:eastAsia="仿宋_GB2312" w:cs="宋体"/>
          <w:sz w:val="30"/>
          <w:szCs w:val="30"/>
        </w:rPr>
        <w:t>处置平台涉及的处置报价活动应当遵循公开、公平、公正和诚实信用原则，维护处置方、出质人和报价团成员的合法权益，不得损害国家利益和社会公共利益。</w:t>
      </w:r>
    </w:p>
    <w:p w14:paraId="440364A2">
      <w:pPr>
        <w:spacing w:line="600" w:lineRule="exact"/>
        <w:ind w:firstLine="600" w:firstLineChars="200"/>
        <w:rPr>
          <w:rFonts w:eastAsia="仿宋_GB2312" w:cs="宋体"/>
          <w:sz w:val="30"/>
          <w:szCs w:val="30"/>
        </w:rPr>
      </w:pPr>
      <w:r>
        <w:rPr>
          <w:rFonts w:hint="eastAsia" w:eastAsia="仿宋_GB2312" w:cs="宋体"/>
          <w:sz w:val="30"/>
          <w:szCs w:val="30"/>
        </w:rPr>
        <w:t>处置方、合格报价团成员及其他相关主体参与担保品处置业务，应当遵守法律法规、部门规章、规范性文件、服务指引、本指南及本所其他业务规则的相关规定，确保向本所提交的相关文件及公告真实、准确、完整。处置方应当承诺其有权对相关债券担保品进行处置，待处置的债券担保品除回购交易项下形成的质押关系外，不存在其他的权属争议或权利瑕疵。</w:t>
      </w:r>
    </w:p>
    <w:p w14:paraId="1A6AE61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处置前的准备</w:t>
      </w:r>
    </w:p>
    <w:p w14:paraId="4F2734C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（1）合格报价团成员</w:t>
      </w:r>
    </w:p>
    <w:p w14:paraId="4B270C41">
      <w:pPr>
        <w:spacing w:line="600" w:lineRule="exact"/>
        <w:ind w:firstLine="600" w:firstLineChars="200"/>
        <w:rPr>
          <w:rFonts w:eastAsia="仿宋_GB2312" w:cs="宋体"/>
          <w:sz w:val="30"/>
          <w:szCs w:val="30"/>
        </w:rPr>
      </w:pPr>
      <w:r>
        <w:rPr>
          <w:rFonts w:hint="eastAsia" w:eastAsia="仿宋_GB2312" w:cs="宋体"/>
          <w:sz w:val="30"/>
          <w:szCs w:val="30"/>
        </w:rPr>
        <w:t>为保障债券担保品处置的顺利进行，本所组建合格报价团。参加担保品处置平台报价的主体应当为合格报价团成员。报价团成员应当遵守服务指引的规定，并根据债券担保品处置公告的相关要求进行合理报价，中标后及时履行缴款义务。</w:t>
      </w:r>
    </w:p>
    <w:p w14:paraId="1646F0D5">
      <w:pPr>
        <w:spacing w:line="600" w:lineRule="exact"/>
        <w:ind w:firstLine="600" w:firstLineChars="200"/>
        <w:rPr>
          <w:rFonts w:eastAsia="仿宋_GB2312" w:cs="宋体"/>
          <w:sz w:val="30"/>
          <w:szCs w:val="30"/>
        </w:rPr>
      </w:pPr>
      <w:r>
        <w:rPr>
          <w:rFonts w:hint="eastAsia" w:eastAsia="仿宋_GB2312" w:cs="宋体"/>
          <w:sz w:val="30"/>
          <w:szCs w:val="30"/>
        </w:rPr>
        <w:t>1）合格报价团的范围</w:t>
      </w:r>
    </w:p>
    <w:p w14:paraId="76488B1A">
      <w:pPr>
        <w:spacing w:line="600" w:lineRule="exact"/>
        <w:ind w:firstLine="600" w:firstLineChars="200"/>
        <w:rPr>
          <w:rFonts w:eastAsia="仿宋_GB2312" w:cs="宋体"/>
          <w:sz w:val="30"/>
          <w:szCs w:val="30"/>
        </w:rPr>
      </w:pPr>
      <w:r>
        <w:rPr>
          <w:rFonts w:hint="eastAsia" w:eastAsia="仿宋_GB2312" w:cs="宋体"/>
          <w:sz w:val="30"/>
          <w:szCs w:val="30"/>
        </w:rPr>
        <w:t>符合下列条件之一的机构可以向本所申请加入合格报价团：</w:t>
      </w:r>
    </w:p>
    <w:p w14:paraId="2B4BA6C8">
      <w:pPr>
        <w:spacing w:line="600" w:lineRule="exact"/>
        <w:ind w:firstLine="600" w:firstLineChars="200"/>
        <w:rPr>
          <w:rFonts w:eastAsia="仿宋_GB2312" w:cs="宋体"/>
          <w:sz w:val="30"/>
          <w:szCs w:val="30"/>
        </w:rPr>
      </w:pPr>
      <w:r>
        <w:rPr>
          <w:rFonts w:eastAsia="仿宋_GB2312" w:cs="宋体"/>
          <w:sz w:val="30"/>
          <w:szCs w:val="30"/>
        </w:rPr>
        <w:t>a.</w:t>
      </w:r>
      <w:r>
        <w:rPr>
          <w:rFonts w:hint="eastAsia" w:eastAsia="仿宋_GB2312" w:cs="宋体"/>
          <w:sz w:val="30"/>
          <w:szCs w:val="30"/>
        </w:rPr>
        <w:t>商业银行；</w:t>
      </w:r>
    </w:p>
    <w:p w14:paraId="5D2BDE6B">
      <w:pPr>
        <w:spacing w:line="600" w:lineRule="exact"/>
        <w:ind w:firstLine="600" w:firstLineChars="200"/>
        <w:rPr>
          <w:rFonts w:eastAsia="仿宋_GB2312" w:cs="宋体"/>
          <w:sz w:val="30"/>
          <w:szCs w:val="30"/>
        </w:rPr>
      </w:pPr>
      <w:r>
        <w:rPr>
          <w:rFonts w:eastAsia="仿宋_GB2312" w:cs="宋体"/>
          <w:sz w:val="30"/>
          <w:szCs w:val="30"/>
        </w:rPr>
        <w:t>b.</w:t>
      </w:r>
      <w:r>
        <w:rPr>
          <w:rFonts w:hint="eastAsia" w:eastAsia="仿宋_GB2312" w:cs="宋体"/>
          <w:sz w:val="30"/>
          <w:szCs w:val="30"/>
        </w:rPr>
        <w:t>证券公司；</w:t>
      </w:r>
    </w:p>
    <w:p w14:paraId="7B0D9362">
      <w:pPr>
        <w:spacing w:line="600" w:lineRule="exact"/>
        <w:ind w:firstLine="600" w:firstLineChars="200"/>
        <w:rPr>
          <w:rFonts w:eastAsia="仿宋_GB2312" w:cs="宋体"/>
          <w:sz w:val="30"/>
          <w:szCs w:val="30"/>
        </w:rPr>
      </w:pPr>
      <w:r>
        <w:rPr>
          <w:rFonts w:eastAsia="仿宋_GB2312" w:cs="宋体"/>
          <w:sz w:val="30"/>
          <w:szCs w:val="30"/>
        </w:rPr>
        <w:t>c.</w:t>
      </w:r>
      <w:r>
        <w:rPr>
          <w:rFonts w:hint="eastAsia" w:eastAsia="仿宋_GB2312" w:cs="宋体"/>
          <w:sz w:val="30"/>
          <w:szCs w:val="30"/>
        </w:rPr>
        <w:t>保险公司；</w:t>
      </w:r>
    </w:p>
    <w:p w14:paraId="3620CCB3">
      <w:pPr>
        <w:spacing w:line="600" w:lineRule="exact"/>
        <w:ind w:firstLine="600" w:firstLineChars="200"/>
        <w:rPr>
          <w:rFonts w:eastAsia="仿宋_GB2312" w:cs="宋体"/>
          <w:sz w:val="30"/>
          <w:szCs w:val="30"/>
        </w:rPr>
      </w:pPr>
      <w:r>
        <w:rPr>
          <w:rFonts w:eastAsia="仿宋_GB2312" w:cs="宋体"/>
          <w:sz w:val="30"/>
          <w:szCs w:val="30"/>
        </w:rPr>
        <w:t>d.</w:t>
      </w:r>
      <w:r>
        <w:rPr>
          <w:rFonts w:hint="eastAsia" w:eastAsia="仿宋_GB2312" w:cs="宋体"/>
          <w:sz w:val="30"/>
          <w:szCs w:val="30"/>
        </w:rPr>
        <w:t>上年末资产管理规模超过</w:t>
      </w:r>
      <w:r>
        <w:rPr>
          <w:rFonts w:ascii="仿宋_GB2312" w:eastAsia="仿宋_GB2312" w:cs="宋体"/>
          <w:sz w:val="30"/>
          <w:szCs w:val="30"/>
        </w:rPr>
        <w:t>1000</w:t>
      </w:r>
      <w:r>
        <w:rPr>
          <w:rFonts w:hint="eastAsia" w:ascii="仿宋_GB2312" w:eastAsia="仿宋_GB2312" w:cs="宋体"/>
          <w:sz w:val="30"/>
          <w:szCs w:val="30"/>
        </w:rPr>
        <w:t>亿</w:t>
      </w:r>
      <w:r>
        <w:rPr>
          <w:rFonts w:hint="eastAsia" w:eastAsia="仿宋_GB2312" w:cs="宋体"/>
          <w:sz w:val="30"/>
          <w:szCs w:val="30"/>
        </w:rPr>
        <w:t>元人民币的资产管理机构；</w:t>
      </w:r>
    </w:p>
    <w:p w14:paraId="1E6B293C">
      <w:pPr>
        <w:spacing w:line="600" w:lineRule="exact"/>
        <w:ind w:firstLine="600" w:firstLineChars="200"/>
        <w:rPr>
          <w:rFonts w:eastAsia="仿宋_GB2312" w:cs="宋体"/>
          <w:sz w:val="30"/>
          <w:szCs w:val="30"/>
        </w:rPr>
      </w:pPr>
      <w:r>
        <w:rPr>
          <w:rFonts w:eastAsia="仿宋_GB2312" w:cs="宋体"/>
          <w:sz w:val="30"/>
          <w:szCs w:val="30"/>
        </w:rPr>
        <w:t>e.</w:t>
      </w:r>
      <w:r>
        <w:rPr>
          <w:rFonts w:hint="eastAsia" w:eastAsia="仿宋_GB2312" w:cs="宋体"/>
          <w:sz w:val="30"/>
          <w:szCs w:val="30"/>
        </w:rPr>
        <w:t>金融资产管理公司；</w:t>
      </w:r>
    </w:p>
    <w:p w14:paraId="08260446">
      <w:pPr>
        <w:spacing w:line="600" w:lineRule="exact"/>
        <w:ind w:firstLine="600" w:firstLineChars="200"/>
        <w:rPr>
          <w:rFonts w:eastAsia="仿宋_GB2312" w:cs="宋体"/>
          <w:sz w:val="30"/>
          <w:szCs w:val="30"/>
        </w:rPr>
      </w:pPr>
      <w:r>
        <w:rPr>
          <w:rFonts w:eastAsia="仿宋_GB2312" w:cs="宋体"/>
          <w:sz w:val="30"/>
          <w:szCs w:val="30"/>
        </w:rPr>
        <w:t>f.</w:t>
      </w:r>
      <w:r>
        <w:rPr>
          <w:rFonts w:hint="eastAsia" w:eastAsia="仿宋_GB2312" w:cs="宋体"/>
          <w:sz w:val="30"/>
          <w:szCs w:val="30"/>
        </w:rPr>
        <w:t>本所认可的其他机构。</w:t>
      </w:r>
    </w:p>
    <w:p w14:paraId="2E5D5CE2">
      <w:pPr>
        <w:spacing w:line="600" w:lineRule="exact"/>
        <w:ind w:firstLine="600" w:firstLineChars="200"/>
        <w:rPr>
          <w:rFonts w:ascii="仿宋_GB2312" w:eastAsia="仿宋_GB2312" w:cs="宋体"/>
          <w:sz w:val="30"/>
          <w:szCs w:val="30"/>
        </w:rPr>
      </w:pPr>
      <w:r>
        <w:rPr>
          <w:rFonts w:ascii="仿宋_GB2312" w:eastAsia="仿宋_GB2312" w:cs="宋体"/>
          <w:sz w:val="30"/>
          <w:szCs w:val="30"/>
        </w:rPr>
        <w:t>2</w:t>
      </w:r>
      <w:r>
        <w:rPr>
          <w:rFonts w:hint="eastAsia" w:ascii="仿宋_GB2312" w:eastAsia="仿宋_GB2312" w:cs="宋体"/>
          <w:sz w:val="30"/>
          <w:szCs w:val="30"/>
        </w:rPr>
        <w:t>）合格报价团的申请</w:t>
      </w:r>
    </w:p>
    <w:p w14:paraId="35439410">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符合条件且有意向参与处置平台的机构可以向本所提交《上海证券交易所债券担保品处置平台合格报价团成员申请书》（格式见服务指引的附件</w:t>
      </w:r>
      <w:r>
        <w:rPr>
          <w:rFonts w:ascii="仿宋_GB2312" w:eastAsia="仿宋_GB2312" w:cs="宋体"/>
          <w:sz w:val="30"/>
          <w:szCs w:val="30"/>
        </w:rPr>
        <w:t>1</w:t>
      </w:r>
      <w:r>
        <w:rPr>
          <w:rFonts w:hint="eastAsia" w:ascii="仿宋_GB2312" w:eastAsia="仿宋_GB2312" w:cs="宋体"/>
          <w:sz w:val="30"/>
          <w:szCs w:val="30"/>
        </w:rPr>
        <w:t>）及本所要求的其他文件。提交方式为将盖章的申请材料扫描成</w:t>
      </w:r>
      <w:r>
        <w:rPr>
          <w:rFonts w:ascii="仿宋_GB2312" w:eastAsia="仿宋_GB2312" w:cs="宋体"/>
          <w:sz w:val="30"/>
          <w:szCs w:val="30"/>
        </w:rPr>
        <w:t>PDF</w:t>
      </w:r>
      <w:r>
        <w:rPr>
          <w:rFonts w:hint="eastAsia" w:ascii="仿宋_GB2312" w:eastAsia="仿宋_GB2312" w:cs="宋体"/>
          <w:sz w:val="30"/>
          <w:szCs w:val="30"/>
        </w:rPr>
        <w:t>文件通过邮箱（</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公司担保品处置平台合格报价团成员申请”。</w:t>
      </w:r>
    </w:p>
    <w:p w14:paraId="53E4A05B">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申请人材料符合要求的，确定为报价团成员。本所将定期通过上证债券信息网等对市场更新报价团的名单。</w:t>
      </w:r>
    </w:p>
    <w:p w14:paraId="77D8604C">
      <w:pPr>
        <w:spacing w:line="600" w:lineRule="exact"/>
        <w:ind w:firstLine="600" w:firstLineChars="200"/>
        <w:rPr>
          <w:rFonts w:ascii="仿宋_GB2312" w:eastAsia="仿宋_GB2312" w:cs="宋体"/>
          <w:sz w:val="30"/>
          <w:szCs w:val="30"/>
        </w:rPr>
      </w:pPr>
      <w:r>
        <w:rPr>
          <w:rFonts w:ascii="仿宋_GB2312" w:eastAsia="仿宋_GB2312" w:cs="宋体"/>
          <w:sz w:val="30"/>
          <w:szCs w:val="30"/>
        </w:rPr>
        <w:t>3</w:t>
      </w:r>
      <w:r>
        <w:rPr>
          <w:rFonts w:hint="eastAsia" w:ascii="仿宋_GB2312" w:eastAsia="仿宋_GB2312" w:cs="宋体"/>
          <w:sz w:val="30"/>
          <w:szCs w:val="30"/>
        </w:rPr>
        <w:t>）报价团成员的准备工作</w:t>
      </w:r>
    </w:p>
    <w:p w14:paraId="4A929599">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根据报价团成员的申请，本所向其配发处置平台用户数字证书（以下简称“</w:t>
      </w:r>
      <w:r>
        <w:rPr>
          <w:rFonts w:ascii="仿宋_GB2312" w:eastAsia="仿宋_GB2312" w:cs="宋体"/>
          <w:sz w:val="30"/>
          <w:szCs w:val="30"/>
        </w:rPr>
        <w:t>CA</w:t>
      </w:r>
      <w:r>
        <w:rPr>
          <w:rFonts w:hint="eastAsia" w:ascii="仿宋_GB2312" w:eastAsia="仿宋_GB2312" w:cs="宋体"/>
          <w:sz w:val="30"/>
          <w:szCs w:val="30"/>
        </w:rPr>
        <w:t>证书”，</w:t>
      </w:r>
      <w:r>
        <w:rPr>
          <w:rFonts w:ascii="仿宋_GB2312" w:eastAsia="仿宋_GB2312" w:cs="宋体"/>
          <w:sz w:val="30"/>
          <w:szCs w:val="30"/>
        </w:rPr>
        <w:t>CA</w:t>
      </w:r>
      <w:r>
        <w:rPr>
          <w:rFonts w:hint="eastAsia" w:ascii="仿宋_GB2312" w:eastAsia="仿宋_GB2312" w:cs="宋体"/>
          <w:sz w:val="30"/>
          <w:szCs w:val="30"/>
        </w:rPr>
        <w:t>证书办理流程见附件</w:t>
      </w:r>
      <w:r>
        <w:rPr>
          <w:rFonts w:ascii="仿宋_GB2312" w:eastAsia="仿宋_GB2312" w:cs="宋体"/>
          <w:sz w:val="30"/>
          <w:szCs w:val="30"/>
        </w:rPr>
        <w:t>3</w:t>
      </w:r>
      <w:r>
        <w:rPr>
          <w:rFonts w:hint="eastAsia" w:ascii="仿宋_GB2312" w:eastAsia="仿宋_GB2312" w:cs="宋体"/>
          <w:sz w:val="30"/>
          <w:szCs w:val="30"/>
        </w:rPr>
        <w:t>7）和系统用户名和密码。</w:t>
      </w:r>
    </w:p>
    <w:p w14:paraId="3373986D">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报价团成员确认在债券登记结算机构开立的债券账户状态正常。报价团成员需要新开立债券账户的，按照债券登记结算机构规定办理。</w:t>
      </w:r>
    </w:p>
    <w:p w14:paraId="060B8A24">
      <w:pPr>
        <w:spacing w:line="600" w:lineRule="exact"/>
        <w:ind w:firstLine="600" w:firstLineChars="200"/>
        <w:rPr>
          <w:rFonts w:eastAsia="仿宋_GB2312" w:cs="宋体"/>
          <w:sz w:val="30"/>
          <w:szCs w:val="30"/>
        </w:rPr>
      </w:pPr>
      <w:r>
        <w:rPr>
          <w:rFonts w:hint="eastAsia" w:ascii="仿宋_GB2312" w:eastAsia="仿宋_GB2312" w:cs="宋体"/>
          <w:sz w:val="30"/>
          <w:szCs w:val="30"/>
        </w:rPr>
        <w:t>报价团成员应自备</w:t>
      </w:r>
      <w:r>
        <w:rPr>
          <w:rFonts w:ascii="仿宋_GB2312" w:eastAsia="仿宋_GB2312" w:cs="宋体"/>
          <w:sz w:val="30"/>
          <w:szCs w:val="30"/>
        </w:rPr>
        <w:t>2</w:t>
      </w:r>
      <w:r>
        <w:rPr>
          <w:rFonts w:hint="eastAsia" w:ascii="仿宋_GB2312" w:eastAsia="仿宋_GB2312" w:cs="宋体"/>
          <w:sz w:val="30"/>
          <w:szCs w:val="30"/>
        </w:rPr>
        <w:t>台能接入互联网的电脑用于接入处置平台，一台主用，一台备用。该电脑应支持</w:t>
      </w:r>
      <w:r>
        <w:rPr>
          <w:rFonts w:ascii="仿宋_GB2312" w:eastAsia="仿宋_GB2312" w:cs="宋体"/>
          <w:sz w:val="30"/>
          <w:szCs w:val="30"/>
        </w:rPr>
        <w:t>USB</w:t>
      </w:r>
      <w:r>
        <w:rPr>
          <w:rFonts w:hint="eastAsia" w:ascii="仿宋_GB2312" w:eastAsia="仿宋_GB2312" w:cs="宋体"/>
          <w:sz w:val="30"/>
          <w:szCs w:val="30"/>
        </w:rPr>
        <w:t>接口</w:t>
      </w:r>
      <w:r>
        <w:rPr>
          <w:rFonts w:hint="eastAsia" w:eastAsia="仿宋_GB2312" w:cs="宋体"/>
          <w:sz w:val="30"/>
          <w:szCs w:val="30"/>
        </w:rPr>
        <w:t>，以便安装有</w:t>
      </w:r>
      <w:r>
        <w:rPr>
          <w:rFonts w:ascii="仿宋_GB2312" w:eastAsia="仿宋_GB2312" w:cs="宋体"/>
          <w:sz w:val="30"/>
          <w:szCs w:val="30"/>
        </w:rPr>
        <w:t>CA</w:t>
      </w:r>
      <w:r>
        <w:rPr>
          <w:rFonts w:hint="eastAsia" w:ascii="仿宋_GB2312" w:eastAsia="仿宋_GB2312" w:cs="宋体"/>
          <w:sz w:val="30"/>
          <w:szCs w:val="30"/>
        </w:rPr>
        <w:t>证书的</w:t>
      </w:r>
      <w:r>
        <w:rPr>
          <w:rFonts w:ascii="仿宋_GB2312" w:eastAsia="仿宋_GB2312" w:cs="宋体"/>
          <w:sz w:val="30"/>
          <w:szCs w:val="30"/>
        </w:rPr>
        <w:t>EKey</w:t>
      </w:r>
      <w:r>
        <w:rPr>
          <w:rFonts w:hint="eastAsia" w:eastAsia="仿宋_GB2312" w:cs="宋体"/>
          <w:sz w:val="30"/>
          <w:szCs w:val="30"/>
        </w:rPr>
        <w:t>能插入使用。</w:t>
      </w:r>
    </w:p>
    <w:p w14:paraId="7809CF70">
      <w:pPr>
        <w:spacing w:line="600" w:lineRule="exact"/>
        <w:ind w:firstLine="600" w:firstLineChars="200"/>
        <w:rPr>
          <w:rFonts w:eastAsia="仿宋_GB2312" w:cs="宋体"/>
          <w:sz w:val="30"/>
          <w:szCs w:val="30"/>
        </w:rPr>
      </w:pPr>
      <w:r>
        <w:rPr>
          <w:rFonts w:hint="eastAsia" w:eastAsia="仿宋_GB2312" w:cs="宋体"/>
          <w:sz w:val="30"/>
          <w:szCs w:val="30"/>
        </w:rPr>
        <w:t>4）报价团资格调整</w:t>
      </w:r>
    </w:p>
    <w:p w14:paraId="39ADEE50">
      <w:pPr>
        <w:spacing w:line="600" w:lineRule="exact"/>
        <w:ind w:firstLine="600" w:firstLineChars="200"/>
        <w:rPr>
          <w:rFonts w:eastAsia="仿宋_GB2312" w:cs="宋体"/>
          <w:sz w:val="30"/>
          <w:szCs w:val="30"/>
        </w:rPr>
      </w:pPr>
      <w:r>
        <w:rPr>
          <w:rFonts w:hint="eastAsia" w:eastAsia="仿宋_GB2312" w:cs="宋体"/>
          <w:sz w:val="30"/>
          <w:szCs w:val="30"/>
        </w:rPr>
        <w:t>本所负责合格报价团的持续期管理。合格报价团成员存在以下情形之一的，本所可取消其合格报价团成员资格：</w:t>
      </w:r>
    </w:p>
    <w:p w14:paraId="2692D722">
      <w:pPr>
        <w:spacing w:line="600" w:lineRule="exact"/>
        <w:ind w:firstLine="600" w:firstLineChars="200"/>
        <w:rPr>
          <w:rFonts w:eastAsia="仿宋_GB2312" w:cs="宋体"/>
          <w:sz w:val="30"/>
          <w:szCs w:val="30"/>
        </w:rPr>
      </w:pPr>
      <w:r>
        <w:rPr>
          <w:rFonts w:hint="eastAsia" w:eastAsia="仿宋_GB2312" w:cs="宋体"/>
          <w:sz w:val="30"/>
          <w:szCs w:val="30"/>
        </w:rPr>
        <w:t>a.中标后超过缴款截止日期未缴款或缴款不足；</w:t>
      </w:r>
    </w:p>
    <w:p w14:paraId="1A26FF69">
      <w:pPr>
        <w:spacing w:line="600" w:lineRule="exact"/>
        <w:ind w:firstLine="600" w:firstLineChars="200"/>
        <w:rPr>
          <w:rFonts w:eastAsia="仿宋_GB2312" w:cs="宋体"/>
          <w:sz w:val="30"/>
          <w:szCs w:val="30"/>
        </w:rPr>
      </w:pPr>
      <w:r>
        <w:rPr>
          <w:rFonts w:hint="eastAsia" w:eastAsia="仿宋_GB2312" w:cs="宋体"/>
          <w:sz w:val="30"/>
          <w:szCs w:val="30"/>
        </w:rPr>
        <w:t>b.与其他成员恶意串通，影响处置报价；</w:t>
      </w:r>
    </w:p>
    <w:p w14:paraId="6542E5CE">
      <w:pPr>
        <w:spacing w:line="600" w:lineRule="exact"/>
        <w:ind w:firstLine="600" w:firstLineChars="200"/>
        <w:rPr>
          <w:rFonts w:eastAsia="仿宋_GB2312" w:cs="宋体"/>
          <w:sz w:val="30"/>
          <w:szCs w:val="30"/>
        </w:rPr>
      </w:pPr>
      <w:r>
        <w:rPr>
          <w:rFonts w:hint="eastAsia" w:eastAsia="仿宋_GB2312" w:cs="宋体"/>
          <w:sz w:val="30"/>
          <w:szCs w:val="30"/>
        </w:rPr>
        <w:t>c.本所认为应当取消参团资格的其他情形。</w:t>
      </w:r>
    </w:p>
    <w:p w14:paraId="1A99279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）处置方与处置标的范围</w:t>
      </w:r>
    </w:p>
    <w:p w14:paraId="3C358C91">
      <w:pPr>
        <w:spacing w:line="600" w:lineRule="exact"/>
        <w:ind w:firstLine="600" w:firstLineChars="200"/>
        <w:rPr>
          <w:rFonts w:eastAsia="仿宋_GB2312" w:cs="宋体"/>
          <w:sz w:val="30"/>
          <w:szCs w:val="30"/>
        </w:rPr>
      </w:pPr>
      <w:r>
        <w:rPr>
          <w:rFonts w:hint="eastAsia" w:eastAsia="仿宋_GB2312" w:cs="宋体"/>
          <w:sz w:val="30"/>
          <w:szCs w:val="30"/>
        </w:rPr>
        <w:t>1）处置方的范围</w:t>
      </w:r>
    </w:p>
    <w:p w14:paraId="39EE53BC">
      <w:pPr>
        <w:spacing w:line="600" w:lineRule="exact"/>
        <w:ind w:firstLine="600" w:firstLineChars="200"/>
        <w:rPr>
          <w:rFonts w:eastAsia="仿宋_GB2312" w:cs="宋体"/>
          <w:sz w:val="30"/>
          <w:szCs w:val="30"/>
        </w:rPr>
      </w:pPr>
      <w:r>
        <w:rPr>
          <w:rFonts w:hint="eastAsia" w:eastAsia="仿宋_GB2312" w:cs="宋体"/>
          <w:sz w:val="30"/>
          <w:szCs w:val="30"/>
        </w:rPr>
        <w:t>在业务试点初期，可以参与的处置方包括：</w:t>
      </w:r>
    </w:p>
    <w:p w14:paraId="11E83B74">
      <w:pPr>
        <w:spacing w:line="600" w:lineRule="exact"/>
        <w:ind w:firstLine="600" w:firstLineChars="200"/>
        <w:rPr>
          <w:rFonts w:eastAsia="仿宋_GB2312" w:cs="宋体"/>
          <w:sz w:val="30"/>
          <w:szCs w:val="30"/>
        </w:rPr>
      </w:pPr>
      <w:r>
        <w:rPr>
          <w:rFonts w:hint="eastAsia" w:eastAsia="仿宋_GB2312" w:cs="宋体"/>
          <w:sz w:val="30"/>
          <w:szCs w:val="30"/>
        </w:rPr>
        <w:t>a.债券登记结算机构；</w:t>
      </w:r>
    </w:p>
    <w:p w14:paraId="1FB3A26D">
      <w:pPr>
        <w:spacing w:line="600" w:lineRule="exact"/>
        <w:ind w:firstLine="600" w:firstLineChars="200"/>
        <w:rPr>
          <w:rFonts w:eastAsia="仿宋_GB2312" w:cs="宋体"/>
          <w:sz w:val="30"/>
          <w:szCs w:val="30"/>
        </w:rPr>
      </w:pPr>
      <w:r>
        <w:rPr>
          <w:rFonts w:hint="eastAsia" w:eastAsia="仿宋_GB2312" w:cs="宋体"/>
          <w:sz w:val="30"/>
          <w:szCs w:val="30"/>
        </w:rPr>
        <w:t>b.协议回购的逆回购方；</w:t>
      </w:r>
    </w:p>
    <w:p w14:paraId="4D41D5D5">
      <w:pPr>
        <w:spacing w:line="600" w:lineRule="exact"/>
        <w:ind w:firstLine="600" w:firstLineChars="200"/>
        <w:rPr>
          <w:rFonts w:eastAsia="仿宋_GB2312" w:cs="宋体"/>
          <w:sz w:val="30"/>
          <w:szCs w:val="30"/>
        </w:rPr>
      </w:pPr>
      <w:r>
        <w:rPr>
          <w:rFonts w:hint="eastAsia" w:eastAsia="仿宋_GB2312" w:cs="宋体"/>
          <w:sz w:val="30"/>
          <w:szCs w:val="30"/>
        </w:rPr>
        <w:t>c.三方回购的逆回购方；</w:t>
      </w:r>
    </w:p>
    <w:p w14:paraId="48A8CD5C">
      <w:pPr>
        <w:spacing w:line="600" w:lineRule="exact"/>
        <w:ind w:firstLine="600" w:firstLineChars="200"/>
        <w:rPr>
          <w:rFonts w:eastAsia="仿宋_GB2312" w:cs="宋体"/>
          <w:sz w:val="30"/>
          <w:szCs w:val="30"/>
        </w:rPr>
      </w:pPr>
      <w:r>
        <w:rPr>
          <w:rFonts w:hint="eastAsia" w:eastAsia="仿宋_GB2312" w:cs="宋体"/>
          <w:sz w:val="30"/>
          <w:szCs w:val="30"/>
        </w:rPr>
        <w:t>d.本所认可的其他机构。</w:t>
      </w:r>
    </w:p>
    <w:p w14:paraId="1A9E9CAF">
      <w:pPr>
        <w:spacing w:line="600" w:lineRule="exact"/>
        <w:ind w:firstLine="600" w:firstLineChars="200"/>
        <w:rPr>
          <w:rFonts w:eastAsia="仿宋_GB2312" w:cs="宋体"/>
          <w:sz w:val="30"/>
          <w:szCs w:val="30"/>
        </w:rPr>
      </w:pPr>
      <w:r>
        <w:rPr>
          <w:rFonts w:hint="eastAsia" w:eastAsia="仿宋_GB2312" w:cs="宋体"/>
          <w:sz w:val="30"/>
          <w:szCs w:val="30"/>
        </w:rPr>
        <w:t>处置方应当承诺其有权对相关债券担保品进行处置，待处置的债券担保品除回购交易项下形成的质押关系之外，不存在其他的权属争议或权利瑕疵。</w:t>
      </w:r>
    </w:p>
    <w:p w14:paraId="2D5FCEAB">
      <w:pPr>
        <w:spacing w:line="600" w:lineRule="exact"/>
        <w:ind w:firstLine="600" w:firstLineChars="200"/>
        <w:rPr>
          <w:rFonts w:eastAsia="仿宋_GB2312" w:cs="宋体"/>
          <w:sz w:val="30"/>
          <w:szCs w:val="30"/>
        </w:rPr>
      </w:pPr>
      <w:r>
        <w:rPr>
          <w:rFonts w:hint="eastAsia" w:eastAsia="仿宋_GB2312" w:cs="宋体"/>
          <w:sz w:val="30"/>
          <w:szCs w:val="30"/>
        </w:rPr>
        <w:t>2）处置品种</w:t>
      </w:r>
    </w:p>
    <w:p w14:paraId="29E07BE9">
      <w:pPr>
        <w:spacing w:line="600" w:lineRule="exact"/>
        <w:ind w:firstLine="600" w:firstLineChars="200"/>
        <w:rPr>
          <w:rFonts w:eastAsia="仿宋_GB2312" w:cs="宋体"/>
          <w:sz w:val="30"/>
          <w:szCs w:val="30"/>
        </w:rPr>
      </w:pPr>
      <w:r>
        <w:rPr>
          <w:rFonts w:hint="eastAsia" w:eastAsia="仿宋_GB2312" w:cs="宋体"/>
          <w:sz w:val="30"/>
          <w:szCs w:val="30"/>
        </w:rPr>
        <w:t>在业务试点初期，处置平台可以支持的处置品种包括在指定登记结算机构托管并按规定办理质押的各类担保品，包括但不限于国债、地方政府债券、金融债、公司债券、可转债、资产支持证券以及本所认可的其他债券。</w:t>
      </w:r>
    </w:p>
    <w:p w14:paraId="5C6469A8">
      <w:pPr>
        <w:spacing w:line="600" w:lineRule="exact"/>
        <w:ind w:firstLine="600" w:firstLineChars="200"/>
        <w:rPr>
          <w:rFonts w:eastAsia="仿宋_GB2312" w:cs="宋体"/>
          <w:sz w:val="30"/>
          <w:szCs w:val="30"/>
        </w:rPr>
      </w:pPr>
      <w:r>
        <w:rPr>
          <w:rFonts w:hint="eastAsia" w:eastAsia="仿宋_GB2312" w:cs="宋体"/>
          <w:sz w:val="30"/>
          <w:szCs w:val="30"/>
        </w:rPr>
        <w:t>本所可以调整通过处置平台处置的担保品范围。</w:t>
      </w:r>
    </w:p>
    <w:p w14:paraId="285CD8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）处置申请前的准备</w:t>
      </w:r>
    </w:p>
    <w:p w14:paraId="1A5E75F6">
      <w:pPr>
        <w:spacing w:line="600" w:lineRule="exact"/>
        <w:ind w:firstLine="600" w:firstLineChars="200"/>
        <w:rPr>
          <w:rFonts w:eastAsia="仿宋_GB2312" w:cs="宋体"/>
          <w:sz w:val="30"/>
          <w:szCs w:val="30"/>
        </w:rPr>
      </w:pPr>
      <w:r>
        <w:rPr>
          <w:rFonts w:hint="eastAsia" w:eastAsia="仿宋_GB2312" w:cs="宋体"/>
          <w:sz w:val="30"/>
          <w:szCs w:val="30"/>
        </w:rPr>
        <w:t>1）处置方确定处置模式</w:t>
      </w:r>
    </w:p>
    <w:p w14:paraId="65C78239">
      <w:pPr>
        <w:spacing w:line="600" w:lineRule="exact"/>
        <w:ind w:firstLine="600" w:firstLineChars="200"/>
        <w:rPr>
          <w:rFonts w:eastAsia="仿宋_GB2312" w:cs="宋体"/>
          <w:sz w:val="30"/>
          <w:szCs w:val="30"/>
        </w:rPr>
      </w:pPr>
      <w:r>
        <w:rPr>
          <w:rFonts w:hint="eastAsia" w:eastAsia="仿宋_GB2312" w:cs="宋体"/>
          <w:sz w:val="30"/>
          <w:szCs w:val="30"/>
        </w:rPr>
        <w:t>处置方可选择资产包或单只债券处置模式对担保品进行处置。</w:t>
      </w:r>
    </w:p>
    <w:p w14:paraId="5DA3B589">
      <w:pPr>
        <w:spacing w:line="600" w:lineRule="exact"/>
        <w:ind w:firstLine="600" w:firstLineChars="200"/>
        <w:rPr>
          <w:rFonts w:eastAsia="仿宋_GB2312" w:cs="宋体"/>
          <w:sz w:val="30"/>
          <w:szCs w:val="30"/>
        </w:rPr>
      </w:pPr>
      <w:r>
        <w:rPr>
          <w:rFonts w:hint="eastAsia" w:eastAsia="仿宋_GB2312" w:cs="宋体"/>
          <w:sz w:val="30"/>
          <w:szCs w:val="30"/>
        </w:rPr>
        <w:t>a. 资产包处置模式</w:t>
      </w:r>
    </w:p>
    <w:p w14:paraId="5A2F76F6">
      <w:pPr>
        <w:spacing w:line="600" w:lineRule="exact"/>
        <w:ind w:firstLine="600" w:firstLineChars="200"/>
        <w:rPr>
          <w:rFonts w:eastAsia="仿宋_GB2312" w:cs="宋体"/>
          <w:sz w:val="30"/>
          <w:szCs w:val="30"/>
        </w:rPr>
      </w:pPr>
      <w:r>
        <w:rPr>
          <w:rFonts w:hint="eastAsia" w:eastAsia="仿宋_GB2312" w:cs="宋体"/>
          <w:sz w:val="30"/>
          <w:szCs w:val="30"/>
        </w:rPr>
        <w:t>资产包处置模式是指以资产包为单位处置债券担保品，资产包不可拆分，由多只债券担保品组成。单个资产包的面值总和不得低于</w:t>
      </w:r>
      <w:r>
        <w:rPr>
          <w:rFonts w:ascii="仿宋_GB2312" w:eastAsia="仿宋_GB2312" w:cs="宋体"/>
          <w:sz w:val="30"/>
          <w:szCs w:val="30"/>
        </w:rPr>
        <w:t>1,000</w:t>
      </w:r>
      <w:r>
        <w:rPr>
          <w:rFonts w:hint="eastAsia" w:ascii="仿宋_GB2312" w:eastAsia="仿宋_GB2312" w:cs="宋体"/>
          <w:sz w:val="30"/>
          <w:szCs w:val="30"/>
        </w:rPr>
        <w:t>万元人民</w:t>
      </w:r>
      <w:r>
        <w:rPr>
          <w:rFonts w:hint="eastAsia" w:eastAsia="仿宋_GB2312" w:cs="宋体"/>
          <w:sz w:val="30"/>
          <w:szCs w:val="30"/>
        </w:rPr>
        <w:t>币，不得超过</w:t>
      </w:r>
      <w:r>
        <w:rPr>
          <w:rFonts w:ascii="仿宋_GB2312" w:eastAsia="仿宋_GB2312" w:cs="宋体"/>
          <w:sz w:val="30"/>
          <w:szCs w:val="30"/>
        </w:rPr>
        <w:t>10</w:t>
      </w:r>
      <w:r>
        <w:rPr>
          <w:rFonts w:hint="eastAsia" w:ascii="仿宋_GB2312" w:eastAsia="仿宋_GB2312" w:cs="宋体"/>
          <w:sz w:val="30"/>
          <w:szCs w:val="30"/>
        </w:rPr>
        <w:t>亿</w:t>
      </w:r>
      <w:r>
        <w:rPr>
          <w:rFonts w:hint="eastAsia" w:eastAsia="仿宋_GB2312" w:cs="宋体"/>
          <w:sz w:val="30"/>
          <w:szCs w:val="30"/>
        </w:rPr>
        <w:t>元人民币。处置方在申请处置时，需要提交待处置的资产包明细清单与资产包最低处置价格。报价团成员对单个资产包报价，采取“价高者得”的中标原则，相同报价时，申报时间优先者得。</w:t>
      </w:r>
    </w:p>
    <w:p w14:paraId="22320377">
      <w:pPr>
        <w:spacing w:line="600" w:lineRule="exact"/>
        <w:ind w:firstLine="600" w:firstLineChars="200"/>
        <w:rPr>
          <w:rFonts w:eastAsia="仿宋_GB2312" w:cs="宋体"/>
          <w:sz w:val="30"/>
          <w:szCs w:val="30"/>
        </w:rPr>
      </w:pPr>
      <w:r>
        <w:rPr>
          <w:rFonts w:hint="eastAsia" w:eastAsia="仿宋_GB2312" w:cs="宋体"/>
          <w:sz w:val="30"/>
          <w:szCs w:val="30"/>
        </w:rPr>
        <w:t>b. 单只债券处置模式</w:t>
      </w:r>
    </w:p>
    <w:p w14:paraId="05F0BC43">
      <w:pPr>
        <w:spacing w:line="600" w:lineRule="exact"/>
        <w:ind w:firstLine="600" w:firstLineChars="200"/>
        <w:rPr>
          <w:rFonts w:eastAsia="仿宋_GB2312" w:cs="宋体"/>
          <w:sz w:val="30"/>
          <w:szCs w:val="30"/>
        </w:rPr>
      </w:pPr>
      <w:r>
        <w:rPr>
          <w:rFonts w:hint="eastAsia" w:eastAsia="仿宋_GB2312" w:cs="宋体"/>
          <w:sz w:val="30"/>
          <w:szCs w:val="30"/>
        </w:rPr>
        <w:t>单只债券处置模式是指以单只债券为单位处置债券担保品，原则上不设规模限制，采用荷兰式招标方式产生处置结果。处置平台将各报价团成员的有效报价按价格从高到低进行排序，并将报价数额累加，直至满足预定处置额或将全部有效标位募完为止。此时的价位点便称为边际价位点，中标的报价团都以此价格中标。</w:t>
      </w:r>
    </w:p>
    <w:p w14:paraId="2356A939">
      <w:pPr>
        <w:spacing w:line="600" w:lineRule="exact"/>
        <w:ind w:firstLine="600" w:firstLineChars="200"/>
        <w:rPr>
          <w:rFonts w:eastAsia="仿宋_GB2312" w:cs="宋体"/>
          <w:sz w:val="30"/>
          <w:szCs w:val="30"/>
        </w:rPr>
      </w:pPr>
      <w:r>
        <w:rPr>
          <w:rFonts w:hint="eastAsia" w:eastAsia="仿宋_GB2312" w:cs="宋体"/>
          <w:sz w:val="30"/>
          <w:szCs w:val="30"/>
        </w:rPr>
        <w:t>若发生尾数量，处置平台按规则进行尾数量的自动分配，以完成处置。若边际价位点的报价量无法全部中标，即边际价位点的报价总量大于预定处置额减去优于边际价位点的所有报价的有效报价总量，以该边际价位点的各价位的报价量为权重按舍去法进行报价量分配。分配完成后，若存在尾数量，即若预定处置额大于总中标量，则按照报价时间顺序、先投先得原则进行尾数量的分配，优先将尾数量分配至报价时间最早的报价团成员的边际价位（即等于边际价位点的价位），若该报价团成员的边际价位的未中标量小于尾数量，则继续分配至报价时间次之的报价团成员的边际价位，直到尾数量分配完毕为止。</w:t>
      </w:r>
    </w:p>
    <w:p w14:paraId="57E8DB63">
      <w:pPr>
        <w:spacing w:line="600" w:lineRule="exact"/>
        <w:ind w:firstLine="600" w:firstLineChars="200"/>
        <w:rPr>
          <w:rFonts w:eastAsia="仿宋_GB2312" w:cs="宋体"/>
          <w:sz w:val="30"/>
          <w:szCs w:val="30"/>
        </w:rPr>
      </w:pPr>
      <w:r>
        <w:rPr>
          <w:rFonts w:hint="eastAsia" w:eastAsia="仿宋_GB2312" w:cs="宋体"/>
          <w:sz w:val="30"/>
          <w:szCs w:val="30"/>
        </w:rPr>
        <w:t>2）处置方确定报价团模式</w:t>
      </w:r>
    </w:p>
    <w:p w14:paraId="44B43DA7">
      <w:pPr>
        <w:spacing w:line="600" w:lineRule="exact"/>
        <w:ind w:firstLine="600" w:firstLineChars="200"/>
        <w:rPr>
          <w:rFonts w:eastAsia="仿宋_GB2312" w:cs="宋体"/>
          <w:sz w:val="30"/>
          <w:szCs w:val="30"/>
        </w:rPr>
      </w:pPr>
      <w:r>
        <w:rPr>
          <w:rFonts w:hint="eastAsia" w:eastAsia="仿宋_GB2312" w:cs="宋体"/>
          <w:sz w:val="30"/>
          <w:szCs w:val="30"/>
        </w:rPr>
        <w:t>处置方可选择下列两种报价团模式参与担保品处置：</w:t>
      </w:r>
    </w:p>
    <w:p w14:paraId="7E561FF2">
      <w:pPr>
        <w:spacing w:line="600" w:lineRule="exact"/>
        <w:ind w:firstLine="600" w:firstLineChars="200"/>
        <w:rPr>
          <w:rFonts w:eastAsia="仿宋_GB2312" w:cs="宋体"/>
          <w:sz w:val="30"/>
          <w:szCs w:val="30"/>
        </w:rPr>
      </w:pPr>
      <w:r>
        <w:rPr>
          <w:rFonts w:hint="eastAsia" w:eastAsia="仿宋_GB2312" w:cs="宋体"/>
          <w:sz w:val="30"/>
          <w:szCs w:val="30"/>
        </w:rPr>
        <w:t>a. 面向全部合格报价团成员处置；</w:t>
      </w:r>
    </w:p>
    <w:p w14:paraId="37F14BE5">
      <w:pPr>
        <w:spacing w:line="600" w:lineRule="exact"/>
        <w:ind w:firstLine="600" w:firstLineChars="200"/>
        <w:rPr>
          <w:rFonts w:eastAsia="仿宋_GB2312" w:cs="宋体"/>
          <w:sz w:val="30"/>
          <w:szCs w:val="30"/>
        </w:rPr>
      </w:pPr>
      <w:r>
        <w:rPr>
          <w:rFonts w:hint="eastAsia" w:eastAsia="仿宋_GB2312" w:cs="宋体"/>
          <w:sz w:val="30"/>
          <w:szCs w:val="30"/>
        </w:rPr>
        <w:t>处置方面向本所“合格报价团”全部成员进行债券担保品处置。</w:t>
      </w:r>
    </w:p>
    <w:p w14:paraId="79F12146">
      <w:pPr>
        <w:spacing w:line="600" w:lineRule="exact"/>
        <w:ind w:firstLine="600" w:firstLineChars="200"/>
        <w:rPr>
          <w:rFonts w:eastAsia="仿宋_GB2312" w:cs="宋体"/>
          <w:sz w:val="30"/>
          <w:szCs w:val="30"/>
        </w:rPr>
      </w:pPr>
      <w:r>
        <w:rPr>
          <w:rFonts w:hint="eastAsia" w:eastAsia="仿宋_GB2312" w:cs="宋体"/>
          <w:sz w:val="30"/>
          <w:szCs w:val="30"/>
        </w:rPr>
        <w:t>b. 面向指定报价团成员处置。</w:t>
      </w:r>
    </w:p>
    <w:p w14:paraId="53605CE2">
      <w:pPr>
        <w:spacing w:line="600" w:lineRule="exact"/>
        <w:ind w:firstLine="600" w:firstLineChars="200"/>
        <w:rPr>
          <w:rFonts w:eastAsia="仿宋_GB2312" w:cs="宋体"/>
          <w:sz w:val="30"/>
          <w:szCs w:val="30"/>
        </w:rPr>
      </w:pPr>
      <w:r>
        <w:rPr>
          <w:rFonts w:hint="eastAsia" w:eastAsia="仿宋_GB2312" w:cs="宋体"/>
          <w:sz w:val="30"/>
          <w:szCs w:val="30"/>
        </w:rPr>
        <w:t>处置方选择面向指定报价团进行处置的，可以在合格报价团范围</w:t>
      </w:r>
      <w:r>
        <w:rPr>
          <w:rFonts w:hint="eastAsia" w:ascii="仿宋_GB2312" w:eastAsia="仿宋_GB2312" w:cs="宋体"/>
          <w:sz w:val="30"/>
          <w:szCs w:val="30"/>
        </w:rPr>
        <w:t>内选择</w:t>
      </w:r>
      <w:r>
        <w:rPr>
          <w:rFonts w:hint="eastAsia" w:eastAsia="仿宋_GB2312" w:cs="宋体"/>
          <w:sz w:val="30"/>
          <w:szCs w:val="30"/>
        </w:rPr>
        <w:t>不少于</w:t>
      </w:r>
      <w:r>
        <w:rPr>
          <w:rFonts w:ascii="仿宋_GB2312" w:eastAsia="仿宋_GB2312" w:cs="宋体"/>
          <w:sz w:val="30"/>
          <w:szCs w:val="30"/>
        </w:rPr>
        <w:t>20</w:t>
      </w:r>
      <w:r>
        <w:rPr>
          <w:rFonts w:hint="eastAsia" w:ascii="仿宋_GB2312" w:eastAsia="仿宋_GB2312" w:cs="宋体"/>
          <w:sz w:val="30"/>
          <w:szCs w:val="30"/>
        </w:rPr>
        <w:t>家</w:t>
      </w:r>
      <w:r>
        <w:rPr>
          <w:rFonts w:hint="eastAsia" w:eastAsia="仿宋_GB2312" w:cs="宋体"/>
          <w:sz w:val="30"/>
          <w:szCs w:val="30"/>
        </w:rPr>
        <w:t>合格报价团成员组成指定报价团参加担保品处置报价。</w:t>
      </w:r>
    </w:p>
    <w:p w14:paraId="09A1BF8D">
      <w:pPr>
        <w:spacing w:line="600" w:lineRule="exact"/>
        <w:ind w:firstLine="600" w:firstLineChars="200"/>
        <w:rPr>
          <w:rFonts w:eastAsia="仿宋_GB2312" w:cs="宋体"/>
          <w:sz w:val="30"/>
          <w:szCs w:val="30"/>
        </w:rPr>
      </w:pPr>
      <w:r>
        <w:rPr>
          <w:rFonts w:hint="eastAsia" w:eastAsia="仿宋_GB2312" w:cs="宋体"/>
          <w:sz w:val="30"/>
          <w:szCs w:val="30"/>
        </w:rPr>
        <w:t>3）处置方确定最低处置价格</w:t>
      </w:r>
    </w:p>
    <w:p w14:paraId="73AC5087">
      <w:pPr>
        <w:spacing w:line="600" w:lineRule="exact"/>
        <w:ind w:firstLine="600" w:firstLineChars="200"/>
        <w:rPr>
          <w:rFonts w:eastAsia="仿宋_GB2312" w:cs="宋体"/>
          <w:sz w:val="30"/>
          <w:szCs w:val="30"/>
        </w:rPr>
      </w:pPr>
      <w:r>
        <w:rPr>
          <w:rFonts w:hint="eastAsia" w:eastAsia="仿宋_GB2312" w:cs="宋体"/>
          <w:sz w:val="30"/>
          <w:szCs w:val="30"/>
        </w:rPr>
        <w:t>最低处置价格指处置方可以接受的被处置担保品的最低处置总金额。处置方应当合理设定最低处置价格，并就最低处置价格的设定方法进行说明，相关说明应在担保品处置公告中予以披露，确保在担保品被顺利处置的同时有效保障出质人的合法权益。</w:t>
      </w:r>
    </w:p>
    <w:p w14:paraId="2F1C0A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处置申请的受理与公告</w:t>
      </w:r>
    </w:p>
    <w:p w14:paraId="2C96B46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）申请文件的一致性</w:t>
      </w:r>
    </w:p>
    <w:p w14:paraId="3F130F81">
      <w:pPr>
        <w:spacing w:line="600" w:lineRule="exact"/>
        <w:ind w:firstLine="600" w:firstLineChars="200"/>
        <w:rPr>
          <w:rFonts w:eastAsia="仿宋_GB2312" w:cs="宋体"/>
          <w:sz w:val="30"/>
          <w:szCs w:val="30"/>
        </w:rPr>
      </w:pPr>
      <w:r>
        <w:rPr>
          <w:rFonts w:hint="eastAsia" w:eastAsia="仿宋_GB2312" w:cs="宋体"/>
          <w:sz w:val="30"/>
          <w:szCs w:val="30"/>
        </w:rPr>
        <w:t>处置方、中介机构及其相关机构应当确保不同申请文件之间、申请文件前后之间、申请文件与其已披露的其他文件之间的相关内容与表述一致。</w:t>
      </w:r>
    </w:p>
    <w:p w14:paraId="50CCE0AD">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）一般处置方的申请受理</w:t>
      </w:r>
    </w:p>
    <w:p w14:paraId="2737D962">
      <w:pPr>
        <w:spacing w:line="600" w:lineRule="exact"/>
        <w:ind w:firstLine="600" w:firstLineChars="200"/>
        <w:rPr>
          <w:rFonts w:eastAsia="仿宋_GB2312" w:cs="宋体"/>
          <w:sz w:val="30"/>
          <w:szCs w:val="30"/>
        </w:rPr>
      </w:pPr>
      <w:r>
        <w:rPr>
          <w:rFonts w:hint="eastAsia" w:eastAsia="仿宋_GB2312" w:cs="宋体"/>
          <w:sz w:val="30"/>
          <w:szCs w:val="30"/>
        </w:rPr>
        <w:t>协议回购、三方回购市场的逆回购方拟作为处置方进行担保品处置的，应当向本所报送以下申请文件：</w:t>
      </w:r>
    </w:p>
    <w:p w14:paraId="0A3DF110">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）处置方出具的《上海证券交易所债券担保品处置平台处置服务申请》（格式见服务指引的附</w:t>
      </w:r>
      <w:r>
        <w:rPr>
          <w:rFonts w:hint="eastAsia" w:ascii="仿宋_GB2312" w:eastAsia="仿宋_GB2312" w:cs="宋体"/>
          <w:sz w:val="30"/>
          <w:szCs w:val="30"/>
        </w:rPr>
        <w:t>件</w:t>
      </w:r>
      <w:r>
        <w:rPr>
          <w:rFonts w:ascii="仿宋_GB2312" w:eastAsia="仿宋_GB2312" w:cs="宋体"/>
          <w:sz w:val="30"/>
          <w:szCs w:val="30"/>
        </w:rPr>
        <w:t>2</w:t>
      </w:r>
      <w:r>
        <w:rPr>
          <w:rFonts w:hint="eastAsia" w:ascii="仿宋_GB2312" w:eastAsia="仿宋_GB2312" w:cs="宋体"/>
          <w:sz w:val="30"/>
          <w:szCs w:val="30"/>
        </w:rPr>
        <w:t>）</w:t>
      </w:r>
      <w:r>
        <w:rPr>
          <w:rFonts w:hint="eastAsia" w:eastAsia="仿宋_GB2312" w:cs="宋体"/>
          <w:sz w:val="30"/>
          <w:szCs w:val="30"/>
        </w:rPr>
        <w:t>；</w:t>
      </w:r>
    </w:p>
    <w:p w14:paraId="03115C72">
      <w:pPr>
        <w:spacing w:line="600" w:lineRule="exact"/>
        <w:ind w:firstLine="600" w:firstLineChars="200"/>
        <w:rPr>
          <w:rFonts w:eastAsia="仿宋_GB2312" w:cs="宋体"/>
          <w:sz w:val="30"/>
          <w:szCs w:val="30"/>
        </w:rPr>
      </w:pPr>
      <w:r>
        <w:rPr>
          <w:rFonts w:hint="eastAsia" w:eastAsia="仿宋_GB2312" w:cs="宋体"/>
          <w:sz w:val="30"/>
          <w:szCs w:val="30"/>
        </w:rPr>
        <w:t>2). 出质人出具的《同意债券担保品处置的声明》（如有，格式见服务指引的附</w:t>
      </w:r>
      <w:r>
        <w:rPr>
          <w:rFonts w:hint="eastAsia" w:ascii="仿宋_GB2312" w:eastAsia="仿宋_GB2312" w:cs="宋体"/>
          <w:sz w:val="30"/>
          <w:szCs w:val="30"/>
        </w:rPr>
        <w:t>件</w:t>
      </w:r>
      <w:r>
        <w:rPr>
          <w:rFonts w:ascii="仿宋_GB2312" w:eastAsia="仿宋_GB2312" w:cs="宋体"/>
          <w:sz w:val="30"/>
          <w:szCs w:val="30"/>
        </w:rPr>
        <w:t>3</w:t>
      </w:r>
      <w:r>
        <w:rPr>
          <w:rFonts w:hint="eastAsia" w:ascii="仿宋_GB2312" w:eastAsia="仿宋_GB2312" w:cs="宋体"/>
          <w:sz w:val="30"/>
          <w:szCs w:val="30"/>
        </w:rPr>
        <w:t>）</w:t>
      </w:r>
      <w:r>
        <w:rPr>
          <w:rFonts w:hint="eastAsia" w:eastAsia="仿宋_GB2312" w:cs="宋体"/>
          <w:sz w:val="30"/>
          <w:szCs w:val="30"/>
        </w:rPr>
        <w:t>；</w:t>
      </w:r>
    </w:p>
    <w:p w14:paraId="49718538">
      <w:pPr>
        <w:spacing w:line="600" w:lineRule="exact"/>
        <w:ind w:firstLine="600" w:firstLineChars="200"/>
        <w:rPr>
          <w:rFonts w:eastAsia="仿宋_GB2312" w:cs="宋体"/>
          <w:sz w:val="30"/>
          <w:szCs w:val="30"/>
        </w:rPr>
      </w:pPr>
      <w:r>
        <w:rPr>
          <w:rFonts w:hint="eastAsia" w:eastAsia="仿宋_GB2312" w:cs="宋体"/>
          <w:sz w:val="30"/>
          <w:szCs w:val="30"/>
        </w:rPr>
        <w:t>3). 律师事务所出具的法律意见书；</w:t>
      </w:r>
    </w:p>
    <w:p w14:paraId="27004162">
      <w:pPr>
        <w:spacing w:line="600" w:lineRule="exact"/>
        <w:ind w:firstLine="600" w:firstLineChars="200"/>
        <w:rPr>
          <w:rFonts w:eastAsia="仿宋_GB2312" w:cs="宋体"/>
          <w:sz w:val="30"/>
          <w:szCs w:val="30"/>
        </w:rPr>
      </w:pPr>
      <w:r>
        <w:rPr>
          <w:rFonts w:hint="eastAsia" w:eastAsia="仿宋_GB2312" w:cs="宋体"/>
          <w:sz w:val="30"/>
          <w:szCs w:val="30"/>
        </w:rPr>
        <w:t>4). 债券担保品处置公告（格式见服务指引的附</w:t>
      </w:r>
      <w:r>
        <w:rPr>
          <w:rFonts w:hint="eastAsia" w:ascii="仿宋_GB2312" w:eastAsia="仿宋_GB2312" w:cs="宋体"/>
          <w:sz w:val="30"/>
          <w:szCs w:val="30"/>
        </w:rPr>
        <w:t>件</w:t>
      </w:r>
      <w:r>
        <w:rPr>
          <w:rFonts w:ascii="仿宋_GB2312" w:eastAsia="仿宋_GB2312" w:cs="宋体"/>
          <w:sz w:val="30"/>
          <w:szCs w:val="30"/>
        </w:rPr>
        <w:t>4</w:t>
      </w:r>
      <w:r>
        <w:rPr>
          <w:rFonts w:hint="eastAsia" w:ascii="仿宋_GB2312" w:eastAsia="仿宋_GB2312" w:cs="宋体"/>
          <w:sz w:val="30"/>
          <w:szCs w:val="30"/>
        </w:rPr>
        <w:t>）；</w:t>
      </w:r>
    </w:p>
    <w:p w14:paraId="0D2A6C53">
      <w:pPr>
        <w:spacing w:line="600" w:lineRule="exact"/>
        <w:ind w:firstLine="600" w:firstLineChars="200"/>
        <w:rPr>
          <w:rFonts w:ascii="仿宋_GB2312" w:eastAsia="仿宋_GB2312" w:cs="宋体"/>
          <w:sz w:val="30"/>
          <w:szCs w:val="30"/>
        </w:rPr>
      </w:pPr>
      <w:r>
        <w:rPr>
          <w:rFonts w:hint="eastAsia" w:eastAsia="仿宋_GB2312" w:cs="宋体"/>
          <w:sz w:val="30"/>
          <w:szCs w:val="30"/>
        </w:rPr>
        <w:t>5). 指定报价团成员名单及联系方式（如有，格式见附件</w:t>
      </w:r>
      <w:r>
        <w:rPr>
          <w:rFonts w:ascii="仿宋_GB2312" w:eastAsia="仿宋_GB2312" w:cs="宋体"/>
          <w:sz w:val="30"/>
          <w:szCs w:val="30"/>
        </w:rPr>
        <w:t>38</w:t>
      </w:r>
      <w:r>
        <w:rPr>
          <w:rFonts w:hint="eastAsia" w:ascii="仿宋_GB2312" w:eastAsia="仿宋_GB2312" w:cs="宋体"/>
          <w:sz w:val="30"/>
          <w:szCs w:val="30"/>
        </w:rPr>
        <w:t>）</w:t>
      </w:r>
    </w:p>
    <w:p w14:paraId="0EADEDC4">
      <w:pPr>
        <w:spacing w:line="600" w:lineRule="exact"/>
        <w:ind w:firstLine="600" w:firstLineChars="200"/>
        <w:rPr>
          <w:rFonts w:eastAsia="仿宋_GB2312" w:cs="宋体"/>
          <w:sz w:val="30"/>
          <w:szCs w:val="30"/>
        </w:rPr>
      </w:pPr>
      <w:r>
        <w:rPr>
          <w:rFonts w:hint="eastAsia" w:eastAsia="仿宋_GB2312" w:cs="宋体"/>
          <w:sz w:val="30"/>
          <w:szCs w:val="30"/>
        </w:rPr>
        <w:t>6). 担保品处置现场负责人及进入担保品处置场所的人员名单（格式见附</w:t>
      </w:r>
      <w:r>
        <w:rPr>
          <w:rFonts w:hint="eastAsia" w:ascii="仿宋_GB2312" w:eastAsia="仿宋_GB2312" w:cs="宋体"/>
          <w:sz w:val="30"/>
          <w:szCs w:val="30"/>
        </w:rPr>
        <w:t>件</w:t>
      </w:r>
      <w:r>
        <w:rPr>
          <w:rFonts w:ascii="仿宋_GB2312" w:eastAsia="仿宋_GB2312" w:cs="宋体"/>
          <w:sz w:val="30"/>
          <w:szCs w:val="30"/>
        </w:rPr>
        <w:t>39</w:t>
      </w:r>
      <w:r>
        <w:rPr>
          <w:rFonts w:hint="eastAsia" w:ascii="仿宋_GB2312" w:eastAsia="仿宋_GB2312" w:cs="宋体"/>
          <w:sz w:val="30"/>
          <w:szCs w:val="30"/>
        </w:rPr>
        <w:t>）；</w:t>
      </w:r>
    </w:p>
    <w:p w14:paraId="647FE116">
      <w:pPr>
        <w:spacing w:line="600" w:lineRule="exact"/>
        <w:ind w:firstLine="600" w:firstLineChars="200"/>
        <w:rPr>
          <w:rFonts w:eastAsia="仿宋_GB2312" w:cs="宋体"/>
          <w:sz w:val="30"/>
          <w:szCs w:val="30"/>
        </w:rPr>
      </w:pPr>
      <w:r>
        <w:rPr>
          <w:rFonts w:hint="eastAsia" w:eastAsia="仿宋_GB2312" w:cs="宋体"/>
          <w:sz w:val="30"/>
          <w:szCs w:val="30"/>
        </w:rPr>
        <w:t>7). 本所要求的其他文件。</w:t>
      </w:r>
    </w:p>
    <w:p w14:paraId="69981D3D">
      <w:pPr>
        <w:spacing w:line="600" w:lineRule="exact"/>
        <w:ind w:firstLine="600" w:firstLineChars="200"/>
        <w:rPr>
          <w:rFonts w:eastAsia="仿宋_GB2312" w:cs="宋体"/>
          <w:sz w:val="30"/>
          <w:szCs w:val="30"/>
        </w:rPr>
      </w:pPr>
      <w:r>
        <w:rPr>
          <w:rFonts w:hint="eastAsia" w:eastAsia="仿宋_GB2312" w:cs="宋体"/>
          <w:sz w:val="30"/>
          <w:szCs w:val="30"/>
        </w:rPr>
        <w:t>若质权人与出质人在债券质押类业务交易申报中明确约定违约情形下质权人有权处置违约合同项下所质押债券担保品，则无须提交上述第</w:t>
      </w:r>
      <w:r>
        <w:rPr>
          <w:rFonts w:hint="eastAsia" w:ascii="仿宋_GB2312" w:eastAsia="仿宋_GB2312" w:cs="宋体"/>
          <w:sz w:val="30"/>
          <w:szCs w:val="30"/>
        </w:rPr>
        <w:t>（</w:t>
      </w:r>
      <w:r>
        <w:rPr>
          <w:rFonts w:ascii="仿宋_GB2312" w:eastAsia="仿宋_GB2312" w:cs="宋体"/>
          <w:sz w:val="30"/>
          <w:szCs w:val="30"/>
        </w:rPr>
        <w:t>2</w:t>
      </w:r>
      <w:r>
        <w:rPr>
          <w:rFonts w:hint="eastAsia" w:ascii="仿宋_GB2312" w:eastAsia="仿宋_GB2312" w:cs="宋体"/>
          <w:sz w:val="30"/>
          <w:szCs w:val="30"/>
        </w:rPr>
        <w:t>）项申请文件。法律意见书应包括但不限于担保品处置的法律合规性意见。日期安排方面，通常情况下，缴款截止日（</w:t>
      </w:r>
      <w:r>
        <w:rPr>
          <w:rFonts w:ascii="仿宋_GB2312" w:eastAsia="仿宋_GB2312" w:cs="宋体"/>
          <w:sz w:val="30"/>
          <w:szCs w:val="30"/>
        </w:rPr>
        <w:t>T+1</w:t>
      </w:r>
      <w:r>
        <w:rPr>
          <w:rFonts w:hint="eastAsia" w:ascii="仿宋_GB2312" w:eastAsia="仿宋_GB2312" w:cs="宋体"/>
          <w:sz w:val="30"/>
          <w:szCs w:val="30"/>
        </w:rPr>
        <w:t>日）为处置日（</w:t>
      </w:r>
      <w:r>
        <w:rPr>
          <w:rFonts w:ascii="仿宋_GB2312" w:eastAsia="仿宋_GB2312" w:cs="宋体"/>
          <w:sz w:val="30"/>
          <w:szCs w:val="30"/>
        </w:rPr>
        <w:t>T</w:t>
      </w:r>
      <w:r>
        <w:rPr>
          <w:rFonts w:hint="eastAsia" w:ascii="仿宋_GB2312" w:eastAsia="仿宋_GB2312" w:cs="宋体"/>
          <w:sz w:val="30"/>
          <w:szCs w:val="30"/>
        </w:rPr>
        <w:t>日）的下一个交易日，担保品交付截止日期（</w:t>
      </w:r>
      <w:r>
        <w:rPr>
          <w:rFonts w:ascii="仿宋_GB2312" w:eastAsia="仿宋_GB2312" w:cs="宋体"/>
          <w:sz w:val="30"/>
          <w:szCs w:val="30"/>
        </w:rPr>
        <w:t>T+2</w:t>
      </w:r>
      <w:r>
        <w:rPr>
          <w:rFonts w:hint="eastAsia" w:ascii="仿宋_GB2312" w:eastAsia="仿宋_GB2312" w:cs="宋体"/>
          <w:sz w:val="30"/>
          <w:szCs w:val="30"/>
        </w:rPr>
        <w:t>日）为缴款截止日的下一个交易日。担保品交付后的下一个交易日（</w:t>
      </w:r>
      <w:r>
        <w:rPr>
          <w:rFonts w:ascii="仿宋_GB2312" w:eastAsia="仿宋_GB2312" w:cs="宋体"/>
          <w:sz w:val="30"/>
          <w:szCs w:val="30"/>
        </w:rPr>
        <w:t>T+3</w:t>
      </w:r>
      <w:r>
        <w:rPr>
          <w:rFonts w:hint="eastAsia" w:ascii="仿宋_GB2312" w:eastAsia="仿宋_GB2312" w:cs="宋体"/>
          <w:sz w:val="30"/>
          <w:szCs w:val="30"/>
        </w:rPr>
        <w:t>日），报</w:t>
      </w:r>
      <w:r>
        <w:rPr>
          <w:rFonts w:hint="eastAsia" w:eastAsia="仿宋_GB2312" w:cs="宋体"/>
          <w:sz w:val="30"/>
          <w:szCs w:val="30"/>
        </w:rPr>
        <w:t>价团成员中标的债券可以进行交易或转让。采用全部合格报价团模式的，无须提</w:t>
      </w:r>
      <w:r>
        <w:rPr>
          <w:rFonts w:hint="eastAsia" w:ascii="仿宋_GB2312" w:eastAsia="仿宋_GB2312" w:cs="宋体"/>
          <w:sz w:val="30"/>
          <w:szCs w:val="30"/>
        </w:rPr>
        <w:t>交第（五）</w:t>
      </w:r>
      <w:r>
        <w:rPr>
          <w:rFonts w:hint="eastAsia" w:eastAsia="仿宋_GB2312" w:cs="宋体"/>
          <w:sz w:val="30"/>
          <w:szCs w:val="30"/>
        </w:rPr>
        <w:t>项申请文件。</w:t>
      </w:r>
    </w:p>
    <w:p w14:paraId="215E11D2">
      <w:pPr>
        <w:spacing w:line="600" w:lineRule="exact"/>
        <w:ind w:firstLine="600" w:firstLineChars="200"/>
        <w:rPr>
          <w:rFonts w:eastAsia="仿宋_GB2312" w:cs="宋体"/>
          <w:sz w:val="30"/>
          <w:szCs w:val="30"/>
        </w:rPr>
      </w:pPr>
      <w:r>
        <w:rPr>
          <w:rFonts w:hint="eastAsia" w:eastAsia="仿宋_GB2312" w:cs="宋体"/>
          <w:sz w:val="30"/>
          <w:szCs w:val="30"/>
        </w:rPr>
        <w:t>提交方式为将申请材料扫描成</w:t>
      </w:r>
      <w:r>
        <w:rPr>
          <w:rFonts w:ascii="仿宋_GB2312" w:eastAsia="仿宋_GB2312" w:cs="宋体"/>
          <w:sz w:val="30"/>
          <w:szCs w:val="30"/>
        </w:rPr>
        <w:t>PDF</w:t>
      </w:r>
      <w:r>
        <w:rPr>
          <w:rFonts w:hint="eastAsia" w:eastAsia="仿宋_GB2312" w:cs="宋体"/>
          <w:sz w:val="30"/>
          <w:szCs w:val="30"/>
        </w:rPr>
        <w:t>文件通过邮箱</w:t>
      </w:r>
      <w:r>
        <w:rPr>
          <w:rFonts w:hint="eastAsia" w:ascii="仿宋_GB2312" w:eastAsia="仿宋_GB2312" w:cs="宋体"/>
          <w:sz w:val="30"/>
          <w:szCs w:val="30"/>
        </w:rPr>
        <w:t>（</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）期担保品处置服务申请</w:t>
      </w:r>
      <w:r>
        <w:rPr>
          <w:rFonts w:hint="eastAsia" w:eastAsia="仿宋_GB2312" w:cs="宋体"/>
          <w:sz w:val="30"/>
          <w:szCs w:val="30"/>
        </w:rPr>
        <w:t>”。发送后，经办人员应向本所债券担保品处置服务联系人（见附</w:t>
      </w:r>
      <w:r>
        <w:rPr>
          <w:rFonts w:hint="eastAsia" w:ascii="仿宋_GB2312" w:eastAsia="仿宋_GB2312" w:cs="宋体"/>
          <w:sz w:val="30"/>
          <w:szCs w:val="30"/>
        </w:rPr>
        <w:t>件</w:t>
      </w:r>
      <w:r>
        <w:rPr>
          <w:rFonts w:ascii="仿宋_GB2312" w:eastAsia="仿宋_GB2312" w:cs="宋体"/>
          <w:sz w:val="30"/>
          <w:szCs w:val="30"/>
        </w:rPr>
        <w:t>40</w:t>
      </w:r>
      <w:r>
        <w:rPr>
          <w:rFonts w:hint="eastAsia" w:ascii="仿宋_GB2312" w:eastAsia="仿宋_GB2312" w:cs="宋体"/>
          <w:sz w:val="30"/>
          <w:szCs w:val="30"/>
        </w:rPr>
        <w:t>）确</w:t>
      </w:r>
      <w:r>
        <w:rPr>
          <w:rFonts w:hint="eastAsia" w:eastAsia="仿宋_GB2312" w:cs="宋体"/>
          <w:sz w:val="30"/>
          <w:szCs w:val="30"/>
        </w:rPr>
        <w:t>认。</w:t>
      </w:r>
    </w:p>
    <w:p w14:paraId="54D92D0A">
      <w:pPr>
        <w:spacing w:line="600" w:lineRule="exact"/>
        <w:ind w:firstLine="600" w:firstLineChars="200"/>
        <w:rPr>
          <w:rFonts w:eastAsia="仿宋_GB2312" w:cs="宋体"/>
          <w:sz w:val="30"/>
          <w:szCs w:val="30"/>
        </w:rPr>
      </w:pPr>
      <w:r>
        <w:rPr>
          <w:rFonts w:hint="eastAsia" w:eastAsia="仿宋_GB2312" w:cs="宋体"/>
          <w:sz w:val="30"/>
          <w:szCs w:val="30"/>
        </w:rPr>
        <w:t>本所收到一般处置方的申请文件</w:t>
      </w:r>
      <w:r>
        <w:rPr>
          <w:rFonts w:ascii="仿宋_GB2312" w:eastAsia="仿宋_GB2312" w:cs="宋体"/>
          <w:sz w:val="30"/>
          <w:szCs w:val="30"/>
        </w:rPr>
        <w:t>3</w:t>
      </w:r>
      <w:r>
        <w:rPr>
          <w:rFonts w:hint="eastAsia" w:ascii="仿宋_GB2312" w:eastAsia="仿宋_GB2312" w:cs="宋体"/>
          <w:sz w:val="30"/>
          <w:szCs w:val="30"/>
        </w:rPr>
        <w:t>个</w:t>
      </w:r>
      <w:r>
        <w:rPr>
          <w:rFonts w:hint="eastAsia" w:eastAsia="仿宋_GB2312" w:cs="宋体"/>
          <w:sz w:val="30"/>
          <w:szCs w:val="30"/>
        </w:rPr>
        <w:t>交易日内对申请文件是否符合要求进行核对。要件不齐备的，本所以电话、邮件等方式一次性告知补充事项。要件齐备的，本所通知处置方启动处置流程。</w:t>
      </w:r>
    </w:p>
    <w:p w14:paraId="744F43D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）技术服务协议</w:t>
      </w:r>
    </w:p>
    <w:p w14:paraId="16EA2035">
      <w:pPr>
        <w:spacing w:line="600" w:lineRule="exact"/>
        <w:ind w:firstLine="600" w:firstLineChars="200"/>
        <w:rPr>
          <w:rFonts w:eastAsia="仿宋_GB2312" w:cs="宋体"/>
          <w:sz w:val="30"/>
          <w:szCs w:val="30"/>
        </w:rPr>
      </w:pPr>
      <w:r>
        <w:rPr>
          <w:rFonts w:hint="eastAsia" w:eastAsia="仿宋_GB2312" w:cs="宋体"/>
          <w:sz w:val="30"/>
          <w:szCs w:val="30"/>
        </w:rPr>
        <w:t>处置方收到启动处置流程的通知后，应在处置日前与本所签订签署《上海证券交易所债券担保品处置技术服务协议》。（格式见服务指引的附</w:t>
      </w:r>
      <w:r>
        <w:rPr>
          <w:rFonts w:hint="eastAsia" w:ascii="仿宋_GB2312" w:eastAsia="仿宋_GB2312" w:cs="宋体"/>
          <w:sz w:val="30"/>
          <w:szCs w:val="30"/>
        </w:rPr>
        <w:t>件</w:t>
      </w:r>
      <w:r>
        <w:rPr>
          <w:rFonts w:ascii="仿宋_GB2312" w:eastAsia="仿宋_GB2312" w:cs="宋体"/>
          <w:sz w:val="30"/>
          <w:szCs w:val="30"/>
        </w:rPr>
        <w:t>5</w:t>
      </w:r>
      <w:r>
        <w:rPr>
          <w:rFonts w:hint="eastAsia" w:ascii="仿宋_GB2312" w:eastAsia="仿宋_GB2312" w:cs="宋体"/>
          <w:sz w:val="30"/>
          <w:szCs w:val="30"/>
        </w:rPr>
        <w:t>）。</w:t>
      </w:r>
    </w:p>
    <w:p w14:paraId="4F561ABA">
      <w:pPr>
        <w:spacing w:line="600" w:lineRule="exact"/>
        <w:ind w:firstLine="600" w:firstLineChars="200"/>
        <w:rPr>
          <w:rFonts w:eastAsia="仿宋_GB2312" w:cs="宋体"/>
          <w:sz w:val="30"/>
          <w:szCs w:val="30"/>
        </w:rPr>
      </w:pPr>
      <w:r>
        <w:rPr>
          <w:rFonts w:hint="eastAsia" w:eastAsia="仿宋_GB2312" w:cs="宋体"/>
          <w:sz w:val="30"/>
          <w:szCs w:val="30"/>
        </w:rPr>
        <w:t>处置方将技术服务协议文件填写完毕经授权代表签字和加盖本公司公章后再扫描成</w:t>
      </w:r>
      <w:r>
        <w:rPr>
          <w:rFonts w:ascii="仿宋_GB2312" w:eastAsia="仿宋_GB2312" w:cs="宋体"/>
          <w:sz w:val="30"/>
          <w:szCs w:val="30"/>
        </w:rPr>
        <w:t>PDF</w:t>
      </w:r>
      <w:r>
        <w:rPr>
          <w:rFonts w:hint="eastAsia" w:ascii="仿宋_GB2312" w:eastAsia="仿宋_GB2312" w:cs="宋体"/>
          <w:sz w:val="30"/>
          <w:szCs w:val="30"/>
        </w:rPr>
        <w:t>文件通过邮箱发送至本所债券业务部，从而完成技术服务协议的签署。邮件标题格式为“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w:t>
      </w:r>
      <w:r>
        <w:rPr>
          <w:rFonts w:hint="eastAsia" w:eastAsia="仿宋_GB2312" w:cs="宋体"/>
          <w:sz w:val="30"/>
          <w:szCs w:val="30"/>
        </w:rPr>
        <w:t>置技术服务协议”。发送后，经办人员应向本所债券担保品处置服务联系人确认。</w:t>
      </w:r>
    </w:p>
    <w:p w14:paraId="51324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）一般处置方的处置公告</w:t>
      </w:r>
    </w:p>
    <w:p w14:paraId="6E655EC8">
      <w:pPr>
        <w:spacing w:line="600" w:lineRule="exact"/>
        <w:ind w:firstLine="600" w:firstLineChars="200"/>
        <w:rPr>
          <w:rFonts w:eastAsia="仿宋_GB2312" w:cs="宋体"/>
          <w:sz w:val="30"/>
          <w:szCs w:val="30"/>
        </w:rPr>
      </w:pPr>
      <w:r>
        <w:rPr>
          <w:rFonts w:hint="eastAsia" w:eastAsia="仿宋_GB2312" w:cs="宋体"/>
          <w:sz w:val="30"/>
          <w:szCs w:val="30"/>
        </w:rPr>
        <w:t>处置方应当于担保</w:t>
      </w:r>
      <w:r>
        <w:rPr>
          <w:rFonts w:hint="eastAsia" w:ascii="仿宋_GB2312" w:eastAsia="仿宋_GB2312" w:cs="宋体"/>
          <w:sz w:val="30"/>
          <w:szCs w:val="30"/>
        </w:rPr>
        <w:t>品处置日前</w:t>
      </w:r>
      <w:r>
        <w:rPr>
          <w:rFonts w:ascii="仿宋_GB2312" w:eastAsia="仿宋_GB2312" w:cs="宋体"/>
          <w:sz w:val="30"/>
          <w:szCs w:val="30"/>
        </w:rPr>
        <w:t>3</w:t>
      </w:r>
      <w:r>
        <w:rPr>
          <w:rFonts w:hint="eastAsia" w:ascii="仿宋_GB2312" w:eastAsia="仿宋_GB2312" w:cs="宋体"/>
          <w:sz w:val="30"/>
          <w:szCs w:val="30"/>
        </w:rPr>
        <w:t>个交易日（</w:t>
      </w:r>
      <w:r>
        <w:rPr>
          <w:rFonts w:ascii="仿宋_GB2312" w:eastAsia="仿宋_GB2312" w:cs="宋体"/>
          <w:sz w:val="30"/>
          <w:szCs w:val="30"/>
        </w:rPr>
        <w:t>T-3</w:t>
      </w:r>
      <w:r>
        <w:rPr>
          <w:rFonts w:hint="eastAsia" w:ascii="仿宋_GB2312" w:eastAsia="仿宋_GB2312" w:cs="宋体"/>
          <w:sz w:val="30"/>
          <w:szCs w:val="30"/>
        </w:rPr>
        <w:t>日）</w:t>
      </w:r>
      <w:r>
        <w:rPr>
          <w:rFonts w:hint="eastAsia" w:eastAsia="仿宋_GB2312" w:cs="宋体"/>
          <w:sz w:val="30"/>
          <w:szCs w:val="30"/>
        </w:rPr>
        <w:t>将处置公告通过上交所处置平台向市场发布。处置公告等各类公开文件中不得披露出质人的身份。</w:t>
      </w:r>
    </w:p>
    <w:p w14:paraId="74CDAB26">
      <w:pPr>
        <w:spacing w:line="600" w:lineRule="exact"/>
        <w:ind w:firstLine="600" w:firstLineChars="200"/>
        <w:rPr>
          <w:rFonts w:eastAsia="仿宋_GB2312" w:cs="宋体"/>
          <w:sz w:val="30"/>
          <w:szCs w:val="30"/>
        </w:rPr>
      </w:pPr>
      <w:r>
        <w:rPr>
          <w:rFonts w:hint="eastAsia" w:eastAsia="仿宋_GB2312" w:cs="宋体"/>
          <w:sz w:val="30"/>
          <w:szCs w:val="30"/>
        </w:rPr>
        <w:t>处置方将处置公告等文件</w:t>
      </w:r>
      <w:r>
        <w:rPr>
          <w:rFonts w:hint="eastAsia" w:ascii="仿宋_GB2312" w:eastAsia="仿宋_GB2312" w:cs="宋体"/>
          <w:sz w:val="30"/>
          <w:szCs w:val="30"/>
        </w:rPr>
        <w:t>扫描成</w:t>
      </w:r>
      <w:r>
        <w:rPr>
          <w:rFonts w:ascii="仿宋_GB2312" w:eastAsia="仿宋_GB2312" w:cs="宋体"/>
          <w:sz w:val="30"/>
          <w:szCs w:val="30"/>
        </w:rPr>
        <w:t>PDF</w:t>
      </w:r>
      <w:r>
        <w:rPr>
          <w:rFonts w:hint="eastAsia" w:ascii="仿宋_GB2312" w:eastAsia="仿宋_GB2312" w:cs="宋体"/>
          <w:sz w:val="30"/>
          <w:szCs w:val="30"/>
        </w:rPr>
        <w:t>文件后通过邮箱发送至本所债券业务部，由本所技术支持人员代为上传到处置平台。邮件标题格式为“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w:t>
      </w:r>
      <w:r>
        <w:rPr>
          <w:rFonts w:hint="eastAsia" w:eastAsia="仿宋_GB2312" w:cs="宋体"/>
          <w:sz w:val="30"/>
          <w:szCs w:val="30"/>
        </w:rPr>
        <w:t>保品处置的处置公告”。</w:t>
      </w:r>
    </w:p>
    <w:p w14:paraId="41856FE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）登记结算机构的处置委托及公告</w:t>
      </w:r>
    </w:p>
    <w:p w14:paraId="2BAA7295">
      <w:pPr>
        <w:spacing w:line="600" w:lineRule="exact"/>
        <w:ind w:firstLine="600" w:firstLineChars="200"/>
        <w:rPr>
          <w:rFonts w:eastAsia="仿宋_GB2312" w:cs="宋体"/>
          <w:sz w:val="30"/>
          <w:szCs w:val="30"/>
        </w:rPr>
      </w:pPr>
      <w:r>
        <w:rPr>
          <w:rFonts w:hint="eastAsia" w:eastAsia="仿宋_GB2312" w:cs="宋体"/>
          <w:sz w:val="30"/>
          <w:szCs w:val="30"/>
        </w:rPr>
        <w:t>对于登记结算机构的处置申请，本所将采用简化流程优先处理。登记结算机构应于处置日前</w:t>
      </w:r>
      <w:r>
        <w:rPr>
          <w:rFonts w:hint="eastAsia" w:ascii="仿宋_GB2312" w:eastAsia="仿宋_GB2312" w:cs="宋体"/>
          <w:sz w:val="30"/>
          <w:szCs w:val="30"/>
        </w:rPr>
        <w:t>一工作日（</w:t>
      </w:r>
      <w:r>
        <w:rPr>
          <w:rFonts w:ascii="仿宋_GB2312" w:eastAsia="仿宋_GB2312" w:cs="宋体"/>
          <w:sz w:val="30"/>
          <w:szCs w:val="30"/>
        </w:rPr>
        <w:t>T-1</w:t>
      </w:r>
      <w:r>
        <w:rPr>
          <w:rFonts w:hint="eastAsia" w:ascii="仿宋_GB2312" w:eastAsia="仿宋_GB2312" w:cs="宋体"/>
          <w:sz w:val="30"/>
          <w:szCs w:val="30"/>
        </w:rPr>
        <w:t>日）向本所提交《上海证券交易所债券担保品处置公告》，并通过处置平台向市场发布。具体提交方式和一般处置方提</w:t>
      </w:r>
      <w:r>
        <w:rPr>
          <w:rFonts w:hint="eastAsia" w:eastAsia="仿宋_GB2312" w:cs="宋体"/>
          <w:sz w:val="30"/>
          <w:szCs w:val="30"/>
        </w:rPr>
        <w:t>交处置公告相同。</w:t>
      </w:r>
    </w:p>
    <w:p w14:paraId="2803AE2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）担保品处置的取消</w:t>
      </w:r>
    </w:p>
    <w:p w14:paraId="22EC9444">
      <w:pPr>
        <w:spacing w:line="600" w:lineRule="exact"/>
        <w:ind w:firstLine="600" w:firstLineChars="200"/>
        <w:rPr>
          <w:rFonts w:ascii="仿宋_GB2312" w:eastAsia="仿宋_GB2312" w:cs="宋体"/>
          <w:sz w:val="30"/>
          <w:szCs w:val="30"/>
        </w:rPr>
      </w:pPr>
      <w:r>
        <w:rPr>
          <w:rFonts w:hint="eastAsia" w:eastAsia="仿宋_GB2312" w:cs="宋体"/>
          <w:sz w:val="30"/>
          <w:szCs w:val="30"/>
        </w:rPr>
        <w:t>担保品处置服务申请提交后，处置方确需对处置取消或延期和变更的，原则上应当在处置日前</w:t>
      </w:r>
      <w:r>
        <w:rPr>
          <w:rFonts w:hint="eastAsia" w:ascii="仿宋_GB2312" w:eastAsia="仿宋_GB2312" w:cs="宋体"/>
          <w:sz w:val="30"/>
          <w:szCs w:val="30"/>
        </w:rPr>
        <w:t>一交易日（</w:t>
      </w:r>
      <w:r>
        <w:rPr>
          <w:rFonts w:ascii="仿宋_GB2312" w:eastAsia="仿宋_GB2312" w:cs="宋体"/>
          <w:sz w:val="30"/>
          <w:szCs w:val="30"/>
        </w:rPr>
        <w:t>T-1</w:t>
      </w:r>
      <w:r>
        <w:rPr>
          <w:rFonts w:hint="eastAsia" w:ascii="仿宋_GB2312" w:eastAsia="仿宋_GB2312" w:cs="宋体"/>
          <w:sz w:val="30"/>
          <w:szCs w:val="30"/>
        </w:rPr>
        <w:t>日）</w:t>
      </w:r>
      <w:r>
        <w:rPr>
          <w:rFonts w:ascii="仿宋_GB2312" w:eastAsia="仿宋_GB2312" w:cs="宋体"/>
          <w:sz w:val="30"/>
          <w:szCs w:val="30"/>
        </w:rPr>
        <w:t>17:00</w:t>
      </w:r>
      <w:r>
        <w:rPr>
          <w:rFonts w:hint="eastAsia" w:ascii="仿宋_GB2312" w:eastAsia="仿宋_GB2312" w:cs="宋体"/>
          <w:sz w:val="30"/>
          <w:szCs w:val="30"/>
        </w:rPr>
        <w:t>前与本所取得联系，并通过邮箱方式向本所提交相关书面申请及公告等材料，书面申请及公告的格式不限，由本所技术支持人员代为上传到处置平台进行发布。邮件标题格式为“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）期担保品处置的取消（或延期</w:t>
      </w:r>
      <w:r>
        <w:rPr>
          <w:rFonts w:ascii="仿宋_GB2312" w:eastAsia="仿宋_GB2312" w:cs="宋体"/>
          <w:sz w:val="30"/>
          <w:szCs w:val="30"/>
        </w:rPr>
        <w:t>/</w:t>
      </w:r>
      <w:r>
        <w:rPr>
          <w:rFonts w:hint="eastAsia" w:ascii="仿宋_GB2312" w:eastAsia="仿宋_GB2312" w:cs="宋体"/>
          <w:sz w:val="30"/>
          <w:szCs w:val="30"/>
        </w:rPr>
        <w:t>变更）公告”。</w:t>
      </w:r>
    </w:p>
    <w:p w14:paraId="062524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w:t>
      </w:r>
    </w:p>
    <w:p w14:paraId="3082044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）处置准备就绪（</w:t>
      </w:r>
      <w:r>
        <w:rPr>
          <w:rFonts w:ascii="仿宋_GB2312" w:eastAsia="仿宋_GB2312"/>
          <w:b/>
          <w:sz w:val="30"/>
          <w:szCs w:val="30"/>
        </w:rPr>
        <w:t>T</w:t>
      </w:r>
      <w:r>
        <w:rPr>
          <w:rFonts w:hint="eastAsia" w:ascii="仿宋_GB2312" w:eastAsia="仿宋_GB2312"/>
          <w:b/>
          <w:sz w:val="30"/>
          <w:szCs w:val="30"/>
        </w:rPr>
        <w:t>日处置开始前）</w:t>
      </w:r>
    </w:p>
    <w:p w14:paraId="3E01E5E6">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）技术设施就绪</w:t>
      </w:r>
    </w:p>
    <w:p w14:paraId="29CD8640">
      <w:pPr>
        <w:spacing w:line="600" w:lineRule="exact"/>
        <w:ind w:firstLine="600" w:firstLineChars="200"/>
        <w:rPr>
          <w:rFonts w:eastAsia="仿宋_GB2312" w:cs="宋体"/>
          <w:sz w:val="30"/>
          <w:szCs w:val="30"/>
        </w:rPr>
      </w:pPr>
      <w:r>
        <w:rPr>
          <w:rFonts w:hint="eastAsia" w:eastAsia="仿宋_GB2312" w:cs="宋体"/>
          <w:sz w:val="30"/>
          <w:szCs w:val="30"/>
        </w:rPr>
        <w:t>处置日前一工作</w:t>
      </w:r>
      <w:r>
        <w:rPr>
          <w:rFonts w:hint="eastAsia" w:ascii="仿宋_GB2312" w:eastAsia="仿宋_GB2312" w:cs="宋体"/>
          <w:sz w:val="30"/>
          <w:szCs w:val="30"/>
        </w:rPr>
        <w:t>日（</w:t>
      </w:r>
      <w:r>
        <w:rPr>
          <w:rFonts w:ascii="仿宋_GB2312" w:eastAsia="仿宋_GB2312" w:cs="宋体"/>
          <w:sz w:val="30"/>
          <w:szCs w:val="30"/>
        </w:rPr>
        <w:t>T-1</w:t>
      </w:r>
      <w:r>
        <w:rPr>
          <w:rFonts w:hint="eastAsia" w:ascii="仿宋_GB2312" w:eastAsia="仿宋_GB2312" w:cs="宋体"/>
          <w:sz w:val="30"/>
          <w:szCs w:val="30"/>
        </w:rPr>
        <w:t>日），本所技术支持人员进入处置场所，检查相关设备，确保设备运行正</w:t>
      </w:r>
      <w:r>
        <w:rPr>
          <w:rFonts w:hint="eastAsia" w:eastAsia="仿宋_GB2312" w:cs="宋体"/>
          <w:sz w:val="30"/>
          <w:szCs w:val="30"/>
        </w:rPr>
        <w:t>常，通讯畅通。</w:t>
      </w:r>
    </w:p>
    <w:p w14:paraId="0C28211A">
      <w:pPr>
        <w:spacing w:line="600" w:lineRule="exact"/>
        <w:ind w:firstLine="600" w:firstLineChars="200"/>
        <w:rPr>
          <w:rFonts w:eastAsia="仿宋_GB2312" w:cs="宋体"/>
          <w:sz w:val="30"/>
          <w:szCs w:val="30"/>
        </w:rPr>
      </w:pPr>
      <w:r>
        <w:rPr>
          <w:rFonts w:hint="eastAsia" w:eastAsia="仿宋_GB2312" w:cs="宋体"/>
          <w:sz w:val="30"/>
          <w:szCs w:val="30"/>
        </w:rPr>
        <w:t>技术支持人员于处置开始前离开处置场所，根据需要和发行人员通知，及时进入处置场所提供技术支持和服务。</w:t>
      </w:r>
    </w:p>
    <w:p w14:paraId="510DBA96">
      <w:pPr>
        <w:spacing w:line="600" w:lineRule="exact"/>
        <w:ind w:firstLine="600" w:firstLineChars="200"/>
        <w:rPr>
          <w:rFonts w:eastAsia="仿宋_GB2312" w:cs="宋体"/>
          <w:sz w:val="30"/>
          <w:szCs w:val="30"/>
        </w:rPr>
      </w:pPr>
      <w:r>
        <w:rPr>
          <w:rFonts w:hint="eastAsia" w:eastAsia="仿宋_GB2312" w:cs="宋体"/>
          <w:sz w:val="30"/>
          <w:szCs w:val="30"/>
        </w:rPr>
        <w:t>2）处置工作人员就绪</w:t>
      </w:r>
    </w:p>
    <w:p w14:paraId="64A5EE6A">
      <w:pPr>
        <w:spacing w:line="600" w:lineRule="exact"/>
        <w:ind w:firstLine="600" w:firstLineChars="200"/>
        <w:rPr>
          <w:rFonts w:eastAsia="仿宋_GB2312" w:cs="宋体"/>
          <w:sz w:val="30"/>
          <w:szCs w:val="30"/>
        </w:rPr>
      </w:pPr>
      <w:r>
        <w:rPr>
          <w:rFonts w:hint="eastAsia" w:eastAsia="仿宋_GB2312" w:cs="宋体"/>
          <w:sz w:val="30"/>
          <w:szCs w:val="30"/>
        </w:rPr>
        <w:t>处置人员到位，办理登记，存放随身携带的通讯工具，于处置开始前登记进入处置场所，熟悉处置场所环境和相关设备使用等，处置期间不得擅自离开。如需与外界沟通相关事项，应使用专用通讯设备对外联系。</w:t>
      </w:r>
    </w:p>
    <w:p w14:paraId="31C72A89">
      <w:pPr>
        <w:spacing w:line="600" w:lineRule="exact"/>
        <w:ind w:firstLine="600" w:firstLineChars="200"/>
        <w:rPr>
          <w:rFonts w:eastAsia="仿宋_GB2312" w:cs="宋体"/>
          <w:sz w:val="30"/>
          <w:szCs w:val="30"/>
        </w:rPr>
      </w:pPr>
      <w:r>
        <w:rPr>
          <w:rFonts w:hint="eastAsia" w:eastAsia="仿宋_GB2312" w:cs="宋体"/>
          <w:sz w:val="30"/>
          <w:szCs w:val="30"/>
        </w:rPr>
        <w:t>3）处置人员发布处置要素</w:t>
      </w:r>
    </w:p>
    <w:p w14:paraId="0A749828">
      <w:pPr>
        <w:spacing w:line="600" w:lineRule="exact"/>
        <w:ind w:firstLine="600" w:firstLineChars="200"/>
        <w:rPr>
          <w:rFonts w:eastAsia="仿宋_GB2312" w:cs="宋体"/>
          <w:sz w:val="30"/>
          <w:szCs w:val="30"/>
        </w:rPr>
      </w:pPr>
      <w:r>
        <w:rPr>
          <w:rFonts w:hint="eastAsia" w:eastAsia="仿宋_GB2312" w:cs="宋体"/>
          <w:sz w:val="30"/>
          <w:szCs w:val="30"/>
        </w:rPr>
        <w:t>本所技术支持人员根据处置方提交的材料提前在处置平台中完成报价团成员设定、处置标书要素录入等工作。由处置人员在处置开始前登录处置平台确认处置标书要素，并通过平台发布。</w:t>
      </w:r>
    </w:p>
    <w:p w14:paraId="7172ED4F">
      <w:pPr>
        <w:spacing w:line="600" w:lineRule="exact"/>
        <w:ind w:firstLine="600" w:firstLineChars="200"/>
        <w:rPr>
          <w:rFonts w:eastAsia="仿宋_GB2312" w:cs="宋体"/>
          <w:sz w:val="30"/>
          <w:szCs w:val="30"/>
        </w:rPr>
      </w:pPr>
      <w:r>
        <w:rPr>
          <w:rFonts w:hint="eastAsia" w:eastAsia="仿宋_GB2312" w:cs="宋体"/>
          <w:sz w:val="30"/>
          <w:szCs w:val="30"/>
        </w:rPr>
        <w:t>4）报价团成员远程登录就绪</w:t>
      </w:r>
    </w:p>
    <w:p w14:paraId="78758696">
      <w:pPr>
        <w:spacing w:line="600" w:lineRule="exact"/>
        <w:ind w:firstLine="600" w:firstLineChars="200"/>
        <w:rPr>
          <w:rFonts w:eastAsia="仿宋_GB2312" w:cs="宋体"/>
          <w:sz w:val="30"/>
          <w:szCs w:val="30"/>
        </w:rPr>
      </w:pPr>
      <w:r>
        <w:rPr>
          <w:rFonts w:hint="eastAsia" w:eastAsia="仿宋_GB2312" w:cs="宋体"/>
          <w:sz w:val="30"/>
          <w:szCs w:val="30"/>
        </w:rPr>
        <w:t>报价团成员在</w:t>
      </w:r>
      <w:r>
        <w:rPr>
          <w:rFonts w:hint="eastAsia" w:ascii="仿宋_GB2312" w:eastAsia="仿宋_GB2312" w:cs="宋体"/>
          <w:sz w:val="30"/>
          <w:szCs w:val="30"/>
        </w:rPr>
        <w:t>处置开始前，使用本所配发的</w:t>
      </w:r>
      <w:r>
        <w:rPr>
          <w:rFonts w:ascii="仿宋_GB2312" w:eastAsia="仿宋_GB2312" w:cs="宋体"/>
          <w:sz w:val="30"/>
          <w:szCs w:val="30"/>
        </w:rPr>
        <w:t>CA</w:t>
      </w:r>
      <w:r>
        <w:rPr>
          <w:rFonts w:hint="eastAsia" w:ascii="仿宋_GB2312" w:eastAsia="仿宋_GB2312" w:cs="宋体"/>
          <w:sz w:val="30"/>
          <w:szCs w:val="30"/>
        </w:rPr>
        <w:t>证书（债券发行系统的</w:t>
      </w:r>
      <w:r>
        <w:rPr>
          <w:rFonts w:ascii="仿宋_GB2312" w:eastAsia="仿宋_GB2312" w:cs="宋体"/>
          <w:sz w:val="30"/>
          <w:szCs w:val="30"/>
        </w:rPr>
        <w:t>EKey</w:t>
      </w:r>
      <w:r>
        <w:rPr>
          <w:rFonts w:hint="eastAsia" w:ascii="仿宋_GB2312" w:eastAsia="仿宋_GB2312" w:cs="宋体"/>
          <w:sz w:val="30"/>
          <w:szCs w:val="30"/>
        </w:rPr>
        <w:t>也可以在担保品处置平台使用）、系统用户名及密码，通过互联网用</w:t>
      </w:r>
      <w:r>
        <w:rPr>
          <w:rFonts w:ascii="仿宋_GB2312" w:eastAsia="仿宋_GB2312" w:cs="宋体"/>
          <w:sz w:val="30"/>
          <w:szCs w:val="30"/>
        </w:rPr>
        <w:t>IE</w:t>
      </w:r>
      <w:r>
        <w:rPr>
          <w:rFonts w:hint="eastAsia" w:ascii="仿宋_GB2312" w:eastAsia="仿宋_GB2312" w:cs="宋体"/>
          <w:sz w:val="30"/>
          <w:szCs w:val="30"/>
        </w:rPr>
        <w:t>浏览器远程登录处置平台，并确认相关登录设备运行正常、通讯畅通</w:t>
      </w:r>
      <w:r>
        <w:rPr>
          <w:rFonts w:hint="eastAsia" w:eastAsia="仿宋_GB2312" w:cs="宋体"/>
          <w:sz w:val="30"/>
          <w:szCs w:val="30"/>
        </w:rPr>
        <w:t>。</w:t>
      </w:r>
    </w:p>
    <w:p w14:paraId="773D0E86">
      <w:pPr>
        <w:spacing w:line="600" w:lineRule="exact"/>
        <w:ind w:firstLine="600" w:firstLineChars="200"/>
        <w:rPr>
          <w:rFonts w:eastAsia="仿宋_GB2312" w:cs="宋体"/>
          <w:sz w:val="30"/>
          <w:szCs w:val="30"/>
        </w:rPr>
      </w:pPr>
      <w:r>
        <w:rPr>
          <w:rFonts w:hint="eastAsia" w:eastAsia="仿宋_GB2312" w:cs="宋体"/>
          <w:sz w:val="30"/>
          <w:szCs w:val="30"/>
        </w:rPr>
        <w:t>担保品处置平台的地址为https://bond.uap.sse.com.cn。</w:t>
      </w:r>
    </w:p>
    <w:p w14:paraId="46487F4E">
      <w:pPr>
        <w:spacing w:line="600" w:lineRule="exact"/>
        <w:ind w:firstLine="600" w:firstLineChars="200"/>
        <w:rPr>
          <w:rFonts w:eastAsia="仿宋_GB2312" w:cs="宋体"/>
          <w:sz w:val="30"/>
          <w:szCs w:val="30"/>
        </w:rPr>
      </w:pPr>
      <w:r>
        <w:rPr>
          <w:rFonts w:hint="eastAsia" w:eastAsia="仿宋_GB2312" w:cs="宋体"/>
          <w:sz w:val="30"/>
          <w:szCs w:val="30"/>
        </w:rPr>
        <w:t>5）上交所制作处置场所相关情况登记表</w:t>
      </w:r>
    </w:p>
    <w:p w14:paraId="066E5CB0">
      <w:pPr>
        <w:spacing w:line="600" w:lineRule="exact"/>
        <w:ind w:firstLine="600" w:firstLineChars="200"/>
        <w:rPr>
          <w:rFonts w:eastAsia="仿宋_GB2312" w:cs="宋体"/>
          <w:sz w:val="30"/>
          <w:szCs w:val="30"/>
        </w:rPr>
      </w:pPr>
      <w:r>
        <w:rPr>
          <w:rFonts w:hint="eastAsia" w:eastAsia="仿宋_GB2312" w:cs="宋体"/>
          <w:sz w:val="30"/>
          <w:szCs w:val="30"/>
        </w:rPr>
        <w:t>本所技术支持人员制作处置场所人员进出登记表、处置场所通讯设备使用情况记录表，置放于处置场所，便利处置方人员填写。</w:t>
      </w:r>
    </w:p>
    <w:p w14:paraId="72B7E73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）处置中的工作</w:t>
      </w:r>
    </w:p>
    <w:p w14:paraId="1767F87B">
      <w:pPr>
        <w:spacing w:line="600" w:lineRule="exact"/>
        <w:ind w:firstLine="600" w:firstLineChars="200"/>
        <w:rPr>
          <w:rFonts w:eastAsia="仿宋_GB2312" w:cs="宋体"/>
          <w:sz w:val="30"/>
          <w:szCs w:val="30"/>
        </w:rPr>
      </w:pPr>
      <w:r>
        <w:rPr>
          <w:rFonts w:hint="eastAsia" w:eastAsia="仿宋_GB2312" w:cs="宋体"/>
          <w:sz w:val="30"/>
          <w:szCs w:val="30"/>
        </w:rPr>
        <w:t>1）处置开始和截止</w:t>
      </w:r>
    </w:p>
    <w:p w14:paraId="7D5BE358">
      <w:pPr>
        <w:spacing w:line="600" w:lineRule="exact"/>
        <w:ind w:firstLine="600" w:firstLineChars="200"/>
        <w:rPr>
          <w:rFonts w:eastAsia="仿宋_GB2312" w:cs="宋体"/>
          <w:sz w:val="30"/>
          <w:szCs w:val="30"/>
        </w:rPr>
      </w:pPr>
      <w:r>
        <w:rPr>
          <w:rFonts w:hint="eastAsia" w:eastAsia="仿宋_GB2312" w:cs="宋体"/>
          <w:sz w:val="30"/>
          <w:szCs w:val="30"/>
        </w:rPr>
        <w:t>处置严格按照处置方披露的公告文件确定的处置起始时点开始，至处置截止时点终止。</w:t>
      </w:r>
    </w:p>
    <w:p w14:paraId="315F5346">
      <w:pPr>
        <w:spacing w:line="600" w:lineRule="exact"/>
        <w:ind w:firstLine="600" w:firstLineChars="200"/>
        <w:rPr>
          <w:rFonts w:eastAsia="仿宋_GB2312" w:cs="宋体"/>
          <w:sz w:val="30"/>
          <w:szCs w:val="30"/>
        </w:rPr>
      </w:pPr>
      <w:r>
        <w:rPr>
          <w:rFonts w:hint="eastAsia" w:eastAsia="仿宋_GB2312" w:cs="宋体"/>
          <w:sz w:val="30"/>
          <w:szCs w:val="30"/>
        </w:rPr>
        <w:t>处置平台提供的处置报</w:t>
      </w:r>
      <w:r>
        <w:rPr>
          <w:rFonts w:hint="eastAsia" w:ascii="仿宋_GB2312" w:eastAsia="仿宋_GB2312" w:cs="宋体"/>
          <w:sz w:val="30"/>
          <w:szCs w:val="30"/>
        </w:rPr>
        <w:t>价服务时间原则上为</w:t>
      </w:r>
      <w:r>
        <w:rPr>
          <w:rFonts w:ascii="仿宋_GB2312" w:eastAsia="仿宋_GB2312" w:cs="宋体"/>
          <w:sz w:val="30"/>
          <w:szCs w:val="30"/>
        </w:rPr>
        <w:t>9:30-15:00</w:t>
      </w:r>
      <w:r>
        <w:rPr>
          <w:rFonts w:hint="eastAsia" w:ascii="仿宋_GB2312" w:eastAsia="仿宋_GB2312" w:cs="宋体"/>
          <w:sz w:val="30"/>
          <w:szCs w:val="30"/>
        </w:rPr>
        <w:t>，公告文件确定的处置时间应在上述时间范围内。处置时间内，本所确认处置平台或通讯主干线出现技术故障等影</w:t>
      </w:r>
      <w:r>
        <w:rPr>
          <w:rFonts w:hint="eastAsia" w:eastAsia="仿宋_GB2312" w:cs="宋体"/>
          <w:sz w:val="30"/>
          <w:szCs w:val="30"/>
        </w:rPr>
        <w:t>响报价的，处置方通知报价团成员的联系人、处置操作人员，可以申请延长应急报价时间并及时通过处置平台对外发布。</w:t>
      </w:r>
    </w:p>
    <w:p w14:paraId="1389DB1F">
      <w:pPr>
        <w:spacing w:line="600" w:lineRule="exact"/>
        <w:ind w:firstLine="600" w:firstLineChars="200"/>
        <w:rPr>
          <w:rFonts w:eastAsia="仿宋_GB2312" w:cs="宋体"/>
          <w:sz w:val="30"/>
          <w:szCs w:val="30"/>
        </w:rPr>
      </w:pPr>
      <w:r>
        <w:rPr>
          <w:rFonts w:hint="eastAsia" w:eastAsia="仿宋_GB2312" w:cs="宋体"/>
          <w:sz w:val="30"/>
          <w:szCs w:val="30"/>
        </w:rPr>
        <w:t>2）处置报价</w:t>
      </w:r>
    </w:p>
    <w:p w14:paraId="73116023">
      <w:pPr>
        <w:spacing w:line="600" w:lineRule="exact"/>
        <w:ind w:firstLine="600" w:firstLineChars="200"/>
        <w:rPr>
          <w:rFonts w:eastAsia="仿宋_GB2312" w:cs="宋体"/>
          <w:sz w:val="30"/>
          <w:szCs w:val="30"/>
        </w:rPr>
      </w:pPr>
      <w:r>
        <w:rPr>
          <w:rFonts w:hint="eastAsia" w:eastAsia="仿宋_GB2312" w:cs="宋体"/>
          <w:sz w:val="30"/>
          <w:szCs w:val="30"/>
        </w:rPr>
        <w:t>a. 通过平台报价。报价团成员在处置时间内，通过处置平台进行报价。报价为全价报价，报价面值应介于报价下限与报价上限之间，单笔报价金额应不低于单笔最低报价量。对每期担保品处置，每个报价团成员仅能在一个标位上进行报价。处置期间，通过处置平台的报价可撤销和修改，经修改的报价为新的报价；报价截止后，报价不可撤销和修改。</w:t>
      </w:r>
    </w:p>
    <w:p w14:paraId="7E3AD110">
      <w:pPr>
        <w:spacing w:line="600" w:lineRule="exact"/>
        <w:ind w:firstLine="600" w:firstLineChars="200"/>
        <w:rPr>
          <w:rFonts w:eastAsia="仿宋_GB2312" w:cs="宋体"/>
          <w:sz w:val="30"/>
          <w:szCs w:val="30"/>
        </w:rPr>
      </w:pPr>
      <w:r>
        <w:rPr>
          <w:rFonts w:hint="eastAsia" w:eastAsia="仿宋_GB2312" w:cs="宋体"/>
          <w:sz w:val="30"/>
          <w:szCs w:val="30"/>
        </w:rPr>
        <w:t>晚于报价截止时间的报价为无效报价。</w:t>
      </w:r>
    </w:p>
    <w:p w14:paraId="4447A379">
      <w:pPr>
        <w:spacing w:line="600" w:lineRule="exact"/>
        <w:ind w:firstLine="600" w:firstLineChars="200"/>
        <w:rPr>
          <w:rFonts w:eastAsia="仿宋_GB2312" w:cs="宋体"/>
          <w:sz w:val="30"/>
          <w:szCs w:val="30"/>
        </w:rPr>
      </w:pPr>
      <w:r>
        <w:rPr>
          <w:rFonts w:hint="eastAsia" w:eastAsia="仿宋_GB2312" w:cs="宋体"/>
          <w:sz w:val="30"/>
          <w:szCs w:val="30"/>
        </w:rPr>
        <w:t>b. 应急报价。报价期间，报价团成员远程客户端出现技术故障以及其他不能通过担保品处置平台进行报价的情形时，应当在处置公告确定的报价截止时间</w:t>
      </w:r>
      <w:r>
        <w:rPr>
          <w:rFonts w:hint="eastAsia" w:ascii="仿宋_GB2312" w:eastAsia="仿宋_GB2312" w:cs="宋体"/>
          <w:sz w:val="30"/>
          <w:szCs w:val="30"/>
        </w:rPr>
        <w:t>前，完整、准确填写《债券担保品处置应急报价书》（格式见服务指引的附件</w:t>
      </w:r>
      <w:r>
        <w:rPr>
          <w:rFonts w:ascii="仿宋_GB2312" w:eastAsia="仿宋_GB2312" w:cs="宋体"/>
          <w:sz w:val="30"/>
          <w:szCs w:val="30"/>
        </w:rPr>
        <w:t>6</w:t>
      </w:r>
      <w:r>
        <w:rPr>
          <w:rFonts w:hint="eastAsia" w:ascii="仿宋_GB2312" w:eastAsia="仿宋_GB2312" w:cs="宋体"/>
          <w:sz w:val="30"/>
          <w:szCs w:val="30"/>
        </w:rPr>
        <w:t>）</w:t>
      </w:r>
      <w:r>
        <w:rPr>
          <w:rFonts w:hint="eastAsia" w:eastAsia="仿宋_GB2312" w:cs="宋体"/>
          <w:sz w:val="30"/>
          <w:szCs w:val="30"/>
        </w:rPr>
        <w:t>，并传真到处置场所进行应急报价。</w:t>
      </w:r>
    </w:p>
    <w:p w14:paraId="0F3EDD7F">
      <w:pPr>
        <w:spacing w:line="600" w:lineRule="exact"/>
        <w:ind w:firstLine="600" w:firstLineChars="200"/>
        <w:rPr>
          <w:rFonts w:ascii="仿宋_GB2312" w:eastAsia="仿宋_GB2312" w:cs="宋体"/>
          <w:sz w:val="30"/>
          <w:szCs w:val="30"/>
        </w:rPr>
      </w:pPr>
      <w:r>
        <w:rPr>
          <w:rFonts w:hint="eastAsia" w:eastAsia="仿宋_GB2312" w:cs="宋体"/>
          <w:sz w:val="30"/>
          <w:szCs w:val="30"/>
        </w:rPr>
        <w:t>报价团成员应急报价时，应当及时拨打处置场所专用电话向处置方人员及时报告。处置方人员审阅应急报价标书发现内容不完整、不准确的，应当提示报价团成员进行更正。本所技术支持人员将经处置方人员审阅有效的应急报价数据输入处置平台代为报价。应急报价时间以处置场所收到应急报价标书的时间为准。</w:t>
      </w:r>
    </w:p>
    <w:p w14:paraId="7B6A9BA1">
      <w:pPr>
        <w:spacing w:line="600" w:lineRule="exact"/>
        <w:ind w:firstLine="600" w:firstLineChars="200"/>
        <w:rPr>
          <w:rFonts w:eastAsia="仿宋_GB2312" w:cs="宋体"/>
          <w:sz w:val="30"/>
          <w:szCs w:val="30"/>
        </w:rPr>
      </w:pPr>
      <w:r>
        <w:rPr>
          <w:rFonts w:hint="eastAsia" w:eastAsia="仿宋_GB2312" w:cs="宋体"/>
          <w:sz w:val="30"/>
          <w:szCs w:val="30"/>
        </w:rPr>
        <w:t>报价团成员通过处置平台报价、又进行应急报价，或进行多次应急报价的，以最后一次有效报价为准。除处置方通知延长应急报价时间外，晚于报价截止时间的应急报价为无效报价。</w:t>
      </w:r>
    </w:p>
    <w:p w14:paraId="662DFE0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）处置结果产生及发送</w:t>
      </w:r>
    </w:p>
    <w:p w14:paraId="31F250AB">
      <w:pPr>
        <w:spacing w:line="600" w:lineRule="exact"/>
        <w:ind w:firstLine="600" w:firstLineChars="200"/>
        <w:rPr>
          <w:rFonts w:eastAsia="仿宋_GB2312" w:cs="宋体"/>
          <w:sz w:val="30"/>
          <w:szCs w:val="30"/>
        </w:rPr>
      </w:pPr>
      <w:r>
        <w:rPr>
          <w:rFonts w:hint="eastAsia" w:eastAsia="仿宋_GB2312" w:cs="宋体"/>
          <w:sz w:val="30"/>
          <w:szCs w:val="30"/>
        </w:rPr>
        <w:t>1）处置结果产生</w:t>
      </w:r>
    </w:p>
    <w:p w14:paraId="0E6CEE43">
      <w:pPr>
        <w:spacing w:line="600" w:lineRule="exact"/>
        <w:ind w:firstLine="600" w:firstLineChars="200"/>
        <w:rPr>
          <w:rFonts w:eastAsia="仿宋_GB2312" w:cs="宋体"/>
          <w:sz w:val="30"/>
          <w:szCs w:val="30"/>
        </w:rPr>
      </w:pPr>
      <w:r>
        <w:rPr>
          <w:rFonts w:hint="eastAsia" w:eastAsia="仿宋_GB2312" w:cs="宋体"/>
          <w:sz w:val="30"/>
          <w:szCs w:val="30"/>
        </w:rPr>
        <w:t>处置截止时间后，处置平台对有效报价，按照处置方披露的公告文件指定的处置方式、中标原则进行处理，产生处置结果。</w:t>
      </w:r>
    </w:p>
    <w:p w14:paraId="093FD654">
      <w:pPr>
        <w:spacing w:line="600" w:lineRule="exact"/>
        <w:ind w:firstLine="600" w:firstLineChars="200"/>
        <w:rPr>
          <w:rFonts w:eastAsia="仿宋_GB2312" w:cs="宋体"/>
          <w:sz w:val="30"/>
          <w:szCs w:val="30"/>
        </w:rPr>
      </w:pPr>
      <w:r>
        <w:rPr>
          <w:rFonts w:hint="eastAsia" w:eastAsia="仿宋_GB2312" w:cs="宋体"/>
          <w:sz w:val="30"/>
          <w:szCs w:val="30"/>
        </w:rPr>
        <w:t>本所技术支持人员将处置结果提交处置方现场负责人。经处置方现场负责人签字确认后生效。处置方、出质人及报价团成员应认可处置结果。处置结果产生后不可撤销。</w:t>
      </w:r>
    </w:p>
    <w:p w14:paraId="375CC90A">
      <w:pPr>
        <w:spacing w:line="600" w:lineRule="exact"/>
        <w:ind w:firstLine="600" w:firstLineChars="200"/>
        <w:rPr>
          <w:rFonts w:eastAsia="仿宋_GB2312" w:cs="宋体"/>
          <w:sz w:val="30"/>
          <w:szCs w:val="30"/>
        </w:rPr>
      </w:pPr>
      <w:r>
        <w:rPr>
          <w:rFonts w:hint="eastAsia" w:eastAsia="仿宋_GB2312" w:cs="宋体"/>
          <w:sz w:val="30"/>
          <w:szCs w:val="30"/>
        </w:rPr>
        <w:t>2）处置结果发送</w:t>
      </w:r>
    </w:p>
    <w:p w14:paraId="693EB3ED">
      <w:pPr>
        <w:spacing w:line="600" w:lineRule="exact"/>
        <w:ind w:firstLine="600" w:firstLineChars="200"/>
        <w:rPr>
          <w:rFonts w:eastAsia="仿宋_GB2312" w:cs="宋体"/>
          <w:sz w:val="30"/>
          <w:szCs w:val="30"/>
        </w:rPr>
      </w:pPr>
      <w:r>
        <w:rPr>
          <w:rFonts w:hint="eastAsia" w:eastAsia="仿宋_GB2312" w:cs="宋体"/>
          <w:sz w:val="30"/>
          <w:szCs w:val="30"/>
        </w:rPr>
        <w:t>处置结果生效后，处置方通过处置平台向参与处置报价的报价团成员发送处置结果。</w:t>
      </w:r>
    </w:p>
    <w:p w14:paraId="4FC62728">
      <w:pPr>
        <w:spacing w:line="600" w:lineRule="exact"/>
        <w:ind w:firstLine="600" w:firstLineChars="200"/>
        <w:rPr>
          <w:rFonts w:eastAsia="仿宋_GB2312" w:cs="宋体"/>
          <w:sz w:val="30"/>
          <w:szCs w:val="30"/>
        </w:rPr>
      </w:pPr>
      <w:r>
        <w:rPr>
          <w:rFonts w:hint="eastAsia" w:eastAsia="仿宋_GB2312" w:cs="宋体"/>
          <w:sz w:val="30"/>
          <w:szCs w:val="30"/>
        </w:rPr>
        <w:t>3）处置情况和结果数据查询</w:t>
      </w:r>
    </w:p>
    <w:p w14:paraId="526AC063">
      <w:pPr>
        <w:spacing w:line="600" w:lineRule="exact"/>
        <w:ind w:firstLine="600" w:firstLineChars="200"/>
        <w:rPr>
          <w:rFonts w:eastAsia="仿宋_GB2312" w:cs="宋体"/>
          <w:sz w:val="30"/>
          <w:szCs w:val="30"/>
        </w:rPr>
      </w:pPr>
      <w:r>
        <w:rPr>
          <w:rFonts w:hint="eastAsia" w:eastAsia="仿宋_GB2312" w:cs="宋体"/>
          <w:sz w:val="30"/>
          <w:szCs w:val="30"/>
        </w:rPr>
        <w:t>处置结束后，处置方可以通过处置平台查询、打印和导出报价团成员的报价量、中标量等数据。</w:t>
      </w:r>
    </w:p>
    <w:p w14:paraId="50BE4695">
      <w:pPr>
        <w:spacing w:line="600" w:lineRule="exact"/>
        <w:ind w:firstLine="600" w:firstLineChars="200"/>
        <w:rPr>
          <w:rFonts w:eastAsia="仿宋_GB2312" w:cs="宋体"/>
          <w:sz w:val="30"/>
          <w:szCs w:val="30"/>
        </w:rPr>
      </w:pPr>
      <w:r>
        <w:rPr>
          <w:rFonts w:hint="eastAsia" w:eastAsia="仿宋_GB2312" w:cs="宋体"/>
          <w:sz w:val="30"/>
          <w:szCs w:val="30"/>
        </w:rPr>
        <w:t>报价团成员可以通过处置平台查询、打印或者导出自身的中标结果。</w:t>
      </w:r>
    </w:p>
    <w:p w14:paraId="6AAAFB5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）发布处置结果</w:t>
      </w:r>
    </w:p>
    <w:p w14:paraId="0D44C625">
      <w:pPr>
        <w:spacing w:line="600" w:lineRule="exact"/>
        <w:ind w:firstLine="600" w:firstLineChars="200"/>
        <w:rPr>
          <w:rFonts w:eastAsia="仿宋_GB2312" w:cs="宋体"/>
          <w:sz w:val="30"/>
          <w:szCs w:val="30"/>
        </w:rPr>
      </w:pPr>
      <w:r>
        <w:rPr>
          <w:rFonts w:hint="eastAsia" w:eastAsia="仿宋_GB2312" w:cs="宋体"/>
          <w:sz w:val="30"/>
          <w:szCs w:val="30"/>
        </w:rPr>
        <w:t>处置结束后，处置方</w:t>
      </w:r>
      <w:r>
        <w:rPr>
          <w:rFonts w:hint="eastAsia" w:ascii="仿宋_GB2312" w:eastAsia="仿宋_GB2312" w:cs="宋体"/>
          <w:sz w:val="30"/>
          <w:szCs w:val="30"/>
        </w:rPr>
        <w:t>在处置日（一般于处置日</w:t>
      </w:r>
      <w:r>
        <w:rPr>
          <w:rFonts w:ascii="仿宋_GB2312" w:eastAsia="仿宋_GB2312" w:cs="宋体"/>
          <w:sz w:val="30"/>
          <w:szCs w:val="30"/>
        </w:rPr>
        <w:t>17</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前）通过本所处置平台披露处置结果公告（格式见附件41</w:t>
      </w:r>
      <w:r>
        <w:rPr>
          <w:rFonts w:hint="eastAsia" w:eastAsia="仿宋_GB2312" w:cs="宋体"/>
          <w:sz w:val="30"/>
          <w:szCs w:val="30"/>
        </w:rPr>
        <w:t>）。</w:t>
      </w:r>
    </w:p>
    <w:p w14:paraId="6BD694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）填写托管信息</w:t>
      </w:r>
    </w:p>
    <w:p w14:paraId="06EF270F">
      <w:pPr>
        <w:spacing w:line="600" w:lineRule="exact"/>
        <w:ind w:firstLine="600" w:firstLineChars="200"/>
        <w:rPr>
          <w:rFonts w:eastAsia="仿宋_GB2312" w:cs="宋体"/>
          <w:sz w:val="30"/>
          <w:szCs w:val="30"/>
        </w:rPr>
      </w:pPr>
      <w:r>
        <w:rPr>
          <w:rFonts w:hint="eastAsia" w:eastAsia="仿宋_GB2312" w:cs="宋体"/>
          <w:sz w:val="30"/>
          <w:szCs w:val="30"/>
        </w:rPr>
        <w:t>处置结束后，中标的报价团成员应在处置日通过本所处置平台填写中标债券的托管信息。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7869B08E">
      <w:pPr>
        <w:numPr>
          <w:ilvl w:val="2"/>
          <w:numId w:val="4"/>
        </w:numPr>
        <w:spacing w:line="600" w:lineRule="exact"/>
        <w:ind w:left="0" w:firstLine="0"/>
        <w:outlineLvl w:val="2"/>
        <w:rPr>
          <w:rFonts w:eastAsia="仿宋_GB2312" w:cs="宋体"/>
          <w:b/>
          <w:bCs/>
          <w:sz w:val="30"/>
          <w:szCs w:val="30"/>
        </w:rPr>
      </w:pPr>
      <w:r>
        <w:rPr>
          <w:rFonts w:hint="eastAsia" w:eastAsia="仿宋_GB2312" w:cs="宋体"/>
          <w:b/>
          <w:bCs/>
          <w:sz w:val="30"/>
          <w:szCs w:val="30"/>
        </w:rPr>
        <w:t>缴款和债券过户</w:t>
      </w:r>
    </w:p>
    <w:p w14:paraId="76A3A24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）缴款</w:t>
      </w:r>
    </w:p>
    <w:p w14:paraId="010F1204">
      <w:pPr>
        <w:spacing w:line="600" w:lineRule="exact"/>
        <w:ind w:firstLine="600" w:firstLineChars="200"/>
        <w:rPr>
          <w:rFonts w:eastAsia="仿宋_GB2312" w:cs="宋体"/>
          <w:sz w:val="30"/>
          <w:szCs w:val="30"/>
        </w:rPr>
      </w:pPr>
      <w:r>
        <w:rPr>
          <w:rFonts w:hint="eastAsia" w:eastAsia="仿宋_GB2312" w:cs="宋体"/>
          <w:sz w:val="30"/>
          <w:szCs w:val="30"/>
        </w:rPr>
        <w:t>担保品处置完成后，中标的报价团成员应当根据处置方公告的缴款时间安排和相关约定及时履行缴款义务。</w:t>
      </w:r>
    </w:p>
    <w:p w14:paraId="3D50E6CA">
      <w:pPr>
        <w:spacing w:line="600" w:lineRule="exact"/>
        <w:ind w:firstLine="600" w:firstLineChars="200"/>
        <w:rPr>
          <w:rFonts w:eastAsia="仿宋_GB2312" w:cs="宋体"/>
          <w:sz w:val="30"/>
          <w:szCs w:val="30"/>
        </w:rPr>
      </w:pPr>
      <w:r>
        <w:rPr>
          <w:rFonts w:hint="eastAsia" w:eastAsia="仿宋_GB2312" w:cs="宋体"/>
          <w:sz w:val="30"/>
          <w:szCs w:val="30"/>
        </w:rPr>
        <w:t>中标报价团成员和处置方通过场外方式完成缴款。中标报价团成员应根据处置平台生成的处置结果于缴款截止日之前将其认购款项全额划入处置方在处置公告中指定的银行账户中。缴款截止日期及缴款账户以处置方公告的内容为准。</w:t>
      </w:r>
    </w:p>
    <w:p w14:paraId="0C7F5043">
      <w:pPr>
        <w:spacing w:line="600" w:lineRule="exact"/>
        <w:ind w:firstLine="600" w:firstLineChars="200"/>
        <w:rPr>
          <w:rFonts w:eastAsia="仿宋_GB2312" w:cs="宋体"/>
          <w:sz w:val="30"/>
          <w:szCs w:val="30"/>
        </w:rPr>
      </w:pPr>
      <w:r>
        <w:rPr>
          <w:rFonts w:hint="eastAsia" w:eastAsia="仿宋_GB2312" w:cs="宋体"/>
          <w:sz w:val="30"/>
          <w:szCs w:val="30"/>
        </w:rPr>
        <w:t>处置方在缴</w:t>
      </w:r>
      <w:r>
        <w:rPr>
          <w:rFonts w:hint="eastAsia" w:ascii="仿宋_GB2312" w:eastAsia="仿宋_GB2312" w:cs="宋体"/>
          <w:sz w:val="30"/>
          <w:szCs w:val="30"/>
        </w:rPr>
        <w:t>款截止后应当确认资金到账情况，并在缴款截止日的下一个交易日</w:t>
      </w:r>
      <w:r>
        <w:rPr>
          <w:rFonts w:ascii="仿宋_GB2312" w:eastAsia="仿宋_GB2312" w:cs="宋体"/>
          <w:sz w:val="30"/>
          <w:szCs w:val="30"/>
        </w:rPr>
        <w:t>12:00</w:t>
      </w:r>
      <w:r>
        <w:rPr>
          <w:rFonts w:hint="eastAsia" w:ascii="仿宋_GB2312" w:eastAsia="仿宋_GB2312" w:cs="宋体"/>
          <w:sz w:val="30"/>
          <w:szCs w:val="30"/>
        </w:rPr>
        <w:t>之前以邮件方式向本所提交资金到账确认书（格式见服务指引的附件</w:t>
      </w:r>
      <w:r>
        <w:rPr>
          <w:rFonts w:ascii="仿宋_GB2312" w:eastAsia="仿宋_GB2312" w:cs="宋体"/>
          <w:sz w:val="30"/>
          <w:szCs w:val="30"/>
        </w:rPr>
        <w:t>7</w:t>
      </w:r>
      <w:r>
        <w:rPr>
          <w:rFonts w:hint="eastAsia" w:ascii="仿宋_GB2312" w:eastAsia="仿宋_GB2312" w:cs="宋体"/>
          <w:sz w:val="30"/>
          <w:szCs w:val="30"/>
        </w:rPr>
        <w:t>）。邮件标题格式为“</w:t>
      </w:r>
      <w:r>
        <w:rPr>
          <w:rFonts w:ascii="仿宋_GB2312" w:eastAsia="仿宋_GB2312" w:cs="宋体"/>
          <w:sz w:val="30"/>
          <w:szCs w:val="30"/>
        </w:rPr>
        <w:t xml:space="preserve">XX </w:t>
      </w:r>
      <w:r>
        <w:rPr>
          <w:rFonts w:hint="eastAsia" w:ascii="仿宋_GB2312" w:eastAsia="仿宋_GB2312" w:cs="宋体"/>
          <w:sz w:val="30"/>
          <w:szCs w:val="30"/>
        </w:rPr>
        <w:t>公司参与</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w:t>
      </w:r>
      <w:r>
        <w:rPr>
          <w:rFonts w:hint="eastAsia" w:eastAsia="仿宋_GB2312" w:cs="宋体"/>
          <w:sz w:val="30"/>
          <w:szCs w:val="30"/>
        </w:rPr>
        <w:t>处置的资金到账确认书”。发送后，经办人员应向本所债券担保品处置服务联系人确认。</w:t>
      </w:r>
    </w:p>
    <w:p w14:paraId="409115E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）债券过户</w:t>
      </w:r>
    </w:p>
    <w:p w14:paraId="771EE556">
      <w:pPr>
        <w:spacing w:line="600" w:lineRule="exact"/>
        <w:ind w:firstLine="600" w:firstLineChars="200"/>
        <w:rPr>
          <w:rFonts w:eastAsia="仿宋_GB2312" w:cs="宋体"/>
          <w:sz w:val="30"/>
          <w:szCs w:val="30"/>
        </w:rPr>
      </w:pPr>
      <w:r>
        <w:rPr>
          <w:rFonts w:hint="eastAsia" w:eastAsia="仿宋_GB2312" w:cs="宋体"/>
          <w:sz w:val="30"/>
          <w:szCs w:val="30"/>
        </w:rPr>
        <w:t>本所依据处置方提交的资金到账确认书后向债券登记结算机构发送债券过户数据，由债券登记结算机构按相关规则办理债券过户。具体流程如下：</w:t>
      </w:r>
    </w:p>
    <w:p w14:paraId="35B2ABCE">
      <w:pPr>
        <w:spacing w:line="600" w:lineRule="exact"/>
        <w:ind w:firstLine="600" w:firstLineChars="200"/>
        <w:rPr>
          <w:rFonts w:eastAsia="仿宋_GB2312" w:cs="宋体"/>
          <w:sz w:val="30"/>
          <w:szCs w:val="30"/>
        </w:rPr>
      </w:pPr>
      <w:r>
        <w:rPr>
          <w:rFonts w:hint="eastAsia" w:eastAsia="仿宋_GB2312" w:cs="宋体"/>
          <w:sz w:val="30"/>
          <w:szCs w:val="30"/>
        </w:rPr>
        <w:t>本所在收到处置方提交的资金到账确认书</w:t>
      </w:r>
      <w:r>
        <w:rPr>
          <w:rFonts w:hint="eastAsia" w:ascii="仿宋_GB2312" w:eastAsia="仿宋_GB2312" w:cs="宋体"/>
          <w:sz w:val="30"/>
          <w:szCs w:val="30"/>
        </w:rPr>
        <w:t>的</w:t>
      </w:r>
      <w:r>
        <w:rPr>
          <w:rFonts w:ascii="仿宋_GB2312" w:eastAsia="仿宋_GB2312" w:cs="宋体"/>
          <w:sz w:val="30"/>
          <w:szCs w:val="30"/>
        </w:rPr>
        <w:t>15</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前，将资金到账信息录入担保品处置平台，通过担保品处置平台向</w:t>
      </w:r>
      <w:r>
        <w:rPr>
          <w:rFonts w:hint="eastAsia" w:eastAsia="仿宋_GB2312" w:cs="宋体"/>
          <w:sz w:val="30"/>
          <w:szCs w:val="30"/>
        </w:rPr>
        <w:t>债券登记结算机构发送债券过户数据，债券登记结算机构于当日日终办理债券过户。过户后的下一个交易日，处置债券可以进行交易或转让。</w:t>
      </w:r>
    </w:p>
    <w:p w14:paraId="40E3781E">
      <w:pPr>
        <w:numPr>
          <w:ilvl w:val="0"/>
          <w:numId w:val="4"/>
        </w:numPr>
        <w:outlineLvl w:val="0"/>
        <w:rPr>
          <w:b/>
          <w:sz w:val="36"/>
        </w:rPr>
      </w:pPr>
      <w:bookmarkStart w:id="2215" w:name="_Toc56166104"/>
      <w:bookmarkStart w:id="2216" w:name="_Toc16497830"/>
      <w:bookmarkStart w:id="2217" w:name="_Toc56166293"/>
      <w:bookmarkStart w:id="2218" w:name="_Toc34763061"/>
      <w:bookmarkStart w:id="2219" w:name="_Toc24459967"/>
      <w:bookmarkStart w:id="2220" w:name="_Toc19542086"/>
      <w:r>
        <w:rPr>
          <w:b/>
          <w:sz w:val="36"/>
        </w:rPr>
        <w:br w:type="page"/>
      </w:r>
      <w:bookmarkStart w:id="2221" w:name="_Toc151137054"/>
      <w:r>
        <w:rPr>
          <w:rFonts w:hint="eastAsia" w:ascii="黑体" w:hAnsi="黑体" w:eastAsia="黑体" w:cs="黑体"/>
          <w:b/>
          <w:sz w:val="36"/>
        </w:rPr>
        <w:t>非交易类服务</w:t>
      </w:r>
      <w:bookmarkEnd w:id="2215"/>
      <w:bookmarkEnd w:id="2216"/>
      <w:bookmarkEnd w:id="2217"/>
      <w:bookmarkEnd w:id="2218"/>
      <w:bookmarkEnd w:id="2219"/>
      <w:bookmarkEnd w:id="2220"/>
      <w:bookmarkEnd w:id="2221"/>
    </w:p>
    <w:p w14:paraId="64DD6F01">
      <w:pPr>
        <w:spacing w:line="600" w:lineRule="exact"/>
        <w:ind w:firstLine="600" w:firstLineChars="200"/>
        <w:rPr>
          <w:rFonts w:ascii="仿宋_GB2312" w:hAnsi="Calibri" w:eastAsia="仿宋_GB2312"/>
          <w:sz w:val="30"/>
          <w:szCs w:val="30"/>
        </w:rPr>
      </w:pPr>
      <w:r>
        <w:rPr>
          <w:rFonts w:hint="eastAsia" w:ascii="仿宋_GB2312" w:hAnsi="仿宋" w:eastAsia="仿宋_GB2312"/>
          <w:sz w:val="30"/>
          <w:szCs w:val="30"/>
        </w:rPr>
        <w:t>本指南所称非交易服务，包括债券分期偿还、回售及其转售、转股、换股、转托管、质押券出入库业务等，质押券出</w:t>
      </w:r>
      <w:r>
        <w:rPr>
          <w:rFonts w:hint="eastAsia" w:ascii="仿宋_GB2312" w:hAnsi="Calibri" w:eastAsia="仿宋_GB2312"/>
          <w:sz w:val="30"/>
          <w:szCs w:val="30"/>
        </w:rPr>
        <w:t>入库业务具体规定详见本指南第7章。各项业务实施系统平台详见下表：</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4111"/>
      </w:tblGrid>
      <w:tr w14:paraId="3CF6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15B22BD6">
            <w:pPr>
              <w:rPr>
                <w:rFonts w:ascii="Calibri" w:hAnsi="Calibri" w:eastAsia="仿宋_GB2312"/>
                <w:b/>
                <w:sz w:val="24"/>
                <w:szCs w:val="24"/>
              </w:rPr>
            </w:pPr>
            <w:r>
              <w:rPr>
                <w:rFonts w:hint="eastAsia" w:ascii="Calibri" w:hAnsi="Calibri" w:eastAsia="仿宋_GB2312"/>
                <w:b/>
                <w:sz w:val="24"/>
                <w:szCs w:val="24"/>
              </w:rPr>
              <w:t>非交易业务类型</w:t>
            </w:r>
          </w:p>
        </w:tc>
        <w:tc>
          <w:tcPr>
            <w:tcW w:w="4111" w:type="dxa"/>
          </w:tcPr>
          <w:p w14:paraId="2D2278BA">
            <w:pPr>
              <w:rPr>
                <w:rFonts w:ascii="Calibri" w:hAnsi="Calibri" w:eastAsia="仿宋_GB2312"/>
                <w:b/>
                <w:sz w:val="24"/>
                <w:szCs w:val="24"/>
              </w:rPr>
            </w:pPr>
            <w:r>
              <w:rPr>
                <w:rFonts w:hint="eastAsia" w:ascii="Calibri" w:hAnsi="Calibri" w:eastAsia="仿宋_GB2312"/>
                <w:b/>
                <w:sz w:val="24"/>
                <w:szCs w:val="24"/>
              </w:rPr>
              <w:t>实施系统平台</w:t>
            </w:r>
          </w:p>
        </w:tc>
      </w:tr>
      <w:tr w14:paraId="12C9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27807ED3">
            <w:pPr>
              <w:rPr>
                <w:rFonts w:ascii="Calibri" w:hAnsi="Calibri" w:eastAsia="仿宋_GB2312"/>
                <w:b/>
                <w:sz w:val="24"/>
                <w:szCs w:val="24"/>
              </w:rPr>
            </w:pPr>
            <w:r>
              <w:rPr>
                <w:rFonts w:hint="eastAsia" w:ascii="Calibri" w:hAnsi="Calibri" w:eastAsia="仿宋_GB2312"/>
                <w:b/>
                <w:sz w:val="24"/>
                <w:szCs w:val="24"/>
              </w:rPr>
              <w:t>出入库</w:t>
            </w:r>
          </w:p>
        </w:tc>
        <w:tc>
          <w:tcPr>
            <w:tcW w:w="4111" w:type="dxa"/>
          </w:tcPr>
          <w:p w14:paraId="56825B02">
            <w:pPr>
              <w:rPr>
                <w:rFonts w:ascii="Calibri" w:hAnsi="Calibri" w:eastAsia="仿宋_GB2312"/>
                <w:sz w:val="24"/>
                <w:szCs w:val="24"/>
              </w:rPr>
            </w:pPr>
            <w:r>
              <w:rPr>
                <w:rFonts w:hint="eastAsia" w:ascii="Calibri" w:hAnsi="Calibri" w:eastAsia="仿宋_GB2312"/>
                <w:sz w:val="24"/>
                <w:szCs w:val="24"/>
              </w:rPr>
              <w:t>综合业务平台</w:t>
            </w:r>
          </w:p>
        </w:tc>
      </w:tr>
      <w:tr w14:paraId="02D4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071565C">
            <w:pPr>
              <w:rPr>
                <w:rFonts w:ascii="Calibri" w:hAnsi="Calibri" w:eastAsia="仿宋_GB2312"/>
                <w:b/>
                <w:sz w:val="24"/>
                <w:szCs w:val="24"/>
              </w:rPr>
            </w:pPr>
            <w:r>
              <w:rPr>
                <w:rFonts w:hint="eastAsia" w:ascii="Calibri" w:hAnsi="Calibri" w:eastAsia="仿宋_GB2312"/>
                <w:b/>
                <w:sz w:val="24"/>
                <w:szCs w:val="24"/>
              </w:rPr>
              <w:t>回售</w:t>
            </w:r>
          </w:p>
        </w:tc>
        <w:tc>
          <w:tcPr>
            <w:tcW w:w="4111" w:type="dxa"/>
          </w:tcPr>
          <w:p w14:paraId="1533AA4E">
            <w:pPr>
              <w:rPr>
                <w:rFonts w:ascii="Calibri" w:hAnsi="Calibri" w:eastAsia="仿宋_GB2312"/>
                <w:sz w:val="24"/>
                <w:szCs w:val="24"/>
              </w:rPr>
            </w:pPr>
            <w:r>
              <w:rPr>
                <w:rFonts w:hint="eastAsia" w:ascii="Calibri" w:hAnsi="Calibri" w:eastAsia="仿宋_GB2312"/>
                <w:sz w:val="24"/>
                <w:szCs w:val="24"/>
              </w:rPr>
              <w:t>综合业务平台、固收平台</w:t>
            </w:r>
          </w:p>
        </w:tc>
      </w:tr>
      <w:tr w14:paraId="358F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BB82A4E">
            <w:pPr>
              <w:rPr>
                <w:rFonts w:ascii="Calibri" w:hAnsi="Calibri" w:eastAsia="仿宋_GB2312"/>
                <w:b/>
                <w:sz w:val="24"/>
                <w:szCs w:val="24"/>
              </w:rPr>
            </w:pPr>
            <w:r>
              <w:rPr>
                <w:rFonts w:hint="eastAsia" w:ascii="Calibri" w:hAnsi="Calibri" w:eastAsia="仿宋_GB2312"/>
                <w:b/>
                <w:sz w:val="24"/>
                <w:szCs w:val="24"/>
              </w:rPr>
              <w:t>回售撤销</w:t>
            </w:r>
          </w:p>
        </w:tc>
        <w:tc>
          <w:tcPr>
            <w:tcW w:w="4111" w:type="dxa"/>
          </w:tcPr>
          <w:p w14:paraId="464854FE">
            <w:pPr>
              <w:rPr>
                <w:rFonts w:ascii="Calibri" w:hAnsi="Calibri" w:eastAsia="仿宋_GB2312"/>
                <w:sz w:val="24"/>
                <w:szCs w:val="24"/>
              </w:rPr>
            </w:pPr>
            <w:r>
              <w:rPr>
                <w:rFonts w:hint="eastAsia" w:ascii="Calibri" w:hAnsi="Calibri" w:eastAsia="仿宋_GB2312"/>
                <w:sz w:val="24"/>
                <w:szCs w:val="24"/>
              </w:rPr>
              <w:t>固收</w:t>
            </w:r>
            <w:r>
              <w:rPr>
                <w:rFonts w:ascii="Calibri" w:hAnsi="Calibri" w:eastAsia="仿宋_GB2312"/>
                <w:sz w:val="24"/>
                <w:szCs w:val="24"/>
              </w:rPr>
              <w:t>平台</w:t>
            </w:r>
          </w:p>
        </w:tc>
      </w:tr>
      <w:tr w14:paraId="1152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3279C49E">
            <w:pPr>
              <w:rPr>
                <w:rFonts w:ascii="Calibri" w:hAnsi="Calibri" w:eastAsia="仿宋_GB2312"/>
                <w:b/>
                <w:sz w:val="24"/>
                <w:szCs w:val="24"/>
              </w:rPr>
            </w:pPr>
            <w:r>
              <w:rPr>
                <w:rFonts w:hint="eastAsia" w:ascii="Calibri" w:hAnsi="Calibri" w:eastAsia="仿宋_GB2312"/>
                <w:b/>
                <w:sz w:val="24"/>
                <w:szCs w:val="24"/>
              </w:rPr>
              <w:t>公募可转债转股</w:t>
            </w:r>
          </w:p>
        </w:tc>
        <w:tc>
          <w:tcPr>
            <w:tcW w:w="4111" w:type="dxa"/>
          </w:tcPr>
          <w:p w14:paraId="7D7E73C8">
            <w:pPr>
              <w:rPr>
                <w:rFonts w:ascii="Calibri" w:hAnsi="Calibri" w:eastAsia="仿宋_GB2312"/>
                <w:sz w:val="24"/>
                <w:szCs w:val="24"/>
              </w:rPr>
            </w:pPr>
            <w:r>
              <w:rPr>
                <w:rFonts w:hint="eastAsia" w:ascii="Calibri" w:hAnsi="Calibri" w:eastAsia="仿宋_GB2312"/>
                <w:sz w:val="24"/>
                <w:szCs w:val="24"/>
              </w:rPr>
              <w:t>综合业务平台</w:t>
            </w:r>
          </w:p>
        </w:tc>
      </w:tr>
      <w:tr w14:paraId="33C3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5C4E4DAB">
            <w:pPr>
              <w:rPr>
                <w:rFonts w:ascii="Calibri" w:hAnsi="Calibri" w:eastAsia="仿宋_GB2312"/>
                <w:b/>
                <w:sz w:val="24"/>
                <w:szCs w:val="24"/>
              </w:rPr>
            </w:pPr>
            <w:r>
              <w:rPr>
                <w:rFonts w:hint="eastAsia" w:ascii="Calibri" w:hAnsi="Calibri" w:eastAsia="仿宋_GB2312"/>
                <w:b/>
                <w:sz w:val="24"/>
                <w:szCs w:val="24"/>
              </w:rPr>
              <w:t>私募可转债转股</w:t>
            </w:r>
          </w:p>
        </w:tc>
        <w:tc>
          <w:tcPr>
            <w:tcW w:w="4111" w:type="dxa"/>
          </w:tcPr>
          <w:p w14:paraId="0CC60D55">
            <w:pPr>
              <w:rPr>
                <w:rFonts w:ascii="Calibri" w:hAnsi="Calibri" w:eastAsia="仿宋_GB2312"/>
                <w:sz w:val="24"/>
                <w:szCs w:val="24"/>
              </w:rPr>
            </w:pPr>
            <w:r>
              <w:rPr>
                <w:rFonts w:hint="eastAsia" w:ascii="Calibri" w:hAnsi="Calibri" w:eastAsia="仿宋_GB2312"/>
                <w:sz w:val="24"/>
                <w:szCs w:val="24"/>
              </w:rPr>
              <w:t>固收平台</w:t>
            </w:r>
          </w:p>
        </w:tc>
      </w:tr>
      <w:tr w14:paraId="28BB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1E69370B">
            <w:pPr>
              <w:rPr>
                <w:rFonts w:ascii="Calibri" w:hAnsi="Calibri" w:eastAsia="仿宋_GB2312"/>
                <w:b/>
                <w:sz w:val="24"/>
                <w:szCs w:val="24"/>
              </w:rPr>
            </w:pPr>
            <w:r>
              <w:rPr>
                <w:rFonts w:hint="eastAsia" w:ascii="Calibri" w:hAnsi="Calibri" w:eastAsia="仿宋_GB2312"/>
                <w:b/>
                <w:sz w:val="24"/>
                <w:szCs w:val="24"/>
              </w:rPr>
              <w:t>公募可交债换股</w:t>
            </w:r>
          </w:p>
        </w:tc>
        <w:tc>
          <w:tcPr>
            <w:tcW w:w="4111" w:type="dxa"/>
          </w:tcPr>
          <w:p w14:paraId="3BFF9B0B">
            <w:pPr>
              <w:rPr>
                <w:rFonts w:ascii="Calibri" w:hAnsi="Calibri" w:eastAsia="仿宋_GB2312"/>
                <w:sz w:val="24"/>
                <w:szCs w:val="24"/>
              </w:rPr>
            </w:pPr>
            <w:r>
              <w:rPr>
                <w:rFonts w:hint="eastAsia" w:ascii="Calibri" w:hAnsi="Calibri" w:eastAsia="仿宋_GB2312"/>
                <w:sz w:val="24"/>
                <w:szCs w:val="24"/>
              </w:rPr>
              <w:t>综合业务平台</w:t>
            </w:r>
          </w:p>
        </w:tc>
      </w:tr>
      <w:tr w14:paraId="2AE9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977" w:type="dxa"/>
          </w:tcPr>
          <w:p w14:paraId="5C8DED30">
            <w:pPr>
              <w:rPr>
                <w:rFonts w:ascii="Calibri" w:hAnsi="Calibri" w:eastAsia="仿宋_GB2312"/>
                <w:b/>
                <w:sz w:val="24"/>
                <w:szCs w:val="24"/>
              </w:rPr>
            </w:pPr>
            <w:r>
              <w:rPr>
                <w:rFonts w:hint="eastAsia" w:ascii="Calibri" w:hAnsi="Calibri" w:eastAsia="仿宋_GB2312"/>
                <w:b/>
                <w:sz w:val="24"/>
                <w:szCs w:val="24"/>
              </w:rPr>
              <w:t>私募可交债换股</w:t>
            </w:r>
          </w:p>
        </w:tc>
        <w:tc>
          <w:tcPr>
            <w:tcW w:w="4111" w:type="dxa"/>
          </w:tcPr>
          <w:p w14:paraId="76F6798F">
            <w:pPr>
              <w:rPr>
                <w:rFonts w:ascii="Calibri" w:hAnsi="Calibri" w:eastAsia="仿宋_GB2312"/>
                <w:sz w:val="24"/>
                <w:szCs w:val="24"/>
              </w:rPr>
            </w:pPr>
            <w:r>
              <w:rPr>
                <w:rFonts w:hint="eastAsia" w:ascii="Calibri" w:hAnsi="Calibri" w:eastAsia="仿宋_GB2312"/>
                <w:sz w:val="24"/>
                <w:szCs w:val="24"/>
              </w:rPr>
              <w:t>固收平台</w:t>
            </w:r>
          </w:p>
        </w:tc>
      </w:tr>
      <w:tr w14:paraId="6B3F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A44F214">
            <w:pPr>
              <w:rPr>
                <w:rFonts w:ascii="Calibri" w:hAnsi="Calibri" w:eastAsia="仿宋_GB2312"/>
                <w:b/>
                <w:sz w:val="24"/>
                <w:szCs w:val="24"/>
              </w:rPr>
            </w:pPr>
            <w:r>
              <w:rPr>
                <w:rFonts w:hint="eastAsia" w:ascii="Calibri" w:hAnsi="Calibri" w:eastAsia="仿宋_GB2312"/>
                <w:b/>
                <w:sz w:val="24"/>
                <w:szCs w:val="24"/>
              </w:rPr>
              <w:t>转托管</w:t>
            </w:r>
          </w:p>
        </w:tc>
        <w:tc>
          <w:tcPr>
            <w:tcW w:w="4111" w:type="dxa"/>
          </w:tcPr>
          <w:p w14:paraId="4AEA3A27">
            <w:pPr>
              <w:rPr>
                <w:rFonts w:ascii="Calibri" w:hAnsi="Calibri" w:eastAsia="仿宋_GB2312"/>
                <w:sz w:val="24"/>
                <w:szCs w:val="24"/>
              </w:rPr>
            </w:pPr>
            <w:r>
              <w:rPr>
                <w:rFonts w:hint="eastAsia" w:ascii="Calibri" w:hAnsi="Calibri" w:eastAsia="仿宋_GB2312"/>
                <w:sz w:val="24"/>
                <w:szCs w:val="24"/>
              </w:rPr>
              <w:t>固收平台</w:t>
            </w:r>
          </w:p>
        </w:tc>
      </w:tr>
    </w:tbl>
    <w:p w14:paraId="0DBA0BB5">
      <w:pPr>
        <w:numPr>
          <w:ilvl w:val="1"/>
          <w:numId w:val="4"/>
        </w:numPr>
        <w:spacing w:line="600" w:lineRule="exact"/>
        <w:ind w:left="0" w:firstLine="0"/>
        <w:outlineLvl w:val="1"/>
        <w:rPr>
          <w:rFonts w:ascii="仿宋_GB2312" w:eastAsia="仿宋_GB2312"/>
          <w:b/>
          <w:sz w:val="30"/>
          <w:szCs w:val="30"/>
        </w:rPr>
      </w:pPr>
      <w:bookmarkStart w:id="2222" w:name="_Toc24459968"/>
      <w:bookmarkStart w:id="2223" w:name="_Toc56166294"/>
      <w:bookmarkStart w:id="2224" w:name="_Toc34763062"/>
      <w:bookmarkStart w:id="2225" w:name="_Toc56166105"/>
      <w:bookmarkStart w:id="2226" w:name="_Toc151137055"/>
      <w:bookmarkStart w:id="2227" w:name="_Toc16497831"/>
      <w:bookmarkStart w:id="2228" w:name="_Toc19542087"/>
      <w:r>
        <w:rPr>
          <w:rFonts w:hint="eastAsia" w:ascii="仿宋_GB2312" w:eastAsia="仿宋_GB2312"/>
          <w:b/>
          <w:sz w:val="30"/>
          <w:szCs w:val="30"/>
        </w:rPr>
        <w:t>分期偿还</w:t>
      </w:r>
      <w:bookmarkEnd w:id="2222"/>
      <w:bookmarkEnd w:id="2223"/>
      <w:bookmarkEnd w:id="2224"/>
      <w:bookmarkEnd w:id="2225"/>
      <w:bookmarkEnd w:id="2226"/>
      <w:bookmarkEnd w:id="2227"/>
      <w:bookmarkEnd w:id="2228"/>
    </w:p>
    <w:p w14:paraId="68C8D53F">
      <w:pPr>
        <w:numPr>
          <w:ilvl w:val="2"/>
          <w:numId w:val="4"/>
        </w:numPr>
        <w:spacing w:line="600" w:lineRule="exact"/>
        <w:ind w:left="0" w:firstLine="0"/>
        <w:outlineLvl w:val="2"/>
        <w:rPr>
          <w:rFonts w:ascii="仿宋_GB2312" w:hAnsi="Calibri" w:eastAsia="仿宋_GB2312"/>
          <w:b/>
          <w:bCs/>
          <w:sz w:val="30"/>
          <w:szCs w:val="30"/>
        </w:rPr>
      </w:pPr>
      <w:r>
        <w:rPr>
          <w:rFonts w:hint="eastAsia" w:ascii="Calibri" w:hAnsi="Calibri" w:eastAsia="仿宋_GB2312"/>
          <w:b/>
          <w:bCs/>
          <w:sz w:val="30"/>
          <w:szCs w:val="30"/>
        </w:rPr>
        <w:t>分期偿还定义</w:t>
      </w:r>
    </w:p>
    <w:p w14:paraId="20E89C49">
      <w:pPr>
        <w:spacing w:line="600" w:lineRule="exact"/>
        <w:ind w:firstLine="600" w:firstLineChars="200"/>
        <w:rPr>
          <w:rFonts w:ascii="仿宋_GB2312" w:hAnsi="Calibri" w:eastAsia="仿宋_GB2312"/>
          <w:sz w:val="30"/>
          <w:szCs w:val="30"/>
        </w:rPr>
      </w:pPr>
      <w:r>
        <w:rPr>
          <w:rFonts w:hint="eastAsia" w:ascii="Calibri" w:hAnsi="Calibri" w:eastAsia="仿宋_GB2312"/>
          <w:sz w:val="30"/>
          <w:szCs w:val="30"/>
        </w:rPr>
        <w:t>债券分期偿还是指债券发行人根据发行文件约定分期偿还债券本金。</w:t>
      </w:r>
      <w:r>
        <w:rPr>
          <w:rFonts w:hint="eastAsia" w:ascii="仿宋_GB2312" w:hAnsi="Calibri" w:eastAsia="仿宋_GB2312"/>
          <w:sz w:val="30"/>
          <w:szCs w:val="30"/>
        </w:rPr>
        <w:t>债券分期偿还可采用减少面额、减少持仓或本所认可的其他方式办理。</w:t>
      </w:r>
    </w:p>
    <w:p w14:paraId="06272CA5">
      <w:pPr>
        <w:numPr>
          <w:ilvl w:val="2"/>
          <w:numId w:val="4"/>
        </w:numPr>
        <w:spacing w:line="600" w:lineRule="exact"/>
        <w:ind w:left="0" w:firstLine="0"/>
        <w:outlineLvl w:val="2"/>
        <w:rPr>
          <w:rFonts w:ascii="Calibri" w:hAnsi="Calibri" w:eastAsia="仿宋_GB2312"/>
          <w:b/>
          <w:sz w:val="30"/>
          <w:szCs w:val="30"/>
        </w:rPr>
      </w:pPr>
      <w:r>
        <w:rPr>
          <w:rFonts w:hint="eastAsia" w:ascii="Calibri" w:hAnsi="Calibri" w:eastAsia="仿宋_GB2312"/>
          <w:b/>
          <w:sz w:val="30"/>
          <w:szCs w:val="30"/>
        </w:rPr>
        <w:t>减</w:t>
      </w:r>
      <w:r>
        <w:rPr>
          <w:rFonts w:hint="eastAsia" w:ascii="仿宋_GB2312" w:eastAsia="仿宋_GB2312"/>
          <w:b/>
          <w:sz w:val="30"/>
          <w:szCs w:val="30"/>
        </w:rPr>
        <w:t>面额</w:t>
      </w:r>
      <w:r>
        <w:rPr>
          <w:rFonts w:hint="eastAsia" w:ascii="Calibri" w:hAnsi="Calibri" w:eastAsia="仿宋_GB2312"/>
          <w:b/>
          <w:sz w:val="30"/>
          <w:szCs w:val="30"/>
        </w:rPr>
        <w:t>方式</w:t>
      </w:r>
    </w:p>
    <w:p w14:paraId="1FD22F73">
      <w:pPr>
        <w:spacing w:line="600" w:lineRule="exact"/>
        <w:ind w:firstLine="600" w:firstLineChars="200"/>
        <w:rPr>
          <w:rFonts w:ascii="Calibri" w:hAnsi="Calibri" w:eastAsia="仿宋_GB2312"/>
          <w:sz w:val="30"/>
          <w:szCs w:val="30"/>
        </w:rPr>
      </w:pPr>
      <w:r>
        <w:rPr>
          <w:rFonts w:hint="eastAsia" w:ascii="Calibri" w:hAnsi="Calibri" w:eastAsia="仿宋_GB2312"/>
          <w:sz w:val="30"/>
          <w:szCs w:val="30"/>
        </w:rPr>
        <w:t>债券分期偿还采取减少面额的方式，按照以下规定办理：</w:t>
      </w:r>
    </w:p>
    <w:p w14:paraId="4B1CFE2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（1）债券持仓数量保持不变，债券面额根据已偿还比例相应减少。面额计算公式为：减少后的面额</w:t>
      </w:r>
      <w:r>
        <w:rPr>
          <w:rFonts w:ascii="仿宋_GB2312" w:hAnsi="宋体" w:eastAsia="仿宋_GB2312"/>
          <w:sz w:val="30"/>
          <w:szCs w:val="30"/>
        </w:rPr>
        <w:t>=发行</w:t>
      </w:r>
      <w:r>
        <w:rPr>
          <w:rFonts w:hint="eastAsia" w:ascii="仿宋_GB2312" w:hAnsi="宋体" w:eastAsia="仿宋_GB2312"/>
          <w:sz w:val="30"/>
          <w:szCs w:val="30"/>
        </w:rPr>
        <w:t>面额×未偿还比例。</w:t>
      </w:r>
    </w:p>
    <w:p w14:paraId="780E531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（2）债券交易申报价格采用“减少后的面额所对应债券的价格”。</w:t>
      </w:r>
    </w:p>
    <w:p w14:paraId="3D1F784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（3）本所在权益登记日次一交易日作除权处理。</w:t>
      </w:r>
      <w:r>
        <w:rPr>
          <w:rFonts w:hint="eastAsia" w:ascii="仿宋_GB2312" w:hAnsi="Calibri" w:eastAsia="仿宋_GB2312"/>
          <w:color w:val="000000"/>
          <w:sz w:val="30"/>
          <w:szCs w:val="30"/>
        </w:rPr>
        <w:t>除权日即时行情中显示的该债券的前收盘价为除权参考价。</w:t>
      </w:r>
      <w:r>
        <w:rPr>
          <w:rFonts w:hint="eastAsia" w:ascii="仿宋_GB2312" w:hAnsi="宋体" w:eastAsia="仿宋_GB2312"/>
          <w:sz w:val="30"/>
          <w:szCs w:val="30"/>
        </w:rPr>
        <w:t>除权参考价格的计算公式为：除权参考价格</w:t>
      </w:r>
      <w:r>
        <w:rPr>
          <w:rFonts w:ascii="仿宋_GB2312" w:hAnsi="宋体" w:eastAsia="仿宋_GB2312"/>
          <w:sz w:val="30"/>
          <w:szCs w:val="30"/>
        </w:rPr>
        <w:t>=前收盘价格-100元×本次偿还比例。</w:t>
      </w:r>
      <w:r>
        <w:rPr>
          <w:rFonts w:hint="eastAsia" w:ascii="仿宋_GB2312" w:hAnsi="宋体" w:eastAsia="仿宋_GB2312"/>
          <w:sz w:val="30"/>
          <w:szCs w:val="30"/>
        </w:rPr>
        <w:t>若计算出的除权参考价为负值，则本所不进行除权处理，即除权参考价格=分期偿还日前一日的收盘价。</w:t>
      </w:r>
    </w:p>
    <w:p w14:paraId="334B177B">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减持仓方式</w:t>
      </w:r>
    </w:p>
    <w:p w14:paraId="6011B0A5">
      <w:pPr>
        <w:spacing w:line="600" w:lineRule="exact"/>
        <w:ind w:firstLine="600" w:firstLineChars="200"/>
        <w:rPr>
          <w:rFonts w:ascii="仿宋_GB2312" w:hAnsi="宋体" w:eastAsia="仿宋_GB2312"/>
          <w:sz w:val="30"/>
          <w:szCs w:val="30"/>
        </w:rPr>
      </w:pPr>
      <w:r>
        <w:rPr>
          <w:rFonts w:ascii="仿宋_GB2312" w:hAnsi="宋体" w:eastAsia="仿宋_GB2312"/>
          <w:sz w:val="30"/>
          <w:szCs w:val="30"/>
        </w:rPr>
        <w:t>债券分期偿采取减少持仓</w:t>
      </w:r>
      <w:r>
        <w:rPr>
          <w:rFonts w:hint="eastAsia" w:ascii="仿宋_GB2312" w:hAnsi="宋体" w:eastAsia="仿宋_GB2312"/>
          <w:sz w:val="30"/>
          <w:szCs w:val="30"/>
        </w:rPr>
        <w:t>方式的，债券面额保持不变，债券持仓数量根据已偿还比例相应减少。由此产生的不足</w:t>
      </w:r>
      <w:r>
        <w:rPr>
          <w:rFonts w:ascii="仿宋_GB2312" w:hAnsi="宋体" w:eastAsia="仿宋_GB2312"/>
          <w:sz w:val="30"/>
          <w:szCs w:val="30"/>
        </w:rPr>
        <w:t>1000元</w:t>
      </w:r>
      <w:r>
        <w:rPr>
          <w:rFonts w:hint="eastAsia" w:ascii="仿宋_GB2312" w:hAnsi="宋体" w:eastAsia="仿宋_GB2312"/>
          <w:sz w:val="30"/>
          <w:szCs w:val="30"/>
        </w:rPr>
        <w:t>面额债券，应当予以全部偿还。</w:t>
      </w:r>
    </w:p>
    <w:p w14:paraId="5AE7AF8B">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宋体" w:eastAsia="仿宋_GB2312"/>
          <w:b/>
          <w:sz w:val="30"/>
          <w:szCs w:val="30"/>
        </w:rPr>
        <w:t>信息披露</w:t>
      </w:r>
    </w:p>
    <w:p w14:paraId="5A1E96C5">
      <w:pPr>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债券投资者可通过本所官网、债券信息网等本所信息披露平台查看</w:t>
      </w:r>
      <w:r>
        <w:rPr>
          <w:rFonts w:hint="eastAsia" w:ascii="仿宋_GB2312" w:hAnsi="Calibri" w:eastAsia="仿宋_GB2312"/>
          <w:sz w:val="30"/>
          <w:szCs w:val="30"/>
        </w:rPr>
        <w:t>下列信息披露文件与信息：</w:t>
      </w:r>
    </w:p>
    <w:p w14:paraId="266D784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Calibri" w:hAnsi="Calibri" w:eastAsia="仿宋_GB2312"/>
          <w:sz w:val="30"/>
          <w:szCs w:val="30"/>
        </w:rPr>
        <w:t>分期偿还本金公告。发行人</w:t>
      </w:r>
      <w:r>
        <w:rPr>
          <w:rFonts w:hint="eastAsia" w:ascii="仿宋_GB2312" w:hAnsi="Calibri" w:eastAsia="仿宋_GB2312"/>
          <w:sz w:val="30"/>
          <w:szCs w:val="30"/>
        </w:rPr>
        <w:t>提前5个交易日披露</w:t>
      </w:r>
      <w:r>
        <w:rPr>
          <w:rFonts w:hint="eastAsia" w:ascii="仿宋_GB2312" w:hAnsi="宋体" w:eastAsia="仿宋_GB2312"/>
          <w:sz w:val="30"/>
          <w:szCs w:val="30"/>
        </w:rPr>
        <w:t>分期偿还本金公告</w:t>
      </w:r>
      <w:r>
        <w:rPr>
          <w:rFonts w:hint="eastAsia" w:ascii="仿宋_GB2312" w:hAnsi="Calibri" w:eastAsia="仿宋_GB2312"/>
          <w:sz w:val="30"/>
          <w:szCs w:val="30"/>
        </w:rPr>
        <w:t>，具体披露信息包括</w:t>
      </w:r>
      <w:r>
        <w:rPr>
          <w:rFonts w:hint="eastAsia" w:ascii="仿宋_GB2312" w:hAnsi="宋体" w:eastAsia="仿宋_GB2312"/>
          <w:sz w:val="30"/>
          <w:szCs w:val="30"/>
        </w:rPr>
        <w:t>本期债券基本情况及债权登记日、债券面额变更情况、开盘参考价调整方式等。</w:t>
      </w:r>
    </w:p>
    <w:p w14:paraId="323655B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Calibri" w:eastAsia="仿宋_GB2312"/>
          <w:sz w:val="30"/>
          <w:szCs w:val="30"/>
        </w:rPr>
        <w:t>债券分期偿还提示性公告。</w:t>
      </w:r>
      <w:r>
        <w:rPr>
          <w:rFonts w:hint="eastAsia" w:ascii="仿宋_GB2312" w:hAnsi="宋体" w:eastAsia="仿宋_GB2312"/>
          <w:sz w:val="30"/>
          <w:szCs w:val="30"/>
        </w:rPr>
        <w:t>发行人通过本所披露的至少三次提示性公告中披露债券面额计算方法、开盘参考价调整方式等。</w:t>
      </w:r>
    </w:p>
    <w:p w14:paraId="61802871">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分期</w:t>
      </w:r>
      <w:r>
        <w:rPr>
          <w:rFonts w:hint="eastAsia" w:ascii="仿宋_GB2312" w:eastAsia="仿宋_GB2312"/>
          <w:b/>
          <w:sz w:val="30"/>
          <w:szCs w:val="30"/>
        </w:rPr>
        <w:t>偿还</w:t>
      </w:r>
      <w:r>
        <w:rPr>
          <w:rFonts w:hint="eastAsia" w:ascii="仿宋_GB2312" w:hAnsi="宋体" w:eastAsia="仿宋_GB2312"/>
          <w:b/>
          <w:sz w:val="30"/>
          <w:szCs w:val="30"/>
        </w:rPr>
        <w:t>完成</w:t>
      </w:r>
    </w:p>
    <w:p w14:paraId="574F31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债券分期偿还后，债券面额相应减少</w:t>
      </w:r>
      <w:r>
        <w:rPr>
          <w:rFonts w:ascii="仿宋_GB2312" w:hAnsi="宋体" w:eastAsia="仿宋_GB2312"/>
          <w:sz w:val="30"/>
          <w:szCs w:val="30"/>
        </w:rPr>
        <w:t>。</w:t>
      </w:r>
    </w:p>
    <w:p w14:paraId="7B160674">
      <w:pPr>
        <w:numPr>
          <w:ilvl w:val="1"/>
          <w:numId w:val="4"/>
        </w:numPr>
        <w:spacing w:line="600" w:lineRule="exact"/>
        <w:ind w:left="0" w:firstLine="0"/>
        <w:outlineLvl w:val="1"/>
        <w:rPr>
          <w:rFonts w:ascii="仿宋_GB2312" w:eastAsia="仿宋_GB2312"/>
          <w:b/>
          <w:sz w:val="30"/>
          <w:szCs w:val="30"/>
        </w:rPr>
      </w:pPr>
      <w:bookmarkStart w:id="2229" w:name="_Toc151137056"/>
      <w:bookmarkStart w:id="2230" w:name="_Toc56166295"/>
      <w:bookmarkStart w:id="2231" w:name="_Toc56166106"/>
      <w:bookmarkStart w:id="2232" w:name="_Toc16497832"/>
      <w:bookmarkStart w:id="2233" w:name="_Toc19542088"/>
      <w:bookmarkStart w:id="2234" w:name="_Toc34763063"/>
      <w:bookmarkStart w:id="2235" w:name="_Toc24459969"/>
      <w:bookmarkStart w:id="2236" w:name="_Toc14166608"/>
      <w:r>
        <w:rPr>
          <w:rFonts w:hint="eastAsia" w:ascii="仿宋_GB2312" w:eastAsia="仿宋_GB2312"/>
          <w:b/>
          <w:sz w:val="30"/>
          <w:szCs w:val="30"/>
        </w:rPr>
        <w:t>债券回售</w:t>
      </w:r>
      <w:bookmarkEnd w:id="2229"/>
      <w:bookmarkEnd w:id="2230"/>
      <w:bookmarkEnd w:id="2231"/>
      <w:bookmarkEnd w:id="2232"/>
      <w:bookmarkEnd w:id="2233"/>
      <w:bookmarkEnd w:id="2234"/>
      <w:bookmarkEnd w:id="2235"/>
      <w:bookmarkEnd w:id="2236"/>
    </w:p>
    <w:p w14:paraId="2B1DDC4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回售准备</w:t>
      </w:r>
    </w:p>
    <w:p w14:paraId="2EB64653">
      <w:pPr>
        <w:spacing w:line="600" w:lineRule="exact"/>
        <w:ind w:firstLine="600" w:firstLineChars="200"/>
        <w:jc w:val="left"/>
        <w:rPr>
          <w:rFonts w:ascii="Calibri" w:hAnsi="Calibri" w:eastAsia="仿宋_GB2312"/>
          <w:sz w:val="30"/>
          <w:szCs w:val="30"/>
        </w:rPr>
      </w:pPr>
      <w:r>
        <w:rPr>
          <w:rFonts w:hint="eastAsia" w:ascii="Calibri" w:hAnsi="Calibri" w:eastAsia="仿宋_GB2312"/>
          <w:sz w:val="30"/>
          <w:szCs w:val="30"/>
        </w:rPr>
        <w:t>债券投资者可根据发行文件约定在一定期限内行使向发行人售出债券的权利。</w:t>
      </w:r>
    </w:p>
    <w:p w14:paraId="29B0C73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设定持有人回售选择权的债券，持有人有权选择在回售登记期内进行登记，将持有的债券按回售价格全部或部分回售给发行人，或选择继续持有债券。</w:t>
      </w:r>
    </w:p>
    <w:p w14:paraId="3F8EEFE0">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w:t>
      </w:r>
      <w:r>
        <w:rPr>
          <w:rFonts w:hint="eastAsia" w:ascii="仿宋_GB2312" w:hAnsi="Calibri" w:eastAsia="仿宋_GB2312"/>
          <w:sz w:val="30"/>
          <w:szCs w:val="30"/>
        </w:rPr>
        <w:t>下列有关债券回售的信息披露文件：</w:t>
      </w:r>
    </w:p>
    <w:p w14:paraId="16252629">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（1）回售实施公告。公告内容包括回售登记期、回售价格、回售登记办法、回售资金兑付日、是否可撤销、是否转售等。</w:t>
      </w:r>
    </w:p>
    <w:p w14:paraId="4E94FD92">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（2）回售结果公告。公告内容包括回售金额、回售有效登记数量、拟转售债券金额、转售期、注销金额等。</w:t>
      </w:r>
    </w:p>
    <w:p w14:paraId="141B112A">
      <w:pPr>
        <w:numPr>
          <w:ilvl w:val="2"/>
          <w:numId w:val="4"/>
        </w:numPr>
        <w:spacing w:line="600" w:lineRule="exact"/>
        <w:ind w:left="0" w:firstLine="0"/>
        <w:outlineLvl w:val="2"/>
        <w:rPr>
          <w:rFonts w:ascii="仿宋_GB2312" w:eastAsia="仿宋_GB2312"/>
          <w:b/>
          <w:sz w:val="30"/>
          <w:szCs w:val="30"/>
        </w:rPr>
      </w:pPr>
      <w:bookmarkStart w:id="2237" w:name="_Toc16497835"/>
      <w:bookmarkStart w:id="2238" w:name="_Toc34763066"/>
      <w:bookmarkStart w:id="2239" w:name="_Toc24459972"/>
      <w:bookmarkStart w:id="2240" w:name="_Toc19542091"/>
      <w:r>
        <w:rPr>
          <w:rFonts w:hint="eastAsia" w:ascii="仿宋_GB2312" w:eastAsia="仿宋_GB2312"/>
          <w:b/>
          <w:sz w:val="30"/>
          <w:szCs w:val="30"/>
        </w:rPr>
        <w:t>回售申报</w:t>
      </w:r>
      <w:bookmarkEnd w:id="2237"/>
      <w:bookmarkEnd w:id="2238"/>
      <w:bookmarkEnd w:id="2239"/>
      <w:bookmarkEnd w:id="2240"/>
    </w:p>
    <w:p w14:paraId="1D05E34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回售登记期内，债券投资者可以通过本所固收平台、综合业务平台或本所认可的其他方式进行债券回售申报。未做回售申报的，视为继续持有债券。</w:t>
      </w:r>
    </w:p>
    <w:p w14:paraId="061E7D1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w:t>
      </w:r>
      <w:r>
        <w:rPr>
          <w:rFonts w:ascii="仿宋_GB2312" w:hAnsi="宋体" w:eastAsia="仿宋_GB2312"/>
          <w:sz w:val="30"/>
          <w:szCs w:val="30"/>
        </w:rPr>
        <w:t>以外的</w:t>
      </w:r>
      <w:r>
        <w:rPr>
          <w:rFonts w:hint="eastAsia" w:ascii="仿宋_GB2312" w:hAnsi="宋体" w:eastAsia="仿宋_GB2312"/>
          <w:sz w:val="30"/>
          <w:szCs w:val="30"/>
        </w:rPr>
        <w:t>债券</w:t>
      </w:r>
      <w:r>
        <w:rPr>
          <w:rFonts w:ascii="仿宋_GB2312" w:hAnsi="宋体" w:eastAsia="仿宋_GB2312"/>
          <w:sz w:val="30"/>
          <w:szCs w:val="30"/>
        </w:rPr>
        <w:t>回售</w:t>
      </w:r>
    </w:p>
    <w:p w14:paraId="085E834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w:t>
      </w:r>
      <w:r>
        <w:rPr>
          <w:rFonts w:ascii="仿宋_GB2312" w:hAnsi="Calibri" w:eastAsia="仿宋_GB2312"/>
          <w:sz w:val="30"/>
          <w:szCs w:val="30"/>
        </w:rPr>
        <w:t>回售登记期内，</w:t>
      </w:r>
      <w:r>
        <w:rPr>
          <w:rFonts w:hint="eastAsia" w:ascii="仿宋_GB2312" w:hAnsi="Calibri" w:eastAsia="仿宋_GB2312"/>
          <w:sz w:val="30"/>
          <w:szCs w:val="30"/>
        </w:rPr>
        <w:t>债券投资者可以通过固收平台进行回售申报；</w:t>
      </w:r>
      <w:r>
        <w:rPr>
          <w:rFonts w:hint="eastAsia" w:ascii="仿宋_GB2312" w:hAnsi="仿宋" w:eastAsia="仿宋_GB2312"/>
          <w:sz w:val="30"/>
          <w:szCs w:val="30"/>
        </w:rPr>
        <w:t>其中，</w:t>
      </w:r>
      <w:r>
        <w:rPr>
          <w:rFonts w:ascii="仿宋_GB2312" w:hAnsi="仿宋" w:eastAsia="仿宋_GB2312"/>
          <w:sz w:val="30"/>
          <w:szCs w:val="30"/>
        </w:rPr>
        <w:t>在</w:t>
      </w:r>
      <w:r>
        <w:rPr>
          <w:rFonts w:hint="eastAsia" w:ascii="仿宋_GB2312" w:hAnsi="仿宋" w:eastAsia="仿宋_GB2312"/>
          <w:sz w:val="30"/>
          <w:szCs w:val="30"/>
        </w:rPr>
        <w:t>新债券交易系统</w:t>
      </w:r>
      <w:r>
        <w:rPr>
          <w:rFonts w:hint="eastAsia" w:ascii="仿宋_GB2312" w:hAnsi="Calibri" w:eastAsia="仿宋_GB2312"/>
          <w:sz w:val="30"/>
          <w:szCs w:val="30"/>
        </w:rPr>
        <w:t>和固收平台双边挂牌的债券，债券投资者还可以通过综合业务平台进行回售申报。</w:t>
      </w:r>
    </w:p>
    <w:p w14:paraId="167C5E2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（2）公募</w:t>
      </w:r>
      <w:r>
        <w:rPr>
          <w:rFonts w:ascii="仿宋_GB2312" w:hAnsi="Calibri" w:eastAsia="仿宋_GB2312"/>
          <w:sz w:val="30"/>
          <w:szCs w:val="30"/>
        </w:rPr>
        <w:t>可转债回售</w:t>
      </w:r>
    </w:p>
    <w:p w14:paraId="4B5256C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在公募</w:t>
      </w:r>
      <w:r>
        <w:rPr>
          <w:rFonts w:ascii="仿宋_GB2312" w:hAnsi="Calibri" w:eastAsia="仿宋_GB2312"/>
          <w:sz w:val="30"/>
          <w:szCs w:val="30"/>
        </w:rPr>
        <w:t>可转债的回售登记期内，债券投资者可以通过综合业务平台进行回售申报。</w:t>
      </w:r>
    </w:p>
    <w:p w14:paraId="5255299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（3）回售</w:t>
      </w:r>
      <w:r>
        <w:rPr>
          <w:rFonts w:ascii="仿宋_GB2312" w:hAnsi="宋体" w:eastAsia="仿宋_GB2312"/>
          <w:sz w:val="30"/>
          <w:szCs w:val="30"/>
        </w:rPr>
        <w:t>申报流程</w:t>
      </w:r>
    </w:p>
    <w:p w14:paraId="54B7929B">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固收平台接受回售申报时间为回售期间每个交易日的</w:t>
      </w:r>
      <w:r>
        <w:rPr>
          <w:rFonts w:ascii="仿宋_GB2312" w:hAnsi="宋体" w:eastAsia="仿宋_GB2312"/>
          <w:sz w:val="30"/>
          <w:szCs w:val="30"/>
        </w:rPr>
        <w:t>9：00至11：30</w:t>
      </w:r>
      <w:r>
        <w:rPr>
          <w:rFonts w:hint="eastAsia" w:ascii="仿宋_GB2312" w:hAnsi="宋体" w:eastAsia="仿宋_GB2312"/>
          <w:sz w:val="30"/>
          <w:szCs w:val="30"/>
        </w:rPr>
        <w:t>、</w:t>
      </w:r>
      <w:r>
        <w:rPr>
          <w:rFonts w:ascii="仿宋_GB2312" w:hAnsi="宋体" w:eastAsia="仿宋_GB2312"/>
          <w:sz w:val="30"/>
          <w:szCs w:val="30"/>
        </w:rPr>
        <w:t>13：00至15：30</w:t>
      </w:r>
      <w:r>
        <w:rPr>
          <w:rFonts w:hint="eastAsia" w:ascii="仿宋_GB2312" w:hAnsi="宋体" w:eastAsia="仿宋_GB2312"/>
          <w:sz w:val="30"/>
          <w:szCs w:val="30"/>
        </w:rPr>
        <w:t>。</w:t>
      </w:r>
    </w:p>
    <w:p w14:paraId="488BCB8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综合业务平台接受回售申报时间为回售期间每个交易日的</w:t>
      </w:r>
      <w:r>
        <w:rPr>
          <w:rFonts w:ascii="仿宋_GB2312" w:hAnsi="宋体" w:eastAsia="仿宋_GB2312"/>
          <w:sz w:val="30"/>
          <w:szCs w:val="30"/>
        </w:rPr>
        <w:t>9：30</w:t>
      </w:r>
      <w:r>
        <w:rPr>
          <w:rFonts w:hint="eastAsia" w:ascii="仿宋_GB2312" w:hAnsi="宋体" w:eastAsia="仿宋_GB2312"/>
          <w:sz w:val="30"/>
          <w:szCs w:val="30"/>
        </w:rPr>
        <w:t>至</w:t>
      </w:r>
      <w:r>
        <w:rPr>
          <w:rFonts w:ascii="仿宋_GB2312" w:hAnsi="宋体" w:eastAsia="仿宋_GB2312"/>
          <w:sz w:val="30"/>
          <w:szCs w:val="30"/>
        </w:rPr>
        <w:t>11：30、13：00至15：</w:t>
      </w:r>
      <w:r>
        <w:rPr>
          <w:rFonts w:hint="eastAsia" w:ascii="仿宋_GB2312" w:hAnsi="宋体" w:eastAsia="仿宋_GB2312"/>
          <w:sz w:val="30"/>
          <w:szCs w:val="30"/>
        </w:rPr>
        <w:t>00</w:t>
      </w:r>
      <w:r>
        <w:rPr>
          <w:rFonts w:ascii="仿宋_GB2312" w:hAnsi="宋体" w:eastAsia="仿宋_GB2312"/>
          <w:sz w:val="30"/>
          <w:szCs w:val="30"/>
        </w:rPr>
        <w:t>。</w:t>
      </w:r>
    </w:p>
    <w:p w14:paraId="771E534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44AE3D1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债券回售申报要素应当包括非交易类型、证券代码、证券简称、回售数量、证券账户等内容。具体要素及要素说明如下：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0FDC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56A912D">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65768C22">
            <w:pPr>
              <w:rPr>
                <w:rFonts w:ascii="仿宋_GB2312" w:hAnsi="宋体" w:eastAsia="仿宋_GB2312"/>
                <w:b/>
                <w:sz w:val="24"/>
                <w:szCs w:val="24"/>
              </w:rPr>
            </w:pPr>
            <w:r>
              <w:rPr>
                <w:rFonts w:hint="eastAsia" w:ascii="仿宋_GB2312" w:hAnsi="宋体" w:eastAsia="仿宋_GB2312"/>
                <w:b/>
                <w:sz w:val="24"/>
                <w:szCs w:val="24"/>
              </w:rPr>
              <w:t>要素说明</w:t>
            </w:r>
          </w:p>
        </w:tc>
      </w:tr>
      <w:tr w14:paraId="6790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40B51FE">
            <w:pPr>
              <w:rPr>
                <w:rFonts w:ascii="仿宋_GB2312" w:hAnsi="宋体" w:eastAsia="仿宋_GB2312"/>
                <w:b/>
                <w:sz w:val="24"/>
                <w:szCs w:val="24"/>
              </w:rPr>
            </w:pPr>
            <w:r>
              <w:rPr>
                <w:rFonts w:hint="eastAsia" w:ascii="仿宋_GB2312" w:hAnsi="宋体" w:eastAsia="仿宋_GB2312"/>
                <w:b/>
                <w:sz w:val="24"/>
                <w:szCs w:val="24"/>
              </w:rPr>
              <w:t>非交易类型</w:t>
            </w:r>
          </w:p>
        </w:tc>
        <w:tc>
          <w:tcPr>
            <w:tcW w:w="5529" w:type="dxa"/>
          </w:tcPr>
          <w:p w14:paraId="78220C58">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w:t>
            </w:r>
            <w:r>
              <w:rPr>
                <w:rFonts w:ascii="仿宋_GB2312" w:hAnsi="宋体" w:eastAsia="仿宋_GB2312"/>
                <w:sz w:val="24"/>
                <w:szCs w:val="24"/>
              </w:rPr>
              <w:t>BSB</w:t>
            </w:r>
            <w:r>
              <w:rPr>
                <w:rFonts w:hint="eastAsia" w:ascii="仿宋_GB2312" w:hAnsi="宋体" w:eastAsia="仿宋_GB2312"/>
                <w:sz w:val="24"/>
                <w:szCs w:val="24"/>
              </w:rPr>
              <w:t>”，</w:t>
            </w:r>
            <w:r>
              <w:rPr>
                <w:rFonts w:ascii="仿宋_GB2312" w:hAnsi="宋体" w:eastAsia="仿宋_GB2312"/>
                <w:sz w:val="24"/>
                <w:szCs w:val="24"/>
              </w:rPr>
              <w:t>固定收益平台为回售菜单入口</w:t>
            </w:r>
          </w:p>
        </w:tc>
      </w:tr>
      <w:tr w14:paraId="38EA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2EC6E31">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3E76CA31">
            <w:pPr>
              <w:rPr>
                <w:rFonts w:ascii="仿宋_GB2312" w:hAnsi="宋体" w:eastAsia="仿宋_GB2312"/>
                <w:sz w:val="24"/>
                <w:szCs w:val="24"/>
              </w:rPr>
            </w:pPr>
            <w:r>
              <w:rPr>
                <w:rFonts w:hint="eastAsia" w:ascii="仿宋_GB2312" w:hAnsi="宋体" w:eastAsia="仿宋_GB2312"/>
                <w:sz w:val="24"/>
                <w:szCs w:val="24"/>
              </w:rPr>
              <w:t>账户名称</w:t>
            </w:r>
          </w:p>
        </w:tc>
      </w:tr>
      <w:tr w14:paraId="4511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C545810">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3802CF04">
            <w:pPr>
              <w:rPr>
                <w:rFonts w:ascii="仿宋_GB2312" w:hAnsi="宋体" w:eastAsia="仿宋_GB2312"/>
                <w:sz w:val="24"/>
                <w:szCs w:val="24"/>
              </w:rPr>
            </w:pPr>
            <w:r>
              <w:rPr>
                <w:rFonts w:hint="eastAsia" w:ascii="仿宋_GB2312" w:hAnsi="宋体" w:eastAsia="仿宋_GB2312"/>
                <w:sz w:val="24"/>
                <w:szCs w:val="24"/>
              </w:rPr>
              <w:t>现券代码</w:t>
            </w:r>
          </w:p>
        </w:tc>
      </w:tr>
      <w:tr w14:paraId="51FD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C5FAA14">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3BCF0E19">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FB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07F15FD">
            <w:pPr>
              <w:rPr>
                <w:rFonts w:ascii="仿宋_GB2312" w:hAnsi="宋体" w:eastAsia="仿宋_GB2312"/>
                <w:b/>
                <w:sz w:val="24"/>
                <w:szCs w:val="24"/>
              </w:rPr>
            </w:pPr>
            <w:r>
              <w:rPr>
                <w:rFonts w:hint="eastAsia" w:ascii="仿宋_GB2312" w:hAnsi="宋体" w:eastAsia="仿宋_GB2312"/>
                <w:b/>
                <w:sz w:val="24"/>
                <w:szCs w:val="24"/>
              </w:rPr>
              <w:t>回售数量</w:t>
            </w:r>
          </w:p>
        </w:tc>
        <w:tc>
          <w:tcPr>
            <w:tcW w:w="5529" w:type="dxa"/>
          </w:tcPr>
          <w:p w14:paraId="47890560">
            <w:pPr>
              <w:rPr>
                <w:rFonts w:ascii="仿宋_GB2312" w:hAnsi="宋体" w:eastAsia="仿宋_GB2312"/>
                <w:sz w:val="24"/>
                <w:szCs w:val="24"/>
              </w:rPr>
            </w:pPr>
            <w:r>
              <w:rPr>
                <w:rFonts w:hint="eastAsia" w:ascii="仿宋_GB2312" w:hAnsi="宋体" w:eastAsia="仿宋_GB2312"/>
                <w:sz w:val="24"/>
                <w:szCs w:val="24"/>
              </w:rPr>
              <w:t>回售的现券数量，以1000元面额为单位</w:t>
            </w:r>
          </w:p>
        </w:tc>
      </w:tr>
      <w:tr w14:paraId="38B6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552A7F2">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47F15378">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67B6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C48CEB5">
            <w:pPr>
              <w:jc w:val="left"/>
              <w:rPr>
                <w:rFonts w:ascii="仿宋_GB2312" w:hAnsi="宋体" w:eastAsia="仿宋_GB2312"/>
                <w:b/>
                <w:sz w:val="24"/>
                <w:szCs w:val="24"/>
              </w:rPr>
            </w:pPr>
            <w:r>
              <w:rPr>
                <w:rFonts w:hint="eastAsia" w:ascii="仿宋_GB2312" w:hAnsi="宋体" w:eastAsia="仿宋_GB2312"/>
                <w:b/>
                <w:sz w:val="24"/>
                <w:szCs w:val="24"/>
              </w:rPr>
              <w:t>回售价格</w:t>
            </w:r>
          </w:p>
        </w:tc>
        <w:tc>
          <w:tcPr>
            <w:tcW w:w="5529" w:type="dxa"/>
          </w:tcPr>
          <w:p w14:paraId="5F54440F">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33C0D2A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债券回售的价格应当按照发行人发布的债券回售公告及本所相关规定办理。</w:t>
      </w:r>
    </w:p>
    <w:p w14:paraId="0B32444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当日做出</w:t>
      </w:r>
      <w:r>
        <w:rPr>
          <w:rFonts w:ascii="仿宋_GB2312" w:hAnsi="宋体" w:eastAsia="仿宋_GB2312"/>
          <w:sz w:val="30"/>
          <w:szCs w:val="30"/>
        </w:rPr>
        <w:t>的回售</w:t>
      </w:r>
      <w:r>
        <w:rPr>
          <w:rFonts w:hint="eastAsia" w:ascii="仿宋_GB2312" w:hAnsi="宋体" w:eastAsia="仿宋_GB2312"/>
          <w:sz w:val="30"/>
          <w:szCs w:val="30"/>
        </w:rPr>
        <w:t>申报</w:t>
      </w:r>
      <w:r>
        <w:rPr>
          <w:rFonts w:ascii="仿宋_GB2312" w:hAnsi="宋体" w:eastAsia="仿宋_GB2312"/>
          <w:sz w:val="30"/>
          <w:szCs w:val="30"/>
        </w:rPr>
        <w:t>，在</w:t>
      </w:r>
      <w:r>
        <w:rPr>
          <w:rFonts w:hint="eastAsia" w:ascii="仿宋_GB2312" w:hAnsi="宋体" w:eastAsia="仿宋_GB2312"/>
          <w:sz w:val="30"/>
          <w:szCs w:val="30"/>
        </w:rPr>
        <w:t>当日</w:t>
      </w:r>
      <w:r>
        <w:rPr>
          <w:rFonts w:ascii="仿宋_GB2312" w:hAnsi="宋体" w:eastAsia="仿宋_GB2312"/>
          <w:sz w:val="30"/>
          <w:szCs w:val="30"/>
        </w:rPr>
        <w:t>交易时间内可以撤单。</w:t>
      </w:r>
    </w:p>
    <w:p w14:paraId="0A02B3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债券回售业务。债券投资者当日买入的债券，当日可以申报回售；若债券投资者当日申报债券交易后，剩余持仓数量不足回售申报数量的，回售成功数量为债券投资者的剩余持仓部分。</w:t>
      </w:r>
    </w:p>
    <w:p w14:paraId="5EF2AD40">
      <w:pPr>
        <w:numPr>
          <w:ilvl w:val="2"/>
          <w:numId w:val="4"/>
        </w:numPr>
        <w:spacing w:line="600" w:lineRule="exact"/>
        <w:ind w:left="0" w:firstLine="0"/>
        <w:outlineLvl w:val="2"/>
        <w:rPr>
          <w:rFonts w:ascii="仿宋_GB2312" w:eastAsia="仿宋_GB2312"/>
          <w:b/>
          <w:sz w:val="30"/>
          <w:szCs w:val="30"/>
        </w:rPr>
      </w:pPr>
      <w:bookmarkStart w:id="2241" w:name="_Toc24459973"/>
      <w:bookmarkStart w:id="2242" w:name="_Toc16497836"/>
      <w:bookmarkStart w:id="2243" w:name="_Toc34763067"/>
      <w:bookmarkStart w:id="2244" w:name="_Toc19542092"/>
      <w:r>
        <w:rPr>
          <w:rFonts w:hint="eastAsia" w:ascii="仿宋_GB2312" w:eastAsia="仿宋_GB2312"/>
          <w:b/>
          <w:sz w:val="30"/>
          <w:szCs w:val="30"/>
        </w:rPr>
        <w:t>回售撤销</w:t>
      </w:r>
      <w:bookmarkEnd w:id="2241"/>
      <w:bookmarkEnd w:id="2242"/>
      <w:bookmarkEnd w:id="2243"/>
      <w:bookmarkEnd w:id="2244"/>
      <w:r>
        <w:rPr>
          <w:rFonts w:hint="eastAsia" w:ascii="仿宋_GB2312" w:eastAsia="仿宋_GB2312"/>
          <w:b/>
          <w:sz w:val="30"/>
          <w:szCs w:val="30"/>
        </w:rPr>
        <w:t>申报</w:t>
      </w:r>
    </w:p>
    <w:p w14:paraId="5F7EE36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回售实施公告中载明债券回售可撤销的，已申报回售登记的债券投资者，可于回售撤销登记期内申报回售撤销。回售撤销登记期一般为回售登记开始日至回售资金发放日前</w:t>
      </w:r>
      <w:r>
        <w:rPr>
          <w:rFonts w:ascii="仿宋_GB2312" w:hAnsi="宋体" w:eastAsia="仿宋_GB2312"/>
          <w:sz w:val="30"/>
          <w:szCs w:val="30"/>
        </w:rPr>
        <w:t>4个交易日之间</w:t>
      </w:r>
      <w:r>
        <w:rPr>
          <w:rFonts w:hint="eastAsia" w:ascii="仿宋_GB2312" w:hAnsi="宋体" w:eastAsia="仿宋_GB2312"/>
          <w:sz w:val="30"/>
          <w:szCs w:val="30"/>
        </w:rPr>
        <w:t>。债券投资者通过固定收益平台进行回售撤销申报。</w:t>
      </w:r>
    </w:p>
    <w:p w14:paraId="417D29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回售撤销申报的申报时间与回售申报一致，申报要素包括证券代码、证券简称、回售撤销数量、证券账户等内容。具体要素及要素说明如下：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528E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AC9E032">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00353350">
            <w:pPr>
              <w:rPr>
                <w:rFonts w:ascii="仿宋_GB2312" w:hAnsi="宋体" w:eastAsia="仿宋_GB2312"/>
                <w:b/>
                <w:sz w:val="24"/>
                <w:szCs w:val="24"/>
              </w:rPr>
            </w:pPr>
            <w:r>
              <w:rPr>
                <w:rFonts w:hint="eastAsia" w:ascii="仿宋_GB2312" w:hAnsi="宋体" w:eastAsia="仿宋_GB2312"/>
                <w:b/>
                <w:sz w:val="24"/>
                <w:szCs w:val="24"/>
              </w:rPr>
              <w:t>要素说明</w:t>
            </w:r>
          </w:p>
        </w:tc>
      </w:tr>
      <w:tr w14:paraId="0D91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2A4E931C">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277B2194">
            <w:pPr>
              <w:rPr>
                <w:rFonts w:ascii="仿宋_GB2312" w:hAnsi="宋体" w:eastAsia="仿宋_GB2312"/>
                <w:sz w:val="24"/>
                <w:szCs w:val="24"/>
              </w:rPr>
            </w:pPr>
            <w:r>
              <w:rPr>
                <w:rFonts w:hint="eastAsia" w:ascii="仿宋_GB2312" w:hAnsi="宋体" w:eastAsia="仿宋_GB2312"/>
                <w:sz w:val="24"/>
                <w:szCs w:val="24"/>
              </w:rPr>
              <w:t>账户名称</w:t>
            </w:r>
          </w:p>
        </w:tc>
      </w:tr>
      <w:tr w14:paraId="28E4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6E59A1F">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43C80D74">
            <w:pPr>
              <w:rPr>
                <w:rFonts w:ascii="仿宋_GB2312" w:hAnsi="宋体" w:eastAsia="仿宋_GB2312"/>
                <w:sz w:val="24"/>
                <w:szCs w:val="24"/>
              </w:rPr>
            </w:pPr>
            <w:r>
              <w:rPr>
                <w:rFonts w:hint="eastAsia" w:ascii="仿宋_GB2312" w:hAnsi="宋体" w:eastAsia="仿宋_GB2312"/>
                <w:sz w:val="24"/>
                <w:szCs w:val="24"/>
              </w:rPr>
              <w:t>现券代码</w:t>
            </w:r>
          </w:p>
        </w:tc>
      </w:tr>
      <w:tr w14:paraId="3852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97AD292">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2FDE2C04">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E8E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7DBB9D7">
            <w:pPr>
              <w:rPr>
                <w:rFonts w:ascii="仿宋_GB2312" w:hAnsi="宋体" w:eastAsia="仿宋_GB2312"/>
                <w:b/>
                <w:sz w:val="24"/>
                <w:szCs w:val="24"/>
              </w:rPr>
            </w:pPr>
            <w:r>
              <w:rPr>
                <w:rFonts w:hint="eastAsia" w:ascii="仿宋_GB2312" w:hAnsi="宋体" w:eastAsia="仿宋_GB2312"/>
                <w:b/>
                <w:sz w:val="24"/>
                <w:szCs w:val="24"/>
              </w:rPr>
              <w:t>回售撤销数量</w:t>
            </w:r>
          </w:p>
        </w:tc>
        <w:tc>
          <w:tcPr>
            <w:tcW w:w="5529" w:type="dxa"/>
          </w:tcPr>
          <w:p w14:paraId="21EB4C14">
            <w:pPr>
              <w:rPr>
                <w:rFonts w:ascii="仿宋_GB2312" w:hAnsi="宋体" w:eastAsia="仿宋_GB2312"/>
                <w:sz w:val="24"/>
                <w:szCs w:val="24"/>
              </w:rPr>
            </w:pPr>
            <w:r>
              <w:rPr>
                <w:rFonts w:hint="eastAsia" w:ascii="仿宋_GB2312" w:hAnsi="宋体" w:eastAsia="仿宋_GB2312"/>
                <w:sz w:val="24"/>
                <w:szCs w:val="24"/>
              </w:rPr>
              <w:t>回售撤销的现券数量，以1000元面额为单位</w:t>
            </w:r>
          </w:p>
        </w:tc>
      </w:tr>
      <w:tr w14:paraId="06E1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1E549EC">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023CCB0D">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722B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D025575">
            <w:pPr>
              <w:rPr>
                <w:rFonts w:ascii="仿宋_GB2312" w:hAnsi="宋体" w:eastAsia="仿宋_GB2312"/>
                <w:sz w:val="24"/>
                <w:szCs w:val="24"/>
              </w:rPr>
            </w:pPr>
            <w:r>
              <w:rPr>
                <w:rFonts w:hint="eastAsia" w:ascii="仿宋_GB2312" w:hAnsi="宋体" w:eastAsia="仿宋_GB2312"/>
                <w:b/>
                <w:sz w:val="24"/>
                <w:szCs w:val="24"/>
              </w:rPr>
              <w:t>回售价格</w:t>
            </w:r>
          </w:p>
        </w:tc>
        <w:tc>
          <w:tcPr>
            <w:tcW w:w="5529" w:type="dxa"/>
          </w:tcPr>
          <w:p w14:paraId="4262CB17">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0ACDE5F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回售撤销申报后，</w:t>
      </w:r>
      <w:r>
        <w:rPr>
          <w:rFonts w:ascii="仿宋_GB2312" w:hAnsi="宋体" w:eastAsia="仿宋_GB2312"/>
          <w:sz w:val="30"/>
          <w:szCs w:val="30"/>
        </w:rPr>
        <w:t>T+1</w:t>
      </w:r>
      <w:r>
        <w:rPr>
          <w:rFonts w:hint="eastAsia" w:ascii="仿宋_GB2312" w:hAnsi="宋体" w:eastAsia="仿宋_GB2312"/>
          <w:sz w:val="30"/>
          <w:szCs w:val="30"/>
        </w:rPr>
        <w:t>日债券恢复可交易状态。</w:t>
      </w:r>
    </w:p>
    <w:p w14:paraId="231C7BF6">
      <w:pPr>
        <w:pStyle w:val="15"/>
        <w:ind w:firstLine="600" w:firstLineChars="200"/>
        <w:rPr>
          <w:lang w:eastAsia="zh-CN"/>
        </w:rPr>
      </w:pPr>
      <w:r>
        <w:rPr>
          <w:rFonts w:hint="eastAsia" w:ascii="仿宋_GB2312" w:hAnsi="宋体" w:eastAsia="仿宋_GB2312"/>
          <w:sz w:val="30"/>
          <w:szCs w:val="30"/>
          <w:lang w:eastAsia="zh-CN"/>
        </w:rPr>
        <w:t>在债券回售登记期内，债券投资者可以多次提交回售申报和回售撤销申报。回售申报数量不得高于可用债券持仓，回售撤销申报数量不得高于已申报回售数量。其中，已申报回售数量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累计的回售申报数量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累计撤销回售申报数量；债券投资者可用债券持仓是指债券投资者未冻结的、可进行相关业务操作的持仓数量。当日申请回售撤销的合计数量超过已回售登记余额的，按照已回售申报登记余额进行回售撤销处理。</w:t>
      </w:r>
    </w:p>
    <w:p w14:paraId="42BB4629">
      <w:pPr>
        <w:numPr>
          <w:ilvl w:val="1"/>
          <w:numId w:val="4"/>
        </w:numPr>
        <w:spacing w:line="600" w:lineRule="exact"/>
        <w:ind w:left="0" w:firstLine="0"/>
        <w:outlineLvl w:val="1"/>
        <w:rPr>
          <w:rFonts w:ascii="仿宋_GB2312" w:eastAsia="仿宋_GB2312"/>
          <w:b/>
          <w:sz w:val="30"/>
          <w:szCs w:val="30"/>
        </w:rPr>
      </w:pPr>
      <w:bookmarkStart w:id="2245" w:name="_Toc102993382"/>
      <w:bookmarkEnd w:id="2245"/>
      <w:bookmarkStart w:id="2246" w:name="_Toc19542094"/>
      <w:bookmarkStart w:id="2247" w:name="_Toc151137057"/>
      <w:bookmarkStart w:id="2248" w:name="_Toc24459975"/>
      <w:bookmarkStart w:id="2249" w:name="_Toc34763069"/>
      <w:bookmarkStart w:id="2250" w:name="_Toc56166107"/>
      <w:bookmarkStart w:id="2251" w:name="_Toc16497838"/>
      <w:bookmarkStart w:id="2252" w:name="_Toc56166296"/>
      <w:bookmarkStart w:id="2253" w:name="_Toc14166609"/>
      <w:r>
        <w:rPr>
          <w:rFonts w:hint="eastAsia" w:ascii="仿宋_GB2312" w:eastAsia="仿宋_GB2312"/>
          <w:b/>
          <w:sz w:val="30"/>
          <w:szCs w:val="30"/>
        </w:rPr>
        <w:t>债券回售后转售</w:t>
      </w:r>
      <w:bookmarkEnd w:id="2246"/>
      <w:bookmarkEnd w:id="2247"/>
      <w:bookmarkEnd w:id="2248"/>
      <w:bookmarkEnd w:id="2249"/>
      <w:bookmarkEnd w:id="2250"/>
      <w:bookmarkEnd w:id="2251"/>
      <w:bookmarkEnd w:id="2252"/>
      <w:bookmarkEnd w:id="2253"/>
    </w:p>
    <w:p w14:paraId="2E136492">
      <w:pPr>
        <w:spacing w:line="600" w:lineRule="exact"/>
        <w:ind w:firstLine="600" w:firstLineChars="200"/>
        <w:jc w:val="left"/>
        <w:rPr>
          <w:rFonts w:ascii="Calibri" w:hAnsi="Calibri" w:eastAsia="仿宋_GB2312"/>
          <w:sz w:val="30"/>
          <w:szCs w:val="30"/>
        </w:rPr>
      </w:pPr>
      <w:r>
        <w:rPr>
          <w:rFonts w:hint="eastAsia" w:ascii="仿宋_GB2312" w:hAnsi="Calibri" w:eastAsia="仿宋_GB2312"/>
          <w:sz w:val="30"/>
          <w:szCs w:val="30"/>
        </w:rPr>
        <w:t>债券回售后转售是指发行人根据回售实施公告选择将全部或部分回售债券转售给债券投资者。</w:t>
      </w:r>
    </w:p>
    <w:p w14:paraId="7B578643">
      <w:pPr>
        <w:numPr>
          <w:ilvl w:val="2"/>
          <w:numId w:val="4"/>
        </w:numPr>
        <w:spacing w:line="600" w:lineRule="exact"/>
        <w:ind w:left="0" w:firstLine="0"/>
        <w:outlineLvl w:val="2"/>
        <w:rPr>
          <w:rFonts w:ascii="仿宋_GB2312" w:eastAsia="仿宋_GB2312"/>
          <w:b/>
          <w:sz w:val="30"/>
          <w:szCs w:val="30"/>
        </w:rPr>
      </w:pPr>
      <w:bookmarkStart w:id="2254" w:name="_Toc34763070"/>
      <w:bookmarkStart w:id="2255" w:name="_Toc24459976"/>
      <w:bookmarkStart w:id="2256" w:name="_Toc19542095"/>
      <w:bookmarkStart w:id="2257" w:name="_Toc16497839"/>
      <w:r>
        <w:rPr>
          <w:rFonts w:hint="eastAsia" w:ascii="仿宋_GB2312" w:eastAsia="仿宋_GB2312"/>
          <w:b/>
          <w:sz w:val="30"/>
          <w:szCs w:val="30"/>
        </w:rPr>
        <w:t>转售准备</w:t>
      </w:r>
      <w:bookmarkEnd w:id="2254"/>
      <w:bookmarkEnd w:id="2255"/>
      <w:bookmarkEnd w:id="2256"/>
      <w:bookmarkEnd w:id="2257"/>
    </w:p>
    <w:p w14:paraId="10BECA49">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w:t>
      </w:r>
      <w:r>
        <w:rPr>
          <w:rFonts w:hint="eastAsia" w:ascii="仿宋_GB2312" w:hAnsi="宋体" w:eastAsia="仿宋_GB2312"/>
          <w:sz w:val="30"/>
          <w:szCs w:val="30"/>
        </w:rPr>
        <w:t>等本所信息披露平台查看下列</w:t>
      </w:r>
      <w:r>
        <w:rPr>
          <w:rFonts w:hint="eastAsia" w:ascii="仿宋_GB2312" w:hAnsi="Calibri" w:eastAsia="仿宋_GB2312"/>
          <w:sz w:val="30"/>
          <w:szCs w:val="30"/>
        </w:rPr>
        <w:t>有关债券回售后转售的信息披露文件。</w:t>
      </w:r>
    </w:p>
    <w:p w14:paraId="5602DA0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 回售结束后，发行人根据相关安排进行回售后转售的，将在回售结果公告中披露拟转售债券金额、转售期等。</w:t>
      </w:r>
    </w:p>
    <w:p w14:paraId="673725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（2）转售结果公告。公告内容包括拟转售债券金额、完成转售债券金额、注销未转售债券金额等。</w:t>
      </w:r>
    </w:p>
    <w:p w14:paraId="5480A9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转售期原则上不超过</w:t>
      </w:r>
      <w:r>
        <w:rPr>
          <w:rFonts w:ascii="仿宋_GB2312" w:hAnsi="宋体" w:eastAsia="仿宋_GB2312"/>
          <w:sz w:val="30"/>
          <w:szCs w:val="30"/>
        </w:rPr>
        <w:t>20个交易日</w:t>
      </w:r>
      <w:r>
        <w:rPr>
          <w:rFonts w:hint="eastAsia" w:ascii="仿宋_GB2312" w:hAnsi="宋体" w:eastAsia="仿宋_GB2312"/>
          <w:sz w:val="30"/>
          <w:szCs w:val="30"/>
        </w:rPr>
        <w:t>，自回售资金发放当日起算。经本所认可，发行人公告延期事由的，可适当延长转售期。</w:t>
      </w:r>
    </w:p>
    <w:p w14:paraId="386A98D1">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转售价格由发行人和转售受让方自行协商确定。</w:t>
      </w:r>
    </w:p>
    <w:p w14:paraId="402B5158">
      <w:pPr>
        <w:numPr>
          <w:ilvl w:val="2"/>
          <w:numId w:val="4"/>
        </w:numPr>
        <w:spacing w:line="600" w:lineRule="exact"/>
        <w:ind w:left="0" w:firstLine="0"/>
        <w:outlineLvl w:val="2"/>
        <w:rPr>
          <w:rFonts w:ascii="仿宋_GB2312" w:eastAsia="仿宋_GB2312"/>
          <w:b/>
          <w:sz w:val="30"/>
          <w:szCs w:val="30"/>
        </w:rPr>
      </w:pPr>
      <w:bookmarkStart w:id="2258" w:name="_Toc16497841"/>
      <w:bookmarkStart w:id="2259" w:name="_Toc24459978"/>
      <w:bookmarkStart w:id="2260" w:name="_Toc19542097"/>
      <w:bookmarkStart w:id="2261" w:name="_Toc34763072"/>
      <w:r>
        <w:rPr>
          <w:rFonts w:hint="eastAsia" w:ascii="仿宋_GB2312" w:eastAsia="仿宋_GB2312"/>
          <w:b/>
          <w:sz w:val="30"/>
          <w:szCs w:val="30"/>
        </w:rPr>
        <w:t>转售申报</w:t>
      </w:r>
      <w:bookmarkEnd w:id="2258"/>
      <w:bookmarkEnd w:id="2259"/>
      <w:bookmarkEnd w:id="2260"/>
      <w:bookmarkEnd w:id="2261"/>
    </w:p>
    <w:p w14:paraId="6B76C1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发行人与转售受让方可以通过本所固收平台实施转售，也可以通过本所认可的其他方式实施转售。</w:t>
      </w:r>
    </w:p>
    <w:p w14:paraId="78123E97">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通过本所固收平台实施转售的，发行人与转售受让方应当在转售期内提交转售申报，具体实施方式为</w:t>
      </w:r>
      <w:r>
        <w:rPr>
          <w:rFonts w:hint="eastAsia" w:ascii="仿宋_GB2312" w:hAnsi="宋体" w:eastAsia="仿宋_GB2312"/>
          <w:bCs/>
          <w:sz w:val="30"/>
          <w:szCs w:val="30"/>
        </w:rPr>
        <w:t>通过协商成交的方式完成转售</w:t>
      </w:r>
      <w:r>
        <w:rPr>
          <w:rFonts w:hint="eastAsia" w:ascii="仿宋_GB2312" w:hAnsi="宋体" w:eastAsia="仿宋_GB2312"/>
          <w:sz w:val="30"/>
          <w:szCs w:val="30"/>
        </w:rPr>
        <w:t>。协商成交的申报要素、交易流程及其撤销详见本指南第5章。转售协商成交申报的买方为转售受让方，卖方为发行人，卖方证券账户即发行人回售专用证券账户。债券转售的受让方应符合本所债券投资者适当性管理相关要求。</w:t>
      </w:r>
    </w:p>
    <w:p w14:paraId="389F6E05">
      <w:pPr>
        <w:numPr>
          <w:ilvl w:val="1"/>
          <w:numId w:val="4"/>
        </w:numPr>
        <w:spacing w:line="600" w:lineRule="exact"/>
        <w:ind w:left="0" w:firstLine="0"/>
        <w:outlineLvl w:val="1"/>
        <w:rPr>
          <w:rFonts w:ascii="仿宋_GB2312" w:eastAsia="仿宋_GB2312"/>
          <w:b/>
          <w:sz w:val="30"/>
          <w:szCs w:val="30"/>
        </w:rPr>
      </w:pPr>
      <w:bookmarkStart w:id="2262" w:name="_Toc151137058"/>
      <w:bookmarkStart w:id="2263" w:name="_Toc56166108"/>
      <w:bookmarkStart w:id="2264" w:name="_Toc24459980"/>
      <w:bookmarkStart w:id="2265" w:name="_Toc16497843"/>
      <w:bookmarkStart w:id="2266" w:name="_Toc19542099"/>
      <w:bookmarkStart w:id="2267" w:name="_Toc14166610"/>
      <w:bookmarkStart w:id="2268" w:name="_Toc56166297"/>
      <w:bookmarkStart w:id="2269" w:name="_Toc34763074"/>
      <w:r>
        <w:rPr>
          <w:rFonts w:hint="eastAsia" w:ascii="仿宋_GB2312" w:eastAsia="仿宋_GB2312"/>
          <w:b/>
          <w:sz w:val="30"/>
          <w:szCs w:val="30"/>
        </w:rPr>
        <w:t>债券转股</w:t>
      </w:r>
      <w:bookmarkEnd w:id="2262"/>
      <w:bookmarkEnd w:id="2263"/>
      <w:bookmarkEnd w:id="2264"/>
      <w:bookmarkEnd w:id="2265"/>
      <w:bookmarkEnd w:id="2266"/>
      <w:bookmarkEnd w:id="2267"/>
      <w:bookmarkEnd w:id="2268"/>
      <w:bookmarkEnd w:id="2269"/>
    </w:p>
    <w:p w14:paraId="069F5D23">
      <w:pPr>
        <w:numPr>
          <w:ilvl w:val="2"/>
          <w:numId w:val="4"/>
        </w:numPr>
        <w:spacing w:line="600" w:lineRule="exact"/>
        <w:ind w:left="0" w:firstLine="0"/>
        <w:outlineLvl w:val="2"/>
        <w:rPr>
          <w:rFonts w:ascii="仿宋_GB2312" w:eastAsia="仿宋_GB2312"/>
          <w:b/>
          <w:sz w:val="30"/>
          <w:szCs w:val="30"/>
        </w:rPr>
      </w:pPr>
      <w:bookmarkStart w:id="2270" w:name="_Toc34763075"/>
      <w:bookmarkStart w:id="2271" w:name="_Toc16497844"/>
      <w:bookmarkStart w:id="2272" w:name="_Toc24459981"/>
      <w:bookmarkStart w:id="2273" w:name="_Toc19542100"/>
      <w:bookmarkStart w:id="2274" w:name="_Toc14166611"/>
      <w:r>
        <w:rPr>
          <w:rFonts w:hint="eastAsia" w:ascii="仿宋_GB2312" w:eastAsia="仿宋_GB2312"/>
          <w:b/>
          <w:sz w:val="30"/>
          <w:szCs w:val="30"/>
        </w:rPr>
        <w:t>转股准备</w:t>
      </w:r>
      <w:bookmarkEnd w:id="2270"/>
      <w:bookmarkEnd w:id="2271"/>
      <w:bookmarkEnd w:id="2272"/>
      <w:bookmarkEnd w:id="2273"/>
    </w:p>
    <w:p w14:paraId="6AF7B6A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设定转股条款的债券，债券投资者有权选择在转股期内实施转股，将持有的债券转换为发行人的股票或股份。</w:t>
      </w:r>
    </w:p>
    <w:p w14:paraId="3431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本所为下列品种提供转股服务：</w:t>
      </w:r>
    </w:p>
    <w:p w14:paraId="5D553B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（1）上市公司面向不特定对象发行的可转换公司债券（以下简称公募可转债）；</w:t>
      </w:r>
    </w:p>
    <w:p w14:paraId="6ADCBA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（2）非上市公司非公开发行可转换公司债券（以下简称私募可转债）；</w:t>
      </w:r>
    </w:p>
    <w:p w14:paraId="0F6D47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（3）本所认可的其他债券。</w:t>
      </w:r>
    </w:p>
    <w:p w14:paraId="400DA44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转股类型分为公募可转债转股、私募可转债转新三板股票及私募可转债转股权。</w:t>
      </w:r>
    </w:p>
    <w:p w14:paraId="15EEAD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其中，公募可转债转股通过综合业务平台实施；私募可转债转新三板股票及私募可转债转股权通过固收平台实施。</w:t>
      </w:r>
    </w:p>
    <w:p w14:paraId="3428D4E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本所官网、债券信息网等本所信息披露平台查看下列</w:t>
      </w:r>
      <w:r>
        <w:rPr>
          <w:rFonts w:hint="eastAsia" w:ascii="仿宋_GB2312" w:hAnsi="Calibri" w:eastAsia="仿宋_GB2312"/>
          <w:sz w:val="30"/>
          <w:szCs w:val="30"/>
        </w:rPr>
        <w:t>有关债券转股的信息披露文件。</w:t>
      </w:r>
    </w:p>
    <w:p w14:paraId="7F07F22E">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（1）公募可转债开始转股公告。公告内容包括公募可转债转股的证券代码、证券简称、转股价格、转股申报起止日等。</w:t>
      </w:r>
    </w:p>
    <w:p w14:paraId="62619D37">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（2）私募可转债转股公告。公告内容包括可转换债券的基本情况、转股申报起止日、转股程序、转股价格等。</w:t>
      </w:r>
    </w:p>
    <w:p w14:paraId="56E1AFC8">
      <w:pPr>
        <w:numPr>
          <w:ilvl w:val="2"/>
          <w:numId w:val="4"/>
        </w:numPr>
        <w:spacing w:line="600" w:lineRule="exact"/>
        <w:ind w:left="0" w:firstLine="0"/>
        <w:outlineLvl w:val="2"/>
        <w:rPr>
          <w:rFonts w:ascii="仿宋_GB2312" w:eastAsia="仿宋_GB2312"/>
          <w:b/>
          <w:sz w:val="30"/>
          <w:szCs w:val="30"/>
        </w:rPr>
      </w:pPr>
      <w:bookmarkStart w:id="2275" w:name="_Toc24459983"/>
      <w:bookmarkStart w:id="2276" w:name="_Toc34763077"/>
      <w:bookmarkStart w:id="2277" w:name="_Toc16497846"/>
      <w:bookmarkStart w:id="2278" w:name="_Toc19542102"/>
      <w:r>
        <w:rPr>
          <w:rFonts w:hint="eastAsia" w:ascii="仿宋_GB2312" w:eastAsia="仿宋_GB2312"/>
          <w:b/>
          <w:sz w:val="30"/>
          <w:szCs w:val="30"/>
        </w:rPr>
        <w:t>转股申报</w:t>
      </w:r>
      <w:bookmarkEnd w:id="2275"/>
      <w:bookmarkEnd w:id="2276"/>
      <w:bookmarkEnd w:id="2277"/>
      <w:bookmarkEnd w:id="2278"/>
    </w:p>
    <w:p w14:paraId="32E833E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公募可转债自发行结束之日起六个月后，在符合约定条件时，债券投资者可申请转换为上市公司股票。转股期由发行人自行决定，并应符合相关规则的要求。</w:t>
      </w:r>
    </w:p>
    <w:p w14:paraId="76206ED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公募可转债的持有人可以在转股期内进行转股，但下列时间除外：</w:t>
      </w:r>
    </w:p>
    <w:p w14:paraId="7D27875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（1）公募可转债停止交易前的可转债停牌时间；</w:t>
      </w:r>
    </w:p>
    <w:p w14:paraId="19836A7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（2）发行人公司股票停牌时间；</w:t>
      </w:r>
    </w:p>
    <w:p w14:paraId="3C8AD41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（3）发行人按照有关规定申请停止转股期间。</w:t>
      </w:r>
    </w:p>
    <w:p w14:paraId="1D700B1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私募可转债自发行结束之日起</w:t>
      </w:r>
      <w:r>
        <w:rPr>
          <w:rFonts w:ascii="仿宋_GB2312" w:hAnsi="宋体" w:eastAsia="仿宋_GB2312"/>
          <w:sz w:val="30"/>
          <w:szCs w:val="30"/>
        </w:rPr>
        <w:t>6个月后</w:t>
      </w:r>
      <w:r>
        <w:rPr>
          <w:rFonts w:hint="eastAsia" w:ascii="仿宋_GB2312" w:hAnsi="宋体" w:eastAsia="仿宋_GB2312"/>
          <w:sz w:val="30"/>
          <w:szCs w:val="30"/>
        </w:rPr>
        <w:t>，债券投资者可以转股。每</w:t>
      </w:r>
      <w:r>
        <w:rPr>
          <w:rFonts w:ascii="仿宋_GB2312" w:hAnsi="宋体" w:eastAsia="仿宋_GB2312"/>
          <w:sz w:val="30"/>
          <w:szCs w:val="30"/>
        </w:rPr>
        <w:t>3个月可设置一次转股申报期，转股申报期不得少于5个交易日，不得多于10个交易日。</w:t>
      </w:r>
    </w:p>
    <w:p w14:paraId="2CBC52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通过固收平台进行转股申报的申报时间为转股期内每个交易日的</w:t>
      </w:r>
      <w:r>
        <w:rPr>
          <w:rFonts w:ascii="仿宋_GB2312" w:hAnsi="宋体" w:eastAsia="仿宋_GB2312"/>
          <w:sz w:val="30"/>
          <w:szCs w:val="30"/>
        </w:rPr>
        <w:t>9：00至11：30、13：00至15：30。</w:t>
      </w:r>
    </w:p>
    <w:p w14:paraId="6928FE1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通过综合业务平台进行转股申报的申报时间为转股期内每个交易日的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15DC0A81">
      <w:pPr>
        <w:spacing w:line="600" w:lineRule="exact"/>
        <w:ind w:firstLine="600" w:firstLineChars="200"/>
        <w:jc w:val="left"/>
        <w:rPr>
          <w:rFonts w:ascii="仿宋_GB2312" w:hAnsi="宋体" w:eastAsia="仿宋_GB2312"/>
          <w:sz w:val="28"/>
          <w:szCs w:val="28"/>
        </w:rPr>
      </w:pPr>
      <w:r>
        <w:rPr>
          <w:rFonts w:hint="eastAsia" w:ascii="仿宋_GB2312" w:hAnsi="宋体" w:eastAsia="仿宋_GB2312"/>
          <w:sz w:val="30"/>
          <w:szCs w:val="30"/>
        </w:rPr>
        <w:t>转股申报的申报要素包括非交易类型、证券代码、证券简称、转股数量、转股类型、证券账号等。具体申报要素如下：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4608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06CE03C">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50A95990">
            <w:pPr>
              <w:rPr>
                <w:rFonts w:ascii="仿宋_GB2312" w:hAnsi="宋体" w:eastAsia="仿宋_GB2312"/>
                <w:b/>
                <w:sz w:val="24"/>
                <w:szCs w:val="24"/>
              </w:rPr>
            </w:pPr>
            <w:r>
              <w:rPr>
                <w:rFonts w:hint="eastAsia" w:ascii="仿宋_GB2312" w:hAnsi="宋体" w:eastAsia="仿宋_GB2312"/>
                <w:b/>
                <w:sz w:val="24"/>
                <w:szCs w:val="24"/>
              </w:rPr>
              <w:t>要素说明</w:t>
            </w:r>
          </w:p>
        </w:tc>
      </w:tr>
      <w:tr w14:paraId="13F5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D21E8A">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5487148D">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平台为BES</w:t>
            </w:r>
            <w:r>
              <w:rPr>
                <w:rFonts w:hint="eastAsia" w:ascii="仿宋_GB2312" w:hAnsi="宋体" w:eastAsia="仿宋_GB2312"/>
                <w:sz w:val="24"/>
                <w:szCs w:val="24"/>
              </w:rPr>
              <w:t>，</w:t>
            </w:r>
            <w:r>
              <w:rPr>
                <w:rFonts w:ascii="仿宋_GB2312" w:hAnsi="宋体" w:eastAsia="仿宋_GB2312"/>
                <w:sz w:val="24"/>
                <w:szCs w:val="24"/>
              </w:rPr>
              <w:t>固定收益平台为</w:t>
            </w:r>
            <w:r>
              <w:rPr>
                <w:rFonts w:hint="eastAsia" w:ascii="仿宋_GB2312" w:hAnsi="宋体" w:eastAsia="仿宋_GB2312"/>
                <w:sz w:val="24"/>
                <w:szCs w:val="24"/>
              </w:rPr>
              <w:t>转股</w:t>
            </w:r>
            <w:r>
              <w:rPr>
                <w:rFonts w:ascii="仿宋_GB2312" w:hAnsi="宋体" w:eastAsia="仿宋_GB2312"/>
                <w:sz w:val="24"/>
                <w:szCs w:val="24"/>
              </w:rPr>
              <w:t>菜单入口</w:t>
            </w:r>
          </w:p>
        </w:tc>
      </w:tr>
      <w:tr w14:paraId="3F48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61E0BC1">
            <w:pPr>
              <w:rPr>
                <w:rFonts w:ascii="仿宋_GB2312" w:hAnsi="宋体" w:eastAsia="仿宋_GB2312"/>
                <w:b/>
                <w:sz w:val="24"/>
                <w:szCs w:val="24"/>
              </w:rPr>
            </w:pPr>
            <w:r>
              <w:rPr>
                <w:rFonts w:hint="eastAsia" w:ascii="仿宋_GB2312" w:hAnsi="宋体" w:eastAsia="仿宋_GB2312"/>
                <w:b/>
                <w:sz w:val="24"/>
                <w:szCs w:val="24"/>
              </w:rPr>
              <w:t>转股类型</w:t>
            </w:r>
          </w:p>
        </w:tc>
        <w:tc>
          <w:tcPr>
            <w:tcW w:w="5103" w:type="dxa"/>
          </w:tcPr>
          <w:p w14:paraId="3C1F614A">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公募可转债转股，</w:t>
            </w:r>
            <w:r>
              <w:rPr>
                <w:rFonts w:ascii="仿宋_GB2312" w:hAnsi="宋体" w:eastAsia="仿宋_GB2312"/>
                <w:sz w:val="24"/>
                <w:szCs w:val="24"/>
              </w:rPr>
              <w:t>固定收益平台为</w:t>
            </w:r>
            <w:r>
              <w:rPr>
                <w:rFonts w:hint="eastAsia" w:ascii="仿宋_GB2312" w:hAnsi="宋体" w:eastAsia="仿宋_GB2312"/>
                <w:sz w:val="24"/>
                <w:szCs w:val="24"/>
              </w:rPr>
              <w:t>私募可转债转新三板股票或私募可转债转股份</w:t>
            </w:r>
          </w:p>
        </w:tc>
      </w:tr>
      <w:tr w14:paraId="5CB3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DF4639">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1620F794">
            <w:pPr>
              <w:rPr>
                <w:rFonts w:ascii="仿宋_GB2312" w:hAnsi="宋体" w:eastAsia="仿宋_GB2312"/>
                <w:sz w:val="24"/>
                <w:szCs w:val="24"/>
              </w:rPr>
            </w:pPr>
            <w:r>
              <w:rPr>
                <w:rFonts w:hint="eastAsia" w:ascii="仿宋_GB2312" w:hAnsi="宋体" w:eastAsia="仿宋_GB2312"/>
                <w:sz w:val="24"/>
                <w:szCs w:val="24"/>
              </w:rPr>
              <w:t>账户名称</w:t>
            </w:r>
          </w:p>
        </w:tc>
      </w:tr>
      <w:tr w14:paraId="2A9E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24DD6DD">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57E3B366">
            <w:pPr>
              <w:rPr>
                <w:rFonts w:ascii="仿宋_GB2312" w:hAnsi="宋体" w:eastAsia="仿宋_GB2312"/>
                <w:sz w:val="24"/>
                <w:szCs w:val="24"/>
              </w:rPr>
            </w:pPr>
            <w:r>
              <w:rPr>
                <w:rFonts w:hint="eastAsia" w:ascii="仿宋_GB2312" w:hAnsi="宋体" w:eastAsia="仿宋_GB2312"/>
                <w:sz w:val="24"/>
                <w:szCs w:val="24"/>
              </w:rPr>
              <w:t>现券代码</w:t>
            </w:r>
          </w:p>
        </w:tc>
      </w:tr>
      <w:tr w14:paraId="4E94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8E0472A">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1EB9E48E">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D7A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3C8AFB6">
            <w:pPr>
              <w:rPr>
                <w:rFonts w:ascii="仿宋_GB2312" w:hAnsi="宋体" w:eastAsia="仿宋_GB2312"/>
                <w:b/>
                <w:sz w:val="24"/>
                <w:szCs w:val="24"/>
              </w:rPr>
            </w:pPr>
            <w:r>
              <w:rPr>
                <w:rFonts w:hint="eastAsia" w:ascii="仿宋_GB2312" w:hAnsi="宋体" w:eastAsia="仿宋_GB2312"/>
                <w:b/>
                <w:sz w:val="24"/>
                <w:szCs w:val="24"/>
              </w:rPr>
              <w:t>转股数量</w:t>
            </w:r>
          </w:p>
        </w:tc>
        <w:tc>
          <w:tcPr>
            <w:tcW w:w="5103" w:type="dxa"/>
          </w:tcPr>
          <w:p w14:paraId="03B57FEB">
            <w:pPr>
              <w:rPr>
                <w:rFonts w:ascii="仿宋_GB2312" w:hAnsi="宋体" w:eastAsia="仿宋_GB2312"/>
                <w:sz w:val="24"/>
                <w:szCs w:val="24"/>
              </w:rPr>
            </w:pPr>
            <w:r>
              <w:rPr>
                <w:rFonts w:hint="eastAsia" w:ascii="仿宋_GB2312" w:hAnsi="宋体" w:eastAsia="仿宋_GB2312"/>
                <w:sz w:val="24"/>
                <w:szCs w:val="24"/>
              </w:rPr>
              <w:t>可转债转股的现券数量，以1000元面额为单位</w:t>
            </w:r>
          </w:p>
        </w:tc>
      </w:tr>
      <w:tr w14:paraId="3FE6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E0AD6B2">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076FC949">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0A5B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C53E3F6">
            <w:pPr>
              <w:rPr>
                <w:rFonts w:ascii="仿宋_GB2312" w:hAnsi="宋体" w:eastAsia="仿宋_GB2312"/>
                <w:b/>
                <w:sz w:val="24"/>
                <w:szCs w:val="24"/>
              </w:rPr>
            </w:pPr>
            <w:r>
              <w:rPr>
                <w:rFonts w:hint="eastAsia" w:ascii="仿宋_GB2312" w:hAnsi="宋体" w:eastAsia="仿宋_GB2312"/>
                <w:b/>
                <w:sz w:val="24"/>
                <w:szCs w:val="24"/>
              </w:rPr>
              <w:t>转股价格</w:t>
            </w:r>
          </w:p>
        </w:tc>
        <w:tc>
          <w:tcPr>
            <w:tcW w:w="5103" w:type="dxa"/>
          </w:tcPr>
          <w:p w14:paraId="756111E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0E99AC7">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转股申报的申报数量应当为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5B99BC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可转债可转换的最小股份单位为</w:t>
      </w:r>
      <w:r>
        <w:rPr>
          <w:rFonts w:ascii="仿宋_GB2312" w:hAnsi="宋体" w:eastAsia="仿宋_GB2312"/>
          <w:sz w:val="30"/>
          <w:szCs w:val="30"/>
        </w:rPr>
        <w:t>1股。同一交易日内多次申报转股的，将合并计算转股数量。</w:t>
      </w:r>
    </w:p>
    <w:p w14:paraId="28556E9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转股时不足转换</w:t>
      </w:r>
      <w:r>
        <w:rPr>
          <w:rFonts w:ascii="仿宋_GB2312" w:hAnsi="宋体" w:eastAsia="仿宋_GB2312"/>
          <w:sz w:val="30"/>
          <w:szCs w:val="30"/>
        </w:rPr>
        <w:t>1股的</w:t>
      </w:r>
      <w:r>
        <w:rPr>
          <w:rFonts w:hint="eastAsia" w:ascii="仿宋_GB2312" w:hAnsi="宋体" w:eastAsia="仿宋_GB2312"/>
          <w:sz w:val="30"/>
          <w:szCs w:val="30"/>
        </w:rPr>
        <w:t>公募可转债部分，由发行人在转股申报日后以现金方式兑付其本金和利息；转股份时不足转换</w:t>
      </w:r>
      <w:r>
        <w:rPr>
          <w:rFonts w:ascii="仿宋_GB2312" w:hAnsi="宋体" w:eastAsia="仿宋_GB2312"/>
          <w:sz w:val="30"/>
          <w:szCs w:val="30"/>
        </w:rPr>
        <w:t>1股的</w:t>
      </w:r>
      <w:r>
        <w:rPr>
          <w:rFonts w:hint="eastAsia" w:ascii="仿宋_GB2312" w:hAnsi="宋体" w:eastAsia="仿宋_GB2312"/>
          <w:sz w:val="30"/>
          <w:szCs w:val="30"/>
        </w:rPr>
        <w:t>私募可转债部分，应当按照募集说明书约定的方式处置。当日提交的转股申报，当日转股申报时间内可以撤销。撤销转股申报实时生效，生效后可转债可以交易。</w:t>
      </w:r>
    </w:p>
    <w:p w14:paraId="0E2E4AE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本所及登记结算机构对债券交易业务的处理优先于转股业务。当日买入的可转债当日（</w:t>
      </w:r>
      <w:r>
        <w:rPr>
          <w:rFonts w:ascii="仿宋_GB2312" w:hAnsi="宋体" w:eastAsia="仿宋_GB2312"/>
          <w:sz w:val="30"/>
          <w:szCs w:val="30"/>
        </w:rPr>
        <w:t>T日）</w:t>
      </w:r>
      <w:r>
        <w:rPr>
          <w:rFonts w:hint="eastAsia" w:ascii="仿宋_GB2312" w:hAnsi="宋体" w:eastAsia="仿宋_GB2312"/>
          <w:sz w:val="30"/>
          <w:szCs w:val="30"/>
        </w:rPr>
        <w:t>可以申报转股。若债券投资者当日申报债券交易后，实际可用可转债余额不足转股申报数量的，转股成功数量为债券投资者的实际可用可转债余额。</w:t>
      </w:r>
    </w:p>
    <w:p w14:paraId="369833A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转股交收于转股申报日（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27E015B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可转债转股新增的股票可在转股交收完成的次一交易日（</w:t>
      </w:r>
      <w:r>
        <w:rPr>
          <w:rFonts w:ascii="仿宋_GB2312" w:hAnsi="宋体" w:eastAsia="仿宋_GB2312"/>
          <w:sz w:val="30"/>
          <w:szCs w:val="30"/>
        </w:rPr>
        <w:t>T+1日）</w:t>
      </w:r>
      <w:r>
        <w:rPr>
          <w:rFonts w:hint="eastAsia" w:ascii="仿宋_GB2312" w:hAnsi="宋体" w:eastAsia="仿宋_GB2312"/>
          <w:sz w:val="30"/>
          <w:szCs w:val="30"/>
        </w:rPr>
        <w:t>上市流通。</w:t>
      </w:r>
    </w:p>
    <w:p w14:paraId="5C12633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证券登记结算机构将根据本所传送的有效转股申报数据，按相关规定记减公募可转债持有人的持仓余额，同时记增可转债持有人相应的股票数量，完成变更登记。</w:t>
      </w:r>
    </w:p>
    <w:p w14:paraId="758CE594">
      <w:pPr>
        <w:spacing w:line="600" w:lineRule="exact"/>
        <w:ind w:firstLine="600" w:firstLineChars="200"/>
        <w:jc w:val="left"/>
        <w:rPr>
          <w:rFonts w:ascii="仿宋_GB2312" w:hAnsi="Calibri" w:eastAsia="仿宋_GB2312"/>
          <w:kern w:val="24"/>
          <w:sz w:val="30"/>
          <w:szCs w:val="30"/>
        </w:rPr>
      </w:pPr>
      <w:r>
        <w:rPr>
          <w:rFonts w:hint="eastAsia" w:ascii="仿宋_GB2312" w:hAnsi="宋体" w:eastAsia="仿宋_GB2312"/>
          <w:sz w:val="30"/>
          <w:szCs w:val="30"/>
        </w:rPr>
        <w:t>本所将</w:t>
      </w:r>
      <w:r>
        <w:rPr>
          <w:rFonts w:hint="eastAsia" w:ascii="仿宋_GB2312" w:hAnsi="Calibri" w:eastAsia="仿宋_GB2312"/>
          <w:kern w:val="24"/>
          <w:sz w:val="30"/>
          <w:szCs w:val="30"/>
        </w:rPr>
        <w:t>经</w:t>
      </w:r>
      <w:r>
        <w:rPr>
          <w:rFonts w:hint="eastAsia" w:ascii="仿宋_GB2312" w:hAnsi="宋体" w:eastAsia="仿宋_GB2312" w:cs="宋体"/>
          <w:color w:val="000000"/>
          <w:kern w:val="0"/>
          <w:sz w:val="30"/>
          <w:szCs w:val="30"/>
        </w:rPr>
        <w:t>登记结算机构</w:t>
      </w:r>
      <w:r>
        <w:rPr>
          <w:rFonts w:hint="eastAsia" w:ascii="仿宋_GB2312" w:hAnsi="Calibri" w:eastAsia="仿宋_GB2312"/>
          <w:kern w:val="24"/>
          <w:sz w:val="30"/>
          <w:szCs w:val="30"/>
        </w:rPr>
        <w:t>确认的私募可转债有效转股申报记录发送给发行人。</w:t>
      </w:r>
    </w:p>
    <w:p w14:paraId="15451B29">
      <w:pPr>
        <w:numPr>
          <w:ilvl w:val="1"/>
          <w:numId w:val="4"/>
        </w:numPr>
        <w:spacing w:line="600" w:lineRule="exact"/>
        <w:ind w:left="0" w:firstLine="0"/>
        <w:outlineLvl w:val="1"/>
        <w:rPr>
          <w:rFonts w:ascii="仿宋_GB2312" w:eastAsia="仿宋_GB2312"/>
          <w:b/>
          <w:sz w:val="30"/>
          <w:szCs w:val="30"/>
        </w:rPr>
      </w:pPr>
      <w:bookmarkStart w:id="2279" w:name="_Toc56166109"/>
      <w:bookmarkStart w:id="2280" w:name="_Toc34763078"/>
      <w:bookmarkStart w:id="2281" w:name="_Toc19542103"/>
      <w:bookmarkStart w:id="2282" w:name="_Toc16497847"/>
      <w:bookmarkStart w:id="2283" w:name="_Toc56166298"/>
      <w:bookmarkStart w:id="2284" w:name="_Toc24459984"/>
      <w:bookmarkStart w:id="2285" w:name="_Toc151137059"/>
      <w:r>
        <w:rPr>
          <w:rFonts w:hint="eastAsia" w:ascii="仿宋_GB2312" w:eastAsia="仿宋_GB2312"/>
          <w:b/>
          <w:sz w:val="30"/>
          <w:szCs w:val="30"/>
        </w:rPr>
        <w:t>债券换股</w:t>
      </w:r>
      <w:bookmarkEnd w:id="2274"/>
      <w:bookmarkEnd w:id="2279"/>
      <w:bookmarkEnd w:id="2280"/>
      <w:bookmarkEnd w:id="2281"/>
      <w:bookmarkEnd w:id="2282"/>
      <w:bookmarkEnd w:id="2283"/>
      <w:bookmarkEnd w:id="2284"/>
      <w:bookmarkEnd w:id="2285"/>
    </w:p>
    <w:p w14:paraId="3F6E6589">
      <w:pPr>
        <w:numPr>
          <w:ilvl w:val="2"/>
          <w:numId w:val="4"/>
        </w:numPr>
        <w:spacing w:line="600" w:lineRule="exact"/>
        <w:ind w:left="0" w:firstLine="0"/>
        <w:outlineLvl w:val="2"/>
        <w:rPr>
          <w:rFonts w:ascii="仿宋_GB2312" w:eastAsia="仿宋_GB2312"/>
          <w:b/>
          <w:sz w:val="30"/>
          <w:szCs w:val="30"/>
        </w:rPr>
      </w:pPr>
      <w:bookmarkStart w:id="2286" w:name="_Toc16497848"/>
      <w:bookmarkStart w:id="2287" w:name="_Toc19542104"/>
      <w:bookmarkStart w:id="2288" w:name="_Toc34763079"/>
      <w:bookmarkStart w:id="2289" w:name="_Toc24459985"/>
      <w:r>
        <w:rPr>
          <w:rFonts w:hint="eastAsia" w:ascii="仿宋_GB2312" w:eastAsia="仿宋_GB2312"/>
          <w:b/>
          <w:sz w:val="30"/>
          <w:szCs w:val="30"/>
        </w:rPr>
        <w:t>换股准备</w:t>
      </w:r>
      <w:bookmarkEnd w:id="2286"/>
      <w:bookmarkEnd w:id="2287"/>
      <w:bookmarkEnd w:id="2288"/>
      <w:bookmarkEnd w:id="2289"/>
    </w:p>
    <w:p w14:paraId="0AFFE65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可交换公司债券（以下简称可交债）的债券投资者，在进入换股期后，有权选择是否将持有的债券换为发行人持有的预备用于交换的上市公司股票。</w:t>
      </w:r>
    </w:p>
    <w:p w14:paraId="7CC1C6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自公开发行可交债发行结束之日起</w:t>
      </w:r>
      <w:r>
        <w:rPr>
          <w:rFonts w:ascii="仿宋_GB2312" w:hAnsi="宋体" w:eastAsia="仿宋_GB2312"/>
          <w:sz w:val="30"/>
          <w:szCs w:val="30"/>
        </w:rPr>
        <w:t>12个月后</w:t>
      </w:r>
      <w:r>
        <w:rPr>
          <w:rFonts w:hint="eastAsia" w:ascii="仿宋_GB2312" w:hAnsi="宋体" w:eastAsia="仿宋_GB2312"/>
          <w:sz w:val="30"/>
          <w:szCs w:val="30"/>
        </w:rPr>
        <w:t>或非公开发行可交债发行结束之日起6个月后</w:t>
      </w:r>
      <w:r>
        <w:rPr>
          <w:rFonts w:ascii="仿宋_GB2312" w:hAnsi="宋体" w:eastAsia="仿宋_GB2312"/>
          <w:sz w:val="30"/>
          <w:szCs w:val="30"/>
        </w:rPr>
        <w:t>，债券投资者方可按照募集说明书约定选择是否交换为预备用于交换的</w:t>
      </w:r>
      <w:r>
        <w:rPr>
          <w:rFonts w:hint="eastAsia" w:ascii="仿宋_GB2312" w:hAnsi="宋体" w:eastAsia="仿宋_GB2312"/>
          <w:sz w:val="30"/>
          <w:szCs w:val="30"/>
        </w:rPr>
        <w:t>股票。</w:t>
      </w:r>
    </w:p>
    <w:p w14:paraId="3119743E">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债券投资者可通过本所官网、债券信息网等本所信息披露平台查看</w:t>
      </w:r>
      <w:r>
        <w:rPr>
          <w:rFonts w:hint="eastAsia" w:ascii="仿宋_GB2312" w:hAnsi="宋体" w:eastAsia="仿宋_GB2312"/>
          <w:sz w:val="30"/>
          <w:szCs w:val="30"/>
        </w:rPr>
        <w:t>可交债开始换股公告，公告内容包括证券代码、证券简称、换股价格、换股申报起止日等。</w:t>
      </w:r>
    </w:p>
    <w:p w14:paraId="15F4CE6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公募可交债换股通过综合业务平台实施；私募可交债换股通过固收平台实施。</w:t>
      </w:r>
    </w:p>
    <w:p w14:paraId="31A95AD7">
      <w:pPr>
        <w:numPr>
          <w:ilvl w:val="2"/>
          <w:numId w:val="4"/>
        </w:numPr>
        <w:spacing w:line="600" w:lineRule="exact"/>
        <w:ind w:left="0" w:firstLine="0"/>
        <w:outlineLvl w:val="2"/>
        <w:rPr>
          <w:rFonts w:ascii="仿宋_GB2312" w:eastAsia="仿宋_GB2312"/>
          <w:b/>
          <w:sz w:val="30"/>
          <w:szCs w:val="30"/>
        </w:rPr>
      </w:pPr>
      <w:bookmarkStart w:id="2290" w:name="_Toc16497850"/>
      <w:bookmarkStart w:id="2291" w:name="_Toc24459987"/>
      <w:bookmarkStart w:id="2292" w:name="_Toc19542106"/>
      <w:bookmarkStart w:id="2293" w:name="_Toc34763081"/>
      <w:r>
        <w:rPr>
          <w:rFonts w:hint="eastAsia" w:ascii="仿宋_GB2312" w:eastAsia="仿宋_GB2312"/>
          <w:b/>
          <w:sz w:val="30"/>
          <w:szCs w:val="30"/>
        </w:rPr>
        <w:t>换股申报</w:t>
      </w:r>
      <w:bookmarkEnd w:id="2290"/>
      <w:bookmarkEnd w:id="2291"/>
      <w:bookmarkEnd w:id="2292"/>
      <w:bookmarkEnd w:id="2293"/>
    </w:p>
    <w:p w14:paraId="0FD3C34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cs="仿宋_GB2312"/>
          <w:kern w:val="0"/>
          <w:sz w:val="30"/>
          <w:szCs w:val="30"/>
        </w:rPr>
        <w:t>可</w:t>
      </w:r>
      <w:r>
        <w:rPr>
          <w:rFonts w:hint="eastAsia" w:ascii="仿宋_GB2312" w:hAnsi="Calibri" w:eastAsia="仿宋_GB2312"/>
          <w:sz w:val="30"/>
          <w:szCs w:val="30"/>
        </w:rPr>
        <w:t>交换债持有人申请在本所换股的，换股申报视同为债券受托管理人与发行人认可的解除担保指令。</w:t>
      </w:r>
    </w:p>
    <w:p w14:paraId="5D188F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通过固收平台进行换股申报的申报时间为换股期内每个交易日的</w:t>
      </w:r>
      <w:r>
        <w:rPr>
          <w:rFonts w:ascii="仿宋_GB2312" w:hAnsi="宋体" w:eastAsia="仿宋_GB2312"/>
          <w:sz w:val="30"/>
          <w:szCs w:val="30"/>
        </w:rPr>
        <w:t>9：00至11：30、13：00至15：30。</w:t>
      </w:r>
    </w:p>
    <w:p w14:paraId="47EACA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通过综合业务平台进行换股申报的申报时间为换股期内每个交易日的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5B6F09C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换股申报要素应当包括非交易类型、证券代码、证券简称、换股数量、证券账户等内容。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2C4F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877ADC9">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70DC1815">
            <w:pPr>
              <w:rPr>
                <w:rFonts w:ascii="仿宋_GB2312" w:hAnsi="宋体" w:eastAsia="仿宋_GB2312"/>
                <w:b/>
                <w:sz w:val="24"/>
                <w:szCs w:val="24"/>
              </w:rPr>
            </w:pPr>
            <w:r>
              <w:rPr>
                <w:rFonts w:hint="eastAsia" w:ascii="仿宋_GB2312" w:hAnsi="宋体" w:eastAsia="仿宋_GB2312"/>
                <w:b/>
                <w:sz w:val="24"/>
                <w:szCs w:val="24"/>
              </w:rPr>
              <w:t>要素说明</w:t>
            </w:r>
          </w:p>
        </w:tc>
      </w:tr>
      <w:tr w14:paraId="66C6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B4D68E">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14294372">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w:t>
            </w:r>
            <w:r>
              <w:rPr>
                <w:rFonts w:hint="eastAsia" w:ascii="仿宋_GB2312" w:hAnsi="宋体" w:eastAsia="仿宋_GB2312"/>
                <w:sz w:val="24"/>
                <w:szCs w:val="24"/>
              </w:rPr>
              <w:t>为“BSS”，</w:t>
            </w:r>
            <w:r>
              <w:rPr>
                <w:rFonts w:ascii="仿宋_GB2312" w:hAnsi="宋体" w:eastAsia="仿宋_GB2312"/>
                <w:sz w:val="24"/>
                <w:szCs w:val="24"/>
              </w:rPr>
              <w:t>固定收益平台为换股菜单入口</w:t>
            </w:r>
          </w:p>
        </w:tc>
      </w:tr>
      <w:tr w14:paraId="6EC4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DD16370">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4060C8A9">
            <w:pPr>
              <w:rPr>
                <w:rFonts w:ascii="仿宋_GB2312" w:hAnsi="宋体" w:eastAsia="仿宋_GB2312"/>
                <w:sz w:val="24"/>
                <w:szCs w:val="24"/>
              </w:rPr>
            </w:pPr>
            <w:r>
              <w:rPr>
                <w:rFonts w:hint="eastAsia" w:ascii="仿宋_GB2312" w:hAnsi="宋体" w:eastAsia="仿宋_GB2312"/>
                <w:sz w:val="24"/>
                <w:szCs w:val="24"/>
              </w:rPr>
              <w:t>账户名称</w:t>
            </w:r>
          </w:p>
        </w:tc>
      </w:tr>
      <w:tr w14:paraId="30DF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6118C82">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77D54AB1">
            <w:pPr>
              <w:rPr>
                <w:rFonts w:ascii="仿宋_GB2312" w:hAnsi="宋体" w:eastAsia="仿宋_GB2312"/>
                <w:sz w:val="24"/>
                <w:szCs w:val="24"/>
              </w:rPr>
            </w:pPr>
            <w:r>
              <w:rPr>
                <w:rFonts w:hint="eastAsia" w:ascii="仿宋_GB2312" w:hAnsi="宋体" w:eastAsia="仿宋_GB2312"/>
                <w:sz w:val="24"/>
                <w:szCs w:val="24"/>
              </w:rPr>
              <w:t>现券代码</w:t>
            </w:r>
          </w:p>
        </w:tc>
      </w:tr>
      <w:tr w14:paraId="2B50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972DE28">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27473F05">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62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0A404AE">
            <w:pPr>
              <w:rPr>
                <w:rFonts w:ascii="仿宋_GB2312" w:hAnsi="宋体" w:eastAsia="仿宋_GB2312"/>
                <w:b/>
                <w:sz w:val="24"/>
                <w:szCs w:val="24"/>
              </w:rPr>
            </w:pPr>
            <w:r>
              <w:rPr>
                <w:rFonts w:hint="eastAsia" w:ascii="仿宋_GB2312" w:hAnsi="宋体" w:eastAsia="仿宋_GB2312"/>
                <w:b/>
                <w:sz w:val="24"/>
                <w:szCs w:val="24"/>
              </w:rPr>
              <w:t>换股数量</w:t>
            </w:r>
          </w:p>
        </w:tc>
        <w:tc>
          <w:tcPr>
            <w:tcW w:w="5103" w:type="dxa"/>
          </w:tcPr>
          <w:p w14:paraId="281F1DC3">
            <w:pPr>
              <w:rPr>
                <w:rFonts w:ascii="仿宋_GB2312" w:hAnsi="宋体" w:eastAsia="仿宋_GB2312"/>
                <w:sz w:val="24"/>
                <w:szCs w:val="24"/>
              </w:rPr>
            </w:pPr>
            <w:r>
              <w:rPr>
                <w:rFonts w:hint="eastAsia" w:ascii="仿宋_GB2312" w:hAnsi="宋体" w:eastAsia="仿宋_GB2312"/>
                <w:sz w:val="24"/>
                <w:szCs w:val="24"/>
              </w:rPr>
              <w:t>可交债换股的现券数量，以1000元面额为单位</w:t>
            </w:r>
          </w:p>
        </w:tc>
      </w:tr>
      <w:tr w14:paraId="6A5F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F307754">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3EF29AB8">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2C6D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2D6CACC1">
            <w:pPr>
              <w:rPr>
                <w:rFonts w:ascii="仿宋_GB2312" w:hAnsi="宋体" w:eastAsia="仿宋_GB2312"/>
                <w:b/>
                <w:sz w:val="24"/>
                <w:szCs w:val="24"/>
              </w:rPr>
            </w:pPr>
            <w:r>
              <w:rPr>
                <w:rFonts w:hint="eastAsia" w:ascii="仿宋_GB2312" w:hAnsi="宋体" w:eastAsia="仿宋_GB2312"/>
                <w:b/>
                <w:sz w:val="24"/>
                <w:szCs w:val="24"/>
              </w:rPr>
              <w:t>换股价格</w:t>
            </w:r>
          </w:p>
        </w:tc>
        <w:tc>
          <w:tcPr>
            <w:tcW w:w="5103" w:type="dxa"/>
          </w:tcPr>
          <w:p w14:paraId="15F6357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3D6882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债券换股的申报数量应当为1000元面额或其整数倍。</w:t>
      </w:r>
    </w:p>
    <w:p w14:paraId="0FA49BA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债券可换成的最小股份单位为1股。同一交易日内多次申报换股的，将合并计算换股数量。换股时不足交换1股的可交换债部分，由发行人以现金方式兑付其本金和利息。</w:t>
      </w:r>
    </w:p>
    <w:p w14:paraId="4C89969D">
      <w:pPr>
        <w:spacing w:line="600" w:lineRule="exact"/>
        <w:ind w:firstLine="600" w:firstLineChars="200"/>
        <w:jc w:val="left"/>
        <w:rPr>
          <w:rFonts w:ascii="仿宋_GB2312" w:hAnsi="Calibri" w:eastAsia="仿宋_GB2312" w:cs="仿宋_GB2312"/>
          <w:kern w:val="0"/>
          <w:sz w:val="30"/>
          <w:szCs w:val="30"/>
        </w:rPr>
      </w:pPr>
      <w:r>
        <w:rPr>
          <w:rFonts w:hint="eastAsia" w:ascii="仿宋_GB2312" w:hAnsi="宋体" w:eastAsia="仿宋_GB2312"/>
          <w:sz w:val="30"/>
          <w:szCs w:val="30"/>
        </w:rPr>
        <w:t>可</w:t>
      </w:r>
      <w:r>
        <w:rPr>
          <w:rFonts w:hint="eastAsia" w:ascii="仿宋_GB2312" w:hAnsi="Calibri" w:eastAsia="仿宋_GB2312" w:cs="仿宋_GB2312"/>
          <w:kern w:val="0"/>
          <w:sz w:val="30"/>
          <w:szCs w:val="30"/>
        </w:rPr>
        <w:t>交换债的换股价格由募集说明书约定，并可以按照募集说明书约定的方式进行调整。</w:t>
      </w:r>
    </w:p>
    <w:p w14:paraId="23993C0C">
      <w:pPr>
        <w:spacing w:line="600" w:lineRule="exact"/>
        <w:ind w:firstLine="600" w:firstLineChars="200"/>
        <w:rPr>
          <w:rFonts w:ascii="仿宋_GB2312" w:hAnsi="Calibri" w:eastAsia="仿宋_GB2312" w:cs="仿宋_GB2312"/>
          <w:kern w:val="0"/>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本所官网、债券信息网等本所信息披露平台查看换股价格调整公告，换股价格调整公告于换股价格调整前2个交易日以前公布。</w:t>
      </w:r>
    </w:p>
    <w:p w14:paraId="1E44966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当日提交的换股申报，当日换股申报时间内可以撤销。换股撤销实时生效，生效后债券恢复交易。</w:t>
      </w:r>
    </w:p>
    <w:p w14:paraId="6D50D36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本所及登记结算机构对债券交易业务的处理优先于换股业务。当日买入的可交换债当日（</w:t>
      </w:r>
      <w:r>
        <w:rPr>
          <w:rFonts w:ascii="仿宋_GB2312" w:hAnsi="宋体" w:eastAsia="仿宋_GB2312"/>
          <w:sz w:val="30"/>
          <w:szCs w:val="30"/>
        </w:rPr>
        <w:t>T日）</w:t>
      </w:r>
      <w:r>
        <w:rPr>
          <w:rFonts w:hint="eastAsia" w:ascii="仿宋_GB2312" w:hAnsi="宋体" w:eastAsia="仿宋_GB2312"/>
          <w:sz w:val="30"/>
          <w:szCs w:val="30"/>
        </w:rPr>
        <w:t>可以申报换股。若债券持有人申报换股的可交债数量大于其实际持有可交债余额，该换股申报交收全部失败，证券登记结算机构不办理部分换股交收。</w:t>
      </w:r>
    </w:p>
    <w:p w14:paraId="11490CD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换股交收于换股申报日（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6D58E1C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可交换债换股换得的股票可在换股交收完成的次一交易日（</w:t>
      </w:r>
      <w:r>
        <w:rPr>
          <w:rFonts w:ascii="仿宋_GB2312" w:hAnsi="宋体" w:eastAsia="仿宋_GB2312"/>
          <w:sz w:val="30"/>
          <w:szCs w:val="30"/>
        </w:rPr>
        <w:t>T+1日）</w:t>
      </w:r>
      <w:r>
        <w:rPr>
          <w:rFonts w:hint="eastAsia" w:ascii="仿宋_GB2312" w:hAnsi="宋体" w:eastAsia="仿宋_GB2312"/>
          <w:sz w:val="30"/>
          <w:szCs w:val="30"/>
        </w:rPr>
        <w:t>进行交易。</w:t>
      </w:r>
    </w:p>
    <w:p w14:paraId="6E1F433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换股期间，预备用于交换的股票出现司法冻结、扣划或其他权利瑕疵影响债券投资者换股权利的，发行人应当向本所申请暂停可交债换股，发行人未及时申请暂停可交债换股的，本所可视情况暂停提供换股服务。</w:t>
      </w:r>
    </w:p>
    <w:p w14:paraId="07DA22E5">
      <w:pPr>
        <w:spacing w:line="600" w:lineRule="exact"/>
        <w:ind w:firstLine="600" w:firstLineChars="200"/>
        <w:rPr>
          <w:rFonts w:ascii="仿宋_GB2312" w:hAnsi="宋体" w:eastAsia="仿宋_GB2312"/>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本所官网、债券信息网等本所信息披露平台查看可交换债券暂停换股公告</w:t>
      </w:r>
      <w:r>
        <w:rPr>
          <w:rFonts w:hint="eastAsia" w:ascii="仿宋_GB2312" w:hAnsi="宋体" w:eastAsia="仿宋_GB2312"/>
          <w:sz w:val="30"/>
          <w:szCs w:val="30"/>
        </w:rPr>
        <w:t>。可交债券暂停换股公告于换股价格调整前</w:t>
      </w:r>
      <w:r>
        <w:rPr>
          <w:rFonts w:ascii="仿宋_GB2312" w:hAnsi="宋体" w:eastAsia="仿宋_GB2312"/>
          <w:sz w:val="30"/>
          <w:szCs w:val="30"/>
        </w:rPr>
        <w:t>2个交易日以前公布</w:t>
      </w:r>
      <w:r>
        <w:rPr>
          <w:rFonts w:hint="eastAsia" w:ascii="仿宋_GB2312" w:hAnsi="宋体" w:eastAsia="仿宋_GB2312"/>
          <w:sz w:val="30"/>
          <w:szCs w:val="30"/>
        </w:rPr>
        <w:t>，公告内容包括暂停原因、暂停起始时间及预计恢复换股时间。</w:t>
      </w:r>
    </w:p>
    <w:p w14:paraId="1F4FEE5A">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暂停换股事项消除后，换股恢复。债券投资者可通过本所官网、债券信息网等本所信息披露平台查看可交换债</w:t>
      </w:r>
      <w:r>
        <w:rPr>
          <w:rFonts w:hint="eastAsia" w:ascii="仿宋_GB2312" w:hAnsi="宋体" w:eastAsia="仿宋_GB2312"/>
          <w:sz w:val="30"/>
          <w:szCs w:val="30"/>
        </w:rPr>
        <w:t>券恢复换股公告，公告于恢复换股前</w:t>
      </w:r>
      <w:r>
        <w:rPr>
          <w:rFonts w:ascii="仿宋_GB2312" w:hAnsi="宋体" w:eastAsia="仿宋_GB2312"/>
          <w:sz w:val="30"/>
          <w:szCs w:val="30"/>
        </w:rPr>
        <w:t>2个交易日以前公布，公告内容包括恢复换股时间</w:t>
      </w:r>
      <w:r>
        <w:rPr>
          <w:rFonts w:hint="eastAsia" w:ascii="仿宋_GB2312" w:hAnsi="宋体" w:eastAsia="仿宋_GB2312"/>
          <w:sz w:val="30"/>
          <w:szCs w:val="30"/>
        </w:rPr>
        <w:t>等。</w:t>
      </w:r>
    </w:p>
    <w:p w14:paraId="1D7CA2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发行人或预备用于交换的股票出现其他影响债券投资者换股权利事项的，本所可视情况暂停或终止可交换债换股。</w:t>
      </w:r>
    </w:p>
    <w:p w14:paraId="627CB556">
      <w:pPr>
        <w:spacing w:line="600" w:lineRule="exact"/>
        <w:ind w:firstLine="600" w:firstLineChars="200"/>
        <w:jc w:val="left"/>
        <w:rPr>
          <w:rFonts w:ascii="仿宋_GB2312" w:hAnsi="微软雅黑" w:eastAsia="仿宋_GB2312"/>
          <w:sz w:val="30"/>
          <w:szCs w:val="30"/>
        </w:rPr>
      </w:pPr>
      <w:r>
        <w:rPr>
          <w:rFonts w:hint="eastAsia" w:ascii="仿宋_GB2312" w:hAnsi="宋体" w:eastAsia="仿宋_GB2312"/>
          <w:sz w:val="30"/>
          <w:szCs w:val="30"/>
        </w:rPr>
        <w:t>若</w:t>
      </w:r>
      <w:r>
        <w:rPr>
          <w:rFonts w:ascii="仿宋_GB2312" w:hAnsi="宋体" w:eastAsia="仿宋_GB2312"/>
          <w:sz w:val="30"/>
          <w:szCs w:val="30"/>
        </w:rPr>
        <w:t>债券投资者</w:t>
      </w:r>
      <w:r>
        <w:rPr>
          <w:rFonts w:hint="eastAsia" w:ascii="仿宋_GB2312" w:hAnsi="宋体" w:eastAsia="仿宋_GB2312"/>
          <w:sz w:val="30"/>
          <w:szCs w:val="30"/>
        </w:rPr>
        <w:t>申报换股的可交债数量</w:t>
      </w:r>
      <w:r>
        <w:rPr>
          <w:rFonts w:hint="eastAsia" w:ascii="仿宋_GB2312" w:hAnsi="宋体" w:eastAsia="仿宋_GB2312"/>
          <w:sz w:val="30"/>
          <w:szCs w:val="30"/>
          <w:lang w:eastAsia="zh-CN"/>
        </w:rPr>
        <w:t>小</w:t>
      </w:r>
      <w:r>
        <w:rPr>
          <w:rFonts w:hint="eastAsia" w:ascii="仿宋_GB2312" w:hAnsi="宋体" w:eastAsia="仿宋_GB2312"/>
          <w:sz w:val="30"/>
          <w:szCs w:val="30"/>
        </w:rPr>
        <w:t>于其实际持有可交债余额，则持有可交债全部进行换股。证券登记结算机构确认换股申报有效后，将记减（注销）持有人的可交债数额，同时记增持有人相应的标的股票股份数额。</w:t>
      </w:r>
    </w:p>
    <w:p w14:paraId="7809D2D6">
      <w:pPr>
        <w:numPr>
          <w:ilvl w:val="1"/>
          <w:numId w:val="4"/>
        </w:numPr>
        <w:spacing w:line="600" w:lineRule="exact"/>
        <w:ind w:left="0" w:firstLine="0"/>
        <w:outlineLvl w:val="1"/>
        <w:rPr>
          <w:rFonts w:ascii="仿宋_GB2312" w:eastAsia="仿宋_GB2312"/>
          <w:b/>
          <w:sz w:val="30"/>
          <w:szCs w:val="30"/>
        </w:rPr>
      </w:pPr>
      <w:bookmarkStart w:id="2294" w:name="_Toc19542118"/>
      <w:bookmarkStart w:id="2295" w:name="_Toc56166299"/>
      <w:bookmarkStart w:id="2296" w:name="_Toc151137060"/>
      <w:bookmarkStart w:id="2297" w:name="_Toc24459999"/>
      <w:bookmarkStart w:id="2298" w:name="_Toc56166110"/>
      <w:bookmarkStart w:id="2299" w:name="_Toc34763093"/>
      <w:r>
        <w:rPr>
          <w:rFonts w:hint="eastAsia" w:ascii="仿宋_GB2312" w:eastAsia="仿宋_GB2312"/>
          <w:b/>
          <w:sz w:val="30"/>
          <w:szCs w:val="30"/>
        </w:rPr>
        <w:t>债券转托管</w:t>
      </w:r>
      <w:bookmarkEnd w:id="2294"/>
      <w:bookmarkEnd w:id="2295"/>
      <w:bookmarkEnd w:id="2296"/>
      <w:bookmarkEnd w:id="2297"/>
      <w:bookmarkEnd w:id="2298"/>
      <w:bookmarkEnd w:id="2299"/>
    </w:p>
    <w:p w14:paraId="08C2F24F">
      <w:pPr>
        <w:numPr>
          <w:ilvl w:val="2"/>
          <w:numId w:val="4"/>
        </w:numPr>
        <w:spacing w:line="600" w:lineRule="exact"/>
        <w:ind w:left="0" w:firstLine="0"/>
        <w:outlineLvl w:val="2"/>
        <w:rPr>
          <w:rFonts w:ascii="仿宋_GB2312" w:eastAsia="仿宋_GB2312"/>
          <w:b/>
          <w:sz w:val="30"/>
          <w:szCs w:val="30"/>
        </w:rPr>
      </w:pPr>
      <w:bookmarkStart w:id="2300" w:name="_Toc24460000"/>
      <w:bookmarkStart w:id="2301" w:name="_Toc19542119"/>
      <w:bookmarkStart w:id="2302" w:name="_Toc34763094"/>
      <w:r>
        <w:rPr>
          <w:rFonts w:hint="eastAsia" w:ascii="仿宋_GB2312" w:eastAsia="仿宋_GB2312"/>
          <w:b/>
          <w:sz w:val="30"/>
          <w:szCs w:val="30"/>
        </w:rPr>
        <w:t>转托管服务范围</w:t>
      </w:r>
      <w:bookmarkEnd w:id="2300"/>
      <w:bookmarkEnd w:id="2301"/>
      <w:bookmarkEnd w:id="2302"/>
    </w:p>
    <w:p w14:paraId="378A66DE">
      <w:pPr>
        <w:spacing w:line="600" w:lineRule="exact"/>
        <w:ind w:firstLine="600" w:firstLineChars="200"/>
        <w:rPr>
          <w:rFonts w:ascii="仿宋_GB2312" w:hAnsi="宋体" w:eastAsia="仿宋_GB2312"/>
          <w:sz w:val="30"/>
          <w:szCs w:val="30"/>
        </w:rPr>
      </w:pPr>
      <w:r>
        <w:rPr>
          <w:rFonts w:hint="eastAsia" w:ascii="仿宋_GB2312" w:eastAsia="仿宋_GB2312"/>
          <w:sz w:val="30"/>
          <w:szCs w:val="30"/>
        </w:rPr>
        <w:t>债券投资者可以通过交易系统提交转托管申报，将持有的已上市流通可跨市场债券在不同登记结算机构间进行托管转移。</w:t>
      </w:r>
      <w:r>
        <w:rPr>
          <w:rFonts w:hint="eastAsia" w:ascii="仿宋_GB2312" w:hAnsi="宋体" w:eastAsia="仿宋_GB2312"/>
          <w:sz w:val="30"/>
          <w:szCs w:val="30"/>
        </w:rPr>
        <w:t>债券转托管是指同一债券投资者，将持有债券在不同托管机构间进行的托管转移。目前，本所支持国债、地方债、企业债及政府支持证券在中央国</w:t>
      </w:r>
      <w:r>
        <w:rPr>
          <w:rFonts w:hint="eastAsia" w:ascii="仿宋_GB2312" w:hAnsi="宋体" w:eastAsia="仿宋_GB2312" w:cs="Arial"/>
          <w:sz w:val="30"/>
          <w:szCs w:val="30"/>
          <w:shd w:val="clear" w:color="auto" w:fill="FFFFFF"/>
        </w:rPr>
        <w:t>债登</w:t>
      </w:r>
      <w:r>
        <w:rPr>
          <w:rFonts w:hint="eastAsia" w:ascii="仿宋_GB2312" w:hAnsi="宋体" w:eastAsia="仿宋_GB2312"/>
          <w:sz w:val="30"/>
          <w:szCs w:val="30"/>
        </w:rPr>
        <w:t>记结算有限责任公司（以下简称中债登）与</w:t>
      </w:r>
      <w:r>
        <w:rPr>
          <w:rFonts w:ascii="仿宋_GB2312" w:hAnsi="Calibri" w:eastAsia="仿宋_GB2312"/>
          <w:sz w:val="30"/>
          <w:szCs w:val="30"/>
        </w:rPr>
        <w:t>中国证券登记结算有限责任公司</w:t>
      </w:r>
      <w:r>
        <w:rPr>
          <w:rFonts w:hint="eastAsia" w:ascii="仿宋_GB2312" w:hAnsi="Calibri" w:eastAsia="仿宋_GB2312"/>
          <w:sz w:val="30"/>
          <w:szCs w:val="30"/>
        </w:rPr>
        <w:t>（以下简称中国结算）</w:t>
      </w:r>
      <w:r>
        <w:rPr>
          <w:rFonts w:hint="eastAsia" w:ascii="仿宋_GB2312" w:hAnsi="宋体" w:eastAsia="仿宋_GB2312"/>
          <w:sz w:val="30"/>
          <w:szCs w:val="30"/>
        </w:rPr>
        <w:t>之间的转托管。</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145"/>
        <w:gridCol w:w="2550"/>
        <w:gridCol w:w="4065"/>
      </w:tblGrid>
      <w:tr w14:paraId="5D42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shd w:val="clear" w:color="auto" w:fill="FFFFFF"/>
          </w:tcPr>
          <w:p w14:paraId="394CC314">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子市场</w:t>
            </w:r>
          </w:p>
        </w:tc>
        <w:tc>
          <w:tcPr>
            <w:tcW w:w="2550" w:type="dxa"/>
            <w:shd w:val="clear" w:color="auto" w:fill="FFFFFF"/>
          </w:tcPr>
          <w:p w14:paraId="66E595CF">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产品类型</w:t>
            </w:r>
          </w:p>
        </w:tc>
        <w:tc>
          <w:tcPr>
            <w:tcW w:w="4065" w:type="dxa"/>
            <w:shd w:val="clear" w:color="auto" w:fill="FFFFFF"/>
          </w:tcPr>
          <w:p w14:paraId="64141039">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转托管方向</w:t>
            </w:r>
          </w:p>
        </w:tc>
      </w:tr>
      <w:tr w14:paraId="4581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restart"/>
            <w:shd w:val="clear" w:color="auto" w:fill="FFFFFF"/>
          </w:tcPr>
          <w:p w14:paraId="3F67064D">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现券</w:t>
            </w:r>
          </w:p>
        </w:tc>
        <w:tc>
          <w:tcPr>
            <w:tcW w:w="2550" w:type="dxa"/>
            <w:shd w:val="clear" w:color="auto" w:fill="FFFFFF"/>
          </w:tcPr>
          <w:p w14:paraId="7CC8D12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国债</w:t>
            </w:r>
          </w:p>
        </w:tc>
        <w:tc>
          <w:tcPr>
            <w:tcW w:w="4065" w:type="dxa"/>
            <w:shd w:val="clear" w:color="auto" w:fill="FFFFFF"/>
          </w:tcPr>
          <w:p w14:paraId="5472019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3FCB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4C783B61">
            <w:pPr>
              <w:widowControl/>
              <w:jc w:val="left"/>
              <w:rPr>
                <w:rFonts w:ascii="仿宋_GB2312" w:hAnsi="宋体" w:eastAsia="仿宋_GB2312" w:cs="宋体"/>
                <w:b/>
                <w:color w:val="000000"/>
                <w:kern w:val="0"/>
                <w:sz w:val="24"/>
                <w:szCs w:val="24"/>
              </w:rPr>
            </w:pPr>
          </w:p>
        </w:tc>
        <w:tc>
          <w:tcPr>
            <w:tcW w:w="2550" w:type="dxa"/>
            <w:shd w:val="clear" w:color="auto" w:fill="FFFFFF"/>
          </w:tcPr>
          <w:p w14:paraId="1AA0AB7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地方债</w:t>
            </w:r>
          </w:p>
        </w:tc>
        <w:tc>
          <w:tcPr>
            <w:tcW w:w="4065" w:type="dxa"/>
            <w:shd w:val="clear" w:color="auto" w:fill="FFFFFF"/>
          </w:tcPr>
          <w:p w14:paraId="2DA2C71D">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23A2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3D991CA4">
            <w:pPr>
              <w:widowControl/>
              <w:jc w:val="left"/>
              <w:rPr>
                <w:rFonts w:ascii="仿宋_GB2312" w:hAnsi="宋体" w:eastAsia="仿宋_GB2312" w:cs="宋体"/>
                <w:b/>
                <w:color w:val="000000"/>
                <w:kern w:val="0"/>
                <w:sz w:val="24"/>
                <w:szCs w:val="24"/>
              </w:rPr>
            </w:pPr>
          </w:p>
        </w:tc>
        <w:tc>
          <w:tcPr>
            <w:tcW w:w="2550" w:type="dxa"/>
            <w:shd w:val="clear" w:color="auto" w:fill="FFFFFF"/>
          </w:tcPr>
          <w:p w14:paraId="695405B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政策性金融债</w:t>
            </w:r>
          </w:p>
        </w:tc>
        <w:tc>
          <w:tcPr>
            <w:tcW w:w="4065" w:type="dxa"/>
            <w:shd w:val="clear" w:color="auto" w:fill="FFFFFF"/>
          </w:tcPr>
          <w:p w14:paraId="4B2562A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103F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36903366">
            <w:pPr>
              <w:widowControl/>
              <w:jc w:val="left"/>
              <w:rPr>
                <w:rFonts w:ascii="仿宋_GB2312" w:hAnsi="宋体" w:eastAsia="仿宋_GB2312" w:cs="宋体"/>
                <w:b/>
                <w:color w:val="000000"/>
                <w:kern w:val="0"/>
                <w:sz w:val="24"/>
                <w:szCs w:val="24"/>
              </w:rPr>
            </w:pPr>
          </w:p>
        </w:tc>
        <w:tc>
          <w:tcPr>
            <w:tcW w:w="2550" w:type="dxa"/>
            <w:shd w:val="clear" w:color="auto" w:fill="FFFFFF"/>
          </w:tcPr>
          <w:p w14:paraId="4D0EF47F">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企业债</w:t>
            </w:r>
          </w:p>
        </w:tc>
        <w:tc>
          <w:tcPr>
            <w:tcW w:w="4065" w:type="dxa"/>
            <w:shd w:val="clear" w:color="auto" w:fill="FFFFFF"/>
          </w:tcPr>
          <w:p w14:paraId="22B1B34C">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5C0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22A203F8">
            <w:pPr>
              <w:widowControl/>
              <w:jc w:val="left"/>
              <w:rPr>
                <w:rFonts w:ascii="仿宋_GB2312" w:hAnsi="宋体" w:eastAsia="仿宋_GB2312" w:cs="宋体"/>
                <w:b/>
                <w:color w:val="000000"/>
                <w:kern w:val="0"/>
                <w:sz w:val="24"/>
                <w:szCs w:val="24"/>
              </w:rPr>
            </w:pPr>
          </w:p>
        </w:tc>
        <w:tc>
          <w:tcPr>
            <w:tcW w:w="2550" w:type="dxa"/>
            <w:shd w:val="clear" w:color="auto" w:fill="FFFFFF"/>
          </w:tcPr>
          <w:p w14:paraId="506CA639">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政府支持证券</w:t>
            </w:r>
          </w:p>
        </w:tc>
        <w:tc>
          <w:tcPr>
            <w:tcW w:w="4065" w:type="dxa"/>
            <w:shd w:val="clear" w:color="auto" w:fill="FFFFFF"/>
          </w:tcPr>
          <w:p w14:paraId="468F19C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004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774E5336">
            <w:pPr>
              <w:widowControl/>
              <w:jc w:val="left"/>
              <w:rPr>
                <w:rFonts w:ascii="仿宋_GB2312" w:hAnsi="宋体" w:eastAsia="仿宋_GB2312" w:cs="宋体"/>
                <w:b/>
                <w:color w:val="000000"/>
                <w:kern w:val="0"/>
                <w:sz w:val="24"/>
                <w:szCs w:val="24"/>
              </w:rPr>
            </w:pPr>
          </w:p>
        </w:tc>
        <w:tc>
          <w:tcPr>
            <w:tcW w:w="2550" w:type="dxa"/>
            <w:shd w:val="clear" w:color="auto" w:fill="FFFFFF"/>
          </w:tcPr>
          <w:p w14:paraId="2C551D6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公司债（含可交债、私募可转债，</w:t>
            </w:r>
            <w:r>
              <w:rPr>
                <w:rFonts w:ascii="仿宋_GB2312" w:hAnsi="宋体" w:eastAsia="仿宋_GB2312" w:cs="宋体"/>
                <w:color w:val="000000"/>
                <w:kern w:val="0"/>
                <w:sz w:val="24"/>
                <w:szCs w:val="24"/>
              </w:rPr>
              <w:t>不含企业债</w:t>
            </w:r>
            <w:r>
              <w:rPr>
                <w:rFonts w:hint="eastAsia" w:ascii="仿宋_GB2312" w:hAnsi="宋体" w:eastAsia="仿宋_GB2312" w:cs="宋体"/>
                <w:color w:val="000000"/>
                <w:kern w:val="0"/>
                <w:sz w:val="24"/>
                <w:szCs w:val="24"/>
              </w:rPr>
              <w:t>）</w:t>
            </w:r>
          </w:p>
        </w:tc>
        <w:tc>
          <w:tcPr>
            <w:tcW w:w="4065" w:type="dxa"/>
            <w:shd w:val="clear" w:color="auto" w:fill="FFFFFF"/>
          </w:tcPr>
          <w:p w14:paraId="6E26415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7AC7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57D85512">
            <w:pPr>
              <w:widowControl/>
              <w:jc w:val="left"/>
              <w:rPr>
                <w:rFonts w:ascii="仿宋_GB2312" w:hAnsi="宋体" w:eastAsia="仿宋_GB2312" w:cs="宋体"/>
                <w:b/>
                <w:color w:val="000000"/>
                <w:kern w:val="0"/>
                <w:sz w:val="24"/>
                <w:szCs w:val="24"/>
              </w:rPr>
            </w:pPr>
          </w:p>
        </w:tc>
        <w:tc>
          <w:tcPr>
            <w:tcW w:w="2550" w:type="dxa"/>
            <w:shd w:val="clear" w:color="auto" w:fill="FFFFFF"/>
          </w:tcPr>
          <w:p w14:paraId="7D660693">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资产支持证券</w:t>
            </w:r>
          </w:p>
        </w:tc>
        <w:tc>
          <w:tcPr>
            <w:tcW w:w="4065" w:type="dxa"/>
            <w:shd w:val="clear" w:color="auto" w:fill="FFFFFF"/>
          </w:tcPr>
          <w:p w14:paraId="49ADAD2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bl>
    <w:p w14:paraId="495AD7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转托管方向为从本所债券市场转出到银行间债券市场（以下简称转出）的国债、地方债等跨市场债券的转托管，可以通过本所固定收益平台或</w:t>
      </w:r>
      <w:r>
        <w:rPr>
          <w:rFonts w:ascii="仿宋_GB2312" w:hAnsi="Calibri" w:eastAsia="仿宋_GB2312"/>
          <w:sz w:val="30"/>
          <w:szCs w:val="30"/>
        </w:rPr>
        <w:t>中国证券登记结算有限责任公司</w:t>
      </w:r>
      <w:r>
        <w:rPr>
          <w:rFonts w:hint="eastAsia" w:ascii="仿宋_GB2312" w:hAnsi="宋体" w:eastAsia="仿宋_GB2312"/>
          <w:sz w:val="30"/>
          <w:szCs w:val="30"/>
        </w:rPr>
        <w:t>P</w:t>
      </w:r>
      <w:r>
        <w:rPr>
          <w:rFonts w:ascii="仿宋_GB2312" w:hAnsi="宋体" w:eastAsia="仿宋_GB2312"/>
          <w:sz w:val="30"/>
          <w:szCs w:val="30"/>
        </w:rPr>
        <w:t>ROP</w:t>
      </w:r>
      <w:r>
        <w:rPr>
          <w:rFonts w:hint="eastAsia" w:ascii="仿宋_GB2312" w:hAnsi="宋体" w:eastAsia="仿宋_GB2312"/>
          <w:sz w:val="30"/>
          <w:szCs w:val="30"/>
        </w:rPr>
        <w:t>系统提交转托管申报。</w:t>
      </w:r>
    </w:p>
    <w:p w14:paraId="0A522C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转托管方向为从本所债券市场转出到银行间债券市场的企业债、政府支持债券等跨市场债券的转托管，通过</w:t>
      </w:r>
      <w:r>
        <w:rPr>
          <w:rFonts w:hint="eastAsia" w:ascii="仿宋_GB2312" w:hAnsi="Calibri" w:eastAsia="仿宋_GB2312"/>
          <w:sz w:val="30"/>
          <w:szCs w:val="30"/>
        </w:rPr>
        <w:t>中国证券登记结算有限责任公司</w:t>
      </w:r>
      <w:r>
        <w:rPr>
          <w:rFonts w:ascii="仿宋_GB2312" w:hAnsi="宋体" w:eastAsia="仿宋_GB2312"/>
          <w:sz w:val="30"/>
          <w:szCs w:val="30"/>
        </w:rPr>
        <w:t>PROP</w:t>
      </w:r>
      <w:r>
        <w:rPr>
          <w:rFonts w:hint="eastAsia" w:ascii="仿宋_GB2312" w:hAnsi="宋体" w:eastAsia="仿宋_GB2312"/>
          <w:sz w:val="30"/>
          <w:szCs w:val="30"/>
        </w:rPr>
        <w:t>系统提交转托管申请。转托管方向为从银行间债券市场债券转入到本所债券市场的，按照中债登相关规定进行操作。</w:t>
      </w:r>
    </w:p>
    <w:p w14:paraId="6A416DF5">
      <w:pPr>
        <w:numPr>
          <w:ilvl w:val="2"/>
          <w:numId w:val="4"/>
        </w:numPr>
        <w:spacing w:line="600" w:lineRule="exact"/>
        <w:ind w:left="0" w:firstLine="0"/>
        <w:outlineLvl w:val="2"/>
        <w:rPr>
          <w:rFonts w:ascii="仿宋_GB2312" w:eastAsia="仿宋_GB2312"/>
          <w:b/>
          <w:sz w:val="30"/>
          <w:szCs w:val="30"/>
        </w:rPr>
      </w:pPr>
      <w:bookmarkStart w:id="2303" w:name="_Toc19542120"/>
      <w:bookmarkStart w:id="2304" w:name="_Toc16497855"/>
      <w:bookmarkStart w:id="2305" w:name="_Toc34763095"/>
      <w:bookmarkStart w:id="2306" w:name="_Toc24460001"/>
      <w:r>
        <w:rPr>
          <w:rFonts w:hint="eastAsia" w:ascii="仿宋_GB2312" w:eastAsia="仿宋_GB2312"/>
          <w:b/>
          <w:sz w:val="30"/>
          <w:szCs w:val="30"/>
        </w:rPr>
        <w:t>转托管申报</w:t>
      </w:r>
      <w:bookmarkEnd w:id="2303"/>
      <w:bookmarkEnd w:id="2304"/>
      <w:bookmarkEnd w:id="2305"/>
      <w:bookmarkEnd w:id="2306"/>
    </w:p>
    <w:p w14:paraId="754C837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通过固定收益平台进行转托管申报时间为每个交易日的9：00至11：30、13：00至</w:t>
      </w:r>
      <w:r>
        <w:rPr>
          <w:rFonts w:ascii="仿宋_GB2312" w:hAnsi="宋体" w:eastAsia="仿宋_GB2312"/>
          <w:sz w:val="30"/>
          <w:szCs w:val="30"/>
        </w:rPr>
        <w:t>15：30</w:t>
      </w:r>
      <w:r>
        <w:rPr>
          <w:rFonts w:ascii="仿宋_GB2312" w:hAnsi="宋体" w:eastAsia="仿宋_GB2312"/>
          <w:sz w:val="30"/>
          <w:vertAlign w:val="superscript"/>
        </w:rPr>
        <w:t xml:space="preserve"> </w:t>
      </w:r>
      <w:r>
        <w:rPr>
          <w:rFonts w:hint="eastAsia" w:ascii="仿宋_GB2312" w:hAnsi="宋体" w:eastAsia="仿宋_GB2312"/>
          <w:sz w:val="30"/>
          <w:szCs w:val="30"/>
        </w:rPr>
        <w:t>。</w:t>
      </w:r>
    </w:p>
    <w:p w14:paraId="37B2D5D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进行转托管转出的，债券投资者向本所报送的转出申报应当包括证券代码、证券简称、数量、转出证券账户、在其他债券登记结算机构开立的债券托管账户等内容。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9"/>
      </w:tblGrid>
      <w:tr w14:paraId="186A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0BD102E">
            <w:pPr>
              <w:rPr>
                <w:rFonts w:ascii="仿宋_GB2312" w:hAnsi="宋体" w:eastAsia="仿宋_GB2312"/>
                <w:b/>
                <w:sz w:val="24"/>
                <w:szCs w:val="24"/>
              </w:rPr>
            </w:pPr>
            <w:r>
              <w:rPr>
                <w:rFonts w:hint="eastAsia" w:ascii="仿宋_GB2312" w:hAnsi="宋体" w:eastAsia="仿宋_GB2312"/>
                <w:b/>
                <w:sz w:val="24"/>
                <w:szCs w:val="24"/>
              </w:rPr>
              <w:t>申报要素</w:t>
            </w:r>
          </w:p>
        </w:tc>
        <w:tc>
          <w:tcPr>
            <w:tcW w:w="5109" w:type="dxa"/>
          </w:tcPr>
          <w:p w14:paraId="0D028BA8">
            <w:pPr>
              <w:rPr>
                <w:rFonts w:ascii="仿宋_GB2312" w:hAnsi="宋体" w:eastAsia="仿宋_GB2312"/>
                <w:b/>
                <w:sz w:val="24"/>
                <w:szCs w:val="24"/>
              </w:rPr>
            </w:pPr>
            <w:r>
              <w:rPr>
                <w:rFonts w:hint="eastAsia" w:ascii="仿宋_GB2312" w:hAnsi="宋体" w:eastAsia="仿宋_GB2312"/>
                <w:b/>
                <w:sz w:val="24"/>
                <w:szCs w:val="24"/>
              </w:rPr>
              <w:t>要素说明</w:t>
            </w:r>
          </w:p>
        </w:tc>
      </w:tr>
      <w:tr w14:paraId="4C54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132D1E0">
            <w:pPr>
              <w:rPr>
                <w:rFonts w:ascii="仿宋_GB2312" w:hAnsi="宋体" w:eastAsia="仿宋_GB2312"/>
                <w:b/>
                <w:sz w:val="24"/>
                <w:szCs w:val="24"/>
              </w:rPr>
            </w:pPr>
            <w:r>
              <w:rPr>
                <w:rFonts w:hint="eastAsia" w:ascii="仿宋_GB2312" w:hAnsi="宋体" w:eastAsia="仿宋_GB2312"/>
                <w:b/>
                <w:sz w:val="24"/>
                <w:szCs w:val="24"/>
              </w:rPr>
              <w:t>证券代码</w:t>
            </w:r>
          </w:p>
        </w:tc>
        <w:tc>
          <w:tcPr>
            <w:tcW w:w="5109" w:type="dxa"/>
          </w:tcPr>
          <w:p w14:paraId="508390E1">
            <w:pPr>
              <w:rPr>
                <w:rFonts w:ascii="仿宋_GB2312" w:hAnsi="宋体" w:eastAsia="仿宋_GB2312"/>
                <w:sz w:val="24"/>
                <w:szCs w:val="24"/>
              </w:rPr>
            </w:pPr>
            <w:r>
              <w:rPr>
                <w:rFonts w:hint="eastAsia" w:ascii="仿宋_GB2312" w:hAnsi="宋体" w:eastAsia="仿宋_GB2312"/>
                <w:sz w:val="24"/>
                <w:szCs w:val="24"/>
              </w:rPr>
              <w:t>准备转托管的现券代码</w:t>
            </w:r>
          </w:p>
        </w:tc>
      </w:tr>
      <w:tr w14:paraId="50C1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3A851B">
            <w:pPr>
              <w:rPr>
                <w:rFonts w:ascii="仿宋_GB2312" w:hAnsi="宋体" w:eastAsia="仿宋_GB2312"/>
                <w:b/>
                <w:sz w:val="24"/>
                <w:szCs w:val="24"/>
              </w:rPr>
            </w:pPr>
            <w:r>
              <w:rPr>
                <w:rFonts w:hint="eastAsia" w:ascii="仿宋_GB2312" w:hAnsi="宋体" w:eastAsia="仿宋_GB2312"/>
                <w:b/>
                <w:sz w:val="24"/>
                <w:szCs w:val="24"/>
              </w:rPr>
              <w:t>证券简称</w:t>
            </w:r>
          </w:p>
        </w:tc>
        <w:tc>
          <w:tcPr>
            <w:tcW w:w="5109" w:type="dxa"/>
          </w:tcPr>
          <w:p w14:paraId="05898094">
            <w:pPr>
              <w:rPr>
                <w:rFonts w:ascii="仿宋_GB2312" w:hAnsi="宋体" w:eastAsia="仿宋_GB2312"/>
                <w:sz w:val="24"/>
                <w:szCs w:val="24"/>
              </w:rPr>
            </w:pPr>
            <w:r>
              <w:rPr>
                <w:rFonts w:hint="eastAsia" w:ascii="仿宋_GB2312" w:hAnsi="宋体" w:eastAsia="仿宋_GB2312"/>
                <w:sz w:val="24"/>
                <w:szCs w:val="24"/>
              </w:rPr>
              <w:t>准备转托管的现券简称</w:t>
            </w:r>
          </w:p>
        </w:tc>
      </w:tr>
      <w:tr w14:paraId="798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BD432B6">
            <w:pPr>
              <w:rPr>
                <w:rFonts w:ascii="仿宋_GB2312" w:hAnsi="宋体" w:eastAsia="仿宋_GB2312"/>
                <w:b/>
                <w:sz w:val="24"/>
                <w:szCs w:val="24"/>
              </w:rPr>
            </w:pPr>
            <w:r>
              <w:rPr>
                <w:rFonts w:hint="eastAsia" w:ascii="仿宋_GB2312" w:hAnsi="宋体" w:eastAsia="仿宋_GB2312"/>
                <w:b/>
                <w:sz w:val="24"/>
                <w:szCs w:val="24"/>
              </w:rPr>
              <w:t>数量</w:t>
            </w:r>
          </w:p>
        </w:tc>
        <w:tc>
          <w:tcPr>
            <w:tcW w:w="5109" w:type="dxa"/>
          </w:tcPr>
          <w:p w14:paraId="7F850029">
            <w:pPr>
              <w:rPr>
                <w:rFonts w:ascii="仿宋_GB2312" w:hAnsi="宋体" w:eastAsia="仿宋_GB2312"/>
                <w:sz w:val="24"/>
                <w:szCs w:val="24"/>
              </w:rPr>
            </w:pPr>
            <w:r>
              <w:rPr>
                <w:rFonts w:hint="eastAsia" w:ascii="仿宋_GB2312" w:hAnsi="宋体" w:eastAsia="仿宋_GB2312"/>
                <w:sz w:val="24"/>
                <w:szCs w:val="24"/>
              </w:rPr>
              <w:t>准备转托管的现券数量，以1000元面额为单位。</w:t>
            </w:r>
          </w:p>
        </w:tc>
      </w:tr>
      <w:tr w14:paraId="387B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25D3E91">
            <w:pPr>
              <w:rPr>
                <w:rFonts w:ascii="仿宋_GB2312" w:hAnsi="宋体" w:eastAsia="仿宋_GB2312"/>
                <w:b/>
                <w:sz w:val="24"/>
                <w:szCs w:val="24"/>
              </w:rPr>
            </w:pPr>
            <w:r>
              <w:rPr>
                <w:rFonts w:hint="eastAsia" w:ascii="仿宋_GB2312" w:hAnsi="宋体" w:eastAsia="仿宋_GB2312"/>
                <w:b/>
                <w:sz w:val="24"/>
                <w:szCs w:val="24"/>
              </w:rPr>
              <w:t>银行间托管账号</w:t>
            </w:r>
          </w:p>
        </w:tc>
        <w:tc>
          <w:tcPr>
            <w:tcW w:w="5109" w:type="dxa"/>
          </w:tcPr>
          <w:p w14:paraId="1194ADD9">
            <w:pPr>
              <w:rPr>
                <w:rFonts w:ascii="仿宋_GB2312" w:hAnsi="宋体" w:eastAsia="仿宋_GB2312"/>
                <w:sz w:val="24"/>
                <w:szCs w:val="24"/>
              </w:rPr>
            </w:pPr>
            <w:r>
              <w:rPr>
                <w:rFonts w:hint="eastAsia" w:ascii="仿宋_GB2312" w:hAnsi="宋体" w:eastAsia="仿宋_GB2312"/>
                <w:sz w:val="24"/>
                <w:szCs w:val="24"/>
              </w:rPr>
              <w:t>11位托管账号</w:t>
            </w:r>
          </w:p>
        </w:tc>
      </w:tr>
      <w:tr w14:paraId="2E5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888D1B">
            <w:pPr>
              <w:rPr>
                <w:rFonts w:ascii="仿宋_GB2312" w:hAnsi="宋体" w:eastAsia="仿宋_GB2312"/>
                <w:b/>
                <w:sz w:val="24"/>
                <w:szCs w:val="24"/>
              </w:rPr>
            </w:pPr>
            <w:r>
              <w:rPr>
                <w:rFonts w:hint="eastAsia" w:ascii="仿宋_GB2312" w:hAnsi="宋体" w:eastAsia="仿宋_GB2312"/>
                <w:b/>
                <w:sz w:val="24"/>
                <w:szCs w:val="24"/>
              </w:rPr>
              <w:t>证券账户</w:t>
            </w:r>
          </w:p>
        </w:tc>
        <w:tc>
          <w:tcPr>
            <w:tcW w:w="5109" w:type="dxa"/>
          </w:tcPr>
          <w:p w14:paraId="6CE441FC">
            <w:pPr>
              <w:rPr>
                <w:rFonts w:ascii="仿宋_GB2312" w:hAnsi="宋体" w:eastAsia="仿宋_GB2312"/>
                <w:sz w:val="24"/>
                <w:szCs w:val="24"/>
              </w:rPr>
            </w:pPr>
            <w:r>
              <w:rPr>
                <w:rFonts w:hint="eastAsia" w:ascii="仿宋_GB2312" w:hAnsi="宋体" w:eastAsia="仿宋_GB2312"/>
                <w:sz w:val="24"/>
                <w:szCs w:val="24"/>
              </w:rPr>
              <w:t>准备转托管的账号。从首席交易员为该交易员设定的可交易账号席位中选取，其中席位是根据所选账号自动填写的。</w:t>
            </w:r>
          </w:p>
        </w:tc>
      </w:tr>
    </w:tbl>
    <w:p w14:paraId="69AB558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债券转托管的申报数量应当为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6D8AA7C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债券投资者在债券挂牌上市后可通过固定收益平台发起转托管转出申报，国债和地方债到期或付息日前</w:t>
      </w:r>
      <w:r>
        <w:rPr>
          <w:rFonts w:ascii="仿宋_GB2312" w:hAnsi="宋体" w:eastAsia="仿宋_GB2312"/>
          <w:sz w:val="30"/>
          <w:szCs w:val="30"/>
        </w:rPr>
        <w:t>7个交易日暂停转出</w:t>
      </w:r>
      <w:r>
        <w:rPr>
          <w:rFonts w:hint="eastAsia" w:ascii="仿宋_GB2312" w:hAnsi="宋体" w:eastAsia="仿宋_GB2312"/>
          <w:sz w:val="30"/>
          <w:szCs w:val="30"/>
        </w:rPr>
        <w:t>申报，付息日后的第一个交易日恢复转托管申报。</w:t>
      </w:r>
    </w:p>
    <w:p w14:paraId="11C9C66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当日买入或跨市场转入的债券，当日可以提交转托管转出申请。当日提交的转托管申请，当日收盘前可以在转托管申报时间内撤销。</w:t>
      </w:r>
    </w:p>
    <w:p w14:paraId="59FAA862">
      <w:pPr>
        <w:numPr>
          <w:ilvl w:val="1"/>
          <w:numId w:val="4"/>
        </w:numPr>
        <w:spacing w:line="600" w:lineRule="exact"/>
        <w:ind w:left="0" w:firstLine="0"/>
        <w:outlineLvl w:val="1"/>
        <w:rPr>
          <w:rFonts w:ascii="仿宋_GB2312" w:eastAsia="仿宋_GB2312"/>
          <w:b/>
          <w:sz w:val="30"/>
          <w:szCs w:val="30"/>
        </w:rPr>
      </w:pPr>
      <w:bookmarkStart w:id="2307" w:name="_Toc151137061"/>
      <w:bookmarkStart w:id="2308" w:name="_Toc47467034"/>
      <w:bookmarkStart w:id="2309" w:name="_Toc56166300"/>
      <w:bookmarkStart w:id="2310" w:name="_Toc56166111"/>
      <w:r>
        <w:rPr>
          <w:rFonts w:hint="eastAsia" w:ascii="仿宋_GB2312" w:eastAsia="仿宋_GB2312"/>
          <w:b/>
          <w:sz w:val="30"/>
          <w:szCs w:val="30"/>
        </w:rPr>
        <w:t>核心交易</w:t>
      </w:r>
      <w:r>
        <w:rPr>
          <w:rFonts w:ascii="仿宋_GB2312" w:eastAsia="仿宋_GB2312"/>
          <w:b/>
          <w:sz w:val="30"/>
          <w:szCs w:val="30"/>
        </w:rPr>
        <w:t>系统备用通道</w:t>
      </w:r>
      <w:bookmarkEnd w:id="2307"/>
    </w:p>
    <w:p w14:paraId="5B01061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w:t>
      </w:r>
      <w:r>
        <w:rPr>
          <w:rFonts w:ascii="仿宋_GB2312" w:hAnsi="宋体" w:eastAsia="仿宋_GB2312"/>
          <w:sz w:val="30"/>
          <w:szCs w:val="30"/>
        </w:rPr>
        <w:t>交易平台核心系统备用通道</w:t>
      </w:r>
      <w:r>
        <w:rPr>
          <w:rFonts w:hint="eastAsia" w:ascii="仿宋_GB2312" w:hAnsi="宋体" w:eastAsia="仿宋_GB2312"/>
          <w:sz w:val="30"/>
          <w:szCs w:val="30"/>
        </w:rPr>
        <w:t>为</w:t>
      </w:r>
      <w:r>
        <w:rPr>
          <w:rFonts w:ascii="仿宋_GB2312" w:hAnsi="宋体" w:eastAsia="仿宋_GB2312"/>
          <w:sz w:val="30"/>
          <w:szCs w:val="30"/>
        </w:rPr>
        <w:t>综合业务平台的网页版申报</w:t>
      </w:r>
      <w:r>
        <w:rPr>
          <w:rFonts w:hint="eastAsia" w:ascii="仿宋_GB2312" w:hAnsi="宋体" w:eastAsia="仿宋_GB2312"/>
          <w:sz w:val="30"/>
          <w:szCs w:val="30"/>
        </w:rPr>
        <w:t>渠道</w:t>
      </w:r>
      <w:r>
        <w:rPr>
          <w:rFonts w:ascii="仿宋_GB2312" w:hAnsi="宋体" w:eastAsia="仿宋_GB2312"/>
          <w:sz w:val="30"/>
          <w:szCs w:val="30"/>
        </w:rPr>
        <w:t>，</w:t>
      </w:r>
      <w:r>
        <w:rPr>
          <w:rFonts w:hint="eastAsia" w:ascii="仿宋_GB2312" w:hAnsi="宋体" w:eastAsia="仿宋_GB2312"/>
          <w:sz w:val="30"/>
          <w:szCs w:val="30"/>
        </w:rPr>
        <w:t>债券</w:t>
      </w:r>
      <w:r>
        <w:rPr>
          <w:rFonts w:ascii="仿宋_GB2312" w:hAnsi="宋体" w:eastAsia="仿宋_GB2312"/>
          <w:sz w:val="30"/>
          <w:szCs w:val="30"/>
        </w:rPr>
        <w:t>投资者</w:t>
      </w:r>
      <w:r>
        <w:rPr>
          <w:rFonts w:hint="eastAsia" w:ascii="仿宋_GB2312" w:hAnsi="宋体" w:eastAsia="仿宋_GB2312"/>
          <w:sz w:val="30"/>
          <w:szCs w:val="30"/>
        </w:rPr>
        <w:t>可以</w:t>
      </w:r>
      <w:r>
        <w:rPr>
          <w:rFonts w:ascii="仿宋_GB2312" w:hAnsi="宋体" w:eastAsia="仿宋_GB2312"/>
          <w:sz w:val="30"/>
          <w:szCs w:val="30"/>
        </w:rPr>
        <w:t>通过</w:t>
      </w:r>
      <w:r>
        <w:rPr>
          <w:rFonts w:hint="eastAsia" w:ascii="仿宋_GB2312" w:hAnsi="宋体" w:eastAsia="仿宋_GB2312"/>
          <w:sz w:val="30"/>
          <w:szCs w:val="30"/>
        </w:rPr>
        <w:t>互联网</w:t>
      </w:r>
      <w:r>
        <w:rPr>
          <w:rFonts w:ascii="仿宋_GB2312" w:hAnsi="宋体" w:eastAsia="仿宋_GB2312"/>
          <w:sz w:val="30"/>
          <w:szCs w:val="30"/>
        </w:rPr>
        <w:t>交易平台核心系统备用通道申报指定</w:t>
      </w:r>
      <w:r>
        <w:rPr>
          <w:rFonts w:hint="eastAsia" w:ascii="仿宋_GB2312" w:hAnsi="宋体" w:eastAsia="仿宋_GB2312"/>
          <w:sz w:val="30"/>
          <w:szCs w:val="30"/>
        </w:rPr>
        <w:t>交易</w:t>
      </w:r>
      <w:r>
        <w:rPr>
          <w:rFonts w:ascii="仿宋_GB2312" w:hAnsi="宋体" w:eastAsia="仿宋_GB2312"/>
          <w:sz w:val="30"/>
          <w:szCs w:val="30"/>
        </w:rPr>
        <w:t>、撤销指定交易</w:t>
      </w:r>
      <w:r>
        <w:rPr>
          <w:rFonts w:hint="eastAsia" w:ascii="仿宋_GB2312" w:hAnsi="宋体" w:eastAsia="仿宋_GB2312"/>
          <w:sz w:val="30"/>
          <w:szCs w:val="30"/>
        </w:rPr>
        <w:t>、质押券</w:t>
      </w:r>
      <w:r>
        <w:rPr>
          <w:rFonts w:ascii="仿宋_GB2312" w:hAnsi="宋体" w:eastAsia="仿宋_GB2312"/>
          <w:sz w:val="30"/>
          <w:szCs w:val="30"/>
        </w:rPr>
        <w:t>出入库、</w:t>
      </w:r>
      <w:r>
        <w:rPr>
          <w:rFonts w:hint="eastAsia" w:ascii="仿宋_GB2312" w:hAnsi="宋体" w:eastAsia="仿宋_GB2312"/>
          <w:sz w:val="30"/>
          <w:szCs w:val="30"/>
        </w:rPr>
        <w:t>公募债</w:t>
      </w:r>
      <w:r>
        <w:rPr>
          <w:rFonts w:ascii="仿宋_GB2312" w:hAnsi="宋体" w:eastAsia="仿宋_GB2312"/>
          <w:sz w:val="30"/>
          <w:szCs w:val="30"/>
        </w:rPr>
        <w:t>回售、</w:t>
      </w:r>
      <w:r>
        <w:rPr>
          <w:rFonts w:hint="eastAsia" w:ascii="仿宋_GB2312" w:hAnsi="宋体" w:eastAsia="仿宋_GB2312"/>
          <w:sz w:val="30"/>
          <w:szCs w:val="30"/>
        </w:rPr>
        <w:t>可转债</w:t>
      </w:r>
      <w:r>
        <w:rPr>
          <w:rFonts w:ascii="仿宋_GB2312" w:hAnsi="宋体" w:eastAsia="仿宋_GB2312"/>
          <w:sz w:val="30"/>
          <w:szCs w:val="30"/>
        </w:rPr>
        <w:t>转股、</w:t>
      </w:r>
      <w:r>
        <w:rPr>
          <w:rFonts w:hint="eastAsia" w:ascii="仿宋_GB2312" w:hAnsi="宋体" w:eastAsia="仿宋_GB2312"/>
          <w:sz w:val="30"/>
          <w:szCs w:val="30"/>
        </w:rPr>
        <w:t>可交换债换股</w:t>
      </w:r>
      <w:r>
        <w:rPr>
          <w:rFonts w:ascii="仿宋_GB2312" w:hAnsi="宋体" w:eastAsia="仿宋_GB2312"/>
          <w:sz w:val="30"/>
          <w:szCs w:val="30"/>
        </w:rPr>
        <w:t>、</w:t>
      </w:r>
      <w:r>
        <w:rPr>
          <w:rFonts w:hint="eastAsia" w:ascii="仿宋_GB2312" w:hAnsi="宋体" w:eastAsia="仿宋_GB2312"/>
          <w:sz w:val="30"/>
          <w:szCs w:val="30"/>
        </w:rPr>
        <w:t>债券ETF申赎</w:t>
      </w:r>
      <w:r>
        <w:rPr>
          <w:rFonts w:ascii="仿宋_GB2312" w:hAnsi="宋体" w:eastAsia="仿宋_GB2312"/>
          <w:sz w:val="30"/>
          <w:szCs w:val="30"/>
        </w:rPr>
        <w:t>等业务。</w:t>
      </w:r>
    </w:p>
    <w:p w14:paraId="3BF3BF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核心系统备用通道为网页服务，本所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可通过互联网和交易专网访问。</w:t>
      </w:r>
    </w:p>
    <w:p w14:paraId="7D2EB85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互联网地址：https://iitp.uap.sse.com.cn/otcbnt/</w:t>
      </w:r>
    </w:p>
    <w:p w14:paraId="43A21A6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专网地址：http://180.7.37.3/otcbnt/（陆家嘴站点）</w:t>
      </w:r>
    </w:p>
    <w:p w14:paraId="6928591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http://180.7.167.3/otcbnt/（外高桥站点）</w:t>
      </w:r>
    </w:p>
    <w:p w14:paraId="6DE168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40060DB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技术服务热线：4009003600</w:t>
      </w:r>
    </w:p>
    <w:p w14:paraId="3968104C">
      <w:pPr>
        <w:numPr>
          <w:ilvl w:val="0"/>
          <w:numId w:val="4"/>
        </w:numPr>
        <w:outlineLvl w:val="0"/>
        <w:rPr>
          <w:b/>
          <w:sz w:val="36"/>
        </w:rPr>
      </w:pPr>
      <w:r>
        <w:rPr>
          <w:rFonts w:ascii="仿宋_GB2312" w:hAnsi="宋体" w:eastAsia="仿宋_GB2312"/>
          <w:sz w:val="30"/>
          <w:szCs w:val="30"/>
        </w:rPr>
        <w:br w:type="page"/>
      </w:r>
      <w:bookmarkStart w:id="2311" w:name="_Toc151137062"/>
      <w:r>
        <w:rPr>
          <w:rFonts w:hint="eastAsia" w:ascii="黑体" w:hAnsi="黑体" w:eastAsia="黑体" w:cs="黑体"/>
          <w:b/>
          <w:sz w:val="36"/>
        </w:rPr>
        <w:t>债券行情展示</w:t>
      </w:r>
      <w:bookmarkEnd w:id="2308"/>
      <w:bookmarkEnd w:id="2309"/>
      <w:bookmarkEnd w:id="2310"/>
      <w:bookmarkEnd w:id="2311"/>
      <w:bookmarkStart w:id="2312" w:name="_Toc44604373"/>
      <w:bookmarkEnd w:id="2312"/>
      <w:bookmarkStart w:id="2313" w:name="_Toc44666411"/>
      <w:bookmarkEnd w:id="2313"/>
      <w:bookmarkStart w:id="2314" w:name="_Toc44604460"/>
      <w:bookmarkEnd w:id="2314"/>
      <w:bookmarkStart w:id="2315" w:name="_Toc47467035"/>
      <w:bookmarkEnd w:id="2315"/>
      <w:bookmarkStart w:id="2316" w:name="_Toc44661485"/>
      <w:bookmarkEnd w:id="2316"/>
      <w:bookmarkStart w:id="2317" w:name="_Toc44688495"/>
      <w:bookmarkEnd w:id="2317"/>
      <w:bookmarkStart w:id="2318" w:name="_Toc44666370"/>
      <w:bookmarkEnd w:id="2318"/>
    </w:p>
    <w:p w14:paraId="6CD24286">
      <w:pPr>
        <w:numPr>
          <w:ilvl w:val="1"/>
          <w:numId w:val="4"/>
        </w:numPr>
        <w:spacing w:line="600" w:lineRule="exact"/>
        <w:ind w:left="0" w:firstLine="0"/>
        <w:outlineLvl w:val="1"/>
        <w:rPr>
          <w:rFonts w:ascii="仿宋_GB2312" w:eastAsia="仿宋_GB2312"/>
          <w:b/>
          <w:sz w:val="30"/>
          <w:szCs w:val="30"/>
        </w:rPr>
      </w:pPr>
      <w:bookmarkStart w:id="2319" w:name="_Toc44688497"/>
      <w:bookmarkEnd w:id="2319"/>
      <w:bookmarkStart w:id="2320" w:name="_Toc44604462"/>
      <w:bookmarkEnd w:id="2320"/>
      <w:bookmarkStart w:id="2321" w:name="_Toc44604375"/>
      <w:bookmarkEnd w:id="2321"/>
      <w:bookmarkStart w:id="2322" w:name="_Toc44666372"/>
      <w:bookmarkEnd w:id="2322"/>
      <w:bookmarkStart w:id="2323" w:name="_Toc44661487"/>
      <w:bookmarkEnd w:id="2323"/>
      <w:bookmarkStart w:id="2324" w:name="_Toc44666413"/>
      <w:bookmarkEnd w:id="2324"/>
      <w:bookmarkStart w:id="2325" w:name="_Toc56166112"/>
      <w:bookmarkStart w:id="2326" w:name="_Toc56166301"/>
      <w:bookmarkStart w:id="2327" w:name="_Toc151137063"/>
      <w:bookmarkStart w:id="2328" w:name="_Toc47467036"/>
      <w:r>
        <w:rPr>
          <w:rFonts w:hint="eastAsia" w:ascii="仿宋_GB2312" w:eastAsia="仿宋_GB2312"/>
          <w:b/>
          <w:sz w:val="30"/>
          <w:szCs w:val="30"/>
        </w:rPr>
        <w:t>概述</w:t>
      </w:r>
      <w:bookmarkEnd w:id="2325"/>
      <w:bookmarkEnd w:id="2326"/>
      <w:bookmarkEnd w:id="2327"/>
      <w:bookmarkEnd w:id="2328"/>
    </w:p>
    <w:p w14:paraId="5C82A57C">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本所或者本所授权机构在每个交易日向全市场发布债券交易申报信息、债券交易成交信息、债券市场基础信息、债券指数、债券收益率曲线等信息。前述发布信息具体</w:t>
      </w:r>
      <w:bookmarkStart w:id="2329" w:name="_Toc37431266"/>
      <w:bookmarkStart w:id="2330" w:name="_Toc37431267"/>
      <w:r>
        <w:rPr>
          <w:rFonts w:hint="eastAsia" w:ascii="仿宋_GB2312" w:hAnsi="宋体" w:eastAsia="仿宋_GB2312"/>
          <w:sz w:val="30"/>
          <w:szCs w:val="30"/>
        </w:rPr>
        <w:t>可分为实时数据</w:t>
      </w:r>
      <w:bookmarkEnd w:id="2329"/>
      <w:bookmarkEnd w:id="2330"/>
      <w:bookmarkStart w:id="2331" w:name="_Toc37431298"/>
      <w:r>
        <w:rPr>
          <w:rFonts w:hint="eastAsia" w:ascii="仿宋_GB2312" w:hAnsi="宋体" w:eastAsia="仿宋_GB2312"/>
          <w:sz w:val="30"/>
          <w:szCs w:val="30"/>
        </w:rPr>
        <w:t>、统计行情</w:t>
      </w:r>
      <w:bookmarkEnd w:id="2331"/>
      <w:r>
        <w:rPr>
          <w:rFonts w:hint="eastAsia" w:ascii="仿宋_GB2312" w:hAnsi="宋体" w:eastAsia="仿宋_GB2312"/>
          <w:sz w:val="30"/>
          <w:szCs w:val="30"/>
        </w:rPr>
        <w:t>、</w:t>
      </w:r>
      <w:bookmarkStart w:id="2332" w:name="_Toc37431308"/>
      <w:r>
        <w:rPr>
          <w:rFonts w:hint="eastAsia" w:ascii="仿宋_GB2312" w:hAnsi="宋体" w:eastAsia="仿宋_GB2312"/>
          <w:sz w:val="30"/>
          <w:szCs w:val="30"/>
        </w:rPr>
        <w:t>参考数据</w:t>
      </w:r>
      <w:bookmarkEnd w:id="2332"/>
      <w:r>
        <w:rPr>
          <w:rFonts w:hint="eastAsia" w:ascii="仿宋_GB2312" w:hAnsi="宋体" w:eastAsia="仿宋_GB2312"/>
          <w:sz w:val="30"/>
          <w:szCs w:val="30"/>
        </w:rPr>
        <w:t>三种类型。本所授权机构的公示信息请至上证所信息网络有限公司官网（</w:t>
      </w:r>
      <w:r>
        <w:rPr>
          <w:rFonts w:ascii="仿宋_GB2312" w:hAnsi="宋体" w:eastAsia="仿宋_GB2312"/>
          <w:sz w:val="30"/>
          <w:szCs w:val="30"/>
        </w:rPr>
        <w:t>https://www.sseinfo.com/</w:t>
      </w:r>
      <w:r>
        <w:rPr>
          <w:rFonts w:hint="eastAsia" w:ascii="仿宋_GB2312" w:hAnsi="宋体" w:eastAsia="仿宋_GB2312"/>
          <w:sz w:val="30"/>
          <w:szCs w:val="30"/>
        </w:rPr>
        <w:t>）查询。具体行情发布内容，以行情商发布的行情信息为准。</w:t>
      </w:r>
    </w:p>
    <w:p w14:paraId="225C12F3">
      <w:pPr>
        <w:numPr>
          <w:ilvl w:val="1"/>
          <w:numId w:val="4"/>
        </w:numPr>
        <w:spacing w:line="600" w:lineRule="exact"/>
        <w:ind w:left="0" w:firstLine="0"/>
        <w:outlineLvl w:val="1"/>
        <w:rPr>
          <w:rFonts w:ascii="仿宋_GB2312" w:eastAsia="仿宋_GB2312"/>
          <w:b/>
          <w:sz w:val="30"/>
          <w:szCs w:val="30"/>
        </w:rPr>
      </w:pPr>
      <w:bookmarkStart w:id="2333" w:name="_Toc47428408"/>
      <w:bookmarkEnd w:id="2333"/>
      <w:bookmarkStart w:id="2334" w:name="_Toc47428409"/>
      <w:bookmarkEnd w:id="2334"/>
      <w:bookmarkStart w:id="2335" w:name="_Toc47467037"/>
      <w:bookmarkEnd w:id="2335"/>
      <w:bookmarkStart w:id="2336" w:name="_Toc47427142"/>
      <w:bookmarkEnd w:id="2336"/>
      <w:bookmarkStart w:id="2337" w:name="_Toc47458427"/>
      <w:bookmarkEnd w:id="2337"/>
      <w:bookmarkStart w:id="2338" w:name="_Toc47427141"/>
      <w:bookmarkEnd w:id="2338"/>
      <w:bookmarkStart w:id="2339" w:name="_Toc47465924"/>
      <w:bookmarkEnd w:id="2339"/>
      <w:bookmarkStart w:id="2340" w:name="_Toc47467038"/>
      <w:bookmarkEnd w:id="2340"/>
      <w:bookmarkStart w:id="2341" w:name="_Toc47465925"/>
      <w:bookmarkEnd w:id="2341"/>
      <w:bookmarkStart w:id="2342" w:name="_Toc47458428"/>
      <w:bookmarkEnd w:id="2342"/>
      <w:bookmarkStart w:id="2343" w:name="_Toc47467039"/>
      <w:bookmarkStart w:id="2344" w:name="_Toc151137064"/>
      <w:bookmarkStart w:id="2345" w:name="_Toc56166113"/>
      <w:bookmarkStart w:id="2346" w:name="_Toc56166302"/>
      <w:r>
        <w:rPr>
          <w:rFonts w:hint="eastAsia" w:ascii="仿宋_GB2312" w:eastAsia="仿宋_GB2312"/>
          <w:b/>
          <w:sz w:val="30"/>
          <w:szCs w:val="30"/>
        </w:rPr>
        <w:t>实时数据</w:t>
      </w:r>
      <w:bookmarkEnd w:id="2343"/>
      <w:bookmarkEnd w:id="2344"/>
      <w:bookmarkEnd w:id="2345"/>
      <w:bookmarkEnd w:id="2346"/>
    </w:p>
    <w:p w14:paraId="2142491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实时数据是指本所或者本所授权机构在交易时间向全市场实时发布的申报和成交数据。实时数据包括实时截片行情、逐笔申报行情、逐笔成交行情。</w:t>
      </w:r>
    </w:p>
    <w:p w14:paraId="2FD02094">
      <w:pPr>
        <w:numPr>
          <w:ilvl w:val="2"/>
          <w:numId w:val="4"/>
        </w:numPr>
        <w:spacing w:line="600" w:lineRule="exact"/>
        <w:ind w:left="0" w:firstLine="0"/>
        <w:outlineLvl w:val="2"/>
        <w:rPr>
          <w:rFonts w:ascii="仿宋_GB2312" w:eastAsia="仿宋_GB2312"/>
          <w:b/>
          <w:sz w:val="30"/>
          <w:szCs w:val="30"/>
        </w:rPr>
      </w:pPr>
      <w:bookmarkStart w:id="2347" w:name="_Toc47467041"/>
      <w:r>
        <w:rPr>
          <w:rFonts w:hint="eastAsia" w:ascii="仿宋_GB2312" w:eastAsia="仿宋_GB2312"/>
          <w:b/>
          <w:sz w:val="30"/>
          <w:szCs w:val="30"/>
        </w:rPr>
        <w:t>实时截片行情</w:t>
      </w:r>
      <w:bookmarkEnd w:id="2347"/>
    </w:p>
    <w:p w14:paraId="4A827B23">
      <w:pPr>
        <w:spacing w:line="600" w:lineRule="exact"/>
        <w:ind w:firstLine="564" w:firstLineChars="188"/>
        <w:rPr>
          <w:rFonts w:ascii="仿宋_GB2312" w:hAnsi="宋体" w:eastAsia="仿宋_GB2312"/>
          <w:sz w:val="30"/>
          <w:szCs w:val="30"/>
        </w:rPr>
      </w:pPr>
      <w:r>
        <w:rPr>
          <w:rFonts w:hint="eastAsia" w:ascii="仿宋_GB2312" w:eastAsia="仿宋_GB2312"/>
          <w:color w:val="000000"/>
          <w:sz w:val="30"/>
          <w:szCs w:val="30"/>
        </w:rPr>
        <w:t>本所以</w:t>
      </w:r>
      <w:r>
        <w:rPr>
          <w:rFonts w:hint="eastAsia" w:ascii="仿宋_GB2312" w:hAnsi="Calibri" w:eastAsia="仿宋_GB2312"/>
          <w:sz w:val="30"/>
          <w:szCs w:val="30"/>
        </w:rPr>
        <w:t>实时截片行情形式</w:t>
      </w:r>
      <w:r>
        <w:rPr>
          <w:rFonts w:hint="eastAsia" w:ascii="仿宋_GB2312" w:hAnsi="宋体" w:eastAsia="仿宋_GB2312"/>
          <w:sz w:val="30"/>
          <w:szCs w:val="30"/>
        </w:rPr>
        <w:t>向市场实时发布债券现券、通用回购和国债预发行的匹配成交申报信息。</w:t>
      </w:r>
    </w:p>
    <w:p w14:paraId="2717D2F8">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默认情况下，本所发布的行情为Level1行情（下文如无特别说明，所指均为Level1行情）。投资者对行情有进一步需求的，可购买Level2行情。相比Level1行情，Level2行情将匹配成交的</w:t>
      </w:r>
      <w:r>
        <w:rPr>
          <w:rFonts w:hint="eastAsia" w:ascii="仿宋_GB2312" w:hAnsi="宋体" w:eastAsia="仿宋_GB2312" w:cs="宋体"/>
          <w:kern w:val="0"/>
          <w:sz w:val="30"/>
          <w:szCs w:val="30"/>
        </w:rPr>
        <w:t>五档行情信息扩充到十档行情，新增逐笔成交数据等增值信息。</w:t>
      </w:r>
    </w:p>
    <w:p w14:paraId="50A3BA0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62446CC4">
      <w:pPr>
        <w:spacing w:line="600" w:lineRule="exact"/>
        <w:ind w:firstLine="564" w:firstLineChars="188"/>
        <w:rPr>
          <w:rFonts w:ascii="仿宋_GB2312" w:hAnsi="Calibri" w:eastAsia="仿宋_GB2312"/>
          <w:sz w:val="30"/>
          <w:szCs w:val="30"/>
        </w:rPr>
      </w:pPr>
      <w:r>
        <w:rPr>
          <w:rFonts w:hint="eastAsia" w:ascii="仿宋_GB2312" w:hAnsi="宋体" w:eastAsia="仿宋_GB2312"/>
          <w:sz w:val="30"/>
          <w:szCs w:val="30"/>
        </w:rPr>
        <w:t>本所在每个交易日的交易时间内，向全市场公开发布通过匹配成交交易方式提交的债券现券交易的实时截片行情。</w:t>
      </w:r>
    </w:p>
    <w:p w14:paraId="4D8FADE6">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1）集合匹配</w:t>
      </w:r>
    </w:p>
    <w:p w14:paraId="5006F67C">
      <w:pPr>
        <w:spacing w:line="600" w:lineRule="exact"/>
        <w:ind w:firstLine="564" w:firstLineChars="188"/>
        <w:jc w:val="left"/>
        <w:rPr>
          <w:rFonts w:ascii="仿宋_GB2312" w:hAnsi="宋体" w:eastAsia="仿宋_GB2312"/>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ascii="仿宋_GB2312" w:hAnsi="宋体" w:eastAsia="仿宋_GB2312" w:cs="宋体"/>
          <w:kern w:val="0"/>
          <w:sz w:val="30"/>
          <w:szCs w:val="30"/>
        </w:rPr>
        <w:t>债券现券的虚拟匹配结果</w:t>
      </w:r>
      <w:r>
        <w:rPr>
          <w:rFonts w:hint="eastAsia" w:ascii="仿宋_GB2312" w:hAnsi="宋体" w:eastAsia="仿宋_GB2312" w:cs="宋体"/>
          <w:kern w:val="0"/>
          <w:sz w:val="30"/>
          <w:szCs w:val="30"/>
        </w:rPr>
        <w:t>，</w:t>
      </w:r>
      <w:r>
        <w:rPr>
          <w:rFonts w:hint="eastAsia" w:ascii="仿宋_GB2312" w:hAnsi="宋体" w:eastAsia="仿宋_GB2312"/>
          <w:sz w:val="30"/>
          <w:szCs w:val="30"/>
        </w:rPr>
        <w:t>前述截片行情信息包括前收盘价格、虚拟开盘价、虚拟匹配量、虚拟未匹配量、申报方向</w:t>
      </w:r>
      <w:r>
        <w:rPr>
          <w:rFonts w:hint="eastAsia" w:ascii="仿宋_GB2312" w:hAnsi="仿宋" w:eastAsia="仿宋_GB2312"/>
          <w:sz w:val="30"/>
          <w:szCs w:val="30"/>
        </w:rPr>
        <w:t>等内容。具体如下</w:t>
      </w:r>
      <w:r>
        <w:rPr>
          <w:rFonts w:hint="eastAsia" w:ascii="仿宋_GB2312" w:hAnsi="宋体" w:eastAsia="仿宋_GB2312"/>
          <w:sz w:val="30"/>
          <w:szCs w:val="30"/>
        </w:rPr>
        <w:t>：</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629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D9D9D9"/>
          </w:tcPr>
          <w:p w14:paraId="562182BA">
            <w:pPr>
              <w:rPr>
                <w:rFonts w:ascii="仿宋_GB2312" w:eastAsia="仿宋_GB2312"/>
                <w:b/>
                <w:sz w:val="24"/>
                <w:szCs w:val="24"/>
              </w:rPr>
            </w:pPr>
            <w:r>
              <w:rPr>
                <w:rFonts w:hint="eastAsia" w:ascii="仿宋_GB2312" w:eastAsia="仿宋_GB2312"/>
                <w:b/>
                <w:sz w:val="24"/>
                <w:szCs w:val="24"/>
              </w:rPr>
              <w:t>要素名称</w:t>
            </w:r>
          </w:p>
        </w:tc>
        <w:tc>
          <w:tcPr>
            <w:tcW w:w="6713" w:type="dxa"/>
            <w:shd w:val="clear" w:color="auto" w:fill="D9D9D9"/>
          </w:tcPr>
          <w:p w14:paraId="2FFE37B8">
            <w:pPr>
              <w:rPr>
                <w:rFonts w:ascii="仿宋_GB2312" w:eastAsia="仿宋_GB2312"/>
                <w:b/>
                <w:sz w:val="24"/>
                <w:szCs w:val="24"/>
              </w:rPr>
            </w:pPr>
            <w:r>
              <w:rPr>
                <w:rFonts w:hint="eastAsia" w:ascii="仿宋_GB2312" w:eastAsia="仿宋_GB2312"/>
                <w:b/>
                <w:sz w:val="24"/>
                <w:szCs w:val="24"/>
              </w:rPr>
              <w:t>要素说明</w:t>
            </w:r>
          </w:p>
        </w:tc>
      </w:tr>
      <w:tr w14:paraId="28AA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57095A">
            <w:pPr>
              <w:rPr>
                <w:rFonts w:ascii="仿宋_GB2312" w:eastAsia="仿宋_GB2312"/>
                <w:b/>
                <w:sz w:val="24"/>
                <w:szCs w:val="24"/>
              </w:rPr>
            </w:pPr>
            <w:r>
              <w:rPr>
                <w:rFonts w:hint="eastAsia" w:ascii="仿宋_GB2312" w:eastAsia="仿宋_GB2312"/>
                <w:b/>
                <w:sz w:val="24"/>
                <w:szCs w:val="24"/>
              </w:rPr>
              <w:t>证券代码</w:t>
            </w:r>
          </w:p>
        </w:tc>
        <w:tc>
          <w:tcPr>
            <w:tcW w:w="6713" w:type="dxa"/>
            <w:vAlign w:val="center"/>
          </w:tcPr>
          <w:p w14:paraId="11DF3EF0">
            <w:pPr>
              <w:rPr>
                <w:rFonts w:ascii="仿宋_GB2312" w:eastAsia="仿宋_GB2312"/>
                <w:sz w:val="24"/>
                <w:szCs w:val="24"/>
              </w:rPr>
            </w:pPr>
            <w:r>
              <w:rPr>
                <w:rFonts w:hint="eastAsia" w:ascii="仿宋_GB2312" w:eastAsia="仿宋_GB2312"/>
                <w:sz w:val="24"/>
                <w:szCs w:val="24"/>
              </w:rPr>
              <w:t>债券代码</w:t>
            </w:r>
          </w:p>
        </w:tc>
      </w:tr>
      <w:tr w14:paraId="6E7C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F00B020">
            <w:pPr>
              <w:rPr>
                <w:rFonts w:ascii="仿宋_GB2312" w:eastAsia="仿宋_GB2312"/>
                <w:b/>
                <w:sz w:val="24"/>
                <w:szCs w:val="24"/>
              </w:rPr>
            </w:pPr>
            <w:r>
              <w:rPr>
                <w:rFonts w:hint="eastAsia" w:ascii="仿宋_GB2312" w:eastAsia="仿宋_GB2312"/>
                <w:b/>
                <w:sz w:val="24"/>
                <w:szCs w:val="24"/>
              </w:rPr>
              <w:t>证券简称</w:t>
            </w:r>
          </w:p>
        </w:tc>
        <w:tc>
          <w:tcPr>
            <w:tcW w:w="6713" w:type="dxa"/>
            <w:vAlign w:val="center"/>
          </w:tcPr>
          <w:p w14:paraId="46B3A6D8">
            <w:pPr>
              <w:rPr>
                <w:rFonts w:ascii="仿宋_GB2312" w:eastAsia="仿宋_GB2312"/>
                <w:sz w:val="24"/>
                <w:szCs w:val="24"/>
              </w:rPr>
            </w:pPr>
            <w:r>
              <w:rPr>
                <w:rFonts w:hint="eastAsia" w:ascii="仿宋_GB2312" w:eastAsia="仿宋_GB2312"/>
                <w:sz w:val="24"/>
                <w:szCs w:val="24"/>
              </w:rPr>
              <w:t>债券简称</w:t>
            </w:r>
          </w:p>
        </w:tc>
      </w:tr>
      <w:tr w14:paraId="0573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7C518EBF">
            <w:pPr>
              <w:rPr>
                <w:rFonts w:ascii="仿宋_GB2312" w:eastAsia="仿宋_GB2312"/>
                <w:b/>
                <w:sz w:val="24"/>
                <w:szCs w:val="24"/>
              </w:rPr>
            </w:pPr>
            <w:r>
              <w:rPr>
                <w:rFonts w:hint="eastAsia" w:ascii="仿宋_GB2312" w:eastAsia="仿宋_GB2312"/>
                <w:b/>
                <w:sz w:val="24"/>
                <w:szCs w:val="24"/>
              </w:rPr>
              <w:t>交易日期</w:t>
            </w:r>
          </w:p>
        </w:tc>
        <w:tc>
          <w:tcPr>
            <w:tcW w:w="6713" w:type="dxa"/>
          </w:tcPr>
          <w:p w14:paraId="1A3281C0">
            <w:pPr>
              <w:rPr>
                <w:rFonts w:ascii="仿宋_GB2312" w:eastAsia="仿宋_GB2312"/>
                <w:sz w:val="24"/>
                <w:szCs w:val="24"/>
              </w:rPr>
            </w:pPr>
            <w:r>
              <w:rPr>
                <w:rFonts w:hint="eastAsia" w:ascii="仿宋_GB2312" w:eastAsia="仿宋_GB2312"/>
                <w:sz w:val="24"/>
                <w:szCs w:val="24"/>
              </w:rPr>
              <w:t>年月日</w:t>
            </w:r>
          </w:p>
        </w:tc>
      </w:tr>
      <w:tr w14:paraId="7D6A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856D2D1">
            <w:pPr>
              <w:rPr>
                <w:rFonts w:ascii="仿宋_GB2312" w:eastAsia="仿宋_GB2312"/>
                <w:b/>
                <w:sz w:val="24"/>
                <w:szCs w:val="24"/>
              </w:rPr>
            </w:pPr>
            <w:r>
              <w:rPr>
                <w:rFonts w:hint="eastAsia" w:ascii="仿宋_GB2312" w:eastAsia="仿宋_GB2312"/>
                <w:b/>
                <w:sz w:val="24"/>
                <w:szCs w:val="24"/>
              </w:rPr>
              <w:t>交易时间</w:t>
            </w:r>
          </w:p>
        </w:tc>
        <w:tc>
          <w:tcPr>
            <w:tcW w:w="6713" w:type="dxa"/>
          </w:tcPr>
          <w:p w14:paraId="313E790E">
            <w:pPr>
              <w:rPr>
                <w:rFonts w:ascii="仿宋_GB2312" w:eastAsia="仿宋_GB2312"/>
                <w:sz w:val="24"/>
                <w:szCs w:val="24"/>
              </w:rPr>
            </w:pPr>
            <w:r>
              <w:rPr>
                <w:rFonts w:hint="eastAsia" w:ascii="仿宋_GB2312" w:eastAsia="仿宋_GB2312"/>
                <w:sz w:val="24"/>
                <w:szCs w:val="24"/>
              </w:rPr>
              <w:t xml:space="preserve">时分秒   </w:t>
            </w:r>
          </w:p>
        </w:tc>
      </w:tr>
      <w:tr w14:paraId="4E81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00A4C4">
            <w:pPr>
              <w:rPr>
                <w:rFonts w:ascii="仿宋_GB2312" w:eastAsia="仿宋_GB2312"/>
                <w:b/>
                <w:sz w:val="24"/>
                <w:szCs w:val="24"/>
              </w:rPr>
            </w:pPr>
            <w:r>
              <w:rPr>
                <w:rFonts w:hint="eastAsia" w:ascii="仿宋_GB2312" w:eastAsia="仿宋_GB2312"/>
                <w:b/>
                <w:sz w:val="24"/>
                <w:szCs w:val="24"/>
              </w:rPr>
              <w:t>前收盘价格</w:t>
            </w:r>
          </w:p>
        </w:tc>
        <w:tc>
          <w:tcPr>
            <w:tcW w:w="6713" w:type="dxa"/>
            <w:vAlign w:val="center"/>
          </w:tcPr>
          <w:p w14:paraId="67559A82">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36E6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B4ABDF7">
            <w:pPr>
              <w:rPr>
                <w:rFonts w:ascii="仿宋_GB2312" w:eastAsia="仿宋_GB2312"/>
                <w:b/>
                <w:sz w:val="24"/>
                <w:szCs w:val="24"/>
              </w:rPr>
            </w:pPr>
            <w:r>
              <w:rPr>
                <w:rFonts w:hint="eastAsia" w:ascii="仿宋_GB2312" w:eastAsia="仿宋_GB2312"/>
                <w:b/>
                <w:sz w:val="24"/>
                <w:szCs w:val="24"/>
              </w:rPr>
              <w:t>虚拟开盘价</w:t>
            </w:r>
          </w:p>
        </w:tc>
        <w:tc>
          <w:tcPr>
            <w:tcW w:w="6713" w:type="dxa"/>
            <w:vAlign w:val="center"/>
          </w:tcPr>
          <w:p w14:paraId="6426782B">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位小数）；仅包括匹配成交申报方式计算出的开盘价。</w:t>
            </w:r>
          </w:p>
        </w:tc>
      </w:tr>
      <w:tr w14:paraId="0ED1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2F0A4D51">
            <w:pPr>
              <w:rPr>
                <w:rFonts w:ascii="仿宋_GB2312" w:eastAsia="仿宋_GB2312"/>
                <w:b/>
                <w:sz w:val="24"/>
                <w:szCs w:val="24"/>
              </w:rPr>
            </w:pPr>
            <w:r>
              <w:rPr>
                <w:rFonts w:hint="eastAsia" w:ascii="仿宋_GB2312" w:eastAsia="仿宋_GB2312"/>
                <w:b/>
                <w:sz w:val="24"/>
                <w:szCs w:val="24"/>
              </w:rPr>
              <w:t>虚拟匹配量</w:t>
            </w:r>
          </w:p>
        </w:tc>
        <w:tc>
          <w:tcPr>
            <w:tcW w:w="6713" w:type="dxa"/>
            <w:vAlign w:val="center"/>
          </w:tcPr>
          <w:p w14:paraId="6CCE2F20">
            <w:pPr>
              <w:rPr>
                <w:rFonts w:ascii="仿宋_GB2312" w:eastAsia="仿宋_GB2312"/>
                <w:sz w:val="24"/>
                <w:szCs w:val="24"/>
              </w:rPr>
            </w:pPr>
            <w:r>
              <w:rPr>
                <w:rFonts w:hint="eastAsia" w:ascii="仿宋_GB2312" w:eastAsia="仿宋_GB2312"/>
                <w:sz w:val="24"/>
                <w:szCs w:val="24"/>
              </w:rPr>
              <w:t>单位：千元面额（整数）</w:t>
            </w:r>
          </w:p>
        </w:tc>
      </w:tr>
      <w:tr w14:paraId="483F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1FC283">
            <w:pPr>
              <w:rPr>
                <w:rFonts w:ascii="仿宋_GB2312" w:eastAsia="仿宋_GB2312"/>
                <w:b/>
                <w:sz w:val="24"/>
                <w:szCs w:val="24"/>
              </w:rPr>
            </w:pPr>
            <w:r>
              <w:rPr>
                <w:rFonts w:hint="eastAsia" w:ascii="仿宋_GB2312" w:eastAsia="仿宋_GB2312"/>
                <w:b/>
                <w:sz w:val="24"/>
                <w:szCs w:val="24"/>
              </w:rPr>
              <w:t>虚拟未匹配量</w:t>
            </w:r>
          </w:p>
        </w:tc>
        <w:tc>
          <w:tcPr>
            <w:tcW w:w="6713" w:type="dxa"/>
            <w:vAlign w:val="center"/>
          </w:tcPr>
          <w:p w14:paraId="5DA853F3">
            <w:pPr>
              <w:rPr>
                <w:rFonts w:ascii="仿宋_GB2312" w:eastAsia="仿宋_GB2312"/>
                <w:sz w:val="24"/>
                <w:szCs w:val="24"/>
              </w:rPr>
            </w:pPr>
            <w:r>
              <w:rPr>
                <w:rFonts w:hint="eastAsia" w:ascii="仿宋_GB2312" w:eastAsia="仿宋_GB2312"/>
                <w:sz w:val="24"/>
                <w:szCs w:val="24"/>
              </w:rPr>
              <w:t>单位：千元面额（整数）</w:t>
            </w:r>
          </w:p>
        </w:tc>
      </w:tr>
      <w:tr w14:paraId="1504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FBA3A47">
            <w:pPr>
              <w:rPr>
                <w:rFonts w:ascii="仿宋_GB2312" w:eastAsia="仿宋_GB2312"/>
                <w:b/>
                <w:sz w:val="24"/>
                <w:szCs w:val="24"/>
              </w:rPr>
            </w:pPr>
            <w:r>
              <w:rPr>
                <w:rFonts w:hint="eastAsia" w:ascii="仿宋_GB2312" w:eastAsia="仿宋_GB2312"/>
                <w:b/>
                <w:sz w:val="24"/>
                <w:szCs w:val="24"/>
              </w:rPr>
              <w:t>虚拟未匹配量申报方向</w:t>
            </w:r>
          </w:p>
        </w:tc>
        <w:tc>
          <w:tcPr>
            <w:tcW w:w="6713" w:type="dxa"/>
          </w:tcPr>
          <w:p w14:paraId="541B32CF">
            <w:pPr>
              <w:rPr>
                <w:rFonts w:ascii="仿宋_GB2312" w:eastAsia="仿宋_GB2312"/>
                <w:b/>
                <w:sz w:val="24"/>
                <w:szCs w:val="24"/>
              </w:rPr>
            </w:pPr>
          </w:p>
        </w:tc>
      </w:tr>
    </w:tbl>
    <w:p w14:paraId="5804646A">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虚拟开盘价是指</w:t>
      </w:r>
      <w:r>
        <w:rPr>
          <w:rFonts w:hint="eastAsia" w:ascii="Calibri" w:hAnsi="Calibri" w:eastAsia="仿宋_GB2312"/>
          <w:color w:val="000000"/>
          <w:sz w:val="30"/>
          <w:szCs w:val="30"/>
        </w:rPr>
        <w:t>截至揭示时所有有效申报按照集合匹配规则虚拟</w:t>
      </w:r>
      <w:r>
        <w:rPr>
          <w:rFonts w:hint="eastAsia" w:ascii="仿宋_GB2312" w:hAnsi="Calibri" w:eastAsia="仿宋_GB2312"/>
          <w:color w:val="000000"/>
          <w:sz w:val="30"/>
          <w:szCs w:val="30"/>
        </w:rPr>
        <w:t>成交并予以即时揭示的价格</w:t>
      </w:r>
      <w:r>
        <w:rPr>
          <w:rFonts w:hint="eastAsia" w:ascii="仿宋_GB2312" w:hAnsi="宋体" w:eastAsia="仿宋_GB2312" w:cs="宋体"/>
          <w:kern w:val="0"/>
          <w:sz w:val="30"/>
          <w:szCs w:val="30"/>
        </w:rPr>
        <w:t>。</w:t>
      </w:r>
    </w:p>
    <w:p w14:paraId="0A117519">
      <w:pPr>
        <w:spacing w:line="600" w:lineRule="exact"/>
        <w:ind w:firstLine="600" w:firstLineChars="200"/>
        <w:contextualSpacing/>
        <w:jc w:val="left"/>
        <w:rPr>
          <w:rFonts w:ascii="仿宋_GB2312" w:hAnsi="宋体" w:eastAsia="仿宋_GB2312" w:cs="宋体"/>
          <w:b/>
          <w:bCs/>
          <w:kern w:val="0"/>
          <w:sz w:val="30"/>
          <w:szCs w:val="30"/>
        </w:rPr>
      </w:pPr>
      <w:r>
        <w:rPr>
          <w:rFonts w:hint="eastAsia" w:ascii="仿宋_GB2312" w:hAnsi="宋体" w:eastAsia="仿宋_GB2312" w:cs="宋体"/>
          <w:kern w:val="0"/>
          <w:sz w:val="30"/>
          <w:szCs w:val="30"/>
        </w:rPr>
        <w:t>虚拟匹配量是指</w:t>
      </w:r>
      <w:r>
        <w:rPr>
          <w:rFonts w:hint="eastAsia" w:ascii="仿宋_GB2312" w:hAnsi="Times" w:eastAsia="仿宋_GB2312"/>
          <w:color w:val="000000"/>
          <w:sz w:val="30"/>
          <w:szCs w:val="30"/>
        </w:rPr>
        <w:t>截至揭示时按照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虚拟成交并予以即时揭示的申报数量</w:t>
      </w:r>
      <w:r>
        <w:rPr>
          <w:rFonts w:hint="eastAsia" w:ascii="仿宋_GB2312" w:hAnsi="宋体" w:eastAsia="仿宋_GB2312" w:cs="宋体"/>
          <w:kern w:val="0"/>
          <w:sz w:val="30"/>
          <w:szCs w:val="30"/>
        </w:rPr>
        <w:t>。</w:t>
      </w:r>
    </w:p>
    <w:p w14:paraId="459F926C">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虚拟未匹配量是指</w:t>
      </w:r>
      <w:r>
        <w:rPr>
          <w:rFonts w:hint="eastAsia" w:ascii="仿宋_GB2312" w:hAnsi="Calibri" w:eastAsia="仿宋_GB2312"/>
          <w:color w:val="000000"/>
          <w:sz w:val="30"/>
          <w:szCs w:val="30"/>
        </w:rPr>
        <w:t>截至揭示时未能按照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虚拟成交并予以即时揭示的买方或卖方剩余申报数量</w:t>
      </w:r>
      <w:r>
        <w:rPr>
          <w:rFonts w:hint="eastAsia" w:ascii="仿宋_GB2312" w:hAnsi="宋体" w:eastAsia="仿宋_GB2312" w:cs="宋体"/>
          <w:kern w:val="0"/>
          <w:sz w:val="30"/>
          <w:szCs w:val="30"/>
        </w:rPr>
        <w:t>。</w:t>
      </w:r>
    </w:p>
    <w:p w14:paraId="36F1C215">
      <w:pPr>
        <w:spacing w:line="600" w:lineRule="exact"/>
        <w:ind w:firstLine="600" w:firstLineChars="200"/>
        <w:contextualSpacing/>
        <w:jc w:val="left"/>
        <w:rPr>
          <w:rFonts w:ascii="仿宋_GB2312" w:hAnsi="Calibri" w:eastAsia="仿宋_GB2312"/>
          <w:sz w:val="30"/>
          <w:szCs w:val="30"/>
        </w:rPr>
      </w:pPr>
      <w:r>
        <w:rPr>
          <w:rFonts w:hint="eastAsia" w:ascii="仿宋_GB2312" w:hAnsi="Calibri" w:eastAsia="仿宋_GB2312"/>
          <w:sz w:val="30"/>
          <w:szCs w:val="30"/>
        </w:rPr>
        <w:t>2）连续匹配</w:t>
      </w:r>
    </w:p>
    <w:p w14:paraId="0456BE21">
      <w:pPr>
        <w:spacing w:line="600" w:lineRule="exact"/>
        <w:ind w:firstLine="600" w:firstLineChars="200"/>
        <w:contextualSpacing/>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债券现券的五档行情信息，</w:t>
      </w:r>
      <w:r>
        <w:rPr>
          <w:rFonts w:hint="eastAsia" w:ascii="仿宋_GB2312" w:hAnsi="宋体" w:eastAsia="仿宋_GB2312"/>
          <w:sz w:val="30"/>
          <w:szCs w:val="30"/>
        </w:rPr>
        <w:t>包括连续匹配最优五档买卖申报时间、价格及数量等信息。具体如下：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5493"/>
      </w:tblGrid>
      <w:tr w14:paraId="2473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E6E6E6"/>
            <w:vAlign w:val="center"/>
          </w:tcPr>
          <w:p w14:paraId="12FC23E2">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E6E6E6"/>
            <w:vAlign w:val="center"/>
          </w:tcPr>
          <w:p w14:paraId="181D0879">
            <w:pPr>
              <w:rPr>
                <w:rFonts w:ascii="仿宋_GB2312" w:eastAsia="仿宋_GB2312"/>
                <w:b/>
                <w:sz w:val="24"/>
                <w:szCs w:val="24"/>
              </w:rPr>
            </w:pPr>
            <w:r>
              <w:rPr>
                <w:rFonts w:hint="eastAsia" w:ascii="仿宋_GB2312" w:eastAsia="仿宋_GB2312"/>
                <w:b/>
                <w:sz w:val="24"/>
                <w:szCs w:val="24"/>
              </w:rPr>
              <w:t>要素说明</w:t>
            </w:r>
          </w:p>
        </w:tc>
      </w:tr>
      <w:tr w14:paraId="15C6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A53A26F">
            <w:pPr>
              <w:rPr>
                <w:rFonts w:ascii="仿宋_GB2312" w:eastAsia="仿宋_GB2312"/>
                <w:b/>
                <w:sz w:val="24"/>
                <w:szCs w:val="24"/>
              </w:rPr>
            </w:pPr>
            <w:r>
              <w:rPr>
                <w:rFonts w:hint="eastAsia" w:ascii="仿宋_GB2312" w:eastAsia="仿宋_GB2312"/>
                <w:b/>
                <w:sz w:val="24"/>
                <w:szCs w:val="24"/>
              </w:rPr>
              <w:t>证券代码</w:t>
            </w:r>
          </w:p>
        </w:tc>
        <w:tc>
          <w:tcPr>
            <w:tcW w:w="5493" w:type="dxa"/>
            <w:vAlign w:val="center"/>
          </w:tcPr>
          <w:p w14:paraId="2C1F82AE">
            <w:pPr>
              <w:rPr>
                <w:rFonts w:ascii="仿宋_GB2312" w:eastAsia="仿宋_GB2312"/>
                <w:sz w:val="24"/>
                <w:szCs w:val="24"/>
              </w:rPr>
            </w:pPr>
            <w:r>
              <w:rPr>
                <w:rFonts w:hint="eastAsia" w:ascii="仿宋_GB2312" w:eastAsia="仿宋_GB2312"/>
                <w:sz w:val="24"/>
                <w:szCs w:val="24"/>
              </w:rPr>
              <w:t>债券代码</w:t>
            </w:r>
          </w:p>
        </w:tc>
      </w:tr>
      <w:tr w14:paraId="6CCE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9673DFD">
            <w:pPr>
              <w:rPr>
                <w:rFonts w:ascii="仿宋_GB2312" w:eastAsia="仿宋_GB2312"/>
                <w:b/>
                <w:sz w:val="24"/>
                <w:szCs w:val="24"/>
              </w:rPr>
            </w:pPr>
            <w:r>
              <w:rPr>
                <w:rFonts w:hint="eastAsia" w:ascii="仿宋_GB2312" w:eastAsia="仿宋_GB2312"/>
                <w:b/>
                <w:sz w:val="24"/>
                <w:szCs w:val="24"/>
              </w:rPr>
              <w:t>证券简称</w:t>
            </w:r>
          </w:p>
        </w:tc>
        <w:tc>
          <w:tcPr>
            <w:tcW w:w="5493" w:type="dxa"/>
            <w:vAlign w:val="center"/>
          </w:tcPr>
          <w:p w14:paraId="1B079159">
            <w:pPr>
              <w:rPr>
                <w:rFonts w:ascii="仿宋_GB2312" w:eastAsia="仿宋_GB2312"/>
                <w:sz w:val="24"/>
                <w:szCs w:val="24"/>
              </w:rPr>
            </w:pPr>
            <w:r>
              <w:rPr>
                <w:rFonts w:hint="eastAsia" w:ascii="仿宋_GB2312" w:eastAsia="仿宋_GB2312"/>
                <w:sz w:val="24"/>
                <w:szCs w:val="24"/>
              </w:rPr>
              <w:t>债券简称</w:t>
            </w:r>
          </w:p>
        </w:tc>
      </w:tr>
      <w:tr w14:paraId="7C6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0B8EE968">
            <w:pPr>
              <w:rPr>
                <w:rFonts w:ascii="仿宋_GB2312" w:eastAsia="仿宋_GB2312"/>
                <w:b/>
                <w:sz w:val="24"/>
                <w:szCs w:val="24"/>
              </w:rPr>
            </w:pPr>
            <w:r>
              <w:rPr>
                <w:rFonts w:hint="eastAsia" w:ascii="仿宋_GB2312" w:eastAsia="仿宋_GB2312"/>
                <w:b/>
                <w:sz w:val="24"/>
                <w:szCs w:val="24"/>
              </w:rPr>
              <w:t>交易日期</w:t>
            </w:r>
          </w:p>
        </w:tc>
        <w:tc>
          <w:tcPr>
            <w:tcW w:w="5493" w:type="dxa"/>
          </w:tcPr>
          <w:p w14:paraId="42E67433">
            <w:pPr>
              <w:rPr>
                <w:rFonts w:ascii="仿宋_GB2312" w:eastAsia="仿宋_GB2312"/>
                <w:sz w:val="24"/>
                <w:szCs w:val="24"/>
              </w:rPr>
            </w:pPr>
            <w:r>
              <w:rPr>
                <w:rFonts w:hint="eastAsia" w:ascii="仿宋_GB2312" w:eastAsia="仿宋_GB2312"/>
                <w:sz w:val="24"/>
                <w:szCs w:val="24"/>
              </w:rPr>
              <w:t>年月日</w:t>
            </w:r>
          </w:p>
        </w:tc>
      </w:tr>
      <w:tr w14:paraId="110D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22938499">
            <w:pPr>
              <w:rPr>
                <w:rFonts w:ascii="仿宋_GB2312" w:eastAsia="仿宋_GB2312"/>
                <w:b/>
                <w:sz w:val="24"/>
                <w:szCs w:val="24"/>
              </w:rPr>
            </w:pPr>
            <w:r>
              <w:rPr>
                <w:rFonts w:hint="eastAsia" w:ascii="仿宋_GB2312" w:eastAsia="仿宋_GB2312"/>
                <w:b/>
                <w:sz w:val="24"/>
                <w:szCs w:val="24"/>
              </w:rPr>
              <w:t>交易时间</w:t>
            </w:r>
          </w:p>
        </w:tc>
        <w:tc>
          <w:tcPr>
            <w:tcW w:w="5493" w:type="dxa"/>
          </w:tcPr>
          <w:p w14:paraId="562084C7">
            <w:pPr>
              <w:rPr>
                <w:rFonts w:ascii="仿宋_GB2312" w:eastAsia="仿宋_GB2312"/>
                <w:sz w:val="24"/>
                <w:szCs w:val="24"/>
              </w:rPr>
            </w:pPr>
            <w:r>
              <w:rPr>
                <w:rFonts w:hint="eastAsia" w:ascii="仿宋_GB2312" w:eastAsia="仿宋_GB2312"/>
                <w:sz w:val="24"/>
                <w:szCs w:val="24"/>
              </w:rPr>
              <w:t xml:space="preserve">时分秒   </w:t>
            </w:r>
          </w:p>
        </w:tc>
      </w:tr>
      <w:tr w14:paraId="0C8D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511740EE">
            <w:pPr>
              <w:rPr>
                <w:rFonts w:ascii="仿宋_GB2312" w:eastAsia="仿宋_GB2312"/>
                <w:b/>
                <w:sz w:val="24"/>
                <w:szCs w:val="24"/>
              </w:rPr>
            </w:pPr>
            <w:r>
              <w:rPr>
                <w:rFonts w:hint="eastAsia" w:ascii="仿宋_GB2312" w:eastAsia="仿宋_GB2312"/>
                <w:b/>
                <w:sz w:val="24"/>
                <w:szCs w:val="24"/>
              </w:rPr>
              <w:t>申买价</w:t>
            </w:r>
          </w:p>
          <w:p w14:paraId="73613F6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142DCC97">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1784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35B64F76">
            <w:pPr>
              <w:rPr>
                <w:rFonts w:ascii="仿宋_GB2312" w:eastAsia="仿宋_GB2312"/>
                <w:b/>
                <w:sz w:val="24"/>
                <w:szCs w:val="24"/>
              </w:rPr>
            </w:pPr>
            <w:r>
              <w:rPr>
                <w:rFonts w:hint="eastAsia" w:ascii="仿宋_GB2312" w:eastAsia="仿宋_GB2312"/>
                <w:b/>
                <w:sz w:val="24"/>
                <w:szCs w:val="24"/>
              </w:rPr>
              <w:t>申买数量</w:t>
            </w:r>
          </w:p>
          <w:p w14:paraId="4DEE63F4">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356C8BB">
            <w:pPr>
              <w:rPr>
                <w:rFonts w:ascii="仿宋_GB2312" w:eastAsia="仿宋_GB2312"/>
                <w:sz w:val="24"/>
                <w:szCs w:val="24"/>
              </w:rPr>
            </w:pPr>
            <w:r>
              <w:rPr>
                <w:rFonts w:hint="eastAsia" w:ascii="仿宋_GB2312" w:eastAsia="仿宋_GB2312"/>
                <w:sz w:val="24"/>
                <w:szCs w:val="24"/>
              </w:rPr>
              <w:t>单位：千元面额（整数）</w:t>
            </w:r>
          </w:p>
        </w:tc>
      </w:tr>
      <w:tr w14:paraId="0DCD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0A413C1D">
            <w:pPr>
              <w:rPr>
                <w:rFonts w:ascii="仿宋_GB2312" w:eastAsia="仿宋_GB2312"/>
                <w:b/>
                <w:sz w:val="24"/>
                <w:szCs w:val="24"/>
              </w:rPr>
            </w:pPr>
            <w:r>
              <w:rPr>
                <w:rFonts w:hint="eastAsia" w:ascii="仿宋_GB2312" w:eastAsia="仿宋_GB2312"/>
                <w:b/>
                <w:sz w:val="24"/>
                <w:szCs w:val="24"/>
              </w:rPr>
              <w:t>申卖价</w:t>
            </w:r>
          </w:p>
          <w:p w14:paraId="1C9DD2C7">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6CC2BDC">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0A2D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44F98E61">
            <w:pPr>
              <w:rPr>
                <w:rFonts w:ascii="仿宋_GB2312" w:eastAsia="仿宋_GB2312"/>
                <w:b/>
                <w:sz w:val="24"/>
                <w:szCs w:val="24"/>
              </w:rPr>
            </w:pPr>
            <w:r>
              <w:rPr>
                <w:rFonts w:hint="eastAsia" w:ascii="仿宋_GB2312" w:eastAsia="仿宋_GB2312"/>
                <w:b/>
                <w:sz w:val="24"/>
                <w:szCs w:val="24"/>
              </w:rPr>
              <w:t>申卖数量</w:t>
            </w:r>
          </w:p>
          <w:p w14:paraId="26AD468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75C3EDE1">
            <w:pPr>
              <w:rPr>
                <w:rFonts w:ascii="仿宋_GB2312" w:eastAsia="仿宋_GB2312"/>
                <w:sz w:val="24"/>
                <w:szCs w:val="24"/>
              </w:rPr>
            </w:pPr>
            <w:r>
              <w:rPr>
                <w:rFonts w:hint="eastAsia" w:ascii="仿宋_GB2312" w:eastAsia="仿宋_GB2312"/>
                <w:sz w:val="24"/>
                <w:szCs w:val="24"/>
              </w:rPr>
              <w:t>单位：千元面额（整数）</w:t>
            </w:r>
          </w:p>
        </w:tc>
      </w:tr>
    </w:tbl>
    <w:p w14:paraId="01FD428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98E59FD">
      <w:pPr>
        <w:spacing w:line="600" w:lineRule="exact"/>
        <w:ind w:firstLine="564" w:firstLineChars="188"/>
        <w:rPr>
          <w:rFonts w:ascii="仿宋_GB2312" w:hAnsi="Calibri" w:eastAsia="仿宋_GB2312"/>
          <w:b/>
          <w:sz w:val="30"/>
          <w:szCs w:val="30"/>
        </w:rPr>
      </w:pPr>
      <w:r>
        <w:rPr>
          <w:rFonts w:hint="eastAsia" w:ascii="仿宋_GB2312" w:hAnsi="宋体" w:eastAsia="仿宋_GB2312"/>
          <w:sz w:val="30"/>
          <w:szCs w:val="30"/>
        </w:rPr>
        <w:t>本所在每个交易日的交易时间内，向全市场公开发布通过匹配成交交易方式提交的通用回购交易的实时截片行情。</w:t>
      </w:r>
    </w:p>
    <w:p w14:paraId="61578B16">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1）集合匹配</w:t>
      </w:r>
    </w:p>
    <w:p w14:paraId="691C0505">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通用回购的虚拟集合匹配结果，</w:t>
      </w:r>
      <w:r>
        <w:rPr>
          <w:rFonts w:hint="eastAsia" w:ascii="仿宋_GB2312" w:hAnsi="宋体" w:eastAsia="仿宋_GB2312"/>
          <w:sz w:val="30"/>
          <w:szCs w:val="30"/>
        </w:rPr>
        <w:t>前述截片行情信息</w:t>
      </w:r>
      <w:r>
        <w:rPr>
          <w:rFonts w:hint="eastAsia" w:ascii="仿宋_GB2312" w:hAnsi="宋体" w:eastAsia="仿宋_GB2312" w:cs="宋体"/>
          <w:kern w:val="0"/>
          <w:sz w:val="30"/>
          <w:szCs w:val="30"/>
        </w:rPr>
        <w:t>包</w:t>
      </w:r>
      <w:r>
        <w:rPr>
          <w:rFonts w:hint="eastAsia" w:ascii="仿宋_GB2312" w:hAnsi="宋体" w:eastAsia="仿宋_GB2312"/>
          <w:sz w:val="30"/>
          <w:szCs w:val="30"/>
        </w:rPr>
        <w:t>括昨日收盘利率、虚拟开盘利率、虚拟匹配金额、虚拟未匹配金额等内容。具体内容如下：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3501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092244D">
            <w:pPr>
              <w:jc w:val="left"/>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06DAA50E">
            <w:pPr>
              <w:jc w:val="left"/>
              <w:rPr>
                <w:rFonts w:ascii="仿宋_GB2312" w:eastAsia="仿宋_GB2312"/>
                <w:b/>
                <w:sz w:val="24"/>
                <w:szCs w:val="24"/>
              </w:rPr>
            </w:pPr>
            <w:r>
              <w:rPr>
                <w:rFonts w:hint="eastAsia" w:ascii="仿宋_GB2312" w:eastAsia="仿宋_GB2312"/>
                <w:b/>
                <w:sz w:val="24"/>
                <w:szCs w:val="24"/>
              </w:rPr>
              <w:t>要素说明</w:t>
            </w:r>
          </w:p>
        </w:tc>
      </w:tr>
      <w:tr w14:paraId="1D9D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09EBDB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5493" w:type="dxa"/>
            <w:shd w:val="clear" w:color="auto" w:fill="FFFFFF"/>
            <w:vAlign w:val="center"/>
          </w:tcPr>
          <w:p w14:paraId="1B1BB1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17EB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0C6B03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5493" w:type="dxa"/>
            <w:shd w:val="clear" w:color="auto" w:fill="FFFFFF"/>
            <w:vAlign w:val="center"/>
          </w:tcPr>
          <w:p w14:paraId="56A171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687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DC329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tcPr>
          <w:p w14:paraId="510C64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393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91D2B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tcPr>
          <w:p w14:paraId="3871EE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 xml:space="preserve">时分秒   </w:t>
            </w:r>
          </w:p>
        </w:tc>
      </w:tr>
      <w:tr w14:paraId="77C2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FA9C9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5493" w:type="dxa"/>
            <w:shd w:val="clear" w:color="auto" w:fill="FFFFFF"/>
            <w:vAlign w:val="center"/>
          </w:tcPr>
          <w:p w14:paraId="247586B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B7A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4E4C03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虚拟开盘利率</w:t>
            </w:r>
          </w:p>
        </w:tc>
        <w:tc>
          <w:tcPr>
            <w:tcW w:w="5493" w:type="dxa"/>
            <w:shd w:val="clear" w:color="auto" w:fill="FFFFFF"/>
            <w:vAlign w:val="center"/>
          </w:tcPr>
          <w:p w14:paraId="026538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9E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F79EC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虚拟匹配量</w:t>
            </w:r>
          </w:p>
        </w:tc>
        <w:tc>
          <w:tcPr>
            <w:tcW w:w="5493" w:type="dxa"/>
            <w:shd w:val="clear" w:color="auto" w:fill="FFFFFF"/>
            <w:vAlign w:val="center"/>
          </w:tcPr>
          <w:p w14:paraId="2FE268F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86A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8E896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w:t>
            </w:r>
          </w:p>
        </w:tc>
        <w:tc>
          <w:tcPr>
            <w:tcW w:w="5493" w:type="dxa"/>
            <w:shd w:val="clear" w:color="auto" w:fill="FFFFFF"/>
            <w:vAlign w:val="center"/>
          </w:tcPr>
          <w:p w14:paraId="64D4D33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30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BC205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虚拟未匹配量申报方向</w:t>
            </w:r>
          </w:p>
        </w:tc>
        <w:tc>
          <w:tcPr>
            <w:tcW w:w="5493" w:type="dxa"/>
            <w:shd w:val="clear" w:color="auto" w:fill="FFFFFF"/>
            <w:vAlign w:val="center"/>
          </w:tcPr>
          <w:p w14:paraId="41234710">
            <w:pPr>
              <w:tabs>
                <w:tab w:val="left" w:pos="900"/>
                <w:tab w:val="left" w:pos="1320"/>
              </w:tabs>
              <w:spacing w:after="93" w:afterLines="30"/>
              <w:jc w:val="left"/>
              <w:rPr>
                <w:rFonts w:ascii="仿宋_GB2312" w:eastAsia="仿宋_GB2312"/>
                <w:b/>
                <w:bCs/>
                <w:iCs/>
                <w:kern w:val="0"/>
                <w:sz w:val="24"/>
                <w:szCs w:val="24"/>
              </w:rPr>
            </w:pPr>
          </w:p>
        </w:tc>
      </w:tr>
    </w:tbl>
    <w:p w14:paraId="39220E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虚拟开盘利率是指</w:t>
      </w:r>
      <w:r>
        <w:rPr>
          <w:rFonts w:hint="eastAsia" w:ascii="Calibri" w:hAnsi="Calibri" w:eastAsia="仿宋_GB2312"/>
          <w:color w:val="000000"/>
          <w:sz w:val="30"/>
          <w:szCs w:val="30"/>
        </w:rPr>
        <w:t>截至揭示时所有有效申报按照集合匹配规则虚拟成交并予以即时揭示的利率。</w:t>
      </w:r>
    </w:p>
    <w:p w14:paraId="72CC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虚拟匹配量是指</w:t>
      </w:r>
      <w:r>
        <w:rPr>
          <w:rFonts w:hint="eastAsia" w:ascii="Calibri" w:hAnsi="Times" w:eastAsia="仿宋_GB2312"/>
          <w:color w:val="000000"/>
          <w:sz w:val="30"/>
          <w:szCs w:val="30"/>
        </w:rPr>
        <w:t>截至揭示时按照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虚拟成交并予以即时揭示的申报数量。</w:t>
      </w:r>
      <w:r>
        <w:rPr>
          <w:rFonts w:hint="eastAsia" w:ascii="仿宋_GB2312" w:hAnsi="宋体" w:eastAsia="仿宋_GB2312"/>
          <w:sz w:val="30"/>
          <w:szCs w:val="30"/>
        </w:rPr>
        <w:t xml:space="preserve">  </w:t>
      </w:r>
    </w:p>
    <w:p w14:paraId="619EA2E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虚拟未匹配量是指</w:t>
      </w:r>
      <w:r>
        <w:rPr>
          <w:rFonts w:hint="eastAsia" w:ascii="Calibri" w:hAnsi="Calibri" w:eastAsia="仿宋_GB2312"/>
          <w:color w:val="000000"/>
          <w:sz w:val="30"/>
          <w:szCs w:val="30"/>
        </w:rPr>
        <w:t>截至揭示时未能按照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虚拟成交并予以即时揭示的买方或卖方剩余申报数量。</w:t>
      </w:r>
    </w:p>
    <w:p w14:paraId="55D2D7ED">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2）连续匹配</w:t>
      </w:r>
    </w:p>
    <w:p w14:paraId="5EF818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通用回购的五档行情信息，</w:t>
      </w:r>
      <w:r>
        <w:rPr>
          <w:rFonts w:hint="eastAsia" w:ascii="仿宋_GB2312" w:hAnsi="宋体" w:eastAsia="仿宋_GB2312"/>
          <w:sz w:val="30"/>
          <w:szCs w:val="30"/>
        </w:rPr>
        <w:t>包括连续匹配最优五档买卖申报时间、利率及数量等信息。具体如下：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0E7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E5CF4C1">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6C5FD32C">
            <w:pPr>
              <w:rPr>
                <w:rFonts w:ascii="仿宋_GB2312" w:eastAsia="仿宋_GB2312"/>
                <w:b/>
                <w:sz w:val="24"/>
                <w:szCs w:val="24"/>
              </w:rPr>
            </w:pPr>
            <w:r>
              <w:rPr>
                <w:rFonts w:hint="eastAsia" w:ascii="仿宋_GB2312" w:eastAsia="仿宋_GB2312"/>
                <w:b/>
                <w:sz w:val="24"/>
                <w:szCs w:val="24"/>
              </w:rPr>
              <w:t>要素说明</w:t>
            </w:r>
          </w:p>
        </w:tc>
      </w:tr>
      <w:tr w14:paraId="364B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6690D1C">
            <w:pPr>
              <w:spacing w:after="72"/>
              <w:rPr>
                <w:rFonts w:ascii="仿宋_GB2312" w:eastAsia="仿宋_GB2312"/>
                <w:b/>
                <w:sz w:val="24"/>
                <w:szCs w:val="24"/>
              </w:rPr>
            </w:pPr>
            <w:r>
              <w:rPr>
                <w:rFonts w:hint="eastAsia" w:ascii="仿宋_GB2312" w:eastAsia="仿宋_GB2312"/>
                <w:b/>
                <w:sz w:val="24"/>
                <w:szCs w:val="24"/>
              </w:rPr>
              <w:t>回购代码</w:t>
            </w:r>
          </w:p>
        </w:tc>
        <w:tc>
          <w:tcPr>
            <w:tcW w:w="5493" w:type="dxa"/>
            <w:shd w:val="clear" w:color="auto" w:fill="FFFFFF"/>
            <w:vAlign w:val="center"/>
          </w:tcPr>
          <w:p w14:paraId="256FB48B">
            <w:pPr>
              <w:spacing w:after="72"/>
              <w:rPr>
                <w:rFonts w:ascii="仿宋_GB2312" w:eastAsia="仿宋_GB2312"/>
                <w:sz w:val="24"/>
                <w:szCs w:val="24"/>
              </w:rPr>
            </w:pPr>
            <w:r>
              <w:rPr>
                <w:rFonts w:hint="eastAsia" w:ascii="仿宋_GB2312" w:eastAsia="仿宋_GB2312"/>
                <w:sz w:val="24"/>
                <w:szCs w:val="24"/>
              </w:rPr>
              <w:t>债券代码</w:t>
            </w:r>
          </w:p>
        </w:tc>
      </w:tr>
      <w:tr w14:paraId="3B13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F9627C9">
            <w:pPr>
              <w:spacing w:after="72"/>
              <w:rPr>
                <w:rFonts w:ascii="仿宋_GB2312" w:eastAsia="仿宋_GB2312"/>
                <w:b/>
                <w:sz w:val="24"/>
                <w:szCs w:val="24"/>
              </w:rPr>
            </w:pPr>
            <w:r>
              <w:rPr>
                <w:rFonts w:hint="eastAsia" w:ascii="仿宋_GB2312" w:eastAsia="仿宋_GB2312"/>
                <w:b/>
                <w:sz w:val="24"/>
                <w:szCs w:val="24"/>
              </w:rPr>
              <w:t>回购简称</w:t>
            </w:r>
          </w:p>
        </w:tc>
        <w:tc>
          <w:tcPr>
            <w:tcW w:w="5493" w:type="dxa"/>
            <w:shd w:val="clear" w:color="auto" w:fill="FFFFFF"/>
            <w:vAlign w:val="center"/>
          </w:tcPr>
          <w:p w14:paraId="60F21C9D">
            <w:pPr>
              <w:spacing w:after="72"/>
              <w:rPr>
                <w:rFonts w:ascii="仿宋_GB2312" w:eastAsia="仿宋_GB2312"/>
                <w:sz w:val="24"/>
                <w:szCs w:val="24"/>
              </w:rPr>
            </w:pPr>
            <w:r>
              <w:rPr>
                <w:rFonts w:hint="eastAsia" w:ascii="仿宋_GB2312" w:eastAsia="仿宋_GB2312"/>
                <w:sz w:val="24"/>
                <w:szCs w:val="24"/>
              </w:rPr>
              <w:t>债券简称</w:t>
            </w:r>
          </w:p>
        </w:tc>
      </w:tr>
      <w:tr w14:paraId="226C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A9016D6">
            <w:pPr>
              <w:spacing w:after="72"/>
              <w:rPr>
                <w:rFonts w:ascii="仿宋_GB2312" w:eastAsia="仿宋_GB2312"/>
                <w:b/>
                <w:sz w:val="24"/>
                <w:szCs w:val="24"/>
              </w:rPr>
            </w:pPr>
            <w:r>
              <w:rPr>
                <w:rFonts w:hint="eastAsia" w:ascii="仿宋_GB2312" w:eastAsia="仿宋_GB2312"/>
                <w:b/>
                <w:sz w:val="24"/>
                <w:szCs w:val="24"/>
              </w:rPr>
              <w:t>交易日期</w:t>
            </w:r>
          </w:p>
        </w:tc>
        <w:tc>
          <w:tcPr>
            <w:tcW w:w="5493" w:type="dxa"/>
            <w:shd w:val="clear" w:color="auto" w:fill="FFFFFF"/>
          </w:tcPr>
          <w:p w14:paraId="2FE27D17">
            <w:pPr>
              <w:spacing w:after="72"/>
              <w:rPr>
                <w:rFonts w:ascii="仿宋_GB2312" w:eastAsia="仿宋_GB2312"/>
                <w:sz w:val="24"/>
                <w:szCs w:val="24"/>
              </w:rPr>
            </w:pPr>
            <w:r>
              <w:rPr>
                <w:rFonts w:hint="eastAsia" w:ascii="仿宋_GB2312" w:eastAsia="仿宋_GB2312"/>
                <w:sz w:val="24"/>
                <w:szCs w:val="24"/>
              </w:rPr>
              <w:t>年月日</w:t>
            </w:r>
          </w:p>
        </w:tc>
      </w:tr>
      <w:tr w14:paraId="3AB3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BC0CD0">
            <w:pPr>
              <w:spacing w:after="72"/>
              <w:rPr>
                <w:rFonts w:ascii="仿宋_GB2312" w:eastAsia="仿宋_GB2312"/>
                <w:b/>
                <w:sz w:val="24"/>
                <w:szCs w:val="24"/>
              </w:rPr>
            </w:pPr>
            <w:r>
              <w:rPr>
                <w:rFonts w:hint="eastAsia" w:ascii="仿宋_GB2312" w:eastAsia="仿宋_GB2312"/>
                <w:b/>
                <w:sz w:val="24"/>
                <w:szCs w:val="24"/>
              </w:rPr>
              <w:t>交易时间</w:t>
            </w:r>
          </w:p>
        </w:tc>
        <w:tc>
          <w:tcPr>
            <w:tcW w:w="5493" w:type="dxa"/>
            <w:shd w:val="clear" w:color="auto" w:fill="FFFFFF"/>
          </w:tcPr>
          <w:p w14:paraId="6ABA6F20">
            <w:pPr>
              <w:spacing w:after="72"/>
              <w:rPr>
                <w:rFonts w:ascii="仿宋_GB2312" w:eastAsia="仿宋_GB2312"/>
                <w:sz w:val="24"/>
                <w:szCs w:val="24"/>
              </w:rPr>
            </w:pPr>
            <w:r>
              <w:rPr>
                <w:rFonts w:hint="eastAsia" w:ascii="仿宋_GB2312" w:eastAsia="仿宋_GB2312"/>
                <w:sz w:val="24"/>
                <w:szCs w:val="24"/>
              </w:rPr>
              <w:t xml:space="preserve">时分秒   </w:t>
            </w:r>
          </w:p>
        </w:tc>
      </w:tr>
      <w:tr w14:paraId="7473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D35F0D7">
            <w:pPr>
              <w:spacing w:after="72"/>
              <w:rPr>
                <w:rFonts w:ascii="仿宋_GB2312" w:eastAsia="仿宋_GB2312"/>
                <w:b/>
                <w:sz w:val="24"/>
                <w:szCs w:val="24"/>
              </w:rPr>
            </w:pPr>
            <w:r>
              <w:rPr>
                <w:rFonts w:hint="eastAsia" w:ascii="仿宋_GB2312" w:eastAsia="仿宋_GB2312"/>
                <w:b/>
                <w:sz w:val="24"/>
                <w:szCs w:val="24"/>
              </w:rPr>
              <w:t>申买利率</w:t>
            </w:r>
          </w:p>
          <w:p w14:paraId="5E1B4C75">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3A34593">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4CA5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DA26066">
            <w:pPr>
              <w:spacing w:after="72"/>
              <w:rPr>
                <w:rFonts w:ascii="仿宋_GB2312" w:eastAsia="仿宋_GB2312"/>
                <w:b/>
                <w:sz w:val="24"/>
                <w:szCs w:val="24"/>
              </w:rPr>
            </w:pPr>
            <w:r>
              <w:rPr>
                <w:rFonts w:hint="eastAsia" w:ascii="仿宋_GB2312" w:eastAsia="仿宋_GB2312"/>
                <w:b/>
                <w:sz w:val="24"/>
                <w:szCs w:val="24"/>
              </w:rPr>
              <w:t>申买数量</w:t>
            </w:r>
          </w:p>
          <w:p w14:paraId="287D857F">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5ABAC710">
            <w:pPr>
              <w:spacing w:after="72"/>
              <w:rPr>
                <w:rFonts w:ascii="仿宋_GB2312" w:eastAsia="仿宋_GB2312"/>
                <w:sz w:val="24"/>
                <w:szCs w:val="24"/>
              </w:rPr>
            </w:pPr>
            <w:r>
              <w:rPr>
                <w:rFonts w:hint="eastAsia" w:ascii="仿宋_GB2312" w:eastAsia="仿宋_GB2312"/>
                <w:sz w:val="24"/>
                <w:szCs w:val="24"/>
              </w:rPr>
              <w:t>单位：千元面额（整数）</w:t>
            </w:r>
          </w:p>
        </w:tc>
      </w:tr>
      <w:tr w14:paraId="5A55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B4D901D">
            <w:pPr>
              <w:spacing w:after="72"/>
              <w:rPr>
                <w:rFonts w:ascii="仿宋_GB2312" w:eastAsia="仿宋_GB2312"/>
                <w:b/>
                <w:sz w:val="24"/>
                <w:szCs w:val="24"/>
              </w:rPr>
            </w:pPr>
            <w:r>
              <w:rPr>
                <w:rFonts w:hint="eastAsia" w:ascii="仿宋_GB2312" w:eastAsia="仿宋_GB2312"/>
                <w:b/>
                <w:sz w:val="24"/>
                <w:szCs w:val="24"/>
              </w:rPr>
              <w:t>申卖利率</w:t>
            </w:r>
          </w:p>
          <w:p w14:paraId="153D31AE">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251B5A19">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7F58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021E50">
            <w:pPr>
              <w:spacing w:after="72"/>
              <w:rPr>
                <w:rFonts w:ascii="仿宋_GB2312" w:eastAsia="仿宋_GB2312"/>
                <w:b/>
                <w:sz w:val="24"/>
                <w:szCs w:val="24"/>
              </w:rPr>
            </w:pPr>
            <w:r>
              <w:rPr>
                <w:rFonts w:hint="eastAsia" w:ascii="仿宋_GB2312" w:eastAsia="仿宋_GB2312"/>
                <w:b/>
                <w:sz w:val="24"/>
                <w:szCs w:val="24"/>
              </w:rPr>
              <w:t>申卖数量</w:t>
            </w:r>
          </w:p>
          <w:p w14:paraId="33457128">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89F6392">
            <w:pPr>
              <w:spacing w:after="72"/>
              <w:rPr>
                <w:rFonts w:ascii="仿宋_GB2312" w:eastAsia="仿宋_GB2312"/>
                <w:sz w:val="24"/>
                <w:szCs w:val="24"/>
              </w:rPr>
            </w:pPr>
            <w:r>
              <w:rPr>
                <w:rFonts w:hint="eastAsia" w:ascii="仿宋_GB2312" w:eastAsia="仿宋_GB2312"/>
                <w:sz w:val="24"/>
                <w:szCs w:val="24"/>
              </w:rPr>
              <w:t>单位：千元面额（整数）</w:t>
            </w:r>
          </w:p>
        </w:tc>
      </w:tr>
    </w:tbl>
    <w:p w14:paraId="2AABB71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（3）国债预发行</w:t>
      </w:r>
    </w:p>
    <w:p w14:paraId="67F1997B">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本所发布债券投资者通过匹配成交交易方式提交的国债预发行实时截片行情，包括前收盘价格、虚拟开盘价、虚拟匹配量、虚拟未匹配量、虚拟未匹配量申报方向、连续匹配最优五档买卖价格及数量等申报信息。</w:t>
      </w:r>
    </w:p>
    <w:p w14:paraId="35EB9942">
      <w:pPr>
        <w:widowControl/>
        <w:spacing w:line="600" w:lineRule="exact"/>
        <w:ind w:firstLine="564" w:firstLineChars="188"/>
        <w:jc w:val="left"/>
        <w:rPr>
          <w:rFonts w:ascii="仿宋_GB2312" w:hAnsi="宋体" w:eastAsia="仿宋_GB2312" w:cs="宋体"/>
          <w:b/>
          <w:kern w:val="0"/>
          <w:sz w:val="30"/>
          <w:szCs w:val="30"/>
        </w:rPr>
      </w:pPr>
      <w:r>
        <w:rPr>
          <w:rFonts w:hint="eastAsia" w:ascii="仿宋_GB2312" w:hAnsi="宋体" w:eastAsia="仿宋_GB2312" w:cs="宋体"/>
          <w:kern w:val="0"/>
          <w:sz w:val="30"/>
          <w:szCs w:val="30"/>
        </w:rPr>
        <w:t>总体上，国债预发行的实时截片行情和债券现券类似，只是债券代码、简称替换为债券预发行代码及简称。</w:t>
      </w:r>
    </w:p>
    <w:p w14:paraId="059883D4">
      <w:pPr>
        <w:numPr>
          <w:ilvl w:val="2"/>
          <w:numId w:val="4"/>
        </w:numPr>
        <w:spacing w:line="600" w:lineRule="exact"/>
        <w:ind w:left="0" w:firstLine="0"/>
        <w:outlineLvl w:val="2"/>
        <w:rPr>
          <w:rFonts w:ascii="仿宋_GB2312" w:eastAsia="仿宋_GB2312"/>
          <w:b/>
          <w:sz w:val="30"/>
          <w:szCs w:val="30"/>
        </w:rPr>
      </w:pPr>
      <w:bookmarkStart w:id="2348" w:name="_Toc47374410"/>
      <w:bookmarkEnd w:id="2348"/>
      <w:bookmarkStart w:id="2349" w:name="_Toc47465929"/>
      <w:bookmarkEnd w:id="2349"/>
      <w:bookmarkStart w:id="2350" w:name="_Toc47374932"/>
      <w:bookmarkEnd w:id="2350"/>
      <w:bookmarkStart w:id="2351" w:name="_Toc47374373"/>
      <w:bookmarkEnd w:id="2351"/>
      <w:bookmarkStart w:id="2352" w:name="_Toc47427146"/>
      <w:bookmarkEnd w:id="2352"/>
      <w:bookmarkStart w:id="2353" w:name="_Toc47375476"/>
      <w:bookmarkEnd w:id="2353"/>
      <w:bookmarkStart w:id="2354" w:name="_Toc47467042"/>
      <w:bookmarkEnd w:id="2354"/>
      <w:bookmarkStart w:id="2355" w:name="_Toc47458432"/>
      <w:bookmarkEnd w:id="2355"/>
      <w:bookmarkStart w:id="2356" w:name="_Toc47428413"/>
      <w:bookmarkEnd w:id="2356"/>
      <w:bookmarkStart w:id="2357" w:name="_Toc47467043"/>
      <w:r>
        <w:rPr>
          <w:rFonts w:hint="eastAsia" w:ascii="仿宋_GB2312" w:eastAsia="仿宋_GB2312"/>
          <w:b/>
          <w:sz w:val="30"/>
          <w:szCs w:val="30"/>
        </w:rPr>
        <w:t>逐笔申报行情</w:t>
      </w:r>
      <w:bookmarkEnd w:id="2357"/>
    </w:p>
    <w:p w14:paraId="43B91149">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逐笔申报行情适用于债券现券交易、协议回购交易与三方回购交易等。</w:t>
      </w:r>
    </w:p>
    <w:p w14:paraId="3F28088D">
      <w:pPr>
        <w:spacing w:line="600" w:lineRule="exact"/>
        <w:ind w:firstLine="564" w:firstLineChars="188"/>
        <w:rPr>
          <w:rFonts w:ascii="仿宋_GB2312" w:eastAsia="仿宋_GB2312"/>
          <w:color w:val="000000"/>
          <w:sz w:val="30"/>
          <w:szCs w:val="30"/>
        </w:rPr>
      </w:pPr>
      <w:r>
        <w:rPr>
          <w:rFonts w:hint="eastAsia" w:ascii="仿宋_GB2312" w:hAnsi="宋体" w:eastAsia="仿宋_GB2312"/>
          <w:sz w:val="30"/>
          <w:szCs w:val="30"/>
        </w:rPr>
        <w:t>本所在每个交易日的交易时间内，向全市场公开发布逐笔申报行情</w:t>
      </w:r>
      <w:r>
        <w:rPr>
          <w:rFonts w:hint="eastAsia" w:ascii="仿宋_GB2312" w:eastAsia="仿宋_GB2312"/>
          <w:color w:val="000000"/>
          <w:sz w:val="30"/>
          <w:szCs w:val="30"/>
        </w:rPr>
        <w:t>。对于已经发送的申报数据，若该申报已被成交，申报数据不做更新；若该申报被撤销，则新发撤销信息，依据撤销信息更新原申报数据。</w:t>
      </w:r>
    </w:p>
    <w:p w14:paraId="4E5E91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5EEB612">
      <w:pPr>
        <w:spacing w:line="600" w:lineRule="exact"/>
        <w:ind w:firstLine="564" w:firstLineChars="188"/>
        <w:rPr>
          <w:rFonts w:ascii="仿宋_GB2312" w:eastAsia="仿宋_GB2312"/>
          <w:color w:val="000000"/>
          <w:sz w:val="30"/>
          <w:szCs w:val="30"/>
        </w:rPr>
      </w:pPr>
      <w:r>
        <w:rPr>
          <w:rFonts w:hint="eastAsia" w:ascii="仿宋_GB2312" w:eastAsia="仿宋_GB2312"/>
          <w:color w:val="000000"/>
          <w:sz w:val="30"/>
          <w:szCs w:val="30"/>
        </w:rPr>
        <w:t>对于债券现券交易，本所逐笔发布债券投资者向全市场发送的点击成交、意向申报、竞买成交申报信息。其中，竞买成交申报信息仅适用于竞买成交的竞买发起申报以及单一主体中标方式下的应价申报，</w:t>
      </w:r>
      <w:r>
        <w:rPr>
          <w:rFonts w:hint="eastAsia" w:ascii="仿宋_GB2312" w:eastAsia="仿宋_GB2312"/>
          <w:b/>
          <w:bCs/>
          <w:color w:val="000000"/>
          <w:sz w:val="30"/>
          <w:szCs w:val="30"/>
        </w:rPr>
        <w:t>《债券交易规则》第一百一十六条关于逐笔发布匹配成交债券现券大额买卖申报行情的规定暂缓实施</w:t>
      </w:r>
      <w:r>
        <w:rPr>
          <w:rFonts w:hint="eastAsia" w:ascii="仿宋_GB2312" w:eastAsia="仿宋_GB2312"/>
          <w:color w:val="000000"/>
          <w:sz w:val="30"/>
          <w:szCs w:val="30"/>
        </w:rPr>
        <w:t>。</w:t>
      </w:r>
    </w:p>
    <w:p w14:paraId="4C246280">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1）点击成交、意向申报和询价成交（面向全市场）</w:t>
      </w:r>
    </w:p>
    <w:p w14:paraId="14536849">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点击成交、意向申报信息，包括申报方交易参与人简称（若显名）、申报方交易员（若显名）、申报价、申报数量、申报方向、结算方式、结算周期等信息。具体如下：</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527"/>
        <w:gridCol w:w="5995"/>
      </w:tblGrid>
      <w:tr w14:paraId="07D9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527" w:type="dxa"/>
            <w:shd w:val="clear" w:color="auto" w:fill="FFFFFF"/>
            <w:vAlign w:val="center"/>
          </w:tcPr>
          <w:p w14:paraId="2C6FEFC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995" w:type="dxa"/>
            <w:shd w:val="clear" w:color="auto" w:fill="FFFFFF"/>
            <w:vAlign w:val="center"/>
          </w:tcPr>
          <w:p w14:paraId="38EA26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B29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64BD31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995" w:type="dxa"/>
            <w:shd w:val="clear" w:color="auto" w:fill="FFFFFF"/>
            <w:vAlign w:val="center"/>
          </w:tcPr>
          <w:p w14:paraId="250166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73B2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47247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995" w:type="dxa"/>
            <w:shd w:val="clear" w:color="auto" w:fill="FFFFFF"/>
            <w:vAlign w:val="center"/>
          </w:tcPr>
          <w:p w14:paraId="1B2DEEE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29C6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59891B6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995" w:type="dxa"/>
            <w:shd w:val="clear" w:color="auto" w:fill="FFFFFF"/>
            <w:vAlign w:val="center"/>
          </w:tcPr>
          <w:p w14:paraId="0937C0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54C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69F8BE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995" w:type="dxa"/>
            <w:shd w:val="clear" w:color="auto" w:fill="FFFFFF"/>
            <w:vAlign w:val="center"/>
          </w:tcPr>
          <w:p w14:paraId="59D9A86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FBA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01079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995" w:type="dxa"/>
            <w:shd w:val="clear" w:color="auto" w:fill="FFFFFF"/>
            <w:vAlign w:val="center"/>
          </w:tcPr>
          <w:p w14:paraId="65C2EC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DF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A131D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995" w:type="dxa"/>
            <w:shd w:val="clear" w:color="auto" w:fill="FFFFFF"/>
            <w:vAlign w:val="center"/>
          </w:tcPr>
          <w:p w14:paraId="1C8836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F7C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45A3E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995" w:type="dxa"/>
            <w:shd w:val="clear" w:color="auto" w:fill="FFFFFF"/>
            <w:vAlign w:val="center"/>
          </w:tcPr>
          <w:p w14:paraId="30CF318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9E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CF076F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995" w:type="dxa"/>
            <w:shd w:val="clear" w:color="auto" w:fill="FFFFFF"/>
            <w:vAlign w:val="center"/>
          </w:tcPr>
          <w:p w14:paraId="7E74931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520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AD8FB5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995" w:type="dxa"/>
            <w:shd w:val="clear" w:color="auto" w:fill="FFFFFF"/>
            <w:vAlign w:val="center"/>
          </w:tcPr>
          <w:p w14:paraId="779D3E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5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50CFF7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995" w:type="dxa"/>
            <w:shd w:val="clear" w:color="auto" w:fill="FFFFFF"/>
            <w:vAlign w:val="center"/>
          </w:tcPr>
          <w:p w14:paraId="661AAA9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1.买</w:t>
            </w:r>
            <w:r>
              <w:rPr>
                <w:rFonts w:ascii="仿宋_GB2312" w:eastAsia="仿宋_GB2312"/>
                <w:bCs/>
                <w:iCs/>
                <w:kern w:val="0"/>
                <w:sz w:val="24"/>
                <w:szCs w:val="24"/>
              </w:rPr>
              <w:t xml:space="preserve"> </w:t>
            </w:r>
            <w:r>
              <w:rPr>
                <w:rFonts w:hint="eastAsia" w:ascii="仿宋_GB2312" w:eastAsia="仿宋_GB2312"/>
                <w:bCs/>
                <w:iCs/>
                <w:kern w:val="0"/>
                <w:sz w:val="24"/>
                <w:szCs w:val="24"/>
              </w:rPr>
              <w:t>2.卖</w:t>
            </w:r>
          </w:p>
        </w:tc>
      </w:tr>
    </w:tbl>
    <w:p w14:paraId="7CA148E4">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2）竞买成交</w:t>
      </w:r>
    </w:p>
    <w:p w14:paraId="3FB413F0">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竞买发起申报信息，包括卖方的交易参与人简称（若显名）、交易员（若显名）、竞买方式、底价、竞买数量、结算方式、结算周期。其中，单一主体中标方式下本所还会逐笔发布竞买成交的竞买应价申报信息，包括应价方的交易参与人简称（若显名）、交易员（若显名）、价格、数量等信息。</w:t>
      </w:r>
    </w:p>
    <w:p w14:paraId="3696AEE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2F55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3A888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4DAD230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66B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F0E52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65060F7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3B2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4336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FFF988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C14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7DEF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1C2D552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3E0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3720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2036247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7180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5EE2C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7CFAA2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80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6903DF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35965ED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4FE5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EB11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27EA60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p w14:paraId="4F48E4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（竞买卖方如果是匿名申报，则卖方为匿名）</w:t>
            </w:r>
          </w:p>
        </w:tc>
      </w:tr>
      <w:tr w14:paraId="2723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04A79A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2058655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竞买卖方交易员名称，可匿名；</w:t>
            </w:r>
          </w:p>
          <w:p w14:paraId="2051AF3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（竞买卖方如果是匿名申报，则卖方交易员为匿名）</w:t>
            </w:r>
          </w:p>
        </w:tc>
      </w:tr>
      <w:tr w14:paraId="1D46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F8052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00589B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单一主体中标</w:t>
            </w:r>
          </w:p>
        </w:tc>
      </w:tr>
      <w:tr w14:paraId="6658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842C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575155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竞买最低申报价，单位：元（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27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61079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379B7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292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FDA15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286F0CC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0262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D93B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559836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269E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0007A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69D2C787">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1.T+0</w:t>
            </w:r>
            <w:r>
              <w:rPr>
                <w:rFonts w:hint="eastAsia" w:ascii="仿宋_GB2312" w:eastAsia="仿宋_GB2312"/>
                <w:bCs/>
                <w:iCs/>
                <w:kern w:val="0"/>
                <w:sz w:val="24"/>
                <w:szCs w:val="24"/>
              </w:rPr>
              <w:t>；</w:t>
            </w:r>
            <w:r>
              <w:rPr>
                <w:rFonts w:ascii="仿宋_GB2312" w:eastAsia="仿宋_GB2312"/>
                <w:bCs/>
                <w:iCs/>
                <w:kern w:val="0"/>
                <w:sz w:val="24"/>
                <w:szCs w:val="24"/>
              </w:rPr>
              <w:t>2.T+1</w:t>
            </w:r>
            <w:r>
              <w:rPr>
                <w:rFonts w:hint="eastAsia" w:ascii="仿宋_GB2312" w:eastAsia="仿宋_GB2312"/>
                <w:bCs/>
                <w:iCs/>
                <w:kern w:val="0"/>
                <w:sz w:val="24"/>
                <w:szCs w:val="24"/>
              </w:rPr>
              <w:t>；</w:t>
            </w:r>
            <w:r>
              <w:rPr>
                <w:rFonts w:ascii="仿宋_GB2312" w:eastAsia="仿宋_GB2312"/>
                <w:bCs/>
                <w:iCs/>
                <w:kern w:val="0"/>
                <w:sz w:val="24"/>
                <w:szCs w:val="24"/>
              </w:rPr>
              <w:t>3.T+2</w:t>
            </w:r>
            <w:r>
              <w:rPr>
                <w:rFonts w:hint="eastAsia" w:ascii="仿宋_GB2312" w:eastAsia="仿宋_GB2312"/>
                <w:bCs/>
                <w:iCs/>
                <w:kern w:val="0"/>
                <w:sz w:val="24"/>
                <w:szCs w:val="24"/>
              </w:rPr>
              <w:t>；</w:t>
            </w:r>
            <w:r>
              <w:rPr>
                <w:rFonts w:ascii="仿宋_GB2312" w:eastAsia="仿宋_GB2312"/>
                <w:bCs/>
                <w:iCs/>
                <w:kern w:val="0"/>
                <w:sz w:val="24"/>
                <w:szCs w:val="24"/>
              </w:rPr>
              <w:t>4.T+3</w:t>
            </w:r>
          </w:p>
        </w:tc>
      </w:tr>
    </w:tbl>
    <w:p w14:paraId="06DAA0F6">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采用单一主体中标方式的，本所逐笔发布应价方向全市场发送的应价申报信息</w:t>
      </w:r>
      <w:r>
        <w:rPr>
          <w:rFonts w:hint="eastAsia" w:ascii="仿宋_GB2312" w:hAnsi="宋体" w:eastAsia="仿宋_GB2312"/>
          <w:sz w:val="30"/>
          <w:szCs w:val="30"/>
        </w:rPr>
        <w:t>，包括应价方的交易参与人简称（若显名）、交易员（若显名）、价格、数量等信息</w:t>
      </w:r>
      <w:r>
        <w:rPr>
          <w:rFonts w:hint="eastAsia" w:ascii="仿宋_GB2312" w:hAnsi="宋体" w:eastAsia="仿宋_GB2312" w:cs="宋体"/>
          <w:kern w:val="0"/>
          <w:sz w:val="30"/>
          <w:szCs w:val="30"/>
        </w:rPr>
        <w:t>。具体如下：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0617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D20C21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2E0F0A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B14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1D06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21C8AB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F88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8F580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43BA2A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4283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B722A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6220C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24B1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102767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竞买日期</w:t>
            </w:r>
          </w:p>
        </w:tc>
        <w:tc>
          <w:tcPr>
            <w:tcW w:w="5493" w:type="dxa"/>
            <w:shd w:val="clear" w:color="auto" w:fill="FFFFFF"/>
            <w:vAlign w:val="center"/>
          </w:tcPr>
          <w:p w14:paraId="18E3D5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245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877E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竞买时间</w:t>
            </w:r>
          </w:p>
        </w:tc>
        <w:tc>
          <w:tcPr>
            <w:tcW w:w="5493" w:type="dxa"/>
            <w:shd w:val="clear" w:color="auto" w:fill="FFFFFF"/>
            <w:vAlign w:val="center"/>
          </w:tcPr>
          <w:p w14:paraId="15ACE80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990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837F84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应价方简称</w:t>
            </w:r>
          </w:p>
        </w:tc>
        <w:tc>
          <w:tcPr>
            <w:tcW w:w="5493" w:type="dxa"/>
            <w:shd w:val="clear" w:color="auto" w:fill="FFFFFF"/>
            <w:vAlign w:val="center"/>
          </w:tcPr>
          <w:p w14:paraId="2468ED3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参与竞买交易的应价方简称，可匿名；</w:t>
            </w:r>
          </w:p>
          <w:p w14:paraId="256924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（应价方如果是匿名提交的应价申报，则应价方为匿名）</w:t>
            </w:r>
          </w:p>
        </w:tc>
      </w:tr>
      <w:tr w14:paraId="5E8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72FAA3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应价方交易员</w:t>
            </w:r>
          </w:p>
        </w:tc>
        <w:tc>
          <w:tcPr>
            <w:tcW w:w="5493" w:type="dxa"/>
            <w:shd w:val="clear" w:color="auto" w:fill="FFFFFF"/>
            <w:vAlign w:val="center"/>
          </w:tcPr>
          <w:p w14:paraId="35F1DB6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参与竞买交易的应价方交易员，可匿名；</w:t>
            </w:r>
          </w:p>
          <w:p w14:paraId="11B6BA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（应价方如果是匿名提交的应价申报，则应价方交易员为匿名）</w:t>
            </w:r>
          </w:p>
        </w:tc>
      </w:tr>
      <w:tr w14:paraId="3540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E86EE5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493" w:type="dxa"/>
            <w:shd w:val="clear" w:color="auto" w:fill="FFFFFF"/>
            <w:vAlign w:val="center"/>
          </w:tcPr>
          <w:p w14:paraId="3FC759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应价方申报价格，单位：元（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9C3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3FCF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624B1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申报价格对应到期收益率，百分数%（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6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37196F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493" w:type="dxa"/>
            <w:shd w:val="clear" w:color="auto" w:fill="FFFFFF"/>
            <w:vAlign w:val="center"/>
          </w:tcPr>
          <w:p w14:paraId="21B9B3F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申报数量，单位：千元面额（整数）</w:t>
            </w:r>
          </w:p>
        </w:tc>
      </w:tr>
    </w:tbl>
    <w:p w14:paraId="7F7B0F30">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eastAsia="仿宋_GB2312"/>
          <w:color w:val="000000"/>
          <w:sz w:val="30"/>
          <w:szCs w:val="30"/>
        </w:rPr>
        <w:t>采用多主体中标方式的，</w:t>
      </w:r>
      <w:r>
        <w:rPr>
          <w:rFonts w:hint="eastAsia" w:ascii="仿宋_GB2312" w:hAnsi="宋体" w:eastAsia="仿宋_GB2312" w:cs="宋体"/>
          <w:kern w:val="0"/>
          <w:sz w:val="30"/>
          <w:szCs w:val="30"/>
        </w:rPr>
        <w:t>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1CDD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579568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DCF78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9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1C417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3C50FB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4A53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1AF769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3C845B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A9C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D9D7F6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20D905C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F82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9081A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49A5AD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6428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C55D5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4A7B41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A4B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655306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738105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tc>
      </w:tr>
      <w:tr w14:paraId="51E0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AF0901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5BAD69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竞买的卖方交易员名称，可匿名</w:t>
            </w:r>
          </w:p>
        </w:tc>
      </w:tr>
      <w:tr w14:paraId="545D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82F44C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7D1EF6F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1.单一价格中标</w:t>
            </w:r>
          </w:p>
          <w:p w14:paraId="1D1050E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2.多重价格中标</w:t>
            </w:r>
          </w:p>
        </w:tc>
      </w:tr>
      <w:tr w14:paraId="76E4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7DDE2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01F034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13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DDCD6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9BA99A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67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906D8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5197F06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765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8DEE4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1BFE17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0858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8F436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3F50C5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1.T+0；2.T+1；3.T+2；4.T+3</w:t>
            </w:r>
          </w:p>
        </w:tc>
      </w:tr>
    </w:tbl>
    <w:p w14:paraId="7A28AD0E">
      <w:pPr>
        <w:spacing w:line="600" w:lineRule="exact"/>
        <w:ind w:firstLine="602" w:firstLineChars="200"/>
        <w:outlineLvl w:val="3"/>
        <w:rPr>
          <w:rFonts w:ascii="仿宋_GB2312" w:eastAsia="仿宋_GB2312"/>
          <w:b/>
          <w:sz w:val="30"/>
          <w:szCs w:val="30"/>
        </w:rPr>
      </w:pPr>
      <w:bookmarkStart w:id="2358" w:name="_Toc47374412"/>
      <w:bookmarkEnd w:id="2358"/>
      <w:bookmarkStart w:id="2359" w:name="_Toc47375478"/>
      <w:bookmarkEnd w:id="2359"/>
      <w:bookmarkStart w:id="2360" w:name="_Toc47427148"/>
      <w:bookmarkEnd w:id="2360"/>
      <w:bookmarkStart w:id="2361" w:name="_Toc47374934"/>
      <w:bookmarkEnd w:id="2361"/>
      <w:bookmarkStart w:id="2362" w:name="_Toc47428415"/>
      <w:bookmarkEnd w:id="2362"/>
      <w:bookmarkStart w:id="2363" w:name="_Toc47458434"/>
      <w:bookmarkEnd w:id="2363"/>
      <w:bookmarkStart w:id="2364" w:name="_Toc47374375"/>
      <w:bookmarkEnd w:id="2364"/>
      <w:r>
        <w:rPr>
          <w:rFonts w:hint="eastAsia" w:ascii="仿宋_GB2312" w:eastAsia="仿宋_GB2312"/>
          <w:b/>
          <w:sz w:val="30"/>
          <w:szCs w:val="30"/>
        </w:rPr>
        <w:t>（2）协议回购</w:t>
      </w:r>
    </w:p>
    <w:p w14:paraId="606D9070">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协议回购</w:t>
      </w:r>
      <w:r>
        <w:rPr>
          <w:rFonts w:hint="eastAsia" w:ascii="仿宋_GB2312" w:hAnsi="宋体" w:eastAsia="仿宋_GB2312"/>
          <w:sz w:val="30"/>
          <w:szCs w:val="30"/>
        </w:rPr>
        <w:t>，本所逐笔发布债券投资者向全市场发送的意向申报信息，包括回购金额、回购利率、申报方向等信息。</w:t>
      </w:r>
    </w:p>
    <w:p w14:paraId="1F810D9C">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协议回购的逐笔申报行情中的押券类型包括押利率、押AAA、押AA+、押AA、押国企、押非过剩、宽松等多种类型。行情要素中回购利率非必填项。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578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1DE75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字段</w:t>
            </w:r>
          </w:p>
        </w:tc>
        <w:tc>
          <w:tcPr>
            <w:tcW w:w="5493" w:type="dxa"/>
            <w:shd w:val="clear" w:color="auto" w:fill="FFFFFF"/>
            <w:vAlign w:val="center"/>
          </w:tcPr>
          <w:p w14:paraId="04A5AF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格式</w:t>
            </w:r>
          </w:p>
        </w:tc>
      </w:tr>
      <w:tr w14:paraId="6830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54231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1F8FED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5FA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E2C7CD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4B817F7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EFF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43899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02D6751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64D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C1F25D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016FD7C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039A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FCBE0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5CBC08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C29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335E3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CB6E9DC">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5A7C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3B9D82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3A17E5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467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650362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3FEA0AD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03CD442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50F2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2EFA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6F190C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058A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DB23C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押券类型</w:t>
            </w:r>
          </w:p>
        </w:tc>
        <w:tc>
          <w:tcPr>
            <w:tcW w:w="5493" w:type="dxa"/>
            <w:shd w:val="clear" w:color="auto" w:fill="FFFFFF"/>
            <w:vAlign w:val="center"/>
          </w:tcPr>
          <w:p w14:paraId="24756E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押利率、押</w:t>
            </w:r>
            <w:r>
              <w:rPr>
                <w:rFonts w:ascii="仿宋_GB2312" w:eastAsia="仿宋_GB2312"/>
                <w:bCs/>
                <w:iCs/>
                <w:kern w:val="0"/>
                <w:sz w:val="24"/>
                <w:szCs w:val="24"/>
              </w:rPr>
              <w:t>AAA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、押国企、押非过剩、宽松等多种类型（备注类信息）</w:t>
            </w:r>
          </w:p>
        </w:tc>
      </w:tr>
    </w:tbl>
    <w:p w14:paraId="67DA32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（3）三方回购</w:t>
      </w:r>
    </w:p>
    <w:p w14:paraId="1B819E75">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三方回购</w:t>
      </w:r>
      <w:r>
        <w:rPr>
          <w:rFonts w:hint="eastAsia" w:ascii="仿宋_GB2312" w:hAnsi="宋体" w:eastAsia="仿宋_GB2312"/>
          <w:sz w:val="30"/>
          <w:szCs w:val="30"/>
        </w:rPr>
        <w:t>，本所逐笔发布债券投资者向全市场发送的意向申报信息，包括回购金额、回购利率、申报方向等信息。</w:t>
      </w:r>
    </w:p>
    <w:p w14:paraId="7955AE2B">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三方回购的逐笔申报行情中的质押券篮子包括篮子1、篮子2、篮子3、篮子4、篮子5、篮子6、篮子7、篮子8、不限等多种类型（</w:t>
      </w:r>
      <w:r>
        <w:rPr>
          <w:rFonts w:hint="eastAsia" w:ascii="仿宋_GB2312" w:hAnsi="Calibri" w:eastAsia="仿宋_GB2312"/>
          <w:sz w:val="30"/>
          <w:szCs w:val="30"/>
        </w:rPr>
        <w:t>具体“质押券篮子”信息详见本指南第7章</w:t>
      </w:r>
      <w:r>
        <w:rPr>
          <w:rFonts w:hint="eastAsia" w:ascii="仿宋_GB2312" w:hAnsi="宋体" w:eastAsia="仿宋_GB2312" w:cs="宋体"/>
          <w:kern w:val="0"/>
          <w:sz w:val="30"/>
          <w:szCs w:val="30"/>
        </w:rPr>
        <w:t>），可多个篮子，与新债券交易系统中发起申报的标签相一致。行情要素中回购利率非必填项。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7F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8AAE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12AE1E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A5B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08826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6C618F4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258B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57CC2B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64EDED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482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01D3B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5F5D52D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334C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A638A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766667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1BC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53355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0F6AA8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C89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88AE8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D723BBB">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61C1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5C2FBD8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919CDB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B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858160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79320B5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12749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06F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6B886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2AD04D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2882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F0C4F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109E87AC">
            <w:pPr>
              <w:tabs>
                <w:tab w:val="left" w:pos="900"/>
                <w:tab w:val="left" w:pos="1320"/>
              </w:tabs>
              <w:spacing w:after="93" w:afterLines="30"/>
              <w:jc w:val="left"/>
              <w:rPr>
                <w:rFonts w:ascii="仿宋_GB2312" w:eastAsia="仿宋_GB2312"/>
                <w:b/>
                <w:bCs/>
                <w:iCs/>
                <w:kern w:val="0"/>
                <w:sz w:val="24"/>
                <w:szCs w:val="24"/>
              </w:rPr>
            </w:pPr>
          </w:p>
        </w:tc>
      </w:tr>
    </w:tbl>
    <w:p w14:paraId="636FBCFF">
      <w:pPr>
        <w:numPr>
          <w:ilvl w:val="2"/>
          <w:numId w:val="4"/>
        </w:numPr>
        <w:spacing w:line="600" w:lineRule="exact"/>
        <w:ind w:left="0" w:firstLine="0"/>
        <w:outlineLvl w:val="2"/>
        <w:rPr>
          <w:rFonts w:ascii="仿宋_GB2312" w:eastAsia="仿宋_GB2312"/>
          <w:b/>
          <w:sz w:val="30"/>
          <w:szCs w:val="30"/>
        </w:rPr>
      </w:pPr>
      <w:bookmarkStart w:id="2365" w:name="_Toc12542569"/>
      <w:bookmarkEnd w:id="2365"/>
      <w:bookmarkStart w:id="2366" w:name="_Toc12542568"/>
      <w:bookmarkEnd w:id="2366"/>
      <w:bookmarkStart w:id="2367" w:name="_Toc12542895"/>
      <w:bookmarkEnd w:id="2367"/>
      <w:bookmarkStart w:id="2368" w:name="_Toc12542896"/>
      <w:bookmarkEnd w:id="2368"/>
      <w:bookmarkStart w:id="2369" w:name="_Toc47467044"/>
      <w:r>
        <w:rPr>
          <w:rFonts w:hint="eastAsia" w:ascii="仿宋_GB2312" w:eastAsia="仿宋_GB2312"/>
          <w:b/>
          <w:sz w:val="30"/>
          <w:szCs w:val="30"/>
        </w:rPr>
        <w:t>逐笔成交行情</w:t>
      </w:r>
      <w:bookmarkEnd w:id="2369"/>
    </w:p>
    <w:p w14:paraId="36171232">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逐笔成交行情适用于债券现券、协议回购、三方回购等产品。</w:t>
      </w:r>
    </w:p>
    <w:p w14:paraId="36BB832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逐笔成交行情不包括多主体中标方式的竞买达成的交易信息，</w:t>
      </w:r>
      <w:r>
        <w:rPr>
          <w:rFonts w:hint="eastAsia" w:ascii="仿宋_GB2312" w:eastAsia="仿宋_GB2312"/>
          <w:b/>
          <w:bCs/>
          <w:color w:val="000000"/>
          <w:sz w:val="30"/>
          <w:szCs w:val="30"/>
        </w:rPr>
        <w:t>《债券交易规则》第一百一十七条发布债券现券匹配成交大额逐笔成交行情的规定暂缓实施</w:t>
      </w:r>
      <w:r>
        <w:rPr>
          <w:rFonts w:hint="eastAsia" w:ascii="仿宋_GB2312" w:hAnsi="宋体" w:eastAsia="仿宋_GB2312" w:cs="宋体"/>
          <w:b/>
          <w:bCs/>
          <w:kern w:val="0"/>
          <w:sz w:val="30"/>
          <w:szCs w:val="30"/>
        </w:rPr>
        <w:t>。</w:t>
      </w:r>
    </w:p>
    <w:p w14:paraId="763C1D38">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（1）债券现券</w:t>
      </w:r>
    </w:p>
    <w:p w14:paraId="02D739C7">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对于债券现券，本所逐笔发布债券投资者</w:t>
      </w:r>
      <w:r>
        <w:rPr>
          <w:rFonts w:hint="eastAsia" w:ascii="仿宋_GB2312" w:hAnsi="宋体" w:eastAsia="仿宋_GB2312"/>
          <w:sz w:val="30"/>
          <w:szCs w:val="30"/>
        </w:rPr>
        <w:t>通过</w:t>
      </w:r>
      <w:r>
        <w:rPr>
          <w:rFonts w:hint="eastAsia" w:ascii="仿宋_GB2312" w:hAnsi="宋体" w:eastAsia="仿宋_GB2312" w:cs="宋体"/>
          <w:kern w:val="0"/>
          <w:sz w:val="30"/>
          <w:szCs w:val="30"/>
        </w:rPr>
        <w:t>点击成交、询价成交、竞买成交（单一主体中标方式）、协商成交（含合并申报方式）方式达成交易的成交行情，包括</w:t>
      </w:r>
      <w:r>
        <w:rPr>
          <w:rFonts w:hint="eastAsia" w:ascii="仿宋_GB2312" w:hAnsi="宋体" w:eastAsia="仿宋_GB2312"/>
          <w:sz w:val="30"/>
          <w:szCs w:val="30"/>
        </w:rPr>
        <w:t>交易时间、成交价格、到期收益率、交易方式等信息。具体如下：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A4B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1058C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59470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384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97D22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52B5881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5983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C45F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26E941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0C7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1802D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1A25E2C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6871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EC230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0C3C77B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68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2727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成交价格</w:t>
            </w:r>
          </w:p>
        </w:tc>
        <w:tc>
          <w:tcPr>
            <w:tcW w:w="5493" w:type="dxa"/>
            <w:shd w:val="clear" w:color="auto" w:fill="FFFFFF"/>
            <w:vAlign w:val="center"/>
          </w:tcPr>
          <w:p w14:paraId="523B888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32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8F52A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FCC05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1AE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5404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0F3826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1.点击成交；2.询价成交；3.竞买成交；4.协商成交</w:t>
            </w:r>
          </w:p>
        </w:tc>
      </w:tr>
    </w:tbl>
    <w:p w14:paraId="164BA0AA">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通过协商成交（合并申报）</w:t>
      </w:r>
      <w:r>
        <w:rPr>
          <w:rFonts w:hint="eastAsia" w:ascii="仿宋_GB2312" w:hAnsi="宋体" w:eastAsia="仿宋_GB2312"/>
          <w:sz w:val="30"/>
          <w:szCs w:val="30"/>
        </w:rPr>
        <w:t>交易方式</w:t>
      </w:r>
      <w:r>
        <w:rPr>
          <w:rFonts w:hint="eastAsia" w:ascii="仿宋_GB2312" w:hAnsi="宋体" w:eastAsia="仿宋_GB2312" w:cs="宋体"/>
          <w:kern w:val="0"/>
          <w:sz w:val="30"/>
          <w:szCs w:val="30"/>
        </w:rPr>
        <w:t>达成的债券现券交易，在逐笔成交行情中交易方式展示为两笔协商成交的成交行情。</w:t>
      </w:r>
    </w:p>
    <w:p w14:paraId="64015F09">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（2）协议回购</w:t>
      </w:r>
    </w:p>
    <w:p w14:paraId="46F7904D">
      <w:pPr>
        <w:spacing w:line="600" w:lineRule="exact"/>
        <w:ind w:firstLine="600" w:firstLineChars="200"/>
        <w:rPr>
          <w:rFonts w:ascii="仿宋_GB2312" w:hAnsi="宋体" w:eastAsia="仿宋_GB2312"/>
          <w:sz w:val="30"/>
          <w:szCs w:val="30"/>
        </w:rPr>
      </w:pPr>
      <w:r>
        <w:rPr>
          <w:rFonts w:hint="eastAsia" w:ascii="仿宋_GB2312" w:hAnsi="宋体" w:eastAsia="仿宋_GB2312" w:cs="宋体"/>
          <w:kern w:val="0"/>
          <w:sz w:val="30"/>
          <w:szCs w:val="30"/>
        </w:rPr>
        <w:t>对于协议回购，本所逐笔发布债券投资者通过协商成交方式达成交易的成交行情，</w:t>
      </w:r>
      <w:r>
        <w:rPr>
          <w:rFonts w:hint="eastAsia" w:ascii="仿宋_GB2312" w:hAnsi="宋体" w:eastAsia="仿宋_GB2312"/>
          <w:sz w:val="30"/>
          <w:szCs w:val="30"/>
        </w:rPr>
        <w:t>包括回购利率、回购期限、交易方式等信息。具体如下：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677C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56011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04A2EE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E08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64AD90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528545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39A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25D3C4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771C86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8EB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446358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E6B6B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5D16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A38BE4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267180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FB2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3EF901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37230D5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610F2893">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（3）三方回购</w:t>
      </w:r>
    </w:p>
    <w:p w14:paraId="41B3BF00">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对于三方回购，本所逐笔发布债券投资者通过协商成交方式达成交易的成交行情，</w:t>
      </w:r>
      <w:r>
        <w:rPr>
          <w:rFonts w:hint="eastAsia" w:ascii="仿宋_GB2312" w:hAnsi="宋体" w:eastAsia="仿宋_GB2312"/>
          <w:sz w:val="30"/>
          <w:szCs w:val="30"/>
        </w:rPr>
        <w:t>包括回购利率、回购期限、质押券篮子、交易方式等信息。具体如下：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EE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1BFE9E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307C8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52A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249BBB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27AFA5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645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1950E8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44B380F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3A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A100E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531547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140D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12874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5471E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CB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7BB424C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55321BD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包括篮子1、篮子2、篮子3、篮子4、篮子5、篮子6、篮子7、篮子8等多种类型，可为多个篮子。</w:t>
            </w:r>
          </w:p>
        </w:tc>
      </w:tr>
      <w:tr w14:paraId="7B03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shd w:val="clear" w:color="auto" w:fill="FFFFFF"/>
            <w:vAlign w:val="center"/>
          </w:tcPr>
          <w:p w14:paraId="0AEB61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2B7AF8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3657077F">
      <w:pPr>
        <w:numPr>
          <w:ilvl w:val="1"/>
          <w:numId w:val="4"/>
        </w:numPr>
        <w:spacing w:line="600" w:lineRule="exact"/>
        <w:ind w:left="0" w:firstLine="0"/>
        <w:outlineLvl w:val="1"/>
        <w:rPr>
          <w:rFonts w:ascii="仿宋_GB2312" w:eastAsia="仿宋_GB2312"/>
          <w:b/>
          <w:sz w:val="30"/>
          <w:szCs w:val="30"/>
        </w:rPr>
      </w:pPr>
      <w:bookmarkStart w:id="2370" w:name="_Toc47374936"/>
      <w:bookmarkEnd w:id="2370"/>
      <w:bookmarkStart w:id="2371" w:name="_Toc47428417"/>
      <w:bookmarkEnd w:id="2371"/>
      <w:bookmarkStart w:id="2372" w:name="_Toc47465932"/>
      <w:bookmarkEnd w:id="2372"/>
      <w:bookmarkStart w:id="2373" w:name="_Toc47427150"/>
      <w:bookmarkEnd w:id="2373"/>
      <w:bookmarkStart w:id="2374" w:name="_Toc47458436"/>
      <w:bookmarkEnd w:id="2374"/>
      <w:bookmarkStart w:id="2375" w:name="_Toc47375480"/>
      <w:bookmarkEnd w:id="2375"/>
      <w:bookmarkStart w:id="2376" w:name="_Toc47467045"/>
      <w:bookmarkEnd w:id="2376"/>
      <w:bookmarkStart w:id="2377" w:name="_Toc56166114"/>
      <w:bookmarkStart w:id="2378" w:name="_Toc56166303"/>
      <w:bookmarkStart w:id="2379" w:name="_Toc47467046"/>
      <w:bookmarkStart w:id="2380" w:name="_Toc151137065"/>
      <w:r>
        <w:rPr>
          <w:rFonts w:hint="eastAsia" w:ascii="仿宋_GB2312" w:eastAsia="仿宋_GB2312"/>
          <w:b/>
          <w:sz w:val="30"/>
          <w:szCs w:val="30"/>
        </w:rPr>
        <w:t>统计行情</w:t>
      </w:r>
      <w:bookmarkEnd w:id="2377"/>
      <w:bookmarkEnd w:id="2378"/>
      <w:bookmarkEnd w:id="2379"/>
      <w:bookmarkEnd w:id="2380"/>
    </w:p>
    <w:p w14:paraId="220D7D3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统计数据是指本所或者本所授权机构在交易时间向全市场实时发布的当日申报和成交统计数据，包括申报统计行情、成交统计行情、开盘价和收盘价。</w:t>
      </w:r>
    </w:p>
    <w:p w14:paraId="51FEEBE7">
      <w:pPr>
        <w:numPr>
          <w:ilvl w:val="2"/>
          <w:numId w:val="4"/>
        </w:numPr>
        <w:spacing w:line="600" w:lineRule="exact"/>
        <w:ind w:left="0" w:firstLine="0"/>
        <w:outlineLvl w:val="2"/>
        <w:rPr>
          <w:rFonts w:ascii="仿宋_GB2312" w:eastAsia="仿宋_GB2312"/>
          <w:b/>
          <w:sz w:val="30"/>
          <w:szCs w:val="30"/>
        </w:rPr>
      </w:pPr>
      <w:bookmarkStart w:id="2381" w:name="_Toc47467047"/>
      <w:r>
        <w:rPr>
          <w:rFonts w:hint="eastAsia" w:ascii="仿宋_GB2312" w:eastAsia="仿宋_GB2312"/>
          <w:b/>
          <w:sz w:val="30"/>
          <w:szCs w:val="30"/>
        </w:rPr>
        <w:t>申报统计行情</w:t>
      </w:r>
      <w:bookmarkEnd w:id="2381"/>
    </w:p>
    <w:p w14:paraId="1A87B6DD">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申报统计行情适用于债券现券交易、通用回购交易等。</w:t>
      </w:r>
    </w:p>
    <w:p w14:paraId="28B93EF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B1CBA1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对于债券现券，本所实时发布债券投资者通过匹配成交、点击成交、询价成交及竞买成交方式提交的申报统计行情，其中，</w:t>
      </w:r>
      <w:r>
        <w:rPr>
          <w:rFonts w:hint="eastAsia" w:ascii="仿宋_GB2312" w:hAnsi="宋体" w:eastAsia="仿宋_GB2312"/>
          <w:b/>
          <w:bCs/>
          <w:sz w:val="30"/>
          <w:szCs w:val="30"/>
        </w:rPr>
        <w:t>匹配成交的行情和非匹配成交的行情分别通过不同渠道发送</w:t>
      </w:r>
      <w:r>
        <w:rPr>
          <w:rFonts w:hint="eastAsia" w:ascii="仿宋_GB2312" w:hAnsi="宋体" w:eastAsia="仿宋_GB2312"/>
          <w:sz w:val="30"/>
          <w:szCs w:val="30"/>
        </w:rPr>
        <w:t>；</w:t>
      </w:r>
      <w:r>
        <w:rPr>
          <w:rFonts w:hint="eastAsia" w:ascii="仿宋_GB2312" w:eastAsia="仿宋_GB2312"/>
          <w:color w:val="000000"/>
          <w:sz w:val="30"/>
          <w:szCs w:val="30"/>
        </w:rPr>
        <w:t>竞买成交的竞买发起申报以及单一主体中标方式下的应价申报计入申报统计行情中。</w:t>
      </w:r>
    </w:p>
    <w:p w14:paraId="150FD70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申报统计行情包括当日最高申买</w:t>
      </w:r>
      <w:r>
        <w:rPr>
          <w:rFonts w:ascii="仿宋_GB2312" w:hAnsi="宋体" w:eastAsia="仿宋_GB2312"/>
          <w:sz w:val="30"/>
          <w:szCs w:val="30"/>
        </w:rPr>
        <w:t>/卖价、</w:t>
      </w:r>
      <w:r>
        <w:rPr>
          <w:rFonts w:hint="eastAsia" w:ascii="仿宋_GB2312" w:hAnsi="宋体" w:eastAsia="仿宋_GB2312"/>
          <w:sz w:val="30"/>
          <w:szCs w:val="30"/>
        </w:rPr>
        <w:t>当日</w:t>
      </w:r>
      <w:r>
        <w:rPr>
          <w:rFonts w:ascii="仿宋_GB2312" w:hAnsi="宋体" w:eastAsia="仿宋_GB2312"/>
          <w:sz w:val="30"/>
          <w:szCs w:val="30"/>
        </w:rPr>
        <w:t>最低申买/卖价、当日最新申买/卖价、</w:t>
      </w:r>
      <w:r>
        <w:rPr>
          <w:rFonts w:hint="eastAsia" w:ascii="仿宋_GB2312" w:hAnsi="宋体" w:eastAsia="仿宋_GB2312"/>
          <w:sz w:val="30"/>
          <w:szCs w:val="30"/>
        </w:rPr>
        <w:t>当日</w:t>
      </w:r>
      <w:r>
        <w:rPr>
          <w:rFonts w:ascii="仿宋_GB2312" w:hAnsi="宋体" w:eastAsia="仿宋_GB2312"/>
          <w:sz w:val="30"/>
          <w:szCs w:val="30"/>
        </w:rPr>
        <w:t>加权平均申买/卖价、总申买/卖</w:t>
      </w:r>
      <w:r>
        <w:rPr>
          <w:rFonts w:hint="eastAsia" w:ascii="仿宋_GB2312" w:hAnsi="宋体" w:eastAsia="仿宋_GB2312"/>
          <w:sz w:val="30"/>
          <w:szCs w:val="30"/>
        </w:rPr>
        <w:t>数量</w:t>
      </w:r>
      <w:r>
        <w:rPr>
          <w:rFonts w:ascii="仿宋_GB2312" w:hAnsi="宋体" w:eastAsia="仿宋_GB2312"/>
          <w:sz w:val="30"/>
          <w:szCs w:val="30"/>
        </w:rPr>
        <w:t>、总申买/卖金额、总申买/卖笔数等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3EF7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6860B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386967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77A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41824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6CDB6C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58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8F05A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C2D783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F1A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3CF67E1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15AA9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C9B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8B3CC1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E6CB66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25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3C8F87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当日最高申买价</w:t>
            </w:r>
          </w:p>
        </w:tc>
        <w:tc>
          <w:tcPr>
            <w:tcW w:w="3917" w:type="dxa"/>
            <w:shd w:val="clear" w:color="auto" w:fill="FFFFFF"/>
            <w:vAlign w:val="center"/>
          </w:tcPr>
          <w:p w14:paraId="4ABBD98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E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76A9A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当日最低申买价</w:t>
            </w:r>
          </w:p>
        </w:tc>
        <w:tc>
          <w:tcPr>
            <w:tcW w:w="3917" w:type="dxa"/>
            <w:shd w:val="clear" w:color="auto" w:fill="FFFFFF"/>
            <w:vAlign w:val="center"/>
          </w:tcPr>
          <w:p w14:paraId="74FE043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CC8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C91C8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当日最新申买价</w:t>
            </w:r>
          </w:p>
        </w:tc>
        <w:tc>
          <w:tcPr>
            <w:tcW w:w="3917" w:type="dxa"/>
            <w:shd w:val="clear" w:color="auto" w:fill="FFFFFF"/>
            <w:vAlign w:val="center"/>
          </w:tcPr>
          <w:p w14:paraId="6EF5E2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2DF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610A92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当日加权平均申买价</w:t>
            </w:r>
          </w:p>
        </w:tc>
        <w:tc>
          <w:tcPr>
            <w:tcW w:w="3917" w:type="dxa"/>
            <w:shd w:val="clear" w:color="auto" w:fill="FFFFFF"/>
            <w:vAlign w:val="center"/>
          </w:tcPr>
          <w:p w14:paraId="40C5BA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68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0AFF7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当日最高申卖价</w:t>
            </w:r>
          </w:p>
        </w:tc>
        <w:tc>
          <w:tcPr>
            <w:tcW w:w="3917" w:type="dxa"/>
            <w:shd w:val="clear" w:color="auto" w:fill="FFFFFF"/>
            <w:vAlign w:val="center"/>
          </w:tcPr>
          <w:p w14:paraId="243770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83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57100B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当日最低申卖价</w:t>
            </w:r>
          </w:p>
        </w:tc>
        <w:tc>
          <w:tcPr>
            <w:tcW w:w="3917" w:type="dxa"/>
            <w:shd w:val="clear" w:color="auto" w:fill="FFFFFF"/>
            <w:vAlign w:val="center"/>
          </w:tcPr>
          <w:p w14:paraId="775FF2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6E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39A0F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当日最新申卖价</w:t>
            </w:r>
          </w:p>
        </w:tc>
        <w:tc>
          <w:tcPr>
            <w:tcW w:w="3917" w:type="dxa"/>
            <w:shd w:val="clear" w:color="auto" w:fill="FFFFFF"/>
            <w:vAlign w:val="center"/>
          </w:tcPr>
          <w:p w14:paraId="1B16AE3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0C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3749D0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当日加权平均申卖价</w:t>
            </w:r>
          </w:p>
        </w:tc>
        <w:tc>
          <w:tcPr>
            <w:tcW w:w="3917" w:type="dxa"/>
            <w:shd w:val="clear" w:color="auto" w:fill="FFFFFF"/>
            <w:vAlign w:val="center"/>
          </w:tcPr>
          <w:p w14:paraId="1E18618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A3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C9AF98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当日累计申买数量</w:t>
            </w:r>
          </w:p>
        </w:tc>
        <w:tc>
          <w:tcPr>
            <w:tcW w:w="3917" w:type="dxa"/>
            <w:shd w:val="clear" w:color="auto" w:fill="FFFFFF"/>
            <w:vAlign w:val="center"/>
          </w:tcPr>
          <w:p w14:paraId="77A4929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90E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4150E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434D91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3A6F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627F69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当日累计申买笔数</w:t>
            </w:r>
          </w:p>
        </w:tc>
        <w:tc>
          <w:tcPr>
            <w:tcW w:w="3917" w:type="dxa"/>
            <w:shd w:val="clear" w:color="auto" w:fill="FFFFFF"/>
            <w:vAlign w:val="center"/>
          </w:tcPr>
          <w:p w14:paraId="3B1349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5721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0F30ED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当日累计申卖数量</w:t>
            </w:r>
          </w:p>
        </w:tc>
        <w:tc>
          <w:tcPr>
            <w:tcW w:w="3917" w:type="dxa"/>
            <w:shd w:val="clear" w:color="auto" w:fill="FFFFFF"/>
            <w:vAlign w:val="center"/>
          </w:tcPr>
          <w:p w14:paraId="210651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4103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4AE88B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7A582D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695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5BEAF7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当日累计申卖笔数</w:t>
            </w:r>
          </w:p>
        </w:tc>
        <w:tc>
          <w:tcPr>
            <w:tcW w:w="3917" w:type="dxa"/>
            <w:shd w:val="clear" w:color="auto" w:fill="FFFFFF"/>
            <w:vAlign w:val="center"/>
          </w:tcPr>
          <w:p w14:paraId="00604DF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175397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602E5962">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对于通用回购，本所实时发布债券投资者通过匹配成交方式提交的申报统计行情。申报统计行情按回购代码进行统计，包括当日最高申买</w:t>
      </w:r>
      <w:r>
        <w:rPr>
          <w:rFonts w:ascii="仿宋_GB2312" w:hAnsi="宋体" w:eastAsia="仿宋_GB2312"/>
          <w:sz w:val="30"/>
          <w:szCs w:val="30"/>
        </w:rPr>
        <w:t>/卖利率、</w:t>
      </w:r>
      <w:r>
        <w:rPr>
          <w:rFonts w:hint="eastAsia" w:ascii="仿宋_GB2312" w:hAnsi="宋体" w:eastAsia="仿宋_GB2312"/>
          <w:sz w:val="30"/>
          <w:szCs w:val="30"/>
        </w:rPr>
        <w:t>当日最低申买</w:t>
      </w:r>
      <w:r>
        <w:rPr>
          <w:rFonts w:ascii="仿宋_GB2312" w:hAnsi="宋体" w:eastAsia="仿宋_GB2312"/>
          <w:sz w:val="30"/>
          <w:szCs w:val="30"/>
        </w:rPr>
        <w:t>/卖利率、当日最新申买/卖利率、</w:t>
      </w:r>
      <w:r>
        <w:rPr>
          <w:rFonts w:hint="eastAsia" w:ascii="仿宋_GB2312" w:hAnsi="宋体" w:eastAsia="仿宋_GB2312"/>
          <w:sz w:val="30"/>
          <w:szCs w:val="30"/>
        </w:rPr>
        <w:t>当日加权平均申买</w:t>
      </w:r>
      <w:r>
        <w:rPr>
          <w:rFonts w:ascii="仿宋_GB2312" w:hAnsi="宋体" w:eastAsia="仿宋_GB2312"/>
          <w:sz w:val="30"/>
          <w:szCs w:val="30"/>
        </w:rPr>
        <w:t>/卖利率、总申买/卖金额等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6E23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2450CF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211B28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2B0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CCDE6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5EF867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16D0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7B409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回购品种</w:t>
            </w:r>
          </w:p>
        </w:tc>
        <w:tc>
          <w:tcPr>
            <w:tcW w:w="3917" w:type="dxa"/>
            <w:shd w:val="clear" w:color="auto" w:fill="FFFFFF"/>
            <w:vAlign w:val="center"/>
          </w:tcPr>
          <w:p w14:paraId="620C035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通用回购品种</w:t>
            </w:r>
          </w:p>
        </w:tc>
      </w:tr>
      <w:tr w14:paraId="06C5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5E6B3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4E851D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778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79B8D7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208A7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C68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C46BB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当日最高申买利率</w:t>
            </w:r>
          </w:p>
        </w:tc>
        <w:tc>
          <w:tcPr>
            <w:tcW w:w="3917" w:type="dxa"/>
            <w:shd w:val="clear" w:color="auto" w:fill="FFFFFF"/>
            <w:vAlign w:val="center"/>
          </w:tcPr>
          <w:p w14:paraId="12E922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0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D3E3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当日最低申买利率</w:t>
            </w:r>
          </w:p>
        </w:tc>
        <w:tc>
          <w:tcPr>
            <w:tcW w:w="3917" w:type="dxa"/>
            <w:shd w:val="clear" w:color="auto" w:fill="FFFFFF"/>
            <w:vAlign w:val="center"/>
          </w:tcPr>
          <w:p w14:paraId="64B8E3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5C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7B4AD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当日最新申买利率</w:t>
            </w:r>
          </w:p>
        </w:tc>
        <w:tc>
          <w:tcPr>
            <w:tcW w:w="3917" w:type="dxa"/>
            <w:shd w:val="clear" w:color="auto" w:fill="FFFFFF"/>
            <w:vAlign w:val="center"/>
          </w:tcPr>
          <w:p w14:paraId="2D0CEC5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D90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27764B4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当日加权平均申买利率</w:t>
            </w:r>
          </w:p>
        </w:tc>
        <w:tc>
          <w:tcPr>
            <w:tcW w:w="3917" w:type="dxa"/>
            <w:shd w:val="clear" w:color="auto" w:fill="FFFFFF"/>
            <w:vAlign w:val="center"/>
          </w:tcPr>
          <w:p w14:paraId="126B982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83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AEC7F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当日最高申卖利率</w:t>
            </w:r>
          </w:p>
        </w:tc>
        <w:tc>
          <w:tcPr>
            <w:tcW w:w="3917" w:type="dxa"/>
            <w:shd w:val="clear" w:color="auto" w:fill="FFFFFF"/>
            <w:vAlign w:val="center"/>
          </w:tcPr>
          <w:p w14:paraId="523DB1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1E4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A56E7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当日最低申卖利率</w:t>
            </w:r>
          </w:p>
        </w:tc>
        <w:tc>
          <w:tcPr>
            <w:tcW w:w="3917" w:type="dxa"/>
            <w:shd w:val="clear" w:color="auto" w:fill="FFFFFF"/>
            <w:vAlign w:val="center"/>
          </w:tcPr>
          <w:p w14:paraId="01D1E64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E3D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99526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当日最新申卖利率</w:t>
            </w:r>
          </w:p>
        </w:tc>
        <w:tc>
          <w:tcPr>
            <w:tcW w:w="3917" w:type="dxa"/>
            <w:shd w:val="clear" w:color="auto" w:fill="FFFFFF"/>
            <w:vAlign w:val="center"/>
          </w:tcPr>
          <w:p w14:paraId="1D53144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034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84519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当日加权平均申卖利率</w:t>
            </w:r>
          </w:p>
        </w:tc>
        <w:tc>
          <w:tcPr>
            <w:tcW w:w="3917" w:type="dxa"/>
            <w:shd w:val="clear" w:color="auto" w:fill="FFFFFF"/>
            <w:vAlign w:val="center"/>
          </w:tcPr>
          <w:p w14:paraId="22CE1E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6F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E1795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7B9DBAB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1F6B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1B9AD8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0866AA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34B25D02">
      <w:pPr>
        <w:numPr>
          <w:ilvl w:val="2"/>
          <w:numId w:val="4"/>
        </w:numPr>
        <w:spacing w:line="600" w:lineRule="exact"/>
        <w:ind w:left="0" w:firstLine="0"/>
        <w:outlineLvl w:val="2"/>
        <w:rPr>
          <w:rFonts w:ascii="仿宋_GB2312" w:eastAsia="仿宋_GB2312"/>
          <w:b/>
          <w:sz w:val="30"/>
          <w:szCs w:val="30"/>
        </w:rPr>
      </w:pPr>
      <w:bookmarkStart w:id="2382" w:name="_Toc47467048"/>
      <w:bookmarkEnd w:id="2382"/>
      <w:bookmarkStart w:id="2383" w:name="_Toc47465935"/>
      <w:bookmarkEnd w:id="2383"/>
      <w:bookmarkStart w:id="2384" w:name="_Toc47458439"/>
      <w:bookmarkEnd w:id="2384"/>
      <w:bookmarkStart w:id="2385" w:name="_Toc47427153"/>
      <w:bookmarkEnd w:id="2385"/>
      <w:bookmarkStart w:id="2386" w:name="_Toc47374939"/>
      <w:bookmarkEnd w:id="2386"/>
      <w:bookmarkStart w:id="2387" w:name="_Toc47375483"/>
      <w:bookmarkEnd w:id="2387"/>
      <w:bookmarkStart w:id="2388" w:name="_Toc47428420"/>
      <w:bookmarkEnd w:id="2388"/>
      <w:bookmarkStart w:id="2389" w:name="_Toc47467049"/>
      <w:r>
        <w:rPr>
          <w:rFonts w:hint="eastAsia" w:ascii="仿宋_GB2312" w:eastAsia="仿宋_GB2312"/>
          <w:b/>
          <w:sz w:val="30"/>
          <w:szCs w:val="30"/>
        </w:rPr>
        <w:t>成交统计行情</w:t>
      </w:r>
      <w:bookmarkEnd w:id="2389"/>
    </w:p>
    <w:p w14:paraId="03FA96B9">
      <w:pPr>
        <w:widowControl/>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成交统计行情适用于债券现券、通用回购、协议回购、三方回购及国债预发行等产品。</w:t>
      </w:r>
    </w:p>
    <w:p w14:paraId="53F2A6F9">
      <w:pPr>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所有的行情要素（除特殊说明外）数据均基于相关品种采用的交易方式形成，相关交易方式包括匹配成交、点击成交、询价成交、竞买成交、协商成交。其中，</w:t>
      </w:r>
      <w:r>
        <w:rPr>
          <w:rFonts w:hint="eastAsia" w:ascii="仿宋_GB2312" w:hAnsi="宋体" w:eastAsia="仿宋_GB2312"/>
          <w:b/>
          <w:bCs/>
          <w:sz w:val="30"/>
          <w:szCs w:val="30"/>
        </w:rPr>
        <w:t>匹配成交的行情和非匹配成交的行情分别通过不同渠道发送。</w:t>
      </w:r>
    </w:p>
    <w:p w14:paraId="528546E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2E8A1FC">
      <w:pPr>
        <w:spacing w:line="600" w:lineRule="exact"/>
        <w:ind w:firstLine="528" w:firstLineChars="176"/>
        <w:rPr>
          <w:rFonts w:ascii="仿宋_GB2312" w:hAnsi="Calibri" w:eastAsia="仿宋_GB2312"/>
          <w:sz w:val="30"/>
          <w:szCs w:val="30"/>
        </w:rPr>
      </w:pPr>
      <w:r>
        <w:rPr>
          <w:rFonts w:hint="eastAsia" w:ascii="仿宋_GB2312" w:hAnsi="宋体" w:eastAsia="仿宋_GB2312"/>
          <w:sz w:val="30"/>
          <w:szCs w:val="30"/>
        </w:rPr>
        <w:t>对于债券现券，本所实时发布债券投资者通过匹配成交</w:t>
      </w:r>
      <w:r>
        <w:rPr>
          <w:rFonts w:ascii="仿宋_GB2312" w:hAnsi="宋体" w:eastAsia="仿宋_GB2312"/>
          <w:sz w:val="30"/>
          <w:szCs w:val="30"/>
        </w:rPr>
        <w:t>、点击成交、询价成交、协商成交（含</w:t>
      </w:r>
      <w:r>
        <w:rPr>
          <w:rFonts w:hint="eastAsia" w:ascii="仿宋_GB2312" w:hAnsi="仿宋" w:eastAsia="仿宋_GB2312"/>
          <w:sz w:val="30"/>
          <w:szCs w:val="30"/>
        </w:rPr>
        <w:t>合并申报</w:t>
      </w:r>
      <w:r>
        <w:rPr>
          <w:rFonts w:hint="eastAsia" w:ascii="仿宋_GB2312" w:hAnsi="宋体" w:eastAsia="仿宋_GB2312"/>
          <w:sz w:val="30"/>
          <w:szCs w:val="30"/>
        </w:rPr>
        <w:t>）及竞买成交方式达成的成交统计行情。成交统计行情按证券代码进行成交统计，并单独提供匹配成交的统计类信息</w:t>
      </w:r>
      <w:r>
        <w:rPr>
          <w:rFonts w:hint="eastAsia" w:ascii="仿宋_GB2312" w:hAnsi="Calibri" w:eastAsia="仿宋_GB2312"/>
          <w:sz w:val="30"/>
          <w:szCs w:val="30"/>
        </w:rPr>
        <w:t>。</w:t>
      </w:r>
    </w:p>
    <w:p w14:paraId="176127CC">
      <w:pPr>
        <w:spacing w:line="600" w:lineRule="exact"/>
        <w:ind w:firstLine="528" w:firstLineChars="176"/>
        <w:rPr>
          <w:rFonts w:ascii="仿宋_GB2312" w:hAnsi="Calibri" w:eastAsia="仿宋_GB2312"/>
          <w:sz w:val="30"/>
          <w:szCs w:val="30"/>
        </w:rPr>
      </w:pPr>
      <w:r>
        <w:rPr>
          <w:rFonts w:hint="eastAsia" w:ascii="仿宋_GB2312" w:hAnsi="Calibri" w:eastAsia="仿宋_GB2312"/>
          <w:sz w:val="30"/>
          <w:szCs w:val="30"/>
        </w:rPr>
        <w:t>匹配成交方式下，债券现券的成交统计行情包括</w:t>
      </w:r>
      <w:r>
        <w:rPr>
          <w:rFonts w:hint="eastAsia" w:ascii="仿宋_GB2312" w:eastAsia="仿宋_GB2312"/>
          <w:color w:val="000000"/>
          <w:sz w:val="30"/>
          <w:szCs w:val="30"/>
        </w:rPr>
        <w:t>当日最新成交价格、当日最高成交价格、当日最低成交价格、当日累计成交数量、当日累计成交金额等信息。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2905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4E703A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5CDA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7467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31C697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2F0A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B20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F26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5E31E7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D49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F2313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3CC3A2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185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332B50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0C5AB4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F6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7620466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2A8B2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15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902EB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491E2EB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0DD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56C5E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1E49E2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D96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AFEC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16F6E0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E79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DC1FD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01F3D34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A3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63F4C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76B547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5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B70729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232A689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A2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48F1A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6AF37A4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F53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149B4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5108692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233C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05F7BC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7544D05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063E7E06">
      <w:pPr>
        <w:spacing w:line="600" w:lineRule="exact"/>
        <w:ind w:firstLine="528" w:firstLineChars="176"/>
        <w:rPr>
          <w:rFonts w:ascii="仿宋_GB2312" w:hAnsi="宋体" w:eastAsia="仿宋_GB2312"/>
          <w:sz w:val="30"/>
          <w:szCs w:val="30"/>
        </w:rPr>
      </w:pPr>
      <w:r>
        <w:rPr>
          <w:rFonts w:hint="eastAsia" w:ascii="仿宋_GB2312" w:hAnsi="Calibri" w:eastAsia="仿宋_GB2312"/>
          <w:sz w:val="30"/>
          <w:szCs w:val="30"/>
        </w:rPr>
        <w:t>非匹配成交方式下，债券现券的成交统计行情包括</w:t>
      </w:r>
      <w:r>
        <w:rPr>
          <w:rFonts w:hint="eastAsia" w:ascii="仿宋_GB2312" w:eastAsia="仿宋_GB2312"/>
          <w:color w:val="000000"/>
          <w:sz w:val="30"/>
          <w:szCs w:val="30"/>
        </w:rPr>
        <w:t>当日最新成交价格、当日最高成交价格、当日最低成交价格、当日加权平均价格、当日累计成交数量、当日累计成交金额等信息。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7EF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C096B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C8D3B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4B10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BA5975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74C1B08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44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41521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4306248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798B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21BE8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5B1698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80A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06E52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7FF5A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B50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51FE83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350366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A26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97CCD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3556A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F11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5720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012BD7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5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82F27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F909CD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A0A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B89E74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386B3F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53D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1230E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1B70B16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76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5ED78E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458463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680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0F5EE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160356A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4CB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A0287E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6AD7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805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D39A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38B187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899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FB74D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08FAAE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279A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E0971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当日最高收益率</w:t>
            </w:r>
          </w:p>
        </w:tc>
        <w:tc>
          <w:tcPr>
            <w:tcW w:w="3917" w:type="dxa"/>
            <w:shd w:val="clear" w:color="auto" w:fill="FFFFFF"/>
            <w:vAlign w:val="center"/>
          </w:tcPr>
          <w:p w14:paraId="35B518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302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16355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当日最低收益率</w:t>
            </w:r>
          </w:p>
        </w:tc>
        <w:tc>
          <w:tcPr>
            <w:tcW w:w="3917" w:type="dxa"/>
            <w:shd w:val="clear" w:color="auto" w:fill="FFFFFF"/>
          </w:tcPr>
          <w:p w14:paraId="5F66A2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335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81132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当日最新收益率</w:t>
            </w:r>
          </w:p>
        </w:tc>
        <w:tc>
          <w:tcPr>
            <w:tcW w:w="3917" w:type="dxa"/>
            <w:shd w:val="clear" w:color="auto" w:fill="FFFFFF"/>
          </w:tcPr>
          <w:p w14:paraId="0182E7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bl>
    <w:p w14:paraId="2698FD2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6A509B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对于通用回购，本所实时发布债券投资者通过匹配成交方式达成的成交统计行情，成交统计行情按回购代码进行成交统计。</w:t>
      </w:r>
    </w:p>
    <w:p w14:paraId="3671D7C5">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通用回购的成交统计行情包括昨日收盘利率、昨日加权平均利率、当日开盘利率、当日最高利率、当日最低利率、当日最新利率、当日收盘利率、当日加权平均利率、当日累计成交金额、等信息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7E02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9FB5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238269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5A6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943E09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311DF20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08AA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C4089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3917" w:type="dxa"/>
            <w:shd w:val="clear" w:color="auto" w:fill="FFFFFF"/>
            <w:vAlign w:val="center"/>
          </w:tcPr>
          <w:p w14:paraId="258E7F2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通用回购简称</w:t>
            </w:r>
          </w:p>
        </w:tc>
      </w:tr>
      <w:tr w14:paraId="4140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0A9A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5F044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549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BC37A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ACF11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31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C076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156812B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968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EEA6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3E4366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7AA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796D8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54F583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226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19BA0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56C94C7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078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47E1E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4A6F23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3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5E8E7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D24CFE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4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FFE79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7A70B8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E40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DE7010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C8881B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456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77F98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DBA60C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B89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D0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6FEBD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2F58E05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（3）协议回购</w:t>
      </w:r>
    </w:p>
    <w:p w14:paraId="4BD17130">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sz w:val="30"/>
          <w:szCs w:val="30"/>
        </w:rPr>
        <w:t>对于协议回购，本所实时发布债券投资者通过协商成交方式达成的成交统计行情。</w:t>
      </w:r>
      <w:r>
        <w:rPr>
          <w:rFonts w:hint="eastAsia" w:ascii="仿宋_GB2312" w:hAnsi="宋体" w:eastAsia="仿宋_GB2312" w:cs="宋体"/>
          <w:kern w:val="0"/>
          <w:sz w:val="30"/>
          <w:szCs w:val="30"/>
        </w:rPr>
        <w:t>协议回购的成交统计行情与申报统计行情维度一致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w:t>
      </w:r>
    </w:p>
    <w:p w14:paraId="06C30C6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议回购的成交统计行情包括回购期限、昨日收盘利率、昨日加权平均利率、当日开盘利率、当日最高利率、当日最低利率、当日最新利率、当日收盘利率、当日加权平均利率、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22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BEDA9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71EA28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822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2F6D99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22D224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5C68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6B260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56546B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130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6B6C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46C7FBB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C04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B2852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451601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单位：天</w:t>
            </w:r>
          </w:p>
        </w:tc>
      </w:tr>
      <w:tr w14:paraId="283A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E83F6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2C191F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6A0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A0A4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4984DA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E91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01F8E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64F3B91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D6D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DB584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7827EAA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8B7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6D9E7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2E5240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5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BA6B4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81916E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CDD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D4F6E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11A8B72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D1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011F1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7FB55B2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D6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B9F1C3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40EA93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28A2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6AB56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59F7744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5301EEF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（4）三方回购</w:t>
      </w:r>
    </w:p>
    <w:p w14:paraId="00EB052C">
      <w:pPr>
        <w:widowControl/>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sz w:val="30"/>
          <w:szCs w:val="30"/>
        </w:rPr>
        <w:t>对于三方回购，本所实时发布债券投资者通过协商成交方式达成的成交统计行情。</w:t>
      </w:r>
      <w:r>
        <w:rPr>
          <w:rFonts w:hint="eastAsia" w:ascii="仿宋_GB2312" w:hAnsi="宋体" w:eastAsia="仿宋_GB2312" w:cs="宋体"/>
          <w:kern w:val="0"/>
          <w:sz w:val="30"/>
          <w:szCs w:val="30"/>
        </w:rPr>
        <w:t>三方回购的成交统计行情与申报统计行情维度一致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进行成交统计。九个类型对应代码分别为</w:t>
      </w:r>
      <w:r>
        <w:rPr>
          <w:rFonts w:ascii="仿宋_GB2312" w:hAnsi="宋体" w:eastAsia="仿宋_GB2312"/>
          <w:sz w:val="30"/>
          <w:szCs w:val="30"/>
        </w:rPr>
        <w:t>207001</w:t>
      </w:r>
      <w:r>
        <w:rPr>
          <w:rFonts w:hint="eastAsia" w:ascii="仿宋_GB2312" w:hAnsi="宋体" w:eastAsia="仿宋_GB2312"/>
          <w:sz w:val="30"/>
          <w:szCs w:val="30"/>
        </w:rPr>
        <w:t>、</w:t>
      </w:r>
      <w:r>
        <w:rPr>
          <w:rFonts w:ascii="仿宋_GB2312" w:hAnsi="宋体" w:eastAsia="仿宋_GB2312"/>
          <w:sz w:val="30"/>
          <w:szCs w:val="30"/>
        </w:rPr>
        <w:t>207007</w:t>
      </w:r>
      <w:r>
        <w:rPr>
          <w:rFonts w:hint="eastAsia" w:ascii="仿宋_GB2312" w:hAnsi="宋体" w:eastAsia="仿宋_GB2312"/>
          <w:sz w:val="30"/>
          <w:szCs w:val="30"/>
        </w:rPr>
        <w:t>、</w:t>
      </w:r>
      <w:r>
        <w:rPr>
          <w:rFonts w:ascii="仿宋_GB2312" w:hAnsi="宋体" w:eastAsia="仿宋_GB2312"/>
          <w:sz w:val="30"/>
          <w:szCs w:val="30"/>
        </w:rPr>
        <w:t>207014</w:t>
      </w:r>
      <w:r>
        <w:rPr>
          <w:rFonts w:hint="eastAsia" w:ascii="仿宋_GB2312" w:hAnsi="宋体" w:eastAsia="仿宋_GB2312"/>
          <w:sz w:val="30"/>
          <w:szCs w:val="30"/>
        </w:rPr>
        <w:t>、</w:t>
      </w:r>
      <w:r>
        <w:rPr>
          <w:rFonts w:ascii="仿宋_GB2312" w:hAnsi="宋体" w:eastAsia="仿宋_GB2312"/>
          <w:sz w:val="30"/>
          <w:szCs w:val="30"/>
        </w:rPr>
        <w:t>207021</w:t>
      </w:r>
      <w:r>
        <w:rPr>
          <w:rFonts w:hint="eastAsia" w:ascii="仿宋_GB2312" w:hAnsi="宋体" w:eastAsia="仿宋_GB2312"/>
          <w:sz w:val="30"/>
          <w:szCs w:val="30"/>
        </w:rPr>
        <w:t>、</w:t>
      </w:r>
      <w:r>
        <w:rPr>
          <w:rFonts w:ascii="仿宋_GB2312" w:hAnsi="宋体" w:eastAsia="仿宋_GB2312"/>
          <w:sz w:val="30"/>
          <w:szCs w:val="30"/>
        </w:rPr>
        <w:t>207030</w:t>
      </w:r>
      <w:r>
        <w:rPr>
          <w:rFonts w:hint="eastAsia" w:ascii="仿宋_GB2312" w:hAnsi="宋体" w:eastAsia="仿宋_GB2312"/>
          <w:sz w:val="30"/>
          <w:szCs w:val="30"/>
        </w:rPr>
        <w:t>、</w:t>
      </w:r>
      <w:r>
        <w:rPr>
          <w:rFonts w:ascii="仿宋_GB2312" w:hAnsi="宋体" w:eastAsia="仿宋_GB2312"/>
          <w:sz w:val="30"/>
          <w:szCs w:val="30"/>
        </w:rPr>
        <w:t>207090</w:t>
      </w:r>
      <w:r>
        <w:rPr>
          <w:rFonts w:hint="eastAsia" w:ascii="仿宋_GB2312" w:hAnsi="宋体" w:eastAsia="仿宋_GB2312"/>
          <w:sz w:val="30"/>
          <w:szCs w:val="30"/>
        </w:rPr>
        <w:t>、</w:t>
      </w:r>
      <w:r>
        <w:rPr>
          <w:rFonts w:ascii="仿宋_GB2312" w:hAnsi="宋体" w:eastAsia="仿宋_GB2312"/>
          <w:sz w:val="30"/>
          <w:szCs w:val="30"/>
        </w:rPr>
        <w:t>207180</w:t>
      </w:r>
      <w:r>
        <w:rPr>
          <w:rFonts w:hint="eastAsia" w:ascii="仿宋_GB2312" w:hAnsi="宋体" w:eastAsia="仿宋_GB2312"/>
          <w:sz w:val="30"/>
          <w:szCs w:val="30"/>
        </w:rPr>
        <w:t>、</w:t>
      </w:r>
      <w:r>
        <w:rPr>
          <w:rFonts w:ascii="仿宋_GB2312" w:hAnsi="宋体" w:eastAsia="仿宋_GB2312"/>
          <w:sz w:val="30"/>
          <w:szCs w:val="30"/>
        </w:rPr>
        <w:t>207270</w:t>
      </w:r>
      <w:r>
        <w:rPr>
          <w:rFonts w:hint="eastAsia" w:ascii="仿宋_GB2312" w:hAnsi="宋体" w:eastAsia="仿宋_GB2312"/>
          <w:sz w:val="30"/>
          <w:szCs w:val="30"/>
        </w:rPr>
        <w:t>、</w:t>
      </w:r>
      <w:r>
        <w:rPr>
          <w:rFonts w:ascii="仿宋_GB2312" w:hAnsi="宋体" w:eastAsia="仿宋_GB2312"/>
          <w:sz w:val="30"/>
          <w:szCs w:val="30"/>
        </w:rPr>
        <w:t>207365</w:t>
      </w:r>
      <w:r>
        <w:rPr>
          <w:rFonts w:hint="eastAsia" w:ascii="仿宋_GB2312" w:hAnsi="宋体" w:eastAsia="仿宋_GB2312"/>
          <w:sz w:val="30"/>
          <w:szCs w:val="30"/>
        </w:rPr>
        <w:t>，简称分别为</w:t>
      </w:r>
      <w:r>
        <w:rPr>
          <w:rFonts w:ascii="仿宋_GB2312" w:hAnsi="宋体" w:eastAsia="仿宋_GB2312"/>
          <w:sz w:val="30"/>
          <w:szCs w:val="30"/>
        </w:rPr>
        <w:t>TPR001</w:t>
      </w:r>
      <w:r>
        <w:rPr>
          <w:rFonts w:hint="eastAsia" w:ascii="仿宋_GB2312" w:hAnsi="宋体" w:eastAsia="仿宋_GB2312"/>
          <w:sz w:val="30"/>
          <w:szCs w:val="30"/>
        </w:rPr>
        <w:t>、</w:t>
      </w:r>
      <w:r>
        <w:rPr>
          <w:rFonts w:ascii="仿宋_GB2312" w:hAnsi="宋体" w:eastAsia="仿宋_GB2312"/>
          <w:sz w:val="30"/>
          <w:szCs w:val="30"/>
        </w:rPr>
        <w:t>TPR007</w:t>
      </w:r>
      <w:r>
        <w:rPr>
          <w:rFonts w:hint="eastAsia" w:ascii="仿宋_GB2312" w:hAnsi="宋体" w:eastAsia="仿宋_GB2312"/>
          <w:sz w:val="30"/>
          <w:szCs w:val="30"/>
        </w:rPr>
        <w:t>、</w:t>
      </w:r>
      <w:r>
        <w:rPr>
          <w:rFonts w:ascii="仿宋_GB2312" w:hAnsi="宋体" w:eastAsia="仿宋_GB2312"/>
          <w:sz w:val="30"/>
          <w:szCs w:val="30"/>
        </w:rPr>
        <w:t>TPR014</w:t>
      </w:r>
      <w:r>
        <w:rPr>
          <w:rFonts w:hint="eastAsia" w:ascii="仿宋_GB2312" w:hAnsi="宋体" w:eastAsia="仿宋_GB2312"/>
          <w:sz w:val="30"/>
          <w:szCs w:val="30"/>
        </w:rPr>
        <w:t>、</w:t>
      </w:r>
      <w:r>
        <w:rPr>
          <w:rFonts w:ascii="仿宋_GB2312" w:hAnsi="宋体" w:eastAsia="仿宋_GB2312"/>
          <w:sz w:val="30"/>
          <w:szCs w:val="30"/>
        </w:rPr>
        <w:t>TPR021</w:t>
      </w:r>
      <w:r>
        <w:rPr>
          <w:rFonts w:hint="eastAsia" w:ascii="仿宋_GB2312" w:hAnsi="宋体" w:eastAsia="仿宋_GB2312"/>
          <w:sz w:val="30"/>
          <w:szCs w:val="30"/>
        </w:rPr>
        <w:t>、</w:t>
      </w:r>
      <w:r>
        <w:rPr>
          <w:rFonts w:ascii="仿宋_GB2312" w:hAnsi="宋体" w:eastAsia="仿宋_GB2312"/>
          <w:sz w:val="30"/>
          <w:szCs w:val="30"/>
        </w:rPr>
        <w:t>TPR1M</w:t>
      </w:r>
      <w:r>
        <w:rPr>
          <w:rFonts w:hint="eastAsia" w:ascii="仿宋_GB2312" w:hAnsi="宋体" w:eastAsia="仿宋_GB2312"/>
          <w:sz w:val="30"/>
          <w:szCs w:val="30"/>
        </w:rPr>
        <w:t>、</w:t>
      </w:r>
      <w:r>
        <w:rPr>
          <w:rFonts w:ascii="仿宋_GB2312" w:hAnsi="宋体" w:eastAsia="仿宋_GB2312"/>
          <w:sz w:val="30"/>
          <w:szCs w:val="30"/>
        </w:rPr>
        <w:t>TPR3M</w:t>
      </w:r>
      <w:r>
        <w:rPr>
          <w:rFonts w:hint="eastAsia" w:ascii="仿宋_GB2312" w:hAnsi="宋体" w:eastAsia="仿宋_GB2312"/>
          <w:sz w:val="30"/>
          <w:szCs w:val="30"/>
        </w:rPr>
        <w:t>、</w:t>
      </w:r>
      <w:r>
        <w:rPr>
          <w:rFonts w:ascii="仿宋_GB2312" w:hAnsi="宋体" w:eastAsia="仿宋_GB2312"/>
          <w:sz w:val="30"/>
          <w:szCs w:val="30"/>
        </w:rPr>
        <w:t>TPR6M</w:t>
      </w:r>
      <w:r>
        <w:rPr>
          <w:rFonts w:hint="eastAsia" w:ascii="仿宋_GB2312" w:hAnsi="宋体" w:eastAsia="仿宋_GB2312"/>
          <w:sz w:val="30"/>
          <w:szCs w:val="30"/>
        </w:rPr>
        <w:t>、</w:t>
      </w:r>
      <w:r>
        <w:rPr>
          <w:rFonts w:ascii="仿宋_GB2312" w:hAnsi="宋体" w:eastAsia="仿宋_GB2312"/>
          <w:sz w:val="30"/>
          <w:szCs w:val="30"/>
        </w:rPr>
        <w:t>TPR9M</w:t>
      </w:r>
      <w:r>
        <w:rPr>
          <w:rFonts w:hint="eastAsia" w:ascii="仿宋_GB2312" w:hAnsi="宋体" w:eastAsia="仿宋_GB2312"/>
          <w:sz w:val="30"/>
          <w:szCs w:val="30"/>
        </w:rPr>
        <w:t>、</w:t>
      </w:r>
      <w:r>
        <w:rPr>
          <w:rFonts w:ascii="仿宋_GB2312" w:hAnsi="宋体" w:eastAsia="仿宋_GB2312"/>
          <w:sz w:val="30"/>
          <w:szCs w:val="30"/>
        </w:rPr>
        <w:t>TPR12M</w:t>
      </w:r>
      <w:r>
        <w:rPr>
          <w:rFonts w:hint="eastAsia" w:ascii="仿宋_GB2312" w:hAnsi="宋体" w:eastAsia="仿宋_GB2312"/>
          <w:sz w:val="30"/>
          <w:szCs w:val="30"/>
        </w:rPr>
        <w:t>。其中，</w:t>
      </w:r>
      <w:r>
        <w:rPr>
          <w:rFonts w:ascii="仿宋_GB2312" w:hAnsi="宋体" w:eastAsia="仿宋_GB2312"/>
          <w:sz w:val="30"/>
          <w:szCs w:val="30"/>
        </w:rPr>
        <w:t>TPR001</w:t>
      </w:r>
      <w:r>
        <w:rPr>
          <w:rFonts w:hint="eastAsia" w:ascii="仿宋_GB2312" w:hAnsi="宋体" w:eastAsia="仿宋_GB2312"/>
          <w:sz w:val="30"/>
          <w:szCs w:val="30"/>
        </w:rPr>
        <w:t>为隔夜三方回购的加权平均利率；</w:t>
      </w:r>
      <w:r>
        <w:rPr>
          <w:rFonts w:ascii="仿宋_GB2312" w:hAnsi="宋体" w:eastAsia="仿宋_GB2312"/>
          <w:sz w:val="30"/>
          <w:szCs w:val="30"/>
        </w:rPr>
        <w:t>TPR007</w:t>
      </w:r>
      <w:r>
        <w:rPr>
          <w:rFonts w:hint="eastAsia" w:ascii="仿宋_GB2312" w:hAnsi="宋体" w:eastAsia="仿宋_GB2312"/>
          <w:sz w:val="30"/>
          <w:szCs w:val="30"/>
        </w:rPr>
        <w:t>为</w:t>
      </w:r>
      <w:r>
        <w:rPr>
          <w:rFonts w:ascii="仿宋_GB2312" w:hAnsi="宋体" w:eastAsia="仿宋_GB2312"/>
          <w:sz w:val="30"/>
          <w:szCs w:val="30"/>
        </w:rPr>
        <w:t>2-7</w:t>
      </w:r>
      <w:r>
        <w:rPr>
          <w:rFonts w:hint="eastAsia" w:ascii="仿宋_GB2312" w:hAnsi="宋体" w:eastAsia="仿宋_GB2312"/>
          <w:sz w:val="30"/>
          <w:szCs w:val="30"/>
        </w:rPr>
        <w:t>天的回购加权平均利率；</w:t>
      </w:r>
      <w:r>
        <w:rPr>
          <w:rFonts w:ascii="仿宋_GB2312" w:hAnsi="宋体" w:eastAsia="仿宋_GB2312"/>
          <w:sz w:val="30"/>
          <w:szCs w:val="30"/>
        </w:rPr>
        <w:t>TPR014</w:t>
      </w:r>
      <w:r>
        <w:rPr>
          <w:rFonts w:hint="eastAsia" w:ascii="仿宋_GB2312" w:hAnsi="宋体" w:eastAsia="仿宋_GB2312"/>
          <w:sz w:val="30"/>
          <w:szCs w:val="30"/>
        </w:rPr>
        <w:t>为</w:t>
      </w:r>
      <w:r>
        <w:rPr>
          <w:rFonts w:ascii="仿宋_GB2312" w:hAnsi="宋体" w:eastAsia="仿宋_GB2312"/>
          <w:sz w:val="30"/>
          <w:szCs w:val="30"/>
        </w:rPr>
        <w:t>8-14</w:t>
      </w:r>
      <w:r>
        <w:rPr>
          <w:rFonts w:hint="eastAsia" w:ascii="仿宋_GB2312" w:hAnsi="宋体" w:eastAsia="仿宋_GB2312"/>
          <w:sz w:val="30"/>
          <w:szCs w:val="30"/>
        </w:rPr>
        <w:t>天的加权平均利率，</w:t>
      </w:r>
      <w:r>
        <w:rPr>
          <w:rFonts w:ascii="仿宋_GB2312" w:hAnsi="宋体" w:eastAsia="仿宋_GB2312"/>
          <w:sz w:val="30"/>
          <w:szCs w:val="30"/>
        </w:rPr>
        <w:t>TPR021</w:t>
      </w:r>
      <w:r>
        <w:rPr>
          <w:rFonts w:hint="eastAsia" w:ascii="仿宋_GB2312" w:hAnsi="宋体" w:eastAsia="仿宋_GB2312"/>
          <w:sz w:val="30"/>
          <w:szCs w:val="30"/>
        </w:rPr>
        <w:t>为</w:t>
      </w:r>
      <w:r>
        <w:rPr>
          <w:rFonts w:ascii="仿宋_GB2312" w:hAnsi="宋体" w:eastAsia="仿宋_GB2312"/>
          <w:sz w:val="30"/>
          <w:szCs w:val="30"/>
        </w:rPr>
        <w:t>15-21</w:t>
      </w:r>
      <w:r>
        <w:rPr>
          <w:rFonts w:hint="eastAsia" w:ascii="仿宋_GB2312" w:hAnsi="宋体" w:eastAsia="仿宋_GB2312"/>
          <w:sz w:val="30"/>
          <w:szCs w:val="30"/>
        </w:rPr>
        <w:t>天的加权平均利率，</w:t>
      </w:r>
      <w:r>
        <w:rPr>
          <w:rFonts w:ascii="仿宋_GB2312" w:hAnsi="宋体" w:eastAsia="仿宋_GB2312"/>
          <w:sz w:val="30"/>
          <w:szCs w:val="30"/>
        </w:rPr>
        <w:t>TPR1M</w:t>
      </w:r>
      <w:r>
        <w:rPr>
          <w:rFonts w:hint="eastAsia" w:ascii="仿宋_GB2312" w:hAnsi="宋体" w:eastAsia="仿宋_GB2312"/>
          <w:sz w:val="30"/>
          <w:szCs w:val="30"/>
        </w:rPr>
        <w:t>为期限大于</w:t>
      </w:r>
      <w:r>
        <w:rPr>
          <w:rFonts w:ascii="仿宋_GB2312" w:hAnsi="宋体" w:eastAsia="仿宋_GB2312"/>
          <w:sz w:val="30"/>
          <w:szCs w:val="30"/>
        </w:rPr>
        <w:t>21</w:t>
      </w:r>
      <w:r>
        <w:rPr>
          <w:rFonts w:hint="eastAsia" w:ascii="仿宋_GB2312" w:hAnsi="宋体" w:eastAsia="仿宋_GB2312"/>
          <w:sz w:val="30"/>
          <w:szCs w:val="30"/>
        </w:rPr>
        <w:t>天、小于等于</w:t>
      </w:r>
      <w:r>
        <w:rPr>
          <w:rFonts w:ascii="仿宋_GB2312" w:hAnsi="宋体" w:eastAsia="仿宋_GB2312"/>
          <w:sz w:val="30"/>
          <w:szCs w:val="30"/>
        </w:rPr>
        <w:t>1</w:t>
      </w:r>
      <w:r>
        <w:rPr>
          <w:rFonts w:hint="eastAsia" w:ascii="仿宋_GB2312" w:hAnsi="宋体" w:eastAsia="仿宋_GB2312"/>
          <w:sz w:val="30"/>
          <w:szCs w:val="30"/>
        </w:rPr>
        <w:t>个月的加权平均利率。</w:t>
      </w:r>
    </w:p>
    <w:p w14:paraId="767A9A4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三方回购的成交统计行情包括回购期限、昨日收盘利率、昨日加权平均利率、当日开盘利率、当日最高利率、当日最低利率、当日最新利率、当日收盘利率、当日加权平均利率、当日累计成交金额、当日累计成交笔数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5758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82C62C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E7869C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BEE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F8701E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E159BF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A41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7C439F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4EB97A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CC5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2BD5CC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B3BD77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7D0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vAlign w:val="center"/>
          </w:tcPr>
          <w:p w14:paraId="1AFFE4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2170C45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三方回购约定期限，单位：天</w:t>
            </w:r>
          </w:p>
        </w:tc>
      </w:tr>
      <w:tr w14:paraId="6B33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160CDC0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77339F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FF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47FC86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0376C0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25F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4D3BCA3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0A1BFC6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AE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C9DAA9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B5FCC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AA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5D42B6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342721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8B7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1348F9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41A7A8D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C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61A6B0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4F0DAD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AA1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3DB2AD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28A4FC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735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2ECADE8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298241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BA6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60" w:type="dxa"/>
            <w:shd w:val="clear" w:color="auto" w:fill="FFFFFF"/>
          </w:tcPr>
          <w:p w14:paraId="1B01E3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65F0190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7EB735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（5）国债预发行</w:t>
      </w:r>
    </w:p>
    <w:p w14:paraId="5F25862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国债预发行，本所实时发布债券投资者通过匹配成交方式达成的成交统计行情。国债预发行的成交统计行情按预发行代码进行成交统计，通过价格招标发行的，价格单位为人民币元（三位小数）；通过利率招标发行的，价格单位为百分数</w:t>
      </w:r>
      <w:r>
        <w:rPr>
          <w:rFonts w:ascii="仿宋_GB2312" w:hAnsi="宋体" w:eastAsia="仿宋_GB2312"/>
          <w:sz w:val="30"/>
          <w:szCs w:val="30"/>
        </w:rPr>
        <w:t>%（</w:t>
      </w:r>
      <w:r>
        <w:rPr>
          <w:rFonts w:hint="eastAsia" w:ascii="仿宋_GB2312" w:hAnsi="宋体" w:eastAsia="仿宋_GB2312"/>
          <w:sz w:val="30"/>
          <w:szCs w:val="30"/>
        </w:rPr>
        <w:t>三</w:t>
      </w:r>
      <w:r>
        <w:rPr>
          <w:rFonts w:ascii="仿宋_GB2312" w:hAnsi="宋体" w:eastAsia="仿宋_GB2312"/>
          <w:sz w:val="30"/>
          <w:szCs w:val="30"/>
        </w:rPr>
        <w:t>位小数）。</w:t>
      </w:r>
    </w:p>
    <w:p w14:paraId="5CB5625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国债预发行的成交统计行情包括昨日收盘价、昨日加权平均价、当日开盘价、当日最高价、当日最低价、当日最新价、当日收盘价、当日加权平均价、当日累计成交数量、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749"/>
        <w:gridCol w:w="4728"/>
      </w:tblGrid>
      <w:tr w14:paraId="5C30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749" w:type="dxa"/>
            <w:shd w:val="clear" w:color="auto" w:fill="FFFFFF"/>
            <w:vAlign w:val="center"/>
          </w:tcPr>
          <w:p w14:paraId="31BBB8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4728" w:type="dxa"/>
            <w:shd w:val="clear" w:color="auto" w:fill="FFFFFF"/>
            <w:vAlign w:val="center"/>
          </w:tcPr>
          <w:p w14:paraId="0335BB1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773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45F8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4728" w:type="dxa"/>
            <w:shd w:val="clear" w:color="auto" w:fill="FFFFFF"/>
            <w:vAlign w:val="center"/>
          </w:tcPr>
          <w:p w14:paraId="39466E9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预发行交易代码</w:t>
            </w:r>
          </w:p>
        </w:tc>
      </w:tr>
      <w:tr w14:paraId="16E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0C33DA9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4728" w:type="dxa"/>
            <w:shd w:val="clear" w:color="auto" w:fill="FFFFFF"/>
            <w:vAlign w:val="center"/>
          </w:tcPr>
          <w:p w14:paraId="65F6E06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预发行交易简称</w:t>
            </w:r>
          </w:p>
        </w:tc>
      </w:tr>
      <w:tr w14:paraId="7E4F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C12EB4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4728" w:type="dxa"/>
            <w:shd w:val="clear" w:color="auto" w:fill="FFFFFF"/>
            <w:vAlign w:val="center"/>
          </w:tcPr>
          <w:p w14:paraId="4733D8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FEE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B240C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4728" w:type="dxa"/>
            <w:shd w:val="clear" w:color="auto" w:fill="FFFFFF"/>
            <w:vAlign w:val="center"/>
          </w:tcPr>
          <w:p w14:paraId="4E60A4F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4EB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E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4728" w:type="dxa"/>
            <w:shd w:val="clear" w:color="auto" w:fill="FFFFFF"/>
            <w:vAlign w:val="center"/>
          </w:tcPr>
          <w:p w14:paraId="386E1AD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7C8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5B5796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4728" w:type="dxa"/>
            <w:shd w:val="clear" w:color="auto" w:fill="FFFFFF"/>
            <w:vAlign w:val="center"/>
          </w:tcPr>
          <w:p w14:paraId="700DAA8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3FB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1D82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昨日加权平均价</w:t>
            </w:r>
          </w:p>
        </w:tc>
        <w:tc>
          <w:tcPr>
            <w:tcW w:w="4728" w:type="dxa"/>
            <w:shd w:val="clear" w:color="auto" w:fill="FFFFFF"/>
            <w:vAlign w:val="center"/>
          </w:tcPr>
          <w:p w14:paraId="6447D7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DCE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5B8298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4728" w:type="dxa"/>
            <w:shd w:val="clear" w:color="auto" w:fill="FFFFFF"/>
            <w:vAlign w:val="center"/>
          </w:tcPr>
          <w:p w14:paraId="642C2F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9B8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F836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4728" w:type="dxa"/>
            <w:shd w:val="clear" w:color="auto" w:fill="FFFFFF"/>
            <w:vAlign w:val="center"/>
          </w:tcPr>
          <w:p w14:paraId="7E14690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071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57A19E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4728" w:type="dxa"/>
            <w:shd w:val="clear" w:color="auto" w:fill="FFFFFF"/>
            <w:vAlign w:val="center"/>
          </w:tcPr>
          <w:p w14:paraId="1ABA92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5E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5ACEF29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4728" w:type="dxa"/>
            <w:shd w:val="clear" w:color="auto" w:fill="FFFFFF"/>
            <w:vAlign w:val="center"/>
          </w:tcPr>
          <w:p w14:paraId="3C12DBF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4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6126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4728" w:type="dxa"/>
            <w:shd w:val="clear" w:color="auto" w:fill="FFFFFF"/>
            <w:vAlign w:val="center"/>
          </w:tcPr>
          <w:p w14:paraId="325F716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3DC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541A6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4728" w:type="dxa"/>
            <w:shd w:val="clear" w:color="auto" w:fill="FFFFFF"/>
            <w:vAlign w:val="center"/>
          </w:tcPr>
          <w:p w14:paraId="1C5807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D3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6BD0C3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4728" w:type="dxa"/>
            <w:shd w:val="clear" w:color="auto" w:fill="FFFFFF"/>
            <w:vAlign w:val="center"/>
          </w:tcPr>
          <w:p w14:paraId="717E5BA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6442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0060C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4728" w:type="dxa"/>
            <w:shd w:val="clear" w:color="auto" w:fill="FFFFFF"/>
            <w:vAlign w:val="center"/>
          </w:tcPr>
          <w:p w14:paraId="7EEEE1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294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009CAB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4728" w:type="dxa"/>
            <w:shd w:val="clear" w:color="auto" w:fill="FFFFFF"/>
            <w:vAlign w:val="center"/>
          </w:tcPr>
          <w:p w14:paraId="773FC77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D20B417">
      <w:pPr>
        <w:numPr>
          <w:ilvl w:val="2"/>
          <w:numId w:val="4"/>
        </w:numPr>
        <w:spacing w:line="600" w:lineRule="exact"/>
        <w:ind w:left="0" w:firstLine="0"/>
        <w:outlineLvl w:val="2"/>
        <w:rPr>
          <w:rFonts w:ascii="仿宋_GB2312" w:eastAsia="仿宋_GB2312"/>
          <w:b/>
          <w:sz w:val="30"/>
          <w:szCs w:val="30"/>
        </w:rPr>
      </w:pPr>
      <w:bookmarkStart w:id="2390" w:name="_Toc47467050"/>
      <w:r>
        <w:rPr>
          <w:rFonts w:hint="eastAsia" w:ascii="仿宋_GB2312" w:eastAsia="仿宋_GB2312"/>
          <w:b/>
          <w:sz w:val="30"/>
          <w:szCs w:val="30"/>
        </w:rPr>
        <w:t>开盘价、收盘价</w:t>
      </w:r>
      <w:bookmarkEnd w:id="2390"/>
    </w:p>
    <w:p w14:paraId="03341F15">
      <w:pPr>
        <w:spacing w:line="600" w:lineRule="exact"/>
        <w:ind w:firstLine="600"/>
        <w:rPr>
          <w:rFonts w:ascii="Calibri" w:eastAsia="仿宋_GB2312"/>
          <w:sz w:val="30"/>
          <w:szCs w:val="30"/>
        </w:rPr>
      </w:pPr>
      <w:r>
        <w:rPr>
          <w:rFonts w:hint="eastAsia" w:ascii="Calibri" w:eastAsia="仿宋_GB2312"/>
          <w:sz w:val="30"/>
          <w:szCs w:val="30"/>
        </w:rPr>
        <w:t>本所实时发布债券现券交易和通用回购交易的开盘价和收盘价。</w:t>
      </w:r>
    </w:p>
    <w:p w14:paraId="5C832C24">
      <w:pPr>
        <w:spacing w:line="600" w:lineRule="exact"/>
        <w:ind w:firstLine="600"/>
        <w:rPr>
          <w:rFonts w:ascii="Calibri" w:eastAsia="仿宋_GB2312"/>
          <w:sz w:val="30"/>
          <w:szCs w:val="30"/>
        </w:rPr>
      </w:pPr>
      <w:r>
        <w:rPr>
          <w:rFonts w:hint="eastAsia" w:ascii="Calibri" w:eastAsia="仿宋_GB2312"/>
          <w:sz w:val="30"/>
          <w:szCs w:val="30"/>
        </w:rPr>
        <w:t>开盘价为当日第一笔成交价格。收盘价为当日最后一笔交易（含）前一小时内的成交量加权平均价。当日无成交的，以前收盘价为当日收盘价。</w:t>
      </w:r>
    </w:p>
    <w:p w14:paraId="31C55195">
      <w:pPr>
        <w:spacing w:line="600" w:lineRule="exact"/>
        <w:ind w:firstLine="600"/>
        <w:rPr>
          <w:rFonts w:ascii="Calibri" w:eastAsia="仿宋_GB2312"/>
          <w:sz w:val="30"/>
          <w:szCs w:val="30"/>
        </w:rPr>
      </w:pPr>
      <w:r>
        <w:rPr>
          <w:rFonts w:hint="eastAsia" w:ascii="Calibri" w:eastAsia="仿宋_GB2312"/>
          <w:sz w:val="30"/>
          <w:szCs w:val="30"/>
        </w:rPr>
        <w:t>匹配成交方式下及非匹配成交方式下的开盘价和收盘价单独计算，分别通过新债券交易系统和固定收益平台进行发布。</w:t>
      </w:r>
      <w:r>
        <w:rPr>
          <w:rFonts w:hint="eastAsia" w:ascii="仿宋_GB2312" w:eastAsia="仿宋_GB2312"/>
          <w:b/>
          <w:color w:val="000000"/>
          <w:sz w:val="30"/>
          <w:szCs w:val="30"/>
        </w:rPr>
        <w:t>《债券交易规则》第一百一十八条关于使用</w:t>
      </w:r>
      <w:r>
        <w:rPr>
          <w:rFonts w:hint="eastAsia" w:ascii="Calibri" w:eastAsia="仿宋_GB2312"/>
          <w:b/>
          <w:sz w:val="30"/>
          <w:szCs w:val="30"/>
        </w:rPr>
        <w:t>各类交易方式达成的成交数据计算开盘价和收盘价的规定</w:t>
      </w:r>
      <w:r>
        <w:rPr>
          <w:rFonts w:hint="eastAsia" w:ascii="仿宋_GB2312" w:eastAsia="仿宋_GB2312"/>
          <w:b/>
          <w:color w:val="000000"/>
          <w:sz w:val="30"/>
          <w:szCs w:val="30"/>
        </w:rPr>
        <w:t>暂缓实施，可转债的收盘价另行规定</w:t>
      </w:r>
      <w:r>
        <w:rPr>
          <w:rFonts w:hint="eastAsia" w:ascii="仿宋_GB2312" w:eastAsia="仿宋_GB2312"/>
          <w:color w:val="000000"/>
          <w:sz w:val="30"/>
          <w:szCs w:val="30"/>
        </w:rPr>
        <w:t>。</w:t>
      </w:r>
    </w:p>
    <w:p w14:paraId="1D888ABF">
      <w:pPr>
        <w:spacing w:line="600" w:lineRule="exact"/>
        <w:ind w:firstLine="600" w:firstLineChars="200"/>
        <w:rPr>
          <w:rFonts w:ascii="仿宋_GB2312" w:hAnsi="Calibri" w:eastAsia="仿宋_GB2312"/>
          <w:color w:val="000000"/>
          <w:sz w:val="30"/>
          <w:szCs w:val="30"/>
        </w:rPr>
      </w:pPr>
      <w:r>
        <w:rPr>
          <w:rFonts w:hint="eastAsia" w:ascii="Calibri" w:eastAsia="仿宋_GB2312"/>
          <w:sz w:val="30"/>
          <w:szCs w:val="30"/>
        </w:rPr>
        <w:t>根据市场发展需要，本所可以调整开盘价及收盘价计算方法</w:t>
      </w:r>
      <w:r>
        <w:rPr>
          <w:rFonts w:hint="eastAsia" w:ascii="仿宋_GB2312" w:hAnsi="宋体" w:eastAsia="仿宋_GB2312"/>
          <w:sz w:val="30"/>
          <w:szCs w:val="30"/>
        </w:rPr>
        <w:t>。</w:t>
      </w:r>
    </w:p>
    <w:p w14:paraId="2BE3712D">
      <w:pPr>
        <w:numPr>
          <w:ilvl w:val="1"/>
          <w:numId w:val="4"/>
        </w:numPr>
        <w:spacing w:line="600" w:lineRule="exact"/>
        <w:ind w:left="0" w:firstLine="0"/>
        <w:outlineLvl w:val="1"/>
        <w:rPr>
          <w:rFonts w:ascii="仿宋_GB2312" w:eastAsia="仿宋_GB2312"/>
          <w:b/>
          <w:sz w:val="30"/>
          <w:szCs w:val="30"/>
        </w:rPr>
      </w:pPr>
      <w:bookmarkStart w:id="2391" w:name="_Toc56166115"/>
      <w:bookmarkStart w:id="2392" w:name="_Toc47467051"/>
      <w:bookmarkStart w:id="2393" w:name="_Toc151137066"/>
      <w:bookmarkStart w:id="2394" w:name="_Toc56166304"/>
      <w:r>
        <w:rPr>
          <w:rFonts w:hint="eastAsia" w:ascii="仿宋_GB2312" w:eastAsia="仿宋_GB2312"/>
          <w:b/>
          <w:sz w:val="30"/>
          <w:szCs w:val="30"/>
        </w:rPr>
        <w:t>参考数据</w:t>
      </w:r>
      <w:bookmarkEnd w:id="2391"/>
      <w:bookmarkEnd w:id="2392"/>
      <w:bookmarkEnd w:id="2393"/>
      <w:bookmarkEnd w:id="2394"/>
    </w:p>
    <w:p w14:paraId="7B9F2593">
      <w:pPr>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本所对外发布的参考数据包括产品的基础信息、与产品相关的非交易基础信息、交易参与人信息、交易员信息、做市商及做市品种信息等。</w:t>
      </w:r>
    </w:p>
    <w:p w14:paraId="06CF1E01">
      <w:pPr>
        <w:spacing w:line="600" w:lineRule="exact"/>
        <w:ind w:firstLine="600" w:firstLineChars="200"/>
        <w:jc w:val="left"/>
        <w:rPr>
          <w:rFonts w:ascii="仿宋_GB2312" w:hAnsi="Calibri" w:eastAsia="仿宋_GB2312"/>
          <w:kern w:val="0"/>
          <w:sz w:val="30"/>
          <w:szCs w:val="30"/>
        </w:rPr>
      </w:pPr>
      <w:r>
        <w:rPr>
          <w:rFonts w:hint="eastAsia" w:ascii="仿宋_GB2312" w:hAnsi="Calibri" w:eastAsia="仿宋_GB2312"/>
          <w:kern w:val="0"/>
          <w:sz w:val="30"/>
          <w:szCs w:val="30"/>
        </w:rPr>
        <w:t>参考数据在交易日闭市后对外发送，交易日内不更新。</w:t>
      </w:r>
    </w:p>
    <w:p w14:paraId="723BE983">
      <w:pPr>
        <w:numPr>
          <w:ilvl w:val="2"/>
          <w:numId w:val="4"/>
        </w:numPr>
        <w:spacing w:line="600" w:lineRule="exact"/>
        <w:ind w:left="0" w:firstLine="0"/>
        <w:outlineLvl w:val="2"/>
        <w:rPr>
          <w:rFonts w:ascii="仿宋_GB2312" w:eastAsia="仿宋_GB2312"/>
          <w:b/>
          <w:sz w:val="30"/>
          <w:szCs w:val="30"/>
        </w:rPr>
      </w:pPr>
      <w:bookmarkStart w:id="2395" w:name="_Toc47465951"/>
      <w:bookmarkEnd w:id="2395"/>
      <w:bookmarkStart w:id="2396" w:name="_Toc47465947"/>
      <w:bookmarkEnd w:id="2396"/>
      <w:bookmarkStart w:id="2397" w:name="_Toc47375577"/>
      <w:bookmarkEnd w:id="2397"/>
      <w:bookmarkStart w:id="2398" w:name="_Toc47458527"/>
      <w:bookmarkEnd w:id="2398"/>
      <w:bookmarkStart w:id="2399" w:name="_Toc47428443"/>
      <w:bookmarkEnd w:id="2399"/>
      <w:bookmarkStart w:id="2400" w:name="_Toc47375555"/>
      <w:bookmarkEnd w:id="2400"/>
      <w:bookmarkStart w:id="2401" w:name="_Toc47428452"/>
      <w:bookmarkEnd w:id="2401"/>
      <w:bookmarkStart w:id="2402" w:name="_Toc47428444"/>
      <w:bookmarkEnd w:id="2402"/>
      <w:bookmarkStart w:id="2403" w:name="_Toc47465974"/>
      <w:bookmarkEnd w:id="2403"/>
      <w:bookmarkStart w:id="2404" w:name="_Toc44688501"/>
      <w:bookmarkEnd w:id="2404"/>
      <w:bookmarkStart w:id="2405" w:name="_Toc47467086"/>
      <w:bookmarkEnd w:id="2405"/>
      <w:bookmarkStart w:id="2406" w:name="_Toc47465993"/>
      <w:bookmarkEnd w:id="2406"/>
      <w:bookmarkStart w:id="2407" w:name="_Toc47428472"/>
      <w:bookmarkEnd w:id="2407"/>
      <w:bookmarkStart w:id="2408" w:name="_Toc47467101"/>
      <w:bookmarkEnd w:id="2408"/>
      <w:bookmarkStart w:id="2409" w:name="_Toc47465972"/>
      <w:bookmarkEnd w:id="2409"/>
      <w:bookmarkStart w:id="2410" w:name="_Toc47467108"/>
      <w:bookmarkEnd w:id="2410"/>
      <w:bookmarkStart w:id="2411" w:name="_Toc47427214"/>
      <w:bookmarkEnd w:id="2411"/>
      <w:bookmarkStart w:id="2412" w:name="_Toc47428513"/>
      <w:bookmarkEnd w:id="2412"/>
      <w:bookmarkStart w:id="2413" w:name="_Toc47375552"/>
      <w:bookmarkEnd w:id="2413"/>
      <w:bookmarkStart w:id="2414" w:name="_Toc47458495"/>
      <w:bookmarkEnd w:id="2414"/>
      <w:bookmarkStart w:id="2415" w:name="_Toc47427215"/>
      <w:bookmarkEnd w:id="2415"/>
      <w:bookmarkStart w:id="2416" w:name="_Toc47466036"/>
      <w:bookmarkEnd w:id="2416"/>
      <w:bookmarkStart w:id="2417" w:name="_Toc47375519"/>
      <w:bookmarkEnd w:id="2417"/>
      <w:bookmarkStart w:id="2418" w:name="_Toc47375500"/>
      <w:bookmarkEnd w:id="2418"/>
      <w:bookmarkStart w:id="2419" w:name="_Toc47466011"/>
      <w:bookmarkEnd w:id="2419"/>
      <w:bookmarkStart w:id="2420" w:name="_Toc47467073"/>
      <w:bookmarkEnd w:id="2420"/>
      <w:bookmarkStart w:id="2421" w:name="_Toc47427185"/>
      <w:bookmarkEnd w:id="2421"/>
      <w:bookmarkStart w:id="2422" w:name="_Toc47465990"/>
      <w:bookmarkEnd w:id="2422"/>
      <w:bookmarkStart w:id="2423" w:name="_Toc47458503"/>
      <w:bookmarkEnd w:id="2423"/>
      <w:bookmarkStart w:id="2424" w:name="_Toc47458548"/>
      <w:bookmarkEnd w:id="2424"/>
      <w:bookmarkStart w:id="2425" w:name="_Toc47375556"/>
      <w:bookmarkEnd w:id="2425"/>
      <w:bookmarkStart w:id="2426" w:name="_Toc47427172"/>
      <w:bookmarkEnd w:id="2426"/>
      <w:bookmarkStart w:id="2427" w:name="_Toc47428510"/>
      <w:bookmarkEnd w:id="2427"/>
      <w:bookmarkStart w:id="2428" w:name="_Toc47427244"/>
      <w:bookmarkEnd w:id="2428"/>
      <w:bookmarkStart w:id="2429" w:name="_Toc47427187"/>
      <w:bookmarkEnd w:id="2429"/>
      <w:bookmarkStart w:id="2430" w:name="_Toc47458507"/>
      <w:bookmarkEnd w:id="2430"/>
      <w:bookmarkStart w:id="2431" w:name="_Toc47427206"/>
      <w:bookmarkEnd w:id="2431"/>
      <w:bookmarkStart w:id="2432" w:name="_Toc47427205"/>
      <w:bookmarkEnd w:id="2432"/>
      <w:bookmarkStart w:id="2433" w:name="_Toc47467066"/>
      <w:bookmarkEnd w:id="2433"/>
      <w:bookmarkStart w:id="2434" w:name="_Toc47375496"/>
      <w:bookmarkEnd w:id="2434"/>
      <w:bookmarkStart w:id="2435" w:name="_Toc47428430"/>
      <w:bookmarkEnd w:id="2435"/>
      <w:bookmarkStart w:id="2436" w:name="_Toc47458487"/>
      <w:bookmarkEnd w:id="2436"/>
      <w:bookmarkStart w:id="2437" w:name="_Toc47467093"/>
      <w:bookmarkEnd w:id="2437"/>
      <w:bookmarkStart w:id="2438" w:name="_Toc47375515"/>
      <w:bookmarkEnd w:id="2438"/>
      <w:bookmarkStart w:id="2439" w:name="_Toc47375527"/>
      <w:bookmarkEnd w:id="2439"/>
      <w:bookmarkStart w:id="2440" w:name="_Toc47428427"/>
      <w:bookmarkEnd w:id="2440"/>
      <w:bookmarkStart w:id="2441" w:name="_Toc47467074"/>
      <w:bookmarkEnd w:id="2441"/>
      <w:bookmarkStart w:id="2442" w:name="_Toc47428455"/>
      <w:bookmarkEnd w:id="2442"/>
      <w:bookmarkStart w:id="2443" w:name="_Toc44661492"/>
      <w:bookmarkEnd w:id="2443"/>
      <w:bookmarkStart w:id="2444" w:name="_Toc47467115"/>
      <w:bookmarkEnd w:id="2444"/>
      <w:bookmarkStart w:id="2445" w:name="_Toc47458523"/>
      <w:bookmarkEnd w:id="2445"/>
      <w:bookmarkStart w:id="2446" w:name="_Toc47375541"/>
      <w:bookmarkEnd w:id="2446"/>
      <w:bookmarkStart w:id="2447" w:name="_Toc47467067"/>
      <w:bookmarkEnd w:id="2447"/>
      <w:bookmarkStart w:id="2448" w:name="_Toc44666377"/>
      <w:bookmarkEnd w:id="2448"/>
      <w:bookmarkStart w:id="2449" w:name="_Toc47465959"/>
      <w:bookmarkEnd w:id="2449"/>
      <w:bookmarkStart w:id="2450" w:name="_Toc47466027"/>
      <w:bookmarkEnd w:id="2450"/>
      <w:bookmarkStart w:id="2451" w:name="_Toc47467059"/>
      <w:bookmarkEnd w:id="2451"/>
      <w:bookmarkStart w:id="2452" w:name="_Toc47375540"/>
      <w:bookmarkEnd w:id="2452"/>
      <w:bookmarkStart w:id="2453" w:name="_Toc47458458"/>
      <w:bookmarkEnd w:id="2453"/>
      <w:bookmarkStart w:id="2454" w:name="_Toc47427189"/>
      <w:bookmarkEnd w:id="2454"/>
      <w:bookmarkStart w:id="2455" w:name="_Toc47467098"/>
      <w:bookmarkEnd w:id="2455"/>
      <w:bookmarkStart w:id="2456" w:name="_Toc47428454"/>
      <w:bookmarkEnd w:id="2456"/>
      <w:bookmarkStart w:id="2457" w:name="_Toc47375495"/>
      <w:bookmarkEnd w:id="2457"/>
      <w:bookmarkStart w:id="2458" w:name="_Toc47428489"/>
      <w:bookmarkEnd w:id="2458"/>
      <w:bookmarkStart w:id="2459" w:name="_Toc47375572"/>
      <w:bookmarkEnd w:id="2459"/>
      <w:bookmarkStart w:id="2460" w:name="_Toc47427257"/>
      <w:bookmarkEnd w:id="2460"/>
      <w:bookmarkStart w:id="2461" w:name="_Toc47466046"/>
      <w:bookmarkEnd w:id="2461"/>
      <w:bookmarkStart w:id="2462" w:name="_Toc47458478"/>
      <w:bookmarkEnd w:id="2462"/>
      <w:bookmarkStart w:id="2463" w:name="_Toc47375585"/>
      <w:bookmarkEnd w:id="2463"/>
      <w:bookmarkStart w:id="2464" w:name="_Toc47427197"/>
      <w:bookmarkEnd w:id="2464"/>
      <w:bookmarkStart w:id="2465" w:name="_Toc47375503"/>
      <w:bookmarkEnd w:id="2465"/>
      <w:bookmarkStart w:id="2466" w:name="_Toc47375490"/>
      <w:bookmarkEnd w:id="2466"/>
      <w:bookmarkStart w:id="2467" w:name="_Toc47466017"/>
      <w:bookmarkEnd w:id="2467"/>
      <w:bookmarkStart w:id="2468" w:name="_Toc47458455"/>
      <w:bookmarkEnd w:id="2468"/>
      <w:bookmarkStart w:id="2469" w:name="_Toc47428437"/>
      <w:bookmarkEnd w:id="2469"/>
      <w:bookmarkStart w:id="2470" w:name="_Toc47427168"/>
      <w:bookmarkEnd w:id="2470"/>
      <w:bookmarkStart w:id="2471" w:name="_Toc47427204"/>
      <w:bookmarkEnd w:id="2471"/>
      <w:bookmarkStart w:id="2472" w:name="_Toc47375589"/>
      <w:bookmarkEnd w:id="2472"/>
      <w:bookmarkStart w:id="2473" w:name="_Toc47427226"/>
      <w:bookmarkEnd w:id="2473"/>
      <w:bookmarkStart w:id="2474" w:name="_Toc47427170"/>
      <w:bookmarkEnd w:id="2474"/>
      <w:bookmarkStart w:id="2475" w:name="_Toc47375546"/>
      <w:bookmarkEnd w:id="2475"/>
      <w:bookmarkStart w:id="2476" w:name="_Toc47465977"/>
      <w:bookmarkEnd w:id="2476"/>
      <w:bookmarkStart w:id="2477" w:name="_Toc47375564"/>
      <w:bookmarkEnd w:id="2477"/>
      <w:bookmarkStart w:id="2478" w:name="_Toc47465945"/>
      <w:bookmarkEnd w:id="2478"/>
      <w:bookmarkStart w:id="2479" w:name="_Toc47467146"/>
      <w:bookmarkEnd w:id="2479"/>
      <w:bookmarkStart w:id="2480" w:name="_Toc47458551"/>
      <w:bookmarkEnd w:id="2480"/>
      <w:bookmarkStart w:id="2481" w:name="_Toc47467139"/>
      <w:bookmarkEnd w:id="2481"/>
      <w:bookmarkStart w:id="2482" w:name="_Toc47465991"/>
      <w:bookmarkEnd w:id="2482"/>
      <w:bookmarkStart w:id="2483" w:name="_Toc47428475"/>
      <w:bookmarkEnd w:id="2483"/>
      <w:bookmarkStart w:id="2484" w:name="_Toc47458490"/>
      <w:bookmarkEnd w:id="2484"/>
      <w:bookmarkStart w:id="2485" w:name="_Toc47467114"/>
      <w:bookmarkEnd w:id="2485"/>
      <w:bookmarkStart w:id="2486" w:name="_Toc47428493"/>
      <w:bookmarkEnd w:id="2486"/>
      <w:bookmarkStart w:id="2487" w:name="_Toc47465975"/>
      <w:bookmarkEnd w:id="2487"/>
      <w:bookmarkStart w:id="2488" w:name="_Toc47375537"/>
      <w:bookmarkEnd w:id="2488"/>
      <w:bookmarkStart w:id="2489" w:name="_Toc47458531"/>
      <w:bookmarkEnd w:id="2489"/>
      <w:bookmarkStart w:id="2490" w:name="_Toc47467141"/>
      <w:bookmarkEnd w:id="2490"/>
      <w:bookmarkStart w:id="2491" w:name="_Toc47465994"/>
      <w:bookmarkEnd w:id="2491"/>
      <w:bookmarkStart w:id="2492" w:name="_Toc44661494"/>
      <w:bookmarkEnd w:id="2492"/>
      <w:bookmarkStart w:id="2493" w:name="_Toc47375548"/>
      <w:bookmarkEnd w:id="2493"/>
      <w:bookmarkStart w:id="2494" w:name="_Toc47375549"/>
      <w:bookmarkEnd w:id="2494"/>
      <w:bookmarkStart w:id="2495" w:name="_Toc47465958"/>
      <w:bookmarkEnd w:id="2495"/>
      <w:bookmarkStart w:id="2496" w:name="_Toc47428491"/>
      <w:bookmarkEnd w:id="2496"/>
      <w:bookmarkStart w:id="2497" w:name="_Toc47465965"/>
      <w:bookmarkEnd w:id="2497"/>
      <w:bookmarkStart w:id="2498" w:name="_Toc47467105"/>
      <w:bookmarkEnd w:id="2498"/>
      <w:bookmarkStart w:id="2499" w:name="_Toc47467110"/>
      <w:bookmarkEnd w:id="2499"/>
      <w:bookmarkStart w:id="2500" w:name="_Toc47458498"/>
      <w:bookmarkEnd w:id="2500"/>
      <w:bookmarkStart w:id="2501" w:name="_Toc47375553"/>
      <w:bookmarkEnd w:id="2501"/>
      <w:bookmarkStart w:id="2502" w:name="_Toc47467077"/>
      <w:bookmarkEnd w:id="2502"/>
      <w:bookmarkStart w:id="2503" w:name="_Toc47467107"/>
      <w:bookmarkEnd w:id="2503"/>
      <w:bookmarkStart w:id="2504" w:name="_Toc47465954"/>
      <w:bookmarkEnd w:id="2504"/>
      <w:bookmarkStart w:id="2505" w:name="_Toc47466008"/>
      <w:bookmarkEnd w:id="2505"/>
      <w:bookmarkStart w:id="2506" w:name="_Toc47427212"/>
      <w:bookmarkEnd w:id="2506"/>
      <w:bookmarkStart w:id="2507" w:name="_Toc47467121"/>
      <w:bookmarkEnd w:id="2507"/>
      <w:bookmarkStart w:id="2508" w:name="_Toc47427210"/>
      <w:bookmarkEnd w:id="2508"/>
      <w:bookmarkStart w:id="2509" w:name="_Toc47428456"/>
      <w:bookmarkEnd w:id="2509"/>
      <w:bookmarkStart w:id="2510" w:name="_Toc47375512"/>
      <w:bookmarkEnd w:id="2510"/>
      <w:bookmarkStart w:id="2511" w:name="_Toc47458505"/>
      <w:bookmarkEnd w:id="2511"/>
      <w:bookmarkStart w:id="2512" w:name="_Toc47427217"/>
      <w:bookmarkEnd w:id="2512"/>
      <w:bookmarkStart w:id="2513" w:name="_Toc47375558"/>
      <w:bookmarkEnd w:id="2513"/>
      <w:bookmarkStart w:id="2514" w:name="_Toc47428482"/>
      <w:bookmarkEnd w:id="2514"/>
      <w:bookmarkStart w:id="2515" w:name="_Toc47375545"/>
      <w:bookmarkEnd w:id="2515"/>
      <w:bookmarkStart w:id="2516" w:name="_Toc47428450"/>
      <w:bookmarkEnd w:id="2516"/>
      <w:bookmarkStart w:id="2517" w:name="_Toc47428453"/>
      <w:bookmarkEnd w:id="2517"/>
      <w:bookmarkStart w:id="2518" w:name="_Toc47466012"/>
      <w:bookmarkEnd w:id="2518"/>
      <w:bookmarkStart w:id="2519" w:name="_Toc47427171"/>
      <w:bookmarkEnd w:id="2519"/>
      <w:bookmarkStart w:id="2520" w:name="_Toc47375513"/>
      <w:bookmarkEnd w:id="2520"/>
      <w:bookmarkStart w:id="2521" w:name="_Toc47427161"/>
      <w:bookmarkEnd w:id="2521"/>
      <w:bookmarkStart w:id="2522" w:name="_Toc47467112"/>
      <w:bookmarkEnd w:id="2522"/>
      <w:bookmarkStart w:id="2523" w:name="_Toc47428487"/>
      <w:bookmarkEnd w:id="2523"/>
      <w:bookmarkStart w:id="2524" w:name="_Toc47467116"/>
      <w:bookmarkEnd w:id="2524"/>
      <w:bookmarkStart w:id="2525" w:name="_Toc47458467"/>
      <w:bookmarkEnd w:id="2525"/>
      <w:bookmarkStart w:id="2526" w:name="_Toc47465956"/>
      <w:bookmarkEnd w:id="2526"/>
      <w:bookmarkStart w:id="2527" w:name="_Toc47467072"/>
      <w:bookmarkEnd w:id="2527"/>
      <w:bookmarkStart w:id="2528" w:name="_Toc47465999"/>
      <w:bookmarkEnd w:id="2528"/>
      <w:bookmarkStart w:id="2529" w:name="_Toc47465987"/>
      <w:bookmarkEnd w:id="2529"/>
      <w:bookmarkStart w:id="2530" w:name="_Toc47427225"/>
      <w:bookmarkEnd w:id="2530"/>
      <w:bookmarkStart w:id="2531" w:name="_Toc47428492"/>
      <w:bookmarkEnd w:id="2531"/>
      <w:bookmarkStart w:id="2532" w:name="_Toc47466009"/>
      <w:bookmarkEnd w:id="2532"/>
      <w:bookmarkStart w:id="2533" w:name="_Toc47466006"/>
      <w:bookmarkEnd w:id="2533"/>
      <w:bookmarkStart w:id="2534" w:name="_Toc47428476"/>
      <w:bookmarkEnd w:id="2534"/>
      <w:bookmarkStart w:id="2535" w:name="_Toc47465986"/>
      <w:bookmarkEnd w:id="2535"/>
      <w:bookmarkStart w:id="2536" w:name="_Toc47427220"/>
      <w:bookmarkEnd w:id="2536"/>
      <w:bookmarkStart w:id="2537" w:name="_Toc47428521"/>
      <w:bookmarkEnd w:id="2537"/>
      <w:bookmarkStart w:id="2538" w:name="_Toc47375593"/>
      <w:bookmarkEnd w:id="2538"/>
      <w:bookmarkStart w:id="2539" w:name="_Toc44666416"/>
      <w:bookmarkEnd w:id="2539"/>
      <w:bookmarkStart w:id="2540" w:name="_Toc47465963"/>
      <w:bookmarkEnd w:id="2540"/>
      <w:bookmarkStart w:id="2541" w:name="_Toc47428483"/>
      <w:bookmarkEnd w:id="2541"/>
      <w:bookmarkStart w:id="2542" w:name="_Toc47467122"/>
      <w:bookmarkEnd w:id="2542"/>
      <w:bookmarkStart w:id="2543" w:name="_Toc47458511"/>
      <w:bookmarkEnd w:id="2543"/>
      <w:bookmarkStart w:id="2544" w:name="_Toc44688500"/>
      <w:bookmarkEnd w:id="2544"/>
      <w:bookmarkStart w:id="2545" w:name="_Toc47427211"/>
      <w:bookmarkEnd w:id="2545"/>
      <w:bookmarkStart w:id="2546" w:name="_Toc47428473"/>
      <w:bookmarkEnd w:id="2546"/>
      <w:bookmarkStart w:id="2547" w:name="_Toc47467057"/>
      <w:bookmarkEnd w:id="2547"/>
      <w:bookmarkStart w:id="2548" w:name="_Toc47458497"/>
      <w:bookmarkEnd w:id="2548"/>
      <w:bookmarkStart w:id="2549" w:name="_Toc47467053"/>
      <w:bookmarkEnd w:id="2549"/>
      <w:bookmarkStart w:id="2550" w:name="_Toc47428466"/>
      <w:bookmarkEnd w:id="2550"/>
      <w:bookmarkStart w:id="2551" w:name="_Toc47467068"/>
      <w:bookmarkEnd w:id="2551"/>
      <w:bookmarkStart w:id="2552" w:name="_Toc47467148"/>
      <w:bookmarkEnd w:id="2552"/>
      <w:bookmarkStart w:id="2553" w:name="_Toc47458474"/>
      <w:bookmarkEnd w:id="2553"/>
      <w:bookmarkStart w:id="2554" w:name="_Toc47427209"/>
      <w:bookmarkEnd w:id="2554"/>
      <w:bookmarkStart w:id="2555" w:name="_Toc47427245"/>
      <w:bookmarkEnd w:id="2555"/>
      <w:bookmarkStart w:id="2556" w:name="_Toc47467145"/>
      <w:bookmarkEnd w:id="2556"/>
      <w:bookmarkStart w:id="2557" w:name="_Toc47375532"/>
      <w:bookmarkEnd w:id="2557"/>
      <w:bookmarkStart w:id="2558" w:name="_Toc47427247"/>
      <w:bookmarkEnd w:id="2558"/>
      <w:bookmarkStart w:id="2559" w:name="_Toc47375575"/>
      <w:bookmarkEnd w:id="2559"/>
      <w:bookmarkStart w:id="2560" w:name="_Toc47428518"/>
      <w:bookmarkEnd w:id="2560"/>
      <w:bookmarkStart w:id="2561" w:name="_Toc47458447"/>
      <w:bookmarkEnd w:id="2561"/>
      <w:bookmarkStart w:id="2562" w:name="_Toc47427160"/>
      <w:bookmarkEnd w:id="2562"/>
      <w:bookmarkStart w:id="2563" w:name="_Toc47427264"/>
      <w:bookmarkEnd w:id="2563"/>
      <w:bookmarkStart w:id="2564" w:name="_Toc47427169"/>
      <w:bookmarkEnd w:id="2564"/>
      <w:bookmarkStart w:id="2565" w:name="_Toc47458535"/>
      <w:bookmarkEnd w:id="2565"/>
      <w:bookmarkStart w:id="2566" w:name="_Toc47427249"/>
      <w:bookmarkEnd w:id="2566"/>
      <w:bookmarkStart w:id="2567" w:name="_Toc47428523"/>
      <w:bookmarkEnd w:id="2567"/>
      <w:bookmarkStart w:id="2568" w:name="_Toc47466028"/>
      <w:bookmarkEnd w:id="2568"/>
      <w:bookmarkStart w:id="2569" w:name="_Toc47467104"/>
      <w:bookmarkEnd w:id="2569"/>
      <w:bookmarkStart w:id="2570" w:name="_Toc47467158"/>
      <w:bookmarkEnd w:id="2570"/>
      <w:bookmarkStart w:id="2571" w:name="_Toc47428531"/>
      <w:bookmarkEnd w:id="2571"/>
      <w:bookmarkStart w:id="2572" w:name="_Toc47428463"/>
      <w:bookmarkEnd w:id="2572"/>
      <w:bookmarkStart w:id="2573" w:name="_Toc47428508"/>
      <w:bookmarkEnd w:id="2573"/>
      <w:bookmarkStart w:id="2574" w:name="_Toc47467061"/>
      <w:bookmarkEnd w:id="2574"/>
      <w:bookmarkStart w:id="2575" w:name="_Toc47458444"/>
      <w:bookmarkEnd w:id="2575"/>
      <w:bookmarkStart w:id="2576" w:name="_Toc47428514"/>
      <w:bookmarkEnd w:id="2576"/>
      <w:bookmarkStart w:id="2577" w:name="_Toc47465950"/>
      <w:bookmarkEnd w:id="2577"/>
      <w:bookmarkStart w:id="2578" w:name="_Toc47458451"/>
      <w:bookmarkEnd w:id="2578"/>
      <w:bookmarkStart w:id="2579" w:name="_Toc47466031"/>
      <w:bookmarkEnd w:id="2579"/>
      <w:bookmarkStart w:id="2580" w:name="_Toc47375583"/>
      <w:bookmarkEnd w:id="2580"/>
      <w:bookmarkStart w:id="2581" w:name="_Toc47428524"/>
      <w:bookmarkEnd w:id="2581"/>
      <w:bookmarkStart w:id="2582" w:name="_Toc47375581"/>
      <w:bookmarkEnd w:id="2582"/>
      <w:bookmarkStart w:id="2583" w:name="_Toc47466045"/>
      <w:bookmarkEnd w:id="2583"/>
      <w:bookmarkStart w:id="2584" w:name="_Toc47427268"/>
      <w:bookmarkEnd w:id="2584"/>
      <w:bookmarkStart w:id="2585" w:name="_Toc47467111"/>
      <w:bookmarkEnd w:id="2585"/>
      <w:bookmarkStart w:id="2586" w:name="_Toc47458528"/>
      <w:bookmarkEnd w:id="2586"/>
      <w:bookmarkStart w:id="2587" w:name="_Toc47428511"/>
      <w:bookmarkEnd w:id="2587"/>
      <w:bookmarkStart w:id="2588" w:name="_Toc47458484"/>
      <w:bookmarkEnd w:id="2588"/>
      <w:bookmarkStart w:id="2589" w:name="_Toc47428528"/>
      <w:bookmarkEnd w:id="2589"/>
      <w:bookmarkStart w:id="2590" w:name="_Toc47428520"/>
      <w:bookmarkEnd w:id="2590"/>
      <w:bookmarkStart w:id="2591" w:name="_Toc47375573"/>
      <w:bookmarkEnd w:id="2591"/>
      <w:bookmarkStart w:id="2592" w:name="_Toc47458525"/>
      <w:bookmarkEnd w:id="2592"/>
      <w:bookmarkStart w:id="2593" w:name="_Toc47467134"/>
      <w:bookmarkEnd w:id="2593"/>
      <w:bookmarkStart w:id="2594" w:name="_Toc47466035"/>
      <w:bookmarkEnd w:id="2594"/>
      <w:bookmarkStart w:id="2595" w:name="_Toc47375578"/>
      <w:bookmarkEnd w:id="2595"/>
      <w:bookmarkStart w:id="2596" w:name="_Toc47458550"/>
      <w:bookmarkEnd w:id="2596"/>
      <w:bookmarkStart w:id="2597" w:name="_Toc47465971"/>
      <w:bookmarkEnd w:id="2597"/>
      <w:bookmarkStart w:id="2598" w:name="_Toc47466038"/>
      <w:bookmarkEnd w:id="2598"/>
      <w:bookmarkStart w:id="2599" w:name="_Toc47427174"/>
      <w:bookmarkEnd w:id="2599"/>
      <w:bookmarkStart w:id="2600" w:name="_Toc47467150"/>
      <w:bookmarkEnd w:id="2600"/>
      <w:bookmarkStart w:id="2601" w:name="_Toc47427250"/>
      <w:bookmarkEnd w:id="2601"/>
      <w:bookmarkStart w:id="2602" w:name="_Toc47375528"/>
      <w:bookmarkEnd w:id="2602"/>
      <w:bookmarkStart w:id="2603" w:name="_Toc47375510"/>
      <w:bookmarkEnd w:id="2603"/>
      <w:bookmarkStart w:id="2604" w:name="_Toc47467149"/>
      <w:bookmarkEnd w:id="2604"/>
      <w:bookmarkStart w:id="2605" w:name="_Toc47428526"/>
      <w:bookmarkEnd w:id="2605"/>
      <w:bookmarkStart w:id="2606" w:name="_Toc47375487"/>
      <w:bookmarkEnd w:id="2606"/>
      <w:bookmarkStart w:id="2607" w:name="_Toc47458539"/>
      <w:bookmarkEnd w:id="2607"/>
      <w:bookmarkStart w:id="2608" w:name="_Toc47427260"/>
      <w:bookmarkEnd w:id="2608"/>
      <w:bookmarkStart w:id="2609" w:name="_Toc44666417"/>
      <w:bookmarkEnd w:id="2609"/>
      <w:bookmarkStart w:id="2610" w:name="_Toc44604378"/>
      <w:bookmarkEnd w:id="2610"/>
      <w:bookmarkStart w:id="2611" w:name="_Toc47467154"/>
      <w:bookmarkEnd w:id="2611"/>
      <w:bookmarkStart w:id="2612" w:name="_Toc47375586"/>
      <w:bookmarkEnd w:id="2612"/>
      <w:bookmarkStart w:id="2613" w:name="_Toc47465939"/>
      <w:bookmarkEnd w:id="2613"/>
      <w:bookmarkStart w:id="2614" w:name="_Toc47375594"/>
      <w:bookmarkEnd w:id="2614"/>
      <w:bookmarkStart w:id="2615" w:name="_Toc47428525"/>
      <w:bookmarkEnd w:id="2615"/>
      <w:bookmarkStart w:id="2616" w:name="_Toc47466030"/>
      <w:bookmarkEnd w:id="2616"/>
      <w:bookmarkStart w:id="2617" w:name="_Toc47375597"/>
      <w:bookmarkEnd w:id="2617"/>
      <w:bookmarkStart w:id="2618" w:name="_Toc47428519"/>
      <w:bookmarkEnd w:id="2618"/>
      <w:bookmarkStart w:id="2619" w:name="_Toc47375499"/>
      <w:bookmarkEnd w:id="2619"/>
      <w:bookmarkStart w:id="2620" w:name="_Toc47375505"/>
      <w:bookmarkEnd w:id="2620"/>
      <w:bookmarkStart w:id="2621" w:name="_Toc47375587"/>
      <w:bookmarkEnd w:id="2621"/>
      <w:bookmarkStart w:id="2622" w:name="_Toc47428532"/>
      <w:bookmarkEnd w:id="2622"/>
      <w:bookmarkStart w:id="2623" w:name="_Toc47427239"/>
      <w:bookmarkEnd w:id="2623"/>
      <w:bookmarkStart w:id="2624" w:name="_Toc47466033"/>
      <w:bookmarkEnd w:id="2624"/>
      <w:bookmarkStart w:id="2625" w:name="_Toc47458540"/>
      <w:bookmarkEnd w:id="2625"/>
      <w:bookmarkStart w:id="2626" w:name="_Toc47466032"/>
      <w:bookmarkEnd w:id="2626"/>
      <w:bookmarkStart w:id="2627" w:name="_Toc47428494"/>
      <w:bookmarkEnd w:id="2627"/>
      <w:bookmarkStart w:id="2628" w:name="_Toc47467055"/>
      <w:bookmarkEnd w:id="2628"/>
      <w:bookmarkStart w:id="2629" w:name="_Toc47427180"/>
      <w:bookmarkEnd w:id="2629"/>
      <w:bookmarkStart w:id="2630" w:name="_Toc47458554"/>
      <w:bookmarkEnd w:id="2630"/>
      <w:bookmarkStart w:id="2631" w:name="_Toc47466003"/>
      <w:bookmarkEnd w:id="2631"/>
      <w:bookmarkStart w:id="2632" w:name="_Toc47428425"/>
      <w:bookmarkEnd w:id="2632"/>
      <w:bookmarkStart w:id="2633" w:name="_Toc47428527"/>
      <w:bookmarkEnd w:id="2633"/>
      <w:bookmarkStart w:id="2634" w:name="_Toc47427258"/>
      <w:bookmarkEnd w:id="2634"/>
      <w:bookmarkStart w:id="2635" w:name="_Toc47427165"/>
      <w:bookmarkEnd w:id="2635"/>
      <w:bookmarkStart w:id="2636" w:name="_Toc47375580"/>
      <w:bookmarkEnd w:id="2636"/>
      <w:bookmarkStart w:id="2637" w:name="_Toc47467082"/>
      <w:bookmarkEnd w:id="2637"/>
      <w:bookmarkStart w:id="2638" w:name="_Toc47427194"/>
      <w:bookmarkEnd w:id="2638"/>
      <w:bookmarkStart w:id="2639" w:name="_Toc47427178"/>
      <w:bookmarkEnd w:id="2639"/>
      <w:bookmarkStart w:id="2640" w:name="_Toc47427164"/>
      <w:bookmarkEnd w:id="2640"/>
      <w:bookmarkStart w:id="2641" w:name="_Toc47375543"/>
      <w:bookmarkEnd w:id="2641"/>
      <w:bookmarkStart w:id="2642" w:name="_Toc47465943"/>
      <w:bookmarkEnd w:id="2642"/>
      <w:bookmarkStart w:id="2643" w:name="_Toc47375582"/>
      <w:bookmarkEnd w:id="2643"/>
      <w:bookmarkStart w:id="2644" w:name="_Toc47467091"/>
      <w:bookmarkEnd w:id="2644"/>
      <w:bookmarkStart w:id="2645" w:name="_Toc47467133"/>
      <w:bookmarkEnd w:id="2645"/>
      <w:bookmarkStart w:id="2646" w:name="_Toc44661490"/>
      <w:bookmarkEnd w:id="2646"/>
      <w:bookmarkStart w:id="2647" w:name="_Toc47427235"/>
      <w:bookmarkEnd w:id="2647"/>
      <w:bookmarkStart w:id="2648" w:name="_Toc47466019"/>
      <w:bookmarkEnd w:id="2648"/>
      <w:bookmarkStart w:id="2649" w:name="_Toc47458460"/>
      <w:bookmarkEnd w:id="2649"/>
      <w:bookmarkStart w:id="2650" w:name="_Toc47467137"/>
      <w:bookmarkEnd w:id="2650"/>
      <w:bookmarkStart w:id="2651" w:name="_Toc47458494"/>
      <w:bookmarkEnd w:id="2651"/>
      <w:bookmarkStart w:id="2652" w:name="_Toc47465962"/>
      <w:bookmarkEnd w:id="2652"/>
      <w:bookmarkStart w:id="2653" w:name="_Toc47427188"/>
      <w:bookmarkEnd w:id="2653"/>
      <w:bookmarkStart w:id="2654" w:name="_Toc47466004"/>
      <w:bookmarkEnd w:id="2654"/>
      <w:bookmarkStart w:id="2655" w:name="_Toc47467081"/>
      <w:bookmarkEnd w:id="2655"/>
      <w:bookmarkStart w:id="2656" w:name="_Toc44661493"/>
      <w:bookmarkEnd w:id="2656"/>
      <w:bookmarkStart w:id="2657" w:name="_Toc47465973"/>
      <w:bookmarkEnd w:id="2657"/>
      <w:bookmarkStart w:id="2658" w:name="_Toc47465961"/>
      <w:bookmarkEnd w:id="2658"/>
      <w:bookmarkStart w:id="2659" w:name="_Toc47428498"/>
      <w:bookmarkEnd w:id="2659"/>
      <w:bookmarkStart w:id="2660" w:name="_Toc47458496"/>
      <w:bookmarkEnd w:id="2660"/>
      <w:bookmarkStart w:id="2661" w:name="_Toc47428486"/>
      <w:bookmarkEnd w:id="2661"/>
      <w:bookmarkStart w:id="2662" w:name="_Toc44666418"/>
      <w:bookmarkEnd w:id="2662"/>
      <w:bookmarkStart w:id="2663" w:name="_Toc47428502"/>
      <w:bookmarkEnd w:id="2663"/>
      <w:bookmarkStart w:id="2664" w:name="_Toc47375494"/>
      <w:bookmarkEnd w:id="2664"/>
      <w:bookmarkStart w:id="2665" w:name="_Toc47465968"/>
      <w:bookmarkEnd w:id="2665"/>
      <w:bookmarkStart w:id="2666" w:name="_Toc47375538"/>
      <w:bookmarkEnd w:id="2666"/>
      <w:bookmarkStart w:id="2667" w:name="_Toc47375544"/>
      <w:bookmarkEnd w:id="2667"/>
      <w:bookmarkStart w:id="2668" w:name="_Toc47458502"/>
      <w:bookmarkEnd w:id="2668"/>
      <w:bookmarkStart w:id="2669" w:name="_Toc47375547"/>
      <w:bookmarkEnd w:id="2669"/>
      <w:bookmarkStart w:id="2670" w:name="_Toc47465996"/>
      <w:bookmarkEnd w:id="2670"/>
      <w:bookmarkStart w:id="2671" w:name="_Toc47458463"/>
      <w:bookmarkEnd w:id="2671"/>
      <w:bookmarkStart w:id="2672" w:name="_Toc47458501"/>
      <w:bookmarkEnd w:id="2672"/>
      <w:bookmarkStart w:id="2673" w:name="_Toc47458510"/>
      <w:bookmarkEnd w:id="2673"/>
      <w:bookmarkStart w:id="2674" w:name="_Toc47427224"/>
      <w:bookmarkEnd w:id="2674"/>
      <w:bookmarkStart w:id="2675" w:name="_Toc47458488"/>
      <w:bookmarkEnd w:id="2675"/>
      <w:bookmarkStart w:id="2676" w:name="_Toc47458457"/>
      <w:bookmarkEnd w:id="2676"/>
      <w:bookmarkStart w:id="2677" w:name="_Toc47458464"/>
      <w:bookmarkEnd w:id="2677"/>
      <w:bookmarkStart w:id="2678" w:name="_Toc47458462"/>
      <w:bookmarkEnd w:id="2678"/>
      <w:bookmarkStart w:id="2679" w:name="_Toc47458516"/>
      <w:bookmarkEnd w:id="2679"/>
      <w:bookmarkStart w:id="2680" w:name="_Toc47467103"/>
      <w:bookmarkEnd w:id="2680"/>
      <w:bookmarkStart w:id="2681" w:name="_Toc47467155"/>
      <w:bookmarkEnd w:id="2681"/>
      <w:bookmarkStart w:id="2682" w:name="_Toc47467159"/>
      <w:bookmarkEnd w:id="2682"/>
      <w:bookmarkStart w:id="2683" w:name="_Toc47467078"/>
      <w:bookmarkEnd w:id="2683"/>
      <w:bookmarkStart w:id="2684" w:name="_Toc47375554"/>
      <w:bookmarkEnd w:id="2684"/>
      <w:bookmarkStart w:id="2685" w:name="_Toc47466001"/>
      <w:bookmarkEnd w:id="2685"/>
      <w:bookmarkStart w:id="2686" w:name="_Toc47465980"/>
      <w:bookmarkEnd w:id="2686"/>
      <w:bookmarkStart w:id="2687" w:name="_Toc47458530"/>
      <w:bookmarkEnd w:id="2687"/>
      <w:bookmarkStart w:id="2688" w:name="_Toc47466049"/>
      <w:bookmarkEnd w:id="2688"/>
      <w:bookmarkStart w:id="2689" w:name="_Toc47466000"/>
      <w:bookmarkEnd w:id="2689"/>
      <w:bookmarkStart w:id="2690" w:name="_Toc47458529"/>
      <w:bookmarkEnd w:id="2690"/>
      <w:bookmarkStart w:id="2691" w:name="_Toc47375501"/>
      <w:bookmarkEnd w:id="2691"/>
      <w:bookmarkStart w:id="2692" w:name="_Toc47375489"/>
      <w:bookmarkEnd w:id="2692"/>
      <w:bookmarkStart w:id="2693" w:name="_Toc47465984"/>
      <w:bookmarkEnd w:id="2693"/>
      <w:bookmarkStart w:id="2694" w:name="_Toc47375534"/>
      <w:bookmarkEnd w:id="2694"/>
      <w:bookmarkStart w:id="2695" w:name="_Toc47458512"/>
      <w:bookmarkEnd w:id="2695"/>
      <w:bookmarkStart w:id="2696" w:name="_Toc47465997"/>
      <w:bookmarkEnd w:id="2696"/>
      <w:bookmarkStart w:id="2697" w:name="_Toc47458448"/>
      <w:bookmarkEnd w:id="2697"/>
      <w:bookmarkStart w:id="2698" w:name="_Toc47428533"/>
      <w:bookmarkEnd w:id="2698"/>
      <w:bookmarkStart w:id="2699" w:name="_Toc47428478"/>
      <w:bookmarkEnd w:id="2699"/>
      <w:bookmarkStart w:id="2700" w:name="_Toc47458461"/>
      <w:bookmarkEnd w:id="2700"/>
      <w:bookmarkStart w:id="2701" w:name="_Toc47428503"/>
      <w:bookmarkEnd w:id="2701"/>
      <w:bookmarkStart w:id="2702" w:name="_Toc47375562"/>
      <w:bookmarkEnd w:id="2702"/>
      <w:bookmarkStart w:id="2703" w:name="_Toc47466023"/>
      <w:bookmarkEnd w:id="2703"/>
      <w:bookmarkStart w:id="2704" w:name="_Toc47467120"/>
      <w:bookmarkEnd w:id="2704"/>
      <w:bookmarkStart w:id="2705" w:name="_Toc47458526"/>
      <w:bookmarkEnd w:id="2705"/>
      <w:bookmarkStart w:id="2706" w:name="_Toc47466013"/>
      <w:bookmarkEnd w:id="2706"/>
      <w:bookmarkStart w:id="2707" w:name="_Toc47458553"/>
      <w:bookmarkEnd w:id="2707"/>
      <w:bookmarkStart w:id="2708" w:name="_Toc47465979"/>
      <w:bookmarkEnd w:id="2708"/>
      <w:bookmarkStart w:id="2709" w:name="_Toc47375561"/>
      <w:bookmarkEnd w:id="2709"/>
      <w:bookmarkStart w:id="2710" w:name="_Toc47466020"/>
      <w:bookmarkEnd w:id="2710"/>
      <w:bookmarkStart w:id="2711" w:name="_Toc47428501"/>
      <w:bookmarkEnd w:id="2711"/>
      <w:bookmarkStart w:id="2712" w:name="_Toc47428496"/>
      <w:bookmarkEnd w:id="2712"/>
      <w:bookmarkStart w:id="2713" w:name="_Toc47428440"/>
      <w:bookmarkEnd w:id="2713"/>
      <w:bookmarkStart w:id="2714" w:name="_Toc47375529"/>
      <w:bookmarkEnd w:id="2714"/>
      <w:bookmarkStart w:id="2715" w:name="_Toc47427242"/>
      <w:bookmarkEnd w:id="2715"/>
      <w:bookmarkStart w:id="2716" w:name="_Toc47427202"/>
      <w:bookmarkEnd w:id="2716"/>
      <w:bookmarkStart w:id="2717" w:name="_Toc47467131"/>
      <w:bookmarkEnd w:id="2717"/>
      <w:bookmarkStart w:id="2718" w:name="_Toc47428488"/>
      <w:bookmarkEnd w:id="2718"/>
      <w:bookmarkStart w:id="2719" w:name="_Toc47427207"/>
      <w:bookmarkEnd w:id="2719"/>
      <w:bookmarkStart w:id="2720" w:name="_Toc47466005"/>
      <w:bookmarkEnd w:id="2720"/>
      <w:bookmarkStart w:id="2721" w:name="_Toc47427233"/>
      <w:bookmarkEnd w:id="2721"/>
      <w:bookmarkStart w:id="2722" w:name="_Toc47375518"/>
      <w:bookmarkEnd w:id="2722"/>
      <w:bookmarkStart w:id="2723" w:name="_Toc47465969"/>
      <w:bookmarkEnd w:id="2723"/>
      <w:bookmarkStart w:id="2724" w:name="_Toc47428480"/>
      <w:bookmarkEnd w:id="2724"/>
      <w:bookmarkStart w:id="2725" w:name="_Toc47428497"/>
      <w:bookmarkEnd w:id="2725"/>
      <w:bookmarkStart w:id="2726" w:name="_Toc47465957"/>
      <w:bookmarkEnd w:id="2726"/>
      <w:bookmarkStart w:id="2727" w:name="_Toc47466041"/>
      <w:bookmarkEnd w:id="2727"/>
      <w:bookmarkStart w:id="2728" w:name="_Toc47467089"/>
      <w:bookmarkEnd w:id="2728"/>
      <w:bookmarkStart w:id="2729" w:name="_Toc47458500"/>
      <w:bookmarkEnd w:id="2729"/>
      <w:bookmarkStart w:id="2730" w:name="_Toc47427159"/>
      <w:bookmarkEnd w:id="2730"/>
      <w:bookmarkStart w:id="2731" w:name="_Toc47427237"/>
      <w:bookmarkEnd w:id="2731"/>
      <w:bookmarkStart w:id="2732" w:name="_Toc47428465"/>
      <w:bookmarkEnd w:id="2732"/>
      <w:bookmarkStart w:id="2733" w:name="_Toc47428474"/>
      <w:bookmarkEnd w:id="2733"/>
      <w:bookmarkStart w:id="2734" w:name="_Toc47375491"/>
      <w:bookmarkEnd w:id="2734"/>
      <w:bookmarkStart w:id="2735" w:name="_Toc47375522"/>
      <w:bookmarkEnd w:id="2735"/>
      <w:bookmarkStart w:id="2736" w:name="_Toc47427243"/>
      <w:bookmarkEnd w:id="2736"/>
      <w:bookmarkStart w:id="2737" w:name="_Toc47465988"/>
      <w:bookmarkEnd w:id="2737"/>
      <w:bookmarkStart w:id="2738" w:name="_Toc47458469"/>
      <w:bookmarkEnd w:id="2738"/>
      <w:bookmarkStart w:id="2739" w:name="_Toc47458536"/>
      <w:bookmarkEnd w:id="2739"/>
      <w:bookmarkStart w:id="2740" w:name="_Toc47458445"/>
      <w:bookmarkEnd w:id="2740"/>
      <w:bookmarkStart w:id="2741" w:name="_Toc47427177"/>
      <w:bookmarkEnd w:id="2741"/>
      <w:bookmarkStart w:id="2742" w:name="_Toc47458541"/>
      <w:bookmarkEnd w:id="2742"/>
      <w:bookmarkStart w:id="2743" w:name="_Toc47427246"/>
      <w:bookmarkEnd w:id="2743"/>
      <w:bookmarkStart w:id="2744" w:name="_Toc47465940"/>
      <w:bookmarkEnd w:id="2744"/>
      <w:bookmarkStart w:id="2745" w:name="_Toc47427201"/>
      <w:bookmarkEnd w:id="2745"/>
      <w:bookmarkStart w:id="2746" w:name="_Toc47467147"/>
      <w:bookmarkEnd w:id="2746"/>
      <w:bookmarkStart w:id="2747" w:name="_Toc47427196"/>
      <w:bookmarkEnd w:id="2747"/>
      <w:bookmarkStart w:id="2748" w:name="_Toc47467162"/>
      <w:bookmarkEnd w:id="2748"/>
      <w:bookmarkStart w:id="2749" w:name="_Toc47427213"/>
      <w:bookmarkEnd w:id="2749"/>
      <w:bookmarkStart w:id="2750" w:name="_Toc47458449"/>
      <w:bookmarkEnd w:id="2750"/>
      <w:bookmarkStart w:id="2751" w:name="_Toc47465998"/>
      <w:bookmarkEnd w:id="2751"/>
      <w:bookmarkStart w:id="2752" w:name="_Toc47427208"/>
      <w:bookmarkEnd w:id="2752"/>
      <w:bookmarkStart w:id="2753" w:name="_Toc47466034"/>
      <w:bookmarkEnd w:id="2753"/>
      <w:bookmarkStart w:id="2754" w:name="_Toc47467157"/>
      <w:bookmarkEnd w:id="2754"/>
      <w:bookmarkStart w:id="2755" w:name="_Toc47458452"/>
      <w:bookmarkEnd w:id="2755"/>
      <w:bookmarkStart w:id="2756" w:name="_Toc47428428"/>
      <w:bookmarkEnd w:id="2756"/>
      <w:bookmarkStart w:id="2757" w:name="_Toc47465989"/>
      <w:bookmarkEnd w:id="2757"/>
      <w:bookmarkStart w:id="2758" w:name="_Toc47428470"/>
      <w:bookmarkEnd w:id="2758"/>
      <w:bookmarkStart w:id="2759" w:name="_Toc47458491"/>
      <w:bookmarkEnd w:id="2759"/>
      <w:bookmarkStart w:id="2760" w:name="_Toc44666375"/>
      <w:bookmarkEnd w:id="2760"/>
      <w:bookmarkStart w:id="2761" w:name="_Toc47467065"/>
      <w:bookmarkEnd w:id="2761"/>
      <w:bookmarkStart w:id="2762" w:name="_Toc47458459"/>
      <w:bookmarkEnd w:id="2762"/>
      <w:bookmarkStart w:id="2763" w:name="_Toc47467163"/>
      <w:bookmarkEnd w:id="2763"/>
      <w:bookmarkStart w:id="2764" w:name="_Toc47467140"/>
      <w:bookmarkEnd w:id="2764"/>
      <w:bookmarkStart w:id="2765" w:name="_Toc47465953"/>
      <w:bookmarkEnd w:id="2765"/>
      <w:bookmarkStart w:id="2766" w:name="_Toc47428517"/>
      <w:bookmarkEnd w:id="2766"/>
      <w:bookmarkStart w:id="2767" w:name="_Toc47428457"/>
      <w:bookmarkEnd w:id="2767"/>
      <w:bookmarkStart w:id="2768" w:name="_Toc47467152"/>
      <w:bookmarkEnd w:id="2768"/>
      <w:bookmarkStart w:id="2769" w:name="_Toc47427221"/>
      <w:bookmarkEnd w:id="2769"/>
      <w:bookmarkStart w:id="2770" w:name="_Toc47467113"/>
      <w:bookmarkEnd w:id="2770"/>
      <w:bookmarkStart w:id="2771" w:name="_Toc47427173"/>
      <w:bookmarkEnd w:id="2771"/>
      <w:bookmarkStart w:id="2772" w:name="_Toc47428447"/>
      <w:bookmarkEnd w:id="2772"/>
      <w:bookmarkStart w:id="2773" w:name="_Toc47427254"/>
      <w:bookmarkEnd w:id="2773"/>
      <w:bookmarkStart w:id="2774" w:name="_Toc47465942"/>
      <w:bookmarkEnd w:id="2774"/>
      <w:bookmarkStart w:id="2775" w:name="_Toc47467160"/>
      <w:bookmarkEnd w:id="2775"/>
      <w:bookmarkStart w:id="2776" w:name="_Toc47428461"/>
      <w:bookmarkEnd w:id="2776"/>
      <w:bookmarkStart w:id="2777" w:name="_Toc47467138"/>
      <w:bookmarkEnd w:id="2777"/>
      <w:bookmarkStart w:id="2778" w:name="_Toc47467088"/>
      <w:bookmarkEnd w:id="2778"/>
      <w:bookmarkStart w:id="2779" w:name="_Toc47467096"/>
      <w:bookmarkEnd w:id="2779"/>
      <w:bookmarkStart w:id="2780" w:name="_Toc47458524"/>
      <w:bookmarkEnd w:id="2780"/>
      <w:bookmarkStart w:id="2781" w:name="_Toc47375560"/>
      <w:bookmarkEnd w:id="2781"/>
      <w:bookmarkStart w:id="2782" w:name="_Toc47427241"/>
      <w:bookmarkEnd w:id="2782"/>
      <w:bookmarkStart w:id="2783" w:name="_Toc47465983"/>
      <w:bookmarkEnd w:id="2783"/>
      <w:bookmarkStart w:id="2784" w:name="_Toc47427229"/>
      <w:bookmarkEnd w:id="2784"/>
      <w:bookmarkStart w:id="2785" w:name="_Toc47427198"/>
      <w:bookmarkEnd w:id="2785"/>
      <w:bookmarkStart w:id="2786" w:name="_Toc47428530"/>
      <w:bookmarkEnd w:id="2786"/>
      <w:bookmarkStart w:id="2787" w:name="_Toc47458521"/>
      <w:bookmarkEnd w:id="2787"/>
      <w:bookmarkStart w:id="2788" w:name="_Toc47428507"/>
      <w:bookmarkEnd w:id="2788"/>
      <w:bookmarkStart w:id="2789" w:name="_Toc47458547"/>
      <w:bookmarkEnd w:id="2789"/>
      <w:bookmarkStart w:id="2790" w:name="_Toc47467136"/>
      <w:bookmarkEnd w:id="2790"/>
      <w:bookmarkStart w:id="2791" w:name="_Toc47427234"/>
      <w:bookmarkEnd w:id="2791"/>
      <w:bookmarkStart w:id="2792" w:name="_Toc47467058"/>
      <w:bookmarkEnd w:id="2792"/>
      <w:bookmarkStart w:id="2793" w:name="_Toc47375565"/>
      <w:bookmarkEnd w:id="2793"/>
      <w:bookmarkStart w:id="2794" w:name="_Toc47458477"/>
      <w:bookmarkEnd w:id="2794"/>
      <w:bookmarkStart w:id="2795" w:name="_Toc47467075"/>
      <w:bookmarkEnd w:id="2795"/>
      <w:bookmarkStart w:id="2796" w:name="_Toc47458479"/>
      <w:bookmarkEnd w:id="2796"/>
      <w:bookmarkStart w:id="2797" w:name="_Toc47428509"/>
      <w:bookmarkEnd w:id="2797"/>
      <w:bookmarkStart w:id="2798" w:name="_Toc47427231"/>
      <w:bookmarkEnd w:id="2798"/>
      <w:bookmarkStart w:id="2799" w:name="_Toc47467094"/>
      <w:bookmarkEnd w:id="2799"/>
      <w:bookmarkStart w:id="2800" w:name="_Toc47466047"/>
      <w:bookmarkEnd w:id="2800"/>
      <w:bookmarkStart w:id="2801" w:name="_Toc47466010"/>
      <w:bookmarkEnd w:id="2801"/>
      <w:bookmarkStart w:id="2802" w:name="_Toc47427236"/>
      <w:bookmarkEnd w:id="2802"/>
      <w:bookmarkStart w:id="2803" w:name="_Toc47466024"/>
      <w:bookmarkEnd w:id="2803"/>
      <w:bookmarkStart w:id="2804" w:name="_Toc47427191"/>
      <w:bookmarkEnd w:id="2804"/>
      <w:bookmarkStart w:id="2805" w:name="_Toc47375596"/>
      <w:bookmarkEnd w:id="2805"/>
      <w:bookmarkStart w:id="2806" w:name="_Toc47467126"/>
      <w:bookmarkEnd w:id="2806"/>
      <w:bookmarkStart w:id="2807" w:name="_Toc47466043"/>
      <w:bookmarkEnd w:id="2807"/>
      <w:bookmarkStart w:id="2808" w:name="_Toc47465941"/>
      <w:bookmarkEnd w:id="2808"/>
      <w:bookmarkStart w:id="2809" w:name="_Toc47428500"/>
      <w:bookmarkEnd w:id="2809"/>
      <w:bookmarkStart w:id="2810" w:name="_Toc47428459"/>
      <w:bookmarkEnd w:id="2810"/>
      <w:bookmarkStart w:id="2811" w:name="_Toc47427232"/>
      <w:bookmarkEnd w:id="2811"/>
      <w:bookmarkStart w:id="2812" w:name="_Toc47458538"/>
      <w:bookmarkEnd w:id="2812"/>
      <w:bookmarkStart w:id="2813" w:name="_Toc47458537"/>
      <w:bookmarkEnd w:id="2813"/>
      <w:bookmarkStart w:id="2814" w:name="_Toc47465944"/>
      <w:bookmarkEnd w:id="2814"/>
      <w:bookmarkStart w:id="2815" w:name="_Toc47427166"/>
      <w:bookmarkEnd w:id="2815"/>
      <w:bookmarkStart w:id="2816" w:name="_Toc47467063"/>
      <w:bookmarkEnd w:id="2816"/>
      <w:bookmarkStart w:id="2817" w:name="_Toc47427190"/>
      <w:bookmarkEnd w:id="2817"/>
      <w:bookmarkStart w:id="2818" w:name="_Toc47375488"/>
      <w:bookmarkEnd w:id="2818"/>
      <w:bookmarkStart w:id="2819" w:name="_Toc47427200"/>
      <w:bookmarkEnd w:id="2819"/>
      <w:bookmarkStart w:id="2820" w:name="_Toc47375506"/>
      <w:bookmarkEnd w:id="2820"/>
      <w:bookmarkStart w:id="2821" w:name="_Toc47375508"/>
      <w:bookmarkEnd w:id="2821"/>
      <w:bookmarkStart w:id="2822" w:name="_Toc47467064"/>
      <w:bookmarkEnd w:id="2822"/>
      <w:bookmarkStart w:id="2823" w:name="_Toc47428445"/>
      <w:bookmarkEnd w:id="2823"/>
      <w:bookmarkStart w:id="2824" w:name="_Toc47467142"/>
      <w:bookmarkEnd w:id="2824"/>
      <w:bookmarkStart w:id="2825" w:name="_Toc47375591"/>
      <w:bookmarkEnd w:id="2825"/>
      <w:bookmarkStart w:id="2826" w:name="_Toc47458473"/>
      <w:bookmarkEnd w:id="2826"/>
      <w:bookmarkStart w:id="2827" w:name="_Toc47458544"/>
      <w:bookmarkEnd w:id="2827"/>
      <w:bookmarkStart w:id="2828" w:name="_Toc47465946"/>
      <w:bookmarkEnd w:id="2828"/>
      <w:bookmarkStart w:id="2829" w:name="_Toc47465967"/>
      <w:bookmarkEnd w:id="2829"/>
      <w:bookmarkStart w:id="2830" w:name="_Toc47375521"/>
      <w:bookmarkEnd w:id="2830"/>
      <w:bookmarkStart w:id="2831" w:name="_Toc47458492"/>
      <w:bookmarkEnd w:id="2831"/>
      <w:bookmarkStart w:id="2832" w:name="_Toc47465966"/>
      <w:bookmarkEnd w:id="2832"/>
      <w:bookmarkStart w:id="2833" w:name="_Toc47427182"/>
      <w:bookmarkEnd w:id="2833"/>
      <w:bookmarkStart w:id="2834" w:name="_Toc47458533"/>
      <w:bookmarkEnd w:id="2834"/>
      <w:bookmarkStart w:id="2835" w:name="_Toc47375533"/>
      <w:bookmarkEnd w:id="2835"/>
      <w:bookmarkStart w:id="2836" w:name="_Toc47467080"/>
      <w:bookmarkEnd w:id="2836"/>
      <w:bookmarkStart w:id="2837" w:name="_Toc47375531"/>
      <w:bookmarkEnd w:id="2837"/>
      <w:bookmarkStart w:id="2838" w:name="_Toc47466026"/>
      <w:bookmarkEnd w:id="2838"/>
      <w:bookmarkStart w:id="2839" w:name="_Toc47427265"/>
      <w:bookmarkEnd w:id="2839"/>
      <w:bookmarkStart w:id="2840" w:name="_Toc47427181"/>
      <w:bookmarkEnd w:id="2840"/>
      <w:bookmarkStart w:id="2841" w:name="_Toc47428458"/>
      <w:bookmarkEnd w:id="2841"/>
      <w:bookmarkStart w:id="2842" w:name="_Toc47467097"/>
      <w:bookmarkEnd w:id="2842"/>
      <w:bookmarkStart w:id="2843" w:name="_Toc47375550"/>
      <w:bookmarkEnd w:id="2843"/>
      <w:bookmarkStart w:id="2844" w:name="_Toc47428435"/>
      <w:bookmarkEnd w:id="2844"/>
      <w:bookmarkStart w:id="2845" w:name="_Toc47375542"/>
      <w:bookmarkEnd w:id="2845"/>
      <w:bookmarkStart w:id="2846" w:name="_Toc47375584"/>
      <w:bookmarkEnd w:id="2846"/>
      <w:bookmarkStart w:id="2847" w:name="_Toc47428522"/>
      <w:bookmarkEnd w:id="2847"/>
      <w:bookmarkStart w:id="2848" w:name="_Toc47375539"/>
      <w:bookmarkEnd w:id="2848"/>
      <w:bookmarkStart w:id="2849" w:name="_Toc47467095"/>
      <w:bookmarkEnd w:id="2849"/>
      <w:bookmarkStart w:id="2850" w:name="_Toc47427261"/>
      <w:bookmarkEnd w:id="2850"/>
      <w:bookmarkStart w:id="2851" w:name="_Toc47428436"/>
      <w:bookmarkEnd w:id="2851"/>
      <w:bookmarkStart w:id="2852" w:name="_Toc47467106"/>
      <w:bookmarkEnd w:id="2852"/>
      <w:bookmarkStart w:id="2853" w:name="_Toc47466040"/>
      <w:bookmarkEnd w:id="2853"/>
      <w:bookmarkStart w:id="2854" w:name="_Toc47427175"/>
      <w:bookmarkEnd w:id="2854"/>
      <w:bookmarkStart w:id="2855" w:name="_Toc47458506"/>
      <w:bookmarkEnd w:id="2855"/>
      <w:bookmarkStart w:id="2856" w:name="_Toc47375492"/>
      <w:bookmarkEnd w:id="2856"/>
      <w:bookmarkStart w:id="2857" w:name="_Toc47458446"/>
      <w:bookmarkEnd w:id="2857"/>
      <w:bookmarkStart w:id="2858" w:name="_Toc47458499"/>
      <w:bookmarkEnd w:id="2858"/>
      <w:bookmarkStart w:id="2859" w:name="_Toc47467143"/>
      <w:bookmarkEnd w:id="2859"/>
      <w:bookmarkStart w:id="2860" w:name="_Toc47467144"/>
      <w:bookmarkEnd w:id="2860"/>
      <w:bookmarkStart w:id="2861" w:name="_Toc47458468"/>
      <w:bookmarkEnd w:id="2861"/>
      <w:bookmarkStart w:id="2862" w:name="_Toc47427256"/>
      <w:bookmarkEnd w:id="2862"/>
      <w:bookmarkStart w:id="2863" w:name="_Toc47458450"/>
      <w:bookmarkEnd w:id="2863"/>
      <w:bookmarkStart w:id="2864" w:name="_Toc47428512"/>
      <w:bookmarkEnd w:id="2864"/>
      <w:bookmarkStart w:id="2865" w:name="_Toc47375590"/>
      <w:bookmarkEnd w:id="2865"/>
      <w:bookmarkStart w:id="2866" w:name="_Toc47428467"/>
      <w:bookmarkEnd w:id="2866"/>
      <w:bookmarkStart w:id="2867" w:name="_Toc47467153"/>
      <w:bookmarkEnd w:id="2867"/>
      <w:bookmarkStart w:id="2868" w:name="_Toc47428429"/>
      <w:bookmarkEnd w:id="2868"/>
      <w:bookmarkStart w:id="2869" w:name="_Toc47427240"/>
      <w:bookmarkEnd w:id="2869"/>
      <w:bookmarkStart w:id="2870" w:name="_Toc47458453"/>
      <w:bookmarkEnd w:id="2870"/>
      <w:bookmarkStart w:id="2871" w:name="_Toc47465949"/>
      <w:bookmarkEnd w:id="2871"/>
      <w:bookmarkStart w:id="2872" w:name="_Toc47427186"/>
      <w:bookmarkEnd w:id="2872"/>
      <w:bookmarkStart w:id="2873" w:name="_Toc47375569"/>
      <w:bookmarkEnd w:id="2873"/>
      <w:bookmarkStart w:id="2874" w:name="_Toc47467129"/>
      <w:bookmarkEnd w:id="2874"/>
      <w:bookmarkStart w:id="2875" w:name="_Toc47458519"/>
      <w:bookmarkEnd w:id="2875"/>
      <w:bookmarkStart w:id="2876" w:name="_Toc47467084"/>
      <w:bookmarkEnd w:id="2876"/>
      <w:bookmarkStart w:id="2877" w:name="_Toc47375507"/>
      <w:bookmarkEnd w:id="2877"/>
      <w:bookmarkStart w:id="2878" w:name="_Toc47467151"/>
      <w:bookmarkEnd w:id="2878"/>
      <w:bookmarkStart w:id="2879" w:name="_Toc47467090"/>
      <w:bookmarkEnd w:id="2879"/>
      <w:bookmarkStart w:id="2880" w:name="_Toc47375579"/>
      <w:bookmarkEnd w:id="2880"/>
      <w:bookmarkStart w:id="2881" w:name="_Toc47427192"/>
      <w:bookmarkEnd w:id="2881"/>
      <w:bookmarkStart w:id="2882" w:name="_Toc47467069"/>
      <w:bookmarkEnd w:id="2882"/>
      <w:bookmarkStart w:id="2883" w:name="_Toc47375520"/>
      <w:bookmarkEnd w:id="2883"/>
      <w:bookmarkStart w:id="2884" w:name="_Toc47428448"/>
      <w:bookmarkEnd w:id="2884"/>
      <w:bookmarkStart w:id="2885" w:name="_Toc47467076"/>
      <w:bookmarkEnd w:id="2885"/>
      <w:bookmarkStart w:id="2886" w:name="_Toc47427251"/>
      <w:bookmarkEnd w:id="2886"/>
      <w:bookmarkStart w:id="2887" w:name="_Toc47467085"/>
      <w:bookmarkEnd w:id="2887"/>
      <w:bookmarkStart w:id="2888" w:name="_Toc47375516"/>
      <w:bookmarkEnd w:id="2888"/>
      <w:bookmarkStart w:id="2889" w:name="_Toc47375557"/>
      <w:bookmarkEnd w:id="2889"/>
      <w:bookmarkStart w:id="2890" w:name="_Toc47427223"/>
      <w:bookmarkEnd w:id="2890"/>
      <w:bookmarkStart w:id="2891" w:name="_Toc47427262"/>
      <w:bookmarkEnd w:id="2891"/>
      <w:bookmarkStart w:id="2892" w:name="_Toc47466048"/>
      <w:bookmarkEnd w:id="2892"/>
      <w:bookmarkStart w:id="2893" w:name="_Toc47375523"/>
      <w:bookmarkEnd w:id="2893"/>
      <w:bookmarkStart w:id="2894" w:name="_Toc47458470"/>
      <w:bookmarkEnd w:id="2894"/>
      <w:bookmarkStart w:id="2895" w:name="_Toc47375504"/>
      <w:bookmarkEnd w:id="2895"/>
      <w:bookmarkStart w:id="2896" w:name="_Toc47375566"/>
      <w:bookmarkEnd w:id="2896"/>
      <w:bookmarkStart w:id="2897" w:name="_Toc47427157"/>
      <w:bookmarkEnd w:id="2897"/>
      <w:bookmarkStart w:id="2898" w:name="_Toc47427267"/>
      <w:bookmarkEnd w:id="2898"/>
      <w:bookmarkStart w:id="2899" w:name="_Toc47458546"/>
      <w:bookmarkEnd w:id="2899"/>
      <w:bookmarkStart w:id="2900" w:name="_Toc47467124"/>
      <w:bookmarkEnd w:id="2900"/>
      <w:bookmarkStart w:id="2901" w:name="_Toc47375536"/>
      <w:bookmarkEnd w:id="2901"/>
      <w:bookmarkStart w:id="2902" w:name="_Toc47427263"/>
      <w:bookmarkEnd w:id="2902"/>
      <w:bookmarkStart w:id="2903" w:name="_Toc47428468"/>
      <w:bookmarkEnd w:id="2903"/>
      <w:bookmarkStart w:id="2904" w:name="_Toc47428471"/>
      <w:bookmarkEnd w:id="2904"/>
      <w:bookmarkStart w:id="2905" w:name="_Toc47375514"/>
      <w:bookmarkEnd w:id="2905"/>
      <w:bookmarkStart w:id="2906" w:name="_Toc47458520"/>
      <w:bookmarkEnd w:id="2906"/>
      <w:bookmarkStart w:id="2907" w:name="_Toc47465976"/>
      <w:bookmarkEnd w:id="2907"/>
      <w:bookmarkStart w:id="2908" w:name="_Toc47466025"/>
      <w:bookmarkEnd w:id="2908"/>
      <w:bookmarkStart w:id="2909" w:name="_Toc47466018"/>
      <w:bookmarkEnd w:id="2909"/>
      <w:bookmarkStart w:id="2910" w:name="_Toc47467123"/>
      <w:bookmarkEnd w:id="2910"/>
      <w:bookmarkStart w:id="2911" w:name="_Toc47458552"/>
      <w:bookmarkEnd w:id="2911"/>
      <w:bookmarkStart w:id="2912" w:name="_Toc47466044"/>
      <w:bookmarkEnd w:id="2912"/>
      <w:bookmarkStart w:id="2913" w:name="_Toc47428431"/>
      <w:bookmarkEnd w:id="2913"/>
      <w:bookmarkStart w:id="2914" w:name="_Toc47467128"/>
      <w:bookmarkEnd w:id="2914"/>
      <w:bookmarkStart w:id="2915" w:name="_Toc47467092"/>
      <w:bookmarkEnd w:id="2915"/>
      <w:bookmarkStart w:id="2916" w:name="_Toc47427253"/>
      <w:bookmarkEnd w:id="2916"/>
      <w:bookmarkStart w:id="2917" w:name="_Toc47427238"/>
      <w:bookmarkEnd w:id="2917"/>
      <w:bookmarkStart w:id="2918" w:name="_Toc47458518"/>
      <w:bookmarkEnd w:id="2918"/>
      <w:bookmarkStart w:id="2919" w:name="_Toc47458514"/>
      <w:bookmarkEnd w:id="2919"/>
      <w:bookmarkStart w:id="2920" w:name="_Toc47467099"/>
      <w:bookmarkEnd w:id="2920"/>
      <w:bookmarkStart w:id="2921" w:name="_Toc47375571"/>
      <w:bookmarkEnd w:id="2921"/>
      <w:bookmarkStart w:id="2922" w:name="_Toc47428424"/>
      <w:bookmarkEnd w:id="2922"/>
      <w:bookmarkStart w:id="2923" w:name="_Toc47428534"/>
      <w:bookmarkEnd w:id="2923"/>
      <w:bookmarkStart w:id="2924" w:name="_Toc47467052"/>
      <w:bookmarkEnd w:id="2924"/>
      <w:bookmarkStart w:id="2925" w:name="_Toc47427266"/>
      <w:bookmarkEnd w:id="2925"/>
      <w:bookmarkStart w:id="2926" w:name="_Toc47428506"/>
      <w:bookmarkEnd w:id="2926"/>
      <w:bookmarkStart w:id="2927" w:name="_Toc47467071"/>
      <w:bookmarkEnd w:id="2927"/>
      <w:bookmarkStart w:id="2928" w:name="_Toc47458549"/>
      <w:bookmarkEnd w:id="2928"/>
      <w:bookmarkStart w:id="2929" w:name="_Toc47428505"/>
      <w:bookmarkEnd w:id="2929"/>
      <w:bookmarkStart w:id="2930" w:name="_Toc47375517"/>
      <w:bookmarkEnd w:id="2930"/>
      <w:bookmarkStart w:id="2931" w:name="_Toc47375592"/>
      <w:bookmarkEnd w:id="2931"/>
      <w:bookmarkStart w:id="2932" w:name="_Toc47427193"/>
      <w:bookmarkEnd w:id="2932"/>
      <w:bookmarkStart w:id="2933" w:name="_Toc47427248"/>
      <w:bookmarkEnd w:id="2933"/>
      <w:bookmarkStart w:id="2934" w:name="_Toc47458543"/>
      <w:bookmarkEnd w:id="2934"/>
      <w:bookmarkStart w:id="2935" w:name="_Toc47458508"/>
      <w:bookmarkEnd w:id="2935"/>
      <w:bookmarkStart w:id="2936" w:name="_Toc47465985"/>
      <w:bookmarkEnd w:id="2936"/>
      <w:bookmarkStart w:id="2937" w:name="_Toc47428439"/>
      <w:bookmarkEnd w:id="2937"/>
      <w:bookmarkStart w:id="2938" w:name="_Toc47467135"/>
      <w:bookmarkEnd w:id="2938"/>
      <w:bookmarkStart w:id="2939" w:name="_Toc47458515"/>
      <w:bookmarkEnd w:id="2939"/>
      <w:bookmarkStart w:id="2940" w:name="_Toc47467054"/>
      <w:bookmarkEnd w:id="2940"/>
      <w:bookmarkStart w:id="2941" w:name="_Toc47427176"/>
      <w:bookmarkEnd w:id="2941"/>
      <w:bookmarkStart w:id="2942" w:name="_Toc47375598"/>
      <w:bookmarkEnd w:id="2942"/>
      <w:bookmarkStart w:id="2943" w:name="_Toc47375525"/>
      <w:bookmarkEnd w:id="2943"/>
      <w:bookmarkStart w:id="2944" w:name="_Toc47467156"/>
      <w:bookmarkEnd w:id="2944"/>
      <w:bookmarkStart w:id="2945" w:name="_Toc47375568"/>
      <w:bookmarkEnd w:id="2945"/>
      <w:bookmarkStart w:id="2946" w:name="_Toc47428469"/>
      <w:bookmarkEnd w:id="2946"/>
      <w:bookmarkStart w:id="2947" w:name="_Toc47428451"/>
      <w:bookmarkEnd w:id="2947"/>
      <w:bookmarkStart w:id="2948" w:name="_Toc47458471"/>
      <w:bookmarkEnd w:id="2948"/>
      <w:bookmarkStart w:id="2949" w:name="_Toc47466021"/>
      <w:bookmarkEnd w:id="2949"/>
      <w:bookmarkStart w:id="2950" w:name="_Toc47467118"/>
      <w:bookmarkEnd w:id="2950"/>
      <w:bookmarkStart w:id="2951" w:name="_Toc47375563"/>
      <w:bookmarkEnd w:id="2951"/>
      <w:bookmarkStart w:id="2952" w:name="_Toc47458466"/>
      <w:bookmarkEnd w:id="2952"/>
      <w:bookmarkStart w:id="2953" w:name="_Toc47466022"/>
      <w:bookmarkEnd w:id="2953"/>
      <w:bookmarkStart w:id="2954" w:name="_Toc47467119"/>
      <w:bookmarkEnd w:id="2954"/>
      <w:bookmarkStart w:id="2955" w:name="_Toc47375570"/>
      <w:bookmarkEnd w:id="2955"/>
      <w:bookmarkStart w:id="2956" w:name="_Toc47467132"/>
      <w:bookmarkEnd w:id="2956"/>
      <w:bookmarkStart w:id="2957" w:name="_Toc47467079"/>
      <w:bookmarkEnd w:id="2957"/>
      <w:bookmarkStart w:id="2958" w:name="_Toc47428433"/>
      <w:bookmarkEnd w:id="2958"/>
      <w:bookmarkStart w:id="2959" w:name="_Toc47375551"/>
      <w:bookmarkEnd w:id="2959"/>
      <w:bookmarkStart w:id="2960" w:name="_Toc47465960"/>
      <w:bookmarkEnd w:id="2960"/>
      <w:bookmarkStart w:id="2961" w:name="_Toc47427199"/>
      <w:bookmarkEnd w:id="2961"/>
      <w:bookmarkStart w:id="2962" w:name="_Toc47428432"/>
      <w:bookmarkEnd w:id="2962"/>
      <w:bookmarkStart w:id="2963" w:name="_Toc47375511"/>
      <w:bookmarkEnd w:id="2963"/>
      <w:bookmarkStart w:id="2964" w:name="_Toc47465982"/>
      <w:bookmarkEnd w:id="2964"/>
      <w:bookmarkStart w:id="2965" w:name="_Toc47466015"/>
      <w:bookmarkEnd w:id="2965"/>
      <w:bookmarkStart w:id="2966" w:name="_Toc47466039"/>
      <w:bookmarkEnd w:id="2966"/>
      <w:bookmarkStart w:id="2967" w:name="_Toc47428499"/>
      <w:bookmarkEnd w:id="2967"/>
      <w:bookmarkStart w:id="2968" w:name="_Toc47375588"/>
      <w:bookmarkEnd w:id="2968"/>
      <w:bookmarkStart w:id="2969" w:name="_Toc47466016"/>
      <w:bookmarkEnd w:id="2969"/>
      <w:bookmarkStart w:id="2970" w:name="_Toc47427163"/>
      <w:bookmarkEnd w:id="2970"/>
      <w:bookmarkStart w:id="2971" w:name="_Toc47428535"/>
      <w:bookmarkEnd w:id="2971"/>
      <w:bookmarkStart w:id="2972" w:name="_Toc47375576"/>
      <w:bookmarkEnd w:id="2972"/>
      <w:bookmarkStart w:id="2973" w:name="_Toc47375574"/>
      <w:bookmarkEnd w:id="2973"/>
      <w:bookmarkStart w:id="2974" w:name="_Toc47427195"/>
      <w:bookmarkEnd w:id="2974"/>
      <w:bookmarkStart w:id="2975" w:name="_Toc47465955"/>
      <w:bookmarkEnd w:id="2975"/>
      <w:bookmarkStart w:id="2976" w:name="_Toc47375498"/>
      <w:bookmarkEnd w:id="2976"/>
      <w:bookmarkStart w:id="2977" w:name="_Toc47458482"/>
      <w:bookmarkEnd w:id="2977"/>
      <w:bookmarkStart w:id="2978" w:name="_Toc47427252"/>
      <w:bookmarkEnd w:id="2978"/>
      <w:bookmarkStart w:id="2979" w:name="_Toc47428464"/>
      <w:bookmarkEnd w:id="2979"/>
      <w:bookmarkStart w:id="2980" w:name="_Toc47375567"/>
      <w:bookmarkEnd w:id="2980"/>
      <w:bookmarkStart w:id="2981" w:name="_Toc47428441"/>
      <w:bookmarkEnd w:id="2981"/>
      <w:bookmarkStart w:id="2982" w:name="_Toc47375524"/>
      <w:bookmarkEnd w:id="2982"/>
      <w:bookmarkStart w:id="2983" w:name="_Toc47427218"/>
      <w:bookmarkEnd w:id="2983"/>
      <w:bookmarkStart w:id="2984" w:name="_Toc47428477"/>
      <w:bookmarkEnd w:id="2984"/>
      <w:bookmarkStart w:id="2985" w:name="_Toc47465981"/>
      <w:bookmarkEnd w:id="2985"/>
      <w:bookmarkStart w:id="2986" w:name="_Toc47428504"/>
      <w:bookmarkEnd w:id="2986"/>
      <w:bookmarkStart w:id="2987" w:name="_Toc47467117"/>
      <w:bookmarkEnd w:id="2987"/>
      <w:bookmarkStart w:id="2988" w:name="_Toc47467070"/>
      <w:bookmarkEnd w:id="2988"/>
      <w:bookmarkStart w:id="2989" w:name="_Toc47458454"/>
      <w:bookmarkEnd w:id="2989"/>
      <w:bookmarkStart w:id="2990" w:name="_Toc47467060"/>
      <w:bookmarkEnd w:id="2990"/>
      <w:bookmarkStart w:id="2991" w:name="_Toc47465948"/>
      <w:bookmarkEnd w:id="2991"/>
      <w:bookmarkStart w:id="2992" w:name="_Toc47466042"/>
      <w:bookmarkEnd w:id="2992"/>
      <w:bookmarkStart w:id="2993" w:name="_Toc47466002"/>
      <w:bookmarkEnd w:id="2993"/>
      <w:bookmarkStart w:id="2994" w:name="_Toc47465952"/>
      <w:bookmarkEnd w:id="2994"/>
      <w:bookmarkStart w:id="2995" w:name="_Toc47467127"/>
      <w:bookmarkEnd w:id="2995"/>
      <w:bookmarkStart w:id="2996" w:name="_Toc47375535"/>
      <w:bookmarkEnd w:id="2996"/>
      <w:bookmarkStart w:id="2997" w:name="_Toc47375530"/>
      <w:bookmarkEnd w:id="2997"/>
      <w:bookmarkStart w:id="2998" w:name="_Toc47467109"/>
      <w:bookmarkEnd w:id="2998"/>
      <w:bookmarkStart w:id="2999" w:name="_Toc47465978"/>
      <w:bookmarkEnd w:id="2999"/>
      <w:bookmarkStart w:id="3000" w:name="_Toc47458443"/>
      <w:bookmarkEnd w:id="3000"/>
      <w:bookmarkStart w:id="3001" w:name="_Toc47467161"/>
      <w:bookmarkEnd w:id="3001"/>
      <w:bookmarkStart w:id="3002" w:name="_Toc47467056"/>
      <w:bookmarkEnd w:id="3002"/>
      <w:bookmarkStart w:id="3003" w:name="_Toc47427219"/>
      <w:bookmarkEnd w:id="3003"/>
      <w:bookmarkStart w:id="3004" w:name="_Toc44666379"/>
      <w:bookmarkEnd w:id="3004"/>
      <w:bookmarkStart w:id="3005" w:name="_Toc47428438"/>
      <w:bookmarkEnd w:id="3005"/>
      <w:bookmarkStart w:id="3006" w:name="_Toc47458481"/>
      <w:bookmarkEnd w:id="3006"/>
      <w:bookmarkStart w:id="3007" w:name="_Toc47465995"/>
      <w:bookmarkEnd w:id="3007"/>
      <w:bookmarkStart w:id="3008" w:name="_Toc47427162"/>
      <w:bookmarkEnd w:id="3008"/>
      <w:bookmarkStart w:id="3009" w:name="_Toc47467062"/>
      <w:bookmarkEnd w:id="3009"/>
      <w:bookmarkStart w:id="3010" w:name="_Toc47428479"/>
      <w:bookmarkEnd w:id="3010"/>
      <w:bookmarkStart w:id="3011" w:name="_Toc47375559"/>
      <w:bookmarkEnd w:id="3011"/>
      <w:bookmarkStart w:id="3012" w:name="_Toc47427158"/>
      <w:bookmarkEnd w:id="3012"/>
      <w:bookmarkStart w:id="3013" w:name="_Toc47428462"/>
      <w:bookmarkEnd w:id="3013"/>
      <w:bookmarkStart w:id="3014" w:name="_Toc47466007"/>
      <w:bookmarkEnd w:id="3014"/>
      <w:bookmarkStart w:id="3015" w:name="_Toc47375497"/>
      <w:bookmarkEnd w:id="3015"/>
      <w:bookmarkStart w:id="3016" w:name="_Toc47466037"/>
      <w:bookmarkEnd w:id="3016"/>
      <w:bookmarkStart w:id="3017" w:name="_Toc47458534"/>
      <w:bookmarkEnd w:id="3017"/>
      <w:bookmarkStart w:id="3018" w:name="_Toc47428515"/>
      <w:bookmarkEnd w:id="3018"/>
      <w:bookmarkStart w:id="3019" w:name="_Toc47458522"/>
      <w:bookmarkEnd w:id="3019"/>
      <w:bookmarkStart w:id="3020" w:name="_Toc47427227"/>
      <w:bookmarkEnd w:id="3020"/>
      <w:bookmarkStart w:id="3021" w:name="_Toc47428495"/>
      <w:bookmarkEnd w:id="3021"/>
      <w:bookmarkStart w:id="3022" w:name="_Toc47375502"/>
      <w:bookmarkEnd w:id="3022"/>
      <w:bookmarkStart w:id="3023" w:name="_Toc47427255"/>
      <w:bookmarkEnd w:id="3023"/>
      <w:bookmarkStart w:id="3024" w:name="_Toc44666378"/>
      <w:bookmarkEnd w:id="3024"/>
      <w:bookmarkStart w:id="3025" w:name="_Toc47427183"/>
      <w:bookmarkEnd w:id="3025"/>
      <w:bookmarkStart w:id="3026" w:name="_Toc47458486"/>
      <w:bookmarkEnd w:id="3026"/>
      <w:bookmarkStart w:id="3027" w:name="_Toc47427259"/>
      <w:bookmarkEnd w:id="3027"/>
      <w:bookmarkStart w:id="3028" w:name="_Toc47375526"/>
      <w:bookmarkEnd w:id="3028"/>
      <w:bookmarkStart w:id="3029" w:name="_Toc47466050"/>
      <w:bookmarkEnd w:id="3029"/>
      <w:bookmarkStart w:id="3030" w:name="_Toc47375493"/>
      <w:bookmarkEnd w:id="3030"/>
      <w:bookmarkStart w:id="3031" w:name="_Toc47458465"/>
      <w:bookmarkEnd w:id="3031"/>
      <w:bookmarkStart w:id="3032" w:name="_Toc47458532"/>
      <w:bookmarkEnd w:id="3032"/>
      <w:bookmarkStart w:id="3033" w:name="_Toc47458545"/>
      <w:bookmarkEnd w:id="3033"/>
      <w:bookmarkStart w:id="3034" w:name="_Toc47458485"/>
      <w:bookmarkEnd w:id="3034"/>
      <w:bookmarkStart w:id="3035" w:name="_Toc47375595"/>
      <w:bookmarkEnd w:id="3035"/>
      <w:bookmarkStart w:id="3036" w:name="_Toc47428529"/>
      <w:bookmarkEnd w:id="3036"/>
      <w:bookmarkStart w:id="3037" w:name="_Toc47427184"/>
      <w:bookmarkEnd w:id="3037"/>
      <w:bookmarkStart w:id="3038" w:name="_Toc47467130"/>
      <w:bookmarkEnd w:id="3038"/>
      <w:bookmarkStart w:id="3039" w:name="_Toc47458542"/>
      <w:bookmarkEnd w:id="3039"/>
      <w:bookmarkStart w:id="3040" w:name="_Toc47458456"/>
      <w:bookmarkEnd w:id="3040"/>
      <w:bookmarkStart w:id="3041" w:name="_Toc47458489"/>
      <w:bookmarkEnd w:id="3041"/>
      <w:bookmarkStart w:id="3042" w:name="_Toc47428449"/>
      <w:bookmarkEnd w:id="3042"/>
      <w:bookmarkStart w:id="3043" w:name="_Toc47467125"/>
      <w:bookmarkEnd w:id="3043"/>
      <w:bookmarkStart w:id="3044" w:name="_Toc47458513"/>
      <w:bookmarkEnd w:id="3044"/>
      <w:bookmarkStart w:id="3045" w:name="_Toc47465970"/>
      <w:bookmarkEnd w:id="3045"/>
      <w:bookmarkStart w:id="3046" w:name="_Toc47427179"/>
      <w:bookmarkEnd w:id="3046"/>
      <w:bookmarkStart w:id="3047" w:name="_Toc47428485"/>
      <w:bookmarkEnd w:id="3047"/>
      <w:bookmarkStart w:id="3048" w:name="_Toc47427228"/>
      <w:bookmarkEnd w:id="3048"/>
      <w:bookmarkStart w:id="3049" w:name="_Toc47428460"/>
      <w:bookmarkEnd w:id="3049"/>
      <w:bookmarkStart w:id="3050" w:name="_Toc44604465"/>
      <w:bookmarkEnd w:id="3050"/>
      <w:bookmarkStart w:id="3051" w:name="_Toc47458509"/>
      <w:bookmarkEnd w:id="3051"/>
      <w:bookmarkStart w:id="3052" w:name="_Toc47428484"/>
      <w:bookmarkEnd w:id="3052"/>
      <w:bookmarkStart w:id="3053" w:name="_Toc47466014"/>
      <w:bookmarkEnd w:id="3053"/>
      <w:bookmarkStart w:id="3054" w:name="_Toc47428446"/>
      <w:bookmarkEnd w:id="3054"/>
      <w:bookmarkStart w:id="3055" w:name="_Toc47458483"/>
      <w:bookmarkEnd w:id="3055"/>
      <w:bookmarkStart w:id="3056" w:name="_Toc44688502"/>
      <w:bookmarkEnd w:id="3056"/>
      <w:bookmarkStart w:id="3057" w:name="_Toc47465992"/>
      <w:bookmarkEnd w:id="3057"/>
      <w:bookmarkStart w:id="3058" w:name="_Toc47458480"/>
      <w:bookmarkEnd w:id="3058"/>
      <w:bookmarkStart w:id="3059" w:name="_Toc47428481"/>
      <w:bookmarkEnd w:id="3059"/>
      <w:bookmarkStart w:id="3060" w:name="_Toc47428490"/>
      <w:bookmarkEnd w:id="3060"/>
      <w:bookmarkStart w:id="3061" w:name="_Toc47467083"/>
      <w:bookmarkEnd w:id="3061"/>
      <w:bookmarkStart w:id="3062" w:name="_Toc47467100"/>
      <w:bookmarkEnd w:id="3062"/>
      <w:bookmarkStart w:id="3063" w:name="_Toc47458493"/>
      <w:bookmarkEnd w:id="3063"/>
      <w:bookmarkStart w:id="3064" w:name="_Toc47427203"/>
      <w:bookmarkEnd w:id="3064"/>
      <w:bookmarkStart w:id="3065" w:name="_Toc47458476"/>
      <w:bookmarkEnd w:id="3065"/>
      <w:bookmarkStart w:id="3066" w:name="_Toc47465964"/>
      <w:bookmarkEnd w:id="3066"/>
      <w:bookmarkStart w:id="3067" w:name="_Toc47427167"/>
      <w:bookmarkEnd w:id="3067"/>
      <w:bookmarkStart w:id="3068" w:name="_Toc47458475"/>
      <w:bookmarkEnd w:id="3068"/>
      <w:bookmarkStart w:id="3069" w:name="_Toc47466029"/>
      <w:bookmarkEnd w:id="3069"/>
      <w:bookmarkStart w:id="3070" w:name="_Toc47467102"/>
      <w:bookmarkEnd w:id="3070"/>
      <w:bookmarkStart w:id="3071" w:name="_Toc47428442"/>
      <w:bookmarkEnd w:id="3071"/>
      <w:bookmarkStart w:id="3072" w:name="_Toc47427216"/>
      <w:bookmarkEnd w:id="3072"/>
      <w:bookmarkStart w:id="3073" w:name="_Toc47375509"/>
      <w:bookmarkEnd w:id="3073"/>
      <w:bookmarkStart w:id="3074" w:name="_Toc47467087"/>
      <w:bookmarkEnd w:id="3074"/>
      <w:bookmarkStart w:id="3075" w:name="_Toc47428434"/>
      <w:bookmarkEnd w:id="3075"/>
      <w:bookmarkStart w:id="3076" w:name="_Toc47428426"/>
      <w:bookmarkEnd w:id="3076"/>
      <w:bookmarkStart w:id="3077" w:name="_Toc47458504"/>
      <w:bookmarkEnd w:id="3077"/>
      <w:bookmarkStart w:id="3078" w:name="_Toc47458517"/>
      <w:bookmarkEnd w:id="3078"/>
      <w:bookmarkStart w:id="3079" w:name="_Toc47427222"/>
      <w:bookmarkEnd w:id="3079"/>
      <w:bookmarkStart w:id="3080" w:name="_Toc47458472"/>
      <w:bookmarkEnd w:id="3080"/>
      <w:bookmarkStart w:id="3081" w:name="_Toc47427230"/>
      <w:bookmarkEnd w:id="3081"/>
      <w:bookmarkStart w:id="3082" w:name="_Toc47428516"/>
      <w:bookmarkEnd w:id="3082"/>
      <w:bookmarkStart w:id="3083" w:name="_Toc47467164"/>
      <w:r>
        <w:rPr>
          <w:rFonts w:hint="eastAsia" w:ascii="仿宋_GB2312" w:eastAsia="仿宋_GB2312"/>
          <w:b/>
          <w:sz w:val="30"/>
          <w:szCs w:val="30"/>
        </w:rPr>
        <w:t>基础信息</w:t>
      </w:r>
      <w:bookmarkEnd w:id="3083"/>
    </w:p>
    <w:p w14:paraId="5FD89A5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债券基础信息主要为债券现券的基础信息，可分为债券基本属性、含权属性、交易属性、回购属性几大类。</w:t>
      </w:r>
    </w:p>
    <w:p w14:paraId="034CAFA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（1）基本属性</w:t>
      </w:r>
    </w:p>
    <w:p w14:paraId="4633FB3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基本属性主要包括债券代码、债券简称、债券名称、债券类型、债券子类型、利率类型、票面利率、付息频率、基准利率（若有）、浮动利差（若有）、发行期限、剩余期限、数量、发行方式、起息日、到期日、发行人、主体评级、债项评级、评级机构、是否上市、发行量、上市量、特殊债券类型（若有）、结构化分档（若为</w:t>
      </w:r>
      <w:r>
        <w:rPr>
          <w:rFonts w:ascii="仿宋_GB2312" w:hAnsi="宋体" w:eastAsia="仿宋_GB2312"/>
          <w:sz w:val="30"/>
          <w:szCs w:val="30"/>
        </w:rPr>
        <w:t>ABS）、应计利息、价格类型、计息基准</w:t>
      </w:r>
      <w:r>
        <w:rPr>
          <w:rFonts w:hint="eastAsia" w:ascii="仿宋_GB2312" w:hAnsi="宋体" w:eastAsia="仿宋_GB2312"/>
          <w:sz w:val="30"/>
          <w:szCs w:val="30"/>
        </w:rPr>
        <w:t>和到期收益率</w:t>
      </w:r>
      <w:r>
        <w:rPr>
          <w:rFonts w:ascii="仿宋_GB2312" w:hAnsi="宋体" w:eastAsia="仿宋_GB2312"/>
          <w:sz w:val="30"/>
          <w:szCs w:val="30"/>
        </w:rPr>
        <w:t>等。</w:t>
      </w:r>
    </w:p>
    <w:p w14:paraId="5C1CF4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（2）含权属性</w:t>
      </w:r>
    </w:p>
    <w:p w14:paraId="570241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含权属性主要包括含权类型、含权条款等信息。</w:t>
      </w:r>
    </w:p>
    <w:p w14:paraId="41110EE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（3）交易属性</w:t>
      </w:r>
    </w:p>
    <w:p w14:paraId="21DFB47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交易属性主要包括交易方式、结算方式、投资者适当性要求、是否提供特定债券转让、上市日、摘牌日、停牌日（若有）、复牌日（若有）等信息。</w:t>
      </w:r>
    </w:p>
    <w:p w14:paraId="6E31686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（4）回购属性</w:t>
      </w:r>
    </w:p>
    <w:p w14:paraId="7F7CA8F9">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回购属性主要包括通用回购折算率、三方回购折算率、三方回购所属篮子等信息。</w:t>
      </w:r>
    </w:p>
    <w:p w14:paraId="7E6DE07F">
      <w:pPr>
        <w:numPr>
          <w:ilvl w:val="2"/>
          <w:numId w:val="4"/>
        </w:numPr>
        <w:spacing w:line="600" w:lineRule="exact"/>
        <w:ind w:left="0" w:firstLine="0"/>
        <w:outlineLvl w:val="2"/>
        <w:rPr>
          <w:rFonts w:ascii="仿宋_GB2312" w:eastAsia="仿宋_GB2312"/>
          <w:b/>
          <w:sz w:val="30"/>
          <w:szCs w:val="30"/>
        </w:rPr>
      </w:pPr>
      <w:bookmarkStart w:id="3084" w:name="_Toc47467165"/>
      <w:r>
        <w:rPr>
          <w:rFonts w:hint="eastAsia" w:ascii="仿宋_GB2312" w:eastAsia="仿宋_GB2312"/>
          <w:b/>
          <w:sz w:val="30"/>
          <w:szCs w:val="30"/>
        </w:rPr>
        <w:t>非交易基础信息</w:t>
      </w:r>
      <w:bookmarkEnd w:id="3084"/>
    </w:p>
    <w:p w14:paraId="0141EBE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非交易基础信息主要包括债券回售、债券转股、债券换股等债券非交易服务的基础信息。</w:t>
      </w:r>
    </w:p>
    <w:p w14:paraId="0B6D217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债券回售信息主要包括回售起始日、回售终止日、回售价格、资金发放日、回售可撤销起始日、回售可撤销终止日、转售权利等信息。</w:t>
      </w:r>
    </w:p>
    <w:p w14:paraId="48EB840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债券转股信息主要包括转股类型、正股代码（若有）、正股简称（若有）、转股价格、转股起始日、转股终止日等信息。</w:t>
      </w:r>
    </w:p>
    <w:p w14:paraId="2D3F784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债券换股信息主要包括换股类型、正股代码、正股简称、换股价格、换股起始日、换股终止日等信息。</w:t>
      </w:r>
    </w:p>
    <w:p w14:paraId="341635D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（1）债券交易参与人信息</w:t>
      </w:r>
    </w:p>
    <w:p w14:paraId="31B4DD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债券交易参与人信息主要包括债券交易参与人全称、债券交易参与人简称、债券交易参与人编号等信息。</w:t>
      </w:r>
    </w:p>
    <w:p w14:paraId="23258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（2）交易员信息</w:t>
      </w:r>
    </w:p>
    <w:p w14:paraId="18AD408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交易员信息主要包括交易员姓名、交易员编号、所属的债券交易参与人简称、联系电话</w:t>
      </w:r>
      <w:r>
        <w:rPr>
          <w:rFonts w:ascii="仿宋_GB2312" w:hAnsi="宋体" w:eastAsia="仿宋_GB2312"/>
          <w:sz w:val="30"/>
          <w:szCs w:val="30"/>
        </w:rPr>
        <w:t>等信息。</w:t>
      </w:r>
    </w:p>
    <w:p w14:paraId="3F42590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（3）做市商及做市品种信息</w:t>
      </w:r>
    </w:p>
    <w:p w14:paraId="09881F9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做市商及做市品种信息主要包括当前正处于做市期间的债券及对应主做市商及一般做市商信息，如做市券种代码、做市券种简称、做市起始日期、做市终止日期、对应做市商名称、做市商类型。</w:t>
      </w:r>
    </w:p>
    <w:p w14:paraId="2CE2BC08">
      <w:pPr>
        <w:numPr>
          <w:ilvl w:val="1"/>
          <w:numId w:val="4"/>
        </w:numPr>
        <w:spacing w:line="600" w:lineRule="exact"/>
        <w:ind w:left="0" w:firstLine="0"/>
        <w:outlineLvl w:val="1"/>
        <w:rPr>
          <w:rFonts w:ascii="仿宋_GB2312" w:eastAsia="仿宋_GB2312"/>
          <w:b/>
          <w:sz w:val="30"/>
          <w:szCs w:val="30"/>
        </w:rPr>
      </w:pPr>
      <w:bookmarkStart w:id="3085" w:name="_Toc44666424"/>
      <w:bookmarkEnd w:id="3085"/>
      <w:bookmarkStart w:id="3086" w:name="_Toc44666384"/>
      <w:bookmarkEnd w:id="3086"/>
      <w:bookmarkStart w:id="3087" w:name="_Toc44666385"/>
      <w:bookmarkEnd w:id="3087"/>
      <w:bookmarkStart w:id="3088" w:name="_Toc44688507"/>
      <w:bookmarkEnd w:id="3088"/>
      <w:bookmarkStart w:id="3089" w:name="_Toc44666425"/>
      <w:bookmarkEnd w:id="3089"/>
      <w:bookmarkStart w:id="3090" w:name="_Toc44666382"/>
      <w:bookmarkEnd w:id="3090"/>
      <w:bookmarkStart w:id="3091" w:name="_Toc44666423"/>
      <w:bookmarkEnd w:id="3091"/>
      <w:bookmarkStart w:id="3092" w:name="_Toc44666422"/>
      <w:bookmarkEnd w:id="3092"/>
      <w:bookmarkStart w:id="3093" w:name="_Toc44688508"/>
      <w:bookmarkEnd w:id="3093"/>
      <w:bookmarkStart w:id="3094" w:name="_Toc44688505"/>
      <w:bookmarkEnd w:id="3094"/>
      <w:bookmarkStart w:id="3095" w:name="_Toc44688509"/>
      <w:bookmarkEnd w:id="3095"/>
      <w:bookmarkStart w:id="3096" w:name="_Toc44666386"/>
      <w:bookmarkEnd w:id="3096"/>
      <w:bookmarkStart w:id="3097" w:name="_Toc44666383"/>
      <w:bookmarkEnd w:id="3097"/>
      <w:bookmarkStart w:id="3098" w:name="_Toc44688506"/>
      <w:bookmarkEnd w:id="3098"/>
      <w:bookmarkStart w:id="3099" w:name="_Toc44666421"/>
      <w:bookmarkEnd w:id="3099"/>
      <w:bookmarkStart w:id="3100" w:name="_Toc151137067"/>
      <w:bookmarkStart w:id="3101" w:name="_Toc56166116"/>
      <w:bookmarkStart w:id="3102" w:name="_Toc56166305"/>
      <w:bookmarkStart w:id="3103" w:name="_Toc47467166"/>
      <w:r>
        <w:rPr>
          <w:rFonts w:hint="eastAsia" w:ascii="仿宋_GB2312" w:eastAsia="仿宋_GB2312"/>
          <w:b/>
          <w:sz w:val="30"/>
          <w:szCs w:val="30"/>
        </w:rPr>
        <w:t>交易信息权属</w:t>
      </w:r>
      <w:bookmarkEnd w:id="3100"/>
      <w:bookmarkEnd w:id="3101"/>
      <w:bookmarkEnd w:id="3102"/>
      <w:bookmarkEnd w:id="3103"/>
    </w:p>
    <w:p w14:paraId="5D8E571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市场产生的交易信息归本所所有。未经本所书面许可，任何单位或个人不得发布、使用、传播或经营本所债券市场产生的的交易信息。经本所许可使用信息的机构和个人，未经本所同意，不得将信息提供给其他机构和个人使用或者传播。</w:t>
      </w:r>
    </w:p>
    <w:p w14:paraId="4E780DFB">
      <w:pPr>
        <w:numPr>
          <w:ilvl w:val="1"/>
          <w:numId w:val="4"/>
        </w:numPr>
        <w:spacing w:line="600" w:lineRule="exact"/>
        <w:ind w:left="0" w:firstLine="0"/>
        <w:outlineLvl w:val="1"/>
        <w:rPr>
          <w:rFonts w:ascii="仿宋_GB2312" w:eastAsia="仿宋_GB2312"/>
          <w:b/>
          <w:sz w:val="30"/>
          <w:szCs w:val="30"/>
        </w:rPr>
      </w:pPr>
      <w:bookmarkStart w:id="3104" w:name="_Toc47375614"/>
      <w:bookmarkEnd w:id="3104"/>
      <w:bookmarkStart w:id="3105" w:name="_Toc47428541"/>
      <w:bookmarkEnd w:id="3105"/>
      <w:bookmarkStart w:id="3106" w:name="_Toc47374426"/>
      <w:bookmarkEnd w:id="3106"/>
      <w:bookmarkStart w:id="3107" w:name="_Toc47375620"/>
      <w:bookmarkEnd w:id="3107"/>
      <w:bookmarkStart w:id="3108" w:name="_Toc47467171"/>
      <w:bookmarkEnd w:id="3108"/>
      <w:bookmarkStart w:id="3109" w:name="_Toc47458576"/>
      <w:bookmarkEnd w:id="3109"/>
      <w:bookmarkStart w:id="3110" w:name="_Toc47458575"/>
      <w:bookmarkEnd w:id="3110"/>
      <w:bookmarkStart w:id="3111" w:name="_Toc47374432"/>
      <w:bookmarkEnd w:id="3111"/>
      <w:bookmarkStart w:id="3112" w:name="_Toc47458567"/>
      <w:bookmarkEnd w:id="3112"/>
      <w:bookmarkStart w:id="3113" w:name="_Toc47467184"/>
      <w:bookmarkEnd w:id="3113"/>
      <w:bookmarkStart w:id="3114" w:name="_Toc47428558"/>
      <w:bookmarkEnd w:id="3114"/>
      <w:bookmarkStart w:id="3115" w:name="_Toc47466069"/>
      <w:bookmarkEnd w:id="3115"/>
      <w:bookmarkStart w:id="3116" w:name="_Toc47375605"/>
      <w:bookmarkEnd w:id="3116"/>
      <w:bookmarkStart w:id="3117" w:name="_Toc47467172"/>
      <w:bookmarkEnd w:id="3117"/>
      <w:bookmarkStart w:id="3118" w:name="_Toc47428540"/>
      <w:bookmarkEnd w:id="3118"/>
      <w:bookmarkStart w:id="3119" w:name="_Toc47467169"/>
      <w:bookmarkEnd w:id="3119"/>
      <w:bookmarkStart w:id="3120" w:name="_Toc47467181"/>
      <w:bookmarkEnd w:id="3120"/>
      <w:bookmarkStart w:id="3121" w:name="_Toc47466064"/>
      <w:bookmarkEnd w:id="3121"/>
      <w:bookmarkStart w:id="3122" w:name="_Toc47458573"/>
      <w:bookmarkEnd w:id="3122"/>
      <w:bookmarkStart w:id="3123" w:name="_Toc47374421"/>
      <w:bookmarkEnd w:id="3123"/>
      <w:bookmarkStart w:id="3124" w:name="_Toc47374945"/>
      <w:bookmarkEnd w:id="3124"/>
      <w:bookmarkStart w:id="3125" w:name="_Toc47467186"/>
      <w:bookmarkEnd w:id="3125"/>
      <w:bookmarkStart w:id="3126" w:name="_Toc47374957"/>
      <w:bookmarkEnd w:id="3126"/>
      <w:bookmarkStart w:id="3127" w:name="_Toc41571869"/>
      <w:bookmarkEnd w:id="3127"/>
      <w:bookmarkStart w:id="3128" w:name="_Toc47375606"/>
      <w:bookmarkEnd w:id="3128"/>
      <w:bookmarkStart w:id="3129" w:name="_Toc47458578"/>
      <w:bookmarkEnd w:id="3129"/>
      <w:bookmarkStart w:id="3130" w:name="_Toc47374429"/>
      <w:bookmarkEnd w:id="3130"/>
      <w:bookmarkStart w:id="3131" w:name="_Toc47374394"/>
      <w:bookmarkEnd w:id="3131"/>
      <w:bookmarkStart w:id="3132" w:name="_Toc47374437"/>
      <w:bookmarkEnd w:id="3132"/>
      <w:bookmarkStart w:id="3133" w:name="_Toc47372889"/>
      <w:bookmarkEnd w:id="3133"/>
      <w:bookmarkStart w:id="3134" w:name="_Toc47372893"/>
      <w:bookmarkEnd w:id="3134"/>
      <w:bookmarkStart w:id="3135" w:name="_Toc47375616"/>
      <w:bookmarkEnd w:id="3135"/>
      <w:bookmarkStart w:id="3136" w:name="_Toc47375622"/>
      <w:bookmarkEnd w:id="3136"/>
      <w:bookmarkStart w:id="3137" w:name="_Toc47374422"/>
      <w:bookmarkEnd w:id="3137"/>
      <w:bookmarkStart w:id="3138" w:name="_Toc47428543"/>
      <w:bookmarkEnd w:id="3138"/>
      <w:bookmarkStart w:id="3139" w:name="_Toc47467185"/>
      <w:bookmarkEnd w:id="3139"/>
      <w:bookmarkStart w:id="3140" w:name="_Toc47428548"/>
      <w:bookmarkEnd w:id="3140"/>
      <w:bookmarkStart w:id="3141" w:name="_Toc47467179"/>
      <w:bookmarkEnd w:id="3141"/>
      <w:bookmarkStart w:id="3142" w:name="_Toc47374384"/>
      <w:bookmarkEnd w:id="3142"/>
      <w:bookmarkStart w:id="3143" w:name="_Toc47428549"/>
      <w:bookmarkEnd w:id="3143"/>
      <w:bookmarkStart w:id="3144" w:name="_Toc47428539"/>
      <w:bookmarkEnd w:id="3144"/>
      <w:bookmarkStart w:id="3145" w:name="_Toc47374960"/>
      <w:bookmarkEnd w:id="3145"/>
      <w:bookmarkStart w:id="3146" w:name="_Toc47372890"/>
      <w:bookmarkEnd w:id="3146"/>
      <w:bookmarkStart w:id="3147" w:name="_Toc41572352"/>
      <w:bookmarkEnd w:id="3147"/>
      <w:bookmarkStart w:id="3148" w:name="_Toc47428555"/>
      <w:bookmarkEnd w:id="3148"/>
      <w:bookmarkStart w:id="3149" w:name="_Toc47458561"/>
      <w:bookmarkEnd w:id="3149"/>
      <w:bookmarkStart w:id="3150" w:name="_Toc47374397"/>
      <w:bookmarkEnd w:id="3150"/>
      <w:bookmarkStart w:id="3151" w:name="_Toc47458558"/>
      <w:bookmarkEnd w:id="3151"/>
      <w:bookmarkStart w:id="3152" w:name="_Toc47372901"/>
      <w:bookmarkEnd w:id="3152"/>
      <w:bookmarkStart w:id="3153" w:name="_Toc41572226"/>
      <w:bookmarkEnd w:id="3153"/>
      <w:bookmarkStart w:id="3154" w:name="_Toc47466068"/>
      <w:bookmarkEnd w:id="3154"/>
      <w:bookmarkStart w:id="3155" w:name="_Toc47375617"/>
      <w:bookmarkEnd w:id="3155"/>
      <w:bookmarkStart w:id="3156" w:name="_Toc47374962"/>
      <w:bookmarkEnd w:id="3156"/>
      <w:bookmarkStart w:id="3157" w:name="_Toc47427278"/>
      <w:bookmarkEnd w:id="3157"/>
      <w:bookmarkStart w:id="3158" w:name="_Toc47467180"/>
      <w:bookmarkEnd w:id="3158"/>
      <w:bookmarkStart w:id="3159" w:name="_Toc47467170"/>
      <w:bookmarkEnd w:id="3159"/>
      <w:bookmarkStart w:id="3160" w:name="_Toc47427281"/>
      <w:bookmarkEnd w:id="3160"/>
      <w:bookmarkStart w:id="3161" w:name="_Toc47375611"/>
      <w:bookmarkEnd w:id="3161"/>
      <w:bookmarkStart w:id="3162" w:name="_Toc47374401"/>
      <w:bookmarkEnd w:id="3162"/>
      <w:bookmarkStart w:id="3163" w:name="_Toc47427286"/>
      <w:bookmarkEnd w:id="3163"/>
      <w:bookmarkStart w:id="3164" w:name="_Toc47428542"/>
      <w:bookmarkEnd w:id="3164"/>
      <w:bookmarkStart w:id="3165" w:name="_Toc47458559"/>
      <w:bookmarkEnd w:id="3165"/>
      <w:bookmarkStart w:id="3166" w:name="_Toc47428546"/>
      <w:bookmarkEnd w:id="3166"/>
      <w:bookmarkStart w:id="3167" w:name="_Toc47372894"/>
      <w:bookmarkEnd w:id="3167"/>
      <w:bookmarkStart w:id="3168" w:name="_Toc47427292"/>
      <w:bookmarkEnd w:id="3168"/>
      <w:bookmarkStart w:id="3169" w:name="_Toc47458560"/>
      <w:bookmarkEnd w:id="3169"/>
      <w:bookmarkStart w:id="3170" w:name="_Toc47375604"/>
      <w:bookmarkEnd w:id="3170"/>
      <w:bookmarkStart w:id="3171" w:name="_Toc47428557"/>
      <w:bookmarkEnd w:id="3171"/>
      <w:bookmarkStart w:id="3172" w:name="_Toc47374402"/>
      <w:bookmarkEnd w:id="3172"/>
      <w:bookmarkStart w:id="3173" w:name="_Toc47372906"/>
      <w:bookmarkEnd w:id="3173"/>
      <w:bookmarkStart w:id="3174" w:name="_Toc47427285"/>
      <w:bookmarkEnd w:id="3174"/>
      <w:bookmarkStart w:id="3175" w:name="_Toc47374948"/>
      <w:bookmarkEnd w:id="3175"/>
      <w:bookmarkStart w:id="3176" w:name="_Toc47372891"/>
      <w:bookmarkEnd w:id="3176"/>
      <w:bookmarkStart w:id="3177" w:name="_Toc47427274"/>
      <w:bookmarkEnd w:id="3177"/>
      <w:bookmarkStart w:id="3178" w:name="_Toc47374393"/>
      <w:bookmarkEnd w:id="3178"/>
      <w:bookmarkStart w:id="3179" w:name="_Toc47466074"/>
      <w:bookmarkEnd w:id="3179"/>
      <w:bookmarkStart w:id="3180" w:name="_Toc47467178"/>
      <w:bookmarkEnd w:id="3180"/>
      <w:bookmarkStart w:id="3181" w:name="_Toc47374387"/>
      <w:bookmarkEnd w:id="3181"/>
      <w:bookmarkStart w:id="3182" w:name="_Toc47428550"/>
      <w:bookmarkEnd w:id="3182"/>
      <w:bookmarkStart w:id="3183" w:name="_Toc47375618"/>
      <w:bookmarkEnd w:id="3183"/>
      <w:bookmarkStart w:id="3184" w:name="_Toc47467182"/>
      <w:bookmarkEnd w:id="3184"/>
      <w:bookmarkStart w:id="3185" w:name="_Toc47428556"/>
      <w:bookmarkEnd w:id="3185"/>
      <w:bookmarkStart w:id="3186" w:name="_Toc47466073"/>
      <w:bookmarkEnd w:id="3186"/>
      <w:bookmarkStart w:id="3187" w:name="_Toc47466070"/>
      <w:bookmarkEnd w:id="3187"/>
      <w:bookmarkStart w:id="3188" w:name="_Toc47466054"/>
      <w:bookmarkEnd w:id="3188"/>
      <w:bookmarkStart w:id="3189" w:name="_Toc47428559"/>
      <w:bookmarkEnd w:id="3189"/>
      <w:bookmarkStart w:id="3190" w:name="_Toc47372892"/>
      <w:bookmarkEnd w:id="3190"/>
      <w:bookmarkStart w:id="3191" w:name="_Toc47428544"/>
      <w:bookmarkEnd w:id="3191"/>
      <w:bookmarkStart w:id="3192" w:name="_Toc47374435"/>
      <w:bookmarkEnd w:id="3192"/>
      <w:bookmarkStart w:id="3193" w:name="_Toc47466059"/>
      <w:bookmarkEnd w:id="3193"/>
      <w:bookmarkStart w:id="3194" w:name="_Toc47374952"/>
      <w:bookmarkEnd w:id="3194"/>
      <w:bookmarkStart w:id="3195" w:name="_Toc47374953"/>
      <w:bookmarkEnd w:id="3195"/>
      <w:bookmarkStart w:id="3196" w:name="_Toc47372905"/>
      <w:bookmarkEnd w:id="3196"/>
      <w:bookmarkStart w:id="3197" w:name="_Toc47372902"/>
      <w:bookmarkEnd w:id="3197"/>
      <w:bookmarkStart w:id="3198" w:name="_Toc47372888"/>
      <w:bookmarkEnd w:id="3198"/>
      <w:bookmarkStart w:id="3199" w:name="_Toc47372904"/>
      <w:bookmarkEnd w:id="3199"/>
      <w:bookmarkStart w:id="3200" w:name="_Toc47372903"/>
      <w:bookmarkEnd w:id="3200"/>
      <w:bookmarkStart w:id="3201" w:name="_Toc47466065"/>
      <w:bookmarkEnd w:id="3201"/>
      <w:bookmarkStart w:id="3202" w:name="_Toc47458577"/>
      <w:bookmarkEnd w:id="3202"/>
      <w:bookmarkStart w:id="3203" w:name="_Toc47466055"/>
      <w:bookmarkEnd w:id="3203"/>
      <w:bookmarkStart w:id="3204" w:name="_Toc47374389"/>
      <w:bookmarkEnd w:id="3204"/>
      <w:bookmarkStart w:id="3205" w:name="_Toc47427275"/>
      <w:bookmarkEnd w:id="3205"/>
      <w:bookmarkStart w:id="3206" w:name="_Toc47375607"/>
      <w:bookmarkEnd w:id="3206"/>
      <w:bookmarkStart w:id="3207" w:name="_Toc47427283"/>
      <w:bookmarkEnd w:id="3207"/>
      <w:bookmarkStart w:id="3208" w:name="_Toc47374396"/>
      <w:bookmarkEnd w:id="3208"/>
      <w:bookmarkStart w:id="3209" w:name="_Toc47427287"/>
      <w:bookmarkEnd w:id="3209"/>
      <w:bookmarkStart w:id="3210" w:name="_Toc47372898"/>
      <w:bookmarkEnd w:id="3210"/>
      <w:bookmarkStart w:id="3211" w:name="_Toc47374400"/>
      <w:bookmarkEnd w:id="3211"/>
      <w:bookmarkStart w:id="3212" w:name="_Toc47428552"/>
      <w:bookmarkEnd w:id="3212"/>
      <w:bookmarkStart w:id="3213" w:name="_Toc47375613"/>
      <w:bookmarkEnd w:id="3213"/>
      <w:bookmarkStart w:id="3214" w:name="_Toc47374419"/>
      <w:bookmarkEnd w:id="3214"/>
      <w:bookmarkStart w:id="3215" w:name="_Toc47467187"/>
      <w:bookmarkEnd w:id="3215"/>
      <w:bookmarkStart w:id="3216" w:name="_Toc47374386"/>
      <w:bookmarkEnd w:id="3216"/>
      <w:bookmarkStart w:id="3217" w:name="_Toc47466067"/>
      <w:bookmarkEnd w:id="3217"/>
      <w:bookmarkStart w:id="3218" w:name="_Toc47374959"/>
      <w:bookmarkEnd w:id="3218"/>
      <w:bookmarkStart w:id="3219" w:name="_Toc47374383"/>
      <w:bookmarkEnd w:id="3219"/>
      <w:bookmarkStart w:id="3220" w:name="_Toc41571819"/>
      <w:bookmarkEnd w:id="3220"/>
      <w:bookmarkStart w:id="3221" w:name="_Toc41572336"/>
      <w:bookmarkEnd w:id="3221"/>
      <w:bookmarkStart w:id="3222" w:name="_Toc47428554"/>
      <w:bookmarkEnd w:id="3222"/>
      <w:bookmarkStart w:id="3223" w:name="_Toc47374439"/>
      <w:bookmarkEnd w:id="3223"/>
      <w:bookmarkStart w:id="3224" w:name="_Toc47374420"/>
      <w:bookmarkEnd w:id="3224"/>
      <w:bookmarkStart w:id="3225" w:name="_Toc47374434"/>
      <w:bookmarkEnd w:id="3225"/>
      <w:bookmarkStart w:id="3226" w:name="_Toc47467174"/>
      <w:bookmarkEnd w:id="3226"/>
      <w:bookmarkStart w:id="3227" w:name="_Toc47428547"/>
      <w:bookmarkEnd w:id="3227"/>
      <w:bookmarkStart w:id="3228" w:name="_Toc47458568"/>
      <w:bookmarkEnd w:id="3228"/>
      <w:bookmarkStart w:id="3229" w:name="_Toc47466057"/>
      <w:bookmarkEnd w:id="3229"/>
      <w:bookmarkStart w:id="3230" w:name="_Toc47374382"/>
      <w:bookmarkEnd w:id="3230"/>
      <w:bookmarkStart w:id="3231" w:name="_Toc47458571"/>
      <w:bookmarkEnd w:id="3231"/>
      <w:bookmarkStart w:id="3232" w:name="_Toc47466060"/>
      <w:bookmarkEnd w:id="3232"/>
      <w:bookmarkStart w:id="3233" w:name="_Toc47374955"/>
      <w:bookmarkEnd w:id="3233"/>
      <w:bookmarkStart w:id="3234" w:name="_Toc47458566"/>
      <w:bookmarkEnd w:id="3234"/>
      <w:bookmarkStart w:id="3235" w:name="_Toc47467176"/>
      <w:bookmarkEnd w:id="3235"/>
      <w:bookmarkStart w:id="3236" w:name="_Toc47374424"/>
      <w:bookmarkEnd w:id="3236"/>
      <w:bookmarkStart w:id="3237" w:name="_Toc47467177"/>
      <w:bookmarkEnd w:id="3237"/>
      <w:bookmarkStart w:id="3238" w:name="_Toc47375612"/>
      <w:bookmarkEnd w:id="3238"/>
      <w:bookmarkStart w:id="3239" w:name="_Toc47374385"/>
      <w:bookmarkEnd w:id="3239"/>
      <w:bookmarkStart w:id="3240" w:name="_Toc47467167"/>
      <w:bookmarkEnd w:id="3240"/>
      <w:bookmarkStart w:id="3241" w:name="_Toc41572210"/>
      <w:bookmarkEnd w:id="3241"/>
      <w:bookmarkStart w:id="3242" w:name="_Toc47427288"/>
      <w:bookmarkEnd w:id="3242"/>
      <w:bookmarkStart w:id="3243" w:name="_Toc47375615"/>
      <w:bookmarkEnd w:id="3243"/>
      <w:bookmarkStart w:id="3244" w:name="_Toc47374433"/>
      <w:bookmarkEnd w:id="3244"/>
      <w:bookmarkStart w:id="3245" w:name="_Toc47428545"/>
      <w:bookmarkEnd w:id="3245"/>
      <w:bookmarkStart w:id="3246" w:name="_Toc47427284"/>
      <w:bookmarkEnd w:id="3246"/>
      <w:bookmarkStart w:id="3247" w:name="_Toc47372907"/>
      <w:bookmarkEnd w:id="3247"/>
      <w:bookmarkStart w:id="3248" w:name="_Toc47427291"/>
      <w:bookmarkEnd w:id="3248"/>
      <w:bookmarkStart w:id="3249" w:name="_Toc47374956"/>
      <w:bookmarkEnd w:id="3249"/>
      <w:bookmarkStart w:id="3250" w:name="_Toc47458562"/>
      <w:bookmarkEnd w:id="3250"/>
      <w:bookmarkStart w:id="3251" w:name="_Toc47467183"/>
      <w:bookmarkEnd w:id="3251"/>
      <w:bookmarkStart w:id="3252" w:name="_Toc47466058"/>
      <w:bookmarkEnd w:id="3252"/>
      <w:bookmarkStart w:id="3253" w:name="_Toc47458570"/>
      <w:bookmarkEnd w:id="3253"/>
      <w:bookmarkStart w:id="3254" w:name="_Toc47372899"/>
      <w:bookmarkEnd w:id="3254"/>
      <w:bookmarkStart w:id="3255" w:name="_Toc47374951"/>
      <w:bookmarkEnd w:id="3255"/>
      <w:bookmarkStart w:id="3256" w:name="_Toc47374961"/>
      <w:bookmarkEnd w:id="3256"/>
      <w:bookmarkStart w:id="3257" w:name="_Toc47374398"/>
      <w:bookmarkEnd w:id="3257"/>
      <w:bookmarkStart w:id="3258" w:name="_Toc47375610"/>
      <w:bookmarkEnd w:id="3258"/>
      <w:bookmarkStart w:id="3259" w:name="_Toc47466072"/>
      <w:bookmarkEnd w:id="3259"/>
      <w:bookmarkStart w:id="3260" w:name="_Toc47458564"/>
      <w:bookmarkEnd w:id="3260"/>
      <w:bookmarkStart w:id="3261" w:name="_Toc47372895"/>
      <w:bookmarkEnd w:id="3261"/>
      <w:bookmarkStart w:id="3262" w:name="_Toc47428551"/>
      <w:bookmarkEnd w:id="3262"/>
      <w:bookmarkStart w:id="3263" w:name="_Toc47374946"/>
      <w:bookmarkEnd w:id="3263"/>
      <w:bookmarkStart w:id="3264" w:name="_Toc47372908"/>
      <w:bookmarkEnd w:id="3264"/>
      <w:bookmarkStart w:id="3265" w:name="_Toc47466071"/>
      <w:bookmarkEnd w:id="3265"/>
      <w:bookmarkStart w:id="3266" w:name="_Toc47374425"/>
      <w:bookmarkEnd w:id="3266"/>
      <w:bookmarkStart w:id="3267" w:name="_Toc47458574"/>
      <w:bookmarkEnd w:id="3267"/>
      <w:bookmarkStart w:id="3268" w:name="_Toc47374423"/>
      <w:bookmarkEnd w:id="3268"/>
      <w:bookmarkStart w:id="3269" w:name="_Toc47374947"/>
      <w:bookmarkEnd w:id="3269"/>
      <w:bookmarkStart w:id="3270" w:name="_Toc47427276"/>
      <w:bookmarkEnd w:id="3270"/>
      <w:bookmarkStart w:id="3271" w:name="_Toc47466062"/>
      <w:bookmarkEnd w:id="3271"/>
      <w:bookmarkStart w:id="3272" w:name="_Toc47467175"/>
      <w:bookmarkEnd w:id="3272"/>
      <w:bookmarkStart w:id="3273" w:name="_Toc47374395"/>
      <w:bookmarkEnd w:id="3273"/>
      <w:bookmarkStart w:id="3274" w:name="_Toc47374958"/>
      <w:bookmarkEnd w:id="3274"/>
      <w:bookmarkStart w:id="3275" w:name="_Toc41571885"/>
      <w:bookmarkEnd w:id="3275"/>
      <w:bookmarkStart w:id="3276" w:name="_Toc47375602"/>
      <w:bookmarkEnd w:id="3276"/>
      <w:bookmarkStart w:id="3277" w:name="_Toc47375608"/>
      <w:bookmarkEnd w:id="3277"/>
      <w:bookmarkStart w:id="3278" w:name="_Toc47427290"/>
      <w:bookmarkEnd w:id="3278"/>
      <w:bookmarkStart w:id="3279" w:name="_Toc47374954"/>
      <w:bookmarkEnd w:id="3279"/>
      <w:bookmarkStart w:id="3280" w:name="_Toc47374391"/>
      <w:bookmarkEnd w:id="3280"/>
      <w:bookmarkStart w:id="3281" w:name="_Toc47427282"/>
      <w:bookmarkEnd w:id="3281"/>
      <w:bookmarkStart w:id="3282" w:name="_Toc47372896"/>
      <w:bookmarkEnd w:id="3282"/>
      <w:bookmarkStart w:id="3283" w:name="_Toc47427289"/>
      <w:bookmarkEnd w:id="3283"/>
      <w:bookmarkStart w:id="3284" w:name="_Toc47372897"/>
      <w:bookmarkEnd w:id="3284"/>
      <w:bookmarkStart w:id="3285" w:name="_Toc47374428"/>
      <w:bookmarkEnd w:id="3285"/>
      <w:bookmarkStart w:id="3286" w:name="_Toc47466056"/>
      <w:bookmarkEnd w:id="3286"/>
      <w:bookmarkStart w:id="3287" w:name="_Toc47466061"/>
      <w:bookmarkEnd w:id="3287"/>
      <w:bookmarkStart w:id="3288" w:name="_Toc47458565"/>
      <w:bookmarkEnd w:id="3288"/>
      <w:bookmarkStart w:id="3289" w:name="_Toc47374392"/>
      <w:bookmarkEnd w:id="3289"/>
      <w:bookmarkStart w:id="3290" w:name="_Toc47374964"/>
      <w:bookmarkEnd w:id="3290"/>
      <w:bookmarkStart w:id="3291" w:name="_Toc47374965"/>
      <w:bookmarkEnd w:id="3291"/>
      <w:bookmarkStart w:id="3292" w:name="_Toc47375619"/>
      <w:bookmarkEnd w:id="3292"/>
      <w:bookmarkStart w:id="3293" w:name="_Toc47374399"/>
      <w:bookmarkEnd w:id="3293"/>
      <w:bookmarkStart w:id="3294" w:name="_Toc47427273"/>
      <w:bookmarkEnd w:id="3294"/>
      <w:bookmarkStart w:id="3295" w:name="_Toc47427280"/>
      <w:bookmarkEnd w:id="3295"/>
      <w:bookmarkStart w:id="3296" w:name="_Toc47374388"/>
      <w:bookmarkEnd w:id="3296"/>
      <w:bookmarkStart w:id="3297" w:name="_Toc47467173"/>
      <w:bookmarkEnd w:id="3297"/>
      <w:bookmarkStart w:id="3298" w:name="_Toc47374950"/>
      <w:bookmarkEnd w:id="3298"/>
      <w:bookmarkStart w:id="3299" w:name="_Toc47374430"/>
      <w:bookmarkEnd w:id="3299"/>
      <w:bookmarkStart w:id="3300" w:name="_Toc47374963"/>
      <w:bookmarkEnd w:id="3300"/>
      <w:bookmarkStart w:id="3301" w:name="_Toc47375603"/>
      <w:bookmarkEnd w:id="3301"/>
      <w:bookmarkStart w:id="3302" w:name="_Toc47374427"/>
      <w:bookmarkEnd w:id="3302"/>
      <w:bookmarkStart w:id="3303" w:name="_Toc47375609"/>
      <w:bookmarkEnd w:id="3303"/>
      <w:bookmarkStart w:id="3304" w:name="_Toc47374390"/>
      <w:bookmarkEnd w:id="3304"/>
      <w:bookmarkStart w:id="3305" w:name="_Toc47458572"/>
      <w:bookmarkEnd w:id="3305"/>
      <w:bookmarkStart w:id="3306" w:name="_Toc47427272"/>
      <w:bookmarkEnd w:id="3306"/>
      <w:bookmarkStart w:id="3307" w:name="_Toc47372900"/>
      <w:bookmarkEnd w:id="3307"/>
      <w:bookmarkStart w:id="3308" w:name="_Toc47458563"/>
      <w:bookmarkEnd w:id="3308"/>
      <w:bookmarkStart w:id="3309" w:name="_Toc47374949"/>
      <w:bookmarkEnd w:id="3309"/>
      <w:bookmarkStart w:id="3310" w:name="_Toc47458569"/>
      <w:bookmarkEnd w:id="3310"/>
      <w:bookmarkStart w:id="3311" w:name="_Toc47374438"/>
      <w:bookmarkEnd w:id="3311"/>
      <w:bookmarkStart w:id="3312" w:name="_Toc47466066"/>
      <w:bookmarkEnd w:id="3312"/>
      <w:bookmarkStart w:id="3313" w:name="_Toc47467168"/>
      <w:bookmarkEnd w:id="3313"/>
      <w:bookmarkStart w:id="3314" w:name="_Toc47374436"/>
      <w:bookmarkEnd w:id="3314"/>
      <w:bookmarkStart w:id="3315" w:name="_Toc47428553"/>
      <w:bookmarkEnd w:id="3315"/>
      <w:bookmarkStart w:id="3316" w:name="_Toc47375621"/>
      <w:bookmarkEnd w:id="3316"/>
      <w:bookmarkStart w:id="3317" w:name="_Toc47427277"/>
      <w:bookmarkEnd w:id="3317"/>
      <w:bookmarkStart w:id="3318" w:name="_Toc47374431"/>
      <w:bookmarkEnd w:id="3318"/>
      <w:bookmarkStart w:id="3319" w:name="_Toc47466063"/>
      <w:bookmarkEnd w:id="3319"/>
      <w:bookmarkStart w:id="3320" w:name="_Toc47427279"/>
      <w:bookmarkEnd w:id="3320"/>
      <w:bookmarkStart w:id="3321" w:name="_Toc56166117"/>
      <w:bookmarkStart w:id="3322" w:name="_Toc47467188"/>
      <w:bookmarkStart w:id="3323" w:name="_Toc56166306"/>
      <w:bookmarkStart w:id="3324" w:name="_Toc151137068"/>
      <w:r>
        <w:rPr>
          <w:rFonts w:hint="eastAsia" w:ascii="仿宋_GB2312" w:eastAsia="仿宋_GB2312"/>
          <w:b/>
          <w:sz w:val="30"/>
          <w:szCs w:val="30"/>
        </w:rPr>
        <w:t>债券指数及其他</w:t>
      </w:r>
      <w:bookmarkEnd w:id="3321"/>
      <w:bookmarkEnd w:id="3322"/>
      <w:bookmarkEnd w:id="3323"/>
      <w:bookmarkEnd w:id="3324"/>
    </w:p>
    <w:p w14:paraId="5932B4B5">
      <w:pPr>
        <w:numPr>
          <w:ilvl w:val="2"/>
          <w:numId w:val="4"/>
        </w:numPr>
        <w:spacing w:line="600" w:lineRule="exact"/>
        <w:ind w:left="0" w:firstLine="0"/>
        <w:outlineLvl w:val="2"/>
        <w:rPr>
          <w:rFonts w:ascii="仿宋_GB2312" w:eastAsia="仿宋_GB2312"/>
          <w:b/>
          <w:sz w:val="30"/>
          <w:szCs w:val="30"/>
        </w:rPr>
      </w:pPr>
      <w:bookmarkStart w:id="3325" w:name="_Toc47467189"/>
      <w:r>
        <w:rPr>
          <w:rFonts w:hint="eastAsia" w:ascii="仿宋_GB2312" w:eastAsia="仿宋_GB2312"/>
          <w:b/>
          <w:sz w:val="30"/>
          <w:szCs w:val="30"/>
        </w:rPr>
        <w:t>债券指数</w:t>
      </w:r>
      <w:bookmarkEnd w:id="3325"/>
    </w:p>
    <w:p w14:paraId="4D1875C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本所或本所授权机构可编制各类债券指数，以反映债券交易总体价格或某类债券价格的变动和走势，并随即时行情发布。</w:t>
      </w:r>
    </w:p>
    <w:p w14:paraId="2D8E2C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债券指数的编制遵循公开透明原则。债券指数设置和编制的具体方法由本所另行规定。目前本所公布的债券指数包括上证国债指数、上证企债指数、上证公司债指数、上证企债</w:t>
      </w:r>
      <w:r>
        <w:rPr>
          <w:rFonts w:ascii="仿宋_GB2312" w:hAnsi="宋体" w:eastAsia="仿宋_GB2312"/>
          <w:sz w:val="30"/>
          <w:szCs w:val="30"/>
        </w:rPr>
        <w:t>30指数等。</w:t>
      </w:r>
    </w:p>
    <w:p w14:paraId="4B5DF4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（1）上证国债指数</w:t>
      </w:r>
    </w:p>
    <w:p w14:paraId="2FB6F07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上证国债指数以本所上市的所有固定利率国债为样本，</w:t>
      </w:r>
      <w:r>
        <w:rPr>
          <w:rFonts w:ascii="仿宋_GB2312" w:hAnsi="宋体" w:eastAsia="仿宋_GB2312"/>
          <w:sz w:val="30"/>
          <w:szCs w:val="30"/>
        </w:rPr>
        <w:t>按照国债发行量加权而成，用来反映上交所上市国债的整体表现。指数于2003年1月2日起对外发布,该指数基日为2002年12月31日,基点为100点，指数代码为000012，指数简称为国债指数。</w:t>
      </w:r>
    </w:p>
    <w:p w14:paraId="7B12E2B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（2）上证企债指数</w:t>
      </w:r>
    </w:p>
    <w:p w14:paraId="1D48D83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上证企债指数由在沪深交易所上市的企业债中满足一定条件、具有代表性的企业债券组成，于</w:t>
      </w:r>
      <w:r>
        <w:rPr>
          <w:rFonts w:ascii="仿宋_GB2312" w:hAnsi="宋体" w:eastAsia="仿宋_GB2312"/>
          <w:sz w:val="30"/>
          <w:szCs w:val="30"/>
        </w:rPr>
        <w:t>2003年6月9日正式发布，以反映沪深企债市场的整体表现。指数基日为2002年12月31日，基点为100点，指数代码为000013，指数简称企债指数。</w:t>
      </w:r>
    </w:p>
    <w:p w14:paraId="5B69CB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w:t>
      </w:r>
      <w:r>
        <w:rPr>
          <w:rFonts w:ascii="仿宋_GB2312" w:hAnsi="宋体" w:eastAsia="仿宋_GB2312"/>
          <w:sz w:val="30"/>
          <w:szCs w:val="30"/>
        </w:rPr>
        <w:t>30指数从上海证券交易所市场挑选30只质地好、规模大、流动性强的企业债券组成样本，为债券投资者提供新的投资标的。该指数基日为2008年12月31日，基点为100点，指数代码为000061，指数简称为沪企债30。</w:t>
      </w:r>
    </w:p>
    <w:p w14:paraId="3AF2497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（3）上证公司债指数</w:t>
      </w:r>
    </w:p>
    <w:p w14:paraId="7F7D507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上证公司债指数的样本是由在沪市交易的公司债券组成，上证所和中证指数公司每日实时计算并向市场发布，为债券投资者提供新的业绩评价基准和分析工具。该指数基日为</w:t>
      </w:r>
      <w:r>
        <w:rPr>
          <w:rFonts w:ascii="仿宋_GB2312" w:hAnsi="宋体" w:eastAsia="仿宋_GB2312"/>
          <w:sz w:val="30"/>
          <w:szCs w:val="30"/>
        </w:rPr>
        <w:t>2007年12月31日，基点为100点，指数代码为000022，指数简称为沪公司债。</w:t>
      </w:r>
    </w:p>
    <w:p w14:paraId="254C7DF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上证信用债100指数的样本由上海证券交易所市场剩余期限1年以上、信用等级AA及以上、发行量8亿元及以上的信用债券组成。</w:t>
      </w:r>
    </w:p>
    <w:p w14:paraId="7A31690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上证公司债AAA指数、AA+、AA指数属于上证公司债细分指数系列，分别以上海证券交易所上市的公司债券为样本空间，选取信用级别为AAA、AA+、AA的公司债券组成样本。</w:t>
      </w:r>
    </w:p>
    <w:p w14:paraId="1EEF29F1">
      <w:pPr>
        <w:numPr>
          <w:ilvl w:val="2"/>
          <w:numId w:val="4"/>
        </w:numPr>
        <w:spacing w:line="600" w:lineRule="exact"/>
        <w:ind w:left="0" w:firstLine="0"/>
        <w:outlineLvl w:val="2"/>
        <w:rPr>
          <w:rFonts w:ascii="仿宋_GB2312" w:eastAsia="仿宋_GB2312"/>
          <w:b/>
          <w:sz w:val="30"/>
          <w:szCs w:val="30"/>
        </w:rPr>
      </w:pPr>
      <w:bookmarkStart w:id="3326" w:name="_Toc47467190"/>
      <w:r>
        <w:rPr>
          <w:rFonts w:hint="eastAsia" w:ascii="仿宋_GB2312" w:eastAsia="仿宋_GB2312"/>
          <w:b/>
          <w:sz w:val="30"/>
          <w:szCs w:val="30"/>
        </w:rPr>
        <w:t>债券估值及收益率曲线</w:t>
      </w:r>
      <w:bookmarkEnd w:id="3326"/>
    </w:p>
    <w:p w14:paraId="12A869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本所或本所授权机构编制债券估值、债券收益率曲线等信息并发布。债券指数、债券估值及债券收益率曲线信息按照本所或本所授权机构的相关规则发送。</w:t>
      </w:r>
    </w:p>
    <w:p w14:paraId="1AECD6B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（1）债券估值</w:t>
      </w:r>
    </w:p>
    <w:p w14:paraId="172A88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本所挂牌上市债券，本所与中证指数公司为其提供公允价值。中证指数公司具体负责对本所上市的国债公司债等债券进行估值。债券估值原理是基于债券所对应的即期收益率曲线，对未来的现金流进行贴现，并汇总求和。</w:t>
      </w:r>
    </w:p>
    <w:p w14:paraId="308D56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对于交易活跃、流动性好的债券，估值主要依据当日的交易数据。</w:t>
      </w:r>
    </w:p>
    <w:p w14:paraId="5C85473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除了每日计算发布全市场的债券估值之外，中证指数公司同时提供针对违约债券和信用风险缓释工具等特殊品种的估值，并发布中证隐含违约率、中证隐含评级、中证债券合同现金流量特征测试（“SPPI”）和中证债券预期信用损失（“ECL”）等其他数据产品。</w:t>
      </w:r>
    </w:p>
    <w:p w14:paraId="6FDCC8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（2）债券收益率曲线</w:t>
      </w:r>
    </w:p>
    <w:p w14:paraId="055F1F6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本所债券收益率曲线系列包括国债收益率曲线、公司债</w:t>
      </w:r>
      <w:r>
        <w:rPr>
          <w:rFonts w:ascii="仿宋_GB2312" w:hAnsi="宋体" w:eastAsia="仿宋_GB2312"/>
          <w:sz w:val="30"/>
          <w:szCs w:val="30"/>
        </w:rPr>
        <w:t>收益率曲线</w:t>
      </w:r>
      <w:r>
        <w:rPr>
          <w:rFonts w:hint="eastAsia" w:ascii="仿宋_GB2312" w:hAnsi="宋体" w:eastAsia="仿宋_GB2312"/>
          <w:sz w:val="30"/>
          <w:szCs w:val="30"/>
        </w:rPr>
        <w:t>系列</w:t>
      </w:r>
      <w:r>
        <w:rPr>
          <w:rFonts w:ascii="仿宋_GB2312" w:hAnsi="宋体" w:eastAsia="仿宋_GB2312"/>
          <w:sz w:val="30"/>
          <w:szCs w:val="30"/>
        </w:rPr>
        <w:t>、</w:t>
      </w:r>
      <w:r>
        <w:rPr>
          <w:rFonts w:hint="eastAsia" w:ascii="仿宋_GB2312" w:hAnsi="宋体" w:eastAsia="仿宋_GB2312"/>
          <w:sz w:val="30"/>
          <w:szCs w:val="30"/>
        </w:rPr>
        <w:t>企业债收益率曲线系列等，是由中证指数公司每日计算发布。收益率曲线采用三次样条函数法，根据当日市场中真实有效的报价和成交数据进行拟合所得，并分别计算了即期收益率、到期收益率、远期收益率三条曲线，用以从不同角度刻画市场利率的走势，为债券投资者判断市场趋势提供参考。</w:t>
      </w:r>
    </w:p>
    <w:p w14:paraId="486C876E">
      <w:pPr>
        <w:numPr>
          <w:ilvl w:val="2"/>
          <w:numId w:val="4"/>
        </w:numPr>
        <w:spacing w:line="600" w:lineRule="exact"/>
        <w:ind w:left="0" w:firstLine="0"/>
        <w:outlineLvl w:val="2"/>
        <w:rPr>
          <w:rFonts w:ascii="仿宋_GB2312" w:eastAsia="仿宋_GB2312"/>
          <w:b/>
          <w:sz w:val="30"/>
          <w:szCs w:val="30"/>
        </w:rPr>
      </w:pPr>
      <w:bookmarkStart w:id="3327" w:name="_Toc47467191"/>
      <w:r>
        <w:rPr>
          <w:rFonts w:hint="eastAsia" w:ascii="仿宋_GB2312" w:eastAsia="仿宋_GB2312"/>
          <w:b/>
          <w:sz w:val="30"/>
          <w:szCs w:val="30"/>
        </w:rPr>
        <w:t>特定债券行情展示</w:t>
      </w:r>
      <w:bookmarkEnd w:id="3327"/>
    </w:p>
    <w:p w14:paraId="654AE7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特定债券所有交易方式下的转让行情仅在固定收益平台客户端展示，不对公众公开，不纳入交易系统对行情信息商发送的行情数据内。</w:t>
      </w:r>
    </w:p>
    <w:p w14:paraId="74FC16A6">
      <w:pPr>
        <w:numPr>
          <w:ilvl w:val="0"/>
          <w:numId w:val="4"/>
        </w:numPr>
        <w:outlineLvl w:val="0"/>
        <w:rPr>
          <w:b/>
          <w:sz w:val="36"/>
        </w:rPr>
      </w:pPr>
      <w:bookmarkStart w:id="3328" w:name="_Toc97819733"/>
      <w:bookmarkEnd w:id="3328"/>
      <w:bookmarkStart w:id="3329" w:name="_Toc97819701"/>
      <w:bookmarkEnd w:id="3329"/>
      <w:bookmarkStart w:id="3330" w:name="_Toc97819705"/>
      <w:bookmarkEnd w:id="3330"/>
      <w:bookmarkStart w:id="3331" w:name="_Toc97819723"/>
      <w:bookmarkEnd w:id="3331"/>
      <w:bookmarkStart w:id="3332" w:name="_Toc97819706"/>
      <w:bookmarkEnd w:id="3332"/>
      <w:bookmarkStart w:id="3333" w:name="_Toc97819738"/>
      <w:bookmarkEnd w:id="3333"/>
      <w:bookmarkStart w:id="3334" w:name="_Toc47540303"/>
      <w:bookmarkEnd w:id="3334"/>
      <w:bookmarkStart w:id="3335" w:name="_Toc97819724"/>
      <w:bookmarkEnd w:id="3335"/>
      <w:bookmarkStart w:id="3336" w:name="_Toc97819719"/>
      <w:bookmarkEnd w:id="3336"/>
      <w:bookmarkStart w:id="3337" w:name="_Toc45008340"/>
      <w:bookmarkEnd w:id="3337"/>
      <w:bookmarkStart w:id="3338" w:name="_Toc97819692"/>
      <w:bookmarkEnd w:id="3338"/>
      <w:bookmarkStart w:id="3339" w:name="_Toc97819703"/>
      <w:bookmarkEnd w:id="3339"/>
      <w:bookmarkStart w:id="3340" w:name="_Toc97819720"/>
      <w:bookmarkEnd w:id="3340"/>
      <w:bookmarkStart w:id="3341" w:name="_Toc97819739"/>
      <w:bookmarkEnd w:id="3341"/>
      <w:bookmarkStart w:id="3342" w:name="_Toc97819690"/>
      <w:bookmarkEnd w:id="3342"/>
      <w:bookmarkStart w:id="3343" w:name="_Toc97819736"/>
      <w:bookmarkEnd w:id="3343"/>
      <w:bookmarkStart w:id="3344" w:name="_Toc97819728"/>
      <w:bookmarkEnd w:id="3344"/>
      <w:bookmarkStart w:id="3345" w:name="_Toc97819715"/>
      <w:bookmarkEnd w:id="3345"/>
      <w:bookmarkStart w:id="3346" w:name="_Toc97819712"/>
      <w:bookmarkEnd w:id="3346"/>
      <w:bookmarkStart w:id="3347" w:name="_Toc97819725"/>
      <w:bookmarkEnd w:id="3347"/>
      <w:bookmarkStart w:id="3348" w:name="_Toc97819695"/>
      <w:bookmarkEnd w:id="3348"/>
      <w:bookmarkStart w:id="3349" w:name="_Toc97819735"/>
      <w:bookmarkEnd w:id="3349"/>
      <w:bookmarkStart w:id="3350" w:name="_Toc97819731"/>
      <w:bookmarkEnd w:id="3350"/>
      <w:bookmarkStart w:id="3351" w:name="_Toc97819697"/>
      <w:bookmarkEnd w:id="3351"/>
      <w:bookmarkStart w:id="3352" w:name="_Toc97819717"/>
      <w:bookmarkEnd w:id="3352"/>
      <w:bookmarkStart w:id="3353" w:name="_Toc97819722"/>
      <w:bookmarkEnd w:id="3353"/>
      <w:bookmarkStart w:id="3354" w:name="_Toc97819711"/>
      <w:bookmarkEnd w:id="3354"/>
      <w:bookmarkStart w:id="3355" w:name="_Toc97819737"/>
      <w:bookmarkEnd w:id="3355"/>
      <w:bookmarkStart w:id="3356" w:name="_Toc97819721"/>
      <w:bookmarkEnd w:id="3356"/>
      <w:bookmarkStart w:id="3357" w:name="_Toc97819700"/>
      <w:bookmarkEnd w:id="3357"/>
      <w:bookmarkStart w:id="3358" w:name="_Toc97819716"/>
      <w:bookmarkEnd w:id="3358"/>
      <w:bookmarkStart w:id="3359" w:name="_Toc97819740"/>
      <w:bookmarkEnd w:id="3359"/>
      <w:bookmarkStart w:id="3360" w:name="_Toc45008356"/>
      <w:bookmarkEnd w:id="3360"/>
      <w:bookmarkStart w:id="3361" w:name="_Toc97819698"/>
      <w:bookmarkEnd w:id="3361"/>
      <w:bookmarkStart w:id="3362" w:name="_Toc97819732"/>
      <w:bookmarkEnd w:id="3362"/>
      <w:bookmarkStart w:id="3363" w:name="_Toc97819707"/>
      <w:bookmarkEnd w:id="3363"/>
      <w:bookmarkStart w:id="3364" w:name="_Toc97819718"/>
      <w:bookmarkEnd w:id="3364"/>
      <w:bookmarkStart w:id="3365" w:name="_Toc97819691"/>
      <w:bookmarkEnd w:id="3365"/>
      <w:bookmarkStart w:id="3366" w:name="_Toc97819741"/>
      <w:bookmarkEnd w:id="3366"/>
      <w:bookmarkStart w:id="3367" w:name="_Toc97819709"/>
      <w:bookmarkEnd w:id="3367"/>
      <w:bookmarkStart w:id="3368" w:name="_Toc97819734"/>
      <w:bookmarkEnd w:id="3368"/>
      <w:bookmarkStart w:id="3369" w:name="_Toc97819708"/>
      <w:bookmarkEnd w:id="3369"/>
      <w:bookmarkStart w:id="3370" w:name="_Toc97819713"/>
      <w:bookmarkEnd w:id="3370"/>
      <w:bookmarkStart w:id="3371" w:name="_Toc97819702"/>
      <w:bookmarkEnd w:id="3371"/>
      <w:bookmarkStart w:id="3372" w:name="_Toc97819704"/>
      <w:bookmarkEnd w:id="3372"/>
      <w:bookmarkStart w:id="3373" w:name="_Toc47466473"/>
      <w:bookmarkEnd w:id="3373"/>
      <w:bookmarkStart w:id="3374" w:name="_Toc97819693"/>
      <w:bookmarkEnd w:id="3374"/>
      <w:bookmarkStart w:id="3375" w:name="_Toc97819714"/>
      <w:bookmarkEnd w:id="3375"/>
      <w:bookmarkStart w:id="3376" w:name="_Toc97819730"/>
      <w:bookmarkEnd w:id="3376"/>
      <w:bookmarkStart w:id="3377" w:name="_Toc97819727"/>
      <w:bookmarkEnd w:id="3377"/>
      <w:bookmarkStart w:id="3378" w:name="_Toc97819729"/>
      <w:bookmarkEnd w:id="3378"/>
      <w:bookmarkStart w:id="3379" w:name="_Toc97819726"/>
      <w:bookmarkEnd w:id="3379"/>
      <w:bookmarkStart w:id="3380" w:name="_Toc97819696"/>
      <w:bookmarkEnd w:id="3380"/>
      <w:bookmarkStart w:id="3381" w:name="_Toc97819694"/>
      <w:bookmarkEnd w:id="3381"/>
      <w:bookmarkStart w:id="3382" w:name="_Toc97819699"/>
      <w:bookmarkEnd w:id="3382"/>
      <w:bookmarkStart w:id="3383" w:name="_Toc97819710"/>
      <w:bookmarkEnd w:id="3383"/>
      <w:bookmarkStart w:id="3384" w:name="_Toc16497861"/>
      <w:bookmarkStart w:id="3385" w:name="_Toc56166125"/>
      <w:bookmarkStart w:id="3386" w:name="_Toc34763161"/>
      <w:bookmarkStart w:id="3387" w:name="_Toc24460014"/>
      <w:bookmarkStart w:id="3388" w:name="_Toc19542133"/>
      <w:bookmarkStart w:id="3389" w:name="_Toc56166314"/>
      <w:bookmarkStart w:id="3390" w:name="_Toc34763186"/>
      <w:bookmarkStart w:id="3391" w:name="_Toc24460039"/>
      <w:r>
        <w:rPr>
          <w:b/>
          <w:sz w:val="36"/>
        </w:rPr>
        <w:br w:type="page"/>
      </w:r>
      <w:bookmarkStart w:id="3392" w:name="_Toc151137069"/>
      <w:r>
        <w:rPr>
          <w:rFonts w:hint="eastAsia" w:ascii="黑体" w:hAnsi="黑体" w:eastAsia="黑体" w:cs="黑体"/>
          <w:b/>
          <w:sz w:val="36"/>
        </w:rPr>
        <w:t>交易行为监督</w:t>
      </w:r>
      <w:bookmarkEnd w:id="3384"/>
      <w:bookmarkEnd w:id="3385"/>
      <w:bookmarkEnd w:id="3386"/>
      <w:bookmarkEnd w:id="3387"/>
      <w:bookmarkEnd w:id="3388"/>
      <w:bookmarkEnd w:id="3389"/>
      <w:bookmarkEnd w:id="3392"/>
    </w:p>
    <w:p w14:paraId="543C1EB0">
      <w:pPr>
        <w:numPr>
          <w:ilvl w:val="1"/>
          <w:numId w:val="4"/>
        </w:numPr>
        <w:spacing w:line="600" w:lineRule="exact"/>
        <w:ind w:left="0" w:firstLine="0"/>
        <w:outlineLvl w:val="1"/>
        <w:rPr>
          <w:rFonts w:ascii="仿宋_GB2312" w:eastAsia="仿宋_GB2312"/>
          <w:b/>
          <w:sz w:val="30"/>
          <w:szCs w:val="30"/>
        </w:rPr>
      </w:pPr>
      <w:bookmarkStart w:id="3393" w:name="_Toc56166315"/>
      <w:bookmarkStart w:id="3394" w:name="_Toc151137070"/>
      <w:bookmarkStart w:id="3395" w:name="_Toc56166126"/>
      <w:r>
        <w:rPr>
          <w:rFonts w:hint="eastAsia" w:ascii="仿宋_GB2312" w:eastAsia="仿宋_GB2312"/>
          <w:b/>
          <w:sz w:val="30"/>
          <w:szCs w:val="30"/>
        </w:rPr>
        <w:t>交易异常行为监督</w:t>
      </w:r>
      <w:bookmarkEnd w:id="3393"/>
      <w:bookmarkEnd w:id="3394"/>
      <w:bookmarkEnd w:id="3395"/>
    </w:p>
    <w:p w14:paraId="45B9BE90">
      <w:pPr>
        <w:spacing w:line="600" w:lineRule="exact"/>
        <w:ind w:firstLine="600" w:firstLineChars="200"/>
        <w:rPr>
          <w:rFonts w:ascii="仿宋_GB2312" w:eastAsia="仿宋_GB2312"/>
          <w:b/>
          <w:sz w:val="30"/>
          <w:szCs w:val="30"/>
        </w:rPr>
      </w:pPr>
      <w:r>
        <w:rPr>
          <w:rFonts w:hint="eastAsia" w:ascii="仿宋_GB2312" w:eastAsia="仿宋_GB2312"/>
          <w:color w:val="000000"/>
          <w:sz w:val="30"/>
          <w:szCs w:val="30"/>
        </w:rPr>
        <w:t>本所对债券交易进行实时监控，及时发现和处理异常交易行为。</w:t>
      </w:r>
    </w:p>
    <w:p w14:paraId="53CDE5F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异常</w:t>
      </w:r>
      <w:r>
        <w:rPr>
          <w:rFonts w:hint="eastAsia" w:ascii="仿宋_GB2312" w:eastAsia="仿宋_GB2312"/>
          <w:b/>
          <w:sz w:val="30"/>
          <w:szCs w:val="30"/>
        </w:rPr>
        <w:t>交易</w:t>
      </w:r>
      <w:r>
        <w:rPr>
          <w:rFonts w:hint="eastAsia" w:ascii="仿宋_GB2312" w:hAnsi="Cambria" w:eastAsia="仿宋_GB2312"/>
          <w:b/>
          <w:bCs/>
          <w:sz w:val="30"/>
          <w:szCs w:val="30"/>
        </w:rPr>
        <w:t>行为类型</w:t>
      </w:r>
    </w:p>
    <w:p w14:paraId="6201486B">
      <w:pPr>
        <w:spacing w:line="600" w:lineRule="exact"/>
        <w:ind w:firstLine="600" w:firstLineChars="200"/>
        <w:rPr>
          <w:rFonts w:ascii="仿宋_GB2312" w:hAnsi="Cambria" w:eastAsia="仿宋_GB2312"/>
          <w:b/>
          <w:sz w:val="30"/>
          <w:szCs w:val="30"/>
        </w:rPr>
      </w:pPr>
      <w:r>
        <w:rPr>
          <w:rFonts w:hint="eastAsia" w:ascii="仿宋_GB2312" w:eastAsia="仿宋_GB2312"/>
          <w:color w:val="000000"/>
          <w:sz w:val="30"/>
          <w:szCs w:val="30"/>
        </w:rPr>
        <w:t>本所对下列可能影响债券交易价格或者债券交易量的异常交易行为予以重点监控</w:t>
      </w:r>
      <w:r>
        <w:rPr>
          <w:rFonts w:hint="eastAsia" w:ascii="仿宋_GB2312" w:hAnsi="Cambria" w:eastAsia="仿宋_GB2312"/>
          <w:bCs/>
          <w:sz w:val="30"/>
          <w:szCs w:val="30"/>
        </w:rPr>
        <w:t>：</w:t>
      </w:r>
    </w:p>
    <w:p w14:paraId="5F56AA7A">
      <w:pPr>
        <w:pStyle w:val="90"/>
        <w:numPr>
          <w:ilvl w:val="0"/>
          <w:numId w:val="22"/>
        </w:numPr>
        <w:ind w:left="0" w:firstLine="420" w:firstLineChars="0"/>
        <w:rPr>
          <w:rFonts w:hAnsi="Times New Roman"/>
          <w:sz w:val="30"/>
          <w:szCs w:val="30"/>
        </w:rPr>
      </w:pPr>
      <w:r>
        <w:rPr>
          <w:rFonts w:hint="eastAsia" w:hAnsi="Times New Roman"/>
          <w:sz w:val="30"/>
          <w:szCs w:val="30"/>
        </w:rPr>
        <w:t>虚假申报，即不以成交为目的，通过大量申报并撤销等行为，以引诱、误导或者影响其他债券投资者正常交易决策的；</w:t>
      </w:r>
    </w:p>
    <w:p w14:paraId="1534B780">
      <w:pPr>
        <w:pStyle w:val="90"/>
        <w:numPr>
          <w:ilvl w:val="0"/>
          <w:numId w:val="22"/>
        </w:numPr>
        <w:ind w:left="0" w:firstLine="420" w:firstLineChars="0"/>
        <w:rPr>
          <w:rFonts w:hAnsi="Times New Roman"/>
          <w:sz w:val="30"/>
          <w:szCs w:val="30"/>
        </w:rPr>
      </w:pPr>
      <w:r>
        <w:rPr>
          <w:rFonts w:hint="eastAsia" w:hAnsi="Times New Roman"/>
          <w:sz w:val="30"/>
          <w:szCs w:val="30"/>
        </w:rPr>
        <w:t>拉抬打压，即大笔申报、连续申报、密集申报或者以明显偏离债券最新成交价的价格申报成交，期间债券交易价格明显上涨（下跌）；</w:t>
      </w:r>
    </w:p>
    <w:p w14:paraId="0BB5679D">
      <w:pPr>
        <w:pStyle w:val="90"/>
        <w:numPr>
          <w:ilvl w:val="0"/>
          <w:numId w:val="22"/>
        </w:numPr>
        <w:ind w:left="0" w:firstLine="420" w:firstLineChars="0"/>
        <w:rPr>
          <w:rFonts w:hAnsi="Times New Roman"/>
          <w:sz w:val="30"/>
          <w:szCs w:val="30"/>
        </w:rPr>
      </w:pPr>
      <w:r>
        <w:rPr>
          <w:rFonts w:hint="eastAsia" w:hAnsi="Times New Roman"/>
          <w:sz w:val="30"/>
          <w:szCs w:val="30"/>
        </w:rPr>
        <w:t>报价严重偏离市场合理价格，以引诱或者误导其他债券投资者交易决策的；</w:t>
      </w:r>
    </w:p>
    <w:p w14:paraId="29B8433F">
      <w:pPr>
        <w:pStyle w:val="90"/>
        <w:numPr>
          <w:ilvl w:val="0"/>
          <w:numId w:val="22"/>
        </w:numPr>
        <w:ind w:left="0" w:firstLine="420" w:firstLineChars="0"/>
        <w:rPr>
          <w:rFonts w:hAnsi="Times New Roman"/>
          <w:sz w:val="30"/>
          <w:szCs w:val="30"/>
        </w:rPr>
      </w:pPr>
      <w:r>
        <w:rPr>
          <w:rFonts w:hint="eastAsia" w:hAnsi="Times New Roman"/>
          <w:sz w:val="30"/>
          <w:szCs w:val="30"/>
        </w:rPr>
        <w:t>自买自卖或者互为对手方交易，即在单个账户、自己实际控制的账户之间或者关联账户之间大量或者频繁进行债券交易，影响债券交易价格或者交易量；</w:t>
      </w:r>
    </w:p>
    <w:p w14:paraId="1CFEDF3E">
      <w:pPr>
        <w:pStyle w:val="90"/>
        <w:numPr>
          <w:ilvl w:val="0"/>
          <w:numId w:val="22"/>
        </w:numPr>
        <w:ind w:left="0" w:firstLine="420" w:firstLineChars="0"/>
        <w:rPr>
          <w:rFonts w:hAnsi="Times New Roman"/>
          <w:sz w:val="30"/>
          <w:szCs w:val="30"/>
        </w:rPr>
      </w:pPr>
      <w:r>
        <w:rPr>
          <w:rFonts w:hint="eastAsia" w:hAnsi="Times New Roman"/>
          <w:sz w:val="30"/>
          <w:szCs w:val="30"/>
        </w:rPr>
        <w:t>通过计算机程序自动生成或下达交易指令进行程序化交易，影响本所系统安全或正常交易秩序的；</w:t>
      </w:r>
    </w:p>
    <w:p w14:paraId="332ADF18">
      <w:pPr>
        <w:pStyle w:val="90"/>
        <w:numPr>
          <w:ilvl w:val="0"/>
          <w:numId w:val="22"/>
        </w:numPr>
        <w:ind w:left="0" w:firstLine="420" w:firstLineChars="0"/>
        <w:rPr>
          <w:rFonts w:hAnsi="Times New Roman"/>
          <w:sz w:val="30"/>
          <w:szCs w:val="30"/>
        </w:rPr>
      </w:pPr>
      <w:r>
        <w:rPr>
          <w:rFonts w:hint="eastAsia" w:hAnsi="Times New Roman"/>
          <w:sz w:val="30"/>
          <w:szCs w:val="30"/>
        </w:rPr>
        <w:t>在债券价格敏感期内，通过异常申报，影响相关证券或其衍生品的交易价格、结算价格或者参考价值的；</w:t>
      </w:r>
    </w:p>
    <w:p w14:paraId="29B7C975">
      <w:pPr>
        <w:pStyle w:val="90"/>
        <w:numPr>
          <w:ilvl w:val="0"/>
          <w:numId w:val="22"/>
        </w:numPr>
        <w:ind w:left="0" w:firstLine="420" w:firstLineChars="0"/>
        <w:rPr>
          <w:rFonts w:hAnsi="Times New Roman"/>
          <w:sz w:val="30"/>
          <w:szCs w:val="30"/>
        </w:rPr>
      </w:pPr>
      <w:r>
        <w:rPr>
          <w:rFonts w:hint="eastAsia" w:hAnsi="Times New Roman"/>
          <w:sz w:val="30"/>
          <w:szCs w:val="30"/>
        </w:rPr>
        <w:t>交易价格明显偏离合理价值，涉嫌通过债券交易进行利益输送的；</w:t>
      </w:r>
    </w:p>
    <w:p w14:paraId="57664446">
      <w:pPr>
        <w:pStyle w:val="90"/>
        <w:numPr>
          <w:ilvl w:val="0"/>
          <w:numId w:val="22"/>
        </w:numPr>
        <w:ind w:left="0" w:firstLine="420" w:firstLineChars="0"/>
        <w:rPr>
          <w:rFonts w:hAnsi="Times New Roman"/>
          <w:sz w:val="30"/>
          <w:szCs w:val="30"/>
        </w:rPr>
      </w:pPr>
      <w:r>
        <w:rPr>
          <w:rFonts w:hint="eastAsia" w:hAnsi="Times New Roman"/>
          <w:sz w:val="30"/>
          <w:szCs w:val="30"/>
        </w:rPr>
        <w:t>涉嫌操纵市场、内幕交易、利用未公开信息进行交易等违法违规行为的；</w:t>
      </w:r>
    </w:p>
    <w:p w14:paraId="3806A544">
      <w:pPr>
        <w:pStyle w:val="90"/>
        <w:numPr>
          <w:ilvl w:val="0"/>
          <w:numId w:val="22"/>
        </w:numPr>
        <w:ind w:left="0" w:firstLine="420" w:firstLineChars="0"/>
        <w:rPr>
          <w:rFonts w:hAnsi="Times New Roman"/>
          <w:sz w:val="30"/>
          <w:szCs w:val="30"/>
        </w:rPr>
      </w:pPr>
      <w:r>
        <w:rPr>
          <w:rFonts w:hint="eastAsia" w:hAnsi="Times New Roman"/>
          <w:sz w:val="30"/>
          <w:szCs w:val="30"/>
        </w:rPr>
        <w:t>利用其他相关市场的交易影响债券交易，或利用债券市场交易影响其他相关市场交易的；</w:t>
      </w:r>
    </w:p>
    <w:p w14:paraId="288FB2E9">
      <w:pPr>
        <w:pStyle w:val="90"/>
        <w:numPr>
          <w:ilvl w:val="0"/>
          <w:numId w:val="22"/>
        </w:numPr>
        <w:ind w:left="0" w:firstLine="420" w:firstLineChars="0"/>
        <w:rPr>
          <w:rFonts w:hAnsi="Times New Roman"/>
          <w:sz w:val="30"/>
          <w:szCs w:val="30"/>
        </w:rPr>
      </w:pPr>
      <w:r>
        <w:rPr>
          <w:rFonts w:hint="eastAsia" w:hAnsi="Times New Roman"/>
          <w:sz w:val="30"/>
          <w:szCs w:val="30"/>
        </w:rPr>
        <w:t>中国证监会</w:t>
      </w:r>
      <w:r>
        <w:rPr>
          <w:rFonts w:hint="eastAsia" w:hAnsi="Times New Roman"/>
          <w:bCs/>
          <w:sz w:val="30"/>
          <w:szCs w:val="30"/>
        </w:rPr>
        <w:t>或者本所认为需要重点监控的其他情形。</w:t>
      </w:r>
    </w:p>
    <w:p w14:paraId="49491B3F">
      <w:pPr>
        <w:spacing w:line="600" w:lineRule="exact"/>
        <w:ind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本所对债券投资者以本人名义开立或者由同一债券投资者实际控制的单个或者多个证券账户以及其他涉嫌关联的证券账户（组）进行合并监控。</w:t>
      </w:r>
    </w:p>
    <w:p w14:paraId="0904B447">
      <w:pPr>
        <w:spacing w:line="600" w:lineRule="exact"/>
        <w:ind w:firstLine="600" w:firstLineChars="200"/>
        <w:rPr>
          <w:rFonts w:ascii="仿宋_GB2312" w:hAnsi="Calibri" w:eastAsia="仿宋_GB2312"/>
          <w:b/>
          <w:bCs/>
          <w:sz w:val="30"/>
          <w:szCs w:val="30"/>
        </w:rPr>
      </w:pPr>
      <w:r>
        <w:rPr>
          <w:rFonts w:hint="eastAsia" w:ascii="仿宋_GB2312" w:hAnsi="Cambria" w:eastAsia="仿宋_GB2312"/>
          <w:bCs/>
          <w:sz w:val="30"/>
          <w:szCs w:val="30"/>
        </w:rPr>
        <w:t>债券投资者出现上述所列债券异常交易行为之一，本所可采取非现场检查和现场检查措施，要求相关债券交易参与人提供其开户资料、授权委托书（如有）、资金存取凭证、资金账户情况、相关交易情况等资料；如异常交易涉及经纪客户的，本所可以直接要求会员或者经纪客户提供有关材料，说明相关情况。</w:t>
      </w:r>
    </w:p>
    <w:p w14:paraId="315EA30F">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会员</w:t>
      </w:r>
      <w:r>
        <w:rPr>
          <w:rFonts w:hint="eastAsia" w:ascii="仿宋_GB2312" w:eastAsia="仿宋_GB2312"/>
          <w:b/>
          <w:sz w:val="30"/>
          <w:szCs w:val="30"/>
        </w:rPr>
        <w:t>实时</w:t>
      </w:r>
      <w:r>
        <w:rPr>
          <w:rFonts w:hint="eastAsia" w:ascii="仿宋_GB2312" w:hAnsi="Cambria" w:eastAsia="仿宋_GB2312"/>
          <w:b/>
          <w:bCs/>
          <w:sz w:val="30"/>
          <w:szCs w:val="30"/>
        </w:rPr>
        <w:t>监控</w:t>
      </w:r>
    </w:p>
    <w:p w14:paraId="0951910F">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会员及其营业部应当对其经纪客户的债券交易行为进行实时监控，发现经纪客户存在异常交易行为的，应当及时予以提醒和制止，并及时向本所报告。</w:t>
      </w:r>
    </w:p>
    <w:p w14:paraId="21B64E17">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债券投资者配合</w:t>
      </w:r>
    </w:p>
    <w:p w14:paraId="56889629">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债券投资者应当配合本所进行相关调查，及时、真实、准确、完整地提供有关文件和资料。</w:t>
      </w:r>
    </w:p>
    <w:p w14:paraId="1FA2220E">
      <w:pPr>
        <w:numPr>
          <w:ilvl w:val="1"/>
          <w:numId w:val="4"/>
        </w:numPr>
        <w:spacing w:line="600" w:lineRule="exact"/>
        <w:ind w:left="0" w:firstLine="0"/>
        <w:outlineLvl w:val="1"/>
        <w:rPr>
          <w:rFonts w:ascii="仿宋_GB2312" w:eastAsia="仿宋_GB2312"/>
          <w:b/>
          <w:sz w:val="30"/>
          <w:szCs w:val="30"/>
        </w:rPr>
      </w:pPr>
      <w:bookmarkStart w:id="3396" w:name="_Toc56166316"/>
      <w:bookmarkStart w:id="3397" w:name="_Toc151137071"/>
      <w:bookmarkStart w:id="3398" w:name="_Toc56166127"/>
      <w:r>
        <w:rPr>
          <w:rFonts w:hint="eastAsia" w:ascii="仿宋_GB2312" w:eastAsia="仿宋_GB2312"/>
          <w:b/>
          <w:sz w:val="30"/>
          <w:szCs w:val="30"/>
        </w:rPr>
        <w:t>价格偏离报告</w:t>
      </w:r>
      <w:bookmarkEnd w:id="3396"/>
      <w:bookmarkEnd w:id="3397"/>
      <w:bookmarkEnd w:id="3398"/>
    </w:p>
    <w:p w14:paraId="27C4417E">
      <w:pPr>
        <w:numPr>
          <w:ilvl w:val="2"/>
          <w:numId w:val="4"/>
        </w:numPr>
        <w:spacing w:line="600" w:lineRule="exact"/>
        <w:ind w:left="0" w:firstLine="0"/>
        <w:outlineLvl w:val="2"/>
        <w:rPr>
          <w:rFonts w:ascii="Calibri" w:hAnsi="Calibri" w:eastAsia="仿宋_GB2312"/>
          <w:b/>
          <w:bCs/>
          <w:sz w:val="30"/>
          <w:szCs w:val="30"/>
        </w:rPr>
      </w:pPr>
      <w:r>
        <w:rPr>
          <w:rFonts w:hint="eastAsia" w:ascii="Calibri" w:hAnsi="Calibri" w:eastAsia="仿宋_GB2312"/>
          <w:b/>
          <w:bCs/>
          <w:sz w:val="30"/>
          <w:szCs w:val="30"/>
        </w:rPr>
        <w:t>价格比较基准</w:t>
      </w:r>
    </w:p>
    <w:p w14:paraId="552B78BE">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债券交易参与人应当主动建立多指标、差异化的债券现券交易价格比较基准体系，相关比较基准包括但不限于中债估值、中证估值及本所认可的其他公允指标，本所另有规定的除外。</w:t>
      </w:r>
    </w:p>
    <w:p w14:paraId="52D1086A">
      <w:pPr>
        <w:numPr>
          <w:ilvl w:val="2"/>
          <w:numId w:val="4"/>
        </w:numPr>
        <w:spacing w:line="600" w:lineRule="exact"/>
        <w:ind w:left="0" w:firstLine="0"/>
        <w:outlineLvl w:val="2"/>
        <w:rPr>
          <w:rFonts w:ascii="仿宋_GB2312" w:hAnsi="Cambria" w:eastAsia="仿宋_GB2312"/>
          <w:sz w:val="30"/>
          <w:szCs w:val="30"/>
        </w:rPr>
      </w:pPr>
      <w:r>
        <w:rPr>
          <w:rFonts w:hint="eastAsia" w:ascii="仿宋_GB2312" w:hAnsi="Cambria" w:eastAsia="仿宋_GB2312"/>
          <w:b/>
          <w:bCs/>
          <w:sz w:val="30"/>
          <w:szCs w:val="30"/>
        </w:rPr>
        <w:t>报告流程</w:t>
      </w:r>
    </w:p>
    <w:p w14:paraId="65C1917D">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债券现券交易价格（净价）偏离交易当日日终相关比较基准超过</w:t>
      </w:r>
      <w:r>
        <w:rPr>
          <w:rFonts w:hint="eastAsia" w:ascii="仿宋_GB2312" w:hAnsi="Calibri" w:eastAsia="仿宋_GB2312"/>
          <w:bCs/>
          <w:sz w:val="30"/>
          <w:szCs w:val="30"/>
        </w:rPr>
        <w:t>2%（</w:t>
      </w:r>
      <w:r>
        <w:rPr>
          <w:rFonts w:hint="eastAsia" w:ascii="Calibri" w:hAnsi="Calibri" w:eastAsia="仿宋_GB2312"/>
          <w:bCs/>
          <w:sz w:val="30"/>
          <w:szCs w:val="30"/>
        </w:rPr>
        <w:t>含）的，交易双方的债券交易参与人应不晚于收盘后次一交易日向本所报告该笔交易。</w:t>
      </w:r>
    </w:p>
    <w:p w14:paraId="0864BEA3">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若涉及价格偏离的交易一方或双方为经纪客户的，会员应当及时向相关经纪客户了解情况并按前款规定向本所报告该笔交易。</w:t>
      </w:r>
    </w:p>
    <w:p w14:paraId="4EE63C35">
      <w:pPr>
        <w:spacing w:line="600" w:lineRule="exact"/>
        <w:ind w:firstLine="600" w:firstLineChars="200"/>
        <w:rPr>
          <w:rFonts w:ascii="仿宋_GB2312" w:hAnsi="Cambria" w:eastAsia="仿宋_GB2312"/>
          <w:bCs/>
          <w:sz w:val="30"/>
          <w:szCs w:val="30"/>
        </w:rPr>
      </w:pPr>
      <w:r>
        <w:rPr>
          <w:rFonts w:hint="eastAsia" w:ascii="Calibri" w:hAnsi="Calibri" w:eastAsia="仿宋_GB2312"/>
          <w:bCs/>
          <w:sz w:val="30"/>
          <w:szCs w:val="30"/>
        </w:rPr>
        <w:t>债券交易参与人根据前款规定进行报告的，报告内容包括但不限于交易方的基本信息、交易要素、交易情况及价格偏离原因</w:t>
      </w:r>
      <w:r>
        <w:rPr>
          <w:rFonts w:hint="eastAsia" w:ascii="仿宋_GB2312" w:hAnsi="Cambria" w:eastAsia="仿宋_GB2312"/>
          <w:bCs/>
          <w:sz w:val="30"/>
          <w:szCs w:val="30"/>
        </w:rPr>
        <w:t>等。债券交易参与人应当将包含相关内容的债券交易情况说明表（详见附件42）</w:t>
      </w:r>
      <w:r>
        <w:fldChar w:fldCharType="begin"/>
      </w:r>
      <w:r>
        <w:instrText xml:space="preserve"> HYPERLINK "mailto:扫描版发送至bondtrading@sse.com.cn" </w:instrText>
      </w:r>
      <w:r>
        <w:fldChar w:fldCharType="separate"/>
      </w:r>
      <w:r>
        <w:rPr>
          <w:rFonts w:hint="eastAsia" w:ascii="仿宋_GB2312" w:hAnsi="Cambria" w:eastAsia="仿宋_GB2312"/>
          <w:bCs/>
          <w:sz w:val="30"/>
          <w:szCs w:val="30"/>
        </w:rPr>
        <w:t>通过债券信息监控及分析平台（</w:t>
      </w:r>
      <w:r>
        <w:rPr>
          <w:rFonts w:ascii="仿宋_GB2312" w:hAnsi="Cambria" w:eastAsia="仿宋_GB2312"/>
          <w:bCs/>
          <w:sz w:val="30"/>
          <w:szCs w:val="30"/>
        </w:rPr>
        <w:t>https://ebp.sse.com.cn/bmp/</w:t>
      </w:r>
      <w:r>
        <w:rPr>
          <w:rFonts w:hint="eastAsia" w:ascii="仿宋_GB2312" w:hAnsi="Cambria" w:eastAsia="仿宋_GB2312"/>
          <w:bCs/>
          <w:sz w:val="30"/>
          <w:szCs w:val="30"/>
        </w:rPr>
        <w:t>）提交</w:t>
      </w:r>
      <w:r>
        <w:rPr>
          <w:rFonts w:hint="eastAsia" w:ascii="仿宋_GB2312" w:hAnsi="Cambria" w:eastAsia="仿宋_GB2312"/>
          <w:bCs/>
          <w:sz w:val="30"/>
          <w:szCs w:val="30"/>
        </w:rPr>
        <w:fldChar w:fldCharType="end"/>
      </w:r>
      <w:r>
        <w:rPr>
          <w:rFonts w:hint="eastAsia" w:ascii="仿宋_GB2312" w:hAnsi="Cambria" w:eastAsia="仿宋_GB2312"/>
          <w:bCs/>
          <w:sz w:val="30"/>
          <w:szCs w:val="30"/>
        </w:rPr>
        <w:t>。</w:t>
      </w:r>
    </w:p>
    <w:p w14:paraId="5D760C0C">
      <w:pPr>
        <w:numPr>
          <w:ilvl w:val="2"/>
          <w:numId w:val="4"/>
        </w:numPr>
        <w:spacing w:line="600" w:lineRule="exact"/>
        <w:outlineLvl w:val="2"/>
        <w:rPr>
          <w:rFonts w:ascii="仿宋_GB2312" w:hAnsi="Cambria" w:eastAsia="仿宋_GB2312"/>
          <w:b/>
          <w:sz w:val="30"/>
          <w:szCs w:val="30"/>
        </w:rPr>
      </w:pPr>
      <w:r>
        <w:rPr>
          <w:rFonts w:hint="eastAsia" w:ascii="仿宋_GB2312" w:hAnsi="Cambria" w:eastAsia="仿宋_GB2312"/>
          <w:b/>
          <w:sz w:val="30"/>
          <w:szCs w:val="30"/>
        </w:rPr>
        <w:t>债券信息监控及分析平台使用说明</w:t>
      </w:r>
    </w:p>
    <w:p w14:paraId="2DB5FE26">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债券信息监控及分析平台需使用上证通行证账号登录。账号</w:t>
      </w:r>
      <w:r>
        <w:rPr>
          <w:rFonts w:ascii="仿宋_GB2312" w:hAnsi="Cambria" w:eastAsia="仿宋_GB2312"/>
          <w:sz w:val="30"/>
          <w:szCs w:val="30"/>
        </w:rPr>
        <w:t>注册地址为</w:t>
      </w:r>
      <w:r>
        <w:rPr>
          <w:rFonts w:hint="eastAsia" w:ascii="仿宋_GB2312" w:hAnsi="Cambria" w:eastAsia="仿宋_GB2312"/>
          <w:sz w:val="30"/>
          <w:szCs w:val="30"/>
        </w:rPr>
        <w:t>https://passport.sseinfo.com/auth/goLogin。完成</w:t>
      </w:r>
      <w:r>
        <w:rPr>
          <w:rFonts w:ascii="仿宋_GB2312" w:hAnsi="Cambria" w:eastAsia="仿宋_GB2312"/>
          <w:sz w:val="30"/>
          <w:szCs w:val="30"/>
        </w:rPr>
        <w:t>上证通行证号注册后，</w:t>
      </w:r>
      <w:r>
        <w:rPr>
          <w:rFonts w:hint="eastAsia" w:ascii="仿宋_GB2312" w:hAnsi="Cambria" w:eastAsia="仿宋_GB2312"/>
          <w:sz w:val="30"/>
          <w:szCs w:val="30"/>
        </w:rPr>
        <w:t>需要将真实姓名、</w:t>
      </w:r>
      <w:r>
        <w:rPr>
          <w:rFonts w:ascii="仿宋_GB2312" w:hAnsi="Cambria" w:eastAsia="仿宋_GB2312"/>
          <w:sz w:val="30"/>
          <w:szCs w:val="30"/>
        </w:rPr>
        <w:t>注册使用的手机号、机构名称等注册</w:t>
      </w:r>
      <w:r>
        <w:rPr>
          <w:rFonts w:hint="eastAsia" w:ascii="仿宋_GB2312" w:hAnsi="Cambria" w:eastAsia="仿宋_GB2312"/>
          <w:sz w:val="30"/>
          <w:szCs w:val="30"/>
        </w:rPr>
        <w:t>信息发</w:t>
      </w:r>
      <w:r>
        <w:rPr>
          <w:rFonts w:ascii="仿宋_GB2312" w:hAnsi="Cambria" w:eastAsia="仿宋_GB2312"/>
          <w:sz w:val="30"/>
          <w:szCs w:val="30"/>
        </w:rPr>
        <w:t>通过邮箱</w:t>
      </w:r>
      <w:r>
        <w:rPr>
          <w:rFonts w:hint="eastAsia" w:ascii="仿宋_GB2312" w:hAnsi="Cambria" w:eastAsia="仿宋_GB2312"/>
          <w:sz w:val="30"/>
          <w:szCs w:val="30"/>
        </w:rPr>
        <w:t>（bondtrading@sse.com.cn）提交至本所管理员处。</w:t>
      </w:r>
    </w:p>
    <w:p w14:paraId="5CC6147E">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本所管理员给通行证开通相关角色权限之后，方可登录并使用债券信息监控及分析平台。</w:t>
      </w:r>
    </w:p>
    <w:p w14:paraId="134F1C3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除外情形</w:t>
      </w:r>
    </w:p>
    <w:p w14:paraId="794CECD0">
      <w:pPr>
        <w:spacing w:line="600" w:lineRule="exact"/>
        <w:ind w:firstLine="600" w:firstLineChars="200"/>
        <w:rPr>
          <w:rFonts w:ascii="仿宋_GB2312" w:hAnsi="Cambria" w:eastAsia="仿宋_GB2312"/>
          <w:sz w:val="30"/>
          <w:szCs w:val="30"/>
        </w:rPr>
      </w:pPr>
      <w:r>
        <w:rPr>
          <w:rFonts w:hint="eastAsia" w:ascii="仿宋_GB2312" w:hAnsi="Cambria" w:eastAsia="仿宋_GB2312"/>
          <w:bCs/>
          <w:sz w:val="30"/>
          <w:szCs w:val="30"/>
        </w:rPr>
        <w:t>采用匹配成交、竞买成交方式达成的债券交易，特定债券的转让以及本所认可的其他情形，无需提交价格偏离报告。</w:t>
      </w:r>
    </w:p>
    <w:p w14:paraId="705FAF40">
      <w:pPr>
        <w:numPr>
          <w:ilvl w:val="1"/>
          <w:numId w:val="4"/>
        </w:numPr>
        <w:spacing w:line="600" w:lineRule="exact"/>
        <w:ind w:left="0" w:firstLine="0"/>
        <w:outlineLvl w:val="1"/>
        <w:rPr>
          <w:rFonts w:ascii="仿宋_GB2312" w:eastAsia="仿宋_GB2312"/>
          <w:b/>
          <w:sz w:val="30"/>
          <w:szCs w:val="30"/>
        </w:rPr>
      </w:pPr>
      <w:bookmarkStart w:id="3399" w:name="_Toc56166128"/>
      <w:bookmarkStart w:id="3400" w:name="_Toc56166317"/>
      <w:bookmarkStart w:id="3401" w:name="_Toc151137072"/>
      <w:r>
        <w:rPr>
          <w:rFonts w:hint="eastAsia" w:ascii="仿宋_GB2312" w:eastAsia="仿宋_GB2312"/>
          <w:b/>
          <w:sz w:val="30"/>
          <w:szCs w:val="30"/>
        </w:rPr>
        <w:t>日常工作措施、监管措施和纪律处分</w:t>
      </w:r>
      <w:bookmarkEnd w:id="3399"/>
      <w:bookmarkEnd w:id="3400"/>
      <w:bookmarkEnd w:id="3401"/>
    </w:p>
    <w:p w14:paraId="129472B7">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监管</w:t>
      </w:r>
      <w:r>
        <w:rPr>
          <w:rFonts w:hint="eastAsia" w:ascii="仿宋_GB2312" w:hAnsi="Calibri" w:eastAsia="仿宋_GB2312"/>
          <w:b/>
          <w:sz w:val="30"/>
          <w:szCs w:val="30"/>
        </w:rPr>
        <w:t>对象</w:t>
      </w:r>
    </w:p>
    <w:p w14:paraId="4BEED08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债券交易参与人、债券做市商、其他债券投资者、为债券交易提供专业服务的机构及其相关人员等监管对象应当接受本所的自律监管。</w:t>
      </w:r>
    </w:p>
    <w:p w14:paraId="1EF4ACF4">
      <w:pPr>
        <w:spacing w:line="600" w:lineRule="exact"/>
        <w:ind w:firstLine="600" w:firstLineChars="200"/>
        <w:jc w:val="left"/>
        <w:rPr>
          <w:rFonts w:ascii="仿宋_GB2312" w:hAnsi="Calibri" w:eastAsia="仿宋_GB2312"/>
          <w:sz w:val="30"/>
          <w:szCs w:val="30"/>
        </w:rPr>
      </w:pPr>
      <w:r>
        <w:rPr>
          <w:rFonts w:hint="eastAsia" w:ascii="仿宋_GB2312" w:hAnsi="Cambria" w:eastAsia="仿宋_GB2312"/>
          <w:bCs/>
          <w:sz w:val="30"/>
          <w:szCs w:val="30"/>
        </w:rPr>
        <w:t>监管对象违反《债券交易规则》或者本所其他债券交易相关规定的，本所可以采取日常工作措施、监管措施及纪律处分措施。</w:t>
      </w:r>
    </w:p>
    <w:p w14:paraId="2C0D0564">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日常工作措施</w:t>
      </w:r>
    </w:p>
    <w:p w14:paraId="65A7823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本所可以对监管对象单独或者合并采取下列日常工作措施，监管对象应当予以配合：</w:t>
      </w:r>
    </w:p>
    <w:p w14:paraId="30FA588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w:t>
      </w:r>
      <w:r>
        <w:rPr>
          <w:rFonts w:ascii="仿宋_GB2312" w:hAnsi="Cambria" w:eastAsia="仿宋_GB2312"/>
          <w:bCs/>
          <w:sz w:val="30"/>
          <w:szCs w:val="30"/>
        </w:rPr>
        <w:tab/>
      </w:r>
      <w:r>
        <w:rPr>
          <w:rFonts w:hint="eastAsia" w:ascii="仿宋_GB2312" w:hAnsi="Cambria" w:eastAsia="仿宋_GB2312"/>
          <w:bCs/>
          <w:sz w:val="30"/>
          <w:szCs w:val="30"/>
        </w:rPr>
        <w:t>要求对有关问题作出解释和说明；</w:t>
      </w:r>
    </w:p>
    <w:p w14:paraId="271A0C8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w:t>
      </w:r>
      <w:r>
        <w:rPr>
          <w:rFonts w:ascii="仿宋_GB2312" w:hAnsi="Cambria" w:eastAsia="仿宋_GB2312"/>
          <w:bCs/>
          <w:sz w:val="30"/>
          <w:szCs w:val="30"/>
        </w:rPr>
        <w:tab/>
      </w:r>
      <w:r>
        <w:rPr>
          <w:rFonts w:hint="eastAsia" w:ascii="仿宋_GB2312" w:hAnsi="Cambria" w:eastAsia="仿宋_GB2312"/>
          <w:bCs/>
          <w:sz w:val="30"/>
          <w:szCs w:val="30"/>
        </w:rPr>
        <w:t>要求提供相关文件或资料；</w:t>
      </w:r>
    </w:p>
    <w:p w14:paraId="3DBA4E8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w:t>
      </w:r>
      <w:r>
        <w:rPr>
          <w:rFonts w:ascii="仿宋_GB2312" w:hAnsi="Cambria" w:eastAsia="仿宋_GB2312"/>
          <w:bCs/>
          <w:sz w:val="30"/>
          <w:szCs w:val="30"/>
        </w:rPr>
        <w:tab/>
      </w:r>
      <w:r>
        <w:rPr>
          <w:rFonts w:hint="eastAsia" w:ascii="仿宋_GB2312" w:hAnsi="Cambria" w:eastAsia="仿宋_GB2312"/>
          <w:bCs/>
          <w:sz w:val="30"/>
          <w:szCs w:val="30"/>
        </w:rPr>
        <w:t>约见有关人员；</w:t>
      </w:r>
    </w:p>
    <w:p w14:paraId="175C25B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（4）</w:t>
      </w:r>
      <w:r>
        <w:rPr>
          <w:rFonts w:ascii="仿宋_GB2312" w:hAnsi="Cambria" w:eastAsia="仿宋_GB2312"/>
          <w:bCs/>
          <w:sz w:val="30"/>
          <w:szCs w:val="30"/>
        </w:rPr>
        <w:tab/>
      </w:r>
      <w:r>
        <w:rPr>
          <w:rFonts w:hint="eastAsia" w:ascii="仿宋_GB2312" w:hAnsi="Cambria" w:eastAsia="仿宋_GB2312"/>
          <w:bCs/>
          <w:sz w:val="30"/>
          <w:szCs w:val="30"/>
        </w:rPr>
        <w:t>调阅、查看交易相关资料；</w:t>
      </w:r>
    </w:p>
    <w:p w14:paraId="5EFFB16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（5）</w:t>
      </w:r>
      <w:r>
        <w:rPr>
          <w:rFonts w:ascii="仿宋_GB2312" w:hAnsi="Cambria" w:eastAsia="仿宋_GB2312"/>
          <w:bCs/>
          <w:sz w:val="30"/>
          <w:szCs w:val="30"/>
        </w:rPr>
        <w:tab/>
      </w:r>
      <w:r>
        <w:rPr>
          <w:rFonts w:hint="eastAsia" w:ascii="仿宋_GB2312" w:hAnsi="Cambria" w:eastAsia="仿宋_GB2312"/>
          <w:bCs/>
          <w:sz w:val="30"/>
          <w:szCs w:val="30"/>
        </w:rPr>
        <w:t>发出规范交易建议书；</w:t>
      </w:r>
    </w:p>
    <w:p w14:paraId="3296B7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（6）</w:t>
      </w:r>
      <w:r>
        <w:rPr>
          <w:rFonts w:ascii="仿宋_GB2312" w:hAnsi="Cambria" w:eastAsia="仿宋_GB2312"/>
          <w:bCs/>
          <w:sz w:val="30"/>
          <w:szCs w:val="30"/>
        </w:rPr>
        <w:tab/>
      </w:r>
      <w:r>
        <w:rPr>
          <w:rFonts w:hint="eastAsia" w:ascii="仿宋_GB2312" w:hAnsi="Cambria" w:eastAsia="仿宋_GB2312"/>
          <w:bCs/>
          <w:sz w:val="30"/>
          <w:szCs w:val="30"/>
        </w:rPr>
        <w:t>向有关单位通报相关情况；</w:t>
      </w:r>
    </w:p>
    <w:p w14:paraId="61CB3B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（7）</w:t>
      </w:r>
      <w:r>
        <w:rPr>
          <w:rFonts w:ascii="仿宋_GB2312" w:hAnsi="Cambria" w:eastAsia="仿宋_GB2312"/>
          <w:bCs/>
          <w:sz w:val="30"/>
          <w:szCs w:val="30"/>
        </w:rPr>
        <w:tab/>
      </w:r>
      <w:r>
        <w:rPr>
          <w:rFonts w:hint="eastAsia" w:ascii="仿宋_GB2312" w:hAnsi="Cambria" w:eastAsia="仿宋_GB2312"/>
          <w:bCs/>
          <w:sz w:val="30"/>
          <w:szCs w:val="30"/>
        </w:rPr>
        <w:t>其他日常工作措施。</w:t>
      </w:r>
    </w:p>
    <w:p w14:paraId="396B3B9A">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现场</w:t>
      </w:r>
      <w:r>
        <w:rPr>
          <w:rFonts w:hint="eastAsia" w:ascii="仿宋_GB2312" w:eastAsia="仿宋_GB2312"/>
          <w:b/>
          <w:sz w:val="30"/>
          <w:szCs w:val="30"/>
        </w:rPr>
        <w:t>检查</w:t>
      </w:r>
      <w:r>
        <w:rPr>
          <w:rFonts w:hint="eastAsia" w:ascii="仿宋_GB2312" w:hAnsi="Cambria" w:eastAsia="仿宋_GB2312"/>
          <w:b/>
          <w:bCs/>
          <w:sz w:val="30"/>
          <w:szCs w:val="30"/>
        </w:rPr>
        <w:t>和非现场检查</w:t>
      </w:r>
    </w:p>
    <w:p w14:paraId="366F656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本所可以根据需要对监管对象进行非现场检查和现场检查。相关监管对象应当配合本所进行相关检查，真实、准确、完整、及时地提供有关文件和资料，说明相关情况。</w:t>
      </w:r>
    </w:p>
    <w:p w14:paraId="787F562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所述现场检查，是指本所在监管对象从事本规则规定的债券交易、提供专业服务的场所以及其他相关场所，采取查阅、复制文件和资料、查看实物、谈话及询问等方式，对监管对象的债券交易、提供专业服务及相关业务开展的规范运作情况或者履职情况进行监督检查。</w:t>
      </w:r>
    </w:p>
    <w:p w14:paraId="5402C840">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报请中国</w:t>
      </w:r>
      <w:r>
        <w:rPr>
          <w:rFonts w:hint="eastAsia" w:ascii="仿宋_GB2312" w:eastAsia="仿宋_GB2312"/>
          <w:b/>
          <w:sz w:val="30"/>
          <w:szCs w:val="30"/>
        </w:rPr>
        <w:t>证监会</w:t>
      </w:r>
      <w:r>
        <w:rPr>
          <w:rFonts w:hint="eastAsia" w:ascii="仿宋_GB2312" w:hAnsi="Cambria" w:eastAsia="仿宋_GB2312"/>
          <w:b/>
          <w:bCs/>
          <w:sz w:val="30"/>
          <w:szCs w:val="30"/>
        </w:rPr>
        <w:t>查处</w:t>
      </w:r>
    </w:p>
    <w:p w14:paraId="1CEA874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监管对象违反法律、行政法规、部门规章、规范性文件和本所相关业务规则规定或者严重扰乱市场交易秩序的，本所可以报请中国证监会冻结相关证券账户、资金账户，</w:t>
      </w:r>
      <w:r>
        <w:rPr>
          <w:rFonts w:hint="eastAsia" w:ascii="仿宋_GB2312" w:hAnsi="Cambria" w:eastAsia="仿宋_GB2312"/>
          <w:sz w:val="30"/>
          <w:szCs w:val="30"/>
        </w:rPr>
        <w:t>或者报请中国证监会查处</w:t>
      </w:r>
      <w:r>
        <w:rPr>
          <w:rFonts w:hint="eastAsia" w:ascii="仿宋_GB2312" w:hAnsi="Cambria" w:eastAsia="仿宋_GB2312"/>
          <w:bCs/>
          <w:sz w:val="30"/>
          <w:szCs w:val="30"/>
        </w:rPr>
        <w:t>。</w:t>
      </w:r>
    </w:p>
    <w:p w14:paraId="66C9B712">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监管措施</w:t>
      </w:r>
    </w:p>
    <w:p w14:paraId="59F35364">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监管对象违反本所债券交易及相关业务规则规定的，本所可以视情节轻重对其采取下列监管措施：</w:t>
      </w:r>
    </w:p>
    <w:p w14:paraId="444BE6DC">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口头警示；</w:t>
      </w:r>
    </w:p>
    <w:p w14:paraId="1E38FF0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书面警示；</w:t>
      </w:r>
    </w:p>
    <w:p w14:paraId="2CB20DF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监管谈话；</w:t>
      </w:r>
    </w:p>
    <w:p w14:paraId="5902E8A3">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要求限期改正；</w:t>
      </w:r>
    </w:p>
    <w:p w14:paraId="7FBE8B50">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要求公开更正、澄清或说明；</w:t>
      </w:r>
    </w:p>
    <w:p w14:paraId="3AD3D0D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将账户列为重点监控账户；</w:t>
      </w:r>
    </w:p>
    <w:p w14:paraId="0AEA99E2">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要求提交合规交易承诺书；</w:t>
      </w:r>
    </w:p>
    <w:p w14:paraId="738243F9">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暂停证券账户交易；</w:t>
      </w:r>
    </w:p>
    <w:p w14:paraId="765356C6">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暂停受理或办理相关业务；</w:t>
      </w:r>
    </w:p>
    <w:p w14:paraId="6E7587D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向相关主管部门出具监管建议函；</w:t>
      </w:r>
    </w:p>
    <w:p w14:paraId="2C63E888">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本所规定的其他监管措施。</w:t>
      </w:r>
    </w:p>
    <w:p w14:paraId="6A1AF09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监管对象被采取前款第（8）项规定的监管措施后，拒不配合本所监管的，在其改正前，本所可对其连续实施该监管措施。</w:t>
      </w:r>
    </w:p>
    <w:p w14:paraId="69434F6F">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eastAsia="仿宋_GB2312"/>
          <w:b/>
          <w:sz w:val="30"/>
          <w:szCs w:val="30"/>
        </w:rPr>
        <w:t>纪律处分</w:t>
      </w:r>
    </w:p>
    <w:p w14:paraId="53CDE741">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（1）纪律处分类别</w:t>
      </w:r>
    </w:p>
    <w:p w14:paraId="6F475458">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监管对象违反本规则或本所其他相关业务规则规定的，本所可以视情节轻重对其实施下列纪律处分：</w:t>
      </w:r>
    </w:p>
    <w:p w14:paraId="0FB7D194">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通报批评；</w:t>
      </w:r>
    </w:p>
    <w:p w14:paraId="47C89436">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公开谴责；</w:t>
      </w:r>
    </w:p>
    <w:p w14:paraId="22AB46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暂停或者限制债券交易权限；</w:t>
      </w:r>
    </w:p>
    <w:p w14:paraId="7D2B012F">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终止其作为债券交易参与人；</w:t>
      </w:r>
    </w:p>
    <w:p w14:paraId="5DE1DE4A">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限制证券账户交易；</w:t>
      </w:r>
    </w:p>
    <w:p w14:paraId="48AFAC2D">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认定为不合格投资者；</w:t>
      </w:r>
    </w:p>
    <w:p w14:paraId="75494F78">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收取惩罚性违约金；</w:t>
      </w:r>
    </w:p>
    <w:p w14:paraId="55258C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本所规定的其他纪律处分。</w:t>
      </w:r>
    </w:p>
    <w:p w14:paraId="6FBA56B5">
      <w:pPr>
        <w:spacing w:line="600" w:lineRule="exact"/>
        <w:ind w:firstLine="602" w:firstLineChars="200"/>
        <w:outlineLvl w:val="3"/>
        <w:rPr>
          <w:rFonts w:ascii="仿宋_GB2312" w:hAnsi="Cambria" w:eastAsia="仿宋_GB2312"/>
          <w:b/>
          <w:bCs/>
          <w:sz w:val="30"/>
          <w:szCs w:val="30"/>
        </w:rPr>
      </w:pPr>
      <w:bookmarkStart w:id="3402" w:name="_Toc56166318"/>
      <w:bookmarkStart w:id="3403" w:name="_Toc56166129"/>
      <w:r>
        <w:rPr>
          <w:rFonts w:hint="eastAsia" w:ascii="仿宋_GB2312" w:hAnsi="Cambria" w:eastAsia="仿宋_GB2312"/>
          <w:b/>
          <w:bCs/>
          <w:sz w:val="30"/>
          <w:szCs w:val="30"/>
        </w:rPr>
        <w:t>（2）</w:t>
      </w:r>
      <w:bookmarkEnd w:id="3402"/>
      <w:bookmarkEnd w:id="3403"/>
      <w:r>
        <w:rPr>
          <w:rFonts w:hint="eastAsia" w:ascii="仿宋_GB2312" w:hAnsi="Cambria" w:eastAsia="仿宋_GB2312"/>
          <w:b/>
          <w:bCs/>
          <w:sz w:val="30"/>
          <w:szCs w:val="30"/>
        </w:rPr>
        <w:t>纪律处分复核情形</w:t>
      </w:r>
    </w:p>
    <w:p w14:paraId="0F19016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对上述纪律处分类别中的第3）、4）、5）、6）、7）项处分有异议的，可以在收到本所有关决定或者本所公告有关决定之日（以在先者为准）起15个交易日内向本所提交复核申请。复核期间相关处分不停止执行。</w:t>
      </w:r>
    </w:p>
    <w:p w14:paraId="2C10B465">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（3）复核材料</w:t>
      </w:r>
    </w:p>
    <w:p w14:paraId="5CA1CC7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申请人申请复核的，应当提交以下材料：</w:t>
      </w:r>
    </w:p>
    <w:p w14:paraId="478B55F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1）复核申请书，其中应明确复核的具体请求、事实和理由；</w:t>
      </w:r>
    </w:p>
    <w:p w14:paraId="16B5CF5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2）申请人的身份证明材料，包括身份证件或者营业执照复印件等；</w:t>
      </w:r>
    </w:p>
    <w:p w14:paraId="6FA579E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3）本所要求的其他材料。</w:t>
      </w:r>
    </w:p>
    <w:p w14:paraId="7E0853C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前款第1）、2）项材料应由申请人签名，申请人为法人的，应当加盖公章并由法定代表人签名。</w:t>
      </w:r>
    </w:p>
    <w:p w14:paraId="1914C383">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（4）复核申请提交途径</w:t>
      </w:r>
    </w:p>
    <w:p w14:paraId="4B4794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复核申请材料提交途径及复核工作小组联系方式在本所官网公布及更新，具体如下：</w:t>
      </w:r>
    </w:p>
    <w:p w14:paraId="02BFFA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联系电话：</w:t>
      </w:r>
      <w:r>
        <w:rPr>
          <w:rFonts w:ascii="仿宋_GB2312" w:hAnsi="Cambria"/>
          <w:bCs/>
          <w:sz w:val="30"/>
          <w:szCs w:val="30"/>
        </w:rPr>
        <w:t>021-68602361</w:t>
      </w:r>
      <w:r>
        <w:rPr>
          <w:rFonts w:hint="eastAsia" w:ascii="仿宋_GB2312" w:hAnsi="Cambria" w:eastAsia="仿宋_GB2312"/>
          <w:bCs/>
          <w:sz w:val="30"/>
          <w:szCs w:val="30"/>
        </w:rPr>
        <w:t>，021-68808888转法律事务部</w:t>
      </w:r>
    </w:p>
    <w:p w14:paraId="13E12D7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邮寄地址：上海市浦东新区杨高南路388号上海证券交易所法律事务部</w:t>
      </w:r>
    </w:p>
    <w:p w14:paraId="0E7D9B7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邮政编码：</w:t>
      </w:r>
      <w:r>
        <w:rPr>
          <w:rFonts w:ascii="仿宋_GB2312" w:hAnsi="Cambria"/>
          <w:bCs/>
          <w:sz w:val="30"/>
          <w:szCs w:val="30"/>
        </w:rPr>
        <w:t>200127</w:t>
      </w:r>
    </w:p>
    <w:p w14:paraId="4452301B">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（5）复核审查</w:t>
      </w:r>
    </w:p>
    <w:p w14:paraId="2589C13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本所收到复核申请材料后，在5个交易日内进行审查，作出是否受理的决定，并书面通知申请人。申请人未按规定提交复核申请材料的，本所不受理其复核申请。</w:t>
      </w:r>
    </w:p>
    <w:p w14:paraId="17ADCAB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本所受理复核申请后，按照《上海证券交易所复核实施办法》实施复核。</w:t>
      </w:r>
    </w:p>
    <w:p w14:paraId="157F0C64">
      <w:pPr>
        <w:numPr>
          <w:ilvl w:val="1"/>
          <w:numId w:val="4"/>
        </w:numPr>
        <w:spacing w:line="600" w:lineRule="exact"/>
        <w:ind w:left="0" w:firstLine="0"/>
        <w:outlineLvl w:val="1"/>
        <w:rPr>
          <w:rFonts w:ascii="仿宋_GB2312" w:eastAsia="仿宋_GB2312"/>
          <w:b/>
          <w:sz w:val="30"/>
          <w:szCs w:val="30"/>
        </w:rPr>
      </w:pPr>
      <w:bookmarkStart w:id="3404" w:name="_Toc151137073"/>
      <w:bookmarkStart w:id="3405" w:name="_Toc56166130"/>
      <w:bookmarkStart w:id="3406" w:name="_Toc56166319"/>
      <w:r>
        <w:rPr>
          <w:rFonts w:hint="eastAsia" w:ascii="仿宋_GB2312" w:eastAsia="仿宋_GB2312"/>
          <w:b/>
          <w:sz w:val="30"/>
          <w:szCs w:val="30"/>
        </w:rPr>
        <w:t>其他</w:t>
      </w:r>
      <w:bookmarkEnd w:id="3404"/>
    </w:p>
    <w:p w14:paraId="0C85F4E8">
      <w:pPr>
        <w:spacing w:line="600" w:lineRule="exact"/>
        <w:ind w:left="567"/>
        <w:rPr>
          <w:rFonts w:ascii="仿宋_GB2312" w:eastAsia="仿宋_GB2312"/>
          <w:b/>
          <w:sz w:val="30"/>
          <w:szCs w:val="30"/>
        </w:rPr>
      </w:pPr>
      <w:r>
        <w:rPr>
          <w:rFonts w:hint="eastAsia" w:ascii="仿宋_GB2312" w:eastAsia="仿宋_GB2312"/>
          <w:b/>
          <w:sz w:val="30"/>
          <w:szCs w:val="30"/>
        </w:rPr>
        <w:t>（1）诚信档案</w:t>
      </w:r>
      <w:bookmarkEnd w:id="3405"/>
      <w:bookmarkEnd w:id="3406"/>
    </w:p>
    <w:p w14:paraId="480FC199">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监管对象出现下列情形之一的，本所可以将其记入诚信档案：</w:t>
      </w:r>
    </w:p>
    <w:p w14:paraId="50BB79F1">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屡次达成交易或者达成重大交易却不履行交收义务的，但交收开始前交易双方协商一致并经交易所认可后解除相关交易的</w:t>
      </w:r>
      <w:r>
        <w:rPr>
          <w:rFonts w:ascii="仿宋_GB2312" w:hAnsi="Cambria" w:eastAsia="仿宋_GB2312"/>
          <w:bCs/>
          <w:sz w:val="30"/>
          <w:szCs w:val="30"/>
        </w:rPr>
        <w:t>情形除外</w:t>
      </w:r>
      <w:r>
        <w:rPr>
          <w:rFonts w:hint="eastAsia" w:ascii="仿宋_GB2312" w:hAnsi="Cambria" w:eastAsia="仿宋_GB2312"/>
          <w:bCs/>
          <w:sz w:val="30"/>
          <w:szCs w:val="30"/>
        </w:rPr>
        <w:t>；</w:t>
      </w:r>
    </w:p>
    <w:p w14:paraId="0D93E50D">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被本所实施监管措施或者纪律处分的；</w:t>
      </w:r>
    </w:p>
    <w:p w14:paraId="0FCB40F3">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本所规定的其他情形。</w:t>
      </w:r>
    </w:p>
    <w:p w14:paraId="43D58E1D">
      <w:pPr>
        <w:spacing w:line="600" w:lineRule="exact"/>
        <w:ind w:firstLine="602" w:firstLineChars="200"/>
        <w:rPr>
          <w:rFonts w:ascii="仿宋_GB2312" w:eastAsia="仿宋_GB2312"/>
          <w:b/>
          <w:sz w:val="30"/>
          <w:szCs w:val="30"/>
        </w:rPr>
      </w:pPr>
      <w:bookmarkStart w:id="3407" w:name="_Toc56166320"/>
      <w:bookmarkStart w:id="3408" w:name="_Toc56166131"/>
      <w:bookmarkStart w:id="3409" w:name="_Toc59034623"/>
      <w:r>
        <w:rPr>
          <w:rFonts w:hint="eastAsia" w:ascii="仿宋_GB2312" w:eastAsia="仿宋_GB2312"/>
          <w:b/>
          <w:sz w:val="30"/>
          <w:szCs w:val="30"/>
        </w:rPr>
        <w:t>（2）争议解决</w:t>
      </w:r>
      <w:bookmarkEnd w:id="3407"/>
      <w:bookmarkEnd w:id="3408"/>
      <w:bookmarkEnd w:id="3409"/>
    </w:p>
    <w:p w14:paraId="691B7BDA">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债券交易出现争议的，相关各方可以自行协商解决。无法通过协商解决的，可以按照相关法律法规规定或者约定提请调解、仲裁或者诉讼。</w:t>
      </w:r>
    </w:p>
    <w:p w14:paraId="5E1DEAF4">
      <w:pPr>
        <w:numPr>
          <w:ilvl w:val="0"/>
          <w:numId w:val="4"/>
        </w:numPr>
        <w:outlineLvl w:val="0"/>
        <w:rPr>
          <w:b/>
          <w:sz w:val="36"/>
        </w:rPr>
      </w:pPr>
      <w:bookmarkStart w:id="3410" w:name="_Toc56166321"/>
      <w:bookmarkStart w:id="3411" w:name="_Toc24460025"/>
      <w:bookmarkStart w:id="3412" w:name="_Toc56166132"/>
      <w:bookmarkStart w:id="3413" w:name="_Toc34763172"/>
      <w:r>
        <w:rPr>
          <w:b/>
          <w:sz w:val="36"/>
        </w:rPr>
        <w:br w:type="page"/>
      </w:r>
      <w:bookmarkStart w:id="3414" w:name="_Toc151137074"/>
      <w:r>
        <w:rPr>
          <w:rFonts w:hint="eastAsia" w:ascii="黑体" w:hAnsi="黑体" w:eastAsia="黑体" w:cs="黑体"/>
          <w:b/>
          <w:sz w:val="36"/>
        </w:rPr>
        <w:t>应急交易及交易异常情况处理</w:t>
      </w:r>
      <w:bookmarkEnd w:id="3410"/>
      <w:bookmarkEnd w:id="3411"/>
      <w:bookmarkEnd w:id="3412"/>
      <w:bookmarkEnd w:id="3413"/>
      <w:bookmarkEnd w:id="3414"/>
    </w:p>
    <w:p w14:paraId="756A1B24">
      <w:pPr>
        <w:numPr>
          <w:ilvl w:val="1"/>
          <w:numId w:val="4"/>
        </w:numPr>
        <w:spacing w:line="600" w:lineRule="exact"/>
        <w:ind w:left="0" w:firstLine="0"/>
        <w:outlineLvl w:val="1"/>
        <w:rPr>
          <w:rFonts w:ascii="仿宋_GB2312" w:eastAsia="仿宋_GB2312"/>
          <w:b/>
          <w:sz w:val="30"/>
          <w:szCs w:val="30"/>
        </w:rPr>
      </w:pPr>
      <w:bookmarkStart w:id="3415" w:name="_Toc151137075"/>
      <w:bookmarkStart w:id="3416" w:name="_Toc56166133"/>
      <w:bookmarkStart w:id="3417" w:name="_Toc56166322"/>
      <w:r>
        <w:rPr>
          <w:rFonts w:hint="eastAsia" w:ascii="仿宋_GB2312" w:eastAsia="仿宋_GB2312"/>
          <w:b/>
          <w:sz w:val="30"/>
          <w:szCs w:val="30"/>
        </w:rPr>
        <w:t>债券交易停复牌管理</w:t>
      </w:r>
      <w:bookmarkEnd w:id="3415"/>
    </w:p>
    <w:p w14:paraId="4227656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停复牌</w:t>
      </w:r>
    </w:p>
    <w:p w14:paraId="163F99ED">
      <w:pPr>
        <w:spacing w:line="600" w:lineRule="exact"/>
        <w:ind w:firstLine="600" w:firstLineChars="200"/>
        <w:rPr>
          <w:rFonts w:ascii="仿宋_GB2312" w:eastAsia="仿宋_GB2312"/>
          <w:sz w:val="30"/>
          <w:szCs w:val="30"/>
        </w:rPr>
      </w:pPr>
      <w:r>
        <w:rPr>
          <w:rFonts w:hint="eastAsia" w:ascii="仿宋_GB2312" w:eastAsia="仿宋_GB2312"/>
          <w:sz w:val="30"/>
          <w:szCs w:val="30"/>
        </w:rPr>
        <w:t>为保证信息披露的及时与公平，本所可以根据中国证监会的要求、债券上市及挂牌转让规则以及本所其他规定、发行人的申请或者实际情况，决定债券停牌与复牌事项。</w:t>
      </w:r>
    </w:p>
    <w:p w14:paraId="3700B00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债券交易中出现债券交易价格异常大幅波动，对相关债券合理定价产生重大不利影响，以及其他严重影响本所债券交易秩序情形的，本所可以视情况对相关债券实施停牌。</w:t>
      </w:r>
    </w:p>
    <w:p w14:paraId="4F2F1D3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相关情形消除后，本所根据相关规则对债券予以复牌。</w:t>
      </w:r>
    </w:p>
    <w:p w14:paraId="6E9EDFF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停牌相关申报安排</w:t>
      </w:r>
    </w:p>
    <w:p w14:paraId="5B105C6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债券在交易时间内停牌后复牌的，停牌前的未成交申报可以继续参加当日该债券复牌后的交易。</w:t>
      </w:r>
    </w:p>
    <w:p w14:paraId="69E660B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债券停牌期间，债券的匹配成交、点击成交、询价成交、协商成交等方式不接受交易申报。投资者可以在停牌期间撤销当日已申报未成交的申报。</w:t>
      </w:r>
    </w:p>
    <w:p w14:paraId="11BC325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停牌行情展示</w:t>
      </w:r>
    </w:p>
    <w:p w14:paraId="20C049B4">
      <w:pPr>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债券停牌期间，本所发布的行情中包括该债券的信息。</w:t>
      </w:r>
    </w:p>
    <w:p w14:paraId="7F6F63E9">
      <w:pPr>
        <w:numPr>
          <w:ilvl w:val="1"/>
          <w:numId w:val="4"/>
        </w:numPr>
        <w:spacing w:line="600" w:lineRule="exact"/>
        <w:ind w:left="0" w:firstLine="0"/>
        <w:outlineLvl w:val="1"/>
        <w:rPr>
          <w:rFonts w:ascii="仿宋_GB2312" w:eastAsia="仿宋_GB2312"/>
          <w:b/>
          <w:sz w:val="30"/>
          <w:szCs w:val="30"/>
        </w:rPr>
      </w:pPr>
      <w:bookmarkStart w:id="3418" w:name="_Toc151137076"/>
      <w:r>
        <w:rPr>
          <w:rFonts w:hint="eastAsia" w:ascii="仿宋_GB2312" w:eastAsia="仿宋_GB2312"/>
          <w:b/>
          <w:sz w:val="30"/>
          <w:szCs w:val="30"/>
        </w:rPr>
        <w:t>债券交易突发性事件</w:t>
      </w:r>
      <w:bookmarkEnd w:id="3416"/>
      <w:bookmarkEnd w:id="3417"/>
      <w:bookmarkEnd w:id="3418"/>
    </w:p>
    <w:p w14:paraId="7D8F697E">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本所债券市场发生突发性事件的具体认定标准、处置程序等，按照《上海证券交易所交易异常情况处理实施细则（试行）》执行。</w:t>
      </w:r>
    </w:p>
    <w:p w14:paraId="66C2D071">
      <w:pPr>
        <w:numPr>
          <w:ilvl w:val="2"/>
          <w:numId w:val="4"/>
        </w:numPr>
        <w:spacing w:line="600" w:lineRule="exact"/>
        <w:ind w:left="0" w:firstLine="0"/>
        <w:outlineLvl w:val="2"/>
        <w:rPr>
          <w:rFonts w:ascii="仿宋_GB2312" w:eastAsia="仿宋_GB2312"/>
          <w:b/>
          <w:color w:val="000000"/>
          <w:sz w:val="30"/>
          <w:szCs w:val="30"/>
        </w:rPr>
      </w:pPr>
      <w:r>
        <w:rPr>
          <w:rFonts w:hint="eastAsia" w:ascii="仿宋_GB2312" w:eastAsia="仿宋_GB2312"/>
          <w:b/>
          <w:color w:val="000000"/>
          <w:sz w:val="30"/>
          <w:szCs w:val="30"/>
        </w:rPr>
        <w:t>突发事件类型及措施</w:t>
      </w:r>
    </w:p>
    <w:p w14:paraId="1CED8A9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因不可抗力、意外事件、技术故障、重大人为差错等突发性事件，影响本所债券交易正常进行或者导致债券交易结果出现重大异常的，本所为维护债券交易正常秩序和市场公平，可以采取下列处置措施：</w:t>
      </w:r>
    </w:p>
    <w:p w14:paraId="35B5708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（1）对部分债券交易品种采取技术性停牌措施；</w:t>
      </w:r>
    </w:p>
    <w:p w14:paraId="140EC65F">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）采取临时停市措施；</w:t>
      </w:r>
    </w:p>
    <w:p w14:paraId="719CD30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）上述突发性事件导致债券交易结果出现重大异常，按交易结果进行交收将对债券交易正常秩序和市场公平造成重大影响的，可以采取取消交易、通知登记结算机构暂缓交收等措施；</w:t>
      </w:r>
    </w:p>
    <w:p w14:paraId="1B69398E">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（4）本所为处置突发性事件、维护债券交易正常秩序和市场公平采取的其他必要措施。</w:t>
      </w:r>
    </w:p>
    <w:p w14:paraId="23210C7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突发性事件的具体认定标准、处置程序等，由本所另行规定。</w:t>
      </w:r>
    </w:p>
    <w:p w14:paraId="685A14D7">
      <w:pPr>
        <w:numPr>
          <w:ilvl w:val="2"/>
          <w:numId w:val="4"/>
        </w:numPr>
        <w:spacing w:line="600" w:lineRule="exact"/>
        <w:ind w:left="0" w:firstLine="0"/>
        <w:outlineLvl w:val="2"/>
        <w:rPr>
          <w:rFonts w:ascii="仿宋_GB2312" w:eastAsia="仿宋_GB2312" w:cs="宋体"/>
          <w:b/>
          <w:color w:val="000000"/>
          <w:kern w:val="0"/>
          <w:sz w:val="30"/>
          <w:szCs w:val="30"/>
        </w:rPr>
      </w:pPr>
      <w:r>
        <w:rPr>
          <w:rFonts w:hint="eastAsia" w:ascii="仿宋_GB2312" w:eastAsia="仿宋_GB2312"/>
          <w:b/>
          <w:sz w:val="30"/>
          <w:szCs w:val="30"/>
        </w:rPr>
        <w:t>不可抗力</w:t>
      </w:r>
    </w:p>
    <w:p w14:paraId="6E07D1B5">
      <w:pPr>
        <w:spacing w:line="60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不可抗力是指本所市场所在地或全国其他</w:t>
      </w:r>
      <w:r>
        <w:rPr>
          <w:rFonts w:hint="eastAsia" w:ascii="仿宋_GB2312" w:hAnsi="Calibri" w:eastAsia="仿宋_GB2312"/>
          <w:sz w:val="30"/>
          <w:szCs w:val="30"/>
        </w:rPr>
        <w:t>部分区域出现或据灾情预警可能出现严重自然灾害、出现重大公</w:t>
      </w:r>
      <w:r>
        <w:rPr>
          <w:rFonts w:hint="eastAsia" w:ascii="仿宋_GB2312" w:eastAsia="仿宋_GB2312" w:cs="宋体"/>
          <w:color w:val="000000"/>
          <w:kern w:val="0"/>
          <w:sz w:val="30"/>
          <w:szCs w:val="30"/>
        </w:rPr>
        <w:t>共卫生事件或社会安全事件等情形。</w:t>
      </w:r>
    </w:p>
    <w:p w14:paraId="0278CEC9">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b/>
          <w:sz w:val="30"/>
          <w:szCs w:val="30"/>
        </w:rPr>
        <w:t>意外事件</w:t>
      </w:r>
    </w:p>
    <w:p w14:paraId="3BC120D3">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意外事件是指本所市场所在地发生火灾或电力供应出现故障等情形。</w:t>
      </w:r>
    </w:p>
    <w:p w14:paraId="5C369019">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技术</w:t>
      </w:r>
      <w:r>
        <w:rPr>
          <w:rFonts w:hint="eastAsia" w:ascii="仿宋_GB2312" w:eastAsia="仿宋_GB2312" w:cs="宋体"/>
          <w:b/>
          <w:bCs/>
          <w:color w:val="000000"/>
          <w:kern w:val="0"/>
          <w:sz w:val="30"/>
          <w:szCs w:val="30"/>
        </w:rPr>
        <w:t>故障</w:t>
      </w:r>
    </w:p>
    <w:p w14:paraId="7A63AEF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技术故障是指：</w:t>
      </w:r>
    </w:p>
    <w:p w14:paraId="2981843B">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（1）本所交易、通信系统中的网络、硬件设备、应用软件等无法正常运行；</w:t>
      </w:r>
    </w:p>
    <w:p w14:paraId="129AD0F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（2）本所交易、通信系统在运行、主备系统切换、软硬件系统及相关程序升级、上线时出现意外；</w:t>
      </w:r>
    </w:p>
    <w:p w14:paraId="367147A8">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（3）本所交易、通信系统被非法侵入或遭受其他人为破坏等情形。</w:t>
      </w:r>
    </w:p>
    <w:p w14:paraId="49965E90">
      <w:pPr>
        <w:numPr>
          <w:ilvl w:val="1"/>
          <w:numId w:val="4"/>
        </w:numPr>
        <w:spacing w:line="600" w:lineRule="exact"/>
        <w:ind w:left="0" w:firstLine="0"/>
        <w:outlineLvl w:val="1"/>
        <w:rPr>
          <w:rFonts w:ascii="仿宋_GB2312" w:eastAsia="仿宋_GB2312"/>
          <w:b/>
          <w:sz w:val="30"/>
          <w:szCs w:val="30"/>
        </w:rPr>
      </w:pPr>
      <w:bookmarkStart w:id="3419" w:name="_Toc151137077"/>
      <w:bookmarkStart w:id="3420" w:name="_Toc56166134"/>
      <w:bookmarkStart w:id="3421" w:name="_Toc56166323"/>
      <w:r>
        <w:rPr>
          <w:rFonts w:hint="eastAsia" w:ascii="仿宋_GB2312" w:eastAsia="仿宋_GB2312"/>
          <w:b/>
          <w:sz w:val="30"/>
          <w:szCs w:val="30"/>
        </w:rPr>
        <w:t>债券交易重大异常波动</w:t>
      </w:r>
      <w:bookmarkEnd w:id="3419"/>
      <w:bookmarkEnd w:id="3420"/>
      <w:bookmarkEnd w:id="3421"/>
    </w:p>
    <w:p w14:paraId="42423E19">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本所加强对债券交易的风险监测，债券交易出现重大异常波动的，本所可以视情况采取下列处置措施：</w:t>
      </w:r>
    </w:p>
    <w:p w14:paraId="48DBC6C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1</w:t>
      </w:r>
      <w:r>
        <w:rPr>
          <w:rFonts w:hint="eastAsia" w:ascii="仿宋_GB2312" w:eastAsia="仿宋_GB2312"/>
          <w:color w:val="000000"/>
          <w:sz w:val="30"/>
          <w:szCs w:val="30"/>
        </w:rPr>
        <w:t>）限制部分债券投资者的交易；</w:t>
      </w:r>
    </w:p>
    <w:p w14:paraId="0E5A9A9F">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2</w:t>
      </w:r>
      <w:r>
        <w:rPr>
          <w:rFonts w:hint="eastAsia" w:ascii="仿宋_GB2312" w:eastAsia="仿宋_GB2312"/>
          <w:color w:val="000000"/>
          <w:sz w:val="30"/>
          <w:szCs w:val="30"/>
        </w:rPr>
        <w:t>）对部分债券交易品种采取强制停牌措施；</w:t>
      </w:r>
    </w:p>
    <w:p w14:paraId="0C357248">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3</w:t>
      </w:r>
      <w:r>
        <w:rPr>
          <w:rFonts w:hint="eastAsia" w:ascii="仿宋_GB2312" w:eastAsia="仿宋_GB2312"/>
          <w:color w:val="000000"/>
          <w:sz w:val="30"/>
          <w:szCs w:val="30"/>
        </w:rPr>
        <w:t>）出现严重影响市场稳定情形的，采取临时停市措施；</w:t>
      </w:r>
    </w:p>
    <w:p w14:paraId="6759A805">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w:t>
      </w:r>
      <w:r>
        <w:rPr>
          <w:rFonts w:ascii="仿宋_GB2312" w:eastAsia="仿宋_GB2312"/>
          <w:color w:val="000000"/>
          <w:sz w:val="30"/>
          <w:szCs w:val="30"/>
        </w:rPr>
        <w:t>4</w:t>
      </w:r>
      <w:r>
        <w:rPr>
          <w:rFonts w:hint="eastAsia" w:ascii="仿宋_GB2312" w:eastAsia="仿宋_GB2312"/>
          <w:color w:val="000000"/>
          <w:sz w:val="30"/>
          <w:szCs w:val="30"/>
        </w:rPr>
        <w:t>）本所为处置重大异常波动、维护债券市场稳定采取的</w:t>
      </w:r>
      <w:r>
        <w:rPr>
          <w:rFonts w:hint="eastAsia" w:ascii="仿宋_GB2312" w:hAnsi="Calibri" w:eastAsia="仿宋_GB2312"/>
          <w:sz w:val="30"/>
          <w:szCs w:val="30"/>
        </w:rPr>
        <w:t>其他必要</w:t>
      </w:r>
      <w:r>
        <w:rPr>
          <w:rFonts w:hint="eastAsia" w:ascii="仿宋_GB2312" w:eastAsia="仿宋_GB2312" w:cs="宋体"/>
          <w:color w:val="000000"/>
          <w:kern w:val="0"/>
          <w:sz w:val="30"/>
          <w:szCs w:val="30"/>
        </w:rPr>
        <w:t>措施。</w:t>
      </w:r>
    </w:p>
    <w:p w14:paraId="3A7F0832">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重大异常波动的具体认定标准、处置程序等，由本所另行规定。</w:t>
      </w:r>
    </w:p>
    <w:p w14:paraId="5BA7D6C3">
      <w:pPr>
        <w:numPr>
          <w:ilvl w:val="1"/>
          <w:numId w:val="4"/>
        </w:numPr>
        <w:spacing w:line="600" w:lineRule="exact"/>
        <w:ind w:left="0" w:firstLine="0"/>
        <w:outlineLvl w:val="1"/>
        <w:rPr>
          <w:rFonts w:ascii="仿宋_GB2312" w:eastAsia="仿宋_GB2312"/>
          <w:b/>
          <w:sz w:val="30"/>
          <w:szCs w:val="30"/>
        </w:rPr>
      </w:pPr>
      <w:bookmarkStart w:id="3422" w:name="_Toc60331925"/>
      <w:bookmarkEnd w:id="3422"/>
      <w:bookmarkStart w:id="3423" w:name="_Toc60327170"/>
      <w:bookmarkEnd w:id="3423"/>
      <w:bookmarkStart w:id="3424" w:name="_Toc60327168"/>
      <w:bookmarkEnd w:id="3424"/>
      <w:bookmarkStart w:id="3425" w:name="_Toc60331923"/>
      <w:bookmarkEnd w:id="3425"/>
      <w:bookmarkStart w:id="3426" w:name="_Toc60331924"/>
      <w:bookmarkEnd w:id="3426"/>
      <w:bookmarkStart w:id="3427" w:name="_Toc60327172"/>
      <w:bookmarkEnd w:id="3427"/>
      <w:bookmarkStart w:id="3428" w:name="_Toc60327165"/>
      <w:bookmarkEnd w:id="3428"/>
      <w:bookmarkStart w:id="3429" w:name="_Toc60331927"/>
      <w:bookmarkEnd w:id="3429"/>
      <w:bookmarkStart w:id="3430" w:name="_Toc60331926"/>
      <w:bookmarkEnd w:id="3430"/>
      <w:bookmarkStart w:id="3431" w:name="_Toc60331929"/>
      <w:bookmarkEnd w:id="3431"/>
      <w:bookmarkStart w:id="3432" w:name="_Toc60327166"/>
      <w:bookmarkEnd w:id="3432"/>
      <w:bookmarkStart w:id="3433" w:name="_Toc60331928"/>
      <w:bookmarkEnd w:id="3433"/>
      <w:bookmarkStart w:id="3434" w:name="_Toc60327167"/>
      <w:bookmarkEnd w:id="3434"/>
      <w:bookmarkStart w:id="3435" w:name="_Toc60327171"/>
      <w:bookmarkEnd w:id="3435"/>
      <w:bookmarkStart w:id="3436" w:name="_Toc60327169"/>
      <w:bookmarkEnd w:id="3436"/>
      <w:bookmarkStart w:id="3437" w:name="_Toc60331922"/>
      <w:bookmarkEnd w:id="3437"/>
      <w:bookmarkStart w:id="3438" w:name="_Toc151137078"/>
      <w:bookmarkStart w:id="3439" w:name="_Toc56166324"/>
      <w:bookmarkStart w:id="3440" w:name="_Toc56166135"/>
      <w:r>
        <w:rPr>
          <w:rFonts w:hint="eastAsia" w:ascii="仿宋_GB2312" w:eastAsia="仿宋_GB2312"/>
          <w:b/>
          <w:sz w:val="30"/>
          <w:szCs w:val="30"/>
        </w:rPr>
        <w:t>交易异常处置措施</w:t>
      </w:r>
      <w:bookmarkEnd w:id="3438"/>
      <w:bookmarkEnd w:id="3439"/>
      <w:bookmarkEnd w:id="3440"/>
    </w:p>
    <w:p w14:paraId="09420E03">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向中国证监会报告</w:t>
      </w:r>
    </w:p>
    <w:p w14:paraId="7B813B8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债券交易发生突发性事件、重大异常波动，本所将及时向中国证监会报告事件发生情况、事件产生或者可能产生的影响、采取的处置措施及其效果等。</w:t>
      </w:r>
    </w:p>
    <w:p w14:paraId="6DFEBFF4">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本所处置突发性事件、重大异常波动所采取的措施将通过本所官网、上证债券信息网等渠道及时予以公告，但影响处置、市场秩序和市场稳定等的除外。</w:t>
      </w:r>
    </w:p>
    <w:p w14:paraId="3DAA159A">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cs="宋体"/>
          <w:b/>
          <w:bCs/>
          <w:color w:val="000000"/>
          <w:kern w:val="0"/>
          <w:sz w:val="30"/>
          <w:szCs w:val="30"/>
        </w:rPr>
        <w:t>恢复交易</w:t>
      </w:r>
    </w:p>
    <w:p w14:paraId="6F41E1DE">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停牌或者临时停市原因消除后，本所恢复债券交易。</w:t>
      </w:r>
    </w:p>
    <w:p w14:paraId="7328E8D0">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申报有效</w:t>
      </w:r>
    </w:p>
    <w:p w14:paraId="6191614C">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除</w:t>
      </w:r>
      <w:r>
        <w:rPr>
          <w:rFonts w:hint="eastAsia" w:ascii="仿宋_GB2312" w:hAnsi="Calibri" w:eastAsia="仿宋_GB2312"/>
          <w:sz w:val="30"/>
          <w:szCs w:val="30"/>
        </w:rPr>
        <w:t>本所认定的特殊情况外，停牌或者临时停市后当日恢复债券交易的，停牌或者临时停市前交易系统已经接受的申报有效。</w:t>
      </w:r>
    </w:p>
    <w:p w14:paraId="7B64EBC9">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责任</w:t>
      </w:r>
      <w:r>
        <w:rPr>
          <w:rFonts w:hint="eastAsia" w:ascii="仿宋_GB2312" w:eastAsia="仿宋_GB2312"/>
          <w:b/>
          <w:sz w:val="30"/>
          <w:szCs w:val="30"/>
        </w:rPr>
        <w:t>免除</w:t>
      </w:r>
    </w:p>
    <w:p w14:paraId="508139C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本所处置突发性事件、重大异常波动采取措施造成的损失，本所不承担民事赔偿责任，但本所存在重大过错的情形除外。</w:t>
      </w:r>
    </w:p>
    <w:p w14:paraId="2AE5FC40">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债券交易参与人异常情况</w:t>
      </w:r>
      <w:r>
        <w:rPr>
          <w:rFonts w:ascii="仿宋_GB2312" w:hAnsi="Calibri" w:eastAsia="仿宋_GB2312"/>
          <w:b/>
          <w:sz w:val="30"/>
          <w:szCs w:val="30"/>
        </w:rPr>
        <w:t>报告义务</w:t>
      </w:r>
    </w:p>
    <w:p w14:paraId="0831D929">
      <w:pPr>
        <w:spacing w:line="600" w:lineRule="exact"/>
        <w:ind w:firstLine="600" w:firstLineChars="200"/>
        <w:rPr>
          <w:rFonts w:ascii="仿宋_GB2312" w:hAnsi="Calibri" w:eastAsia="仿宋_GB2312"/>
          <w:sz w:val="30"/>
          <w:szCs w:val="30"/>
        </w:rPr>
      </w:pPr>
      <w:r>
        <w:rPr>
          <w:rFonts w:hint="eastAsia" w:ascii="仿宋_GB2312" w:eastAsia="仿宋_GB2312"/>
          <w:color w:val="000000"/>
          <w:sz w:val="30"/>
          <w:szCs w:val="30"/>
        </w:rPr>
        <w:t>债券交易参与人债券交易、技术系统运行出现异常情况的，应当</w:t>
      </w:r>
      <w:r>
        <w:rPr>
          <w:rFonts w:hint="eastAsia" w:ascii="仿宋_GB2312" w:hAnsi="Cambria" w:eastAsia="仿宋_GB2312"/>
          <w:bCs/>
          <w:sz w:val="30"/>
          <w:szCs w:val="30"/>
        </w:rPr>
        <w:t>于异常情况发生之日起</w:t>
      </w:r>
      <w:r>
        <w:rPr>
          <w:rFonts w:ascii="仿宋_GB2312" w:hAnsi="Cambria" w:eastAsia="仿宋_GB2312"/>
          <w:bCs/>
          <w:sz w:val="30"/>
          <w:szCs w:val="30"/>
        </w:rPr>
        <w:t>1</w:t>
      </w:r>
      <w:r>
        <w:rPr>
          <w:rFonts w:hint="eastAsia" w:ascii="仿宋_GB2312" w:hAnsi="Cambria" w:eastAsia="仿宋_GB2312"/>
          <w:bCs/>
          <w:sz w:val="30"/>
          <w:szCs w:val="30"/>
        </w:rPr>
        <w:t>个交易日内通过邮件</w:t>
      </w:r>
      <w:r>
        <w:rPr>
          <w:rFonts w:ascii="仿宋_GB2312" w:hAnsi="Cambria" w:eastAsia="仿宋_GB2312"/>
          <w:bCs/>
          <w:sz w:val="30"/>
          <w:szCs w:val="30"/>
        </w:rPr>
        <w:t>bondtrading@sse.com.cn</w:t>
      </w:r>
      <w:r>
        <w:rPr>
          <w:rFonts w:hint="eastAsia" w:ascii="仿宋_GB2312" w:hAnsi="Cambria" w:eastAsia="仿宋_GB2312"/>
          <w:bCs/>
          <w:sz w:val="30"/>
          <w:szCs w:val="30"/>
        </w:rPr>
        <w:t>及时向本所报告。</w:t>
      </w:r>
    </w:p>
    <w:p w14:paraId="3C3FD74F">
      <w:pPr>
        <w:numPr>
          <w:ilvl w:val="1"/>
          <w:numId w:val="4"/>
        </w:numPr>
        <w:spacing w:line="600" w:lineRule="exact"/>
        <w:ind w:left="0" w:firstLine="0"/>
        <w:outlineLvl w:val="1"/>
        <w:rPr>
          <w:rFonts w:ascii="仿宋_GB2312" w:eastAsia="仿宋_GB2312"/>
          <w:b/>
          <w:sz w:val="30"/>
          <w:szCs w:val="30"/>
        </w:rPr>
      </w:pPr>
      <w:bookmarkStart w:id="3441" w:name="_Toc56166325"/>
      <w:bookmarkStart w:id="3442" w:name="_Toc151137079"/>
      <w:bookmarkStart w:id="3443" w:name="_Toc56166136"/>
      <w:r>
        <w:rPr>
          <w:rFonts w:hint="eastAsia" w:ascii="仿宋_GB2312" w:eastAsia="仿宋_GB2312"/>
          <w:b/>
          <w:sz w:val="30"/>
          <w:szCs w:val="30"/>
        </w:rPr>
        <w:t>应急申报与成交</w:t>
      </w:r>
      <w:bookmarkEnd w:id="3441"/>
      <w:bookmarkEnd w:id="3442"/>
      <w:bookmarkEnd w:id="3443"/>
    </w:p>
    <w:p w14:paraId="5BB7ED12">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债券交易参与人因技术故障等原因无法使用固收平台进行交易申报的，经审慎评估确需当日进行交易的，可以通过本所认可的方式向本所提交加盖公章的应急成交相关</w:t>
      </w:r>
      <w:r>
        <w:rPr>
          <w:rFonts w:hint="eastAsia" w:ascii="仿宋_GB2312" w:hAnsi="Calibri" w:eastAsia="仿宋_GB2312"/>
          <w:sz w:val="30"/>
          <w:szCs w:val="30"/>
        </w:rPr>
        <w:t>申报申请。目前，应急成交仅支持采用协商成交交易方式的债券现券交易。</w:t>
      </w:r>
    </w:p>
    <w:p w14:paraId="1BD82FC6">
      <w:pPr>
        <w:spacing w:line="600" w:lineRule="exact"/>
        <w:ind w:firstLine="600" w:firstLineChars="200"/>
        <w:rPr>
          <w:rFonts w:ascii="仿宋_GB2312" w:hAnsi="Calibri"/>
          <w:sz w:val="30"/>
          <w:szCs w:val="30"/>
        </w:rPr>
      </w:pPr>
      <w:r>
        <w:rPr>
          <w:rFonts w:hint="eastAsia" w:ascii="仿宋_GB2312" w:hAnsi="Calibri" w:eastAsia="仿宋_GB2312"/>
          <w:sz w:val="30"/>
          <w:szCs w:val="30"/>
        </w:rPr>
        <w:t>本所根据债券交易参与人的应急成交申请进行相应操作，本所根据应急成交申请进行成交确认的，交易双方应当承认成交结果，履行清算交收义务。</w:t>
      </w:r>
    </w:p>
    <w:p w14:paraId="1FC4F2F6">
      <w:pPr>
        <w:numPr>
          <w:ilvl w:val="1"/>
          <w:numId w:val="4"/>
        </w:numPr>
        <w:spacing w:line="600" w:lineRule="exact"/>
        <w:ind w:left="0" w:firstLine="0"/>
        <w:outlineLvl w:val="1"/>
        <w:rPr>
          <w:rFonts w:ascii="仿宋_GB2312" w:eastAsia="仿宋_GB2312"/>
          <w:b/>
          <w:sz w:val="30"/>
          <w:szCs w:val="30"/>
        </w:rPr>
      </w:pPr>
      <w:bookmarkStart w:id="3444" w:name="_Toc56166326"/>
      <w:bookmarkStart w:id="3445" w:name="_Toc56166137"/>
      <w:bookmarkStart w:id="3446" w:name="_Toc151137080"/>
      <w:r>
        <w:rPr>
          <w:rFonts w:hint="eastAsia" w:ascii="仿宋_GB2312" w:eastAsia="仿宋_GB2312"/>
          <w:b/>
          <w:sz w:val="30"/>
          <w:szCs w:val="30"/>
        </w:rPr>
        <w:t>交易解除</w:t>
      </w:r>
      <w:bookmarkEnd w:id="3444"/>
      <w:bookmarkEnd w:id="3445"/>
      <w:bookmarkEnd w:id="3446"/>
    </w:p>
    <w:p w14:paraId="2113EC7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债券交易采用竞买成交方式，或者采用其他交易方式并以多边净额结算方式结算的，经交易系统确认成交后不得解除交易或者改变交易结果，但《债券交易规则》第一百三十条规定的情形除外。</w:t>
      </w:r>
    </w:p>
    <w:p w14:paraId="2EEA32AB">
      <w:pPr>
        <w:spacing w:line="600" w:lineRule="exact"/>
        <w:ind w:firstLine="600" w:firstLineChars="200"/>
        <w:rPr>
          <w:rFonts w:ascii="仿宋_GB2312" w:hAnsi="Calibri" w:eastAsia="仿宋_GB2312"/>
          <w:b/>
          <w:bCs/>
          <w:sz w:val="28"/>
          <w:szCs w:val="22"/>
        </w:rPr>
      </w:pPr>
      <w:r>
        <w:rPr>
          <w:rFonts w:hint="eastAsia" w:ascii="仿宋_GB2312" w:eastAsia="仿宋_GB2312"/>
          <w:color w:val="000000"/>
          <w:sz w:val="30"/>
          <w:szCs w:val="30"/>
        </w:rPr>
        <w:t>采用点击成交、</w:t>
      </w:r>
      <w:r>
        <w:rPr>
          <w:rFonts w:hint="eastAsia" w:ascii="仿宋_GB2312" w:hAnsi="Calibri" w:eastAsia="仿宋_GB2312"/>
          <w:sz w:val="30"/>
          <w:szCs w:val="30"/>
        </w:rPr>
        <w:t>询价成交、协商成交交易方式达成交易，且采用逐笔全额结算方式结算的债券交易，出现因不可抗力、预期违约、延迟履行等情形导致交易目的无法实现或者交易不能继续履行的，在交收开始前，交易双方协商一致并经本所认可后，可以解除相关交易。</w:t>
      </w:r>
      <w:bookmarkEnd w:id="3390"/>
      <w:bookmarkEnd w:id="3391"/>
    </w:p>
    <w:p w14:paraId="7909B8F7">
      <w:pPr>
        <w:widowControl/>
        <w:jc w:val="left"/>
        <w:rPr>
          <w:rFonts w:ascii="仿宋_GB2312" w:hAnsi="黑体" w:eastAsia="仿宋_GB2312"/>
          <w:b/>
          <w:sz w:val="30"/>
          <w:szCs w:val="30"/>
        </w:rPr>
      </w:pPr>
      <w:r>
        <w:rPr>
          <w:rFonts w:ascii="仿宋_GB2312" w:hAnsi="黑体" w:eastAsia="仿宋_GB2312"/>
          <w:b/>
          <w:sz w:val="30"/>
          <w:szCs w:val="30"/>
        </w:rPr>
        <w:br w:type="page"/>
      </w:r>
    </w:p>
    <w:p w14:paraId="3411892E">
      <w:pPr>
        <w:widowControl/>
        <w:jc w:val="left"/>
        <w:outlineLvl w:val="1"/>
        <w:rPr>
          <w:rFonts w:ascii="仿宋_GB2312" w:hAnsi="黑体" w:eastAsia="仿宋_GB2312"/>
          <w:b/>
          <w:sz w:val="30"/>
          <w:szCs w:val="30"/>
        </w:rPr>
      </w:pPr>
      <w:bookmarkStart w:id="3447" w:name="_Toc151137081"/>
      <w:r>
        <w:rPr>
          <w:rFonts w:hint="eastAsia" w:ascii="仿宋_GB2312" w:hAnsi="黑体" w:eastAsia="仿宋_GB2312"/>
          <w:b/>
          <w:sz w:val="30"/>
          <w:szCs w:val="30"/>
        </w:rPr>
        <w:t>附件</w:t>
      </w:r>
      <w:r>
        <w:rPr>
          <w:rFonts w:ascii="仿宋_GB2312" w:hAnsi="黑体" w:eastAsia="仿宋_GB2312"/>
          <w:b/>
          <w:sz w:val="30"/>
          <w:szCs w:val="30"/>
        </w:rPr>
        <w:t xml:space="preserve">1 </w:t>
      </w:r>
      <w:r>
        <w:rPr>
          <w:rFonts w:hint="eastAsia" w:ascii="仿宋_GB2312" w:hAnsi="黑体" w:eastAsia="仿宋_GB2312"/>
          <w:b/>
          <w:sz w:val="30"/>
          <w:szCs w:val="30"/>
        </w:rPr>
        <w:t>债券交易参与人申请表</w:t>
      </w:r>
      <w:bookmarkEnd w:id="3447"/>
    </w:p>
    <w:p w14:paraId="3FBB155D">
      <w:pPr>
        <w:spacing w:line="560" w:lineRule="exact"/>
        <w:ind w:firstLine="602"/>
        <w:rPr>
          <w:rFonts w:ascii="仿宋_GB2312" w:hAnsi="Calibri" w:eastAsia="仿宋_GB2312"/>
          <w:b/>
          <w:bCs/>
          <w:sz w:val="30"/>
          <w:szCs w:val="30"/>
        </w:rPr>
      </w:pPr>
    </w:p>
    <w:p w14:paraId="2AF6FE23">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债券交易参与人申请表</w:t>
      </w:r>
      <w:bookmarkEnd w:id="1820"/>
      <w:bookmarkEnd w:id="1821"/>
    </w:p>
    <w:p w14:paraId="242BDB29">
      <w:pPr>
        <w:spacing w:line="560" w:lineRule="exact"/>
        <w:rPr>
          <w:rFonts w:ascii="仿宋_GB2312" w:hAnsi="Calibri" w:eastAsia="仿宋_GB2312"/>
          <w:sz w:val="30"/>
          <w:szCs w:val="30"/>
        </w:rPr>
      </w:pPr>
      <w:r>
        <w:rPr>
          <w:rFonts w:hint="eastAsia" w:ascii="仿宋_GB2312" w:hAnsi="Calibri" w:eastAsia="仿宋_GB2312"/>
          <w:sz w:val="30"/>
          <w:szCs w:val="30"/>
        </w:rPr>
        <w:t>上海证券交易所：</w:t>
      </w:r>
    </w:p>
    <w:p w14:paraId="3FEF8B87">
      <w:pPr>
        <w:spacing w:line="560" w:lineRule="exact"/>
        <w:ind w:firstLine="600"/>
        <w:rPr>
          <w:rFonts w:ascii="仿宋_GB2312" w:hAnsi="Calibri" w:eastAsia="仿宋_GB2312"/>
          <w:kern w:val="28"/>
          <w:sz w:val="30"/>
          <w:szCs w:val="30"/>
        </w:rPr>
      </w:pPr>
      <w:r>
        <w:rPr>
          <w:rFonts w:hint="eastAsia" w:ascii="仿宋_GB2312" w:hAnsi="Calibri" w:eastAsia="仿宋_GB2312"/>
          <w:sz w:val="30"/>
          <w:szCs w:val="30"/>
        </w:rPr>
        <w:t>经我公司研究决定，特向上交所申请成为债券交易参与人，现将有关事项申请如下：</w:t>
      </w: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955"/>
        <w:gridCol w:w="746"/>
        <w:gridCol w:w="1277"/>
        <w:gridCol w:w="847"/>
        <w:gridCol w:w="1829"/>
        <w:gridCol w:w="1583"/>
      </w:tblGrid>
      <w:tr w14:paraId="5A24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000" w:type="pct"/>
            <w:gridSpan w:val="7"/>
            <w:vAlign w:val="center"/>
          </w:tcPr>
          <w:p w14:paraId="777E1F8D">
            <w:pPr>
              <w:rPr>
                <w:rFonts w:ascii="仿宋_GB2312" w:hAnsi="Calibri" w:eastAsia="仿宋_GB2312"/>
                <w:sz w:val="24"/>
                <w:szCs w:val="30"/>
              </w:rPr>
            </w:pPr>
            <w:r>
              <w:rPr>
                <w:rFonts w:hint="eastAsia" w:ascii="仿宋_GB2312" w:hAnsi="Calibri" w:eastAsia="仿宋_GB2312"/>
                <w:sz w:val="24"/>
                <w:szCs w:val="30"/>
              </w:rPr>
              <w:t>机构名称：</w:t>
            </w:r>
          </w:p>
        </w:tc>
      </w:tr>
      <w:tr w14:paraId="4979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978" w:type="pct"/>
            <w:gridSpan w:val="5"/>
            <w:vAlign w:val="center"/>
          </w:tcPr>
          <w:p w14:paraId="1B38450C">
            <w:pPr>
              <w:rPr>
                <w:rFonts w:ascii="仿宋_GB2312" w:hAnsi="Calibri" w:eastAsia="仿宋_GB2312"/>
                <w:sz w:val="24"/>
                <w:szCs w:val="30"/>
              </w:rPr>
            </w:pPr>
            <w:r>
              <w:rPr>
                <w:rFonts w:hint="eastAsia" w:ascii="仿宋_GB2312" w:hAnsi="Calibri" w:eastAsia="仿宋_GB2312"/>
                <w:sz w:val="24"/>
                <w:szCs w:val="30"/>
              </w:rPr>
              <w:t>邮政地址：</w:t>
            </w:r>
          </w:p>
        </w:tc>
        <w:tc>
          <w:tcPr>
            <w:tcW w:w="2022" w:type="pct"/>
            <w:gridSpan w:val="2"/>
            <w:vAlign w:val="center"/>
          </w:tcPr>
          <w:p w14:paraId="37F72E42">
            <w:pPr>
              <w:rPr>
                <w:rFonts w:ascii="仿宋_GB2312" w:hAnsi="Calibri" w:eastAsia="仿宋_GB2312"/>
                <w:sz w:val="24"/>
                <w:szCs w:val="30"/>
              </w:rPr>
            </w:pPr>
            <w:r>
              <w:rPr>
                <w:rFonts w:hint="eastAsia" w:ascii="仿宋_GB2312" w:hAnsi="Calibri" w:eastAsia="仿宋_GB2312"/>
                <w:sz w:val="24"/>
                <w:szCs w:val="30"/>
              </w:rPr>
              <w:t>邮政编码：</w:t>
            </w:r>
          </w:p>
        </w:tc>
      </w:tr>
      <w:tr w14:paraId="498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14:paraId="021FCE2D">
            <w:pPr>
              <w:rPr>
                <w:rFonts w:ascii="仿宋_GB2312" w:hAnsi="Calibri" w:eastAsia="仿宋_GB2312"/>
                <w:sz w:val="24"/>
                <w:szCs w:val="30"/>
              </w:rPr>
            </w:pPr>
            <w:r>
              <w:rPr>
                <w:rFonts w:hint="eastAsia" w:ascii="仿宋_GB2312" w:hAnsi="Calibri" w:eastAsia="仿宋_GB2312"/>
                <w:sz w:val="24"/>
                <w:szCs w:val="30"/>
              </w:rPr>
              <w:t>机构联系电话：</w:t>
            </w:r>
          </w:p>
        </w:tc>
        <w:tc>
          <w:tcPr>
            <w:tcW w:w="2022" w:type="pct"/>
            <w:gridSpan w:val="2"/>
            <w:vAlign w:val="center"/>
          </w:tcPr>
          <w:p w14:paraId="4F493DCD">
            <w:pPr>
              <w:rPr>
                <w:rFonts w:ascii="仿宋_GB2312" w:hAnsi="Calibri" w:eastAsia="仿宋_GB2312"/>
                <w:sz w:val="24"/>
                <w:szCs w:val="30"/>
              </w:rPr>
            </w:pPr>
            <w:r>
              <w:rPr>
                <w:rFonts w:hint="eastAsia" w:ascii="仿宋_GB2312" w:hAnsi="Calibri" w:eastAsia="仿宋_GB2312"/>
                <w:sz w:val="24"/>
                <w:szCs w:val="30"/>
              </w:rPr>
              <w:t>联系人：</w:t>
            </w:r>
          </w:p>
        </w:tc>
      </w:tr>
      <w:tr w14:paraId="673C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14:paraId="46AD5892">
            <w:pPr>
              <w:rPr>
                <w:rFonts w:ascii="仿宋_GB2312" w:hAnsi="Calibri" w:eastAsia="仿宋_GB2312"/>
                <w:sz w:val="24"/>
                <w:szCs w:val="30"/>
              </w:rPr>
            </w:pPr>
            <w:r>
              <w:rPr>
                <w:rFonts w:hint="eastAsia" w:ascii="仿宋_GB2312" w:hAnsi="Calibri" w:eastAsia="仿宋_GB2312"/>
                <w:sz w:val="24"/>
                <w:szCs w:val="30"/>
              </w:rPr>
              <w:t>法定代表人：</w:t>
            </w:r>
          </w:p>
        </w:tc>
        <w:tc>
          <w:tcPr>
            <w:tcW w:w="2022" w:type="pct"/>
            <w:gridSpan w:val="2"/>
            <w:vAlign w:val="center"/>
          </w:tcPr>
          <w:p w14:paraId="5E0E63AB">
            <w:pPr>
              <w:rPr>
                <w:rFonts w:ascii="仿宋_GB2312" w:hAnsi="Calibri" w:eastAsia="仿宋_GB2312"/>
                <w:sz w:val="24"/>
                <w:szCs w:val="30"/>
              </w:rPr>
            </w:pPr>
            <w:r>
              <w:rPr>
                <w:rFonts w:hint="eastAsia" w:ascii="仿宋_GB2312" w:hAnsi="Calibri" w:eastAsia="仿宋_GB2312"/>
                <w:sz w:val="24"/>
                <w:szCs w:val="30"/>
              </w:rPr>
              <w:t>联系人电子邮箱：</w:t>
            </w:r>
          </w:p>
        </w:tc>
      </w:tr>
      <w:tr w14:paraId="3DCD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677A1FA6">
            <w:pPr>
              <w:rPr>
                <w:rFonts w:ascii="仿宋_GB2312" w:hAnsi="Calibri" w:eastAsia="仿宋_GB2312"/>
                <w:sz w:val="24"/>
                <w:szCs w:val="30"/>
              </w:rPr>
            </w:pPr>
            <w:r>
              <w:rPr>
                <w:rFonts w:hint="eastAsia" w:ascii="仿宋_GB2312" w:hAnsi="Calibri" w:eastAsia="仿宋_GB2312"/>
                <w:sz w:val="24"/>
                <w:szCs w:val="30"/>
              </w:rPr>
              <w:t>注册地址：</w:t>
            </w:r>
          </w:p>
        </w:tc>
      </w:tr>
      <w:tr w14:paraId="1960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291901AC">
            <w:pPr>
              <w:rPr>
                <w:rFonts w:ascii="仿宋_GB2312" w:hAnsi="Calibri" w:eastAsia="仿宋_GB2312"/>
                <w:sz w:val="24"/>
                <w:szCs w:val="30"/>
              </w:rPr>
            </w:pPr>
            <w:r>
              <w:rPr>
                <w:rFonts w:hint="eastAsia" w:ascii="仿宋_GB2312" w:hAnsi="Calibri" w:eastAsia="仿宋_GB2312"/>
                <w:sz w:val="24"/>
                <w:szCs w:val="30"/>
              </w:rPr>
              <w:t>统一社会信用代码：</w:t>
            </w:r>
          </w:p>
        </w:tc>
      </w:tr>
      <w:tr w14:paraId="436C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76E6730C">
            <w:pPr>
              <w:rPr>
                <w:rFonts w:ascii="仿宋_GB2312" w:hAnsi="Calibri" w:eastAsia="仿宋_GB2312"/>
                <w:sz w:val="24"/>
                <w:szCs w:val="30"/>
              </w:rPr>
            </w:pPr>
            <w:r>
              <w:rPr>
                <w:rFonts w:hint="eastAsia" w:ascii="仿宋_GB2312" w:hAnsi="Calibri" w:eastAsia="仿宋_GB2312"/>
                <w:sz w:val="24"/>
                <w:szCs w:val="30"/>
              </w:rPr>
              <w:t>注册资本</w:t>
            </w:r>
          </w:p>
        </w:tc>
        <w:tc>
          <w:tcPr>
            <w:tcW w:w="3723" w:type="pct"/>
            <w:gridSpan w:val="5"/>
            <w:tcBorders>
              <w:bottom w:val="single" w:color="auto" w:sz="4" w:space="0"/>
            </w:tcBorders>
            <w:vAlign w:val="center"/>
          </w:tcPr>
          <w:p w14:paraId="57CBB370">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6E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1209FF96">
            <w:pPr>
              <w:rPr>
                <w:rFonts w:ascii="仿宋_GB2312" w:hAnsi="Calibri" w:eastAsia="仿宋_GB2312"/>
                <w:sz w:val="24"/>
                <w:szCs w:val="30"/>
              </w:rPr>
            </w:pPr>
            <w:r>
              <w:rPr>
                <w:rFonts w:hint="eastAsia" w:ascii="仿宋_GB2312" w:hAnsi="Calibri" w:eastAsia="仿宋_GB2312"/>
                <w:sz w:val="24"/>
                <w:szCs w:val="30"/>
              </w:rPr>
              <w:t>上一年度净资产规模</w:t>
            </w:r>
          </w:p>
        </w:tc>
        <w:tc>
          <w:tcPr>
            <w:tcW w:w="3723" w:type="pct"/>
            <w:gridSpan w:val="5"/>
            <w:tcBorders>
              <w:bottom w:val="single" w:color="auto" w:sz="4" w:space="0"/>
            </w:tcBorders>
            <w:vAlign w:val="center"/>
          </w:tcPr>
          <w:p w14:paraId="3BFF978F">
            <w:pPr>
              <w:rPr>
                <w:rFonts w:ascii="仿宋_GB2312" w:hAnsi="Calibri" w:eastAsia="仿宋_GB2312"/>
                <w:sz w:val="24"/>
                <w:szCs w:val="30"/>
              </w:rPr>
            </w:pPr>
            <w:r>
              <w:rPr>
                <w:rFonts w:ascii="仿宋_GB2312" w:hAnsi="Calibri" w:eastAsia="仿宋_GB2312"/>
                <w:sz w:val="24"/>
                <w:szCs w:val="30"/>
              </w:rPr>
              <w:t xml:space="preserve">                  </w:t>
            </w:r>
            <w:r>
              <w:rPr>
                <w:rFonts w:hint="eastAsia" w:ascii="仿宋_GB2312" w:hAnsi="Calibri" w:eastAsia="仿宋_GB2312"/>
                <w:sz w:val="24"/>
                <w:szCs w:val="30"/>
              </w:rPr>
              <w:t>亿元</w:t>
            </w:r>
          </w:p>
        </w:tc>
      </w:tr>
      <w:tr w14:paraId="71DD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1AD1265C">
            <w:pPr>
              <w:rPr>
                <w:rFonts w:ascii="仿宋_GB2312" w:hAnsi="Calibri" w:eastAsia="仿宋_GB2312"/>
                <w:sz w:val="24"/>
                <w:szCs w:val="30"/>
              </w:rPr>
            </w:pPr>
            <w:r>
              <w:rPr>
                <w:rFonts w:hint="eastAsia" w:ascii="仿宋_GB2312" w:hAnsi="Calibri" w:eastAsia="仿宋_GB2312"/>
                <w:sz w:val="24"/>
                <w:szCs w:val="30"/>
              </w:rPr>
              <w:t>上一年度资产管理规模</w:t>
            </w:r>
          </w:p>
        </w:tc>
        <w:tc>
          <w:tcPr>
            <w:tcW w:w="3723" w:type="pct"/>
            <w:gridSpan w:val="5"/>
            <w:tcBorders>
              <w:bottom w:val="single" w:color="auto" w:sz="4" w:space="0"/>
            </w:tcBorders>
            <w:vAlign w:val="center"/>
          </w:tcPr>
          <w:p w14:paraId="6E8B90F4">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99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2AE1F2CE">
            <w:pPr>
              <w:rPr>
                <w:rFonts w:ascii="仿宋_GB2312" w:hAnsi="Calibri" w:eastAsia="仿宋_GB2312"/>
                <w:sz w:val="24"/>
                <w:szCs w:val="30"/>
              </w:rPr>
            </w:pPr>
            <w:r>
              <w:rPr>
                <w:rFonts w:hint="eastAsia" w:ascii="仿宋_GB2312" w:hAnsi="Calibri" w:eastAsia="仿宋_GB2312"/>
                <w:sz w:val="24"/>
                <w:szCs w:val="30"/>
              </w:rPr>
              <w:t>上一年度债券交易规模</w:t>
            </w:r>
          </w:p>
        </w:tc>
        <w:tc>
          <w:tcPr>
            <w:tcW w:w="3723" w:type="pct"/>
            <w:gridSpan w:val="5"/>
            <w:tcBorders>
              <w:bottom w:val="single" w:color="auto" w:sz="4" w:space="0"/>
            </w:tcBorders>
            <w:vAlign w:val="center"/>
          </w:tcPr>
          <w:p w14:paraId="1BCF55F1">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295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restart"/>
            <w:vAlign w:val="center"/>
          </w:tcPr>
          <w:p w14:paraId="0BCEBAAA">
            <w:pPr>
              <w:rPr>
                <w:rFonts w:ascii="仿宋_GB2312" w:hAnsi="Calibri" w:eastAsia="仿宋_GB2312"/>
                <w:sz w:val="24"/>
                <w:szCs w:val="30"/>
              </w:rPr>
            </w:pPr>
            <w:r>
              <w:rPr>
                <w:rFonts w:hint="eastAsia" w:ascii="仿宋_GB2312" w:hAnsi="Calibri" w:eastAsia="仿宋_GB2312"/>
                <w:sz w:val="24"/>
                <w:szCs w:val="30"/>
              </w:rPr>
              <w:t>经办人</w:t>
            </w:r>
          </w:p>
        </w:tc>
        <w:tc>
          <w:tcPr>
            <w:tcW w:w="1008" w:type="pct"/>
            <w:gridSpan w:val="2"/>
            <w:vAlign w:val="center"/>
          </w:tcPr>
          <w:p w14:paraId="7F8135B1">
            <w:pPr>
              <w:rPr>
                <w:rFonts w:ascii="仿宋_GB2312" w:hAnsi="Calibri" w:eastAsia="仿宋_GB2312"/>
                <w:sz w:val="24"/>
                <w:szCs w:val="30"/>
              </w:rPr>
            </w:pPr>
            <w:r>
              <w:rPr>
                <w:rFonts w:hint="eastAsia" w:ascii="仿宋_GB2312" w:hAnsi="Calibri" w:eastAsia="仿宋_GB2312"/>
                <w:sz w:val="24"/>
                <w:szCs w:val="30"/>
              </w:rPr>
              <w:t>姓名</w:t>
            </w:r>
          </w:p>
        </w:tc>
        <w:tc>
          <w:tcPr>
            <w:tcW w:w="757" w:type="pct"/>
            <w:vAlign w:val="center"/>
          </w:tcPr>
          <w:p w14:paraId="2A8C6CB8">
            <w:pPr>
              <w:rPr>
                <w:rFonts w:ascii="仿宋_GB2312" w:hAnsi="Calibri" w:eastAsia="仿宋_GB2312"/>
                <w:sz w:val="24"/>
                <w:szCs w:val="30"/>
              </w:rPr>
            </w:pPr>
          </w:p>
        </w:tc>
        <w:tc>
          <w:tcPr>
            <w:tcW w:w="1586" w:type="pct"/>
            <w:gridSpan w:val="2"/>
            <w:vAlign w:val="center"/>
          </w:tcPr>
          <w:p w14:paraId="4B0F4C76">
            <w:pPr>
              <w:rPr>
                <w:rFonts w:ascii="仿宋_GB2312" w:hAnsi="Calibri" w:eastAsia="仿宋_GB2312"/>
                <w:sz w:val="24"/>
                <w:szCs w:val="30"/>
              </w:rPr>
            </w:pPr>
            <w:r>
              <w:rPr>
                <w:rFonts w:hint="eastAsia" w:ascii="仿宋_GB2312" w:hAnsi="Calibri" w:eastAsia="仿宋_GB2312"/>
                <w:sz w:val="24"/>
                <w:szCs w:val="30"/>
              </w:rPr>
              <w:t>身份证号</w:t>
            </w:r>
          </w:p>
        </w:tc>
        <w:tc>
          <w:tcPr>
            <w:tcW w:w="938" w:type="pct"/>
            <w:vAlign w:val="center"/>
          </w:tcPr>
          <w:p w14:paraId="3B083FE9">
            <w:pPr>
              <w:ind w:firstLine="480"/>
              <w:rPr>
                <w:rFonts w:ascii="仿宋_GB2312" w:hAnsi="Calibri" w:eastAsia="仿宋_GB2312"/>
                <w:sz w:val="24"/>
                <w:szCs w:val="30"/>
              </w:rPr>
            </w:pPr>
          </w:p>
        </w:tc>
      </w:tr>
      <w:tr w14:paraId="0271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Merge w:val="continue"/>
            <w:vAlign w:val="center"/>
          </w:tcPr>
          <w:p w14:paraId="3FD28C76">
            <w:pPr>
              <w:rPr>
                <w:rFonts w:ascii="仿宋_GB2312" w:hAnsi="Calibri" w:eastAsia="仿宋_GB2312"/>
                <w:sz w:val="24"/>
                <w:szCs w:val="30"/>
              </w:rPr>
            </w:pPr>
          </w:p>
        </w:tc>
        <w:tc>
          <w:tcPr>
            <w:tcW w:w="1008" w:type="pct"/>
            <w:gridSpan w:val="2"/>
            <w:vAlign w:val="center"/>
          </w:tcPr>
          <w:p w14:paraId="49B70A1F">
            <w:pPr>
              <w:rPr>
                <w:rFonts w:ascii="仿宋_GB2312" w:hAnsi="Calibri" w:eastAsia="仿宋_GB2312"/>
                <w:sz w:val="24"/>
                <w:szCs w:val="30"/>
              </w:rPr>
            </w:pPr>
            <w:r>
              <w:rPr>
                <w:rFonts w:hint="eastAsia" w:ascii="仿宋_GB2312" w:hAnsi="Calibri" w:eastAsia="仿宋_GB2312"/>
                <w:sz w:val="24"/>
                <w:szCs w:val="30"/>
              </w:rPr>
              <w:t>手机（重要）</w:t>
            </w:r>
          </w:p>
        </w:tc>
        <w:tc>
          <w:tcPr>
            <w:tcW w:w="757" w:type="pct"/>
            <w:vAlign w:val="center"/>
          </w:tcPr>
          <w:p w14:paraId="5611B6F0">
            <w:pPr>
              <w:rPr>
                <w:rFonts w:ascii="仿宋_GB2312" w:hAnsi="Calibri" w:eastAsia="仿宋_GB2312"/>
                <w:sz w:val="24"/>
                <w:szCs w:val="30"/>
              </w:rPr>
            </w:pPr>
          </w:p>
        </w:tc>
        <w:tc>
          <w:tcPr>
            <w:tcW w:w="1586" w:type="pct"/>
            <w:gridSpan w:val="2"/>
            <w:vAlign w:val="center"/>
          </w:tcPr>
          <w:p w14:paraId="6341C327">
            <w:pPr>
              <w:rPr>
                <w:rFonts w:ascii="仿宋_GB2312" w:hAnsi="Calibri" w:eastAsia="仿宋_GB2312"/>
                <w:sz w:val="24"/>
                <w:szCs w:val="30"/>
              </w:rPr>
            </w:pPr>
            <w:r>
              <w:rPr>
                <w:rFonts w:hint="eastAsia" w:ascii="仿宋_GB2312" w:hAnsi="Calibri" w:eastAsia="仿宋_GB2312"/>
                <w:sz w:val="24"/>
                <w:szCs w:val="30"/>
              </w:rPr>
              <w:t>固话（带区号）</w:t>
            </w:r>
          </w:p>
        </w:tc>
        <w:tc>
          <w:tcPr>
            <w:tcW w:w="938" w:type="pct"/>
            <w:vAlign w:val="center"/>
          </w:tcPr>
          <w:p w14:paraId="599ECC76">
            <w:pPr>
              <w:ind w:firstLine="480"/>
              <w:rPr>
                <w:rFonts w:ascii="仿宋_GB2312" w:hAnsi="Calibri" w:eastAsia="仿宋_GB2312"/>
                <w:sz w:val="24"/>
                <w:szCs w:val="30"/>
              </w:rPr>
            </w:pPr>
          </w:p>
        </w:tc>
      </w:tr>
      <w:tr w14:paraId="3A27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continue"/>
            <w:vAlign w:val="center"/>
          </w:tcPr>
          <w:p w14:paraId="33FC4D05">
            <w:pPr>
              <w:rPr>
                <w:rFonts w:ascii="仿宋_GB2312" w:hAnsi="Calibri" w:eastAsia="仿宋_GB2312"/>
                <w:sz w:val="24"/>
                <w:szCs w:val="30"/>
              </w:rPr>
            </w:pPr>
          </w:p>
        </w:tc>
        <w:tc>
          <w:tcPr>
            <w:tcW w:w="1008" w:type="pct"/>
            <w:gridSpan w:val="2"/>
            <w:vAlign w:val="center"/>
          </w:tcPr>
          <w:p w14:paraId="6B514779">
            <w:pPr>
              <w:rPr>
                <w:rFonts w:ascii="仿宋_GB2312" w:hAnsi="Calibri" w:eastAsia="仿宋_GB2312"/>
                <w:sz w:val="24"/>
                <w:szCs w:val="30"/>
              </w:rPr>
            </w:pPr>
            <w:r>
              <w:rPr>
                <w:rFonts w:hint="eastAsia" w:ascii="仿宋_GB2312" w:hAnsi="Calibri" w:eastAsia="仿宋_GB2312"/>
                <w:sz w:val="24"/>
                <w:szCs w:val="30"/>
              </w:rPr>
              <w:t>电子邮箱</w:t>
            </w:r>
          </w:p>
        </w:tc>
        <w:tc>
          <w:tcPr>
            <w:tcW w:w="757" w:type="pct"/>
            <w:vAlign w:val="center"/>
          </w:tcPr>
          <w:p w14:paraId="248889C7">
            <w:pPr>
              <w:rPr>
                <w:rFonts w:ascii="仿宋_GB2312" w:hAnsi="Calibri" w:eastAsia="仿宋_GB2312"/>
                <w:sz w:val="24"/>
                <w:szCs w:val="30"/>
              </w:rPr>
            </w:pPr>
          </w:p>
        </w:tc>
        <w:tc>
          <w:tcPr>
            <w:tcW w:w="1586" w:type="pct"/>
            <w:gridSpan w:val="2"/>
            <w:vAlign w:val="center"/>
          </w:tcPr>
          <w:p w14:paraId="2D7C5B1F">
            <w:pPr>
              <w:rPr>
                <w:rFonts w:ascii="仿宋_GB2312" w:hAnsi="Calibri" w:eastAsia="仿宋_GB2312"/>
                <w:sz w:val="24"/>
                <w:szCs w:val="30"/>
              </w:rPr>
            </w:pPr>
            <w:r>
              <w:rPr>
                <w:rFonts w:hint="eastAsia" w:ascii="仿宋_GB2312" w:hAnsi="Calibri" w:eastAsia="仿宋_GB2312"/>
                <w:sz w:val="24"/>
                <w:szCs w:val="30"/>
              </w:rPr>
              <w:t>传真</w:t>
            </w:r>
          </w:p>
        </w:tc>
        <w:tc>
          <w:tcPr>
            <w:tcW w:w="938" w:type="pct"/>
            <w:vAlign w:val="center"/>
          </w:tcPr>
          <w:p w14:paraId="56A4E3CD">
            <w:pPr>
              <w:ind w:firstLine="480"/>
              <w:rPr>
                <w:rFonts w:ascii="仿宋_GB2312" w:hAnsi="Calibri" w:eastAsia="仿宋_GB2312"/>
                <w:sz w:val="24"/>
                <w:szCs w:val="30"/>
              </w:rPr>
            </w:pPr>
          </w:p>
        </w:tc>
      </w:tr>
    </w:tbl>
    <w:p w14:paraId="0346CE3C">
      <w:pPr>
        <w:spacing w:line="560" w:lineRule="exact"/>
        <w:ind w:left="420" w:firstLine="600"/>
        <w:rPr>
          <w:rFonts w:ascii="仿宋_GB2312" w:hAnsi="Calibri" w:eastAsia="仿宋_GB2312"/>
          <w:kern w:val="28"/>
          <w:sz w:val="30"/>
          <w:szCs w:val="30"/>
        </w:rPr>
      </w:pPr>
    </w:p>
    <w:p w14:paraId="3BC6CFED">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66CEB2EC">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6A459BA2">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23CC28B9">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53C9FD48">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2A490F16">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4F236526">
      <w:pPr>
        <w:tabs>
          <w:tab w:val="left" w:pos="7020"/>
        </w:tabs>
        <w:spacing w:line="560" w:lineRule="exact"/>
        <w:ind w:left="420" w:firstLine="600"/>
        <w:rPr>
          <w:rFonts w:ascii="仿宋_GB2312" w:eastAsia="仿宋_GB2312"/>
          <w:sz w:val="30"/>
          <w:szCs w:val="30"/>
        </w:rPr>
      </w:pPr>
    </w:p>
    <w:p w14:paraId="64385922">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5F54FC96">
      <w:pPr>
        <w:tabs>
          <w:tab w:val="left" w:pos="7020"/>
        </w:tabs>
        <w:spacing w:line="560" w:lineRule="exact"/>
        <w:ind w:left="420" w:firstLine="600"/>
        <w:jc w:val="right"/>
        <w:rPr>
          <w:rFonts w:ascii="仿宋_GB2312" w:eastAsia="仿宋_GB2312"/>
          <w:sz w:val="30"/>
          <w:szCs w:val="30"/>
        </w:rPr>
      </w:pPr>
    </w:p>
    <w:p w14:paraId="3306DBAA">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4BB8EE4A">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bookmarkStart w:id="3448" w:name="_债券交易参与人业务联络人基本信息表"/>
      <w:bookmarkEnd w:id="3448"/>
      <w:bookmarkStart w:id="3449" w:name="_Toc35006353"/>
      <w:bookmarkStart w:id="3450" w:name="_Toc24460046"/>
    </w:p>
    <w:p w14:paraId="0962AAF2">
      <w:pPr>
        <w:tabs>
          <w:tab w:val="left" w:pos="7020"/>
        </w:tabs>
        <w:spacing w:line="560" w:lineRule="exact"/>
        <w:ind w:left="420" w:right="560" w:firstLine="600"/>
        <w:jc w:val="right"/>
        <w:rPr>
          <w:rFonts w:ascii="仿宋_GB2312" w:eastAsia="仿宋_GB2312"/>
          <w:sz w:val="30"/>
          <w:szCs w:val="30"/>
        </w:rPr>
      </w:pPr>
    </w:p>
    <w:p w14:paraId="250D0ADE">
      <w:pPr>
        <w:tabs>
          <w:tab w:val="left" w:pos="7020"/>
        </w:tabs>
        <w:spacing w:line="560" w:lineRule="exact"/>
        <w:ind w:left="420" w:right="560" w:firstLine="600"/>
        <w:jc w:val="right"/>
        <w:rPr>
          <w:rFonts w:ascii="仿宋_GB2312" w:eastAsia="仿宋_GB2312"/>
          <w:sz w:val="30"/>
          <w:szCs w:val="30"/>
        </w:rPr>
      </w:pPr>
    </w:p>
    <w:p w14:paraId="4E841735">
      <w:pPr>
        <w:outlineLvl w:val="1"/>
        <w:rPr>
          <w:rFonts w:ascii="仿宋_GB2312" w:hAnsi="黑体" w:eastAsia="仿宋_GB2312"/>
          <w:b/>
          <w:sz w:val="30"/>
          <w:szCs w:val="30"/>
        </w:rPr>
      </w:pPr>
      <w:r>
        <w:rPr>
          <w:rFonts w:ascii="仿宋_GB2312" w:hAnsi="黑体" w:eastAsia="仿宋_GB2312"/>
          <w:b/>
          <w:sz w:val="36"/>
          <w:szCs w:val="36"/>
        </w:rPr>
        <w:br w:type="page"/>
      </w:r>
      <w:bookmarkStart w:id="3451" w:name="_Toc151137082"/>
      <w:r>
        <w:rPr>
          <w:rFonts w:hint="eastAsia" w:ascii="仿宋_GB2312" w:hAnsi="黑体" w:eastAsia="仿宋_GB2312"/>
          <w:b/>
          <w:sz w:val="30"/>
          <w:szCs w:val="30"/>
        </w:rPr>
        <w:t>附件</w:t>
      </w:r>
      <w:r>
        <w:rPr>
          <w:rFonts w:ascii="仿宋_GB2312" w:hAnsi="黑体" w:eastAsia="仿宋_GB2312"/>
          <w:b/>
          <w:sz w:val="30"/>
          <w:szCs w:val="30"/>
        </w:rPr>
        <w:t xml:space="preserve">2 </w:t>
      </w:r>
      <w:r>
        <w:rPr>
          <w:rFonts w:hint="eastAsia" w:ascii="仿宋_GB2312" w:hAnsi="黑体" w:eastAsia="仿宋_GB2312"/>
          <w:b/>
          <w:sz w:val="30"/>
          <w:szCs w:val="30"/>
        </w:rPr>
        <w:t>会籍系统资格申请报告</w:t>
      </w:r>
      <w:bookmarkEnd w:id="3451"/>
    </w:p>
    <w:p w14:paraId="41A8D1D9">
      <w:pPr>
        <w:pStyle w:val="18"/>
        <w:ind w:firstLine="0" w:firstLineChars="0"/>
        <w:jc w:val="center"/>
        <w:rPr>
          <w:rFonts w:ascii="黑体" w:hAnsi="黑体" w:eastAsia="黑体"/>
          <w:b/>
          <w:sz w:val="44"/>
          <w:szCs w:val="44"/>
        </w:rPr>
      </w:pPr>
    </w:p>
    <w:p w14:paraId="1B0A0140">
      <w:pPr>
        <w:pStyle w:val="18"/>
        <w:ind w:firstLine="0" w:firstLineChars="0"/>
        <w:jc w:val="center"/>
        <w:rPr>
          <w:rFonts w:ascii="黑体" w:hAnsi="黑体" w:eastAsia="黑体"/>
          <w:b/>
          <w:sz w:val="44"/>
          <w:szCs w:val="44"/>
        </w:rPr>
      </w:pPr>
      <w:r>
        <w:rPr>
          <w:rFonts w:hint="eastAsia" w:ascii="黑体" w:hAnsi="黑体" w:eastAsia="黑体"/>
          <w:b/>
          <w:sz w:val="44"/>
          <w:szCs w:val="44"/>
        </w:rPr>
        <w:t>会籍系统资格申请报告</w:t>
      </w:r>
    </w:p>
    <w:p w14:paraId="42E8B332">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385474E6">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4CE64887">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0A471D1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12EAD3F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5B8A2565">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34753E2E">
      <w:pPr>
        <w:tabs>
          <w:tab w:val="left" w:pos="7020"/>
        </w:tabs>
        <w:spacing w:line="560" w:lineRule="exact"/>
        <w:ind w:left="420" w:firstLine="600"/>
        <w:rPr>
          <w:rFonts w:ascii="仿宋_GB2312" w:eastAsia="仿宋_GB2312"/>
          <w:sz w:val="30"/>
          <w:szCs w:val="30"/>
        </w:rPr>
      </w:pPr>
    </w:p>
    <w:p w14:paraId="3CA3B401">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1DF3FFD8">
      <w:pPr>
        <w:tabs>
          <w:tab w:val="left" w:pos="7020"/>
        </w:tabs>
        <w:spacing w:line="560" w:lineRule="exact"/>
        <w:ind w:left="420" w:firstLine="600"/>
        <w:jc w:val="right"/>
        <w:rPr>
          <w:rFonts w:ascii="仿宋_GB2312" w:eastAsia="仿宋_GB2312"/>
          <w:sz w:val="30"/>
          <w:szCs w:val="30"/>
        </w:rPr>
      </w:pPr>
    </w:p>
    <w:p w14:paraId="3FF25FAE">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1462C87B">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p>
    <w:p w14:paraId="7353BC66">
      <w:pPr>
        <w:spacing w:line="560" w:lineRule="exact"/>
        <w:ind w:firstLine="600"/>
        <w:rPr>
          <w:rFonts w:ascii="仿宋_GB2312" w:eastAsia="仿宋_GB2312"/>
          <w:sz w:val="30"/>
          <w:szCs w:val="30"/>
        </w:rPr>
      </w:pPr>
    </w:p>
    <w:p w14:paraId="2F5DE1C0">
      <w:pPr>
        <w:outlineLvl w:val="1"/>
        <w:rPr>
          <w:rFonts w:ascii="仿宋_GB2312" w:hAnsi="黑体" w:eastAsia="仿宋_GB2312"/>
          <w:b/>
          <w:sz w:val="30"/>
          <w:szCs w:val="30"/>
        </w:rPr>
      </w:pPr>
      <w:r>
        <w:rPr>
          <w:rFonts w:ascii="仿宋_GB2312" w:hAnsi="黑体" w:eastAsia="仿宋_GB2312"/>
          <w:b/>
          <w:sz w:val="36"/>
          <w:szCs w:val="36"/>
        </w:rPr>
        <w:br w:type="page"/>
      </w:r>
      <w:bookmarkStart w:id="3452" w:name="_Toc151137083"/>
      <w:r>
        <w:rPr>
          <w:rFonts w:hint="eastAsia" w:ascii="仿宋_GB2312" w:hAnsi="黑体" w:eastAsia="仿宋_GB2312"/>
          <w:b/>
          <w:sz w:val="30"/>
          <w:szCs w:val="30"/>
        </w:rPr>
        <w:t>附件3 债券交易参与人业务联络人基本信息表</w:t>
      </w:r>
      <w:bookmarkEnd w:id="3452"/>
    </w:p>
    <w:p w14:paraId="13E1AFA4">
      <w:pPr>
        <w:spacing w:line="560" w:lineRule="exact"/>
        <w:rPr>
          <w:rFonts w:ascii="仿宋_GB2312" w:hAnsi="黑体" w:eastAsia="仿宋_GB2312"/>
          <w:sz w:val="30"/>
          <w:szCs w:val="30"/>
        </w:rPr>
      </w:pPr>
    </w:p>
    <w:p w14:paraId="7C40114A">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债券交易参与人业务联络人基本信息表</w:t>
      </w:r>
      <w:bookmarkEnd w:id="3449"/>
      <w:bookmarkEnd w:id="3450"/>
    </w:p>
    <w:p w14:paraId="4CADCE22">
      <w:pPr>
        <w:spacing w:line="560" w:lineRule="exact"/>
        <w:ind w:firstLine="883"/>
        <w:jc w:val="center"/>
        <w:rPr>
          <w:rFonts w:ascii="黑体" w:hAnsi="黑体"/>
          <w:b/>
          <w:sz w:val="44"/>
          <w:szCs w:val="44"/>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2126"/>
        <w:gridCol w:w="1276"/>
        <w:gridCol w:w="2600"/>
      </w:tblGrid>
      <w:tr w14:paraId="2AAF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26" w:type="dxa"/>
            <w:tcBorders>
              <w:top w:val="single" w:color="auto" w:sz="4" w:space="0"/>
              <w:left w:val="single" w:color="auto" w:sz="4" w:space="0"/>
              <w:bottom w:val="single" w:color="auto" w:sz="4" w:space="0"/>
              <w:right w:val="single" w:color="auto" w:sz="4" w:space="0"/>
            </w:tcBorders>
            <w:vAlign w:val="center"/>
          </w:tcPr>
          <w:p w14:paraId="62A467B7">
            <w:pPr>
              <w:spacing w:line="560" w:lineRule="exact"/>
              <w:rPr>
                <w:rFonts w:ascii="仿宋_GB2312" w:eastAsia="仿宋_GB2312"/>
                <w:sz w:val="24"/>
                <w:szCs w:val="30"/>
              </w:rPr>
            </w:pPr>
            <w:r>
              <w:rPr>
                <w:rFonts w:hint="eastAsia" w:ascii="仿宋_GB2312" w:eastAsia="仿宋_GB2312"/>
                <w:sz w:val="24"/>
                <w:szCs w:val="30"/>
              </w:rPr>
              <w:t>公司名称</w:t>
            </w:r>
          </w:p>
        </w:tc>
        <w:tc>
          <w:tcPr>
            <w:tcW w:w="6994" w:type="dxa"/>
            <w:gridSpan w:val="4"/>
            <w:tcBorders>
              <w:top w:val="single" w:color="auto" w:sz="4" w:space="0"/>
              <w:left w:val="single" w:color="auto" w:sz="4" w:space="0"/>
              <w:bottom w:val="single" w:color="auto" w:sz="4" w:space="0"/>
              <w:right w:val="single" w:color="auto" w:sz="4" w:space="0"/>
            </w:tcBorders>
          </w:tcPr>
          <w:p w14:paraId="7A942B81">
            <w:pPr>
              <w:spacing w:line="560" w:lineRule="exact"/>
              <w:ind w:firstLine="480"/>
              <w:rPr>
                <w:rFonts w:ascii="仿宋_GB2312" w:eastAsia="仿宋_GB2312"/>
                <w:sz w:val="24"/>
                <w:szCs w:val="30"/>
              </w:rPr>
            </w:pPr>
          </w:p>
        </w:tc>
      </w:tr>
      <w:tr w14:paraId="64D9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033A3183">
            <w:pPr>
              <w:spacing w:line="560" w:lineRule="exact"/>
              <w:rPr>
                <w:rFonts w:ascii="仿宋_GB2312" w:eastAsia="仿宋_GB2312"/>
                <w:sz w:val="24"/>
                <w:szCs w:val="30"/>
              </w:rPr>
            </w:pPr>
            <w:r>
              <w:rPr>
                <w:rFonts w:hint="eastAsia" w:ascii="仿宋_GB2312" w:eastAsia="仿宋_GB2312"/>
                <w:sz w:val="24"/>
                <w:szCs w:val="30"/>
              </w:rPr>
              <w:t>债券业务</w:t>
            </w:r>
          </w:p>
          <w:p w14:paraId="6C284359">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0F56BC20">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C046B9">
            <w:pPr>
              <w:spacing w:line="560" w:lineRule="exact"/>
              <w:rPr>
                <w:rFonts w:ascii="仿宋_GB2312" w:eastAsia="仿宋_GB2312"/>
                <w:sz w:val="24"/>
                <w:szCs w:val="30"/>
              </w:rPr>
            </w:pPr>
          </w:p>
        </w:tc>
      </w:tr>
      <w:tr w14:paraId="07C6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19D4D603">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2FEB353B">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2343A8A9">
            <w:pPr>
              <w:spacing w:line="560" w:lineRule="exact"/>
              <w:rPr>
                <w:rFonts w:ascii="仿宋_GB2312" w:eastAsia="仿宋_GB2312"/>
                <w:sz w:val="24"/>
                <w:szCs w:val="30"/>
              </w:rPr>
            </w:pPr>
          </w:p>
        </w:tc>
      </w:tr>
      <w:tr w14:paraId="05BE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98454A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3820442A">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060DD30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7F839B0E">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B9311C7">
            <w:pPr>
              <w:spacing w:line="560" w:lineRule="exact"/>
              <w:rPr>
                <w:rFonts w:ascii="仿宋_GB2312" w:eastAsia="仿宋_GB2312"/>
                <w:sz w:val="24"/>
                <w:szCs w:val="30"/>
              </w:rPr>
            </w:pPr>
          </w:p>
        </w:tc>
      </w:tr>
      <w:tr w14:paraId="34BB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338906BA">
            <w:pPr>
              <w:spacing w:line="560" w:lineRule="exact"/>
              <w:rPr>
                <w:rFonts w:ascii="仿宋_GB2312" w:eastAsia="仿宋_GB2312"/>
                <w:sz w:val="24"/>
                <w:szCs w:val="30"/>
              </w:rPr>
            </w:pPr>
            <w:r>
              <w:rPr>
                <w:rFonts w:hint="eastAsia" w:ascii="仿宋_GB2312" w:eastAsia="仿宋_GB2312"/>
                <w:sz w:val="24"/>
                <w:szCs w:val="30"/>
              </w:rPr>
              <w:t>债券业务</w:t>
            </w:r>
          </w:p>
          <w:p w14:paraId="5B52882D">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1041CC0B">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7E698B">
            <w:pPr>
              <w:spacing w:line="560" w:lineRule="exact"/>
              <w:rPr>
                <w:rFonts w:ascii="仿宋_GB2312" w:eastAsia="仿宋_GB2312"/>
                <w:sz w:val="24"/>
                <w:szCs w:val="30"/>
              </w:rPr>
            </w:pPr>
          </w:p>
        </w:tc>
      </w:tr>
      <w:tr w14:paraId="477C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63811B35">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EB35663">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A1C9A3">
            <w:pPr>
              <w:spacing w:line="560" w:lineRule="exact"/>
              <w:rPr>
                <w:rFonts w:ascii="仿宋_GB2312" w:eastAsia="仿宋_GB2312"/>
                <w:sz w:val="24"/>
                <w:szCs w:val="30"/>
              </w:rPr>
            </w:pPr>
          </w:p>
        </w:tc>
      </w:tr>
      <w:tr w14:paraId="4F87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2F442D5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01B81616">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122785C2">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58EE28CD">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6A8EBF1C">
            <w:pPr>
              <w:spacing w:line="560" w:lineRule="exact"/>
              <w:rPr>
                <w:rFonts w:ascii="仿宋_GB2312" w:eastAsia="仿宋_GB2312"/>
                <w:sz w:val="24"/>
                <w:szCs w:val="30"/>
              </w:rPr>
            </w:pPr>
          </w:p>
        </w:tc>
      </w:tr>
      <w:tr w14:paraId="458A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595EBF9A">
            <w:pPr>
              <w:spacing w:line="560" w:lineRule="exact"/>
              <w:rPr>
                <w:rFonts w:ascii="仿宋_GB2312" w:eastAsia="仿宋_GB2312"/>
                <w:sz w:val="24"/>
                <w:szCs w:val="30"/>
              </w:rPr>
            </w:pPr>
            <w:r>
              <w:rPr>
                <w:rFonts w:hint="eastAsia" w:ascii="仿宋_GB2312" w:eastAsia="仿宋_GB2312"/>
                <w:sz w:val="24"/>
                <w:szCs w:val="30"/>
              </w:rPr>
              <w:t>债券业务</w:t>
            </w:r>
          </w:p>
          <w:p w14:paraId="6DB01BF4">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56B9AF79">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1A1AC9D">
            <w:pPr>
              <w:spacing w:line="560" w:lineRule="exact"/>
              <w:rPr>
                <w:rFonts w:ascii="仿宋_GB2312" w:eastAsia="仿宋_GB2312"/>
                <w:sz w:val="24"/>
                <w:szCs w:val="30"/>
              </w:rPr>
            </w:pPr>
          </w:p>
        </w:tc>
      </w:tr>
      <w:tr w14:paraId="038E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1E12EC31">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18AB107F">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32AEBD">
            <w:pPr>
              <w:spacing w:line="560" w:lineRule="exact"/>
              <w:rPr>
                <w:rFonts w:ascii="仿宋_GB2312" w:eastAsia="仿宋_GB2312"/>
                <w:sz w:val="24"/>
                <w:szCs w:val="30"/>
              </w:rPr>
            </w:pPr>
          </w:p>
        </w:tc>
      </w:tr>
      <w:tr w14:paraId="3449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7F2E6974">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61FACE79">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318DE67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3D257B7C">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25054061">
            <w:pPr>
              <w:spacing w:line="560" w:lineRule="exact"/>
              <w:rPr>
                <w:rFonts w:ascii="仿宋_GB2312" w:eastAsia="仿宋_GB2312"/>
                <w:sz w:val="24"/>
                <w:szCs w:val="30"/>
              </w:rPr>
            </w:pPr>
          </w:p>
        </w:tc>
      </w:tr>
      <w:tr w14:paraId="3F56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40EDE208">
            <w:pPr>
              <w:spacing w:line="560" w:lineRule="exact"/>
              <w:rPr>
                <w:rFonts w:ascii="仿宋_GB2312" w:eastAsia="仿宋_GB2312"/>
                <w:sz w:val="24"/>
                <w:szCs w:val="30"/>
              </w:rPr>
            </w:pPr>
            <w:r>
              <w:rPr>
                <w:rFonts w:hint="eastAsia" w:ascii="仿宋_GB2312" w:eastAsia="仿宋_GB2312"/>
                <w:sz w:val="24"/>
                <w:szCs w:val="30"/>
              </w:rPr>
              <w:t>债券业务</w:t>
            </w:r>
          </w:p>
          <w:p w14:paraId="3081C2B6">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7D59C062">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BD8A6B0">
            <w:pPr>
              <w:spacing w:line="560" w:lineRule="exact"/>
              <w:rPr>
                <w:rFonts w:ascii="仿宋_GB2312" w:eastAsia="仿宋_GB2312"/>
                <w:sz w:val="24"/>
                <w:szCs w:val="30"/>
              </w:rPr>
            </w:pPr>
          </w:p>
        </w:tc>
      </w:tr>
      <w:tr w14:paraId="26CB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2653C58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5D5BD72">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0F4C6BB8">
            <w:pPr>
              <w:spacing w:line="560" w:lineRule="exact"/>
              <w:rPr>
                <w:rFonts w:ascii="仿宋_GB2312" w:eastAsia="仿宋_GB2312"/>
                <w:sz w:val="24"/>
                <w:szCs w:val="30"/>
              </w:rPr>
            </w:pPr>
          </w:p>
        </w:tc>
      </w:tr>
      <w:tr w14:paraId="6319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5A287398">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5FE92D8E">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4BA8E0BF">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106E2B63">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06B757E">
            <w:pPr>
              <w:spacing w:line="560" w:lineRule="exact"/>
              <w:rPr>
                <w:rFonts w:ascii="仿宋_GB2312" w:eastAsia="仿宋_GB2312"/>
                <w:sz w:val="24"/>
                <w:szCs w:val="30"/>
              </w:rPr>
            </w:pPr>
          </w:p>
        </w:tc>
      </w:tr>
    </w:tbl>
    <w:p w14:paraId="726F5B29">
      <w:pPr>
        <w:spacing w:line="560" w:lineRule="exact"/>
        <w:ind w:firstLine="600"/>
        <w:rPr>
          <w:rFonts w:ascii="仿宋_GB2312" w:hAnsi="黑体" w:eastAsia="仿宋_GB2312"/>
          <w:sz w:val="30"/>
          <w:szCs w:val="30"/>
        </w:rPr>
      </w:pPr>
      <w:r>
        <w:rPr>
          <w:rFonts w:hint="eastAsia" w:ascii="仿宋_GB2312" w:hAnsi="黑体" w:eastAsia="仿宋_GB2312"/>
          <w:sz w:val="30"/>
          <w:szCs w:val="30"/>
        </w:rPr>
        <w:t>备注：债券交易业务联络人需为本部门债券交易业务骨干。若联络人信息有变更的，须及时向本所报备。</w:t>
      </w:r>
    </w:p>
    <w:p w14:paraId="2498AD5A">
      <w:pPr>
        <w:spacing w:line="560" w:lineRule="exact"/>
        <w:ind w:firstLine="600"/>
        <w:rPr>
          <w:rFonts w:ascii="仿宋_GB2312" w:hAnsi="黑体" w:eastAsia="仿宋_GB2312"/>
          <w:sz w:val="30"/>
          <w:szCs w:val="30"/>
        </w:rPr>
      </w:pPr>
    </w:p>
    <w:p w14:paraId="2FE37430">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经办人</w:t>
      </w:r>
      <w:r>
        <w:rPr>
          <w:rFonts w:hint="eastAsia" w:ascii="仿宋_GB2312" w:hAnsi="黑体" w:eastAsia="仿宋_GB2312"/>
          <w:sz w:val="30"/>
          <w:szCs w:val="30"/>
        </w:rPr>
        <w:t>（</w:t>
      </w:r>
      <w:r>
        <w:rPr>
          <w:rFonts w:ascii="仿宋_GB2312" w:hAnsi="黑体" w:eastAsia="仿宋_GB2312"/>
          <w:sz w:val="30"/>
          <w:szCs w:val="30"/>
        </w:rPr>
        <w:t>签字</w:t>
      </w:r>
      <w:r>
        <w:rPr>
          <w:rFonts w:hint="eastAsia" w:ascii="仿宋_GB2312" w:hAnsi="黑体" w:eastAsia="仿宋_GB2312"/>
          <w:sz w:val="30"/>
          <w:szCs w:val="30"/>
        </w:rPr>
        <w:t>）</w:t>
      </w:r>
      <w:r>
        <w:rPr>
          <w:rFonts w:ascii="仿宋_GB2312" w:hAnsi="黑体" w:eastAsia="仿宋_GB2312"/>
          <w:sz w:val="30"/>
          <w:szCs w:val="30"/>
        </w:rPr>
        <w:t>：</w:t>
      </w:r>
    </w:p>
    <w:p w14:paraId="64013B64">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联系电话：</w:t>
      </w:r>
    </w:p>
    <w:p w14:paraId="0CFED3F4">
      <w:pPr>
        <w:pStyle w:val="92"/>
        <w:spacing w:line="560" w:lineRule="exact"/>
        <w:ind w:left="0" w:firstLine="600"/>
        <w:jc w:val="center"/>
        <w:rPr>
          <w:rFonts w:ascii="仿宋_GB2312" w:hAnsi="黑体" w:eastAsia="仿宋_GB2312"/>
          <w:sz w:val="30"/>
          <w:szCs w:val="30"/>
          <w:lang w:eastAsia="zh-CN"/>
        </w:rPr>
      </w:pPr>
      <w:r>
        <w:rPr>
          <w:rFonts w:ascii="仿宋_GB2312" w:hAnsi="黑体" w:eastAsia="仿宋_GB2312"/>
          <w:sz w:val="30"/>
          <w:szCs w:val="30"/>
          <w:lang w:eastAsia="zh-CN"/>
        </w:rPr>
        <w:t xml:space="preserve">                   申请日期：</w:t>
      </w:r>
      <w:bookmarkStart w:id="3453" w:name="_上海证券交易所债券市场交易单元申请表"/>
      <w:bookmarkEnd w:id="3453"/>
      <w:bookmarkStart w:id="3454" w:name="_Toc35006354"/>
      <w:r>
        <w:rPr>
          <w:rFonts w:ascii="仿宋_GB2312" w:hAnsi="黑体" w:eastAsia="仿宋_GB2312"/>
          <w:sz w:val="30"/>
          <w:szCs w:val="30"/>
          <w:lang w:eastAsia="zh-CN"/>
        </w:rPr>
        <w:t xml:space="preserve"> </w:t>
      </w:r>
      <w:bookmarkEnd w:id="3454"/>
    </w:p>
    <w:p w14:paraId="4FC4FF10">
      <w:pPr>
        <w:widowControl/>
        <w:jc w:val="left"/>
        <w:rPr>
          <w:rFonts w:ascii="仿宋_GB2312" w:hAnsi="黑体" w:eastAsia="仿宋_GB2312"/>
          <w:b/>
          <w:kern w:val="0"/>
          <w:sz w:val="36"/>
          <w:szCs w:val="36"/>
          <w:lang w:bidi="en-US"/>
        </w:rPr>
      </w:pPr>
      <w:r>
        <w:rPr>
          <w:rFonts w:ascii="仿宋_GB2312" w:hAnsi="黑体" w:eastAsia="仿宋_GB2312"/>
          <w:b/>
          <w:sz w:val="36"/>
          <w:szCs w:val="36"/>
        </w:rPr>
        <w:br w:type="page"/>
      </w:r>
    </w:p>
    <w:p w14:paraId="5C394753">
      <w:pPr>
        <w:widowControl/>
        <w:jc w:val="left"/>
        <w:outlineLvl w:val="1"/>
        <w:rPr>
          <w:rFonts w:ascii="仿宋_GB2312" w:hAnsi="黑体" w:eastAsia="仿宋_GB2312"/>
          <w:b/>
          <w:sz w:val="30"/>
          <w:szCs w:val="30"/>
        </w:rPr>
      </w:pPr>
      <w:bookmarkStart w:id="3455" w:name="_Toc151137084"/>
      <w:r>
        <w:rPr>
          <w:rFonts w:hint="eastAsia" w:ascii="仿宋_GB2312" w:hAnsi="黑体" w:eastAsia="仿宋_GB2312"/>
          <w:b/>
          <w:sz w:val="30"/>
          <w:szCs w:val="30"/>
        </w:rPr>
        <w:t>附件4 境外机构投资者信息报送表</w:t>
      </w:r>
      <w:bookmarkEnd w:id="3455"/>
    </w:p>
    <w:tbl>
      <w:tblPr>
        <w:tblStyle w:val="43"/>
        <w:tblW w:w="8222" w:type="dxa"/>
        <w:tblInd w:w="108" w:type="dxa"/>
        <w:tblLayout w:type="fixed"/>
        <w:tblCellMar>
          <w:top w:w="0" w:type="dxa"/>
          <w:left w:w="108" w:type="dxa"/>
          <w:bottom w:w="0" w:type="dxa"/>
          <w:right w:w="108" w:type="dxa"/>
        </w:tblCellMar>
      </w:tblPr>
      <w:tblGrid>
        <w:gridCol w:w="2025"/>
        <w:gridCol w:w="1311"/>
        <w:gridCol w:w="775"/>
        <w:gridCol w:w="962"/>
        <w:gridCol w:w="314"/>
        <w:gridCol w:w="850"/>
        <w:gridCol w:w="44"/>
        <w:gridCol w:w="807"/>
        <w:gridCol w:w="142"/>
        <w:gridCol w:w="992"/>
      </w:tblGrid>
      <w:tr w14:paraId="29D1D43F">
        <w:tblPrEx>
          <w:tblCellMar>
            <w:top w:w="0" w:type="dxa"/>
            <w:left w:w="108" w:type="dxa"/>
            <w:bottom w:w="0" w:type="dxa"/>
            <w:right w:w="108" w:type="dxa"/>
          </w:tblCellMar>
        </w:tblPrEx>
        <w:trPr>
          <w:trHeight w:val="350" w:hRule="atLeast"/>
        </w:trPr>
        <w:tc>
          <w:tcPr>
            <w:tcW w:w="8222" w:type="dxa"/>
            <w:gridSpan w:val="10"/>
            <w:noWrap/>
            <w:vAlign w:val="bottom"/>
          </w:tcPr>
          <w:p w14:paraId="54DFD5D7">
            <w:pPr>
              <w:widowControl/>
              <w:jc w:val="left"/>
              <w:rPr>
                <w:rFonts w:ascii="仿宋_GB2312" w:hAnsi="华文细黑" w:eastAsia="仿宋_GB2312" w:cs="华文细黑"/>
                <w:color w:val="000000"/>
                <w:sz w:val="30"/>
                <w:szCs w:val="30"/>
              </w:rPr>
            </w:pPr>
          </w:p>
          <w:p w14:paraId="6C823700">
            <w:pPr>
              <w:widowControl/>
              <w:jc w:val="center"/>
              <w:rPr>
                <w:rFonts w:ascii="黑体" w:hAnsi="黑体" w:eastAsia="黑体"/>
                <w:b/>
                <w:bCs/>
                <w:kern w:val="0"/>
                <w:sz w:val="28"/>
                <w:szCs w:val="28"/>
              </w:rPr>
            </w:pPr>
            <w:r>
              <w:rPr>
                <w:rFonts w:hint="eastAsia" w:ascii="黑体" w:hAnsi="黑体" w:eastAsia="黑体"/>
                <w:b/>
                <w:sz w:val="44"/>
                <w:szCs w:val="44"/>
              </w:rPr>
              <w:t>境外机构投资者信息报送表</w:t>
            </w:r>
          </w:p>
          <w:p w14:paraId="729A2CE1">
            <w:pPr>
              <w:pStyle w:val="39"/>
              <w:spacing w:before="0" w:beforeAutospacing="0" w:after="0" w:afterAutospacing="0" w:line="560" w:lineRule="exact"/>
              <w:contextualSpacing/>
              <w:jc w:val="center"/>
              <w:rPr>
                <w:rFonts w:ascii="Times New Roman" w:hAnsi="Times New Roman"/>
                <w:color w:val="000000"/>
                <w:sz w:val="22"/>
              </w:rPr>
            </w:pPr>
            <w:r>
              <w:rPr>
                <w:rFonts w:hint="eastAsia" w:ascii="Times New Roman" w:hAnsi="Times New Roman" w:eastAsiaTheme="minorEastAsia"/>
                <w:b/>
                <w:sz w:val="36"/>
                <w:szCs w:val="36"/>
              </w:rPr>
              <w:t>Information</w:t>
            </w:r>
            <w:r>
              <w:rPr>
                <w:rFonts w:ascii="Times New Roman" w:hAnsi="Times New Roman" w:eastAsiaTheme="minorEastAsia"/>
                <w:b/>
                <w:sz w:val="36"/>
                <w:szCs w:val="36"/>
              </w:rPr>
              <w:t xml:space="preserve"> Form</w:t>
            </w:r>
            <w:r>
              <w:rPr>
                <w:rFonts w:hint="eastAsia" w:ascii="Times New Roman" w:hAnsi="Times New Roman" w:eastAsiaTheme="minorEastAsia"/>
                <w:b/>
                <w:sz w:val="36"/>
                <w:szCs w:val="36"/>
              </w:rPr>
              <w:t xml:space="preserve"> For Foreign Institutional Investors</w:t>
            </w:r>
          </w:p>
        </w:tc>
      </w:tr>
      <w:tr w14:paraId="7A159C27">
        <w:tblPrEx>
          <w:tblCellMar>
            <w:top w:w="0" w:type="dxa"/>
            <w:left w:w="108" w:type="dxa"/>
            <w:bottom w:w="0" w:type="dxa"/>
            <w:right w:w="108" w:type="dxa"/>
          </w:tblCellMar>
        </w:tblPrEx>
        <w:trPr>
          <w:trHeight w:val="320" w:hRule="atLeast"/>
        </w:trPr>
        <w:tc>
          <w:tcPr>
            <w:tcW w:w="8222" w:type="dxa"/>
            <w:gridSpan w:val="10"/>
            <w:tcBorders>
              <w:bottom w:val="single" w:color="auto" w:sz="4" w:space="0"/>
            </w:tcBorders>
            <w:noWrap/>
            <w:vAlign w:val="bottom"/>
          </w:tcPr>
          <w:p w14:paraId="03CE71DE">
            <w:pPr>
              <w:pStyle w:val="92"/>
              <w:keepNext/>
              <w:keepLines/>
              <w:spacing w:before="340" w:after="330" w:line="578" w:lineRule="auto"/>
              <w:ind w:left="420" w:firstLine="0"/>
            </w:pPr>
          </w:p>
        </w:tc>
      </w:tr>
      <w:tr w14:paraId="284ACFFA">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29BD144F">
            <w:pPr>
              <w:jc w:val="left"/>
              <w:rPr>
                <w:rFonts w:eastAsiaTheme="minorEastAsia"/>
                <w:b/>
                <w:bCs/>
              </w:rPr>
            </w:pPr>
            <w:r>
              <w:rPr>
                <w:rFonts w:hint="eastAsia" w:eastAsiaTheme="minorEastAsia"/>
                <w:b/>
                <w:bCs/>
              </w:rPr>
              <w:t>申报类别</w:t>
            </w:r>
          </w:p>
        </w:tc>
        <w:tc>
          <w:tcPr>
            <w:tcW w:w="6197" w:type="dxa"/>
            <w:gridSpan w:val="9"/>
            <w:tcBorders>
              <w:top w:val="single" w:color="auto" w:sz="4" w:space="0"/>
              <w:left w:val="nil"/>
              <w:bottom w:val="single" w:color="auto" w:sz="4" w:space="0"/>
              <w:right w:val="single" w:color="auto" w:sz="4" w:space="0"/>
            </w:tcBorders>
            <w:vAlign w:val="center"/>
          </w:tcPr>
          <w:p w14:paraId="11D6D981">
            <w:pPr>
              <w:jc w:val="left"/>
              <w:rPr>
                <w:rFonts w:eastAsiaTheme="minorEastAsia"/>
                <w:b/>
                <w:bCs/>
              </w:rPr>
            </w:pPr>
            <w:r>
              <w:rPr>
                <w:rFonts w:hint="eastAsia" w:eastAsia="黑体"/>
                <w:b/>
                <w:bCs/>
              </w:rPr>
              <w:t>法人</w:t>
            </w:r>
            <w:r>
              <w:rPr>
                <w:rFonts w:hint="eastAsia" w:eastAsiaTheme="minorEastAsia"/>
                <w:b/>
                <w:bCs/>
              </w:rPr>
              <w:t>/</w:t>
            </w:r>
            <w:r>
              <w:rPr>
                <w:rFonts w:hint="eastAsia" w:eastAsia="黑体"/>
                <w:b/>
                <w:bCs/>
              </w:rPr>
              <w:t>非法人产品的资产管理人</w:t>
            </w:r>
          </w:p>
          <w:p w14:paraId="452CBDC5">
            <w:pPr>
              <w:jc w:val="left"/>
              <w:rPr>
                <w:rFonts w:eastAsiaTheme="minorEastAsia"/>
                <w:b/>
                <w:bCs/>
              </w:rPr>
            </w:pPr>
            <w:r>
              <w:rPr>
                <w:rFonts w:eastAsia="黑体"/>
              </w:rPr>
              <w:t>Incorporated Entity</w:t>
            </w:r>
            <w:r>
              <w:rPr>
                <w:rFonts w:hint="eastAsia" w:eastAsiaTheme="minorEastAsia"/>
              </w:rPr>
              <w:t>/</w:t>
            </w:r>
            <w:r>
              <w:rPr>
                <w:rFonts w:eastAsia="黑体"/>
              </w:rPr>
              <w:t>Asset Management Company of Unincorporated Fund Products</w:t>
            </w:r>
          </w:p>
        </w:tc>
      </w:tr>
      <w:tr w14:paraId="399E5253">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5E2ACF58">
            <w:pPr>
              <w:jc w:val="left"/>
              <w:rPr>
                <w:rFonts w:eastAsia="黑体"/>
                <w:b/>
                <w:bCs/>
              </w:rPr>
            </w:pPr>
            <w:r>
              <w:rPr>
                <w:rFonts w:hint="eastAsia" w:eastAsia="黑体"/>
                <w:b/>
                <w:bCs/>
              </w:rPr>
              <w:t>机构全称</w:t>
            </w:r>
          </w:p>
          <w:p w14:paraId="1504E009">
            <w:pPr>
              <w:jc w:val="left"/>
              <w:rPr>
                <w:rFonts w:eastAsia="黑体"/>
                <w:bCs/>
              </w:rPr>
            </w:pPr>
            <w:r>
              <w:rPr>
                <w:rFonts w:eastAsia="黑体"/>
              </w:rPr>
              <w:t>Full Name of Applicant Institution</w:t>
            </w:r>
          </w:p>
        </w:tc>
        <w:tc>
          <w:tcPr>
            <w:tcW w:w="6197" w:type="dxa"/>
            <w:gridSpan w:val="9"/>
            <w:tcBorders>
              <w:top w:val="single" w:color="auto" w:sz="4" w:space="0"/>
              <w:left w:val="nil"/>
              <w:bottom w:val="single" w:color="auto" w:sz="4" w:space="0"/>
              <w:right w:val="single" w:color="auto" w:sz="4" w:space="0"/>
            </w:tcBorders>
            <w:vAlign w:val="center"/>
          </w:tcPr>
          <w:p w14:paraId="1A163A4A">
            <w:pPr>
              <w:jc w:val="left"/>
              <w:rPr>
                <w:rFonts w:eastAsia="黑体"/>
                <w:b/>
                <w:bCs/>
              </w:rPr>
            </w:pPr>
          </w:p>
          <w:p w14:paraId="312B9638">
            <w:pPr>
              <w:jc w:val="left"/>
              <w:rPr>
                <w:rFonts w:eastAsia="黑体"/>
                <w:bCs/>
              </w:rPr>
            </w:pPr>
          </w:p>
        </w:tc>
      </w:tr>
      <w:tr w14:paraId="198BE698">
        <w:tblPrEx>
          <w:tblCellMar>
            <w:top w:w="0" w:type="dxa"/>
            <w:left w:w="108" w:type="dxa"/>
            <w:bottom w:w="0" w:type="dxa"/>
            <w:right w:w="108" w:type="dxa"/>
          </w:tblCellMar>
        </w:tblPrEx>
        <w:trPr>
          <w:trHeight w:val="600" w:hRule="atLeast"/>
        </w:trPr>
        <w:tc>
          <w:tcPr>
            <w:tcW w:w="2025" w:type="dxa"/>
            <w:tcBorders>
              <w:top w:val="nil"/>
              <w:left w:val="single" w:color="auto" w:sz="4" w:space="0"/>
              <w:bottom w:val="single" w:color="auto" w:sz="4" w:space="0"/>
              <w:right w:val="single" w:color="auto" w:sz="4" w:space="0"/>
            </w:tcBorders>
            <w:vAlign w:val="center"/>
          </w:tcPr>
          <w:p w14:paraId="422BE08C">
            <w:pPr>
              <w:jc w:val="left"/>
              <w:rPr>
                <w:rFonts w:eastAsia="黑体"/>
                <w:b/>
                <w:bCs/>
              </w:rPr>
            </w:pPr>
            <w:r>
              <w:rPr>
                <w:rFonts w:hint="eastAsia" w:eastAsia="黑体"/>
                <w:b/>
                <w:bCs/>
              </w:rPr>
              <w:t>机构类别</w:t>
            </w:r>
          </w:p>
          <w:p w14:paraId="12450F63">
            <w:pPr>
              <w:jc w:val="left"/>
              <w:rPr>
                <w:rFonts w:eastAsia="黑体"/>
                <w:bCs/>
              </w:rPr>
            </w:pPr>
            <w:r>
              <w:rPr>
                <w:rFonts w:eastAsia="黑体"/>
              </w:rPr>
              <w:t>Type of Institution</w:t>
            </w:r>
          </w:p>
        </w:tc>
        <w:tc>
          <w:tcPr>
            <w:tcW w:w="6197" w:type="dxa"/>
            <w:gridSpan w:val="9"/>
            <w:tcBorders>
              <w:top w:val="single" w:color="auto" w:sz="4" w:space="0"/>
              <w:left w:val="nil"/>
              <w:bottom w:val="single" w:color="auto" w:sz="4" w:space="0"/>
              <w:right w:val="single" w:color="auto" w:sz="4" w:space="0"/>
            </w:tcBorders>
            <w:vAlign w:val="center"/>
          </w:tcPr>
          <w:p w14:paraId="7EF5BB6A">
            <w:pPr>
              <w:jc w:val="left"/>
              <w:rPr>
                <w:rFonts w:eastAsiaTheme="minorEastAsia"/>
                <w:bCs/>
              </w:rPr>
            </w:pPr>
            <w:r>
              <w:rPr>
                <w:rFonts w:hint="eastAsia" w:eastAsia="黑体"/>
                <w:bCs/>
              </w:rPr>
              <w:t>□</w:t>
            </w:r>
            <w:r>
              <w:rPr>
                <w:rFonts w:hint="eastAsia" w:eastAsiaTheme="minorEastAsia"/>
                <w:bCs/>
              </w:rPr>
              <w:t>主权机构 Sovereign fund</w:t>
            </w:r>
          </w:p>
          <w:p w14:paraId="27C16604">
            <w:pPr>
              <w:jc w:val="left"/>
              <w:rPr>
                <w:rFonts w:eastAsiaTheme="minorEastAsia"/>
                <w:bCs/>
              </w:rPr>
            </w:pPr>
            <w:r>
              <w:rPr>
                <w:rFonts w:hint="eastAsia" w:eastAsia="黑体"/>
                <w:bCs/>
              </w:rPr>
              <w:t>□商业银行</w:t>
            </w:r>
            <w:r>
              <w:rPr>
                <w:rFonts w:hint="eastAsia" w:eastAsiaTheme="minorEastAsia"/>
                <w:bCs/>
              </w:rPr>
              <w:t xml:space="preserve"> </w:t>
            </w:r>
            <w:r>
              <w:rPr>
                <w:rFonts w:eastAsia="黑体"/>
                <w:bCs/>
              </w:rPr>
              <w:t>Commercial bank</w:t>
            </w:r>
          </w:p>
          <w:p w14:paraId="4376E806">
            <w:pPr>
              <w:jc w:val="left"/>
              <w:rPr>
                <w:rFonts w:eastAsiaTheme="minorEastAsia"/>
                <w:bCs/>
              </w:rPr>
            </w:pPr>
            <w:r>
              <w:rPr>
                <w:rFonts w:hint="eastAsia" w:eastAsia="黑体"/>
                <w:bCs/>
              </w:rPr>
              <w:t>□保险公司</w:t>
            </w:r>
            <w:r>
              <w:rPr>
                <w:rFonts w:hint="eastAsia" w:eastAsiaTheme="minorEastAsia"/>
                <w:bCs/>
              </w:rPr>
              <w:t xml:space="preserve"> </w:t>
            </w:r>
            <w:r>
              <w:rPr>
                <w:rFonts w:eastAsia="黑体"/>
                <w:bCs/>
              </w:rPr>
              <w:t>Insurance company</w:t>
            </w:r>
          </w:p>
          <w:p w14:paraId="5A788224">
            <w:pPr>
              <w:jc w:val="left"/>
              <w:rPr>
                <w:rFonts w:eastAsiaTheme="minorEastAsia"/>
                <w:bCs/>
              </w:rPr>
            </w:pPr>
            <w:r>
              <w:rPr>
                <w:rFonts w:hint="eastAsia" w:eastAsia="黑体"/>
                <w:bCs/>
              </w:rPr>
              <w:t>□证券公司</w:t>
            </w:r>
            <w:r>
              <w:rPr>
                <w:rFonts w:hint="eastAsia" w:eastAsiaTheme="minorEastAsia"/>
                <w:bCs/>
              </w:rPr>
              <w:t xml:space="preserve"> </w:t>
            </w:r>
            <w:r>
              <w:rPr>
                <w:rFonts w:eastAsia="黑体"/>
                <w:bCs/>
              </w:rPr>
              <w:t>Securities company</w:t>
            </w:r>
          </w:p>
          <w:p w14:paraId="6A92B64B">
            <w:pPr>
              <w:jc w:val="left"/>
              <w:rPr>
                <w:rFonts w:eastAsiaTheme="minorEastAsia"/>
                <w:bCs/>
              </w:rPr>
            </w:pPr>
            <w:r>
              <w:rPr>
                <w:rFonts w:hint="eastAsia" w:eastAsia="黑体"/>
                <w:bCs/>
              </w:rPr>
              <w:t>□基金管理</w:t>
            </w:r>
            <w:r>
              <w:rPr>
                <w:rFonts w:hint="eastAsia" w:eastAsiaTheme="minorEastAsia"/>
                <w:bCs/>
              </w:rPr>
              <w:t xml:space="preserve">公司 </w:t>
            </w:r>
            <w:r>
              <w:rPr>
                <w:rFonts w:eastAsia="黑体"/>
                <w:bCs/>
              </w:rPr>
              <w:t xml:space="preserve">Fund management </w:t>
            </w:r>
            <w:r>
              <w:rPr>
                <w:rFonts w:hint="eastAsia" w:eastAsiaTheme="minorEastAsia"/>
                <w:bCs/>
              </w:rPr>
              <w:t>company</w:t>
            </w:r>
          </w:p>
          <w:p w14:paraId="2C21410C">
            <w:pPr>
              <w:jc w:val="left"/>
              <w:rPr>
                <w:rFonts w:eastAsiaTheme="minorEastAsia"/>
                <w:bCs/>
              </w:rPr>
            </w:pPr>
            <w:r>
              <w:rPr>
                <w:rFonts w:hint="eastAsia" w:eastAsia="黑体"/>
                <w:bCs/>
              </w:rPr>
              <w:t>□</w:t>
            </w:r>
            <w:r>
              <w:rPr>
                <w:rFonts w:hint="eastAsia" w:eastAsiaTheme="minorEastAsia"/>
                <w:bCs/>
              </w:rPr>
              <w:t>期货公司 Futures company</w:t>
            </w:r>
          </w:p>
          <w:p w14:paraId="72AA5134">
            <w:pPr>
              <w:jc w:val="left"/>
              <w:rPr>
                <w:rFonts w:eastAsiaTheme="minorEastAsia"/>
                <w:bCs/>
              </w:rPr>
            </w:pPr>
            <w:r>
              <w:rPr>
                <w:rFonts w:hint="eastAsia" w:eastAsia="黑体"/>
                <w:bCs/>
              </w:rPr>
              <w:t>□</w:t>
            </w:r>
            <w:r>
              <w:rPr>
                <w:rFonts w:hint="eastAsia" w:eastAsiaTheme="minorEastAsia"/>
                <w:bCs/>
              </w:rPr>
              <w:t>信托公司 Trust company</w:t>
            </w:r>
          </w:p>
          <w:p w14:paraId="2B41E31E">
            <w:pPr>
              <w:jc w:val="left"/>
              <w:rPr>
                <w:rFonts w:eastAsiaTheme="minorEastAsia"/>
                <w:bCs/>
              </w:rPr>
            </w:pPr>
            <w:r>
              <w:rPr>
                <w:rFonts w:hint="eastAsia" w:eastAsia="黑体"/>
                <w:bCs/>
              </w:rPr>
              <w:t>□</w:t>
            </w:r>
            <w:r>
              <w:rPr>
                <w:rFonts w:hint="eastAsia" w:eastAsiaTheme="minorEastAsia"/>
                <w:bCs/>
              </w:rPr>
              <w:t>养老基金 Pension fund</w:t>
            </w:r>
          </w:p>
          <w:p w14:paraId="25EDAA92">
            <w:pPr>
              <w:jc w:val="left"/>
              <w:rPr>
                <w:rFonts w:eastAsiaTheme="minorEastAsia"/>
                <w:bCs/>
              </w:rPr>
            </w:pPr>
            <w:r>
              <w:rPr>
                <w:rFonts w:hint="eastAsia" w:eastAsia="黑体"/>
                <w:bCs/>
              </w:rPr>
              <w:t>□</w:t>
            </w:r>
            <w:r>
              <w:rPr>
                <w:rFonts w:hint="eastAsia" w:eastAsiaTheme="minorEastAsia"/>
                <w:bCs/>
              </w:rPr>
              <w:t>慈善基金 Charitable fundation</w:t>
            </w:r>
          </w:p>
          <w:p w14:paraId="7D1D4A82">
            <w:pPr>
              <w:jc w:val="left"/>
              <w:rPr>
                <w:rFonts w:eastAsiaTheme="minorEastAsia"/>
                <w:bCs/>
              </w:rPr>
            </w:pPr>
            <w:r>
              <w:rPr>
                <w:rFonts w:hint="eastAsia" w:eastAsia="黑体"/>
                <w:bCs/>
              </w:rPr>
              <w:t>□</w:t>
            </w:r>
            <w:r>
              <w:rPr>
                <w:rFonts w:hint="eastAsia" w:eastAsiaTheme="minorEastAsia"/>
                <w:bCs/>
              </w:rPr>
              <w:t>捐赠基金 Endowment fund</w:t>
            </w:r>
          </w:p>
          <w:p w14:paraId="547DB694">
            <w:pPr>
              <w:jc w:val="left"/>
              <w:rPr>
                <w:rFonts w:eastAsiaTheme="minorEastAsia"/>
                <w:bCs/>
              </w:rPr>
            </w:pPr>
            <w:r>
              <w:rPr>
                <w:rFonts w:hint="eastAsia" w:eastAsia="黑体"/>
                <w:bCs/>
              </w:rPr>
              <w:t>□其他机构（请说明）</w:t>
            </w:r>
            <w:r>
              <w:rPr>
                <w:rFonts w:hint="eastAsia" w:eastAsiaTheme="minorEastAsia"/>
                <w:bCs/>
              </w:rPr>
              <w:t xml:space="preserve"> </w:t>
            </w:r>
            <w:r>
              <w:rPr>
                <w:rFonts w:eastAsia="黑体"/>
                <w:bCs/>
              </w:rPr>
              <w:t>Other</w:t>
            </w:r>
            <w:r>
              <w:rPr>
                <w:rFonts w:hint="eastAsia" w:eastAsia="黑体"/>
                <w:bCs/>
              </w:rPr>
              <w:t>（</w:t>
            </w:r>
            <w:r>
              <w:rPr>
                <w:rFonts w:eastAsia="黑体"/>
                <w:bCs/>
              </w:rPr>
              <w:t>please specify</w:t>
            </w:r>
            <w:r>
              <w:rPr>
                <w:rFonts w:hint="eastAsia" w:eastAsiaTheme="minorEastAsia"/>
                <w:bCs/>
              </w:rPr>
              <w:t>）</w:t>
            </w:r>
          </w:p>
        </w:tc>
      </w:tr>
      <w:tr w14:paraId="50355302">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57B1EB08">
            <w:pPr>
              <w:jc w:val="left"/>
              <w:rPr>
                <w:rFonts w:eastAsiaTheme="minorEastAsia"/>
                <w:b/>
                <w:bCs/>
              </w:rPr>
            </w:pPr>
            <w:r>
              <w:rPr>
                <w:rFonts w:hint="eastAsia" w:eastAsiaTheme="minorEastAsia"/>
                <w:b/>
                <w:bCs/>
              </w:rPr>
              <w:t>所在国家/地区</w:t>
            </w:r>
          </w:p>
          <w:p w14:paraId="5D4922C1">
            <w:pPr>
              <w:jc w:val="left"/>
              <w:rPr>
                <w:rFonts w:eastAsiaTheme="minorEastAsia"/>
                <w:bCs/>
              </w:rPr>
            </w:pPr>
            <w:r>
              <w:rPr>
                <w:rFonts w:eastAsiaTheme="minorEastAsia"/>
                <w:bCs/>
              </w:rPr>
              <w:t>Country/Region</w:t>
            </w:r>
          </w:p>
        </w:tc>
        <w:tc>
          <w:tcPr>
            <w:tcW w:w="6197" w:type="dxa"/>
            <w:gridSpan w:val="9"/>
            <w:tcBorders>
              <w:top w:val="single" w:color="auto" w:sz="4" w:space="0"/>
              <w:left w:val="nil"/>
              <w:bottom w:val="single" w:color="auto" w:sz="4" w:space="0"/>
              <w:right w:val="single" w:color="auto" w:sz="4" w:space="0"/>
            </w:tcBorders>
            <w:vAlign w:val="center"/>
          </w:tcPr>
          <w:p w14:paraId="437FA21D">
            <w:pPr>
              <w:ind w:left="210" w:hanging="210" w:hangingChars="100"/>
              <w:jc w:val="left"/>
              <w:rPr>
                <w:rFonts w:eastAsiaTheme="minorEastAsia"/>
                <w:bCs/>
              </w:rPr>
            </w:pPr>
          </w:p>
        </w:tc>
      </w:tr>
      <w:tr w14:paraId="75E05193">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637FF0DF">
            <w:pPr>
              <w:jc w:val="left"/>
              <w:rPr>
                <w:rFonts w:eastAsiaTheme="minorEastAsia"/>
                <w:b/>
                <w:bCs/>
              </w:rPr>
            </w:pPr>
            <w:r>
              <w:rPr>
                <w:rFonts w:hint="eastAsia" w:eastAsiaTheme="minorEastAsia"/>
                <w:b/>
                <w:bCs/>
              </w:rPr>
              <w:t>证券帐户</w:t>
            </w:r>
          </w:p>
          <w:p w14:paraId="0D9B4E72">
            <w:pPr>
              <w:jc w:val="left"/>
              <w:rPr>
                <w:rFonts w:eastAsiaTheme="minorEastAsia"/>
                <w:bCs/>
              </w:rPr>
            </w:pPr>
            <w:r>
              <w:rPr>
                <w:rFonts w:hint="eastAsia" w:eastAsiaTheme="minorEastAsia"/>
                <w:bCs/>
              </w:rPr>
              <w:t>Security Account（s）</w:t>
            </w:r>
          </w:p>
        </w:tc>
        <w:tc>
          <w:tcPr>
            <w:tcW w:w="6197" w:type="dxa"/>
            <w:gridSpan w:val="9"/>
            <w:tcBorders>
              <w:top w:val="single" w:color="auto" w:sz="4" w:space="0"/>
              <w:left w:val="nil"/>
              <w:bottom w:val="single" w:color="auto" w:sz="4" w:space="0"/>
              <w:right w:val="single" w:color="auto" w:sz="4" w:space="0"/>
            </w:tcBorders>
            <w:vAlign w:val="center"/>
          </w:tcPr>
          <w:p w14:paraId="749F95C6">
            <w:pPr>
              <w:ind w:left="210" w:hanging="210" w:hangingChars="100"/>
              <w:jc w:val="left"/>
              <w:rPr>
                <w:rFonts w:eastAsiaTheme="minorEastAsia"/>
                <w:bCs/>
              </w:rPr>
            </w:pPr>
            <w:r>
              <w:rPr>
                <w:rFonts w:hint="eastAsia" w:eastAsiaTheme="minorEastAsia"/>
                <w:bCs/>
              </w:rPr>
              <w:t>（可填多项）</w:t>
            </w:r>
          </w:p>
          <w:p w14:paraId="5F7B0FBB">
            <w:pPr>
              <w:ind w:left="210" w:leftChars="50" w:hanging="105" w:hangingChars="50"/>
              <w:jc w:val="left"/>
              <w:rPr>
                <w:rFonts w:eastAsiaTheme="minorEastAsia"/>
                <w:bCs/>
              </w:rPr>
            </w:pPr>
          </w:p>
        </w:tc>
      </w:tr>
      <w:tr w14:paraId="4FE89943">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065B5372">
            <w:pPr>
              <w:jc w:val="left"/>
              <w:rPr>
                <w:rFonts w:eastAsiaTheme="minorEastAsia"/>
                <w:b/>
                <w:bCs/>
              </w:rPr>
            </w:pPr>
            <w:r>
              <w:rPr>
                <w:rFonts w:hint="eastAsia" w:eastAsiaTheme="minorEastAsia"/>
                <w:b/>
                <w:bCs/>
              </w:rPr>
              <w:t>账户名称</w:t>
            </w:r>
          </w:p>
          <w:p w14:paraId="283D1EA5">
            <w:pPr>
              <w:jc w:val="left"/>
              <w:rPr>
                <w:rFonts w:eastAsiaTheme="minorEastAsia"/>
                <w:b/>
                <w:bCs/>
              </w:rPr>
            </w:pPr>
            <w:r>
              <w:rPr>
                <w:rFonts w:hint="eastAsia" w:eastAsiaTheme="minorEastAsia"/>
                <w:bCs/>
              </w:rPr>
              <w:t>Account Name（s）</w:t>
            </w:r>
          </w:p>
        </w:tc>
        <w:tc>
          <w:tcPr>
            <w:tcW w:w="6197" w:type="dxa"/>
            <w:gridSpan w:val="9"/>
            <w:tcBorders>
              <w:top w:val="single" w:color="auto" w:sz="4" w:space="0"/>
              <w:left w:val="nil"/>
              <w:bottom w:val="single" w:color="auto" w:sz="4" w:space="0"/>
              <w:right w:val="single" w:color="auto" w:sz="4" w:space="0"/>
            </w:tcBorders>
            <w:vAlign w:val="center"/>
          </w:tcPr>
          <w:p w14:paraId="516B39E7">
            <w:pPr>
              <w:ind w:left="210" w:hanging="210" w:hangingChars="100"/>
              <w:jc w:val="left"/>
              <w:rPr>
                <w:rFonts w:eastAsiaTheme="minorEastAsia"/>
                <w:bCs/>
              </w:rPr>
            </w:pPr>
            <w:r>
              <w:rPr>
                <w:rFonts w:hint="eastAsia" w:eastAsiaTheme="minorEastAsia"/>
                <w:bCs/>
              </w:rPr>
              <w:t>（可填多项）</w:t>
            </w:r>
          </w:p>
          <w:p w14:paraId="081D8CDF">
            <w:pPr>
              <w:ind w:left="210" w:leftChars="50" w:hanging="105" w:hangingChars="50"/>
              <w:jc w:val="left"/>
              <w:rPr>
                <w:rFonts w:eastAsia="黑体"/>
                <w:bCs/>
              </w:rPr>
            </w:pPr>
          </w:p>
        </w:tc>
      </w:tr>
      <w:tr w14:paraId="2DCD98B6">
        <w:tblPrEx>
          <w:tblCellMar>
            <w:top w:w="0" w:type="dxa"/>
            <w:left w:w="108" w:type="dxa"/>
            <w:bottom w:w="0" w:type="dxa"/>
            <w:right w:w="108" w:type="dxa"/>
          </w:tblCellMar>
        </w:tblPrEx>
        <w:trPr>
          <w:trHeight w:val="620" w:hRule="atLeast"/>
        </w:trPr>
        <w:tc>
          <w:tcPr>
            <w:tcW w:w="2025" w:type="dxa"/>
            <w:vMerge w:val="restart"/>
            <w:tcBorders>
              <w:top w:val="nil"/>
              <w:left w:val="single" w:color="auto" w:sz="4" w:space="0"/>
              <w:bottom w:val="single" w:color="auto" w:sz="4" w:space="0"/>
              <w:right w:val="single" w:color="auto" w:sz="4" w:space="0"/>
            </w:tcBorders>
            <w:vAlign w:val="center"/>
          </w:tcPr>
          <w:p w14:paraId="27C6486D">
            <w:pPr>
              <w:jc w:val="left"/>
              <w:rPr>
                <w:rFonts w:eastAsiaTheme="minorEastAsia"/>
                <w:bCs/>
              </w:rPr>
            </w:pPr>
            <w:r>
              <w:rPr>
                <w:rFonts w:hint="eastAsia" w:eastAsiaTheme="minorEastAsia"/>
                <w:b/>
                <w:bCs/>
              </w:rPr>
              <w:t>报送</w:t>
            </w:r>
            <w:r>
              <w:rPr>
                <w:rFonts w:hint="eastAsia" w:eastAsia="黑体"/>
                <w:b/>
                <w:bCs/>
              </w:rPr>
              <w:t>内容</w:t>
            </w:r>
          </w:p>
          <w:p w14:paraId="71114D08">
            <w:pPr>
              <w:jc w:val="left"/>
              <w:rPr>
                <w:rFonts w:eastAsia="黑体"/>
                <w:b/>
                <w:bCs/>
              </w:rPr>
            </w:pPr>
            <w:r>
              <w:rPr>
                <w:rFonts w:eastAsia="黑体"/>
                <w:bCs/>
              </w:rPr>
              <w:t>Contents</w:t>
            </w:r>
          </w:p>
        </w:tc>
        <w:tc>
          <w:tcPr>
            <w:tcW w:w="6197" w:type="dxa"/>
            <w:gridSpan w:val="9"/>
            <w:tcBorders>
              <w:top w:val="single" w:color="auto" w:sz="4" w:space="0"/>
              <w:left w:val="nil"/>
              <w:bottom w:val="single" w:color="auto" w:sz="4" w:space="0"/>
              <w:right w:val="single" w:color="auto" w:sz="4" w:space="0"/>
            </w:tcBorders>
            <w:vAlign w:val="center"/>
          </w:tcPr>
          <w:p w14:paraId="16135E9F">
            <w:pPr>
              <w:ind w:left="210" w:hanging="210" w:hangingChars="100"/>
              <w:jc w:val="left"/>
              <w:rPr>
                <w:rFonts w:eastAsia="黑体"/>
              </w:rPr>
            </w:pPr>
            <w:r>
              <w:rPr>
                <w:rFonts w:hint="eastAsia" w:eastAsia="黑体"/>
                <w:bCs/>
              </w:rPr>
              <w:t>□</w:t>
            </w:r>
            <w:r>
              <w:rPr>
                <w:rFonts w:hint="eastAsia" w:eastAsiaTheme="minorEastAsia"/>
                <w:bCs/>
              </w:rPr>
              <w:t>初始报送</w:t>
            </w:r>
            <w:r>
              <w:rPr>
                <w:rFonts w:hint="eastAsia" w:eastAsiaTheme="minorEastAsia"/>
              </w:rPr>
              <w:t xml:space="preserve"> </w:t>
            </w:r>
            <w:r>
              <w:rPr>
                <w:rFonts w:eastAsiaTheme="minorEastAsia"/>
              </w:rPr>
              <w:t>Initial</w:t>
            </w:r>
            <w:r>
              <w:rPr>
                <w:rFonts w:hint="eastAsia" w:eastAsiaTheme="minorEastAsia"/>
              </w:rPr>
              <w:t xml:space="preserve"> registration</w:t>
            </w:r>
            <w:r>
              <w:rPr>
                <w:rFonts w:eastAsia="黑体"/>
              </w:rPr>
              <w:t xml:space="preserve">              </w:t>
            </w:r>
          </w:p>
          <w:p w14:paraId="70FD0F66">
            <w:pPr>
              <w:ind w:left="210" w:hanging="210" w:hangingChars="100"/>
              <w:jc w:val="left"/>
              <w:rPr>
                <w:rFonts w:eastAsia="黑体"/>
                <w:bCs/>
              </w:rPr>
            </w:pPr>
            <w:r>
              <w:rPr>
                <w:rFonts w:hint="eastAsia" w:eastAsia="黑体"/>
              </w:rPr>
              <w:t>□</w:t>
            </w:r>
            <w:r>
              <w:rPr>
                <w:rFonts w:hint="eastAsia" w:eastAsiaTheme="minorEastAsia"/>
              </w:rPr>
              <w:t>信息变更</w:t>
            </w:r>
            <w:r>
              <w:rPr>
                <w:rFonts w:eastAsia="黑体"/>
              </w:rPr>
              <w:t xml:space="preserve"> </w:t>
            </w:r>
            <w:r>
              <w:rPr>
                <w:rFonts w:hint="eastAsia" w:eastAsiaTheme="minorEastAsia"/>
              </w:rPr>
              <w:t>Information u</w:t>
            </w:r>
            <w:r>
              <w:rPr>
                <w:rFonts w:eastAsia="黑体"/>
              </w:rPr>
              <w:t>pdate</w:t>
            </w:r>
          </w:p>
        </w:tc>
      </w:tr>
      <w:tr w14:paraId="1865F210">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auto" w:sz="4" w:space="0"/>
              <w:right w:val="single" w:color="auto" w:sz="4" w:space="0"/>
            </w:tcBorders>
            <w:vAlign w:val="center"/>
          </w:tcPr>
          <w:p w14:paraId="1E1F8F89">
            <w:pPr>
              <w:jc w:val="left"/>
              <w:rPr>
                <w:rFonts w:eastAsia="黑体"/>
                <w:b/>
                <w:bCs/>
              </w:rPr>
            </w:pPr>
          </w:p>
        </w:tc>
        <w:tc>
          <w:tcPr>
            <w:tcW w:w="6197" w:type="dxa"/>
            <w:gridSpan w:val="9"/>
            <w:tcBorders>
              <w:top w:val="single" w:color="auto" w:sz="4" w:space="0"/>
              <w:left w:val="nil"/>
              <w:bottom w:val="single" w:color="auto" w:sz="4" w:space="0"/>
              <w:right w:val="single" w:color="auto" w:sz="4" w:space="0"/>
            </w:tcBorders>
            <w:vAlign w:val="center"/>
          </w:tcPr>
          <w:p w14:paraId="6D5428A9">
            <w:pPr>
              <w:ind w:left="211" w:hanging="211" w:hangingChars="100"/>
              <w:jc w:val="left"/>
              <w:rPr>
                <w:rFonts w:eastAsiaTheme="minorEastAsia"/>
                <w:b/>
                <w:bCs/>
              </w:rPr>
            </w:pPr>
            <w:r>
              <w:rPr>
                <w:rFonts w:hint="eastAsia" w:eastAsia="黑体"/>
                <w:b/>
                <w:bCs/>
              </w:rPr>
              <w:t>变更事项</w:t>
            </w:r>
            <w:r>
              <w:rPr>
                <w:rFonts w:hint="eastAsia" w:eastAsiaTheme="minorEastAsia"/>
                <w:b/>
                <w:bCs/>
              </w:rPr>
              <w:t xml:space="preserve">                （</w:t>
            </w:r>
            <w:r>
              <w:rPr>
                <w:rFonts w:hint="eastAsia" w:eastAsia="黑体"/>
                <w:b/>
                <w:bCs/>
              </w:rPr>
              <w:t>可添加多项</w:t>
            </w:r>
            <w:r>
              <w:rPr>
                <w:rFonts w:hint="eastAsia" w:eastAsiaTheme="minorEastAsia"/>
                <w:b/>
                <w:bCs/>
              </w:rPr>
              <w:t>）</w:t>
            </w:r>
          </w:p>
          <w:p w14:paraId="43842036">
            <w:pPr>
              <w:ind w:left="210" w:hanging="210" w:hangingChars="100"/>
              <w:jc w:val="left"/>
              <w:rPr>
                <w:rFonts w:eastAsiaTheme="minorEastAsia"/>
                <w:bCs/>
              </w:rPr>
            </w:pPr>
            <w:r>
              <w:rPr>
                <w:rFonts w:eastAsia="黑体"/>
              </w:rPr>
              <w:t>Update Item</w:t>
            </w:r>
            <w:r>
              <w:rPr>
                <w:rFonts w:hint="eastAsia" w:eastAsiaTheme="minorEastAsia"/>
              </w:rPr>
              <w:t>（</w:t>
            </w:r>
            <w:r>
              <w:rPr>
                <w:rFonts w:eastAsia="黑体"/>
              </w:rPr>
              <w:t>s</w:t>
            </w:r>
            <w:r>
              <w:rPr>
                <w:rFonts w:hint="eastAsia" w:eastAsiaTheme="minorEastAsia"/>
              </w:rPr>
              <w:t>）</w:t>
            </w:r>
            <w:r>
              <w:rPr>
                <w:rFonts w:eastAsia="黑体"/>
              </w:rPr>
              <w:t xml:space="preserve">: </w:t>
            </w:r>
            <w:r>
              <w:rPr>
                <w:rFonts w:hint="eastAsia" w:eastAsiaTheme="minorEastAsia"/>
              </w:rPr>
              <w:t xml:space="preserve">             </w:t>
            </w:r>
          </w:p>
        </w:tc>
      </w:tr>
      <w:tr w14:paraId="3178F6F4">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6951B9DE">
            <w:pPr>
              <w:jc w:val="left"/>
              <w:rPr>
                <w:rFonts w:eastAsiaTheme="minorEastAsia"/>
                <w:b/>
                <w:bCs/>
              </w:rPr>
            </w:pPr>
            <w:r>
              <w:rPr>
                <w:rFonts w:hint="eastAsia" w:eastAsia="黑体"/>
                <w:b/>
                <w:bCs/>
              </w:rPr>
              <w:t>法人</w:t>
            </w:r>
            <w:r>
              <w:rPr>
                <w:rFonts w:eastAsia="黑体"/>
                <w:b/>
                <w:bCs/>
              </w:rPr>
              <w:t>/</w:t>
            </w:r>
            <w:r>
              <w:rPr>
                <w:rFonts w:hint="eastAsia" w:eastAsia="黑体"/>
                <w:b/>
                <w:bCs/>
              </w:rPr>
              <w:t>管理人</w:t>
            </w:r>
          </w:p>
          <w:p w14:paraId="67B543E2">
            <w:pPr>
              <w:jc w:val="left"/>
              <w:rPr>
                <w:rFonts w:eastAsia="黑体"/>
                <w:b/>
                <w:bCs/>
              </w:rPr>
            </w:pPr>
            <w:r>
              <w:rPr>
                <w:rFonts w:hint="eastAsia" w:eastAsia="黑体"/>
                <w:b/>
                <w:bCs/>
              </w:rPr>
              <w:t>等联系方式</w:t>
            </w:r>
          </w:p>
          <w:p w14:paraId="04C8D1D7">
            <w:pPr>
              <w:jc w:val="left"/>
              <w:rPr>
                <w:rFonts w:eastAsia="黑体"/>
                <w:bCs/>
              </w:rPr>
            </w:pPr>
            <w:r>
              <w:rPr>
                <w:rFonts w:eastAsia="黑体"/>
                <w:bCs/>
              </w:rPr>
              <w:t>Contact of Incorporated Entity / Asset Management Company</w:t>
            </w:r>
          </w:p>
        </w:tc>
        <w:tc>
          <w:tcPr>
            <w:tcW w:w="1311" w:type="dxa"/>
            <w:tcBorders>
              <w:top w:val="nil"/>
              <w:left w:val="nil"/>
              <w:bottom w:val="single" w:color="auto" w:sz="4" w:space="0"/>
              <w:right w:val="single" w:color="auto" w:sz="4" w:space="0"/>
            </w:tcBorders>
            <w:vAlign w:val="center"/>
          </w:tcPr>
          <w:p w14:paraId="1212A15C">
            <w:pPr>
              <w:jc w:val="left"/>
              <w:rPr>
                <w:rFonts w:eastAsia="黑体"/>
                <w:b/>
                <w:bCs/>
              </w:rPr>
            </w:pPr>
            <w:r>
              <w:rPr>
                <w:rFonts w:hint="eastAsia" w:eastAsia="黑体"/>
                <w:b/>
                <w:bCs/>
              </w:rPr>
              <w:t>部门名称</w:t>
            </w:r>
          </w:p>
          <w:p w14:paraId="1AC6AF32">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3F30E94B">
            <w:pPr>
              <w:ind w:left="210" w:hanging="210" w:hangingChars="100"/>
              <w:jc w:val="left"/>
              <w:rPr>
                <w:rFonts w:eastAsia="黑体"/>
                <w:bCs/>
              </w:rPr>
            </w:pPr>
          </w:p>
        </w:tc>
      </w:tr>
      <w:tr w14:paraId="7D1DE989">
        <w:tblPrEx>
          <w:tblCellMar>
            <w:top w:w="0" w:type="dxa"/>
            <w:left w:w="108" w:type="dxa"/>
            <w:bottom w:w="0" w:type="dxa"/>
            <w:right w:w="108" w:type="dxa"/>
          </w:tblCellMar>
        </w:tblPrEx>
        <w:trPr>
          <w:trHeight w:val="1500" w:hRule="atLeast"/>
        </w:trPr>
        <w:tc>
          <w:tcPr>
            <w:tcW w:w="2025" w:type="dxa"/>
            <w:vMerge w:val="continue"/>
            <w:tcBorders>
              <w:top w:val="nil"/>
              <w:left w:val="single" w:color="auto" w:sz="4" w:space="0"/>
              <w:bottom w:val="single" w:color="000000" w:sz="4" w:space="0"/>
              <w:right w:val="single" w:color="auto" w:sz="4" w:space="0"/>
            </w:tcBorders>
            <w:vAlign w:val="center"/>
          </w:tcPr>
          <w:p w14:paraId="514AD771">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741C1D3">
            <w:pPr>
              <w:jc w:val="left"/>
              <w:rPr>
                <w:rFonts w:eastAsia="黑体"/>
                <w:b/>
                <w:bCs/>
              </w:rPr>
            </w:pPr>
            <w:r>
              <w:rPr>
                <w:rFonts w:hint="eastAsia" w:eastAsia="黑体"/>
                <w:b/>
                <w:bCs/>
              </w:rPr>
              <w:t>负责人职务</w:t>
            </w:r>
          </w:p>
          <w:p w14:paraId="309C36F9">
            <w:pPr>
              <w:tabs>
                <w:tab w:val="center" w:pos="4153"/>
                <w:tab w:val="right" w:pos="8306"/>
              </w:tabs>
              <w:snapToGrid w:val="0"/>
              <w:jc w:val="left"/>
              <w:rPr>
                <w:rFonts w:eastAsiaTheme="minorEastAsia"/>
                <w:bCs/>
              </w:rPr>
            </w:pPr>
            <w:r>
              <w:rPr>
                <w:rFonts w:eastAsia="黑体"/>
                <w:bCs/>
              </w:rPr>
              <w:t xml:space="preserve">Title of </w:t>
            </w:r>
            <w:r>
              <w:rPr>
                <w:rFonts w:hint="eastAsia" w:eastAsiaTheme="minorEastAsia"/>
                <w:bCs/>
              </w:rPr>
              <w:t>P</w:t>
            </w:r>
            <w:r>
              <w:rPr>
                <w:rFonts w:eastAsia="黑体"/>
                <w:bCs/>
              </w:rPr>
              <w:t>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31160CB9">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0A2F9A5C">
            <w:pPr>
              <w:jc w:val="left"/>
              <w:rPr>
                <w:rFonts w:eastAsia="黑体"/>
                <w:b/>
                <w:bCs/>
              </w:rPr>
            </w:pPr>
            <w:r>
              <w:rPr>
                <w:rFonts w:hint="eastAsia" w:eastAsia="黑体"/>
                <w:b/>
                <w:bCs/>
              </w:rPr>
              <w:t>负责人姓名</w:t>
            </w:r>
          </w:p>
          <w:p w14:paraId="610C582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P</w:t>
            </w:r>
            <w:r>
              <w:rPr>
                <w:rFonts w:eastAsia="黑体"/>
                <w:bCs/>
              </w:rPr>
              <w:t>erson</w:t>
            </w:r>
            <w:r>
              <w:rPr>
                <w:rFonts w:hint="eastAsia" w:eastAsiaTheme="minorEastAsia"/>
                <w:bCs/>
              </w:rPr>
              <w:t xml:space="preserve"> in Charge</w:t>
            </w:r>
          </w:p>
        </w:tc>
        <w:tc>
          <w:tcPr>
            <w:tcW w:w="894" w:type="dxa"/>
            <w:gridSpan w:val="2"/>
            <w:tcBorders>
              <w:top w:val="nil"/>
              <w:left w:val="nil"/>
              <w:bottom w:val="single" w:color="auto" w:sz="4" w:space="0"/>
              <w:right w:val="single" w:color="auto" w:sz="4" w:space="0"/>
            </w:tcBorders>
            <w:noWrap/>
            <w:vAlign w:val="bottom"/>
          </w:tcPr>
          <w:p w14:paraId="7A89D418">
            <w:pPr>
              <w:ind w:left="200" w:hanging="200" w:hangingChars="100"/>
              <w:jc w:val="center"/>
              <w:rPr>
                <w:sz w:val="20"/>
                <w:szCs w:val="20"/>
              </w:rPr>
            </w:pPr>
            <w:r>
              <w:rPr>
                <w:rFonts w:hint="eastAsia"/>
                <w:sz w:val="20"/>
                <w:szCs w:val="20"/>
              </w:rPr>
              <w:t>　</w:t>
            </w:r>
          </w:p>
        </w:tc>
        <w:tc>
          <w:tcPr>
            <w:tcW w:w="807" w:type="dxa"/>
            <w:tcBorders>
              <w:top w:val="nil"/>
              <w:left w:val="nil"/>
              <w:bottom w:val="single" w:color="auto" w:sz="4" w:space="0"/>
              <w:right w:val="single" w:color="auto" w:sz="4" w:space="0"/>
            </w:tcBorders>
            <w:vAlign w:val="center"/>
          </w:tcPr>
          <w:p w14:paraId="4780BFD4">
            <w:pPr>
              <w:jc w:val="left"/>
              <w:rPr>
                <w:rFonts w:eastAsia="黑体"/>
                <w:b/>
                <w:bCs/>
              </w:rPr>
            </w:pPr>
            <w:r>
              <w:rPr>
                <w:rFonts w:hint="eastAsia" w:eastAsia="黑体"/>
                <w:b/>
                <w:bCs/>
              </w:rPr>
              <w:t>联系电话</w:t>
            </w:r>
          </w:p>
          <w:p w14:paraId="6C7166B1">
            <w:pPr>
              <w:jc w:val="left"/>
              <w:rPr>
                <w:rFonts w:eastAsia="黑体"/>
                <w:b/>
                <w:bCs/>
              </w:rPr>
            </w:pPr>
            <w:r>
              <w:rPr>
                <w:rFonts w:eastAsia="黑体"/>
                <w:bCs/>
              </w:rPr>
              <w:t>Tel</w:t>
            </w:r>
            <w:r>
              <w:rPr>
                <w:rFonts w:eastAsia="黑体"/>
                <w:b/>
                <w:bCs/>
              </w:rPr>
              <w:t>.</w:t>
            </w:r>
          </w:p>
        </w:tc>
        <w:tc>
          <w:tcPr>
            <w:tcW w:w="1134" w:type="dxa"/>
            <w:gridSpan w:val="2"/>
            <w:tcBorders>
              <w:top w:val="nil"/>
              <w:left w:val="nil"/>
              <w:bottom w:val="single" w:color="auto" w:sz="4" w:space="0"/>
              <w:right w:val="single" w:color="auto" w:sz="4" w:space="0"/>
            </w:tcBorders>
            <w:vAlign w:val="center"/>
          </w:tcPr>
          <w:p w14:paraId="184073D7">
            <w:pPr>
              <w:ind w:left="210" w:hanging="210" w:hangingChars="100"/>
              <w:jc w:val="center"/>
              <w:rPr>
                <w:rFonts w:eastAsia="黑体"/>
                <w:bCs/>
              </w:rPr>
            </w:pPr>
            <w:r>
              <w:rPr>
                <w:rFonts w:hint="eastAsia" w:eastAsia="黑体"/>
                <w:bCs/>
              </w:rPr>
              <w:t>　</w:t>
            </w:r>
          </w:p>
        </w:tc>
      </w:tr>
      <w:tr w14:paraId="092A5BD5">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50BE1554">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3559BB44">
            <w:pPr>
              <w:jc w:val="left"/>
              <w:rPr>
                <w:rFonts w:eastAsia="黑体"/>
                <w:b/>
                <w:bCs/>
              </w:rPr>
            </w:pPr>
            <w:r>
              <w:rPr>
                <w:rFonts w:hint="eastAsia" w:eastAsia="黑体"/>
                <w:b/>
                <w:bCs/>
              </w:rPr>
              <w:t>经办人职务</w:t>
            </w:r>
          </w:p>
          <w:p w14:paraId="0E754651">
            <w:pPr>
              <w:tabs>
                <w:tab w:val="center" w:pos="4153"/>
                <w:tab w:val="right" w:pos="8306"/>
              </w:tabs>
              <w:snapToGrid w:val="0"/>
              <w:jc w:val="left"/>
              <w:rPr>
                <w:rFonts w:eastAsiaTheme="minorEastAsia"/>
              </w:rPr>
            </w:pP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17F955C2">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65D06AF2">
            <w:pPr>
              <w:jc w:val="left"/>
              <w:rPr>
                <w:rFonts w:eastAsia="黑体"/>
                <w:b/>
                <w:bCs/>
              </w:rPr>
            </w:pPr>
            <w:r>
              <w:rPr>
                <w:rFonts w:hint="eastAsia" w:eastAsia="黑体"/>
                <w:b/>
                <w:bCs/>
              </w:rPr>
              <w:t>经办人姓名</w:t>
            </w:r>
          </w:p>
          <w:p w14:paraId="7A71A41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94" w:type="dxa"/>
            <w:gridSpan w:val="2"/>
            <w:tcBorders>
              <w:top w:val="nil"/>
              <w:left w:val="nil"/>
              <w:bottom w:val="single" w:color="auto" w:sz="4" w:space="0"/>
              <w:right w:val="single" w:color="auto" w:sz="4" w:space="0"/>
            </w:tcBorders>
            <w:noWrap/>
            <w:vAlign w:val="bottom"/>
          </w:tcPr>
          <w:p w14:paraId="10455A69">
            <w:pPr>
              <w:rPr>
                <w:rFonts w:eastAsiaTheme="minorEastAsia"/>
                <w:sz w:val="20"/>
                <w:szCs w:val="20"/>
              </w:rPr>
            </w:pPr>
          </w:p>
        </w:tc>
        <w:tc>
          <w:tcPr>
            <w:tcW w:w="807" w:type="dxa"/>
            <w:tcBorders>
              <w:top w:val="nil"/>
              <w:left w:val="nil"/>
              <w:bottom w:val="single" w:color="auto" w:sz="4" w:space="0"/>
              <w:right w:val="single" w:color="auto" w:sz="4" w:space="0"/>
            </w:tcBorders>
            <w:vAlign w:val="center"/>
          </w:tcPr>
          <w:p w14:paraId="1D12394A">
            <w:pPr>
              <w:jc w:val="left"/>
              <w:rPr>
                <w:rFonts w:eastAsia="黑体"/>
                <w:b/>
                <w:bCs/>
              </w:rPr>
            </w:pPr>
            <w:r>
              <w:rPr>
                <w:rFonts w:hint="eastAsia" w:eastAsia="黑体"/>
                <w:b/>
                <w:bCs/>
              </w:rPr>
              <w:t>联系电话</w:t>
            </w:r>
          </w:p>
          <w:p w14:paraId="7EC665DF">
            <w:pPr>
              <w:jc w:val="left"/>
              <w:rPr>
                <w:rFonts w:eastAsia="黑体"/>
                <w:bCs/>
              </w:rPr>
            </w:pPr>
            <w:r>
              <w:rPr>
                <w:rFonts w:eastAsia="黑体"/>
                <w:bCs/>
              </w:rPr>
              <w:t>Tel.</w:t>
            </w:r>
          </w:p>
        </w:tc>
        <w:tc>
          <w:tcPr>
            <w:tcW w:w="1134" w:type="dxa"/>
            <w:gridSpan w:val="2"/>
            <w:tcBorders>
              <w:top w:val="nil"/>
              <w:left w:val="nil"/>
              <w:bottom w:val="single" w:color="auto" w:sz="4" w:space="0"/>
              <w:right w:val="single" w:color="auto" w:sz="4" w:space="0"/>
            </w:tcBorders>
            <w:vAlign w:val="center"/>
          </w:tcPr>
          <w:p w14:paraId="4EBC35A7">
            <w:pPr>
              <w:ind w:left="200" w:hanging="200" w:hangingChars="100"/>
              <w:jc w:val="center"/>
              <w:rPr>
                <w:sz w:val="20"/>
                <w:szCs w:val="20"/>
              </w:rPr>
            </w:pPr>
            <w:r>
              <w:rPr>
                <w:rFonts w:hint="eastAsia"/>
                <w:sz w:val="20"/>
                <w:szCs w:val="20"/>
              </w:rPr>
              <w:t>　</w:t>
            </w:r>
          </w:p>
        </w:tc>
      </w:tr>
      <w:tr w14:paraId="5411E8B2">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3575E22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835E2BC">
            <w:pPr>
              <w:jc w:val="left"/>
              <w:rPr>
                <w:rFonts w:eastAsia="黑体"/>
                <w:b/>
                <w:bCs/>
              </w:rPr>
            </w:pPr>
            <w:r>
              <w:rPr>
                <w:rFonts w:hint="eastAsia" w:eastAsia="黑体"/>
                <w:b/>
                <w:bCs/>
              </w:rPr>
              <w:t>传真</w:t>
            </w:r>
          </w:p>
          <w:p w14:paraId="04234C9E">
            <w:pPr>
              <w:jc w:val="left"/>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3E3187CA">
            <w:pPr>
              <w:ind w:left="210" w:hanging="210" w:hangingChars="100"/>
              <w:jc w:val="left"/>
              <w:rPr>
                <w:rFonts w:eastAsiaTheme="minorEastAsia"/>
                <w:bCs/>
              </w:rPr>
            </w:pPr>
          </w:p>
        </w:tc>
        <w:tc>
          <w:tcPr>
            <w:tcW w:w="894" w:type="dxa"/>
            <w:gridSpan w:val="2"/>
            <w:tcBorders>
              <w:top w:val="nil"/>
              <w:left w:val="nil"/>
              <w:bottom w:val="single" w:color="auto" w:sz="4" w:space="0"/>
              <w:right w:val="single" w:color="auto" w:sz="4" w:space="0"/>
            </w:tcBorders>
            <w:vAlign w:val="center"/>
          </w:tcPr>
          <w:p w14:paraId="6EDA088D">
            <w:pPr>
              <w:jc w:val="left"/>
              <w:rPr>
                <w:rFonts w:eastAsia="黑体"/>
                <w:b/>
                <w:bCs/>
              </w:rPr>
            </w:pPr>
            <w:r>
              <w:rPr>
                <w:rFonts w:hint="eastAsia" w:eastAsia="黑体"/>
                <w:b/>
                <w:bCs/>
              </w:rPr>
              <w:t>邮件</w:t>
            </w:r>
          </w:p>
          <w:p w14:paraId="4C0DEC07">
            <w:pPr>
              <w:jc w:val="left"/>
              <w:rPr>
                <w:rFonts w:eastAsia="黑体"/>
                <w:bCs/>
              </w:rPr>
            </w:pPr>
            <w:r>
              <w:rPr>
                <w:rFonts w:eastAsia="黑体"/>
                <w:bCs/>
              </w:rPr>
              <w:t>Email</w:t>
            </w:r>
          </w:p>
        </w:tc>
        <w:tc>
          <w:tcPr>
            <w:tcW w:w="1941" w:type="dxa"/>
            <w:gridSpan w:val="3"/>
            <w:tcBorders>
              <w:top w:val="single" w:color="auto" w:sz="4" w:space="0"/>
              <w:left w:val="nil"/>
              <w:bottom w:val="single" w:color="auto" w:sz="4" w:space="0"/>
              <w:right w:val="single" w:color="auto" w:sz="4" w:space="0"/>
            </w:tcBorders>
            <w:vAlign w:val="center"/>
          </w:tcPr>
          <w:p w14:paraId="608EE722">
            <w:pPr>
              <w:ind w:left="210" w:hanging="210" w:hangingChars="100"/>
              <w:jc w:val="left"/>
              <w:rPr>
                <w:rFonts w:eastAsia="黑体"/>
                <w:bCs/>
              </w:rPr>
            </w:pPr>
            <w:r>
              <w:rPr>
                <w:rFonts w:hint="eastAsia" w:eastAsia="黑体"/>
                <w:bCs/>
              </w:rPr>
              <w:t>　</w:t>
            </w:r>
          </w:p>
        </w:tc>
      </w:tr>
      <w:tr w14:paraId="070D38B2">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49DB201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1415090F">
            <w:pPr>
              <w:jc w:val="left"/>
              <w:rPr>
                <w:rFonts w:eastAsia="黑体"/>
                <w:b/>
                <w:bCs/>
              </w:rPr>
            </w:pPr>
            <w:r>
              <w:rPr>
                <w:rFonts w:hint="eastAsia" w:eastAsia="黑体"/>
                <w:b/>
                <w:bCs/>
              </w:rPr>
              <w:t>详细地址</w:t>
            </w:r>
          </w:p>
          <w:p w14:paraId="425F8BB7">
            <w:pPr>
              <w:jc w:val="left"/>
              <w:rPr>
                <w:rFonts w:eastAsia="黑体"/>
                <w:bCs/>
              </w:rPr>
            </w:pPr>
            <w:r>
              <w:rPr>
                <w:rFonts w:eastAsia="黑体"/>
                <w:bCs/>
              </w:rPr>
              <w:t>Address</w:t>
            </w:r>
          </w:p>
        </w:tc>
        <w:tc>
          <w:tcPr>
            <w:tcW w:w="4886" w:type="dxa"/>
            <w:gridSpan w:val="8"/>
            <w:tcBorders>
              <w:top w:val="single" w:color="auto" w:sz="4" w:space="0"/>
              <w:left w:val="nil"/>
              <w:bottom w:val="single" w:color="auto" w:sz="4" w:space="0"/>
              <w:right w:val="single" w:color="000000" w:sz="4" w:space="0"/>
            </w:tcBorders>
            <w:vAlign w:val="center"/>
          </w:tcPr>
          <w:p w14:paraId="55AEFEA5">
            <w:pPr>
              <w:ind w:left="210" w:hanging="210" w:hangingChars="100"/>
              <w:jc w:val="left"/>
              <w:rPr>
                <w:rFonts w:eastAsia="黑体"/>
                <w:bCs/>
              </w:rPr>
            </w:pPr>
            <w:r>
              <w:rPr>
                <w:rFonts w:hint="eastAsia" w:eastAsia="黑体"/>
                <w:bCs/>
              </w:rPr>
              <w:t>　</w:t>
            </w:r>
          </w:p>
        </w:tc>
      </w:tr>
      <w:tr w14:paraId="3EF87203">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0EE8F35">
            <w:pPr>
              <w:snapToGrid w:val="0"/>
              <w:jc w:val="left"/>
              <w:rPr>
                <w:rFonts w:eastAsia="黑体"/>
                <w:b/>
                <w:bCs/>
              </w:rPr>
            </w:pPr>
            <w:r>
              <w:rPr>
                <w:rFonts w:hint="eastAsia" w:eastAsia="黑体"/>
                <w:b/>
                <w:bCs/>
              </w:rPr>
              <w:t>托管人联系方式</w:t>
            </w:r>
          </w:p>
          <w:p w14:paraId="3989F1A5">
            <w:pPr>
              <w:snapToGrid w:val="0"/>
              <w:jc w:val="left"/>
              <w:rPr>
                <w:rFonts w:eastAsia="黑体"/>
                <w:bCs/>
              </w:rPr>
            </w:pPr>
            <w:r>
              <w:rPr>
                <w:rFonts w:eastAsia="黑体"/>
                <w:bCs/>
              </w:rPr>
              <w:t xml:space="preserve">Contact of </w:t>
            </w:r>
            <w:r>
              <w:rPr>
                <w:rFonts w:hint="eastAsia" w:eastAsiaTheme="minorEastAsia"/>
                <w:bCs/>
              </w:rPr>
              <w:t xml:space="preserve">Main </w:t>
            </w:r>
            <w:r>
              <w:rPr>
                <w:rFonts w:eastAsia="黑体"/>
                <w:bCs/>
              </w:rPr>
              <w:t>Custodian</w:t>
            </w:r>
          </w:p>
        </w:tc>
        <w:tc>
          <w:tcPr>
            <w:tcW w:w="1311" w:type="dxa"/>
            <w:tcBorders>
              <w:top w:val="nil"/>
              <w:left w:val="nil"/>
              <w:bottom w:val="single" w:color="auto" w:sz="4" w:space="0"/>
              <w:right w:val="single" w:color="auto" w:sz="4" w:space="0"/>
            </w:tcBorders>
            <w:vAlign w:val="center"/>
          </w:tcPr>
          <w:p w14:paraId="25FC186A">
            <w:pPr>
              <w:snapToGrid w:val="0"/>
              <w:jc w:val="left"/>
              <w:rPr>
                <w:rFonts w:eastAsia="黑体"/>
                <w:b/>
                <w:bCs/>
              </w:rPr>
            </w:pPr>
            <w:r>
              <w:rPr>
                <w:rFonts w:hint="eastAsia" w:eastAsiaTheme="minorEastAsia"/>
                <w:b/>
                <w:bCs/>
              </w:rPr>
              <w:t>机构</w:t>
            </w:r>
            <w:r>
              <w:rPr>
                <w:rFonts w:hint="eastAsia" w:eastAsia="黑体"/>
                <w:b/>
                <w:bCs/>
              </w:rPr>
              <w:t>名称</w:t>
            </w:r>
          </w:p>
          <w:p w14:paraId="38BCCDC3">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1BB25731">
            <w:pPr>
              <w:snapToGrid w:val="0"/>
              <w:jc w:val="left"/>
              <w:rPr>
                <w:rFonts w:eastAsia="黑体"/>
                <w:b/>
                <w:bCs/>
              </w:rPr>
            </w:pPr>
          </w:p>
        </w:tc>
      </w:tr>
      <w:tr w14:paraId="2184EF09">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339540">
            <w:pPr>
              <w:jc w:val="left"/>
              <w:rPr>
                <w:rFonts w:eastAsia="黑体"/>
                <w:b/>
                <w:bCs/>
              </w:rPr>
            </w:pPr>
          </w:p>
        </w:tc>
        <w:tc>
          <w:tcPr>
            <w:tcW w:w="1311" w:type="dxa"/>
            <w:tcBorders>
              <w:top w:val="nil"/>
              <w:left w:val="nil"/>
              <w:bottom w:val="single" w:color="auto" w:sz="4" w:space="0"/>
              <w:right w:val="single" w:color="auto" w:sz="4" w:space="0"/>
            </w:tcBorders>
            <w:vAlign w:val="center"/>
          </w:tcPr>
          <w:p w14:paraId="65ED3DE6">
            <w:pPr>
              <w:jc w:val="left"/>
              <w:rPr>
                <w:rFonts w:eastAsia="黑体"/>
                <w:b/>
                <w:bCs/>
              </w:rPr>
            </w:pPr>
            <w:r>
              <w:rPr>
                <w:rFonts w:hint="eastAsia" w:eastAsia="黑体"/>
                <w:b/>
                <w:bCs/>
              </w:rPr>
              <w:t>部门名称</w:t>
            </w:r>
          </w:p>
          <w:p w14:paraId="6AE2FDCE">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625DDA3D">
            <w:pPr>
              <w:rPr>
                <w:rFonts w:eastAsia="黑体"/>
                <w:b/>
                <w:bCs/>
              </w:rPr>
            </w:pPr>
            <w:r>
              <w:rPr>
                <w:rFonts w:hint="eastAsia" w:eastAsia="黑体"/>
                <w:b/>
                <w:bCs/>
              </w:rPr>
              <w:t>　</w:t>
            </w:r>
          </w:p>
        </w:tc>
      </w:tr>
      <w:tr w14:paraId="675E1661">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4939250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78A3E10">
            <w:pPr>
              <w:jc w:val="left"/>
              <w:rPr>
                <w:rFonts w:eastAsia="黑体"/>
                <w:b/>
                <w:bCs/>
              </w:rPr>
            </w:pPr>
            <w:r>
              <w:rPr>
                <w:rFonts w:hint="eastAsia" w:eastAsia="黑体"/>
                <w:b/>
                <w:bCs/>
              </w:rPr>
              <w:t>负责人职务</w:t>
            </w:r>
          </w:p>
          <w:p w14:paraId="05D10009">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1FEB7BCF">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3A31F601">
            <w:pPr>
              <w:jc w:val="left"/>
              <w:rPr>
                <w:rFonts w:eastAsia="黑体"/>
                <w:b/>
                <w:bCs/>
              </w:rPr>
            </w:pPr>
            <w:r>
              <w:rPr>
                <w:rFonts w:hint="eastAsia" w:eastAsia="黑体"/>
                <w:b/>
                <w:bCs/>
              </w:rPr>
              <w:t>负责人姓名</w:t>
            </w:r>
          </w:p>
          <w:p w14:paraId="1F3EA021">
            <w:pPr>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455CC2E5">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631E427E">
            <w:pPr>
              <w:jc w:val="left"/>
              <w:rPr>
                <w:rFonts w:eastAsia="黑体"/>
                <w:b/>
                <w:bCs/>
              </w:rPr>
            </w:pPr>
            <w:r>
              <w:rPr>
                <w:rFonts w:hint="eastAsia" w:eastAsia="黑体"/>
                <w:b/>
                <w:bCs/>
              </w:rPr>
              <w:t>联系电话</w:t>
            </w:r>
          </w:p>
          <w:p w14:paraId="0CF03228">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3AAA211">
            <w:pPr>
              <w:jc w:val="center"/>
              <w:rPr>
                <w:rFonts w:eastAsia="黑体"/>
                <w:b/>
                <w:bCs/>
              </w:rPr>
            </w:pPr>
          </w:p>
        </w:tc>
      </w:tr>
      <w:tr w14:paraId="35FA3F16">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6DD4B4A6">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AB9AA91">
            <w:pPr>
              <w:tabs>
                <w:tab w:val="center" w:pos="4153"/>
                <w:tab w:val="right" w:pos="8306"/>
              </w:tabs>
              <w:snapToGrid w:val="0"/>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041C5985">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50ADB6F5">
            <w:pPr>
              <w:jc w:val="left"/>
              <w:rPr>
                <w:rFonts w:eastAsia="黑体"/>
                <w:b/>
                <w:bCs/>
              </w:rPr>
            </w:pPr>
            <w:r>
              <w:rPr>
                <w:rFonts w:hint="eastAsia" w:eastAsia="黑体"/>
                <w:b/>
                <w:bCs/>
              </w:rPr>
              <w:t>经办人姓名</w:t>
            </w:r>
          </w:p>
          <w:p w14:paraId="1240BCAF">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3FEF321A">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594AFA40">
            <w:pPr>
              <w:jc w:val="left"/>
              <w:rPr>
                <w:rFonts w:eastAsia="黑体"/>
                <w:b/>
                <w:bCs/>
              </w:rPr>
            </w:pPr>
            <w:r>
              <w:rPr>
                <w:rFonts w:hint="eastAsia" w:eastAsia="黑体"/>
                <w:b/>
                <w:bCs/>
              </w:rPr>
              <w:t>联系电话</w:t>
            </w:r>
          </w:p>
          <w:p w14:paraId="46122337">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04835D6E">
            <w:pPr>
              <w:rPr>
                <w:rFonts w:eastAsia="黑体"/>
                <w:b/>
                <w:bCs/>
              </w:rPr>
            </w:pPr>
          </w:p>
        </w:tc>
      </w:tr>
      <w:tr w14:paraId="2F22B7C3">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733EE4B8">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0C80C11E">
            <w:pPr>
              <w:rPr>
                <w:rFonts w:eastAsia="黑体"/>
                <w:b/>
                <w:bCs/>
              </w:rPr>
            </w:pPr>
            <w:r>
              <w:rPr>
                <w:rFonts w:hint="eastAsia" w:eastAsia="黑体"/>
                <w:b/>
                <w:bCs/>
              </w:rPr>
              <w:t>传真</w:t>
            </w:r>
          </w:p>
          <w:p w14:paraId="0915406A">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1296CC11">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5831FC1B">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7D44710">
            <w:pPr>
              <w:jc w:val="left"/>
              <w:rPr>
                <w:rFonts w:eastAsia="黑体"/>
                <w:b/>
                <w:bCs/>
              </w:rPr>
            </w:pPr>
          </w:p>
        </w:tc>
      </w:tr>
      <w:tr w14:paraId="18171C1B">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1CA901">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4B9E8E0">
            <w:pPr>
              <w:jc w:val="left"/>
              <w:rPr>
                <w:rFonts w:eastAsia="黑体"/>
                <w:b/>
                <w:bCs/>
              </w:rPr>
            </w:pPr>
            <w:r>
              <w:rPr>
                <w:rFonts w:hint="eastAsia" w:eastAsia="黑体"/>
                <w:b/>
                <w:bCs/>
              </w:rPr>
              <w:t>详细地址</w:t>
            </w:r>
          </w:p>
          <w:p w14:paraId="180A30AF">
            <w:pPr>
              <w:jc w:val="left"/>
              <w:rPr>
                <w:rFonts w:eastAsia="黑体"/>
                <w:bCs/>
              </w:rPr>
            </w:pPr>
            <w:r>
              <w:rPr>
                <w:rFonts w:eastAsia="黑体"/>
                <w:bCs/>
              </w:rPr>
              <w:t>Address</w:t>
            </w:r>
          </w:p>
          <w:p w14:paraId="39915883">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112E1ACC">
            <w:pPr>
              <w:jc w:val="left"/>
              <w:rPr>
                <w:rFonts w:eastAsia="黑体"/>
                <w:b/>
                <w:bCs/>
              </w:rPr>
            </w:pPr>
          </w:p>
        </w:tc>
      </w:tr>
      <w:tr w14:paraId="571EA496">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5EA3F97">
            <w:pPr>
              <w:snapToGrid w:val="0"/>
              <w:jc w:val="left"/>
              <w:rPr>
                <w:rFonts w:eastAsiaTheme="minorEastAsia"/>
                <w:b/>
                <w:bCs/>
              </w:rPr>
            </w:pPr>
            <w:r>
              <w:rPr>
                <w:rFonts w:hint="eastAsia" w:eastAsiaTheme="minorEastAsia"/>
                <w:b/>
                <w:bCs/>
              </w:rPr>
              <w:t>交易参与</w:t>
            </w:r>
            <w:r>
              <w:rPr>
                <w:rFonts w:hint="eastAsia" w:eastAsia="黑体"/>
                <w:b/>
                <w:bCs/>
              </w:rPr>
              <w:t>人</w:t>
            </w:r>
          </w:p>
          <w:p w14:paraId="0B63A1EA">
            <w:pPr>
              <w:snapToGrid w:val="0"/>
              <w:jc w:val="left"/>
              <w:rPr>
                <w:rFonts w:eastAsia="黑体"/>
                <w:b/>
                <w:bCs/>
              </w:rPr>
            </w:pPr>
            <w:r>
              <w:rPr>
                <w:rFonts w:hint="eastAsia" w:eastAsia="黑体"/>
                <w:b/>
                <w:bCs/>
              </w:rPr>
              <w:t>联系方式</w:t>
            </w:r>
          </w:p>
          <w:p w14:paraId="0CFE5148">
            <w:pPr>
              <w:snapToGrid w:val="0"/>
              <w:jc w:val="left"/>
              <w:rPr>
                <w:rFonts w:eastAsiaTheme="minorEastAsia"/>
                <w:bCs/>
              </w:rPr>
            </w:pPr>
            <w:r>
              <w:rPr>
                <w:rFonts w:eastAsia="黑体"/>
                <w:bCs/>
              </w:rPr>
              <w:t xml:space="preserve">Contact of </w:t>
            </w:r>
            <w:r>
              <w:rPr>
                <w:rFonts w:hint="eastAsia" w:eastAsiaTheme="minorEastAsia"/>
                <w:bCs/>
              </w:rPr>
              <w:t>Trading Participant</w:t>
            </w:r>
          </w:p>
        </w:tc>
        <w:tc>
          <w:tcPr>
            <w:tcW w:w="1311" w:type="dxa"/>
            <w:tcBorders>
              <w:top w:val="nil"/>
              <w:left w:val="nil"/>
              <w:bottom w:val="single" w:color="auto" w:sz="4" w:space="0"/>
              <w:right w:val="single" w:color="auto" w:sz="4" w:space="0"/>
            </w:tcBorders>
            <w:vAlign w:val="center"/>
          </w:tcPr>
          <w:p w14:paraId="77339B9F">
            <w:pPr>
              <w:snapToGrid w:val="0"/>
              <w:jc w:val="left"/>
              <w:rPr>
                <w:rFonts w:eastAsia="黑体"/>
                <w:b/>
                <w:bCs/>
              </w:rPr>
            </w:pPr>
            <w:r>
              <w:rPr>
                <w:rFonts w:hint="eastAsia" w:eastAsiaTheme="minorEastAsia"/>
                <w:b/>
                <w:bCs/>
              </w:rPr>
              <w:t>机构</w:t>
            </w:r>
            <w:r>
              <w:rPr>
                <w:rFonts w:hint="eastAsia" w:eastAsia="黑体"/>
                <w:b/>
                <w:bCs/>
              </w:rPr>
              <w:t>名称</w:t>
            </w:r>
          </w:p>
          <w:p w14:paraId="664E02C8">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597F42F0">
            <w:pPr>
              <w:snapToGrid w:val="0"/>
              <w:jc w:val="left"/>
              <w:rPr>
                <w:rFonts w:eastAsia="黑体"/>
                <w:b/>
                <w:bCs/>
              </w:rPr>
            </w:pPr>
          </w:p>
        </w:tc>
      </w:tr>
      <w:tr w14:paraId="79D93FD0">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09367200">
            <w:pPr>
              <w:jc w:val="left"/>
              <w:rPr>
                <w:rFonts w:eastAsia="黑体"/>
                <w:b/>
                <w:bCs/>
              </w:rPr>
            </w:pPr>
          </w:p>
        </w:tc>
        <w:tc>
          <w:tcPr>
            <w:tcW w:w="1311" w:type="dxa"/>
            <w:tcBorders>
              <w:top w:val="nil"/>
              <w:left w:val="nil"/>
              <w:bottom w:val="single" w:color="auto" w:sz="4" w:space="0"/>
              <w:right w:val="single" w:color="auto" w:sz="4" w:space="0"/>
            </w:tcBorders>
            <w:vAlign w:val="center"/>
          </w:tcPr>
          <w:p w14:paraId="0FBE2985">
            <w:pPr>
              <w:jc w:val="left"/>
              <w:rPr>
                <w:rFonts w:eastAsia="黑体"/>
                <w:b/>
                <w:bCs/>
              </w:rPr>
            </w:pPr>
            <w:r>
              <w:rPr>
                <w:rFonts w:hint="eastAsia" w:eastAsia="黑体"/>
                <w:b/>
                <w:bCs/>
              </w:rPr>
              <w:t>部门名称</w:t>
            </w:r>
          </w:p>
          <w:p w14:paraId="0D67BA47">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2B637502">
            <w:pPr>
              <w:rPr>
                <w:rFonts w:eastAsia="黑体"/>
                <w:b/>
                <w:bCs/>
              </w:rPr>
            </w:pPr>
            <w:r>
              <w:rPr>
                <w:rFonts w:hint="eastAsia" w:eastAsia="黑体"/>
                <w:b/>
                <w:bCs/>
              </w:rPr>
              <w:t>　</w:t>
            </w:r>
          </w:p>
        </w:tc>
      </w:tr>
      <w:tr w14:paraId="28B0475C">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147D1EE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1E535CEF">
            <w:pPr>
              <w:jc w:val="left"/>
              <w:rPr>
                <w:rFonts w:eastAsia="黑体"/>
                <w:b/>
                <w:bCs/>
              </w:rPr>
            </w:pPr>
            <w:r>
              <w:rPr>
                <w:rFonts w:hint="eastAsia" w:eastAsia="黑体"/>
                <w:b/>
                <w:bCs/>
              </w:rPr>
              <w:t>负责人职务</w:t>
            </w:r>
          </w:p>
          <w:p w14:paraId="7CE8A321">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7B9D8C8B">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6FCCA7E4">
            <w:pPr>
              <w:jc w:val="left"/>
              <w:rPr>
                <w:rFonts w:eastAsia="黑体"/>
                <w:b/>
                <w:bCs/>
              </w:rPr>
            </w:pPr>
            <w:r>
              <w:rPr>
                <w:rFonts w:hint="eastAsia" w:eastAsia="黑体"/>
                <w:b/>
                <w:bCs/>
              </w:rPr>
              <w:t>负责人姓名</w:t>
            </w:r>
          </w:p>
          <w:p w14:paraId="5FCE2452">
            <w:pPr>
              <w:tabs>
                <w:tab w:val="center" w:pos="4153"/>
                <w:tab w:val="right" w:pos="8306"/>
              </w:tabs>
              <w:snapToGrid w:val="0"/>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1292248C">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4B5034A2">
            <w:pPr>
              <w:jc w:val="left"/>
              <w:rPr>
                <w:rFonts w:eastAsia="黑体"/>
                <w:b/>
                <w:bCs/>
              </w:rPr>
            </w:pPr>
            <w:r>
              <w:rPr>
                <w:rFonts w:hint="eastAsia" w:eastAsia="黑体"/>
                <w:b/>
                <w:bCs/>
              </w:rPr>
              <w:t>联系电话</w:t>
            </w:r>
          </w:p>
          <w:p w14:paraId="624AF2CA">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7472DA85">
            <w:pPr>
              <w:jc w:val="center"/>
              <w:rPr>
                <w:rFonts w:eastAsia="黑体"/>
                <w:b/>
                <w:bCs/>
              </w:rPr>
            </w:pPr>
          </w:p>
        </w:tc>
      </w:tr>
      <w:tr w14:paraId="19E36B4C">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1DFCD329">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FA9A4E5">
            <w:pPr>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3B7C9CFA">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6FAD6F6A">
            <w:pPr>
              <w:jc w:val="left"/>
              <w:rPr>
                <w:rFonts w:eastAsia="黑体"/>
                <w:b/>
                <w:bCs/>
              </w:rPr>
            </w:pPr>
            <w:r>
              <w:rPr>
                <w:rFonts w:hint="eastAsia" w:eastAsia="黑体"/>
                <w:b/>
                <w:bCs/>
              </w:rPr>
              <w:t>经办人姓名</w:t>
            </w:r>
          </w:p>
          <w:p w14:paraId="3046EBEB">
            <w:pPr>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50E3C88D">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278A64E5">
            <w:pPr>
              <w:jc w:val="left"/>
              <w:rPr>
                <w:rFonts w:eastAsia="黑体"/>
                <w:b/>
                <w:bCs/>
              </w:rPr>
            </w:pPr>
            <w:r>
              <w:rPr>
                <w:rFonts w:hint="eastAsia" w:eastAsia="黑体"/>
                <w:b/>
                <w:bCs/>
              </w:rPr>
              <w:t>联系电话</w:t>
            </w:r>
          </w:p>
          <w:p w14:paraId="02C71841">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5A03CF1">
            <w:pPr>
              <w:rPr>
                <w:rFonts w:eastAsia="黑体"/>
                <w:b/>
                <w:bCs/>
              </w:rPr>
            </w:pPr>
          </w:p>
        </w:tc>
      </w:tr>
      <w:tr w14:paraId="583BEBDE">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56649EE2">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C2EAF0E">
            <w:pPr>
              <w:rPr>
                <w:rFonts w:eastAsia="黑体"/>
                <w:b/>
                <w:bCs/>
              </w:rPr>
            </w:pPr>
            <w:r>
              <w:rPr>
                <w:rFonts w:hint="eastAsia" w:eastAsia="黑体"/>
                <w:b/>
                <w:bCs/>
              </w:rPr>
              <w:t>传真</w:t>
            </w:r>
          </w:p>
          <w:p w14:paraId="713EC4EB">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4D6F9D85">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2040CAAE">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C258CB7">
            <w:pPr>
              <w:jc w:val="left"/>
              <w:rPr>
                <w:rFonts w:eastAsia="黑体"/>
                <w:b/>
                <w:bCs/>
              </w:rPr>
            </w:pPr>
          </w:p>
        </w:tc>
      </w:tr>
      <w:tr w14:paraId="7BB0BCC4">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5BF33AF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AA29178">
            <w:pPr>
              <w:jc w:val="left"/>
              <w:rPr>
                <w:rFonts w:eastAsia="黑体"/>
                <w:b/>
                <w:bCs/>
              </w:rPr>
            </w:pPr>
            <w:r>
              <w:rPr>
                <w:rFonts w:hint="eastAsia" w:eastAsia="黑体"/>
                <w:b/>
                <w:bCs/>
              </w:rPr>
              <w:t>详细地址</w:t>
            </w:r>
          </w:p>
          <w:p w14:paraId="363744B0">
            <w:pPr>
              <w:jc w:val="left"/>
              <w:rPr>
                <w:rFonts w:eastAsia="黑体"/>
                <w:bCs/>
              </w:rPr>
            </w:pPr>
            <w:r>
              <w:rPr>
                <w:rFonts w:eastAsia="黑体"/>
                <w:bCs/>
              </w:rPr>
              <w:t>Address</w:t>
            </w:r>
          </w:p>
          <w:p w14:paraId="6B6FD567">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22CA5E80">
            <w:pPr>
              <w:jc w:val="left"/>
              <w:rPr>
                <w:rFonts w:eastAsia="黑体"/>
                <w:b/>
                <w:bCs/>
              </w:rPr>
            </w:pPr>
          </w:p>
        </w:tc>
      </w:tr>
      <w:tr w14:paraId="1F43EFA7">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26BEAA02">
            <w:pPr>
              <w:jc w:val="left"/>
              <w:rPr>
                <w:rFonts w:eastAsia="黑体"/>
                <w:b/>
                <w:bCs/>
              </w:rPr>
            </w:pPr>
            <w:r>
              <w:rPr>
                <w:rFonts w:hint="eastAsia" w:eastAsiaTheme="minorEastAsia"/>
                <w:b/>
                <w:bCs/>
              </w:rPr>
              <w:t>报送</w:t>
            </w:r>
            <w:r>
              <w:rPr>
                <w:rFonts w:hint="eastAsia" w:eastAsia="黑体"/>
                <w:b/>
                <w:bCs/>
              </w:rPr>
              <w:t>机构</w:t>
            </w:r>
          </w:p>
          <w:p w14:paraId="05AF3CBA">
            <w:pPr>
              <w:jc w:val="left"/>
              <w:rPr>
                <w:rFonts w:eastAsia="黑体"/>
                <w:bCs/>
              </w:rPr>
            </w:pPr>
            <w:r>
              <w:rPr>
                <w:rFonts w:eastAsia="黑体"/>
                <w:bCs/>
              </w:rPr>
              <w:t>Name of Submitting Institution</w:t>
            </w:r>
          </w:p>
        </w:tc>
        <w:tc>
          <w:tcPr>
            <w:tcW w:w="6197" w:type="dxa"/>
            <w:gridSpan w:val="9"/>
            <w:tcBorders>
              <w:top w:val="single" w:color="auto" w:sz="4" w:space="0"/>
              <w:left w:val="nil"/>
              <w:bottom w:val="single" w:color="auto" w:sz="4" w:space="0"/>
              <w:right w:val="single" w:color="000000" w:sz="4" w:space="0"/>
            </w:tcBorders>
            <w:vAlign w:val="center"/>
          </w:tcPr>
          <w:p w14:paraId="5145BEA7">
            <w:pPr>
              <w:jc w:val="left"/>
              <w:rPr>
                <w:rFonts w:eastAsia="黑体"/>
                <w:b/>
                <w:bCs/>
              </w:rPr>
            </w:pPr>
            <w:r>
              <w:rPr>
                <w:rFonts w:hint="eastAsia" w:eastAsia="黑体"/>
                <w:b/>
                <w:bCs/>
              </w:rPr>
              <w:t>　</w:t>
            </w:r>
          </w:p>
        </w:tc>
      </w:tr>
      <w:tr w14:paraId="6402DF78">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noWrap/>
            <w:vAlign w:val="bottom"/>
          </w:tcPr>
          <w:p w14:paraId="0AEE2D7D">
            <w:pPr>
              <w:jc w:val="left"/>
              <w:rPr>
                <w:rFonts w:eastAsia="黑体"/>
                <w:b/>
                <w:bCs/>
              </w:rPr>
            </w:pPr>
            <w:r>
              <w:rPr>
                <w:rFonts w:hint="eastAsia" w:eastAsia="黑体"/>
                <w:b/>
                <w:bCs/>
              </w:rPr>
              <w:t>提交人及联系方式</w:t>
            </w:r>
          </w:p>
          <w:p w14:paraId="560FA60E">
            <w:pPr>
              <w:jc w:val="left"/>
              <w:rPr>
                <w:rFonts w:eastAsia="黑体"/>
                <w:bCs/>
              </w:rPr>
            </w:pPr>
            <w:r>
              <w:rPr>
                <w:rFonts w:eastAsia="黑体"/>
                <w:bCs/>
              </w:rPr>
              <w:t>Name and Contact of Submitter</w:t>
            </w:r>
          </w:p>
        </w:tc>
        <w:tc>
          <w:tcPr>
            <w:tcW w:w="3048" w:type="dxa"/>
            <w:gridSpan w:val="3"/>
            <w:tcBorders>
              <w:top w:val="single" w:color="auto" w:sz="4" w:space="0"/>
              <w:left w:val="nil"/>
              <w:bottom w:val="single" w:color="auto" w:sz="4" w:space="0"/>
              <w:right w:val="single" w:color="000000" w:sz="4" w:space="0"/>
            </w:tcBorders>
            <w:noWrap/>
            <w:vAlign w:val="bottom"/>
          </w:tcPr>
          <w:p w14:paraId="1C0C85AB">
            <w:pPr>
              <w:jc w:val="left"/>
              <w:rPr>
                <w:rFonts w:eastAsia="黑体"/>
                <w:b/>
                <w:bCs/>
              </w:rPr>
            </w:pPr>
            <w:r>
              <w:rPr>
                <w:rFonts w:hint="eastAsia" w:eastAsia="黑体"/>
                <w:b/>
                <w:bCs/>
              </w:rPr>
              <w:t>　</w:t>
            </w:r>
          </w:p>
        </w:tc>
        <w:tc>
          <w:tcPr>
            <w:tcW w:w="1208" w:type="dxa"/>
            <w:gridSpan w:val="3"/>
            <w:tcBorders>
              <w:top w:val="nil"/>
              <w:left w:val="nil"/>
              <w:bottom w:val="single" w:color="auto" w:sz="4" w:space="0"/>
              <w:right w:val="single" w:color="auto" w:sz="4" w:space="0"/>
            </w:tcBorders>
            <w:vAlign w:val="center"/>
          </w:tcPr>
          <w:p w14:paraId="60D454B5">
            <w:pPr>
              <w:jc w:val="left"/>
              <w:rPr>
                <w:rFonts w:eastAsia="黑体"/>
                <w:b/>
                <w:bCs/>
              </w:rPr>
            </w:pPr>
            <w:r>
              <w:rPr>
                <w:rFonts w:hint="eastAsia" w:eastAsiaTheme="minorEastAsia"/>
                <w:b/>
                <w:bCs/>
              </w:rPr>
              <w:t>报送</w:t>
            </w:r>
            <w:r>
              <w:rPr>
                <w:rFonts w:hint="eastAsia" w:eastAsia="黑体"/>
                <w:b/>
                <w:bCs/>
              </w:rPr>
              <w:t>日期</w:t>
            </w:r>
          </w:p>
          <w:p w14:paraId="246A4F6B">
            <w:pPr>
              <w:jc w:val="left"/>
              <w:rPr>
                <w:rFonts w:eastAsia="黑体"/>
                <w:bCs/>
              </w:rPr>
            </w:pPr>
            <w:r>
              <w:rPr>
                <w:rFonts w:hint="eastAsia" w:eastAsiaTheme="minorEastAsia"/>
                <w:bCs/>
              </w:rPr>
              <w:t>Submission</w:t>
            </w:r>
            <w:r>
              <w:rPr>
                <w:rFonts w:eastAsia="黑体"/>
                <w:bCs/>
              </w:rPr>
              <w:t xml:space="preserve"> Date</w:t>
            </w:r>
          </w:p>
        </w:tc>
        <w:tc>
          <w:tcPr>
            <w:tcW w:w="1941" w:type="dxa"/>
            <w:gridSpan w:val="3"/>
            <w:tcBorders>
              <w:top w:val="single" w:color="auto" w:sz="4" w:space="0"/>
              <w:left w:val="nil"/>
              <w:bottom w:val="single" w:color="auto" w:sz="4" w:space="0"/>
              <w:right w:val="single" w:color="000000" w:sz="4" w:space="0"/>
            </w:tcBorders>
            <w:vAlign w:val="center"/>
          </w:tcPr>
          <w:p w14:paraId="1DB61E4D">
            <w:pPr>
              <w:jc w:val="left"/>
              <w:rPr>
                <w:rFonts w:eastAsia="黑体"/>
                <w:b/>
                <w:bCs/>
              </w:rPr>
            </w:pPr>
            <w:r>
              <w:rPr>
                <w:rFonts w:hint="eastAsia" w:eastAsia="黑体"/>
                <w:b/>
                <w:bCs/>
              </w:rPr>
              <w:t>年月日</w:t>
            </w:r>
          </w:p>
          <w:p w14:paraId="14B41CCB">
            <w:pPr>
              <w:jc w:val="left"/>
              <w:rPr>
                <w:rFonts w:eastAsia="黑体"/>
                <w:b/>
                <w:bCs/>
              </w:rPr>
            </w:pPr>
            <w:r>
              <w:rPr>
                <w:rFonts w:eastAsia="黑体"/>
                <w:bCs/>
              </w:rPr>
              <w:t>Year/Month/Date</w:t>
            </w:r>
          </w:p>
        </w:tc>
      </w:tr>
    </w:tbl>
    <w:p w14:paraId="7FB2FE19">
      <w:pPr>
        <w:pStyle w:val="92"/>
        <w:spacing w:line="560" w:lineRule="exact"/>
        <w:ind w:left="0" w:firstLine="0"/>
        <w:rPr>
          <w:rFonts w:ascii="仿宋_GB2312" w:hAnsi="黑体" w:eastAsia="仿宋_GB2312"/>
          <w:b/>
          <w:sz w:val="36"/>
          <w:szCs w:val="36"/>
          <w:lang w:eastAsia="zh-CN"/>
        </w:rPr>
      </w:pPr>
      <w:r>
        <w:rPr>
          <w:rFonts w:hint="eastAsia" w:eastAsia="黑体"/>
          <w:b/>
        </w:rPr>
        <w:t>盖章</w:t>
      </w:r>
      <w:r>
        <w:rPr>
          <w:rFonts w:eastAsia="黑体"/>
          <w:b/>
        </w:rPr>
        <w:t>/</w:t>
      </w:r>
      <w:r>
        <w:rPr>
          <w:rFonts w:hint="eastAsia" w:eastAsia="黑体"/>
          <w:b/>
        </w:rPr>
        <w:t>签字</w:t>
      </w:r>
      <w:r>
        <w:rPr>
          <w:rFonts w:hint="eastAsia" w:eastAsia="黑体"/>
          <w:b/>
          <w:lang w:eastAsia="zh-CN"/>
        </w:rPr>
        <w:t>（</w:t>
      </w:r>
      <w:r>
        <w:rPr>
          <w:rFonts w:eastAsia="黑体"/>
          <w:b/>
        </w:rPr>
        <w:t>Official Seal/Signature</w:t>
      </w:r>
      <w:r>
        <w:rPr>
          <w:rFonts w:hint="eastAsia" w:eastAsia="黑体"/>
          <w:b/>
          <w:lang w:eastAsia="zh-CN"/>
        </w:rPr>
        <w:t>）</w:t>
      </w:r>
      <w:r>
        <w:rPr>
          <w:rFonts w:eastAsia="黑体"/>
          <w:b/>
        </w:rPr>
        <w:t>:</w:t>
      </w:r>
    </w:p>
    <w:p w14:paraId="0E42FF74">
      <w:pPr>
        <w:pStyle w:val="92"/>
        <w:spacing w:line="560" w:lineRule="exact"/>
        <w:ind w:left="0" w:firstLine="0"/>
        <w:rPr>
          <w:rFonts w:ascii="仿宋_GB2312" w:hAnsi="黑体" w:eastAsia="仿宋_GB2312"/>
          <w:b/>
          <w:sz w:val="36"/>
          <w:szCs w:val="36"/>
          <w:lang w:eastAsia="zh-CN"/>
        </w:rPr>
      </w:pPr>
    </w:p>
    <w:p w14:paraId="6C2D48AB">
      <w:pPr>
        <w:outlineLvl w:val="1"/>
        <w:rPr>
          <w:rFonts w:hAnsi="黑体"/>
          <w:b/>
          <w:sz w:val="30"/>
          <w:szCs w:val="30"/>
        </w:rPr>
      </w:pPr>
      <w:r>
        <w:rPr>
          <w:b/>
          <w:sz w:val="30"/>
          <w:szCs w:val="30"/>
        </w:rPr>
        <w:br w:type="page"/>
      </w:r>
      <w:bookmarkStart w:id="3456" w:name="_Toc151137085"/>
      <w:r>
        <w:rPr>
          <w:rFonts w:hint="eastAsia" w:ascii="仿宋_GB2312" w:hAnsi="黑体" w:eastAsia="仿宋_GB2312"/>
          <w:b/>
          <w:sz w:val="30"/>
          <w:szCs w:val="30"/>
        </w:rPr>
        <w:t>附件5 资金前端控制设置流程说明</w:t>
      </w:r>
      <w:bookmarkEnd w:id="3456"/>
    </w:p>
    <w:p w14:paraId="4E58613F">
      <w:pPr>
        <w:pStyle w:val="90"/>
        <w:adjustRightInd w:val="0"/>
        <w:snapToGrid w:val="0"/>
        <w:spacing w:line="600" w:lineRule="exact"/>
        <w:ind w:firstLine="883"/>
        <w:jc w:val="center"/>
        <w:rPr>
          <w:rFonts w:ascii="黑体" w:hAnsi="黑体" w:eastAsia="黑体"/>
          <w:b/>
          <w:sz w:val="44"/>
          <w:szCs w:val="44"/>
        </w:rPr>
      </w:pPr>
    </w:p>
    <w:p w14:paraId="58305F8F">
      <w:pPr>
        <w:pStyle w:val="90"/>
        <w:adjustRightInd w:val="0"/>
        <w:snapToGrid w:val="0"/>
        <w:spacing w:line="600" w:lineRule="exact"/>
        <w:ind w:firstLine="883"/>
        <w:jc w:val="center"/>
        <w:rPr>
          <w:rFonts w:ascii="黑体" w:hAnsi="黑体" w:eastAsia="黑体"/>
          <w:b/>
          <w:sz w:val="44"/>
          <w:szCs w:val="44"/>
        </w:rPr>
      </w:pPr>
      <w:r>
        <w:rPr>
          <w:rFonts w:hint="eastAsia" w:ascii="黑体" w:hAnsi="黑体" w:eastAsia="黑体"/>
          <w:b/>
          <w:sz w:val="44"/>
          <w:szCs w:val="44"/>
        </w:rPr>
        <w:t>资金前端控制设置流程说明</w:t>
      </w:r>
    </w:p>
    <w:p w14:paraId="1B9FBFAA">
      <w:pPr>
        <w:pStyle w:val="90"/>
        <w:adjustRightInd w:val="0"/>
        <w:snapToGrid w:val="0"/>
        <w:spacing w:line="600" w:lineRule="exact"/>
        <w:ind w:firstLine="602"/>
        <w:rPr>
          <w:rFonts w:hAnsi="Times New Roman"/>
          <w:b/>
          <w:sz w:val="30"/>
          <w:szCs w:val="30"/>
        </w:rPr>
      </w:pPr>
    </w:p>
    <w:p w14:paraId="7B720D56">
      <w:pPr>
        <w:pStyle w:val="90"/>
        <w:spacing w:line="600" w:lineRule="exact"/>
        <w:ind w:firstLine="602"/>
        <w:rPr>
          <w:rFonts w:hAnsi="Times New Roman"/>
          <w:sz w:val="30"/>
          <w:szCs w:val="30"/>
        </w:rPr>
      </w:pPr>
      <w:bookmarkStart w:id="3457" w:name="_Toc513119170"/>
      <w:bookmarkStart w:id="3458" w:name="_Toc510065092"/>
      <w:r>
        <w:rPr>
          <w:rFonts w:hint="eastAsia" w:hAnsi="Times New Roman"/>
          <w:b/>
          <w:sz w:val="30"/>
          <w:szCs w:val="30"/>
        </w:rPr>
        <w:t>一、最高额度申报</w:t>
      </w:r>
      <w:bookmarkEnd w:id="3457"/>
      <w:bookmarkEnd w:id="3458"/>
    </w:p>
    <w:p w14:paraId="5973FCF3">
      <w:pPr>
        <w:pStyle w:val="90"/>
        <w:spacing w:line="600" w:lineRule="exact"/>
        <w:ind w:firstLine="600"/>
        <w:rPr>
          <w:rFonts w:hAnsi="Times New Roman"/>
          <w:sz w:val="30"/>
          <w:szCs w:val="30"/>
        </w:rPr>
      </w:pPr>
      <w:r>
        <w:rPr>
          <w:rFonts w:hint="eastAsia" w:hAnsi="Times New Roman"/>
          <w:sz w:val="30"/>
          <w:szCs w:val="30"/>
        </w:rPr>
        <w:t>债券交易参与人通过结算参与人向</w:t>
      </w:r>
      <w:r>
        <w:rPr>
          <w:rFonts w:hint="eastAsia" w:hAnsi="Calibri"/>
          <w:kern w:val="2"/>
          <w:sz w:val="30"/>
          <w:szCs w:val="30"/>
        </w:rPr>
        <w:t>登记结算机构</w:t>
      </w:r>
      <w:r>
        <w:rPr>
          <w:rFonts w:hint="eastAsia" w:hAnsi="Times New Roman"/>
          <w:sz w:val="30"/>
          <w:szCs w:val="30"/>
        </w:rPr>
        <w:t>进行最高额度申报。申报方式由《中国证券登记结算有限责任公司上海分公司证券交易资金前端风险控制业务指南》具体规定。最高额度的常规申报于次一交易日生效。</w:t>
      </w:r>
    </w:p>
    <w:p w14:paraId="44693B1F">
      <w:pPr>
        <w:pStyle w:val="90"/>
        <w:spacing w:line="600" w:lineRule="exact"/>
        <w:ind w:firstLine="600"/>
        <w:rPr>
          <w:rFonts w:hAnsi="Times New Roman"/>
          <w:sz w:val="30"/>
          <w:szCs w:val="30"/>
        </w:rPr>
      </w:pPr>
      <w:r>
        <w:rPr>
          <w:rFonts w:hint="eastAsia" w:hAnsi="Times New Roman"/>
          <w:sz w:val="30"/>
          <w:szCs w:val="30"/>
        </w:rPr>
        <w:t>债券交易参与人可以按前述方式对最高额度进行盘中紧急调整。紧急调整后的最高额度实时生效，并持续有效。</w:t>
      </w:r>
    </w:p>
    <w:p w14:paraId="661CE736">
      <w:pPr>
        <w:pStyle w:val="90"/>
        <w:spacing w:line="600" w:lineRule="exact"/>
        <w:ind w:firstLine="602"/>
        <w:rPr>
          <w:rFonts w:hAnsi="Times New Roman"/>
          <w:sz w:val="30"/>
          <w:szCs w:val="30"/>
        </w:rPr>
      </w:pPr>
      <w:bookmarkStart w:id="3459" w:name="_Toc513119171"/>
      <w:bookmarkStart w:id="3460" w:name="_Toc510065093"/>
      <w:r>
        <w:rPr>
          <w:rFonts w:hint="eastAsia" w:hAnsi="Times New Roman"/>
          <w:b/>
          <w:sz w:val="30"/>
          <w:szCs w:val="30"/>
        </w:rPr>
        <w:t>二、自设额度申报</w:t>
      </w:r>
      <w:bookmarkEnd w:id="3459"/>
      <w:bookmarkEnd w:id="3460"/>
    </w:p>
    <w:p w14:paraId="701EF5D0">
      <w:pPr>
        <w:pStyle w:val="90"/>
        <w:spacing w:line="600" w:lineRule="exact"/>
        <w:ind w:firstLine="600"/>
        <w:rPr>
          <w:rFonts w:hAnsi="Times New Roman"/>
          <w:sz w:val="30"/>
          <w:szCs w:val="30"/>
        </w:rPr>
      </w:pPr>
      <w:r>
        <w:rPr>
          <w:rFonts w:hint="eastAsia" w:hAnsi="Times New Roman"/>
          <w:sz w:val="30"/>
          <w:szCs w:val="30"/>
        </w:rPr>
        <w:t>债券交易参与人应当根据自身业务和风控需要，及时向本所申报关联交易单元自设额度。债券交易参与人可通过常规申报或应急申报两种方式向本所申报自设额度。</w:t>
      </w:r>
    </w:p>
    <w:p w14:paraId="265A4E1B">
      <w:pPr>
        <w:pStyle w:val="90"/>
        <w:spacing w:line="600" w:lineRule="exact"/>
        <w:ind w:firstLine="602"/>
        <w:rPr>
          <w:rFonts w:hAnsi="Times New Roman"/>
          <w:b/>
          <w:sz w:val="30"/>
          <w:szCs w:val="30"/>
        </w:rPr>
      </w:pPr>
      <w:r>
        <w:rPr>
          <w:rFonts w:hint="eastAsia" w:hAnsi="Times New Roman"/>
          <w:b/>
          <w:sz w:val="30"/>
          <w:szCs w:val="30"/>
        </w:rPr>
        <w:t>（一）自设额度常规申报</w:t>
      </w:r>
    </w:p>
    <w:p w14:paraId="570E65AE">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申报方式</w:t>
      </w:r>
    </w:p>
    <w:p w14:paraId="1D9CFECE">
      <w:pPr>
        <w:pStyle w:val="90"/>
        <w:spacing w:line="600" w:lineRule="exact"/>
        <w:ind w:firstLine="600"/>
        <w:rPr>
          <w:rFonts w:hAnsi="Times New Roman"/>
          <w:sz w:val="30"/>
          <w:szCs w:val="30"/>
        </w:rPr>
      </w:pPr>
      <w:r>
        <w:rPr>
          <w:rFonts w:hint="eastAsia" w:hAnsi="Times New Roman"/>
          <w:sz w:val="30"/>
          <w:szCs w:val="30"/>
        </w:rPr>
        <w:t>债券交易参与人可通过本所会员专区“业务办理—资金前端控制业务办理-全天控制自设额度申报”进行自设额度的常规申报，申报时间为每个交易日的9:00至16:30。交易参与人可以在申报时间段内重复申报，本所以最后一次申报为准。16:30后，本所会员专区不再接受自设额度的相关申报。</w:t>
      </w:r>
    </w:p>
    <w:p w14:paraId="24DDDE0F">
      <w:pPr>
        <w:pStyle w:val="90"/>
        <w:spacing w:line="600" w:lineRule="exact"/>
        <w:ind w:firstLine="600"/>
        <w:rPr>
          <w:rFonts w:hAnsi="Times New Roman"/>
          <w:sz w:val="30"/>
          <w:szCs w:val="30"/>
        </w:rPr>
      </w:pPr>
      <w:r>
        <w:rPr>
          <w:rFonts w:hint="eastAsia" w:hAnsi="Times New Roman"/>
          <w:sz w:val="30"/>
          <w:szCs w:val="30"/>
        </w:rPr>
        <w:t>债券交易参与人申报设定关联交易单元的自设额度的具体操作流程参见本所《会籍业务网上办理指引》“全天控制自设额度申报”章节。</w:t>
      </w:r>
    </w:p>
    <w:tbl>
      <w:tblPr>
        <w:tblStyle w:val="43"/>
        <w:tblW w:w="8495" w:type="dxa"/>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29108EB1">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465" w:hRule="atLeast"/>
        </w:trPr>
        <w:tc>
          <w:tcPr>
            <w:tcW w:w="8495" w:type="dxa"/>
          </w:tcPr>
          <w:p w14:paraId="793C6EC7">
            <w:pPr>
              <w:pStyle w:val="90"/>
              <w:spacing w:line="600" w:lineRule="exact"/>
              <w:ind w:firstLine="600"/>
              <w:rPr>
                <w:rFonts w:hAnsi="Times New Roman"/>
                <w:sz w:val="30"/>
                <w:szCs w:val="30"/>
              </w:rPr>
            </w:pPr>
            <w:r>
              <w:rPr>
                <w:rFonts w:hint="eastAsia" w:hAnsi="Times New Roman"/>
                <w:sz w:val="30"/>
                <w:szCs w:val="30"/>
              </w:rPr>
              <w:t>《上海证券交易所会籍业务网上办理指引》网址为：</w:t>
            </w:r>
          </w:p>
        </w:tc>
      </w:tr>
      <w:tr w14:paraId="1F36EE62">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309" w:hRule="atLeast"/>
        </w:trPr>
        <w:tc>
          <w:tcPr>
            <w:tcW w:w="8495" w:type="dxa"/>
          </w:tcPr>
          <w:p w14:paraId="09E67D3D">
            <w:pPr>
              <w:pStyle w:val="90"/>
              <w:spacing w:line="600" w:lineRule="exact"/>
              <w:rPr>
                <w:rFonts w:hAnsi="Times New Roman"/>
                <w:sz w:val="30"/>
                <w:szCs w:val="30"/>
              </w:rPr>
            </w:pPr>
            <w:r>
              <w:fldChar w:fldCharType="begin"/>
            </w:r>
            <w:r>
              <w:instrText xml:space="preserve"> HYPERLINK "http://www.sse.com.cn/lawandrules/guide/hyznlc/c/4469202.doc" </w:instrText>
            </w:r>
            <w:r>
              <w:fldChar w:fldCharType="separate"/>
            </w:r>
            <w:r>
              <w:rPr>
                <w:rStyle w:val="51"/>
                <w:rFonts w:hAnsi="Times New Roman"/>
                <w:sz w:val="30"/>
                <w:szCs w:val="30"/>
              </w:rPr>
              <w:t>http://www.sse.com.cn/lawandrules/guide/hyznlc/c/4469202.doc</w:t>
            </w:r>
            <w:r>
              <w:rPr>
                <w:rStyle w:val="51"/>
                <w:rFonts w:hAnsi="Times New Roman"/>
                <w:sz w:val="30"/>
                <w:szCs w:val="30"/>
              </w:rPr>
              <w:fldChar w:fldCharType="end"/>
            </w:r>
          </w:p>
        </w:tc>
      </w:tr>
    </w:tbl>
    <w:p w14:paraId="4B863851">
      <w:pPr>
        <w:pStyle w:val="90"/>
        <w:spacing w:line="600" w:lineRule="exact"/>
        <w:ind w:firstLine="600"/>
        <w:rPr>
          <w:rFonts w:hAnsi="Times New Roman"/>
          <w:sz w:val="30"/>
          <w:szCs w:val="30"/>
        </w:rPr>
      </w:pPr>
      <w:r>
        <w:rPr>
          <w:rFonts w:hint="eastAsia" w:hAnsi="Times New Roman"/>
          <w:sz w:val="30"/>
          <w:szCs w:val="30"/>
        </w:rPr>
        <w:t>债券交易参与人未申报的，自设额度将被设置为对应关联交易单元的最高额度。</w:t>
      </w:r>
    </w:p>
    <w:p w14:paraId="21E1A664">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06A88099">
      <w:pPr>
        <w:pStyle w:val="90"/>
        <w:spacing w:line="600" w:lineRule="exact"/>
        <w:ind w:firstLine="600"/>
        <w:rPr>
          <w:rFonts w:hAnsi="Times New Roman"/>
          <w:sz w:val="30"/>
          <w:szCs w:val="30"/>
        </w:rPr>
      </w:pPr>
      <w:r>
        <w:rPr>
          <w:rFonts w:hint="eastAsia" w:hAnsi="Times New Roman"/>
          <w:sz w:val="30"/>
          <w:szCs w:val="30"/>
        </w:rPr>
        <w:t>符合要求的自设额度将于次一交易日起持续有效。</w:t>
      </w:r>
    </w:p>
    <w:p w14:paraId="3DD38D2F">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申报校验</w:t>
      </w:r>
    </w:p>
    <w:p w14:paraId="7396C2D8">
      <w:pPr>
        <w:pStyle w:val="90"/>
        <w:spacing w:line="600" w:lineRule="exact"/>
        <w:ind w:firstLine="600"/>
        <w:rPr>
          <w:rFonts w:hAnsi="Times New Roman"/>
          <w:sz w:val="30"/>
          <w:szCs w:val="30"/>
        </w:rPr>
      </w:pPr>
      <w:r>
        <w:rPr>
          <w:rFonts w:hint="eastAsia" w:hAnsi="Times New Roman"/>
          <w:sz w:val="30"/>
          <w:szCs w:val="30"/>
        </w:rPr>
        <w:t>申报的自设额度不得高于对应的最高额度，若申报的自设额度超过其生效日对应的关联交易单元最高额度，该自设额度申报无效，下一交易日本所将按最近一次生效的自设额度进行前端控制。</w:t>
      </w:r>
    </w:p>
    <w:p w14:paraId="265B05AD">
      <w:pPr>
        <w:pStyle w:val="90"/>
        <w:spacing w:line="600" w:lineRule="exact"/>
        <w:ind w:firstLine="600"/>
        <w:rPr>
          <w:rFonts w:hAnsi="Times New Roman"/>
          <w:sz w:val="30"/>
          <w:szCs w:val="30"/>
        </w:rPr>
      </w:pPr>
      <w:r>
        <w:rPr>
          <w:rFonts w:hint="eastAsia" w:hAnsi="Times New Roman"/>
          <w:sz w:val="30"/>
          <w:szCs w:val="30"/>
        </w:rPr>
        <w:t>本所技术系统对债券交易参与人申报的自设额度进行提示。当申报的自设额度超过申报日最高额度（非紧急调整）的70%或100%，或申报的自设额度低于对应关联交易单元前20交易日全天净买入申报金额最高值时，本所将进行预警提示，债券交易参与人确认无误后可再提交申报。</w:t>
      </w:r>
    </w:p>
    <w:p w14:paraId="57B303F2">
      <w:pPr>
        <w:pStyle w:val="90"/>
        <w:spacing w:line="600" w:lineRule="exact"/>
        <w:ind w:firstLine="602"/>
        <w:rPr>
          <w:rFonts w:hAnsi="Times New Roman"/>
          <w:b/>
          <w:sz w:val="30"/>
          <w:szCs w:val="30"/>
        </w:rPr>
      </w:pPr>
      <w:r>
        <w:rPr>
          <w:rFonts w:hint="eastAsia" w:hAnsi="Times New Roman"/>
          <w:b/>
          <w:sz w:val="30"/>
          <w:szCs w:val="30"/>
        </w:rPr>
        <w:t>（二）自设额度应急申报</w:t>
      </w:r>
    </w:p>
    <w:p w14:paraId="1BE99907">
      <w:pPr>
        <w:pStyle w:val="90"/>
        <w:spacing w:line="600" w:lineRule="exact"/>
        <w:ind w:firstLine="600"/>
        <w:rPr>
          <w:rFonts w:hAnsi="Times New Roman"/>
          <w:sz w:val="30"/>
          <w:szCs w:val="30"/>
        </w:rPr>
      </w:pPr>
      <w:r>
        <w:rPr>
          <w:rFonts w:hint="eastAsia" w:hAnsi="Times New Roman"/>
          <w:sz w:val="30"/>
          <w:szCs w:val="30"/>
        </w:rPr>
        <w:t>1.申报方式</w:t>
      </w:r>
    </w:p>
    <w:p w14:paraId="1E7E877D">
      <w:pPr>
        <w:pStyle w:val="90"/>
        <w:spacing w:line="600" w:lineRule="exact"/>
        <w:ind w:firstLine="600"/>
        <w:rPr>
          <w:rFonts w:hAnsi="Times New Roman"/>
          <w:sz w:val="30"/>
          <w:szCs w:val="30"/>
        </w:rPr>
      </w:pPr>
      <w:r>
        <w:rPr>
          <w:rFonts w:hint="eastAsia" w:hAnsi="Times New Roman"/>
          <w:sz w:val="30"/>
          <w:szCs w:val="30"/>
        </w:rPr>
        <w:t>债券交易参与人因业务原因，需要在盘中进行自设额度应急调整的，可以在本所交易时间内通过特定交易单元以交易申报的方式向本所竞价</w:t>
      </w:r>
      <w:r>
        <w:rPr>
          <w:rFonts w:hAnsi="Times New Roman"/>
          <w:sz w:val="30"/>
          <w:szCs w:val="30"/>
        </w:rPr>
        <w:t>撮合平台</w:t>
      </w:r>
      <w:r>
        <w:rPr>
          <w:rFonts w:hint="eastAsia" w:hAnsi="Times New Roman"/>
          <w:sz w:val="30"/>
          <w:szCs w:val="30"/>
        </w:rPr>
        <w:t>提交。自设额度应急调整的申报代码为799970，申报自设额度的单位为百万元。</w:t>
      </w:r>
    </w:p>
    <w:p w14:paraId="796FDD0E">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51394C56">
      <w:pPr>
        <w:pStyle w:val="90"/>
        <w:spacing w:line="600" w:lineRule="exact"/>
        <w:ind w:firstLine="600"/>
        <w:rPr>
          <w:rFonts w:hAnsi="Times New Roman"/>
          <w:sz w:val="30"/>
          <w:szCs w:val="30"/>
        </w:rPr>
      </w:pPr>
      <w:r>
        <w:rPr>
          <w:rFonts w:hint="eastAsia" w:hAnsi="Times New Roman"/>
          <w:sz w:val="30"/>
          <w:szCs w:val="30"/>
        </w:rPr>
        <w:t>符合要求的自设额度应急申报经本所技术系统接受并进行相应设置后，实时生效，但仅当日有效。债券交易参与人应根据需要，通过自设额度的常规申报实现自设额度调整的持续有效。</w:t>
      </w:r>
    </w:p>
    <w:p w14:paraId="0E48D8E6">
      <w:pPr>
        <w:pStyle w:val="90"/>
        <w:spacing w:line="600" w:lineRule="exact"/>
        <w:ind w:firstLine="600"/>
        <w:rPr>
          <w:rFonts w:hAnsi="Times New Roman"/>
          <w:sz w:val="30"/>
          <w:szCs w:val="30"/>
        </w:rPr>
      </w:pPr>
      <w:r>
        <w:rPr>
          <w:rFonts w:hint="eastAsia" w:hAnsi="Times New Roman"/>
          <w:sz w:val="30"/>
          <w:szCs w:val="30"/>
        </w:rPr>
        <w:t>3.申报校验</w:t>
      </w:r>
    </w:p>
    <w:p w14:paraId="19FAB814">
      <w:pPr>
        <w:pStyle w:val="90"/>
        <w:spacing w:line="600" w:lineRule="exact"/>
        <w:ind w:firstLine="600"/>
        <w:rPr>
          <w:rFonts w:hAnsi="Times New Roman"/>
          <w:sz w:val="30"/>
          <w:szCs w:val="30"/>
        </w:rPr>
      </w:pPr>
      <w:r>
        <w:rPr>
          <w:rFonts w:hint="eastAsia" w:hAnsi="Times New Roman"/>
          <w:sz w:val="30"/>
          <w:szCs w:val="30"/>
        </w:rPr>
        <w:t>应急申报的自设额度不得高于该控制类别的最高额度，超过最高额度的应急申报将做无效处理。</w:t>
      </w:r>
    </w:p>
    <w:p w14:paraId="7A7E4BDA">
      <w:pPr>
        <w:pStyle w:val="90"/>
        <w:spacing w:line="600" w:lineRule="exact"/>
        <w:ind w:firstLine="600"/>
        <w:rPr>
          <w:rFonts w:hAnsi="Times New Roman"/>
          <w:sz w:val="30"/>
          <w:szCs w:val="30"/>
        </w:rPr>
      </w:pPr>
      <w:r>
        <w:rPr>
          <w:rFonts w:hint="eastAsia" w:hAnsi="Times New Roman"/>
          <w:sz w:val="30"/>
          <w:szCs w:val="30"/>
        </w:rPr>
        <w:t>其中，控制类别是指交易单元对应产品或业务的属性类别，分为“自营”、“经纪”、“资管”、“机构业务”四种。</w:t>
      </w:r>
    </w:p>
    <w:p w14:paraId="62BA7034">
      <w:pPr>
        <w:pStyle w:val="90"/>
        <w:spacing w:line="600" w:lineRule="exact"/>
        <w:ind w:firstLine="602"/>
        <w:rPr>
          <w:rFonts w:hAnsi="Times New Roman"/>
          <w:b/>
          <w:sz w:val="30"/>
          <w:szCs w:val="30"/>
        </w:rPr>
      </w:pPr>
      <w:r>
        <w:rPr>
          <w:rFonts w:hint="eastAsia" w:hAnsi="Times New Roman"/>
          <w:b/>
          <w:sz w:val="30"/>
          <w:szCs w:val="30"/>
        </w:rPr>
        <w:t>（三）额度调整相关说明</w:t>
      </w:r>
    </w:p>
    <w:p w14:paraId="2B815899">
      <w:pPr>
        <w:pStyle w:val="90"/>
        <w:spacing w:line="600" w:lineRule="exact"/>
        <w:ind w:firstLine="600"/>
        <w:rPr>
          <w:rFonts w:hAnsi="Times New Roman"/>
          <w:sz w:val="30"/>
          <w:szCs w:val="30"/>
        </w:rPr>
      </w:pPr>
      <w:r>
        <w:rPr>
          <w:rFonts w:hint="eastAsia" w:hAnsi="Times New Roman"/>
          <w:sz w:val="30"/>
          <w:szCs w:val="30"/>
        </w:rPr>
        <w:t>最高额度调整时，债券交易参与人应当根据最高额度调整的具体情形及时评估、调整自设额度，对未及时调整自设额度的：</w:t>
      </w:r>
    </w:p>
    <w:p w14:paraId="298DA930">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最高额度常规调整导致调整后的最高额度低于该关联交易单元自设额度，则下一交易日最高额度调整生效时，自设额度将被设置为生效后的最高额度。其中，关联交易单元是指相同机构名下且控制类别相同的一组交易单元。</w:t>
      </w:r>
    </w:p>
    <w:p w14:paraId="0851A8C0">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最高额度盘中紧急调整导致调整后的最高额度低于该关联交易单元自设额度，则最高额度紧急调整生效时，自设额度将被设置为紧急调整生效后的最高额度。</w:t>
      </w:r>
    </w:p>
    <w:p w14:paraId="538EA843">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关联交易单元最高额度盘中紧急调整导致调整后的最高额度低于该关联交易单元当前全天净买入申报金额的，最高额度盘中紧急调整有效，同时，本所对该关联交易单元的申报开始实施前端控制。</w:t>
      </w:r>
    </w:p>
    <w:p w14:paraId="6FA63A5A">
      <w:pPr>
        <w:pStyle w:val="90"/>
        <w:spacing w:line="600" w:lineRule="exact"/>
        <w:ind w:firstLine="600"/>
        <w:rPr>
          <w:rFonts w:hAnsi="Times New Roman"/>
          <w:sz w:val="30"/>
          <w:szCs w:val="30"/>
        </w:rPr>
      </w:pPr>
      <w:bookmarkStart w:id="3461" w:name="_Toc513119172"/>
      <w:r>
        <w:rPr>
          <w:rFonts w:hint="eastAsia" w:hAnsi="Times New Roman"/>
          <w:sz w:val="30"/>
          <w:szCs w:val="30"/>
        </w:rPr>
        <w:t>三、特定交易单元</w:t>
      </w:r>
      <w:bookmarkEnd w:id="3461"/>
    </w:p>
    <w:p w14:paraId="3F911224">
      <w:pPr>
        <w:pStyle w:val="90"/>
        <w:spacing w:line="600" w:lineRule="exact"/>
        <w:ind w:firstLine="600"/>
        <w:rPr>
          <w:rFonts w:hAnsi="Times New Roman"/>
          <w:sz w:val="30"/>
          <w:szCs w:val="30"/>
        </w:rPr>
      </w:pPr>
      <w:r>
        <w:rPr>
          <w:rFonts w:hint="eastAsia" w:hAnsi="Times New Roman"/>
          <w:sz w:val="30"/>
          <w:szCs w:val="30"/>
        </w:rPr>
        <w:t>债券交易参与人应当为每种控制类别指定一个特定交易单元，以用于该控制类别的自设额度盘中应急申报。</w:t>
      </w:r>
    </w:p>
    <w:p w14:paraId="28FA978D">
      <w:pPr>
        <w:pStyle w:val="90"/>
        <w:spacing w:line="600" w:lineRule="exact"/>
        <w:ind w:firstLine="600"/>
        <w:rPr>
          <w:rFonts w:hAnsi="Times New Roman"/>
          <w:sz w:val="30"/>
          <w:szCs w:val="30"/>
        </w:rPr>
      </w:pPr>
      <w:r>
        <w:rPr>
          <w:rFonts w:hint="eastAsia" w:hAnsi="Times New Roman"/>
          <w:sz w:val="30"/>
          <w:szCs w:val="30"/>
        </w:rPr>
        <w:t>每个关联交易单元只可指定该关联交易单元中的一个交易单元作为特定交易单元。本所只接受关联交易单元对应的特定交易单元提交的自设额度应急申报。</w:t>
      </w:r>
    </w:p>
    <w:p w14:paraId="361D3963">
      <w:pPr>
        <w:pStyle w:val="90"/>
        <w:spacing w:line="600" w:lineRule="exact"/>
        <w:ind w:firstLine="600"/>
        <w:rPr>
          <w:rFonts w:hAnsi="Times New Roman"/>
          <w:sz w:val="30"/>
          <w:szCs w:val="30"/>
        </w:rPr>
      </w:pPr>
      <w:r>
        <w:rPr>
          <w:rFonts w:hint="eastAsia" w:hAnsi="Times New Roman"/>
          <w:sz w:val="30"/>
          <w:szCs w:val="30"/>
        </w:rPr>
        <w:t>停用、注销及正在办理租用或退租等业务的交易单元不得指定为特定交易单元。</w:t>
      </w:r>
    </w:p>
    <w:p w14:paraId="2AFB4C28">
      <w:pPr>
        <w:pStyle w:val="90"/>
        <w:spacing w:line="600" w:lineRule="exact"/>
        <w:ind w:firstLine="600"/>
        <w:rPr>
          <w:rFonts w:hAnsi="Times New Roman"/>
          <w:sz w:val="30"/>
          <w:szCs w:val="30"/>
        </w:rPr>
      </w:pPr>
      <w:r>
        <w:rPr>
          <w:rFonts w:hint="eastAsia" w:hAnsi="Times New Roman"/>
          <w:sz w:val="30"/>
          <w:szCs w:val="30"/>
        </w:rPr>
        <w:t>特定交易单元不可办理注销、停用、退租或租用等业务。交易参与人应先完成特定交易单元的更改，方可办理上述业务。</w:t>
      </w:r>
    </w:p>
    <w:p w14:paraId="7C04C7FE">
      <w:pPr>
        <w:pStyle w:val="90"/>
        <w:spacing w:line="600" w:lineRule="exact"/>
        <w:ind w:firstLine="602"/>
        <w:rPr>
          <w:rFonts w:hAnsi="Times New Roman"/>
          <w:b/>
          <w:sz w:val="30"/>
          <w:szCs w:val="30"/>
        </w:rPr>
      </w:pPr>
      <w:r>
        <w:rPr>
          <w:rFonts w:hint="eastAsia" w:hAnsi="Times New Roman"/>
          <w:b/>
          <w:sz w:val="30"/>
          <w:szCs w:val="30"/>
        </w:rPr>
        <w:t>（一）特定交易单元的指定</w:t>
      </w:r>
    </w:p>
    <w:p w14:paraId="62E06E8C">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债券交易参与人可于每个交易日9:00至16:30通过本所会员专区“业务办理—资金前端控制业务办理—全天控制自设额度设置特定交易单元”栏目进行指定。当日16:30之后，本所不接受特定交易单元的相关申报。</w:t>
      </w:r>
    </w:p>
    <w:p w14:paraId="0120CA7F">
      <w:pPr>
        <w:pStyle w:val="90"/>
        <w:spacing w:line="600" w:lineRule="exact"/>
        <w:ind w:firstLine="600"/>
        <w:rPr>
          <w:rFonts w:hAnsi="Times New Roman"/>
          <w:sz w:val="30"/>
          <w:szCs w:val="30"/>
        </w:rPr>
      </w:pPr>
      <w:r>
        <w:rPr>
          <w:rFonts w:hint="eastAsia" w:hAnsi="Times New Roman"/>
          <w:sz w:val="30"/>
          <w:szCs w:val="30"/>
        </w:rPr>
        <w:t>特定交易单元的指定于下一交易日生效。</w:t>
      </w:r>
    </w:p>
    <w:p w14:paraId="1F7C5AC3">
      <w:pPr>
        <w:pStyle w:val="90"/>
        <w:spacing w:line="600" w:lineRule="exact"/>
        <w:ind w:firstLine="600"/>
        <w:rPr>
          <w:rFonts w:hAnsi="Times New Roman"/>
          <w:sz w:val="30"/>
          <w:szCs w:val="30"/>
        </w:rPr>
      </w:pPr>
      <w:r>
        <w:rPr>
          <w:rFonts w:hint="eastAsia" w:hAnsi="Times New Roman"/>
          <w:sz w:val="30"/>
          <w:szCs w:val="30"/>
        </w:rPr>
        <w:t>债券交易参与人可在上述时间段内重复指定，以最后一次指定为准。</w:t>
      </w:r>
    </w:p>
    <w:p w14:paraId="17D48EA4">
      <w:pPr>
        <w:pStyle w:val="90"/>
        <w:spacing w:line="600" w:lineRule="exact"/>
        <w:ind w:firstLine="602"/>
        <w:rPr>
          <w:rFonts w:hAnsi="Times New Roman"/>
          <w:b/>
          <w:sz w:val="30"/>
          <w:szCs w:val="30"/>
        </w:rPr>
      </w:pPr>
      <w:r>
        <w:rPr>
          <w:rFonts w:hint="eastAsia" w:hAnsi="Times New Roman"/>
          <w:b/>
          <w:sz w:val="30"/>
          <w:szCs w:val="30"/>
        </w:rPr>
        <w:t>（二）</w:t>
      </w:r>
      <w:r>
        <w:rPr>
          <w:rFonts w:hAnsi="Times New Roman"/>
          <w:b/>
          <w:sz w:val="30"/>
          <w:szCs w:val="30"/>
        </w:rPr>
        <w:t xml:space="preserve"> </w:t>
      </w:r>
      <w:r>
        <w:rPr>
          <w:rFonts w:hint="eastAsia" w:hAnsi="Times New Roman"/>
          <w:b/>
          <w:sz w:val="30"/>
          <w:szCs w:val="30"/>
        </w:rPr>
        <w:t>特定交易单元的撤销</w:t>
      </w:r>
    </w:p>
    <w:p w14:paraId="077EB3D1">
      <w:pPr>
        <w:pStyle w:val="90"/>
        <w:spacing w:line="600" w:lineRule="exact"/>
        <w:ind w:firstLine="600"/>
        <w:rPr>
          <w:rFonts w:hAnsi="Times New Roman"/>
          <w:sz w:val="30"/>
          <w:szCs w:val="30"/>
        </w:rPr>
      </w:pPr>
      <w:r>
        <w:rPr>
          <w:rFonts w:hint="eastAsia" w:hAnsi="Times New Roman"/>
          <w:sz w:val="30"/>
          <w:szCs w:val="30"/>
        </w:rPr>
        <w:t>当关联交易单元中仅有一个交易单元时，才可申报撤销该关联交易单元对应的特定交易单元。</w:t>
      </w:r>
    </w:p>
    <w:p w14:paraId="04461BE1">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债券交易参与人可于每个交易日9:00至16:30通过本所会员专区“业务办理—资金前端控制业务办理—全天控制自设额度设置特定交易单元撤销”申报撤销特定交易单元。</w:t>
      </w:r>
    </w:p>
    <w:p w14:paraId="3110765D">
      <w:pPr>
        <w:pStyle w:val="90"/>
        <w:adjustRightInd w:val="0"/>
        <w:snapToGrid w:val="0"/>
        <w:spacing w:line="600" w:lineRule="exact"/>
        <w:ind w:firstLine="600"/>
        <w:rPr>
          <w:rFonts w:hAnsi="Times New Roman"/>
          <w:sz w:val="30"/>
          <w:szCs w:val="30"/>
        </w:rPr>
      </w:pPr>
    </w:p>
    <w:p w14:paraId="68C481B1">
      <w:pPr>
        <w:pStyle w:val="90"/>
        <w:adjustRightInd w:val="0"/>
        <w:snapToGrid w:val="0"/>
        <w:spacing w:line="600" w:lineRule="exact"/>
        <w:ind w:firstLine="0" w:firstLineChars="0"/>
        <w:rPr>
          <w:rFonts w:hAnsi="Times New Roman"/>
          <w:sz w:val="30"/>
          <w:szCs w:val="30"/>
        </w:rPr>
      </w:pPr>
    </w:p>
    <w:p w14:paraId="3E302F71">
      <w:pPr>
        <w:spacing w:line="560" w:lineRule="exact"/>
        <w:ind w:firstLine="600"/>
        <w:rPr>
          <w:rFonts w:ascii="仿宋_GB2312" w:eastAsia="仿宋_GB2312"/>
          <w:sz w:val="30"/>
          <w:szCs w:val="30"/>
        </w:rPr>
      </w:pPr>
    </w:p>
    <w:p w14:paraId="141C8912">
      <w:pPr>
        <w:spacing w:line="600" w:lineRule="exact"/>
        <w:outlineLvl w:val="1"/>
        <w:rPr>
          <w:rFonts w:ascii="仿宋_GB2312" w:eastAsia="仿宋_GB2312"/>
          <w:b/>
          <w:sz w:val="30"/>
          <w:szCs w:val="30"/>
        </w:rPr>
      </w:pPr>
      <w:r>
        <w:rPr>
          <w:rFonts w:ascii="仿宋_GB2312" w:hAnsi="黑体" w:eastAsia="仿宋_GB2312"/>
          <w:b/>
          <w:sz w:val="36"/>
          <w:szCs w:val="36"/>
        </w:rPr>
        <w:br w:type="page"/>
      </w:r>
      <w:bookmarkStart w:id="3462" w:name="_Toc151137086"/>
      <w:r>
        <w:rPr>
          <w:rFonts w:hint="eastAsia" w:ascii="仿宋_GB2312" w:hAnsi="黑体" w:eastAsia="仿宋_GB2312"/>
          <w:b/>
          <w:sz w:val="30"/>
          <w:szCs w:val="30"/>
        </w:rPr>
        <w:t>附件6-1 竞买预约提示</w:t>
      </w:r>
      <w:bookmarkEnd w:id="3462"/>
    </w:p>
    <w:p w14:paraId="7D83176D">
      <w:pPr>
        <w:rPr>
          <w:rFonts w:ascii="仿宋_GB2312" w:eastAsia="仿宋_GB2312"/>
          <w:b/>
          <w:sz w:val="30"/>
          <w:szCs w:val="30"/>
        </w:rPr>
      </w:pPr>
      <w:r>
        <w:rPr>
          <w:rFonts w:hint="eastAsia" w:ascii="仿宋_GB2312" w:eastAsia="仿宋_GB2312"/>
          <w:b/>
          <w:sz w:val="30"/>
          <w:szCs w:val="30"/>
        </w:rPr>
        <w:t>示例一：</w:t>
      </w:r>
    </w:p>
    <w:p w14:paraId="29E44042">
      <w:pPr>
        <w:jc w:val="center"/>
        <w:rPr>
          <w:rFonts w:ascii="黑体" w:hAnsi="黑体" w:eastAsia="黑体" w:cs="黑体"/>
          <w:b/>
          <w:sz w:val="44"/>
          <w:szCs w:val="44"/>
        </w:rPr>
      </w:pPr>
      <w:r>
        <w:rPr>
          <w:rFonts w:hint="eastAsia" w:ascii="黑体" w:hAnsi="黑体" w:eastAsia="黑体" w:cs="黑体"/>
          <w:b/>
          <w:sz w:val="44"/>
          <w:szCs w:val="44"/>
        </w:rPr>
        <w:t>关于组织开展{债券简称}（{债券代码}）竞买的提示（预约编号{YYYYMMDD}XXX号）</w:t>
      </w:r>
    </w:p>
    <w:p w14:paraId="74BDCBA2">
      <w:pPr>
        <w:ind w:left="420" w:leftChars="200" w:firstLine="420"/>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14:paraId="14B8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3538117">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93" w:type="dxa"/>
          </w:tcPr>
          <w:p w14:paraId="073022AC">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108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4875E14">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93" w:type="dxa"/>
          </w:tcPr>
          <w:p w14:paraId="66845E09">
            <w:pPr>
              <w:pStyle w:val="12"/>
              <w:ind w:firstLine="0" w:firstLineChars="0"/>
              <w:jc w:val="left"/>
              <w:rPr>
                <w:rFonts w:ascii="宋体" w:hAnsi="宋体" w:cs="宋体"/>
                <w:szCs w:val="21"/>
                <w:lang w:eastAsia="en-US" w:bidi="en-US"/>
              </w:rPr>
            </w:pPr>
          </w:p>
        </w:tc>
      </w:tr>
      <w:tr w14:paraId="176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0292692">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93" w:type="dxa"/>
          </w:tcPr>
          <w:p w14:paraId="0D6CD8DA">
            <w:pPr>
              <w:pStyle w:val="12"/>
              <w:ind w:firstLine="0" w:firstLineChars="0"/>
              <w:jc w:val="left"/>
              <w:rPr>
                <w:rFonts w:ascii="宋体" w:hAnsi="宋体" w:cs="宋体"/>
                <w:szCs w:val="21"/>
                <w:lang w:eastAsia="en-US" w:bidi="en-US"/>
              </w:rPr>
            </w:pPr>
          </w:p>
        </w:tc>
      </w:tr>
      <w:tr w14:paraId="76F4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B754E8A">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93" w:type="dxa"/>
          </w:tcPr>
          <w:p w14:paraId="3C85593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2C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89BF169">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593" w:type="dxa"/>
          </w:tcPr>
          <w:p w14:paraId="7EDC3D1E">
            <w:pPr>
              <w:pStyle w:val="12"/>
              <w:ind w:firstLine="0" w:firstLineChars="0"/>
              <w:jc w:val="left"/>
              <w:rPr>
                <w:rFonts w:ascii="宋体" w:hAnsi="宋体"/>
                <w:lang w:eastAsia="en-US" w:bidi="en-US"/>
              </w:rPr>
            </w:pPr>
            <w:r>
              <w:rPr>
                <w:rFonts w:hint="eastAsia" w:ascii="宋体" w:hAnsi="宋体"/>
                <w:lang w:eastAsia="en-US" w:bidi="en-US"/>
              </w:rPr>
              <w:t>单一主体中标/单一价格中标/多重价格中标</w:t>
            </w:r>
          </w:p>
        </w:tc>
      </w:tr>
      <w:tr w14:paraId="2203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0BD56D15">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593" w:type="dxa"/>
          </w:tcPr>
          <w:p w14:paraId="2EE63542">
            <w:pPr>
              <w:pStyle w:val="12"/>
              <w:ind w:firstLine="0" w:firstLineChars="0"/>
              <w:jc w:val="left"/>
              <w:rPr>
                <w:rFonts w:ascii="宋体" w:hAnsi="宋体"/>
                <w:lang w:eastAsia="en-US" w:bidi="en-US"/>
              </w:rPr>
            </w:pPr>
            <w:r>
              <w:rPr>
                <w:rFonts w:hint="eastAsia" w:ascii="宋体" w:hAnsi="宋体"/>
                <w:lang w:eastAsia="en-US" w:bidi="en-US"/>
              </w:rPr>
              <w:t>XX.XXX</w:t>
            </w:r>
          </w:p>
        </w:tc>
      </w:tr>
      <w:tr w14:paraId="06DA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802DA38">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593" w:type="dxa"/>
          </w:tcPr>
          <w:p w14:paraId="177BE548">
            <w:pPr>
              <w:pStyle w:val="12"/>
              <w:ind w:firstLine="0" w:firstLineChars="0"/>
              <w:jc w:val="left"/>
              <w:rPr>
                <w:rFonts w:ascii="宋体" w:hAnsi="宋体"/>
                <w:lang w:eastAsia="en-US" w:bidi="en-US"/>
              </w:rPr>
            </w:pPr>
            <w:r>
              <w:rPr>
                <w:rFonts w:hint="eastAsia" w:ascii="宋体" w:hAnsi="宋体"/>
                <w:lang w:eastAsia="en-US" w:bidi="en-US"/>
              </w:rPr>
              <w:t>XXXX</w:t>
            </w:r>
          </w:p>
        </w:tc>
      </w:tr>
      <w:tr w14:paraId="3192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7BB0DC8">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93" w:type="dxa"/>
          </w:tcPr>
          <w:p w14:paraId="5CA8BC1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58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54D65FEC">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93" w:type="dxa"/>
          </w:tcPr>
          <w:p w14:paraId="551E6476">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D4D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4856FCF">
            <w:pPr>
              <w:pStyle w:val="12"/>
              <w:ind w:firstLine="0" w:firstLineChars="0"/>
              <w:jc w:val="left"/>
              <w:rPr>
                <w:rFonts w:ascii="宋体" w:hAnsi="宋体"/>
                <w:lang w:eastAsia="en-US" w:bidi="en-US"/>
              </w:rPr>
            </w:pPr>
            <w:r>
              <w:rPr>
                <w:rFonts w:hint="eastAsia" w:ascii="宋体" w:hAnsi="宋体"/>
                <w:lang w:eastAsia="en-US" w:bidi="en-US"/>
              </w:rPr>
              <w:t>竞买时间</w:t>
            </w:r>
          </w:p>
        </w:tc>
        <w:tc>
          <w:tcPr>
            <w:tcW w:w="6593" w:type="dxa"/>
          </w:tcPr>
          <w:p w14:paraId="071877CC">
            <w:pPr>
              <w:pStyle w:val="12"/>
              <w:ind w:firstLine="0" w:firstLineChars="0"/>
              <w:jc w:val="left"/>
              <w:rPr>
                <w:rFonts w:ascii="宋体" w:hAnsi="宋体"/>
                <w:lang w:eastAsia="en-US" w:bidi="en-US"/>
              </w:rPr>
            </w:pPr>
            <w:r>
              <w:rPr>
                <w:rFonts w:hint="eastAsia" w:ascii="宋体" w:hAnsi="宋体"/>
                <w:lang w:eastAsia="en-US" w:bidi="en-US"/>
              </w:rPr>
              <w:t>10:00-11:30</w:t>
            </w:r>
          </w:p>
        </w:tc>
      </w:tr>
      <w:tr w14:paraId="46B1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72D6B298">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93" w:type="dxa"/>
          </w:tcPr>
          <w:p w14:paraId="7F516EB6">
            <w:pPr>
              <w:pStyle w:val="12"/>
              <w:ind w:firstLine="0" w:firstLineChars="0"/>
              <w:jc w:val="left"/>
              <w:rPr>
                <w:rFonts w:ascii="宋体" w:hAnsi="宋体"/>
                <w:lang w:eastAsia="en-US" w:bidi="en-US"/>
              </w:rPr>
            </w:pPr>
            <w:r>
              <w:rPr>
                <w:rFonts w:hint="eastAsia" w:ascii="宋体" w:hAnsi="宋体"/>
                <w:lang w:eastAsia="en-US" w:bidi="en-US"/>
              </w:rPr>
              <w:t>本提示展示信息仅为发起方意向信息，关于本次债券竞买的具体信息以竞买日当天实际申报信息为准。</w:t>
            </w:r>
          </w:p>
        </w:tc>
      </w:tr>
    </w:tbl>
    <w:p w14:paraId="235E1A0F">
      <w:pPr>
        <w:spacing w:line="600" w:lineRule="exact"/>
        <w:ind w:firstLine="600"/>
        <w:jc w:val="right"/>
        <w:rPr>
          <w:rFonts w:ascii="仿宋_GB2312" w:eastAsia="仿宋_GB2312"/>
          <w:sz w:val="30"/>
          <w:szCs w:val="30"/>
        </w:rPr>
      </w:pPr>
    </w:p>
    <w:p w14:paraId="00B70F2D">
      <w:pPr>
        <w:spacing w:line="600" w:lineRule="exact"/>
        <w:outlineLvl w:val="1"/>
        <w:rPr>
          <w:rFonts w:ascii="宋体" w:hAnsi="宋体" w:eastAsia="仿宋_GB2312"/>
        </w:rPr>
      </w:pPr>
      <w:bookmarkStart w:id="3463" w:name="_Toc151137087"/>
      <w:r>
        <w:rPr>
          <w:rFonts w:hint="eastAsia" w:ascii="仿宋_GB2312" w:eastAsia="仿宋_GB2312"/>
          <w:b/>
          <w:sz w:val="30"/>
          <w:szCs w:val="30"/>
        </w:rPr>
        <w:t>附件6-2 竞买预约撤销提示</w:t>
      </w:r>
      <w:bookmarkEnd w:id="3463"/>
    </w:p>
    <w:p w14:paraId="0804DA2F">
      <w:pPr>
        <w:rPr>
          <w:rFonts w:ascii="仿宋_GB2312" w:eastAsia="仿宋_GB2312"/>
          <w:b/>
          <w:sz w:val="30"/>
          <w:szCs w:val="30"/>
        </w:rPr>
      </w:pPr>
      <w:r>
        <w:rPr>
          <w:rFonts w:hint="eastAsia" w:ascii="仿宋_GB2312" w:eastAsia="仿宋_GB2312"/>
          <w:b/>
          <w:sz w:val="30"/>
          <w:szCs w:val="30"/>
        </w:rPr>
        <w:t>示例二：</w:t>
      </w:r>
    </w:p>
    <w:p w14:paraId="3C4D6F18">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{债券简称}（{债券代码}）（预约编号{YYYYMDD}XXX号）竞买预约撤销的提示</w:t>
      </w:r>
    </w:p>
    <w:p w14:paraId="7ABA076A">
      <w:pPr>
        <w:ind w:left="420" w:leftChars="200" w:firstLine="420"/>
        <w:jc w:val="right"/>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3619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8F156F1">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73399000">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0384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B84C46">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6CE9C5ED">
            <w:pPr>
              <w:pStyle w:val="12"/>
              <w:ind w:firstLine="0" w:firstLineChars="0"/>
              <w:jc w:val="left"/>
              <w:rPr>
                <w:rFonts w:ascii="宋体" w:hAnsi="宋体" w:cs="宋体"/>
                <w:szCs w:val="21"/>
                <w:lang w:eastAsia="en-US" w:bidi="en-US"/>
              </w:rPr>
            </w:pPr>
          </w:p>
        </w:tc>
      </w:tr>
      <w:tr w14:paraId="424B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923620C">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46761EC3">
            <w:pPr>
              <w:pStyle w:val="12"/>
              <w:ind w:firstLine="0" w:firstLineChars="0"/>
              <w:jc w:val="left"/>
              <w:rPr>
                <w:rFonts w:ascii="宋体" w:hAnsi="宋体" w:cs="宋体"/>
                <w:szCs w:val="21"/>
                <w:lang w:eastAsia="en-US" w:bidi="en-US"/>
              </w:rPr>
            </w:pPr>
          </w:p>
        </w:tc>
      </w:tr>
      <w:tr w14:paraId="403F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DBE39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6626AD11">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A5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38FE446">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3F94346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0537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335CAE">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633C367F">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171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0FE12D3">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25BEF709">
            <w:pPr>
              <w:pStyle w:val="12"/>
              <w:ind w:firstLine="0" w:firstLineChars="0"/>
              <w:jc w:val="left"/>
              <w:rPr>
                <w:rFonts w:ascii="宋体" w:hAnsi="宋体"/>
                <w:lang w:eastAsia="en-US" w:bidi="en-US"/>
              </w:rPr>
            </w:pPr>
            <w:r>
              <w:rPr>
                <w:rFonts w:hint="eastAsia" w:ascii="宋体" w:hAnsi="宋体"/>
                <w:lang w:eastAsia="en-US" w:bidi="en-US"/>
              </w:rPr>
              <w:t>由于发起方意向变更，现撤销此次竞买预约。</w:t>
            </w:r>
          </w:p>
        </w:tc>
      </w:tr>
    </w:tbl>
    <w:p w14:paraId="248476C9">
      <w:pPr>
        <w:pStyle w:val="12"/>
        <w:ind w:firstLine="0" w:firstLineChars="0"/>
        <w:rPr>
          <w:rFonts w:ascii="宋体" w:hAnsi="宋体"/>
        </w:rPr>
      </w:pPr>
    </w:p>
    <w:p w14:paraId="6C561555">
      <w:pPr>
        <w:widowControl/>
        <w:jc w:val="left"/>
        <w:outlineLvl w:val="1"/>
        <w:rPr>
          <w:rFonts w:ascii="仿宋_GB2312" w:hAnsi="黑体" w:eastAsia="仿宋_GB2312"/>
          <w:b/>
          <w:sz w:val="30"/>
          <w:szCs w:val="30"/>
        </w:rPr>
      </w:pPr>
      <w:bookmarkStart w:id="3464" w:name="_Toc151137088"/>
      <w:r>
        <w:rPr>
          <w:rFonts w:hint="eastAsia" w:ascii="仿宋_GB2312" w:hAnsi="黑体" w:eastAsia="仿宋_GB2312"/>
          <w:b/>
          <w:sz w:val="30"/>
          <w:szCs w:val="30"/>
        </w:rPr>
        <w:t>附件6-3 竞买取消提示</w:t>
      </w:r>
      <w:bookmarkEnd w:id="3464"/>
    </w:p>
    <w:p w14:paraId="2BA597DE">
      <w:pPr>
        <w:rPr>
          <w:rFonts w:ascii="仿宋_GB2312" w:eastAsia="仿宋_GB2312"/>
          <w:b/>
          <w:sz w:val="30"/>
          <w:szCs w:val="30"/>
        </w:rPr>
      </w:pPr>
      <w:r>
        <w:rPr>
          <w:rFonts w:hint="eastAsia" w:ascii="仿宋_GB2312" w:eastAsia="仿宋_GB2312"/>
          <w:b/>
          <w:sz w:val="30"/>
          <w:szCs w:val="30"/>
        </w:rPr>
        <w:t>示例三：</w:t>
      </w:r>
    </w:p>
    <w:p w14:paraId="6337C04D">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{债券简称}（{债券代码}）（预约编号{YYYYMMDD}XXX号）竞买取消的提示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129F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1ED8E94">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1F1E5E25">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BD3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20D2463">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371879E0">
            <w:pPr>
              <w:pStyle w:val="12"/>
              <w:ind w:firstLine="0" w:firstLineChars="0"/>
              <w:jc w:val="left"/>
              <w:rPr>
                <w:rFonts w:ascii="宋体" w:hAnsi="宋体" w:cs="宋体"/>
                <w:szCs w:val="21"/>
                <w:lang w:eastAsia="en-US" w:bidi="en-US"/>
              </w:rPr>
            </w:pPr>
          </w:p>
        </w:tc>
      </w:tr>
      <w:tr w14:paraId="0A14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59D7418">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1B29332D">
            <w:pPr>
              <w:pStyle w:val="12"/>
              <w:ind w:firstLine="0" w:firstLineChars="0"/>
              <w:jc w:val="left"/>
              <w:rPr>
                <w:rFonts w:ascii="宋体" w:hAnsi="宋体" w:cs="宋体"/>
                <w:szCs w:val="21"/>
                <w:lang w:eastAsia="en-US" w:bidi="en-US"/>
              </w:rPr>
            </w:pPr>
          </w:p>
        </w:tc>
      </w:tr>
      <w:tr w14:paraId="46D4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54298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2A84908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741A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DFD733D">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72CE5F8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18F6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3A3C022">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0A4C39F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7BB5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4B04D5D">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5D8F5E3D">
            <w:pPr>
              <w:pStyle w:val="12"/>
              <w:ind w:firstLine="0" w:firstLineChars="0"/>
              <w:jc w:val="left"/>
              <w:rPr>
                <w:rFonts w:ascii="宋体" w:hAnsi="宋体"/>
                <w:lang w:eastAsia="en-US" w:bidi="en-US"/>
              </w:rPr>
            </w:pPr>
            <w:r>
              <w:rPr>
                <w:rFonts w:hint="eastAsia" w:ascii="宋体" w:hAnsi="宋体"/>
                <w:lang w:eastAsia="en-US" w:bidi="en-US"/>
              </w:rPr>
              <w:t>由于发起方意向变更，现取消此次竞买预约。</w:t>
            </w:r>
          </w:p>
        </w:tc>
      </w:tr>
    </w:tbl>
    <w:p w14:paraId="4816E68D">
      <w:pPr>
        <w:spacing w:line="600" w:lineRule="exact"/>
        <w:jc w:val="left"/>
        <w:rPr>
          <w:rFonts w:ascii="黑体" w:hAnsi="黑体" w:eastAsia="黑体"/>
          <w:b/>
          <w:sz w:val="44"/>
          <w:szCs w:val="44"/>
        </w:rPr>
      </w:pPr>
    </w:p>
    <w:p w14:paraId="51857F7D">
      <w:pPr>
        <w:widowControl/>
        <w:jc w:val="left"/>
        <w:outlineLvl w:val="1"/>
        <w:rPr>
          <w:rFonts w:ascii="仿宋_GB2312" w:hAnsi="黑体" w:eastAsia="仿宋_GB2312"/>
          <w:b/>
          <w:sz w:val="30"/>
          <w:szCs w:val="30"/>
        </w:rPr>
      </w:pPr>
      <w:bookmarkStart w:id="3465" w:name="_Toc151137089"/>
      <w:r>
        <w:rPr>
          <w:rFonts w:hint="eastAsia" w:ascii="仿宋_GB2312" w:hAnsi="黑体" w:eastAsia="仿宋_GB2312"/>
          <w:b/>
          <w:sz w:val="30"/>
          <w:szCs w:val="30"/>
        </w:rPr>
        <w:t>附件6-4 竞买结果提示</w:t>
      </w:r>
      <w:bookmarkEnd w:id="3465"/>
    </w:p>
    <w:p w14:paraId="0913C459">
      <w:pPr>
        <w:spacing w:line="600" w:lineRule="exact"/>
        <w:jc w:val="left"/>
        <w:rPr>
          <w:rFonts w:ascii="仿宋_GB2312" w:eastAsia="仿宋_GB2312"/>
          <w:b/>
          <w:sz w:val="30"/>
          <w:szCs w:val="30"/>
        </w:rPr>
      </w:pPr>
      <w:r>
        <w:rPr>
          <w:rFonts w:hint="eastAsia" w:ascii="仿宋_GB2312" w:eastAsia="仿宋_GB2312"/>
          <w:b/>
          <w:sz w:val="30"/>
          <w:szCs w:val="30"/>
        </w:rPr>
        <w:t>示例四：</w:t>
      </w:r>
    </w:p>
    <w:p w14:paraId="1105BEE6">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{债券简称}（{债券代码}）（预约编号{YYYYMMDD}XXX号）竞买结果的提示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0A0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3096B91F">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429" w:type="dxa"/>
          </w:tcPr>
          <w:p w14:paraId="1979231C">
            <w:pPr>
              <w:pStyle w:val="12"/>
              <w:ind w:firstLine="0" w:firstLineChars="0"/>
              <w:jc w:val="left"/>
              <w:rPr>
                <w:rFonts w:ascii="宋体" w:hAnsi="宋体" w:cs="宋体"/>
                <w:szCs w:val="21"/>
                <w:lang w:eastAsia="en-US" w:bidi="en-US"/>
              </w:rPr>
            </w:pPr>
          </w:p>
        </w:tc>
      </w:tr>
      <w:tr w14:paraId="47C0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CF5406D">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429" w:type="dxa"/>
          </w:tcPr>
          <w:p w14:paraId="524821D9">
            <w:pPr>
              <w:pStyle w:val="12"/>
              <w:ind w:firstLine="0" w:firstLineChars="0"/>
              <w:jc w:val="left"/>
              <w:rPr>
                <w:rFonts w:ascii="宋体" w:hAnsi="宋体" w:cs="宋体"/>
                <w:szCs w:val="21"/>
                <w:lang w:eastAsia="en-US" w:bidi="en-US"/>
              </w:rPr>
            </w:pPr>
          </w:p>
        </w:tc>
      </w:tr>
      <w:tr w14:paraId="5B4A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53DB0F5">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429" w:type="dxa"/>
          </w:tcPr>
          <w:p w14:paraId="3CC52F3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1DB1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2C9FFC0">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429" w:type="dxa"/>
          </w:tcPr>
          <w:p w14:paraId="1C72679E">
            <w:pPr>
              <w:pStyle w:val="12"/>
              <w:ind w:firstLine="0" w:firstLineChars="0"/>
              <w:jc w:val="left"/>
              <w:rPr>
                <w:rFonts w:ascii="宋体" w:hAnsi="宋体"/>
                <w:lang w:eastAsia="en-US" w:bidi="en-US"/>
              </w:rPr>
            </w:pPr>
            <w:r>
              <w:rPr>
                <w:rFonts w:hint="eastAsia" w:ascii="宋体" w:hAnsi="宋体"/>
                <w:lang w:eastAsia="en-US" w:bidi="en-US"/>
              </w:rPr>
              <w:t>单一主体中标</w:t>
            </w:r>
          </w:p>
        </w:tc>
      </w:tr>
      <w:tr w14:paraId="381D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D15902E">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429" w:type="dxa"/>
          </w:tcPr>
          <w:p w14:paraId="0DF8397A">
            <w:pPr>
              <w:pStyle w:val="12"/>
              <w:ind w:firstLine="0" w:firstLineChars="0"/>
              <w:jc w:val="left"/>
              <w:rPr>
                <w:rFonts w:ascii="宋体" w:hAnsi="宋体"/>
                <w:lang w:eastAsia="en-US" w:bidi="en-US"/>
              </w:rPr>
            </w:pPr>
            <w:r>
              <w:rPr>
                <w:rFonts w:hint="eastAsia" w:ascii="宋体" w:hAnsi="宋体"/>
                <w:lang w:eastAsia="en-US" w:bidi="en-US"/>
              </w:rPr>
              <w:t>XX.XXX</w:t>
            </w:r>
          </w:p>
        </w:tc>
      </w:tr>
      <w:tr w14:paraId="4666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F3E5CF2">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429" w:type="dxa"/>
          </w:tcPr>
          <w:p w14:paraId="077EE838">
            <w:pPr>
              <w:pStyle w:val="12"/>
              <w:ind w:firstLine="0" w:firstLineChars="0"/>
              <w:jc w:val="left"/>
              <w:rPr>
                <w:rFonts w:ascii="宋体" w:hAnsi="宋体"/>
                <w:lang w:eastAsia="en-US" w:bidi="en-US"/>
              </w:rPr>
            </w:pPr>
            <w:r>
              <w:rPr>
                <w:rFonts w:hint="eastAsia" w:ascii="宋体" w:hAnsi="宋体"/>
                <w:lang w:eastAsia="en-US" w:bidi="en-US"/>
              </w:rPr>
              <w:t>XXXX</w:t>
            </w:r>
          </w:p>
        </w:tc>
      </w:tr>
      <w:tr w14:paraId="150F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78E5C0C">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429" w:type="dxa"/>
          </w:tcPr>
          <w:p w14:paraId="36AB8ECC">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27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E552743">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429" w:type="dxa"/>
          </w:tcPr>
          <w:p w14:paraId="7C9CD1AA">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414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B77CA0B">
            <w:pPr>
              <w:pStyle w:val="12"/>
              <w:ind w:firstLine="0" w:firstLineChars="0"/>
              <w:jc w:val="left"/>
              <w:rPr>
                <w:rFonts w:ascii="宋体" w:hAnsi="宋体"/>
                <w:lang w:eastAsia="en-US" w:bidi="en-US"/>
              </w:rPr>
            </w:pPr>
            <w:r>
              <w:rPr>
                <w:rFonts w:hint="eastAsia" w:ascii="宋体" w:hAnsi="宋体"/>
                <w:lang w:eastAsia="en-US" w:bidi="en-US"/>
              </w:rPr>
              <w:t>结算方式</w:t>
            </w:r>
          </w:p>
        </w:tc>
        <w:tc>
          <w:tcPr>
            <w:tcW w:w="6429" w:type="dxa"/>
          </w:tcPr>
          <w:p w14:paraId="77766332">
            <w:pPr>
              <w:pStyle w:val="12"/>
              <w:ind w:firstLine="0" w:firstLineChars="0"/>
              <w:jc w:val="left"/>
              <w:rPr>
                <w:rFonts w:ascii="宋体" w:hAnsi="宋体"/>
                <w:lang w:eastAsia="en-US" w:bidi="en-US"/>
              </w:rPr>
            </w:pPr>
            <w:r>
              <w:rPr>
                <w:rFonts w:hint="eastAsia" w:ascii="宋体" w:hAnsi="宋体"/>
                <w:lang w:eastAsia="en-US" w:bidi="en-US"/>
              </w:rPr>
              <w:t>多边净额/逐笔全额（分别</w:t>
            </w:r>
            <w:r>
              <w:rPr>
                <w:rFonts w:ascii="宋体" w:hAnsi="宋体"/>
                <w:lang w:eastAsia="en-US" w:bidi="en-US"/>
              </w:rPr>
              <w:t>对应净额结算</w:t>
            </w:r>
            <w:r>
              <w:rPr>
                <w:rFonts w:hint="eastAsia" w:ascii="宋体" w:hAnsi="宋体"/>
                <w:lang w:eastAsia="en-US" w:bidi="en-US"/>
              </w:rPr>
              <w:t>/RTGS）</w:t>
            </w:r>
          </w:p>
        </w:tc>
      </w:tr>
      <w:tr w14:paraId="714E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19E7FD3">
            <w:pPr>
              <w:pStyle w:val="12"/>
              <w:ind w:firstLine="0" w:firstLineChars="0"/>
              <w:jc w:val="left"/>
              <w:rPr>
                <w:rFonts w:ascii="宋体" w:hAnsi="宋体"/>
                <w:lang w:eastAsia="en-US" w:bidi="en-US"/>
              </w:rPr>
            </w:pPr>
            <w:r>
              <w:rPr>
                <w:rFonts w:hint="eastAsia" w:ascii="宋体" w:hAnsi="宋体"/>
                <w:lang w:eastAsia="en-US" w:bidi="en-US"/>
              </w:rPr>
              <w:t>结算速度</w:t>
            </w:r>
          </w:p>
        </w:tc>
        <w:tc>
          <w:tcPr>
            <w:tcW w:w="6429" w:type="dxa"/>
          </w:tcPr>
          <w:p w14:paraId="4EB8F236">
            <w:pPr>
              <w:pStyle w:val="12"/>
              <w:ind w:firstLine="0" w:firstLineChars="0"/>
              <w:jc w:val="left"/>
              <w:rPr>
                <w:rFonts w:ascii="宋体" w:hAnsi="宋体"/>
                <w:lang w:eastAsia="en-US" w:bidi="en-US"/>
              </w:rPr>
            </w:pPr>
            <w:r>
              <w:rPr>
                <w:rFonts w:hint="eastAsia" w:ascii="宋体" w:hAnsi="宋体"/>
                <w:lang w:eastAsia="en-US" w:bidi="en-US"/>
              </w:rPr>
              <w:t>T+0/T+1</w:t>
            </w:r>
            <w:r>
              <w:rPr>
                <w:rFonts w:ascii="宋体" w:hAnsi="宋体"/>
                <w:lang w:eastAsia="en-US" w:bidi="en-US"/>
              </w:rPr>
              <w:t xml:space="preserve"> </w:t>
            </w:r>
            <w:r>
              <w:rPr>
                <w:rFonts w:hint="eastAsia" w:ascii="宋体" w:hAnsi="宋体"/>
                <w:lang w:eastAsia="en-US" w:bidi="en-US"/>
              </w:rPr>
              <w:t>（</w:t>
            </w:r>
            <w:r>
              <w:rPr>
                <w:rFonts w:ascii="宋体" w:hAnsi="宋体"/>
                <w:lang w:eastAsia="en-US" w:bidi="en-US"/>
              </w:rPr>
              <w:t>净额结算显示</w:t>
            </w:r>
            <w:r>
              <w:rPr>
                <w:rFonts w:hint="eastAsia" w:ascii="宋体" w:hAnsi="宋体"/>
                <w:lang w:eastAsia="en-US" w:bidi="en-US"/>
              </w:rPr>
              <w:t>T+1，</w:t>
            </w:r>
            <w:r>
              <w:rPr>
                <w:rFonts w:ascii="宋体" w:hAnsi="宋体"/>
                <w:lang w:eastAsia="en-US" w:bidi="en-US"/>
              </w:rPr>
              <w:t>逐笔全额显示</w:t>
            </w:r>
            <w:r>
              <w:rPr>
                <w:rFonts w:hint="eastAsia" w:ascii="宋体" w:hAnsi="宋体"/>
                <w:lang w:eastAsia="en-US" w:bidi="en-US"/>
              </w:rPr>
              <w:t>T+0）</w:t>
            </w:r>
          </w:p>
        </w:tc>
      </w:tr>
      <w:tr w14:paraId="3724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60EC6F0">
            <w:pPr>
              <w:pStyle w:val="12"/>
              <w:ind w:firstLine="0" w:firstLineChars="0"/>
              <w:jc w:val="left"/>
              <w:rPr>
                <w:rFonts w:ascii="宋体" w:hAnsi="宋体"/>
                <w:lang w:eastAsia="en-US" w:bidi="en-US"/>
              </w:rPr>
            </w:pPr>
            <w:r>
              <w:rPr>
                <w:rFonts w:hint="eastAsia" w:ascii="宋体" w:hAnsi="宋体"/>
                <w:lang w:eastAsia="en-US" w:bidi="en-US"/>
              </w:rPr>
              <w:t>中标方</w:t>
            </w:r>
          </w:p>
        </w:tc>
        <w:tc>
          <w:tcPr>
            <w:tcW w:w="6429" w:type="dxa"/>
          </w:tcPr>
          <w:p w14:paraId="2FF786C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558A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BBD4924">
            <w:pPr>
              <w:pStyle w:val="12"/>
              <w:ind w:firstLine="0" w:firstLineChars="0"/>
              <w:jc w:val="left"/>
              <w:rPr>
                <w:rFonts w:ascii="宋体" w:hAnsi="宋体"/>
                <w:lang w:eastAsia="en-US" w:bidi="en-US"/>
              </w:rPr>
            </w:pPr>
            <w:r>
              <w:rPr>
                <w:rFonts w:hint="eastAsia" w:ascii="宋体" w:hAnsi="宋体"/>
                <w:lang w:eastAsia="en-US" w:bidi="en-US"/>
              </w:rPr>
              <w:t>中标价格（元）</w:t>
            </w:r>
          </w:p>
        </w:tc>
        <w:tc>
          <w:tcPr>
            <w:tcW w:w="6429" w:type="dxa"/>
          </w:tcPr>
          <w:p w14:paraId="5D4F5B39">
            <w:pPr>
              <w:pStyle w:val="12"/>
              <w:ind w:firstLine="0" w:firstLineChars="0"/>
              <w:jc w:val="left"/>
              <w:rPr>
                <w:rFonts w:ascii="宋体" w:hAnsi="宋体"/>
                <w:lang w:eastAsia="en-US" w:bidi="en-US"/>
              </w:rPr>
            </w:pPr>
            <w:r>
              <w:rPr>
                <w:rFonts w:hint="eastAsia" w:ascii="宋体" w:hAnsi="宋体" w:cs="宋体"/>
                <w:szCs w:val="21"/>
                <w:lang w:eastAsia="en-US" w:bidi="en-US"/>
              </w:rPr>
              <w:t>XX.XXX</w:t>
            </w:r>
          </w:p>
        </w:tc>
      </w:tr>
      <w:tr w14:paraId="2ED2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AE628A1">
            <w:pPr>
              <w:pStyle w:val="12"/>
              <w:ind w:firstLine="0" w:firstLineChars="0"/>
              <w:jc w:val="left"/>
              <w:rPr>
                <w:rFonts w:ascii="宋体" w:hAnsi="宋体"/>
                <w:lang w:eastAsia="en-US" w:bidi="en-US"/>
              </w:rPr>
            </w:pPr>
            <w:r>
              <w:rPr>
                <w:rFonts w:hint="eastAsia" w:ascii="宋体" w:hAnsi="宋体"/>
                <w:lang w:eastAsia="en-US" w:bidi="en-US"/>
              </w:rPr>
              <w:t>中标数量（千元面额）</w:t>
            </w:r>
          </w:p>
        </w:tc>
        <w:tc>
          <w:tcPr>
            <w:tcW w:w="6429" w:type="dxa"/>
          </w:tcPr>
          <w:p w14:paraId="48E8110B">
            <w:pPr>
              <w:pStyle w:val="12"/>
              <w:ind w:firstLine="0" w:firstLineChars="0"/>
              <w:jc w:val="left"/>
              <w:rPr>
                <w:rFonts w:ascii="宋体" w:hAnsi="宋体"/>
                <w:lang w:eastAsia="en-US" w:bidi="en-US"/>
              </w:rPr>
            </w:pPr>
            <w:r>
              <w:rPr>
                <w:rFonts w:hint="eastAsia" w:ascii="宋体" w:hAnsi="宋体"/>
                <w:lang w:eastAsia="en-US" w:bidi="en-US"/>
              </w:rPr>
              <w:t>XXXX</w:t>
            </w:r>
          </w:p>
        </w:tc>
      </w:tr>
    </w:tbl>
    <w:p w14:paraId="40F0BE2B">
      <w:pPr>
        <w:ind w:firstLine="600" w:firstLineChars="200"/>
        <w:jc w:val="right"/>
        <w:rPr>
          <w:rFonts w:ascii="仿宋_GB2312" w:hAnsi="仿宋" w:eastAsia="仿宋_GB2312"/>
          <w:sz w:val="30"/>
          <w:szCs w:val="30"/>
        </w:rPr>
      </w:pPr>
    </w:p>
    <w:p w14:paraId="3FE34DEC">
      <w:pPr>
        <w:spacing w:line="600" w:lineRule="exact"/>
        <w:ind w:firstLine="480"/>
        <w:rPr>
          <w:rFonts w:ascii="宋体" w:hAnsi="宋体"/>
          <w:sz w:val="24"/>
          <w:szCs w:val="24"/>
        </w:rPr>
      </w:pPr>
    </w:p>
    <w:p w14:paraId="6E6C30F7">
      <w:pPr>
        <w:widowControl/>
        <w:jc w:val="left"/>
        <w:outlineLvl w:val="1"/>
        <w:rPr>
          <w:rFonts w:ascii="黑体" w:hAnsi="黑体"/>
          <w:b/>
          <w:sz w:val="44"/>
          <w:szCs w:val="44"/>
        </w:rPr>
      </w:pPr>
      <w:r>
        <w:rPr>
          <w:rFonts w:ascii="黑体" w:hAnsi="黑体"/>
          <w:b/>
          <w:sz w:val="44"/>
          <w:szCs w:val="44"/>
        </w:rPr>
        <w:br w:type="page"/>
      </w:r>
      <w:bookmarkStart w:id="3466" w:name="_Toc151137090"/>
      <w:r>
        <w:rPr>
          <w:rFonts w:hint="eastAsia" w:ascii="仿宋_GB2312" w:hAnsi="黑体" w:eastAsia="仿宋_GB2312"/>
          <w:b/>
          <w:sz w:val="30"/>
          <w:szCs w:val="30"/>
        </w:rPr>
        <w:t>附件7 做市交易业务技术测试和专项检查申请</w:t>
      </w:r>
      <w:r>
        <w:rPr>
          <w:rFonts w:hint="eastAsia" w:ascii="仿宋_GB2312" w:eastAsia="仿宋_GB2312"/>
          <w:b/>
          <w:sz w:val="30"/>
          <w:szCs w:val="30"/>
        </w:rPr>
        <w:t>书</w:t>
      </w:r>
      <w:bookmarkEnd w:id="3466"/>
    </w:p>
    <w:p w14:paraId="2F043802">
      <w:pPr>
        <w:jc w:val="center"/>
        <w:rPr>
          <w:rFonts w:ascii="黑体" w:hAnsi="黑体" w:eastAsia="黑体"/>
          <w:b/>
          <w:sz w:val="44"/>
          <w:szCs w:val="44"/>
        </w:rPr>
      </w:pPr>
    </w:p>
    <w:p w14:paraId="1D8E134F">
      <w:pPr>
        <w:jc w:val="center"/>
        <w:rPr>
          <w:rFonts w:ascii="黑体" w:hAnsi="黑体" w:eastAsia="黑体"/>
          <w:b/>
          <w:sz w:val="44"/>
          <w:szCs w:val="44"/>
        </w:rPr>
      </w:pPr>
      <w:r>
        <w:rPr>
          <w:rFonts w:ascii="黑体" w:hAnsi="黑体" w:eastAsia="黑体"/>
          <w:b/>
          <w:sz w:val="44"/>
          <w:szCs w:val="44"/>
        </w:rPr>
        <w:t>XX公司关于申请上海证券交易所</w:t>
      </w:r>
      <w:r>
        <w:rPr>
          <w:rFonts w:hint="eastAsia" w:ascii="黑体" w:hAnsi="黑体" w:eastAsia="黑体"/>
          <w:b/>
          <w:sz w:val="44"/>
          <w:szCs w:val="44"/>
        </w:rPr>
        <w:t>债券做市交易业务技术测试和专项检查的函</w:t>
      </w:r>
    </w:p>
    <w:p w14:paraId="1FA12302">
      <w:pPr>
        <w:rPr>
          <w:rFonts w:ascii="仿宋_GB2312" w:eastAsia="仿宋_GB2312"/>
          <w:szCs w:val="28"/>
        </w:rPr>
      </w:pPr>
    </w:p>
    <w:p w14:paraId="21B27BCF">
      <w:pPr>
        <w:rPr>
          <w:rFonts w:ascii="仿宋_GB2312" w:eastAsia="仿宋_GB2312"/>
          <w:sz w:val="32"/>
          <w:szCs w:val="44"/>
        </w:rPr>
      </w:pPr>
      <w:r>
        <w:rPr>
          <w:rFonts w:hint="eastAsia" w:ascii="仿宋_GB2312" w:eastAsia="仿宋_GB2312"/>
          <w:sz w:val="32"/>
          <w:szCs w:val="44"/>
        </w:rPr>
        <w:t>上海证券交易所：</w:t>
      </w:r>
    </w:p>
    <w:p w14:paraId="6968AA96">
      <w:pPr>
        <w:ind w:firstLine="640" w:firstLineChars="200"/>
        <w:rPr>
          <w:rFonts w:ascii="仿宋_GB2312" w:eastAsia="仿宋_GB2312"/>
          <w:sz w:val="32"/>
          <w:szCs w:val="44"/>
        </w:rPr>
      </w:pPr>
      <w:r>
        <w:rPr>
          <w:rFonts w:hint="eastAsia" w:ascii="仿宋_GB2312" w:eastAsia="仿宋_GB2312"/>
          <w:sz w:val="32"/>
          <w:szCs w:val="44"/>
        </w:rPr>
        <w:t>根据《上海证券交易所债券交易规则》《上海证券交易所债券交易规则适用指引第3号——债券做市业务》等相关规定，我司向贵所申请债券做市交易业务技术测试和专项检查。我司符合开展债券做市交易业务的基本条件，并已做好相关准备工作，特向贵所申请债券做市交易业务技术测试和专项检查。</w:t>
      </w:r>
    </w:p>
    <w:p w14:paraId="3726E7FA">
      <w:pPr>
        <w:ind w:firstLine="640" w:firstLineChars="200"/>
        <w:rPr>
          <w:rFonts w:ascii="仿宋_GB2312" w:eastAsia="仿宋_GB2312"/>
          <w:sz w:val="32"/>
          <w:szCs w:val="44"/>
        </w:rPr>
      </w:pPr>
      <w:r>
        <w:rPr>
          <w:rFonts w:hint="eastAsia" w:ascii="仿宋_GB2312" w:eastAsia="仿宋_GB2312"/>
          <w:sz w:val="32"/>
          <w:szCs w:val="44"/>
        </w:rPr>
        <w:t>我司承诺提交的申请材料内容真实、准确、完整，如存在虚假记载、误导性陈述或重大遗漏，将承担相关法律责任。</w:t>
      </w:r>
    </w:p>
    <w:p w14:paraId="5F82B245">
      <w:pPr>
        <w:ind w:firstLine="640" w:firstLineChars="200"/>
        <w:rPr>
          <w:rFonts w:ascii="仿宋_GB2312" w:eastAsia="仿宋_GB2312"/>
          <w:sz w:val="32"/>
          <w:szCs w:val="44"/>
        </w:rPr>
      </w:pPr>
      <w:r>
        <w:rPr>
          <w:rFonts w:hint="eastAsia" w:ascii="仿宋_GB2312" w:eastAsia="仿宋_GB2312"/>
          <w:sz w:val="32"/>
          <w:szCs w:val="44"/>
        </w:rPr>
        <w:t>特此致函。</w:t>
      </w:r>
    </w:p>
    <w:p w14:paraId="39E63FA6">
      <w:pPr>
        <w:ind w:firstLine="640" w:firstLineChars="200"/>
        <w:rPr>
          <w:rFonts w:ascii="仿宋_GB2312" w:eastAsia="仿宋_GB2312"/>
          <w:sz w:val="32"/>
          <w:szCs w:val="44"/>
        </w:rPr>
      </w:pPr>
    </w:p>
    <w:p w14:paraId="4DA5D90C">
      <w:pPr>
        <w:ind w:firstLine="640" w:firstLineChars="200"/>
        <w:jc w:val="right"/>
        <w:rPr>
          <w:rFonts w:ascii="仿宋_GB2312" w:eastAsia="仿宋_GB2312"/>
          <w:sz w:val="32"/>
          <w:szCs w:val="44"/>
        </w:rPr>
      </w:pPr>
      <w:r>
        <w:rPr>
          <w:rFonts w:hint="eastAsia" w:ascii="仿宋_GB2312" w:eastAsia="仿宋_GB2312"/>
          <w:sz w:val="32"/>
          <w:szCs w:val="44"/>
        </w:rPr>
        <w:t>XX公司（盖章）</w:t>
      </w:r>
    </w:p>
    <w:p w14:paraId="668833D7">
      <w:pPr>
        <w:ind w:firstLine="640" w:firstLineChars="200"/>
        <w:jc w:val="right"/>
        <w:rPr>
          <w:rFonts w:ascii="仿宋_GB2312" w:eastAsia="仿宋_GB2312"/>
          <w:sz w:val="32"/>
          <w:szCs w:val="44"/>
        </w:rPr>
      </w:pPr>
      <w:r>
        <w:rPr>
          <w:rFonts w:hint="eastAsia" w:ascii="仿宋_GB2312" w:eastAsia="仿宋_GB2312"/>
          <w:sz w:val="32"/>
          <w:szCs w:val="44"/>
        </w:rPr>
        <w:t>XX年XX月XX日</w:t>
      </w:r>
    </w:p>
    <w:p w14:paraId="3DBEAE72">
      <w:pPr>
        <w:widowControl/>
        <w:jc w:val="left"/>
        <w:rPr>
          <w:rFonts w:ascii="黑体" w:hAnsi="黑体" w:eastAsia="黑体"/>
          <w:b/>
          <w:sz w:val="36"/>
          <w:szCs w:val="36"/>
        </w:rPr>
      </w:pPr>
    </w:p>
    <w:p w14:paraId="1DC8C663">
      <w:pPr>
        <w:widowControl/>
        <w:jc w:val="left"/>
        <w:rPr>
          <w:rFonts w:ascii="黑体" w:hAnsi="黑体"/>
          <w:b/>
          <w:sz w:val="44"/>
          <w:szCs w:val="44"/>
        </w:rPr>
      </w:pPr>
      <w:r>
        <w:rPr>
          <w:rFonts w:ascii="黑体" w:hAnsi="黑体"/>
          <w:b/>
          <w:sz w:val="44"/>
          <w:szCs w:val="44"/>
        </w:rPr>
        <w:br w:type="page"/>
      </w:r>
    </w:p>
    <w:p w14:paraId="32B02404">
      <w:pPr>
        <w:widowControl/>
        <w:jc w:val="left"/>
        <w:outlineLvl w:val="1"/>
        <w:rPr>
          <w:rFonts w:ascii="仿宋_GB2312" w:hAnsi="黑体" w:eastAsia="仿宋_GB2312"/>
          <w:b/>
          <w:sz w:val="30"/>
          <w:szCs w:val="30"/>
        </w:rPr>
      </w:pPr>
      <w:bookmarkStart w:id="3467" w:name="_Toc151137091"/>
      <w:r>
        <w:rPr>
          <w:rFonts w:hint="eastAsia" w:ascii="仿宋_GB2312" w:hAnsi="黑体" w:eastAsia="仿宋_GB2312"/>
          <w:b/>
          <w:sz w:val="30"/>
          <w:szCs w:val="30"/>
        </w:rPr>
        <w:t>附件8 做市交易业务实施方案与管理制度必备要点</w:t>
      </w:r>
      <w:bookmarkEnd w:id="3467"/>
    </w:p>
    <w:tbl>
      <w:tblPr>
        <w:tblStyle w:val="43"/>
        <w:tblW w:w="55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409"/>
        <w:gridCol w:w="6202"/>
      </w:tblGrid>
      <w:tr w14:paraId="7D66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F5A1C16">
            <w:pPr>
              <w:widowControl/>
              <w:spacing w:line="360" w:lineRule="auto"/>
              <w:jc w:val="center"/>
              <w:rPr>
                <w:rFonts w:eastAsia="仿宋_GB2312"/>
                <w:sz w:val="24"/>
                <w:szCs w:val="28"/>
              </w:rPr>
            </w:pPr>
          </w:p>
        </w:tc>
        <w:tc>
          <w:tcPr>
            <w:tcW w:w="1278" w:type="pct"/>
            <w:tcBorders>
              <w:top w:val="single" w:color="auto" w:sz="4" w:space="0"/>
              <w:left w:val="single" w:color="auto" w:sz="4" w:space="0"/>
              <w:bottom w:val="single" w:color="auto" w:sz="4" w:space="0"/>
              <w:right w:val="single" w:color="auto" w:sz="4" w:space="0"/>
            </w:tcBorders>
            <w:vAlign w:val="center"/>
          </w:tcPr>
          <w:p w14:paraId="28BA90F1">
            <w:pPr>
              <w:widowControl/>
              <w:spacing w:line="360" w:lineRule="auto"/>
              <w:jc w:val="center"/>
              <w:rPr>
                <w:rFonts w:eastAsia="仿宋_GB2312"/>
                <w:sz w:val="24"/>
                <w:szCs w:val="28"/>
              </w:rPr>
            </w:pPr>
            <w:r>
              <w:rPr>
                <w:rFonts w:hint="eastAsia" w:eastAsia="仿宋_GB2312"/>
                <w:sz w:val="24"/>
                <w:szCs w:val="28"/>
              </w:rPr>
              <w:t>必备章节</w:t>
            </w:r>
          </w:p>
        </w:tc>
        <w:tc>
          <w:tcPr>
            <w:tcW w:w="3290" w:type="pct"/>
            <w:tcBorders>
              <w:top w:val="single" w:color="auto" w:sz="4" w:space="0"/>
              <w:left w:val="single" w:color="auto" w:sz="4" w:space="0"/>
              <w:bottom w:val="single" w:color="auto" w:sz="4" w:space="0"/>
              <w:right w:val="single" w:color="auto" w:sz="4" w:space="0"/>
            </w:tcBorders>
            <w:vAlign w:val="center"/>
          </w:tcPr>
          <w:p w14:paraId="72276635">
            <w:pPr>
              <w:widowControl/>
              <w:spacing w:line="360" w:lineRule="auto"/>
              <w:jc w:val="center"/>
              <w:rPr>
                <w:rFonts w:eastAsia="仿宋_GB2312"/>
                <w:sz w:val="24"/>
                <w:szCs w:val="28"/>
              </w:rPr>
            </w:pPr>
            <w:r>
              <w:rPr>
                <w:rFonts w:hint="eastAsia" w:eastAsia="仿宋_GB2312"/>
                <w:sz w:val="24"/>
                <w:szCs w:val="28"/>
              </w:rPr>
              <w:t>内容参考</w:t>
            </w:r>
          </w:p>
        </w:tc>
      </w:tr>
      <w:tr w14:paraId="0E12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D83D02E">
            <w:pPr>
              <w:widowControl/>
              <w:spacing w:line="360" w:lineRule="auto"/>
              <w:jc w:val="center"/>
              <w:rPr>
                <w:rFonts w:eastAsia="仿宋_GB2312"/>
                <w:b/>
                <w:sz w:val="24"/>
                <w:szCs w:val="28"/>
              </w:rPr>
            </w:pPr>
            <w:r>
              <w:rPr>
                <w:rFonts w:hint="eastAsia" w:eastAsia="仿宋_GB2312"/>
                <w:b/>
                <w:sz w:val="24"/>
                <w:szCs w:val="28"/>
              </w:rPr>
              <w:t>债券做市交易业务实施方案</w:t>
            </w:r>
          </w:p>
        </w:tc>
      </w:tr>
      <w:tr w14:paraId="6D4B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C9010D">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147395CD">
            <w:pPr>
              <w:widowControl/>
              <w:spacing w:line="360" w:lineRule="auto"/>
              <w:jc w:val="center"/>
              <w:rPr>
                <w:rFonts w:eastAsia="仿宋_GB2312"/>
                <w:sz w:val="24"/>
                <w:szCs w:val="28"/>
              </w:rPr>
            </w:pPr>
            <w:r>
              <w:rPr>
                <w:rFonts w:hint="eastAsia" w:eastAsia="仿宋_GB2312"/>
                <w:sz w:val="24"/>
                <w:szCs w:val="28"/>
              </w:rPr>
              <w:t>做市交易业务总体设想</w:t>
            </w:r>
          </w:p>
        </w:tc>
        <w:tc>
          <w:tcPr>
            <w:tcW w:w="3290" w:type="pct"/>
            <w:tcBorders>
              <w:top w:val="single" w:color="auto" w:sz="4" w:space="0"/>
              <w:left w:val="single" w:color="auto" w:sz="4" w:space="0"/>
              <w:bottom w:val="single" w:color="auto" w:sz="4" w:space="0"/>
              <w:right w:val="single" w:color="auto" w:sz="4" w:space="0"/>
            </w:tcBorders>
            <w:vAlign w:val="center"/>
          </w:tcPr>
          <w:p w14:paraId="77792B16">
            <w:pPr>
              <w:widowControl/>
              <w:spacing w:line="360" w:lineRule="auto"/>
              <w:rPr>
                <w:rFonts w:eastAsia="仿宋_GB2312"/>
                <w:sz w:val="24"/>
                <w:szCs w:val="28"/>
              </w:rPr>
            </w:pPr>
            <w:r>
              <w:rPr>
                <w:rFonts w:hint="eastAsia" w:eastAsia="仿宋_GB2312"/>
                <w:sz w:val="24"/>
                <w:szCs w:val="28"/>
              </w:rPr>
              <w:t>内容应包括但不限于做市情况概述（含其他市场做市交易业务开展情况），债券做市交易业务计划（资金、人员、岗位设置、职责等），债券做市交易业务发展规划。</w:t>
            </w:r>
          </w:p>
        </w:tc>
      </w:tr>
      <w:tr w14:paraId="05DA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E1120C1">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2818F42">
            <w:pPr>
              <w:widowControl/>
              <w:spacing w:line="360" w:lineRule="auto"/>
              <w:jc w:val="center"/>
              <w:rPr>
                <w:rFonts w:eastAsia="仿宋_GB2312"/>
                <w:sz w:val="24"/>
                <w:szCs w:val="28"/>
              </w:rPr>
            </w:pPr>
            <w:r>
              <w:rPr>
                <w:rFonts w:hint="eastAsia" w:eastAsia="仿宋_GB2312"/>
                <w:sz w:val="24"/>
                <w:szCs w:val="28"/>
              </w:rPr>
              <w:t>做市策略</w:t>
            </w:r>
          </w:p>
        </w:tc>
        <w:tc>
          <w:tcPr>
            <w:tcW w:w="3290" w:type="pct"/>
            <w:tcBorders>
              <w:top w:val="single" w:color="auto" w:sz="4" w:space="0"/>
              <w:left w:val="single" w:color="auto" w:sz="4" w:space="0"/>
              <w:bottom w:val="single" w:color="auto" w:sz="4" w:space="0"/>
              <w:right w:val="single" w:color="auto" w:sz="4" w:space="0"/>
            </w:tcBorders>
            <w:vAlign w:val="center"/>
          </w:tcPr>
          <w:p w14:paraId="11429F64">
            <w:pPr>
              <w:widowControl/>
              <w:spacing w:line="360" w:lineRule="auto"/>
              <w:rPr>
                <w:rFonts w:eastAsia="仿宋_GB2312"/>
                <w:sz w:val="24"/>
                <w:szCs w:val="28"/>
              </w:rPr>
            </w:pPr>
            <w:r>
              <w:rPr>
                <w:rFonts w:hint="eastAsia" w:eastAsia="仿宋_GB2312"/>
                <w:sz w:val="24"/>
                <w:szCs w:val="28"/>
              </w:rPr>
              <w:t>内容应包括但不限于与做市策略相关的定价策略、报价策略、存货管理策略及</w:t>
            </w:r>
            <w:r>
              <w:rPr>
                <w:rFonts w:eastAsia="仿宋_GB2312"/>
                <w:sz w:val="24"/>
                <w:szCs w:val="28"/>
              </w:rPr>
              <w:t>压力测试</w:t>
            </w:r>
            <w:r>
              <w:rPr>
                <w:rFonts w:hint="eastAsia" w:eastAsia="仿宋_GB2312"/>
                <w:sz w:val="24"/>
                <w:szCs w:val="28"/>
              </w:rPr>
              <w:t>。</w:t>
            </w:r>
          </w:p>
        </w:tc>
      </w:tr>
      <w:tr w14:paraId="7434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BB08C30">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83E83E">
            <w:pPr>
              <w:widowControl/>
              <w:spacing w:line="360" w:lineRule="auto"/>
              <w:jc w:val="center"/>
              <w:rPr>
                <w:rFonts w:eastAsia="仿宋_GB2312"/>
                <w:sz w:val="24"/>
                <w:szCs w:val="28"/>
              </w:rPr>
            </w:pPr>
            <w:r>
              <w:rPr>
                <w:rFonts w:hint="eastAsia" w:eastAsia="仿宋_GB2312"/>
                <w:sz w:val="24"/>
                <w:szCs w:val="28"/>
              </w:rPr>
              <w:t>基本功能</w:t>
            </w:r>
          </w:p>
        </w:tc>
        <w:tc>
          <w:tcPr>
            <w:tcW w:w="3290" w:type="pct"/>
            <w:tcBorders>
              <w:top w:val="single" w:color="auto" w:sz="4" w:space="0"/>
              <w:left w:val="single" w:color="auto" w:sz="4" w:space="0"/>
              <w:bottom w:val="single" w:color="auto" w:sz="4" w:space="0"/>
              <w:right w:val="single" w:color="auto" w:sz="4" w:space="0"/>
            </w:tcBorders>
            <w:vAlign w:val="center"/>
          </w:tcPr>
          <w:p w14:paraId="44F32A8F">
            <w:pPr>
              <w:widowControl/>
              <w:spacing w:line="360" w:lineRule="auto"/>
              <w:rPr>
                <w:rFonts w:eastAsia="仿宋_GB2312"/>
                <w:sz w:val="24"/>
                <w:szCs w:val="28"/>
              </w:rPr>
            </w:pPr>
            <w:r>
              <w:rPr>
                <w:rFonts w:hint="eastAsia" w:eastAsia="仿宋_GB2312"/>
                <w:sz w:val="24"/>
                <w:szCs w:val="28"/>
              </w:rPr>
              <w:t>内容应包括但不限于交易系统能够实现行情揭示、做市交易等功能。</w:t>
            </w:r>
          </w:p>
        </w:tc>
      </w:tr>
      <w:tr w14:paraId="58D0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FD80AF9">
            <w:pPr>
              <w:widowControl/>
              <w:spacing w:line="360" w:lineRule="auto"/>
              <w:jc w:val="center"/>
              <w:rPr>
                <w:rFonts w:eastAsia="仿宋_GB2312"/>
                <w:sz w:val="24"/>
                <w:szCs w:val="28"/>
              </w:rPr>
            </w:pPr>
            <w:r>
              <w:rPr>
                <w:rFonts w:hint="eastAsia"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491C9760">
            <w:pPr>
              <w:widowControl/>
              <w:spacing w:line="360" w:lineRule="auto"/>
              <w:jc w:val="center"/>
              <w:rPr>
                <w:rFonts w:eastAsia="仿宋_GB2312"/>
                <w:sz w:val="24"/>
                <w:szCs w:val="28"/>
              </w:rPr>
            </w:pPr>
            <w:r>
              <w:rPr>
                <w:rFonts w:hint="eastAsia" w:eastAsia="仿宋_GB2312"/>
                <w:sz w:val="24"/>
                <w:szCs w:val="28"/>
              </w:rPr>
              <w:t>应急预案</w:t>
            </w:r>
          </w:p>
        </w:tc>
        <w:tc>
          <w:tcPr>
            <w:tcW w:w="3290" w:type="pct"/>
            <w:tcBorders>
              <w:top w:val="single" w:color="auto" w:sz="4" w:space="0"/>
              <w:left w:val="single" w:color="auto" w:sz="4" w:space="0"/>
              <w:bottom w:val="single" w:color="auto" w:sz="4" w:space="0"/>
              <w:right w:val="single" w:color="auto" w:sz="4" w:space="0"/>
            </w:tcBorders>
            <w:vAlign w:val="center"/>
          </w:tcPr>
          <w:p w14:paraId="688E2575">
            <w:pPr>
              <w:widowControl/>
              <w:spacing w:line="360" w:lineRule="auto"/>
              <w:rPr>
                <w:rFonts w:eastAsia="仿宋_GB2312"/>
                <w:sz w:val="24"/>
                <w:szCs w:val="28"/>
              </w:rPr>
            </w:pPr>
            <w:r>
              <w:rPr>
                <w:rFonts w:hint="eastAsia" w:eastAsia="仿宋_GB2312"/>
                <w:sz w:val="24"/>
                <w:szCs w:val="28"/>
              </w:rPr>
              <w:t>内容应包括但不限于突发事件的情形，应急处理方式及流程。</w:t>
            </w:r>
          </w:p>
        </w:tc>
      </w:tr>
      <w:tr w14:paraId="5E4F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B4302B3">
            <w:pPr>
              <w:widowControl/>
              <w:spacing w:line="360" w:lineRule="auto"/>
              <w:jc w:val="center"/>
              <w:rPr>
                <w:rFonts w:eastAsia="仿宋_GB2312"/>
                <w:b/>
                <w:sz w:val="24"/>
                <w:szCs w:val="28"/>
              </w:rPr>
            </w:pPr>
            <w:r>
              <w:rPr>
                <w:rFonts w:hint="eastAsia" w:eastAsia="仿宋_GB2312"/>
                <w:b/>
                <w:sz w:val="24"/>
                <w:szCs w:val="28"/>
              </w:rPr>
              <w:t>债券做市交易业务内部管理制度</w:t>
            </w:r>
          </w:p>
        </w:tc>
      </w:tr>
      <w:tr w14:paraId="50C9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71330C3">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03EF6C0A">
            <w:pPr>
              <w:widowControl/>
              <w:spacing w:line="360" w:lineRule="auto"/>
              <w:jc w:val="center"/>
              <w:rPr>
                <w:rFonts w:eastAsia="仿宋_GB2312"/>
                <w:sz w:val="24"/>
                <w:szCs w:val="28"/>
              </w:rPr>
            </w:pPr>
            <w:r>
              <w:rPr>
                <w:rFonts w:hint="eastAsia" w:eastAsia="仿宋_GB2312"/>
                <w:sz w:val="24"/>
                <w:szCs w:val="28"/>
              </w:rPr>
              <w:t>业务运行管理</w:t>
            </w:r>
          </w:p>
        </w:tc>
        <w:tc>
          <w:tcPr>
            <w:tcW w:w="3290" w:type="pct"/>
            <w:tcBorders>
              <w:top w:val="single" w:color="auto" w:sz="4" w:space="0"/>
              <w:left w:val="single" w:color="auto" w:sz="4" w:space="0"/>
              <w:bottom w:val="single" w:color="auto" w:sz="4" w:space="0"/>
              <w:right w:val="single" w:color="auto" w:sz="4" w:space="0"/>
            </w:tcBorders>
            <w:vAlign w:val="center"/>
          </w:tcPr>
          <w:p w14:paraId="65D92578">
            <w:pPr>
              <w:widowControl/>
              <w:spacing w:line="360" w:lineRule="auto"/>
              <w:rPr>
                <w:rFonts w:eastAsia="仿宋_GB2312"/>
                <w:sz w:val="24"/>
                <w:szCs w:val="28"/>
              </w:rPr>
            </w:pPr>
            <w:r>
              <w:rPr>
                <w:rFonts w:hint="eastAsia" w:eastAsia="仿宋_GB2312"/>
                <w:sz w:val="24"/>
                <w:szCs w:val="28"/>
              </w:rPr>
              <w:t>内容应包括但不限于做市交易业务运行相关流程及管理。</w:t>
            </w:r>
          </w:p>
        </w:tc>
      </w:tr>
      <w:tr w14:paraId="70CE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54CB46B6">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7C99BBD">
            <w:pPr>
              <w:widowControl/>
              <w:spacing w:line="360" w:lineRule="auto"/>
              <w:jc w:val="center"/>
              <w:rPr>
                <w:rFonts w:eastAsia="仿宋_GB2312"/>
                <w:sz w:val="24"/>
                <w:szCs w:val="28"/>
              </w:rPr>
            </w:pPr>
            <w:r>
              <w:rPr>
                <w:rFonts w:hint="eastAsia" w:eastAsia="仿宋_GB2312"/>
                <w:sz w:val="24"/>
                <w:szCs w:val="28"/>
              </w:rPr>
              <w:t>合规与内部控制</w:t>
            </w:r>
          </w:p>
        </w:tc>
        <w:tc>
          <w:tcPr>
            <w:tcW w:w="3290" w:type="pct"/>
            <w:tcBorders>
              <w:top w:val="single" w:color="auto" w:sz="4" w:space="0"/>
              <w:left w:val="single" w:color="auto" w:sz="4" w:space="0"/>
              <w:bottom w:val="single" w:color="auto" w:sz="4" w:space="0"/>
              <w:right w:val="single" w:color="auto" w:sz="4" w:space="0"/>
            </w:tcBorders>
            <w:vAlign w:val="center"/>
          </w:tcPr>
          <w:p w14:paraId="51C25CA4">
            <w:pPr>
              <w:widowControl/>
              <w:spacing w:line="360" w:lineRule="auto"/>
              <w:rPr>
                <w:rFonts w:eastAsia="仿宋_GB2312"/>
                <w:sz w:val="24"/>
                <w:szCs w:val="28"/>
              </w:rPr>
            </w:pPr>
            <w:r>
              <w:rPr>
                <w:rFonts w:hint="eastAsia" w:eastAsia="仿宋_GB2312"/>
                <w:sz w:val="24"/>
                <w:szCs w:val="28"/>
              </w:rPr>
              <w:t>内容应包括但不限于业务合规审查机制、授权管理机制、投资决策流程。</w:t>
            </w:r>
          </w:p>
        </w:tc>
      </w:tr>
      <w:tr w14:paraId="0424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E16D33F">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47C525">
            <w:pPr>
              <w:widowControl/>
              <w:spacing w:line="360" w:lineRule="auto"/>
              <w:jc w:val="center"/>
              <w:rPr>
                <w:rFonts w:eastAsia="仿宋_GB2312"/>
                <w:sz w:val="24"/>
                <w:szCs w:val="28"/>
              </w:rPr>
            </w:pPr>
            <w:r>
              <w:rPr>
                <w:rFonts w:hint="eastAsia" w:eastAsia="仿宋_GB2312"/>
                <w:sz w:val="24"/>
                <w:szCs w:val="28"/>
              </w:rPr>
              <w:t>责任人及其职责管理</w:t>
            </w:r>
          </w:p>
        </w:tc>
        <w:tc>
          <w:tcPr>
            <w:tcW w:w="3290" w:type="pct"/>
            <w:tcBorders>
              <w:top w:val="single" w:color="auto" w:sz="4" w:space="0"/>
              <w:left w:val="single" w:color="auto" w:sz="4" w:space="0"/>
              <w:bottom w:val="single" w:color="auto" w:sz="4" w:space="0"/>
              <w:right w:val="single" w:color="auto" w:sz="4" w:space="0"/>
            </w:tcBorders>
            <w:vAlign w:val="center"/>
          </w:tcPr>
          <w:p w14:paraId="66B26A57">
            <w:pPr>
              <w:widowControl/>
              <w:spacing w:line="360" w:lineRule="auto"/>
              <w:rPr>
                <w:rFonts w:eastAsia="仿宋_GB2312"/>
                <w:sz w:val="24"/>
                <w:szCs w:val="28"/>
              </w:rPr>
            </w:pPr>
            <w:r>
              <w:rPr>
                <w:rFonts w:hint="eastAsia" w:eastAsia="仿宋_GB2312"/>
                <w:sz w:val="24"/>
                <w:szCs w:val="28"/>
              </w:rPr>
              <w:t>内容应包括做市交易业务部门及相关部门的岗位人员及其职责管理。</w:t>
            </w:r>
          </w:p>
        </w:tc>
      </w:tr>
      <w:tr w14:paraId="03DD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5775089">
            <w:pPr>
              <w:widowControl/>
              <w:spacing w:line="360" w:lineRule="auto"/>
              <w:jc w:val="center"/>
              <w:rPr>
                <w:rFonts w:eastAsia="仿宋_GB2312"/>
                <w:b/>
                <w:sz w:val="24"/>
                <w:szCs w:val="28"/>
              </w:rPr>
            </w:pPr>
            <w:r>
              <w:rPr>
                <w:rFonts w:hint="eastAsia" w:eastAsia="仿宋_GB2312"/>
                <w:b/>
                <w:sz w:val="24"/>
                <w:szCs w:val="28"/>
              </w:rPr>
              <w:t>债券做市交易业务风险控制制度</w:t>
            </w:r>
          </w:p>
        </w:tc>
      </w:tr>
      <w:tr w14:paraId="2247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F345FF1">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76F5E41E">
            <w:pPr>
              <w:widowControl/>
              <w:spacing w:line="360" w:lineRule="auto"/>
              <w:jc w:val="center"/>
              <w:rPr>
                <w:rFonts w:eastAsia="仿宋_GB2312"/>
                <w:sz w:val="24"/>
                <w:szCs w:val="28"/>
              </w:rPr>
            </w:pPr>
            <w:r>
              <w:rPr>
                <w:rFonts w:hint="eastAsia" w:eastAsia="仿宋_GB2312"/>
                <w:sz w:val="24"/>
                <w:szCs w:val="28"/>
              </w:rPr>
              <w:t>风控管理概述</w:t>
            </w:r>
          </w:p>
        </w:tc>
        <w:tc>
          <w:tcPr>
            <w:tcW w:w="3290" w:type="pct"/>
            <w:tcBorders>
              <w:top w:val="single" w:color="auto" w:sz="4" w:space="0"/>
              <w:left w:val="single" w:color="auto" w:sz="4" w:space="0"/>
              <w:bottom w:val="single" w:color="auto" w:sz="4" w:space="0"/>
              <w:right w:val="single" w:color="auto" w:sz="4" w:space="0"/>
            </w:tcBorders>
            <w:vAlign w:val="center"/>
          </w:tcPr>
          <w:p w14:paraId="20846D5B">
            <w:pPr>
              <w:widowControl/>
              <w:spacing w:line="360" w:lineRule="auto"/>
              <w:rPr>
                <w:rFonts w:eastAsia="仿宋_GB2312"/>
                <w:sz w:val="24"/>
                <w:szCs w:val="28"/>
              </w:rPr>
            </w:pPr>
            <w:r>
              <w:rPr>
                <w:rFonts w:hint="eastAsia" w:eastAsia="仿宋_GB2312"/>
                <w:sz w:val="24"/>
                <w:szCs w:val="28"/>
              </w:rPr>
              <w:t>内容应包含风控目标与原则、体系与分工、风险识别与评估、风控措施等</w:t>
            </w:r>
            <w:r>
              <w:rPr>
                <w:rFonts w:eastAsia="仿宋_GB2312"/>
                <w:sz w:val="24"/>
                <w:szCs w:val="28"/>
              </w:rPr>
              <w:t>。</w:t>
            </w:r>
          </w:p>
        </w:tc>
      </w:tr>
      <w:tr w14:paraId="507E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64F304C">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D5A5F7F">
            <w:pPr>
              <w:widowControl/>
              <w:spacing w:line="360" w:lineRule="auto"/>
              <w:jc w:val="center"/>
              <w:rPr>
                <w:rFonts w:eastAsia="仿宋_GB2312"/>
                <w:sz w:val="24"/>
                <w:szCs w:val="28"/>
              </w:rPr>
            </w:pPr>
            <w:r>
              <w:rPr>
                <w:rFonts w:hint="eastAsia" w:eastAsia="仿宋_GB2312"/>
                <w:sz w:val="24"/>
                <w:szCs w:val="28"/>
              </w:rPr>
              <w:t>风控体系架构</w:t>
            </w:r>
          </w:p>
        </w:tc>
        <w:tc>
          <w:tcPr>
            <w:tcW w:w="3290" w:type="pct"/>
            <w:tcBorders>
              <w:top w:val="single" w:color="auto" w:sz="4" w:space="0"/>
              <w:left w:val="single" w:color="auto" w:sz="4" w:space="0"/>
              <w:bottom w:val="single" w:color="auto" w:sz="4" w:space="0"/>
              <w:right w:val="single" w:color="auto" w:sz="4" w:space="0"/>
            </w:tcBorders>
            <w:vAlign w:val="center"/>
          </w:tcPr>
          <w:p w14:paraId="71062403">
            <w:pPr>
              <w:widowControl/>
              <w:spacing w:line="360" w:lineRule="auto"/>
              <w:rPr>
                <w:rFonts w:eastAsia="仿宋_GB2312"/>
                <w:sz w:val="24"/>
                <w:szCs w:val="28"/>
              </w:rPr>
            </w:pPr>
            <w:r>
              <w:rPr>
                <w:rFonts w:hint="eastAsia" w:eastAsia="仿宋_GB2312"/>
                <w:sz w:val="24"/>
                <w:szCs w:val="28"/>
              </w:rPr>
              <w:t>内容应包括但不限于风控职责与风控措施。</w:t>
            </w:r>
          </w:p>
        </w:tc>
      </w:tr>
      <w:tr w14:paraId="2E15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3157DB">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8DC6280">
            <w:pPr>
              <w:widowControl/>
              <w:spacing w:line="360" w:lineRule="auto"/>
              <w:jc w:val="center"/>
              <w:rPr>
                <w:rFonts w:eastAsia="仿宋_GB2312"/>
                <w:sz w:val="24"/>
                <w:szCs w:val="28"/>
              </w:rPr>
            </w:pPr>
            <w:r>
              <w:rPr>
                <w:rFonts w:hint="eastAsia" w:eastAsia="仿宋_GB2312"/>
                <w:sz w:val="24"/>
                <w:szCs w:val="28"/>
              </w:rPr>
              <w:t>风险管理</w:t>
            </w:r>
          </w:p>
        </w:tc>
        <w:tc>
          <w:tcPr>
            <w:tcW w:w="3290" w:type="pct"/>
            <w:tcBorders>
              <w:top w:val="single" w:color="auto" w:sz="4" w:space="0"/>
              <w:left w:val="single" w:color="auto" w:sz="4" w:space="0"/>
              <w:bottom w:val="single" w:color="auto" w:sz="4" w:space="0"/>
              <w:right w:val="single" w:color="auto" w:sz="4" w:space="0"/>
            </w:tcBorders>
            <w:vAlign w:val="center"/>
          </w:tcPr>
          <w:p w14:paraId="41793B87">
            <w:pPr>
              <w:widowControl/>
              <w:spacing w:line="360" w:lineRule="auto"/>
              <w:rPr>
                <w:rFonts w:eastAsia="仿宋_GB2312"/>
                <w:sz w:val="24"/>
                <w:szCs w:val="28"/>
              </w:rPr>
            </w:pPr>
            <w:r>
              <w:rPr>
                <w:rFonts w:hint="eastAsia" w:eastAsia="仿宋_GB2312"/>
                <w:sz w:val="24"/>
                <w:szCs w:val="28"/>
              </w:rPr>
              <w:t>内容应包括但不限于存货风险、操作风险</w:t>
            </w:r>
            <w:r>
              <w:rPr>
                <w:rFonts w:eastAsia="仿宋_GB2312"/>
                <w:sz w:val="24"/>
                <w:szCs w:val="28"/>
              </w:rPr>
              <w:t>、市场风险、流动性风险</w:t>
            </w:r>
            <w:r>
              <w:rPr>
                <w:rFonts w:hint="eastAsia" w:eastAsia="仿宋_GB2312"/>
                <w:sz w:val="24"/>
                <w:szCs w:val="28"/>
              </w:rPr>
              <w:t>管理。</w:t>
            </w:r>
          </w:p>
        </w:tc>
      </w:tr>
      <w:tr w14:paraId="50C2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C7EA74F">
            <w:pPr>
              <w:widowControl/>
              <w:spacing w:line="360" w:lineRule="auto"/>
              <w:jc w:val="center"/>
              <w:rPr>
                <w:rFonts w:eastAsia="仿宋_GB2312"/>
                <w:sz w:val="24"/>
                <w:szCs w:val="28"/>
              </w:rPr>
            </w:pPr>
            <w:r>
              <w:rPr>
                <w:rFonts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0414DC3C">
            <w:pPr>
              <w:widowControl/>
              <w:spacing w:line="360" w:lineRule="auto"/>
              <w:jc w:val="center"/>
              <w:rPr>
                <w:rFonts w:eastAsia="仿宋_GB2312"/>
                <w:sz w:val="24"/>
                <w:szCs w:val="28"/>
              </w:rPr>
            </w:pPr>
            <w:r>
              <w:rPr>
                <w:rFonts w:hint="eastAsia" w:eastAsia="仿宋_GB2312"/>
                <w:sz w:val="24"/>
                <w:szCs w:val="28"/>
              </w:rPr>
              <w:t>异常交易监控机制</w:t>
            </w:r>
          </w:p>
        </w:tc>
        <w:tc>
          <w:tcPr>
            <w:tcW w:w="3290" w:type="pct"/>
            <w:tcBorders>
              <w:top w:val="single" w:color="auto" w:sz="4" w:space="0"/>
              <w:left w:val="single" w:color="auto" w:sz="4" w:space="0"/>
              <w:bottom w:val="single" w:color="auto" w:sz="4" w:space="0"/>
              <w:right w:val="single" w:color="auto" w:sz="4" w:space="0"/>
            </w:tcBorders>
            <w:vAlign w:val="center"/>
          </w:tcPr>
          <w:p w14:paraId="4F74D4F6">
            <w:pPr>
              <w:widowControl/>
              <w:spacing w:line="360" w:lineRule="auto"/>
              <w:rPr>
                <w:rFonts w:eastAsia="仿宋_GB2312"/>
                <w:sz w:val="24"/>
                <w:szCs w:val="28"/>
              </w:rPr>
            </w:pPr>
            <w:r>
              <w:rPr>
                <w:rFonts w:hint="eastAsia" w:eastAsia="仿宋_GB2312"/>
                <w:sz w:val="24"/>
                <w:szCs w:val="28"/>
              </w:rPr>
              <w:t>内容应包括但不限于异常交易的监控及应对方式，债券异常波动处理措施。</w:t>
            </w:r>
          </w:p>
        </w:tc>
      </w:tr>
      <w:tr w14:paraId="45AD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24FE946">
            <w:pPr>
              <w:widowControl/>
              <w:spacing w:line="360" w:lineRule="auto"/>
              <w:jc w:val="center"/>
              <w:rPr>
                <w:rFonts w:eastAsia="仿宋_GB2312"/>
                <w:sz w:val="24"/>
                <w:szCs w:val="28"/>
              </w:rPr>
            </w:pPr>
            <w:r>
              <w:rPr>
                <w:rFonts w:hint="eastAsia" w:eastAsia="仿宋_GB2312"/>
                <w:b/>
                <w:sz w:val="24"/>
                <w:szCs w:val="28"/>
              </w:rPr>
              <w:t>债券做市交易业务应急风险处置制度</w:t>
            </w:r>
          </w:p>
        </w:tc>
      </w:tr>
      <w:tr w14:paraId="415F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E541642">
            <w:pPr>
              <w:widowControl/>
              <w:spacing w:line="360" w:lineRule="auto"/>
              <w:jc w:val="center"/>
              <w:rPr>
                <w:rFonts w:eastAsia="仿宋_GB2312"/>
                <w:sz w:val="24"/>
                <w:szCs w:val="28"/>
              </w:rPr>
            </w:pPr>
            <w:r>
              <w:rPr>
                <w:rFonts w:hint="eastAsia"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6F67B867">
            <w:pPr>
              <w:widowControl/>
              <w:spacing w:line="360" w:lineRule="auto"/>
              <w:jc w:val="center"/>
              <w:rPr>
                <w:rFonts w:eastAsia="仿宋_GB2312"/>
                <w:sz w:val="24"/>
                <w:szCs w:val="28"/>
              </w:rPr>
            </w:pPr>
            <w:r>
              <w:rPr>
                <w:rFonts w:hint="eastAsia" w:eastAsia="仿宋_GB2312"/>
                <w:sz w:val="24"/>
                <w:szCs w:val="28"/>
              </w:rPr>
              <w:t>应急处置人员安排</w:t>
            </w:r>
          </w:p>
        </w:tc>
        <w:tc>
          <w:tcPr>
            <w:tcW w:w="3290" w:type="pct"/>
            <w:tcBorders>
              <w:top w:val="single" w:color="auto" w:sz="4" w:space="0"/>
              <w:left w:val="single" w:color="auto" w:sz="4" w:space="0"/>
              <w:bottom w:val="single" w:color="auto" w:sz="4" w:space="0"/>
              <w:right w:val="single" w:color="auto" w:sz="4" w:space="0"/>
            </w:tcBorders>
            <w:vAlign w:val="center"/>
          </w:tcPr>
          <w:p w14:paraId="3A4E37ED">
            <w:pPr>
              <w:widowControl/>
              <w:spacing w:line="360" w:lineRule="auto"/>
              <w:rPr>
                <w:rFonts w:eastAsia="仿宋_GB2312"/>
                <w:sz w:val="24"/>
                <w:szCs w:val="28"/>
              </w:rPr>
            </w:pPr>
            <w:r>
              <w:rPr>
                <w:rFonts w:hint="eastAsia" w:eastAsia="仿宋_GB2312"/>
                <w:sz w:val="24"/>
                <w:szCs w:val="28"/>
              </w:rPr>
              <w:t>内容应包括但不限于应急处置工作成员、职责等。</w:t>
            </w:r>
          </w:p>
        </w:tc>
      </w:tr>
      <w:tr w14:paraId="509E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77502C7">
            <w:pPr>
              <w:widowControl/>
              <w:spacing w:line="360" w:lineRule="auto"/>
              <w:jc w:val="center"/>
              <w:rPr>
                <w:rFonts w:eastAsia="仿宋_GB2312"/>
                <w:sz w:val="24"/>
                <w:szCs w:val="28"/>
              </w:rPr>
            </w:pPr>
            <w:r>
              <w:rPr>
                <w:rFonts w:hint="eastAsia"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328F606">
            <w:pPr>
              <w:widowControl/>
              <w:spacing w:line="360" w:lineRule="auto"/>
              <w:jc w:val="center"/>
              <w:rPr>
                <w:rFonts w:eastAsia="仿宋_GB2312"/>
                <w:sz w:val="24"/>
                <w:szCs w:val="28"/>
              </w:rPr>
            </w:pPr>
            <w:r>
              <w:rPr>
                <w:rFonts w:hint="eastAsia" w:eastAsia="仿宋_GB2312"/>
                <w:sz w:val="24"/>
                <w:szCs w:val="28"/>
              </w:rPr>
              <w:t>突发事件</w:t>
            </w:r>
          </w:p>
        </w:tc>
        <w:tc>
          <w:tcPr>
            <w:tcW w:w="3290" w:type="pct"/>
            <w:tcBorders>
              <w:top w:val="single" w:color="auto" w:sz="4" w:space="0"/>
              <w:left w:val="single" w:color="auto" w:sz="4" w:space="0"/>
              <w:bottom w:val="single" w:color="auto" w:sz="4" w:space="0"/>
              <w:right w:val="single" w:color="auto" w:sz="4" w:space="0"/>
            </w:tcBorders>
            <w:vAlign w:val="center"/>
          </w:tcPr>
          <w:p w14:paraId="1CA4564C">
            <w:pPr>
              <w:widowControl/>
              <w:spacing w:line="360" w:lineRule="auto"/>
              <w:rPr>
                <w:rFonts w:eastAsia="仿宋_GB2312"/>
                <w:sz w:val="24"/>
                <w:szCs w:val="28"/>
              </w:rPr>
            </w:pPr>
            <w:r>
              <w:rPr>
                <w:rFonts w:hint="eastAsia" w:eastAsia="仿宋_GB2312"/>
                <w:sz w:val="24"/>
                <w:szCs w:val="28"/>
              </w:rPr>
              <w:t>内容应包括但不限于突发事件的等级分类、突发事件的场景及量化指标。</w:t>
            </w:r>
          </w:p>
        </w:tc>
      </w:tr>
      <w:tr w14:paraId="6586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790D32E">
            <w:pPr>
              <w:widowControl/>
              <w:spacing w:line="360" w:lineRule="auto"/>
              <w:jc w:val="center"/>
              <w:rPr>
                <w:rFonts w:eastAsia="仿宋_GB2312"/>
                <w:sz w:val="24"/>
                <w:szCs w:val="28"/>
              </w:rPr>
            </w:pPr>
            <w:r>
              <w:rPr>
                <w:rFonts w:hint="eastAsia"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5F529A3">
            <w:pPr>
              <w:widowControl/>
              <w:spacing w:line="360" w:lineRule="auto"/>
              <w:jc w:val="center"/>
              <w:rPr>
                <w:rFonts w:eastAsia="仿宋_GB2312"/>
                <w:sz w:val="24"/>
                <w:szCs w:val="28"/>
              </w:rPr>
            </w:pPr>
            <w:r>
              <w:rPr>
                <w:rFonts w:hint="eastAsia" w:eastAsia="仿宋_GB2312"/>
                <w:sz w:val="24"/>
                <w:szCs w:val="28"/>
              </w:rPr>
              <w:t>应急处置决策措施</w:t>
            </w:r>
          </w:p>
        </w:tc>
        <w:tc>
          <w:tcPr>
            <w:tcW w:w="3290" w:type="pct"/>
            <w:tcBorders>
              <w:top w:val="single" w:color="auto" w:sz="4" w:space="0"/>
              <w:left w:val="single" w:color="auto" w:sz="4" w:space="0"/>
              <w:bottom w:val="single" w:color="auto" w:sz="4" w:space="0"/>
              <w:right w:val="single" w:color="auto" w:sz="4" w:space="0"/>
            </w:tcBorders>
            <w:vAlign w:val="center"/>
          </w:tcPr>
          <w:p w14:paraId="1359CB80">
            <w:pPr>
              <w:widowControl/>
              <w:spacing w:line="360" w:lineRule="auto"/>
              <w:rPr>
                <w:rFonts w:eastAsia="仿宋_GB2312"/>
                <w:sz w:val="24"/>
                <w:szCs w:val="28"/>
              </w:rPr>
            </w:pPr>
            <w:r>
              <w:rPr>
                <w:rFonts w:hint="eastAsia" w:eastAsia="仿宋_GB2312"/>
                <w:sz w:val="24"/>
                <w:szCs w:val="28"/>
              </w:rPr>
              <w:t>内容应包括但不限于各类突发事件场景的预防措施、突发事件预警及响应机制、应急处置的决策与实施机制。</w:t>
            </w:r>
          </w:p>
        </w:tc>
      </w:tr>
    </w:tbl>
    <w:p w14:paraId="0F9D42AB">
      <w:pPr>
        <w:widowControl/>
        <w:jc w:val="left"/>
        <w:rPr>
          <w:rFonts w:ascii="仿宋_GB2312" w:eastAsia="仿宋_GB2312"/>
          <w:b/>
          <w:sz w:val="30"/>
          <w:szCs w:val="30"/>
        </w:rPr>
      </w:pPr>
    </w:p>
    <w:p w14:paraId="21DE8488">
      <w:pPr>
        <w:widowControl/>
        <w:jc w:val="left"/>
        <w:rPr>
          <w:rFonts w:ascii="仿宋_GB2312" w:eastAsia="仿宋_GB2312"/>
          <w:b/>
          <w:sz w:val="30"/>
          <w:szCs w:val="30"/>
        </w:rPr>
      </w:pPr>
      <w:r>
        <w:rPr>
          <w:rFonts w:ascii="仿宋_GB2312" w:eastAsia="仿宋_GB2312"/>
          <w:b/>
          <w:sz w:val="30"/>
          <w:szCs w:val="30"/>
        </w:rPr>
        <w:br w:type="page"/>
      </w:r>
    </w:p>
    <w:p w14:paraId="41017388">
      <w:pPr>
        <w:widowControl/>
        <w:jc w:val="left"/>
        <w:outlineLvl w:val="1"/>
        <w:rPr>
          <w:rFonts w:ascii="仿宋_GB2312" w:hAnsi="黑体" w:eastAsia="仿宋_GB2312"/>
          <w:b/>
          <w:sz w:val="30"/>
          <w:szCs w:val="30"/>
        </w:rPr>
      </w:pPr>
      <w:bookmarkStart w:id="3468" w:name="_Toc151137092"/>
      <w:r>
        <w:rPr>
          <w:rFonts w:hint="eastAsia" w:ascii="仿宋_GB2312" w:hAnsi="黑体" w:eastAsia="仿宋_GB2312"/>
          <w:b/>
          <w:sz w:val="30"/>
          <w:szCs w:val="30"/>
        </w:rPr>
        <w:t>附件9 债券做市交易业务人员情况表</w:t>
      </w:r>
      <w:bookmarkEnd w:id="3468"/>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183"/>
        <w:gridCol w:w="1559"/>
        <w:gridCol w:w="422"/>
        <w:gridCol w:w="1279"/>
        <w:gridCol w:w="138"/>
        <w:gridCol w:w="2320"/>
      </w:tblGrid>
      <w:tr w14:paraId="05F9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004BDA9">
            <w:pPr>
              <w:spacing w:line="600" w:lineRule="exact"/>
              <w:jc w:val="center"/>
              <w:rPr>
                <w:rFonts w:ascii="仿宋_GB2312" w:hAnsi="仿宋" w:eastAsia="仿宋_GB2312"/>
                <w:sz w:val="20"/>
                <w:szCs w:val="20"/>
              </w:rPr>
            </w:pPr>
            <w:r>
              <w:rPr>
                <w:rFonts w:hint="eastAsia" w:ascii="仿宋_GB2312" w:hAnsi="仿宋" w:eastAsia="仿宋_GB2312"/>
                <w:sz w:val="20"/>
                <w:szCs w:val="20"/>
              </w:rPr>
              <w:t>公司名称</w:t>
            </w:r>
          </w:p>
        </w:tc>
        <w:tc>
          <w:tcPr>
            <w:tcW w:w="6901" w:type="dxa"/>
            <w:gridSpan w:val="6"/>
            <w:tcBorders>
              <w:top w:val="single" w:color="auto" w:sz="4" w:space="0"/>
              <w:left w:val="single" w:color="auto" w:sz="4" w:space="0"/>
              <w:right w:val="single" w:color="auto" w:sz="4" w:space="0"/>
            </w:tcBorders>
            <w:vAlign w:val="center"/>
          </w:tcPr>
          <w:p w14:paraId="26A2D325">
            <w:pPr>
              <w:spacing w:line="600" w:lineRule="exact"/>
              <w:rPr>
                <w:rFonts w:ascii="仿宋_GB2312" w:hAnsi="仿宋" w:eastAsia="仿宋_GB2312"/>
                <w:b/>
                <w:bCs/>
                <w:sz w:val="20"/>
                <w:szCs w:val="20"/>
              </w:rPr>
            </w:pPr>
          </w:p>
        </w:tc>
      </w:tr>
      <w:tr w14:paraId="180E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4645AB68">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做市业务负责人</w:t>
            </w:r>
          </w:p>
        </w:tc>
        <w:tc>
          <w:tcPr>
            <w:tcW w:w="1183" w:type="dxa"/>
            <w:tcBorders>
              <w:top w:val="single" w:color="auto" w:sz="4" w:space="0"/>
              <w:left w:val="single" w:color="auto" w:sz="4" w:space="0"/>
              <w:bottom w:val="single" w:color="auto" w:sz="4" w:space="0"/>
              <w:right w:val="single" w:color="auto" w:sz="4" w:space="0"/>
            </w:tcBorders>
            <w:vAlign w:val="center"/>
          </w:tcPr>
          <w:p w14:paraId="1480AA55">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0439C60B">
            <w:pPr>
              <w:spacing w:line="600" w:lineRule="exact"/>
              <w:rPr>
                <w:rFonts w:ascii="仿宋_GB2312" w:hAnsi="仿宋" w:eastAsia="仿宋_GB2312"/>
                <w:b/>
                <w:bCs/>
                <w:sz w:val="20"/>
                <w:szCs w:val="20"/>
              </w:rPr>
            </w:pPr>
          </w:p>
        </w:tc>
      </w:tr>
      <w:tr w14:paraId="4943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74D47ED2">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5FDF788">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5501526">
            <w:pPr>
              <w:spacing w:line="600" w:lineRule="exact"/>
              <w:rPr>
                <w:rFonts w:ascii="仿宋_GB2312" w:hAnsi="仿宋" w:eastAsia="仿宋_GB2312"/>
                <w:b/>
                <w:bCs/>
                <w:sz w:val="20"/>
                <w:szCs w:val="20"/>
              </w:rPr>
            </w:pPr>
          </w:p>
        </w:tc>
      </w:tr>
      <w:tr w14:paraId="2790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4978F15F">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C5EDA7C">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1D3C9BC5">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1F528295">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19B675BF">
            <w:pPr>
              <w:spacing w:line="600" w:lineRule="exact"/>
              <w:rPr>
                <w:rFonts w:ascii="仿宋_GB2312" w:hAnsi="仿宋" w:eastAsia="仿宋_GB2312"/>
                <w:b/>
                <w:bCs/>
                <w:sz w:val="20"/>
                <w:szCs w:val="20"/>
              </w:rPr>
            </w:pPr>
          </w:p>
        </w:tc>
      </w:tr>
      <w:tr w14:paraId="5C63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36FC8535">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做市业务联络人</w:t>
            </w:r>
          </w:p>
        </w:tc>
        <w:tc>
          <w:tcPr>
            <w:tcW w:w="1183" w:type="dxa"/>
            <w:tcBorders>
              <w:top w:val="single" w:color="auto" w:sz="4" w:space="0"/>
              <w:left w:val="single" w:color="auto" w:sz="4" w:space="0"/>
              <w:bottom w:val="single" w:color="auto" w:sz="4" w:space="0"/>
              <w:right w:val="single" w:color="auto" w:sz="4" w:space="0"/>
            </w:tcBorders>
            <w:vAlign w:val="center"/>
          </w:tcPr>
          <w:p w14:paraId="3EF94729">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700994A5">
            <w:pPr>
              <w:spacing w:line="600" w:lineRule="exact"/>
              <w:rPr>
                <w:rFonts w:ascii="仿宋_GB2312" w:hAnsi="仿宋" w:eastAsia="仿宋_GB2312"/>
                <w:b/>
                <w:bCs/>
                <w:sz w:val="20"/>
                <w:szCs w:val="20"/>
              </w:rPr>
            </w:pPr>
          </w:p>
        </w:tc>
      </w:tr>
      <w:tr w14:paraId="2BA1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0BB9B025">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A309F4E">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3A724AD">
            <w:pPr>
              <w:spacing w:line="600" w:lineRule="exact"/>
              <w:rPr>
                <w:rFonts w:ascii="仿宋_GB2312" w:hAnsi="仿宋" w:eastAsia="仿宋_GB2312"/>
                <w:b/>
                <w:bCs/>
                <w:sz w:val="20"/>
                <w:szCs w:val="20"/>
              </w:rPr>
            </w:pPr>
          </w:p>
        </w:tc>
      </w:tr>
      <w:tr w14:paraId="396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5F7D03CA">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D455478">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6B42BA38">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664070DC">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5E13D5CF">
            <w:pPr>
              <w:spacing w:line="600" w:lineRule="exact"/>
              <w:rPr>
                <w:rFonts w:ascii="仿宋_GB2312" w:hAnsi="仿宋" w:eastAsia="仿宋_GB2312"/>
                <w:b/>
                <w:bCs/>
                <w:sz w:val="20"/>
                <w:szCs w:val="20"/>
              </w:rPr>
            </w:pPr>
          </w:p>
        </w:tc>
      </w:tr>
      <w:tr w14:paraId="6237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shd w:val="clear" w:color="auto" w:fill="F2F2F2"/>
            <w:vAlign w:val="center"/>
          </w:tcPr>
          <w:p w14:paraId="0D07D74D">
            <w:pPr>
              <w:spacing w:line="600" w:lineRule="exact"/>
              <w:rPr>
                <w:rFonts w:ascii="仿宋_GB2312" w:hAnsi="仿宋" w:eastAsia="仿宋_GB2312"/>
                <w:b/>
                <w:sz w:val="20"/>
                <w:szCs w:val="20"/>
              </w:rPr>
            </w:pPr>
            <w:r>
              <w:rPr>
                <w:rFonts w:hint="eastAsia" w:ascii="仿宋_GB2312" w:hAnsi="仿宋" w:eastAsia="仿宋_GB2312"/>
                <w:b/>
                <w:sz w:val="20"/>
                <w:szCs w:val="20"/>
              </w:rPr>
              <w:t>部门与岗位设置</w:t>
            </w:r>
          </w:p>
        </w:tc>
      </w:tr>
      <w:tr w14:paraId="1018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17D501C">
            <w:pPr>
              <w:spacing w:line="600" w:lineRule="exact"/>
              <w:rPr>
                <w:rFonts w:ascii="仿宋_GB2312" w:hAnsi="仿宋" w:eastAsia="仿宋_GB2312"/>
                <w:sz w:val="20"/>
                <w:szCs w:val="20"/>
              </w:rPr>
            </w:pPr>
            <w:r>
              <w:rPr>
                <w:rFonts w:hint="eastAsia" w:ascii="仿宋_GB2312" w:hAnsi="仿宋" w:eastAsia="仿宋_GB2312"/>
                <w:sz w:val="20"/>
                <w:szCs w:val="20"/>
              </w:rPr>
              <w:t>（部门名称1）工作职责包括：</w:t>
            </w:r>
          </w:p>
          <w:p w14:paraId="5EAE4D08">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3CF17184">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49F0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26AAE87">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402B34C5">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35BEE0C">
            <w:pPr>
              <w:spacing w:line="600" w:lineRule="exact"/>
              <w:rPr>
                <w:rFonts w:ascii="仿宋_GB2312" w:hAnsi="仿宋" w:eastAsia="仿宋_GB2312"/>
                <w:sz w:val="20"/>
                <w:szCs w:val="20"/>
              </w:rPr>
            </w:pPr>
            <w:r>
              <w:rPr>
                <w:rFonts w:hint="eastAsia" w:ascii="仿宋_GB2312" w:hAnsi="仿宋" w:eastAsia="仿宋_GB2312"/>
                <w:sz w:val="20"/>
                <w:szCs w:val="20"/>
              </w:rPr>
              <w:t>职责描述（标明人员为主岗或备岗）</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0FDDFEB0">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A01501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728D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B26CA8B">
            <w:pPr>
              <w:widowControl/>
              <w:spacing w:line="600" w:lineRule="exact"/>
              <w:rPr>
                <w:rFonts w:ascii="仿宋_GB2312" w:hAnsi="仿宋" w:eastAsia="仿宋_GB2312"/>
                <w:i/>
                <w:sz w:val="20"/>
                <w:szCs w:val="20"/>
              </w:rPr>
            </w:pPr>
            <w:r>
              <w:rPr>
                <w:rFonts w:hint="eastAsia" w:ascii="仿宋_GB2312" w:hAnsi="仿宋" w:eastAsia="仿宋_GB2312"/>
                <w:i/>
                <w:sz w:val="20"/>
                <w:szCs w:val="20"/>
              </w:rPr>
              <w:t>（部门负责人）</w:t>
            </w:r>
          </w:p>
        </w:tc>
        <w:tc>
          <w:tcPr>
            <w:tcW w:w="1183" w:type="dxa"/>
            <w:tcBorders>
              <w:top w:val="single" w:color="auto" w:sz="4" w:space="0"/>
              <w:left w:val="single" w:color="auto" w:sz="4" w:space="0"/>
              <w:bottom w:val="single" w:color="auto" w:sz="4" w:space="0"/>
              <w:right w:val="single" w:color="auto" w:sz="4" w:space="0"/>
            </w:tcBorders>
            <w:vAlign w:val="center"/>
          </w:tcPr>
          <w:p w14:paraId="0737EC91">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ABD6F6D">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A209732">
            <w:pPr>
              <w:spacing w:line="600" w:lineRule="exact"/>
              <w:rPr>
                <w:rFonts w:ascii="仿宋_GB2312" w:hAnsi="仿宋" w:eastAsia="仿宋_GB2312"/>
                <w:i/>
                <w:sz w:val="20"/>
                <w:szCs w:val="20"/>
              </w:rPr>
            </w:pPr>
            <w:r>
              <w:rPr>
                <w:rFonts w:hint="eastAsia" w:ascii="仿宋_GB2312" w:hAnsi="仿宋" w:eastAsia="仿宋_GB2312"/>
                <w:i/>
                <w:sz w:val="20"/>
                <w:szCs w:val="20"/>
              </w:rPr>
              <w:t>（座机）</w:t>
            </w:r>
          </w:p>
          <w:p w14:paraId="312D4FD3">
            <w:pPr>
              <w:spacing w:line="600" w:lineRule="exact"/>
              <w:rPr>
                <w:rFonts w:ascii="仿宋_GB2312" w:hAnsi="仿宋" w:eastAsia="仿宋_GB2312"/>
                <w:i/>
                <w:sz w:val="20"/>
                <w:szCs w:val="20"/>
              </w:rPr>
            </w:pPr>
            <w:r>
              <w:rPr>
                <w:rFonts w:hint="eastAsia" w:ascii="仿宋_GB2312" w:hAnsi="仿宋" w:eastAsia="仿宋_GB2312"/>
                <w:i/>
                <w:sz w:val="20"/>
                <w:szCs w:val="20"/>
              </w:rPr>
              <w:t>（手机）</w:t>
            </w:r>
          </w:p>
          <w:p w14:paraId="6D6F7A1C">
            <w:pPr>
              <w:spacing w:line="600" w:lineRule="exact"/>
              <w:rPr>
                <w:rFonts w:ascii="仿宋_GB2312" w:hAnsi="仿宋" w:eastAsia="仿宋_GB2312"/>
                <w:sz w:val="20"/>
                <w:szCs w:val="20"/>
              </w:rPr>
            </w:pPr>
            <w:r>
              <w:rPr>
                <w:rFonts w:hint="eastAsia" w:ascii="仿宋_GB2312" w:hAnsi="仿宋" w:eastAsia="仿宋_GB2312"/>
                <w:i/>
                <w:sz w:val="20"/>
                <w:szCs w:val="20"/>
              </w:rPr>
              <w:t>（邮件）</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BB304A">
            <w:pPr>
              <w:rPr>
                <w:rFonts w:ascii="仿宋_GB2312" w:hAnsi="仿宋" w:eastAsia="仿宋_GB2312"/>
                <w:i/>
                <w:sz w:val="20"/>
                <w:szCs w:val="20"/>
              </w:rPr>
            </w:pPr>
          </w:p>
          <w:p w14:paraId="41E5832D">
            <w:pPr>
              <w:spacing w:line="600" w:lineRule="exact"/>
              <w:rPr>
                <w:rFonts w:ascii="仿宋_GB2312" w:hAnsi="仿宋" w:eastAsia="仿宋_GB2312"/>
                <w:i/>
                <w:sz w:val="20"/>
                <w:szCs w:val="20"/>
              </w:rPr>
            </w:pPr>
            <w:r>
              <w:rPr>
                <w:rFonts w:hint="eastAsia" w:ascii="仿宋_GB2312" w:hAnsi="仿宋" w:eastAsia="仿宋_GB2312"/>
                <w:i/>
                <w:sz w:val="20"/>
                <w:szCs w:val="20"/>
              </w:rPr>
              <w:t>工作履历：</w:t>
            </w:r>
          </w:p>
          <w:p w14:paraId="30093A31">
            <w:pPr>
              <w:rPr>
                <w:rFonts w:ascii="仿宋_GB2312" w:hAnsi="仿宋" w:eastAsia="仿宋_GB2312"/>
                <w:i/>
                <w:sz w:val="20"/>
                <w:szCs w:val="20"/>
              </w:rPr>
            </w:pPr>
            <w:r>
              <w:rPr>
                <w:rFonts w:hint="eastAsia" w:ascii="仿宋_GB2312" w:hAnsi="仿宋" w:eastAsia="仿宋_GB2312"/>
                <w:i/>
                <w:sz w:val="20"/>
                <w:szCs w:val="20"/>
              </w:rPr>
              <w:t>（年份-单位-职责）</w:t>
            </w:r>
          </w:p>
        </w:tc>
      </w:tr>
      <w:tr w14:paraId="15E5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699E1D46">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0A4CC49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3A142E3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62F873F">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2364619">
            <w:pPr>
              <w:spacing w:line="600" w:lineRule="exact"/>
              <w:rPr>
                <w:rFonts w:ascii="仿宋_GB2312" w:hAnsi="仿宋" w:eastAsia="仿宋_GB2312"/>
                <w:b/>
                <w:bCs/>
                <w:sz w:val="20"/>
                <w:szCs w:val="20"/>
              </w:rPr>
            </w:pPr>
          </w:p>
        </w:tc>
      </w:tr>
      <w:tr w14:paraId="34F0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C0FDF9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51071A0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A289BD7">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8021584">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5651222">
            <w:pPr>
              <w:spacing w:line="600" w:lineRule="exact"/>
              <w:rPr>
                <w:rFonts w:ascii="仿宋_GB2312" w:hAnsi="仿宋" w:eastAsia="仿宋_GB2312"/>
                <w:b/>
                <w:bCs/>
                <w:sz w:val="20"/>
                <w:szCs w:val="20"/>
              </w:rPr>
            </w:pPr>
          </w:p>
        </w:tc>
      </w:tr>
      <w:tr w14:paraId="02A4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1C4C62EA">
            <w:pPr>
              <w:spacing w:line="600" w:lineRule="exact"/>
              <w:rPr>
                <w:rFonts w:ascii="仿宋_GB2312" w:hAnsi="仿宋" w:eastAsia="仿宋_GB2312"/>
                <w:sz w:val="20"/>
                <w:szCs w:val="20"/>
              </w:rPr>
            </w:pPr>
            <w:r>
              <w:rPr>
                <w:rFonts w:hint="eastAsia" w:ascii="仿宋_GB2312" w:hAnsi="仿宋" w:eastAsia="仿宋_GB2312"/>
                <w:sz w:val="20"/>
                <w:szCs w:val="20"/>
              </w:rPr>
              <w:t>（部门名称2）工作职责包括：</w:t>
            </w:r>
          </w:p>
          <w:p w14:paraId="1DE52699">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0F96B667">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637D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DDCD9B4">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5358F2C2">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51D79613">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F3B6133">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435C1C23">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324D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7F563B9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172B2B7F">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5B08054A">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746A35">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A2FA694">
            <w:pPr>
              <w:spacing w:line="600" w:lineRule="exact"/>
              <w:rPr>
                <w:rFonts w:ascii="仿宋_GB2312" w:hAnsi="仿宋" w:eastAsia="仿宋_GB2312"/>
                <w:b/>
                <w:bCs/>
                <w:sz w:val="20"/>
                <w:szCs w:val="20"/>
              </w:rPr>
            </w:pPr>
          </w:p>
        </w:tc>
      </w:tr>
      <w:tr w14:paraId="065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21F3CC1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6C0740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41F431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7AB3514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66CF257C">
            <w:pPr>
              <w:spacing w:line="600" w:lineRule="exact"/>
              <w:rPr>
                <w:rFonts w:ascii="仿宋_GB2312" w:hAnsi="仿宋" w:eastAsia="仿宋_GB2312"/>
                <w:b/>
                <w:bCs/>
                <w:sz w:val="20"/>
                <w:szCs w:val="20"/>
              </w:rPr>
            </w:pPr>
          </w:p>
        </w:tc>
      </w:tr>
      <w:tr w14:paraId="6301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EB9E319">
            <w:pPr>
              <w:spacing w:line="600" w:lineRule="exact"/>
              <w:rPr>
                <w:rFonts w:ascii="仿宋_GB2312" w:hAnsi="仿宋" w:eastAsia="仿宋_GB2312"/>
                <w:sz w:val="20"/>
                <w:szCs w:val="20"/>
              </w:rPr>
            </w:pPr>
            <w:r>
              <w:rPr>
                <w:rFonts w:hint="eastAsia" w:ascii="仿宋_GB2312" w:hAnsi="仿宋" w:eastAsia="仿宋_GB2312"/>
                <w:sz w:val="20"/>
                <w:szCs w:val="20"/>
              </w:rPr>
              <w:t>（部门名称3）工作职责包括：</w:t>
            </w:r>
          </w:p>
          <w:p w14:paraId="6EAC30E0">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555292A5">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3CF4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57734BD">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7743C80B">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59D54FF">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2B667F">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08B278B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50A5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0858E63">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24B7E63">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99A4400">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AB96AC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F2AFCF7">
            <w:pPr>
              <w:spacing w:line="600" w:lineRule="exact"/>
              <w:rPr>
                <w:rFonts w:ascii="仿宋_GB2312" w:hAnsi="仿宋" w:eastAsia="仿宋_GB2312"/>
                <w:b/>
                <w:bCs/>
                <w:sz w:val="20"/>
                <w:szCs w:val="20"/>
              </w:rPr>
            </w:pPr>
          </w:p>
        </w:tc>
      </w:tr>
      <w:tr w14:paraId="7A22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A5A41C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FE7B31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4F2DD69">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33CBFD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E78985">
            <w:pPr>
              <w:spacing w:line="600" w:lineRule="exact"/>
              <w:rPr>
                <w:rFonts w:ascii="仿宋_GB2312" w:hAnsi="仿宋" w:eastAsia="仿宋_GB2312"/>
                <w:b/>
                <w:bCs/>
                <w:sz w:val="20"/>
                <w:szCs w:val="20"/>
              </w:rPr>
            </w:pPr>
          </w:p>
        </w:tc>
      </w:tr>
    </w:tbl>
    <w:p w14:paraId="5AF013A6">
      <w:pPr>
        <w:widowControl/>
        <w:spacing w:line="600" w:lineRule="exact"/>
        <w:jc w:val="left"/>
        <w:rPr>
          <w:rFonts w:ascii="仿宋_GB2312" w:hAnsi="仿宋" w:eastAsia="仿宋_GB2312"/>
          <w:sz w:val="20"/>
          <w:szCs w:val="20"/>
        </w:rPr>
      </w:pPr>
      <w:r>
        <w:rPr>
          <w:rFonts w:hint="eastAsia" w:ascii="仿宋_GB2312" w:hAnsi="仿宋" w:eastAsia="仿宋_GB2312"/>
          <w:sz w:val="20"/>
          <w:szCs w:val="20"/>
        </w:rPr>
        <w:t>备注：做市部门人员包括做市部门负责人、交易岗（包括备岗）、风险控制岗、技术支持岗、</w:t>
      </w:r>
      <w:r>
        <w:rPr>
          <w:rFonts w:ascii="仿宋_GB2312" w:hAnsi="仿宋" w:eastAsia="仿宋_GB2312"/>
          <w:sz w:val="20"/>
          <w:szCs w:val="20"/>
        </w:rPr>
        <w:t>应急处置岗</w:t>
      </w:r>
      <w:r>
        <w:rPr>
          <w:rFonts w:hint="eastAsia" w:ascii="仿宋_GB2312" w:hAnsi="仿宋" w:eastAsia="仿宋_GB2312"/>
          <w:sz w:val="20"/>
          <w:szCs w:val="20"/>
        </w:rPr>
        <w:t>。</w:t>
      </w:r>
    </w:p>
    <w:p w14:paraId="1DD8239A">
      <w:pPr>
        <w:widowControl/>
        <w:spacing w:line="600" w:lineRule="exact"/>
        <w:jc w:val="left"/>
        <w:rPr>
          <w:rFonts w:ascii="仿宋_GB2312" w:hAnsi="仿宋" w:eastAsia="仿宋_GB2312"/>
          <w:sz w:val="20"/>
          <w:szCs w:val="20"/>
        </w:rPr>
      </w:pPr>
    </w:p>
    <w:p w14:paraId="139B5210">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年   月   日</w:t>
      </w:r>
    </w:p>
    <w:p w14:paraId="5C1C42FD">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（加盖单位公章）</w:t>
      </w:r>
    </w:p>
    <w:p w14:paraId="0EAF5D34">
      <w:pPr>
        <w:widowControl/>
        <w:jc w:val="left"/>
        <w:rPr>
          <w:rFonts w:ascii="仿宋_GB2312" w:eastAsia="仿宋_GB2312"/>
          <w:b/>
          <w:sz w:val="30"/>
          <w:szCs w:val="30"/>
        </w:rPr>
      </w:pPr>
      <w:r>
        <w:rPr>
          <w:rFonts w:ascii="仿宋_GB2312" w:eastAsia="仿宋_GB2312"/>
          <w:b/>
          <w:sz w:val="30"/>
          <w:szCs w:val="30"/>
        </w:rPr>
        <w:br w:type="page"/>
      </w:r>
    </w:p>
    <w:p w14:paraId="22265C31">
      <w:pPr>
        <w:widowControl/>
        <w:jc w:val="left"/>
        <w:outlineLvl w:val="1"/>
        <w:rPr>
          <w:rFonts w:ascii="仿宋_GB2312" w:eastAsia="仿宋_GB2312"/>
          <w:b/>
          <w:sz w:val="30"/>
          <w:szCs w:val="30"/>
        </w:rPr>
      </w:pPr>
      <w:bookmarkStart w:id="3469" w:name="_Toc151137093"/>
      <w:r>
        <w:rPr>
          <w:rFonts w:hint="eastAsia" w:ascii="仿宋_GB2312" w:hAnsi="黑体" w:eastAsia="仿宋_GB2312"/>
          <w:b/>
          <w:sz w:val="30"/>
          <w:szCs w:val="30"/>
        </w:rPr>
        <w:t>附件10 上海证券交易所债券做市交易业务检查工作底稿</w:t>
      </w:r>
      <w:bookmarkEnd w:id="3469"/>
    </w:p>
    <w:p w14:paraId="4C8A950C">
      <w:pPr>
        <w:rPr>
          <w:rFonts w:ascii="黑体" w:hAnsi="华文细黑" w:eastAsia="黑体"/>
          <w:b/>
          <w:sz w:val="28"/>
          <w:szCs w:val="28"/>
        </w:rPr>
      </w:pPr>
      <w:r>
        <w:rPr>
          <w:rFonts w:hint="eastAsia" w:ascii="黑体" w:hAnsi="华文细黑" w:eastAsia="黑体"/>
          <w:b/>
          <w:sz w:val="28"/>
          <w:szCs w:val="28"/>
        </w:rPr>
        <w:t>一</w:t>
      </w:r>
      <w:r>
        <w:rPr>
          <w:rFonts w:ascii="黑体" w:hAnsi="华文细黑" w:eastAsia="黑体"/>
          <w:b/>
          <w:sz w:val="28"/>
          <w:szCs w:val="28"/>
        </w:rPr>
        <w:t>、</w:t>
      </w:r>
      <w:r>
        <w:rPr>
          <w:rFonts w:hint="eastAsia" w:ascii="黑体" w:hAnsi="华文细黑" w:eastAsia="黑体"/>
          <w:b/>
          <w:sz w:val="28"/>
          <w:szCs w:val="28"/>
        </w:rPr>
        <w:t>基础文件</w:t>
      </w:r>
    </w:p>
    <w:p w14:paraId="20CE0490"/>
    <w:tbl>
      <w:tblPr>
        <w:tblStyle w:val="43"/>
        <w:tblpPr w:leftFromText="180" w:rightFromText="180" w:vertAnchor="page" w:horzAnchor="margin" w:tblpY="2893"/>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681"/>
        <w:gridCol w:w="6631"/>
      </w:tblGrid>
      <w:tr w14:paraId="06ED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3498EC4">
            <w:pPr>
              <w:pStyle w:val="100"/>
              <w:rPr>
                <w:rFonts w:hAnsi="仿宋"/>
                <w:b/>
                <w:bCs/>
                <w:sz w:val="20"/>
                <w:szCs w:val="20"/>
              </w:rPr>
            </w:pPr>
            <w:bookmarkStart w:id="3470" w:name="_Hlk107782041"/>
            <w:r>
              <w:rPr>
                <w:rFonts w:hint="eastAsia" w:hAnsi="仿宋"/>
                <w:b/>
                <w:bCs/>
                <w:sz w:val="20"/>
                <w:szCs w:val="20"/>
              </w:rPr>
              <w:t>检查项目</w:t>
            </w:r>
          </w:p>
        </w:tc>
        <w:tc>
          <w:tcPr>
            <w:tcW w:w="681" w:type="dxa"/>
            <w:tcBorders>
              <w:top w:val="single" w:color="auto" w:sz="4" w:space="0"/>
              <w:left w:val="single" w:color="auto" w:sz="4" w:space="0"/>
              <w:bottom w:val="single" w:color="auto" w:sz="4" w:space="0"/>
              <w:right w:val="single" w:color="auto" w:sz="4" w:space="0"/>
            </w:tcBorders>
            <w:vAlign w:val="center"/>
          </w:tcPr>
          <w:p w14:paraId="425E9F7A">
            <w:pPr>
              <w:pStyle w:val="100"/>
              <w:rPr>
                <w:rFonts w:hAnsi="仿宋"/>
                <w:b/>
                <w:bCs/>
                <w:sz w:val="20"/>
                <w:szCs w:val="20"/>
              </w:rPr>
            </w:pPr>
            <w:r>
              <w:rPr>
                <w:rFonts w:hint="eastAsia" w:hAnsi="仿宋"/>
                <w:b/>
                <w:bCs/>
                <w:sz w:val="20"/>
                <w:szCs w:val="20"/>
              </w:rPr>
              <w:t>编号</w:t>
            </w:r>
          </w:p>
        </w:tc>
        <w:tc>
          <w:tcPr>
            <w:tcW w:w="6631" w:type="dxa"/>
            <w:tcBorders>
              <w:top w:val="single" w:color="auto" w:sz="4" w:space="0"/>
              <w:left w:val="single" w:color="auto" w:sz="4" w:space="0"/>
              <w:bottom w:val="single" w:color="auto" w:sz="4" w:space="0"/>
              <w:right w:val="single" w:color="auto" w:sz="4" w:space="0"/>
            </w:tcBorders>
            <w:vAlign w:val="center"/>
          </w:tcPr>
          <w:p w14:paraId="2F6C75EC">
            <w:pPr>
              <w:pStyle w:val="100"/>
              <w:rPr>
                <w:rFonts w:hAnsi="仿宋"/>
                <w:b/>
                <w:bCs/>
                <w:sz w:val="20"/>
                <w:szCs w:val="20"/>
              </w:rPr>
            </w:pPr>
            <w:r>
              <w:rPr>
                <w:rFonts w:hint="eastAsia" w:hAnsi="仿宋"/>
                <w:b/>
                <w:bCs/>
                <w:sz w:val="20"/>
                <w:szCs w:val="20"/>
              </w:rPr>
              <w:t>检查内容</w:t>
            </w:r>
          </w:p>
        </w:tc>
      </w:tr>
      <w:tr w14:paraId="1E82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tcBorders>
              <w:top w:val="single" w:color="auto" w:sz="4" w:space="0"/>
              <w:left w:val="single" w:color="auto" w:sz="4" w:space="0"/>
              <w:right w:val="single" w:color="auto" w:sz="4" w:space="0"/>
            </w:tcBorders>
            <w:vAlign w:val="center"/>
          </w:tcPr>
          <w:p w14:paraId="165D62FE">
            <w:pPr>
              <w:pStyle w:val="100"/>
              <w:rPr>
                <w:rFonts w:hAnsi="仿宋"/>
                <w:b/>
                <w:bCs/>
                <w:sz w:val="20"/>
                <w:szCs w:val="20"/>
              </w:rPr>
            </w:pPr>
            <w:r>
              <w:rPr>
                <w:rFonts w:hint="eastAsia" w:hAnsi="仿宋"/>
                <w:b/>
                <w:bCs/>
                <w:sz w:val="20"/>
                <w:szCs w:val="20"/>
              </w:rPr>
              <w:t>组织架构</w:t>
            </w:r>
          </w:p>
        </w:tc>
        <w:tc>
          <w:tcPr>
            <w:tcW w:w="681" w:type="dxa"/>
            <w:tcBorders>
              <w:top w:val="single" w:color="auto" w:sz="4" w:space="0"/>
              <w:left w:val="single" w:color="auto" w:sz="4" w:space="0"/>
              <w:bottom w:val="single" w:color="auto" w:sz="4" w:space="0"/>
              <w:right w:val="single" w:color="auto" w:sz="4" w:space="0"/>
            </w:tcBorders>
            <w:vAlign w:val="center"/>
          </w:tcPr>
          <w:p w14:paraId="72AC2CD0">
            <w:pPr>
              <w:pStyle w:val="100"/>
              <w:rPr>
                <w:rFonts w:hAnsi="仿宋"/>
                <w:sz w:val="20"/>
                <w:szCs w:val="20"/>
              </w:rPr>
            </w:pPr>
            <w:r>
              <w:rPr>
                <w:rFonts w:hAnsi="仿宋"/>
                <w:sz w:val="20"/>
                <w:szCs w:val="20"/>
              </w:rPr>
              <w:t>1</w:t>
            </w:r>
          </w:p>
        </w:tc>
        <w:tc>
          <w:tcPr>
            <w:tcW w:w="6631" w:type="dxa"/>
            <w:tcBorders>
              <w:top w:val="single" w:color="auto" w:sz="4" w:space="0"/>
              <w:left w:val="single" w:color="auto" w:sz="4" w:space="0"/>
              <w:bottom w:val="single" w:color="auto" w:sz="4" w:space="0"/>
              <w:right w:val="single" w:color="auto" w:sz="4" w:space="0"/>
            </w:tcBorders>
            <w:vAlign w:val="center"/>
          </w:tcPr>
          <w:p w14:paraId="369C2D76">
            <w:pPr>
              <w:pStyle w:val="100"/>
              <w:rPr>
                <w:rFonts w:hAnsi="仿宋"/>
                <w:sz w:val="20"/>
                <w:szCs w:val="20"/>
              </w:rPr>
            </w:pPr>
            <w:r>
              <w:rPr>
                <w:rFonts w:hint="eastAsia" w:hAnsi="仿宋"/>
                <w:sz w:val="20"/>
                <w:szCs w:val="20"/>
              </w:rPr>
              <w:t>设立包括交易岗、风险控制岗、技术运维岗等岗位，并建立备岗制度</w:t>
            </w:r>
          </w:p>
        </w:tc>
      </w:tr>
      <w:tr w14:paraId="673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09A63973">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FBFF483">
            <w:pPr>
              <w:pStyle w:val="100"/>
              <w:rPr>
                <w:rFonts w:hAnsi="仿宋"/>
                <w:sz w:val="20"/>
                <w:szCs w:val="20"/>
              </w:rPr>
            </w:pPr>
            <w:r>
              <w:rPr>
                <w:rFonts w:hAnsi="仿宋"/>
                <w:sz w:val="20"/>
                <w:szCs w:val="20"/>
              </w:rPr>
              <w:t>2</w:t>
            </w:r>
          </w:p>
        </w:tc>
        <w:tc>
          <w:tcPr>
            <w:tcW w:w="6631" w:type="dxa"/>
            <w:tcBorders>
              <w:top w:val="single" w:color="auto" w:sz="4" w:space="0"/>
              <w:left w:val="single" w:color="auto" w:sz="4" w:space="0"/>
              <w:bottom w:val="single" w:color="auto" w:sz="4" w:space="0"/>
              <w:right w:val="single" w:color="auto" w:sz="4" w:space="0"/>
            </w:tcBorders>
            <w:vAlign w:val="center"/>
          </w:tcPr>
          <w:p w14:paraId="1AB4377D">
            <w:pPr>
              <w:pStyle w:val="100"/>
              <w:rPr>
                <w:rFonts w:hAnsi="仿宋"/>
                <w:sz w:val="20"/>
                <w:szCs w:val="20"/>
              </w:rPr>
            </w:pPr>
            <w:r>
              <w:rPr>
                <w:rFonts w:hint="eastAsia" w:hAnsi="仿宋"/>
                <w:sz w:val="20"/>
                <w:szCs w:val="20"/>
              </w:rPr>
              <w:t>明确业务部门与风控、合规、结算等相关部门职能和责任</w:t>
            </w:r>
          </w:p>
        </w:tc>
      </w:tr>
      <w:tr w14:paraId="2911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Merge w:val="continue"/>
            <w:tcBorders>
              <w:left w:val="single" w:color="auto" w:sz="4" w:space="0"/>
              <w:right w:val="single" w:color="auto" w:sz="4" w:space="0"/>
            </w:tcBorders>
            <w:vAlign w:val="center"/>
          </w:tcPr>
          <w:p w14:paraId="5D298647">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0D2A5BB">
            <w:pPr>
              <w:pStyle w:val="100"/>
              <w:rPr>
                <w:rFonts w:hAnsi="仿宋"/>
                <w:sz w:val="20"/>
                <w:szCs w:val="20"/>
              </w:rPr>
            </w:pPr>
            <w:r>
              <w:rPr>
                <w:rFonts w:hAnsi="仿宋"/>
                <w:sz w:val="20"/>
                <w:szCs w:val="20"/>
              </w:rPr>
              <w:t>3</w:t>
            </w:r>
          </w:p>
        </w:tc>
        <w:tc>
          <w:tcPr>
            <w:tcW w:w="6631" w:type="dxa"/>
            <w:tcBorders>
              <w:top w:val="single" w:color="auto" w:sz="4" w:space="0"/>
              <w:left w:val="single" w:color="auto" w:sz="4" w:space="0"/>
              <w:bottom w:val="single" w:color="auto" w:sz="4" w:space="0"/>
              <w:right w:val="single" w:color="auto" w:sz="4" w:space="0"/>
            </w:tcBorders>
            <w:vAlign w:val="center"/>
          </w:tcPr>
          <w:p w14:paraId="3F10CFE8">
            <w:pPr>
              <w:pStyle w:val="100"/>
              <w:rPr>
                <w:rFonts w:hAnsi="仿宋"/>
                <w:sz w:val="20"/>
                <w:szCs w:val="20"/>
              </w:rPr>
            </w:pPr>
            <w:r>
              <w:rPr>
                <w:rFonts w:hint="eastAsia" w:hAnsi="仿宋"/>
                <w:sz w:val="20"/>
                <w:szCs w:val="20"/>
              </w:rPr>
              <w:t>团队成员具备相应专业背景和工作经历</w:t>
            </w:r>
          </w:p>
        </w:tc>
      </w:tr>
      <w:tr w14:paraId="0776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88" w:type="dxa"/>
            <w:vMerge w:val="restart"/>
            <w:tcBorders>
              <w:top w:val="single" w:color="auto" w:sz="4" w:space="0"/>
              <w:left w:val="single" w:color="auto" w:sz="4" w:space="0"/>
              <w:right w:val="single" w:color="auto" w:sz="4" w:space="0"/>
            </w:tcBorders>
            <w:vAlign w:val="center"/>
          </w:tcPr>
          <w:p w14:paraId="0DBD047C">
            <w:pPr>
              <w:pStyle w:val="100"/>
              <w:rPr>
                <w:rFonts w:hAnsi="仿宋"/>
                <w:b/>
                <w:bCs/>
                <w:sz w:val="20"/>
                <w:szCs w:val="20"/>
              </w:rPr>
            </w:pPr>
            <w:r>
              <w:rPr>
                <w:rFonts w:hint="eastAsia" w:hAnsi="仿宋"/>
                <w:b/>
                <w:bCs/>
                <w:sz w:val="20"/>
                <w:szCs w:val="20"/>
              </w:rPr>
              <w:t>制度与管理办法</w:t>
            </w:r>
          </w:p>
          <w:p w14:paraId="29F07C3C">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44801946">
            <w:pPr>
              <w:pStyle w:val="100"/>
              <w:rPr>
                <w:rFonts w:hAnsi="仿宋"/>
                <w:sz w:val="20"/>
                <w:szCs w:val="20"/>
              </w:rPr>
            </w:pPr>
            <w:r>
              <w:rPr>
                <w:rFonts w:hAnsi="仿宋"/>
                <w:sz w:val="20"/>
                <w:szCs w:val="20"/>
              </w:rPr>
              <w:t>4</w:t>
            </w:r>
          </w:p>
        </w:tc>
        <w:tc>
          <w:tcPr>
            <w:tcW w:w="6631" w:type="dxa"/>
            <w:tcBorders>
              <w:top w:val="single" w:color="auto" w:sz="4" w:space="0"/>
              <w:left w:val="single" w:color="auto" w:sz="4" w:space="0"/>
              <w:bottom w:val="single" w:color="auto" w:sz="4" w:space="0"/>
              <w:right w:val="single" w:color="auto" w:sz="4" w:space="0"/>
            </w:tcBorders>
            <w:vAlign w:val="center"/>
          </w:tcPr>
          <w:p w14:paraId="534EB695">
            <w:pPr>
              <w:pStyle w:val="100"/>
              <w:rPr>
                <w:rFonts w:hAnsi="仿宋"/>
                <w:sz w:val="20"/>
                <w:szCs w:val="20"/>
              </w:rPr>
            </w:pPr>
            <w:r>
              <w:rPr>
                <w:rFonts w:hint="eastAsia" w:hAnsi="仿宋"/>
                <w:sz w:val="20"/>
                <w:szCs w:val="20"/>
              </w:rPr>
              <w:t>制定了债券做市业务方案</w:t>
            </w:r>
            <w:r>
              <w:rPr>
                <w:rFonts w:hAnsi="仿宋"/>
                <w:sz w:val="20"/>
                <w:szCs w:val="20"/>
              </w:rPr>
              <w:t xml:space="preserve">, </w:t>
            </w:r>
            <w:r>
              <w:rPr>
                <w:rFonts w:hint="eastAsia" w:hAnsi="仿宋"/>
                <w:sz w:val="20"/>
                <w:szCs w:val="20"/>
              </w:rPr>
              <w:t>包括机构组织架构、业务决策、系统建设、风险报告和压力测试等</w:t>
            </w:r>
          </w:p>
        </w:tc>
      </w:tr>
      <w:tr w14:paraId="05E9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760E057E">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DF9EB75">
            <w:pPr>
              <w:pStyle w:val="100"/>
              <w:rPr>
                <w:rFonts w:hAnsi="仿宋"/>
                <w:sz w:val="20"/>
                <w:szCs w:val="20"/>
              </w:rPr>
            </w:pPr>
            <w:r>
              <w:rPr>
                <w:rFonts w:hAnsi="仿宋"/>
                <w:sz w:val="20"/>
                <w:szCs w:val="20"/>
              </w:rPr>
              <w:t>5</w:t>
            </w:r>
          </w:p>
        </w:tc>
        <w:tc>
          <w:tcPr>
            <w:tcW w:w="6631" w:type="dxa"/>
            <w:tcBorders>
              <w:top w:val="single" w:color="auto" w:sz="4" w:space="0"/>
              <w:left w:val="single" w:color="auto" w:sz="4" w:space="0"/>
              <w:bottom w:val="single" w:color="auto" w:sz="4" w:space="0"/>
              <w:right w:val="single" w:color="auto" w:sz="4" w:space="0"/>
            </w:tcBorders>
            <w:vAlign w:val="center"/>
          </w:tcPr>
          <w:p w14:paraId="566A38C6">
            <w:pPr>
              <w:pStyle w:val="100"/>
              <w:rPr>
                <w:rFonts w:hAnsi="仿宋"/>
                <w:sz w:val="20"/>
                <w:szCs w:val="20"/>
              </w:rPr>
            </w:pPr>
            <w:r>
              <w:rPr>
                <w:rFonts w:hint="eastAsia" w:hAnsi="仿宋"/>
                <w:sz w:val="20"/>
                <w:szCs w:val="20"/>
              </w:rPr>
              <w:t>制定了业务相关内部管理办法，包括权限管理、内部报告等</w:t>
            </w:r>
          </w:p>
        </w:tc>
      </w:tr>
      <w:tr w14:paraId="2A44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4550C8B0">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03FC2505">
            <w:pPr>
              <w:pStyle w:val="100"/>
              <w:rPr>
                <w:rFonts w:hAnsi="仿宋"/>
                <w:sz w:val="20"/>
                <w:szCs w:val="20"/>
              </w:rPr>
            </w:pPr>
            <w:r>
              <w:rPr>
                <w:rFonts w:hAnsi="仿宋"/>
                <w:sz w:val="20"/>
                <w:szCs w:val="20"/>
              </w:rPr>
              <w:t>6</w:t>
            </w:r>
          </w:p>
        </w:tc>
        <w:tc>
          <w:tcPr>
            <w:tcW w:w="6631" w:type="dxa"/>
            <w:tcBorders>
              <w:top w:val="single" w:color="auto" w:sz="4" w:space="0"/>
              <w:left w:val="single" w:color="auto" w:sz="4" w:space="0"/>
              <w:bottom w:val="single" w:color="auto" w:sz="4" w:space="0"/>
              <w:right w:val="single" w:color="auto" w:sz="4" w:space="0"/>
            </w:tcBorders>
            <w:vAlign w:val="center"/>
          </w:tcPr>
          <w:p w14:paraId="4C902623">
            <w:pPr>
              <w:pStyle w:val="100"/>
              <w:rPr>
                <w:rFonts w:hAnsi="仿宋"/>
                <w:sz w:val="20"/>
                <w:szCs w:val="20"/>
              </w:rPr>
            </w:pPr>
            <w:r>
              <w:rPr>
                <w:rFonts w:hint="eastAsia" w:hAnsi="仿宋"/>
                <w:sz w:val="20"/>
                <w:szCs w:val="20"/>
              </w:rPr>
              <w:t>制定了相关业务流程，包括决策流程、操作规范、流程控制管理等</w:t>
            </w:r>
          </w:p>
        </w:tc>
      </w:tr>
      <w:tr w14:paraId="7FA4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bottom w:val="single" w:color="auto" w:sz="4" w:space="0"/>
              <w:right w:val="single" w:color="auto" w:sz="4" w:space="0"/>
            </w:tcBorders>
            <w:vAlign w:val="center"/>
          </w:tcPr>
          <w:p w14:paraId="575F48CF">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29907A2F">
            <w:pPr>
              <w:pStyle w:val="100"/>
              <w:rPr>
                <w:rFonts w:hAnsi="仿宋"/>
                <w:sz w:val="20"/>
                <w:szCs w:val="20"/>
              </w:rPr>
            </w:pPr>
            <w:r>
              <w:rPr>
                <w:rFonts w:hint="eastAsia" w:hAnsi="仿宋"/>
                <w:sz w:val="20"/>
                <w:szCs w:val="20"/>
              </w:rPr>
              <w:t>7</w:t>
            </w:r>
          </w:p>
        </w:tc>
        <w:tc>
          <w:tcPr>
            <w:tcW w:w="6631" w:type="dxa"/>
            <w:tcBorders>
              <w:top w:val="single" w:color="auto" w:sz="4" w:space="0"/>
              <w:left w:val="single" w:color="auto" w:sz="4" w:space="0"/>
              <w:bottom w:val="single" w:color="auto" w:sz="4" w:space="0"/>
              <w:right w:val="single" w:color="auto" w:sz="4" w:space="0"/>
            </w:tcBorders>
            <w:vAlign w:val="center"/>
          </w:tcPr>
          <w:p w14:paraId="0710671F">
            <w:pPr>
              <w:pStyle w:val="100"/>
              <w:rPr>
                <w:rFonts w:hAnsi="仿宋"/>
                <w:sz w:val="20"/>
                <w:szCs w:val="20"/>
              </w:rPr>
            </w:pPr>
            <w:r>
              <w:rPr>
                <w:rFonts w:hint="eastAsia" w:hAnsi="仿宋"/>
                <w:sz w:val="20"/>
                <w:szCs w:val="20"/>
              </w:rPr>
              <w:t>制定了应急风险处置制度，包括应急处置人员安排、突发事件场景、预防措施、突发事件预警及响应机制、应急处置决策与实施机制等</w:t>
            </w:r>
          </w:p>
        </w:tc>
      </w:tr>
      <w:bookmarkEnd w:id="3470"/>
    </w:tbl>
    <w:p w14:paraId="2DEA67CF">
      <w:pPr>
        <w:rPr>
          <w:rFonts w:ascii="黑体" w:hAnsi="华文细黑" w:eastAsia="黑体"/>
          <w:b/>
          <w:sz w:val="28"/>
          <w:szCs w:val="28"/>
        </w:rPr>
      </w:pPr>
      <w:r>
        <w:rPr>
          <w:rFonts w:hint="eastAsia" w:ascii="黑体" w:hAnsi="华文细黑" w:eastAsia="黑体"/>
          <w:b/>
          <w:sz w:val="28"/>
          <w:szCs w:val="28"/>
        </w:rPr>
        <w:t>二、功能要求</w:t>
      </w:r>
    </w:p>
    <w:tbl>
      <w:tblPr>
        <w:tblStyle w:val="4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665"/>
        <w:gridCol w:w="6809"/>
      </w:tblGrid>
      <w:tr w14:paraId="2D34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Borders>
              <w:top w:val="single" w:color="auto" w:sz="4" w:space="0"/>
              <w:left w:val="single" w:color="auto" w:sz="4" w:space="0"/>
              <w:bottom w:val="single" w:color="auto" w:sz="4" w:space="0"/>
              <w:right w:val="single" w:color="auto" w:sz="4" w:space="0"/>
            </w:tcBorders>
            <w:vAlign w:val="center"/>
          </w:tcPr>
          <w:p w14:paraId="66909AD6">
            <w:pPr>
              <w:rPr>
                <w:rFonts w:ascii="仿宋_GB2312" w:eastAsia="仿宋_GB2312"/>
                <w:b/>
              </w:rPr>
            </w:pPr>
            <w:bookmarkStart w:id="3471" w:name="_Hlk107782684"/>
            <w:r>
              <w:rPr>
                <w:rFonts w:hint="eastAsia" w:ascii="仿宋_GB2312" w:eastAsia="仿宋_GB2312"/>
                <w:b/>
              </w:rPr>
              <w:t>检查项目</w:t>
            </w:r>
          </w:p>
        </w:tc>
        <w:tc>
          <w:tcPr>
            <w:tcW w:w="665" w:type="dxa"/>
            <w:tcBorders>
              <w:top w:val="single" w:color="auto" w:sz="4" w:space="0"/>
              <w:left w:val="single" w:color="auto" w:sz="4" w:space="0"/>
              <w:bottom w:val="single" w:color="auto" w:sz="4" w:space="0"/>
              <w:right w:val="single" w:color="auto" w:sz="4" w:space="0"/>
            </w:tcBorders>
            <w:vAlign w:val="center"/>
          </w:tcPr>
          <w:p w14:paraId="2B4C693F">
            <w:pPr>
              <w:rPr>
                <w:rFonts w:ascii="仿宋_GB2312" w:eastAsia="仿宋_GB2312"/>
                <w:b/>
              </w:rPr>
            </w:pPr>
            <w:r>
              <w:rPr>
                <w:rFonts w:hint="eastAsia" w:ascii="仿宋_GB2312" w:eastAsia="仿宋_GB2312"/>
                <w:b/>
              </w:rPr>
              <w:t>编号</w:t>
            </w:r>
          </w:p>
        </w:tc>
        <w:tc>
          <w:tcPr>
            <w:tcW w:w="6809" w:type="dxa"/>
            <w:tcBorders>
              <w:top w:val="single" w:color="auto" w:sz="4" w:space="0"/>
              <w:left w:val="single" w:color="auto" w:sz="4" w:space="0"/>
              <w:bottom w:val="single" w:color="auto" w:sz="4" w:space="0"/>
              <w:right w:val="single" w:color="auto" w:sz="4" w:space="0"/>
            </w:tcBorders>
            <w:vAlign w:val="center"/>
          </w:tcPr>
          <w:p w14:paraId="40874719">
            <w:pPr>
              <w:rPr>
                <w:rFonts w:ascii="仿宋_GB2312" w:eastAsia="仿宋_GB2312"/>
                <w:b/>
              </w:rPr>
            </w:pPr>
            <w:r>
              <w:rPr>
                <w:rFonts w:hint="eastAsia" w:ascii="仿宋_GB2312" w:eastAsia="仿宋_GB2312"/>
                <w:b/>
              </w:rPr>
              <w:t>检查内容</w:t>
            </w:r>
          </w:p>
        </w:tc>
      </w:tr>
      <w:tr w14:paraId="31EB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68" w:type="dxa"/>
            <w:vMerge w:val="restart"/>
            <w:tcBorders>
              <w:top w:val="single" w:color="auto" w:sz="4" w:space="0"/>
              <w:left w:val="single" w:color="auto" w:sz="4" w:space="0"/>
              <w:bottom w:val="single" w:color="auto" w:sz="4" w:space="0"/>
              <w:right w:val="single" w:color="auto" w:sz="4" w:space="0"/>
            </w:tcBorders>
            <w:vAlign w:val="center"/>
          </w:tcPr>
          <w:p w14:paraId="312C7803">
            <w:pPr>
              <w:pStyle w:val="100"/>
              <w:rPr>
                <w:rFonts w:hAnsi="仿宋"/>
                <w:b/>
                <w:bCs/>
                <w:sz w:val="20"/>
                <w:szCs w:val="20"/>
              </w:rPr>
            </w:pPr>
            <w:r>
              <w:rPr>
                <w:rFonts w:hint="eastAsia" w:hAnsi="仿宋"/>
                <w:b/>
                <w:bCs/>
                <w:sz w:val="20"/>
                <w:szCs w:val="20"/>
              </w:rPr>
              <w:t>交</w:t>
            </w:r>
            <w:r>
              <w:rPr>
                <w:rFonts w:hint="eastAsia" w:hAnsi="Times New Roman" w:cs="Times New Roman"/>
                <w:b/>
                <w:bCs/>
                <w:color w:val="auto"/>
                <w:kern w:val="2"/>
                <w:sz w:val="21"/>
                <w:szCs w:val="21"/>
              </w:rPr>
              <w:t>易设置</w:t>
            </w:r>
          </w:p>
        </w:tc>
        <w:tc>
          <w:tcPr>
            <w:tcW w:w="665" w:type="dxa"/>
            <w:tcBorders>
              <w:top w:val="single" w:color="auto" w:sz="4" w:space="0"/>
              <w:left w:val="single" w:color="auto" w:sz="4" w:space="0"/>
              <w:bottom w:val="single" w:color="auto" w:sz="4" w:space="0"/>
              <w:right w:val="single" w:color="auto" w:sz="4" w:space="0"/>
            </w:tcBorders>
            <w:vAlign w:val="center"/>
          </w:tcPr>
          <w:p w14:paraId="6B6A2E73">
            <w:pPr>
              <w:pStyle w:val="100"/>
              <w:rPr>
                <w:rFonts w:hAnsi="仿宋"/>
                <w:sz w:val="20"/>
                <w:szCs w:val="20"/>
              </w:rPr>
            </w:pPr>
            <w:r>
              <w:rPr>
                <w:rFonts w:hAnsi="仿宋"/>
                <w:sz w:val="20"/>
                <w:szCs w:val="20"/>
              </w:rPr>
              <w:t>1</w:t>
            </w:r>
          </w:p>
        </w:tc>
        <w:tc>
          <w:tcPr>
            <w:tcW w:w="6809" w:type="dxa"/>
            <w:tcBorders>
              <w:top w:val="single" w:color="auto" w:sz="4" w:space="0"/>
              <w:left w:val="single" w:color="auto" w:sz="4" w:space="0"/>
              <w:bottom w:val="single" w:color="auto" w:sz="4" w:space="0"/>
              <w:right w:val="single" w:color="auto" w:sz="4" w:space="0"/>
            </w:tcBorders>
            <w:vAlign w:val="center"/>
          </w:tcPr>
          <w:p w14:paraId="56628AB3">
            <w:pPr>
              <w:pStyle w:val="100"/>
              <w:rPr>
                <w:rFonts w:hAnsi="仿宋"/>
                <w:sz w:val="20"/>
                <w:szCs w:val="20"/>
              </w:rPr>
            </w:pPr>
            <w:r>
              <w:rPr>
                <w:rFonts w:hint="eastAsia" w:hAnsi="仿宋"/>
                <w:sz w:val="20"/>
                <w:szCs w:val="20"/>
              </w:rPr>
              <w:t>最小报价数量设置</w:t>
            </w:r>
          </w:p>
        </w:tc>
      </w:tr>
      <w:tr w14:paraId="1E8A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5DE6A36B">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3FCD432F">
            <w:pPr>
              <w:pStyle w:val="100"/>
              <w:rPr>
                <w:rFonts w:hAnsi="仿宋"/>
                <w:sz w:val="20"/>
                <w:szCs w:val="20"/>
              </w:rPr>
            </w:pPr>
            <w:r>
              <w:rPr>
                <w:rFonts w:hAnsi="仿宋"/>
                <w:sz w:val="20"/>
                <w:szCs w:val="20"/>
              </w:rPr>
              <w:t>2</w:t>
            </w:r>
          </w:p>
        </w:tc>
        <w:tc>
          <w:tcPr>
            <w:tcW w:w="6809" w:type="dxa"/>
            <w:tcBorders>
              <w:top w:val="single" w:color="auto" w:sz="4" w:space="0"/>
              <w:left w:val="single" w:color="auto" w:sz="4" w:space="0"/>
              <w:bottom w:val="single" w:color="auto" w:sz="4" w:space="0"/>
              <w:right w:val="single" w:color="auto" w:sz="4" w:space="0"/>
            </w:tcBorders>
            <w:vAlign w:val="center"/>
          </w:tcPr>
          <w:p w14:paraId="2CD5F994">
            <w:pPr>
              <w:pStyle w:val="100"/>
              <w:rPr>
                <w:rFonts w:hAnsi="仿宋"/>
                <w:sz w:val="20"/>
                <w:szCs w:val="20"/>
              </w:rPr>
            </w:pPr>
            <w:r>
              <w:rPr>
                <w:rFonts w:hint="eastAsia" w:hAnsi="仿宋"/>
                <w:sz w:val="20"/>
                <w:szCs w:val="20"/>
              </w:rPr>
              <w:t>行情数据接收管理</w:t>
            </w:r>
          </w:p>
        </w:tc>
      </w:tr>
      <w:tr w14:paraId="7104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19C0BC14">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656819A9">
            <w:pPr>
              <w:pStyle w:val="100"/>
              <w:rPr>
                <w:rFonts w:hAnsi="仿宋"/>
                <w:sz w:val="20"/>
                <w:szCs w:val="20"/>
              </w:rPr>
            </w:pPr>
            <w:r>
              <w:rPr>
                <w:rFonts w:hAnsi="仿宋"/>
                <w:sz w:val="20"/>
                <w:szCs w:val="20"/>
              </w:rPr>
              <w:t>3</w:t>
            </w:r>
          </w:p>
        </w:tc>
        <w:tc>
          <w:tcPr>
            <w:tcW w:w="6809" w:type="dxa"/>
            <w:tcBorders>
              <w:top w:val="single" w:color="auto" w:sz="4" w:space="0"/>
              <w:left w:val="single" w:color="auto" w:sz="4" w:space="0"/>
              <w:bottom w:val="single" w:color="auto" w:sz="4" w:space="0"/>
              <w:right w:val="single" w:color="auto" w:sz="4" w:space="0"/>
            </w:tcBorders>
            <w:vAlign w:val="center"/>
          </w:tcPr>
          <w:p w14:paraId="4732DBD2">
            <w:pPr>
              <w:pStyle w:val="100"/>
              <w:rPr>
                <w:rFonts w:hAnsi="仿宋"/>
                <w:sz w:val="20"/>
                <w:szCs w:val="20"/>
              </w:rPr>
            </w:pPr>
            <w:r>
              <w:rPr>
                <w:rFonts w:hint="eastAsia" w:hAnsi="仿宋"/>
                <w:sz w:val="20"/>
                <w:szCs w:val="20"/>
              </w:rPr>
              <w:t>持仓管理、订单管理、报价参数管理</w:t>
            </w:r>
          </w:p>
        </w:tc>
      </w:tr>
      <w:tr w14:paraId="2D3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04FECCD7">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21CC2B58">
            <w:pPr>
              <w:pStyle w:val="100"/>
              <w:rPr>
                <w:rFonts w:hAnsi="仿宋"/>
                <w:sz w:val="20"/>
                <w:szCs w:val="20"/>
              </w:rPr>
            </w:pPr>
            <w:r>
              <w:rPr>
                <w:rFonts w:hAnsi="仿宋"/>
                <w:sz w:val="20"/>
                <w:szCs w:val="20"/>
              </w:rPr>
              <w:t>4</w:t>
            </w:r>
          </w:p>
        </w:tc>
        <w:tc>
          <w:tcPr>
            <w:tcW w:w="6809" w:type="dxa"/>
            <w:tcBorders>
              <w:top w:val="single" w:color="auto" w:sz="4" w:space="0"/>
              <w:left w:val="single" w:color="auto" w:sz="4" w:space="0"/>
              <w:bottom w:val="single" w:color="auto" w:sz="4" w:space="0"/>
              <w:right w:val="single" w:color="auto" w:sz="4" w:space="0"/>
            </w:tcBorders>
          </w:tcPr>
          <w:p w14:paraId="41E20E7D">
            <w:pPr>
              <w:pStyle w:val="100"/>
              <w:rPr>
                <w:rFonts w:hAnsi="仿宋"/>
                <w:sz w:val="20"/>
                <w:szCs w:val="20"/>
              </w:rPr>
            </w:pPr>
            <w:r>
              <w:rPr>
                <w:rFonts w:hint="eastAsia" w:hAnsi="仿宋"/>
                <w:sz w:val="20"/>
                <w:szCs w:val="20"/>
              </w:rPr>
              <w:t>支持做市相关基本交易指令以及前端控制</w:t>
            </w:r>
          </w:p>
        </w:tc>
      </w:tr>
      <w:bookmarkEnd w:id="3471"/>
    </w:tbl>
    <w:p w14:paraId="56838060"/>
    <w:p w14:paraId="3F678D63">
      <w:pPr>
        <w:rPr>
          <w:rFonts w:ascii="黑体" w:hAnsi="华文细黑" w:eastAsia="黑体"/>
          <w:b/>
          <w:sz w:val="28"/>
          <w:szCs w:val="28"/>
        </w:rPr>
      </w:pPr>
      <w:r>
        <w:rPr>
          <w:rFonts w:hint="eastAsia" w:ascii="黑体" w:hAnsi="华文细黑" w:eastAsia="黑体"/>
          <w:b/>
          <w:sz w:val="28"/>
          <w:szCs w:val="28"/>
        </w:rPr>
        <w:t>三、风险管理与控制体系</w:t>
      </w:r>
    </w:p>
    <w:tbl>
      <w:tblPr>
        <w:tblStyle w:val="43"/>
        <w:tblpPr w:leftFromText="180" w:rightFromText="180" w:vertAnchor="text" w:horzAnchor="margin" w:tblpY="158"/>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2"/>
        <w:gridCol w:w="678"/>
        <w:gridCol w:w="6772"/>
      </w:tblGrid>
      <w:tr w14:paraId="29B92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tcBorders>
              <w:top w:val="single" w:color="000000" w:sz="4" w:space="0"/>
              <w:left w:val="single" w:color="000000" w:sz="4" w:space="0"/>
              <w:bottom w:val="single" w:color="000000" w:sz="4" w:space="0"/>
              <w:right w:val="single" w:color="000000" w:sz="4" w:space="0"/>
            </w:tcBorders>
            <w:vAlign w:val="center"/>
          </w:tcPr>
          <w:p w14:paraId="40AF7E98">
            <w:pPr>
              <w:pStyle w:val="100"/>
              <w:rPr>
                <w:rFonts w:hAnsi="仿宋"/>
                <w:b/>
                <w:bCs/>
                <w:sz w:val="20"/>
                <w:szCs w:val="20"/>
              </w:rPr>
            </w:pPr>
            <w:bookmarkStart w:id="3472" w:name="_Hlk107783130"/>
            <w:r>
              <w:rPr>
                <w:rFonts w:hint="eastAsia" w:hAnsi="仿宋"/>
                <w:b/>
                <w:bCs/>
                <w:sz w:val="20"/>
                <w:szCs w:val="20"/>
              </w:rPr>
              <w:t>检查项目</w:t>
            </w:r>
          </w:p>
        </w:tc>
        <w:tc>
          <w:tcPr>
            <w:tcW w:w="678" w:type="dxa"/>
            <w:tcBorders>
              <w:top w:val="single" w:color="000000" w:sz="4" w:space="0"/>
              <w:left w:val="single" w:color="000000" w:sz="4" w:space="0"/>
              <w:bottom w:val="single" w:color="000000" w:sz="4" w:space="0"/>
              <w:right w:val="single" w:color="000000" w:sz="4" w:space="0"/>
            </w:tcBorders>
            <w:vAlign w:val="center"/>
          </w:tcPr>
          <w:p w14:paraId="5DF53C76">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编号</w:t>
            </w:r>
          </w:p>
        </w:tc>
        <w:tc>
          <w:tcPr>
            <w:tcW w:w="6772" w:type="dxa"/>
            <w:tcBorders>
              <w:top w:val="single" w:color="000000" w:sz="4" w:space="0"/>
              <w:left w:val="single" w:color="000000" w:sz="4" w:space="0"/>
              <w:bottom w:val="single" w:color="000000" w:sz="4" w:space="0"/>
              <w:right w:val="single" w:color="000000" w:sz="4" w:space="0"/>
            </w:tcBorders>
            <w:vAlign w:val="center"/>
          </w:tcPr>
          <w:p w14:paraId="6FE49BA7">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检查内容</w:t>
            </w:r>
          </w:p>
        </w:tc>
      </w:tr>
      <w:tr w14:paraId="28270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restart"/>
            <w:tcBorders>
              <w:top w:val="single" w:color="000000" w:sz="4" w:space="0"/>
              <w:left w:val="single" w:color="000000" w:sz="4" w:space="0"/>
              <w:bottom w:val="single" w:color="000000" w:sz="4" w:space="0"/>
              <w:right w:val="single" w:color="000000" w:sz="4" w:space="0"/>
            </w:tcBorders>
            <w:vAlign w:val="center"/>
          </w:tcPr>
          <w:p w14:paraId="3E24BD57">
            <w:pPr>
              <w:pStyle w:val="100"/>
              <w:rPr>
                <w:rFonts w:hAnsi="仿宋"/>
                <w:b/>
                <w:bCs/>
                <w:sz w:val="20"/>
                <w:szCs w:val="20"/>
              </w:rPr>
            </w:pPr>
            <w:r>
              <w:rPr>
                <w:rFonts w:hint="eastAsia" w:hAnsi="仿宋"/>
                <w:b/>
                <w:bCs/>
                <w:sz w:val="20"/>
                <w:szCs w:val="20"/>
              </w:rPr>
              <w:t>风险管理与处置</w:t>
            </w:r>
          </w:p>
        </w:tc>
        <w:tc>
          <w:tcPr>
            <w:tcW w:w="678" w:type="dxa"/>
            <w:tcBorders>
              <w:top w:val="single" w:color="000000" w:sz="4" w:space="0"/>
              <w:left w:val="single" w:color="000000" w:sz="4" w:space="0"/>
              <w:bottom w:val="single" w:color="000000" w:sz="4" w:space="0"/>
              <w:right w:val="single" w:color="000000" w:sz="4" w:space="0"/>
            </w:tcBorders>
            <w:vAlign w:val="center"/>
          </w:tcPr>
          <w:p w14:paraId="63B7BC4D">
            <w:pPr>
              <w:pStyle w:val="100"/>
              <w:rPr>
                <w:rFonts w:hAnsi="仿宋"/>
                <w:sz w:val="20"/>
                <w:szCs w:val="20"/>
              </w:rPr>
            </w:pPr>
            <w:r>
              <w:rPr>
                <w:rFonts w:hAnsi="仿宋"/>
                <w:sz w:val="20"/>
                <w:szCs w:val="20"/>
              </w:rPr>
              <w:t>1</w:t>
            </w:r>
          </w:p>
        </w:tc>
        <w:tc>
          <w:tcPr>
            <w:tcW w:w="6772" w:type="dxa"/>
            <w:tcBorders>
              <w:top w:val="single" w:color="000000" w:sz="4" w:space="0"/>
              <w:left w:val="single" w:color="000000" w:sz="4" w:space="0"/>
              <w:bottom w:val="single" w:color="000000" w:sz="4" w:space="0"/>
              <w:right w:val="single" w:color="000000" w:sz="4" w:space="0"/>
            </w:tcBorders>
            <w:vAlign w:val="center"/>
          </w:tcPr>
          <w:p w14:paraId="26453FAC">
            <w:pPr>
              <w:pStyle w:val="100"/>
              <w:rPr>
                <w:rFonts w:hAnsi="仿宋"/>
                <w:sz w:val="20"/>
                <w:szCs w:val="20"/>
              </w:rPr>
            </w:pPr>
            <w:r>
              <w:rPr>
                <w:rFonts w:hint="eastAsia" w:hAnsi="仿宋"/>
                <w:sz w:val="20"/>
                <w:szCs w:val="20"/>
              </w:rPr>
              <w:t>风控体系架构</w:t>
            </w:r>
          </w:p>
        </w:tc>
      </w:tr>
      <w:tr w14:paraId="547A4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47E146FF">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769680A5">
            <w:pPr>
              <w:pStyle w:val="100"/>
              <w:rPr>
                <w:rFonts w:hAnsi="仿宋"/>
                <w:sz w:val="20"/>
                <w:szCs w:val="20"/>
              </w:rPr>
            </w:pPr>
            <w:r>
              <w:rPr>
                <w:rFonts w:hAnsi="仿宋"/>
                <w:sz w:val="20"/>
                <w:szCs w:val="20"/>
              </w:rPr>
              <w:t>2</w:t>
            </w:r>
          </w:p>
        </w:tc>
        <w:tc>
          <w:tcPr>
            <w:tcW w:w="6772" w:type="dxa"/>
            <w:tcBorders>
              <w:top w:val="single" w:color="000000" w:sz="4" w:space="0"/>
              <w:left w:val="single" w:color="000000" w:sz="4" w:space="0"/>
              <w:bottom w:val="single" w:color="000000" w:sz="4" w:space="0"/>
              <w:right w:val="single" w:color="000000" w:sz="4" w:space="0"/>
            </w:tcBorders>
            <w:vAlign w:val="center"/>
          </w:tcPr>
          <w:p w14:paraId="05660C65">
            <w:pPr>
              <w:pStyle w:val="100"/>
              <w:rPr>
                <w:rFonts w:hAnsi="仿宋"/>
                <w:sz w:val="20"/>
                <w:szCs w:val="20"/>
              </w:rPr>
            </w:pPr>
            <w:r>
              <w:rPr>
                <w:rFonts w:hint="eastAsia" w:hAnsi="仿宋"/>
                <w:sz w:val="20"/>
                <w:szCs w:val="20"/>
              </w:rPr>
              <w:t>操作风险</w:t>
            </w:r>
            <w:r>
              <w:rPr>
                <w:rFonts w:hAnsi="仿宋"/>
                <w:sz w:val="20"/>
                <w:szCs w:val="20"/>
              </w:rPr>
              <w:t>、</w:t>
            </w:r>
            <w:r>
              <w:rPr>
                <w:rFonts w:hint="eastAsia" w:hAnsi="仿宋"/>
                <w:sz w:val="20"/>
                <w:szCs w:val="20"/>
              </w:rPr>
              <w:t>市场风险</w:t>
            </w:r>
            <w:r>
              <w:rPr>
                <w:rFonts w:hAnsi="仿宋"/>
                <w:sz w:val="20"/>
                <w:szCs w:val="20"/>
              </w:rPr>
              <w:t>、</w:t>
            </w:r>
            <w:r>
              <w:rPr>
                <w:rFonts w:hint="eastAsia" w:hAnsi="仿宋"/>
                <w:sz w:val="20"/>
                <w:szCs w:val="20"/>
              </w:rPr>
              <w:t>流动性风险管理</w:t>
            </w:r>
          </w:p>
        </w:tc>
      </w:tr>
      <w:tr w14:paraId="69BF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5007757C">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505FB834">
            <w:pPr>
              <w:pStyle w:val="100"/>
              <w:rPr>
                <w:rFonts w:hAnsi="仿宋"/>
                <w:sz w:val="20"/>
                <w:szCs w:val="20"/>
              </w:rPr>
            </w:pPr>
            <w:r>
              <w:rPr>
                <w:rFonts w:hAnsi="仿宋"/>
                <w:sz w:val="20"/>
                <w:szCs w:val="20"/>
              </w:rPr>
              <w:t>3</w:t>
            </w:r>
          </w:p>
        </w:tc>
        <w:tc>
          <w:tcPr>
            <w:tcW w:w="6772" w:type="dxa"/>
            <w:tcBorders>
              <w:top w:val="single" w:color="000000" w:sz="4" w:space="0"/>
              <w:left w:val="single" w:color="000000" w:sz="4" w:space="0"/>
              <w:bottom w:val="single" w:color="000000" w:sz="4" w:space="0"/>
              <w:right w:val="single" w:color="000000" w:sz="4" w:space="0"/>
            </w:tcBorders>
            <w:vAlign w:val="center"/>
          </w:tcPr>
          <w:p w14:paraId="05702100">
            <w:pPr>
              <w:pStyle w:val="100"/>
              <w:rPr>
                <w:rFonts w:hAnsi="仿宋"/>
                <w:sz w:val="20"/>
                <w:szCs w:val="20"/>
              </w:rPr>
            </w:pPr>
            <w:r>
              <w:rPr>
                <w:rFonts w:hint="eastAsia" w:hAnsi="仿宋"/>
                <w:sz w:val="20"/>
                <w:szCs w:val="20"/>
              </w:rPr>
              <w:t>异常交易的监控及应对</w:t>
            </w:r>
          </w:p>
        </w:tc>
      </w:tr>
      <w:bookmarkEnd w:id="3472"/>
    </w:tbl>
    <w:p w14:paraId="2A83AC2C">
      <w:pPr>
        <w:spacing w:line="288" w:lineRule="auto"/>
        <w:jc w:val="left"/>
        <w:rPr>
          <w:rFonts w:ascii="黑体" w:hAnsi="华文细黑" w:eastAsia="黑体"/>
          <w:b/>
          <w:sz w:val="28"/>
          <w:szCs w:val="28"/>
        </w:rPr>
      </w:pPr>
    </w:p>
    <w:p w14:paraId="120967FB">
      <w:pPr>
        <w:spacing w:line="288" w:lineRule="auto"/>
        <w:jc w:val="left"/>
        <w:rPr>
          <w:rFonts w:ascii="黑体" w:hAnsi="华文细黑" w:eastAsia="黑体"/>
          <w:b/>
          <w:sz w:val="28"/>
          <w:szCs w:val="28"/>
        </w:rPr>
      </w:pPr>
      <w:r>
        <w:rPr>
          <w:rFonts w:hint="eastAsia" w:ascii="黑体" w:hAnsi="华文细黑" w:eastAsia="黑体"/>
          <w:b/>
          <w:sz w:val="28"/>
          <w:szCs w:val="28"/>
        </w:rPr>
        <w:t>四、技术系统</w:t>
      </w:r>
    </w:p>
    <w:tbl>
      <w:tblPr>
        <w:tblStyle w:val="43"/>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656"/>
        <w:gridCol w:w="6833"/>
      </w:tblGrid>
      <w:tr w14:paraId="2DF8F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tcBorders>
              <w:top w:val="single" w:color="000000" w:sz="4" w:space="0"/>
              <w:left w:val="single" w:color="000000" w:sz="4" w:space="0"/>
              <w:bottom w:val="single" w:color="000000" w:sz="4" w:space="0"/>
              <w:right w:val="single" w:color="000000" w:sz="4" w:space="0"/>
            </w:tcBorders>
            <w:vAlign w:val="center"/>
          </w:tcPr>
          <w:p w14:paraId="621F325C">
            <w:pPr>
              <w:pStyle w:val="100"/>
              <w:jc w:val="both"/>
              <w:rPr>
                <w:rFonts w:hAnsi="仿宋"/>
                <w:b/>
                <w:kern w:val="2"/>
                <w:sz w:val="20"/>
                <w:szCs w:val="20"/>
              </w:rPr>
            </w:pPr>
            <w:bookmarkStart w:id="3473" w:name="_Hlk107783635"/>
            <w:r>
              <w:rPr>
                <w:rFonts w:hint="eastAsia" w:hAnsi="仿宋"/>
                <w:b/>
                <w:sz w:val="20"/>
                <w:szCs w:val="20"/>
              </w:rPr>
              <w:t>检查项目</w:t>
            </w:r>
          </w:p>
        </w:tc>
        <w:tc>
          <w:tcPr>
            <w:tcW w:w="656" w:type="dxa"/>
            <w:tcBorders>
              <w:top w:val="single" w:color="000000" w:sz="4" w:space="0"/>
              <w:left w:val="single" w:color="000000" w:sz="4" w:space="0"/>
              <w:bottom w:val="single" w:color="000000" w:sz="4" w:space="0"/>
              <w:right w:val="single" w:color="000000" w:sz="4" w:space="0"/>
            </w:tcBorders>
            <w:vAlign w:val="center"/>
          </w:tcPr>
          <w:p w14:paraId="39DFC63B">
            <w:pPr>
              <w:pStyle w:val="100"/>
              <w:jc w:val="both"/>
              <w:rPr>
                <w:rFonts w:hAnsi="仿宋"/>
                <w:b/>
                <w:kern w:val="2"/>
                <w:sz w:val="20"/>
                <w:szCs w:val="20"/>
              </w:rPr>
            </w:pPr>
            <w:r>
              <w:rPr>
                <w:rFonts w:hint="eastAsia" w:hAnsi="仿宋"/>
                <w:b/>
                <w:sz w:val="20"/>
                <w:szCs w:val="20"/>
              </w:rPr>
              <w:t>编号</w:t>
            </w:r>
          </w:p>
        </w:tc>
        <w:tc>
          <w:tcPr>
            <w:tcW w:w="6833" w:type="dxa"/>
            <w:tcBorders>
              <w:top w:val="single" w:color="000000" w:sz="4" w:space="0"/>
              <w:left w:val="single" w:color="000000" w:sz="4" w:space="0"/>
              <w:bottom w:val="single" w:color="000000" w:sz="4" w:space="0"/>
              <w:right w:val="single" w:color="000000" w:sz="4" w:space="0"/>
            </w:tcBorders>
            <w:vAlign w:val="center"/>
          </w:tcPr>
          <w:p w14:paraId="131A3A8C">
            <w:pPr>
              <w:pStyle w:val="100"/>
              <w:jc w:val="both"/>
              <w:rPr>
                <w:rFonts w:hAnsi="仿宋"/>
                <w:b/>
                <w:kern w:val="2"/>
                <w:sz w:val="20"/>
                <w:szCs w:val="20"/>
              </w:rPr>
            </w:pPr>
            <w:r>
              <w:rPr>
                <w:rFonts w:hint="eastAsia" w:hAnsi="仿宋"/>
                <w:b/>
                <w:sz w:val="20"/>
                <w:szCs w:val="20"/>
              </w:rPr>
              <w:t>检查内容</w:t>
            </w:r>
          </w:p>
        </w:tc>
      </w:tr>
      <w:tr w14:paraId="4D2F6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restart"/>
            <w:tcBorders>
              <w:top w:val="single" w:color="000000" w:sz="4" w:space="0"/>
              <w:left w:val="single" w:color="000000" w:sz="4" w:space="0"/>
              <w:right w:val="single" w:color="000000" w:sz="4" w:space="0"/>
            </w:tcBorders>
            <w:vAlign w:val="center"/>
          </w:tcPr>
          <w:p w14:paraId="4CC39F6D">
            <w:pPr>
              <w:pStyle w:val="100"/>
              <w:rPr>
                <w:rFonts w:hAnsi="仿宋"/>
                <w:b/>
                <w:kern w:val="2"/>
                <w:sz w:val="20"/>
                <w:szCs w:val="20"/>
              </w:rPr>
            </w:pPr>
            <w:r>
              <w:rPr>
                <w:rFonts w:hint="eastAsia" w:hAnsi="仿宋"/>
                <w:b/>
                <w:sz w:val="20"/>
                <w:szCs w:val="20"/>
              </w:rPr>
              <w:t>技术系统</w:t>
            </w:r>
          </w:p>
          <w:p w14:paraId="6B96CE90">
            <w:pPr>
              <w:pStyle w:val="100"/>
              <w:rPr>
                <w:rFonts w:hAnsi="仿宋"/>
                <w:b/>
                <w:kern w:val="2"/>
                <w:sz w:val="20"/>
                <w:szCs w:val="20"/>
              </w:rPr>
            </w:pPr>
            <w:r>
              <w:rPr>
                <w:rFonts w:hint="eastAsia" w:hAnsi="仿宋"/>
                <w:b/>
                <w:sz w:val="20"/>
                <w:szCs w:val="20"/>
              </w:rPr>
              <w:t>（新债券交易系统/固收</w:t>
            </w:r>
            <w:r>
              <w:rPr>
                <w:rFonts w:hAnsi="仿宋"/>
                <w:b/>
                <w:sz w:val="20"/>
                <w:szCs w:val="20"/>
              </w:rPr>
              <w:t>EzDA/</w:t>
            </w:r>
            <w:r>
              <w:rPr>
                <w:rFonts w:hint="eastAsia" w:hAnsi="仿宋"/>
                <w:b/>
                <w:sz w:val="20"/>
                <w:szCs w:val="20"/>
              </w:rPr>
              <w:t>自动报价）</w:t>
            </w:r>
          </w:p>
        </w:tc>
        <w:tc>
          <w:tcPr>
            <w:tcW w:w="656" w:type="dxa"/>
            <w:tcBorders>
              <w:top w:val="single" w:color="000000" w:sz="4" w:space="0"/>
              <w:left w:val="single" w:color="000000" w:sz="4" w:space="0"/>
              <w:bottom w:val="single" w:color="000000" w:sz="4" w:space="0"/>
              <w:right w:val="single" w:color="000000" w:sz="4" w:space="0"/>
            </w:tcBorders>
            <w:vAlign w:val="center"/>
          </w:tcPr>
          <w:p w14:paraId="6FFE1C8B">
            <w:pPr>
              <w:pStyle w:val="100"/>
              <w:rPr>
                <w:rFonts w:hAnsi="仿宋"/>
                <w:kern w:val="2"/>
                <w:sz w:val="20"/>
                <w:szCs w:val="20"/>
              </w:rPr>
            </w:pPr>
            <w:r>
              <w:rPr>
                <w:rFonts w:hAnsi="仿宋"/>
                <w:sz w:val="20"/>
                <w:szCs w:val="20"/>
              </w:rPr>
              <w:t>1</w:t>
            </w:r>
          </w:p>
        </w:tc>
        <w:tc>
          <w:tcPr>
            <w:tcW w:w="6833" w:type="dxa"/>
            <w:tcBorders>
              <w:top w:val="single" w:color="000000" w:sz="4" w:space="0"/>
              <w:left w:val="single" w:color="000000" w:sz="4" w:space="0"/>
              <w:bottom w:val="single" w:color="000000" w:sz="4" w:space="0"/>
              <w:right w:val="single" w:color="000000" w:sz="4" w:space="0"/>
            </w:tcBorders>
            <w:vAlign w:val="center"/>
          </w:tcPr>
          <w:p w14:paraId="48FE5890">
            <w:pPr>
              <w:pStyle w:val="100"/>
              <w:rPr>
                <w:rFonts w:hAnsi="仿宋"/>
                <w:kern w:val="2"/>
                <w:sz w:val="20"/>
                <w:szCs w:val="20"/>
              </w:rPr>
            </w:pPr>
            <w:r>
              <w:rPr>
                <w:rFonts w:hint="eastAsia" w:hAnsi="仿宋"/>
                <w:sz w:val="20"/>
                <w:szCs w:val="20"/>
              </w:rPr>
              <w:t>系统建设方案</w:t>
            </w:r>
          </w:p>
        </w:tc>
      </w:tr>
      <w:tr w14:paraId="40985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7E979732">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4930887">
            <w:pPr>
              <w:pStyle w:val="100"/>
              <w:rPr>
                <w:rFonts w:hAnsi="仿宋"/>
                <w:kern w:val="2"/>
                <w:sz w:val="20"/>
                <w:szCs w:val="20"/>
              </w:rPr>
            </w:pPr>
            <w:r>
              <w:rPr>
                <w:rFonts w:hAnsi="仿宋"/>
                <w:sz w:val="20"/>
                <w:szCs w:val="20"/>
              </w:rPr>
              <w:t>2</w:t>
            </w:r>
          </w:p>
        </w:tc>
        <w:tc>
          <w:tcPr>
            <w:tcW w:w="6833" w:type="dxa"/>
            <w:tcBorders>
              <w:top w:val="single" w:color="000000" w:sz="4" w:space="0"/>
              <w:left w:val="single" w:color="000000" w:sz="4" w:space="0"/>
              <w:bottom w:val="single" w:color="000000" w:sz="4" w:space="0"/>
              <w:right w:val="single" w:color="000000" w:sz="4" w:space="0"/>
            </w:tcBorders>
            <w:vAlign w:val="center"/>
          </w:tcPr>
          <w:p w14:paraId="7971E963">
            <w:pPr>
              <w:pStyle w:val="100"/>
              <w:rPr>
                <w:rFonts w:hAnsi="仿宋"/>
                <w:kern w:val="2"/>
                <w:sz w:val="20"/>
                <w:szCs w:val="20"/>
              </w:rPr>
            </w:pPr>
            <w:r>
              <w:rPr>
                <w:rFonts w:hint="eastAsia" w:hAnsi="仿宋"/>
                <w:sz w:val="20"/>
                <w:szCs w:val="20"/>
              </w:rPr>
              <w:t>系统交付物（包括需求规格说明书、技术方案、程序清单、用户手册等）</w:t>
            </w:r>
          </w:p>
        </w:tc>
      </w:tr>
      <w:tr w14:paraId="29B2D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53" w:type="dxa"/>
            <w:vMerge w:val="continue"/>
            <w:tcBorders>
              <w:left w:val="single" w:color="000000" w:sz="4" w:space="0"/>
              <w:right w:val="single" w:color="000000" w:sz="4" w:space="0"/>
            </w:tcBorders>
            <w:vAlign w:val="center"/>
          </w:tcPr>
          <w:p w14:paraId="7A7012F4">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814DC03">
            <w:pPr>
              <w:pStyle w:val="100"/>
              <w:rPr>
                <w:rFonts w:hAnsi="仿宋"/>
                <w:kern w:val="2"/>
                <w:sz w:val="20"/>
                <w:szCs w:val="20"/>
              </w:rPr>
            </w:pPr>
            <w:r>
              <w:rPr>
                <w:rFonts w:hAnsi="仿宋"/>
                <w:sz w:val="20"/>
                <w:szCs w:val="20"/>
              </w:rPr>
              <w:t>3</w:t>
            </w:r>
          </w:p>
        </w:tc>
        <w:tc>
          <w:tcPr>
            <w:tcW w:w="6833" w:type="dxa"/>
            <w:tcBorders>
              <w:top w:val="single" w:color="000000" w:sz="4" w:space="0"/>
              <w:left w:val="single" w:color="000000" w:sz="4" w:space="0"/>
              <w:bottom w:val="single" w:color="000000" w:sz="4" w:space="0"/>
              <w:right w:val="single" w:color="000000" w:sz="4" w:space="0"/>
            </w:tcBorders>
            <w:vAlign w:val="center"/>
          </w:tcPr>
          <w:p w14:paraId="46C1F2F2">
            <w:pPr>
              <w:pStyle w:val="100"/>
              <w:rPr>
                <w:rFonts w:hAnsi="仿宋"/>
                <w:kern w:val="2"/>
                <w:sz w:val="20"/>
                <w:szCs w:val="20"/>
              </w:rPr>
            </w:pPr>
            <w:r>
              <w:rPr>
                <w:rFonts w:hint="eastAsia" w:hAnsi="仿宋"/>
                <w:sz w:val="20"/>
                <w:szCs w:val="20"/>
              </w:rPr>
              <w:t>系统配置和部署情况（包括硬件、软件、网络情况等）</w:t>
            </w:r>
          </w:p>
        </w:tc>
      </w:tr>
      <w:tr w14:paraId="42E9A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1D61ED6A">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328C3CC">
            <w:pPr>
              <w:pStyle w:val="100"/>
              <w:rPr>
                <w:rFonts w:hAnsi="仿宋"/>
                <w:kern w:val="2"/>
                <w:sz w:val="20"/>
                <w:szCs w:val="20"/>
              </w:rPr>
            </w:pPr>
            <w:r>
              <w:rPr>
                <w:rFonts w:hAnsi="仿宋"/>
                <w:sz w:val="20"/>
                <w:szCs w:val="20"/>
              </w:rPr>
              <w:t>4</w:t>
            </w:r>
          </w:p>
        </w:tc>
        <w:tc>
          <w:tcPr>
            <w:tcW w:w="6833" w:type="dxa"/>
            <w:tcBorders>
              <w:top w:val="single" w:color="000000" w:sz="4" w:space="0"/>
              <w:left w:val="single" w:color="000000" w:sz="4" w:space="0"/>
              <w:bottom w:val="single" w:color="000000" w:sz="4" w:space="0"/>
              <w:right w:val="single" w:color="000000" w:sz="4" w:space="0"/>
            </w:tcBorders>
            <w:vAlign w:val="center"/>
          </w:tcPr>
          <w:p w14:paraId="331E31FD">
            <w:pPr>
              <w:pStyle w:val="100"/>
              <w:rPr>
                <w:rFonts w:hAnsi="仿宋"/>
                <w:kern w:val="2"/>
                <w:sz w:val="20"/>
                <w:szCs w:val="20"/>
              </w:rPr>
            </w:pPr>
            <w:r>
              <w:rPr>
                <w:rFonts w:hint="eastAsia" w:hAnsi="仿宋"/>
                <w:sz w:val="20"/>
                <w:szCs w:val="20"/>
              </w:rPr>
              <w:t>系统测试情况（包括功能测试、性能测试等）</w:t>
            </w:r>
          </w:p>
        </w:tc>
      </w:tr>
      <w:tr w14:paraId="75467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5FC3EA1D">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E9E5463">
            <w:pPr>
              <w:pStyle w:val="100"/>
              <w:rPr>
                <w:rFonts w:hAnsi="仿宋"/>
                <w:kern w:val="2"/>
                <w:sz w:val="20"/>
                <w:szCs w:val="20"/>
              </w:rPr>
            </w:pPr>
            <w:r>
              <w:rPr>
                <w:rFonts w:hAnsi="仿宋"/>
                <w:sz w:val="20"/>
                <w:szCs w:val="20"/>
              </w:rPr>
              <w:t>5</w:t>
            </w:r>
          </w:p>
        </w:tc>
        <w:tc>
          <w:tcPr>
            <w:tcW w:w="6833" w:type="dxa"/>
            <w:tcBorders>
              <w:top w:val="single" w:color="000000" w:sz="4" w:space="0"/>
              <w:left w:val="single" w:color="000000" w:sz="4" w:space="0"/>
              <w:bottom w:val="single" w:color="000000" w:sz="4" w:space="0"/>
              <w:right w:val="single" w:color="000000" w:sz="4" w:space="0"/>
            </w:tcBorders>
            <w:vAlign w:val="center"/>
          </w:tcPr>
          <w:p w14:paraId="1E1DE115">
            <w:pPr>
              <w:pStyle w:val="100"/>
              <w:rPr>
                <w:rFonts w:hAnsi="仿宋"/>
                <w:kern w:val="2"/>
                <w:sz w:val="20"/>
                <w:szCs w:val="20"/>
              </w:rPr>
            </w:pPr>
            <w:r>
              <w:rPr>
                <w:rFonts w:hint="eastAsia" w:hAnsi="仿宋"/>
                <w:sz w:val="20"/>
                <w:szCs w:val="20"/>
              </w:rPr>
              <w:t>运维团队情况（包括人员配备等）</w:t>
            </w:r>
          </w:p>
        </w:tc>
      </w:tr>
      <w:tr w14:paraId="5D938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153" w:type="dxa"/>
            <w:vMerge w:val="continue"/>
            <w:tcBorders>
              <w:left w:val="single" w:color="000000" w:sz="4" w:space="0"/>
              <w:right w:val="single" w:color="000000" w:sz="4" w:space="0"/>
            </w:tcBorders>
            <w:vAlign w:val="center"/>
          </w:tcPr>
          <w:p w14:paraId="72DF0C30">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5759495">
            <w:pPr>
              <w:pStyle w:val="100"/>
              <w:rPr>
                <w:rFonts w:hAnsi="仿宋"/>
                <w:kern w:val="2"/>
                <w:sz w:val="20"/>
                <w:szCs w:val="20"/>
              </w:rPr>
            </w:pPr>
            <w:r>
              <w:rPr>
                <w:rFonts w:hAnsi="仿宋"/>
                <w:sz w:val="20"/>
                <w:szCs w:val="20"/>
              </w:rPr>
              <w:t>6</w:t>
            </w:r>
          </w:p>
        </w:tc>
        <w:tc>
          <w:tcPr>
            <w:tcW w:w="6833" w:type="dxa"/>
            <w:tcBorders>
              <w:top w:val="single" w:color="000000" w:sz="4" w:space="0"/>
              <w:left w:val="single" w:color="000000" w:sz="4" w:space="0"/>
              <w:bottom w:val="single" w:color="000000" w:sz="4" w:space="0"/>
              <w:right w:val="single" w:color="000000" w:sz="4" w:space="0"/>
            </w:tcBorders>
            <w:vAlign w:val="center"/>
          </w:tcPr>
          <w:p w14:paraId="4E3F432E">
            <w:pPr>
              <w:pStyle w:val="100"/>
              <w:rPr>
                <w:rFonts w:hAnsi="仿宋"/>
                <w:kern w:val="2"/>
                <w:sz w:val="20"/>
                <w:szCs w:val="20"/>
              </w:rPr>
            </w:pPr>
            <w:r>
              <w:rPr>
                <w:rFonts w:hint="eastAsia" w:hAnsi="仿宋"/>
                <w:sz w:val="20"/>
                <w:szCs w:val="20"/>
              </w:rPr>
              <w:t>运维流程情况</w:t>
            </w:r>
          </w:p>
        </w:tc>
      </w:tr>
      <w:tr w14:paraId="5EAA6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1153" w:type="dxa"/>
            <w:vMerge w:val="continue"/>
            <w:tcBorders>
              <w:left w:val="single" w:color="000000" w:sz="4" w:space="0"/>
              <w:right w:val="single" w:color="000000" w:sz="4" w:space="0"/>
            </w:tcBorders>
            <w:vAlign w:val="center"/>
          </w:tcPr>
          <w:p w14:paraId="136CE26F">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55D0886">
            <w:pPr>
              <w:pStyle w:val="100"/>
              <w:rPr>
                <w:rFonts w:hAnsi="仿宋"/>
                <w:kern w:val="2"/>
                <w:sz w:val="20"/>
                <w:szCs w:val="20"/>
              </w:rPr>
            </w:pPr>
            <w:r>
              <w:rPr>
                <w:rFonts w:hAnsi="仿宋"/>
                <w:sz w:val="20"/>
                <w:szCs w:val="20"/>
              </w:rPr>
              <w:t>7</w:t>
            </w:r>
          </w:p>
        </w:tc>
        <w:tc>
          <w:tcPr>
            <w:tcW w:w="6833" w:type="dxa"/>
            <w:tcBorders>
              <w:top w:val="single" w:color="000000" w:sz="4" w:space="0"/>
              <w:left w:val="single" w:color="000000" w:sz="4" w:space="0"/>
              <w:bottom w:val="single" w:color="000000" w:sz="4" w:space="0"/>
              <w:right w:val="single" w:color="000000" w:sz="4" w:space="0"/>
            </w:tcBorders>
            <w:vAlign w:val="center"/>
          </w:tcPr>
          <w:p w14:paraId="525C1C92">
            <w:pPr>
              <w:pStyle w:val="100"/>
              <w:rPr>
                <w:rFonts w:hAnsi="仿宋"/>
                <w:kern w:val="2"/>
                <w:sz w:val="20"/>
                <w:szCs w:val="20"/>
              </w:rPr>
            </w:pPr>
            <w:r>
              <w:rPr>
                <w:rFonts w:hint="eastAsia" w:hAnsi="仿宋"/>
                <w:sz w:val="20"/>
                <w:szCs w:val="20"/>
              </w:rPr>
              <w:t>有系统升级、变更的相关管理规范；</w:t>
            </w:r>
          </w:p>
        </w:tc>
      </w:tr>
      <w:bookmarkEnd w:id="3473"/>
    </w:tbl>
    <w:p w14:paraId="4244042E">
      <w:pPr>
        <w:widowControl/>
        <w:jc w:val="left"/>
        <w:rPr>
          <w:rFonts w:hAnsi="仿宋"/>
          <w:sz w:val="20"/>
          <w:szCs w:val="20"/>
        </w:rPr>
      </w:pPr>
    </w:p>
    <w:p w14:paraId="31B6F429">
      <w:pPr>
        <w:widowControl/>
        <w:jc w:val="left"/>
        <w:outlineLvl w:val="1"/>
        <w:rPr>
          <w:rFonts w:ascii="仿宋_GB2312" w:eastAsia="仿宋_GB2312"/>
          <w:b/>
          <w:sz w:val="30"/>
          <w:szCs w:val="30"/>
        </w:rPr>
      </w:pPr>
      <w:r>
        <w:rPr>
          <w:rFonts w:hAnsi="仿宋"/>
          <w:sz w:val="20"/>
          <w:szCs w:val="20"/>
        </w:rPr>
        <w:br w:type="page"/>
      </w:r>
      <w:bookmarkStart w:id="3474" w:name="_Toc151137094"/>
      <w:r>
        <w:rPr>
          <w:rFonts w:hint="eastAsia" w:ascii="仿宋_GB2312" w:hAnsi="黑体" w:eastAsia="仿宋_GB2312"/>
          <w:b/>
          <w:sz w:val="30"/>
          <w:szCs w:val="30"/>
        </w:rPr>
        <w:t>附件11 债券基准做市业务方案</w:t>
      </w:r>
      <w:bookmarkEnd w:id="3474"/>
    </w:p>
    <w:p w14:paraId="6AE95E60">
      <w:pPr>
        <w:spacing w:line="600" w:lineRule="exact"/>
        <w:jc w:val="center"/>
        <w:rPr>
          <w:rFonts w:ascii="黑体" w:hAnsi="黑体"/>
          <w:b/>
          <w:sz w:val="44"/>
          <w:szCs w:val="44"/>
        </w:rPr>
      </w:pPr>
    </w:p>
    <w:p w14:paraId="32A23916">
      <w:pPr>
        <w:spacing w:line="600" w:lineRule="exact"/>
        <w:jc w:val="center"/>
        <w:rPr>
          <w:rFonts w:ascii="黑体" w:hAnsi="黑体" w:eastAsia="黑体" w:cs="黑体"/>
          <w:sz w:val="44"/>
          <w:szCs w:val="44"/>
        </w:rPr>
      </w:pPr>
      <w:r>
        <w:rPr>
          <w:rFonts w:hint="eastAsia" w:ascii="黑体" w:hAnsi="黑体" w:eastAsia="黑体" w:cs="黑体"/>
          <w:b/>
          <w:sz w:val="44"/>
          <w:szCs w:val="44"/>
        </w:rPr>
        <w:t>债券基准做市业务方案</w:t>
      </w:r>
    </w:p>
    <w:p w14:paraId="65B5E946">
      <w:pPr>
        <w:spacing w:line="600" w:lineRule="exact"/>
        <w:ind w:firstLine="880"/>
        <w:jc w:val="center"/>
        <w:rPr>
          <w:rFonts w:ascii="仿宋_GB2312" w:eastAsia="仿宋_GB2312"/>
          <w:kern w:val="28"/>
          <w:sz w:val="44"/>
          <w:szCs w:val="44"/>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42"/>
        <w:gridCol w:w="709"/>
        <w:gridCol w:w="464"/>
        <w:gridCol w:w="47"/>
        <w:gridCol w:w="337"/>
        <w:gridCol w:w="913"/>
        <w:gridCol w:w="364"/>
        <w:gridCol w:w="1004"/>
        <w:gridCol w:w="415"/>
        <w:gridCol w:w="680"/>
        <w:gridCol w:w="579"/>
        <w:gridCol w:w="1583"/>
      </w:tblGrid>
      <w:tr w14:paraId="4844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5" w:type="pct"/>
            <w:gridSpan w:val="10"/>
            <w:vAlign w:val="center"/>
          </w:tcPr>
          <w:p w14:paraId="788BBEDD">
            <w:pPr>
              <w:rPr>
                <w:rFonts w:ascii="仿宋_GB2312" w:eastAsia="仿宋_GB2312"/>
                <w:sz w:val="24"/>
                <w:szCs w:val="24"/>
              </w:rPr>
            </w:pPr>
            <w:r>
              <w:rPr>
                <w:rFonts w:hint="eastAsia" w:ascii="仿宋_GB2312" w:eastAsia="仿宋_GB2312"/>
                <w:sz w:val="24"/>
                <w:szCs w:val="24"/>
              </w:rPr>
              <w:t>申请人全称：</w:t>
            </w:r>
          </w:p>
        </w:tc>
        <w:tc>
          <w:tcPr>
            <w:tcW w:w="1684" w:type="pct"/>
            <w:gridSpan w:val="3"/>
            <w:vAlign w:val="center"/>
          </w:tcPr>
          <w:p w14:paraId="35FB8963">
            <w:pPr>
              <w:rPr>
                <w:rFonts w:ascii="仿宋_GB2312" w:eastAsia="仿宋_GB2312"/>
                <w:sz w:val="24"/>
                <w:szCs w:val="24"/>
              </w:rPr>
            </w:pPr>
            <w:r>
              <w:rPr>
                <w:rFonts w:hint="eastAsia" w:ascii="仿宋_GB2312" w:eastAsia="仿宋_GB2312"/>
                <w:sz w:val="24"/>
                <w:szCs w:val="24"/>
              </w:rPr>
              <w:t>电话：</w:t>
            </w:r>
          </w:p>
        </w:tc>
      </w:tr>
      <w:tr w14:paraId="6DDA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5" w:type="pct"/>
            <w:gridSpan w:val="10"/>
            <w:vAlign w:val="center"/>
          </w:tcPr>
          <w:p w14:paraId="7DF94A80">
            <w:pPr>
              <w:rPr>
                <w:rFonts w:ascii="仿宋_GB2312" w:eastAsia="仿宋_GB2312"/>
                <w:sz w:val="24"/>
                <w:szCs w:val="24"/>
              </w:rPr>
            </w:pPr>
            <w:r>
              <w:rPr>
                <w:rFonts w:hint="eastAsia" w:ascii="仿宋_GB2312" w:eastAsia="仿宋_GB2312"/>
                <w:sz w:val="24"/>
                <w:szCs w:val="24"/>
              </w:rPr>
              <w:t xml:space="preserve">公司地址： </w:t>
            </w:r>
          </w:p>
        </w:tc>
        <w:tc>
          <w:tcPr>
            <w:tcW w:w="1684" w:type="pct"/>
            <w:gridSpan w:val="3"/>
            <w:vAlign w:val="center"/>
          </w:tcPr>
          <w:p w14:paraId="2A8D8CA2">
            <w:pPr>
              <w:rPr>
                <w:rFonts w:ascii="仿宋_GB2312" w:eastAsia="仿宋_GB2312"/>
                <w:sz w:val="24"/>
                <w:szCs w:val="24"/>
              </w:rPr>
            </w:pPr>
            <w:r>
              <w:rPr>
                <w:rFonts w:hint="eastAsia" w:ascii="仿宋_GB2312" w:eastAsia="仿宋_GB2312"/>
                <w:sz w:val="24"/>
                <w:szCs w:val="24"/>
              </w:rPr>
              <w:t>传真：</w:t>
            </w:r>
          </w:p>
        </w:tc>
      </w:tr>
      <w:tr w14:paraId="7CB0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90" w:type="pct"/>
            <w:gridSpan w:val="4"/>
            <w:vAlign w:val="center"/>
          </w:tcPr>
          <w:p w14:paraId="14D9261D">
            <w:pPr>
              <w:rPr>
                <w:rFonts w:ascii="仿宋_GB2312" w:eastAsia="仿宋_GB2312"/>
                <w:sz w:val="24"/>
                <w:szCs w:val="24"/>
              </w:rPr>
            </w:pPr>
            <w:r>
              <w:rPr>
                <w:rFonts w:hint="eastAsia" w:ascii="仿宋_GB2312" w:eastAsia="仿宋_GB2312"/>
                <w:sz w:val="24"/>
                <w:szCs w:val="24"/>
              </w:rPr>
              <w:t>债券投资者类型</w:t>
            </w:r>
          </w:p>
        </w:tc>
        <w:tc>
          <w:tcPr>
            <w:tcW w:w="3509" w:type="pct"/>
            <w:gridSpan w:val="9"/>
            <w:vAlign w:val="center"/>
          </w:tcPr>
          <w:p w14:paraId="587818F7">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47B3BAD5">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B89BC">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42BC4E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r>
              <w:rPr>
                <w:rFonts w:ascii="仿宋_GB2312" w:eastAsia="仿宋_GB2312"/>
                <w:sz w:val="24"/>
                <w:szCs w:val="24"/>
              </w:rPr>
              <w:t xml:space="preserve"> </w:t>
            </w:r>
          </w:p>
        </w:tc>
      </w:tr>
      <w:tr w14:paraId="4D28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0" w:type="pct"/>
            <w:gridSpan w:val="4"/>
            <w:tcBorders>
              <w:bottom w:val="single" w:color="auto" w:sz="4" w:space="0"/>
            </w:tcBorders>
            <w:vAlign w:val="center"/>
          </w:tcPr>
          <w:p w14:paraId="5785A51C">
            <w:pPr>
              <w:rPr>
                <w:rFonts w:ascii="仿宋_GB2312" w:eastAsia="仿宋_GB2312"/>
                <w:sz w:val="24"/>
                <w:szCs w:val="24"/>
              </w:rPr>
            </w:pPr>
            <w:r>
              <w:rPr>
                <w:rFonts w:hint="eastAsia" w:ascii="仿宋_GB2312" w:eastAsia="仿宋_GB2312"/>
                <w:sz w:val="24"/>
                <w:szCs w:val="24"/>
              </w:rPr>
              <w:t>最近一个会计年度注册资本（万元）</w:t>
            </w:r>
          </w:p>
        </w:tc>
        <w:tc>
          <w:tcPr>
            <w:tcW w:w="985" w:type="pct"/>
            <w:gridSpan w:val="4"/>
            <w:tcBorders>
              <w:bottom w:val="single" w:color="auto" w:sz="4" w:space="0"/>
            </w:tcBorders>
            <w:vAlign w:val="center"/>
          </w:tcPr>
          <w:p w14:paraId="191E5C3A">
            <w:pPr>
              <w:rPr>
                <w:rFonts w:ascii="仿宋_GB2312" w:eastAsia="仿宋_GB2312"/>
                <w:sz w:val="24"/>
                <w:szCs w:val="24"/>
              </w:rPr>
            </w:pPr>
          </w:p>
        </w:tc>
        <w:tc>
          <w:tcPr>
            <w:tcW w:w="1242" w:type="pct"/>
            <w:gridSpan w:val="3"/>
            <w:tcBorders>
              <w:bottom w:val="single" w:color="auto" w:sz="4" w:space="0"/>
            </w:tcBorders>
            <w:vAlign w:val="center"/>
          </w:tcPr>
          <w:p w14:paraId="1590CD40">
            <w:pPr>
              <w:rPr>
                <w:rFonts w:ascii="仿宋_GB2312" w:eastAsia="仿宋_GB2312"/>
                <w:sz w:val="24"/>
                <w:szCs w:val="24"/>
              </w:rPr>
            </w:pPr>
            <w:r>
              <w:rPr>
                <w:rFonts w:hint="eastAsia" w:ascii="仿宋_GB2312" w:eastAsia="仿宋_GB2312"/>
                <w:sz w:val="24"/>
                <w:szCs w:val="24"/>
              </w:rPr>
              <w:t>最近一个会计年度净资本（万元）</w:t>
            </w:r>
          </w:p>
        </w:tc>
        <w:tc>
          <w:tcPr>
            <w:tcW w:w="1281" w:type="pct"/>
            <w:gridSpan w:val="2"/>
            <w:tcBorders>
              <w:bottom w:val="single" w:color="auto" w:sz="4" w:space="0"/>
            </w:tcBorders>
            <w:vAlign w:val="center"/>
          </w:tcPr>
          <w:p w14:paraId="4E608D19">
            <w:pPr>
              <w:rPr>
                <w:rFonts w:ascii="仿宋_GB2312" w:eastAsia="仿宋_GB2312"/>
                <w:sz w:val="24"/>
                <w:szCs w:val="24"/>
              </w:rPr>
            </w:pPr>
          </w:p>
        </w:tc>
      </w:tr>
      <w:tr w14:paraId="5230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73F92C21">
            <w:pPr>
              <w:rPr>
                <w:rFonts w:ascii="仿宋_GB2312" w:eastAsia="仿宋_GB2312"/>
                <w:sz w:val="24"/>
                <w:szCs w:val="24"/>
              </w:rPr>
            </w:pPr>
            <w:r>
              <w:rPr>
                <w:rFonts w:hint="eastAsia" w:ascii="仿宋_GB2312" w:eastAsia="仿宋_GB2312"/>
                <w:sz w:val="24"/>
                <w:szCs w:val="24"/>
              </w:rPr>
              <w:t>最近2年交易所市场债券现券年交易量（亿元）</w:t>
            </w:r>
          </w:p>
        </w:tc>
        <w:tc>
          <w:tcPr>
            <w:tcW w:w="985" w:type="pct"/>
            <w:gridSpan w:val="4"/>
            <w:tcBorders>
              <w:bottom w:val="single" w:color="auto" w:sz="4" w:space="0"/>
            </w:tcBorders>
            <w:vAlign w:val="center"/>
          </w:tcPr>
          <w:p w14:paraId="7CBFD973">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548711F0">
            <w:pPr>
              <w:rPr>
                <w:rFonts w:ascii="仿宋_GB2312" w:eastAsia="仿宋_GB2312"/>
                <w:sz w:val="24"/>
                <w:szCs w:val="24"/>
              </w:rPr>
            </w:pPr>
            <w:r>
              <w:rPr>
                <w:rFonts w:hint="eastAsia" w:ascii="仿宋_GB2312" w:eastAsia="仿宋_GB2312"/>
                <w:sz w:val="24"/>
                <w:szCs w:val="24"/>
              </w:rPr>
              <w:t>最近2年交易所市场债券现券年日均持仓量（亿元）</w:t>
            </w:r>
          </w:p>
        </w:tc>
        <w:tc>
          <w:tcPr>
            <w:tcW w:w="1281" w:type="pct"/>
            <w:gridSpan w:val="2"/>
            <w:vAlign w:val="center"/>
          </w:tcPr>
          <w:p w14:paraId="603116CD">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6FF7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2FE28CEE">
            <w:pPr>
              <w:rPr>
                <w:rFonts w:ascii="仿宋_GB2312" w:eastAsia="仿宋_GB2312"/>
                <w:sz w:val="24"/>
                <w:szCs w:val="24"/>
              </w:rPr>
            </w:pPr>
          </w:p>
        </w:tc>
        <w:tc>
          <w:tcPr>
            <w:tcW w:w="985" w:type="pct"/>
            <w:gridSpan w:val="4"/>
            <w:tcBorders>
              <w:bottom w:val="single" w:color="auto" w:sz="4" w:space="0"/>
            </w:tcBorders>
            <w:vAlign w:val="center"/>
          </w:tcPr>
          <w:p w14:paraId="6F0843BE">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493A7303">
            <w:pPr>
              <w:rPr>
                <w:rFonts w:ascii="仿宋_GB2312" w:eastAsia="仿宋_GB2312"/>
                <w:sz w:val="24"/>
                <w:szCs w:val="24"/>
              </w:rPr>
            </w:pPr>
          </w:p>
        </w:tc>
        <w:tc>
          <w:tcPr>
            <w:tcW w:w="1281" w:type="pct"/>
            <w:gridSpan w:val="2"/>
            <w:tcBorders>
              <w:bottom w:val="single" w:color="auto" w:sz="4" w:space="0"/>
            </w:tcBorders>
            <w:vAlign w:val="center"/>
          </w:tcPr>
          <w:p w14:paraId="6F28F3EA">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3455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29D4C3C4">
            <w:pPr>
              <w:rPr>
                <w:rFonts w:ascii="仿宋_GB2312" w:eastAsia="仿宋_GB2312"/>
                <w:sz w:val="24"/>
                <w:szCs w:val="24"/>
              </w:rPr>
            </w:pPr>
            <w:r>
              <w:rPr>
                <w:rFonts w:hint="eastAsia" w:ascii="仿宋_GB2312" w:eastAsia="仿宋_GB2312"/>
                <w:sz w:val="24"/>
                <w:szCs w:val="24"/>
              </w:rPr>
              <w:t>最近2年银行间市场债券现券年交易量（亿元）</w:t>
            </w:r>
          </w:p>
        </w:tc>
        <w:tc>
          <w:tcPr>
            <w:tcW w:w="985" w:type="pct"/>
            <w:gridSpan w:val="4"/>
            <w:tcBorders>
              <w:bottom w:val="single" w:color="auto" w:sz="4" w:space="0"/>
            </w:tcBorders>
            <w:vAlign w:val="center"/>
          </w:tcPr>
          <w:p w14:paraId="32805764">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4EFC6DCB">
            <w:pPr>
              <w:rPr>
                <w:rFonts w:ascii="仿宋_GB2312" w:eastAsia="仿宋_GB2312"/>
                <w:sz w:val="24"/>
                <w:szCs w:val="24"/>
              </w:rPr>
            </w:pPr>
            <w:r>
              <w:rPr>
                <w:rFonts w:hint="eastAsia" w:ascii="仿宋_GB2312" w:eastAsia="仿宋_GB2312"/>
                <w:sz w:val="24"/>
                <w:szCs w:val="24"/>
              </w:rPr>
              <w:t>最近2年银行间市场债券现券年日均持仓量（亿元）</w:t>
            </w:r>
          </w:p>
        </w:tc>
        <w:tc>
          <w:tcPr>
            <w:tcW w:w="1281" w:type="pct"/>
            <w:gridSpan w:val="2"/>
            <w:vAlign w:val="center"/>
          </w:tcPr>
          <w:p w14:paraId="4C44296C">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1616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06CAFB74">
            <w:pPr>
              <w:rPr>
                <w:rFonts w:ascii="仿宋_GB2312" w:eastAsia="仿宋_GB2312"/>
                <w:sz w:val="24"/>
                <w:szCs w:val="24"/>
              </w:rPr>
            </w:pPr>
          </w:p>
        </w:tc>
        <w:tc>
          <w:tcPr>
            <w:tcW w:w="985" w:type="pct"/>
            <w:gridSpan w:val="4"/>
            <w:tcBorders>
              <w:bottom w:val="single" w:color="auto" w:sz="4" w:space="0"/>
            </w:tcBorders>
            <w:vAlign w:val="center"/>
          </w:tcPr>
          <w:p w14:paraId="2E88A60B">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16A246C8">
            <w:pPr>
              <w:rPr>
                <w:rFonts w:ascii="仿宋_GB2312" w:eastAsia="仿宋_GB2312"/>
                <w:sz w:val="24"/>
                <w:szCs w:val="24"/>
              </w:rPr>
            </w:pPr>
          </w:p>
        </w:tc>
        <w:tc>
          <w:tcPr>
            <w:tcW w:w="1281" w:type="pct"/>
            <w:gridSpan w:val="2"/>
            <w:tcBorders>
              <w:bottom w:val="single" w:color="auto" w:sz="4" w:space="0"/>
            </w:tcBorders>
            <w:vAlign w:val="center"/>
          </w:tcPr>
          <w:p w14:paraId="7910A099">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6EE5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72846DA2">
            <w:pPr>
              <w:rPr>
                <w:rFonts w:ascii="仿宋_GB2312" w:eastAsia="仿宋_GB2312"/>
                <w:sz w:val="24"/>
                <w:szCs w:val="24"/>
              </w:rPr>
            </w:pPr>
            <w:r>
              <w:rPr>
                <w:rFonts w:hint="eastAsia" w:ascii="仿宋_GB2312" w:eastAsia="仿宋_GB2312"/>
                <w:sz w:val="24"/>
                <w:szCs w:val="24"/>
              </w:rPr>
              <w:t>证券或资金违约情况说明</w:t>
            </w:r>
          </w:p>
        </w:tc>
        <w:tc>
          <w:tcPr>
            <w:tcW w:w="4288" w:type="pct"/>
            <w:gridSpan w:val="12"/>
            <w:tcBorders>
              <w:bottom w:val="single" w:color="auto" w:sz="4" w:space="0"/>
            </w:tcBorders>
            <w:vAlign w:val="center"/>
          </w:tcPr>
          <w:p w14:paraId="34D07BF5">
            <w:pPr>
              <w:rPr>
                <w:rFonts w:ascii="仿宋_GB2312" w:eastAsia="仿宋_GB2312"/>
                <w:sz w:val="24"/>
                <w:szCs w:val="24"/>
              </w:rPr>
            </w:pPr>
            <w:r>
              <w:rPr>
                <w:rFonts w:hint="eastAsia" w:ascii="仿宋_GB2312" w:eastAsia="仿宋_GB2312"/>
                <w:sz w:val="24"/>
                <w:szCs w:val="24"/>
              </w:rPr>
              <w:t>近两年是否发生过监管机构关注的证券或资金交收违约事件（包括交易所及银行间债券市场）。如有，请说明相关情况。</w:t>
            </w:r>
          </w:p>
        </w:tc>
      </w:tr>
      <w:tr w14:paraId="09A2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54782FD8">
            <w:pPr>
              <w:rPr>
                <w:rFonts w:ascii="仿宋_GB2312" w:eastAsia="仿宋_GB2312"/>
                <w:sz w:val="24"/>
                <w:szCs w:val="24"/>
              </w:rPr>
            </w:pPr>
            <w:r>
              <w:rPr>
                <w:rFonts w:hint="eastAsia" w:ascii="仿宋_GB2312" w:eastAsia="仿宋_GB2312"/>
                <w:sz w:val="24"/>
                <w:szCs w:val="24"/>
              </w:rPr>
              <w:t>合规情况说明</w:t>
            </w:r>
          </w:p>
        </w:tc>
        <w:tc>
          <w:tcPr>
            <w:tcW w:w="4288" w:type="pct"/>
            <w:gridSpan w:val="12"/>
            <w:tcBorders>
              <w:bottom w:val="single" w:color="auto" w:sz="4" w:space="0"/>
            </w:tcBorders>
            <w:vAlign w:val="center"/>
          </w:tcPr>
          <w:p w14:paraId="6BEF5112">
            <w:pPr>
              <w:rPr>
                <w:rFonts w:ascii="仿宋_GB2312" w:eastAsia="仿宋_GB2312"/>
                <w:sz w:val="24"/>
                <w:szCs w:val="24"/>
              </w:rPr>
            </w:pPr>
            <w:r>
              <w:rPr>
                <w:rFonts w:hint="eastAsia" w:ascii="仿宋_GB2312" w:eastAsia="仿宋_GB2312"/>
                <w:sz w:val="24"/>
                <w:szCs w:val="24"/>
              </w:rPr>
              <w:t>近两年</w:t>
            </w:r>
            <w:r>
              <w:rPr>
                <w:rFonts w:ascii="仿宋_GB2312" w:eastAsia="仿宋_GB2312"/>
                <w:sz w:val="24"/>
                <w:szCs w:val="24"/>
              </w:rPr>
              <w:t>是否</w:t>
            </w:r>
            <w:r>
              <w:rPr>
                <w:rFonts w:hint="eastAsia" w:ascii="仿宋_GB2312" w:eastAsia="仿宋_GB2312"/>
                <w:sz w:val="24"/>
                <w:szCs w:val="24"/>
              </w:rPr>
              <w:t>因为违法或重大违规受到处罚（包括交易所及银行间债券市场）。</w:t>
            </w:r>
            <w:r>
              <w:rPr>
                <w:rFonts w:ascii="仿宋_GB2312" w:eastAsia="仿宋_GB2312"/>
                <w:sz w:val="24"/>
                <w:szCs w:val="24"/>
              </w:rPr>
              <w:t>如有，</w:t>
            </w:r>
            <w:r>
              <w:rPr>
                <w:rFonts w:hint="eastAsia" w:ascii="仿宋_GB2312" w:eastAsia="仿宋_GB2312"/>
                <w:sz w:val="24"/>
                <w:szCs w:val="24"/>
              </w:rPr>
              <w:t>请</w:t>
            </w:r>
            <w:r>
              <w:rPr>
                <w:rFonts w:ascii="仿宋_GB2312" w:eastAsia="仿宋_GB2312"/>
                <w:sz w:val="24"/>
                <w:szCs w:val="24"/>
              </w:rPr>
              <w:t>说明相关情况。</w:t>
            </w:r>
          </w:p>
        </w:tc>
      </w:tr>
      <w:tr w14:paraId="1F7A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18D1AFDA">
            <w:pPr>
              <w:rPr>
                <w:rFonts w:ascii="仿宋_GB2312" w:eastAsia="仿宋_GB2312"/>
                <w:sz w:val="24"/>
                <w:szCs w:val="24"/>
              </w:rPr>
            </w:pPr>
            <w:r>
              <w:rPr>
                <w:rFonts w:hint="eastAsia" w:ascii="仿宋_GB2312" w:eastAsia="仿宋_GB2312"/>
                <w:sz w:val="24"/>
                <w:szCs w:val="24"/>
              </w:rPr>
              <w:t>做市业务负责人</w:t>
            </w:r>
          </w:p>
        </w:tc>
        <w:tc>
          <w:tcPr>
            <w:tcW w:w="504" w:type="pct"/>
            <w:gridSpan w:val="2"/>
            <w:vAlign w:val="center"/>
          </w:tcPr>
          <w:p w14:paraId="16F8EF76">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B2F793B">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6685634C">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71C81D42">
            <w:pPr>
              <w:ind w:firstLine="26" w:firstLineChars="11"/>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1B7D401A">
            <w:pPr>
              <w:ind w:firstLine="26" w:firstLineChars="11"/>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5E541D2F">
            <w:pPr>
              <w:ind w:firstLine="26" w:firstLineChars="11"/>
              <w:rPr>
                <w:rFonts w:ascii="仿宋_GB2312" w:eastAsia="仿宋_GB2312"/>
                <w:sz w:val="24"/>
                <w:szCs w:val="24"/>
              </w:rPr>
            </w:pPr>
            <w:r>
              <w:rPr>
                <w:rFonts w:ascii="仿宋_GB2312" w:eastAsia="仿宋_GB2312"/>
                <w:sz w:val="24"/>
                <w:szCs w:val="24"/>
              </w:rPr>
              <w:t>E-mail</w:t>
            </w:r>
          </w:p>
        </w:tc>
      </w:tr>
      <w:tr w14:paraId="08B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0A5BB3AF">
            <w:pPr>
              <w:rPr>
                <w:rFonts w:ascii="仿宋_GB2312" w:eastAsia="仿宋_GB2312"/>
                <w:sz w:val="24"/>
                <w:szCs w:val="24"/>
              </w:rPr>
            </w:pPr>
          </w:p>
        </w:tc>
        <w:tc>
          <w:tcPr>
            <w:tcW w:w="504" w:type="pct"/>
            <w:gridSpan w:val="2"/>
            <w:vAlign w:val="center"/>
          </w:tcPr>
          <w:p w14:paraId="7438BEF9">
            <w:pPr>
              <w:rPr>
                <w:rFonts w:ascii="仿宋_GB2312" w:eastAsia="仿宋_GB2312"/>
                <w:sz w:val="24"/>
                <w:szCs w:val="24"/>
              </w:rPr>
            </w:pPr>
          </w:p>
        </w:tc>
        <w:tc>
          <w:tcPr>
            <w:tcW w:w="503" w:type="pct"/>
            <w:gridSpan w:val="3"/>
            <w:vAlign w:val="center"/>
          </w:tcPr>
          <w:p w14:paraId="08E0ABC7">
            <w:pPr>
              <w:rPr>
                <w:rFonts w:ascii="仿宋_GB2312" w:eastAsia="仿宋_GB2312"/>
                <w:sz w:val="24"/>
                <w:szCs w:val="24"/>
              </w:rPr>
            </w:pPr>
          </w:p>
        </w:tc>
        <w:tc>
          <w:tcPr>
            <w:tcW w:w="756" w:type="pct"/>
            <w:gridSpan w:val="2"/>
            <w:vAlign w:val="center"/>
          </w:tcPr>
          <w:p w14:paraId="689C6014">
            <w:pPr>
              <w:rPr>
                <w:rFonts w:ascii="仿宋_GB2312" w:eastAsia="仿宋_GB2312"/>
                <w:sz w:val="24"/>
                <w:szCs w:val="24"/>
              </w:rPr>
            </w:pPr>
          </w:p>
        </w:tc>
        <w:tc>
          <w:tcPr>
            <w:tcW w:w="839" w:type="pct"/>
            <w:gridSpan w:val="2"/>
            <w:vAlign w:val="center"/>
          </w:tcPr>
          <w:p w14:paraId="709015CA">
            <w:pPr>
              <w:rPr>
                <w:rFonts w:ascii="仿宋_GB2312" w:eastAsia="仿宋_GB2312"/>
                <w:sz w:val="24"/>
                <w:szCs w:val="24"/>
              </w:rPr>
            </w:pPr>
          </w:p>
        </w:tc>
        <w:tc>
          <w:tcPr>
            <w:tcW w:w="746" w:type="pct"/>
            <w:gridSpan w:val="2"/>
            <w:vAlign w:val="center"/>
          </w:tcPr>
          <w:p w14:paraId="7014C0C3">
            <w:pPr>
              <w:rPr>
                <w:rFonts w:ascii="仿宋_GB2312" w:eastAsia="仿宋_GB2312"/>
                <w:sz w:val="24"/>
                <w:szCs w:val="24"/>
              </w:rPr>
            </w:pPr>
          </w:p>
        </w:tc>
        <w:tc>
          <w:tcPr>
            <w:tcW w:w="938" w:type="pct"/>
            <w:vAlign w:val="center"/>
          </w:tcPr>
          <w:p w14:paraId="2C3FB372">
            <w:pPr>
              <w:rPr>
                <w:rFonts w:ascii="仿宋_GB2312" w:eastAsia="仿宋_GB2312"/>
                <w:sz w:val="24"/>
                <w:szCs w:val="24"/>
              </w:rPr>
            </w:pPr>
          </w:p>
        </w:tc>
      </w:tr>
      <w:tr w14:paraId="1D4C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37DB0558">
            <w:pPr>
              <w:rPr>
                <w:rFonts w:ascii="仿宋_GB2312" w:eastAsia="仿宋_GB2312"/>
                <w:sz w:val="24"/>
                <w:szCs w:val="24"/>
              </w:rPr>
            </w:pPr>
            <w:r>
              <w:rPr>
                <w:rFonts w:hint="eastAsia" w:ascii="仿宋_GB2312" w:eastAsia="仿宋_GB2312"/>
                <w:sz w:val="24"/>
                <w:szCs w:val="24"/>
              </w:rPr>
              <w:t>做市业务联络人</w:t>
            </w:r>
          </w:p>
        </w:tc>
        <w:tc>
          <w:tcPr>
            <w:tcW w:w="504" w:type="pct"/>
            <w:gridSpan w:val="2"/>
            <w:vAlign w:val="center"/>
          </w:tcPr>
          <w:p w14:paraId="08261975">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D2D96AD">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5296B2C0">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25DC1C44">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713DC9EB">
            <w:pPr>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3A625638">
            <w:pPr>
              <w:rPr>
                <w:rFonts w:ascii="仿宋_GB2312" w:eastAsia="仿宋_GB2312"/>
                <w:sz w:val="24"/>
                <w:szCs w:val="24"/>
              </w:rPr>
            </w:pPr>
            <w:r>
              <w:rPr>
                <w:rFonts w:ascii="仿宋_GB2312" w:eastAsia="仿宋_GB2312"/>
                <w:sz w:val="24"/>
                <w:szCs w:val="24"/>
              </w:rPr>
              <w:t>E-mail</w:t>
            </w:r>
          </w:p>
        </w:tc>
      </w:tr>
      <w:tr w14:paraId="4FC9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2783DD11">
            <w:pPr>
              <w:ind w:firstLine="480"/>
              <w:rPr>
                <w:rFonts w:ascii="仿宋_GB2312" w:eastAsia="仿宋_GB2312"/>
                <w:sz w:val="24"/>
                <w:szCs w:val="24"/>
              </w:rPr>
            </w:pPr>
          </w:p>
        </w:tc>
        <w:tc>
          <w:tcPr>
            <w:tcW w:w="504" w:type="pct"/>
            <w:gridSpan w:val="2"/>
            <w:vAlign w:val="center"/>
          </w:tcPr>
          <w:p w14:paraId="044FFEE8">
            <w:pPr>
              <w:ind w:firstLine="480"/>
              <w:rPr>
                <w:rFonts w:ascii="仿宋_GB2312" w:eastAsia="仿宋_GB2312"/>
                <w:sz w:val="24"/>
                <w:szCs w:val="24"/>
              </w:rPr>
            </w:pPr>
          </w:p>
        </w:tc>
        <w:tc>
          <w:tcPr>
            <w:tcW w:w="503" w:type="pct"/>
            <w:gridSpan w:val="3"/>
            <w:vAlign w:val="center"/>
          </w:tcPr>
          <w:p w14:paraId="140E5DEB">
            <w:pPr>
              <w:ind w:firstLine="480"/>
              <w:rPr>
                <w:rFonts w:ascii="仿宋_GB2312" w:eastAsia="仿宋_GB2312"/>
                <w:sz w:val="24"/>
                <w:szCs w:val="24"/>
              </w:rPr>
            </w:pPr>
          </w:p>
        </w:tc>
        <w:tc>
          <w:tcPr>
            <w:tcW w:w="756" w:type="pct"/>
            <w:gridSpan w:val="2"/>
            <w:vAlign w:val="center"/>
          </w:tcPr>
          <w:p w14:paraId="14FFCE30">
            <w:pPr>
              <w:ind w:firstLine="480"/>
              <w:rPr>
                <w:rFonts w:ascii="仿宋_GB2312" w:eastAsia="仿宋_GB2312"/>
                <w:sz w:val="24"/>
                <w:szCs w:val="24"/>
              </w:rPr>
            </w:pPr>
          </w:p>
        </w:tc>
        <w:tc>
          <w:tcPr>
            <w:tcW w:w="839" w:type="pct"/>
            <w:gridSpan w:val="2"/>
            <w:vAlign w:val="center"/>
          </w:tcPr>
          <w:p w14:paraId="736F861B">
            <w:pPr>
              <w:ind w:firstLine="480"/>
              <w:rPr>
                <w:rFonts w:ascii="仿宋_GB2312" w:eastAsia="仿宋_GB2312"/>
                <w:sz w:val="24"/>
                <w:szCs w:val="24"/>
              </w:rPr>
            </w:pPr>
          </w:p>
        </w:tc>
        <w:tc>
          <w:tcPr>
            <w:tcW w:w="746" w:type="pct"/>
            <w:gridSpan w:val="2"/>
            <w:vAlign w:val="center"/>
          </w:tcPr>
          <w:p w14:paraId="55F94713">
            <w:pPr>
              <w:ind w:firstLine="480"/>
              <w:rPr>
                <w:rFonts w:ascii="仿宋_GB2312" w:eastAsia="仿宋_GB2312"/>
                <w:sz w:val="24"/>
                <w:szCs w:val="24"/>
              </w:rPr>
            </w:pPr>
          </w:p>
        </w:tc>
        <w:tc>
          <w:tcPr>
            <w:tcW w:w="938" w:type="pct"/>
            <w:vAlign w:val="center"/>
          </w:tcPr>
          <w:p w14:paraId="3463470A">
            <w:pPr>
              <w:ind w:firstLine="480"/>
              <w:rPr>
                <w:rFonts w:ascii="仿宋_GB2312" w:eastAsia="仿宋_GB2312"/>
                <w:sz w:val="24"/>
                <w:szCs w:val="24"/>
              </w:rPr>
            </w:pPr>
          </w:p>
        </w:tc>
      </w:tr>
      <w:tr w14:paraId="32AA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269B2C30">
            <w:pPr>
              <w:rPr>
                <w:rFonts w:ascii="仿宋_GB2312" w:eastAsia="仿宋_GB2312"/>
                <w:sz w:val="24"/>
                <w:szCs w:val="24"/>
              </w:rPr>
            </w:pPr>
            <w:r>
              <w:rPr>
                <w:rFonts w:hint="eastAsia" w:ascii="仿宋_GB2312" w:eastAsia="仿宋_GB2312"/>
                <w:sz w:val="24"/>
                <w:szCs w:val="24"/>
              </w:rPr>
              <w:t>本机构基本情况（包括但不限于</w:t>
            </w:r>
            <w:r>
              <w:rPr>
                <w:rFonts w:ascii="仿宋_GB2312" w:eastAsia="仿宋_GB2312"/>
                <w:sz w:val="24"/>
                <w:szCs w:val="24"/>
              </w:rPr>
              <w:t>公司及做市相关部门基本情况</w:t>
            </w:r>
            <w:r>
              <w:rPr>
                <w:rFonts w:hint="eastAsia" w:ascii="仿宋_GB2312" w:eastAsia="仿宋_GB2312"/>
                <w:sz w:val="24"/>
                <w:szCs w:val="24"/>
              </w:rPr>
              <w:t>、</w:t>
            </w:r>
            <w:r>
              <w:rPr>
                <w:rFonts w:ascii="仿宋_GB2312" w:eastAsia="仿宋_GB2312"/>
                <w:sz w:val="24"/>
                <w:szCs w:val="24"/>
              </w:rPr>
              <w:t>公司治理机制、金融市场投资交易经验）</w:t>
            </w:r>
          </w:p>
          <w:p w14:paraId="7AFB0241">
            <w:pPr>
              <w:rPr>
                <w:rFonts w:ascii="仿宋_GB2312" w:eastAsia="仿宋_GB2312"/>
                <w:sz w:val="24"/>
                <w:szCs w:val="24"/>
              </w:rPr>
            </w:pPr>
          </w:p>
          <w:p w14:paraId="2C3E561D">
            <w:pPr>
              <w:rPr>
                <w:rFonts w:ascii="仿宋_GB2312" w:eastAsia="仿宋_GB2312"/>
                <w:sz w:val="24"/>
                <w:szCs w:val="24"/>
              </w:rPr>
            </w:pPr>
          </w:p>
        </w:tc>
      </w:tr>
      <w:tr w14:paraId="34DE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1BE1266D">
            <w:pPr>
              <w:rPr>
                <w:rFonts w:ascii="仿宋_GB2312" w:eastAsia="仿宋_GB2312"/>
                <w:sz w:val="24"/>
                <w:szCs w:val="24"/>
              </w:rPr>
            </w:pPr>
            <w:r>
              <w:rPr>
                <w:rFonts w:hint="eastAsia" w:ascii="仿宋_GB2312" w:eastAsia="仿宋_GB2312"/>
                <w:sz w:val="24"/>
                <w:szCs w:val="24"/>
              </w:rPr>
              <w:t>业务</w:t>
            </w:r>
            <w:r>
              <w:rPr>
                <w:rFonts w:ascii="仿宋_GB2312" w:eastAsia="仿宋_GB2312"/>
                <w:sz w:val="24"/>
                <w:szCs w:val="24"/>
              </w:rPr>
              <w:t>开展情况</w:t>
            </w:r>
          </w:p>
          <w:p w14:paraId="64AE8ADC">
            <w:pPr>
              <w:rPr>
                <w:rFonts w:ascii="仿宋_GB2312" w:eastAsia="仿宋_GB2312"/>
                <w:sz w:val="24"/>
                <w:szCs w:val="24"/>
              </w:rPr>
            </w:pPr>
            <w:r>
              <w:rPr>
                <w:rFonts w:hint="eastAsia" w:ascii="仿宋_GB2312" w:eastAsia="仿宋_GB2312"/>
                <w:sz w:val="24"/>
                <w:szCs w:val="24"/>
              </w:rPr>
              <w:t>（包括但不限于</w:t>
            </w:r>
            <w:r>
              <w:rPr>
                <w:rFonts w:ascii="仿宋_GB2312" w:eastAsia="仿宋_GB2312"/>
                <w:sz w:val="24"/>
                <w:szCs w:val="24"/>
              </w:rPr>
              <w:t>近两年</w:t>
            </w:r>
            <w:r>
              <w:rPr>
                <w:rFonts w:hint="eastAsia" w:ascii="仿宋_GB2312" w:eastAsia="仿宋_GB2312"/>
                <w:sz w:val="24"/>
                <w:szCs w:val="24"/>
              </w:rPr>
              <w:t>交易所</w:t>
            </w:r>
            <w:r>
              <w:rPr>
                <w:rFonts w:ascii="仿宋_GB2312" w:eastAsia="仿宋_GB2312"/>
                <w:sz w:val="24"/>
                <w:szCs w:val="24"/>
              </w:rPr>
              <w:t>债券市场交易情况、</w:t>
            </w:r>
            <w:r>
              <w:rPr>
                <w:rFonts w:hint="eastAsia" w:ascii="仿宋_GB2312" w:eastAsia="仿宋_GB2312"/>
                <w:sz w:val="24"/>
                <w:szCs w:val="24"/>
              </w:rPr>
              <w:t>其他</w:t>
            </w:r>
            <w:r>
              <w:rPr>
                <w:rFonts w:ascii="仿宋_GB2312" w:eastAsia="仿宋_GB2312"/>
                <w:sz w:val="24"/>
                <w:szCs w:val="24"/>
              </w:rPr>
              <w:t>相关做市业务</w:t>
            </w:r>
            <w:r>
              <w:rPr>
                <w:rFonts w:hint="eastAsia" w:ascii="仿宋_GB2312" w:eastAsia="仿宋_GB2312"/>
                <w:sz w:val="24"/>
                <w:szCs w:val="24"/>
              </w:rPr>
              <w:t>开展</w:t>
            </w:r>
            <w:r>
              <w:rPr>
                <w:rFonts w:ascii="仿宋_GB2312" w:eastAsia="仿宋_GB2312"/>
                <w:sz w:val="24"/>
                <w:szCs w:val="24"/>
              </w:rPr>
              <w:t>情况</w:t>
            </w:r>
            <w:r>
              <w:rPr>
                <w:rFonts w:hint="eastAsia" w:ascii="仿宋_GB2312" w:eastAsia="仿宋_GB2312"/>
                <w:sz w:val="24"/>
                <w:szCs w:val="24"/>
              </w:rPr>
              <w:t>）</w:t>
            </w:r>
          </w:p>
          <w:p w14:paraId="2D237A27">
            <w:pPr>
              <w:rPr>
                <w:rFonts w:ascii="仿宋_GB2312" w:eastAsia="仿宋_GB2312"/>
                <w:sz w:val="24"/>
                <w:szCs w:val="24"/>
              </w:rPr>
            </w:pPr>
          </w:p>
        </w:tc>
      </w:tr>
      <w:tr w14:paraId="4FD8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7478092F">
            <w:pPr>
              <w:rPr>
                <w:rFonts w:ascii="仿宋_GB2312" w:eastAsia="仿宋_GB2312"/>
                <w:sz w:val="24"/>
                <w:szCs w:val="24"/>
              </w:rPr>
            </w:pPr>
            <w:r>
              <w:rPr>
                <w:rFonts w:hint="eastAsia" w:ascii="仿宋_GB2312" w:eastAsia="仿宋_GB2312"/>
                <w:sz w:val="24"/>
                <w:szCs w:val="24"/>
              </w:rPr>
              <w:t>内部管理办法</w:t>
            </w:r>
          </w:p>
          <w:p w14:paraId="7FA23A59">
            <w:pPr>
              <w:rPr>
                <w:rFonts w:ascii="仿宋_GB2312" w:eastAsia="仿宋_GB2312"/>
                <w:sz w:val="24"/>
                <w:szCs w:val="24"/>
              </w:rPr>
            </w:pPr>
            <w:r>
              <w:rPr>
                <w:rFonts w:hint="eastAsia" w:ascii="仿宋_GB2312" w:eastAsia="仿宋_GB2312"/>
                <w:sz w:val="24"/>
                <w:szCs w:val="24"/>
              </w:rPr>
              <w:t>（包括但不限于做市内部管理制度、</w:t>
            </w:r>
            <w:r>
              <w:rPr>
                <w:rFonts w:ascii="仿宋_GB2312" w:eastAsia="仿宋_GB2312"/>
                <w:sz w:val="24"/>
                <w:szCs w:val="24"/>
              </w:rPr>
              <w:t>操作流程</w:t>
            </w:r>
            <w:r>
              <w:rPr>
                <w:rFonts w:hint="eastAsia" w:ascii="仿宋_GB2312" w:eastAsia="仿宋_GB2312"/>
                <w:sz w:val="24"/>
                <w:szCs w:val="24"/>
              </w:rPr>
              <w:t>及</w:t>
            </w:r>
            <w:r>
              <w:rPr>
                <w:rFonts w:ascii="仿宋_GB2312" w:eastAsia="仿宋_GB2312"/>
                <w:sz w:val="24"/>
                <w:szCs w:val="24"/>
              </w:rPr>
              <w:t>权限管理</w:t>
            </w:r>
            <w:r>
              <w:rPr>
                <w:rFonts w:hint="eastAsia" w:ascii="仿宋_GB2312" w:eastAsia="仿宋_GB2312"/>
                <w:sz w:val="24"/>
                <w:szCs w:val="24"/>
              </w:rPr>
              <w:t>）</w:t>
            </w:r>
          </w:p>
        </w:tc>
      </w:tr>
      <w:tr w14:paraId="42F8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482C20FC">
            <w:pPr>
              <w:rPr>
                <w:rFonts w:ascii="仿宋_GB2312" w:eastAsia="仿宋_GB2312"/>
                <w:sz w:val="24"/>
                <w:szCs w:val="24"/>
              </w:rPr>
            </w:pPr>
            <w:r>
              <w:rPr>
                <w:rFonts w:hint="eastAsia" w:ascii="仿宋_GB2312" w:eastAsia="仿宋_GB2312"/>
                <w:sz w:val="24"/>
                <w:szCs w:val="24"/>
              </w:rPr>
              <w:t>信息技术情况</w:t>
            </w:r>
          </w:p>
          <w:p w14:paraId="520F9850">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包括但不限于做市业务相关的信息技术</w:t>
            </w:r>
            <w:r>
              <w:rPr>
                <w:rFonts w:hint="eastAsia" w:ascii="仿宋_GB2312" w:eastAsia="仿宋_GB2312"/>
                <w:sz w:val="24"/>
                <w:szCs w:val="24"/>
              </w:rPr>
              <w:t>设施、</w:t>
            </w:r>
            <w:r>
              <w:rPr>
                <w:rFonts w:ascii="仿宋_GB2312" w:eastAsia="仿宋_GB2312"/>
                <w:sz w:val="24"/>
                <w:szCs w:val="24"/>
              </w:rPr>
              <w:t>支持人员信息系统</w:t>
            </w:r>
            <w:r>
              <w:rPr>
                <w:rFonts w:hint="eastAsia" w:ascii="仿宋_GB2312" w:eastAsia="仿宋_GB2312"/>
                <w:sz w:val="24"/>
                <w:szCs w:val="24"/>
              </w:rPr>
              <w:t>管理制度</w:t>
            </w:r>
            <w:r>
              <w:rPr>
                <w:rFonts w:ascii="仿宋_GB2312" w:eastAsia="仿宋_GB2312"/>
                <w:sz w:val="24"/>
                <w:szCs w:val="24"/>
              </w:rPr>
              <w:t>等情况说明。</w:t>
            </w:r>
            <w:r>
              <w:rPr>
                <w:rFonts w:hint="eastAsia" w:ascii="仿宋_GB2312" w:eastAsia="仿宋_GB2312"/>
                <w:sz w:val="24"/>
                <w:szCs w:val="24"/>
              </w:rPr>
              <w:t>拟开展程序化</w:t>
            </w:r>
            <w:r>
              <w:rPr>
                <w:rFonts w:ascii="仿宋_GB2312" w:eastAsia="仿宋_GB2312"/>
                <w:sz w:val="24"/>
                <w:szCs w:val="24"/>
              </w:rPr>
              <w:t>交易的，应就报价策略、风控措施、应急预案等事项作出说明</w:t>
            </w:r>
            <w:r>
              <w:rPr>
                <w:rFonts w:hint="eastAsia" w:ascii="仿宋_GB2312" w:eastAsia="仿宋_GB2312"/>
                <w:sz w:val="24"/>
                <w:szCs w:val="24"/>
              </w:rPr>
              <w:t>）</w:t>
            </w:r>
          </w:p>
          <w:p w14:paraId="543E5A7D">
            <w:pPr>
              <w:rPr>
                <w:rFonts w:ascii="仿宋_GB2312" w:eastAsia="仿宋_GB2312"/>
                <w:sz w:val="24"/>
                <w:szCs w:val="24"/>
              </w:rPr>
            </w:pPr>
          </w:p>
        </w:tc>
      </w:tr>
      <w:tr w14:paraId="29C8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0BAFA932">
            <w:pPr>
              <w:rPr>
                <w:rFonts w:ascii="仿宋_GB2312" w:eastAsia="仿宋_GB2312"/>
                <w:sz w:val="24"/>
                <w:szCs w:val="24"/>
              </w:rPr>
            </w:pPr>
            <w:r>
              <w:rPr>
                <w:rFonts w:hint="eastAsia" w:ascii="仿宋_GB2312" w:eastAsia="仿宋_GB2312"/>
                <w:sz w:val="24"/>
                <w:szCs w:val="24"/>
              </w:rPr>
              <w:t>做市相关部门与岗位设置</w:t>
            </w:r>
          </w:p>
          <w:p w14:paraId="26A850A2">
            <w:pPr>
              <w:rPr>
                <w:rFonts w:ascii="仿宋_GB2312" w:eastAsia="仿宋_GB2312"/>
                <w:sz w:val="24"/>
                <w:szCs w:val="24"/>
              </w:rPr>
            </w:pPr>
            <w:r>
              <w:rPr>
                <w:rFonts w:hint="eastAsia" w:ascii="仿宋_GB2312" w:eastAsia="仿宋_GB2312"/>
                <w:sz w:val="24"/>
                <w:szCs w:val="24"/>
              </w:rPr>
              <w:t>（工作履历一栏中，做市部门负责人、交易岗、操作岗</w:t>
            </w:r>
            <w:r>
              <w:rPr>
                <w:rFonts w:ascii="仿宋_GB2312" w:eastAsia="仿宋_GB2312"/>
                <w:sz w:val="24"/>
                <w:szCs w:val="24"/>
              </w:rPr>
              <w:t>、</w:t>
            </w:r>
            <w:r>
              <w:rPr>
                <w:rFonts w:hint="eastAsia" w:ascii="仿宋_GB2312" w:eastAsia="仿宋_GB2312"/>
                <w:sz w:val="24"/>
                <w:szCs w:val="24"/>
              </w:rPr>
              <w:t>合规岗</w:t>
            </w:r>
            <w:r>
              <w:rPr>
                <w:rFonts w:ascii="仿宋_GB2312" w:eastAsia="仿宋_GB2312"/>
                <w:sz w:val="24"/>
                <w:szCs w:val="24"/>
              </w:rPr>
              <w:t>、</w:t>
            </w:r>
            <w:r>
              <w:rPr>
                <w:rFonts w:hint="eastAsia" w:ascii="仿宋_GB2312" w:eastAsia="仿宋_GB2312"/>
                <w:sz w:val="24"/>
                <w:szCs w:val="24"/>
              </w:rPr>
              <w:t>风险控制岗必须详细填写工作履历）</w:t>
            </w:r>
          </w:p>
        </w:tc>
      </w:tr>
      <w:tr w14:paraId="5906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01EFA467">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1）工作职责包括：</w:t>
            </w:r>
          </w:p>
          <w:p w14:paraId="08E04F73">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08D3E12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0D45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122293B">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5A0DC33">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515D84A">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85C75C1">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9FB1994">
            <w:pPr>
              <w:rPr>
                <w:rFonts w:ascii="仿宋_GB2312" w:eastAsia="仿宋_GB2312"/>
                <w:sz w:val="24"/>
                <w:szCs w:val="24"/>
              </w:rPr>
            </w:pPr>
            <w:r>
              <w:rPr>
                <w:rFonts w:hint="eastAsia" w:ascii="仿宋_GB2312" w:eastAsia="仿宋_GB2312"/>
                <w:sz w:val="24"/>
                <w:szCs w:val="24"/>
              </w:rPr>
              <w:t>工作履历</w:t>
            </w:r>
          </w:p>
        </w:tc>
      </w:tr>
      <w:tr w14:paraId="77D6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5E453CE1">
            <w:pPr>
              <w:rPr>
                <w:rFonts w:ascii="仿宋_GB2312" w:eastAsia="仿宋_GB2312"/>
                <w:sz w:val="24"/>
                <w:szCs w:val="24"/>
              </w:rPr>
            </w:pPr>
            <w:r>
              <w:rPr>
                <w:rFonts w:hint="eastAsia" w:ascii="仿宋_GB2312" w:eastAsia="仿宋_GB2312"/>
                <w:sz w:val="24"/>
                <w:szCs w:val="24"/>
              </w:rPr>
              <w:t>（部门负责人）</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86468BF">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A6A59E9">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7A286AE0">
            <w:pPr>
              <w:rPr>
                <w:rFonts w:ascii="仿宋_GB2312" w:eastAsia="仿宋_GB2312"/>
                <w:sz w:val="24"/>
                <w:szCs w:val="24"/>
              </w:rPr>
            </w:pPr>
            <w:r>
              <w:rPr>
                <w:rFonts w:hint="eastAsia" w:ascii="仿宋_GB2312" w:eastAsia="仿宋_GB2312"/>
                <w:sz w:val="24"/>
                <w:szCs w:val="24"/>
              </w:rPr>
              <w:t>（座机）</w:t>
            </w:r>
          </w:p>
          <w:p w14:paraId="4D476C34">
            <w:pPr>
              <w:rPr>
                <w:rFonts w:ascii="仿宋_GB2312" w:eastAsia="仿宋_GB2312"/>
                <w:sz w:val="24"/>
                <w:szCs w:val="24"/>
              </w:rPr>
            </w:pPr>
            <w:r>
              <w:rPr>
                <w:rFonts w:hint="eastAsia" w:ascii="仿宋_GB2312" w:eastAsia="仿宋_GB2312"/>
                <w:sz w:val="24"/>
                <w:szCs w:val="24"/>
              </w:rPr>
              <w:t>（手机）</w:t>
            </w:r>
          </w:p>
          <w:p w14:paraId="17055D85">
            <w:pPr>
              <w:rPr>
                <w:rFonts w:ascii="仿宋_GB2312" w:eastAsia="仿宋_GB2312"/>
                <w:sz w:val="24"/>
                <w:szCs w:val="24"/>
              </w:rPr>
            </w:pPr>
            <w:r>
              <w:rPr>
                <w:rFonts w:hint="eastAsia" w:ascii="仿宋_GB2312" w:eastAsia="仿宋_GB2312"/>
                <w:sz w:val="24"/>
                <w:szCs w:val="24"/>
              </w:rPr>
              <w:t>（邮件）</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39276F93">
            <w:pPr>
              <w:rPr>
                <w:rFonts w:ascii="仿宋_GB2312" w:eastAsia="仿宋_GB2312"/>
                <w:sz w:val="24"/>
                <w:szCs w:val="24"/>
              </w:rPr>
            </w:pPr>
            <w:r>
              <w:rPr>
                <w:rFonts w:hint="eastAsia" w:ascii="仿宋_GB2312" w:eastAsia="仿宋_GB2312"/>
                <w:sz w:val="24"/>
                <w:szCs w:val="24"/>
              </w:rPr>
              <w:t>（年份</w:t>
            </w:r>
            <w:r>
              <w:rPr>
                <w:rFonts w:ascii="仿宋_GB2312" w:eastAsia="仿宋_GB2312"/>
                <w:sz w:val="24"/>
                <w:szCs w:val="24"/>
              </w:rPr>
              <w:t>-单位-职责）</w:t>
            </w:r>
          </w:p>
        </w:tc>
      </w:tr>
      <w:tr w14:paraId="3044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FC6228C">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081429E">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1282225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05E191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49763A3">
            <w:pPr>
              <w:rPr>
                <w:rFonts w:ascii="仿宋_GB2312" w:eastAsia="仿宋_GB2312"/>
                <w:sz w:val="24"/>
                <w:szCs w:val="24"/>
              </w:rPr>
            </w:pPr>
          </w:p>
        </w:tc>
      </w:tr>
      <w:tr w14:paraId="1250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F1B11E">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8C79879">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6623E310">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154BB1">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58B26CC1">
            <w:pPr>
              <w:rPr>
                <w:rFonts w:ascii="仿宋_GB2312" w:eastAsia="仿宋_GB2312"/>
                <w:sz w:val="24"/>
                <w:szCs w:val="24"/>
              </w:rPr>
            </w:pPr>
          </w:p>
        </w:tc>
      </w:tr>
      <w:tr w14:paraId="53FD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306FBEBD">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2）工作职责包括：</w:t>
            </w:r>
          </w:p>
          <w:p w14:paraId="30B98321">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449DE78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2AFB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4BFE6433">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1BD91F8">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97FFC55">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E20B64C">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01B5F3F">
            <w:pPr>
              <w:rPr>
                <w:rFonts w:ascii="仿宋_GB2312" w:eastAsia="仿宋_GB2312"/>
                <w:sz w:val="24"/>
                <w:szCs w:val="24"/>
              </w:rPr>
            </w:pPr>
            <w:r>
              <w:rPr>
                <w:rFonts w:hint="eastAsia" w:ascii="仿宋_GB2312" w:eastAsia="仿宋_GB2312"/>
                <w:sz w:val="24"/>
                <w:szCs w:val="24"/>
              </w:rPr>
              <w:t>工作履历</w:t>
            </w:r>
          </w:p>
        </w:tc>
      </w:tr>
      <w:tr w14:paraId="7D1D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151D3EF7">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1BA3EF75">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D1CFB3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8BFF43B">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B09FFC9">
            <w:pPr>
              <w:rPr>
                <w:rFonts w:ascii="仿宋_GB2312" w:eastAsia="仿宋_GB2312"/>
                <w:sz w:val="24"/>
                <w:szCs w:val="24"/>
              </w:rPr>
            </w:pPr>
          </w:p>
        </w:tc>
      </w:tr>
      <w:tr w14:paraId="5E8E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7F80C6D">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6A17CA22">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307822F">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3042C5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7A8143A">
            <w:pPr>
              <w:rPr>
                <w:rFonts w:ascii="仿宋_GB2312" w:eastAsia="仿宋_GB2312"/>
                <w:sz w:val="24"/>
                <w:szCs w:val="24"/>
              </w:rPr>
            </w:pPr>
          </w:p>
        </w:tc>
      </w:tr>
      <w:tr w14:paraId="08DF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1D0A728">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3）工作职责包括：</w:t>
            </w:r>
          </w:p>
          <w:p w14:paraId="383493EA">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76F09615">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6600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3E649EF">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20FF3EC">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73453DE4">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4E1315">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0666D8E">
            <w:pPr>
              <w:rPr>
                <w:rFonts w:ascii="仿宋_GB2312" w:eastAsia="仿宋_GB2312"/>
                <w:sz w:val="24"/>
                <w:szCs w:val="24"/>
              </w:rPr>
            </w:pPr>
            <w:r>
              <w:rPr>
                <w:rFonts w:hint="eastAsia" w:ascii="仿宋_GB2312" w:eastAsia="仿宋_GB2312"/>
                <w:sz w:val="24"/>
                <w:szCs w:val="24"/>
              </w:rPr>
              <w:t>工作履历</w:t>
            </w:r>
          </w:p>
        </w:tc>
      </w:tr>
      <w:tr w14:paraId="6D8B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2F19B1">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6E66ECC">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5A60C496">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1C323B5">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7C66635E">
            <w:pPr>
              <w:rPr>
                <w:rFonts w:ascii="仿宋_GB2312" w:eastAsia="仿宋_GB2312"/>
                <w:sz w:val="24"/>
                <w:szCs w:val="24"/>
              </w:rPr>
            </w:pPr>
          </w:p>
        </w:tc>
      </w:tr>
      <w:tr w14:paraId="703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FC00469">
            <w:pPr>
              <w:widowControl/>
              <w:ind w:firstLine="480"/>
              <w:rPr>
                <w:rFonts w:ascii="仿宋_GB2312" w:hAnsi="仿宋"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F49348B">
            <w:pPr>
              <w:ind w:firstLine="480"/>
              <w:rPr>
                <w:rFonts w:ascii="仿宋_GB2312" w:hAnsi="仿宋"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2B0DF519">
            <w:pPr>
              <w:ind w:firstLine="480"/>
              <w:rPr>
                <w:rFonts w:ascii="仿宋_GB2312" w:hAnsi="仿宋"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44817A0">
            <w:pPr>
              <w:ind w:firstLine="480"/>
              <w:rPr>
                <w:rFonts w:ascii="仿宋_GB2312" w:hAnsi="仿宋"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3FFB3DE">
            <w:pPr>
              <w:ind w:firstLine="480"/>
              <w:rPr>
                <w:rFonts w:ascii="仿宋_GB2312" w:hAnsi="仿宋" w:eastAsia="仿宋_GB2312"/>
                <w:sz w:val="24"/>
                <w:szCs w:val="24"/>
              </w:rPr>
            </w:pPr>
          </w:p>
        </w:tc>
      </w:tr>
    </w:tbl>
    <w:p w14:paraId="527FEC99">
      <w:pPr>
        <w:spacing w:line="600" w:lineRule="exact"/>
        <w:ind w:firstLine="600" w:firstLineChars="200"/>
        <w:rPr>
          <w:rFonts w:ascii="仿宋_GB2312" w:eastAsia="仿宋_GB2312"/>
          <w:kern w:val="28"/>
          <w:sz w:val="30"/>
          <w:szCs w:val="30"/>
        </w:rPr>
      </w:pPr>
    </w:p>
    <w:p w14:paraId="0D481253">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68CDCD93">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3109C157">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C890056">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5846D065">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6FD7C1C5">
      <w:pPr>
        <w:pStyle w:val="18"/>
        <w:rPr>
          <w:szCs w:val="30"/>
        </w:rPr>
      </w:pPr>
      <w:r>
        <w:rPr>
          <w:rFonts w:hint="eastAsia"/>
          <w:szCs w:val="30"/>
        </w:rPr>
        <w:t>我公司保证向上交所提供的书面和电子资料真实、准确、完整与合法。</w:t>
      </w:r>
    </w:p>
    <w:p w14:paraId="3068342E">
      <w:pPr>
        <w:pStyle w:val="18"/>
        <w:rPr>
          <w:szCs w:val="30"/>
        </w:rPr>
      </w:pPr>
    </w:p>
    <w:p w14:paraId="1F376BA9">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76F67079">
      <w:pPr>
        <w:pStyle w:val="18"/>
        <w:jc w:val="right"/>
        <w:rPr>
          <w:szCs w:val="30"/>
        </w:rPr>
      </w:pPr>
    </w:p>
    <w:p w14:paraId="27E79FF4">
      <w:pPr>
        <w:pStyle w:val="18"/>
        <w:jc w:val="right"/>
        <w:rPr>
          <w:szCs w:val="30"/>
        </w:rPr>
      </w:pPr>
      <w:r>
        <w:rPr>
          <w:rFonts w:hint="eastAsia"/>
          <w:szCs w:val="30"/>
        </w:rPr>
        <w:t xml:space="preserve">                                    法定代表人或授权代表（签字）：</w:t>
      </w:r>
    </w:p>
    <w:p w14:paraId="252DF714">
      <w:pPr>
        <w:pStyle w:val="18"/>
        <w:jc w:val="right"/>
        <w:rPr>
          <w:szCs w:val="30"/>
        </w:rPr>
      </w:pPr>
      <w:r>
        <w:rPr>
          <w:rFonts w:hint="eastAsia"/>
          <w:szCs w:val="30"/>
        </w:rPr>
        <w:t xml:space="preserve">                                     申请日期：</w:t>
      </w:r>
    </w:p>
    <w:p w14:paraId="2D04C064">
      <w:pPr>
        <w:pStyle w:val="18"/>
        <w:jc w:val="right"/>
        <w:rPr>
          <w:szCs w:val="30"/>
        </w:rPr>
      </w:pPr>
      <w:r>
        <w:rPr>
          <w:rFonts w:hint="eastAsia"/>
          <w:szCs w:val="30"/>
        </w:rPr>
        <w:t xml:space="preserve">                                     联系电话：</w:t>
      </w:r>
    </w:p>
    <w:p w14:paraId="40F7D24F">
      <w:pPr>
        <w:widowControl/>
        <w:jc w:val="left"/>
        <w:outlineLvl w:val="1"/>
        <w:rPr>
          <w:rFonts w:ascii="仿宋_GB2312" w:hAnsi="仿宋" w:eastAsia="仿宋_GB2312"/>
          <w:sz w:val="30"/>
          <w:szCs w:val="30"/>
        </w:rPr>
      </w:pPr>
      <w:r>
        <w:rPr>
          <w:rFonts w:ascii="仿宋_GB2312" w:eastAsia="仿宋_GB2312"/>
          <w:b/>
          <w:sz w:val="30"/>
          <w:szCs w:val="30"/>
        </w:rPr>
        <w:br w:type="page"/>
      </w:r>
      <w:bookmarkStart w:id="3475" w:name="_Toc55318687"/>
      <w:bookmarkEnd w:id="3475"/>
      <w:bookmarkStart w:id="3476" w:name="_Toc151137095"/>
      <w:r>
        <w:rPr>
          <w:rFonts w:hint="eastAsia" w:ascii="仿宋_GB2312" w:hAnsi="黑体" w:eastAsia="仿宋_GB2312"/>
          <w:b/>
          <w:sz w:val="30"/>
          <w:szCs w:val="30"/>
        </w:rPr>
        <w:t>附件12 债券一般做市商登记表</w:t>
      </w:r>
      <w:bookmarkEnd w:id="3476"/>
    </w:p>
    <w:p w14:paraId="68EC9041">
      <w:pPr>
        <w:spacing w:line="600" w:lineRule="exact"/>
        <w:jc w:val="center"/>
        <w:rPr>
          <w:rFonts w:ascii="黑体" w:hAnsi="黑体"/>
          <w:b/>
          <w:sz w:val="44"/>
          <w:szCs w:val="44"/>
        </w:rPr>
      </w:pPr>
    </w:p>
    <w:p w14:paraId="234EA5B0">
      <w:pPr>
        <w:spacing w:line="600" w:lineRule="exact"/>
        <w:jc w:val="center"/>
        <w:rPr>
          <w:rFonts w:ascii="黑体" w:hAnsi="黑体" w:eastAsia="黑体" w:cs="黑体"/>
          <w:sz w:val="30"/>
          <w:szCs w:val="30"/>
        </w:rPr>
      </w:pPr>
      <w:r>
        <w:rPr>
          <w:rFonts w:hint="eastAsia" w:ascii="黑体" w:hAnsi="黑体" w:eastAsia="黑体" w:cs="黑体"/>
          <w:b/>
          <w:sz w:val="44"/>
          <w:szCs w:val="44"/>
        </w:rPr>
        <w:t>债券一般做市商登记表</w:t>
      </w:r>
    </w:p>
    <w:p w14:paraId="32D11D38">
      <w:pPr>
        <w:spacing w:line="600" w:lineRule="exact"/>
        <w:ind w:firstLine="600" w:firstLineChars="200"/>
        <w:rPr>
          <w:rFonts w:ascii="仿宋_GB2312" w:eastAsia="仿宋_GB2312"/>
          <w:kern w:val="28"/>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849"/>
        <w:gridCol w:w="425"/>
        <w:gridCol w:w="425"/>
        <w:gridCol w:w="1276"/>
        <w:gridCol w:w="1421"/>
        <w:gridCol w:w="1259"/>
        <w:gridCol w:w="1583"/>
      </w:tblGrid>
      <w:tr w14:paraId="7F63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6" w:type="pct"/>
            <w:gridSpan w:val="6"/>
            <w:vAlign w:val="center"/>
          </w:tcPr>
          <w:p w14:paraId="3147796E">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662C8ECF">
            <w:pPr>
              <w:rPr>
                <w:rFonts w:ascii="仿宋_GB2312" w:eastAsia="仿宋_GB2312"/>
                <w:sz w:val="24"/>
                <w:szCs w:val="24"/>
              </w:rPr>
            </w:pPr>
            <w:r>
              <w:rPr>
                <w:rFonts w:hint="eastAsia" w:ascii="仿宋_GB2312" w:eastAsia="仿宋_GB2312"/>
                <w:sz w:val="24"/>
                <w:szCs w:val="24"/>
              </w:rPr>
              <w:t>电话：</w:t>
            </w:r>
          </w:p>
        </w:tc>
      </w:tr>
      <w:tr w14:paraId="1F0F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6" w:type="pct"/>
            <w:gridSpan w:val="6"/>
            <w:vAlign w:val="center"/>
          </w:tcPr>
          <w:p w14:paraId="21EFF2A9">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350E99E9">
            <w:pPr>
              <w:rPr>
                <w:rFonts w:ascii="仿宋_GB2312" w:eastAsia="仿宋_GB2312"/>
                <w:sz w:val="24"/>
                <w:szCs w:val="24"/>
              </w:rPr>
            </w:pPr>
            <w:r>
              <w:rPr>
                <w:rFonts w:hint="eastAsia" w:ascii="仿宋_GB2312" w:eastAsia="仿宋_GB2312"/>
                <w:sz w:val="24"/>
                <w:szCs w:val="24"/>
              </w:rPr>
              <w:t>传真：</w:t>
            </w:r>
          </w:p>
        </w:tc>
      </w:tr>
      <w:tr w14:paraId="2E94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6" w:type="pct"/>
            <w:gridSpan w:val="3"/>
            <w:vAlign w:val="center"/>
          </w:tcPr>
          <w:p w14:paraId="4A7139CC">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CC04F4A">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741FF860">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27228C15">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57956014">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21EA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5552326A">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62BB41EC">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1BFA0E23">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257CC44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159F9D57">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5C70A1B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5D63D1D">
            <w:pPr>
              <w:rPr>
                <w:rFonts w:ascii="仿宋_GB2312" w:eastAsia="仿宋_GB2312"/>
                <w:sz w:val="24"/>
                <w:szCs w:val="24"/>
              </w:rPr>
            </w:pPr>
            <w:r>
              <w:rPr>
                <w:rFonts w:ascii="仿宋_GB2312" w:eastAsia="仿宋_GB2312"/>
                <w:sz w:val="24"/>
                <w:szCs w:val="24"/>
              </w:rPr>
              <w:t>E-mail</w:t>
            </w:r>
          </w:p>
        </w:tc>
      </w:tr>
      <w:tr w14:paraId="23DC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6737A928">
            <w:pPr>
              <w:rPr>
                <w:rFonts w:ascii="仿宋_GB2312" w:eastAsia="仿宋_GB2312"/>
                <w:sz w:val="24"/>
                <w:szCs w:val="24"/>
              </w:rPr>
            </w:pPr>
          </w:p>
        </w:tc>
        <w:tc>
          <w:tcPr>
            <w:tcW w:w="503" w:type="pct"/>
            <w:vAlign w:val="center"/>
          </w:tcPr>
          <w:p w14:paraId="32F19694">
            <w:pPr>
              <w:rPr>
                <w:rFonts w:ascii="仿宋_GB2312" w:eastAsia="仿宋_GB2312"/>
                <w:sz w:val="24"/>
                <w:szCs w:val="24"/>
              </w:rPr>
            </w:pPr>
          </w:p>
        </w:tc>
        <w:tc>
          <w:tcPr>
            <w:tcW w:w="504" w:type="pct"/>
            <w:gridSpan w:val="2"/>
            <w:vAlign w:val="center"/>
          </w:tcPr>
          <w:p w14:paraId="2AEF90B9">
            <w:pPr>
              <w:rPr>
                <w:rFonts w:ascii="仿宋_GB2312" w:eastAsia="仿宋_GB2312"/>
                <w:sz w:val="24"/>
                <w:szCs w:val="24"/>
              </w:rPr>
            </w:pPr>
          </w:p>
        </w:tc>
        <w:tc>
          <w:tcPr>
            <w:tcW w:w="756" w:type="pct"/>
            <w:vAlign w:val="center"/>
          </w:tcPr>
          <w:p w14:paraId="54C4C364">
            <w:pPr>
              <w:rPr>
                <w:rFonts w:ascii="仿宋_GB2312" w:eastAsia="仿宋_GB2312"/>
                <w:sz w:val="24"/>
                <w:szCs w:val="24"/>
              </w:rPr>
            </w:pPr>
          </w:p>
        </w:tc>
        <w:tc>
          <w:tcPr>
            <w:tcW w:w="839" w:type="pct"/>
            <w:vAlign w:val="center"/>
          </w:tcPr>
          <w:p w14:paraId="50527BCE">
            <w:pPr>
              <w:rPr>
                <w:rFonts w:ascii="仿宋_GB2312" w:eastAsia="仿宋_GB2312"/>
                <w:sz w:val="24"/>
                <w:szCs w:val="24"/>
              </w:rPr>
            </w:pPr>
          </w:p>
        </w:tc>
        <w:tc>
          <w:tcPr>
            <w:tcW w:w="746" w:type="pct"/>
            <w:vAlign w:val="center"/>
          </w:tcPr>
          <w:p w14:paraId="5D394C95">
            <w:pPr>
              <w:rPr>
                <w:rFonts w:ascii="仿宋_GB2312" w:eastAsia="仿宋_GB2312"/>
                <w:sz w:val="24"/>
                <w:szCs w:val="24"/>
              </w:rPr>
            </w:pPr>
          </w:p>
        </w:tc>
        <w:tc>
          <w:tcPr>
            <w:tcW w:w="937" w:type="pct"/>
            <w:vAlign w:val="center"/>
          </w:tcPr>
          <w:p w14:paraId="17B8B5D2">
            <w:pPr>
              <w:rPr>
                <w:rFonts w:ascii="仿宋_GB2312" w:eastAsia="仿宋_GB2312"/>
                <w:sz w:val="24"/>
                <w:szCs w:val="24"/>
              </w:rPr>
            </w:pPr>
          </w:p>
        </w:tc>
      </w:tr>
      <w:tr w14:paraId="3DE3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495EF4DE">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19EFE714">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1C10D92">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0A61E53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59C9FDED">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02B62CF9">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4FC5C3B">
            <w:pPr>
              <w:rPr>
                <w:rFonts w:ascii="仿宋_GB2312" w:eastAsia="仿宋_GB2312"/>
                <w:sz w:val="24"/>
                <w:szCs w:val="24"/>
              </w:rPr>
            </w:pPr>
            <w:r>
              <w:rPr>
                <w:rFonts w:ascii="仿宋_GB2312" w:eastAsia="仿宋_GB2312"/>
                <w:sz w:val="24"/>
                <w:szCs w:val="24"/>
              </w:rPr>
              <w:t>E-mail</w:t>
            </w:r>
          </w:p>
        </w:tc>
      </w:tr>
      <w:tr w14:paraId="38EE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05E1F868">
            <w:pPr>
              <w:ind w:firstLine="480"/>
              <w:rPr>
                <w:rFonts w:ascii="仿宋_GB2312" w:eastAsia="仿宋_GB2312"/>
                <w:sz w:val="24"/>
                <w:szCs w:val="24"/>
              </w:rPr>
            </w:pPr>
          </w:p>
        </w:tc>
        <w:tc>
          <w:tcPr>
            <w:tcW w:w="503" w:type="pct"/>
            <w:vAlign w:val="center"/>
          </w:tcPr>
          <w:p w14:paraId="37D947E0">
            <w:pPr>
              <w:ind w:firstLine="480"/>
              <w:rPr>
                <w:rFonts w:ascii="仿宋_GB2312" w:eastAsia="仿宋_GB2312"/>
                <w:sz w:val="24"/>
                <w:szCs w:val="24"/>
              </w:rPr>
            </w:pPr>
          </w:p>
        </w:tc>
        <w:tc>
          <w:tcPr>
            <w:tcW w:w="504" w:type="pct"/>
            <w:gridSpan w:val="2"/>
            <w:vAlign w:val="center"/>
          </w:tcPr>
          <w:p w14:paraId="5E066CEB">
            <w:pPr>
              <w:ind w:firstLine="480"/>
              <w:rPr>
                <w:rFonts w:ascii="仿宋_GB2312" w:eastAsia="仿宋_GB2312"/>
                <w:sz w:val="24"/>
                <w:szCs w:val="24"/>
              </w:rPr>
            </w:pPr>
          </w:p>
        </w:tc>
        <w:tc>
          <w:tcPr>
            <w:tcW w:w="756" w:type="pct"/>
            <w:vAlign w:val="center"/>
          </w:tcPr>
          <w:p w14:paraId="24E0BE05">
            <w:pPr>
              <w:ind w:firstLine="480"/>
              <w:rPr>
                <w:rFonts w:ascii="仿宋_GB2312" w:eastAsia="仿宋_GB2312"/>
                <w:sz w:val="24"/>
                <w:szCs w:val="24"/>
              </w:rPr>
            </w:pPr>
          </w:p>
        </w:tc>
        <w:tc>
          <w:tcPr>
            <w:tcW w:w="839" w:type="pct"/>
            <w:vAlign w:val="center"/>
          </w:tcPr>
          <w:p w14:paraId="3CB74E03">
            <w:pPr>
              <w:ind w:firstLine="480"/>
              <w:rPr>
                <w:rFonts w:ascii="仿宋_GB2312" w:eastAsia="仿宋_GB2312"/>
                <w:sz w:val="24"/>
                <w:szCs w:val="24"/>
              </w:rPr>
            </w:pPr>
          </w:p>
        </w:tc>
        <w:tc>
          <w:tcPr>
            <w:tcW w:w="746" w:type="pct"/>
            <w:vAlign w:val="center"/>
          </w:tcPr>
          <w:p w14:paraId="40B0D898">
            <w:pPr>
              <w:ind w:firstLine="480"/>
              <w:rPr>
                <w:rFonts w:ascii="仿宋_GB2312" w:eastAsia="仿宋_GB2312"/>
                <w:sz w:val="24"/>
                <w:szCs w:val="24"/>
              </w:rPr>
            </w:pPr>
          </w:p>
        </w:tc>
        <w:tc>
          <w:tcPr>
            <w:tcW w:w="937" w:type="pct"/>
            <w:vAlign w:val="center"/>
          </w:tcPr>
          <w:p w14:paraId="46B35012">
            <w:pPr>
              <w:ind w:firstLine="480"/>
              <w:rPr>
                <w:rFonts w:ascii="仿宋_GB2312" w:eastAsia="仿宋_GB2312"/>
                <w:sz w:val="24"/>
                <w:szCs w:val="24"/>
              </w:rPr>
            </w:pPr>
          </w:p>
        </w:tc>
      </w:tr>
    </w:tbl>
    <w:p w14:paraId="0A93F8A5">
      <w:pPr>
        <w:spacing w:line="600" w:lineRule="exact"/>
        <w:ind w:firstLine="600" w:firstLineChars="200"/>
        <w:rPr>
          <w:rFonts w:ascii="仿宋_GB2312" w:eastAsia="仿宋_GB2312"/>
          <w:kern w:val="28"/>
          <w:sz w:val="30"/>
          <w:szCs w:val="30"/>
        </w:rPr>
      </w:pPr>
    </w:p>
    <w:p w14:paraId="4F1D24A0">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5C8ED094">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78F52084">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FB9C82C">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69E197DA">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75072B34">
      <w:pPr>
        <w:pStyle w:val="18"/>
        <w:rPr>
          <w:szCs w:val="30"/>
        </w:rPr>
      </w:pPr>
      <w:r>
        <w:rPr>
          <w:rFonts w:hint="eastAsia"/>
          <w:szCs w:val="30"/>
        </w:rPr>
        <w:t>我公司保证向上交所提供的书面和电子资料真实、准确、完整与合法。</w:t>
      </w:r>
    </w:p>
    <w:p w14:paraId="479F1EB6">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3BC5663D">
      <w:pPr>
        <w:pStyle w:val="18"/>
        <w:jc w:val="right"/>
        <w:rPr>
          <w:szCs w:val="30"/>
        </w:rPr>
      </w:pPr>
      <w:r>
        <w:rPr>
          <w:rFonts w:hint="eastAsia"/>
          <w:szCs w:val="30"/>
        </w:rPr>
        <w:t xml:space="preserve">                                     经办人（签字）：</w:t>
      </w:r>
    </w:p>
    <w:p w14:paraId="635CCAC6">
      <w:pPr>
        <w:pStyle w:val="18"/>
        <w:jc w:val="right"/>
        <w:rPr>
          <w:szCs w:val="30"/>
        </w:rPr>
      </w:pPr>
      <w:r>
        <w:rPr>
          <w:rFonts w:hint="eastAsia"/>
          <w:szCs w:val="30"/>
        </w:rPr>
        <w:t xml:space="preserve">                                     申请日期：</w:t>
      </w:r>
    </w:p>
    <w:p w14:paraId="5A8B7151">
      <w:pPr>
        <w:pStyle w:val="18"/>
        <w:jc w:val="right"/>
        <w:rPr>
          <w:szCs w:val="30"/>
        </w:rPr>
      </w:pPr>
      <w:r>
        <w:rPr>
          <w:rFonts w:hint="eastAsia"/>
          <w:szCs w:val="30"/>
        </w:rPr>
        <w:t xml:space="preserve">                                     联系电话：</w:t>
      </w:r>
    </w:p>
    <w:p w14:paraId="53704037">
      <w:pPr>
        <w:widowControl/>
        <w:jc w:val="left"/>
        <w:outlineLvl w:val="1"/>
        <w:rPr>
          <w:rFonts w:ascii="仿宋_GB2312" w:eastAsia="仿宋_GB2312"/>
          <w:b/>
          <w:sz w:val="30"/>
          <w:szCs w:val="30"/>
        </w:rPr>
      </w:pPr>
      <w:bookmarkStart w:id="3477" w:name="_Toc55318688"/>
      <w:bookmarkEnd w:id="3477"/>
      <w:r>
        <w:rPr>
          <w:rFonts w:ascii="仿宋_GB2312" w:eastAsia="仿宋_GB2312"/>
          <w:b/>
          <w:sz w:val="30"/>
          <w:szCs w:val="30"/>
        </w:rPr>
        <w:br w:type="page"/>
      </w:r>
      <w:bookmarkStart w:id="3478" w:name="_Toc151137096"/>
      <w:r>
        <w:rPr>
          <w:rFonts w:hint="eastAsia" w:ascii="仿宋_GB2312" w:hAnsi="黑体" w:eastAsia="仿宋_GB2312"/>
          <w:b/>
          <w:sz w:val="30"/>
          <w:szCs w:val="30"/>
        </w:rPr>
        <w:t>附件13 债券做市账户登记表</w:t>
      </w:r>
      <w:bookmarkEnd w:id="3478"/>
    </w:p>
    <w:p w14:paraId="77BD7A0E">
      <w:pPr>
        <w:spacing w:line="600" w:lineRule="exact"/>
        <w:jc w:val="center"/>
        <w:rPr>
          <w:rFonts w:ascii="黑体" w:hAnsi="黑体" w:eastAsia="黑体" w:cs="黑体"/>
          <w:b/>
          <w:sz w:val="44"/>
          <w:szCs w:val="44"/>
        </w:rPr>
      </w:pPr>
    </w:p>
    <w:p w14:paraId="4C05487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债券做市账户登记表</w:t>
      </w:r>
    </w:p>
    <w:p w14:paraId="42763A9A">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2824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05B74284">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00AA534D">
            <w:pPr>
              <w:rPr>
                <w:rFonts w:ascii="仿宋_GB2312" w:eastAsia="仿宋_GB2312"/>
                <w:sz w:val="24"/>
                <w:szCs w:val="24"/>
              </w:rPr>
            </w:pPr>
            <w:r>
              <w:rPr>
                <w:rFonts w:hint="eastAsia" w:ascii="仿宋_GB2312" w:eastAsia="仿宋_GB2312"/>
                <w:sz w:val="24"/>
                <w:szCs w:val="24"/>
              </w:rPr>
              <w:t>电话：</w:t>
            </w:r>
          </w:p>
        </w:tc>
      </w:tr>
      <w:tr w14:paraId="26A1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567AADB5">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3931CF48">
            <w:pPr>
              <w:rPr>
                <w:rFonts w:ascii="仿宋_GB2312" w:eastAsia="仿宋_GB2312"/>
                <w:sz w:val="24"/>
                <w:szCs w:val="24"/>
              </w:rPr>
            </w:pPr>
            <w:r>
              <w:rPr>
                <w:rFonts w:hint="eastAsia" w:ascii="仿宋_GB2312" w:eastAsia="仿宋_GB2312"/>
                <w:sz w:val="24"/>
                <w:szCs w:val="24"/>
              </w:rPr>
              <w:t>传真：</w:t>
            </w:r>
          </w:p>
        </w:tc>
      </w:tr>
      <w:tr w14:paraId="319E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14:paraId="16BF33AF">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2DEA3C4">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32EFEAF4">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4DA76DF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4E3F64F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F6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6940725A">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51EC1144">
            <w:pPr>
              <w:rPr>
                <w:rFonts w:ascii="仿宋_GB2312" w:eastAsia="仿宋_GB2312"/>
                <w:sz w:val="24"/>
                <w:szCs w:val="24"/>
              </w:rPr>
            </w:pPr>
          </w:p>
        </w:tc>
        <w:tc>
          <w:tcPr>
            <w:tcW w:w="1243" w:type="pct"/>
            <w:gridSpan w:val="2"/>
            <w:tcBorders>
              <w:bottom w:val="single" w:color="auto" w:sz="4" w:space="0"/>
            </w:tcBorders>
            <w:vAlign w:val="center"/>
          </w:tcPr>
          <w:p w14:paraId="1B67D782">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02EC4E22">
            <w:pPr>
              <w:rPr>
                <w:rFonts w:ascii="仿宋_GB2312" w:eastAsia="仿宋_GB2312"/>
                <w:sz w:val="24"/>
                <w:szCs w:val="24"/>
              </w:rPr>
            </w:pPr>
          </w:p>
        </w:tc>
      </w:tr>
      <w:tr w14:paraId="604F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3D64ED31">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35399520">
            <w:pPr>
              <w:rPr>
                <w:rFonts w:ascii="仿宋_GB2312" w:eastAsia="仿宋_GB2312"/>
                <w:sz w:val="24"/>
                <w:szCs w:val="24"/>
              </w:rPr>
            </w:pPr>
          </w:p>
        </w:tc>
        <w:tc>
          <w:tcPr>
            <w:tcW w:w="2523" w:type="pct"/>
            <w:gridSpan w:val="4"/>
            <w:tcBorders>
              <w:bottom w:val="single" w:color="auto" w:sz="4" w:space="0"/>
            </w:tcBorders>
            <w:vAlign w:val="center"/>
          </w:tcPr>
          <w:p w14:paraId="50167075">
            <w:pPr>
              <w:rPr>
                <w:rFonts w:ascii="仿宋_GB2312" w:eastAsia="仿宋_GB2312"/>
                <w:sz w:val="24"/>
                <w:szCs w:val="24"/>
              </w:rPr>
            </w:pPr>
          </w:p>
        </w:tc>
      </w:tr>
      <w:tr w14:paraId="0664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728A71CB">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3D107BAE">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CDCE840">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23C3C0C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542CC3A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31BDAD94">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695B7245">
            <w:pPr>
              <w:rPr>
                <w:rFonts w:ascii="仿宋_GB2312" w:eastAsia="仿宋_GB2312"/>
                <w:sz w:val="24"/>
                <w:szCs w:val="24"/>
              </w:rPr>
            </w:pPr>
            <w:r>
              <w:rPr>
                <w:rFonts w:ascii="仿宋_GB2312" w:eastAsia="仿宋_GB2312"/>
                <w:sz w:val="24"/>
                <w:szCs w:val="24"/>
              </w:rPr>
              <w:t>E-mail</w:t>
            </w:r>
          </w:p>
        </w:tc>
      </w:tr>
      <w:tr w14:paraId="6473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34BE8140">
            <w:pPr>
              <w:rPr>
                <w:rFonts w:ascii="仿宋_GB2312" w:eastAsia="仿宋_GB2312"/>
                <w:sz w:val="24"/>
                <w:szCs w:val="24"/>
              </w:rPr>
            </w:pPr>
          </w:p>
        </w:tc>
        <w:tc>
          <w:tcPr>
            <w:tcW w:w="564" w:type="pct"/>
            <w:vAlign w:val="center"/>
          </w:tcPr>
          <w:p w14:paraId="25781E75">
            <w:pPr>
              <w:rPr>
                <w:rFonts w:ascii="仿宋_GB2312" w:eastAsia="仿宋_GB2312"/>
                <w:sz w:val="24"/>
                <w:szCs w:val="24"/>
              </w:rPr>
            </w:pPr>
          </w:p>
        </w:tc>
        <w:tc>
          <w:tcPr>
            <w:tcW w:w="443" w:type="pct"/>
            <w:vAlign w:val="center"/>
          </w:tcPr>
          <w:p w14:paraId="632A2620">
            <w:pPr>
              <w:rPr>
                <w:rFonts w:ascii="仿宋_GB2312" w:eastAsia="仿宋_GB2312"/>
                <w:sz w:val="24"/>
                <w:szCs w:val="24"/>
              </w:rPr>
            </w:pPr>
          </w:p>
        </w:tc>
        <w:tc>
          <w:tcPr>
            <w:tcW w:w="758" w:type="pct"/>
            <w:vAlign w:val="center"/>
          </w:tcPr>
          <w:p w14:paraId="2F0CF3F7">
            <w:pPr>
              <w:rPr>
                <w:rFonts w:ascii="仿宋_GB2312" w:eastAsia="仿宋_GB2312"/>
                <w:sz w:val="24"/>
                <w:szCs w:val="24"/>
              </w:rPr>
            </w:pPr>
          </w:p>
        </w:tc>
        <w:tc>
          <w:tcPr>
            <w:tcW w:w="840" w:type="pct"/>
            <w:vAlign w:val="center"/>
          </w:tcPr>
          <w:p w14:paraId="6F31C837">
            <w:pPr>
              <w:rPr>
                <w:rFonts w:ascii="仿宋_GB2312" w:eastAsia="仿宋_GB2312"/>
                <w:sz w:val="24"/>
                <w:szCs w:val="24"/>
              </w:rPr>
            </w:pPr>
          </w:p>
        </w:tc>
        <w:tc>
          <w:tcPr>
            <w:tcW w:w="746" w:type="pct"/>
            <w:gridSpan w:val="2"/>
            <w:vAlign w:val="center"/>
          </w:tcPr>
          <w:p w14:paraId="4C2482ED">
            <w:pPr>
              <w:rPr>
                <w:rFonts w:ascii="仿宋_GB2312" w:eastAsia="仿宋_GB2312"/>
                <w:sz w:val="24"/>
                <w:szCs w:val="24"/>
              </w:rPr>
            </w:pPr>
          </w:p>
        </w:tc>
        <w:tc>
          <w:tcPr>
            <w:tcW w:w="937" w:type="pct"/>
            <w:vAlign w:val="center"/>
          </w:tcPr>
          <w:p w14:paraId="2AAED8F4">
            <w:pPr>
              <w:rPr>
                <w:rFonts w:ascii="仿宋_GB2312" w:eastAsia="仿宋_GB2312"/>
                <w:sz w:val="24"/>
                <w:szCs w:val="24"/>
              </w:rPr>
            </w:pPr>
          </w:p>
        </w:tc>
      </w:tr>
      <w:tr w14:paraId="4F98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45ED3695">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40B20D3">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7C09C787">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E978BE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CB5361">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2387FE8E">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36B2FAC6">
            <w:pPr>
              <w:rPr>
                <w:rFonts w:ascii="仿宋_GB2312" w:eastAsia="仿宋_GB2312"/>
                <w:sz w:val="24"/>
                <w:szCs w:val="24"/>
              </w:rPr>
            </w:pPr>
            <w:r>
              <w:rPr>
                <w:rFonts w:ascii="仿宋_GB2312" w:eastAsia="仿宋_GB2312"/>
                <w:sz w:val="24"/>
                <w:szCs w:val="24"/>
              </w:rPr>
              <w:t>E-mail</w:t>
            </w:r>
          </w:p>
        </w:tc>
      </w:tr>
      <w:tr w14:paraId="0ECD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4894D820">
            <w:pPr>
              <w:rPr>
                <w:rFonts w:ascii="仿宋_GB2312" w:eastAsia="仿宋_GB2312"/>
                <w:sz w:val="24"/>
                <w:szCs w:val="24"/>
              </w:rPr>
            </w:pPr>
          </w:p>
        </w:tc>
        <w:tc>
          <w:tcPr>
            <w:tcW w:w="564" w:type="pct"/>
            <w:vAlign w:val="center"/>
          </w:tcPr>
          <w:p w14:paraId="54B662CA">
            <w:pPr>
              <w:rPr>
                <w:rFonts w:ascii="仿宋_GB2312" w:eastAsia="仿宋_GB2312"/>
                <w:sz w:val="24"/>
                <w:szCs w:val="24"/>
              </w:rPr>
            </w:pPr>
          </w:p>
        </w:tc>
        <w:tc>
          <w:tcPr>
            <w:tcW w:w="443" w:type="pct"/>
            <w:vAlign w:val="center"/>
          </w:tcPr>
          <w:p w14:paraId="743F30BC">
            <w:pPr>
              <w:rPr>
                <w:rFonts w:ascii="仿宋_GB2312" w:eastAsia="仿宋_GB2312"/>
                <w:sz w:val="24"/>
                <w:szCs w:val="24"/>
              </w:rPr>
            </w:pPr>
          </w:p>
        </w:tc>
        <w:tc>
          <w:tcPr>
            <w:tcW w:w="758" w:type="pct"/>
            <w:vAlign w:val="center"/>
          </w:tcPr>
          <w:p w14:paraId="123C2F7C">
            <w:pPr>
              <w:rPr>
                <w:rFonts w:ascii="仿宋_GB2312" w:eastAsia="仿宋_GB2312"/>
                <w:sz w:val="24"/>
                <w:szCs w:val="24"/>
              </w:rPr>
            </w:pPr>
          </w:p>
        </w:tc>
        <w:tc>
          <w:tcPr>
            <w:tcW w:w="840" w:type="pct"/>
            <w:vAlign w:val="center"/>
          </w:tcPr>
          <w:p w14:paraId="366EBC37">
            <w:pPr>
              <w:rPr>
                <w:rFonts w:ascii="仿宋_GB2312" w:eastAsia="仿宋_GB2312"/>
                <w:sz w:val="24"/>
                <w:szCs w:val="24"/>
              </w:rPr>
            </w:pPr>
          </w:p>
        </w:tc>
        <w:tc>
          <w:tcPr>
            <w:tcW w:w="746" w:type="pct"/>
            <w:gridSpan w:val="2"/>
            <w:vAlign w:val="center"/>
          </w:tcPr>
          <w:p w14:paraId="41E4BD03">
            <w:pPr>
              <w:rPr>
                <w:rFonts w:ascii="仿宋_GB2312" w:eastAsia="仿宋_GB2312"/>
                <w:sz w:val="24"/>
                <w:szCs w:val="24"/>
              </w:rPr>
            </w:pPr>
          </w:p>
        </w:tc>
        <w:tc>
          <w:tcPr>
            <w:tcW w:w="937" w:type="pct"/>
            <w:vAlign w:val="center"/>
          </w:tcPr>
          <w:p w14:paraId="44A66B30">
            <w:pPr>
              <w:rPr>
                <w:rFonts w:ascii="仿宋_GB2312" w:eastAsia="仿宋_GB2312"/>
                <w:sz w:val="24"/>
                <w:szCs w:val="24"/>
              </w:rPr>
            </w:pPr>
          </w:p>
        </w:tc>
      </w:tr>
    </w:tbl>
    <w:p w14:paraId="5555A311">
      <w:pPr>
        <w:pStyle w:val="18"/>
        <w:rPr>
          <w:szCs w:val="30"/>
        </w:rPr>
      </w:pPr>
    </w:p>
    <w:p w14:paraId="112467E9">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6CCC71B4">
      <w:pPr>
        <w:pStyle w:val="18"/>
        <w:jc w:val="right"/>
        <w:rPr>
          <w:szCs w:val="30"/>
        </w:rPr>
      </w:pPr>
    </w:p>
    <w:p w14:paraId="57FE5C9B">
      <w:pPr>
        <w:pStyle w:val="18"/>
        <w:jc w:val="right"/>
        <w:rPr>
          <w:szCs w:val="30"/>
        </w:rPr>
      </w:pPr>
      <w:r>
        <w:rPr>
          <w:rFonts w:hint="eastAsia"/>
          <w:szCs w:val="30"/>
        </w:rPr>
        <w:t xml:space="preserve">                                     经办人（签字）：</w:t>
      </w:r>
    </w:p>
    <w:p w14:paraId="0A4F9F7A">
      <w:pPr>
        <w:pStyle w:val="18"/>
        <w:jc w:val="right"/>
        <w:rPr>
          <w:szCs w:val="30"/>
        </w:rPr>
      </w:pPr>
      <w:r>
        <w:rPr>
          <w:rFonts w:hint="eastAsia"/>
          <w:szCs w:val="30"/>
        </w:rPr>
        <w:t xml:space="preserve">                                     申请日期：</w:t>
      </w:r>
    </w:p>
    <w:p w14:paraId="27905B9B">
      <w:pPr>
        <w:pStyle w:val="18"/>
        <w:jc w:val="right"/>
        <w:rPr>
          <w:szCs w:val="30"/>
        </w:rPr>
      </w:pPr>
      <w:r>
        <w:rPr>
          <w:rFonts w:hint="eastAsia"/>
          <w:szCs w:val="30"/>
        </w:rPr>
        <w:t xml:space="preserve">                                     联系电话：</w:t>
      </w:r>
    </w:p>
    <w:p w14:paraId="6CB13936">
      <w:pPr>
        <w:spacing w:line="600" w:lineRule="exact"/>
        <w:ind w:firstLine="600" w:firstLineChars="200"/>
        <w:rPr>
          <w:rFonts w:ascii="仿宋_GB2312" w:hAnsi="微软雅黑" w:eastAsia="仿宋_GB2312"/>
          <w:sz w:val="30"/>
          <w:szCs w:val="30"/>
        </w:rPr>
      </w:pPr>
    </w:p>
    <w:p w14:paraId="00044A2E">
      <w:pPr>
        <w:widowControl/>
        <w:jc w:val="left"/>
        <w:outlineLvl w:val="1"/>
        <w:rPr>
          <w:rFonts w:ascii="仿宋_GB2312" w:hAnsi="仿宋" w:eastAsia="仿宋_GB2312"/>
          <w:sz w:val="30"/>
          <w:szCs w:val="30"/>
        </w:rPr>
      </w:pPr>
      <w:bookmarkStart w:id="3479" w:name="_Toc55318689"/>
      <w:bookmarkEnd w:id="3479"/>
      <w:r>
        <w:rPr>
          <w:rFonts w:ascii="仿宋_GB2312" w:eastAsia="仿宋_GB2312"/>
          <w:b/>
          <w:sz w:val="30"/>
          <w:szCs w:val="30"/>
        </w:rPr>
        <w:br w:type="page"/>
      </w:r>
      <w:bookmarkStart w:id="3480" w:name="_Toc151137097"/>
      <w:r>
        <w:rPr>
          <w:rFonts w:hint="eastAsia" w:ascii="仿宋_GB2312" w:hAnsi="黑体" w:eastAsia="仿宋_GB2312"/>
          <w:b/>
          <w:sz w:val="30"/>
          <w:szCs w:val="30"/>
        </w:rPr>
        <w:t>附件14 债券做市账户变更表</w:t>
      </w:r>
      <w:bookmarkEnd w:id="3480"/>
    </w:p>
    <w:p w14:paraId="1F45A29B">
      <w:pPr>
        <w:spacing w:line="600" w:lineRule="exact"/>
        <w:jc w:val="center"/>
        <w:rPr>
          <w:rFonts w:ascii="黑体" w:hAnsi="黑体"/>
          <w:b/>
          <w:sz w:val="44"/>
          <w:szCs w:val="44"/>
        </w:rPr>
      </w:pPr>
    </w:p>
    <w:p w14:paraId="68D25AB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债券做市账户变更表</w:t>
      </w:r>
    </w:p>
    <w:p w14:paraId="73EDE34E">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54FA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2A197419">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7DFB5105">
            <w:pPr>
              <w:rPr>
                <w:rFonts w:ascii="仿宋_GB2312" w:eastAsia="仿宋_GB2312"/>
                <w:sz w:val="24"/>
                <w:szCs w:val="24"/>
              </w:rPr>
            </w:pPr>
            <w:r>
              <w:rPr>
                <w:rFonts w:hint="eastAsia" w:ascii="仿宋_GB2312" w:eastAsia="仿宋_GB2312"/>
                <w:sz w:val="24"/>
                <w:szCs w:val="24"/>
              </w:rPr>
              <w:t>电话：</w:t>
            </w:r>
          </w:p>
        </w:tc>
      </w:tr>
      <w:tr w14:paraId="2208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798CDD11">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038DB6C0">
            <w:pPr>
              <w:rPr>
                <w:rFonts w:ascii="仿宋_GB2312" w:eastAsia="仿宋_GB2312"/>
                <w:sz w:val="24"/>
                <w:szCs w:val="24"/>
              </w:rPr>
            </w:pPr>
            <w:r>
              <w:rPr>
                <w:rFonts w:hint="eastAsia" w:ascii="仿宋_GB2312" w:eastAsia="仿宋_GB2312"/>
                <w:sz w:val="24"/>
                <w:szCs w:val="24"/>
              </w:rPr>
              <w:t>传真：</w:t>
            </w:r>
          </w:p>
        </w:tc>
      </w:tr>
      <w:tr w14:paraId="4CBB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14:paraId="5B143B2A">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FDF174E">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6500D6D">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37350321">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F643FD8">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42BC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749440FD">
            <w:pPr>
              <w:rPr>
                <w:rFonts w:ascii="仿宋_GB2312" w:eastAsia="仿宋_GB2312"/>
                <w:sz w:val="24"/>
                <w:szCs w:val="24"/>
              </w:rPr>
            </w:pPr>
            <w:r>
              <w:rPr>
                <w:rFonts w:hint="eastAsia" w:ascii="仿宋_GB2312" w:eastAsia="仿宋_GB2312"/>
                <w:sz w:val="24"/>
                <w:szCs w:val="24"/>
              </w:rPr>
              <w:t>变更前</w:t>
            </w:r>
          </w:p>
        </w:tc>
      </w:tr>
      <w:tr w14:paraId="3A36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20245188">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693F8187">
            <w:pPr>
              <w:rPr>
                <w:rFonts w:ascii="仿宋_GB2312" w:eastAsia="仿宋_GB2312"/>
                <w:sz w:val="24"/>
                <w:szCs w:val="24"/>
              </w:rPr>
            </w:pPr>
          </w:p>
        </w:tc>
        <w:tc>
          <w:tcPr>
            <w:tcW w:w="1243" w:type="pct"/>
            <w:gridSpan w:val="2"/>
            <w:tcBorders>
              <w:bottom w:val="single" w:color="auto" w:sz="4" w:space="0"/>
            </w:tcBorders>
            <w:vAlign w:val="center"/>
          </w:tcPr>
          <w:p w14:paraId="4851C313">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52D03BF1">
            <w:pPr>
              <w:rPr>
                <w:rFonts w:ascii="仿宋_GB2312" w:eastAsia="仿宋_GB2312"/>
                <w:sz w:val="24"/>
                <w:szCs w:val="24"/>
              </w:rPr>
            </w:pPr>
          </w:p>
        </w:tc>
      </w:tr>
      <w:tr w14:paraId="76B3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0BBF2018">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6ECD84CB">
            <w:pPr>
              <w:rPr>
                <w:rFonts w:ascii="仿宋_GB2312" w:eastAsia="仿宋_GB2312"/>
                <w:sz w:val="24"/>
                <w:szCs w:val="24"/>
              </w:rPr>
            </w:pPr>
          </w:p>
        </w:tc>
        <w:tc>
          <w:tcPr>
            <w:tcW w:w="2523" w:type="pct"/>
            <w:gridSpan w:val="4"/>
            <w:tcBorders>
              <w:bottom w:val="single" w:color="auto" w:sz="4" w:space="0"/>
            </w:tcBorders>
            <w:vAlign w:val="center"/>
          </w:tcPr>
          <w:p w14:paraId="641C3722">
            <w:pPr>
              <w:rPr>
                <w:rFonts w:ascii="仿宋_GB2312" w:eastAsia="仿宋_GB2312"/>
                <w:sz w:val="24"/>
                <w:szCs w:val="24"/>
              </w:rPr>
            </w:pPr>
          </w:p>
        </w:tc>
      </w:tr>
      <w:tr w14:paraId="2C3F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54629E4F">
            <w:pPr>
              <w:rPr>
                <w:rFonts w:ascii="仿宋_GB2312" w:eastAsia="仿宋_GB2312"/>
                <w:sz w:val="24"/>
                <w:szCs w:val="24"/>
              </w:rPr>
            </w:pPr>
            <w:r>
              <w:rPr>
                <w:rFonts w:hint="eastAsia" w:ascii="仿宋_GB2312" w:eastAsia="仿宋_GB2312"/>
                <w:sz w:val="24"/>
                <w:szCs w:val="24"/>
              </w:rPr>
              <w:t>变更后</w:t>
            </w:r>
          </w:p>
        </w:tc>
      </w:tr>
      <w:tr w14:paraId="2DB0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3BD1C7D">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4B58AFA3">
            <w:pPr>
              <w:rPr>
                <w:rFonts w:ascii="仿宋_GB2312" w:eastAsia="仿宋_GB2312"/>
                <w:sz w:val="24"/>
                <w:szCs w:val="24"/>
              </w:rPr>
            </w:pPr>
          </w:p>
        </w:tc>
        <w:tc>
          <w:tcPr>
            <w:tcW w:w="1243" w:type="pct"/>
            <w:gridSpan w:val="2"/>
            <w:tcBorders>
              <w:bottom w:val="single" w:color="auto" w:sz="4" w:space="0"/>
            </w:tcBorders>
            <w:vAlign w:val="center"/>
          </w:tcPr>
          <w:p w14:paraId="38971E18">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757582FF">
            <w:pPr>
              <w:rPr>
                <w:rFonts w:ascii="仿宋_GB2312" w:eastAsia="仿宋_GB2312"/>
                <w:sz w:val="24"/>
                <w:szCs w:val="24"/>
              </w:rPr>
            </w:pPr>
          </w:p>
        </w:tc>
      </w:tr>
      <w:tr w14:paraId="51C6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B9FC94F">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536E8A44">
            <w:pPr>
              <w:rPr>
                <w:rFonts w:ascii="仿宋_GB2312" w:eastAsia="仿宋_GB2312"/>
                <w:sz w:val="24"/>
                <w:szCs w:val="24"/>
              </w:rPr>
            </w:pPr>
          </w:p>
        </w:tc>
        <w:tc>
          <w:tcPr>
            <w:tcW w:w="2523" w:type="pct"/>
            <w:gridSpan w:val="4"/>
            <w:tcBorders>
              <w:bottom w:val="single" w:color="auto" w:sz="4" w:space="0"/>
            </w:tcBorders>
            <w:vAlign w:val="center"/>
          </w:tcPr>
          <w:p w14:paraId="629E08B9">
            <w:pPr>
              <w:rPr>
                <w:rFonts w:ascii="仿宋_GB2312" w:eastAsia="仿宋_GB2312"/>
                <w:sz w:val="24"/>
                <w:szCs w:val="24"/>
              </w:rPr>
            </w:pPr>
          </w:p>
        </w:tc>
      </w:tr>
      <w:tr w14:paraId="2AF3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2" w:type="pct"/>
            <w:tcBorders>
              <w:bottom w:val="single" w:color="auto" w:sz="4" w:space="0"/>
            </w:tcBorders>
            <w:vAlign w:val="center"/>
          </w:tcPr>
          <w:p w14:paraId="287357E7">
            <w:pPr>
              <w:rPr>
                <w:rFonts w:ascii="仿宋_GB2312" w:eastAsia="仿宋_GB2312"/>
                <w:sz w:val="24"/>
                <w:szCs w:val="24"/>
              </w:rPr>
            </w:pPr>
            <w:r>
              <w:rPr>
                <w:rFonts w:hint="eastAsia" w:ascii="仿宋_GB2312" w:eastAsia="仿宋_GB2312"/>
                <w:sz w:val="24"/>
                <w:szCs w:val="24"/>
              </w:rPr>
              <w:t>变更原因说明</w:t>
            </w:r>
          </w:p>
        </w:tc>
        <w:tc>
          <w:tcPr>
            <w:tcW w:w="4288" w:type="pct"/>
            <w:gridSpan w:val="7"/>
            <w:tcBorders>
              <w:bottom w:val="single" w:color="auto" w:sz="4" w:space="0"/>
            </w:tcBorders>
            <w:vAlign w:val="center"/>
          </w:tcPr>
          <w:p w14:paraId="4F532ABF">
            <w:pPr>
              <w:rPr>
                <w:rFonts w:ascii="仿宋_GB2312" w:eastAsia="仿宋_GB2312"/>
                <w:sz w:val="24"/>
                <w:szCs w:val="24"/>
              </w:rPr>
            </w:pPr>
          </w:p>
        </w:tc>
      </w:tr>
      <w:tr w14:paraId="416E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0837AAE8">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104F4150">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43137D9F">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47114E4">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4958E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5539CF4F">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4F102D6F">
            <w:pPr>
              <w:rPr>
                <w:rFonts w:ascii="仿宋_GB2312" w:eastAsia="仿宋_GB2312"/>
                <w:sz w:val="24"/>
                <w:szCs w:val="24"/>
              </w:rPr>
            </w:pPr>
            <w:r>
              <w:rPr>
                <w:rFonts w:ascii="仿宋_GB2312" w:eastAsia="仿宋_GB2312"/>
                <w:sz w:val="24"/>
                <w:szCs w:val="24"/>
              </w:rPr>
              <w:t>E-mail</w:t>
            </w:r>
          </w:p>
        </w:tc>
      </w:tr>
      <w:tr w14:paraId="4C52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10AB716C">
            <w:pPr>
              <w:rPr>
                <w:rFonts w:ascii="仿宋_GB2312" w:eastAsia="仿宋_GB2312"/>
                <w:sz w:val="24"/>
                <w:szCs w:val="24"/>
              </w:rPr>
            </w:pPr>
          </w:p>
        </w:tc>
        <w:tc>
          <w:tcPr>
            <w:tcW w:w="564" w:type="pct"/>
            <w:vAlign w:val="center"/>
          </w:tcPr>
          <w:p w14:paraId="360A4222">
            <w:pPr>
              <w:rPr>
                <w:rFonts w:ascii="仿宋_GB2312" w:eastAsia="仿宋_GB2312"/>
                <w:sz w:val="24"/>
                <w:szCs w:val="24"/>
              </w:rPr>
            </w:pPr>
          </w:p>
        </w:tc>
        <w:tc>
          <w:tcPr>
            <w:tcW w:w="443" w:type="pct"/>
            <w:vAlign w:val="center"/>
          </w:tcPr>
          <w:p w14:paraId="42722504">
            <w:pPr>
              <w:rPr>
                <w:rFonts w:ascii="仿宋_GB2312" w:eastAsia="仿宋_GB2312"/>
                <w:sz w:val="24"/>
                <w:szCs w:val="24"/>
              </w:rPr>
            </w:pPr>
          </w:p>
        </w:tc>
        <w:tc>
          <w:tcPr>
            <w:tcW w:w="758" w:type="pct"/>
            <w:vAlign w:val="center"/>
          </w:tcPr>
          <w:p w14:paraId="5D923AFB">
            <w:pPr>
              <w:rPr>
                <w:rFonts w:ascii="仿宋_GB2312" w:eastAsia="仿宋_GB2312"/>
                <w:sz w:val="24"/>
                <w:szCs w:val="24"/>
              </w:rPr>
            </w:pPr>
          </w:p>
        </w:tc>
        <w:tc>
          <w:tcPr>
            <w:tcW w:w="840" w:type="pct"/>
            <w:vAlign w:val="center"/>
          </w:tcPr>
          <w:p w14:paraId="2D5EA7D1">
            <w:pPr>
              <w:rPr>
                <w:rFonts w:ascii="仿宋_GB2312" w:eastAsia="仿宋_GB2312"/>
                <w:sz w:val="24"/>
                <w:szCs w:val="24"/>
              </w:rPr>
            </w:pPr>
          </w:p>
        </w:tc>
        <w:tc>
          <w:tcPr>
            <w:tcW w:w="746" w:type="pct"/>
            <w:gridSpan w:val="2"/>
            <w:vAlign w:val="center"/>
          </w:tcPr>
          <w:p w14:paraId="301A1246">
            <w:pPr>
              <w:rPr>
                <w:rFonts w:ascii="仿宋_GB2312" w:eastAsia="仿宋_GB2312"/>
                <w:sz w:val="24"/>
                <w:szCs w:val="24"/>
              </w:rPr>
            </w:pPr>
          </w:p>
        </w:tc>
        <w:tc>
          <w:tcPr>
            <w:tcW w:w="937" w:type="pct"/>
            <w:vAlign w:val="center"/>
          </w:tcPr>
          <w:p w14:paraId="3C48171C">
            <w:pPr>
              <w:rPr>
                <w:rFonts w:ascii="仿宋_GB2312" w:eastAsia="仿宋_GB2312"/>
                <w:sz w:val="24"/>
                <w:szCs w:val="24"/>
              </w:rPr>
            </w:pPr>
          </w:p>
        </w:tc>
      </w:tr>
      <w:tr w14:paraId="6009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402482F6">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26561FF">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14A0D19">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6125AA8">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41BA99D8">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0F2224C5">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16C841C">
            <w:pPr>
              <w:rPr>
                <w:rFonts w:ascii="仿宋_GB2312" w:eastAsia="仿宋_GB2312"/>
                <w:sz w:val="24"/>
                <w:szCs w:val="24"/>
              </w:rPr>
            </w:pPr>
            <w:r>
              <w:rPr>
                <w:rFonts w:ascii="仿宋_GB2312" w:eastAsia="仿宋_GB2312"/>
                <w:sz w:val="24"/>
                <w:szCs w:val="24"/>
              </w:rPr>
              <w:t>E-mail</w:t>
            </w:r>
          </w:p>
        </w:tc>
      </w:tr>
      <w:tr w14:paraId="3C5F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71181C88">
            <w:pPr>
              <w:rPr>
                <w:rFonts w:ascii="仿宋_GB2312" w:eastAsia="仿宋_GB2312"/>
                <w:sz w:val="24"/>
                <w:szCs w:val="24"/>
              </w:rPr>
            </w:pPr>
          </w:p>
        </w:tc>
        <w:tc>
          <w:tcPr>
            <w:tcW w:w="564" w:type="pct"/>
            <w:vAlign w:val="center"/>
          </w:tcPr>
          <w:p w14:paraId="010962BF">
            <w:pPr>
              <w:rPr>
                <w:rFonts w:ascii="仿宋_GB2312" w:eastAsia="仿宋_GB2312"/>
                <w:sz w:val="24"/>
                <w:szCs w:val="24"/>
              </w:rPr>
            </w:pPr>
          </w:p>
        </w:tc>
        <w:tc>
          <w:tcPr>
            <w:tcW w:w="443" w:type="pct"/>
            <w:vAlign w:val="center"/>
          </w:tcPr>
          <w:p w14:paraId="3A1D143E">
            <w:pPr>
              <w:rPr>
                <w:rFonts w:ascii="仿宋_GB2312" w:eastAsia="仿宋_GB2312"/>
                <w:sz w:val="24"/>
                <w:szCs w:val="24"/>
              </w:rPr>
            </w:pPr>
          </w:p>
        </w:tc>
        <w:tc>
          <w:tcPr>
            <w:tcW w:w="758" w:type="pct"/>
            <w:vAlign w:val="center"/>
          </w:tcPr>
          <w:p w14:paraId="1A89C7FF">
            <w:pPr>
              <w:rPr>
                <w:rFonts w:ascii="仿宋_GB2312" w:eastAsia="仿宋_GB2312"/>
                <w:sz w:val="24"/>
                <w:szCs w:val="24"/>
              </w:rPr>
            </w:pPr>
          </w:p>
        </w:tc>
        <w:tc>
          <w:tcPr>
            <w:tcW w:w="840" w:type="pct"/>
            <w:vAlign w:val="center"/>
          </w:tcPr>
          <w:p w14:paraId="248EA5CF">
            <w:pPr>
              <w:rPr>
                <w:rFonts w:ascii="仿宋_GB2312" w:eastAsia="仿宋_GB2312"/>
                <w:sz w:val="24"/>
                <w:szCs w:val="24"/>
              </w:rPr>
            </w:pPr>
          </w:p>
        </w:tc>
        <w:tc>
          <w:tcPr>
            <w:tcW w:w="746" w:type="pct"/>
            <w:gridSpan w:val="2"/>
            <w:vAlign w:val="center"/>
          </w:tcPr>
          <w:p w14:paraId="09926890">
            <w:pPr>
              <w:rPr>
                <w:rFonts w:ascii="仿宋_GB2312" w:eastAsia="仿宋_GB2312"/>
                <w:sz w:val="24"/>
                <w:szCs w:val="24"/>
              </w:rPr>
            </w:pPr>
          </w:p>
        </w:tc>
        <w:tc>
          <w:tcPr>
            <w:tcW w:w="937" w:type="pct"/>
            <w:vAlign w:val="center"/>
          </w:tcPr>
          <w:p w14:paraId="3199ACF3">
            <w:pPr>
              <w:rPr>
                <w:rFonts w:ascii="仿宋_GB2312" w:eastAsia="仿宋_GB2312"/>
                <w:sz w:val="24"/>
                <w:szCs w:val="24"/>
              </w:rPr>
            </w:pPr>
          </w:p>
        </w:tc>
      </w:tr>
    </w:tbl>
    <w:p w14:paraId="17AAC0A2">
      <w:pPr>
        <w:spacing w:line="600" w:lineRule="exact"/>
        <w:ind w:firstLine="600" w:firstLineChars="200"/>
        <w:rPr>
          <w:rFonts w:ascii="仿宋_GB2312" w:eastAsia="仿宋_GB2312"/>
          <w:kern w:val="28"/>
          <w:sz w:val="30"/>
          <w:szCs w:val="30"/>
        </w:rPr>
      </w:pPr>
    </w:p>
    <w:p w14:paraId="16E86D8B">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0F793436">
      <w:pPr>
        <w:pStyle w:val="18"/>
        <w:jc w:val="right"/>
        <w:rPr>
          <w:szCs w:val="30"/>
        </w:rPr>
      </w:pPr>
    </w:p>
    <w:p w14:paraId="3510C300">
      <w:pPr>
        <w:pStyle w:val="18"/>
        <w:jc w:val="right"/>
        <w:rPr>
          <w:szCs w:val="30"/>
        </w:rPr>
      </w:pPr>
      <w:r>
        <w:rPr>
          <w:rFonts w:hint="eastAsia"/>
          <w:szCs w:val="30"/>
        </w:rPr>
        <w:t xml:space="preserve">                                     经办人（签字）：</w:t>
      </w:r>
    </w:p>
    <w:p w14:paraId="1ED0B407">
      <w:pPr>
        <w:pStyle w:val="18"/>
        <w:jc w:val="right"/>
        <w:rPr>
          <w:szCs w:val="30"/>
        </w:rPr>
      </w:pPr>
      <w:r>
        <w:rPr>
          <w:rFonts w:hint="eastAsia"/>
          <w:szCs w:val="30"/>
        </w:rPr>
        <w:t xml:space="preserve">                                     申请日期：</w:t>
      </w:r>
    </w:p>
    <w:p w14:paraId="462FCFB5">
      <w:pPr>
        <w:pStyle w:val="18"/>
        <w:jc w:val="right"/>
        <w:rPr>
          <w:szCs w:val="30"/>
        </w:rPr>
      </w:pPr>
      <w:r>
        <w:rPr>
          <w:rFonts w:hint="eastAsia"/>
          <w:szCs w:val="30"/>
        </w:rPr>
        <w:t xml:space="preserve">                                     联系电话：</w:t>
      </w:r>
    </w:p>
    <w:p w14:paraId="45ABDA28">
      <w:pPr>
        <w:widowControl/>
        <w:jc w:val="left"/>
        <w:rPr>
          <w:rFonts w:ascii="仿宋_GB2312" w:eastAsia="仿宋_GB2312"/>
          <w:kern w:val="0"/>
          <w:sz w:val="30"/>
          <w:szCs w:val="30"/>
        </w:rPr>
      </w:pPr>
      <w:r>
        <w:rPr>
          <w:szCs w:val="30"/>
        </w:rPr>
        <w:br w:type="page"/>
      </w:r>
    </w:p>
    <w:p w14:paraId="58226241">
      <w:pPr>
        <w:widowControl/>
        <w:jc w:val="left"/>
        <w:outlineLvl w:val="1"/>
        <w:rPr>
          <w:rFonts w:ascii="仿宋_GB2312" w:hAnsi="黑体" w:eastAsia="仿宋_GB2312"/>
          <w:b/>
          <w:sz w:val="30"/>
          <w:szCs w:val="30"/>
        </w:rPr>
      </w:pPr>
      <w:bookmarkStart w:id="3481" w:name="_Toc151137098"/>
      <w:bookmarkStart w:id="3482" w:name="_Toc102468978"/>
      <w:r>
        <w:rPr>
          <w:rFonts w:hint="eastAsia" w:ascii="仿宋_GB2312" w:hAnsi="黑体" w:eastAsia="仿宋_GB2312"/>
          <w:b/>
          <w:sz w:val="30"/>
          <w:szCs w:val="30"/>
        </w:rPr>
        <w:t>附件15 添加债券做市标的登记表</w:t>
      </w:r>
      <w:bookmarkEnd w:id="3481"/>
      <w:bookmarkEnd w:id="3482"/>
    </w:p>
    <w:p w14:paraId="156169CD">
      <w:pPr>
        <w:spacing w:line="600" w:lineRule="exact"/>
        <w:jc w:val="center"/>
        <w:rPr>
          <w:rFonts w:ascii="黑体" w:hAnsi="黑体"/>
          <w:b/>
          <w:sz w:val="44"/>
          <w:szCs w:val="44"/>
        </w:rPr>
      </w:pPr>
    </w:p>
    <w:p w14:paraId="7B9B7ECE">
      <w:pPr>
        <w:spacing w:line="600" w:lineRule="exact"/>
        <w:jc w:val="center"/>
        <w:rPr>
          <w:rFonts w:ascii="黑体" w:hAnsi="黑体" w:eastAsia="黑体" w:cs="黑体"/>
          <w:b/>
          <w:sz w:val="44"/>
          <w:szCs w:val="44"/>
        </w:rPr>
      </w:pPr>
      <w:r>
        <w:rPr>
          <w:rFonts w:hint="eastAsia" w:ascii="黑体" w:hAnsi="黑体" w:eastAsia="黑体" w:cs="黑体"/>
          <w:b/>
          <w:sz w:val="44"/>
          <w:szCs w:val="44"/>
        </w:rPr>
        <w:t>添加债券做市标的登记表</w:t>
      </w:r>
    </w:p>
    <w:p w14:paraId="699C17A9">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879"/>
        <w:gridCol w:w="1281"/>
        <w:gridCol w:w="319"/>
        <w:gridCol w:w="962"/>
        <w:gridCol w:w="638"/>
        <w:gridCol w:w="439"/>
        <w:gridCol w:w="204"/>
        <w:gridCol w:w="1281"/>
        <w:gridCol w:w="1276"/>
      </w:tblGrid>
      <w:tr w14:paraId="59A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64" w:type="pct"/>
            <w:gridSpan w:val="7"/>
            <w:vAlign w:val="center"/>
          </w:tcPr>
          <w:p w14:paraId="3136C52A">
            <w:pPr>
              <w:rPr>
                <w:rFonts w:ascii="仿宋_GB2312" w:eastAsia="仿宋_GB2312"/>
                <w:sz w:val="24"/>
                <w:szCs w:val="24"/>
              </w:rPr>
            </w:pPr>
            <w:r>
              <w:rPr>
                <w:rFonts w:hint="eastAsia" w:ascii="仿宋_GB2312" w:eastAsia="仿宋_GB2312"/>
                <w:sz w:val="24"/>
                <w:szCs w:val="24"/>
              </w:rPr>
              <w:t>做市商全称：</w:t>
            </w:r>
          </w:p>
        </w:tc>
        <w:tc>
          <w:tcPr>
            <w:tcW w:w="1636" w:type="pct"/>
            <w:gridSpan w:val="3"/>
            <w:vAlign w:val="center"/>
          </w:tcPr>
          <w:p w14:paraId="3382A488">
            <w:pPr>
              <w:rPr>
                <w:rFonts w:ascii="仿宋_GB2312" w:eastAsia="仿宋_GB2312"/>
                <w:sz w:val="24"/>
                <w:szCs w:val="24"/>
              </w:rPr>
            </w:pPr>
            <w:r>
              <w:rPr>
                <w:rFonts w:hint="eastAsia" w:ascii="仿宋_GB2312" w:eastAsia="仿宋_GB2312"/>
                <w:sz w:val="24"/>
                <w:szCs w:val="24"/>
              </w:rPr>
              <w:t>电话：</w:t>
            </w:r>
          </w:p>
        </w:tc>
      </w:tr>
      <w:tr w14:paraId="2F50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64" w:type="pct"/>
            <w:gridSpan w:val="7"/>
            <w:vAlign w:val="center"/>
          </w:tcPr>
          <w:p w14:paraId="2945642D">
            <w:pPr>
              <w:rPr>
                <w:rFonts w:ascii="仿宋_GB2312" w:eastAsia="仿宋_GB2312"/>
                <w:sz w:val="24"/>
                <w:szCs w:val="24"/>
              </w:rPr>
            </w:pPr>
            <w:r>
              <w:rPr>
                <w:rFonts w:hint="eastAsia" w:ascii="仿宋_GB2312" w:eastAsia="仿宋_GB2312"/>
                <w:sz w:val="24"/>
                <w:szCs w:val="24"/>
              </w:rPr>
              <w:t xml:space="preserve">公司地址： </w:t>
            </w:r>
          </w:p>
        </w:tc>
        <w:tc>
          <w:tcPr>
            <w:tcW w:w="1636" w:type="pct"/>
            <w:gridSpan w:val="3"/>
            <w:vAlign w:val="center"/>
          </w:tcPr>
          <w:p w14:paraId="027F6570">
            <w:pPr>
              <w:rPr>
                <w:rFonts w:ascii="仿宋_GB2312" w:eastAsia="仿宋_GB2312"/>
                <w:sz w:val="24"/>
                <w:szCs w:val="24"/>
              </w:rPr>
            </w:pPr>
            <w:r>
              <w:rPr>
                <w:rFonts w:hint="eastAsia" w:ascii="仿宋_GB2312" w:eastAsia="仿宋_GB2312"/>
                <w:sz w:val="24"/>
                <w:szCs w:val="24"/>
              </w:rPr>
              <w:t>传真：</w:t>
            </w:r>
          </w:p>
        </w:tc>
      </w:tr>
      <w:tr w14:paraId="71EE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8" w:type="pct"/>
            <w:gridSpan w:val="2"/>
            <w:vAlign w:val="center"/>
          </w:tcPr>
          <w:p w14:paraId="254098FA">
            <w:pPr>
              <w:rPr>
                <w:rFonts w:ascii="仿宋_GB2312" w:eastAsia="仿宋_GB2312"/>
                <w:sz w:val="24"/>
                <w:szCs w:val="24"/>
              </w:rPr>
            </w:pPr>
            <w:r>
              <w:rPr>
                <w:rFonts w:hint="eastAsia" w:ascii="仿宋_GB2312" w:eastAsia="仿宋_GB2312"/>
                <w:sz w:val="24"/>
                <w:szCs w:val="24"/>
              </w:rPr>
              <w:t>债券投资者类型</w:t>
            </w:r>
          </w:p>
        </w:tc>
        <w:tc>
          <w:tcPr>
            <w:tcW w:w="3792" w:type="pct"/>
            <w:gridSpan w:val="8"/>
            <w:vAlign w:val="center"/>
          </w:tcPr>
          <w:p w14:paraId="7568BC2F">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5B2FAC81">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1D810473">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E344881">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92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87" w:type="pct"/>
            <w:vMerge w:val="restart"/>
            <w:vAlign w:val="center"/>
          </w:tcPr>
          <w:p w14:paraId="428CBE54">
            <w:pPr>
              <w:rPr>
                <w:rFonts w:ascii="仿宋_GB2312" w:eastAsia="仿宋_GB2312"/>
                <w:sz w:val="24"/>
                <w:szCs w:val="24"/>
              </w:rPr>
            </w:pPr>
            <w:r>
              <w:rPr>
                <w:rFonts w:hint="eastAsia" w:ascii="仿宋_GB2312" w:eastAsia="仿宋_GB2312"/>
                <w:sz w:val="24"/>
                <w:szCs w:val="24"/>
              </w:rPr>
              <w:t>添加做市标的1</w:t>
            </w:r>
          </w:p>
        </w:tc>
        <w:tc>
          <w:tcPr>
            <w:tcW w:w="521" w:type="pct"/>
            <w:vAlign w:val="center"/>
          </w:tcPr>
          <w:p w14:paraId="056FBD20">
            <w:pPr>
              <w:jc w:val="cente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3E894B78">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49579221">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4720025B">
            <w:pPr>
              <w:jc w:val="cente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59AB0773">
            <w:pPr>
              <w:jc w:val="cente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8B18C3C">
            <w:pPr>
              <w:jc w:val="center"/>
              <w:rPr>
                <w:rFonts w:ascii="仿宋_GB2312" w:eastAsia="仿宋_GB2312"/>
                <w:sz w:val="24"/>
                <w:szCs w:val="24"/>
              </w:rPr>
            </w:pPr>
            <w:r>
              <w:rPr>
                <w:rFonts w:hint="eastAsia" w:ascii="仿宋_GB2312" w:eastAsia="仿宋_GB2312"/>
                <w:sz w:val="24"/>
                <w:szCs w:val="24"/>
              </w:rPr>
              <w:t>生效日期</w:t>
            </w:r>
          </w:p>
        </w:tc>
      </w:tr>
      <w:tr w14:paraId="0E64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527F43D8">
            <w:pPr>
              <w:rPr>
                <w:rFonts w:ascii="仿宋_GB2312" w:eastAsia="仿宋_GB2312"/>
                <w:sz w:val="24"/>
                <w:szCs w:val="24"/>
              </w:rPr>
            </w:pPr>
          </w:p>
        </w:tc>
        <w:tc>
          <w:tcPr>
            <w:tcW w:w="521" w:type="pct"/>
            <w:vAlign w:val="center"/>
          </w:tcPr>
          <w:p w14:paraId="4DF659C1">
            <w:pPr>
              <w:rPr>
                <w:rFonts w:ascii="仿宋_GB2312" w:eastAsia="仿宋_GB2312"/>
                <w:sz w:val="24"/>
                <w:szCs w:val="24"/>
              </w:rPr>
            </w:pPr>
          </w:p>
        </w:tc>
        <w:tc>
          <w:tcPr>
            <w:tcW w:w="759" w:type="pct"/>
            <w:vAlign w:val="center"/>
          </w:tcPr>
          <w:p w14:paraId="2B2D03BC">
            <w:pPr>
              <w:rPr>
                <w:rFonts w:ascii="仿宋_GB2312" w:eastAsia="仿宋_GB2312"/>
                <w:sz w:val="24"/>
                <w:szCs w:val="24"/>
              </w:rPr>
            </w:pPr>
          </w:p>
        </w:tc>
        <w:tc>
          <w:tcPr>
            <w:tcW w:w="759" w:type="pct"/>
            <w:gridSpan w:val="2"/>
            <w:vAlign w:val="center"/>
          </w:tcPr>
          <w:p w14:paraId="15F57814">
            <w:pPr>
              <w:rPr>
                <w:rFonts w:ascii="仿宋_GB2312" w:eastAsia="仿宋_GB2312"/>
                <w:sz w:val="24"/>
                <w:szCs w:val="24"/>
              </w:rPr>
            </w:pPr>
          </w:p>
        </w:tc>
        <w:tc>
          <w:tcPr>
            <w:tcW w:w="759" w:type="pct"/>
            <w:gridSpan w:val="3"/>
            <w:vAlign w:val="center"/>
          </w:tcPr>
          <w:p w14:paraId="138EC015">
            <w:pPr>
              <w:rPr>
                <w:rFonts w:ascii="仿宋_GB2312" w:eastAsia="仿宋_GB2312"/>
                <w:sz w:val="24"/>
                <w:szCs w:val="24"/>
              </w:rPr>
            </w:pPr>
          </w:p>
        </w:tc>
        <w:tc>
          <w:tcPr>
            <w:tcW w:w="759" w:type="pct"/>
            <w:vAlign w:val="center"/>
          </w:tcPr>
          <w:p w14:paraId="302E7BC7">
            <w:pPr>
              <w:rPr>
                <w:rFonts w:ascii="仿宋_GB2312" w:eastAsia="仿宋_GB2312"/>
                <w:sz w:val="24"/>
                <w:szCs w:val="24"/>
              </w:rPr>
            </w:pPr>
          </w:p>
        </w:tc>
        <w:tc>
          <w:tcPr>
            <w:tcW w:w="756" w:type="pct"/>
            <w:vAlign w:val="center"/>
          </w:tcPr>
          <w:p w14:paraId="4EB8EBC3">
            <w:pPr>
              <w:rPr>
                <w:rFonts w:ascii="仿宋_GB2312" w:eastAsia="仿宋_GB2312"/>
                <w:sz w:val="24"/>
                <w:szCs w:val="24"/>
              </w:rPr>
            </w:pPr>
          </w:p>
        </w:tc>
      </w:tr>
      <w:tr w14:paraId="6616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restart"/>
            <w:vAlign w:val="center"/>
          </w:tcPr>
          <w:p w14:paraId="09BFD6B4">
            <w:pPr>
              <w:rPr>
                <w:rFonts w:ascii="仿宋_GB2312" w:eastAsia="仿宋_GB2312"/>
                <w:sz w:val="24"/>
                <w:szCs w:val="24"/>
              </w:rPr>
            </w:pPr>
            <w:r>
              <w:rPr>
                <w:rFonts w:hint="eastAsia" w:ascii="仿宋_GB2312" w:eastAsia="仿宋_GB2312"/>
                <w:sz w:val="24"/>
                <w:szCs w:val="24"/>
              </w:rPr>
              <w:t>添加做市标的2</w:t>
            </w:r>
          </w:p>
        </w:tc>
        <w:tc>
          <w:tcPr>
            <w:tcW w:w="521" w:type="pct"/>
            <w:vAlign w:val="center"/>
          </w:tcPr>
          <w:p w14:paraId="36FBD6FC">
            <w:pP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78A01B05">
            <w:pP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11A991B">
            <w:pP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1E10520B">
            <w:pP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752AF69A">
            <w:pP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3436299">
            <w:pPr>
              <w:rPr>
                <w:rFonts w:ascii="仿宋_GB2312" w:eastAsia="仿宋_GB2312"/>
                <w:sz w:val="24"/>
                <w:szCs w:val="24"/>
              </w:rPr>
            </w:pPr>
            <w:r>
              <w:rPr>
                <w:rFonts w:hint="eastAsia" w:ascii="仿宋_GB2312" w:eastAsia="仿宋_GB2312"/>
                <w:sz w:val="24"/>
                <w:szCs w:val="24"/>
              </w:rPr>
              <w:t>生效日期</w:t>
            </w:r>
          </w:p>
        </w:tc>
      </w:tr>
      <w:tr w14:paraId="5E18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72D0A53B">
            <w:pPr>
              <w:rPr>
                <w:rFonts w:ascii="仿宋_GB2312" w:eastAsia="仿宋_GB2312"/>
                <w:sz w:val="24"/>
                <w:szCs w:val="24"/>
              </w:rPr>
            </w:pPr>
          </w:p>
        </w:tc>
        <w:tc>
          <w:tcPr>
            <w:tcW w:w="521" w:type="pct"/>
            <w:vAlign w:val="center"/>
          </w:tcPr>
          <w:p w14:paraId="57496189">
            <w:pPr>
              <w:rPr>
                <w:rFonts w:ascii="仿宋_GB2312" w:eastAsia="仿宋_GB2312"/>
                <w:sz w:val="24"/>
                <w:szCs w:val="24"/>
              </w:rPr>
            </w:pPr>
          </w:p>
        </w:tc>
        <w:tc>
          <w:tcPr>
            <w:tcW w:w="759" w:type="pct"/>
            <w:vAlign w:val="center"/>
          </w:tcPr>
          <w:p w14:paraId="502411A9">
            <w:pPr>
              <w:rPr>
                <w:rFonts w:ascii="仿宋_GB2312" w:eastAsia="仿宋_GB2312"/>
                <w:sz w:val="24"/>
                <w:szCs w:val="24"/>
              </w:rPr>
            </w:pPr>
          </w:p>
        </w:tc>
        <w:tc>
          <w:tcPr>
            <w:tcW w:w="759" w:type="pct"/>
            <w:gridSpan w:val="2"/>
            <w:vAlign w:val="center"/>
          </w:tcPr>
          <w:p w14:paraId="0EE5E1A5">
            <w:pPr>
              <w:rPr>
                <w:rFonts w:ascii="仿宋_GB2312" w:eastAsia="仿宋_GB2312"/>
                <w:sz w:val="24"/>
                <w:szCs w:val="24"/>
              </w:rPr>
            </w:pPr>
          </w:p>
        </w:tc>
        <w:tc>
          <w:tcPr>
            <w:tcW w:w="759" w:type="pct"/>
            <w:gridSpan w:val="3"/>
            <w:vAlign w:val="center"/>
          </w:tcPr>
          <w:p w14:paraId="2AC726F4">
            <w:pPr>
              <w:rPr>
                <w:rFonts w:ascii="仿宋_GB2312" w:eastAsia="仿宋_GB2312"/>
                <w:sz w:val="24"/>
                <w:szCs w:val="24"/>
              </w:rPr>
            </w:pPr>
          </w:p>
        </w:tc>
        <w:tc>
          <w:tcPr>
            <w:tcW w:w="759" w:type="pct"/>
            <w:vAlign w:val="center"/>
          </w:tcPr>
          <w:p w14:paraId="336199AE">
            <w:pPr>
              <w:rPr>
                <w:rFonts w:ascii="仿宋_GB2312" w:eastAsia="仿宋_GB2312"/>
                <w:sz w:val="24"/>
                <w:szCs w:val="24"/>
              </w:rPr>
            </w:pPr>
          </w:p>
        </w:tc>
        <w:tc>
          <w:tcPr>
            <w:tcW w:w="756" w:type="pct"/>
            <w:vAlign w:val="center"/>
          </w:tcPr>
          <w:p w14:paraId="504FBC6C">
            <w:pPr>
              <w:rPr>
                <w:rFonts w:ascii="仿宋_GB2312" w:eastAsia="仿宋_GB2312"/>
                <w:sz w:val="24"/>
                <w:szCs w:val="24"/>
              </w:rPr>
            </w:pPr>
          </w:p>
        </w:tc>
      </w:tr>
      <w:tr w14:paraId="3193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6C295126">
            <w:pPr>
              <w:jc w:val="center"/>
              <w:rPr>
                <w:rFonts w:ascii="仿宋_GB2312" w:eastAsia="仿宋_GB2312"/>
                <w:sz w:val="24"/>
                <w:szCs w:val="24"/>
              </w:rPr>
            </w:pPr>
            <w:r>
              <w:rPr>
                <w:rFonts w:hint="eastAsia" w:ascii="仿宋_GB2312" w:eastAsia="仿宋_GB2312"/>
                <w:sz w:val="24"/>
                <w:szCs w:val="24"/>
              </w:rPr>
              <w:t>做市业务负责人</w:t>
            </w:r>
          </w:p>
        </w:tc>
        <w:tc>
          <w:tcPr>
            <w:tcW w:w="948" w:type="pct"/>
            <w:gridSpan w:val="2"/>
            <w:vAlign w:val="center"/>
          </w:tcPr>
          <w:p w14:paraId="25437CC2">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31E01A70">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37667375">
            <w:pPr>
              <w:jc w:val="center"/>
              <w:rPr>
                <w:rFonts w:ascii="仿宋_GB2312" w:eastAsia="仿宋_GB2312"/>
                <w:sz w:val="24"/>
                <w:szCs w:val="24"/>
              </w:rPr>
            </w:pPr>
            <w:r>
              <w:rPr>
                <w:rFonts w:hint="eastAsia" w:ascii="仿宋_GB2312" w:eastAsia="仿宋_GB2312"/>
                <w:sz w:val="24"/>
                <w:szCs w:val="24"/>
              </w:rPr>
              <w:t>手机</w:t>
            </w:r>
          </w:p>
        </w:tc>
      </w:tr>
      <w:tr w14:paraId="4156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8" w:type="pct"/>
            <w:gridSpan w:val="2"/>
            <w:vAlign w:val="center"/>
          </w:tcPr>
          <w:p w14:paraId="5F3EDAA0">
            <w:pPr>
              <w:jc w:val="center"/>
              <w:rPr>
                <w:rFonts w:ascii="仿宋_GB2312" w:eastAsia="仿宋_GB2312"/>
                <w:sz w:val="24"/>
                <w:szCs w:val="24"/>
              </w:rPr>
            </w:pPr>
          </w:p>
        </w:tc>
        <w:tc>
          <w:tcPr>
            <w:tcW w:w="948" w:type="pct"/>
            <w:gridSpan w:val="2"/>
            <w:vAlign w:val="center"/>
          </w:tcPr>
          <w:p w14:paraId="78700FBE">
            <w:pPr>
              <w:jc w:val="center"/>
              <w:rPr>
                <w:rFonts w:ascii="仿宋_GB2312" w:eastAsia="仿宋_GB2312"/>
                <w:sz w:val="24"/>
                <w:szCs w:val="24"/>
              </w:rPr>
            </w:pPr>
          </w:p>
        </w:tc>
        <w:tc>
          <w:tcPr>
            <w:tcW w:w="948" w:type="pct"/>
            <w:gridSpan w:val="2"/>
            <w:vAlign w:val="center"/>
          </w:tcPr>
          <w:p w14:paraId="3A831A65">
            <w:pPr>
              <w:jc w:val="center"/>
              <w:rPr>
                <w:rFonts w:ascii="仿宋_GB2312" w:eastAsia="仿宋_GB2312"/>
                <w:sz w:val="24"/>
                <w:szCs w:val="24"/>
              </w:rPr>
            </w:pPr>
          </w:p>
        </w:tc>
        <w:tc>
          <w:tcPr>
            <w:tcW w:w="1896" w:type="pct"/>
            <w:gridSpan w:val="4"/>
            <w:vAlign w:val="center"/>
          </w:tcPr>
          <w:p w14:paraId="0644A5EC">
            <w:pPr>
              <w:jc w:val="center"/>
              <w:rPr>
                <w:rFonts w:ascii="仿宋_GB2312" w:eastAsia="仿宋_GB2312"/>
                <w:sz w:val="24"/>
                <w:szCs w:val="24"/>
              </w:rPr>
            </w:pPr>
          </w:p>
        </w:tc>
      </w:tr>
      <w:tr w14:paraId="0BF7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3F2165CF">
            <w:pPr>
              <w:jc w:val="center"/>
              <w:rPr>
                <w:rFonts w:ascii="仿宋_GB2312" w:eastAsia="仿宋_GB2312"/>
                <w:sz w:val="24"/>
                <w:szCs w:val="24"/>
              </w:rPr>
            </w:pPr>
            <w:r>
              <w:rPr>
                <w:rFonts w:hint="eastAsia" w:ascii="仿宋_GB2312" w:eastAsia="仿宋_GB2312"/>
                <w:sz w:val="24"/>
                <w:szCs w:val="24"/>
              </w:rPr>
              <w:t>做市业务联络人</w:t>
            </w:r>
          </w:p>
        </w:tc>
        <w:tc>
          <w:tcPr>
            <w:tcW w:w="948" w:type="pct"/>
            <w:gridSpan w:val="2"/>
            <w:vAlign w:val="center"/>
          </w:tcPr>
          <w:p w14:paraId="5171EB4B">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0837FB0B">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747157A6">
            <w:pPr>
              <w:jc w:val="center"/>
              <w:rPr>
                <w:rFonts w:ascii="仿宋_GB2312" w:eastAsia="仿宋_GB2312"/>
                <w:sz w:val="24"/>
                <w:szCs w:val="24"/>
              </w:rPr>
            </w:pPr>
            <w:r>
              <w:rPr>
                <w:rFonts w:hint="eastAsia" w:ascii="仿宋_GB2312" w:eastAsia="仿宋_GB2312"/>
                <w:sz w:val="24"/>
                <w:szCs w:val="24"/>
              </w:rPr>
              <w:t>手机</w:t>
            </w:r>
          </w:p>
        </w:tc>
      </w:tr>
      <w:tr w14:paraId="1F1D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8" w:type="pct"/>
            <w:gridSpan w:val="2"/>
            <w:vAlign w:val="center"/>
          </w:tcPr>
          <w:p w14:paraId="21113C3F">
            <w:pPr>
              <w:jc w:val="center"/>
              <w:rPr>
                <w:rFonts w:ascii="仿宋_GB2312" w:eastAsia="仿宋_GB2312"/>
                <w:sz w:val="24"/>
                <w:szCs w:val="24"/>
              </w:rPr>
            </w:pPr>
          </w:p>
        </w:tc>
        <w:tc>
          <w:tcPr>
            <w:tcW w:w="948" w:type="pct"/>
            <w:gridSpan w:val="2"/>
            <w:vAlign w:val="center"/>
          </w:tcPr>
          <w:p w14:paraId="610DBF68">
            <w:pPr>
              <w:jc w:val="center"/>
              <w:rPr>
                <w:rFonts w:ascii="仿宋_GB2312" w:eastAsia="仿宋_GB2312"/>
                <w:sz w:val="24"/>
                <w:szCs w:val="24"/>
              </w:rPr>
            </w:pPr>
          </w:p>
        </w:tc>
        <w:tc>
          <w:tcPr>
            <w:tcW w:w="948" w:type="pct"/>
            <w:gridSpan w:val="2"/>
            <w:vAlign w:val="center"/>
          </w:tcPr>
          <w:p w14:paraId="5E95FE09">
            <w:pPr>
              <w:jc w:val="center"/>
              <w:rPr>
                <w:rFonts w:ascii="仿宋_GB2312" w:eastAsia="仿宋_GB2312"/>
                <w:sz w:val="24"/>
                <w:szCs w:val="24"/>
              </w:rPr>
            </w:pPr>
          </w:p>
        </w:tc>
        <w:tc>
          <w:tcPr>
            <w:tcW w:w="1896" w:type="pct"/>
            <w:gridSpan w:val="4"/>
            <w:vAlign w:val="center"/>
          </w:tcPr>
          <w:p w14:paraId="420137DA">
            <w:pPr>
              <w:jc w:val="center"/>
              <w:rPr>
                <w:rFonts w:ascii="仿宋_GB2312" w:eastAsia="仿宋_GB2312"/>
                <w:sz w:val="24"/>
                <w:szCs w:val="24"/>
              </w:rPr>
            </w:pPr>
          </w:p>
        </w:tc>
      </w:tr>
    </w:tbl>
    <w:p w14:paraId="7034469E">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6B8838E9">
      <w:pPr>
        <w:pStyle w:val="18"/>
        <w:jc w:val="right"/>
        <w:rPr>
          <w:szCs w:val="30"/>
        </w:rPr>
      </w:pPr>
    </w:p>
    <w:p w14:paraId="17DE63FA">
      <w:pPr>
        <w:pStyle w:val="18"/>
        <w:jc w:val="right"/>
        <w:rPr>
          <w:szCs w:val="30"/>
        </w:rPr>
      </w:pPr>
      <w:r>
        <w:rPr>
          <w:rFonts w:hint="eastAsia"/>
          <w:szCs w:val="30"/>
        </w:rPr>
        <w:t xml:space="preserve">                                   经办人（签字）：</w:t>
      </w:r>
    </w:p>
    <w:p w14:paraId="1BA4394D">
      <w:pPr>
        <w:pStyle w:val="18"/>
        <w:jc w:val="right"/>
        <w:rPr>
          <w:szCs w:val="30"/>
        </w:rPr>
      </w:pPr>
      <w:r>
        <w:rPr>
          <w:rFonts w:hint="eastAsia"/>
          <w:szCs w:val="30"/>
        </w:rPr>
        <w:t xml:space="preserve">                                     申请日期：                              </w:t>
      </w:r>
    </w:p>
    <w:p w14:paraId="1E832766">
      <w:pPr>
        <w:widowControl/>
        <w:jc w:val="left"/>
        <w:outlineLvl w:val="1"/>
        <w:rPr>
          <w:rFonts w:ascii="仿宋_GB2312" w:hAnsi="仿宋" w:eastAsia="仿宋_GB2312"/>
          <w:sz w:val="30"/>
          <w:szCs w:val="30"/>
        </w:rPr>
      </w:pPr>
      <w:r>
        <w:br w:type="page"/>
      </w:r>
      <w:bookmarkStart w:id="3483" w:name="_Toc151137099"/>
      <w:bookmarkStart w:id="3484" w:name="_Toc102468979"/>
      <w:r>
        <w:rPr>
          <w:rFonts w:hint="eastAsia" w:ascii="仿宋_GB2312" w:hAnsi="黑体" w:eastAsia="仿宋_GB2312"/>
          <w:b/>
          <w:sz w:val="30"/>
          <w:szCs w:val="30"/>
        </w:rPr>
        <w:t>附件16 取消债券做市标的登记表</w:t>
      </w:r>
      <w:bookmarkEnd w:id="3483"/>
      <w:bookmarkEnd w:id="3484"/>
    </w:p>
    <w:p w14:paraId="69276725">
      <w:pPr>
        <w:spacing w:line="600" w:lineRule="exact"/>
        <w:jc w:val="center"/>
        <w:rPr>
          <w:rFonts w:ascii="黑体" w:hAnsi="黑体" w:eastAsia="黑体" w:cs="黑体"/>
          <w:b/>
          <w:sz w:val="44"/>
          <w:szCs w:val="44"/>
        </w:rPr>
      </w:pPr>
    </w:p>
    <w:p w14:paraId="210CC689">
      <w:pPr>
        <w:spacing w:line="600" w:lineRule="exact"/>
        <w:jc w:val="center"/>
        <w:rPr>
          <w:rFonts w:ascii="黑体" w:hAnsi="黑体" w:eastAsia="黑体" w:cs="黑体"/>
          <w:b/>
          <w:sz w:val="44"/>
          <w:szCs w:val="44"/>
        </w:rPr>
      </w:pPr>
      <w:r>
        <w:rPr>
          <w:rFonts w:hint="eastAsia" w:ascii="黑体" w:hAnsi="黑体" w:eastAsia="黑体" w:cs="黑体"/>
          <w:b/>
          <w:sz w:val="44"/>
          <w:szCs w:val="44"/>
        </w:rPr>
        <w:t>取消债券做市标的登记表</w:t>
      </w:r>
    </w:p>
    <w:p w14:paraId="14B059EA">
      <w:pPr>
        <w:widowControl/>
        <w:jc w:val="left"/>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1281"/>
        <w:gridCol w:w="854"/>
        <w:gridCol w:w="427"/>
        <w:gridCol w:w="800"/>
        <w:gridCol w:w="481"/>
        <w:gridCol w:w="429"/>
        <w:gridCol w:w="852"/>
        <w:gridCol w:w="1282"/>
      </w:tblGrid>
      <w:tr w14:paraId="4439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96" w:type="pct"/>
            <w:gridSpan w:val="5"/>
            <w:vAlign w:val="center"/>
          </w:tcPr>
          <w:p w14:paraId="13709DC0">
            <w:pPr>
              <w:rPr>
                <w:rFonts w:ascii="仿宋_GB2312" w:eastAsia="仿宋_GB2312"/>
                <w:sz w:val="24"/>
                <w:szCs w:val="24"/>
              </w:rPr>
            </w:pPr>
            <w:r>
              <w:rPr>
                <w:rFonts w:hint="eastAsia" w:ascii="仿宋_GB2312" w:eastAsia="仿宋_GB2312"/>
                <w:sz w:val="24"/>
                <w:szCs w:val="24"/>
              </w:rPr>
              <w:t>做市商全称：</w:t>
            </w:r>
          </w:p>
        </w:tc>
        <w:tc>
          <w:tcPr>
            <w:tcW w:w="1804" w:type="pct"/>
            <w:gridSpan w:val="4"/>
            <w:vAlign w:val="center"/>
          </w:tcPr>
          <w:p w14:paraId="4015F657">
            <w:pPr>
              <w:rPr>
                <w:rFonts w:ascii="仿宋_GB2312" w:eastAsia="仿宋_GB2312"/>
                <w:sz w:val="24"/>
                <w:szCs w:val="24"/>
              </w:rPr>
            </w:pPr>
            <w:r>
              <w:rPr>
                <w:rFonts w:hint="eastAsia" w:ascii="仿宋_GB2312" w:eastAsia="仿宋_GB2312"/>
                <w:sz w:val="24"/>
                <w:szCs w:val="24"/>
              </w:rPr>
              <w:t>电话：</w:t>
            </w:r>
          </w:p>
        </w:tc>
      </w:tr>
      <w:tr w14:paraId="76B4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196" w:type="pct"/>
            <w:gridSpan w:val="5"/>
            <w:vAlign w:val="center"/>
          </w:tcPr>
          <w:p w14:paraId="616DD59C">
            <w:pPr>
              <w:rPr>
                <w:rFonts w:ascii="仿宋_GB2312" w:eastAsia="仿宋_GB2312"/>
                <w:sz w:val="24"/>
                <w:szCs w:val="24"/>
              </w:rPr>
            </w:pPr>
            <w:r>
              <w:rPr>
                <w:rFonts w:hint="eastAsia" w:ascii="仿宋_GB2312" w:eastAsia="仿宋_GB2312"/>
                <w:sz w:val="24"/>
                <w:szCs w:val="24"/>
              </w:rPr>
              <w:t xml:space="preserve">公司地址： </w:t>
            </w:r>
          </w:p>
        </w:tc>
        <w:tc>
          <w:tcPr>
            <w:tcW w:w="1804" w:type="pct"/>
            <w:gridSpan w:val="4"/>
            <w:vAlign w:val="center"/>
          </w:tcPr>
          <w:p w14:paraId="01A9A9E6">
            <w:pPr>
              <w:rPr>
                <w:rFonts w:ascii="仿宋_GB2312" w:eastAsia="仿宋_GB2312"/>
                <w:sz w:val="24"/>
                <w:szCs w:val="24"/>
              </w:rPr>
            </w:pPr>
            <w:r>
              <w:rPr>
                <w:rFonts w:hint="eastAsia" w:ascii="仿宋_GB2312" w:eastAsia="仿宋_GB2312"/>
                <w:sz w:val="24"/>
                <w:szCs w:val="24"/>
              </w:rPr>
              <w:t>传真：</w:t>
            </w:r>
          </w:p>
        </w:tc>
      </w:tr>
      <w:tr w14:paraId="6715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4" w:type="pct"/>
            <w:vAlign w:val="center"/>
          </w:tcPr>
          <w:p w14:paraId="59379714">
            <w:pPr>
              <w:rPr>
                <w:rFonts w:ascii="仿宋_GB2312" w:eastAsia="仿宋_GB2312"/>
                <w:sz w:val="24"/>
                <w:szCs w:val="24"/>
              </w:rPr>
            </w:pPr>
            <w:r>
              <w:rPr>
                <w:rFonts w:hint="eastAsia" w:ascii="仿宋_GB2312" w:eastAsia="仿宋_GB2312"/>
                <w:sz w:val="24"/>
                <w:szCs w:val="24"/>
              </w:rPr>
              <w:t>债券投资者类型</w:t>
            </w:r>
          </w:p>
        </w:tc>
        <w:tc>
          <w:tcPr>
            <w:tcW w:w="3796" w:type="pct"/>
            <w:gridSpan w:val="8"/>
            <w:vAlign w:val="center"/>
          </w:tcPr>
          <w:p w14:paraId="0DD3A6FC">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2BDE1D4E">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CA30DC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AE603DD">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FFA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611DCA18">
            <w:pPr>
              <w:rPr>
                <w:rFonts w:ascii="仿宋_GB2312" w:eastAsia="仿宋_GB2312"/>
                <w:sz w:val="24"/>
                <w:szCs w:val="24"/>
              </w:rPr>
            </w:pPr>
            <w:r>
              <w:rPr>
                <w:rFonts w:hint="eastAsia" w:ascii="仿宋_GB2312" w:eastAsia="仿宋_GB2312"/>
                <w:sz w:val="24"/>
                <w:szCs w:val="24"/>
              </w:rPr>
              <w:t>取消做市标的1</w:t>
            </w:r>
          </w:p>
        </w:tc>
        <w:tc>
          <w:tcPr>
            <w:tcW w:w="759" w:type="pct"/>
            <w:vAlign w:val="center"/>
          </w:tcPr>
          <w:p w14:paraId="37171E88">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54382AC">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9C2ADD4">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F10509E">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1F1B4EC8">
            <w:pPr>
              <w:jc w:val="center"/>
              <w:rPr>
                <w:rFonts w:ascii="仿宋_GB2312" w:eastAsia="仿宋_GB2312"/>
                <w:sz w:val="24"/>
                <w:szCs w:val="24"/>
              </w:rPr>
            </w:pPr>
            <w:r>
              <w:rPr>
                <w:rFonts w:hint="eastAsia" w:ascii="仿宋_GB2312" w:eastAsia="仿宋_GB2312"/>
                <w:sz w:val="24"/>
                <w:szCs w:val="24"/>
              </w:rPr>
              <w:t>最终日期</w:t>
            </w:r>
          </w:p>
        </w:tc>
      </w:tr>
      <w:tr w14:paraId="18A7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AF77D2B">
            <w:pPr>
              <w:rPr>
                <w:rFonts w:ascii="仿宋_GB2312" w:eastAsia="仿宋_GB2312"/>
                <w:sz w:val="24"/>
                <w:szCs w:val="24"/>
              </w:rPr>
            </w:pPr>
          </w:p>
        </w:tc>
        <w:tc>
          <w:tcPr>
            <w:tcW w:w="759" w:type="pct"/>
            <w:vAlign w:val="center"/>
          </w:tcPr>
          <w:p w14:paraId="1DC94138">
            <w:pPr>
              <w:jc w:val="center"/>
              <w:rPr>
                <w:rFonts w:ascii="仿宋_GB2312" w:eastAsia="仿宋_GB2312"/>
                <w:sz w:val="24"/>
                <w:szCs w:val="24"/>
              </w:rPr>
            </w:pPr>
          </w:p>
        </w:tc>
        <w:tc>
          <w:tcPr>
            <w:tcW w:w="759" w:type="pct"/>
            <w:gridSpan w:val="2"/>
            <w:vAlign w:val="center"/>
          </w:tcPr>
          <w:p w14:paraId="4A26489C">
            <w:pPr>
              <w:jc w:val="center"/>
              <w:rPr>
                <w:rFonts w:ascii="仿宋_GB2312" w:eastAsia="仿宋_GB2312"/>
                <w:sz w:val="24"/>
                <w:szCs w:val="24"/>
              </w:rPr>
            </w:pPr>
          </w:p>
        </w:tc>
        <w:tc>
          <w:tcPr>
            <w:tcW w:w="759" w:type="pct"/>
            <w:gridSpan w:val="2"/>
            <w:vAlign w:val="center"/>
          </w:tcPr>
          <w:p w14:paraId="19DA87EB">
            <w:pPr>
              <w:jc w:val="center"/>
              <w:rPr>
                <w:rFonts w:ascii="仿宋_GB2312" w:eastAsia="仿宋_GB2312"/>
                <w:sz w:val="24"/>
                <w:szCs w:val="24"/>
              </w:rPr>
            </w:pPr>
          </w:p>
        </w:tc>
        <w:tc>
          <w:tcPr>
            <w:tcW w:w="759" w:type="pct"/>
            <w:gridSpan w:val="2"/>
            <w:vAlign w:val="center"/>
          </w:tcPr>
          <w:p w14:paraId="30D08D78">
            <w:pPr>
              <w:jc w:val="center"/>
              <w:rPr>
                <w:rFonts w:ascii="仿宋_GB2312" w:eastAsia="仿宋_GB2312"/>
                <w:sz w:val="24"/>
                <w:szCs w:val="24"/>
              </w:rPr>
            </w:pPr>
          </w:p>
        </w:tc>
        <w:tc>
          <w:tcPr>
            <w:tcW w:w="760" w:type="pct"/>
            <w:vAlign w:val="center"/>
          </w:tcPr>
          <w:p w14:paraId="57AEA4CF">
            <w:pPr>
              <w:jc w:val="center"/>
              <w:rPr>
                <w:rFonts w:ascii="仿宋_GB2312" w:eastAsia="仿宋_GB2312"/>
                <w:sz w:val="24"/>
                <w:szCs w:val="24"/>
              </w:rPr>
            </w:pPr>
          </w:p>
        </w:tc>
      </w:tr>
      <w:tr w14:paraId="3FC5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6265BE">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1EB674EE">
            <w:pPr>
              <w:jc w:val="center"/>
              <w:rPr>
                <w:rFonts w:ascii="仿宋_GB2312" w:eastAsia="仿宋_GB2312"/>
                <w:sz w:val="24"/>
                <w:szCs w:val="24"/>
              </w:rPr>
            </w:pPr>
          </w:p>
        </w:tc>
      </w:tr>
      <w:tr w14:paraId="05D2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278B7C67">
            <w:pPr>
              <w:rPr>
                <w:rFonts w:ascii="仿宋_GB2312" w:eastAsia="仿宋_GB2312"/>
                <w:sz w:val="24"/>
                <w:szCs w:val="24"/>
              </w:rPr>
            </w:pPr>
            <w:r>
              <w:rPr>
                <w:rFonts w:hint="eastAsia" w:ascii="仿宋_GB2312" w:eastAsia="仿宋_GB2312"/>
                <w:sz w:val="24"/>
                <w:szCs w:val="24"/>
              </w:rPr>
              <w:t>取消做市标的2</w:t>
            </w:r>
          </w:p>
        </w:tc>
        <w:tc>
          <w:tcPr>
            <w:tcW w:w="759" w:type="pct"/>
            <w:vAlign w:val="center"/>
          </w:tcPr>
          <w:p w14:paraId="5B694D30">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7609A11">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52315FCB">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29CFA07">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4078A4BE">
            <w:pPr>
              <w:jc w:val="center"/>
              <w:rPr>
                <w:rFonts w:ascii="仿宋_GB2312" w:eastAsia="仿宋_GB2312"/>
                <w:sz w:val="24"/>
                <w:szCs w:val="24"/>
              </w:rPr>
            </w:pPr>
            <w:r>
              <w:rPr>
                <w:rFonts w:hint="eastAsia" w:ascii="仿宋_GB2312" w:eastAsia="仿宋_GB2312"/>
                <w:sz w:val="24"/>
                <w:szCs w:val="24"/>
              </w:rPr>
              <w:t>最终日期</w:t>
            </w:r>
          </w:p>
        </w:tc>
      </w:tr>
      <w:tr w14:paraId="1CB1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41DBA42">
            <w:pPr>
              <w:rPr>
                <w:rFonts w:ascii="仿宋_GB2312" w:eastAsia="仿宋_GB2312"/>
                <w:sz w:val="24"/>
                <w:szCs w:val="24"/>
              </w:rPr>
            </w:pPr>
          </w:p>
        </w:tc>
        <w:tc>
          <w:tcPr>
            <w:tcW w:w="759" w:type="pct"/>
            <w:vAlign w:val="center"/>
          </w:tcPr>
          <w:p w14:paraId="7AB6BCB5">
            <w:pPr>
              <w:jc w:val="center"/>
              <w:rPr>
                <w:rFonts w:ascii="仿宋_GB2312" w:eastAsia="仿宋_GB2312"/>
                <w:sz w:val="24"/>
                <w:szCs w:val="24"/>
              </w:rPr>
            </w:pPr>
          </w:p>
        </w:tc>
        <w:tc>
          <w:tcPr>
            <w:tcW w:w="759" w:type="pct"/>
            <w:gridSpan w:val="2"/>
            <w:vAlign w:val="center"/>
          </w:tcPr>
          <w:p w14:paraId="1F42B69A">
            <w:pPr>
              <w:jc w:val="center"/>
              <w:rPr>
                <w:rFonts w:ascii="仿宋_GB2312" w:eastAsia="仿宋_GB2312"/>
                <w:sz w:val="24"/>
                <w:szCs w:val="24"/>
              </w:rPr>
            </w:pPr>
          </w:p>
        </w:tc>
        <w:tc>
          <w:tcPr>
            <w:tcW w:w="759" w:type="pct"/>
            <w:gridSpan w:val="2"/>
            <w:vAlign w:val="center"/>
          </w:tcPr>
          <w:p w14:paraId="6DBA249A">
            <w:pPr>
              <w:jc w:val="center"/>
              <w:rPr>
                <w:rFonts w:ascii="仿宋_GB2312" w:eastAsia="仿宋_GB2312"/>
                <w:sz w:val="24"/>
                <w:szCs w:val="24"/>
              </w:rPr>
            </w:pPr>
          </w:p>
        </w:tc>
        <w:tc>
          <w:tcPr>
            <w:tcW w:w="759" w:type="pct"/>
            <w:gridSpan w:val="2"/>
            <w:vAlign w:val="center"/>
          </w:tcPr>
          <w:p w14:paraId="1D25E308">
            <w:pPr>
              <w:jc w:val="center"/>
              <w:rPr>
                <w:rFonts w:ascii="仿宋_GB2312" w:eastAsia="仿宋_GB2312"/>
                <w:sz w:val="24"/>
                <w:szCs w:val="24"/>
              </w:rPr>
            </w:pPr>
          </w:p>
        </w:tc>
        <w:tc>
          <w:tcPr>
            <w:tcW w:w="760" w:type="pct"/>
            <w:vAlign w:val="center"/>
          </w:tcPr>
          <w:p w14:paraId="70CEC286">
            <w:pPr>
              <w:jc w:val="center"/>
              <w:rPr>
                <w:rFonts w:ascii="仿宋_GB2312" w:eastAsia="仿宋_GB2312"/>
                <w:sz w:val="24"/>
                <w:szCs w:val="24"/>
              </w:rPr>
            </w:pPr>
          </w:p>
        </w:tc>
      </w:tr>
      <w:tr w14:paraId="7921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D4E371">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3E516778">
            <w:pPr>
              <w:rPr>
                <w:rFonts w:ascii="仿宋_GB2312" w:eastAsia="仿宋_GB2312"/>
                <w:sz w:val="24"/>
                <w:szCs w:val="24"/>
              </w:rPr>
            </w:pPr>
          </w:p>
        </w:tc>
      </w:tr>
      <w:tr w14:paraId="26FA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79ED7E2F">
            <w:pPr>
              <w:jc w:val="center"/>
              <w:rPr>
                <w:rFonts w:ascii="仿宋_GB2312" w:eastAsia="仿宋_GB2312"/>
                <w:sz w:val="24"/>
                <w:szCs w:val="24"/>
              </w:rPr>
            </w:pPr>
            <w:r>
              <w:rPr>
                <w:rFonts w:hint="eastAsia" w:ascii="仿宋_GB2312" w:eastAsia="仿宋_GB2312"/>
                <w:sz w:val="24"/>
                <w:szCs w:val="24"/>
              </w:rPr>
              <w:t>做市业务负责人</w:t>
            </w:r>
          </w:p>
        </w:tc>
        <w:tc>
          <w:tcPr>
            <w:tcW w:w="1265" w:type="pct"/>
            <w:gridSpan w:val="2"/>
            <w:vAlign w:val="center"/>
          </w:tcPr>
          <w:p w14:paraId="66384135">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37CCD859">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2878B977">
            <w:pPr>
              <w:jc w:val="center"/>
              <w:rPr>
                <w:rFonts w:ascii="仿宋_GB2312" w:eastAsia="仿宋_GB2312"/>
                <w:sz w:val="24"/>
                <w:szCs w:val="24"/>
              </w:rPr>
            </w:pPr>
            <w:r>
              <w:rPr>
                <w:rFonts w:hint="eastAsia" w:ascii="仿宋_GB2312" w:eastAsia="仿宋_GB2312"/>
                <w:sz w:val="24"/>
                <w:szCs w:val="24"/>
              </w:rPr>
              <w:t>手机</w:t>
            </w:r>
          </w:p>
        </w:tc>
      </w:tr>
      <w:tr w14:paraId="3A0C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4" w:type="pct"/>
            <w:vAlign w:val="center"/>
          </w:tcPr>
          <w:p w14:paraId="17B4A4E0">
            <w:pPr>
              <w:jc w:val="center"/>
              <w:rPr>
                <w:rFonts w:ascii="仿宋_GB2312" w:eastAsia="仿宋_GB2312"/>
                <w:sz w:val="24"/>
                <w:szCs w:val="24"/>
              </w:rPr>
            </w:pPr>
          </w:p>
        </w:tc>
        <w:tc>
          <w:tcPr>
            <w:tcW w:w="1265" w:type="pct"/>
            <w:gridSpan w:val="2"/>
            <w:vAlign w:val="center"/>
          </w:tcPr>
          <w:p w14:paraId="1456D260">
            <w:pPr>
              <w:jc w:val="center"/>
              <w:rPr>
                <w:rFonts w:ascii="仿宋_GB2312" w:eastAsia="仿宋_GB2312"/>
                <w:sz w:val="24"/>
                <w:szCs w:val="24"/>
              </w:rPr>
            </w:pPr>
          </w:p>
        </w:tc>
        <w:tc>
          <w:tcPr>
            <w:tcW w:w="1266" w:type="pct"/>
            <w:gridSpan w:val="4"/>
            <w:vAlign w:val="center"/>
          </w:tcPr>
          <w:p w14:paraId="00AD1048">
            <w:pPr>
              <w:jc w:val="center"/>
              <w:rPr>
                <w:rFonts w:ascii="仿宋_GB2312" w:eastAsia="仿宋_GB2312"/>
                <w:sz w:val="24"/>
                <w:szCs w:val="24"/>
              </w:rPr>
            </w:pPr>
          </w:p>
        </w:tc>
        <w:tc>
          <w:tcPr>
            <w:tcW w:w="1265" w:type="pct"/>
            <w:gridSpan w:val="2"/>
            <w:vAlign w:val="center"/>
          </w:tcPr>
          <w:p w14:paraId="717226B6">
            <w:pPr>
              <w:jc w:val="center"/>
              <w:rPr>
                <w:rFonts w:ascii="仿宋_GB2312" w:eastAsia="仿宋_GB2312"/>
                <w:sz w:val="24"/>
                <w:szCs w:val="24"/>
              </w:rPr>
            </w:pPr>
          </w:p>
        </w:tc>
      </w:tr>
      <w:tr w14:paraId="2FE3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55A5D524">
            <w:pPr>
              <w:jc w:val="center"/>
              <w:rPr>
                <w:rFonts w:ascii="仿宋_GB2312" w:eastAsia="仿宋_GB2312"/>
                <w:sz w:val="24"/>
                <w:szCs w:val="24"/>
              </w:rPr>
            </w:pPr>
            <w:r>
              <w:rPr>
                <w:rFonts w:hint="eastAsia" w:ascii="仿宋_GB2312" w:eastAsia="仿宋_GB2312"/>
                <w:sz w:val="24"/>
                <w:szCs w:val="24"/>
              </w:rPr>
              <w:t>做市业务联络人</w:t>
            </w:r>
          </w:p>
        </w:tc>
        <w:tc>
          <w:tcPr>
            <w:tcW w:w="1265" w:type="pct"/>
            <w:gridSpan w:val="2"/>
            <w:vAlign w:val="center"/>
          </w:tcPr>
          <w:p w14:paraId="03089B4F">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113A36B0">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72FB9AA3">
            <w:pPr>
              <w:jc w:val="center"/>
              <w:rPr>
                <w:rFonts w:ascii="仿宋_GB2312" w:eastAsia="仿宋_GB2312"/>
                <w:sz w:val="24"/>
                <w:szCs w:val="24"/>
              </w:rPr>
            </w:pPr>
            <w:r>
              <w:rPr>
                <w:rFonts w:hint="eastAsia" w:ascii="仿宋_GB2312" w:eastAsia="仿宋_GB2312"/>
                <w:sz w:val="24"/>
                <w:szCs w:val="24"/>
              </w:rPr>
              <w:t>手机</w:t>
            </w:r>
          </w:p>
        </w:tc>
      </w:tr>
      <w:tr w14:paraId="2893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4" w:type="pct"/>
            <w:vAlign w:val="center"/>
          </w:tcPr>
          <w:p w14:paraId="367D30E9">
            <w:pPr>
              <w:jc w:val="center"/>
              <w:rPr>
                <w:rFonts w:ascii="仿宋_GB2312" w:eastAsia="仿宋_GB2312"/>
                <w:sz w:val="24"/>
                <w:szCs w:val="24"/>
              </w:rPr>
            </w:pPr>
          </w:p>
        </w:tc>
        <w:tc>
          <w:tcPr>
            <w:tcW w:w="1265" w:type="pct"/>
            <w:gridSpan w:val="2"/>
            <w:vAlign w:val="center"/>
          </w:tcPr>
          <w:p w14:paraId="51C3CDBF">
            <w:pPr>
              <w:jc w:val="center"/>
              <w:rPr>
                <w:rFonts w:ascii="仿宋_GB2312" w:eastAsia="仿宋_GB2312"/>
                <w:sz w:val="24"/>
                <w:szCs w:val="24"/>
              </w:rPr>
            </w:pPr>
          </w:p>
        </w:tc>
        <w:tc>
          <w:tcPr>
            <w:tcW w:w="1266" w:type="pct"/>
            <w:gridSpan w:val="4"/>
            <w:vAlign w:val="center"/>
          </w:tcPr>
          <w:p w14:paraId="34A325EC">
            <w:pPr>
              <w:jc w:val="center"/>
              <w:rPr>
                <w:rFonts w:ascii="仿宋_GB2312" w:eastAsia="仿宋_GB2312"/>
                <w:sz w:val="24"/>
                <w:szCs w:val="24"/>
              </w:rPr>
            </w:pPr>
          </w:p>
        </w:tc>
        <w:tc>
          <w:tcPr>
            <w:tcW w:w="1265" w:type="pct"/>
            <w:gridSpan w:val="2"/>
            <w:vAlign w:val="center"/>
          </w:tcPr>
          <w:p w14:paraId="5D62ABDF">
            <w:pPr>
              <w:jc w:val="center"/>
              <w:rPr>
                <w:rFonts w:ascii="仿宋_GB2312" w:eastAsia="仿宋_GB2312"/>
                <w:sz w:val="24"/>
                <w:szCs w:val="24"/>
              </w:rPr>
            </w:pPr>
          </w:p>
        </w:tc>
      </w:tr>
    </w:tbl>
    <w:p w14:paraId="342BD383">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0CBA2906">
      <w:pPr>
        <w:pStyle w:val="18"/>
        <w:jc w:val="right"/>
        <w:rPr>
          <w:szCs w:val="30"/>
        </w:rPr>
      </w:pPr>
      <w:r>
        <w:rPr>
          <w:rFonts w:hint="eastAsia"/>
          <w:szCs w:val="30"/>
        </w:rPr>
        <w:t xml:space="preserve">                                     经办人（签字）：</w:t>
      </w:r>
    </w:p>
    <w:p w14:paraId="24B399EC">
      <w:pPr>
        <w:pStyle w:val="18"/>
        <w:jc w:val="right"/>
        <w:rPr>
          <w:szCs w:val="30"/>
        </w:rPr>
      </w:pPr>
      <w:r>
        <w:rPr>
          <w:rFonts w:hint="eastAsia"/>
          <w:szCs w:val="30"/>
        </w:rPr>
        <w:t xml:space="preserve">                                     申请日期：</w:t>
      </w:r>
    </w:p>
    <w:p w14:paraId="70854A3E">
      <w:pPr>
        <w:widowControl/>
        <w:jc w:val="left"/>
        <w:rPr>
          <w:rFonts w:ascii="仿宋_GB2312" w:eastAsia="仿宋_GB2312"/>
          <w:kern w:val="0"/>
          <w:sz w:val="30"/>
          <w:szCs w:val="30"/>
        </w:rPr>
      </w:pPr>
      <w:r>
        <w:rPr>
          <w:szCs w:val="30"/>
        </w:rPr>
        <w:br w:type="page"/>
      </w:r>
    </w:p>
    <w:p w14:paraId="4F98158B">
      <w:pPr>
        <w:widowControl/>
        <w:jc w:val="left"/>
        <w:outlineLvl w:val="1"/>
        <w:rPr>
          <w:rFonts w:ascii="仿宋_GB2312" w:hAnsi="黑体" w:eastAsia="仿宋_GB2312"/>
          <w:b/>
          <w:sz w:val="30"/>
          <w:szCs w:val="30"/>
        </w:rPr>
      </w:pPr>
      <w:bookmarkStart w:id="3485" w:name="_Toc151137100"/>
      <w:r>
        <w:rPr>
          <w:rFonts w:hint="eastAsia" w:ascii="仿宋_GB2312" w:hAnsi="黑体" w:eastAsia="仿宋_GB2312"/>
          <w:b/>
          <w:sz w:val="30"/>
          <w:szCs w:val="30"/>
        </w:rPr>
        <w:t>附件17 终止债券做市业务申请表</w:t>
      </w:r>
      <w:bookmarkEnd w:id="3485"/>
    </w:p>
    <w:p w14:paraId="36A28183">
      <w:pPr>
        <w:spacing w:line="600" w:lineRule="exact"/>
        <w:jc w:val="center"/>
        <w:rPr>
          <w:rFonts w:ascii="黑体" w:hAnsi="黑体"/>
          <w:b/>
          <w:sz w:val="44"/>
          <w:szCs w:val="44"/>
        </w:rPr>
      </w:pPr>
    </w:p>
    <w:p w14:paraId="0BB337AA">
      <w:pPr>
        <w:spacing w:line="600" w:lineRule="exact"/>
        <w:jc w:val="center"/>
        <w:rPr>
          <w:rFonts w:ascii="黑体" w:hAnsi="黑体" w:eastAsia="黑体" w:cs="黑体"/>
          <w:sz w:val="30"/>
          <w:szCs w:val="30"/>
        </w:rPr>
      </w:pPr>
      <w:r>
        <w:rPr>
          <w:rFonts w:hint="eastAsia" w:ascii="黑体" w:hAnsi="黑体" w:eastAsia="黑体" w:cs="黑体"/>
          <w:b/>
          <w:sz w:val="44"/>
          <w:szCs w:val="44"/>
        </w:rPr>
        <w:t>终止债券做市业务申请表</w:t>
      </w:r>
    </w:p>
    <w:p w14:paraId="6A235AF9">
      <w:pPr>
        <w:spacing w:line="600" w:lineRule="exact"/>
        <w:ind w:firstLine="600" w:firstLineChars="200"/>
        <w:rPr>
          <w:rFonts w:ascii="仿宋_GB2312" w:eastAsia="仿宋_GB2312"/>
          <w:kern w:val="28"/>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849"/>
        <w:gridCol w:w="425"/>
        <w:gridCol w:w="425"/>
        <w:gridCol w:w="1276"/>
        <w:gridCol w:w="1421"/>
        <w:gridCol w:w="1259"/>
        <w:gridCol w:w="1581"/>
      </w:tblGrid>
      <w:tr w14:paraId="1F4C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6"/>
            <w:vAlign w:val="center"/>
          </w:tcPr>
          <w:p w14:paraId="779E03C7">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79727B9E">
            <w:pPr>
              <w:rPr>
                <w:rFonts w:ascii="仿宋_GB2312" w:eastAsia="仿宋_GB2312"/>
                <w:sz w:val="24"/>
                <w:szCs w:val="24"/>
              </w:rPr>
            </w:pPr>
            <w:r>
              <w:rPr>
                <w:rFonts w:hint="eastAsia" w:ascii="仿宋_GB2312" w:eastAsia="仿宋_GB2312"/>
                <w:sz w:val="24"/>
                <w:szCs w:val="24"/>
              </w:rPr>
              <w:t>电话：</w:t>
            </w:r>
          </w:p>
        </w:tc>
      </w:tr>
      <w:tr w14:paraId="1D5C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F6E1F9B">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01C172D8">
            <w:pPr>
              <w:rPr>
                <w:rFonts w:ascii="仿宋_GB2312" w:eastAsia="仿宋_GB2312"/>
                <w:sz w:val="24"/>
                <w:szCs w:val="24"/>
              </w:rPr>
            </w:pPr>
            <w:r>
              <w:rPr>
                <w:rFonts w:hint="eastAsia" w:ascii="仿宋_GB2312" w:eastAsia="仿宋_GB2312"/>
                <w:sz w:val="24"/>
                <w:szCs w:val="24"/>
              </w:rPr>
              <w:t>传真：</w:t>
            </w:r>
          </w:p>
        </w:tc>
      </w:tr>
      <w:tr w14:paraId="0513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A0B717A">
            <w:pPr>
              <w:rPr>
                <w:rFonts w:ascii="仿宋_GB2312" w:eastAsia="仿宋_GB2312"/>
                <w:sz w:val="24"/>
                <w:szCs w:val="24"/>
              </w:rPr>
            </w:pPr>
            <w:r>
              <w:rPr>
                <w:rFonts w:hint="eastAsia" w:ascii="仿宋_GB2312" w:eastAsia="仿宋_GB2312"/>
                <w:sz w:val="24"/>
                <w:szCs w:val="24"/>
              </w:rPr>
              <w:t>原债券做市商类型：</w:t>
            </w:r>
          </w:p>
        </w:tc>
        <w:tc>
          <w:tcPr>
            <w:tcW w:w="1683" w:type="pct"/>
            <w:gridSpan w:val="2"/>
            <w:vAlign w:val="center"/>
          </w:tcPr>
          <w:p w14:paraId="43CCF68A">
            <w:pPr>
              <w:rPr>
                <w:rFonts w:ascii="仿宋_GB2312" w:eastAsia="仿宋_GB2312"/>
                <w:sz w:val="24"/>
                <w:szCs w:val="24"/>
              </w:rPr>
            </w:pPr>
            <w:r>
              <w:rPr>
                <w:rFonts w:hint="eastAsia" w:ascii="仿宋_GB2312" w:eastAsia="仿宋_GB2312"/>
                <w:sz w:val="24"/>
                <w:szCs w:val="24"/>
              </w:rPr>
              <w:t>终止生效日：</w:t>
            </w:r>
          </w:p>
        </w:tc>
      </w:tr>
      <w:tr w14:paraId="21DD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7" w:type="pct"/>
            <w:gridSpan w:val="3"/>
            <w:vAlign w:val="center"/>
          </w:tcPr>
          <w:p w14:paraId="7A44BC3B">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7722EBB">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172DC67">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8BD4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7C2682F4">
            <w:pPr>
              <w:rPr>
                <w:rFonts w:ascii="仿宋_GB2312" w:eastAsia="仿宋_GB2312"/>
                <w:sz w:val="24"/>
                <w:szCs w:val="24"/>
              </w:rPr>
            </w:pPr>
            <w:r>
              <w:rPr>
                <w:rFonts w:hint="eastAsia" w:ascii="仿宋_GB2312" w:eastAsia="仿宋_GB2312"/>
                <w:sz w:val="24"/>
                <w:szCs w:val="24"/>
              </w:rPr>
              <w:t xml:space="preserve">□财务公司  □期货公司 </w:t>
            </w:r>
            <w:r>
              <w:rPr>
                <w:rFonts w:ascii="仿宋_GB2312" w:eastAsia="仿宋_GB2312"/>
                <w:sz w:val="24"/>
                <w:szCs w:val="24"/>
              </w:rPr>
              <w:t xml:space="preserve"> </w:t>
            </w:r>
            <w:r>
              <w:rPr>
                <w:rFonts w:hint="eastAsia" w:ascii="仿宋_GB2312" w:eastAsia="仿宋_GB2312"/>
                <w:sz w:val="24"/>
                <w:szCs w:val="24"/>
              </w:rPr>
              <w:t>□其他机构</w:t>
            </w:r>
          </w:p>
        </w:tc>
      </w:tr>
      <w:tr w14:paraId="07BE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2D21C96D">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74D2C5D9">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509EFC0">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6D503751">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63BB1251">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38BCFA4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1CAEDC9">
            <w:pPr>
              <w:rPr>
                <w:rFonts w:ascii="仿宋_GB2312" w:eastAsia="仿宋_GB2312"/>
                <w:sz w:val="24"/>
                <w:szCs w:val="24"/>
              </w:rPr>
            </w:pPr>
            <w:r>
              <w:rPr>
                <w:rFonts w:ascii="仿宋_GB2312" w:eastAsia="仿宋_GB2312"/>
                <w:sz w:val="24"/>
                <w:szCs w:val="24"/>
              </w:rPr>
              <w:t>E-mail</w:t>
            </w:r>
          </w:p>
        </w:tc>
      </w:tr>
      <w:tr w14:paraId="150F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648DCA37">
            <w:pPr>
              <w:rPr>
                <w:rFonts w:ascii="仿宋_GB2312" w:eastAsia="仿宋_GB2312"/>
                <w:sz w:val="24"/>
                <w:szCs w:val="24"/>
              </w:rPr>
            </w:pPr>
          </w:p>
        </w:tc>
        <w:tc>
          <w:tcPr>
            <w:tcW w:w="503" w:type="pct"/>
            <w:vAlign w:val="center"/>
          </w:tcPr>
          <w:p w14:paraId="78F592DC">
            <w:pPr>
              <w:rPr>
                <w:rFonts w:ascii="仿宋_GB2312" w:eastAsia="仿宋_GB2312"/>
                <w:sz w:val="24"/>
                <w:szCs w:val="24"/>
              </w:rPr>
            </w:pPr>
          </w:p>
        </w:tc>
        <w:tc>
          <w:tcPr>
            <w:tcW w:w="504" w:type="pct"/>
            <w:gridSpan w:val="2"/>
            <w:vAlign w:val="center"/>
          </w:tcPr>
          <w:p w14:paraId="23E3F4D4">
            <w:pPr>
              <w:rPr>
                <w:rFonts w:ascii="仿宋_GB2312" w:eastAsia="仿宋_GB2312"/>
                <w:sz w:val="24"/>
                <w:szCs w:val="24"/>
              </w:rPr>
            </w:pPr>
          </w:p>
        </w:tc>
        <w:tc>
          <w:tcPr>
            <w:tcW w:w="756" w:type="pct"/>
            <w:vAlign w:val="center"/>
          </w:tcPr>
          <w:p w14:paraId="4CB27F11">
            <w:pPr>
              <w:rPr>
                <w:rFonts w:ascii="仿宋_GB2312" w:eastAsia="仿宋_GB2312"/>
                <w:sz w:val="24"/>
                <w:szCs w:val="24"/>
              </w:rPr>
            </w:pPr>
          </w:p>
        </w:tc>
        <w:tc>
          <w:tcPr>
            <w:tcW w:w="842" w:type="pct"/>
            <w:vAlign w:val="center"/>
          </w:tcPr>
          <w:p w14:paraId="2652C651">
            <w:pPr>
              <w:rPr>
                <w:rFonts w:ascii="仿宋_GB2312" w:eastAsia="仿宋_GB2312"/>
                <w:sz w:val="24"/>
                <w:szCs w:val="24"/>
              </w:rPr>
            </w:pPr>
          </w:p>
        </w:tc>
        <w:tc>
          <w:tcPr>
            <w:tcW w:w="746" w:type="pct"/>
            <w:vAlign w:val="center"/>
          </w:tcPr>
          <w:p w14:paraId="3A988F72">
            <w:pPr>
              <w:rPr>
                <w:rFonts w:ascii="仿宋_GB2312" w:eastAsia="仿宋_GB2312"/>
                <w:sz w:val="24"/>
                <w:szCs w:val="24"/>
              </w:rPr>
            </w:pPr>
          </w:p>
        </w:tc>
        <w:tc>
          <w:tcPr>
            <w:tcW w:w="937" w:type="pct"/>
            <w:vAlign w:val="center"/>
          </w:tcPr>
          <w:p w14:paraId="10DF241B">
            <w:pPr>
              <w:rPr>
                <w:rFonts w:ascii="仿宋_GB2312" w:eastAsia="仿宋_GB2312"/>
                <w:sz w:val="24"/>
                <w:szCs w:val="24"/>
              </w:rPr>
            </w:pPr>
          </w:p>
        </w:tc>
      </w:tr>
      <w:tr w14:paraId="3260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582EB511">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20FABBA1">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4ECE259A">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3504E4EB">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58102868">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141B4308">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02FEBCAE">
            <w:pPr>
              <w:rPr>
                <w:rFonts w:ascii="仿宋_GB2312" w:eastAsia="仿宋_GB2312"/>
                <w:sz w:val="24"/>
                <w:szCs w:val="24"/>
              </w:rPr>
            </w:pPr>
            <w:r>
              <w:rPr>
                <w:rFonts w:ascii="仿宋_GB2312" w:eastAsia="仿宋_GB2312"/>
                <w:sz w:val="24"/>
                <w:szCs w:val="24"/>
              </w:rPr>
              <w:t>E-mail</w:t>
            </w:r>
          </w:p>
        </w:tc>
      </w:tr>
      <w:tr w14:paraId="622A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17528691">
            <w:pPr>
              <w:ind w:firstLine="480"/>
              <w:rPr>
                <w:rFonts w:ascii="仿宋_GB2312" w:eastAsia="仿宋_GB2312"/>
                <w:sz w:val="24"/>
                <w:szCs w:val="24"/>
              </w:rPr>
            </w:pPr>
          </w:p>
        </w:tc>
        <w:tc>
          <w:tcPr>
            <w:tcW w:w="503" w:type="pct"/>
            <w:vAlign w:val="center"/>
          </w:tcPr>
          <w:p w14:paraId="46AAA7A3">
            <w:pPr>
              <w:ind w:firstLine="480"/>
              <w:rPr>
                <w:rFonts w:ascii="仿宋_GB2312" w:eastAsia="仿宋_GB2312"/>
                <w:sz w:val="24"/>
                <w:szCs w:val="24"/>
              </w:rPr>
            </w:pPr>
          </w:p>
        </w:tc>
        <w:tc>
          <w:tcPr>
            <w:tcW w:w="504" w:type="pct"/>
            <w:gridSpan w:val="2"/>
            <w:vAlign w:val="center"/>
          </w:tcPr>
          <w:p w14:paraId="62689328">
            <w:pPr>
              <w:ind w:firstLine="480"/>
              <w:rPr>
                <w:rFonts w:ascii="仿宋_GB2312" w:eastAsia="仿宋_GB2312"/>
                <w:sz w:val="24"/>
                <w:szCs w:val="24"/>
              </w:rPr>
            </w:pPr>
          </w:p>
        </w:tc>
        <w:tc>
          <w:tcPr>
            <w:tcW w:w="756" w:type="pct"/>
            <w:vAlign w:val="center"/>
          </w:tcPr>
          <w:p w14:paraId="6F179814">
            <w:pPr>
              <w:ind w:firstLine="480"/>
              <w:rPr>
                <w:rFonts w:ascii="仿宋_GB2312" w:eastAsia="仿宋_GB2312"/>
                <w:sz w:val="24"/>
                <w:szCs w:val="24"/>
              </w:rPr>
            </w:pPr>
          </w:p>
        </w:tc>
        <w:tc>
          <w:tcPr>
            <w:tcW w:w="842" w:type="pct"/>
            <w:vAlign w:val="center"/>
          </w:tcPr>
          <w:p w14:paraId="081CD9D2">
            <w:pPr>
              <w:ind w:firstLine="480"/>
              <w:rPr>
                <w:rFonts w:ascii="仿宋_GB2312" w:eastAsia="仿宋_GB2312"/>
                <w:sz w:val="24"/>
                <w:szCs w:val="24"/>
              </w:rPr>
            </w:pPr>
          </w:p>
        </w:tc>
        <w:tc>
          <w:tcPr>
            <w:tcW w:w="746" w:type="pct"/>
            <w:vAlign w:val="center"/>
          </w:tcPr>
          <w:p w14:paraId="36FBEBEA">
            <w:pPr>
              <w:ind w:firstLine="480"/>
              <w:rPr>
                <w:rFonts w:ascii="仿宋_GB2312" w:eastAsia="仿宋_GB2312"/>
                <w:sz w:val="24"/>
                <w:szCs w:val="24"/>
              </w:rPr>
            </w:pPr>
          </w:p>
        </w:tc>
        <w:tc>
          <w:tcPr>
            <w:tcW w:w="937" w:type="pct"/>
            <w:vAlign w:val="center"/>
          </w:tcPr>
          <w:p w14:paraId="19526B6C">
            <w:pPr>
              <w:ind w:firstLine="480"/>
              <w:rPr>
                <w:rFonts w:ascii="仿宋_GB2312" w:eastAsia="仿宋_GB2312"/>
                <w:sz w:val="24"/>
                <w:szCs w:val="24"/>
              </w:rPr>
            </w:pPr>
          </w:p>
        </w:tc>
      </w:tr>
    </w:tbl>
    <w:p w14:paraId="71730320">
      <w:pPr>
        <w:spacing w:line="600" w:lineRule="exact"/>
        <w:ind w:firstLine="600" w:firstLineChars="200"/>
        <w:rPr>
          <w:rFonts w:ascii="仿宋_GB2312" w:eastAsia="仿宋_GB2312"/>
          <w:kern w:val="28"/>
          <w:sz w:val="30"/>
          <w:szCs w:val="30"/>
        </w:rPr>
      </w:pPr>
    </w:p>
    <w:p w14:paraId="727DEEF9">
      <w:pPr>
        <w:pStyle w:val="18"/>
        <w:rPr>
          <w:szCs w:val="30"/>
        </w:rPr>
      </w:pPr>
      <w:r>
        <w:rPr>
          <w:rFonts w:hint="eastAsia"/>
          <w:szCs w:val="30"/>
        </w:rPr>
        <w:t>我公司保证向上交所提供的书面和电子资料真实、准确、完整与合法。</w:t>
      </w:r>
    </w:p>
    <w:p w14:paraId="20ABEB8E">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66640E1A">
      <w:pPr>
        <w:pStyle w:val="18"/>
        <w:jc w:val="right"/>
        <w:rPr>
          <w:szCs w:val="30"/>
        </w:rPr>
      </w:pPr>
      <w:r>
        <w:rPr>
          <w:rFonts w:hint="eastAsia"/>
          <w:szCs w:val="30"/>
        </w:rPr>
        <w:t xml:space="preserve">                                     经办人（签字）：</w:t>
      </w:r>
    </w:p>
    <w:p w14:paraId="1A630AEB">
      <w:pPr>
        <w:pStyle w:val="18"/>
        <w:jc w:val="right"/>
        <w:rPr>
          <w:szCs w:val="30"/>
        </w:rPr>
      </w:pPr>
      <w:r>
        <w:rPr>
          <w:rFonts w:hint="eastAsia"/>
          <w:szCs w:val="30"/>
        </w:rPr>
        <w:t xml:space="preserve">                                     申请日期：</w:t>
      </w:r>
    </w:p>
    <w:p w14:paraId="3E66ABFE">
      <w:pPr>
        <w:pStyle w:val="18"/>
        <w:widowControl/>
        <w:jc w:val="right"/>
        <w:rPr>
          <w:rFonts w:hAnsi="微软雅黑"/>
          <w:szCs w:val="30"/>
        </w:rPr>
      </w:pPr>
      <w:r>
        <w:rPr>
          <w:rFonts w:hint="eastAsia"/>
          <w:szCs w:val="30"/>
        </w:rPr>
        <w:t xml:space="preserve">                                     联系电话：</w:t>
      </w:r>
    </w:p>
    <w:p w14:paraId="67700D46">
      <w:pPr>
        <w:widowControl/>
        <w:numPr>
          <w:ilvl w:val="255"/>
          <w:numId w:val="0"/>
        </w:numPr>
        <w:jc w:val="left"/>
        <w:outlineLvl w:val="1"/>
        <w:rPr>
          <w:rFonts w:eastAsia="仿宋_GB2312"/>
          <w:sz w:val="30"/>
          <w:szCs w:val="30"/>
        </w:rPr>
      </w:pPr>
      <w:bookmarkStart w:id="3486" w:name="_Toc48742286"/>
      <w:bookmarkEnd w:id="3486"/>
      <w:bookmarkStart w:id="3487" w:name="_Toc48742284"/>
      <w:bookmarkEnd w:id="3487"/>
      <w:bookmarkStart w:id="3488" w:name="_Toc55318690"/>
      <w:bookmarkEnd w:id="3488"/>
      <w:bookmarkStart w:id="3489" w:name="_Toc48742287"/>
      <w:bookmarkEnd w:id="3489"/>
      <w:bookmarkStart w:id="3490" w:name="_Toc48742285"/>
      <w:bookmarkEnd w:id="3490"/>
    </w:p>
    <w:p w14:paraId="607CF403">
      <w:pPr>
        <w:widowControl/>
        <w:jc w:val="left"/>
        <w:outlineLvl w:val="1"/>
        <w:rPr>
          <w:rFonts w:ascii="仿宋_GB2312" w:hAnsi="黑体" w:eastAsia="仿宋_GB2312"/>
          <w:b/>
          <w:sz w:val="30"/>
          <w:szCs w:val="30"/>
        </w:rPr>
      </w:pPr>
      <w:bookmarkStart w:id="3491" w:name="_Toc151137101"/>
      <w:r>
        <w:rPr>
          <w:rFonts w:hint="eastAsia" w:ascii="仿宋_GB2312" w:hAnsi="黑体" w:eastAsia="仿宋_GB2312"/>
          <w:b/>
          <w:sz w:val="30"/>
          <w:szCs w:val="30"/>
        </w:rPr>
        <w:t>附件18 三方回购投资者适当性备案表</w:t>
      </w:r>
      <w:bookmarkEnd w:id="3491"/>
    </w:p>
    <w:p w14:paraId="4CAF0D99">
      <w:pPr>
        <w:spacing w:line="560" w:lineRule="exact"/>
        <w:ind w:right="150"/>
        <w:jc w:val="center"/>
        <w:rPr>
          <w:rFonts w:ascii="黑体" w:hAnsi="黑体" w:eastAsia="黑体" w:cs="黑体"/>
          <w:b/>
          <w:sz w:val="44"/>
          <w:szCs w:val="44"/>
        </w:rPr>
      </w:pPr>
    </w:p>
    <w:p w14:paraId="00A69ECD">
      <w:pPr>
        <w:spacing w:line="560" w:lineRule="exact"/>
        <w:ind w:right="150"/>
        <w:jc w:val="center"/>
        <w:rPr>
          <w:rFonts w:ascii="黑体" w:hAnsi="黑体" w:eastAsia="黑体" w:cs="黑体"/>
          <w:b/>
          <w:sz w:val="44"/>
          <w:szCs w:val="44"/>
        </w:rPr>
      </w:pPr>
      <w:r>
        <w:rPr>
          <w:rFonts w:hint="eastAsia" w:ascii="黑体" w:hAnsi="黑体" w:eastAsia="黑体" w:cs="黑体"/>
          <w:b/>
          <w:sz w:val="44"/>
          <w:szCs w:val="44"/>
        </w:rPr>
        <w:t>三方回购投资者适当性备案表</w:t>
      </w:r>
    </w:p>
    <w:p w14:paraId="76E644BD">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（机构适用）</w:t>
      </w:r>
    </w:p>
    <w:p w14:paraId="4BBA78FA">
      <w:pPr>
        <w:spacing w:line="560" w:lineRule="exact"/>
        <w:jc w:val="left"/>
        <w:rPr>
          <w:rFonts w:eastAsia="仿宋_GB2312"/>
          <w:sz w:val="30"/>
          <w:szCs w:val="30"/>
        </w:rPr>
      </w:pPr>
      <w:r>
        <w:rPr>
          <w:rFonts w:hint="eastAsia" w:eastAsia="仿宋_GB2312"/>
          <w:sz w:val="30"/>
          <w:szCs w:val="30"/>
        </w:rPr>
        <w:t>上海证券交易所：</w:t>
      </w:r>
    </w:p>
    <w:p w14:paraId="27B44C6A">
      <w:pPr>
        <w:spacing w:line="560" w:lineRule="exact"/>
        <w:ind w:firstLine="600" w:firstLineChars="200"/>
        <w:jc w:val="left"/>
        <w:rPr>
          <w:rFonts w:eastAsia="仿宋_GB2312"/>
          <w:kern w:val="28"/>
          <w:sz w:val="30"/>
          <w:szCs w:val="30"/>
        </w:rPr>
      </w:pPr>
      <w:r>
        <w:rPr>
          <w:rFonts w:hint="eastAsia" w:eastAsia="仿宋_GB2312"/>
          <w:sz w:val="30"/>
          <w:szCs w:val="30"/>
        </w:rPr>
        <w:t>经我公司研究决定，特向上交所申请参与债券三方回购业务，现将有关事项申请如下：</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5730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4" w:type="dxa"/>
            <w:gridSpan w:val="6"/>
            <w:vAlign w:val="center"/>
          </w:tcPr>
          <w:p w14:paraId="1BB77EF9">
            <w:pPr>
              <w:spacing w:line="560" w:lineRule="exact"/>
              <w:rPr>
                <w:rFonts w:eastAsia="仿宋_GB2312"/>
                <w:sz w:val="24"/>
                <w:szCs w:val="28"/>
              </w:rPr>
            </w:pPr>
            <w:r>
              <w:rPr>
                <w:rFonts w:eastAsia="仿宋_GB2312"/>
                <w:sz w:val="24"/>
                <w:szCs w:val="28"/>
              </w:rPr>
              <w:t>申请人全称：</w:t>
            </w:r>
          </w:p>
        </w:tc>
        <w:tc>
          <w:tcPr>
            <w:tcW w:w="3113" w:type="dxa"/>
            <w:gridSpan w:val="2"/>
            <w:vAlign w:val="center"/>
          </w:tcPr>
          <w:p w14:paraId="35210674">
            <w:pPr>
              <w:spacing w:line="560" w:lineRule="exact"/>
              <w:rPr>
                <w:rFonts w:eastAsia="仿宋_GB2312"/>
                <w:sz w:val="24"/>
                <w:szCs w:val="28"/>
              </w:rPr>
            </w:pPr>
            <w:r>
              <w:rPr>
                <w:rFonts w:eastAsia="仿宋_GB2312"/>
                <w:sz w:val="24"/>
                <w:szCs w:val="28"/>
              </w:rPr>
              <w:t>电话：</w:t>
            </w:r>
          </w:p>
        </w:tc>
      </w:tr>
      <w:tr w14:paraId="4F4B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4" w:type="dxa"/>
            <w:gridSpan w:val="6"/>
            <w:vAlign w:val="center"/>
          </w:tcPr>
          <w:p w14:paraId="145BAF3F">
            <w:pPr>
              <w:spacing w:line="560" w:lineRule="exact"/>
              <w:rPr>
                <w:rFonts w:eastAsia="仿宋_GB2312"/>
                <w:sz w:val="24"/>
                <w:szCs w:val="28"/>
              </w:rPr>
            </w:pPr>
            <w:r>
              <w:rPr>
                <w:rFonts w:eastAsia="仿宋_GB2312"/>
                <w:sz w:val="24"/>
                <w:szCs w:val="28"/>
              </w:rPr>
              <w:t xml:space="preserve">公司地址： </w:t>
            </w:r>
          </w:p>
        </w:tc>
        <w:tc>
          <w:tcPr>
            <w:tcW w:w="3113" w:type="dxa"/>
            <w:gridSpan w:val="2"/>
            <w:vAlign w:val="center"/>
          </w:tcPr>
          <w:p w14:paraId="190AC45F">
            <w:pPr>
              <w:spacing w:line="560" w:lineRule="exact"/>
              <w:rPr>
                <w:rFonts w:eastAsia="仿宋_GB2312"/>
                <w:sz w:val="24"/>
                <w:szCs w:val="28"/>
              </w:rPr>
            </w:pPr>
            <w:r>
              <w:rPr>
                <w:rFonts w:eastAsia="仿宋_GB2312"/>
                <w:sz w:val="24"/>
                <w:szCs w:val="28"/>
              </w:rPr>
              <w:t>传真：</w:t>
            </w:r>
          </w:p>
        </w:tc>
      </w:tr>
      <w:tr w14:paraId="0E95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6DFE045D">
            <w:pPr>
              <w:pStyle w:val="17"/>
              <w:spacing w:after="0" w:line="560" w:lineRule="exact"/>
              <w:jc w:val="left"/>
              <w:rPr>
                <w:rFonts w:eastAsia="仿宋_GB2312"/>
                <w:sz w:val="24"/>
                <w:szCs w:val="28"/>
              </w:rPr>
            </w:pPr>
            <w:r>
              <w:rPr>
                <w:rFonts w:eastAsia="仿宋_GB2312"/>
                <w:sz w:val="24"/>
                <w:szCs w:val="28"/>
              </w:rPr>
              <w:t>投资者类型：</w:t>
            </w:r>
          </w:p>
        </w:tc>
        <w:tc>
          <w:tcPr>
            <w:tcW w:w="7794" w:type="dxa"/>
            <w:gridSpan w:val="6"/>
            <w:vAlign w:val="center"/>
          </w:tcPr>
          <w:p w14:paraId="3706E7FB">
            <w:pPr>
              <w:pStyle w:val="17"/>
              <w:spacing w:after="0" w:line="560" w:lineRule="exact"/>
              <w:jc w:val="left"/>
              <w:rPr>
                <w:rFonts w:eastAsia="仿宋_GB2312"/>
                <w:sz w:val="24"/>
                <w:szCs w:val="28"/>
              </w:rPr>
            </w:pPr>
            <w:r>
              <w:rPr>
                <w:rFonts w:eastAsia="仿宋_GB2312"/>
                <w:sz w:val="24"/>
                <w:szCs w:val="28"/>
              </w:rPr>
              <w:t>□</w:t>
            </w:r>
            <w:r>
              <w:rPr>
                <w:rFonts w:eastAsia="仿宋_GB2312"/>
                <w:sz w:val="24"/>
              </w:rPr>
              <w:t xml:space="preserve">证券公司  </w:t>
            </w:r>
            <w:r>
              <w:rPr>
                <w:rFonts w:eastAsia="仿宋_GB2312"/>
                <w:sz w:val="24"/>
                <w:szCs w:val="28"/>
              </w:rPr>
              <w:t>□</w:t>
            </w:r>
            <w:r>
              <w:rPr>
                <w:rFonts w:eastAsia="仿宋_GB2312"/>
                <w:sz w:val="24"/>
              </w:rPr>
              <w:t xml:space="preserve">期货公司  </w:t>
            </w:r>
            <w:r>
              <w:rPr>
                <w:rFonts w:eastAsia="仿宋_GB2312"/>
                <w:sz w:val="24"/>
                <w:szCs w:val="28"/>
              </w:rPr>
              <w:t>□</w:t>
            </w:r>
            <w:r>
              <w:rPr>
                <w:rFonts w:eastAsia="仿宋_GB2312"/>
                <w:sz w:val="24"/>
              </w:rPr>
              <w:t xml:space="preserve">基金管理公司及其子公司  </w:t>
            </w:r>
            <w:r>
              <w:rPr>
                <w:rFonts w:eastAsia="仿宋_GB2312"/>
                <w:sz w:val="24"/>
                <w:szCs w:val="28"/>
              </w:rPr>
              <w:t>□</w:t>
            </w:r>
            <w:r>
              <w:rPr>
                <w:rFonts w:eastAsia="仿宋_GB2312"/>
                <w:sz w:val="24"/>
              </w:rPr>
              <w:t xml:space="preserve">商业银行  </w:t>
            </w:r>
            <w:r>
              <w:rPr>
                <w:rFonts w:eastAsia="仿宋_GB2312"/>
                <w:sz w:val="24"/>
                <w:szCs w:val="28"/>
              </w:rPr>
              <w:t>□</w:t>
            </w:r>
            <w:r>
              <w:rPr>
                <w:rFonts w:eastAsia="仿宋_GB2312"/>
                <w:sz w:val="24"/>
              </w:rPr>
              <w:t xml:space="preserve">保险公司  </w:t>
            </w:r>
            <w:r>
              <w:rPr>
                <w:rFonts w:eastAsia="仿宋_GB2312"/>
                <w:sz w:val="24"/>
                <w:szCs w:val="28"/>
              </w:rPr>
              <w:t>□</w:t>
            </w:r>
            <w:r>
              <w:rPr>
                <w:rFonts w:eastAsia="仿宋_GB2312"/>
                <w:sz w:val="24"/>
              </w:rPr>
              <w:t xml:space="preserve">信托公司  </w:t>
            </w:r>
            <w:r>
              <w:rPr>
                <w:rFonts w:eastAsia="仿宋_GB2312"/>
                <w:sz w:val="24"/>
                <w:szCs w:val="28"/>
              </w:rPr>
              <w:t>□</w:t>
            </w:r>
            <w:r>
              <w:rPr>
                <w:rFonts w:eastAsia="仿宋_GB2312"/>
                <w:sz w:val="24"/>
              </w:rPr>
              <w:t xml:space="preserve">财务公司  </w:t>
            </w:r>
            <w:r>
              <w:rPr>
                <w:rFonts w:eastAsia="仿宋_GB2312"/>
                <w:sz w:val="24"/>
                <w:szCs w:val="28"/>
              </w:rPr>
              <w:t>□</w:t>
            </w:r>
            <w:r>
              <w:rPr>
                <w:rFonts w:eastAsia="仿宋_GB2312"/>
                <w:sz w:val="24"/>
              </w:rPr>
              <w:t xml:space="preserve">证券公司子公司  </w:t>
            </w:r>
            <w:r>
              <w:rPr>
                <w:rFonts w:eastAsia="仿宋_GB2312"/>
                <w:sz w:val="24"/>
                <w:szCs w:val="28"/>
              </w:rPr>
              <w:t>□</w:t>
            </w:r>
            <w:r>
              <w:rPr>
                <w:rFonts w:eastAsia="仿宋_GB2312"/>
                <w:sz w:val="24"/>
              </w:rPr>
              <w:t xml:space="preserve">期货公司子公司  </w:t>
            </w:r>
            <w:r>
              <w:rPr>
                <w:rFonts w:eastAsia="仿宋_GB2312"/>
                <w:sz w:val="24"/>
                <w:szCs w:val="28"/>
              </w:rPr>
              <w:t>□</w:t>
            </w:r>
            <w:r>
              <w:rPr>
                <w:rFonts w:eastAsia="仿宋_GB2312"/>
                <w:sz w:val="24"/>
              </w:rPr>
              <w:t xml:space="preserve">私募基金管理人  </w:t>
            </w:r>
            <w:r>
              <w:rPr>
                <w:rFonts w:eastAsia="仿宋_GB2312"/>
                <w:sz w:val="24"/>
                <w:szCs w:val="28"/>
              </w:rPr>
              <w:t>□</w:t>
            </w:r>
            <w:r>
              <w:rPr>
                <w:rFonts w:eastAsia="仿宋_GB2312"/>
                <w:sz w:val="24"/>
              </w:rPr>
              <w:t>其他金融机构</w:t>
            </w:r>
          </w:p>
        </w:tc>
      </w:tr>
      <w:tr w14:paraId="5BE0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026FA46">
            <w:pPr>
              <w:spacing w:line="560" w:lineRule="exact"/>
              <w:rPr>
                <w:rFonts w:eastAsia="仿宋_GB2312"/>
                <w:sz w:val="24"/>
                <w:szCs w:val="28"/>
              </w:rPr>
            </w:pPr>
            <w:r>
              <w:rPr>
                <w:rFonts w:eastAsia="仿宋_GB2312"/>
                <w:sz w:val="24"/>
                <w:szCs w:val="28"/>
              </w:rPr>
              <w:t>固定收益平台交易商代码：</w:t>
            </w:r>
          </w:p>
        </w:tc>
        <w:tc>
          <w:tcPr>
            <w:tcW w:w="5384" w:type="dxa"/>
            <w:gridSpan w:val="4"/>
            <w:tcBorders>
              <w:bottom w:val="single" w:color="auto" w:sz="4" w:space="0"/>
            </w:tcBorders>
            <w:vAlign w:val="center"/>
          </w:tcPr>
          <w:p w14:paraId="18B6CD4C">
            <w:pPr>
              <w:spacing w:line="560" w:lineRule="exact"/>
              <w:rPr>
                <w:rFonts w:eastAsia="仿宋_GB2312"/>
                <w:sz w:val="24"/>
                <w:szCs w:val="28"/>
              </w:rPr>
            </w:pPr>
            <w:r>
              <w:rPr>
                <w:rFonts w:eastAsia="仿宋_GB2312"/>
                <w:sz w:val="24"/>
                <w:szCs w:val="28"/>
              </w:rPr>
              <w:t>固定收益平台交易商名称：</w:t>
            </w:r>
          </w:p>
        </w:tc>
      </w:tr>
      <w:tr w14:paraId="5BCF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271678E9">
            <w:pPr>
              <w:spacing w:line="560" w:lineRule="exact"/>
              <w:rPr>
                <w:rFonts w:eastAsia="仿宋_GB2312"/>
                <w:sz w:val="24"/>
                <w:szCs w:val="28"/>
              </w:rPr>
            </w:pPr>
            <w:r>
              <w:rPr>
                <w:rFonts w:eastAsia="仿宋_GB2312"/>
                <w:sz w:val="24"/>
                <w:szCs w:val="28"/>
              </w:rPr>
              <w:t>证券账户：</w:t>
            </w:r>
          </w:p>
        </w:tc>
        <w:tc>
          <w:tcPr>
            <w:tcW w:w="5384" w:type="dxa"/>
            <w:gridSpan w:val="4"/>
            <w:tcBorders>
              <w:bottom w:val="single" w:color="auto" w:sz="4" w:space="0"/>
            </w:tcBorders>
            <w:vAlign w:val="center"/>
          </w:tcPr>
          <w:p w14:paraId="51C32DCA">
            <w:pPr>
              <w:spacing w:line="560" w:lineRule="exact"/>
              <w:rPr>
                <w:rFonts w:eastAsia="仿宋_GB2312"/>
                <w:sz w:val="24"/>
                <w:szCs w:val="28"/>
              </w:rPr>
            </w:pPr>
            <w:r>
              <w:rPr>
                <w:rFonts w:eastAsia="仿宋_GB2312"/>
                <w:sz w:val="24"/>
                <w:szCs w:val="28"/>
              </w:rPr>
              <w:t>证券账户名称：</w:t>
            </w:r>
          </w:p>
        </w:tc>
      </w:tr>
      <w:tr w14:paraId="2053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7CA8E51">
            <w:pPr>
              <w:spacing w:line="560" w:lineRule="exact"/>
              <w:rPr>
                <w:rFonts w:eastAsia="仿宋_GB2312"/>
                <w:sz w:val="24"/>
                <w:szCs w:val="28"/>
              </w:rPr>
            </w:pPr>
            <w:r>
              <w:rPr>
                <w:rFonts w:eastAsia="仿宋_GB2312"/>
                <w:sz w:val="24"/>
                <w:szCs w:val="28"/>
              </w:rPr>
              <w:t>三方回购专用证券账户：</w:t>
            </w:r>
          </w:p>
        </w:tc>
        <w:tc>
          <w:tcPr>
            <w:tcW w:w="5384" w:type="dxa"/>
            <w:gridSpan w:val="4"/>
            <w:tcBorders>
              <w:bottom w:val="single" w:color="auto" w:sz="4" w:space="0"/>
            </w:tcBorders>
            <w:vAlign w:val="center"/>
          </w:tcPr>
          <w:p w14:paraId="16EEBFD9">
            <w:pPr>
              <w:spacing w:line="560" w:lineRule="exact"/>
              <w:rPr>
                <w:rFonts w:eastAsia="仿宋_GB2312"/>
                <w:sz w:val="24"/>
                <w:szCs w:val="28"/>
              </w:rPr>
            </w:pPr>
            <w:r>
              <w:rPr>
                <w:rFonts w:eastAsia="仿宋_GB2312"/>
                <w:sz w:val="24"/>
                <w:szCs w:val="28"/>
              </w:rPr>
              <w:t>三方回购专用证券账户名称：</w:t>
            </w:r>
          </w:p>
        </w:tc>
      </w:tr>
      <w:tr w14:paraId="6E0E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076CDF52">
            <w:pPr>
              <w:spacing w:line="560" w:lineRule="exact"/>
              <w:rPr>
                <w:rFonts w:eastAsia="仿宋_GB2312"/>
                <w:sz w:val="24"/>
                <w:szCs w:val="28"/>
              </w:rPr>
            </w:pPr>
            <w:r>
              <w:rPr>
                <w:rFonts w:eastAsia="仿宋_GB2312"/>
                <w:sz w:val="24"/>
                <w:szCs w:val="28"/>
              </w:rPr>
              <w:t>交易单元：</w:t>
            </w:r>
          </w:p>
        </w:tc>
        <w:tc>
          <w:tcPr>
            <w:tcW w:w="5384" w:type="dxa"/>
            <w:gridSpan w:val="4"/>
            <w:tcBorders>
              <w:bottom w:val="single" w:color="auto" w:sz="4" w:space="0"/>
            </w:tcBorders>
            <w:vAlign w:val="center"/>
          </w:tcPr>
          <w:p w14:paraId="211E2C8A">
            <w:pPr>
              <w:spacing w:line="560" w:lineRule="exact"/>
              <w:rPr>
                <w:rFonts w:eastAsia="仿宋_GB2312"/>
                <w:sz w:val="24"/>
                <w:szCs w:val="28"/>
              </w:rPr>
            </w:pPr>
          </w:p>
        </w:tc>
      </w:tr>
      <w:tr w14:paraId="1805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8"/>
            <w:tcBorders>
              <w:bottom w:val="single" w:color="auto" w:sz="4" w:space="0"/>
            </w:tcBorders>
            <w:vAlign w:val="center"/>
          </w:tcPr>
          <w:p w14:paraId="3636DD36">
            <w:pPr>
              <w:spacing w:line="560" w:lineRule="exact"/>
              <w:rPr>
                <w:rFonts w:eastAsia="仿宋_GB2312"/>
                <w:sz w:val="24"/>
                <w:szCs w:val="28"/>
              </w:rPr>
            </w:pPr>
            <w:r>
              <w:rPr>
                <w:rFonts w:eastAsia="仿宋_GB2312"/>
                <w:sz w:val="24"/>
                <w:szCs w:val="28"/>
              </w:rPr>
              <w:t>申请开通的交易权限 ：  □正回购  □逆回购</w:t>
            </w:r>
          </w:p>
        </w:tc>
      </w:tr>
      <w:tr w14:paraId="55DF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1ED0E8A">
            <w:pPr>
              <w:spacing w:line="560" w:lineRule="exact"/>
              <w:rPr>
                <w:rFonts w:eastAsia="仿宋_GB2312"/>
                <w:sz w:val="24"/>
                <w:szCs w:val="28"/>
              </w:rPr>
            </w:pPr>
            <w:r>
              <w:rPr>
                <w:rFonts w:eastAsia="仿宋_GB2312"/>
                <w:sz w:val="24"/>
                <w:szCs w:val="28"/>
              </w:rPr>
              <w:t>杠杆运作限制</w:t>
            </w:r>
          </w:p>
        </w:tc>
        <w:tc>
          <w:tcPr>
            <w:tcW w:w="8358" w:type="dxa"/>
            <w:gridSpan w:val="7"/>
            <w:tcBorders>
              <w:bottom w:val="single" w:color="auto" w:sz="4" w:space="0"/>
            </w:tcBorders>
            <w:vAlign w:val="center"/>
          </w:tcPr>
          <w:p w14:paraId="3B66B59B">
            <w:pPr>
              <w:spacing w:line="560" w:lineRule="exact"/>
              <w:jc w:val="right"/>
              <w:rPr>
                <w:rFonts w:eastAsia="仿宋_GB2312"/>
                <w:sz w:val="24"/>
                <w:szCs w:val="28"/>
              </w:rPr>
            </w:pPr>
          </w:p>
        </w:tc>
      </w:tr>
      <w:tr w14:paraId="5F70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143DD199">
            <w:pPr>
              <w:spacing w:line="300" w:lineRule="auto"/>
              <w:rPr>
                <w:rFonts w:eastAsia="仿宋_GB2312"/>
                <w:sz w:val="24"/>
                <w:szCs w:val="28"/>
              </w:rPr>
            </w:pPr>
            <w:r>
              <w:rPr>
                <w:rFonts w:eastAsia="仿宋_GB2312"/>
                <w:sz w:val="24"/>
                <w:szCs w:val="28"/>
              </w:rPr>
              <w:t>回购违约情况说明</w:t>
            </w:r>
          </w:p>
        </w:tc>
        <w:tc>
          <w:tcPr>
            <w:tcW w:w="8358" w:type="dxa"/>
            <w:gridSpan w:val="7"/>
            <w:tcBorders>
              <w:bottom w:val="single" w:color="auto" w:sz="4" w:space="0"/>
            </w:tcBorders>
            <w:vAlign w:val="center"/>
          </w:tcPr>
          <w:p w14:paraId="09344402">
            <w:pPr>
              <w:spacing w:line="300" w:lineRule="auto"/>
              <w:ind w:right="482"/>
              <w:jc w:val="left"/>
              <w:rPr>
                <w:rFonts w:eastAsia="仿宋_GB2312"/>
                <w:color w:val="808080"/>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5C90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C2F9A72">
            <w:pPr>
              <w:spacing w:line="300" w:lineRule="auto"/>
              <w:rPr>
                <w:rFonts w:eastAsia="仿宋_GB2312"/>
                <w:sz w:val="24"/>
                <w:szCs w:val="28"/>
              </w:rPr>
            </w:pPr>
            <w:r>
              <w:rPr>
                <w:rFonts w:eastAsia="仿宋_GB2312"/>
                <w:sz w:val="24"/>
                <w:szCs w:val="28"/>
              </w:rPr>
              <w:t>三方回购业务负责人</w:t>
            </w:r>
          </w:p>
        </w:tc>
        <w:tc>
          <w:tcPr>
            <w:tcW w:w="1484" w:type="dxa"/>
            <w:gridSpan w:val="2"/>
            <w:vAlign w:val="center"/>
          </w:tcPr>
          <w:p w14:paraId="25B335CA">
            <w:pPr>
              <w:spacing w:line="560" w:lineRule="exact"/>
              <w:rPr>
                <w:rFonts w:eastAsia="仿宋_GB2312"/>
                <w:sz w:val="24"/>
                <w:szCs w:val="28"/>
              </w:rPr>
            </w:pPr>
            <w:r>
              <w:rPr>
                <w:rFonts w:eastAsia="仿宋_GB2312"/>
                <w:sz w:val="24"/>
                <w:szCs w:val="28"/>
              </w:rPr>
              <w:t>部门</w:t>
            </w:r>
          </w:p>
        </w:tc>
        <w:tc>
          <w:tcPr>
            <w:tcW w:w="1490" w:type="dxa"/>
            <w:vAlign w:val="center"/>
          </w:tcPr>
          <w:p w14:paraId="4CF29FDB">
            <w:pPr>
              <w:spacing w:line="560" w:lineRule="exact"/>
              <w:rPr>
                <w:rFonts w:eastAsia="仿宋_GB2312"/>
                <w:sz w:val="24"/>
                <w:szCs w:val="28"/>
              </w:rPr>
            </w:pPr>
            <w:r>
              <w:rPr>
                <w:rFonts w:eastAsia="仿宋_GB2312"/>
                <w:sz w:val="24"/>
                <w:szCs w:val="28"/>
              </w:rPr>
              <w:t>职务</w:t>
            </w:r>
          </w:p>
        </w:tc>
        <w:tc>
          <w:tcPr>
            <w:tcW w:w="854" w:type="dxa"/>
            <w:vAlign w:val="center"/>
          </w:tcPr>
          <w:p w14:paraId="60C2A5DE">
            <w:pPr>
              <w:spacing w:line="560" w:lineRule="exact"/>
              <w:rPr>
                <w:rFonts w:eastAsia="仿宋_GB2312"/>
                <w:sz w:val="24"/>
                <w:szCs w:val="28"/>
              </w:rPr>
            </w:pPr>
            <w:r>
              <w:rPr>
                <w:rFonts w:eastAsia="仿宋_GB2312"/>
                <w:sz w:val="24"/>
                <w:szCs w:val="28"/>
              </w:rPr>
              <w:t>电话</w:t>
            </w:r>
          </w:p>
        </w:tc>
        <w:tc>
          <w:tcPr>
            <w:tcW w:w="1417" w:type="dxa"/>
            <w:vAlign w:val="center"/>
          </w:tcPr>
          <w:p w14:paraId="15532463">
            <w:pPr>
              <w:spacing w:line="560" w:lineRule="exact"/>
              <w:rPr>
                <w:rFonts w:eastAsia="仿宋_GB2312"/>
                <w:sz w:val="24"/>
                <w:szCs w:val="28"/>
              </w:rPr>
            </w:pPr>
            <w:r>
              <w:rPr>
                <w:rFonts w:eastAsia="仿宋_GB2312"/>
                <w:sz w:val="24"/>
                <w:szCs w:val="28"/>
              </w:rPr>
              <w:t>手机</w:t>
            </w:r>
          </w:p>
        </w:tc>
        <w:tc>
          <w:tcPr>
            <w:tcW w:w="1619" w:type="dxa"/>
            <w:vAlign w:val="center"/>
          </w:tcPr>
          <w:p w14:paraId="46F747A4">
            <w:pPr>
              <w:spacing w:line="560" w:lineRule="exact"/>
              <w:rPr>
                <w:rFonts w:eastAsia="仿宋_GB2312"/>
                <w:sz w:val="24"/>
                <w:szCs w:val="28"/>
              </w:rPr>
            </w:pPr>
            <w:r>
              <w:rPr>
                <w:rFonts w:eastAsia="仿宋_GB2312"/>
                <w:sz w:val="24"/>
                <w:szCs w:val="28"/>
              </w:rPr>
              <w:t>传真</w:t>
            </w:r>
          </w:p>
        </w:tc>
        <w:tc>
          <w:tcPr>
            <w:tcW w:w="1494" w:type="dxa"/>
            <w:vAlign w:val="center"/>
          </w:tcPr>
          <w:p w14:paraId="609FB487">
            <w:pPr>
              <w:spacing w:line="560" w:lineRule="exact"/>
              <w:rPr>
                <w:rFonts w:eastAsia="仿宋_GB2312"/>
                <w:sz w:val="24"/>
                <w:szCs w:val="28"/>
              </w:rPr>
            </w:pPr>
            <w:r>
              <w:rPr>
                <w:rFonts w:eastAsia="仿宋_GB2312"/>
                <w:sz w:val="24"/>
                <w:szCs w:val="28"/>
              </w:rPr>
              <w:t>E-mail</w:t>
            </w:r>
          </w:p>
        </w:tc>
      </w:tr>
      <w:tr w14:paraId="156F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7C99B288">
            <w:pPr>
              <w:spacing w:line="560" w:lineRule="exact"/>
              <w:rPr>
                <w:rFonts w:eastAsia="仿宋_GB2312"/>
                <w:sz w:val="24"/>
                <w:szCs w:val="28"/>
              </w:rPr>
            </w:pPr>
          </w:p>
        </w:tc>
        <w:tc>
          <w:tcPr>
            <w:tcW w:w="1484" w:type="dxa"/>
            <w:gridSpan w:val="2"/>
            <w:vAlign w:val="center"/>
          </w:tcPr>
          <w:p w14:paraId="7C0F6B7A">
            <w:pPr>
              <w:spacing w:line="560" w:lineRule="exact"/>
              <w:rPr>
                <w:rFonts w:eastAsia="仿宋_GB2312"/>
                <w:sz w:val="24"/>
                <w:szCs w:val="28"/>
              </w:rPr>
            </w:pPr>
          </w:p>
        </w:tc>
        <w:tc>
          <w:tcPr>
            <w:tcW w:w="1490" w:type="dxa"/>
            <w:vAlign w:val="center"/>
          </w:tcPr>
          <w:p w14:paraId="4B699DCB">
            <w:pPr>
              <w:spacing w:line="560" w:lineRule="exact"/>
              <w:rPr>
                <w:rFonts w:eastAsia="仿宋_GB2312"/>
                <w:sz w:val="24"/>
                <w:szCs w:val="28"/>
              </w:rPr>
            </w:pPr>
          </w:p>
        </w:tc>
        <w:tc>
          <w:tcPr>
            <w:tcW w:w="854" w:type="dxa"/>
            <w:vAlign w:val="center"/>
          </w:tcPr>
          <w:p w14:paraId="257EFB0E">
            <w:pPr>
              <w:spacing w:line="560" w:lineRule="exact"/>
              <w:rPr>
                <w:rFonts w:eastAsia="仿宋_GB2312"/>
                <w:sz w:val="24"/>
                <w:szCs w:val="28"/>
              </w:rPr>
            </w:pPr>
          </w:p>
        </w:tc>
        <w:tc>
          <w:tcPr>
            <w:tcW w:w="1417" w:type="dxa"/>
            <w:vAlign w:val="center"/>
          </w:tcPr>
          <w:p w14:paraId="2486A47E">
            <w:pPr>
              <w:spacing w:line="560" w:lineRule="exact"/>
              <w:rPr>
                <w:rFonts w:eastAsia="仿宋_GB2312"/>
                <w:sz w:val="24"/>
                <w:szCs w:val="28"/>
              </w:rPr>
            </w:pPr>
          </w:p>
        </w:tc>
        <w:tc>
          <w:tcPr>
            <w:tcW w:w="1619" w:type="dxa"/>
            <w:vAlign w:val="center"/>
          </w:tcPr>
          <w:p w14:paraId="7F3B01CE">
            <w:pPr>
              <w:spacing w:line="560" w:lineRule="exact"/>
              <w:rPr>
                <w:rFonts w:eastAsia="仿宋_GB2312"/>
                <w:sz w:val="24"/>
                <w:szCs w:val="28"/>
              </w:rPr>
            </w:pPr>
          </w:p>
        </w:tc>
        <w:tc>
          <w:tcPr>
            <w:tcW w:w="1494" w:type="dxa"/>
            <w:vAlign w:val="center"/>
          </w:tcPr>
          <w:p w14:paraId="33EC6EB1">
            <w:pPr>
              <w:spacing w:line="560" w:lineRule="exact"/>
              <w:rPr>
                <w:rFonts w:eastAsia="仿宋_GB2312"/>
                <w:sz w:val="24"/>
                <w:szCs w:val="28"/>
              </w:rPr>
            </w:pPr>
          </w:p>
        </w:tc>
      </w:tr>
      <w:tr w14:paraId="1BD1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64BF1718">
            <w:pPr>
              <w:spacing w:line="300" w:lineRule="auto"/>
              <w:rPr>
                <w:rFonts w:eastAsia="仿宋_GB2312"/>
                <w:sz w:val="24"/>
                <w:szCs w:val="28"/>
              </w:rPr>
            </w:pPr>
            <w:r>
              <w:rPr>
                <w:rFonts w:eastAsia="仿宋_GB2312"/>
                <w:sz w:val="24"/>
                <w:szCs w:val="28"/>
              </w:rPr>
              <w:t>三方回购业务联络人</w:t>
            </w:r>
          </w:p>
        </w:tc>
        <w:tc>
          <w:tcPr>
            <w:tcW w:w="1484" w:type="dxa"/>
            <w:gridSpan w:val="2"/>
            <w:vAlign w:val="center"/>
          </w:tcPr>
          <w:p w14:paraId="7E1A2B26">
            <w:pPr>
              <w:spacing w:line="560" w:lineRule="exact"/>
              <w:rPr>
                <w:rFonts w:eastAsia="仿宋_GB2312"/>
                <w:sz w:val="24"/>
                <w:szCs w:val="28"/>
              </w:rPr>
            </w:pPr>
            <w:r>
              <w:rPr>
                <w:rFonts w:eastAsia="仿宋_GB2312"/>
                <w:sz w:val="24"/>
                <w:szCs w:val="28"/>
              </w:rPr>
              <w:t>部门</w:t>
            </w:r>
          </w:p>
        </w:tc>
        <w:tc>
          <w:tcPr>
            <w:tcW w:w="1490" w:type="dxa"/>
            <w:vAlign w:val="center"/>
          </w:tcPr>
          <w:p w14:paraId="5E6DB4DA">
            <w:pPr>
              <w:spacing w:line="560" w:lineRule="exact"/>
              <w:rPr>
                <w:rFonts w:eastAsia="仿宋_GB2312"/>
                <w:sz w:val="24"/>
                <w:szCs w:val="28"/>
              </w:rPr>
            </w:pPr>
            <w:r>
              <w:rPr>
                <w:rFonts w:eastAsia="仿宋_GB2312"/>
                <w:sz w:val="24"/>
                <w:szCs w:val="28"/>
              </w:rPr>
              <w:t>职务</w:t>
            </w:r>
          </w:p>
        </w:tc>
        <w:tc>
          <w:tcPr>
            <w:tcW w:w="854" w:type="dxa"/>
            <w:vAlign w:val="center"/>
          </w:tcPr>
          <w:p w14:paraId="40D2484A">
            <w:pPr>
              <w:spacing w:line="560" w:lineRule="exact"/>
              <w:rPr>
                <w:rFonts w:eastAsia="仿宋_GB2312"/>
                <w:sz w:val="24"/>
                <w:szCs w:val="28"/>
              </w:rPr>
            </w:pPr>
            <w:r>
              <w:rPr>
                <w:rFonts w:eastAsia="仿宋_GB2312"/>
                <w:sz w:val="24"/>
                <w:szCs w:val="28"/>
              </w:rPr>
              <w:t>电话</w:t>
            </w:r>
          </w:p>
        </w:tc>
        <w:tc>
          <w:tcPr>
            <w:tcW w:w="1417" w:type="dxa"/>
            <w:vAlign w:val="center"/>
          </w:tcPr>
          <w:p w14:paraId="154AD9B0">
            <w:pPr>
              <w:spacing w:line="560" w:lineRule="exact"/>
              <w:rPr>
                <w:rFonts w:eastAsia="仿宋_GB2312"/>
                <w:sz w:val="24"/>
                <w:szCs w:val="28"/>
              </w:rPr>
            </w:pPr>
            <w:r>
              <w:rPr>
                <w:rFonts w:eastAsia="仿宋_GB2312"/>
                <w:sz w:val="24"/>
                <w:szCs w:val="28"/>
              </w:rPr>
              <w:t>手机</w:t>
            </w:r>
          </w:p>
        </w:tc>
        <w:tc>
          <w:tcPr>
            <w:tcW w:w="1619" w:type="dxa"/>
            <w:vAlign w:val="center"/>
          </w:tcPr>
          <w:p w14:paraId="1E8E11CF">
            <w:pPr>
              <w:spacing w:line="560" w:lineRule="exact"/>
              <w:rPr>
                <w:rFonts w:eastAsia="仿宋_GB2312"/>
                <w:sz w:val="24"/>
                <w:szCs w:val="28"/>
              </w:rPr>
            </w:pPr>
            <w:r>
              <w:rPr>
                <w:rFonts w:eastAsia="仿宋_GB2312"/>
                <w:sz w:val="24"/>
                <w:szCs w:val="28"/>
              </w:rPr>
              <w:t>传真</w:t>
            </w:r>
          </w:p>
        </w:tc>
        <w:tc>
          <w:tcPr>
            <w:tcW w:w="1494" w:type="dxa"/>
            <w:vAlign w:val="center"/>
          </w:tcPr>
          <w:p w14:paraId="05EE2537">
            <w:pPr>
              <w:spacing w:line="560" w:lineRule="exact"/>
              <w:rPr>
                <w:rFonts w:eastAsia="仿宋_GB2312"/>
                <w:sz w:val="24"/>
                <w:szCs w:val="28"/>
              </w:rPr>
            </w:pPr>
            <w:r>
              <w:rPr>
                <w:rFonts w:eastAsia="仿宋_GB2312"/>
                <w:sz w:val="24"/>
                <w:szCs w:val="28"/>
              </w:rPr>
              <w:t>E-mail</w:t>
            </w:r>
          </w:p>
        </w:tc>
      </w:tr>
      <w:tr w14:paraId="29B3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14:paraId="6C8AC1B6">
            <w:pPr>
              <w:spacing w:line="560" w:lineRule="exact"/>
              <w:rPr>
                <w:rFonts w:eastAsia="仿宋_GB2312"/>
                <w:sz w:val="24"/>
                <w:szCs w:val="28"/>
              </w:rPr>
            </w:pPr>
          </w:p>
        </w:tc>
        <w:tc>
          <w:tcPr>
            <w:tcW w:w="1484" w:type="dxa"/>
            <w:gridSpan w:val="2"/>
            <w:vAlign w:val="center"/>
          </w:tcPr>
          <w:p w14:paraId="7F34095B">
            <w:pPr>
              <w:spacing w:line="560" w:lineRule="exact"/>
              <w:rPr>
                <w:rFonts w:eastAsia="仿宋_GB2312"/>
                <w:sz w:val="24"/>
                <w:szCs w:val="28"/>
              </w:rPr>
            </w:pPr>
          </w:p>
        </w:tc>
        <w:tc>
          <w:tcPr>
            <w:tcW w:w="1490" w:type="dxa"/>
            <w:vAlign w:val="center"/>
          </w:tcPr>
          <w:p w14:paraId="48168463">
            <w:pPr>
              <w:spacing w:line="560" w:lineRule="exact"/>
              <w:rPr>
                <w:rFonts w:eastAsia="仿宋_GB2312"/>
                <w:sz w:val="24"/>
                <w:szCs w:val="28"/>
              </w:rPr>
            </w:pPr>
          </w:p>
        </w:tc>
        <w:tc>
          <w:tcPr>
            <w:tcW w:w="854" w:type="dxa"/>
            <w:vAlign w:val="center"/>
          </w:tcPr>
          <w:p w14:paraId="5CCAFC69">
            <w:pPr>
              <w:spacing w:line="560" w:lineRule="exact"/>
              <w:rPr>
                <w:rFonts w:eastAsia="仿宋_GB2312"/>
                <w:sz w:val="24"/>
                <w:szCs w:val="28"/>
              </w:rPr>
            </w:pPr>
          </w:p>
        </w:tc>
        <w:tc>
          <w:tcPr>
            <w:tcW w:w="1417" w:type="dxa"/>
            <w:vAlign w:val="center"/>
          </w:tcPr>
          <w:p w14:paraId="3E591D96">
            <w:pPr>
              <w:spacing w:line="560" w:lineRule="exact"/>
              <w:rPr>
                <w:rFonts w:eastAsia="仿宋_GB2312"/>
                <w:sz w:val="24"/>
                <w:szCs w:val="28"/>
              </w:rPr>
            </w:pPr>
          </w:p>
        </w:tc>
        <w:tc>
          <w:tcPr>
            <w:tcW w:w="1619" w:type="dxa"/>
            <w:vAlign w:val="center"/>
          </w:tcPr>
          <w:p w14:paraId="4CB91CF3">
            <w:pPr>
              <w:spacing w:line="560" w:lineRule="exact"/>
              <w:rPr>
                <w:rFonts w:eastAsia="仿宋_GB2312"/>
                <w:sz w:val="24"/>
                <w:szCs w:val="28"/>
              </w:rPr>
            </w:pPr>
          </w:p>
        </w:tc>
        <w:tc>
          <w:tcPr>
            <w:tcW w:w="1494" w:type="dxa"/>
            <w:vAlign w:val="center"/>
          </w:tcPr>
          <w:p w14:paraId="45196D8F">
            <w:pPr>
              <w:spacing w:line="560" w:lineRule="exact"/>
              <w:rPr>
                <w:rFonts w:eastAsia="仿宋_GB2312"/>
                <w:sz w:val="24"/>
                <w:szCs w:val="28"/>
              </w:rPr>
            </w:pPr>
          </w:p>
        </w:tc>
      </w:tr>
      <w:tr w14:paraId="7354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C816277">
            <w:pPr>
              <w:spacing w:line="300" w:lineRule="auto"/>
              <w:rPr>
                <w:rFonts w:eastAsia="仿宋_GB2312"/>
                <w:sz w:val="24"/>
                <w:szCs w:val="28"/>
              </w:rPr>
            </w:pPr>
            <w:r>
              <w:rPr>
                <w:rFonts w:eastAsia="仿宋_GB2312"/>
                <w:sz w:val="24"/>
              </w:rPr>
              <w:t>最近一个会计年度总资产（亿元）</w:t>
            </w:r>
          </w:p>
        </w:tc>
        <w:tc>
          <w:tcPr>
            <w:tcW w:w="2974" w:type="dxa"/>
            <w:gridSpan w:val="3"/>
            <w:tcBorders>
              <w:bottom w:val="single" w:color="auto" w:sz="4" w:space="0"/>
            </w:tcBorders>
            <w:vAlign w:val="center"/>
          </w:tcPr>
          <w:p w14:paraId="6F2CA6B0">
            <w:pPr>
              <w:spacing w:line="560" w:lineRule="exact"/>
              <w:rPr>
                <w:rFonts w:eastAsia="仿宋_GB2312"/>
                <w:sz w:val="24"/>
                <w:szCs w:val="28"/>
              </w:rPr>
            </w:pPr>
          </w:p>
        </w:tc>
        <w:tc>
          <w:tcPr>
            <w:tcW w:w="2271" w:type="dxa"/>
            <w:gridSpan w:val="2"/>
            <w:tcBorders>
              <w:bottom w:val="single" w:color="auto" w:sz="4" w:space="0"/>
            </w:tcBorders>
            <w:vAlign w:val="center"/>
          </w:tcPr>
          <w:p w14:paraId="16F295F7">
            <w:pPr>
              <w:spacing w:line="300" w:lineRule="auto"/>
              <w:rPr>
                <w:rFonts w:eastAsia="仿宋_GB2312"/>
                <w:sz w:val="24"/>
                <w:szCs w:val="28"/>
              </w:rPr>
            </w:pPr>
            <w:r>
              <w:rPr>
                <w:rFonts w:eastAsia="仿宋_GB2312"/>
                <w:sz w:val="24"/>
              </w:rPr>
              <w:t>最近一个会计年度净资产（亿元）</w:t>
            </w:r>
          </w:p>
        </w:tc>
        <w:tc>
          <w:tcPr>
            <w:tcW w:w="3113" w:type="dxa"/>
            <w:gridSpan w:val="2"/>
            <w:tcBorders>
              <w:bottom w:val="single" w:color="auto" w:sz="4" w:space="0"/>
            </w:tcBorders>
            <w:vAlign w:val="center"/>
          </w:tcPr>
          <w:p w14:paraId="51AC07B7">
            <w:pPr>
              <w:spacing w:line="560" w:lineRule="exact"/>
              <w:rPr>
                <w:rFonts w:eastAsia="仿宋_GB2312"/>
                <w:sz w:val="24"/>
                <w:szCs w:val="28"/>
              </w:rPr>
            </w:pPr>
          </w:p>
        </w:tc>
      </w:tr>
    </w:tbl>
    <w:p w14:paraId="164F86E8">
      <w:pPr>
        <w:spacing w:line="560" w:lineRule="exact"/>
        <w:jc w:val="left"/>
        <w:rPr>
          <w:rFonts w:eastAsia="仿宋_GB2312"/>
          <w:sz w:val="24"/>
          <w:szCs w:val="28"/>
        </w:rPr>
      </w:pPr>
      <w:r>
        <w:rPr>
          <w:rFonts w:eastAsia="仿宋_GB2312"/>
          <w:kern w:val="28"/>
          <w:sz w:val="24"/>
        </w:rPr>
        <w:t>备注：1、</w:t>
      </w:r>
      <w:r>
        <w:rPr>
          <w:rFonts w:eastAsia="仿宋_GB2312"/>
          <w:sz w:val="24"/>
          <w:szCs w:val="28"/>
        </w:rPr>
        <w:t>杠杆运作限制、总资产、净资产</w:t>
      </w:r>
      <w:r>
        <w:rPr>
          <w:rFonts w:eastAsia="仿宋_GB2312"/>
          <w:sz w:val="24"/>
        </w:rPr>
        <w:t>仅正回购方必填</w:t>
      </w:r>
      <w:r>
        <w:rPr>
          <w:rFonts w:eastAsia="仿宋_GB2312"/>
          <w:sz w:val="24"/>
          <w:szCs w:val="28"/>
        </w:rPr>
        <w:t>。</w:t>
      </w:r>
    </w:p>
    <w:p w14:paraId="1A7A07FA">
      <w:pPr>
        <w:spacing w:line="560" w:lineRule="exact"/>
        <w:ind w:firstLine="720" w:firstLineChars="300"/>
        <w:jc w:val="left"/>
        <w:rPr>
          <w:rFonts w:eastAsia="仿宋_GB2312"/>
          <w:kern w:val="28"/>
          <w:sz w:val="24"/>
        </w:rPr>
      </w:pPr>
      <w:r>
        <w:rPr>
          <w:rFonts w:eastAsia="仿宋_GB2312"/>
          <w:sz w:val="24"/>
          <w:szCs w:val="28"/>
        </w:rPr>
        <w:t>2、已进行过备案开通逆回购权限的，再次备案申请开通正回购权限时，应保证普通证券账户及相关信息的前后一致性。反之亦然。</w:t>
      </w:r>
    </w:p>
    <w:p w14:paraId="31C6892E">
      <w:pPr>
        <w:spacing w:line="560" w:lineRule="exact"/>
        <w:jc w:val="left"/>
        <w:rPr>
          <w:rFonts w:eastAsia="仿宋_GB2312"/>
          <w:kern w:val="28"/>
          <w:sz w:val="24"/>
        </w:rPr>
      </w:pPr>
    </w:p>
    <w:p w14:paraId="63CF5CA2">
      <w:pPr>
        <w:spacing w:line="560" w:lineRule="exact"/>
        <w:jc w:val="left"/>
        <w:rPr>
          <w:rFonts w:eastAsia="仿宋_GB2312"/>
          <w:kern w:val="28"/>
          <w:sz w:val="24"/>
        </w:rPr>
      </w:pPr>
    </w:p>
    <w:p w14:paraId="6F5C8752">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我公司在此郑重承诺：</w:t>
      </w:r>
    </w:p>
    <w:p w14:paraId="7863E3A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一、遵守法律、法规、规章、上交所及中国结算相关业务规则，依法参与上交所债券三方回购业务。</w:t>
      </w:r>
    </w:p>
    <w:p w14:paraId="1A136654">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二、诚实守信，自觉遵守商业道德，维护上交所债券市场秩序。</w:t>
      </w:r>
    </w:p>
    <w:p w14:paraId="40C759A6">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三、同意遵守上交所、中国结算关于三方回购的相关规定，接受上交所、中国结算的自律管理。</w:t>
      </w:r>
    </w:p>
    <w:p w14:paraId="3ABF771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四、如违反法律、法规、规章、上交所及中国结算相关业务规则，接受上交所做出的包括但不限于取消三方回购投资者适当性备案等监管措施，并对此承担一切法律责任。</w:t>
      </w:r>
    </w:p>
    <w:p w14:paraId="7C068B7E">
      <w:pPr>
        <w:pStyle w:val="18"/>
        <w:spacing w:line="560" w:lineRule="exact"/>
        <w:jc w:val="left"/>
        <w:rPr>
          <w:rFonts w:hAnsi="仿宋_GB2312" w:cs="仿宋_GB2312"/>
          <w:szCs w:val="30"/>
        </w:rPr>
      </w:pPr>
      <w:r>
        <w:rPr>
          <w:rFonts w:hint="eastAsia" w:hAnsi="仿宋_GB2312" w:cs="仿宋_GB2312"/>
          <w:szCs w:val="30"/>
        </w:rPr>
        <w:t>我公司保证向上交所提供的书面和电子申请资料的真实、准确、完整与合法。</w:t>
      </w:r>
    </w:p>
    <w:p w14:paraId="5B965AB9">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（加盖公章）</w:t>
      </w:r>
    </w:p>
    <w:p w14:paraId="6BF36164">
      <w:pPr>
        <w:pStyle w:val="18"/>
        <w:spacing w:line="560" w:lineRule="exact"/>
        <w:jc w:val="right"/>
        <w:rPr>
          <w:rFonts w:hAnsi="仿宋_GB2312" w:cs="仿宋_GB2312"/>
          <w:szCs w:val="30"/>
        </w:rPr>
      </w:pPr>
    </w:p>
    <w:p w14:paraId="7DAC7067">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02EBDDBD">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6C52221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37FF001B">
      <w:pPr>
        <w:spacing w:line="560" w:lineRule="exact"/>
        <w:ind w:right="150"/>
        <w:jc w:val="center"/>
        <w:rPr>
          <w:rFonts w:ascii="黑体" w:hAnsi="黑体" w:eastAsia="黑体" w:cs="黑体"/>
          <w:b/>
          <w:sz w:val="44"/>
          <w:szCs w:val="44"/>
        </w:rPr>
      </w:pPr>
      <w:r>
        <w:rPr>
          <w:rFonts w:eastAsia="仿宋_GB2312"/>
        </w:rPr>
        <w:br w:type="page"/>
      </w:r>
      <w:r>
        <w:rPr>
          <w:rFonts w:hint="eastAsia" w:ascii="黑体" w:hAnsi="黑体" w:eastAsia="黑体" w:cs="黑体"/>
          <w:b/>
          <w:sz w:val="44"/>
          <w:szCs w:val="44"/>
        </w:rPr>
        <w:t>三方回购投资者适当性备案表</w:t>
      </w:r>
    </w:p>
    <w:p w14:paraId="4E46D447">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（产品适用）</w:t>
      </w:r>
    </w:p>
    <w:p w14:paraId="11E4E688">
      <w:pPr>
        <w:spacing w:line="560" w:lineRule="exact"/>
        <w:jc w:val="left"/>
        <w:rPr>
          <w:rFonts w:eastAsia="仿宋_GB2312"/>
          <w:sz w:val="30"/>
          <w:szCs w:val="30"/>
        </w:rPr>
      </w:pPr>
      <w:r>
        <w:rPr>
          <w:rFonts w:hint="eastAsia" w:eastAsia="仿宋_GB2312"/>
          <w:sz w:val="30"/>
          <w:szCs w:val="30"/>
        </w:rPr>
        <w:t>上海证券交易所：</w:t>
      </w:r>
    </w:p>
    <w:p w14:paraId="5EED3EA6">
      <w:pPr>
        <w:spacing w:line="560" w:lineRule="exact"/>
        <w:ind w:firstLine="600" w:firstLineChars="200"/>
        <w:jc w:val="left"/>
        <w:rPr>
          <w:rFonts w:eastAsia="仿宋_GB2312"/>
          <w:sz w:val="30"/>
          <w:szCs w:val="30"/>
        </w:rPr>
      </w:pPr>
      <w:r>
        <w:rPr>
          <w:rFonts w:hint="eastAsia" w:eastAsia="仿宋_GB2312"/>
          <w:sz w:val="30"/>
          <w:szCs w:val="30"/>
        </w:rPr>
        <w:t>经我公司研究决定，特向上交所申请我公司管理的下述产品参与债券三方回购业务，现将有关事项申请如下：</w:t>
      </w:r>
    </w:p>
    <w:p w14:paraId="4C9288B4">
      <w:pPr>
        <w:spacing w:line="560" w:lineRule="exact"/>
        <w:ind w:firstLine="420"/>
        <w:rPr>
          <w:rFonts w:eastAsia="仿宋_GB2312"/>
          <w:kern w:val="28"/>
          <w:sz w:val="24"/>
        </w:rPr>
      </w:pP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345"/>
        <w:gridCol w:w="1486"/>
        <w:gridCol w:w="854"/>
        <w:gridCol w:w="1417"/>
        <w:gridCol w:w="1619"/>
        <w:gridCol w:w="1497"/>
      </w:tblGrid>
      <w:tr w14:paraId="1972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1" w:type="dxa"/>
            <w:gridSpan w:val="5"/>
            <w:vAlign w:val="center"/>
          </w:tcPr>
          <w:p w14:paraId="1B90776E">
            <w:pPr>
              <w:spacing w:line="560" w:lineRule="exact"/>
              <w:rPr>
                <w:rFonts w:eastAsia="仿宋_GB2312"/>
                <w:sz w:val="24"/>
                <w:szCs w:val="28"/>
              </w:rPr>
            </w:pPr>
            <w:r>
              <w:rPr>
                <w:rFonts w:eastAsia="仿宋_GB2312"/>
                <w:sz w:val="24"/>
                <w:szCs w:val="28"/>
              </w:rPr>
              <w:t>产品全称：</w:t>
            </w:r>
          </w:p>
        </w:tc>
        <w:tc>
          <w:tcPr>
            <w:tcW w:w="3116" w:type="dxa"/>
            <w:gridSpan w:val="2"/>
            <w:vAlign w:val="center"/>
          </w:tcPr>
          <w:p w14:paraId="74E15E72">
            <w:pPr>
              <w:spacing w:line="560" w:lineRule="exact"/>
              <w:rPr>
                <w:rFonts w:eastAsia="仿宋_GB2312"/>
                <w:sz w:val="24"/>
                <w:szCs w:val="28"/>
              </w:rPr>
            </w:pPr>
            <w:r>
              <w:rPr>
                <w:rFonts w:eastAsia="仿宋_GB2312"/>
                <w:sz w:val="24"/>
                <w:szCs w:val="28"/>
              </w:rPr>
              <w:t>电话：</w:t>
            </w:r>
          </w:p>
        </w:tc>
      </w:tr>
      <w:tr w14:paraId="2096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1" w:type="dxa"/>
            <w:gridSpan w:val="5"/>
            <w:vAlign w:val="center"/>
          </w:tcPr>
          <w:p w14:paraId="2EDB7C7B">
            <w:pPr>
              <w:spacing w:line="560" w:lineRule="exact"/>
              <w:rPr>
                <w:rFonts w:eastAsia="仿宋_GB2312"/>
                <w:sz w:val="24"/>
                <w:szCs w:val="28"/>
              </w:rPr>
            </w:pPr>
            <w:r>
              <w:rPr>
                <w:rFonts w:eastAsia="仿宋_GB2312"/>
                <w:sz w:val="24"/>
                <w:szCs w:val="28"/>
              </w:rPr>
              <w:t xml:space="preserve">产品管理人地址： </w:t>
            </w:r>
          </w:p>
        </w:tc>
        <w:tc>
          <w:tcPr>
            <w:tcW w:w="3116" w:type="dxa"/>
            <w:gridSpan w:val="2"/>
            <w:vAlign w:val="center"/>
          </w:tcPr>
          <w:p w14:paraId="576C10E0">
            <w:pPr>
              <w:spacing w:line="560" w:lineRule="exact"/>
              <w:rPr>
                <w:rFonts w:eastAsia="仿宋_GB2312"/>
                <w:sz w:val="24"/>
                <w:szCs w:val="28"/>
              </w:rPr>
            </w:pPr>
            <w:r>
              <w:rPr>
                <w:rFonts w:eastAsia="仿宋_GB2312"/>
                <w:sz w:val="24"/>
                <w:szCs w:val="28"/>
              </w:rPr>
              <w:t>传真：</w:t>
            </w:r>
          </w:p>
        </w:tc>
      </w:tr>
      <w:tr w14:paraId="34BC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1889" w:type="dxa"/>
            <w:vAlign w:val="center"/>
          </w:tcPr>
          <w:p w14:paraId="746C2A6C">
            <w:pPr>
              <w:pStyle w:val="17"/>
              <w:spacing w:after="0" w:line="560" w:lineRule="exact"/>
              <w:jc w:val="left"/>
              <w:rPr>
                <w:rFonts w:eastAsia="仿宋_GB2312"/>
                <w:sz w:val="24"/>
                <w:szCs w:val="28"/>
              </w:rPr>
            </w:pPr>
            <w:r>
              <w:rPr>
                <w:rFonts w:eastAsia="仿宋_GB2312"/>
                <w:sz w:val="24"/>
                <w:szCs w:val="28"/>
              </w:rPr>
              <w:t xml:space="preserve">投资者类型： </w:t>
            </w:r>
          </w:p>
        </w:tc>
        <w:tc>
          <w:tcPr>
            <w:tcW w:w="8218" w:type="dxa"/>
            <w:gridSpan w:val="6"/>
            <w:vAlign w:val="center"/>
          </w:tcPr>
          <w:p w14:paraId="3060B6F7">
            <w:pPr>
              <w:pStyle w:val="17"/>
              <w:spacing w:after="0" w:line="560" w:lineRule="exact"/>
              <w:jc w:val="left"/>
              <w:rPr>
                <w:rFonts w:eastAsia="仿宋_GB2312"/>
                <w:sz w:val="24"/>
                <w:szCs w:val="28"/>
              </w:rPr>
            </w:pPr>
            <w:r>
              <w:rPr>
                <w:rFonts w:eastAsia="仿宋_GB2312"/>
                <w:sz w:val="24"/>
                <w:szCs w:val="28"/>
              </w:rPr>
              <w:t xml:space="preserve">□公募证券投资基金  □银行理财产品  □证券公司资产管理产品 </w:t>
            </w:r>
          </w:p>
          <w:p w14:paraId="7506D093">
            <w:pPr>
              <w:pStyle w:val="17"/>
              <w:spacing w:after="0" w:line="560" w:lineRule="exact"/>
              <w:jc w:val="left"/>
              <w:rPr>
                <w:rFonts w:eastAsia="仿宋_GB2312"/>
                <w:sz w:val="24"/>
                <w:szCs w:val="28"/>
              </w:rPr>
            </w:pPr>
            <w:r>
              <w:rPr>
                <w:rFonts w:eastAsia="仿宋_GB2312"/>
                <w:sz w:val="24"/>
                <w:szCs w:val="28"/>
              </w:rPr>
              <w:t xml:space="preserve">□基金管理公司及其子公司专户产品  □期货公司产品  □保险产品  </w:t>
            </w:r>
          </w:p>
          <w:p w14:paraId="2FD2163F">
            <w:pPr>
              <w:pStyle w:val="17"/>
              <w:spacing w:after="0" w:line="560" w:lineRule="exact"/>
              <w:jc w:val="left"/>
              <w:rPr>
                <w:rFonts w:eastAsia="仿宋_GB2312"/>
                <w:sz w:val="24"/>
                <w:szCs w:val="28"/>
              </w:rPr>
            </w:pPr>
            <w:r>
              <w:rPr>
                <w:rFonts w:eastAsia="仿宋_GB2312"/>
                <w:sz w:val="24"/>
                <w:szCs w:val="28"/>
              </w:rPr>
              <w:t>□信托产品  □经行业协会备案的私募基金  □其他产品</w:t>
            </w:r>
          </w:p>
        </w:tc>
      </w:tr>
      <w:tr w14:paraId="1E0F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3D9A5A2A">
            <w:pPr>
              <w:spacing w:line="560" w:lineRule="exact"/>
              <w:rPr>
                <w:rFonts w:eastAsia="仿宋_GB2312"/>
                <w:sz w:val="24"/>
                <w:szCs w:val="28"/>
              </w:rPr>
            </w:pPr>
            <w:r>
              <w:rPr>
                <w:rFonts w:eastAsia="仿宋_GB2312"/>
                <w:sz w:val="24"/>
                <w:szCs w:val="28"/>
              </w:rPr>
              <w:t>固定收益平台交易商代码：</w:t>
            </w:r>
          </w:p>
        </w:tc>
        <w:tc>
          <w:tcPr>
            <w:tcW w:w="5387" w:type="dxa"/>
            <w:gridSpan w:val="4"/>
            <w:tcBorders>
              <w:bottom w:val="single" w:color="auto" w:sz="4" w:space="0"/>
            </w:tcBorders>
            <w:vAlign w:val="center"/>
          </w:tcPr>
          <w:p w14:paraId="5AF49932">
            <w:pPr>
              <w:spacing w:line="560" w:lineRule="exact"/>
              <w:rPr>
                <w:rFonts w:eastAsia="仿宋_GB2312"/>
                <w:sz w:val="24"/>
                <w:szCs w:val="28"/>
              </w:rPr>
            </w:pPr>
            <w:r>
              <w:rPr>
                <w:rFonts w:eastAsia="仿宋_GB2312"/>
                <w:sz w:val="24"/>
                <w:szCs w:val="28"/>
              </w:rPr>
              <w:t>固定收益平台交易商名称：</w:t>
            </w:r>
          </w:p>
        </w:tc>
      </w:tr>
      <w:tr w14:paraId="22CC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650BF79A">
            <w:pPr>
              <w:spacing w:line="560" w:lineRule="exact"/>
              <w:rPr>
                <w:rFonts w:eastAsia="仿宋_GB2312"/>
                <w:sz w:val="24"/>
                <w:szCs w:val="28"/>
              </w:rPr>
            </w:pPr>
            <w:r>
              <w:rPr>
                <w:rFonts w:eastAsia="仿宋_GB2312"/>
                <w:sz w:val="24"/>
                <w:szCs w:val="28"/>
              </w:rPr>
              <w:t>证券账户：</w:t>
            </w:r>
          </w:p>
        </w:tc>
        <w:tc>
          <w:tcPr>
            <w:tcW w:w="5387" w:type="dxa"/>
            <w:gridSpan w:val="4"/>
            <w:tcBorders>
              <w:bottom w:val="single" w:color="auto" w:sz="4" w:space="0"/>
            </w:tcBorders>
            <w:vAlign w:val="center"/>
          </w:tcPr>
          <w:p w14:paraId="790AF704">
            <w:pPr>
              <w:spacing w:line="560" w:lineRule="exact"/>
              <w:rPr>
                <w:rFonts w:eastAsia="仿宋_GB2312"/>
                <w:sz w:val="24"/>
                <w:szCs w:val="28"/>
              </w:rPr>
            </w:pPr>
            <w:r>
              <w:rPr>
                <w:rFonts w:eastAsia="仿宋_GB2312"/>
                <w:sz w:val="24"/>
                <w:szCs w:val="28"/>
              </w:rPr>
              <w:t>证券账户名称：</w:t>
            </w:r>
          </w:p>
        </w:tc>
      </w:tr>
      <w:tr w14:paraId="0CB9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54249A49">
            <w:pPr>
              <w:spacing w:line="560" w:lineRule="exact"/>
              <w:rPr>
                <w:rFonts w:eastAsia="仿宋_GB2312"/>
                <w:sz w:val="24"/>
                <w:szCs w:val="28"/>
              </w:rPr>
            </w:pPr>
            <w:r>
              <w:rPr>
                <w:rFonts w:eastAsia="仿宋_GB2312"/>
                <w:sz w:val="24"/>
                <w:szCs w:val="28"/>
              </w:rPr>
              <w:t>三方回购专用证券账户：</w:t>
            </w:r>
          </w:p>
        </w:tc>
        <w:tc>
          <w:tcPr>
            <w:tcW w:w="5387" w:type="dxa"/>
            <w:gridSpan w:val="4"/>
            <w:tcBorders>
              <w:bottom w:val="single" w:color="auto" w:sz="4" w:space="0"/>
            </w:tcBorders>
            <w:vAlign w:val="center"/>
          </w:tcPr>
          <w:p w14:paraId="67298209">
            <w:pPr>
              <w:spacing w:line="560" w:lineRule="exact"/>
              <w:rPr>
                <w:rFonts w:eastAsia="仿宋_GB2312"/>
                <w:sz w:val="24"/>
                <w:szCs w:val="28"/>
              </w:rPr>
            </w:pPr>
            <w:r>
              <w:rPr>
                <w:rFonts w:eastAsia="仿宋_GB2312"/>
                <w:sz w:val="24"/>
                <w:szCs w:val="28"/>
              </w:rPr>
              <w:t>三方回购专用证券账户名称：</w:t>
            </w:r>
          </w:p>
        </w:tc>
      </w:tr>
      <w:tr w14:paraId="3E45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13BAD042">
            <w:pPr>
              <w:spacing w:line="560" w:lineRule="exact"/>
              <w:rPr>
                <w:rFonts w:eastAsia="仿宋_GB2312"/>
                <w:sz w:val="24"/>
                <w:szCs w:val="28"/>
              </w:rPr>
            </w:pPr>
            <w:r>
              <w:rPr>
                <w:rFonts w:eastAsia="仿宋_GB2312"/>
                <w:sz w:val="24"/>
                <w:szCs w:val="28"/>
              </w:rPr>
              <w:t>交易单元：</w:t>
            </w:r>
          </w:p>
        </w:tc>
        <w:tc>
          <w:tcPr>
            <w:tcW w:w="5387" w:type="dxa"/>
            <w:gridSpan w:val="4"/>
            <w:tcBorders>
              <w:bottom w:val="single" w:color="auto" w:sz="4" w:space="0"/>
            </w:tcBorders>
            <w:vAlign w:val="center"/>
          </w:tcPr>
          <w:p w14:paraId="7F7053FD">
            <w:pPr>
              <w:spacing w:line="560" w:lineRule="exact"/>
              <w:rPr>
                <w:rFonts w:eastAsia="仿宋_GB2312"/>
                <w:sz w:val="24"/>
                <w:szCs w:val="28"/>
              </w:rPr>
            </w:pPr>
          </w:p>
        </w:tc>
      </w:tr>
      <w:tr w14:paraId="54FB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7"/>
            <w:tcBorders>
              <w:bottom w:val="single" w:color="auto" w:sz="4" w:space="0"/>
            </w:tcBorders>
            <w:vAlign w:val="center"/>
          </w:tcPr>
          <w:p w14:paraId="0F795F93">
            <w:pPr>
              <w:spacing w:line="560" w:lineRule="exact"/>
              <w:rPr>
                <w:rFonts w:eastAsia="仿宋_GB2312"/>
                <w:sz w:val="24"/>
                <w:szCs w:val="28"/>
              </w:rPr>
            </w:pPr>
            <w:r>
              <w:rPr>
                <w:rFonts w:eastAsia="仿宋_GB2312"/>
                <w:sz w:val="24"/>
                <w:szCs w:val="28"/>
              </w:rPr>
              <w:t>产品委托人：</w:t>
            </w:r>
          </w:p>
        </w:tc>
      </w:tr>
      <w:tr w14:paraId="3875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4EF53922">
            <w:pPr>
              <w:spacing w:line="560" w:lineRule="exact"/>
              <w:rPr>
                <w:rFonts w:eastAsia="仿宋_GB2312"/>
                <w:sz w:val="24"/>
                <w:szCs w:val="28"/>
              </w:rPr>
            </w:pPr>
            <w:r>
              <w:rPr>
                <w:rFonts w:eastAsia="仿宋_GB2312"/>
                <w:sz w:val="24"/>
                <w:szCs w:val="28"/>
              </w:rPr>
              <w:t>产品管理人：</w:t>
            </w:r>
          </w:p>
        </w:tc>
        <w:tc>
          <w:tcPr>
            <w:tcW w:w="5387" w:type="dxa"/>
            <w:gridSpan w:val="4"/>
            <w:tcBorders>
              <w:bottom w:val="single" w:color="auto" w:sz="4" w:space="0"/>
            </w:tcBorders>
            <w:vAlign w:val="center"/>
          </w:tcPr>
          <w:p w14:paraId="4F42A280">
            <w:pPr>
              <w:spacing w:line="560" w:lineRule="exact"/>
              <w:rPr>
                <w:rFonts w:eastAsia="仿宋_GB2312"/>
                <w:sz w:val="24"/>
                <w:szCs w:val="28"/>
              </w:rPr>
            </w:pPr>
            <w:r>
              <w:rPr>
                <w:rFonts w:eastAsia="仿宋_GB2312"/>
                <w:sz w:val="24"/>
                <w:szCs w:val="28"/>
              </w:rPr>
              <w:t>资产托管人：</w:t>
            </w:r>
          </w:p>
        </w:tc>
      </w:tr>
      <w:tr w14:paraId="13F4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7"/>
            <w:tcBorders>
              <w:bottom w:val="single" w:color="auto" w:sz="4" w:space="0"/>
            </w:tcBorders>
            <w:vAlign w:val="center"/>
          </w:tcPr>
          <w:p w14:paraId="0F25B6C1">
            <w:pPr>
              <w:spacing w:line="560" w:lineRule="exact"/>
              <w:rPr>
                <w:rFonts w:eastAsia="仿宋_GB2312"/>
                <w:sz w:val="24"/>
                <w:szCs w:val="28"/>
              </w:rPr>
            </w:pPr>
            <w:r>
              <w:rPr>
                <w:rFonts w:eastAsia="仿宋_GB2312"/>
                <w:sz w:val="24"/>
                <w:szCs w:val="28"/>
              </w:rPr>
              <w:t>申请开通的交易权限 ：  □正回购  □逆回购</w:t>
            </w:r>
          </w:p>
        </w:tc>
      </w:tr>
      <w:tr w14:paraId="3A7D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bottom w:val="single" w:color="auto" w:sz="4" w:space="0"/>
            </w:tcBorders>
            <w:vAlign w:val="center"/>
          </w:tcPr>
          <w:p w14:paraId="5EE44A28">
            <w:pPr>
              <w:spacing w:line="560" w:lineRule="exact"/>
              <w:rPr>
                <w:rFonts w:eastAsia="仿宋_GB2312"/>
                <w:sz w:val="24"/>
                <w:szCs w:val="28"/>
              </w:rPr>
            </w:pPr>
            <w:r>
              <w:rPr>
                <w:rFonts w:eastAsia="仿宋_GB2312"/>
                <w:sz w:val="24"/>
                <w:szCs w:val="28"/>
              </w:rPr>
              <w:t>杠杆运作限制</w:t>
            </w:r>
          </w:p>
        </w:tc>
        <w:tc>
          <w:tcPr>
            <w:tcW w:w="8218" w:type="dxa"/>
            <w:gridSpan w:val="6"/>
            <w:tcBorders>
              <w:bottom w:val="single" w:color="auto" w:sz="4" w:space="0"/>
            </w:tcBorders>
            <w:vAlign w:val="center"/>
          </w:tcPr>
          <w:p w14:paraId="24951A9F">
            <w:pPr>
              <w:spacing w:line="560" w:lineRule="exact"/>
              <w:rPr>
                <w:rFonts w:eastAsia="仿宋_GB2312"/>
                <w:sz w:val="24"/>
                <w:szCs w:val="28"/>
              </w:rPr>
            </w:pPr>
          </w:p>
        </w:tc>
      </w:tr>
      <w:tr w14:paraId="13EB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bottom w:val="single" w:color="auto" w:sz="4" w:space="0"/>
            </w:tcBorders>
            <w:vAlign w:val="center"/>
          </w:tcPr>
          <w:p w14:paraId="489CB67F">
            <w:pPr>
              <w:spacing w:line="560" w:lineRule="exact"/>
              <w:rPr>
                <w:rFonts w:eastAsia="仿宋_GB2312"/>
                <w:sz w:val="24"/>
                <w:szCs w:val="28"/>
              </w:rPr>
            </w:pPr>
            <w:r>
              <w:rPr>
                <w:rFonts w:eastAsia="仿宋_GB2312"/>
                <w:sz w:val="24"/>
                <w:szCs w:val="28"/>
              </w:rPr>
              <w:t>回购违约情况说明</w:t>
            </w:r>
          </w:p>
        </w:tc>
        <w:tc>
          <w:tcPr>
            <w:tcW w:w="8218" w:type="dxa"/>
            <w:gridSpan w:val="6"/>
            <w:tcBorders>
              <w:bottom w:val="single" w:color="auto" w:sz="4" w:space="0"/>
            </w:tcBorders>
            <w:vAlign w:val="center"/>
          </w:tcPr>
          <w:p w14:paraId="29B363E3">
            <w:pPr>
              <w:spacing w:line="560" w:lineRule="exact"/>
              <w:rPr>
                <w:rFonts w:eastAsia="仿宋_GB2312"/>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36C1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63F6ECDD">
            <w:pPr>
              <w:spacing w:line="560" w:lineRule="exact"/>
              <w:rPr>
                <w:rFonts w:eastAsia="仿宋_GB2312"/>
                <w:sz w:val="24"/>
                <w:szCs w:val="28"/>
              </w:rPr>
            </w:pPr>
            <w:r>
              <w:rPr>
                <w:rFonts w:eastAsia="仿宋_GB2312"/>
                <w:sz w:val="24"/>
                <w:szCs w:val="28"/>
              </w:rPr>
              <w:t>三方回购业务负责人</w:t>
            </w:r>
          </w:p>
        </w:tc>
        <w:tc>
          <w:tcPr>
            <w:tcW w:w="1345" w:type="dxa"/>
            <w:vAlign w:val="center"/>
          </w:tcPr>
          <w:p w14:paraId="7D90EA73">
            <w:pPr>
              <w:spacing w:line="560" w:lineRule="exact"/>
              <w:rPr>
                <w:rFonts w:eastAsia="仿宋_GB2312"/>
                <w:sz w:val="24"/>
                <w:szCs w:val="28"/>
              </w:rPr>
            </w:pPr>
            <w:r>
              <w:rPr>
                <w:rFonts w:eastAsia="仿宋_GB2312"/>
                <w:sz w:val="24"/>
                <w:szCs w:val="28"/>
              </w:rPr>
              <w:t>部门</w:t>
            </w:r>
          </w:p>
        </w:tc>
        <w:tc>
          <w:tcPr>
            <w:tcW w:w="1486" w:type="dxa"/>
            <w:vAlign w:val="center"/>
          </w:tcPr>
          <w:p w14:paraId="4E02FC8E">
            <w:pPr>
              <w:spacing w:line="560" w:lineRule="exact"/>
              <w:rPr>
                <w:rFonts w:eastAsia="仿宋_GB2312"/>
                <w:sz w:val="24"/>
                <w:szCs w:val="28"/>
              </w:rPr>
            </w:pPr>
            <w:r>
              <w:rPr>
                <w:rFonts w:eastAsia="仿宋_GB2312"/>
                <w:sz w:val="24"/>
                <w:szCs w:val="28"/>
              </w:rPr>
              <w:t>职务</w:t>
            </w:r>
          </w:p>
        </w:tc>
        <w:tc>
          <w:tcPr>
            <w:tcW w:w="854" w:type="dxa"/>
            <w:vAlign w:val="center"/>
          </w:tcPr>
          <w:p w14:paraId="08D9FF92">
            <w:pPr>
              <w:spacing w:line="560" w:lineRule="exact"/>
              <w:rPr>
                <w:rFonts w:eastAsia="仿宋_GB2312"/>
                <w:sz w:val="24"/>
                <w:szCs w:val="28"/>
              </w:rPr>
            </w:pPr>
            <w:r>
              <w:rPr>
                <w:rFonts w:eastAsia="仿宋_GB2312"/>
                <w:sz w:val="24"/>
                <w:szCs w:val="28"/>
              </w:rPr>
              <w:t>电话</w:t>
            </w:r>
          </w:p>
        </w:tc>
        <w:tc>
          <w:tcPr>
            <w:tcW w:w="1417" w:type="dxa"/>
            <w:vAlign w:val="center"/>
          </w:tcPr>
          <w:p w14:paraId="20C22612">
            <w:pPr>
              <w:spacing w:line="560" w:lineRule="exact"/>
              <w:rPr>
                <w:rFonts w:eastAsia="仿宋_GB2312"/>
                <w:sz w:val="24"/>
                <w:szCs w:val="28"/>
              </w:rPr>
            </w:pPr>
            <w:r>
              <w:rPr>
                <w:rFonts w:eastAsia="仿宋_GB2312"/>
                <w:sz w:val="24"/>
                <w:szCs w:val="28"/>
              </w:rPr>
              <w:t>手机</w:t>
            </w:r>
          </w:p>
        </w:tc>
        <w:tc>
          <w:tcPr>
            <w:tcW w:w="1619" w:type="dxa"/>
            <w:vAlign w:val="center"/>
          </w:tcPr>
          <w:p w14:paraId="75399475">
            <w:pPr>
              <w:spacing w:line="560" w:lineRule="exact"/>
              <w:rPr>
                <w:rFonts w:eastAsia="仿宋_GB2312"/>
                <w:sz w:val="24"/>
                <w:szCs w:val="28"/>
              </w:rPr>
            </w:pPr>
            <w:r>
              <w:rPr>
                <w:rFonts w:eastAsia="仿宋_GB2312"/>
                <w:sz w:val="24"/>
                <w:szCs w:val="28"/>
              </w:rPr>
              <w:t>传真</w:t>
            </w:r>
          </w:p>
        </w:tc>
        <w:tc>
          <w:tcPr>
            <w:tcW w:w="1497" w:type="dxa"/>
            <w:vAlign w:val="center"/>
          </w:tcPr>
          <w:p w14:paraId="1E4E1664">
            <w:pPr>
              <w:spacing w:line="560" w:lineRule="exact"/>
              <w:rPr>
                <w:rFonts w:eastAsia="仿宋_GB2312"/>
                <w:sz w:val="24"/>
                <w:szCs w:val="28"/>
              </w:rPr>
            </w:pPr>
            <w:r>
              <w:rPr>
                <w:rFonts w:eastAsia="仿宋_GB2312"/>
                <w:sz w:val="24"/>
                <w:szCs w:val="28"/>
              </w:rPr>
              <w:t>E-mail</w:t>
            </w:r>
          </w:p>
        </w:tc>
      </w:tr>
      <w:tr w14:paraId="3AF7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889" w:type="dxa"/>
            <w:vAlign w:val="center"/>
          </w:tcPr>
          <w:p w14:paraId="5C1C29BA">
            <w:pPr>
              <w:spacing w:line="560" w:lineRule="exact"/>
              <w:rPr>
                <w:rFonts w:eastAsia="仿宋_GB2312"/>
                <w:sz w:val="24"/>
                <w:szCs w:val="28"/>
              </w:rPr>
            </w:pPr>
          </w:p>
        </w:tc>
        <w:tc>
          <w:tcPr>
            <w:tcW w:w="1345" w:type="dxa"/>
            <w:vAlign w:val="center"/>
          </w:tcPr>
          <w:p w14:paraId="0CA70CEC">
            <w:pPr>
              <w:spacing w:line="560" w:lineRule="exact"/>
              <w:rPr>
                <w:rFonts w:eastAsia="仿宋_GB2312"/>
                <w:sz w:val="24"/>
                <w:szCs w:val="28"/>
              </w:rPr>
            </w:pPr>
          </w:p>
        </w:tc>
        <w:tc>
          <w:tcPr>
            <w:tcW w:w="1486" w:type="dxa"/>
            <w:vAlign w:val="center"/>
          </w:tcPr>
          <w:p w14:paraId="5673F908">
            <w:pPr>
              <w:spacing w:line="560" w:lineRule="exact"/>
              <w:rPr>
                <w:rFonts w:eastAsia="仿宋_GB2312"/>
                <w:sz w:val="24"/>
                <w:szCs w:val="28"/>
              </w:rPr>
            </w:pPr>
          </w:p>
        </w:tc>
        <w:tc>
          <w:tcPr>
            <w:tcW w:w="854" w:type="dxa"/>
            <w:vAlign w:val="center"/>
          </w:tcPr>
          <w:p w14:paraId="7DCCA7DB">
            <w:pPr>
              <w:spacing w:line="560" w:lineRule="exact"/>
              <w:rPr>
                <w:rFonts w:eastAsia="仿宋_GB2312"/>
                <w:sz w:val="24"/>
                <w:szCs w:val="28"/>
              </w:rPr>
            </w:pPr>
          </w:p>
        </w:tc>
        <w:tc>
          <w:tcPr>
            <w:tcW w:w="1417" w:type="dxa"/>
            <w:vAlign w:val="center"/>
          </w:tcPr>
          <w:p w14:paraId="3D476C13">
            <w:pPr>
              <w:spacing w:line="560" w:lineRule="exact"/>
              <w:rPr>
                <w:rFonts w:eastAsia="仿宋_GB2312"/>
                <w:sz w:val="24"/>
                <w:szCs w:val="28"/>
              </w:rPr>
            </w:pPr>
          </w:p>
        </w:tc>
        <w:tc>
          <w:tcPr>
            <w:tcW w:w="1619" w:type="dxa"/>
            <w:vAlign w:val="center"/>
          </w:tcPr>
          <w:p w14:paraId="4622D7F1">
            <w:pPr>
              <w:spacing w:line="560" w:lineRule="exact"/>
              <w:rPr>
                <w:rFonts w:eastAsia="仿宋_GB2312"/>
                <w:sz w:val="24"/>
                <w:szCs w:val="28"/>
              </w:rPr>
            </w:pPr>
          </w:p>
        </w:tc>
        <w:tc>
          <w:tcPr>
            <w:tcW w:w="1497" w:type="dxa"/>
            <w:vAlign w:val="center"/>
          </w:tcPr>
          <w:p w14:paraId="6AE13843">
            <w:pPr>
              <w:spacing w:line="560" w:lineRule="exact"/>
              <w:rPr>
                <w:rFonts w:eastAsia="仿宋_GB2312"/>
                <w:sz w:val="24"/>
                <w:szCs w:val="28"/>
              </w:rPr>
            </w:pPr>
          </w:p>
        </w:tc>
      </w:tr>
      <w:tr w14:paraId="7B5D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2A9B5829">
            <w:pPr>
              <w:spacing w:line="560" w:lineRule="exact"/>
              <w:rPr>
                <w:rFonts w:eastAsia="仿宋_GB2312"/>
                <w:sz w:val="24"/>
                <w:szCs w:val="28"/>
              </w:rPr>
            </w:pPr>
            <w:r>
              <w:rPr>
                <w:rFonts w:eastAsia="仿宋_GB2312"/>
                <w:sz w:val="24"/>
                <w:szCs w:val="28"/>
              </w:rPr>
              <w:t>三方回购业务联络人</w:t>
            </w:r>
          </w:p>
        </w:tc>
        <w:tc>
          <w:tcPr>
            <w:tcW w:w="1345" w:type="dxa"/>
            <w:vAlign w:val="center"/>
          </w:tcPr>
          <w:p w14:paraId="7A1CF7D0">
            <w:pPr>
              <w:spacing w:line="560" w:lineRule="exact"/>
              <w:rPr>
                <w:rFonts w:eastAsia="仿宋_GB2312"/>
                <w:sz w:val="24"/>
                <w:szCs w:val="28"/>
              </w:rPr>
            </w:pPr>
            <w:r>
              <w:rPr>
                <w:rFonts w:eastAsia="仿宋_GB2312"/>
                <w:sz w:val="24"/>
                <w:szCs w:val="28"/>
              </w:rPr>
              <w:t>部门</w:t>
            </w:r>
          </w:p>
        </w:tc>
        <w:tc>
          <w:tcPr>
            <w:tcW w:w="1486" w:type="dxa"/>
            <w:vAlign w:val="center"/>
          </w:tcPr>
          <w:p w14:paraId="5EC110D9">
            <w:pPr>
              <w:spacing w:line="560" w:lineRule="exact"/>
              <w:rPr>
                <w:rFonts w:eastAsia="仿宋_GB2312"/>
                <w:sz w:val="24"/>
                <w:szCs w:val="28"/>
              </w:rPr>
            </w:pPr>
            <w:r>
              <w:rPr>
                <w:rFonts w:eastAsia="仿宋_GB2312"/>
                <w:sz w:val="24"/>
                <w:szCs w:val="28"/>
              </w:rPr>
              <w:t>职务</w:t>
            </w:r>
          </w:p>
        </w:tc>
        <w:tc>
          <w:tcPr>
            <w:tcW w:w="854" w:type="dxa"/>
            <w:vAlign w:val="center"/>
          </w:tcPr>
          <w:p w14:paraId="6511EE9A">
            <w:pPr>
              <w:spacing w:line="560" w:lineRule="exact"/>
              <w:rPr>
                <w:rFonts w:eastAsia="仿宋_GB2312"/>
                <w:sz w:val="24"/>
                <w:szCs w:val="28"/>
              </w:rPr>
            </w:pPr>
            <w:r>
              <w:rPr>
                <w:rFonts w:eastAsia="仿宋_GB2312"/>
                <w:sz w:val="24"/>
                <w:szCs w:val="28"/>
              </w:rPr>
              <w:t>电话</w:t>
            </w:r>
          </w:p>
        </w:tc>
        <w:tc>
          <w:tcPr>
            <w:tcW w:w="1417" w:type="dxa"/>
            <w:vAlign w:val="center"/>
          </w:tcPr>
          <w:p w14:paraId="587F457C">
            <w:pPr>
              <w:spacing w:line="560" w:lineRule="exact"/>
              <w:rPr>
                <w:rFonts w:eastAsia="仿宋_GB2312"/>
                <w:sz w:val="24"/>
                <w:szCs w:val="28"/>
              </w:rPr>
            </w:pPr>
            <w:r>
              <w:rPr>
                <w:rFonts w:eastAsia="仿宋_GB2312"/>
                <w:sz w:val="24"/>
                <w:szCs w:val="28"/>
              </w:rPr>
              <w:t>手机</w:t>
            </w:r>
          </w:p>
        </w:tc>
        <w:tc>
          <w:tcPr>
            <w:tcW w:w="1619" w:type="dxa"/>
            <w:vAlign w:val="center"/>
          </w:tcPr>
          <w:p w14:paraId="3878B2D9">
            <w:pPr>
              <w:spacing w:line="560" w:lineRule="exact"/>
              <w:rPr>
                <w:rFonts w:eastAsia="仿宋_GB2312"/>
                <w:sz w:val="24"/>
                <w:szCs w:val="28"/>
              </w:rPr>
            </w:pPr>
            <w:r>
              <w:rPr>
                <w:rFonts w:eastAsia="仿宋_GB2312"/>
                <w:sz w:val="24"/>
                <w:szCs w:val="28"/>
              </w:rPr>
              <w:t>传真</w:t>
            </w:r>
          </w:p>
        </w:tc>
        <w:tc>
          <w:tcPr>
            <w:tcW w:w="1497" w:type="dxa"/>
            <w:vAlign w:val="center"/>
          </w:tcPr>
          <w:p w14:paraId="10C30EF8">
            <w:pPr>
              <w:spacing w:line="560" w:lineRule="exact"/>
              <w:rPr>
                <w:rFonts w:eastAsia="仿宋_GB2312"/>
                <w:sz w:val="24"/>
                <w:szCs w:val="28"/>
              </w:rPr>
            </w:pPr>
            <w:r>
              <w:rPr>
                <w:rFonts w:eastAsia="仿宋_GB2312"/>
                <w:sz w:val="24"/>
                <w:szCs w:val="28"/>
              </w:rPr>
              <w:t>E-mail</w:t>
            </w:r>
          </w:p>
        </w:tc>
      </w:tr>
      <w:tr w14:paraId="6023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889" w:type="dxa"/>
            <w:tcBorders>
              <w:bottom w:val="single" w:color="auto" w:sz="4" w:space="0"/>
            </w:tcBorders>
            <w:vAlign w:val="center"/>
          </w:tcPr>
          <w:p w14:paraId="3272E6FF">
            <w:pPr>
              <w:spacing w:line="560" w:lineRule="exact"/>
              <w:rPr>
                <w:rFonts w:eastAsia="仿宋_GB2312"/>
                <w:sz w:val="24"/>
                <w:szCs w:val="28"/>
              </w:rPr>
            </w:pPr>
          </w:p>
        </w:tc>
        <w:tc>
          <w:tcPr>
            <w:tcW w:w="1345" w:type="dxa"/>
            <w:tcBorders>
              <w:bottom w:val="single" w:color="auto" w:sz="4" w:space="0"/>
            </w:tcBorders>
            <w:vAlign w:val="center"/>
          </w:tcPr>
          <w:p w14:paraId="65E28BB7">
            <w:pPr>
              <w:spacing w:line="560" w:lineRule="exact"/>
              <w:rPr>
                <w:rFonts w:eastAsia="仿宋_GB2312"/>
                <w:sz w:val="24"/>
                <w:szCs w:val="28"/>
              </w:rPr>
            </w:pPr>
          </w:p>
        </w:tc>
        <w:tc>
          <w:tcPr>
            <w:tcW w:w="1486" w:type="dxa"/>
            <w:tcBorders>
              <w:bottom w:val="single" w:color="auto" w:sz="4" w:space="0"/>
            </w:tcBorders>
            <w:vAlign w:val="center"/>
          </w:tcPr>
          <w:p w14:paraId="1625131B">
            <w:pPr>
              <w:spacing w:line="560" w:lineRule="exact"/>
              <w:rPr>
                <w:rFonts w:eastAsia="仿宋_GB2312"/>
                <w:sz w:val="24"/>
                <w:szCs w:val="28"/>
              </w:rPr>
            </w:pPr>
          </w:p>
        </w:tc>
        <w:tc>
          <w:tcPr>
            <w:tcW w:w="854" w:type="dxa"/>
            <w:tcBorders>
              <w:bottom w:val="single" w:color="auto" w:sz="4" w:space="0"/>
            </w:tcBorders>
            <w:vAlign w:val="center"/>
          </w:tcPr>
          <w:p w14:paraId="48447B91">
            <w:pPr>
              <w:spacing w:line="560" w:lineRule="exact"/>
              <w:rPr>
                <w:rFonts w:eastAsia="仿宋_GB2312"/>
                <w:sz w:val="24"/>
                <w:szCs w:val="28"/>
              </w:rPr>
            </w:pPr>
          </w:p>
        </w:tc>
        <w:tc>
          <w:tcPr>
            <w:tcW w:w="1417" w:type="dxa"/>
            <w:tcBorders>
              <w:bottom w:val="single" w:color="auto" w:sz="4" w:space="0"/>
            </w:tcBorders>
            <w:vAlign w:val="center"/>
          </w:tcPr>
          <w:p w14:paraId="6F57F728">
            <w:pPr>
              <w:spacing w:line="560" w:lineRule="exact"/>
              <w:rPr>
                <w:rFonts w:eastAsia="仿宋_GB2312"/>
                <w:sz w:val="24"/>
                <w:szCs w:val="28"/>
              </w:rPr>
            </w:pPr>
          </w:p>
        </w:tc>
        <w:tc>
          <w:tcPr>
            <w:tcW w:w="1619" w:type="dxa"/>
            <w:tcBorders>
              <w:bottom w:val="single" w:color="auto" w:sz="4" w:space="0"/>
            </w:tcBorders>
            <w:vAlign w:val="center"/>
          </w:tcPr>
          <w:p w14:paraId="1EB9049A">
            <w:pPr>
              <w:spacing w:line="560" w:lineRule="exact"/>
              <w:rPr>
                <w:rFonts w:eastAsia="仿宋_GB2312"/>
                <w:sz w:val="24"/>
                <w:szCs w:val="28"/>
              </w:rPr>
            </w:pPr>
          </w:p>
        </w:tc>
        <w:tc>
          <w:tcPr>
            <w:tcW w:w="1497" w:type="dxa"/>
            <w:tcBorders>
              <w:bottom w:val="single" w:color="auto" w:sz="4" w:space="0"/>
            </w:tcBorders>
            <w:vAlign w:val="center"/>
          </w:tcPr>
          <w:p w14:paraId="7BDBD16F">
            <w:pPr>
              <w:spacing w:line="560" w:lineRule="exact"/>
              <w:rPr>
                <w:rFonts w:eastAsia="仿宋_GB2312"/>
                <w:sz w:val="24"/>
                <w:szCs w:val="28"/>
              </w:rPr>
            </w:pPr>
          </w:p>
        </w:tc>
      </w:tr>
      <w:tr w14:paraId="67FE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top w:val="single" w:color="auto" w:sz="4" w:space="0"/>
              <w:left w:val="single" w:color="auto" w:sz="4" w:space="0"/>
              <w:bottom w:val="single" w:color="auto" w:sz="4" w:space="0"/>
              <w:right w:val="single" w:color="auto" w:sz="4" w:space="0"/>
            </w:tcBorders>
            <w:vAlign w:val="center"/>
          </w:tcPr>
          <w:p w14:paraId="04A2C097">
            <w:pPr>
              <w:spacing w:line="560" w:lineRule="exact"/>
              <w:rPr>
                <w:rFonts w:eastAsia="仿宋_GB2312"/>
                <w:sz w:val="24"/>
              </w:rPr>
            </w:pPr>
            <w:r>
              <w:rPr>
                <w:rFonts w:eastAsia="仿宋_GB2312"/>
                <w:sz w:val="24"/>
              </w:rPr>
              <w:t>最近第一个会计年度资产管理规模（亿元）</w:t>
            </w:r>
          </w:p>
        </w:tc>
        <w:tc>
          <w:tcPr>
            <w:tcW w:w="8218" w:type="dxa"/>
            <w:gridSpan w:val="6"/>
            <w:tcBorders>
              <w:top w:val="single" w:color="auto" w:sz="4" w:space="0"/>
              <w:left w:val="single" w:color="auto" w:sz="4" w:space="0"/>
              <w:bottom w:val="single" w:color="auto" w:sz="4" w:space="0"/>
              <w:right w:val="single" w:color="auto" w:sz="4" w:space="0"/>
            </w:tcBorders>
            <w:vAlign w:val="center"/>
          </w:tcPr>
          <w:p w14:paraId="1AD5CBDB">
            <w:pPr>
              <w:spacing w:line="560" w:lineRule="exact"/>
              <w:rPr>
                <w:rFonts w:eastAsia="仿宋_GB2312"/>
                <w:color w:val="A6A6A6"/>
                <w:sz w:val="24"/>
              </w:rPr>
            </w:pPr>
            <w:r>
              <w:rPr>
                <w:rFonts w:eastAsia="仿宋_GB2312"/>
                <w:color w:val="A6A6A6"/>
                <w:sz w:val="24"/>
              </w:rPr>
              <w:t>（公募基金填写管理人所管理的公募基金资产规模，理财产品填写管理人的总资产规模）</w:t>
            </w:r>
          </w:p>
        </w:tc>
      </w:tr>
    </w:tbl>
    <w:p w14:paraId="576656E1">
      <w:pPr>
        <w:spacing w:line="560" w:lineRule="exact"/>
        <w:jc w:val="left"/>
        <w:rPr>
          <w:rFonts w:eastAsia="仿宋_GB2312"/>
          <w:sz w:val="24"/>
        </w:rPr>
      </w:pPr>
      <w:r>
        <w:rPr>
          <w:rFonts w:eastAsia="仿宋_GB2312"/>
          <w:kern w:val="28"/>
          <w:sz w:val="24"/>
        </w:rPr>
        <w:t>备注：1、</w:t>
      </w:r>
      <w:r>
        <w:rPr>
          <w:rFonts w:hint="eastAsia" w:eastAsia="仿宋_GB2312"/>
          <w:kern w:val="28"/>
          <w:sz w:val="24"/>
        </w:rPr>
        <w:t>私募</w:t>
      </w:r>
      <w:r>
        <w:rPr>
          <w:rFonts w:eastAsia="仿宋_GB2312"/>
          <w:sz w:val="24"/>
          <w:szCs w:val="28"/>
        </w:rPr>
        <w:t>产品</w:t>
      </w:r>
      <w:r>
        <w:rPr>
          <w:rFonts w:hint="eastAsia" w:eastAsia="仿宋_GB2312"/>
          <w:sz w:val="24"/>
          <w:szCs w:val="28"/>
        </w:rPr>
        <w:t>需要填写</w:t>
      </w:r>
      <w:r>
        <w:rPr>
          <w:rFonts w:eastAsia="仿宋_GB2312"/>
          <w:sz w:val="24"/>
          <w:szCs w:val="28"/>
        </w:rPr>
        <w:t>委托人</w:t>
      </w:r>
      <w:r>
        <w:rPr>
          <w:rFonts w:hint="eastAsia" w:eastAsia="仿宋_GB2312"/>
          <w:sz w:val="24"/>
          <w:szCs w:val="28"/>
        </w:rPr>
        <w:t>信息，委托人</w:t>
      </w:r>
      <w:r>
        <w:rPr>
          <w:rFonts w:eastAsia="仿宋_GB2312"/>
          <w:sz w:val="24"/>
          <w:szCs w:val="28"/>
        </w:rPr>
        <w:t>为多个的，填写前三大委托人。杠杆运作限制、</w:t>
      </w:r>
      <w:r>
        <w:rPr>
          <w:rFonts w:eastAsia="仿宋_GB2312"/>
          <w:sz w:val="24"/>
        </w:rPr>
        <w:t>资产管理规模仅正回购方</w:t>
      </w:r>
      <w:r>
        <w:rPr>
          <w:rFonts w:hint="eastAsia" w:eastAsia="仿宋_GB2312"/>
          <w:sz w:val="24"/>
        </w:rPr>
        <w:t>需要填写</w:t>
      </w:r>
      <w:r>
        <w:rPr>
          <w:rFonts w:eastAsia="仿宋_GB2312"/>
          <w:sz w:val="24"/>
          <w:szCs w:val="28"/>
        </w:rPr>
        <w:t>。</w:t>
      </w:r>
    </w:p>
    <w:p w14:paraId="66366870">
      <w:pPr>
        <w:numPr>
          <w:ilvl w:val="0"/>
          <w:numId w:val="26"/>
        </w:numPr>
        <w:spacing w:line="560" w:lineRule="exact"/>
        <w:ind w:firstLine="720" w:firstLineChars="300"/>
        <w:jc w:val="left"/>
        <w:rPr>
          <w:rFonts w:eastAsia="仿宋_GB2312"/>
          <w:sz w:val="24"/>
          <w:szCs w:val="28"/>
        </w:rPr>
      </w:pPr>
      <w:r>
        <w:rPr>
          <w:rFonts w:eastAsia="仿宋_GB2312"/>
          <w:sz w:val="24"/>
          <w:szCs w:val="28"/>
        </w:rPr>
        <w:t>已进行过备案开通逆回购权限的，再次备案申请开通正回购权限时，应保证普通证券账户及相关信息的前后一致性。反之亦然。</w:t>
      </w:r>
    </w:p>
    <w:p w14:paraId="426FA857">
      <w:pPr>
        <w:numPr>
          <w:ilvl w:val="255"/>
          <w:numId w:val="0"/>
        </w:numPr>
        <w:spacing w:line="560" w:lineRule="exact"/>
        <w:jc w:val="left"/>
        <w:rPr>
          <w:rFonts w:eastAsia="仿宋_GB2312"/>
          <w:sz w:val="24"/>
          <w:szCs w:val="28"/>
        </w:rPr>
      </w:pPr>
    </w:p>
    <w:p w14:paraId="34C1BAA1">
      <w:pPr>
        <w:spacing w:line="560" w:lineRule="exact"/>
        <w:rPr>
          <w:rFonts w:eastAsia="仿宋_GB2312"/>
          <w:sz w:val="30"/>
          <w:szCs w:val="30"/>
        </w:rPr>
      </w:pPr>
      <w:r>
        <w:rPr>
          <w:rFonts w:hint="eastAsia" w:eastAsia="仿宋_GB2312"/>
          <w:sz w:val="30"/>
          <w:szCs w:val="30"/>
        </w:rPr>
        <w:t>我公司在此郑重承诺：</w:t>
      </w:r>
    </w:p>
    <w:p w14:paraId="707744D9">
      <w:pPr>
        <w:spacing w:line="560" w:lineRule="exact"/>
        <w:rPr>
          <w:rFonts w:eastAsia="仿宋_GB2312"/>
          <w:sz w:val="30"/>
          <w:szCs w:val="30"/>
        </w:rPr>
      </w:pPr>
      <w:r>
        <w:rPr>
          <w:rFonts w:hint="eastAsia" w:eastAsia="仿宋_GB2312"/>
          <w:sz w:val="30"/>
          <w:szCs w:val="30"/>
        </w:rPr>
        <w:t>一、遵守法律、法规、规章、上交所及中国结算相关业务规则，依法参与上交所债券三方回购业务。</w:t>
      </w:r>
    </w:p>
    <w:p w14:paraId="7300B815">
      <w:pPr>
        <w:spacing w:line="560" w:lineRule="exact"/>
        <w:rPr>
          <w:rFonts w:eastAsia="仿宋_GB2312"/>
          <w:sz w:val="30"/>
          <w:szCs w:val="30"/>
        </w:rPr>
      </w:pPr>
      <w:r>
        <w:rPr>
          <w:rFonts w:hint="eastAsia" w:eastAsia="仿宋_GB2312"/>
          <w:sz w:val="30"/>
          <w:szCs w:val="30"/>
        </w:rPr>
        <w:t>二、诚实守信，自觉遵守商业道德，维护上交所债券市场秩序。</w:t>
      </w:r>
    </w:p>
    <w:p w14:paraId="6928F724">
      <w:pPr>
        <w:spacing w:line="560" w:lineRule="exact"/>
        <w:rPr>
          <w:rFonts w:eastAsia="仿宋_GB2312"/>
          <w:sz w:val="30"/>
          <w:szCs w:val="30"/>
        </w:rPr>
      </w:pPr>
      <w:r>
        <w:rPr>
          <w:rFonts w:hint="eastAsia" w:eastAsia="仿宋_GB2312"/>
          <w:sz w:val="30"/>
          <w:szCs w:val="30"/>
        </w:rPr>
        <w:t>三、同意遵守上交所、中国结算关于三方回购的相关规定，接受上交所、中国结算的自律管理。</w:t>
      </w:r>
    </w:p>
    <w:p w14:paraId="3609E5DF">
      <w:pPr>
        <w:spacing w:line="560" w:lineRule="exact"/>
        <w:rPr>
          <w:rFonts w:eastAsia="仿宋_GB2312"/>
          <w:sz w:val="30"/>
          <w:szCs w:val="30"/>
        </w:rPr>
      </w:pPr>
      <w:r>
        <w:rPr>
          <w:rFonts w:hint="eastAsia" w:eastAsia="仿宋_GB2312"/>
          <w:sz w:val="30"/>
          <w:szCs w:val="30"/>
        </w:rPr>
        <w:t>四、如违反法律、法规、规章、上交所及中国结算相关业务规则，接受上交所做出的包括但不限于取消三方回购投资者适当性备案等监管措施，并对此承担一切法律责任。</w:t>
      </w:r>
    </w:p>
    <w:p w14:paraId="62CFE10B">
      <w:pPr>
        <w:pStyle w:val="18"/>
        <w:spacing w:line="560" w:lineRule="exact"/>
        <w:jc w:val="left"/>
        <w:rPr>
          <w:rFonts w:ascii="Times New Roman"/>
          <w:szCs w:val="30"/>
        </w:rPr>
      </w:pPr>
      <w:r>
        <w:rPr>
          <w:rFonts w:hint="eastAsia" w:ascii="Times New Roman"/>
          <w:szCs w:val="30"/>
        </w:rPr>
        <w:t>我公司保证向上交所提供的书面和电子申请资料的真实、准确、完整与合法。</w:t>
      </w:r>
    </w:p>
    <w:p w14:paraId="004C1D77">
      <w:pPr>
        <w:spacing w:line="560" w:lineRule="exact"/>
        <w:jc w:val="left"/>
        <w:rPr>
          <w:rFonts w:eastAsia="仿宋_GB2312"/>
          <w:kern w:val="28"/>
        </w:rPr>
      </w:pPr>
    </w:p>
    <w:p w14:paraId="68666D53">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（加盖管理人公章）</w:t>
      </w:r>
    </w:p>
    <w:p w14:paraId="3A8994B6">
      <w:pPr>
        <w:pStyle w:val="18"/>
        <w:spacing w:line="560" w:lineRule="exact"/>
        <w:jc w:val="right"/>
        <w:rPr>
          <w:rFonts w:hAnsi="仿宋_GB2312" w:cs="仿宋_GB2312"/>
          <w:szCs w:val="30"/>
        </w:rPr>
      </w:pPr>
    </w:p>
    <w:p w14:paraId="5926B74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15E400AF">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71DF8836">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2CE32B37">
      <w:pPr>
        <w:widowControl/>
        <w:spacing w:line="560" w:lineRule="exact"/>
        <w:jc w:val="left"/>
        <w:rPr>
          <w:rFonts w:eastAsia="仿宋_GB2312"/>
          <w:sz w:val="28"/>
          <w:szCs w:val="28"/>
        </w:rPr>
      </w:pPr>
      <w:r>
        <w:rPr>
          <w:rFonts w:eastAsia="仿宋_GB2312"/>
          <w:sz w:val="28"/>
          <w:szCs w:val="28"/>
        </w:rPr>
        <w:br w:type="page"/>
      </w:r>
    </w:p>
    <w:p w14:paraId="1703F382">
      <w:pPr>
        <w:widowControl/>
        <w:jc w:val="left"/>
        <w:outlineLvl w:val="1"/>
        <w:rPr>
          <w:rFonts w:ascii="仿宋_GB2312" w:hAnsi="黑体" w:eastAsia="仿宋_GB2312"/>
          <w:b/>
          <w:sz w:val="30"/>
          <w:szCs w:val="30"/>
        </w:rPr>
      </w:pPr>
      <w:bookmarkStart w:id="3492" w:name="_Toc151137102"/>
      <w:r>
        <w:rPr>
          <w:rFonts w:hint="eastAsia" w:ascii="仿宋_GB2312" w:hAnsi="黑体" w:eastAsia="仿宋_GB2312"/>
          <w:b/>
          <w:sz w:val="30"/>
          <w:szCs w:val="30"/>
        </w:rPr>
        <w:t>附件19 投资者适当性备案渠道</w:t>
      </w:r>
      <w:bookmarkEnd w:id="3492"/>
    </w:p>
    <w:p w14:paraId="7CDC4B50">
      <w:pPr>
        <w:pStyle w:val="92"/>
        <w:spacing w:line="560" w:lineRule="exact"/>
        <w:ind w:left="0" w:firstLine="600" w:firstLineChars="200"/>
        <w:rPr>
          <w:rFonts w:eastAsia="仿宋_GB2312"/>
          <w:kern w:val="2"/>
          <w:sz w:val="30"/>
          <w:szCs w:val="30"/>
          <w:lang w:eastAsia="zh-CN" w:bidi="ar-SA"/>
        </w:rPr>
      </w:pPr>
      <w:r>
        <w:rPr>
          <w:rFonts w:hint="eastAsia" w:eastAsia="仿宋_GB2312"/>
          <w:kern w:val="2"/>
          <w:sz w:val="30"/>
          <w:szCs w:val="30"/>
          <w:lang w:eastAsia="zh-CN" w:bidi="ar-SA"/>
        </w:rPr>
        <w:t>投资者适当性备案材料可通过以下两种方式提交上交所：</w:t>
      </w:r>
    </w:p>
    <w:p w14:paraId="3D5946F3">
      <w:pPr>
        <w:pStyle w:val="5"/>
        <w:numPr>
          <w:ilvl w:val="255"/>
          <w:numId w:val="0"/>
        </w:numPr>
        <w:spacing w:line="560" w:lineRule="exact"/>
        <w:ind w:firstLine="602" w:firstLineChars="200"/>
        <w:rPr>
          <w:rFonts w:eastAsia="仿宋_GB2312"/>
          <w:b/>
          <w:bCs/>
          <w:i w:val="0"/>
          <w:iCs w:val="0"/>
          <w:color w:val="auto"/>
          <w:sz w:val="30"/>
          <w:szCs w:val="30"/>
          <w:lang w:eastAsia="zh-CN"/>
        </w:rPr>
      </w:pPr>
      <w:r>
        <w:rPr>
          <w:rFonts w:eastAsia="仿宋_GB2312"/>
          <w:b/>
          <w:bCs/>
          <w:i w:val="0"/>
          <w:iCs w:val="0"/>
          <w:color w:val="auto"/>
          <w:sz w:val="30"/>
          <w:szCs w:val="30"/>
          <w:lang w:eastAsia="zh-CN"/>
        </w:rPr>
        <w:t>1.</w:t>
      </w:r>
      <w:r>
        <w:rPr>
          <w:rFonts w:hint="eastAsia" w:eastAsia="仿宋_GB2312"/>
          <w:b/>
          <w:bCs/>
          <w:i w:val="0"/>
          <w:iCs w:val="0"/>
          <w:color w:val="auto"/>
          <w:sz w:val="30"/>
          <w:szCs w:val="30"/>
          <w:lang w:eastAsia="zh-CN"/>
        </w:rPr>
        <w:t>通过债券业务系统方式备案</w:t>
      </w:r>
    </w:p>
    <w:p w14:paraId="75A23D08">
      <w:pPr>
        <w:widowControl/>
        <w:spacing w:line="560" w:lineRule="exact"/>
        <w:ind w:firstLine="600" w:firstLineChars="200"/>
        <w:jc w:val="left"/>
        <w:rPr>
          <w:rFonts w:eastAsia="仿宋_GB2312"/>
          <w:sz w:val="28"/>
          <w:szCs w:val="28"/>
        </w:rPr>
      </w:pPr>
      <w:r>
        <w:rPr>
          <w:rFonts w:hint="eastAsia" w:eastAsia="仿宋_GB2312"/>
          <w:sz w:val="30"/>
          <w:szCs w:val="30"/>
        </w:rPr>
        <w:t>上交所债券业务管理系统有两个入口网址</w:t>
      </w:r>
      <w:r>
        <w:rPr>
          <w:rFonts w:eastAsia="仿宋_GB2312"/>
          <w:sz w:val="28"/>
          <w:szCs w:val="28"/>
        </w:rPr>
        <w:t>：</w:t>
      </w:r>
    </w:p>
    <w:p w14:paraId="4B2D80C3">
      <w:pPr>
        <w:widowControl/>
        <w:spacing w:line="560" w:lineRule="exact"/>
        <w:ind w:firstLine="420" w:firstLineChars="200"/>
        <w:jc w:val="left"/>
        <w:rPr>
          <w:rFonts w:eastAsia="仿宋_GB2312"/>
          <w:sz w:val="28"/>
          <w:szCs w:val="28"/>
        </w:rPr>
      </w:pPr>
      <w:r>
        <w:fldChar w:fldCharType="begin"/>
      </w:r>
      <w:r>
        <w:instrText xml:space="preserve"> HYPERLINK "https://222.66.87.193/bms" </w:instrText>
      </w:r>
      <w:r>
        <w:fldChar w:fldCharType="separate"/>
      </w:r>
      <w:r>
        <w:rPr>
          <w:rStyle w:val="51"/>
          <w:rFonts w:eastAsia="仿宋_GB2312"/>
          <w:sz w:val="28"/>
          <w:szCs w:val="28"/>
        </w:rPr>
        <w:t>https://222.66.87.193/bms</w:t>
      </w:r>
      <w:r>
        <w:rPr>
          <w:rStyle w:val="51"/>
          <w:rFonts w:eastAsia="仿宋_GB2312"/>
          <w:sz w:val="28"/>
          <w:szCs w:val="28"/>
        </w:rPr>
        <w:fldChar w:fldCharType="end"/>
      </w:r>
    </w:p>
    <w:p w14:paraId="04D3EE74">
      <w:pPr>
        <w:widowControl/>
        <w:spacing w:line="560" w:lineRule="exact"/>
        <w:ind w:firstLine="420" w:firstLineChars="200"/>
        <w:jc w:val="left"/>
        <w:rPr>
          <w:rFonts w:eastAsia="仿宋_GB2312"/>
          <w:sz w:val="28"/>
          <w:szCs w:val="28"/>
        </w:rPr>
      </w:pPr>
      <w:r>
        <w:fldChar w:fldCharType="begin"/>
      </w:r>
      <w:r>
        <w:instrText xml:space="preserve"> HYPERLINK "https://120.204.69.22/bms" </w:instrText>
      </w:r>
      <w:r>
        <w:fldChar w:fldCharType="separate"/>
      </w:r>
      <w:r>
        <w:rPr>
          <w:rStyle w:val="51"/>
          <w:rFonts w:eastAsia="仿宋_GB2312"/>
          <w:sz w:val="28"/>
          <w:szCs w:val="28"/>
        </w:rPr>
        <w:t>https://120.204.69.22/bms</w:t>
      </w:r>
      <w:r>
        <w:rPr>
          <w:rStyle w:val="51"/>
          <w:rFonts w:eastAsia="仿宋_GB2312"/>
          <w:sz w:val="28"/>
          <w:szCs w:val="28"/>
        </w:rPr>
        <w:fldChar w:fldCharType="end"/>
      </w:r>
      <w:r>
        <w:rPr>
          <w:rFonts w:eastAsia="仿宋_GB2312"/>
          <w:sz w:val="28"/>
          <w:szCs w:val="28"/>
        </w:rPr>
        <w:t>。</w:t>
      </w:r>
    </w:p>
    <w:p w14:paraId="17B714C5">
      <w:pPr>
        <w:widowControl/>
        <w:spacing w:line="560" w:lineRule="exact"/>
        <w:ind w:firstLine="565" w:firstLineChars="202"/>
        <w:jc w:val="left"/>
        <w:rPr>
          <w:rFonts w:eastAsia="仿宋_GB2312"/>
          <w:sz w:val="28"/>
          <w:szCs w:val="28"/>
        </w:rPr>
      </w:pPr>
      <w:r>
        <w:rPr>
          <w:rFonts w:hint="eastAsia" w:eastAsia="仿宋_GB2312"/>
          <w:sz w:val="28"/>
          <w:szCs w:val="28"/>
        </w:rPr>
        <w:t>备案时，市场参与者需通过数字证书登录债券业务管理系统。请于登录前下载并安装</w:t>
      </w:r>
      <w:r>
        <w:rPr>
          <w:rFonts w:eastAsia="仿宋_GB2312"/>
          <w:sz w:val="28"/>
          <w:szCs w:val="28"/>
        </w:rPr>
        <w:t>CnSCA Ekey</w:t>
      </w:r>
      <w:r>
        <w:rPr>
          <w:rFonts w:hint="eastAsia" w:eastAsia="仿宋_GB2312"/>
          <w:sz w:val="28"/>
          <w:szCs w:val="28"/>
        </w:rPr>
        <w:t>管理工具。“上交所网站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公告栏</w:t>
      </w:r>
      <w:r>
        <w:rPr>
          <w:rFonts w:eastAsia="仿宋_GB2312"/>
          <w:sz w:val="28"/>
          <w:szCs w:val="28"/>
        </w:rPr>
        <w:sym w:font="Wingdings" w:char="F0E0"/>
      </w:r>
      <w:r>
        <w:rPr>
          <w:rFonts w:hint="eastAsia" w:eastAsia="仿宋_GB2312"/>
          <w:sz w:val="28"/>
          <w:szCs w:val="28"/>
        </w:rPr>
        <w:t>驱动程序及工具”</w:t>
      </w:r>
      <w:r>
        <w:rPr>
          <w:rFonts w:eastAsia="仿宋_GB2312"/>
          <w:sz w:val="28"/>
          <w:szCs w:val="28"/>
        </w:rPr>
        <w:t>（</w:t>
      </w:r>
      <w:r>
        <w:fldChar w:fldCharType="begin"/>
      </w:r>
      <w:r>
        <w:instrText xml:space="preserve"> HYPERLINK "http://biz.sse.com.cn/sseportal/ps/zhs/ca/download.jsp" </w:instrText>
      </w:r>
      <w:r>
        <w:fldChar w:fldCharType="separate"/>
      </w:r>
      <w:r>
        <w:rPr>
          <w:rStyle w:val="51"/>
          <w:rFonts w:eastAsia="仿宋_GB2312"/>
          <w:sz w:val="28"/>
          <w:szCs w:val="28"/>
        </w:rPr>
        <w:t>http://biz.sse.com.cn/sseportal/ps/zhs/ca/download.jsp</w:t>
      </w:r>
      <w:r>
        <w:rPr>
          <w:rStyle w:val="51"/>
          <w:rFonts w:eastAsia="仿宋_GB2312"/>
          <w:sz w:val="28"/>
          <w:szCs w:val="28"/>
        </w:rPr>
        <w:fldChar w:fldCharType="end"/>
      </w:r>
      <w:r>
        <w:rPr>
          <w:rFonts w:eastAsia="仿宋_GB2312"/>
          <w:sz w:val="28"/>
          <w:szCs w:val="28"/>
        </w:rPr>
        <w:t>）。</w:t>
      </w:r>
    </w:p>
    <w:p w14:paraId="45C0F623">
      <w:pPr>
        <w:widowControl/>
        <w:spacing w:line="560" w:lineRule="exact"/>
        <w:ind w:firstLine="565" w:firstLineChars="202"/>
        <w:jc w:val="left"/>
        <w:rPr>
          <w:rFonts w:eastAsia="仿宋_GB2312"/>
          <w:sz w:val="28"/>
          <w:szCs w:val="28"/>
        </w:rPr>
      </w:pPr>
      <w:r>
        <w:rPr>
          <w:rFonts w:hint="eastAsia" w:eastAsia="仿宋_GB2312"/>
          <w:sz w:val="28"/>
          <w:szCs w:val="28"/>
        </w:rPr>
        <w:t>未申请办理过债券业务管理系统数字证书的需申请办理数字证书，并申请系统用户名和密码</w:t>
      </w:r>
      <w:r>
        <w:rPr>
          <w:rFonts w:eastAsia="仿宋_GB2312"/>
          <w:sz w:val="28"/>
          <w:szCs w:val="28"/>
        </w:rPr>
        <w:t>,</w:t>
      </w:r>
      <w:r>
        <w:rPr>
          <w:rFonts w:hint="eastAsia" w:eastAsia="仿宋_GB2312"/>
          <w:sz w:val="28"/>
          <w:szCs w:val="28"/>
        </w:rPr>
        <w:t>相关流程参见：“上交所网站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导航栏</w:t>
      </w:r>
      <w:r>
        <w:rPr>
          <w:rFonts w:eastAsia="仿宋_GB2312"/>
          <w:sz w:val="28"/>
          <w:szCs w:val="28"/>
        </w:rPr>
        <w:sym w:font="Wingdings" w:char="F0E0"/>
      </w:r>
      <w:r>
        <w:rPr>
          <w:rFonts w:hint="eastAsia" w:eastAsia="仿宋_GB2312"/>
          <w:sz w:val="28"/>
          <w:szCs w:val="28"/>
        </w:rPr>
        <w:t>业务流程</w:t>
      </w:r>
      <w:r>
        <w:rPr>
          <w:rFonts w:eastAsia="仿宋_GB2312"/>
          <w:sz w:val="28"/>
          <w:szCs w:val="28"/>
        </w:rPr>
        <w:sym w:font="Wingdings" w:char="F0E0"/>
      </w:r>
      <w:r>
        <w:rPr>
          <w:rFonts w:hint="eastAsia" w:eastAsia="仿宋_GB2312"/>
          <w:sz w:val="28"/>
          <w:szCs w:val="28"/>
        </w:rPr>
        <w:t>数字证书申请说明</w:t>
      </w:r>
      <w:r>
        <w:rPr>
          <w:rFonts w:eastAsia="仿宋_GB2312"/>
          <w:sz w:val="28"/>
          <w:szCs w:val="28"/>
        </w:rPr>
        <w:sym w:font="Wingdings" w:char="F0E0"/>
      </w:r>
      <w:r>
        <w:rPr>
          <w:rFonts w:hint="eastAsia" w:eastAsia="仿宋_GB2312"/>
          <w:sz w:val="28"/>
          <w:szCs w:val="28"/>
        </w:rPr>
        <w:t>债券业务管理系统证书申请”</w:t>
      </w:r>
      <w:r>
        <w:rPr>
          <w:rFonts w:eastAsia="仿宋_GB2312"/>
          <w:sz w:val="28"/>
          <w:szCs w:val="28"/>
        </w:rPr>
        <w:t>（</w:t>
      </w:r>
      <w:r>
        <w:fldChar w:fldCharType="begin"/>
      </w:r>
      <w:r>
        <w:instrText xml:space="preserve"> HYPERLINK "http://www.sse.com.cn/home/biz/cnsca/process/apply/explain/c/4271018.shtml" </w:instrText>
      </w:r>
      <w:r>
        <w:fldChar w:fldCharType="separate"/>
      </w:r>
      <w:r>
        <w:rPr>
          <w:rStyle w:val="51"/>
          <w:rFonts w:eastAsia="仿宋_GB2312"/>
          <w:sz w:val="28"/>
          <w:szCs w:val="28"/>
        </w:rPr>
        <w:t>http://www.sse.com.cn/home/biz/cnsca/process/apply/explain/c/4271018.shtml</w:t>
      </w:r>
      <w:r>
        <w:rPr>
          <w:rStyle w:val="51"/>
          <w:rFonts w:eastAsia="仿宋_GB2312"/>
          <w:sz w:val="28"/>
          <w:szCs w:val="28"/>
        </w:rPr>
        <w:fldChar w:fldCharType="end"/>
      </w:r>
      <w:r>
        <w:rPr>
          <w:rFonts w:eastAsia="仿宋_GB2312"/>
          <w:sz w:val="28"/>
          <w:szCs w:val="28"/>
        </w:rPr>
        <w:t>）  （</w:t>
      </w:r>
      <w:r>
        <w:fldChar w:fldCharType="begin"/>
      </w:r>
      <w:r>
        <w:instrText xml:space="preserve"> HYPERLINK "http://www.sse.com.cn/home/biz/cnsca/process/apply/" \l "sm16" </w:instrText>
      </w:r>
      <w:r>
        <w:fldChar w:fldCharType="separate"/>
      </w:r>
      <w:r>
        <w:rPr>
          <w:rStyle w:val="51"/>
          <w:rFonts w:eastAsia="仿宋_GB2312"/>
          <w:sz w:val="28"/>
          <w:szCs w:val="28"/>
        </w:rPr>
        <w:t>http://www.sse.com.cn/home/biz/cnsca/process/apply/#sm16</w:t>
      </w:r>
      <w:r>
        <w:rPr>
          <w:rStyle w:val="51"/>
          <w:rFonts w:eastAsia="仿宋_GB2312"/>
          <w:sz w:val="28"/>
          <w:szCs w:val="28"/>
        </w:rPr>
        <w:fldChar w:fldCharType="end"/>
      </w:r>
      <w:r>
        <w:rPr>
          <w:rFonts w:eastAsia="仿宋_GB2312"/>
          <w:sz w:val="28"/>
          <w:szCs w:val="28"/>
        </w:rPr>
        <w:t>）。</w:t>
      </w:r>
    </w:p>
    <w:p w14:paraId="01AA16BE">
      <w:pPr>
        <w:widowControl/>
        <w:spacing w:line="560" w:lineRule="exact"/>
        <w:ind w:firstLine="606" w:firstLineChars="202"/>
        <w:jc w:val="left"/>
        <w:rPr>
          <w:rFonts w:eastAsia="仿宋_GB2312"/>
          <w:sz w:val="30"/>
          <w:szCs w:val="30"/>
        </w:rPr>
      </w:pPr>
      <w:r>
        <w:rPr>
          <w:rFonts w:hint="eastAsia" w:eastAsia="仿宋_GB2312"/>
          <w:sz w:val="30"/>
          <w:szCs w:val="30"/>
        </w:rPr>
        <w:t>申请人所在机构已办理债券业务管理系统数字证书的，无需重新办理。</w:t>
      </w:r>
    </w:p>
    <w:p w14:paraId="76C7572A">
      <w:pPr>
        <w:widowControl/>
        <w:spacing w:line="560" w:lineRule="exact"/>
        <w:ind w:firstLine="606" w:firstLineChars="202"/>
        <w:jc w:val="left"/>
        <w:rPr>
          <w:rFonts w:eastAsia="仿宋_GB2312"/>
          <w:sz w:val="30"/>
          <w:szCs w:val="30"/>
        </w:rPr>
      </w:pPr>
      <w:r>
        <w:rPr>
          <w:rFonts w:hint="eastAsia" w:eastAsia="仿宋_GB2312"/>
          <w:sz w:val="30"/>
          <w:szCs w:val="30"/>
        </w:rPr>
        <w:t>登录债券业务管理系统后，备案申请时需要填写以下信息：</w:t>
      </w:r>
    </w:p>
    <w:p w14:paraId="0DCBBE87">
      <w:pPr>
        <w:widowControl/>
        <w:spacing w:line="560" w:lineRule="exact"/>
        <w:ind w:firstLine="565" w:firstLineChars="202"/>
        <w:jc w:val="left"/>
        <w:rPr>
          <w:rFonts w:eastAsia="仿宋_GB2312"/>
          <w:sz w:val="28"/>
          <w:szCs w:val="28"/>
        </w:rPr>
      </w:pPr>
    </w:p>
    <w:tbl>
      <w:tblPr>
        <w:tblStyle w:val="43"/>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6997"/>
      </w:tblGrid>
      <w:tr w14:paraId="6210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002060"/>
            <w:vAlign w:val="center"/>
          </w:tcPr>
          <w:p w14:paraId="597B67B3">
            <w:pPr>
              <w:pStyle w:val="17"/>
              <w:spacing w:after="0" w:line="560" w:lineRule="exact"/>
              <w:jc w:val="center"/>
              <w:rPr>
                <w:rFonts w:eastAsia="仿宋_GB2312"/>
                <w:b/>
                <w:szCs w:val="21"/>
              </w:rPr>
            </w:pPr>
            <w:r>
              <w:rPr>
                <w:rFonts w:hAnsi="Arial" w:eastAsia="仿宋_GB2312"/>
                <w:b/>
                <w:szCs w:val="21"/>
              </w:rPr>
              <w:t>要素名称</w:t>
            </w:r>
          </w:p>
        </w:tc>
        <w:tc>
          <w:tcPr>
            <w:tcW w:w="7002" w:type="dxa"/>
            <w:shd w:val="clear" w:color="auto" w:fill="002060"/>
            <w:vAlign w:val="center"/>
          </w:tcPr>
          <w:p w14:paraId="16BF4077">
            <w:pPr>
              <w:pStyle w:val="17"/>
              <w:spacing w:after="0" w:line="560" w:lineRule="exact"/>
              <w:jc w:val="center"/>
              <w:rPr>
                <w:rFonts w:eastAsia="仿宋_GB2312"/>
                <w:b/>
                <w:szCs w:val="21"/>
              </w:rPr>
            </w:pPr>
            <w:r>
              <w:rPr>
                <w:rFonts w:hAnsi="Arial" w:eastAsia="仿宋_GB2312"/>
                <w:b/>
                <w:szCs w:val="21"/>
              </w:rPr>
              <w:t>说明</w:t>
            </w:r>
          </w:p>
        </w:tc>
      </w:tr>
      <w:tr w14:paraId="249F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558D2FD4">
            <w:pPr>
              <w:pStyle w:val="17"/>
              <w:spacing w:after="0" w:line="560" w:lineRule="exact"/>
              <w:rPr>
                <w:rFonts w:eastAsia="仿宋_GB2312"/>
                <w:sz w:val="24"/>
              </w:rPr>
            </w:pPr>
            <w:r>
              <w:rPr>
                <w:rFonts w:eastAsia="仿宋_GB2312"/>
                <w:sz w:val="24"/>
              </w:rPr>
              <w:t>投资者名称</w:t>
            </w:r>
          </w:p>
        </w:tc>
        <w:tc>
          <w:tcPr>
            <w:tcW w:w="7002" w:type="dxa"/>
            <w:vAlign w:val="center"/>
          </w:tcPr>
          <w:p w14:paraId="0B3EEBC9">
            <w:pPr>
              <w:pStyle w:val="17"/>
              <w:spacing w:after="0" w:line="560" w:lineRule="exact"/>
              <w:jc w:val="center"/>
              <w:rPr>
                <w:rFonts w:eastAsia="仿宋_GB2312"/>
                <w:sz w:val="24"/>
              </w:rPr>
            </w:pPr>
            <w:r>
              <w:rPr>
                <w:rFonts w:eastAsia="仿宋_GB2312"/>
                <w:sz w:val="24"/>
              </w:rPr>
              <w:t>必填</w:t>
            </w:r>
          </w:p>
        </w:tc>
      </w:tr>
      <w:tr w14:paraId="7C27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77DB056">
            <w:pPr>
              <w:pStyle w:val="17"/>
              <w:spacing w:after="0" w:line="560" w:lineRule="exact"/>
              <w:rPr>
                <w:rFonts w:eastAsia="仿宋_GB2312"/>
                <w:sz w:val="24"/>
              </w:rPr>
            </w:pPr>
            <w:r>
              <w:rPr>
                <w:rFonts w:eastAsia="仿宋_GB2312"/>
                <w:sz w:val="24"/>
              </w:rPr>
              <w:t>投资者类型</w:t>
            </w:r>
          </w:p>
        </w:tc>
        <w:tc>
          <w:tcPr>
            <w:tcW w:w="7002" w:type="dxa"/>
            <w:vAlign w:val="center"/>
          </w:tcPr>
          <w:p w14:paraId="46805281">
            <w:pPr>
              <w:pStyle w:val="17"/>
              <w:spacing w:after="0" w:line="560" w:lineRule="exact"/>
              <w:jc w:val="center"/>
              <w:rPr>
                <w:rFonts w:eastAsia="仿宋_GB2312"/>
                <w:sz w:val="24"/>
              </w:rPr>
            </w:pPr>
            <w:r>
              <w:rPr>
                <w:rFonts w:eastAsia="仿宋_GB2312"/>
                <w:sz w:val="24"/>
              </w:rPr>
              <w:t>必填；一级下拉框选择“金融机构”，二级下拉框包括：证券公司、期货公司、基金管理公司及其子公司、商业银行、保险公司、信托公司、财务公司、证券公司子公司、期货公司子公司、私募基金管理人、其他金融机构</w:t>
            </w:r>
          </w:p>
          <w:p w14:paraId="44797BF5">
            <w:pPr>
              <w:pStyle w:val="17"/>
              <w:spacing w:after="0" w:line="560" w:lineRule="exact"/>
              <w:jc w:val="center"/>
              <w:rPr>
                <w:rFonts w:eastAsia="仿宋_GB2312"/>
                <w:sz w:val="24"/>
              </w:rPr>
            </w:pPr>
            <w:r>
              <w:rPr>
                <w:rFonts w:eastAsia="仿宋_GB2312"/>
                <w:sz w:val="24"/>
              </w:rPr>
              <w:t>一级下拉框选择“理财产品”，二级下拉框包括：公募证券投资者基金、银行理财产品、证券公司资产管理产品、基金管理公司及其子公司专户产品、期货公司产品、保险产品、信托产品、经行业协会备案的私募基金，其他产品</w:t>
            </w:r>
          </w:p>
        </w:tc>
      </w:tr>
      <w:tr w14:paraId="7836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3246F638">
            <w:pPr>
              <w:pStyle w:val="17"/>
              <w:spacing w:after="0" w:line="560" w:lineRule="exact"/>
              <w:rPr>
                <w:rFonts w:eastAsia="仿宋_GB2312"/>
                <w:sz w:val="24"/>
              </w:rPr>
            </w:pPr>
            <w:r>
              <w:rPr>
                <w:rFonts w:eastAsia="仿宋_GB2312"/>
                <w:sz w:val="24"/>
              </w:rPr>
              <w:t>申请业务类型</w:t>
            </w:r>
          </w:p>
        </w:tc>
        <w:tc>
          <w:tcPr>
            <w:tcW w:w="7002" w:type="dxa"/>
            <w:vAlign w:val="center"/>
          </w:tcPr>
          <w:p w14:paraId="08B82797">
            <w:pPr>
              <w:pStyle w:val="17"/>
              <w:spacing w:after="0" w:line="560" w:lineRule="exact"/>
              <w:jc w:val="center"/>
              <w:rPr>
                <w:rFonts w:eastAsia="仿宋_GB2312"/>
                <w:sz w:val="24"/>
              </w:rPr>
            </w:pPr>
            <w:r>
              <w:rPr>
                <w:rFonts w:eastAsia="仿宋_GB2312"/>
                <w:sz w:val="24"/>
              </w:rPr>
              <w:t>必填</w:t>
            </w:r>
          </w:p>
          <w:p w14:paraId="7F185294">
            <w:pPr>
              <w:pStyle w:val="17"/>
              <w:spacing w:after="0" w:line="560" w:lineRule="exact"/>
              <w:jc w:val="center"/>
              <w:rPr>
                <w:rFonts w:eastAsia="仿宋_GB2312"/>
                <w:sz w:val="24"/>
              </w:rPr>
            </w:pPr>
            <w:r>
              <w:rPr>
                <w:rFonts w:eastAsia="仿宋_GB2312"/>
                <w:sz w:val="24"/>
              </w:rPr>
              <w:t>打钩选择（可多选）</w:t>
            </w:r>
          </w:p>
          <w:p w14:paraId="2D5BD8E9">
            <w:pPr>
              <w:pStyle w:val="17"/>
              <w:spacing w:after="0" w:line="560" w:lineRule="exact"/>
              <w:jc w:val="center"/>
              <w:rPr>
                <w:rFonts w:eastAsia="仿宋_GB2312"/>
                <w:sz w:val="24"/>
              </w:rPr>
            </w:pPr>
            <w:r>
              <w:rPr>
                <w:rFonts w:eastAsia="仿宋_GB2312"/>
                <w:sz w:val="24"/>
              </w:rPr>
              <w:t>“正回购”、“逆回购”</w:t>
            </w:r>
          </w:p>
        </w:tc>
      </w:tr>
      <w:tr w14:paraId="33E3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56BA3E">
            <w:pPr>
              <w:pStyle w:val="17"/>
              <w:spacing w:after="0" w:line="560" w:lineRule="exact"/>
              <w:rPr>
                <w:rFonts w:eastAsia="仿宋_GB2312"/>
                <w:sz w:val="24"/>
              </w:rPr>
            </w:pPr>
            <w:r>
              <w:rPr>
                <w:rFonts w:eastAsia="仿宋_GB2312"/>
                <w:sz w:val="24"/>
              </w:rPr>
              <w:t>交易商代码</w:t>
            </w:r>
          </w:p>
        </w:tc>
        <w:tc>
          <w:tcPr>
            <w:tcW w:w="7002" w:type="dxa"/>
            <w:vAlign w:val="center"/>
          </w:tcPr>
          <w:p w14:paraId="3B569C06">
            <w:pPr>
              <w:pStyle w:val="17"/>
              <w:spacing w:after="0" w:line="560" w:lineRule="exact"/>
              <w:jc w:val="center"/>
              <w:rPr>
                <w:rFonts w:eastAsia="仿宋_GB2312"/>
                <w:sz w:val="24"/>
              </w:rPr>
            </w:pPr>
            <w:r>
              <w:rPr>
                <w:rFonts w:eastAsia="仿宋_GB2312"/>
                <w:sz w:val="24"/>
              </w:rPr>
              <w:t>必填</w:t>
            </w:r>
          </w:p>
        </w:tc>
      </w:tr>
      <w:tr w14:paraId="7DE0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00723DB">
            <w:pPr>
              <w:pStyle w:val="17"/>
              <w:spacing w:after="0" w:line="560" w:lineRule="exact"/>
              <w:rPr>
                <w:rFonts w:eastAsia="仿宋_GB2312"/>
                <w:sz w:val="24"/>
              </w:rPr>
            </w:pPr>
            <w:r>
              <w:rPr>
                <w:rFonts w:eastAsia="仿宋_GB2312"/>
                <w:sz w:val="24"/>
              </w:rPr>
              <w:t>证券账户</w:t>
            </w:r>
          </w:p>
        </w:tc>
        <w:tc>
          <w:tcPr>
            <w:tcW w:w="7002" w:type="dxa"/>
            <w:vAlign w:val="center"/>
          </w:tcPr>
          <w:p w14:paraId="5BD90FCF">
            <w:pPr>
              <w:pStyle w:val="17"/>
              <w:spacing w:after="0" w:line="560" w:lineRule="exact"/>
              <w:jc w:val="center"/>
              <w:rPr>
                <w:rFonts w:eastAsia="仿宋_GB2312"/>
                <w:sz w:val="24"/>
              </w:rPr>
            </w:pPr>
            <w:r>
              <w:rPr>
                <w:rFonts w:eastAsia="仿宋_GB2312"/>
                <w:sz w:val="24"/>
              </w:rPr>
              <w:t>必填</w:t>
            </w:r>
          </w:p>
        </w:tc>
      </w:tr>
      <w:tr w14:paraId="05A3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143DF08">
            <w:pPr>
              <w:pStyle w:val="17"/>
              <w:spacing w:after="0" w:line="560" w:lineRule="exact"/>
              <w:rPr>
                <w:rFonts w:eastAsia="仿宋_GB2312"/>
                <w:sz w:val="24"/>
              </w:rPr>
            </w:pPr>
            <w:r>
              <w:rPr>
                <w:rFonts w:eastAsia="仿宋_GB2312"/>
                <w:sz w:val="24"/>
              </w:rPr>
              <w:t>证券账户名称</w:t>
            </w:r>
          </w:p>
        </w:tc>
        <w:tc>
          <w:tcPr>
            <w:tcW w:w="7002" w:type="dxa"/>
            <w:vAlign w:val="center"/>
          </w:tcPr>
          <w:p w14:paraId="30B39975">
            <w:pPr>
              <w:pStyle w:val="17"/>
              <w:spacing w:after="0" w:line="560" w:lineRule="exact"/>
              <w:jc w:val="center"/>
              <w:rPr>
                <w:rFonts w:eastAsia="仿宋_GB2312"/>
                <w:sz w:val="24"/>
              </w:rPr>
            </w:pPr>
            <w:r>
              <w:rPr>
                <w:rFonts w:eastAsia="仿宋_GB2312"/>
                <w:sz w:val="24"/>
              </w:rPr>
              <w:t>必填</w:t>
            </w:r>
          </w:p>
        </w:tc>
      </w:tr>
      <w:tr w14:paraId="0633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225D7632">
            <w:pPr>
              <w:pStyle w:val="17"/>
              <w:spacing w:after="0" w:line="560" w:lineRule="exact"/>
              <w:rPr>
                <w:rFonts w:eastAsia="仿宋_GB2312"/>
                <w:sz w:val="24"/>
              </w:rPr>
            </w:pPr>
            <w:r>
              <w:rPr>
                <w:rFonts w:eastAsia="仿宋_GB2312"/>
                <w:sz w:val="24"/>
              </w:rPr>
              <w:t>三方回购专用证券账户</w:t>
            </w:r>
          </w:p>
        </w:tc>
        <w:tc>
          <w:tcPr>
            <w:tcW w:w="7002" w:type="dxa"/>
            <w:vAlign w:val="center"/>
          </w:tcPr>
          <w:p w14:paraId="462C3419">
            <w:pPr>
              <w:pStyle w:val="17"/>
              <w:spacing w:after="0" w:line="560" w:lineRule="exact"/>
              <w:jc w:val="center"/>
              <w:rPr>
                <w:rFonts w:eastAsia="仿宋_GB2312"/>
                <w:sz w:val="24"/>
              </w:rPr>
            </w:pPr>
            <w:r>
              <w:rPr>
                <w:rFonts w:eastAsia="仿宋_GB2312"/>
                <w:sz w:val="24"/>
              </w:rPr>
              <w:t>正回购方必填</w:t>
            </w:r>
          </w:p>
        </w:tc>
      </w:tr>
      <w:tr w14:paraId="0822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00982473">
            <w:pPr>
              <w:pStyle w:val="17"/>
              <w:spacing w:after="0" w:line="560" w:lineRule="exact"/>
              <w:rPr>
                <w:rFonts w:eastAsia="仿宋_GB2312"/>
                <w:sz w:val="24"/>
              </w:rPr>
            </w:pPr>
            <w:r>
              <w:rPr>
                <w:rFonts w:eastAsia="仿宋_GB2312"/>
                <w:sz w:val="24"/>
              </w:rPr>
              <w:t>三方回购专用证券账户名称</w:t>
            </w:r>
          </w:p>
        </w:tc>
        <w:tc>
          <w:tcPr>
            <w:tcW w:w="7002" w:type="dxa"/>
            <w:vAlign w:val="center"/>
          </w:tcPr>
          <w:p w14:paraId="38286736">
            <w:pPr>
              <w:pStyle w:val="17"/>
              <w:spacing w:after="0" w:line="560" w:lineRule="exact"/>
              <w:jc w:val="center"/>
              <w:rPr>
                <w:rFonts w:eastAsia="仿宋_GB2312"/>
                <w:sz w:val="24"/>
              </w:rPr>
            </w:pPr>
            <w:r>
              <w:rPr>
                <w:rFonts w:eastAsia="仿宋_GB2312"/>
                <w:sz w:val="24"/>
              </w:rPr>
              <w:t>正回购方必填</w:t>
            </w:r>
          </w:p>
        </w:tc>
      </w:tr>
      <w:tr w14:paraId="6B64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8C97B37">
            <w:pPr>
              <w:pStyle w:val="17"/>
              <w:spacing w:after="0" w:line="560" w:lineRule="exact"/>
              <w:rPr>
                <w:rFonts w:eastAsia="仿宋_GB2312"/>
                <w:sz w:val="24"/>
              </w:rPr>
            </w:pPr>
            <w:r>
              <w:rPr>
                <w:rFonts w:eastAsia="仿宋_GB2312"/>
                <w:sz w:val="24"/>
              </w:rPr>
              <w:t>负责三方回购业务的负责人</w:t>
            </w:r>
          </w:p>
        </w:tc>
        <w:tc>
          <w:tcPr>
            <w:tcW w:w="7002" w:type="dxa"/>
            <w:vAlign w:val="center"/>
          </w:tcPr>
          <w:p w14:paraId="454EF125">
            <w:pPr>
              <w:pStyle w:val="17"/>
              <w:spacing w:after="0" w:line="560" w:lineRule="exact"/>
              <w:jc w:val="center"/>
              <w:rPr>
                <w:rFonts w:eastAsia="仿宋_GB2312"/>
                <w:sz w:val="24"/>
              </w:rPr>
            </w:pPr>
            <w:r>
              <w:rPr>
                <w:rFonts w:eastAsia="仿宋_GB2312"/>
                <w:sz w:val="24"/>
              </w:rPr>
              <w:t>必填</w:t>
            </w:r>
          </w:p>
        </w:tc>
      </w:tr>
      <w:tr w14:paraId="74AD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FA8E6A9">
            <w:pPr>
              <w:pStyle w:val="17"/>
              <w:spacing w:after="0" w:line="560" w:lineRule="exact"/>
              <w:rPr>
                <w:rFonts w:eastAsia="仿宋_GB2312"/>
                <w:sz w:val="24"/>
              </w:rPr>
            </w:pPr>
            <w:r>
              <w:rPr>
                <w:rFonts w:eastAsia="仿宋_GB2312"/>
                <w:sz w:val="24"/>
              </w:rPr>
              <w:t>负责三方回购业务的负责人联系方式</w:t>
            </w:r>
          </w:p>
        </w:tc>
        <w:tc>
          <w:tcPr>
            <w:tcW w:w="7002" w:type="dxa"/>
            <w:vAlign w:val="center"/>
          </w:tcPr>
          <w:p w14:paraId="7A65EE66">
            <w:pPr>
              <w:pStyle w:val="17"/>
              <w:spacing w:after="0" w:line="560" w:lineRule="exact"/>
              <w:jc w:val="center"/>
              <w:rPr>
                <w:rFonts w:eastAsia="仿宋_GB2312"/>
                <w:sz w:val="24"/>
              </w:rPr>
            </w:pPr>
            <w:r>
              <w:rPr>
                <w:rFonts w:eastAsia="仿宋_GB2312"/>
                <w:sz w:val="24"/>
              </w:rPr>
              <w:t>必填</w:t>
            </w:r>
          </w:p>
        </w:tc>
      </w:tr>
      <w:tr w14:paraId="0B94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65F96AB2">
            <w:pPr>
              <w:pStyle w:val="17"/>
              <w:spacing w:after="0" w:line="560" w:lineRule="exact"/>
              <w:rPr>
                <w:rFonts w:eastAsia="仿宋_GB2312"/>
                <w:sz w:val="24"/>
              </w:rPr>
            </w:pPr>
            <w:r>
              <w:rPr>
                <w:rFonts w:eastAsia="仿宋_GB2312"/>
                <w:sz w:val="24"/>
              </w:rPr>
              <w:t>负责三方回购业务的日常联系人</w:t>
            </w:r>
          </w:p>
        </w:tc>
        <w:tc>
          <w:tcPr>
            <w:tcW w:w="7002" w:type="dxa"/>
            <w:vAlign w:val="center"/>
          </w:tcPr>
          <w:p w14:paraId="6115679C">
            <w:pPr>
              <w:pStyle w:val="17"/>
              <w:spacing w:after="0" w:line="560" w:lineRule="exact"/>
              <w:jc w:val="center"/>
              <w:rPr>
                <w:rFonts w:eastAsia="仿宋_GB2312"/>
                <w:sz w:val="24"/>
              </w:rPr>
            </w:pPr>
            <w:r>
              <w:rPr>
                <w:rFonts w:eastAsia="仿宋_GB2312"/>
                <w:sz w:val="24"/>
              </w:rPr>
              <w:t>必填</w:t>
            </w:r>
          </w:p>
        </w:tc>
      </w:tr>
      <w:tr w14:paraId="04E3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5226D6A">
            <w:pPr>
              <w:pStyle w:val="17"/>
              <w:spacing w:after="0" w:line="560" w:lineRule="exact"/>
              <w:rPr>
                <w:rFonts w:eastAsia="仿宋_GB2312"/>
                <w:sz w:val="24"/>
              </w:rPr>
            </w:pPr>
            <w:r>
              <w:rPr>
                <w:rFonts w:eastAsia="仿宋_GB2312"/>
                <w:sz w:val="24"/>
              </w:rPr>
              <w:t>负责三方回购业务的日常联系人联系方式</w:t>
            </w:r>
          </w:p>
        </w:tc>
        <w:tc>
          <w:tcPr>
            <w:tcW w:w="7002" w:type="dxa"/>
            <w:vAlign w:val="center"/>
          </w:tcPr>
          <w:p w14:paraId="536EA0B5">
            <w:pPr>
              <w:pStyle w:val="17"/>
              <w:spacing w:after="0" w:line="560" w:lineRule="exact"/>
              <w:jc w:val="center"/>
              <w:rPr>
                <w:rFonts w:eastAsia="仿宋_GB2312"/>
                <w:sz w:val="24"/>
              </w:rPr>
            </w:pPr>
            <w:r>
              <w:rPr>
                <w:rFonts w:eastAsia="仿宋_GB2312"/>
                <w:sz w:val="24"/>
              </w:rPr>
              <w:t>必填</w:t>
            </w:r>
          </w:p>
        </w:tc>
      </w:tr>
      <w:tr w14:paraId="2A7E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3731A9B">
            <w:pPr>
              <w:pStyle w:val="17"/>
              <w:spacing w:after="0" w:line="560" w:lineRule="exact"/>
              <w:rPr>
                <w:rFonts w:eastAsia="仿宋_GB2312"/>
                <w:sz w:val="24"/>
              </w:rPr>
            </w:pPr>
            <w:r>
              <w:rPr>
                <w:rFonts w:eastAsia="仿宋_GB2312"/>
                <w:sz w:val="24"/>
              </w:rPr>
              <w:t>质权人</w:t>
            </w:r>
          </w:p>
        </w:tc>
        <w:tc>
          <w:tcPr>
            <w:tcW w:w="7002" w:type="dxa"/>
          </w:tcPr>
          <w:p w14:paraId="2D33E87A">
            <w:pPr>
              <w:pStyle w:val="17"/>
              <w:spacing w:after="0" w:line="560" w:lineRule="exact"/>
              <w:jc w:val="center"/>
              <w:rPr>
                <w:rFonts w:eastAsia="仿宋_GB2312"/>
                <w:sz w:val="24"/>
              </w:rPr>
            </w:pPr>
            <w:r>
              <w:rPr>
                <w:rFonts w:eastAsia="仿宋_GB2312"/>
                <w:sz w:val="24"/>
              </w:rPr>
              <w:t>系统自动填写，用户可修改。投资者类型为法人机构的，质权人填写投资者名称；投资者为理财产品的，质权人填写产品管理人。</w:t>
            </w:r>
          </w:p>
        </w:tc>
      </w:tr>
      <w:tr w14:paraId="1414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6ACEC87">
            <w:pPr>
              <w:pStyle w:val="17"/>
              <w:spacing w:after="0" w:line="560" w:lineRule="exact"/>
              <w:rPr>
                <w:rFonts w:eastAsia="仿宋_GB2312"/>
                <w:sz w:val="24"/>
              </w:rPr>
            </w:pPr>
            <w:r>
              <w:rPr>
                <w:rFonts w:eastAsia="仿宋_GB2312"/>
                <w:sz w:val="24"/>
              </w:rPr>
              <w:t>产品委托人</w:t>
            </w:r>
          </w:p>
        </w:tc>
        <w:tc>
          <w:tcPr>
            <w:tcW w:w="7002" w:type="dxa"/>
            <w:vAlign w:val="center"/>
          </w:tcPr>
          <w:p w14:paraId="05201AF8">
            <w:pPr>
              <w:pStyle w:val="17"/>
              <w:spacing w:after="0" w:line="560" w:lineRule="exact"/>
              <w:jc w:val="center"/>
              <w:rPr>
                <w:rFonts w:eastAsia="仿宋_GB2312"/>
                <w:sz w:val="24"/>
              </w:rPr>
            </w:pPr>
            <w:r>
              <w:rPr>
                <w:rFonts w:hint="eastAsia" w:eastAsia="仿宋_GB2312"/>
                <w:kern w:val="28"/>
                <w:sz w:val="24"/>
              </w:rPr>
              <w:t>私募</w:t>
            </w:r>
            <w:r>
              <w:rPr>
                <w:rFonts w:eastAsia="仿宋_GB2312"/>
                <w:sz w:val="24"/>
              </w:rPr>
              <w:t>理财产品必填</w:t>
            </w:r>
          </w:p>
        </w:tc>
      </w:tr>
      <w:tr w14:paraId="045E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7A843E25">
            <w:pPr>
              <w:pStyle w:val="17"/>
              <w:spacing w:after="0" w:line="560" w:lineRule="exact"/>
              <w:rPr>
                <w:rFonts w:eastAsia="仿宋_GB2312"/>
                <w:sz w:val="24"/>
              </w:rPr>
            </w:pPr>
            <w:r>
              <w:rPr>
                <w:rFonts w:eastAsia="仿宋_GB2312"/>
                <w:sz w:val="24"/>
              </w:rPr>
              <w:t>产品管理人</w:t>
            </w:r>
          </w:p>
        </w:tc>
        <w:tc>
          <w:tcPr>
            <w:tcW w:w="7002" w:type="dxa"/>
            <w:vAlign w:val="center"/>
          </w:tcPr>
          <w:p w14:paraId="67FDAE18">
            <w:pPr>
              <w:spacing w:line="560" w:lineRule="exact"/>
              <w:jc w:val="center"/>
              <w:rPr>
                <w:rFonts w:eastAsia="仿宋_GB2312"/>
                <w:sz w:val="24"/>
              </w:rPr>
            </w:pPr>
            <w:r>
              <w:rPr>
                <w:rFonts w:eastAsia="仿宋_GB2312"/>
                <w:sz w:val="24"/>
              </w:rPr>
              <w:t>理财产品必填</w:t>
            </w:r>
          </w:p>
        </w:tc>
      </w:tr>
      <w:tr w14:paraId="38A1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64A2BDF1">
            <w:pPr>
              <w:pStyle w:val="17"/>
              <w:spacing w:after="0" w:line="560" w:lineRule="exact"/>
              <w:rPr>
                <w:rFonts w:eastAsia="仿宋_GB2312"/>
                <w:sz w:val="24"/>
              </w:rPr>
            </w:pPr>
            <w:r>
              <w:rPr>
                <w:rFonts w:eastAsia="仿宋_GB2312"/>
                <w:sz w:val="24"/>
              </w:rPr>
              <w:t>资产托管人</w:t>
            </w:r>
          </w:p>
        </w:tc>
        <w:tc>
          <w:tcPr>
            <w:tcW w:w="7002" w:type="dxa"/>
            <w:vAlign w:val="center"/>
          </w:tcPr>
          <w:p w14:paraId="0C29D9D6">
            <w:pPr>
              <w:spacing w:line="560" w:lineRule="exact"/>
              <w:jc w:val="center"/>
              <w:rPr>
                <w:rFonts w:eastAsia="仿宋_GB2312"/>
                <w:sz w:val="24"/>
              </w:rPr>
            </w:pPr>
            <w:r>
              <w:rPr>
                <w:rFonts w:eastAsia="仿宋_GB2312"/>
                <w:sz w:val="24"/>
              </w:rPr>
              <w:t>理财产品必填</w:t>
            </w:r>
          </w:p>
        </w:tc>
      </w:tr>
      <w:tr w14:paraId="3AA5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CC7E4A">
            <w:pPr>
              <w:pStyle w:val="17"/>
              <w:spacing w:after="0" w:line="560" w:lineRule="exact"/>
              <w:rPr>
                <w:rFonts w:eastAsia="仿宋_GB2312"/>
                <w:sz w:val="24"/>
              </w:rPr>
            </w:pPr>
            <w:r>
              <w:rPr>
                <w:rFonts w:eastAsia="仿宋_GB2312"/>
                <w:sz w:val="24"/>
              </w:rPr>
              <w:t>杠杆运作限制</w:t>
            </w:r>
          </w:p>
        </w:tc>
        <w:tc>
          <w:tcPr>
            <w:tcW w:w="7002" w:type="dxa"/>
            <w:vAlign w:val="center"/>
          </w:tcPr>
          <w:p w14:paraId="602102F2">
            <w:pPr>
              <w:spacing w:line="560" w:lineRule="exact"/>
              <w:jc w:val="center"/>
              <w:rPr>
                <w:rFonts w:eastAsia="仿宋_GB2312"/>
                <w:sz w:val="24"/>
              </w:rPr>
            </w:pPr>
            <w:r>
              <w:rPr>
                <w:rFonts w:hint="eastAsia" w:eastAsia="仿宋_GB2312"/>
                <w:sz w:val="24"/>
              </w:rPr>
              <w:t>（</w:t>
            </w:r>
            <w:r>
              <w:rPr>
                <w:rFonts w:eastAsia="仿宋_GB2312"/>
                <w:sz w:val="24"/>
              </w:rPr>
              <w:t>仅正回购方必填</w:t>
            </w:r>
            <w:r>
              <w:rPr>
                <w:rFonts w:hint="eastAsia" w:eastAsia="仿宋_GB2312"/>
                <w:sz w:val="24"/>
              </w:rPr>
              <w:t>）</w:t>
            </w:r>
          </w:p>
          <w:p w14:paraId="586AB6DD">
            <w:pPr>
              <w:spacing w:line="560" w:lineRule="exact"/>
              <w:jc w:val="center"/>
              <w:rPr>
                <w:rFonts w:eastAsia="仿宋_GB2312"/>
                <w:sz w:val="24"/>
              </w:rPr>
            </w:pPr>
            <w:r>
              <w:rPr>
                <w:rFonts w:eastAsia="仿宋_GB2312"/>
                <w:sz w:val="24"/>
              </w:rPr>
              <w:t>格式为文字格式</w:t>
            </w:r>
          </w:p>
          <w:p w14:paraId="37EFA82E">
            <w:pPr>
              <w:spacing w:line="560" w:lineRule="exact"/>
              <w:jc w:val="center"/>
              <w:rPr>
                <w:rFonts w:eastAsia="仿宋_GB2312"/>
                <w:sz w:val="24"/>
              </w:rPr>
            </w:pPr>
            <w:r>
              <w:rPr>
                <w:rFonts w:eastAsia="仿宋_GB2312"/>
                <w:sz w:val="24"/>
              </w:rPr>
              <w:t>填列提示：监管政策或自身内部制度对杠杆运作的限制情况</w:t>
            </w:r>
          </w:p>
        </w:tc>
      </w:tr>
      <w:tr w14:paraId="56C1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419D23F">
            <w:pPr>
              <w:pStyle w:val="17"/>
              <w:spacing w:after="0" w:line="560" w:lineRule="exact"/>
              <w:rPr>
                <w:rFonts w:eastAsia="仿宋_GB2312"/>
                <w:sz w:val="24"/>
              </w:rPr>
            </w:pPr>
            <w:r>
              <w:rPr>
                <w:rFonts w:eastAsia="仿宋_GB2312"/>
                <w:sz w:val="24"/>
              </w:rPr>
              <w:t>最近一个会计年度总资产</w:t>
            </w:r>
          </w:p>
        </w:tc>
        <w:tc>
          <w:tcPr>
            <w:tcW w:w="7002" w:type="dxa"/>
            <w:vAlign w:val="center"/>
          </w:tcPr>
          <w:p w14:paraId="19C560DF">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67910E3">
            <w:pPr>
              <w:spacing w:line="560" w:lineRule="exact"/>
              <w:jc w:val="center"/>
              <w:rPr>
                <w:rFonts w:eastAsia="仿宋_GB2312"/>
                <w:sz w:val="24"/>
              </w:rPr>
            </w:pPr>
          </w:p>
        </w:tc>
      </w:tr>
      <w:tr w14:paraId="7A4F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96011F9">
            <w:pPr>
              <w:pStyle w:val="17"/>
              <w:spacing w:after="0" w:line="560" w:lineRule="exact"/>
              <w:rPr>
                <w:rFonts w:eastAsia="仿宋_GB2312"/>
                <w:sz w:val="24"/>
              </w:rPr>
            </w:pPr>
            <w:r>
              <w:rPr>
                <w:rFonts w:eastAsia="仿宋_GB2312"/>
                <w:sz w:val="24"/>
              </w:rPr>
              <w:t>最近一个会计年度净资产</w:t>
            </w:r>
          </w:p>
        </w:tc>
        <w:tc>
          <w:tcPr>
            <w:tcW w:w="7002" w:type="dxa"/>
            <w:vAlign w:val="center"/>
          </w:tcPr>
          <w:p w14:paraId="7171FEB9">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tc>
      </w:tr>
      <w:tr w14:paraId="2E58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636F316">
            <w:pPr>
              <w:pStyle w:val="17"/>
              <w:spacing w:after="0" w:line="560" w:lineRule="exact"/>
              <w:rPr>
                <w:rFonts w:eastAsia="仿宋_GB2312"/>
                <w:sz w:val="24"/>
              </w:rPr>
            </w:pPr>
            <w:r>
              <w:rPr>
                <w:rFonts w:eastAsia="仿宋_GB2312"/>
                <w:sz w:val="24"/>
              </w:rPr>
              <w:t>最近一个会计年度资产管理规模</w:t>
            </w:r>
          </w:p>
        </w:tc>
        <w:tc>
          <w:tcPr>
            <w:tcW w:w="7002" w:type="dxa"/>
            <w:vAlign w:val="center"/>
          </w:tcPr>
          <w:p w14:paraId="5269FCBC">
            <w:pPr>
              <w:spacing w:line="560" w:lineRule="exact"/>
              <w:jc w:val="center"/>
              <w:rPr>
                <w:rFonts w:eastAsia="仿宋_GB2312"/>
                <w:sz w:val="24"/>
              </w:rPr>
            </w:pPr>
            <w:r>
              <w:rPr>
                <w:rFonts w:eastAsia="仿宋_GB2312"/>
                <w:sz w:val="24"/>
              </w:rPr>
              <w:t>理财产品必填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0B60255">
            <w:pPr>
              <w:spacing w:line="560" w:lineRule="exact"/>
              <w:jc w:val="center"/>
              <w:rPr>
                <w:rFonts w:eastAsia="仿宋_GB2312"/>
                <w:sz w:val="24"/>
              </w:rPr>
            </w:pPr>
            <w:r>
              <w:rPr>
                <w:rFonts w:eastAsia="仿宋_GB2312"/>
                <w:sz w:val="24"/>
              </w:rPr>
              <w:t>公募基金填写管理人所管理的公募基金资产规模，银行理财产品填写管理人的总资产规模。</w:t>
            </w:r>
          </w:p>
        </w:tc>
      </w:tr>
    </w:tbl>
    <w:p w14:paraId="7CA29C2C">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投资者适当性备案时需要上传备案材料的</w:t>
      </w:r>
      <w:r>
        <w:rPr>
          <w:rFonts w:ascii="仿宋_GB2312" w:hAnsi="仿宋_GB2312" w:eastAsia="仿宋_GB2312" w:cs="仿宋_GB2312"/>
          <w:sz w:val="30"/>
          <w:szCs w:val="30"/>
        </w:rPr>
        <w:t>PDF</w:t>
      </w:r>
      <w:r>
        <w:rPr>
          <w:rFonts w:hint="eastAsia" w:ascii="仿宋_GB2312" w:hAnsi="仿宋_GB2312" w:eastAsia="仿宋_GB2312" w:cs="仿宋_GB2312"/>
          <w:sz w:val="30"/>
          <w:szCs w:val="30"/>
        </w:rPr>
        <w:t>格式彩色扫描件。</w:t>
      </w:r>
    </w:p>
    <w:p w14:paraId="25CEF2D0">
      <w:pPr>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T</w:t>
      </w:r>
      <w:r>
        <w:rPr>
          <w:rFonts w:hint="eastAsia" w:ascii="仿宋_GB2312" w:hAnsi="仿宋_GB2312" w:eastAsia="仿宋_GB2312" w:cs="仿宋_GB2312"/>
          <w:sz w:val="30"/>
          <w:szCs w:val="30"/>
        </w:rPr>
        <w:t>日通过系统提交备案材料的，上交所于下一个交易日（</w:t>
      </w:r>
      <w:r>
        <w:rPr>
          <w:rFonts w:ascii="仿宋_GB2312" w:hAnsi="仿宋_GB2312" w:eastAsia="仿宋_GB2312" w:cs="仿宋_GB2312"/>
          <w:sz w:val="30"/>
          <w:szCs w:val="30"/>
        </w:rPr>
        <w:t>T+1</w:t>
      </w:r>
      <w:r>
        <w:rPr>
          <w:rFonts w:hint="eastAsia" w:ascii="仿宋_GB2312" w:hAnsi="仿宋_GB2312" w:eastAsia="仿宋_GB2312" w:cs="仿宋_GB2312"/>
          <w:sz w:val="30"/>
          <w:szCs w:val="30"/>
        </w:rPr>
        <w:t>日）进行审查。审查不通过的，上交所通过债券业务管理系统反馈申请人。审查通过的，申请人可于</w:t>
      </w:r>
      <w:r>
        <w:rPr>
          <w:rFonts w:ascii="仿宋_GB2312" w:hAnsi="仿宋_GB2312" w:eastAsia="仿宋_GB2312" w:cs="仿宋_GB2312"/>
          <w:sz w:val="30"/>
          <w:szCs w:val="30"/>
        </w:rPr>
        <w:t>T+2</w:t>
      </w:r>
      <w:r>
        <w:rPr>
          <w:rFonts w:hint="eastAsia" w:ascii="仿宋_GB2312" w:hAnsi="仿宋_GB2312" w:eastAsia="仿宋_GB2312" w:cs="仿宋_GB2312"/>
          <w:sz w:val="30"/>
          <w:szCs w:val="30"/>
        </w:rPr>
        <w:t>日通过交易系统查看备案结果，并开展三方回购交易。</w:t>
      </w:r>
    </w:p>
    <w:p w14:paraId="4F3601CF">
      <w:pPr>
        <w:pStyle w:val="5"/>
        <w:numPr>
          <w:ilvl w:val="255"/>
          <w:numId w:val="0"/>
        </w:numPr>
        <w:spacing w:line="560" w:lineRule="exact"/>
        <w:ind w:left="420"/>
        <w:rPr>
          <w:rFonts w:ascii="仿宋_GB2312" w:hAnsi="仿宋_GB2312" w:eastAsia="仿宋_GB2312" w:cs="仿宋_GB2312"/>
          <w:b/>
          <w:bCs/>
          <w:i w:val="0"/>
          <w:iCs w:val="0"/>
          <w:color w:val="auto"/>
          <w:sz w:val="30"/>
          <w:szCs w:val="30"/>
        </w:rPr>
      </w:pPr>
      <w:r>
        <w:rPr>
          <w:rFonts w:ascii="仿宋_GB2312" w:hAnsi="仿宋_GB2312" w:eastAsia="仿宋_GB2312" w:cs="仿宋_GB2312"/>
          <w:b/>
          <w:bCs/>
          <w:i w:val="0"/>
          <w:iCs w:val="0"/>
          <w:color w:val="auto"/>
          <w:sz w:val="30"/>
          <w:szCs w:val="30"/>
          <w:lang w:eastAsia="zh-CN"/>
        </w:rPr>
        <w:t>2.</w:t>
      </w:r>
      <w:r>
        <w:rPr>
          <w:rFonts w:hint="eastAsia" w:ascii="仿宋_GB2312" w:hAnsi="仿宋_GB2312" w:eastAsia="仿宋_GB2312" w:cs="仿宋_GB2312"/>
          <w:b/>
          <w:bCs/>
          <w:i w:val="0"/>
          <w:iCs w:val="0"/>
          <w:color w:val="auto"/>
          <w:sz w:val="30"/>
          <w:szCs w:val="30"/>
        </w:rPr>
        <w:t>通过电子邮件方式备案</w:t>
      </w:r>
    </w:p>
    <w:p w14:paraId="1EC33469">
      <w:pPr>
        <w:widowControl/>
        <w:spacing w:line="560" w:lineRule="exact"/>
        <w:ind w:firstLine="420"/>
        <w:jc w:val="left"/>
        <w:rPr>
          <w:rFonts w:eastAsia="仿宋_GB2312"/>
          <w:sz w:val="28"/>
          <w:szCs w:val="28"/>
        </w:rPr>
      </w:pPr>
      <w:r>
        <w:rPr>
          <w:rFonts w:eastAsia="仿宋_GB2312"/>
          <w:sz w:val="28"/>
          <w:szCs w:val="28"/>
        </w:rPr>
        <w:t>通过电子邮件方式进行三方回购投资者适当性备案的市场参与者可以将三方回购投资者适当性备案材料的彩色扫描件制作成pdf文件后发送到以下邮箱：ssebond@sse.com.cn，邮件主题统一格式为“XXX公司-三方回购投资者适当性备案”。</w:t>
      </w:r>
    </w:p>
    <w:p w14:paraId="70A96979">
      <w:pPr>
        <w:spacing w:line="560" w:lineRule="exact"/>
        <w:ind w:firstLine="560" w:firstLineChars="200"/>
        <w:rPr>
          <w:rFonts w:eastAsia="仿宋_GB2312"/>
          <w:sz w:val="28"/>
          <w:szCs w:val="28"/>
        </w:rPr>
      </w:pPr>
      <w:r>
        <w:rPr>
          <w:rFonts w:eastAsia="仿宋_GB2312"/>
          <w:sz w:val="28"/>
          <w:szCs w:val="28"/>
        </w:rPr>
        <w:t>上交所在T日收到电子邮件后，对材料齐全的于下一个交易日（T+1日）进行审查。审查通过的由上交所T+1日代为录入债券业务管理系统。审查不通过的，上交所通过邮件或电话方式告知申请人。审查通过的，申请人可于T+2日通过交易系统查看备案结果，并开展三方回购交易。</w:t>
      </w:r>
    </w:p>
    <w:p w14:paraId="4177AFB7">
      <w:pPr>
        <w:widowControl/>
        <w:spacing w:line="560" w:lineRule="exact"/>
        <w:ind w:firstLine="420"/>
        <w:jc w:val="left"/>
        <w:rPr>
          <w:rFonts w:eastAsia="仿宋_GB2312"/>
        </w:rPr>
      </w:pPr>
    </w:p>
    <w:p w14:paraId="4C38AAB5">
      <w:pPr>
        <w:widowControl/>
        <w:jc w:val="left"/>
        <w:outlineLvl w:val="1"/>
        <w:rPr>
          <w:rFonts w:hAnsi="仿宋"/>
          <w:b/>
          <w:bCs/>
          <w:sz w:val="30"/>
          <w:szCs w:val="30"/>
        </w:rPr>
      </w:pPr>
      <w:r>
        <w:rPr>
          <w:sz w:val="30"/>
          <w:szCs w:val="30"/>
        </w:rPr>
        <w:br w:type="page"/>
      </w:r>
      <w:bookmarkStart w:id="3493" w:name="_Toc151137103"/>
      <w:r>
        <w:rPr>
          <w:rFonts w:hint="eastAsia" w:ascii="仿宋_GB2312" w:hAnsi="黑体" w:eastAsia="仿宋_GB2312"/>
          <w:b/>
          <w:sz w:val="30"/>
          <w:szCs w:val="30"/>
        </w:rPr>
        <w:t>附件20 债券借贷业务用户登记表</w:t>
      </w:r>
      <w:bookmarkEnd w:id="3493"/>
    </w:p>
    <w:p w14:paraId="4EB2B558">
      <w:pPr>
        <w:pStyle w:val="100"/>
        <w:spacing w:line="600" w:lineRule="exact"/>
        <w:ind w:firstLine="883" w:firstLineChars="200"/>
        <w:rPr>
          <w:rFonts w:ascii="黑体" w:hAnsi="黑体" w:eastAsia="黑体" w:cs="Times New Roman"/>
          <w:b/>
          <w:color w:val="auto"/>
          <w:sz w:val="44"/>
          <w:szCs w:val="44"/>
        </w:rPr>
      </w:pPr>
    </w:p>
    <w:p w14:paraId="33102134">
      <w:pPr>
        <w:pStyle w:val="100"/>
        <w:spacing w:line="600" w:lineRule="exact"/>
        <w:jc w:val="center"/>
        <w:rPr>
          <w:rFonts w:ascii="黑体" w:hAnsi="黑体" w:eastAsia="黑体" w:cs="Times New Roman"/>
          <w:b/>
          <w:color w:val="auto"/>
          <w:sz w:val="44"/>
          <w:szCs w:val="44"/>
        </w:rPr>
      </w:pPr>
      <w:r>
        <w:rPr>
          <w:rFonts w:hint="eastAsia" w:ascii="黑体" w:hAnsi="黑体" w:eastAsia="黑体" w:cs="Times New Roman"/>
          <w:b/>
          <w:color w:val="auto"/>
          <w:sz w:val="44"/>
          <w:szCs w:val="44"/>
        </w:rPr>
        <w:t>债券借贷业务用户登记表</w:t>
      </w:r>
    </w:p>
    <w:p w14:paraId="2B112BF3">
      <w:pPr>
        <w:pStyle w:val="92"/>
        <w:spacing w:line="600" w:lineRule="exact"/>
        <w:ind w:firstLine="600"/>
        <w:rPr>
          <w:rFonts w:ascii="仿宋_GB2312" w:eastAsia="仿宋_GB2312"/>
          <w:sz w:val="30"/>
          <w:szCs w:val="30"/>
          <w:lang w:eastAsia="zh-CN"/>
        </w:rPr>
      </w:pPr>
    </w:p>
    <w:tbl>
      <w:tblPr>
        <w:tblStyle w:val="43"/>
        <w:tblW w:w="9255" w:type="dxa"/>
        <w:jc w:val="center"/>
        <w:tblLayout w:type="autofit"/>
        <w:tblCellMar>
          <w:top w:w="0" w:type="dxa"/>
          <w:left w:w="108" w:type="dxa"/>
          <w:bottom w:w="0" w:type="dxa"/>
          <w:right w:w="108" w:type="dxa"/>
        </w:tblCellMar>
      </w:tblPr>
      <w:tblGrid>
        <w:gridCol w:w="1303"/>
        <w:gridCol w:w="1303"/>
        <w:gridCol w:w="1303"/>
        <w:gridCol w:w="1304"/>
        <w:gridCol w:w="1305"/>
        <w:gridCol w:w="1197"/>
        <w:gridCol w:w="1540"/>
      </w:tblGrid>
      <w:tr w14:paraId="08502E1D">
        <w:tblPrEx>
          <w:tblCellMar>
            <w:top w:w="0" w:type="dxa"/>
            <w:left w:w="108" w:type="dxa"/>
            <w:bottom w:w="0" w:type="dxa"/>
            <w:right w:w="108" w:type="dxa"/>
          </w:tblCellMar>
        </w:tblPrEx>
        <w:trPr>
          <w:trHeight w:val="272" w:hRule="atLeast"/>
          <w:jc w:val="center"/>
        </w:trPr>
        <w:tc>
          <w:tcPr>
            <w:tcW w:w="5213" w:type="dxa"/>
            <w:gridSpan w:val="4"/>
            <w:tcBorders>
              <w:top w:val="single" w:color="auto" w:sz="4" w:space="0"/>
              <w:left w:val="single" w:color="auto" w:sz="4" w:space="0"/>
              <w:bottom w:val="single" w:color="auto" w:sz="4" w:space="0"/>
              <w:right w:val="single" w:color="auto" w:sz="4" w:space="0"/>
            </w:tcBorders>
          </w:tcPr>
          <w:p w14:paraId="3BCD480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公司全称： </w:t>
            </w:r>
          </w:p>
        </w:tc>
        <w:tc>
          <w:tcPr>
            <w:tcW w:w="4042" w:type="dxa"/>
            <w:gridSpan w:val="3"/>
            <w:tcBorders>
              <w:top w:val="single" w:color="auto" w:sz="4" w:space="0"/>
              <w:left w:val="nil"/>
              <w:bottom w:val="single" w:color="auto" w:sz="4" w:space="0"/>
              <w:right w:val="single" w:color="auto" w:sz="4" w:space="0"/>
            </w:tcBorders>
          </w:tcPr>
          <w:p w14:paraId="3C881F0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邮编：</w:t>
            </w:r>
          </w:p>
        </w:tc>
      </w:tr>
      <w:tr w14:paraId="063DBC4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B3E844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公司地址： </w:t>
            </w:r>
          </w:p>
        </w:tc>
        <w:tc>
          <w:tcPr>
            <w:tcW w:w="1304" w:type="dxa"/>
            <w:tcBorders>
              <w:top w:val="nil"/>
              <w:left w:val="nil"/>
              <w:bottom w:val="single" w:color="auto" w:sz="4" w:space="0"/>
              <w:right w:val="single" w:color="auto" w:sz="4" w:space="0"/>
            </w:tcBorders>
          </w:tcPr>
          <w:p w14:paraId="367B4C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电话：</w:t>
            </w:r>
          </w:p>
        </w:tc>
        <w:tc>
          <w:tcPr>
            <w:tcW w:w="4042" w:type="dxa"/>
            <w:gridSpan w:val="3"/>
            <w:tcBorders>
              <w:top w:val="single" w:color="auto" w:sz="4" w:space="0"/>
              <w:left w:val="single" w:color="auto" w:sz="4" w:space="0"/>
              <w:bottom w:val="single" w:color="auto" w:sz="4" w:space="0"/>
              <w:right w:val="single" w:color="auto" w:sz="4" w:space="0"/>
            </w:tcBorders>
          </w:tcPr>
          <w:p w14:paraId="492DD27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传真：</w:t>
            </w:r>
          </w:p>
        </w:tc>
      </w:tr>
      <w:tr w14:paraId="2094F7E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6E4DE6D">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企业法人营业执照号： </w:t>
            </w:r>
          </w:p>
        </w:tc>
        <w:tc>
          <w:tcPr>
            <w:tcW w:w="5346" w:type="dxa"/>
            <w:gridSpan w:val="4"/>
            <w:tcBorders>
              <w:top w:val="single" w:color="auto" w:sz="4" w:space="0"/>
              <w:left w:val="single" w:color="auto" w:sz="4" w:space="0"/>
              <w:bottom w:val="single" w:color="auto" w:sz="4" w:space="0"/>
              <w:right w:val="single" w:color="auto" w:sz="4" w:space="0"/>
            </w:tcBorders>
          </w:tcPr>
          <w:p w14:paraId="06E34BF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注册资本：</w:t>
            </w:r>
          </w:p>
        </w:tc>
      </w:tr>
      <w:tr w14:paraId="708C919C">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5ED96695">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法定代表人： </w:t>
            </w:r>
          </w:p>
        </w:tc>
        <w:tc>
          <w:tcPr>
            <w:tcW w:w="5346" w:type="dxa"/>
            <w:gridSpan w:val="4"/>
            <w:tcBorders>
              <w:top w:val="single" w:color="auto" w:sz="4" w:space="0"/>
              <w:left w:val="single" w:color="auto" w:sz="4" w:space="0"/>
              <w:bottom w:val="single" w:color="auto" w:sz="4" w:space="0"/>
              <w:right w:val="single" w:color="auto" w:sz="4" w:space="0"/>
            </w:tcBorders>
          </w:tcPr>
          <w:p w14:paraId="0F3C69BE">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总经理：</w:t>
            </w:r>
          </w:p>
        </w:tc>
      </w:tr>
      <w:tr w14:paraId="5EB73620">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03055B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债券借贷业务负责人 </w:t>
            </w:r>
          </w:p>
        </w:tc>
        <w:tc>
          <w:tcPr>
            <w:tcW w:w="1303" w:type="dxa"/>
            <w:tcBorders>
              <w:top w:val="nil"/>
              <w:left w:val="nil"/>
              <w:bottom w:val="single" w:color="auto" w:sz="4" w:space="0"/>
              <w:right w:val="single" w:color="auto" w:sz="4" w:space="0"/>
            </w:tcBorders>
          </w:tcPr>
          <w:p w14:paraId="7055937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12E23656">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2134DCB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2F1103F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741C1F6B">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nil"/>
              <w:left w:val="nil"/>
              <w:bottom w:val="single" w:color="auto" w:sz="4" w:space="0"/>
              <w:right w:val="single" w:color="auto" w:sz="4" w:space="0"/>
            </w:tcBorders>
          </w:tcPr>
          <w:p w14:paraId="1C1772B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01EEA6AA">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7C7202EF">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235F0A95">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F3F2F44">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37061F36">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170AE3DE">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6A2CDD15">
            <w:pPr>
              <w:widowControl/>
              <w:spacing w:line="300" w:lineRule="auto"/>
              <w:jc w:val="left"/>
              <w:rPr>
                <w:rFonts w:ascii="仿宋_GB2312" w:eastAsia="仿宋_GB2312"/>
                <w:kern w:val="0"/>
                <w:sz w:val="24"/>
                <w:szCs w:val="24"/>
              </w:rPr>
            </w:pPr>
          </w:p>
        </w:tc>
        <w:tc>
          <w:tcPr>
            <w:tcW w:w="1540" w:type="dxa"/>
            <w:tcBorders>
              <w:top w:val="single" w:color="auto" w:sz="4" w:space="0"/>
              <w:left w:val="nil"/>
              <w:bottom w:val="single" w:color="auto" w:sz="4" w:space="0"/>
              <w:right w:val="single" w:color="auto" w:sz="4" w:space="0"/>
            </w:tcBorders>
            <w:noWrap/>
            <w:vAlign w:val="center"/>
          </w:tcPr>
          <w:p w14:paraId="0CAEF9AB">
            <w:pPr>
              <w:widowControl/>
              <w:spacing w:line="300" w:lineRule="auto"/>
              <w:jc w:val="left"/>
              <w:rPr>
                <w:rFonts w:ascii="仿宋_GB2312" w:eastAsia="仿宋_GB2312"/>
                <w:kern w:val="0"/>
                <w:sz w:val="24"/>
                <w:szCs w:val="24"/>
              </w:rPr>
            </w:pPr>
          </w:p>
        </w:tc>
      </w:tr>
      <w:tr w14:paraId="68BA7962">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AEA26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债券借贷业务联络人 </w:t>
            </w:r>
          </w:p>
        </w:tc>
        <w:tc>
          <w:tcPr>
            <w:tcW w:w="1303" w:type="dxa"/>
            <w:tcBorders>
              <w:top w:val="nil"/>
              <w:left w:val="nil"/>
              <w:bottom w:val="single" w:color="auto" w:sz="4" w:space="0"/>
              <w:right w:val="single" w:color="auto" w:sz="4" w:space="0"/>
            </w:tcBorders>
          </w:tcPr>
          <w:p w14:paraId="63F5A6C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4515A6F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42E72E1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52915FF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2FD62D9C">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single" w:color="auto" w:sz="4" w:space="0"/>
              <w:left w:val="nil"/>
              <w:bottom w:val="single" w:color="auto" w:sz="4" w:space="0"/>
              <w:right w:val="single" w:color="auto" w:sz="4" w:space="0"/>
            </w:tcBorders>
          </w:tcPr>
          <w:p w14:paraId="39BA10B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642808F4">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179C917A">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3E5003AE">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5ED803E">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741EB117">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5FFF6B05">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0EA79556">
            <w:pPr>
              <w:widowControl/>
              <w:spacing w:line="300" w:lineRule="auto"/>
              <w:jc w:val="left"/>
              <w:rPr>
                <w:rFonts w:ascii="仿宋_GB2312" w:eastAsia="仿宋_GB2312"/>
                <w:kern w:val="0"/>
                <w:sz w:val="24"/>
                <w:szCs w:val="24"/>
              </w:rPr>
            </w:pPr>
          </w:p>
        </w:tc>
        <w:tc>
          <w:tcPr>
            <w:tcW w:w="1540" w:type="dxa"/>
            <w:tcBorders>
              <w:top w:val="nil"/>
              <w:left w:val="nil"/>
              <w:bottom w:val="single" w:color="auto" w:sz="4" w:space="0"/>
              <w:right w:val="single" w:color="auto" w:sz="4" w:space="0"/>
            </w:tcBorders>
          </w:tcPr>
          <w:p w14:paraId="5A8C43C9">
            <w:pPr>
              <w:widowControl/>
              <w:spacing w:line="300" w:lineRule="auto"/>
              <w:jc w:val="left"/>
              <w:rPr>
                <w:rFonts w:ascii="仿宋_GB2312" w:eastAsia="仿宋_GB2312"/>
                <w:kern w:val="0"/>
                <w:sz w:val="24"/>
                <w:szCs w:val="24"/>
              </w:rPr>
            </w:pPr>
          </w:p>
        </w:tc>
      </w:tr>
      <w:tr w14:paraId="6ECED496">
        <w:tblPrEx>
          <w:tblCellMar>
            <w:top w:w="0" w:type="dxa"/>
            <w:left w:w="108" w:type="dxa"/>
            <w:bottom w:w="0" w:type="dxa"/>
            <w:right w:w="108" w:type="dxa"/>
          </w:tblCellMar>
        </w:tblPrEx>
        <w:trPr>
          <w:trHeight w:val="543"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4B75E73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兹确认以下单位公章和法定代表人签章与我单位工商登记预留印鉴一致，若遇以下印鉴变更，我单位将及时通知贵所 </w:t>
            </w:r>
          </w:p>
        </w:tc>
      </w:tr>
      <w:tr w14:paraId="55B0E739">
        <w:tblPrEx>
          <w:tblCellMar>
            <w:top w:w="0" w:type="dxa"/>
            <w:left w:w="108" w:type="dxa"/>
            <w:bottom w:w="0" w:type="dxa"/>
            <w:right w:w="108" w:type="dxa"/>
          </w:tblCellMar>
        </w:tblPrEx>
        <w:trPr>
          <w:trHeight w:val="272"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2D0BCC8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公司预留印鉴： </w:t>
            </w:r>
          </w:p>
        </w:tc>
      </w:tr>
    </w:tbl>
    <w:p w14:paraId="3A2628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（公司盖章） </w:t>
      </w:r>
    </w:p>
    <w:p w14:paraId="71088B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法人代表（或授权人）签章 </w:t>
      </w:r>
    </w:p>
    <w:p w14:paraId="7134D32B">
      <w:pPr>
        <w:pStyle w:val="100"/>
        <w:ind w:firstLine="5400" w:firstLineChars="1800"/>
        <w:rPr>
          <w:sz w:val="30"/>
          <w:szCs w:val="30"/>
        </w:rPr>
      </w:pPr>
      <w:r>
        <w:rPr>
          <w:rFonts w:hint="eastAsia"/>
          <w:sz w:val="30"/>
          <w:szCs w:val="30"/>
        </w:rPr>
        <w:t>××年××月××日</w:t>
      </w:r>
    </w:p>
    <w:p w14:paraId="33746DF2">
      <w:pPr>
        <w:widowControl/>
        <w:jc w:val="left"/>
        <w:outlineLvl w:val="1"/>
        <w:rPr>
          <w:rFonts w:hAnsi="仿宋"/>
          <w:b/>
          <w:bCs/>
          <w:sz w:val="30"/>
          <w:szCs w:val="30"/>
        </w:rPr>
      </w:pPr>
      <w:r>
        <w:rPr>
          <w:sz w:val="30"/>
          <w:szCs w:val="30"/>
        </w:rPr>
        <w:br w:type="page"/>
      </w:r>
      <w:bookmarkStart w:id="3494" w:name="_Toc151137104"/>
      <w:r>
        <w:rPr>
          <w:rFonts w:hint="eastAsia" w:ascii="仿宋_GB2312" w:hAnsi="黑体" w:eastAsia="仿宋_GB2312"/>
          <w:b/>
          <w:sz w:val="30"/>
          <w:szCs w:val="30"/>
        </w:rPr>
        <w:t>附件21 债券借贷业务主协议</w:t>
      </w:r>
      <w:bookmarkEnd w:id="3494"/>
    </w:p>
    <w:p w14:paraId="69815ED4">
      <w:pPr>
        <w:spacing w:line="540" w:lineRule="exact"/>
        <w:jc w:val="center"/>
        <w:rPr>
          <w:rFonts w:ascii="方正大标宋简体" w:hAnsi="黑体" w:eastAsia="方正大标宋简体" w:cs="宋体"/>
          <w:bCs/>
          <w:color w:val="000000"/>
          <w:sz w:val="42"/>
          <w:szCs w:val="28"/>
        </w:rPr>
      </w:pPr>
      <w:r>
        <w:rPr>
          <w:rFonts w:hint="eastAsia" w:ascii="方正大标宋简体" w:hAnsi="黑体" w:eastAsia="方正大标宋简体" w:cs="宋体"/>
          <w:bCs/>
          <w:color w:val="000000"/>
          <w:sz w:val="42"/>
          <w:szCs w:val="28"/>
        </w:rPr>
        <w:t>上海证券交易所债券借贷业务主协议</w:t>
      </w:r>
    </w:p>
    <w:p w14:paraId="3E7888E0">
      <w:pPr>
        <w:spacing w:line="540" w:lineRule="exact"/>
        <w:rPr>
          <w:rFonts w:ascii="仿宋_GB2312" w:hAnsi="宋体" w:eastAsia="仿宋_GB2312" w:cs="宋体"/>
          <w:sz w:val="30"/>
          <w:szCs w:val="30"/>
        </w:rPr>
      </w:pPr>
    </w:p>
    <w:p w14:paraId="328B4D2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为明确债券借贷业务（以下简称债券借贷）债券借入方、债券借出方（以下统称借贷双方）及相关方的权利与义务，维护投资者的合法权益，</w:t>
      </w:r>
      <w:r>
        <w:rPr>
          <w:rFonts w:hint="eastAsia" w:ascii="仿宋_GB2312" w:hAnsi="华文仿宋" w:eastAsia="仿宋_GB2312"/>
          <w:sz w:val="30"/>
          <w:szCs w:val="30"/>
          <w:lang w:eastAsia="zh-CN"/>
        </w:rPr>
        <w:t>根据《民法典》《证券法》等法律法规以及</w:t>
      </w:r>
      <w:r>
        <w:rPr>
          <w:rFonts w:hint="eastAsia" w:ascii="仿宋_GB2312" w:hAnsi="宋体" w:eastAsia="仿宋_GB2312" w:cs="宋体"/>
          <w:sz w:val="30"/>
          <w:szCs w:val="30"/>
          <w:lang w:eastAsia="zh-CN"/>
        </w:rPr>
        <w:t>《上海证券交易所 中国证券登记结算有限责任公司债券借贷业务办法》（以下简称《办法》）、上海证券交易所（以下简称上交所）及中国证券登记结算有限责任公司（以下简称中国结算）相关业务规则等规定，参加上交所债券借贷的借贷双方在平等、自愿的基础上签署本主协议。</w:t>
      </w:r>
    </w:p>
    <w:p w14:paraId="6F93AF4C">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w:t>
      </w:r>
      <w:r>
        <w:rPr>
          <w:rFonts w:hint="eastAsia" w:ascii="仿宋_GB2312" w:hAnsi="宋体" w:eastAsia="仿宋_GB2312" w:cs="宋体"/>
          <w:bCs/>
          <w:sz w:val="30"/>
          <w:szCs w:val="30"/>
          <w:lang w:eastAsia="zh-CN"/>
        </w:rPr>
        <w:t>主协议适用于在上交所市场开展的债券借贷。</w:t>
      </w:r>
    </w:p>
    <w:p w14:paraId="7D38DEF3">
      <w:pPr>
        <w:spacing w:line="560" w:lineRule="exact"/>
        <w:ind w:firstLine="600" w:firstLineChars="200"/>
        <w:rPr>
          <w:rFonts w:ascii="仿宋_GB2312" w:hAnsi="宋体" w:eastAsia="仿宋_GB2312" w:cs="宋体"/>
          <w:bCs/>
          <w:sz w:val="30"/>
          <w:szCs w:val="30"/>
        </w:rPr>
      </w:pPr>
      <w:r>
        <w:rPr>
          <w:rFonts w:hint="eastAsia" w:ascii="仿宋_GB2312" w:hAnsi="宋体" w:eastAsia="仿宋_GB2312" w:cs="宋体"/>
          <w:kern w:val="0"/>
          <w:sz w:val="30"/>
          <w:szCs w:val="30"/>
        </w:rPr>
        <w:t>债券借贷、债券借入方和债券借出方以及债券借贷业务要素等适用《办法》的定义。</w:t>
      </w:r>
    </w:p>
    <w:p w14:paraId="0BB584DF">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借贷双方认可并自愿遵守《办法》、上交所和中国结算与债券借贷业务相关的其他规定以及对其的修改和补充，同意接受上交所和中国结算的自律管理。</w:t>
      </w:r>
    </w:p>
    <w:p w14:paraId="34B5760E">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关于债券借贷的协议由本主协议、适用的补充协议（如有）、成交记录（含债券借贷成交协议、申报补充约定）构成，三者共同构成借贷双方就每一笔债券借贷的完整协议（以下统称债券借贷协议）。其中，补充协议和申报补充约定的内容由借贷双方自行履行。债券借贷试点期间，在本主协议公布之前的已签署的债券借贷双边协议可作为补充协议。</w:t>
      </w:r>
    </w:p>
    <w:p w14:paraId="4225204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借贷双方可以就债券借贷相关事宜自行签署补充协议。</w:t>
      </w:r>
    </w:p>
    <w:p w14:paraId="75E047C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借贷双方协商一致，就特定一笔债券借贷业务在上交所交易系统申报时，可以在申报中填报申报补充约定。</w:t>
      </w:r>
    </w:p>
    <w:p w14:paraId="3EC1FCD9">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债券借贷成交协议的内容包括：</w:t>
      </w:r>
    </w:p>
    <w:p w14:paraId="6F6D6A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（一）借贷方向：借贷双方按《办法》规定申报并经上交所交易系统确认的债券借贷借入、借出方向。</w:t>
      </w:r>
    </w:p>
    <w:p w14:paraId="630A8C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（二）标的债券：借贷双方按《办法》规定申报并经上交所交易系统确认的债券借贷借入、借出的标的债券。</w:t>
      </w:r>
    </w:p>
    <w:p w14:paraId="1F4F761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（三）借贷面额：借贷双方按《办法》规定申报并经上交所交易系统确认的债券借贷借入、借出的标的债券总面额。</w:t>
      </w:r>
    </w:p>
    <w:p w14:paraId="6078F2E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（四）借贷费率：借贷双方按《办法》规定申报并经上交所交易系统确认的债券借贷借入、借出费率。</w:t>
      </w:r>
    </w:p>
    <w:p w14:paraId="789CD7C8">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（五）借贷期限：借贷双方按《办法》规定申报并经上交所交易系统确认的债券借贷借入、借出期限。</w:t>
      </w:r>
    </w:p>
    <w:p w14:paraId="157F586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（六）应计利息：借贷双方按《办法》规定申报并经上交所交易系统确认的债券借贷借入、借出标的债券在借贷期间产生的利息。</w:t>
      </w:r>
    </w:p>
    <w:p w14:paraId="0B43BFBB">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（七）到期申报方式：借贷双方按《办法》规定申报并由中国结算办理清算、交收。</w:t>
      </w:r>
    </w:p>
    <w:p w14:paraId="7C8774F5">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债券借贷协议中有关质押的内容构成债券借贷业务下的债券质押协议，内容包括：</w:t>
      </w:r>
    </w:p>
    <w:p w14:paraId="51265A65">
      <w:pPr>
        <w:spacing w:line="560" w:lineRule="exact"/>
        <w:rPr>
          <w:rFonts w:ascii="仿宋_GB2312" w:hAnsi="宋体" w:eastAsia="仿宋_GB2312" w:cs="宋体"/>
          <w:sz w:val="30"/>
          <w:szCs w:val="30"/>
        </w:rPr>
      </w:pPr>
      <w:r>
        <w:rPr>
          <w:rFonts w:hint="eastAsia" w:ascii="仿宋_GB2312" w:hAnsi="宋体" w:eastAsia="仿宋_GB2312" w:cs="宋体"/>
          <w:sz w:val="30"/>
          <w:szCs w:val="30"/>
        </w:rPr>
        <w:t xml:space="preserve">    （一）被担保债权的种类和金额：债券借贷的标的债券和标的债券总面额。</w:t>
      </w:r>
    </w:p>
    <w:p w14:paraId="3B0087D9">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（二）借入方履行债务的期限：债券借贷成交协议确定的借贷期限。</w:t>
      </w:r>
    </w:p>
    <w:p w14:paraId="4BBD354C">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（三）质押债券的名称、数量：债券借贷成交协议确定的质押债券（即质物，以下简称质押券）的名称、数量。</w:t>
      </w:r>
    </w:p>
    <w:p w14:paraId="25378C5A">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（四）本协议、补充协议和申报补充约定中约定的债券借贷的其他事项。</w:t>
      </w:r>
    </w:p>
    <w:p w14:paraId="4B75BE7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补充协议和申报补充约定不违反法律、行政法规、部门规章、规范性文件、《办法》、上交所及中国结算的相关规定，且不与本主协议及成交记录相冲突，但本主协议中允许借贷双方另行约定的内容除外。</w:t>
      </w:r>
    </w:p>
    <w:p w14:paraId="0B827C5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借贷双方在签署本主协议时做出下列声明与保证：</w:t>
      </w:r>
    </w:p>
    <w:p w14:paraId="7741A8AB">
      <w:pPr>
        <w:pStyle w:val="92"/>
        <w:spacing w:line="560" w:lineRule="exact"/>
        <w:ind w:hanging="11"/>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（一）本方依法设立并有效存续；</w:t>
      </w:r>
    </w:p>
    <w:p w14:paraId="3BF192D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（二）本方有权签署本主协议，并履行本方在本主协议下的义务。上述行为不违反任何适用于本方的法律、公司章程与协议；</w:t>
      </w:r>
    </w:p>
    <w:p w14:paraId="07E4190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（三）以本方名义达成和签署本主协议的人员已获得充分和必要的授权；</w:t>
      </w:r>
    </w:p>
    <w:p w14:paraId="520E08B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（四）以本方名义或代表本方从事申报的人员，均已获得充分和必要的授权；</w:t>
      </w:r>
    </w:p>
    <w:p w14:paraId="6690020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（五）本方未涉及任何已发生或正在发生，将实质性地负面影响本主协议的合法性、有效性或可执行性的，或将实质性地负面影响本方在本主协议下履行义务能力的诉讼、仲裁或类似事件。</w:t>
      </w:r>
    </w:p>
    <w:p w14:paraId="42A0A9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（六）其具备独立评估债券借贷业务风险的能力，且充分认识并愿意承担相关风险。</w:t>
      </w:r>
    </w:p>
    <w:p w14:paraId="4B830B68">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（七）其对根据本协议约定需要向另一方交付或用于质押的债券拥有完整的所有权和</w:t>
      </w:r>
      <w:r>
        <w:rPr>
          <w:rFonts w:ascii="仿宋_GB2312" w:hAnsi="宋体" w:eastAsia="仿宋_GB2312" w:cs="宋体"/>
          <w:kern w:val="0"/>
          <w:sz w:val="30"/>
          <w:szCs w:val="30"/>
        </w:rPr>
        <w:t>/或处置权，并且未设定任何形式的第</w:t>
      </w:r>
      <w:r>
        <w:rPr>
          <w:rFonts w:hint="eastAsia" w:ascii="仿宋_GB2312" w:hAnsi="宋体" w:eastAsia="仿宋_GB2312" w:cs="宋体"/>
          <w:kern w:val="0"/>
          <w:sz w:val="30"/>
          <w:szCs w:val="30"/>
        </w:rPr>
        <w:t>三方权益。</w:t>
      </w:r>
    </w:p>
    <w:p w14:paraId="72433C4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（八）债券借入方承诺已建立、健全符合监管机构要求的风险控制措施和内部管理制度，控制债券借贷融入余额的合理比例。</w:t>
      </w:r>
    </w:p>
    <w:p w14:paraId="2CDA70C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（九）其系代表自身而非代理任何第三方签署本协议并进行申报。</w:t>
      </w:r>
    </w:p>
    <w:p w14:paraId="72C39C4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借贷双方在签署本主协议时承诺符合《办法》中关于投资者适当性的要求，已确认具备相应的风险管理和承受能力，并将自行承担风险。</w:t>
      </w:r>
    </w:p>
    <w:p w14:paraId="11C302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签署本主协议后，借贷双方情况发生变化，导致不再符合投资者适当性要求的，承诺及时向上交所或所在证券公司更新相关材料，且不再参与新的债券借贷业务，但将继续履行未到期债券借贷合约的相关义务。</w:t>
      </w:r>
    </w:p>
    <w:p w14:paraId="5B073D2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eastAsia="仿宋_GB2312"/>
          <w:color w:val="000000"/>
          <w:sz w:val="30"/>
          <w:szCs w:val="30"/>
          <w:lang w:eastAsia="zh-CN"/>
        </w:rPr>
        <w:t>证券公司经纪客户</w:t>
      </w:r>
      <w:r>
        <w:rPr>
          <w:rFonts w:hint="eastAsia" w:ascii="仿宋_GB2312" w:hAnsi="宋体" w:eastAsia="仿宋_GB2312" w:cs="宋体"/>
          <w:sz w:val="30"/>
          <w:szCs w:val="30"/>
          <w:lang w:eastAsia="zh-CN"/>
        </w:rPr>
        <w:t>签署本协议的</w:t>
      </w:r>
      <w:r>
        <w:rPr>
          <w:rFonts w:hint="eastAsia" w:ascii="仿宋_GB2312" w:eastAsia="仿宋_GB2312"/>
          <w:color w:val="000000"/>
          <w:sz w:val="30"/>
          <w:szCs w:val="30"/>
          <w:lang w:eastAsia="zh-CN"/>
        </w:rPr>
        <w:t>，同意由所在</w:t>
      </w:r>
      <w:r>
        <w:rPr>
          <w:rFonts w:hint="eastAsia" w:ascii="仿宋_GB2312" w:eastAsia="仿宋_GB2312"/>
          <w:sz w:val="30"/>
          <w:szCs w:val="30"/>
          <w:lang w:eastAsia="zh-CN"/>
        </w:rPr>
        <w:t>证券公司对其进行</w:t>
      </w:r>
      <w:r>
        <w:rPr>
          <w:rFonts w:hint="eastAsia" w:ascii="仿宋_GB2312" w:hAnsi="宋体" w:eastAsia="仿宋_GB2312" w:cs="宋体"/>
          <w:sz w:val="30"/>
          <w:szCs w:val="30"/>
          <w:lang w:eastAsia="zh-CN"/>
        </w:rPr>
        <w:t>投资者适当性管理，</w:t>
      </w:r>
      <w:r>
        <w:rPr>
          <w:rFonts w:hint="eastAsia" w:ascii="仿宋_GB2312" w:eastAsia="仿宋_GB2312"/>
          <w:color w:val="000000"/>
          <w:sz w:val="30"/>
          <w:szCs w:val="30"/>
          <w:lang w:eastAsia="zh-CN"/>
        </w:rPr>
        <w:t>并通过证券公司办理债券借贷相关申报和结算业务。</w:t>
      </w:r>
    </w:p>
    <w:p w14:paraId="385ABE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参与债券借贷业务前，证券公司经纪客户承诺已签署风险揭示书，充分知悉并自愿承担风险揭示书中所列风险；承诺向证券公司提交的相关材料真实、准确和完整。</w:t>
      </w:r>
    </w:p>
    <w:p w14:paraId="098E351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借贷双方承诺在参与债券借贷申报前已符合债券借贷投资者适当性要求，并承诺申请材料真实、准确、完整。</w:t>
      </w:r>
    </w:p>
    <w:p w14:paraId="5FE6D9A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债券借贷中，债券借入方的权利主要包括：</w:t>
      </w:r>
    </w:p>
    <w:p w14:paraId="557E02E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w:t>
      </w:r>
      <w:r>
        <w:rPr>
          <w:rFonts w:hint="eastAsia" w:ascii="仿宋_GB2312" w:hAnsi="宋体" w:eastAsia="仿宋_GB2312" w:cs="宋体"/>
          <w:kern w:val="0"/>
          <w:sz w:val="30"/>
          <w:szCs w:val="30"/>
        </w:rPr>
        <w:t>一）在首期结算日，按合同约定取得标的债券；</w:t>
      </w:r>
    </w:p>
    <w:p w14:paraId="4D635A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（二）到期债券结算、到期现金结算、到期部分现金结算、提前终止完成交收后，解除质押券的质押；</w:t>
      </w:r>
    </w:p>
    <w:p w14:paraId="6BEAE19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（三）到期续做完成交收后，按合同约定继续取得标的债券，解除质押券的质押（如有）；</w:t>
      </w:r>
    </w:p>
    <w:p w14:paraId="3A5D449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（四）质押券发生付息、分期偿还、分期摊还的，利息、分期偿还或摊还资金归债券借入方所有；</w:t>
      </w:r>
    </w:p>
    <w:p w14:paraId="0FE5E07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（五）和债券借出方协商一致后对达成的债券借贷进行提前终止、到期现金结算、到期部分现金结算及变更质押券等；</w:t>
      </w:r>
    </w:p>
    <w:p w14:paraId="3308301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（六）在债券借出方违约后，按照规定和约定收取违约金等；</w:t>
      </w:r>
    </w:p>
    <w:p w14:paraId="343CACC2">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（七）在标的债券发生违约、债券本息兑付面临重要风险或其他事件致使标的债券价值明显减少时，可以按照约定解除部分质押券质押、变更质押券或提前终止债券借贷业务；</w:t>
      </w:r>
    </w:p>
    <w:p w14:paraId="330EC84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（八）上交所、中国结算规定或者借贷双方约定的其他权利。</w:t>
      </w:r>
    </w:p>
    <w:p w14:paraId="7055F4C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债券借贷中，债券借入方的义务主要包括：</w:t>
      </w:r>
    </w:p>
    <w:p w14:paraId="679CFCA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58739C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（二）债券借贷申报前，确保证券账户中有数量充足且符合规定或约定的拟用于质押的债券；</w:t>
      </w:r>
    </w:p>
    <w:p w14:paraId="4CC0AEF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（三）在债券借贷时，按约定或规则规定完成债券质押；</w:t>
      </w:r>
    </w:p>
    <w:p w14:paraId="1AE4A8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（四）在到期结算日或提前终止时，按规定和约定归还标的债券，并完成债券借贷费用资金交收；</w:t>
      </w:r>
    </w:p>
    <w:p w14:paraId="02B3E50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（五）在到期现金结算时，按规定和约定完成现金结算资金及借贷费用资金交收；</w:t>
      </w:r>
    </w:p>
    <w:p w14:paraId="1331DEF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（六）在到期部分现金结算时，按规定和约定归还部分标的债券，并完成现金部分的资金交收，及债券借贷费用资金交收；</w:t>
      </w:r>
    </w:p>
    <w:p w14:paraId="7549CFC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（七）在到期续做时，按规定和约定归还标的债券（如有），完成债券质押（如有），并完成债券借贷费用资金交收；</w:t>
      </w:r>
    </w:p>
    <w:p w14:paraId="540E6A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（八）债券借贷存续期内质押券价值明显减少，足以危害债券借出方权利时，按照约定和债券借出方的要求补足担保品；</w:t>
      </w:r>
    </w:p>
    <w:p w14:paraId="2587E299">
      <w:pPr>
        <w:spacing w:line="560" w:lineRule="exact"/>
        <w:ind w:firstLine="600" w:firstLineChars="200"/>
        <w:rPr>
          <w:rFonts w:ascii="仿宋_GB2312" w:hAnsi="宋体" w:eastAsia="仿宋_GB2312" w:cs="宋体"/>
          <w:sz w:val="30"/>
          <w:szCs w:val="30"/>
        </w:rPr>
      </w:pPr>
      <w:bookmarkStart w:id="3495" w:name="OLE_LINK86"/>
      <w:bookmarkStart w:id="3496" w:name="OLE_LINK80"/>
      <w:r>
        <w:rPr>
          <w:rFonts w:hint="eastAsia" w:ascii="仿宋_GB2312" w:hAnsi="宋体" w:eastAsia="仿宋_GB2312" w:cs="宋体"/>
          <w:kern w:val="0"/>
          <w:sz w:val="30"/>
          <w:szCs w:val="30"/>
        </w:rPr>
        <w:t>（九）在违约时，按照规定和约定继续履约、支付违约金、配合债券借出方对违约项下的质押券进行处置等；</w:t>
      </w:r>
      <w:bookmarkEnd w:id="3495"/>
      <w:bookmarkEnd w:id="3496"/>
    </w:p>
    <w:p w14:paraId="3AD0F8E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（十）上交所、中国结算规定或者借贷双方约定的其他义务。</w:t>
      </w:r>
    </w:p>
    <w:p w14:paraId="2E4D539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债券借贷中，债券借出方的权利主要包括：</w:t>
      </w:r>
    </w:p>
    <w:p w14:paraId="6A3701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（一）享有按约定或规则规定选取的质押券的质权；</w:t>
      </w:r>
    </w:p>
    <w:p w14:paraId="31C2977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（二）和债券借入方协商一致或按照约定对达成的债券借贷进行提前终止、到期现金结算、到期部分现金结算、到期续做及补充、变更质押券等；</w:t>
      </w:r>
    </w:p>
    <w:p w14:paraId="637B495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（三）在到期结算日或提前终止时，按规定和约定收回标的债券并收取</w:t>
      </w:r>
      <w:bookmarkStart w:id="3497" w:name="OLE_LINK1"/>
      <w:r>
        <w:rPr>
          <w:rFonts w:hint="eastAsia" w:ascii="仿宋_GB2312" w:hAnsi="宋体" w:eastAsia="仿宋_GB2312" w:cs="宋体"/>
          <w:kern w:val="0"/>
          <w:sz w:val="30"/>
          <w:szCs w:val="30"/>
        </w:rPr>
        <w:t>债券借贷费用</w:t>
      </w:r>
      <w:bookmarkEnd w:id="3497"/>
      <w:r>
        <w:rPr>
          <w:rFonts w:hint="eastAsia" w:ascii="仿宋_GB2312" w:hAnsi="宋体" w:eastAsia="仿宋_GB2312" w:cs="宋体"/>
          <w:kern w:val="0"/>
          <w:sz w:val="30"/>
          <w:szCs w:val="30"/>
        </w:rPr>
        <w:t>；</w:t>
      </w:r>
    </w:p>
    <w:p w14:paraId="1A7A19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（四）在到期现金结算时，按规定和约定收取现金结算资金和债券借贷费用；</w:t>
      </w:r>
    </w:p>
    <w:p w14:paraId="7F5BEFD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（五）在到期部分现金结算时，按规定和约定收回部分标的债券，并收取现金部分资金及债券借贷费用；</w:t>
      </w:r>
    </w:p>
    <w:p w14:paraId="73D10B1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（六）在到期续做时，按规定和约定收回标的债券（如有），选取的质押券的质权（如有），并收取债券借贷费用；</w:t>
      </w:r>
    </w:p>
    <w:p w14:paraId="71E8104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（七）在标的债券付息日或收到债券付息当日从债券借入方收取应计利息总额。</w:t>
      </w:r>
    </w:p>
    <w:p w14:paraId="4E1202F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（八）债券借贷存续期内质押券价值明显减少，足以危害其权利时，要求债券借入方补充、变更相应质押券等；</w:t>
      </w:r>
    </w:p>
    <w:p w14:paraId="701BDA5A">
      <w:pPr>
        <w:spacing w:line="560" w:lineRule="exact"/>
        <w:ind w:firstLine="600" w:firstLineChars="200"/>
        <w:rPr>
          <w:rFonts w:ascii="仿宋_GB2312" w:hAnsi="宋体" w:eastAsia="仿宋_GB2312" w:cs="宋体"/>
          <w:sz w:val="30"/>
          <w:szCs w:val="30"/>
        </w:rPr>
      </w:pPr>
      <w:bookmarkStart w:id="3498" w:name="OLE_LINK74"/>
      <w:bookmarkStart w:id="3499" w:name="OLE_LINK79"/>
      <w:bookmarkStart w:id="3500" w:name="OLE_LINK73"/>
      <w:r>
        <w:rPr>
          <w:rFonts w:hint="eastAsia" w:ascii="仿宋_GB2312" w:hAnsi="宋体" w:eastAsia="仿宋_GB2312" w:cs="宋体"/>
          <w:kern w:val="0"/>
          <w:sz w:val="30"/>
          <w:szCs w:val="30"/>
        </w:rPr>
        <w:t>（九）在债券借入方违约后，按照规定和约定要求债券借入方继续履约、收取违约金，对债券借入方违约项下的质押券进行处置等；</w:t>
      </w:r>
    </w:p>
    <w:p w14:paraId="7C951DFC">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w:t>
      </w:r>
      <w:bookmarkEnd w:id="3498"/>
      <w:bookmarkEnd w:id="3499"/>
      <w:bookmarkEnd w:id="3500"/>
      <w:r>
        <w:rPr>
          <w:rFonts w:hint="eastAsia" w:ascii="仿宋_GB2312" w:hAnsi="宋体" w:eastAsia="仿宋_GB2312" w:cs="宋体"/>
          <w:kern w:val="0"/>
          <w:sz w:val="30"/>
          <w:szCs w:val="30"/>
        </w:rPr>
        <w:t>上交所、中国结算规定或者借贷双方约定的其他权利。</w:t>
      </w:r>
    </w:p>
    <w:p w14:paraId="068266C1">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债券借贷中，债券借出方的义务主要包括：</w:t>
      </w:r>
    </w:p>
    <w:p w14:paraId="04A85F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79FCEC3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（二）在首期结算日，按照规定和约定划付标的债券；</w:t>
      </w:r>
    </w:p>
    <w:p w14:paraId="4FACA78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（三）在到期续做时，按照规定和约定划付标的债券（如有）；</w:t>
      </w:r>
    </w:p>
    <w:p w14:paraId="45CB4D7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（四）在其违约时按照规定和约定向债券借入方支付违约金等；</w:t>
      </w:r>
    </w:p>
    <w:p w14:paraId="0B566459">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 xml:space="preserve">(五) </w:t>
      </w:r>
      <w:r>
        <w:rPr>
          <w:rFonts w:hint="eastAsia" w:ascii="仿宋_GB2312" w:hAnsi="宋体" w:eastAsia="仿宋_GB2312" w:cs="宋体"/>
          <w:kern w:val="0"/>
          <w:sz w:val="30"/>
          <w:szCs w:val="30"/>
        </w:rPr>
        <w:t>在标的债券发生违约、债券本息兑付面临重要风险或其他事件致使标的债券价值明显减少时，配合债券借入方完成解除部分质押券质押、变更质押券或提前终止债券借贷业务；</w:t>
      </w:r>
    </w:p>
    <w:p w14:paraId="289742C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（六）上交所、中国结算规定或者借贷双方约定的其他义务。</w:t>
      </w:r>
    </w:p>
    <w:p w14:paraId="13C1894B">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借贷双方通过上交所交易系统进行申报、上交所交易系统确认后生成的成交记录，是借贷双方协商一致达成的协议，借贷双方同意履行协议约定的义务。</w:t>
      </w:r>
    </w:p>
    <w:p w14:paraId="233BEC06">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质押券在质权存续期间，借贷双方同意就质押券孳息及附属权利作出以下约定：</w:t>
      </w:r>
    </w:p>
    <w:p w14:paraId="43FA170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入方收取质押券利息、分期偿还或分期摊还的本金和利息（不含最后一期）。若债券借入方发生本主协议第二十四条第（一）项约定的违约事件，债券借出方可单方面申请将债券借入方尚未收取的上述资金一并质押（质押券已被司法冻结的除外）。</w:t>
      </w:r>
    </w:p>
    <w:p w14:paraId="174A5B8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（二）质押券提前赎回或到期兑付的，债券借入方应收的质押券赎回款或兑付资金（含最后一期利息）一并质押，其担保价值由借贷双方自行计算。</w:t>
      </w:r>
    </w:p>
    <w:p w14:paraId="74BF88D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（三）质押券含回售、转股、换股等条款的，并且债券借入方需要行使回售、转股、换股等权利的，债券借入方须与债券借出方协商一致，将质押券解除质押再行使回售、转股、换股等权利。</w:t>
      </w:r>
    </w:p>
    <w:p w14:paraId="008BBB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737D4BAD">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发生违约、债券本息兑付面临重要风险或其他事件致使质押券价值明显减少，足以危害债券借出方权利的，债券借出方有权要求债券借入方补充、变更相应的质押券或提供其他相应担保。借贷双方可以在补充协议或申报补充约定中约定补充、变更质押券的触发情形及时限。债券借入方不予补充、变更质押券或提供其他担保的，债券借出方可以提前终止债券借贷协议，并按照本主协议第二十九条的约定进行处置。</w:t>
      </w:r>
    </w:p>
    <w:p w14:paraId="71BCDE6A">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标的债券在债券借贷存续期间，借贷双方同意就标的债券孳息及附属权利作出以下约定：</w:t>
      </w:r>
    </w:p>
    <w:p w14:paraId="2792308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（一）债券借出方收取标的债券利息、分期偿还或分期摊还的本金和利息，债券借入方应当在标的债券兑息或兑付当日或收到债券本金和利息当日将收到的本金和利息总额划付至债券借出方账户。</w:t>
      </w:r>
    </w:p>
    <w:p w14:paraId="20E6CE8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（二）标的债券提前赎回的，标的债券赎回款一并划付至债券借出方账户，债券借贷提前终止。</w:t>
      </w:r>
    </w:p>
    <w:p w14:paraId="713556F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标的债券含回售、转股、换股等条款的，若借贷双方未进行过额外约定，债券借入方可行使相应权利。若债券借出方需要行使回售、转股、换股等权利的，债券借出方须与债券借入方协商一致提前终止债券借贷，收到归还的标的债券后再行使回售、转股、换股等权利。</w:t>
      </w:r>
    </w:p>
    <w:p w14:paraId="4CB29D7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2DA6A209">
      <w:pPr>
        <w:pStyle w:val="92"/>
        <w:widowControl w:val="0"/>
        <w:numPr>
          <w:ilvl w:val="0"/>
          <w:numId w:val="27"/>
        </w:numPr>
        <w:spacing w:line="560" w:lineRule="exact"/>
        <w:ind w:left="0" w:firstLine="600" w:firstLineChars="200"/>
        <w:contextualSpacing w:val="0"/>
        <w:jc w:val="both"/>
        <w:rPr>
          <w:rFonts w:ascii="仿宋_GB2312" w:hAnsi="Calibri" w:eastAsia="仿宋_GB2312"/>
          <w:kern w:val="2"/>
          <w:sz w:val="30"/>
          <w:szCs w:val="30"/>
          <w:lang w:eastAsia="zh-CN"/>
        </w:rPr>
      </w:pPr>
      <w:r>
        <w:rPr>
          <w:rFonts w:hint="eastAsia" w:ascii="仿宋_GB2312" w:hAnsi="宋体" w:eastAsia="仿宋_GB2312" w:cs="宋体"/>
          <w:sz w:val="30"/>
          <w:szCs w:val="30"/>
          <w:lang w:eastAsia="zh-CN"/>
        </w:rPr>
        <w:t>标的债券在债券借贷存续期间，发生违约、债券本息兑付面临重要风险或其他事件致使标的债券价值明显减少，足以危害</w:t>
      </w:r>
      <w:r>
        <w:rPr>
          <w:rFonts w:hint="eastAsia" w:ascii="仿宋_GB2312" w:eastAsia="仿宋_GB2312"/>
          <w:sz w:val="30"/>
          <w:szCs w:val="30"/>
          <w:lang w:eastAsia="zh-CN"/>
        </w:rPr>
        <w:t>债券借入方</w:t>
      </w:r>
      <w:r>
        <w:rPr>
          <w:rFonts w:hint="eastAsia" w:ascii="仿宋_GB2312" w:hAnsi="宋体" w:eastAsia="仿宋_GB2312" w:cs="宋体"/>
          <w:sz w:val="30"/>
          <w:szCs w:val="30"/>
          <w:lang w:eastAsia="zh-CN"/>
        </w:rPr>
        <w:t>权利的，</w:t>
      </w:r>
      <w:r>
        <w:rPr>
          <w:rFonts w:hint="eastAsia" w:ascii="仿宋_GB2312" w:eastAsia="仿宋_GB2312"/>
          <w:sz w:val="30"/>
          <w:szCs w:val="30"/>
          <w:lang w:eastAsia="zh-CN"/>
        </w:rPr>
        <w:t>债券借入方与债券借出方协商</w:t>
      </w:r>
      <w:r>
        <w:rPr>
          <w:rFonts w:hint="eastAsia" w:ascii="仿宋_GB2312" w:hAnsi="Calibri" w:eastAsia="仿宋_GB2312"/>
          <w:kern w:val="2"/>
          <w:sz w:val="30"/>
          <w:szCs w:val="30"/>
          <w:lang w:eastAsia="zh-CN"/>
        </w:rPr>
        <w:t>一致，可解除部分质押券质押、变更质押券或提前终止债券借贷。借贷双方可以在补充协议或申报补充约定中约定解除部分质押券质押、变更质押券或提前终止债券借贷的触发情形及时限。</w:t>
      </w:r>
    </w:p>
    <w:p w14:paraId="0F9C11B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债券借贷存续期间发生以下情形的，视为异常情况：</w:t>
      </w:r>
    </w:p>
    <w:p w14:paraId="54E6447C">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（一）借贷双方证券账户或资金账户被有权机关冻结或强制执行；</w:t>
      </w:r>
    </w:p>
    <w:p w14:paraId="43052BB4">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（二）标的债券或者质押券被上交所终止上市或者终止转让；</w:t>
      </w:r>
    </w:p>
    <w:p w14:paraId="480EAF93">
      <w:pPr>
        <w:spacing w:line="560" w:lineRule="exact"/>
        <w:ind w:left="149" w:leftChars="71"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（三）经纪客户所在的证券公司进入风险处置、终止清算、破产程序；</w:t>
      </w:r>
    </w:p>
    <w:p w14:paraId="4BBA973F">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（四）债券借贷存续期内，履行本主协议义务的债券借贷任何一方发生虽不导致违约但可能影响其主体资格实质变化的事件或主体资格已经实质变化，或将本主协议下的义务拟转由他方履行等；</w:t>
      </w:r>
    </w:p>
    <w:p w14:paraId="0C8DE3E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（五）借贷双方认定的其他异常情况。</w:t>
      </w:r>
    </w:p>
    <w:p w14:paraId="18A3187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发生异常情况的，债券借贷一方应当在异常情况可能发生、已经发生或获知异常情况可能发生、已经发生后及时通知对方</w:t>
      </w:r>
      <w:bookmarkStart w:id="3501" w:name="OLE_LINK19"/>
      <w:bookmarkStart w:id="3502" w:name="OLE_LINK16"/>
      <w:r>
        <w:rPr>
          <w:rFonts w:hint="eastAsia" w:ascii="仿宋_GB2312" w:hAnsi="宋体" w:eastAsia="仿宋_GB2312" w:cs="宋体"/>
          <w:kern w:val="0"/>
          <w:sz w:val="30"/>
          <w:szCs w:val="30"/>
        </w:rPr>
        <w:t>，并及时协商解决</w:t>
      </w:r>
      <w:bookmarkEnd w:id="3501"/>
      <w:bookmarkEnd w:id="3502"/>
      <w:r>
        <w:rPr>
          <w:rFonts w:hint="eastAsia" w:ascii="仿宋_GB2312" w:hAnsi="宋体" w:eastAsia="仿宋_GB2312" w:cs="宋体"/>
          <w:kern w:val="0"/>
          <w:sz w:val="30"/>
          <w:szCs w:val="30"/>
        </w:rPr>
        <w:t>。借贷双方可以在协商一致后，采取继续履约、提前终止、变更质押券或双方协商的其他方式进行处理。借贷双方对异常情况处理另有约定的，从其约定。</w:t>
      </w:r>
    </w:p>
    <w:p w14:paraId="09BDD5B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下列事件构成债券借贷一方在本主协议下的违约事件：</w:t>
      </w:r>
    </w:p>
    <w:p w14:paraId="0CA3850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在一笔债券借贷项下，债券借贷一方或其委托的主体未履行支付或交付义务，或未按照相关约定的要求发出或接受有关申报及结算指令。涉及到的支付或交付义务及相关申报及结算指令包括但不限于以下情形：</w:t>
      </w:r>
    </w:p>
    <w:p w14:paraId="1EB1B038">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1.首期结算日，债券借出方未按合同约定提供足额标的债券用于结算，债券借出方违约；债券借入方未按合同约定提供足额质押券用于结算，债券借入方违约。</w:t>
      </w:r>
    </w:p>
    <w:p w14:paraId="6FCB09A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2.到期结算日，债券借入方未按合同约定进行到期申报，或没有足额标的债券用于结算，或没有足额资金用于结算借贷费用、现金结算、部分现金结算，债券借入方违约。</w:t>
      </w:r>
    </w:p>
    <w:p w14:paraId="21606B7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债券借贷存续期内，质押券发生违约、债券本息兑付面临重要风险或其他事件致使质押券价值明显减少，足以危害债券借出方权利的，债券借入方未按照债券借出方要求及时置换或补充质押券，债券借入方违约。</w:t>
      </w:r>
    </w:p>
    <w:p w14:paraId="1CB72D70">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4.债券借贷存续期内，标的债券发生付息、分期偿还、分期摊还的，债券借入方未及时向债券借出方返还相应资金，债券借入方违约。</w:t>
      </w:r>
    </w:p>
    <w:p w14:paraId="226C043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5.债券借贷存续期内，标的债券发生违约、债券本息兑付面临重要风险或其他事件致使标的债券价值明显减少，债券借出方不同意解除部分质押债券质押、变更质押债券或提前终止，债券借出方违约。</w:t>
      </w:r>
    </w:p>
    <w:p w14:paraId="41D75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6.对于提前终止申报，债券借入方未按合同约定进行提前终止申报，或没有足额标的债券用于归还债券借出方，或没有足额资金用于结算借贷费用、现金结算、部分现金结算，债券借入方违约。</w:t>
      </w:r>
    </w:p>
    <w:p w14:paraId="59F2611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（二）债券借贷一方对本主协议的有效性予以否认，或对本主协议下的全部或部分义务明示将拒绝履行。</w:t>
      </w:r>
    </w:p>
    <w:p w14:paraId="6E9E20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（三）债券借贷一方在本主协议下做出的某项声明与保证被证实存在实质性的不实陈述、误导或重大遗漏。</w:t>
      </w:r>
    </w:p>
    <w:p w14:paraId="0EFADDB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债券借贷一方发生分立后仍然存续，或与另一实体联合、合并或重组，或把其实质性资产转移到另一实体的情况下，该最终存续、承继或受让的实体未能履行或明示将不履行前述债券借贷一方在本主协议下的义务。</w:t>
      </w:r>
    </w:p>
    <w:p w14:paraId="1C7F6A9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（五）债券借贷一方发生下列任一情形的，构成该借贷方对对方的违约事件：</w:t>
      </w:r>
    </w:p>
    <w:p w14:paraId="4D5CDD17">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1.解散且解散前未履行本主协议下的义务或未与对方协商一致对履行本协议下的义务作出合理安排（出于联合、合并或重组目的而发生的解散且承继方承诺履行本主协议下的义务除外）；</w:t>
      </w:r>
    </w:p>
    <w:p w14:paraId="68FE79CF">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2.不能清偿非本主协议下到期债务，并且资产不足以清偿全部债务或明显缺乏清偿能力；</w:t>
      </w:r>
    </w:p>
    <w:p w14:paraId="166C9CE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3.书面承认无力偿还到期各项债务；</w:t>
      </w:r>
    </w:p>
    <w:p w14:paraId="44948EA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4.为非本主协议下的债权人利益就其全部或实质性资产达成转让协议或清偿安排，或就其非本主协议下的全部或大部分债务的清偿事宜与债权人做出安排或达成和解协议；</w:t>
      </w:r>
    </w:p>
    <w:p w14:paraId="6B60324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5.自身或其监管部门启动针对其的接管、破产、清算等行政或司法程序；或其债权人启动针对其的接管、破产、清算等行政或司法程序，导致其被依法宣告破产、停业、清算或被接管，或上述程序在启动后30个自然日内未被驳回、撤销、中止或禁止的；</w:t>
      </w:r>
    </w:p>
    <w:p w14:paraId="09B2F3F3">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6.通过其停业、清算或申请破产的决议且在此之前未履行本主协议下的义务或未与对方协商一致对履行本协议下的义务作出合理安排；</w:t>
      </w:r>
    </w:p>
    <w:p w14:paraId="6F9D8ADD">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7.就自身或自身的全部或大部分资产寻求任命临时清算人、托管人、受托人、接管人或其他类似人员或被任命了任何前述人员；</w:t>
      </w:r>
    </w:p>
    <w:p w14:paraId="040310C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8.非本主协议下债权人作为担保物权人采取行动取得了其全部或大部分资产，或使其全部或实质部分资产被查封、扣押、冻结、或强制执行，且上述情形在30个自然日内未被相关有权机关撤销或中止；</w:t>
      </w:r>
    </w:p>
    <w:p w14:paraId="1407470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9.参与债券借贷的理财产品被提前终止、清盘或发生类似事件，且发生该类事件前未履行本主协议下的义务或未与对方协商一致对履行本协议下的义务作出合理安排；</w:t>
      </w:r>
    </w:p>
    <w:p w14:paraId="67349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10.其他任何与本项第1项至第9项有类似效果，导致债券借贷一方无法继续履约的事件。</w:t>
      </w:r>
    </w:p>
    <w:p w14:paraId="1F4ABD7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借贷双方对违约事件另有约定的，从其约定。</w:t>
      </w:r>
    </w:p>
    <w:p w14:paraId="2322602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借贷双方中任何一方发生违约事件，应当及时通知对方，并可以采取下列方式处理：</w:t>
      </w:r>
    </w:p>
    <w:p w14:paraId="02B47F9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（一）守约方可以要求违约方继续履行债券借贷协议、单方面终止债券借贷协议、按照债券借贷协议约定向违约方收取违约金；</w:t>
      </w:r>
    </w:p>
    <w:p w14:paraId="616BC20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（二）债券借入方违约的，债券借出方可以按照债券借贷协议的约定处置质押券；</w:t>
      </w:r>
    </w:p>
    <w:p w14:paraId="76D6F67B">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（三）可以按照相关法律法规等规定提交上海国际经济贸易仲裁委员会仲裁或向人民法院提起诉讼。</w:t>
      </w:r>
    </w:p>
    <w:p w14:paraId="4A7BB068">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借贷双方对违约处置方式等协商一致并另有约定的，从其约定。</w:t>
      </w:r>
    </w:p>
    <w:p w14:paraId="756E880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借贷双方可以在补充协议、申报补充约定中对违约金的金额、计算方式等自行约定。双方已约定违约金相关事项的，按照约定执行；未约定违约金相关事项的，守约方可以按照以下条款向违约方收取违约金：</w:t>
      </w:r>
    </w:p>
    <w:p w14:paraId="36572CA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（一）对于债券借贷结算，借贷一方</w:t>
      </w:r>
      <w:bookmarkStart w:id="3503" w:name="OLE_LINK67"/>
      <w:bookmarkStart w:id="3504" w:name="OLE_LINK68"/>
      <w:r>
        <w:rPr>
          <w:rFonts w:hint="eastAsia" w:ascii="仿宋_GB2312" w:hAnsi="宋体" w:eastAsia="仿宋_GB2312" w:cs="宋体"/>
          <w:sz w:val="30"/>
          <w:szCs w:val="30"/>
        </w:rPr>
        <w:t>违约的</w:t>
      </w:r>
      <w:bookmarkEnd w:id="3503"/>
      <w:bookmarkEnd w:id="3504"/>
      <w:r>
        <w:rPr>
          <w:rFonts w:hint="eastAsia" w:ascii="仿宋_GB2312" w:hAnsi="宋体" w:eastAsia="仿宋_GB2312" w:cs="宋体"/>
          <w:sz w:val="30"/>
          <w:szCs w:val="30"/>
        </w:rPr>
        <w:t>，违约方自债券借贷违约日起（含）3个交易日内，按照罚息利率以标的债券总面额为基数向对方支付一天罚息。双方均存在违约行为的，可以互不承担违约责任。</w:t>
      </w:r>
    </w:p>
    <w:p w14:paraId="528ED1E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（二）对于到期结算，</w:t>
      </w:r>
      <w:bookmarkStart w:id="3505" w:name="OLE_LINK69"/>
      <w:r>
        <w:rPr>
          <w:rFonts w:hint="eastAsia" w:ascii="仿宋_GB2312" w:hAnsi="宋体" w:eastAsia="仿宋_GB2312" w:cs="宋体"/>
          <w:sz w:val="30"/>
          <w:szCs w:val="30"/>
        </w:rPr>
        <w:t>债券借入方违约的</w:t>
      </w:r>
      <w:bookmarkEnd w:id="3505"/>
      <w:r>
        <w:rPr>
          <w:rFonts w:hint="eastAsia" w:ascii="仿宋_GB2312" w:hAnsi="宋体" w:eastAsia="仿宋_GB2312" w:cs="宋体"/>
          <w:sz w:val="30"/>
          <w:szCs w:val="30"/>
        </w:rPr>
        <w:t>，债券借入方按照借贷费用延迟支付天数，除按照借贷费率以标的债券总面额为基数向债券借出方支付借贷费用外，还需按照罚息利率以标的债券总面额为基数向债券借出方支付罚息。</w:t>
      </w:r>
    </w:p>
    <w:p w14:paraId="7BFC119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三）对于提前终止申报，债券借入方违约的，债券借入方按照借贷费用延迟支付天数，除按照提前终止时约定的借贷费率以债券借贷标的债券总面额为基数向债券借出方支付借贷费用外，还需按照罚息利率以债券借贷标的债券总面额为基数向债券借出方支付罚息。</w:t>
      </w:r>
    </w:p>
    <w:p w14:paraId="24111533">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罚息按借贷双方在补充协议、申报补充约定中约定的罚息利率计算。若借贷双方未在补充协议、申报补充约定中约定罚息利率，则罚息利率按日利率万分之二计算。</w:t>
      </w:r>
    </w:p>
    <w:p w14:paraId="2E1FE44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在前述任何违约情况下，如果由于守约方或违约方单方原因迟延解除相关债券的质押登记或返还标的债券，并且前述债券在到期结算日（如遇非交易日，则顺延至下一交易日）的市场公允价值减去其在实际解除质押登记或返还之日的市场公允价值的差额超出违约金，则违约方应当就前述超出部分予以全部补偿。此处市场公允价值是指中证指数有限公司或中央国债登记结算有限责任公司发布的债券估值（以下简称中证估值或中债估值），下同。</w:t>
      </w:r>
    </w:p>
    <w:p w14:paraId="274A527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出现下列情形时，债券借出方有权直接对债券借贷项下的质押券进行处置。</w:t>
      </w:r>
    </w:p>
    <w:p w14:paraId="169AE3F5">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（一）发生本主协议第二十条约定情形；</w:t>
      </w:r>
    </w:p>
    <w:p w14:paraId="7E3BC25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（二）债券借入方发生本主协议第二十四条第（一）项约定的违约事件。</w:t>
      </w:r>
    </w:p>
    <w:p w14:paraId="03ACFAD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债券借出方在发生上述情形时起30个自然日后，可以直接以拍卖、变卖质押券所得的价款清偿债务。借贷双方在发生上述情形时起30个自然日内协商一致并另行约定的，从其约定。</w:t>
      </w:r>
    </w:p>
    <w:p w14:paraId="4534E57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rPr>
      </w:pPr>
      <w:r>
        <w:rPr>
          <w:rFonts w:hint="eastAsia" w:ascii="仿宋_GB2312" w:hAnsi="宋体" w:eastAsia="仿宋_GB2312" w:cs="宋体"/>
          <w:sz w:val="30"/>
          <w:szCs w:val="30"/>
          <w:lang w:eastAsia="zh-CN"/>
        </w:rPr>
        <w:t>债券借出方拍卖、变卖质押券的，参照质押券在上交所债券市场交易收盘价、中证估值或中债估值和市场需求，确定拍卖底价和变卖价格，通过上交所债券担保品处置平台或其他方式拍卖、变卖。</w:t>
      </w:r>
      <w:r>
        <w:rPr>
          <w:rFonts w:hint="eastAsia" w:ascii="仿宋_GB2312" w:hAnsi="宋体" w:eastAsia="仿宋_GB2312" w:cs="宋体"/>
          <w:sz w:val="30"/>
          <w:szCs w:val="30"/>
        </w:rPr>
        <w:t>处置所得价款以拍卖、变卖的成交金额为准。</w:t>
      </w:r>
    </w:p>
    <w:p w14:paraId="5180B814">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后，被拍卖、变卖的质押券解除质押登记并办理过户，所有权转移至拍卖、变卖的受让人；多余的未被拍卖、变卖的质押券解除质押登记。拍卖、变卖质押券所得价款扣除拍卖、变卖费用后，用于清偿债券借出方应当收取的罚息、借贷费用和借贷到期债券偿还价值，清偿之后如有价款余额应当退还债券借入方。拍卖、变卖质押券所得价款扣除拍卖、变卖费用后不足以清偿债务的，不足部分债券借出方继续向债券借入方进行追索。追索费用由违约方承担，包括但不限于守约方采取诉讼、仲裁等方式向违约方追索时支付的诉讼（仲裁）费、律师费、差旅费、执行费、保全费及其他实现权利的必要费用。</w:t>
      </w:r>
    </w:p>
    <w:p w14:paraId="0047A7D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标的债券的偿还价值，由借贷双方协商决定，在发生违约后30个自然日内协商不成的，债券借出方可以选择标的债券在到期结算日的市场公允价值作为偿还价值。若标的债券在到期结算日后的第30个自然日（如遇非交易日，则顺延至下一交易日）的市场公允价值减去在到期结算日（如遇非交易日，则顺延至下一交易日）的市场公允价值的差额超出违约金，则债券借入方应当就前述超出部分予以全部补偿。</w:t>
      </w:r>
    </w:p>
    <w:p w14:paraId="47B46588">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借贷双方在申报中约定发生违约时借贷到期债券偿还价值的，在发生上述拍卖、变卖质押券时，按约定价值计算借贷到期债券偿还价值。</w:t>
      </w:r>
    </w:p>
    <w:p w14:paraId="754C8652">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债券借出方拍卖、变卖质押券过程中，债券借入方提出参与质押券拍卖、变卖过程的，债券借出方应当允许。</w:t>
      </w:r>
    </w:p>
    <w:p w14:paraId="6C33DB4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拍卖、变卖质押券价格，拍卖、变卖价款清偿的债务构成及金额，质押券解除质押登记和过户安排，应当退还债券借入方的价款，质押券拍卖、变卖后不足以清偿债务的金额及继续追索要求等拍卖、变卖过程，书面通知债券借入方。</w:t>
      </w:r>
    </w:p>
    <w:p w14:paraId="675CF7E2">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债券借出方拍卖、变卖质押券后，应当将处置结果书面报告上交所，上交所对处置结果确认后发送中国结算，由中国结算办理标的债券过户、相关质押券解除质押登记、处置过户等手续。</w:t>
      </w:r>
    </w:p>
    <w:p w14:paraId="03B40471">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发生国家节假日临时调整、不可抗力、意外事件、技术故障等突发性事件，导致证券市场临时停市或上交所交易系统、中国结算的结算系统无法正常运行的，借贷双方同意上交所、中国结算根据相关事件的处置方案，对涉及本方的债券借贷业务的申报、结算进行取消、延后等处理，由此所造成的损失，上交所和中国结算不承担法律责任。</w:t>
      </w:r>
    </w:p>
    <w:p w14:paraId="0D00A0B9">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借贷双方同意，债券借贷适用中华人民共和国法律及相关规定，本主协议根据中华人民共和国法律解释。</w:t>
      </w:r>
    </w:p>
    <w:p w14:paraId="6E07DA6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本主协议下的争议经协商无法解决的，借贷双方同意将争议提交上海国际经济贸易仲裁委员会仲裁。借贷双方对争议解决方式另有约定的，从其约定。</w:t>
      </w:r>
    </w:p>
    <w:p w14:paraId="222FE238">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本主协议为开放式协议，签署后在各签署人之间生效。</w:t>
      </w:r>
    </w:p>
    <w:p w14:paraId="2A3F8C3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提供书面及电子两种签署方式。签署电子协议需通过上交所颁布的数字证书安全及身份认证。债券借贷双方均认可电子签署协议的法律效力，认可电子签署的协议作为债券借贷各方的真实意思表示，具有与书面文件同等的法律效力。</w:t>
      </w:r>
    </w:p>
    <w:p w14:paraId="2C3F1C2D">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关于本主协议的签署人，法人机构由法定代表人或授权代理人签署；证券投资基金、银行理财产品等非法人产品由其管理人的法定代表人或授权代理人统一签署。同一个管理人管理的多只非法人产品，仅需由管理人统一签署一份主协议，无需分别签署主协议。</w:t>
      </w:r>
    </w:p>
    <w:p w14:paraId="3B62543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债券交易参与人以书面方式签署的，协议原件由签署人留存，扫描件提交至上交所。证券公司经纪客户以书面方式签署的，一式两份，一份由签署人留存，一份由所在证券公司留存备查。</w:t>
      </w:r>
    </w:p>
    <w:p w14:paraId="68B3D73B">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214E5304">
      <w:pPr>
        <w:pStyle w:val="92"/>
        <w:spacing w:line="560" w:lineRule="exact"/>
        <w:ind w:firstLine="600"/>
        <w:rPr>
          <w:rFonts w:ascii="仿宋_GB2312" w:hAnsi="宋体" w:eastAsia="仿宋_GB2312" w:cs="宋体"/>
          <w:sz w:val="30"/>
          <w:szCs w:val="30"/>
          <w:lang w:eastAsia="zh-CN"/>
        </w:rPr>
      </w:pPr>
    </w:p>
    <w:p w14:paraId="06B8B8D0">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本页为签署页（法人机构适用）</w:t>
      </w:r>
    </w:p>
    <w:p w14:paraId="61F81CED">
      <w:pPr>
        <w:pStyle w:val="92"/>
        <w:spacing w:line="560" w:lineRule="exact"/>
        <w:ind w:firstLine="600"/>
        <w:rPr>
          <w:rFonts w:ascii="仿宋_GB2312" w:hAnsi="宋体" w:eastAsia="仿宋_GB2312" w:cs="宋体"/>
          <w:sz w:val="30"/>
          <w:szCs w:val="30"/>
          <w:lang w:eastAsia="zh-CN"/>
        </w:rPr>
      </w:pPr>
      <w:bookmarkStart w:id="3506" w:name="_Toc162421583"/>
      <w:bookmarkStart w:id="3507" w:name="_Toc162343578"/>
    </w:p>
    <w:bookmarkEnd w:id="3506"/>
    <w:bookmarkEnd w:id="3507"/>
    <w:p w14:paraId="3A954DEB">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签署人名称：</w:t>
      </w:r>
    </w:p>
    <w:p w14:paraId="4AF72882">
      <w:pPr>
        <w:pStyle w:val="92"/>
        <w:spacing w:line="560" w:lineRule="exact"/>
        <w:ind w:firstLine="600"/>
        <w:rPr>
          <w:rFonts w:ascii="仿宋_GB2312" w:hAnsi="宋体" w:eastAsia="仿宋_GB2312" w:cs="宋体"/>
          <w:sz w:val="30"/>
          <w:szCs w:val="30"/>
          <w:lang w:eastAsia="zh-CN"/>
        </w:rPr>
      </w:pPr>
    </w:p>
    <w:p w14:paraId="02EC4DDF">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单位公章（机构适用）：</w:t>
      </w:r>
    </w:p>
    <w:p w14:paraId="1EF024B7">
      <w:pPr>
        <w:pStyle w:val="92"/>
        <w:spacing w:line="560" w:lineRule="exact"/>
        <w:ind w:firstLine="600"/>
        <w:rPr>
          <w:rFonts w:ascii="仿宋_GB2312" w:hAnsi="宋体" w:eastAsia="仿宋_GB2312" w:cs="宋体"/>
          <w:sz w:val="30"/>
          <w:szCs w:val="30"/>
          <w:lang w:eastAsia="zh-CN"/>
        </w:rPr>
      </w:pPr>
    </w:p>
    <w:p w14:paraId="18F288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法定代表人或授权代理人签字（机构适用）：</w:t>
      </w:r>
    </w:p>
    <w:p w14:paraId="5119FB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联系人：</w:t>
      </w:r>
    </w:p>
    <w:p w14:paraId="7D0D0E1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28AA35C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1507ABB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424A0C76">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3D8D4FFE">
      <w:pPr>
        <w:pStyle w:val="92"/>
        <w:spacing w:line="560" w:lineRule="exact"/>
        <w:ind w:left="600" w:firstLine="0"/>
        <w:rPr>
          <w:rFonts w:ascii="仿宋_GB2312" w:hAnsi="宋体" w:eastAsia="仿宋_GB2312" w:cs="宋体"/>
          <w:bCs/>
          <w:sz w:val="30"/>
          <w:szCs w:val="30"/>
          <w:lang w:eastAsia="zh-CN"/>
        </w:rPr>
      </w:pPr>
    </w:p>
    <w:p w14:paraId="1FC8C39A">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本页为签署页（非法人产品适用）</w:t>
      </w:r>
    </w:p>
    <w:p w14:paraId="48CCE0A2">
      <w:pPr>
        <w:pStyle w:val="92"/>
        <w:spacing w:line="560" w:lineRule="exact"/>
        <w:ind w:firstLine="600"/>
        <w:rPr>
          <w:rFonts w:ascii="仿宋_GB2312" w:hAnsi="宋体" w:eastAsia="仿宋_GB2312" w:cs="宋体"/>
          <w:sz w:val="30"/>
          <w:szCs w:val="30"/>
          <w:lang w:eastAsia="zh-CN"/>
        </w:rPr>
      </w:pPr>
    </w:p>
    <w:p w14:paraId="0EE2B1F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非法人产品全称：</w:t>
      </w:r>
    </w:p>
    <w:p w14:paraId="53B95B2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托管人名称：</w:t>
      </w:r>
    </w:p>
    <w:p w14:paraId="2CAE793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管理人名称：</w:t>
      </w:r>
    </w:p>
    <w:p w14:paraId="34BC7EA1">
      <w:pPr>
        <w:pStyle w:val="92"/>
        <w:spacing w:line="560" w:lineRule="exact"/>
        <w:ind w:firstLine="600"/>
        <w:rPr>
          <w:rFonts w:ascii="仿宋_GB2312" w:hAnsi="宋体" w:eastAsia="仿宋_GB2312" w:cs="宋体"/>
          <w:sz w:val="30"/>
          <w:szCs w:val="30"/>
          <w:lang w:eastAsia="zh-CN"/>
        </w:rPr>
      </w:pPr>
    </w:p>
    <w:p w14:paraId="11E498E3">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管理人公章：</w:t>
      </w:r>
    </w:p>
    <w:p w14:paraId="60F92745">
      <w:pPr>
        <w:pStyle w:val="92"/>
        <w:spacing w:line="560" w:lineRule="exact"/>
        <w:ind w:firstLine="600"/>
        <w:rPr>
          <w:rFonts w:ascii="仿宋_GB2312" w:hAnsi="宋体" w:eastAsia="仿宋_GB2312" w:cs="宋体"/>
          <w:sz w:val="30"/>
          <w:szCs w:val="30"/>
          <w:lang w:eastAsia="zh-CN"/>
        </w:rPr>
      </w:pPr>
    </w:p>
    <w:p w14:paraId="62C7D59E">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管理人的法定代表人或授权代理人签字：</w:t>
      </w:r>
    </w:p>
    <w:p w14:paraId="150DBF0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管理人的联系人：</w:t>
      </w:r>
    </w:p>
    <w:p w14:paraId="48E1C016">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03ACB02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21A182A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2C208509">
      <w:pPr>
        <w:pStyle w:val="92"/>
        <w:spacing w:line="560" w:lineRule="exact"/>
        <w:ind w:firstLine="600"/>
        <w:rPr>
          <w:rFonts w:ascii="仿宋_GB2312" w:hAnsi="宋体" w:eastAsia="仿宋_GB2312" w:cs="宋体"/>
          <w:sz w:val="30"/>
          <w:szCs w:val="30"/>
          <w:lang w:eastAsia="zh-CN"/>
        </w:rPr>
      </w:pPr>
    </w:p>
    <w:p w14:paraId="4A417D50">
      <w:pPr>
        <w:ind w:firstLine="1500" w:firstLineChars="500"/>
        <w:jc w:val="left"/>
        <w:rPr>
          <w:rFonts w:ascii="仿宋_GB2312" w:hAnsi="宋体" w:eastAsia="仿宋_GB2312"/>
          <w:sz w:val="30"/>
          <w:szCs w:val="30"/>
        </w:rPr>
      </w:pPr>
    </w:p>
    <w:p w14:paraId="098F793D">
      <w:pPr>
        <w:widowControl/>
        <w:jc w:val="left"/>
        <w:rPr>
          <w:rFonts w:ascii="仿宋_GB2312" w:hAnsi="宋体" w:eastAsia="仿宋_GB2312"/>
          <w:sz w:val="30"/>
          <w:szCs w:val="30"/>
        </w:rPr>
      </w:pPr>
    </w:p>
    <w:p w14:paraId="3A7811F2">
      <w:pPr>
        <w:spacing w:line="560" w:lineRule="exact"/>
        <w:ind w:firstLine="600" w:firstLineChars="200"/>
        <w:rPr>
          <w:rFonts w:ascii="仿宋_GB2312" w:hAnsi="Calibri" w:eastAsia="仿宋_GB2312"/>
          <w:sz w:val="30"/>
          <w:szCs w:val="30"/>
        </w:rPr>
      </w:pPr>
    </w:p>
    <w:p w14:paraId="1C5D453E">
      <w:pPr>
        <w:spacing w:line="560" w:lineRule="exact"/>
        <w:ind w:firstLine="600" w:firstLineChars="200"/>
        <w:rPr>
          <w:rFonts w:ascii="仿宋_GB2312" w:hAnsi="Calibri" w:eastAsia="仿宋_GB2312"/>
          <w:sz w:val="30"/>
          <w:szCs w:val="30"/>
        </w:rPr>
      </w:pPr>
    </w:p>
    <w:p w14:paraId="4A467395">
      <w:pPr>
        <w:widowControl/>
        <w:jc w:val="left"/>
        <w:rPr>
          <w:rFonts w:ascii="仿宋_GB2312" w:hAnsi="宋体" w:eastAsia="仿宋_GB2312"/>
          <w:sz w:val="30"/>
          <w:szCs w:val="30"/>
        </w:rPr>
      </w:pPr>
    </w:p>
    <w:p w14:paraId="4C35CFE5">
      <w:pPr>
        <w:spacing w:line="560" w:lineRule="exact"/>
        <w:ind w:firstLine="600" w:firstLineChars="200"/>
        <w:rPr>
          <w:rFonts w:ascii="仿宋_GB2312" w:hAnsi="Calibri" w:eastAsia="仿宋_GB2312"/>
          <w:sz w:val="30"/>
          <w:szCs w:val="30"/>
        </w:rPr>
      </w:pPr>
    </w:p>
    <w:p w14:paraId="62ACDC4D">
      <w:pPr>
        <w:spacing w:line="560" w:lineRule="exact"/>
        <w:ind w:firstLine="600" w:firstLineChars="200"/>
        <w:rPr>
          <w:rFonts w:ascii="仿宋_GB2312" w:hAnsi="Calibri" w:eastAsia="仿宋_GB2312"/>
          <w:sz w:val="30"/>
          <w:szCs w:val="30"/>
        </w:rPr>
      </w:pPr>
    </w:p>
    <w:p w14:paraId="58EAD767">
      <w:pPr>
        <w:spacing w:line="560" w:lineRule="exact"/>
        <w:ind w:firstLine="600" w:firstLineChars="200"/>
        <w:rPr>
          <w:rFonts w:ascii="仿宋_GB2312" w:hAnsi="Calibri" w:eastAsia="仿宋_GB2312"/>
          <w:sz w:val="30"/>
          <w:szCs w:val="30"/>
        </w:rPr>
      </w:pPr>
    </w:p>
    <w:p w14:paraId="26C78C19">
      <w:pPr>
        <w:spacing w:line="560" w:lineRule="exact"/>
        <w:ind w:firstLine="600" w:firstLineChars="200"/>
        <w:rPr>
          <w:rFonts w:ascii="仿宋_GB2312" w:hAnsi="Calibri" w:eastAsia="仿宋_GB2312"/>
          <w:sz w:val="30"/>
          <w:szCs w:val="30"/>
        </w:rPr>
      </w:pPr>
    </w:p>
    <w:p w14:paraId="3CBFF04C">
      <w:pPr>
        <w:widowControl/>
        <w:jc w:val="left"/>
        <w:outlineLvl w:val="1"/>
        <w:rPr>
          <w:rFonts w:ascii="仿宋_GB2312" w:hAnsi="黑体" w:eastAsia="仿宋_GB2312"/>
          <w:b/>
          <w:sz w:val="30"/>
          <w:szCs w:val="30"/>
        </w:rPr>
      </w:pPr>
      <w:bookmarkStart w:id="3508" w:name="_Toc151137105"/>
      <w:r>
        <w:rPr>
          <w:rFonts w:hint="eastAsia" w:ascii="仿宋_GB2312" w:hAnsi="黑体" w:eastAsia="仿宋_GB2312"/>
          <w:b/>
          <w:sz w:val="30"/>
          <w:szCs w:val="30"/>
        </w:rPr>
        <w:t>附件</w:t>
      </w:r>
      <w:bookmarkStart w:id="3509" w:name="_Toc502767656"/>
      <w:r>
        <w:rPr>
          <w:rFonts w:hint="eastAsia" w:ascii="仿宋_GB2312" w:hAnsi="黑体" w:eastAsia="仿宋_GB2312"/>
          <w:b/>
          <w:sz w:val="30"/>
          <w:szCs w:val="30"/>
        </w:rPr>
        <w:t>22 信用保护合约核心交易商/凭证创设机构资质申请信息表</w:t>
      </w:r>
      <w:bookmarkEnd w:id="3508"/>
    </w:p>
    <w:p w14:paraId="6BDB868B">
      <w:pPr>
        <w:spacing w:line="560" w:lineRule="exact"/>
        <w:ind w:right="150"/>
        <w:jc w:val="center"/>
        <w:rPr>
          <w:rFonts w:ascii="黑体" w:hAnsi="黑体" w:eastAsia="黑体"/>
          <w:b/>
          <w:kern w:val="0"/>
          <w:sz w:val="44"/>
          <w:szCs w:val="44"/>
        </w:rPr>
      </w:pPr>
      <w:r>
        <w:rPr>
          <w:rFonts w:hint="eastAsia" w:ascii="黑体" w:hAnsi="黑体" w:eastAsia="黑体"/>
          <w:b/>
          <w:kern w:val="0"/>
          <w:sz w:val="44"/>
          <w:szCs w:val="44"/>
        </w:rPr>
        <w:t>信用保护合约核心交易商</w:t>
      </w:r>
      <w:r>
        <w:rPr>
          <w:rFonts w:ascii="黑体" w:hAnsi="黑体" w:eastAsia="黑体"/>
          <w:b/>
          <w:kern w:val="0"/>
          <w:sz w:val="44"/>
          <w:szCs w:val="44"/>
        </w:rPr>
        <w:t>/</w:t>
      </w:r>
      <w:r>
        <w:rPr>
          <w:rFonts w:hint="eastAsia" w:ascii="黑体" w:hAnsi="黑体" w:eastAsia="黑体"/>
          <w:b/>
          <w:kern w:val="0"/>
          <w:sz w:val="44"/>
          <w:szCs w:val="44"/>
        </w:rPr>
        <w:t>凭证创设机构资质申请信息表</w:t>
      </w:r>
    </w:p>
    <w:p w14:paraId="3AD1CC35">
      <w:pPr>
        <w:spacing w:line="560" w:lineRule="exact"/>
        <w:rPr>
          <w:rFonts w:eastAsia="仿宋_GB2312"/>
          <w:b/>
          <w:sz w:val="32"/>
          <w:szCs w:val="30"/>
        </w:rPr>
      </w:pPr>
    </w:p>
    <w:p w14:paraId="11CD40A6">
      <w:pPr>
        <w:spacing w:line="560" w:lineRule="exact"/>
        <w:rPr>
          <w:rFonts w:eastAsia="仿宋_GB2312"/>
          <w:sz w:val="30"/>
          <w:szCs w:val="30"/>
        </w:rPr>
      </w:pPr>
      <w:r>
        <w:rPr>
          <w:rFonts w:hint="eastAsia" w:eastAsia="仿宋_GB2312"/>
          <w:sz w:val="30"/>
          <w:szCs w:val="30"/>
        </w:rPr>
        <w:t>上海证券交易所债券业务部：</w:t>
      </w:r>
    </w:p>
    <w:p w14:paraId="2E377388">
      <w:pPr>
        <w:spacing w:line="560" w:lineRule="exact"/>
        <w:ind w:firstLine="600" w:firstLineChars="200"/>
        <w:rPr>
          <w:rFonts w:eastAsia="仿宋_GB2312"/>
          <w:sz w:val="30"/>
          <w:szCs w:val="30"/>
        </w:rPr>
      </w:pPr>
      <w:r>
        <w:rPr>
          <w:rFonts w:hint="eastAsia" w:eastAsia="仿宋_GB2312"/>
          <w:sz w:val="30"/>
          <w:szCs w:val="30"/>
        </w:rPr>
        <w:t>经我公司研究决定，特申请成为信用保护合约核心交易商</w:t>
      </w:r>
      <w:r>
        <w:rPr>
          <w:rFonts w:eastAsia="仿宋_GB2312"/>
          <w:sz w:val="30"/>
          <w:szCs w:val="30"/>
        </w:rPr>
        <w:t>/</w:t>
      </w:r>
      <w:r>
        <w:rPr>
          <w:rFonts w:hint="eastAsia" w:eastAsia="仿宋_GB2312"/>
          <w:sz w:val="30"/>
          <w:szCs w:val="30"/>
        </w:rPr>
        <w:t>凭证创设机构</w:t>
      </w:r>
      <w:bookmarkEnd w:id="3509"/>
      <w:r>
        <w:rPr>
          <w:rFonts w:hint="eastAsia" w:eastAsia="仿宋_GB2312"/>
          <w:sz w:val="30"/>
          <w:szCs w:val="30"/>
        </w:rPr>
        <w:t>。</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446C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50B1E15C">
            <w:pPr>
              <w:spacing w:line="560" w:lineRule="exact"/>
              <w:rPr>
                <w:rFonts w:eastAsia="仿宋_GB2312"/>
                <w:sz w:val="24"/>
                <w:szCs w:val="28"/>
              </w:rPr>
            </w:pPr>
            <w:r>
              <w:rPr>
                <w:rFonts w:hint="eastAsia" w:eastAsia="仿宋_GB2312"/>
                <w:sz w:val="24"/>
                <w:szCs w:val="28"/>
              </w:rPr>
              <w:t>申请人全称：</w:t>
            </w:r>
          </w:p>
        </w:tc>
      </w:tr>
      <w:tr w14:paraId="3FC2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17477D12">
            <w:pPr>
              <w:pStyle w:val="100"/>
              <w:spacing w:line="560" w:lineRule="exact"/>
              <w:ind w:firstLine="360"/>
              <w:jc w:val="both"/>
              <w:rPr>
                <w:rFonts w:ascii="Times New Roman" w:cs="Times New Roman"/>
                <w:bCs/>
                <w:color w:val="auto"/>
                <w:szCs w:val="22"/>
              </w:rPr>
            </w:pPr>
            <w:r>
              <w:rPr>
                <w:rFonts w:hint="eastAsia" w:ascii="Times New Roman"/>
                <w:color w:val="auto"/>
                <w:szCs w:val="28"/>
              </w:rPr>
              <w:t>备案类型：</w:t>
            </w:r>
            <w:r>
              <w:rPr>
                <w:rFonts w:ascii="Times New Roman"/>
                <w:color w:val="auto"/>
                <w:szCs w:val="28"/>
              </w:rPr>
              <w:t xml:space="preserve"> </w:t>
            </w: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（不含CDX业务）</w:t>
            </w:r>
          </w:p>
          <w:p w14:paraId="524FDF0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（含CDX业务）</w:t>
            </w:r>
          </w:p>
          <w:p w14:paraId="6CCB7BE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补充备案CDX业务</w:t>
            </w:r>
          </w:p>
          <w:p w14:paraId="7A09E09D">
            <w:pPr>
              <w:spacing w:line="560" w:lineRule="exact"/>
              <w:ind w:firstLine="1680" w:firstLineChars="700"/>
              <w:rPr>
                <w:rFonts w:eastAsia="仿宋_GB2312"/>
                <w:bCs/>
                <w:sz w:val="24"/>
                <w:szCs w:val="22"/>
              </w:rPr>
            </w:pPr>
            <w:r>
              <w:rPr>
                <w:rFonts w:eastAsia="仿宋_GB2312" w:cs="仿宋"/>
                <w:sz w:val="24"/>
                <w:szCs w:val="22"/>
              </w:rPr>
              <w:sym w:font="Wingdings" w:char="00A8"/>
            </w:r>
            <w:r>
              <w:rPr>
                <w:rFonts w:hint="eastAsia" w:eastAsia="仿宋_GB2312" w:cs="仿宋"/>
                <w:sz w:val="24"/>
                <w:szCs w:val="22"/>
              </w:rPr>
              <w:t>凭证创设机构</w:t>
            </w:r>
            <w:r>
              <w:rPr>
                <w:rFonts w:hint="eastAsia" w:eastAsia="仿宋_GB2312"/>
                <w:bCs/>
                <w:sz w:val="24"/>
                <w:szCs w:val="22"/>
              </w:rPr>
              <w:t>首次备案</w:t>
            </w:r>
          </w:p>
          <w:p w14:paraId="64E8D5E7">
            <w:pPr>
              <w:pStyle w:val="100"/>
              <w:spacing w:line="560" w:lineRule="exact"/>
              <w:ind w:firstLine="1680" w:firstLineChars="700"/>
              <w:jc w:val="both"/>
              <w:rPr>
                <w:rFonts w:ascii="Times New Roman" w:cs="Times New Roman"/>
                <w:b/>
                <w:color w:val="auto"/>
                <w:kern w:val="2"/>
                <w:szCs w:val="22"/>
              </w:rPr>
            </w:pPr>
            <w:r>
              <w:rPr>
                <w:rFonts w:ascii="Times New Roman" w:cs="仿宋"/>
                <w:color w:val="auto"/>
                <w:szCs w:val="22"/>
              </w:rPr>
              <w:sym w:font="Wingdings" w:char="00A8"/>
            </w:r>
            <w:r>
              <w:rPr>
                <w:rFonts w:hint="eastAsia" w:ascii="Times New Roman" w:cs="仿宋"/>
                <w:color w:val="auto"/>
                <w:szCs w:val="22"/>
              </w:rPr>
              <w:t>备案信息表内容变更</w:t>
            </w:r>
          </w:p>
          <w:p w14:paraId="020B866B">
            <w:pPr>
              <w:spacing w:line="560" w:lineRule="exact"/>
              <w:ind w:firstLine="1320" w:firstLineChars="550"/>
              <w:rPr>
                <w:rFonts w:eastAsia="仿宋_GB2312"/>
                <w:sz w:val="24"/>
                <w:szCs w:val="28"/>
              </w:rPr>
            </w:pPr>
            <w:r>
              <w:rPr>
                <w:rFonts w:eastAsia="仿宋_GB2312"/>
                <w:bCs/>
                <w:sz w:val="24"/>
                <w:szCs w:val="22"/>
              </w:rPr>
              <w:t xml:space="preserve">                        </w:t>
            </w:r>
            <w:r>
              <w:rPr>
                <w:rFonts w:hint="eastAsia" w:eastAsia="仿宋_GB2312" w:cs="仿宋"/>
                <w:sz w:val="24"/>
                <w:szCs w:val="22"/>
              </w:rPr>
              <w:t>（请在“</w:t>
            </w:r>
            <w:r>
              <w:rPr>
                <w:rFonts w:eastAsia="仿宋_GB2312" w:cs="仿宋"/>
                <w:sz w:val="24"/>
                <w:szCs w:val="22"/>
              </w:rPr>
              <w:sym w:font="Wingdings" w:char="00A8"/>
            </w:r>
            <w:r>
              <w:rPr>
                <w:rFonts w:hint="eastAsia" w:eastAsia="仿宋_GB2312" w:cs="仿宋"/>
                <w:sz w:val="24"/>
                <w:szCs w:val="22"/>
              </w:rPr>
              <w:t>”内打“</w:t>
            </w:r>
            <w:r>
              <w:rPr>
                <w:rFonts w:eastAsia="仿宋_GB2312" w:cs="仿宋"/>
                <w:sz w:val="24"/>
                <w:szCs w:val="22"/>
              </w:rPr>
              <w:sym w:font="Wingdings" w:char="00FE"/>
            </w:r>
            <w:r>
              <w:rPr>
                <w:rFonts w:hint="eastAsia" w:eastAsia="仿宋_GB2312" w:cs="仿宋"/>
                <w:sz w:val="24"/>
                <w:szCs w:val="22"/>
              </w:rPr>
              <w:t>”）</w:t>
            </w:r>
          </w:p>
        </w:tc>
      </w:tr>
      <w:tr w14:paraId="06A4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14:paraId="06B0C906">
            <w:pPr>
              <w:spacing w:line="560" w:lineRule="exact"/>
              <w:rPr>
                <w:rFonts w:eastAsia="仿宋_GB2312"/>
                <w:sz w:val="24"/>
                <w:szCs w:val="28"/>
              </w:rPr>
            </w:pPr>
            <w:r>
              <w:rPr>
                <w:rFonts w:hint="eastAsia" w:eastAsia="仿宋_GB2312"/>
                <w:sz w:val="24"/>
                <w:szCs w:val="28"/>
              </w:rPr>
              <w:t>统一社会信用代码：</w:t>
            </w:r>
          </w:p>
        </w:tc>
      </w:tr>
      <w:tr w14:paraId="18A0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14:paraId="6DFF59F1">
            <w:pPr>
              <w:spacing w:line="560" w:lineRule="exact"/>
              <w:rPr>
                <w:rFonts w:eastAsia="仿宋_GB2312"/>
                <w:sz w:val="24"/>
                <w:szCs w:val="28"/>
              </w:rPr>
            </w:pPr>
            <w:r>
              <w:rPr>
                <w:rFonts w:hint="eastAsia" w:eastAsia="仿宋_GB2312"/>
                <w:sz w:val="24"/>
                <w:szCs w:val="28"/>
              </w:rPr>
              <w:t>公司地址：</w:t>
            </w:r>
            <w:r>
              <w:rPr>
                <w:rFonts w:eastAsia="仿宋_GB2312"/>
                <w:sz w:val="24"/>
                <w:szCs w:val="28"/>
              </w:rPr>
              <w:t xml:space="preserve"> </w:t>
            </w:r>
            <w:r>
              <w:rPr>
                <w:rFonts w:hint="eastAsia" w:eastAsia="仿宋_GB2312"/>
                <w:sz w:val="24"/>
                <w:szCs w:val="28"/>
              </w:rPr>
              <w:t>（同营业执照）</w:t>
            </w:r>
          </w:p>
        </w:tc>
      </w:tr>
      <w:tr w14:paraId="0C4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2D89F44C">
            <w:pPr>
              <w:pStyle w:val="17"/>
              <w:spacing w:after="0" w:line="560" w:lineRule="exact"/>
              <w:rPr>
                <w:rFonts w:eastAsia="仿宋_GB2312"/>
                <w:sz w:val="24"/>
                <w:szCs w:val="28"/>
              </w:rPr>
            </w:pPr>
            <w:r>
              <w:rPr>
                <w:rFonts w:hint="eastAsia" w:eastAsia="仿宋_GB2312"/>
                <w:sz w:val="24"/>
                <w:szCs w:val="28"/>
              </w:rPr>
              <w:t>投资者类型：</w:t>
            </w:r>
          </w:p>
        </w:tc>
        <w:tc>
          <w:tcPr>
            <w:tcW w:w="7794" w:type="dxa"/>
            <w:gridSpan w:val="6"/>
            <w:vAlign w:val="center"/>
          </w:tcPr>
          <w:p w14:paraId="24C1176E">
            <w:pPr>
              <w:pStyle w:val="17"/>
              <w:spacing w:after="0" w:line="560" w:lineRule="exact"/>
              <w:rPr>
                <w:rFonts w:eastAsia="仿宋_GB2312"/>
                <w:sz w:val="24"/>
                <w:szCs w:val="28"/>
              </w:rPr>
            </w:pPr>
            <w:r>
              <w:rPr>
                <w:rFonts w:hint="eastAsia" w:eastAsia="仿宋_GB2312"/>
                <w:sz w:val="24"/>
                <w:szCs w:val="28"/>
              </w:rPr>
              <w:t>□</w:t>
            </w:r>
            <w:r>
              <w:rPr>
                <w:rFonts w:hint="eastAsia" w:eastAsia="仿宋_GB2312"/>
                <w:sz w:val="24"/>
              </w:rPr>
              <w:t>证券公司</w:t>
            </w:r>
            <w:r>
              <w:rPr>
                <w:rFonts w:eastAsia="仿宋_GB2312"/>
                <w:sz w:val="24"/>
              </w:rPr>
              <w:t xml:space="preserve">  </w:t>
            </w:r>
            <w:r>
              <w:rPr>
                <w:rFonts w:hint="eastAsia" w:eastAsia="仿宋_GB2312"/>
                <w:sz w:val="24"/>
                <w:szCs w:val="28"/>
              </w:rPr>
              <w:t>□</w:t>
            </w:r>
            <w:r>
              <w:rPr>
                <w:rFonts w:hint="eastAsia" w:eastAsia="仿宋_GB2312"/>
                <w:sz w:val="24"/>
              </w:rPr>
              <w:t>期货公司</w:t>
            </w:r>
            <w:r>
              <w:rPr>
                <w:rFonts w:eastAsia="仿宋_GB2312"/>
                <w:sz w:val="24"/>
              </w:rPr>
              <w:t xml:space="preserve">    </w:t>
            </w:r>
            <w:r>
              <w:rPr>
                <w:rFonts w:hint="eastAsia" w:eastAsia="仿宋_GB2312"/>
                <w:sz w:val="24"/>
                <w:szCs w:val="28"/>
              </w:rPr>
              <w:t>□</w:t>
            </w:r>
            <w:r>
              <w:rPr>
                <w:rFonts w:hint="eastAsia" w:eastAsia="仿宋_GB2312"/>
                <w:sz w:val="24"/>
              </w:rPr>
              <w:t>商业银行</w:t>
            </w:r>
            <w:r>
              <w:rPr>
                <w:rFonts w:eastAsia="仿宋_GB2312"/>
                <w:sz w:val="24"/>
              </w:rPr>
              <w:t xml:space="preserve">  </w:t>
            </w:r>
            <w:r>
              <w:rPr>
                <w:rFonts w:hint="eastAsia" w:eastAsia="仿宋_GB2312"/>
                <w:sz w:val="24"/>
                <w:szCs w:val="28"/>
              </w:rPr>
              <w:t>□</w:t>
            </w:r>
            <w:r>
              <w:rPr>
                <w:rFonts w:hint="eastAsia" w:eastAsia="仿宋_GB2312"/>
                <w:sz w:val="24"/>
              </w:rPr>
              <w:t>保险公司</w:t>
            </w:r>
            <w:r>
              <w:rPr>
                <w:rFonts w:eastAsia="仿宋_GB2312"/>
                <w:sz w:val="24"/>
              </w:rPr>
              <w:t xml:space="preserve">  </w:t>
            </w:r>
            <w:r>
              <w:rPr>
                <w:rFonts w:hint="eastAsia" w:eastAsia="仿宋_GB2312"/>
                <w:sz w:val="24"/>
                <w:szCs w:val="28"/>
              </w:rPr>
              <w:t>□</w:t>
            </w:r>
            <w:r>
              <w:rPr>
                <w:rFonts w:hint="eastAsia" w:eastAsia="仿宋_GB2312"/>
                <w:sz w:val="24"/>
              </w:rPr>
              <w:t>信托公司</w:t>
            </w:r>
            <w:r>
              <w:rPr>
                <w:rFonts w:eastAsia="仿宋_GB2312"/>
                <w:sz w:val="24"/>
              </w:rPr>
              <w:t xml:space="preserve">  </w:t>
            </w:r>
            <w:r>
              <w:rPr>
                <w:rFonts w:hint="eastAsia" w:eastAsia="仿宋_GB2312"/>
                <w:sz w:val="24"/>
                <w:szCs w:val="28"/>
              </w:rPr>
              <w:t>□</w:t>
            </w:r>
            <w:r>
              <w:rPr>
                <w:rFonts w:hint="eastAsia" w:eastAsia="仿宋_GB2312"/>
                <w:sz w:val="24"/>
              </w:rPr>
              <w:t>财务公司</w:t>
            </w:r>
            <w:r>
              <w:rPr>
                <w:rFonts w:eastAsia="仿宋_GB2312"/>
                <w:sz w:val="24"/>
              </w:rPr>
              <w:t xml:space="preserve">  </w:t>
            </w:r>
            <w:r>
              <w:rPr>
                <w:rFonts w:hint="eastAsia" w:eastAsia="仿宋_GB2312"/>
                <w:sz w:val="24"/>
                <w:szCs w:val="28"/>
              </w:rPr>
              <w:t>□信用增进机构</w:t>
            </w:r>
            <w:r>
              <w:rPr>
                <w:rFonts w:eastAsia="仿宋_GB2312"/>
                <w:sz w:val="24"/>
              </w:rPr>
              <w:t xml:space="preserve">  </w:t>
            </w:r>
            <w:r>
              <w:rPr>
                <w:rFonts w:hint="eastAsia" w:eastAsia="仿宋_GB2312"/>
                <w:sz w:val="24"/>
                <w:szCs w:val="28"/>
              </w:rPr>
              <w:t>□</w:t>
            </w:r>
            <w:r>
              <w:rPr>
                <w:rFonts w:hint="eastAsia" w:eastAsia="仿宋_GB2312"/>
                <w:sz w:val="24"/>
              </w:rPr>
              <w:t xml:space="preserve">其他金融机构 </w:t>
            </w:r>
            <w:r>
              <w:rPr>
                <w:rFonts w:eastAsia="仿宋_GB2312"/>
                <w:sz w:val="24"/>
              </w:rPr>
              <w:t xml:space="preserve"> </w:t>
            </w:r>
            <w:r>
              <w:rPr>
                <w:rFonts w:hint="eastAsia" w:eastAsia="仿宋_GB2312"/>
                <w:sz w:val="24"/>
                <w:szCs w:val="28"/>
              </w:rPr>
              <w:t>□</w:t>
            </w:r>
            <w:r>
              <w:rPr>
                <w:rFonts w:hint="eastAsia" w:eastAsia="仿宋_GB2312"/>
                <w:sz w:val="24"/>
              </w:rPr>
              <w:t>其他</w:t>
            </w:r>
          </w:p>
        </w:tc>
      </w:tr>
      <w:tr w14:paraId="289E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70BF037E">
            <w:pPr>
              <w:spacing w:line="560" w:lineRule="exact"/>
              <w:rPr>
                <w:rFonts w:eastAsia="仿宋_GB2312"/>
                <w:sz w:val="24"/>
                <w:szCs w:val="28"/>
              </w:rPr>
            </w:pPr>
            <w:r>
              <w:rPr>
                <w:rFonts w:hint="eastAsia" w:eastAsia="仿宋_GB2312"/>
                <w:sz w:val="24"/>
                <w:szCs w:val="28"/>
              </w:rPr>
              <w:t>交易商代码：</w:t>
            </w:r>
          </w:p>
        </w:tc>
        <w:tc>
          <w:tcPr>
            <w:tcW w:w="5384" w:type="dxa"/>
            <w:gridSpan w:val="4"/>
            <w:tcBorders>
              <w:bottom w:val="single" w:color="auto" w:sz="4" w:space="0"/>
            </w:tcBorders>
            <w:vAlign w:val="center"/>
          </w:tcPr>
          <w:p w14:paraId="7B555079">
            <w:pPr>
              <w:spacing w:line="560" w:lineRule="exact"/>
              <w:rPr>
                <w:rFonts w:eastAsia="仿宋_GB2312"/>
                <w:sz w:val="24"/>
                <w:szCs w:val="28"/>
              </w:rPr>
            </w:pPr>
            <w:r>
              <w:rPr>
                <w:rFonts w:hint="eastAsia" w:eastAsia="仿宋_GB2312"/>
                <w:sz w:val="24"/>
                <w:szCs w:val="28"/>
              </w:rPr>
              <w:t>交易商名称：</w:t>
            </w:r>
          </w:p>
        </w:tc>
      </w:tr>
      <w:tr w14:paraId="1270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E935090">
            <w:pPr>
              <w:spacing w:line="560" w:lineRule="exact"/>
              <w:rPr>
                <w:rFonts w:eastAsia="仿宋_GB2312"/>
                <w:sz w:val="24"/>
                <w:szCs w:val="28"/>
              </w:rPr>
            </w:pPr>
            <w:r>
              <w:rPr>
                <w:rFonts w:hint="eastAsia" w:eastAsia="仿宋_GB2312"/>
                <w:sz w:val="24"/>
                <w:szCs w:val="28"/>
              </w:rPr>
              <w:t>证券账户：</w:t>
            </w:r>
          </w:p>
        </w:tc>
        <w:tc>
          <w:tcPr>
            <w:tcW w:w="5384" w:type="dxa"/>
            <w:gridSpan w:val="4"/>
            <w:tcBorders>
              <w:bottom w:val="single" w:color="auto" w:sz="4" w:space="0"/>
            </w:tcBorders>
            <w:vAlign w:val="center"/>
          </w:tcPr>
          <w:p w14:paraId="7541B979">
            <w:pPr>
              <w:spacing w:line="560" w:lineRule="exact"/>
              <w:rPr>
                <w:rFonts w:eastAsia="仿宋_GB2312"/>
                <w:sz w:val="24"/>
                <w:szCs w:val="28"/>
              </w:rPr>
            </w:pPr>
            <w:r>
              <w:rPr>
                <w:rFonts w:hint="eastAsia" w:eastAsia="仿宋_GB2312"/>
                <w:sz w:val="24"/>
                <w:szCs w:val="28"/>
              </w:rPr>
              <w:t>证券账户名称：</w:t>
            </w:r>
          </w:p>
        </w:tc>
      </w:tr>
      <w:tr w14:paraId="540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155958B0">
            <w:pPr>
              <w:spacing w:line="560" w:lineRule="exact"/>
              <w:rPr>
                <w:rFonts w:eastAsia="仿宋_GB2312"/>
                <w:sz w:val="24"/>
                <w:szCs w:val="28"/>
              </w:rPr>
            </w:pPr>
            <w:r>
              <w:rPr>
                <w:rFonts w:eastAsia="仿宋_GB2312"/>
                <w:sz w:val="24"/>
                <w:szCs w:val="28"/>
              </w:rPr>
              <w:t>CSDC</w:t>
            </w:r>
            <w:r>
              <w:rPr>
                <w:rFonts w:hint="eastAsia" w:eastAsia="仿宋_GB2312"/>
                <w:sz w:val="24"/>
                <w:szCs w:val="28"/>
              </w:rPr>
              <w:t>结算参与人编码：</w:t>
            </w:r>
          </w:p>
        </w:tc>
        <w:tc>
          <w:tcPr>
            <w:tcW w:w="5384" w:type="dxa"/>
            <w:gridSpan w:val="4"/>
            <w:tcBorders>
              <w:bottom w:val="single" w:color="auto" w:sz="4" w:space="0"/>
            </w:tcBorders>
            <w:vAlign w:val="center"/>
          </w:tcPr>
          <w:p w14:paraId="32772BC7">
            <w:pPr>
              <w:spacing w:line="560" w:lineRule="exact"/>
              <w:rPr>
                <w:rFonts w:eastAsia="仿宋_GB2312"/>
                <w:sz w:val="24"/>
                <w:szCs w:val="28"/>
              </w:rPr>
            </w:pPr>
          </w:p>
        </w:tc>
      </w:tr>
      <w:tr w14:paraId="132F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5F1FAAFF">
            <w:pPr>
              <w:spacing w:line="560" w:lineRule="exact"/>
              <w:rPr>
                <w:rFonts w:eastAsia="仿宋_GB2312"/>
                <w:sz w:val="24"/>
                <w:szCs w:val="28"/>
              </w:rPr>
            </w:pPr>
            <w:r>
              <w:rPr>
                <w:rFonts w:hint="eastAsia" w:eastAsia="仿宋_GB2312"/>
                <w:sz w:val="24"/>
                <w:szCs w:val="28"/>
              </w:rPr>
              <w:t>信用保护工具业务负责人</w:t>
            </w:r>
          </w:p>
        </w:tc>
        <w:tc>
          <w:tcPr>
            <w:tcW w:w="1484" w:type="dxa"/>
            <w:gridSpan w:val="2"/>
            <w:vAlign w:val="center"/>
          </w:tcPr>
          <w:p w14:paraId="57CC629F">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5F510F73">
            <w:pPr>
              <w:spacing w:line="560" w:lineRule="exact"/>
              <w:rPr>
                <w:rFonts w:eastAsia="仿宋_GB2312"/>
                <w:sz w:val="24"/>
                <w:szCs w:val="28"/>
              </w:rPr>
            </w:pPr>
            <w:r>
              <w:rPr>
                <w:rFonts w:hint="eastAsia" w:eastAsia="仿宋_GB2312"/>
                <w:sz w:val="24"/>
                <w:szCs w:val="28"/>
              </w:rPr>
              <w:t>职务</w:t>
            </w:r>
          </w:p>
        </w:tc>
        <w:tc>
          <w:tcPr>
            <w:tcW w:w="854" w:type="dxa"/>
            <w:vAlign w:val="center"/>
          </w:tcPr>
          <w:p w14:paraId="33761C09">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5C77C1E9">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173608FD">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1AD6AB2F">
            <w:pPr>
              <w:spacing w:line="560" w:lineRule="exact"/>
              <w:rPr>
                <w:rFonts w:eastAsia="仿宋_GB2312"/>
                <w:sz w:val="24"/>
                <w:szCs w:val="28"/>
              </w:rPr>
            </w:pPr>
            <w:r>
              <w:rPr>
                <w:rFonts w:eastAsia="仿宋_GB2312"/>
                <w:sz w:val="24"/>
                <w:szCs w:val="28"/>
              </w:rPr>
              <w:t>E-mail</w:t>
            </w:r>
          </w:p>
        </w:tc>
      </w:tr>
      <w:tr w14:paraId="28AF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4FF10FC9">
            <w:pPr>
              <w:spacing w:line="560" w:lineRule="exact"/>
              <w:rPr>
                <w:rFonts w:eastAsia="仿宋_GB2312"/>
                <w:sz w:val="24"/>
                <w:szCs w:val="28"/>
              </w:rPr>
            </w:pPr>
          </w:p>
        </w:tc>
        <w:tc>
          <w:tcPr>
            <w:tcW w:w="1484" w:type="dxa"/>
            <w:gridSpan w:val="2"/>
            <w:vAlign w:val="center"/>
          </w:tcPr>
          <w:p w14:paraId="2FADAE82">
            <w:pPr>
              <w:spacing w:line="560" w:lineRule="exact"/>
              <w:rPr>
                <w:rFonts w:eastAsia="仿宋_GB2312"/>
                <w:sz w:val="24"/>
                <w:szCs w:val="28"/>
              </w:rPr>
            </w:pPr>
          </w:p>
        </w:tc>
        <w:tc>
          <w:tcPr>
            <w:tcW w:w="1490" w:type="dxa"/>
            <w:vAlign w:val="center"/>
          </w:tcPr>
          <w:p w14:paraId="546828C7">
            <w:pPr>
              <w:spacing w:line="560" w:lineRule="exact"/>
              <w:rPr>
                <w:rFonts w:eastAsia="仿宋_GB2312"/>
                <w:sz w:val="24"/>
                <w:szCs w:val="28"/>
              </w:rPr>
            </w:pPr>
          </w:p>
        </w:tc>
        <w:tc>
          <w:tcPr>
            <w:tcW w:w="854" w:type="dxa"/>
            <w:vAlign w:val="center"/>
          </w:tcPr>
          <w:p w14:paraId="7813137A">
            <w:pPr>
              <w:spacing w:line="560" w:lineRule="exact"/>
              <w:rPr>
                <w:rFonts w:eastAsia="仿宋_GB2312"/>
                <w:sz w:val="24"/>
                <w:szCs w:val="28"/>
              </w:rPr>
            </w:pPr>
          </w:p>
        </w:tc>
        <w:tc>
          <w:tcPr>
            <w:tcW w:w="1417" w:type="dxa"/>
            <w:vAlign w:val="center"/>
          </w:tcPr>
          <w:p w14:paraId="0D8AF08C">
            <w:pPr>
              <w:spacing w:line="560" w:lineRule="exact"/>
              <w:rPr>
                <w:rFonts w:eastAsia="仿宋_GB2312"/>
                <w:sz w:val="24"/>
                <w:szCs w:val="28"/>
              </w:rPr>
            </w:pPr>
          </w:p>
        </w:tc>
        <w:tc>
          <w:tcPr>
            <w:tcW w:w="1619" w:type="dxa"/>
            <w:vAlign w:val="center"/>
          </w:tcPr>
          <w:p w14:paraId="6384ACB6">
            <w:pPr>
              <w:spacing w:line="560" w:lineRule="exact"/>
              <w:rPr>
                <w:rFonts w:eastAsia="仿宋_GB2312"/>
                <w:sz w:val="24"/>
                <w:szCs w:val="28"/>
              </w:rPr>
            </w:pPr>
          </w:p>
        </w:tc>
        <w:tc>
          <w:tcPr>
            <w:tcW w:w="1494" w:type="dxa"/>
            <w:vAlign w:val="center"/>
          </w:tcPr>
          <w:p w14:paraId="4732A939">
            <w:pPr>
              <w:spacing w:line="560" w:lineRule="exact"/>
              <w:rPr>
                <w:rFonts w:eastAsia="仿宋_GB2312"/>
                <w:sz w:val="24"/>
                <w:szCs w:val="28"/>
              </w:rPr>
            </w:pPr>
          </w:p>
        </w:tc>
      </w:tr>
      <w:tr w14:paraId="1CC5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53CA0C9">
            <w:pPr>
              <w:spacing w:line="560" w:lineRule="exact"/>
              <w:rPr>
                <w:rFonts w:eastAsia="仿宋_GB2312"/>
                <w:sz w:val="24"/>
                <w:szCs w:val="28"/>
              </w:rPr>
            </w:pPr>
            <w:r>
              <w:rPr>
                <w:rFonts w:hint="eastAsia" w:eastAsia="仿宋_GB2312"/>
                <w:sz w:val="24"/>
                <w:szCs w:val="28"/>
              </w:rPr>
              <w:t>信用保护工具业务联络人</w:t>
            </w:r>
          </w:p>
        </w:tc>
        <w:tc>
          <w:tcPr>
            <w:tcW w:w="1484" w:type="dxa"/>
            <w:gridSpan w:val="2"/>
            <w:vAlign w:val="center"/>
          </w:tcPr>
          <w:p w14:paraId="684E3035">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1C502C28">
            <w:pPr>
              <w:spacing w:line="560" w:lineRule="exact"/>
              <w:rPr>
                <w:rFonts w:eastAsia="仿宋_GB2312"/>
                <w:sz w:val="24"/>
                <w:szCs w:val="28"/>
              </w:rPr>
            </w:pPr>
            <w:r>
              <w:rPr>
                <w:rFonts w:hint="eastAsia" w:eastAsia="仿宋_GB2312"/>
                <w:sz w:val="24"/>
                <w:szCs w:val="28"/>
              </w:rPr>
              <w:t>职务</w:t>
            </w:r>
          </w:p>
        </w:tc>
        <w:tc>
          <w:tcPr>
            <w:tcW w:w="854" w:type="dxa"/>
            <w:vAlign w:val="center"/>
          </w:tcPr>
          <w:p w14:paraId="298A41A5">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36A8289C">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0D8916A3">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06E569C4">
            <w:pPr>
              <w:spacing w:line="560" w:lineRule="exact"/>
              <w:rPr>
                <w:rFonts w:eastAsia="仿宋_GB2312"/>
                <w:sz w:val="24"/>
                <w:szCs w:val="28"/>
              </w:rPr>
            </w:pPr>
            <w:r>
              <w:rPr>
                <w:rFonts w:eastAsia="仿宋_GB2312"/>
                <w:sz w:val="24"/>
                <w:szCs w:val="28"/>
              </w:rPr>
              <w:t>E-mail</w:t>
            </w:r>
          </w:p>
        </w:tc>
      </w:tr>
      <w:tr w14:paraId="779C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14:paraId="64BBCF9F">
            <w:pPr>
              <w:spacing w:line="560" w:lineRule="exact"/>
              <w:rPr>
                <w:rFonts w:eastAsia="仿宋_GB2312"/>
                <w:sz w:val="24"/>
                <w:szCs w:val="28"/>
              </w:rPr>
            </w:pPr>
          </w:p>
        </w:tc>
        <w:tc>
          <w:tcPr>
            <w:tcW w:w="1484" w:type="dxa"/>
            <w:gridSpan w:val="2"/>
            <w:vAlign w:val="center"/>
          </w:tcPr>
          <w:p w14:paraId="4B9C393C">
            <w:pPr>
              <w:spacing w:line="560" w:lineRule="exact"/>
              <w:rPr>
                <w:rFonts w:eastAsia="仿宋_GB2312"/>
                <w:sz w:val="24"/>
                <w:szCs w:val="28"/>
              </w:rPr>
            </w:pPr>
          </w:p>
        </w:tc>
        <w:tc>
          <w:tcPr>
            <w:tcW w:w="1490" w:type="dxa"/>
            <w:vAlign w:val="center"/>
          </w:tcPr>
          <w:p w14:paraId="033DFFB8">
            <w:pPr>
              <w:spacing w:line="560" w:lineRule="exact"/>
              <w:rPr>
                <w:rFonts w:eastAsia="仿宋_GB2312"/>
                <w:sz w:val="24"/>
                <w:szCs w:val="28"/>
              </w:rPr>
            </w:pPr>
          </w:p>
        </w:tc>
        <w:tc>
          <w:tcPr>
            <w:tcW w:w="854" w:type="dxa"/>
            <w:vAlign w:val="center"/>
          </w:tcPr>
          <w:p w14:paraId="45F52999">
            <w:pPr>
              <w:spacing w:line="560" w:lineRule="exact"/>
              <w:rPr>
                <w:rFonts w:eastAsia="仿宋_GB2312"/>
                <w:sz w:val="24"/>
                <w:szCs w:val="28"/>
              </w:rPr>
            </w:pPr>
          </w:p>
        </w:tc>
        <w:tc>
          <w:tcPr>
            <w:tcW w:w="1417" w:type="dxa"/>
            <w:vAlign w:val="center"/>
          </w:tcPr>
          <w:p w14:paraId="131D47E5">
            <w:pPr>
              <w:spacing w:line="560" w:lineRule="exact"/>
              <w:rPr>
                <w:rFonts w:eastAsia="仿宋_GB2312"/>
                <w:sz w:val="24"/>
                <w:szCs w:val="28"/>
              </w:rPr>
            </w:pPr>
          </w:p>
        </w:tc>
        <w:tc>
          <w:tcPr>
            <w:tcW w:w="1619" w:type="dxa"/>
            <w:vAlign w:val="center"/>
          </w:tcPr>
          <w:p w14:paraId="440FECBD">
            <w:pPr>
              <w:spacing w:line="560" w:lineRule="exact"/>
              <w:rPr>
                <w:rFonts w:eastAsia="仿宋_GB2312"/>
                <w:sz w:val="24"/>
                <w:szCs w:val="28"/>
              </w:rPr>
            </w:pPr>
          </w:p>
        </w:tc>
        <w:tc>
          <w:tcPr>
            <w:tcW w:w="1494" w:type="dxa"/>
            <w:vAlign w:val="center"/>
          </w:tcPr>
          <w:p w14:paraId="094B3CEF">
            <w:pPr>
              <w:spacing w:line="560" w:lineRule="exact"/>
              <w:rPr>
                <w:rFonts w:eastAsia="仿宋_GB2312"/>
                <w:sz w:val="24"/>
                <w:szCs w:val="28"/>
              </w:rPr>
            </w:pPr>
          </w:p>
        </w:tc>
      </w:tr>
      <w:tr w14:paraId="20FD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36D7F6AA">
            <w:pPr>
              <w:spacing w:line="560" w:lineRule="exact"/>
              <w:rPr>
                <w:rFonts w:eastAsia="仿宋_GB2312"/>
                <w:sz w:val="24"/>
                <w:szCs w:val="28"/>
              </w:rPr>
            </w:pPr>
            <w:r>
              <w:rPr>
                <w:rFonts w:hint="eastAsia" w:eastAsia="仿宋_GB2312"/>
                <w:sz w:val="24"/>
              </w:rPr>
              <w:t>最近一个会计年度总资产（亿元）</w:t>
            </w:r>
          </w:p>
        </w:tc>
        <w:tc>
          <w:tcPr>
            <w:tcW w:w="2974" w:type="dxa"/>
            <w:gridSpan w:val="3"/>
            <w:tcBorders>
              <w:bottom w:val="single" w:color="auto" w:sz="4" w:space="0"/>
            </w:tcBorders>
            <w:vAlign w:val="center"/>
          </w:tcPr>
          <w:p w14:paraId="340A2009">
            <w:pPr>
              <w:spacing w:line="560" w:lineRule="exact"/>
              <w:rPr>
                <w:rFonts w:eastAsia="仿宋_GB2312"/>
                <w:sz w:val="24"/>
                <w:szCs w:val="28"/>
              </w:rPr>
            </w:pPr>
          </w:p>
        </w:tc>
        <w:tc>
          <w:tcPr>
            <w:tcW w:w="2271" w:type="dxa"/>
            <w:gridSpan w:val="2"/>
            <w:tcBorders>
              <w:bottom w:val="single" w:color="auto" w:sz="4" w:space="0"/>
            </w:tcBorders>
            <w:vAlign w:val="center"/>
          </w:tcPr>
          <w:p w14:paraId="54BCE46D">
            <w:pPr>
              <w:spacing w:line="560" w:lineRule="exact"/>
              <w:rPr>
                <w:rFonts w:eastAsia="仿宋_GB2312"/>
                <w:sz w:val="24"/>
                <w:szCs w:val="28"/>
              </w:rPr>
            </w:pPr>
            <w:r>
              <w:rPr>
                <w:rFonts w:hint="eastAsia" w:eastAsia="仿宋_GB2312"/>
                <w:sz w:val="24"/>
              </w:rPr>
              <w:t>最近一个会计年度净资产（亿元）</w:t>
            </w:r>
          </w:p>
        </w:tc>
        <w:tc>
          <w:tcPr>
            <w:tcW w:w="3113" w:type="dxa"/>
            <w:gridSpan w:val="2"/>
            <w:tcBorders>
              <w:bottom w:val="single" w:color="auto" w:sz="4" w:space="0"/>
            </w:tcBorders>
            <w:vAlign w:val="center"/>
          </w:tcPr>
          <w:p w14:paraId="4A5F9BD7">
            <w:pPr>
              <w:spacing w:line="560" w:lineRule="exact"/>
              <w:rPr>
                <w:rFonts w:eastAsia="仿宋_GB2312"/>
                <w:sz w:val="24"/>
                <w:szCs w:val="28"/>
              </w:rPr>
            </w:pPr>
          </w:p>
        </w:tc>
      </w:tr>
    </w:tbl>
    <w:p w14:paraId="74837A0A">
      <w:pPr>
        <w:spacing w:line="560" w:lineRule="exact"/>
        <w:ind w:firstLine="600" w:firstLineChars="200"/>
        <w:rPr>
          <w:rFonts w:eastAsia="仿宋_GB2312"/>
          <w:sz w:val="30"/>
          <w:szCs w:val="30"/>
        </w:rPr>
      </w:pPr>
      <w:r>
        <w:rPr>
          <w:rFonts w:hint="eastAsia" w:eastAsia="仿宋_GB2312"/>
          <w:sz w:val="30"/>
          <w:szCs w:val="30"/>
        </w:rPr>
        <w:t>我公司在此郑重承诺：</w:t>
      </w:r>
    </w:p>
    <w:p w14:paraId="5FB7506B">
      <w:pPr>
        <w:spacing w:line="560" w:lineRule="exact"/>
        <w:ind w:firstLine="600" w:firstLineChars="200"/>
        <w:rPr>
          <w:rFonts w:eastAsia="仿宋_GB2312"/>
          <w:sz w:val="30"/>
          <w:szCs w:val="30"/>
        </w:rPr>
      </w:pPr>
      <w:r>
        <w:rPr>
          <w:rFonts w:hint="eastAsia" w:eastAsia="仿宋_GB2312"/>
          <w:sz w:val="30"/>
          <w:szCs w:val="30"/>
        </w:rPr>
        <w:t>一、遵守法律、法规、规章、上交所及中国结算相关业务规则，依法参与上交所信用保护工具业务。</w:t>
      </w:r>
    </w:p>
    <w:p w14:paraId="529F983D">
      <w:pPr>
        <w:spacing w:line="560" w:lineRule="exact"/>
        <w:ind w:firstLine="600" w:firstLineChars="200"/>
        <w:rPr>
          <w:rFonts w:eastAsia="仿宋_GB2312"/>
          <w:sz w:val="30"/>
          <w:szCs w:val="30"/>
        </w:rPr>
      </w:pPr>
      <w:r>
        <w:rPr>
          <w:rFonts w:hint="eastAsia" w:eastAsia="仿宋_GB2312"/>
          <w:sz w:val="30"/>
          <w:szCs w:val="30"/>
        </w:rPr>
        <w:t>二、诚实守信，自觉遵守商业道德，维护上交所债券市场秩序。</w:t>
      </w:r>
    </w:p>
    <w:p w14:paraId="4774AF7A">
      <w:pPr>
        <w:spacing w:line="560" w:lineRule="exact"/>
        <w:ind w:firstLine="600" w:firstLineChars="200"/>
        <w:rPr>
          <w:rFonts w:eastAsia="仿宋_GB2312"/>
          <w:sz w:val="30"/>
          <w:szCs w:val="30"/>
        </w:rPr>
      </w:pPr>
      <w:r>
        <w:rPr>
          <w:rFonts w:hint="eastAsia" w:eastAsia="仿宋_GB2312"/>
          <w:sz w:val="30"/>
          <w:szCs w:val="30"/>
        </w:rPr>
        <w:t>三、同意遵守上交所信用保护工具业务的相关规定，接受上交所的自律管理。</w:t>
      </w:r>
    </w:p>
    <w:p w14:paraId="46C516E1">
      <w:pPr>
        <w:spacing w:line="560" w:lineRule="exact"/>
        <w:ind w:firstLine="600" w:firstLineChars="200"/>
        <w:rPr>
          <w:rFonts w:eastAsia="仿宋_GB2312"/>
          <w:sz w:val="30"/>
          <w:szCs w:val="30"/>
        </w:rPr>
      </w:pPr>
      <w:r>
        <w:rPr>
          <w:rFonts w:hint="eastAsia" w:eastAsia="仿宋_GB2312"/>
          <w:sz w:val="30"/>
          <w:szCs w:val="30"/>
        </w:rPr>
        <w:t>四、如违反法律、法规、规章、上交所相关业务规则，接受上交所做出的包括但不限于取消信用保护工具业务的核心交易商</w:t>
      </w:r>
      <w:r>
        <w:rPr>
          <w:rFonts w:eastAsia="仿宋_GB2312"/>
          <w:sz w:val="30"/>
          <w:szCs w:val="30"/>
        </w:rPr>
        <w:t>/</w:t>
      </w:r>
      <w:r>
        <w:rPr>
          <w:rFonts w:hint="eastAsia" w:eastAsia="仿宋_GB2312"/>
          <w:sz w:val="30"/>
          <w:szCs w:val="30"/>
        </w:rPr>
        <w:t>凭证创设机构资质备案等监管措施，并对此承担一切法律责任。</w:t>
      </w:r>
    </w:p>
    <w:p w14:paraId="5D89F933">
      <w:pPr>
        <w:pStyle w:val="18"/>
        <w:spacing w:line="560" w:lineRule="exact"/>
        <w:rPr>
          <w:rFonts w:ascii="Times New Roman"/>
          <w:szCs w:val="30"/>
        </w:rPr>
      </w:pPr>
      <w:r>
        <w:rPr>
          <w:rFonts w:hint="eastAsia" w:ascii="Times New Roman"/>
          <w:szCs w:val="30"/>
        </w:rPr>
        <w:t>我公司保证向上交所提供的书面和电子申请资料的真实、准确、完整与合法。</w:t>
      </w:r>
    </w:p>
    <w:p w14:paraId="20A06899">
      <w:pPr>
        <w:pStyle w:val="18"/>
        <w:spacing w:line="560" w:lineRule="exact"/>
        <w:rPr>
          <w:rFonts w:ascii="Times New Roman"/>
          <w:szCs w:val="30"/>
        </w:rPr>
      </w:pPr>
    </w:p>
    <w:p w14:paraId="2D21429A">
      <w:pPr>
        <w:pStyle w:val="18"/>
        <w:spacing w:line="560" w:lineRule="exact"/>
        <w:rPr>
          <w:rFonts w:ascii="Times New Roman"/>
          <w:szCs w:val="30"/>
        </w:rPr>
      </w:pPr>
    </w:p>
    <w:p w14:paraId="17BFFCF3">
      <w:pPr>
        <w:pStyle w:val="18"/>
        <w:spacing w:line="560" w:lineRule="exact"/>
        <w:rPr>
          <w:rFonts w:ascii="Times New Roman"/>
          <w:szCs w:val="30"/>
        </w:rPr>
      </w:pPr>
      <w:r>
        <w:rPr>
          <w:rFonts w:hint="eastAsia" w:ascii="Times New Roman"/>
          <w:szCs w:val="30"/>
        </w:rPr>
        <w:t>申请人：</w:t>
      </w:r>
      <w:r>
        <w:rPr>
          <w:rFonts w:ascii="Times New Roman"/>
          <w:szCs w:val="30"/>
        </w:rPr>
        <w:t>_____________________</w:t>
      </w:r>
      <w:r>
        <w:rPr>
          <w:rFonts w:hint="eastAsia" w:ascii="Times New Roman"/>
          <w:szCs w:val="30"/>
        </w:rPr>
        <w:t>公司</w:t>
      </w:r>
      <w:r>
        <w:rPr>
          <w:rFonts w:ascii="Times New Roman"/>
          <w:szCs w:val="30"/>
        </w:rPr>
        <w:t xml:space="preserve">   </w:t>
      </w:r>
      <w:r>
        <w:rPr>
          <w:rFonts w:hint="eastAsia" w:ascii="Times New Roman"/>
          <w:szCs w:val="30"/>
        </w:rPr>
        <w:t>（加盖公章）</w:t>
      </w:r>
    </w:p>
    <w:p w14:paraId="0EBD696B">
      <w:pPr>
        <w:pStyle w:val="18"/>
        <w:spacing w:line="560" w:lineRule="exact"/>
        <w:rPr>
          <w:rFonts w:ascii="Times New Roman"/>
          <w:szCs w:val="30"/>
        </w:rPr>
      </w:pPr>
    </w:p>
    <w:p w14:paraId="26856B9F">
      <w:pPr>
        <w:pStyle w:val="18"/>
        <w:spacing w:line="560" w:lineRule="exact"/>
        <w:rPr>
          <w:rFonts w:ascii="Times New Roman"/>
          <w:szCs w:val="30"/>
        </w:rPr>
      </w:pPr>
      <w:r>
        <w:rPr>
          <w:rFonts w:ascii="Times New Roman"/>
          <w:szCs w:val="30"/>
        </w:rPr>
        <w:t xml:space="preserve">                                     </w:t>
      </w:r>
      <w:r>
        <w:rPr>
          <w:rFonts w:hint="eastAsia" w:ascii="Times New Roman"/>
          <w:szCs w:val="30"/>
        </w:rPr>
        <w:t>经办人（签字）：</w:t>
      </w:r>
    </w:p>
    <w:p w14:paraId="5363B2F1">
      <w:pPr>
        <w:pStyle w:val="18"/>
        <w:spacing w:line="560" w:lineRule="exact"/>
        <w:rPr>
          <w:rFonts w:ascii="Times New Roman"/>
          <w:szCs w:val="30"/>
        </w:rPr>
      </w:pPr>
      <w:r>
        <w:rPr>
          <w:rFonts w:ascii="Times New Roman"/>
          <w:szCs w:val="30"/>
        </w:rPr>
        <w:t xml:space="preserve">                                     </w:t>
      </w:r>
      <w:r>
        <w:rPr>
          <w:rFonts w:hint="eastAsia" w:ascii="Times New Roman"/>
          <w:szCs w:val="30"/>
        </w:rPr>
        <w:t>申请日期：</w:t>
      </w:r>
    </w:p>
    <w:p w14:paraId="5111CD75">
      <w:pPr>
        <w:pStyle w:val="18"/>
        <w:spacing w:line="560" w:lineRule="exact"/>
        <w:rPr>
          <w:rFonts w:ascii="Times New Roman"/>
          <w:szCs w:val="30"/>
        </w:rPr>
      </w:pPr>
      <w:r>
        <w:rPr>
          <w:rFonts w:ascii="Times New Roman"/>
          <w:szCs w:val="30"/>
        </w:rPr>
        <w:t xml:space="preserve">                                     </w:t>
      </w:r>
      <w:r>
        <w:rPr>
          <w:rFonts w:hint="eastAsia" w:ascii="Times New Roman"/>
          <w:szCs w:val="30"/>
        </w:rPr>
        <w:t>联系电话：</w:t>
      </w:r>
    </w:p>
    <w:p w14:paraId="74CCF7BA">
      <w:pPr>
        <w:widowControl/>
        <w:jc w:val="left"/>
        <w:rPr>
          <w:rFonts w:ascii="仿宋_GB2312" w:hAnsi="仿宋" w:eastAsia="仿宋_GB2312"/>
          <w:sz w:val="24"/>
          <w:szCs w:val="30"/>
        </w:rPr>
      </w:pPr>
    </w:p>
    <w:p w14:paraId="1CCAB150">
      <w:r>
        <w:br w:type="page"/>
      </w:r>
    </w:p>
    <w:p w14:paraId="4909083F">
      <w:pPr>
        <w:widowControl/>
        <w:jc w:val="left"/>
        <w:outlineLvl w:val="1"/>
        <w:rPr>
          <w:rFonts w:ascii="仿宋_GB2312" w:hAnsi="黑体" w:eastAsia="仿宋_GB2312"/>
          <w:b/>
          <w:sz w:val="30"/>
          <w:szCs w:val="30"/>
        </w:rPr>
      </w:pPr>
      <w:bookmarkStart w:id="3510" w:name="_Toc151137106"/>
      <w:r>
        <w:rPr>
          <w:rFonts w:hint="eastAsia" w:ascii="仿宋_GB2312" w:hAnsi="黑体" w:eastAsia="仿宋_GB2312"/>
          <w:b/>
          <w:sz w:val="30"/>
          <w:szCs w:val="30"/>
        </w:rPr>
        <w:t>附件23 XXXX信用保护合约交易确认书</w:t>
      </w:r>
      <w:bookmarkEnd w:id="3510"/>
      <w:r>
        <w:rPr>
          <w:rFonts w:hint="eastAsia" w:ascii="仿宋_GB2312" w:hAnsi="黑体" w:eastAsia="仿宋_GB2312"/>
          <w:b/>
          <w:sz w:val="30"/>
          <w:szCs w:val="30"/>
        </w:rPr>
        <w:t xml:space="preserve"> </w:t>
      </w:r>
    </w:p>
    <w:p w14:paraId="4B947C43">
      <w:pPr>
        <w:spacing w:line="560" w:lineRule="exact"/>
        <w:ind w:right="150"/>
        <w:jc w:val="center"/>
        <w:rPr>
          <w:rFonts w:ascii="黑体" w:hAnsi="黑体" w:eastAsia="黑体"/>
          <w:b/>
          <w:kern w:val="0"/>
          <w:sz w:val="44"/>
          <w:szCs w:val="44"/>
        </w:rPr>
      </w:pPr>
    </w:p>
    <w:p w14:paraId="281F9B2A">
      <w:pPr>
        <w:spacing w:line="560" w:lineRule="exact"/>
        <w:ind w:right="150"/>
        <w:jc w:val="center"/>
        <w:rPr>
          <w:rFonts w:ascii="黑体" w:hAnsi="黑体" w:eastAsia="黑体"/>
          <w:b/>
          <w:kern w:val="0"/>
          <w:sz w:val="44"/>
          <w:szCs w:val="44"/>
        </w:rPr>
      </w:pPr>
      <w:r>
        <w:rPr>
          <w:rFonts w:ascii="黑体" w:hAnsi="黑体" w:eastAsia="黑体"/>
          <w:b/>
          <w:kern w:val="0"/>
          <w:sz w:val="44"/>
          <w:szCs w:val="44"/>
        </w:rPr>
        <w:t>XXXX</w:t>
      </w:r>
      <w:r>
        <w:rPr>
          <w:kern w:val="0"/>
        </w:rPr>
        <w:footnoteReference w:id="2"/>
      </w:r>
      <w:r>
        <w:rPr>
          <w:rFonts w:hint="eastAsia" w:ascii="黑体" w:hAnsi="黑体" w:eastAsia="黑体"/>
          <w:b/>
          <w:kern w:val="0"/>
          <w:sz w:val="44"/>
          <w:szCs w:val="44"/>
        </w:rPr>
        <w:t>信用保护合约交易确认书</w:t>
      </w:r>
    </w:p>
    <w:p w14:paraId="380490B6">
      <w:pPr>
        <w:spacing w:before="126" w:line="560" w:lineRule="exact"/>
        <w:ind w:right="193"/>
        <w:jc w:val="right"/>
        <w:rPr>
          <w:rFonts w:eastAsia="仿宋_GB2312"/>
          <w:sz w:val="30"/>
          <w:szCs w:val="28"/>
        </w:rPr>
      </w:pPr>
      <w:r>
        <w:rPr>
          <w:rFonts w:hint="eastAsia" w:eastAsia="仿宋_GB2312"/>
          <w:sz w:val="30"/>
          <w:szCs w:val="28"/>
        </w:rPr>
        <w:t>编号【</w:t>
      </w:r>
      <w:r>
        <w:rPr>
          <w:rFonts w:eastAsia="仿宋_GB2312"/>
          <w:sz w:val="30"/>
          <w:szCs w:val="28"/>
        </w:rPr>
        <w:t xml:space="preserve">          </w:t>
      </w:r>
      <w:r>
        <w:rPr>
          <w:rFonts w:hint="eastAsia" w:eastAsia="仿宋_GB2312"/>
          <w:sz w:val="30"/>
          <w:szCs w:val="28"/>
        </w:rPr>
        <w:t>】</w:t>
      </w:r>
    </w:p>
    <w:p w14:paraId="1EE29995">
      <w:pPr>
        <w:spacing w:before="126" w:line="560" w:lineRule="exact"/>
        <w:ind w:right="193"/>
        <w:rPr>
          <w:rFonts w:eastAsia="仿宋_GB2312"/>
          <w:sz w:val="30"/>
          <w:szCs w:val="28"/>
        </w:rPr>
      </w:pPr>
    </w:p>
    <w:p w14:paraId="2F492A52">
      <w:pPr>
        <w:spacing w:before="126" w:line="560" w:lineRule="exact"/>
        <w:ind w:right="193"/>
        <w:rPr>
          <w:rFonts w:eastAsia="仿宋_GB2312" w:cs="新宋体"/>
          <w:spacing w:val="-3"/>
          <w:sz w:val="30"/>
          <w:szCs w:val="28"/>
        </w:rPr>
      </w:pPr>
      <w:r>
        <w:rPr>
          <w:rFonts w:hint="eastAsia" w:eastAsia="仿宋_GB2312" w:cs="新宋体"/>
          <w:b/>
          <w:spacing w:val="-3"/>
          <w:sz w:val="30"/>
          <w:szCs w:val="28"/>
        </w:rPr>
        <w:t>甲方</w:t>
      </w:r>
      <w:r>
        <w:rPr>
          <w:rFonts w:hint="eastAsia" w:eastAsia="仿宋_GB2312" w:cs="新宋体"/>
          <w:spacing w:val="-3"/>
          <w:sz w:val="30"/>
          <w:szCs w:val="28"/>
        </w:rPr>
        <w:t>（</w:t>
      </w:r>
      <w:r>
        <w:rPr>
          <w:rFonts w:hint="eastAsia" w:eastAsia="仿宋_GB2312" w:cs="新宋体"/>
          <w:b/>
          <w:spacing w:val="-3"/>
          <w:sz w:val="30"/>
          <w:szCs w:val="28"/>
        </w:rPr>
        <w:t>信用保护卖方</w:t>
      </w:r>
      <w:r>
        <w:rPr>
          <w:rFonts w:hint="eastAsia" w:eastAsia="仿宋_GB2312" w:cs="新宋体"/>
          <w:spacing w:val="-3"/>
          <w:sz w:val="30"/>
          <w:szCs w:val="28"/>
        </w:rPr>
        <w:t>）：</w:t>
      </w:r>
      <w:r>
        <w:rPr>
          <w:rFonts w:hint="eastAsia" w:eastAsia="仿宋_GB2312" w:cs="新宋体"/>
          <w:b/>
          <w:spacing w:val="-3"/>
          <w:sz w:val="30"/>
          <w:szCs w:val="28"/>
        </w:rPr>
        <w:t>【】</w:t>
      </w:r>
    </w:p>
    <w:p w14:paraId="559ED515">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217C415E">
      <w:pPr>
        <w:spacing w:before="126" w:line="560" w:lineRule="exact"/>
        <w:ind w:right="193"/>
        <w:rPr>
          <w:rFonts w:eastAsia="仿宋_GB2312" w:cs="新宋体"/>
          <w:b/>
          <w:spacing w:val="-3"/>
          <w:sz w:val="30"/>
          <w:szCs w:val="28"/>
        </w:rPr>
      </w:pPr>
    </w:p>
    <w:p w14:paraId="4EF97BD5">
      <w:pPr>
        <w:spacing w:before="126" w:line="560" w:lineRule="exact"/>
        <w:ind w:right="193"/>
        <w:rPr>
          <w:rFonts w:eastAsia="仿宋_GB2312" w:cs="新宋体"/>
          <w:spacing w:val="-3"/>
          <w:sz w:val="30"/>
          <w:szCs w:val="28"/>
        </w:rPr>
      </w:pPr>
      <w:r>
        <w:rPr>
          <w:rFonts w:hint="eastAsia" w:eastAsia="仿宋_GB2312" w:cs="新宋体"/>
          <w:b/>
          <w:spacing w:val="-3"/>
          <w:sz w:val="30"/>
          <w:szCs w:val="28"/>
        </w:rPr>
        <w:t>乙方</w:t>
      </w:r>
      <w:r>
        <w:rPr>
          <w:rFonts w:hint="eastAsia" w:eastAsia="仿宋_GB2312" w:cs="新宋体"/>
          <w:spacing w:val="-3"/>
          <w:sz w:val="30"/>
          <w:szCs w:val="28"/>
        </w:rPr>
        <w:t>（</w:t>
      </w:r>
      <w:r>
        <w:rPr>
          <w:rFonts w:hint="eastAsia" w:eastAsia="仿宋_GB2312" w:cs="新宋体"/>
          <w:b/>
          <w:spacing w:val="-3"/>
          <w:sz w:val="30"/>
          <w:szCs w:val="28"/>
        </w:rPr>
        <w:t>信用保护买方</w:t>
      </w:r>
      <w:r>
        <w:rPr>
          <w:rFonts w:hint="eastAsia" w:eastAsia="仿宋_GB2312" w:cs="新宋体"/>
          <w:spacing w:val="-3"/>
          <w:sz w:val="30"/>
          <w:szCs w:val="28"/>
        </w:rPr>
        <w:t>）：</w:t>
      </w:r>
      <w:r>
        <w:rPr>
          <w:rFonts w:hint="eastAsia" w:eastAsia="仿宋_GB2312" w:cs="新宋体"/>
          <w:b/>
          <w:spacing w:val="-3"/>
          <w:sz w:val="30"/>
          <w:szCs w:val="28"/>
        </w:rPr>
        <w:t>【】</w:t>
      </w:r>
    </w:p>
    <w:p w14:paraId="61F9D633">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06EED3C8">
      <w:pPr>
        <w:spacing w:before="126" w:line="560" w:lineRule="exact"/>
        <w:ind w:right="193" w:firstLine="588" w:firstLineChars="200"/>
        <w:rPr>
          <w:rFonts w:eastAsia="仿宋_GB2312" w:cs="新宋体"/>
          <w:spacing w:val="-3"/>
          <w:sz w:val="30"/>
          <w:szCs w:val="28"/>
        </w:rPr>
      </w:pPr>
    </w:p>
    <w:p w14:paraId="17D25086">
      <w:pPr>
        <w:spacing w:before="126" w:line="560" w:lineRule="exact"/>
        <w:ind w:right="193" w:firstLine="588" w:firstLineChars="200"/>
        <w:rPr>
          <w:rFonts w:eastAsia="仿宋_GB2312" w:cs="新宋体"/>
          <w:sz w:val="30"/>
          <w:szCs w:val="28"/>
        </w:rPr>
      </w:pPr>
      <w:r>
        <w:rPr>
          <w:rFonts w:hint="eastAsia" w:eastAsia="仿宋_GB2312" w:cs="新宋体"/>
          <w:spacing w:val="-3"/>
          <w:sz w:val="30"/>
          <w:szCs w:val="28"/>
        </w:rPr>
        <w:t>本</w:t>
      </w:r>
      <w:r>
        <w:rPr>
          <w:rFonts w:hint="eastAsia" w:eastAsia="仿宋_GB2312" w:cs="新宋体"/>
          <w:b/>
          <w:spacing w:val="-3"/>
          <w:sz w:val="30"/>
          <w:szCs w:val="28"/>
        </w:rPr>
        <w:t>《</w:t>
      </w:r>
      <w:r>
        <w:rPr>
          <w:rFonts w:eastAsia="仿宋_GB2312" w:cs="新宋体"/>
          <w:b/>
          <w:spacing w:val="-3"/>
          <w:sz w:val="30"/>
          <w:szCs w:val="28"/>
        </w:rPr>
        <w:t>XXXX</w:t>
      </w:r>
      <w:r>
        <w:rPr>
          <w:rFonts w:hint="eastAsia" w:eastAsia="仿宋_GB2312" w:cs="新宋体"/>
          <w:b/>
          <w:spacing w:val="-3"/>
          <w:sz w:val="30"/>
          <w:szCs w:val="28"/>
        </w:rPr>
        <w:t>信用保护合约交易确认书》</w:t>
      </w:r>
      <w:r>
        <w:rPr>
          <w:rFonts w:hint="eastAsia" w:eastAsia="仿宋_GB2312" w:cs="新宋体"/>
          <w:spacing w:val="-3"/>
          <w:sz w:val="30"/>
          <w:szCs w:val="28"/>
        </w:rPr>
        <w:t>（以下简称“</w:t>
      </w:r>
      <w:r>
        <w:rPr>
          <w:rFonts w:hint="eastAsia" w:eastAsia="仿宋_GB2312" w:cs="新宋体"/>
          <w:b/>
          <w:bCs/>
          <w:spacing w:val="-3"/>
          <w:sz w:val="30"/>
          <w:szCs w:val="28"/>
        </w:rPr>
        <w:t>本确认</w:t>
      </w:r>
      <w:r>
        <w:rPr>
          <w:rFonts w:hint="eastAsia" w:eastAsia="仿宋_GB2312" w:cs="新宋体"/>
          <w:b/>
          <w:bCs/>
          <w:w w:val="95"/>
          <w:sz w:val="30"/>
          <w:szCs w:val="28"/>
        </w:rPr>
        <w:t>书</w:t>
      </w:r>
      <w:r>
        <w:rPr>
          <w:rFonts w:hint="eastAsia" w:eastAsia="仿宋_GB2312" w:cs="新宋体"/>
          <w:w w:val="95"/>
          <w:sz w:val="30"/>
          <w:szCs w:val="28"/>
        </w:rPr>
        <w:t>”）</w:t>
      </w:r>
      <w:r>
        <w:rPr>
          <w:rFonts w:hint="eastAsia" w:eastAsia="仿宋_GB2312" w:cs="新宋体"/>
          <w:sz w:val="30"/>
          <w:szCs w:val="28"/>
        </w:rPr>
        <w:t>旨在明确</w:t>
      </w:r>
      <w:r>
        <w:rPr>
          <w:rFonts w:hint="eastAsia" w:eastAsia="仿宋_GB2312" w:cs="新宋体"/>
          <w:b/>
          <w:sz w:val="30"/>
          <w:szCs w:val="28"/>
        </w:rPr>
        <w:t>甲方</w:t>
      </w:r>
      <w:r>
        <w:rPr>
          <w:rFonts w:hint="eastAsia" w:eastAsia="仿宋_GB2312" w:cs="新宋体"/>
          <w:sz w:val="30"/>
          <w:szCs w:val="28"/>
        </w:rPr>
        <w:t>和</w:t>
      </w:r>
      <w:r>
        <w:rPr>
          <w:rFonts w:hint="eastAsia" w:eastAsia="仿宋_GB2312" w:cs="新宋体"/>
          <w:b/>
          <w:sz w:val="30"/>
          <w:szCs w:val="28"/>
        </w:rPr>
        <w:t>乙方</w:t>
      </w:r>
      <w:r>
        <w:rPr>
          <w:rFonts w:hint="eastAsia" w:eastAsia="仿宋_GB2312" w:cs="新宋体"/>
          <w:sz w:val="30"/>
          <w:szCs w:val="28"/>
        </w:rPr>
        <w:t>在下文指明的</w:t>
      </w:r>
      <w:r>
        <w:rPr>
          <w:rFonts w:hint="eastAsia" w:eastAsia="仿宋_GB2312" w:cs="新宋体"/>
          <w:b/>
          <w:sz w:val="30"/>
          <w:szCs w:val="28"/>
        </w:rPr>
        <w:t>签署日</w:t>
      </w:r>
      <w:r>
        <w:rPr>
          <w:rFonts w:hint="eastAsia" w:eastAsia="仿宋_GB2312" w:cs="新宋体"/>
          <w:sz w:val="30"/>
          <w:szCs w:val="28"/>
        </w:rPr>
        <w:t>达成的</w:t>
      </w:r>
      <w:r>
        <w:rPr>
          <w:rFonts w:hint="eastAsia" w:eastAsia="仿宋_GB2312" w:cs="新宋体"/>
          <w:b/>
          <w:bCs/>
          <w:sz w:val="30"/>
          <w:szCs w:val="28"/>
        </w:rPr>
        <w:t>信用保护合约交易</w:t>
      </w:r>
      <w:r>
        <w:rPr>
          <w:rFonts w:hint="eastAsia" w:eastAsia="仿宋_GB2312" w:cs="新宋体"/>
          <w:sz w:val="30"/>
          <w:szCs w:val="28"/>
        </w:rPr>
        <w:t>（以下简称“</w:t>
      </w:r>
      <w:r>
        <w:rPr>
          <w:rFonts w:hint="eastAsia" w:eastAsia="仿宋_GB2312" w:cs="新宋体"/>
          <w:b/>
          <w:bCs/>
          <w:sz w:val="30"/>
          <w:szCs w:val="28"/>
        </w:rPr>
        <w:t>交易</w:t>
      </w:r>
      <w:r>
        <w:rPr>
          <w:rFonts w:hint="eastAsia" w:eastAsia="仿宋_GB2312" w:cs="新宋体"/>
          <w:sz w:val="30"/>
          <w:szCs w:val="28"/>
        </w:rPr>
        <w:t>”）的条款与条件。</w:t>
      </w:r>
    </w:p>
    <w:p w14:paraId="04CD5272">
      <w:pPr>
        <w:spacing w:before="185" w:line="560" w:lineRule="exact"/>
        <w:ind w:right="196" w:firstLine="584" w:firstLineChars="200"/>
        <w:rPr>
          <w:rFonts w:eastAsia="仿宋_GB2312" w:cs="新宋体"/>
          <w:sz w:val="30"/>
          <w:szCs w:val="28"/>
        </w:rPr>
      </w:pPr>
      <w:r>
        <w:rPr>
          <w:rFonts w:hint="eastAsia" w:eastAsia="仿宋_GB2312" w:cs="新宋体"/>
          <w:spacing w:val="-4"/>
          <w:sz w:val="30"/>
          <w:szCs w:val="28"/>
        </w:rPr>
        <w:t>在</w:t>
      </w:r>
      <w:r>
        <w:rPr>
          <w:rFonts w:hint="eastAsia" w:eastAsia="仿宋_GB2312" w:cs="新宋体"/>
          <w:b/>
          <w:bCs/>
          <w:spacing w:val="-4"/>
          <w:sz w:val="30"/>
          <w:szCs w:val="28"/>
        </w:rPr>
        <w:t>本确认书</w:t>
      </w:r>
      <w:r>
        <w:rPr>
          <w:rFonts w:hint="eastAsia" w:eastAsia="仿宋_GB2312" w:cs="新宋体"/>
          <w:spacing w:val="-4"/>
          <w:sz w:val="30"/>
          <w:szCs w:val="28"/>
        </w:rPr>
        <w:t>中，</w:t>
      </w:r>
      <w:r>
        <w:rPr>
          <w:rFonts w:hint="eastAsia" w:eastAsia="仿宋_GB2312" w:cs="新宋体"/>
          <w:b/>
          <w:bCs/>
          <w:spacing w:val="-4"/>
          <w:sz w:val="30"/>
          <w:szCs w:val="28"/>
        </w:rPr>
        <w:t>甲方</w:t>
      </w:r>
      <w:r>
        <w:rPr>
          <w:rFonts w:hint="eastAsia" w:eastAsia="仿宋_GB2312" w:cs="新宋体"/>
          <w:spacing w:val="-4"/>
          <w:sz w:val="30"/>
          <w:szCs w:val="28"/>
        </w:rPr>
        <w:t>（</w:t>
      </w:r>
      <w:r>
        <w:rPr>
          <w:rFonts w:hint="eastAsia" w:eastAsia="仿宋_GB2312" w:cs="新宋体"/>
          <w:b/>
          <w:bCs/>
          <w:spacing w:val="-4"/>
          <w:sz w:val="30"/>
          <w:szCs w:val="28"/>
        </w:rPr>
        <w:t>信用保护卖方</w:t>
      </w:r>
      <w:r>
        <w:rPr>
          <w:rFonts w:hint="eastAsia" w:eastAsia="仿宋_GB2312" w:cs="新宋体"/>
          <w:spacing w:val="-4"/>
          <w:sz w:val="30"/>
          <w:szCs w:val="28"/>
        </w:rPr>
        <w:t>）与</w:t>
      </w:r>
      <w:r>
        <w:rPr>
          <w:rFonts w:hint="eastAsia" w:eastAsia="仿宋_GB2312" w:cs="新宋体"/>
          <w:b/>
          <w:bCs/>
          <w:spacing w:val="-4"/>
          <w:sz w:val="30"/>
          <w:szCs w:val="28"/>
        </w:rPr>
        <w:t>乙方</w:t>
      </w:r>
      <w:r>
        <w:rPr>
          <w:rFonts w:hint="eastAsia" w:eastAsia="仿宋_GB2312" w:cs="新宋体"/>
          <w:spacing w:val="-4"/>
          <w:sz w:val="30"/>
          <w:szCs w:val="28"/>
        </w:rPr>
        <w:t>（</w:t>
      </w:r>
      <w:r>
        <w:rPr>
          <w:rFonts w:hint="eastAsia" w:eastAsia="仿宋_GB2312" w:cs="新宋体"/>
          <w:b/>
          <w:bCs/>
          <w:spacing w:val="-4"/>
          <w:sz w:val="30"/>
          <w:szCs w:val="28"/>
        </w:rPr>
        <w:t>信用保护买方</w:t>
      </w:r>
      <w:r>
        <w:rPr>
          <w:rFonts w:hint="eastAsia" w:eastAsia="仿宋_GB2312" w:cs="新宋体"/>
          <w:spacing w:val="-4"/>
          <w:sz w:val="30"/>
          <w:szCs w:val="28"/>
        </w:rPr>
        <w:t>）合称为“</w:t>
      </w:r>
      <w:r>
        <w:rPr>
          <w:rFonts w:hint="eastAsia" w:eastAsia="仿宋_GB2312" w:cs="新宋体"/>
          <w:b/>
          <w:bCs/>
          <w:spacing w:val="-4"/>
          <w:sz w:val="30"/>
          <w:szCs w:val="28"/>
        </w:rPr>
        <w:t>交</w:t>
      </w:r>
      <w:r>
        <w:rPr>
          <w:rFonts w:hint="eastAsia" w:eastAsia="仿宋_GB2312" w:cs="新宋体"/>
          <w:b/>
          <w:bCs/>
          <w:sz w:val="30"/>
          <w:szCs w:val="28"/>
        </w:rPr>
        <w:t>易双方</w:t>
      </w:r>
      <w:r>
        <w:rPr>
          <w:rFonts w:hint="eastAsia" w:eastAsia="仿宋_GB2312" w:cs="新宋体"/>
          <w:sz w:val="30"/>
          <w:szCs w:val="28"/>
        </w:rPr>
        <w:t>”，分别称为“</w:t>
      </w:r>
      <w:r>
        <w:rPr>
          <w:rFonts w:hint="eastAsia" w:eastAsia="仿宋_GB2312" w:cs="新宋体"/>
          <w:b/>
          <w:bCs/>
          <w:sz w:val="30"/>
          <w:szCs w:val="28"/>
        </w:rPr>
        <w:t>交易一方</w:t>
      </w:r>
      <w:r>
        <w:rPr>
          <w:rFonts w:hint="eastAsia" w:eastAsia="仿宋_GB2312" w:cs="新宋体"/>
          <w:sz w:val="30"/>
          <w:szCs w:val="28"/>
        </w:rPr>
        <w:t>”。</w:t>
      </w:r>
    </w:p>
    <w:p w14:paraId="4BE7D171">
      <w:pPr>
        <w:pStyle w:val="17"/>
        <w:spacing w:before="156" w:line="560" w:lineRule="exact"/>
        <w:ind w:right="193" w:firstLine="588" w:firstLineChars="200"/>
        <w:rPr>
          <w:rFonts w:eastAsia="仿宋_GB2312" w:cs="新宋体"/>
          <w:sz w:val="30"/>
          <w:szCs w:val="28"/>
        </w:rPr>
      </w:pPr>
      <w:r>
        <w:rPr>
          <w:rFonts w:hint="eastAsia" w:eastAsia="仿宋_GB2312" w:cs="新宋体"/>
          <w:spacing w:val="-3"/>
          <w:sz w:val="30"/>
          <w:szCs w:val="28"/>
        </w:rPr>
        <w:t>鉴于</w:t>
      </w:r>
      <w:r>
        <w:rPr>
          <w:rFonts w:hint="eastAsia" w:eastAsia="仿宋_GB2312" w:cs="新宋体"/>
          <w:b/>
          <w:bCs/>
          <w:spacing w:val="-3"/>
          <w:sz w:val="30"/>
          <w:szCs w:val="28"/>
        </w:rPr>
        <w:t>交易双方</w:t>
      </w:r>
      <w:r>
        <w:rPr>
          <w:rFonts w:hint="eastAsia" w:eastAsia="仿宋_GB2312" w:cs="新宋体"/>
          <w:spacing w:val="-3"/>
          <w:sz w:val="30"/>
          <w:szCs w:val="28"/>
        </w:rPr>
        <w:t>已经签署了《中国证券期货市场衍生品交易主协议（信用保护合约专用版）》（以下简称“</w:t>
      </w:r>
      <w:r>
        <w:rPr>
          <w:rFonts w:hint="eastAsia" w:eastAsia="仿宋_GB2312" w:cs="新宋体"/>
          <w:b/>
          <w:bCs/>
          <w:spacing w:val="-3"/>
          <w:sz w:val="30"/>
          <w:szCs w:val="28"/>
        </w:rPr>
        <w:t>主协议</w:t>
      </w:r>
      <w:r>
        <w:rPr>
          <w:rFonts w:hint="eastAsia" w:eastAsia="仿宋_GB2312" w:cs="新宋体"/>
          <w:spacing w:val="-3"/>
          <w:sz w:val="30"/>
          <w:szCs w:val="28"/>
        </w:rPr>
        <w:t>”）和《中国证券期货市场衍生品交易主协议（信用保护合约专用版）补充协议》</w:t>
      </w:r>
      <w:r>
        <w:rPr>
          <w:rFonts w:hint="eastAsia" w:eastAsia="仿宋_GB2312" w:cs="新宋体"/>
          <w:spacing w:val="-7"/>
          <w:sz w:val="30"/>
          <w:szCs w:val="28"/>
        </w:rPr>
        <w:t>（若有，以下简称“</w:t>
      </w:r>
      <w:r>
        <w:rPr>
          <w:rFonts w:hint="eastAsia" w:eastAsia="仿宋_GB2312" w:cs="新宋体"/>
          <w:b/>
          <w:bCs/>
          <w:spacing w:val="-7"/>
          <w:sz w:val="30"/>
          <w:szCs w:val="28"/>
        </w:rPr>
        <w:t>补充协议</w:t>
      </w:r>
      <w:r>
        <w:rPr>
          <w:rFonts w:hint="eastAsia" w:eastAsia="仿宋_GB2312" w:cs="新宋体"/>
          <w:spacing w:val="-7"/>
          <w:sz w:val="30"/>
          <w:szCs w:val="28"/>
        </w:rPr>
        <w:t>”）</w:t>
      </w:r>
      <w:r>
        <w:rPr>
          <w:rFonts w:hint="eastAsia" w:eastAsia="仿宋_GB2312" w:cs="新宋体"/>
          <w:spacing w:val="-3"/>
          <w:sz w:val="30"/>
          <w:szCs w:val="28"/>
        </w:rPr>
        <w:t>，</w:t>
      </w:r>
      <w:r>
        <w:rPr>
          <w:rFonts w:hint="eastAsia" w:eastAsia="仿宋_GB2312" w:cs="新宋体"/>
          <w:b/>
          <w:bCs/>
          <w:spacing w:val="-3"/>
          <w:sz w:val="30"/>
          <w:szCs w:val="28"/>
        </w:rPr>
        <w:t>本确认书</w:t>
      </w:r>
      <w:r>
        <w:rPr>
          <w:rFonts w:hint="eastAsia" w:eastAsia="仿宋_GB2312" w:cs="新宋体"/>
          <w:spacing w:val="-3"/>
          <w:sz w:val="30"/>
          <w:szCs w:val="28"/>
        </w:rPr>
        <w:t>构成</w:t>
      </w:r>
      <w:r>
        <w:rPr>
          <w:rFonts w:hint="eastAsia" w:eastAsia="仿宋_GB2312" w:cs="新宋体"/>
          <w:b/>
          <w:bCs/>
          <w:spacing w:val="-3"/>
          <w:sz w:val="30"/>
          <w:szCs w:val="28"/>
        </w:rPr>
        <w:t>主协议</w:t>
      </w:r>
      <w:r>
        <w:rPr>
          <w:rFonts w:hint="eastAsia" w:eastAsia="仿宋_GB2312" w:cs="新宋体"/>
          <w:spacing w:val="-3"/>
          <w:sz w:val="30"/>
          <w:szCs w:val="28"/>
        </w:rPr>
        <w:t>所称的“</w:t>
      </w:r>
      <w:r>
        <w:rPr>
          <w:rFonts w:hint="eastAsia" w:eastAsia="仿宋_GB2312" w:cs="新宋体"/>
          <w:b/>
          <w:bCs/>
          <w:spacing w:val="-3"/>
          <w:sz w:val="30"/>
          <w:szCs w:val="28"/>
        </w:rPr>
        <w:t>交易确认书</w:t>
      </w:r>
      <w:r>
        <w:rPr>
          <w:rFonts w:hint="eastAsia" w:eastAsia="仿宋_GB2312" w:cs="新宋体"/>
          <w:spacing w:val="-3"/>
          <w:sz w:val="30"/>
          <w:szCs w:val="28"/>
        </w:rPr>
        <w:t>”，</w:t>
      </w:r>
      <w:r>
        <w:rPr>
          <w:rFonts w:hint="eastAsia" w:eastAsia="仿宋_GB2312" w:cs="新宋体"/>
          <w:b/>
          <w:bCs/>
          <w:spacing w:val="-3"/>
          <w:sz w:val="30"/>
          <w:szCs w:val="28"/>
        </w:rPr>
        <w:t>主协议</w:t>
      </w:r>
      <w:r>
        <w:rPr>
          <w:rFonts w:hint="eastAsia" w:eastAsia="仿宋_GB2312" w:cs="新宋体"/>
          <w:spacing w:val="-3"/>
          <w:sz w:val="30"/>
          <w:szCs w:val="28"/>
        </w:rPr>
        <w:t>和</w:t>
      </w:r>
      <w:r>
        <w:rPr>
          <w:rFonts w:hint="eastAsia" w:eastAsia="仿宋_GB2312" w:cs="新宋体"/>
          <w:b/>
          <w:bCs/>
          <w:spacing w:val="-3"/>
          <w:sz w:val="30"/>
          <w:szCs w:val="28"/>
        </w:rPr>
        <w:t>补充协议</w:t>
      </w:r>
      <w:r>
        <w:rPr>
          <w:rFonts w:hint="eastAsia" w:eastAsia="仿宋_GB2312" w:cs="新宋体"/>
          <w:spacing w:val="-3"/>
          <w:sz w:val="30"/>
          <w:szCs w:val="28"/>
        </w:rPr>
        <w:t>（如有）中</w:t>
      </w:r>
      <w:r>
        <w:rPr>
          <w:rFonts w:hint="eastAsia" w:eastAsia="仿宋_GB2312" w:cs="新宋体"/>
          <w:sz w:val="30"/>
          <w:szCs w:val="28"/>
        </w:rPr>
        <w:t>的全部条款，除上海证券交易所、</w:t>
      </w:r>
      <w:r>
        <w:rPr>
          <w:rFonts w:hint="eastAsia" w:eastAsia="仿宋_GB2312" w:cs="新宋体"/>
          <w:b/>
          <w:bCs/>
          <w:sz w:val="30"/>
          <w:szCs w:val="28"/>
        </w:rPr>
        <w:t>交易双方</w:t>
      </w:r>
      <w:r>
        <w:rPr>
          <w:rFonts w:hint="eastAsia" w:eastAsia="仿宋_GB2312" w:cs="新宋体"/>
          <w:sz w:val="30"/>
          <w:szCs w:val="28"/>
        </w:rPr>
        <w:t>另有特别规定或约定，适用于</w:t>
      </w:r>
      <w:r>
        <w:rPr>
          <w:rFonts w:hint="eastAsia" w:eastAsia="仿宋_GB2312" w:cs="新宋体"/>
          <w:b/>
          <w:bCs/>
          <w:sz w:val="30"/>
          <w:szCs w:val="28"/>
        </w:rPr>
        <w:t>本确认书</w:t>
      </w:r>
      <w:r>
        <w:rPr>
          <w:rFonts w:hint="eastAsia" w:eastAsia="仿宋_GB2312" w:cs="新宋体"/>
          <w:sz w:val="30"/>
          <w:szCs w:val="28"/>
        </w:rPr>
        <w:t>。</w:t>
      </w:r>
    </w:p>
    <w:p w14:paraId="2B635DCA">
      <w:pPr>
        <w:spacing w:before="156" w:line="560" w:lineRule="exact"/>
        <w:ind w:right="193" w:firstLine="586" w:firstLineChars="200"/>
        <w:rPr>
          <w:rFonts w:eastAsia="仿宋_GB2312" w:cs="新宋体"/>
          <w:sz w:val="30"/>
          <w:szCs w:val="28"/>
        </w:rPr>
      </w:pPr>
      <w:r>
        <w:rPr>
          <w:rFonts w:hint="eastAsia" w:eastAsia="仿宋_GB2312" w:cs="新宋体"/>
          <w:b/>
          <w:bCs/>
          <w:spacing w:val="-4"/>
          <w:sz w:val="30"/>
          <w:szCs w:val="28"/>
        </w:rPr>
        <w:t>本确认书</w:t>
      </w:r>
      <w:r>
        <w:rPr>
          <w:rFonts w:hint="eastAsia" w:eastAsia="仿宋_GB2312" w:cs="新宋体"/>
          <w:spacing w:val="-4"/>
          <w:sz w:val="30"/>
          <w:szCs w:val="28"/>
        </w:rPr>
        <w:t>与</w:t>
      </w:r>
      <w:r>
        <w:rPr>
          <w:rFonts w:hint="eastAsia" w:eastAsia="仿宋_GB2312" w:cs="新宋体"/>
          <w:b/>
          <w:bCs/>
          <w:spacing w:val="-4"/>
          <w:sz w:val="30"/>
          <w:szCs w:val="28"/>
        </w:rPr>
        <w:t>主协议</w:t>
      </w:r>
      <w:r>
        <w:rPr>
          <w:rFonts w:hint="eastAsia" w:eastAsia="仿宋_GB2312" w:cs="新宋体"/>
          <w:spacing w:val="-4"/>
          <w:sz w:val="30"/>
          <w:szCs w:val="28"/>
        </w:rPr>
        <w:t>、</w:t>
      </w:r>
      <w:r>
        <w:rPr>
          <w:rFonts w:hint="eastAsia" w:eastAsia="仿宋_GB2312" w:cs="新宋体"/>
          <w:b/>
          <w:bCs/>
          <w:spacing w:val="-4"/>
          <w:sz w:val="30"/>
          <w:szCs w:val="28"/>
        </w:rPr>
        <w:t>补充协议</w:t>
      </w:r>
      <w:r>
        <w:rPr>
          <w:rFonts w:hint="eastAsia" w:eastAsia="仿宋_GB2312" w:cs="新宋体"/>
          <w:spacing w:val="-4"/>
          <w:sz w:val="30"/>
          <w:szCs w:val="28"/>
        </w:rPr>
        <w:t>以及交易双方认可的确认</w:t>
      </w:r>
      <w:r>
        <w:rPr>
          <w:rFonts w:hint="eastAsia" w:eastAsia="仿宋_GB2312" w:cs="新宋体"/>
          <w:b/>
          <w:bCs/>
          <w:spacing w:val="-4"/>
          <w:sz w:val="30"/>
          <w:szCs w:val="28"/>
        </w:rPr>
        <w:t>交易双方</w:t>
      </w:r>
      <w:r>
        <w:rPr>
          <w:rFonts w:hint="eastAsia" w:eastAsia="仿宋_GB2312" w:cs="新宋体"/>
          <w:spacing w:val="-4"/>
          <w:sz w:val="30"/>
          <w:szCs w:val="28"/>
        </w:rPr>
        <w:t>之间信用保护合约</w:t>
      </w:r>
      <w:r>
        <w:rPr>
          <w:rFonts w:hint="eastAsia" w:eastAsia="仿宋_GB2312" w:cs="新宋体"/>
          <w:spacing w:val="-3"/>
          <w:sz w:val="30"/>
          <w:szCs w:val="28"/>
        </w:rPr>
        <w:t>交易的所有援引了</w:t>
      </w:r>
      <w:r>
        <w:rPr>
          <w:rFonts w:hint="eastAsia" w:eastAsia="仿宋_GB2312" w:cs="新宋体"/>
          <w:b/>
          <w:bCs/>
          <w:spacing w:val="-3"/>
          <w:sz w:val="30"/>
          <w:szCs w:val="28"/>
        </w:rPr>
        <w:t>主协议</w:t>
      </w:r>
      <w:r>
        <w:rPr>
          <w:rFonts w:hint="eastAsia" w:eastAsia="仿宋_GB2312" w:cs="新宋体"/>
          <w:spacing w:val="-3"/>
          <w:sz w:val="30"/>
          <w:szCs w:val="28"/>
        </w:rPr>
        <w:t>的其他文件（以下简称“</w:t>
      </w:r>
      <w:r>
        <w:rPr>
          <w:rFonts w:hint="eastAsia" w:eastAsia="仿宋_GB2312" w:cs="新宋体"/>
          <w:b/>
          <w:bCs/>
          <w:spacing w:val="-3"/>
          <w:sz w:val="30"/>
          <w:szCs w:val="28"/>
        </w:rPr>
        <w:t>其他文件</w:t>
      </w:r>
      <w:r>
        <w:rPr>
          <w:rFonts w:hint="eastAsia" w:eastAsia="仿宋_GB2312" w:cs="新宋体"/>
          <w:spacing w:val="-3"/>
          <w:sz w:val="30"/>
          <w:szCs w:val="28"/>
        </w:rPr>
        <w:t>”），共同构成</w:t>
      </w:r>
      <w:r>
        <w:rPr>
          <w:rFonts w:hint="eastAsia" w:eastAsia="仿宋_GB2312" w:cs="新宋体"/>
          <w:b/>
          <w:bCs/>
          <w:spacing w:val="-3"/>
          <w:sz w:val="30"/>
          <w:szCs w:val="28"/>
        </w:rPr>
        <w:t>交易双方</w:t>
      </w:r>
      <w:r>
        <w:rPr>
          <w:rFonts w:hint="eastAsia" w:eastAsia="仿宋_GB2312" w:cs="新宋体"/>
          <w:spacing w:val="-3"/>
          <w:sz w:val="30"/>
          <w:szCs w:val="28"/>
        </w:rPr>
        <w:t>之间单一和完整的协议。就</w:t>
      </w:r>
      <w:r>
        <w:rPr>
          <w:rFonts w:hint="eastAsia" w:eastAsia="仿宋_GB2312" w:cs="新宋体"/>
          <w:b/>
          <w:bCs/>
          <w:spacing w:val="-3"/>
          <w:sz w:val="30"/>
          <w:szCs w:val="28"/>
        </w:rPr>
        <w:t>本确认书</w:t>
      </w:r>
      <w:r>
        <w:rPr>
          <w:rFonts w:hint="eastAsia" w:eastAsia="仿宋_GB2312" w:cs="新宋体"/>
          <w:spacing w:val="-3"/>
          <w:sz w:val="30"/>
          <w:szCs w:val="28"/>
        </w:rPr>
        <w:t>项下的</w:t>
      </w:r>
      <w:r>
        <w:rPr>
          <w:rFonts w:hint="eastAsia" w:eastAsia="仿宋_GB2312" w:cs="新宋体"/>
          <w:b/>
          <w:bCs/>
          <w:spacing w:val="-3"/>
          <w:sz w:val="30"/>
          <w:szCs w:val="28"/>
        </w:rPr>
        <w:t>交易</w:t>
      </w:r>
      <w:r>
        <w:rPr>
          <w:rFonts w:hint="eastAsia" w:eastAsia="仿宋_GB2312" w:cs="新宋体"/>
          <w:spacing w:val="-3"/>
          <w:sz w:val="30"/>
          <w:szCs w:val="28"/>
        </w:rPr>
        <w:t>而言，若</w:t>
      </w:r>
      <w:r>
        <w:rPr>
          <w:rFonts w:hint="eastAsia" w:eastAsia="仿宋_GB2312" w:cs="新宋体"/>
          <w:b/>
          <w:bCs/>
          <w:spacing w:val="-3"/>
          <w:sz w:val="30"/>
          <w:szCs w:val="28"/>
        </w:rPr>
        <w:t>本确认书</w:t>
      </w:r>
      <w:r>
        <w:rPr>
          <w:rFonts w:hint="eastAsia" w:eastAsia="仿宋_GB2312" w:cs="新宋体"/>
          <w:spacing w:val="-3"/>
          <w:sz w:val="30"/>
          <w:szCs w:val="28"/>
        </w:rPr>
        <w:t>的约定与</w:t>
      </w:r>
      <w:r>
        <w:rPr>
          <w:rFonts w:hint="eastAsia" w:eastAsia="仿宋_GB2312" w:cs="新宋体"/>
          <w:b/>
          <w:bCs/>
          <w:sz w:val="30"/>
          <w:szCs w:val="28"/>
        </w:rPr>
        <w:t>主协议</w:t>
      </w:r>
      <w:r>
        <w:rPr>
          <w:rFonts w:hint="eastAsia" w:eastAsia="仿宋_GB2312" w:cs="新宋体"/>
          <w:sz w:val="30"/>
          <w:szCs w:val="28"/>
        </w:rPr>
        <w:t>、</w:t>
      </w:r>
      <w:r>
        <w:rPr>
          <w:rFonts w:hint="eastAsia" w:eastAsia="仿宋_GB2312" w:cs="新宋体"/>
          <w:b/>
          <w:bCs/>
          <w:sz w:val="30"/>
          <w:szCs w:val="28"/>
        </w:rPr>
        <w:t>补充协议</w:t>
      </w:r>
      <w:r>
        <w:rPr>
          <w:rFonts w:hint="eastAsia" w:eastAsia="仿宋_GB2312" w:cs="新宋体"/>
          <w:sz w:val="30"/>
          <w:szCs w:val="28"/>
        </w:rPr>
        <w:t>或</w:t>
      </w:r>
      <w:r>
        <w:rPr>
          <w:rFonts w:hint="eastAsia" w:eastAsia="仿宋_GB2312" w:cs="新宋体"/>
          <w:b/>
          <w:bCs/>
          <w:sz w:val="30"/>
          <w:szCs w:val="28"/>
        </w:rPr>
        <w:t>其他文件</w:t>
      </w:r>
      <w:r>
        <w:rPr>
          <w:rFonts w:hint="eastAsia" w:eastAsia="仿宋_GB2312" w:cs="新宋体"/>
          <w:sz w:val="30"/>
          <w:szCs w:val="28"/>
        </w:rPr>
        <w:t>（如有）的约定有冲突，在不违反</w:t>
      </w:r>
      <w:r>
        <w:rPr>
          <w:rFonts w:hint="eastAsia" w:eastAsia="仿宋_GB2312" w:cs="新宋体"/>
          <w:bCs/>
          <w:sz w:val="30"/>
          <w:szCs w:val="28"/>
        </w:rPr>
        <w:t>上海证券交易所</w:t>
      </w:r>
      <w:r>
        <w:rPr>
          <w:rFonts w:hint="eastAsia" w:eastAsia="仿宋_GB2312" w:cs="新宋体"/>
          <w:sz w:val="30"/>
          <w:szCs w:val="28"/>
        </w:rPr>
        <w:t>相关规定的条件下，应以</w:t>
      </w:r>
      <w:r>
        <w:rPr>
          <w:rFonts w:hint="eastAsia" w:eastAsia="仿宋_GB2312" w:cs="新宋体"/>
          <w:b/>
          <w:bCs/>
          <w:sz w:val="30"/>
          <w:szCs w:val="28"/>
        </w:rPr>
        <w:t>本确认书</w:t>
      </w:r>
      <w:r>
        <w:rPr>
          <w:rFonts w:hint="eastAsia" w:eastAsia="仿宋_GB2312" w:cs="新宋体"/>
          <w:sz w:val="30"/>
          <w:szCs w:val="28"/>
        </w:rPr>
        <w:t>的约定为准。</w:t>
      </w:r>
    </w:p>
    <w:p w14:paraId="3D327281">
      <w:pPr>
        <w:spacing w:before="125" w:line="560" w:lineRule="exact"/>
        <w:ind w:firstLine="614" w:firstLineChars="200"/>
        <w:rPr>
          <w:rFonts w:eastAsia="仿宋_GB2312" w:cs="新宋体"/>
          <w:sz w:val="30"/>
          <w:szCs w:val="28"/>
        </w:rPr>
      </w:pPr>
      <w:r>
        <w:rPr>
          <w:rFonts w:hint="eastAsia" w:eastAsia="仿宋_GB2312" w:cs="新宋体"/>
          <w:b/>
          <w:bCs/>
          <w:spacing w:val="3"/>
          <w:sz w:val="30"/>
          <w:szCs w:val="28"/>
        </w:rPr>
        <w:t>本确认书</w:t>
      </w:r>
      <w:r>
        <w:rPr>
          <w:rFonts w:hint="eastAsia" w:eastAsia="仿宋_GB2312" w:cs="新宋体"/>
          <w:spacing w:val="3"/>
          <w:sz w:val="30"/>
          <w:szCs w:val="28"/>
        </w:rPr>
        <w:t>取代</w:t>
      </w:r>
      <w:r>
        <w:rPr>
          <w:rFonts w:hint="eastAsia" w:eastAsia="仿宋_GB2312" w:cs="新宋体"/>
          <w:b/>
          <w:bCs/>
          <w:spacing w:val="3"/>
          <w:sz w:val="30"/>
          <w:szCs w:val="28"/>
        </w:rPr>
        <w:t>交易双方</w:t>
      </w:r>
      <w:r>
        <w:rPr>
          <w:rFonts w:hint="eastAsia" w:eastAsia="仿宋_GB2312" w:cs="新宋体"/>
          <w:spacing w:val="3"/>
          <w:sz w:val="30"/>
          <w:szCs w:val="28"/>
        </w:rPr>
        <w:t>在</w:t>
      </w:r>
      <w:r>
        <w:rPr>
          <w:rFonts w:hint="eastAsia" w:eastAsia="仿宋_GB2312" w:cs="新宋体"/>
          <w:b/>
          <w:bCs/>
          <w:spacing w:val="3"/>
          <w:sz w:val="30"/>
          <w:szCs w:val="28"/>
        </w:rPr>
        <w:t>本确认书</w:t>
      </w:r>
      <w:r>
        <w:rPr>
          <w:rFonts w:hint="eastAsia" w:eastAsia="仿宋_GB2312" w:cs="新宋体"/>
          <w:spacing w:val="3"/>
          <w:sz w:val="30"/>
          <w:szCs w:val="28"/>
        </w:rPr>
        <w:t>的</w:t>
      </w:r>
      <w:r>
        <w:rPr>
          <w:rFonts w:hint="eastAsia" w:eastAsia="仿宋_GB2312" w:cs="新宋体"/>
          <w:b/>
          <w:bCs/>
          <w:spacing w:val="3"/>
          <w:sz w:val="30"/>
          <w:szCs w:val="28"/>
        </w:rPr>
        <w:t>签署日</w:t>
      </w:r>
      <w:r>
        <w:rPr>
          <w:rFonts w:hint="eastAsia" w:eastAsia="仿宋_GB2312" w:cs="新宋体"/>
          <w:spacing w:val="3"/>
          <w:sz w:val="30"/>
          <w:szCs w:val="28"/>
        </w:rPr>
        <w:t>之前就</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pacing w:val="3"/>
          <w:sz w:val="30"/>
          <w:szCs w:val="28"/>
        </w:rPr>
        <w:t>该项</w:t>
      </w:r>
      <w:r>
        <w:rPr>
          <w:rFonts w:hint="eastAsia" w:eastAsia="仿宋_GB2312" w:cs="新宋体"/>
          <w:b/>
          <w:bCs/>
          <w:spacing w:val="3"/>
          <w:sz w:val="30"/>
          <w:szCs w:val="28"/>
        </w:rPr>
        <w:t>交易</w:t>
      </w:r>
      <w:r>
        <w:rPr>
          <w:rFonts w:hint="eastAsia" w:eastAsia="仿宋_GB2312" w:cs="新宋体"/>
          <w:spacing w:val="3"/>
          <w:sz w:val="30"/>
          <w:szCs w:val="28"/>
        </w:rPr>
        <w:t>所作出的任何其他确认</w:t>
      </w:r>
      <w:r>
        <w:rPr>
          <w:rFonts w:hint="eastAsia" w:eastAsia="仿宋_GB2312" w:cs="新宋体"/>
          <w:sz w:val="30"/>
          <w:szCs w:val="28"/>
        </w:rPr>
        <w:t>（包括但不限于其他书面确认、电话及口头确认）。</w:t>
      </w:r>
    </w:p>
    <w:p w14:paraId="644805BA">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中的未明确的定义，参照《上海证券交易所</w:t>
      </w:r>
      <w:r>
        <w:rPr>
          <w:rFonts w:eastAsia="仿宋_GB2312" w:cs="新宋体"/>
          <w:sz w:val="30"/>
          <w:szCs w:val="28"/>
        </w:rPr>
        <w:t xml:space="preserve"> </w:t>
      </w:r>
      <w:r>
        <w:rPr>
          <w:rFonts w:hint="eastAsia" w:eastAsia="仿宋_GB2312" w:cs="新宋体"/>
          <w:sz w:val="30"/>
          <w:szCs w:val="28"/>
        </w:rPr>
        <w:t>中国证券登记结算有限责任公司信用保护工具业务管理试点办法》、《上海证券交易所信用保护工具交易业务指引》、</w:t>
      </w:r>
      <w:r>
        <w:rPr>
          <w:rFonts w:hint="eastAsia" w:eastAsia="仿宋_GB2312" w:cs="新宋体"/>
          <w:b/>
          <w:bCs/>
          <w:sz w:val="30"/>
          <w:szCs w:val="28"/>
        </w:rPr>
        <w:t>主协议</w:t>
      </w:r>
      <w:r>
        <w:rPr>
          <w:rFonts w:hint="eastAsia" w:eastAsia="仿宋_GB2312" w:cs="新宋体"/>
          <w:sz w:val="30"/>
          <w:szCs w:val="28"/>
        </w:rPr>
        <w:t>及其</w:t>
      </w:r>
      <w:r>
        <w:rPr>
          <w:rFonts w:hint="eastAsia" w:eastAsia="仿宋_GB2312" w:cs="新宋体"/>
          <w:b/>
          <w:bCs/>
          <w:sz w:val="30"/>
          <w:szCs w:val="28"/>
        </w:rPr>
        <w:t>补充协议</w:t>
      </w:r>
      <w:r>
        <w:rPr>
          <w:rFonts w:hint="eastAsia" w:eastAsia="仿宋_GB2312" w:cs="新宋体"/>
          <w:sz w:val="30"/>
          <w:szCs w:val="28"/>
        </w:rPr>
        <w:t>中的定义。</w:t>
      </w:r>
    </w:p>
    <w:p w14:paraId="4DD9F905">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正本一式</w:t>
      </w:r>
      <w:r>
        <w:rPr>
          <w:rFonts w:hint="eastAsia" w:eastAsia="仿宋_GB2312" w:cs="新宋体"/>
          <w:b/>
          <w:spacing w:val="-3"/>
          <w:sz w:val="30"/>
          <w:szCs w:val="28"/>
        </w:rPr>
        <w:t>【】</w:t>
      </w:r>
      <w:r>
        <w:rPr>
          <w:rFonts w:hint="eastAsia" w:eastAsia="仿宋_GB2312" w:cs="新宋体"/>
          <w:sz w:val="30"/>
          <w:szCs w:val="28"/>
        </w:rPr>
        <w:t>份，</w:t>
      </w:r>
      <w:r>
        <w:rPr>
          <w:rFonts w:hint="eastAsia" w:eastAsia="仿宋_GB2312" w:cs="新宋体"/>
          <w:b/>
          <w:bCs/>
          <w:sz w:val="30"/>
          <w:szCs w:val="28"/>
        </w:rPr>
        <w:t>交易双方</w:t>
      </w:r>
      <w:r>
        <w:rPr>
          <w:rFonts w:hint="eastAsia" w:eastAsia="仿宋_GB2312" w:cs="新宋体"/>
          <w:sz w:val="30"/>
          <w:szCs w:val="28"/>
        </w:rPr>
        <w:t>各持</w:t>
      </w:r>
      <w:r>
        <w:rPr>
          <w:rFonts w:hint="eastAsia" w:eastAsia="仿宋_GB2312" w:cs="新宋体"/>
          <w:b/>
          <w:spacing w:val="-3"/>
          <w:sz w:val="30"/>
          <w:szCs w:val="28"/>
        </w:rPr>
        <w:t>【】</w:t>
      </w:r>
      <w:r>
        <w:rPr>
          <w:rFonts w:hint="eastAsia" w:eastAsia="仿宋_GB2312" w:cs="新宋体"/>
          <w:sz w:val="30"/>
          <w:szCs w:val="28"/>
        </w:rPr>
        <w:t>份，每份具有同等的法律效力。</w:t>
      </w:r>
    </w:p>
    <w:p w14:paraId="789778E2">
      <w:pPr>
        <w:spacing w:before="125" w:line="560" w:lineRule="exact"/>
        <w:ind w:firstLine="600" w:firstLineChars="200"/>
        <w:rPr>
          <w:rFonts w:eastAsia="仿宋_GB2312" w:cs="新宋体"/>
          <w:sz w:val="30"/>
          <w:szCs w:val="28"/>
        </w:rPr>
      </w:pPr>
    </w:p>
    <w:p w14:paraId="425318E7">
      <w:pPr>
        <w:spacing w:before="72" w:after="72" w:line="560" w:lineRule="exact"/>
        <w:rPr>
          <w:rFonts w:eastAsia="仿宋_GB2312" w:cs="新宋体"/>
          <w:b/>
          <w:bCs/>
          <w:sz w:val="30"/>
          <w:szCs w:val="28"/>
        </w:rPr>
      </w:pPr>
      <w:r>
        <w:rPr>
          <w:rFonts w:hint="eastAsia" w:eastAsia="仿宋_GB2312" w:cs="新宋体"/>
          <w:b/>
          <w:bCs/>
          <w:sz w:val="30"/>
          <w:szCs w:val="28"/>
        </w:rPr>
        <w:t>一、适用的金融产品</w:t>
      </w:r>
    </w:p>
    <w:p w14:paraId="6C12DF97">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甲方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乙方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甲方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甲方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3545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50DEF92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5BA8345D">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5C2E6F12">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67DB2582">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64EE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61603883">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AC89886">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755DC5EC">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6EACFE36">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396C3C59">
      <w:pPr>
        <w:spacing w:before="125" w:line="560" w:lineRule="exact"/>
        <w:ind w:firstLine="602" w:firstLineChars="200"/>
        <w:rPr>
          <w:rFonts w:eastAsia="仿宋_GB2312" w:cs="新宋体"/>
          <w:b/>
          <w:bCs/>
          <w:sz w:val="30"/>
          <w:szCs w:val="28"/>
        </w:rPr>
      </w:pPr>
    </w:p>
    <w:p w14:paraId="44E64BC8">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乙方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甲方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乙方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乙方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14D7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7B6BD3B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7239F7D2">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361DAE3A">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1EFCF45F">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1EB2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54E3DBC5">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DF440FA">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4FE9D8CF">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1FD0EC7A">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7D504AAF">
      <w:pPr>
        <w:spacing w:before="125" w:line="560" w:lineRule="exact"/>
        <w:rPr>
          <w:rFonts w:eastAsia="仿宋_GB2312"/>
          <w:sz w:val="30"/>
          <w:szCs w:val="28"/>
        </w:rPr>
      </w:pPr>
    </w:p>
    <w:p w14:paraId="60BFBB17">
      <w:pPr>
        <w:spacing w:before="72" w:after="72" w:line="560" w:lineRule="exact"/>
        <w:rPr>
          <w:rFonts w:eastAsia="仿宋_GB2312"/>
          <w:b/>
          <w:sz w:val="30"/>
          <w:szCs w:val="28"/>
        </w:rPr>
      </w:pPr>
      <w:r>
        <w:rPr>
          <w:rFonts w:hint="eastAsia" w:eastAsia="仿宋_GB2312"/>
          <w:b/>
          <w:sz w:val="30"/>
          <w:szCs w:val="28"/>
        </w:rPr>
        <w:t>二、基本条款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5748"/>
      </w:tblGrid>
      <w:tr w14:paraId="5614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5A037D25">
            <w:pPr>
              <w:spacing w:line="560" w:lineRule="exact"/>
              <w:rPr>
                <w:rFonts w:eastAsia="仿宋_GB2312"/>
                <w:kern w:val="0"/>
                <w:sz w:val="30"/>
                <w:szCs w:val="28"/>
              </w:rPr>
            </w:pPr>
            <w:r>
              <w:rPr>
                <w:rFonts w:hint="eastAsia" w:eastAsia="仿宋_GB2312" w:cs="新宋体"/>
                <w:sz w:val="30"/>
                <w:szCs w:val="28"/>
              </w:rPr>
              <w:t>信用保护卖方</w:t>
            </w:r>
          </w:p>
        </w:tc>
        <w:tc>
          <w:tcPr>
            <w:tcW w:w="5748" w:type="dxa"/>
            <w:vAlign w:val="center"/>
          </w:tcPr>
          <w:p w14:paraId="30CBBEEC">
            <w:pPr>
              <w:spacing w:line="560" w:lineRule="exact"/>
              <w:rPr>
                <w:rFonts w:eastAsia="仿宋_GB2312"/>
                <w:kern w:val="0"/>
                <w:sz w:val="30"/>
                <w:szCs w:val="28"/>
              </w:rPr>
            </w:pPr>
            <w:r>
              <w:rPr>
                <w:rFonts w:hint="eastAsia" w:eastAsia="仿宋_GB2312"/>
                <w:sz w:val="30"/>
                <w:szCs w:val="28"/>
              </w:rPr>
              <w:t>【】</w:t>
            </w:r>
          </w:p>
        </w:tc>
      </w:tr>
      <w:tr w14:paraId="4EEC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0C954B24">
            <w:pPr>
              <w:spacing w:line="560" w:lineRule="exact"/>
              <w:rPr>
                <w:rFonts w:eastAsia="仿宋_GB2312"/>
                <w:kern w:val="0"/>
                <w:sz w:val="30"/>
                <w:szCs w:val="28"/>
              </w:rPr>
            </w:pPr>
            <w:r>
              <w:rPr>
                <w:rFonts w:hint="eastAsia" w:eastAsia="仿宋_GB2312" w:cs="新宋体"/>
                <w:sz w:val="30"/>
                <w:szCs w:val="28"/>
              </w:rPr>
              <w:t>信用保护买方</w:t>
            </w:r>
          </w:p>
        </w:tc>
        <w:tc>
          <w:tcPr>
            <w:tcW w:w="5748" w:type="dxa"/>
            <w:vAlign w:val="center"/>
          </w:tcPr>
          <w:p w14:paraId="603EF996">
            <w:pPr>
              <w:spacing w:line="560" w:lineRule="exact"/>
              <w:rPr>
                <w:rFonts w:eastAsia="仿宋_GB2312"/>
                <w:kern w:val="0"/>
                <w:sz w:val="30"/>
                <w:szCs w:val="28"/>
              </w:rPr>
            </w:pPr>
            <w:r>
              <w:rPr>
                <w:rFonts w:hint="eastAsia" w:eastAsia="仿宋_GB2312"/>
                <w:sz w:val="30"/>
                <w:szCs w:val="28"/>
              </w:rPr>
              <w:t>【】</w:t>
            </w:r>
          </w:p>
        </w:tc>
      </w:tr>
      <w:tr w14:paraId="3B09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04F36C4B">
            <w:pPr>
              <w:spacing w:line="560" w:lineRule="exact"/>
              <w:rPr>
                <w:rFonts w:eastAsia="仿宋_GB2312" w:cs="新宋体"/>
                <w:sz w:val="30"/>
                <w:szCs w:val="28"/>
              </w:rPr>
            </w:pPr>
            <w:r>
              <w:rPr>
                <w:rFonts w:hint="eastAsia" w:eastAsia="仿宋_GB2312" w:cs="新宋体"/>
                <w:sz w:val="30"/>
                <w:szCs w:val="28"/>
              </w:rPr>
              <w:t>名义本金</w:t>
            </w:r>
          </w:p>
        </w:tc>
        <w:tc>
          <w:tcPr>
            <w:tcW w:w="5748" w:type="dxa"/>
            <w:vAlign w:val="center"/>
          </w:tcPr>
          <w:p w14:paraId="48DDDBF3">
            <w:pPr>
              <w:spacing w:line="560" w:lineRule="exact"/>
              <w:rPr>
                <w:rFonts w:eastAsia="仿宋_GB2312"/>
                <w:sz w:val="30"/>
                <w:szCs w:val="28"/>
              </w:rPr>
            </w:pPr>
            <w:r>
              <w:rPr>
                <w:rFonts w:hint="eastAsia" w:eastAsia="仿宋_GB2312"/>
                <w:kern w:val="0"/>
                <w:sz w:val="30"/>
                <w:szCs w:val="28"/>
              </w:rPr>
              <w:t>【】万元人民币</w:t>
            </w:r>
          </w:p>
        </w:tc>
      </w:tr>
      <w:tr w14:paraId="7C26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52F0995F">
            <w:pPr>
              <w:spacing w:line="560" w:lineRule="exact"/>
              <w:rPr>
                <w:rFonts w:eastAsia="仿宋_GB2312"/>
                <w:kern w:val="0"/>
                <w:sz w:val="30"/>
                <w:szCs w:val="28"/>
              </w:rPr>
            </w:pPr>
            <w:r>
              <w:rPr>
                <w:rFonts w:hint="eastAsia" w:eastAsia="仿宋_GB2312" w:cs="新宋体"/>
                <w:sz w:val="30"/>
                <w:szCs w:val="28"/>
              </w:rPr>
              <w:t>签署日</w:t>
            </w:r>
          </w:p>
        </w:tc>
        <w:tc>
          <w:tcPr>
            <w:tcW w:w="5748" w:type="dxa"/>
            <w:vAlign w:val="center"/>
          </w:tcPr>
          <w:p w14:paraId="1D672A82">
            <w:pPr>
              <w:spacing w:line="560" w:lineRule="exact"/>
              <w:rPr>
                <w:rFonts w:eastAsia="仿宋_GB2312"/>
                <w:kern w:val="0"/>
                <w:sz w:val="30"/>
                <w:szCs w:val="28"/>
              </w:rPr>
            </w:pPr>
            <w:r>
              <w:rPr>
                <w:rFonts w:hint="eastAsia" w:eastAsia="仿宋_GB2312"/>
                <w:sz w:val="30"/>
                <w:szCs w:val="28"/>
              </w:rPr>
              <w:t>【】年【】月【】日</w:t>
            </w:r>
          </w:p>
        </w:tc>
      </w:tr>
      <w:tr w14:paraId="29E6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548" w:type="dxa"/>
            <w:vAlign w:val="center"/>
          </w:tcPr>
          <w:p w14:paraId="31FBA71E">
            <w:pPr>
              <w:spacing w:line="560" w:lineRule="exact"/>
              <w:rPr>
                <w:rFonts w:eastAsia="仿宋_GB2312"/>
                <w:kern w:val="0"/>
                <w:sz w:val="30"/>
                <w:szCs w:val="28"/>
              </w:rPr>
            </w:pPr>
            <w:r>
              <w:rPr>
                <w:rFonts w:hint="eastAsia" w:eastAsia="仿宋_GB2312" w:cs="新宋体"/>
                <w:sz w:val="30"/>
                <w:szCs w:val="28"/>
              </w:rPr>
              <w:t>起始日</w:t>
            </w:r>
          </w:p>
        </w:tc>
        <w:tc>
          <w:tcPr>
            <w:tcW w:w="5748" w:type="dxa"/>
            <w:vAlign w:val="center"/>
          </w:tcPr>
          <w:p w14:paraId="4627D2A4">
            <w:pPr>
              <w:spacing w:line="560" w:lineRule="exact"/>
              <w:rPr>
                <w:rFonts w:eastAsia="仿宋_GB2312"/>
                <w:kern w:val="0"/>
                <w:sz w:val="30"/>
                <w:szCs w:val="28"/>
              </w:rPr>
            </w:pPr>
            <w:r>
              <w:rPr>
                <w:rFonts w:hint="eastAsia" w:eastAsia="仿宋_GB2312"/>
                <w:sz w:val="30"/>
                <w:szCs w:val="28"/>
              </w:rPr>
              <w:t>【】年【】月【】日</w:t>
            </w:r>
          </w:p>
        </w:tc>
      </w:tr>
      <w:tr w14:paraId="5350881C">
        <w:tblPrEx>
          <w:tblCellMar>
            <w:top w:w="0" w:type="dxa"/>
            <w:left w:w="108" w:type="dxa"/>
            <w:bottom w:w="0" w:type="dxa"/>
            <w:right w:w="108" w:type="dxa"/>
          </w:tblCellMar>
        </w:tblPrEx>
        <w:trPr>
          <w:trHeight w:val="348" w:hRule="atLeast"/>
          <w:jc w:val="center"/>
        </w:trPr>
        <w:tc>
          <w:tcPr>
            <w:tcW w:w="2548" w:type="dxa"/>
            <w:vAlign w:val="center"/>
          </w:tcPr>
          <w:p w14:paraId="2EF43B22">
            <w:pPr>
              <w:spacing w:line="560" w:lineRule="exact"/>
              <w:rPr>
                <w:rFonts w:eastAsia="仿宋_GB2312"/>
                <w:kern w:val="0"/>
                <w:sz w:val="30"/>
                <w:szCs w:val="28"/>
              </w:rPr>
            </w:pPr>
            <w:r>
              <w:rPr>
                <w:rFonts w:hint="eastAsia" w:eastAsia="仿宋_GB2312" w:cs="新宋体"/>
                <w:sz w:val="30"/>
                <w:szCs w:val="28"/>
              </w:rPr>
              <w:t>约定到期日</w:t>
            </w:r>
          </w:p>
        </w:tc>
        <w:tc>
          <w:tcPr>
            <w:tcW w:w="5748" w:type="dxa"/>
            <w:vAlign w:val="center"/>
          </w:tcPr>
          <w:p w14:paraId="3E5D2381">
            <w:pPr>
              <w:spacing w:line="560" w:lineRule="exact"/>
              <w:rPr>
                <w:rFonts w:eastAsia="仿宋_GB2312"/>
                <w:sz w:val="30"/>
                <w:szCs w:val="28"/>
              </w:rPr>
            </w:pPr>
            <w:r>
              <w:rPr>
                <w:rFonts w:hint="eastAsia" w:eastAsia="仿宋_GB2312"/>
                <w:sz w:val="30"/>
                <w:szCs w:val="28"/>
              </w:rPr>
              <w:t>【】年【】月【】日</w:t>
            </w:r>
          </w:p>
        </w:tc>
      </w:tr>
      <w:tr w14:paraId="7028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5B39872">
            <w:pPr>
              <w:spacing w:line="560" w:lineRule="exact"/>
              <w:rPr>
                <w:rFonts w:eastAsia="仿宋_GB2312"/>
                <w:kern w:val="0"/>
                <w:sz w:val="30"/>
                <w:szCs w:val="28"/>
              </w:rPr>
            </w:pPr>
            <w:r>
              <w:rPr>
                <w:rFonts w:hint="eastAsia" w:eastAsia="仿宋_GB2312"/>
                <w:sz w:val="30"/>
                <w:szCs w:val="28"/>
              </w:rPr>
              <w:t>交易日准则</w:t>
            </w:r>
          </w:p>
        </w:tc>
        <w:tc>
          <w:tcPr>
            <w:tcW w:w="5748" w:type="dxa"/>
            <w:vAlign w:val="center"/>
          </w:tcPr>
          <w:p w14:paraId="5665E967">
            <w:pPr>
              <w:spacing w:line="560" w:lineRule="exact"/>
              <w:rPr>
                <w:rFonts w:eastAsia="仿宋_GB2312"/>
                <w:kern w:val="0"/>
                <w:sz w:val="30"/>
                <w:szCs w:val="28"/>
              </w:rPr>
            </w:pPr>
            <w:r>
              <w:rPr>
                <w:rFonts w:hint="eastAsia" w:eastAsia="仿宋_GB2312"/>
                <w:sz w:val="30"/>
                <w:szCs w:val="28"/>
              </w:rPr>
              <w:t>若某一相关日期</w:t>
            </w:r>
            <w:r>
              <w:rPr>
                <w:rFonts w:hint="eastAsia" w:eastAsia="仿宋_GB2312" w:cs="新宋体"/>
                <w:sz w:val="30"/>
                <w:szCs w:val="28"/>
              </w:rPr>
              <w:t>并非上海证券交易所</w:t>
            </w:r>
            <w:r>
              <w:rPr>
                <w:rFonts w:hint="eastAsia" w:eastAsia="仿宋_GB2312" w:cs="新宋体"/>
                <w:b/>
                <w:sz w:val="30"/>
                <w:szCs w:val="28"/>
              </w:rPr>
              <w:t>交易日</w:t>
            </w:r>
            <w:r>
              <w:rPr>
                <w:rFonts w:hint="eastAsia" w:eastAsia="仿宋_GB2312" w:cs="新宋体"/>
                <w:sz w:val="30"/>
                <w:szCs w:val="28"/>
              </w:rPr>
              <w:t>，则顺延至下一个交易日</w:t>
            </w:r>
          </w:p>
        </w:tc>
      </w:tr>
      <w:tr w14:paraId="02CC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4BE3E7F0">
            <w:pPr>
              <w:spacing w:line="560" w:lineRule="exact"/>
              <w:rPr>
                <w:rFonts w:eastAsia="仿宋_GB2312" w:cs="新宋体"/>
                <w:spacing w:val="-3"/>
                <w:kern w:val="0"/>
                <w:sz w:val="30"/>
                <w:szCs w:val="28"/>
              </w:rPr>
            </w:pPr>
            <w:r>
              <w:rPr>
                <w:rFonts w:hint="eastAsia" w:eastAsia="仿宋_GB2312" w:cs="新宋体"/>
                <w:spacing w:val="-3"/>
                <w:sz w:val="30"/>
                <w:szCs w:val="28"/>
              </w:rPr>
              <w:t>计算机构</w:t>
            </w:r>
          </w:p>
        </w:tc>
        <w:tc>
          <w:tcPr>
            <w:tcW w:w="5748" w:type="dxa"/>
            <w:vAlign w:val="center"/>
          </w:tcPr>
          <w:p w14:paraId="0F359259">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592F06C2">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甲方</w:t>
            </w:r>
          </w:p>
          <w:p w14:paraId="0DAD9B0C">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乙方</w:t>
            </w:r>
          </w:p>
          <w:p w14:paraId="2381E1F1">
            <w:pPr>
              <w:spacing w:line="560" w:lineRule="exact"/>
              <w:rPr>
                <w:rFonts w:eastAsia="仿宋_GB2312" w:cs="新宋体"/>
                <w:spacing w:val="-1"/>
                <w:kern w:val="0"/>
                <w:sz w:val="30"/>
                <w:szCs w:val="28"/>
              </w:rPr>
            </w:pPr>
            <w:r>
              <w:rPr>
                <w:rFonts w:hint="eastAsia" w:eastAsia="仿宋_GB2312" w:cs="新宋体"/>
                <w:sz w:val="30"/>
                <w:szCs w:val="28"/>
              </w:rPr>
              <w:t>（</w:t>
            </w:r>
            <w:r>
              <w:rPr>
                <w:rFonts w:eastAsia="仿宋_GB2312" w:cs="新宋体"/>
                <w:sz w:val="30"/>
                <w:szCs w:val="28"/>
              </w:rPr>
              <w:t>3</w:t>
            </w:r>
            <w:r>
              <w:rPr>
                <w:rFonts w:hint="eastAsia" w:eastAsia="仿宋_GB2312" w:cs="新宋体"/>
                <w:sz w:val="30"/>
                <w:szCs w:val="28"/>
              </w:rPr>
              <w:t>）</w:t>
            </w:r>
            <w:r>
              <w:rPr>
                <w:rFonts w:eastAsia="仿宋_GB2312" w:cs="新宋体"/>
                <w:spacing w:val="-1"/>
                <w:sz w:val="30"/>
                <w:szCs w:val="28"/>
              </w:rPr>
              <w:t xml:space="preserve"> </w:t>
            </w:r>
            <w:r>
              <w:rPr>
                <w:rFonts w:hint="eastAsia" w:eastAsia="仿宋_GB2312" w:cs="新宋体"/>
                <w:spacing w:val="-1"/>
                <w:sz w:val="30"/>
                <w:szCs w:val="28"/>
              </w:rPr>
              <w:t>甲方或乙方</w:t>
            </w:r>
          </w:p>
          <w:p w14:paraId="21E9EECC">
            <w:pPr>
              <w:spacing w:line="560" w:lineRule="exact"/>
              <w:rPr>
                <w:rFonts w:eastAsia="仿宋_GB2312" w:cs="新宋体"/>
                <w:b/>
                <w:sz w:val="30"/>
                <w:szCs w:val="28"/>
              </w:rPr>
            </w:pPr>
            <w:r>
              <w:rPr>
                <w:rFonts w:hint="eastAsia" w:eastAsia="仿宋_GB2312" w:cs="新宋体"/>
                <w:sz w:val="30"/>
                <w:szCs w:val="28"/>
              </w:rPr>
              <w:t>（</w:t>
            </w:r>
            <w:r>
              <w:rPr>
                <w:rFonts w:eastAsia="仿宋_GB2312" w:cs="新宋体"/>
                <w:sz w:val="30"/>
                <w:szCs w:val="28"/>
              </w:rPr>
              <w:t>4</w:t>
            </w:r>
            <w:r>
              <w:rPr>
                <w:rFonts w:hint="eastAsia" w:eastAsia="仿宋_GB2312" w:cs="新宋体"/>
                <w:sz w:val="30"/>
                <w:szCs w:val="28"/>
              </w:rPr>
              <w:t>）</w:t>
            </w:r>
            <w:r>
              <w:rPr>
                <w:rFonts w:eastAsia="仿宋_GB2312" w:cs="新宋体"/>
                <w:sz w:val="30"/>
                <w:szCs w:val="28"/>
              </w:rPr>
              <w:t xml:space="preserve"> </w:t>
            </w:r>
            <w:r>
              <w:rPr>
                <w:rFonts w:hint="eastAsia" w:eastAsia="仿宋_GB2312" w:cs="新宋体"/>
                <w:sz w:val="30"/>
                <w:szCs w:val="28"/>
              </w:rPr>
              <w:t>其他：【】</w:t>
            </w:r>
          </w:p>
        </w:tc>
      </w:tr>
      <w:tr w14:paraId="575E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49703D0">
            <w:pPr>
              <w:spacing w:line="560" w:lineRule="exact"/>
              <w:rPr>
                <w:rFonts w:eastAsia="仿宋_GB2312" w:cs="新宋体"/>
                <w:spacing w:val="-3"/>
                <w:kern w:val="0"/>
                <w:sz w:val="30"/>
                <w:szCs w:val="28"/>
              </w:rPr>
            </w:pPr>
            <w:r>
              <w:rPr>
                <w:rFonts w:hint="eastAsia" w:eastAsia="仿宋_GB2312" w:cs="新宋体"/>
                <w:spacing w:val="-3"/>
                <w:sz w:val="30"/>
                <w:szCs w:val="28"/>
              </w:rPr>
              <w:t>清算安排</w:t>
            </w:r>
          </w:p>
        </w:tc>
        <w:tc>
          <w:tcPr>
            <w:tcW w:w="5748" w:type="dxa"/>
            <w:vAlign w:val="center"/>
          </w:tcPr>
          <w:p w14:paraId="117379D7">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双边清算</w:t>
            </w:r>
          </w:p>
        </w:tc>
      </w:tr>
    </w:tbl>
    <w:p w14:paraId="461960D7">
      <w:pPr>
        <w:spacing w:before="26" w:line="560" w:lineRule="exact"/>
        <w:rPr>
          <w:rFonts w:eastAsia="仿宋_GB2312" w:cs="新宋体"/>
          <w:b/>
          <w:bCs/>
          <w:sz w:val="30"/>
          <w:szCs w:val="28"/>
        </w:rPr>
      </w:pPr>
    </w:p>
    <w:p w14:paraId="7B2A8DA2">
      <w:pPr>
        <w:spacing w:before="72" w:after="72" w:line="560" w:lineRule="exact"/>
        <w:rPr>
          <w:rFonts w:eastAsia="仿宋_GB2312"/>
          <w:b/>
          <w:sz w:val="30"/>
          <w:szCs w:val="28"/>
        </w:rPr>
      </w:pPr>
      <w:r>
        <w:rPr>
          <w:rFonts w:hint="eastAsia" w:eastAsia="仿宋_GB2312"/>
          <w:b/>
          <w:sz w:val="30"/>
          <w:szCs w:val="28"/>
        </w:rPr>
        <w:t>三、保护费支付要素</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0"/>
        <w:gridCol w:w="1955"/>
        <w:gridCol w:w="3906"/>
      </w:tblGrid>
      <w:tr w14:paraId="373D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7A191DD">
            <w:pPr>
              <w:spacing w:line="560" w:lineRule="exact"/>
              <w:rPr>
                <w:rFonts w:eastAsia="仿宋_GB2312"/>
                <w:kern w:val="0"/>
                <w:sz w:val="30"/>
                <w:szCs w:val="28"/>
              </w:rPr>
            </w:pPr>
            <w:r>
              <w:rPr>
                <w:rFonts w:hint="eastAsia" w:eastAsia="仿宋_GB2312"/>
                <w:sz w:val="30"/>
                <w:szCs w:val="28"/>
              </w:rPr>
              <w:t>保护费支付方</w:t>
            </w:r>
          </w:p>
        </w:tc>
        <w:tc>
          <w:tcPr>
            <w:tcW w:w="5861" w:type="dxa"/>
            <w:gridSpan w:val="2"/>
            <w:vAlign w:val="center"/>
          </w:tcPr>
          <w:p w14:paraId="47CC20B3">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p>
        </w:tc>
      </w:tr>
      <w:tr w14:paraId="1B04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C29BBD1">
            <w:pPr>
              <w:spacing w:line="560" w:lineRule="exact"/>
              <w:rPr>
                <w:rFonts w:eastAsia="仿宋_GB2312"/>
                <w:kern w:val="0"/>
                <w:sz w:val="30"/>
                <w:szCs w:val="28"/>
              </w:rPr>
            </w:pPr>
            <w:r>
              <w:rPr>
                <w:rFonts w:hint="eastAsia" w:eastAsia="仿宋_GB2312"/>
                <w:sz w:val="30"/>
                <w:szCs w:val="28"/>
              </w:rPr>
              <w:t>保护费支付路径</w:t>
            </w:r>
          </w:p>
        </w:tc>
        <w:tc>
          <w:tcPr>
            <w:tcW w:w="5861" w:type="dxa"/>
            <w:gridSpan w:val="2"/>
            <w:vAlign w:val="center"/>
          </w:tcPr>
          <w:p w14:paraId="3E43DD1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374BAB0B">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）双方自行协商支付</w:t>
            </w:r>
          </w:p>
          <w:p w14:paraId="5450DE2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spacing w:val="-2"/>
                <w:sz w:val="30"/>
                <w:szCs w:val="28"/>
                <w:lang w:eastAsia="zh-CN"/>
              </w:rPr>
              <w:t>通过中国结算代收代付</w:t>
            </w:r>
          </w:p>
        </w:tc>
      </w:tr>
      <w:tr w14:paraId="74C9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1FDBB853">
            <w:pPr>
              <w:spacing w:line="560" w:lineRule="exact"/>
              <w:rPr>
                <w:rFonts w:eastAsia="仿宋_GB2312"/>
                <w:kern w:val="0"/>
                <w:sz w:val="30"/>
                <w:szCs w:val="28"/>
              </w:rPr>
            </w:pPr>
            <w:r>
              <w:rPr>
                <w:rFonts w:hint="eastAsia" w:eastAsia="仿宋_GB2312"/>
                <w:kern w:val="0"/>
                <w:sz w:val="30"/>
                <w:szCs w:val="28"/>
              </w:rPr>
              <w:t>保护费支付方式</w:t>
            </w:r>
          </w:p>
        </w:tc>
        <w:tc>
          <w:tcPr>
            <w:tcW w:w="5861" w:type="dxa"/>
            <w:gridSpan w:val="2"/>
            <w:vAlign w:val="center"/>
          </w:tcPr>
          <w:p w14:paraId="649ACFA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】项：</w:t>
            </w:r>
          </w:p>
          <w:p w14:paraId="4AEFAF5C">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按季支付约定保护费</w:t>
            </w:r>
          </w:p>
          <w:p w14:paraId="5D81354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季度标准保护费和部分前端费用相结合</w:t>
            </w:r>
          </w:p>
          <w:p w14:paraId="1C577010">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rPr>
              <w:t>3</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1"/>
                <w:sz w:val="30"/>
                <w:szCs w:val="28"/>
              </w:rPr>
              <w:t xml:space="preserve"> </w:t>
            </w:r>
            <w:r>
              <w:rPr>
                <w:rFonts w:hint="eastAsia" w:ascii="Times New Roman" w:hAnsi="Times New Roman" w:eastAsia="仿宋_GB2312" w:cs="新宋体"/>
                <w:sz w:val="30"/>
                <w:szCs w:val="28"/>
              </w:rPr>
              <w:t>前端一次性支付</w:t>
            </w:r>
          </w:p>
        </w:tc>
      </w:tr>
      <w:tr w14:paraId="03D5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96" w:type="dxa"/>
            <w:gridSpan w:val="4"/>
            <w:vAlign w:val="center"/>
          </w:tcPr>
          <w:p w14:paraId="2B302349">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按季支付约定保护费</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84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62F50F2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D08E54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47657C46">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19BB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BE00254">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23AF851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保护费</w:t>
            </w:r>
            <w:r>
              <w:rPr>
                <w:rFonts w:hint="eastAsia" w:ascii="Times New Roman" w:hAnsi="Times New Roman" w:eastAsia="仿宋_GB2312" w:cs="新宋体"/>
                <w:sz w:val="30"/>
                <w:szCs w:val="28"/>
                <w:lang w:eastAsia="zh-CN"/>
              </w:rPr>
              <w:t>率</w:t>
            </w:r>
          </w:p>
        </w:tc>
        <w:tc>
          <w:tcPr>
            <w:tcW w:w="3906" w:type="dxa"/>
            <w:vAlign w:val="center"/>
          </w:tcPr>
          <w:p w14:paraId="1BBFC82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0A95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C63AB0D">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49E131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44A7A05B">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122E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71FFD12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1787DD0">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rPr>
              <w:t>计息基准</w:t>
            </w:r>
          </w:p>
        </w:tc>
        <w:tc>
          <w:tcPr>
            <w:tcW w:w="3906" w:type="dxa"/>
            <w:vAlign w:val="center"/>
          </w:tcPr>
          <w:p w14:paraId="76F9122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3D45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9DBD879">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6FFCF0C">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首期保护费支付日</w:t>
            </w:r>
          </w:p>
        </w:tc>
        <w:tc>
          <w:tcPr>
            <w:tcW w:w="3906" w:type="dxa"/>
            <w:vAlign w:val="center"/>
          </w:tcPr>
          <w:p w14:paraId="26E16C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2767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51AA5436">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季度标准保护费和部分前端费用相结合【适用】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D74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1597D1D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ECDD77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35EC73F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07A5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ADAE012">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7AD9E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保护费率</w:t>
            </w:r>
          </w:p>
        </w:tc>
        <w:tc>
          <w:tcPr>
            <w:tcW w:w="3906" w:type="dxa"/>
            <w:vAlign w:val="center"/>
          </w:tcPr>
          <w:p w14:paraId="0A1B287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47F4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A31415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D053516">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标准</w:t>
            </w:r>
            <w:r>
              <w:rPr>
                <w:rFonts w:hint="eastAsia" w:ascii="Times New Roman" w:hAnsi="Times New Roman" w:eastAsia="仿宋_GB2312" w:cs="新宋体"/>
                <w:sz w:val="30"/>
                <w:szCs w:val="28"/>
                <w:lang w:eastAsia="zh-CN"/>
              </w:rPr>
              <w:t>保护费率</w:t>
            </w:r>
          </w:p>
        </w:tc>
        <w:tc>
          <w:tcPr>
            <w:tcW w:w="3906" w:type="dxa"/>
            <w:vAlign w:val="center"/>
          </w:tcPr>
          <w:p w14:paraId="1B0F558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50/100/150</w:t>
            </w:r>
            <w:r>
              <w:rPr>
                <w:rFonts w:hint="eastAsia" w:ascii="Times New Roman" w:hAnsi="Times New Roman" w:eastAsia="仿宋_GB2312" w:cs="新宋体"/>
                <w:sz w:val="30"/>
                <w:szCs w:val="28"/>
                <w:lang w:eastAsia="zh-CN"/>
              </w:rPr>
              <w:t>）</w:t>
            </w:r>
          </w:p>
        </w:tc>
      </w:tr>
      <w:tr w14:paraId="00A5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395EB4F5">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340CE9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首期保护费支付日</w:t>
            </w:r>
          </w:p>
        </w:tc>
        <w:tc>
          <w:tcPr>
            <w:tcW w:w="3906" w:type="dxa"/>
            <w:vAlign w:val="center"/>
          </w:tcPr>
          <w:p w14:paraId="7C84BFA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【】年【】月【】日（</w:t>
            </w:r>
            <w:r>
              <w:rPr>
                <w:rFonts w:hint="eastAsia" w:ascii="Times New Roman" w:hAnsi="Times New Roman" w:eastAsia="仿宋_GB2312" w:cs="新宋体"/>
                <w:b/>
                <w:bCs/>
                <w:sz w:val="30"/>
                <w:szCs w:val="28"/>
                <w:lang w:eastAsia="zh-CN"/>
              </w:rPr>
              <w:t>本确认书</w:t>
            </w:r>
            <w:r>
              <w:rPr>
                <w:rFonts w:hint="eastAsia" w:ascii="Times New Roman" w:hAnsi="Times New Roman" w:eastAsia="仿宋_GB2312" w:cs="新宋体"/>
                <w:sz w:val="30"/>
                <w:szCs w:val="28"/>
                <w:lang w:eastAsia="zh-CN"/>
              </w:rPr>
              <w:t>生效日之后第一个季末的</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日为首期支付日。此后每期支付日为约定年份的</w:t>
            </w:r>
            <w:r>
              <w:rPr>
                <w:rFonts w:ascii="Times New Roman" w:hAnsi="Times New Roman" w:eastAsia="仿宋_GB2312" w:cs="新宋体"/>
                <w:sz w:val="30"/>
                <w:szCs w:val="28"/>
                <w:lang w:eastAsia="zh-CN"/>
              </w:rPr>
              <w:t>3</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6</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9</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日和</w:t>
            </w:r>
            <w:r>
              <w:rPr>
                <w:rFonts w:ascii="Times New Roman" w:hAnsi="Times New Roman" w:eastAsia="仿宋_GB2312" w:cs="新宋体"/>
                <w:sz w:val="30"/>
                <w:szCs w:val="28"/>
                <w:lang w:eastAsia="zh-CN"/>
              </w:rPr>
              <w:t>12</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p>
        </w:tc>
      </w:tr>
      <w:tr w14:paraId="32AD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475B38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2EAD8F8">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前端费率</w:t>
            </w:r>
          </w:p>
        </w:tc>
        <w:tc>
          <w:tcPr>
            <w:tcW w:w="3906" w:type="dxa"/>
            <w:vAlign w:val="center"/>
          </w:tcPr>
          <w:p w14:paraId="616E2AE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4420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6D51DA9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A97429">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前端费用</w:t>
            </w:r>
          </w:p>
        </w:tc>
        <w:tc>
          <w:tcPr>
            <w:tcW w:w="3906" w:type="dxa"/>
            <w:vAlign w:val="center"/>
          </w:tcPr>
          <w:p w14:paraId="16B0664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446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6353F61A">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3DA0185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期初返还金额</w:t>
            </w:r>
          </w:p>
        </w:tc>
        <w:tc>
          <w:tcPr>
            <w:tcW w:w="3906" w:type="dxa"/>
            <w:vAlign w:val="center"/>
          </w:tcPr>
          <w:p w14:paraId="477111C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7FD4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D31B103">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4313AD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期初</w:t>
            </w:r>
            <w:r>
              <w:rPr>
                <w:rFonts w:hint="eastAsia" w:ascii="Times New Roman" w:hAnsi="Times New Roman" w:eastAsia="仿宋_GB2312" w:cs="新宋体"/>
                <w:sz w:val="30"/>
                <w:szCs w:val="28"/>
              </w:rPr>
              <w:t>交付金额</w:t>
            </w:r>
          </w:p>
        </w:tc>
        <w:tc>
          <w:tcPr>
            <w:tcW w:w="3906" w:type="dxa"/>
            <w:vAlign w:val="center"/>
          </w:tcPr>
          <w:p w14:paraId="0F3BA7D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【】元人民币（若期初交付金额由信用保护卖方向信用保护买方支付，则以负数表示）</w:t>
            </w:r>
          </w:p>
        </w:tc>
      </w:tr>
      <w:tr w14:paraId="5572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91B8A1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349A53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期初交付金额支付日</w:t>
            </w:r>
          </w:p>
        </w:tc>
        <w:tc>
          <w:tcPr>
            <w:tcW w:w="3906" w:type="dxa"/>
            <w:vAlign w:val="center"/>
          </w:tcPr>
          <w:p w14:paraId="0CABEB4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4C43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D7A37D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584F5EF1">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5FFC4CA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379A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743A8C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7B13FF50">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sz w:val="30"/>
                <w:szCs w:val="28"/>
              </w:rPr>
              <w:t>计息基准</w:t>
            </w:r>
          </w:p>
        </w:tc>
        <w:tc>
          <w:tcPr>
            <w:tcW w:w="3906" w:type="dxa"/>
            <w:vAlign w:val="center"/>
          </w:tcPr>
          <w:p w14:paraId="066066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794A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430312FE">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前端一次性支付【适用】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769F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34F4E9D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488C9D2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rPr>
              <w:t>保护费率</w:t>
            </w:r>
          </w:p>
        </w:tc>
        <w:tc>
          <w:tcPr>
            <w:tcW w:w="3906" w:type="dxa"/>
            <w:vAlign w:val="center"/>
          </w:tcPr>
          <w:p w14:paraId="0B426C1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2E66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4BFB5A1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8D339BB">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保护费</w:t>
            </w:r>
          </w:p>
        </w:tc>
        <w:tc>
          <w:tcPr>
            <w:tcW w:w="3906" w:type="dxa"/>
            <w:vAlign w:val="center"/>
          </w:tcPr>
          <w:p w14:paraId="0E0DE00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C59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4A0568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5DEB7AD">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保护费支付日</w:t>
            </w:r>
          </w:p>
        </w:tc>
        <w:tc>
          <w:tcPr>
            <w:tcW w:w="3906" w:type="dxa"/>
            <w:vAlign w:val="center"/>
          </w:tcPr>
          <w:p w14:paraId="6CF3F3A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bl>
    <w:p w14:paraId="63DE6713">
      <w:pPr>
        <w:spacing w:before="26" w:line="560" w:lineRule="exact"/>
        <w:rPr>
          <w:rFonts w:eastAsia="仿宋_GB2312" w:cs="新宋体"/>
          <w:b/>
          <w:bCs/>
          <w:sz w:val="30"/>
          <w:szCs w:val="28"/>
        </w:rPr>
      </w:pPr>
    </w:p>
    <w:p w14:paraId="57EAC4F7">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四、与信用事件有关的条款</w:t>
      </w:r>
    </w:p>
    <w:p w14:paraId="041FECF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（一）</w:t>
      </w:r>
      <w:r>
        <w:rPr>
          <w:rFonts w:ascii="Times New Roman" w:hAnsi="Times New Roman" w:eastAsia="仿宋_GB2312" w:cs="新宋体"/>
          <w:sz w:val="30"/>
          <w:szCs w:val="28"/>
          <w:lang w:eastAsia="zh-CN"/>
        </w:rPr>
        <w:t>CDX</w:t>
      </w:r>
      <w:r>
        <w:rPr>
          <w:rFonts w:hint="eastAsia" w:ascii="Times New Roman" w:hAnsi="Times New Roman" w:eastAsia="仿宋_GB2312" w:cs="新宋体"/>
          <w:sz w:val="30"/>
          <w:szCs w:val="28"/>
          <w:lang w:eastAsia="zh-CN"/>
        </w:rPr>
        <w:t>合约</w:t>
      </w:r>
      <w:r>
        <w:rPr>
          <w:rFonts w:ascii="Times New Roman" w:hAnsi="Times New Roman" w:eastAsia="仿宋_GB2312" w:cs="新宋体"/>
          <w:sz w:val="30"/>
          <w:szCs w:val="28"/>
          <w:lang w:eastAsia="zh-CN"/>
        </w:rPr>
        <w:t>，适用</w:t>
      </w:r>
      <w:r>
        <w:rPr>
          <w:rFonts w:hint="eastAsia" w:ascii="Times New Roman" w:hAnsi="Times New Roman" w:eastAsia="仿宋_GB2312" w:cs="新宋体"/>
          <w:sz w:val="30"/>
          <w:szCs w:val="28"/>
          <w:lang w:eastAsia="zh-CN"/>
        </w:rPr>
        <w:t>短版条款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6D5A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14FB6FF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7463B1B2">
            <w:pPr>
              <w:spacing w:before="9" w:line="560" w:lineRule="exact"/>
              <w:rPr>
                <w:rFonts w:eastAsia="仿宋_GB2312" w:cs="新宋体"/>
                <w:b/>
                <w:bCs/>
                <w:kern w:val="0"/>
                <w:sz w:val="30"/>
                <w:szCs w:val="28"/>
              </w:rPr>
            </w:pP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交易所大型发行人</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r>
              <w:rPr>
                <w:rFonts w:eastAsia="仿宋_GB2312" w:cs="新宋体"/>
                <w:bCs/>
                <w:sz w:val="30"/>
                <w:szCs w:val="28"/>
              </w:rPr>
              <w:t>/</w:t>
            </w: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交易所民企</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p>
        </w:tc>
      </w:tr>
      <w:tr w14:paraId="5D05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CCB079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受保护债务范围</w:t>
            </w:r>
          </w:p>
        </w:tc>
        <w:tc>
          <w:tcPr>
            <w:tcW w:w="5211" w:type="dxa"/>
            <w:vAlign w:val="center"/>
          </w:tcPr>
          <w:p w14:paraId="5EF8A94A">
            <w:pPr>
              <w:spacing w:before="9" w:line="560" w:lineRule="exact"/>
              <w:rPr>
                <w:rFonts w:eastAsia="仿宋_GB2312" w:cs="新宋体"/>
                <w:b/>
                <w:bCs/>
                <w:sz w:val="30"/>
                <w:szCs w:val="28"/>
              </w:rPr>
            </w:pPr>
            <w:r>
              <w:rPr>
                <w:rFonts w:hint="eastAsia" w:eastAsia="仿宋_GB2312" w:cs="新宋体"/>
                <w:bCs/>
                <w:sz w:val="30"/>
                <w:szCs w:val="28"/>
              </w:rPr>
              <w:t>参考实体</w:t>
            </w:r>
            <w:r>
              <w:rPr>
                <w:rFonts w:hint="eastAsia" w:ascii="仿宋_GB2312" w:eastAsia="仿宋_GB2312"/>
                <w:kern w:val="0"/>
                <w:sz w:val="30"/>
                <w:szCs w:val="30"/>
              </w:rPr>
              <w:t>在中国境内发行并在沪深交易所上市交易或者挂牌转让的以人民币计价的公司债券和可转换公司债券</w:t>
            </w:r>
          </w:p>
        </w:tc>
      </w:tr>
      <w:tr w14:paraId="6CA1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78261C1">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3994BA4B">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33696EC0">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4932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9" w:type="dxa"/>
            <w:vMerge w:val="continue"/>
            <w:vAlign w:val="center"/>
          </w:tcPr>
          <w:p w14:paraId="0909F298">
            <w:pPr>
              <w:spacing w:before="9" w:line="560" w:lineRule="exact"/>
              <w:rPr>
                <w:rFonts w:eastAsia="仿宋_GB2312" w:cs="新宋体"/>
                <w:b/>
                <w:bCs/>
                <w:kern w:val="0"/>
                <w:sz w:val="30"/>
                <w:szCs w:val="28"/>
              </w:rPr>
            </w:pPr>
          </w:p>
        </w:tc>
        <w:tc>
          <w:tcPr>
            <w:tcW w:w="1806" w:type="dxa"/>
            <w:vAlign w:val="center"/>
          </w:tcPr>
          <w:p w14:paraId="3015184F">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693DCA9D">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24903D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2A0EE3E4">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5B1DFC74">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bl>
    <w:p w14:paraId="02F983A5">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sz w:val="30"/>
          <w:szCs w:val="28"/>
          <w:lang w:eastAsia="zh-CN"/>
        </w:rPr>
        <w:t>（二）除CDX外的合约</w:t>
      </w:r>
      <w:r>
        <w:rPr>
          <w:rFonts w:ascii="Times New Roman" w:hAnsi="Times New Roman" w:eastAsia="仿宋_GB2312" w:cs="新宋体"/>
          <w:sz w:val="30"/>
          <w:szCs w:val="28"/>
          <w:lang w:eastAsia="zh-CN"/>
        </w:rPr>
        <w:t>，适用长版条款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2574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5DAD8B2A">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285AFA3E">
            <w:pPr>
              <w:spacing w:before="9" w:line="560" w:lineRule="exact"/>
              <w:rPr>
                <w:rFonts w:eastAsia="仿宋_GB2312" w:cs="新宋体"/>
                <w:b/>
                <w:bCs/>
                <w:kern w:val="0"/>
                <w:sz w:val="30"/>
                <w:szCs w:val="28"/>
              </w:rPr>
            </w:pPr>
            <w:r>
              <w:rPr>
                <w:rFonts w:hint="eastAsia" w:eastAsia="仿宋_GB2312" w:cs="新宋体"/>
                <w:bCs/>
                <w:sz w:val="30"/>
                <w:szCs w:val="28"/>
              </w:rPr>
              <w:t>【】</w:t>
            </w:r>
          </w:p>
        </w:tc>
      </w:tr>
      <w:tr w14:paraId="0289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37871F6">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受保护债务种类</w:t>
            </w:r>
          </w:p>
        </w:tc>
        <w:tc>
          <w:tcPr>
            <w:tcW w:w="5211" w:type="dxa"/>
            <w:vAlign w:val="center"/>
          </w:tcPr>
          <w:p w14:paraId="64D967B4">
            <w:pPr>
              <w:spacing w:before="9" w:line="560" w:lineRule="exact"/>
              <w:rPr>
                <w:rFonts w:eastAsia="仿宋_GB2312" w:cs="新宋体"/>
                <w:b/>
                <w:bCs/>
                <w:sz w:val="30"/>
                <w:szCs w:val="28"/>
              </w:rPr>
            </w:pPr>
            <w:r>
              <w:rPr>
                <w:rFonts w:hint="eastAsia" w:eastAsia="仿宋_GB2312" w:cs="新宋体"/>
                <w:bCs/>
                <w:sz w:val="30"/>
                <w:szCs w:val="28"/>
              </w:rPr>
              <w:t>【付款义务】、【借贷款项】、【债券】、【贷款】、【公司债（不含企业债）】、【可转债】、【企业债】、【资产支持证券】、【仅为参考债务】（可多选，取勾选项的最大范围作为债务种类）</w:t>
            </w:r>
          </w:p>
        </w:tc>
      </w:tr>
      <w:tr w14:paraId="75F5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4D70C32">
            <w:pPr>
              <w:spacing w:before="9" w:line="560" w:lineRule="exact"/>
              <w:rPr>
                <w:rFonts w:eastAsia="仿宋_GB2312" w:cs="新宋体"/>
                <w:kern w:val="0"/>
                <w:sz w:val="30"/>
                <w:szCs w:val="28"/>
              </w:rPr>
            </w:pPr>
            <w:r>
              <w:rPr>
                <w:rFonts w:hint="eastAsia" w:eastAsia="仿宋_GB2312" w:cs="新宋体"/>
                <w:sz w:val="30"/>
                <w:szCs w:val="28"/>
              </w:rPr>
              <w:t>受保护债务特征</w:t>
            </w:r>
          </w:p>
        </w:tc>
        <w:tc>
          <w:tcPr>
            <w:tcW w:w="5211" w:type="dxa"/>
            <w:vAlign w:val="center"/>
          </w:tcPr>
          <w:p w14:paraId="0785DAC1">
            <w:pPr>
              <w:spacing w:before="9" w:line="560" w:lineRule="exact"/>
              <w:rPr>
                <w:rFonts w:eastAsia="仿宋_GB2312" w:cs="新宋体"/>
                <w:bCs/>
                <w:kern w:val="0"/>
                <w:sz w:val="30"/>
                <w:szCs w:val="28"/>
              </w:rPr>
            </w:pPr>
            <w:r>
              <w:rPr>
                <w:rFonts w:hint="eastAsia" w:eastAsia="仿宋_GB2312" w:cs="新宋体"/>
                <w:sz w:val="30"/>
                <w:szCs w:val="28"/>
              </w:rPr>
              <w:t>【</w:t>
            </w:r>
            <w:r>
              <w:rPr>
                <w:rFonts w:hint="eastAsia" w:eastAsia="仿宋_GB2312" w:cs="新宋体"/>
                <w:bCs/>
                <w:sz w:val="30"/>
                <w:szCs w:val="28"/>
              </w:rPr>
              <w:t>一般债务</w:t>
            </w:r>
            <w:r>
              <w:rPr>
                <w:rFonts w:hint="eastAsia" w:eastAsia="仿宋_GB2312" w:cs="新宋体"/>
                <w:sz w:val="30"/>
                <w:szCs w:val="28"/>
              </w:rPr>
              <w:t>】、【次级债务】、【</w:t>
            </w:r>
            <w:r>
              <w:rPr>
                <w:rFonts w:hint="eastAsia" w:eastAsia="仿宋_GB2312" w:cs="新宋体"/>
                <w:bCs/>
                <w:sz w:val="30"/>
                <w:szCs w:val="28"/>
              </w:rPr>
              <w:t>交易流通</w:t>
            </w:r>
            <w:r>
              <w:rPr>
                <w:rFonts w:hint="eastAsia" w:eastAsia="仿宋_GB2312" w:cs="新宋体"/>
                <w:sz w:val="30"/>
                <w:szCs w:val="28"/>
              </w:rPr>
              <w:t>】、【</w:t>
            </w:r>
            <w:r>
              <w:rPr>
                <w:rFonts w:hint="eastAsia" w:eastAsia="仿宋_GB2312" w:cs="新宋体"/>
                <w:bCs/>
                <w:sz w:val="30"/>
                <w:szCs w:val="28"/>
              </w:rPr>
              <w:t>本币</w:t>
            </w:r>
            <w:r>
              <w:rPr>
                <w:rFonts w:hint="eastAsia" w:eastAsia="仿宋_GB2312" w:cs="新宋体"/>
                <w:sz w:val="30"/>
                <w:szCs w:val="28"/>
              </w:rPr>
              <w:t>】、【外币】、【其他：</w:t>
            </w:r>
            <w:r>
              <w:rPr>
                <w:rFonts w:eastAsia="仿宋_GB2312" w:cs="新宋体"/>
                <w:sz w:val="30"/>
                <w:szCs w:val="28"/>
              </w:rPr>
              <w:t xml:space="preserve">   </w:t>
            </w:r>
            <w:r>
              <w:rPr>
                <w:rFonts w:hint="eastAsia" w:eastAsia="仿宋_GB2312" w:cs="新宋体"/>
                <w:sz w:val="30"/>
                <w:szCs w:val="28"/>
              </w:rPr>
              <w:t>】（可多选）</w:t>
            </w:r>
          </w:p>
        </w:tc>
      </w:tr>
      <w:tr w14:paraId="4032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gridSpan w:val="2"/>
            <w:vAlign w:val="center"/>
          </w:tcPr>
          <w:p w14:paraId="2BD2EAD5">
            <w:pPr>
              <w:spacing w:before="9" w:line="560" w:lineRule="exact"/>
              <w:rPr>
                <w:rFonts w:eastAsia="仿宋_GB2312" w:cs="新宋体"/>
                <w:kern w:val="0"/>
                <w:sz w:val="30"/>
                <w:szCs w:val="28"/>
              </w:rPr>
            </w:pPr>
            <w:r>
              <w:rPr>
                <w:rFonts w:hint="eastAsia" w:eastAsia="仿宋_GB2312" w:cs="新宋体"/>
                <w:sz w:val="30"/>
                <w:szCs w:val="28"/>
              </w:rPr>
              <w:t>参考债务</w:t>
            </w:r>
          </w:p>
        </w:tc>
        <w:tc>
          <w:tcPr>
            <w:tcW w:w="5211" w:type="dxa"/>
            <w:vAlign w:val="center"/>
          </w:tcPr>
          <w:p w14:paraId="6CB3CDB3">
            <w:pPr>
              <w:spacing w:before="9" w:line="560" w:lineRule="exact"/>
              <w:rPr>
                <w:rFonts w:eastAsia="仿宋_GB2312" w:cs="新宋体"/>
                <w:b/>
                <w:bCs/>
                <w:kern w:val="0"/>
                <w:sz w:val="30"/>
                <w:szCs w:val="28"/>
              </w:rPr>
            </w:pPr>
            <w:r>
              <w:rPr>
                <w:rFonts w:hint="eastAsia" w:eastAsia="仿宋_GB2312" w:cs="新宋体"/>
                <w:sz w:val="30"/>
                <w:szCs w:val="28"/>
              </w:rPr>
              <w:t>【】</w:t>
            </w:r>
          </w:p>
        </w:tc>
      </w:tr>
      <w:tr w14:paraId="57E6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tcPr>
          <w:p w14:paraId="22ED765B">
            <w:pPr>
              <w:spacing w:before="9" w:line="560" w:lineRule="exact"/>
              <w:rPr>
                <w:rFonts w:eastAsia="仿宋_GB2312" w:cs="新宋体"/>
                <w:kern w:val="0"/>
                <w:sz w:val="30"/>
                <w:szCs w:val="28"/>
              </w:rPr>
            </w:pPr>
            <w:r>
              <w:rPr>
                <w:rFonts w:hint="eastAsia" w:eastAsia="仿宋_GB2312" w:cs="新宋体"/>
                <w:sz w:val="30"/>
                <w:szCs w:val="28"/>
              </w:rPr>
              <w:t>参考债务证券代码</w:t>
            </w:r>
          </w:p>
        </w:tc>
        <w:tc>
          <w:tcPr>
            <w:tcW w:w="5211" w:type="dxa"/>
          </w:tcPr>
          <w:p w14:paraId="666A842A">
            <w:pPr>
              <w:spacing w:before="9" w:line="560" w:lineRule="exact"/>
              <w:rPr>
                <w:rFonts w:eastAsia="仿宋_GB2312" w:cs="新宋体"/>
                <w:kern w:val="0"/>
                <w:sz w:val="30"/>
                <w:szCs w:val="28"/>
              </w:rPr>
            </w:pPr>
            <w:r>
              <w:rPr>
                <w:rFonts w:hint="eastAsia" w:eastAsia="仿宋_GB2312" w:cs="新宋体"/>
                <w:sz w:val="30"/>
                <w:szCs w:val="28"/>
              </w:rPr>
              <w:t>【】</w:t>
            </w:r>
          </w:p>
        </w:tc>
      </w:tr>
      <w:tr w14:paraId="7A10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C2E27DE">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0A4844F4">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769E72CB">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58DB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7F7D4EEC">
            <w:pPr>
              <w:spacing w:before="9" w:line="560" w:lineRule="exact"/>
              <w:rPr>
                <w:rFonts w:eastAsia="仿宋_GB2312" w:cs="新宋体"/>
                <w:b/>
                <w:bCs/>
                <w:kern w:val="0"/>
                <w:sz w:val="30"/>
                <w:szCs w:val="28"/>
              </w:rPr>
            </w:pPr>
          </w:p>
        </w:tc>
        <w:tc>
          <w:tcPr>
            <w:tcW w:w="1806" w:type="dxa"/>
            <w:vAlign w:val="center"/>
          </w:tcPr>
          <w:p w14:paraId="49FEA406">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255FE541">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C104775">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6A2E7EE6">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03895B8B">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6812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279" w:type="dxa"/>
            <w:vMerge w:val="continue"/>
            <w:vAlign w:val="center"/>
          </w:tcPr>
          <w:p w14:paraId="6D57C505">
            <w:pPr>
              <w:spacing w:before="9" w:line="560" w:lineRule="exact"/>
              <w:rPr>
                <w:rFonts w:eastAsia="仿宋_GB2312" w:cs="新宋体"/>
                <w:b/>
                <w:bCs/>
                <w:kern w:val="0"/>
                <w:sz w:val="30"/>
                <w:szCs w:val="28"/>
              </w:rPr>
            </w:pPr>
          </w:p>
        </w:tc>
        <w:tc>
          <w:tcPr>
            <w:tcW w:w="1806" w:type="dxa"/>
            <w:vAlign w:val="center"/>
          </w:tcPr>
          <w:p w14:paraId="18E9B94B">
            <w:pPr>
              <w:spacing w:before="9" w:line="560" w:lineRule="exact"/>
              <w:rPr>
                <w:rFonts w:eastAsia="仿宋_GB2312" w:cs="新宋体"/>
                <w:kern w:val="0"/>
                <w:sz w:val="30"/>
                <w:szCs w:val="28"/>
              </w:rPr>
            </w:pPr>
            <w:r>
              <w:rPr>
                <w:rFonts w:hint="eastAsia" w:eastAsia="仿宋_GB2312" w:cs="新宋体"/>
                <w:sz w:val="30"/>
                <w:szCs w:val="28"/>
              </w:rPr>
              <w:t>债务重组</w:t>
            </w:r>
          </w:p>
        </w:tc>
        <w:tc>
          <w:tcPr>
            <w:tcW w:w="5211" w:type="dxa"/>
            <w:vAlign w:val="center"/>
          </w:tcPr>
          <w:p w14:paraId="383FD60C">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60B1FD2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52CDF12C">
            <w:pPr>
              <w:spacing w:before="9" w:line="560" w:lineRule="exact"/>
              <w:rPr>
                <w:rFonts w:eastAsia="仿宋_GB2312" w:cs="新宋体"/>
                <w:bCs/>
                <w:sz w:val="30"/>
                <w:szCs w:val="28"/>
              </w:rPr>
            </w:pPr>
            <w:r>
              <w:rPr>
                <w:rFonts w:hint="eastAsia" w:eastAsia="仿宋_GB2312" w:cs="新宋体"/>
                <w:b/>
                <w:bCs/>
                <w:sz w:val="30"/>
                <w:szCs w:val="28"/>
              </w:rPr>
              <w:t>所涉债务最小持有人数</w:t>
            </w:r>
            <w:r>
              <w:rPr>
                <w:rFonts w:hint="eastAsia" w:eastAsia="仿宋_GB2312" w:cs="新宋体"/>
                <w:bCs/>
                <w:sz w:val="30"/>
                <w:szCs w:val="28"/>
              </w:rPr>
              <w:t>【】</w:t>
            </w:r>
          </w:p>
        </w:tc>
      </w:tr>
    </w:tbl>
    <w:p w14:paraId="0820EA51">
      <w:pPr>
        <w:pStyle w:val="107"/>
        <w:spacing w:before="118" w:line="560" w:lineRule="exact"/>
        <w:jc w:val="both"/>
        <w:rPr>
          <w:rFonts w:ascii="Times New Roman" w:hAnsi="Times New Roman" w:eastAsia="仿宋_GB2312" w:cs="新宋体"/>
          <w:sz w:val="30"/>
          <w:szCs w:val="28"/>
          <w:lang w:eastAsia="zh-CN"/>
        </w:rPr>
      </w:pPr>
    </w:p>
    <w:p w14:paraId="0328D488">
      <w:pPr>
        <w:spacing w:before="72" w:after="72" w:line="560" w:lineRule="exact"/>
        <w:rPr>
          <w:rFonts w:eastAsia="仿宋_GB2312"/>
          <w:b/>
          <w:kern w:val="0"/>
          <w:sz w:val="30"/>
          <w:szCs w:val="28"/>
        </w:rPr>
      </w:pPr>
      <w:r>
        <w:rPr>
          <w:rFonts w:hint="eastAsia" w:eastAsia="仿宋_GB2312"/>
          <w:b/>
          <w:kern w:val="0"/>
          <w:sz w:val="30"/>
          <w:szCs w:val="28"/>
        </w:rPr>
        <w:t>五、与结算有关的条款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23"/>
        <w:gridCol w:w="4899"/>
        <w:gridCol w:w="28"/>
      </w:tblGrid>
      <w:tr w14:paraId="1B11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000ABD74">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结算条件</w:t>
            </w:r>
          </w:p>
        </w:tc>
        <w:tc>
          <w:tcPr>
            <w:tcW w:w="2523" w:type="dxa"/>
            <w:vAlign w:val="center"/>
          </w:tcPr>
          <w:p w14:paraId="1790E3A3">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信用事件通知书</w:t>
            </w:r>
          </w:p>
        </w:tc>
        <w:tc>
          <w:tcPr>
            <w:tcW w:w="4927" w:type="dxa"/>
            <w:gridSpan w:val="2"/>
          </w:tcPr>
          <w:p w14:paraId="58A4CD4D">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通知方为以下第【】项：</w:t>
            </w:r>
            <w:r>
              <w:rPr>
                <w:rFonts w:ascii="Times New Roman" w:hAnsi="Times New Roman" w:eastAsia="仿宋_GB2312" w:cs="新宋体"/>
                <w:sz w:val="30"/>
                <w:szCs w:val="28"/>
                <w:lang w:eastAsia="zh-CN"/>
              </w:rPr>
              <w:t xml:space="preserve"> </w:t>
            </w:r>
          </w:p>
          <w:p w14:paraId="381D942F">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357A8B6C">
            <w:pPr>
              <w:pStyle w:val="107"/>
              <w:numPr>
                <w:ilvl w:val="0"/>
                <w:numId w:val="28"/>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2CC96763">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1E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0FDE2531">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D62333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公共信息通知书</w:t>
            </w:r>
          </w:p>
        </w:tc>
        <w:tc>
          <w:tcPr>
            <w:tcW w:w="4927" w:type="dxa"/>
            <w:gridSpan w:val="2"/>
          </w:tcPr>
          <w:p w14:paraId="7935CA1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【适用】</w:t>
            </w:r>
            <w:r>
              <w:rPr>
                <w:rFonts w:ascii="Times New Roman" w:hAnsi="Times New Roman" w:eastAsia="仿宋_GB2312" w:cs="新宋体"/>
                <w:bCs/>
                <w:sz w:val="30"/>
                <w:szCs w:val="28"/>
                <w:lang w:eastAsia="zh-CN"/>
              </w:rPr>
              <w:t>/</w:t>
            </w:r>
            <w:r>
              <w:rPr>
                <w:rFonts w:hint="eastAsia" w:ascii="Times New Roman" w:hAnsi="Times New Roman" w:eastAsia="仿宋_GB2312" w:cs="新宋体"/>
                <w:bCs/>
                <w:sz w:val="30"/>
                <w:szCs w:val="28"/>
                <w:lang w:eastAsia="zh-CN"/>
              </w:rPr>
              <w:t>【不适用】</w:t>
            </w:r>
          </w:p>
          <w:p w14:paraId="676010F0">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若适用，通知方为</w:t>
            </w:r>
            <w:r>
              <w:rPr>
                <w:rFonts w:hint="eastAsia" w:ascii="Times New Roman" w:hAnsi="Times New Roman" w:eastAsia="仿宋_GB2312" w:cs="新宋体"/>
                <w:sz w:val="30"/>
                <w:szCs w:val="28"/>
                <w:lang w:eastAsia="zh-CN"/>
              </w:rPr>
              <w:t>以下第【】项：</w:t>
            </w:r>
            <w:r>
              <w:rPr>
                <w:rFonts w:ascii="Times New Roman" w:hAnsi="Times New Roman" w:eastAsia="仿宋_GB2312" w:cs="新宋体"/>
                <w:sz w:val="30"/>
                <w:szCs w:val="28"/>
                <w:lang w:eastAsia="zh-CN"/>
              </w:rPr>
              <w:t xml:space="preserve"> </w:t>
            </w:r>
          </w:p>
          <w:p w14:paraId="7EA580A9">
            <w:pPr>
              <w:pStyle w:val="107"/>
              <w:numPr>
                <w:ilvl w:val="0"/>
                <w:numId w:val="29"/>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75956C8E">
            <w:pPr>
              <w:pStyle w:val="107"/>
              <w:numPr>
                <w:ilvl w:val="0"/>
                <w:numId w:val="29"/>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39B983B9">
            <w:pPr>
              <w:pStyle w:val="107"/>
              <w:numPr>
                <w:ilvl w:val="0"/>
                <w:numId w:val="29"/>
              </w:numPr>
              <w:spacing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06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369" w:type="dxa"/>
            <w:gridSpan w:val="2"/>
            <w:vAlign w:val="center"/>
          </w:tcPr>
          <w:p w14:paraId="4765D77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结算方式</w:t>
            </w:r>
          </w:p>
        </w:tc>
        <w:tc>
          <w:tcPr>
            <w:tcW w:w="4927" w:type="dxa"/>
            <w:gridSpan w:val="2"/>
          </w:tcPr>
          <w:p w14:paraId="56E46ED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适用以下第【】项：（单选）</w:t>
            </w:r>
          </w:p>
          <w:p w14:paraId="4501F18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现金结算</w:t>
            </w:r>
          </w:p>
          <w:p w14:paraId="086B056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实物结算</w:t>
            </w:r>
          </w:p>
        </w:tc>
      </w:tr>
      <w:tr w14:paraId="12EE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2AB00ED5">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实物结算</w:t>
            </w:r>
          </w:p>
        </w:tc>
        <w:tc>
          <w:tcPr>
            <w:tcW w:w="2523" w:type="dxa"/>
            <w:vAlign w:val="center"/>
          </w:tcPr>
          <w:p w14:paraId="0E3C794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实物交割期间</w:t>
            </w:r>
          </w:p>
        </w:tc>
        <w:tc>
          <w:tcPr>
            <w:tcW w:w="4927" w:type="dxa"/>
            <w:gridSpan w:val="2"/>
            <w:vAlign w:val="center"/>
          </w:tcPr>
          <w:p w14:paraId="75808FE8">
            <w:pPr>
              <w:spacing w:before="118" w:line="560" w:lineRule="exact"/>
              <w:rPr>
                <w:rFonts w:eastAsia="仿宋_GB2312" w:cs="新宋体"/>
                <w:b/>
                <w:bCs/>
                <w:kern w:val="0"/>
                <w:sz w:val="30"/>
                <w:szCs w:val="28"/>
              </w:rPr>
            </w:pPr>
            <w:r>
              <w:rPr>
                <w:rFonts w:hint="eastAsia" w:eastAsia="仿宋_GB2312" w:cs="新宋体"/>
                <w:sz w:val="30"/>
                <w:szCs w:val="28"/>
              </w:rPr>
              <w:t>【】个</w:t>
            </w:r>
            <w:r>
              <w:rPr>
                <w:rFonts w:hint="eastAsia" w:eastAsia="仿宋_GB2312" w:cs="新宋体"/>
                <w:b/>
                <w:bCs/>
                <w:sz w:val="30"/>
                <w:szCs w:val="28"/>
              </w:rPr>
              <w:t>自然日</w:t>
            </w:r>
            <w:r>
              <w:rPr>
                <w:rFonts w:hint="eastAsia" w:eastAsia="仿宋_GB2312" w:cs="新宋体"/>
                <w:bCs/>
                <w:sz w:val="30"/>
                <w:szCs w:val="28"/>
              </w:rPr>
              <w:t>（不超过</w:t>
            </w:r>
            <w:r>
              <w:rPr>
                <w:rFonts w:eastAsia="仿宋_GB2312" w:cs="新宋体"/>
                <w:bCs/>
                <w:sz w:val="30"/>
                <w:szCs w:val="28"/>
              </w:rPr>
              <w:t>30</w:t>
            </w:r>
            <w:r>
              <w:rPr>
                <w:rFonts w:hint="eastAsia" w:eastAsia="仿宋_GB2312" w:cs="新宋体"/>
                <w:bCs/>
                <w:sz w:val="30"/>
                <w:szCs w:val="28"/>
              </w:rPr>
              <w:t>个自然日）</w:t>
            </w:r>
          </w:p>
        </w:tc>
      </w:tr>
      <w:tr w14:paraId="5EB0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F52806">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36F9067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可交付债务种类</w:t>
            </w:r>
          </w:p>
        </w:tc>
        <w:tc>
          <w:tcPr>
            <w:tcW w:w="4927" w:type="dxa"/>
            <w:gridSpan w:val="2"/>
            <w:vAlign w:val="center"/>
          </w:tcPr>
          <w:p w14:paraId="04C81D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【付款义务】、【借贷款项】、【债券】、【贷款】、【公司债（不含企业债）】、【可转债】、【企业债】、【资产支持证券】、【仅为参考债务】（可多选，取勾选项的最大范围作为债务种类）</w:t>
            </w:r>
          </w:p>
        </w:tc>
      </w:tr>
      <w:tr w14:paraId="14AD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9D9597">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AB352C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可交付债务特征</w:t>
            </w:r>
          </w:p>
        </w:tc>
        <w:tc>
          <w:tcPr>
            <w:tcW w:w="4927" w:type="dxa"/>
            <w:gridSpan w:val="2"/>
            <w:vAlign w:val="center"/>
          </w:tcPr>
          <w:p w14:paraId="77EFE66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一般债务</w:t>
            </w:r>
            <w:r>
              <w:rPr>
                <w:rFonts w:hint="eastAsia" w:ascii="Times New Roman" w:hAnsi="Times New Roman" w:eastAsia="仿宋_GB2312" w:cs="新宋体"/>
                <w:sz w:val="30"/>
                <w:szCs w:val="28"/>
                <w:lang w:eastAsia="zh-CN"/>
              </w:rPr>
              <w:t>】、【次级债务】、【</w:t>
            </w:r>
            <w:r>
              <w:rPr>
                <w:rFonts w:hint="eastAsia" w:ascii="Times New Roman" w:hAnsi="Times New Roman" w:eastAsia="仿宋_GB2312" w:cs="新宋体"/>
                <w:bCs/>
                <w:sz w:val="30"/>
                <w:szCs w:val="28"/>
                <w:lang w:eastAsia="zh-CN"/>
              </w:rPr>
              <w:t>证券交易所挂牌流通</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本币</w:t>
            </w:r>
            <w:r>
              <w:rPr>
                <w:rFonts w:hint="eastAsia" w:ascii="Times New Roman" w:hAnsi="Times New Roman" w:eastAsia="仿宋_GB2312" w:cs="新宋体"/>
                <w:sz w:val="30"/>
                <w:szCs w:val="28"/>
                <w:lang w:eastAsia="zh-CN"/>
              </w:rPr>
              <w:t>】、【外币】、【无扣减债务】、【可转让贷款】、【转让受限贷款】、【最长待偿期</w:t>
            </w:r>
            <w:r>
              <w:rPr>
                <w:rFonts w:ascii="Times New Roman" w:hAnsi="Times New Roman" w:eastAsia="仿宋_GB2312" w:cs="新宋体"/>
                <w:sz w:val="30"/>
                <w:szCs w:val="28"/>
                <w:lang w:eastAsia="zh-CN"/>
              </w:rPr>
              <w:t>10</w:t>
            </w:r>
            <w:r>
              <w:rPr>
                <w:rFonts w:hint="eastAsia" w:ascii="Times New Roman" w:hAnsi="Times New Roman" w:eastAsia="仿宋_GB2312" w:cs="新宋体"/>
                <w:sz w:val="30"/>
                <w:szCs w:val="28"/>
                <w:lang w:eastAsia="zh-CN"/>
              </w:rPr>
              <w:t>年】、【其他：</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】（可多选）</w:t>
            </w:r>
          </w:p>
        </w:tc>
      </w:tr>
      <w:tr w14:paraId="5AC4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792" w:hRule="atLeast"/>
          <w:jc w:val="center"/>
        </w:trPr>
        <w:tc>
          <w:tcPr>
            <w:tcW w:w="846" w:type="dxa"/>
            <w:vMerge w:val="continue"/>
            <w:vAlign w:val="center"/>
          </w:tcPr>
          <w:p w14:paraId="5CA37753">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4F8D4D0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可交付债务的</w:t>
            </w:r>
          </w:p>
          <w:p w14:paraId="52B6C30F">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应计未付利息</w:t>
            </w:r>
          </w:p>
        </w:tc>
        <w:tc>
          <w:tcPr>
            <w:tcW w:w="4899" w:type="dxa"/>
            <w:vAlign w:val="center"/>
          </w:tcPr>
          <w:p w14:paraId="17FB03D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【计入】</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【不计入】</w:t>
            </w:r>
          </w:p>
        </w:tc>
      </w:tr>
      <w:tr w14:paraId="01BE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1459" w:hRule="atLeast"/>
          <w:jc w:val="center"/>
        </w:trPr>
        <w:tc>
          <w:tcPr>
            <w:tcW w:w="846" w:type="dxa"/>
            <w:vAlign w:val="center"/>
          </w:tcPr>
          <w:p w14:paraId="56B887C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现金结算</w:t>
            </w:r>
          </w:p>
        </w:tc>
        <w:tc>
          <w:tcPr>
            <w:tcW w:w="2523" w:type="dxa"/>
            <w:vAlign w:val="center"/>
          </w:tcPr>
          <w:p w14:paraId="37631A49">
            <w:pPr>
              <w:spacing w:before="118" w:line="560" w:lineRule="exact"/>
              <w:rPr>
                <w:rFonts w:eastAsia="仿宋_GB2312" w:cs="新宋体"/>
                <w:sz w:val="30"/>
                <w:szCs w:val="28"/>
              </w:rPr>
            </w:pPr>
            <w:r>
              <w:rPr>
                <w:rFonts w:hint="eastAsia" w:eastAsia="仿宋_GB2312" w:cs="新宋体"/>
                <w:bCs/>
                <w:sz w:val="30"/>
                <w:szCs w:val="28"/>
              </w:rPr>
              <w:t>约定回收率</w:t>
            </w:r>
          </w:p>
        </w:tc>
        <w:tc>
          <w:tcPr>
            <w:tcW w:w="4899" w:type="dxa"/>
            <w:vAlign w:val="center"/>
          </w:tcPr>
          <w:p w14:paraId="33B4403E">
            <w:pPr>
              <w:spacing w:before="118" w:line="560" w:lineRule="exact"/>
              <w:rPr>
                <w:rFonts w:eastAsia="仿宋_GB2312" w:cs="新宋体"/>
                <w:sz w:val="30"/>
                <w:szCs w:val="28"/>
              </w:rPr>
            </w:pPr>
            <w:r>
              <w:rPr>
                <w:rFonts w:hint="eastAsia" w:eastAsia="仿宋_GB2312" w:cs="新宋体"/>
                <w:bCs/>
                <w:sz w:val="30"/>
                <w:szCs w:val="28"/>
              </w:rPr>
              <w:t>适用以下第</w:t>
            </w:r>
            <w:r>
              <w:rPr>
                <w:rFonts w:hint="eastAsia" w:eastAsia="仿宋_GB2312" w:cs="新宋体"/>
                <w:sz w:val="30"/>
                <w:szCs w:val="28"/>
              </w:rPr>
              <w:t>【】项：</w:t>
            </w:r>
          </w:p>
          <w:p w14:paraId="48CC8D62">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1</w:t>
            </w:r>
            <w:r>
              <w:rPr>
                <w:rFonts w:hint="eastAsia" w:eastAsia="仿宋_GB2312" w:cs="新宋体"/>
                <w:sz w:val="30"/>
                <w:szCs w:val="28"/>
              </w:rPr>
              <w:t>）【】</w:t>
            </w:r>
            <w:r>
              <w:rPr>
                <w:rFonts w:eastAsia="仿宋_GB2312" w:cs="新宋体"/>
                <w:sz w:val="30"/>
                <w:szCs w:val="28"/>
              </w:rPr>
              <w:t xml:space="preserve"> </w:t>
            </w:r>
          </w:p>
          <w:p w14:paraId="146B8FF5">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2</w:t>
            </w:r>
            <w:r>
              <w:rPr>
                <w:rFonts w:hint="eastAsia" w:eastAsia="仿宋_GB2312" w:cs="新宋体"/>
                <w:sz w:val="30"/>
                <w:szCs w:val="28"/>
              </w:rPr>
              <w:t>）【计算方法：</w:t>
            </w:r>
            <w:r>
              <w:rPr>
                <w:rFonts w:eastAsia="仿宋_GB2312" w:cs="新宋体"/>
                <w:sz w:val="30"/>
                <w:szCs w:val="28"/>
              </w:rPr>
              <w:t xml:space="preserve">   </w:t>
            </w:r>
            <w:r>
              <w:rPr>
                <w:rFonts w:hint="eastAsia" w:eastAsia="仿宋_GB2312" w:cs="新宋体"/>
                <w:sz w:val="30"/>
                <w:szCs w:val="28"/>
              </w:rPr>
              <w:t>】</w:t>
            </w:r>
          </w:p>
        </w:tc>
      </w:tr>
    </w:tbl>
    <w:p w14:paraId="6D829FF5">
      <w:pPr>
        <w:spacing w:line="560" w:lineRule="exact"/>
        <w:rPr>
          <w:rFonts w:eastAsia="仿宋_GB2312"/>
          <w:sz w:val="30"/>
          <w:szCs w:val="28"/>
        </w:rPr>
      </w:pPr>
    </w:p>
    <w:p w14:paraId="7D838BF3">
      <w:pPr>
        <w:spacing w:before="72" w:after="72" w:line="560" w:lineRule="exact"/>
        <w:rPr>
          <w:rFonts w:eastAsia="仿宋_GB2312"/>
          <w:b/>
          <w:kern w:val="0"/>
          <w:sz w:val="30"/>
          <w:szCs w:val="28"/>
        </w:rPr>
      </w:pPr>
      <w:r>
        <w:rPr>
          <w:rFonts w:hint="eastAsia" w:eastAsia="仿宋_GB2312"/>
          <w:b/>
          <w:kern w:val="0"/>
          <w:sz w:val="30"/>
          <w:szCs w:val="28"/>
        </w:rPr>
        <w:t>六、其他条款</w:t>
      </w:r>
    </w:p>
    <w:p w14:paraId="4554153B">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（一）联系方式</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4"/>
        <w:gridCol w:w="4122"/>
      </w:tblGrid>
      <w:tr w14:paraId="50F6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vAlign w:val="center"/>
          </w:tcPr>
          <w:p w14:paraId="014B5B6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w:t>
            </w:r>
          </w:p>
        </w:tc>
        <w:tc>
          <w:tcPr>
            <w:tcW w:w="4122" w:type="dxa"/>
          </w:tcPr>
          <w:p w14:paraId="7889F1A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w:t>
            </w:r>
          </w:p>
        </w:tc>
      </w:tr>
      <w:tr w14:paraId="7CAD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18B388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c>
          <w:tcPr>
            <w:tcW w:w="4122" w:type="dxa"/>
          </w:tcPr>
          <w:p w14:paraId="0207367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r>
      <w:tr w14:paraId="01ED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37C550C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c>
          <w:tcPr>
            <w:tcW w:w="4122" w:type="dxa"/>
          </w:tcPr>
          <w:p w14:paraId="6B98863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r>
      <w:tr w14:paraId="545F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74" w:type="dxa"/>
          </w:tcPr>
          <w:p w14:paraId="471259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c>
          <w:tcPr>
            <w:tcW w:w="4122" w:type="dxa"/>
          </w:tcPr>
          <w:p w14:paraId="1CCA669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r>
      <w:tr w14:paraId="74CA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488313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c>
          <w:tcPr>
            <w:tcW w:w="4122" w:type="dxa"/>
          </w:tcPr>
          <w:p w14:paraId="5C17B57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r>
    </w:tbl>
    <w:p w14:paraId="2322F1F6">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（二）资金账户信息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0059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34CF78B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2C1B15A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6E7F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8DAEF8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27E280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51B8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5323187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c>
          <w:tcPr>
            <w:tcW w:w="4099" w:type="dxa"/>
          </w:tcPr>
          <w:p w14:paraId="65B66B8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r>
      <w:tr w14:paraId="5820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97" w:type="dxa"/>
          </w:tcPr>
          <w:p w14:paraId="54BC0B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p>
        </w:tc>
        <w:tc>
          <w:tcPr>
            <w:tcW w:w="4099" w:type="dxa"/>
          </w:tcPr>
          <w:p w14:paraId="471750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r>
              <w:rPr>
                <w:rFonts w:ascii="Times New Roman" w:hAnsi="Times New Roman" w:eastAsia="仿宋_GB2312" w:cs="新宋体"/>
                <w:sz w:val="30"/>
                <w:szCs w:val="28"/>
                <w:lang w:eastAsia="zh-CN"/>
              </w:rPr>
              <w:t xml:space="preserve"> </w:t>
            </w:r>
          </w:p>
        </w:tc>
      </w:tr>
    </w:tbl>
    <w:p w14:paraId="410D7320">
      <w:pPr>
        <w:pStyle w:val="107"/>
        <w:spacing w:before="118"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（三）证券账户信息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30FD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22F39FA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5D5502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116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94A59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1BDD3D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7BC3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01DF8B4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p>
        </w:tc>
        <w:tc>
          <w:tcPr>
            <w:tcW w:w="4099" w:type="dxa"/>
          </w:tcPr>
          <w:p w14:paraId="01A3255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w:t>
            </w:r>
          </w:p>
        </w:tc>
      </w:tr>
    </w:tbl>
    <w:p w14:paraId="473D7DD2">
      <w:pPr>
        <w:pStyle w:val="17"/>
        <w:spacing w:before="154" w:line="560" w:lineRule="exact"/>
        <w:ind w:right="68"/>
        <w:rPr>
          <w:rFonts w:eastAsia="仿宋_GB2312" w:cs="新宋体"/>
          <w:sz w:val="30"/>
          <w:szCs w:val="28"/>
        </w:rPr>
      </w:pPr>
    </w:p>
    <w:p w14:paraId="63E95288">
      <w:pPr>
        <w:spacing w:before="72" w:after="72" w:line="560" w:lineRule="exact"/>
        <w:rPr>
          <w:rFonts w:eastAsia="仿宋_GB2312"/>
          <w:b/>
          <w:sz w:val="30"/>
          <w:szCs w:val="28"/>
        </w:rPr>
      </w:pPr>
      <w:r>
        <w:rPr>
          <w:rFonts w:hint="eastAsia" w:eastAsia="仿宋_GB2312"/>
          <w:b/>
          <w:sz w:val="30"/>
          <w:szCs w:val="28"/>
        </w:rPr>
        <w:t>七、补充条款</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30B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BAD8970">
            <w:pPr>
              <w:spacing w:line="560" w:lineRule="exact"/>
              <w:ind w:firstLine="360"/>
              <w:rPr>
                <w:rFonts w:eastAsia="仿宋_GB2312"/>
                <w:i/>
                <w:sz w:val="30"/>
                <w:szCs w:val="28"/>
                <w:lang w:eastAsia="en-US" w:bidi="en-US"/>
              </w:rPr>
            </w:pPr>
            <w:r>
              <w:rPr>
                <w:rFonts w:hint="eastAsia" w:eastAsia="仿宋_GB2312"/>
                <w:i/>
                <w:sz w:val="30"/>
                <w:szCs w:val="28"/>
                <w:lang w:eastAsia="en-US" w:bidi="en-US"/>
              </w:rPr>
              <w:t>补充条款可对于交易确认书内容做出补充约定（包括履约保障条款、对于定义或条款内容的另行约定等内容），但不得违反法律、行政法规、部门规章以及规范性文件</w:t>
            </w:r>
          </w:p>
          <w:p w14:paraId="63D8E23B">
            <w:pPr>
              <w:spacing w:line="560" w:lineRule="exact"/>
              <w:ind w:firstLine="360"/>
              <w:rPr>
                <w:rFonts w:eastAsia="仿宋_GB2312"/>
                <w:i/>
                <w:sz w:val="30"/>
                <w:szCs w:val="28"/>
                <w:lang w:eastAsia="en-US" w:bidi="en-US"/>
              </w:rPr>
            </w:pPr>
          </w:p>
          <w:p w14:paraId="255B8033">
            <w:pPr>
              <w:spacing w:line="560" w:lineRule="exact"/>
              <w:ind w:firstLine="360"/>
              <w:rPr>
                <w:rFonts w:eastAsia="仿宋_GB2312"/>
                <w:i/>
                <w:sz w:val="30"/>
                <w:szCs w:val="28"/>
                <w:lang w:eastAsia="en-US" w:bidi="en-US"/>
              </w:rPr>
            </w:pPr>
          </w:p>
          <w:p w14:paraId="26372A9E">
            <w:pPr>
              <w:spacing w:line="560" w:lineRule="exact"/>
              <w:ind w:firstLine="360"/>
              <w:rPr>
                <w:rFonts w:eastAsia="仿宋_GB2312"/>
                <w:i/>
                <w:sz w:val="30"/>
                <w:szCs w:val="28"/>
                <w:lang w:eastAsia="en-US" w:bidi="en-US"/>
              </w:rPr>
            </w:pPr>
          </w:p>
          <w:p w14:paraId="38261C03">
            <w:pPr>
              <w:spacing w:line="560" w:lineRule="exact"/>
              <w:ind w:firstLine="360"/>
              <w:rPr>
                <w:rFonts w:eastAsia="仿宋_GB2312"/>
                <w:i/>
                <w:sz w:val="30"/>
                <w:szCs w:val="28"/>
                <w:lang w:eastAsia="en-US" w:bidi="en-US"/>
              </w:rPr>
            </w:pPr>
          </w:p>
        </w:tc>
      </w:tr>
    </w:tbl>
    <w:p w14:paraId="0109CE4A">
      <w:pPr>
        <w:spacing w:line="560" w:lineRule="exact"/>
        <w:rPr>
          <w:rFonts w:eastAsia="仿宋_GB2312"/>
          <w:sz w:val="30"/>
          <w:szCs w:val="28"/>
        </w:rPr>
      </w:pPr>
    </w:p>
    <w:p w14:paraId="35E1E2B8">
      <w:pPr>
        <w:spacing w:before="72" w:after="72" w:line="560" w:lineRule="exact"/>
        <w:rPr>
          <w:rFonts w:eastAsia="仿宋_GB2312"/>
          <w:b/>
          <w:sz w:val="30"/>
          <w:szCs w:val="28"/>
        </w:rPr>
      </w:pPr>
      <w:r>
        <w:rPr>
          <w:rFonts w:hint="eastAsia" w:eastAsia="仿宋_GB2312"/>
          <w:b/>
          <w:sz w:val="30"/>
          <w:szCs w:val="28"/>
        </w:rPr>
        <w:t>八、与交易有关的声明与承诺条款</w:t>
      </w:r>
    </w:p>
    <w:p w14:paraId="4A00F189">
      <w:pPr>
        <w:pStyle w:val="17"/>
        <w:spacing w:before="154" w:line="560" w:lineRule="exact"/>
        <w:ind w:right="66"/>
        <w:rPr>
          <w:rFonts w:eastAsia="仿宋_GB2312" w:cs="新宋体"/>
          <w:sz w:val="30"/>
          <w:szCs w:val="28"/>
        </w:rPr>
      </w:pPr>
      <w:r>
        <w:rPr>
          <w:rFonts w:hint="eastAsia" w:eastAsia="仿宋_GB2312" w:cs="新宋体"/>
          <w:b/>
          <w:bCs/>
          <w:sz w:val="30"/>
          <w:szCs w:val="28"/>
        </w:rPr>
        <w:t>（一）一般的声明与承诺：</w:t>
      </w:r>
    </w:p>
    <w:p w14:paraId="74EEE531">
      <w:pPr>
        <w:spacing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）未向另一方就</w:t>
      </w:r>
      <w:r>
        <w:rPr>
          <w:rFonts w:hint="eastAsia" w:eastAsia="仿宋_GB2312" w:cs="新宋体"/>
          <w:b/>
          <w:bCs/>
          <w:spacing w:val="-4"/>
          <w:sz w:val="30"/>
          <w:szCs w:val="28"/>
        </w:rPr>
        <w:t>参考实体</w:t>
      </w:r>
      <w:r>
        <w:rPr>
          <w:rFonts w:hint="eastAsia" w:eastAsia="仿宋_GB2312" w:cs="新宋体"/>
          <w:spacing w:val="-4"/>
          <w:sz w:val="30"/>
          <w:szCs w:val="28"/>
        </w:rPr>
        <w:t>、</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w:t>
      </w:r>
      <w:r>
        <w:rPr>
          <w:rFonts w:eastAsia="仿宋_GB2312" w:cs="新宋体"/>
          <w:b/>
          <w:bCs/>
          <w:spacing w:val="-105"/>
          <w:sz w:val="30"/>
          <w:szCs w:val="28"/>
        </w:rPr>
        <w:t xml:space="preserve"> </w:t>
      </w:r>
      <w:r>
        <w:rPr>
          <w:rFonts w:hint="eastAsia" w:eastAsia="仿宋_GB2312" w:cs="新宋体"/>
          <w:b/>
          <w:bCs/>
          <w:sz w:val="30"/>
          <w:szCs w:val="28"/>
        </w:rPr>
        <w:t>债务</w:t>
      </w:r>
      <w:r>
        <w:rPr>
          <w:rFonts w:hint="eastAsia" w:eastAsia="仿宋_GB2312" w:cs="新宋体"/>
          <w:sz w:val="30"/>
          <w:szCs w:val="28"/>
        </w:rPr>
        <w:t>、</w:t>
      </w:r>
      <w:r>
        <w:rPr>
          <w:rFonts w:hint="eastAsia" w:eastAsia="仿宋_GB2312" w:cs="新宋体"/>
          <w:b/>
          <w:bCs/>
          <w:sz w:val="30"/>
          <w:szCs w:val="28"/>
        </w:rPr>
        <w:t>可交付债务</w:t>
      </w:r>
      <w:r>
        <w:rPr>
          <w:rFonts w:hint="eastAsia" w:eastAsia="仿宋_GB2312" w:cs="新宋体"/>
          <w:sz w:val="30"/>
          <w:szCs w:val="28"/>
        </w:rPr>
        <w:t>作出任何的声明或陈述。</w:t>
      </w:r>
    </w:p>
    <w:p w14:paraId="05FEE5B7">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）均有权就</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进行任何交易，或接受</w:t>
      </w:r>
      <w:r>
        <w:rPr>
          <w:rFonts w:hint="eastAsia" w:eastAsia="仿宋_GB2312" w:cs="新宋体"/>
          <w:b/>
          <w:bCs/>
          <w:spacing w:val="-4"/>
          <w:sz w:val="30"/>
          <w:szCs w:val="28"/>
        </w:rPr>
        <w:t>参考实体</w:t>
      </w:r>
      <w:r>
        <w:rPr>
          <w:rFonts w:hint="eastAsia" w:eastAsia="仿宋_GB2312" w:cs="新宋体"/>
          <w:spacing w:val="-4"/>
          <w:sz w:val="30"/>
          <w:szCs w:val="28"/>
        </w:rPr>
        <w:t>的存款、向其放款或与其进行任何金融或商业业务活动，不受</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的影响，即使上述交易或业务活动可能对</w:t>
      </w:r>
      <w:r>
        <w:rPr>
          <w:rFonts w:hint="eastAsia" w:eastAsia="仿宋_GB2312" w:cs="新宋体"/>
          <w:b/>
          <w:bCs/>
          <w:spacing w:val="-4"/>
          <w:sz w:val="30"/>
          <w:szCs w:val="28"/>
        </w:rPr>
        <w:t>参考实体</w:t>
      </w:r>
      <w:r>
        <w:rPr>
          <w:rFonts w:hint="eastAsia" w:eastAsia="仿宋_GB2312" w:cs="新宋体"/>
          <w:spacing w:val="-4"/>
          <w:sz w:val="30"/>
          <w:szCs w:val="28"/>
        </w:rPr>
        <w:t>或另一方在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所涉及的权利义务产生不利影响（包括但不限于任何可能构成或产</w:t>
      </w:r>
      <w:r>
        <w:rPr>
          <w:rFonts w:hint="eastAsia" w:eastAsia="仿宋_GB2312" w:cs="新宋体"/>
          <w:sz w:val="30"/>
          <w:szCs w:val="28"/>
        </w:rPr>
        <w:t>生一项</w:t>
      </w:r>
      <w:r>
        <w:rPr>
          <w:rFonts w:hint="eastAsia" w:eastAsia="仿宋_GB2312" w:cs="新宋体"/>
          <w:b/>
          <w:bCs/>
          <w:sz w:val="30"/>
          <w:szCs w:val="28"/>
        </w:rPr>
        <w:t>信用事件</w:t>
      </w:r>
      <w:r>
        <w:rPr>
          <w:rFonts w:hint="eastAsia" w:eastAsia="仿宋_GB2312" w:cs="新宋体"/>
          <w:sz w:val="30"/>
          <w:szCs w:val="28"/>
        </w:rPr>
        <w:t>的行为）。</w:t>
      </w:r>
    </w:p>
    <w:p w14:paraId="4EA3538A">
      <w:pPr>
        <w:spacing w:before="128" w:line="560" w:lineRule="exact"/>
        <w:ind w:right="105" w:rightChars="50" w:firstLine="600" w:firstLineChars="200"/>
        <w:rPr>
          <w:rFonts w:eastAsia="仿宋_GB2312" w:cs="新宋体"/>
          <w:sz w:val="30"/>
          <w:szCs w:val="28"/>
        </w:rPr>
      </w:pPr>
      <w:r>
        <w:rPr>
          <w:rFonts w:eastAsia="仿宋_GB2312" w:cs="新宋体"/>
          <w:sz w:val="30"/>
          <w:szCs w:val="28"/>
        </w:rPr>
        <w:t>3</w:t>
      </w:r>
      <w:r>
        <w:rPr>
          <w:rFonts w:hint="eastAsia" w:eastAsia="仿宋_GB2312" w:cs="新宋体"/>
          <w:sz w:val="30"/>
          <w:szCs w:val="28"/>
        </w:rPr>
        <w:t>、</w:t>
      </w:r>
      <w:r>
        <w:rPr>
          <w:rFonts w:hint="eastAsia" w:eastAsia="仿宋_GB2312" w:cs="新宋体"/>
          <w:b/>
          <w:sz w:val="30"/>
          <w:szCs w:val="28"/>
        </w:rPr>
        <w:t>交易一方</w:t>
      </w:r>
      <w:r>
        <w:rPr>
          <w:rFonts w:hint="eastAsia" w:eastAsia="仿宋_GB2312" w:cs="新宋体"/>
          <w:sz w:val="30"/>
          <w:szCs w:val="28"/>
        </w:rPr>
        <w:t>（包括其</w:t>
      </w:r>
      <w:r>
        <w:rPr>
          <w:rFonts w:hint="eastAsia" w:eastAsia="仿宋_GB2312" w:cs="新宋体"/>
          <w:b/>
          <w:bCs/>
          <w:sz w:val="30"/>
          <w:szCs w:val="28"/>
        </w:rPr>
        <w:t>关联方</w:t>
      </w:r>
      <w:r>
        <w:rPr>
          <w:rFonts w:hint="eastAsia" w:eastAsia="仿宋_GB2312" w:cs="新宋体"/>
          <w:sz w:val="30"/>
          <w:szCs w:val="28"/>
        </w:rPr>
        <w:t>）均有权在</w:t>
      </w:r>
      <w:r>
        <w:rPr>
          <w:rFonts w:hint="eastAsia" w:eastAsia="仿宋_GB2312" w:cs="新宋体"/>
          <w:b/>
          <w:bCs/>
          <w:sz w:val="30"/>
          <w:szCs w:val="28"/>
        </w:rPr>
        <w:t>签署日</w:t>
      </w:r>
      <w:r>
        <w:rPr>
          <w:rFonts w:hint="eastAsia" w:eastAsia="仿宋_GB2312" w:cs="新宋体"/>
          <w:sz w:val="30"/>
          <w:szCs w:val="28"/>
        </w:rPr>
        <w:t>后获取</w:t>
      </w:r>
      <w:r>
        <w:rPr>
          <w:rFonts w:hint="eastAsia" w:eastAsia="仿宋_GB2312" w:cs="新宋体"/>
          <w:spacing w:val="-4"/>
          <w:sz w:val="30"/>
          <w:szCs w:val="28"/>
        </w:rPr>
        <w:t>或掌握与</w:t>
      </w:r>
      <w:r>
        <w:rPr>
          <w:rFonts w:hint="eastAsia" w:eastAsia="仿宋_GB2312" w:cs="新宋体"/>
          <w:b/>
          <w:bCs/>
          <w:spacing w:val="-4"/>
          <w:sz w:val="30"/>
          <w:szCs w:val="28"/>
        </w:rPr>
        <w:t>参考实体</w:t>
      </w:r>
      <w:r>
        <w:rPr>
          <w:rFonts w:hint="eastAsia" w:eastAsia="仿宋_GB2312" w:cs="新宋体"/>
          <w:spacing w:val="-4"/>
          <w:sz w:val="30"/>
          <w:szCs w:val="28"/>
        </w:rPr>
        <w:t>有关的信息，该信息可能与</w:t>
      </w:r>
      <w:r>
        <w:rPr>
          <w:rFonts w:hint="eastAsia" w:eastAsia="仿宋_GB2312" w:cs="新宋体"/>
          <w:b/>
          <w:bCs/>
          <w:spacing w:val="-4"/>
          <w:sz w:val="30"/>
          <w:szCs w:val="28"/>
        </w:rPr>
        <w:t>交易</w:t>
      </w:r>
      <w:r>
        <w:rPr>
          <w:rFonts w:hint="eastAsia" w:eastAsia="仿宋_GB2312" w:cs="新宋体"/>
          <w:spacing w:val="-4"/>
          <w:sz w:val="30"/>
          <w:szCs w:val="28"/>
        </w:rPr>
        <w:t>有关且不为公众或另一方所知悉，但该方没有义务向另一方披露该</w:t>
      </w:r>
      <w:r>
        <w:rPr>
          <w:rFonts w:hint="eastAsia" w:eastAsia="仿宋_GB2312" w:cs="新宋体"/>
          <w:sz w:val="30"/>
          <w:szCs w:val="28"/>
        </w:rPr>
        <w:t>信息（无论其是否为保密信息）。</w:t>
      </w:r>
    </w:p>
    <w:p w14:paraId="1B669AEB">
      <w:pPr>
        <w:pStyle w:val="17"/>
        <w:spacing w:before="154" w:line="560" w:lineRule="exact"/>
        <w:rPr>
          <w:rFonts w:eastAsia="仿宋_GB2312" w:cs="新宋体"/>
          <w:sz w:val="30"/>
          <w:szCs w:val="28"/>
        </w:rPr>
      </w:pPr>
      <w:r>
        <w:rPr>
          <w:rFonts w:hint="eastAsia" w:eastAsia="仿宋_GB2312" w:cs="新宋体"/>
          <w:b/>
          <w:bCs/>
          <w:sz w:val="30"/>
          <w:szCs w:val="28"/>
        </w:rPr>
        <w:t>（二）与实物结算有关的声明与承诺：</w:t>
      </w:r>
    </w:p>
    <w:p w14:paraId="05EA314D">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、若</w:t>
      </w:r>
      <w:r>
        <w:rPr>
          <w:rFonts w:hint="eastAsia" w:eastAsia="仿宋_GB2312" w:cs="新宋体"/>
          <w:b/>
          <w:bCs/>
          <w:spacing w:val="-4"/>
          <w:sz w:val="30"/>
          <w:szCs w:val="28"/>
        </w:rPr>
        <w:t>信用保护买方</w:t>
      </w:r>
      <w:r>
        <w:rPr>
          <w:rFonts w:hint="eastAsia" w:eastAsia="仿宋_GB2312" w:cs="新宋体"/>
          <w:spacing w:val="-4"/>
          <w:sz w:val="30"/>
          <w:szCs w:val="28"/>
        </w:rPr>
        <w:t>向</w:t>
      </w:r>
      <w:r>
        <w:rPr>
          <w:rFonts w:hint="eastAsia" w:eastAsia="仿宋_GB2312" w:cs="新宋体"/>
          <w:b/>
          <w:bCs/>
          <w:spacing w:val="-4"/>
          <w:sz w:val="30"/>
          <w:szCs w:val="28"/>
        </w:rPr>
        <w:t>信用保护卖方交割</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在所有权方面</w:t>
      </w:r>
      <w:r>
        <w:rPr>
          <w:rFonts w:eastAsia="仿宋_GB2312" w:cs="新宋体"/>
          <w:spacing w:val="-111"/>
          <w:sz w:val="30"/>
          <w:szCs w:val="28"/>
        </w:rPr>
        <w:t xml:space="preserve"> </w:t>
      </w:r>
      <w:r>
        <w:rPr>
          <w:rFonts w:hint="eastAsia" w:eastAsia="仿宋_GB2312" w:cs="新宋体"/>
          <w:spacing w:val="-4"/>
          <w:sz w:val="30"/>
          <w:szCs w:val="28"/>
        </w:rPr>
        <w:t>存在瑕疵，或受限于任何担保物权、请求权、其他权利负担或第三方权益（但</w:t>
      </w:r>
      <w:r>
        <w:rPr>
          <w:rFonts w:hint="eastAsia" w:eastAsia="仿宋_GB2312" w:cs="新宋体"/>
          <w:b/>
          <w:bCs/>
          <w:spacing w:val="-4"/>
          <w:sz w:val="30"/>
          <w:szCs w:val="28"/>
        </w:rPr>
        <w:t>参考实体</w:t>
      </w:r>
      <w:r>
        <w:rPr>
          <w:rFonts w:hint="eastAsia" w:eastAsia="仿宋_GB2312" w:cs="新宋体"/>
          <w:spacing w:val="-4"/>
          <w:sz w:val="30"/>
          <w:szCs w:val="28"/>
        </w:rPr>
        <w:t>享有的或可行使的抵销权除外），则应赔偿由此给</w:t>
      </w:r>
      <w:r>
        <w:rPr>
          <w:rFonts w:hint="eastAsia" w:eastAsia="仿宋_GB2312" w:cs="新宋体"/>
          <w:b/>
          <w:bCs/>
          <w:spacing w:val="-4"/>
          <w:sz w:val="30"/>
          <w:szCs w:val="28"/>
        </w:rPr>
        <w:t>信用保护卖方</w:t>
      </w:r>
      <w:r>
        <w:rPr>
          <w:rFonts w:hint="eastAsia" w:eastAsia="仿宋_GB2312" w:cs="新宋体"/>
          <w:spacing w:val="-4"/>
          <w:sz w:val="30"/>
          <w:szCs w:val="28"/>
        </w:rPr>
        <w:t>造成的直接损失，除非</w:t>
      </w:r>
      <w:r>
        <w:rPr>
          <w:rFonts w:hint="eastAsia" w:eastAsia="仿宋_GB2312" w:cs="新宋体"/>
          <w:b/>
          <w:bCs/>
          <w:spacing w:val="-4"/>
          <w:sz w:val="30"/>
          <w:szCs w:val="28"/>
        </w:rPr>
        <w:t>信用保护买方</w:t>
      </w:r>
      <w:r>
        <w:rPr>
          <w:rFonts w:hint="eastAsia" w:eastAsia="仿宋_GB2312" w:cs="新宋体"/>
          <w:spacing w:val="-4"/>
          <w:sz w:val="30"/>
          <w:szCs w:val="28"/>
        </w:rPr>
        <w:t>能够</w:t>
      </w:r>
      <w:r>
        <w:rPr>
          <w:rFonts w:hint="eastAsia" w:eastAsia="仿宋_GB2312" w:cs="新宋体"/>
          <w:spacing w:val="4"/>
          <w:sz w:val="30"/>
          <w:szCs w:val="28"/>
        </w:rPr>
        <w:t>证明其已采取合理可行的措施对该</w:t>
      </w:r>
      <w:r>
        <w:rPr>
          <w:rFonts w:hint="eastAsia" w:eastAsia="仿宋_GB2312" w:cs="新宋体"/>
          <w:b/>
          <w:bCs/>
          <w:spacing w:val="4"/>
          <w:sz w:val="30"/>
          <w:szCs w:val="28"/>
        </w:rPr>
        <w:t>可交付债务</w:t>
      </w:r>
      <w:r>
        <w:rPr>
          <w:rFonts w:hint="eastAsia" w:eastAsia="仿宋_GB2312" w:cs="新宋体"/>
          <w:spacing w:val="4"/>
          <w:sz w:val="30"/>
          <w:szCs w:val="28"/>
        </w:rPr>
        <w:t>进行了调查与核</w:t>
      </w:r>
      <w:r>
        <w:rPr>
          <w:rFonts w:hint="eastAsia" w:eastAsia="仿宋_GB2312" w:cs="新宋体"/>
          <w:spacing w:val="-4"/>
          <w:sz w:val="30"/>
          <w:szCs w:val="28"/>
        </w:rPr>
        <w:t>实。该赔偿义务在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w:t>
      </w:r>
      <w:r>
        <w:rPr>
          <w:rFonts w:hint="eastAsia" w:eastAsia="仿宋_GB2312" w:cs="新宋体"/>
          <w:b/>
          <w:bCs/>
          <w:spacing w:val="-4"/>
          <w:sz w:val="30"/>
          <w:szCs w:val="28"/>
        </w:rPr>
        <w:t>到期日</w:t>
      </w:r>
      <w:r>
        <w:rPr>
          <w:rFonts w:hint="eastAsia" w:eastAsia="仿宋_GB2312" w:cs="新宋体"/>
          <w:spacing w:val="-4"/>
          <w:sz w:val="30"/>
          <w:szCs w:val="28"/>
        </w:rPr>
        <w:t>之后仍然有效。但是，</w:t>
      </w:r>
      <w:r>
        <w:rPr>
          <w:rFonts w:hint="eastAsia" w:eastAsia="仿宋_GB2312" w:cs="新宋体"/>
          <w:b/>
          <w:bCs/>
          <w:spacing w:val="-4"/>
          <w:sz w:val="30"/>
          <w:szCs w:val="28"/>
        </w:rPr>
        <w:t>信用保护</w:t>
      </w:r>
      <w:r>
        <w:rPr>
          <w:rFonts w:hint="eastAsia" w:eastAsia="仿宋_GB2312" w:cs="新宋体"/>
          <w:b/>
          <w:bCs/>
          <w:spacing w:val="4"/>
          <w:sz w:val="30"/>
          <w:szCs w:val="28"/>
        </w:rPr>
        <w:t>买方</w:t>
      </w:r>
      <w:r>
        <w:rPr>
          <w:rFonts w:hint="eastAsia" w:eastAsia="仿宋_GB2312" w:cs="新宋体"/>
          <w:spacing w:val="4"/>
          <w:sz w:val="30"/>
          <w:szCs w:val="28"/>
        </w:rPr>
        <w:t>未能满足上述要求不视为构成了其在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z w:val="30"/>
          <w:szCs w:val="28"/>
        </w:rPr>
        <w:t>一个</w:t>
      </w:r>
      <w:r>
        <w:rPr>
          <w:rFonts w:hint="eastAsia" w:eastAsia="仿宋_GB2312" w:cs="新宋体"/>
          <w:b/>
          <w:sz w:val="30"/>
          <w:szCs w:val="28"/>
        </w:rPr>
        <w:t>违约事件</w:t>
      </w:r>
      <w:r>
        <w:rPr>
          <w:rFonts w:hint="eastAsia" w:eastAsia="仿宋_GB2312" w:cs="新宋体"/>
          <w:sz w:val="30"/>
          <w:szCs w:val="28"/>
        </w:rPr>
        <w:t>。</w:t>
      </w:r>
    </w:p>
    <w:p w14:paraId="6B624377">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bCs/>
          <w:spacing w:val="-4"/>
          <w:sz w:val="30"/>
          <w:szCs w:val="28"/>
        </w:rPr>
        <w:t>信用保护买方交割</w:t>
      </w:r>
      <w:r>
        <w:rPr>
          <w:rFonts w:hint="eastAsia" w:eastAsia="仿宋_GB2312" w:cs="新宋体"/>
          <w:spacing w:val="-4"/>
          <w:sz w:val="30"/>
          <w:szCs w:val="28"/>
        </w:rPr>
        <w:t>给</w:t>
      </w:r>
      <w:r>
        <w:rPr>
          <w:rFonts w:hint="eastAsia" w:eastAsia="仿宋_GB2312" w:cs="新宋体"/>
          <w:b/>
          <w:bCs/>
          <w:spacing w:val="-4"/>
          <w:sz w:val="30"/>
          <w:szCs w:val="28"/>
        </w:rPr>
        <w:t>信用保护卖方</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不得要求</w:t>
      </w:r>
      <w:r>
        <w:rPr>
          <w:rFonts w:hint="eastAsia" w:eastAsia="仿宋_GB2312" w:cs="新宋体"/>
          <w:b/>
          <w:bCs/>
          <w:spacing w:val="-4"/>
          <w:sz w:val="30"/>
          <w:szCs w:val="28"/>
        </w:rPr>
        <w:t>信用保</w:t>
      </w:r>
      <w:r>
        <w:rPr>
          <w:rFonts w:eastAsia="仿宋_GB2312" w:cs="新宋体"/>
          <w:b/>
          <w:bCs/>
          <w:spacing w:val="-117"/>
          <w:sz w:val="30"/>
          <w:szCs w:val="28"/>
        </w:rPr>
        <w:t xml:space="preserve"> </w:t>
      </w:r>
      <w:r>
        <w:rPr>
          <w:rFonts w:hint="eastAsia" w:eastAsia="仿宋_GB2312" w:cs="新宋体"/>
          <w:b/>
          <w:bCs/>
          <w:spacing w:val="4"/>
          <w:sz w:val="30"/>
          <w:szCs w:val="28"/>
        </w:rPr>
        <w:t>护卖方</w:t>
      </w:r>
      <w:r>
        <w:rPr>
          <w:rFonts w:hint="eastAsia" w:eastAsia="仿宋_GB2312" w:cs="新宋体"/>
          <w:spacing w:val="4"/>
          <w:sz w:val="30"/>
          <w:szCs w:val="28"/>
        </w:rPr>
        <w:t>对</w:t>
      </w:r>
      <w:r>
        <w:rPr>
          <w:rFonts w:hint="eastAsia" w:eastAsia="仿宋_GB2312" w:cs="新宋体"/>
          <w:b/>
          <w:bCs/>
          <w:spacing w:val="4"/>
          <w:sz w:val="30"/>
          <w:szCs w:val="28"/>
        </w:rPr>
        <w:t>参考实体</w:t>
      </w:r>
      <w:r>
        <w:rPr>
          <w:rFonts w:hint="eastAsia" w:eastAsia="仿宋_GB2312" w:cs="新宋体"/>
          <w:spacing w:val="4"/>
          <w:sz w:val="30"/>
          <w:szCs w:val="28"/>
        </w:rPr>
        <w:t>承诺提供任何后续资金（包括或有的资金承</w:t>
      </w:r>
      <w:r>
        <w:rPr>
          <w:rFonts w:hint="eastAsia" w:eastAsia="仿宋_GB2312" w:cs="新宋体"/>
          <w:sz w:val="30"/>
          <w:szCs w:val="28"/>
        </w:rPr>
        <w:t>诺），或对</w:t>
      </w:r>
      <w:r>
        <w:rPr>
          <w:rFonts w:hint="eastAsia" w:eastAsia="仿宋_GB2312" w:cs="新宋体"/>
          <w:b/>
          <w:bCs/>
          <w:sz w:val="30"/>
          <w:szCs w:val="28"/>
        </w:rPr>
        <w:t>参考实体</w:t>
      </w:r>
      <w:r>
        <w:rPr>
          <w:rFonts w:hint="eastAsia" w:eastAsia="仿宋_GB2312" w:cs="新宋体"/>
          <w:sz w:val="30"/>
          <w:szCs w:val="28"/>
        </w:rPr>
        <w:t>负有任何支付款项的义务。</w:t>
      </w:r>
    </w:p>
    <w:p w14:paraId="6B0041A9">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3</w:t>
      </w:r>
      <w:r>
        <w:rPr>
          <w:rFonts w:hint="eastAsia" w:eastAsia="仿宋_GB2312" w:cs="新宋体"/>
          <w:spacing w:val="-4"/>
          <w:sz w:val="30"/>
          <w:szCs w:val="28"/>
        </w:rPr>
        <w:t>、</w:t>
      </w:r>
      <w:r>
        <w:rPr>
          <w:rFonts w:hint="eastAsia" w:eastAsia="仿宋_GB2312" w:cs="新宋体"/>
          <w:b/>
          <w:bCs/>
          <w:spacing w:val="-4"/>
          <w:sz w:val="30"/>
          <w:szCs w:val="28"/>
        </w:rPr>
        <w:t>信用保护买方</w:t>
      </w:r>
      <w:r>
        <w:rPr>
          <w:rFonts w:hint="eastAsia" w:eastAsia="仿宋_GB2312" w:cs="新宋体"/>
          <w:spacing w:val="-4"/>
          <w:sz w:val="30"/>
          <w:szCs w:val="28"/>
        </w:rPr>
        <w:t>无法在</w:t>
      </w:r>
      <w:r>
        <w:rPr>
          <w:rFonts w:hint="eastAsia" w:eastAsia="仿宋_GB2312" w:cs="新宋体"/>
          <w:b/>
          <w:bCs/>
          <w:spacing w:val="-4"/>
          <w:sz w:val="30"/>
          <w:szCs w:val="28"/>
        </w:rPr>
        <w:t>实物交割期间</w:t>
      </w:r>
      <w:r>
        <w:rPr>
          <w:rFonts w:hint="eastAsia" w:eastAsia="仿宋_GB2312" w:cs="新宋体"/>
          <w:spacing w:val="-4"/>
          <w:sz w:val="30"/>
          <w:szCs w:val="28"/>
        </w:rPr>
        <w:t>内将</w:t>
      </w:r>
      <w:r>
        <w:rPr>
          <w:rFonts w:hint="eastAsia" w:eastAsia="仿宋_GB2312" w:cs="新宋体"/>
          <w:b/>
          <w:bCs/>
          <w:spacing w:val="-4"/>
          <w:sz w:val="30"/>
          <w:szCs w:val="28"/>
        </w:rPr>
        <w:t>可交付债务交割</w:t>
      </w:r>
      <w:r>
        <w:rPr>
          <w:rFonts w:hint="eastAsia" w:eastAsia="仿宋_GB2312" w:cs="新宋体"/>
          <w:spacing w:val="-4"/>
          <w:sz w:val="30"/>
          <w:szCs w:val="28"/>
        </w:rPr>
        <w:t>给</w:t>
      </w:r>
      <w:r>
        <w:rPr>
          <w:rFonts w:hint="eastAsia" w:eastAsia="仿宋_GB2312" w:cs="新宋体"/>
          <w:b/>
          <w:bCs/>
          <w:spacing w:val="-4"/>
          <w:sz w:val="30"/>
          <w:szCs w:val="28"/>
        </w:rPr>
        <w:t>信用保</w:t>
      </w:r>
      <w:r>
        <w:rPr>
          <w:rFonts w:eastAsia="仿宋_GB2312" w:cs="新宋体"/>
          <w:b/>
          <w:bCs/>
          <w:spacing w:val="-115"/>
          <w:sz w:val="30"/>
          <w:szCs w:val="28"/>
        </w:rPr>
        <w:t xml:space="preserve"> </w:t>
      </w:r>
      <w:r>
        <w:rPr>
          <w:rFonts w:hint="eastAsia" w:eastAsia="仿宋_GB2312" w:cs="新宋体"/>
          <w:b/>
          <w:bCs/>
          <w:sz w:val="30"/>
          <w:szCs w:val="28"/>
        </w:rPr>
        <w:t>护卖方</w:t>
      </w:r>
      <w:r>
        <w:rPr>
          <w:rFonts w:hint="eastAsia" w:eastAsia="仿宋_GB2312" w:cs="新宋体"/>
          <w:sz w:val="30"/>
          <w:szCs w:val="28"/>
        </w:rPr>
        <w:t>不构成其在</w:t>
      </w:r>
      <w:r>
        <w:rPr>
          <w:rFonts w:hint="eastAsia" w:eastAsia="仿宋_GB2312" w:cs="新宋体"/>
          <w:b/>
          <w:bCs/>
          <w:sz w:val="30"/>
          <w:szCs w:val="28"/>
        </w:rPr>
        <w:t>本确认书</w:t>
      </w:r>
      <w:r>
        <w:rPr>
          <w:rFonts w:hint="eastAsia" w:eastAsia="仿宋_GB2312" w:cs="新宋体"/>
          <w:sz w:val="30"/>
          <w:szCs w:val="28"/>
        </w:rPr>
        <w:t>项下的一个</w:t>
      </w:r>
      <w:r>
        <w:rPr>
          <w:rFonts w:hint="eastAsia" w:eastAsia="仿宋_GB2312" w:cs="新宋体"/>
          <w:b/>
          <w:sz w:val="30"/>
          <w:szCs w:val="28"/>
        </w:rPr>
        <w:t>违约事件</w:t>
      </w:r>
      <w:r>
        <w:rPr>
          <w:rFonts w:hint="eastAsia" w:eastAsia="仿宋_GB2312" w:cs="新宋体"/>
          <w:sz w:val="30"/>
          <w:szCs w:val="28"/>
        </w:rPr>
        <w:t>。</w:t>
      </w:r>
    </w:p>
    <w:p w14:paraId="68908A72">
      <w:pPr>
        <w:spacing w:before="156" w:line="560" w:lineRule="exact"/>
        <w:ind w:right="105" w:rightChars="50" w:firstLine="600" w:firstLineChars="200"/>
        <w:rPr>
          <w:rFonts w:eastAsia="仿宋_GB2312" w:cs="新宋体"/>
          <w:sz w:val="30"/>
          <w:szCs w:val="28"/>
        </w:rPr>
      </w:pPr>
      <w:r>
        <w:rPr>
          <w:rFonts w:eastAsia="仿宋_GB2312" w:cs="新宋体"/>
          <w:bCs/>
          <w:sz w:val="30"/>
          <w:szCs w:val="28"/>
        </w:rPr>
        <w:t>4</w:t>
      </w:r>
      <w:r>
        <w:rPr>
          <w:rFonts w:hint="eastAsia" w:eastAsia="仿宋_GB2312" w:cs="新宋体"/>
          <w:bCs/>
          <w:sz w:val="30"/>
          <w:szCs w:val="28"/>
        </w:rPr>
        <w:t>、</w:t>
      </w:r>
      <w:r>
        <w:rPr>
          <w:rFonts w:hint="eastAsia" w:eastAsia="仿宋_GB2312" w:cs="新宋体"/>
          <w:sz w:val="30"/>
          <w:szCs w:val="28"/>
        </w:rPr>
        <w:t>如</w:t>
      </w:r>
      <w:r>
        <w:rPr>
          <w:rFonts w:hint="eastAsia" w:eastAsia="仿宋_GB2312" w:cs="新宋体"/>
          <w:b/>
          <w:bCs/>
          <w:sz w:val="30"/>
          <w:szCs w:val="28"/>
        </w:rPr>
        <w:t>信用保护买方</w:t>
      </w:r>
      <w:r>
        <w:rPr>
          <w:rFonts w:hint="eastAsia" w:eastAsia="仿宋_GB2312" w:cs="新宋体"/>
          <w:sz w:val="30"/>
          <w:szCs w:val="28"/>
        </w:rPr>
        <w:t>未在</w:t>
      </w:r>
      <w:r>
        <w:rPr>
          <w:rFonts w:hint="eastAsia" w:eastAsia="仿宋_GB2312" w:cs="新宋体"/>
          <w:b/>
          <w:bCs/>
          <w:sz w:val="30"/>
          <w:szCs w:val="28"/>
        </w:rPr>
        <w:t>实物交割期间</w:t>
      </w:r>
      <w:r>
        <w:rPr>
          <w:rFonts w:hint="eastAsia" w:eastAsia="仿宋_GB2312" w:cs="新宋体"/>
          <w:sz w:val="30"/>
          <w:szCs w:val="28"/>
        </w:rPr>
        <w:t>向</w:t>
      </w:r>
      <w:r>
        <w:rPr>
          <w:rFonts w:hint="eastAsia" w:eastAsia="仿宋_GB2312" w:cs="新宋体"/>
          <w:b/>
          <w:bCs/>
          <w:sz w:val="30"/>
          <w:szCs w:val="28"/>
        </w:rPr>
        <w:t>信用保护卖方</w:t>
      </w:r>
      <w:r>
        <w:rPr>
          <w:rFonts w:hint="eastAsia" w:eastAsia="仿宋_GB2312" w:cs="新宋体"/>
          <w:sz w:val="30"/>
          <w:szCs w:val="28"/>
        </w:rPr>
        <w:t>交付</w:t>
      </w:r>
      <w:r>
        <w:rPr>
          <w:rFonts w:hint="eastAsia" w:eastAsia="仿宋_GB2312" w:cs="新宋体"/>
          <w:b/>
          <w:bCs/>
          <w:sz w:val="30"/>
          <w:szCs w:val="28"/>
        </w:rPr>
        <w:t>可交付债务</w:t>
      </w:r>
      <w:r>
        <w:rPr>
          <w:rFonts w:hint="eastAsia" w:eastAsia="仿宋_GB2312" w:cs="新宋体"/>
          <w:sz w:val="30"/>
          <w:szCs w:val="28"/>
        </w:rPr>
        <w:t>，则上述</w:t>
      </w:r>
      <w:r>
        <w:rPr>
          <w:rFonts w:hint="eastAsia" w:eastAsia="仿宋_GB2312" w:cs="新宋体"/>
          <w:b/>
          <w:bCs/>
          <w:sz w:val="30"/>
          <w:szCs w:val="28"/>
        </w:rPr>
        <w:t>实物交割期间</w:t>
      </w:r>
      <w:r>
        <w:rPr>
          <w:rFonts w:hint="eastAsia" w:eastAsia="仿宋_GB2312" w:cs="新宋体"/>
          <w:sz w:val="30"/>
          <w:szCs w:val="28"/>
        </w:rPr>
        <w:t>结束之日为本</w:t>
      </w:r>
      <w:r>
        <w:rPr>
          <w:rFonts w:hint="eastAsia" w:eastAsia="仿宋_GB2312" w:cs="新宋体"/>
          <w:b/>
          <w:bCs/>
          <w:sz w:val="30"/>
          <w:szCs w:val="28"/>
        </w:rPr>
        <w:t>信用保护合约交易</w:t>
      </w:r>
      <w:r>
        <w:rPr>
          <w:rFonts w:hint="eastAsia" w:eastAsia="仿宋_GB2312" w:cs="新宋体"/>
          <w:sz w:val="30"/>
          <w:szCs w:val="28"/>
        </w:rPr>
        <w:t>的到期日，</w:t>
      </w:r>
      <w:r>
        <w:rPr>
          <w:rFonts w:hint="eastAsia" w:eastAsia="仿宋_GB2312" w:cs="新宋体"/>
          <w:b/>
          <w:bCs/>
          <w:sz w:val="30"/>
          <w:szCs w:val="28"/>
        </w:rPr>
        <w:t>信用保护买方</w:t>
      </w:r>
      <w:r>
        <w:rPr>
          <w:rFonts w:hint="eastAsia" w:eastAsia="仿宋_GB2312" w:cs="新宋体"/>
          <w:sz w:val="30"/>
          <w:szCs w:val="28"/>
        </w:rPr>
        <w:t>将至此自动丧失未交付的可交付债务对应额度的向</w:t>
      </w:r>
      <w:r>
        <w:rPr>
          <w:rFonts w:hint="eastAsia" w:eastAsia="仿宋_GB2312" w:cs="新宋体"/>
          <w:b/>
          <w:bCs/>
          <w:sz w:val="30"/>
          <w:szCs w:val="28"/>
        </w:rPr>
        <w:t>信用保护卖方</w:t>
      </w:r>
      <w:r>
        <w:rPr>
          <w:rFonts w:hint="eastAsia" w:eastAsia="仿宋_GB2312" w:cs="新宋体"/>
          <w:sz w:val="30"/>
          <w:szCs w:val="28"/>
        </w:rPr>
        <w:t>请求获得本</w:t>
      </w:r>
      <w:r>
        <w:rPr>
          <w:rFonts w:hint="eastAsia" w:eastAsia="仿宋_GB2312" w:cs="新宋体"/>
          <w:b/>
          <w:bCs/>
          <w:sz w:val="30"/>
          <w:szCs w:val="28"/>
        </w:rPr>
        <w:t>信用保护合约交易</w:t>
      </w:r>
      <w:r>
        <w:rPr>
          <w:rFonts w:hint="eastAsia" w:eastAsia="仿宋_GB2312" w:cs="新宋体"/>
          <w:sz w:val="30"/>
          <w:szCs w:val="28"/>
        </w:rPr>
        <w:t>项下结算赔付的权利。</w:t>
      </w:r>
    </w:p>
    <w:p w14:paraId="129033AE">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5</w:t>
      </w:r>
      <w:r>
        <w:rPr>
          <w:rFonts w:hint="eastAsia" w:eastAsia="仿宋_GB2312" w:cs="新宋体"/>
          <w:spacing w:val="-4"/>
          <w:sz w:val="30"/>
          <w:szCs w:val="28"/>
        </w:rPr>
        <w:t>、</w:t>
      </w:r>
      <w:r>
        <w:rPr>
          <w:rFonts w:hint="eastAsia" w:eastAsia="仿宋_GB2312" w:cs="新宋体"/>
          <w:b/>
          <w:bCs/>
          <w:spacing w:val="-4"/>
          <w:sz w:val="30"/>
          <w:szCs w:val="28"/>
        </w:rPr>
        <w:t>交易双方</w:t>
      </w:r>
      <w:r>
        <w:rPr>
          <w:rFonts w:hint="eastAsia" w:eastAsia="仿宋_GB2312" w:cs="新宋体"/>
          <w:spacing w:val="-4"/>
          <w:sz w:val="30"/>
          <w:szCs w:val="28"/>
        </w:rPr>
        <w:t>需按照适用于有关</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的法律规定各自</w:t>
      </w:r>
      <w:r>
        <w:rPr>
          <w:rFonts w:hint="eastAsia" w:eastAsia="仿宋_GB2312" w:cs="新宋体"/>
          <w:sz w:val="30"/>
          <w:szCs w:val="28"/>
        </w:rPr>
        <w:t>承担应付的印花税或其他相关税费。除非</w:t>
      </w:r>
      <w:r>
        <w:rPr>
          <w:rFonts w:hint="eastAsia" w:eastAsia="仿宋_GB2312" w:cs="新宋体"/>
          <w:b/>
          <w:bCs/>
          <w:sz w:val="30"/>
          <w:szCs w:val="28"/>
        </w:rPr>
        <w:t>交易双方</w:t>
      </w:r>
      <w:r>
        <w:rPr>
          <w:rFonts w:hint="eastAsia" w:eastAsia="仿宋_GB2312" w:cs="新宋体"/>
          <w:sz w:val="30"/>
          <w:szCs w:val="28"/>
        </w:rPr>
        <w:t>另行约定，</w:t>
      </w:r>
      <w:r>
        <w:rPr>
          <w:rFonts w:hint="eastAsia" w:eastAsia="仿宋_GB2312" w:cs="新宋体"/>
          <w:b/>
          <w:bCs/>
          <w:spacing w:val="4"/>
          <w:sz w:val="30"/>
          <w:szCs w:val="28"/>
        </w:rPr>
        <w:t>交割可交付债务</w:t>
      </w:r>
      <w:r>
        <w:rPr>
          <w:rFonts w:hint="eastAsia" w:eastAsia="仿宋_GB2312" w:cs="新宋体"/>
          <w:spacing w:val="4"/>
          <w:sz w:val="30"/>
          <w:szCs w:val="28"/>
        </w:rPr>
        <w:t>产生的费用（包括但不限于需支付给贷款代理</w:t>
      </w:r>
      <w:r>
        <w:rPr>
          <w:rFonts w:hint="eastAsia" w:eastAsia="仿宋_GB2312" w:cs="新宋体"/>
          <w:spacing w:val="-4"/>
          <w:sz w:val="30"/>
          <w:szCs w:val="28"/>
        </w:rPr>
        <w:t>行、债券受托人或登记托管结算机构的费用）由</w:t>
      </w:r>
      <w:r>
        <w:rPr>
          <w:rFonts w:hint="eastAsia" w:eastAsia="仿宋_GB2312" w:cs="新宋体"/>
          <w:b/>
          <w:bCs/>
          <w:spacing w:val="-4"/>
          <w:sz w:val="30"/>
          <w:szCs w:val="28"/>
        </w:rPr>
        <w:t>信用保护买方</w:t>
      </w:r>
      <w:r>
        <w:rPr>
          <w:rFonts w:hint="eastAsia" w:eastAsia="仿宋_GB2312" w:cs="新宋体"/>
          <w:spacing w:val="-4"/>
          <w:sz w:val="30"/>
          <w:szCs w:val="28"/>
        </w:rPr>
        <w:t>负</w:t>
      </w:r>
      <w:r>
        <w:rPr>
          <w:rFonts w:hint="eastAsia" w:eastAsia="仿宋_GB2312" w:cs="新宋体"/>
          <w:sz w:val="30"/>
          <w:szCs w:val="28"/>
        </w:rPr>
        <w:t>担。</w:t>
      </w:r>
    </w:p>
    <w:p w14:paraId="26BB86DE">
      <w:pPr>
        <w:spacing w:before="185" w:line="560" w:lineRule="exact"/>
        <w:rPr>
          <w:rFonts w:eastAsia="仿宋_GB2312" w:cs="新宋体"/>
          <w:sz w:val="30"/>
          <w:szCs w:val="28"/>
        </w:rPr>
      </w:pPr>
    </w:p>
    <w:p w14:paraId="3A3139EF">
      <w:pPr>
        <w:spacing w:before="72" w:after="72" w:line="560" w:lineRule="exact"/>
        <w:rPr>
          <w:rFonts w:eastAsia="仿宋_GB2312"/>
          <w:b/>
          <w:sz w:val="30"/>
          <w:szCs w:val="28"/>
        </w:rPr>
      </w:pPr>
      <w:r>
        <w:rPr>
          <w:rFonts w:hint="eastAsia" w:eastAsia="仿宋_GB2312"/>
          <w:b/>
          <w:sz w:val="30"/>
          <w:szCs w:val="28"/>
        </w:rPr>
        <w:t>九、定义</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6C65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D2DF66C">
            <w:pPr>
              <w:spacing w:before="185" w:line="560" w:lineRule="exact"/>
              <w:jc w:val="center"/>
              <w:rPr>
                <w:rFonts w:eastAsia="仿宋_GB2312" w:cs="宋体"/>
                <w:spacing w:val="-4"/>
                <w:sz w:val="30"/>
                <w:szCs w:val="28"/>
              </w:rPr>
            </w:pPr>
            <w:r>
              <w:rPr>
                <w:rFonts w:hint="eastAsia" w:eastAsia="仿宋_GB2312" w:cs="宋体"/>
                <w:spacing w:val="-4"/>
                <w:sz w:val="30"/>
                <w:szCs w:val="28"/>
              </w:rPr>
              <w:t>签署日</w:t>
            </w:r>
          </w:p>
        </w:tc>
        <w:tc>
          <w:tcPr>
            <w:tcW w:w="5862" w:type="dxa"/>
            <w:vAlign w:val="center"/>
          </w:tcPr>
          <w:p w14:paraId="3C4E4D80">
            <w:pPr>
              <w:autoSpaceDE w:val="0"/>
              <w:autoSpaceDN w:val="0"/>
              <w:adjustRightInd w:val="0"/>
              <w:spacing w:line="560" w:lineRule="exact"/>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达成该交易的日期。</w:t>
            </w:r>
          </w:p>
        </w:tc>
      </w:tr>
      <w:tr w14:paraId="599B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A6F9418">
            <w:pPr>
              <w:spacing w:before="185" w:line="560" w:lineRule="exact"/>
              <w:jc w:val="center"/>
              <w:rPr>
                <w:rFonts w:eastAsia="仿宋_GB2312" w:cs="宋体"/>
                <w:spacing w:val="-4"/>
                <w:sz w:val="30"/>
                <w:szCs w:val="28"/>
              </w:rPr>
            </w:pPr>
            <w:r>
              <w:rPr>
                <w:rFonts w:hint="eastAsia" w:eastAsia="仿宋_GB2312" w:cs="宋体"/>
                <w:spacing w:val="-4"/>
                <w:sz w:val="30"/>
                <w:szCs w:val="28"/>
              </w:rPr>
              <w:t>起始日</w:t>
            </w:r>
          </w:p>
        </w:tc>
        <w:tc>
          <w:tcPr>
            <w:tcW w:w="5862" w:type="dxa"/>
            <w:vAlign w:val="center"/>
          </w:tcPr>
          <w:p w14:paraId="5EA35487">
            <w:pPr>
              <w:pStyle w:val="17"/>
              <w:spacing w:line="560" w:lineRule="exact"/>
              <w:ind w:right="63" w:rightChars="30"/>
              <w:rPr>
                <w:rFonts w:eastAsia="仿宋_GB2312" w:cs="宋体"/>
                <w:spacing w:val="-4"/>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下，指该交易的信用保护开始生效的日期。</w:t>
            </w:r>
          </w:p>
        </w:tc>
      </w:tr>
      <w:tr w14:paraId="60EC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E880A49">
            <w:pPr>
              <w:pStyle w:val="17"/>
              <w:spacing w:line="560" w:lineRule="exact"/>
              <w:ind w:right="63" w:rightChars="30"/>
              <w:jc w:val="center"/>
              <w:rPr>
                <w:rFonts w:eastAsia="仿宋_GB2312" w:cs="宋体"/>
                <w:sz w:val="30"/>
                <w:szCs w:val="28"/>
              </w:rPr>
            </w:pPr>
            <w:r>
              <w:rPr>
                <w:rFonts w:hint="eastAsia" w:eastAsia="仿宋_GB2312" w:cs="宋体"/>
                <w:sz w:val="30"/>
                <w:szCs w:val="28"/>
              </w:rPr>
              <w:t>约定到期日</w:t>
            </w:r>
          </w:p>
        </w:tc>
        <w:tc>
          <w:tcPr>
            <w:tcW w:w="5862" w:type="dxa"/>
            <w:vAlign w:val="center"/>
          </w:tcPr>
          <w:p w14:paraId="028A3C74">
            <w:pPr>
              <w:pStyle w:val="17"/>
              <w:spacing w:line="560" w:lineRule="exact"/>
              <w:ind w:right="63" w:rightChars="30"/>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本确认书中</w:t>
            </w:r>
            <w:r>
              <w:rPr>
                <w:rFonts w:hint="eastAsia" w:eastAsia="仿宋_GB2312" w:cs="宋体"/>
                <w:sz w:val="30"/>
                <w:szCs w:val="28"/>
              </w:rPr>
              <w:t>约定的信用保护到期之日。</w:t>
            </w:r>
          </w:p>
        </w:tc>
      </w:tr>
      <w:tr w14:paraId="4E32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22A3E144">
            <w:pPr>
              <w:spacing w:before="185" w:line="560" w:lineRule="exact"/>
              <w:jc w:val="center"/>
              <w:rPr>
                <w:rFonts w:eastAsia="仿宋_GB2312" w:cs="宋体"/>
                <w:bCs/>
                <w:sz w:val="30"/>
                <w:szCs w:val="28"/>
              </w:rPr>
            </w:pPr>
            <w:r>
              <w:rPr>
                <w:rFonts w:hint="eastAsia" w:eastAsia="仿宋_GB2312" w:cs="宋体"/>
                <w:bCs/>
                <w:sz w:val="30"/>
                <w:szCs w:val="28"/>
              </w:rPr>
              <w:t>计算机构</w:t>
            </w:r>
          </w:p>
        </w:tc>
        <w:tc>
          <w:tcPr>
            <w:tcW w:w="5862" w:type="dxa"/>
            <w:vAlign w:val="center"/>
          </w:tcPr>
          <w:p w14:paraId="0399B29B">
            <w:pPr>
              <w:autoSpaceDE w:val="0"/>
              <w:autoSpaceDN w:val="0"/>
              <w:adjustRightInd w:val="0"/>
              <w:spacing w:line="560" w:lineRule="exact"/>
              <w:rPr>
                <w:rFonts w:eastAsia="仿宋_GB2312" w:cs="宋体"/>
                <w:spacing w:val="-3"/>
                <w:sz w:val="30"/>
                <w:szCs w:val="28"/>
              </w:rPr>
            </w:pPr>
            <w:r>
              <w:rPr>
                <w:rFonts w:hint="eastAsia" w:eastAsia="仿宋_GB2312" w:cs="宋体"/>
                <w:spacing w:val="-3"/>
                <w:sz w:val="30"/>
                <w:szCs w:val="28"/>
              </w:rPr>
              <w:t>指</w:t>
            </w:r>
            <w:r>
              <w:rPr>
                <w:rFonts w:hint="eastAsia" w:eastAsia="仿宋_GB2312" w:cs="宋体"/>
                <w:b/>
                <w:spacing w:val="-3"/>
                <w:sz w:val="30"/>
                <w:szCs w:val="28"/>
              </w:rPr>
              <w:t>交易双方</w:t>
            </w:r>
            <w:r>
              <w:rPr>
                <w:rFonts w:hint="eastAsia" w:eastAsia="仿宋_GB2312" w:cs="宋体"/>
                <w:spacing w:val="-3"/>
                <w:sz w:val="30"/>
                <w:szCs w:val="28"/>
              </w:rPr>
              <w:t>在</w:t>
            </w:r>
            <w:r>
              <w:rPr>
                <w:rFonts w:hint="eastAsia" w:eastAsia="仿宋_GB2312" w:cs="宋体"/>
                <w:b/>
                <w:spacing w:val="-3"/>
                <w:sz w:val="30"/>
                <w:szCs w:val="28"/>
              </w:rPr>
              <w:t>本确认书</w:t>
            </w:r>
            <w:r>
              <w:rPr>
                <w:rFonts w:hint="eastAsia" w:eastAsia="仿宋_GB2312" w:cs="宋体"/>
                <w:spacing w:val="-3"/>
                <w:sz w:val="30"/>
                <w:szCs w:val="28"/>
              </w:rPr>
              <w:t>中指定为“计算机构”的实体，可由交易一方或</w:t>
            </w:r>
            <w:r>
              <w:rPr>
                <w:rFonts w:hint="eastAsia" w:eastAsia="仿宋_GB2312" w:cs="宋体"/>
                <w:b/>
                <w:spacing w:val="-3"/>
                <w:sz w:val="30"/>
                <w:szCs w:val="28"/>
              </w:rPr>
              <w:t>交易双方</w:t>
            </w:r>
            <w:r>
              <w:rPr>
                <w:rFonts w:hint="eastAsia" w:eastAsia="仿宋_GB2312" w:cs="宋体"/>
                <w:spacing w:val="-3"/>
                <w:sz w:val="30"/>
                <w:szCs w:val="28"/>
              </w:rPr>
              <w:t>担任，也可由第三方机构担任。</w:t>
            </w:r>
          </w:p>
        </w:tc>
      </w:tr>
      <w:tr w14:paraId="58CA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AEEB6">
            <w:pPr>
              <w:spacing w:before="185" w:line="560" w:lineRule="exact"/>
              <w:jc w:val="center"/>
              <w:rPr>
                <w:rFonts w:eastAsia="仿宋_GB2312" w:cs="宋体"/>
                <w:sz w:val="30"/>
                <w:szCs w:val="28"/>
              </w:rPr>
            </w:pPr>
            <w:r>
              <w:rPr>
                <w:rFonts w:hint="eastAsia" w:eastAsia="仿宋_GB2312" w:cs="宋体"/>
                <w:sz w:val="30"/>
                <w:szCs w:val="28"/>
              </w:rPr>
              <w:t>名义本金</w:t>
            </w:r>
          </w:p>
        </w:tc>
        <w:tc>
          <w:tcPr>
            <w:tcW w:w="5862" w:type="dxa"/>
            <w:vAlign w:val="center"/>
          </w:tcPr>
          <w:p w14:paraId="7411794D">
            <w:pPr>
              <w:spacing w:before="185" w:line="560" w:lineRule="exact"/>
              <w:rPr>
                <w:rFonts w:eastAsia="仿宋_GB2312" w:cs="宋体"/>
                <w:sz w:val="30"/>
                <w:szCs w:val="28"/>
              </w:rPr>
            </w:pPr>
            <w:r>
              <w:rPr>
                <w:rFonts w:hint="eastAsia" w:eastAsia="仿宋_GB2312" w:cs="宋体"/>
                <w:sz w:val="30"/>
                <w:szCs w:val="28"/>
              </w:rPr>
              <w:t>指一笔</w:t>
            </w:r>
            <w:r>
              <w:rPr>
                <w:rFonts w:hint="eastAsia" w:eastAsia="仿宋_GB2312" w:cs="宋体"/>
                <w:b/>
                <w:sz w:val="30"/>
                <w:szCs w:val="28"/>
              </w:rPr>
              <w:t>信用保护合约交易</w:t>
            </w:r>
            <w:r>
              <w:rPr>
                <w:rFonts w:hint="eastAsia" w:eastAsia="仿宋_GB2312" w:cs="宋体"/>
                <w:sz w:val="30"/>
                <w:szCs w:val="28"/>
              </w:rPr>
              <w:t>提供信用风险保护的金额，各项支付和结算以此金额为计算基准。</w:t>
            </w:r>
          </w:p>
        </w:tc>
      </w:tr>
      <w:tr w14:paraId="2B3A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86AD686">
            <w:pPr>
              <w:spacing w:line="560" w:lineRule="exact"/>
              <w:jc w:val="center"/>
              <w:rPr>
                <w:rFonts w:eastAsia="仿宋_GB2312" w:cs="宋体"/>
                <w:sz w:val="30"/>
                <w:szCs w:val="28"/>
              </w:rPr>
            </w:pPr>
            <w:r>
              <w:rPr>
                <w:rFonts w:hint="eastAsia" w:eastAsia="仿宋_GB2312" w:cs="宋体"/>
                <w:bCs/>
                <w:sz w:val="30"/>
                <w:szCs w:val="28"/>
              </w:rPr>
              <w:t>保护费率</w:t>
            </w:r>
          </w:p>
        </w:tc>
        <w:tc>
          <w:tcPr>
            <w:tcW w:w="5862" w:type="dxa"/>
            <w:vAlign w:val="center"/>
          </w:tcPr>
          <w:p w14:paraId="2E7D7BE6">
            <w:pPr>
              <w:spacing w:before="185" w:line="560" w:lineRule="exact"/>
              <w:rPr>
                <w:rFonts w:eastAsia="仿宋_GB2312" w:cs="宋体"/>
                <w:sz w:val="30"/>
                <w:szCs w:val="28"/>
              </w:rPr>
            </w:pPr>
            <w:r>
              <w:rPr>
                <w:rFonts w:hint="eastAsia" w:eastAsia="仿宋_GB2312" w:cs="宋体"/>
                <w:sz w:val="30"/>
                <w:szCs w:val="28"/>
              </w:rPr>
              <w:t>保护费率</w:t>
            </w:r>
            <w:r>
              <w:rPr>
                <w:rFonts w:eastAsia="仿宋_GB2312" w:cs="宋体"/>
                <w:sz w:val="30"/>
                <w:szCs w:val="28"/>
              </w:rPr>
              <w:t>=</w:t>
            </w:r>
            <w:r>
              <w:rPr>
                <w:rFonts w:hint="eastAsia" w:eastAsia="仿宋_GB2312" w:cs="宋体"/>
                <w:b/>
                <w:bCs/>
                <w:sz w:val="30"/>
                <w:szCs w:val="28"/>
              </w:rPr>
              <w:t>保护费</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0023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421264">
            <w:pPr>
              <w:spacing w:line="560" w:lineRule="exact"/>
              <w:jc w:val="center"/>
              <w:rPr>
                <w:rFonts w:eastAsia="仿宋_GB2312" w:cs="宋体"/>
                <w:sz w:val="30"/>
                <w:szCs w:val="28"/>
              </w:rPr>
            </w:pPr>
            <w:r>
              <w:rPr>
                <w:rFonts w:hint="eastAsia" w:eastAsia="仿宋_GB2312" w:cs="宋体"/>
                <w:sz w:val="30"/>
                <w:szCs w:val="28"/>
              </w:rPr>
              <w:t>前端费率</w:t>
            </w:r>
          </w:p>
          <w:p w14:paraId="4D8A0C14">
            <w:pPr>
              <w:spacing w:line="560" w:lineRule="exact"/>
              <w:jc w:val="center"/>
              <w:rPr>
                <w:rFonts w:eastAsia="仿宋_GB2312" w:cs="宋体"/>
                <w:sz w:val="30"/>
                <w:szCs w:val="28"/>
              </w:rPr>
            </w:pPr>
          </w:p>
        </w:tc>
        <w:tc>
          <w:tcPr>
            <w:tcW w:w="5862" w:type="dxa"/>
            <w:vAlign w:val="center"/>
          </w:tcPr>
          <w:p w14:paraId="4993D3C0">
            <w:pPr>
              <w:spacing w:before="185" w:line="560" w:lineRule="exact"/>
              <w:rPr>
                <w:rFonts w:eastAsia="仿宋_GB2312" w:cs="宋体"/>
                <w:sz w:val="30"/>
                <w:szCs w:val="28"/>
              </w:rPr>
            </w:pPr>
            <w:r>
              <w:rPr>
                <w:rFonts w:hint="eastAsia" w:eastAsia="仿宋_GB2312" w:cs="宋体"/>
                <w:sz w:val="30"/>
                <w:szCs w:val="28"/>
              </w:rPr>
              <w:t>前端费率</w:t>
            </w:r>
            <w:r>
              <w:rPr>
                <w:rFonts w:eastAsia="仿宋_GB2312" w:cs="宋体"/>
                <w:sz w:val="30"/>
                <w:szCs w:val="28"/>
              </w:rPr>
              <w:t>=</w:t>
            </w:r>
            <w:r>
              <w:rPr>
                <w:rFonts w:hint="eastAsia" w:eastAsia="仿宋_GB2312" w:cs="宋体"/>
                <w:b/>
                <w:bCs/>
                <w:sz w:val="30"/>
                <w:szCs w:val="28"/>
              </w:rPr>
              <w:t>前端费用</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36C1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72F37A54">
            <w:pPr>
              <w:spacing w:line="560" w:lineRule="exact"/>
              <w:jc w:val="center"/>
              <w:rPr>
                <w:rFonts w:eastAsia="仿宋_GB2312" w:cs="宋体"/>
                <w:sz w:val="30"/>
                <w:szCs w:val="28"/>
              </w:rPr>
            </w:pPr>
            <w:r>
              <w:rPr>
                <w:rFonts w:hint="eastAsia" w:eastAsia="仿宋_GB2312" w:cs="宋体"/>
                <w:sz w:val="30"/>
                <w:szCs w:val="28"/>
              </w:rPr>
              <w:t>期初交付金额</w:t>
            </w:r>
          </w:p>
        </w:tc>
        <w:tc>
          <w:tcPr>
            <w:tcW w:w="5862" w:type="dxa"/>
            <w:vAlign w:val="center"/>
          </w:tcPr>
          <w:p w14:paraId="56430A27">
            <w:pPr>
              <w:spacing w:before="185" w:line="560" w:lineRule="exact"/>
              <w:rPr>
                <w:rFonts w:eastAsia="仿宋_GB2312" w:cs="宋体"/>
                <w:sz w:val="30"/>
                <w:szCs w:val="28"/>
              </w:rPr>
            </w:pPr>
            <w:r>
              <w:rPr>
                <w:rFonts w:hint="eastAsia" w:eastAsia="仿宋_GB2312" w:cs="宋体"/>
                <w:sz w:val="30"/>
                <w:szCs w:val="28"/>
              </w:rPr>
              <w:t>在期初交付金额支付日支付的</w:t>
            </w:r>
            <w:r>
              <w:rPr>
                <w:rFonts w:hint="eastAsia" w:eastAsia="仿宋_GB2312" w:cs="宋体"/>
                <w:b/>
                <w:sz w:val="30"/>
                <w:szCs w:val="28"/>
              </w:rPr>
              <w:t>前端费用</w:t>
            </w:r>
            <w:r>
              <w:rPr>
                <w:rFonts w:hint="eastAsia" w:eastAsia="仿宋_GB2312" w:cs="宋体"/>
                <w:sz w:val="30"/>
                <w:szCs w:val="28"/>
              </w:rPr>
              <w:t>和</w:t>
            </w:r>
            <w:r>
              <w:rPr>
                <w:rFonts w:hint="eastAsia" w:eastAsia="仿宋_GB2312" w:cs="宋体"/>
                <w:b/>
                <w:sz w:val="30"/>
                <w:szCs w:val="28"/>
              </w:rPr>
              <w:t>期初返还金额</w:t>
            </w:r>
            <w:r>
              <w:rPr>
                <w:rFonts w:hint="eastAsia" w:eastAsia="仿宋_GB2312" w:cs="宋体"/>
                <w:sz w:val="30"/>
                <w:szCs w:val="28"/>
              </w:rPr>
              <w:t>的轧差。</w:t>
            </w:r>
          </w:p>
        </w:tc>
      </w:tr>
      <w:tr w14:paraId="76DE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072C575">
            <w:pPr>
              <w:spacing w:line="560" w:lineRule="exact"/>
              <w:jc w:val="center"/>
              <w:rPr>
                <w:rFonts w:eastAsia="仿宋_GB2312" w:cs="宋体"/>
                <w:sz w:val="30"/>
                <w:szCs w:val="28"/>
              </w:rPr>
            </w:pPr>
            <w:r>
              <w:rPr>
                <w:rFonts w:hint="eastAsia" w:eastAsia="仿宋_GB2312" w:cs="宋体"/>
                <w:sz w:val="30"/>
                <w:szCs w:val="24"/>
              </w:rPr>
              <w:t>首期支付日</w:t>
            </w:r>
          </w:p>
        </w:tc>
        <w:tc>
          <w:tcPr>
            <w:tcW w:w="5862" w:type="dxa"/>
            <w:vAlign w:val="center"/>
          </w:tcPr>
          <w:p w14:paraId="5FE12881">
            <w:pPr>
              <w:spacing w:before="185" w:line="560" w:lineRule="exact"/>
              <w:rPr>
                <w:rFonts w:eastAsia="仿宋_GB2312" w:cs="宋体"/>
                <w:sz w:val="30"/>
                <w:szCs w:val="28"/>
              </w:rPr>
            </w:pPr>
            <w:r>
              <w:rPr>
                <w:rFonts w:hint="eastAsia" w:eastAsia="仿宋_GB2312" w:cs="宋体"/>
                <w:b/>
                <w:bCs/>
                <w:sz w:val="30"/>
                <w:szCs w:val="24"/>
              </w:rPr>
              <w:t>本确认书</w:t>
            </w:r>
            <w:r>
              <w:rPr>
                <w:rFonts w:hint="eastAsia" w:eastAsia="仿宋_GB2312" w:cs="宋体"/>
                <w:sz w:val="30"/>
                <w:szCs w:val="24"/>
              </w:rPr>
              <w:t>的生效日之后的第一个支付日，并依照上海证券交易所相关的</w:t>
            </w:r>
            <w:r>
              <w:rPr>
                <w:rFonts w:hint="eastAsia" w:eastAsia="仿宋_GB2312" w:cs="宋体"/>
                <w:b/>
                <w:bCs/>
                <w:sz w:val="30"/>
                <w:szCs w:val="24"/>
              </w:rPr>
              <w:t>交易日</w:t>
            </w:r>
            <w:r>
              <w:rPr>
                <w:rFonts w:hint="eastAsia" w:eastAsia="仿宋_GB2312" w:cs="宋体"/>
                <w:sz w:val="30"/>
                <w:szCs w:val="24"/>
              </w:rPr>
              <w:t>准则调整。</w:t>
            </w:r>
          </w:p>
        </w:tc>
      </w:tr>
      <w:tr w14:paraId="2D04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8E20F">
            <w:pPr>
              <w:spacing w:before="185" w:line="560" w:lineRule="exact"/>
              <w:jc w:val="center"/>
              <w:rPr>
                <w:rFonts w:eastAsia="仿宋_GB2312" w:cs="宋体"/>
                <w:sz w:val="30"/>
                <w:szCs w:val="28"/>
              </w:rPr>
            </w:pPr>
            <w:r>
              <w:rPr>
                <w:rFonts w:hint="eastAsia" w:eastAsia="仿宋_GB2312" w:cs="宋体"/>
                <w:sz w:val="30"/>
                <w:szCs w:val="28"/>
              </w:rPr>
              <w:t>债务</w:t>
            </w:r>
          </w:p>
        </w:tc>
        <w:tc>
          <w:tcPr>
            <w:tcW w:w="5862" w:type="dxa"/>
            <w:vAlign w:val="center"/>
          </w:tcPr>
          <w:p w14:paraId="007DCE98">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作为主债务人负有的</w:t>
            </w:r>
            <w:r>
              <w:rPr>
                <w:rFonts w:hint="eastAsia" w:eastAsia="仿宋_GB2312" w:cs="宋体"/>
                <w:b/>
                <w:sz w:val="30"/>
                <w:szCs w:val="28"/>
              </w:rPr>
              <w:t>债务</w:t>
            </w:r>
            <w:r>
              <w:rPr>
                <w:rFonts w:hint="eastAsia" w:eastAsia="仿宋_GB2312" w:cs="宋体"/>
                <w:sz w:val="30"/>
                <w:szCs w:val="28"/>
              </w:rPr>
              <w:t>。</w:t>
            </w:r>
          </w:p>
        </w:tc>
      </w:tr>
      <w:tr w14:paraId="0E31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1AAA08">
            <w:pPr>
              <w:spacing w:before="185" w:line="560" w:lineRule="exact"/>
              <w:jc w:val="center"/>
              <w:rPr>
                <w:rFonts w:eastAsia="仿宋_GB2312" w:cs="宋体"/>
                <w:sz w:val="30"/>
                <w:szCs w:val="28"/>
              </w:rPr>
            </w:pPr>
            <w:r>
              <w:rPr>
                <w:rFonts w:hint="eastAsia" w:eastAsia="仿宋_GB2312" w:cs="宋体"/>
                <w:sz w:val="30"/>
                <w:szCs w:val="28"/>
              </w:rPr>
              <w:t>参考债务</w:t>
            </w:r>
          </w:p>
        </w:tc>
        <w:tc>
          <w:tcPr>
            <w:tcW w:w="5862" w:type="dxa"/>
            <w:vAlign w:val="center"/>
          </w:tcPr>
          <w:p w14:paraId="6C591007">
            <w:pPr>
              <w:autoSpaceDE w:val="0"/>
              <w:autoSpaceDN w:val="0"/>
              <w:adjustRightInd w:val="0"/>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中列明或描述的一个或多个</w:t>
            </w:r>
            <w:r>
              <w:rPr>
                <w:rFonts w:hint="eastAsia" w:eastAsia="仿宋_GB2312" w:cs="宋体"/>
                <w:b/>
                <w:sz w:val="30"/>
                <w:szCs w:val="28"/>
              </w:rPr>
              <w:t>参考实体</w:t>
            </w:r>
            <w:r>
              <w:rPr>
                <w:rFonts w:hint="eastAsia" w:eastAsia="仿宋_GB2312" w:cs="宋体"/>
                <w:sz w:val="30"/>
                <w:szCs w:val="28"/>
              </w:rPr>
              <w:t>的一项或多项债务（或一类或多类</w:t>
            </w:r>
            <w:r>
              <w:rPr>
                <w:rFonts w:hint="eastAsia" w:eastAsia="仿宋_GB2312" w:cs="宋体"/>
                <w:b/>
                <w:sz w:val="30"/>
                <w:szCs w:val="28"/>
              </w:rPr>
              <w:t>债务</w:t>
            </w:r>
            <w:r>
              <w:rPr>
                <w:rFonts w:hint="eastAsia" w:eastAsia="仿宋_GB2312" w:cs="宋体"/>
                <w:sz w:val="30"/>
                <w:szCs w:val="28"/>
              </w:rPr>
              <w:t>）。</w:t>
            </w:r>
          </w:p>
        </w:tc>
      </w:tr>
      <w:tr w14:paraId="1941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41479DED">
            <w:pPr>
              <w:spacing w:before="185" w:line="560" w:lineRule="exact"/>
              <w:jc w:val="center"/>
              <w:rPr>
                <w:rFonts w:eastAsia="仿宋_GB2312" w:cs="宋体"/>
                <w:sz w:val="30"/>
                <w:szCs w:val="28"/>
              </w:rPr>
            </w:pPr>
            <w:r>
              <w:rPr>
                <w:rFonts w:hint="eastAsia" w:eastAsia="仿宋_GB2312" w:cs="宋体"/>
                <w:sz w:val="30"/>
                <w:szCs w:val="28"/>
              </w:rPr>
              <w:t>债务种类</w:t>
            </w:r>
          </w:p>
        </w:tc>
        <w:tc>
          <w:tcPr>
            <w:tcW w:w="5862" w:type="dxa"/>
            <w:vAlign w:val="center"/>
          </w:tcPr>
          <w:p w14:paraId="6FD369AC">
            <w:pPr>
              <w:pStyle w:val="17"/>
              <w:spacing w:before="26"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所负</w:t>
            </w:r>
            <w:r>
              <w:rPr>
                <w:rFonts w:hint="eastAsia" w:eastAsia="仿宋_GB2312" w:cs="宋体"/>
                <w:b/>
                <w:bCs/>
                <w:sz w:val="30"/>
                <w:szCs w:val="28"/>
              </w:rPr>
              <w:t>债务</w:t>
            </w:r>
            <w:r>
              <w:rPr>
                <w:rFonts w:hint="eastAsia" w:eastAsia="仿宋_GB2312" w:cs="宋体"/>
                <w:sz w:val="30"/>
                <w:szCs w:val="28"/>
              </w:rPr>
              <w:t>的类别，包括但不限于：</w:t>
            </w:r>
          </w:p>
          <w:p w14:paraId="5BEA5B13">
            <w:pPr>
              <w:pStyle w:val="17"/>
              <w:spacing w:before="26"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）付款义务，即任何支付或偿还款项的义务；</w:t>
            </w:r>
          </w:p>
          <w:p w14:paraId="34E8D880">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）借贷款项，即基于贷款或债务融资法律关系产生的一种付款义务；</w:t>
            </w:r>
          </w:p>
          <w:p w14:paraId="20D306BE">
            <w:pPr>
              <w:pStyle w:val="17"/>
              <w:spacing w:line="560" w:lineRule="exact"/>
              <w:rPr>
                <w:rFonts w:eastAsia="仿宋_GB2312" w:cs="宋体"/>
                <w:sz w:val="30"/>
                <w:szCs w:val="28"/>
              </w:rPr>
            </w:pPr>
            <w:r>
              <w:rPr>
                <w:rFonts w:hint="eastAsia" w:eastAsia="仿宋_GB2312" w:cs="宋体"/>
                <w:spacing w:val="2"/>
                <w:sz w:val="30"/>
                <w:szCs w:val="28"/>
              </w:rPr>
              <w:t>（</w:t>
            </w:r>
            <w:r>
              <w:rPr>
                <w:rFonts w:eastAsia="仿宋_GB2312" w:cs="宋体"/>
                <w:spacing w:val="2"/>
                <w:sz w:val="30"/>
                <w:szCs w:val="28"/>
              </w:rPr>
              <w:t>3</w:t>
            </w:r>
            <w:r>
              <w:rPr>
                <w:rFonts w:hint="eastAsia" w:eastAsia="仿宋_GB2312" w:cs="宋体"/>
                <w:spacing w:val="2"/>
                <w:sz w:val="30"/>
                <w:szCs w:val="28"/>
              </w:rPr>
              <w:t>）贷款，即根据相关贷款协议、授信安排、保险资金间接投资基础设施、</w:t>
            </w:r>
            <w:r>
              <w:rPr>
                <w:rFonts w:hint="eastAsia" w:eastAsia="仿宋_GB2312" w:cs="宋体"/>
                <w:sz w:val="30"/>
                <w:szCs w:val="28"/>
              </w:rPr>
              <w:t>债权投资计划或信托安排已经发放的贷款；</w:t>
            </w:r>
          </w:p>
          <w:p w14:paraId="43089F12">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hint="eastAsia" w:eastAsia="仿宋_GB2312" w:cs="宋体"/>
                <w:b/>
                <w:sz w:val="30"/>
                <w:szCs w:val="28"/>
              </w:rPr>
              <w:t>债券</w:t>
            </w:r>
            <w:r>
              <w:rPr>
                <w:rFonts w:hint="eastAsia" w:eastAsia="仿宋_GB2312" w:cs="宋体"/>
                <w:sz w:val="30"/>
                <w:szCs w:val="28"/>
              </w:rPr>
              <w:t>，即各类公开发行、非公开发行或定向发行的债券或债务工具，包括但不限于公司债和可转债；</w:t>
            </w:r>
          </w:p>
          <w:p w14:paraId="2C5E7E0F">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）公司债；</w:t>
            </w:r>
          </w:p>
          <w:p w14:paraId="1C4060E9">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）可转债；</w:t>
            </w:r>
          </w:p>
          <w:p w14:paraId="35429298">
            <w:pPr>
              <w:pStyle w:val="17"/>
              <w:spacing w:line="560" w:lineRule="exact"/>
              <w:rPr>
                <w:rFonts w:eastAsia="仿宋_GB2312"/>
                <w:sz w:val="30"/>
                <w:szCs w:val="28"/>
              </w:rPr>
            </w:pPr>
            <w:r>
              <w:rPr>
                <w:rFonts w:hint="eastAsia" w:eastAsia="仿宋_GB2312"/>
                <w:sz w:val="30"/>
                <w:szCs w:val="28"/>
              </w:rPr>
              <w:t>（</w:t>
            </w:r>
            <w:r>
              <w:rPr>
                <w:rFonts w:eastAsia="仿宋_GB2312"/>
                <w:sz w:val="30"/>
                <w:szCs w:val="28"/>
              </w:rPr>
              <w:t>7</w:t>
            </w:r>
            <w:r>
              <w:rPr>
                <w:rFonts w:hint="eastAsia" w:eastAsia="仿宋_GB2312"/>
                <w:sz w:val="30"/>
                <w:szCs w:val="28"/>
              </w:rPr>
              <w:t>）资产支持证券；</w:t>
            </w:r>
          </w:p>
          <w:p w14:paraId="1B2006C3">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8</w:t>
            </w:r>
            <w:r>
              <w:rPr>
                <w:rFonts w:hint="eastAsia" w:eastAsia="仿宋_GB2312" w:cs="宋体"/>
                <w:sz w:val="30"/>
                <w:szCs w:val="28"/>
              </w:rPr>
              <w:t>）仅为</w:t>
            </w:r>
            <w:r>
              <w:rPr>
                <w:rFonts w:hint="eastAsia" w:eastAsia="仿宋_GB2312" w:cs="宋体"/>
                <w:b/>
                <w:sz w:val="30"/>
                <w:szCs w:val="28"/>
              </w:rPr>
              <w:t>参考债务</w:t>
            </w:r>
            <w:r>
              <w:rPr>
                <w:rFonts w:hint="eastAsia" w:eastAsia="仿宋_GB2312" w:cs="宋体"/>
                <w:sz w:val="30"/>
                <w:szCs w:val="28"/>
              </w:rPr>
              <w:t>。</w:t>
            </w:r>
          </w:p>
        </w:tc>
      </w:tr>
      <w:tr w14:paraId="358C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CA6129F">
            <w:pPr>
              <w:spacing w:before="185" w:line="560" w:lineRule="exact"/>
              <w:jc w:val="center"/>
              <w:rPr>
                <w:rFonts w:eastAsia="仿宋_GB2312" w:cs="宋体"/>
                <w:sz w:val="30"/>
                <w:szCs w:val="28"/>
              </w:rPr>
            </w:pPr>
            <w:r>
              <w:rPr>
                <w:rFonts w:hint="eastAsia" w:eastAsia="仿宋_GB2312" w:cs="宋体"/>
                <w:sz w:val="30"/>
                <w:szCs w:val="28"/>
              </w:rPr>
              <w:t>债务特征</w:t>
            </w:r>
          </w:p>
        </w:tc>
        <w:tc>
          <w:tcPr>
            <w:tcW w:w="5862" w:type="dxa"/>
            <w:vAlign w:val="center"/>
          </w:tcPr>
          <w:p w14:paraId="31E950FD">
            <w:pPr>
              <w:spacing w:before="185" w:line="560" w:lineRule="exact"/>
              <w:rPr>
                <w:rFonts w:eastAsia="仿宋_GB2312" w:cs="宋体"/>
                <w:sz w:val="30"/>
                <w:szCs w:val="28"/>
              </w:rPr>
            </w:pPr>
            <w:r>
              <w:rPr>
                <w:rFonts w:hint="eastAsia" w:eastAsia="仿宋_GB2312" w:cs="宋体"/>
                <w:spacing w:val="-6"/>
                <w:sz w:val="30"/>
                <w:szCs w:val="28"/>
              </w:rPr>
              <w:t>指</w:t>
            </w:r>
            <w:r>
              <w:rPr>
                <w:rFonts w:hint="eastAsia" w:eastAsia="仿宋_GB2312" w:cs="宋体"/>
                <w:b/>
                <w:bCs/>
                <w:spacing w:val="-6"/>
                <w:sz w:val="30"/>
                <w:szCs w:val="28"/>
              </w:rPr>
              <w:t>参考实体</w:t>
            </w:r>
            <w:r>
              <w:rPr>
                <w:rFonts w:hint="eastAsia" w:eastAsia="仿宋_GB2312" w:cs="宋体"/>
                <w:spacing w:val="-6"/>
                <w:sz w:val="30"/>
                <w:szCs w:val="28"/>
              </w:rPr>
              <w:t>所负债务的一项或多项特征，包括但不限于</w:t>
            </w:r>
            <w:r>
              <w:rPr>
                <w:rFonts w:hint="eastAsia" w:eastAsia="仿宋_GB2312" w:cs="宋体"/>
                <w:b/>
                <w:spacing w:val="-6"/>
                <w:sz w:val="30"/>
                <w:szCs w:val="28"/>
              </w:rPr>
              <w:t>一般债务</w:t>
            </w:r>
            <w:r>
              <w:rPr>
                <w:rFonts w:hint="eastAsia" w:eastAsia="仿宋_GB2312" w:cs="宋体"/>
                <w:spacing w:val="-6"/>
                <w:sz w:val="30"/>
                <w:szCs w:val="28"/>
              </w:rPr>
              <w:t>、</w:t>
            </w:r>
            <w:r>
              <w:rPr>
                <w:rFonts w:hint="eastAsia" w:eastAsia="仿宋_GB2312" w:cs="宋体"/>
                <w:b/>
                <w:spacing w:val="-6"/>
                <w:sz w:val="30"/>
                <w:szCs w:val="28"/>
              </w:rPr>
              <w:t>次级债务</w:t>
            </w:r>
            <w:r>
              <w:rPr>
                <w:rFonts w:hint="eastAsia" w:eastAsia="仿宋_GB2312" w:cs="宋体"/>
                <w:spacing w:val="-6"/>
                <w:sz w:val="30"/>
                <w:szCs w:val="28"/>
              </w:rPr>
              <w:t>、</w:t>
            </w:r>
            <w:r>
              <w:rPr>
                <w:rFonts w:hint="eastAsia" w:eastAsia="仿宋_GB2312" w:cs="宋体"/>
                <w:b/>
                <w:sz w:val="30"/>
                <w:szCs w:val="28"/>
              </w:rPr>
              <w:t>交易流通</w:t>
            </w:r>
            <w:r>
              <w:rPr>
                <w:rFonts w:hint="eastAsia" w:eastAsia="仿宋_GB2312" w:cs="宋体"/>
                <w:sz w:val="30"/>
                <w:szCs w:val="28"/>
              </w:rPr>
              <w:t>、</w:t>
            </w:r>
            <w:r>
              <w:rPr>
                <w:rFonts w:hint="eastAsia" w:eastAsia="仿宋_GB2312" w:cs="宋体"/>
                <w:b/>
                <w:sz w:val="30"/>
                <w:szCs w:val="28"/>
              </w:rPr>
              <w:t>本币</w:t>
            </w:r>
            <w:r>
              <w:rPr>
                <w:rFonts w:hint="eastAsia" w:eastAsia="仿宋_GB2312" w:cs="宋体"/>
                <w:sz w:val="30"/>
                <w:szCs w:val="28"/>
              </w:rPr>
              <w:t>或</w:t>
            </w:r>
            <w:r>
              <w:rPr>
                <w:rFonts w:hint="eastAsia" w:eastAsia="仿宋_GB2312" w:cs="宋体"/>
                <w:b/>
                <w:sz w:val="30"/>
                <w:szCs w:val="28"/>
              </w:rPr>
              <w:t>外币</w:t>
            </w:r>
            <w:r>
              <w:rPr>
                <w:rFonts w:hint="eastAsia" w:eastAsia="仿宋_GB2312" w:cs="宋体"/>
                <w:sz w:val="30"/>
                <w:szCs w:val="28"/>
              </w:rPr>
              <w:t>等特征。</w:t>
            </w:r>
          </w:p>
        </w:tc>
      </w:tr>
      <w:tr w14:paraId="110F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B79D07">
            <w:pPr>
              <w:spacing w:before="185" w:line="560" w:lineRule="exact"/>
              <w:jc w:val="center"/>
              <w:rPr>
                <w:rFonts w:eastAsia="仿宋_GB2312" w:cs="宋体"/>
                <w:sz w:val="30"/>
                <w:szCs w:val="28"/>
              </w:rPr>
            </w:pPr>
            <w:r>
              <w:rPr>
                <w:rFonts w:hint="eastAsia" w:eastAsia="仿宋_GB2312" w:cs="宋体"/>
                <w:sz w:val="30"/>
                <w:szCs w:val="28"/>
              </w:rPr>
              <w:t>一般债务</w:t>
            </w:r>
          </w:p>
        </w:tc>
        <w:tc>
          <w:tcPr>
            <w:tcW w:w="5862" w:type="dxa"/>
            <w:vAlign w:val="center"/>
          </w:tcPr>
          <w:p w14:paraId="5B0E9BCB">
            <w:pPr>
              <w:spacing w:before="185" w:line="560" w:lineRule="exact"/>
              <w:rPr>
                <w:rFonts w:eastAsia="仿宋_GB2312" w:cs="宋体"/>
                <w:spacing w:val="-6"/>
                <w:sz w:val="30"/>
                <w:szCs w:val="28"/>
              </w:rPr>
            </w:pPr>
            <w:r>
              <w:rPr>
                <w:rFonts w:hint="eastAsia" w:eastAsia="仿宋_GB2312" w:cs="宋体"/>
                <w:spacing w:val="-6"/>
                <w:sz w:val="30"/>
                <w:szCs w:val="28"/>
              </w:rPr>
              <w:t>指该</w:t>
            </w:r>
            <w:r>
              <w:rPr>
                <w:rFonts w:hint="eastAsia" w:eastAsia="仿宋_GB2312" w:cs="宋体"/>
                <w:b/>
                <w:bCs/>
                <w:spacing w:val="-6"/>
                <w:sz w:val="30"/>
                <w:szCs w:val="28"/>
              </w:rPr>
              <w:t>债务</w:t>
            </w:r>
            <w:r>
              <w:rPr>
                <w:rFonts w:hint="eastAsia" w:eastAsia="仿宋_GB2312" w:cs="宋体"/>
                <w:spacing w:val="-6"/>
                <w:sz w:val="30"/>
                <w:szCs w:val="28"/>
              </w:rPr>
              <w:t>在获得</w:t>
            </w:r>
            <w:r>
              <w:rPr>
                <w:rFonts w:hint="eastAsia" w:eastAsia="仿宋_GB2312" w:cs="宋体"/>
                <w:b/>
                <w:bCs/>
                <w:spacing w:val="-6"/>
                <w:sz w:val="30"/>
                <w:szCs w:val="28"/>
              </w:rPr>
              <w:t>参考实体</w:t>
            </w:r>
            <w:r>
              <w:rPr>
                <w:rFonts w:hint="eastAsia" w:eastAsia="仿宋_GB2312" w:cs="宋体"/>
                <w:spacing w:val="-6"/>
                <w:sz w:val="30"/>
                <w:szCs w:val="28"/>
              </w:rPr>
              <w:t>清偿时的受偿顺序优先于其他同类型借款款项，或与其他同类型借贷款项平等受偿。在判断</w:t>
            </w:r>
            <w:r>
              <w:rPr>
                <w:rFonts w:hint="eastAsia" w:eastAsia="仿宋_GB2312" w:cs="宋体"/>
                <w:b/>
                <w:bCs/>
                <w:spacing w:val="-6"/>
                <w:sz w:val="30"/>
                <w:szCs w:val="28"/>
              </w:rPr>
              <w:t>债务</w:t>
            </w:r>
            <w:r>
              <w:rPr>
                <w:rFonts w:hint="eastAsia" w:eastAsia="仿宋_GB2312" w:cs="宋体"/>
                <w:spacing w:val="-6"/>
                <w:sz w:val="30"/>
                <w:szCs w:val="28"/>
              </w:rPr>
              <w:t>受偿顺序时，应以相关</w:t>
            </w:r>
            <w:r>
              <w:rPr>
                <w:rFonts w:hint="eastAsia" w:eastAsia="仿宋_GB2312" w:cs="宋体"/>
                <w:b/>
                <w:bCs/>
                <w:spacing w:val="-6"/>
                <w:sz w:val="30"/>
                <w:szCs w:val="28"/>
              </w:rPr>
              <w:t>债务</w:t>
            </w:r>
            <w:r>
              <w:rPr>
                <w:rFonts w:hint="eastAsia" w:eastAsia="仿宋_GB2312" w:cs="宋体"/>
                <w:spacing w:val="-6"/>
                <w:sz w:val="30"/>
                <w:szCs w:val="28"/>
              </w:rPr>
              <w:t>发生时的状态为准，但在</w:t>
            </w:r>
            <w:r>
              <w:rPr>
                <w:rFonts w:hint="eastAsia" w:eastAsia="仿宋_GB2312" w:cs="宋体"/>
                <w:b/>
                <w:spacing w:val="-6"/>
                <w:sz w:val="30"/>
                <w:szCs w:val="28"/>
              </w:rPr>
              <w:t>本确认书</w:t>
            </w:r>
            <w:r>
              <w:rPr>
                <w:rFonts w:hint="eastAsia" w:eastAsia="仿宋_GB2312" w:cs="宋体"/>
                <w:spacing w:val="-6"/>
                <w:sz w:val="30"/>
                <w:szCs w:val="28"/>
              </w:rPr>
              <w:t>的生效日晚于该</w:t>
            </w:r>
            <w:r>
              <w:rPr>
                <w:rFonts w:hint="eastAsia" w:eastAsia="仿宋_GB2312" w:cs="宋体"/>
                <w:b/>
                <w:bCs/>
                <w:spacing w:val="-6"/>
                <w:sz w:val="30"/>
                <w:szCs w:val="28"/>
              </w:rPr>
              <w:t>债务</w:t>
            </w:r>
            <w:r>
              <w:rPr>
                <w:rFonts w:hint="eastAsia" w:eastAsia="仿宋_GB2312" w:cs="宋体"/>
                <w:spacing w:val="-6"/>
                <w:sz w:val="30"/>
                <w:szCs w:val="28"/>
              </w:rPr>
              <w:t>的发生日时，则以其在</w:t>
            </w:r>
            <w:r>
              <w:rPr>
                <w:rFonts w:hint="eastAsia" w:eastAsia="仿宋_GB2312" w:cs="宋体"/>
                <w:b/>
                <w:spacing w:val="-6"/>
                <w:sz w:val="30"/>
                <w:szCs w:val="28"/>
              </w:rPr>
              <w:t>本确认书</w:t>
            </w:r>
            <w:r>
              <w:rPr>
                <w:rFonts w:hint="eastAsia" w:eastAsia="仿宋_GB2312" w:cs="宋体"/>
                <w:spacing w:val="-6"/>
                <w:sz w:val="30"/>
                <w:szCs w:val="28"/>
              </w:rPr>
              <w:t>的生效日的状态为准。</w:t>
            </w:r>
          </w:p>
        </w:tc>
      </w:tr>
      <w:tr w14:paraId="251A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04ED433">
            <w:pPr>
              <w:spacing w:before="185" w:line="560" w:lineRule="exact"/>
              <w:jc w:val="center"/>
              <w:rPr>
                <w:rFonts w:eastAsia="仿宋_GB2312" w:cs="宋体"/>
                <w:sz w:val="30"/>
                <w:szCs w:val="28"/>
              </w:rPr>
            </w:pPr>
            <w:r>
              <w:rPr>
                <w:rFonts w:hint="eastAsia" w:eastAsia="仿宋_GB2312" w:cs="宋体"/>
                <w:sz w:val="30"/>
                <w:szCs w:val="28"/>
              </w:rPr>
              <w:t>次级债务</w:t>
            </w:r>
          </w:p>
        </w:tc>
        <w:tc>
          <w:tcPr>
            <w:tcW w:w="5862" w:type="dxa"/>
            <w:vAlign w:val="center"/>
          </w:tcPr>
          <w:p w14:paraId="49880545">
            <w:pPr>
              <w:autoSpaceDE w:val="0"/>
              <w:autoSpaceDN w:val="0"/>
              <w:adjustRightInd w:val="0"/>
              <w:spacing w:line="560" w:lineRule="exact"/>
              <w:rPr>
                <w:rFonts w:eastAsia="仿宋_GB2312" w:cs="宋体"/>
                <w:sz w:val="30"/>
                <w:szCs w:val="28"/>
              </w:rPr>
            </w:pPr>
            <w:r>
              <w:rPr>
                <w:rFonts w:hint="eastAsia" w:eastAsia="仿宋_GB2312" w:cs="宋体"/>
                <w:sz w:val="30"/>
                <w:szCs w:val="28"/>
              </w:rPr>
              <w:t>指该债务在获得</w:t>
            </w:r>
            <w:r>
              <w:rPr>
                <w:rFonts w:hint="eastAsia" w:eastAsia="仿宋_GB2312" w:cs="宋体"/>
                <w:b/>
                <w:sz w:val="30"/>
                <w:szCs w:val="28"/>
              </w:rPr>
              <w:t>参考实体</w:t>
            </w:r>
            <w:r>
              <w:rPr>
                <w:rFonts w:hint="eastAsia" w:eastAsia="仿宋_GB2312" w:cs="宋体"/>
                <w:sz w:val="30"/>
                <w:szCs w:val="28"/>
              </w:rPr>
              <w:t>清偿时的受偿顺序在</w:t>
            </w:r>
            <w:r>
              <w:rPr>
                <w:rFonts w:hint="eastAsia" w:eastAsia="仿宋_GB2312" w:cs="宋体"/>
                <w:b/>
                <w:sz w:val="30"/>
                <w:szCs w:val="28"/>
              </w:rPr>
              <w:t>一般债务</w:t>
            </w:r>
            <w:r>
              <w:rPr>
                <w:rFonts w:hint="eastAsia" w:eastAsia="仿宋_GB2312" w:cs="宋体"/>
                <w:sz w:val="30"/>
                <w:szCs w:val="28"/>
              </w:rPr>
              <w:t>受偿后方可受偿，或在</w:t>
            </w:r>
            <w:r>
              <w:rPr>
                <w:rFonts w:hint="eastAsia" w:eastAsia="仿宋_GB2312" w:cs="宋体"/>
                <w:b/>
                <w:sz w:val="30"/>
                <w:szCs w:val="28"/>
              </w:rPr>
              <w:t>参考实体</w:t>
            </w:r>
            <w:r>
              <w:rPr>
                <w:rFonts w:hint="eastAsia" w:eastAsia="仿宋_GB2312" w:cs="宋体"/>
                <w:sz w:val="30"/>
                <w:szCs w:val="28"/>
              </w:rPr>
              <w:t>于</w:t>
            </w:r>
            <w:r>
              <w:rPr>
                <w:rFonts w:hint="eastAsia" w:eastAsia="仿宋_GB2312" w:cs="宋体"/>
                <w:b/>
                <w:sz w:val="30"/>
                <w:szCs w:val="28"/>
              </w:rPr>
              <w:t>一般债务</w:t>
            </w:r>
            <w:r>
              <w:rPr>
                <w:rFonts w:hint="eastAsia" w:eastAsia="仿宋_GB2312" w:cs="宋体"/>
                <w:sz w:val="30"/>
                <w:szCs w:val="28"/>
              </w:rPr>
              <w:t>项下尚有欠款或仍处于违约状态时，无权就该债务获得或保留</w:t>
            </w:r>
            <w:r>
              <w:rPr>
                <w:rFonts w:hint="eastAsia" w:eastAsia="仿宋_GB2312" w:cs="宋体"/>
                <w:b/>
                <w:sz w:val="30"/>
                <w:szCs w:val="28"/>
              </w:rPr>
              <w:t>参考实体</w:t>
            </w:r>
            <w:r>
              <w:rPr>
                <w:rFonts w:hint="eastAsia" w:eastAsia="仿宋_GB2312" w:cs="宋体"/>
                <w:sz w:val="30"/>
                <w:szCs w:val="28"/>
              </w:rPr>
              <w:t>支付的任何款项。</w:t>
            </w:r>
          </w:p>
        </w:tc>
      </w:tr>
      <w:tr w14:paraId="10C3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A28AC1D">
            <w:pPr>
              <w:spacing w:before="185" w:line="560" w:lineRule="exact"/>
              <w:jc w:val="center"/>
              <w:rPr>
                <w:rFonts w:eastAsia="仿宋_GB2312" w:cs="宋体"/>
                <w:bCs/>
                <w:sz w:val="30"/>
                <w:szCs w:val="28"/>
              </w:rPr>
            </w:pPr>
            <w:r>
              <w:rPr>
                <w:rFonts w:hint="eastAsia" w:eastAsia="仿宋_GB2312" w:cs="宋体"/>
                <w:bCs/>
                <w:sz w:val="30"/>
                <w:szCs w:val="28"/>
              </w:rPr>
              <w:t>交易流通</w:t>
            </w:r>
          </w:p>
        </w:tc>
        <w:tc>
          <w:tcPr>
            <w:tcW w:w="5862" w:type="dxa"/>
            <w:vAlign w:val="center"/>
          </w:tcPr>
          <w:p w14:paraId="05493455">
            <w:pPr>
              <w:spacing w:line="560" w:lineRule="exact"/>
              <w:ind w:right="-34"/>
              <w:rPr>
                <w:rFonts w:eastAsia="仿宋_GB2312" w:cs="宋体"/>
                <w:spacing w:val="-3"/>
                <w:w w:val="95"/>
                <w:sz w:val="30"/>
                <w:szCs w:val="28"/>
              </w:rPr>
            </w:pPr>
            <w:r>
              <w:rPr>
                <w:rFonts w:hint="eastAsia" w:eastAsia="仿宋_GB2312" w:cs="宋体"/>
                <w:spacing w:val="4"/>
                <w:sz w:val="30"/>
                <w:szCs w:val="28"/>
              </w:rPr>
              <w:t>指该</w:t>
            </w:r>
            <w:r>
              <w:rPr>
                <w:rFonts w:hint="eastAsia" w:eastAsia="仿宋_GB2312" w:cs="宋体"/>
                <w:b/>
                <w:spacing w:val="4"/>
                <w:sz w:val="30"/>
                <w:szCs w:val="28"/>
              </w:rPr>
              <w:t>债务</w:t>
            </w:r>
            <w:r>
              <w:rPr>
                <w:rFonts w:hint="eastAsia" w:eastAsia="仿宋_GB2312" w:cs="宋体"/>
                <w:spacing w:val="4"/>
                <w:sz w:val="30"/>
                <w:szCs w:val="28"/>
              </w:rPr>
              <w:t>可以在中国境内或境外的合法交易场所转让或买卖。（即使某非公开发行或定向发行的</w:t>
            </w:r>
            <w:r>
              <w:rPr>
                <w:rFonts w:hint="eastAsia" w:eastAsia="仿宋_GB2312" w:cs="宋体"/>
                <w:b/>
                <w:spacing w:val="4"/>
                <w:sz w:val="30"/>
                <w:szCs w:val="28"/>
              </w:rPr>
              <w:t>债券</w:t>
            </w:r>
            <w:r>
              <w:rPr>
                <w:rFonts w:hint="eastAsia" w:eastAsia="仿宋_GB2312" w:cs="宋体"/>
                <w:spacing w:val="4"/>
                <w:sz w:val="30"/>
                <w:szCs w:val="28"/>
              </w:rPr>
              <w:t>在交易流通方面可能受到某些限制，仍应视为其具有“</w:t>
            </w:r>
            <w:r>
              <w:rPr>
                <w:rFonts w:hint="eastAsia" w:eastAsia="仿宋_GB2312" w:cs="宋体"/>
                <w:b/>
                <w:spacing w:val="4"/>
                <w:sz w:val="30"/>
                <w:szCs w:val="28"/>
              </w:rPr>
              <w:t>交易流通</w:t>
            </w:r>
            <w:r>
              <w:rPr>
                <w:rFonts w:hint="eastAsia" w:eastAsia="仿宋_GB2312" w:cs="宋体"/>
                <w:spacing w:val="4"/>
                <w:sz w:val="30"/>
                <w:szCs w:val="28"/>
              </w:rPr>
              <w:t>”</w:t>
            </w:r>
            <w:r>
              <w:rPr>
                <w:rFonts w:hint="eastAsia" w:eastAsia="仿宋_GB2312" w:cs="宋体"/>
                <w:b/>
                <w:spacing w:val="4"/>
                <w:sz w:val="30"/>
                <w:szCs w:val="28"/>
              </w:rPr>
              <w:t>的债务特征</w:t>
            </w:r>
            <w:r>
              <w:rPr>
                <w:rFonts w:hint="eastAsia" w:eastAsia="仿宋_GB2312" w:cs="宋体"/>
                <w:spacing w:val="4"/>
                <w:sz w:val="30"/>
                <w:szCs w:val="28"/>
              </w:rPr>
              <w:t>。）</w:t>
            </w:r>
          </w:p>
        </w:tc>
      </w:tr>
      <w:tr w14:paraId="43CD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615F4EB">
            <w:pPr>
              <w:spacing w:before="185" w:line="560" w:lineRule="exact"/>
              <w:jc w:val="center"/>
              <w:rPr>
                <w:rFonts w:eastAsia="仿宋_GB2312" w:cs="宋体"/>
                <w:bCs/>
                <w:sz w:val="30"/>
                <w:szCs w:val="28"/>
              </w:rPr>
            </w:pPr>
            <w:r>
              <w:rPr>
                <w:rFonts w:hint="eastAsia" w:eastAsia="仿宋_GB2312" w:cs="宋体"/>
                <w:bCs/>
                <w:sz w:val="30"/>
                <w:szCs w:val="28"/>
              </w:rPr>
              <w:t>本币</w:t>
            </w:r>
          </w:p>
        </w:tc>
        <w:tc>
          <w:tcPr>
            <w:tcW w:w="5862" w:type="dxa"/>
            <w:vAlign w:val="center"/>
          </w:tcPr>
          <w:p w14:paraId="79652683">
            <w:pPr>
              <w:spacing w:line="560" w:lineRule="exact"/>
              <w:ind w:right="-34"/>
              <w:rPr>
                <w:rFonts w:eastAsia="仿宋_GB2312" w:cs="宋体"/>
                <w:spacing w:val="-3"/>
                <w:w w:val="95"/>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的面值为人民币。</w:t>
            </w:r>
          </w:p>
        </w:tc>
      </w:tr>
      <w:tr w14:paraId="45E1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0791AEB">
            <w:pPr>
              <w:spacing w:before="185" w:line="560" w:lineRule="exact"/>
              <w:jc w:val="center"/>
              <w:rPr>
                <w:rFonts w:eastAsia="仿宋_GB2312" w:cs="宋体"/>
                <w:bCs/>
                <w:sz w:val="30"/>
                <w:szCs w:val="28"/>
              </w:rPr>
            </w:pPr>
            <w:r>
              <w:rPr>
                <w:rFonts w:hint="eastAsia" w:eastAsia="仿宋_GB2312" w:cs="宋体"/>
                <w:bCs/>
                <w:sz w:val="30"/>
                <w:szCs w:val="28"/>
              </w:rPr>
              <w:t>外币</w:t>
            </w:r>
          </w:p>
        </w:tc>
        <w:tc>
          <w:tcPr>
            <w:tcW w:w="5862" w:type="dxa"/>
            <w:vAlign w:val="center"/>
          </w:tcPr>
          <w:p w14:paraId="1A674EB1">
            <w:pPr>
              <w:spacing w:line="560" w:lineRule="exact"/>
              <w:ind w:right="-34"/>
              <w:rPr>
                <w:rFonts w:eastAsia="仿宋_GB2312" w:cs="宋体"/>
                <w:spacing w:val="-3"/>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w:t>
            </w:r>
            <w:r>
              <w:rPr>
                <w:rFonts w:hint="eastAsia" w:eastAsia="仿宋_GB2312" w:cs="宋体"/>
                <w:sz w:val="30"/>
                <w:szCs w:val="28"/>
              </w:rPr>
              <w:t>为人民币以外的币种。</w:t>
            </w:r>
          </w:p>
        </w:tc>
      </w:tr>
      <w:tr w14:paraId="4CB5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485487">
            <w:pPr>
              <w:spacing w:before="185" w:line="560" w:lineRule="exact"/>
              <w:jc w:val="center"/>
              <w:rPr>
                <w:rFonts w:eastAsia="仿宋_GB2312" w:cs="宋体"/>
                <w:sz w:val="30"/>
                <w:szCs w:val="28"/>
              </w:rPr>
            </w:pPr>
            <w:r>
              <w:rPr>
                <w:rFonts w:hint="eastAsia" w:eastAsia="仿宋_GB2312" w:cs="宋体"/>
                <w:sz w:val="30"/>
                <w:szCs w:val="28"/>
              </w:rPr>
              <w:t>信用事件</w:t>
            </w:r>
          </w:p>
        </w:tc>
        <w:tc>
          <w:tcPr>
            <w:tcW w:w="5862" w:type="dxa"/>
            <w:vAlign w:val="center"/>
          </w:tcPr>
          <w:p w14:paraId="6CC82C48">
            <w:pPr>
              <w:spacing w:line="560" w:lineRule="exact"/>
              <w:ind w:right="-34"/>
              <w:rPr>
                <w:rFonts w:eastAsia="仿宋_GB2312" w:cs="宋体"/>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中就一笔</w:t>
            </w:r>
            <w:r>
              <w:rPr>
                <w:rFonts w:hint="eastAsia" w:eastAsia="仿宋_GB2312" w:cs="宋体"/>
                <w:b/>
                <w:bCs/>
                <w:spacing w:val="4"/>
                <w:sz w:val="30"/>
                <w:szCs w:val="28"/>
              </w:rPr>
              <w:t>信用保护合约交易</w:t>
            </w:r>
            <w:r>
              <w:rPr>
                <w:rFonts w:hint="eastAsia" w:eastAsia="仿宋_GB2312" w:cs="宋体"/>
                <w:spacing w:val="4"/>
                <w:sz w:val="30"/>
                <w:szCs w:val="28"/>
              </w:rPr>
              <w:t>约定的触发结</w:t>
            </w:r>
            <w:r>
              <w:rPr>
                <w:rFonts w:hint="eastAsia" w:eastAsia="仿宋_GB2312" w:cs="宋体"/>
                <w:spacing w:val="-3"/>
                <w:sz w:val="30"/>
                <w:szCs w:val="28"/>
              </w:rPr>
              <w:t>算赔付的事件，包括</w:t>
            </w:r>
            <w:r>
              <w:rPr>
                <w:rFonts w:hint="eastAsia" w:eastAsia="仿宋_GB2312" w:cs="宋体"/>
                <w:b/>
                <w:spacing w:val="-3"/>
                <w:sz w:val="30"/>
                <w:szCs w:val="28"/>
              </w:rPr>
              <w:t>破产</w:t>
            </w:r>
            <w:r>
              <w:rPr>
                <w:rFonts w:hint="eastAsia" w:eastAsia="仿宋_GB2312" w:cs="宋体"/>
                <w:spacing w:val="-3"/>
                <w:sz w:val="30"/>
                <w:szCs w:val="28"/>
              </w:rPr>
              <w:t>、</w:t>
            </w:r>
            <w:r>
              <w:rPr>
                <w:rFonts w:hint="eastAsia" w:eastAsia="仿宋_GB2312" w:cs="宋体"/>
                <w:b/>
                <w:spacing w:val="-3"/>
                <w:sz w:val="30"/>
                <w:szCs w:val="28"/>
              </w:rPr>
              <w:t>支付违约</w:t>
            </w:r>
            <w:r>
              <w:rPr>
                <w:rFonts w:hint="eastAsia" w:eastAsia="仿宋_GB2312" w:cs="宋体"/>
                <w:spacing w:val="-3"/>
                <w:sz w:val="30"/>
                <w:szCs w:val="28"/>
              </w:rPr>
              <w:t>、</w:t>
            </w:r>
            <w:r>
              <w:rPr>
                <w:rFonts w:hint="eastAsia" w:eastAsia="仿宋_GB2312" w:cs="宋体"/>
                <w:b/>
                <w:sz w:val="30"/>
                <w:szCs w:val="28"/>
              </w:rPr>
              <w:t>债务重组</w:t>
            </w:r>
            <w:r>
              <w:rPr>
                <w:rFonts w:hint="eastAsia" w:eastAsia="仿宋_GB2312" w:cs="宋体"/>
                <w:sz w:val="30"/>
                <w:szCs w:val="28"/>
              </w:rPr>
              <w:t>等事件。</w:t>
            </w:r>
          </w:p>
        </w:tc>
      </w:tr>
      <w:tr w14:paraId="4295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96E8787">
            <w:pPr>
              <w:spacing w:before="185" w:line="560" w:lineRule="exact"/>
              <w:jc w:val="center"/>
              <w:rPr>
                <w:rFonts w:eastAsia="仿宋_GB2312" w:cs="宋体"/>
                <w:spacing w:val="4"/>
                <w:sz w:val="30"/>
                <w:szCs w:val="28"/>
              </w:rPr>
            </w:pPr>
            <w:r>
              <w:rPr>
                <w:rFonts w:hint="eastAsia" w:eastAsia="仿宋_GB2312" w:cs="宋体"/>
                <w:spacing w:val="4"/>
                <w:sz w:val="30"/>
                <w:szCs w:val="28"/>
              </w:rPr>
              <w:t>破产</w:t>
            </w:r>
          </w:p>
        </w:tc>
        <w:tc>
          <w:tcPr>
            <w:tcW w:w="5862" w:type="dxa"/>
            <w:vAlign w:val="center"/>
          </w:tcPr>
          <w:p w14:paraId="008E1FDA">
            <w:pPr>
              <w:spacing w:line="560" w:lineRule="exact"/>
              <w:ind w:right="-34"/>
              <w:rPr>
                <w:rFonts w:eastAsia="仿宋_GB2312" w:cs="宋体"/>
                <w:spacing w:val="4"/>
                <w:sz w:val="30"/>
                <w:szCs w:val="28"/>
              </w:rPr>
            </w:pPr>
            <w:r>
              <w:rPr>
                <w:rFonts w:hint="eastAsia" w:eastAsia="仿宋_GB2312" w:cs="宋体"/>
                <w:b/>
                <w:spacing w:val="4"/>
                <w:sz w:val="30"/>
                <w:szCs w:val="28"/>
              </w:rPr>
              <w:t>破产</w:t>
            </w:r>
            <w:r>
              <w:rPr>
                <w:rFonts w:hint="eastAsia" w:eastAsia="仿宋_GB2312" w:cs="宋体"/>
                <w:spacing w:val="4"/>
                <w:sz w:val="30"/>
                <w:szCs w:val="28"/>
              </w:rPr>
              <w:t>指</w:t>
            </w:r>
            <w:r>
              <w:rPr>
                <w:rFonts w:hint="eastAsia" w:eastAsia="仿宋_GB2312" w:cs="宋体"/>
                <w:b/>
                <w:spacing w:val="4"/>
                <w:sz w:val="30"/>
                <w:szCs w:val="28"/>
              </w:rPr>
              <w:t>参考实体</w:t>
            </w:r>
            <w:r>
              <w:rPr>
                <w:rFonts w:hint="eastAsia" w:eastAsia="仿宋_GB2312" w:cs="宋体"/>
                <w:spacing w:val="4"/>
                <w:sz w:val="30"/>
                <w:szCs w:val="28"/>
              </w:rPr>
              <w:t>发生下列任一事件：</w:t>
            </w:r>
          </w:p>
          <w:p w14:paraId="53973DB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1</w:t>
            </w:r>
            <w:r>
              <w:rPr>
                <w:rFonts w:hint="eastAsia" w:eastAsia="仿宋_GB2312" w:cs="宋体"/>
                <w:spacing w:val="4"/>
                <w:sz w:val="30"/>
                <w:szCs w:val="28"/>
              </w:rPr>
              <w:t>）解散（出于联合、合并或重组目的而发生的解散除外）；</w:t>
            </w:r>
          </w:p>
          <w:p w14:paraId="619FDB27">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2</w:t>
            </w:r>
            <w:r>
              <w:rPr>
                <w:rFonts w:hint="eastAsia" w:eastAsia="仿宋_GB2312" w:cs="宋体"/>
                <w:spacing w:val="4"/>
                <w:sz w:val="30"/>
                <w:szCs w:val="28"/>
              </w:rPr>
              <w:t>）不能清偿到期债务，并且资产不足以清偿全部债务或明显缺乏清偿能力的；</w:t>
            </w:r>
          </w:p>
          <w:p w14:paraId="52C583D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3</w:t>
            </w:r>
            <w:r>
              <w:rPr>
                <w:rFonts w:hint="eastAsia" w:eastAsia="仿宋_GB2312" w:cs="宋体"/>
                <w:spacing w:val="4"/>
                <w:sz w:val="30"/>
                <w:szCs w:val="28"/>
              </w:rPr>
              <w:t>）书面承认其无力偿还到期债务；</w:t>
            </w:r>
          </w:p>
          <w:p w14:paraId="7D94859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4</w:t>
            </w:r>
            <w:r>
              <w:rPr>
                <w:rFonts w:hint="eastAsia" w:eastAsia="仿宋_GB2312" w:cs="宋体"/>
                <w:spacing w:val="4"/>
                <w:sz w:val="30"/>
                <w:szCs w:val="28"/>
              </w:rPr>
              <w:t>）为其债权人利益就其全部或实质性资产达成转让协议或清偿安排，或就其全部或大部分债务的清偿事宜与债权人做出安排或达成和解协议；</w:t>
            </w:r>
          </w:p>
          <w:p w14:paraId="19A58A4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5</w:t>
            </w:r>
            <w:r>
              <w:rPr>
                <w:rFonts w:hint="eastAsia" w:eastAsia="仿宋_GB2312" w:cs="宋体"/>
                <w:spacing w:val="4"/>
                <w:sz w:val="30"/>
                <w:szCs w:val="28"/>
              </w:rPr>
              <w:t>）自身或其监管部门启动针对其的接管、破产、清算等行政或司法程序；或其债权人启动针对其的接管、破产、清算等行政或司法程序，导致其被依法宣告破产、停业、清算或被接管，或上述程序在启动后三十天内未被驳回、撤销、中止或禁止的；</w:t>
            </w:r>
          </w:p>
          <w:p w14:paraId="0F88566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6</w:t>
            </w:r>
            <w:r>
              <w:rPr>
                <w:rFonts w:hint="eastAsia" w:eastAsia="仿宋_GB2312" w:cs="宋体"/>
                <w:spacing w:val="4"/>
                <w:sz w:val="30"/>
                <w:szCs w:val="28"/>
              </w:rPr>
              <w:t>）通过其停业、清算或申请破产的决议；</w:t>
            </w:r>
          </w:p>
          <w:p w14:paraId="15C272A4">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7</w:t>
            </w:r>
            <w:r>
              <w:rPr>
                <w:rFonts w:hint="eastAsia" w:eastAsia="仿宋_GB2312" w:cs="宋体"/>
                <w:spacing w:val="4"/>
                <w:sz w:val="30"/>
                <w:szCs w:val="28"/>
              </w:rPr>
              <w:t>）就自身或自身的全部或大部分资产寻求任命临时清算人、托管人、受托人、接管人或其他类似人员或被任命了任何前述人员；</w:t>
            </w:r>
          </w:p>
          <w:p w14:paraId="696B8B7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8</w:t>
            </w:r>
            <w:r>
              <w:rPr>
                <w:rFonts w:hint="eastAsia" w:eastAsia="仿宋_GB2312" w:cs="宋体"/>
                <w:spacing w:val="4"/>
                <w:sz w:val="30"/>
                <w:szCs w:val="28"/>
              </w:rPr>
              <w:t>）其债权人作为担保权人采取行动取得了其全部或大部分资产，或使其全部或实质部分资产被查封、扣押、冻结、或强制执行，且上述情形在三十天内未被相关权力机关撤销或中止；</w:t>
            </w:r>
          </w:p>
          <w:p w14:paraId="4A8B7F23">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9</w:t>
            </w:r>
            <w:r>
              <w:rPr>
                <w:rFonts w:hint="eastAsia" w:eastAsia="仿宋_GB2312" w:cs="宋体"/>
                <w:spacing w:val="4"/>
                <w:sz w:val="30"/>
                <w:szCs w:val="28"/>
              </w:rPr>
              <w:t>）其他任何与上述第（</w:t>
            </w:r>
            <w:r>
              <w:rPr>
                <w:rFonts w:eastAsia="仿宋_GB2312" w:cs="宋体"/>
                <w:spacing w:val="4"/>
                <w:sz w:val="30"/>
                <w:szCs w:val="28"/>
              </w:rPr>
              <w:t>1</w:t>
            </w:r>
            <w:r>
              <w:rPr>
                <w:rFonts w:hint="eastAsia" w:eastAsia="仿宋_GB2312" w:cs="宋体"/>
                <w:spacing w:val="4"/>
                <w:sz w:val="30"/>
                <w:szCs w:val="28"/>
              </w:rPr>
              <w:t>）项至第（</w:t>
            </w:r>
            <w:r>
              <w:rPr>
                <w:rFonts w:eastAsia="仿宋_GB2312" w:cs="宋体"/>
                <w:spacing w:val="4"/>
                <w:sz w:val="30"/>
                <w:szCs w:val="28"/>
              </w:rPr>
              <w:t>8</w:t>
            </w:r>
            <w:r>
              <w:rPr>
                <w:rFonts w:hint="eastAsia" w:eastAsia="仿宋_GB2312" w:cs="宋体"/>
                <w:spacing w:val="4"/>
                <w:sz w:val="30"/>
                <w:szCs w:val="28"/>
              </w:rPr>
              <w:t>）项有类似效果的事件。</w:t>
            </w:r>
          </w:p>
        </w:tc>
      </w:tr>
      <w:tr w14:paraId="7444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1EC95F0">
            <w:pPr>
              <w:spacing w:before="185" w:line="560" w:lineRule="exact"/>
              <w:jc w:val="center"/>
              <w:rPr>
                <w:rFonts w:eastAsia="仿宋_GB2312" w:cs="宋体"/>
                <w:sz w:val="30"/>
                <w:szCs w:val="28"/>
              </w:rPr>
            </w:pPr>
            <w:r>
              <w:rPr>
                <w:rFonts w:hint="eastAsia" w:eastAsia="仿宋_GB2312" w:cs="宋体"/>
                <w:sz w:val="30"/>
                <w:szCs w:val="28"/>
              </w:rPr>
              <w:t>支付违约</w:t>
            </w:r>
          </w:p>
        </w:tc>
        <w:tc>
          <w:tcPr>
            <w:tcW w:w="5862" w:type="dxa"/>
            <w:vAlign w:val="center"/>
          </w:tcPr>
          <w:p w14:paraId="15E36C1C">
            <w:pPr>
              <w:spacing w:line="560" w:lineRule="exact"/>
              <w:ind w:right="-34" w:rightChars="-16"/>
              <w:rPr>
                <w:rFonts w:eastAsia="仿宋_GB2312" w:cs="宋体"/>
                <w:sz w:val="30"/>
                <w:szCs w:val="28"/>
              </w:rPr>
            </w:pPr>
            <w:r>
              <w:rPr>
                <w:rFonts w:hint="eastAsia" w:eastAsia="仿宋_GB2312" w:cs="宋体"/>
                <w:b/>
                <w:bCs/>
                <w:spacing w:val="-7"/>
                <w:sz w:val="30"/>
                <w:szCs w:val="28"/>
              </w:rPr>
              <w:t>支付违约</w:t>
            </w:r>
            <w:r>
              <w:rPr>
                <w:rFonts w:hint="eastAsia" w:eastAsia="仿宋_GB2312" w:cs="宋体"/>
                <w:spacing w:val="-7"/>
                <w:sz w:val="30"/>
                <w:szCs w:val="28"/>
              </w:rPr>
              <w:t>指</w:t>
            </w:r>
            <w:r>
              <w:rPr>
                <w:rFonts w:hint="eastAsia" w:eastAsia="仿宋_GB2312" w:cs="宋体"/>
                <w:b/>
                <w:bCs/>
                <w:spacing w:val="-7"/>
                <w:sz w:val="30"/>
                <w:szCs w:val="28"/>
              </w:rPr>
              <w:t>参考实体</w:t>
            </w:r>
            <w:r>
              <w:rPr>
                <w:rFonts w:hint="eastAsia" w:eastAsia="仿宋_GB2312" w:cs="宋体"/>
                <w:spacing w:val="-7"/>
                <w:sz w:val="30"/>
                <w:szCs w:val="28"/>
              </w:rPr>
              <w:t>未按约定在一项或多项</w:t>
            </w:r>
            <w:r>
              <w:rPr>
                <w:rFonts w:hint="eastAsia" w:eastAsia="仿宋_GB2312" w:cs="宋体"/>
                <w:b/>
                <w:bCs/>
                <w:spacing w:val="-7"/>
                <w:sz w:val="30"/>
                <w:szCs w:val="28"/>
              </w:rPr>
              <w:t>债务</w:t>
            </w:r>
            <w:r>
              <w:rPr>
                <w:rFonts w:hint="eastAsia" w:eastAsia="仿宋_GB2312" w:cs="宋体"/>
                <w:spacing w:val="-7"/>
                <w:sz w:val="30"/>
                <w:szCs w:val="28"/>
              </w:rPr>
              <w:t>的支付日足额履行</w:t>
            </w:r>
            <w:r>
              <w:rPr>
                <w:rFonts w:hint="eastAsia" w:eastAsia="仿宋_GB2312" w:cs="宋体"/>
                <w:spacing w:val="-3"/>
                <w:sz w:val="30"/>
                <w:szCs w:val="28"/>
              </w:rPr>
              <w:t>支付义务，未支付款项总金额超过适用的</w:t>
            </w:r>
            <w:r>
              <w:rPr>
                <w:rFonts w:hint="eastAsia" w:eastAsia="仿宋_GB2312" w:cs="宋体"/>
                <w:b/>
                <w:bCs/>
                <w:spacing w:val="-3"/>
                <w:sz w:val="30"/>
                <w:szCs w:val="28"/>
              </w:rPr>
              <w:t>起点金额</w:t>
            </w:r>
            <w:r>
              <w:rPr>
                <w:rFonts w:hint="eastAsia" w:eastAsia="仿宋_GB2312" w:cs="宋体"/>
                <w:spacing w:val="-3"/>
                <w:sz w:val="30"/>
                <w:szCs w:val="28"/>
              </w:rPr>
              <w:t>，且在适用的</w:t>
            </w:r>
            <w:r>
              <w:rPr>
                <w:rFonts w:hint="eastAsia" w:eastAsia="仿宋_GB2312" w:cs="宋体"/>
                <w:b/>
                <w:bCs/>
                <w:spacing w:val="-3"/>
                <w:sz w:val="30"/>
                <w:szCs w:val="28"/>
              </w:rPr>
              <w:t>宽限期</w:t>
            </w:r>
            <w:r>
              <w:rPr>
                <w:rFonts w:hint="eastAsia" w:eastAsia="仿宋_GB2312" w:cs="宋体"/>
                <w:spacing w:val="-3"/>
                <w:sz w:val="30"/>
                <w:szCs w:val="28"/>
              </w:rPr>
              <w:t>届满后仍</w:t>
            </w:r>
            <w:r>
              <w:rPr>
                <w:rFonts w:eastAsia="仿宋_GB2312" w:cs="宋体"/>
                <w:spacing w:val="-115"/>
                <w:sz w:val="30"/>
                <w:szCs w:val="28"/>
              </w:rPr>
              <w:t xml:space="preserve"> </w:t>
            </w:r>
            <w:r>
              <w:rPr>
                <w:rFonts w:hint="eastAsia" w:eastAsia="仿宋_GB2312" w:cs="宋体"/>
                <w:sz w:val="30"/>
                <w:szCs w:val="28"/>
              </w:rPr>
              <w:t>未纠正。</w:t>
            </w:r>
          </w:p>
        </w:tc>
      </w:tr>
      <w:tr w14:paraId="5021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87D0B43">
            <w:pPr>
              <w:spacing w:before="185" w:line="560" w:lineRule="exact"/>
              <w:jc w:val="center"/>
              <w:rPr>
                <w:rFonts w:eastAsia="仿宋_GB2312" w:cs="宋体"/>
                <w:sz w:val="30"/>
                <w:szCs w:val="28"/>
              </w:rPr>
            </w:pPr>
            <w:r>
              <w:rPr>
                <w:rFonts w:hint="eastAsia" w:eastAsia="仿宋_GB2312" w:cs="宋体"/>
                <w:sz w:val="30"/>
                <w:szCs w:val="28"/>
              </w:rPr>
              <w:t>债务重组</w:t>
            </w:r>
          </w:p>
        </w:tc>
        <w:tc>
          <w:tcPr>
            <w:tcW w:w="5862" w:type="dxa"/>
            <w:vAlign w:val="center"/>
          </w:tcPr>
          <w:p w14:paraId="72AEEBD7">
            <w:pPr>
              <w:pStyle w:val="17"/>
              <w:spacing w:line="560" w:lineRule="exact"/>
              <w:ind w:right="-34" w:rightChars="-16"/>
              <w:rPr>
                <w:rFonts w:eastAsia="仿宋_GB2312" w:cs="宋体"/>
                <w:sz w:val="30"/>
                <w:szCs w:val="28"/>
              </w:rPr>
            </w:pPr>
            <w:r>
              <w:rPr>
                <w:rFonts w:hint="eastAsia" w:eastAsia="仿宋_GB2312" w:cs="宋体"/>
                <w:b/>
                <w:bCs/>
                <w:spacing w:val="-10"/>
                <w:sz w:val="30"/>
                <w:szCs w:val="28"/>
              </w:rPr>
              <w:t>债务重组</w:t>
            </w:r>
            <w:r>
              <w:rPr>
                <w:rFonts w:hint="eastAsia" w:eastAsia="仿宋_GB2312" w:cs="宋体"/>
                <w:spacing w:val="-10"/>
                <w:sz w:val="30"/>
                <w:szCs w:val="28"/>
              </w:rPr>
              <w:t>（亦称为“偿付变更”或“债项重组”）指因本金、利息、</w:t>
            </w:r>
            <w:r>
              <w:rPr>
                <w:rFonts w:hint="eastAsia" w:eastAsia="仿宋_GB2312" w:cs="宋体"/>
                <w:spacing w:val="-3"/>
                <w:sz w:val="30"/>
                <w:szCs w:val="28"/>
              </w:rPr>
              <w:t>费用的下调或推迟或提前支付等原因对</w:t>
            </w:r>
            <w:r>
              <w:rPr>
                <w:rFonts w:hint="eastAsia" w:eastAsia="仿宋_GB2312" w:cs="宋体"/>
                <w:b/>
                <w:bCs/>
                <w:spacing w:val="-3"/>
                <w:sz w:val="30"/>
                <w:szCs w:val="28"/>
              </w:rPr>
              <w:t>债务</w:t>
            </w:r>
            <w:r>
              <w:rPr>
                <w:rFonts w:hint="eastAsia" w:eastAsia="仿宋_GB2312" w:cs="宋体"/>
                <w:spacing w:val="-3"/>
                <w:sz w:val="30"/>
                <w:szCs w:val="28"/>
              </w:rPr>
              <w:t>的重组而导致的信用损失事件，包括</w:t>
            </w:r>
            <w:r>
              <w:rPr>
                <w:rFonts w:eastAsia="仿宋_GB2312" w:cs="宋体"/>
                <w:spacing w:val="-112"/>
                <w:sz w:val="30"/>
                <w:szCs w:val="28"/>
              </w:rPr>
              <w:t xml:space="preserve"> </w:t>
            </w:r>
            <w:r>
              <w:rPr>
                <w:rFonts w:hint="eastAsia" w:eastAsia="仿宋_GB2312" w:cs="宋体"/>
                <w:sz w:val="30"/>
                <w:szCs w:val="28"/>
              </w:rPr>
              <w:t>但不限于下述安排：</w:t>
            </w:r>
          </w:p>
          <w:p w14:paraId="017DC976">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）降低应付利率水平、减少应付利息金额或减少预定应计利息的金额；</w:t>
            </w:r>
          </w:p>
          <w:p w14:paraId="2C94859E">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）减少应到期偿还或分期偿还的本金数额或溢价；</w:t>
            </w:r>
          </w:p>
          <w:p w14:paraId="65554101">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）提前或推迟本金、利息或溢价的偿付日期，或推迟应计利息的起息；</w:t>
            </w:r>
          </w:p>
          <w:p w14:paraId="40580C86">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）变动该债务的受偿顺序，导致其对任何其他债务成为次级债务；</w:t>
            </w:r>
          </w:p>
          <w:p w14:paraId="4D9EAA3A">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）改变本息偿付币种；</w:t>
            </w:r>
          </w:p>
          <w:p w14:paraId="0B6AA145">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）若</w:t>
            </w:r>
            <w:r>
              <w:rPr>
                <w:rFonts w:hint="eastAsia" w:eastAsia="仿宋_GB2312" w:cs="宋体"/>
                <w:b/>
                <w:bCs/>
                <w:sz w:val="30"/>
                <w:szCs w:val="28"/>
              </w:rPr>
              <w:t>债务种类</w:t>
            </w:r>
            <w:r>
              <w:rPr>
                <w:rFonts w:hint="eastAsia" w:eastAsia="仿宋_GB2312" w:cs="宋体"/>
                <w:sz w:val="30"/>
                <w:szCs w:val="28"/>
              </w:rPr>
              <w:t>为</w:t>
            </w:r>
            <w:r>
              <w:rPr>
                <w:rFonts w:hint="eastAsia" w:eastAsia="仿宋_GB2312" w:cs="宋体"/>
                <w:b/>
                <w:spacing w:val="4"/>
                <w:sz w:val="30"/>
                <w:szCs w:val="28"/>
              </w:rPr>
              <w:t>债券</w:t>
            </w:r>
            <w:r>
              <w:rPr>
                <w:rFonts w:hint="eastAsia" w:eastAsia="仿宋_GB2312" w:cs="宋体"/>
                <w:sz w:val="30"/>
                <w:szCs w:val="28"/>
              </w:rPr>
              <w:t>，该</w:t>
            </w:r>
            <w:r>
              <w:rPr>
                <w:rFonts w:hint="eastAsia" w:eastAsia="仿宋_GB2312" w:cs="宋体"/>
                <w:b/>
                <w:spacing w:val="4"/>
                <w:sz w:val="30"/>
                <w:szCs w:val="28"/>
              </w:rPr>
              <w:t>债券</w:t>
            </w:r>
            <w:r>
              <w:rPr>
                <w:rFonts w:hint="eastAsia" w:eastAsia="仿宋_GB2312" w:cs="宋体"/>
                <w:sz w:val="30"/>
                <w:szCs w:val="28"/>
              </w:rPr>
              <w:t>的发行人在未获得全体持有人同意的情况下，将该</w:t>
            </w:r>
            <w:r>
              <w:rPr>
                <w:rFonts w:hint="eastAsia" w:eastAsia="仿宋_GB2312" w:cs="宋体"/>
                <w:b/>
                <w:spacing w:val="4"/>
                <w:sz w:val="30"/>
                <w:szCs w:val="28"/>
              </w:rPr>
              <w:t>债券</w:t>
            </w:r>
            <w:r>
              <w:rPr>
                <w:rFonts w:hint="eastAsia" w:eastAsia="仿宋_GB2312" w:cs="宋体"/>
                <w:sz w:val="30"/>
                <w:szCs w:val="28"/>
              </w:rPr>
              <w:t>替换或置换为已发行或拟发行的另一</w:t>
            </w:r>
            <w:r>
              <w:rPr>
                <w:rFonts w:hint="eastAsia" w:eastAsia="仿宋_GB2312" w:cs="宋体"/>
                <w:b/>
                <w:spacing w:val="4"/>
                <w:sz w:val="30"/>
                <w:szCs w:val="28"/>
              </w:rPr>
              <w:t>债券</w:t>
            </w:r>
            <w:r>
              <w:rPr>
                <w:rFonts w:hint="eastAsia" w:eastAsia="仿宋_GB2312" w:cs="宋体"/>
                <w:sz w:val="30"/>
                <w:szCs w:val="28"/>
              </w:rPr>
              <w:t>。</w:t>
            </w:r>
          </w:p>
          <w:p w14:paraId="6776760B">
            <w:pPr>
              <w:spacing w:line="560" w:lineRule="exact"/>
              <w:ind w:right="-34" w:rightChars="-16"/>
              <w:rPr>
                <w:rFonts w:eastAsia="仿宋_GB2312" w:cs="宋体"/>
                <w:sz w:val="30"/>
                <w:szCs w:val="28"/>
              </w:rPr>
            </w:pPr>
            <w:r>
              <w:rPr>
                <w:rFonts w:hint="eastAsia" w:eastAsia="仿宋_GB2312" w:cs="宋体"/>
                <w:sz w:val="30"/>
                <w:szCs w:val="28"/>
              </w:rPr>
              <w:t>若</w:t>
            </w:r>
            <w:r>
              <w:rPr>
                <w:rFonts w:hint="eastAsia" w:eastAsia="仿宋_GB2312" w:cs="宋体"/>
                <w:b/>
                <w:bCs/>
                <w:sz w:val="30"/>
                <w:szCs w:val="28"/>
              </w:rPr>
              <w:t>交易双方</w:t>
            </w:r>
            <w:r>
              <w:rPr>
                <w:rFonts w:hint="eastAsia" w:eastAsia="仿宋_GB2312" w:cs="宋体"/>
                <w:sz w:val="30"/>
                <w:szCs w:val="28"/>
              </w:rPr>
              <w:t>在相关</w:t>
            </w:r>
            <w:r>
              <w:rPr>
                <w:rFonts w:hint="eastAsia" w:eastAsia="仿宋_GB2312" w:cs="宋体"/>
                <w:b/>
                <w:bCs/>
                <w:sz w:val="30"/>
                <w:szCs w:val="28"/>
              </w:rPr>
              <w:t>交易有效约定</w:t>
            </w:r>
            <w:r>
              <w:rPr>
                <w:rFonts w:hint="eastAsia" w:eastAsia="仿宋_GB2312" w:cs="宋体"/>
                <w:sz w:val="30"/>
                <w:szCs w:val="28"/>
              </w:rPr>
              <w:t>中约定了适用于</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起点金额</w:t>
            </w:r>
            <w:r>
              <w:rPr>
                <w:rFonts w:hint="eastAsia" w:eastAsia="仿宋_GB2312" w:cs="宋体"/>
                <w:sz w:val="30"/>
                <w:szCs w:val="28"/>
              </w:rPr>
              <w:t>，则上述</w:t>
            </w:r>
            <w:r>
              <w:rPr>
                <w:rFonts w:hint="eastAsia" w:eastAsia="仿宋_GB2312" w:cs="宋体"/>
                <w:b/>
                <w:bCs/>
                <w:sz w:val="30"/>
                <w:szCs w:val="28"/>
              </w:rPr>
              <w:t>债务重组</w:t>
            </w:r>
            <w:r>
              <w:rPr>
                <w:rFonts w:hint="eastAsia" w:eastAsia="仿宋_GB2312" w:cs="宋体"/>
                <w:sz w:val="30"/>
                <w:szCs w:val="28"/>
              </w:rPr>
              <w:t>涉及的</w:t>
            </w:r>
            <w:r>
              <w:rPr>
                <w:rFonts w:hint="eastAsia" w:eastAsia="仿宋_GB2312" w:cs="宋体"/>
                <w:b/>
                <w:bCs/>
                <w:sz w:val="30"/>
                <w:szCs w:val="28"/>
              </w:rPr>
              <w:t>债务</w:t>
            </w:r>
            <w:r>
              <w:rPr>
                <w:rFonts w:hint="eastAsia" w:eastAsia="仿宋_GB2312" w:cs="宋体"/>
                <w:sz w:val="30"/>
                <w:szCs w:val="28"/>
              </w:rPr>
              <w:t>总金额应超过该</w:t>
            </w:r>
            <w:r>
              <w:rPr>
                <w:rFonts w:hint="eastAsia" w:eastAsia="仿宋_GB2312" w:cs="宋体"/>
                <w:b/>
                <w:bCs/>
                <w:sz w:val="30"/>
                <w:szCs w:val="28"/>
              </w:rPr>
              <w:t>起点金额</w:t>
            </w:r>
            <w:r>
              <w:rPr>
                <w:rFonts w:hint="eastAsia" w:eastAsia="仿宋_GB2312" w:cs="宋体"/>
                <w:sz w:val="30"/>
                <w:szCs w:val="28"/>
              </w:rPr>
              <w:t>。</w:t>
            </w:r>
          </w:p>
          <w:p w14:paraId="40B9C3E4">
            <w:pPr>
              <w:spacing w:before="30"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在正常经营过程中因监管、财会或税务调整采取上述债务偿付方</w:t>
            </w:r>
            <w:r>
              <w:rPr>
                <w:rFonts w:hint="eastAsia" w:eastAsia="仿宋_GB2312" w:cs="宋体"/>
                <w:spacing w:val="-3"/>
                <w:sz w:val="30"/>
                <w:szCs w:val="28"/>
              </w:rPr>
              <w:t>面的重组，或该等变更不是因为</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的资信或财务状况恶化而采取的，则不</w:t>
            </w:r>
            <w:r>
              <w:rPr>
                <w:rFonts w:eastAsia="仿宋_GB2312" w:cs="宋体"/>
                <w:spacing w:val="-113"/>
                <w:sz w:val="30"/>
                <w:szCs w:val="28"/>
              </w:rPr>
              <w:t xml:space="preserve"> </w:t>
            </w:r>
            <w:r>
              <w:rPr>
                <w:rFonts w:hint="eastAsia" w:eastAsia="仿宋_GB2312" w:cs="宋体"/>
                <w:spacing w:val="-3"/>
                <w:sz w:val="30"/>
                <w:szCs w:val="28"/>
              </w:rPr>
              <w:t>构成</w:t>
            </w:r>
            <w:r>
              <w:rPr>
                <w:rFonts w:hint="eastAsia" w:eastAsia="仿宋_GB2312" w:cs="宋体"/>
                <w:b/>
                <w:bCs/>
                <w:spacing w:val="-3"/>
                <w:sz w:val="30"/>
                <w:szCs w:val="28"/>
              </w:rPr>
              <w:t>债务重组</w:t>
            </w:r>
            <w:r>
              <w:rPr>
                <w:rFonts w:hint="eastAsia" w:eastAsia="仿宋_GB2312" w:cs="宋体"/>
                <w:spacing w:val="-3"/>
                <w:sz w:val="30"/>
                <w:szCs w:val="28"/>
              </w:rPr>
              <w:t>。何为正常经营过程中的“监管、财会或税务调整”，以及如何判</w:t>
            </w:r>
            <w:r>
              <w:rPr>
                <w:rFonts w:eastAsia="仿宋_GB2312" w:cs="宋体"/>
                <w:spacing w:val="-118"/>
                <w:sz w:val="30"/>
                <w:szCs w:val="28"/>
              </w:rPr>
              <w:t xml:space="preserve"> </w:t>
            </w:r>
            <w:r>
              <w:rPr>
                <w:rFonts w:hint="eastAsia" w:eastAsia="仿宋_GB2312" w:cs="宋体"/>
                <w:spacing w:val="-3"/>
                <w:sz w:val="30"/>
                <w:szCs w:val="28"/>
              </w:rPr>
              <w:t>断该等变更是否源于</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的资信或财务状况恶化，应依赖具体事实情况加以</w:t>
            </w:r>
            <w:r>
              <w:rPr>
                <w:rFonts w:eastAsia="仿宋_GB2312" w:cs="宋体"/>
                <w:spacing w:val="-117"/>
                <w:sz w:val="30"/>
                <w:szCs w:val="28"/>
              </w:rPr>
              <w:t xml:space="preserve"> </w:t>
            </w:r>
            <w:r>
              <w:rPr>
                <w:rFonts w:hint="eastAsia" w:eastAsia="仿宋_GB2312" w:cs="宋体"/>
                <w:sz w:val="30"/>
                <w:szCs w:val="28"/>
              </w:rPr>
              <w:t>判断。</w:t>
            </w:r>
          </w:p>
          <w:p w14:paraId="5079FEB2">
            <w:pPr>
              <w:pStyle w:val="17"/>
              <w:spacing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可以采用两种办法进行</w:t>
            </w:r>
            <w:r>
              <w:rPr>
                <w:rFonts w:hint="eastAsia" w:eastAsia="仿宋_GB2312" w:cs="宋体"/>
                <w:b/>
                <w:bCs/>
                <w:sz w:val="30"/>
                <w:szCs w:val="28"/>
              </w:rPr>
              <w:t>债务重组</w:t>
            </w:r>
            <w:r>
              <w:rPr>
                <w:rFonts w:hint="eastAsia" w:eastAsia="仿宋_GB2312" w:cs="宋体"/>
                <w:sz w:val="30"/>
                <w:szCs w:val="28"/>
              </w:rPr>
              <w:t>：一是由</w:t>
            </w:r>
            <w:r>
              <w:rPr>
                <w:rFonts w:hint="eastAsia" w:eastAsia="仿宋_GB2312" w:cs="宋体"/>
                <w:b/>
                <w:bCs/>
                <w:sz w:val="30"/>
                <w:szCs w:val="28"/>
              </w:rPr>
              <w:t>参考实体</w:t>
            </w:r>
            <w:r>
              <w:rPr>
                <w:rFonts w:hint="eastAsia" w:eastAsia="仿宋_GB2312" w:cs="宋体"/>
                <w:sz w:val="30"/>
                <w:szCs w:val="28"/>
              </w:rPr>
              <w:t>与相关</w:t>
            </w:r>
            <w:r>
              <w:rPr>
                <w:rFonts w:hint="eastAsia" w:eastAsia="仿宋_GB2312" w:cs="宋体"/>
                <w:b/>
                <w:bCs/>
                <w:sz w:val="30"/>
                <w:szCs w:val="28"/>
              </w:rPr>
              <w:t>债务</w:t>
            </w:r>
            <w:r>
              <w:rPr>
                <w:rFonts w:hint="eastAsia" w:eastAsia="仿宋_GB2312" w:cs="宋体"/>
                <w:sz w:val="30"/>
                <w:szCs w:val="28"/>
              </w:rPr>
              <w:t>的</w:t>
            </w:r>
            <w:r>
              <w:rPr>
                <w:rFonts w:hint="eastAsia" w:eastAsia="仿宋_GB2312" w:cs="宋体"/>
                <w:spacing w:val="-3"/>
                <w:sz w:val="30"/>
                <w:szCs w:val="28"/>
              </w:rPr>
              <w:t>全部或部分持有人达成重组协议（若仅与部分持有人达成该协议，则适用于该</w:t>
            </w:r>
            <w:r>
              <w:rPr>
                <w:rFonts w:hint="eastAsia" w:eastAsia="仿宋_GB2312" w:cs="宋体"/>
                <w:b/>
                <w:bCs/>
                <w:spacing w:val="-3"/>
                <w:sz w:val="30"/>
                <w:szCs w:val="28"/>
              </w:rPr>
              <w:t>债</w:t>
            </w:r>
            <w:r>
              <w:rPr>
                <w:rFonts w:eastAsia="仿宋_GB2312" w:cs="宋体"/>
                <w:b/>
                <w:bCs/>
                <w:spacing w:val="-114"/>
                <w:sz w:val="30"/>
                <w:szCs w:val="28"/>
              </w:rPr>
              <w:t xml:space="preserve"> </w:t>
            </w:r>
            <w:r>
              <w:rPr>
                <w:rFonts w:hint="eastAsia" w:eastAsia="仿宋_GB2312" w:cs="宋体"/>
                <w:b/>
                <w:bCs/>
                <w:spacing w:val="-3"/>
                <w:sz w:val="30"/>
                <w:szCs w:val="28"/>
              </w:rPr>
              <w:t>务</w:t>
            </w:r>
            <w:r>
              <w:rPr>
                <w:rFonts w:hint="eastAsia" w:eastAsia="仿宋_GB2312" w:cs="宋体"/>
                <w:spacing w:val="-3"/>
                <w:sz w:val="30"/>
                <w:szCs w:val="28"/>
              </w:rPr>
              <w:t>的有关合同或协议能够约束该</w:t>
            </w:r>
            <w:r>
              <w:rPr>
                <w:rFonts w:hint="eastAsia" w:eastAsia="仿宋_GB2312" w:cs="宋体"/>
                <w:b/>
                <w:bCs/>
                <w:spacing w:val="-3"/>
                <w:sz w:val="30"/>
                <w:szCs w:val="28"/>
              </w:rPr>
              <w:t>债务</w:t>
            </w:r>
            <w:r>
              <w:rPr>
                <w:rFonts w:hint="eastAsia" w:eastAsia="仿宋_GB2312" w:cs="宋体"/>
                <w:spacing w:val="-3"/>
                <w:sz w:val="30"/>
                <w:szCs w:val="28"/>
              </w:rPr>
              <w:t>的全体持有人），且涉及重组的债务金额不</w:t>
            </w:r>
            <w:r>
              <w:rPr>
                <w:rFonts w:eastAsia="仿宋_GB2312" w:cs="宋体"/>
                <w:spacing w:val="-117"/>
                <w:sz w:val="30"/>
                <w:szCs w:val="28"/>
              </w:rPr>
              <w:t xml:space="preserve"> </w:t>
            </w:r>
            <w:r>
              <w:rPr>
                <w:rFonts w:hint="eastAsia" w:eastAsia="仿宋_GB2312" w:cs="宋体"/>
                <w:spacing w:val="-3"/>
                <w:sz w:val="30"/>
                <w:szCs w:val="28"/>
              </w:rPr>
              <w:t>低于</w:t>
            </w:r>
            <w:r>
              <w:rPr>
                <w:rFonts w:hint="eastAsia" w:eastAsia="仿宋_GB2312" w:cs="宋体"/>
                <w:b/>
                <w:bCs/>
                <w:spacing w:val="-3"/>
                <w:sz w:val="30"/>
                <w:szCs w:val="28"/>
              </w:rPr>
              <w:t>交易双方</w:t>
            </w:r>
            <w:r>
              <w:rPr>
                <w:rFonts w:hint="eastAsia" w:eastAsia="仿宋_GB2312" w:cs="宋体"/>
                <w:spacing w:val="-3"/>
                <w:sz w:val="30"/>
                <w:szCs w:val="28"/>
              </w:rPr>
              <w:t>约定的</w:t>
            </w:r>
            <w:r>
              <w:rPr>
                <w:rFonts w:hint="eastAsia" w:eastAsia="仿宋_GB2312" w:cs="宋体"/>
                <w:b/>
                <w:bCs/>
                <w:spacing w:val="-3"/>
                <w:sz w:val="30"/>
                <w:szCs w:val="28"/>
              </w:rPr>
              <w:t>起点金额</w:t>
            </w:r>
            <w:r>
              <w:rPr>
                <w:rFonts w:hint="eastAsia" w:eastAsia="仿宋_GB2312" w:cs="宋体"/>
                <w:spacing w:val="-3"/>
                <w:sz w:val="30"/>
                <w:szCs w:val="28"/>
              </w:rPr>
              <w:t>；二是由</w:t>
            </w:r>
            <w:r>
              <w:rPr>
                <w:rFonts w:hint="eastAsia" w:eastAsia="仿宋_GB2312" w:cs="宋体"/>
                <w:b/>
                <w:bCs/>
                <w:spacing w:val="-3"/>
                <w:sz w:val="30"/>
                <w:szCs w:val="28"/>
              </w:rPr>
              <w:t>参考实体</w:t>
            </w:r>
            <w:r>
              <w:rPr>
                <w:rFonts w:hint="eastAsia" w:eastAsia="仿宋_GB2312" w:cs="宋体"/>
                <w:spacing w:val="-3"/>
                <w:sz w:val="30"/>
                <w:szCs w:val="28"/>
              </w:rPr>
              <w:t>单方面宣布的适用于所有债权人的债务重组行为。在第二种情况下，有权自行宣布</w:t>
            </w:r>
            <w:r>
              <w:rPr>
                <w:rFonts w:hint="eastAsia" w:eastAsia="仿宋_GB2312" w:cs="宋体"/>
                <w:b/>
                <w:bCs/>
                <w:spacing w:val="-3"/>
                <w:sz w:val="30"/>
                <w:szCs w:val="28"/>
              </w:rPr>
              <w:t>债务重组</w:t>
            </w:r>
            <w:r>
              <w:rPr>
                <w:rFonts w:hint="eastAsia" w:eastAsia="仿宋_GB2312" w:cs="宋体"/>
                <w:spacing w:val="-3"/>
                <w:sz w:val="30"/>
                <w:szCs w:val="28"/>
              </w:rPr>
              <w:t>、且可以在法律上约束所有债权人的</w:t>
            </w:r>
            <w:r>
              <w:rPr>
                <w:rFonts w:hint="eastAsia" w:eastAsia="仿宋_GB2312" w:cs="宋体"/>
                <w:b/>
                <w:bCs/>
                <w:spacing w:val="-3"/>
                <w:sz w:val="30"/>
                <w:szCs w:val="28"/>
              </w:rPr>
              <w:t>参考实体</w:t>
            </w:r>
            <w:r>
              <w:rPr>
                <w:rFonts w:hint="eastAsia" w:eastAsia="仿宋_GB2312" w:cs="宋体"/>
                <w:spacing w:val="-3"/>
                <w:sz w:val="30"/>
                <w:szCs w:val="28"/>
              </w:rPr>
              <w:t>，只能为国家或地区，且由该</w:t>
            </w:r>
            <w:r>
              <w:rPr>
                <w:rFonts w:hint="eastAsia" w:eastAsia="仿宋_GB2312" w:cs="宋体"/>
                <w:b/>
                <w:bCs/>
                <w:spacing w:val="-3"/>
                <w:sz w:val="30"/>
                <w:szCs w:val="28"/>
              </w:rPr>
              <w:t>参考实体</w:t>
            </w:r>
            <w:r>
              <w:rPr>
                <w:rFonts w:hint="eastAsia" w:eastAsia="仿宋_GB2312" w:cs="宋体"/>
                <w:spacing w:val="-3"/>
                <w:sz w:val="30"/>
                <w:szCs w:val="28"/>
              </w:rPr>
              <w:t>中有权处理</w:t>
            </w:r>
            <w:r>
              <w:rPr>
                <w:rFonts w:hint="eastAsia" w:eastAsia="仿宋_GB2312" w:cs="宋体"/>
                <w:b/>
                <w:bCs/>
                <w:spacing w:val="-3"/>
                <w:sz w:val="30"/>
                <w:szCs w:val="28"/>
              </w:rPr>
              <w:t>债务重组</w:t>
            </w:r>
            <w:r>
              <w:rPr>
                <w:rFonts w:hint="eastAsia" w:eastAsia="仿宋_GB2312" w:cs="宋体"/>
                <w:spacing w:val="-3"/>
                <w:sz w:val="30"/>
                <w:szCs w:val="28"/>
              </w:rPr>
              <w:t>的行政、立法或司法机构针对该</w:t>
            </w:r>
            <w:r>
              <w:rPr>
                <w:rFonts w:hint="eastAsia" w:eastAsia="仿宋_GB2312" w:cs="宋体"/>
                <w:b/>
                <w:bCs/>
                <w:spacing w:val="-3"/>
                <w:sz w:val="30"/>
                <w:szCs w:val="28"/>
              </w:rPr>
              <w:t>参考实体</w:t>
            </w:r>
            <w:r>
              <w:rPr>
                <w:rFonts w:hint="eastAsia" w:eastAsia="仿宋_GB2312" w:cs="宋体"/>
                <w:spacing w:val="-3"/>
                <w:sz w:val="30"/>
                <w:szCs w:val="28"/>
              </w:rPr>
              <w:t>的所有债务或某一类型的全部债务</w:t>
            </w:r>
            <w:r>
              <w:rPr>
                <w:rFonts w:hint="eastAsia" w:eastAsia="仿宋_GB2312" w:cs="宋体"/>
                <w:sz w:val="30"/>
                <w:szCs w:val="28"/>
              </w:rPr>
              <w:t>（例如所有外债）采取上述</w:t>
            </w:r>
            <w:r>
              <w:rPr>
                <w:rFonts w:hint="eastAsia" w:eastAsia="仿宋_GB2312" w:cs="宋体"/>
                <w:b/>
                <w:bCs/>
                <w:sz w:val="30"/>
                <w:szCs w:val="28"/>
              </w:rPr>
              <w:t>债务重组</w:t>
            </w:r>
            <w:r>
              <w:rPr>
                <w:rFonts w:hint="eastAsia" w:eastAsia="仿宋_GB2312" w:cs="宋体"/>
                <w:sz w:val="30"/>
                <w:szCs w:val="28"/>
              </w:rPr>
              <w:t>安排中描述的一项或多项安排。</w:t>
            </w:r>
          </w:p>
          <w:p w14:paraId="397F416C">
            <w:pPr>
              <w:pStyle w:val="17"/>
              <w:spacing w:line="560" w:lineRule="exact"/>
              <w:ind w:right="-34" w:rightChars="-16"/>
              <w:rPr>
                <w:rFonts w:eastAsia="仿宋_GB2312" w:cs="宋体"/>
                <w:sz w:val="30"/>
                <w:szCs w:val="28"/>
              </w:rPr>
            </w:pPr>
            <w:r>
              <w:rPr>
                <w:rFonts w:hint="eastAsia" w:eastAsia="仿宋_GB2312" w:cs="宋体"/>
                <w:sz w:val="30"/>
                <w:szCs w:val="28"/>
              </w:rPr>
              <w:t>但是，在</w:t>
            </w:r>
            <w:r>
              <w:rPr>
                <w:rFonts w:hint="eastAsia" w:eastAsia="仿宋_GB2312" w:cs="宋体"/>
                <w:b/>
                <w:bCs/>
                <w:sz w:val="30"/>
                <w:szCs w:val="28"/>
              </w:rPr>
              <w:t>参考实体</w:t>
            </w:r>
            <w:r>
              <w:rPr>
                <w:rFonts w:hint="eastAsia" w:eastAsia="仿宋_GB2312" w:cs="宋体"/>
                <w:sz w:val="30"/>
                <w:szCs w:val="28"/>
              </w:rPr>
              <w:t>所在国家或地区的主管部门为了避免相关区域的社会、</w:t>
            </w:r>
            <w:r>
              <w:rPr>
                <w:rFonts w:hint="eastAsia" w:eastAsia="仿宋_GB2312" w:cs="宋体"/>
                <w:spacing w:val="4"/>
                <w:sz w:val="30"/>
                <w:szCs w:val="28"/>
              </w:rPr>
              <w:t>经济或金融系统出现重大或系统性风险而主持或指导</w:t>
            </w:r>
            <w:r>
              <w:rPr>
                <w:rFonts w:hint="eastAsia" w:eastAsia="仿宋_GB2312" w:cs="宋体"/>
                <w:b/>
                <w:bCs/>
                <w:spacing w:val="4"/>
                <w:sz w:val="30"/>
                <w:szCs w:val="28"/>
              </w:rPr>
              <w:t>参考实体</w:t>
            </w:r>
            <w:r>
              <w:rPr>
                <w:rFonts w:hint="eastAsia" w:eastAsia="仿宋_GB2312" w:cs="宋体"/>
                <w:spacing w:val="4"/>
                <w:sz w:val="30"/>
                <w:szCs w:val="28"/>
              </w:rPr>
              <w:t>与其</w:t>
            </w:r>
            <w:r>
              <w:rPr>
                <w:rFonts w:hint="eastAsia" w:eastAsia="仿宋_GB2312" w:cs="宋体"/>
                <w:b/>
                <w:bCs/>
                <w:spacing w:val="4"/>
                <w:sz w:val="30"/>
                <w:szCs w:val="28"/>
              </w:rPr>
              <w:t>债务</w:t>
            </w:r>
            <w:r>
              <w:rPr>
                <w:rFonts w:hint="eastAsia" w:eastAsia="仿宋_GB2312" w:cs="宋体"/>
                <w:spacing w:val="4"/>
                <w:sz w:val="30"/>
                <w:szCs w:val="28"/>
              </w:rPr>
              <w:t>的全体</w:t>
            </w:r>
            <w:r>
              <w:rPr>
                <w:rFonts w:hint="eastAsia" w:eastAsia="仿宋_GB2312" w:cs="宋体"/>
                <w:spacing w:val="-3"/>
                <w:sz w:val="30"/>
                <w:szCs w:val="28"/>
              </w:rPr>
              <w:t>债权人就相关</w:t>
            </w:r>
            <w:r>
              <w:rPr>
                <w:rFonts w:hint="eastAsia" w:eastAsia="仿宋_GB2312" w:cs="宋体"/>
                <w:b/>
                <w:bCs/>
                <w:spacing w:val="-3"/>
                <w:sz w:val="30"/>
                <w:szCs w:val="28"/>
              </w:rPr>
              <w:t>债务</w:t>
            </w:r>
            <w:r>
              <w:rPr>
                <w:rFonts w:hint="eastAsia" w:eastAsia="仿宋_GB2312" w:cs="宋体"/>
                <w:spacing w:val="-3"/>
                <w:sz w:val="30"/>
                <w:szCs w:val="28"/>
              </w:rPr>
              <w:t>自愿达成协议或安排，同意</w:t>
            </w:r>
            <w:r>
              <w:rPr>
                <w:rFonts w:hint="eastAsia" w:eastAsia="仿宋_GB2312" w:cs="宋体"/>
                <w:b/>
                <w:bCs/>
                <w:spacing w:val="-3"/>
                <w:sz w:val="30"/>
                <w:szCs w:val="28"/>
              </w:rPr>
              <w:t>参考实体</w:t>
            </w:r>
            <w:r>
              <w:rPr>
                <w:rFonts w:hint="eastAsia" w:eastAsia="仿宋_GB2312" w:cs="宋体"/>
                <w:spacing w:val="-3"/>
                <w:sz w:val="30"/>
                <w:szCs w:val="28"/>
              </w:rPr>
              <w:t>就相关</w:t>
            </w:r>
            <w:r>
              <w:rPr>
                <w:rFonts w:hint="eastAsia" w:eastAsia="仿宋_GB2312" w:cs="宋体"/>
                <w:b/>
                <w:bCs/>
                <w:spacing w:val="-3"/>
                <w:sz w:val="30"/>
                <w:szCs w:val="28"/>
              </w:rPr>
              <w:t>债务</w:t>
            </w:r>
            <w:r>
              <w:rPr>
                <w:rFonts w:hint="eastAsia" w:eastAsia="仿宋_GB2312" w:cs="宋体"/>
                <w:spacing w:val="-3"/>
                <w:sz w:val="30"/>
                <w:szCs w:val="28"/>
              </w:rPr>
              <w:t>采取上述</w:t>
            </w:r>
            <w:r>
              <w:rPr>
                <w:rFonts w:hint="eastAsia" w:eastAsia="仿宋_GB2312" w:cs="宋体"/>
                <w:b/>
                <w:bCs/>
                <w:spacing w:val="-3"/>
                <w:sz w:val="30"/>
                <w:szCs w:val="28"/>
              </w:rPr>
              <w:t>债务</w:t>
            </w:r>
            <w:r>
              <w:rPr>
                <w:rFonts w:hint="eastAsia" w:eastAsia="仿宋_GB2312" w:cs="宋体"/>
                <w:b/>
                <w:bCs/>
                <w:sz w:val="30"/>
                <w:szCs w:val="28"/>
              </w:rPr>
              <w:t>重组</w:t>
            </w:r>
            <w:r>
              <w:rPr>
                <w:rFonts w:hint="eastAsia" w:eastAsia="仿宋_GB2312" w:cs="宋体"/>
                <w:sz w:val="30"/>
                <w:szCs w:val="28"/>
              </w:rPr>
              <w:t>安排中描述的一项或多项安排，则不视为构成一项</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信用事件</w:t>
            </w:r>
            <w:r>
              <w:rPr>
                <w:rFonts w:hint="eastAsia" w:eastAsia="仿宋_GB2312" w:cs="宋体"/>
                <w:sz w:val="30"/>
                <w:szCs w:val="28"/>
              </w:rPr>
              <w:t>。</w:t>
            </w:r>
          </w:p>
        </w:tc>
      </w:tr>
      <w:tr w14:paraId="0DAF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2434" w:type="dxa"/>
            <w:vAlign w:val="center"/>
          </w:tcPr>
          <w:p w14:paraId="52BE4322">
            <w:pPr>
              <w:spacing w:before="185" w:line="560" w:lineRule="exact"/>
              <w:jc w:val="center"/>
              <w:rPr>
                <w:rFonts w:eastAsia="仿宋_GB2312" w:cs="宋体"/>
                <w:sz w:val="30"/>
                <w:szCs w:val="28"/>
              </w:rPr>
            </w:pPr>
            <w:r>
              <w:rPr>
                <w:rFonts w:hint="eastAsia" w:eastAsia="仿宋_GB2312" w:cs="宋体"/>
                <w:sz w:val="30"/>
                <w:szCs w:val="28"/>
              </w:rPr>
              <w:t>起点金额</w:t>
            </w:r>
          </w:p>
        </w:tc>
        <w:tc>
          <w:tcPr>
            <w:tcW w:w="5862" w:type="dxa"/>
            <w:vAlign w:val="center"/>
          </w:tcPr>
          <w:p w14:paraId="4E9B061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中约定的适用于某一</w:t>
            </w:r>
            <w:r>
              <w:rPr>
                <w:rFonts w:hint="eastAsia" w:eastAsia="仿宋_GB2312" w:cs="宋体"/>
                <w:b/>
                <w:sz w:val="30"/>
                <w:szCs w:val="28"/>
              </w:rPr>
              <w:t>信用事件</w:t>
            </w:r>
            <w:r>
              <w:rPr>
                <w:rFonts w:hint="eastAsia" w:eastAsia="仿宋_GB2312" w:cs="宋体"/>
                <w:sz w:val="30"/>
                <w:szCs w:val="28"/>
              </w:rPr>
              <w:t>的金额，相关事件涉及的</w:t>
            </w:r>
            <w:r>
              <w:rPr>
                <w:rFonts w:hint="eastAsia" w:eastAsia="仿宋_GB2312" w:cs="宋体"/>
                <w:b/>
                <w:bCs/>
                <w:sz w:val="30"/>
                <w:szCs w:val="28"/>
              </w:rPr>
              <w:t>债务</w:t>
            </w:r>
            <w:r>
              <w:rPr>
                <w:rFonts w:hint="eastAsia" w:eastAsia="仿宋_GB2312" w:cs="宋体"/>
                <w:sz w:val="30"/>
                <w:szCs w:val="28"/>
              </w:rPr>
              <w:t>或应付款项金额超过该金额，方可构成该</w:t>
            </w:r>
            <w:r>
              <w:rPr>
                <w:rFonts w:hint="eastAsia" w:eastAsia="仿宋_GB2312" w:cs="宋体"/>
                <w:b/>
                <w:bCs/>
                <w:sz w:val="30"/>
                <w:szCs w:val="28"/>
              </w:rPr>
              <w:t>信用事件</w:t>
            </w:r>
            <w:r>
              <w:rPr>
                <w:rFonts w:hint="eastAsia" w:eastAsia="仿宋_GB2312" w:cs="宋体"/>
                <w:sz w:val="30"/>
                <w:szCs w:val="28"/>
              </w:rPr>
              <w:t>。</w:t>
            </w:r>
          </w:p>
        </w:tc>
      </w:tr>
      <w:tr w14:paraId="0318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CD10E8C">
            <w:pPr>
              <w:spacing w:before="185" w:line="560" w:lineRule="exact"/>
              <w:jc w:val="center"/>
              <w:rPr>
                <w:rFonts w:eastAsia="仿宋_GB2312" w:cs="宋体"/>
                <w:kern w:val="0"/>
                <w:sz w:val="30"/>
                <w:szCs w:val="28"/>
              </w:rPr>
            </w:pPr>
            <w:r>
              <w:rPr>
                <w:rFonts w:hint="eastAsia" w:eastAsia="仿宋_GB2312" w:cs="宋体"/>
                <w:sz w:val="30"/>
                <w:szCs w:val="28"/>
              </w:rPr>
              <w:t>宽限期</w:t>
            </w:r>
          </w:p>
        </w:tc>
        <w:tc>
          <w:tcPr>
            <w:tcW w:w="5862" w:type="dxa"/>
            <w:vAlign w:val="center"/>
          </w:tcPr>
          <w:p w14:paraId="6DF3AE1F">
            <w:pPr>
              <w:spacing w:before="185" w:line="560" w:lineRule="exact"/>
              <w:rPr>
                <w:rFonts w:eastAsia="仿宋_GB2312" w:cs="宋体"/>
                <w:kern w:val="0"/>
                <w:sz w:val="30"/>
                <w:szCs w:val="28"/>
              </w:rPr>
            </w:pPr>
            <w:r>
              <w:rPr>
                <w:rFonts w:hint="eastAsia" w:eastAsia="仿宋_GB2312" w:cs="宋体"/>
                <w:spacing w:val="-4"/>
                <w:sz w:val="30"/>
                <w:szCs w:val="28"/>
              </w:rPr>
              <w:t>指对某一</w:t>
            </w:r>
            <w:r>
              <w:rPr>
                <w:rFonts w:hint="eastAsia" w:eastAsia="仿宋_GB2312" w:cs="宋体"/>
                <w:b/>
                <w:bCs/>
                <w:spacing w:val="-4"/>
                <w:sz w:val="30"/>
                <w:szCs w:val="28"/>
              </w:rPr>
              <w:t>债务</w:t>
            </w:r>
            <w:r>
              <w:rPr>
                <w:rFonts w:hint="eastAsia" w:eastAsia="仿宋_GB2312" w:cs="宋体"/>
                <w:spacing w:val="-4"/>
                <w:sz w:val="30"/>
                <w:szCs w:val="28"/>
              </w:rPr>
              <w:t>的付款宽限期，既可在适用于该</w:t>
            </w:r>
            <w:r>
              <w:rPr>
                <w:rFonts w:hint="eastAsia" w:eastAsia="仿宋_GB2312" w:cs="宋体"/>
                <w:b/>
                <w:bCs/>
                <w:spacing w:val="-4"/>
                <w:sz w:val="30"/>
                <w:szCs w:val="28"/>
              </w:rPr>
              <w:t>债务</w:t>
            </w:r>
            <w:r>
              <w:rPr>
                <w:rFonts w:hint="eastAsia" w:eastAsia="仿宋_GB2312" w:cs="宋体"/>
                <w:spacing w:val="-4"/>
                <w:sz w:val="30"/>
                <w:szCs w:val="28"/>
              </w:rPr>
              <w:t>的基础法律文件中约定，也可</w:t>
            </w:r>
            <w:r>
              <w:rPr>
                <w:rFonts w:hint="eastAsia" w:eastAsia="仿宋_GB2312" w:cs="宋体"/>
                <w:sz w:val="30"/>
                <w:szCs w:val="28"/>
              </w:rPr>
              <w:t>由</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中进行约定。</w:t>
            </w:r>
          </w:p>
          <w:p w14:paraId="39E6A063">
            <w:pPr>
              <w:spacing w:before="185" w:line="560" w:lineRule="exact"/>
              <w:rPr>
                <w:rFonts w:eastAsia="仿宋_GB2312" w:cs="宋体"/>
                <w:kern w:val="0"/>
                <w:sz w:val="30"/>
                <w:szCs w:val="28"/>
              </w:rPr>
            </w:pPr>
            <w:r>
              <w:rPr>
                <w:rFonts w:hint="eastAsia" w:eastAsia="仿宋_GB2312" w:cs="宋体"/>
                <w:sz w:val="30"/>
                <w:szCs w:val="28"/>
              </w:rPr>
              <w:t>若以该</w:t>
            </w:r>
            <w:r>
              <w:rPr>
                <w:rFonts w:hint="eastAsia" w:eastAsia="仿宋_GB2312" w:cs="宋体"/>
                <w:b/>
                <w:sz w:val="30"/>
                <w:szCs w:val="28"/>
              </w:rPr>
              <w:t>债务</w:t>
            </w:r>
            <w:r>
              <w:rPr>
                <w:rFonts w:hint="eastAsia" w:eastAsia="仿宋_GB2312" w:cs="宋体"/>
                <w:sz w:val="30"/>
                <w:szCs w:val="28"/>
              </w:rPr>
              <w:t>基础法律文件中约定的付款宽限期作为该债务的宽限期，则该付款宽限期在相关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签署日</w:t>
            </w:r>
            <w:r>
              <w:rPr>
                <w:rFonts w:hint="eastAsia" w:eastAsia="仿宋_GB2312" w:cs="宋体"/>
                <w:sz w:val="30"/>
                <w:szCs w:val="28"/>
              </w:rPr>
              <w:t>应已存在，除非该</w:t>
            </w:r>
            <w:r>
              <w:rPr>
                <w:rFonts w:hint="eastAsia" w:eastAsia="仿宋_GB2312" w:cs="宋体"/>
                <w:b/>
                <w:sz w:val="30"/>
                <w:szCs w:val="28"/>
              </w:rPr>
              <w:t>债务</w:t>
            </w:r>
            <w:r>
              <w:rPr>
                <w:rFonts w:hint="eastAsia" w:eastAsia="仿宋_GB2312" w:cs="宋体"/>
                <w:sz w:val="30"/>
                <w:szCs w:val="28"/>
              </w:rPr>
              <w:t>发生在</w:t>
            </w:r>
            <w:r>
              <w:rPr>
                <w:rFonts w:hint="eastAsia" w:eastAsia="仿宋_GB2312" w:cs="宋体"/>
                <w:b/>
                <w:sz w:val="30"/>
                <w:szCs w:val="28"/>
              </w:rPr>
              <w:t>签署日</w:t>
            </w:r>
            <w:r>
              <w:rPr>
                <w:rFonts w:hint="eastAsia" w:eastAsia="仿宋_GB2312" w:cs="宋体"/>
                <w:sz w:val="30"/>
                <w:szCs w:val="28"/>
              </w:rPr>
              <w:t>之后，在此情况下，则以该债务发生日适用的基础法律文件中约定的付款宽限期为准。</w:t>
            </w:r>
          </w:p>
          <w:p w14:paraId="17E343E6">
            <w:pPr>
              <w:spacing w:before="185" w:line="560" w:lineRule="exact"/>
              <w:rPr>
                <w:rFonts w:eastAsia="仿宋_GB2312" w:cs="宋体"/>
                <w:sz w:val="30"/>
                <w:szCs w:val="28"/>
              </w:rPr>
            </w:pPr>
            <w:r>
              <w:rPr>
                <w:rFonts w:hint="eastAsia" w:eastAsia="仿宋_GB2312" w:cs="宋体"/>
                <w:sz w:val="30"/>
                <w:szCs w:val="28"/>
              </w:rPr>
              <w:t>若上述基础法律文件中约定了付款宽限期，而</w:t>
            </w:r>
            <w:r>
              <w:rPr>
                <w:rFonts w:hint="eastAsia" w:eastAsia="仿宋_GB2312" w:cs="宋体"/>
                <w:b/>
                <w:sz w:val="30"/>
                <w:szCs w:val="28"/>
              </w:rPr>
              <w:t>交易双方</w:t>
            </w:r>
            <w:r>
              <w:rPr>
                <w:rFonts w:hint="eastAsia" w:eastAsia="仿宋_GB2312" w:cs="宋体"/>
                <w:sz w:val="30"/>
                <w:szCs w:val="28"/>
              </w:rPr>
              <w:t>同时在</w:t>
            </w:r>
            <w:r>
              <w:rPr>
                <w:rFonts w:hint="eastAsia" w:eastAsia="仿宋_GB2312" w:cs="宋体"/>
                <w:b/>
                <w:bCs/>
                <w:spacing w:val="-4"/>
                <w:sz w:val="30"/>
                <w:szCs w:val="28"/>
              </w:rPr>
              <w:t>本确认书</w:t>
            </w:r>
            <w:r>
              <w:rPr>
                <w:rFonts w:hint="eastAsia" w:eastAsia="仿宋_GB2312" w:cs="宋体"/>
                <w:sz w:val="30"/>
                <w:szCs w:val="28"/>
              </w:rPr>
              <w:t>中列明了宽限期的期限，则</w:t>
            </w:r>
            <w:r>
              <w:rPr>
                <w:rFonts w:hint="eastAsia" w:eastAsia="仿宋_GB2312" w:cs="宋体"/>
                <w:b/>
                <w:bCs/>
                <w:spacing w:val="-4"/>
                <w:sz w:val="30"/>
                <w:szCs w:val="28"/>
              </w:rPr>
              <w:t>本确认书</w:t>
            </w:r>
            <w:r>
              <w:rPr>
                <w:rFonts w:hint="eastAsia" w:eastAsia="仿宋_GB2312" w:cs="宋体"/>
                <w:sz w:val="30"/>
                <w:szCs w:val="28"/>
              </w:rPr>
              <w:t>中列明的期限为适用的宽限期。</w:t>
            </w:r>
          </w:p>
          <w:p w14:paraId="70C6CE7F">
            <w:pPr>
              <w:spacing w:before="185" w:line="560" w:lineRule="exact"/>
              <w:rPr>
                <w:rFonts w:eastAsia="仿宋_GB2312" w:cs="宋体"/>
                <w:kern w:val="0"/>
                <w:sz w:val="30"/>
                <w:szCs w:val="28"/>
              </w:rPr>
            </w:pPr>
            <w:r>
              <w:rPr>
                <w:rFonts w:hint="eastAsia" w:eastAsia="仿宋_GB2312" w:cs="宋体"/>
                <w:kern w:val="0"/>
                <w:sz w:val="30"/>
                <w:szCs w:val="28"/>
              </w:rPr>
              <w:t>若产生或构成相关债务的基础法律文件中未约定付款宽限期，交易双方在相关交易有效约定中也未列明宽限期的期限，则相关的宽限期默认为</w:t>
            </w:r>
            <w:r>
              <w:rPr>
                <w:rFonts w:eastAsia="仿宋_GB2312" w:cs="宋体"/>
                <w:kern w:val="0"/>
                <w:sz w:val="30"/>
                <w:szCs w:val="28"/>
              </w:rPr>
              <w:t>3</w:t>
            </w:r>
            <w:r>
              <w:rPr>
                <w:rFonts w:hint="eastAsia" w:eastAsia="仿宋_GB2312" w:cs="宋体"/>
                <w:kern w:val="0"/>
                <w:sz w:val="30"/>
                <w:szCs w:val="28"/>
              </w:rPr>
              <w:t>个交易日。</w:t>
            </w:r>
          </w:p>
        </w:tc>
      </w:tr>
      <w:tr w14:paraId="7F32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2434" w:type="dxa"/>
            <w:vAlign w:val="center"/>
          </w:tcPr>
          <w:p w14:paraId="0107C0E0">
            <w:pPr>
              <w:spacing w:before="185" w:line="560" w:lineRule="exact"/>
              <w:jc w:val="center"/>
              <w:rPr>
                <w:rFonts w:eastAsia="仿宋_GB2312" w:cs="宋体"/>
                <w:spacing w:val="-4"/>
                <w:kern w:val="0"/>
                <w:sz w:val="30"/>
                <w:szCs w:val="28"/>
              </w:rPr>
            </w:pPr>
            <w:r>
              <w:rPr>
                <w:rFonts w:hint="eastAsia" w:eastAsia="仿宋_GB2312" w:cs="宋体"/>
                <w:spacing w:val="-4"/>
                <w:sz w:val="30"/>
                <w:szCs w:val="28"/>
              </w:rPr>
              <w:t>潜在支付违约</w:t>
            </w:r>
          </w:p>
        </w:tc>
        <w:tc>
          <w:tcPr>
            <w:tcW w:w="5862" w:type="dxa"/>
            <w:vAlign w:val="center"/>
          </w:tcPr>
          <w:p w14:paraId="1F915984">
            <w:pPr>
              <w:spacing w:before="185" w:line="560" w:lineRule="exact"/>
              <w:rPr>
                <w:rFonts w:eastAsia="仿宋_GB2312" w:cs="宋体"/>
                <w:spacing w:val="-4"/>
                <w:kern w:val="0"/>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参考实体</w:t>
            </w:r>
            <w:r>
              <w:rPr>
                <w:rFonts w:hint="eastAsia" w:eastAsia="仿宋_GB2312" w:cs="宋体"/>
                <w:spacing w:val="-4"/>
                <w:sz w:val="30"/>
                <w:szCs w:val="28"/>
              </w:rPr>
              <w:t>相关</w:t>
            </w:r>
            <w:r>
              <w:rPr>
                <w:rFonts w:hint="eastAsia" w:eastAsia="仿宋_GB2312" w:cs="宋体"/>
                <w:b/>
                <w:bCs/>
                <w:spacing w:val="-4"/>
                <w:sz w:val="30"/>
                <w:szCs w:val="28"/>
              </w:rPr>
              <w:t>债务</w:t>
            </w:r>
            <w:r>
              <w:rPr>
                <w:rFonts w:hint="eastAsia" w:eastAsia="仿宋_GB2312" w:cs="宋体"/>
                <w:spacing w:val="-4"/>
                <w:sz w:val="30"/>
                <w:szCs w:val="28"/>
              </w:rPr>
              <w:t>项下约定了</w:t>
            </w:r>
            <w:r>
              <w:rPr>
                <w:rFonts w:hint="eastAsia" w:eastAsia="仿宋_GB2312" w:cs="宋体"/>
                <w:b/>
                <w:bCs/>
                <w:spacing w:val="-4"/>
                <w:sz w:val="30"/>
                <w:szCs w:val="28"/>
              </w:rPr>
              <w:t>宽限期</w:t>
            </w:r>
            <w:r>
              <w:rPr>
                <w:rFonts w:hint="eastAsia" w:eastAsia="仿宋_GB2312" w:cs="宋体"/>
                <w:spacing w:val="-4"/>
                <w:sz w:val="30"/>
                <w:szCs w:val="28"/>
              </w:rPr>
              <w:t>或其他构成</w:t>
            </w:r>
            <w:r>
              <w:rPr>
                <w:rFonts w:hint="eastAsia" w:eastAsia="仿宋_GB2312" w:cs="宋体"/>
                <w:b/>
                <w:bCs/>
                <w:spacing w:val="-4"/>
                <w:sz w:val="30"/>
                <w:szCs w:val="28"/>
              </w:rPr>
              <w:t>支付违约</w:t>
            </w:r>
            <w:r>
              <w:rPr>
                <w:rFonts w:hint="eastAsia" w:eastAsia="仿宋_GB2312" w:cs="宋体"/>
                <w:spacing w:val="-4"/>
                <w:sz w:val="30"/>
                <w:szCs w:val="28"/>
              </w:rPr>
              <w:t>的特定条件的情形下，</w:t>
            </w:r>
            <w:r>
              <w:rPr>
                <w:rFonts w:hint="eastAsia" w:eastAsia="仿宋_GB2312" w:cs="宋体"/>
                <w:b/>
                <w:bCs/>
                <w:spacing w:val="-4"/>
                <w:sz w:val="30"/>
                <w:szCs w:val="28"/>
              </w:rPr>
              <w:t>参考实体</w:t>
            </w:r>
            <w:r>
              <w:rPr>
                <w:rFonts w:hint="eastAsia" w:eastAsia="仿宋_GB2312" w:cs="宋体"/>
                <w:spacing w:val="-4"/>
                <w:sz w:val="30"/>
                <w:szCs w:val="28"/>
              </w:rPr>
              <w:t>未在该</w:t>
            </w:r>
            <w:r>
              <w:rPr>
                <w:rFonts w:hint="eastAsia" w:eastAsia="仿宋_GB2312" w:cs="宋体"/>
                <w:b/>
                <w:bCs/>
                <w:spacing w:val="-4"/>
                <w:sz w:val="30"/>
                <w:szCs w:val="28"/>
              </w:rPr>
              <w:t>债务</w:t>
            </w:r>
            <w:r>
              <w:rPr>
                <w:rFonts w:hint="eastAsia" w:eastAsia="仿宋_GB2312" w:cs="宋体"/>
                <w:spacing w:val="-4"/>
                <w:sz w:val="30"/>
                <w:szCs w:val="28"/>
              </w:rPr>
              <w:t>的支付日全额履行付款义务、但仍处于相关</w:t>
            </w:r>
            <w:r>
              <w:rPr>
                <w:rFonts w:hint="eastAsia" w:eastAsia="仿宋_GB2312" w:cs="宋体"/>
                <w:b/>
                <w:bCs/>
                <w:spacing w:val="-4"/>
                <w:sz w:val="30"/>
                <w:szCs w:val="28"/>
              </w:rPr>
              <w:t>宽限期</w:t>
            </w:r>
            <w:r>
              <w:rPr>
                <w:rFonts w:hint="eastAsia" w:eastAsia="仿宋_GB2312" w:cs="宋体"/>
                <w:spacing w:val="-4"/>
                <w:sz w:val="30"/>
                <w:szCs w:val="28"/>
              </w:rPr>
              <w:t>内或相关特定条件尚未成就时的违约状态。</w:t>
            </w:r>
          </w:p>
        </w:tc>
      </w:tr>
      <w:tr w14:paraId="5BA3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434" w:type="dxa"/>
            <w:vAlign w:val="center"/>
          </w:tcPr>
          <w:p w14:paraId="2E9B13FC">
            <w:pPr>
              <w:spacing w:before="185" w:line="560" w:lineRule="exact"/>
              <w:jc w:val="center"/>
              <w:rPr>
                <w:rFonts w:eastAsia="仿宋_GB2312" w:cs="宋体"/>
                <w:kern w:val="0"/>
                <w:sz w:val="30"/>
                <w:szCs w:val="28"/>
              </w:rPr>
            </w:pPr>
            <w:r>
              <w:rPr>
                <w:rFonts w:hint="eastAsia" w:eastAsia="仿宋_GB2312" w:cs="宋体"/>
                <w:spacing w:val="-4"/>
                <w:sz w:val="30"/>
                <w:szCs w:val="28"/>
              </w:rPr>
              <w:t>宽限期顺延</w:t>
            </w:r>
          </w:p>
        </w:tc>
        <w:tc>
          <w:tcPr>
            <w:tcW w:w="5862" w:type="dxa"/>
            <w:vAlign w:val="center"/>
          </w:tcPr>
          <w:p w14:paraId="07E559F9">
            <w:pPr>
              <w:spacing w:before="185" w:line="560" w:lineRule="exact"/>
              <w:rPr>
                <w:rFonts w:eastAsia="仿宋_GB2312" w:cs="宋体"/>
                <w:spacing w:val="-4"/>
                <w:kern w:val="0"/>
                <w:sz w:val="30"/>
                <w:szCs w:val="28"/>
              </w:rPr>
            </w:pPr>
            <w:r>
              <w:rPr>
                <w:rFonts w:hint="eastAsia" w:eastAsia="仿宋_GB2312" w:cs="宋体"/>
                <w:spacing w:val="-4"/>
                <w:sz w:val="30"/>
                <w:szCs w:val="28"/>
              </w:rPr>
              <w:t>若</w:t>
            </w:r>
            <w:r>
              <w:rPr>
                <w:rFonts w:hint="eastAsia" w:eastAsia="仿宋_GB2312" w:cs="宋体"/>
                <w:b/>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中选择适用“宽限期顺延”，在一项</w:t>
            </w:r>
            <w:r>
              <w:rPr>
                <w:rFonts w:hint="eastAsia" w:eastAsia="仿宋_GB2312" w:cs="宋体"/>
                <w:b/>
                <w:spacing w:val="-4"/>
                <w:sz w:val="30"/>
                <w:szCs w:val="28"/>
              </w:rPr>
              <w:t>潜在支付违约</w:t>
            </w:r>
            <w:r>
              <w:rPr>
                <w:rFonts w:hint="eastAsia" w:eastAsia="仿宋_GB2312" w:cs="宋体"/>
                <w:spacing w:val="-4"/>
                <w:sz w:val="30"/>
                <w:szCs w:val="28"/>
              </w:rPr>
              <w:t>发生于</w:t>
            </w:r>
            <w:r>
              <w:rPr>
                <w:rFonts w:hint="eastAsia" w:eastAsia="仿宋_GB2312" w:cs="宋体"/>
                <w:b/>
                <w:spacing w:val="-4"/>
                <w:sz w:val="30"/>
                <w:szCs w:val="28"/>
              </w:rPr>
              <w:t>约定到期日</w:t>
            </w:r>
            <w:r>
              <w:rPr>
                <w:rFonts w:hint="eastAsia" w:eastAsia="仿宋_GB2312" w:cs="宋体"/>
                <w:spacing w:val="-4"/>
                <w:sz w:val="30"/>
                <w:szCs w:val="28"/>
              </w:rPr>
              <w:t>或之前，即使适用的</w:t>
            </w:r>
            <w:r>
              <w:rPr>
                <w:rFonts w:hint="eastAsia" w:eastAsia="仿宋_GB2312" w:cs="宋体"/>
                <w:b/>
                <w:spacing w:val="-4"/>
                <w:sz w:val="30"/>
                <w:szCs w:val="28"/>
              </w:rPr>
              <w:t>宽限期</w:t>
            </w:r>
            <w:r>
              <w:rPr>
                <w:rFonts w:hint="eastAsia" w:eastAsia="仿宋_GB2312" w:cs="宋体"/>
                <w:spacing w:val="-4"/>
                <w:sz w:val="30"/>
                <w:szCs w:val="28"/>
              </w:rPr>
              <w:t>到期之日晚于</w:t>
            </w:r>
            <w:r>
              <w:rPr>
                <w:rFonts w:hint="eastAsia" w:eastAsia="仿宋_GB2312" w:cs="宋体"/>
                <w:b/>
                <w:spacing w:val="-4"/>
                <w:sz w:val="30"/>
                <w:szCs w:val="28"/>
              </w:rPr>
              <w:t>约定到期日</w:t>
            </w:r>
            <w:r>
              <w:rPr>
                <w:rFonts w:hint="eastAsia" w:eastAsia="仿宋_GB2312" w:cs="宋体"/>
                <w:spacing w:val="-4"/>
                <w:sz w:val="30"/>
                <w:szCs w:val="28"/>
              </w:rPr>
              <w:t>，相关</w:t>
            </w:r>
            <w:r>
              <w:rPr>
                <w:rFonts w:hint="eastAsia" w:eastAsia="仿宋_GB2312" w:cs="宋体"/>
                <w:b/>
                <w:spacing w:val="-4"/>
                <w:sz w:val="30"/>
                <w:szCs w:val="28"/>
              </w:rPr>
              <w:t>债务</w:t>
            </w:r>
            <w:r>
              <w:rPr>
                <w:rFonts w:hint="eastAsia" w:eastAsia="仿宋_GB2312" w:cs="宋体"/>
                <w:spacing w:val="-4"/>
                <w:sz w:val="30"/>
                <w:szCs w:val="28"/>
              </w:rPr>
              <w:t>仍然适用该</w:t>
            </w:r>
            <w:r>
              <w:rPr>
                <w:rFonts w:hint="eastAsia" w:eastAsia="仿宋_GB2312" w:cs="宋体"/>
                <w:b/>
                <w:spacing w:val="-4"/>
                <w:sz w:val="30"/>
                <w:szCs w:val="28"/>
              </w:rPr>
              <w:t>宽限期</w:t>
            </w:r>
            <w:r>
              <w:rPr>
                <w:rFonts w:hint="eastAsia" w:eastAsia="仿宋_GB2312" w:cs="宋体"/>
                <w:spacing w:val="-4"/>
                <w:sz w:val="30"/>
                <w:szCs w:val="28"/>
              </w:rPr>
              <w:t>，不受</w:t>
            </w:r>
            <w:r>
              <w:rPr>
                <w:rFonts w:hint="eastAsia" w:eastAsia="仿宋_GB2312" w:cs="宋体"/>
                <w:b/>
                <w:spacing w:val="-4"/>
                <w:sz w:val="30"/>
                <w:szCs w:val="28"/>
              </w:rPr>
              <w:t>约定到期日</w:t>
            </w:r>
            <w:r>
              <w:rPr>
                <w:rFonts w:hint="eastAsia" w:eastAsia="仿宋_GB2312" w:cs="宋体"/>
                <w:spacing w:val="-4"/>
                <w:sz w:val="30"/>
                <w:szCs w:val="28"/>
              </w:rPr>
              <w:t>的影响。该</w:t>
            </w:r>
            <w:r>
              <w:rPr>
                <w:rFonts w:hint="eastAsia" w:eastAsia="仿宋_GB2312" w:cs="宋体"/>
                <w:b/>
                <w:spacing w:val="-4"/>
                <w:sz w:val="30"/>
                <w:szCs w:val="28"/>
              </w:rPr>
              <w:t>宽限期</w:t>
            </w:r>
            <w:r>
              <w:rPr>
                <w:rFonts w:hint="eastAsia" w:eastAsia="仿宋_GB2312" w:cs="宋体"/>
                <w:spacing w:val="-4"/>
                <w:sz w:val="30"/>
                <w:szCs w:val="28"/>
              </w:rPr>
              <w:t>到期之日为信用保护合约的到期日。</w:t>
            </w:r>
          </w:p>
        </w:tc>
      </w:tr>
      <w:tr w14:paraId="71B8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B1B5417">
            <w:pPr>
              <w:spacing w:before="185" w:line="560" w:lineRule="exact"/>
              <w:jc w:val="center"/>
              <w:rPr>
                <w:rFonts w:eastAsia="仿宋_GB2312" w:cs="宋体"/>
                <w:sz w:val="30"/>
                <w:szCs w:val="28"/>
              </w:rPr>
            </w:pPr>
            <w:r>
              <w:rPr>
                <w:rFonts w:hint="eastAsia" w:eastAsia="仿宋_GB2312" w:cs="宋体"/>
                <w:sz w:val="30"/>
                <w:szCs w:val="28"/>
              </w:rPr>
              <w:t>结算条件</w:t>
            </w:r>
          </w:p>
        </w:tc>
        <w:tc>
          <w:tcPr>
            <w:tcW w:w="5862" w:type="dxa"/>
            <w:vAlign w:val="center"/>
          </w:tcPr>
          <w:p w14:paraId="587C901C">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交易双方</w:t>
            </w:r>
            <w:r>
              <w:rPr>
                <w:rFonts w:hint="eastAsia" w:eastAsia="仿宋_GB2312" w:cs="宋体"/>
                <w:sz w:val="30"/>
                <w:szCs w:val="28"/>
              </w:rPr>
              <w:t>在按照适用的</w:t>
            </w:r>
            <w:r>
              <w:rPr>
                <w:rFonts w:hint="eastAsia" w:eastAsia="仿宋_GB2312" w:cs="宋体"/>
                <w:b/>
                <w:bCs/>
                <w:sz w:val="30"/>
                <w:szCs w:val="28"/>
              </w:rPr>
              <w:t>结算方式</w:t>
            </w:r>
            <w:r>
              <w:rPr>
                <w:rFonts w:hint="eastAsia" w:eastAsia="仿宋_GB2312" w:cs="宋体"/>
                <w:sz w:val="30"/>
                <w:szCs w:val="28"/>
              </w:rPr>
              <w:t>履行相关结算义务之前需要满足的条件。</w:t>
            </w:r>
          </w:p>
        </w:tc>
      </w:tr>
      <w:tr w14:paraId="4825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3DB398E">
            <w:pPr>
              <w:spacing w:before="185" w:line="560" w:lineRule="exact"/>
              <w:jc w:val="center"/>
              <w:rPr>
                <w:rFonts w:eastAsia="仿宋_GB2312" w:cs="宋体"/>
                <w:sz w:val="30"/>
                <w:szCs w:val="28"/>
              </w:rPr>
            </w:pPr>
            <w:r>
              <w:rPr>
                <w:rFonts w:hint="eastAsia" w:eastAsia="仿宋_GB2312" w:cs="宋体"/>
                <w:sz w:val="30"/>
                <w:szCs w:val="28"/>
              </w:rPr>
              <w:t>现金结算日</w:t>
            </w:r>
          </w:p>
        </w:tc>
        <w:tc>
          <w:tcPr>
            <w:tcW w:w="5862" w:type="dxa"/>
            <w:vAlign w:val="center"/>
          </w:tcPr>
          <w:p w14:paraId="25A6CD83">
            <w:pPr>
              <w:spacing w:line="560" w:lineRule="exact"/>
              <w:ind w:right="19" w:rightChars="9"/>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信用保护卖方</w:t>
            </w:r>
            <w:r>
              <w:rPr>
                <w:rFonts w:hint="eastAsia" w:eastAsia="仿宋_GB2312" w:cs="宋体"/>
                <w:sz w:val="30"/>
                <w:szCs w:val="28"/>
              </w:rPr>
              <w:t>应向</w:t>
            </w:r>
            <w:r>
              <w:rPr>
                <w:rFonts w:hint="eastAsia" w:eastAsia="仿宋_GB2312" w:cs="宋体"/>
                <w:b/>
                <w:sz w:val="30"/>
                <w:szCs w:val="28"/>
              </w:rPr>
              <w:t>信用保护买方</w:t>
            </w:r>
            <w:r>
              <w:rPr>
                <w:rFonts w:hint="eastAsia" w:eastAsia="仿宋_GB2312" w:cs="宋体"/>
                <w:sz w:val="30"/>
                <w:szCs w:val="28"/>
              </w:rPr>
              <w:t>支付</w:t>
            </w:r>
            <w:r>
              <w:rPr>
                <w:rFonts w:hint="eastAsia" w:eastAsia="仿宋_GB2312" w:cs="宋体"/>
                <w:b/>
                <w:sz w:val="30"/>
                <w:szCs w:val="28"/>
              </w:rPr>
              <w:t>现金结算</w:t>
            </w:r>
            <w:r>
              <w:rPr>
                <w:rFonts w:hint="eastAsia" w:eastAsia="仿宋_GB2312" w:cs="宋体"/>
                <w:sz w:val="30"/>
                <w:szCs w:val="28"/>
              </w:rPr>
              <w:t>金额的日期。</w:t>
            </w:r>
          </w:p>
        </w:tc>
      </w:tr>
      <w:tr w14:paraId="059B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355A0F">
            <w:pPr>
              <w:spacing w:before="185" w:line="560" w:lineRule="exact"/>
              <w:jc w:val="center"/>
              <w:rPr>
                <w:rFonts w:eastAsia="仿宋_GB2312" w:cs="宋体"/>
                <w:sz w:val="30"/>
                <w:szCs w:val="28"/>
              </w:rPr>
            </w:pPr>
            <w:r>
              <w:rPr>
                <w:rFonts w:hint="eastAsia" w:eastAsia="仿宋_GB2312" w:cs="宋体"/>
                <w:sz w:val="30"/>
                <w:szCs w:val="28"/>
              </w:rPr>
              <w:t>结算货币</w:t>
            </w:r>
          </w:p>
        </w:tc>
        <w:tc>
          <w:tcPr>
            <w:tcW w:w="5862" w:type="dxa"/>
            <w:vAlign w:val="center"/>
          </w:tcPr>
          <w:p w14:paraId="32A00228">
            <w:pPr>
              <w:spacing w:before="185" w:line="560" w:lineRule="exact"/>
              <w:rPr>
                <w:rFonts w:eastAsia="仿宋_GB2312" w:cs="宋体"/>
                <w:sz w:val="30"/>
                <w:szCs w:val="28"/>
              </w:rPr>
            </w:pPr>
            <w:r>
              <w:rPr>
                <w:rFonts w:hint="eastAsia" w:eastAsia="仿宋_GB2312" w:cs="宋体"/>
                <w:sz w:val="30"/>
                <w:szCs w:val="28"/>
              </w:rPr>
              <w:t>除非</w:t>
            </w:r>
            <w:r>
              <w:rPr>
                <w:rFonts w:hint="eastAsia" w:eastAsia="仿宋_GB2312" w:cs="宋体"/>
                <w:b/>
                <w:bCs/>
                <w:sz w:val="30"/>
                <w:szCs w:val="28"/>
              </w:rPr>
              <w:t>交易双方</w:t>
            </w:r>
            <w:r>
              <w:rPr>
                <w:rFonts w:hint="eastAsia" w:eastAsia="仿宋_GB2312" w:cs="宋体"/>
                <w:sz w:val="30"/>
                <w:szCs w:val="28"/>
              </w:rPr>
              <w:t>另行约定，否则为人民币。</w:t>
            </w:r>
          </w:p>
        </w:tc>
      </w:tr>
      <w:tr w14:paraId="37E3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39EA56">
            <w:pPr>
              <w:spacing w:before="185" w:line="560" w:lineRule="exact"/>
              <w:jc w:val="center"/>
              <w:rPr>
                <w:rFonts w:eastAsia="仿宋_GB2312" w:cs="宋体"/>
                <w:sz w:val="30"/>
                <w:szCs w:val="28"/>
              </w:rPr>
            </w:pPr>
            <w:r>
              <w:rPr>
                <w:rFonts w:hint="eastAsia" w:eastAsia="仿宋_GB2312" w:cs="宋体"/>
                <w:sz w:val="30"/>
                <w:szCs w:val="28"/>
              </w:rPr>
              <w:t>信用事件决定日</w:t>
            </w:r>
          </w:p>
        </w:tc>
        <w:tc>
          <w:tcPr>
            <w:tcW w:w="5862" w:type="dxa"/>
            <w:vAlign w:val="center"/>
          </w:tcPr>
          <w:p w14:paraId="3F92BB91">
            <w:pPr>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（若适用）均有效送达且</w:t>
            </w:r>
            <w:r>
              <w:rPr>
                <w:rFonts w:hint="eastAsia" w:eastAsia="仿宋_GB2312" w:cs="宋体"/>
                <w:b/>
                <w:bCs/>
                <w:sz w:val="30"/>
                <w:szCs w:val="28"/>
              </w:rPr>
              <w:t>交易双方</w:t>
            </w:r>
            <w:r>
              <w:rPr>
                <w:rFonts w:hint="eastAsia" w:eastAsia="仿宋_GB2312" w:cs="宋体"/>
                <w:sz w:val="30"/>
                <w:szCs w:val="28"/>
              </w:rPr>
              <w:t>达成一致的</w:t>
            </w:r>
            <w:r>
              <w:rPr>
                <w:rFonts w:hint="eastAsia" w:eastAsia="仿宋_GB2312" w:cs="宋体"/>
                <w:b/>
                <w:bCs/>
                <w:sz w:val="30"/>
                <w:szCs w:val="28"/>
              </w:rPr>
              <w:t>交易日</w:t>
            </w:r>
            <w:r>
              <w:rPr>
                <w:rFonts w:hint="eastAsia" w:eastAsia="仿宋_GB2312" w:cs="宋体"/>
                <w:sz w:val="30"/>
                <w:szCs w:val="28"/>
              </w:rPr>
              <w:t>。</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（若适用）的有效送达期间，始于该交易的起始日（含），止于该交易到期日之后的第【</w:t>
            </w:r>
            <w:r>
              <w:rPr>
                <w:rFonts w:eastAsia="仿宋_GB2312" w:cs="宋体"/>
                <w:sz w:val="30"/>
                <w:szCs w:val="28"/>
              </w:rPr>
              <w:t>10</w:t>
            </w:r>
            <w:r>
              <w:rPr>
                <w:rFonts w:hint="eastAsia" w:eastAsia="仿宋_GB2312" w:cs="宋体"/>
                <w:sz w:val="30"/>
                <w:szCs w:val="28"/>
              </w:rPr>
              <w:t>】个交易日（含）。</w:t>
            </w:r>
          </w:p>
        </w:tc>
      </w:tr>
      <w:tr w14:paraId="466F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4D0D5D0">
            <w:pPr>
              <w:spacing w:before="185" w:line="560" w:lineRule="exact"/>
              <w:jc w:val="center"/>
              <w:rPr>
                <w:rFonts w:eastAsia="仿宋_GB2312" w:cs="宋体"/>
                <w:sz w:val="30"/>
                <w:szCs w:val="28"/>
              </w:rPr>
            </w:pPr>
            <w:r>
              <w:rPr>
                <w:rFonts w:hint="eastAsia" w:eastAsia="仿宋_GB2312" w:cs="宋体"/>
                <w:sz w:val="30"/>
                <w:szCs w:val="28"/>
              </w:rPr>
              <w:t>公共信息</w:t>
            </w:r>
          </w:p>
        </w:tc>
        <w:tc>
          <w:tcPr>
            <w:tcW w:w="5862" w:type="dxa"/>
            <w:vAlign w:val="center"/>
          </w:tcPr>
          <w:p w14:paraId="4B778E2A">
            <w:pPr>
              <w:spacing w:before="185" w:line="560" w:lineRule="exact"/>
              <w:rPr>
                <w:rFonts w:eastAsia="仿宋_GB2312" w:cs="宋体"/>
                <w:sz w:val="30"/>
                <w:szCs w:val="28"/>
              </w:rPr>
            </w:pPr>
            <w:r>
              <w:rPr>
                <w:rFonts w:hint="eastAsia" w:eastAsia="仿宋_GB2312" w:cs="宋体"/>
                <w:sz w:val="30"/>
                <w:szCs w:val="28"/>
              </w:rPr>
              <w:t>指可合理证明或确认</w:t>
            </w:r>
            <w:r>
              <w:rPr>
                <w:rFonts w:hint="eastAsia" w:eastAsia="仿宋_GB2312" w:cs="宋体"/>
                <w:b/>
                <w:bCs/>
                <w:sz w:val="30"/>
                <w:szCs w:val="28"/>
              </w:rPr>
              <w:t>信用事件通知</w:t>
            </w:r>
            <w:r>
              <w:rPr>
                <w:rFonts w:hint="eastAsia" w:eastAsia="仿宋_GB2312" w:cs="宋体"/>
                <w:sz w:val="30"/>
                <w:szCs w:val="28"/>
              </w:rPr>
              <w:t>所述</w:t>
            </w:r>
            <w:r>
              <w:rPr>
                <w:rFonts w:hint="eastAsia" w:eastAsia="仿宋_GB2312" w:cs="宋体"/>
                <w:b/>
                <w:bCs/>
                <w:sz w:val="30"/>
                <w:szCs w:val="28"/>
              </w:rPr>
              <w:t>信用事件</w:t>
            </w:r>
            <w:r>
              <w:rPr>
                <w:rFonts w:hint="eastAsia" w:eastAsia="仿宋_GB2312" w:cs="宋体"/>
                <w:sz w:val="30"/>
                <w:szCs w:val="28"/>
              </w:rPr>
              <w:t>已发生的任何事实、信息或资料。</w:t>
            </w:r>
          </w:p>
          <w:p w14:paraId="4F8037C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参考实体</w:t>
            </w:r>
            <w:r>
              <w:rPr>
                <w:rFonts w:hint="eastAsia" w:eastAsia="仿宋_GB2312" w:cs="宋体"/>
                <w:sz w:val="30"/>
                <w:szCs w:val="28"/>
              </w:rPr>
              <w:t>通知、公告或确认的信息，但若该</w:t>
            </w:r>
            <w:r>
              <w:rPr>
                <w:rFonts w:hint="eastAsia" w:eastAsia="仿宋_GB2312" w:cs="宋体"/>
                <w:b/>
                <w:sz w:val="30"/>
                <w:szCs w:val="28"/>
              </w:rPr>
              <w:t>参考实体</w:t>
            </w:r>
            <w:r>
              <w:rPr>
                <w:rFonts w:hint="eastAsia" w:eastAsia="仿宋_GB2312" w:cs="宋体"/>
                <w:sz w:val="30"/>
                <w:szCs w:val="28"/>
              </w:rPr>
              <w:t>或其关联企业是相关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交易一方</w:t>
            </w:r>
            <w:r>
              <w:rPr>
                <w:rFonts w:hint="eastAsia" w:eastAsia="仿宋_GB2312" w:cs="宋体"/>
                <w:sz w:val="30"/>
                <w:szCs w:val="28"/>
              </w:rPr>
              <w:t>，则由其通知、公告或确认的信息不能作为公开信息；</w:t>
            </w:r>
          </w:p>
          <w:p w14:paraId="423FACA7">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信用事件通知方</w:t>
            </w:r>
            <w:r>
              <w:rPr>
                <w:rFonts w:hint="eastAsia" w:eastAsia="仿宋_GB2312" w:cs="宋体"/>
                <w:sz w:val="30"/>
                <w:szCs w:val="28"/>
              </w:rPr>
              <w:t>或其关联企业通知、公告或确认的信息，前提是</w:t>
            </w:r>
            <w:r>
              <w:rPr>
                <w:rFonts w:hint="eastAsia" w:eastAsia="仿宋_GB2312" w:cs="宋体"/>
                <w:b/>
                <w:sz w:val="30"/>
                <w:szCs w:val="28"/>
              </w:rPr>
              <w:t>信用事件通知方</w:t>
            </w:r>
            <w:r>
              <w:rPr>
                <w:rFonts w:hint="eastAsia" w:eastAsia="仿宋_GB2312" w:cs="宋体"/>
                <w:sz w:val="30"/>
                <w:szCs w:val="28"/>
              </w:rPr>
              <w:t>或该关联企业是已发生</w:t>
            </w:r>
            <w:r>
              <w:rPr>
                <w:rFonts w:hint="eastAsia" w:eastAsia="仿宋_GB2312" w:cs="宋体"/>
                <w:b/>
                <w:sz w:val="30"/>
                <w:szCs w:val="28"/>
              </w:rPr>
              <w:t>信用事件</w:t>
            </w:r>
            <w:r>
              <w:rPr>
                <w:rFonts w:hint="eastAsia" w:eastAsia="仿宋_GB2312" w:cs="宋体"/>
                <w:sz w:val="30"/>
                <w:szCs w:val="28"/>
              </w:rPr>
              <w:t>的相关</w:t>
            </w:r>
            <w:r>
              <w:rPr>
                <w:rFonts w:hint="eastAsia" w:eastAsia="仿宋_GB2312" w:cs="宋体"/>
                <w:b/>
                <w:sz w:val="30"/>
                <w:szCs w:val="28"/>
              </w:rPr>
              <w:t>债务</w:t>
            </w:r>
            <w:r>
              <w:rPr>
                <w:rFonts w:hint="eastAsia" w:eastAsia="仿宋_GB2312" w:cs="宋体"/>
                <w:sz w:val="30"/>
                <w:szCs w:val="28"/>
              </w:rPr>
              <w:t>的债权人，其以债权人身份获得或知悉该信息，且</w:t>
            </w:r>
            <w:r>
              <w:rPr>
                <w:rFonts w:hint="eastAsia" w:eastAsia="仿宋_GB2312" w:cs="宋体"/>
                <w:b/>
                <w:sz w:val="30"/>
                <w:szCs w:val="28"/>
              </w:rPr>
              <w:t>信用事件通知方</w:t>
            </w:r>
            <w:r>
              <w:rPr>
                <w:rFonts w:hint="eastAsia" w:eastAsia="仿宋_GB2312" w:cs="宋体"/>
                <w:sz w:val="30"/>
                <w:szCs w:val="28"/>
              </w:rPr>
              <w:t>已向另一方出具了一份由其法定代表人或授权人士签署的证明，确认其或其关联企业是基于上述债权人身份而获得或知悉了该信息；</w:t>
            </w:r>
          </w:p>
          <w:p w14:paraId="32656C31">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已在不少于两个的</w:t>
            </w:r>
            <w:r>
              <w:rPr>
                <w:rFonts w:hint="eastAsia" w:eastAsia="仿宋_GB2312" w:cs="宋体"/>
                <w:b/>
                <w:sz w:val="30"/>
                <w:szCs w:val="28"/>
              </w:rPr>
              <w:t>公开信息渠道</w:t>
            </w:r>
            <w:r>
              <w:rPr>
                <w:rFonts w:hint="eastAsia" w:eastAsia="仿宋_GB2312" w:cs="宋体"/>
                <w:sz w:val="30"/>
                <w:szCs w:val="28"/>
              </w:rPr>
              <w:t>（无论是否收费）上公布的信息，且有关报道者或报道机构均未在适用的</w:t>
            </w:r>
            <w:r>
              <w:rPr>
                <w:rFonts w:hint="eastAsia" w:eastAsia="仿宋_GB2312" w:cs="宋体"/>
                <w:b/>
                <w:sz w:val="30"/>
                <w:szCs w:val="28"/>
              </w:rPr>
              <w:t>结算条件</w:t>
            </w:r>
            <w:r>
              <w:rPr>
                <w:rFonts w:hint="eastAsia" w:eastAsia="仿宋_GB2312" w:cs="宋体"/>
                <w:sz w:val="30"/>
                <w:szCs w:val="28"/>
              </w:rPr>
              <w:t>满足之前撤销有关消息或报道，也未公开承认有重大误报；</w:t>
            </w:r>
          </w:p>
          <w:p w14:paraId="1270C13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已由债务的代理人或受托人（包括但不限于贷款的代理行、</w:t>
            </w:r>
            <w:r>
              <w:rPr>
                <w:rFonts w:hint="eastAsia" w:eastAsia="仿宋_GB2312" w:cs="宋体"/>
                <w:b/>
                <w:spacing w:val="4"/>
                <w:sz w:val="30"/>
                <w:szCs w:val="28"/>
              </w:rPr>
              <w:t>债券</w:t>
            </w:r>
            <w:r>
              <w:rPr>
                <w:rFonts w:hint="eastAsia" w:eastAsia="仿宋_GB2312" w:cs="宋体"/>
                <w:sz w:val="30"/>
                <w:szCs w:val="28"/>
              </w:rPr>
              <w:t>的付款代理人、清算代理人或受托管理人），或由有关登记托管结算机构或清算机构通知、公告或确认的信息；</w:t>
            </w:r>
          </w:p>
          <w:p w14:paraId="3B326B92">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）已包含在第三人针对</w:t>
            </w:r>
            <w:r>
              <w:rPr>
                <w:rFonts w:hint="eastAsia" w:eastAsia="仿宋_GB2312" w:cs="宋体"/>
                <w:b/>
                <w:sz w:val="30"/>
                <w:szCs w:val="28"/>
              </w:rPr>
              <w:t>参考实体</w:t>
            </w:r>
            <w:r>
              <w:rPr>
                <w:rFonts w:hint="eastAsia" w:eastAsia="仿宋_GB2312" w:cs="宋体"/>
                <w:sz w:val="30"/>
                <w:szCs w:val="28"/>
              </w:rPr>
              <w:t>提出的，或由</w:t>
            </w:r>
            <w:r>
              <w:rPr>
                <w:rFonts w:hint="eastAsia" w:eastAsia="仿宋_GB2312" w:cs="宋体"/>
                <w:b/>
                <w:sz w:val="30"/>
                <w:szCs w:val="28"/>
              </w:rPr>
              <w:t>参考实体</w:t>
            </w:r>
            <w:r>
              <w:rPr>
                <w:rFonts w:hint="eastAsia" w:eastAsia="仿宋_GB2312" w:cs="宋体"/>
                <w:sz w:val="30"/>
                <w:szCs w:val="28"/>
              </w:rPr>
              <w:t>自行提出的“</w:t>
            </w:r>
            <w:r>
              <w:rPr>
                <w:rFonts w:hint="eastAsia" w:eastAsia="仿宋_GB2312" w:cs="宋体"/>
                <w:b/>
                <w:sz w:val="30"/>
                <w:szCs w:val="28"/>
              </w:rPr>
              <w:t>破产</w:t>
            </w:r>
            <w:r>
              <w:rPr>
                <w:rFonts w:hint="eastAsia" w:eastAsia="仿宋_GB2312" w:cs="宋体"/>
                <w:sz w:val="30"/>
                <w:szCs w:val="28"/>
              </w:rPr>
              <w:t>”定义第</w:t>
            </w:r>
            <w:r>
              <w:rPr>
                <w:rFonts w:eastAsia="仿宋_GB2312" w:cs="宋体"/>
                <w:sz w:val="30"/>
                <w:szCs w:val="28"/>
              </w:rPr>
              <w:t>5</w:t>
            </w:r>
            <w:r>
              <w:rPr>
                <w:rFonts w:hint="eastAsia" w:eastAsia="仿宋_GB2312" w:cs="宋体"/>
                <w:sz w:val="30"/>
                <w:szCs w:val="28"/>
              </w:rPr>
              <w:t>项所述法律程序项下的任何起诉或申请文件之中的信息；</w:t>
            </w:r>
          </w:p>
          <w:p w14:paraId="548F40E6">
            <w:pPr>
              <w:spacing w:before="185"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包含在政府机构、司法机关、仲裁机构、银行间市场行业自律组织、证券行业自律组织、证券交易所、全国中小企业股份转让系统或法律认可的其他交易平台所发出或公布的任何命令、判决、裁决、裁定、通知或公告之中的信息。</w:t>
            </w:r>
          </w:p>
        </w:tc>
      </w:tr>
      <w:tr w14:paraId="09F0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B8883B3">
            <w:pPr>
              <w:spacing w:before="185" w:line="560" w:lineRule="exact"/>
              <w:jc w:val="center"/>
              <w:rPr>
                <w:rFonts w:eastAsia="仿宋_GB2312" w:cs="宋体"/>
                <w:sz w:val="30"/>
                <w:szCs w:val="28"/>
              </w:rPr>
            </w:pPr>
            <w:r>
              <w:rPr>
                <w:rFonts w:hint="eastAsia" w:eastAsia="仿宋_GB2312" w:cs="宋体"/>
                <w:sz w:val="30"/>
                <w:szCs w:val="28"/>
              </w:rPr>
              <w:t>公开信息渠道</w:t>
            </w:r>
          </w:p>
        </w:tc>
        <w:tc>
          <w:tcPr>
            <w:tcW w:w="5862" w:type="dxa"/>
            <w:vAlign w:val="center"/>
          </w:tcPr>
          <w:p w14:paraId="35DAF494">
            <w:pPr>
              <w:pStyle w:val="17"/>
              <w:spacing w:line="560" w:lineRule="exact"/>
              <w:ind w:right="-34"/>
              <w:rPr>
                <w:rFonts w:eastAsia="仿宋_GB2312" w:cs="宋体"/>
                <w:spacing w:val="-3"/>
                <w:sz w:val="30"/>
                <w:szCs w:val="28"/>
              </w:rPr>
            </w:pPr>
            <w:r>
              <w:rPr>
                <w:rFonts w:hint="eastAsia" w:eastAsia="仿宋_GB2312" w:cs="宋体"/>
                <w:spacing w:val="-3"/>
                <w:sz w:val="30"/>
                <w:szCs w:val="28"/>
              </w:rPr>
              <w:t>除非</w:t>
            </w:r>
            <w:r>
              <w:rPr>
                <w:rFonts w:hint="eastAsia" w:eastAsia="仿宋_GB2312" w:cs="宋体"/>
                <w:b/>
                <w:bCs/>
                <w:spacing w:val="-3"/>
                <w:w w:val="95"/>
                <w:sz w:val="30"/>
                <w:szCs w:val="28"/>
              </w:rPr>
              <w:t>交易双方</w:t>
            </w:r>
            <w:r>
              <w:rPr>
                <w:rFonts w:hint="eastAsia" w:eastAsia="仿宋_GB2312" w:cs="宋体"/>
                <w:spacing w:val="-3"/>
                <w:sz w:val="30"/>
                <w:szCs w:val="28"/>
              </w:rPr>
              <w:t>在</w:t>
            </w:r>
            <w:r>
              <w:rPr>
                <w:rFonts w:hint="eastAsia" w:eastAsia="仿宋_GB2312" w:cs="宋体"/>
                <w:b/>
                <w:bCs/>
                <w:spacing w:val="-3"/>
                <w:w w:val="95"/>
                <w:sz w:val="30"/>
                <w:szCs w:val="28"/>
              </w:rPr>
              <w:t>本确认书</w:t>
            </w:r>
            <w:r>
              <w:rPr>
                <w:rFonts w:hint="eastAsia" w:eastAsia="仿宋_GB2312" w:cs="宋体"/>
                <w:spacing w:val="-3"/>
                <w:sz w:val="30"/>
                <w:szCs w:val="28"/>
              </w:rPr>
              <w:t>中另行约定，就在中国境内的</w:t>
            </w:r>
            <w:r>
              <w:rPr>
                <w:rFonts w:hint="eastAsia" w:eastAsia="仿宋_GB2312" w:cs="宋体"/>
                <w:b/>
                <w:bCs/>
                <w:spacing w:val="-3"/>
                <w:w w:val="95"/>
                <w:sz w:val="30"/>
                <w:szCs w:val="28"/>
              </w:rPr>
              <w:t>参考实体</w:t>
            </w:r>
            <w:r>
              <w:rPr>
                <w:rFonts w:hint="eastAsia" w:eastAsia="仿宋_GB2312" w:cs="宋体"/>
                <w:spacing w:val="-3"/>
                <w:sz w:val="30"/>
                <w:szCs w:val="28"/>
              </w:rPr>
              <w:t>而言，指全国发行的报刊，或是</w:t>
            </w:r>
            <w:r>
              <w:rPr>
                <w:rFonts w:hint="eastAsia" w:eastAsia="仿宋_GB2312" w:cs="宋体"/>
                <w:b/>
                <w:bCs/>
                <w:spacing w:val="-3"/>
                <w:sz w:val="30"/>
                <w:szCs w:val="28"/>
              </w:rPr>
              <w:t>参考实体</w:t>
            </w:r>
            <w:r>
              <w:rPr>
                <w:rFonts w:hint="eastAsia" w:eastAsia="仿宋_GB2312" w:cs="宋体"/>
                <w:spacing w:val="-3"/>
                <w:sz w:val="30"/>
                <w:szCs w:val="28"/>
              </w:rPr>
              <w:t>所在行业协会认可的权威性专业报刊、网</w:t>
            </w:r>
            <w:r>
              <w:rPr>
                <w:rFonts w:eastAsia="仿宋_GB2312" w:cs="宋体"/>
                <w:spacing w:val="-117"/>
                <w:sz w:val="30"/>
                <w:szCs w:val="28"/>
              </w:rPr>
              <w:t xml:space="preserve"> </w:t>
            </w:r>
            <w:r>
              <w:rPr>
                <w:rFonts w:hint="eastAsia" w:eastAsia="仿宋_GB2312" w:cs="宋体"/>
                <w:spacing w:val="-3"/>
                <w:sz w:val="30"/>
                <w:szCs w:val="28"/>
              </w:rPr>
              <w:t>站或信息提供商，包括但不限于上海证券交易所或其指定负责披露或提供相关信息的网站、中国证券报、上海证券报、证券时报、中国证券登记结算有限公司网站、人民法院报（及其后续网站或出版物）中的任何一个。</w:t>
            </w:r>
          </w:p>
          <w:p w14:paraId="083B2A05">
            <w:pPr>
              <w:pStyle w:val="17"/>
              <w:spacing w:line="560" w:lineRule="exact"/>
              <w:ind w:right="-34"/>
              <w:rPr>
                <w:rFonts w:eastAsia="仿宋_GB2312" w:cs="宋体"/>
                <w:sz w:val="30"/>
                <w:szCs w:val="28"/>
              </w:rPr>
            </w:pPr>
            <w:r>
              <w:rPr>
                <w:rFonts w:hint="eastAsia" w:eastAsia="仿宋_GB2312" w:cs="宋体"/>
                <w:spacing w:val="-3"/>
                <w:sz w:val="30"/>
                <w:szCs w:val="28"/>
              </w:rPr>
              <w:t>就在中国境外的</w:t>
            </w:r>
            <w:r>
              <w:rPr>
                <w:rFonts w:hint="eastAsia" w:eastAsia="仿宋_GB2312" w:cs="宋体"/>
                <w:b/>
                <w:bCs/>
                <w:spacing w:val="-3"/>
                <w:sz w:val="30"/>
                <w:szCs w:val="28"/>
              </w:rPr>
              <w:t>参考实体</w:t>
            </w:r>
            <w:r>
              <w:rPr>
                <w:rFonts w:hint="eastAsia" w:eastAsia="仿宋_GB2312" w:cs="宋体"/>
                <w:spacing w:val="-3"/>
                <w:sz w:val="30"/>
                <w:szCs w:val="28"/>
              </w:rPr>
              <w:t>而言，指国际金融市场权威媒体公司</w:t>
            </w:r>
            <w:r>
              <w:rPr>
                <w:rFonts w:eastAsia="仿宋_GB2312" w:cs="宋体"/>
                <w:spacing w:val="-113"/>
                <w:sz w:val="30"/>
                <w:szCs w:val="28"/>
              </w:rPr>
              <w:t xml:space="preserve"> </w:t>
            </w:r>
            <w:r>
              <w:rPr>
                <w:rFonts w:hint="eastAsia" w:eastAsia="仿宋_GB2312" w:cs="宋体"/>
                <w:sz w:val="30"/>
                <w:szCs w:val="28"/>
              </w:rPr>
              <w:t>向市场公开发行或提供服务的报刊、网站、信息终端等，包括但不限于</w:t>
            </w:r>
            <w:r>
              <w:rPr>
                <w:rFonts w:eastAsia="仿宋_GB2312" w:cs="宋体"/>
                <w:sz w:val="30"/>
                <w:szCs w:val="28"/>
              </w:rPr>
              <w:t>Bloomberg Service</w:t>
            </w:r>
            <w:r>
              <w:rPr>
                <w:rFonts w:hint="eastAsia" w:eastAsia="仿宋_GB2312" w:cs="宋体"/>
                <w:sz w:val="30"/>
                <w:szCs w:val="28"/>
              </w:rPr>
              <w:t>、</w:t>
            </w:r>
            <w:r>
              <w:rPr>
                <w:rFonts w:eastAsia="仿宋_GB2312" w:cs="宋体"/>
                <w:sz w:val="30"/>
                <w:szCs w:val="28"/>
              </w:rPr>
              <w:t>Reuter Monitor Money Rates Services</w:t>
            </w:r>
            <w:r>
              <w:rPr>
                <w:rFonts w:hint="eastAsia" w:eastAsia="仿宋_GB2312" w:cs="宋体"/>
                <w:sz w:val="30"/>
                <w:szCs w:val="28"/>
              </w:rPr>
              <w:t>、</w:t>
            </w:r>
            <w:r>
              <w:rPr>
                <w:rFonts w:eastAsia="仿宋_GB2312" w:cs="宋体"/>
                <w:sz w:val="30"/>
                <w:szCs w:val="28"/>
              </w:rPr>
              <w:t>Financial Times</w:t>
            </w:r>
            <w:r>
              <w:rPr>
                <w:rFonts w:hint="eastAsia" w:eastAsia="仿宋_GB2312" w:cs="宋体"/>
                <w:sz w:val="30"/>
                <w:szCs w:val="28"/>
              </w:rPr>
              <w:t>、</w:t>
            </w:r>
            <w:r>
              <w:rPr>
                <w:rFonts w:eastAsia="仿宋_GB2312" w:cs="宋体"/>
                <w:sz w:val="30"/>
                <w:szCs w:val="28"/>
              </w:rPr>
              <w:t>Wall Street Journal</w:t>
            </w:r>
            <w:r>
              <w:rPr>
                <w:rFonts w:hint="eastAsia" w:eastAsia="仿宋_GB2312" w:cs="宋体"/>
                <w:sz w:val="30"/>
                <w:szCs w:val="28"/>
              </w:rPr>
              <w:t>（及其后续网站或出版物）中的任何一个。</w:t>
            </w:r>
          </w:p>
          <w:p w14:paraId="15D80AF1">
            <w:pPr>
              <w:pStyle w:val="17"/>
              <w:spacing w:line="560" w:lineRule="exact"/>
              <w:ind w:right="-34"/>
              <w:rPr>
                <w:rFonts w:eastAsia="仿宋_GB2312" w:cs="宋体"/>
                <w:sz w:val="30"/>
                <w:szCs w:val="28"/>
              </w:rPr>
            </w:pPr>
            <w:r>
              <w:rPr>
                <w:rFonts w:hint="eastAsia" w:eastAsia="仿宋_GB2312" w:cs="宋体"/>
                <w:sz w:val="30"/>
                <w:szCs w:val="28"/>
              </w:rPr>
              <w:t>上述“中国境内”一词不包括香港特别行政区、澳门特别行政区和台湾地区。</w:t>
            </w:r>
          </w:p>
        </w:tc>
      </w:tr>
      <w:tr w14:paraId="64BB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DA5A970">
            <w:pPr>
              <w:spacing w:before="185" w:line="560" w:lineRule="exact"/>
              <w:jc w:val="center"/>
              <w:rPr>
                <w:rFonts w:eastAsia="仿宋_GB2312" w:cs="宋体"/>
                <w:sz w:val="30"/>
                <w:szCs w:val="28"/>
              </w:rPr>
            </w:pPr>
            <w:r>
              <w:rPr>
                <w:rFonts w:hint="eastAsia" w:eastAsia="仿宋_GB2312" w:cs="宋体"/>
                <w:sz w:val="30"/>
                <w:szCs w:val="28"/>
              </w:rPr>
              <w:t>交割</w:t>
            </w:r>
          </w:p>
        </w:tc>
        <w:tc>
          <w:tcPr>
            <w:tcW w:w="5862" w:type="dxa"/>
            <w:vAlign w:val="center"/>
          </w:tcPr>
          <w:p w14:paraId="374D28E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pacing w:val="4"/>
                <w:w w:val="95"/>
                <w:sz w:val="30"/>
                <w:szCs w:val="28"/>
              </w:rPr>
              <w:t>信用保护买方</w:t>
            </w:r>
            <w:r>
              <w:rPr>
                <w:rFonts w:hint="eastAsia" w:eastAsia="仿宋_GB2312" w:cs="宋体"/>
                <w:sz w:val="30"/>
                <w:szCs w:val="28"/>
              </w:rPr>
              <w:t>向</w:t>
            </w:r>
            <w:r>
              <w:rPr>
                <w:rFonts w:hint="eastAsia" w:eastAsia="仿宋_GB2312" w:cs="宋体"/>
                <w:b/>
                <w:bCs/>
                <w:spacing w:val="4"/>
                <w:w w:val="95"/>
                <w:sz w:val="30"/>
                <w:szCs w:val="28"/>
              </w:rPr>
              <w:t>信用保护卖方</w:t>
            </w:r>
            <w:r>
              <w:rPr>
                <w:rFonts w:hint="eastAsia" w:eastAsia="仿宋_GB2312" w:cs="宋体"/>
                <w:sz w:val="30"/>
                <w:szCs w:val="28"/>
              </w:rPr>
              <w:t>交付</w:t>
            </w:r>
            <w:r>
              <w:rPr>
                <w:rFonts w:hint="eastAsia" w:eastAsia="仿宋_GB2312" w:cs="宋体"/>
                <w:b/>
                <w:bCs/>
                <w:spacing w:val="4"/>
                <w:w w:val="95"/>
                <w:sz w:val="30"/>
                <w:szCs w:val="28"/>
              </w:rPr>
              <w:t>结算通知</w:t>
            </w:r>
            <w:r>
              <w:rPr>
                <w:rFonts w:hint="eastAsia" w:eastAsia="仿宋_GB2312" w:cs="宋体"/>
                <w:sz w:val="30"/>
                <w:szCs w:val="28"/>
              </w:rPr>
              <w:t>所指</w:t>
            </w:r>
            <w:r>
              <w:rPr>
                <w:rFonts w:hint="eastAsia" w:eastAsia="仿宋_GB2312" w:cs="宋体"/>
                <w:b/>
                <w:bCs/>
                <w:spacing w:val="4"/>
                <w:w w:val="95"/>
                <w:sz w:val="30"/>
                <w:szCs w:val="28"/>
              </w:rPr>
              <w:t>可交付债务</w:t>
            </w:r>
            <w:r>
              <w:rPr>
                <w:rFonts w:hint="eastAsia" w:eastAsia="仿宋_GB2312" w:cs="宋体"/>
                <w:sz w:val="30"/>
                <w:szCs w:val="28"/>
              </w:rPr>
              <w:t>的全部权益。</w:t>
            </w:r>
          </w:p>
        </w:tc>
      </w:tr>
      <w:tr w14:paraId="3C12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D154E79">
            <w:pPr>
              <w:spacing w:before="185" w:line="560" w:lineRule="exact"/>
              <w:jc w:val="center"/>
              <w:rPr>
                <w:rFonts w:eastAsia="仿宋_GB2312" w:cs="宋体"/>
                <w:sz w:val="30"/>
                <w:szCs w:val="28"/>
              </w:rPr>
            </w:pPr>
            <w:r>
              <w:rPr>
                <w:rFonts w:hint="eastAsia" w:eastAsia="仿宋_GB2312" w:cs="宋体"/>
                <w:sz w:val="30"/>
                <w:szCs w:val="28"/>
              </w:rPr>
              <w:t>交割日</w:t>
            </w:r>
          </w:p>
        </w:tc>
        <w:tc>
          <w:tcPr>
            <w:tcW w:w="5862" w:type="dxa"/>
            <w:vAlign w:val="center"/>
          </w:tcPr>
          <w:p w14:paraId="46FFBEA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与</w:t>
            </w:r>
            <w:r>
              <w:rPr>
                <w:rFonts w:hint="eastAsia" w:eastAsia="仿宋_GB2312" w:cs="宋体"/>
                <w:b/>
                <w:bCs/>
                <w:sz w:val="30"/>
                <w:szCs w:val="28"/>
              </w:rPr>
              <w:t>信用保护卖方</w:t>
            </w:r>
            <w:r>
              <w:rPr>
                <w:rFonts w:hint="eastAsia" w:eastAsia="仿宋_GB2312" w:cs="宋体"/>
                <w:sz w:val="30"/>
                <w:szCs w:val="28"/>
              </w:rPr>
              <w:t>之间</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w:t>
            </w:r>
            <w:r>
              <w:rPr>
                <w:rFonts w:hint="eastAsia" w:eastAsia="仿宋_GB2312" w:cs="宋体"/>
                <w:b/>
                <w:bCs/>
                <w:sz w:val="30"/>
                <w:szCs w:val="28"/>
              </w:rPr>
              <w:t>交易日</w:t>
            </w:r>
            <w:r>
              <w:rPr>
                <w:rFonts w:hint="eastAsia" w:eastAsia="仿宋_GB2312" w:cs="宋体"/>
                <w:sz w:val="30"/>
                <w:szCs w:val="28"/>
              </w:rPr>
              <w:t>。考虑到结算周期等因素，此处的交割日为交割申报日。</w:t>
            </w:r>
          </w:p>
        </w:tc>
      </w:tr>
      <w:tr w14:paraId="27F9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434" w:type="dxa"/>
            <w:vAlign w:val="center"/>
          </w:tcPr>
          <w:p w14:paraId="74AF8D06">
            <w:pPr>
              <w:spacing w:before="185" w:line="560" w:lineRule="exact"/>
              <w:jc w:val="center"/>
              <w:rPr>
                <w:rFonts w:eastAsia="仿宋_GB2312" w:cs="宋体"/>
                <w:sz w:val="30"/>
                <w:szCs w:val="28"/>
              </w:rPr>
            </w:pPr>
            <w:r>
              <w:rPr>
                <w:rFonts w:hint="eastAsia" w:eastAsia="仿宋_GB2312" w:cs="宋体"/>
                <w:bCs/>
                <w:sz w:val="30"/>
                <w:szCs w:val="28"/>
              </w:rPr>
              <w:t>实物交割期间</w:t>
            </w:r>
          </w:p>
        </w:tc>
        <w:tc>
          <w:tcPr>
            <w:tcW w:w="5862" w:type="dxa"/>
            <w:vAlign w:val="center"/>
          </w:tcPr>
          <w:p w14:paraId="7D70906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向</w:t>
            </w:r>
            <w:r>
              <w:rPr>
                <w:rFonts w:hint="eastAsia" w:eastAsia="仿宋_GB2312" w:cs="宋体"/>
                <w:b/>
                <w:bCs/>
                <w:sz w:val="30"/>
                <w:szCs w:val="28"/>
              </w:rPr>
              <w:t>信用保护卖方</w:t>
            </w:r>
            <w:r>
              <w:rPr>
                <w:rFonts w:hint="eastAsia" w:eastAsia="仿宋_GB2312" w:cs="宋体"/>
                <w:sz w:val="30"/>
                <w:szCs w:val="28"/>
              </w:rPr>
              <w:t>完成</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的期限，该期限始于</w:t>
            </w:r>
            <w:r>
              <w:rPr>
                <w:rFonts w:hint="eastAsia" w:eastAsia="仿宋_GB2312" w:cs="宋体"/>
                <w:b/>
                <w:bCs/>
                <w:sz w:val="30"/>
                <w:szCs w:val="28"/>
              </w:rPr>
              <w:t>结算通知书</w:t>
            </w:r>
            <w:r>
              <w:rPr>
                <w:rFonts w:hint="eastAsia" w:eastAsia="仿宋_GB2312" w:cs="宋体"/>
                <w:sz w:val="30"/>
                <w:szCs w:val="28"/>
              </w:rPr>
              <w:t>有效送达</w:t>
            </w:r>
            <w:r>
              <w:rPr>
                <w:rFonts w:hint="eastAsia" w:eastAsia="仿宋_GB2312" w:cs="宋体"/>
                <w:b/>
                <w:bCs/>
                <w:sz w:val="30"/>
                <w:szCs w:val="28"/>
              </w:rPr>
              <w:t>信用保护卖方</w:t>
            </w:r>
            <w:r>
              <w:rPr>
                <w:rFonts w:hint="eastAsia" w:eastAsia="仿宋_GB2312" w:cs="宋体"/>
                <w:sz w:val="30"/>
                <w:szCs w:val="28"/>
              </w:rPr>
              <w:t>之日（含该日），止于</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“与结算有关的条款”中约定的</w:t>
            </w:r>
            <w:r>
              <w:rPr>
                <w:rFonts w:hint="eastAsia" w:eastAsia="仿宋_GB2312" w:cs="宋体"/>
                <w:b/>
                <w:bCs/>
                <w:sz w:val="30"/>
                <w:szCs w:val="28"/>
              </w:rPr>
              <w:t>实物交割期间</w:t>
            </w:r>
            <w:r>
              <w:rPr>
                <w:rFonts w:hint="eastAsia" w:eastAsia="仿宋_GB2312" w:cs="宋体"/>
                <w:sz w:val="30"/>
                <w:szCs w:val="28"/>
              </w:rPr>
              <w:t>届满之日（含该日）。</w:t>
            </w:r>
          </w:p>
        </w:tc>
      </w:tr>
      <w:tr w14:paraId="3836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F82AC57">
            <w:pPr>
              <w:spacing w:before="185" w:line="560" w:lineRule="exact"/>
              <w:jc w:val="center"/>
              <w:rPr>
                <w:rFonts w:eastAsia="仿宋_GB2312" w:cs="宋体"/>
                <w:sz w:val="30"/>
                <w:szCs w:val="28"/>
              </w:rPr>
            </w:pPr>
            <w:r>
              <w:rPr>
                <w:rFonts w:hint="eastAsia" w:eastAsia="仿宋_GB2312" w:cs="宋体"/>
                <w:sz w:val="30"/>
                <w:szCs w:val="28"/>
              </w:rPr>
              <w:t>可交付债务种类</w:t>
            </w:r>
          </w:p>
        </w:tc>
        <w:tc>
          <w:tcPr>
            <w:tcW w:w="5862" w:type="dxa"/>
            <w:vAlign w:val="center"/>
          </w:tcPr>
          <w:p w14:paraId="36CEF576">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w:t>
            </w:r>
            <w:r>
              <w:rPr>
                <w:rFonts w:hint="eastAsia" w:eastAsia="仿宋_GB2312" w:cs="宋体"/>
                <w:b/>
                <w:sz w:val="30"/>
                <w:szCs w:val="28"/>
              </w:rPr>
              <w:t>可交付债务</w:t>
            </w:r>
            <w:r>
              <w:rPr>
                <w:rFonts w:hint="eastAsia" w:eastAsia="仿宋_GB2312" w:cs="宋体"/>
                <w:sz w:val="30"/>
                <w:szCs w:val="28"/>
              </w:rPr>
              <w:t>所属的一种或多种</w:t>
            </w:r>
            <w:r>
              <w:rPr>
                <w:rFonts w:hint="eastAsia" w:eastAsia="仿宋_GB2312" w:cs="宋体"/>
                <w:b/>
                <w:sz w:val="30"/>
                <w:szCs w:val="28"/>
              </w:rPr>
              <w:t>债务种类</w:t>
            </w:r>
            <w:r>
              <w:rPr>
                <w:rFonts w:hint="eastAsia" w:eastAsia="仿宋_GB2312" w:cs="宋体"/>
                <w:sz w:val="30"/>
                <w:szCs w:val="28"/>
              </w:rPr>
              <w:t>。适用“</w:t>
            </w:r>
            <w:r>
              <w:rPr>
                <w:rFonts w:hint="eastAsia" w:eastAsia="仿宋_GB2312" w:cs="宋体"/>
                <w:b/>
                <w:sz w:val="30"/>
                <w:szCs w:val="28"/>
              </w:rPr>
              <w:t>债务种类</w:t>
            </w:r>
            <w:r>
              <w:rPr>
                <w:rFonts w:hint="eastAsia" w:eastAsia="仿宋_GB2312" w:cs="宋体"/>
                <w:sz w:val="30"/>
                <w:szCs w:val="28"/>
              </w:rPr>
              <w:t>”的定义。</w:t>
            </w:r>
          </w:p>
        </w:tc>
      </w:tr>
      <w:tr w14:paraId="5248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B5DD379">
            <w:pPr>
              <w:spacing w:before="185" w:line="560" w:lineRule="exact"/>
              <w:jc w:val="center"/>
              <w:rPr>
                <w:rFonts w:eastAsia="仿宋_GB2312" w:cs="宋体"/>
                <w:sz w:val="30"/>
                <w:szCs w:val="28"/>
              </w:rPr>
            </w:pPr>
            <w:r>
              <w:rPr>
                <w:rFonts w:hint="eastAsia" w:eastAsia="仿宋_GB2312" w:cs="宋体"/>
                <w:sz w:val="30"/>
                <w:szCs w:val="28"/>
              </w:rPr>
              <w:t>可交付债务特征</w:t>
            </w:r>
          </w:p>
        </w:tc>
        <w:tc>
          <w:tcPr>
            <w:tcW w:w="5862" w:type="dxa"/>
            <w:vAlign w:val="center"/>
          </w:tcPr>
          <w:p w14:paraId="5505A844">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中列明的，用以确定</w:t>
            </w:r>
            <w:r>
              <w:rPr>
                <w:rFonts w:hint="eastAsia" w:eastAsia="仿宋_GB2312" w:cs="宋体"/>
                <w:b/>
                <w:sz w:val="30"/>
                <w:szCs w:val="28"/>
              </w:rPr>
              <w:t>可交付债务</w:t>
            </w:r>
            <w:r>
              <w:rPr>
                <w:rFonts w:hint="eastAsia" w:eastAsia="仿宋_GB2312" w:cs="宋体"/>
                <w:sz w:val="30"/>
                <w:szCs w:val="28"/>
              </w:rPr>
              <w:t>的一项或多项特征，包括但不限于</w:t>
            </w:r>
            <w:r>
              <w:rPr>
                <w:rFonts w:hint="eastAsia" w:eastAsia="仿宋_GB2312" w:cs="宋体"/>
                <w:b/>
                <w:sz w:val="30"/>
                <w:szCs w:val="28"/>
              </w:rPr>
              <w:t>债务特征</w:t>
            </w:r>
            <w:r>
              <w:rPr>
                <w:rFonts w:hint="eastAsia" w:eastAsia="仿宋_GB2312" w:cs="宋体"/>
                <w:sz w:val="30"/>
                <w:szCs w:val="28"/>
              </w:rPr>
              <w:t>、无扣减债务、可转让贷款、转让受限贷款等特征。</w:t>
            </w:r>
          </w:p>
          <w:p w14:paraId="1A325C91">
            <w:pPr>
              <w:spacing w:line="560" w:lineRule="exact"/>
              <w:ind w:right="-34" w:rightChars="-16"/>
              <w:rPr>
                <w:rFonts w:eastAsia="仿宋_GB2312" w:cs="宋体"/>
                <w:sz w:val="30"/>
                <w:szCs w:val="28"/>
              </w:rPr>
            </w:pPr>
            <w:r>
              <w:rPr>
                <w:rFonts w:hint="eastAsia" w:eastAsia="仿宋_GB2312" w:cs="宋体"/>
                <w:sz w:val="30"/>
                <w:szCs w:val="28"/>
              </w:rPr>
              <w:t>“无扣减债务”指自交割日起，该可交付债务到期应付的本金余额及</w:t>
            </w:r>
            <w:r>
              <w:rPr>
                <w:rFonts w:eastAsia="仿宋_GB2312" w:cs="宋体"/>
                <w:sz w:val="30"/>
                <w:szCs w:val="28"/>
              </w:rPr>
              <w:t>/</w:t>
            </w:r>
            <w:r>
              <w:rPr>
                <w:rFonts w:hint="eastAsia" w:eastAsia="仿宋_GB2312" w:cs="宋体"/>
                <w:sz w:val="30"/>
                <w:szCs w:val="28"/>
              </w:rPr>
              <w:t>或应计未付利息将不会被扣减。</w:t>
            </w:r>
          </w:p>
          <w:p w14:paraId="22E8CEFE">
            <w:pPr>
              <w:spacing w:line="560" w:lineRule="exact"/>
              <w:ind w:right="-34" w:rightChars="-16"/>
              <w:rPr>
                <w:rFonts w:eastAsia="仿宋_GB2312" w:cs="宋体"/>
                <w:sz w:val="30"/>
                <w:szCs w:val="28"/>
              </w:rPr>
            </w:pPr>
            <w:r>
              <w:rPr>
                <w:rFonts w:hint="eastAsia" w:eastAsia="仿宋_GB2312" w:cs="宋体"/>
                <w:sz w:val="30"/>
                <w:szCs w:val="28"/>
              </w:rPr>
              <w:t>“可转让贷款”指无需获得参考实体或该贷款的借款人或担保人或任何代理行的同意，即可被信用保护买方转让的贷款资产。</w:t>
            </w:r>
          </w:p>
          <w:p w14:paraId="08F30359">
            <w:pPr>
              <w:spacing w:line="560" w:lineRule="exact"/>
              <w:ind w:right="-34" w:rightChars="-16"/>
              <w:rPr>
                <w:rFonts w:eastAsia="仿宋_GB2312" w:cs="宋体"/>
                <w:sz w:val="30"/>
                <w:szCs w:val="28"/>
              </w:rPr>
            </w:pPr>
            <w:r>
              <w:rPr>
                <w:rFonts w:hint="eastAsia" w:eastAsia="仿宋_GB2312" w:cs="宋体"/>
                <w:sz w:val="30"/>
                <w:szCs w:val="28"/>
              </w:rPr>
              <w:t>“转让受限贷款”指需获得参考实体或该贷款的借款人或担保人或任何代理行的同意，方可被信用保护买方转让的贷款资产。</w:t>
            </w:r>
          </w:p>
        </w:tc>
      </w:tr>
    </w:tbl>
    <w:tbl>
      <w:tblPr>
        <w:tblStyle w:val="4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26F5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718EF516">
            <w:pPr>
              <w:spacing w:before="185" w:line="560" w:lineRule="exact"/>
              <w:ind w:firstLine="360"/>
              <w:jc w:val="center"/>
              <w:rPr>
                <w:rFonts w:eastAsia="仿宋_GB2312" w:cs="宋体"/>
                <w:b/>
                <w:bCs/>
                <w:spacing w:val="4"/>
                <w:sz w:val="30"/>
                <w:szCs w:val="28"/>
                <w:lang w:eastAsia="en-US" w:bidi="en-US"/>
              </w:rPr>
            </w:pPr>
            <w:r>
              <w:rPr>
                <w:rFonts w:hint="eastAsia" w:eastAsia="仿宋_GB2312" w:cs="宋体"/>
                <w:b/>
                <w:bCs/>
                <w:spacing w:val="4"/>
                <w:sz w:val="30"/>
                <w:szCs w:val="28"/>
                <w:lang w:eastAsia="en-US" w:bidi="en-US"/>
              </w:rPr>
              <w:t>回收率</w:t>
            </w:r>
          </w:p>
        </w:tc>
        <w:tc>
          <w:tcPr>
            <w:tcW w:w="5862" w:type="dxa"/>
          </w:tcPr>
          <w:p w14:paraId="172925D3">
            <w:pPr>
              <w:spacing w:line="560" w:lineRule="exact"/>
              <w:ind w:right="66" w:firstLine="360"/>
              <w:rPr>
                <w:rFonts w:eastAsia="仿宋_GB2312" w:cs="宋体"/>
                <w:bCs/>
                <w:spacing w:val="4"/>
                <w:sz w:val="30"/>
                <w:szCs w:val="28"/>
                <w:lang w:eastAsia="en-US" w:bidi="en-US"/>
              </w:rPr>
            </w:pPr>
            <w:r>
              <w:rPr>
                <w:rFonts w:hint="eastAsia" w:eastAsia="仿宋_GB2312" w:cs="宋体"/>
                <w:bCs/>
                <w:spacing w:val="4"/>
                <w:sz w:val="30"/>
                <w:szCs w:val="28"/>
                <w:lang w:eastAsia="en-US" w:bidi="en-US"/>
              </w:rPr>
              <w:t>债务违约后，债权人所能收回的金额与债务名义本金的比值。本确认书中指</w:t>
            </w:r>
            <w:r>
              <w:rPr>
                <w:rFonts w:hint="eastAsia" w:eastAsia="仿宋_GB2312" w:cs="宋体"/>
                <w:b/>
                <w:bCs/>
                <w:spacing w:val="4"/>
                <w:sz w:val="30"/>
                <w:szCs w:val="28"/>
                <w:lang w:eastAsia="en-US" w:bidi="en-US"/>
              </w:rPr>
              <w:t>交易双方</w:t>
            </w:r>
            <w:r>
              <w:rPr>
                <w:rFonts w:hint="eastAsia" w:eastAsia="仿宋_GB2312" w:cs="宋体"/>
                <w:bCs/>
                <w:spacing w:val="4"/>
                <w:sz w:val="30"/>
                <w:szCs w:val="28"/>
                <w:lang w:eastAsia="en-US" w:bidi="en-US"/>
              </w:rPr>
              <w:t>约定的该比值的具体数值或其确定方式。</w:t>
            </w:r>
          </w:p>
        </w:tc>
      </w:tr>
    </w:tbl>
    <w:p w14:paraId="43C0AE88">
      <w:pPr>
        <w:pStyle w:val="17"/>
        <w:spacing w:line="560" w:lineRule="exact"/>
        <w:rPr>
          <w:rFonts w:eastAsia="仿宋_GB2312"/>
          <w:sz w:val="30"/>
          <w:szCs w:val="28"/>
        </w:rPr>
      </w:pPr>
      <w:r>
        <w:rPr>
          <w:rFonts w:hint="eastAsia" w:eastAsia="仿宋_GB2312" w:cs="新宋体"/>
          <w:sz w:val="30"/>
          <w:szCs w:val="28"/>
        </w:rPr>
        <w:t>（本页以下无正文）</w:t>
      </w:r>
      <w:r>
        <w:rPr>
          <w:rFonts w:eastAsia="仿宋_GB2312" w:cs="新宋体"/>
          <w:b/>
          <w:sz w:val="30"/>
          <w:szCs w:val="28"/>
        </w:rPr>
        <w:br w:type="page"/>
      </w:r>
    </w:p>
    <w:p w14:paraId="30A6CE69">
      <w:pPr>
        <w:pStyle w:val="17"/>
        <w:spacing w:line="560" w:lineRule="exact"/>
        <w:jc w:val="center"/>
        <w:rPr>
          <w:rFonts w:eastAsia="仿宋_GB2312" w:cs="新宋体"/>
          <w:b/>
          <w:bCs/>
          <w:sz w:val="30"/>
          <w:szCs w:val="28"/>
        </w:rPr>
      </w:pPr>
      <w:r>
        <w:rPr>
          <w:rFonts w:hint="eastAsia" w:eastAsia="仿宋_GB2312" w:cs="新宋体"/>
          <w:b/>
          <w:bCs/>
          <w:sz w:val="30"/>
          <w:szCs w:val="28"/>
        </w:rPr>
        <w:t>《</w:t>
      </w:r>
      <w:r>
        <w:rPr>
          <w:rFonts w:eastAsia="仿宋_GB2312" w:cs="新宋体"/>
          <w:b/>
          <w:bCs/>
          <w:sz w:val="30"/>
          <w:szCs w:val="28"/>
        </w:rPr>
        <w:t>XXXX</w:t>
      </w:r>
      <w:r>
        <w:rPr>
          <w:rFonts w:hint="eastAsia" w:eastAsia="仿宋_GB2312" w:cs="新宋体"/>
          <w:b/>
          <w:bCs/>
          <w:sz w:val="30"/>
          <w:szCs w:val="28"/>
        </w:rPr>
        <w:t>信用保护合约交易确认书》签署页</w:t>
      </w:r>
    </w:p>
    <w:p w14:paraId="1BDBC34E">
      <w:pPr>
        <w:pStyle w:val="17"/>
        <w:spacing w:line="560" w:lineRule="exact"/>
        <w:ind w:right="4146"/>
        <w:rPr>
          <w:rFonts w:eastAsia="仿宋_GB2312" w:cs="新宋体"/>
          <w:sz w:val="30"/>
          <w:szCs w:val="28"/>
        </w:rPr>
      </w:pPr>
    </w:p>
    <w:p w14:paraId="67129625">
      <w:pPr>
        <w:pStyle w:val="17"/>
        <w:spacing w:line="560" w:lineRule="exact"/>
        <w:ind w:right="4146"/>
        <w:rPr>
          <w:rFonts w:eastAsia="仿宋_GB2312" w:cs="新宋体"/>
          <w:sz w:val="30"/>
          <w:szCs w:val="28"/>
        </w:rPr>
      </w:pPr>
    </w:p>
    <w:p w14:paraId="32CB1081">
      <w:pPr>
        <w:pStyle w:val="17"/>
        <w:spacing w:line="560" w:lineRule="exact"/>
        <w:ind w:right="4146"/>
        <w:rPr>
          <w:rFonts w:eastAsia="仿宋_GB2312" w:cs="新宋体"/>
          <w:b/>
          <w:sz w:val="30"/>
          <w:szCs w:val="28"/>
        </w:rPr>
      </w:pPr>
      <w:r>
        <w:rPr>
          <w:rFonts w:hint="eastAsia" w:eastAsia="仿宋_GB2312" w:cs="新宋体"/>
          <w:b/>
          <w:sz w:val="30"/>
          <w:szCs w:val="28"/>
        </w:rPr>
        <w:t>甲方：【】</w:t>
      </w:r>
    </w:p>
    <w:p w14:paraId="59A3103C">
      <w:pPr>
        <w:pStyle w:val="17"/>
        <w:spacing w:line="560" w:lineRule="exact"/>
        <w:ind w:right="4146"/>
        <w:rPr>
          <w:rFonts w:eastAsia="仿宋_GB2312" w:cs="新宋体"/>
          <w:b/>
          <w:sz w:val="30"/>
          <w:szCs w:val="28"/>
        </w:rPr>
      </w:pPr>
      <w:r>
        <w:rPr>
          <w:rFonts w:hint="eastAsia" w:eastAsia="仿宋_GB2312" w:cs="新宋体"/>
          <w:b/>
          <w:sz w:val="30"/>
          <w:szCs w:val="28"/>
        </w:rPr>
        <w:t>代表其管理的【】</w:t>
      </w:r>
    </w:p>
    <w:p w14:paraId="40FD4B5A">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7C1DF86A">
      <w:pPr>
        <w:pStyle w:val="17"/>
        <w:spacing w:line="560" w:lineRule="exact"/>
        <w:ind w:right="4146"/>
        <w:rPr>
          <w:rFonts w:eastAsia="仿宋_GB2312" w:cs="新宋体"/>
          <w:sz w:val="30"/>
          <w:szCs w:val="28"/>
        </w:rPr>
      </w:pPr>
      <w:r>
        <w:rPr>
          <w:rFonts w:hint="eastAsia" w:eastAsia="仿宋_GB2312" w:cs="新宋体"/>
          <w:b/>
          <w:bCs/>
          <w:sz w:val="30"/>
          <w:szCs w:val="28"/>
        </w:rPr>
        <w:t>授权代表（签字或盖章）：</w:t>
      </w:r>
    </w:p>
    <w:p w14:paraId="58E67145">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282FED8F">
      <w:pPr>
        <w:pStyle w:val="17"/>
        <w:spacing w:line="560" w:lineRule="exact"/>
        <w:ind w:right="4146"/>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642C74DC">
      <w:pPr>
        <w:spacing w:before="7" w:line="560" w:lineRule="exact"/>
        <w:rPr>
          <w:rFonts w:eastAsia="仿宋_GB2312" w:cs="新宋体"/>
          <w:sz w:val="30"/>
          <w:szCs w:val="28"/>
        </w:rPr>
      </w:pPr>
    </w:p>
    <w:p w14:paraId="25DF66E8">
      <w:pPr>
        <w:spacing w:before="7" w:line="560" w:lineRule="exact"/>
        <w:rPr>
          <w:rFonts w:eastAsia="仿宋_GB2312" w:cs="新宋体"/>
          <w:sz w:val="30"/>
          <w:szCs w:val="28"/>
        </w:rPr>
      </w:pPr>
    </w:p>
    <w:p w14:paraId="4A48DD67">
      <w:pPr>
        <w:pStyle w:val="17"/>
        <w:spacing w:line="560" w:lineRule="exact"/>
        <w:ind w:right="4146"/>
        <w:rPr>
          <w:rFonts w:eastAsia="仿宋_GB2312" w:cs="新宋体"/>
          <w:b/>
          <w:sz w:val="30"/>
          <w:szCs w:val="28"/>
        </w:rPr>
      </w:pPr>
      <w:r>
        <w:rPr>
          <w:rFonts w:hint="eastAsia" w:eastAsia="仿宋_GB2312" w:cs="新宋体"/>
          <w:b/>
          <w:sz w:val="30"/>
          <w:szCs w:val="28"/>
        </w:rPr>
        <w:t>乙方</w:t>
      </w:r>
      <w:r>
        <w:rPr>
          <w:rFonts w:hint="eastAsia" w:eastAsia="仿宋_GB2312" w:cs="新宋体"/>
          <w:sz w:val="30"/>
          <w:szCs w:val="28"/>
        </w:rPr>
        <w:t>：</w:t>
      </w:r>
      <w:r>
        <w:rPr>
          <w:rFonts w:hint="eastAsia" w:eastAsia="仿宋_GB2312" w:cs="新宋体"/>
          <w:b/>
          <w:sz w:val="30"/>
          <w:szCs w:val="28"/>
        </w:rPr>
        <w:t>【】</w:t>
      </w:r>
    </w:p>
    <w:p w14:paraId="78A42FBC">
      <w:pPr>
        <w:pStyle w:val="17"/>
        <w:spacing w:line="560" w:lineRule="exact"/>
        <w:ind w:right="4146"/>
        <w:rPr>
          <w:rFonts w:eastAsia="仿宋_GB2312" w:cs="新宋体"/>
          <w:sz w:val="30"/>
          <w:szCs w:val="28"/>
        </w:rPr>
      </w:pPr>
      <w:r>
        <w:rPr>
          <w:rFonts w:hint="eastAsia" w:eastAsia="仿宋_GB2312" w:cs="新宋体"/>
          <w:sz w:val="30"/>
          <w:szCs w:val="28"/>
        </w:rPr>
        <w:t>代表其管理的【】</w:t>
      </w:r>
    </w:p>
    <w:p w14:paraId="31A4F153">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47364CA1">
      <w:pPr>
        <w:pStyle w:val="17"/>
        <w:spacing w:line="560" w:lineRule="exact"/>
        <w:ind w:right="4146"/>
        <w:rPr>
          <w:rFonts w:eastAsia="仿宋_GB2312" w:cs="新宋体"/>
          <w:b/>
          <w:bCs/>
          <w:sz w:val="30"/>
          <w:szCs w:val="28"/>
        </w:rPr>
      </w:pPr>
      <w:r>
        <w:rPr>
          <w:rFonts w:hint="eastAsia" w:eastAsia="仿宋_GB2312" w:cs="新宋体"/>
          <w:b/>
          <w:bCs/>
          <w:sz w:val="30"/>
          <w:szCs w:val="28"/>
        </w:rPr>
        <w:t>授权代表（签字或盖章）：</w:t>
      </w:r>
      <w:r>
        <w:rPr>
          <w:rFonts w:eastAsia="仿宋_GB2312" w:cs="新宋体"/>
          <w:b/>
          <w:bCs/>
          <w:sz w:val="30"/>
          <w:szCs w:val="28"/>
        </w:rPr>
        <w:t xml:space="preserve"> </w:t>
      </w:r>
    </w:p>
    <w:p w14:paraId="2DEF533E">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01C32C28">
      <w:pPr>
        <w:pStyle w:val="17"/>
        <w:spacing w:before="36" w:line="560" w:lineRule="exact"/>
        <w:ind w:right="68"/>
        <w:jc w:val="left"/>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2B2AE51F">
      <w:pPr>
        <w:widowControl/>
        <w:jc w:val="left"/>
        <w:rPr>
          <w:rFonts w:ascii="仿宋_GB2312" w:hAnsi="仿宋" w:eastAsia="仿宋_GB2312"/>
          <w:sz w:val="24"/>
          <w:szCs w:val="30"/>
        </w:rPr>
      </w:pPr>
    </w:p>
    <w:p w14:paraId="211B2EFE">
      <w:r>
        <w:br w:type="page"/>
      </w:r>
    </w:p>
    <w:p w14:paraId="4E0D7911">
      <w:pPr>
        <w:widowControl/>
        <w:jc w:val="left"/>
        <w:outlineLvl w:val="1"/>
        <w:rPr>
          <w:rFonts w:ascii="仿宋_GB2312" w:hAnsi="黑体" w:eastAsia="仿宋_GB2312"/>
          <w:b/>
          <w:sz w:val="30"/>
          <w:szCs w:val="30"/>
        </w:rPr>
      </w:pPr>
      <w:bookmarkStart w:id="3511" w:name="_Toc151137107"/>
      <w:r>
        <w:rPr>
          <w:rFonts w:hint="eastAsia" w:ascii="仿宋_GB2312" w:hAnsi="黑体" w:eastAsia="仿宋_GB2312"/>
          <w:b/>
          <w:sz w:val="30"/>
          <w:szCs w:val="30"/>
        </w:rPr>
        <w:t>附件24 组合型信用保护合约要素表</w:t>
      </w:r>
      <w:bookmarkEnd w:id="3511"/>
    </w:p>
    <w:p w14:paraId="61D5E99C">
      <w:pPr>
        <w:pStyle w:val="100"/>
        <w:spacing w:line="560" w:lineRule="exact"/>
        <w:ind w:firstLine="643"/>
        <w:jc w:val="center"/>
        <w:rPr>
          <w:rFonts w:ascii="黑体" w:hAnsi="黑体" w:eastAsia="黑体"/>
          <w:b/>
          <w:color w:val="auto"/>
          <w:sz w:val="44"/>
          <w:szCs w:val="44"/>
        </w:rPr>
      </w:pPr>
    </w:p>
    <w:p w14:paraId="148434FC">
      <w:pPr>
        <w:pStyle w:val="100"/>
        <w:spacing w:line="560" w:lineRule="exact"/>
        <w:ind w:firstLine="883" w:firstLineChars="200"/>
        <w:jc w:val="center"/>
        <w:rPr>
          <w:rFonts w:cs="Arial"/>
          <w:sz w:val="30"/>
          <w:szCs w:val="30"/>
        </w:rPr>
      </w:pPr>
      <w:r>
        <w:rPr>
          <w:rFonts w:hint="eastAsia" w:ascii="黑体" w:hAnsi="黑体" w:eastAsia="黑体"/>
          <w:b/>
          <w:color w:val="auto"/>
          <w:sz w:val="44"/>
          <w:szCs w:val="44"/>
        </w:rPr>
        <w:t>组合型信用保护合约要素表</w:t>
      </w:r>
    </w:p>
    <w:tbl>
      <w:tblPr>
        <w:tblStyle w:val="44"/>
        <w:tblW w:w="8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26"/>
      </w:tblGrid>
      <w:tr w14:paraId="05F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1" w:type="dxa"/>
            <w:gridSpan w:val="2"/>
          </w:tcPr>
          <w:p w14:paraId="3785C38A">
            <w:pPr>
              <w:ind w:firstLine="360"/>
              <w:jc w:val="center"/>
              <w:rPr>
                <w:rFonts w:ascii="仿宋_GB2312" w:hAnsi="黑体" w:eastAsia="仿宋_GB2312"/>
                <w:b/>
                <w:sz w:val="30"/>
                <w:szCs w:val="30"/>
                <w:lang w:eastAsia="en-US" w:bidi="en-US"/>
              </w:rPr>
            </w:pPr>
            <w:r>
              <w:rPr>
                <w:rFonts w:hint="eastAsia" w:ascii="仿宋_GB2312" w:hAnsi="黑体" w:eastAsia="仿宋_GB2312"/>
                <w:b/>
                <w:sz w:val="30"/>
                <w:szCs w:val="30"/>
                <w:lang w:eastAsia="en-US" w:bidi="en-US"/>
              </w:rPr>
              <w:t>组合型信用保护合约要素</w:t>
            </w:r>
          </w:p>
        </w:tc>
      </w:tr>
      <w:tr w14:paraId="3758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5C941B9">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参考实体</w:t>
            </w:r>
          </w:p>
        </w:tc>
        <w:tc>
          <w:tcPr>
            <w:tcW w:w="6426" w:type="dxa"/>
          </w:tcPr>
          <w:p w14:paraId="020DFA1B">
            <w:pPr>
              <w:ind w:firstLine="0"/>
              <w:rPr>
                <w:rFonts w:ascii="仿宋_GB2312" w:eastAsia="仿宋_GB2312"/>
                <w:sz w:val="30"/>
                <w:szCs w:val="30"/>
                <w:lang w:eastAsia="en-US" w:bidi="en-US"/>
              </w:rPr>
            </w:pPr>
            <w:r>
              <w:rPr>
                <w:rFonts w:eastAsia="仿宋_GB2312" w:cs="新宋体"/>
                <w:bCs/>
                <w:sz w:val="30"/>
                <w:szCs w:val="28"/>
                <w:lang w:eastAsia="en-US" w:bidi="en-US"/>
              </w:rPr>
              <w:t>CSI-SSE</w:t>
            </w:r>
            <w:r>
              <w:rPr>
                <w:rFonts w:hint="eastAsia" w:eastAsia="仿宋_GB2312" w:cs="新宋体"/>
                <w:bCs/>
                <w:sz w:val="30"/>
                <w:szCs w:val="28"/>
                <w:lang w:eastAsia="en-US" w:bidi="en-US"/>
              </w:rPr>
              <w:t>交易所大型发行人</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SnVn/CSI-SSE</w:t>
            </w:r>
            <w:r>
              <w:rPr>
                <w:rFonts w:hint="eastAsia" w:eastAsia="仿宋_GB2312" w:cs="新宋体"/>
                <w:bCs/>
                <w:sz w:val="30"/>
                <w:szCs w:val="28"/>
                <w:lang w:eastAsia="en-US" w:bidi="en-US"/>
              </w:rPr>
              <w:t>交易所民企</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w:t>
            </w:r>
          </w:p>
        </w:tc>
      </w:tr>
      <w:tr w14:paraId="6013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C74C5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组合管理人</w:t>
            </w:r>
          </w:p>
        </w:tc>
        <w:tc>
          <w:tcPr>
            <w:tcW w:w="6426" w:type="dxa"/>
          </w:tcPr>
          <w:p w14:paraId="36636F28">
            <w:pPr>
              <w:ind w:firstLine="0"/>
              <w:rPr>
                <w:rFonts w:ascii="仿宋_GB2312" w:eastAsia="仿宋_GB2312"/>
                <w:sz w:val="30"/>
                <w:szCs w:val="30"/>
                <w:lang w:eastAsia="en-US" w:bidi="en-US"/>
              </w:rPr>
            </w:pPr>
            <w:r>
              <w:rPr>
                <w:rFonts w:hint="eastAsia" w:ascii="仿宋_GB2312" w:eastAsia="仿宋_GB2312"/>
                <w:sz w:val="30"/>
                <w:szCs w:val="30"/>
                <w:lang w:eastAsia="en-US" w:bidi="en-US"/>
              </w:rPr>
              <w:t>中证指数</w:t>
            </w:r>
            <w:r>
              <w:rPr>
                <w:rFonts w:ascii="仿宋_GB2312" w:eastAsia="仿宋_GB2312"/>
                <w:sz w:val="30"/>
                <w:szCs w:val="30"/>
                <w:lang w:eastAsia="en-US" w:bidi="en-US"/>
              </w:rPr>
              <w:t>有限公司</w:t>
            </w:r>
          </w:p>
        </w:tc>
      </w:tr>
      <w:tr w14:paraId="222C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59391A46">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组合滚动日</w:t>
            </w:r>
          </w:p>
        </w:tc>
        <w:tc>
          <w:tcPr>
            <w:tcW w:w="6426" w:type="dxa"/>
          </w:tcPr>
          <w:p w14:paraId="7F6BBD7A">
            <w:pPr>
              <w:ind w:firstLine="0"/>
              <w:rPr>
                <w:rFonts w:ascii="仿宋_GB2312" w:eastAsia="仿宋_GB2312"/>
                <w:sz w:val="30"/>
                <w:szCs w:val="30"/>
                <w:lang w:eastAsia="en-US" w:bidi="en-US"/>
              </w:rPr>
            </w:pPr>
            <w:r>
              <w:rPr>
                <w:rFonts w:hint="eastAsia" w:ascii="仿宋_GB2312" w:eastAsia="仿宋_GB2312"/>
                <w:sz w:val="30"/>
                <w:szCs w:val="30"/>
                <w:lang w:eastAsia="en-US" w:bidi="en-US"/>
              </w:rPr>
              <w:t>3月20日和9月20日，根据交易日准则调整</w:t>
            </w:r>
          </w:p>
        </w:tc>
      </w:tr>
      <w:tr w14:paraId="5334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E0A5F3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受保护债务范围</w:t>
            </w:r>
          </w:p>
        </w:tc>
        <w:tc>
          <w:tcPr>
            <w:tcW w:w="6426" w:type="dxa"/>
          </w:tcPr>
          <w:p w14:paraId="3668B90D">
            <w:pPr>
              <w:ind w:firstLine="0"/>
              <w:rPr>
                <w:rFonts w:ascii="仿宋_GB2312" w:eastAsia="仿宋_GB2312"/>
                <w:sz w:val="30"/>
                <w:szCs w:val="30"/>
                <w:lang w:eastAsia="en-US" w:bidi="en-US"/>
              </w:rPr>
            </w:pPr>
            <w:r>
              <w:rPr>
                <w:rFonts w:hint="eastAsia" w:eastAsia="仿宋_GB2312"/>
                <w:sz w:val="30"/>
                <w:szCs w:val="30"/>
                <w:lang w:eastAsia="en-US" w:bidi="en-US"/>
              </w:rPr>
              <w:t>参考实体在中国境内发行并在沪深交易所上市交易或者挂牌转让的以人民币计价的公司债券和可转换公司债券</w:t>
            </w:r>
          </w:p>
        </w:tc>
      </w:tr>
      <w:tr w14:paraId="2486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31DB1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期限</w:t>
            </w:r>
          </w:p>
        </w:tc>
        <w:tc>
          <w:tcPr>
            <w:tcW w:w="6426" w:type="dxa"/>
          </w:tcPr>
          <w:p w14:paraId="3D140CB5">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40515652">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w:t>
            </w:r>
            <w:r>
              <w:rPr>
                <w:rFonts w:ascii="仿宋_GB2312" w:eastAsia="仿宋_GB2312"/>
                <w:sz w:val="30"/>
                <w:szCs w:val="30"/>
                <w:lang w:eastAsia="en-US" w:bidi="en-US"/>
              </w:rPr>
              <w:t>3M</w:t>
            </w:r>
            <w:r>
              <w:rPr>
                <w:rFonts w:hint="eastAsia" w:ascii="仿宋_GB2312" w:eastAsia="仿宋_GB2312"/>
                <w:sz w:val="30"/>
                <w:szCs w:val="30"/>
                <w:lang w:eastAsia="en-US" w:bidi="en-US"/>
              </w:rPr>
              <w:t>/</w:t>
            </w:r>
            <w:r>
              <w:rPr>
                <w:rFonts w:ascii="仿宋_GB2312" w:eastAsia="仿宋_GB2312"/>
                <w:sz w:val="30"/>
                <w:szCs w:val="30"/>
                <w:lang w:eastAsia="en-US" w:bidi="en-US"/>
              </w:rPr>
              <w:t>6M</w:t>
            </w:r>
            <w:r>
              <w:rPr>
                <w:rFonts w:hint="eastAsia" w:ascii="仿宋_GB2312" w:eastAsia="仿宋_GB2312"/>
                <w:sz w:val="30"/>
                <w:szCs w:val="30"/>
                <w:lang w:eastAsia="en-US" w:bidi="en-US"/>
              </w:rPr>
              <w:t>/</w:t>
            </w:r>
            <w:r>
              <w:rPr>
                <w:rFonts w:ascii="仿宋_GB2312" w:eastAsia="仿宋_GB2312"/>
                <w:sz w:val="30"/>
                <w:szCs w:val="30"/>
                <w:lang w:eastAsia="en-US" w:bidi="en-US"/>
              </w:rPr>
              <w:t>1Y</w:t>
            </w:r>
            <w:r>
              <w:rPr>
                <w:rFonts w:hint="eastAsia" w:ascii="仿宋_GB2312" w:eastAsia="仿宋_GB2312"/>
                <w:sz w:val="30"/>
                <w:szCs w:val="30"/>
                <w:lang w:eastAsia="en-US" w:bidi="en-US"/>
              </w:rPr>
              <w:t>/</w:t>
            </w:r>
            <w:r>
              <w:rPr>
                <w:rFonts w:ascii="仿宋_GB2312" w:eastAsia="仿宋_GB2312"/>
                <w:sz w:val="30"/>
                <w:szCs w:val="30"/>
                <w:lang w:eastAsia="en-US" w:bidi="en-US"/>
              </w:rPr>
              <w:t>2Y</w:t>
            </w:r>
            <w:r>
              <w:rPr>
                <w:rFonts w:hint="eastAsia" w:ascii="仿宋_GB2312" w:eastAsia="仿宋_GB2312"/>
                <w:sz w:val="30"/>
                <w:szCs w:val="30"/>
                <w:lang w:eastAsia="en-US" w:bidi="en-US"/>
              </w:rPr>
              <w:t>/</w:t>
            </w:r>
            <w:r>
              <w:rPr>
                <w:rFonts w:ascii="仿宋_GB2312" w:eastAsia="仿宋_GB2312"/>
                <w:sz w:val="30"/>
                <w:szCs w:val="30"/>
                <w:lang w:eastAsia="en-US" w:bidi="en-US"/>
              </w:rPr>
              <w:t>3Y</w:t>
            </w:r>
            <w:r>
              <w:rPr>
                <w:rFonts w:hint="eastAsia" w:ascii="仿宋_GB2312" w:eastAsia="仿宋_GB2312"/>
                <w:sz w:val="30"/>
                <w:szCs w:val="30"/>
                <w:lang w:eastAsia="en-US" w:bidi="en-US"/>
              </w:rPr>
              <w:t>/</w:t>
            </w:r>
            <w:r>
              <w:rPr>
                <w:rFonts w:ascii="仿宋_GB2312" w:eastAsia="仿宋_GB2312"/>
                <w:sz w:val="30"/>
                <w:szCs w:val="30"/>
                <w:lang w:eastAsia="en-US" w:bidi="en-US"/>
              </w:rPr>
              <w:t>4Y</w:t>
            </w:r>
            <w:r>
              <w:rPr>
                <w:rFonts w:hint="eastAsia" w:ascii="仿宋_GB2312" w:eastAsia="仿宋_GB2312"/>
                <w:sz w:val="30"/>
                <w:szCs w:val="30"/>
                <w:lang w:eastAsia="en-US" w:bidi="en-US"/>
              </w:rPr>
              <w:t>/</w:t>
            </w:r>
            <w:r>
              <w:rPr>
                <w:rFonts w:ascii="仿宋_GB2312" w:eastAsia="仿宋_GB2312"/>
                <w:sz w:val="30"/>
                <w:szCs w:val="30"/>
                <w:lang w:eastAsia="en-US" w:bidi="en-US"/>
              </w:rPr>
              <w:t>5Y</w:t>
            </w:r>
          </w:p>
        </w:tc>
      </w:tr>
      <w:tr w14:paraId="6ED5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4D054AF">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约定到期日</w:t>
            </w:r>
          </w:p>
        </w:tc>
        <w:tc>
          <w:tcPr>
            <w:tcW w:w="6426" w:type="dxa"/>
          </w:tcPr>
          <w:p w14:paraId="43D835EA">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0168D3C8">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标准合约：约定年份的</w:t>
            </w:r>
            <w:r>
              <w:rPr>
                <w:rFonts w:ascii="仿宋_GB2312" w:eastAsia="仿宋_GB2312"/>
                <w:sz w:val="30"/>
                <w:szCs w:val="30"/>
                <w:lang w:eastAsia="en-US" w:bidi="en-US"/>
              </w:rPr>
              <w:t>6月20日或12月20日</w:t>
            </w:r>
          </w:p>
        </w:tc>
      </w:tr>
      <w:tr w14:paraId="6D59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5980B4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保护费支付方式</w:t>
            </w:r>
          </w:p>
        </w:tc>
        <w:tc>
          <w:tcPr>
            <w:tcW w:w="6426" w:type="dxa"/>
          </w:tcPr>
          <w:p w14:paraId="4611EAB2">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w:t>
            </w:r>
            <w:r>
              <w:rPr>
                <w:rFonts w:hint="eastAsia" w:ascii="仿宋_GB2312" w:eastAsia="仿宋_GB2312"/>
                <w:sz w:val="30"/>
                <w:szCs w:val="30"/>
                <w:lang w:eastAsia="en-US" w:bidi="en-US"/>
              </w:rPr>
              <w:t>可选择</w:t>
            </w:r>
            <w:r>
              <w:rPr>
                <w:rFonts w:ascii="仿宋_GB2312" w:eastAsia="仿宋_GB2312"/>
                <w:sz w:val="30"/>
                <w:szCs w:val="30"/>
                <w:lang w:eastAsia="en-US" w:bidi="en-US"/>
              </w:rPr>
              <w:t>以下</w:t>
            </w:r>
            <w:r>
              <w:rPr>
                <w:rFonts w:hint="eastAsia" w:ascii="仿宋_GB2312" w:eastAsia="仿宋_GB2312"/>
                <w:sz w:val="30"/>
                <w:szCs w:val="30"/>
                <w:lang w:eastAsia="en-US" w:bidi="en-US"/>
              </w:rPr>
              <w:t>3种</w:t>
            </w:r>
            <w:r>
              <w:rPr>
                <w:rFonts w:ascii="仿宋_GB2312" w:eastAsia="仿宋_GB2312"/>
                <w:sz w:val="30"/>
                <w:szCs w:val="30"/>
                <w:lang w:eastAsia="en-US" w:bidi="en-US"/>
              </w:rPr>
              <w:t>方式之一：</w:t>
            </w:r>
          </w:p>
          <w:p w14:paraId="136E8803">
            <w:pPr>
              <w:ind w:firstLine="0"/>
              <w:rPr>
                <w:rFonts w:ascii="仿宋_GB2312" w:eastAsia="仿宋_GB2312"/>
                <w:sz w:val="30"/>
                <w:szCs w:val="30"/>
                <w:lang w:eastAsia="en-US" w:bidi="en-US"/>
              </w:rPr>
            </w:pPr>
            <w:r>
              <w:rPr>
                <w:rFonts w:hint="eastAsia" w:ascii="仿宋_GB2312" w:eastAsia="仿宋_GB2312"/>
                <w:sz w:val="30"/>
                <w:szCs w:val="30"/>
                <w:lang w:eastAsia="en-US" w:bidi="en-US"/>
              </w:rPr>
              <w:t>（1）按季度支付约定保护费（2）按季度标准保护费和部分前端费用相结合（3）</w:t>
            </w:r>
            <w:r>
              <w:rPr>
                <w:rFonts w:ascii="仿宋_GB2312" w:eastAsia="仿宋_GB2312"/>
                <w:sz w:val="30"/>
                <w:szCs w:val="30"/>
                <w:lang w:eastAsia="en-US" w:bidi="en-US"/>
              </w:rPr>
              <w:t>前端一次性支付</w:t>
            </w:r>
            <w:r>
              <w:rPr>
                <w:rFonts w:hint="eastAsia" w:ascii="仿宋_GB2312" w:eastAsia="仿宋_GB2312"/>
                <w:sz w:val="30"/>
                <w:szCs w:val="30"/>
                <w:lang w:eastAsia="en-US" w:bidi="en-US"/>
              </w:rPr>
              <w:t>；</w:t>
            </w:r>
          </w:p>
          <w:p w14:paraId="148AFA5F">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标准合约：按季度标准保护费和部分前端费用相结合</w:t>
            </w:r>
          </w:p>
        </w:tc>
      </w:tr>
      <w:tr w14:paraId="1C60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BAD3E3B">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清算安排</w:t>
            </w:r>
          </w:p>
        </w:tc>
        <w:tc>
          <w:tcPr>
            <w:tcW w:w="6426" w:type="dxa"/>
          </w:tcPr>
          <w:p w14:paraId="1A48ECE0">
            <w:pPr>
              <w:ind w:firstLine="0"/>
              <w:rPr>
                <w:rFonts w:ascii="仿宋_GB2312" w:eastAsia="仿宋_GB2312"/>
                <w:sz w:val="30"/>
                <w:szCs w:val="30"/>
                <w:lang w:eastAsia="en-US" w:bidi="en-US"/>
              </w:rPr>
            </w:pPr>
            <w:r>
              <w:rPr>
                <w:rFonts w:hint="eastAsia" w:ascii="仿宋_GB2312" w:eastAsia="仿宋_GB2312"/>
                <w:sz w:val="30"/>
                <w:szCs w:val="30"/>
                <w:lang w:eastAsia="en-US" w:bidi="en-US"/>
              </w:rPr>
              <w:t>双边清算</w:t>
            </w:r>
          </w:p>
        </w:tc>
      </w:tr>
      <w:tr w14:paraId="2442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2DE5D3E">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信用事件类型</w:t>
            </w:r>
          </w:p>
        </w:tc>
        <w:tc>
          <w:tcPr>
            <w:tcW w:w="6426" w:type="dxa"/>
          </w:tcPr>
          <w:p w14:paraId="1B81BAEB">
            <w:pPr>
              <w:ind w:firstLine="0"/>
              <w:rPr>
                <w:rFonts w:ascii="仿宋_GB2312" w:eastAsia="仿宋_GB2312"/>
                <w:sz w:val="30"/>
                <w:szCs w:val="30"/>
                <w:lang w:eastAsia="en-US" w:bidi="en-US"/>
              </w:rPr>
            </w:pPr>
            <w:r>
              <w:rPr>
                <w:rFonts w:hint="eastAsia" w:ascii="仿宋_GB2312" w:eastAsia="仿宋_GB2312"/>
                <w:sz w:val="30"/>
                <w:szCs w:val="30"/>
                <w:lang w:eastAsia="en-US" w:bidi="en-US"/>
              </w:rPr>
              <w:t>破产和支付违约</w:t>
            </w:r>
          </w:p>
        </w:tc>
      </w:tr>
      <w:tr w14:paraId="4561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EE7A2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结算方式</w:t>
            </w:r>
          </w:p>
        </w:tc>
        <w:tc>
          <w:tcPr>
            <w:tcW w:w="6426" w:type="dxa"/>
          </w:tcPr>
          <w:p w14:paraId="50B4A736">
            <w:pPr>
              <w:ind w:firstLine="0"/>
              <w:rPr>
                <w:rFonts w:ascii="仿宋_GB2312" w:eastAsia="仿宋_GB2312"/>
                <w:sz w:val="30"/>
                <w:szCs w:val="30"/>
                <w:lang w:eastAsia="en-US" w:bidi="en-US"/>
              </w:rPr>
            </w:pPr>
            <w:r>
              <w:rPr>
                <w:rFonts w:hint="eastAsia" w:ascii="仿宋_GB2312" w:eastAsia="仿宋_GB2312"/>
                <w:sz w:val="30"/>
                <w:szCs w:val="30"/>
                <w:lang w:eastAsia="en-US" w:bidi="en-US"/>
              </w:rPr>
              <w:t>现金结算/实物结算，其中</w:t>
            </w:r>
            <w:r>
              <w:rPr>
                <w:rFonts w:hint="eastAsia" w:eastAsia="仿宋_GB2312" w:cs="宋体"/>
                <w:sz w:val="30"/>
                <w:szCs w:val="30"/>
                <w:lang w:eastAsia="en-US" w:bidi="en-US"/>
              </w:rPr>
              <w:t>实物结算的可交付债务仅限于参考实体在上交所上市或挂牌的债券</w:t>
            </w:r>
          </w:p>
        </w:tc>
      </w:tr>
      <w:tr w14:paraId="440C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2CBECC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约定回收率</w:t>
            </w:r>
          </w:p>
        </w:tc>
        <w:tc>
          <w:tcPr>
            <w:tcW w:w="6426" w:type="dxa"/>
          </w:tcPr>
          <w:p w14:paraId="4A90195A">
            <w:pPr>
              <w:ind w:firstLine="0"/>
              <w:rPr>
                <w:rFonts w:ascii="仿宋_GB2312" w:eastAsia="仿宋_GB2312"/>
                <w:sz w:val="30"/>
                <w:szCs w:val="30"/>
                <w:lang w:eastAsia="en-US" w:bidi="en-US"/>
              </w:rPr>
            </w:pPr>
            <w:r>
              <w:rPr>
                <w:rFonts w:hint="eastAsia" w:ascii="仿宋_GB2312" w:eastAsia="仿宋_GB2312"/>
                <w:sz w:val="30"/>
                <w:szCs w:val="30"/>
                <w:lang w:eastAsia="en-US" w:bidi="en-US"/>
              </w:rPr>
              <w:t>参考回收率为25%</w:t>
            </w:r>
          </w:p>
        </w:tc>
      </w:tr>
    </w:tbl>
    <w:p w14:paraId="1FA9D693">
      <w:pPr>
        <w:spacing w:line="560" w:lineRule="exact"/>
        <w:rPr>
          <w:rFonts w:eastAsia="仿宋_GB2312"/>
          <w:sz w:val="30"/>
        </w:rPr>
      </w:pPr>
    </w:p>
    <w:p w14:paraId="2FC3C151">
      <w:pPr>
        <w:widowControl/>
        <w:jc w:val="left"/>
        <w:rPr>
          <w:rFonts w:eastAsia="仿宋_GB2312"/>
        </w:rPr>
      </w:pPr>
      <w:r>
        <w:rPr>
          <w:rFonts w:hint="eastAsia" w:eastAsia="仿宋_GB2312"/>
        </w:rPr>
        <w:t>*交易所</w:t>
      </w:r>
      <w:r>
        <w:rPr>
          <w:rFonts w:eastAsia="仿宋_GB2312"/>
        </w:rPr>
        <w:t>大型发行人CDX和交易所民企CDX</w:t>
      </w:r>
      <w:r>
        <w:rPr>
          <w:rFonts w:hint="eastAsia" w:eastAsia="仿宋_GB2312"/>
        </w:rPr>
        <w:t>的</w:t>
      </w:r>
      <w:r>
        <w:rPr>
          <w:rFonts w:eastAsia="仿宋_GB2312"/>
        </w:rPr>
        <w:t>组合编制方案、组合名单</w:t>
      </w:r>
      <w:r>
        <w:rPr>
          <w:rFonts w:hint="eastAsia" w:eastAsia="仿宋_GB2312"/>
        </w:rPr>
        <w:t>以及信用</w:t>
      </w:r>
      <w:r>
        <w:rPr>
          <w:rFonts w:eastAsia="仿宋_GB2312"/>
        </w:rPr>
        <w:t>曲线等信息均可</w:t>
      </w:r>
      <w:r>
        <w:rPr>
          <w:rFonts w:hint="eastAsia" w:eastAsia="仿宋_GB2312"/>
        </w:rPr>
        <w:t>于中证</w:t>
      </w:r>
      <w:r>
        <w:rPr>
          <w:rFonts w:eastAsia="仿宋_GB2312"/>
        </w:rPr>
        <w:t>指数有限公司网站查看。</w:t>
      </w:r>
    </w:p>
    <w:p w14:paraId="4C1B83AB">
      <w:r>
        <w:br w:type="page"/>
      </w:r>
    </w:p>
    <w:p w14:paraId="62B93C5F">
      <w:pPr>
        <w:widowControl/>
        <w:jc w:val="left"/>
        <w:outlineLvl w:val="1"/>
        <w:rPr>
          <w:rFonts w:ascii="仿宋_GB2312" w:hAnsi="黑体" w:eastAsia="仿宋_GB2312"/>
          <w:b/>
          <w:sz w:val="30"/>
          <w:szCs w:val="30"/>
        </w:rPr>
      </w:pPr>
      <w:bookmarkStart w:id="3512" w:name="_Toc151137108"/>
      <w:r>
        <w:rPr>
          <w:rFonts w:hint="eastAsia" w:ascii="仿宋_GB2312" w:hAnsi="黑体" w:eastAsia="仿宋_GB2312"/>
          <w:b/>
          <w:sz w:val="30"/>
          <w:szCs w:val="30"/>
        </w:rPr>
        <w:t>附件25 信用保护凭证创设说明书参考格式</w:t>
      </w:r>
      <w:bookmarkEnd w:id="3512"/>
    </w:p>
    <w:p w14:paraId="2C400A94">
      <w:pPr>
        <w:spacing w:line="600" w:lineRule="exact"/>
        <w:jc w:val="left"/>
        <w:rPr>
          <w:rFonts w:ascii="仿宋_GB2312" w:hAnsi="仿宋" w:eastAsia="仿宋_GB2312"/>
          <w:b/>
          <w:bCs/>
          <w:sz w:val="30"/>
          <w:szCs w:val="30"/>
        </w:rPr>
      </w:pPr>
    </w:p>
    <w:p w14:paraId="74C615D4">
      <w:pPr>
        <w:pStyle w:val="100"/>
        <w:spacing w:line="560" w:lineRule="exact"/>
        <w:ind w:firstLine="641"/>
        <w:jc w:val="center"/>
        <w:rPr>
          <w:rFonts w:ascii="黑体" w:hAnsi="黑体" w:eastAsia="黑体"/>
          <w:b/>
          <w:color w:val="auto"/>
          <w:sz w:val="44"/>
          <w:szCs w:val="44"/>
        </w:rPr>
      </w:pPr>
      <w:r>
        <w:rPr>
          <w:rFonts w:ascii="黑体" w:hAnsi="黑体" w:eastAsia="黑体"/>
          <w:b/>
          <w:color w:val="auto"/>
          <w:sz w:val="44"/>
          <w:szCs w:val="44"/>
        </w:rPr>
        <w:t>XXXX</w:t>
      </w:r>
      <w:r>
        <w:rPr>
          <w:rStyle w:val="53"/>
          <w:rFonts w:ascii="黑体" w:hAnsi="黑体" w:eastAsia="黑体"/>
          <w:b/>
          <w:color w:val="auto"/>
          <w:sz w:val="44"/>
          <w:szCs w:val="44"/>
        </w:rPr>
        <w:footnoteReference w:id="3"/>
      </w:r>
      <w:r>
        <w:rPr>
          <w:rFonts w:hint="eastAsia" w:ascii="黑体" w:hAnsi="黑体" w:eastAsia="黑体"/>
          <w:b/>
          <w:color w:val="auto"/>
          <w:sz w:val="44"/>
          <w:szCs w:val="44"/>
        </w:rPr>
        <w:t>信用保护凭证创设说明书</w:t>
      </w:r>
    </w:p>
    <w:p w14:paraId="017E4E1B">
      <w:pPr>
        <w:pStyle w:val="17"/>
        <w:jc w:val="center"/>
        <w:rPr>
          <w:b/>
          <w:sz w:val="30"/>
          <w:szCs w:val="30"/>
        </w:rPr>
      </w:pPr>
      <w:r>
        <w:rPr>
          <w:rFonts w:hint="eastAsia" w:eastAsia="仿宋_GB2312"/>
          <w:b/>
          <w:sz w:val="30"/>
          <w:szCs w:val="30"/>
        </w:rPr>
        <w:t>创设说明书封面和目录</w:t>
      </w:r>
    </w:p>
    <w:p w14:paraId="5EEC8DA7">
      <w:pPr>
        <w:spacing w:line="560" w:lineRule="exact"/>
        <w:ind w:firstLine="600" w:firstLineChars="200"/>
        <w:rPr>
          <w:rFonts w:eastAsia="仿宋_GB2312"/>
          <w:sz w:val="30"/>
          <w:szCs w:val="30"/>
        </w:rPr>
      </w:pPr>
      <w:r>
        <w:rPr>
          <w:rFonts w:hint="eastAsia" w:eastAsia="仿宋_GB2312"/>
          <w:sz w:val="30"/>
          <w:szCs w:val="30"/>
        </w:rPr>
        <w:t>创设说明书封面应当标有“</w:t>
      </w:r>
      <w:r>
        <w:rPr>
          <w:rFonts w:eastAsia="仿宋_GB2312"/>
          <w:sz w:val="30"/>
          <w:szCs w:val="30"/>
        </w:rPr>
        <w:t>XX</w:t>
      </w:r>
      <w:r>
        <w:rPr>
          <w:rFonts w:hint="eastAsia" w:eastAsia="仿宋_GB2312"/>
          <w:sz w:val="30"/>
          <w:szCs w:val="30"/>
        </w:rPr>
        <w:t>信用保护凭证创设说明书</w:t>
      </w:r>
      <w:r>
        <w:rPr>
          <w:rFonts w:eastAsia="仿宋_GB2312"/>
          <w:sz w:val="30"/>
          <w:szCs w:val="30"/>
        </w:rPr>
        <w:t>”</w:t>
      </w:r>
      <w:r>
        <w:rPr>
          <w:rFonts w:hint="eastAsia" w:eastAsia="仿宋_GB2312"/>
          <w:sz w:val="30"/>
          <w:szCs w:val="30"/>
        </w:rPr>
        <w:t>的字样。封面下端应当标明创设机构的全称、时间以及创设机构签章。</w:t>
      </w:r>
    </w:p>
    <w:p w14:paraId="3653A4FA">
      <w:pPr>
        <w:spacing w:line="560" w:lineRule="exact"/>
        <w:ind w:firstLine="600" w:firstLineChars="200"/>
        <w:rPr>
          <w:rFonts w:eastAsia="仿宋_GB2312"/>
          <w:b/>
          <w:sz w:val="30"/>
          <w:szCs w:val="30"/>
        </w:rPr>
      </w:pPr>
      <w:r>
        <w:rPr>
          <w:rFonts w:hint="eastAsia" w:eastAsia="仿宋_GB2312"/>
          <w:sz w:val="30"/>
          <w:szCs w:val="30"/>
        </w:rPr>
        <w:t>创设机构应当在创设说明书的扉页提示投资者：</w:t>
      </w:r>
      <w:r>
        <w:rPr>
          <w:rFonts w:hint="eastAsia" w:eastAsia="仿宋_GB2312"/>
          <w:b/>
          <w:sz w:val="30"/>
          <w:szCs w:val="30"/>
        </w:rPr>
        <w:t>“上海证券交易所同意信用保护凭证的挂牌转让，并不代表对其投资风险、价值或收益作出任何判断或保证。投资者应当认真阅读有关信息披露文件，进行独立的投资判断，自行承担投资风险。”</w:t>
      </w:r>
    </w:p>
    <w:p w14:paraId="06B816DC">
      <w:pPr>
        <w:spacing w:line="560" w:lineRule="exact"/>
        <w:ind w:firstLine="600" w:firstLineChars="200"/>
        <w:rPr>
          <w:rFonts w:eastAsia="仿宋_GB2312"/>
          <w:sz w:val="30"/>
          <w:szCs w:val="30"/>
        </w:rPr>
      </w:pPr>
      <w:r>
        <w:rPr>
          <w:rFonts w:hint="eastAsia" w:eastAsia="仿宋_GB2312"/>
          <w:sz w:val="30"/>
          <w:szCs w:val="30"/>
        </w:rPr>
        <w:t>创设说明书释义应在目录次页排印，对创设说明书中的有关机构简称、代称、专有名词、专业名词进行准确、简要定义。</w:t>
      </w:r>
    </w:p>
    <w:p w14:paraId="01B619AB">
      <w:pPr>
        <w:spacing w:line="560" w:lineRule="exact"/>
        <w:ind w:firstLine="482"/>
        <w:rPr>
          <w:rFonts w:eastAsia="仿宋_GB2312"/>
          <w:sz w:val="30"/>
          <w:szCs w:val="30"/>
        </w:rPr>
      </w:pPr>
    </w:p>
    <w:p w14:paraId="2BFF87C9">
      <w:pPr>
        <w:widowControl/>
        <w:spacing w:line="560" w:lineRule="exact"/>
        <w:jc w:val="left"/>
        <w:rPr>
          <w:rFonts w:eastAsia="仿宋_GB2312" w:cstheme="majorBidi"/>
          <w:b/>
          <w:bCs/>
          <w:sz w:val="30"/>
          <w:szCs w:val="30"/>
        </w:rPr>
      </w:pPr>
      <w:r>
        <w:rPr>
          <w:rFonts w:eastAsia="仿宋_GB2312"/>
          <w:sz w:val="30"/>
          <w:szCs w:val="30"/>
        </w:rPr>
        <w:br w:type="page"/>
      </w:r>
    </w:p>
    <w:p w14:paraId="2F972C7E">
      <w:pPr>
        <w:pStyle w:val="17"/>
        <w:jc w:val="center"/>
        <w:rPr>
          <w:rFonts w:ascii="仿宋_GB2312" w:eastAsia="仿宋_GB2312"/>
          <w:sz w:val="30"/>
          <w:szCs w:val="30"/>
        </w:rPr>
      </w:pPr>
      <w:r>
        <w:rPr>
          <w:rFonts w:hint="eastAsia" w:ascii="仿宋_GB2312" w:eastAsia="仿宋_GB2312"/>
          <w:b/>
          <w:sz w:val="30"/>
          <w:szCs w:val="30"/>
        </w:rPr>
        <w:t>创设说明书正文</w:t>
      </w:r>
    </w:p>
    <w:p w14:paraId="63E1A8D5">
      <w:pPr>
        <w:pStyle w:val="100"/>
        <w:spacing w:line="560" w:lineRule="exact"/>
        <w:rPr>
          <w:rFonts w:cs="Calibri"/>
          <w:b/>
          <w:color w:val="auto"/>
          <w:sz w:val="30"/>
          <w:szCs w:val="30"/>
        </w:rPr>
      </w:pPr>
      <w:r>
        <w:rPr>
          <w:rFonts w:hint="eastAsia"/>
          <w:b/>
          <w:color w:val="auto"/>
          <w:sz w:val="30"/>
          <w:szCs w:val="30"/>
        </w:rPr>
        <w:t>第一节</w:t>
      </w:r>
      <w:r>
        <w:rPr>
          <w:b/>
          <w:color w:val="auto"/>
          <w:sz w:val="30"/>
          <w:szCs w:val="30"/>
        </w:rPr>
        <w:t xml:space="preserve"> </w:t>
      </w:r>
      <w:r>
        <w:rPr>
          <w:rFonts w:hint="eastAsia"/>
          <w:b/>
          <w:color w:val="auto"/>
          <w:sz w:val="30"/>
          <w:szCs w:val="30"/>
        </w:rPr>
        <w:t>本期凭证创设情况</w:t>
      </w:r>
      <w:r>
        <w:rPr>
          <w:rFonts w:cs="Calibri"/>
          <w:b/>
          <w:bCs/>
          <w:color w:val="auto"/>
          <w:sz w:val="30"/>
          <w:szCs w:val="30"/>
        </w:rPr>
        <w:t xml:space="preserve"> </w:t>
      </w:r>
    </w:p>
    <w:p w14:paraId="2CCAB0EA">
      <w:pPr>
        <w:pStyle w:val="100"/>
        <w:spacing w:line="560" w:lineRule="exact"/>
        <w:rPr>
          <w:rFonts w:cs="Calibri"/>
          <w:b/>
          <w:bCs/>
          <w:color w:val="auto"/>
          <w:sz w:val="30"/>
          <w:szCs w:val="30"/>
        </w:rPr>
      </w:pPr>
      <w:r>
        <w:rPr>
          <w:color w:val="auto"/>
          <w:sz w:val="30"/>
          <w:szCs w:val="30"/>
        </w:rPr>
        <w:t xml:space="preserve">1.1 </w:t>
      </w:r>
      <w:r>
        <w:rPr>
          <w:rFonts w:hint="eastAsia"/>
          <w:color w:val="auto"/>
          <w:sz w:val="30"/>
          <w:szCs w:val="30"/>
        </w:rPr>
        <w:t>创设机构基本情况</w:t>
      </w:r>
      <w:r>
        <w:rPr>
          <w:color w:val="auto"/>
          <w:sz w:val="30"/>
          <w:szCs w:val="30"/>
        </w:rPr>
        <w:t xml:space="preserve"> </w:t>
      </w:r>
    </w:p>
    <w:p w14:paraId="377EC7D8">
      <w:pPr>
        <w:pStyle w:val="100"/>
        <w:spacing w:line="560" w:lineRule="exact"/>
        <w:ind w:firstLine="600" w:firstLineChars="200"/>
        <w:rPr>
          <w:rFonts w:cs="Calibri"/>
          <w:b/>
          <w:bCs/>
          <w:color w:val="auto"/>
          <w:sz w:val="30"/>
          <w:szCs w:val="30"/>
        </w:rPr>
      </w:pPr>
      <w:r>
        <w:rPr>
          <w:rFonts w:hint="eastAsia"/>
          <w:color w:val="auto"/>
          <w:sz w:val="30"/>
          <w:szCs w:val="30"/>
        </w:rPr>
        <w:t>包括凭证创设机构的中英文名称等。</w:t>
      </w:r>
    </w:p>
    <w:p w14:paraId="0EDC6512">
      <w:pPr>
        <w:pStyle w:val="100"/>
        <w:spacing w:line="560" w:lineRule="exact"/>
        <w:rPr>
          <w:rFonts w:cs="Calibri"/>
          <w:bCs/>
          <w:color w:val="auto"/>
          <w:sz w:val="30"/>
          <w:szCs w:val="30"/>
        </w:rPr>
      </w:pPr>
      <w:r>
        <w:rPr>
          <w:rFonts w:cs="Calibri"/>
          <w:bCs/>
          <w:color w:val="auto"/>
          <w:sz w:val="30"/>
          <w:szCs w:val="30"/>
        </w:rPr>
        <w:t xml:space="preserve">1.2 </w:t>
      </w:r>
      <w:r>
        <w:rPr>
          <w:rFonts w:hint="eastAsia" w:cs="Calibri"/>
          <w:bCs/>
          <w:color w:val="auto"/>
          <w:sz w:val="30"/>
          <w:szCs w:val="30"/>
        </w:rPr>
        <w:t>本期凭证创设基本情况</w:t>
      </w:r>
    </w:p>
    <w:p w14:paraId="20FB1954">
      <w:pPr>
        <w:pStyle w:val="100"/>
        <w:spacing w:line="560" w:lineRule="exact"/>
        <w:ind w:firstLine="600" w:firstLineChars="200"/>
        <w:jc w:val="both"/>
        <w:rPr>
          <w:rFonts w:cs="Calibri"/>
          <w:bCs/>
          <w:color w:val="auto"/>
          <w:sz w:val="30"/>
          <w:szCs w:val="30"/>
        </w:rPr>
      </w:pPr>
      <w:r>
        <w:rPr>
          <w:rFonts w:hint="eastAsia"/>
          <w:color w:val="auto"/>
          <w:sz w:val="30"/>
          <w:szCs w:val="30"/>
        </w:rPr>
        <w:t>包括凭证名称，备案的交易场所、名义本金，信用保护期限等。</w:t>
      </w:r>
    </w:p>
    <w:p w14:paraId="19536975">
      <w:pPr>
        <w:pStyle w:val="100"/>
        <w:spacing w:line="560" w:lineRule="exact"/>
        <w:rPr>
          <w:rFonts w:cs="Calibri"/>
          <w:b/>
          <w:color w:val="auto"/>
          <w:sz w:val="30"/>
          <w:szCs w:val="30"/>
        </w:rPr>
      </w:pPr>
      <w:r>
        <w:rPr>
          <w:rFonts w:hint="eastAsia"/>
          <w:b/>
          <w:color w:val="auto"/>
          <w:sz w:val="30"/>
          <w:szCs w:val="30"/>
        </w:rPr>
        <w:t>第二节</w:t>
      </w:r>
      <w:r>
        <w:rPr>
          <w:b/>
          <w:color w:val="auto"/>
          <w:sz w:val="30"/>
          <w:szCs w:val="30"/>
        </w:rPr>
        <w:t xml:space="preserve"> </w:t>
      </w:r>
      <w:r>
        <w:rPr>
          <w:rFonts w:hint="eastAsia"/>
          <w:b/>
          <w:color w:val="auto"/>
          <w:sz w:val="30"/>
          <w:szCs w:val="30"/>
        </w:rPr>
        <w:t>凭证的创设条款与流通交易</w:t>
      </w:r>
      <w:r>
        <w:rPr>
          <w:b/>
          <w:color w:val="auto"/>
          <w:sz w:val="30"/>
          <w:szCs w:val="30"/>
        </w:rPr>
        <w:t xml:space="preserve"> </w:t>
      </w:r>
    </w:p>
    <w:p w14:paraId="3DFAFAC7">
      <w:pPr>
        <w:pStyle w:val="100"/>
        <w:spacing w:line="560" w:lineRule="exact"/>
        <w:rPr>
          <w:color w:val="auto"/>
          <w:sz w:val="30"/>
          <w:szCs w:val="30"/>
        </w:rPr>
      </w:pPr>
      <w:r>
        <w:rPr>
          <w:color w:val="auto"/>
          <w:sz w:val="30"/>
          <w:szCs w:val="30"/>
        </w:rPr>
        <w:t xml:space="preserve">2.1 </w:t>
      </w:r>
      <w:r>
        <w:rPr>
          <w:rFonts w:hint="eastAsia"/>
          <w:color w:val="auto"/>
          <w:sz w:val="30"/>
          <w:szCs w:val="30"/>
        </w:rPr>
        <w:t>凭证的创设条款</w:t>
      </w:r>
      <w:r>
        <w:rPr>
          <w:color w:val="auto"/>
          <w:sz w:val="30"/>
          <w:szCs w:val="30"/>
        </w:rPr>
        <w:t xml:space="preserve"> </w:t>
      </w:r>
    </w:p>
    <w:p w14:paraId="5584510A">
      <w:pPr>
        <w:pStyle w:val="100"/>
        <w:spacing w:line="560" w:lineRule="exact"/>
        <w:ind w:firstLine="600" w:firstLineChars="200"/>
        <w:jc w:val="both"/>
        <w:rPr>
          <w:sz w:val="30"/>
          <w:szCs w:val="30"/>
        </w:rPr>
      </w:pPr>
      <w:r>
        <w:rPr>
          <w:rFonts w:hint="eastAsia"/>
          <w:color w:val="auto"/>
          <w:sz w:val="30"/>
          <w:szCs w:val="30"/>
        </w:rPr>
        <w:t>包括凭证全称、创设机构、名义本金总额、参考实体、受保护债务、可交付债务、信用保护期限、起始日、到期日、投资者范围、簿记建档日、缴款日、凭证登记日、上市流通日、凭证创设价格、簿记建档费率区间（年化）、计费年度天数、付费方式、信用事件、结算方式、凭证托管机构等。</w:t>
      </w:r>
    </w:p>
    <w:p w14:paraId="1B01F750">
      <w:pPr>
        <w:pStyle w:val="100"/>
        <w:spacing w:line="560" w:lineRule="exact"/>
        <w:rPr>
          <w:color w:val="auto"/>
          <w:sz w:val="30"/>
          <w:szCs w:val="30"/>
        </w:rPr>
      </w:pPr>
      <w:r>
        <w:rPr>
          <w:color w:val="auto"/>
          <w:sz w:val="30"/>
          <w:szCs w:val="30"/>
        </w:rPr>
        <w:t xml:space="preserve">2.2 </w:t>
      </w:r>
      <w:r>
        <w:rPr>
          <w:rFonts w:hint="eastAsia"/>
          <w:color w:val="auto"/>
          <w:sz w:val="30"/>
          <w:szCs w:val="30"/>
        </w:rPr>
        <w:t>凭证的簿记建档安排</w:t>
      </w:r>
      <w:r>
        <w:rPr>
          <w:color w:val="auto"/>
          <w:sz w:val="30"/>
          <w:szCs w:val="30"/>
        </w:rPr>
        <w:t xml:space="preserve"> </w:t>
      </w:r>
    </w:p>
    <w:p w14:paraId="0F999B5C">
      <w:pPr>
        <w:autoSpaceDE w:val="0"/>
        <w:autoSpaceDN w:val="0"/>
        <w:adjustRightInd w:val="0"/>
        <w:spacing w:line="560" w:lineRule="exact"/>
        <w:ind w:firstLine="600" w:firstLineChars="200"/>
        <w:rPr>
          <w:rFonts w:ascii="仿宋_GB2312" w:eastAsia="仿宋_GB2312" w:cs="楷体"/>
          <w:bCs/>
          <w:kern w:val="0"/>
          <w:sz w:val="30"/>
          <w:szCs w:val="30"/>
        </w:rPr>
      </w:pPr>
      <w:r>
        <w:rPr>
          <w:rFonts w:hint="eastAsia" w:ascii="仿宋_GB2312" w:eastAsia="仿宋_GB2312" w:cs="楷体"/>
          <w:bCs/>
          <w:kern w:val="0"/>
          <w:sz w:val="30"/>
          <w:szCs w:val="30"/>
        </w:rPr>
        <w:t>包括凭证簿记建档管理人及联系人、簿记场所；凭证预配售时间、发送预配售通知的安排；凭证的正式配售安排、正式配售的通知；凭证的定价、配售原则与方式、不予配售的情况等。</w:t>
      </w:r>
    </w:p>
    <w:p w14:paraId="3A82040E">
      <w:pPr>
        <w:pStyle w:val="100"/>
        <w:spacing w:line="560" w:lineRule="exact"/>
        <w:rPr>
          <w:color w:val="auto"/>
          <w:sz w:val="30"/>
          <w:szCs w:val="30"/>
        </w:rPr>
      </w:pPr>
      <w:r>
        <w:rPr>
          <w:color w:val="auto"/>
          <w:sz w:val="30"/>
          <w:szCs w:val="30"/>
        </w:rPr>
        <w:t xml:space="preserve">2.3 </w:t>
      </w:r>
      <w:r>
        <w:rPr>
          <w:rFonts w:hint="eastAsia"/>
          <w:color w:val="auto"/>
          <w:sz w:val="30"/>
          <w:szCs w:val="30"/>
        </w:rPr>
        <w:t>凭证登记托管安排</w:t>
      </w:r>
      <w:r>
        <w:rPr>
          <w:color w:val="auto"/>
          <w:sz w:val="30"/>
          <w:szCs w:val="30"/>
        </w:rPr>
        <w:t xml:space="preserve"> </w:t>
      </w:r>
    </w:p>
    <w:p w14:paraId="1F957687">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包括登记托管机构名称和托管机构的服务内容。</w:t>
      </w:r>
    </w:p>
    <w:p w14:paraId="4D39B63F">
      <w:pPr>
        <w:pStyle w:val="100"/>
        <w:spacing w:line="560" w:lineRule="exact"/>
        <w:rPr>
          <w:color w:val="auto"/>
          <w:sz w:val="30"/>
          <w:szCs w:val="30"/>
        </w:rPr>
      </w:pPr>
      <w:r>
        <w:rPr>
          <w:color w:val="auto"/>
          <w:sz w:val="30"/>
          <w:szCs w:val="30"/>
        </w:rPr>
        <w:t xml:space="preserve">2.4 </w:t>
      </w:r>
      <w:r>
        <w:rPr>
          <w:rFonts w:hint="eastAsia"/>
          <w:color w:val="auto"/>
          <w:sz w:val="30"/>
          <w:szCs w:val="30"/>
        </w:rPr>
        <w:t>信用保护费支付安排</w:t>
      </w:r>
      <w:r>
        <w:rPr>
          <w:color w:val="auto"/>
          <w:sz w:val="30"/>
          <w:szCs w:val="30"/>
        </w:rPr>
        <w:t xml:space="preserve"> </w:t>
      </w:r>
    </w:p>
    <w:p w14:paraId="6EFCE49D">
      <w:pPr>
        <w:autoSpaceDE w:val="0"/>
        <w:autoSpaceDN w:val="0"/>
        <w:adjustRightInd w:val="0"/>
        <w:spacing w:line="560" w:lineRule="exact"/>
        <w:ind w:firstLine="600" w:firstLineChars="200"/>
        <w:rPr>
          <w:rFonts w:ascii="仿宋_GB2312" w:eastAsia="仿宋_GB2312" w:cs="楷体"/>
          <w:bCs/>
          <w:sz w:val="30"/>
          <w:szCs w:val="30"/>
        </w:rPr>
      </w:pPr>
      <w:r>
        <w:rPr>
          <w:rFonts w:hint="eastAsia" w:ascii="仿宋_GB2312" w:eastAsia="仿宋_GB2312" w:cs="楷体"/>
          <w:bCs/>
          <w:kern w:val="0"/>
          <w:sz w:val="30"/>
          <w:szCs w:val="30"/>
        </w:rPr>
        <w:t>包括保护费支付的账户名称、开户行、账号等信息。</w:t>
      </w:r>
    </w:p>
    <w:p w14:paraId="08D2FE7C">
      <w:pPr>
        <w:pStyle w:val="100"/>
        <w:spacing w:line="560" w:lineRule="exact"/>
        <w:rPr>
          <w:color w:val="auto"/>
          <w:sz w:val="30"/>
          <w:szCs w:val="30"/>
        </w:rPr>
      </w:pPr>
      <w:r>
        <w:rPr>
          <w:color w:val="auto"/>
          <w:sz w:val="30"/>
          <w:szCs w:val="30"/>
        </w:rPr>
        <w:t xml:space="preserve">2.5 </w:t>
      </w:r>
      <w:r>
        <w:rPr>
          <w:rFonts w:hint="eastAsia"/>
          <w:color w:val="auto"/>
          <w:sz w:val="30"/>
          <w:szCs w:val="30"/>
        </w:rPr>
        <w:t>凭证的流通交易</w:t>
      </w:r>
      <w:r>
        <w:rPr>
          <w:color w:val="auto"/>
          <w:sz w:val="30"/>
          <w:szCs w:val="30"/>
        </w:rPr>
        <w:t xml:space="preserve"> </w:t>
      </w:r>
    </w:p>
    <w:p w14:paraId="6E2DD25A">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包括凭证挂牌交易场所及交易平台。</w:t>
      </w:r>
    </w:p>
    <w:p w14:paraId="5E61E96D">
      <w:pPr>
        <w:pStyle w:val="100"/>
        <w:spacing w:line="560" w:lineRule="exact"/>
        <w:rPr>
          <w:color w:val="auto"/>
          <w:sz w:val="30"/>
          <w:szCs w:val="30"/>
        </w:rPr>
      </w:pPr>
      <w:r>
        <w:rPr>
          <w:color w:val="auto"/>
          <w:sz w:val="30"/>
          <w:szCs w:val="30"/>
        </w:rPr>
        <w:t xml:space="preserve">2.6 </w:t>
      </w:r>
      <w:r>
        <w:rPr>
          <w:rFonts w:hint="eastAsia"/>
          <w:color w:val="auto"/>
          <w:sz w:val="30"/>
          <w:szCs w:val="30"/>
        </w:rPr>
        <w:t>其他事项说明</w:t>
      </w:r>
    </w:p>
    <w:p w14:paraId="702389AD">
      <w:pPr>
        <w:pStyle w:val="100"/>
        <w:spacing w:line="560" w:lineRule="exact"/>
        <w:rPr>
          <w:rFonts w:cs="Calibri"/>
          <w:b/>
          <w:color w:val="auto"/>
          <w:sz w:val="30"/>
          <w:szCs w:val="30"/>
        </w:rPr>
      </w:pPr>
      <w:r>
        <w:rPr>
          <w:rFonts w:hint="eastAsia"/>
          <w:b/>
          <w:color w:val="auto"/>
          <w:sz w:val="30"/>
          <w:szCs w:val="30"/>
        </w:rPr>
        <w:t>第三节</w:t>
      </w:r>
      <w:r>
        <w:rPr>
          <w:b/>
          <w:color w:val="auto"/>
          <w:sz w:val="30"/>
          <w:szCs w:val="30"/>
        </w:rPr>
        <w:t xml:space="preserve"> </w:t>
      </w:r>
      <w:r>
        <w:rPr>
          <w:rFonts w:hint="eastAsia"/>
          <w:b/>
          <w:color w:val="auto"/>
          <w:sz w:val="30"/>
          <w:szCs w:val="30"/>
        </w:rPr>
        <w:t>创设机构基本情况</w:t>
      </w:r>
      <w:r>
        <w:rPr>
          <w:b/>
          <w:color w:val="auto"/>
          <w:sz w:val="30"/>
          <w:szCs w:val="30"/>
        </w:rPr>
        <w:t xml:space="preserve"> </w:t>
      </w:r>
      <w:r>
        <w:rPr>
          <w:rFonts w:cs="Calibri"/>
          <w:b/>
          <w:bCs/>
          <w:color w:val="auto"/>
          <w:sz w:val="30"/>
          <w:szCs w:val="30"/>
        </w:rPr>
        <w:t xml:space="preserve"> </w:t>
      </w:r>
    </w:p>
    <w:p w14:paraId="377C24AE">
      <w:pPr>
        <w:pStyle w:val="100"/>
        <w:spacing w:line="560" w:lineRule="exact"/>
        <w:rPr>
          <w:color w:val="auto"/>
          <w:sz w:val="30"/>
          <w:szCs w:val="30"/>
        </w:rPr>
      </w:pPr>
      <w:r>
        <w:rPr>
          <w:color w:val="auto"/>
          <w:sz w:val="30"/>
          <w:szCs w:val="30"/>
        </w:rPr>
        <w:t xml:space="preserve">3.1 </w:t>
      </w:r>
      <w:r>
        <w:rPr>
          <w:rFonts w:hint="eastAsia"/>
          <w:color w:val="auto"/>
          <w:sz w:val="30"/>
          <w:szCs w:val="30"/>
        </w:rPr>
        <w:t>创设机构基本情况</w:t>
      </w:r>
      <w:r>
        <w:rPr>
          <w:color w:val="auto"/>
          <w:sz w:val="30"/>
          <w:szCs w:val="30"/>
        </w:rPr>
        <w:t xml:space="preserve"> </w:t>
      </w:r>
    </w:p>
    <w:p w14:paraId="5C20D21C">
      <w:pPr>
        <w:pStyle w:val="100"/>
        <w:spacing w:line="560" w:lineRule="exact"/>
        <w:ind w:firstLine="600" w:firstLineChars="200"/>
        <w:rPr>
          <w:rFonts w:hAnsi="Times New Roman" w:cs="楷体"/>
          <w:bCs/>
          <w:color w:val="auto"/>
          <w:sz w:val="30"/>
          <w:szCs w:val="30"/>
        </w:rPr>
      </w:pPr>
      <w:r>
        <w:rPr>
          <w:rFonts w:hint="eastAsia" w:hAnsi="Times New Roman" w:cs="楷体"/>
          <w:bCs/>
          <w:color w:val="auto"/>
          <w:sz w:val="30"/>
          <w:szCs w:val="30"/>
        </w:rPr>
        <w:t>包括公司名称、法定代表人、设立日期、注册资本、实缴资本、住所、邮编、联系人及其联系方式、所属行业、经营范围、主管部门批准的业务资格与资质等。</w:t>
      </w:r>
    </w:p>
    <w:p w14:paraId="68B359C6">
      <w:pPr>
        <w:pStyle w:val="100"/>
        <w:spacing w:line="560" w:lineRule="exact"/>
        <w:rPr>
          <w:rFonts w:cs="Calibri"/>
          <w:color w:val="auto"/>
          <w:sz w:val="30"/>
          <w:szCs w:val="30"/>
        </w:rPr>
      </w:pPr>
      <w:r>
        <w:rPr>
          <w:rFonts w:cs="Calibri"/>
          <w:color w:val="auto"/>
          <w:sz w:val="30"/>
          <w:szCs w:val="30"/>
        </w:rPr>
        <w:t xml:space="preserve">3.2 </w:t>
      </w:r>
      <w:r>
        <w:rPr>
          <w:rFonts w:hint="eastAsia" w:cs="Calibri"/>
          <w:color w:val="auto"/>
          <w:sz w:val="30"/>
          <w:szCs w:val="30"/>
        </w:rPr>
        <w:t>历史沿革及股东情况</w:t>
      </w:r>
    </w:p>
    <w:p w14:paraId="19EAFA5B">
      <w:pPr>
        <w:pStyle w:val="100"/>
        <w:spacing w:line="560" w:lineRule="exact"/>
        <w:ind w:firstLine="601"/>
        <w:rPr>
          <w:rFonts w:hAnsi="Times New Roman" w:cs="Calibri"/>
          <w:color w:val="auto"/>
          <w:sz w:val="30"/>
          <w:szCs w:val="30"/>
        </w:rPr>
      </w:pPr>
      <w:r>
        <w:rPr>
          <w:rFonts w:hint="eastAsia" w:hAnsi="Times New Roman" w:cs="Calibri"/>
          <w:color w:val="auto"/>
          <w:sz w:val="30"/>
          <w:szCs w:val="30"/>
        </w:rPr>
        <w:t>包括成立时间、历史沿革、增资扩股情况、股东持股情况等。</w:t>
      </w:r>
    </w:p>
    <w:p w14:paraId="4CCA1176">
      <w:pPr>
        <w:pStyle w:val="100"/>
        <w:spacing w:line="560" w:lineRule="exact"/>
        <w:rPr>
          <w:rFonts w:cs="Calibri"/>
          <w:bCs/>
          <w:color w:val="auto"/>
          <w:sz w:val="30"/>
          <w:szCs w:val="30"/>
        </w:rPr>
      </w:pPr>
      <w:r>
        <w:rPr>
          <w:rFonts w:cs="Calibri"/>
          <w:bCs/>
          <w:color w:val="auto"/>
          <w:sz w:val="30"/>
          <w:szCs w:val="30"/>
        </w:rPr>
        <w:t xml:space="preserve">3.3 </w:t>
      </w:r>
      <w:r>
        <w:rPr>
          <w:rFonts w:hint="eastAsia" w:cs="Calibri"/>
          <w:bCs/>
          <w:color w:val="auto"/>
          <w:sz w:val="30"/>
          <w:szCs w:val="30"/>
        </w:rPr>
        <w:t>创设机构的信用能力</w:t>
      </w:r>
    </w:p>
    <w:p w14:paraId="6C2DEE4E">
      <w:pPr>
        <w:pStyle w:val="100"/>
        <w:spacing w:line="560" w:lineRule="exact"/>
        <w:ind w:firstLine="600"/>
        <w:rPr>
          <w:rFonts w:cs="Calibri"/>
          <w:bCs/>
          <w:color w:val="auto"/>
          <w:sz w:val="30"/>
          <w:szCs w:val="30"/>
        </w:rPr>
      </w:pPr>
      <w:r>
        <w:rPr>
          <w:rFonts w:hint="eastAsia" w:cs="Calibri"/>
          <w:bCs/>
          <w:color w:val="auto"/>
          <w:sz w:val="30"/>
          <w:szCs w:val="30"/>
        </w:rPr>
        <w:t>包括针对创设机构的信用评级、资信评级机构名称。</w:t>
      </w:r>
    </w:p>
    <w:p w14:paraId="51B969F9">
      <w:pPr>
        <w:pStyle w:val="100"/>
        <w:spacing w:line="560" w:lineRule="exact"/>
        <w:rPr>
          <w:color w:val="auto"/>
          <w:sz w:val="30"/>
          <w:szCs w:val="30"/>
        </w:rPr>
      </w:pPr>
      <w:r>
        <w:rPr>
          <w:color w:val="auto"/>
          <w:sz w:val="30"/>
          <w:szCs w:val="30"/>
        </w:rPr>
        <w:t xml:space="preserve">3.4 </w:t>
      </w:r>
      <w:r>
        <w:rPr>
          <w:rFonts w:hint="eastAsia"/>
          <w:color w:val="auto"/>
          <w:sz w:val="30"/>
          <w:szCs w:val="30"/>
        </w:rPr>
        <w:t>创设机构公司治理情况</w:t>
      </w:r>
    </w:p>
    <w:p w14:paraId="7079600B">
      <w:pPr>
        <w:pStyle w:val="100"/>
        <w:spacing w:line="560" w:lineRule="exact"/>
        <w:ind w:firstLine="600" w:firstLineChars="200"/>
        <w:rPr>
          <w:rFonts w:cs="Calibri"/>
          <w:color w:val="auto"/>
          <w:sz w:val="30"/>
          <w:szCs w:val="30"/>
        </w:rPr>
      </w:pPr>
      <w:r>
        <w:rPr>
          <w:rFonts w:hint="eastAsia" w:cs="Calibri"/>
          <w:color w:val="auto"/>
          <w:sz w:val="30"/>
          <w:szCs w:val="30"/>
        </w:rPr>
        <w:t>包括</w:t>
      </w:r>
      <w:r>
        <w:rPr>
          <w:rFonts w:hint="eastAsia" w:cs="Times New Roman"/>
          <w:color w:val="auto"/>
          <w:sz w:val="30"/>
          <w:szCs w:val="30"/>
        </w:rPr>
        <w:t>公司组织架构、管理层情况、内部决策机制等。</w:t>
      </w:r>
    </w:p>
    <w:p w14:paraId="1D2AD321">
      <w:pPr>
        <w:pStyle w:val="100"/>
        <w:spacing w:line="560" w:lineRule="exact"/>
        <w:rPr>
          <w:rFonts w:cs="Calibri"/>
          <w:b/>
          <w:bCs/>
          <w:color w:val="auto"/>
          <w:sz w:val="30"/>
          <w:szCs w:val="30"/>
        </w:rPr>
      </w:pPr>
      <w:r>
        <w:rPr>
          <w:rFonts w:cs="Calibri"/>
          <w:bCs/>
          <w:color w:val="auto"/>
          <w:sz w:val="30"/>
          <w:szCs w:val="30"/>
        </w:rPr>
        <w:t>3.5</w:t>
      </w:r>
      <w:r>
        <w:rPr>
          <w:rFonts w:cs="Calibri"/>
          <w:color w:val="auto"/>
          <w:sz w:val="30"/>
          <w:szCs w:val="30"/>
        </w:rPr>
        <w:t xml:space="preserve"> </w:t>
      </w:r>
      <w:r>
        <w:rPr>
          <w:rFonts w:hint="eastAsia"/>
          <w:color w:val="auto"/>
          <w:sz w:val="30"/>
          <w:szCs w:val="30"/>
        </w:rPr>
        <w:t>创设机构业务开展情况</w:t>
      </w:r>
    </w:p>
    <w:p w14:paraId="02374916">
      <w:pPr>
        <w:pStyle w:val="100"/>
        <w:spacing w:line="560" w:lineRule="exact"/>
        <w:ind w:firstLine="600" w:firstLineChars="200"/>
        <w:rPr>
          <w:rFonts w:cs="Calibri"/>
          <w:color w:val="auto"/>
          <w:sz w:val="30"/>
          <w:szCs w:val="30"/>
        </w:rPr>
      </w:pPr>
      <w:r>
        <w:rPr>
          <w:rFonts w:hint="eastAsia" w:cs="Calibri"/>
          <w:bCs/>
          <w:color w:val="auto"/>
          <w:sz w:val="30"/>
          <w:szCs w:val="30"/>
        </w:rPr>
        <w:t>包括其所从事的主要业务、主要产品（或服务）的用途、所在行业状况、经营方针及战略。</w:t>
      </w:r>
    </w:p>
    <w:p w14:paraId="1DC64038">
      <w:pPr>
        <w:pStyle w:val="100"/>
        <w:spacing w:line="560" w:lineRule="exact"/>
        <w:rPr>
          <w:color w:val="auto"/>
          <w:sz w:val="30"/>
          <w:szCs w:val="30"/>
        </w:rPr>
      </w:pPr>
      <w:r>
        <w:rPr>
          <w:color w:val="auto"/>
          <w:sz w:val="30"/>
          <w:szCs w:val="30"/>
        </w:rPr>
        <w:t xml:space="preserve">3.6 </w:t>
      </w:r>
      <w:r>
        <w:rPr>
          <w:rFonts w:hint="eastAsia"/>
          <w:color w:val="auto"/>
          <w:sz w:val="30"/>
          <w:szCs w:val="30"/>
        </w:rPr>
        <w:t>创设机构风险管理体系</w:t>
      </w:r>
    </w:p>
    <w:p w14:paraId="50DCBC13">
      <w:pPr>
        <w:pStyle w:val="100"/>
        <w:spacing w:line="560" w:lineRule="exact"/>
        <w:ind w:firstLine="600"/>
        <w:rPr>
          <w:rFonts w:cs="Times New Roman"/>
          <w:color w:val="auto"/>
          <w:sz w:val="30"/>
          <w:szCs w:val="30"/>
        </w:rPr>
      </w:pPr>
      <w:r>
        <w:rPr>
          <w:rFonts w:hint="eastAsia"/>
          <w:color w:val="auto"/>
          <w:sz w:val="30"/>
          <w:szCs w:val="30"/>
        </w:rPr>
        <w:t>包括</w:t>
      </w:r>
      <w:r>
        <w:rPr>
          <w:rFonts w:hint="eastAsia" w:cs="Times New Roman"/>
          <w:color w:val="auto"/>
          <w:sz w:val="30"/>
          <w:szCs w:val="30"/>
        </w:rPr>
        <w:t>风险管理制度、风险状况分析等。</w:t>
      </w:r>
    </w:p>
    <w:p w14:paraId="2450DE52">
      <w:pPr>
        <w:pStyle w:val="100"/>
        <w:spacing w:line="560" w:lineRule="exact"/>
        <w:rPr>
          <w:rFonts w:cs="Times New Roman"/>
          <w:color w:val="auto"/>
          <w:sz w:val="30"/>
          <w:szCs w:val="30"/>
        </w:rPr>
      </w:pPr>
      <w:r>
        <w:rPr>
          <w:rFonts w:cs="Times New Roman"/>
          <w:color w:val="auto"/>
          <w:sz w:val="30"/>
          <w:szCs w:val="30"/>
        </w:rPr>
        <w:t xml:space="preserve">3.7 </w:t>
      </w:r>
      <w:r>
        <w:rPr>
          <w:rFonts w:hint="eastAsia" w:cs="Times New Roman"/>
          <w:color w:val="auto"/>
          <w:sz w:val="30"/>
          <w:szCs w:val="30"/>
        </w:rPr>
        <w:t>财务情况及分析</w:t>
      </w:r>
    </w:p>
    <w:p w14:paraId="18DADB39">
      <w:pPr>
        <w:pStyle w:val="100"/>
        <w:spacing w:line="560" w:lineRule="exact"/>
        <w:ind w:firstLine="600"/>
        <w:rPr>
          <w:rFonts w:cs="Times New Roman"/>
          <w:color w:val="auto"/>
          <w:sz w:val="30"/>
          <w:szCs w:val="30"/>
        </w:rPr>
      </w:pPr>
      <w:r>
        <w:rPr>
          <w:rFonts w:hint="eastAsia" w:cs="Times New Roman"/>
          <w:color w:val="auto"/>
          <w:sz w:val="30"/>
          <w:szCs w:val="30"/>
        </w:rPr>
        <w:t>包括近年财务报表审计情况、财务报表适用的会计准则、主要财务数据、财务概要分析等</w:t>
      </w:r>
    </w:p>
    <w:p w14:paraId="0EB7E9CC">
      <w:pPr>
        <w:pStyle w:val="100"/>
        <w:spacing w:line="560" w:lineRule="exact"/>
        <w:rPr>
          <w:rFonts w:cs="Times New Roman"/>
          <w:color w:val="auto"/>
          <w:sz w:val="30"/>
          <w:szCs w:val="30"/>
        </w:rPr>
      </w:pPr>
      <w:r>
        <w:rPr>
          <w:rFonts w:cs="Times New Roman"/>
          <w:color w:val="auto"/>
          <w:sz w:val="30"/>
          <w:szCs w:val="30"/>
        </w:rPr>
        <w:t xml:space="preserve">3.8 </w:t>
      </w:r>
      <w:r>
        <w:rPr>
          <w:rFonts w:hint="eastAsia" w:cs="Times New Roman"/>
          <w:color w:val="auto"/>
          <w:sz w:val="30"/>
          <w:szCs w:val="30"/>
        </w:rPr>
        <w:t>内部管理制度</w:t>
      </w:r>
    </w:p>
    <w:p w14:paraId="3137639E">
      <w:pPr>
        <w:pStyle w:val="100"/>
        <w:spacing w:line="560" w:lineRule="exact"/>
        <w:ind w:firstLine="600"/>
        <w:rPr>
          <w:rFonts w:cs="Calibri"/>
          <w:color w:val="auto"/>
          <w:sz w:val="30"/>
          <w:szCs w:val="30"/>
        </w:rPr>
      </w:pPr>
      <w:r>
        <w:rPr>
          <w:rFonts w:hint="eastAsia" w:cs="Times New Roman"/>
          <w:color w:val="auto"/>
          <w:sz w:val="30"/>
          <w:szCs w:val="30"/>
        </w:rPr>
        <w:t>包括公司治理制度、内控管理制度、业务管理制度、财务管理制度等</w:t>
      </w:r>
    </w:p>
    <w:p w14:paraId="339F7E48">
      <w:pPr>
        <w:pStyle w:val="100"/>
        <w:spacing w:line="560" w:lineRule="exact"/>
        <w:rPr>
          <w:rFonts w:cs="Calibri"/>
          <w:b/>
          <w:bCs/>
          <w:color w:val="auto"/>
          <w:sz w:val="30"/>
          <w:szCs w:val="30"/>
        </w:rPr>
      </w:pPr>
      <w:r>
        <w:rPr>
          <w:color w:val="auto"/>
          <w:sz w:val="30"/>
          <w:szCs w:val="30"/>
        </w:rPr>
        <w:t xml:space="preserve">3.9 </w:t>
      </w:r>
      <w:r>
        <w:rPr>
          <w:rFonts w:hint="eastAsia"/>
          <w:color w:val="auto"/>
          <w:sz w:val="30"/>
          <w:szCs w:val="30"/>
        </w:rPr>
        <w:t>合规情况</w:t>
      </w:r>
    </w:p>
    <w:p w14:paraId="479CEDA0">
      <w:pPr>
        <w:pStyle w:val="100"/>
        <w:spacing w:line="560" w:lineRule="exact"/>
        <w:ind w:firstLine="602"/>
        <w:rPr>
          <w:rFonts w:cs="Calibri"/>
          <w:bCs/>
          <w:color w:val="auto"/>
          <w:sz w:val="30"/>
          <w:szCs w:val="30"/>
        </w:rPr>
      </w:pPr>
      <w:r>
        <w:rPr>
          <w:rFonts w:cs="Calibri"/>
          <w:b/>
          <w:bCs/>
          <w:color w:val="auto"/>
          <w:sz w:val="30"/>
          <w:szCs w:val="30"/>
        </w:rPr>
        <w:t xml:space="preserve"> </w:t>
      </w:r>
      <w:r>
        <w:rPr>
          <w:rFonts w:hint="eastAsia" w:cs="Calibri"/>
          <w:bCs/>
          <w:color w:val="auto"/>
          <w:sz w:val="30"/>
          <w:szCs w:val="30"/>
        </w:rPr>
        <w:t>包括最近三年内是否存在违法违规及受处罚的情况，说明董事、监事、高级管理人员的任职是否符合《公司法》及《公司章程》的规定。</w:t>
      </w:r>
    </w:p>
    <w:p w14:paraId="3AFC4D36">
      <w:pPr>
        <w:pStyle w:val="100"/>
        <w:spacing w:line="560" w:lineRule="exact"/>
        <w:rPr>
          <w:rFonts w:cs="Calibri"/>
          <w:b/>
          <w:color w:val="auto"/>
          <w:sz w:val="30"/>
          <w:szCs w:val="30"/>
        </w:rPr>
      </w:pPr>
      <w:r>
        <w:rPr>
          <w:rFonts w:hint="eastAsia"/>
          <w:b/>
          <w:color w:val="auto"/>
          <w:sz w:val="30"/>
          <w:szCs w:val="30"/>
        </w:rPr>
        <w:t>第四节</w:t>
      </w:r>
      <w:r>
        <w:rPr>
          <w:b/>
          <w:color w:val="auto"/>
          <w:sz w:val="30"/>
          <w:szCs w:val="30"/>
        </w:rPr>
        <w:t xml:space="preserve"> </w:t>
      </w:r>
      <w:r>
        <w:rPr>
          <w:rFonts w:hint="eastAsia"/>
          <w:b/>
          <w:color w:val="auto"/>
          <w:sz w:val="30"/>
          <w:szCs w:val="30"/>
        </w:rPr>
        <w:t>参考实体及受保护债务基本情况</w:t>
      </w:r>
      <w:r>
        <w:rPr>
          <w:b/>
          <w:color w:val="auto"/>
          <w:sz w:val="30"/>
          <w:szCs w:val="30"/>
        </w:rPr>
        <w:t xml:space="preserve"> </w:t>
      </w:r>
    </w:p>
    <w:p w14:paraId="16D71145">
      <w:pPr>
        <w:pStyle w:val="100"/>
        <w:spacing w:line="560" w:lineRule="exact"/>
        <w:rPr>
          <w:color w:val="auto"/>
          <w:sz w:val="30"/>
          <w:szCs w:val="30"/>
        </w:rPr>
      </w:pPr>
      <w:r>
        <w:rPr>
          <w:color w:val="auto"/>
          <w:sz w:val="30"/>
          <w:szCs w:val="30"/>
        </w:rPr>
        <w:t xml:space="preserve">4.1 </w:t>
      </w:r>
      <w:r>
        <w:rPr>
          <w:rFonts w:hint="eastAsia"/>
          <w:color w:val="auto"/>
          <w:sz w:val="30"/>
          <w:szCs w:val="30"/>
        </w:rPr>
        <w:t>参考实体情况</w:t>
      </w:r>
      <w:r>
        <w:rPr>
          <w:color w:val="auto"/>
          <w:sz w:val="30"/>
          <w:szCs w:val="30"/>
        </w:rPr>
        <w:t xml:space="preserve"> </w:t>
      </w:r>
    </w:p>
    <w:p w14:paraId="2A779362">
      <w:pPr>
        <w:autoSpaceDE w:val="0"/>
        <w:autoSpaceDN w:val="0"/>
        <w:adjustRightInd w:val="0"/>
        <w:spacing w:line="560" w:lineRule="exact"/>
        <w:ind w:firstLine="450" w:firstLineChars="150"/>
        <w:jc w:val="left"/>
        <w:rPr>
          <w:rFonts w:ascii="仿宋_GB2312" w:eastAsia="仿宋_GB2312" w:cs="楷体"/>
          <w:kern w:val="0"/>
          <w:sz w:val="30"/>
          <w:szCs w:val="30"/>
        </w:rPr>
      </w:pPr>
      <w:r>
        <w:rPr>
          <w:rFonts w:hint="eastAsia" w:ascii="仿宋_GB2312" w:eastAsia="仿宋_GB2312" w:cs="楷体"/>
          <w:kern w:val="0"/>
          <w:sz w:val="30"/>
          <w:szCs w:val="30"/>
        </w:rPr>
        <w:t>包括中文名称</w:t>
      </w:r>
      <w:r>
        <w:rPr>
          <w:rFonts w:hint="eastAsia" w:ascii="仿宋_GB2312" w:eastAsia="仿宋_GB2312"/>
          <w:kern w:val="0"/>
          <w:sz w:val="30"/>
          <w:szCs w:val="30"/>
        </w:rPr>
        <w:t>、</w:t>
      </w:r>
      <w:r>
        <w:rPr>
          <w:rFonts w:hint="eastAsia" w:ascii="仿宋_GB2312" w:eastAsia="仿宋_GB2312" w:cs="楷体"/>
          <w:kern w:val="0"/>
          <w:sz w:val="30"/>
          <w:szCs w:val="30"/>
        </w:rPr>
        <w:t>住所、法定代表人、联系人、联系方式等信息。</w:t>
      </w:r>
    </w:p>
    <w:p w14:paraId="5EF5272C">
      <w:pPr>
        <w:pStyle w:val="100"/>
        <w:spacing w:line="560" w:lineRule="exact"/>
        <w:rPr>
          <w:color w:val="auto"/>
          <w:sz w:val="30"/>
          <w:szCs w:val="30"/>
        </w:rPr>
      </w:pPr>
      <w:r>
        <w:rPr>
          <w:color w:val="auto"/>
          <w:sz w:val="30"/>
          <w:szCs w:val="30"/>
        </w:rPr>
        <w:t xml:space="preserve">4.2 </w:t>
      </w:r>
      <w:r>
        <w:rPr>
          <w:rFonts w:hint="eastAsia"/>
          <w:color w:val="auto"/>
          <w:sz w:val="30"/>
          <w:szCs w:val="30"/>
        </w:rPr>
        <w:t>受保护债务情况</w:t>
      </w:r>
      <w:r>
        <w:rPr>
          <w:color w:val="auto"/>
          <w:sz w:val="30"/>
          <w:szCs w:val="30"/>
        </w:rPr>
        <w:t xml:space="preserve"> </w:t>
      </w:r>
    </w:p>
    <w:p w14:paraId="13A0733F">
      <w:pPr>
        <w:spacing w:line="560" w:lineRule="exact"/>
        <w:ind w:firstLine="600" w:firstLineChars="200"/>
        <w:rPr>
          <w:rFonts w:ascii="仿宋_GB2312" w:eastAsia="仿宋_GB2312"/>
          <w:sz w:val="30"/>
          <w:szCs w:val="30"/>
        </w:rPr>
      </w:pPr>
      <w:r>
        <w:rPr>
          <w:rFonts w:hint="eastAsia" w:ascii="仿宋_GB2312" w:eastAsia="仿宋_GB2312"/>
          <w:sz w:val="30"/>
          <w:szCs w:val="30"/>
        </w:rPr>
        <w:t>包括受保护债务种类及特征。</w:t>
      </w:r>
    </w:p>
    <w:p w14:paraId="6A31B559">
      <w:pPr>
        <w:spacing w:line="560" w:lineRule="exact"/>
        <w:ind w:firstLine="600" w:firstLineChars="200"/>
        <w:rPr>
          <w:rFonts w:ascii="仿宋_GB2312" w:eastAsia="仿宋_GB2312"/>
          <w:sz w:val="30"/>
          <w:szCs w:val="30"/>
        </w:rPr>
      </w:pPr>
      <w:r>
        <w:rPr>
          <w:rFonts w:hint="eastAsia" w:ascii="仿宋_GB2312" w:eastAsia="仿宋_GB2312"/>
          <w:sz w:val="30"/>
          <w:szCs w:val="30"/>
        </w:rPr>
        <w:t>受保护债务为单只或少数几只债券的，应列举债券名称、发行人、承销商、发行金额、期限、面值、发行价格、发行利率、发行日、起息日、缴款日、兑付日、登记和托管机构、担保增信情况、信用评级机构及评级结果（如有）等信息。</w:t>
      </w:r>
    </w:p>
    <w:p w14:paraId="2012058E">
      <w:pPr>
        <w:pStyle w:val="100"/>
        <w:spacing w:line="560" w:lineRule="exact"/>
        <w:rPr>
          <w:rFonts w:cs="Calibri"/>
          <w:b/>
          <w:color w:val="auto"/>
          <w:sz w:val="30"/>
          <w:szCs w:val="30"/>
        </w:rPr>
      </w:pPr>
      <w:r>
        <w:rPr>
          <w:rFonts w:hint="eastAsia"/>
          <w:b/>
          <w:color w:val="auto"/>
          <w:sz w:val="30"/>
          <w:szCs w:val="30"/>
        </w:rPr>
        <w:t>第五节</w:t>
      </w:r>
      <w:r>
        <w:rPr>
          <w:b/>
          <w:color w:val="auto"/>
          <w:sz w:val="30"/>
          <w:szCs w:val="30"/>
        </w:rPr>
        <w:t xml:space="preserve"> </w:t>
      </w:r>
      <w:r>
        <w:rPr>
          <w:rFonts w:hint="eastAsia"/>
          <w:b/>
          <w:color w:val="auto"/>
          <w:sz w:val="30"/>
          <w:szCs w:val="30"/>
        </w:rPr>
        <w:t>信用事件</w:t>
      </w:r>
      <w:r>
        <w:rPr>
          <w:b/>
          <w:color w:val="auto"/>
          <w:sz w:val="30"/>
          <w:szCs w:val="30"/>
        </w:rPr>
        <w:t xml:space="preserve"> </w:t>
      </w:r>
    </w:p>
    <w:p w14:paraId="78C463CE">
      <w:pPr>
        <w:pStyle w:val="100"/>
        <w:spacing w:line="560" w:lineRule="exact"/>
        <w:rPr>
          <w:color w:val="auto"/>
          <w:sz w:val="30"/>
          <w:szCs w:val="30"/>
        </w:rPr>
      </w:pPr>
      <w:r>
        <w:rPr>
          <w:color w:val="auto"/>
          <w:sz w:val="30"/>
          <w:szCs w:val="30"/>
        </w:rPr>
        <w:t xml:space="preserve">5.1 </w:t>
      </w:r>
      <w:r>
        <w:rPr>
          <w:rFonts w:hint="eastAsia"/>
          <w:color w:val="auto"/>
          <w:sz w:val="30"/>
          <w:szCs w:val="30"/>
        </w:rPr>
        <w:t>信用事件范围</w:t>
      </w:r>
      <w:r>
        <w:rPr>
          <w:color w:val="auto"/>
          <w:sz w:val="30"/>
          <w:szCs w:val="30"/>
        </w:rPr>
        <w:t xml:space="preserve"> </w:t>
      </w:r>
    </w:p>
    <w:p w14:paraId="615DD5F7">
      <w:pPr>
        <w:pStyle w:val="100"/>
        <w:spacing w:line="560" w:lineRule="exact"/>
        <w:ind w:firstLine="600" w:firstLineChars="200"/>
        <w:rPr>
          <w:rFonts w:cs="Calibri"/>
          <w:color w:val="auto"/>
          <w:sz w:val="30"/>
          <w:szCs w:val="30"/>
        </w:rPr>
      </w:pPr>
      <w:r>
        <w:rPr>
          <w:rFonts w:hint="eastAsia" w:cs="Calibri"/>
          <w:color w:val="auto"/>
          <w:sz w:val="30"/>
          <w:szCs w:val="30"/>
        </w:rPr>
        <w:t>包括信用事件的类型及选择。</w:t>
      </w:r>
    </w:p>
    <w:p w14:paraId="7BB10325">
      <w:pPr>
        <w:pStyle w:val="100"/>
        <w:spacing w:line="560" w:lineRule="exact"/>
        <w:rPr>
          <w:color w:val="auto"/>
          <w:sz w:val="30"/>
          <w:szCs w:val="30"/>
        </w:rPr>
      </w:pPr>
      <w:r>
        <w:rPr>
          <w:color w:val="auto"/>
          <w:sz w:val="30"/>
          <w:szCs w:val="30"/>
        </w:rPr>
        <w:t xml:space="preserve">5.2 </w:t>
      </w:r>
      <w:r>
        <w:rPr>
          <w:rFonts w:hint="eastAsia"/>
          <w:color w:val="auto"/>
          <w:sz w:val="30"/>
          <w:szCs w:val="30"/>
        </w:rPr>
        <w:t>信用事件定义</w:t>
      </w:r>
      <w:r>
        <w:rPr>
          <w:color w:val="auto"/>
          <w:sz w:val="30"/>
          <w:szCs w:val="30"/>
        </w:rPr>
        <w:t xml:space="preserve"> </w:t>
      </w:r>
    </w:p>
    <w:p w14:paraId="46084D68">
      <w:pPr>
        <w:pStyle w:val="100"/>
        <w:spacing w:line="560" w:lineRule="exact"/>
        <w:ind w:firstLine="600" w:firstLineChars="200"/>
        <w:rPr>
          <w:rFonts w:cs="Calibri"/>
          <w:bCs/>
          <w:color w:val="auto"/>
          <w:sz w:val="30"/>
          <w:szCs w:val="30"/>
        </w:rPr>
      </w:pPr>
      <w:r>
        <w:rPr>
          <w:rFonts w:hint="eastAsia" w:cs="Calibri"/>
          <w:bCs/>
          <w:color w:val="auto"/>
          <w:sz w:val="30"/>
          <w:szCs w:val="30"/>
        </w:rPr>
        <w:t>包括各信用事件类型的具体界定。</w:t>
      </w:r>
    </w:p>
    <w:p w14:paraId="36332C4D">
      <w:pPr>
        <w:pStyle w:val="100"/>
        <w:spacing w:line="560" w:lineRule="exact"/>
        <w:rPr>
          <w:color w:val="auto"/>
          <w:sz w:val="30"/>
          <w:szCs w:val="30"/>
        </w:rPr>
      </w:pPr>
      <w:r>
        <w:rPr>
          <w:color w:val="auto"/>
          <w:sz w:val="30"/>
          <w:szCs w:val="30"/>
        </w:rPr>
        <w:t xml:space="preserve">5.3 </w:t>
      </w:r>
      <w:r>
        <w:rPr>
          <w:rFonts w:hint="eastAsia"/>
          <w:color w:val="auto"/>
          <w:sz w:val="30"/>
          <w:szCs w:val="30"/>
        </w:rPr>
        <w:t>信用事件通知规则</w:t>
      </w:r>
    </w:p>
    <w:p w14:paraId="65620633">
      <w:pPr>
        <w:pStyle w:val="100"/>
        <w:spacing w:line="560" w:lineRule="exact"/>
        <w:ind w:firstLine="600" w:firstLineChars="200"/>
        <w:rPr>
          <w:rFonts w:cs="Calibri"/>
          <w:bCs/>
          <w:color w:val="auto"/>
          <w:sz w:val="30"/>
          <w:szCs w:val="30"/>
        </w:rPr>
      </w:pPr>
      <w:r>
        <w:rPr>
          <w:rFonts w:hint="eastAsia" w:cs="Calibri"/>
          <w:bCs/>
          <w:color w:val="auto"/>
          <w:sz w:val="30"/>
          <w:szCs w:val="30"/>
        </w:rPr>
        <w:t>包括通知的具体方式、形式要求、通知生效时点等。</w:t>
      </w:r>
    </w:p>
    <w:p w14:paraId="1CA8DC44">
      <w:pPr>
        <w:pStyle w:val="100"/>
        <w:spacing w:line="560" w:lineRule="exact"/>
        <w:rPr>
          <w:rFonts w:cs="Calibri"/>
          <w:b/>
          <w:color w:val="auto"/>
          <w:sz w:val="30"/>
          <w:szCs w:val="30"/>
        </w:rPr>
      </w:pPr>
      <w:r>
        <w:rPr>
          <w:rFonts w:hint="eastAsia"/>
          <w:b/>
          <w:color w:val="auto"/>
          <w:sz w:val="30"/>
          <w:szCs w:val="30"/>
        </w:rPr>
        <w:t>第六节</w:t>
      </w:r>
      <w:r>
        <w:rPr>
          <w:b/>
          <w:color w:val="auto"/>
          <w:sz w:val="30"/>
          <w:szCs w:val="30"/>
        </w:rPr>
        <w:t xml:space="preserve"> </w:t>
      </w:r>
      <w:r>
        <w:rPr>
          <w:rFonts w:hint="eastAsia"/>
          <w:b/>
          <w:color w:val="auto"/>
          <w:sz w:val="30"/>
          <w:szCs w:val="30"/>
        </w:rPr>
        <w:t>结算安排</w:t>
      </w:r>
      <w:r>
        <w:rPr>
          <w:b/>
          <w:color w:val="auto"/>
          <w:sz w:val="30"/>
          <w:szCs w:val="30"/>
        </w:rPr>
        <w:t xml:space="preserve"> </w:t>
      </w:r>
    </w:p>
    <w:p w14:paraId="14890F4A">
      <w:pPr>
        <w:pStyle w:val="100"/>
        <w:spacing w:line="560" w:lineRule="exact"/>
        <w:rPr>
          <w:rFonts w:cs="Calibri"/>
          <w:b/>
          <w:bCs/>
          <w:color w:val="auto"/>
          <w:sz w:val="30"/>
          <w:szCs w:val="30"/>
        </w:rPr>
      </w:pPr>
      <w:r>
        <w:rPr>
          <w:color w:val="auto"/>
          <w:sz w:val="30"/>
          <w:szCs w:val="30"/>
        </w:rPr>
        <w:t xml:space="preserve">6.1 </w:t>
      </w:r>
      <w:r>
        <w:rPr>
          <w:rFonts w:hint="eastAsia"/>
          <w:color w:val="auto"/>
          <w:sz w:val="30"/>
          <w:szCs w:val="30"/>
        </w:rPr>
        <w:t>到期注销</w:t>
      </w:r>
      <w:r>
        <w:rPr>
          <w:rFonts w:cs="Calibri"/>
          <w:b/>
          <w:bCs/>
          <w:color w:val="auto"/>
          <w:sz w:val="30"/>
          <w:szCs w:val="30"/>
        </w:rPr>
        <w:t xml:space="preserve"> </w:t>
      </w:r>
    </w:p>
    <w:p w14:paraId="20C62251">
      <w:pPr>
        <w:pStyle w:val="100"/>
        <w:spacing w:line="560" w:lineRule="exact"/>
        <w:ind w:firstLine="600" w:firstLineChars="200"/>
        <w:rPr>
          <w:rFonts w:cs="Calibri"/>
          <w:bCs/>
          <w:color w:val="auto"/>
          <w:sz w:val="30"/>
          <w:szCs w:val="30"/>
        </w:rPr>
      </w:pPr>
      <w:r>
        <w:rPr>
          <w:rFonts w:hint="eastAsia" w:cs="Calibri"/>
          <w:bCs/>
          <w:color w:val="auto"/>
          <w:sz w:val="30"/>
          <w:szCs w:val="30"/>
        </w:rPr>
        <w:t>包括到期注销的条件、到期注销的安排等。</w:t>
      </w:r>
    </w:p>
    <w:p w14:paraId="0D0D1480">
      <w:pPr>
        <w:pStyle w:val="100"/>
        <w:spacing w:line="560" w:lineRule="exact"/>
        <w:rPr>
          <w:rFonts w:cs="Calibri"/>
          <w:bCs/>
          <w:color w:val="auto"/>
          <w:sz w:val="30"/>
          <w:szCs w:val="30"/>
        </w:rPr>
      </w:pPr>
      <w:r>
        <w:rPr>
          <w:rFonts w:cs="Calibri"/>
          <w:bCs/>
          <w:color w:val="auto"/>
          <w:sz w:val="30"/>
          <w:szCs w:val="30"/>
        </w:rPr>
        <w:t xml:space="preserve">6.2 </w:t>
      </w:r>
      <w:r>
        <w:rPr>
          <w:rFonts w:hint="eastAsia"/>
          <w:color w:val="auto"/>
          <w:sz w:val="30"/>
          <w:szCs w:val="30"/>
        </w:rPr>
        <w:t>结算条件</w:t>
      </w:r>
      <w:r>
        <w:rPr>
          <w:rFonts w:cs="Calibri"/>
          <w:b/>
          <w:bCs/>
          <w:color w:val="auto"/>
          <w:sz w:val="30"/>
          <w:szCs w:val="30"/>
        </w:rPr>
        <w:t xml:space="preserve"> </w:t>
      </w:r>
    </w:p>
    <w:p w14:paraId="5E75E7A4">
      <w:pPr>
        <w:pStyle w:val="100"/>
        <w:spacing w:line="560" w:lineRule="exact"/>
        <w:ind w:firstLine="600" w:firstLineChars="200"/>
        <w:rPr>
          <w:rFonts w:cs="Calibri"/>
          <w:bCs/>
          <w:color w:val="auto"/>
          <w:sz w:val="30"/>
          <w:szCs w:val="30"/>
        </w:rPr>
      </w:pPr>
      <w:r>
        <w:rPr>
          <w:rFonts w:hint="eastAsia" w:cs="Calibri"/>
          <w:bCs/>
          <w:color w:val="auto"/>
          <w:sz w:val="30"/>
          <w:szCs w:val="30"/>
        </w:rPr>
        <w:t>包括启动结算的条件、启动结算的流程。</w:t>
      </w:r>
    </w:p>
    <w:p w14:paraId="72047E37">
      <w:pPr>
        <w:pStyle w:val="100"/>
        <w:spacing w:line="560" w:lineRule="exact"/>
        <w:rPr>
          <w:rFonts w:cs="Calibri"/>
          <w:bCs/>
          <w:color w:val="auto"/>
          <w:sz w:val="30"/>
          <w:szCs w:val="30"/>
        </w:rPr>
      </w:pPr>
      <w:r>
        <w:rPr>
          <w:rFonts w:cs="Calibri"/>
          <w:bCs/>
          <w:color w:val="auto"/>
          <w:sz w:val="30"/>
          <w:szCs w:val="30"/>
        </w:rPr>
        <w:t xml:space="preserve">6.3 </w:t>
      </w:r>
      <w:r>
        <w:rPr>
          <w:rFonts w:hint="eastAsia" w:cs="Calibri"/>
          <w:bCs/>
          <w:color w:val="auto"/>
          <w:sz w:val="30"/>
          <w:szCs w:val="30"/>
        </w:rPr>
        <w:t>结算通知规则</w:t>
      </w:r>
    </w:p>
    <w:p w14:paraId="279E5D37">
      <w:pPr>
        <w:pStyle w:val="100"/>
        <w:spacing w:line="560" w:lineRule="exact"/>
        <w:ind w:firstLine="600"/>
        <w:rPr>
          <w:rFonts w:cs="Calibri"/>
          <w:bCs/>
          <w:color w:val="auto"/>
          <w:sz w:val="30"/>
          <w:szCs w:val="30"/>
        </w:rPr>
      </w:pPr>
      <w:r>
        <w:rPr>
          <w:rFonts w:hint="eastAsia" w:cs="Calibri"/>
          <w:bCs/>
          <w:color w:val="auto"/>
          <w:sz w:val="30"/>
          <w:szCs w:val="30"/>
        </w:rPr>
        <w:t>包括结算流程中通知的具体方式、形式要求、通知生效时点等。</w:t>
      </w:r>
    </w:p>
    <w:p w14:paraId="6BEF64BB">
      <w:pPr>
        <w:pStyle w:val="100"/>
        <w:spacing w:line="560" w:lineRule="exact"/>
        <w:rPr>
          <w:rFonts w:cs="Calibri"/>
          <w:b/>
          <w:bCs/>
          <w:color w:val="auto"/>
          <w:sz w:val="30"/>
          <w:szCs w:val="30"/>
        </w:rPr>
      </w:pPr>
      <w:r>
        <w:rPr>
          <w:color w:val="auto"/>
          <w:sz w:val="30"/>
          <w:szCs w:val="30"/>
        </w:rPr>
        <w:t xml:space="preserve">6.4 </w:t>
      </w:r>
      <w:r>
        <w:rPr>
          <w:rFonts w:hint="eastAsia"/>
          <w:color w:val="auto"/>
          <w:sz w:val="30"/>
          <w:szCs w:val="30"/>
        </w:rPr>
        <w:t>发生信用事件后的结算安排</w:t>
      </w:r>
      <w:r>
        <w:rPr>
          <w:color w:val="auto"/>
          <w:sz w:val="30"/>
          <w:szCs w:val="30"/>
        </w:rPr>
        <w:t xml:space="preserve"> </w:t>
      </w:r>
    </w:p>
    <w:p w14:paraId="27A049B4">
      <w:pPr>
        <w:pStyle w:val="100"/>
        <w:spacing w:line="560" w:lineRule="exact"/>
        <w:ind w:firstLine="450" w:firstLineChars="150"/>
        <w:rPr>
          <w:rFonts w:cs="Calibri"/>
          <w:bCs/>
          <w:color w:val="auto"/>
          <w:sz w:val="30"/>
          <w:szCs w:val="30"/>
        </w:rPr>
      </w:pPr>
      <w:r>
        <w:rPr>
          <w:rFonts w:hint="eastAsia" w:cs="Calibri"/>
          <w:bCs/>
          <w:color w:val="auto"/>
          <w:sz w:val="30"/>
          <w:szCs w:val="30"/>
        </w:rPr>
        <w:t>包括实物或现金结算的选择、结算的具体流程、结算日、结算金额计算方式、结算金额支付方式、实物交割方式及流程等。</w:t>
      </w:r>
    </w:p>
    <w:p w14:paraId="5AEB0C22">
      <w:pPr>
        <w:pStyle w:val="100"/>
        <w:spacing w:line="560" w:lineRule="exact"/>
        <w:rPr>
          <w:b/>
          <w:color w:val="auto"/>
          <w:sz w:val="30"/>
          <w:szCs w:val="30"/>
        </w:rPr>
      </w:pPr>
      <w:r>
        <w:rPr>
          <w:rFonts w:hint="eastAsia"/>
          <w:b/>
          <w:color w:val="auto"/>
          <w:sz w:val="30"/>
          <w:szCs w:val="30"/>
        </w:rPr>
        <w:t>第七节</w:t>
      </w:r>
      <w:r>
        <w:rPr>
          <w:b/>
          <w:color w:val="auto"/>
          <w:sz w:val="30"/>
          <w:szCs w:val="30"/>
        </w:rPr>
        <w:t xml:space="preserve"> </w:t>
      </w:r>
      <w:r>
        <w:rPr>
          <w:rFonts w:hint="eastAsia"/>
          <w:b/>
          <w:color w:val="auto"/>
          <w:sz w:val="30"/>
          <w:szCs w:val="30"/>
        </w:rPr>
        <w:t>违约事件和终止事件及处理</w:t>
      </w:r>
    </w:p>
    <w:p w14:paraId="6981D80A">
      <w:pPr>
        <w:pStyle w:val="100"/>
        <w:spacing w:line="560" w:lineRule="exact"/>
        <w:rPr>
          <w:color w:val="auto"/>
          <w:sz w:val="30"/>
          <w:szCs w:val="30"/>
        </w:rPr>
      </w:pPr>
      <w:r>
        <w:rPr>
          <w:color w:val="auto"/>
          <w:sz w:val="30"/>
          <w:szCs w:val="30"/>
        </w:rPr>
        <w:t xml:space="preserve">7.1 </w:t>
      </w:r>
      <w:r>
        <w:rPr>
          <w:rFonts w:hint="eastAsia"/>
          <w:color w:val="auto"/>
          <w:sz w:val="30"/>
          <w:szCs w:val="30"/>
        </w:rPr>
        <w:t>违约事件</w:t>
      </w:r>
    </w:p>
    <w:p w14:paraId="0E9CA847">
      <w:pPr>
        <w:pStyle w:val="100"/>
        <w:spacing w:line="560" w:lineRule="exact"/>
        <w:ind w:firstLine="600"/>
        <w:rPr>
          <w:color w:val="auto"/>
          <w:sz w:val="30"/>
          <w:szCs w:val="30"/>
        </w:rPr>
      </w:pPr>
      <w:r>
        <w:rPr>
          <w:rFonts w:hint="eastAsia"/>
          <w:color w:val="auto"/>
          <w:sz w:val="30"/>
          <w:szCs w:val="30"/>
        </w:rPr>
        <w:t>包括违约事件的类型、具体类型的定义等。</w:t>
      </w:r>
    </w:p>
    <w:p w14:paraId="7A73D367">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可参考适用《中国证券期货市场衍生品交易主协议（信用保护合约专用版）》第四条相关表述。</w:t>
      </w:r>
    </w:p>
    <w:p w14:paraId="7D4F6940">
      <w:pPr>
        <w:pStyle w:val="100"/>
        <w:spacing w:line="560" w:lineRule="exact"/>
        <w:rPr>
          <w:color w:val="auto"/>
          <w:sz w:val="30"/>
          <w:szCs w:val="30"/>
        </w:rPr>
      </w:pPr>
      <w:r>
        <w:rPr>
          <w:color w:val="auto"/>
          <w:sz w:val="30"/>
          <w:szCs w:val="30"/>
        </w:rPr>
        <w:t xml:space="preserve">7.2 </w:t>
      </w:r>
      <w:r>
        <w:rPr>
          <w:rFonts w:hint="eastAsia"/>
          <w:color w:val="auto"/>
          <w:sz w:val="30"/>
          <w:szCs w:val="30"/>
        </w:rPr>
        <w:t>违约事件的处理</w:t>
      </w:r>
    </w:p>
    <w:p w14:paraId="3A7D975C">
      <w:pPr>
        <w:pStyle w:val="100"/>
        <w:spacing w:line="560" w:lineRule="exact"/>
        <w:ind w:firstLine="600"/>
        <w:rPr>
          <w:color w:val="auto"/>
          <w:sz w:val="30"/>
          <w:szCs w:val="30"/>
        </w:rPr>
      </w:pPr>
      <w:r>
        <w:rPr>
          <w:rFonts w:hint="eastAsia"/>
          <w:color w:val="auto"/>
          <w:sz w:val="30"/>
          <w:szCs w:val="30"/>
        </w:rPr>
        <w:t>包括违约事件后凭证创设机构和投资者之间的权利义务、违约处理流程和安排、违约救济方式、违约金和资金清算返还金额的计算方法、利息和费用的计算方式、资金支付方式、文件通知送达方式等。</w:t>
      </w:r>
    </w:p>
    <w:p w14:paraId="20737C67">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可参考适用《中国证券期货市场场外衍生品交易主协议（信用保护合约专用版）》第五条相关表述。</w:t>
      </w:r>
    </w:p>
    <w:p w14:paraId="213B153A">
      <w:pPr>
        <w:pStyle w:val="100"/>
        <w:spacing w:line="560" w:lineRule="exact"/>
        <w:rPr>
          <w:color w:val="auto"/>
          <w:sz w:val="30"/>
          <w:szCs w:val="30"/>
        </w:rPr>
      </w:pPr>
      <w:r>
        <w:rPr>
          <w:color w:val="auto"/>
          <w:sz w:val="30"/>
          <w:szCs w:val="30"/>
        </w:rPr>
        <w:t xml:space="preserve">7.3 </w:t>
      </w:r>
      <w:r>
        <w:rPr>
          <w:rFonts w:hint="eastAsia"/>
          <w:color w:val="auto"/>
          <w:sz w:val="30"/>
          <w:szCs w:val="30"/>
        </w:rPr>
        <w:t>终止事件</w:t>
      </w:r>
    </w:p>
    <w:p w14:paraId="0EB5D61D">
      <w:pPr>
        <w:pStyle w:val="100"/>
        <w:spacing w:line="560" w:lineRule="exact"/>
        <w:ind w:firstLine="600"/>
        <w:rPr>
          <w:color w:val="auto"/>
          <w:sz w:val="30"/>
          <w:szCs w:val="30"/>
        </w:rPr>
      </w:pPr>
      <w:r>
        <w:rPr>
          <w:rFonts w:hint="eastAsia"/>
          <w:color w:val="auto"/>
          <w:sz w:val="30"/>
          <w:szCs w:val="30"/>
        </w:rPr>
        <w:t>包括终止事件的类型、具体类型的定义等。</w:t>
      </w:r>
    </w:p>
    <w:p w14:paraId="5DD5B909">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可参考适用《中国证券期货市场衍生品交易主协议（信用保护合约专用版）》第六条相关表述。</w:t>
      </w:r>
    </w:p>
    <w:p w14:paraId="092CB47B">
      <w:pPr>
        <w:pStyle w:val="100"/>
        <w:spacing w:line="560" w:lineRule="exact"/>
        <w:rPr>
          <w:color w:val="auto"/>
          <w:sz w:val="30"/>
          <w:szCs w:val="30"/>
        </w:rPr>
      </w:pPr>
      <w:r>
        <w:rPr>
          <w:color w:val="auto"/>
          <w:sz w:val="30"/>
          <w:szCs w:val="30"/>
        </w:rPr>
        <w:t xml:space="preserve">7.4 </w:t>
      </w:r>
      <w:r>
        <w:rPr>
          <w:rFonts w:hint="eastAsia"/>
          <w:color w:val="auto"/>
          <w:sz w:val="30"/>
          <w:szCs w:val="30"/>
        </w:rPr>
        <w:t>终止事件的处理</w:t>
      </w:r>
    </w:p>
    <w:p w14:paraId="5A6DFFA7">
      <w:pPr>
        <w:pStyle w:val="100"/>
        <w:spacing w:line="560" w:lineRule="exact"/>
        <w:ind w:firstLine="600"/>
        <w:rPr>
          <w:color w:val="auto"/>
          <w:sz w:val="30"/>
          <w:szCs w:val="30"/>
        </w:rPr>
      </w:pPr>
      <w:r>
        <w:rPr>
          <w:rFonts w:hint="eastAsia"/>
          <w:color w:val="auto"/>
          <w:sz w:val="30"/>
          <w:szCs w:val="30"/>
        </w:rPr>
        <w:t>包括终止事件发生后凭证创设机构和投资者之间的权利义务、交易终止后的处理和安排、交易终止后资金清算返还的计算方法、利息和费用的计算方式、资金支付方式、文件通知送达方式等。</w:t>
      </w:r>
    </w:p>
    <w:p w14:paraId="06D38A86">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可参考适用《中国证券期货市场场外衍生品交易主协议（信用保护合约专用版）》第七条相关表述。</w:t>
      </w:r>
    </w:p>
    <w:p w14:paraId="03942168">
      <w:pPr>
        <w:pStyle w:val="100"/>
        <w:spacing w:line="560" w:lineRule="exact"/>
        <w:rPr>
          <w:b/>
          <w:color w:val="auto"/>
          <w:sz w:val="30"/>
          <w:szCs w:val="30"/>
        </w:rPr>
      </w:pPr>
      <w:r>
        <w:rPr>
          <w:rFonts w:hint="eastAsia"/>
          <w:b/>
          <w:color w:val="auto"/>
          <w:sz w:val="30"/>
          <w:szCs w:val="30"/>
        </w:rPr>
        <w:t>第八节</w:t>
      </w:r>
      <w:r>
        <w:rPr>
          <w:b/>
          <w:color w:val="auto"/>
          <w:sz w:val="30"/>
          <w:szCs w:val="30"/>
        </w:rPr>
        <w:t xml:space="preserve"> </w:t>
      </w:r>
      <w:r>
        <w:rPr>
          <w:rFonts w:hint="eastAsia"/>
          <w:b/>
          <w:color w:val="auto"/>
          <w:sz w:val="30"/>
          <w:szCs w:val="30"/>
        </w:rPr>
        <w:t>凭证持有人会议</w:t>
      </w:r>
    </w:p>
    <w:p w14:paraId="2F33CD7A">
      <w:pPr>
        <w:pStyle w:val="100"/>
        <w:spacing w:line="560" w:lineRule="exact"/>
        <w:ind w:firstLine="600" w:firstLineChars="200"/>
        <w:rPr>
          <w:b/>
          <w:color w:val="auto"/>
          <w:sz w:val="30"/>
          <w:szCs w:val="30"/>
        </w:rPr>
      </w:pPr>
      <w:r>
        <w:rPr>
          <w:rFonts w:hint="eastAsia"/>
          <w:color w:val="auto"/>
          <w:sz w:val="30"/>
          <w:szCs w:val="30"/>
        </w:rPr>
        <w:t>包括凭证持有人会议的召开条件、召集程序、会议安排和要求等。</w:t>
      </w:r>
    </w:p>
    <w:p w14:paraId="43551A12">
      <w:pPr>
        <w:pStyle w:val="100"/>
        <w:spacing w:line="560" w:lineRule="exact"/>
        <w:rPr>
          <w:rFonts w:cs="Calibri"/>
          <w:b/>
          <w:color w:val="auto"/>
          <w:sz w:val="30"/>
          <w:szCs w:val="30"/>
        </w:rPr>
      </w:pPr>
      <w:r>
        <w:rPr>
          <w:rFonts w:hint="eastAsia"/>
          <w:b/>
          <w:color w:val="auto"/>
          <w:sz w:val="30"/>
          <w:szCs w:val="30"/>
        </w:rPr>
        <w:t>第九节</w:t>
      </w:r>
      <w:r>
        <w:rPr>
          <w:b/>
          <w:color w:val="auto"/>
          <w:sz w:val="30"/>
          <w:szCs w:val="30"/>
        </w:rPr>
        <w:t xml:space="preserve"> </w:t>
      </w:r>
      <w:r>
        <w:rPr>
          <w:rFonts w:hint="eastAsia"/>
          <w:b/>
          <w:color w:val="auto"/>
          <w:sz w:val="30"/>
          <w:szCs w:val="30"/>
        </w:rPr>
        <w:t>其他应说明的事项</w:t>
      </w:r>
      <w:r>
        <w:rPr>
          <w:b/>
          <w:color w:val="auto"/>
          <w:sz w:val="30"/>
          <w:szCs w:val="30"/>
        </w:rPr>
        <w:t xml:space="preserve"> </w:t>
      </w:r>
    </w:p>
    <w:p w14:paraId="014C7AEE">
      <w:pPr>
        <w:pStyle w:val="100"/>
        <w:spacing w:line="560" w:lineRule="exact"/>
        <w:rPr>
          <w:color w:val="auto"/>
          <w:sz w:val="30"/>
          <w:szCs w:val="30"/>
        </w:rPr>
      </w:pPr>
      <w:r>
        <w:rPr>
          <w:color w:val="auto"/>
          <w:sz w:val="30"/>
          <w:szCs w:val="30"/>
        </w:rPr>
        <w:t xml:space="preserve">9.1 </w:t>
      </w:r>
      <w:r>
        <w:rPr>
          <w:rFonts w:hint="eastAsia"/>
          <w:color w:val="auto"/>
          <w:sz w:val="30"/>
          <w:szCs w:val="30"/>
        </w:rPr>
        <w:t>税收</w:t>
      </w:r>
      <w:r>
        <w:rPr>
          <w:color w:val="auto"/>
          <w:sz w:val="30"/>
          <w:szCs w:val="30"/>
        </w:rPr>
        <w:t xml:space="preserve"> </w:t>
      </w:r>
    </w:p>
    <w:p w14:paraId="7154BC88">
      <w:pPr>
        <w:pStyle w:val="100"/>
        <w:spacing w:line="560" w:lineRule="exact"/>
        <w:ind w:firstLine="600"/>
        <w:rPr>
          <w:rFonts w:cs="Calibri"/>
          <w:color w:val="auto"/>
          <w:sz w:val="30"/>
          <w:szCs w:val="30"/>
        </w:rPr>
      </w:pPr>
      <w:r>
        <w:rPr>
          <w:rFonts w:hint="eastAsia"/>
          <w:color w:val="auto"/>
          <w:sz w:val="30"/>
          <w:szCs w:val="30"/>
        </w:rPr>
        <w:t>包括税收负担的说明、承担缴税职责的约定。</w:t>
      </w:r>
    </w:p>
    <w:p w14:paraId="43ED72C0">
      <w:pPr>
        <w:pStyle w:val="100"/>
        <w:spacing w:line="560" w:lineRule="exact"/>
        <w:rPr>
          <w:rFonts w:cs="Calibri"/>
          <w:color w:val="auto"/>
          <w:sz w:val="30"/>
          <w:szCs w:val="30"/>
        </w:rPr>
      </w:pPr>
      <w:r>
        <w:rPr>
          <w:color w:val="auto"/>
          <w:sz w:val="30"/>
          <w:szCs w:val="30"/>
        </w:rPr>
        <w:t xml:space="preserve">9.2 </w:t>
      </w:r>
      <w:r>
        <w:rPr>
          <w:rFonts w:hint="eastAsia"/>
          <w:color w:val="auto"/>
          <w:sz w:val="30"/>
          <w:szCs w:val="30"/>
        </w:rPr>
        <w:t>弃权</w:t>
      </w:r>
      <w:r>
        <w:rPr>
          <w:color w:val="auto"/>
          <w:sz w:val="30"/>
          <w:szCs w:val="30"/>
        </w:rPr>
        <w:t xml:space="preserve"> </w:t>
      </w:r>
    </w:p>
    <w:p w14:paraId="19D47960">
      <w:pPr>
        <w:pStyle w:val="100"/>
        <w:spacing w:line="560" w:lineRule="exact"/>
        <w:rPr>
          <w:color w:val="auto"/>
          <w:sz w:val="30"/>
          <w:szCs w:val="30"/>
        </w:rPr>
      </w:pPr>
      <w:r>
        <w:rPr>
          <w:color w:val="auto"/>
          <w:sz w:val="30"/>
          <w:szCs w:val="30"/>
        </w:rPr>
        <w:t xml:space="preserve">9.3 </w:t>
      </w:r>
      <w:r>
        <w:rPr>
          <w:rFonts w:hint="eastAsia"/>
          <w:color w:val="auto"/>
          <w:sz w:val="30"/>
          <w:szCs w:val="30"/>
        </w:rPr>
        <w:t>争议的解决</w:t>
      </w:r>
      <w:r>
        <w:rPr>
          <w:color w:val="auto"/>
          <w:sz w:val="30"/>
          <w:szCs w:val="30"/>
        </w:rPr>
        <w:t xml:space="preserve"> </w:t>
      </w:r>
    </w:p>
    <w:p w14:paraId="011B6C93">
      <w:pPr>
        <w:pStyle w:val="100"/>
        <w:spacing w:line="560" w:lineRule="exact"/>
        <w:ind w:firstLine="600" w:firstLineChars="200"/>
        <w:rPr>
          <w:color w:val="auto"/>
          <w:sz w:val="30"/>
          <w:szCs w:val="30"/>
        </w:rPr>
      </w:pPr>
      <w:r>
        <w:rPr>
          <w:rFonts w:hint="eastAsia"/>
          <w:color w:val="auto"/>
          <w:sz w:val="30"/>
          <w:szCs w:val="30"/>
        </w:rPr>
        <w:t>包括适用的法律，争议解决方式等。</w:t>
      </w:r>
    </w:p>
    <w:p w14:paraId="321375A5">
      <w:pPr>
        <w:pStyle w:val="100"/>
        <w:spacing w:line="560" w:lineRule="exact"/>
        <w:rPr>
          <w:rFonts w:cs="Calibri"/>
          <w:color w:val="auto"/>
          <w:sz w:val="30"/>
          <w:szCs w:val="30"/>
        </w:rPr>
      </w:pPr>
      <w:r>
        <w:rPr>
          <w:rFonts w:cs="Calibri"/>
          <w:color w:val="auto"/>
          <w:sz w:val="30"/>
          <w:szCs w:val="30"/>
        </w:rPr>
        <w:t xml:space="preserve">9.4 </w:t>
      </w:r>
      <w:r>
        <w:rPr>
          <w:rFonts w:hint="eastAsia"/>
          <w:color w:val="auto"/>
          <w:sz w:val="30"/>
          <w:szCs w:val="30"/>
        </w:rPr>
        <w:t>风险提示</w:t>
      </w:r>
      <w:r>
        <w:rPr>
          <w:color w:val="auto"/>
          <w:sz w:val="30"/>
          <w:szCs w:val="30"/>
        </w:rPr>
        <w:t xml:space="preserve"> </w:t>
      </w:r>
    </w:p>
    <w:p w14:paraId="4E5571D6">
      <w:pPr>
        <w:pStyle w:val="100"/>
        <w:spacing w:line="560" w:lineRule="exact"/>
        <w:ind w:firstLine="600" w:firstLineChars="200"/>
        <w:rPr>
          <w:rFonts w:cs="Calibri"/>
          <w:color w:val="auto"/>
          <w:sz w:val="30"/>
          <w:szCs w:val="30"/>
        </w:rPr>
      </w:pPr>
      <w:r>
        <w:rPr>
          <w:rFonts w:hint="eastAsia" w:cs="Calibri"/>
          <w:color w:val="auto"/>
          <w:sz w:val="30"/>
          <w:szCs w:val="30"/>
        </w:rPr>
        <w:t>包括在评价和购买本期凭证时，应提醒投资者考虑的各项风险因素。</w:t>
      </w:r>
    </w:p>
    <w:p w14:paraId="71F4F1C9">
      <w:pPr>
        <w:pStyle w:val="100"/>
        <w:spacing w:line="560" w:lineRule="exact"/>
        <w:rPr>
          <w:color w:val="auto"/>
          <w:sz w:val="30"/>
          <w:szCs w:val="30"/>
        </w:rPr>
      </w:pPr>
      <w:r>
        <w:rPr>
          <w:color w:val="auto"/>
          <w:sz w:val="30"/>
          <w:szCs w:val="30"/>
        </w:rPr>
        <w:t xml:space="preserve">9.5 </w:t>
      </w:r>
      <w:r>
        <w:rPr>
          <w:rFonts w:hint="eastAsia"/>
          <w:color w:val="auto"/>
          <w:sz w:val="30"/>
          <w:szCs w:val="30"/>
        </w:rPr>
        <w:t>关联方关系说明</w:t>
      </w:r>
      <w:r>
        <w:rPr>
          <w:color w:val="auto"/>
          <w:sz w:val="30"/>
          <w:szCs w:val="30"/>
        </w:rPr>
        <w:t xml:space="preserve"> </w:t>
      </w:r>
    </w:p>
    <w:p w14:paraId="2E5D7F85">
      <w:pPr>
        <w:pStyle w:val="100"/>
        <w:spacing w:line="560" w:lineRule="exact"/>
        <w:ind w:firstLine="600"/>
        <w:rPr>
          <w:color w:val="auto"/>
          <w:sz w:val="30"/>
          <w:szCs w:val="30"/>
        </w:rPr>
      </w:pPr>
      <w:r>
        <w:rPr>
          <w:rFonts w:hint="eastAsia"/>
          <w:color w:val="auto"/>
          <w:sz w:val="30"/>
          <w:szCs w:val="30"/>
        </w:rPr>
        <w:t>包括创设机构、参考实体、中介机构之间是否存在关联关系的说明。</w:t>
      </w:r>
    </w:p>
    <w:p w14:paraId="2BC53DCE">
      <w:pPr>
        <w:pStyle w:val="100"/>
        <w:spacing w:line="560" w:lineRule="exact"/>
        <w:rPr>
          <w:rFonts w:cs="Calibri"/>
          <w:b/>
          <w:color w:val="auto"/>
          <w:sz w:val="30"/>
          <w:szCs w:val="30"/>
        </w:rPr>
      </w:pPr>
      <w:r>
        <w:rPr>
          <w:rFonts w:hint="eastAsia"/>
          <w:b/>
          <w:color w:val="auto"/>
          <w:sz w:val="30"/>
          <w:szCs w:val="30"/>
        </w:rPr>
        <w:t>第十节</w:t>
      </w:r>
      <w:r>
        <w:rPr>
          <w:b/>
          <w:color w:val="auto"/>
          <w:sz w:val="30"/>
          <w:szCs w:val="30"/>
        </w:rPr>
        <w:t xml:space="preserve"> </w:t>
      </w:r>
      <w:r>
        <w:rPr>
          <w:rFonts w:hint="eastAsia"/>
          <w:b/>
          <w:color w:val="auto"/>
          <w:sz w:val="30"/>
          <w:szCs w:val="30"/>
        </w:rPr>
        <w:t>备查文件</w:t>
      </w:r>
      <w:r>
        <w:rPr>
          <w:b/>
          <w:color w:val="auto"/>
          <w:sz w:val="30"/>
          <w:szCs w:val="30"/>
        </w:rPr>
        <w:t xml:space="preserve"> </w:t>
      </w:r>
    </w:p>
    <w:p w14:paraId="5EF7838C">
      <w:pPr>
        <w:pStyle w:val="100"/>
        <w:spacing w:line="560" w:lineRule="exact"/>
        <w:rPr>
          <w:rFonts w:cs="Calibri"/>
          <w:color w:val="auto"/>
          <w:sz w:val="30"/>
          <w:szCs w:val="30"/>
        </w:rPr>
      </w:pPr>
      <w:r>
        <w:rPr>
          <w:color w:val="auto"/>
          <w:sz w:val="30"/>
          <w:szCs w:val="30"/>
        </w:rPr>
        <w:t xml:space="preserve">10.1 </w:t>
      </w:r>
      <w:r>
        <w:rPr>
          <w:rFonts w:hint="eastAsia"/>
          <w:color w:val="auto"/>
          <w:sz w:val="30"/>
          <w:szCs w:val="30"/>
        </w:rPr>
        <w:t>备查文件清单</w:t>
      </w:r>
      <w:r>
        <w:rPr>
          <w:color w:val="auto"/>
          <w:sz w:val="30"/>
          <w:szCs w:val="30"/>
        </w:rPr>
        <w:t xml:space="preserve"> </w:t>
      </w:r>
    </w:p>
    <w:p w14:paraId="4A7F333A">
      <w:pPr>
        <w:spacing w:line="560" w:lineRule="exact"/>
        <w:rPr>
          <w:rFonts w:ascii="仿宋_GB2312" w:eastAsia="仿宋_GB2312"/>
          <w:sz w:val="30"/>
          <w:szCs w:val="30"/>
        </w:rPr>
      </w:pPr>
      <w:r>
        <w:rPr>
          <w:rFonts w:ascii="仿宋_GB2312" w:eastAsia="仿宋_GB2312"/>
          <w:sz w:val="30"/>
          <w:szCs w:val="30"/>
        </w:rPr>
        <w:t xml:space="preserve">10.2 </w:t>
      </w:r>
      <w:r>
        <w:rPr>
          <w:rFonts w:hint="eastAsia" w:ascii="仿宋_GB2312" w:eastAsia="仿宋_GB2312"/>
          <w:sz w:val="30"/>
          <w:szCs w:val="30"/>
        </w:rPr>
        <w:t>查询地址</w:t>
      </w:r>
      <w:r>
        <w:rPr>
          <w:rFonts w:ascii="仿宋_GB2312" w:eastAsia="仿宋_GB2312"/>
          <w:sz w:val="30"/>
          <w:szCs w:val="30"/>
        </w:rPr>
        <w:t xml:space="preserve"> </w:t>
      </w:r>
    </w:p>
    <w:p w14:paraId="370CC912">
      <w:pPr>
        <w:pStyle w:val="100"/>
        <w:spacing w:line="560" w:lineRule="exact"/>
        <w:ind w:firstLine="600" w:firstLineChars="200"/>
        <w:rPr>
          <w:sz w:val="30"/>
          <w:szCs w:val="30"/>
        </w:rPr>
      </w:pPr>
      <w:r>
        <w:rPr>
          <w:rFonts w:hint="eastAsia"/>
          <w:sz w:val="30"/>
          <w:szCs w:val="30"/>
        </w:rPr>
        <w:t>包括查询方式、查询渠道、查询地址等。</w:t>
      </w:r>
    </w:p>
    <w:p w14:paraId="28C55151">
      <w:r>
        <w:br w:type="page"/>
      </w:r>
    </w:p>
    <w:p w14:paraId="427B094A">
      <w:pPr>
        <w:widowControl/>
        <w:jc w:val="left"/>
        <w:outlineLvl w:val="1"/>
        <w:rPr>
          <w:rFonts w:ascii="仿宋_GB2312" w:hAnsi="黑体" w:eastAsia="仿宋_GB2312"/>
          <w:b/>
          <w:sz w:val="30"/>
          <w:szCs w:val="30"/>
        </w:rPr>
      </w:pPr>
      <w:bookmarkStart w:id="3513" w:name="_Toc151137109"/>
      <w:r>
        <w:rPr>
          <w:rFonts w:hint="eastAsia" w:ascii="仿宋_GB2312" w:hAnsi="黑体" w:eastAsia="仿宋_GB2312"/>
          <w:b/>
          <w:sz w:val="30"/>
          <w:szCs w:val="30"/>
        </w:rPr>
        <w:t>附件26 信用保护凭证创设情况公告</w:t>
      </w:r>
      <w:bookmarkEnd w:id="3513"/>
    </w:p>
    <w:p w14:paraId="1CD184DA">
      <w:pPr>
        <w:spacing w:line="560" w:lineRule="exact"/>
        <w:ind w:firstLine="600" w:firstLineChars="200"/>
        <w:rPr>
          <w:rFonts w:eastAsia="仿宋_GB2312"/>
          <w:sz w:val="30"/>
          <w:szCs w:val="30"/>
        </w:rPr>
      </w:pPr>
    </w:p>
    <w:p w14:paraId="404E86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信用保护凭证创设情况公告</w:t>
      </w:r>
    </w:p>
    <w:p w14:paraId="0209D00A">
      <w:pPr>
        <w:spacing w:line="560" w:lineRule="exact"/>
        <w:ind w:firstLine="600" w:firstLineChars="200"/>
        <w:rPr>
          <w:rFonts w:eastAsia="仿宋_GB2312"/>
          <w:sz w:val="30"/>
          <w:szCs w:val="30"/>
        </w:rPr>
      </w:pPr>
    </w:p>
    <w:p w14:paraId="38881565">
      <w:pPr>
        <w:spacing w:line="560" w:lineRule="exact"/>
        <w:rPr>
          <w:rFonts w:eastAsia="仿宋_GB2312"/>
          <w:sz w:val="30"/>
          <w:szCs w:val="32"/>
        </w:rPr>
      </w:pPr>
      <w:r>
        <w:rPr>
          <w:rFonts w:eastAsia="仿宋_GB2312"/>
          <w:sz w:val="30"/>
          <w:szCs w:val="32"/>
        </w:rPr>
        <w:t xml:space="preserve">    XXXX</w:t>
      </w:r>
      <w:r>
        <w:rPr>
          <w:rFonts w:hint="eastAsia" w:eastAsia="仿宋_GB2312"/>
          <w:sz w:val="30"/>
          <w:szCs w:val="32"/>
        </w:rPr>
        <w:t>信用保护凭证创设工作已经结束，根据簿记建档结果，现将本凭证创设最终要素公告如下：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2314"/>
        <w:gridCol w:w="2131"/>
      </w:tblGrid>
      <w:tr w14:paraId="1748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308ECE3">
            <w:pPr>
              <w:spacing w:line="560" w:lineRule="exact"/>
              <w:rPr>
                <w:rFonts w:eastAsia="仿宋_GB2312"/>
                <w:sz w:val="24"/>
                <w:szCs w:val="24"/>
              </w:rPr>
            </w:pPr>
            <w:r>
              <w:rPr>
                <w:rFonts w:hint="eastAsia" w:eastAsia="仿宋_GB2312"/>
                <w:sz w:val="24"/>
                <w:szCs w:val="24"/>
              </w:rPr>
              <w:t>凭证名称</w:t>
            </w:r>
          </w:p>
        </w:tc>
        <w:tc>
          <w:tcPr>
            <w:tcW w:w="6004" w:type="dxa"/>
            <w:gridSpan w:val="3"/>
          </w:tcPr>
          <w:p w14:paraId="763B5224">
            <w:pPr>
              <w:spacing w:line="560" w:lineRule="exact"/>
              <w:rPr>
                <w:rFonts w:eastAsia="仿宋_GB2312"/>
                <w:sz w:val="24"/>
                <w:szCs w:val="24"/>
              </w:rPr>
            </w:pPr>
          </w:p>
        </w:tc>
      </w:tr>
      <w:tr w14:paraId="2FE9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F4CD213">
            <w:pPr>
              <w:spacing w:line="560" w:lineRule="exact"/>
              <w:rPr>
                <w:rFonts w:eastAsia="仿宋_GB2312"/>
                <w:sz w:val="24"/>
                <w:szCs w:val="24"/>
              </w:rPr>
            </w:pPr>
            <w:r>
              <w:rPr>
                <w:rFonts w:hint="eastAsia" w:eastAsia="仿宋_GB2312"/>
                <w:sz w:val="24"/>
                <w:szCs w:val="24"/>
              </w:rPr>
              <w:t>凭证简称</w:t>
            </w:r>
          </w:p>
        </w:tc>
        <w:tc>
          <w:tcPr>
            <w:tcW w:w="1559" w:type="dxa"/>
          </w:tcPr>
          <w:p w14:paraId="7A0D13BB">
            <w:pPr>
              <w:spacing w:line="560" w:lineRule="exact"/>
              <w:rPr>
                <w:rFonts w:eastAsia="仿宋_GB2312"/>
                <w:sz w:val="24"/>
                <w:szCs w:val="24"/>
              </w:rPr>
            </w:pPr>
          </w:p>
        </w:tc>
        <w:tc>
          <w:tcPr>
            <w:tcW w:w="2314" w:type="dxa"/>
          </w:tcPr>
          <w:p w14:paraId="3E617A46">
            <w:pPr>
              <w:spacing w:line="560" w:lineRule="exact"/>
              <w:rPr>
                <w:rFonts w:eastAsia="仿宋_GB2312"/>
                <w:sz w:val="24"/>
                <w:szCs w:val="24"/>
              </w:rPr>
            </w:pPr>
            <w:r>
              <w:rPr>
                <w:rFonts w:hint="eastAsia" w:eastAsia="仿宋_GB2312"/>
                <w:sz w:val="24"/>
                <w:szCs w:val="24"/>
              </w:rPr>
              <w:t>凭证代码</w:t>
            </w:r>
          </w:p>
        </w:tc>
        <w:tc>
          <w:tcPr>
            <w:tcW w:w="2131" w:type="dxa"/>
          </w:tcPr>
          <w:p w14:paraId="7ADA0CB2">
            <w:pPr>
              <w:spacing w:line="560" w:lineRule="exact"/>
              <w:rPr>
                <w:rFonts w:eastAsia="仿宋_GB2312"/>
                <w:sz w:val="24"/>
                <w:szCs w:val="24"/>
              </w:rPr>
            </w:pPr>
          </w:p>
        </w:tc>
      </w:tr>
      <w:tr w14:paraId="605C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516F61AC">
            <w:pPr>
              <w:spacing w:line="560" w:lineRule="exact"/>
              <w:rPr>
                <w:rFonts w:eastAsia="仿宋_GB2312"/>
                <w:sz w:val="24"/>
                <w:szCs w:val="24"/>
              </w:rPr>
            </w:pPr>
            <w:r>
              <w:rPr>
                <w:rFonts w:hint="eastAsia" w:eastAsia="仿宋_GB2312"/>
                <w:sz w:val="24"/>
                <w:szCs w:val="24"/>
              </w:rPr>
              <w:t>凭证期限</w:t>
            </w:r>
          </w:p>
        </w:tc>
        <w:tc>
          <w:tcPr>
            <w:tcW w:w="1559" w:type="dxa"/>
          </w:tcPr>
          <w:p w14:paraId="6C35656D">
            <w:pPr>
              <w:spacing w:line="560" w:lineRule="exact"/>
              <w:rPr>
                <w:rFonts w:eastAsia="仿宋_GB2312"/>
                <w:sz w:val="24"/>
                <w:szCs w:val="24"/>
              </w:rPr>
            </w:pPr>
          </w:p>
        </w:tc>
        <w:tc>
          <w:tcPr>
            <w:tcW w:w="2314" w:type="dxa"/>
          </w:tcPr>
          <w:p w14:paraId="67AA1312">
            <w:pPr>
              <w:spacing w:line="560" w:lineRule="exact"/>
              <w:rPr>
                <w:rFonts w:eastAsia="仿宋_GB2312"/>
                <w:sz w:val="24"/>
                <w:szCs w:val="24"/>
              </w:rPr>
            </w:pPr>
            <w:r>
              <w:rPr>
                <w:rFonts w:hint="eastAsia" w:eastAsia="仿宋_GB2312"/>
                <w:sz w:val="24"/>
                <w:szCs w:val="24"/>
              </w:rPr>
              <w:t>凭证创设价格</w:t>
            </w:r>
          </w:p>
        </w:tc>
        <w:tc>
          <w:tcPr>
            <w:tcW w:w="2131" w:type="dxa"/>
          </w:tcPr>
          <w:p w14:paraId="338C3708">
            <w:pPr>
              <w:spacing w:line="560" w:lineRule="exact"/>
              <w:rPr>
                <w:rFonts w:eastAsia="仿宋_GB2312"/>
                <w:sz w:val="24"/>
                <w:szCs w:val="24"/>
              </w:rPr>
            </w:pPr>
          </w:p>
        </w:tc>
      </w:tr>
      <w:tr w14:paraId="732B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14:paraId="07C55AB1">
            <w:pPr>
              <w:spacing w:line="560" w:lineRule="exact"/>
              <w:rPr>
                <w:rFonts w:eastAsia="仿宋_GB2312"/>
                <w:sz w:val="24"/>
                <w:szCs w:val="24"/>
              </w:rPr>
            </w:pPr>
            <w:r>
              <w:rPr>
                <w:rFonts w:hint="eastAsia" w:eastAsia="仿宋_GB2312"/>
                <w:sz w:val="24"/>
                <w:szCs w:val="24"/>
              </w:rPr>
              <w:t>凭证起始日</w:t>
            </w:r>
          </w:p>
        </w:tc>
        <w:tc>
          <w:tcPr>
            <w:tcW w:w="1559" w:type="dxa"/>
          </w:tcPr>
          <w:p w14:paraId="6E5B3F23">
            <w:pPr>
              <w:spacing w:line="560" w:lineRule="exact"/>
              <w:rPr>
                <w:rFonts w:eastAsia="仿宋_GB2312"/>
                <w:sz w:val="24"/>
                <w:szCs w:val="24"/>
              </w:rPr>
            </w:pPr>
          </w:p>
        </w:tc>
        <w:tc>
          <w:tcPr>
            <w:tcW w:w="2314" w:type="dxa"/>
          </w:tcPr>
          <w:p w14:paraId="6295D7F3">
            <w:pPr>
              <w:spacing w:line="560" w:lineRule="exact"/>
              <w:rPr>
                <w:rFonts w:eastAsia="仿宋_GB2312"/>
                <w:sz w:val="24"/>
                <w:szCs w:val="24"/>
              </w:rPr>
            </w:pPr>
            <w:r>
              <w:rPr>
                <w:rFonts w:hint="eastAsia" w:eastAsia="仿宋_GB2312"/>
                <w:sz w:val="24"/>
                <w:szCs w:val="24"/>
              </w:rPr>
              <w:t>凭证到期日</w:t>
            </w:r>
          </w:p>
        </w:tc>
        <w:tc>
          <w:tcPr>
            <w:tcW w:w="2131" w:type="dxa"/>
          </w:tcPr>
          <w:p w14:paraId="7752AB82">
            <w:pPr>
              <w:spacing w:line="560" w:lineRule="exact"/>
              <w:rPr>
                <w:rFonts w:eastAsia="仿宋_GB2312"/>
                <w:sz w:val="24"/>
                <w:szCs w:val="24"/>
              </w:rPr>
            </w:pPr>
          </w:p>
        </w:tc>
      </w:tr>
      <w:tr w14:paraId="1728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ABF5CA9">
            <w:pPr>
              <w:spacing w:line="560" w:lineRule="exact"/>
              <w:rPr>
                <w:rFonts w:eastAsia="仿宋_GB2312"/>
                <w:sz w:val="24"/>
                <w:szCs w:val="24"/>
              </w:rPr>
            </w:pPr>
            <w:r>
              <w:rPr>
                <w:rFonts w:hint="eastAsia" w:eastAsia="仿宋_GB2312"/>
                <w:sz w:val="24"/>
                <w:szCs w:val="24"/>
              </w:rPr>
              <w:t>创设数量（手）</w:t>
            </w:r>
          </w:p>
        </w:tc>
        <w:tc>
          <w:tcPr>
            <w:tcW w:w="1559" w:type="dxa"/>
          </w:tcPr>
          <w:p w14:paraId="691F554C">
            <w:pPr>
              <w:spacing w:line="560" w:lineRule="exact"/>
              <w:rPr>
                <w:rFonts w:eastAsia="仿宋_GB2312"/>
                <w:sz w:val="24"/>
                <w:szCs w:val="24"/>
              </w:rPr>
            </w:pPr>
          </w:p>
        </w:tc>
        <w:tc>
          <w:tcPr>
            <w:tcW w:w="2314" w:type="dxa"/>
          </w:tcPr>
          <w:p w14:paraId="6DD3EE9A">
            <w:pPr>
              <w:spacing w:line="560" w:lineRule="exact"/>
              <w:rPr>
                <w:rFonts w:eastAsia="仿宋_GB2312"/>
                <w:sz w:val="24"/>
                <w:szCs w:val="24"/>
              </w:rPr>
            </w:pPr>
            <w:r>
              <w:rPr>
                <w:rFonts w:hint="eastAsia" w:eastAsia="仿宋_GB2312"/>
                <w:sz w:val="24"/>
                <w:szCs w:val="24"/>
              </w:rPr>
              <w:t>创设总额（名义本金：元）</w:t>
            </w:r>
          </w:p>
        </w:tc>
        <w:tc>
          <w:tcPr>
            <w:tcW w:w="2131" w:type="dxa"/>
          </w:tcPr>
          <w:p w14:paraId="4DC6CC8D">
            <w:pPr>
              <w:spacing w:line="560" w:lineRule="exact"/>
              <w:rPr>
                <w:rFonts w:eastAsia="仿宋_GB2312"/>
                <w:sz w:val="24"/>
                <w:szCs w:val="24"/>
              </w:rPr>
            </w:pPr>
          </w:p>
        </w:tc>
      </w:tr>
    </w:tbl>
    <w:p w14:paraId="71FB848B">
      <w:pPr>
        <w:spacing w:line="560" w:lineRule="exact"/>
        <w:rPr>
          <w:rFonts w:eastAsia="仿宋_GB2312"/>
          <w:sz w:val="32"/>
          <w:szCs w:val="32"/>
        </w:rPr>
      </w:pPr>
    </w:p>
    <w:p w14:paraId="6E900221">
      <w:pPr>
        <w:spacing w:line="560" w:lineRule="exact"/>
        <w:ind w:right="1280"/>
        <w:rPr>
          <w:rFonts w:eastAsia="仿宋_GB2312"/>
          <w:sz w:val="30"/>
          <w:szCs w:val="30"/>
        </w:rPr>
      </w:pPr>
      <w:r>
        <w:rPr>
          <w:rFonts w:eastAsia="仿宋_GB2312"/>
          <w:sz w:val="32"/>
          <w:szCs w:val="32"/>
        </w:rPr>
        <w:t xml:space="preserve">                           </w:t>
      </w:r>
      <w:r>
        <w:rPr>
          <w:rFonts w:eastAsia="仿宋_GB2312"/>
          <w:sz w:val="30"/>
          <w:szCs w:val="30"/>
        </w:rPr>
        <w:t xml:space="preserve">  </w:t>
      </w:r>
      <w:r>
        <w:rPr>
          <w:rFonts w:hint="eastAsia" w:eastAsia="仿宋_GB2312"/>
          <w:sz w:val="30"/>
          <w:szCs w:val="30"/>
        </w:rPr>
        <w:t>凭证创设机构：</w:t>
      </w:r>
    </w:p>
    <w:p w14:paraId="04B70088">
      <w:pPr>
        <w:spacing w:line="560" w:lineRule="exact"/>
        <w:ind w:firstLine="6000" w:firstLineChars="2000"/>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531D9A2C">
      <w:r>
        <w:br w:type="page"/>
      </w:r>
    </w:p>
    <w:p w14:paraId="3BD3C30D">
      <w:pPr>
        <w:widowControl/>
        <w:jc w:val="left"/>
        <w:outlineLvl w:val="1"/>
        <w:rPr>
          <w:rFonts w:ascii="仿宋_GB2312" w:hAnsi="黑体" w:eastAsia="仿宋_GB2312"/>
          <w:b/>
          <w:sz w:val="30"/>
          <w:szCs w:val="30"/>
        </w:rPr>
      </w:pPr>
      <w:bookmarkStart w:id="3514" w:name="_Toc151137110"/>
      <w:r>
        <w:rPr>
          <w:rFonts w:hint="eastAsia" w:ascii="仿宋_GB2312" w:hAnsi="黑体" w:eastAsia="仿宋_GB2312"/>
          <w:b/>
          <w:sz w:val="30"/>
          <w:szCs w:val="30"/>
        </w:rPr>
        <w:t>附件27 信用保护凭证挂牌转让申请书</w:t>
      </w:r>
      <w:bookmarkEnd w:id="3514"/>
    </w:p>
    <w:p w14:paraId="50930DD9">
      <w:pPr>
        <w:pStyle w:val="92"/>
        <w:spacing w:line="560" w:lineRule="exact"/>
        <w:ind w:firstLine="0"/>
        <w:jc w:val="center"/>
        <w:rPr>
          <w:rFonts w:ascii="黑体" w:hAnsi="黑体" w:eastAsia="黑体"/>
          <w:b/>
          <w:sz w:val="44"/>
          <w:szCs w:val="44"/>
          <w:lang w:eastAsia="zh-CN"/>
        </w:rPr>
      </w:pPr>
    </w:p>
    <w:p w14:paraId="35C71E6A">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信用保护凭证挂牌转让申请书</w:t>
      </w:r>
    </w:p>
    <w:p w14:paraId="16FC7045">
      <w:pPr>
        <w:spacing w:line="560" w:lineRule="exact"/>
        <w:jc w:val="center"/>
        <w:rPr>
          <w:rFonts w:eastAsia="仿宋_GB2312"/>
          <w:sz w:val="30"/>
          <w:szCs w:val="30"/>
        </w:rPr>
      </w:pPr>
      <w:r>
        <w:rPr>
          <w:rFonts w:hint="eastAsia" w:eastAsia="仿宋_GB2312"/>
          <w:sz w:val="30"/>
          <w:szCs w:val="30"/>
        </w:rPr>
        <w:t>（上市（挂牌）申请书至少包括但不限于以下内容）</w:t>
      </w:r>
    </w:p>
    <w:p w14:paraId="163B00FD">
      <w:pPr>
        <w:spacing w:line="560" w:lineRule="exact"/>
        <w:rPr>
          <w:rFonts w:eastAsia="仿宋_GB2312"/>
          <w:sz w:val="32"/>
        </w:rPr>
      </w:pPr>
    </w:p>
    <w:p w14:paraId="7984A8D4">
      <w:pPr>
        <w:spacing w:after="156" w:afterLines="50" w:line="560" w:lineRule="exact"/>
        <w:rPr>
          <w:rFonts w:eastAsia="仿宋_GB2312"/>
          <w:sz w:val="30"/>
          <w:szCs w:val="30"/>
        </w:rPr>
      </w:pPr>
      <w:r>
        <w:rPr>
          <w:rFonts w:hint="eastAsia" w:eastAsia="仿宋_GB2312"/>
          <w:sz w:val="30"/>
          <w:szCs w:val="30"/>
        </w:rPr>
        <w:t>上海证券交易所：</w:t>
      </w:r>
      <w:r>
        <w:rPr>
          <w:rFonts w:eastAsia="仿宋_GB2312"/>
          <w:sz w:val="30"/>
          <w:szCs w:val="30"/>
        </w:rPr>
        <w:t xml:space="preserve"> </w:t>
      </w:r>
    </w:p>
    <w:p w14:paraId="5E200704">
      <w:pPr>
        <w:spacing w:after="156" w:afterLines="50" w:line="560" w:lineRule="exact"/>
        <w:ind w:firstLine="600" w:firstLineChars="200"/>
        <w:rPr>
          <w:rFonts w:eastAsia="仿宋_GB2312"/>
          <w:sz w:val="30"/>
          <w:szCs w:val="30"/>
        </w:rPr>
      </w:pPr>
      <w:r>
        <w:rPr>
          <w:rFonts w:hint="eastAsia" w:eastAsia="仿宋_GB2312"/>
          <w:sz w:val="30"/>
          <w:szCs w:val="30"/>
        </w:rPr>
        <w:t>经贵所备案，本公司</w:t>
      </w:r>
      <w:r>
        <w:rPr>
          <w:rFonts w:eastAsia="仿宋_GB2312"/>
          <w:sz w:val="30"/>
          <w:szCs w:val="30"/>
        </w:rPr>
        <w:t>XXXX</w:t>
      </w:r>
      <w:r>
        <w:rPr>
          <w:rFonts w:hint="eastAsia" w:eastAsia="仿宋_GB2312"/>
          <w:sz w:val="30"/>
          <w:szCs w:val="30"/>
        </w:rPr>
        <w:t>亿元名义本金</w:t>
      </w:r>
      <w:r>
        <w:rPr>
          <w:rFonts w:eastAsia="仿宋_GB2312"/>
          <w:sz w:val="30"/>
          <w:szCs w:val="30"/>
        </w:rPr>
        <w:t>XXXX</w:t>
      </w:r>
      <w:r>
        <w:rPr>
          <w:rFonts w:hint="eastAsia" w:eastAsia="仿宋_GB2312"/>
          <w:sz w:val="30"/>
          <w:szCs w:val="30"/>
        </w:rPr>
        <w:t>年期，参考实体为</w:t>
      </w:r>
      <w:r>
        <w:rPr>
          <w:rFonts w:eastAsia="仿宋_GB2312"/>
          <w:sz w:val="30"/>
          <w:szCs w:val="30"/>
        </w:rPr>
        <w:t>XXXX</w:t>
      </w:r>
      <w:r>
        <w:rPr>
          <w:rFonts w:hint="eastAsia" w:eastAsia="仿宋_GB2312"/>
          <w:sz w:val="30"/>
          <w:szCs w:val="30"/>
        </w:rPr>
        <w:t>的凭证已于</w:t>
      </w:r>
      <w:r>
        <w:rPr>
          <w:rFonts w:eastAsia="仿宋_GB2312"/>
          <w:sz w:val="30"/>
          <w:szCs w:val="30"/>
        </w:rPr>
        <w:t xml:space="preserve"> [  ]</w:t>
      </w:r>
      <w:r>
        <w:rPr>
          <w:rFonts w:hint="eastAsia" w:eastAsia="仿宋_GB2312"/>
          <w:sz w:val="30"/>
          <w:szCs w:val="30"/>
        </w:rPr>
        <w:t>年</w:t>
      </w:r>
      <w:r>
        <w:rPr>
          <w:rFonts w:eastAsia="仿宋_GB2312"/>
          <w:sz w:val="30"/>
          <w:szCs w:val="30"/>
        </w:rPr>
        <w:t xml:space="preserve"> [  ]</w:t>
      </w:r>
      <w:r>
        <w:rPr>
          <w:rFonts w:hint="eastAsia" w:eastAsia="仿宋_GB2312"/>
          <w:sz w:val="30"/>
          <w:szCs w:val="30"/>
        </w:rPr>
        <w:t>月</w:t>
      </w:r>
      <w:r>
        <w:rPr>
          <w:rFonts w:eastAsia="仿宋_GB2312"/>
          <w:sz w:val="30"/>
          <w:szCs w:val="30"/>
        </w:rPr>
        <w:t xml:space="preserve"> [  ]</w:t>
      </w:r>
      <w:r>
        <w:rPr>
          <w:rFonts w:hint="eastAsia" w:eastAsia="仿宋_GB2312"/>
          <w:sz w:val="30"/>
          <w:szCs w:val="30"/>
        </w:rPr>
        <w:t>日创设完毕，并在中国证券登记结算有限责任公司上海分公司完成凭证登记、托管等工作。</w:t>
      </w:r>
    </w:p>
    <w:p w14:paraId="487BE7E9">
      <w:pPr>
        <w:spacing w:after="156" w:afterLines="50" w:line="560" w:lineRule="exact"/>
        <w:ind w:firstLine="600" w:firstLineChars="200"/>
        <w:rPr>
          <w:rFonts w:eastAsia="仿宋_GB2312"/>
          <w:sz w:val="30"/>
          <w:szCs w:val="30"/>
        </w:rPr>
      </w:pPr>
      <w:r>
        <w:rPr>
          <w:rFonts w:hint="eastAsia" w:eastAsia="仿宋_GB2312"/>
          <w:sz w:val="30"/>
          <w:szCs w:val="30"/>
        </w:rPr>
        <w:t>本公司认为本期凭证符合上海证券交易所的凭证挂牌条件，现申请本公司</w:t>
      </w:r>
      <w:r>
        <w:rPr>
          <w:rFonts w:eastAsia="仿宋_GB2312"/>
          <w:sz w:val="30"/>
          <w:szCs w:val="30"/>
        </w:rPr>
        <w:t>XXXX</w:t>
      </w:r>
      <w:r>
        <w:rPr>
          <w:rFonts w:hint="eastAsia" w:eastAsia="仿宋_GB2312"/>
          <w:sz w:val="30"/>
          <w:szCs w:val="30"/>
        </w:rPr>
        <w:t>凭证在贵所固定收益平台挂牌转让，请审核。</w:t>
      </w:r>
    </w:p>
    <w:p w14:paraId="3E025ADE">
      <w:pPr>
        <w:spacing w:after="156" w:afterLines="50" w:line="560" w:lineRule="exact"/>
        <w:ind w:firstLine="600" w:firstLineChars="200"/>
        <w:rPr>
          <w:rFonts w:eastAsia="仿宋_GB2312"/>
          <w:sz w:val="30"/>
          <w:szCs w:val="30"/>
        </w:rPr>
      </w:pPr>
      <w:r>
        <w:rPr>
          <w:rFonts w:hint="eastAsia" w:eastAsia="仿宋_GB2312"/>
          <w:sz w:val="30"/>
          <w:szCs w:val="30"/>
        </w:rPr>
        <w:t>特此申请。</w:t>
      </w:r>
    </w:p>
    <w:p w14:paraId="20CD2464">
      <w:pPr>
        <w:spacing w:after="156" w:afterLines="50" w:line="560" w:lineRule="exact"/>
        <w:rPr>
          <w:rFonts w:eastAsia="仿宋_GB2312"/>
          <w:sz w:val="30"/>
          <w:szCs w:val="30"/>
        </w:rPr>
      </w:pPr>
      <w:r>
        <w:rPr>
          <w:rFonts w:eastAsia="仿宋_GB2312"/>
          <w:sz w:val="30"/>
          <w:szCs w:val="30"/>
        </w:rPr>
        <w:t xml:space="preserve"> </w:t>
      </w:r>
    </w:p>
    <w:p w14:paraId="4A2876A4">
      <w:pPr>
        <w:spacing w:after="156" w:afterLines="50" w:line="560" w:lineRule="exact"/>
        <w:rPr>
          <w:sz w:val="24"/>
        </w:rPr>
      </w:pPr>
    </w:p>
    <w:p w14:paraId="7823DEE6">
      <w:pPr>
        <w:spacing w:after="156" w:afterLines="50" w:line="560" w:lineRule="exact"/>
        <w:rPr>
          <w:sz w:val="24"/>
        </w:rPr>
      </w:pPr>
    </w:p>
    <w:p w14:paraId="0C1B50B5">
      <w:pPr>
        <w:spacing w:after="156" w:afterLines="50" w:line="560" w:lineRule="exact"/>
        <w:ind w:firstLine="6600"/>
        <w:jc w:val="right"/>
        <w:rPr>
          <w:rFonts w:eastAsia="仿宋_GB2312"/>
          <w:sz w:val="30"/>
          <w:szCs w:val="30"/>
        </w:rPr>
      </w:pPr>
      <w:r>
        <w:rPr>
          <w:rFonts w:hint="eastAsia" w:eastAsia="仿宋_GB2312"/>
          <w:sz w:val="30"/>
          <w:szCs w:val="30"/>
        </w:rPr>
        <w:t>创设机构</w:t>
      </w:r>
    </w:p>
    <w:p w14:paraId="277F561E">
      <w:pPr>
        <w:spacing w:after="156" w:afterLines="50" w:line="560" w:lineRule="exact"/>
        <w:ind w:firstLine="6600"/>
        <w:jc w:val="right"/>
        <w:rPr>
          <w:rFonts w:eastAsia="仿宋_GB2312"/>
          <w:sz w:val="30"/>
          <w:szCs w:val="30"/>
        </w:rPr>
      </w:pPr>
      <w:r>
        <w:rPr>
          <w:rFonts w:eastAsia="仿宋_GB2312"/>
          <w:sz w:val="30"/>
          <w:szCs w:val="30"/>
        </w:rPr>
        <w:t>XXXX</w:t>
      </w:r>
      <w:r>
        <w:rPr>
          <w:rFonts w:hint="eastAsia" w:eastAsia="仿宋_GB2312"/>
          <w:sz w:val="30"/>
          <w:szCs w:val="30"/>
        </w:rPr>
        <w:t>公司（盖章）</w:t>
      </w:r>
    </w:p>
    <w:p w14:paraId="59F775FC">
      <w:pPr>
        <w:spacing w:line="560" w:lineRule="exact"/>
        <w:jc w:val="right"/>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8D04B86">
      <w:pPr>
        <w:widowControl/>
        <w:jc w:val="left"/>
        <w:rPr>
          <w:rFonts w:ascii="仿宋_GB2312" w:hAnsi="仿宋" w:eastAsia="仿宋_GB2312"/>
          <w:sz w:val="24"/>
          <w:szCs w:val="30"/>
        </w:rPr>
      </w:pPr>
    </w:p>
    <w:p w14:paraId="3C5028B3">
      <w:pPr>
        <w:spacing w:line="600" w:lineRule="exact"/>
        <w:jc w:val="left"/>
        <w:outlineLvl w:val="1"/>
        <w:rPr>
          <w:rFonts w:ascii="仿宋_GB2312" w:hAnsi="仿宋" w:eastAsia="仿宋_GB2312"/>
          <w:b/>
          <w:bCs/>
          <w:sz w:val="30"/>
          <w:szCs w:val="30"/>
        </w:rPr>
      </w:pPr>
      <w:r>
        <w:br w:type="page"/>
      </w:r>
      <w:bookmarkStart w:id="3515" w:name="_Toc151137111"/>
      <w:r>
        <w:rPr>
          <w:rFonts w:hint="eastAsia" w:ascii="仿宋_GB2312" w:hAnsi="黑体" w:eastAsia="仿宋_GB2312"/>
          <w:b/>
          <w:sz w:val="30"/>
          <w:szCs w:val="30"/>
        </w:rPr>
        <w:t>附件28 创设款到账确认书</w:t>
      </w:r>
      <w:bookmarkEnd w:id="3515"/>
    </w:p>
    <w:p w14:paraId="189C3DA3">
      <w:pPr>
        <w:pStyle w:val="92"/>
        <w:spacing w:line="560" w:lineRule="exact"/>
        <w:ind w:firstLine="0"/>
        <w:jc w:val="center"/>
        <w:rPr>
          <w:rFonts w:ascii="黑体" w:hAnsi="黑体" w:eastAsia="黑体"/>
          <w:b/>
          <w:sz w:val="44"/>
          <w:szCs w:val="44"/>
          <w:lang w:eastAsia="zh-CN"/>
        </w:rPr>
      </w:pPr>
    </w:p>
    <w:p w14:paraId="0CB467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创设款到账确认书</w:t>
      </w:r>
    </w:p>
    <w:p w14:paraId="2728D987">
      <w:pPr>
        <w:pStyle w:val="92"/>
        <w:spacing w:line="560" w:lineRule="exact"/>
        <w:ind w:firstLine="0"/>
        <w:jc w:val="center"/>
        <w:rPr>
          <w:rFonts w:eastAsia="仿宋_GB2312"/>
          <w:sz w:val="28"/>
          <w:lang w:eastAsia="zh-CN"/>
        </w:rPr>
      </w:pPr>
    </w:p>
    <w:p w14:paraId="172069B9">
      <w:pPr>
        <w:spacing w:after="156" w:afterLines="50" w:line="560" w:lineRule="exact"/>
        <w:ind w:firstLine="600" w:firstLineChars="200"/>
        <w:rPr>
          <w:rFonts w:eastAsia="仿宋_GB2312"/>
          <w:sz w:val="30"/>
          <w:szCs w:val="30"/>
        </w:rPr>
      </w:pPr>
      <w:r>
        <w:rPr>
          <w:rFonts w:hint="eastAsia" w:eastAsia="仿宋_GB2312"/>
          <w:sz w:val="30"/>
          <w:szCs w:val="30"/>
        </w:rPr>
        <w:t>我公司于</w:t>
      </w:r>
      <w:r>
        <w:rPr>
          <w:rFonts w:eastAsia="仿宋_GB2312"/>
          <w:sz w:val="30"/>
          <w:szCs w:val="30"/>
        </w:rPr>
        <w:t xml:space="preserve"> [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日完成</w:t>
      </w:r>
      <w:r>
        <w:rPr>
          <w:rFonts w:eastAsia="仿宋_GB2312"/>
          <w:sz w:val="30"/>
          <w:szCs w:val="30"/>
        </w:rPr>
        <w:t>XXXX</w:t>
      </w:r>
      <w:r>
        <w:rPr>
          <w:rFonts w:hint="eastAsia" w:eastAsia="仿宋_GB2312"/>
          <w:sz w:val="30"/>
          <w:szCs w:val="30"/>
        </w:rPr>
        <w:t>凭证（证券代码</w:t>
      </w:r>
      <w:r>
        <w:rPr>
          <w:rFonts w:eastAsia="仿宋_GB2312"/>
          <w:sz w:val="30"/>
          <w:szCs w:val="30"/>
        </w:rPr>
        <w:t>XXXX</w:t>
      </w:r>
      <w:r>
        <w:rPr>
          <w:rFonts w:hint="eastAsia" w:eastAsia="仿宋_GB2312"/>
          <w:sz w:val="30"/>
          <w:szCs w:val="30"/>
        </w:rPr>
        <w:t>，证券简称</w:t>
      </w:r>
      <w:r>
        <w:rPr>
          <w:rFonts w:eastAsia="仿宋_GB2312"/>
          <w:sz w:val="30"/>
          <w:szCs w:val="30"/>
        </w:rPr>
        <w:t>XXXX</w:t>
      </w:r>
      <w:r>
        <w:rPr>
          <w:rFonts w:hint="eastAsia" w:eastAsia="仿宋_GB2312"/>
          <w:sz w:val="30"/>
          <w:szCs w:val="30"/>
        </w:rPr>
        <w:t>）创设工作，确认收到本期凭证创设款合计人民币</w:t>
      </w:r>
      <w:r>
        <w:rPr>
          <w:rFonts w:eastAsia="仿宋_GB2312"/>
          <w:sz w:val="30"/>
          <w:szCs w:val="30"/>
        </w:rPr>
        <w:t>XXXX</w:t>
      </w:r>
      <w:r>
        <w:rPr>
          <w:rFonts w:hint="eastAsia" w:eastAsia="仿宋_GB2312"/>
          <w:sz w:val="30"/>
          <w:szCs w:val="30"/>
        </w:rPr>
        <w:t>元（大写</w:t>
      </w:r>
      <w:r>
        <w:rPr>
          <w:rFonts w:eastAsia="仿宋_GB2312"/>
          <w:sz w:val="30"/>
          <w:szCs w:val="30"/>
        </w:rPr>
        <w:t xml:space="preserve"> XXXX</w:t>
      </w:r>
      <w:r>
        <w:rPr>
          <w:rFonts w:hint="eastAsia" w:eastAsia="仿宋_GB2312"/>
          <w:sz w:val="30"/>
          <w:szCs w:val="30"/>
        </w:rPr>
        <w:t>圆）。</w:t>
      </w:r>
    </w:p>
    <w:p w14:paraId="37CE71B8">
      <w:pPr>
        <w:spacing w:after="156" w:afterLines="50" w:line="560" w:lineRule="exact"/>
        <w:ind w:firstLine="600" w:firstLineChars="200"/>
        <w:rPr>
          <w:rFonts w:eastAsia="仿宋_GB2312"/>
          <w:sz w:val="30"/>
          <w:szCs w:val="30"/>
        </w:rPr>
      </w:pPr>
      <w:r>
        <w:rPr>
          <w:rFonts w:hint="eastAsia" w:eastAsia="仿宋_GB2312"/>
          <w:sz w:val="30"/>
          <w:szCs w:val="30"/>
        </w:rPr>
        <w:t>我公司承诺本期凭证募集资金已足额到账并承担因募集资金未及时、足额到位所致的全部法律责任。</w:t>
      </w:r>
    </w:p>
    <w:p w14:paraId="45D028E0">
      <w:pPr>
        <w:spacing w:after="156" w:afterLines="50" w:line="560" w:lineRule="exact"/>
        <w:ind w:firstLine="600" w:firstLineChars="200"/>
        <w:rPr>
          <w:rFonts w:eastAsia="仿宋_GB2312"/>
          <w:sz w:val="30"/>
          <w:szCs w:val="30"/>
        </w:rPr>
      </w:pPr>
      <w:r>
        <w:rPr>
          <w:rFonts w:hint="eastAsia" w:eastAsia="仿宋_GB2312"/>
          <w:sz w:val="30"/>
          <w:szCs w:val="30"/>
        </w:rPr>
        <w:t>特此说明。</w:t>
      </w:r>
    </w:p>
    <w:p w14:paraId="54C1B186">
      <w:pPr>
        <w:widowControl/>
        <w:spacing w:after="156" w:afterLines="50" w:line="560" w:lineRule="exact"/>
        <w:ind w:firstLine="480"/>
        <w:jc w:val="left"/>
        <w:rPr>
          <w:rFonts w:cs="宋体"/>
          <w:kern w:val="0"/>
          <w:sz w:val="24"/>
        </w:rPr>
      </w:pPr>
    </w:p>
    <w:p w14:paraId="7B5DEF13">
      <w:pPr>
        <w:widowControl/>
        <w:spacing w:after="156" w:afterLines="50" w:line="560" w:lineRule="exact"/>
        <w:ind w:firstLine="480"/>
        <w:jc w:val="left"/>
        <w:rPr>
          <w:rFonts w:cs="宋体"/>
          <w:kern w:val="0"/>
          <w:sz w:val="24"/>
        </w:rPr>
      </w:pPr>
    </w:p>
    <w:p w14:paraId="1D986D32">
      <w:pPr>
        <w:widowControl/>
        <w:spacing w:after="156" w:afterLines="50" w:line="560" w:lineRule="exact"/>
        <w:ind w:firstLine="480"/>
        <w:jc w:val="left"/>
        <w:rPr>
          <w:rFonts w:cs="宋体"/>
          <w:kern w:val="0"/>
          <w:sz w:val="24"/>
        </w:rPr>
      </w:pPr>
      <w:r>
        <w:rPr>
          <w:rFonts w:cs="宋体"/>
          <w:kern w:val="0"/>
          <w:sz w:val="24"/>
        </w:rPr>
        <w:t xml:space="preserve">  </w:t>
      </w:r>
    </w:p>
    <w:p w14:paraId="0D5CA774">
      <w:pPr>
        <w:widowControl/>
        <w:spacing w:after="156" w:afterLines="50" w:line="560" w:lineRule="exact"/>
        <w:ind w:firstLine="480"/>
        <w:jc w:val="left"/>
        <w:rPr>
          <w:rFonts w:cs="宋体"/>
          <w:kern w:val="0"/>
          <w:sz w:val="24"/>
        </w:rPr>
      </w:pPr>
    </w:p>
    <w:p w14:paraId="20C679EE">
      <w:pPr>
        <w:spacing w:line="560" w:lineRule="exact"/>
        <w:ind w:firstLine="6750"/>
        <w:jc w:val="right"/>
        <w:rPr>
          <w:rFonts w:eastAsia="仿宋_GB2312"/>
          <w:sz w:val="30"/>
          <w:szCs w:val="30"/>
        </w:rPr>
      </w:pPr>
      <w:r>
        <w:rPr>
          <w:rFonts w:hint="eastAsia" w:eastAsia="仿宋_GB2312"/>
          <w:sz w:val="30"/>
          <w:szCs w:val="30"/>
        </w:rPr>
        <w:t>创设机构</w:t>
      </w:r>
      <w:r>
        <w:rPr>
          <w:rFonts w:eastAsia="仿宋_GB2312"/>
          <w:sz w:val="30"/>
          <w:szCs w:val="30"/>
        </w:rPr>
        <w:t xml:space="preserve">       XXXX</w:t>
      </w:r>
      <w:r>
        <w:rPr>
          <w:rFonts w:hint="eastAsia" w:eastAsia="仿宋_GB2312"/>
          <w:sz w:val="30"/>
          <w:szCs w:val="30"/>
        </w:rPr>
        <w:t>公司</w:t>
      </w:r>
      <w:r>
        <w:rPr>
          <w:rFonts w:eastAsia="仿宋_GB2312"/>
          <w:sz w:val="30"/>
          <w:szCs w:val="30"/>
        </w:rPr>
        <w:t xml:space="preserve"> </w:t>
      </w:r>
      <w:r>
        <w:rPr>
          <w:rFonts w:hint="eastAsia" w:eastAsia="仿宋_GB2312"/>
          <w:sz w:val="30"/>
          <w:szCs w:val="30"/>
        </w:rPr>
        <w:t>（盖章）</w:t>
      </w:r>
    </w:p>
    <w:p w14:paraId="05D064C5">
      <w:pPr>
        <w:spacing w:line="560" w:lineRule="exact"/>
        <w:ind w:firstLine="600" w:firstLineChars="200"/>
        <w:jc w:val="right"/>
        <w:rPr>
          <w:rFonts w:eastAsia="仿宋_GB2312"/>
          <w:sz w:val="30"/>
          <w:szCs w:val="30"/>
        </w:rPr>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3DB11D22">
      <w:pPr>
        <w:widowControl/>
        <w:jc w:val="left"/>
        <w:rPr>
          <w:rFonts w:ascii="仿宋_GB2312" w:hAnsi="仿宋" w:eastAsia="仿宋_GB2312"/>
          <w:sz w:val="24"/>
          <w:szCs w:val="30"/>
        </w:rPr>
      </w:pPr>
    </w:p>
    <w:p w14:paraId="570DFE23">
      <w:r>
        <w:br w:type="page"/>
      </w:r>
    </w:p>
    <w:p w14:paraId="30F03945">
      <w:pPr>
        <w:widowControl/>
        <w:jc w:val="left"/>
        <w:outlineLvl w:val="1"/>
        <w:rPr>
          <w:rFonts w:ascii="仿宋_GB2312" w:hAnsi="黑体" w:eastAsia="仿宋_GB2312"/>
          <w:b/>
          <w:sz w:val="30"/>
          <w:szCs w:val="30"/>
        </w:rPr>
      </w:pPr>
      <w:bookmarkStart w:id="3516" w:name="_Toc151137112"/>
      <w:r>
        <w:rPr>
          <w:rFonts w:hint="eastAsia" w:ascii="仿宋_GB2312" w:hAnsi="黑体" w:eastAsia="仿宋_GB2312"/>
          <w:b/>
          <w:sz w:val="30"/>
          <w:szCs w:val="30"/>
        </w:rPr>
        <w:t>附件29 信用保护凭证在上海证券交易所挂牌转让的公告</w:t>
      </w:r>
      <w:bookmarkEnd w:id="3516"/>
    </w:p>
    <w:p w14:paraId="7AF941FE">
      <w:pPr>
        <w:pStyle w:val="92"/>
        <w:spacing w:line="560" w:lineRule="exact"/>
        <w:ind w:firstLine="0"/>
        <w:jc w:val="center"/>
        <w:rPr>
          <w:rFonts w:ascii="黑体" w:hAnsi="黑体" w:eastAsia="黑体"/>
          <w:b/>
          <w:sz w:val="44"/>
          <w:szCs w:val="44"/>
          <w:lang w:eastAsia="zh-CN"/>
        </w:rPr>
      </w:pPr>
    </w:p>
    <w:p w14:paraId="4B65659B">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信用保护凭证在上海证券交易所挂牌</w:t>
      </w:r>
    </w:p>
    <w:p w14:paraId="44E38873">
      <w:pPr>
        <w:pStyle w:val="92"/>
        <w:spacing w:after="93" w:line="560" w:lineRule="exact"/>
        <w:ind w:firstLine="0"/>
        <w:jc w:val="center"/>
        <w:rPr>
          <w:lang w:eastAsia="zh-CN"/>
        </w:rPr>
      </w:pPr>
      <w:r>
        <w:rPr>
          <w:rFonts w:hint="eastAsia" w:ascii="黑体" w:hAnsi="黑体" w:eastAsia="黑体"/>
          <w:b/>
          <w:sz w:val="44"/>
          <w:szCs w:val="44"/>
          <w:lang w:eastAsia="zh-CN"/>
        </w:rPr>
        <w:t>转让的公告</w:t>
      </w:r>
    </w:p>
    <w:p w14:paraId="09D9826F">
      <w:pPr>
        <w:spacing w:line="560" w:lineRule="exact"/>
        <w:ind w:firstLine="600" w:firstLineChars="200"/>
        <w:rPr>
          <w:rFonts w:eastAsia="仿宋_GB2312"/>
          <w:sz w:val="30"/>
          <w:szCs w:val="30"/>
        </w:rPr>
      </w:pPr>
      <w:r>
        <w:rPr>
          <w:rFonts w:hint="eastAsia" w:eastAsia="仿宋_GB2312"/>
          <w:sz w:val="30"/>
          <w:szCs w:val="30"/>
        </w:rPr>
        <w:t>根据上海证券交易所信用保护凭证挂牌的有关规定，</w:t>
      </w:r>
      <w:r>
        <w:rPr>
          <w:rFonts w:eastAsia="仿宋_GB2312"/>
          <w:sz w:val="30"/>
          <w:szCs w:val="30"/>
        </w:rPr>
        <w:t>XXXX</w:t>
      </w:r>
      <w:r>
        <w:rPr>
          <w:rFonts w:hint="eastAsia" w:eastAsia="仿宋_GB2312"/>
          <w:sz w:val="30"/>
          <w:szCs w:val="30"/>
        </w:rPr>
        <w:t>公司创设的</w:t>
      </w:r>
      <w:r>
        <w:rPr>
          <w:rFonts w:eastAsia="仿宋_GB2312"/>
          <w:sz w:val="30"/>
          <w:szCs w:val="30"/>
        </w:rPr>
        <w:t>XXXX</w:t>
      </w:r>
      <w:r>
        <w:rPr>
          <w:rFonts w:hint="eastAsia" w:eastAsia="仿宋_GB2312"/>
          <w:sz w:val="30"/>
          <w:szCs w:val="30"/>
        </w:rPr>
        <w:t>信用保护凭证，将于</w:t>
      </w:r>
      <w:r>
        <w:rPr>
          <w:rFonts w:eastAsia="仿宋_GB2312"/>
          <w:sz w:val="30"/>
          <w:szCs w:val="30"/>
        </w:rPr>
        <w:t>[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日起在上海证券交易所固定收益证券综合电子平台挂牌转让。信用保护凭证相关要素如下：</w:t>
      </w:r>
      <w:r>
        <w:rPr>
          <w:rFonts w:eastAsia="仿宋_GB2312"/>
          <w:sz w:val="30"/>
          <w:szCs w:val="30"/>
        </w:rPr>
        <w:t xml:space="preserve"> </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5614"/>
      </w:tblGrid>
      <w:tr w14:paraId="0914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41F6F54">
            <w:pPr>
              <w:spacing w:line="560" w:lineRule="exact"/>
              <w:jc w:val="center"/>
              <w:rPr>
                <w:rFonts w:eastAsia="仿宋_GB2312"/>
                <w:sz w:val="30"/>
                <w:szCs w:val="30"/>
              </w:rPr>
            </w:pPr>
            <w:r>
              <w:rPr>
                <w:rFonts w:hint="eastAsia" w:eastAsia="仿宋_GB2312"/>
                <w:sz w:val="30"/>
                <w:szCs w:val="30"/>
              </w:rPr>
              <w:t>凭证名称</w:t>
            </w:r>
          </w:p>
        </w:tc>
        <w:tc>
          <w:tcPr>
            <w:tcW w:w="3294" w:type="pct"/>
            <w:tcBorders>
              <w:top w:val="single" w:color="auto" w:sz="4" w:space="0"/>
              <w:left w:val="single" w:color="auto" w:sz="4" w:space="0"/>
              <w:bottom w:val="single" w:color="auto" w:sz="4" w:space="0"/>
              <w:right w:val="single" w:color="auto" w:sz="4" w:space="0"/>
            </w:tcBorders>
          </w:tcPr>
          <w:p w14:paraId="7757B928">
            <w:pPr>
              <w:spacing w:line="560" w:lineRule="exact"/>
              <w:jc w:val="center"/>
              <w:rPr>
                <w:rFonts w:eastAsia="仿宋_GB2312"/>
                <w:sz w:val="30"/>
                <w:szCs w:val="30"/>
              </w:rPr>
            </w:pPr>
          </w:p>
        </w:tc>
      </w:tr>
      <w:tr w14:paraId="6D6D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609E59AA">
            <w:pPr>
              <w:spacing w:line="560" w:lineRule="exact"/>
              <w:jc w:val="center"/>
              <w:rPr>
                <w:rFonts w:eastAsia="仿宋_GB2312"/>
                <w:sz w:val="30"/>
                <w:szCs w:val="30"/>
              </w:rPr>
            </w:pPr>
            <w:r>
              <w:rPr>
                <w:rFonts w:hint="eastAsia" w:eastAsia="仿宋_GB2312"/>
                <w:sz w:val="30"/>
                <w:szCs w:val="30"/>
              </w:rPr>
              <w:t>凭证简称</w:t>
            </w:r>
          </w:p>
        </w:tc>
        <w:tc>
          <w:tcPr>
            <w:tcW w:w="3294" w:type="pct"/>
            <w:tcBorders>
              <w:top w:val="single" w:color="auto" w:sz="4" w:space="0"/>
              <w:left w:val="single" w:color="auto" w:sz="4" w:space="0"/>
              <w:bottom w:val="single" w:color="auto" w:sz="4" w:space="0"/>
              <w:right w:val="single" w:color="auto" w:sz="4" w:space="0"/>
            </w:tcBorders>
          </w:tcPr>
          <w:p w14:paraId="6B95661C">
            <w:pPr>
              <w:spacing w:line="560" w:lineRule="exact"/>
              <w:jc w:val="center"/>
              <w:rPr>
                <w:rFonts w:eastAsia="仿宋_GB2312"/>
                <w:sz w:val="30"/>
                <w:szCs w:val="30"/>
              </w:rPr>
            </w:pPr>
          </w:p>
        </w:tc>
      </w:tr>
      <w:tr w14:paraId="4520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DC3DC92">
            <w:pPr>
              <w:spacing w:line="560" w:lineRule="exact"/>
              <w:jc w:val="center"/>
              <w:rPr>
                <w:rFonts w:eastAsia="仿宋_GB2312"/>
                <w:sz w:val="30"/>
                <w:szCs w:val="30"/>
              </w:rPr>
            </w:pPr>
            <w:r>
              <w:rPr>
                <w:rFonts w:hint="eastAsia" w:eastAsia="仿宋_GB2312"/>
                <w:sz w:val="30"/>
                <w:szCs w:val="30"/>
              </w:rPr>
              <w:t>凭证代码</w:t>
            </w:r>
          </w:p>
        </w:tc>
        <w:tc>
          <w:tcPr>
            <w:tcW w:w="3294" w:type="pct"/>
            <w:tcBorders>
              <w:top w:val="single" w:color="auto" w:sz="4" w:space="0"/>
              <w:left w:val="single" w:color="auto" w:sz="4" w:space="0"/>
              <w:bottom w:val="single" w:color="auto" w:sz="4" w:space="0"/>
              <w:right w:val="single" w:color="auto" w:sz="4" w:space="0"/>
            </w:tcBorders>
          </w:tcPr>
          <w:p w14:paraId="4C94A237">
            <w:pPr>
              <w:spacing w:line="560" w:lineRule="exact"/>
              <w:jc w:val="center"/>
              <w:rPr>
                <w:rFonts w:eastAsia="仿宋_GB2312"/>
                <w:sz w:val="30"/>
                <w:szCs w:val="30"/>
              </w:rPr>
            </w:pPr>
          </w:p>
        </w:tc>
      </w:tr>
      <w:tr w14:paraId="7CFF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50E275B0">
            <w:pPr>
              <w:spacing w:line="560" w:lineRule="exact"/>
              <w:jc w:val="center"/>
              <w:rPr>
                <w:rFonts w:eastAsia="仿宋_GB2312"/>
                <w:sz w:val="30"/>
                <w:szCs w:val="30"/>
              </w:rPr>
            </w:pPr>
            <w:r>
              <w:rPr>
                <w:rFonts w:hint="eastAsia" w:eastAsia="仿宋_GB2312"/>
                <w:sz w:val="30"/>
                <w:szCs w:val="30"/>
              </w:rPr>
              <w:t>创设机构信用评级</w:t>
            </w:r>
          </w:p>
        </w:tc>
        <w:tc>
          <w:tcPr>
            <w:tcW w:w="3294" w:type="pct"/>
            <w:tcBorders>
              <w:top w:val="single" w:color="auto" w:sz="4" w:space="0"/>
              <w:left w:val="single" w:color="auto" w:sz="4" w:space="0"/>
              <w:bottom w:val="single" w:color="auto" w:sz="4" w:space="0"/>
              <w:right w:val="single" w:color="auto" w:sz="4" w:space="0"/>
            </w:tcBorders>
          </w:tcPr>
          <w:p w14:paraId="6DFB3DC4">
            <w:pPr>
              <w:spacing w:line="560" w:lineRule="exact"/>
              <w:jc w:val="center"/>
              <w:rPr>
                <w:rFonts w:eastAsia="仿宋_GB2312"/>
                <w:sz w:val="30"/>
                <w:szCs w:val="30"/>
              </w:rPr>
            </w:pPr>
          </w:p>
        </w:tc>
      </w:tr>
      <w:tr w14:paraId="1B89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73F2F029">
            <w:pPr>
              <w:spacing w:line="560" w:lineRule="exact"/>
              <w:jc w:val="center"/>
              <w:rPr>
                <w:rFonts w:eastAsia="仿宋_GB2312"/>
                <w:sz w:val="30"/>
                <w:szCs w:val="30"/>
              </w:rPr>
            </w:pPr>
            <w:r>
              <w:rPr>
                <w:rFonts w:hint="eastAsia" w:eastAsia="仿宋_GB2312"/>
                <w:sz w:val="30"/>
                <w:szCs w:val="30"/>
              </w:rPr>
              <w:t>创设机构评级机构</w:t>
            </w:r>
          </w:p>
        </w:tc>
        <w:tc>
          <w:tcPr>
            <w:tcW w:w="3294" w:type="pct"/>
            <w:tcBorders>
              <w:top w:val="single" w:color="auto" w:sz="4" w:space="0"/>
              <w:left w:val="single" w:color="auto" w:sz="4" w:space="0"/>
              <w:bottom w:val="single" w:color="auto" w:sz="4" w:space="0"/>
              <w:right w:val="single" w:color="auto" w:sz="4" w:space="0"/>
            </w:tcBorders>
          </w:tcPr>
          <w:p w14:paraId="6637A9A3">
            <w:pPr>
              <w:spacing w:line="560" w:lineRule="exact"/>
              <w:jc w:val="center"/>
              <w:rPr>
                <w:rFonts w:eastAsia="仿宋_GB2312"/>
                <w:sz w:val="30"/>
                <w:szCs w:val="30"/>
              </w:rPr>
            </w:pPr>
          </w:p>
        </w:tc>
      </w:tr>
      <w:tr w14:paraId="33ED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AE01E95">
            <w:pPr>
              <w:spacing w:line="560" w:lineRule="exact"/>
              <w:jc w:val="center"/>
              <w:rPr>
                <w:rFonts w:eastAsia="仿宋_GB2312"/>
                <w:sz w:val="30"/>
                <w:szCs w:val="30"/>
              </w:rPr>
            </w:pPr>
            <w:r>
              <w:rPr>
                <w:rFonts w:hint="eastAsia" w:eastAsia="仿宋_GB2312"/>
                <w:sz w:val="30"/>
                <w:szCs w:val="30"/>
              </w:rPr>
              <w:t>创设总额（亿元）</w:t>
            </w:r>
          </w:p>
        </w:tc>
        <w:tc>
          <w:tcPr>
            <w:tcW w:w="3294" w:type="pct"/>
            <w:tcBorders>
              <w:top w:val="single" w:color="auto" w:sz="4" w:space="0"/>
              <w:left w:val="single" w:color="auto" w:sz="4" w:space="0"/>
              <w:bottom w:val="single" w:color="auto" w:sz="4" w:space="0"/>
              <w:right w:val="single" w:color="auto" w:sz="4" w:space="0"/>
            </w:tcBorders>
          </w:tcPr>
          <w:p w14:paraId="43D6D8D7">
            <w:pPr>
              <w:spacing w:line="560" w:lineRule="exact"/>
              <w:jc w:val="center"/>
              <w:rPr>
                <w:rFonts w:eastAsia="仿宋_GB2312"/>
                <w:sz w:val="30"/>
                <w:szCs w:val="30"/>
              </w:rPr>
            </w:pPr>
          </w:p>
        </w:tc>
      </w:tr>
      <w:tr w14:paraId="3733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A7001E8">
            <w:pPr>
              <w:spacing w:line="560" w:lineRule="exact"/>
              <w:jc w:val="center"/>
              <w:rPr>
                <w:rFonts w:eastAsia="仿宋_GB2312"/>
                <w:sz w:val="30"/>
                <w:szCs w:val="30"/>
              </w:rPr>
            </w:pPr>
            <w:r>
              <w:rPr>
                <w:rFonts w:hint="eastAsia" w:eastAsia="仿宋_GB2312"/>
                <w:sz w:val="30"/>
                <w:szCs w:val="30"/>
              </w:rPr>
              <w:t>凭证期限</w:t>
            </w:r>
          </w:p>
        </w:tc>
        <w:tc>
          <w:tcPr>
            <w:tcW w:w="3294" w:type="pct"/>
            <w:tcBorders>
              <w:top w:val="single" w:color="auto" w:sz="4" w:space="0"/>
              <w:left w:val="single" w:color="auto" w:sz="4" w:space="0"/>
              <w:bottom w:val="single" w:color="auto" w:sz="4" w:space="0"/>
              <w:right w:val="single" w:color="auto" w:sz="4" w:space="0"/>
            </w:tcBorders>
          </w:tcPr>
          <w:p w14:paraId="4A8A602B">
            <w:pPr>
              <w:spacing w:line="560" w:lineRule="exact"/>
              <w:jc w:val="center"/>
              <w:rPr>
                <w:rFonts w:eastAsia="仿宋_GB2312"/>
                <w:sz w:val="30"/>
                <w:szCs w:val="30"/>
              </w:rPr>
            </w:pPr>
          </w:p>
        </w:tc>
      </w:tr>
      <w:tr w14:paraId="14A4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AA24F1C">
            <w:pPr>
              <w:spacing w:line="560" w:lineRule="exact"/>
              <w:jc w:val="center"/>
              <w:rPr>
                <w:rFonts w:eastAsia="仿宋_GB2312"/>
                <w:sz w:val="30"/>
                <w:szCs w:val="30"/>
              </w:rPr>
            </w:pPr>
            <w:r>
              <w:rPr>
                <w:rFonts w:hint="eastAsia" w:eastAsia="仿宋_GB2312"/>
                <w:sz w:val="30"/>
                <w:szCs w:val="30"/>
              </w:rPr>
              <w:t>保护起始日</w:t>
            </w:r>
          </w:p>
        </w:tc>
        <w:tc>
          <w:tcPr>
            <w:tcW w:w="3294" w:type="pct"/>
            <w:tcBorders>
              <w:top w:val="single" w:color="auto" w:sz="4" w:space="0"/>
              <w:left w:val="single" w:color="auto" w:sz="4" w:space="0"/>
              <w:bottom w:val="single" w:color="auto" w:sz="4" w:space="0"/>
              <w:right w:val="single" w:color="auto" w:sz="4" w:space="0"/>
            </w:tcBorders>
          </w:tcPr>
          <w:p w14:paraId="4CE8E51A">
            <w:pPr>
              <w:spacing w:line="560" w:lineRule="exact"/>
              <w:jc w:val="center"/>
              <w:rPr>
                <w:rFonts w:eastAsia="仿宋_GB2312"/>
                <w:sz w:val="30"/>
                <w:szCs w:val="30"/>
              </w:rPr>
            </w:pPr>
          </w:p>
        </w:tc>
      </w:tr>
      <w:tr w14:paraId="305E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3EB7BCEF">
            <w:pPr>
              <w:spacing w:line="560" w:lineRule="exact"/>
              <w:jc w:val="center"/>
              <w:rPr>
                <w:rFonts w:eastAsia="仿宋_GB2312"/>
                <w:sz w:val="30"/>
                <w:szCs w:val="30"/>
              </w:rPr>
            </w:pPr>
            <w:r>
              <w:rPr>
                <w:rFonts w:hint="eastAsia" w:eastAsia="仿宋_GB2312"/>
                <w:sz w:val="30"/>
                <w:szCs w:val="30"/>
              </w:rPr>
              <w:t>保护到期日</w:t>
            </w:r>
          </w:p>
        </w:tc>
        <w:tc>
          <w:tcPr>
            <w:tcW w:w="3294" w:type="pct"/>
            <w:tcBorders>
              <w:top w:val="single" w:color="auto" w:sz="4" w:space="0"/>
              <w:left w:val="single" w:color="auto" w:sz="4" w:space="0"/>
              <w:bottom w:val="single" w:color="auto" w:sz="4" w:space="0"/>
              <w:right w:val="single" w:color="auto" w:sz="4" w:space="0"/>
            </w:tcBorders>
          </w:tcPr>
          <w:p w14:paraId="6BA4A918">
            <w:pPr>
              <w:spacing w:line="560" w:lineRule="exact"/>
              <w:jc w:val="center"/>
              <w:rPr>
                <w:rFonts w:eastAsia="仿宋_GB2312"/>
                <w:sz w:val="30"/>
                <w:szCs w:val="30"/>
              </w:rPr>
            </w:pPr>
          </w:p>
        </w:tc>
      </w:tr>
      <w:tr w14:paraId="01E1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416D2923">
            <w:pPr>
              <w:spacing w:line="560" w:lineRule="exact"/>
              <w:ind w:firstLine="600"/>
              <w:jc w:val="center"/>
              <w:rPr>
                <w:rFonts w:eastAsia="仿宋_GB2312"/>
                <w:sz w:val="30"/>
                <w:szCs w:val="30"/>
              </w:rPr>
            </w:pPr>
            <w:r>
              <w:rPr>
                <w:rFonts w:hint="eastAsia" w:eastAsia="仿宋_GB2312"/>
                <w:sz w:val="30"/>
                <w:szCs w:val="30"/>
              </w:rPr>
              <w:t>交易单位</w:t>
            </w:r>
          </w:p>
        </w:tc>
        <w:tc>
          <w:tcPr>
            <w:tcW w:w="3294" w:type="pct"/>
            <w:tcBorders>
              <w:top w:val="single" w:color="auto" w:sz="4" w:space="0"/>
              <w:left w:val="single" w:color="auto" w:sz="4" w:space="0"/>
              <w:bottom w:val="single" w:color="auto" w:sz="4" w:space="0"/>
              <w:right w:val="single" w:color="auto" w:sz="4" w:space="0"/>
            </w:tcBorders>
          </w:tcPr>
          <w:p w14:paraId="6EEA4734">
            <w:pPr>
              <w:spacing w:line="560" w:lineRule="exact"/>
              <w:jc w:val="center"/>
              <w:rPr>
                <w:rFonts w:eastAsia="仿宋_GB2312"/>
                <w:sz w:val="30"/>
                <w:szCs w:val="30"/>
              </w:rPr>
            </w:pPr>
            <w:r>
              <w:rPr>
                <w:rFonts w:hint="eastAsia" w:eastAsia="仿宋_GB2312"/>
                <w:sz w:val="30"/>
                <w:szCs w:val="30"/>
              </w:rPr>
              <w:t>手</w:t>
            </w:r>
          </w:p>
        </w:tc>
      </w:tr>
      <w:tr w14:paraId="287A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5ACA48FA">
            <w:pPr>
              <w:spacing w:line="560" w:lineRule="exact"/>
              <w:jc w:val="center"/>
              <w:rPr>
                <w:rFonts w:eastAsia="仿宋_GB2312"/>
                <w:sz w:val="30"/>
                <w:szCs w:val="30"/>
              </w:rPr>
            </w:pPr>
            <w:r>
              <w:rPr>
                <w:rFonts w:hint="eastAsia" w:eastAsia="仿宋_GB2312"/>
                <w:sz w:val="30"/>
                <w:szCs w:val="30"/>
              </w:rPr>
              <w:t>计价单位</w:t>
            </w:r>
          </w:p>
        </w:tc>
        <w:tc>
          <w:tcPr>
            <w:tcW w:w="3294" w:type="pct"/>
            <w:tcBorders>
              <w:top w:val="single" w:color="auto" w:sz="4" w:space="0"/>
              <w:left w:val="single" w:color="auto" w:sz="4" w:space="0"/>
              <w:bottom w:val="single" w:color="auto" w:sz="4" w:space="0"/>
              <w:right w:val="single" w:color="auto" w:sz="4" w:space="0"/>
            </w:tcBorders>
          </w:tcPr>
          <w:p w14:paraId="60FFA8B1">
            <w:pPr>
              <w:spacing w:line="560" w:lineRule="exact"/>
              <w:jc w:val="center"/>
              <w:rPr>
                <w:rFonts w:eastAsia="仿宋_GB2312"/>
                <w:sz w:val="30"/>
                <w:szCs w:val="30"/>
              </w:rPr>
            </w:pPr>
            <w:r>
              <w:rPr>
                <w:rFonts w:hint="eastAsia" w:eastAsia="仿宋_GB2312"/>
                <w:sz w:val="30"/>
                <w:szCs w:val="30"/>
              </w:rPr>
              <w:t>百元名义本金凭证的价格</w:t>
            </w:r>
          </w:p>
        </w:tc>
      </w:tr>
      <w:tr w14:paraId="204F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7CF3FA5">
            <w:pPr>
              <w:spacing w:line="560" w:lineRule="exact"/>
              <w:jc w:val="center"/>
              <w:rPr>
                <w:rFonts w:eastAsia="仿宋_GB2312"/>
                <w:sz w:val="30"/>
                <w:szCs w:val="30"/>
              </w:rPr>
            </w:pPr>
            <w:r>
              <w:rPr>
                <w:rFonts w:hint="eastAsia" w:eastAsia="仿宋_GB2312"/>
                <w:sz w:val="30"/>
                <w:szCs w:val="30"/>
              </w:rPr>
              <w:t>申报价格变动单位</w:t>
            </w:r>
          </w:p>
        </w:tc>
        <w:tc>
          <w:tcPr>
            <w:tcW w:w="3294" w:type="pct"/>
            <w:tcBorders>
              <w:top w:val="single" w:color="auto" w:sz="4" w:space="0"/>
              <w:left w:val="single" w:color="auto" w:sz="4" w:space="0"/>
              <w:bottom w:val="single" w:color="auto" w:sz="4" w:space="0"/>
              <w:right w:val="single" w:color="auto" w:sz="4" w:space="0"/>
            </w:tcBorders>
          </w:tcPr>
          <w:p w14:paraId="6975E152">
            <w:pPr>
              <w:spacing w:line="560" w:lineRule="exact"/>
              <w:jc w:val="center"/>
              <w:rPr>
                <w:rFonts w:eastAsia="仿宋_GB2312"/>
                <w:sz w:val="30"/>
                <w:szCs w:val="30"/>
              </w:rPr>
            </w:pPr>
            <w:r>
              <w:rPr>
                <w:rFonts w:eastAsia="仿宋_GB2312"/>
                <w:sz w:val="30"/>
                <w:szCs w:val="30"/>
              </w:rPr>
              <w:t>0.001</w:t>
            </w:r>
            <w:r>
              <w:rPr>
                <w:rFonts w:hint="eastAsia" w:eastAsia="仿宋_GB2312"/>
                <w:sz w:val="30"/>
                <w:szCs w:val="30"/>
              </w:rPr>
              <w:t>元</w:t>
            </w:r>
          </w:p>
        </w:tc>
      </w:tr>
      <w:tr w14:paraId="4C34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4FC7C63">
            <w:pPr>
              <w:spacing w:line="560" w:lineRule="exact"/>
              <w:jc w:val="center"/>
              <w:rPr>
                <w:rFonts w:eastAsia="仿宋_GB2312"/>
                <w:sz w:val="30"/>
                <w:szCs w:val="30"/>
              </w:rPr>
            </w:pPr>
            <w:r>
              <w:rPr>
                <w:rFonts w:hint="eastAsia" w:eastAsia="仿宋_GB2312"/>
                <w:sz w:val="30"/>
                <w:szCs w:val="30"/>
              </w:rPr>
              <w:t>申报数量</w:t>
            </w:r>
          </w:p>
        </w:tc>
        <w:tc>
          <w:tcPr>
            <w:tcW w:w="3294" w:type="pct"/>
            <w:tcBorders>
              <w:top w:val="single" w:color="auto" w:sz="4" w:space="0"/>
              <w:left w:val="single" w:color="auto" w:sz="4" w:space="0"/>
              <w:bottom w:val="single" w:color="auto" w:sz="4" w:space="0"/>
              <w:right w:val="single" w:color="auto" w:sz="4" w:space="0"/>
            </w:tcBorders>
          </w:tcPr>
          <w:p w14:paraId="4E6A5D24">
            <w:pPr>
              <w:spacing w:line="560" w:lineRule="exact"/>
              <w:jc w:val="center"/>
              <w:rPr>
                <w:rFonts w:eastAsia="仿宋_GB2312"/>
                <w:sz w:val="30"/>
                <w:szCs w:val="30"/>
              </w:rPr>
            </w:pPr>
            <w:r>
              <w:rPr>
                <w:rFonts w:hint="eastAsia" w:eastAsia="仿宋_GB2312"/>
                <w:sz w:val="30"/>
                <w:szCs w:val="30"/>
              </w:rPr>
              <w:t>不低于</w:t>
            </w:r>
            <w:r>
              <w:rPr>
                <w:rFonts w:eastAsia="仿宋_GB2312"/>
                <w:sz w:val="30"/>
                <w:szCs w:val="30"/>
              </w:rPr>
              <w:t>500</w:t>
            </w:r>
            <w:r>
              <w:rPr>
                <w:rFonts w:hint="eastAsia" w:eastAsia="仿宋_GB2312"/>
                <w:sz w:val="30"/>
                <w:szCs w:val="30"/>
              </w:rPr>
              <w:t>手</w:t>
            </w:r>
          </w:p>
        </w:tc>
      </w:tr>
    </w:tbl>
    <w:p w14:paraId="75B0D69B">
      <w:pPr>
        <w:spacing w:line="560" w:lineRule="exact"/>
        <w:rPr>
          <w:rFonts w:eastAsia="仿宋_GB2312"/>
          <w:sz w:val="30"/>
          <w:szCs w:val="30"/>
        </w:rPr>
      </w:pPr>
    </w:p>
    <w:p w14:paraId="5934C776">
      <w:pPr>
        <w:pStyle w:val="39"/>
        <w:spacing w:before="0" w:beforeAutospacing="0" w:after="93" w:afterAutospacing="0" w:line="560" w:lineRule="exact"/>
        <w:ind w:right="108" w:firstLine="600" w:firstLineChars="200"/>
        <w:jc w:val="right"/>
        <w:rPr>
          <w:rFonts w:ascii="Times New Roman" w:hAnsi="Times New Roman" w:eastAsia="仿宋_GB2312" w:cs="Times New Roman"/>
          <w:kern w:val="2"/>
          <w:sz w:val="30"/>
          <w:szCs w:val="30"/>
        </w:rPr>
      </w:pPr>
      <w:r>
        <w:rPr>
          <w:rFonts w:ascii="Times New Roman" w:hAnsi="Times New Roman" w:eastAsia="仿宋_GB2312"/>
          <w:sz w:val="30"/>
          <w:szCs w:val="30"/>
        </w:rPr>
        <w:t>XXXX</w:t>
      </w:r>
      <w:r>
        <w:rPr>
          <w:rFonts w:hint="eastAsia" w:ascii="Times New Roman" w:hAnsi="Times New Roman" w:eastAsia="仿宋_GB2312" w:cs="Times New Roman"/>
          <w:kern w:val="2"/>
          <w:sz w:val="30"/>
          <w:szCs w:val="30"/>
        </w:rPr>
        <w:t>公司</w:t>
      </w:r>
    </w:p>
    <w:p w14:paraId="4AD180B4">
      <w:pPr>
        <w:spacing w:line="560" w:lineRule="exact"/>
        <w:ind w:left="6000" w:hanging="6000" w:hangingChars="2000"/>
        <w:jc w:val="right"/>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F808A34">
      <w:pPr>
        <w:widowControl/>
        <w:jc w:val="left"/>
        <w:outlineLvl w:val="1"/>
        <w:rPr>
          <w:rFonts w:ascii="仿宋_GB2312" w:hAnsi="黑体" w:eastAsia="仿宋_GB2312"/>
          <w:b/>
          <w:sz w:val="30"/>
          <w:szCs w:val="30"/>
        </w:rPr>
      </w:pPr>
      <w:bookmarkStart w:id="3517" w:name="_Toc151137113"/>
      <w:r>
        <w:rPr>
          <w:rFonts w:hint="eastAsia" w:ascii="仿宋_GB2312" w:hAnsi="黑体" w:eastAsia="仿宋_GB2312"/>
          <w:b/>
          <w:sz w:val="30"/>
          <w:szCs w:val="30"/>
        </w:rPr>
        <w:t>附件30 信用保护工具信用事件通知书参考模板</w:t>
      </w:r>
      <w:bookmarkEnd w:id="3517"/>
    </w:p>
    <w:p w14:paraId="404CD75E">
      <w:pPr>
        <w:spacing w:line="560" w:lineRule="exact"/>
        <w:jc w:val="center"/>
        <w:rPr>
          <w:rFonts w:ascii="黑体" w:hAnsi="黑体" w:eastAsia="黑体"/>
          <w:b/>
          <w:kern w:val="0"/>
          <w:sz w:val="44"/>
          <w:szCs w:val="44"/>
          <w:lang w:bidi="en-US"/>
        </w:rPr>
      </w:pPr>
    </w:p>
    <w:p w14:paraId="4A5A3082">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信用保护工具信用事件通知书</w:t>
      </w:r>
    </w:p>
    <w:p w14:paraId="064EE58B">
      <w:pPr>
        <w:spacing w:line="560" w:lineRule="exact"/>
        <w:rPr>
          <w:rFonts w:eastAsia="仿宋_GB2312"/>
          <w:sz w:val="32"/>
          <w:szCs w:val="32"/>
        </w:rPr>
      </w:pPr>
    </w:p>
    <w:p w14:paraId="6F2086A5">
      <w:pPr>
        <w:spacing w:line="560" w:lineRule="exact"/>
        <w:rPr>
          <w:rFonts w:eastAsia="仿宋_GB2312"/>
          <w:b/>
          <w:sz w:val="30"/>
          <w:szCs w:val="28"/>
        </w:rPr>
      </w:pPr>
      <w:r>
        <w:rPr>
          <w:rFonts w:hint="eastAsia" w:eastAsia="仿宋_GB2312"/>
          <w:b/>
          <w:sz w:val="30"/>
          <w:szCs w:val="28"/>
        </w:rPr>
        <w:t>合约版本：</w:t>
      </w:r>
    </w:p>
    <w:p w14:paraId="3BAE5757">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8E0D279">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4969581D">
      <w:pPr>
        <w:spacing w:line="560" w:lineRule="exact"/>
        <w:rPr>
          <w:rFonts w:eastAsia="仿宋_GB2312"/>
          <w:sz w:val="30"/>
          <w:szCs w:val="28"/>
        </w:rPr>
      </w:pPr>
    </w:p>
    <w:p w14:paraId="33952EBE">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，以下简称《交易确认书》）项下的信用事件通知。</w:t>
      </w:r>
    </w:p>
    <w:p w14:paraId="0D81ABF8">
      <w:pPr>
        <w:spacing w:line="560" w:lineRule="exact"/>
        <w:rPr>
          <w:rFonts w:eastAsia="仿宋_GB2312"/>
          <w:sz w:val="30"/>
          <w:szCs w:val="28"/>
        </w:rPr>
      </w:pPr>
    </w:p>
    <w:p w14:paraId="3B836E3A">
      <w:pPr>
        <w:spacing w:line="560" w:lineRule="exact"/>
        <w:rPr>
          <w:rFonts w:eastAsia="仿宋_GB2312"/>
          <w:sz w:val="30"/>
          <w:szCs w:val="28"/>
        </w:rPr>
      </w:pPr>
      <w:r>
        <w:rPr>
          <w:rFonts w:hint="eastAsia" w:eastAsia="仿宋_GB2312"/>
          <w:sz w:val="30"/>
          <w:szCs w:val="28"/>
        </w:rPr>
        <w:t>本通知构成前述《交易确认书》所指的信用事件通知。除非本通知另有定义，《交易确认书》中定义的术语在本通知中具有相同的含义。</w:t>
      </w:r>
    </w:p>
    <w:p w14:paraId="4AC6314E">
      <w:pPr>
        <w:spacing w:line="560" w:lineRule="exact"/>
        <w:rPr>
          <w:rFonts w:eastAsia="仿宋_GB2312"/>
          <w:sz w:val="30"/>
          <w:szCs w:val="28"/>
        </w:rPr>
      </w:pPr>
    </w:p>
    <w:p w14:paraId="39687AFD">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489D98D">
      <w:pPr>
        <w:spacing w:line="560" w:lineRule="exact"/>
        <w:rPr>
          <w:rFonts w:eastAsia="仿宋_GB2312"/>
          <w:sz w:val="30"/>
          <w:szCs w:val="28"/>
        </w:rPr>
      </w:pPr>
    </w:p>
    <w:p w14:paraId="73EE57CF">
      <w:pPr>
        <w:spacing w:line="560" w:lineRule="exact"/>
        <w:rPr>
          <w:rFonts w:eastAsia="仿宋_GB2312"/>
          <w:sz w:val="30"/>
          <w:szCs w:val="28"/>
        </w:rPr>
      </w:pPr>
      <w:r>
        <w:rPr>
          <w:rFonts w:hint="eastAsia" w:eastAsia="仿宋_GB2312"/>
          <w:sz w:val="30"/>
          <w:szCs w:val="28"/>
        </w:rPr>
        <w:t>通知方（印章）：</w:t>
      </w:r>
    </w:p>
    <w:p w14:paraId="195ABC17">
      <w:pPr>
        <w:spacing w:line="560" w:lineRule="exact"/>
        <w:rPr>
          <w:rFonts w:eastAsia="仿宋_GB2312"/>
          <w:sz w:val="30"/>
          <w:szCs w:val="28"/>
        </w:rPr>
      </w:pPr>
      <w:r>
        <w:rPr>
          <w:rFonts w:hint="eastAsia" w:eastAsia="仿宋_GB2312"/>
          <w:sz w:val="30"/>
          <w:szCs w:val="28"/>
        </w:rPr>
        <w:t>法定代表人（授权代理人）签字：</w:t>
      </w:r>
    </w:p>
    <w:p w14:paraId="23DFA08E">
      <w:pPr>
        <w:spacing w:line="560" w:lineRule="exact"/>
        <w:rPr>
          <w:rFonts w:eastAsia="仿宋_GB2312"/>
          <w:sz w:val="30"/>
          <w:szCs w:val="28"/>
        </w:rPr>
        <w:sectPr>
          <w:headerReference r:id="rId4" w:type="default"/>
          <w:footerReference r:id="rId6" w:type="default"/>
          <w:headerReference r:id="rId5" w:type="even"/>
          <w:footerReference r:id="rId7" w:type="even"/>
          <w:pgSz w:w="11906" w:h="16838"/>
          <w:pgMar w:top="1440" w:right="1800" w:bottom="1440" w:left="1800" w:header="851" w:footer="992" w:gutter="0"/>
          <w:cols w:space="425" w:num="1"/>
          <w:docGrid w:type="lines" w:linePitch="312" w:charSpace="0"/>
        </w:sectPr>
      </w:pPr>
      <w:r>
        <w:rPr>
          <w:rFonts w:hint="eastAsia" w:eastAsia="仿宋_GB2312"/>
          <w:sz w:val="30"/>
          <w:szCs w:val="28"/>
        </w:rPr>
        <w:t>信用事件通知日期：</w:t>
      </w:r>
    </w:p>
    <w:p w14:paraId="2CD98035">
      <w:pPr>
        <w:spacing w:line="560" w:lineRule="exact"/>
        <w:rPr>
          <w:rFonts w:eastAsia="仿宋_GB2312"/>
          <w:b/>
          <w:sz w:val="30"/>
          <w:szCs w:val="28"/>
        </w:rPr>
      </w:pPr>
      <w:r>
        <w:rPr>
          <w:rFonts w:hint="eastAsia" w:eastAsia="仿宋_GB2312"/>
          <w:b/>
          <w:sz w:val="30"/>
          <w:szCs w:val="28"/>
        </w:rPr>
        <w:t>凭证版本（买方版本）：</w:t>
      </w:r>
    </w:p>
    <w:p w14:paraId="2A99689A">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3F542F3A">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3536780A">
      <w:pPr>
        <w:spacing w:line="560" w:lineRule="exact"/>
        <w:rPr>
          <w:rFonts w:eastAsia="仿宋_GB2312"/>
          <w:sz w:val="30"/>
          <w:szCs w:val="28"/>
        </w:rPr>
      </w:pPr>
    </w:p>
    <w:p w14:paraId="4613C2D6">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xml:space="preserve">[   ]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1BD3657F">
      <w:pPr>
        <w:spacing w:line="560" w:lineRule="exact"/>
        <w:rPr>
          <w:rFonts w:eastAsia="仿宋_GB2312"/>
          <w:sz w:val="30"/>
          <w:szCs w:val="28"/>
        </w:rPr>
      </w:pPr>
    </w:p>
    <w:p w14:paraId="6FA1BFCA">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46C73506">
      <w:pPr>
        <w:spacing w:line="560" w:lineRule="exact"/>
        <w:rPr>
          <w:rFonts w:eastAsia="仿宋_GB2312"/>
          <w:sz w:val="30"/>
          <w:szCs w:val="28"/>
        </w:rPr>
      </w:pPr>
    </w:p>
    <w:p w14:paraId="77B699C7">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9D01D27">
      <w:pPr>
        <w:spacing w:line="560" w:lineRule="exact"/>
        <w:rPr>
          <w:rFonts w:eastAsia="仿宋_GB2312"/>
          <w:sz w:val="30"/>
          <w:szCs w:val="28"/>
        </w:rPr>
      </w:pPr>
    </w:p>
    <w:p w14:paraId="287653FE">
      <w:pPr>
        <w:spacing w:line="560" w:lineRule="exact"/>
        <w:rPr>
          <w:rFonts w:eastAsia="仿宋_GB2312"/>
          <w:sz w:val="30"/>
          <w:szCs w:val="28"/>
        </w:rPr>
      </w:pPr>
      <w:r>
        <w:rPr>
          <w:rFonts w:hint="eastAsia" w:eastAsia="仿宋_GB2312"/>
          <w:sz w:val="30"/>
          <w:szCs w:val="28"/>
        </w:rPr>
        <w:t>通知方（印章）：</w:t>
      </w:r>
    </w:p>
    <w:p w14:paraId="5F79693D">
      <w:pPr>
        <w:spacing w:line="560" w:lineRule="exact"/>
        <w:rPr>
          <w:rFonts w:eastAsia="仿宋_GB2312"/>
          <w:sz w:val="30"/>
          <w:szCs w:val="28"/>
        </w:rPr>
      </w:pPr>
      <w:r>
        <w:rPr>
          <w:rFonts w:hint="eastAsia" w:eastAsia="仿宋_GB2312"/>
          <w:sz w:val="30"/>
          <w:szCs w:val="28"/>
        </w:rPr>
        <w:t>法定代表人（授权代理人）签字：</w:t>
      </w:r>
      <w:r>
        <w:rPr>
          <w:rFonts w:eastAsia="仿宋_GB2312"/>
          <w:sz w:val="30"/>
          <w:szCs w:val="28"/>
        </w:rPr>
        <w:t xml:space="preserve"> </w:t>
      </w:r>
    </w:p>
    <w:p w14:paraId="28ED4331">
      <w:pPr>
        <w:spacing w:line="560" w:lineRule="exact"/>
        <w:rPr>
          <w:rFonts w:eastAsia="仿宋_GB2312"/>
          <w:sz w:val="30"/>
          <w:szCs w:val="28"/>
        </w:rPr>
      </w:pPr>
      <w:r>
        <w:rPr>
          <w:rFonts w:hint="eastAsia" w:eastAsia="仿宋_GB2312"/>
          <w:sz w:val="30"/>
          <w:szCs w:val="28"/>
        </w:rPr>
        <w:t>信用事件通知日期：</w:t>
      </w:r>
    </w:p>
    <w:p w14:paraId="3A728EA8">
      <w:pPr>
        <w:spacing w:line="560" w:lineRule="exact"/>
        <w:rPr>
          <w:rFonts w:eastAsia="仿宋_GB2312"/>
          <w:sz w:val="30"/>
          <w:szCs w:val="28"/>
        </w:rPr>
      </w:pPr>
    </w:p>
    <w:p w14:paraId="0CE623DE">
      <w:pPr>
        <w:spacing w:line="560" w:lineRule="exact"/>
        <w:rPr>
          <w:rFonts w:eastAsia="仿宋_GB2312"/>
          <w:sz w:val="30"/>
          <w:szCs w:val="28"/>
        </w:rPr>
      </w:pPr>
    </w:p>
    <w:p w14:paraId="2FD0EF60">
      <w:pPr>
        <w:spacing w:line="560" w:lineRule="exact"/>
        <w:rPr>
          <w:rFonts w:eastAsia="仿宋_GB2312"/>
          <w:sz w:val="30"/>
          <w:szCs w:val="28"/>
        </w:rPr>
      </w:pPr>
    </w:p>
    <w:p w14:paraId="2518EB67">
      <w:pPr>
        <w:spacing w:line="560" w:lineRule="exact"/>
        <w:rPr>
          <w:rFonts w:eastAsia="仿宋_GB2312"/>
          <w:sz w:val="30"/>
          <w:szCs w:val="28"/>
        </w:rPr>
      </w:pPr>
    </w:p>
    <w:p w14:paraId="0B154158">
      <w:pPr>
        <w:spacing w:line="560" w:lineRule="exact"/>
        <w:rPr>
          <w:rFonts w:eastAsia="仿宋_GB2312"/>
          <w:b/>
          <w:sz w:val="30"/>
          <w:szCs w:val="28"/>
        </w:rPr>
      </w:pPr>
      <w:r>
        <w:rPr>
          <w:rFonts w:hint="eastAsia" w:eastAsia="仿宋_GB2312"/>
          <w:b/>
          <w:sz w:val="30"/>
          <w:szCs w:val="28"/>
        </w:rPr>
        <w:t>凭证版本（卖方版本）：</w:t>
      </w:r>
    </w:p>
    <w:p w14:paraId="1773F905">
      <w:pPr>
        <w:spacing w:line="560" w:lineRule="exact"/>
        <w:rPr>
          <w:rFonts w:eastAsia="仿宋_GB2312"/>
          <w:sz w:val="30"/>
          <w:szCs w:val="28"/>
        </w:rPr>
      </w:pPr>
      <w:r>
        <w:rPr>
          <w:rFonts w:hint="eastAsia" w:eastAsia="仿宋_GB2312"/>
          <w:sz w:val="30"/>
          <w:szCs w:val="28"/>
        </w:rPr>
        <w:t>事由：我公司于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w:t>
      </w:r>
    </w:p>
    <w:p w14:paraId="5825F3F4">
      <w:pPr>
        <w:spacing w:line="560" w:lineRule="exact"/>
        <w:rPr>
          <w:rFonts w:eastAsia="仿宋_GB2312"/>
          <w:sz w:val="30"/>
          <w:szCs w:val="28"/>
        </w:rPr>
      </w:pPr>
    </w:p>
    <w:p w14:paraId="74B9069E">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37D60E83">
      <w:pPr>
        <w:spacing w:line="560" w:lineRule="exact"/>
        <w:rPr>
          <w:rFonts w:eastAsia="仿宋_GB2312"/>
          <w:sz w:val="30"/>
          <w:szCs w:val="28"/>
        </w:rPr>
      </w:pPr>
    </w:p>
    <w:p w14:paraId="31907D47">
      <w:pPr>
        <w:spacing w:line="560" w:lineRule="exact"/>
        <w:rPr>
          <w:rFonts w:eastAsia="仿宋_GB2312"/>
          <w:sz w:val="30"/>
          <w:szCs w:val="28"/>
        </w:rPr>
      </w:pPr>
      <w:r>
        <w:rPr>
          <w:rFonts w:hint="eastAsia" w:eastAsia="仿宋_GB2312"/>
          <w:sz w:val="30"/>
          <w:szCs w:val="28"/>
        </w:rPr>
        <w:t>我方作为通知方，特此通知凭证投资者，</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4B3EC30E">
      <w:pPr>
        <w:spacing w:line="560" w:lineRule="exact"/>
        <w:rPr>
          <w:rFonts w:eastAsia="仿宋_GB2312"/>
          <w:sz w:val="30"/>
          <w:szCs w:val="28"/>
        </w:rPr>
      </w:pPr>
    </w:p>
    <w:p w14:paraId="6373B3C6">
      <w:pPr>
        <w:spacing w:line="560" w:lineRule="exact"/>
        <w:rPr>
          <w:rFonts w:eastAsia="仿宋_GB2312"/>
          <w:sz w:val="30"/>
          <w:szCs w:val="28"/>
        </w:rPr>
      </w:pPr>
    </w:p>
    <w:p w14:paraId="0E9CF528">
      <w:pPr>
        <w:spacing w:line="560" w:lineRule="exact"/>
        <w:rPr>
          <w:rFonts w:eastAsia="仿宋_GB2312"/>
          <w:sz w:val="30"/>
          <w:szCs w:val="28"/>
        </w:rPr>
      </w:pPr>
      <w:r>
        <w:rPr>
          <w:rFonts w:hint="eastAsia" w:eastAsia="仿宋_GB2312"/>
          <w:sz w:val="30"/>
          <w:szCs w:val="28"/>
        </w:rPr>
        <w:t>通知方（印章）：</w:t>
      </w:r>
    </w:p>
    <w:p w14:paraId="67EDB948">
      <w:pPr>
        <w:spacing w:line="560" w:lineRule="exact"/>
        <w:rPr>
          <w:rFonts w:eastAsia="仿宋_GB2312"/>
          <w:sz w:val="30"/>
          <w:szCs w:val="28"/>
        </w:rPr>
      </w:pPr>
      <w:r>
        <w:rPr>
          <w:rFonts w:hint="eastAsia" w:eastAsia="仿宋_GB2312"/>
          <w:sz w:val="30"/>
          <w:szCs w:val="28"/>
        </w:rPr>
        <w:t>法定代表人（授权代理人）签字：</w:t>
      </w:r>
    </w:p>
    <w:p w14:paraId="5E642D55">
      <w:pPr>
        <w:widowControl/>
        <w:jc w:val="left"/>
        <w:rPr>
          <w:rFonts w:eastAsia="仿宋_GB2312"/>
          <w:sz w:val="30"/>
          <w:szCs w:val="28"/>
        </w:rPr>
      </w:pPr>
      <w:r>
        <w:rPr>
          <w:rFonts w:hint="eastAsia" w:eastAsia="仿宋_GB2312"/>
          <w:sz w:val="30"/>
          <w:szCs w:val="28"/>
        </w:rPr>
        <w:t>信用事件通知日期：</w:t>
      </w:r>
    </w:p>
    <w:p w14:paraId="36DA9AC8">
      <w:pPr>
        <w:widowControl/>
        <w:jc w:val="left"/>
        <w:rPr>
          <w:rFonts w:eastAsia="仿宋_GB2312"/>
          <w:sz w:val="30"/>
          <w:szCs w:val="28"/>
        </w:rPr>
      </w:pPr>
    </w:p>
    <w:p w14:paraId="5B7F1598">
      <w:r>
        <w:br w:type="page"/>
      </w:r>
    </w:p>
    <w:p w14:paraId="6A148018">
      <w:pPr>
        <w:widowControl/>
        <w:jc w:val="left"/>
        <w:outlineLvl w:val="1"/>
        <w:rPr>
          <w:rFonts w:ascii="仿宋_GB2312" w:hAnsi="黑体" w:eastAsia="仿宋_GB2312"/>
          <w:b/>
          <w:sz w:val="30"/>
          <w:szCs w:val="30"/>
        </w:rPr>
      </w:pPr>
      <w:bookmarkStart w:id="3518" w:name="_Toc151137114"/>
      <w:r>
        <w:rPr>
          <w:rFonts w:hint="eastAsia" w:ascii="仿宋_GB2312" w:hAnsi="黑体" w:eastAsia="仿宋_GB2312"/>
          <w:b/>
          <w:sz w:val="30"/>
          <w:szCs w:val="30"/>
        </w:rPr>
        <w:t>附件31 信用保护工具公共信息通知书参考模板</w:t>
      </w:r>
      <w:bookmarkEnd w:id="3518"/>
    </w:p>
    <w:p w14:paraId="373ED10D">
      <w:pPr>
        <w:spacing w:line="600" w:lineRule="exact"/>
        <w:jc w:val="left"/>
        <w:rPr>
          <w:rFonts w:ascii="黑体" w:hAnsi="黑体" w:eastAsia="黑体"/>
          <w:b/>
          <w:kern w:val="0"/>
          <w:sz w:val="44"/>
          <w:szCs w:val="44"/>
          <w:lang w:bidi="en-US"/>
        </w:rPr>
      </w:pPr>
    </w:p>
    <w:p w14:paraId="1E18CC86">
      <w:pPr>
        <w:spacing w:line="560" w:lineRule="exact"/>
        <w:jc w:val="center"/>
        <w:rPr>
          <w:rFonts w:eastAsia="仿宋_GB2312"/>
          <w:b/>
          <w:sz w:val="28"/>
          <w:szCs w:val="28"/>
        </w:rPr>
      </w:pPr>
      <w:r>
        <w:rPr>
          <w:rFonts w:hint="eastAsia" w:ascii="黑体" w:hAnsi="黑体" w:eastAsia="黑体"/>
          <w:b/>
          <w:kern w:val="0"/>
          <w:sz w:val="44"/>
          <w:szCs w:val="44"/>
          <w:lang w:bidi="en-US"/>
        </w:rPr>
        <w:t>信用保护工具公共信息通知书</w:t>
      </w:r>
    </w:p>
    <w:p w14:paraId="526DDB67">
      <w:pPr>
        <w:spacing w:line="560" w:lineRule="exact"/>
        <w:rPr>
          <w:rFonts w:eastAsia="仿宋_GB2312"/>
          <w:sz w:val="30"/>
          <w:szCs w:val="28"/>
        </w:rPr>
      </w:pPr>
      <w:r>
        <w:rPr>
          <w:rFonts w:hint="eastAsia" w:eastAsia="仿宋_GB2312"/>
          <w:b/>
          <w:sz w:val="30"/>
          <w:szCs w:val="28"/>
        </w:rPr>
        <w:t>合约版本：</w:t>
      </w:r>
    </w:p>
    <w:p w14:paraId="2925D201">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64D5F56B">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3578BC3">
      <w:pPr>
        <w:spacing w:line="600" w:lineRule="exact"/>
        <w:jc w:val="left"/>
        <w:rPr>
          <w:rFonts w:ascii="黑体" w:hAnsi="黑体" w:eastAsia="黑体"/>
          <w:b/>
          <w:kern w:val="0"/>
          <w:sz w:val="44"/>
          <w:szCs w:val="44"/>
          <w:lang w:bidi="en-US"/>
        </w:rPr>
      </w:pPr>
    </w:p>
    <w:p w14:paraId="131A6695">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，以下简称《交易确认书》）项下的公共信息通知书。</w:t>
      </w:r>
    </w:p>
    <w:p w14:paraId="38B6E2EC">
      <w:pPr>
        <w:spacing w:line="560" w:lineRule="exact"/>
        <w:rPr>
          <w:rFonts w:eastAsia="仿宋_GB2312"/>
          <w:sz w:val="30"/>
          <w:szCs w:val="28"/>
        </w:rPr>
      </w:pPr>
    </w:p>
    <w:p w14:paraId="45BF6A7B">
      <w:pPr>
        <w:spacing w:line="560" w:lineRule="exact"/>
        <w:rPr>
          <w:rFonts w:eastAsia="仿宋_GB2312"/>
          <w:sz w:val="30"/>
          <w:szCs w:val="28"/>
        </w:rPr>
      </w:pPr>
      <w:r>
        <w:rPr>
          <w:rFonts w:hint="eastAsia" w:eastAsia="仿宋_GB2312"/>
          <w:sz w:val="30"/>
          <w:szCs w:val="28"/>
        </w:rPr>
        <w:t>本通知构成前述《交易确认书》所指的公共信息通知书。除非本</w:t>
      </w:r>
      <w:r>
        <w:rPr>
          <w:rFonts w:eastAsia="仿宋_GB2312"/>
          <w:sz w:val="30"/>
          <w:szCs w:val="28"/>
        </w:rPr>
        <w:t xml:space="preserve"> </w:t>
      </w:r>
      <w:r>
        <w:rPr>
          <w:rFonts w:hint="eastAsia" w:eastAsia="仿宋_GB2312"/>
          <w:sz w:val="30"/>
          <w:szCs w:val="28"/>
        </w:rPr>
        <w:t>通知另有定义，《交易确认书》中定义的术语在本通知中具有相同的含义。</w:t>
      </w:r>
    </w:p>
    <w:p w14:paraId="67FBC523">
      <w:pPr>
        <w:spacing w:line="560" w:lineRule="exact"/>
        <w:rPr>
          <w:rFonts w:eastAsia="仿宋_GB2312"/>
          <w:sz w:val="30"/>
          <w:szCs w:val="28"/>
        </w:rPr>
      </w:pPr>
    </w:p>
    <w:p w14:paraId="6B0E3498">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请填入适用的信用事件种类</w:t>
      </w:r>
      <w:r>
        <w:rPr>
          <w:rFonts w:eastAsia="仿宋_GB2312"/>
          <w:sz w:val="30"/>
          <w:szCs w:val="28"/>
        </w:rPr>
        <w:t>]</w:t>
      </w:r>
      <w:r>
        <w:rPr>
          <w:rFonts w:hint="eastAsia" w:eastAsia="仿宋_GB2312"/>
          <w:sz w:val="30"/>
          <w:szCs w:val="28"/>
        </w:rPr>
        <w:t>。</w:t>
      </w:r>
    </w:p>
    <w:p w14:paraId="0D79B6FB">
      <w:pPr>
        <w:spacing w:line="560" w:lineRule="exact"/>
        <w:rPr>
          <w:rFonts w:eastAsia="仿宋_GB2312"/>
          <w:sz w:val="30"/>
          <w:szCs w:val="28"/>
        </w:rPr>
      </w:pPr>
    </w:p>
    <w:p w14:paraId="16D6CCB8">
      <w:pPr>
        <w:spacing w:line="560" w:lineRule="exact"/>
        <w:rPr>
          <w:rFonts w:eastAsia="仿宋_GB2312"/>
          <w:sz w:val="30"/>
          <w:szCs w:val="28"/>
        </w:rPr>
      </w:pPr>
      <w:r>
        <w:rPr>
          <w:rFonts w:hint="eastAsia" w:eastAsia="仿宋_GB2312"/>
          <w:sz w:val="30"/>
          <w:szCs w:val="28"/>
        </w:rPr>
        <w:t>本通知作为该</w:t>
      </w:r>
      <w:r>
        <w:rPr>
          <w:rFonts w:eastAsia="仿宋_GB2312"/>
          <w:sz w:val="30"/>
          <w:szCs w:val="28"/>
        </w:rPr>
        <w:t>[</w:t>
      </w:r>
      <w:r>
        <w:rPr>
          <w:rFonts w:hint="eastAsia" w:eastAsia="仿宋_GB2312"/>
          <w:sz w:val="30"/>
          <w:szCs w:val="28"/>
        </w:rPr>
        <w:t>信用事件</w:t>
      </w:r>
      <w:r>
        <w:rPr>
          <w:rFonts w:eastAsia="仿宋_GB2312"/>
          <w:sz w:val="30"/>
          <w:szCs w:val="28"/>
        </w:rPr>
        <w:t>]</w:t>
      </w:r>
      <w:r>
        <w:rPr>
          <w:rFonts w:hint="eastAsia" w:eastAsia="仿宋_GB2312"/>
          <w:sz w:val="30"/>
          <w:szCs w:val="28"/>
        </w:rPr>
        <w:t>的公共信息通知书，有关公开信息的情况如下：</w:t>
      </w:r>
      <w:r>
        <w:rPr>
          <w:rFonts w:eastAsia="仿宋_GB2312"/>
          <w:sz w:val="30"/>
          <w:szCs w:val="28"/>
        </w:rPr>
        <w:t>[</w:t>
      </w:r>
      <w:r>
        <w:rPr>
          <w:rFonts w:hint="eastAsia" w:eastAsia="仿宋_GB2312"/>
          <w:sz w:val="30"/>
          <w:szCs w:val="28"/>
        </w:rPr>
        <w:t>请填入获得的有关公开信息</w:t>
      </w:r>
      <w:r>
        <w:rPr>
          <w:rFonts w:eastAsia="仿宋_GB2312"/>
          <w:sz w:val="30"/>
          <w:szCs w:val="28"/>
        </w:rPr>
        <w:t>]</w:t>
      </w:r>
      <w:r>
        <w:rPr>
          <w:rFonts w:hint="eastAsia" w:eastAsia="仿宋_GB2312"/>
          <w:sz w:val="30"/>
          <w:szCs w:val="28"/>
        </w:rPr>
        <w:t>。</w:t>
      </w:r>
    </w:p>
    <w:p w14:paraId="7905406A">
      <w:pPr>
        <w:spacing w:line="560" w:lineRule="exact"/>
        <w:rPr>
          <w:rFonts w:eastAsia="仿宋_GB2312"/>
          <w:sz w:val="30"/>
          <w:szCs w:val="28"/>
        </w:rPr>
      </w:pPr>
    </w:p>
    <w:p w14:paraId="42E8BF40">
      <w:pPr>
        <w:spacing w:line="560" w:lineRule="exact"/>
        <w:rPr>
          <w:rFonts w:eastAsia="仿宋_GB2312"/>
          <w:sz w:val="30"/>
          <w:szCs w:val="28"/>
        </w:rPr>
      </w:pPr>
      <w:r>
        <w:rPr>
          <w:rFonts w:hint="eastAsia" w:eastAsia="仿宋_GB2312"/>
          <w:sz w:val="30"/>
          <w:szCs w:val="28"/>
        </w:rPr>
        <w:t>通知方（印章）：</w:t>
      </w:r>
    </w:p>
    <w:p w14:paraId="4D72ED17">
      <w:pPr>
        <w:spacing w:line="560" w:lineRule="exact"/>
        <w:rPr>
          <w:rFonts w:eastAsia="仿宋_GB2312"/>
          <w:sz w:val="30"/>
          <w:szCs w:val="28"/>
        </w:rPr>
      </w:pPr>
      <w:r>
        <w:rPr>
          <w:rFonts w:hint="eastAsia" w:eastAsia="仿宋_GB2312"/>
          <w:sz w:val="30"/>
          <w:szCs w:val="28"/>
        </w:rPr>
        <w:t>法定代表人（授权代理人）签字：</w:t>
      </w:r>
    </w:p>
    <w:p w14:paraId="635E5670">
      <w:pPr>
        <w:widowControl/>
        <w:jc w:val="left"/>
        <w:rPr>
          <w:rFonts w:eastAsia="仿宋_GB2312"/>
          <w:sz w:val="30"/>
          <w:szCs w:val="28"/>
        </w:rPr>
      </w:pPr>
      <w:r>
        <w:rPr>
          <w:rFonts w:hint="eastAsia" w:eastAsia="仿宋_GB2312"/>
          <w:sz w:val="30"/>
          <w:szCs w:val="28"/>
        </w:rPr>
        <w:t>公开信息通知日期：</w:t>
      </w:r>
    </w:p>
    <w:p w14:paraId="73ECF06D">
      <w:pPr>
        <w:widowControl/>
        <w:jc w:val="left"/>
        <w:rPr>
          <w:rFonts w:eastAsia="仿宋_GB2312"/>
          <w:sz w:val="30"/>
          <w:szCs w:val="28"/>
        </w:rPr>
      </w:pPr>
      <w:r>
        <w:rPr>
          <w:rFonts w:eastAsia="仿宋_GB2312"/>
          <w:sz w:val="30"/>
          <w:szCs w:val="28"/>
        </w:rPr>
        <w:br w:type="page"/>
      </w:r>
    </w:p>
    <w:p w14:paraId="0DBBE889">
      <w:pPr>
        <w:widowControl/>
        <w:jc w:val="left"/>
        <w:outlineLvl w:val="1"/>
        <w:rPr>
          <w:rFonts w:ascii="仿宋_GB2312" w:hAnsi="黑体" w:eastAsia="仿宋_GB2312"/>
          <w:b/>
          <w:sz w:val="30"/>
          <w:szCs w:val="30"/>
          <w:lang w:bidi="en-US"/>
        </w:rPr>
      </w:pPr>
      <w:bookmarkStart w:id="3519" w:name="_Toc151137115"/>
      <w:bookmarkStart w:id="3520" w:name="_Toc514051556"/>
      <w:r>
        <w:rPr>
          <w:rFonts w:hint="eastAsia" w:ascii="仿宋_GB2312" w:hAnsi="黑体" w:eastAsia="仿宋_GB2312"/>
          <w:b/>
          <w:sz w:val="30"/>
          <w:szCs w:val="30"/>
        </w:rPr>
        <w:t>附件32 信用保护工具结算通知书参考模板</w:t>
      </w:r>
      <w:bookmarkEnd w:id="3519"/>
    </w:p>
    <w:p w14:paraId="20C4A40C">
      <w:pPr>
        <w:spacing w:line="560" w:lineRule="exact"/>
        <w:jc w:val="center"/>
        <w:rPr>
          <w:rFonts w:ascii="黑体" w:hAnsi="黑体" w:eastAsia="黑体"/>
          <w:b/>
          <w:kern w:val="0"/>
          <w:sz w:val="44"/>
          <w:szCs w:val="44"/>
          <w:lang w:bidi="en-US"/>
        </w:rPr>
      </w:pPr>
    </w:p>
    <w:p w14:paraId="527F0806">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信用保护工具结算通知书</w:t>
      </w:r>
    </w:p>
    <w:p w14:paraId="014F0D90">
      <w:pPr>
        <w:spacing w:line="560" w:lineRule="exact"/>
        <w:jc w:val="center"/>
        <w:rPr>
          <w:rFonts w:eastAsia="仿宋_GB2312"/>
          <w:sz w:val="30"/>
          <w:szCs w:val="28"/>
        </w:rPr>
      </w:pPr>
    </w:p>
    <w:p w14:paraId="27BD9CA1">
      <w:pPr>
        <w:spacing w:line="560" w:lineRule="exact"/>
        <w:rPr>
          <w:rFonts w:eastAsia="仿宋_GB2312"/>
          <w:b/>
          <w:sz w:val="30"/>
          <w:szCs w:val="28"/>
        </w:rPr>
      </w:pPr>
      <w:r>
        <w:rPr>
          <w:rFonts w:hint="eastAsia" w:eastAsia="仿宋_GB2312"/>
          <w:b/>
          <w:sz w:val="30"/>
          <w:szCs w:val="28"/>
        </w:rPr>
        <w:t>合约版本：</w:t>
      </w:r>
    </w:p>
    <w:p w14:paraId="46572863">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w:t>
      </w:r>
    </w:p>
    <w:p w14:paraId="22F91954">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0AB55567">
      <w:pPr>
        <w:spacing w:line="560" w:lineRule="exact"/>
        <w:rPr>
          <w:rFonts w:eastAsia="仿宋_GB2312"/>
          <w:sz w:val="30"/>
          <w:szCs w:val="28"/>
        </w:rPr>
      </w:pPr>
    </w:p>
    <w:p w14:paraId="5E2BD9BB">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，以下简称《交易确认书》）项下的结算通知。</w:t>
      </w:r>
    </w:p>
    <w:p w14:paraId="20CA8075">
      <w:pPr>
        <w:spacing w:line="560" w:lineRule="exact"/>
        <w:rPr>
          <w:rFonts w:eastAsia="仿宋_GB2312"/>
          <w:sz w:val="30"/>
          <w:szCs w:val="28"/>
        </w:rPr>
      </w:pPr>
    </w:p>
    <w:p w14:paraId="18BA2958">
      <w:pPr>
        <w:spacing w:line="560" w:lineRule="exact"/>
        <w:rPr>
          <w:rFonts w:eastAsia="仿宋_GB2312"/>
          <w:sz w:val="30"/>
          <w:szCs w:val="28"/>
        </w:rPr>
      </w:pPr>
      <w:r>
        <w:rPr>
          <w:rFonts w:hint="eastAsia" w:eastAsia="仿宋_GB2312"/>
          <w:sz w:val="30"/>
          <w:szCs w:val="28"/>
        </w:rPr>
        <w:t>本通知构成前述《交易确认书》所指的结算通知。除非本通知另有定义，《交易确认书》中定义的术语在本通知中具有相同的含义。</w:t>
      </w:r>
    </w:p>
    <w:p w14:paraId="172E9252">
      <w:pPr>
        <w:spacing w:line="560" w:lineRule="exact"/>
        <w:rPr>
          <w:rFonts w:eastAsia="仿宋_GB2312"/>
          <w:sz w:val="30"/>
          <w:szCs w:val="28"/>
        </w:rPr>
      </w:pPr>
    </w:p>
    <w:p w14:paraId="10D18D76">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4B1ABCF1">
      <w:pPr>
        <w:spacing w:line="560" w:lineRule="exact"/>
        <w:rPr>
          <w:rFonts w:eastAsia="仿宋_GB2312"/>
          <w:sz w:val="30"/>
          <w:szCs w:val="28"/>
        </w:rPr>
      </w:pPr>
    </w:p>
    <w:p w14:paraId="19D418EE">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156B54B2">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09F4E813">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4903B9BB">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 xml:space="preserve">[ </w:t>
      </w:r>
      <w:r>
        <w:rPr>
          <w:rFonts w:eastAsia="仿宋_GB2312"/>
          <w:sz w:val="30"/>
          <w:szCs w:val="28"/>
        </w:rPr>
        <w:tab/>
      </w:r>
      <w:r>
        <w:rPr>
          <w:rFonts w:eastAsia="仿宋_GB2312"/>
          <w:sz w:val="30"/>
          <w:szCs w:val="28"/>
        </w:rPr>
        <w:t>]</w:t>
      </w:r>
    </w:p>
    <w:p w14:paraId="2921BFC9">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3AA9941D">
      <w:pPr>
        <w:spacing w:line="560" w:lineRule="exact"/>
        <w:rPr>
          <w:rFonts w:eastAsia="仿宋_GB2312"/>
          <w:sz w:val="30"/>
          <w:szCs w:val="28"/>
        </w:rPr>
      </w:pPr>
    </w:p>
    <w:p w14:paraId="5075CD60">
      <w:pPr>
        <w:spacing w:line="560" w:lineRule="exact"/>
        <w:rPr>
          <w:rFonts w:eastAsia="仿宋_GB2312"/>
          <w:sz w:val="30"/>
          <w:szCs w:val="28"/>
        </w:rPr>
      </w:pPr>
      <w:r>
        <w:rPr>
          <w:rFonts w:hint="eastAsia" w:eastAsia="仿宋_GB2312"/>
          <w:sz w:val="30"/>
          <w:szCs w:val="28"/>
        </w:rPr>
        <w:t>通知方（印章）：</w:t>
      </w:r>
    </w:p>
    <w:p w14:paraId="44AA1D80">
      <w:pPr>
        <w:spacing w:line="560" w:lineRule="exact"/>
        <w:rPr>
          <w:rFonts w:eastAsia="仿宋_GB2312"/>
          <w:sz w:val="30"/>
          <w:szCs w:val="28"/>
        </w:rPr>
      </w:pPr>
      <w:r>
        <w:rPr>
          <w:rFonts w:hint="eastAsia" w:eastAsia="仿宋_GB2312"/>
          <w:sz w:val="30"/>
          <w:szCs w:val="28"/>
        </w:rPr>
        <w:t>法定代表人（授权代理人）签字：</w:t>
      </w:r>
    </w:p>
    <w:p w14:paraId="78E38071">
      <w:pPr>
        <w:spacing w:line="560" w:lineRule="exact"/>
        <w:rPr>
          <w:rFonts w:eastAsia="仿宋_GB2312"/>
          <w:sz w:val="30"/>
          <w:szCs w:val="28"/>
        </w:rPr>
      </w:pPr>
      <w:r>
        <w:rPr>
          <w:rFonts w:eastAsia="仿宋_GB2312"/>
          <w:sz w:val="30"/>
          <w:szCs w:val="28"/>
        </w:rPr>
        <w:t>[      ]</w:t>
      </w:r>
      <w:r>
        <w:rPr>
          <w:rFonts w:hint="eastAsia" w:eastAsia="仿宋_GB2312"/>
          <w:sz w:val="30"/>
          <w:szCs w:val="28"/>
        </w:rPr>
        <w:t>结算通知日期：</w:t>
      </w:r>
    </w:p>
    <w:p w14:paraId="6286FCA0">
      <w:pPr>
        <w:spacing w:line="560" w:lineRule="exact"/>
        <w:rPr>
          <w:rFonts w:eastAsia="仿宋_GB2312"/>
          <w:sz w:val="30"/>
          <w:szCs w:val="28"/>
        </w:rPr>
      </w:pPr>
    </w:p>
    <w:p w14:paraId="5BD1DFB2">
      <w:pPr>
        <w:spacing w:line="560" w:lineRule="exact"/>
        <w:rPr>
          <w:rFonts w:eastAsia="仿宋_GB2312"/>
          <w:sz w:val="30"/>
          <w:szCs w:val="28"/>
        </w:rPr>
      </w:pPr>
    </w:p>
    <w:p w14:paraId="42F6B317">
      <w:pPr>
        <w:widowControl/>
        <w:spacing w:line="560" w:lineRule="exact"/>
        <w:rPr>
          <w:rFonts w:eastAsia="仿宋_GB2312"/>
          <w:sz w:val="30"/>
          <w:szCs w:val="28"/>
        </w:rPr>
      </w:pPr>
    </w:p>
    <w:p w14:paraId="748CDAA8">
      <w:pPr>
        <w:widowControl/>
        <w:spacing w:line="560" w:lineRule="exact"/>
        <w:rPr>
          <w:rFonts w:eastAsia="仿宋_GB2312"/>
          <w:sz w:val="30"/>
          <w:szCs w:val="28"/>
        </w:rPr>
      </w:pPr>
    </w:p>
    <w:p w14:paraId="0F07DDB3">
      <w:pPr>
        <w:widowControl/>
        <w:spacing w:line="560" w:lineRule="exact"/>
        <w:rPr>
          <w:rFonts w:eastAsia="仿宋_GB2312"/>
          <w:sz w:val="30"/>
          <w:szCs w:val="28"/>
        </w:rPr>
      </w:pPr>
    </w:p>
    <w:p w14:paraId="29F2B4EA">
      <w:pPr>
        <w:widowControl/>
        <w:spacing w:line="560" w:lineRule="exact"/>
        <w:rPr>
          <w:rFonts w:eastAsia="仿宋_GB2312"/>
          <w:sz w:val="30"/>
          <w:szCs w:val="28"/>
        </w:rPr>
      </w:pPr>
    </w:p>
    <w:p w14:paraId="78D0B459">
      <w:pPr>
        <w:widowControl/>
        <w:spacing w:line="560" w:lineRule="exact"/>
        <w:rPr>
          <w:rFonts w:eastAsia="仿宋_GB2312"/>
          <w:sz w:val="30"/>
          <w:szCs w:val="28"/>
        </w:rPr>
      </w:pPr>
    </w:p>
    <w:p w14:paraId="6CADE5FB">
      <w:pPr>
        <w:widowControl/>
        <w:spacing w:line="560" w:lineRule="exact"/>
        <w:rPr>
          <w:rFonts w:eastAsia="仿宋_GB2312"/>
          <w:sz w:val="30"/>
          <w:szCs w:val="28"/>
        </w:rPr>
      </w:pPr>
    </w:p>
    <w:p w14:paraId="44470A4D">
      <w:pPr>
        <w:widowControl/>
        <w:spacing w:line="560" w:lineRule="exact"/>
        <w:rPr>
          <w:rFonts w:eastAsia="仿宋_GB2312"/>
          <w:sz w:val="30"/>
          <w:szCs w:val="28"/>
        </w:rPr>
      </w:pPr>
    </w:p>
    <w:p w14:paraId="2862BE41">
      <w:pPr>
        <w:widowControl/>
        <w:spacing w:line="560" w:lineRule="exact"/>
        <w:rPr>
          <w:rFonts w:eastAsia="仿宋_GB2312"/>
          <w:sz w:val="30"/>
          <w:szCs w:val="28"/>
        </w:rPr>
      </w:pPr>
    </w:p>
    <w:p w14:paraId="02AFA07C">
      <w:pPr>
        <w:widowControl/>
        <w:spacing w:line="560" w:lineRule="exact"/>
        <w:rPr>
          <w:rFonts w:eastAsia="仿宋_GB2312"/>
          <w:sz w:val="30"/>
          <w:szCs w:val="28"/>
        </w:rPr>
      </w:pPr>
    </w:p>
    <w:p w14:paraId="705EC92A">
      <w:pPr>
        <w:widowControl/>
        <w:spacing w:line="560" w:lineRule="exact"/>
        <w:rPr>
          <w:rFonts w:eastAsia="仿宋_GB2312"/>
          <w:sz w:val="30"/>
          <w:szCs w:val="28"/>
        </w:rPr>
      </w:pPr>
    </w:p>
    <w:p w14:paraId="2B800D7F">
      <w:pPr>
        <w:widowControl/>
        <w:spacing w:line="560" w:lineRule="exact"/>
        <w:rPr>
          <w:rFonts w:eastAsia="仿宋_GB2312"/>
          <w:sz w:val="30"/>
          <w:szCs w:val="28"/>
        </w:rPr>
      </w:pPr>
    </w:p>
    <w:p w14:paraId="280040CA">
      <w:pPr>
        <w:widowControl/>
        <w:spacing w:line="560" w:lineRule="exact"/>
        <w:rPr>
          <w:rFonts w:eastAsia="仿宋_GB2312"/>
          <w:sz w:val="30"/>
          <w:szCs w:val="28"/>
        </w:rPr>
      </w:pPr>
    </w:p>
    <w:p w14:paraId="4035DD20">
      <w:pPr>
        <w:widowControl/>
        <w:jc w:val="left"/>
        <w:rPr>
          <w:rFonts w:eastAsia="仿宋_GB2312"/>
          <w:sz w:val="30"/>
          <w:szCs w:val="28"/>
        </w:rPr>
      </w:pPr>
      <w:r>
        <w:rPr>
          <w:rFonts w:eastAsia="仿宋_GB2312"/>
          <w:sz w:val="30"/>
          <w:szCs w:val="28"/>
        </w:rPr>
        <w:br w:type="page"/>
      </w:r>
    </w:p>
    <w:p w14:paraId="4EC04E63">
      <w:pPr>
        <w:spacing w:line="560" w:lineRule="exact"/>
        <w:rPr>
          <w:rFonts w:eastAsia="仿宋_GB2312"/>
          <w:b/>
          <w:sz w:val="30"/>
          <w:szCs w:val="28"/>
        </w:rPr>
      </w:pPr>
      <w:r>
        <w:rPr>
          <w:rFonts w:hint="eastAsia" w:eastAsia="仿宋_GB2312"/>
          <w:b/>
          <w:sz w:val="30"/>
          <w:szCs w:val="28"/>
        </w:rPr>
        <w:t>凭证版本：</w:t>
      </w:r>
    </w:p>
    <w:p w14:paraId="5E983DD8">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E7B5BFF">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4F6F880">
      <w:pPr>
        <w:spacing w:line="560" w:lineRule="exact"/>
        <w:rPr>
          <w:rFonts w:eastAsia="仿宋_GB2312"/>
          <w:sz w:val="30"/>
          <w:szCs w:val="28"/>
        </w:rPr>
      </w:pPr>
    </w:p>
    <w:p w14:paraId="18D019AC">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67A75828">
      <w:pPr>
        <w:spacing w:line="560" w:lineRule="exact"/>
        <w:rPr>
          <w:rFonts w:eastAsia="仿宋_GB2312"/>
          <w:sz w:val="30"/>
          <w:szCs w:val="28"/>
        </w:rPr>
      </w:pPr>
    </w:p>
    <w:p w14:paraId="3034D1F0">
      <w:pPr>
        <w:spacing w:line="560" w:lineRule="exact"/>
        <w:rPr>
          <w:rFonts w:eastAsia="仿宋_GB2312"/>
          <w:sz w:val="30"/>
          <w:szCs w:val="28"/>
        </w:rPr>
      </w:pPr>
      <w:r>
        <w:rPr>
          <w:rFonts w:hint="eastAsia" w:eastAsia="仿宋_GB2312"/>
          <w:sz w:val="30"/>
          <w:szCs w:val="28"/>
        </w:rPr>
        <w:t>本通知构成前述凭证所指的结算通知。除非本通知另有定义，该凭证创设说明书定义的术语在本通知中具有相同的含义。</w:t>
      </w:r>
    </w:p>
    <w:p w14:paraId="13EBD013">
      <w:pPr>
        <w:spacing w:line="560" w:lineRule="exact"/>
        <w:rPr>
          <w:rFonts w:eastAsia="仿宋_GB2312"/>
          <w:sz w:val="30"/>
          <w:szCs w:val="28"/>
        </w:rPr>
      </w:pPr>
    </w:p>
    <w:p w14:paraId="42282779">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6A18BFE0">
      <w:pPr>
        <w:spacing w:line="560" w:lineRule="exact"/>
        <w:rPr>
          <w:rFonts w:eastAsia="仿宋_GB2312"/>
          <w:sz w:val="30"/>
          <w:szCs w:val="28"/>
        </w:rPr>
      </w:pPr>
    </w:p>
    <w:p w14:paraId="074D0C69">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0D3700B1">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7C08F8CA">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0A44620D">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w:t>
      </w:r>
      <w:r>
        <w:rPr>
          <w:rFonts w:eastAsia="仿宋_GB2312"/>
          <w:sz w:val="30"/>
          <w:szCs w:val="28"/>
        </w:rPr>
        <w:tab/>
      </w:r>
      <w:r>
        <w:rPr>
          <w:rFonts w:eastAsia="仿宋_GB2312"/>
          <w:sz w:val="30"/>
          <w:szCs w:val="28"/>
        </w:rPr>
        <w:t xml:space="preserve">   ]</w:t>
      </w:r>
    </w:p>
    <w:p w14:paraId="09FFB290">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11F190C1">
      <w:pPr>
        <w:spacing w:line="560" w:lineRule="exact"/>
        <w:rPr>
          <w:rFonts w:eastAsia="仿宋_GB2312"/>
          <w:sz w:val="30"/>
          <w:szCs w:val="28"/>
        </w:rPr>
      </w:pPr>
    </w:p>
    <w:p w14:paraId="009399CF">
      <w:pPr>
        <w:spacing w:line="560" w:lineRule="exact"/>
        <w:rPr>
          <w:rFonts w:eastAsia="仿宋_GB2312"/>
          <w:sz w:val="30"/>
          <w:szCs w:val="28"/>
        </w:rPr>
      </w:pPr>
      <w:r>
        <w:rPr>
          <w:rFonts w:hint="eastAsia" w:eastAsia="仿宋_GB2312"/>
          <w:sz w:val="30"/>
          <w:szCs w:val="28"/>
        </w:rPr>
        <w:t>通知方（印章）：</w:t>
      </w:r>
    </w:p>
    <w:p w14:paraId="53AE32DC">
      <w:pPr>
        <w:spacing w:line="560" w:lineRule="exact"/>
        <w:rPr>
          <w:rFonts w:eastAsia="仿宋_GB2312"/>
          <w:sz w:val="30"/>
          <w:szCs w:val="28"/>
        </w:rPr>
      </w:pPr>
      <w:r>
        <w:rPr>
          <w:rFonts w:hint="eastAsia" w:eastAsia="仿宋_GB2312"/>
          <w:sz w:val="30"/>
          <w:szCs w:val="28"/>
        </w:rPr>
        <w:t>法定代表人（授权代理人）签字：</w:t>
      </w:r>
    </w:p>
    <w:p w14:paraId="2E4C7C8A">
      <w:pPr>
        <w:widowControl/>
        <w:jc w:val="left"/>
        <w:rPr>
          <w:rFonts w:eastAsia="仿宋_GB2312"/>
          <w:sz w:val="30"/>
          <w:szCs w:val="28"/>
        </w:rPr>
      </w:pPr>
      <w:r>
        <w:rPr>
          <w:rFonts w:eastAsia="仿宋_GB2312"/>
          <w:sz w:val="30"/>
          <w:szCs w:val="28"/>
        </w:rPr>
        <w:t>[      ]</w:t>
      </w:r>
      <w:r>
        <w:rPr>
          <w:rFonts w:hint="eastAsia" w:eastAsia="仿宋_GB2312"/>
          <w:sz w:val="30"/>
          <w:szCs w:val="28"/>
        </w:rPr>
        <w:t>结算通知日期：</w:t>
      </w:r>
      <w:bookmarkEnd w:id="3520"/>
    </w:p>
    <w:p w14:paraId="50E99C7A">
      <w:pPr>
        <w:widowControl/>
        <w:jc w:val="left"/>
        <w:rPr>
          <w:rFonts w:eastAsia="仿宋_GB2312"/>
          <w:sz w:val="30"/>
          <w:szCs w:val="28"/>
        </w:rPr>
      </w:pPr>
      <w:r>
        <w:rPr>
          <w:rFonts w:eastAsia="仿宋_GB2312"/>
          <w:sz w:val="30"/>
          <w:szCs w:val="28"/>
        </w:rPr>
        <w:br w:type="page"/>
      </w:r>
    </w:p>
    <w:p w14:paraId="6CC8049C">
      <w:pPr>
        <w:widowControl/>
        <w:jc w:val="left"/>
        <w:outlineLvl w:val="1"/>
        <w:rPr>
          <w:rFonts w:ascii="仿宋_GB2312" w:hAnsi="黑体" w:eastAsia="仿宋_GB2312"/>
          <w:b/>
          <w:sz w:val="30"/>
          <w:szCs w:val="30"/>
        </w:rPr>
      </w:pPr>
      <w:bookmarkStart w:id="3521" w:name="_Toc151137116"/>
      <w:bookmarkStart w:id="3522" w:name="_Toc108164112"/>
      <w:bookmarkStart w:id="3523" w:name="_Toc103332513"/>
      <w:r>
        <w:rPr>
          <w:rFonts w:hint="eastAsia" w:ascii="仿宋_GB2312" w:hAnsi="黑体" w:eastAsia="仿宋_GB2312"/>
          <w:b/>
          <w:sz w:val="30"/>
          <w:szCs w:val="30"/>
        </w:rPr>
        <w:t>附件33 上海证券交易所债券担保品处置平台功能简介</w:t>
      </w:r>
      <w:bookmarkEnd w:id="3521"/>
    </w:p>
    <w:p w14:paraId="20A6211A">
      <w:pPr>
        <w:spacing w:line="560" w:lineRule="exact"/>
        <w:jc w:val="center"/>
        <w:rPr>
          <w:rFonts w:ascii="黑体" w:hAnsi="黑体" w:eastAsia="黑体"/>
          <w:b/>
          <w:kern w:val="0"/>
          <w:sz w:val="44"/>
          <w:szCs w:val="44"/>
          <w:lang w:bidi="en-US"/>
        </w:rPr>
      </w:pPr>
    </w:p>
    <w:p w14:paraId="5B896803">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上海证券交易所债券担保品处置平台</w:t>
      </w:r>
    </w:p>
    <w:p w14:paraId="2CEB619D">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功能简介</w:t>
      </w:r>
    </w:p>
    <w:p w14:paraId="08F55DC9">
      <w:pPr>
        <w:spacing w:line="560" w:lineRule="exact"/>
        <w:ind w:firstLine="600" w:firstLineChars="200"/>
        <w:jc w:val="left"/>
        <w:rPr>
          <w:rFonts w:ascii="仿宋_GB2312" w:hAnsi="宋体" w:eastAsia="仿宋_GB2312"/>
          <w:sz w:val="30"/>
          <w:szCs w:val="30"/>
        </w:rPr>
      </w:pPr>
      <w:r>
        <w:rPr>
          <w:rFonts w:hint="eastAsia" w:ascii="仿宋_GB2312" w:eastAsia="仿宋_GB2312"/>
          <w:sz w:val="30"/>
          <w:szCs w:val="28"/>
        </w:rPr>
        <w:t>上海证券交易所债券担保品处置平台</w:t>
      </w:r>
      <w:r>
        <w:rPr>
          <w:rFonts w:hint="eastAsia" w:ascii="仿宋_GB2312" w:hAnsi="宋体" w:eastAsia="仿宋_GB2312"/>
          <w:sz w:val="30"/>
          <w:szCs w:val="30"/>
        </w:rPr>
        <w:t>，专门用于债券质押类融资业务违约后的</w:t>
      </w:r>
      <w:r>
        <w:rPr>
          <w:rFonts w:hint="eastAsia" w:ascii="仿宋_GB2312" w:eastAsia="仿宋_GB2312"/>
          <w:sz w:val="30"/>
          <w:szCs w:val="28"/>
        </w:rPr>
        <w:t>债券担保品快速处置</w:t>
      </w:r>
      <w:r>
        <w:rPr>
          <w:rFonts w:hint="eastAsia" w:ascii="仿宋_GB2312" w:hAnsi="宋体" w:eastAsia="仿宋_GB2312"/>
          <w:sz w:val="30"/>
          <w:szCs w:val="30"/>
        </w:rPr>
        <w:t>。处置平台功能健全、系统稳定，可为债券担保品处置提供有效的技术保障。</w:t>
      </w:r>
    </w:p>
    <w:p w14:paraId="0211E1F7">
      <w:pPr>
        <w:pStyle w:val="92"/>
        <w:ind w:left="159" w:leftChars="76" w:firstLine="600"/>
        <w:rPr>
          <w:rFonts w:ascii="黑体" w:hAnsi="黑体" w:eastAsia="黑体"/>
          <w:sz w:val="30"/>
          <w:szCs w:val="30"/>
          <w:lang w:eastAsia="zh-CN"/>
        </w:rPr>
      </w:pPr>
      <w:r>
        <w:rPr>
          <w:rFonts w:hint="eastAsia" w:ascii="黑体" w:hAnsi="黑体" w:eastAsia="黑体"/>
          <w:sz w:val="30"/>
          <w:szCs w:val="30"/>
          <w:lang w:eastAsia="zh-CN"/>
        </w:rPr>
        <w:t>一、处置平台功能要点</w:t>
      </w:r>
    </w:p>
    <w:p w14:paraId="661C465B">
      <w:pPr>
        <w:spacing w:line="600" w:lineRule="exact"/>
        <w:ind w:firstLine="600" w:firstLineChars="200"/>
        <w:rPr>
          <w:rFonts w:ascii="仿宋_GB2312" w:hAnsi="宋体" w:eastAsia="仿宋_GB2312"/>
          <w:b/>
          <w:sz w:val="30"/>
          <w:szCs w:val="30"/>
        </w:rPr>
      </w:pPr>
      <w:r>
        <w:rPr>
          <w:rFonts w:hint="eastAsia" w:ascii="仿宋_GB2312" w:hAnsi="宋体" w:eastAsia="仿宋_GB2312"/>
          <w:sz w:val="30"/>
          <w:szCs w:val="30"/>
        </w:rPr>
        <w:t xml:space="preserve"> </w:t>
      </w:r>
      <w:bookmarkStart w:id="3524" w:name="_Toc446191711"/>
      <w:bookmarkEnd w:id="3524"/>
      <w:bookmarkStart w:id="3525" w:name="_Toc446331224"/>
      <w:bookmarkEnd w:id="3525"/>
      <w:bookmarkStart w:id="3526" w:name="_Toc446332677"/>
      <w:bookmarkEnd w:id="3526"/>
      <w:r>
        <w:rPr>
          <w:rFonts w:hint="eastAsia" w:ascii="仿宋_GB2312" w:hAnsi="宋体" w:eastAsia="仿宋_GB2312"/>
          <w:b/>
          <w:sz w:val="30"/>
          <w:szCs w:val="30"/>
        </w:rPr>
        <w:t>（一）支持多种报价团模式</w:t>
      </w:r>
    </w:p>
    <w:p w14:paraId="195FE3D3">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处置平台对每次处置既支持全部的合格报价团参与报价，也支持指定报价团成员参与报价。</w:t>
      </w:r>
    </w:p>
    <w:p w14:paraId="26EBABE7">
      <w:pPr>
        <w:spacing w:line="600" w:lineRule="exact"/>
        <w:ind w:firstLine="753" w:firstLineChars="250"/>
        <w:rPr>
          <w:rFonts w:ascii="仿宋_GB2312" w:hAnsi="宋体" w:eastAsia="仿宋_GB2312"/>
          <w:b/>
          <w:sz w:val="30"/>
          <w:szCs w:val="30"/>
        </w:rPr>
      </w:pPr>
      <w:r>
        <w:rPr>
          <w:rFonts w:hint="eastAsia" w:ascii="仿宋_GB2312" w:hAnsi="宋体" w:eastAsia="仿宋_GB2312"/>
          <w:b/>
          <w:sz w:val="30"/>
          <w:szCs w:val="30"/>
        </w:rPr>
        <w:t>（二）支持多种处置模式</w:t>
      </w:r>
    </w:p>
    <w:p w14:paraId="0252CBB1">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支持单只债券分别进行处置，也支持将多只债券以资产包形式进行处置。单只债券处置时，采取荷兰式招标原则。资产包处置时，报价团成员对单个处置资产包报价，采取“价高者得”的中标原则，相同报价时，申报时间优先者得。</w:t>
      </w:r>
    </w:p>
    <w:p w14:paraId="6BF3FD10">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处置时，每个报价团成员限定只能投单一标位。</w:t>
      </w:r>
    </w:p>
    <w:p w14:paraId="2BEB0C4B">
      <w:pPr>
        <w:ind w:firstLine="781"/>
        <w:rPr>
          <w:rFonts w:ascii="仿宋_GB2312" w:hAnsi="宋体" w:eastAsia="仿宋_GB2312"/>
          <w:sz w:val="30"/>
          <w:szCs w:val="30"/>
        </w:rPr>
      </w:pPr>
      <w:r>
        <w:rPr>
          <w:rFonts w:hint="eastAsia" w:ascii="仿宋_GB2312" w:hAnsi="宋体" w:eastAsia="仿宋_GB2312"/>
          <w:b/>
          <w:sz w:val="30"/>
          <w:szCs w:val="30"/>
        </w:rPr>
        <w:t>（三）支持多期处置同时进行。</w:t>
      </w:r>
      <w:r>
        <w:rPr>
          <w:rFonts w:hint="eastAsia" w:ascii="仿宋_GB2312" w:eastAsia="仿宋_GB2312"/>
          <w:sz w:val="30"/>
          <w:szCs w:val="28"/>
        </w:rPr>
        <w:t>处置平台</w:t>
      </w:r>
      <w:r>
        <w:rPr>
          <w:rFonts w:hint="eastAsia" w:ascii="仿宋_GB2312" w:hAnsi="宋体" w:eastAsia="仿宋_GB2312"/>
          <w:sz w:val="30"/>
          <w:szCs w:val="30"/>
        </w:rPr>
        <w:t>在各处置场所配置终端，支持多期</w:t>
      </w:r>
      <w:r>
        <w:rPr>
          <w:rFonts w:hint="eastAsia" w:ascii="仿宋_GB2312" w:eastAsia="仿宋_GB2312"/>
          <w:sz w:val="30"/>
          <w:szCs w:val="28"/>
        </w:rPr>
        <w:t>债券担保品处置</w:t>
      </w:r>
      <w:r>
        <w:rPr>
          <w:rFonts w:hint="eastAsia" w:ascii="仿宋_GB2312" w:hAnsi="宋体" w:eastAsia="仿宋_GB2312"/>
          <w:sz w:val="30"/>
          <w:szCs w:val="30"/>
        </w:rPr>
        <w:t>同时进行处置。</w:t>
      </w:r>
    </w:p>
    <w:p w14:paraId="4A79479A">
      <w:pPr>
        <w:pStyle w:val="92"/>
        <w:ind w:left="159" w:leftChars="76" w:firstLine="602"/>
        <w:rPr>
          <w:rFonts w:ascii="仿宋_GB2312" w:hAnsi="宋体" w:eastAsia="仿宋_GB2312"/>
          <w:sz w:val="30"/>
          <w:szCs w:val="30"/>
          <w:lang w:eastAsia="zh-CN"/>
        </w:rPr>
      </w:pPr>
      <w:r>
        <w:rPr>
          <w:rFonts w:hint="eastAsia" w:ascii="仿宋_GB2312" w:hAnsi="宋体" w:eastAsia="仿宋_GB2312"/>
          <w:b/>
          <w:sz w:val="30"/>
          <w:szCs w:val="30"/>
          <w:lang w:eastAsia="zh-CN"/>
        </w:rPr>
        <w:t>（四）提供报价信息及其查询</w:t>
      </w:r>
      <w:r>
        <w:rPr>
          <w:rFonts w:hint="eastAsia" w:ascii="仿宋_GB2312" w:hAnsi="宋体" w:eastAsia="仿宋_GB2312"/>
          <w:sz w:val="30"/>
          <w:szCs w:val="30"/>
          <w:lang w:eastAsia="zh-CN"/>
        </w:rPr>
        <w:t>。处置前，</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发布当期处置的基本信息，包括处置方名称、处置担保品信息、处置模式、报价团模式等相关信息，供报价团成员使用。处置后，</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统计并提供当期处置的报价量、中标量等数据，供处置方和报价团成员查询、打印或导出。</w:t>
      </w:r>
    </w:p>
    <w:p w14:paraId="52FABF6B">
      <w:pPr>
        <w:ind w:firstLine="602" w:firstLineChars="200"/>
        <w:rPr>
          <w:rFonts w:ascii="仿宋_GB2312" w:hAnsi="仿宋" w:eastAsia="仿宋_GB2312"/>
          <w:b/>
          <w:sz w:val="30"/>
          <w:szCs w:val="30"/>
        </w:rPr>
      </w:pPr>
      <w:r>
        <w:rPr>
          <w:rFonts w:hint="eastAsia" w:ascii="仿宋_GB2312" w:hAnsi="仿宋" w:eastAsia="仿宋_GB2312"/>
          <w:b/>
          <w:sz w:val="30"/>
          <w:szCs w:val="30"/>
        </w:rPr>
        <w:t>（五）提供担保品处置相关数据报送。</w:t>
      </w:r>
      <w:r>
        <w:rPr>
          <w:rFonts w:hint="eastAsia" w:ascii="仿宋_GB2312" w:hAnsi="仿宋" w:eastAsia="仿宋_GB2312"/>
          <w:sz w:val="30"/>
          <w:szCs w:val="30"/>
        </w:rPr>
        <w:t>处置后，担保品处置平台向参与处置的报价团成员发送各自的处置中标结果。</w:t>
      </w:r>
    </w:p>
    <w:p w14:paraId="3F4C6F7F">
      <w:pPr>
        <w:ind w:firstLine="602" w:firstLineChars="200"/>
        <w:rPr>
          <w:rFonts w:ascii="仿宋_GB2312" w:hAnsi="宋体" w:eastAsia="仿宋_GB2312"/>
          <w:sz w:val="30"/>
          <w:szCs w:val="30"/>
        </w:rPr>
      </w:pPr>
      <w:r>
        <w:rPr>
          <w:rFonts w:hint="eastAsia" w:ascii="仿宋_GB2312" w:hAnsi="仿宋" w:eastAsia="仿宋_GB2312"/>
          <w:b/>
          <w:sz w:val="30"/>
          <w:szCs w:val="30"/>
        </w:rPr>
        <w:t>（六）</w:t>
      </w:r>
      <w:r>
        <w:rPr>
          <w:rFonts w:hint="eastAsia" w:ascii="仿宋_GB2312" w:hAnsi="宋体" w:eastAsia="仿宋_GB2312"/>
          <w:b/>
          <w:sz w:val="30"/>
          <w:szCs w:val="30"/>
        </w:rPr>
        <w:t>提供</w:t>
      </w:r>
      <w:r>
        <w:rPr>
          <w:rFonts w:hint="eastAsia" w:ascii="仿宋_GB2312" w:hAnsi="仿宋" w:eastAsia="仿宋_GB2312"/>
          <w:b/>
          <w:sz w:val="30"/>
          <w:szCs w:val="30"/>
        </w:rPr>
        <w:t>应急报价功能。</w:t>
      </w:r>
      <w:r>
        <w:rPr>
          <w:rFonts w:hint="eastAsia" w:ascii="仿宋_GB2312" w:hAnsi="宋体" w:eastAsia="仿宋_GB2312"/>
          <w:sz w:val="30"/>
          <w:szCs w:val="30"/>
        </w:rPr>
        <w:t>因技术故障等原因，报价团成员可用传真方式进行应急报价。</w:t>
      </w:r>
      <w:r>
        <w:rPr>
          <w:rFonts w:hint="eastAsia" w:ascii="仿宋_GB2312" w:eastAsia="仿宋_GB2312"/>
          <w:sz w:val="30"/>
          <w:szCs w:val="28"/>
        </w:rPr>
        <w:t>处置平台</w:t>
      </w:r>
      <w:r>
        <w:rPr>
          <w:rFonts w:hint="eastAsia" w:ascii="仿宋_GB2312" w:hAnsi="宋体" w:eastAsia="仿宋_GB2312"/>
          <w:sz w:val="30"/>
          <w:szCs w:val="30"/>
        </w:rPr>
        <w:t>提供应急报价的录入功能，由上交所技术支持人员应急录入。</w:t>
      </w:r>
    </w:p>
    <w:p w14:paraId="784244B7">
      <w:pPr>
        <w:spacing w:line="360" w:lineRule="auto"/>
        <w:ind w:firstLine="602" w:firstLineChars="200"/>
        <w:rPr>
          <w:rFonts w:ascii="仿宋_GB2312" w:hAnsi="仿宋" w:eastAsia="仿宋_GB2312"/>
          <w:b/>
          <w:sz w:val="30"/>
          <w:szCs w:val="30"/>
        </w:rPr>
      </w:pPr>
      <w:r>
        <w:rPr>
          <w:rFonts w:hint="eastAsia" w:ascii="仿宋_GB2312" w:hAnsi="宋体" w:eastAsia="仿宋_GB2312"/>
          <w:b/>
          <w:sz w:val="30"/>
          <w:szCs w:val="30"/>
        </w:rPr>
        <w:t>（七）实现处置情况即时全面</w:t>
      </w:r>
      <w:r>
        <w:rPr>
          <w:rFonts w:hint="eastAsia" w:ascii="仿宋_GB2312" w:hAnsi="仿宋" w:eastAsia="仿宋_GB2312"/>
          <w:b/>
          <w:sz w:val="30"/>
          <w:szCs w:val="30"/>
        </w:rPr>
        <w:t>展示。</w:t>
      </w:r>
      <w:r>
        <w:rPr>
          <w:rFonts w:hint="eastAsia" w:ascii="仿宋_GB2312" w:eastAsia="仿宋_GB2312"/>
          <w:sz w:val="30"/>
          <w:szCs w:val="28"/>
        </w:rPr>
        <w:t>处置平台</w:t>
      </w:r>
      <w:r>
        <w:rPr>
          <w:rFonts w:hint="eastAsia" w:ascii="仿宋_GB2312" w:hAnsi="仿宋" w:eastAsia="仿宋_GB2312"/>
          <w:sz w:val="30"/>
          <w:szCs w:val="30"/>
        </w:rPr>
        <w:t>即时、全面展示</w:t>
      </w:r>
      <w:r>
        <w:rPr>
          <w:rFonts w:hint="eastAsia" w:ascii="仿宋_GB2312" w:hAnsi="宋体" w:eastAsia="仿宋_GB2312"/>
          <w:sz w:val="30"/>
          <w:szCs w:val="30"/>
        </w:rPr>
        <w:t>每一报价团成员的报价数量、报价价格、报价时间等相关信息，供处置方掌握</w:t>
      </w:r>
      <w:r>
        <w:rPr>
          <w:rFonts w:hint="eastAsia" w:ascii="仿宋_GB2312" w:eastAsia="仿宋_GB2312"/>
          <w:sz w:val="30"/>
          <w:szCs w:val="28"/>
        </w:rPr>
        <w:t>担保品处置</w:t>
      </w:r>
      <w:r>
        <w:rPr>
          <w:rFonts w:hint="eastAsia" w:ascii="仿宋_GB2312" w:hAnsi="宋体" w:eastAsia="仿宋_GB2312"/>
          <w:sz w:val="30"/>
          <w:szCs w:val="30"/>
        </w:rPr>
        <w:t>进程和情况。</w:t>
      </w:r>
    </w:p>
    <w:p w14:paraId="3722ADF1">
      <w:pPr>
        <w:spacing w:line="360" w:lineRule="auto"/>
        <w:ind w:firstLine="602" w:firstLineChars="200"/>
        <w:rPr>
          <w:rFonts w:ascii="仿宋_GB2312" w:eastAsia="仿宋_GB2312"/>
          <w:sz w:val="30"/>
          <w:szCs w:val="28"/>
        </w:rPr>
      </w:pPr>
      <w:r>
        <w:rPr>
          <w:rFonts w:hint="eastAsia" w:ascii="黑体" w:eastAsia="黑体"/>
          <w:b/>
          <w:kern w:val="0"/>
          <w:sz w:val="30"/>
          <w:szCs w:val="30"/>
          <w:lang w:val="zh-CN"/>
        </w:rPr>
        <w:t>二、处置平台使用要点</w:t>
      </w:r>
    </w:p>
    <w:p w14:paraId="352AD3E5">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（一）登录方式。</w:t>
      </w:r>
      <w:r>
        <w:rPr>
          <w:rFonts w:hint="eastAsia" w:ascii="仿宋_GB2312" w:hAnsi="宋体" w:eastAsia="仿宋_GB2312"/>
          <w:sz w:val="30"/>
          <w:szCs w:val="30"/>
        </w:rPr>
        <w:t>报价团成员等用户使用上交所配发的CA证书，通过互联网远程登录处置平台，不需另外部署专门设备和专门线路。</w:t>
      </w:r>
    </w:p>
    <w:p w14:paraId="3CEBB1E1">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（二）用户使用。</w:t>
      </w:r>
      <w:r>
        <w:rPr>
          <w:rFonts w:hint="eastAsia" w:ascii="仿宋_GB2312" w:hAnsi="仿宋" w:eastAsia="仿宋_GB2312"/>
          <w:sz w:val="30"/>
          <w:szCs w:val="30"/>
        </w:rPr>
        <w:t>使用</w:t>
      </w:r>
      <w:r>
        <w:rPr>
          <w:rFonts w:hint="eastAsia" w:ascii="仿宋_GB2312" w:eastAsia="仿宋_GB2312"/>
          <w:sz w:val="30"/>
          <w:szCs w:val="28"/>
        </w:rPr>
        <w:t>处置平台</w:t>
      </w:r>
      <w:r>
        <w:rPr>
          <w:rFonts w:hint="eastAsia" w:ascii="仿宋_GB2312" w:hAnsi="宋体" w:eastAsia="仿宋_GB2312"/>
          <w:sz w:val="30"/>
          <w:szCs w:val="30"/>
        </w:rPr>
        <w:t>的用户包括处置方用户、报价团成员用户和交易所用户。</w:t>
      </w:r>
    </w:p>
    <w:p w14:paraId="62715DE7">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处置方用户。处置方在进行担保品处置前，在</w:t>
      </w:r>
      <w:r>
        <w:rPr>
          <w:rFonts w:hint="eastAsia" w:ascii="仿宋_GB2312" w:eastAsia="仿宋_GB2312"/>
          <w:sz w:val="30"/>
          <w:szCs w:val="28"/>
        </w:rPr>
        <w:t>担保品处置平台</w:t>
      </w:r>
      <w:r>
        <w:rPr>
          <w:rFonts w:hint="eastAsia" w:ascii="仿宋_GB2312" w:hAnsi="宋体" w:eastAsia="仿宋_GB2312"/>
          <w:sz w:val="30"/>
          <w:szCs w:val="30"/>
        </w:rPr>
        <w:t>确认上交所技术支持人员事先录入的</w:t>
      </w:r>
      <w:r>
        <w:rPr>
          <w:rFonts w:hint="eastAsia" w:ascii="仿宋_GB2312" w:eastAsia="仿宋_GB2312"/>
          <w:sz w:val="30"/>
          <w:szCs w:val="28"/>
        </w:rPr>
        <w:t>担保品处置</w:t>
      </w:r>
      <w:r>
        <w:rPr>
          <w:rFonts w:hint="eastAsia" w:ascii="仿宋_GB2312" w:hAnsi="宋体" w:eastAsia="仿宋_GB2312"/>
          <w:sz w:val="30"/>
          <w:szCs w:val="30"/>
        </w:rPr>
        <w:t>要素并通过系统发布；处置中通过上交所设立的处置场所，实时监测、掌握报价进程；处置后向中标报价团成员发布中标结果，查询投标和中标情况。</w:t>
      </w:r>
    </w:p>
    <w:p w14:paraId="474DE4EC">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2、报价团成员用户。报价团成员在处置中，使用</w:t>
      </w:r>
      <w:r>
        <w:rPr>
          <w:rFonts w:hint="eastAsia" w:ascii="仿宋_GB2312" w:eastAsia="仿宋_GB2312"/>
          <w:sz w:val="30"/>
          <w:szCs w:val="28"/>
        </w:rPr>
        <w:t>处置平台</w:t>
      </w:r>
      <w:r>
        <w:rPr>
          <w:rFonts w:hint="eastAsia" w:ascii="仿宋_GB2312" w:hAnsi="宋体" w:eastAsia="仿宋_GB2312"/>
          <w:sz w:val="30"/>
          <w:szCs w:val="30"/>
        </w:rPr>
        <w:t>报价；处置后通过</w:t>
      </w:r>
      <w:r>
        <w:rPr>
          <w:rFonts w:hint="eastAsia" w:ascii="仿宋_GB2312" w:eastAsia="仿宋_GB2312"/>
          <w:sz w:val="30"/>
          <w:szCs w:val="28"/>
        </w:rPr>
        <w:t>处置平台</w:t>
      </w:r>
      <w:r>
        <w:rPr>
          <w:rFonts w:hint="eastAsia" w:ascii="仿宋_GB2312" w:hAnsi="宋体" w:eastAsia="仿宋_GB2312"/>
          <w:sz w:val="30"/>
          <w:szCs w:val="30"/>
        </w:rPr>
        <w:t>查看中标结果，录入债券托管数据。报价团成员需具有中国证券登记结算有限责任公司或其他债券登记结算机构开立的债券账户。</w:t>
      </w:r>
    </w:p>
    <w:p w14:paraId="3FCB2A47">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3、交易所用户。上交所技术支持人员处置前在</w:t>
      </w:r>
      <w:r>
        <w:rPr>
          <w:rFonts w:hint="eastAsia" w:ascii="仿宋_GB2312" w:eastAsia="仿宋_GB2312"/>
          <w:sz w:val="30"/>
          <w:szCs w:val="28"/>
        </w:rPr>
        <w:t>处置平台</w:t>
      </w:r>
      <w:r>
        <w:rPr>
          <w:rFonts w:hint="eastAsia" w:ascii="仿宋_GB2312" w:hAnsi="宋体" w:eastAsia="仿宋_GB2312"/>
          <w:sz w:val="30"/>
          <w:szCs w:val="30"/>
        </w:rPr>
        <w:t>场务端录入处置要素；处置中和处置后根据应急报价的情况，录入相应数据等。缴款完成收到处置方的资金到账确认书后，将资金到账情况录入</w:t>
      </w:r>
      <w:r>
        <w:rPr>
          <w:rFonts w:hint="eastAsia" w:ascii="仿宋_GB2312" w:eastAsia="仿宋_GB2312"/>
          <w:sz w:val="30"/>
          <w:szCs w:val="28"/>
        </w:rPr>
        <w:t>处置平台。</w:t>
      </w:r>
    </w:p>
    <w:p w14:paraId="4297E3D4">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（三）主要操作流程。</w:t>
      </w:r>
      <w:r>
        <w:rPr>
          <w:rFonts w:hint="eastAsia" w:ascii="仿宋_GB2312" w:hAnsi="宋体" w:eastAsia="仿宋_GB2312"/>
          <w:sz w:val="30"/>
          <w:szCs w:val="30"/>
        </w:rPr>
        <w:t>在</w:t>
      </w:r>
      <w:r>
        <w:rPr>
          <w:rFonts w:hint="eastAsia" w:ascii="仿宋_GB2312" w:eastAsia="仿宋_GB2312"/>
          <w:sz w:val="30"/>
          <w:szCs w:val="28"/>
        </w:rPr>
        <w:t>处置平台</w:t>
      </w:r>
      <w:r>
        <w:rPr>
          <w:rFonts w:hint="eastAsia" w:ascii="仿宋_GB2312" w:hAnsi="宋体" w:eastAsia="仿宋_GB2312"/>
          <w:sz w:val="30"/>
          <w:szCs w:val="30"/>
        </w:rPr>
        <w:t>进行担保品处置的主要操作流程，包括处置准备、处置报价、处置结果产生及确认、资金到账确认等几个环节。</w:t>
      </w:r>
    </w:p>
    <w:p w14:paraId="1D835306">
      <w:pPr>
        <w:spacing w:line="360" w:lineRule="auto"/>
        <w:ind w:firstLine="567"/>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、担保品处置准备。担保品处置的报价团成员登录就绪，上交所技术支持人员在处置平台完成处置标书设定。处置标书要素录入后，处置方登录系统，通过“处置书发布”</w:t>
      </w:r>
      <w:r>
        <w:rPr>
          <w:rFonts w:ascii="仿宋_GB2312" w:hAnsi="宋体" w:eastAsia="仿宋_GB2312"/>
          <w:sz w:val="30"/>
          <w:szCs w:val="30"/>
        </w:rPr>
        <w:t>—</w:t>
      </w:r>
      <w:r>
        <w:rPr>
          <w:rFonts w:hint="eastAsia" w:ascii="仿宋_GB2312" w:hAnsi="宋体" w:eastAsia="仿宋_GB2312"/>
          <w:sz w:val="30"/>
          <w:szCs w:val="30"/>
        </w:rPr>
        <w:t>点击“发布”确认并发布处置标书（图1）。</w:t>
      </w:r>
    </w:p>
    <w:p w14:paraId="4DF0A1D9">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0288"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7" name="图片 5" descr="E:\A. 研究创新\2. 担保品处置平台\操作指南\处置方-发布处置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A. 研究创新\2. 担保品处置平台\操作指南\处置方-发布处置书.png"/>
                    <pic:cNvPicPr>
                      <a:picLocks noChangeAspect="1" noChangeArrowheads="1"/>
                    </pic:cNvPicPr>
                  </pic:nvPicPr>
                  <pic:blipFill>
                    <a:blip r:embed="rId13"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1）</w:t>
      </w:r>
    </w:p>
    <w:p w14:paraId="42471C8E">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1212850</wp:posOffset>
            </wp:positionV>
            <wp:extent cx="5277485" cy="3510915"/>
            <wp:effectExtent l="19050" t="0" r="0" b="0"/>
            <wp:wrapTopAndBottom/>
            <wp:docPr id="8" name="图片 6" descr="E:\A. 研究创新\2. 担保品处置平台\操作指南\报价方-查看报价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A. 研究创新\2. 担保品处置平台\操作指南\报价方-查看报价书.png"/>
                    <pic:cNvPicPr>
                      <a:picLocks noChangeAspect="1" noChangeArrowheads="1"/>
                    </pic:cNvPicPr>
                  </pic:nvPicPr>
                  <pic:blipFill>
                    <a:blip r:embed="rId14"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处置标书要素发布后将自动展示在报价团成员用户端的页面，报价团成员登录后可看到处置标书要素相关信息。状态为“处置中”的处置书可以进行查看或报价（图2）。</w:t>
      </w:r>
    </w:p>
    <w:p w14:paraId="141422B1">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2）</w:t>
      </w:r>
    </w:p>
    <w:p w14:paraId="4F867609">
      <w:pPr>
        <w:spacing w:line="360" w:lineRule="auto"/>
        <w:ind w:firstLine="567"/>
        <w:rPr>
          <w:rFonts w:ascii="仿宋_GB2312" w:hAnsi="宋体" w:eastAsia="仿宋_GB2312"/>
          <w:sz w:val="30"/>
          <w:szCs w:val="30"/>
        </w:rPr>
      </w:pPr>
      <w:r>
        <w:rPr>
          <w:rFonts w:ascii="仿宋_GB2312" w:hAnsi="宋体" w:eastAsia="仿宋_GB2312"/>
          <w:sz w:val="30"/>
          <w:szCs w:val="30"/>
        </w:rPr>
        <w:t>2、</w:t>
      </w:r>
      <w:r>
        <w:rPr>
          <w:rFonts w:hint="eastAsia" w:ascii="仿宋_GB2312" w:hAnsi="宋体" w:eastAsia="仿宋_GB2312"/>
          <w:sz w:val="30"/>
          <w:szCs w:val="30"/>
        </w:rPr>
        <w:t>处置报价</w:t>
      </w:r>
      <w:r>
        <w:rPr>
          <w:rFonts w:ascii="仿宋_GB2312" w:hAnsi="宋体" w:eastAsia="仿宋_GB2312"/>
          <w:sz w:val="30"/>
          <w:szCs w:val="30"/>
        </w:rPr>
        <w:t>。</w:t>
      </w:r>
      <w:r>
        <w:rPr>
          <w:rFonts w:hint="eastAsia" w:ascii="仿宋_GB2312" w:hAnsi="宋体" w:eastAsia="仿宋_GB2312"/>
          <w:sz w:val="30"/>
          <w:szCs w:val="30"/>
        </w:rPr>
        <w:t>报价团成员远程登录处置平台后，在报价团成员用户端录入报价信息，并可对录入的报价信息进行修改、删除、发送和查询，平台对报价信息进行有效性检查。</w:t>
      </w:r>
    </w:p>
    <w:p w14:paraId="7776EDA9">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报价价位应输入报价面值，且应在报价下限及报价上限范围内报价；报价数量应以“手”为单位输入；报价金额不需要手动输入，为系统自动计算所得，但报价金额应不低于单笔最低报价量。（图3）</w:t>
      </w:r>
      <w:r>
        <w:rPr>
          <w:rFonts w:ascii="仿宋_GB2312" w:hAnsi="宋体" w:eastAsia="仿宋_GB2312"/>
          <w:sz w:val="30"/>
          <w:szCs w:val="30"/>
        </w:rPr>
        <w:drawing>
          <wp:inline distT="0" distB="0" distL="0" distR="0">
            <wp:extent cx="5274310" cy="3512185"/>
            <wp:effectExtent l="19050" t="0" r="2540" b="0"/>
            <wp:docPr id="30" name="图片 2" descr="E:\A. 研究创新\2. 担保品处置平台\操作指南\报价方-输入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E:\A. 研究创新\2. 担保品处置平台\操作指南\报价方-输入报价.png"/>
                    <pic:cNvPicPr>
                      <a:picLocks noChangeAspect="1" noChangeArrowheads="1"/>
                    </pic:cNvPicPr>
                  </pic:nvPicPr>
                  <pic:blipFill>
                    <a:blip r:embed="rId15" cstate="print"/>
                    <a:srcRect/>
                    <a:stretch>
                      <a:fillRect/>
                    </a:stretch>
                  </pic:blipFill>
                  <pic:spPr>
                    <a:xfrm>
                      <a:off x="0" y="0"/>
                      <a:ext cx="5274310" cy="3512451"/>
                    </a:xfrm>
                    <a:prstGeom prst="rect">
                      <a:avLst/>
                    </a:prstGeom>
                    <a:noFill/>
                    <a:ln w="9525">
                      <a:noFill/>
                      <a:miter lim="800000"/>
                      <a:headEnd/>
                      <a:tailEnd/>
                    </a:ln>
                  </pic:spPr>
                </pic:pic>
              </a:graphicData>
            </a:graphic>
          </wp:inline>
        </w:drawing>
      </w:r>
    </w:p>
    <w:p w14:paraId="6D04B39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3）</w:t>
      </w:r>
    </w:p>
    <w:p w14:paraId="790DBD2A">
      <w:pPr>
        <w:spacing w:line="360" w:lineRule="auto"/>
        <w:ind w:firstLine="567"/>
        <w:rPr>
          <w:rFonts w:ascii="仿宋_GB2312" w:hAnsi="宋体" w:eastAsia="仿宋_GB2312"/>
          <w:sz w:val="30"/>
          <w:szCs w:val="30"/>
        </w:rPr>
      </w:pPr>
      <w:r>
        <w:rPr>
          <w:rFonts w:hint="eastAsia" w:ascii="仿宋_GB2312" w:hAnsi="宋体" w:eastAsia="仿宋_GB2312"/>
          <w:sz w:val="30"/>
          <w:szCs w:val="30"/>
        </w:rPr>
        <w:t>报价成功后，返回主页面，可以在处置截止时间之前修改或撤销报价。点击“修改报价”，将返回输入报价页面进行修改确认。点击“撤销报价”，将会弹出确认框，点击“确认”即可撤销报价。</w:t>
      </w:r>
    </w:p>
    <w:p w14:paraId="388EF884">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1312"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11" name="图片 9" descr="E:\A. 研究创新\2. 担保品处置平台\操作指南\报价方-撤销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A. 研究创新\2. 担保品处置平台\操作指南\报价方-撤销报价.png"/>
                    <pic:cNvPicPr>
                      <a:picLocks noChangeAspect="1" noChangeArrowheads="1"/>
                    </pic:cNvPicPr>
                  </pic:nvPicPr>
                  <pic:blipFill>
                    <a:blip r:embed="rId16"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4）</w:t>
      </w:r>
    </w:p>
    <w:p w14:paraId="3444DBE9">
      <w:pPr>
        <w:spacing w:line="360" w:lineRule="auto"/>
        <w:ind w:firstLine="567"/>
        <w:rPr>
          <w:rFonts w:ascii="仿宋_GB2312" w:hAnsi="宋体" w:eastAsia="仿宋_GB2312"/>
          <w:sz w:val="30"/>
          <w:szCs w:val="30"/>
        </w:rPr>
      </w:pPr>
      <w:r>
        <w:rPr>
          <w:rFonts w:hint="eastAsia" w:ascii="仿宋_GB2312" w:hAnsi="宋体" w:eastAsia="仿宋_GB2312"/>
          <w:sz w:val="30"/>
          <w:szCs w:val="30"/>
        </w:rPr>
        <w:t>应急报价的，报价方</w:t>
      </w:r>
      <w:r>
        <w:rPr>
          <w:rFonts w:hint="eastAsia" w:ascii="仿宋_GB2312" w:eastAsia="仿宋_GB2312"/>
          <w:sz w:val="30"/>
          <w:szCs w:val="30"/>
        </w:rPr>
        <w:t>应当在处置公告确定的报价截止时间前，完整、准确填写《债券担保品处置应急报价书》（格式见服务指引的附件6），并传真到处置场所进行应急报价并电话联系</w:t>
      </w:r>
      <w:r>
        <w:rPr>
          <w:rFonts w:hint="eastAsia" w:ascii="仿宋_GB2312" w:hAnsi="宋体" w:eastAsia="仿宋_GB2312"/>
          <w:sz w:val="30"/>
          <w:szCs w:val="30"/>
        </w:rPr>
        <w:t>上交所技术支持工作人员</w:t>
      </w:r>
      <w:r>
        <w:rPr>
          <w:rFonts w:hint="eastAsia" w:ascii="仿宋_GB2312" w:eastAsia="仿宋_GB2312"/>
          <w:sz w:val="30"/>
          <w:szCs w:val="30"/>
        </w:rPr>
        <w:t>。</w:t>
      </w:r>
      <w:r>
        <w:rPr>
          <w:rFonts w:hint="eastAsia" w:ascii="仿宋_GB2312" w:hAnsi="宋体" w:eastAsia="仿宋_GB2312"/>
          <w:sz w:val="30"/>
          <w:szCs w:val="30"/>
        </w:rPr>
        <w:t>由上交所技术支持工作人员将应急报价信息录入处置平台。</w:t>
      </w:r>
    </w:p>
    <w:p w14:paraId="7811BC91">
      <w:pPr>
        <w:spacing w:line="360" w:lineRule="auto"/>
        <w:ind w:firstLine="567"/>
        <w:rPr>
          <w:rFonts w:ascii="仿宋_GB2312" w:hAnsi="宋体" w:eastAsia="仿宋_GB2312"/>
          <w:b/>
          <w:sz w:val="30"/>
          <w:szCs w:val="30"/>
        </w:rPr>
      </w:pPr>
      <w:r>
        <w:rPr>
          <w:rFonts w:hint="eastAsia" w:ascii="仿宋_GB2312" w:hAnsi="宋体" w:eastAsia="仿宋_GB2312"/>
          <w:sz w:val="30"/>
          <w:szCs w:val="30"/>
        </w:rPr>
        <w:t>3、处置结果产生及确认。处置平台按事先确定的处置模式、中标原则，对有效报价进行汇总、排序和计算，产生处置结果。处置结果经确认后，通过处置平台向各报价团成员发送各自的中标结果。处置方和报价团成员可通过处置平台查询、打印或导出处置相关情况和结果数据。</w:t>
      </w:r>
    </w:p>
    <w:p w14:paraId="2C82D144">
      <w:pPr>
        <w:spacing w:line="360" w:lineRule="auto"/>
        <w:ind w:firstLine="567"/>
        <w:rPr>
          <w:rFonts w:ascii="仿宋_GB2312" w:hAnsi="宋体" w:eastAsia="仿宋_GB2312"/>
          <w:sz w:val="30"/>
          <w:szCs w:val="30"/>
        </w:rPr>
      </w:pPr>
      <w:r>
        <w:rPr>
          <w:rFonts w:hint="eastAsia" w:ascii="仿宋_GB2312" w:hAnsi="宋体" w:eastAsia="仿宋_GB2312"/>
          <w:sz w:val="30"/>
          <w:szCs w:val="30"/>
        </w:rPr>
        <w:t>在处置尚未截止之前，处置方可登陆系统，选择相应的处置书，实时查看报价情况、报价明细并进行中标试算（图5）。</w:t>
      </w:r>
      <w:r>
        <w:rPr>
          <w:rFonts w:ascii="仿宋_GB2312" w:hAnsi="宋体" w:eastAsia="仿宋_GB2312"/>
          <w:sz w:val="30"/>
          <w:szCs w:val="30"/>
        </w:rPr>
        <w:drawing>
          <wp:inline distT="0" distB="0" distL="0" distR="0">
            <wp:extent cx="5274310" cy="3508375"/>
            <wp:effectExtent l="19050" t="0" r="2540" b="0"/>
            <wp:docPr id="9" name="图片 10" descr="E:\A. 研究创新\2. 担保品处置平台\操作指南\处置方-实时查看报价情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E:\A. 研究创新\2. 担保品处置平台\操作指南\处置方-实时查看报价情况.png"/>
                    <pic:cNvPicPr>
                      <a:picLocks noChangeAspect="1" noChangeArrowheads="1"/>
                    </pic:cNvPicPr>
                  </pic:nvPicPr>
                  <pic:blipFill>
                    <a:blip r:embed="rId17" cstate="print"/>
                    <a:srcRect/>
                    <a:stretch>
                      <a:fillRect/>
                    </a:stretch>
                  </pic:blipFill>
                  <pic:spPr>
                    <a:xfrm>
                      <a:off x="0" y="0"/>
                      <a:ext cx="5274310" cy="3508783"/>
                    </a:xfrm>
                    <a:prstGeom prst="rect">
                      <a:avLst/>
                    </a:prstGeom>
                    <a:noFill/>
                    <a:ln w="9525">
                      <a:noFill/>
                      <a:miter lim="800000"/>
                      <a:headEnd/>
                      <a:tailEnd/>
                    </a:ln>
                  </pic:spPr>
                </pic:pic>
              </a:graphicData>
            </a:graphic>
          </wp:inline>
        </w:drawing>
      </w:r>
    </w:p>
    <w:p w14:paraId="0FAC9A1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5）</w:t>
      </w:r>
    </w:p>
    <w:p w14:paraId="4FFDF79D">
      <w:pPr>
        <w:spacing w:line="360" w:lineRule="auto"/>
        <w:ind w:firstLine="567"/>
        <w:rPr>
          <w:rFonts w:ascii="仿宋_GB2312" w:hAnsi="宋体" w:eastAsia="仿宋_GB2312"/>
          <w:sz w:val="30"/>
          <w:szCs w:val="30"/>
        </w:rPr>
      </w:pPr>
    </w:p>
    <w:p w14:paraId="13E1FA35">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2336" behindDoc="0" locked="0" layoutInCell="1" allowOverlap="1">
            <wp:simplePos x="0" y="0"/>
            <wp:positionH relativeFrom="column">
              <wp:posOffset>247650</wp:posOffset>
            </wp:positionH>
            <wp:positionV relativeFrom="paragraph">
              <wp:posOffset>420370</wp:posOffset>
            </wp:positionV>
            <wp:extent cx="5277485" cy="3510915"/>
            <wp:effectExtent l="19050" t="0" r="0" b="0"/>
            <wp:wrapTopAndBottom/>
            <wp:docPr id="13" name="图片 11" descr="E:\A. 研究创新\2. 担保品处置平台\操作指南\处置方-中标试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E:\A. 研究创新\2. 担保品处置平台\操作指南\处置方-中标试算.png"/>
                    <pic:cNvPicPr>
                      <a:picLocks noChangeAspect="1" noChangeArrowheads="1"/>
                    </pic:cNvPicPr>
                  </pic:nvPicPr>
                  <pic:blipFill>
                    <a:blip r:embed="rId18"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查看当前报价的中标试算结果（图6）：</w:t>
      </w:r>
    </w:p>
    <w:p w14:paraId="71F086F8">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6）</w:t>
      </w:r>
    </w:p>
    <w:p w14:paraId="4E78B074">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3360" behindDoc="0" locked="0" layoutInCell="1" allowOverlap="1">
            <wp:simplePos x="0" y="0"/>
            <wp:positionH relativeFrom="column">
              <wp:posOffset>247650</wp:posOffset>
            </wp:positionH>
            <wp:positionV relativeFrom="paragraph">
              <wp:posOffset>819150</wp:posOffset>
            </wp:positionV>
            <wp:extent cx="5277485" cy="3510915"/>
            <wp:effectExtent l="19050" t="0" r="0" b="0"/>
            <wp:wrapTopAndBottom/>
            <wp:docPr id="15" name="图片 13" descr="E:\A. 研究创新\2. 担保品处置平台\操作指南\处置方-处置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A. 研究创新\2. 担保品处置平台\操作指南\处置方-处置完成.png"/>
                    <pic:cNvPicPr>
                      <a:picLocks noChangeAspect="1" noChangeArrowheads="1"/>
                    </pic:cNvPicPr>
                  </pic:nvPicPr>
                  <pic:blipFill>
                    <a:blip r:embed="rId19"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处置截止时间到，处置方可登陆系统，选择相应的处置书，进行中标计算（图7）。</w:t>
      </w:r>
    </w:p>
    <w:p w14:paraId="706E7DE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7）</w:t>
      </w:r>
    </w:p>
    <w:p w14:paraId="4EE075D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中标计算结果显示如下，处置方可查看“报价明细”、“处置基本情况”、“中标明细”进行复核确认。（图8）</w:t>
      </w:r>
      <w:r>
        <w:rPr>
          <w:rFonts w:ascii="仿宋_GB2312" w:hAnsi="宋体" w:eastAsia="仿宋_GB2312"/>
          <w:sz w:val="30"/>
          <w:szCs w:val="30"/>
        </w:rPr>
        <w:drawing>
          <wp:inline distT="0" distB="0" distL="0" distR="0">
            <wp:extent cx="5274310" cy="3509645"/>
            <wp:effectExtent l="19050" t="0" r="2540" b="0"/>
            <wp:docPr id="14" name="图片 14" descr="C:\Users\sse\AppData\Local\Temp\1539332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se\AppData\Local\Temp\1539332151(1).png"/>
                    <pic:cNvPicPr>
                      <a:picLocks noChangeAspect="1" noChangeArrowheads="1"/>
                    </pic:cNvPicPr>
                  </pic:nvPicPr>
                  <pic:blipFill>
                    <a:blip r:embed="rId20"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0B82086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8）</w:t>
      </w:r>
    </w:p>
    <w:p w14:paraId="552C74AA">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处置方确认无误后点击“中标复核确认”即可发布向报价团发布处置结果。（图9）</w:t>
      </w:r>
      <w:r>
        <w:rPr>
          <w:rFonts w:ascii="仿宋_GB2312" w:hAnsi="宋体" w:eastAsia="仿宋_GB2312"/>
          <w:sz w:val="30"/>
          <w:szCs w:val="30"/>
        </w:rPr>
        <w:drawing>
          <wp:inline distT="0" distB="0" distL="0" distR="0">
            <wp:extent cx="5274310" cy="3509645"/>
            <wp:effectExtent l="19050" t="0" r="2540" b="0"/>
            <wp:docPr id="22" name="图片 15" descr="C:\Users\sse\AppData\Local\Temp\1539332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sse\AppData\Local\Temp\1539332575(1).png"/>
                    <pic:cNvPicPr>
                      <a:picLocks noChangeAspect="1" noChangeArrowheads="1"/>
                    </pic:cNvPicPr>
                  </pic:nvPicPr>
                  <pic:blipFill>
                    <a:blip r:embed="rId21"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425C29C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9）</w:t>
      </w:r>
    </w:p>
    <w:p w14:paraId="7712B96D">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发布中标结果后，点击“生成处置结果公告文件”或“生成处置报表文件”可自动生成公告文件。（图10）</w:t>
      </w:r>
      <w:r>
        <w:rPr>
          <w:rFonts w:ascii="仿宋_GB2312" w:hAnsi="宋体" w:eastAsia="仿宋_GB2312"/>
          <w:sz w:val="30"/>
          <w:szCs w:val="30"/>
        </w:rPr>
        <w:drawing>
          <wp:inline distT="0" distB="0" distL="0" distR="0">
            <wp:extent cx="5274310" cy="3509645"/>
            <wp:effectExtent l="19050" t="0" r="2540" b="0"/>
            <wp:docPr id="23" name="图片 16" descr="C:\Users\sse\AppData\Local\Temp\1539332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C:\Users\sse\AppData\Local\Temp\1539332624(1).png"/>
                    <pic:cNvPicPr>
                      <a:picLocks noChangeAspect="1" noChangeArrowheads="1"/>
                    </pic:cNvPicPr>
                  </pic:nvPicPr>
                  <pic:blipFill>
                    <a:blip r:embed="rId22"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62E10FF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10）</w:t>
      </w:r>
    </w:p>
    <w:p w14:paraId="09DEF982">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公告文件将由上交所上传。上传完成后，报价方即可在登录系统后的公告栏查看并下载公告。（图11）</w:t>
      </w:r>
      <w:r>
        <w:rPr>
          <w:rFonts w:ascii="仿宋_GB2312" w:hAnsi="宋体" w:eastAsia="仿宋_GB2312"/>
          <w:sz w:val="30"/>
          <w:szCs w:val="30"/>
        </w:rPr>
        <w:drawing>
          <wp:inline distT="0" distB="0" distL="0" distR="0">
            <wp:extent cx="5274310" cy="3509645"/>
            <wp:effectExtent l="19050" t="0" r="2540" b="0"/>
            <wp:docPr id="24" name="图片 17" descr="E:\A. 研究创新\2. 担保品处置平台\操作指南\报价方-查看公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E:\A. 研究创新\2. 担保品处置平台\操作指南\报价方-查看公告.png"/>
                    <pic:cNvPicPr>
                      <a:picLocks noChangeAspect="1" noChangeArrowheads="1"/>
                    </pic:cNvPicPr>
                  </pic:nvPicPr>
                  <pic:blipFill>
                    <a:blip r:embed="rId23"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50CC6FAB">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11）</w:t>
      </w:r>
    </w:p>
    <w:p w14:paraId="1DDB77A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4、托管。报价方可以在处置完成当日17:00前对处置所得债券进行托管。（图12）</w:t>
      </w:r>
      <w:r>
        <w:rPr>
          <w:rFonts w:ascii="仿宋_GB2312" w:hAnsi="宋体" w:eastAsia="仿宋_GB2312"/>
          <w:sz w:val="30"/>
          <w:szCs w:val="30"/>
        </w:rPr>
        <w:drawing>
          <wp:inline distT="0" distB="0" distL="0" distR="0">
            <wp:extent cx="5274310" cy="3509645"/>
            <wp:effectExtent l="19050" t="0" r="2540" b="0"/>
            <wp:docPr id="25" name="图片 18" descr="C:\Users\sse\AppData\Local\Temp\1539333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sse\AppData\Local\Temp\1539333767(1).png"/>
                    <pic:cNvPicPr>
                      <a:picLocks noChangeAspect="1" noChangeArrowheads="1"/>
                    </pic:cNvPicPr>
                  </pic:nvPicPr>
                  <pic:blipFill>
                    <a:blip r:embed="rId24"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334F5D4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12）</w:t>
      </w:r>
    </w:p>
    <w:p w14:paraId="17DC7CB0">
      <w:pPr>
        <w:pStyle w:val="92"/>
        <w:spacing w:line="560" w:lineRule="exact"/>
        <w:ind w:left="0" w:firstLine="600" w:firstLineChars="200"/>
        <w:jc w:val="both"/>
        <w:rPr>
          <w:rFonts w:ascii="仿宋_GB2312" w:hAnsi="宋体" w:eastAsia="仿宋_GB2312"/>
          <w:kern w:val="2"/>
          <w:sz w:val="30"/>
          <w:szCs w:val="30"/>
          <w:lang w:eastAsia="zh-CN" w:bidi="ar-SA"/>
        </w:rPr>
      </w:pPr>
      <w:r>
        <w:rPr>
          <w:rFonts w:hint="eastAsia" w:ascii="仿宋_GB2312" w:hAnsi="宋体" w:eastAsia="仿宋_GB2312"/>
          <w:kern w:val="2"/>
          <w:sz w:val="30"/>
          <w:szCs w:val="30"/>
          <w:lang w:eastAsia="zh-CN" w:bidi="ar-SA"/>
        </w:rPr>
        <w:t>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0E586F8C">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托管可以添加新证券账户，若主账户（即第一个证券账户）中不进行债券托管，托管数量可以填“0”。若在上述时间内未进行托管设置，则默认为将全部中标债券托管在主账户。（图13）</w:t>
      </w:r>
      <w:r>
        <w:rPr>
          <w:rFonts w:ascii="仿宋_GB2312" w:hAnsi="宋体" w:eastAsia="仿宋_GB2312"/>
          <w:sz w:val="30"/>
          <w:szCs w:val="30"/>
        </w:rPr>
        <w:drawing>
          <wp:inline distT="0" distB="0" distL="0" distR="0">
            <wp:extent cx="5274310" cy="3509645"/>
            <wp:effectExtent l="19050" t="0" r="2540" b="0"/>
            <wp:docPr id="26" name="图片 19" descr="E:\A. 研究创新\2. 担保品处置平台\操作指南\报价方-托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E:\A. 研究创新\2. 担保品处置平台\操作指南\报价方-托管.png"/>
                    <pic:cNvPicPr>
                      <a:picLocks noChangeAspect="1" noChangeArrowheads="1"/>
                    </pic:cNvPicPr>
                  </pic:nvPicPr>
                  <pic:blipFill>
                    <a:blip r:embed="rId25"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12E1C057">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13）</w:t>
      </w:r>
    </w:p>
    <w:p w14:paraId="69BD12C6">
      <w:pPr>
        <w:widowControl/>
        <w:ind w:firstLine="600" w:firstLineChars="200"/>
        <w:jc w:val="left"/>
        <w:rPr>
          <w:rFonts w:ascii="仿宋_GB2312" w:hAnsi="仿宋" w:eastAsia="仿宋_GB2312"/>
          <w:b/>
          <w:bCs/>
          <w:sz w:val="30"/>
          <w:szCs w:val="30"/>
        </w:rPr>
      </w:pPr>
      <w:r>
        <w:rPr>
          <w:rFonts w:hint="eastAsia" w:ascii="仿宋_GB2312" w:hAnsi="宋体" w:eastAsia="仿宋_GB2312"/>
          <w:sz w:val="30"/>
          <w:szCs w:val="30"/>
        </w:rPr>
        <w:t>5</w:t>
      </w:r>
      <w:r>
        <w:rPr>
          <w:rFonts w:ascii="仿宋_GB2312" w:hAnsi="宋体" w:eastAsia="仿宋_GB2312"/>
          <w:sz w:val="30"/>
          <w:szCs w:val="30"/>
        </w:rPr>
        <w:t>、</w:t>
      </w:r>
      <w:r>
        <w:rPr>
          <w:rFonts w:hint="eastAsia" w:ascii="仿宋_GB2312" w:hAnsi="宋体" w:eastAsia="仿宋_GB2312"/>
          <w:sz w:val="30"/>
          <w:szCs w:val="30"/>
        </w:rPr>
        <w:t>过户数据的发送。缴款完成，上交所技术支持人员在收到处置方的资金到账确认书后，将资金到账情况录入处置平台。处置平台当日向债券登记结算机构发送过户数据。</w:t>
      </w:r>
    </w:p>
    <w:p w14:paraId="58F15A96">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022F2FE">
      <w:pPr>
        <w:widowControl/>
        <w:jc w:val="left"/>
        <w:outlineLvl w:val="1"/>
        <w:rPr>
          <w:rFonts w:ascii="仿宋_GB2312" w:hAnsi="黑体" w:eastAsia="仿宋_GB2312"/>
          <w:b/>
          <w:sz w:val="30"/>
          <w:szCs w:val="30"/>
        </w:rPr>
      </w:pPr>
      <w:bookmarkStart w:id="3527" w:name="_Toc151137117"/>
      <w:r>
        <w:rPr>
          <w:rFonts w:hint="eastAsia" w:ascii="仿宋_GB2312" w:hAnsi="黑体" w:eastAsia="仿宋_GB2312"/>
          <w:b/>
          <w:sz w:val="30"/>
          <w:szCs w:val="30"/>
        </w:rPr>
        <w:t>附件34 债券担保品处置平台用户数字证书办理流程</w:t>
      </w:r>
      <w:bookmarkEnd w:id="3527"/>
    </w:p>
    <w:p w14:paraId="72310EFB">
      <w:pPr>
        <w:widowControl/>
        <w:jc w:val="left"/>
        <w:rPr>
          <w:rFonts w:ascii="仿宋_GB2312" w:hAnsi="仿宋" w:eastAsia="仿宋_GB2312"/>
          <w:b/>
          <w:bCs/>
          <w:sz w:val="30"/>
          <w:szCs w:val="30"/>
        </w:rPr>
      </w:pPr>
    </w:p>
    <w:p w14:paraId="4CAF0FC5">
      <w:pPr>
        <w:spacing w:line="560" w:lineRule="exact"/>
        <w:jc w:val="center"/>
        <w:rPr>
          <w:rFonts w:ascii="黑体" w:hAnsi="黑体" w:eastAsia="黑体"/>
          <w:b/>
          <w:sz w:val="44"/>
          <w:szCs w:val="44"/>
        </w:rPr>
      </w:pPr>
      <w:r>
        <w:rPr>
          <w:rFonts w:hint="eastAsia" w:ascii="黑体" w:hAnsi="黑体" w:eastAsia="黑体"/>
          <w:b/>
          <w:sz w:val="44"/>
          <w:szCs w:val="44"/>
        </w:rPr>
        <w:t>上海证券交易所债券担保品处置平台</w:t>
      </w:r>
    </w:p>
    <w:p w14:paraId="6A7347D6">
      <w:pPr>
        <w:spacing w:line="560" w:lineRule="exact"/>
        <w:jc w:val="center"/>
        <w:rPr>
          <w:rFonts w:ascii="黑体" w:hAnsi="黑体" w:eastAsia="黑体"/>
          <w:b/>
          <w:sz w:val="44"/>
          <w:szCs w:val="44"/>
        </w:rPr>
      </w:pPr>
      <w:r>
        <w:rPr>
          <w:rFonts w:hint="eastAsia" w:ascii="黑体" w:hAnsi="黑体" w:eastAsia="黑体"/>
          <w:b/>
          <w:sz w:val="44"/>
          <w:szCs w:val="44"/>
        </w:rPr>
        <w:t>用户数字证书办理流程</w:t>
      </w:r>
    </w:p>
    <w:p w14:paraId="04D6BB3A">
      <w:pPr>
        <w:widowControl/>
        <w:spacing w:line="560" w:lineRule="exact"/>
        <w:ind w:firstLine="602" w:firstLineChars="200"/>
        <w:rPr>
          <w:rFonts w:ascii="仿宋_GB2312" w:eastAsia="仿宋_GB2312"/>
          <w:b/>
          <w:sz w:val="30"/>
          <w:szCs w:val="30"/>
        </w:rPr>
      </w:pPr>
    </w:p>
    <w:p w14:paraId="2C1ED8B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一、准备申请材料</w:t>
      </w:r>
    </w:p>
    <w:p w14:paraId="77166432">
      <w:pPr>
        <w:widowControl/>
        <w:spacing w:line="560" w:lineRule="exact"/>
        <w:ind w:firstLine="600" w:firstLineChars="200"/>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、报价团成员（以下简称“申请人”）打印填写《</w:t>
      </w:r>
      <w:r>
        <w:rPr>
          <w:rFonts w:ascii="仿宋_GB2312" w:eastAsia="仿宋_GB2312"/>
          <w:sz w:val="30"/>
          <w:szCs w:val="30"/>
        </w:rPr>
        <w:t>CnSCA</w:t>
      </w:r>
      <w:r>
        <w:rPr>
          <w:rFonts w:hint="eastAsia" w:ascii="仿宋_GB2312" w:eastAsia="仿宋_GB2312"/>
          <w:sz w:val="30"/>
          <w:szCs w:val="30"/>
        </w:rPr>
        <w:t>数字证书机构申请表》（附件）。各申请人须按要求填写，建议首次申请时申请</w:t>
      </w:r>
      <w:r>
        <w:rPr>
          <w:rFonts w:ascii="仿宋_GB2312" w:eastAsia="仿宋_GB2312"/>
          <w:sz w:val="30"/>
          <w:szCs w:val="30"/>
        </w:rPr>
        <w:t>2</w:t>
      </w:r>
      <w:r>
        <w:rPr>
          <w:rFonts w:hint="eastAsia" w:ascii="仿宋_GB2312" w:eastAsia="仿宋_GB2312"/>
          <w:sz w:val="30"/>
          <w:szCs w:val="30"/>
        </w:rPr>
        <w:t>个证书。</w:t>
      </w:r>
    </w:p>
    <w:p w14:paraId="56F46BD2">
      <w:pPr>
        <w:widowControl/>
        <w:spacing w:line="560" w:lineRule="exact"/>
        <w:ind w:firstLine="600" w:firstLineChars="200"/>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、申请人从上海证券交易所网站“</w:t>
      </w:r>
      <w:r>
        <w:rPr>
          <w:rFonts w:ascii="仿宋_GB2312" w:eastAsia="仿宋_GB2312"/>
          <w:sz w:val="30"/>
          <w:szCs w:val="30"/>
        </w:rPr>
        <w:t>CA</w:t>
      </w:r>
      <w:r>
        <w:rPr>
          <w:rFonts w:hint="eastAsia" w:ascii="仿宋_GB2312" w:eastAsia="仿宋_GB2312"/>
          <w:sz w:val="30"/>
          <w:szCs w:val="30"/>
        </w:rPr>
        <w:t>服务专区”（网址：</w:t>
      </w:r>
      <w:r>
        <w:rPr>
          <w:rFonts w:ascii="仿宋_GB2312" w:eastAsia="仿宋_GB2312"/>
          <w:sz w:val="30"/>
          <w:szCs w:val="30"/>
        </w:rPr>
        <w:t>http:</w:t>
      </w:r>
      <w:r>
        <w:rPr>
          <w:rFonts w:hint="eastAsia" w:ascii="仿宋_GB2312" w:eastAsia="仿宋_GB2312"/>
          <w:sz w:val="30"/>
          <w:szCs w:val="30"/>
        </w:rPr>
        <w:t>//www.sse.com.cn/home/biz/cnsca/）“数字证书申请责任书”栏下载打印《</w:t>
      </w:r>
      <w:r>
        <w:rPr>
          <w:rFonts w:ascii="仿宋_GB2312" w:eastAsia="仿宋_GB2312"/>
          <w:sz w:val="30"/>
          <w:szCs w:val="30"/>
        </w:rPr>
        <w:t>CnSCA</w:t>
      </w:r>
      <w:r>
        <w:rPr>
          <w:rFonts w:hint="eastAsia" w:ascii="仿宋_GB2312" w:eastAsia="仿宋_GB2312"/>
          <w:sz w:val="30"/>
          <w:szCs w:val="30"/>
        </w:rPr>
        <w:t>数字证书用户责任书》并盖公章。</w:t>
      </w:r>
    </w:p>
    <w:p w14:paraId="044CC224">
      <w:pPr>
        <w:widowControl/>
        <w:spacing w:line="560" w:lineRule="exact"/>
        <w:ind w:firstLine="600" w:firstLineChars="200"/>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加盖公章的组织机构代码证或企业法人营业执照、经办人身份证件复印件各一份。（如曾提交过加盖公章的组织机构代码证或企业法人营业执照且证照信息无变更，则仅需要提供加盖公章的经办人身份证件复印件即可。）</w:t>
      </w:r>
    </w:p>
    <w:p w14:paraId="2DA87C63">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二、提交申请材料</w:t>
      </w:r>
    </w:p>
    <w:p w14:paraId="2DAA3C05">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申请人将上述申请材料送交上海证券交易所债券业务部，也可以特快专递的方式寄至债券业务部。</w:t>
      </w:r>
    </w:p>
    <w:p w14:paraId="2B13F9C2">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邮寄地址：上海市浦东新区杨高南路388号上海证券交易所债券业务部。</w:t>
      </w:r>
    </w:p>
    <w:p w14:paraId="7618AE3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邮政编码：</w:t>
      </w:r>
      <w:r>
        <w:rPr>
          <w:rFonts w:ascii="仿宋_GB2312" w:eastAsia="仿宋_GB2312"/>
          <w:sz w:val="30"/>
          <w:szCs w:val="30"/>
        </w:rPr>
        <w:t>2001</w:t>
      </w:r>
      <w:r>
        <w:rPr>
          <w:rFonts w:hint="eastAsia" w:ascii="仿宋_GB2312" w:eastAsia="仿宋_GB2312"/>
          <w:sz w:val="30"/>
          <w:szCs w:val="30"/>
        </w:rPr>
        <w:t>35。</w:t>
      </w:r>
    </w:p>
    <w:p w14:paraId="1AD3FA5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联系人：</w:t>
      </w:r>
      <w:r>
        <w:rPr>
          <w:rFonts w:hint="eastAsia" w:ascii="仿宋_GB2312" w:eastAsia="仿宋_GB2312"/>
          <w:sz w:val="28"/>
          <w:szCs w:val="28"/>
        </w:rPr>
        <w:t>邱兆东</w:t>
      </w:r>
      <w:r>
        <w:rPr>
          <w:rFonts w:ascii="仿宋_GB2312" w:eastAsia="仿宋_GB2312"/>
          <w:sz w:val="30"/>
          <w:szCs w:val="30"/>
        </w:rPr>
        <w:t xml:space="preserve">   </w:t>
      </w:r>
      <w:r>
        <w:rPr>
          <w:rFonts w:hint="eastAsia" w:ascii="仿宋_GB2312" w:eastAsia="仿宋_GB2312"/>
          <w:sz w:val="30"/>
          <w:szCs w:val="30"/>
        </w:rPr>
        <w:t xml:space="preserve">   联系电话：</w:t>
      </w:r>
      <w:r>
        <w:rPr>
          <w:rFonts w:ascii="仿宋_GB2312" w:eastAsia="仿宋_GB2312"/>
          <w:sz w:val="30"/>
          <w:szCs w:val="30"/>
        </w:rPr>
        <w:t>021-</w:t>
      </w:r>
      <w:r>
        <w:rPr>
          <w:rFonts w:hint="eastAsia" w:ascii="仿宋_GB2312" w:eastAsia="仿宋_GB2312"/>
          <w:sz w:val="30"/>
          <w:szCs w:val="30"/>
        </w:rPr>
        <w:t>68601985</w:t>
      </w:r>
    </w:p>
    <w:p w14:paraId="644A168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三、数字证书制作和配发</w:t>
      </w:r>
    </w:p>
    <w:p w14:paraId="410A2293">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上海证券交易所制作和开通数字证书后，将数字证书送交、邮寄给申请人。</w:t>
      </w:r>
    </w:p>
    <w:p w14:paraId="676B08C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申请人申请数字证书，2个以内免收费用，超过2个的由交易所依据相关规定进行收费。</w:t>
      </w:r>
    </w:p>
    <w:p w14:paraId="035BE26E">
      <w:pPr>
        <w:widowControl/>
        <w:spacing w:line="560" w:lineRule="exact"/>
        <w:ind w:firstLine="600" w:firstLineChars="200"/>
        <w:rPr>
          <w:rFonts w:ascii="仿宋_GB2312" w:eastAsia="仿宋_GB2312"/>
          <w:sz w:val="30"/>
          <w:szCs w:val="30"/>
        </w:rPr>
      </w:pPr>
    </w:p>
    <w:p w14:paraId="34C052AC">
      <w:pPr>
        <w:widowControl/>
        <w:spacing w:line="560" w:lineRule="exact"/>
        <w:ind w:firstLine="600" w:firstLineChars="200"/>
        <w:rPr>
          <w:rFonts w:ascii="仿宋_GB2312" w:eastAsia="仿宋_GB2312"/>
          <w:sz w:val="30"/>
          <w:szCs w:val="30"/>
        </w:rPr>
      </w:pPr>
    </w:p>
    <w:p w14:paraId="2548D341">
      <w:pPr>
        <w:widowControl/>
        <w:spacing w:line="560" w:lineRule="exact"/>
        <w:ind w:firstLine="600" w:firstLineChars="200"/>
        <w:rPr>
          <w:rFonts w:ascii="仿宋_GB2312" w:eastAsia="仿宋_GB2312"/>
          <w:sz w:val="30"/>
          <w:szCs w:val="30"/>
        </w:rPr>
      </w:pPr>
    </w:p>
    <w:p w14:paraId="223B1985">
      <w:pPr>
        <w:widowControl/>
        <w:spacing w:line="560" w:lineRule="exact"/>
        <w:ind w:firstLine="600" w:firstLineChars="200"/>
        <w:rPr>
          <w:rFonts w:ascii="仿宋_GB2312" w:eastAsia="仿宋_GB2312"/>
          <w:sz w:val="30"/>
          <w:szCs w:val="30"/>
        </w:rPr>
        <w:sectPr>
          <w:footerReference r:id="rId8" w:type="default"/>
          <w:footerReference r:id="rId9" w:type="even"/>
          <w:pgSz w:w="11906" w:h="16838"/>
          <w:pgMar w:top="1440" w:right="1800" w:bottom="1440" w:left="1800" w:header="851" w:footer="992" w:gutter="0"/>
          <w:cols w:space="425" w:num="1"/>
          <w:docGrid w:type="lines" w:linePitch="312" w:charSpace="0"/>
        </w:sectPr>
      </w:pPr>
      <w:r>
        <w:rPr>
          <w:rFonts w:hint="eastAsia" w:ascii="仿宋_GB2312" w:eastAsia="仿宋_GB2312"/>
          <w:sz w:val="30"/>
          <w:szCs w:val="30"/>
        </w:rPr>
        <w:t>附件：CnSCA数字证书机构申请表</w:t>
      </w:r>
    </w:p>
    <w:p w14:paraId="74FB81DF">
      <w:pPr>
        <w:jc w:val="center"/>
        <w:rPr>
          <w:rFonts w:ascii="华文楷体" w:hAnsi="华文楷体" w:eastAsia="华文楷体" w:cstheme="minorBidi"/>
          <w:b/>
          <w:sz w:val="36"/>
          <w:szCs w:val="36"/>
        </w:rPr>
      </w:pPr>
      <w:r>
        <w:rPr>
          <w:rFonts w:hint="eastAsia" w:ascii="华文楷体" w:hAnsi="华文楷体" w:eastAsia="华文楷体" w:cstheme="minorBidi"/>
          <w:b/>
          <w:sz w:val="36"/>
          <w:szCs w:val="36"/>
        </w:rPr>
        <w:t>CnSCA数字证书机构申请表</w:t>
      </w:r>
    </w:p>
    <w:p w14:paraId="39E9FB28">
      <w:pPr>
        <w:jc w:val="center"/>
        <w:rPr>
          <w:rFonts w:ascii="黑体" w:eastAsia="黑体"/>
          <w:color w:val="000000"/>
          <w:sz w:val="24"/>
        </w:rPr>
      </w:pPr>
      <w:r>
        <w:rPr>
          <w:rFonts w:hint="eastAsia" w:ascii="黑体" w:eastAsia="黑体"/>
          <w:color w:val="000000"/>
        </w:rPr>
        <w:t>（适用于机构, 请填写后打印，签名并加盖单位公章，</w:t>
      </w:r>
      <w:bookmarkStart w:id="3528" w:name="OLE_LINK9"/>
      <w:bookmarkStart w:id="3529" w:name="OLE_LINK3"/>
      <w:bookmarkStart w:id="3530" w:name="OLE_LINK7"/>
      <w:bookmarkStart w:id="3531" w:name="OLE_LINK4"/>
      <w:bookmarkStart w:id="3532" w:name="OLE_LINK8"/>
      <w:bookmarkStart w:id="3533" w:name="OLE_LINK5"/>
      <w:bookmarkStart w:id="3534" w:name="OLE_LINK6"/>
      <w:r>
        <w:rPr>
          <w:rFonts w:hint="eastAsia" w:ascii="黑体" w:eastAsia="黑体"/>
          <w:color w:val="000000"/>
        </w:rPr>
        <w:t>V1.</w:t>
      </w:r>
      <w:bookmarkEnd w:id="3528"/>
      <w:bookmarkEnd w:id="3529"/>
      <w:bookmarkEnd w:id="3530"/>
      <w:bookmarkEnd w:id="3531"/>
      <w:bookmarkEnd w:id="3532"/>
      <w:bookmarkEnd w:id="3533"/>
      <w:bookmarkEnd w:id="3534"/>
      <w:r>
        <w:rPr>
          <w:rFonts w:ascii="黑体" w:eastAsia="黑体"/>
          <w:color w:val="000000"/>
        </w:rPr>
        <w:t>5</w:t>
      </w:r>
      <w:r>
        <w:rPr>
          <w:rFonts w:hint="eastAsia" w:ascii="黑体" w:eastAsia="黑体"/>
          <w:color w:val="000000"/>
          <w:sz w:val="24"/>
        </w:rPr>
        <w:t>）</w:t>
      </w:r>
    </w:p>
    <w:tbl>
      <w:tblPr>
        <w:tblStyle w:val="43"/>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577"/>
        <w:gridCol w:w="989"/>
        <w:gridCol w:w="715"/>
        <w:gridCol w:w="280"/>
        <w:gridCol w:w="1700"/>
        <w:gridCol w:w="996"/>
        <w:gridCol w:w="1560"/>
        <w:gridCol w:w="141"/>
        <w:gridCol w:w="1060"/>
        <w:gridCol w:w="812"/>
      </w:tblGrid>
      <w:tr w14:paraId="265F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413" w:type="dxa"/>
            <w:vMerge w:val="restart"/>
            <w:shd w:val="clear" w:color="auto" w:fill="auto"/>
            <w:vAlign w:val="center"/>
          </w:tcPr>
          <w:p w14:paraId="6290BDF5">
            <w:pPr>
              <w:jc w:val="center"/>
              <w:rPr>
                <w:rFonts w:ascii="宋体" w:hAnsi="宋体"/>
                <w:b/>
                <w:color w:val="000000"/>
              </w:rPr>
            </w:pPr>
            <w:r>
              <w:rPr>
                <w:rFonts w:hint="eastAsia" w:ascii="宋体" w:hAnsi="宋体"/>
                <w:b/>
                <w:color w:val="000000"/>
              </w:rPr>
              <w:t>申</w:t>
            </w:r>
          </w:p>
          <w:p w14:paraId="7EDCA974">
            <w:pPr>
              <w:jc w:val="center"/>
              <w:rPr>
                <w:rFonts w:ascii="宋体" w:hAnsi="宋体"/>
                <w:b/>
                <w:color w:val="000000"/>
              </w:rPr>
            </w:pPr>
          </w:p>
          <w:p w14:paraId="2F573AA8">
            <w:pPr>
              <w:jc w:val="center"/>
              <w:rPr>
                <w:rFonts w:ascii="宋体" w:hAnsi="宋体"/>
                <w:b/>
                <w:color w:val="000000"/>
              </w:rPr>
            </w:pPr>
            <w:r>
              <w:rPr>
                <w:rFonts w:hint="eastAsia" w:ascii="宋体" w:hAnsi="宋体"/>
                <w:b/>
                <w:color w:val="000000"/>
              </w:rPr>
              <w:t>请</w:t>
            </w:r>
          </w:p>
          <w:p w14:paraId="7170D0A5">
            <w:pPr>
              <w:jc w:val="center"/>
              <w:rPr>
                <w:rFonts w:ascii="宋体" w:hAnsi="宋体"/>
                <w:b/>
                <w:color w:val="000000"/>
              </w:rPr>
            </w:pPr>
          </w:p>
          <w:p w14:paraId="6EDCC9DB">
            <w:pPr>
              <w:jc w:val="center"/>
              <w:rPr>
                <w:rFonts w:ascii="宋体" w:hAnsi="宋体"/>
                <w:b/>
                <w:color w:val="000000"/>
              </w:rPr>
            </w:pPr>
            <w:r>
              <w:rPr>
                <w:rFonts w:hint="eastAsia" w:ascii="宋体" w:hAnsi="宋体"/>
                <w:b/>
                <w:color w:val="000000"/>
              </w:rPr>
              <w:t>单</w:t>
            </w:r>
          </w:p>
          <w:p w14:paraId="67D14FAF">
            <w:pPr>
              <w:jc w:val="center"/>
              <w:rPr>
                <w:rFonts w:ascii="宋体" w:hAnsi="宋体"/>
                <w:b/>
                <w:color w:val="000000"/>
              </w:rPr>
            </w:pPr>
          </w:p>
          <w:p w14:paraId="6370931C">
            <w:pPr>
              <w:jc w:val="center"/>
              <w:rPr>
                <w:rFonts w:ascii="宋体" w:hAnsi="宋体"/>
                <w:b/>
                <w:color w:val="000000"/>
              </w:rPr>
            </w:pPr>
            <w:r>
              <w:rPr>
                <w:rFonts w:hint="eastAsia" w:ascii="宋体" w:hAnsi="宋体"/>
                <w:b/>
                <w:color w:val="000000"/>
              </w:rPr>
              <w:t>位</w:t>
            </w:r>
          </w:p>
          <w:p w14:paraId="67590BF4">
            <w:pPr>
              <w:jc w:val="center"/>
              <w:rPr>
                <w:rFonts w:ascii="宋体" w:hAnsi="宋体"/>
                <w:b/>
                <w:color w:val="000000"/>
              </w:rPr>
            </w:pPr>
          </w:p>
          <w:p w14:paraId="7031FB12">
            <w:pPr>
              <w:jc w:val="center"/>
              <w:rPr>
                <w:rFonts w:ascii="宋体" w:hAnsi="宋体"/>
                <w:b/>
                <w:color w:val="000000"/>
              </w:rPr>
            </w:pPr>
            <w:r>
              <w:rPr>
                <w:rFonts w:hint="eastAsia" w:ascii="宋体" w:hAnsi="宋体"/>
                <w:b/>
                <w:color w:val="000000"/>
              </w:rPr>
              <w:t>填</w:t>
            </w:r>
          </w:p>
          <w:p w14:paraId="398147B8">
            <w:pPr>
              <w:jc w:val="center"/>
              <w:rPr>
                <w:rFonts w:ascii="宋体" w:hAnsi="宋体"/>
                <w:b/>
                <w:color w:val="000000"/>
              </w:rPr>
            </w:pPr>
          </w:p>
          <w:p w14:paraId="23F69428">
            <w:pPr>
              <w:jc w:val="center"/>
              <w:rPr>
                <w:rFonts w:ascii="宋体" w:hAnsi="宋体"/>
                <w:b/>
                <w:color w:val="000000"/>
              </w:rPr>
            </w:pPr>
            <w:r>
              <w:rPr>
                <w:rFonts w:hint="eastAsia" w:ascii="宋体" w:hAnsi="宋体"/>
                <w:b/>
                <w:color w:val="000000"/>
              </w:rPr>
              <w:t>写</w:t>
            </w:r>
          </w:p>
        </w:tc>
        <w:tc>
          <w:tcPr>
            <w:tcW w:w="2561" w:type="dxa"/>
            <w:gridSpan w:val="4"/>
            <w:shd w:val="clear" w:color="auto" w:fill="auto"/>
            <w:vAlign w:val="center"/>
          </w:tcPr>
          <w:p w14:paraId="2E52CE49">
            <w:pPr>
              <w:jc w:val="center"/>
              <w:rPr>
                <w:rFonts w:ascii="宋体" w:hAnsi="宋体"/>
                <w:b/>
                <w:color w:val="000000"/>
              </w:rPr>
            </w:pPr>
            <w:r>
              <w:rPr>
                <w:rFonts w:hint="eastAsia" w:ascii="宋体" w:hAnsi="宋体"/>
                <w:b/>
                <w:color w:val="000000"/>
              </w:rPr>
              <w:t>申请类型</w:t>
            </w:r>
          </w:p>
        </w:tc>
        <w:tc>
          <w:tcPr>
            <w:tcW w:w="6269" w:type="dxa"/>
            <w:gridSpan w:val="6"/>
            <w:shd w:val="clear" w:color="auto" w:fill="auto"/>
            <w:vAlign w:val="center"/>
          </w:tcPr>
          <w:p w14:paraId="5AEEB731">
            <w:pPr>
              <w:rPr>
                <w:rFonts w:ascii="宋体" w:hAnsi="宋体"/>
                <w:b/>
                <w:color w:val="000000"/>
              </w:rPr>
            </w:pPr>
            <w:r>
              <w:rPr>
                <w:rFonts w:ascii="宋体" w:hAnsi="宋体"/>
                <w:b/>
              </w:rPr>
              <w:t>□</w:t>
            </w:r>
            <w:r>
              <w:rPr>
                <w:rFonts w:hint="eastAsia" w:ascii="宋体" w:hAnsi="宋体"/>
                <w:b/>
                <w:color w:val="000000"/>
              </w:rPr>
              <w:t>新增</w:t>
            </w:r>
            <w:r>
              <w:rPr>
                <w:rFonts w:hint="eastAsia" w:ascii="宋体" w:hAnsi="宋体"/>
                <w:b/>
                <w:color w:val="000000"/>
                <w:u w:val="single"/>
              </w:rPr>
              <w:t xml:space="preserve">     </w:t>
            </w:r>
            <w:r>
              <w:rPr>
                <w:rFonts w:hint="eastAsia" w:ascii="宋体" w:hAnsi="宋体"/>
                <w:b/>
                <w:color w:val="000000"/>
              </w:rPr>
              <w:t xml:space="preserve">（个） </w:t>
            </w:r>
          </w:p>
        </w:tc>
      </w:tr>
      <w:tr w14:paraId="34B7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413" w:type="dxa"/>
            <w:vMerge w:val="continue"/>
            <w:shd w:val="clear" w:color="auto" w:fill="auto"/>
            <w:vAlign w:val="center"/>
          </w:tcPr>
          <w:p w14:paraId="695E825E">
            <w:pPr>
              <w:jc w:val="center"/>
              <w:rPr>
                <w:rFonts w:ascii="宋体" w:hAnsi="宋体"/>
                <w:b/>
                <w:color w:val="000000"/>
              </w:rPr>
            </w:pPr>
          </w:p>
        </w:tc>
        <w:tc>
          <w:tcPr>
            <w:tcW w:w="577" w:type="dxa"/>
            <w:vMerge w:val="restart"/>
            <w:shd w:val="clear" w:color="auto" w:fill="auto"/>
            <w:vAlign w:val="center"/>
          </w:tcPr>
          <w:p w14:paraId="6F3E5B0F">
            <w:pPr>
              <w:jc w:val="center"/>
              <w:rPr>
                <w:rFonts w:ascii="宋体" w:hAnsi="宋体"/>
                <w:b/>
                <w:color w:val="000000"/>
              </w:rPr>
            </w:pPr>
            <w:r>
              <w:rPr>
                <w:rFonts w:hint="eastAsia" w:ascii="宋体" w:hAnsi="宋体"/>
                <w:b/>
                <w:color w:val="000000"/>
              </w:rPr>
              <w:t>机构申请信息</w:t>
            </w:r>
          </w:p>
        </w:tc>
        <w:tc>
          <w:tcPr>
            <w:tcW w:w="1984" w:type="dxa"/>
            <w:gridSpan w:val="3"/>
            <w:shd w:val="clear" w:color="auto" w:fill="auto"/>
            <w:vAlign w:val="center"/>
          </w:tcPr>
          <w:p w14:paraId="39100E11">
            <w:pPr>
              <w:jc w:val="left"/>
              <w:rPr>
                <w:rFonts w:ascii="宋体" w:hAnsi="宋体"/>
                <w:b/>
                <w:color w:val="000000"/>
              </w:rPr>
            </w:pPr>
            <w:r>
              <w:rPr>
                <w:rFonts w:hint="eastAsia" w:ascii="宋体" w:hAnsi="宋体"/>
                <w:b/>
                <w:color w:val="000000"/>
              </w:rPr>
              <w:t>机构名称</w:t>
            </w:r>
          </w:p>
        </w:tc>
        <w:tc>
          <w:tcPr>
            <w:tcW w:w="6269" w:type="dxa"/>
            <w:gridSpan w:val="6"/>
            <w:shd w:val="clear" w:color="auto" w:fill="auto"/>
            <w:vAlign w:val="center"/>
          </w:tcPr>
          <w:p w14:paraId="60527C83">
            <w:pPr>
              <w:rPr>
                <w:rFonts w:ascii="宋体" w:hAnsi="宋体"/>
                <w:b/>
                <w:color w:val="000000"/>
              </w:rPr>
            </w:pPr>
          </w:p>
        </w:tc>
      </w:tr>
      <w:tr w14:paraId="54BE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trPr>
        <w:tc>
          <w:tcPr>
            <w:tcW w:w="413" w:type="dxa"/>
            <w:vMerge w:val="continue"/>
            <w:shd w:val="clear" w:color="auto" w:fill="auto"/>
            <w:vAlign w:val="center"/>
          </w:tcPr>
          <w:p w14:paraId="14AB0FE6">
            <w:pPr>
              <w:jc w:val="center"/>
              <w:rPr>
                <w:rFonts w:ascii="宋体" w:hAnsi="宋体"/>
                <w:b/>
                <w:color w:val="000000"/>
              </w:rPr>
            </w:pPr>
          </w:p>
        </w:tc>
        <w:tc>
          <w:tcPr>
            <w:tcW w:w="577" w:type="dxa"/>
            <w:vMerge w:val="continue"/>
            <w:shd w:val="clear" w:color="auto" w:fill="auto"/>
            <w:vAlign w:val="center"/>
          </w:tcPr>
          <w:p w14:paraId="3F4899BA">
            <w:pPr>
              <w:jc w:val="center"/>
              <w:rPr>
                <w:rFonts w:ascii="宋体" w:hAnsi="宋体"/>
                <w:b/>
                <w:color w:val="000000"/>
              </w:rPr>
            </w:pPr>
          </w:p>
        </w:tc>
        <w:tc>
          <w:tcPr>
            <w:tcW w:w="1984" w:type="dxa"/>
            <w:gridSpan w:val="3"/>
            <w:shd w:val="clear" w:color="auto" w:fill="auto"/>
            <w:vAlign w:val="center"/>
          </w:tcPr>
          <w:p w14:paraId="4B0265D8">
            <w:pPr>
              <w:jc w:val="left"/>
              <w:rPr>
                <w:rFonts w:ascii="宋体" w:hAnsi="宋体"/>
                <w:b/>
                <w:color w:val="000000"/>
              </w:rPr>
            </w:pPr>
            <w:r>
              <w:rPr>
                <w:rFonts w:hint="eastAsia" w:ascii="宋体" w:hAnsi="宋体"/>
                <w:b/>
                <w:color w:val="000000"/>
              </w:rPr>
              <w:t>邮政地址</w:t>
            </w:r>
          </w:p>
        </w:tc>
        <w:tc>
          <w:tcPr>
            <w:tcW w:w="4256" w:type="dxa"/>
            <w:gridSpan w:val="3"/>
            <w:shd w:val="clear" w:color="auto" w:fill="auto"/>
            <w:vAlign w:val="center"/>
          </w:tcPr>
          <w:p w14:paraId="2EDC9178">
            <w:pPr>
              <w:rPr>
                <w:rFonts w:ascii="宋体" w:hAnsi="宋体"/>
                <w:b/>
                <w:color w:val="000000"/>
              </w:rPr>
            </w:pPr>
          </w:p>
        </w:tc>
        <w:tc>
          <w:tcPr>
            <w:tcW w:w="1201" w:type="dxa"/>
            <w:gridSpan w:val="2"/>
            <w:shd w:val="clear" w:color="auto" w:fill="auto"/>
            <w:vAlign w:val="center"/>
          </w:tcPr>
          <w:p w14:paraId="07ADCED4">
            <w:pPr>
              <w:rPr>
                <w:rFonts w:ascii="宋体" w:hAnsi="宋体"/>
                <w:b/>
                <w:color w:val="000000"/>
              </w:rPr>
            </w:pPr>
            <w:r>
              <w:rPr>
                <w:rFonts w:hint="eastAsia" w:ascii="宋体" w:hAnsi="宋体"/>
                <w:b/>
                <w:color w:val="000000"/>
              </w:rPr>
              <w:t>邮政编码</w:t>
            </w:r>
          </w:p>
        </w:tc>
        <w:tc>
          <w:tcPr>
            <w:tcW w:w="812" w:type="dxa"/>
            <w:shd w:val="clear" w:color="auto" w:fill="auto"/>
            <w:vAlign w:val="center"/>
          </w:tcPr>
          <w:p w14:paraId="3BAA3E9F">
            <w:pPr>
              <w:rPr>
                <w:rFonts w:ascii="宋体" w:hAnsi="宋体"/>
                <w:b/>
                <w:color w:val="000000"/>
              </w:rPr>
            </w:pPr>
          </w:p>
        </w:tc>
      </w:tr>
      <w:tr w14:paraId="748B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trPr>
        <w:tc>
          <w:tcPr>
            <w:tcW w:w="413" w:type="dxa"/>
            <w:vMerge w:val="continue"/>
            <w:shd w:val="clear" w:color="auto" w:fill="auto"/>
            <w:vAlign w:val="center"/>
          </w:tcPr>
          <w:p w14:paraId="4F3EA928">
            <w:pPr>
              <w:jc w:val="center"/>
              <w:rPr>
                <w:rFonts w:ascii="宋体" w:hAnsi="宋体"/>
                <w:b/>
                <w:color w:val="000000"/>
              </w:rPr>
            </w:pPr>
          </w:p>
        </w:tc>
        <w:tc>
          <w:tcPr>
            <w:tcW w:w="577" w:type="dxa"/>
            <w:vMerge w:val="continue"/>
            <w:shd w:val="clear" w:color="auto" w:fill="auto"/>
            <w:vAlign w:val="center"/>
          </w:tcPr>
          <w:p w14:paraId="2052394E">
            <w:pPr>
              <w:jc w:val="center"/>
              <w:rPr>
                <w:rFonts w:ascii="宋体" w:hAnsi="宋体"/>
                <w:b/>
                <w:color w:val="000000"/>
              </w:rPr>
            </w:pPr>
          </w:p>
        </w:tc>
        <w:tc>
          <w:tcPr>
            <w:tcW w:w="1984" w:type="dxa"/>
            <w:gridSpan w:val="3"/>
            <w:shd w:val="clear" w:color="auto" w:fill="auto"/>
            <w:vAlign w:val="center"/>
          </w:tcPr>
          <w:p w14:paraId="06B24621">
            <w:pPr>
              <w:jc w:val="left"/>
              <w:rPr>
                <w:rFonts w:ascii="宋体" w:hAnsi="宋体"/>
                <w:b/>
                <w:color w:val="000000"/>
              </w:rPr>
            </w:pPr>
            <w:r>
              <w:rPr>
                <w:rFonts w:hint="eastAsia" w:ascii="宋体" w:hAnsi="宋体"/>
                <w:b/>
                <w:color w:val="000000"/>
              </w:rPr>
              <w:t>机构联系电话</w:t>
            </w:r>
          </w:p>
        </w:tc>
        <w:tc>
          <w:tcPr>
            <w:tcW w:w="4256" w:type="dxa"/>
            <w:gridSpan w:val="3"/>
            <w:shd w:val="clear" w:color="auto" w:fill="auto"/>
            <w:vAlign w:val="center"/>
          </w:tcPr>
          <w:p w14:paraId="1EC4546D">
            <w:pPr>
              <w:rPr>
                <w:rFonts w:ascii="宋体" w:hAnsi="宋体"/>
                <w:b/>
                <w:color w:val="000000"/>
              </w:rPr>
            </w:pPr>
          </w:p>
        </w:tc>
        <w:tc>
          <w:tcPr>
            <w:tcW w:w="1201" w:type="dxa"/>
            <w:gridSpan w:val="2"/>
            <w:shd w:val="clear" w:color="auto" w:fill="auto"/>
            <w:vAlign w:val="center"/>
          </w:tcPr>
          <w:p w14:paraId="4E2CEA98">
            <w:pPr>
              <w:rPr>
                <w:rFonts w:ascii="宋体" w:hAnsi="宋体"/>
                <w:b/>
                <w:color w:val="000000"/>
              </w:rPr>
            </w:pPr>
            <w:r>
              <w:rPr>
                <w:rFonts w:hint="eastAsia" w:ascii="宋体" w:hAnsi="宋体"/>
                <w:b/>
                <w:color w:val="000000"/>
              </w:rPr>
              <w:t>联系人</w:t>
            </w:r>
          </w:p>
        </w:tc>
        <w:tc>
          <w:tcPr>
            <w:tcW w:w="812" w:type="dxa"/>
            <w:shd w:val="clear" w:color="auto" w:fill="auto"/>
            <w:vAlign w:val="center"/>
          </w:tcPr>
          <w:p w14:paraId="6CE577F8">
            <w:pPr>
              <w:rPr>
                <w:rFonts w:ascii="宋体" w:hAnsi="宋体"/>
                <w:b/>
                <w:color w:val="000000"/>
              </w:rPr>
            </w:pPr>
          </w:p>
        </w:tc>
      </w:tr>
      <w:tr w14:paraId="3754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3" w:type="dxa"/>
            <w:vMerge w:val="continue"/>
            <w:shd w:val="clear" w:color="auto" w:fill="auto"/>
            <w:vAlign w:val="center"/>
          </w:tcPr>
          <w:p w14:paraId="598CBD83">
            <w:pPr>
              <w:jc w:val="center"/>
              <w:rPr>
                <w:rFonts w:ascii="宋体" w:hAnsi="宋体"/>
                <w:b/>
                <w:color w:val="000000"/>
              </w:rPr>
            </w:pPr>
          </w:p>
        </w:tc>
        <w:tc>
          <w:tcPr>
            <w:tcW w:w="577" w:type="dxa"/>
            <w:vMerge w:val="continue"/>
            <w:shd w:val="clear" w:color="auto" w:fill="auto"/>
            <w:vAlign w:val="center"/>
          </w:tcPr>
          <w:p w14:paraId="4F364D17">
            <w:pPr>
              <w:jc w:val="center"/>
              <w:rPr>
                <w:rFonts w:ascii="宋体" w:hAnsi="宋体"/>
                <w:b/>
                <w:color w:val="000000"/>
              </w:rPr>
            </w:pPr>
          </w:p>
        </w:tc>
        <w:tc>
          <w:tcPr>
            <w:tcW w:w="1984" w:type="dxa"/>
            <w:gridSpan w:val="3"/>
            <w:shd w:val="clear" w:color="auto" w:fill="auto"/>
            <w:vAlign w:val="center"/>
          </w:tcPr>
          <w:p w14:paraId="627C7DB8">
            <w:pPr>
              <w:jc w:val="left"/>
              <w:rPr>
                <w:rFonts w:ascii="宋体" w:hAnsi="宋体"/>
                <w:b/>
                <w:color w:val="000000"/>
              </w:rPr>
            </w:pPr>
            <w:r>
              <w:rPr>
                <w:rFonts w:hint="eastAsia" w:ascii="宋体" w:hAnsi="宋体"/>
                <w:b/>
                <w:color w:val="000000"/>
              </w:rPr>
              <w:t>法定代表人</w:t>
            </w:r>
          </w:p>
        </w:tc>
        <w:tc>
          <w:tcPr>
            <w:tcW w:w="1700" w:type="dxa"/>
            <w:tcBorders>
              <w:bottom w:val="single" w:color="auto" w:sz="4" w:space="0"/>
            </w:tcBorders>
            <w:shd w:val="clear" w:color="auto" w:fill="auto"/>
            <w:vAlign w:val="center"/>
          </w:tcPr>
          <w:p w14:paraId="541037E0">
            <w:pPr>
              <w:rPr>
                <w:rFonts w:ascii="宋体" w:hAnsi="宋体"/>
                <w:b/>
                <w:color w:val="000000"/>
              </w:rPr>
            </w:pPr>
          </w:p>
        </w:tc>
        <w:tc>
          <w:tcPr>
            <w:tcW w:w="2556" w:type="dxa"/>
            <w:gridSpan w:val="2"/>
            <w:tcBorders>
              <w:bottom w:val="single" w:color="auto" w:sz="4" w:space="0"/>
            </w:tcBorders>
            <w:shd w:val="clear" w:color="auto" w:fill="auto"/>
            <w:vAlign w:val="center"/>
          </w:tcPr>
          <w:p w14:paraId="4FE1AEE9">
            <w:pPr>
              <w:rPr>
                <w:rFonts w:ascii="宋体" w:hAnsi="宋体"/>
                <w:b/>
                <w:color w:val="000000"/>
              </w:rPr>
            </w:pPr>
            <w:r>
              <w:rPr>
                <w:rFonts w:hint="eastAsia" w:ascii="宋体" w:hAnsi="宋体"/>
                <w:b/>
                <w:color w:val="000000"/>
              </w:rPr>
              <w:t>联系人电子信箱</w:t>
            </w:r>
          </w:p>
        </w:tc>
        <w:tc>
          <w:tcPr>
            <w:tcW w:w="2013" w:type="dxa"/>
            <w:gridSpan w:val="3"/>
            <w:tcBorders>
              <w:bottom w:val="single" w:color="auto" w:sz="4" w:space="0"/>
            </w:tcBorders>
            <w:shd w:val="clear" w:color="auto" w:fill="auto"/>
            <w:vAlign w:val="center"/>
          </w:tcPr>
          <w:p w14:paraId="4DB3C814">
            <w:pPr>
              <w:pStyle w:val="30"/>
            </w:pPr>
          </w:p>
        </w:tc>
      </w:tr>
      <w:tr w14:paraId="4FC3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55D0A928">
            <w:pPr>
              <w:jc w:val="center"/>
              <w:rPr>
                <w:rFonts w:ascii="宋体" w:hAnsi="宋体"/>
                <w:b/>
                <w:color w:val="000000"/>
              </w:rPr>
            </w:pPr>
          </w:p>
        </w:tc>
        <w:tc>
          <w:tcPr>
            <w:tcW w:w="577" w:type="dxa"/>
            <w:vMerge w:val="continue"/>
            <w:shd w:val="clear" w:color="auto" w:fill="auto"/>
            <w:vAlign w:val="center"/>
          </w:tcPr>
          <w:p w14:paraId="2B535424">
            <w:pPr>
              <w:jc w:val="center"/>
              <w:rPr>
                <w:rFonts w:ascii="宋体" w:hAnsi="宋体"/>
                <w:b/>
                <w:color w:val="000000"/>
              </w:rPr>
            </w:pPr>
          </w:p>
        </w:tc>
        <w:tc>
          <w:tcPr>
            <w:tcW w:w="1984" w:type="dxa"/>
            <w:gridSpan w:val="3"/>
            <w:shd w:val="clear" w:color="auto" w:fill="auto"/>
            <w:vAlign w:val="center"/>
          </w:tcPr>
          <w:p w14:paraId="7E44C5DA">
            <w:pPr>
              <w:jc w:val="left"/>
              <w:rPr>
                <w:rFonts w:ascii="宋体" w:hAnsi="宋体"/>
                <w:b/>
                <w:color w:val="000000"/>
              </w:rPr>
            </w:pPr>
            <w:r>
              <w:rPr>
                <w:rFonts w:hint="eastAsia" w:ascii="宋体" w:hAnsi="宋体"/>
                <w:b/>
                <w:color w:val="000000"/>
              </w:rPr>
              <w:t>注册地址</w:t>
            </w:r>
          </w:p>
        </w:tc>
        <w:tc>
          <w:tcPr>
            <w:tcW w:w="6269" w:type="dxa"/>
            <w:gridSpan w:val="6"/>
            <w:tcBorders>
              <w:bottom w:val="single" w:color="auto" w:sz="4" w:space="0"/>
            </w:tcBorders>
            <w:shd w:val="clear" w:color="auto" w:fill="auto"/>
            <w:vAlign w:val="center"/>
          </w:tcPr>
          <w:p w14:paraId="5F8E72DF">
            <w:pPr>
              <w:rPr>
                <w:rFonts w:ascii="宋体" w:hAnsi="宋体"/>
                <w:b/>
                <w:color w:val="000000"/>
              </w:rPr>
            </w:pPr>
          </w:p>
        </w:tc>
      </w:tr>
      <w:tr w14:paraId="375C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078790AB">
            <w:pPr>
              <w:jc w:val="center"/>
              <w:rPr>
                <w:rFonts w:ascii="宋体" w:hAnsi="宋体"/>
                <w:b/>
                <w:color w:val="000000"/>
              </w:rPr>
            </w:pPr>
          </w:p>
        </w:tc>
        <w:tc>
          <w:tcPr>
            <w:tcW w:w="577" w:type="dxa"/>
            <w:vMerge w:val="continue"/>
            <w:shd w:val="clear" w:color="auto" w:fill="auto"/>
            <w:vAlign w:val="center"/>
          </w:tcPr>
          <w:p w14:paraId="1CC9DAFF">
            <w:pPr>
              <w:jc w:val="center"/>
              <w:rPr>
                <w:rFonts w:ascii="宋体" w:hAnsi="宋体"/>
                <w:b/>
                <w:color w:val="000000"/>
              </w:rPr>
            </w:pPr>
          </w:p>
        </w:tc>
        <w:tc>
          <w:tcPr>
            <w:tcW w:w="1984" w:type="dxa"/>
            <w:gridSpan w:val="3"/>
            <w:shd w:val="clear" w:color="auto" w:fill="auto"/>
            <w:vAlign w:val="center"/>
          </w:tcPr>
          <w:p w14:paraId="100E85F6">
            <w:pPr>
              <w:jc w:val="left"/>
              <w:rPr>
                <w:rFonts w:ascii="宋体" w:hAnsi="宋体"/>
                <w:b/>
                <w:color w:val="000000"/>
              </w:rPr>
            </w:pPr>
            <w:r>
              <w:rPr>
                <w:rFonts w:hint="eastAsia" w:ascii="宋体" w:hAnsi="宋体"/>
                <w:b/>
                <w:color w:val="000000"/>
              </w:rPr>
              <w:t>统一</w:t>
            </w:r>
            <w:r>
              <w:rPr>
                <w:rFonts w:ascii="宋体" w:hAnsi="宋体"/>
                <w:b/>
                <w:color w:val="000000"/>
              </w:rPr>
              <w:t>社会信用代码</w:t>
            </w:r>
          </w:p>
        </w:tc>
        <w:tc>
          <w:tcPr>
            <w:tcW w:w="6269" w:type="dxa"/>
            <w:gridSpan w:val="6"/>
            <w:tcBorders>
              <w:bottom w:val="single" w:color="auto" w:sz="4" w:space="0"/>
            </w:tcBorders>
            <w:shd w:val="clear" w:color="auto" w:fill="auto"/>
            <w:vAlign w:val="center"/>
          </w:tcPr>
          <w:p w14:paraId="28639BF6">
            <w:pPr>
              <w:rPr>
                <w:rFonts w:ascii="宋体" w:hAnsi="宋体"/>
                <w:b/>
                <w:color w:val="000000"/>
              </w:rPr>
            </w:pPr>
          </w:p>
        </w:tc>
      </w:tr>
      <w:tr w14:paraId="1FD9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413" w:type="dxa"/>
            <w:vMerge w:val="continue"/>
            <w:shd w:val="clear" w:color="auto" w:fill="auto"/>
            <w:vAlign w:val="center"/>
          </w:tcPr>
          <w:p w14:paraId="0931E521">
            <w:pPr>
              <w:jc w:val="center"/>
              <w:rPr>
                <w:rFonts w:ascii="宋体" w:hAnsi="宋体"/>
                <w:b/>
                <w:color w:val="000000"/>
              </w:rPr>
            </w:pPr>
          </w:p>
        </w:tc>
        <w:tc>
          <w:tcPr>
            <w:tcW w:w="577" w:type="dxa"/>
            <w:vMerge w:val="continue"/>
            <w:shd w:val="clear" w:color="auto" w:fill="auto"/>
            <w:vAlign w:val="center"/>
          </w:tcPr>
          <w:p w14:paraId="4575B706">
            <w:pPr>
              <w:jc w:val="center"/>
              <w:rPr>
                <w:rFonts w:ascii="宋体" w:hAnsi="宋体"/>
                <w:b/>
                <w:color w:val="000000"/>
              </w:rPr>
            </w:pPr>
          </w:p>
        </w:tc>
        <w:tc>
          <w:tcPr>
            <w:tcW w:w="989" w:type="dxa"/>
            <w:vMerge w:val="restart"/>
            <w:shd w:val="clear" w:color="auto" w:fill="auto"/>
            <w:vAlign w:val="center"/>
          </w:tcPr>
          <w:p w14:paraId="7C548E78">
            <w:pPr>
              <w:jc w:val="center"/>
              <w:rPr>
                <w:rFonts w:ascii="宋体" w:hAnsi="宋体"/>
                <w:b/>
              </w:rPr>
            </w:pPr>
            <w:r>
              <w:rPr>
                <w:rFonts w:hint="eastAsia" w:ascii="宋体" w:hAnsi="宋体"/>
                <w:b/>
              </w:rPr>
              <w:t>证书</w:t>
            </w:r>
          </w:p>
          <w:p w14:paraId="551B1C65">
            <w:pPr>
              <w:jc w:val="center"/>
              <w:rPr>
                <w:rFonts w:ascii="宋体" w:hAnsi="宋体"/>
                <w:b/>
              </w:rPr>
            </w:pPr>
            <w:r>
              <w:rPr>
                <w:rFonts w:hint="eastAsia" w:ascii="宋体" w:hAnsi="宋体"/>
                <w:b/>
              </w:rPr>
              <w:t>类型</w:t>
            </w:r>
          </w:p>
          <w:p w14:paraId="2F20F105">
            <w:pPr>
              <w:jc w:val="center"/>
              <w:rPr>
                <w:rFonts w:ascii="宋体" w:hAnsi="宋体"/>
                <w:b/>
              </w:rPr>
            </w:pPr>
            <w:r>
              <w:rPr>
                <w:rFonts w:hint="eastAsia" w:ascii="宋体" w:hAnsi="宋体"/>
                <w:sz w:val="18"/>
                <w:szCs w:val="18"/>
              </w:rPr>
              <w:t>（请在申请的证书类型前打</w:t>
            </w:r>
            <w:r>
              <w:rPr>
                <w:rFonts w:ascii="宋体" w:hAnsi="宋体"/>
                <w:b/>
              </w:rPr>
              <w:sym w:font="Wingdings 2" w:char="0052"/>
            </w:r>
            <w:r>
              <w:rPr>
                <w:rFonts w:hint="eastAsia" w:ascii="宋体" w:hAnsi="宋体"/>
                <w:b/>
              </w:rPr>
              <w:t>,</w:t>
            </w:r>
            <w:r>
              <w:rPr>
                <w:rFonts w:hint="eastAsia" w:ascii="宋体" w:hAnsi="宋体"/>
              </w:rPr>
              <w:t>单选</w:t>
            </w:r>
            <w:r>
              <w:rPr>
                <w:rFonts w:hint="eastAsia" w:ascii="宋体" w:hAnsi="宋体"/>
                <w:sz w:val="18"/>
                <w:szCs w:val="18"/>
              </w:rPr>
              <w:t>）</w:t>
            </w:r>
          </w:p>
        </w:tc>
        <w:tc>
          <w:tcPr>
            <w:tcW w:w="7264" w:type="dxa"/>
            <w:gridSpan w:val="8"/>
            <w:shd w:val="clear" w:color="auto" w:fill="FFFFFF"/>
            <w:vAlign w:val="center"/>
          </w:tcPr>
          <w:p w14:paraId="01DD2FDA">
            <w:pPr>
              <w:rPr>
                <w:rFonts w:ascii="宋体" w:hAnsi="宋体"/>
              </w:rPr>
            </w:pPr>
            <w:r>
              <w:rPr>
                <w:rFonts w:ascii="宋体" w:hAnsi="宋体"/>
                <w:b/>
              </w:rPr>
              <w:t>□</w:t>
            </w:r>
            <w:r>
              <w:rPr>
                <w:rFonts w:hint="eastAsia" w:ascii="宋体" w:hAnsi="宋体"/>
                <w:b/>
              </w:rPr>
              <w:t>债券担保品处置业务</w:t>
            </w:r>
          </w:p>
        </w:tc>
      </w:tr>
      <w:tr w14:paraId="1F4A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13" w:type="dxa"/>
            <w:vMerge w:val="continue"/>
            <w:shd w:val="clear" w:color="auto" w:fill="auto"/>
            <w:vAlign w:val="center"/>
          </w:tcPr>
          <w:p w14:paraId="1D574B0B">
            <w:pPr>
              <w:jc w:val="center"/>
              <w:rPr>
                <w:rFonts w:ascii="宋体" w:hAnsi="宋体"/>
                <w:b/>
                <w:color w:val="000000"/>
              </w:rPr>
            </w:pPr>
          </w:p>
        </w:tc>
        <w:tc>
          <w:tcPr>
            <w:tcW w:w="577" w:type="dxa"/>
            <w:vMerge w:val="continue"/>
            <w:shd w:val="clear" w:color="auto" w:fill="auto"/>
            <w:vAlign w:val="center"/>
          </w:tcPr>
          <w:p w14:paraId="57D89D21">
            <w:pPr>
              <w:jc w:val="center"/>
              <w:rPr>
                <w:rFonts w:ascii="宋体" w:hAnsi="宋体"/>
                <w:b/>
                <w:color w:val="000000"/>
              </w:rPr>
            </w:pPr>
          </w:p>
        </w:tc>
        <w:tc>
          <w:tcPr>
            <w:tcW w:w="989" w:type="dxa"/>
            <w:vMerge w:val="continue"/>
            <w:shd w:val="clear" w:color="auto" w:fill="auto"/>
            <w:vAlign w:val="center"/>
          </w:tcPr>
          <w:p w14:paraId="7ACB7899">
            <w:pPr>
              <w:jc w:val="center"/>
              <w:rPr>
                <w:rFonts w:ascii="宋体" w:hAnsi="宋体"/>
                <w:b/>
              </w:rPr>
            </w:pPr>
          </w:p>
        </w:tc>
        <w:tc>
          <w:tcPr>
            <w:tcW w:w="7264" w:type="dxa"/>
            <w:gridSpan w:val="8"/>
            <w:shd w:val="clear" w:color="auto" w:fill="FFFFFF"/>
            <w:vAlign w:val="center"/>
          </w:tcPr>
          <w:p w14:paraId="5326E84B"/>
        </w:tc>
      </w:tr>
      <w:tr w14:paraId="409D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5F795CA0">
            <w:pPr>
              <w:jc w:val="center"/>
              <w:rPr>
                <w:rFonts w:ascii="宋体" w:hAnsi="宋体"/>
                <w:b/>
                <w:color w:val="000000"/>
              </w:rPr>
            </w:pPr>
          </w:p>
        </w:tc>
        <w:tc>
          <w:tcPr>
            <w:tcW w:w="577" w:type="dxa"/>
            <w:vMerge w:val="continue"/>
            <w:shd w:val="clear" w:color="auto" w:fill="auto"/>
            <w:vAlign w:val="center"/>
          </w:tcPr>
          <w:p w14:paraId="0C925DF9">
            <w:pPr>
              <w:jc w:val="center"/>
              <w:rPr>
                <w:rFonts w:ascii="宋体" w:hAnsi="宋体"/>
                <w:b/>
                <w:color w:val="000000"/>
              </w:rPr>
            </w:pPr>
          </w:p>
        </w:tc>
        <w:tc>
          <w:tcPr>
            <w:tcW w:w="989" w:type="dxa"/>
            <w:vMerge w:val="continue"/>
            <w:shd w:val="clear" w:color="auto" w:fill="auto"/>
            <w:vAlign w:val="center"/>
          </w:tcPr>
          <w:p w14:paraId="35BF4D10">
            <w:pPr>
              <w:pStyle w:val="30"/>
            </w:pPr>
          </w:p>
        </w:tc>
        <w:tc>
          <w:tcPr>
            <w:tcW w:w="7264" w:type="dxa"/>
            <w:gridSpan w:val="8"/>
            <w:shd w:val="clear" w:color="auto" w:fill="auto"/>
            <w:vAlign w:val="center"/>
          </w:tcPr>
          <w:p w14:paraId="37B6A37E">
            <w:pPr>
              <w:rPr>
                <w:rFonts w:ascii="宋体" w:hAnsi="宋体"/>
              </w:rPr>
            </w:pPr>
          </w:p>
        </w:tc>
      </w:tr>
      <w:tr w14:paraId="3E6C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F0101E1">
            <w:pPr>
              <w:jc w:val="center"/>
              <w:rPr>
                <w:rFonts w:ascii="宋体" w:hAnsi="宋体"/>
                <w:b/>
                <w:color w:val="000000"/>
              </w:rPr>
            </w:pPr>
          </w:p>
        </w:tc>
        <w:tc>
          <w:tcPr>
            <w:tcW w:w="577" w:type="dxa"/>
            <w:vMerge w:val="continue"/>
            <w:shd w:val="clear" w:color="auto" w:fill="auto"/>
            <w:vAlign w:val="center"/>
          </w:tcPr>
          <w:p w14:paraId="14502977">
            <w:pPr>
              <w:jc w:val="center"/>
              <w:rPr>
                <w:rFonts w:ascii="宋体" w:hAnsi="宋体"/>
                <w:b/>
                <w:color w:val="000000"/>
              </w:rPr>
            </w:pPr>
          </w:p>
        </w:tc>
        <w:tc>
          <w:tcPr>
            <w:tcW w:w="989" w:type="dxa"/>
            <w:vMerge w:val="continue"/>
            <w:shd w:val="clear" w:color="auto" w:fill="auto"/>
            <w:vAlign w:val="center"/>
          </w:tcPr>
          <w:p w14:paraId="63D8DEDA">
            <w:pPr>
              <w:pStyle w:val="30"/>
            </w:pPr>
          </w:p>
        </w:tc>
        <w:tc>
          <w:tcPr>
            <w:tcW w:w="7264" w:type="dxa"/>
            <w:gridSpan w:val="8"/>
            <w:shd w:val="clear" w:color="auto" w:fill="auto"/>
            <w:vAlign w:val="center"/>
          </w:tcPr>
          <w:p w14:paraId="53A3D2D7">
            <w:pPr>
              <w:rPr>
                <w:rFonts w:ascii="宋体" w:hAnsi="宋体"/>
                <w:b/>
              </w:rPr>
            </w:pPr>
          </w:p>
        </w:tc>
      </w:tr>
      <w:tr w14:paraId="340C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164DC18">
            <w:pPr>
              <w:jc w:val="center"/>
              <w:rPr>
                <w:rFonts w:ascii="宋体" w:hAnsi="宋体"/>
                <w:b/>
                <w:color w:val="000000"/>
              </w:rPr>
            </w:pPr>
          </w:p>
        </w:tc>
        <w:tc>
          <w:tcPr>
            <w:tcW w:w="577" w:type="dxa"/>
            <w:vMerge w:val="continue"/>
            <w:shd w:val="clear" w:color="auto" w:fill="auto"/>
            <w:vAlign w:val="center"/>
          </w:tcPr>
          <w:p w14:paraId="41CACA44">
            <w:pPr>
              <w:jc w:val="center"/>
              <w:rPr>
                <w:rFonts w:ascii="宋体" w:hAnsi="宋体"/>
                <w:b/>
                <w:color w:val="000000"/>
              </w:rPr>
            </w:pPr>
          </w:p>
        </w:tc>
        <w:tc>
          <w:tcPr>
            <w:tcW w:w="989" w:type="dxa"/>
            <w:vMerge w:val="continue"/>
            <w:shd w:val="clear" w:color="auto" w:fill="auto"/>
            <w:vAlign w:val="center"/>
          </w:tcPr>
          <w:p w14:paraId="02223146">
            <w:pPr>
              <w:pStyle w:val="30"/>
            </w:pPr>
          </w:p>
        </w:tc>
        <w:tc>
          <w:tcPr>
            <w:tcW w:w="7264" w:type="dxa"/>
            <w:gridSpan w:val="8"/>
            <w:shd w:val="clear" w:color="auto" w:fill="auto"/>
            <w:vAlign w:val="center"/>
          </w:tcPr>
          <w:p w14:paraId="0D5BEC30">
            <w:pPr>
              <w:rPr>
                <w:rFonts w:ascii="宋体" w:hAnsi="宋体"/>
                <w:b/>
              </w:rPr>
            </w:pPr>
          </w:p>
        </w:tc>
      </w:tr>
      <w:tr w14:paraId="4360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9703CFD">
            <w:pPr>
              <w:jc w:val="center"/>
              <w:rPr>
                <w:rFonts w:ascii="宋体" w:hAnsi="宋体"/>
                <w:b/>
                <w:color w:val="000000"/>
              </w:rPr>
            </w:pPr>
          </w:p>
        </w:tc>
        <w:tc>
          <w:tcPr>
            <w:tcW w:w="577" w:type="dxa"/>
            <w:vMerge w:val="continue"/>
            <w:shd w:val="clear" w:color="auto" w:fill="auto"/>
            <w:vAlign w:val="center"/>
          </w:tcPr>
          <w:p w14:paraId="75DD8A92">
            <w:pPr>
              <w:jc w:val="center"/>
              <w:rPr>
                <w:rFonts w:ascii="宋体" w:hAnsi="宋体"/>
                <w:b/>
                <w:color w:val="000000"/>
              </w:rPr>
            </w:pPr>
          </w:p>
        </w:tc>
        <w:tc>
          <w:tcPr>
            <w:tcW w:w="989" w:type="dxa"/>
            <w:vMerge w:val="continue"/>
            <w:shd w:val="clear" w:color="auto" w:fill="auto"/>
            <w:vAlign w:val="center"/>
          </w:tcPr>
          <w:p w14:paraId="10DAE485">
            <w:pPr>
              <w:pStyle w:val="30"/>
            </w:pPr>
          </w:p>
        </w:tc>
        <w:tc>
          <w:tcPr>
            <w:tcW w:w="7264" w:type="dxa"/>
            <w:gridSpan w:val="8"/>
            <w:shd w:val="clear" w:color="auto" w:fill="auto"/>
            <w:vAlign w:val="center"/>
          </w:tcPr>
          <w:p w14:paraId="18033FBE">
            <w:pPr>
              <w:rPr>
                <w:rFonts w:ascii="宋体" w:hAnsi="宋体"/>
                <w:b/>
              </w:rPr>
            </w:pPr>
          </w:p>
        </w:tc>
      </w:tr>
      <w:tr w14:paraId="0FB9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179B04F">
            <w:pPr>
              <w:jc w:val="center"/>
              <w:rPr>
                <w:rFonts w:ascii="宋体" w:hAnsi="宋体"/>
                <w:b/>
                <w:color w:val="000000"/>
              </w:rPr>
            </w:pPr>
          </w:p>
        </w:tc>
        <w:tc>
          <w:tcPr>
            <w:tcW w:w="577" w:type="dxa"/>
            <w:vMerge w:val="continue"/>
            <w:shd w:val="clear" w:color="auto" w:fill="auto"/>
            <w:vAlign w:val="center"/>
          </w:tcPr>
          <w:p w14:paraId="6E9193A7">
            <w:pPr>
              <w:jc w:val="center"/>
              <w:rPr>
                <w:rFonts w:ascii="宋体" w:hAnsi="宋体"/>
                <w:b/>
                <w:color w:val="000000"/>
              </w:rPr>
            </w:pPr>
          </w:p>
        </w:tc>
        <w:tc>
          <w:tcPr>
            <w:tcW w:w="989" w:type="dxa"/>
            <w:vMerge w:val="continue"/>
            <w:shd w:val="clear" w:color="auto" w:fill="auto"/>
            <w:vAlign w:val="center"/>
          </w:tcPr>
          <w:p w14:paraId="6F5FC631">
            <w:pPr>
              <w:pStyle w:val="30"/>
            </w:pPr>
          </w:p>
        </w:tc>
        <w:tc>
          <w:tcPr>
            <w:tcW w:w="7264" w:type="dxa"/>
            <w:gridSpan w:val="8"/>
            <w:shd w:val="clear" w:color="auto" w:fill="auto"/>
            <w:vAlign w:val="center"/>
          </w:tcPr>
          <w:p w14:paraId="2ECECC54">
            <w:pPr>
              <w:rPr>
                <w:rFonts w:ascii="宋体" w:hAnsi="宋体"/>
                <w:b/>
              </w:rPr>
            </w:pPr>
            <w:bookmarkStart w:id="3535" w:name="14"/>
            <w:bookmarkEnd w:id="3535"/>
          </w:p>
        </w:tc>
      </w:tr>
      <w:tr w14:paraId="176A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6FB08865">
            <w:pPr>
              <w:jc w:val="center"/>
              <w:rPr>
                <w:rFonts w:ascii="宋体" w:hAnsi="宋体"/>
                <w:b/>
                <w:color w:val="000000"/>
              </w:rPr>
            </w:pPr>
          </w:p>
        </w:tc>
        <w:tc>
          <w:tcPr>
            <w:tcW w:w="577" w:type="dxa"/>
            <w:vMerge w:val="continue"/>
            <w:shd w:val="clear" w:color="auto" w:fill="auto"/>
            <w:vAlign w:val="center"/>
          </w:tcPr>
          <w:p w14:paraId="70743700">
            <w:pPr>
              <w:jc w:val="center"/>
              <w:rPr>
                <w:rFonts w:ascii="宋体" w:hAnsi="宋体"/>
                <w:b/>
                <w:color w:val="000000"/>
              </w:rPr>
            </w:pPr>
          </w:p>
        </w:tc>
        <w:tc>
          <w:tcPr>
            <w:tcW w:w="989" w:type="dxa"/>
            <w:vMerge w:val="continue"/>
            <w:shd w:val="clear" w:color="auto" w:fill="auto"/>
            <w:vAlign w:val="center"/>
          </w:tcPr>
          <w:p w14:paraId="2A488EAE">
            <w:pPr>
              <w:pStyle w:val="30"/>
            </w:pPr>
          </w:p>
        </w:tc>
        <w:tc>
          <w:tcPr>
            <w:tcW w:w="7264" w:type="dxa"/>
            <w:gridSpan w:val="8"/>
            <w:shd w:val="clear" w:color="auto" w:fill="auto"/>
            <w:vAlign w:val="center"/>
          </w:tcPr>
          <w:p w14:paraId="41349A03">
            <w:pPr>
              <w:rPr>
                <w:rFonts w:ascii="宋体" w:hAnsi="宋体"/>
                <w:b/>
              </w:rPr>
            </w:pPr>
            <w:bookmarkStart w:id="3536" w:name="15"/>
            <w:bookmarkEnd w:id="3536"/>
            <w:bookmarkStart w:id="3537" w:name="16"/>
            <w:bookmarkEnd w:id="3537"/>
          </w:p>
        </w:tc>
      </w:tr>
      <w:tr w14:paraId="1491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DB9A6DE">
            <w:pPr>
              <w:jc w:val="center"/>
              <w:rPr>
                <w:rFonts w:ascii="宋体" w:hAnsi="宋体"/>
                <w:b/>
                <w:color w:val="000000"/>
              </w:rPr>
            </w:pPr>
          </w:p>
        </w:tc>
        <w:tc>
          <w:tcPr>
            <w:tcW w:w="577" w:type="dxa"/>
            <w:vMerge w:val="continue"/>
            <w:shd w:val="clear" w:color="auto" w:fill="auto"/>
            <w:vAlign w:val="center"/>
          </w:tcPr>
          <w:p w14:paraId="577DA955">
            <w:pPr>
              <w:jc w:val="center"/>
              <w:rPr>
                <w:rFonts w:ascii="宋体" w:hAnsi="宋体"/>
                <w:b/>
                <w:color w:val="000000"/>
              </w:rPr>
            </w:pPr>
          </w:p>
        </w:tc>
        <w:tc>
          <w:tcPr>
            <w:tcW w:w="989" w:type="dxa"/>
            <w:vMerge w:val="continue"/>
            <w:shd w:val="clear" w:color="auto" w:fill="auto"/>
            <w:vAlign w:val="center"/>
          </w:tcPr>
          <w:p w14:paraId="0E780B17">
            <w:pPr>
              <w:pStyle w:val="30"/>
            </w:pPr>
          </w:p>
        </w:tc>
        <w:tc>
          <w:tcPr>
            <w:tcW w:w="7264" w:type="dxa"/>
            <w:gridSpan w:val="8"/>
            <w:shd w:val="clear" w:color="auto" w:fill="auto"/>
            <w:vAlign w:val="center"/>
          </w:tcPr>
          <w:p w14:paraId="0B98FC1B">
            <w:pPr>
              <w:rPr>
                <w:rFonts w:ascii="宋体" w:hAnsi="宋体"/>
                <w:b/>
              </w:rPr>
            </w:pPr>
          </w:p>
        </w:tc>
      </w:tr>
      <w:tr w14:paraId="734D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17A68AA7">
            <w:pPr>
              <w:jc w:val="center"/>
              <w:rPr>
                <w:rFonts w:ascii="宋体" w:hAnsi="宋体"/>
                <w:b/>
                <w:color w:val="000000"/>
              </w:rPr>
            </w:pPr>
          </w:p>
        </w:tc>
        <w:tc>
          <w:tcPr>
            <w:tcW w:w="577" w:type="dxa"/>
            <w:vMerge w:val="continue"/>
            <w:shd w:val="clear" w:color="auto" w:fill="auto"/>
            <w:vAlign w:val="center"/>
          </w:tcPr>
          <w:p w14:paraId="0DAF076F">
            <w:pPr>
              <w:jc w:val="center"/>
              <w:rPr>
                <w:rFonts w:ascii="宋体" w:hAnsi="宋体"/>
                <w:b/>
                <w:color w:val="000000"/>
              </w:rPr>
            </w:pPr>
          </w:p>
        </w:tc>
        <w:tc>
          <w:tcPr>
            <w:tcW w:w="989" w:type="dxa"/>
            <w:vMerge w:val="continue"/>
            <w:shd w:val="clear" w:color="auto" w:fill="auto"/>
            <w:vAlign w:val="center"/>
          </w:tcPr>
          <w:p w14:paraId="4BC2E1BC">
            <w:pPr>
              <w:pStyle w:val="30"/>
            </w:pPr>
          </w:p>
        </w:tc>
        <w:tc>
          <w:tcPr>
            <w:tcW w:w="7264" w:type="dxa"/>
            <w:gridSpan w:val="8"/>
            <w:shd w:val="clear" w:color="auto" w:fill="auto"/>
            <w:vAlign w:val="center"/>
          </w:tcPr>
          <w:p w14:paraId="69B3086E">
            <w:pPr>
              <w:rPr>
                <w:rFonts w:ascii="宋体" w:hAnsi="宋体"/>
                <w:b/>
              </w:rPr>
            </w:pPr>
          </w:p>
        </w:tc>
      </w:tr>
      <w:tr w14:paraId="2AB3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05565DA9">
            <w:pPr>
              <w:jc w:val="center"/>
              <w:rPr>
                <w:rFonts w:ascii="宋体" w:hAnsi="宋体"/>
                <w:b/>
                <w:color w:val="000000"/>
              </w:rPr>
            </w:pPr>
          </w:p>
        </w:tc>
        <w:tc>
          <w:tcPr>
            <w:tcW w:w="577" w:type="dxa"/>
            <w:vMerge w:val="continue"/>
            <w:shd w:val="clear" w:color="auto" w:fill="auto"/>
            <w:vAlign w:val="center"/>
          </w:tcPr>
          <w:p w14:paraId="430DD2FA">
            <w:pPr>
              <w:jc w:val="center"/>
              <w:rPr>
                <w:rFonts w:ascii="宋体" w:hAnsi="宋体"/>
                <w:b/>
                <w:color w:val="000000"/>
              </w:rPr>
            </w:pPr>
          </w:p>
        </w:tc>
        <w:tc>
          <w:tcPr>
            <w:tcW w:w="989" w:type="dxa"/>
            <w:vMerge w:val="continue"/>
            <w:shd w:val="clear" w:color="auto" w:fill="auto"/>
            <w:vAlign w:val="center"/>
          </w:tcPr>
          <w:p w14:paraId="7294DEE1">
            <w:pPr>
              <w:pStyle w:val="30"/>
            </w:pPr>
          </w:p>
        </w:tc>
        <w:tc>
          <w:tcPr>
            <w:tcW w:w="7264" w:type="dxa"/>
            <w:gridSpan w:val="8"/>
            <w:shd w:val="clear" w:color="auto" w:fill="auto"/>
            <w:vAlign w:val="center"/>
          </w:tcPr>
          <w:p w14:paraId="40199D50">
            <w:pPr>
              <w:rPr>
                <w:rFonts w:ascii="宋体" w:hAnsi="宋体"/>
                <w:b/>
              </w:rPr>
            </w:pPr>
          </w:p>
        </w:tc>
      </w:tr>
      <w:tr w14:paraId="4B62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413" w:type="dxa"/>
            <w:vMerge w:val="continue"/>
            <w:shd w:val="clear" w:color="auto" w:fill="auto"/>
            <w:vAlign w:val="center"/>
          </w:tcPr>
          <w:p w14:paraId="2C155772">
            <w:pPr>
              <w:jc w:val="center"/>
              <w:rPr>
                <w:rFonts w:ascii="宋体" w:hAnsi="宋体"/>
                <w:b/>
                <w:color w:val="000000"/>
              </w:rPr>
            </w:pPr>
          </w:p>
        </w:tc>
        <w:tc>
          <w:tcPr>
            <w:tcW w:w="577" w:type="dxa"/>
            <w:vMerge w:val="restart"/>
            <w:shd w:val="clear" w:color="auto" w:fill="auto"/>
            <w:vAlign w:val="center"/>
          </w:tcPr>
          <w:p w14:paraId="1F408534">
            <w:pPr>
              <w:jc w:val="center"/>
              <w:rPr>
                <w:rFonts w:ascii="宋体" w:hAnsi="宋体"/>
                <w:b/>
                <w:color w:val="000000"/>
              </w:rPr>
            </w:pPr>
            <w:r>
              <w:rPr>
                <w:rFonts w:hint="eastAsia" w:ascii="宋体" w:hAnsi="宋体"/>
                <w:b/>
                <w:color w:val="000000"/>
              </w:rPr>
              <w:t>经办人</w:t>
            </w:r>
          </w:p>
        </w:tc>
        <w:tc>
          <w:tcPr>
            <w:tcW w:w="1704" w:type="dxa"/>
            <w:gridSpan w:val="2"/>
            <w:shd w:val="clear" w:color="auto" w:fill="auto"/>
            <w:vAlign w:val="center"/>
          </w:tcPr>
          <w:p w14:paraId="4438A6C4">
            <w:pPr>
              <w:jc w:val="center"/>
              <w:rPr>
                <w:rFonts w:ascii="宋体" w:hAnsi="宋体"/>
                <w:color w:val="000000"/>
              </w:rPr>
            </w:pPr>
            <w:r>
              <w:rPr>
                <w:rFonts w:hint="eastAsia" w:ascii="宋体" w:hAnsi="宋体"/>
                <w:color w:val="000000"/>
              </w:rPr>
              <w:t>姓名</w:t>
            </w:r>
          </w:p>
        </w:tc>
        <w:tc>
          <w:tcPr>
            <w:tcW w:w="2976" w:type="dxa"/>
            <w:gridSpan w:val="3"/>
            <w:shd w:val="clear" w:color="auto" w:fill="auto"/>
            <w:vAlign w:val="center"/>
          </w:tcPr>
          <w:p w14:paraId="1A4694E2">
            <w:pPr>
              <w:rPr>
                <w:rFonts w:ascii="宋体" w:hAnsi="宋体"/>
                <w:color w:val="000000"/>
              </w:rPr>
            </w:pPr>
          </w:p>
        </w:tc>
        <w:tc>
          <w:tcPr>
            <w:tcW w:w="1701" w:type="dxa"/>
            <w:gridSpan w:val="2"/>
            <w:shd w:val="clear" w:color="auto" w:fill="auto"/>
            <w:vAlign w:val="center"/>
          </w:tcPr>
          <w:p w14:paraId="1E9D5665">
            <w:pPr>
              <w:jc w:val="center"/>
              <w:rPr>
                <w:rFonts w:ascii="宋体" w:hAnsi="宋体"/>
                <w:color w:val="000000"/>
              </w:rPr>
            </w:pPr>
            <w:r>
              <w:rPr>
                <w:rFonts w:hint="eastAsia" w:ascii="宋体" w:hAnsi="宋体"/>
                <w:color w:val="000000"/>
              </w:rPr>
              <w:t>身份证号</w:t>
            </w:r>
          </w:p>
        </w:tc>
        <w:tc>
          <w:tcPr>
            <w:tcW w:w="1872" w:type="dxa"/>
            <w:gridSpan w:val="2"/>
            <w:shd w:val="clear" w:color="auto" w:fill="auto"/>
            <w:vAlign w:val="center"/>
          </w:tcPr>
          <w:p w14:paraId="6AF4AE99">
            <w:pPr>
              <w:rPr>
                <w:rFonts w:ascii="宋体" w:hAnsi="宋体"/>
                <w:color w:val="000000"/>
              </w:rPr>
            </w:pPr>
          </w:p>
        </w:tc>
      </w:tr>
      <w:tr w14:paraId="4EC2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13" w:type="dxa"/>
            <w:vMerge w:val="continue"/>
            <w:shd w:val="clear" w:color="auto" w:fill="auto"/>
            <w:vAlign w:val="center"/>
          </w:tcPr>
          <w:p w14:paraId="3FF736DE">
            <w:pPr>
              <w:jc w:val="center"/>
              <w:rPr>
                <w:rFonts w:ascii="宋体" w:hAnsi="宋体"/>
                <w:b/>
                <w:color w:val="000000"/>
              </w:rPr>
            </w:pPr>
          </w:p>
        </w:tc>
        <w:tc>
          <w:tcPr>
            <w:tcW w:w="577" w:type="dxa"/>
            <w:vMerge w:val="continue"/>
            <w:shd w:val="clear" w:color="auto" w:fill="auto"/>
            <w:vAlign w:val="center"/>
          </w:tcPr>
          <w:p w14:paraId="1A965325">
            <w:pPr>
              <w:jc w:val="center"/>
              <w:rPr>
                <w:rFonts w:ascii="宋体" w:hAnsi="宋体"/>
                <w:b/>
                <w:color w:val="000000"/>
              </w:rPr>
            </w:pPr>
          </w:p>
        </w:tc>
        <w:tc>
          <w:tcPr>
            <w:tcW w:w="1704" w:type="dxa"/>
            <w:gridSpan w:val="2"/>
            <w:shd w:val="clear" w:color="auto" w:fill="auto"/>
            <w:vAlign w:val="center"/>
          </w:tcPr>
          <w:p w14:paraId="547C4871">
            <w:pPr>
              <w:jc w:val="center"/>
              <w:rPr>
                <w:rFonts w:ascii="宋体" w:hAnsi="宋体"/>
                <w:color w:val="000000"/>
              </w:rPr>
            </w:pPr>
            <w:r>
              <w:rPr>
                <w:rFonts w:hint="eastAsia" w:ascii="宋体" w:hAnsi="宋体"/>
                <w:color w:val="000000"/>
              </w:rPr>
              <w:t>手机（</w:t>
            </w:r>
            <w:r>
              <w:rPr>
                <w:rFonts w:ascii="宋体" w:hAnsi="宋体"/>
                <w:color w:val="000000"/>
              </w:rPr>
              <w:t>重要</w:t>
            </w:r>
            <w:r>
              <w:rPr>
                <w:rFonts w:hint="eastAsia" w:ascii="宋体" w:hAnsi="宋体"/>
                <w:color w:val="000000"/>
              </w:rPr>
              <w:t>）</w:t>
            </w:r>
          </w:p>
        </w:tc>
        <w:tc>
          <w:tcPr>
            <w:tcW w:w="2976" w:type="dxa"/>
            <w:gridSpan w:val="3"/>
            <w:shd w:val="clear" w:color="auto" w:fill="auto"/>
            <w:vAlign w:val="center"/>
          </w:tcPr>
          <w:p w14:paraId="32D4E1E2">
            <w:pPr>
              <w:jc w:val="center"/>
              <w:rPr>
                <w:rFonts w:ascii="宋体" w:hAnsi="宋体"/>
                <w:color w:val="000000"/>
              </w:rPr>
            </w:pPr>
          </w:p>
        </w:tc>
        <w:tc>
          <w:tcPr>
            <w:tcW w:w="1701" w:type="dxa"/>
            <w:gridSpan w:val="2"/>
            <w:shd w:val="clear" w:color="auto" w:fill="auto"/>
            <w:vAlign w:val="center"/>
          </w:tcPr>
          <w:p w14:paraId="061FCC95">
            <w:pPr>
              <w:jc w:val="center"/>
              <w:rPr>
                <w:rFonts w:ascii="宋体" w:hAnsi="宋体"/>
                <w:color w:val="000000"/>
              </w:rPr>
            </w:pPr>
            <w:r>
              <w:rPr>
                <w:rFonts w:hint="eastAsia" w:ascii="宋体" w:hAnsi="宋体"/>
                <w:color w:val="000000"/>
              </w:rPr>
              <w:t>固话（</w:t>
            </w:r>
            <w:r>
              <w:rPr>
                <w:rFonts w:ascii="宋体" w:hAnsi="宋体"/>
                <w:color w:val="000000"/>
              </w:rPr>
              <w:t>带区号</w:t>
            </w:r>
            <w:r>
              <w:rPr>
                <w:rFonts w:hint="eastAsia" w:ascii="宋体" w:hAnsi="宋体"/>
                <w:color w:val="000000"/>
              </w:rPr>
              <w:t>）</w:t>
            </w:r>
          </w:p>
        </w:tc>
        <w:tc>
          <w:tcPr>
            <w:tcW w:w="1872" w:type="dxa"/>
            <w:gridSpan w:val="2"/>
            <w:shd w:val="clear" w:color="auto" w:fill="auto"/>
            <w:vAlign w:val="center"/>
          </w:tcPr>
          <w:p w14:paraId="2122A3C4">
            <w:pPr>
              <w:rPr>
                <w:rFonts w:ascii="宋体" w:hAnsi="宋体"/>
                <w:color w:val="000000"/>
              </w:rPr>
            </w:pPr>
          </w:p>
        </w:tc>
      </w:tr>
      <w:tr w14:paraId="38D9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6F49E7C9">
            <w:pPr>
              <w:jc w:val="center"/>
              <w:rPr>
                <w:rFonts w:ascii="宋体" w:hAnsi="宋体"/>
                <w:b/>
                <w:color w:val="000000"/>
              </w:rPr>
            </w:pPr>
          </w:p>
        </w:tc>
        <w:tc>
          <w:tcPr>
            <w:tcW w:w="577" w:type="dxa"/>
            <w:vMerge w:val="continue"/>
            <w:shd w:val="clear" w:color="auto" w:fill="auto"/>
            <w:vAlign w:val="center"/>
          </w:tcPr>
          <w:p w14:paraId="10175505">
            <w:pPr>
              <w:jc w:val="center"/>
              <w:rPr>
                <w:rFonts w:ascii="宋体" w:hAnsi="宋体"/>
                <w:b/>
                <w:color w:val="000000"/>
              </w:rPr>
            </w:pPr>
          </w:p>
        </w:tc>
        <w:tc>
          <w:tcPr>
            <w:tcW w:w="1704" w:type="dxa"/>
            <w:gridSpan w:val="2"/>
            <w:shd w:val="clear" w:color="auto" w:fill="auto"/>
            <w:vAlign w:val="center"/>
          </w:tcPr>
          <w:p w14:paraId="0FA4617D">
            <w:pPr>
              <w:jc w:val="center"/>
              <w:rPr>
                <w:rFonts w:ascii="宋体" w:hAnsi="宋体"/>
                <w:color w:val="000000"/>
              </w:rPr>
            </w:pPr>
            <w:r>
              <w:rPr>
                <w:rFonts w:hint="eastAsia" w:ascii="宋体" w:hAnsi="宋体"/>
                <w:color w:val="000000"/>
              </w:rPr>
              <w:t>电子邮箱</w:t>
            </w:r>
          </w:p>
        </w:tc>
        <w:tc>
          <w:tcPr>
            <w:tcW w:w="2976" w:type="dxa"/>
            <w:gridSpan w:val="3"/>
            <w:shd w:val="clear" w:color="auto" w:fill="auto"/>
            <w:vAlign w:val="center"/>
          </w:tcPr>
          <w:p w14:paraId="013D1905">
            <w:pPr>
              <w:jc w:val="center"/>
              <w:rPr>
                <w:rFonts w:ascii="宋体" w:hAnsi="宋体"/>
                <w:color w:val="000000"/>
              </w:rPr>
            </w:pPr>
          </w:p>
        </w:tc>
        <w:tc>
          <w:tcPr>
            <w:tcW w:w="1701" w:type="dxa"/>
            <w:gridSpan w:val="2"/>
            <w:shd w:val="clear" w:color="auto" w:fill="auto"/>
            <w:vAlign w:val="center"/>
          </w:tcPr>
          <w:p w14:paraId="0B8E95FF">
            <w:pPr>
              <w:jc w:val="center"/>
              <w:rPr>
                <w:rFonts w:ascii="宋体" w:hAnsi="宋体"/>
                <w:color w:val="000000"/>
              </w:rPr>
            </w:pPr>
            <w:r>
              <w:rPr>
                <w:rFonts w:hint="eastAsia" w:ascii="宋体" w:hAnsi="宋体"/>
                <w:color w:val="000000"/>
              </w:rPr>
              <w:t>传真</w:t>
            </w:r>
          </w:p>
        </w:tc>
        <w:tc>
          <w:tcPr>
            <w:tcW w:w="1872" w:type="dxa"/>
            <w:gridSpan w:val="2"/>
            <w:shd w:val="clear" w:color="auto" w:fill="auto"/>
            <w:vAlign w:val="center"/>
          </w:tcPr>
          <w:p w14:paraId="5A42D51C">
            <w:pPr>
              <w:jc w:val="center"/>
              <w:rPr>
                <w:rFonts w:ascii="宋体" w:hAnsi="宋体"/>
                <w:color w:val="000000"/>
              </w:rPr>
            </w:pPr>
          </w:p>
        </w:tc>
      </w:tr>
      <w:tr w14:paraId="69DC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413" w:type="dxa"/>
            <w:vMerge w:val="continue"/>
            <w:shd w:val="clear" w:color="auto" w:fill="auto"/>
            <w:vAlign w:val="center"/>
          </w:tcPr>
          <w:p w14:paraId="77E424C6">
            <w:pPr>
              <w:jc w:val="center"/>
              <w:rPr>
                <w:rFonts w:ascii="宋体" w:hAnsi="宋体"/>
                <w:b/>
                <w:color w:val="000000"/>
              </w:rPr>
            </w:pPr>
          </w:p>
        </w:tc>
        <w:tc>
          <w:tcPr>
            <w:tcW w:w="577" w:type="dxa"/>
            <w:vMerge w:val="continue"/>
            <w:shd w:val="clear" w:color="auto" w:fill="auto"/>
            <w:vAlign w:val="center"/>
          </w:tcPr>
          <w:p w14:paraId="023882AB">
            <w:pPr>
              <w:jc w:val="center"/>
              <w:rPr>
                <w:rFonts w:ascii="宋体" w:hAnsi="宋体"/>
                <w:b/>
                <w:color w:val="000000"/>
              </w:rPr>
            </w:pPr>
          </w:p>
        </w:tc>
        <w:tc>
          <w:tcPr>
            <w:tcW w:w="1704" w:type="dxa"/>
            <w:gridSpan w:val="2"/>
            <w:shd w:val="clear" w:color="auto" w:fill="auto"/>
            <w:vAlign w:val="center"/>
          </w:tcPr>
          <w:p w14:paraId="422A7AEC">
            <w:pPr>
              <w:jc w:val="center"/>
              <w:rPr>
                <w:rFonts w:ascii="宋体" w:hAnsi="宋体"/>
                <w:color w:val="000000"/>
              </w:rPr>
            </w:pPr>
            <w:r>
              <w:rPr>
                <w:rFonts w:hint="eastAsia" w:ascii="宋体" w:hAnsi="宋体"/>
                <w:color w:val="000000"/>
              </w:rPr>
              <w:t>证书领取方式</w:t>
            </w:r>
          </w:p>
        </w:tc>
        <w:tc>
          <w:tcPr>
            <w:tcW w:w="6549" w:type="dxa"/>
            <w:gridSpan w:val="7"/>
            <w:shd w:val="clear" w:color="auto" w:fill="auto"/>
            <w:vAlign w:val="center"/>
          </w:tcPr>
          <w:p w14:paraId="0C41E9F4">
            <w:pPr>
              <w:jc w:val="left"/>
              <w:rPr>
                <w:rFonts w:ascii="宋体" w:hAnsi="宋体"/>
                <w:color w:val="000000"/>
              </w:rPr>
            </w:pPr>
            <w:r>
              <w:rPr>
                <w:rFonts w:ascii="宋体" w:hAnsi="宋体"/>
                <w:color w:val="000000"/>
              </w:rPr>
              <w:t>□</w:t>
            </w:r>
            <w:r>
              <w:rPr>
                <w:rFonts w:hint="eastAsia" w:ascii="宋体" w:hAnsi="宋体"/>
                <w:color w:val="000000"/>
              </w:rPr>
              <w:t>来人领取</w:t>
            </w:r>
            <w:r>
              <w:rPr>
                <w:rFonts w:ascii="宋体" w:hAnsi="宋体"/>
                <w:color w:val="000000"/>
              </w:rPr>
              <w:t xml:space="preserve"> </w:t>
            </w:r>
          </w:p>
        </w:tc>
      </w:tr>
      <w:tr w14:paraId="31E9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413" w:type="dxa"/>
            <w:vMerge w:val="continue"/>
            <w:shd w:val="clear" w:color="auto" w:fill="auto"/>
            <w:vAlign w:val="center"/>
          </w:tcPr>
          <w:p w14:paraId="38EECD4F">
            <w:pPr>
              <w:jc w:val="center"/>
              <w:rPr>
                <w:rFonts w:ascii="宋体" w:hAnsi="宋体"/>
                <w:b/>
                <w:color w:val="000000"/>
              </w:rPr>
            </w:pPr>
          </w:p>
        </w:tc>
        <w:tc>
          <w:tcPr>
            <w:tcW w:w="577" w:type="dxa"/>
            <w:shd w:val="clear" w:color="auto" w:fill="auto"/>
            <w:vAlign w:val="center"/>
          </w:tcPr>
          <w:p w14:paraId="17141C29">
            <w:pPr>
              <w:jc w:val="center"/>
              <w:rPr>
                <w:rFonts w:ascii="宋体" w:hAnsi="宋体"/>
                <w:b/>
                <w:color w:val="000000"/>
              </w:rPr>
            </w:pPr>
            <w:r>
              <w:rPr>
                <w:rFonts w:hint="eastAsia" w:ascii="宋体" w:hAnsi="宋体"/>
                <w:b/>
                <w:color w:val="000000"/>
              </w:rPr>
              <w:t>用户须知</w:t>
            </w:r>
          </w:p>
        </w:tc>
        <w:tc>
          <w:tcPr>
            <w:tcW w:w="8253" w:type="dxa"/>
            <w:gridSpan w:val="9"/>
            <w:shd w:val="clear" w:color="auto" w:fill="auto"/>
            <w:vAlign w:val="center"/>
          </w:tcPr>
          <w:p w14:paraId="1C2F3BA1">
            <w:pPr>
              <w:numPr>
                <w:ilvl w:val="0"/>
                <w:numId w:val="30"/>
              </w:numPr>
              <w:spacing w:line="0" w:lineRule="atLeast"/>
              <w:rPr>
                <w:rFonts w:ascii="宋体" w:hAnsi="宋体"/>
                <w:b/>
                <w:color w:val="000000"/>
                <w:sz w:val="18"/>
              </w:rPr>
            </w:pPr>
            <w:r>
              <w:rPr>
                <w:rFonts w:hint="eastAsia" w:ascii="宋体" w:hAnsi="宋体"/>
                <w:b/>
                <w:color w:val="000000"/>
                <w:sz w:val="18"/>
              </w:rPr>
              <w:t>填写内容须真实、准确，字迹须清楚、整洁，建议使用电子打印方式。</w:t>
            </w:r>
          </w:p>
          <w:p w14:paraId="741B641F">
            <w:pPr>
              <w:numPr>
                <w:ilvl w:val="0"/>
                <w:numId w:val="30"/>
              </w:numPr>
              <w:spacing w:line="0" w:lineRule="atLeast"/>
              <w:rPr>
                <w:rFonts w:ascii="宋体" w:hAnsi="宋体"/>
                <w:b/>
                <w:color w:val="000000"/>
                <w:sz w:val="18"/>
              </w:rPr>
            </w:pPr>
            <w:r>
              <w:rPr>
                <w:rFonts w:hint="eastAsia" w:ascii="宋体" w:hAnsi="宋体"/>
                <w:b/>
                <w:color w:val="000000"/>
                <w:sz w:val="18"/>
              </w:rPr>
              <w:t>请仔细阅读后签署《CnSCA数字证书申请责任书》一份并加盖公章。</w:t>
            </w:r>
          </w:p>
          <w:p w14:paraId="338555AC">
            <w:pPr>
              <w:numPr>
                <w:ilvl w:val="0"/>
                <w:numId w:val="30"/>
              </w:numPr>
              <w:spacing w:line="0" w:lineRule="atLeast"/>
              <w:rPr>
                <w:rFonts w:ascii="宋体" w:hAnsi="宋体"/>
                <w:b/>
                <w:color w:val="000000"/>
                <w:sz w:val="18"/>
              </w:rPr>
            </w:pPr>
            <w:r>
              <w:rPr>
                <w:rFonts w:hint="eastAsia" w:ascii="宋体" w:hAnsi="宋体"/>
                <w:b/>
                <w:color w:val="000000"/>
                <w:sz w:val="18"/>
              </w:rPr>
              <w:t>提供加盖单位公章的《企业法人营业执照》</w:t>
            </w:r>
            <w:r>
              <w:rPr>
                <w:rFonts w:hint="eastAsia" w:ascii="宋体" w:hAnsi="宋体"/>
                <w:b/>
                <w:sz w:val="18"/>
              </w:rPr>
              <w:t>复印</w:t>
            </w:r>
            <w:r>
              <w:rPr>
                <w:rFonts w:hint="eastAsia" w:ascii="宋体" w:hAnsi="宋体"/>
                <w:b/>
                <w:color w:val="000000"/>
                <w:sz w:val="18"/>
              </w:rPr>
              <w:t>件各一份。</w:t>
            </w:r>
          </w:p>
          <w:p w14:paraId="243EF7FE">
            <w:pPr>
              <w:numPr>
                <w:ilvl w:val="0"/>
                <w:numId w:val="30"/>
              </w:numPr>
              <w:spacing w:line="0" w:lineRule="atLeast"/>
              <w:rPr>
                <w:rFonts w:ascii="宋体" w:hAnsi="宋体"/>
                <w:b/>
                <w:color w:val="000000"/>
                <w:sz w:val="18"/>
              </w:rPr>
            </w:pPr>
            <w:r>
              <w:rPr>
                <w:rFonts w:hint="eastAsia" w:ascii="宋体" w:hAnsi="宋体"/>
                <w:b/>
                <w:color w:val="000000"/>
                <w:sz w:val="18"/>
              </w:rPr>
              <w:t>提供业务申请流程中需要的其它资料。</w:t>
            </w:r>
          </w:p>
          <w:p w14:paraId="52893A61">
            <w:pPr>
              <w:numPr>
                <w:ilvl w:val="0"/>
                <w:numId w:val="30"/>
              </w:numPr>
              <w:spacing w:line="0" w:lineRule="atLeast"/>
              <w:rPr>
                <w:rFonts w:ascii="宋体" w:hAnsi="宋体"/>
                <w:b/>
                <w:color w:val="000000"/>
                <w:sz w:val="20"/>
              </w:rPr>
            </w:pPr>
            <w:r>
              <w:rPr>
                <w:rFonts w:hint="eastAsia" w:ascii="宋体" w:hAnsi="宋体"/>
                <w:b/>
                <w:color w:val="000000"/>
                <w:sz w:val="18"/>
              </w:rPr>
              <w:t>证书的有效期从签发日开始计算。</w:t>
            </w:r>
          </w:p>
        </w:tc>
      </w:tr>
      <w:tr w14:paraId="185D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6" w:hRule="atLeast"/>
        </w:trPr>
        <w:tc>
          <w:tcPr>
            <w:tcW w:w="413" w:type="dxa"/>
            <w:vMerge w:val="continue"/>
            <w:shd w:val="clear" w:color="auto" w:fill="auto"/>
            <w:vAlign w:val="center"/>
          </w:tcPr>
          <w:p w14:paraId="203682F0">
            <w:pPr>
              <w:jc w:val="center"/>
              <w:rPr>
                <w:rFonts w:ascii="宋体" w:hAnsi="宋体"/>
                <w:b/>
                <w:color w:val="000000"/>
              </w:rPr>
            </w:pPr>
          </w:p>
        </w:tc>
        <w:tc>
          <w:tcPr>
            <w:tcW w:w="577" w:type="dxa"/>
            <w:shd w:val="clear" w:color="auto" w:fill="auto"/>
            <w:vAlign w:val="center"/>
          </w:tcPr>
          <w:p w14:paraId="3385B75C">
            <w:pPr>
              <w:jc w:val="center"/>
              <w:rPr>
                <w:rFonts w:ascii="宋体" w:hAnsi="宋体"/>
                <w:b/>
                <w:color w:val="000000"/>
              </w:rPr>
            </w:pPr>
            <w:r>
              <w:rPr>
                <w:rFonts w:hint="eastAsia" w:ascii="宋体" w:hAnsi="宋体"/>
                <w:b/>
                <w:color w:val="000000"/>
              </w:rPr>
              <w:t>郑重承诺</w:t>
            </w:r>
          </w:p>
        </w:tc>
        <w:tc>
          <w:tcPr>
            <w:tcW w:w="8253" w:type="dxa"/>
            <w:gridSpan w:val="9"/>
            <w:shd w:val="clear" w:color="auto" w:fill="auto"/>
          </w:tcPr>
          <w:p w14:paraId="24D95C04">
            <w:pPr>
              <w:spacing w:before="100" w:beforeAutospacing="1"/>
              <w:ind w:firstLine="437"/>
              <w:rPr>
                <w:rFonts w:ascii="宋体" w:hAnsi="宋体"/>
                <w:b/>
                <w:color w:val="000000"/>
                <w:sz w:val="18"/>
              </w:rPr>
            </w:pPr>
            <w:r>
              <w:rPr>
                <w:rFonts w:hint="eastAsia" w:ascii="宋体" w:hAnsi="宋体"/>
                <w:b/>
                <w:color w:val="000000"/>
                <w:sz w:val="18"/>
              </w:rPr>
              <w:t>本单位已认真阅读并签署了《CnSCA数字证书申请责任书》，愿意接受责任条款中的各项规定，承诺填写的内容真实准确。如选择邮寄方式领取，本单位承诺在邮寄过程中造成的证书遗失、损坏及其引起的后果由本单位自行承担。</w:t>
            </w:r>
          </w:p>
          <w:p w14:paraId="610292BA">
            <w:pPr>
              <w:rPr>
                <w:rFonts w:ascii="宋体" w:hAnsi="宋体"/>
                <w:b/>
                <w:color w:val="000000"/>
                <w:sz w:val="18"/>
              </w:rPr>
            </w:pPr>
            <w:r>
              <w:rPr>
                <w:rFonts w:hint="eastAsia" w:ascii="宋体" w:hAnsi="宋体"/>
                <w:b/>
                <w:color w:val="000000"/>
                <w:sz w:val="18"/>
              </w:rPr>
              <w:t xml:space="preserve">  经办人签名：                               申请单位盖章（单位公章）：</w:t>
            </w:r>
          </w:p>
          <w:p w14:paraId="3022AE46">
            <w:pPr>
              <w:rPr>
                <w:rFonts w:ascii="宋体" w:hAnsi="宋体"/>
                <w:b/>
                <w:color w:val="000000"/>
                <w:sz w:val="18"/>
              </w:rPr>
            </w:pPr>
            <w:r>
              <w:rPr>
                <w:rFonts w:hint="eastAsia" w:ascii="宋体" w:hAnsi="宋体"/>
                <w:b/>
                <w:color w:val="000000"/>
                <w:sz w:val="18"/>
              </w:rPr>
              <w:t xml:space="preserve">         年     月     日                    </w:t>
            </w:r>
            <w:r>
              <w:rPr>
                <w:rFonts w:ascii="宋体" w:hAnsi="宋体"/>
                <w:b/>
                <w:color w:val="000000"/>
                <w:sz w:val="18"/>
              </w:rPr>
              <w:t xml:space="preserve">                     </w:t>
            </w:r>
            <w:r>
              <w:rPr>
                <w:rFonts w:hint="eastAsia" w:ascii="宋体" w:hAnsi="宋体"/>
                <w:b/>
                <w:color w:val="000000"/>
                <w:sz w:val="18"/>
              </w:rPr>
              <w:t xml:space="preserve">      年     月     日</w:t>
            </w:r>
          </w:p>
        </w:tc>
      </w:tr>
      <w:tr w14:paraId="169B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trPr>
        <w:tc>
          <w:tcPr>
            <w:tcW w:w="990" w:type="dxa"/>
            <w:gridSpan w:val="2"/>
            <w:shd w:val="clear" w:color="auto" w:fill="auto"/>
            <w:vAlign w:val="center"/>
          </w:tcPr>
          <w:p w14:paraId="2DF4F3EF">
            <w:pPr>
              <w:jc w:val="center"/>
              <w:rPr>
                <w:rFonts w:ascii="宋体" w:hAnsi="宋体"/>
                <w:b/>
                <w:color w:val="000000"/>
              </w:rPr>
            </w:pPr>
            <w:r>
              <w:rPr>
                <w:rFonts w:hint="eastAsia" w:ascii="宋体" w:hAnsi="宋体"/>
                <w:b/>
                <w:color w:val="000000"/>
              </w:rPr>
              <w:t>上交所</w:t>
            </w:r>
          </w:p>
          <w:p w14:paraId="06A37E73">
            <w:pPr>
              <w:jc w:val="center"/>
              <w:rPr>
                <w:rFonts w:ascii="宋体" w:hAnsi="宋体"/>
                <w:b/>
                <w:color w:val="000000"/>
              </w:rPr>
            </w:pPr>
            <w:r>
              <w:rPr>
                <w:rFonts w:hint="eastAsia" w:ascii="宋体" w:hAnsi="宋体"/>
                <w:b/>
                <w:color w:val="000000"/>
              </w:rPr>
              <w:t>业务审</w:t>
            </w:r>
          </w:p>
          <w:p w14:paraId="05D65D24">
            <w:pPr>
              <w:jc w:val="center"/>
              <w:rPr>
                <w:rFonts w:ascii="宋体" w:hAnsi="宋体"/>
                <w:b/>
                <w:color w:val="000000"/>
              </w:rPr>
            </w:pPr>
            <w:r>
              <w:rPr>
                <w:rFonts w:hint="eastAsia" w:ascii="宋体" w:hAnsi="宋体"/>
                <w:b/>
                <w:color w:val="000000"/>
              </w:rPr>
              <w:t>核部门</w:t>
            </w:r>
          </w:p>
          <w:p w14:paraId="065695F6">
            <w:pPr>
              <w:jc w:val="center"/>
              <w:rPr>
                <w:rFonts w:ascii="宋体" w:hAnsi="宋体"/>
                <w:b/>
                <w:color w:val="000000"/>
              </w:rPr>
            </w:pPr>
            <w:r>
              <w:rPr>
                <w:rFonts w:hint="eastAsia" w:ascii="宋体" w:hAnsi="宋体"/>
                <w:b/>
                <w:color w:val="000000"/>
              </w:rPr>
              <w:t>填写</w:t>
            </w:r>
          </w:p>
        </w:tc>
        <w:tc>
          <w:tcPr>
            <w:tcW w:w="8253" w:type="dxa"/>
            <w:gridSpan w:val="9"/>
            <w:shd w:val="clear" w:color="auto" w:fill="auto"/>
            <w:vAlign w:val="center"/>
          </w:tcPr>
          <w:p w14:paraId="75FA13EC">
            <w:pPr>
              <w:spacing w:line="0" w:lineRule="atLeast"/>
              <w:ind w:firstLine="90" w:firstLineChars="50"/>
              <w:rPr>
                <w:rFonts w:ascii="宋体" w:hAnsi="宋体"/>
                <w:b/>
                <w:color w:val="000000"/>
                <w:sz w:val="18"/>
                <w:u w:val="single"/>
              </w:rPr>
            </w:pPr>
            <w:r>
              <w:rPr>
                <w:rFonts w:hint="eastAsia" w:ascii="宋体" w:hAnsi="宋体"/>
                <w:b/>
                <w:color w:val="000000"/>
                <w:sz w:val="18"/>
              </w:rPr>
              <w:t>审核意见：</w:t>
            </w:r>
            <w:r>
              <w:rPr>
                <w:rFonts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通过</w:t>
            </w:r>
            <w:r>
              <w:rPr>
                <w:rFonts w:hint="eastAsia"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不通过</w:t>
            </w:r>
            <w:r>
              <w:rPr>
                <w:rFonts w:hint="eastAsia" w:ascii="宋体" w:hAnsi="宋体"/>
                <w:b/>
                <w:color w:val="000000"/>
                <w:sz w:val="18"/>
              </w:rPr>
              <w:t>，原因</w:t>
            </w:r>
            <w:r>
              <w:rPr>
                <w:rFonts w:ascii="宋体" w:hAnsi="宋体"/>
                <w:b/>
                <w:color w:val="000000"/>
                <w:sz w:val="18"/>
              </w:rPr>
              <w:t>：</w:t>
            </w:r>
            <w:r>
              <w:rPr>
                <w:rFonts w:hint="eastAsia" w:ascii="宋体" w:hAnsi="宋体"/>
                <w:b/>
                <w:color w:val="000000"/>
                <w:sz w:val="18"/>
              </w:rPr>
              <w:t xml:space="preserve"> </w:t>
            </w:r>
            <w:r>
              <w:rPr>
                <w:rFonts w:hint="eastAsia" w:ascii="宋体" w:hAnsi="宋体"/>
                <w:b/>
                <w:color w:val="000000"/>
                <w:sz w:val="18"/>
                <w:u w:val="single"/>
              </w:rPr>
              <w:t xml:space="preserve"> </w:t>
            </w:r>
            <w:r>
              <w:rPr>
                <w:rFonts w:ascii="宋体" w:hAnsi="宋体"/>
                <w:b/>
                <w:color w:val="000000"/>
                <w:sz w:val="18"/>
                <w:u w:val="single"/>
              </w:rPr>
              <w:t xml:space="preserve">          </w:t>
            </w:r>
            <w:r>
              <w:rPr>
                <w:rFonts w:hint="eastAsia" w:ascii="宋体" w:hAnsi="宋体"/>
                <w:b/>
                <w:color w:val="000000"/>
                <w:sz w:val="18"/>
                <w:u w:val="single"/>
              </w:rPr>
              <w:t xml:space="preserve">                              </w:t>
            </w:r>
          </w:p>
          <w:p w14:paraId="6545E309">
            <w:pPr>
              <w:spacing w:line="0" w:lineRule="atLeast"/>
              <w:rPr>
                <w:rFonts w:ascii="宋体" w:hAnsi="宋体"/>
                <w:b/>
                <w:color w:val="000000"/>
                <w:sz w:val="18"/>
              </w:rPr>
            </w:pPr>
            <w:r>
              <w:rPr>
                <w:rFonts w:hint="eastAsia" w:ascii="宋体" w:hAnsi="宋体"/>
                <w:b/>
                <w:color w:val="000000"/>
                <w:sz w:val="18"/>
              </w:rPr>
              <w:t xml:space="preserve">   </w:t>
            </w:r>
          </w:p>
          <w:p w14:paraId="42F7CE0A">
            <w:pPr>
              <w:spacing w:line="0" w:lineRule="atLeast"/>
              <w:ind w:firstLine="90" w:firstLineChars="50"/>
              <w:rPr>
                <w:rFonts w:ascii="宋体" w:hAnsi="宋体"/>
                <w:b/>
                <w:color w:val="000000"/>
                <w:sz w:val="18"/>
                <w:u w:val="single"/>
              </w:rPr>
            </w:pPr>
            <w:r>
              <w:rPr>
                <w:rFonts w:hint="eastAsia" w:ascii="宋体" w:hAnsi="宋体"/>
                <w:b/>
                <w:color w:val="000000"/>
                <w:sz w:val="18"/>
              </w:rPr>
              <w:t>为用户</w:t>
            </w:r>
            <w:r>
              <w:rPr>
                <w:rFonts w:ascii="宋体" w:hAnsi="宋体"/>
                <w:b/>
                <w:color w:val="000000"/>
                <w:sz w:val="18"/>
              </w:rPr>
              <w:t>分配的</w:t>
            </w:r>
            <w:r>
              <w:rPr>
                <w:rFonts w:hint="eastAsia" w:ascii="宋体" w:hAnsi="宋体"/>
                <w:b/>
                <w:color w:val="000000"/>
                <w:sz w:val="18"/>
              </w:rPr>
              <w:t>应用标识为：</w:t>
            </w:r>
            <w:r>
              <w:rPr>
                <w:rFonts w:hint="eastAsia" w:ascii="宋体" w:hAnsi="宋体"/>
                <w:b/>
                <w:color w:val="000000"/>
                <w:sz w:val="18"/>
                <w:u w:val="single"/>
              </w:rPr>
              <w:t xml:space="preserve">                               </w:t>
            </w:r>
          </w:p>
          <w:p w14:paraId="5316383A">
            <w:pPr>
              <w:spacing w:line="0" w:lineRule="atLeast"/>
              <w:rPr>
                <w:rFonts w:ascii="宋体" w:hAnsi="宋体"/>
                <w:b/>
                <w:color w:val="000000"/>
                <w:sz w:val="18"/>
                <w:u w:val="single"/>
              </w:rPr>
            </w:pPr>
          </w:p>
          <w:p w14:paraId="3564AEBF">
            <w:pPr>
              <w:spacing w:line="0" w:lineRule="atLeast"/>
              <w:rPr>
                <w:rFonts w:ascii="宋体" w:hAnsi="宋体"/>
                <w:b/>
                <w:color w:val="000000"/>
              </w:rPr>
            </w:pPr>
            <w:r>
              <w:rPr>
                <w:rFonts w:hint="eastAsia" w:ascii="宋体" w:hAnsi="宋体"/>
                <w:b/>
                <w:color w:val="000000"/>
                <w:sz w:val="18"/>
              </w:rPr>
              <w:t>审核部门：</w:t>
            </w:r>
            <w:r>
              <w:rPr>
                <w:rFonts w:hint="eastAsia" w:ascii="宋体" w:hAnsi="宋体"/>
                <w:b/>
                <w:color w:val="000000"/>
                <w:sz w:val="18"/>
                <w:u w:val="single"/>
              </w:rPr>
              <w:t xml:space="preserve">                  </w:t>
            </w:r>
            <w:r>
              <w:rPr>
                <w:rFonts w:hint="eastAsia" w:ascii="宋体" w:hAnsi="宋体"/>
                <w:b/>
                <w:color w:val="000000"/>
                <w:sz w:val="18"/>
              </w:rPr>
              <w:t>审核人员签字：</w:t>
            </w:r>
            <w:r>
              <w:rPr>
                <w:rFonts w:hint="eastAsia" w:ascii="宋体" w:hAnsi="宋体"/>
                <w:b/>
                <w:color w:val="000000"/>
                <w:sz w:val="18"/>
                <w:u w:val="single"/>
              </w:rPr>
              <w:t xml:space="preserve">              </w:t>
            </w:r>
            <w:r>
              <w:rPr>
                <w:rFonts w:hint="eastAsia" w:ascii="宋体" w:hAnsi="宋体"/>
                <w:b/>
                <w:color w:val="000000"/>
                <w:sz w:val="18"/>
              </w:rPr>
              <w:t xml:space="preserve">   时间：</w:t>
            </w:r>
            <w:r>
              <w:rPr>
                <w:rFonts w:hint="eastAsia" w:ascii="宋体" w:hAnsi="宋体"/>
                <w:b/>
                <w:color w:val="000000"/>
                <w:sz w:val="18"/>
                <w:u w:val="single"/>
              </w:rPr>
              <w:t xml:space="preserve">      年   月   日</w:t>
            </w:r>
          </w:p>
        </w:tc>
      </w:tr>
      <w:tr w14:paraId="13EF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990" w:type="dxa"/>
            <w:gridSpan w:val="2"/>
            <w:shd w:val="clear" w:color="auto" w:fill="auto"/>
            <w:vAlign w:val="center"/>
          </w:tcPr>
          <w:p w14:paraId="2681AFF9">
            <w:pPr>
              <w:jc w:val="center"/>
              <w:rPr>
                <w:rFonts w:ascii="宋体" w:hAnsi="宋体"/>
                <w:b/>
                <w:color w:val="000000"/>
              </w:rPr>
            </w:pPr>
            <w:r>
              <w:rPr>
                <w:rFonts w:hint="eastAsia" w:ascii="宋体" w:hAnsi="宋体"/>
                <w:b/>
                <w:color w:val="000000"/>
              </w:rPr>
              <w:t>CA中心填写</w:t>
            </w:r>
          </w:p>
        </w:tc>
        <w:tc>
          <w:tcPr>
            <w:tcW w:w="8253" w:type="dxa"/>
            <w:gridSpan w:val="9"/>
            <w:shd w:val="clear" w:color="auto" w:fill="auto"/>
            <w:vAlign w:val="center"/>
          </w:tcPr>
          <w:p w14:paraId="36C2AF14">
            <w:pPr>
              <w:ind w:firstLine="435"/>
              <w:rPr>
                <w:rFonts w:ascii="宋体" w:hAnsi="宋体"/>
                <w:b/>
                <w:color w:val="000000"/>
                <w:sz w:val="18"/>
                <w:szCs w:val="18"/>
              </w:rPr>
            </w:pPr>
            <w:r>
              <w:rPr>
                <w:rFonts w:hint="eastAsia" w:ascii="宋体" w:hAnsi="宋体"/>
                <w:b/>
                <w:color w:val="000000"/>
                <w:sz w:val="18"/>
                <w:szCs w:val="18"/>
              </w:rPr>
              <w:t>CA中心备注信息：</w:t>
            </w:r>
          </w:p>
          <w:p w14:paraId="2343760A">
            <w:pPr>
              <w:ind w:firstLine="435"/>
              <w:rPr>
                <w:rFonts w:ascii="宋体" w:hAnsi="宋体"/>
                <w:b/>
                <w:color w:val="000000"/>
                <w:sz w:val="18"/>
                <w:szCs w:val="18"/>
              </w:rPr>
            </w:pPr>
            <w:r>
              <w:rPr>
                <w:rFonts w:hint="eastAsia" w:ascii="宋体" w:hAnsi="宋体"/>
                <w:b/>
                <w:color w:val="000000"/>
                <w:sz w:val="18"/>
                <w:szCs w:val="18"/>
              </w:rPr>
              <w:t>CA中心经办人签字：</w:t>
            </w:r>
            <w:r>
              <w:rPr>
                <w:rFonts w:hint="eastAsia" w:ascii="宋体" w:hAnsi="宋体"/>
                <w:b/>
                <w:color w:val="000000"/>
                <w:sz w:val="18"/>
                <w:szCs w:val="18"/>
                <w:u w:val="single"/>
              </w:rPr>
              <w:t xml:space="preserve">                       </w:t>
            </w:r>
            <w:r>
              <w:rPr>
                <w:rFonts w:hint="eastAsia" w:ascii="宋体" w:hAnsi="宋体"/>
                <w:b/>
                <w:color w:val="000000"/>
                <w:sz w:val="18"/>
                <w:szCs w:val="18"/>
              </w:rPr>
              <w:t xml:space="preserve">   日期：</w:t>
            </w:r>
            <w:r>
              <w:rPr>
                <w:rFonts w:hint="eastAsia" w:ascii="宋体" w:hAnsi="宋体"/>
                <w:b/>
                <w:color w:val="000000"/>
                <w:sz w:val="18"/>
                <w:szCs w:val="18"/>
                <w:u w:val="single"/>
              </w:rPr>
              <w:t xml:space="preserve">                        </w:t>
            </w:r>
            <w:r>
              <w:rPr>
                <w:rFonts w:hint="eastAsia" w:ascii="宋体" w:hAnsi="宋体"/>
                <w:b/>
                <w:color w:val="000000"/>
                <w:sz w:val="18"/>
                <w:szCs w:val="18"/>
              </w:rPr>
              <w:t xml:space="preserve"> </w:t>
            </w:r>
          </w:p>
        </w:tc>
      </w:tr>
    </w:tbl>
    <w:p w14:paraId="5D41A24B">
      <w:pPr>
        <w:widowControl/>
        <w:jc w:val="left"/>
        <w:rPr>
          <w:rFonts w:ascii="仿宋_GB2312" w:hAnsi="仿宋" w:eastAsia="仿宋_GB2312"/>
          <w:b/>
          <w:bCs/>
          <w:sz w:val="30"/>
          <w:szCs w:val="30"/>
        </w:rPr>
      </w:pPr>
    </w:p>
    <w:p w14:paraId="6E37ABF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DA6172F">
      <w:pPr>
        <w:widowControl/>
        <w:jc w:val="left"/>
        <w:outlineLvl w:val="1"/>
        <w:rPr>
          <w:rFonts w:ascii="仿宋_GB2312" w:hAnsi="黑体" w:eastAsia="仿宋_GB2312"/>
          <w:b/>
          <w:sz w:val="30"/>
          <w:szCs w:val="30"/>
        </w:rPr>
      </w:pPr>
      <w:bookmarkStart w:id="3538" w:name="_Toc151137118"/>
      <w:r>
        <w:rPr>
          <w:rFonts w:hint="eastAsia" w:ascii="仿宋_GB2312" w:hAnsi="黑体" w:eastAsia="仿宋_GB2312"/>
          <w:b/>
          <w:sz w:val="30"/>
          <w:szCs w:val="30"/>
        </w:rPr>
        <w:t>附件35 拟参与债券担保品处置的指定报价团成员名单</w:t>
      </w:r>
      <w:bookmarkEnd w:id="3538"/>
    </w:p>
    <w:p w14:paraId="232C8245">
      <w:pPr>
        <w:spacing w:line="560" w:lineRule="exact"/>
        <w:jc w:val="center"/>
        <w:rPr>
          <w:rFonts w:ascii="黑体" w:hAnsi="黑体" w:eastAsia="黑体"/>
          <w:b/>
          <w:sz w:val="44"/>
          <w:szCs w:val="44"/>
        </w:rPr>
      </w:pPr>
    </w:p>
    <w:p w14:paraId="07F319D4">
      <w:pPr>
        <w:spacing w:line="560" w:lineRule="exact"/>
        <w:jc w:val="center"/>
        <w:rPr>
          <w:rFonts w:ascii="黑体" w:hAnsi="黑体" w:eastAsia="黑体"/>
          <w:b/>
          <w:sz w:val="44"/>
          <w:szCs w:val="44"/>
        </w:rPr>
      </w:pPr>
      <w:r>
        <w:rPr>
          <w:rFonts w:hint="eastAsia" w:ascii="黑体" w:hAnsi="黑体" w:eastAsia="黑体"/>
          <w:b/>
          <w:sz w:val="44"/>
          <w:szCs w:val="44"/>
        </w:rPr>
        <w:t>拟参与债券担保品处置的指定报价团</w:t>
      </w:r>
    </w:p>
    <w:p w14:paraId="22D0B7A0">
      <w:pPr>
        <w:spacing w:line="560" w:lineRule="exact"/>
        <w:jc w:val="center"/>
        <w:rPr>
          <w:rFonts w:ascii="黑体" w:hAnsi="黑体" w:eastAsia="黑体"/>
          <w:b/>
          <w:sz w:val="32"/>
          <w:szCs w:val="32"/>
        </w:rPr>
      </w:pPr>
      <w:r>
        <w:rPr>
          <w:rFonts w:hint="eastAsia" w:ascii="黑体" w:hAnsi="黑体" w:eastAsia="黑体"/>
          <w:b/>
          <w:sz w:val="44"/>
          <w:szCs w:val="44"/>
        </w:rPr>
        <w:t>成员名单</w:t>
      </w:r>
    </w:p>
    <w:tbl>
      <w:tblPr>
        <w:tblStyle w:val="43"/>
        <w:tblW w:w="9684" w:type="dxa"/>
        <w:tblInd w:w="-31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94"/>
        <w:gridCol w:w="3785"/>
        <w:gridCol w:w="2126"/>
        <w:gridCol w:w="2879"/>
      </w:tblGrid>
      <w:tr w14:paraId="0983EA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0" w:hRule="atLeast"/>
        </w:trPr>
        <w:tc>
          <w:tcPr>
            <w:tcW w:w="894" w:type="dxa"/>
            <w:noWrap/>
            <w:tcMar>
              <w:top w:w="0" w:type="dxa"/>
              <w:left w:w="108" w:type="dxa"/>
              <w:bottom w:w="0" w:type="dxa"/>
              <w:right w:w="108" w:type="dxa"/>
            </w:tcMar>
            <w:vAlign w:val="center"/>
          </w:tcPr>
          <w:p w14:paraId="642AA53E">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3785" w:type="dxa"/>
            <w:noWrap/>
            <w:tcMar>
              <w:top w:w="0" w:type="dxa"/>
              <w:left w:w="108" w:type="dxa"/>
              <w:bottom w:w="0" w:type="dxa"/>
              <w:right w:w="108" w:type="dxa"/>
            </w:tcMar>
            <w:vAlign w:val="center"/>
          </w:tcPr>
          <w:p w14:paraId="19B194CA">
            <w:pPr>
              <w:spacing w:line="560" w:lineRule="exact"/>
              <w:jc w:val="center"/>
              <w:rPr>
                <w:rFonts w:ascii="仿宋_GB2312" w:eastAsia="仿宋_GB2312"/>
                <w:sz w:val="28"/>
                <w:szCs w:val="28"/>
              </w:rPr>
            </w:pPr>
            <w:r>
              <w:rPr>
                <w:rFonts w:hint="eastAsia" w:ascii="仿宋_GB2312" w:eastAsia="仿宋_GB2312"/>
                <w:sz w:val="28"/>
                <w:szCs w:val="28"/>
              </w:rPr>
              <w:t>单位名称</w:t>
            </w:r>
          </w:p>
        </w:tc>
        <w:tc>
          <w:tcPr>
            <w:tcW w:w="2126" w:type="dxa"/>
            <w:noWrap/>
            <w:tcMar>
              <w:top w:w="0" w:type="dxa"/>
              <w:left w:w="108" w:type="dxa"/>
              <w:bottom w:w="0" w:type="dxa"/>
              <w:right w:w="108" w:type="dxa"/>
            </w:tcMar>
            <w:vAlign w:val="center"/>
          </w:tcPr>
          <w:p w14:paraId="7D725437">
            <w:pPr>
              <w:spacing w:line="560" w:lineRule="exact"/>
              <w:jc w:val="center"/>
              <w:rPr>
                <w:rFonts w:ascii="仿宋_GB2312" w:eastAsia="仿宋_GB2312"/>
                <w:sz w:val="28"/>
                <w:szCs w:val="28"/>
              </w:rPr>
            </w:pPr>
            <w:r>
              <w:rPr>
                <w:rFonts w:hint="eastAsia" w:ascii="仿宋_GB2312" w:eastAsia="仿宋_GB2312"/>
                <w:sz w:val="28"/>
                <w:szCs w:val="28"/>
              </w:rPr>
              <w:t>联系人</w:t>
            </w:r>
          </w:p>
        </w:tc>
        <w:tc>
          <w:tcPr>
            <w:tcW w:w="2879" w:type="dxa"/>
            <w:tcMar>
              <w:top w:w="0" w:type="dxa"/>
              <w:left w:w="108" w:type="dxa"/>
              <w:bottom w:w="0" w:type="dxa"/>
              <w:right w:w="108" w:type="dxa"/>
            </w:tcMar>
            <w:vAlign w:val="center"/>
          </w:tcPr>
          <w:p w14:paraId="4EC01B4E">
            <w:pPr>
              <w:spacing w:line="560" w:lineRule="exact"/>
              <w:jc w:val="center"/>
              <w:rPr>
                <w:rFonts w:ascii="仿宋_GB2312" w:eastAsia="仿宋_GB2312"/>
                <w:sz w:val="28"/>
                <w:szCs w:val="28"/>
              </w:rPr>
            </w:pPr>
            <w:r>
              <w:rPr>
                <w:rFonts w:hint="eastAsia" w:ascii="仿宋_GB2312" w:eastAsia="仿宋_GB2312"/>
                <w:sz w:val="28"/>
                <w:szCs w:val="28"/>
              </w:rPr>
              <w:t>联系方式</w:t>
            </w:r>
          </w:p>
        </w:tc>
      </w:tr>
      <w:tr w14:paraId="7AEA6E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6" w:hRule="atLeast"/>
        </w:trPr>
        <w:tc>
          <w:tcPr>
            <w:tcW w:w="894" w:type="dxa"/>
            <w:vMerge w:val="restart"/>
            <w:shd w:val="clear" w:color="auto" w:fill="auto"/>
            <w:noWrap/>
            <w:tcMar>
              <w:top w:w="0" w:type="dxa"/>
              <w:left w:w="108" w:type="dxa"/>
              <w:bottom w:w="0" w:type="dxa"/>
              <w:right w:w="108" w:type="dxa"/>
            </w:tcMar>
            <w:vAlign w:val="center"/>
          </w:tcPr>
          <w:p w14:paraId="3D97A869">
            <w:pPr>
              <w:spacing w:line="560" w:lineRule="exact"/>
              <w:jc w:val="center"/>
              <w:rPr>
                <w:rFonts w:ascii="仿宋_GB2312" w:eastAsia="仿宋_GB2312"/>
                <w:sz w:val="28"/>
                <w:szCs w:val="28"/>
              </w:rPr>
            </w:pPr>
            <w:r>
              <w:rPr>
                <w:rFonts w:ascii="仿宋_GB2312" w:eastAsia="仿宋_GB2312"/>
                <w:sz w:val="28"/>
                <w:szCs w:val="28"/>
              </w:rPr>
              <w:t>1</w:t>
            </w:r>
          </w:p>
        </w:tc>
        <w:tc>
          <w:tcPr>
            <w:tcW w:w="3785" w:type="dxa"/>
            <w:vMerge w:val="restart"/>
            <w:shd w:val="clear" w:color="auto" w:fill="auto"/>
            <w:noWrap/>
            <w:tcMar>
              <w:top w:w="0" w:type="dxa"/>
              <w:left w:w="108" w:type="dxa"/>
              <w:bottom w:w="0" w:type="dxa"/>
              <w:right w:w="108" w:type="dxa"/>
            </w:tcMar>
            <w:vAlign w:val="center"/>
          </w:tcPr>
          <w:p w14:paraId="3F90AED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6D7439E">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1A9BB65">
            <w:pPr>
              <w:spacing w:line="560" w:lineRule="exact"/>
              <w:jc w:val="center"/>
              <w:rPr>
                <w:rFonts w:ascii="仿宋_GB2312" w:eastAsia="仿宋_GB2312"/>
                <w:sz w:val="28"/>
                <w:szCs w:val="28"/>
              </w:rPr>
            </w:pPr>
          </w:p>
        </w:tc>
      </w:tr>
      <w:tr w14:paraId="6A878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04AF9A87">
            <w:pPr>
              <w:spacing w:line="560" w:lineRule="exact"/>
              <w:jc w:val="center"/>
              <w:rPr>
                <w:rFonts w:ascii="仿宋_GB2312" w:eastAsia="仿宋_GB2312"/>
                <w:sz w:val="28"/>
                <w:szCs w:val="28"/>
              </w:rPr>
            </w:pPr>
          </w:p>
        </w:tc>
        <w:tc>
          <w:tcPr>
            <w:tcW w:w="3785" w:type="dxa"/>
            <w:vMerge w:val="continue"/>
            <w:shd w:val="clear" w:color="auto" w:fill="auto"/>
            <w:vAlign w:val="center"/>
          </w:tcPr>
          <w:p w14:paraId="4BD674E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E464A5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EC66307">
            <w:pPr>
              <w:spacing w:line="560" w:lineRule="exact"/>
              <w:jc w:val="center"/>
              <w:rPr>
                <w:rFonts w:ascii="仿宋_GB2312" w:eastAsia="仿宋_GB2312"/>
                <w:sz w:val="28"/>
                <w:szCs w:val="28"/>
              </w:rPr>
            </w:pPr>
          </w:p>
        </w:tc>
      </w:tr>
      <w:tr w14:paraId="082272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1BF1B01B">
            <w:pPr>
              <w:spacing w:line="560" w:lineRule="exact"/>
              <w:jc w:val="center"/>
              <w:rPr>
                <w:rFonts w:ascii="仿宋_GB2312" w:eastAsia="仿宋_GB2312"/>
                <w:sz w:val="28"/>
                <w:szCs w:val="28"/>
              </w:rPr>
            </w:pPr>
            <w:r>
              <w:rPr>
                <w:rFonts w:hint="eastAsia" w:ascii="仿宋_GB2312" w:eastAsia="仿宋_GB2312"/>
                <w:sz w:val="28"/>
                <w:szCs w:val="28"/>
              </w:rPr>
              <w:t>2</w:t>
            </w:r>
          </w:p>
        </w:tc>
        <w:tc>
          <w:tcPr>
            <w:tcW w:w="3785" w:type="dxa"/>
            <w:vMerge w:val="restart"/>
            <w:shd w:val="clear" w:color="auto" w:fill="auto"/>
            <w:noWrap/>
            <w:tcMar>
              <w:top w:w="0" w:type="dxa"/>
              <w:left w:w="108" w:type="dxa"/>
              <w:bottom w:w="0" w:type="dxa"/>
              <w:right w:w="108" w:type="dxa"/>
            </w:tcMar>
            <w:vAlign w:val="center"/>
          </w:tcPr>
          <w:p w14:paraId="1E21668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0B9ECA7">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99BA42E">
            <w:pPr>
              <w:spacing w:line="560" w:lineRule="exact"/>
              <w:jc w:val="center"/>
              <w:rPr>
                <w:rFonts w:ascii="仿宋_GB2312" w:eastAsia="仿宋_GB2312"/>
                <w:sz w:val="28"/>
                <w:szCs w:val="28"/>
              </w:rPr>
            </w:pPr>
          </w:p>
        </w:tc>
      </w:tr>
      <w:tr w14:paraId="4D657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3E4DA75">
            <w:pPr>
              <w:spacing w:line="560" w:lineRule="exact"/>
              <w:jc w:val="center"/>
              <w:rPr>
                <w:rFonts w:ascii="仿宋_GB2312" w:eastAsia="仿宋_GB2312"/>
                <w:sz w:val="28"/>
                <w:szCs w:val="28"/>
              </w:rPr>
            </w:pPr>
          </w:p>
        </w:tc>
        <w:tc>
          <w:tcPr>
            <w:tcW w:w="3785" w:type="dxa"/>
            <w:vMerge w:val="continue"/>
            <w:shd w:val="clear" w:color="auto" w:fill="auto"/>
            <w:vAlign w:val="center"/>
          </w:tcPr>
          <w:p w14:paraId="079AF0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BD005F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36E622E">
            <w:pPr>
              <w:spacing w:line="560" w:lineRule="exact"/>
              <w:jc w:val="center"/>
              <w:rPr>
                <w:rFonts w:ascii="仿宋_GB2312" w:eastAsia="仿宋_GB2312"/>
                <w:sz w:val="28"/>
                <w:szCs w:val="28"/>
              </w:rPr>
            </w:pPr>
          </w:p>
        </w:tc>
      </w:tr>
      <w:tr w14:paraId="72F066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5CB04FE8">
            <w:pPr>
              <w:spacing w:line="560" w:lineRule="exact"/>
              <w:jc w:val="center"/>
              <w:rPr>
                <w:rFonts w:ascii="仿宋_GB2312" w:eastAsia="仿宋_GB2312"/>
                <w:sz w:val="28"/>
                <w:szCs w:val="28"/>
              </w:rPr>
            </w:pPr>
            <w:r>
              <w:rPr>
                <w:rFonts w:hint="eastAsia" w:ascii="仿宋_GB2312" w:eastAsia="仿宋_GB2312"/>
                <w:sz w:val="28"/>
                <w:szCs w:val="28"/>
              </w:rPr>
              <w:t>3</w:t>
            </w:r>
          </w:p>
        </w:tc>
        <w:tc>
          <w:tcPr>
            <w:tcW w:w="3785" w:type="dxa"/>
            <w:vMerge w:val="restart"/>
            <w:shd w:val="clear" w:color="auto" w:fill="auto"/>
            <w:noWrap/>
            <w:tcMar>
              <w:top w:w="0" w:type="dxa"/>
              <w:left w:w="108" w:type="dxa"/>
              <w:bottom w:w="0" w:type="dxa"/>
              <w:right w:w="108" w:type="dxa"/>
            </w:tcMar>
            <w:vAlign w:val="center"/>
          </w:tcPr>
          <w:p w14:paraId="7B71CB4E">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0C35BC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6CA59883">
            <w:pPr>
              <w:spacing w:line="560" w:lineRule="exact"/>
              <w:jc w:val="center"/>
              <w:rPr>
                <w:rFonts w:ascii="仿宋_GB2312" w:eastAsia="仿宋_GB2312"/>
                <w:sz w:val="28"/>
                <w:szCs w:val="28"/>
              </w:rPr>
            </w:pPr>
          </w:p>
        </w:tc>
      </w:tr>
      <w:tr w14:paraId="44E94C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98A3FAA">
            <w:pPr>
              <w:spacing w:line="560" w:lineRule="exact"/>
              <w:jc w:val="center"/>
              <w:rPr>
                <w:rFonts w:ascii="仿宋_GB2312" w:eastAsia="仿宋_GB2312"/>
                <w:sz w:val="28"/>
                <w:szCs w:val="28"/>
              </w:rPr>
            </w:pPr>
          </w:p>
        </w:tc>
        <w:tc>
          <w:tcPr>
            <w:tcW w:w="3785" w:type="dxa"/>
            <w:vMerge w:val="continue"/>
            <w:shd w:val="clear" w:color="auto" w:fill="auto"/>
            <w:vAlign w:val="center"/>
          </w:tcPr>
          <w:p w14:paraId="0993621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7130F902">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D2A7E78">
            <w:pPr>
              <w:spacing w:line="560" w:lineRule="exact"/>
              <w:jc w:val="center"/>
              <w:rPr>
                <w:rFonts w:ascii="仿宋_GB2312" w:eastAsia="仿宋_GB2312"/>
                <w:sz w:val="28"/>
                <w:szCs w:val="28"/>
              </w:rPr>
            </w:pPr>
          </w:p>
        </w:tc>
      </w:tr>
      <w:tr w14:paraId="2B49B0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96EDBC0">
            <w:pPr>
              <w:spacing w:line="560" w:lineRule="exact"/>
              <w:jc w:val="center"/>
              <w:rPr>
                <w:rFonts w:ascii="仿宋_GB2312" w:eastAsia="仿宋_GB2312"/>
                <w:sz w:val="28"/>
                <w:szCs w:val="28"/>
              </w:rPr>
            </w:pPr>
            <w:r>
              <w:rPr>
                <w:rFonts w:hint="eastAsia" w:ascii="仿宋_GB2312" w:eastAsia="仿宋_GB2312"/>
                <w:sz w:val="28"/>
                <w:szCs w:val="28"/>
              </w:rPr>
              <w:t>4</w:t>
            </w:r>
          </w:p>
        </w:tc>
        <w:tc>
          <w:tcPr>
            <w:tcW w:w="3785" w:type="dxa"/>
            <w:vMerge w:val="restart"/>
            <w:shd w:val="clear" w:color="auto" w:fill="auto"/>
            <w:noWrap/>
            <w:tcMar>
              <w:top w:w="0" w:type="dxa"/>
              <w:left w:w="108" w:type="dxa"/>
              <w:bottom w:w="0" w:type="dxa"/>
              <w:right w:w="108" w:type="dxa"/>
            </w:tcMar>
            <w:vAlign w:val="center"/>
          </w:tcPr>
          <w:p w14:paraId="7D0AD90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CDD3CE0">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431034DC">
            <w:pPr>
              <w:spacing w:line="560" w:lineRule="exact"/>
              <w:jc w:val="center"/>
              <w:rPr>
                <w:rFonts w:ascii="仿宋_GB2312" w:eastAsia="仿宋_GB2312"/>
                <w:sz w:val="28"/>
                <w:szCs w:val="28"/>
              </w:rPr>
            </w:pPr>
          </w:p>
        </w:tc>
      </w:tr>
      <w:tr w14:paraId="0F2867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1DD43EEE">
            <w:pPr>
              <w:spacing w:line="560" w:lineRule="exact"/>
              <w:jc w:val="center"/>
              <w:rPr>
                <w:rFonts w:ascii="仿宋_GB2312" w:eastAsia="仿宋_GB2312"/>
                <w:sz w:val="28"/>
                <w:szCs w:val="28"/>
              </w:rPr>
            </w:pPr>
          </w:p>
        </w:tc>
        <w:tc>
          <w:tcPr>
            <w:tcW w:w="3785" w:type="dxa"/>
            <w:vMerge w:val="continue"/>
            <w:shd w:val="clear" w:color="auto" w:fill="auto"/>
            <w:vAlign w:val="center"/>
          </w:tcPr>
          <w:p w14:paraId="04C54E3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221071A">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51B1B89">
            <w:pPr>
              <w:spacing w:line="560" w:lineRule="exact"/>
              <w:jc w:val="center"/>
              <w:rPr>
                <w:rFonts w:ascii="仿宋_GB2312" w:eastAsia="仿宋_GB2312"/>
                <w:sz w:val="28"/>
                <w:szCs w:val="28"/>
              </w:rPr>
            </w:pPr>
          </w:p>
        </w:tc>
      </w:tr>
      <w:tr w14:paraId="1556D1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restart"/>
            <w:shd w:val="clear" w:color="auto" w:fill="auto"/>
            <w:noWrap/>
            <w:tcMar>
              <w:top w:w="0" w:type="dxa"/>
              <w:left w:w="108" w:type="dxa"/>
              <w:bottom w:w="0" w:type="dxa"/>
              <w:right w:w="108" w:type="dxa"/>
            </w:tcMar>
            <w:vAlign w:val="center"/>
          </w:tcPr>
          <w:p w14:paraId="02E46217">
            <w:pPr>
              <w:spacing w:line="560" w:lineRule="exact"/>
              <w:jc w:val="center"/>
              <w:rPr>
                <w:rFonts w:ascii="仿宋_GB2312" w:eastAsia="仿宋_GB2312"/>
                <w:sz w:val="28"/>
                <w:szCs w:val="28"/>
              </w:rPr>
            </w:pPr>
            <w:r>
              <w:rPr>
                <w:rFonts w:hint="eastAsia" w:ascii="仿宋_GB2312" w:eastAsia="仿宋_GB2312"/>
                <w:sz w:val="28"/>
                <w:szCs w:val="28"/>
              </w:rPr>
              <w:t>5</w:t>
            </w:r>
          </w:p>
        </w:tc>
        <w:tc>
          <w:tcPr>
            <w:tcW w:w="3785" w:type="dxa"/>
            <w:vMerge w:val="restart"/>
            <w:shd w:val="clear" w:color="auto" w:fill="auto"/>
            <w:noWrap/>
            <w:tcMar>
              <w:top w:w="0" w:type="dxa"/>
              <w:left w:w="108" w:type="dxa"/>
              <w:bottom w:w="0" w:type="dxa"/>
              <w:right w:w="108" w:type="dxa"/>
            </w:tcMar>
            <w:vAlign w:val="center"/>
          </w:tcPr>
          <w:p w14:paraId="3F88364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599BE93">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A99C9CC">
            <w:pPr>
              <w:spacing w:line="560" w:lineRule="exact"/>
              <w:jc w:val="center"/>
              <w:rPr>
                <w:rFonts w:ascii="仿宋_GB2312" w:eastAsia="仿宋_GB2312"/>
                <w:sz w:val="28"/>
                <w:szCs w:val="28"/>
              </w:rPr>
            </w:pPr>
          </w:p>
        </w:tc>
      </w:tr>
      <w:tr w14:paraId="1B64BF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continue"/>
            <w:shd w:val="clear" w:color="auto" w:fill="auto"/>
            <w:vAlign w:val="center"/>
          </w:tcPr>
          <w:p w14:paraId="51B54B07">
            <w:pPr>
              <w:spacing w:line="560" w:lineRule="exact"/>
              <w:jc w:val="center"/>
              <w:rPr>
                <w:rFonts w:ascii="仿宋_GB2312" w:eastAsia="仿宋_GB2312"/>
                <w:sz w:val="28"/>
                <w:szCs w:val="28"/>
              </w:rPr>
            </w:pPr>
          </w:p>
        </w:tc>
        <w:tc>
          <w:tcPr>
            <w:tcW w:w="3785" w:type="dxa"/>
            <w:vMerge w:val="continue"/>
            <w:shd w:val="clear" w:color="auto" w:fill="auto"/>
            <w:vAlign w:val="center"/>
          </w:tcPr>
          <w:p w14:paraId="77645C84">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3572334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5BA8A64">
            <w:pPr>
              <w:spacing w:line="560" w:lineRule="exact"/>
              <w:jc w:val="center"/>
              <w:rPr>
                <w:rFonts w:ascii="仿宋_GB2312" w:eastAsia="仿宋_GB2312"/>
                <w:sz w:val="28"/>
                <w:szCs w:val="28"/>
              </w:rPr>
            </w:pPr>
          </w:p>
        </w:tc>
      </w:tr>
      <w:tr w14:paraId="5BE19D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6E06AB5F">
            <w:pPr>
              <w:spacing w:line="560" w:lineRule="exact"/>
              <w:jc w:val="center"/>
              <w:rPr>
                <w:rFonts w:ascii="仿宋_GB2312" w:eastAsia="仿宋_GB2312"/>
                <w:sz w:val="28"/>
                <w:szCs w:val="28"/>
              </w:rPr>
            </w:pPr>
            <w:r>
              <w:rPr>
                <w:rFonts w:hint="eastAsia" w:ascii="仿宋_GB2312" w:eastAsia="仿宋_GB2312"/>
                <w:sz w:val="28"/>
                <w:szCs w:val="28"/>
              </w:rPr>
              <w:t>6</w:t>
            </w:r>
          </w:p>
        </w:tc>
        <w:tc>
          <w:tcPr>
            <w:tcW w:w="3785" w:type="dxa"/>
            <w:vMerge w:val="restart"/>
            <w:shd w:val="clear" w:color="auto" w:fill="auto"/>
            <w:noWrap/>
            <w:tcMar>
              <w:top w:w="0" w:type="dxa"/>
              <w:left w:w="108" w:type="dxa"/>
              <w:bottom w:w="0" w:type="dxa"/>
              <w:right w:w="108" w:type="dxa"/>
            </w:tcMar>
            <w:vAlign w:val="center"/>
          </w:tcPr>
          <w:p w14:paraId="71E859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44047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77F2445">
            <w:pPr>
              <w:spacing w:line="560" w:lineRule="exact"/>
              <w:jc w:val="center"/>
              <w:rPr>
                <w:rFonts w:ascii="仿宋_GB2312" w:eastAsia="仿宋_GB2312"/>
                <w:sz w:val="28"/>
                <w:szCs w:val="28"/>
              </w:rPr>
            </w:pPr>
          </w:p>
        </w:tc>
      </w:tr>
      <w:tr w14:paraId="6DC589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noWrap/>
            <w:tcMar>
              <w:top w:w="0" w:type="dxa"/>
              <w:left w:w="108" w:type="dxa"/>
              <w:bottom w:w="0" w:type="dxa"/>
              <w:right w:w="108" w:type="dxa"/>
            </w:tcMar>
            <w:vAlign w:val="center"/>
          </w:tcPr>
          <w:p w14:paraId="31D2C611">
            <w:pPr>
              <w:spacing w:line="560" w:lineRule="exact"/>
              <w:jc w:val="center"/>
              <w:rPr>
                <w:rFonts w:ascii="仿宋_GB2312" w:eastAsia="仿宋_GB2312"/>
                <w:sz w:val="28"/>
                <w:szCs w:val="28"/>
              </w:rPr>
            </w:pPr>
          </w:p>
        </w:tc>
        <w:tc>
          <w:tcPr>
            <w:tcW w:w="3785" w:type="dxa"/>
            <w:vMerge w:val="continue"/>
            <w:shd w:val="clear" w:color="auto" w:fill="auto"/>
            <w:tcMar>
              <w:top w:w="0" w:type="dxa"/>
              <w:left w:w="108" w:type="dxa"/>
              <w:bottom w:w="0" w:type="dxa"/>
              <w:right w:w="108" w:type="dxa"/>
            </w:tcMar>
            <w:vAlign w:val="center"/>
          </w:tcPr>
          <w:p w14:paraId="130212A1">
            <w:pPr>
              <w:spacing w:line="560" w:lineRule="exact"/>
              <w:jc w:val="left"/>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4DA5D5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0566AD7">
            <w:pPr>
              <w:spacing w:line="560" w:lineRule="exact"/>
              <w:jc w:val="center"/>
              <w:rPr>
                <w:rFonts w:ascii="仿宋_GB2312" w:eastAsia="仿宋_GB2312"/>
                <w:sz w:val="28"/>
                <w:szCs w:val="28"/>
              </w:rPr>
            </w:pPr>
          </w:p>
        </w:tc>
      </w:tr>
      <w:tr w14:paraId="3AADB7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DD39E70">
            <w:pPr>
              <w:spacing w:line="560" w:lineRule="exact"/>
              <w:jc w:val="center"/>
              <w:rPr>
                <w:rFonts w:ascii="仿宋_GB2312" w:eastAsia="仿宋_GB2312"/>
                <w:sz w:val="28"/>
                <w:szCs w:val="28"/>
              </w:rPr>
            </w:pPr>
            <w:r>
              <w:rPr>
                <w:rFonts w:hint="eastAsia" w:ascii="仿宋_GB2312" w:eastAsia="仿宋_GB2312"/>
                <w:sz w:val="28"/>
                <w:szCs w:val="28"/>
              </w:rPr>
              <w:t>7</w:t>
            </w:r>
          </w:p>
        </w:tc>
        <w:tc>
          <w:tcPr>
            <w:tcW w:w="3785" w:type="dxa"/>
            <w:vMerge w:val="restart"/>
            <w:shd w:val="clear" w:color="auto" w:fill="auto"/>
            <w:noWrap/>
            <w:tcMar>
              <w:top w:w="0" w:type="dxa"/>
              <w:left w:w="108" w:type="dxa"/>
              <w:bottom w:w="0" w:type="dxa"/>
              <w:right w:w="108" w:type="dxa"/>
            </w:tcMar>
            <w:vAlign w:val="center"/>
          </w:tcPr>
          <w:p w14:paraId="2C51D7E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5B05C4">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A313ED0">
            <w:pPr>
              <w:spacing w:line="560" w:lineRule="exact"/>
              <w:jc w:val="center"/>
              <w:rPr>
                <w:rFonts w:ascii="仿宋_GB2312" w:eastAsia="仿宋_GB2312"/>
                <w:sz w:val="28"/>
                <w:szCs w:val="28"/>
              </w:rPr>
            </w:pPr>
          </w:p>
        </w:tc>
      </w:tr>
      <w:tr w14:paraId="52E4FE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vMerge w:val="continue"/>
            <w:shd w:val="clear" w:color="auto" w:fill="auto"/>
            <w:vAlign w:val="center"/>
          </w:tcPr>
          <w:p w14:paraId="619D1350">
            <w:pPr>
              <w:spacing w:line="560" w:lineRule="exact"/>
              <w:jc w:val="center"/>
              <w:rPr>
                <w:rFonts w:ascii="仿宋_GB2312" w:eastAsia="仿宋_GB2312"/>
                <w:sz w:val="28"/>
                <w:szCs w:val="28"/>
              </w:rPr>
            </w:pPr>
          </w:p>
        </w:tc>
        <w:tc>
          <w:tcPr>
            <w:tcW w:w="3785" w:type="dxa"/>
            <w:vMerge w:val="continue"/>
            <w:shd w:val="clear" w:color="auto" w:fill="auto"/>
            <w:vAlign w:val="center"/>
          </w:tcPr>
          <w:p w14:paraId="3E59AFC2">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B98B80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16CB8AA3">
            <w:pPr>
              <w:spacing w:line="560" w:lineRule="exact"/>
              <w:jc w:val="center"/>
              <w:rPr>
                <w:rFonts w:ascii="仿宋_GB2312" w:eastAsia="仿宋_GB2312"/>
                <w:sz w:val="28"/>
                <w:szCs w:val="28"/>
              </w:rPr>
            </w:pPr>
          </w:p>
        </w:tc>
      </w:tr>
      <w:tr w14:paraId="2EB39D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shd w:val="clear" w:color="auto" w:fill="auto"/>
            <w:vAlign w:val="center"/>
          </w:tcPr>
          <w:p w14:paraId="753D3D70">
            <w:pPr>
              <w:spacing w:line="560" w:lineRule="exact"/>
              <w:jc w:val="center"/>
              <w:rPr>
                <w:rFonts w:ascii="仿宋_GB2312" w:eastAsia="仿宋_GB2312"/>
                <w:sz w:val="28"/>
                <w:szCs w:val="28"/>
              </w:rPr>
            </w:pPr>
            <w:r>
              <w:rPr>
                <w:rFonts w:hint="eastAsia" w:ascii="仿宋_GB2312" w:eastAsia="仿宋_GB2312"/>
                <w:sz w:val="28"/>
                <w:szCs w:val="28"/>
              </w:rPr>
              <w:t>……</w:t>
            </w:r>
          </w:p>
        </w:tc>
        <w:tc>
          <w:tcPr>
            <w:tcW w:w="3785" w:type="dxa"/>
            <w:shd w:val="clear" w:color="auto" w:fill="auto"/>
            <w:vAlign w:val="center"/>
          </w:tcPr>
          <w:p w14:paraId="46DA2A23">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436162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DC7DF20">
            <w:pPr>
              <w:spacing w:line="560" w:lineRule="exact"/>
              <w:jc w:val="center"/>
              <w:rPr>
                <w:rFonts w:ascii="仿宋_GB2312" w:eastAsia="仿宋_GB2312"/>
                <w:sz w:val="28"/>
                <w:szCs w:val="28"/>
              </w:rPr>
            </w:pPr>
          </w:p>
        </w:tc>
      </w:tr>
    </w:tbl>
    <w:p w14:paraId="5E96BE33">
      <w:pPr>
        <w:widowControl/>
        <w:jc w:val="left"/>
        <w:rPr>
          <w:rFonts w:ascii="仿宋_GB2312" w:hAnsi="仿宋" w:eastAsia="仿宋_GB2312"/>
          <w:b/>
          <w:bCs/>
          <w:sz w:val="30"/>
          <w:szCs w:val="30"/>
        </w:rPr>
      </w:pPr>
    </w:p>
    <w:p w14:paraId="5141E0D3">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6C4BD695">
      <w:pPr>
        <w:widowControl/>
        <w:jc w:val="left"/>
        <w:outlineLvl w:val="1"/>
        <w:rPr>
          <w:rFonts w:ascii="仿宋_GB2312" w:hAnsi="黑体" w:eastAsia="仿宋_GB2312"/>
          <w:b/>
          <w:sz w:val="30"/>
          <w:szCs w:val="30"/>
        </w:rPr>
      </w:pPr>
      <w:bookmarkStart w:id="3539" w:name="_Toc151137119"/>
      <w:r>
        <w:rPr>
          <w:rFonts w:hint="eastAsia" w:ascii="仿宋_GB2312" w:hAnsi="黑体" w:eastAsia="仿宋_GB2312"/>
          <w:b/>
          <w:sz w:val="30"/>
          <w:szCs w:val="30"/>
        </w:rPr>
        <w:t>附件36 处置现场负责人及进入处置场所的人员名单</w:t>
      </w:r>
      <w:bookmarkEnd w:id="3539"/>
    </w:p>
    <w:p w14:paraId="2D6FA397">
      <w:pPr>
        <w:spacing w:line="560" w:lineRule="exact"/>
        <w:jc w:val="center"/>
        <w:rPr>
          <w:rFonts w:ascii="黑体" w:hAnsi="黑体" w:eastAsia="黑体"/>
          <w:b/>
          <w:sz w:val="44"/>
          <w:szCs w:val="44"/>
        </w:rPr>
      </w:pPr>
    </w:p>
    <w:p w14:paraId="4A188822">
      <w:pPr>
        <w:spacing w:line="560" w:lineRule="exact"/>
        <w:jc w:val="center"/>
        <w:rPr>
          <w:rFonts w:ascii="黑体" w:hAnsi="黑体" w:eastAsia="黑体"/>
          <w:b/>
          <w:sz w:val="44"/>
          <w:szCs w:val="44"/>
        </w:rPr>
      </w:pPr>
      <w:r>
        <w:rPr>
          <w:rFonts w:hint="eastAsia" w:ascii="黑体" w:hAnsi="黑体" w:eastAsia="黑体"/>
          <w:b/>
          <w:sz w:val="44"/>
          <w:szCs w:val="44"/>
        </w:rPr>
        <w:t>处置现场负责人及进入处置场所的</w:t>
      </w:r>
    </w:p>
    <w:p w14:paraId="2DC13E8C">
      <w:pPr>
        <w:spacing w:line="560" w:lineRule="exact"/>
        <w:jc w:val="center"/>
        <w:rPr>
          <w:rFonts w:ascii="黑体" w:hAnsi="黑体" w:eastAsia="黑体"/>
          <w:b/>
          <w:sz w:val="32"/>
          <w:szCs w:val="32"/>
        </w:rPr>
      </w:pPr>
      <w:r>
        <w:rPr>
          <w:rFonts w:hint="eastAsia" w:ascii="黑体" w:hAnsi="黑体" w:eastAsia="黑体"/>
          <w:b/>
          <w:sz w:val="44"/>
          <w:szCs w:val="44"/>
        </w:rPr>
        <w:t>人员名单</w:t>
      </w:r>
    </w:p>
    <w:p w14:paraId="2BE20684">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处置名称：XX 公司 XX 年（X）期债券担保品处置</w:t>
      </w:r>
    </w:p>
    <w:p w14:paraId="34C0134D">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处置日期：</w:t>
      </w:r>
      <w:r>
        <w:rPr>
          <w:rFonts w:ascii="仿宋_GB2312" w:eastAsia="仿宋_GB2312"/>
          <w:sz w:val="30"/>
          <w:szCs w:val="30"/>
        </w:rPr>
        <w:t xml:space="preserve">       </w:t>
      </w:r>
      <w:r>
        <w:rPr>
          <w:rFonts w:hint="eastAsia" w:ascii="仿宋_GB2312" w:eastAsia="仿宋_GB2312"/>
          <w:sz w:val="30"/>
          <w:szCs w:val="30"/>
        </w:rPr>
        <w:t>年</w:t>
      </w:r>
      <w:r>
        <w:rPr>
          <w:rFonts w:ascii="仿宋_GB2312" w:eastAsia="仿宋_GB2312"/>
          <w:sz w:val="30"/>
          <w:szCs w:val="30"/>
        </w:rPr>
        <w:t xml:space="preserve">    </w:t>
      </w:r>
      <w:r>
        <w:rPr>
          <w:rFonts w:hint="eastAsia" w:ascii="仿宋_GB2312" w:eastAsia="仿宋_GB2312"/>
          <w:sz w:val="30"/>
          <w:szCs w:val="30"/>
        </w:rPr>
        <w:t>月</w:t>
      </w:r>
      <w:r>
        <w:rPr>
          <w:rFonts w:ascii="仿宋_GB2312" w:eastAsia="仿宋_GB2312"/>
          <w:sz w:val="30"/>
          <w:szCs w:val="30"/>
        </w:rPr>
        <w:t xml:space="preserve">   </w:t>
      </w:r>
      <w:r>
        <w:rPr>
          <w:rFonts w:hint="eastAsia" w:ascii="仿宋_GB2312" w:eastAsia="仿宋_GB2312"/>
          <w:sz w:val="30"/>
          <w:szCs w:val="30"/>
        </w:rPr>
        <w:t>日</w:t>
      </w:r>
    </w:p>
    <w:tbl>
      <w:tblPr>
        <w:tblStyle w:val="4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475"/>
        <w:gridCol w:w="2180"/>
        <w:gridCol w:w="1936"/>
        <w:gridCol w:w="1915"/>
      </w:tblGrid>
      <w:tr w14:paraId="11F5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B585317">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1475" w:type="dxa"/>
          </w:tcPr>
          <w:p w14:paraId="75480F0C">
            <w:pPr>
              <w:spacing w:line="560" w:lineRule="exact"/>
              <w:jc w:val="center"/>
              <w:rPr>
                <w:rFonts w:ascii="仿宋_GB2312" w:eastAsia="仿宋_GB2312"/>
                <w:sz w:val="28"/>
                <w:szCs w:val="28"/>
              </w:rPr>
            </w:pPr>
            <w:r>
              <w:rPr>
                <w:rFonts w:hint="eastAsia" w:ascii="仿宋_GB2312" w:eastAsia="仿宋_GB2312"/>
                <w:sz w:val="28"/>
                <w:szCs w:val="28"/>
              </w:rPr>
              <w:t>姓名</w:t>
            </w:r>
          </w:p>
        </w:tc>
        <w:tc>
          <w:tcPr>
            <w:tcW w:w="2180" w:type="dxa"/>
          </w:tcPr>
          <w:p w14:paraId="161E2D25">
            <w:pPr>
              <w:spacing w:line="560" w:lineRule="exact"/>
              <w:jc w:val="center"/>
              <w:rPr>
                <w:rFonts w:ascii="仿宋_GB2312" w:eastAsia="仿宋_GB2312"/>
                <w:sz w:val="28"/>
                <w:szCs w:val="28"/>
              </w:rPr>
            </w:pPr>
            <w:r>
              <w:rPr>
                <w:rFonts w:hint="eastAsia" w:ascii="仿宋_GB2312" w:eastAsia="仿宋_GB2312"/>
                <w:sz w:val="28"/>
                <w:szCs w:val="28"/>
              </w:rPr>
              <w:t>部门</w:t>
            </w:r>
          </w:p>
        </w:tc>
        <w:tc>
          <w:tcPr>
            <w:tcW w:w="1936" w:type="dxa"/>
          </w:tcPr>
          <w:p w14:paraId="0B5D35E7">
            <w:pPr>
              <w:spacing w:line="560" w:lineRule="exact"/>
              <w:jc w:val="center"/>
              <w:rPr>
                <w:rFonts w:ascii="仿宋_GB2312" w:eastAsia="仿宋_GB2312"/>
                <w:sz w:val="28"/>
                <w:szCs w:val="28"/>
              </w:rPr>
            </w:pPr>
            <w:r>
              <w:rPr>
                <w:rFonts w:hint="eastAsia" w:ascii="仿宋_GB2312" w:eastAsia="仿宋_GB2312"/>
                <w:sz w:val="28"/>
                <w:szCs w:val="28"/>
              </w:rPr>
              <w:t>职务</w:t>
            </w:r>
          </w:p>
        </w:tc>
        <w:tc>
          <w:tcPr>
            <w:tcW w:w="1915" w:type="dxa"/>
          </w:tcPr>
          <w:p w14:paraId="43FB40DA">
            <w:pPr>
              <w:spacing w:line="560" w:lineRule="exact"/>
              <w:jc w:val="center"/>
              <w:rPr>
                <w:rFonts w:ascii="仿宋_GB2312" w:eastAsia="仿宋_GB2312"/>
                <w:sz w:val="28"/>
                <w:szCs w:val="28"/>
              </w:rPr>
            </w:pPr>
            <w:r>
              <w:rPr>
                <w:rFonts w:hint="eastAsia" w:ascii="仿宋_GB2312" w:eastAsia="仿宋_GB2312"/>
                <w:sz w:val="28"/>
                <w:szCs w:val="28"/>
              </w:rPr>
              <w:t>备注</w:t>
            </w:r>
          </w:p>
        </w:tc>
      </w:tr>
      <w:tr w14:paraId="364A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00AB358E">
            <w:pPr>
              <w:spacing w:line="560" w:lineRule="exact"/>
              <w:jc w:val="center"/>
              <w:rPr>
                <w:rFonts w:ascii="仿宋_GB2312" w:eastAsia="仿宋_GB2312"/>
                <w:sz w:val="28"/>
                <w:szCs w:val="28"/>
              </w:rPr>
            </w:pPr>
            <w:r>
              <w:rPr>
                <w:rFonts w:ascii="仿宋_GB2312" w:eastAsia="仿宋_GB2312"/>
                <w:sz w:val="28"/>
                <w:szCs w:val="28"/>
              </w:rPr>
              <w:t>1</w:t>
            </w:r>
          </w:p>
        </w:tc>
        <w:tc>
          <w:tcPr>
            <w:tcW w:w="1475" w:type="dxa"/>
          </w:tcPr>
          <w:p w14:paraId="5FBAB3C0">
            <w:pPr>
              <w:spacing w:line="560" w:lineRule="exact"/>
              <w:rPr>
                <w:rFonts w:ascii="仿宋_GB2312" w:eastAsia="仿宋_GB2312"/>
                <w:sz w:val="28"/>
                <w:szCs w:val="28"/>
              </w:rPr>
            </w:pPr>
          </w:p>
        </w:tc>
        <w:tc>
          <w:tcPr>
            <w:tcW w:w="2180" w:type="dxa"/>
          </w:tcPr>
          <w:p w14:paraId="61DB74B8">
            <w:pPr>
              <w:spacing w:line="560" w:lineRule="exact"/>
              <w:rPr>
                <w:rFonts w:ascii="仿宋_GB2312" w:eastAsia="仿宋_GB2312"/>
                <w:sz w:val="28"/>
                <w:szCs w:val="28"/>
              </w:rPr>
            </w:pPr>
          </w:p>
        </w:tc>
        <w:tc>
          <w:tcPr>
            <w:tcW w:w="1936" w:type="dxa"/>
          </w:tcPr>
          <w:p w14:paraId="5D463638">
            <w:pPr>
              <w:spacing w:line="560" w:lineRule="exact"/>
              <w:rPr>
                <w:rFonts w:ascii="仿宋_GB2312" w:eastAsia="仿宋_GB2312"/>
                <w:sz w:val="28"/>
                <w:szCs w:val="28"/>
              </w:rPr>
            </w:pPr>
          </w:p>
        </w:tc>
        <w:tc>
          <w:tcPr>
            <w:tcW w:w="1915" w:type="dxa"/>
          </w:tcPr>
          <w:p w14:paraId="664773CE">
            <w:pPr>
              <w:spacing w:line="560" w:lineRule="exact"/>
              <w:rPr>
                <w:rFonts w:ascii="仿宋_GB2312" w:eastAsia="仿宋_GB2312"/>
                <w:sz w:val="28"/>
                <w:szCs w:val="28"/>
              </w:rPr>
            </w:pPr>
          </w:p>
        </w:tc>
      </w:tr>
      <w:tr w14:paraId="6389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7FEA466">
            <w:pPr>
              <w:spacing w:line="560" w:lineRule="exact"/>
              <w:jc w:val="center"/>
              <w:rPr>
                <w:rFonts w:ascii="仿宋_GB2312" w:eastAsia="仿宋_GB2312"/>
                <w:sz w:val="28"/>
                <w:szCs w:val="28"/>
              </w:rPr>
            </w:pPr>
            <w:r>
              <w:rPr>
                <w:rFonts w:ascii="仿宋_GB2312" w:eastAsia="仿宋_GB2312"/>
                <w:sz w:val="28"/>
                <w:szCs w:val="28"/>
              </w:rPr>
              <w:t>2</w:t>
            </w:r>
          </w:p>
        </w:tc>
        <w:tc>
          <w:tcPr>
            <w:tcW w:w="1475" w:type="dxa"/>
          </w:tcPr>
          <w:p w14:paraId="7EDBF985">
            <w:pPr>
              <w:spacing w:line="560" w:lineRule="exact"/>
              <w:rPr>
                <w:rFonts w:ascii="仿宋_GB2312" w:eastAsia="仿宋_GB2312"/>
                <w:sz w:val="28"/>
                <w:szCs w:val="28"/>
              </w:rPr>
            </w:pPr>
          </w:p>
        </w:tc>
        <w:tc>
          <w:tcPr>
            <w:tcW w:w="2180" w:type="dxa"/>
          </w:tcPr>
          <w:p w14:paraId="4EB81CB2">
            <w:pPr>
              <w:spacing w:line="560" w:lineRule="exact"/>
              <w:rPr>
                <w:rFonts w:ascii="仿宋_GB2312" w:eastAsia="仿宋_GB2312"/>
                <w:sz w:val="28"/>
                <w:szCs w:val="28"/>
              </w:rPr>
            </w:pPr>
          </w:p>
        </w:tc>
        <w:tc>
          <w:tcPr>
            <w:tcW w:w="1936" w:type="dxa"/>
          </w:tcPr>
          <w:p w14:paraId="21F453DE">
            <w:pPr>
              <w:spacing w:line="560" w:lineRule="exact"/>
              <w:rPr>
                <w:rFonts w:ascii="仿宋_GB2312" w:eastAsia="仿宋_GB2312"/>
                <w:sz w:val="28"/>
                <w:szCs w:val="28"/>
              </w:rPr>
            </w:pPr>
          </w:p>
        </w:tc>
        <w:tc>
          <w:tcPr>
            <w:tcW w:w="1915" w:type="dxa"/>
          </w:tcPr>
          <w:p w14:paraId="2333DCBA">
            <w:pPr>
              <w:spacing w:line="560" w:lineRule="exact"/>
              <w:rPr>
                <w:rFonts w:ascii="仿宋_GB2312" w:eastAsia="仿宋_GB2312"/>
                <w:sz w:val="28"/>
                <w:szCs w:val="28"/>
              </w:rPr>
            </w:pPr>
          </w:p>
        </w:tc>
      </w:tr>
      <w:tr w14:paraId="035E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9C949D5">
            <w:pPr>
              <w:spacing w:line="560" w:lineRule="exact"/>
              <w:jc w:val="center"/>
              <w:rPr>
                <w:rFonts w:ascii="仿宋_GB2312" w:eastAsia="仿宋_GB2312"/>
                <w:sz w:val="28"/>
                <w:szCs w:val="28"/>
              </w:rPr>
            </w:pPr>
            <w:r>
              <w:rPr>
                <w:rFonts w:ascii="仿宋_GB2312" w:eastAsia="仿宋_GB2312"/>
                <w:sz w:val="28"/>
                <w:szCs w:val="28"/>
              </w:rPr>
              <w:t>3</w:t>
            </w:r>
          </w:p>
        </w:tc>
        <w:tc>
          <w:tcPr>
            <w:tcW w:w="1475" w:type="dxa"/>
          </w:tcPr>
          <w:p w14:paraId="6206DB9F">
            <w:pPr>
              <w:spacing w:line="560" w:lineRule="exact"/>
              <w:rPr>
                <w:rFonts w:ascii="仿宋_GB2312" w:eastAsia="仿宋_GB2312"/>
                <w:sz w:val="28"/>
                <w:szCs w:val="28"/>
              </w:rPr>
            </w:pPr>
          </w:p>
        </w:tc>
        <w:tc>
          <w:tcPr>
            <w:tcW w:w="2180" w:type="dxa"/>
          </w:tcPr>
          <w:p w14:paraId="2C7B893B">
            <w:pPr>
              <w:spacing w:line="560" w:lineRule="exact"/>
              <w:rPr>
                <w:rFonts w:ascii="仿宋_GB2312" w:eastAsia="仿宋_GB2312"/>
                <w:sz w:val="28"/>
                <w:szCs w:val="28"/>
              </w:rPr>
            </w:pPr>
          </w:p>
        </w:tc>
        <w:tc>
          <w:tcPr>
            <w:tcW w:w="1936" w:type="dxa"/>
          </w:tcPr>
          <w:p w14:paraId="14B6DDA0">
            <w:pPr>
              <w:spacing w:line="560" w:lineRule="exact"/>
              <w:rPr>
                <w:rFonts w:ascii="仿宋_GB2312" w:eastAsia="仿宋_GB2312"/>
                <w:sz w:val="28"/>
                <w:szCs w:val="28"/>
              </w:rPr>
            </w:pPr>
          </w:p>
        </w:tc>
        <w:tc>
          <w:tcPr>
            <w:tcW w:w="1915" w:type="dxa"/>
          </w:tcPr>
          <w:p w14:paraId="27C2F187">
            <w:pPr>
              <w:spacing w:line="560" w:lineRule="exact"/>
              <w:rPr>
                <w:rFonts w:ascii="仿宋_GB2312" w:eastAsia="仿宋_GB2312"/>
                <w:sz w:val="28"/>
                <w:szCs w:val="28"/>
              </w:rPr>
            </w:pPr>
          </w:p>
        </w:tc>
      </w:tr>
      <w:tr w14:paraId="75A0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1CB50DD">
            <w:pPr>
              <w:spacing w:line="560" w:lineRule="exact"/>
              <w:jc w:val="center"/>
              <w:rPr>
                <w:rFonts w:ascii="仿宋_GB2312" w:eastAsia="仿宋_GB2312"/>
                <w:sz w:val="28"/>
                <w:szCs w:val="28"/>
              </w:rPr>
            </w:pPr>
            <w:r>
              <w:rPr>
                <w:rFonts w:ascii="仿宋_GB2312" w:eastAsia="仿宋_GB2312"/>
                <w:sz w:val="28"/>
                <w:szCs w:val="28"/>
              </w:rPr>
              <w:t>4</w:t>
            </w:r>
          </w:p>
        </w:tc>
        <w:tc>
          <w:tcPr>
            <w:tcW w:w="1475" w:type="dxa"/>
          </w:tcPr>
          <w:p w14:paraId="5E7B9675">
            <w:pPr>
              <w:spacing w:line="560" w:lineRule="exact"/>
              <w:rPr>
                <w:rFonts w:ascii="仿宋_GB2312" w:eastAsia="仿宋_GB2312"/>
                <w:sz w:val="28"/>
                <w:szCs w:val="28"/>
              </w:rPr>
            </w:pPr>
          </w:p>
        </w:tc>
        <w:tc>
          <w:tcPr>
            <w:tcW w:w="2180" w:type="dxa"/>
          </w:tcPr>
          <w:p w14:paraId="404BE361">
            <w:pPr>
              <w:spacing w:line="560" w:lineRule="exact"/>
              <w:rPr>
                <w:rFonts w:ascii="仿宋_GB2312" w:eastAsia="仿宋_GB2312"/>
                <w:sz w:val="28"/>
                <w:szCs w:val="28"/>
              </w:rPr>
            </w:pPr>
          </w:p>
        </w:tc>
        <w:tc>
          <w:tcPr>
            <w:tcW w:w="1936" w:type="dxa"/>
          </w:tcPr>
          <w:p w14:paraId="7FFC30FB">
            <w:pPr>
              <w:spacing w:line="560" w:lineRule="exact"/>
              <w:rPr>
                <w:rFonts w:ascii="仿宋_GB2312" w:eastAsia="仿宋_GB2312"/>
                <w:sz w:val="28"/>
                <w:szCs w:val="28"/>
              </w:rPr>
            </w:pPr>
          </w:p>
        </w:tc>
        <w:tc>
          <w:tcPr>
            <w:tcW w:w="1915" w:type="dxa"/>
          </w:tcPr>
          <w:p w14:paraId="1BC34478">
            <w:pPr>
              <w:spacing w:line="560" w:lineRule="exact"/>
              <w:rPr>
                <w:rFonts w:ascii="仿宋_GB2312" w:eastAsia="仿宋_GB2312"/>
                <w:sz w:val="28"/>
                <w:szCs w:val="28"/>
              </w:rPr>
            </w:pPr>
          </w:p>
        </w:tc>
      </w:tr>
      <w:tr w14:paraId="1555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3E1C563C">
            <w:pPr>
              <w:spacing w:line="560" w:lineRule="exact"/>
              <w:jc w:val="center"/>
              <w:rPr>
                <w:rFonts w:ascii="仿宋_GB2312" w:eastAsia="仿宋_GB2312"/>
                <w:sz w:val="28"/>
                <w:szCs w:val="28"/>
              </w:rPr>
            </w:pPr>
            <w:r>
              <w:rPr>
                <w:rFonts w:ascii="仿宋_GB2312" w:eastAsia="仿宋_GB2312"/>
                <w:sz w:val="28"/>
                <w:szCs w:val="28"/>
              </w:rPr>
              <w:t>5</w:t>
            </w:r>
          </w:p>
        </w:tc>
        <w:tc>
          <w:tcPr>
            <w:tcW w:w="1475" w:type="dxa"/>
          </w:tcPr>
          <w:p w14:paraId="600220D8">
            <w:pPr>
              <w:spacing w:line="560" w:lineRule="exact"/>
              <w:rPr>
                <w:rFonts w:ascii="仿宋_GB2312" w:eastAsia="仿宋_GB2312"/>
                <w:sz w:val="28"/>
                <w:szCs w:val="28"/>
              </w:rPr>
            </w:pPr>
          </w:p>
        </w:tc>
        <w:tc>
          <w:tcPr>
            <w:tcW w:w="2180" w:type="dxa"/>
          </w:tcPr>
          <w:p w14:paraId="06BC2AE1">
            <w:pPr>
              <w:spacing w:line="560" w:lineRule="exact"/>
              <w:rPr>
                <w:rFonts w:ascii="仿宋_GB2312" w:eastAsia="仿宋_GB2312"/>
                <w:sz w:val="28"/>
                <w:szCs w:val="28"/>
              </w:rPr>
            </w:pPr>
          </w:p>
        </w:tc>
        <w:tc>
          <w:tcPr>
            <w:tcW w:w="1936" w:type="dxa"/>
          </w:tcPr>
          <w:p w14:paraId="2ED2F2C4">
            <w:pPr>
              <w:spacing w:line="560" w:lineRule="exact"/>
              <w:rPr>
                <w:rFonts w:ascii="仿宋_GB2312" w:eastAsia="仿宋_GB2312"/>
                <w:sz w:val="28"/>
                <w:szCs w:val="28"/>
              </w:rPr>
            </w:pPr>
          </w:p>
        </w:tc>
        <w:tc>
          <w:tcPr>
            <w:tcW w:w="1915" w:type="dxa"/>
          </w:tcPr>
          <w:p w14:paraId="7D231DB8">
            <w:pPr>
              <w:spacing w:line="560" w:lineRule="exact"/>
              <w:rPr>
                <w:rFonts w:ascii="仿宋_GB2312" w:eastAsia="仿宋_GB2312"/>
                <w:sz w:val="28"/>
                <w:szCs w:val="28"/>
              </w:rPr>
            </w:pPr>
          </w:p>
        </w:tc>
      </w:tr>
      <w:tr w14:paraId="1919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249B15B">
            <w:pPr>
              <w:spacing w:line="560" w:lineRule="exact"/>
              <w:jc w:val="center"/>
              <w:rPr>
                <w:rFonts w:ascii="仿宋_GB2312" w:eastAsia="仿宋_GB2312"/>
                <w:sz w:val="28"/>
                <w:szCs w:val="28"/>
              </w:rPr>
            </w:pPr>
            <w:r>
              <w:rPr>
                <w:rFonts w:ascii="仿宋_GB2312" w:eastAsia="仿宋_GB2312"/>
                <w:sz w:val="28"/>
                <w:szCs w:val="28"/>
              </w:rPr>
              <w:t>……</w:t>
            </w:r>
          </w:p>
        </w:tc>
        <w:tc>
          <w:tcPr>
            <w:tcW w:w="1475" w:type="dxa"/>
          </w:tcPr>
          <w:p w14:paraId="61D1A302">
            <w:pPr>
              <w:spacing w:line="560" w:lineRule="exact"/>
              <w:rPr>
                <w:rFonts w:ascii="仿宋_GB2312" w:eastAsia="仿宋_GB2312"/>
                <w:sz w:val="28"/>
                <w:szCs w:val="28"/>
              </w:rPr>
            </w:pPr>
          </w:p>
        </w:tc>
        <w:tc>
          <w:tcPr>
            <w:tcW w:w="2180" w:type="dxa"/>
          </w:tcPr>
          <w:p w14:paraId="570280E1">
            <w:pPr>
              <w:spacing w:line="560" w:lineRule="exact"/>
              <w:rPr>
                <w:rFonts w:ascii="仿宋_GB2312" w:eastAsia="仿宋_GB2312"/>
                <w:sz w:val="28"/>
                <w:szCs w:val="28"/>
              </w:rPr>
            </w:pPr>
          </w:p>
        </w:tc>
        <w:tc>
          <w:tcPr>
            <w:tcW w:w="1936" w:type="dxa"/>
          </w:tcPr>
          <w:p w14:paraId="53F1B8B6">
            <w:pPr>
              <w:spacing w:line="560" w:lineRule="exact"/>
              <w:rPr>
                <w:rFonts w:ascii="仿宋_GB2312" w:eastAsia="仿宋_GB2312"/>
                <w:sz w:val="28"/>
                <w:szCs w:val="28"/>
              </w:rPr>
            </w:pPr>
          </w:p>
        </w:tc>
        <w:tc>
          <w:tcPr>
            <w:tcW w:w="1915" w:type="dxa"/>
          </w:tcPr>
          <w:p w14:paraId="2C48368D">
            <w:pPr>
              <w:spacing w:line="560" w:lineRule="exact"/>
              <w:rPr>
                <w:rFonts w:ascii="仿宋_GB2312" w:eastAsia="仿宋_GB2312"/>
                <w:sz w:val="28"/>
                <w:szCs w:val="28"/>
              </w:rPr>
            </w:pPr>
          </w:p>
        </w:tc>
      </w:tr>
    </w:tbl>
    <w:p w14:paraId="119E6379">
      <w:pPr>
        <w:spacing w:line="560" w:lineRule="exact"/>
        <w:ind w:left="-708" w:leftChars="-337" w:firstLine="480" w:firstLineChars="200"/>
        <w:rPr>
          <w:rFonts w:ascii="仿宋_GB2312" w:eastAsia="仿宋_GB2312"/>
          <w:sz w:val="24"/>
          <w:szCs w:val="24"/>
        </w:rPr>
      </w:pPr>
      <w:r>
        <w:rPr>
          <w:rFonts w:hint="eastAsia" w:ascii="仿宋_GB2312" w:eastAsia="仿宋_GB2312"/>
          <w:sz w:val="24"/>
          <w:szCs w:val="24"/>
        </w:rPr>
        <w:t>注：</w:t>
      </w:r>
      <w:r>
        <w:rPr>
          <w:rFonts w:ascii="仿宋_GB2312" w:eastAsia="仿宋_GB2312"/>
          <w:sz w:val="24"/>
          <w:szCs w:val="24"/>
        </w:rPr>
        <w:t xml:space="preserve"> 1.</w:t>
      </w:r>
      <w:r>
        <w:rPr>
          <w:rFonts w:hint="eastAsia" w:ascii="仿宋_GB2312" w:eastAsia="仿宋_GB2312"/>
          <w:sz w:val="24"/>
          <w:szCs w:val="24"/>
        </w:rPr>
        <w:t>处置方负责人在备注栏注明。</w:t>
      </w:r>
    </w:p>
    <w:p w14:paraId="2B44A480">
      <w:pPr>
        <w:spacing w:line="560" w:lineRule="exact"/>
        <w:ind w:left="-708" w:leftChars="-337" w:firstLine="1068" w:firstLineChars="445"/>
        <w:rPr>
          <w:rFonts w:ascii="仿宋_GB2312" w:eastAsia="仿宋_GB2312"/>
          <w:sz w:val="24"/>
          <w:szCs w:val="24"/>
        </w:rPr>
      </w:pPr>
      <w:r>
        <w:rPr>
          <w:rFonts w:ascii="仿宋_GB2312" w:eastAsia="仿宋_GB2312"/>
          <w:sz w:val="24"/>
          <w:szCs w:val="24"/>
        </w:rPr>
        <w:t>2.</w:t>
      </w:r>
      <w:r>
        <w:rPr>
          <w:rFonts w:hint="eastAsia" w:ascii="仿宋_GB2312" w:eastAsia="仿宋_GB2312"/>
          <w:sz w:val="24"/>
          <w:szCs w:val="24"/>
        </w:rPr>
        <w:t>参与组织协调、观摩的领导和人员不在本表中填列，可通过电话等方式及时告知上交所。</w:t>
      </w:r>
    </w:p>
    <w:p w14:paraId="0F769696">
      <w:pPr>
        <w:spacing w:line="560" w:lineRule="exact"/>
        <w:ind w:firstLine="360" w:firstLineChars="150"/>
        <w:jc w:val="left"/>
        <w:rPr>
          <w:rFonts w:ascii="仿宋_GB2312" w:eastAsia="仿宋_GB2312"/>
          <w:sz w:val="24"/>
          <w:szCs w:val="24"/>
        </w:rPr>
      </w:pPr>
      <w:r>
        <w:rPr>
          <w:rFonts w:ascii="仿宋_GB2312" w:eastAsia="仿宋_GB2312"/>
          <w:sz w:val="24"/>
          <w:szCs w:val="24"/>
        </w:rPr>
        <w:t>3.</w:t>
      </w:r>
      <w:r>
        <w:rPr>
          <w:rFonts w:hint="eastAsia" w:ascii="仿宋_GB2312" w:eastAsia="仿宋_GB2312"/>
          <w:sz w:val="24"/>
          <w:szCs w:val="24"/>
        </w:rPr>
        <w:t xml:space="preserve"> 注：请处置方于处置日前</w:t>
      </w:r>
      <w:r>
        <w:rPr>
          <w:rFonts w:ascii="仿宋_GB2312" w:eastAsia="仿宋_GB2312"/>
          <w:sz w:val="24"/>
          <w:szCs w:val="24"/>
        </w:rPr>
        <w:t>2</w:t>
      </w:r>
      <w:r>
        <w:rPr>
          <w:rFonts w:hint="eastAsia" w:ascii="仿宋_GB2312" w:eastAsia="仿宋_GB2312"/>
          <w:sz w:val="24"/>
          <w:szCs w:val="24"/>
        </w:rPr>
        <w:t>个工作日内（T-2日），通过邮箱（</w:t>
      </w:r>
      <w:r>
        <w:rPr>
          <w:rFonts w:ascii="仿宋_GB2312" w:eastAsia="仿宋_GB2312"/>
          <w:sz w:val="24"/>
          <w:szCs w:val="24"/>
        </w:rPr>
        <w:t>ssebond@ sse.com.cn</w:t>
      </w:r>
      <w:r>
        <w:rPr>
          <w:rFonts w:hint="eastAsia" w:ascii="仿宋_GB2312" w:eastAsia="仿宋_GB2312"/>
          <w:sz w:val="24"/>
          <w:szCs w:val="24"/>
        </w:rPr>
        <w:t>）方式提供给上交所，并向上交所债券担保品处置服务联系人确认。</w:t>
      </w:r>
    </w:p>
    <w:p w14:paraId="22C48749">
      <w:pPr>
        <w:spacing w:line="560" w:lineRule="exact"/>
        <w:jc w:val="right"/>
        <w:rPr>
          <w:rFonts w:ascii="仿宋_GB2312" w:eastAsia="仿宋_GB2312"/>
          <w:sz w:val="28"/>
          <w:szCs w:val="28"/>
        </w:rPr>
      </w:pPr>
    </w:p>
    <w:p w14:paraId="4E1B66AF">
      <w:pPr>
        <w:wordWrap w:val="0"/>
        <w:spacing w:line="560" w:lineRule="exact"/>
        <w:jc w:val="right"/>
        <w:rPr>
          <w:rFonts w:ascii="仿宋_GB2312" w:eastAsia="仿宋_GB2312"/>
          <w:sz w:val="28"/>
          <w:szCs w:val="28"/>
        </w:rPr>
      </w:pPr>
      <w:r>
        <w:rPr>
          <w:rFonts w:hint="eastAsia" w:ascii="仿宋_GB2312" w:eastAsia="仿宋_GB2312"/>
          <w:sz w:val="28"/>
          <w:szCs w:val="28"/>
        </w:rPr>
        <w:t xml:space="preserve">处置方： </w:t>
      </w:r>
      <w:r>
        <w:rPr>
          <w:rFonts w:ascii="仿宋_GB2312" w:eastAsia="仿宋_GB2312"/>
          <w:sz w:val="28"/>
          <w:szCs w:val="28"/>
        </w:rPr>
        <w:t xml:space="preserve">                       </w:t>
      </w:r>
    </w:p>
    <w:p w14:paraId="7C1D44F7">
      <w:pPr>
        <w:wordWrap w:val="0"/>
        <w:spacing w:line="560" w:lineRule="exact"/>
        <w:ind w:right="560"/>
        <w:jc w:val="right"/>
        <w:rPr>
          <w:rFonts w:ascii="仿宋_GB2312" w:eastAsia="仿宋_GB2312"/>
          <w:sz w:val="28"/>
          <w:szCs w:val="28"/>
        </w:rPr>
      </w:pPr>
      <w:r>
        <w:rPr>
          <w:rFonts w:hint="eastAsia" w:ascii="仿宋_GB2312" w:eastAsia="仿宋_GB2312"/>
          <w:sz w:val="28"/>
          <w:szCs w:val="28"/>
        </w:rPr>
        <w:t>联系人：</w:t>
      </w:r>
      <w:r>
        <w:rPr>
          <w:rFonts w:ascii="仿宋_GB2312" w:eastAsia="仿宋_GB2312"/>
          <w:sz w:val="28"/>
          <w:szCs w:val="28"/>
        </w:rPr>
        <w:t xml:space="preserve">                    </w:t>
      </w:r>
    </w:p>
    <w:p w14:paraId="4E9A5D22">
      <w:pPr>
        <w:spacing w:line="560" w:lineRule="exact"/>
        <w:jc w:val="right"/>
        <w:rPr>
          <w:rFonts w:ascii="仿宋_GB2312" w:hAnsi="仿宋" w:eastAsia="仿宋_GB2312"/>
          <w:b/>
          <w:bCs/>
          <w:sz w:val="30"/>
          <w:szCs w:val="30"/>
        </w:rPr>
      </w:pPr>
      <w:r>
        <w:rPr>
          <w:rFonts w:hint="eastAsia" w:ascii="仿宋_GB2312" w:eastAsia="仿宋_GB2312"/>
          <w:sz w:val="28"/>
          <w:szCs w:val="28"/>
        </w:rPr>
        <w:t xml:space="preserve">联系电话：  </w:t>
      </w: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日</w:t>
      </w:r>
    </w:p>
    <w:p w14:paraId="437D68B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B5D2721">
      <w:pPr>
        <w:widowControl/>
        <w:jc w:val="left"/>
        <w:outlineLvl w:val="1"/>
        <w:rPr>
          <w:rFonts w:ascii="仿宋_GB2312" w:hAnsi="黑体" w:eastAsia="仿宋_GB2312"/>
          <w:b/>
          <w:sz w:val="30"/>
          <w:szCs w:val="30"/>
        </w:rPr>
      </w:pPr>
      <w:bookmarkStart w:id="3540" w:name="_Toc151137120"/>
      <w:r>
        <w:rPr>
          <w:rFonts w:hint="eastAsia" w:ascii="仿宋_GB2312" w:hAnsi="黑体" w:eastAsia="仿宋_GB2312"/>
          <w:b/>
          <w:sz w:val="30"/>
          <w:szCs w:val="30"/>
        </w:rPr>
        <w:t>附件37 上交所债券担保品处置服务联系人</w:t>
      </w:r>
      <w:bookmarkEnd w:id="3540"/>
    </w:p>
    <w:p w14:paraId="5526A2F0">
      <w:pPr>
        <w:spacing w:line="560" w:lineRule="exact"/>
        <w:jc w:val="center"/>
        <w:rPr>
          <w:rFonts w:ascii="黑体" w:hAnsi="黑体" w:eastAsia="黑体"/>
          <w:b/>
          <w:sz w:val="32"/>
          <w:szCs w:val="32"/>
        </w:rPr>
      </w:pPr>
    </w:p>
    <w:p w14:paraId="6C98C732">
      <w:pPr>
        <w:spacing w:line="560" w:lineRule="exact"/>
        <w:jc w:val="center"/>
        <w:rPr>
          <w:rFonts w:ascii="黑体" w:hAnsi="黑体" w:eastAsia="黑体"/>
          <w:b/>
          <w:sz w:val="44"/>
          <w:szCs w:val="44"/>
        </w:rPr>
      </w:pPr>
      <w:r>
        <w:rPr>
          <w:rFonts w:hint="eastAsia" w:ascii="黑体" w:hAnsi="黑体" w:eastAsia="黑体"/>
          <w:b/>
          <w:sz w:val="44"/>
          <w:szCs w:val="44"/>
        </w:rPr>
        <w:t>上交所债券担保品处置服务联系人</w:t>
      </w:r>
    </w:p>
    <w:p w14:paraId="57AE1997">
      <w:pPr>
        <w:spacing w:line="560" w:lineRule="exact"/>
        <w:rPr>
          <w:rFonts w:ascii="黑体" w:hAnsi="黑体" w:eastAsia="黑体"/>
          <w:b/>
          <w:sz w:val="32"/>
          <w:szCs w:val="32"/>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E33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9F7FDA2">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姓名</w:t>
            </w:r>
          </w:p>
        </w:tc>
        <w:tc>
          <w:tcPr>
            <w:tcW w:w="2841" w:type="dxa"/>
          </w:tcPr>
          <w:p w14:paraId="257D330F">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部门</w:t>
            </w:r>
          </w:p>
        </w:tc>
        <w:tc>
          <w:tcPr>
            <w:tcW w:w="2841" w:type="dxa"/>
          </w:tcPr>
          <w:p w14:paraId="5BE1C7A3">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联系电话</w:t>
            </w:r>
          </w:p>
        </w:tc>
      </w:tr>
      <w:tr w14:paraId="13DE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04B399B">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徐蕙</w:t>
            </w:r>
          </w:p>
        </w:tc>
        <w:tc>
          <w:tcPr>
            <w:tcW w:w="2841" w:type="dxa"/>
          </w:tcPr>
          <w:p w14:paraId="36FC670E">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6D890CCB">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68601981</w:t>
            </w:r>
          </w:p>
        </w:tc>
      </w:tr>
      <w:tr w14:paraId="3347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4468768">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廖佳敏</w:t>
            </w:r>
          </w:p>
        </w:tc>
        <w:tc>
          <w:tcPr>
            <w:tcW w:w="2841" w:type="dxa"/>
          </w:tcPr>
          <w:p w14:paraId="153A6CA4">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4520F2C8">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68601998</w:t>
            </w:r>
          </w:p>
        </w:tc>
      </w:tr>
    </w:tbl>
    <w:p w14:paraId="04AFD9B1">
      <w:pPr>
        <w:spacing w:line="560" w:lineRule="exact"/>
        <w:jc w:val="center"/>
        <w:rPr>
          <w:rFonts w:ascii="黑体" w:hAnsi="黑体" w:eastAsia="黑体"/>
          <w:b/>
          <w:sz w:val="32"/>
          <w:szCs w:val="32"/>
        </w:rPr>
      </w:pPr>
    </w:p>
    <w:p w14:paraId="57DC0C7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1BBD5F4A">
      <w:pPr>
        <w:widowControl/>
        <w:jc w:val="left"/>
        <w:outlineLvl w:val="1"/>
        <w:rPr>
          <w:rFonts w:ascii="仿宋_GB2312" w:hAnsi="黑体" w:eastAsia="仿宋_GB2312"/>
          <w:b/>
          <w:sz w:val="30"/>
          <w:szCs w:val="30"/>
        </w:rPr>
      </w:pPr>
      <w:bookmarkStart w:id="3541" w:name="_Toc151137121"/>
      <w:r>
        <w:rPr>
          <w:rFonts w:hint="eastAsia" w:ascii="仿宋_GB2312" w:hAnsi="黑体" w:eastAsia="仿宋_GB2312"/>
          <w:b/>
          <w:sz w:val="30"/>
          <w:szCs w:val="30"/>
        </w:rPr>
        <w:t>附件38 处置结果公告（样张）</w:t>
      </w:r>
      <w:bookmarkEnd w:id="3541"/>
    </w:p>
    <w:p w14:paraId="7874DF22">
      <w:pPr>
        <w:spacing w:line="560" w:lineRule="exact"/>
        <w:jc w:val="center"/>
        <w:rPr>
          <w:rFonts w:ascii="黑体" w:hAnsi="黑体" w:eastAsia="黑体"/>
          <w:b/>
          <w:sz w:val="44"/>
          <w:szCs w:val="44"/>
        </w:rPr>
      </w:pPr>
    </w:p>
    <w:p w14:paraId="285BA773">
      <w:pPr>
        <w:widowControl/>
        <w:spacing w:before="62" w:after="100" w:afterAutospacing="1" w:line="600" w:lineRule="exact"/>
        <w:ind w:firstLine="2209" w:firstLineChars="500"/>
        <w:jc w:val="left"/>
        <w:rPr>
          <w:rFonts w:ascii="仿宋_GB2312" w:hAnsi="宋体" w:eastAsia="仿宋_GB2312" w:cs="宋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债券担保品处置结果公告</w:t>
      </w:r>
    </w:p>
    <w:p w14:paraId="5E2C1CBE">
      <w:pPr>
        <w:spacing w:before="100" w:beforeAutospacing="1" w:after="100" w:afterAutospacing="1" w:line="560" w:lineRule="exact"/>
        <w:ind w:firstLine="600" w:firstLineChars="200"/>
        <w:rPr>
          <w:rFonts w:ascii="仿宋_GB2312" w:hAnsi="宋体" w:eastAsia="仿宋_GB2312" w:cs="宋体"/>
          <w:color w:val="000000" w:themeColor="text1"/>
          <w:sz w:val="30"/>
          <w:szCs w:val="30"/>
          <w14:textFill>
            <w14:solidFill>
              <w14:schemeClr w14:val="tx1"/>
            </w14:solidFill>
          </w14:textFill>
        </w:rPr>
      </w:pPr>
      <w:r>
        <w:rPr>
          <w:rFonts w:hint="eastAsia" w:ascii="仿宋_GB2312" w:hAnsi="宋体" w:eastAsia="仿宋_GB2312" w:cs="宋体"/>
          <w:color w:val="000000" w:themeColor="text1"/>
          <w:sz w:val="30"/>
          <w:szCs w:val="30"/>
          <w14:textFill>
            <w14:solidFill>
              <w14:schemeClr w14:val="tx1"/>
            </w14:solidFill>
          </w14:textFill>
        </w:rPr>
        <w:t>我司于</w:t>
      </w:r>
      <w:r>
        <w:rPr>
          <w:rFonts w:ascii="仿宋_GB2312" w:hAnsi="宋体" w:eastAsia="仿宋_GB2312" w:cs="宋体"/>
          <w:color w:val="000000" w:themeColor="text1"/>
          <w:sz w:val="30"/>
          <w:szCs w:val="30"/>
          <w14:textFill>
            <w14:solidFill>
              <w14:schemeClr w14:val="tx1"/>
            </w14:solidFill>
          </w14:textFill>
        </w:rPr>
        <w:t>XX年XX月XX日在上海证券交易所债券担保品处置平台进行XX公司XX年（X）期债券担保品处置，本次计划处置规模XX万元，实际处置规模XX万元，处置所得款项XX万元。</w:t>
      </w:r>
    </w:p>
    <w:p w14:paraId="57D69A39">
      <w:pPr>
        <w:pStyle w:val="92"/>
        <w:spacing w:before="62" w:after="100" w:afterAutospacing="1" w:line="252" w:lineRule="atLeast"/>
        <w:ind w:left="1103" w:leftChars="525" w:firstLine="600"/>
        <w:rPr>
          <w:rFonts w:ascii="仿宋_GB2312" w:hAnsi="宋体" w:eastAsia="仿宋_GB2312" w:cs="宋体"/>
          <w:color w:val="FF0000"/>
          <w:sz w:val="30"/>
          <w:szCs w:val="30"/>
          <w:lang w:eastAsia="zh-CN"/>
        </w:rPr>
      </w:pPr>
    </w:p>
    <w:p w14:paraId="6AF1B81D">
      <w:pPr>
        <w:widowControl/>
        <w:spacing w:before="62" w:after="100" w:afterAutospacing="1" w:line="252" w:lineRule="atLeast"/>
        <w:ind w:firstLine="6150"/>
        <w:jc w:val="right"/>
        <w:rPr>
          <w:rFonts w:ascii="宋体" w:hAnsi="宋体" w:cs="宋体"/>
          <w:color w:val="000000" w:themeColor="text1"/>
          <w:kern w:val="0"/>
          <w14:textFill>
            <w14:solidFill>
              <w14:schemeClr w14:val="tx1"/>
            </w14:solidFill>
          </w14:textFill>
        </w:rPr>
      </w:pPr>
      <w:r>
        <w:rPr>
          <w:rFonts w:ascii="仿宋_GB2312" w:hAnsi="宋体" w:eastAsia="仿宋_GB2312" w:cs="宋体"/>
          <w:color w:val="000000" w:themeColor="text1"/>
          <w:kern w:val="0"/>
          <w:sz w:val="30"/>
          <w:szCs w:val="30"/>
          <w14:textFill>
            <w14:solidFill>
              <w14:schemeClr w14:val="tx1"/>
            </w14:solidFill>
          </w14:textFill>
        </w:rPr>
        <w:t>XX公司</w:t>
      </w:r>
    </w:p>
    <w:p w14:paraId="1511E16B">
      <w:pPr>
        <w:widowControl/>
        <w:jc w:val="right"/>
        <w:rPr>
          <w:rFonts w:ascii="仿宋_GB2312" w:hAnsi="仿宋" w:eastAsia="仿宋_GB2312"/>
          <w:b/>
          <w:bCs/>
          <w:sz w:val="30"/>
          <w:szCs w:val="30"/>
        </w:rPr>
      </w:pPr>
      <w:r>
        <w:rPr>
          <w:rFonts w:ascii="仿宋_GB2312" w:hAnsi="宋体" w:eastAsia="仿宋_GB2312" w:cs="宋体"/>
          <w:color w:val="000000" w:themeColor="text1"/>
          <w:kern w:val="0"/>
          <w:sz w:val="30"/>
          <w:szCs w:val="30"/>
          <w14:textFill>
            <w14:solidFill>
              <w14:schemeClr w14:val="tx1"/>
            </w14:solidFill>
          </w14:textFill>
        </w:rPr>
        <w:t>XX年XX月XX日</w:t>
      </w:r>
    </w:p>
    <w:p w14:paraId="5B2CD95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1670C05">
      <w:pPr>
        <w:widowControl/>
        <w:jc w:val="left"/>
        <w:outlineLvl w:val="1"/>
        <w:rPr>
          <w:rFonts w:ascii="仿宋_GB2312" w:hAnsi="黑体" w:eastAsia="仿宋_GB2312"/>
          <w:b/>
          <w:sz w:val="30"/>
          <w:szCs w:val="30"/>
        </w:rPr>
      </w:pPr>
      <w:bookmarkStart w:id="3542" w:name="_Toc151137122"/>
      <w:r>
        <w:rPr>
          <w:rFonts w:hint="eastAsia" w:ascii="仿宋_GB2312" w:hAnsi="黑体" w:eastAsia="仿宋_GB2312"/>
          <w:b/>
          <w:sz w:val="30"/>
          <w:szCs w:val="30"/>
        </w:rPr>
        <w:t>附件39 债券交易情况说明表</w:t>
      </w:r>
      <w:bookmarkEnd w:id="3522"/>
      <w:bookmarkEnd w:id="3523"/>
      <w:bookmarkEnd w:id="3542"/>
    </w:p>
    <w:p w14:paraId="019DAC63">
      <w:pPr>
        <w:snapToGrid w:val="0"/>
        <w:spacing w:line="600" w:lineRule="exact"/>
        <w:jc w:val="center"/>
        <w:rPr>
          <w:rFonts w:ascii="黑体" w:hAnsi="黑体"/>
          <w:b/>
          <w:sz w:val="44"/>
          <w:szCs w:val="44"/>
        </w:rPr>
      </w:pPr>
    </w:p>
    <w:p w14:paraId="1700EB9F">
      <w:pPr>
        <w:snapToGrid w:val="0"/>
        <w:spacing w:line="600" w:lineRule="exact"/>
        <w:jc w:val="center"/>
        <w:rPr>
          <w:rFonts w:ascii="黑体" w:hAnsi="黑体" w:eastAsia="黑体" w:cs="黑体"/>
          <w:b/>
          <w:sz w:val="44"/>
          <w:szCs w:val="44"/>
        </w:rPr>
      </w:pPr>
      <w:r>
        <w:rPr>
          <w:rFonts w:hint="eastAsia" w:ascii="黑体" w:hAnsi="黑体" w:eastAsia="黑体" w:cs="黑体"/>
          <w:b/>
          <w:sz w:val="44"/>
          <w:szCs w:val="44"/>
        </w:rPr>
        <w:t>债券交易情况说明表</w:t>
      </w:r>
    </w:p>
    <w:p w14:paraId="511BE0E6">
      <w:pPr>
        <w:spacing w:line="600" w:lineRule="exact"/>
        <w:ind w:firstLine="482"/>
        <w:jc w:val="left"/>
        <w:rPr>
          <w:rFonts w:ascii="Calibri" w:hAnsi="Calibri" w:eastAsia="仿宋_GB2312"/>
          <w:b/>
          <w:sz w:val="24"/>
          <w:szCs w:val="22"/>
        </w:rPr>
      </w:pPr>
    </w:p>
    <w:p w14:paraId="0DEC1A14">
      <w:pPr>
        <w:spacing w:line="600" w:lineRule="exact"/>
        <w:jc w:val="left"/>
        <w:rPr>
          <w:rFonts w:ascii="Calibri" w:hAnsi="Calibri" w:eastAsia="仿宋_GB2312"/>
          <w:sz w:val="24"/>
          <w:szCs w:val="22"/>
        </w:rPr>
      </w:pPr>
      <w:r>
        <w:rPr>
          <w:rFonts w:hint="eastAsia" w:ascii="Calibri" w:hAnsi="Calibri" w:eastAsia="仿宋_GB2312"/>
          <w:sz w:val="24"/>
          <w:szCs w:val="22"/>
        </w:rPr>
        <w:t>机构名称：                              填表人：</w:t>
      </w:r>
    </w:p>
    <w:p w14:paraId="0520B798">
      <w:pPr>
        <w:spacing w:line="600" w:lineRule="exact"/>
        <w:jc w:val="left"/>
        <w:rPr>
          <w:rFonts w:ascii="Calibri" w:hAnsi="Calibri" w:eastAsia="仿宋_GB2312"/>
          <w:sz w:val="24"/>
          <w:szCs w:val="22"/>
        </w:rPr>
      </w:pPr>
      <w:r>
        <w:rPr>
          <w:rFonts w:hint="eastAsia" w:ascii="Calibri" w:hAnsi="Calibri" w:eastAsia="仿宋_GB2312"/>
          <w:sz w:val="24"/>
          <w:szCs w:val="22"/>
        </w:rPr>
        <w:t>联系电话：                              填表日期：</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2097"/>
        <w:gridCol w:w="1966"/>
        <w:gridCol w:w="2671"/>
      </w:tblGrid>
      <w:tr w14:paraId="7274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A03B417">
            <w:pPr>
              <w:rPr>
                <w:rFonts w:ascii="仿宋_GB2312" w:hAnsi="Calibri" w:eastAsia="仿宋_GB2312"/>
                <w:sz w:val="24"/>
                <w:szCs w:val="22"/>
              </w:rPr>
            </w:pPr>
            <w:r>
              <w:rPr>
                <w:rFonts w:hint="eastAsia" w:ascii="仿宋_GB2312" w:hAnsi="Calibri" w:eastAsia="仿宋_GB2312"/>
                <w:sz w:val="24"/>
                <w:szCs w:val="22"/>
              </w:rPr>
              <w:t>债券名称</w:t>
            </w:r>
          </w:p>
        </w:tc>
        <w:tc>
          <w:tcPr>
            <w:tcW w:w="2127" w:type="dxa"/>
            <w:vAlign w:val="center"/>
          </w:tcPr>
          <w:p w14:paraId="79933645">
            <w:pPr>
              <w:ind w:firstLine="480"/>
              <w:jc w:val="center"/>
              <w:rPr>
                <w:rFonts w:ascii="仿宋_GB2312" w:hAnsi="Calibri" w:eastAsia="仿宋_GB2312"/>
                <w:sz w:val="24"/>
                <w:szCs w:val="22"/>
              </w:rPr>
            </w:pPr>
          </w:p>
        </w:tc>
        <w:tc>
          <w:tcPr>
            <w:tcW w:w="1984" w:type="dxa"/>
            <w:vAlign w:val="center"/>
          </w:tcPr>
          <w:p w14:paraId="17A743A4">
            <w:pPr>
              <w:rPr>
                <w:rFonts w:ascii="仿宋_GB2312" w:hAnsi="Calibri" w:eastAsia="仿宋_GB2312"/>
                <w:sz w:val="24"/>
                <w:szCs w:val="22"/>
              </w:rPr>
            </w:pPr>
            <w:r>
              <w:rPr>
                <w:rFonts w:hint="eastAsia" w:ascii="仿宋_GB2312" w:hAnsi="Calibri" w:eastAsia="仿宋_GB2312"/>
                <w:sz w:val="24"/>
                <w:szCs w:val="22"/>
              </w:rPr>
              <w:t>债券代码</w:t>
            </w:r>
          </w:p>
        </w:tc>
        <w:tc>
          <w:tcPr>
            <w:tcW w:w="2696" w:type="dxa"/>
          </w:tcPr>
          <w:p w14:paraId="0727DF74">
            <w:pPr>
              <w:ind w:firstLine="480"/>
              <w:jc w:val="left"/>
              <w:rPr>
                <w:rFonts w:ascii="仿宋_GB2312" w:hAnsi="Calibri" w:eastAsia="仿宋_GB2312"/>
                <w:sz w:val="24"/>
                <w:szCs w:val="22"/>
              </w:rPr>
            </w:pPr>
          </w:p>
        </w:tc>
      </w:tr>
      <w:tr w14:paraId="3C34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2561F486">
            <w:pPr>
              <w:rPr>
                <w:rFonts w:ascii="仿宋_GB2312" w:hAnsi="Calibri" w:eastAsia="仿宋_GB2312"/>
                <w:sz w:val="24"/>
                <w:szCs w:val="22"/>
              </w:rPr>
            </w:pPr>
            <w:r>
              <w:rPr>
                <w:rFonts w:hint="eastAsia" w:ascii="仿宋_GB2312" w:hAnsi="Calibri" w:eastAsia="仿宋_GB2312"/>
                <w:sz w:val="24"/>
                <w:szCs w:val="22"/>
              </w:rPr>
              <w:t>账户名称</w:t>
            </w:r>
          </w:p>
        </w:tc>
        <w:tc>
          <w:tcPr>
            <w:tcW w:w="2127" w:type="dxa"/>
            <w:vAlign w:val="center"/>
          </w:tcPr>
          <w:p w14:paraId="42976708">
            <w:pPr>
              <w:rPr>
                <w:rFonts w:ascii="仿宋_GB2312" w:hAnsi="Calibri" w:eastAsia="仿宋_GB2312"/>
                <w:sz w:val="24"/>
                <w:szCs w:val="22"/>
              </w:rPr>
            </w:pPr>
          </w:p>
        </w:tc>
        <w:tc>
          <w:tcPr>
            <w:tcW w:w="1984" w:type="dxa"/>
            <w:vAlign w:val="center"/>
          </w:tcPr>
          <w:p w14:paraId="7ACE342B">
            <w:pPr>
              <w:rPr>
                <w:rFonts w:ascii="仿宋_GB2312" w:hAnsi="Calibri" w:eastAsia="仿宋_GB2312"/>
                <w:sz w:val="24"/>
                <w:szCs w:val="22"/>
              </w:rPr>
            </w:pPr>
            <w:r>
              <w:rPr>
                <w:rFonts w:hint="eastAsia" w:ascii="仿宋_GB2312" w:hAnsi="Calibri" w:eastAsia="仿宋_GB2312"/>
                <w:sz w:val="24"/>
                <w:szCs w:val="22"/>
              </w:rPr>
              <w:t>证券账号</w:t>
            </w:r>
          </w:p>
        </w:tc>
        <w:tc>
          <w:tcPr>
            <w:tcW w:w="2696" w:type="dxa"/>
          </w:tcPr>
          <w:p w14:paraId="52AC41C1">
            <w:pPr>
              <w:rPr>
                <w:rFonts w:ascii="仿宋_GB2312" w:hAnsi="Calibri" w:eastAsia="仿宋_GB2312"/>
                <w:sz w:val="24"/>
                <w:szCs w:val="22"/>
              </w:rPr>
            </w:pPr>
          </w:p>
        </w:tc>
      </w:tr>
      <w:tr w14:paraId="1373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D416DDA">
            <w:pPr>
              <w:rPr>
                <w:rFonts w:ascii="仿宋_GB2312" w:hAnsi="Calibri" w:eastAsia="仿宋_GB2312"/>
                <w:sz w:val="24"/>
                <w:szCs w:val="22"/>
              </w:rPr>
            </w:pPr>
            <w:r>
              <w:rPr>
                <w:rFonts w:hint="eastAsia" w:ascii="仿宋_GB2312" w:hAnsi="Calibri" w:eastAsia="仿宋_GB2312"/>
                <w:sz w:val="24"/>
                <w:szCs w:val="22"/>
              </w:rPr>
              <w:t>委托/申报时间</w:t>
            </w:r>
          </w:p>
        </w:tc>
        <w:tc>
          <w:tcPr>
            <w:tcW w:w="2127" w:type="dxa"/>
            <w:vAlign w:val="center"/>
          </w:tcPr>
          <w:p w14:paraId="2B24D481">
            <w:pPr>
              <w:rPr>
                <w:rFonts w:ascii="仿宋_GB2312" w:hAnsi="Calibri" w:eastAsia="仿宋_GB2312"/>
                <w:sz w:val="24"/>
                <w:szCs w:val="22"/>
              </w:rPr>
            </w:pPr>
          </w:p>
        </w:tc>
        <w:tc>
          <w:tcPr>
            <w:tcW w:w="1984" w:type="dxa"/>
            <w:vAlign w:val="center"/>
          </w:tcPr>
          <w:p w14:paraId="4BCAF481">
            <w:pPr>
              <w:rPr>
                <w:rFonts w:ascii="仿宋_GB2312" w:hAnsi="Calibri" w:eastAsia="仿宋_GB2312"/>
                <w:sz w:val="24"/>
                <w:szCs w:val="22"/>
              </w:rPr>
            </w:pPr>
            <w:r>
              <w:rPr>
                <w:rFonts w:hint="eastAsia" w:ascii="仿宋_GB2312" w:hAnsi="Calibri" w:eastAsia="仿宋_GB2312"/>
                <w:sz w:val="24"/>
                <w:szCs w:val="22"/>
              </w:rPr>
              <w:t>委托/申报方向</w:t>
            </w:r>
          </w:p>
        </w:tc>
        <w:tc>
          <w:tcPr>
            <w:tcW w:w="2696" w:type="dxa"/>
          </w:tcPr>
          <w:p w14:paraId="13F99E81">
            <w:pPr>
              <w:rPr>
                <w:rFonts w:ascii="仿宋_GB2312" w:hAnsi="Calibri" w:eastAsia="仿宋_GB2312"/>
                <w:sz w:val="24"/>
                <w:szCs w:val="22"/>
              </w:rPr>
            </w:pPr>
          </w:p>
        </w:tc>
      </w:tr>
      <w:tr w14:paraId="2198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68D4A7CE">
            <w:pPr>
              <w:rPr>
                <w:rFonts w:ascii="仿宋_GB2312" w:hAnsi="Calibri" w:eastAsia="仿宋_GB2312"/>
                <w:sz w:val="24"/>
                <w:szCs w:val="22"/>
              </w:rPr>
            </w:pPr>
            <w:r>
              <w:rPr>
                <w:rFonts w:hint="eastAsia" w:ascii="仿宋_GB2312" w:hAnsi="Calibri" w:eastAsia="仿宋_GB2312"/>
                <w:sz w:val="24"/>
                <w:szCs w:val="22"/>
              </w:rPr>
              <w:t>委托/申报数量</w:t>
            </w:r>
          </w:p>
        </w:tc>
        <w:tc>
          <w:tcPr>
            <w:tcW w:w="2127" w:type="dxa"/>
            <w:vAlign w:val="center"/>
          </w:tcPr>
          <w:p w14:paraId="312E410E">
            <w:pPr>
              <w:rPr>
                <w:rFonts w:ascii="仿宋_GB2312" w:hAnsi="Calibri" w:eastAsia="仿宋_GB2312"/>
                <w:sz w:val="24"/>
                <w:szCs w:val="22"/>
              </w:rPr>
            </w:pPr>
          </w:p>
        </w:tc>
        <w:tc>
          <w:tcPr>
            <w:tcW w:w="1984" w:type="dxa"/>
            <w:vAlign w:val="center"/>
          </w:tcPr>
          <w:p w14:paraId="76B19D18">
            <w:pPr>
              <w:rPr>
                <w:rFonts w:ascii="仿宋_GB2312" w:hAnsi="Calibri" w:eastAsia="仿宋_GB2312"/>
                <w:sz w:val="24"/>
                <w:szCs w:val="22"/>
              </w:rPr>
            </w:pPr>
            <w:r>
              <w:rPr>
                <w:rFonts w:hint="eastAsia" w:ascii="仿宋_GB2312" w:hAnsi="Calibri" w:eastAsia="仿宋_GB2312"/>
                <w:sz w:val="24"/>
                <w:szCs w:val="22"/>
              </w:rPr>
              <w:t>委托/申报价格</w:t>
            </w:r>
          </w:p>
        </w:tc>
        <w:tc>
          <w:tcPr>
            <w:tcW w:w="2696" w:type="dxa"/>
          </w:tcPr>
          <w:p w14:paraId="7062DFD2">
            <w:pPr>
              <w:rPr>
                <w:rFonts w:ascii="仿宋_GB2312" w:hAnsi="Calibri" w:eastAsia="仿宋_GB2312"/>
                <w:sz w:val="24"/>
                <w:szCs w:val="22"/>
              </w:rPr>
            </w:pPr>
          </w:p>
        </w:tc>
      </w:tr>
      <w:tr w14:paraId="50A9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FF7FB41">
            <w:pPr>
              <w:rPr>
                <w:rFonts w:ascii="仿宋_GB2312" w:hAnsi="Calibri" w:eastAsia="仿宋_GB2312"/>
                <w:sz w:val="24"/>
                <w:szCs w:val="22"/>
              </w:rPr>
            </w:pPr>
            <w:r>
              <w:rPr>
                <w:rFonts w:hint="eastAsia" w:ascii="仿宋_GB2312" w:hAnsi="Calibri" w:eastAsia="仿宋_GB2312"/>
                <w:sz w:val="24"/>
                <w:szCs w:val="22"/>
              </w:rPr>
              <w:t>成交时间</w:t>
            </w:r>
          </w:p>
        </w:tc>
        <w:tc>
          <w:tcPr>
            <w:tcW w:w="2127" w:type="dxa"/>
            <w:vAlign w:val="center"/>
          </w:tcPr>
          <w:p w14:paraId="6AF223AC">
            <w:pPr>
              <w:rPr>
                <w:rFonts w:ascii="仿宋_GB2312" w:hAnsi="Calibri" w:eastAsia="仿宋_GB2312"/>
                <w:sz w:val="24"/>
                <w:szCs w:val="22"/>
              </w:rPr>
            </w:pPr>
          </w:p>
        </w:tc>
        <w:tc>
          <w:tcPr>
            <w:tcW w:w="1984" w:type="dxa"/>
            <w:vAlign w:val="center"/>
          </w:tcPr>
          <w:p w14:paraId="0CF61CAF">
            <w:pPr>
              <w:rPr>
                <w:rFonts w:ascii="仿宋_GB2312" w:hAnsi="Calibri" w:eastAsia="仿宋_GB2312"/>
                <w:sz w:val="24"/>
                <w:szCs w:val="22"/>
              </w:rPr>
            </w:pPr>
            <w:r>
              <w:rPr>
                <w:rFonts w:hint="eastAsia" w:ascii="仿宋_GB2312" w:hAnsi="Calibri" w:eastAsia="仿宋_GB2312"/>
                <w:sz w:val="24"/>
                <w:szCs w:val="22"/>
              </w:rPr>
              <w:t>成交数量</w:t>
            </w:r>
          </w:p>
        </w:tc>
        <w:tc>
          <w:tcPr>
            <w:tcW w:w="2696" w:type="dxa"/>
          </w:tcPr>
          <w:p w14:paraId="5858F8BB">
            <w:pPr>
              <w:rPr>
                <w:rFonts w:ascii="仿宋_GB2312" w:hAnsi="Calibri" w:eastAsia="仿宋_GB2312"/>
                <w:sz w:val="24"/>
                <w:szCs w:val="22"/>
              </w:rPr>
            </w:pPr>
          </w:p>
        </w:tc>
      </w:tr>
      <w:tr w14:paraId="61A5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036B8DB">
            <w:pPr>
              <w:rPr>
                <w:rFonts w:ascii="仿宋_GB2312" w:hAnsi="Calibri" w:eastAsia="仿宋_GB2312"/>
                <w:sz w:val="24"/>
                <w:szCs w:val="22"/>
              </w:rPr>
            </w:pPr>
            <w:r>
              <w:rPr>
                <w:rFonts w:hint="eastAsia" w:ascii="仿宋_GB2312" w:hAnsi="Calibri" w:eastAsia="仿宋_GB2312"/>
                <w:sz w:val="24"/>
                <w:szCs w:val="22"/>
              </w:rPr>
              <w:t>成交价格</w:t>
            </w:r>
          </w:p>
        </w:tc>
        <w:tc>
          <w:tcPr>
            <w:tcW w:w="2127" w:type="dxa"/>
            <w:vAlign w:val="center"/>
          </w:tcPr>
          <w:p w14:paraId="11877FB7">
            <w:pPr>
              <w:rPr>
                <w:rFonts w:ascii="仿宋_GB2312" w:hAnsi="Calibri" w:eastAsia="仿宋_GB2312"/>
                <w:sz w:val="24"/>
                <w:szCs w:val="22"/>
              </w:rPr>
            </w:pPr>
          </w:p>
        </w:tc>
        <w:tc>
          <w:tcPr>
            <w:tcW w:w="1984" w:type="dxa"/>
            <w:vAlign w:val="center"/>
          </w:tcPr>
          <w:p w14:paraId="2018068C">
            <w:pPr>
              <w:rPr>
                <w:rFonts w:ascii="仿宋_GB2312" w:hAnsi="Calibri" w:eastAsia="仿宋_GB2312"/>
                <w:sz w:val="24"/>
                <w:szCs w:val="22"/>
              </w:rPr>
            </w:pPr>
            <w:r>
              <w:rPr>
                <w:rFonts w:hint="eastAsia" w:ascii="仿宋_GB2312" w:hAnsi="Calibri" w:eastAsia="仿宋_GB2312"/>
                <w:sz w:val="24"/>
                <w:szCs w:val="22"/>
              </w:rPr>
              <w:t>成交价格与比较基准（中债估值/ 中证估值）偏离（%）</w:t>
            </w:r>
          </w:p>
        </w:tc>
        <w:tc>
          <w:tcPr>
            <w:tcW w:w="2696" w:type="dxa"/>
          </w:tcPr>
          <w:p w14:paraId="3F5C908C">
            <w:pPr>
              <w:rPr>
                <w:rFonts w:ascii="仿宋_GB2312" w:hAnsi="Calibri" w:eastAsia="仿宋_GB2312"/>
                <w:sz w:val="24"/>
                <w:szCs w:val="22"/>
              </w:rPr>
            </w:pPr>
            <w:r>
              <w:rPr>
                <w:rFonts w:hint="eastAsia" w:ascii="仿宋_GB2312" w:hAnsi="Calibri" w:eastAsia="仿宋_GB2312"/>
                <w:sz w:val="24"/>
                <w:szCs w:val="22"/>
              </w:rPr>
              <w:t>向上偏离：  %</w:t>
            </w:r>
          </w:p>
          <w:p w14:paraId="60C37C0B">
            <w:pPr>
              <w:rPr>
                <w:rFonts w:ascii="仿宋_GB2312" w:hAnsi="Calibri" w:eastAsia="仿宋_GB2312"/>
                <w:sz w:val="24"/>
                <w:szCs w:val="22"/>
              </w:rPr>
            </w:pPr>
            <w:r>
              <w:rPr>
                <w:rFonts w:hint="eastAsia" w:ascii="仿宋_GB2312" w:hAnsi="Calibri" w:eastAsia="仿宋_GB2312"/>
                <w:sz w:val="24"/>
                <w:szCs w:val="22"/>
              </w:rPr>
              <w:t>向下偏离：  %</w:t>
            </w:r>
          </w:p>
        </w:tc>
      </w:tr>
      <w:tr w14:paraId="0C4D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1809" w:type="dxa"/>
            <w:vAlign w:val="center"/>
          </w:tcPr>
          <w:p w14:paraId="7D2D349F">
            <w:pPr>
              <w:rPr>
                <w:rFonts w:ascii="仿宋_GB2312" w:hAnsi="Calibri" w:eastAsia="仿宋_GB2312"/>
                <w:sz w:val="24"/>
                <w:szCs w:val="22"/>
              </w:rPr>
            </w:pPr>
            <w:r>
              <w:rPr>
                <w:rFonts w:hint="eastAsia" w:ascii="仿宋_GB2312" w:hAnsi="Calibri" w:eastAsia="仿宋_GB2312"/>
                <w:sz w:val="24"/>
                <w:szCs w:val="22"/>
              </w:rPr>
              <w:t>交易情况</w:t>
            </w:r>
          </w:p>
          <w:p w14:paraId="3F4E9A8E">
            <w:pPr>
              <w:rPr>
                <w:rFonts w:ascii="仿宋_GB2312" w:hAnsi="Calibri" w:eastAsia="仿宋_GB2312"/>
                <w:sz w:val="24"/>
                <w:szCs w:val="22"/>
              </w:rPr>
            </w:pPr>
            <w:r>
              <w:rPr>
                <w:rFonts w:hint="eastAsia" w:ascii="仿宋_GB2312" w:hAnsi="Calibri" w:eastAsia="仿宋_GB2312"/>
                <w:sz w:val="24"/>
                <w:szCs w:val="22"/>
              </w:rPr>
              <w:t>及原因</w:t>
            </w:r>
          </w:p>
        </w:tc>
        <w:tc>
          <w:tcPr>
            <w:tcW w:w="6807" w:type="dxa"/>
            <w:gridSpan w:val="3"/>
            <w:vAlign w:val="center"/>
          </w:tcPr>
          <w:p w14:paraId="5C5A1173">
            <w:pPr>
              <w:rPr>
                <w:rFonts w:ascii="仿宋_GB2312" w:hAnsi="Calibri" w:eastAsia="仿宋_GB2312"/>
                <w:sz w:val="24"/>
                <w:szCs w:val="22"/>
              </w:rPr>
            </w:pPr>
          </w:p>
        </w:tc>
      </w:tr>
    </w:tbl>
    <w:p w14:paraId="135B682A">
      <w:pPr>
        <w:spacing w:line="600" w:lineRule="exact"/>
        <w:ind w:firstLine="480"/>
        <w:jc w:val="left"/>
        <w:rPr>
          <w:rFonts w:ascii="仿宋_GB2312" w:hAnsi="仿宋" w:eastAsia="仿宋_GB2312"/>
          <w:sz w:val="24"/>
          <w:szCs w:val="30"/>
        </w:rPr>
      </w:pPr>
      <w:r>
        <w:rPr>
          <w:rFonts w:hint="eastAsia" w:ascii="仿宋_GB2312" w:hAnsi="仿宋" w:eastAsia="仿宋_GB2312"/>
          <w:sz w:val="24"/>
          <w:szCs w:val="30"/>
        </w:rPr>
        <w:t>说明：成交价格同时偏离中债估值和中证估值超过2%（含）的，债券交易参与人应填报本表。债券交易参与人在填写本表时应明确所使用的比较基准。</w:t>
      </w:r>
    </w:p>
    <w:p w14:paraId="77ACE1BE">
      <w:pPr>
        <w:spacing w:line="600" w:lineRule="exact"/>
        <w:ind w:firstLine="480"/>
        <w:jc w:val="left"/>
        <w:rPr>
          <w:rFonts w:ascii="仿宋_GB2312" w:hAnsi="仿宋" w:eastAsia="仿宋_GB2312"/>
          <w:sz w:val="24"/>
          <w:szCs w:val="30"/>
        </w:rPr>
      </w:pPr>
    </w:p>
    <w:p w14:paraId="5697BBD4">
      <w:pPr>
        <w:spacing w:line="600" w:lineRule="exact"/>
        <w:ind w:firstLine="720" w:firstLineChars="300"/>
        <w:jc w:val="left"/>
        <w:rPr>
          <w:rFonts w:ascii="仿宋_GB2312" w:hAnsi="仿宋" w:eastAsia="仿宋_GB2312"/>
          <w:sz w:val="24"/>
          <w:szCs w:val="30"/>
        </w:rPr>
      </w:pPr>
      <w:r>
        <w:rPr>
          <w:rFonts w:hint="eastAsia" w:ascii="仿宋_GB2312" w:hAnsi="仿宋" w:eastAsia="仿宋_GB2312"/>
          <w:sz w:val="24"/>
          <w:szCs w:val="30"/>
        </w:rPr>
        <w:t xml:space="preserve">                                   机构名称（盖章）： </w:t>
      </w:r>
    </w:p>
    <w:p w14:paraId="4129A21E">
      <w:pPr>
        <w:spacing w:line="600" w:lineRule="exact"/>
        <w:ind w:left="360" w:firstLine="480"/>
        <w:jc w:val="right"/>
        <w:rPr>
          <w:rFonts w:ascii="仿宋_GB2312" w:hAnsi="宋体" w:eastAsia="仿宋_GB2312" w:cs="宋体"/>
          <w:color w:val="000000"/>
          <w:kern w:val="0"/>
          <w:sz w:val="24"/>
          <w:szCs w:val="24"/>
        </w:rPr>
      </w:pPr>
      <w:r>
        <w:rPr>
          <w:rFonts w:hint="eastAsia" w:ascii="仿宋_GB2312" w:hAnsi="仿宋" w:eastAsia="仿宋_GB2312"/>
          <w:sz w:val="24"/>
          <w:szCs w:val="30"/>
        </w:rPr>
        <w:t xml:space="preserve">                                               年  月  日</w:t>
      </w:r>
    </w:p>
    <w:sectPr>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方正大标宋简体">
    <w:panose1 w:val="02000000000000000000"/>
    <w:charset w:val="86"/>
    <w:family w:val="script"/>
    <w:pitch w:val="default"/>
    <w:sig w:usb0="A00002BF" w:usb1="184F6CFA" w:usb2="00000012"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宋体"/>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Futura Bk">
    <w:altName w:val="阿里巴巴普惠体 R"/>
    <w:panose1 w:val="00000000000000000000"/>
    <w:charset w:val="00"/>
    <w:family w:val="swiss"/>
    <w:pitch w:val="default"/>
    <w:sig w:usb0="00000000" w:usb1="00000000" w:usb2="00000000" w:usb3="00000000" w:csb0="0000009F" w:csb1="00000000"/>
  </w:font>
  <w:font w:name="阿里巴巴普惠体 R">
    <w:panose1 w:val="00020600040101010101"/>
    <w:charset w:val="86"/>
    <w:family w:val="auto"/>
    <w:pitch w:val="default"/>
    <w:sig w:usb0="A00002FF" w:usb1="7ACF7CFB" w:usb2="0000001E" w:usb3="00000000" w:csb0="0004009F" w:csb1="00000000"/>
  </w:font>
  <w:font w:name="Tahoma">
    <w:altName w:val="DejaVu Sans"/>
    <w:panose1 w:val="020B0604030504040204"/>
    <w:charset w:val="00"/>
    <w:family w:val="swiss"/>
    <w:pitch w:val="default"/>
    <w:sig w:usb0="00000000" w:usb1="00000000" w:usb2="00000029" w:usb3="00000000" w:csb0="200101FF" w:csb1="20280000"/>
  </w:font>
  <w:font w:name="华文细黑">
    <w:altName w:val="汉仪中等线简"/>
    <w:panose1 w:val="02010600040101010101"/>
    <w:charset w:val="86"/>
    <w:family w:val="auto"/>
    <w:pitch w:val="default"/>
    <w:sig w:usb0="00000000" w:usb1="00000000" w:usb2="00000000" w:usb3="00000000" w:csb0="0004009F" w:csb1="DFD70000"/>
  </w:font>
  <w:font w:name="汉仪中等线简">
    <w:panose1 w:val="02010600000101010101"/>
    <w:charset w:val="86"/>
    <w:family w:val="auto"/>
    <w:pitch w:val="default"/>
    <w:sig w:usb0="00000001" w:usb1="080E0800" w:usb2="00000002" w:usb3="00000000" w:csb0="00040000" w:csb1="00000000"/>
  </w:font>
  <w:font w:name="Cambria Math">
    <w:altName w:val="DejaVu Math TeX Gyre"/>
    <w:panose1 w:val="02040503050406030204"/>
    <w:charset w:val="00"/>
    <w:family w:val="roman"/>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Times">
    <w:altName w:val="Times New Roman"/>
    <w:panose1 w:val="02020603050405020304"/>
    <w:charset w:val="00"/>
    <w:family w:val="roman"/>
    <w:pitch w:val="default"/>
    <w:sig w:usb0="00000000" w:usb1="00000000" w:usb2="00000009" w:usb3="00000000" w:csb0="000001FF"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新宋体">
    <w:panose1 w:val="02010609030101010101"/>
    <w:charset w:val="86"/>
    <w:family w:val="modern"/>
    <w:pitch w:val="default"/>
    <w:sig w:usb0="00000003" w:usb1="288F0000" w:usb2="0000000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52036">
    <w:pPr>
      <w:pStyle w:val="28"/>
      <w:jc w:val="right"/>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5</w:t>
    </w:r>
    <w:r>
      <w:rPr>
        <w:sz w:val="28"/>
      </w:rPr>
      <w:fldChar w:fldCharType="end"/>
    </w:r>
    <w:r>
      <w:rPr>
        <w:rFonts w:hint="eastAsia" w:ascii="仿宋_GB2312" w:eastAsia="仿宋_GB2312"/>
        <w:bCs/>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8A909">
    <w:pPr>
      <w:pStyle w:val="28"/>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6</w:t>
    </w:r>
    <w:r>
      <w:rPr>
        <w:sz w:val="28"/>
      </w:rPr>
      <w:fldChar w:fldCharType="end"/>
    </w:r>
    <w:r>
      <w:rPr>
        <w:rFonts w:hint="eastAsia" w:ascii="仿宋_GB2312" w:eastAsia="仿宋_GB2312"/>
        <w:bCs/>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B003">
    <w:pPr>
      <w:pStyle w:val="28"/>
      <w:ind w:left="360" w:right="90"/>
      <w:jc w:val="right"/>
      <w:rPr>
        <w:rFonts w:ascii="仿宋_GB2312" w:eastAsia="仿宋_GB2312"/>
        <w:bCs/>
        <w:sz w:val="28"/>
        <w:szCs w:val="28"/>
      </w:rPr>
    </w:pPr>
    <w:sdt>
      <w:sdtPr>
        <w:id w:val="-1"/>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401</w:t>
        </w:r>
        <w:r>
          <w:rPr>
            <w:rFonts w:ascii="仿宋_GB2312" w:eastAsia="仿宋_GB2312"/>
            <w:bCs/>
            <w:sz w:val="28"/>
            <w:szCs w:val="28"/>
          </w:rPr>
          <w:fldChar w:fldCharType="end"/>
        </w:r>
      </w:sdtContent>
    </w:sdt>
    <w:r>
      <w:rPr>
        <w:rFonts w:ascii="仿宋_GB2312" w:eastAsia="仿宋_GB2312"/>
        <w:bCs/>
        <w:sz w:val="28"/>
        <w:szCs w:val="28"/>
      </w:rPr>
      <w:t>-</w:t>
    </w:r>
  </w:p>
  <w:p w14:paraId="2355D982">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8B3B1">
    <w:pPr>
      <w:pStyle w:val="28"/>
      <w:ind w:left="360" w:right="90"/>
      <w:rPr>
        <w:rFonts w:ascii="仿宋_GB2312" w:eastAsia="仿宋_GB2312"/>
        <w:bCs/>
        <w:sz w:val="28"/>
        <w:szCs w:val="28"/>
      </w:rPr>
    </w:pPr>
    <w:sdt>
      <w:sdtPr>
        <w:id w:val="147463297"/>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408</w:t>
        </w:r>
        <w:r>
          <w:rPr>
            <w:rFonts w:ascii="仿宋_GB2312" w:eastAsia="仿宋_GB2312"/>
            <w:bCs/>
            <w:sz w:val="28"/>
            <w:szCs w:val="28"/>
          </w:rPr>
          <w:fldChar w:fldCharType="end"/>
        </w:r>
      </w:sdtContent>
    </w:sdt>
    <w:r>
      <w:rPr>
        <w:rFonts w:ascii="仿宋_GB2312" w:eastAsia="仿宋_GB2312"/>
        <w:bCs/>
        <w:sz w:val="28"/>
        <w:szCs w:val="28"/>
      </w:rPr>
      <w:t>-</w:t>
    </w:r>
  </w:p>
  <w:p w14:paraId="35E0BA01">
    <w:pPr>
      <w:pStyle w:val="28"/>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2D71E">
    <w:pPr>
      <w:pStyle w:val="28"/>
      <w:ind w:left="360" w:right="90"/>
      <w:jc w:val="right"/>
    </w:pPr>
    <w:sdt>
      <w:sdtPr>
        <w:id w:val="1082801306"/>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407</w:t>
        </w:r>
        <w:r>
          <w:rPr>
            <w:rFonts w:ascii="仿宋_GB2312" w:eastAsia="仿宋_GB2312"/>
            <w:bCs/>
            <w:sz w:val="28"/>
            <w:szCs w:val="28"/>
          </w:rPr>
          <w:fldChar w:fldCharType="end"/>
        </w:r>
      </w:sdtContent>
    </w:sdt>
    <w:r>
      <w:rPr>
        <w:rFonts w:ascii="仿宋_GB2312" w:eastAsia="仿宋_GB2312"/>
        <w:bCs/>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3C6D99C1">
      <w:pPr>
        <w:pStyle w:val="33"/>
        <w:ind w:firstLine="0" w:firstLineChars="0"/>
        <w:rPr>
          <w:rFonts w:ascii="宋体" w:hAnsi="宋体" w:cs="宋体"/>
          <w:sz w:val="21"/>
          <w:szCs w:val="21"/>
        </w:rPr>
      </w:pPr>
      <w:r>
        <w:rPr>
          <w:rStyle w:val="53"/>
          <w:rFonts w:hint="eastAsia" w:ascii="宋体" w:hAnsi="宋体" w:cs="宋体"/>
          <w:sz w:val="21"/>
          <w:szCs w:val="21"/>
        </w:rPr>
        <w:footnoteRef/>
      </w:r>
      <w:r>
        <w:rPr>
          <w:rFonts w:hint="eastAsia" w:ascii="宋体" w:hAnsi="宋体" w:cs="宋体"/>
          <w:sz w:val="21"/>
          <w:szCs w:val="21"/>
        </w:rPr>
        <w:t xml:space="preserve"> 此为根据实践情况推荐的交易结算方式，部分投资者（如符合相关条件的财务公司及其他机构）经申请成为债券交易参与人的，亦可选择直接入场的交易参与方式。</w:t>
      </w:r>
    </w:p>
  </w:footnote>
  <w:footnote w:id="1">
    <w:p w14:paraId="47447659">
      <w:pPr>
        <w:pStyle w:val="33"/>
        <w:ind w:firstLine="360"/>
      </w:pPr>
      <w:r>
        <w:rPr>
          <w:rStyle w:val="53"/>
        </w:rPr>
        <w:footnoteRef/>
      </w:r>
      <w:r>
        <w:t xml:space="preserve"> </w:t>
      </w:r>
      <w:r>
        <w:rPr>
          <w:rFonts w:hint="eastAsia" w:ascii="仿宋_GB2312" w:eastAsia="仿宋_GB2312"/>
        </w:rPr>
        <w:t>详见《上海证券交易所会员管理业务指南第2号——风险揭示书必备条款》，全文可至本所官方网站（http://www.sse.com.cn）“规则”下的“本所业务指南与流程”栏目查询。</w:t>
      </w:r>
    </w:p>
  </w:footnote>
  <w:footnote w:id="2">
    <w:p w14:paraId="276867B6">
      <w:pPr>
        <w:pStyle w:val="33"/>
        <w:ind w:firstLine="360"/>
      </w:pPr>
      <w:r>
        <w:rPr>
          <w:rStyle w:val="53"/>
        </w:rPr>
        <w:footnoteRef/>
      </w:r>
      <w:r>
        <w:rPr>
          <w:vertAlign w:val="superscript"/>
        </w:rPr>
        <w:t xml:space="preserve"> </w:t>
      </w:r>
      <w:r>
        <w:rPr>
          <w:rFonts w:hint="eastAsia" w:ascii="仿宋_GB2312" w:eastAsia="仿宋_GB2312"/>
        </w:rPr>
        <w:t>此处请填写参考实体简称。</w:t>
      </w:r>
    </w:p>
  </w:footnote>
  <w:footnote w:id="3">
    <w:p w14:paraId="682D24E7">
      <w:pPr>
        <w:pStyle w:val="33"/>
        <w:ind w:firstLine="360"/>
        <w:rPr>
          <w:rFonts w:ascii="仿宋_GB2312" w:eastAsia="仿宋_GB2312"/>
        </w:rPr>
      </w:pPr>
      <w:r>
        <w:rPr>
          <w:rStyle w:val="53"/>
          <w:rFonts w:ascii="仿宋_GB2312" w:eastAsia="仿宋_GB2312"/>
        </w:rPr>
        <w:footnoteRef/>
      </w:r>
      <w:r>
        <w:rPr>
          <w:rFonts w:hint="eastAsia" w:ascii="仿宋_GB2312" w:eastAsia="仿宋_GB2312"/>
        </w:rPr>
        <w:t>此处请填写参考实体简称。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81142">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9FF9">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93533"/>
    <w:multiLevelType w:val="singleLevel"/>
    <w:tmpl w:val="8B393533"/>
    <w:lvl w:ilvl="0" w:tentative="0">
      <w:start w:val="1"/>
      <w:numFmt w:val="decimal"/>
      <w:lvlText w:val="%1."/>
      <w:lvlJc w:val="left"/>
      <w:pPr>
        <w:tabs>
          <w:tab w:val="left" w:pos="312"/>
        </w:tabs>
      </w:pPr>
    </w:lvl>
  </w:abstractNum>
  <w:abstractNum w:abstractNumId="1">
    <w:nsid w:val="967F9668"/>
    <w:multiLevelType w:val="singleLevel"/>
    <w:tmpl w:val="967F9668"/>
    <w:lvl w:ilvl="0" w:tentative="0">
      <w:start w:val="2"/>
      <w:numFmt w:val="decimal"/>
      <w:suff w:val="nothing"/>
      <w:lvlText w:val="%1、"/>
      <w:lvlJc w:val="left"/>
    </w:lvl>
  </w:abstractNum>
  <w:abstractNum w:abstractNumId="2">
    <w:nsid w:val="D369BD06"/>
    <w:multiLevelType w:val="singleLevel"/>
    <w:tmpl w:val="D369BD06"/>
    <w:lvl w:ilvl="0" w:tentative="0">
      <w:start w:val="1"/>
      <w:numFmt w:val="decimal"/>
      <w:lvlText w:val="%1."/>
      <w:lvlJc w:val="left"/>
      <w:pPr>
        <w:tabs>
          <w:tab w:val="left" w:pos="312"/>
        </w:tabs>
      </w:pPr>
    </w:lvl>
  </w:abstractNum>
  <w:abstractNum w:abstractNumId="3">
    <w:nsid w:val="FDE6E37C"/>
    <w:multiLevelType w:val="singleLevel"/>
    <w:tmpl w:val="FDE6E37C"/>
    <w:lvl w:ilvl="0" w:tentative="0">
      <w:start w:val="1"/>
      <w:numFmt w:val="decimal"/>
      <w:lvlText w:val="%1."/>
      <w:lvlJc w:val="left"/>
      <w:pPr>
        <w:tabs>
          <w:tab w:val="left" w:pos="312"/>
        </w:tabs>
      </w:pPr>
    </w:lvl>
  </w:abstractNum>
  <w:abstractNum w:abstractNumId="4">
    <w:nsid w:val="00015B7C"/>
    <w:multiLevelType w:val="multilevel"/>
    <w:tmpl w:val="00015B7C"/>
    <w:lvl w:ilvl="0" w:tentative="0">
      <w:start w:val="9"/>
      <w:numFmt w:val="decimal"/>
      <w:pStyle w:val="79"/>
      <w:suff w:val="space"/>
      <w:lvlText w:val="%1"/>
      <w:lvlJc w:val="left"/>
      <w:pPr>
        <w:ind w:left="567" w:firstLine="0"/>
      </w:pPr>
      <w:rPr>
        <w:rFonts w:hint="default" w:ascii="黑体" w:hAnsi="黑体" w:eastAsia="黑体"/>
        <w:sz w:val="30"/>
        <w:szCs w:val="30"/>
      </w:rPr>
    </w:lvl>
    <w:lvl w:ilvl="1" w:tentative="0">
      <w:start w:val="1"/>
      <w:numFmt w:val="decimal"/>
      <w:pStyle w:val="3"/>
      <w:suff w:val="space"/>
      <w:lvlText w:val="%1.%2"/>
      <w:lvlJc w:val="left"/>
      <w:pPr>
        <w:ind w:left="567" w:firstLine="0"/>
      </w:pPr>
      <w:rPr>
        <w:rFonts w:hint="eastAsia"/>
      </w:rPr>
    </w:lvl>
    <w:lvl w:ilvl="2" w:tentative="0">
      <w:start w:val="1"/>
      <w:numFmt w:val="decimal"/>
      <w:lvlText w:val="12.1.%3"/>
      <w:lvlJc w:val="left"/>
      <w:pPr>
        <w:ind w:left="567" w:firstLine="0"/>
      </w:pPr>
      <w:rPr>
        <w:rFonts w:hint="eastAsia" w:ascii="仿宋_GB2312" w:eastAsia="仿宋_GB2312"/>
        <w:b w:val="0"/>
        <w:i w:val="0"/>
        <w:sz w:val="30"/>
      </w:rPr>
    </w:lvl>
    <w:lvl w:ilvl="3" w:tentative="0">
      <w:start w:val="1"/>
      <w:numFmt w:val="decimal"/>
      <w:pStyle w:val="5"/>
      <w:suff w:val="space"/>
      <w:lvlText w:val="%1.%2.%3.%4"/>
      <w:lvlJc w:val="left"/>
      <w:pPr>
        <w:ind w:left="567" w:firstLine="0"/>
      </w:pPr>
      <w:rPr>
        <w:rFonts w:hint="eastAsia"/>
      </w:rPr>
    </w:lvl>
    <w:lvl w:ilvl="4" w:tentative="0">
      <w:start w:val="1"/>
      <w:numFmt w:val="decimal"/>
      <w:pStyle w:val="6"/>
      <w:suff w:val="space"/>
      <w:lvlText w:val="%1.%2.%3.%4.%5"/>
      <w:lvlJc w:val="left"/>
      <w:pPr>
        <w:ind w:left="567" w:firstLine="567"/>
      </w:pPr>
      <w:rPr>
        <w:rFonts w:hint="eastAsia"/>
      </w:rPr>
    </w:lvl>
    <w:lvl w:ilvl="5" w:tentative="0">
      <w:start w:val="1"/>
      <w:numFmt w:val="decimal"/>
      <w:pStyle w:val="7"/>
      <w:lvlText w:val="%1.%2.%3.%4.%5.%6"/>
      <w:lvlJc w:val="left"/>
      <w:pPr>
        <w:ind w:left="567" w:firstLine="567"/>
      </w:pPr>
      <w:rPr>
        <w:rFonts w:hint="eastAsia"/>
      </w:rPr>
    </w:lvl>
    <w:lvl w:ilvl="6" w:tentative="0">
      <w:start w:val="1"/>
      <w:numFmt w:val="decimal"/>
      <w:pStyle w:val="8"/>
      <w:lvlText w:val="%1.%2.%3.%4.%5.%6.%7"/>
      <w:lvlJc w:val="left"/>
      <w:pPr>
        <w:ind w:left="567" w:firstLine="0"/>
      </w:pPr>
      <w:rPr>
        <w:rFonts w:hint="eastAsia"/>
      </w:rPr>
    </w:lvl>
    <w:lvl w:ilvl="7" w:tentative="0">
      <w:start w:val="1"/>
      <w:numFmt w:val="decimal"/>
      <w:pStyle w:val="9"/>
      <w:lvlText w:val="%1.%2.%3.%4.%5.%6.%7.%8"/>
      <w:lvlJc w:val="left"/>
      <w:pPr>
        <w:ind w:left="567" w:firstLine="0"/>
      </w:pPr>
      <w:rPr>
        <w:rFonts w:hint="eastAsia"/>
      </w:rPr>
    </w:lvl>
    <w:lvl w:ilvl="8" w:tentative="0">
      <w:start w:val="1"/>
      <w:numFmt w:val="decimal"/>
      <w:pStyle w:val="10"/>
      <w:lvlText w:val="%1.%2.%3.%4.%5.%6.%7.%8.%9"/>
      <w:lvlJc w:val="left"/>
      <w:pPr>
        <w:ind w:left="567" w:firstLine="0"/>
      </w:pPr>
      <w:rPr>
        <w:rFonts w:hint="eastAsia"/>
      </w:rPr>
    </w:lvl>
  </w:abstractNum>
  <w:abstractNum w:abstractNumId="5">
    <w:nsid w:val="051F275D"/>
    <w:multiLevelType w:val="multilevel"/>
    <w:tmpl w:val="051F275D"/>
    <w:lvl w:ilvl="0" w:tentative="0">
      <w:start w:val="1"/>
      <w:numFmt w:val="decimal"/>
      <w:lvlText w:val="%1."/>
      <w:lvlJc w:val="left"/>
      <w:pPr>
        <w:ind w:left="425" w:hanging="425"/>
      </w:pPr>
      <w:rPr>
        <w:rFonts w:hint="eastAsia" w:ascii="黑体" w:hAnsi="黑体" w:eastAsia="黑体"/>
        <w:b/>
        <w:sz w:val="36"/>
        <w:szCs w:val="36"/>
      </w:rPr>
    </w:lvl>
    <w:lvl w:ilvl="1" w:tentative="0">
      <w:start w:val="1"/>
      <w:numFmt w:val="decimal"/>
      <w:lvlText w:val="%1.%2."/>
      <w:lvlJc w:val="left"/>
      <w:pPr>
        <w:ind w:left="567" w:hanging="567"/>
      </w:pPr>
      <w:rPr>
        <w:rFonts w:hint="eastAsia" w:ascii="仿宋_GB2312" w:eastAsia="仿宋_GB2312"/>
      </w:rPr>
    </w:lvl>
    <w:lvl w:ilvl="2" w:tentative="0">
      <w:start w:val="1"/>
      <w:numFmt w:val="decimal"/>
      <w:lvlText w:val="%1.%2.%3."/>
      <w:lvlJc w:val="left"/>
      <w:pPr>
        <w:ind w:left="709" w:hanging="709"/>
      </w:pPr>
      <w:rPr>
        <w:rFonts w:hint="eastAsia" w:ascii="仿宋_GB2312" w:eastAsia="仿宋_GB2312"/>
        <w:b/>
      </w:rPr>
    </w:lvl>
    <w:lvl w:ilvl="3" w:tentative="0">
      <w:start w:val="1"/>
      <w:numFmt w:val="decimal"/>
      <w:lvlText w:val="%1.%2.%3.%4."/>
      <w:lvlJc w:val="left"/>
      <w:pPr>
        <w:ind w:left="1418" w:hanging="851"/>
      </w:pPr>
      <w:rPr>
        <w:rFonts w:hint="eastAsia" w:ascii="仿宋_GB2312" w:eastAsia="仿宋_GB2312"/>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0A091EDD"/>
    <w:multiLevelType w:val="multilevel"/>
    <w:tmpl w:val="0A091EDD"/>
    <w:lvl w:ilvl="0" w:tentative="0">
      <w:start w:val="1"/>
      <w:numFmt w:val="bullet"/>
      <w:lvlText w:val=""/>
      <w:lvlJc w:val="left"/>
      <w:pPr>
        <w:tabs>
          <w:tab w:val="left" w:pos="420"/>
        </w:tabs>
        <w:ind w:left="420" w:hanging="420"/>
      </w:pPr>
      <w:rPr>
        <w:rFonts w:hint="default" w:ascii="Wingdings" w:hAnsi="Wingdings"/>
        <w:color w:val="auto"/>
      </w:rPr>
    </w:lvl>
    <w:lvl w:ilvl="1" w:tentative="0">
      <w:start w:val="0"/>
      <w:numFmt w:val="bullet"/>
      <w:lvlText w:val="●"/>
      <w:lvlJc w:val="left"/>
      <w:pPr>
        <w:tabs>
          <w:tab w:val="left" w:pos="780"/>
        </w:tabs>
        <w:ind w:left="780" w:hanging="360"/>
      </w:pPr>
      <w:rPr>
        <w:rFonts w:hint="eastAsia" w:ascii="宋体" w:hAnsi="宋体" w:eastAsia="宋体"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BC24116"/>
    <w:multiLevelType w:val="multilevel"/>
    <w:tmpl w:val="0BC24116"/>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0E906EF4"/>
    <w:multiLevelType w:val="multilevel"/>
    <w:tmpl w:val="0E906EF4"/>
    <w:lvl w:ilvl="0" w:tentative="0">
      <w:start w:val="1"/>
      <w:numFmt w:val="decimal"/>
      <w:lvlText w:val="%1）"/>
      <w:lvlJc w:val="left"/>
      <w:pPr>
        <w:ind w:left="1647" w:hanging="1080"/>
      </w:pPr>
      <w:rPr>
        <w:rFonts w:ascii="仿宋_GB2312" w:hAnsi="Cambria" w:eastAsia="仿宋_GB2312" w:cs="Times New Roman"/>
        <w:lang w:val="en-U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12D22E01"/>
    <w:multiLevelType w:val="multilevel"/>
    <w:tmpl w:val="12D22E01"/>
    <w:lvl w:ilvl="0" w:tentative="0">
      <w:start w:val="1"/>
      <w:numFmt w:val="decimal"/>
      <w:lvlText w:val="%1）"/>
      <w:lvlJc w:val="left"/>
      <w:pPr>
        <w:ind w:left="1555" w:hanging="420"/>
      </w:pPr>
      <w:rPr>
        <w:rFonts w:hint="eastAsia"/>
      </w:rPr>
    </w:lvl>
    <w:lvl w:ilvl="1" w:tentative="0">
      <w:start w:val="1"/>
      <w:numFmt w:val="lowerLetter"/>
      <w:lvlText w:val="%2)"/>
      <w:lvlJc w:val="left"/>
      <w:pPr>
        <w:ind w:left="1975" w:hanging="420"/>
      </w:pPr>
    </w:lvl>
    <w:lvl w:ilvl="2" w:tentative="0">
      <w:start w:val="1"/>
      <w:numFmt w:val="lowerRoman"/>
      <w:lvlText w:val="%3."/>
      <w:lvlJc w:val="right"/>
      <w:pPr>
        <w:ind w:left="2395" w:hanging="420"/>
      </w:pPr>
    </w:lvl>
    <w:lvl w:ilvl="3" w:tentative="0">
      <w:start w:val="1"/>
      <w:numFmt w:val="decimal"/>
      <w:lvlText w:val="%4."/>
      <w:lvlJc w:val="left"/>
      <w:pPr>
        <w:ind w:left="2815" w:hanging="420"/>
      </w:pPr>
    </w:lvl>
    <w:lvl w:ilvl="4" w:tentative="0">
      <w:start w:val="1"/>
      <w:numFmt w:val="lowerLetter"/>
      <w:lvlText w:val="%5)"/>
      <w:lvlJc w:val="left"/>
      <w:pPr>
        <w:ind w:left="3235" w:hanging="420"/>
      </w:pPr>
    </w:lvl>
    <w:lvl w:ilvl="5" w:tentative="0">
      <w:start w:val="1"/>
      <w:numFmt w:val="lowerRoman"/>
      <w:lvlText w:val="%6."/>
      <w:lvlJc w:val="right"/>
      <w:pPr>
        <w:ind w:left="3655" w:hanging="420"/>
      </w:pPr>
    </w:lvl>
    <w:lvl w:ilvl="6" w:tentative="0">
      <w:start w:val="1"/>
      <w:numFmt w:val="decimal"/>
      <w:lvlText w:val="%7."/>
      <w:lvlJc w:val="left"/>
      <w:pPr>
        <w:ind w:left="4075" w:hanging="420"/>
      </w:pPr>
    </w:lvl>
    <w:lvl w:ilvl="7" w:tentative="0">
      <w:start w:val="1"/>
      <w:numFmt w:val="lowerLetter"/>
      <w:lvlText w:val="%8)"/>
      <w:lvlJc w:val="left"/>
      <w:pPr>
        <w:ind w:left="4495" w:hanging="420"/>
      </w:pPr>
    </w:lvl>
    <w:lvl w:ilvl="8" w:tentative="0">
      <w:start w:val="1"/>
      <w:numFmt w:val="lowerRoman"/>
      <w:lvlText w:val="%9."/>
      <w:lvlJc w:val="right"/>
      <w:pPr>
        <w:ind w:left="4915" w:hanging="420"/>
      </w:pPr>
    </w:lvl>
  </w:abstractNum>
  <w:abstractNum w:abstractNumId="10">
    <w:nsid w:val="15DC4BC2"/>
    <w:multiLevelType w:val="multilevel"/>
    <w:tmpl w:val="15DC4BC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25F4449"/>
    <w:multiLevelType w:val="multilevel"/>
    <w:tmpl w:val="225F444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12">
    <w:nsid w:val="27B50E36"/>
    <w:multiLevelType w:val="multilevel"/>
    <w:tmpl w:val="27B50E36"/>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2AB87EC7"/>
    <w:multiLevelType w:val="multilevel"/>
    <w:tmpl w:val="2AB87EC7"/>
    <w:lvl w:ilvl="0" w:tentative="0">
      <w:start w:val="1"/>
      <w:numFmt w:val="decimal"/>
      <w:lvlText w:val="(%1)"/>
      <w:lvlJc w:val="left"/>
      <w:pPr>
        <w:ind w:left="840" w:hanging="420"/>
      </w:pPr>
      <w:rPr>
        <w:rFonts w:hint="eastAsia" w:eastAsia="仿宋_GB2312"/>
      </w:rPr>
    </w:lvl>
    <w:lvl w:ilvl="1" w:tentative="0">
      <w:start w:val="1"/>
      <w:numFmt w:val="decimal"/>
      <w:lvlText w:val="（%2）"/>
      <w:lvlJc w:val="left"/>
      <w:pPr>
        <w:ind w:left="420" w:hanging="420"/>
      </w:pPr>
      <w:rPr>
        <w:rFonts w:hint="eastAsia" w:eastAsia="仿宋_GB2312"/>
      </w:rPr>
    </w:lvl>
    <w:lvl w:ilvl="2" w:tentative="0">
      <w:start w:val="2"/>
      <w:numFmt w:val="decimal"/>
      <w:lvlText w:val="（%3）"/>
      <w:lvlJc w:val="left"/>
      <w:pPr>
        <w:ind w:left="1920" w:hanging="108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0AC058E"/>
    <w:multiLevelType w:val="multilevel"/>
    <w:tmpl w:val="30AC058E"/>
    <w:lvl w:ilvl="0" w:tentative="0">
      <w:start w:val="2"/>
      <w:numFmt w:val="decimal"/>
      <w:lvlText w:val="（%1）"/>
      <w:lvlJc w:val="left"/>
      <w:pPr>
        <w:ind w:left="1917" w:hanging="1080"/>
      </w:pPr>
      <w:rPr>
        <w:rFonts w:hint="default"/>
      </w:rPr>
    </w:lvl>
    <w:lvl w:ilvl="1" w:tentative="0">
      <w:start w:val="1"/>
      <w:numFmt w:val="lowerLetter"/>
      <w:lvlText w:val="%2)"/>
      <w:lvlJc w:val="left"/>
      <w:pPr>
        <w:ind w:left="1677" w:hanging="420"/>
      </w:pPr>
    </w:lvl>
    <w:lvl w:ilvl="2" w:tentative="0">
      <w:start w:val="1"/>
      <w:numFmt w:val="lowerRoman"/>
      <w:lvlText w:val="%3."/>
      <w:lvlJc w:val="right"/>
      <w:pPr>
        <w:ind w:left="2097" w:hanging="420"/>
      </w:pPr>
    </w:lvl>
    <w:lvl w:ilvl="3" w:tentative="0">
      <w:start w:val="1"/>
      <w:numFmt w:val="decimal"/>
      <w:lvlText w:val="%4."/>
      <w:lvlJc w:val="left"/>
      <w:pPr>
        <w:ind w:left="2517" w:hanging="420"/>
      </w:pPr>
    </w:lvl>
    <w:lvl w:ilvl="4" w:tentative="0">
      <w:start w:val="1"/>
      <w:numFmt w:val="lowerLetter"/>
      <w:lvlText w:val="%5)"/>
      <w:lvlJc w:val="left"/>
      <w:pPr>
        <w:ind w:left="2937" w:hanging="420"/>
      </w:pPr>
    </w:lvl>
    <w:lvl w:ilvl="5" w:tentative="0">
      <w:start w:val="1"/>
      <w:numFmt w:val="lowerRoman"/>
      <w:lvlText w:val="%6."/>
      <w:lvlJc w:val="right"/>
      <w:pPr>
        <w:ind w:left="3357" w:hanging="420"/>
      </w:pPr>
    </w:lvl>
    <w:lvl w:ilvl="6" w:tentative="0">
      <w:start w:val="1"/>
      <w:numFmt w:val="decimal"/>
      <w:lvlText w:val="%7."/>
      <w:lvlJc w:val="left"/>
      <w:pPr>
        <w:ind w:left="3777" w:hanging="420"/>
      </w:pPr>
    </w:lvl>
    <w:lvl w:ilvl="7" w:tentative="0">
      <w:start w:val="1"/>
      <w:numFmt w:val="lowerLetter"/>
      <w:lvlText w:val="%8)"/>
      <w:lvlJc w:val="left"/>
      <w:pPr>
        <w:ind w:left="4197" w:hanging="420"/>
      </w:pPr>
    </w:lvl>
    <w:lvl w:ilvl="8" w:tentative="0">
      <w:start w:val="1"/>
      <w:numFmt w:val="lowerRoman"/>
      <w:lvlText w:val="%9."/>
      <w:lvlJc w:val="right"/>
      <w:pPr>
        <w:ind w:left="4617" w:hanging="420"/>
      </w:pPr>
    </w:lvl>
  </w:abstractNum>
  <w:abstractNum w:abstractNumId="15">
    <w:nsid w:val="33615EC8"/>
    <w:multiLevelType w:val="multilevel"/>
    <w:tmpl w:val="33615EC8"/>
    <w:lvl w:ilvl="0" w:tentative="0">
      <w:start w:val="1"/>
      <w:numFmt w:val="decimal"/>
      <w:lvlText w:val="（%1）"/>
      <w:lvlJc w:val="left"/>
      <w:pPr>
        <w:ind w:left="1020" w:hanging="420"/>
      </w:pPr>
      <w:rPr>
        <w:rFonts w:hint="eastAsia" w:eastAsia="仿宋_GB2312"/>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33A334C7"/>
    <w:multiLevelType w:val="multilevel"/>
    <w:tmpl w:val="33A334C7"/>
    <w:lvl w:ilvl="0" w:tentative="0">
      <w:start w:val="1"/>
      <w:numFmt w:val="chineseCountingThousand"/>
      <w:lvlText w:val="第%1条"/>
      <w:lvlJc w:val="left"/>
      <w:pPr>
        <w:ind w:left="420" w:hanging="420"/>
      </w:pPr>
      <w:rPr>
        <w:rFonts w:hint="default" w:ascii="Calibri" w:hAnsi="Calibri" w:eastAsia="仿宋_GB2312" w:cs="Times New Roman"/>
        <w:b/>
        <w:i w:val="0"/>
        <w:color w:val="auto"/>
        <w:sz w:val="30"/>
      </w:rPr>
    </w:lvl>
    <w:lvl w:ilvl="1" w:tentative="0">
      <w:start w:val="1"/>
      <w:numFmt w:val="japaneseCounting"/>
      <w:lvlText w:val="（%2）"/>
      <w:lvlJc w:val="left"/>
      <w:pPr>
        <w:ind w:left="1890" w:hanging="147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E0F73B1"/>
    <w:multiLevelType w:val="multilevel"/>
    <w:tmpl w:val="3E0F73B1"/>
    <w:lvl w:ilvl="0" w:tentative="0">
      <w:start w:val="1"/>
      <w:numFmt w:val="decimal"/>
      <w:lvlText w:val="%1)"/>
      <w:lvlJc w:val="left"/>
      <w:pPr>
        <w:ind w:left="1020" w:hanging="420"/>
      </w:pPr>
    </w:lvl>
    <w:lvl w:ilvl="1" w:tentative="0">
      <w:start w:val="1"/>
      <w:numFmt w:val="decimal"/>
      <w:lvlText w:val="（%2）"/>
      <w:lvlJc w:val="left"/>
      <w:pPr>
        <w:ind w:left="2100" w:hanging="1080"/>
      </w:pPr>
      <w:rPr>
        <w:rFonts w:hint="default" w:hAnsi="黑体"/>
      </w:rPr>
    </w:lvl>
    <w:lvl w:ilvl="2" w:tentative="0">
      <w:start w:val="2"/>
      <w:numFmt w:val="decimal"/>
      <w:lvlText w:val="（%3）"/>
      <w:lvlJc w:val="left"/>
      <w:pPr>
        <w:ind w:left="2520" w:hanging="1080"/>
      </w:pPr>
      <w:rPr>
        <w:rFonts w:hint="default"/>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8">
    <w:nsid w:val="40F12327"/>
    <w:multiLevelType w:val="multilevel"/>
    <w:tmpl w:val="40F1232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02566B9"/>
    <w:multiLevelType w:val="multilevel"/>
    <w:tmpl w:val="502566B9"/>
    <w:lvl w:ilvl="0" w:tentative="0">
      <w:start w:val="1"/>
      <w:numFmt w:val="decimal"/>
      <w:lvlText w:val="%1）"/>
      <w:lvlJc w:val="left"/>
      <w:pPr>
        <w:ind w:left="1129" w:hanging="420"/>
      </w:pPr>
      <w:rPr>
        <w:rFonts w:ascii="仿宋_GB2312" w:hAnsi="仿宋" w:eastAsia="仿宋_GB2312" w:cs="Times New Roman"/>
        <w:lang w:val="en-US"/>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0">
    <w:nsid w:val="530F1FD9"/>
    <w:multiLevelType w:val="multilevel"/>
    <w:tmpl w:val="530F1FD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21">
    <w:nsid w:val="5EA656DE"/>
    <w:multiLevelType w:val="multilevel"/>
    <w:tmpl w:val="5EA656DE"/>
    <w:lvl w:ilvl="0" w:tentative="0">
      <w:start w:val="1"/>
      <w:numFmt w:val="japaneseCounting"/>
      <w:pStyle w:val="108"/>
      <w:lvlText w:val="第%1条"/>
      <w:lvlJc w:val="left"/>
      <w:pPr>
        <w:ind w:left="3045" w:hanging="420"/>
      </w:pPr>
      <w:rPr>
        <w:rFonts w:hint="eastAsia" w:ascii="仿宋_GB2312" w:eastAsia="仿宋_GB2312" w:cs="Times New Roman"/>
        <w:b/>
        <w:sz w:val="30"/>
        <w:szCs w:val="30"/>
      </w:rPr>
    </w:lvl>
    <w:lvl w:ilvl="1" w:tentative="0">
      <w:start w:val="1"/>
      <w:numFmt w:val="chineseCountingThousand"/>
      <w:lvlText w:val="第%2条"/>
      <w:lvlJc w:val="left"/>
      <w:pPr>
        <w:tabs>
          <w:tab w:val="left" w:pos="3856"/>
        </w:tabs>
        <w:ind w:left="1928" w:firstLine="567"/>
      </w:pPr>
      <w:rPr>
        <w:rFonts w:hint="eastAsia" w:ascii="仿宋_GB2312" w:eastAsia="仿宋_GB2312" w:cs="Times New Roman"/>
        <w:b w:val="0"/>
        <w:i w:val="0"/>
        <w:strike w:val="0"/>
        <w:dstrike w:val="0"/>
        <w:spacing w:val="0"/>
        <w:w w:val="100"/>
        <w:kern w:val="0"/>
        <w:position w:val="0"/>
        <w:sz w:val="32"/>
        <w:szCs w:val="32"/>
        <w:u w:val="none"/>
      </w:rPr>
    </w:lvl>
    <w:lvl w:ilvl="2" w:tentative="0">
      <w:start w:val="1"/>
      <w:numFmt w:val="decimal"/>
      <w:lvlText w:val="%3."/>
      <w:lvlJc w:val="left"/>
      <w:pPr>
        <w:tabs>
          <w:tab w:val="left" w:pos="3595"/>
        </w:tabs>
        <w:ind w:left="3595" w:hanging="360"/>
      </w:pPr>
      <w:rPr>
        <w:rFonts w:cs="Times New Roman"/>
      </w:rPr>
    </w:lvl>
    <w:lvl w:ilvl="3" w:tentative="0">
      <w:start w:val="1"/>
      <w:numFmt w:val="decimal"/>
      <w:lvlText w:val="%4."/>
      <w:lvlJc w:val="left"/>
      <w:pPr>
        <w:tabs>
          <w:tab w:val="left" w:pos="4315"/>
        </w:tabs>
        <w:ind w:left="4315" w:hanging="360"/>
      </w:pPr>
      <w:rPr>
        <w:rFonts w:cs="Times New Roman"/>
      </w:rPr>
    </w:lvl>
    <w:lvl w:ilvl="4" w:tentative="0">
      <w:start w:val="1"/>
      <w:numFmt w:val="decimal"/>
      <w:lvlText w:val="%5."/>
      <w:lvlJc w:val="left"/>
      <w:pPr>
        <w:tabs>
          <w:tab w:val="left" w:pos="5035"/>
        </w:tabs>
        <w:ind w:left="5035" w:hanging="360"/>
      </w:pPr>
      <w:rPr>
        <w:rFonts w:cs="Times New Roman"/>
      </w:rPr>
    </w:lvl>
    <w:lvl w:ilvl="5" w:tentative="0">
      <w:start w:val="1"/>
      <w:numFmt w:val="decimal"/>
      <w:lvlText w:val="%6."/>
      <w:lvlJc w:val="left"/>
      <w:pPr>
        <w:tabs>
          <w:tab w:val="left" w:pos="5755"/>
        </w:tabs>
        <w:ind w:left="5755" w:hanging="360"/>
      </w:pPr>
      <w:rPr>
        <w:rFonts w:cs="Times New Roman"/>
      </w:rPr>
    </w:lvl>
    <w:lvl w:ilvl="6" w:tentative="0">
      <w:start w:val="1"/>
      <w:numFmt w:val="decimal"/>
      <w:lvlText w:val="%7."/>
      <w:lvlJc w:val="left"/>
      <w:pPr>
        <w:tabs>
          <w:tab w:val="left" w:pos="6475"/>
        </w:tabs>
        <w:ind w:left="6475" w:hanging="360"/>
      </w:pPr>
      <w:rPr>
        <w:rFonts w:cs="Times New Roman"/>
      </w:rPr>
    </w:lvl>
    <w:lvl w:ilvl="7" w:tentative="0">
      <w:start w:val="1"/>
      <w:numFmt w:val="decimal"/>
      <w:lvlText w:val="%8."/>
      <w:lvlJc w:val="left"/>
      <w:pPr>
        <w:tabs>
          <w:tab w:val="left" w:pos="7195"/>
        </w:tabs>
        <w:ind w:left="7195" w:hanging="360"/>
      </w:pPr>
      <w:rPr>
        <w:rFonts w:cs="Times New Roman"/>
      </w:rPr>
    </w:lvl>
    <w:lvl w:ilvl="8" w:tentative="0">
      <w:start w:val="1"/>
      <w:numFmt w:val="decimal"/>
      <w:lvlText w:val="%9."/>
      <w:lvlJc w:val="left"/>
      <w:pPr>
        <w:tabs>
          <w:tab w:val="left" w:pos="7915"/>
        </w:tabs>
        <w:ind w:left="7915" w:hanging="360"/>
      </w:pPr>
      <w:rPr>
        <w:rFonts w:cs="Times New Roman"/>
      </w:rPr>
    </w:lvl>
  </w:abstractNum>
  <w:abstractNum w:abstractNumId="22">
    <w:nsid w:val="61000131"/>
    <w:multiLevelType w:val="multilevel"/>
    <w:tmpl w:val="61000131"/>
    <w:lvl w:ilvl="0" w:tentative="0">
      <w:start w:val="1"/>
      <w:numFmt w:val="decimal"/>
      <w:lvlText w:val="%1)"/>
      <w:lvlJc w:val="left"/>
      <w:pPr>
        <w:ind w:left="1020" w:hanging="420"/>
      </w:p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3">
    <w:nsid w:val="61F756AC"/>
    <w:multiLevelType w:val="singleLevel"/>
    <w:tmpl w:val="61F756AC"/>
    <w:lvl w:ilvl="0" w:tentative="0">
      <w:start w:val="1"/>
      <w:numFmt w:val="decimal"/>
      <w:suff w:val="nothing"/>
      <w:lvlText w:val="（%1）"/>
      <w:lvlJc w:val="left"/>
    </w:lvl>
  </w:abstractNum>
  <w:abstractNum w:abstractNumId="24">
    <w:nsid w:val="6A8418B2"/>
    <w:multiLevelType w:val="multilevel"/>
    <w:tmpl w:val="6A8418B2"/>
    <w:lvl w:ilvl="0" w:tentative="0">
      <w:start w:val="1"/>
      <w:numFmt w:val="decimal"/>
      <w:lvlText w:val="（%1）"/>
      <w:lvlJc w:val="left"/>
      <w:pPr>
        <w:ind w:left="987" w:hanging="420"/>
      </w:pPr>
      <w:rPr>
        <w:rFonts w:hint="eastAsia" w:eastAsia="仿宋_GB2312"/>
        <w:b w:val="0"/>
        <w:i w:val="0"/>
        <w:sz w:val="3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5">
    <w:nsid w:val="75BD12CA"/>
    <w:multiLevelType w:val="multilevel"/>
    <w:tmpl w:val="75BD12CA"/>
    <w:lvl w:ilvl="0" w:tentative="0">
      <w:start w:val="1"/>
      <w:numFmt w:val="decimal"/>
      <w:pStyle w:val="2"/>
      <w:lvlText w:val="%1"/>
      <w:lvlJc w:val="left"/>
      <w:pPr>
        <w:ind w:left="420" w:hanging="420"/>
      </w:pPr>
      <w:rPr>
        <w:rFonts w:hint="eastAsia" w:eastAsia="仿宋_GB2312"/>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8C74745"/>
    <w:multiLevelType w:val="multilevel"/>
    <w:tmpl w:val="78C74745"/>
    <w:lvl w:ilvl="0" w:tentative="0">
      <w:start w:val="6"/>
      <w:numFmt w:val="decimal"/>
      <w:lvlText w:val="（%1）"/>
      <w:lvlJc w:val="left"/>
      <w:pPr>
        <w:ind w:left="30" w:hanging="1080"/>
      </w:pPr>
      <w:rPr>
        <w:rFonts w:hint="default"/>
      </w:rPr>
    </w:lvl>
    <w:lvl w:ilvl="1" w:tentative="0">
      <w:start w:val="1"/>
      <w:numFmt w:val="lowerLetter"/>
      <w:lvlText w:val="%2)"/>
      <w:lvlJc w:val="left"/>
      <w:pPr>
        <w:ind w:left="-210" w:hanging="420"/>
      </w:pPr>
    </w:lvl>
    <w:lvl w:ilvl="2" w:tentative="0">
      <w:start w:val="1"/>
      <w:numFmt w:val="lowerRoman"/>
      <w:lvlText w:val="%3."/>
      <w:lvlJc w:val="right"/>
      <w:pPr>
        <w:ind w:left="210" w:hanging="420"/>
      </w:pPr>
    </w:lvl>
    <w:lvl w:ilvl="3" w:tentative="0">
      <w:start w:val="1"/>
      <w:numFmt w:val="decimal"/>
      <w:lvlText w:val="%4."/>
      <w:lvlJc w:val="left"/>
      <w:pPr>
        <w:ind w:left="630" w:hanging="420"/>
      </w:pPr>
    </w:lvl>
    <w:lvl w:ilvl="4" w:tentative="0">
      <w:start w:val="1"/>
      <w:numFmt w:val="lowerLetter"/>
      <w:lvlText w:val="%5)"/>
      <w:lvlJc w:val="left"/>
      <w:pPr>
        <w:ind w:left="1050" w:hanging="420"/>
      </w:pPr>
    </w:lvl>
    <w:lvl w:ilvl="5" w:tentative="0">
      <w:start w:val="1"/>
      <w:numFmt w:val="lowerRoman"/>
      <w:lvlText w:val="%6."/>
      <w:lvlJc w:val="right"/>
      <w:pPr>
        <w:ind w:left="1470" w:hanging="420"/>
      </w:pPr>
    </w:lvl>
    <w:lvl w:ilvl="6" w:tentative="0">
      <w:start w:val="1"/>
      <w:numFmt w:val="decimal"/>
      <w:lvlText w:val="%7."/>
      <w:lvlJc w:val="left"/>
      <w:pPr>
        <w:ind w:left="1890" w:hanging="420"/>
      </w:pPr>
    </w:lvl>
    <w:lvl w:ilvl="7" w:tentative="0">
      <w:start w:val="1"/>
      <w:numFmt w:val="lowerLetter"/>
      <w:lvlText w:val="%8)"/>
      <w:lvlJc w:val="left"/>
      <w:pPr>
        <w:ind w:left="2310" w:hanging="420"/>
      </w:pPr>
    </w:lvl>
    <w:lvl w:ilvl="8" w:tentative="0">
      <w:start w:val="1"/>
      <w:numFmt w:val="lowerRoman"/>
      <w:lvlText w:val="%9."/>
      <w:lvlJc w:val="right"/>
      <w:pPr>
        <w:ind w:left="2730" w:hanging="420"/>
      </w:pPr>
    </w:lvl>
  </w:abstractNum>
  <w:abstractNum w:abstractNumId="27">
    <w:nsid w:val="7BA54873"/>
    <w:multiLevelType w:val="multilevel"/>
    <w:tmpl w:val="7BA54873"/>
    <w:lvl w:ilvl="0" w:tentative="0">
      <w:start w:val="1"/>
      <w:numFmt w:val="decimal"/>
      <w:lvlText w:val="%1）"/>
      <w:lvlJc w:val="left"/>
      <w:pPr>
        <w:ind w:left="1020" w:hanging="420"/>
      </w:pPr>
      <w:rPr>
        <w:rFonts w:hint="eastAsia"/>
        <w:lang w:val="en-US"/>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8">
    <w:nsid w:val="7EFD7C5C"/>
    <w:multiLevelType w:val="multilevel"/>
    <w:tmpl w:val="7EFD7C5C"/>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7F066573"/>
    <w:multiLevelType w:val="multilevel"/>
    <w:tmpl w:val="7F066573"/>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num w:numId="1">
    <w:abstractNumId w:val="25"/>
  </w:num>
  <w:num w:numId="2">
    <w:abstractNumId w:val="4"/>
  </w:num>
  <w:num w:numId="3">
    <w:abstractNumId w:val="21"/>
  </w:num>
  <w:num w:numId="4">
    <w:abstractNumId w:val="5"/>
  </w:num>
  <w:num w:numId="5">
    <w:abstractNumId w:val="27"/>
  </w:num>
  <w:num w:numId="6">
    <w:abstractNumId w:val="10"/>
  </w:num>
  <w:num w:numId="7">
    <w:abstractNumId w:val="18"/>
  </w:num>
  <w:num w:numId="8">
    <w:abstractNumId w:val="29"/>
  </w:num>
  <w:num w:numId="9">
    <w:abstractNumId w:val="22"/>
  </w:num>
  <w:num w:numId="10">
    <w:abstractNumId w:val="17"/>
  </w:num>
  <w:num w:numId="11">
    <w:abstractNumId w:val="26"/>
  </w:num>
  <w:num w:numId="12">
    <w:abstractNumId w:val="15"/>
  </w:num>
  <w:num w:numId="13">
    <w:abstractNumId w:val="13"/>
  </w:num>
  <w:num w:numId="14">
    <w:abstractNumId w:val="19"/>
  </w:num>
  <w:num w:numId="15">
    <w:abstractNumId w:val="9"/>
  </w:num>
  <w:num w:numId="16">
    <w:abstractNumId w:val="7"/>
  </w:num>
  <w:num w:numId="17">
    <w:abstractNumId w:val="0"/>
  </w:num>
  <w:num w:numId="18">
    <w:abstractNumId w:val="3"/>
  </w:num>
  <w:num w:numId="19">
    <w:abstractNumId w:val="14"/>
  </w:num>
  <w:num w:numId="20">
    <w:abstractNumId w:val="23"/>
  </w:num>
  <w:num w:numId="21">
    <w:abstractNumId w:val="2"/>
  </w:num>
  <w:num w:numId="22">
    <w:abstractNumId w:val="24"/>
  </w:num>
  <w:num w:numId="23">
    <w:abstractNumId w:val="28"/>
  </w:num>
  <w:num w:numId="24">
    <w:abstractNumId w:val="12"/>
  </w:num>
  <w:num w:numId="25">
    <w:abstractNumId w:val="8"/>
  </w:num>
  <w:num w:numId="26">
    <w:abstractNumId w:val="1"/>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hideGrammaticalErrors/>
  <w:documentProtection w:enforcement="0"/>
  <w:defaultTabStop w:val="0"/>
  <w:evenAndOddHeaders w:val="1"/>
  <w:drawingGridHorizontalSpacing w:val="105"/>
  <w:drawingGridVerticalSpacing w:val="156"/>
  <w:displayHorizontalDrawingGridEvery w:val="2"/>
  <w:displayVerticalDrawingGridEvery w:val="2"/>
  <w:noPunctuationKerning w:val="1"/>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MDY5ZWZkMjNhZjM4OTRjYWYwMzNiOWM2NWVmNDMifQ=="/>
  </w:docVars>
  <w:rsids>
    <w:rsidRoot w:val="00054864"/>
    <w:rsid w:val="00000111"/>
    <w:rsid w:val="000003F9"/>
    <w:rsid w:val="00002001"/>
    <w:rsid w:val="000022F0"/>
    <w:rsid w:val="000023D2"/>
    <w:rsid w:val="00002E7D"/>
    <w:rsid w:val="00003560"/>
    <w:rsid w:val="00003EA7"/>
    <w:rsid w:val="0000401B"/>
    <w:rsid w:val="00005F62"/>
    <w:rsid w:val="00006128"/>
    <w:rsid w:val="00007151"/>
    <w:rsid w:val="000108FD"/>
    <w:rsid w:val="00011ED6"/>
    <w:rsid w:val="0001287D"/>
    <w:rsid w:val="000131A8"/>
    <w:rsid w:val="000141CC"/>
    <w:rsid w:val="000144EB"/>
    <w:rsid w:val="00015C78"/>
    <w:rsid w:val="00016CF1"/>
    <w:rsid w:val="00017C70"/>
    <w:rsid w:val="00021CEB"/>
    <w:rsid w:val="00021E00"/>
    <w:rsid w:val="00022762"/>
    <w:rsid w:val="000231E7"/>
    <w:rsid w:val="000237B2"/>
    <w:rsid w:val="00023ABC"/>
    <w:rsid w:val="00023CFF"/>
    <w:rsid w:val="00024225"/>
    <w:rsid w:val="000252B8"/>
    <w:rsid w:val="0002547C"/>
    <w:rsid w:val="000274E7"/>
    <w:rsid w:val="00030718"/>
    <w:rsid w:val="000318E0"/>
    <w:rsid w:val="00031C19"/>
    <w:rsid w:val="00032AA2"/>
    <w:rsid w:val="00032F7A"/>
    <w:rsid w:val="00033DE6"/>
    <w:rsid w:val="0003459E"/>
    <w:rsid w:val="000349B2"/>
    <w:rsid w:val="00036F41"/>
    <w:rsid w:val="0003709B"/>
    <w:rsid w:val="00040748"/>
    <w:rsid w:val="00040F89"/>
    <w:rsid w:val="000412D2"/>
    <w:rsid w:val="000414DC"/>
    <w:rsid w:val="00043325"/>
    <w:rsid w:val="00044191"/>
    <w:rsid w:val="000448FF"/>
    <w:rsid w:val="00044EF2"/>
    <w:rsid w:val="000450B9"/>
    <w:rsid w:val="00045921"/>
    <w:rsid w:val="00045AAE"/>
    <w:rsid w:val="00045BEF"/>
    <w:rsid w:val="000475C8"/>
    <w:rsid w:val="000512C3"/>
    <w:rsid w:val="00051D58"/>
    <w:rsid w:val="0005203C"/>
    <w:rsid w:val="000533A4"/>
    <w:rsid w:val="000536FF"/>
    <w:rsid w:val="00053980"/>
    <w:rsid w:val="00054864"/>
    <w:rsid w:val="00054B19"/>
    <w:rsid w:val="00055D22"/>
    <w:rsid w:val="00056058"/>
    <w:rsid w:val="00057952"/>
    <w:rsid w:val="0006046C"/>
    <w:rsid w:val="00060C5C"/>
    <w:rsid w:val="0006157D"/>
    <w:rsid w:val="00062B12"/>
    <w:rsid w:val="00062E78"/>
    <w:rsid w:val="00063801"/>
    <w:rsid w:val="00063E4F"/>
    <w:rsid w:val="00063EED"/>
    <w:rsid w:val="00064386"/>
    <w:rsid w:val="00065663"/>
    <w:rsid w:val="000661BD"/>
    <w:rsid w:val="000666F6"/>
    <w:rsid w:val="00066A09"/>
    <w:rsid w:val="00066BBA"/>
    <w:rsid w:val="0006753E"/>
    <w:rsid w:val="000675F8"/>
    <w:rsid w:val="00067D1E"/>
    <w:rsid w:val="0007161D"/>
    <w:rsid w:val="00072043"/>
    <w:rsid w:val="000727E8"/>
    <w:rsid w:val="000742D6"/>
    <w:rsid w:val="000743C4"/>
    <w:rsid w:val="00074581"/>
    <w:rsid w:val="0007535A"/>
    <w:rsid w:val="00076703"/>
    <w:rsid w:val="0008097A"/>
    <w:rsid w:val="00082111"/>
    <w:rsid w:val="00083711"/>
    <w:rsid w:val="00083D32"/>
    <w:rsid w:val="000848A2"/>
    <w:rsid w:val="00084991"/>
    <w:rsid w:val="00084D03"/>
    <w:rsid w:val="00084FFC"/>
    <w:rsid w:val="000854D9"/>
    <w:rsid w:val="000856D8"/>
    <w:rsid w:val="000860E5"/>
    <w:rsid w:val="00086322"/>
    <w:rsid w:val="00086815"/>
    <w:rsid w:val="00087538"/>
    <w:rsid w:val="00087D04"/>
    <w:rsid w:val="00087F5C"/>
    <w:rsid w:val="00090822"/>
    <w:rsid w:val="00090BA4"/>
    <w:rsid w:val="0009153B"/>
    <w:rsid w:val="00092F9F"/>
    <w:rsid w:val="00093625"/>
    <w:rsid w:val="000943A6"/>
    <w:rsid w:val="00095760"/>
    <w:rsid w:val="00095866"/>
    <w:rsid w:val="00096282"/>
    <w:rsid w:val="000A0529"/>
    <w:rsid w:val="000A0CCF"/>
    <w:rsid w:val="000A11BC"/>
    <w:rsid w:val="000A1BB8"/>
    <w:rsid w:val="000A1C9D"/>
    <w:rsid w:val="000A341A"/>
    <w:rsid w:val="000A3421"/>
    <w:rsid w:val="000A3787"/>
    <w:rsid w:val="000A3B74"/>
    <w:rsid w:val="000A40E8"/>
    <w:rsid w:val="000A446E"/>
    <w:rsid w:val="000A4626"/>
    <w:rsid w:val="000A507A"/>
    <w:rsid w:val="000A5F28"/>
    <w:rsid w:val="000A5F76"/>
    <w:rsid w:val="000A6751"/>
    <w:rsid w:val="000A744F"/>
    <w:rsid w:val="000A768F"/>
    <w:rsid w:val="000B0A0F"/>
    <w:rsid w:val="000B2597"/>
    <w:rsid w:val="000B40D6"/>
    <w:rsid w:val="000B66E4"/>
    <w:rsid w:val="000B6C27"/>
    <w:rsid w:val="000C0143"/>
    <w:rsid w:val="000C0D62"/>
    <w:rsid w:val="000C1E2B"/>
    <w:rsid w:val="000C2879"/>
    <w:rsid w:val="000C3A11"/>
    <w:rsid w:val="000C3CFB"/>
    <w:rsid w:val="000C4855"/>
    <w:rsid w:val="000C5203"/>
    <w:rsid w:val="000C56B2"/>
    <w:rsid w:val="000C5DF1"/>
    <w:rsid w:val="000C6C57"/>
    <w:rsid w:val="000D0511"/>
    <w:rsid w:val="000D1314"/>
    <w:rsid w:val="000D2AB6"/>
    <w:rsid w:val="000D330B"/>
    <w:rsid w:val="000D4686"/>
    <w:rsid w:val="000D50D2"/>
    <w:rsid w:val="000D5891"/>
    <w:rsid w:val="000D5B3D"/>
    <w:rsid w:val="000D5FB2"/>
    <w:rsid w:val="000D63CC"/>
    <w:rsid w:val="000D69B1"/>
    <w:rsid w:val="000D6A2F"/>
    <w:rsid w:val="000D6E23"/>
    <w:rsid w:val="000E0018"/>
    <w:rsid w:val="000E0330"/>
    <w:rsid w:val="000E1F5B"/>
    <w:rsid w:val="000E3401"/>
    <w:rsid w:val="000E3B3D"/>
    <w:rsid w:val="000E4D13"/>
    <w:rsid w:val="000E4DDF"/>
    <w:rsid w:val="000E5BB3"/>
    <w:rsid w:val="000E70C3"/>
    <w:rsid w:val="000E725C"/>
    <w:rsid w:val="000F0B3A"/>
    <w:rsid w:val="000F24A8"/>
    <w:rsid w:val="000F3B47"/>
    <w:rsid w:val="000F40AA"/>
    <w:rsid w:val="000F4BA5"/>
    <w:rsid w:val="000F776E"/>
    <w:rsid w:val="000F7B0B"/>
    <w:rsid w:val="001009CE"/>
    <w:rsid w:val="00101785"/>
    <w:rsid w:val="00101CB4"/>
    <w:rsid w:val="00104600"/>
    <w:rsid w:val="001047D9"/>
    <w:rsid w:val="00104C76"/>
    <w:rsid w:val="0010525E"/>
    <w:rsid w:val="00105926"/>
    <w:rsid w:val="001059B6"/>
    <w:rsid w:val="001066A0"/>
    <w:rsid w:val="00110A66"/>
    <w:rsid w:val="00111668"/>
    <w:rsid w:val="00112167"/>
    <w:rsid w:val="00112518"/>
    <w:rsid w:val="00112A43"/>
    <w:rsid w:val="00114336"/>
    <w:rsid w:val="00115352"/>
    <w:rsid w:val="00116F79"/>
    <w:rsid w:val="00120417"/>
    <w:rsid w:val="0012107B"/>
    <w:rsid w:val="00121187"/>
    <w:rsid w:val="00122A27"/>
    <w:rsid w:val="00122E49"/>
    <w:rsid w:val="00122EF3"/>
    <w:rsid w:val="00124738"/>
    <w:rsid w:val="00124A32"/>
    <w:rsid w:val="001259B3"/>
    <w:rsid w:val="00125BB3"/>
    <w:rsid w:val="00126803"/>
    <w:rsid w:val="0012719B"/>
    <w:rsid w:val="001307D5"/>
    <w:rsid w:val="0013246A"/>
    <w:rsid w:val="00134133"/>
    <w:rsid w:val="00135054"/>
    <w:rsid w:val="001352B3"/>
    <w:rsid w:val="00135A8A"/>
    <w:rsid w:val="00137699"/>
    <w:rsid w:val="00137B92"/>
    <w:rsid w:val="00140582"/>
    <w:rsid w:val="001405CD"/>
    <w:rsid w:val="00141D82"/>
    <w:rsid w:val="00142B0B"/>
    <w:rsid w:val="00144360"/>
    <w:rsid w:val="00144678"/>
    <w:rsid w:val="001450B1"/>
    <w:rsid w:val="00145EE6"/>
    <w:rsid w:val="0014669F"/>
    <w:rsid w:val="00146F5F"/>
    <w:rsid w:val="00147A94"/>
    <w:rsid w:val="00147DBC"/>
    <w:rsid w:val="00147EA9"/>
    <w:rsid w:val="00147ECD"/>
    <w:rsid w:val="00150640"/>
    <w:rsid w:val="00150EE2"/>
    <w:rsid w:val="0015156D"/>
    <w:rsid w:val="00151C5C"/>
    <w:rsid w:val="00151C68"/>
    <w:rsid w:val="00151F6D"/>
    <w:rsid w:val="001522EB"/>
    <w:rsid w:val="00153529"/>
    <w:rsid w:val="00153F52"/>
    <w:rsid w:val="00156340"/>
    <w:rsid w:val="00157FFA"/>
    <w:rsid w:val="00161BAE"/>
    <w:rsid w:val="00162385"/>
    <w:rsid w:val="00162DDB"/>
    <w:rsid w:val="00163D21"/>
    <w:rsid w:val="00164859"/>
    <w:rsid w:val="00164A85"/>
    <w:rsid w:val="0017017E"/>
    <w:rsid w:val="00171A21"/>
    <w:rsid w:val="00171C0D"/>
    <w:rsid w:val="00172284"/>
    <w:rsid w:val="00172EBB"/>
    <w:rsid w:val="00173455"/>
    <w:rsid w:val="00173A4F"/>
    <w:rsid w:val="00173F39"/>
    <w:rsid w:val="001744B9"/>
    <w:rsid w:val="001764CD"/>
    <w:rsid w:val="00176D3B"/>
    <w:rsid w:val="00181349"/>
    <w:rsid w:val="00181DCC"/>
    <w:rsid w:val="001834DA"/>
    <w:rsid w:val="00183A29"/>
    <w:rsid w:val="00183DDD"/>
    <w:rsid w:val="0018449F"/>
    <w:rsid w:val="001844CC"/>
    <w:rsid w:val="00184759"/>
    <w:rsid w:val="0018570B"/>
    <w:rsid w:val="00185D04"/>
    <w:rsid w:val="00186F41"/>
    <w:rsid w:val="00190427"/>
    <w:rsid w:val="00191734"/>
    <w:rsid w:val="00191BD6"/>
    <w:rsid w:val="00192ACD"/>
    <w:rsid w:val="00192B8B"/>
    <w:rsid w:val="00193AAA"/>
    <w:rsid w:val="001945FA"/>
    <w:rsid w:val="00194C4B"/>
    <w:rsid w:val="001959C0"/>
    <w:rsid w:val="001959C9"/>
    <w:rsid w:val="0019620E"/>
    <w:rsid w:val="00196853"/>
    <w:rsid w:val="00197C1C"/>
    <w:rsid w:val="001A04C9"/>
    <w:rsid w:val="001A19B5"/>
    <w:rsid w:val="001A299D"/>
    <w:rsid w:val="001A392C"/>
    <w:rsid w:val="001A3B21"/>
    <w:rsid w:val="001A4972"/>
    <w:rsid w:val="001A4B36"/>
    <w:rsid w:val="001A5B65"/>
    <w:rsid w:val="001A5D1A"/>
    <w:rsid w:val="001A6BF6"/>
    <w:rsid w:val="001A6D3E"/>
    <w:rsid w:val="001A71D7"/>
    <w:rsid w:val="001B1010"/>
    <w:rsid w:val="001B2182"/>
    <w:rsid w:val="001B3F0E"/>
    <w:rsid w:val="001B458F"/>
    <w:rsid w:val="001B51A0"/>
    <w:rsid w:val="001B575E"/>
    <w:rsid w:val="001B5B85"/>
    <w:rsid w:val="001B5E01"/>
    <w:rsid w:val="001B6333"/>
    <w:rsid w:val="001B698C"/>
    <w:rsid w:val="001B7165"/>
    <w:rsid w:val="001C252E"/>
    <w:rsid w:val="001C2985"/>
    <w:rsid w:val="001C2D57"/>
    <w:rsid w:val="001C35D7"/>
    <w:rsid w:val="001C41AF"/>
    <w:rsid w:val="001C43C4"/>
    <w:rsid w:val="001C4DA8"/>
    <w:rsid w:val="001C5AC1"/>
    <w:rsid w:val="001C5C09"/>
    <w:rsid w:val="001C6021"/>
    <w:rsid w:val="001C6990"/>
    <w:rsid w:val="001C6EF4"/>
    <w:rsid w:val="001C70CB"/>
    <w:rsid w:val="001C735E"/>
    <w:rsid w:val="001C74E7"/>
    <w:rsid w:val="001D045C"/>
    <w:rsid w:val="001D0C6F"/>
    <w:rsid w:val="001D0E23"/>
    <w:rsid w:val="001D1933"/>
    <w:rsid w:val="001D1DBB"/>
    <w:rsid w:val="001D1F7F"/>
    <w:rsid w:val="001D21CC"/>
    <w:rsid w:val="001D32D5"/>
    <w:rsid w:val="001D4663"/>
    <w:rsid w:val="001D48FC"/>
    <w:rsid w:val="001D4CF4"/>
    <w:rsid w:val="001D4ED6"/>
    <w:rsid w:val="001D6751"/>
    <w:rsid w:val="001D6F62"/>
    <w:rsid w:val="001D7803"/>
    <w:rsid w:val="001D7BD0"/>
    <w:rsid w:val="001E0EFD"/>
    <w:rsid w:val="001E433F"/>
    <w:rsid w:val="001E43DC"/>
    <w:rsid w:val="001F004E"/>
    <w:rsid w:val="001F02DF"/>
    <w:rsid w:val="001F11BF"/>
    <w:rsid w:val="001F1EFA"/>
    <w:rsid w:val="001F2479"/>
    <w:rsid w:val="001F42BF"/>
    <w:rsid w:val="001F46D9"/>
    <w:rsid w:val="001F47A1"/>
    <w:rsid w:val="001F4901"/>
    <w:rsid w:val="001F4A3C"/>
    <w:rsid w:val="001F5B90"/>
    <w:rsid w:val="001F5C7A"/>
    <w:rsid w:val="001F5C82"/>
    <w:rsid w:val="00200A9D"/>
    <w:rsid w:val="00200C9C"/>
    <w:rsid w:val="00200FC9"/>
    <w:rsid w:val="00202359"/>
    <w:rsid w:val="00202429"/>
    <w:rsid w:val="00202661"/>
    <w:rsid w:val="00202C50"/>
    <w:rsid w:val="00202D46"/>
    <w:rsid w:val="00203D01"/>
    <w:rsid w:val="002049CC"/>
    <w:rsid w:val="002065F8"/>
    <w:rsid w:val="002066C6"/>
    <w:rsid w:val="00206803"/>
    <w:rsid w:val="00206C71"/>
    <w:rsid w:val="00210F5E"/>
    <w:rsid w:val="002114EA"/>
    <w:rsid w:val="002130AE"/>
    <w:rsid w:val="0021359C"/>
    <w:rsid w:val="002141E0"/>
    <w:rsid w:val="00217AE4"/>
    <w:rsid w:val="00217B71"/>
    <w:rsid w:val="00221B8B"/>
    <w:rsid w:val="002229D4"/>
    <w:rsid w:val="00222DA7"/>
    <w:rsid w:val="00223D97"/>
    <w:rsid w:val="00224251"/>
    <w:rsid w:val="0022492D"/>
    <w:rsid w:val="00224DAB"/>
    <w:rsid w:val="002250B2"/>
    <w:rsid w:val="00227057"/>
    <w:rsid w:val="00227FA4"/>
    <w:rsid w:val="002308EF"/>
    <w:rsid w:val="00230FCE"/>
    <w:rsid w:val="0023233D"/>
    <w:rsid w:val="002375B4"/>
    <w:rsid w:val="00237694"/>
    <w:rsid w:val="00237C96"/>
    <w:rsid w:val="00237E42"/>
    <w:rsid w:val="00240AA0"/>
    <w:rsid w:val="00241F9A"/>
    <w:rsid w:val="002423A3"/>
    <w:rsid w:val="002447B2"/>
    <w:rsid w:val="00244A0C"/>
    <w:rsid w:val="00244E44"/>
    <w:rsid w:val="002454B4"/>
    <w:rsid w:val="00245764"/>
    <w:rsid w:val="00245B14"/>
    <w:rsid w:val="0024664B"/>
    <w:rsid w:val="00246ECB"/>
    <w:rsid w:val="002479C3"/>
    <w:rsid w:val="00247FF4"/>
    <w:rsid w:val="00250223"/>
    <w:rsid w:val="00250945"/>
    <w:rsid w:val="0025132E"/>
    <w:rsid w:val="00251E73"/>
    <w:rsid w:val="00252BDC"/>
    <w:rsid w:val="00253B81"/>
    <w:rsid w:val="00253F11"/>
    <w:rsid w:val="00255DA1"/>
    <w:rsid w:val="00256479"/>
    <w:rsid w:val="00256A69"/>
    <w:rsid w:val="00257D18"/>
    <w:rsid w:val="00257EC9"/>
    <w:rsid w:val="002601A0"/>
    <w:rsid w:val="00260379"/>
    <w:rsid w:val="002604AD"/>
    <w:rsid w:val="00260C7C"/>
    <w:rsid w:val="002626A5"/>
    <w:rsid w:val="00263128"/>
    <w:rsid w:val="002636C2"/>
    <w:rsid w:val="00264786"/>
    <w:rsid w:val="00265487"/>
    <w:rsid w:val="002656D4"/>
    <w:rsid w:val="002700F9"/>
    <w:rsid w:val="00270471"/>
    <w:rsid w:val="002712B1"/>
    <w:rsid w:val="00273125"/>
    <w:rsid w:val="00275162"/>
    <w:rsid w:val="00275820"/>
    <w:rsid w:val="00277433"/>
    <w:rsid w:val="00280A6B"/>
    <w:rsid w:val="00280CAF"/>
    <w:rsid w:val="00282176"/>
    <w:rsid w:val="002827CD"/>
    <w:rsid w:val="00284FCD"/>
    <w:rsid w:val="00284FEE"/>
    <w:rsid w:val="00291864"/>
    <w:rsid w:val="0029231B"/>
    <w:rsid w:val="00292AC6"/>
    <w:rsid w:val="00293BDD"/>
    <w:rsid w:val="00293F40"/>
    <w:rsid w:val="00293F99"/>
    <w:rsid w:val="002956DF"/>
    <w:rsid w:val="00295DAD"/>
    <w:rsid w:val="0029687D"/>
    <w:rsid w:val="002968F5"/>
    <w:rsid w:val="0029708F"/>
    <w:rsid w:val="002A0A39"/>
    <w:rsid w:val="002A0AD3"/>
    <w:rsid w:val="002A1844"/>
    <w:rsid w:val="002A220C"/>
    <w:rsid w:val="002A2376"/>
    <w:rsid w:val="002A274D"/>
    <w:rsid w:val="002A37BD"/>
    <w:rsid w:val="002A43F6"/>
    <w:rsid w:val="002A4869"/>
    <w:rsid w:val="002A59FD"/>
    <w:rsid w:val="002A5F23"/>
    <w:rsid w:val="002A5FDD"/>
    <w:rsid w:val="002A71A2"/>
    <w:rsid w:val="002A7431"/>
    <w:rsid w:val="002A7680"/>
    <w:rsid w:val="002A7FF4"/>
    <w:rsid w:val="002B06F1"/>
    <w:rsid w:val="002B0F43"/>
    <w:rsid w:val="002B1333"/>
    <w:rsid w:val="002B1766"/>
    <w:rsid w:val="002B1FA9"/>
    <w:rsid w:val="002B2368"/>
    <w:rsid w:val="002B346F"/>
    <w:rsid w:val="002B36D0"/>
    <w:rsid w:val="002B3E22"/>
    <w:rsid w:val="002B4857"/>
    <w:rsid w:val="002B5F8F"/>
    <w:rsid w:val="002B6104"/>
    <w:rsid w:val="002B7F28"/>
    <w:rsid w:val="002C123A"/>
    <w:rsid w:val="002C1931"/>
    <w:rsid w:val="002C1D0A"/>
    <w:rsid w:val="002C1DCA"/>
    <w:rsid w:val="002C2979"/>
    <w:rsid w:val="002C3693"/>
    <w:rsid w:val="002C49DB"/>
    <w:rsid w:val="002C54C1"/>
    <w:rsid w:val="002C5A28"/>
    <w:rsid w:val="002D0604"/>
    <w:rsid w:val="002D0C26"/>
    <w:rsid w:val="002D1011"/>
    <w:rsid w:val="002D19DF"/>
    <w:rsid w:val="002D1A6C"/>
    <w:rsid w:val="002D1E8E"/>
    <w:rsid w:val="002D25E2"/>
    <w:rsid w:val="002D37A7"/>
    <w:rsid w:val="002D6BF3"/>
    <w:rsid w:val="002D74F3"/>
    <w:rsid w:val="002D7B93"/>
    <w:rsid w:val="002E13D9"/>
    <w:rsid w:val="002E210E"/>
    <w:rsid w:val="002E21A3"/>
    <w:rsid w:val="002E2DBA"/>
    <w:rsid w:val="002E3C03"/>
    <w:rsid w:val="002E41D2"/>
    <w:rsid w:val="002E5F6D"/>
    <w:rsid w:val="002E615B"/>
    <w:rsid w:val="002E6409"/>
    <w:rsid w:val="002E6ACC"/>
    <w:rsid w:val="002E7780"/>
    <w:rsid w:val="002F026D"/>
    <w:rsid w:val="002F1560"/>
    <w:rsid w:val="002F17E9"/>
    <w:rsid w:val="002F1919"/>
    <w:rsid w:val="002F3167"/>
    <w:rsid w:val="002F5EF2"/>
    <w:rsid w:val="002F798A"/>
    <w:rsid w:val="003006DB"/>
    <w:rsid w:val="00302CC5"/>
    <w:rsid w:val="00303A34"/>
    <w:rsid w:val="00304A19"/>
    <w:rsid w:val="00304A37"/>
    <w:rsid w:val="00304C60"/>
    <w:rsid w:val="00306250"/>
    <w:rsid w:val="00306CED"/>
    <w:rsid w:val="003072C6"/>
    <w:rsid w:val="0030781D"/>
    <w:rsid w:val="0030786D"/>
    <w:rsid w:val="00310934"/>
    <w:rsid w:val="00310B3D"/>
    <w:rsid w:val="003111F8"/>
    <w:rsid w:val="003151B8"/>
    <w:rsid w:val="00317425"/>
    <w:rsid w:val="00320079"/>
    <w:rsid w:val="003203B0"/>
    <w:rsid w:val="003213CC"/>
    <w:rsid w:val="00321829"/>
    <w:rsid w:val="00321E44"/>
    <w:rsid w:val="0032283C"/>
    <w:rsid w:val="003229FD"/>
    <w:rsid w:val="00323340"/>
    <w:rsid w:val="003244E4"/>
    <w:rsid w:val="00324543"/>
    <w:rsid w:val="00325475"/>
    <w:rsid w:val="00325B99"/>
    <w:rsid w:val="00326631"/>
    <w:rsid w:val="00326D65"/>
    <w:rsid w:val="00326FC6"/>
    <w:rsid w:val="00326FD6"/>
    <w:rsid w:val="003271A6"/>
    <w:rsid w:val="003271F6"/>
    <w:rsid w:val="00331564"/>
    <w:rsid w:val="003318B7"/>
    <w:rsid w:val="00331E3E"/>
    <w:rsid w:val="00332366"/>
    <w:rsid w:val="003324B8"/>
    <w:rsid w:val="003327C5"/>
    <w:rsid w:val="00333A2A"/>
    <w:rsid w:val="00334449"/>
    <w:rsid w:val="003351F3"/>
    <w:rsid w:val="00336205"/>
    <w:rsid w:val="00341C10"/>
    <w:rsid w:val="00343C36"/>
    <w:rsid w:val="00345049"/>
    <w:rsid w:val="00345065"/>
    <w:rsid w:val="00345F81"/>
    <w:rsid w:val="00347E47"/>
    <w:rsid w:val="003509C1"/>
    <w:rsid w:val="00351C60"/>
    <w:rsid w:val="00352108"/>
    <w:rsid w:val="00354822"/>
    <w:rsid w:val="00356707"/>
    <w:rsid w:val="00356C27"/>
    <w:rsid w:val="00357681"/>
    <w:rsid w:val="00360A4C"/>
    <w:rsid w:val="00361148"/>
    <w:rsid w:val="003616E2"/>
    <w:rsid w:val="003624C5"/>
    <w:rsid w:val="00362A12"/>
    <w:rsid w:val="003630A3"/>
    <w:rsid w:val="00363265"/>
    <w:rsid w:val="003639EB"/>
    <w:rsid w:val="00367640"/>
    <w:rsid w:val="00371C3D"/>
    <w:rsid w:val="00372472"/>
    <w:rsid w:val="00372BCF"/>
    <w:rsid w:val="0037325A"/>
    <w:rsid w:val="00374DA6"/>
    <w:rsid w:val="00375F5B"/>
    <w:rsid w:val="00376CA1"/>
    <w:rsid w:val="00381BEC"/>
    <w:rsid w:val="00381DDF"/>
    <w:rsid w:val="003825C8"/>
    <w:rsid w:val="00382746"/>
    <w:rsid w:val="003852E3"/>
    <w:rsid w:val="00385A70"/>
    <w:rsid w:val="00386357"/>
    <w:rsid w:val="00391216"/>
    <w:rsid w:val="00392494"/>
    <w:rsid w:val="00393884"/>
    <w:rsid w:val="003948A0"/>
    <w:rsid w:val="00394E58"/>
    <w:rsid w:val="003953F1"/>
    <w:rsid w:val="003955FF"/>
    <w:rsid w:val="00397C3D"/>
    <w:rsid w:val="003A0005"/>
    <w:rsid w:val="003A1062"/>
    <w:rsid w:val="003A2FB2"/>
    <w:rsid w:val="003A564E"/>
    <w:rsid w:val="003A5E5F"/>
    <w:rsid w:val="003A6148"/>
    <w:rsid w:val="003A666F"/>
    <w:rsid w:val="003A6AC6"/>
    <w:rsid w:val="003A6B66"/>
    <w:rsid w:val="003A6E7F"/>
    <w:rsid w:val="003A78E1"/>
    <w:rsid w:val="003A7D6F"/>
    <w:rsid w:val="003B15BC"/>
    <w:rsid w:val="003B234B"/>
    <w:rsid w:val="003B24CA"/>
    <w:rsid w:val="003B2E83"/>
    <w:rsid w:val="003B45C8"/>
    <w:rsid w:val="003B4675"/>
    <w:rsid w:val="003B5A07"/>
    <w:rsid w:val="003B5AAA"/>
    <w:rsid w:val="003B65E8"/>
    <w:rsid w:val="003B7205"/>
    <w:rsid w:val="003B7924"/>
    <w:rsid w:val="003B7C4C"/>
    <w:rsid w:val="003C02C3"/>
    <w:rsid w:val="003C0543"/>
    <w:rsid w:val="003C4D04"/>
    <w:rsid w:val="003C5224"/>
    <w:rsid w:val="003C6897"/>
    <w:rsid w:val="003C7E99"/>
    <w:rsid w:val="003D026F"/>
    <w:rsid w:val="003D089B"/>
    <w:rsid w:val="003D2EBD"/>
    <w:rsid w:val="003D2F98"/>
    <w:rsid w:val="003D715B"/>
    <w:rsid w:val="003D735D"/>
    <w:rsid w:val="003E0397"/>
    <w:rsid w:val="003E0968"/>
    <w:rsid w:val="003E12DB"/>
    <w:rsid w:val="003E18B3"/>
    <w:rsid w:val="003E3D42"/>
    <w:rsid w:val="003E4038"/>
    <w:rsid w:val="003E5EFE"/>
    <w:rsid w:val="003E65D9"/>
    <w:rsid w:val="003E722D"/>
    <w:rsid w:val="003E74FE"/>
    <w:rsid w:val="003E762A"/>
    <w:rsid w:val="003F23EE"/>
    <w:rsid w:val="003F277E"/>
    <w:rsid w:val="003F2EEE"/>
    <w:rsid w:val="003F3FB0"/>
    <w:rsid w:val="003F4A66"/>
    <w:rsid w:val="003F4D48"/>
    <w:rsid w:val="003F5948"/>
    <w:rsid w:val="003F774E"/>
    <w:rsid w:val="00400958"/>
    <w:rsid w:val="00400C65"/>
    <w:rsid w:val="004014B7"/>
    <w:rsid w:val="00401C84"/>
    <w:rsid w:val="004021D3"/>
    <w:rsid w:val="0040265D"/>
    <w:rsid w:val="00402A72"/>
    <w:rsid w:val="004037DA"/>
    <w:rsid w:val="00406099"/>
    <w:rsid w:val="00410732"/>
    <w:rsid w:val="004110D1"/>
    <w:rsid w:val="00411EBD"/>
    <w:rsid w:val="00413427"/>
    <w:rsid w:val="00414833"/>
    <w:rsid w:val="00415A9F"/>
    <w:rsid w:val="004161AA"/>
    <w:rsid w:val="00420178"/>
    <w:rsid w:val="0042038A"/>
    <w:rsid w:val="004204C0"/>
    <w:rsid w:val="004219BC"/>
    <w:rsid w:val="00421EDF"/>
    <w:rsid w:val="0042414A"/>
    <w:rsid w:val="00424AA3"/>
    <w:rsid w:val="00425528"/>
    <w:rsid w:val="00425F91"/>
    <w:rsid w:val="00426195"/>
    <w:rsid w:val="00426F8B"/>
    <w:rsid w:val="004274F3"/>
    <w:rsid w:val="00427776"/>
    <w:rsid w:val="00427CA2"/>
    <w:rsid w:val="00427E57"/>
    <w:rsid w:val="00431DCB"/>
    <w:rsid w:val="004322F5"/>
    <w:rsid w:val="004322FF"/>
    <w:rsid w:val="00433EAF"/>
    <w:rsid w:val="00434C6B"/>
    <w:rsid w:val="004352A5"/>
    <w:rsid w:val="004372F7"/>
    <w:rsid w:val="004379DF"/>
    <w:rsid w:val="00440FCA"/>
    <w:rsid w:val="00441245"/>
    <w:rsid w:val="0044142E"/>
    <w:rsid w:val="00444945"/>
    <w:rsid w:val="00445569"/>
    <w:rsid w:val="004464C1"/>
    <w:rsid w:val="00450098"/>
    <w:rsid w:val="0045016D"/>
    <w:rsid w:val="00450268"/>
    <w:rsid w:val="004507D1"/>
    <w:rsid w:val="00450B02"/>
    <w:rsid w:val="00450F0F"/>
    <w:rsid w:val="00453C0B"/>
    <w:rsid w:val="004543DA"/>
    <w:rsid w:val="00454791"/>
    <w:rsid w:val="00454ECF"/>
    <w:rsid w:val="0045562D"/>
    <w:rsid w:val="00455FE0"/>
    <w:rsid w:val="00457ADF"/>
    <w:rsid w:val="00460A91"/>
    <w:rsid w:val="00461AAE"/>
    <w:rsid w:val="004621AA"/>
    <w:rsid w:val="00462513"/>
    <w:rsid w:val="00462A78"/>
    <w:rsid w:val="004631C5"/>
    <w:rsid w:val="004647D7"/>
    <w:rsid w:val="00464EDE"/>
    <w:rsid w:val="004664DC"/>
    <w:rsid w:val="004677E3"/>
    <w:rsid w:val="00467B70"/>
    <w:rsid w:val="00470A8A"/>
    <w:rsid w:val="004711B8"/>
    <w:rsid w:val="00471471"/>
    <w:rsid w:val="00471E44"/>
    <w:rsid w:val="00472B2E"/>
    <w:rsid w:val="00472C7B"/>
    <w:rsid w:val="004741FE"/>
    <w:rsid w:val="00474296"/>
    <w:rsid w:val="004748DE"/>
    <w:rsid w:val="00474F00"/>
    <w:rsid w:val="00474F74"/>
    <w:rsid w:val="004755E9"/>
    <w:rsid w:val="00475607"/>
    <w:rsid w:val="004756F5"/>
    <w:rsid w:val="00475C6F"/>
    <w:rsid w:val="0047629A"/>
    <w:rsid w:val="00476EC9"/>
    <w:rsid w:val="00477B74"/>
    <w:rsid w:val="00477EA7"/>
    <w:rsid w:val="0048081F"/>
    <w:rsid w:val="00480C77"/>
    <w:rsid w:val="00483754"/>
    <w:rsid w:val="0048417F"/>
    <w:rsid w:val="0048462C"/>
    <w:rsid w:val="00485243"/>
    <w:rsid w:val="00487410"/>
    <w:rsid w:val="00490B91"/>
    <w:rsid w:val="0049179F"/>
    <w:rsid w:val="00491ABB"/>
    <w:rsid w:val="00491F26"/>
    <w:rsid w:val="00493340"/>
    <w:rsid w:val="00493489"/>
    <w:rsid w:val="004935F0"/>
    <w:rsid w:val="00496234"/>
    <w:rsid w:val="004A0794"/>
    <w:rsid w:val="004A0FB4"/>
    <w:rsid w:val="004A3EB0"/>
    <w:rsid w:val="004A422F"/>
    <w:rsid w:val="004A4B4E"/>
    <w:rsid w:val="004A4E6E"/>
    <w:rsid w:val="004A5DBC"/>
    <w:rsid w:val="004A71D3"/>
    <w:rsid w:val="004A77E8"/>
    <w:rsid w:val="004A796F"/>
    <w:rsid w:val="004A7F0A"/>
    <w:rsid w:val="004B033C"/>
    <w:rsid w:val="004B2B5D"/>
    <w:rsid w:val="004B37E7"/>
    <w:rsid w:val="004B3BEC"/>
    <w:rsid w:val="004B4083"/>
    <w:rsid w:val="004B470F"/>
    <w:rsid w:val="004B65B3"/>
    <w:rsid w:val="004B6AC8"/>
    <w:rsid w:val="004B6F9C"/>
    <w:rsid w:val="004B7D4E"/>
    <w:rsid w:val="004C000D"/>
    <w:rsid w:val="004C00DF"/>
    <w:rsid w:val="004C122A"/>
    <w:rsid w:val="004C153B"/>
    <w:rsid w:val="004C1E26"/>
    <w:rsid w:val="004C2554"/>
    <w:rsid w:val="004C25B3"/>
    <w:rsid w:val="004C2CB7"/>
    <w:rsid w:val="004C31BD"/>
    <w:rsid w:val="004C48C5"/>
    <w:rsid w:val="004C57D7"/>
    <w:rsid w:val="004C5D9E"/>
    <w:rsid w:val="004C61F4"/>
    <w:rsid w:val="004C7A43"/>
    <w:rsid w:val="004C7DA2"/>
    <w:rsid w:val="004D059A"/>
    <w:rsid w:val="004D0D43"/>
    <w:rsid w:val="004D0F05"/>
    <w:rsid w:val="004D1F9F"/>
    <w:rsid w:val="004D25B8"/>
    <w:rsid w:val="004D32F7"/>
    <w:rsid w:val="004D3D8D"/>
    <w:rsid w:val="004D3DAD"/>
    <w:rsid w:val="004D3DC9"/>
    <w:rsid w:val="004D52C8"/>
    <w:rsid w:val="004D5D83"/>
    <w:rsid w:val="004D6521"/>
    <w:rsid w:val="004E126C"/>
    <w:rsid w:val="004E1ED8"/>
    <w:rsid w:val="004E1FAE"/>
    <w:rsid w:val="004E29ED"/>
    <w:rsid w:val="004E2C00"/>
    <w:rsid w:val="004E3AAD"/>
    <w:rsid w:val="004E3DF7"/>
    <w:rsid w:val="004E3E61"/>
    <w:rsid w:val="004E428E"/>
    <w:rsid w:val="004E4E9B"/>
    <w:rsid w:val="004E5995"/>
    <w:rsid w:val="004F0044"/>
    <w:rsid w:val="004F0E6E"/>
    <w:rsid w:val="004F117B"/>
    <w:rsid w:val="004F17B3"/>
    <w:rsid w:val="004F2793"/>
    <w:rsid w:val="004F4143"/>
    <w:rsid w:val="004F4814"/>
    <w:rsid w:val="004F5736"/>
    <w:rsid w:val="004F6047"/>
    <w:rsid w:val="004F7E37"/>
    <w:rsid w:val="004F7EC8"/>
    <w:rsid w:val="00500218"/>
    <w:rsid w:val="00502567"/>
    <w:rsid w:val="00502815"/>
    <w:rsid w:val="00502AE7"/>
    <w:rsid w:val="00503CB8"/>
    <w:rsid w:val="005047ED"/>
    <w:rsid w:val="00505CB2"/>
    <w:rsid w:val="0050679B"/>
    <w:rsid w:val="00506C37"/>
    <w:rsid w:val="005076EE"/>
    <w:rsid w:val="00507E64"/>
    <w:rsid w:val="005109E9"/>
    <w:rsid w:val="0051202A"/>
    <w:rsid w:val="00512FDD"/>
    <w:rsid w:val="00513F11"/>
    <w:rsid w:val="00514772"/>
    <w:rsid w:val="00514FEA"/>
    <w:rsid w:val="00515833"/>
    <w:rsid w:val="0051725C"/>
    <w:rsid w:val="00517CE3"/>
    <w:rsid w:val="00521087"/>
    <w:rsid w:val="0052262E"/>
    <w:rsid w:val="0052472F"/>
    <w:rsid w:val="005258D6"/>
    <w:rsid w:val="00527CDC"/>
    <w:rsid w:val="00527E53"/>
    <w:rsid w:val="00531671"/>
    <w:rsid w:val="00532DC3"/>
    <w:rsid w:val="00534676"/>
    <w:rsid w:val="0053511D"/>
    <w:rsid w:val="00535A00"/>
    <w:rsid w:val="00535A10"/>
    <w:rsid w:val="00535EC5"/>
    <w:rsid w:val="00536748"/>
    <w:rsid w:val="005379B6"/>
    <w:rsid w:val="00542CE9"/>
    <w:rsid w:val="00544619"/>
    <w:rsid w:val="00547D0B"/>
    <w:rsid w:val="00550027"/>
    <w:rsid w:val="005502BE"/>
    <w:rsid w:val="00550BC4"/>
    <w:rsid w:val="005513B4"/>
    <w:rsid w:val="005514C2"/>
    <w:rsid w:val="00552387"/>
    <w:rsid w:val="00552BAA"/>
    <w:rsid w:val="005533DC"/>
    <w:rsid w:val="00554291"/>
    <w:rsid w:val="00554440"/>
    <w:rsid w:val="0055452A"/>
    <w:rsid w:val="00554C94"/>
    <w:rsid w:val="00556C52"/>
    <w:rsid w:val="00557816"/>
    <w:rsid w:val="00560970"/>
    <w:rsid w:val="00560D6A"/>
    <w:rsid w:val="005618F9"/>
    <w:rsid w:val="00561EC6"/>
    <w:rsid w:val="005622F4"/>
    <w:rsid w:val="00562B7D"/>
    <w:rsid w:val="005631DD"/>
    <w:rsid w:val="00564E40"/>
    <w:rsid w:val="00565469"/>
    <w:rsid w:val="005671D1"/>
    <w:rsid w:val="00567DC5"/>
    <w:rsid w:val="005711A1"/>
    <w:rsid w:val="005717DB"/>
    <w:rsid w:val="00571D53"/>
    <w:rsid w:val="00571F3F"/>
    <w:rsid w:val="00572AB4"/>
    <w:rsid w:val="0057380B"/>
    <w:rsid w:val="0057393E"/>
    <w:rsid w:val="00573BD9"/>
    <w:rsid w:val="0057480F"/>
    <w:rsid w:val="00574C3D"/>
    <w:rsid w:val="00576296"/>
    <w:rsid w:val="00576986"/>
    <w:rsid w:val="00577E5B"/>
    <w:rsid w:val="00580D9E"/>
    <w:rsid w:val="00581C43"/>
    <w:rsid w:val="00581C45"/>
    <w:rsid w:val="00582130"/>
    <w:rsid w:val="00583B24"/>
    <w:rsid w:val="00583F81"/>
    <w:rsid w:val="005841A3"/>
    <w:rsid w:val="00585E0F"/>
    <w:rsid w:val="0058656F"/>
    <w:rsid w:val="005872D9"/>
    <w:rsid w:val="00587C24"/>
    <w:rsid w:val="00590934"/>
    <w:rsid w:val="00591AD6"/>
    <w:rsid w:val="00592DBB"/>
    <w:rsid w:val="00594D47"/>
    <w:rsid w:val="0059649C"/>
    <w:rsid w:val="00596851"/>
    <w:rsid w:val="00596DC9"/>
    <w:rsid w:val="005971A8"/>
    <w:rsid w:val="005A0F77"/>
    <w:rsid w:val="005A1148"/>
    <w:rsid w:val="005A1381"/>
    <w:rsid w:val="005A2038"/>
    <w:rsid w:val="005A44A4"/>
    <w:rsid w:val="005A50C2"/>
    <w:rsid w:val="005A5C49"/>
    <w:rsid w:val="005A5F3E"/>
    <w:rsid w:val="005A62DE"/>
    <w:rsid w:val="005A6413"/>
    <w:rsid w:val="005A74A4"/>
    <w:rsid w:val="005A7646"/>
    <w:rsid w:val="005B0949"/>
    <w:rsid w:val="005B09DC"/>
    <w:rsid w:val="005B2505"/>
    <w:rsid w:val="005B2571"/>
    <w:rsid w:val="005B25DA"/>
    <w:rsid w:val="005B268B"/>
    <w:rsid w:val="005B2C3F"/>
    <w:rsid w:val="005B3046"/>
    <w:rsid w:val="005B56B7"/>
    <w:rsid w:val="005B574E"/>
    <w:rsid w:val="005B5A2E"/>
    <w:rsid w:val="005B5F1F"/>
    <w:rsid w:val="005B5F85"/>
    <w:rsid w:val="005B6851"/>
    <w:rsid w:val="005B6924"/>
    <w:rsid w:val="005B6C5E"/>
    <w:rsid w:val="005B7730"/>
    <w:rsid w:val="005B7AF4"/>
    <w:rsid w:val="005B7D6B"/>
    <w:rsid w:val="005C083F"/>
    <w:rsid w:val="005C098C"/>
    <w:rsid w:val="005C0C8F"/>
    <w:rsid w:val="005C140D"/>
    <w:rsid w:val="005C18FE"/>
    <w:rsid w:val="005C3BB9"/>
    <w:rsid w:val="005C43C7"/>
    <w:rsid w:val="005C4D93"/>
    <w:rsid w:val="005C4FBC"/>
    <w:rsid w:val="005C6073"/>
    <w:rsid w:val="005C7C39"/>
    <w:rsid w:val="005D0832"/>
    <w:rsid w:val="005D0BB9"/>
    <w:rsid w:val="005D1C02"/>
    <w:rsid w:val="005D372D"/>
    <w:rsid w:val="005D4CCC"/>
    <w:rsid w:val="005D4D3D"/>
    <w:rsid w:val="005D4E9B"/>
    <w:rsid w:val="005D653E"/>
    <w:rsid w:val="005D7ABE"/>
    <w:rsid w:val="005E020D"/>
    <w:rsid w:val="005E0502"/>
    <w:rsid w:val="005E0BBD"/>
    <w:rsid w:val="005E0CCD"/>
    <w:rsid w:val="005E1B26"/>
    <w:rsid w:val="005E245D"/>
    <w:rsid w:val="005E2C99"/>
    <w:rsid w:val="005E36E8"/>
    <w:rsid w:val="005E4294"/>
    <w:rsid w:val="005E4417"/>
    <w:rsid w:val="005E4890"/>
    <w:rsid w:val="005E4A38"/>
    <w:rsid w:val="005E50CD"/>
    <w:rsid w:val="005E5420"/>
    <w:rsid w:val="005E6F35"/>
    <w:rsid w:val="005E7019"/>
    <w:rsid w:val="005E7A55"/>
    <w:rsid w:val="005E7C4C"/>
    <w:rsid w:val="005F0C2F"/>
    <w:rsid w:val="005F118C"/>
    <w:rsid w:val="005F13F1"/>
    <w:rsid w:val="005F2143"/>
    <w:rsid w:val="005F48F9"/>
    <w:rsid w:val="005F4BFE"/>
    <w:rsid w:val="00600609"/>
    <w:rsid w:val="00601711"/>
    <w:rsid w:val="00601DE5"/>
    <w:rsid w:val="00601EDF"/>
    <w:rsid w:val="00602125"/>
    <w:rsid w:val="006035D7"/>
    <w:rsid w:val="00604BBA"/>
    <w:rsid w:val="006056F9"/>
    <w:rsid w:val="006058C6"/>
    <w:rsid w:val="0060797A"/>
    <w:rsid w:val="0061077D"/>
    <w:rsid w:val="00610E2B"/>
    <w:rsid w:val="00612469"/>
    <w:rsid w:val="006125F4"/>
    <w:rsid w:val="00613E27"/>
    <w:rsid w:val="006148AC"/>
    <w:rsid w:val="00615E30"/>
    <w:rsid w:val="006169CB"/>
    <w:rsid w:val="00620465"/>
    <w:rsid w:val="006211A2"/>
    <w:rsid w:val="00621706"/>
    <w:rsid w:val="00621B86"/>
    <w:rsid w:val="0062322E"/>
    <w:rsid w:val="00624063"/>
    <w:rsid w:val="006249DA"/>
    <w:rsid w:val="00625C87"/>
    <w:rsid w:val="00626FFD"/>
    <w:rsid w:val="00627899"/>
    <w:rsid w:val="00627A3E"/>
    <w:rsid w:val="006312C6"/>
    <w:rsid w:val="00632080"/>
    <w:rsid w:val="00633826"/>
    <w:rsid w:val="00633DE6"/>
    <w:rsid w:val="00633EEB"/>
    <w:rsid w:val="00636CA9"/>
    <w:rsid w:val="00640B8B"/>
    <w:rsid w:val="00642F17"/>
    <w:rsid w:val="00643250"/>
    <w:rsid w:val="00644700"/>
    <w:rsid w:val="00646BB2"/>
    <w:rsid w:val="00647740"/>
    <w:rsid w:val="00650667"/>
    <w:rsid w:val="00650B58"/>
    <w:rsid w:val="00650B62"/>
    <w:rsid w:val="00651591"/>
    <w:rsid w:val="006516B3"/>
    <w:rsid w:val="00652523"/>
    <w:rsid w:val="006525B3"/>
    <w:rsid w:val="00652BAA"/>
    <w:rsid w:val="006532C6"/>
    <w:rsid w:val="0065389B"/>
    <w:rsid w:val="00657157"/>
    <w:rsid w:val="00657479"/>
    <w:rsid w:val="006577CC"/>
    <w:rsid w:val="0066139E"/>
    <w:rsid w:val="006643BE"/>
    <w:rsid w:val="006654CE"/>
    <w:rsid w:val="00666978"/>
    <w:rsid w:val="00666CC2"/>
    <w:rsid w:val="0066759B"/>
    <w:rsid w:val="00667B13"/>
    <w:rsid w:val="00671875"/>
    <w:rsid w:val="006735F5"/>
    <w:rsid w:val="00673947"/>
    <w:rsid w:val="0067412C"/>
    <w:rsid w:val="00675DC8"/>
    <w:rsid w:val="00675E5F"/>
    <w:rsid w:val="006767E7"/>
    <w:rsid w:val="00677A26"/>
    <w:rsid w:val="006803AB"/>
    <w:rsid w:val="00680902"/>
    <w:rsid w:val="00680A5C"/>
    <w:rsid w:val="006811D8"/>
    <w:rsid w:val="00682412"/>
    <w:rsid w:val="00682499"/>
    <w:rsid w:val="00683059"/>
    <w:rsid w:val="006833E0"/>
    <w:rsid w:val="00683958"/>
    <w:rsid w:val="00683A25"/>
    <w:rsid w:val="00684641"/>
    <w:rsid w:val="00685238"/>
    <w:rsid w:val="00685838"/>
    <w:rsid w:val="00686B04"/>
    <w:rsid w:val="006877AB"/>
    <w:rsid w:val="006877F8"/>
    <w:rsid w:val="00687844"/>
    <w:rsid w:val="00687E34"/>
    <w:rsid w:val="00693407"/>
    <w:rsid w:val="00693440"/>
    <w:rsid w:val="006940DD"/>
    <w:rsid w:val="006948D5"/>
    <w:rsid w:val="00694A49"/>
    <w:rsid w:val="00694F76"/>
    <w:rsid w:val="0069585D"/>
    <w:rsid w:val="00696CA4"/>
    <w:rsid w:val="00696DCD"/>
    <w:rsid w:val="006974A3"/>
    <w:rsid w:val="00697A6D"/>
    <w:rsid w:val="006A07DE"/>
    <w:rsid w:val="006A14E8"/>
    <w:rsid w:val="006A177C"/>
    <w:rsid w:val="006A2855"/>
    <w:rsid w:val="006A3295"/>
    <w:rsid w:val="006A43D3"/>
    <w:rsid w:val="006B0B7F"/>
    <w:rsid w:val="006B0C5D"/>
    <w:rsid w:val="006B0E9C"/>
    <w:rsid w:val="006B155B"/>
    <w:rsid w:val="006B1860"/>
    <w:rsid w:val="006B1C54"/>
    <w:rsid w:val="006B208F"/>
    <w:rsid w:val="006B24D3"/>
    <w:rsid w:val="006B264A"/>
    <w:rsid w:val="006B3840"/>
    <w:rsid w:val="006B449B"/>
    <w:rsid w:val="006B4770"/>
    <w:rsid w:val="006B4B8C"/>
    <w:rsid w:val="006B60A4"/>
    <w:rsid w:val="006B6629"/>
    <w:rsid w:val="006B75D3"/>
    <w:rsid w:val="006C0633"/>
    <w:rsid w:val="006C082B"/>
    <w:rsid w:val="006C2044"/>
    <w:rsid w:val="006C3CD0"/>
    <w:rsid w:val="006C3F56"/>
    <w:rsid w:val="006C6CB4"/>
    <w:rsid w:val="006C6D61"/>
    <w:rsid w:val="006C76A7"/>
    <w:rsid w:val="006C7946"/>
    <w:rsid w:val="006D0EAB"/>
    <w:rsid w:val="006D2198"/>
    <w:rsid w:val="006D36F1"/>
    <w:rsid w:val="006D3A03"/>
    <w:rsid w:val="006D5487"/>
    <w:rsid w:val="006D5DBF"/>
    <w:rsid w:val="006D6021"/>
    <w:rsid w:val="006D6505"/>
    <w:rsid w:val="006D6AEF"/>
    <w:rsid w:val="006E0449"/>
    <w:rsid w:val="006E0D35"/>
    <w:rsid w:val="006E1114"/>
    <w:rsid w:val="006E19B3"/>
    <w:rsid w:val="006E1C44"/>
    <w:rsid w:val="006E1D0A"/>
    <w:rsid w:val="006E2CAE"/>
    <w:rsid w:val="006E3C21"/>
    <w:rsid w:val="006E462E"/>
    <w:rsid w:val="006E486F"/>
    <w:rsid w:val="006E5345"/>
    <w:rsid w:val="006E554D"/>
    <w:rsid w:val="006E59C8"/>
    <w:rsid w:val="006E7ED1"/>
    <w:rsid w:val="006F1606"/>
    <w:rsid w:val="006F190A"/>
    <w:rsid w:val="006F2017"/>
    <w:rsid w:val="006F2A18"/>
    <w:rsid w:val="006F3FC1"/>
    <w:rsid w:val="006F49AD"/>
    <w:rsid w:val="006F506D"/>
    <w:rsid w:val="006F5365"/>
    <w:rsid w:val="006F67C0"/>
    <w:rsid w:val="006F76F4"/>
    <w:rsid w:val="007003DD"/>
    <w:rsid w:val="00700824"/>
    <w:rsid w:val="00701470"/>
    <w:rsid w:val="00701CD2"/>
    <w:rsid w:val="00704882"/>
    <w:rsid w:val="00704EF5"/>
    <w:rsid w:val="007051E1"/>
    <w:rsid w:val="007054BC"/>
    <w:rsid w:val="007068F4"/>
    <w:rsid w:val="00707C59"/>
    <w:rsid w:val="00710150"/>
    <w:rsid w:val="00710411"/>
    <w:rsid w:val="00710528"/>
    <w:rsid w:val="0071189D"/>
    <w:rsid w:val="0071195F"/>
    <w:rsid w:val="00711A01"/>
    <w:rsid w:val="00711AE6"/>
    <w:rsid w:val="00713762"/>
    <w:rsid w:val="007150F7"/>
    <w:rsid w:val="00715691"/>
    <w:rsid w:val="00715E1A"/>
    <w:rsid w:val="00716414"/>
    <w:rsid w:val="00720078"/>
    <w:rsid w:val="00720116"/>
    <w:rsid w:val="007205A7"/>
    <w:rsid w:val="00720F69"/>
    <w:rsid w:val="0072328C"/>
    <w:rsid w:val="007239E1"/>
    <w:rsid w:val="00723B0B"/>
    <w:rsid w:val="00725D12"/>
    <w:rsid w:val="00730572"/>
    <w:rsid w:val="00730B42"/>
    <w:rsid w:val="00730D47"/>
    <w:rsid w:val="00731DD6"/>
    <w:rsid w:val="00733DB9"/>
    <w:rsid w:val="007342CA"/>
    <w:rsid w:val="007353CD"/>
    <w:rsid w:val="007354C5"/>
    <w:rsid w:val="00735532"/>
    <w:rsid w:val="00735B5A"/>
    <w:rsid w:val="007364C3"/>
    <w:rsid w:val="007368B6"/>
    <w:rsid w:val="00737480"/>
    <w:rsid w:val="00737962"/>
    <w:rsid w:val="00737C4D"/>
    <w:rsid w:val="00737CDA"/>
    <w:rsid w:val="007416D2"/>
    <w:rsid w:val="007446F8"/>
    <w:rsid w:val="00744883"/>
    <w:rsid w:val="00744BFA"/>
    <w:rsid w:val="00745295"/>
    <w:rsid w:val="007459C6"/>
    <w:rsid w:val="007464C1"/>
    <w:rsid w:val="00754CF1"/>
    <w:rsid w:val="0075504A"/>
    <w:rsid w:val="00755B00"/>
    <w:rsid w:val="00755C91"/>
    <w:rsid w:val="007564AC"/>
    <w:rsid w:val="00757D6E"/>
    <w:rsid w:val="00761CC7"/>
    <w:rsid w:val="00761DE7"/>
    <w:rsid w:val="007621F8"/>
    <w:rsid w:val="0076252E"/>
    <w:rsid w:val="0076271B"/>
    <w:rsid w:val="007634C1"/>
    <w:rsid w:val="00763F4E"/>
    <w:rsid w:val="0076470F"/>
    <w:rsid w:val="00764D1E"/>
    <w:rsid w:val="007660D1"/>
    <w:rsid w:val="007666B4"/>
    <w:rsid w:val="0076677C"/>
    <w:rsid w:val="0077081E"/>
    <w:rsid w:val="00770E53"/>
    <w:rsid w:val="0077169B"/>
    <w:rsid w:val="007719BE"/>
    <w:rsid w:val="00771B2E"/>
    <w:rsid w:val="00771D49"/>
    <w:rsid w:val="007725AD"/>
    <w:rsid w:val="00772A31"/>
    <w:rsid w:val="00773F6B"/>
    <w:rsid w:val="00774092"/>
    <w:rsid w:val="007748C0"/>
    <w:rsid w:val="007749BA"/>
    <w:rsid w:val="00774F97"/>
    <w:rsid w:val="00775043"/>
    <w:rsid w:val="00775255"/>
    <w:rsid w:val="00776D92"/>
    <w:rsid w:val="00776F8F"/>
    <w:rsid w:val="00777F88"/>
    <w:rsid w:val="00781172"/>
    <w:rsid w:val="00781318"/>
    <w:rsid w:val="007813C5"/>
    <w:rsid w:val="00782784"/>
    <w:rsid w:val="00783590"/>
    <w:rsid w:val="00784190"/>
    <w:rsid w:val="007852F7"/>
    <w:rsid w:val="007853B4"/>
    <w:rsid w:val="007869D9"/>
    <w:rsid w:val="00787DDE"/>
    <w:rsid w:val="00787DFE"/>
    <w:rsid w:val="00790A74"/>
    <w:rsid w:val="00791462"/>
    <w:rsid w:val="007915A4"/>
    <w:rsid w:val="00791C9C"/>
    <w:rsid w:val="00791FCF"/>
    <w:rsid w:val="00792837"/>
    <w:rsid w:val="00793314"/>
    <w:rsid w:val="00793457"/>
    <w:rsid w:val="007934E4"/>
    <w:rsid w:val="0079404A"/>
    <w:rsid w:val="00794059"/>
    <w:rsid w:val="00794449"/>
    <w:rsid w:val="00795A9A"/>
    <w:rsid w:val="00795D6F"/>
    <w:rsid w:val="00795FE7"/>
    <w:rsid w:val="00796007"/>
    <w:rsid w:val="007979AE"/>
    <w:rsid w:val="007A03D7"/>
    <w:rsid w:val="007A2B23"/>
    <w:rsid w:val="007A2EF9"/>
    <w:rsid w:val="007A3204"/>
    <w:rsid w:val="007A3453"/>
    <w:rsid w:val="007A34BF"/>
    <w:rsid w:val="007A3DCF"/>
    <w:rsid w:val="007A42F3"/>
    <w:rsid w:val="007A5A28"/>
    <w:rsid w:val="007A74C7"/>
    <w:rsid w:val="007B02F9"/>
    <w:rsid w:val="007B0309"/>
    <w:rsid w:val="007B08C7"/>
    <w:rsid w:val="007B0905"/>
    <w:rsid w:val="007B0EF3"/>
    <w:rsid w:val="007B1618"/>
    <w:rsid w:val="007B4813"/>
    <w:rsid w:val="007B7121"/>
    <w:rsid w:val="007C006E"/>
    <w:rsid w:val="007C0E48"/>
    <w:rsid w:val="007C1CC3"/>
    <w:rsid w:val="007C4E0D"/>
    <w:rsid w:val="007C4FB9"/>
    <w:rsid w:val="007C5E33"/>
    <w:rsid w:val="007C70AB"/>
    <w:rsid w:val="007C7B84"/>
    <w:rsid w:val="007C7B85"/>
    <w:rsid w:val="007C7BE3"/>
    <w:rsid w:val="007D0427"/>
    <w:rsid w:val="007D16F7"/>
    <w:rsid w:val="007D22D8"/>
    <w:rsid w:val="007D255B"/>
    <w:rsid w:val="007D30A7"/>
    <w:rsid w:val="007D393A"/>
    <w:rsid w:val="007D3941"/>
    <w:rsid w:val="007D470C"/>
    <w:rsid w:val="007D5B86"/>
    <w:rsid w:val="007D5D2F"/>
    <w:rsid w:val="007D65BA"/>
    <w:rsid w:val="007D7408"/>
    <w:rsid w:val="007D77BD"/>
    <w:rsid w:val="007E04BD"/>
    <w:rsid w:val="007E1199"/>
    <w:rsid w:val="007E12E8"/>
    <w:rsid w:val="007E22BA"/>
    <w:rsid w:val="007E3431"/>
    <w:rsid w:val="007E4372"/>
    <w:rsid w:val="007E4667"/>
    <w:rsid w:val="007E494B"/>
    <w:rsid w:val="007E55C9"/>
    <w:rsid w:val="007E576D"/>
    <w:rsid w:val="007E6400"/>
    <w:rsid w:val="007E6EB3"/>
    <w:rsid w:val="007E78B4"/>
    <w:rsid w:val="007E78FC"/>
    <w:rsid w:val="007F05F2"/>
    <w:rsid w:val="007F1924"/>
    <w:rsid w:val="007F280C"/>
    <w:rsid w:val="007F298F"/>
    <w:rsid w:val="007F2A45"/>
    <w:rsid w:val="007F2F05"/>
    <w:rsid w:val="007F3DEA"/>
    <w:rsid w:val="007F49E8"/>
    <w:rsid w:val="007F4A21"/>
    <w:rsid w:val="007F5D81"/>
    <w:rsid w:val="007F6276"/>
    <w:rsid w:val="007F6327"/>
    <w:rsid w:val="007F67AE"/>
    <w:rsid w:val="007F7599"/>
    <w:rsid w:val="007F763D"/>
    <w:rsid w:val="007F7775"/>
    <w:rsid w:val="00800180"/>
    <w:rsid w:val="00800F6C"/>
    <w:rsid w:val="00801F4C"/>
    <w:rsid w:val="00802DD2"/>
    <w:rsid w:val="00802F06"/>
    <w:rsid w:val="00804643"/>
    <w:rsid w:val="00807A44"/>
    <w:rsid w:val="00807F0C"/>
    <w:rsid w:val="00807FBC"/>
    <w:rsid w:val="00810931"/>
    <w:rsid w:val="00810C14"/>
    <w:rsid w:val="0081260F"/>
    <w:rsid w:val="00812C18"/>
    <w:rsid w:val="008135D7"/>
    <w:rsid w:val="00813743"/>
    <w:rsid w:val="00814967"/>
    <w:rsid w:val="00815D59"/>
    <w:rsid w:val="00816614"/>
    <w:rsid w:val="00820676"/>
    <w:rsid w:val="00820937"/>
    <w:rsid w:val="00820FF1"/>
    <w:rsid w:val="0082105B"/>
    <w:rsid w:val="0082109D"/>
    <w:rsid w:val="00821945"/>
    <w:rsid w:val="0082347C"/>
    <w:rsid w:val="00823AFC"/>
    <w:rsid w:val="008272F9"/>
    <w:rsid w:val="008277BC"/>
    <w:rsid w:val="00830113"/>
    <w:rsid w:val="00830D5B"/>
    <w:rsid w:val="00831FF0"/>
    <w:rsid w:val="00832021"/>
    <w:rsid w:val="00832D5D"/>
    <w:rsid w:val="00832F41"/>
    <w:rsid w:val="008337CE"/>
    <w:rsid w:val="00834E24"/>
    <w:rsid w:val="00835027"/>
    <w:rsid w:val="008357AE"/>
    <w:rsid w:val="00835EF6"/>
    <w:rsid w:val="00837201"/>
    <w:rsid w:val="00840466"/>
    <w:rsid w:val="00840AC7"/>
    <w:rsid w:val="00841AF5"/>
    <w:rsid w:val="008429A9"/>
    <w:rsid w:val="00842ED0"/>
    <w:rsid w:val="00843310"/>
    <w:rsid w:val="008458E5"/>
    <w:rsid w:val="00845C1A"/>
    <w:rsid w:val="00846EA7"/>
    <w:rsid w:val="00847036"/>
    <w:rsid w:val="00847809"/>
    <w:rsid w:val="00852546"/>
    <w:rsid w:val="00852843"/>
    <w:rsid w:val="00852A6F"/>
    <w:rsid w:val="008553BD"/>
    <w:rsid w:val="00855B48"/>
    <w:rsid w:val="00855C18"/>
    <w:rsid w:val="00860634"/>
    <w:rsid w:val="00860D2E"/>
    <w:rsid w:val="008619D7"/>
    <w:rsid w:val="00862195"/>
    <w:rsid w:val="008640B5"/>
    <w:rsid w:val="00864C06"/>
    <w:rsid w:val="008662B4"/>
    <w:rsid w:val="00866BFD"/>
    <w:rsid w:val="00867A74"/>
    <w:rsid w:val="00870DEC"/>
    <w:rsid w:val="00871DC9"/>
    <w:rsid w:val="00872522"/>
    <w:rsid w:val="00872CE7"/>
    <w:rsid w:val="00872DF0"/>
    <w:rsid w:val="008743E3"/>
    <w:rsid w:val="00874A37"/>
    <w:rsid w:val="0087554F"/>
    <w:rsid w:val="00875796"/>
    <w:rsid w:val="00875A14"/>
    <w:rsid w:val="00876F42"/>
    <w:rsid w:val="0087725F"/>
    <w:rsid w:val="00877E25"/>
    <w:rsid w:val="00880B33"/>
    <w:rsid w:val="00881866"/>
    <w:rsid w:val="00881A6F"/>
    <w:rsid w:val="00882AF2"/>
    <w:rsid w:val="008836BD"/>
    <w:rsid w:val="00884031"/>
    <w:rsid w:val="00885AE3"/>
    <w:rsid w:val="00885B49"/>
    <w:rsid w:val="008864B1"/>
    <w:rsid w:val="00886A91"/>
    <w:rsid w:val="00886AFB"/>
    <w:rsid w:val="00887A55"/>
    <w:rsid w:val="00890063"/>
    <w:rsid w:val="008912A8"/>
    <w:rsid w:val="00891E3F"/>
    <w:rsid w:val="008921A2"/>
    <w:rsid w:val="008923BF"/>
    <w:rsid w:val="008926D6"/>
    <w:rsid w:val="00892A02"/>
    <w:rsid w:val="008937BE"/>
    <w:rsid w:val="00893E1B"/>
    <w:rsid w:val="00894862"/>
    <w:rsid w:val="00894D1D"/>
    <w:rsid w:val="00894D63"/>
    <w:rsid w:val="00895971"/>
    <w:rsid w:val="00895BA6"/>
    <w:rsid w:val="00896194"/>
    <w:rsid w:val="00896346"/>
    <w:rsid w:val="00896C09"/>
    <w:rsid w:val="00897FE6"/>
    <w:rsid w:val="008A13C4"/>
    <w:rsid w:val="008A170A"/>
    <w:rsid w:val="008A230F"/>
    <w:rsid w:val="008A2769"/>
    <w:rsid w:val="008A2F06"/>
    <w:rsid w:val="008A360D"/>
    <w:rsid w:val="008A36D5"/>
    <w:rsid w:val="008A4DFA"/>
    <w:rsid w:val="008A5534"/>
    <w:rsid w:val="008A555F"/>
    <w:rsid w:val="008A5B18"/>
    <w:rsid w:val="008A634A"/>
    <w:rsid w:val="008A63E3"/>
    <w:rsid w:val="008A6CAE"/>
    <w:rsid w:val="008B0567"/>
    <w:rsid w:val="008B0623"/>
    <w:rsid w:val="008B1068"/>
    <w:rsid w:val="008B3090"/>
    <w:rsid w:val="008B3994"/>
    <w:rsid w:val="008B3A59"/>
    <w:rsid w:val="008B5F31"/>
    <w:rsid w:val="008B6610"/>
    <w:rsid w:val="008B6A9A"/>
    <w:rsid w:val="008B6B04"/>
    <w:rsid w:val="008B73F2"/>
    <w:rsid w:val="008C10C2"/>
    <w:rsid w:val="008C1379"/>
    <w:rsid w:val="008C17C3"/>
    <w:rsid w:val="008C1F42"/>
    <w:rsid w:val="008C2750"/>
    <w:rsid w:val="008C2BF0"/>
    <w:rsid w:val="008C35F0"/>
    <w:rsid w:val="008C3709"/>
    <w:rsid w:val="008C3CE3"/>
    <w:rsid w:val="008C4600"/>
    <w:rsid w:val="008C46CA"/>
    <w:rsid w:val="008C52BE"/>
    <w:rsid w:val="008C5DB0"/>
    <w:rsid w:val="008C64BA"/>
    <w:rsid w:val="008C74D8"/>
    <w:rsid w:val="008C7D09"/>
    <w:rsid w:val="008D049C"/>
    <w:rsid w:val="008D197E"/>
    <w:rsid w:val="008D1DAC"/>
    <w:rsid w:val="008D27BD"/>
    <w:rsid w:val="008D3C22"/>
    <w:rsid w:val="008D3C6B"/>
    <w:rsid w:val="008D5A01"/>
    <w:rsid w:val="008D77BB"/>
    <w:rsid w:val="008E1CFB"/>
    <w:rsid w:val="008E1ED8"/>
    <w:rsid w:val="008E294D"/>
    <w:rsid w:val="008E2BB8"/>
    <w:rsid w:val="008E32C8"/>
    <w:rsid w:val="008E3535"/>
    <w:rsid w:val="008E3CE0"/>
    <w:rsid w:val="008E3CFB"/>
    <w:rsid w:val="008E4039"/>
    <w:rsid w:val="008E52C4"/>
    <w:rsid w:val="008E52EE"/>
    <w:rsid w:val="008E5D7C"/>
    <w:rsid w:val="008E7385"/>
    <w:rsid w:val="008F0707"/>
    <w:rsid w:val="008F08D2"/>
    <w:rsid w:val="008F0BA2"/>
    <w:rsid w:val="008F34C5"/>
    <w:rsid w:val="008F3D24"/>
    <w:rsid w:val="008F3D43"/>
    <w:rsid w:val="008F5599"/>
    <w:rsid w:val="008F58D5"/>
    <w:rsid w:val="008F5FA4"/>
    <w:rsid w:val="008F6CF2"/>
    <w:rsid w:val="008F7391"/>
    <w:rsid w:val="008F7881"/>
    <w:rsid w:val="008F7DAD"/>
    <w:rsid w:val="008F7DC1"/>
    <w:rsid w:val="009008BE"/>
    <w:rsid w:val="0090243B"/>
    <w:rsid w:val="00902E44"/>
    <w:rsid w:val="0090310B"/>
    <w:rsid w:val="009036AD"/>
    <w:rsid w:val="0090535E"/>
    <w:rsid w:val="009053DF"/>
    <w:rsid w:val="00905E99"/>
    <w:rsid w:val="009079DE"/>
    <w:rsid w:val="00910D77"/>
    <w:rsid w:val="00911F37"/>
    <w:rsid w:val="00912EA4"/>
    <w:rsid w:val="009133D8"/>
    <w:rsid w:val="00914ABC"/>
    <w:rsid w:val="00914D90"/>
    <w:rsid w:val="0091661E"/>
    <w:rsid w:val="009167A0"/>
    <w:rsid w:val="0091694A"/>
    <w:rsid w:val="00920BAE"/>
    <w:rsid w:val="0092240D"/>
    <w:rsid w:val="009227F6"/>
    <w:rsid w:val="00923E3A"/>
    <w:rsid w:val="0092410D"/>
    <w:rsid w:val="0092470D"/>
    <w:rsid w:val="00924C13"/>
    <w:rsid w:val="00924D7F"/>
    <w:rsid w:val="00925322"/>
    <w:rsid w:val="00925382"/>
    <w:rsid w:val="00930AAD"/>
    <w:rsid w:val="00931049"/>
    <w:rsid w:val="00932419"/>
    <w:rsid w:val="009330BA"/>
    <w:rsid w:val="00933F7F"/>
    <w:rsid w:val="00934786"/>
    <w:rsid w:val="009357B8"/>
    <w:rsid w:val="00936B23"/>
    <w:rsid w:val="00937E63"/>
    <w:rsid w:val="009410B9"/>
    <w:rsid w:val="00941C7E"/>
    <w:rsid w:val="009428B0"/>
    <w:rsid w:val="009428BF"/>
    <w:rsid w:val="00942A00"/>
    <w:rsid w:val="00942D50"/>
    <w:rsid w:val="009433CB"/>
    <w:rsid w:val="00944B2B"/>
    <w:rsid w:val="00946596"/>
    <w:rsid w:val="00946B08"/>
    <w:rsid w:val="00946B84"/>
    <w:rsid w:val="0095042E"/>
    <w:rsid w:val="009518AE"/>
    <w:rsid w:val="00951951"/>
    <w:rsid w:val="00951BED"/>
    <w:rsid w:val="0095362F"/>
    <w:rsid w:val="009543D9"/>
    <w:rsid w:val="00956683"/>
    <w:rsid w:val="00956A66"/>
    <w:rsid w:val="00956CDA"/>
    <w:rsid w:val="00957252"/>
    <w:rsid w:val="00957709"/>
    <w:rsid w:val="00957C40"/>
    <w:rsid w:val="0096112C"/>
    <w:rsid w:val="00961A46"/>
    <w:rsid w:val="00961D22"/>
    <w:rsid w:val="00962477"/>
    <w:rsid w:val="00962484"/>
    <w:rsid w:val="009635DF"/>
    <w:rsid w:val="00964B61"/>
    <w:rsid w:val="00965243"/>
    <w:rsid w:val="00965B66"/>
    <w:rsid w:val="00965B8E"/>
    <w:rsid w:val="009670E6"/>
    <w:rsid w:val="00967548"/>
    <w:rsid w:val="00970DFD"/>
    <w:rsid w:val="00972AA8"/>
    <w:rsid w:val="009743E4"/>
    <w:rsid w:val="00975F40"/>
    <w:rsid w:val="0097611D"/>
    <w:rsid w:val="00976396"/>
    <w:rsid w:val="00976C29"/>
    <w:rsid w:val="0097704D"/>
    <w:rsid w:val="00977068"/>
    <w:rsid w:val="00977991"/>
    <w:rsid w:val="00980995"/>
    <w:rsid w:val="00981115"/>
    <w:rsid w:val="00981427"/>
    <w:rsid w:val="00982767"/>
    <w:rsid w:val="00983414"/>
    <w:rsid w:val="00984112"/>
    <w:rsid w:val="0098422A"/>
    <w:rsid w:val="0098477B"/>
    <w:rsid w:val="009860AE"/>
    <w:rsid w:val="0098685D"/>
    <w:rsid w:val="009902F2"/>
    <w:rsid w:val="00990637"/>
    <w:rsid w:val="0099118E"/>
    <w:rsid w:val="009918C8"/>
    <w:rsid w:val="00992FEF"/>
    <w:rsid w:val="0099375D"/>
    <w:rsid w:val="009937AD"/>
    <w:rsid w:val="00993ABC"/>
    <w:rsid w:val="00993D88"/>
    <w:rsid w:val="0099422F"/>
    <w:rsid w:val="00994762"/>
    <w:rsid w:val="009957CF"/>
    <w:rsid w:val="0099597C"/>
    <w:rsid w:val="00995FE9"/>
    <w:rsid w:val="009966E0"/>
    <w:rsid w:val="009967FD"/>
    <w:rsid w:val="00996FC5"/>
    <w:rsid w:val="00997091"/>
    <w:rsid w:val="00997E6C"/>
    <w:rsid w:val="009A114C"/>
    <w:rsid w:val="009A154E"/>
    <w:rsid w:val="009A1AAA"/>
    <w:rsid w:val="009A2653"/>
    <w:rsid w:val="009A38D0"/>
    <w:rsid w:val="009A41BA"/>
    <w:rsid w:val="009A5679"/>
    <w:rsid w:val="009A5EE0"/>
    <w:rsid w:val="009A62E2"/>
    <w:rsid w:val="009A64BE"/>
    <w:rsid w:val="009A70F1"/>
    <w:rsid w:val="009A767E"/>
    <w:rsid w:val="009B13DA"/>
    <w:rsid w:val="009B452F"/>
    <w:rsid w:val="009B4F9B"/>
    <w:rsid w:val="009B54FE"/>
    <w:rsid w:val="009B5E45"/>
    <w:rsid w:val="009B701C"/>
    <w:rsid w:val="009C176E"/>
    <w:rsid w:val="009C1E6C"/>
    <w:rsid w:val="009C3C48"/>
    <w:rsid w:val="009C5DD4"/>
    <w:rsid w:val="009C6230"/>
    <w:rsid w:val="009C662A"/>
    <w:rsid w:val="009C6A23"/>
    <w:rsid w:val="009C7BAB"/>
    <w:rsid w:val="009D009F"/>
    <w:rsid w:val="009D0656"/>
    <w:rsid w:val="009D12A6"/>
    <w:rsid w:val="009D24AF"/>
    <w:rsid w:val="009D2734"/>
    <w:rsid w:val="009D3B53"/>
    <w:rsid w:val="009D497D"/>
    <w:rsid w:val="009D49F8"/>
    <w:rsid w:val="009D4C6A"/>
    <w:rsid w:val="009D555F"/>
    <w:rsid w:val="009D5881"/>
    <w:rsid w:val="009D6AFB"/>
    <w:rsid w:val="009D7A0B"/>
    <w:rsid w:val="009E1503"/>
    <w:rsid w:val="009E1EA5"/>
    <w:rsid w:val="009E26A4"/>
    <w:rsid w:val="009E2730"/>
    <w:rsid w:val="009E35F7"/>
    <w:rsid w:val="009E371B"/>
    <w:rsid w:val="009E3D3D"/>
    <w:rsid w:val="009E4374"/>
    <w:rsid w:val="009E47F1"/>
    <w:rsid w:val="009E5BB7"/>
    <w:rsid w:val="009E7115"/>
    <w:rsid w:val="009F0229"/>
    <w:rsid w:val="009F0B2E"/>
    <w:rsid w:val="009F0CBA"/>
    <w:rsid w:val="009F40B6"/>
    <w:rsid w:val="009F41EE"/>
    <w:rsid w:val="009F4680"/>
    <w:rsid w:val="009F5973"/>
    <w:rsid w:val="009F5CAE"/>
    <w:rsid w:val="009F5FAF"/>
    <w:rsid w:val="009F63DF"/>
    <w:rsid w:val="009F6EC3"/>
    <w:rsid w:val="009F7661"/>
    <w:rsid w:val="00A00315"/>
    <w:rsid w:val="00A01546"/>
    <w:rsid w:val="00A019A2"/>
    <w:rsid w:val="00A02682"/>
    <w:rsid w:val="00A0368E"/>
    <w:rsid w:val="00A054CD"/>
    <w:rsid w:val="00A067AF"/>
    <w:rsid w:val="00A1059B"/>
    <w:rsid w:val="00A11423"/>
    <w:rsid w:val="00A11857"/>
    <w:rsid w:val="00A125C9"/>
    <w:rsid w:val="00A12D46"/>
    <w:rsid w:val="00A1306A"/>
    <w:rsid w:val="00A137B5"/>
    <w:rsid w:val="00A14BAB"/>
    <w:rsid w:val="00A14D13"/>
    <w:rsid w:val="00A1511C"/>
    <w:rsid w:val="00A15241"/>
    <w:rsid w:val="00A1576B"/>
    <w:rsid w:val="00A163D8"/>
    <w:rsid w:val="00A16D2C"/>
    <w:rsid w:val="00A179A3"/>
    <w:rsid w:val="00A20D9B"/>
    <w:rsid w:val="00A212D0"/>
    <w:rsid w:val="00A21F59"/>
    <w:rsid w:val="00A2216E"/>
    <w:rsid w:val="00A2219D"/>
    <w:rsid w:val="00A22326"/>
    <w:rsid w:val="00A2395D"/>
    <w:rsid w:val="00A24C77"/>
    <w:rsid w:val="00A2538E"/>
    <w:rsid w:val="00A256E9"/>
    <w:rsid w:val="00A25701"/>
    <w:rsid w:val="00A2591E"/>
    <w:rsid w:val="00A26647"/>
    <w:rsid w:val="00A26D94"/>
    <w:rsid w:val="00A27137"/>
    <w:rsid w:val="00A301FB"/>
    <w:rsid w:val="00A302C7"/>
    <w:rsid w:val="00A3119C"/>
    <w:rsid w:val="00A312DD"/>
    <w:rsid w:val="00A314CC"/>
    <w:rsid w:val="00A31F1E"/>
    <w:rsid w:val="00A3393B"/>
    <w:rsid w:val="00A3420F"/>
    <w:rsid w:val="00A34409"/>
    <w:rsid w:val="00A345B1"/>
    <w:rsid w:val="00A34CA6"/>
    <w:rsid w:val="00A3582D"/>
    <w:rsid w:val="00A37494"/>
    <w:rsid w:val="00A376CE"/>
    <w:rsid w:val="00A412FF"/>
    <w:rsid w:val="00A41352"/>
    <w:rsid w:val="00A4197A"/>
    <w:rsid w:val="00A430F1"/>
    <w:rsid w:val="00A454FA"/>
    <w:rsid w:val="00A458B2"/>
    <w:rsid w:val="00A46DFE"/>
    <w:rsid w:val="00A479E9"/>
    <w:rsid w:val="00A47C78"/>
    <w:rsid w:val="00A50B99"/>
    <w:rsid w:val="00A51249"/>
    <w:rsid w:val="00A524A3"/>
    <w:rsid w:val="00A52AEE"/>
    <w:rsid w:val="00A52E65"/>
    <w:rsid w:val="00A531B7"/>
    <w:rsid w:val="00A537AF"/>
    <w:rsid w:val="00A54023"/>
    <w:rsid w:val="00A54E99"/>
    <w:rsid w:val="00A55B55"/>
    <w:rsid w:val="00A5631B"/>
    <w:rsid w:val="00A568AB"/>
    <w:rsid w:val="00A573C8"/>
    <w:rsid w:val="00A6052C"/>
    <w:rsid w:val="00A61BB2"/>
    <w:rsid w:val="00A61ECB"/>
    <w:rsid w:val="00A624E8"/>
    <w:rsid w:val="00A63033"/>
    <w:rsid w:val="00A64091"/>
    <w:rsid w:val="00A656DF"/>
    <w:rsid w:val="00A66262"/>
    <w:rsid w:val="00A67034"/>
    <w:rsid w:val="00A67229"/>
    <w:rsid w:val="00A675C3"/>
    <w:rsid w:val="00A67B89"/>
    <w:rsid w:val="00A70127"/>
    <w:rsid w:val="00A703D5"/>
    <w:rsid w:val="00A7067C"/>
    <w:rsid w:val="00A712D3"/>
    <w:rsid w:val="00A7174B"/>
    <w:rsid w:val="00A722E8"/>
    <w:rsid w:val="00A7262C"/>
    <w:rsid w:val="00A72D7F"/>
    <w:rsid w:val="00A7376C"/>
    <w:rsid w:val="00A73771"/>
    <w:rsid w:val="00A741FB"/>
    <w:rsid w:val="00A745F8"/>
    <w:rsid w:val="00A7526D"/>
    <w:rsid w:val="00A76D6C"/>
    <w:rsid w:val="00A77685"/>
    <w:rsid w:val="00A778DF"/>
    <w:rsid w:val="00A805D8"/>
    <w:rsid w:val="00A808D1"/>
    <w:rsid w:val="00A808D9"/>
    <w:rsid w:val="00A81275"/>
    <w:rsid w:val="00A84172"/>
    <w:rsid w:val="00A8659D"/>
    <w:rsid w:val="00A868CF"/>
    <w:rsid w:val="00A86F4E"/>
    <w:rsid w:val="00A90630"/>
    <w:rsid w:val="00A92C0A"/>
    <w:rsid w:val="00A96537"/>
    <w:rsid w:val="00A96622"/>
    <w:rsid w:val="00A96A65"/>
    <w:rsid w:val="00A96EB4"/>
    <w:rsid w:val="00A9721D"/>
    <w:rsid w:val="00A974AD"/>
    <w:rsid w:val="00A97C88"/>
    <w:rsid w:val="00AA01E0"/>
    <w:rsid w:val="00AA08DA"/>
    <w:rsid w:val="00AA0B09"/>
    <w:rsid w:val="00AA16F3"/>
    <w:rsid w:val="00AA1E96"/>
    <w:rsid w:val="00AA231E"/>
    <w:rsid w:val="00AA4DB8"/>
    <w:rsid w:val="00AA5359"/>
    <w:rsid w:val="00AA59CD"/>
    <w:rsid w:val="00AA626A"/>
    <w:rsid w:val="00AA6A58"/>
    <w:rsid w:val="00AA704A"/>
    <w:rsid w:val="00AA7AC8"/>
    <w:rsid w:val="00AB15EA"/>
    <w:rsid w:val="00AB2540"/>
    <w:rsid w:val="00AB2959"/>
    <w:rsid w:val="00AB3530"/>
    <w:rsid w:val="00AB6C96"/>
    <w:rsid w:val="00AB6DA4"/>
    <w:rsid w:val="00AB7D23"/>
    <w:rsid w:val="00AB7F2C"/>
    <w:rsid w:val="00AC1DB3"/>
    <w:rsid w:val="00AC1E50"/>
    <w:rsid w:val="00AC2401"/>
    <w:rsid w:val="00AC25AB"/>
    <w:rsid w:val="00AC2C16"/>
    <w:rsid w:val="00AC362D"/>
    <w:rsid w:val="00AC5357"/>
    <w:rsid w:val="00AC566C"/>
    <w:rsid w:val="00AC5A2F"/>
    <w:rsid w:val="00AC5E1E"/>
    <w:rsid w:val="00AC6DF9"/>
    <w:rsid w:val="00AC77D7"/>
    <w:rsid w:val="00AC79BF"/>
    <w:rsid w:val="00AC7C13"/>
    <w:rsid w:val="00AD07F7"/>
    <w:rsid w:val="00AD0DBF"/>
    <w:rsid w:val="00AD147D"/>
    <w:rsid w:val="00AD1E6A"/>
    <w:rsid w:val="00AD2564"/>
    <w:rsid w:val="00AD2ABC"/>
    <w:rsid w:val="00AD2F98"/>
    <w:rsid w:val="00AD3B07"/>
    <w:rsid w:val="00AD4936"/>
    <w:rsid w:val="00AD49D3"/>
    <w:rsid w:val="00AD4D03"/>
    <w:rsid w:val="00AD59CC"/>
    <w:rsid w:val="00AD6381"/>
    <w:rsid w:val="00AE0BE5"/>
    <w:rsid w:val="00AE1623"/>
    <w:rsid w:val="00AE292D"/>
    <w:rsid w:val="00AE4E5E"/>
    <w:rsid w:val="00AE5317"/>
    <w:rsid w:val="00AE5E54"/>
    <w:rsid w:val="00AE60E9"/>
    <w:rsid w:val="00AE6451"/>
    <w:rsid w:val="00AE6609"/>
    <w:rsid w:val="00AE6DD4"/>
    <w:rsid w:val="00AF067C"/>
    <w:rsid w:val="00AF0B02"/>
    <w:rsid w:val="00AF14FB"/>
    <w:rsid w:val="00AF1FC8"/>
    <w:rsid w:val="00AF2C89"/>
    <w:rsid w:val="00AF48CC"/>
    <w:rsid w:val="00AF4D51"/>
    <w:rsid w:val="00AF4EF2"/>
    <w:rsid w:val="00AF5DAC"/>
    <w:rsid w:val="00AF5F84"/>
    <w:rsid w:val="00AF7885"/>
    <w:rsid w:val="00B00EC3"/>
    <w:rsid w:val="00B0186D"/>
    <w:rsid w:val="00B01DD8"/>
    <w:rsid w:val="00B02227"/>
    <w:rsid w:val="00B02578"/>
    <w:rsid w:val="00B0356E"/>
    <w:rsid w:val="00B03D79"/>
    <w:rsid w:val="00B04637"/>
    <w:rsid w:val="00B050C8"/>
    <w:rsid w:val="00B0545C"/>
    <w:rsid w:val="00B05BE5"/>
    <w:rsid w:val="00B061D8"/>
    <w:rsid w:val="00B063CC"/>
    <w:rsid w:val="00B10BF8"/>
    <w:rsid w:val="00B1176E"/>
    <w:rsid w:val="00B11FB8"/>
    <w:rsid w:val="00B1314E"/>
    <w:rsid w:val="00B1318E"/>
    <w:rsid w:val="00B133CA"/>
    <w:rsid w:val="00B14825"/>
    <w:rsid w:val="00B20B8B"/>
    <w:rsid w:val="00B2183C"/>
    <w:rsid w:val="00B2187C"/>
    <w:rsid w:val="00B21A8E"/>
    <w:rsid w:val="00B2383E"/>
    <w:rsid w:val="00B23CFF"/>
    <w:rsid w:val="00B25ED9"/>
    <w:rsid w:val="00B30CB3"/>
    <w:rsid w:val="00B3112F"/>
    <w:rsid w:val="00B3194E"/>
    <w:rsid w:val="00B32670"/>
    <w:rsid w:val="00B32E23"/>
    <w:rsid w:val="00B33015"/>
    <w:rsid w:val="00B3327A"/>
    <w:rsid w:val="00B332B8"/>
    <w:rsid w:val="00B3333E"/>
    <w:rsid w:val="00B33554"/>
    <w:rsid w:val="00B3474B"/>
    <w:rsid w:val="00B34FA8"/>
    <w:rsid w:val="00B35879"/>
    <w:rsid w:val="00B3590D"/>
    <w:rsid w:val="00B363B5"/>
    <w:rsid w:val="00B370F1"/>
    <w:rsid w:val="00B375A4"/>
    <w:rsid w:val="00B37803"/>
    <w:rsid w:val="00B37917"/>
    <w:rsid w:val="00B416D7"/>
    <w:rsid w:val="00B41ED9"/>
    <w:rsid w:val="00B43D82"/>
    <w:rsid w:val="00B44581"/>
    <w:rsid w:val="00B44C96"/>
    <w:rsid w:val="00B4534E"/>
    <w:rsid w:val="00B46263"/>
    <w:rsid w:val="00B50BF2"/>
    <w:rsid w:val="00B50E4F"/>
    <w:rsid w:val="00B50FFB"/>
    <w:rsid w:val="00B52918"/>
    <w:rsid w:val="00B536A7"/>
    <w:rsid w:val="00B54472"/>
    <w:rsid w:val="00B553D1"/>
    <w:rsid w:val="00B561C9"/>
    <w:rsid w:val="00B57E74"/>
    <w:rsid w:val="00B60DA0"/>
    <w:rsid w:val="00B613B6"/>
    <w:rsid w:val="00B627E8"/>
    <w:rsid w:val="00B62E62"/>
    <w:rsid w:val="00B63588"/>
    <w:rsid w:val="00B63A4F"/>
    <w:rsid w:val="00B63BE2"/>
    <w:rsid w:val="00B65371"/>
    <w:rsid w:val="00B66868"/>
    <w:rsid w:val="00B66A12"/>
    <w:rsid w:val="00B67585"/>
    <w:rsid w:val="00B67B07"/>
    <w:rsid w:val="00B67F6D"/>
    <w:rsid w:val="00B67FE0"/>
    <w:rsid w:val="00B708C2"/>
    <w:rsid w:val="00B7249B"/>
    <w:rsid w:val="00B72B6E"/>
    <w:rsid w:val="00B72E4A"/>
    <w:rsid w:val="00B730F4"/>
    <w:rsid w:val="00B738F6"/>
    <w:rsid w:val="00B73A6E"/>
    <w:rsid w:val="00B741D0"/>
    <w:rsid w:val="00B752DC"/>
    <w:rsid w:val="00B75ADE"/>
    <w:rsid w:val="00B7608A"/>
    <w:rsid w:val="00B76AF3"/>
    <w:rsid w:val="00B77007"/>
    <w:rsid w:val="00B779E2"/>
    <w:rsid w:val="00B8018F"/>
    <w:rsid w:val="00B802DC"/>
    <w:rsid w:val="00B805FE"/>
    <w:rsid w:val="00B80FD0"/>
    <w:rsid w:val="00B81A59"/>
    <w:rsid w:val="00B81E38"/>
    <w:rsid w:val="00B83908"/>
    <w:rsid w:val="00B8409C"/>
    <w:rsid w:val="00B84798"/>
    <w:rsid w:val="00B85077"/>
    <w:rsid w:val="00B85B63"/>
    <w:rsid w:val="00B85FC9"/>
    <w:rsid w:val="00B8740E"/>
    <w:rsid w:val="00B87641"/>
    <w:rsid w:val="00B879F5"/>
    <w:rsid w:val="00B87DBD"/>
    <w:rsid w:val="00B9082D"/>
    <w:rsid w:val="00B91E79"/>
    <w:rsid w:val="00B92527"/>
    <w:rsid w:val="00B928D0"/>
    <w:rsid w:val="00B930E3"/>
    <w:rsid w:val="00B93F2A"/>
    <w:rsid w:val="00B94DE4"/>
    <w:rsid w:val="00B95731"/>
    <w:rsid w:val="00B95C39"/>
    <w:rsid w:val="00B961F6"/>
    <w:rsid w:val="00B96AC5"/>
    <w:rsid w:val="00B9734C"/>
    <w:rsid w:val="00B97965"/>
    <w:rsid w:val="00BA03F5"/>
    <w:rsid w:val="00BA10FA"/>
    <w:rsid w:val="00BA1EA5"/>
    <w:rsid w:val="00BA3690"/>
    <w:rsid w:val="00BA3F97"/>
    <w:rsid w:val="00BA4076"/>
    <w:rsid w:val="00BA4C1E"/>
    <w:rsid w:val="00BA4E20"/>
    <w:rsid w:val="00BA4E9D"/>
    <w:rsid w:val="00BA4F1E"/>
    <w:rsid w:val="00BA521C"/>
    <w:rsid w:val="00BA5D2D"/>
    <w:rsid w:val="00BA61AF"/>
    <w:rsid w:val="00BA6513"/>
    <w:rsid w:val="00BA6654"/>
    <w:rsid w:val="00BA687F"/>
    <w:rsid w:val="00BB111C"/>
    <w:rsid w:val="00BB329D"/>
    <w:rsid w:val="00BB33CD"/>
    <w:rsid w:val="00BB3590"/>
    <w:rsid w:val="00BB492B"/>
    <w:rsid w:val="00BB4F65"/>
    <w:rsid w:val="00BB6D9F"/>
    <w:rsid w:val="00BB71B6"/>
    <w:rsid w:val="00BB73B1"/>
    <w:rsid w:val="00BC2262"/>
    <w:rsid w:val="00BC31D3"/>
    <w:rsid w:val="00BC3DE2"/>
    <w:rsid w:val="00BC47BC"/>
    <w:rsid w:val="00BC4853"/>
    <w:rsid w:val="00BC4FED"/>
    <w:rsid w:val="00BC6499"/>
    <w:rsid w:val="00BC73D7"/>
    <w:rsid w:val="00BC74F8"/>
    <w:rsid w:val="00BC76CB"/>
    <w:rsid w:val="00BC7A31"/>
    <w:rsid w:val="00BD1272"/>
    <w:rsid w:val="00BD1E8D"/>
    <w:rsid w:val="00BD3078"/>
    <w:rsid w:val="00BD387C"/>
    <w:rsid w:val="00BD39C5"/>
    <w:rsid w:val="00BD3FBA"/>
    <w:rsid w:val="00BD4014"/>
    <w:rsid w:val="00BD4FC5"/>
    <w:rsid w:val="00BD711D"/>
    <w:rsid w:val="00BD739E"/>
    <w:rsid w:val="00BE0C72"/>
    <w:rsid w:val="00BE12B1"/>
    <w:rsid w:val="00BE19AB"/>
    <w:rsid w:val="00BE1BD1"/>
    <w:rsid w:val="00BE2A41"/>
    <w:rsid w:val="00BE2B49"/>
    <w:rsid w:val="00BE31B4"/>
    <w:rsid w:val="00BE3637"/>
    <w:rsid w:val="00BE49C6"/>
    <w:rsid w:val="00BE4F76"/>
    <w:rsid w:val="00BE53EA"/>
    <w:rsid w:val="00BE5F22"/>
    <w:rsid w:val="00BE72AA"/>
    <w:rsid w:val="00BF2054"/>
    <w:rsid w:val="00BF2AC7"/>
    <w:rsid w:val="00BF355C"/>
    <w:rsid w:val="00BF44DA"/>
    <w:rsid w:val="00BF4D35"/>
    <w:rsid w:val="00BF4E22"/>
    <w:rsid w:val="00BF5B2E"/>
    <w:rsid w:val="00BF5D47"/>
    <w:rsid w:val="00BF7F51"/>
    <w:rsid w:val="00C00CF0"/>
    <w:rsid w:val="00C018CF"/>
    <w:rsid w:val="00C022FE"/>
    <w:rsid w:val="00C0246B"/>
    <w:rsid w:val="00C0252E"/>
    <w:rsid w:val="00C02DC4"/>
    <w:rsid w:val="00C03EC5"/>
    <w:rsid w:val="00C05051"/>
    <w:rsid w:val="00C0606A"/>
    <w:rsid w:val="00C07347"/>
    <w:rsid w:val="00C077CB"/>
    <w:rsid w:val="00C1102C"/>
    <w:rsid w:val="00C1104C"/>
    <w:rsid w:val="00C11B2D"/>
    <w:rsid w:val="00C11EF6"/>
    <w:rsid w:val="00C12461"/>
    <w:rsid w:val="00C129A4"/>
    <w:rsid w:val="00C13C0C"/>
    <w:rsid w:val="00C14224"/>
    <w:rsid w:val="00C1428A"/>
    <w:rsid w:val="00C14B91"/>
    <w:rsid w:val="00C16130"/>
    <w:rsid w:val="00C20E0A"/>
    <w:rsid w:val="00C21EF9"/>
    <w:rsid w:val="00C22006"/>
    <w:rsid w:val="00C238BC"/>
    <w:rsid w:val="00C238FB"/>
    <w:rsid w:val="00C24A9B"/>
    <w:rsid w:val="00C24F1D"/>
    <w:rsid w:val="00C3016C"/>
    <w:rsid w:val="00C30E14"/>
    <w:rsid w:val="00C31FA2"/>
    <w:rsid w:val="00C34C9A"/>
    <w:rsid w:val="00C34E9C"/>
    <w:rsid w:val="00C364BC"/>
    <w:rsid w:val="00C366B9"/>
    <w:rsid w:val="00C378A0"/>
    <w:rsid w:val="00C37A4D"/>
    <w:rsid w:val="00C40B94"/>
    <w:rsid w:val="00C4121E"/>
    <w:rsid w:val="00C41587"/>
    <w:rsid w:val="00C45D62"/>
    <w:rsid w:val="00C461FE"/>
    <w:rsid w:val="00C464A8"/>
    <w:rsid w:val="00C4669C"/>
    <w:rsid w:val="00C46760"/>
    <w:rsid w:val="00C4701F"/>
    <w:rsid w:val="00C47334"/>
    <w:rsid w:val="00C47362"/>
    <w:rsid w:val="00C47B26"/>
    <w:rsid w:val="00C5067E"/>
    <w:rsid w:val="00C50AFD"/>
    <w:rsid w:val="00C51C6D"/>
    <w:rsid w:val="00C521FF"/>
    <w:rsid w:val="00C52871"/>
    <w:rsid w:val="00C5309E"/>
    <w:rsid w:val="00C530CF"/>
    <w:rsid w:val="00C53497"/>
    <w:rsid w:val="00C54390"/>
    <w:rsid w:val="00C54416"/>
    <w:rsid w:val="00C544BA"/>
    <w:rsid w:val="00C54789"/>
    <w:rsid w:val="00C549D8"/>
    <w:rsid w:val="00C54E9E"/>
    <w:rsid w:val="00C55424"/>
    <w:rsid w:val="00C563DE"/>
    <w:rsid w:val="00C5685D"/>
    <w:rsid w:val="00C56D7D"/>
    <w:rsid w:val="00C63865"/>
    <w:rsid w:val="00C645FD"/>
    <w:rsid w:val="00C64DF1"/>
    <w:rsid w:val="00C65887"/>
    <w:rsid w:val="00C65E0F"/>
    <w:rsid w:val="00C70D0E"/>
    <w:rsid w:val="00C714A2"/>
    <w:rsid w:val="00C72181"/>
    <w:rsid w:val="00C72CF1"/>
    <w:rsid w:val="00C74094"/>
    <w:rsid w:val="00C741EA"/>
    <w:rsid w:val="00C74201"/>
    <w:rsid w:val="00C742AB"/>
    <w:rsid w:val="00C7579C"/>
    <w:rsid w:val="00C75912"/>
    <w:rsid w:val="00C76B67"/>
    <w:rsid w:val="00C77662"/>
    <w:rsid w:val="00C804D1"/>
    <w:rsid w:val="00C810AA"/>
    <w:rsid w:val="00C8124E"/>
    <w:rsid w:val="00C81CFD"/>
    <w:rsid w:val="00C81F2E"/>
    <w:rsid w:val="00C82D5A"/>
    <w:rsid w:val="00C82E39"/>
    <w:rsid w:val="00C82F2E"/>
    <w:rsid w:val="00C83240"/>
    <w:rsid w:val="00C83D59"/>
    <w:rsid w:val="00C84360"/>
    <w:rsid w:val="00C85DF1"/>
    <w:rsid w:val="00C86A29"/>
    <w:rsid w:val="00C9005C"/>
    <w:rsid w:val="00C91095"/>
    <w:rsid w:val="00C91304"/>
    <w:rsid w:val="00C91317"/>
    <w:rsid w:val="00C91E94"/>
    <w:rsid w:val="00C91F07"/>
    <w:rsid w:val="00C92199"/>
    <w:rsid w:val="00C92BAA"/>
    <w:rsid w:val="00C9379D"/>
    <w:rsid w:val="00C93F22"/>
    <w:rsid w:val="00C94B8A"/>
    <w:rsid w:val="00C9506B"/>
    <w:rsid w:val="00C95462"/>
    <w:rsid w:val="00C963D6"/>
    <w:rsid w:val="00C96B78"/>
    <w:rsid w:val="00C96D13"/>
    <w:rsid w:val="00C96F19"/>
    <w:rsid w:val="00C97710"/>
    <w:rsid w:val="00C97CDF"/>
    <w:rsid w:val="00CA0555"/>
    <w:rsid w:val="00CA0B4C"/>
    <w:rsid w:val="00CA0BAF"/>
    <w:rsid w:val="00CA0E77"/>
    <w:rsid w:val="00CA1264"/>
    <w:rsid w:val="00CA12A2"/>
    <w:rsid w:val="00CA1E44"/>
    <w:rsid w:val="00CA2049"/>
    <w:rsid w:val="00CA2BFE"/>
    <w:rsid w:val="00CA2EB8"/>
    <w:rsid w:val="00CA418B"/>
    <w:rsid w:val="00CA5D91"/>
    <w:rsid w:val="00CA6AB7"/>
    <w:rsid w:val="00CA6B04"/>
    <w:rsid w:val="00CA7CA5"/>
    <w:rsid w:val="00CA7EA9"/>
    <w:rsid w:val="00CB09DF"/>
    <w:rsid w:val="00CB2B64"/>
    <w:rsid w:val="00CB32D0"/>
    <w:rsid w:val="00CB3687"/>
    <w:rsid w:val="00CB378B"/>
    <w:rsid w:val="00CB4199"/>
    <w:rsid w:val="00CB53E2"/>
    <w:rsid w:val="00CB577B"/>
    <w:rsid w:val="00CB58A6"/>
    <w:rsid w:val="00CB5D80"/>
    <w:rsid w:val="00CB681D"/>
    <w:rsid w:val="00CB6EFF"/>
    <w:rsid w:val="00CB7263"/>
    <w:rsid w:val="00CB7890"/>
    <w:rsid w:val="00CC1556"/>
    <w:rsid w:val="00CC274D"/>
    <w:rsid w:val="00CC313B"/>
    <w:rsid w:val="00CC3E08"/>
    <w:rsid w:val="00CC5A43"/>
    <w:rsid w:val="00CC65FE"/>
    <w:rsid w:val="00CC74AF"/>
    <w:rsid w:val="00CD169F"/>
    <w:rsid w:val="00CD45A1"/>
    <w:rsid w:val="00CD6C20"/>
    <w:rsid w:val="00CD77B8"/>
    <w:rsid w:val="00CD7D45"/>
    <w:rsid w:val="00CD7F4C"/>
    <w:rsid w:val="00CE0375"/>
    <w:rsid w:val="00CE083F"/>
    <w:rsid w:val="00CE139F"/>
    <w:rsid w:val="00CE164F"/>
    <w:rsid w:val="00CE25D5"/>
    <w:rsid w:val="00CE2B99"/>
    <w:rsid w:val="00CE350E"/>
    <w:rsid w:val="00CE5795"/>
    <w:rsid w:val="00CE6AE5"/>
    <w:rsid w:val="00CF0388"/>
    <w:rsid w:val="00CF22BA"/>
    <w:rsid w:val="00CF2324"/>
    <w:rsid w:val="00CF3008"/>
    <w:rsid w:val="00CF3EBC"/>
    <w:rsid w:val="00CF492B"/>
    <w:rsid w:val="00CF4A19"/>
    <w:rsid w:val="00CF4A90"/>
    <w:rsid w:val="00D01D77"/>
    <w:rsid w:val="00D02DC5"/>
    <w:rsid w:val="00D0308C"/>
    <w:rsid w:val="00D030C8"/>
    <w:rsid w:val="00D03221"/>
    <w:rsid w:val="00D037EA"/>
    <w:rsid w:val="00D0393B"/>
    <w:rsid w:val="00D03A42"/>
    <w:rsid w:val="00D04305"/>
    <w:rsid w:val="00D04932"/>
    <w:rsid w:val="00D04A2B"/>
    <w:rsid w:val="00D04C21"/>
    <w:rsid w:val="00D05C4B"/>
    <w:rsid w:val="00D06621"/>
    <w:rsid w:val="00D10B91"/>
    <w:rsid w:val="00D119B1"/>
    <w:rsid w:val="00D11C03"/>
    <w:rsid w:val="00D13E02"/>
    <w:rsid w:val="00D140F4"/>
    <w:rsid w:val="00D143EF"/>
    <w:rsid w:val="00D14D9C"/>
    <w:rsid w:val="00D151FE"/>
    <w:rsid w:val="00D15D59"/>
    <w:rsid w:val="00D16928"/>
    <w:rsid w:val="00D1714E"/>
    <w:rsid w:val="00D20729"/>
    <w:rsid w:val="00D20E89"/>
    <w:rsid w:val="00D2106A"/>
    <w:rsid w:val="00D23F96"/>
    <w:rsid w:val="00D24555"/>
    <w:rsid w:val="00D24C58"/>
    <w:rsid w:val="00D263F5"/>
    <w:rsid w:val="00D267DE"/>
    <w:rsid w:val="00D26B2C"/>
    <w:rsid w:val="00D30F21"/>
    <w:rsid w:val="00D3319C"/>
    <w:rsid w:val="00D332A9"/>
    <w:rsid w:val="00D33BFE"/>
    <w:rsid w:val="00D344ED"/>
    <w:rsid w:val="00D34B35"/>
    <w:rsid w:val="00D36658"/>
    <w:rsid w:val="00D36CAC"/>
    <w:rsid w:val="00D40175"/>
    <w:rsid w:val="00D40559"/>
    <w:rsid w:val="00D407DA"/>
    <w:rsid w:val="00D41576"/>
    <w:rsid w:val="00D417C0"/>
    <w:rsid w:val="00D41890"/>
    <w:rsid w:val="00D426A3"/>
    <w:rsid w:val="00D432CB"/>
    <w:rsid w:val="00D44573"/>
    <w:rsid w:val="00D44600"/>
    <w:rsid w:val="00D45DB1"/>
    <w:rsid w:val="00D46173"/>
    <w:rsid w:val="00D471E6"/>
    <w:rsid w:val="00D47785"/>
    <w:rsid w:val="00D50995"/>
    <w:rsid w:val="00D5157E"/>
    <w:rsid w:val="00D51639"/>
    <w:rsid w:val="00D51837"/>
    <w:rsid w:val="00D52BBB"/>
    <w:rsid w:val="00D52C9F"/>
    <w:rsid w:val="00D52EAD"/>
    <w:rsid w:val="00D53623"/>
    <w:rsid w:val="00D53B49"/>
    <w:rsid w:val="00D54953"/>
    <w:rsid w:val="00D54D74"/>
    <w:rsid w:val="00D55530"/>
    <w:rsid w:val="00D55BBC"/>
    <w:rsid w:val="00D57911"/>
    <w:rsid w:val="00D600A8"/>
    <w:rsid w:val="00D6022C"/>
    <w:rsid w:val="00D62A76"/>
    <w:rsid w:val="00D6346B"/>
    <w:rsid w:val="00D63561"/>
    <w:rsid w:val="00D639AA"/>
    <w:rsid w:val="00D639FD"/>
    <w:rsid w:val="00D64214"/>
    <w:rsid w:val="00D64A65"/>
    <w:rsid w:val="00D67BAB"/>
    <w:rsid w:val="00D67DF2"/>
    <w:rsid w:val="00D67F34"/>
    <w:rsid w:val="00D7094C"/>
    <w:rsid w:val="00D70C31"/>
    <w:rsid w:val="00D71133"/>
    <w:rsid w:val="00D72320"/>
    <w:rsid w:val="00D737AC"/>
    <w:rsid w:val="00D76367"/>
    <w:rsid w:val="00D770E6"/>
    <w:rsid w:val="00D7725A"/>
    <w:rsid w:val="00D77995"/>
    <w:rsid w:val="00D779C4"/>
    <w:rsid w:val="00D801DF"/>
    <w:rsid w:val="00D80427"/>
    <w:rsid w:val="00D8042D"/>
    <w:rsid w:val="00D80775"/>
    <w:rsid w:val="00D812D4"/>
    <w:rsid w:val="00D817AF"/>
    <w:rsid w:val="00D81D89"/>
    <w:rsid w:val="00D822AC"/>
    <w:rsid w:val="00D823C6"/>
    <w:rsid w:val="00D8281D"/>
    <w:rsid w:val="00D83431"/>
    <w:rsid w:val="00D8608F"/>
    <w:rsid w:val="00D8651C"/>
    <w:rsid w:val="00D86C15"/>
    <w:rsid w:val="00D870D1"/>
    <w:rsid w:val="00D87324"/>
    <w:rsid w:val="00D87443"/>
    <w:rsid w:val="00D87CFC"/>
    <w:rsid w:val="00D9081D"/>
    <w:rsid w:val="00D90D5B"/>
    <w:rsid w:val="00D90EBB"/>
    <w:rsid w:val="00D91142"/>
    <w:rsid w:val="00D9281E"/>
    <w:rsid w:val="00D94DA0"/>
    <w:rsid w:val="00D9740C"/>
    <w:rsid w:val="00DA1EA6"/>
    <w:rsid w:val="00DA1F6F"/>
    <w:rsid w:val="00DA4A89"/>
    <w:rsid w:val="00DA589E"/>
    <w:rsid w:val="00DA71AD"/>
    <w:rsid w:val="00DA732A"/>
    <w:rsid w:val="00DB198C"/>
    <w:rsid w:val="00DB1E07"/>
    <w:rsid w:val="00DB32E1"/>
    <w:rsid w:val="00DB5CF1"/>
    <w:rsid w:val="00DB5E63"/>
    <w:rsid w:val="00DB5F8A"/>
    <w:rsid w:val="00DB755E"/>
    <w:rsid w:val="00DB7E8F"/>
    <w:rsid w:val="00DC1111"/>
    <w:rsid w:val="00DC162E"/>
    <w:rsid w:val="00DC3B2A"/>
    <w:rsid w:val="00DC3CC1"/>
    <w:rsid w:val="00DC4AEF"/>
    <w:rsid w:val="00DC51FC"/>
    <w:rsid w:val="00DC7CD3"/>
    <w:rsid w:val="00DC7D7B"/>
    <w:rsid w:val="00DD0463"/>
    <w:rsid w:val="00DD067F"/>
    <w:rsid w:val="00DD0ED7"/>
    <w:rsid w:val="00DD18E0"/>
    <w:rsid w:val="00DD19A6"/>
    <w:rsid w:val="00DD2972"/>
    <w:rsid w:val="00DD2E46"/>
    <w:rsid w:val="00DD46CE"/>
    <w:rsid w:val="00DD4DC5"/>
    <w:rsid w:val="00DD5341"/>
    <w:rsid w:val="00DD5630"/>
    <w:rsid w:val="00DD5AFF"/>
    <w:rsid w:val="00DD6091"/>
    <w:rsid w:val="00DD6122"/>
    <w:rsid w:val="00DD74DD"/>
    <w:rsid w:val="00DD7833"/>
    <w:rsid w:val="00DD792C"/>
    <w:rsid w:val="00DE0F50"/>
    <w:rsid w:val="00DE3631"/>
    <w:rsid w:val="00DE37BC"/>
    <w:rsid w:val="00DE4030"/>
    <w:rsid w:val="00DE41F3"/>
    <w:rsid w:val="00DE4503"/>
    <w:rsid w:val="00DE461C"/>
    <w:rsid w:val="00DE53AD"/>
    <w:rsid w:val="00DE6227"/>
    <w:rsid w:val="00DE6E76"/>
    <w:rsid w:val="00DE771A"/>
    <w:rsid w:val="00DF134D"/>
    <w:rsid w:val="00DF170C"/>
    <w:rsid w:val="00DF3F59"/>
    <w:rsid w:val="00DF4D46"/>
    <w:rsid w:val="00DF5A75"/>
    <w:rsid w:val="00DF6D5A"/>
    <w:rsid w:val="00DF6F82"/>
    <w:rsid w:val="00E002FC"/>
    <w:rsid w:val="00E0058D"/>
    <w:rsid w:val="00E00600"/>
    <w:rsid w:val="00E0074C"/>
    <w:rsid w:val="00E00BE1"/>
    <w:rsid w:val="00E00EE1"/>
    <w:rsid w:val="00E0174B"/>
    <w:rsid w:val="00E02F07"/>
    <w:rsid w:val="00E048CB"/>
    <w:rsid w:val="00E049C8"/>
    <w:rsid w:val="00E069EA"/>
    <w:rsid w:val="00E074D1"/>
    <w:rsid w:val="00E102FE"/>
    <w:rsid w:val="00E105BE"/>
    <w:rsid w:val="00E11370"/>
    <w:rsid w:val="00E12257"/>
    <w:rsid w:val="00E12877"/>
    <w:rsid w:val="00E12BC6"/>
    <w:rsid w:val="00E13384"/>
    <w:rsid w:val="00E136B6"/>
    <w:rsid w:val="00E14450"/>
    <w:rsid w:val="00E15CE7"/>
    <w:rsid w:val="00E16170"/>
    <w:rsid w:val="00E16318"/>
    <w:rsid w:val="00E16B63"/>
    <w:rsid w:val="00E174A0"/>
    <w:rsid w:val="00E179B0"/>
    <w:rsid w:val="00E17B4E"/>
    <w:rsid w:val="00E21703"/>
    <w:rsid w:val="00E21741"/>
    <w:rsid w:val="00E223C6"/>
    <w:rsid w:val="00E22E05"/>
    <w:rsid w:val="00E251AB"/>
    <w:rsid w:val="00E30005"/>
    <w:rsid w:val="00E30BAE"/>
    <w:rsid w:val="00E30BAF"/>
    <w:rsid w:val="00E3187C"/>
    <w:rsid w:val="00E31886"/>
    <w:rsid w:val="00E334A9"/>
    <w:rsid w:val="00E35E63"/>
    <w:rsid w:val="00E36159"/>
    <w:rsid w:val="00E36303"/>
    <w:rsid w:val="00E369E6"/>
    <w:rsid w:val="00E36A68"/>
    <w:rsid w:val="00E37831"/>
    <w:rsid w:val="00E40CAF"/>
    <w:rsid w:val="00E40DE7"/>
    <w:rsid w:val="00E41698"/>
    <w:rsid w:val="00E43478"/>
    <w:rsid w:val="00E44697"/>
    <w:rsid w:val="00E471EC"/>
    <w:rsid w:val="00E506AD"/>
    <w:rsid w:val="00E50B92"/>
    <w:rsid w:val="00E518E3"/>
    <w:rsid w:val="00E54645"/>
    <w:rsid w:val="00E5593F"/>
    <w:rsid w:val="00E560B6"/>
    <w:rsid w:val="00E575B1"/>
    <w:rsid w:val="00E57715"/>
    <w:rsid w:val="00E60371"/>
    <w:rsid w:val="00E606F7"/>
    <w:rsid w:val="00E61CF1"/>
    <w:rsid w:val="00E62922"/>
    <w:rsid w:val="00E62CFB"/>
    <w:rsid w:val="00E64A84"/>
    <w:rsid w:val="00E64B15"/>
    <w:rsid w:val="00E662DA"/>
    <w:rsid w:val="00E66C24"/>
    <w:rsid w:val="00E70EF6"/>
    <w:rsid w:val="00E710E1"/>
    <w:rsid w:val="00E71255"/>
    <w:rsid w:val="00E71310"/>
    <w:rsid w:val="00E72B4D"/>
    <w:rsid w:val="00E72EE1"/>
    <w:rsid w:val="00E73B79"/>
    <w:rsid w:val="00E747A2"/>
    <w:rsid w:val="00E74BC6"/>
    <w:rsid w:val="00E75520"/>
    <w:rsid w:val="00E75670"/>
    <w:rsid w:val="00E75C41"/>
    <w:rsid w:val="00E768C5"/>
    <w:rsid w:val="00E77A33"/>
    <w:rsid w:val="00E80545"/>
    <w:rsid w:val="00E81483"/>
    <w:rsid w:val="00E81B0A"/>
    <w:rsid w:val="00E82C33"/>
    <w:rsid w:val="00E85629"/>
    <w:rsid w:val="00E85833"/>
    <w:rsid w:val="00E86243"/>
    <w:rsid w:val="00E87157"/>
    <w:rsid w:val="00E900AB"/>
    <w:rsid w:val="00E91D93"/>
    <w:rsid w:val="00E92471"/>
    <w:rsid w:val="00E93E0A"/>
    <w:rsid w:val="00E96593"/>
    <w:rsid w:val="00E96933"/>
    <w:rsid w:val="00E96978"/>
    <w:rsid w:val="00E96BA7"/>
    <w:rsid w:val="00E97C6D"/>
    <w:rsid w:val="00EA0CE0"/>
    <w:rsid w:val="00EA2768"/>
    <w:rsid w:val="00EA2987"/>
    <w:rsid w:val="00EA3363"/>
    <w:rsid w:val="00EA3A49"/>
    <w:rsid w:val="00EA4667"/>
    <w:rsid w:val="00EA4A10"/>
    <w:rsid w:val="00EA5C14"/>
    <w:rsid w:val="00EA63F1"/>
    <w:rsid w:val="00EA772A"/>
    <w:rsid w:val="00EA7BDE"/>
    <w:rsid w:val="00EB211D"/>
    <w:rsid w:val="00EB2243"/>
    <w:rsid w:val="00EB2ACE"/>
    <w:rsid w:val="00EB2D2F"/>
    <w:rsid w:val="00EB3374"/>
    <w:rsid w:val="00EB35B1"/>
    <w:rsid w:val="00EB3913"/>
    <w:rsid w:val="00EB3CB3"/>
    <w:rsid w:val="00EB5C7E"/>
    <w:rsid w:val="00EB6476"/>
    <w:rsid w:val="00EB695A"/>
    <w:rsid w:val="00EB7ABB"/>
    <w:rsid w:val="00EC0286"/>
    <w:rsid w:val="00EC028D"/>
    <w:rsid w:val="00EC0699"/>
    <w:rsid w:val="00EC1333"/>
    <w:rsid w:val="00EC293B"/>
    <w:rsid w:val="00EC2EDA"/>
    <w:rsid w:val="00EC34F3"/>
    <w:rsid w:val="00EC394D"/>
    <w:rsid w:val="00EC4FDE"/>
    <w:rsid w:val="00EC7739"/>
    <w:rsid w:val="00ED01DA"/>
    <w:rsid w:val="00ED0A45"/>
    <w:rsid w:val="00ED14D1"/>
    <w:rsid w:val="00ED3618"/>
    <w:rsid w:val="00ED3A4A"/>
    <w:rsid w:val="00ED4537"/>
    <w:rsid w:val="00ED4968"/>
    <w:rsid w:val="00ED5A5D"/>
    <w:rsid w:val="00ED6C33"/>
    <w:rsid w:val="00EE2A9C"/>
    <w:rsid w:val="00EE4382"/>
    <w:rsid w:val="00EE5254"/>
    <w:rsid w:val="00EE65BF"/>
    <w:rsid w:val="00EE7149"/>
    <w:rsid w:val="00EE74EC"/>
    <w:rsid w:val="00EE78B1"/>
    <w:rsid w:val="00EE7B8A"/>
    <w:rsid w:val="00EF0163"/>
    <w:rsid w:val="00EF05E2"/>
    <w:rsid w:val="00EF06DF"/>
    <w:rsid w:val="00EF1919"/>
    <w:rsid w:val="00EF1C25"/>
    <w:rsid w:val="00EF2617"/>
    <w:rsid w:val="00F01A46"/>
    <w:rsid w:val="00F02E9F"/>
    <w:rsid w:val="00F03056"/>
    <w:rsid w:val="00F053E5"/>
    <w:rsid w:val="00F058D6"/>
    <w:rsid w:val="00F07C10"/>
    <w:rsid w:val="00F105F8"/>
    <w:rsid w:val="00F11387"/>
    <w:rsid w:val="00F115A5"/>
    <w:rsid w:val="00F11690"/>
    <w:rsid w:val="00F11ABD"/>
    <w:rsid w:val="00F127CC"/>
    <w:rsid w:val="00F128DE"/>
    <w:rsid w:val="00F12E8E"/>
    <w:rsid w:val="00F1409D"/>
    <w:rsid w:val="00F15528"/>
    <w:rsid w:val="00F16727"/>
    <w:rsid w:val="00F17334"/>
    <w:rsid w:val="00F17A05"/>
    <w:rsid w:val="00F17A3A"/>
    <w:rsid w:val="00F2006C"/>
    <w:rsid w:val="00F21C31"/>
    <w:rsid w:val="00F21FAF"/>
    <w:rsid w:val="00F23BBD"/>
    <w:rsid w:val="00F23CEA"/>
    <w:rsid w:val="00F2506C"/>
    <w:rsid w:val="00F2556B"/>
    <w:rsid w:val="00F25C73"/>
    <w:rsid w:val="00F31398"/>
    <w:rsid w:val="00F32CAC"/>
    <w:rsid w:val="00F32D3D"/>
    <w:rsid w:val="00F33825"/>
    <w:rsid w:val="00F34B5C"/>
    <w:rsid w:val="00F34F77"/>
    <w:rsid w:val="00F354D2"/>
    <w:rsid w:val="00F36608"/>
    <w:rsid w:val="00F3660A"/>
    <w:rsid w:val="00F36F9F"/>
    <w:rsid w:val="00F37F64"/>
    <w:rsid w:val="00F401F1"/>
    <w:rsid w:val="00F40473"/>
    <w:rsid w:val="00F4077D"/>
    <w:rsid w:val="00F40A74"/>
    <w:rsid w:val="00F42CD2"/>
    <w:rsid w:val="00F43A0F"/>
    <w:rsid w:val="00F44161"/>
    <w:rsid w:val="00F44F95"/>
    <w:rsid w:val="00F45003"/>
    <w:rsid w:val="00F454BA"/>
    <w:rsid w:val="00F50476"/>
    <w:rsid w:val="00F50956"/>
    <w:rsid w:val="00F50DDF"/>
    <w:rsid w:val="00F510AA"/>
    <w:rsid w:val="00F525FA"/>
    <w:rsid w:val="00F52ABD"/>
    <w:rsid w:val="00F52D5A"/>
    <w:rsid w:val="00F53973"/>
    <w:rsid w:val="00F539AE"/>
    <w:rsid w:val="00F53C62"/>
    <w:rsid w:val="00F54593"/>
    <w:rsid w:val="00F54A6A"/>
    <w:rsid w:val="00F54B3A"/>
    <w:rsid w:val="00F552DF"/>
    <w:rsid w:val="00F555D6"/>
    <w:rsid w:val="00F55CF0"/>
    <w:rsid w:val="00F568F2"/>
    <w:rsid w:val="00F569AC"/>
    <w:rsid w:val="00F56EDB"/>
    <w:rsid w:val="00F57621"/>
    <w:rsid w:val="00F57CCF"/>
    <w:rsid w:val="00F60C1B"/>
    <w:rsid w:val="00F60F42"/>
    <w:rsid w:val="00F61AE8"/>
    <w:rsid w:val="00F63DF0"/>
    <w:rsid w:val="00F63E5C"/>
    <w:rsid w:val="00F658EA"/>
    <w:rsid w:val="00F65B68"/>
    <w:rsid w:val="00F71117"/>
    <w:rsid w:val="00F712C3"/>
    <w:rsid w:val="00F71E5E"/>
    <w:rsid w:val="00F724DA"/>
    <w:rsid w:val="00F73CA8"/>
    <w:rsid w:val="00F7510C"/>
    <w:rsid w:val="00F757E2"/>
    <w:rsid w:val="00F75968"/>
    <w:rsid w:val="00F76805"/>
    <w:rsid w:val="00F76873"/>
    <w:rsid w:val="00F76AEC"/>
    <w:rsid w:val="00F80437"/>
    <w:rsid w:val="00F80A09"/>
    <w:rsid w:val="00F82A13"/>
    <w:rsid w:val="00F83621"/>
    <w:rsid w:val="00F83B38"/>
    <w:rsid w:val="00F847FB"/>
    <w:rsid w:val="00F84C22"/>
    <w:rsid w:val="00F866C9"/>
    <w:rsid w:val="00F87410"/>
    <w:rsid w:val="00F87650"/>
    <w:rsid w:val="00F907CF"/>
    <w:rsid w:val="00F90A63"/>
    <w:rsid w:val="00F91B39"/>
    <w:rsid w:val="00F91C86"/>
    <w:rsid w:val="00F91CD5"/>
    <w:rsid w:val="00F91F71"/>
    <w:rsid w:val="00F93E04"/>
    <w:rsid w:val="00F94BA9"/>
    <w:rsid w:val="00F94C83"/>
    <w:rsid w:val="00F94FF1"/>
    <w:rsid w:val="00F95B90"/>
    <w:rsid w:val="00F96654"/>
    <w:rsid w:val="00F97DC5"/>
    <w:rsid w:val="00FA1ADB"/>
    <w:rsid w:val="00FA2D53"/>
    <w:rsid w:val="00FA4A6E"/>
    <w:rsid w:val="00FA5064"/>
    <w:rsid w:val="00FA5367"/>
    <w:rsid w:val="00FA6CAC"/>
    <w:rsid w:val="00FA6E43"/>
    <w:rsid w:val="00FA736E"/>
    <w:rsid w:val="00FA759B"/>
    <w:rsid w:val="00FB216F"/>
    <w:rsid w:val="00FB21EF"/>
    <w:rsid w:val="00FB25B5"/>
    <w:rsid w:val="00FB34EA"/>
    <w:rsid w:val="00FB3BCF"/>
    <w:rsid w:val="00FB3CFB"/>
    <w:rsid w:val="00FB41AB"/>
    <w:rsid w:val="00FB4C06"/>
    <w:rsid w:val="00FB55EC"/>
    <w:rsid w:val="00FB5E4E"/>
    <w:rsid w:val="00FB6A33"/>
    <w:rsid w:val="00FB719D"/>
    <w:rsid w:val="00FB7821"/>
    <w:rsid w:val="00FB7B02"/>
    <w:rsid w:val="00FC048B"/>
    <w:rsid w:val="00FC09DC"/>
    <w:rsid w:val="00FC2A02"/>
    <w:rsid w:val="00FC3399"/>
    <w:rsid w:val="00FC3A5C"/>
    <w:rsid w:val="00FC5A31"/>
    <w:rsid w:val="00FC5D02"/>
    <w:rsid w:val="00FC69A9"/>
    <w:rsid w:val="00FC7A75"/>
    <w:rsid w:val="00FD0BA9"/>
    <w:rsid w:val="00FD266F"/>
    <w:rsid w:val="00FD43AE"/>
    <w:rsid w:val="00FD527E"/>
    <w:rsid w:val="00FD5728"/>
    <w:rsid w:val="00FD6555"/>
    <w:rsid w:val="00FD775B"/>
    <w:rsid w:val="00FE04BC"/>
    <w:rsid w:val="00FE0E37"/>
    <w:rsid w:val="00FE1998"/>
    <w:rsid w:val="00FE2702"/>
    <w:rsid w:val="00FE3250"/>
    <w:rsid w:val="00FE3485"/>
    <w:rsid w:val="00FE348B"/>
    <w:rsid w:val="00FE4106"/>
    <w:rsid w:val="00FE4630"/>
    <w:rsid w:val="00FE4777"/>
    <w:rsid w:val="00FE5407"/>
    <w:rsid w:val="00FE6440"/>
    <w:rsid w:val="00FE6FBA"/>
    <w:rsid w:val="00FE7923"/>
    <w:rsid w:val="00FE7F55"/>
    <w:rsid w:val="00FF2A62"/>
    <w:rsid w:val="00FF46BB"/>
    <w:rsid w:val="00FF4BA3"/>
    <w:rsid w:val="00FF7252"/>
    <w:rsid w:val="00FF7638"/>
    <w:rsid w:val="010C0502"/>
    <w:rsid w:val="01277C69"/>
    <w:rsid w:val="013B2B96"/>
    <w:rsid w:val="015B6D94"/>
    <w:rsid w:val="016C71F3"/>
    <w:rsid w:val="016D6AC7"/>
    <w:rsid w:val="01D64122"/>
    <w:rsid w:val="01F66ABD"/>
    <w:rsid w:val="01FD7E4B"/>
    <w:rsid w:val="02293F32"/>
    <w:rsid w:val="02300221"/>
    <w:rsid w:val="024A62FC"/>
    <w:rsid w:val="025B2DC4"/>
    <w:rsid w:val="02884B29"/>
    <w:rsid w:val="02B04EBD"/>
    <w:rsid w:val="02C92FE9"/>
    <w:rsid w:val="02D212D8"/>
    <w:rsid w:val="02D74B40"/>
    <w:rsid w:val="03033783"/>
    <w:rsid w:val="031B2C7F"/>
    <w:rsid w:val="031C69F7"/>
    <w:rsid w:val="032558AB"/>
    <w:rsid w:val="03304250"/>
    <w:rsid w:val="03355182"/>
    <w:rsid w:val="03500260"/>
    <w:rsid w:val="0371289F"/>
    <w:rsid w:val="03833C7A"/>
    <w:rsid w:val="03B16FD7"/>
    <w:rsid w:val="03B42718"/>
    <w:rsid w:val="03CD1071"/>
    <w:rsid w:val="03E7444B"/>
    <w:rsid w:val="04245B63"/>
    <w:rsid w:val="04262EDA"/>
    <w:rsid w:val="04277401"/>
    <w:rsid w:val="042B6AEB"/>
    <w:rsid w:val="0430275A"/>
    <w:rsid w:val="043D09D3"/>
    <w:rsid w:val="04425FE9"/>
    <w:rsid w:val="044C0B85"/>
    <w:rsid w:val="04510922"/>
    <w:rsid w:val="049D7357"/>
    <w:rsid w:val="04A10F62"/>
    <w:rsid w:val="04A42D6D"/>
    <w:rsid w:val="04A61D6F"/>
    <w:rsid w:val="04B05649"/>
    <w:rsid w:val="04D70E27"/>
    <w:rsid w:val="04E56DE7"/>
    <w:rsid w:val="05121E5F"/>
    <w:rsid w:val="051E6A56"/>
    <w:rsid w:val="053E16EE"/>
    <w:rsid w:val="055C30DB"/>
    <w:rsid w:val="058645FB"/>
    <w:rsid w:val="058F525E"/>
    <w:rsid w:val="05AC4062"/>
    <w:rsid w:val="05ED01D7"/>
    <w:rsid w:val="0616772D"/>
    <w:rsid w:val="062260D2"/>
    <w:rsid w:val="063B3638"/>
    <w:rsid w:val="063D4CBA"/>
    <w:rsid w:val="06400C4E"/>
    <w:rsid w:val="06436049"/>
    <w:rsid w:val="06850C3E"/>
    <w:rsid w:val="06A77A96"/>
    <w:rsid w:val="06A905A2"/>
    <w:rsid w:val="06B55198"/>
    <w:rsid w:val="06B56F46"/>
    <w:rsid w:val="06C86EDF"/>
    <w:rsid w:val="06D3561E"/>
    <w:rsid w:val="06DF5D71"/>
    <w:rsid w:val="06FC4B75"/>
    <w:rsid w:val="070852B7"/>
    <w:rsid w:val="071874D5"/>
    <w:rsid w:val="07484D47"/>
    <w:rsid w:val="075C5614"/>
    <w:rsid w:val="077A5294"/>
    <w:rsid w:val="077B723E"/>
    <w:rsid w:val="078A26D8"/>
    <w:rsid w:val="07A52007"/>
    <w:rsid w:val="07B76CEE"/>
    <w:rsid w:val="07C22A40"/>
    <w:rsid w:val="07F93C1E"/>
    <w:rsid w:val="080B2B96"/>
    <w:rsid w:val="081D1247"/>
    <w:rsid w:val="082F4AD6"/>
    <w:rsid w:val="084C5688"/>
    <w:rsid w:val="084E1401"/>
    <w:rsid w:val="085F5FBF"/>
    <w:rsid w:val="086504F8"/>
    <w:rsid w:val="0865674A"/>
    <w:rsid w:val="086724C2"/>
    <w:rsid w:val="087D7F38"/>
    <w:rsid w:val="08877BE0"/>
    <w:rsid w:val="088D745B"/>
    <w:rsid w:val="08987DAC"/>
    <w:rsid w:val="08A2174C"/>
    <w:rsid w:val="08CA47FF"/>
    <w:rsid w:val="090441B5"/>
    <w:rsid w:val="091650F7"/>
    <w:rsid w:val="09212671"/>
    <w:rsid w:val="09385C0D"/>
    <w:rsid w:val="093A3733"/>
    <w:rsid w:val="0969226A"/>
    <w:rsid w:val="0980632C"/>
    <w:rsid w:val="098826F0"/>
    <w:rsid w:val="09C97BB6"/>
    <w:rsid w:val="09D122E9"/>
    <w:rsid w:val="09E638BB"/>
    <w:rsid w:val="0A0338DA"/>
    <w:rsid w:val="0A3E54A5"/>
    <w:rsid w:val="0A586566"/>
    <w:rsid w:val="0A701077"/>
    <w:rsid w:val="0A710C84"/>
    <w:rsid w:val="0A7315F2"/>
    <w:rsid w:val="0A740EC6"/>
    <w:rsid w:val="0A7B2255"/>
    <w:rsid w:val="0A801619"/>
    <w:rsid w:val="0AA25A34"/>
    <w:rsid w:val="0ABF2205"/>
    <w:rsid w:val="0B0D6C7C"/>
    <w:rsid w:val="0B21104E"/>
    <w:rsid w:val="0B2428ED"/>
    <w:rsid w:val="0B3F3282"/>
    <w:rsid w:val="0B3F7726"/>
    <w:rsid w:val="0B552AA6"/>
    <w:rsid w:val="0B6D26FA"/>
    <w:rsid w:val="0B8769D7"/>
    <w:rsid w:val="0B8B471A"/>
    <w:rsid w:val="0B927856"/>
    <w:rsid w:val="0BBA0B5B"/>
    <w:rsid w:val="0BBF2615"/>
    <w:rsid w:val="0BD75BB1"/>
    <w:rsid w:val="0BF16C73"/>
    <w:rsid w:val="0BF56037"/>
    <w:rsid w:val="0C061FF2"/>
    <w:rsid w:val="0C1B5AE1"/>
    <w:rsid w:val="0C216E2C"/>
    <w:rsid w:val="0C3721AC"/>
    <w:rsid w:val="0C5114BF"/>
    <w:rsid w:val="0C564D28"/>
    <w:rsid w:val="0C767178"/>
    <w:rsid w:val="0C85560D"/>
    <w:rsid w:val="0C931AD8"/>
    <w:rsid w:val="0C965124"/>
    <w:rsid w:val="0C9F46C4"/>
    <w:rsid w:val="0CA51ED6"/>
    <w:rsid w:val="0CAE4666"/>
    <w:rsid w:val="0CC46FA3"/>
    <w:rsid w:val="0CE3721B"/>
    <w:rsid w:val="0CF307C8"/>
    <w:rsid w:val="0CF956B3"/>
    <w:rsid w:val="0D1471FC"/>
    <w:rsid w:val="0D1621AD"/>
    <w:rsid w:val="0D447276"/>
    <w:rsid w:val="0D4B23B2"/>
    <w:rsid w:val="0D4F46D6"/>
    <w:rsid w:val="0D5D3E94"/>
    <w:rsid w:val="0D6C3A29"/>
    <w:rsid w:val="0D7A1104"/>
    <w:rsid w:val="0DA47D15"/>
    <w:rsid w:val="0DA87805"/>
    <w:rsid w:val="0DBA3094"/>
    <w:rsid w:val="0DBC505E"/>
    <w:rsid w:val="0DC4170C"/>
    <w:rsid w:val="0DCE7C62"/>
    <w:rsid w:val="0DD02BF2"/>
    <w:rsid w:val="0DED346A"/>
    <w:rsid w:val="0DFA5B87"/>
    <w:rsid w:val="0DFC36AD"/>
    <w:rsid w:val="0DFC6A1D"/>
    <w:rsid w:val="0E012A71"/>
    <w:rsid w:val="0E0213F2"/>
    <w:rsid w:val="0E07732B"/>
    <w:rsid w:val="0E26697C"/>
    <w:rsid w:val="0E2A69C7"/>
    <w:rsid w:val="0E323572"/>
    <w:rsid w:val="0E414D0F"/>
    <w:rsid w:val="0E4A08BC"/>
    <w:rsid w:val="0E626CA5"/>
    <w:rsid w:val="0E63197E"/>
    <w:rsid w:val="0E960052"/>
    <w:rsid w:val="0EA855E3"/>
    <w:rsid w:val="0EAA3109"/>
    <w:rsid w:val="0EB9159E"/>
    <w:rsid w:val="0EE04D7C"/>
    <w:rsid w:val="0EFB3964"/>
    <w:rsid w:val="0F07055B"/>
    <w:rsid w:val="0F0F62AD"/>
    <w:rsid w:val="0F227143"/>
    <w:rsid w:val="0F31382A"/>
    <w:rsid w:val="0F73799F"/>
    <w:rsid w:val="0F87344A"/>
    <w:rsid w:val="0F913406"/>
    <w:rsid w:val="0FA45DAA"/>
    <w:rsid w:val="0FAC2EB1"/>
    <w:rsid w:val="0FB87AA7"/>
    <w:rsid w:val="0FE663C2"/>
    <w:rsid w:val="0FF02D9D"/>
    <w:rsid w:val="0FF860F6"/>
    <w:rsid w:val="0FFE195E"/>
    <w:rsid w:val="0FFF4507"/>
    <w:rsid w:val="10042CED"/>
    <w:rsid w:val="100F5919"/>
    <w:rsid w:val="10270194"/>
    <w:rsid w:val="10357AE2"/>
    <w:rsid w:val="103C2486"/>
    <w:rsid w:val="104F21BA"/>
    <w:rsid w:val="104F3F68"/>
    <w:rsid w:val="106043C7"/>
    <w:rsid w:val="106D43EE"/>
    <w:rsid w:val="10725EA8"/>
    <w:rsid w:val="107B4D5D"/>
    <w:rsid w:val="107B5A6F"/>
    <w:rsid w:val="107E3167"/>
    <w:rsid w:val="109A0961"/>
    <w:rsid w:val="10B822C3"/>
    <w:rsid w:val="10BE4C49"/>
    <w:rsid w:val="10BE733F"/>
    <w:rsid w:val="10D87AE7"/>
    <w:rsid w:val="10DF0E3F"/>
    <w:rsid w:val="10E250B3"/>
    <w:rsid w:val="10EC085B"/>
    <w:rsid w:val="112F3D99"/>
    <w:rsid w:val="11357601"/>
    <w:rsid w:val="113917C7"/>
    <w:rsid w:val="11503CCA"/>
    <w:rsid w:val="115769FC"/>
    <w:rsid w:val="116577BB"/>
    <w:rsid w:val="11677ADA"/>
    <w:rsid w:val="116F4196"/>
    <w:rsid w:val="117B1695"/>
    <w:rsid w:val="1193257A"/>
    <w:rsid w:val="11967974"/>
    <w:rsid w:val="11B27829"/>
    <w:rsid w:val="11C97D4A"/>
    <w:rsid w:val="11FB2294"/>
    <w:rsid w:val="12350C2A"/>
    <w:rsid w:val="123553DF"/>
    <w:rsid w:val="125735A8"/>
    <w:rsid w:val="126E58D4"/>
    <w:rsid w:val="1280578A"/>
    <w:rsid w:val="128879FC"/>
    <w:rsid w:val="128B259E"/>
    <w:rsid w:val="129E11D6"/>
    <w:rsid w:val="129F64F0"/>
    <w:rsid w:val="12A3059B"/>
    <w:rsid w:val="12D9220E"/>
    <w:rsid w:val="130D347A"/>
    <w:rsid w:val="131E17F3"/>
    <w:rsid w:val="13315BA7"/>
    <w:rsid w:val="136D0E51"/>
    <w:rsid w:val="13715411"/>
    <w:rsid w:val="13795061"/>
    <w:rsid w:val="139B3968"/>
    <w:rsid w:val="139B69DE"/>
    <w:rsid w:val="13B567D8"/>
    <w:rsid w:val="13B76062"/>
    <w:rsid w:val="13D33102"/>
    <w:rsid w:val="13E56991"/>
    <w:rsid w:val="14103C2C"/>
    <w:rsid w:val="14221993"/>
    <w:rsid w:val="14551D69"/>
    <w:rsid w:val="145A1E9B"/>
    <w:rsid w:val="1468616B"/>
    <w:rsid w:val="1472086C"/>
    <w:rsid w:val="147F6DE6"/>
    <w:rsid w:val="14A16D5C"/>
    <w:rsid w:val="14AA6775"/>
    <w:rsid w:val="14B940A6"/>
    <w:rsid w:val="14C01F6E"/>
    <w:rsid w:val="14C667C2"/>
    <w:rsid w:val="14E629C1"/>
    <w:rsid w:val="14FA380C"/>
    <w:rsid w:val="14FB646C"/>
    <w:rsid w:val="15015A4D"/>
    <w:rsid w:val="15076514"/>
    <w:rsid w:val="151B08BC"/>
    <w:rsid w:val="151D2886"/>
    <w:rsid w:val="152A0AFF"/>
    <w:rsid w:val="152F25BA"/>
    <w:rsid w:val="153320AA"/>
    <w:rsid w:val="154D0C92"/>
    <w:rsid w:val="154E3A52"/>
    <w:rsid w:val="155E2E9F"/>
    <w:rsid w:val="15714980"/>
    <w:rsid w:val="159B37AB"/>
    <w:rsid w:val="15A5287C"/>
    <w:rsid w:val="15AC3C0A"/>
    <w:rsid w:val="15B036FB"/>
    <w:rsid w:val="15C03212"/>
    <w:rsid w:val="15CA3CDD"/>
    <w:rsid w:val="15D3486C"/>
    <w:rsid w:val="15E2762C"/>
    <w:rsid w:val="161F618A"/>
    <w:rsid w:val="16247C45"/>
    <w:rsid w:val="162C539E"/>
    <w:rsid w:val="166C4E41"/>
    <w:rsid w:val="1675166E"/>
    <w:rsid w:val="16881F81"/>
    <w:rsid w:val="16A843D2"/>
    <w:rsid w:val="16AB2114"/>
    <w:rsid w:val="16CA189C"/>
    <w:rsid w:val="16CE51E9"/>
    <w:rsid w:val="16F13FCB"/>
    <w:rsid w:val="16F74D42"/>
    <w:rsid w:val="17081314"/>
    <w:rsid w:val="170D4E5D"/>
    <w:rsid w:val="171323D2"/>
    <w:rsid w:val="17255A22"/>
    <w:rsid w:val="173159F1"/>
    <w:rsid w:val="17503446"/>
    <w:rsid w:val="17555BDC"/>
    <w:rsid w:val="175E3CFD"/>
    <w:rsid w:val="175E3E19"/>
    <w:rsid w:val="175E43D3"/>
    <w:rsid w:val="17611D6A"/>
    <w:rsid w:val="17636F90"/>
    <w:rsid w:val="177469AA"/>
    <w:rsid w:val="179761F4"/>
    <w:rsid w:val="17AC6144"/>
    <w:rsid w:val="17C214C3"/>
    <w:rsid w:val="17C34EE7"/>
    <w:rsid w:val="17E06F0D"/>
    <w:rsid w:val="17E838C7"/>
    <w:rsid w:val="17E841F0"/>
    <w:rsid w:val="17EE187A"/>
    <w:rsid w:val="180F4434"/>
    <w:rsid w:val="181D0DEF"/>
    <w:rsid w:val="18475E6C"/>
    <w:rsid w:val="18477C1A"/>
    <w:rsid w:val="1853036D"/>
    <w:rsid w:val="1854459C"/>
    <w:rsid w:val="1870071C"/>
    <w:rsid w:val="18736C61"/>
    <w:rsid w:val="18A961DF"/>
    <w:rsid w:val="18AC53DF"/>
    <w:rsid w:val="18AF0101"/>
    <w:rsid w:val="18C474BD"/>
    <w:rsid w:val="18DA1DC8"/>
    <w:rsid w:val="18EF453A"/>
    <w:rsid w:val="18F25DD8"/>
    <w:rsid w:val="18F733EE"/>
    <w:rsid w:val="19020A55"/>
    <w:rsid w:val="1907517C"/>
    <w:rsid w:val="190B731E"/>
    <w:rsid w:val="191F64A1"/>
    <w:rsid w:val="193F0930"/>
    <w:rsid w:val="19832ED4"/>
    <w:rsid w:val="19882298"/>
    <w:rsid w:val="198A4263"/>
    <w:rsid w:val="19962C07"/>
    <w:rsid w:val="199B6470"/>
    <w:rsid w:val="19A26E60"/>
    <w:rsid w:val="19CC03D7"/>
    <w:rsid w:val="19DE1BE9"/>
    <w:rsid w:val="19E014E6"/>
    <w:rsid w:val="19EE47F1"/>
    <w:rsid w:val="19F5712E"/>
    <w:rsid w:val="19FD744C"/>
    <w:rsid w:val="1A0069EE"/>
    <w:rsid w:val="1A1678A4"/>
    <w:rsid w:val="1A267911"/>
    <w:rsid w:val="1A514D80"/>
    <w:rsid w:val="1A686394"/>
    <w:rsid w:val="1A766595"/>
    <w:rsid w:val="1A930EF5"/>
    <w:rsid w:val="1A9B78E3"/>
    <w:rsid w:val="1A9D1D74"/>
    <w:rsid w:val="1AE1489F"/>
    <w:rsid w:val="1AE856E5"/>
    <w:rsid w:val="1AE94FB9"/>
    <w:rsid w:val="1B154000"/>
    <w:rsid w:val="1B283D33"/>
    <w:rsid w:val="1B326960"/>
    <w:rsid w:val="1B362FB2"/>
    <w:rsid w:val="1B7444D0"/>
    <w:rsid w:val="1BA3160C"/>
    <w:rsid w:val="1BB750B7"/>
    <w:rsid w:val="1BCA1716"/>
    <w:rsid w:val="1BCD03EF"/>
    <w:rsid w:val="1BEC2850"/>
    <w:rsid w:val="1BF53B0B"/>
    <w:rsid w:val="1C191753"/>
    <w:rsid w:val="1C273FEB"/>
    <w:rsid w:val="1C32160C"/>
    <w:rsid w:val="1C450915"/>
    <w:rsid w:val="1C4F677C"/>
    <w:rsid w:val="1C8651B5"/>
    <w:rsid w:val="1C8B6F24"/>
    <w:rsid w:val="1C980A44"/>
    <w:rsid w:val="1C9F1DD3"/>
    <w:rsid w:val="1CC77DA9"/>
    <w:rsid w:val="1CD53A47"/>
    <w:rsid w:val="1CD852E5"/>
    <w:rsid w:val="1CE13E99"/>
    <w:rsid w:val="1CE40584"/>
    <w:rsid w:val="1CF739BD"/>
    <w:rsid w:val="1D091942"/>
    <w:rsid w:val="1D2C234D"/>
    <w:rsid w:val="1D2D3883"/>
    <w:rsid w:val="1D352737"/>
    <w:rsid w:val="1D4604A0"/>
    <w:rsid w:val="1D864D41"/>
    <w:rsid w:val="1DA5166B"/>
    <w:rsid w:val="1DC16D85"/>
    <w:rsid w:val="1DCD2970"/>
    <w:rsid w:val="1DED3012"/>
    <w:rsid w:val="1DFC3255"/>
    <w:rsid w:val="1E05035C"/>
    <w:rsid w:val="1E0A5972"/>
    <w:rsid w:val="1E3F177C"/>
    <w:rsid w:val="1E4D69E5"/>
    <w:rsid w:val="1E7948A6"/>
    <w:rsid w:val="1E935967"/>
    <w:rsid w:val="1E9DBD0B"/>
    <w:rsid w:val="1E9E3B55"/>
    <w:rsid w:val="1EA20F54"/>
    <w:rsid w:val="1EA27958"/>
    <w:rsid w:val="1EB107C7"/>
    <w:rsid w:val="1EB3600A"/>
    <w:rsid w:val="1EBF584C"/>
    <w:rsid w:val="1ED5486E"/>
    <w:rsid w:val="1EDD7BF3"/>
    <w:rsid w:val="1EE00481"/>
    <w:rsid w:val="1EF87EC0"/>
    <w:rsid w:val="1F0979D8"/>
    <w:rsid w:val="1F1B03F8"/>
    <w:rsid w:val="1F205CCE"/>
    <w:rsid w:val="1F7019FE"/>
    <w:rsid w:val="1F705CA9"/>
    <w:rsid w:val="1F8C2552"/>
    <w:rsid w:val="1F9A0F77"/>
    <w:rsid w:val="1FBF278C"/>
    <w:rsid w:val="1FE8583F"/>
    <w:rsid w:val="1FFC40E1"/>
    <w:rsid w:val="20450EE3"/>
    <w:rsid w:val="20476A09"/>
    <w:rsid w:val="20582F84"/>
    <w:rsid w:val="20767191"/>
    <w:rsid w:val="20B10327"/>
    <w:rsid w:val="20BF3588"/>
    <w:rsid w:val="20D81D57"/>
    <w:rsid w:val="20FB267F"/>
    <w:rsid w:val="21050673"/>
    <w:rsid w:val="210C7C53"/>
    <w:rsid w:val="210D399D"/>
    <w:rsid w:val="211C0882"/>
    <w:rsid w:val="2144119B"/>
    <w:rsid w:val="21621621"/>
    <w:rsid w:val="21751354"/>
    <w:rsid w:val="21845A3B"/>
    <w:rsid w:val="219C4B33"/>
    <w:rsid w:val="21A25EC1"/>
    <w:rsid w:val="21B06830"/>
    <w:rsid w:val="21BF6CED"/>
    <w:rsid w:val="21D56297"/>
    <w:rsid w:val="21FA5CFD"/>
    <w:rsid w:val="222D5373"/>
    <w:rsid w:val="222E3A1A"/>
    <w:rsid w:val="224A27E1"/>
    <w:rsid w:val="226F3DF9"/>
    <w:rsid w:val="228026A7"/>
    <w:rsid w:val="228201CD"/>
    <w:rsid w:val="228F6446"/>
    <w:rsid w:val="229E741D"/>
    <w:rsid w:val="22A55C69"/>
    <w:rsid w:val="22B67B82"/>
    <w:rsid w:val="22CA3922"/>
    <w:rsid w:val="22D14673"/>
    <w:rsid w:val="22D95913"/>
    <w:rsid w:val="22DF73CD"/>
    <w:rsid w:val="22E4624E"/>
    <w:rsid w:val="22F97D63"/>
    <w:rsid w:val="23007343"/>
    <w:rsid w:val="2322731E"/>
    <w:rsid w:val="232E3EB1"/>
    <w:rsid w:val="233A4603"/>
    <w:rsid w:val="23611AE3"/>
    <w:rsid w:val="237733D9"/>
    <w:rsid w:val="23810484"/>
    <w:rsid w:val="23966C6F"/>
    <w:rsid w:val="23A55DA4"/>
    <w:rsid w:val="23A61C99"/>
    <w:rsid w:val="23A81EB5"/>
    <w:rsid w:val="23CD1928"/>
    <w:rsid w:val="240D1D18"/>
    <w:rsid w:val="241F1A4B"/>
    <w:rsid w:val="2443398C"/>
    <w:rsid w:val="24520CA3"/>
    <w:rsid w:val="24660589"/>
    <w:rsid w:val="247B55C5"/>
    <w:rsid w:val="24822706"/>
    <w:rsid w:val="24861ACA"/>
    <w:rsid w:val="24883A94"/>
    <w:rsid w:val="24A24B56"/>
    <w:rsid w:val="24C70EF2"/>
    <w:rsid w:val="24DB3BC4"/>
    <w:rsid w:val="24FA50EA"/>
    <w:rsid w:val="24FF2E71"/>
    <w:rsid w:val="25071D86"/>
    <w:rsid w:val="250A26FB"/>
    <w:rsid w:val="250C0222"/>
    <w:rsid w:val="25175517"/>
    <w:rsid w:val="25317C88"/>
    <w:rsid w:val="25387269"/>
    <w:rsid w:val="25513E86"/>
    <w:rsid w:val="256D0462"/>
    <w:rsid w:val="257F6C45"/>
    <w:rsid w:val="25902C01"/>
    <w:rsid w:val="2593449F"/>
    <w:rsid w:val="25A8248F"/>
    <w:rsid w:val="25B659A0"/>
    <w:rsid w:val="25DC2065"/>
    <w:rsid w:val="25E82A3D"/>
    <w:rsid w:val="26045C60"/>
    <w:rsid w:val="26280FB8"/>
    <w:rsid w:val="2628108B"/>
    <w:rsid w:val="264458DF"/>
    <w:rsid w:val="264834DB"/>
    <w:rsid w:val="265E2CFF"/>
    <w:rsid w:val="26753BA5"/>
    <w:rsid w:val="26891D15"/>
    <w:rsid w:val="268F4733"/>
    <w:rsid w:val="26993D37"/>
    <w:rsid w:val="26A60202"/>
    <w:rsid w:val="26BE379D"/>
    <w:rsid w:val="26CF59AB"/>
    <w:rsid w:val="26D94B49"/>
    <w:rsid w:val="26DB004C"/>
    <w:rsid w:val="26EA27E4"/>
    <w:rsid w:val="270218DC"/>
    <w:rsid w:val="270C62B7"/>
    <w:rsid w:val="270D202F"/>
    <w:rsid w:val="27111B1F"/>
    <w:rsid w:val="272D0F38"/>
    <w:rsid w:val="2737519E"/>
    <w:rsid w:val="273B094A"/>
    <w:rsid w:val="27443084"/>
    <w:rsid w:val="27581276"/>
    <w:rsid w:val="278510AA"/>
    <w:rsid w:val="278D7BBD"/>
    <w:rsid w:val="27AC1848"/>
    <w:rsid w:val="27AC700D"/>
    <w:rsid w:val="27B32BD6"/>
    <w:rsid w:val="27C052F3"/>
    <w:rsid w:val="27ED433A"/>
    <w:rsid w:val="28072F22"/>
    <w:rsid w:val="28313741"/>
    <w:rsid w:val="283830DC"/>
    <w:rsid w:val="2859377E"/>
    <w:rsid w:val="28623F84"/>
    <w:rsid w:val="2867707F"/>
    <w:rsid w:val="28724840"/>
    <w:rsid w:val="28771E56"/>
    <w:rsid w:val="28893937"/>
    <w:rsid w:val="28944BAE"/>
    <w:rsid w:val="28956F38"/>
    <w:rsid w:val="28C11323"/>
    <w:rsid w:val="28D6498F"/>
    <w:rsid w:val="28F60FCD"/>
    <w:rsid w:val="29015BC3"/>
    <w:rsid w:val="290870F3"/>
    <w:rsid w:val="292A4F60"/>
    <w:rsid w:val="29323FCF"/>
    <w:rsid w:val="2939710B"/>
    <w:rsid w:val="2944442E"/>
    <w:rsid w:val="29453D02"/>
    <w:rsid w:val="294A30C6"/>
    <w:rsid w:val="295D729E"/>
    <w:rsid w:val="29844A21"/>
    <w:rsid w:val="29A07F2C"/>
    <w:rsid w:val="29C92DE2"/>
    <w:rsid w:val="29D82462"/>
    <w:rsid w:val="29DB01C2"/>
    <w:rsid w:val="29E72052"/>
    <w:rsid w:val="29E96D83"/>
    <w:rsid w:val="29FB319D"/>
    <w:rsid w:val="2A0B0AA8"/>
    <w:rsid w:val="2A175AF9"/>
    <w:rsid w:val="2A383867"/>
    <w:rsid w:val="2A3B6ADF"/>
    <w:rsid w:val="2A3E2317"/>
    <w:rsid w:val="2A6428AE"/>
    <w:rsid w:val="2A66642C"/>
    <w:rsid w:val="2A6F54DA"/>
    <w:rsid w:val="2A7725E1"/>
    <w:rsid w:val="2A830F86"/>
    <w:rsid w:val="2A8B7E3A"/>
    <w:rsid w:val="2A900FAD"/>
    <w:rsid w:val="2A930A9D"/>
    <w:rsid w:val="2ABC6246"/>
    <w:rsid w:val="2AC05D36"/>
    <w:rsid w:val="2ACB0237"/>
    <w:rsid w:val="2AD1624A"/>
    <w:rsid w:val="2AE412F9"/>
    <w:rsid w:val="2AE80DE9"/>
    <w:rsid w:val="2AF3387C"/>
    <w:rsid w:val="2AFB6D6E"/>
    <w:rsid w:val="2B065713"/>
    <w:rsid w:val="2B3F23E7"/>
    <w:rsid w:val="2B572D95"/>
    <w:rsid w:val="2B7408CF"/>
    <w:rsid w:val="2B807273"/>
    <w:rsid w:val="2B8247D2"/>
    <w:rsid w:val="2B872ED7"/>
    <w:rsid w:val="2BC7343E"/>
    <w:rsid w:val="2BD1187D"/>
    <w:rsid w:val="2BD20463"/>
    <w:rsid w:val="2BD63337"/>
    <w:rsid w:val="2BE42114"/>
    <w:rsid w:val="2BEC66B7"/>
    <w:rsid w:val="2BF05768"/>
    <w:rsid w:val="2BF832AE"/>
    <w:rsid w:val="2C0307A3"/>
    <w:rsid w:val="2C21378B"/>
    <w:rsid w:val="2C4958B7"/>
    <w:rsid w:val="2C5875CB"/>
    <w:rsid w:val="2C640943"/>
    <w:rsid w:val="2C6E6C8C"/>
    <w:rsid w:val="2C7212B2"/>
    <w:rsid w:val="2C730BBA"/>
    <w:rsid w:val="2CDC497D"/>
    <w:rsid w:val="2CDC7A4B"/>
    <w:rsid w:val="2CF41CC7"/>
    <w:rsid w:val="2D6911F0"/>
    <w:rsid w:val="2D7E652C"/>
    <w:rsid w:val="2D8E795D"/>
    <w:rsid w:val="2D9432B6"/>
    <w:rsid w:val="2D980FAF"/>
    <w:rsid w:val="2DD41AF8"/>
    <w:rsid w:val="2E04632A"/>
    <w:rsid w:val="2E0949AC"/>
    <w:rsid w:val="2E175BCA"/>
    <w:rsid w:val="2E206AEC"/>
    <w:rsid w:val="2E383E35"/>
    <w:rsid w:val="2E3D31FA"/>
    <w:rsid w:val="2E5F13C2"/>
    <w:rsid w:val="2E6E7857"/>
    <w:rsid w:val="2E786928"/>
    <w:rsid w:val="2E901010"/>
    <w:rsid w:val="2E965B15"/>
    <w:rsid w:val="2ED27DE6"/>
    <w:rsid w:val="2EE67CD4"/>
    <w:rsid w:val="2EEE2746"/>
    <w:rsid w:val="2EF30CD1"/>
    <w:rsid w:val="2F0C331C"/>
    <w:rsid w:val="2F177EEF"/>
    <w:rsid w:val="2F1E6C0C"/>
    <w:rsid w:val="2F4033C5"/>
    <w:rsid w:val="2F416D1A"/>
    <w:rsid w:val="2F503ECF"/>
    <w:rsid w:val="2F522CD5"/>
    <w:rsid w:val="2F5606BB"/>
    <w:rsid w:val="2F662C24"/>
    <w:rsid w:val="2F6D62A6"/>
    <w:rsid w:val="2F8F217B"/>
    <w:rsid w:val="2FAD43AF"/>
    <w:rsid w:val="2FB614B6"/>
    <w:rsid w:val="2FD14541"/>
    <w:rsid w:val="2FD908D5"/>
    <w:rsid w:val="2FE04785"/>
    <w:rsid w:val="2FE36023"/>
    <w:rsid w:val="2FED3DE1"/>
    <w:rsid w:val="2FEE6C2B"/>
    <w:rsid w:val="30090A4C"/>
    <w:rsid w:val="3020552E"/>
    <w:rsid w:val="30230610"/>
    <w:rsid w:val="30403475"/>
    <w:rsid w:val="304212B8"/>
    <w:rsid w:val="30647164"/>
    <w:rsid w:val="306B59C4"/>
    <w:rsid w:val="307373A7"/>
    <w:rsid w:val="30803872"/>
    <w:rsid w:val="309D2676"/>
    <w:rsid w:val="30A05CC2"/>
    <w:rsid w:val="30A9101A"/>
    <w:rsid w:val="30CC4D09"/>
    <w:rsid w:val="30E6401D"/>
    <w:rsid w:val="30F1651D"/>
    <w:rsid w:val="30FA1876"/>
    <w:rsid w:val="30FD34B3"/>
    <w:rsid w:val="311961A0"/>
    <w:rsid w:val="31224929"/>
    <w:rsid w:val="312468F3"/>
    <w:rsid w:val="31570A76"/>
    <w:rsid w:val="315F792B"/>
    <w:rsid w:val="31682C84"/>
    <w:rsid w:val="318F0210"/>
    <w:rsid w:val="319D5A1B"/>
    <w:rsid w:val="319F398A"/>
    <w:rsid w:val="31AD77A6"/>
    <w:rsid w:val="31C34087"/>
    <w:rsid w:val="31F14A27"/>
    <w:rsid w:val="31FE7144"/>
    <w:rsid w:val="321B7CF6"/>
    <w:rsid w:val="321D3A6E"/>
    <w:rsid w:val="323B2146"/>
    <w:rsid w:val="32594346"/>
    <w:rsid w:val="3260630E"/>
    <w:rsid w:val="326E7E26"/>
    <w:rsid w:val="327318E0"/>
    <w:rsid w:val="32851613"/>
    <w:rsid w:val="328B5B25"/>
    <w:rsid w:val="32902492"/>
    <w:rsid w:val="3296737C"/>
    <w:rsid w:val="32AE7C54"/>
    <w:rsid w:val="32C043F9"/>
    <w:rsid w:val="32E203C0"/>
    <w:rsid w:val="32E427DE"/>
    <w:rsid w:val="32EE12BF"/>
    <w:rsid w:val="33182487"/>
    <w:rsid w:val="3337290D"/>
    <w:rsid w:val="335222DF"/>
    <w:rsid w:val="336E6E75"/>
    <w:rsid w:val="337D170B"/>
    <w:rsid w:val="338C5C79"/>
    <w:rsid w:val="339C70EE"/>
    <w:rsid w:val="33C6541B"/>
    <w:rsid w:val="33E61686"/>
    <w:rsid w:val="33F407FF"/>
    <w:rsid w:val="340440DB"/>
    <w:rsid w:val="341E1017"/>
    <w:rsid w:val="342A2472"/>
    <w:rsid w:val="342F5CDB"/>
    <w:rsid w:val="3442156A"/>
    <w:rsid w:val="346E53C6"/>
    <w:rsid w:val="3481782D"/>
    <w:rsid w:val="349F0D00"/>
    <w:rsid w:val="34E938F8"/>
    <w:rsid w:val="351F7AFD"/>
    <w:rsid w:val="35313DB7"/>
    <w:rsid w:val="353A66E5"/>
    <w:rsid w:val="355377A7"/>
    <w:rsid w:val="357C4F4F"/>
    <w:rsid w:val="35814314"/>
    <w:rsid w:val="35906305"/>
    <w:rsid w:val="35BC359E"/>
    <w:rsid w:val="35BE7938"/>
    <w:rsid w:val="35CF32D1"/>
    <w:rsid w:val="35D609C2"/>
    <w:rsid w:val="35ED7BFB"/>
    <w:rsid w:val="360C1C1F"/>
    <w:rsid w:val="362353CB"/>
    <w:rsid w:val="36260A17"/>
    <w:rsid w:val="36401AD9"/>
    <w:rsid w:val="36657792"/>
    <w:rsid w:val="36853990"/>
    <w:rsid w:val="3699743B"/>
    <w:rsid w:val="36B62E57"/>
    <w:rsid w:val="36C71D39"/>
    <w:rsid w:val="36D509BD"/>
    <w:rsid w:val="36D6068F"/>
    <w:rsid w:val="371B60A2"/>
    <w:rsid w:val="37411FAD"/>
    <w:rsid w:val="375021F0"/>
    <w:rsid w:val="375B08FF"/>
    <w:rsid w:val="375F2433"/>
    <w:rsid w:val="377C467F"/>
    <w:rsid w:val="379245B6"/>
    <w:rsid w:val="379508A6"/>
    <w:rsid w:val="379A3A9E"/>
    <w:rsid w:val="37A472BB"/>
    <w:rsid w:val="37B44180"/>
    <w:rsid w:val="37C60704"/>
    <w:rsid w:val="37CF2144"/>
    <w:rsid w:val="3810372D"/>
    <w:rsid w:val="381A30F5"/>
    <w:rsid w:val="382D2531"/>
    <w:rsid w:val="38305B7D"/>
    <w:rsid w:val="38412978"/>
    <w:rsid w:val="384977AD"/>
    <w:rsid w:val="3851753C"/>
    <w:rsid w:val="385B0E4C"/>
    <w:rsid w:val="38C033A5"/>
    <w:rsid w:val="38CA7D80"/>
    <w:rsid w:val="38CD2F41"/>
    <w:rsid w:val="38D16F80"/>
    <w:rsid w:val="38DB4964"/>
    <w:rsid w:val="38EA7CFE"/>
    <w:rsid w:val="38EE1CC0"/>
    <w:rsid w:val="38F0269B"/>
    <w:rsid w:val="38F207D6"/>
    <w:rsid w:val="38FD0155"/>
    <w:rsid w:val="393260E7"/>
    <w:rsid w:val="393D49F6"/>
    <w:rsid w:val="39537D75"/>
    <w:rsid w:val="397321C6"/>
    <w:rsid w:val="398E69FC"/>
    <w:rsid w:val="399860D0"/>
    <w:rsid w:val="39BB0DEF"/>
    <w:rsid w:val="39EB599F"/>
    <w:rsid w:val="39EE7A9E"/>
    <w:rsid w:val="39F86974"/>
    <w:rsid w:val="39FD01AF"/>
    <w:rsid w:val="39FE7CD2"/>
    <w:rsid w:val="3A64183E"/>
    <w:rsid w:val="3A6A35C8"/>
    <w:rsid w:val="3A773F37"/>
    <w:rsid w:val="3A813937"/>
    <w:rsid w:val="3A823F5C"/>
    <w:rsid w:val="3A914FF9"/>
    <w:rsid w:val="3A9952B8"/>
    <w:rsid w:val="3AA36ADA"/>
    <w:rsid w:val="3AA61025"/>
    <w:rsid w:val="3ABF721B"/>
    <w:rsid w:val="3ACC532D"/>
    <w:rsid w:val="3AD4138A"/>
    <w:rsid w:val="3ADD1FEC"/>
    <w:rsid w:val="3AE27603"/>
    <w:rsid w:val="3B3140E6"/>
    <w:rsid w:val="3B392F9B"/>
    <w:rsid w:val="3B7D557D"/>
    <w:rsid w:val="3B926229"/>
    <w:rsid w:val="3B9A7EDD"/>
    <w:rsid w:val="3BA82A38"/>
    <w:rsid w:val="3BB15227"/>
    <w:rsid w:val="3BB70A8F"/>
    <w:rsid w:val="3BD32474"/>
    <w:rsid w:val="3BE21884"/>
    <w:rsid w:val="3BE41159"/>
    <w:rsid w:val="3C083348"/>
    <w:rsid w:val="3C20265B"/>
    <w:rsid w:val="3C2C521D"/>
    <w:rsid w:val="3C2D6FA3"/>
    <w:rsid w:val="3C3B72FF"/>
    <w:rsid w:val="3C3E10BB"/>
    <w:rsid w:val="3CB1259C"/>
    <w:rsid w:val="3CCD01CF"/>
    <w:rsid w:val="3CE05DC4"/>
    <w:rsid w:val="3CF17FD1"/>
    <w:rsid w:val="3CF40F67"/>
    <w:rsid w:val="3CFE26EE"/>
    <w:rsid w:val="3D1729DA"/>
    <w:rsid w:val="3D1912D6"/>
    <w:rsid w:val="3D3808F7"/>
    <w:rsid w:val="3D3D6D72"/>
    <w:rsid w:val="3D436353"/>
    <w:rsid w:val="3D4520CB"/>
    <w:rsid w:val="3D5854BC"/>
    <w:rsid w:val="3D631F35"/>
    <w:rsid w:val="3D651D55"/>
    <w:rsid w:val="3D734E8A"/>
    <w:rsid w:val="3DAF631F"/>
    <w:rsid w:val="3DBF00CF"/>
    <w:rsid w:val="3DC94AAA"/>
    <w:rsid w:val="3DD0408A"/>
    <w:rsid w:val="3DD75419"/>
    <w:rsid w:val="3DDA2813"/>
    <w:rsid w:val="3DDD2AD7"/>
    <w:rsid w:val="3DE713D4"/>
    <w:rsid w:val="3E06185A"/>
    <w:rsid w:val="3E063608"/>
    <w:rsid w:val="3E0728CE"/>
    <w:rsid w:val="3E0E6961"/>
    <w:rsid w:val="3E167085"/>
    <w:rsid w:val="3E1F0B6E"/>
    <w:rsid w:val="3E1F46CA"/>
    <w:rsid w:val="3E263682"/>
    <w:rsid w:val="3E3363C7"/>
    <w:rsid w:val="3E344619"/>
    <w:rsid w:val="3E410AE4"/>
    <w:rsid w:val="3E412892"/>
    <w:rsid w:val="3E622809"/>
    <w:rsid w:val="3E6842C3"/>
    <w:rsid w:val="3E773E46"/>
    <w:rsid w:val="3EAB2402"/>
    <w:rsid w:val="3EB2553E"/>
    <w:rsid w:val="3EB72464"/>
    <w:rsid w:val="3EBE2135"/>
    <w:rsid w:val="3EC16814"/>
    <w:rsid w:val="3ED92ACB"/>
    <w:rsid w:val="3EF23B8C"/>
    <w:rsid w:val="3F022566"/>
    <w:rsid w:val="3F283A52"/>
    <w:rsid w:val="3F40206E"/>
    <w:rsid w:val="3F520ACF"/>
    <w:rsid w:val="3F5C4D83"/>
    <w:rsid w:val="3F610664"/>
    <w:rsid w:val="3F8769CB"/>
    <w:rsid w:val="3FB672B0"/>
    <w:rsid w:val="3FC419CD"/>
    <w:rsid w:val="3FC8246F"/>
    <w:rsid w:val="3FF43934"/>
    <w:rsid w:val="40063F3B"/>
    <w:rsid w:val="4010076E"/>
    <w:rsid w:val="401A4D5C"/>
    <w:rsid w:val="403E188E"/>
    <w:rsid w:val="40550877"/>
    <w:rsid w:val="40662A84"/>
    <w:rsid w:val="40842F0A"/>
    <w:rsid w:val="40925627"/>
    <w:rsid w:val="4099122F"/>
    <w:rsid w:val="40AB0497"/>
    <w:rsid w:val="40B90E06"/>
    <w:rsid w:val="40C559FD"/>
    <w:rsid w:val="40D65AC5"/>
    <w:rsid w:val="40F605C1"/>
    <w:rsid w:val="40F96CE8"/>
    <w:rsid w:val="40FB7778"/>
    <w:rsid w:val="41200E85"/>
    <w:rsid w:val="413063AB"/>
    <w:rsid w:val="41316F34"/>
    <w:rsid w:val="414508EB"/>
    <w:rsid w:val="415428DD"/>
    <w:rsid w:val="41676AB4"/>
    <w:rsid w:val="419D447B"/>
    <w:rsid w:val="419E0AA1"/>
    <w:rsid w:val="41C71300"/>
    <w:rsid w:val="41DC2347"/>
    <w:rsid w:val="41FA23F0"/>
    <w:rsid w:val="420C1409"/>
    <w:rsid w:val="42166F4E"/>
    <w:rsid w:val="421B7C1E"/>
    <w:rsid w:val="422E312E"/>
    <w:rsid w:val="424741EF"/>
    <w:rsid w:val="42622A3F"/>
    <w:rsid w:val="42686DAA"/>
    <w:rsid w:val="426B4382"/>
    <w:rsid w:val="426B6130"/>
    <w:rsid w:val="42823479"/>
    <w:rsid w:val="42846E8E"/>
    <w:rsid w:val="42871AEA"/>
    <w:rsid w:val="42975177"/>
    <w:rsid w:val="42BF022A"/>
    <w:rsid w:val="42CC3426"/>
    <w:rsid w:val="42D44BBD"/>
    <w:rsid w:val="42DE4F84"/>
    <w:rsid w:val="431E13F4"/>
    <w:rsid w:val="4320516C"/>
    <w:rsid w:val="43234C5C"/>
    <w:rsid w:val="43452E25"/>
    <w:rsid w:val="43496F4C"/>
    <w:rsid w:val="434A21E9"/>
    <w:rsid w:val="4364501E"/>
    <w:rsid w:val="4365306C"/>
    <w:rsid w:val="439671DC"/>
    <w:rsid w:val="43D321DE"/>
    <w:rsid w:val="43EE1136"/>
    <w:rsid w:val="443C4228"/>
    <w:rsid w:val="44466E54"/>
    <w:rsid w:val="445552E9"/>
    <w:rsid w:val="446D4262"/>
    <w:rsid w:val="44890AEF"/>
    <w:rsid w:val="44D34460"/>
    <w:rsid w:val="44EE0237"/>
    <w:rsid w:val="44F01B54"/>
    <w:rsid w:val="44FA379B"/>
    <w:rsid w:val="45027F52"/>
    <w:rsid w:val="452B429C"/>
    <w:rsid w:val="455B3BBA"/>
    <w:rsid w:val="45603DD6"/>
    <w:rsid w:val="45612673"/>
    <w:rsid w:val="4585575A"/>
    <w:rsid w:val="45B20A0F"/>
    <w:rsid w:val="45B846D6"/>
    <w:rsid w:val="45C7751F"/>
    <w:rsid w:val="45D20F7D"/>
    <w:rsid w:val="45E47879"/>
    <w:rsid w:val="45EC57D9"/>
    <w:rsid w:val="45F11042"/>
    <w:rsid w:val="45FE72BB"/>
    <w:rsid w:val="46072613"/>
    <w:rsid w:val="46252A99"/>
    <w:rsid w:val="463158E2"/>
    <w:rsid w:val="46380A1F"/>
    <w:rsid w:val="46685890"/>
    <w:rsid w:val="46761547"/>
    <w:rsid w:val="4690085B"/>
    <w:rsid w:val="4698326B"/>
    <w:rsid w:val="469E0229"/>
    <w:rsid w:val="46B1257F"/>
    <w:rsid w:val="46D5626E"/>
    <w:rsid w:val="46E841F3"/>
    <w:rsid w:val="46F549B4"/>
    <w:rsid w:val="46FA5CD4"/>
    <w:rsid w:val="470152B5"/>
    <w:rsid w:val="470C01AE"/>
    <w:rsid w:val="471042CE"/>
    <w:rsid w:val="4723522B"/>
    <w:rsid w:val="47264D1B"/>
    <w:rsid w:val="473476FC"/>
    <w:rsid w:val="47431429"/>
    <w:rsid w:val="47492772"/>
    <w:rsid w:val="47573126"/>
    <w:rsid w:val="477C1EAB"/>
    <w:rsid w:val="478B4B7E"/>
    <w:rsid w:val="478D7141"/>
    <w:rsid w:val="47940560"/>
    <w:rsid w:val="47981849"/>
    <w:rsid w:val="47B440D5"/>
    <w:rsid w:val="47C25E39"/>
    <w:rsid w:val="47CF4628"/>
    <w:rsid w:val="47DD1AF7"/>
    <w:rsid w:val="48063096"/>
    <w:rsid w:val="48074089"/>
    <w:rsid w:val="480F3A01"/>
    <w:rsid w:val="482B7945"/>
    <w:rsid w:val="483A1140"/>
    <w:rsid w:val="483A4554"/>
    <w:rsid w:val="484E277B"/>
    <w:rsid w:val="486C72C0"/>
    <w:rsid w:val="489155C8"/>
    <w:rsid w:val="489A151D"/>
    <w:rsid w:val="48B00D40"/>
    <w:rsid w:val="48BB76E5"/>
    <w:rsid w:val="48E00EFA"/>
    <w:rsid w:val="48EC5AF0"/>
    <w:rsid w:val="48F84470"/>
    <w:rsid w:val="4904531A"/>
    <w:rsid w:val="491F6F81"/>
    <w:rsid w:val="4922704D"/>
    <w:rsid w:val="494D47E1"/>
    <w:rsid w:val="49673F35"/>
    <w:rsid w:val="49747FC0"/>
    <w:rsid w:val="497F36BE"/>
    <w:rsid w:val="4997621F"/>
    <w:rsid w:val="49A53698"/>
    <w:rsid w:val="49C12AD9"/>
    <w:rsid w:val="49D0319A"/>
    <w:rsid w:val="4A031344"/>
    <w:rsid w:val="4A21665E"/>
    <w:rsid w:val="4A8D34C0"/>
    <w:rsid w:val="4A8E0ECE"/>
    <w:rsid w:val="4AD7205D"/>
    <w:rsid w:val="4ADD6D8E"/>
    <w:rsid w:val="4B02325D"/>
    <w:rsid w:val="4B0D48B0"/>
    <w:rsid w:val="4B143B2C"/>
    <w:rsid w:val="4B1D6435"/>
    <w:rsid w:val="4B2E0642"/>
    <w:rsid w:val="4B671FA9"/>
    <w:rsid w:val="4B7103C2"/>
    <w:rsid w:val="4B771FE9"/>
    <w:rsid w:val="4B7F2C4C"/>
    <w:rsid w:val="4B8B4DEE"/>
    <w:rsid w:val="4B9E420D"/>
    <w:rsid w:val="4BA40904"/>
    <w:rsid w:val="4BAD77B9"/>
    <w:rsid w:val="4BB328F5"/>
    <w:rsid w:val="4BBA1ED6"/>
    <w:rsid w:val="4BBA3C84"/>
    <w:rsid w:val="4BD16D6F"/>
    <w:rsid w:val="4BE11211"/>
    <w:rsid w:val="4BE156B5"/>
    <w:rsid w:val="4BE44D06"/>
    <w:rsid w:val="4BF54CBC"/>
    <w:rsid w:val="4C1930A0"/>
    <w:rsid w:val="4C24269D"/>
    <w:rsid w:val="4C431ECB"/>
    <w:rsid w:val="4C45481B"/>
    <w:rsid w:val="4C4579F1"/>
    <w:rsid w:val="4C465518"/>
    <w:rsid w:val="4C6A145D"/>
    <w:rsid w:val="4CBB7CB4"/>
    <w:rsid w:val="4CC96874"/>
    <w:rsid w:val="4CCE3E8B"/>
    <w:rsid w:val="4CE4720A"/>
    <w:rsid w:val="4CEA67EB"/>
    <w:rsid w:val="4CF02261"/>
    <w:rsid w:val="4CFB6302"/>
    <w:rsid w:val="4D0F6379"/>
    <w:rsid w:val="4D1760B7"/>
    <w:rsid w:val="4D2770F7"/>
    <w:rsid w:val="4D41354B"/>
    <w:rsid w:val="4D445EFB"/>
    <w:rsid w:val="4D626381"/>
    <w:rsid w:val="4D84279B"/>
    <w:rsid w:val="4DBF1A26"/>
    <w:rsid w:val="4DC4528E"/>
    <w:rsid w:val="4DDE00FE"/>
    <w:rsid w:val="4DE81C5E"/>
    <w:rsid w:val="4DE91067"/>
    <w:rsid w:val="4DF711BF"/>
    <w:rsid w:val="4E375DDA"/>
    <w:rsid w:val="4E571C5E"/>
    <w:rsid w:val="4E594E5D"/>
    <w:rsid w:val="4E6661CA"/>
    <w:rsid w:val="4E704ADB"/>
    <w:rsid w:val="4E76551D"/>
    <w:rsid w:val="4E797E26"/>
    <w:rsid w:val="4E920EE8"/>
    <w:rsid w:val="4E994F3D"/>
    <w:rsid w:val="4EA2112B"/>
    <w:rsid w:val="4EC372F3"/>
    <w:rsid w:val="4EC54E1A"/>
    <w:rsid w:val="4ECB7DF8"/>
    <w:rsid w:val="4EDF237F"/>
    <w:rsid w:val="4F1A59B8"/>
    <w:rsid w:val="4F2D4021"/>
    <w:rsid w:val="4F367AC5"/>
    <w:rsid w:val="4F457D08"/>
    <w:rsid w:val="4F562811"/>
    <w:rsid w:val="4F6F20D3"/>
    <w:rsid w:val="4F730D1A"/>
    <w:rsid w:val="4F74628A"/>
    <w:rsid w:val="4F8627FB"/>
    <w:rsid w:val="4F8B7E11"/>
    <w:rsid w:val="4F9273F2"/>
    <w:rsid w:val="4FD95020"/>
    <w:rsid w:val="4FE739C4"/>
    <w:rsid w:val="4FE85264"/>
    <w:rsid w:val="4FEE03A0"/>
    <w:rsid w:val="4FF97471"/>
    <w:rsid w:val="50081462"/>
    <w:rsid w:val="501F74AB"/>
    <w:rsid w:val="50325D21"/>
    <w:rsid w:val="50334005"/>
    <w:rsid w:val="503A0AC9"/>
    <w:rsid w:val="50586EC8"/>
    <w:rsid w:val="506574C6"/>
    <w:rsid w:val="5076286F"/>
    <w:rsid w:val="507C1E50"/>
    <w:rsid w:val="509727E6"/>
    <w:rsid w:val="509E3B74"/>
    <w:rsid w:val="50BE6A7A"/>
    <w:rsid w:val="50C01D3C"/>
    <w:rsid w:val="50DD469C"/>
    <w:rsid w:val="50E579F5"/>
    <w:rsid w:val="50EA57CF"/>
    <w:rsid w:val="50F33EC0"/>
    <w:rsid w:val="5127467D"/>
    <w:rsid w:val="514A5AAA"/>
    <w:rsid w:val="515A41E2"/>
    <w:rsid w:val="51644DBE"/>
    <w:rsid w:val="516B68C8"/>
    <w:rsid w:val="5176064D"/>
    <w:rsid w:val="51836B3F"/>
    <w:rsid w:val="51954F77"/>
    <w:rsid w:val="51B573C7"/>
    <w:rsid w:val="51BF3DA2"/>
    <w:rsid w:val="51BF5961"/>
    <w:rsid w:val="51D320A3"/>
    <w:rsid w:val="51E7154B"/>
    <w:rsid w:val="51EE6435"/>
    <w:rsid w:val="5223678D"/>
    <w:rsid w:val="522C7F68"/>
    <w:rsid w:val="522D1654"/>
    <w:rsid w:val="52392F23"/>
    <w:rsid w:val="52405F5A"/>
    <w:rsid w:val="527340EA"/>
    <w:rsid w:val="527E5C95"/>
    <w:rsid w:val="52A66D10"/>
    <w:rsid w:val="52B47EF4"/>
    <w:rsid w:val="52B72CCB"/>
    <w:rsid w:val="52D63A99"/>
    <w:rsid w:val="52DA35C6"/>
    <w:rsid w:val="52F42171"/>
    <w:rsid w:val="530028C4"/>
    <w:rsid w:val="5305612D"/>
    <w:rsid w:val="5311687F"/>
    <w:rsid w:val="532F31A9"/>
    <w:rsid w:val="532F3457"/>
    <w:rsid w:val="5334256E"/>
    <w:rsid w:val="53427A1B"/>
    <w:rsid w:val="53430A03"/>
    <w:rsid w:val="53487E20"/>
    <w:rsid w:val="534B31D2"/>
    <w:rsid w:val="534C5B09"/>
    <w:rsid w:val="53566988"/>
    <w:rsid w:val="536A41E2"/>
    <w:rsid w:val="53706852"/>
    <w:rsid w:val="538E6122"/>
    <w:rsid w:val="53B84F4D"/>
    <w:rsid w:val="53C2131D"/>
    <w:rsid w:val="53C2401E"/>
    <w:rsid w:val="53CF0730"/>
    <w:rsid w:val="53D22A0C"/>
    <w:rsid w:val="53D31D87"/>
    <w:rsid w:val="53F44044"/>
    <w:rsid w:val="53F47D47"/>
    <w:rsid w:val="53FA78AB"/>
    <w:rsid w:val="5415239F"/>
    <w:rsid w:val="54274BF4"/>
    <w:rsid w:val="5428561B"/>
    <w:rsid w:val="542E3166"/>
    <w:rsid w:val="543C348C"/>
    <w:rsid w:val="54413194"/>
    <w:rsid w:val="54556C40"/>
    <w:rsid w:val="54596730"/>
    <w:rsid w:val="546450D5"/>
    <w:rsid w:val="546D5D37"/>
    <w:rsid w:val="5484657D"/>
    <w:rsid w:val="54962A1D"/>
    <w:rsid w:val="54990292"/>
    <w:rsid w:val="54A656ED"/>
    <w:rsid w:val="54B716A8"/>
    <w:rsid w:val="54BE34CB"/>
    <w:rsid w:val="54CB6F02"/>
    <w:rsid w:val="54E1305C"/>
    <w:rsid w:val="54EA0F6C"/>
    <w:rsid w:val="54F31E22"/>
    <w:rsid w:val="54FC70BB"/>
    <w:rsid w:val="55006BAB"/>
    <w:rsid w:val="550A5C7C"/>
    <w:rsid w:val="55180399"/>
    <w:rsid w:val="554A067A"/>
    <w:rsid w:val="556F788D"/>
    <w:rsid w:val="5579695E"/>
    <w:rsid w:val="5586381E"/>
    <w:rsid w:val="559317CE"/>
    <w:rsid w:val="55A25EB5"/>
    <w:rsid w:val="55B13095"/>
    <w:rsid w:val="55BB0D24"/>
    <w:rsid w:val="55BF57CF"/>
    <w:rsid w:val="55C7591B"/>
    <w:rsid w:val="55CC1183"/>
    <w:rsid w:val="55D51F06"/>
    <w:rsid w:val="55D93123"/>
    <w:rsid w:val="55E62245"/>
    <w:rsid w:val="55E825E8"/>
    <w:rsid w:val="55F169BF"/>
    <w:rsid w:val="5606092B"/>
    <w:rsid w:val="56095F34"/>
    <w:rsid w:val="560A5808"/>
    <w:rsid w:val="561B6BEB"/>
    <w:rsid w:val="561D378D"/>
    <w:rsid w:val="5621502B"/>
    <w:rsid w:val="562A2B7D"/>
    <w:rsid w:val="564C7BCE"/>
    <w:rsid w:val="56510DF0"/>
    <w:rsid w:val="566E6115"/>
    <w:rsid w:val="56925F29"/>
    <w:rsid w:val="56A33C92"/>
    <w:rsid w:val="56C65BD3"/>
    <w:rsid w:val="56F20776"/>
    <w:rsid w:val="56F269C8"/>
    <w:rsid w:val="56F86492"/>
    <w:rsid w:val="570C3708"/>
    <w:rsid w:val="573043AD"/>
    <w:rsid w:val="57305CD9"/>
    <w:rsid w:val="575136EE"/>
    <w:rsid w:val="5753390A"/>
    <w:rsid w:val="57592280"/>
    <w:rsid w:val="57702786"/>
    <w:rsid w:val="577613A7"/>
    <w:rsid w:val="57974F35"/>
    <w:rsid w:val="579B203A"/>
    <w:rsid w:val="579B66F9"/>
    <w:rsid w:val="57AA2DFF"/>
    <w:rsid w:val="57AC4DC9"/>
    <w:rsid w:val="57C33EC0"/>
    <w:rsid w:val="57DF67F9"/>
    <w:rsid w:val="57F66683"/>
    <w:rsid w:val="580C3AB9"/>
    <w:rsid w:val="58270C9E"/>
    <w:rsid w:val="587753D7"/>
    <w:rsid w:val="58791ABD"/>
    <w:rsid w:val="587B479B"/>
    <w:rsid w:val="58A106A5"/>
    <w:rsid w:val="58EB36CF"/>
    <w:rsid w:val="59034EBC"/>
    <w:rsid w:val="590775B4"/>
    <w:rsid w:val="590A1327"/>
    <w:rsid w:val="591075D9"/>
    <w:rsid w:val="59140E77"/>
    <w:rsid w:val="591C5F7E"/>
    <w:rsid w:val="59360753"/>
    <w:rsid w:val="593E2DA3"/>
    <w:rsid w:val="59563B77"/>
    <w:rsid w:val="59617CF6"/>
    <w:rsid w:val="59B77A55"/>
    <w:rsid w:val="59D620C4"/>
    <w:rsid w:val="59D81EA5"/>
    <w:rsid w:val="59DD570D"/>
    <w:rsid w:val="59E051FD"/>
    <w:rsid w:val="59F367F2"/>
    <w:rsid w:val="5A032C9A"/>
    <w:rsid w:val="5A3B2D8E"/>
    <w:rsid w:val="5A4237C2"/>
    <w:rsid w:val="5A4E03B9"/>
    <w:rsid w:val="5A625C12"/>
    <w:rsid w:val="5A6F196A"/>
    <w:rsid w:val="5A8A4156"/>
    <w:rsid w:val="5A9B1124"/>
    <w:rsid w:val="5AB04BD0"/>
    <w:rsid w:val="5AB67D0C"/>
    <w:rsid w:val="5ADA4C20"/>
    <w:rsid w:val="5AEB4AF6"/>
    <w:rsid w:val="5AF977F4"/>
    <w:rsid w:val="5AFE3B8D"/>
    <w:rsid w:val="5B046CCA"/>
    <w:rsid w:val="5B266C40"/>
    <w:rsid w:val="5B3752F1"/>
    <w:rsid w:val="5B484E08"/>
    <w:rsid w:val="5B6069B3"/>
    <w:rsid w:val="5B8A3673"/>
    <w:rsid w:val="5B9462A0"/>
    <w:rsid w:val="5B9B13DC"/>
    <w:rsid w:val="5BB22DA2"/>
    <w:rsid w:val="5BDB3ECE"/>
    <w:rsid w:val="5BE31E0F"/>
    <w:rsid w:val="5BEF1728"/>
    <w:rsid w:val="5BF64864"/>
    <w:rsid w:val="5C273E95"/>
    <w:rsid w:val="5C3354F2"/>
    <w:rsid w:val="5C3A2094"/>
    <w:rsid w:val="5C4F02C9"/>
    <w:rsid w:val="5C62014C"/>
    <w:rsid w:val="5C661155"/>
    <w:rsid w:val="5C7779C1"/>
    <w:rsid w:val="5C805DFE"/>
    <w:rsid w:val="5C964BDC"/>
    <w:rsid w:val="5CA42512"/>
    <w:rsid w:val="5CCD61CB"/>
    <w:rsid w:val="5CDC1CAC"/>
    <w:rsid w:val="5CF04837"/>
    <w:rsid w:val="5CF353A3"/>
    <w:rsid w:val="5CF80AB0"/>
    <w:rsid w:val="5D1A27D4"/>
    <w:rsid w:val="5D563A15"/>
    <w:rsid w:val="5D5A0E23"/>
    <w:rsid w:val="5D6A375C"/>
    <w:rsid w:val="5D9407D9"/>
    <w:rsid w:val="5DB20C5F"/>
    <w:rsid w:val="5DBC1ADE"/>
    <w:rsid w:val="5DC41746"/>
    <w:rsid w:val="5DED0B88"/>
    <w:rsid w:val="5E1B2CA8"/>
    <w:rsid w:val="5E1C257C"/>
    <w:rsid w:val="5E373AEB"/>
    <w:rsid w:val="5E39312E"/>
    <w:rsid w:val="5E47584B"/>
    <w:rsid w:val="5E4A533B"/>
    <w:rsid w:val="5E624433"/>
    <w:rsid w:val="5E7A5C21"/>
    <w:rsid w:val="5E7D126D"/>
    <w:rsid w:val="5E93283E"/>
    <w:rsid w:val="5E954808"/>
    <w:rsid w:val="5EB033F0"/>
    <w:rsid w:val="5EB6477F"/>
    <w:rsid w:val="5EC06CB8"/>
    <w:rsid w:val="5ED05841"/>
    <w:rsid w:val="5EF7640B"/>
    <w:rsid w:val="5F1514A5"/>
    <w:rsid w:val="5F1B26E1"/>
    <w:rsid w:val="5F351B48"/>
    <w:rsid w:val="5F571ABE"/>
    <w:rsid w:val="5F990328"/>
    <w:rsid w:val="5F9E593F"/>
    <w:rsid w:val="5FA40A7B"/>
    <w:rsid w:val="5FB567E4"/>
    <w:rsid w:val="5FDB26EF"/>
    <w:rsid w:val="5FE315A4"/>
    <w:rsid w:val="5FE86BBA"/>
    <w:rsid w:val="5FEB0458"/>
    <w:rsid w:val="60024395"/>
    <w:rsid w:val="60107EBF"/>
    <w:rsid w:val="60261FB8"/>
    <w:rsid w:val="604A0FC0"/>
    <w:rsid w:val="604C403E"/>
    <w:rsid w:val="60593614"/>
    <w:rsid w:val="606F1089"/>
    <w:rsid w:val="607F642D"/>
    <w:rsid w:val="60805044"/>
    <w:rsid w:val="60830691"/>
    <w:rsid w:val="608C39E9"/>
    <w:rsid w:val="60BB2A43"/>
    <w:rsid w:val="60BD1DF5"/>
    <w:rsid w:val="60CC05C6"/>
    <w:rsid w:val="60DD4245"/>
    <w:rsid w:val="60EB5CEF"/>
    <w:rsid w:val="60F46535"/>
    <w:rsid w:val="61023CAB"/>
    <w:rsid w:val="61056F12"/>
    <w:rsid w:val="610C4B2A"/>
    <w:rsid w:val="610C68D8"/>
    <w:rsid w:val="61146CF4"/>
    <w:rsid w:val="6129748A"/>
    <w:rsid w:val="613B0E5A"/>
    <w:rsid w:val="613E3A52"/>
    <w:rsid w:val="61554044"/>
    <w:rsid w:val="61665FE8"/>
    <w:rsid w:val="61772197"/>
    <w:rsid w:val="61891CD7"/>
    <w:rsid w:val="6189617B"/>
    <w:rsid w:val="619F7C50"/>
    <w:rsid w:val="61AE798F"/>
    <w:rsid w:val="61CE1DDF"/>
    <w:rsid w:val="61D261ED"/>
    <w:rsid w:val="61EA7522"/>
    <w:rsid w:val="61F1708C"/>
    <w:rsid w:val="61F77588"/>
    <w:rsid w:val="62214605"/>
    <w:rsid w:val="6223212B"/>
    <w:rsid w:val="62415366"/>
    <w:rsid w:val="624D3BE8"/>
    <w:rsid w:val="6260512D"/>
    <w:rsid w:val="626562A0"/>
    <w:rsid w:val="62792AF3"/>
    <w:rsid w:val="6280132C"/>
    <w:rsid w:val="62950339"/>
    <w:rsid w:val="62C51434"/>
    <w:rsid w:val="62D358FF"/>
    <w:rsid w:val="62E80C7F"/>
    <w:rsid w:val="62F56D26"/>
    <w:rsid w:val="62FB3153"/>
    <w:rsid w:val="63057A83"/>
    <w:rsid w:val="63100901"/>
    <w:rsid w:val="631A1780"/>
    <w:rsid w:val="631C55EA"/>
    <w:rsid w:val="634E142A"/>
    <w:rsid w:val="63586994"/>
    <w:rsid w:val="63612F0B"/>
    <w:rsid w:val="636C18B0"/>
    <w:rsid w:val="636E5628"/>
    <w:rsid w:val="63771075"/>
    <w:rsid w:val="638B7F88"/>
    <w:rsid w:val="63A04400"/>
    <w:rsid w:val="63D80CF3"/>
    <w:rsid w:val="63DA2CBD"/>
    <w:rsid w:val="63E2651A"/>
    <w:rsid w:val="643E0066"/>
    <w:rsid w:val="646F3406"/>
    <w:rsid w:val="6481138B"/>
    <w:rsid w:val="648F32AC"/>
    <w:rsid w:val="649B6C42"/>
    <w:rsid w:val="64A22188"/>
    <w:rsid w:val="64BE5B27"/>
    <w:rsid w:val="64CD637E"/>
    <w:rsid w:val="64E01116"/>
    <w:rsid w:val="64FD4EB5"/>
    <w:rsid w:val="65247C56"/>
    <w:rsid w:val="652A557F"/>
    <w:rsid w:val="653359CE"/>
    <w:rsid w:val="653B59DE"/>
    <w:rsid w:val="654725D5"/>
    <w:rsid w:val="654F4FE5"/>
    <w:rsid w:val="655645C6"/>
    <w:rsid w:val="655F347A"/>
    <w:rsid w:val="656767D3"/>
    <w:rsid w:val="656942F9"/>
    <w:rsid w:val="65842EE1"/>
    <w:rsid w:val="658E3D60"/>
    <w:rsid w:val="659D0AB0"/>
    <w:rsid w:val="65B512EC"/>
    <w:rsid w:val="65BB267B"/>
    <w:rsid w:val="65D73958"/>
    <w:rsid w:val="65D82226"/>
    <w:rsid w:val="65DF6369"/>
    <w:rsid w:val="65F862ED"/>
    <w:rsid w:val="66046B2A"/>
    <w:rsid w:val="6612673F"/>
    <w:rsid w:val="661E407A"/>
    <w:rsid w:val="6621000F"/>
    <w:rsid w:val="66246472"/>
    <w:rsid w:val="66263F98"/>
    <w:rsid w:val="6646293E"/>
    <w:rsid w:val="664F7993"/>
    <w:rsid w:val="6657757A"/>
    <w:rsid w:val="665E73A6"/>
    <w:rsid w:val="66807B4C"/>
    <w:rsid w:val="66AE3D23"/>
    <w:rsid w:val="66B27E30"/>
    <w:rsid w:val="66BA61C2"/>
    <w:rsid w:val="66BB6DD6"/>
    <w:rsid w:val="66BD7716"/>
    <w:rsid w:val="66BE7ED8"/>
    <w:rsid w:val="66C814F3"/>
    <w:rsid w:val="66CF4630"/>
    <w:rsid w:val="66D103A8"/>
    <w:rsid w:val="66EC2AFF"/>
    <w:rsid w:val="66F70FB4"/>
    <w:rsid w:val="66F83B86"/>
    <w:rsid w:val="670E33AA"/>
    <w:rsid w:val="671F7C23"/>
    <w:rsid w:val="67310E46"/>
    <w:rsid w:val="6731167B"/>
    <w:rsid w:val="6738382B"/>
    <w:rsid w:val="67566AFF"/>
    <w:rsid w:val="676477F6"/>
    <w:rsid w:val="676E1F1A"/>
    <w:rsid w:val="677A35E9"/>
    <w:rsid w:val="678A1D07"/>
    <w:rsid w:val="678A67A9"/>
    <w:rsid w:val="679A2E90"/>
    <w:rsid w:val="67DC79EA"/>
    <w:rsid w:val="67EB5499"/>
    <w:rsid w:val="67F02AB0"/>
    <w:rsid w:val="67F84128"/>
    <w:rsid w:val="67F87BB6"/>
    <w:rsid w:val="67FA7C0D"/>
    <w:rsid w:val="68071BA7"/>
    <w:rsid w:val="68112A26"/>
    <w:rsid w:val="68150768"/>
    <w:rsid w:val="68180E35"/>
    <w:rsid w:val="68190258"/>
    <w:rsid w:val="68774BB2"/>
    <w:rsid w:val="68993AC2"/>
    <w:rsid w:val="689C49E5"/>
    <w:rsid w:val="68B73552"/>
    <w:rsid w:val="68B97345"/>
    <w:rsid w:val="68D27D9D"/>
    <w:rsid w:val="68D9058B"/>
    <w:rsid w:val="68E048D2"/>
    <w:rsid w:val="68EA786C"/>
    <w:rsid w:val="68EF4566"/>
    <w:rsid w:val="68FE2FAA"/>
    <w:rsid w:val="690B665C"/>
    <w:rsid w:val="691E26C3"/>
    <w:rsid w:val="69272501"/>
    <w:rsid w:val="695B664F"/>
    <w:rsid w:val="698536CB"/>
    <w:rsid w:val="699441C6"/>
    <w:rsid w:val="69A1521B"/>
    <w:rsid w:val="69BD2E65"/>
    <w:rsid w:val="69D72179"/>
    <w:rsid w:val="69E228CC"/>
    <w:rsid w:val="69EA2868"/>
    <w:rsid w:val="69F525FF"/>
    <w:rsid w:val="6A0C7949"/>
    <w:rsid w:val="6A162576"/>
    <w:rsid w:val="6A3B0848"/>
    <w:rsid w:val="6A553A32"/>
    <w:rsid w:val="6A641533"/>
    <w:rsid w:val="6A681023"/>
    <w:rsid w:val="6A694D9B"/>
    <w:rsid w:val="6A6D6639"/>
    <w:rsid w:val="6A6D7C61"/>
    <w:rsid w:val="6A7C687C"/>
    <w:rsid w:val="6ACD742A"/>
    <w:rsid w:val="6B0C5E52"/>
    <w:rsid w:val="6B105217"/>
    <w:rsid w:val="6B106FC5"/>
    <w:rsid w:val="6B204D59"/>
    <w:rsid w:val="6B2A6220"/>
    <w:rsid w:val="6B3158B9"/>
    <w:rsid w:val="6B3715F5"/>
    <w:rsid w:val="6B3A3AE0"/>
    <w:rsid w:val="6B421874"/>
    <w:rsid w:val="6B431148"/>
    <w:rsid w:val="6B4F3F91"/>
    <w:rsid w:val="6B5F71E4"/>
    <w:rsid w:val="6B6123A4"/>
    <w:rsid w:val="6B6C069F"/>
    <w:rsid w:val="6B6C68F1"/>
    <w:rsid w:val="6B7834E8"/>
    <w:rsid w:val="6BB34520"/>
    <w:rsid w:val="6BCF6E80"/>
    <w:rsid w:val="6BD91777"/>
    <w:rsid w:val="6BE742BF"/>
    <w:rsid w:val="6BF47465"/>
    <w:rsid w:val="6BF56C52"/>
    <w:rsid w:val="6C041279"/>
    <w:rsid w:val="6C123E23"/>
    <w:rsid w:val="6C25217A"/>
    <w:rsid w:val="6C2B055A"/>
    <w:rsid w:val="6C315445"/>
    <w:rsid w:val="6C627CF4"/>
    <w:rsid w:val="6C703B78"/>
    <w:rsid w:val="6C884442"/>
    <w:rsid w:val="6CA0308B"/>
    <w:rsid w:val="6CAB5E11"/>
    <w:rsid w:val="6CC45CF8"/>
    <w:rsid w:val="6CDF1345"/>
    <w:rsid w:val="6CF44DF0"/>
    <w:rsid w:val="6D21195D"/>
    <w:rsid w:val="6D282CEC"/>
    <w:rsid w:val="6D431C0C"/>
    <w:rsid w:val="6D434A7C"/>
    <w:rsid w:val="6D51565A"/>
    <w:rsid w:val="6D57537F"/>
    <w:rsid w:val="6D5E04BB"/>
    <w:rsid w:val="6D604233"/>
    <w:rsid w:val="6D741A8D"/>
    <w:rsid w:val="6D80338A"/>
    <w:rsid w:val="6D8F2D6B"/>
    <w:rsid w:val="6D9143ED"/>
    <w:rsid w:val="6D9306D3"/>
    <w:rsid w:val="6D9D5BEC"/>
    <w:rsid w:val="6DA85BDA"/>
    <w:rsid w:val="6DA94D04"/>
    <w:rsid w:val="6DD32C57"/>
    <w:rsid w:val="6DDF784E"/>
    <w:rsid w:val="6E0F17B6"/>
    <w:rsid w:val="6E276AFF"/>
    <w:rsid w:val="6E3631E6"/>
    <w:rsid w:val="6E364F94"/>
    <w:rsid w:val="6E4A5F9F"/>
    <w:rsid w:val="6E5673E4"/>
    <w:rsid w:val="6E600263"/>
    <w:rsid w:val="6E7F4B8D"/>
    <w:rsid w:val="6E963C85"/>
    <w:rsid w:val="6EB02F99"/>
    <w:rsid w:val="6ECC44C5"/>
    <w:rsid w:val="6F0926A9"/>
    <w:rsid w:val="6F4A519B"/>
    <w:rsid w:val="6F4D6A39"/>
    <w:rsid w:val="6F504CAD"/>
    <w:rsid w:val="6F6B4531"/>
    <w:rsid w:val="6F6B5112"/>
    <w:rsid w:val="6F6E34E9"/>
    <w:rsid w:val="6F735C64"/>
    <w:rsid w:val="6F7E3097"/>
    <w:rsid w:val="6F900316"/>
    <w:rsid w:val="6F992E66"/>
    <w:rsid w:val="6F9D5C29"/>
    <w:rsid w:val="6FB506AC"/>
    <w:rsid w:val="6FB767E8"/>
    <w:rsid w:val="6FC7059A"/>
    <w:rsid w:val="6FCF56A0"/>
    <w:rsid w:val="6FE078AE"/>
    <w:rsid w:val="6FE3114C"/>
    <w:rsid w:val="6FE80510"/>
    <w:rsid w:val="6FEF1874"/>
    <w:rsid w:val="7012558D"/>
    <w:rsid w:val="7020414E"/>
    <w:rsid w:val="70640CCF"/>
    <w:rsid w:val="70652184"/>
    <w:rsid w:val="706E4EB9"/>
    <w:rsid w:val="707B1384"/>
    <w:rsid w:val="708159DE"/>
    <w:rsid w:val="70840239"/>
    <w:rsid w:val="70932B72"/>
    <w:rsid w:val="709E580C"/>
    <w:rsid w:val="70A64653"/>
    <w:rsid w:val="70AC7790"/>
    <w:rsid w:val="70C81183"/>
    <w:rsid w:val="70CE69DE"/>
    <w:rsid w:val="70D50A94"/>
    <w:rsid w:val="70E61887"/>
    <w:rsid w:val="70F25AEA"/>
    <w:rsid w:val="7104581E"/>
    <w:rsid w:val="710650F2"/>
    <w:rsid w:val="71233EF6"/>
    <w:rsid w:val="712A5284"/>
    <w:rsid w:val="71356763"/>
    <w:rsid w:val="71357785"/>
    <w:rsid w:val="715220E5"/>
    <w:rsid w:val="716B31A7"/>
    <w:rsid w:val="71704C61"/>
    <w:rsid w:val="717B788E"/>
    <w:rsid w:val="71804EA4"/>
    <w:rsid w:val="71926B20"/>
    <w:rsid w:val="71BE0B66"/>
    <w:rsid w:val="71CC00E9"/>
    <w:rsid w:val="71E72C94"/>
    <w:rsid w:val="71FB277D"/>
    <w:rsid w:val="720535FB"/>
    <w:rsid w:val="72086C48"/>
    <w:rsid w:val="721245BB"/>
    <w:rsid w:val="72190E55"/>
    <w:rsid w:val="72522E7D"/>
    <w:rsid w:val="726631BE"/>
    <w:rsid w:val="72710C91"/>
    <w:rsid w:val="727453D2"/>
    <w:rsid w:val="72874010"/>
    <w:rsid w:val="729B5F95"/>
    <w:rsid w:val="729C76E2"/>
    <w:rsid w:val="72A70371"/>
    <w:rsid w:val="72B172DF"/>
    <w:rsid w:val="72C15774"/>
    <w:rsid w:val="72C54C9C"/>
    <w:rsid w:val="72EE0533"/>
    <w:rsid w:val="72FD1442"/>
    <w:rsid w:val="731004AA"/>
    <w:rsid w:val="73295287"/>
    <w:rsid w:val="73302372"/>
    <w:rsid w:val="73487C44"/>
    <w:rsid w:val="734B1EBB"/>
    <w:rsid w:val="736600CA"/>
    <w:rsid w:val="736E51D0"/>
    <w:rsid w:val="73B110E9"/>
    <w:rsid w:val="73C92407"/>
    <w:rsid w:val="73CD6DE1"/>
    <w:rsid w:val="73D5156F"/>
    <w:rsid w:val="73EB5F85"/>
    <w:rsid w:val="73F751C6"/>
    <w:rsid w:val="74055312"/>
    <w:rsid w:val="74123DAE"/>
    <w:rsid w:val="74235FBB"/>
    <w:rsid w:val="743B1556"/>
    <w:rsid w:val="743B3F87"/>
    <w:rsid w:val="743C0E2B"/>
    <w:rsid w:val="74404DBF"/>
    <w:rsid w:val="74420FDF"/>
    <w:rsid w:val="744A3547"/>
    <w:rsid w:val="7453031D"/>
    <w:rsid w:val="74561EEC"/>
    <w:rsid w:val="746C5BB4"/>
    <w:rsid w:val="747A00A6"/>
    <w:rsid w:val="74A94712"/>
    <w:rsid w:val="74B17885"/>
    <w:rsid w:val="74BB1C18"/>
    <w:rsid w:val="74E136FC"/>
    <w:rsid w:val="74F65FDA"/>
    <w:rsid w:val="7500577B"/>
    <w:rsid w:val="751A116C"/>
    <w:rsid w:val="7533222E"/>
    <w:rsid w:val="75383CE8"/>
    <w:rsid w:val="75500FC5"/>
    <w:rsid w:val="755A1EB0"/>
    <w:rsid w:val="7562285A"/>
    <w:rsid w:val="757A1C0A"/>
    <w:rsid w:val="758D4034"/>
    <w:rsid w:val="759451BD"/>
    <w:rsid w:val="759A405B"/>
    <w:rsid w:val="75AD38A2"/>
    <w:rsid w:val="75D94B83"/>
    <w:rsid w:val="75E023B5"/>
    <w:rsid w:val="75F06371"/>
    <w:rsid w:val="75F56F60"/>
    <w:rsid w:val="75FB71EF"/>
    <w:rsid w:val="76067942"/>
    <w:rsid w:val="76317661"/>
    <w:rsid w:val="7634625D"/>
    <w:rsid w:val="76404C02"/>
    <w:rsid w:val="764D5571"/>
    <w:rsid w:val="764F63A3"/>
    <w:rsid w:val="765C6A8D"/>
    <w:rsid w:val="76636B42"/>
    <w:rsid w:val="767D564A"/>
    <w:rsid w:val="76866AB1"/>
    <w:rsid w:val="76911902"/>
    <w:rsid w:val="7691736B"/>
    <w:rsid w:val="76992D10"/>
    <w:rsid w:val="76A56115"/>
    <w:rsid w:val="76DD68F5"/>
    <w:rsid w:val="76EF1037"/>
    <w:rsid w:val="76F265F0"/>
    <w:rsid w:val="76FA1255"/>
    <w:rsid w:val="76FF4B26"/>
    <w:rsid w:val="77043E82"/>
    <w:rsid w:val="77072E6C"/>
    <w:rsid w:val="770F2826"/>
    <w:rsid w:val="77324E93"/>
    <w:rsid w:val="77387FCF"/>
    <w:rsid w:val="773A0865"/>
    <w:rsid w:val="77530949"/>
    <w:rsid w:val="77575D2B"/>
    <w:rsid w:val="77610F13"/>
    <w:rsid w:val="776115E9"/>
    <w:rsid w:val="776B5CAF"/>
    <w:rsid w:val="77982CD4"/>
    <w:rsid w:val="77BD2282"/>
    <w:rsid w:val="77C81353"/>
    <w:rsid w:val="77CF26E1"/>
    <w:rsid w:val="77E65C7D"/>
    <w:rsid w:val="77E65CFA"/>
    <w:rsid w:val="780D6D66"/>
    <w:rsid w:val="781C344D"/>
    <w:rsid w:val="781D0955"/>
    <w:rsid w:val="782E5589"/>
    <w:rsid w:val="783C589D"/>
    <w:rsid w:val="7844229D"/>
    <w:rsid w:val="784A599C"/>
    <w:rsid w:val="7871654C"/>
    <w:rsid w:val="78827754"/>
    <w:rsid w:val="788334CC"/>
    <w:rsid w:val="789254BD"/>
    <w:rsid w:val="78943D73"/>
    <w:rsid w:val="78AA0A59"/>
    <w:rsid w:val="78D15FE5"/>
    <w:rsid w:val="79073671"/>
    <w:rsid w:val="790E548B"/>
    <w:rsid w:val="79110AD8"/>
    <w:rsid w:val="79231B0D"/>
    <w:rsid w:val="792D2178"/>
    <w:rsid w:val="796230E1"/>
    <w:rsid w:val="79635895"/>
    <w:rsid w:val="79655D92"/>
    <w:rsid w:val="796D4C26"/>
    <w:rsid w:val="798B4E50"/>
    <w:rsid w:val="79AE4579"/>
    <w:rsid w:val="79B34AB5"/>
    <w:rsid w:val="79C23068"/>
    <w:rsid w:val="79C40804"/>
    <w:rsid w:val="79C8563A"/>
    <w:rsid w:val="79D57D57"/>
    <w:rsid w:val="7A04638F"/>
    <w:rsid w:val="7A4D3D91"/>
    <w:rsid w:val="7A4F7B0A"/>
    <w:rsid w:val="7A5353B6"/>
    <w:rsid w:val="7A6448CE"/>
    <w:rsid w:val="7A7E219D"/>
    <w:rsid w:val="7A85352B"/>
    <w:rsid w:val="7AAD4A7F"/>
    <w:rsid w:val="7AC8166A"/>
    <w:rsid w:val="7AEB1F89"/>
    <w:rsid w:val="7AF91823"/>
    <w:rsid w:val="7AF97A75"/>
    <w:rsid w:val="7B1E128A"/>
    <w:rsid w:val="7B1F572E"/>
    <w:rsid w:val="7B2C1BF9"/>
    <w:rsid w:val="7B304553"/>
    <w:rsid w:val="7B31720F"/>
    <w:rsid w:val="7B51340D"/>
    <w:rsid w:val="7B542EFE"/>
    <w:rsid w:val="7B584B03"/>
    <w:rsid w:val="7B5B24DE"/>
    <w:rsid w:val="7B6A2721"/>
    <w:rsid w:val="7B740B29"/>
    <w:rsid w:val="7B8B2DD5"/>
    <w:rsid w:val="7BA305F1"/>
    <w:rsid w:val="7BA41A8B"/>
    <w:rsid w:val="7BCB1412"/>
    <w:rsid w:val="7BE1712F"/>
    <w:rsid w:val="7BE44282"/>
    <w:rsid w:val="7C077F70"/>
    <w:rsid w:val="7C0B2ED7"/>
    <w:rsid w:val="7C553B09"/>
    <w:rsid w:val="7C715C38"/>
    <w:rsid w:val="7C75137E"/>
    <w:rsid w:val="7C7C44BA"/>
    <w:rsid w:val="7C8438B9"/>
    <w:rsid w:val="7C8A3FBC"/>
    <w:rsid w:val="7C8D4919"/>
    <w:rsid w:val="7CB71996"/>
    <w:rsid w:val="7CD42548"/>
    <w:rsid w:val="7D034BDB"/>
    <w:rsid w:val="7D142945"/>
    <w:rsid w:val="7D1B3CD3"/>
    <w:rsid w:val="7D3870F7"/>
    <w:rsid w:val="7D3B25C7"/>
    <w:rsid w:val="7D4A280A"/>
    <w:rsid w:val="7D5176F5"/>
    <w:rsid w:val="7D62250F"/>
    <w:rsid w:val="7D625DA6"/>
    <w:rsid w:val="7D6C2034"/>
    <w:rsid w:val="7D8442E1"/>
    <w:rsid w:val="7D893333"/>
    <w:rsid w:val="7D8A0E59"/>
    <w:rsid w:val="7D951CD7"/>
    <w:rsid w:val="7DAE5A58"/>
    <w:rsid w:val="7E6D4A02"/>
    <w:rsid w:val="7E8B290D"/>
    <w:rsid w:val="7E8B6C36"/>
    <w:rsid w:val="7E8C3035"/>
    <w:rsid w:val="7E8F4979"/>
    <w:rsid w:val="7E953F59"/>
    <w:rsid w:val="7ED625A7"/>
    <w:rsid w:val="7EF26CB5"/>
    <w:rsid w:val="7EF46ED2"/>
    <w:rsid w:val="7F0569E9"/>
    <w:rsid w:val="7F431965"/>
    <w:rsid w:val="7F572FBC"/>
    <w:rsid w:val="7F8F2756"/>
    <w:rsid w:val="7F916D83"/>
    <w:rsid w:val="7F9935D5"/>
    <w:rsid w:val="7FBB79EF"/>
    <w:rsid w:val="7FC82093"/>
    <w:rsid w:val="7FD9144C"/>
    <w:rsid w:val="7FE65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1"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5"/>
    <w:qFormat/>
    <w:uiPriority w:val="1"/>
    <w:pPr>
      <w:widowControl/>
      <w:numPr>
        <w:ilvl w:val="0"/>
        <w:numId w:val="1"/>
      </w:numPr>
      <w:jc w:val="left"/>
      <w:outlineLvl w:val="0"/>
    </w:pPr>
    <w:rPr>
      <w:b/>
      <w:bCs/>
      <w:kern w:val="0"/>
      <w:sz w:val="30"/>
      <w:szCs w:val="24"/>
      <w:lang w:bidi="en-US"/>
    </w:rPr>
  </w:style>
  <w:style w:type="paragraph" w:styleId="3">
    <w:name w:val="heading 2"/>
    <w:basedOn w:val="1"/>
    <w:next w:val="1"/>
    <w:link w:val="56"/>
    <w:qFormat/>
    <w:uiPriority w:val="9"/>
    <w:pPr>
      <w:widowControl/>
      <w:numPr>
        <w:ilvl w:val="1"/>
        <w:numId w:val="2"/>
      </w:numPr>
      <w:pBdr>
        <w:bottom w:val="single" w:color="4F81BD" w:sz="8" w:space="1"/>
      </w:pBdr>
      <w:spacing w:before="200" w:after="80"/>
      <w:jc w:val="left"/>
      <w:outlineLvl w:val="1"/>
    </w:pPr>
    <w:rPr>
      <w:color w:val="365F91"/>
      <w:kern w:val="0"/>
      <w:sz w:val="24"/>
      <w:szCs w:val="24"/>
      <w:lang w:eastAsia="en-US" w:bidi="en-US"/>
    </w:rPr>
  </w:style>
  <w:style w:type="paragraph" w:styleId="4">
    <w:name w:val="heading 3"/>
    <w:basedOn w:val="1"/>
    <w:next w:val="1"/>
    <w:link w:val="57"/>
    <w:qFormat/>
    <w:uiPriority w:val="9"/>
    <w:pPr>
      <w:widowControl/>
      <w:pBdr>
        <w:bottom w:val="single" w:color="95B3D7" w:sz="4" w:space="1"/>
      </w:pBdr>
      <w:spacing w:before="200" w:after="80"/>
      <w:jc w:val="left"/>
      <w:outlineLvl w:val="2"/>
    </w:pPr>
    <w:rPr>
      <w:color w:val="4F81BD"/>
      <w:kern w:val="0"/>
      <w:sz w:val="24"/>
      <w:szCs w:val="24"/>
      <w:lang w:eastAsia="en-US" w:bidi="en-US"/>
    </w:rPr>
  </w:style>
  <w:style w:type="paragraph" w:styleId="5">
    <w:name w:val="heading 4"/>
    <w:basedOn w:val="1"/>
    <w:next w:val="1"/>
    <w:link w:val="58"/>
    <w:qFormat/>
    <w:uiPriority w:val="9"/>
    <w:pPr>
      <w:widowControl/>
      <w:numPr>
        <w:ilvl w:val="3"/>
        <w:numId w:val="2"/>
      </w:numPr>
      <w:pBdr>
        <w:bottom w:val="single" w:color="B8CCE4" w:sz="4" w:space="2"/>
      </w:pBdr>
      <w:spacing w:before="200" w:after="80"/>
      <w:jc w:val="left"/>
      <w:outlineLvl w:val="3"/>
    </w:pPr>
    <w:rPr>
      <w:i/>
      <w:iCs/>
      <w:color w:val="4F81BD"/>
      <w:kern w:val="0"/>
      <w:sz w:val="24"/>
      <w:szCs w:val="24"/>
      <w:lang w:eastAsia="en-US" w:bidi="en-US"/>
    </w:rPr>
  </w:style>
  <w:style w:type="paragraph" w:styleId="6">
    <w:name w:val="heading 5"/>
    <w:basedOn w:val="1"/>
    <w:next w:val="1"/>
    <w:link w:val="59"/>
    <w:qFormat/>
    <w:uiPriority w:val="1"/>
    <w:pPr>
      <w:widowControl/>
      <w:numPr>
        <w:ilvl w:val="4"/>
        <w:numId w:val="2"/>
      </w:numPr>
      <w:spacing w:before="200" w:after="80"/>
      <w:jc w:val="left"/>
      <w:outlineLvl w:val="4"/>
    </w:pPr>
    <w:rPr>
      <w:color w:val="4F81BD"/>
      <w:kern w:val="0"/>
      <w:sz w:val="22"/>
      <w:lang w:eastAsia="en-US" w:bidi="en-US"/>
    </w:rPr>
  </w:style>
  <w:style w:type="paragraph" w:styleId="7">
    <w:name w:val="heading 6"/>
    <w:basedOn w:val="1"/>
    <w:next w:val="1"/>
    <w:link w:val="60"/>
    <w:qFormat/>
    <w:uiPriority w:val="9"/>
    <w:pPr>
      <w:widowControl/>
      <w:numPr>
        <w:ilvl w:val="5"/>
        <w:numId w:val="2"/>
      </w:numPr>
      <w:spacing w:before="280" w:after="100"/>
      <w:jc w:val="left"/>
      <w:outlineLvl w:val="5"/>
    </w:pPr>
    <w:rPr>
      <w:i/>
      <w:iCs/>
      <w:color w:val="4F81BD"/>
      <w:kern w:val="0"/>
      <w:sz w:val="22"/>
      <w:lang w:eastAsia="en-US" w:bidi="en-US"/>
    </w:rPr>
  </w:style>
  <w:style w:type="paragraph" w:styleId="8">
    <w:name w:val="heading 7"/>
    <w:basedOn w:val="1"/>
    <w:next w:val="1"/>
    <w:link w:val="61"/>
    <w:qFormat/>
    <w:uiPriority w:val="9"/>
    <w:pPr>
      <w:widowControl/>
      <w:numPr>
        <w:ilvl w:val="6"/>
        <w:numId w:val="2"/>
      </w:numPr>
      <w:spacing w:before="320" w:after="100"/>
      <w:jc w:val="left"/>
      <w:outlineLvl w:val="6"/>
    </w:pPr>
    <w:rPr>
      <w:b/>
      <w:bCs/>
      <w:color w:val="9BBB59"/>
      <w:kern w:val="0"/>
      <w:sz w:val="20"/>
      <w:szCs w:val="20"/>
      <w:lang w:eastAsia="en-US" w:bidi="en-US"/>
    </w:rPr>
  </w:style>
  <w:style w:type="paragraph" w:styleId="9">
    <w:name w:val="heading 8"/>
    <w:basedOn w:val="1"/>
    <w:next w:val="1"/>
    <w:link w:val="62"/>
    <w:qFormat/>
    <w:uiPriority w:val="9"/>
    <w:pPr>
      <w:widowControl/>
      <w:numPr>
        <w:ilvl w:val="7"/>
        <w:numId w:val="2"/>
      </w:numPr>
      <w:spacing w:before="320" w:after="100"/>
      <w:jc w:val="left"/>
      <w:outlineLvl w:val="7"/>
    </w:pPr>
    <w:rPr>
      <w:b/>
      <w:bCs/>
      <w:i/>
      <w:iCs/>
      <w:color w:val="9BBB59"/>
      <w:kern w:val="0"/>
      <w:sz w:val="20"/>
      <w:szCs w:val="20"/>
      <w:lang w:eastAsia="en-US" w:bidi="en-US"/>
    </w:rPr>
  </w:style>
  <w:style w:type="paragraph" w:styleId="10">
    <w:name w:val="heading 9"/>
    <w:basedOn w:val="1"/>
    <w:next w:val="1"/>
    <w:link w:val="63"/>
    <w:qFormat/>
    <w:uiPriority w:val="9"/>
    <w:pPr>
      <w:widowControl/>
      <w:numPr>
        <w:ilvl w:val="8"/>
        <w:numId w:val="2"/>
      </w:numPr>
      <w:spacing w:before="320" w:after="100"/>
      <w:jc w:val="left"/>
      <w:outlineLvl w:val="8"/>
    </w:pPr>
    <w:rPr>
      <w:i/>
      <w:iCs/>
      <w:color w:val="9BBB59"/>
      <w:kern w:val="0"/>
      <w:sz w:val="20"/>
      <w:szCs w:val="20"/>
      <w:lang w:eastAsia="en-US" w:bidi="en-US"/>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spacing w:line="300" w:lineRule="auto"/>
      <w:ind w:firstLine="420" w:firstLineChars="200"/>
    </w:pPr>
    <w:rPr>
      <w:sz w:val="24"/>
      <w:szCs w:val="24"/>
    </w:rPr>
  </w:style>
  <w:style w:type="paragraph" w:styleId="13">
    <w:name w:val="caption"/>
    <w:basedOn w:val="1"/>
    <w:next w:val="1"/>
    <w:qFormat/>
    <w:uiPriority w:val="99"/>
    <w:pPr>
      <w:spacing w:line="360" w:lineRule="auto"/>
      <w:ind w:firstLine="200" w:firstLineChars="200"/>
    </w:pPr>
    <w:rPr>
      <w:rFonts w:ascii="Cambria" w:hAnsi="Cambria"/>
      <w:sz w:val="20"/>
      <w:szCs w:val="20"/>
    </w:rPr>
  </w:style>
  <w:style w:type="paragraph" w:styleId="14">
    <w:name w:val="Document Map"/>
    <w:basedOn w:val="1"/>
    <w:link w:val="64"/>
    <w:unhideWhenUsed/>
    <w:qFormat/>
    <w:uiPriority w:val="99"/>
    <w:rPr>
      <w:rFonts w:ascii="宋体"/>
      <w:kern w:val="0"/>
      <w:sz w:val="18"/>
      <w:szCs w:val="18"/>
    </w:rPr>
  </w:style>
  <w:style w:type="paragraph" w:styleId="15">
    <w:name w:val="annotation text"/>
    <w:basedOn w:val="1"/>
    <w:link w:val="54"/>
    <w:unhideWhenUsed/>
    <w:qFormat/>
    <w:uiPriority w:val="99"/>
    <w:pPr>
      <w:widowControl/>
      <w:spacing w:line="560" w:lineRule="exact"/>
      <w:ind w:firstLine="360"/>
      <w:jc w:val="left"/>
    </w:pPr>
    <w:rPr>
      <w:kern w:val="0"/>
      <w:sz w:val="28"/>
      <w:szCs w:val="20"/>
      <w:lang w:eastAsia="en-US" w:bidi="en-US"/>
    </w:rPr>
  </w:style>
  <w:style w:type="paragraph" w:styleId="16">
    <w:name w:val="Body Text 3"/>
    <w:basedOn w:val="1"/>
    <w:link w:val="127"/>
    <w:qFormat/>
    <w:uiPriority w:val="0"/>
    <w:pPr>
      <w:spacing w:line="840" w:lineRule="exact"/>
      <w:jc w:val="center"/>
    </w:pPr>
    <w:rPr>
      <w:rFonts w:ascii="方正大标宋简体" w:hAnsi="宋体" w:eastAsia="方正大标宋简体"/>
      <w:bCs/>
      <w:sz w:val="42"/>
      <w:szCs w:val="42"/>
    </w:rPr>
  </w:style>
  <w:style w:type="paragraph" w:styleId="17">
    <w:name w:val="Body Text"/>
    <w:basedOn w:val="1"/>
    <w:link w:val="65"/>
    <w:qFormat/>
    <w:uiPriority w:val="0"/>
    <w:pPr>
      <w:spacing w:after="120"/>
    </w:pPr>
    <w:rPr>
      <w:kern w:val="0"/>
      <w:sz w:val="20"/>
      <w:szCs w:val="20"/>
    </w:rPr>
  </w:style>
  <w:style w:type="paragraph" w:styleId="18">
    <w:name w:val="Body Text Indent"/>
    <w:basedOn w:val="1"/>
    <w:link w:val="66"/>
    <w:qFormat/>
    <w:uiPriority w:val="0"/>
    <w:pPr>
      <w:tabs>
        <w:tab w:val="left" w:pos="7020"/>
      </w:tabs>
      <w:spacing w:line="600" w:lineRule="exact"/>
      <w:ind w:firstLine="600" w:firstLineChars="200"/>
    </w:pPr>
    <w:rPr>
      <w:rFonts w:ascii="仿宋_GB2312" w:eastAsia="仿宋_GB2312"/>
      <w:kern w:val="0"/>
      <w:sz w:val="30"/>
      <w:szCs w:val="24"/>
    </w:rPr>
  </w:style>
  <w:style w:type="paragraph" w:styleId="19">
    <w:name w:val="Block Text"/>
    <w:basedOn w:val="1"/>
    <w:qFormat/>
    <w:uiPriority w:val="0"/>
    <w:pPr>
      <w:spacing w:line="360" w:lineRule="auto"/>
      <w:ind w:left="840" w:right="840"/>
      <w:jc w:val="center"/>
    </w:pPr>
    <w:rPr>
      <w:sz w:val="36"/>
      <w:szCs w:val="20"/>
    </w:rPr>
  </w:style>
  <w:style w:type="paragraph" w:styleId="20">
    <w:name w:val="toc 5"/>
    <w:basedOn w:val="1"/>
    <w:next w:val="1"/>
    <w:unhideWhenUsed/>
    <w:qFormat/>
    <w:uiPriority w:val="39"/>
    <w:pPr>
      <w:ind w:left="840"/>
      <w:jc w:val="left"/>
    </w:pPr>
    <w:rPr>
      <w:rFonts w:ascii="Calibri" w:hAnsi="Calibri"/>
      <w:sz w:val="18"/>
      <w:szCs w:val="18"/>
    </w:rPr>
  </w:style>
  <w:style w:type="paragraph" w:styleId="21">
    <w:name w:val="toc 3"/>
    <w:basedOn w:val="1"/>
    <w:next w:val="1"/>
    <w:unhideWhenUsed/>
    <w:qFormat/>
    <w:uiPriority w:val="39"/>
    <w:pPr>
      <w:ind w:left="420"/>
      <w:jc w:val="left"/>
    </w:pPr>
    <w:rPr>
      <w:rFonts w:ascii="Calibri" w:hAnsi="Calibri"/>
      <w:i/>
      <w:iCs/>
      <w:sz w:val="20"/>
      <w:szCs w:val="20"/>
    </w:rPr>
  </w:style>
  <w:style w:type="paragraph" w:styleId="22">
    <w:name w:val="Plain Text"/>
    <w:basedOn w:val="1"/>
    <w:link w:val="122"/>
    <w:qFormat/>
    <w:uiPriority w:val="0"/>
    <w:rPr>
      <w:rFonts w:ascii="宋体" w:hAnsi="Courier New"/>
      <w:szCs w:val="20"/>
    </w:rPr>
  </w:style>
  <w:style w:type="paragraph" w:styleId="23">
    <w:name w:val="toc 8"/>
    <w:basedOn w:val="1"/>
    <w:next w:val="1"/>
    <w:unhideWhenUsed/>
    <w:qFormat/>
    <w:uiPriority w:val="39"/>
    <w:pPr>
      <w:ind w:left="1470"/>
      <w:jc w:val="left"/>
    </w:pPr>
    <w:rPr>
      <w:rFonts w:ascii="Calibri" w:hAnsi="Calibri"/>
      <w:sz w:val="18"/>
      <w:szCs w:val="18"/>
    </w:rPr>
  </w:style>
  <w:style w:type="paragraph" w:styleId="24">
    <w:name w:val="Date"/>
    <w:basedOn w:val="1"/>
    <w:next w:val="1"/>
    <w:link w:val="67"/>
    <w:unhideWhenUsed/>
    <w:qFormat/>
    <w:uiPriority w:val="99"/>
    <w:pPr>
      <w:ind w:left="100" w:leftChars="2500"/>
    </w:pPr>
  </w:style>
  <w:style w:type="paragraph" w:styleId="25">
    <w:name w:val="Body Text Indent 2"/>
    <w:basedOn w:val="1"/>
    <w:link w:val="124"/>
    <w:qFormat/>
    <w:uiPriority w:val="0"/>
    <w:pPr>
      <w:spacing w:line="600" w:lineRule="exact"/>
      <w:ind w:firstLine="600" w:firstLineChars="200"/>
    </w:pPr>
    <w:rPr>
      <w:rFonts w:ascii="仿宋_GB2312" w:hAnsi="宋体" w:eastAsia="仿宋_GB2312"/>
      <w:sz w:val="30"/>
      <w:szCs w:val="30"/>
    </w:rPr>
  </w:style>
  <w:style w:type="paragraph" w:styleId="26">
    <w:name w:val="endnote text"/>
    <w:basedOn w:val="1"/>
    <w:link w:val="143"/>
    <w:unhideWhenUsed/>
    <w:qFormat/>
    <w:uiPriority w:val="99"/>
    <w:pPr>
      <w:snapToGrid w:val="0"/>
      <w:jc w:val="left"/>
    </w:pPr>
    <w:rPr>
      <w:rFonts w:ascii="Calibri" w:hAnsi="Calibri"/>
      <w:szCs w:val="22"/>
    </w:rPr>
  </w:style>
  <w:style w:type="paragraph" w:styleId="27">
    <w:name w:val="Balloon Text"/>
    <w:basedOn w:val="1"/>
    <w:link w:val="68"/>
    <w:unhideWhenUsed/>
    <w:qFormat/>
    <w:uiPriority w:val="99"/>
    <w:rPr>
      <w:kern w:val="0"/>
      <w:sz w:val="18"/>
      <w:szCs w:val="18"/>
    </w:rPr>
  </w:style>
  <w:style w:type="paragraph" w:styleId="28">
    <w:name w:val="footer"/>
    <w:basedOn w:val="1"/>
    <w:link w:val="69"/>
    <w:unhideWhenUsed/>
    <w:qFormat/>
    <w:uiPriority w:val="99"/>
    <w:pPr>
      <w:tabs>
        <w:tab w:val="center" w:pos="4153"/>
        <w:tab w:val="right" w:pos="8306"/>
      </w:tabs>
      <w:snapToGrid w:val="0"/>
      <w:jc w:val="left"/>
    </w:pPr>
    <w:rPr>
      <w:kern w:val="0"/>
      <w:sz w:val="18"/>
      <w:szCs w:val="18"/>
    </w:rPr>
  </w:style>
  <w:style w:type="paragraph" w:styleId="29">
    <w:name w:val="header"/>
    <w:basedOn w:val="1"/>
    <w:link w:val="7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spacing w:before="120" w:after="120"/>
      <w:jc w:val="left"/>
    </w:pPr>
    <w:rPr>
      <w:rFonts w:ascii="Calibri" w:hAnsi="Calibri"/>
      <w:b/>
      <w:bCs/>
      <w:caps/>
      <w:sz w:val="20"/>
      <w:szCs w:val="20"/>
    </w:rPr>
  </w:style>
  <w:style w:type="paragraph" w:styleId="31">
    <w:name w:val="toc 4"/>
    <w:basedOn w:val="1"/>
    <w:next w:val="1"/>
    <w:unhideWhenUsed/>
    <w:qFormat/>
    <w:uiPriority w:val="39"/>
    <w:pPr>
      <w:ind w:left="630"/>
      <w:jc w:val="left"/>
    </w:pPr>
    <w:rPr>
      <w:rFonts w:ascii="Calibri" w:hAnsi="Calibri"/>
      <w:sz w:val="18"/>
      <w:szCs w:val="18"/>
    </w:rPr>
  </w:style>
  <w:style w:type="paragraph" w:styleId="32">
    <w:name w:val="Subtitle"/>
    <w:basedOn w:val="1"/>
    <w:next w:val="1"/>
    <w:link w:val="71"/>
    <w:qFormat/>
    <w:uiPriority w:val="11"/>
    <w:pPr>
      <w:widowControl/>
      <w:spacing w:before="200" w:after="900"/>
      <w:jc w:val="right"/>
    </w:pPr>
    <w:rPr>
      <w:i/>
      <w:iCs/>
      <w:kern w:val="0"/>
      <w:sz w:val="24"/>
      <w:szCs w:val="24"/>
      <w:lang w:eastAsia="en-US" w:bidi="en-US"/>
    </w:rPr>
  </w:style>
  <w:style w:type="paragraph" w:styleId="33">
    <w:name w:val="footnote text"/>
    <w:basedOn w:val="1"/>
    <w:link w:val="72"/>
    <w:qFormat/>
    <w:uiPriority w:val="99"/>
    <w:pPr>
      <w:snapToGrid w:val="0"/>
      <w:spacing w:line="360" w:lineRule="auto"/>
      <w:ind w:firstLine="200" w:firstLineChars="200"/>
      <w:jc w:val="left"/>
    </w:pPr>
    <w:rPr>
      <w:kern w:val="0"/>
      <w:sz w:val="18"/>
      <w:szCs w:val="18"/>
    </w:rPr>
  </w:style>
  <w:style w:type="paragraph" w:styleId="34">
    <w:name w:val="toc 6"/>
    <w:basedOn w:val="1"/>
    <w:next w:val="1"/>
    <w:unhideWhenUsed/>
    <w:qFormat/>
    <w:uiPriority w:val="39"/>
    <w:pPr>
      <w:ind w:left="1050"/>
      <w:jc w:val="left"/>
    </w:pPr>
    <w:rPr>
      <w:rFonts w:ascii="Calibri" w:hAnsi="Calibri"/>
      <w:sz w:val="18"/>
      <w:szCs w:val="18"/>
    </w:rPr>
  </w:style>
  <w:style w:type="paragraph" w:styleId="35">
    <w:name w:val="Body Text Indent 3"/>
    <w:basedOn w:val="1"/>
    <w:link w:val="126"/>
    <w:qFormat/>
    <w:uiPriority w:val="0"/>
    <w:pPr>
      <w:autoSpaceDE w:val="0"/>
      <w:autoSpaceDN w:val="0"/>
      <w:adjustRightInd w:val="0"/>
      <w:spacing w:line="760" w:lineRule="exact"/>
      <w:ind w:firstLine="560"/>
      <w:jc w:val="left"/>
    </w:pPr>
    <w:rPr>
      <w:rFonts w:ascii="仿宋_GB2312" w:eastAsia="仿宋_GB2312"/>
      <w:kern w:val="0"/>
      <w:sz w:val="30"/>
      <w:szCs w:val="28"/>
      <w:lang w:val="zh-CN"/>
    </w:rPr>
  </w:style>
  <w:style w:type="paragraph" w:styleId="36">
    <w:name w:val="toc 2"/>
    <w:basedOn w:val="1"/>
    <w:next w:val="1"/>
    <w:unhideWhenUsed/>
    <w:qFormat/>
    <w:uiPriority w:val="39"/>
    <w:pPr>
      <w:ind w:left="210"/>
      <w:jc w:val="left"/>
    </w:pPr>
    <w:rPr>
      <w:rFonts w:ascii="Calibri" w:hAnsi="Calibri"/>
      <w:smallCaps/>
      <w:sz w:val="20"/>
      <w:szCs w:val="20"/>
    </w:rPr>
  </w:style>
  <w:style w:type="paragraph" w:styleId="37">
    <w:name w:val="toc 9"/>
    <w:basedOn w:val="1"/>
    <w:next w:val="1"/>
    <w:unhideWhenUsed/>
    <w:qFormat/>
    <w:uiPriority w:val="39"/>
    <w:pPr>
      <w:ind w:left="1680"/>
      <w:jc w:val="left"/>
    </w:pPr>
    <w:rPr>
      <w:rFonts w:ascii="Calibri" w:hAnsi="Calibri"/>
      <w:sz w:val="18"/>
      <w:szCs w:val="18"/>
    </w:rPr>
  </w:style>
  <w:style w:type="paragraph" w:styleId="38">
    <w:name w:val="Body Text 2"/>
    <w:basedOn w:val="1"/>
    <w:link w:val="125"/>
    <w:qFormat/>
    <w:uiPriority w:val="0"/>
    <w:pPr>
      <w:spacing w:line="840" w:lineRule="exact"/>
      <w:jc w:val="center"/>
    </w:pPr>
    <w:rPr>
      <w:rFonts w:ascii="黑体" w:hAnsi="宋体" w:eastAsia="黑体"/>
      <w:b/>
      <w:sz w:val="44"/>
      <w:szCs w:val="42"/>
    </w:rPr>
  </w:style>
  <w:style w:type="paragraph" w:styleId="39">
    <w:name w:val="Normal (Web)"/>
    <w:basedOn w:val="1"/>
    <w:link w:val="73"/>
    <w:unhideWhenUsed/>
    <w:qFormat/>
    <w:uiPriority w:val="0"/>
    <w:pPr>
      <w:widowControl/>
      <w:spacing w:before="100" w:beforeAutospacing="1" w:after="100" w:afterAutospacing="1"/>
      <w:jc w:val="left"/>
    </w:pPr>
    <w:rPr>
      <w:rFonts w:ascii="宋体" w:hAnsi="宋体" w:cs="宋体"/>
      <w:kern w:val="0"/>
      <w:sz w:val="24"/>
      <w:szCs w:val="24"/>
      <w:lang w:eastAsia="en-US" w:bidi="en-US"/>
    </w:rPr>
  </w:style>
  <w:style w:type="paragraph" w:styleId="40">
    <w:name w:val="Title"/>
    <w:basedOn w:val="1"/>
    <w:next w:val="1"/>
    <w:link w:val="74"/>
    <w:qFormat/>
    <w:uiPriority w:val="0"/>
    <w:pPr>
      <w:widowControl/>
      <w:pBdr>
        <w:top w:val="single" w:color="A7BFDE" w:sz="8" w:space="10"/>
        <w:bottom w:val="single" w:color="9BBB59" w:sz="24" w:space="15"/>
      </w:pBdr>
      <w:jc w:val="center"/>
    </w:pPr>
    <w:rPr>
      <w:i/>
      <w:iCs/>
      <w:color w:val="243F60"/>
      <w:kern w:val="0"/>
      <w:sz w:val="60"/>
      <w:szCs w:val="60"/>
      <w:lang w:eastAsia="en-US" w:bidi="en-US"/>
    </w:rPr>
  </w:style>
  <w:style w:type="paragraph" w:styleId="41">
    <w:name w:val="annotation subject"/>
    <w:basedOn w:val="15"/>
    <w:next w:val="15"/>
    <w:link w:val="75"/>
    <w:unhideWhenUsed/>
    <w:qFormat/>
    <w:uiPriority w:val="99"/>
    <w:pPr>
      <w:spacing w:line="240" w:lineRule="auto"/>
    </w:pPr>
    <w:rPr>
      <w:b/>
      <w:bCs/>
      <w:sz w:val="30"/>
    </w:rPr>
  </w:style>
  <w:style w:type="paragraph" w:styleId="42">
    <w:name w:val="Body Text First Indent"/>
    <w:basedOn w:val="1"/>
    <w:link w:val="76"/>
    <w:qFormat/>
    <w:uiPriority w:val="0"/>
    <w:pPr>
      <w:tabs>
        <w:tab w:val="left" w:pos="900"/>
        <w:tab w:val="left" w:pos="1320"/>
      </w:tabs>
      <w:spacing w:afterLines="30"/>
      <w:jc w:val="left"/>
    </w:pPr>
    <w:rPr>
      <w:bCs/>
      <w:iCs/>
      <w:kern w:val="0"/>
      <w:sz w:val="24"/>
      <w:szCs w:val="24"/>
    </w:rPr>
  </w:style>
  <w:style w:type="table" w:styleId="44">
    <w:name w:val="Table Grid"/>
    <w:basedOn w:val="43"/>
    <w:qFormat/>
    <w:uiPriority w:val="59"/>
    <w:pPr>
      <w:ind w:firstLine="360"/>
    </w:pPr>
    <w:rPr>
      <w:sz w:val="22"/>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spacing w:val="0"/>
    </w:rPr>
  </w:style>
  <w:style w:type="character" w:styleId="47">
    <w:name w:val="endnote reference"/>
    <w:basedOn w:val="45"/>
    <w:unhideWhenUsed/>
    <w:qFormat/>
    <w:uiPriority w:val="99"/>
    <w:rPr>
      <w:vertAlign w:val="superscript"/>
    </w:rPr>
  </w:style>
  <w:style w:type="character" w:styleId="48">
    <w:name w:val="page number"/>
    <w:basedOn w:val="45"/>
    <w:qFormat/>
    <w:uiPriority w:val="0"/>
  </w:style>
  <w:style w:type="character" w:styleId="49">
    <w:name w:val="FollowedHyperlink"/>
    <w:unhideWhenUsed/>
    <w:qFormat/>
    <w:uiPriority w:val="99"/>
    <w:rPr>
      <w:color w:val="800080"/>
      <w:u w:val="single"/>
    </w:rPr>
  </w:style>
  <w:style w:type="character" w:styleId="50">
    <w:name w:val="Emphasis"/>
    <w:qFormat/>
    <w:uiPriority w:val="20"/>
    <w:rPr>
      <w:b/>
      <w:bCs/>
      <w:i/>
      <w:iCs/>
      <w:color w:val="5A5A5A"/>
    </w:rPr>
  </w:style>
  <w:style w:type="character" w:styleId="51">
    <w:name w:val="Hyperlink"/>
    <w:unhideWhenUsed/>
    <w:qFormat/>
    <w:uiPriority w:val="99"/>
    <w:rPr>
      <w:color w:val="0000FF"/>
      <w:u w:val="single"/>
    </w:rPr>
  </w:style>
  <w:style w:type="character" w:styleId="52">
    <w:name w:val="annotation reference"/>
    <w:unhideWhenUsed/>
    <w:qFormat/>
    <w:uiPriority w:val="99"/>
    <w:rPr>
      <w:sz w:val="21"/>
      <w:szCs w:val="21"/>
    </w:rPr>
  </w:style>
  <w:style w:type="character" w:styleId="53">
    <w:name w:val="footnote reference"/>
    <w:qFormat/>
    <w:uiPriority w:val="99"/>
    <w:rPr>
      <w:rFonts w:cs="Times New Roman"/>
      <w:vertAlign w:val="superscript"/>
    </w:rPr>
  </w:style>
  <w:style w:type="character" w:customStyle="1" w:styleId="54">
    <w:name w:val="批注文字 字符"/>
    <w:link w:val="15"/>
    <w:qFormat/>
    <w:uiPriority w:val="99"/>
    <w:rPr>
      <w:kern w:val="0"/>
      <w:sz w:val="28"/>
      <w:lang w:eastAsia="en-US" w:bidi="en-US"/>
    </w:rPr>
  </w:style>
  <w:style w:type="character" w:customStyle="1" w:styleId="55">
    <w:name w:val="标题 1 字符"/>
    <w:link w:val="2"/>
    <w:qFormat/>
    <w:uiPriority w:val="1"/>
    <w:rPr>
      <w:b/>
      <w:bCs/>
      <w:sz w:val="30"/>
      <w:szCs w:val="24"/>
      <w:lang w:bidi="en-US"/>
    </w:rPr>
  </w:style>
  <w:style w:type="character" w:customStyle="1" w:styleId="56">
    <w:name w:val="标题 2 字符"/>
    <w:link w:val="3"/>
    <w:qFormat/>
    <w:uiPriority w:val="9"/>
    <w:rPr>
      <w:color w:val="365F91"/>
      <w:sz w:val="24"/>
      <w:szCs w:val="24"/>
      <w:lang w:eastAsia="en-US" w:bidi="en-US"/>
    </w:rPr>
  </w:style>
  <w:style w:type="character" w:customStyle="1" w:styleId="57">
    <w:name w:val="标题 3 字符"/>
    <w:link w:val="4"/>
    <w:qFormat/>
    <w:uiPriority w:val="9"/>
    <w:rPr>
      <w:color w:val="4F81BD"/>
      <w:sz w:val="24"/>
      <w:szCs w:val="24"/>
      <w:lang w:eastAsia="en-US" w:bidi="en-US"/>
    </w:rPr>
  </w:style>
  <w:style w:type="character" w:customStyle="1" w:styleId="58">
    <w:name w:val="标题 4 字符"/>
    <w:link w:val="5"/>
    <w:qFormat/>
    <w:uiPriority w:val="9"/>
    <w:rPr>
      <w:i/>
      <w:iCs/>
      <w:color w:val="4F81BD"/>
      <w:sz w:val="24"/>
      <w:szCs w:val="24"/>
      <w:lang w:eastAsia="en-US" w:bidi="en-US"/>
    </w:rPr>
  </w:style>
  <w:style w:type="character" w:customStyle="1" w:styleId="59">
    <w:name w:val="标题 5 字符"/>
    <w:link w:val="6"/>
    <w:qFormat/>
    <w:uiPriority w:val="1"/>
    <w:rPr>
      <w:color w:val="4F81BD"/>
      <w:sz w:val="22"/>
      <w:szCs w:val="21"/>
      <w:lang w:eastAsia="en-US" w:bidi="en-US"/>
    </w:rPr>
  </w:style>
  <w:style w:type="character" w:customStyle="1" w:styleId="60">
    <w:name w:val="标题 6 字符"/>
    <w:link w:val="7"/>
    <w:qFormat/>
    <w:uiPriority w:val="9"/>
    <w:rPr>
      <w:i/>
      <w:iCs/>
      <w:color w:val="4F81BD"/>
      <w:sz w:val="22"/>
      <w:szCs w:val="21"/>
      <w:lang w:eastAsia="en-US" w:bidi="en-US"/>
    </w:rPr>
  </w:style>
  <w:style w:type="character" w:customStyle="1" w:styleId="61">
    <w:name w:val="标题 7 字符"/>
    <w:link w:val="8"/>
    <w:qFormat/>
    <w:uiPriority w:val="9"/>
    <w:rPr>
      <w:b/>
      <w:bCs/>
      <w:color w:val="9BBB59"/>
      <w:lang w:eastAsia="en-US" w:bidi="en-US"/>
    </w:rPr>
  </w:style>
  <w:style w:type="character" w:customStyle="1" w:styleId="62">
    <w:name w:val="标题 8 字符"/>
    <w:link w:val="9"/>
    <w:qFormat/>
    <w:uiPriority w:val="9"/>
    <w:rPr>
      <w:b/>
      <w:bCs/>
      <w:i/>
      <w:iCs/>
      <w:color w:val="9BBB59"/>
      <w:lang w:eastAsia="en-US" w:bidi="en-US"/>
    </w:rPr>
  </w:style>
  <w:style w:type="character" w:customStyle="1" w:styleId="63">
    <w:name w:val="标题 9 字符"/>
    <w:link w:val="10"/>
    <w:qFormat/>
    <w:uiPriority w:val="9"/>
    <w:rPr>
      <w:i/>
      <w:iCs/>
      <w:color w:val="9BBB59"/>
      <w:lang w:eastAsia="en-US" w:bidi="en-US"/>
    </w:rPr>
  </w:style>
  <w:style w:type="character" w:customStyle="1" w:styleId="64">
    <w:name w:val="文档结构图 字符"/>
    <w:link w:val="14"/>
    <w:qFormat/>
    <w:uiPriority w:val="99"/>
    <w:rPr>
      <w:rFonts w:ascii="宋体" w:eastAsia="宋体"/>
      <w:sz w:val="18"/>
      <w:szCs w:val="18"/>
    </w:rPr>
  </w:style>
  <w:style w:type="character" w:customStyle="1" w:styleId="65">
    <w:name w:val="正文文本 字符"/>
    <w:link w:val="17"/>
    <w:qFormat/>
    <w:uiPriority w:val="0"/>
    <w:rPr>
      <w:rFonts w:ascii="Times New Roman" w:hAnsi="Times New Roman" w:eastAsia="宋体" w:cs="Times New Roman"/>
      <w:szCs w:val="20"/>
    </w:rPr>
  </w:style>
  <w:style w:type="character" w:customStyle="1" w:styleId="66">
    <w:name w:val="正文文本缩进 字符"/>
    <w:link w:val="18"/>
    <w:qFormat/>
    <w:uiPriority w:val="0"/>
    <w:rPr>
      <w:rFonts w:ascii="仿宋_GB2312" w:hAnsi="Times New Roman" w:eastAsia="仿宋_GB2312" w:cs="Times New Roman"/>
      <w:sz w:val="30"/>
      <w:szCs w:val="24"/>
    </w:rPr>
  </w:style>
  <w:style w:type="character" w:customStyle="1" w:styleId="67">
    <w:name w:val="日期 字符"/>
    <w:basedOn w:val="45"/>
    <w:link w:val="24"/>
    <w:qFormat/>
    <w:uiPriority w:val="99"/>
  </w:style>
  <w:style w:type="character" w:customStyle="1" w:styleId="68">
    <w:name w:val="批注框文本 字符"/>
    <w:link w:val="27"/>
    <w:qFormat/>
    <w:uiPriority w:val="99"/>
    <w:rPr>
      <w:sz w:val="18"/>
      <w:szCs w:val="18"/>
    </w:rPr>
  </w:style>
  <w:style w:type="character" w:customStyle="1" w:styleId="69">
    <w:name w:val="页脚 字符"/>
    <w:link w:val="28"/>
    <w:qFormat/>
    <w:uiPriority w:val="99"/>
    <w:rPr>
      <w:sz w:val="18"/>
      <w:szCs w:val="18"/>
    </w:rPr>
  </w:style>
  <w:style w:type="character" w:customStyle="1" w:styleId="70">
    <w:name w:val="页眉 字符"/>
    <w:link w:val="29"/>
    <w:qFormat/>
    <w:uiPriority w:val="99"/>
    <w:rPr>
      <w:sz w:val="18"/>
      <w:szCs w:val="18"/>
    </w:rPr>
  </w:style>
  <w:style w:type="character" w:customStyle="1" w:styleId="71">
    <w:name w:val="副标题 字符"/>
    <w:link w:val="32"/>
    <w:qFormat/>
    <w:uiPriority w:val="11"/>
    <w:rPr>
      <w:i/>
      <w:iCs/>
      <w:kern w:val="0"/>
      <w:sz w:val="24"/>
      <w:szCs w:val="24"/>
      <w:lang w:eastAsia="en-US" w:bidi="en-US"/>
    </w:rPr>
  </w:style>
  <w:style w:type="character" w:customStyle="1" w:styleId="72">
    <w:name w:val="脚注文本 字符1"/>
    <w:link w:val="33"/>
    <w:qFormat/>
    <w:uiPriority w:val="99"/>
    <w:rPr>
      <w:rFonts w:ascii="Times New Roman" w:hAnsi="Times New Roman" w:eastAsia="宋体" w:cs="Times New Roman"/>
      <w:sz w:val="18"/>
      <w:szCs w:val="18"/>
    </w:rPr>
  </w:style>
  <w:style w:type="character" w:customStyle="1" w:styleId="73">
    <w:name w:val="普通(网站) 字符1"/>
    <w:link w:val="39"/>
    <w:qFormat/>
    <w:uiPriority w:val="99"/>
    <w:rPr>
      <w:rFonts w:ascii="宋体" w:hAnsi="宋体" w:eastAsia="宋体" w:cs="宋体"/>
      <w:kern w:val="0"/>
      <w:sz w:val="24"/>
      <w:szCs w:val="24"/>
      <w:lang w:eastAsia="en-US" w:bidi="en-US"/>
    </w:rPr>
  </w:style>
  <w:style w:type="character" w:customStyle="1" w:styleId="74">
    <w:name w:val="标题 字符"/>
    <w:link w:val="40"/>
    <w:qFormat/>
    <w:uiPriority w:val="0"/>
    <w:rPr>
      <w:rFonts w:ascii="Arial" w:hAnsi="Arial" w:eastAsia="黑体" w:cs="Times New Roman"/>
      <w:i/>
      <w:iCs/>
      <w:color w:val="243F60"/>
      <w:kern w:val="0"/>
      <w:sz w:val="60"/>
      <w:szCs w:val="60"/>
      <w:lang w:eastAsia="en-US" w:bidi="en-US"/>
    </w:rPr>
  </w:style>
  <w:style w:type="character" w:customStyle="1" w:styleId="75">
    <w:name w:val="批注主题 字符"/>
    <w:link w:val="41"/>
    <w:qFormat/>
    <w:uiPriority w:val="99"/>
    <w:rPr>
      <w:b/>
      <w:bCs/>
      <w:kern w:val="0"/>
      <w:sz w:val="30"/>
      <w:lang w:eastAsia="en-US" w:bidi="en-US"/>
    </w:rPr>
  </w:style>
  <w:style w:type="character" w:customStyle="1" w:styleId="76">
    <w:name w:val="正文首行缩进 字符"/>
    <w:link w:val="42"/>
    <w:qFormat/>
    <w:uiPriority w:val="0"/>
    <w:rPr>
      <w:rFonts w:ascii="Times New Roman" w:hAnsi="Times New Roman" w:eastAsia="宋体" w:cs="Times New Roman"/>
      <w:bCs/>
      <w:iCs/>
      <w:kern w:val="0"/>
      <w:sz w:val="24"/>
      <w:szCs w:val="24"/>
    </w:rPr>
  </w:style>
  <w:style w:type="character" w:customStyle="1" w:styleId="77">
    <w:name w:val="_Style 67"/>
    <w:qFormat/>
    <w:uiPriority w:val="21"/>
    <w:rPr>
      <w:b/>
      <w:bCs/>
      <w:i/>
      <w:iCs/>
      <w:color w:val="4F81BD"/>
      <w:sz w:val="22"/>
      <w:szCs w:val="22"/>
    </w:rPr>
  </w:style>
  <w:style w:type="character" w:customStyle="1" w:styleId="78">
    <w:name w:val="第一级标题 Char"/>
    <w:link w:val="79"/>
    <w:qFormat/>
    <w:uiPriority w:val="0"/>
    <w:rPr>
      <w:rFonts w:ascii="黑体" w:hAnsi="黑体"/>
      <w:b/>
      <w:bCs/>
      <w:kern w:val="44"/>
      <w:sz w:val="36"/>
      <w:szCs w:val="32"/>
      <w:lang w:bidi="en-US"/>
    </w:rPr>
  </w:style>
  <w:style w:type="paragraph" w:customStyle="1" w:styleId="79">
    <w:name w:val="第一级标题"/>
    <w:basedOn w:val="2"/>
    <w:link w:val="78"/>
    <w:qFormat/>
    <w:uiPriority w:val="0"/>
    <w:pPr>
      <w:widowControl w:val="0"/>
      <w:numPr>
        <w:numId w:val="2"/>
      </w:numPr>
      <w:spacing w:before="120" w:after="120" w:line="560" w:lineRule="exact"/>
    </w:pPr>
    <w:rPr>
      <w:rFonts w:ascii="黑体" w:hAnsi="黑体"/>
      <w:kern w:val="44"/>
      <w:sz w:val="36"/>
      <w:szCs w:val="32"/>
    </w:rPr>
  </w:style>
  <w:style w:type="character" w:customStyle="1" w:styleId="80">
    <w:name w:val="apple-style-span"/>
    <w:basedOn w:val="45"/>
    <w:qFormat/>
    <w:uiPriority w:val="0"/>
  </w:style>
  <w:style w:type="character" w:customStyle="1" w:styleId="81">
    <w:name w:val="脚注文本 字符"/>
    <w:qFormat/>
    <w:uiPriority w:val="99"/>
    <w:rPr>
      <w:rFonts w:ascii="Times New Roman" w:hAnsi="Times New Roman" w:eastAsia="宋体" w:cs="Times New Roman"/>
      <w:sz w:val="18"/>
      <w:szCs w:val="18"/>
    </w:rPr>
  </w:style>
  <w:style w:type="character" w:styleId="82">
    <w:name w:val="Placeholder Text"/>
    <w:semiHidden/>
    <w:qFormat/>
    <w:uiPriority w:val="99"/>
    <w:rPr>
      <w:color w:val="808080"/>
    </w:rPr>
  </w:style>
  <w:style w:type="character" w:customStyle="1" w:styleId="83">
    <w:name w:val="明显引用 字符"/>
    <w:link w:val="84"/>
    <w:qFormat/>
    <w:uiPriority w:val="30"/>
    <w:rPr>
      <w:rFonts w:ascii="Arial" w:hAnsi="Arial" w:eastAsia="黑体" w:cs="Times New Roman"/>
      <w:i/>
      <w:iCs/>
      <w:color w:val="FFFFFF"/>
      <w:kern w:val="0"/>
      <w:sz w:val="24"/>
      <w:szCs w:val="24"/>
      <w:shd w:val="clear" w:color="auto" w:fill="4F81BD"/>
      <w:lang w:eastAsia="en-US" w:bidi="en-US"/>
    </w:rPr>
  </w:style>
  <w:style w:type="paragraph" w:styleId="84">
    <w:name w:val="Intense Quote"/>
    <w:basedOn w:val="1"/>
    <w:next w:val="1"/>
    <w:link w:val="83"/>
    <w:qFormat/>
    <w:uiPriority w:val="30"/>
    <w:pPr>
      <w:widowControl/>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firstLine="360"/>
      <w:jc w:val="left"/>
    </w:pPr>
    <w:rPr>
      <w:i/>
      <w:iCs/>
      <w:color w:val="FFFFFF"/>
      <w:kern w:val="0"/>
      <w:sz w:val="24"/>
      <w:szCs w:val="24"/>
      <w:lang w:eastAsia="en-US" w:bidi="en-US"/>
    </w:rPr>
  </w:style>
  <w:style w:type="character" w:customStyle="1" w:styleId="85">
    <w:name w:val="引用 字符"/>
    <w:link w:val="86"/>
    <w:qFormat/>
    <w:uiPriority w:val="29"/>
    <w:rPr>
      <w:rFonts w:ascii="Arial" w:hAnsi="Arial" w:eastAsia="黑体" w:cs="Times New Roman"/>
      <w:i/>
      <w:iCs/>
      <w:color w:val="5A5A5A"/>
      <w:kern w:val="0"/>
      <w:sz w:val="22"/>
      <w:lang w:eastAsia="en-US" w:bidi="en-US"/>
    </w:rPr>
  </w:style>
  <w:style w:type="paragraph" w:styleId="86">
    <w:name w:val="Quote"/>
    <w:basedOn w:val="1"/>
    <w:next w:val="1"/>
    <w:link w:val="85"/>
    <w:qFormat/>
    <w:uiPriority w:val="29"/>
    <w:pPr>
      <w:widowControl/>
      <w:ind w:firstLine="360"/>
      <w:jc w:val="left"/>
    </w:pPr>
    <w:rPr>
      <w:i/>
      <w:iCs/>
      <w:color w:val="5A5A5A"/>
      <w:kern w:val="0"/>
      <w:sz w:val="22"/>
      <w:szCs w:val="20"/>
      <w:lang w:eastAsia="en-US" w:bidi="en-US"/>
    </w:rPr>
  </w:style>
  <w:style w:type="character" w:customStyle="1" w:styleId="87">
    <w:name w:val="普通(网站) 字符"/>
    <w:qFormat/>
    <w:uiPriority w:val="99"/>
    <w:rPr>
      <w:rFonts w:ascii="宋体" w:hAnsi="宋体" w:eastAsia="宋体" w:cs="宋体"/>
      <w:kern w:val="0"/>
      <w:sz w:val="24"/>
      <w:szCs w:val="24"/>
    </w:rPr>
  </w:style>
  <w:style w:type="character" w:customStyle="1" w:styleId="88">
    <w:name w:val="_Style 78"/>
    <w:qFormat/>
    <w:uiPriority w:val="33"/>
    <w:rPr>
      <w:rFonts w:ascii="Arial" w:hAnsi="Arial" w:eastAsia="黑体" w:cs="Times New Roman"/>
      <w:b/>
      <w:bCs/>
      <w:i/>
      <w:iCs/>
      <w:color w:val="auto"/>
    </w:rPr>
  </w:style>
  <w:style w:type="character" w:customStyle="1" w:styleId="89">
    <w:name w:val="条 Char"/>
    <w:link w:val="90"/>
    <w:qFormat/>
    <w:uiPriority w:val="0"/>
    <w:rPr>
      <w:rFonts w:ascii="仿宋_GB2312" w:hAnsi="仿宋" w:eastAsia="仿宋_GB2312" w:cs="Times New Roman"/>
      <w:sz w:val="32"/>
      <w:szCs w:val="32"/>
    </w:rPr>
  </w:style>
  <w:style w:type="paragraph" w:customStyle="1" w:styleId="90">
    <w:name w:val="条"/>
    <w:basedOn w:val="1"/>
    <w:link w:val="89"/>
    <w:qFormat/>
    <w:uiPriority w:val="0"/>
    <w:pPr>
      <w:spacing w:line="560" w:lineRule="exact"/>
      <w:ind w:firstLine="640" w:firstLineChars="200"/>
    </w:pPr>
    <w:rPr>
      <w:rFonts w:ascii="仿宋_GB2312" w:hAnsi="仿宋" w:eastAsia="仿宋_GB2312"/>
      <w:kern w:val="0"/>
      <w:sz w:val="32"/>
      <w:szCs w:val="32"/>
    </w:rPr>
  </w:style>
  <w:style w:type="character" w:customStyle="1" w:styleId="91">
    <w:name w:val="列出段落 字符"/>
    <w:link w:val="92"/>
    <w:qFormat/>
    <w:uiPriority w:val="99"/>
    <w:rPr>
      <w:kern w:val="0"/>
      <w:sz w:val="22"/>
      <w:lang w:eastAsia="en-US" w:bidi="en-US"/>
    </w:rPr>
  </w:style>
  <w:style w:type="paragraph" w:styleId="92">
    <w:name w:val="List Paragraph"/>
    <w:basedOn w:val="1"/>
    <w:link w:val="91"/>
    <w:qFormat/>
    <w:uiPriority w:val="0"/>
    <w:pPr>
      <w:widowControl/>
      <w:ind w:left="720" w:firstLine="360"/>
      <w:contextualSpacing/>
      <w:jc w:val="left"/>
    </w:pPr>
    <w:rPr>
      <w:kern w:val="0"/>
      <w:sz w:val="22"/>
      <w:szCs w:val="20"/>
      <w:lang w:eastAsia="en-US" w:bidi="en-US"/>
    </w:rPr>
  </w:style>
  <w:style w:type="character" w:customStyle="1" w:styleId="93">
    <w:name w:val="apple-converted-space"/>
    <w:basedOn w:val="45"/>
    <w:qFormat/>
    <w:uiPriority w:val="0"/>
  </w:style>
  <w:style w:type="character" w:customStyle="1" w:styleId="94">
    <w:name w:val="msoins"/>
    <w:basedOn w:val="45"/>
    <w:qFormat/>
    <w:uiPriority w:val="0"/>
  </w:style>
  <w:style w:type="character" w:customStyle="1" w:styleId="95">
    <w:name w:val="无间隔 字符"/>
    <w:link w:val="96"/>
    <w:qFormat/>
    <w:uiPriority w:val="1"/>
    <w:rPr>
      <w:kern w:val="0"/>
      <w:sz w:val="22"/>
      <w:lang w:eastAsia="en-US" w:bidi="en-US"/>
    </w:rPr>
  </w:style>
  <w:style w:type="paragraph" w:styleId="96">
    <w:name w:val="No Spacing"/>
    <w:basedOn w:val="1"/>
    <w:link w:val="95"/>
    <w:qFormat/>
    <w:uiPriority w:val="1"/>
    <w:pPr>
      <w:widowControl/>
      <w:jc w:val="left"/>
    </w:pPr>
    <w:rPr>
      <w:kern w:val="0"/>
      <w:sz w:val="22"/>
      <w:szCs w:val="20"/>
      <w:lang w:eastAsia="en-US" w:bidi="en-US"/>
    </w:rPr>
  </w:style>
  <w:style w:type="character" w:customStyle="1" w:styleId="97">
    <w:name w:val="_Style 87"/>
    <w:qFormat/>
    <w:uiPriority w:val="19"/>
    <w:rPr>
      <w:i/>
      <w:iCs/>
      <w:color w:val="5A5A5A"/>
    </w:rPr>
  </w:style>
  <w:style w:type="character" w:customStyle="1" w:styleId="98">
    <w:name w:val="_Style 88"/>
    <w:qFormat/>
    <w:uiPriority w:val="31"/>
    <w:rPr>
      <w:color w:val="auto"/>
      <w:u w:val="single" w:color="9BBB59"/>
    </w:rPr>
  </w:style>
  <w:style w:type="character" w:customStyle="1" w:styleId="99">
    <w:name w:val="_Style 89"/>
    <w:qFormat/>
    <w:uiPriority w:val="32"/>
    <w:rPr>
      <w:b/>
      <w:bCs/>
      <w:color w:val="76923C"/>
      <w:u w:val="single" w:color="9BBB59"/>
    </w:rPr>
  </w:style>
  <w:style w:type="paragraph" w:customStyle="1" w:styleId="10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01">
    <w:name w:val="TOC 标题1"/>
    <w:basedOn w:val="2"/>
    <w:next w:val="1"/>
    <w:unhideWhenUsed/>
    <w:qFormat/>
    <w:uiPriority w:val="39"/>
    <w:pPr>
      <w:keepNext/>
      <w:keepLines/>
      <w:numPr>
        <w:numId w:val="0"/>
      </w:numPr>
      <w:spacing w:before="480" w:line="276" w:lineRule="auto"/>
      <w:outlineLvl w:val="9"/>
    </w:pPr>
    <w:rPr>
      <w:sz w:val="28"/>
      <w:szCs w:val="28"/>
      <w:lang w:bidi="ar-SA"/>
    </w:rPr>
  </w:style>
  <w:style w:type="paragraph" w:customStyle="1" w:styleId="102">
    <w:name w:val="修订1"/>
    <w:semiHidden/>
    <w:qFormat/>
    <w:uiPriority w:val="99"/>
    <w:rPr>
      <w:rFonts w:ascii="Times New Roman" w:hAnsi="Times New Roman" w:eastAsia="宋体" w:cs="Times New Roman"/>
      <w:kern w:val="2"/>
      <w:sz w:val="21"/>
      <w:szCs w:val="21"/>
      <w:lang w:val="en-US" w:eastAsia="zh-CN" w:bidi="ar-SA"/>
    </w:rPr>
  </w:style>
  <w:style w:type="paragraph" w:customStyle="1" w:styleId="103">
    <w:name w:val="一级标题"/>
    <w:basedOn w:val="1"/>
    <w:qFormat/>
    <w:uiPriority w:val="0"/>
    <w:pPr>
      <w:ind w:firstLine="602" w:firstLineChars="200"/>
    </w:pPr>
    <w:rPr>
      <w:rFonts w:ascii="黑体" w:hAnsi="黑体"/>
      <w:b/>
      <w:sz w:val="30"/>
      <w:szCs w:val="30"/>
    </w:rPr>
  </w:style>
  <w:style w:type="paragraph" w:customStyle="1" w:styleId="104">
    <w:name w:val="_Style 94"/>
    <w:qFormat/>
    <w:uiPriority w:val="99"/>
    <w:pPr>
      <w:ind w:firstLine="360"/>
    </w:pPr>
    <w:rPr>
      <w:rFonts w:ascii="仿宋_GB2312" w:hAnsi="微软雅黑" w:eastAsia="仿宋_GB2312" w:cs="Times New Roman"/>
      <w:sz w:val="30"/>
      <w:szCs w:val="30"/>
      <w:shd w:val="clear" w:color="auto" w:fill="FFFF00"/>
      <w:lang w:val="en-US" w:eastAsia="en-US" w:bidi="en-US"/>
    </w:rPr>
  </w:style>
  <w:style w:type="paragraph" w:customStyle="1" w:styleId="105">
    <w:name w:val="_Style 95"/>
    <w:basedOn w:val="2"/>
    <w:next w:val="1"/>
    <w:qFormat/>
    <w:uiPriority w:val="39"/>
    <w:pPr>
      <w:numPr>
        <w:numId w:val="0"/>
      </w:numPr>
      <w:outlineLvl w:val="9"/>
    </w:pPr>
  </w:style>
  <w:style w:type="paragraph" w:customStyle="1" w:styleId="106">
    <w:name w:val="Char Char Char1 Char Char Char"/>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07">
    <w:name w:val="Table Paragraph"/>
    <w:basedOn w:val="1"/>
    <w:qFormat/>
    <w:uiPriority w:val="1"/>
    <w:pPr>
      <w:jc w:val="left"/>
    </w:pPr>
    <w:rPr>
      <w:rFonts w:ascii="Calibri" w:hAnsi="Calibri"/>
      <w:kern w:val="0"/>
      <w:sz w:val="22"/>
      <w:szCs w:val="22"/>
      <w:lang w:eastAsia="en-US"/>
    </w:rPr>
  </w:style>
  <w:style w:type="paragraph" w:customStyle="1" w:styleId="108">
    <w:name w:val="样式1"/>
    <w:basedOn w:val="1"/>
    <w:link w:val="134"/>
    <w:qFormat/>
    <w:uiPriority w:val="0"/>
    <w:pPr>
      <w:numPr>
        <w:ilvl w:val="0"/>
        <w:numId w:val="3"/>
      </w:numPr>
      <w:tabs>
        <w:tab w:val="left" w:pos="2127"/>
      </w:tabs>
      <w:adjustRightInd w:val="0"/>
      <w:snapToGrid w:val="0"/>
      <w:spacing w:line="540" w:lineRule="exact"/>
    </w:pPr>
    <w:rPr>
      <w:rFonts w:ascii="仿宋_GB2312" w:hAnsi="宋体" w:eastAsia="仿宋_GB2312"/>
      <w:kern w:val="0"/>
      <w:sz w:val="30"/>
      <w:szCs w:val="30"/>
    </w:rPr>
  </w:style>
  <w:style w:type="table" w:customStyle="1" w:styleId="109">
    <w:name w:val="网格型2"/>
    <w:basedOn w:val="43"/>
    <w:unhideWhenUsed/>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43"/>
    <w:qFormat/>
    <w:uiPriority w:val="39"/>
    <w:pPr>
      <w:widowControl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3"/>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4"/>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5"/>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修订2"/>
    <w:hidden/>
    <w:semiHidden/>
    <w:qFormat/>
    <w:uiPriority w:val="99"/>
    <w:rPr>
      <w:rFonts w:ascii="Times New Roman" w:hAnsi="Times New Roman" w:eastAsia="宋体" w:cs="Times New Roman"/>
      <w:kern w:val="2"/>
      <w:sz w:val="21"/>
      <w:szCs w:val="21"/>
      <w:lang w:val="en-US" w:eastAsia="zh-CN" w:bidi="ar-SA"/>
    </w:rPr>
  </w:style>
  <w:style w:type="character" w:customStyle="1" w:styleId="115">
    <w:name w:val="未处理的提及1"/>
    <w:basedOn w:val="45"/>
    <w:semiHidden/>
    <w:unhideWhenUsed/>
    <w:qFormat/>
    <w:uiPriority w:val="99"/>
    <w:rPr>
      <w:color w:val="605E5C"/>
      <w:shd w:val="clear" w:color="auto" w:fill="E1DFDD"/>
    </w:rPr>
  </w:style>
  <w:style w:type="paragraph" w:customStyle="1" w:styleId="116">
    <w:name w:val="修订3"/>
    <w:hidden/>
    <w:semiHidden/>
    <w:qFormat/>
    <w:uiPriority w:val="99"/>
    <w:rPr>
      <w:rFonts w:ascii="Times New Roman" w:hAnsi="Times New Roman" w:eastAsia="宋体" w:cs="Times New Roman"/>
      <w:kern w:val="2"/>
      <w:sz w:val="21"/>
      <w:szCs w:val="21"/>
      <w:lang w:val="en-US" w:eastAsia="zh-CN" w:bidi="ar-SA"/>
    </w:rPr>
  </w:style>
  <w:style w:type="character" w:customStyle="1" w:styleId="117">
    <w:name w:val="未处理的提及2"/>
    <w:basedOn w:val="45"/>
    <w:semiHidden/>
    <w:unhideWhenUsed/>
    <w:qFormat/>
    <w:uiPriority w:val="99"/>
    <w:rPr>
      <w:color w:val="605E5C"/>
      <w:shd w:val="clear" w:color="auto" w:fill="E1DFDD"/>
    </w:rPr>
  </w:style>
  <w:style w:type="character" w:customStyle="1" w:styleId="118">
    <w:name w:val="未处理的提及3"/>
    <w:basedOn w:val="45"/>
    <w:semiHidden/>
    <w:unhideWhenUsed/>
    <w:qFormat/>
    <w:uiPriority w:val="99"/>
    <w:rPr>
      <w:color w:val="605E5C"/>
      <w:shd w:val="clear" w:color="auto" w:fill="E1DFDD"/>
    </w:rPr>
  </w:style>
  <w:style w:type="paragraph" w:customStyle="1" w:styleId="119">
    <w:name w:val="SSE正文"/>
    <w:basedOn w:val="1"/>
    <w:link w:val="120"/>
    <w:qFormat/>
    <w:uiPriority w:val="0"/>
    <w:pPr>
      <w:ind w:firstLine="200" w:firstLineChars="200"/>
    </w:pPr>
    <w:rPr>
      <w:rFonts w:eastAsia="仿宋_GB2312"/>
      <w:kern w:val="0"/>
      <w:sz w:val="28"/>
      <w:szCs w:val="28"/>
    </w:rPr>
  </w:style>
  <w:style w:type="character" w:customStyle="1" w:styleId="120">
    <w:name w:val="SSE正文 Char"/>
    <w:link w:val="119"/>
    <w:qFormat/>
    <w:locked/>
    <w:uiPriority w:val="0"/>
    <w:rPr>
      <w:rFonts w:eastAsia="仿宋_GB2312"/>
      <w:sz w:val="28"/>
      <w:szCs w:val="28"/>
    </w:rPr>
  </w:style>
  <w:style w:type="character" w:customStyle="1" w:styleId="121">
    <w:name w:val="不明显强调1"/>
    <w:basedOn w:val="45"/>
    <w:qFormat/>
    <w:uiPriority w:val="19"/>
    <w:rPr>
      <w:i/>
      <w:iCs/>
      <w:color w:val="404040" w:themeColor="text1" w:themeTint="BF"/>
      <w14:textFill>
        <w14:solidFill>
          <w14:schemeClr w14:val="tx1">
            <w14:lumMod w14:val="75000"/>
            <w14:lumOff w14:val="25000"/>
          </w14:schemeClr>
        </w14:solidFill>
      </w14:textFill>
    </w:rPr>
  </w:style>
  <w:style w:type="character" w:customStyle="1" w:styleId="122">
    <w:name w:val="纯文本 字符"/>
    <w:basedOn w:val="45"/>
    <w:link w:val="22"/>
    <w:qFormat/>
    <w:uiPriority w:val="0"/>
    <w:rPr>
      <w:rFonts w:ascii="宋体" w:hAnsi="Courier New"/>
      <w:kern w:val="2"/>
      <w:sz w:val="21"/>
    </w:rPr>
  </w:style>
  <w:style w:type="character" w:customStyle="1" w:styleId="123">
    <w:name w:val="afont1"/>
    <w:basedOn w:val="45"/>
    <w:qFormat/>
    <w:uiPriority w:val="0"/>
  </w:style>
  <w:style w:type="character" w:customStyle="1" w:styleId="124">
    <w:name w:val="正文文本缩进 2 字符"/>
    <w:basedOn w:val="45"/>
    <w:link w:val="25"/>
    <w:qFormat/>
    <w:uiPriority w:val="0"/>
    <w:rPr>
      <w:rFonts w:ascii="仿宋_GB2312" w:hAnsi="宋体" w:eastAsia="仿宋_GB2312"/>
      <w:kern w:val="2"/>
      <w:sz w:val="30"/>
      <w:szCs w:val="30"/>
    </w:rPr>
  </w:style>
  <w:style w:type="character" w:customStyle="1" w:styleId="125">
    <w:name w:val="正文文本 2 字符"/>
    <w:basedOn w:val="45"/>
    <w:link w:val="38"/>
    <w:qFormat/>
    <w:uiPriority w:val="0"/>
    <w:rPr>
      <w:rFonts w:ascii="黑体" w:hAnsi="宋体" w:eastAsia="黑体"/>
      <w:b/>
      <w:kern w:val="2"/>
      <w:sz w:val="44"/>
      <w:szCs w:val="42"/>
    </w:rPr>
  </w:style>
  <w:style w:type="character" w:customStyle="1" w:styleId="126">
    <w:name w:val="正文文本缩进 3 字符"/>
    <w:basedOn w:val="45"/>
    <w:link w:val="35"/>
    <w:qFormat/>
    <w:uiPriority w:val="0"/>
    <w:rPr>
      <w:rFonts w:ascii="仿宋_GB2312" w:eastAsia="仿宋_GB2312"/>
      <w:sz w:val="30"/>
      <w:szCs w:val="28"/>
      <w:lang w:val="zh-CN"/>
    </w:rPr>
  </w:style>
  <w:style w:type="character" w:customStyle="1" w:styleId="127">
    <w:name w:val="正文文本 3 字符"/>
    <w:basedOn w:val="45"/>
    <w:link w:val="16"/>
    <w:qFormat/>
    <w:uiPriority w:val="0"/>
    <w:rPr>
      <w:rFonts w:ascii="方正大标宋简体" w:hAnsi="宋体" w:eastAsia="方正大标宋简体"/>
      <w:bCs/>
      <w:kern w:val="2"/>
      <w:sz w:val="42"/>
      <w:szCs w:val="42"/>
    </w:rPr>
  </w:style>
  <w:style w:type="paragraph" w:customStyle="1" w:styleId="128">
    <w:name w:val="Char1"/>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29">
    <w:name w:val="段 Char Char Char"/>
    <w:basedOn w:val="1"/>
    <w:qFormat/>
    <w:uiPriority w:val="0"/>
    <w:pPr>
      <w:widowControl/>
      <w:spacing w:beforeLines="2" w:afterLines="2" w:line="320" w:lineRule="exact"/>
      <w:ind w:firstLine="360" w:firstLineChars="200"/>
      <w:jc w:val="left"/>
    </w:pPr>
    <w:rPr>
      <w:rFonts w:ascii="宋体" w:hAnsi="Tahoma"/>
    </w:rPr>
  </w:style>
  <w:style w:type="paragraph" w:customStyle="1" w:styleId="130">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8"/>
      <w:szCs w:val="18"/>
    </w:rPr>
  </w:style>
  <w:style w:type="paragraph" w:customStyle="1" w:styleId="131">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列出段落1"/>
    <w:basedOn w:val="1"/>
    <w:qFormat/>
    <w:uiPriority w:val="34"/>
    <w:pPr>
      <w:ind w:firstLine="420" w:firstLineChars="200"/>
    </w:pPr>
    <w:rPr>
      <w:rFonts w:ascii="Calibri" w:hAnsi="Calibri" w:cs="Calibri"/>
    </w:rPr>
  </w:style>
  <w:style w:type="paragraph" w:customStyle="1" w:styleId="133">
    <w:name w:val="Char Char Char Char Char Char Char"/>
    <w:basedOn w:val="1"/>
    <w:qFormat/>
    <w:uiPriority w:val="0"/>
    <w:pPr>
      <w:tabs>
        <w:tab w:val="left" w:pos="360"/>
      </w:tabs>
    </w:pPr>
    <w:rPr>
      <w:sz w:val="24"/>
      <w:szCs w:val="24"/>
    </w:rPr>
  </w:style>
  <w:style w:type="character" w:customStyle="1" w:styleId="134">
    <w:name w:val="样式1 Char"/>
    <w:link w:val="108"/>
    <w:qFormat/>
    <w:uiPriority w:val="0"/>
    <w:rPr>
      <w:rFonts w:ascii="仿宋_GB2312" w:hAnsi="宋体" w:eastAsia="仿宋_GB2312"/>
      <w:sz w:val="30"/>
      <w:szCs w:val="30"/>
    </w:rPr>
  </w:style>
  <w:style w:type="paragraph" w:customStyle="1" w:styleId="135">
    <w:name w:val="msolistparagraph"/>
    <w:basedOn w:val="1"/>
    <w:qFormat/>
    <w:uiPriority w:val="0"/>
    <w:pPr>
      <w:widowControl/>
      <w:ind w:firstLine="420"/>
    </w:pPr>
    <w:rPr>
      <w:rFonts w:ascii="Calibri" w:hAnsi="Calibri" w:cs="宋体"/>
      <w:kern w:val="0"/>
    </w:rPr>
  </w:style>
  <w:style w:type="paragraph" w:customStyle="1" w:styleId="13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137">
    <w:name w:val="列出段落2"/>
    <w:basedOn w:val="1"/>
    <w:qFormat/>
    <w:uiPriority w:val="0"/>
    <w:pPr>
      <w:ind w:firstLine="420" w:firstLineChars="200"/>
    </w:pPr>
    <w:rPr>
      <w:rFonts w:ascii="Calibri" w:hAnsi="Calibri"/>
      <w:szCs w:val="22"/>
    </w:rPr>
  </w:style>
  <w:style w:type="paragraph" w:customStyle="1" w:styleId="138">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39">
    <w:name w:val="fontstyle01"/>
    <w:basedOn w:val="45"/>
    <w:qFormat/>
    <w:uiPriority w:val="0"/>
    <w:rPr>
      <w:rFonts w:hint="eastAsia" w:ascii="仿宋_GB2312" w:eastAsia="仿宋_GB2312"/>
      <w:color w:val="000000"/>
      <w:sz w:val="30"/>
      <w:szCs w:val="30"/>
    </w:rPr>
  </w:style>
  <w:style w:type="paragraph" w:customStyle="1" w:styleId="140">
    <w:name w:val="列出段落11"/>
    <w:basedOn w:val="1"/>
    <w:qFormat/>
    <w:uiPriority w:val="0"/>
    <w:pPr>
      <w:ind w:firstLine="420" w:firstLineChars="200"/>
    </w:pPr>
    <w:rPr>
      <w:szCs w:val="24"/>
    </w:rPr>
  </w:style>
  <w:style w:type="character" w:customStyle="1" w:styleId="141">
    <w:name w:val="fontstyle21"/>
    <w:basedOn w:val="45"/>
    <w:qFormat/>
    <w:uiPriority w:val="0"/>
    <w:rPr>
      <w:rFonts w:hint="default" w:ascii="Calibri" w:hAnsi="Calibri"/>
      <w:color w:val="000000"/>
      <w:sz w:val="30"/>
      <w:szCs w:val="30"/>
    </w:rPr>
  </w:style>
  <w:style w:type="character" w:customStyle="1" w:styleId="142">
    <w:name w:val="fontstyle11"/>
    <w:basedOn w:val="45"/>
    <w:qFormat/>
    <w:uiPriority w:val="0"/>
    <w:rPr>
      <w:rFonts w:hint="default" w:ascii="Calibri" w:hAnsi="Calibri"/>
      <w:color w:val="000000"/>
      <w:sz w:val="30"/>
      <w:szCs w:val="30"/>
    </w:rPr>
  </w:style>
  <w:style w:type="character" w:customStyle="1" w:styleId="143">
    <w:name w:val="尾注文本 字符"/>
    <w:basedOn w:val="45"/>
    <w:link w:val="26"/>
    <w:qFormat/>
    <w:uiPriority w:val="99"/>
    <w:rPr>
      <w:rFonts w:ascii="Calibri" w:hAnsi="Calibri"/>
      <w:kern w:val="2"/>
      <w:sz w:val="21"/>
      <w:szCs w:val="22"/>
    </w:rPr>
  </w:style>
  <w:style w:type="paragraph" w:customStyle="1" w:styleId="144">
    <w:name w:val="SSE标题2"/>
    <w:basedOn w:val="3"/>
    <w:link w:val="145"/>
    <w:qFormat/>
    <w:uiPriority w:val="0"/>
    <w:pPr>
      <w:keepNext/>
      <w:keepLines/>
      <w:widowControl w:val="0"/>
      <w:numPr>
        <w:ilvl w:val="0"/>
        <w:numId w:val="0"/>
      </w:numPr>
      <w:pBdr>
        <w:bottom w:val="none" w:color="auto" w:sz="0" w:space="0"/>
      </w:pBdr>
      <w:spacing w:before="0" w:after="120"/>
      <w:ind w:firstLine="643"/>
    </w:pPr>
    <w:rPr>
      <w:rFonts w:eastAsia="仿宋_GB2312"/>
      <w:b/>
      <w:bCs/>
      <w:color w:val="auto"/>
      <w:sz w:val="28"/>
      <w:szCs w:val="28"/>
      <w:lang w:eastAsia="zh-CN" w:bidi="ar-SA"/>
    </w:rPr>
  </w:style>
  <w:style w:type="character" w:customStyle="1" w:styleId="145">
    <w:name w:val="SSE标题2 Char"/>
    <w:link w:val="144"/>
    <w:qFormat/>
    <w:locked/>
    <w:uiPriority w:val="0"/>
    <w:rPr>
      <w:rFonts w:eastAsia="仿宋_GB2312"/>
      <w:b/>
      <w:bCs/>
      <w:sz w:val="28"/>
      <w:szCs w:val="28"/>
    </w:rPr>
  </w:style>
  <w:style w:type="paragraph" w:customStyle="1" w:styleId="146">
    <w:name w:val="SSE标题1"/>
    <w:basedOn w:val="2"/>
    <w:link w:val="147"/>
    <w:qFormat/>
    <w:uiPriority w:val="99"/>
    <w:pPr>
      <w:keepNext/>
      <w:keepLines/>
      <w:widowControl w:val="0"/>
      <w:numPr>
        <w:numId w:val="0"/>
      </w:numPr>
      <w:spacing w:after="120"/>
      <w:jc w:val="both"/>
    </w:pPr>
    <w:rPr>
      <w:rFonts w:eastAsia="黑体"/>
      <w:kern w:val="44"/>
      <w:szCs w:val="30"/>
      <w:lang w:bidi="ar-SA"/>
    </w:rPr>
  </w:style>
  <w:style w:type="character" w:customStyle="1" w:styleId="147">
    <w:name w:val="SSE标题1 Char"/>
    <w:link w:val="146"/>
    <w:qFormat/>
    <w:locked/>
    <w:uiPriority w:val="99"/>
    <w:rPr>
      <w:rFonts w:eastAsia="黑体"/>
      <w:b/>
      <w:bCs/>
      <w:kern w:val="44"/>
      <w:sz w:val="30"/>
      <w:szCs w:val="30"/>
    </w:rPr>
  </w:style>
  <w:style w:type="paragraph" w:customStyle="1" w:styleId="148">
    <w:name w:val="SSE表格文字"/>
    <w:basedOn w:val="1"/>
    <w:link w:val="149"/>
    <w:qFormat/>
    <w:uiPriority w:val="99"/>
    <w:pPr>
      <w:widowControl/>
      <w:jc w:val="center"/>
    </w:pPr>
    <w:rPr>
      <w:rFonts w:eastAsia="仿宋_GB2312"/>
      <w:color w:val="000000"/>
      <w:kern w:val="0"/>
      <w:sz w:val="24"/>
      <w:szCs w:val="24"/>
    </w:rPr>
  </w:style>
  <w:style w:type="character" w:customStyle="1" w:styleId="149">
    <w:name w:val="SSE表格文字 Char"/>
    <w:link w:val="148"/>
    <w:qFormat/>
    <w:locked/>
    <w:uiPriority w:val="99"/>
    <w:rPr>
      <w:rFonts w:eastAsia="仿宋_GB2312"/>
      <w:color w:val="000000"/>
      <w:sz w:val="24"/>
      <w:szCs w:val="24"/>
    </w:rPr>
  </w:style>
  <w:style w:type="table" w:customStyle="1" w:styleId="150">
    <w:name w:val="Table Normal"/>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151">
    <w:name w:val="中等深浅底纹 1 - 着色 11"/>
    <w:basedOn w:val="43"/>
    <w:qFormat/>
    <w:uiPriority w:val="63"/>
    <w:rPr>
      <w:rFonts w:ascii="Calibri" w:hAnsi="Calibri"/>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character" w:customStyle="1" w:styleId="152">
    <w:name w:val="不明显强调11"/>
    <w:basedOn w:val="45"/>
    <w:qFormat/>
    <w:uiPriority w:val="19"/>
    <w:rPr>
      <w:i/>
      <w:iCs/>
      <w:color w:val="404040" w:themeColor="text1" w:themeTint="BF"/>
      <w14:textFill>
        <w14:solidFill>
          <w14:schemeClr w14:val="tx1">
            <w14:lumMod w14:val="75000"/>
            <w14:lumOff w14:val="25000"/>
          </w14:schemeClr>
        </w14:solidFill>
      </w14:textFill>
    </w:rPr>
  </w:style>
  <w:style w:type="paragraph" w:customStyle="1" w:styleId="153">
    <w:name w:val="修订41"/>
    <w:hidden/>
    <w:semiHidden/>
    <w:qFormat/>
    <w:uiPriority w:val="99"/>
    <w:rPr>
      <w:rFonts w:ascii="Times New Roman" w:hAnsi="Times New Roman" w:eastAsia="宋体" w:cs="Times New Roman"/>
      <w:kern w:val="2"/>
      <w:sz w:val="21"/>
      <w:szCs w:val="24"/>
      <w:lang w:val="en-US" w:eastAsia="zh-CN" w:bidi="ar-SA"/>
    </w:rPr>
  </w:style>
  <w:style w:type="paragraph" w:customStyle="1" w:styleId="154">
    <w:name w:val="修订5"/>
    <w:hidden/>
    <w:semiHidden/>
    <w:qFormat/>
    <w:uiPriority w:val="99"/>
    <w:rPr>
      <w:rFonts w:ascii="Times New Roman" w:hAnsi="Times New Roman" w:eastAsia="宋体" w:cs="Times New Roman"/>
      <w:kern w:val="2"/>
      <w:sz w:val="21"/>
      <w:szCs w:val="21"/>
      <w:lang w:val="en-US" w:eastAsia="zh-CN" w:bidi="ar-SA"/>
    </w:rPr>
  </w:style>
  <w:style w:type="paragraph" w:customStyle="1" w:styleId="155">
    <w:name w:val="修订6"/>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406</Pages>
  <Words>91487</Words>
  <Characters>95070</Characters>
  <Lines>1432</Lines>
  <Paragraphs>403</Paragraphs>
  <TotalTime>97</TotalTime>
  <ScaleCrop>false</ScaleCrop>
  <LinksUpToDate>false</LinksUpToDate>
  <CharactersWithSpaces>95448</CharactersWithSpaces>
  <Application>WPS Office_12.8.2.19313_F1E327BC-269C-435d-A152-05C5408002CA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2024-09-06T06:33:00Z</dcterms:created>
  <dc:creator>sse</dc:creator>
  <cp:lastModifiedBy>whxu</cp:lastModifiedBy>
  <cp:lastPrinted>2023-10-20T17:13:00Z</cp:lastPrinted>
  <dcterms:modified xsi:type="dcterms:W3CDTF">2025-03-12T14:08:12Z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2052-12.8.2.19313</vt:lpwstr>
  </property>
  <property fmtid="{D5CDD505-2E9C-101B-9397-08002B2CF9AE}" pid="3" name="ICV">
    <vt:lpwstr>F2A70F7EA8FD49D7A662AD746201FAB7_13</vt:lpwstr>
  </property>
</Properties>
</file>