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C229" w14:textId="0907FFCB" w:rsidR="00F94F8C" w:rsidRDefault="00000000">
      <w:pPr>
        <w:spacing w:line="600" w:lineRule="exact"/>
        <w:jc w:val="center"/>
        <w:outlineLvl w:val="0"/>
        <w:rPr>
          <w:rFonts w:ascii="黑体" w:eastAsia="黑体" w:hAnsi="黑体" w:hint="eastAsia"/>
          <w:b/>
          <w:bCs/>
          <w:sz w:val="36"/>
          <w:szCs w:val="36"/>
        </w:rPr>
      </w:pPr>
      <w:r>
        <w:rPr>
          <w:rFonts w:ascii="黑体" w:eastAsia="黑体" w:hAnsi="黑体" w:hint="eastAsia"/>
          <w:b/>
          <w:sz w:val="36"/>
          <w:szCs w:val="36"/>
        </w:rPr>
        <w:t xml:space="preserve">第七号 </w:t>
      </w:r>
      <w:proofErr w:type="gramStart"/>
      <w:r>
        <w:rPr>
          <w:rFonts w:ascii="黑体" w:eastAsia="黑体" w:hAnsi="黑体" w:hint="eastAsia"/>
          <w:b/>
          <w:sz w:val="36"/>
          <w:szCs w:val="36"/>
        </w:rPr>
        <w:t>科创板</w:t>
      </w:r>
      <w:proofErr w:type="gramEnd"/>
      <w:r>
        <w:rPr>
          <w:rFonts w:ascii="黑体" w:eastAsia="黑体" w:hAnsi="黑体" w:hint="eastAsia"/>
          <w:b/>
          <w:sz w:val="36"/>
          <w:szCs w:val="36"/>
        </w:rPr>
        <w:t>上市公司股权激励计划股票期权</w:t>
      </w:r>
      <w:r>
        <w:rPr>
          <w:rFonts w:ascii="黑体" w:eastAsia="黑体" w:hAnsi="黑体" w:hint="eastAsia"/>
          <w:b/>
          <w:bCs/>
          <w:sz w:val="36"/>
          <w:szCs w:val="36"/>
        </w:rPr>
        <w:t>符合行权条件公告</w:t>
      </w:r>
    </w:p>
    <w:p w14:paraId="2DAF591E" w14:textId="77777777" w:rsidR="00F94F8C" w:rsidRDefault="00F94F8C">
      <w:pPr>
        <w:snapToGrid w:val="0"/>
        <w:spacing w:line="600" w:lineRule="exact"/>
        <w:ind w:firstLineChars="200" w:firstLine="602"/>
        <w:jc w:val="center"/>
        <w:rPr>
          <w:rFonts w:ascii="仿宋_GB2312" w:eastAsia="仿宋_GB2312" w:hAnsi="宋体" w:hint="eastAsia"/>
          <w:b/>
          <w:sz w:val="30"/>
          <w:szCs w:val="30"/>
        </w:rPr>
      </w:pPr>
    </w:p>
    <w:p w14:paraId="3AFA8C8B" w14:textId="77777777" w:rsidR="00F94F8C" w:rsidRDefault="00000000">
      <w:pPr>
        <w:snapToGri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38EE96A0" w14:textId="77777777" w:rsidR="00F94F8C" w:rsidRDefault="00000000">
      <w:pPr>
        <w:snapToGrid w:val="0"/>
        <w:spacing w:line="600" w:lineRule="exact"/>
        <w:ind w:firstLineChars="200" w:firstLine="600"/>
        <w:rPr>
          <w:rFonts w:ascii="仿宋_GB2312" w:eastAsia="仿宋_GB2312" w:hAnsi="Arial" w:cs="Arial"/>
          <w:color w:val="000000"/>
          <w:kern w:val="0"/>
          <w:sz w:val="30"/>
          <w:szCs w:val="30"/>
        </w:rPr>
      </w:pPr>
      <w:proofErr w:type="gramStart"/>
      <w:r>
        <w:rPr>
          <w:rFonts w:ascii="仿宋_GB2312" w:eastAsia="仿宋_GB2312" w:hAnsi="Arial" w:cs="Arial" w:hint="eastAsia"/>
          <w:color w:val="000000"/>
          <w:kern w:val="0"/>
          <w:sz w:val="30"/>
          <w:szCs w:val="30"/>
        </w:rPr>
        <w:t>科创板</w:t>
      </w:r>
      <w:proofErr w:type="gramEnd"/>
      <w:r>
        <w:rPr>
          <w:rFonts w:ascii="仿宋_GB2312" w:eastAsia="仿宋_GB2312" w:hAnsi="Arial" w:cs="Arial" w:hint="eastAsia"/>
          <w:color w:val="000000"/>
          <w:kern w:val="0"/>
          <w:sz w:val="30"/>
          <w:szCs w:val="30"/>
        </w:rPr>
        <w:t>上市公司股权激励计划股票期权符合行权条件，拟进</w:t>
      </w:r>
      <w:proofErr w:type="gramStart"/>
      <w:r>
        <w:rPr>
          <w:rFonts w:ascii="仿宋_GB2312" w:eastAsia="仿宋_GB2312" w:hAnsi="Arial" w:cs="Arial" w:hint="eastAsia"/>
          <w:color w:val="000000"/>
          <w:kern w:val="0"/>
          <w:sz w:val="30"/>
          <w:szCs w:val="30"/>
        </w:rPr>
        <w:t>行行权</w:t>
      </w:r>
      <w:proofErr w:type="gramEnd"/>
      <w:r>
        <w:rPr>
          <w:rFonts w:ascii="仿宋_GB2312" w:eastAsia="仿宋_GB2312" w:hAnsi="Arial" w:cs="Arial" w:hint="eastAsia"/>
          <w:color w:val="000000"/>
          <w:kern w:val="0"/>
          <w:sz w:val="30"/>
          <w:szCs w:val="30"/>
        </w:rPr>
        <w:t>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p>
    <w:p w14:paraId="341541B5"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2E867E78"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78AE8088"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5985D16C" w14:textId="77777777" w:rsidR="00F94F8C" w:rsidRDefault="00000000">
      <w:pPr>
        <w:pStyle w:val="p0"/>
        <w:spacing w:line="600" w:lineRule="exact"/>
        <w:jc w:val="center"/>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XXXX股份有限公司股权激励计划股票期权符合行权条件公告</w:t>
      </w:r>
    </w:p>
    <w:p w14:paraId="7DC00B59" w14:textId="77777777" w:rsidR="00F94F8C" w:rsidRDefault="00F94F8C">
      <w:pPr>
        <w:widowControl/>
        <w:spacing w:line="600" w:lineRule="exact"/>
        <w:jc w:val="center"/>
        <w:rPr>
          <w:rFonts w:ascii="仿宋_GB2312" w:eastAsia="仿宋_GB2312" w:hAnsi="Book Antiqua" w:cs="宋体"/>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21839B4D" w14:textId="77777777">
        <w:tc>
          <w:tcPr>
            <w:tcW w:w="8522" w:type="dxa"/>
          </w:tcPr>
          <w:p w14:paraId="4B8063D8"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178341E5" w14:textId="77777777" w:rsidR="00F94F8C" w:rsidRDefault="00000000">
            <w:pPr>
              <w:snapToGrid w:val="0"/>
              <w:spacing w:line="600" w:lineRule="exact"/>
              <w:ind w:firstLineChars="200" w:firstLine="600"/>
              <w:jc w:val="left"/>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50E999C9" w14:textId="77777777" w:rsidR="00F94F8C" w:rsidRDefault="00F94F8C">
      <w:pPr>
        <w:snapToGrid w:val="0"/>
        <w:spacing w:line="600" w:lineRule="exact"/>
        <w:rPr>
          <w:rFonts w:ascii="仿宋_GB2312" w:eastAsia="仿宋_GB2312" w:hAnsi="宋体" w:hint="eastAsia"/>
          <w:b/>
          <w:sz w:val="30"/>
          <w:szCs w:val="30"/>
        </w:rPr>
      </w:pPr>
    </w:p>
    <w:p w14:paraId="2CBD926E" w14:textId="77777777" w:rsidR="00F94F8C" w:rsidRDefault="00000000">
      <w:pPr>
        <w:snapToGrid w:val="0"/>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7FA75AB4" w14:textId="77777777" w:rsidR="00F94F8C" w:rsidRDefault="00000000">
      <w:pPr>
        <w:numPr>
          <w:ilvl w:val="0"/>
          <w:numId w:val="10"/>
        </w:numPr>
        <w:snapToGrid w:val="0"/>
        <w:spacing w:line="600" w:lineRule="exact"/>
        <w:ind w:left="0" w:firstLineChars="200" w:firstLine="600"/>
        <w:rPr>
          <w:rFonts w:ascii="仿宋_GB2312" w:eastAsia="仿宋_GB2312" w:hAnsi="宋体" w:hint="eastAsia"/>
          <w:b/>
          <w:sz w:val="30"/>
          <w:szCs w:val="30"/>
        </w:rPr>
      </w:pPr>
      <w:r>
        <w:rPr>
          <w:rFonts w:ascii="仿宋_GB2312" w:eastAsia="仿宋_GB2312" w:hAnsi="宋体" w:hint="eastAsia"/>
          <w:sz w:val="30"/>
          <w:szCs w:val="30"/>
        </w:rPr>
        <w:t>股票期权拟行权数量</w:t>
      </w:r>
    </w:p>
    <w:p w14:paraId="524F95F0" w14:textId="77777777" w:rsidR="00F94F8C" w:rsidRDefault="00000000">
      <w:pPr>
        <w:numPr>
          <w:ilvl w:val="0"/>
          <w:numId w:val="10"/>
        </w:numPr>
        <w:snapToGrid w:val="0"/>
        <w:spacing w:line="600" w:lineRule="exact"/>
        <w:ind w:left="0" w:firstLineChars="200" w:firstLine="600"/>
        <w:rPr>
          <w:rFonts w:ascii="仿宋_GB2312" w:eastAsia="仿宋_GB2312" w:hAnsi="宋体" w:hint="eastAsia"/>
          <w:b/>
          <w:sz w:val="30"/>
          <w:szCs w:val="30"/>
        </w:rPr>
      </w:pPr>
      <w:r>
        <w:rPr>
          <w:rFonts w:ascii="仿宋_GB2312" w:eastAsia="仿宋_GB2312" w:hAnsi="宋体" w:hint="eastAsia"/>
          <w:sz w:val="30"/>
          <w:szCs w:val="30"/>
        </w:rPr>
        <w:t>行权股票来源</w:t>
      </w:r>
    </w:p>
    <w:p w14:paraId="5237FD6A"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4901B48F"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一、股权激励计划批准及实施情况</w:t>
      </w:r>
    </w:p>
    <w:p w14:paraId="61789EC0" w14:textId="0ACA58C1"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（一）简要说明股权激励计划方案及履行的程序。包括但不</w:t>
      </w:r>
      <w:r>
        <w:rPr>
          <w:rFonts w:ascii="仿宋_GB2312" w:eastAsia="仿宋_GB2312" w:hAnsi="宋体" w:hint="eastAsia"/>
          <w:sz w:val="30"/>
          <w:szCs w:val="30"/>
        </w:rPr>
        <w:lastRenderedPageBreak/>
        <w:t>限于：股权激励计划主要内容，公司董事会、股东会审议通过的时间。</w:t>
      </w:r>
    </w:p>
    <w:p w14:paraId="6B6F0C8E"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（二）列表披露历次股票期权授予情况。包括但不限于：授予日期、授予价格、授予数量、授予人数、授予后股票期权剩余数量。</w:t>
      </w:r>
    </w:p>
    <w:p w14:paraId="1E41978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（三）列表披露各期股票期权行权情况。包括但不限于：行权日期、行权价格、行权数量、行权人数、行权后股票期权剩余数量、取消行权数量及原因、因分红送</w:t>
      </w:r>
      <w:proofErr w:type="gramStart"/>
      <w:r>
        <w:rPr>
          <w:rFonts w:ascii="仿宋_GB2312" w:eastAsia="仿宋_GB2312" w:hAnsi="宋体" w:hint="eastAsia"/>
          <w:sz w:val="30"/>
          <w:szCs w:val="30"/>
        </w:rPr>
        <w:t>转导致</w:t>
      </w:r>
      <w:proofErr w:type="gramEnd"/>
      <w:r>
        <w:rPr>
          <w:rFonts w:ascii="仿宋_GB2312" w:eastAsia="仿宋_GB2312" w:hAnsi="宋体" w:hint="eastAsia"/>
          <w:sz w:val="30"/>
          <w:szCs w:val="30"/>
        </w:rPr>
        <w:t>行权价格及数量的调整情况。</w:t>
      </w:r>
    </w:p>
    <w:p w14:paraId="555DE357"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0DE75248"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二、股票期权行权条件说明</w:t>
      </w:r>
    </w:p>
    <w:p w14:paraId="7E4C472E"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（一）董事会就股权激励计划设定的股票期权行权条件是否成就的审议情况、</w:t>
      </w:r>
      <w:r w:rsidRPr="00C67507">
        <w:rPr>
          <w:rFonts w:ascii="仿宋_GB2312" w:eastAsia="仿宋_GB2312" w:hAnsi="宋体" w:hint="eastAsia"/>
          <w:sz w:val="30"/>
          <w:szCs w:val="30"/>
        </w:rPr>
        <w:t>薪酬与考核委员会意见</w:t>
      </w:r>
      <w:r>
        <w:rPr>
          <w:rFonts w:ascii="仿宋_GB2312" w:eastAsia="仿宋_GB2312" w:hAnsi="宋体" w:hint="eastAsia"/>
          <w:sz w:val="30"/>
          <w:szCs w:val="30"/>
        </w:rPr>
        <w:t>；董事反对或弃权的，应当披露反对或弃权理由。</w:t>
      </w:r>
    </w:p>
    <w:p w14:paraId="4F53A44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（二）用列表方式说明本次激励对象行权是否符合股权激励计划规定的各项行权条件。</w:t>
      </w:r>
    </w:p>
    <w:p w14:paraId="56D2E9B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（三）对未达到行权条件的，说明相应股票期权的处理方法。</w:t>
      </w:r>
    </w:p>
    <w:p w14:paraId="3AE7EBBE"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6E4BAC9D"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三、本次行权的具体情况</w:t>
      </w:r>
    </w:p>
    <w:p w14:paraId="682A0602"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（一）授予日：说明董事会确定的本次行权的股票期权授予日。</w:t>
      </w:r>
    </w:p>
    <w:p w14:paraId="2F35680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（二）行权数量：说明本次行权数量。</w:t>
      </w:r>
    </w:p>
    <w:p w14:paraId="2EE56EB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（三）行权人数：说明本次行权人数。</w:t>
      </w:r>
    </w:p>
    <w:p w14:paraId="32D58B4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（四）行权价格：说明本次股票期权的行权价格。</w:t>
      </w:r>
    </w:p>
    <w:p w14:paraId="454D9F27"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（五）股票来源：说明本次行权的股票来源情况，如向授予对象发行股票或回购本公司股票等。</w:t>
      </w:r>
    </w:p>
    <w:p w14:paraId="4DDF6C04"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（六）行权方式：自主行权或批量行权（二选</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），向授予对象发行股票的可以选择自主行权方式。</w:t>
      </w:r>
    </w:p>
    <w:p w14:paraId="0F3FAEE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（七）行权安排：批量行权应明确本次是第几个行权期的第几次行权；自主行权应明确行权的起止日期，行权所得股票可于行权日（T日）后的第二个交易日（T+2日）上市交易等。</w:t>
      </w:r>
    </w:p>
    <w:p w14:paraId="1926429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（八）激励对象名单及行权情况：列表说明本次股票期权行权具体对象的姓名、职务、已获授予的股票期权数量、可行权数量、可行权数量占股权激励计划总量的比例。</w:t>
      </w:r>
      <w:r>
        <w:rPr>
          <w:rFonts w:ascii="仿宋_GB2312" w:eastAsia="仿宋_GB2312" w:hAnsi="Arial" w:cs="Arial" w:hint="eastAsia"/>
          <w:color w:val="000000"/>
          <w:kern w:val="0"/>
          <w:sz w:val="30"/>
          <w:szCs w:val="30"/>
        </w:rPr>
        <w:t>董事、高级管理人员、核心技术人员及核心业务人员需逐个披露，其他激励对象可汇总披露。</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108"/>
        <w:gridCol w:w="1222"/>
        <w:gridCol w:w="1781"/>
        <w:gridCol w:w="2002"/>
        <w:gridCol w:w="1705"/>
      </w:tblGrid>
      <w:tr w:rsidR="00F94F8C" w14:paraId="53E2A4F9" w14:textId="77777777">
        <w:trPr>
          <w:jc w:val="center"/>
        </w:trPr>
        <w:tc>
          <w:tcPr>
            <w:tcW w:w="1214" w:type="dxa"/>
            <w:vAlign w:val="center"/>
          </w:tcPr>
          <w:p w14:paraId="6BD47C4E"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Ansi="宋体" w:hint="eastAsia"/>
                <w:b/>
                <w:sz w:val="24"/>
                <w:szCs w:val="30"/>
              </w:rPr>
              <w:t>序号</w:t>
            </w:r>
          </w:p>
        </w:tc>
        <w:tc>
          <w:tcPr>
            <w:tcW w:w="1108" w:type="dxa"/>
            <w:vAlign w:val="center"/>
          </w:tcPr>
          <w:p w14:paraId="51B1AF0D"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Ansi="宋体" w:hint="eastAsia"/>
                <w:b/>
                <w:sz w:val="24"/>
                <w:szCs w:val="30"/>
              </w:rPr>
              <w:t>姓名</w:t>
            </w:r>
          </w:p>
        </w:tc>
        <w:tc>
          <w:tcPr>
            <w:tcW w:w="1222" w:type="dxa"/>
            <w:vAlign w:val="center"/>
          </w:tcPr>
          <w:p w14:paraId="28956329"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Ansi="宋体" w:hint="eastAsia"/>
                <w:b/>
                <w:sz w:val="24"/>
                <w:szCs w:val="30"/>
              </w:rPr>
              <w:t>职务</w:t>
            </w:r>
          </w:p>
        </w:tc>
        <w:tc>
          <w:tcPr>
            <w:tcW w:w="1781" w:type="dxa"/>
            <w:vAlign w:val="center"/>
          </w:tcPr>
          <w:p w14:paraId="0609E2C8"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int="eastAsia"/>
                <w:b/>
                <w:color w:val="000000"/>
                <w:sz w:val="24"/>
              </w:rPr>
              <w:t>已获授予的股票期权数量</w:t>
            </w:r>
          </w:p>
        </w:tc>
        <w:tc>
          <w:tcPr>
            <w:tcW w:w="2002" w:type="dxa"/>
            <w:vAlign w:val="center"/>
          </w:tcPr>
          <w:p w14:paraId="444DBFB0"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Ansi="宋体" w:hint="eastAsia"/>
                <w:b/>
                <w:sz w:val="24"/>
                <w:szCs w:val="30"/>
              </w:rPr>
              <w:t>可行权数量</w:t>
            </w:r>
          </w:p>
        </w:tc>
        <w:tc>
          <w:tcPr>
            <w:tcW w:w="1705" w:type="dxa"/>
            <w:vAlign w:val="center"/>
          </w:tcPr>
          <w:p w14:paraId="75BFA324" w14:textId="77777777" w:rsidR="00F94F8C" w:rsidRDefault="00000000">
            <w:pPr>
              <w:snapToGrid w:val="0"/>
              <w:spacing w:line="360" w:lineRule="auto"/>
              <w:jc w:val="center"/>
              <w:rPr>
                <w:rFonts w:ascii="仿宋_GB2312" w:eastAsia="仿宋_GB2312" w:hAnsi="宋体" w:hint="eastAsia"/>
                <w:b/>
                <w:sz w:val="24"/>
                <w:szCs w:val="30"/>
              </w:rPr>
            </w:pPr>
            <w:r>
              <w:rPr>
                <w:rFonts w:ascii="仿宋_GB2312" w:eastAsia="仿宋_GB2312" w:hAnsi="宋体" w:hint="eastAsia"/>
                <w:b/>
                <w:sz w:val="24"/>
                <w:szCs w:val="30"/>
              </w:rPr>
              <w:t>可行权数量占已获授予股票期权数量的比例</w:t>
            </w:r>
          </w:p>
        </w:tc>
      </w:tr>
      <w:tr w:rsidR="00F94F8C" w14:paraId="79C54497" w14:textId="77777777">
        <w:trPr>
          <w:jc w:val="center"/>
        </w:trPr>
        <w:tc>
          <w:tcPr>
            <w:tcW w:w="9032" w:type="dxa"/>
            <w:gridSpan w:val="6"/>
            <w:vAlign w:val="center"/>
          </w:tcPr>
          <w:p w14:paraId="38DFB8E7" w14:textId="77777777" w:rsidR="00F94F8C" w:rsidRDefault="00000000">
            <w:pPr>
              <w:snapToGrid w:val="0"/>
              <w:spacing w:line="360" w:lineRule="auto"/>
              <w:jc w:val="left"/>
              <w:rPr>
                <w:rFonts w:ascii="仿宋_GB2312" w:eastAsia="仿宋_GB2312" w:hAnsi="宋体" w:hint="eastAsia"/>
                <w:sz w:val="24"/>
                <w:szCs w:val="30"/>
              </w:rPr>
            </w:pPr>
            <w:r>
              <w:rPr>
                <w:rFonts w:ascii="仿宋_GB2312" w:eastAsia="仿宋_GB2312" w:cs="宋体" w:hint="eastAsia"/>
                <w:b/>
                <w:color w:val="000000"/>
                <w:kern w:val="0"/>
                <w:sz w:val="24"/>
                <w:szCs w:val="30"/>
              </w:rPr>
              <w:t>一、董事、高级管理人员、核心技术人员及核心业务人员</w:t>
            </w:r>
          </w:p>
        </w:tc>
      </w:tr>
      <w:tr w:rsidR="00F94F8C" w14:paraId="460333AF" w14:textId="77777777">
        <w:trPr>
          <w:jc w:val="center"/>
        </w:trPr>
        <w:tc>
          <w:tcPr>
            <w:tcW w:w="1214" w:type="dxa"/>
            <w:vAlign w:val="center"/>
          </w:tcPr>
          <w:p w14:paraId="1FE54A6C"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t>１</w:t>
            </w:r>
          </w:p>
        </w:tc>
        <w:tc>
          <w:tcPr>
            <w:tcW w:w="1108" w:type="dxa"/>
            <w:vAlign w:val="center"/>
          </w:tcPr>
          <w:p w14:paraId="3A64C490"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46D58C0C"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096A89FF"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573CA2C0"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4C3C728C"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030D4366" w14:textId="77777777">
        <w:trPr>
          <w:jc w:val="center"/>
        </w:trPr>
        <w:tc>
          <w:tcPr>
            <w:tcW w:w="1214" w:type="dxa"/>
            <w:vAlign w:val="center"/>
          </w:tcPr>
          <w:p w14:paraId="03E29DB7"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t>２</w:t>
            </w:r>
          </w:p>
        </w:tc>
        <w:tc>
          <w:tcPr>
            <w:tcW w:w="1108" w:type="dxa"/>
            <w:vAlign w:val="center"/>
          </w:tcPr>
          <w:p w14:paraId="27C9207E"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69F03F4A"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40B8D898"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0E5A097A"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2F2A4106"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352E9C66" w14:textId="77777777">
        <w:trPr>
          <w:jc w:val="center"/>
        </w:trPr>
        <w:tc>
          <w:tcPr>
            <w:tcW w:w="1214" w:type="dxa"/>
            <w:vAlign w:val="center"/>
          </w:tcPr>
          <w:p w14:paraId="2EDF46B8"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t>…</w:t>
            </w:r>
          </w:p>
        </w:tc>
        <w:tc>
          <w:tcPr>
            <w:tcW w:w="1108" w:type="dxa"/>
            <w:vAlign w:val="center"/>
          </w:tcPr>
          <w:p w14:paraId="46A8D032"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5547E65B"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425D02E1"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05445911"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2A19A729"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20E2A2B5" w14:textId="77777777">
        <w:trPr>
          <w:jc w:val="center"/>
        </w:trPr>
        <w:tc>
          <w:tcPr>
            <w:tcW w:w="3544" w:type="dxa"/>
            <w:gridSpan w:val="3"/>
            <w:vAlign w:val="center"/>
          </w:tcPr>
          <w:p w14:paraId="5832B9FD" w14:textId="77777777" w:rsidR="00F94F8C" w:rsidRDefault="00000000">
            <w:pPr>
              <w:snapToGrid w:val="0"/>
              <w:spacing w:line="360" w:lineRule="auto"/>
              <w:jc w:val="left"/>
              <w:rPr>
                <w:rFonts w:ascii="仿宋_GB2312" w:eastAsia="仿宋_GB2312" w:hAnsi="宋体" w:hint="eastAsia"/>
                <w:b/>
                <w:sz w:val="24"/>
                <w:szCs w:val="30"/>
              </w:rPr>
            </w:pPr>
            <w:r>
              <w:rPr>
                <w:rFonts w:ascii="仿宋_GB2312" w:eastAsia="仿宋_GB2312" w:hAnsi="宋体" w:hint="eastAsia"/>
                <w:b/>
                <w:sz w:val="24"/>
                <w:szCs w:val="30"/>
              </w:rPr>
              <w:t>小计</w:t>
            </w:r>
          </w:p>
        </w:tc>
        <w:tc>
          <w:tcPr>
            <w:tcW w:w="1781" w:type="dxa"/>
            <w:vAlign w:val="center"/>
          </w:tcPr>
          <w:p w14:paraId="2D15FCF2" w14:textId="77777777" w:rsidR="00F94F8C" w:rsidRDefault="00F94F8C">
            <w:pPr>
              <w:snapToGrid w:val="0"/>
              <w:spacing w:line="360" w:lineRule="auto"/>
              <w:jc w:val="center"/>
              <w:rPr>
                <w:rFonts w:ascii="仿宋_GB2312" w:eastAsia="仿宋_GB2312" w:hAnsi="宋体" w:hint="eastAsia"/>
                <w:b/>
                <w:sz w:val="24"/>
                <w:szCs w:val="30"/>
              </w:rPr>
            </w:pPr>
          </w:p>
        </w:tc>
        <w:tc>
          <w:tcPr>
            <w:tcW w:w="2002" w:type="dxa"/>
            <w:vAlign w:val="center"/>
          </w:tcPr>
          <w:p w14:paraId="3F95A82E" w14:textId="77777777" w:rsidR="00F94F8C" w:rsidRDefault="00F94F8C">
            <w:pPr>
              <w:snapToGrid w:val="0"/>
              <w:spacing w:line="360" w:lineRule="auto"/>
              <w:jc w:val="center"/>
              <w:rPr>
                <w:rFonts w:ascii="仿宋_GB2312" w:eastAsia="仿宋_GB2312" w:hAnsi="宋体" w:hint="eastAsia"/>
                <w:b/>
                <w:sz w:val="24"/>
                <w:szCs w:val="30"/>
              </w:rPr>
            </w:pPr>
          </w:p>
        </w:tc>
        <w:tc>
          <w:tcPr>
            <w:tcW w:w="1705" w:type="dxa"/>
            <w:vAlign w:val="center"/>
          </w:tcPr>
          <w:p w14:paraId="6B61C580" w14:textId="77777777" w:rsidR="00F94F8C" w:rsidRDefault="00F94F8C">
            <w:pPr>
              <w:snapToGrid w:val="0"/>
              <w:spacing w:line="360" w:lineRule="auto"/>
              <w:jc w:val="center"/>
              <w:rPr>
                <w:rFonts w:ascii="仿宋_GB2312" w:eastAsia="仿宋_GB2312" w:hAnsi="宋体" w:hint="eastAsia"/>
                <w:b/>
                <w:sz w:val="24"/>
                <w:szCs w:val="30"/>
              </w:rPr>
            </w:pPr>
          </w:p>
        </w:tc>
      </w:tr>
      <w:tr w:rsidR="00F94F8C" w14:paraId="663EE183" w14:textId="77777777">
        <w:trPr>
          <w:jc w:val="center"/>
        </w:trPr>
        <w:tc>
          <w:tcPr>
            <w:tcW w:w="9032" w:type="dxa"/>
            <w:gridSpan w:val="6"/>
            <w:vAlign w:val="center"/>
          </w:tcPr>
          <w:p w14:paraId="3188C01D" w14:textId="77777777" w:rsidR="00F94F8C" w:rsidRDefault="00000000">
            <w:pPr>
              <w:snapToGrid w:val="0"/>
              <w:spacing w:line="360" w:lineRule="auto"/>
              <w:jc w:val="left"/>
              <w:rPr>
                <w:rFonts w:ascii="仿宋_GB2312" w:eastAsia="仿宋_GB2312" w:hAnsi="宋体" w:hint="eastAsia"/>
                <w:b/>
                <w:sz w:val="24"/>
                <w:szCs w:val="30"/>
              </w:rPr>
            </w:pPr>
            <w:r>
              <w:rPr>
                <w:rFonts w:ascii="仿宋_GB2312" w:eastAsia="仿宋_GB2312" w:hAnsi="宋体" w:hint="eastAsia"/>
                <w:b/>
                <w:sz w:val="24"/>
                <w:szCs w:val="30"/>
              </w:rPr>
              <w:t>二、其他激励对象</w:t>
            </w:r>
          </w:p>
        </w:tc>
      </w:tr>
      <w:tr w:rsidR="00F94F8C" w14:paraId="411EB395" w14:textId="77777777">
        <w:trPr>
          <w:jc w:val="center"/>
        </w:trPr>
        <w:tc>
          <w:tcPr>
            <w:tcW w:w="1214" w:type="dxa"/>
            <w:vAlign w:val="center"/>
          </w:tcPr>
          <w:p w14:paraId="155E5BA6"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t>１</w:t>
            </w:r>
          </w:p>
        </w:tc>
        <w:tc>
          <w:tcPr>
            <w:tcW w:w="1108" w:type="dxa"/>
            <w:vAlign w:val="center"/>
          </w:tcPr>
          <w:p w14:paraId="5FEEA8D9"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61D079DA"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15DF850D"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3B0009EE"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0B89D0DF"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5CF6FF6E" w14:textId="77777777">
        <w:trPr>
          <w:jc w:val="center"/>
        </w:trPr>
        <w:tc>
          <w:tcPr>
            <w:tcW w:w="1214" w:type="dxa"/>
            <w:vAlign w:val="center"/>
          </w:tcPr>
          <w:p w14:paraId="51DC3A49"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t>２</w:t>
            </w:r>
          </w:p>
        </w:tc>
        <w:tc>
          <w:tcPr>
            <w:tcW w:w="1108" w:type="dxa"/>
            <w:vAlign w:val="center"/>
          </w:tcPr>
          <w:p w14:paraId="08B4F696"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216499D5"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2B6E42D8"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4007105E"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6A0BACF4"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3F34F9E4" w14:textId="77777777">
        <w:trPr>
          <w:jc w:val="center"/>
        </w:trPr>
        <w:tc>
          <w:tcPr>
            <w:tcW w:w="1214" w:type="dxa"/>
            <w:vAlign w:val="center"/>
          </w:tcPr>
          <w:p w14:paraId="0AB2034B" w14:textId="77777777" w:rsidR="00F94F8C" w:rsidRDefault="00000000">
            <w:pPr>
              <w:snapToGrid w:val="0"/>
              <w:spacing w:line="360" w:lineRule="auto"/>
              <w:jc w:val="center"/>
              <w:rPr>
                <w:rFonts w:ascii="仿宋_GB2312" w:eastAsia="仿宋_GB2312" w:hAnsi="宋体" w:hint="eastAsia"/>
                <w:sz w:val="24"/>
                <w:szCs w:val="30"/>
              </w:rPr>
            </w:pPr>
            <w:r>
              <w:rPr>
                <w:rFonts w:ascii="仿宋_GB2312" w:eastAsia="仿宋_GB2312" w:hAnsi="宋体" w:hint="eastAsia"/>
                <w:sz w:val="24"/>
                <w:szCs w:val="30"/>
              </w:rPr>
              <w:lastRenderedPageBreak/>
              <w:t>…</w:t>
            </w:r>
          </w:p>
        </w:tc>
        <w:tc>
          <w:tcPr>
            <w:tcW w:w="1108" w:type="dxa"/>
            <w:vAlign w:val="center"/>
          </w:tcPr>
          <w:p w14:paraId="6A351009" w14:textId="77777777" w:rsidR="00F94F8C" w:rsidRDefault="00F94F8C">
            <w:pPr>
              <w:snapToGrid w:val="0"/>
              <w:spacing w:line="360" w:lineRule="auto"/>
              <w:jc w:val="center"/>
              <w:rPr>
                <w:rFonts w:ascii="仿宋_GB2312" w:eastAsia="仿宋_GB2312" w:hAnsi="宋体" w:hint="eastAsia"/>
                <w:sz w:val="24"/>
                <w:szCs w:val="30"/>
              </w:rPr>
            </w:pPr>
          </w:p>
        </w:tc>
        <w:tc>
          <w:tcPr>
            <w:tcW w:w="1222" w:type="dxa"/>
            <w:vAlign w:val="center"/>
          </w:tcPr>
          <w:p w14:paraId="10B52787" w14:textId="77777777" w:rsidR="00F94F8C" w:rsidRDefault="00F94F8C">
            <w:pPr>
              <w:snapToGrid w:val="0"/>
              <w:spacing w:line="360" w:lineRule="auto"/>
              <w:jc w:val="center"/>
              <w:rPr>
                <w:rFonts w:ascii="仿宋_GB2312" w:eastAsia="仿宋_GB2312" w:hAnsi="宋体" w:hint="eastAsia"/>
                <w:sz w:val="24"/>
                <w:szCs w:val="30"/>
              </w:rPr>
            </w:pPr>
          </w:p>
        </w:tc>
        <w:tc>
          <w:tcPr>
            <w:tcW w:w="1781" w:type="dxa"/>
            <w:vAlign w:val="center"/>
          </w:tcPr>
          <w:p w14:paraId="10BA1BFF" w14:textId="77777777" w:rsidR="00F94F8C" w:rsidRDefault="00F94F8C">
            <w:pPr>
              <w:snapToGrid w:val="0"/>
              <w:spacing w:line="360" w:lineRule="auto"/>
              <w:jc w:val="center"/>
              <w:rPr>
                <w:rFonts w:ascii="仿宋_GB2312" w:eastAsia="仿宋_GB2312" w:hAnsi="宋体" w:hint="eastAsia"/>
                <w:sz w:val="24"/>
                <w:szCs w:val="30"/>
              </w:rPr>
            </w:pPr>
          </w:p>
        </w:tc>
        <w:tc>
          <w:tcPr>
            <w:tcW w:w="2002" w:type="dxa"/>
            <w:vAlign w:val="center"/>
          </w:tcPr>
          <w:p w14:paraId="4ED0B0B8" w14:textId="77777777" w:rsidR="00F94F8C" w:rsidRDefault="00F94F8C">
            <w:pPr>
              <w:snapToGrid w:val="0"/>
              <w:spacing w:line="360" w:lineRule="auto"/>
              <w:jc w:val="center"/>
              <w:rPr>
                <w:rFonts w:ascii="仿宋_GB2312" w:eastAsia="仿宋_GB2312" w:hAnsi="宋体" w:hint="eastAsia"/>
                <w:sz w:val="24"/>
                <w:szCs w:val="30"/>
              </w:rPr>
            </w:pPr>
          </w:p>
        </w:tc>
        <w:tc>
          <w:tcPr>
            <w:tcW w:w="1705" w:type="dxa"/>
            <w:vAlign w:val="center"/>
          </w:tcPr>
          <w:p w14:paraId="37186DB1" w14:textId="77777777" w:rsidR="00F94F8C" w:rsidRDefault="00F94F8C">
            <w:pPr>
              <w:snapToGrid w:val="0"/>
              <w:spacing w:line="360" w:lineRule="auto"/>
              <w:jc w:val="center"/>
              <w:rPr>
                <w:rFonts w:ascii="仿宋_GB2312" w:eastAsia="仿宋_GB2312" w:hAnsi="宋体" w:hint="eastAsia"/>
                <w:sz w:val="24"/>
                <w:szCs w:val="30"/>
              </w:rPr>
            </w:pPr>
          </w:p>
        </w:tc>
      </w:tr>
      <w:tr w:rsidR="00F94F8C" w14:paraId="051CF22A" w14:textId="77777777">
        <w:trPr>
          <w:jc w:val="center"/>
        </w:trPr>
        <w:tc>
          <w:tcPr>
            <w:tcW w:w="3544" w:type="dxa"/>
            <w:gridSpan w:val="3"/>
            <w:vAlign w:val="center"/>
          </w:tcPr>
          <w:p w14:paraId="6E636A74" w14:textId="77777777" w:rsidR="00F94F8C" w:rsidRDefault="00000000">
            <w:pPr>
              <w:snapToGrid w:val="0"/>
              <w:spacing w:line="360" w:lineRule="auto"/>
              <w:jc w:val="left"/>
              <w:rPr>
                <w:rFonts w:ascii="仿宋_GB2312" w:eastAsia="仿宋_GB2312" w:hAnsi="宋体" w:hint="eastAsia"/>
                <w:b/>
                <w:sz w:val="24"/>
                <w:szCs w:val="30"/>
              </w:rPr>
            </w:pPr>
            <w:r>
              <w:rPr>
                <w:rFonts w:ascii="仿宋_GB2312" w:eastAsia="仿宋_GB2312" w:hAnsi="宋体" w:hint="eastAsia"/>
                <w:b/>
                <w:sz w:val="24"/>
                <w:szCs w:val="30"/>
              </w:rPr>
              <w:t>小计</w:t>
            </w:r>
          </w:p>
        </w:tc>
        <w:tc>
          <w:tcPr>
            <w:tcW w:w="1781" w:type="dxa"/>
            <w:vAlign w:val="center"/>
          </w:tcPr>
          <w:p w14:paraId="76F7E10B" w14:textId="77777777" w:rsidR="00F94F8C" w:rsidRDefault="00F94F8C">
            <w:pPr>
              <w:snapToGrid w:val="0"/>
              <w:spacing w:line="360" w:lineRule="auto"/>
              <w:jc w:val="center"/>
              <w:rPr>
                <w:rFonts w:ascii="仿宋_GB2312" w:eastAsia="仿宋_GB2312" w:hAnsi="宋体" w:hint="eastAsia"/>
                <w:b/>
                <w:sz w:val="24"/>
                <w:szCs w:val="30"/>
              </w:rPr>
            </w:pPr>
          </w:p>
        </w:tc>
        <w:tc>
          <w:tcPr>
            <w:tcW w:w="2002" w:type="dxa"/>
            <w:vAlign w:val="center"/>
          </w:tcPr>
          <w:p w14:paraId="1E815B69" w14:textId="77777777" w:rsidR="00F94F8C" w:rsidRDefault="00F94F8C">
            <w:pPr>
              <w:snapToGrid w:val="0"/>
              <w:spacing w:line="360" w:lineRule="auto"/>
              <w:jc w:val="center"/>
              <w:rPr>
                <w:rFonts w:ascii="仿宋_GB2312" w:eastAsia="仿宋_GB2312" w:hAnsi="宋体" w:hint="eastAsia"/>
                <w:b/>
                <w:sz w:val="24"/>
                <w:szCs w:val="30"/>
              </w:rPr>
            </w:pPr>
          </w:p>
        </w:tc>
        <w:tc>
          <w:tcPr>
            <w:tcW w:w="1705" w:type="dxa"/>
            <w:vAlign w:val="center"/>
          </w:tcPr>
          <w:p w14:paraId="639C7AB9" w14:textId="77777777" w:rsidR="00F94F8C" w:rsidRDefault="00F94F8C">
            <w:pPr>
              <w:snapToGrid w:val="0"/>
              <w:spacing w:line="360" w:lineRule="auto"/>
              <w:jc w:val="center"/>
              <w:rPr>
                <w:rFonts w:ascii="仿宋_GB2312" w:eastAsia="仿宋_GB2312" w:hAnsi="宋体" w:hint="eastAsia"/>
                <w:b/>
                <w:sz w:val="24"/>
                <w:szCs w:val="30"/>
              </w:rPr>
            </w:pPr>
          </w:p>
        </w:tc>
      </w:tr>
      <w:tr w:rsidR="00F94F8C" w14:paraId="09608DBF" w14:textId="77777777">
        <w:trPr>
          <w:jc w:val="center"/>
        </w:trPr>
        <w:tc>
          <w:tcPr>
            <w:tcW w:w="3544" w:type="dxa"/>
            <w:gridSpan w:val="3"/>
            <w:vAlign w:val="center"/>
          </w:tcPr>
          <w:p w14:paraId="4282D866" w14:textId="77777777" w:rsidR="00F94F8C" w:rsidRDefault="00000000">
            <w:pPr>
              <w:snapToGrid w:val="0"/>
              <w:spacing w:line="360" w:lineRule="auto"/>
              <w:jc w:val="left"/>
              <w:rPr>
                <w:rFonts w:ascii="仿宋_GB2312" w:eastAsia="仿宋_GB2312" w:hAnsi="宋体" w:hint="eastAsia"/>
                <w:b/>
                <w:sz w:val="24"/>
                <w:szCs w:val="30"/>
              </w:rPr>
            </w:pPr>
            <w:r>
              <w:rPr>
                <w:rFonts w:ascii="仿宋_GB2312" w:eastAsia="仿宋_GB2312" w:hAnsi="宋体" w:hint="eastAsia"/>
                <w:b/>
                <w:sz w:val="24"/>
                <w:szCs w:val="30"/>
              </w:rPr>
              <w:t>总计</w:t>
            </w:r>
          </w:p>
        </w:tc>
        <w:tc>
          <w:tcPr>
            <w:tcW w:w="1781" w:type="dxa"/>
            <w:vAlign w:val="center"/>
          </w:tcPr>
          <w:p w14:paraId="30B4A22A" w14:textId="77777777" w:rsidR="00F94F8C" w:rsidRDefault="00F94F8C">
            <w:pPr>
              <w:snapToGrid w:val="0"/>
              <w:spacing w:line="360" w:lineRule="auto"/>
              <w:jc w:val="center"/>
              <w:rPr>
                <w:rFonts w:ascii="仿宋_GB2312" w:eastAsia="仿宋_GB2312" w:hAnsi="宋体" w:hint="eastAsia"/>
                <w:b/>
                <w:sz w:val="24"/>
                <w:szCs w:val="30"/>
              </w:rPr>
            </w:pPr>
          </w:p>
        </w:tc>
        <w:tc>
          <w:tcPr>
            <w:tcW w:w="2002" w:type="dxa"/>
            <w:vAlign w:val="center"/>
          </w:tcPr>
          <w:p w14:paraId="1CBDE852" w14:textId="77777777" w:rsidR="00F94F8C" w:rsidRDefault="00F94F8C">
            <w:pPr>
              <w:snapToGrid w:val="0"/>
              <w:spacing w:line="360" w:lineRule="auto"/>
              <w:jc w:val="center"/>
              <w:rPr>
                <w:rFonts w:ascii="仿宋_GB2312" w:eastAsia="仿宋_GB2312" w:hAnsi="宋体" w:hint="eastAsia"/>
                <w:b/>
                <w:sz w:val="24"/>
                <w:szCs w:val="30"/>
              </w:rPr>
            </w:pPr>
          </w:p>
        </w:tc>
        <w:tc>
          <w:tcPr>
            <w:tcW w:w="1705" w:type="dxa"/>
            <w:vAlign w:val="center"/>
          </w:tcPr>
          <w:p w14:paraId="3C865B12" w14:textId="77777777" w:rsidR="00F94F8C" w:rsidRDefault="00F94F8C">
            <w:pPr>
              <w:snapToGrid w:val="0"/>
              <w:spacing w:line="360" w:lineRule="auto"/>
              <w:jc w:val="center"/>
              <w:rPr>
                <w:rFonts w:ascii="仿宋_GB2312" w:eastAsia="仿宋_GB2312" w:hAnsi="宋体" w:hint="eastAsia"/>
                <w:b/>
                <w:sz w:val="24"/>
                <w:szCs w:val="30"/>
              </w:rPr>
            </w:pPr>
          </w:p>
        </w:tc>
      </w:tr>
    </w:tbl>
    <w:p w14:paraId="582A8172" w14:textId="77777777" w:rsidR="00F94F8C" w:rsidRDefault="00F94F8C">
      <w:pPr>
        <w:snapToGrid w:val="0"/>
        <w:spacing w:line="600" w:lineRule="exact"/>
        <w:ind w:firstLineChars="200" w:firstLine="643"/>
        <w:rPr>
          <w:rFonts w:ascii="黑体" w:eastAsia="黑体" w:hAnsi="黑体" w:hint="eastAsia"/>
          <w:b/>
          <w:sz w:val="32"/>
          <w:szCs w:val="32"/>
        </w:rPr>
      </w:pPr>
    </w:p>
    <w:p w14:paraId="71B4E0EE" w14:textId="295A5D0C"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四、董事会薪酬与考核委员会对激励对象名单的核实情况</w:t>
      </w:r>
    </w:p>
    <w:p w14:paraId="43260797"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24FE12E2"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五、行权日及买卖公司股票情况的说明（批量行权方式适用）</w:t>
      </w:r>
    </w:p>
    <w:p w14:paraId="42273893"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本次董事会确定的行权日，激励对象为董事、高级管理人员的，此前6个月内买卖公司股票的情况说明。</w:t>
      </w:r>
    </w:p>
    <w:p w14:paraId="75B23C63"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51C38BC3" w14:textId="77777777" w:rsidR="00F94F8C" w:rsidRDefault="00000000">
      <w:pPr>
        <w:snapToGrid w:val="0"/>
        <w:spacing w:line="600" w:lineRule="exact"/>
        <w:ind w:firstLineChars="200" w:firstLine="643"/>
        <w:rPr>
          <w:rFonts w:ascii="仿宋_GB2312" w:eastAsia="仿宋_GB2312" w:hAnsi="宋体" w:hint="eastAsia"/>
          <w:b/>
          <w:sz w:val="30"/>
          <w:szCs w:val="30"/>
        </w:rPr>
      </w:pPr>
      <w:r>
        <w:rPr>
          <w:rFonts w:ascii="黑体" w:eastAsia="黑体" w:hAnsi="黑体" w:hint="eastAsia"/>
          <w:b/>
          <w:sz w:val="32"/>
          <w:szCs w:val="32"/>
        </w:rPr>
        <w:t>六、股票期权费用的核算及说明</w:t>
      </w:r>
    </w:p>
    <w:p w14:paraId="55D5A3F6"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公司应对股权激励股票期权定价及会计核算影响变化情况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说明。上市公司董事会或本所认为必要的，上市公司还应当提交会计师事务所的专项说明。</w:t>
      </w:r>
      <w:r>
        <w:rPr>
          <w:rFonts w:ascii="仿宋_GB2312" w:eastAsia="仿宋_GB2312" w:hAnsi="宋体" w:hint="eastAsia"/>
          <w:sz w:val="30"/>
          <w:szCs w:val="30"/>
        </w:rPr>
        <w:cr/>
      </w:r>
    </w:p>
    <w:p w14:paraId="7FFFF253"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七、法律意见书的结论性意见</w:t>
      </w:r>
    </w:p>
    <w:p w14:paraId="190051D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律师事务所就本次股票期权行权出具的法律意见书的结论性意见。</w:t>
      </w:r>
    </w:p>
    <w:p w14:paraId="3C4F758D"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4F5D65A8" w14:textId="77777777" w:rsidR="00F94F8C" w:rsidRDefault="00000000">
      <w:pPr>
        <w:snapToGrid w:val="0"/>
        <w:spacing w:line="600" w:lineRule="exact"/>
        <w:ind w:firstLineChars="200" w:firstLine="643"/>
        <w:rPr>
          <w:rFonts w:ascii="仿宋_GB2312" w:eastAsia="仿宋_GB2312" w:hAnsi="宋体" w:hint="eastAsia"/>
          <w:b/>
          <w:sz w:val="30"/>
          <w:szCs w:val="30"/>
        </w:rPr>
      </w:pPr>
      <w:r>
        <w:rPr>
          <w:rFonts w:ascii="黑体" w:eastAsia="黑体" w:hAnsi="黑体" w:hint="eastAsia"/>
          <w:b/>
          <w:sz w:val="32"/>
          <w:szCs w:val="32"/>
        </w:rPr>
        <w:t>八、上网公告附件</w:t>
      </w:r>
    </w:p>
    <w:p w14:paraId="3E851821" w14:textId="2CF49138"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（一）法律意见书；</w:t>
      </w:r>
    </w:p>
    <w:p w14:paraId="12FB7B4A" w14:textId="3D73DDB2"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（二）独立财务顾问意见（如适用）</w:t>
      </w:r>
    </w:p>
    <w:p w14:paraId="54B57C6E"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51736ACA"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特此公告。</w:t>
      </w:r>
    </w:p>
    <w:p w14:paraId="53D4B7A0"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229552B6" w14:textId="77777777" w:rsidR="00F94F8C" w:rsidRDefault="00000000">
      <w:pPr>
        <w:snapToGrid w:val="0"/>
        <w:spacing w:line="600" w:lineRule="exact"/>
        <w:jc w:val="right"/>
        <w:rPr>
          <w:rFonts w:ascii="仿宋_GB2312" w:eastAsia="仿宋_GB2312" w:hAnsi="宋体" w:hint="eastAsia"/>
          <w:sz w:val="30"/>
          <w:szCs w:val="30"/>
        </w:rPr>
      </w:pPr>
      <w:r>
        <w:rPr>
          <w:rFonts w:ascii="仿宋_GB2312" w:eastAsia="仿宋_GB2312" w:hAnsi="宋体" w:hint="eastAsia"/>
          <w:sz w:val="30"/>
          <w:szCs w:val="30"/>
        </w:rPr>
        <w:t>XXXX股份有限公司董事会</w:t>
      </w:r>
    </w:p>
    <w:p w14:paraId="5592E4EF" w14:textId="77777777" w:rsidR="00F94F8C" w:rsidRDefault="00000000">
      <w:pPr>
        <w:snapToGrid w:val="0"/>
        <w:spacing w:line="600" w:lineRule="exact"/>
        <w:jc w:val="right"/>
        <w:rPr>
          <w:rFonts w:ascii="仿宋_GB2312" w:eastAsia="仿宋_GB2312" w:hAnsi="宋体" w:hint="eastAsia"/>
          <w:sz w:val="30"/>
          <w:szCs w:val="30"/>
        </w:rPr>
      </w:pPr>
      <w:r>
        <w:rPr>
          <w:rFonts w:ascii="仿宋_GB2312" w:eastAsia="仿宋_GB2312" w:hAnsi="宋体" w:hint="eastAsia"/>
          <w:sz w:val="30"/>
          <w:szCs w:val="30"/>
        </w:rPr>
        <w:t>年  月  日</w:t>
      </w:r>
    </w:p>
    <w:p w14:paraId="7F659656" w14:textId="77777777" w:rsidR="00F94F8C" w:rsidRDefault="00000000">
      <w:pPr>
        <w:numPr>
          <w:ilvl w:val="0"/>
          <w:numId w:val="2"/>
        </w:numPr>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w:t>
      </w:r>
    </w:p>
    <w:p w14:paraId="7745688F" w14:textId="77777777" w:rsidR="00F94F8C" w:rsidRDefault="00000000" w:rsidP="00377AE5">
      <w:pPr>
        <w:snapToGrid w:val="0"/>
        <w:spacing w:line="600" w:lineRule="exact"/>
        <w:ind w:firstLineChars="200" w:firstLine="600"/>
        <w:rPr>
          <w:rFonts w:ascii="仿宋_GB2312" w:eastAsia="仿宋_GB2312" w:hAnsi="宋体" w:hint="eastAsia"/>
          <w:sz w:val="30"/>
          <w:szCs w:val="30"/>
        </w:rPr>
      </w:pPr>
      <w:r>
        <w:rPr>
          <w:rFonts w:ascii="仿宋_GB2312" w:eastAsia="仿宋_GB2312" w:hint="eastAsia"/>
          <w:sz w:val="30"/>
          <w:szCs w:val="30"/>
        </w:rPr>
        <w:t>薪酬与考核委员会对激励名单出具的书面核查意见</w:t>
      </w:r>
    </w:p>
    <w:p w14:paraId="3CC937F3" w14:textId="77777777" w:rsidR="00F94F8C" w:rsidRDefault="00F94F8C">
      <w:pPr>
        <w:snapToGrid w:val="0"/>
        <w:spacing w:line="600" w:lineRule="exact"/>
        <w:jc w:val="right"/>
        <w:rPr>
          <w:rFonts w:ascii="仿宋_GB2312" w:eastAsia="仿宋_GB2312" w:hAnsi="宋体" w:hint="eastAsia"/>
          <w:sz w:val="30"/>
          <w:szCs w:val="30"/>
        </w:rPr>
      </w:pPr>
    </w:p>
    <w:p w14:paraId="0E7444D0"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1D80A9BE" w14:textId="77777777" w:rsidR="00F94F8C" w:rsidRDefault="00000000">
      <w:pPr>
        <w:numPr>
          <w:ilvl w:val="0"/>
          <w:numId w:val="11"/>
        </w:numPr>
        <w:snapToGrid w:val="0"/>
        <w:spacing w:line="600" w:lineRule="exact"/>
        <w:ind w:left="0" w:firstLineChars="200" w:firstLine="602"/>
        <w:rPr>
          <w:rFonts w:ascii="仿宋_GB2312" w:eastAsia="仿宋_GB2312" w:hAnsi="宋体" w:hint="eastAsia"/>
          <w:b/>
          <w:sz w:val="30"/>
          <w:szCs w:val="30"/>
        </w:rPr>
      </w:pPr>
      <w:r>
        <w:rPr>
          <w:rFonts w:ascii="仿宋_GB2312" w:eastAsia="仿宋_GB2312" w:hAnsi="宋体" w:hint="eastAsia"/>
          <w:b/>
          <w:sz w:val="30"/>
          <w:szCs w:val="30"/>
        </w:rPr>
        <w:t>注意事项</w:t>
      </w:r>
    </w:p>
    <w:p w14:paraId="6BFCB11E"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（一）选择自主行权方式的，公司应当于每季度结束后两个交易日内披露上一季度股票期权行权结果暨股本变动公告。</w:t>
      </w:r>
    </w:p>
    <w:p w14:paraId="5823B698"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（二）自主行权方式下，公司应提醒激励对象中的董事、高级管理人员行权前后六个月内均不得卖出公司股份，否则将构成短线交易。</w:t>
      </w:r>
    </w:p>
    <w:p w14:paraId="663D4B6A" w14:textId="77777777" w:rsidR="00F94F8C" w:rsidRDefault="00F94F8C"/>
    <w:p w14:paraId="58831559" w14:textId="77777777" w:rsidR="00F94F8C" w:rsidRDefault="00F94F8C"/>
    <w:p w14:paraId="45DF5263" w14:textId="765C8665" w:rsidR="00F94F8C" w:rsidRDefault="00F94F8C" w:rsidP="00C67507"/>
    <w:sectPr w:rsidR="00F9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295C" w14:textId="77777777" w:rsidR="003B338F" w:rsidRDefault="003B338F" w:rsidP="00336244">
      <w:r>
        <w:separator/>
      </w:r>
    </w:p>
  </w:endnote>
  <w:endnote w:type="continuationSeparator" w:id="0">
    <w:p w14:paraId="459A79ED" w14:textId="77777777" w:rsidR="003B338F" w:rsidRDefault="003B338F"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05E5" w14:textId="77777777" w:rsidR="003B338F" w:rsidRDefault="003B338F" w:rsidP="00336244">
      <w:r>
        <w:separator/>
      </w:r>
    </w:p>
  </w:footnote>
  <w:footnote w:type="continuationSeparator" w:id="0">
    <w:p w14:paraId="1DDE79C3" w14:textId="77777777" w:rsidR="003B338F" w:rsidRDefault="003B338F"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E46AF"/>
    <w:rsid w:val="00156493"/>
    <w:rsid w:val="00336244"/>
    <w:rsid w:val="00377AE5"/>
    <w:rsid w:val="003B338F"/>
    <w:rsid w:val="00400D80"/>
    <w:rsid w:val="00564E8A"/>
    <w:rsid w:val="00566281"/>
    <w:rsid w:val="005A3581"/>
    <w:rsid w:val="00770696"/>
    <w:rsid w:val="007721D3"/>
    <w:rsid w:val="00785049"/>
    <w:rsid w:val="00917525"/>
    <w:rsid w:val="00992C04"/>
    <w:rsid w:val="009C3C9B"/>
    <w:rsid w:val="00BC6C41"/>
    <w:rsid w:val="00C67507"/>
    <w:rsid w:val="00D27629"/>
    <w:rsid w:val="00DD4DA9"/>
    <w:rsid w:val="00F25704"/>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833</Words>
  <Characters>833</Characters>
  <Application>Microsoft Office Word</Application>
  <DocSecurity>0</DocSecurity>
  <Lines>92</Lines>
  <Paragraphs>66</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潘子路</cp:lastModifiedBy>
  <cp:revision>3</cp:revision>
  <dcterms:created xsi:type="dcterms:W3CDTF">2025-04-02T01:55:00Z</dcterms:created>
  <dcterms:modified xsi:type="dcterms:W3CDTF">2025-04-02T02:10:00Z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