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adjustRightInd w:val="0"/>
        <w:snapToGrid w:val="0"/>
        <w:spacing w:before="0" w:after="0" w:line="600" w:lineRule="exact"/>
        <w:jc w:val="center"/>
        <w:rPr>
          <w:rFonts w:hint="eastAsia" w:ascii="黑体" w:hAnsi="黑体" w:eastAsia="黑体"/>
          <w:sz w:val="36"/>
          <w:szCs w:val="36"/>
        </w:rPr>
      </w:pPr>
      <w:bookmarkStart w:id="0" w:name="_Toc330904153"/>
      <w:bookmarkStart w:id="1" w:name="_Toc340839637"/>
      <w:bookmarkStart w:id="8" w:name="_GoBack"/>
      <w:bookmarkEnd w:id="8"/>
      <w:r>
        <w:rPr>
          <w:rFonts w:hint="eastAsia" w:ascii="黑体" w:hAnsi="黑体" w:eastAsia="黑体"/>
          <w:sz w:val="36"/>
          <w:szCs w:val="36"/>
        </w:rPr>
        <w:t>科创板上市公司向特定对象发行股票发行结果</w:t>
      </w:r>
    </w:p>
    <w:p>
      <w:pPr>
        <w:pStyle w:val="2"/>
        <w:adjustRightInd w:val="0"/>
        <w:snapToGrid w:val="0"/>
        <w:spacing w:before="0" w:after="0" w:line="600" w:lineRule="exact"/>
        <w:jc w:val="center"/>
        <w:rPr>
          <w:rFonts w:ascii="黑体" w:hAnsi="黑体" w:eastAsia="黑体"/>
          <w:sz w:val="36"/>
          <w:szCs w:val="36"/>
        </w:rPr>
      </w:pPr>
      <w:r>
        <w:rPr>
          <w:rFonts w:hint="eastAsia" w:ascii="黑体" w:hAnsi="黑体" w:eastAsia="黑体"/>
          <w:sz w:val="36"/>
          <w:szCs w:val="36"/>
        </w:rPr>
        <w:t>暨股本变动</w:t>
      </w:r>
      <w:bookmarkEnd w:id="0"/>
      <w:bookmarkEnd w:id="1"/>
    </w:p>
    <w:p>
      <w:pPr>
        <w:spacing w:line="600" w:lineRule="exact"/>
        <w:jc w:val="center"/>
        <w:rPr>
          <w:rFonts w:hint="eastAsia" w:ascii="仿宋_GB2312" w:eastAsia="仿宋_GB2312"/>
          <w:sz w:val="24"/>
          <w:szCs w:val="28"/>
        </w:rPr>
      </w:pPr>
      <w:r>
        <w:rPr>
          <w:rFonts w:hint="eastAsia" w:ascii="仿宋_GB2312" w:hAnsi="宋体" w:eastAsia="仿宋_GB2312" w:cs="宋体"/>
          <w:color w:val="0000FF"/>
          <w:kern w:val="0"/>
          <w:sz w:val="24"/>
          <w:szCs w:val="28"/>
        </w:rPr>
        <w:t>（此公告涉及业务流程及操作，请按相关要求逐项编制公告，勿随意删改）</w:t>
      </w:r>
    </w:p>
    <w:p>
      <w:pPr>
        <w:adjustRightInd w:val="0"/>
        <w:snapToGrid w:val="0"/>
        <w:spacing w:line="600" w:lineRule="exact"/>
        <w:jc w:val="center"/>
        <w:rPr>
          <w:rFonts w:hint="eastAsia" w:ascii="仿宋_GB2312" w:hAnsi="宋体" w:eastAsia="仿宋_GB2312"/>
          <w:b/>
          <w:sz w:val="30"/>
          <w:szCs w:val="30"/>
        </w:rPr>
      </w:pPr>
    </w:p>
    <w:p>
      <w:pPr>
        <w:adjustRightInd w:val="0"/>
        <w:snapToGrid w:val="0"/>
        <w:spacing w:line="600" w:lineRule="exact"/>
        <w:rPr>
          <w:rFonts w:hint="eastAsia" w:ascii="仿宋_GB2312" w:hAnsi="宋体" w:eastAsia="仿宋_GB2312"/>
          <w:b/>
          <w:sz w:val="30"/>
          <w:szCs w:val="30"/>
        </w:rPr>
      </w:pPr>
      <w:r>
        <w:rPr>
          <w:rFonts w:hint="eastAsia" w:ascii="仿宋_GB2312" w:hAnsi="宋体" w:eastAsia="仿宋_GB2312"/>
          <w:b/>
          <w:sz w:val="30"/>
          <w:szCs w:val="30"/>
        </w:rPr>
        <w:t>适用情形：</w:t>
      </w:r>
    </w:p>
    <w:p>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科创板上市公司完成向特定对象发行股票涉及的新增股份登记手续后，披露发行股票发行结果暨股本变动事项，适用本业务操作指引。</w:t>
      </w:r>
    </w:p>
    <w:p>
      <w:pPr>
        <w:autoSpaceDE w:val="0"/>
        <w:autoSpaceDN w:val="0"/>
        <w:adjustRightInd w:val="0"/>
        <w:snapToGrid w:val="0"/>
        <w:spacing w:line="600" w:lineRule="exact"/>
        <w:rPr>
          <w:rFonts w:hint="eastAsia" w:ascii="仿宋_GB2312" w:hAnsi="宋体" w:eastAsia="仿宋_GB2312"/>
          <w:sz w:val="30"/>
          <w:szCs w:val="30"/>
        </w:rPr>
      </w:pPr>
    </w:p>
    <w:p>
      <w:pPr>
        <w:adjustRightInd w:val="0"/>
        <w:snapToGrid w:val="0"/>
        <w:spacing w:line="600" w:lineRule="exact"/>
        <w:rPr>
          <w:rFonts w:hint="eastAsia" w:ascii="仿宋_GB2312" w:hAnsi="宋体" w:eastAsia="仿宋_GB2312"/>
          <w:sz w:val="30"/>
          <w:szCs w:val="30"/>
        </w:rPr>
      </w:pPr>
      <w:r>
        <w:rPr>
          <w:rFonts w:hint="eastAsia" w:ascii="仿宋_GB2312" w:hAnsi="宋体" w:eastAsia="仿宋_GB2312"/>
          <w:sz w:val="30"/>
          <w:szCs w:val="30"/>
        </w:rPr>
        <w:t>证券代码：             证券简称：            公告编号：</w:t>
      </w:r>
    </w:p>
    <w:p>
      <w:pPr>
        <w:autoSpaceDE w:val="0"/>
        <w:autoSpaceDN w:val="0"/>
        <w:adjustRightInd w:val="0"/>
        <w:snapToGrid w:val="0"/>
        <w:spacing w:line="600" w:lineRule="exact"/>
        <w:jc w:val="center"/>
        <w:rPr>
          <w:rFonts w:hint="eastAsia" w:ascii="仿宋_GB2312" w:hAnsi="宋体" w:eastAsia="仿宋_GB2312"/>
          <w:sz w:val="30"/>
          <w:szCs w:val="30"/>
        </w:rPr>
      </w:pPr>
    </w:p>
    <w:p>
      <w:pPr>
        <w:adjustRightInd w:val="0"/>
        <w:snapToGrid w:val="0"/>
        <w:spacing w:line="600" w:lineRule="exact"/>
        <w:jc w:val="center"/>
        <w:rPr>
          <w:rFonts w:hint="eastAsia" w:ascii="仿宋_GB2312" w:hAnsi="宋体" w:eastAsia="仿宋_GB2312"/>
          <w:bCs/>
          <w:sz w:val="30"/>
          <w:szCs w:val="30"/>
        </w:rPr>
      </w:pPr>
      <w:r>
        <w:rPr>
          <w:rFonts w:hint="eastAsia" w:ascii="仿宋_GB2312" w:hAnsi="宋体" w:eastAsia="仿宋_GB2312"/>
          <w:bCs/>
          <w:sz w:val="30"/>
          <w:szCs w:val="30"/>
        </w:rPr>
        <w:t>XXXX股份有限公司向特定对象发行股票发行结果暨股本变动公告</w:t>
      </w:r>
    </w:p>
    <w:p>
      <w:pPr>
        <w:adjustRightInd w:val="0"/>
        <w:snapToGrid w:val="0"/>
        <w:spacing w:line="600" w:lineRule="exact"/>
        <w:jc w:val="center"/>
        <w:rPr>
          <w:rFonts w:hint="eastAsia" w:ascii="仿宋_GB2312" w:hAnsi="宋体" w:eastAsia="仿宋_GB2312"/>
          <w:bCs/>
          <w:sz w:val="30"/>
          <w:szCs w:val="30"/>
        </w:rPr>
      </w:pPr>
    </w:p>
    <w:p>
      <w:pPr>
        <w:pBdr>
          <w:top w:val="single" w:color="auto" w:sz="4" w:space="1"/>
          <w:left w:val="single" w:color="auto" w:sz="4" w:space="4"/>
          <w:bottom w:val="single" w:color="auto" w:sz="4" w:space="1"/>
          <w:right w:val="single" w:color="auto" w:sz="4" w:space="4"/>
        </w:pBdr>
        <w:adjustRightInd w:val="0"/>
        <w:snapToGrid w:val="0"/>
        <w:spacing w:line="60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本公司董事会及全体董事保证本公告内容不存在任何虚假记载、误导性陈述或者重大遗漏，并对其内容的真实性、准确性和完整性依法承担法律责任。</w:t>
      </w:r>
    </w:p>
    <w:p>
      <w:pPr>
        <w:pBdr>
          <w:top w:val="single" w:color="auto" w:sz="4" w:space="1"/>
          <w:left w:val="single" w:color="auto" w:sz="4" w:space="4"/>
          <w:bottom w:val="single" w:color="auto" w:sz="4" w:space="1"/>
          <w:right w:val="single" w:color="auto" w:sz="4" w:space="4"/>
        </w:pBdr>
        <w:adjustRightInd w:val="0"/>
        <w:snapToGrid w:val="0"/>
        <w:spacing w:line="60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如有董事对临时公告内容的真实性、准确性和完整性无法保证或存在异议的，公司应当在公告中作特别提示。</w:t>
      </w:r>
    </w:p>
    <w:p>
      <w:pPr>
        <w:adjustRightInd w:val="0"/>
        <w:snapToGrid w:val="0"/>
        <w:spacing w:line="600" w:lineRule="exact"/>
        <w:ind w:firstLine="600" w:firstLineChars="200"/>
        <w:rPr>
          <w:rFonts w:hint="eastAsia" w:ascii="仿宋_GB2312" w:hAnsi="宋体" w:eastAsia="仿宋_GB2312" w:cs="Arial Unicode MS"/>
          <w:sz w:val="30"/>
          <w:szCs w:val="30"/>
        </w:rPr>
      </w:pPr>
    </w:p>
    <w:p>
      <w:pPr>
        <w:adjustRightInd w:val="0"/>
        <w:snapToGrid w:val="0"/>
        <w:spacing w:line="600" w:lineRule="exact"/>
        <w:ind w:firstLine="602" w:firstLineChars="200"/>
        <w:rPr>
          <w:rFonts w:hint="eastAsia" w:ascii="仿宋_GB2312" w:hAnsi="宋体" w:eastAsia="仿宋_GB2312"/>
          <w:b/>
          <w:bCs/>
          <w:sz w:val="30"/>
          <w:szCs w:val="30"/>
        </w:rPr>
      </w:pPr>
      <w:r>
        <w:rPr>
          <w:rFonts w:hint="eastAsia" w:ascii="仿宋_GB2312" w:hAnsi="宋体" w:eastAsia="仿宋_GB2312"/>
          <w:b/>
          <w:bCs/>
          <w:sz w:val="30"/>
          <w:szCs w:val="30"/>
        </w:rPr>
        <w:t>重要内容提示:</w:t>
      </w:r>
    </w:p>
    <w:p>
      <w:pPr>
        <w:numPr>
          <w:ilvl w:val="0"/>
          <w:numId w:val="1"/>
        </w:numPr>
        <w:adjustRightInd w:val="0"/>
        <w:snapToGrid w:val="0"/>
        <w:spacing w:line="600" w:lineRule="exact"/>
        <w:ind w:left="0" w:firstLine="600" w:firstLineChars="200"/>
        <w:rPr>
          <w:rFonts w:hint="eastAsia" w:ascii="仿宋_GB2312" w:hAnsi="宋体" w:eastAsia="仿宋_GB2312" w:cs="Arial Unicode MS"/>
          <w:sz w:val="30"/>
          <w:szCs w:val="30"/>
        </w:rPr>
      </w:pPr>
      <w:r>
        <w:rPr>
          <w:rFonts w:hint="eastAsia" w:ascii="仿宋_GB2312" w:hAnsi="宋体" w:eastAsia="仿宋_GB2312" w:cs="Arial Unicode MS"/>
          <w:sz w:val="30"/>
          <w:szCs w:val="30"/>
        </w:rPr>
        <w:t>发行数量和价格</w:t>
      </w:r>
    </w:p>
    <w:p>
      <w:pPr>
        <w:numPr>
          <w:ilvl w:val="0"/>
          <w:numId w:val="1"/>
        </w:numPr>
        <w:adjustRightInd w:val="0"/>
        <w:snapToGrid w:val="0"/>
        <w:spacing w:line="600" w:lineRule="exact"/>
        <w:ind w:left="0" w:firstLine="600" w:firstLineChars="200"/>
        <w:rPr>
          <w:rFonts w:hint="eastAsia" w:ascii="仿宋_GB2312" w:hAnsi="宋体" w:eastAsia="仿宋_GB2312" w:cs="Arial Unicode MS"/>
          <w:sz w:val="30"/>
          <w:szCs w:val="30"/>
        </w:rPr>
      </w:pPr>
      <w:r>
        <w:rPr>
          <w:rFonts w:hint="eastAsia" w:ascii="仿宋_GB2312" w:hAnsi="宋体" w:eastAsia="仿宋_GB2312" w:cs="Arial Unicode MS"/>
          <w:sz w:val="30"/>
          <w:szCs w:val="30"/>
        </w:rPr>
        <w:t>预计上市时间</w:t>
      </w:r>
    </w:p>
    <w:p>
      <w:pPr>
        <w:numPr>
          <w:ilvl w:val="0"/>
          <w:numId w:val="1"/>
        </w:numPr>
        <w:adjustRightInd w:val="0"/>
        <w:snapToGrid w:val="0"/>
        <w:spacing w:line="600" w:lineRule="exact"/>
        <w:ind w:left="0" w:firstLine="600" w:firstLineChars="200"/>
        <w:rPr>
          <w:rFonts w:hint="eastAsia" w:ascii="仿宋_GB2312" w:hAnsi="宋体" w:eastAsia="仿宋_GB2312" w:cs="Arial Unicode MS"/>
          <w:sz w:val="30"/>
          <w:szCs w:val="30"/>
        </w:rPr>
      </w:pPr>
      <w:r>
        <w:rPr>
          <w:rFonts w:hint="eastAsia" w:ascii="仿宋_GB2312" w:hAnsi="宋体" w:eastAsia="仿宋_GB2312" w:cs="Arial Unicode MS"/>
          <w:sz w:val="30"/>
          <w:szCs w:val="30"/>
        </w:rPr>
        <w:t>资产过户情况</w:t>
      </w:r>
    </w:p>
    <w:p>
      <w:pPr>
        <w:widowControl/>
        <w:spacing w:line="600" w:lineRule="exact"/>
        <w:ind w:firstLine="643" w:firstLineChars="200"/>
        <w:rPr>
          <w:rFonts w:hint="eastAsia" w:ascii="黑体" w:hAnsi="黑体" w:eastAsia="黑体" w:cs="宋体"/>
          <w:b/>
          <w:color w:val="000000"/>
          <w:kern w:val="0"/>
          <w:sz w:val="32"/>
          <w:szCs w:val="32"/>
        </w:rPr>
      </w:pPr>
    </w:p>
    <w:p>
      <w:pPr>
        <w:widowControl/>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一、本次发行概况</w:t>
      </w:r>
    </w:p>
    <w:p>
      <w:pPr>
        <w:adjustRightInd w:val="0"/>
        <w:snapToGrid w:val="0"/>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（一）本次发行的内部决策程序、中国证监会同意注册的决定及文号；</w:t>
      </w:r>
    </w:p>
    <w:p>
      <w:pPr>
        <w:adjustRightInd w:val="0"/>
        <w:snapToGrid w:val="0"/>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（二）本次发行情况，包括发行股票的种类、数量、价格、募集资金金额、发行费用、保荐机构等；</w:t>
      </w:r>
    </w:p>
    <w:p>
      <w:pPr>
        <w:adjustRightInd w:val="0"/>
        <w:snapToGrid w:val="0"/>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（三）募集资金验资和股份登记情况，注册会计师出具的专项验资报告的结论性意见；</w:t>
      </w:r>
    </w:p>
    <w:p>
      <w:pPr>
        <w:tabs>
          <w:tab w:val="left" w:pos="1080"/>
        </w:tabs>
        <w:adjustRightInd w:val="0"/>
        <w:snapToGrid w:val="0"/>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（四）资产过户情况（涉及资产认购）；</w:t>
      </w:r>
    </w:p>
    <w:p>
      <w:pPr>
        <w:adjustRightInd w:val="0"/>
        <w:snapToGrid w:val="0"/>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（五）保荐机构和律师事务所关于本次发行过程和认购对象合规性的结论意见。</w:t>
      </w:r>
    </w:p>
    <w:p>
      <w:pPr>
        <w:adjustRightInd w:val="0"/>
        <w:snapToGrid w:val="0"/>
        <w:spacing w:line="600" w:lineRule="exact"/>
        <w:ind w:firstLine="200"/>
        <w:rPr>
          <w:rFonts w:ascii="宋体" w:hAnsi="宋体" w:cs="Arial Unicode MS"/>
          <w:sz w:val="24"/>
        </w:rPr>
      </w:pPr>
    </w:p>
    <w:p>
      <w:pPr>
        <w:widowControl/>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二、发行结果及对象简介</w:t>
      </w:r>
    </w:p>
    <w:p>
      <w:pPr>
        <w:adjustRightInd w:val="0"/>
        <w:snapToGrid w:val="0"/>
        <w:spacing w:line="600" w:lineRule="exact"/>
        <w:ind w:firstLine="504" w:firstLineChars="168"/>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（一）发行结果，包括本次股票的发行对象、各发行对象认购的数量、认购股份的限售期、认购股份预计上市时间等。</w:t>
      </w:r>
    </w:p>
    <w:p>
      <w:pPr>
        <w:adjustRightInd w:val="0"/>
        <w:snapToGrid w:val="0"/>
        <w:spacing w:line="600" w:lineRule="exact"/>
        <w:ind w:firstLine="504" w:firstLineChars="168"/>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（二）发行对象情况，包括发行对象的名称、注册地址、注册资本、法定代表人、经营范围、是否与公司存在关联关系、业务联系等。</w:t>
      </w:r>
    </w:p>
    <w:p>
      <w:pPr>
        <w:adjustRightInd w:val="0"/>
        <w:snapToGrid w:val="0"/>
        <w:spacing w:line="600" w:lineRule="exact"/>
        <w:ind w:firstLine="200"/>
        <w:rPr>
          <w:rFonts w:ascii="宋体" w:hAnsi="宋体" w:cs="Arial Unicode MS"/>
          <w:sz w:val="24"/>
        </w:rPr>
      </w:pP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三、本次发行前后公司前10名股东、相关股东变化</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（一）本次发行前后公司前10名股东</w:t>
      </w:r>
      <w:r>
        <w:rPr>
          <w:rFonts w:ascii="仿宋" w:hAnsi="仿宋" w:eastAsia="仿宋_GB2312"/>
          <w:sz w:val="30"/>
          <w:szCs w:val="30"/>
        </w:rPr>
        <w:t>持股数量</w:t>
      </w:r>
      <w:r>
        <w:rPr>
          <w:rFonts w:hint="eastAsia" w:ascii="仿宋" w:hAnsi="仿宋" w:eastAsia="仿宋_GB2312"/>
          <w:sz w:val="30"/>
          <w:szCs w:val="30"/>
        </w:rPr>
        <w:t>和</w:t>
      </w:r>
      <w:r>
        <w:rPr>
          <w:rFonts w:ascii="仿宋" w:hAnsi="仿宋" w:eastAsia="仿宋_GB2312"/>
          <w:sz w:val="30"/>
          <w:szCs w:val="30"/>
        </w:rPr>
        <w:t>持股比例</w:t>
      </w:r>
      <w:r>
        <w:rPr>
          <w:rFonts w:hint="eastAsia" w:ascii="仿宋" w:hAnsi="仿宋" w:eastAsia="仿宋_GB2312"/>
          <w:sz w:val="30"/>
          <w:szCs w:val="30"/>
        </w:rPr>
        <w:t>变动</w:t>
      </w:r>
      <w:r>
        <w:rPr>
          <w:rFonts w:ascii="仿宋" w:hAnsi="仿宋" w:eastAsia="仿宋_GB2312"/>
          <w:sz w:val="30"/>
          <w:szCs w:val="30"/>
        </w:rPr>
        <w:t>情况</w:t>
      </w:r>
      <w:r>
        <w:rPr>
          <w:rFonts w:hint="eastAsia" w:ascii="仿宋" w:hAnsi="仿宋" w:eastAsia="仿宋_GB2312"/>
          <w:sz w:val="30"/>
          <w:szCs w:val="30"/>
        </w:rPr>
        <w:t>。说明本次发行是否导致公司控制权的变化。</w:t>
      </w:r>
    </w:p>
    <w:p>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（二）本次发行前后公司相关股东持股变化（如适用）</w:t>
      </w:r>
    </w:p>
    <w:p>
      <w:pPr>
        <w:adjustRightInd w:val="0"/>
        <w:snapToGrid w:val="0"/>
        <w:spacing w:line="560" w:lineRule="exact"/>
        <w:ind w:firstLine="600" w:firstLineChars="200"/>
        <w:rPr>
          <w:rFonts w:ascii="仿宋" w:hAnsi="仿宋" w:eastAsia="仿宋_GB2312"/>
          <w:bCs/>
          <w:sz w:val="30"/>
          <w:szCs w:val="30"/>
        </w:rPr>
      </w:pPr>
      <w:r>
        <w:rPr>
          <w:rFonts w:hint="eastAsia" w:eastAsia="仿宋_GB2312"/>
          <w:color w:val="000000"/>
          <w:sz w:val="30"/>
          <w:szCs w:val="30"/>
        </w:rPr>
        <w:t>上市公司股本变动，可能导致股东及其一致行动人拥有权益的股份比例触及或者跨越</w:t>
      </w:r>
      <w:r>
        <w:rPr>
          <w:rFonts w:eastAsia="仿宋_GB2312"/>
          <w:color w:val="000000"/>
          <w:sz w:val="30"/>
          <w:szCs w:val="30"/>
        </w:rPr>
        <w:t>5%</w:t>
      </w:r>
      <w:r>
        <w:rPr>
          <w:rFonts w:hint="eastAsia" w:eastAsia="仿宋_GB2312"/>
          <w:color w:val="000000"/>
          <w:sz w:val="30"/>
          <w:szCs w:val="30"/>
        </w:rPr>
        <w:t>及</w:t>
      </w:r>
      <w:r>
        <w:rPr>
          <w:rFonts w:eastAsia="仿宋_GB2312"/>
          <w:color w:val="000000"/>
          <w:sz w:val="30"/>
          <w:szCs w:val="30"/>
        </w:rPr>
        <w:t>5%</w:t>
      </w:r>
      <w:r>
        <w:rPr>
          <w:rFonts w:hint="eastAsia" w:eastAsia="仿宋_GB2312"/>
          <w:color w:val="000000"/>
          <w:sz w:val="30"/>
          <w:szCs w:val="30"/>
        </w:rPr>
        <w:t>的整数倍，或者导致持股</w:t>
      </w:r>
      <w:r>
        <w:rPr>
          <w:rFonts w:eastAsia="仿宋_GB2312"/>
          <w:color w:val="000000"/>
          <w:sz w:val="30"/>
          <w:szCs w:val="30"/>
        </w:rPr>
        <w:t>5%</w:t>
      </w:r>
      <w:r>
        <w:rPr>
          <w:rFonts w:hint="eastAsia" w:eastAsia="仿宋_GB2312"/>
          <w:color w:val="000000"/>
          <w:sz w:val="30"/>
          <w:szCs w:val="30"/>
        </w:rPr>
        <w:t>以上的股东及其一致行动人拥有权益的股份比例触及</w:t>
      </w:r>
      <w:r>
        <w:rPr>
          <w:rFonts w:eastAsia="仿宋_GB2312"/>
          <w:color w:val="000000"/>
          <w:sz w:val="30"/>
          <w:szCs w:val="30"/>
        </w:rPr>
        <w:t>1%</w:t>
      </w:r>
      <w:r>
        <w:rPr>
          <w:rFonts w:hint="eastAsia" w:eastAsia="仿宋_GB2312"/>
          <w:color w:val="000000"/>
          <w:sz w:val="30"/>
          <w:szCs w:val="30"/>
        </w:rPr>
        <w:t>的整数倍。存在前述情况，公司应当</w:t>
      </w:r>
      <w:r>
        <w:rPr>
          <w:rFonts w:hint="eastAsia" w:ascii="仿宋" w:hAnsi="仿宋" w:eastAsia="仿宋_GB2312"/>
          <w:bCs/>
          <w:sz w:val="30"/>
          <w:szCs w:val="30"/>
        </w:rPr>
        <w:t>列示发行前后，上述股东及其一致行动人的</w:t>
      </w:r>
      <w:r>
        <w:rPr>
          <w:rFonts w:hint="eastAsia" w:ascii="仿宋" w:hAnsi="仿宋" w:eastAsia="仿宋_GB2312"/>
          <w:sz w:val="30"/>
          <w:szCs w:val="30"/>
        </w:rPr>
        <w:t>持股数量和持股比例变动</w:t>
      </w:r>
      <w:r>
        <w:rPr>
          <w:rFonts w:hint="eastAsia" w:ascii="仿宋" w:hAnsi="仿宋" w:eastAsia="仿宋_GB2312"/>
          <w:bCs/>
          <w:sz w:val="30"/>
          <w:szCs w:val="30"/>
        </w:rPr>
        <w:t>情况。</w:t>
      </w:r>
    </w:p>
    <w:tbl>
      <w:tblPr>
        <w:tblStyle w:val="9"/>
        <w:tblW w:w="0" w:type="auto"/>
        <w:tblInd w:w="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2830"/>
        <w:gridCol w:w="1418"/>
        <w:gridCol w:w="1417"/>
        <w:gridCol w:w="1248"/>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2830" w:type="dxa"/>
            <w:shd w:val="clear" w:color="auto" w:fill="FFFFFF"/>
            <w:noWrap w:val="0"/>
            <w:tcMar>
              <w:top w:w="0" w:type="dxa"/>
              <w:left w:w="30" w:type="dxa"/>
              <w:bottom w:w="0" w:type="dxa"/>
              <w:right w:w="30" w:type="dxa"/>
            </w:tcMar>
            <w:vAlign w:val="center"/>
          </w:tcPr>
          <w:p>
            <w:pPr>
              <w:adjustRightInd w:val="0"/>
              <w:snapToGrid w:val="0"/>
              <w:spacing w:line="360" w:lineRule="auto"/>
              <w:jc w:val="center"/>
              <w:rPr>
                <w:rFonts w:ascii="仿宋_GB2312" w:hAnsi="仿宋" w:eastAsia="仿宋_GB2312"/>
                <w:sz w:val="21"/>
                <w:szCs w:val="21"/>
              </w:rPr>
            </w:pPr>
            <w:bookmarkStart w:id="2" w:name="_Hlk189844299"/>
            <w:bookmarkStart w:id="3" w:name="_Hlk189846806"/>
            <w:bookmarkStart w:id="4" w:name="OLE_LINK4"/>
            <w:r>
              <w:rPr>
                <w:rFonts w:hint="eastAsia" w:ascii="仿宋_GB2312" w:hAnsi="仿宋" w:eastAsia="仿宋_GB2312"/>
                <w:sz w:val="21"/>
                <w:szCs w:val="21"/>
              </w:rPr>
              <w:t>股东名称</w:t>
            </w:r>
          </w:p>
        </w:tc>
        <w:tc>
          <w:tcPr>
            <w:tcW w:w="1418" w:type="dxa"/>
            <w:shd w:val="clear" w:color="auto" w:fill="FFFFFF"/>
            <w:noWrap w:val="0"/>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1"/>
              </w:rPr>
            </w:pPr>
            <w:r>
              <w:rPr>
                <w:rFonts w:hint="eastAsia" w:ascii="仿宋_GB2312" w:hAnsi="楷体" w:eastAsia="仿宋_GB2312" w:cs="楷体"/>
                <w:szCs w:val="21"/>
              </w:rPr>
              <w:t>变动前持股数量（股）</w:t>
            </w:r>
          </w:p>
        </w:tc>
        <w:tc>
          <w:tcPr>
            <w:tcW w:w="1417" w:type="dxa"/>
            <w:shd w:val="clear" w:color="auto" w:fill="FFFFFF"/>
            <w:noWrap w:val="0"/>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1"/>
              </w:rPr>
            </w:pPr>
            <w:r>
              <w:rPr>
                <w:rFonts w:hint="eastAsia" w:ascii="仿宋_GB2312" w:hAnsi="楷体" w:eastAsia="仿宋_GB2312" w:cs="楷体"/>
                <w:szCs w:val="21"/>
              </w:rPr>
              <w:t>变动前持股比例（%）</w:t>
            </w:r>
          </w:p>
        </w:tc>
        <w:tc>
          <w:tcPr>
            <w:tcW w:w="1248" w:type="dxa"/>
            <w:shd w:val="clear" w:color="auto" w:fill="FFFFFF"/>
            <w:noWrap w:val="0"/>
            <w:vAlign w:val="top"/>
          </w:tcPr>
          <w:p>
            <w:pPr>
              <w:adjustRightInd w:val="0"/>
              <w:snapToGrid w:val="0"/>
              <w:spacing w:line="360" w:lineRule="auto"/>
              <w:jc w:val="center"/>
              <w:rPr>
                <w:rFonts w:ascii="仿宋_GB2312" w:hAnsi="楷体" w:eastAsia="仿宋_GB2312" w:cs="楷体"/>
                <w:szCs w:val="21"/>
              </w:rPr>
            </w:pPr>
            <w:r>
              <w:rPr>
                <w:rFonts w:hint="eastAsia" w:ascii="仿宋_GB2312" w:hAnsi="楷体" w:eastAsia="仿宋_GB2312" w:cs="楷体"/>
                <w:szCs w:val="21"/>
              </w:rPr>
              <w:t>变动后持股数量（股）</w:t>
            </w:r>
          </w:p>
        </w:tc>
        <w:tc>
          <w:tcPr>
            <w:tcW w:w="0" w:type="auto"/>
            <w:shd w:val="clear" w:color="auto" w:fill="FFFFFF"/>
            <w:noWrap w:val="0"/>
            <w:vAlign w:val="top"/>
          </w:tcPr>
          <w:p>
            <w:pPr>
              <w:adjustRightInd w:val="0"/>
              <w:snapToGrid w:val="0"/>
              <w:spacing w:line="360" w:lineRule="auto"/>
              <w:jc w:val="center"/>
              <w:rPr>
                <w:rFonts w:ascii="仿宋_GB2312" w:hAnsi="楷体" w:eastAsia="仿宋_GB2312" w:cs="楷体"/>
                <w:szCs w:val="21"/>
              </w:rPr>
            </w:pPr>
            <w:r>
              <w:rPr>
                <w:rFonts w:hint="eastAsia" w:ascii="仿宋_GB2312" w:hAnsi="楷体" w:eastAsia="仿宋_GB2312" w:cs="楷体"/>
                <w:szCs w:val="21"/>
              </w:rPr>
              <w:t>变动后持股比例（%）</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30" w:type="dxa"/>
            <w:shd w:val="clear" w:color="auto" w:fill="FFFFFF"/>
            <w:noWrap w:val="0"/>
            <w:tcMar>
              <w:top w:w="0" w:type="dxa"/>
              <w:left w:w="30" w:type="dxa"/>
              <w:bottom w:w="0" w:type="dxa"/>
              <w:right w:w="30" w:type="dxa"/>
            </w:tcMar>
            <w:vAlign w:val="center"/>
          </w:tcPr>
          <w:p>
            <w:pPr>
              <w:adjustRightInd w:val="0"/>
              <w:snapToGrid w:val="0"/>
              <w:spacing w:line="360" w:lineRule="auto"/>
              <w:rPr>
                <w:rFonts w:ascii="仿宋_GB2312" w:hAnsi="楷体" w:eastAsia="仿宋_GB2312" w:cs="楷体"/>
                <w:szCs w:val="21"/>
              </w:rPr>
            </w:pPr>
            <w:r>
              <w:rPr>
                <w:rFonts w:hint="eastAsia" w:ascii="仿宋_GB2312" w:hAnsi="楷体" w:eastAsia="仿宋_GB2312" w:cs="楷体"/>
                <w:szCs w:val="21"/>
              </w:rPr>
              <w:t>股东A及其</w:t>
            </w:r>
            <w:bookmarkStart w:id="5" w:name="OLE_LINK3"/>
            <w:r>
              <w:rPr>
                <w:rFonts w:hint="eastAsia" w:ascii="仿宋_GB2312" w:hAnsi="楷体" w:eastAsia="仿宋_GB2312" w:cs="楷体"/>
                <w:szCs w:val="21"/>
              </w:rPr>
              <w:t>一致行动人</w:t>
            </w:r>
            <w:bookmarkEnd w:id="5"/>
            <w:r>
              <w:rPr>
                <w:rFonts w:hint="eastAsia" w:ascii="仿宋_GB2312" w:hAnsi="楷体" w:eastAsia="仿宋_GB2312" w:cs="楷体"/>
                <w:szCs w:val="21"/>
              </w:rPr>
              <w:t>（</w:t>
            </w:r>
            <w:bookmarkStart w:id="6" w:name="OLE_LINK1"/>
            <w:r>
              <w:rPr>
                <w:rFonts w:hint="eastAsia" w:ascii="仿宋_GB2312" w:hAnsi="楷体" w:eastAsia="仿宋_GB2312" w:cs="楷体"/>
                <w:szCs w:val="21"/>
              </w:rPr>
              <w:t>合并计算</w:t>
            </w:r>
            <w:bookmarkEnd w:id="6"/>
            <w:r>
              <w:rPr>
                <w:rFonts w:hint="eastAsia" w:ascii="仿宋_GB2312" w:hAnsi="楷体" w:eastAsia="仿宋_GB2312" w:cs="楷体"/>
                <w:szCs w:val="21"/>
              </w:rPr>
              <w:t>）</w:t>
            </w:r>
          </w:p>
        </w:tc>
        <w:tc>
          <w:tcPr>
            <w:tcW w:w="1418" w:type="dxa"/>
            <w:shd w:val="clear" w:color="auto" w:fill="FFFFFF"/>
            <w:noWrap w:val="0"/>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1"/>
              </w:rPr>
            </w:pPr>
          </w:p>
        </w:tc>
        <w:tc>
          <w:tcPr>
            <w:tcW w:w="1417" w:type="dxa"/>
            <w:shd w:val="clear" w:color="auto" w:fill="FFFFFF"/>
            <w:noWrap w:val="0"/>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1"/>
              </w:rPr>
            </w:pPr>
          </w:p>
        </w:tc>
        <w:tc>
          <w:tcPr>
            <w:tcW w:w="1248" w:type="dxa"/>
            <w:shd w:val="clear" w:color="auto" w:fill="FFFFFF"/>
            <w:noWrap w:val="0"/>
            <w:vAlign w:val="top"/>
          </w:tcPr>
          <w:p>
            <w:pPr>
              <w:adjustRightInd w:val="0"/>
              <w:snapToGrid w:val="0"/>
              <w:spacing w:line="360" w:lineRule="auto"/>
              <w:jc w:val="center"/>
              <w:rPr>
                <w:rFonts w:ascii="仿宋_GB2312" w:hAnsi="楷体" w:eastAsia="仿宋_GB2312" w:cs="楷体"/>
                <w:szCs w:val="21"/>
              </w:rPr>
            </w:pPr>
          </w:p>
        </w:tc>
        <w:tc>
          <w:tcPr>
            <w:tcW w:w="0" w:type="auto"/>
            <w:shd w:val="clear" w:color="auto" w:fill="FFFFFF"/>
            <w:noWrap w:val="0"/>
            <w:vAlign w:val="top"/>
          </w:tcPr>
          <w:p>
            <w:pPr>
              <w:adjustRightInd w:val="0"/>
              <w:snapToGrid w:val="0"/>
              <w:spacing w:line="360" w:lineRule="auto"/>
              <w:jc w:val="center"/>
              <w:rPr>
                <w:rFonts w:ascii="仿宋_GB2312" w:hAnsi="楷体" w:eastAsia="仿宋_GB2312"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30" w:type="dxa"/>
            <w:shd w:val="clear" w:color="auto" w:fill="FFFFFF"/>
            <w:noWrap w:val="0"/>
            <w:tcMar>
              <w:top w:w="0" w:type="dxa"/>
              <w:left w:w="30" w:type="dxa"/>
              <w:bottom w:w="0" w:type="dxa"/>
              <w:right w:w="30" w:type="dxa"/>
            </w:tcMar>
            <w:vAlign w:val="center"/>
          </w:tcPr>
          <w:p>
            <w:pPr>
              <w:adjustRightInd w:val="0"/>
              <w:snapToGrid w:val="0"/>
              <w:spacing w:line="360" w:lineRule="auto"/>
              <w:rPr>
                <w:rFonts w:ascii="仿宋_GB2312" w:hAnsi="楷体" w:eastAsia="仿宋_GB2312" w:cs="楷体"/>
                <w:szCs w:val="21"/>
              </w:rPr>
            </w:pPr>
            <w:r>
              <w:rPr>
                <w:rFonts w:hint="eastAsia" w:ascii="仿宋_GB2312" w:hAnsi="楷体" w:eastAsia="仿宋_GB2312" w:cs="楷体"/>
                <w:szCs w:val="21"/>
              </w:rPr>
              <w:t>股东A</w:t>
            </w:r>
          </w:p>
        </w:tc>
        <w:tc>
          <w:tcPr>
            <w:tcW w:w="1418" w:type="dxa"/>
            <w:shd w:val="clear" w:color="auto" w:fill="FFFFFF"/>
            <w:noWrap w:val="0"/>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1"/>
              </w:rPr>
            </w:pPr>
          </w:p>
        </w:tc>
        <w:tc>
          <w:tcPr>
            <w:tcW w:w="1417" w:type="dxa"/>
            <w:shd w:val="clear" w:color="auto" w:fill="FFFFFF"/>
            <w:noWrap w:val="0"/>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1"/>
              </w:rPr>
            </w:pPr>
          </w:p>
        </w:tc>
        <w:tc>
          <w:tcPr>
            <w:tcW w:w="1248" w:type="dxa"/>
            <w:shd w:val="clear" w:color="auto" w:fill="FFFFFF"/>
            <w:noWrap w:val="0"/>
            <w:vAlign w:val="top"/>
          </w:tcPr>
          <w:p>
            <w:pPr>
              <w:adjustRightInd w:val="0"/>
              <w:snapToGrid w:val="0"/>
              <w:spacing w:line="360" w:lineRule="auto"/>
              <w:jc w:val="center"/>
              <w:rPr>
                <w:rFonts w:ascii="仿宋_GB2312" w:hAnsi="楷体" w:eastAsia="仿宋_GB2312" w:cs="楷体"/>
                <w:szCs w:val="21"/>
              </w:rPr>
            </w:pPr>
          </w:p>
        </w:tc>
        <w:tc>
          <w:tcPr>
            <w:tcW w:w="0" w:type="auto"/>
            <w:shd w:val="clear" w:color="auto" w:fill="FFFFFF"/>
            <w:noWrap w:val="0"/>
            <w:vAlign w:val="top"/>
          </w:tcPr>
          <w:p>
            <w:pPr>
              <w:adjustRightInd w:val="0"/>
              <w:snapToGrid w:val="0"/>
              <w:spacing w:line="360" w:lineRule="auto"/>
              <w:jc w:val="center"/>
              <w:rPr>
                <w:rFonts w:ascii="仿宋_GB2312" w:hAnsi="楷体" w:eastAsia="仿宋_GB2312"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30" w:type="dxa"/>
            <w:shd w:val="clear" w:color="auto" w:fill="FFFFFF"/>
            <w:noWrap w:val="0"/>
            <w:tcMar>
              <w:top w:w="0" w:type="dxa"/>
              <w:left w:w="30" w:type="dxa"/>
              <w:bottom w:w="0" w:type="dxa"/>
              <w:right w:w="30" w:type="dxa"/>
            </w:tcMar>
            <w:vAlign w:val="center"/>
          </w:tcPr>
          <w:p>
            <w:pPr>
              <w:adjustRightInd w:val="0"/>
              <w:snapToGrid w:val="0"/>
              <w:spacing w:line="360" w:lineRule="auto"/>
              <w:rPr>
                <w:rFonts w:ascii="仿宋_GB2312" w:hAnsi="楷体" w:eastAsia="仿宋_GB2312" w:cs="楷体"/>
                <w:szCs w:val="21"/>
              </w:rPr>
            </w:pPr>
            <w:bookmarkStart w:id="7" w:name="OLE_LINK2"/>
            <w:r>
              <w:rPr>
                <w:rFonts w:hint="eastAsia" w:ascii="仿宋_GB2312" w:hAnsi="楷体" w:eastAsia="仿宋_GB2312" w:cs="楷体"/>
                <w:szCs w:val="21"/>
              </w:rPr>
              <w:t>一致行动人1</w:t>
            </w:r>
            <w:bookmarkEnd w:id="7"/>
          </w:p>
        </w:tc>
        <w:tc>
          <w:tcPr>
            <w:tcW w:w="1418" w:type="dxa"/>
            <w:shd w:val="clear" w:color="auto" w:fill="FFFFFF"/>
            <w:noWrap w:val="0"/>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1"/>
              </w:rPr>
            </w:pPr>
          </w:p>
        </w:tc>
        <w:tc>
          <w:tcPr>
            <w:tcW w:w="1417" w:type="dxa"/>
            <w:shd w:val="clear" w:color="auto" w:fill="FFFFFF"/>
            <w:noWrap w:val="0"/>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1"/>
              </w:rPr>
            </w:pPr>
          </w:p>
        </w:tc>
        <w:tc>
          <w:tcPr>
            <w:tcW w:w="1248" w:type="dxa"/>
            <w:shd w:val="clear" w:color="auto" w:fill="FFFFFF"/>
            <w:noWrap w:val="0"/>
            <w:vAlign w:val="top"/>
          </w:tcPr>
          <w:p>
            <w:pPr>
              <w:adjustRightInd w:val="0"/>
              <w:snapToGrid w:val="0"/>
              <w:spacing w:line="360" w:lineRule="auto"/>
              <w:jc w:val="center"/>
              <w:rPr>
                <w:rFonts w:ascii="仿宋_GB2312" w:hAnsi="楷体" w:eastAsia="仿宋_GB2312" w:cs="楷体"/>
                <w:szCs w:val="21"/>
              </w:rPr>
            </w:pPr>
          </w:p>
        </w:tc>
        <w:tc>
          <w:tcPr>
            <w:tcW w:w="0" w:type="auto"/>
            <w:shd w:val="clear" w:color="auto" w:fill="FFFFFF"/>
            <w:noWrap w:val="0"/>
            <w:vAlign w:val="top"/>
          </w:tcPr>
          <w:p>
            <w:pPr>
              <w:adjustRightInd w:val="0"/>
              <w:snapToGrid w:val="0"/>
              <w:spacing w:line="360" w:lineRule="auto"/>
              <w:jc w:val="center"/>
              <w:rPr>
                <w:rFonts w:ascii="仿宋_GB2312" w:hAnsi="楷体" w:eastAsia="仿宋_GB2312"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30" w:type="dxa"/>
            <w:shd w:val="clear" w:color="auto" w:fill="FFFFFF"/>
            <w:noWrap w:val="0"/>
            <w:tcMar>
              <w:top w:w="0" w:type="dxa"/>
              <w:left w:w="30" w:type="dxa"/>
              <w:bottom w:w="0" w:type="dxa"/>
              <w:right w:w="30" w:type="dxa"/>
            </w:tcMar>
            <w:vAlign w:val="center"/>
          </w:tcPr>
          <w:p>
            <w:pPr>
              <w:adjustRightInd w:val="0"/>
              <w:snapToGrid w:val="0"/>
              <w:spacing w:line="360" w:lineRule="auto"/>
              <w:rPr>
                <w:rFonts w:ascii="仿宋_GB2312" w:hAnsi="楷体" w:eastAsia="仿宋_GB2312" w:cs="楷体"/>
                <w:szCs w:val="21"/>
              </w:rPr>
            </w:pPr>
            <w:r>
              <w:rPr>
                <w:rFonts w:hint="eastAsia" w:ascii="仿宋_GB2312" w:hAnsi="楷体" w:eastAsia="仿宋_GB2312" w:cs="楷体"/>
                <w:szCs w:val="21"/>
              </w:rPr>
              <w:t>一致行动人2</w:t>
            </w:r>
          </w:p>
        </w:tc>
        <w:tc>
          <w:tcPr>
            <w:tcW w:w="1418" w:type="dxa"/>
            <w:shd w:val="clear" w:color="auto" w:fill="FFFFFF"/>
            <w:noWrap w:val="0"/>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1"/>
              </w:rPr>
            </w:pPr>
          </w:p>
        </w:tc>
        <w:tc>
          <w:tcPr>
            <w:tcW w:w="1417" w:type="dxa"/>
            <w:shd w:val="clear" w:color="auto" w:fill="FFFFFF"/>
            <w:noWrap w:val="0"/>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1"/>
              </w:rPr>
            </w:pPr>
          </w:p>
        </w:tc>
        <w:tc>
          <w:tcPr>
            <w:tcW w:w="1248" w:type="dxa"/>
            <w:shd w:val="clear" w:color="auto" w:fill="FFFFFF"/>
            <w:noWrap w:val="0"/>
            <w:vAlign w:val="top"/>
          </w:tcPr>
          <w:p>
            <w:pPr>
              <w:adjustRightInd w:val="0"/>
              <w:snapToGrid w:val="0"/>
              <w:spacing w:line="360" w:lineRule="auto"/>
              <w:jc w:val="center"/>
              <w:rPr>
                <w:rFonts w:ascii="仿宋_GB2312" w:hAnsi="楷体" w:eastAsia="仿宋_GB2312" w:cs="楷体"/>
                <w:szCs w:val="21"/>
              </w:rPr>
            </w:pPr>
          </w:p>
        </w:tc>
        <w:tc>
          <w:tcPr>
            <w:tcW w:w="0" w:type="auto"/>
            <w:shd w:val="clear" w:color="auto" w:fill="FFFFFF"/>
            <w:noWrap w:val="0"/>
            <w:vAlign w:val="top"/>
          </w:tcPr>
          <w:p>
            <w:pPr>
              <w:adjustRightInd w:val="0"/>
              <w:snapToGrid w:val="0"/>
              <w:spacing w:line="360" w:lineRule="auto"/>
              <w:jc w:val="center"/>
              <w:rPr>
                <w:rFonts w:ascii="仿宋_GB2312" w:hAnsi="楷体" w:eastAsia="仿宋_GB2312"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830" w:type="dxa"/>
            <w:shd w:val="clear" w:color="auto" w:fill="FFFFFF"/>
            <w:noWrap w:val="0"/>
            <w:tcMar>
              <w:top w:w="0" w:type="dxa"/>
              <w:left w:w="30" w:type="dxa"/>
              <w:bottom w:w="0" w:type="dxa"/>
              <w:right w:w="30" w:type="dxa"/>
            </w:tcMar>
            <w:vAlign w:val="center"/>
          </w:tcPr>
          <w:p>
            <w:pPr>
              <w:adjustRightInd w:val="0"/>
              <w:snapToGrid w:val="0"/>
              <w:spacing w:line="360" w:lineRule="auto"/>
              <w:rPr>
                <w:rFonts w:hint="eastAsia" w:ascii="仿宋_GB2312" w:hAnsi="楷体" w:eastAsia="仿宋_GB2312" w:cs="楷体"/>
                <w:szCs w:val="21"/>
              </w:rPr>
            </w:pPr>
            <w:r>
              <w:rPr>
                <w:rFonts w:hint="eastAsia" w:ascii="仿宋_GB2312" w:hAnsi="楷体" w:eastAsia="仿宋_GB2312" w:cs="楷体"/>
                <w:szCs w:val="21"/>
              </w:rPr>
              <w:t>股东B</w:t>
            </w:r>
          </w:p>
        </w:tc>
        <w:tc>
          <w:tcPr>
            <w:tcW w:w="1418" w:type="dxa"/>
            <w:shd w:val="clear" w:color="auto" w:fill="FFFFFF"/>
            <w:noWrap w:val="0"/>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1"/>
              </w:rPr>
            </w:pPr>
          </w:p>
        </w:tc>
        <w:tc>
          <w:tcPr>
            <w:tcW w:w="1417" w:type="dxa"/>
            <w:shd w:val="clear" w:color="auto" w:fill="FFFFFF"/>
            <w:noWrap w:val="0"/>
            <w:tcMar>
              <w:top w:w="0" w:type="dxa"/>
              <w:left w:w="30" w:type="dxa"/>
              <w:bottom w:w="0" w:type="dxa"/>
              <w:right w:w="30" w:type="dxa"/>
            </w:tcMar>
            <w:vAlign w:val="center"/>
          </w:tcPr>
          <w:p>
            <w:pPr>
              <w:adjustRightInd w:val="0"/>
              <w:snapToGrid w:val="0"/>
              <w:spacing w:line="360" w:lineRule="auto"/>
              <w:jc w:val="center"/>
              <w:rPr>
                <w:rFonts w:ascii="仿宋_GB2312" w:hAnsi="楷体" w:eastAsia="仿宋_GB2312" w:cs="楷体"/>
                <w:szCs w:val="21"/>
              </w:rPr>
            </w:pPr>
          </w:p>
        </w:tc>
        <w:tc>
          <w:tcPr>
            <w:tcW w:w="1248" w:type="dxa"/>
            <w:shd w:val="clear" w:color="auto" w:fill="FFFFFF"/>
            <w:noWrap w:val="0"/>
            <w:vAlign w:val="top"/>
          </w:tcPr>
          <w:p>
            <w:pPr>
              <w:adjustRightInd w:val="0"/>
              <w:snapToGrid w:val="0"/>
              <w:spacing w:line="360" w:lineRule="auto"/>
              <w:jc w:val="center"/>
              <w:rPr>
                <w:rFonts w:ascii="仿宋_GB2312" w:hAnsi="楷体" w:eastAsia="仿宋_GB2312" w:cs="楷体"/>
                <w:szCs w:val="21"/>
              </w:rPr>
            </w:pPr>
          </w:p>
        </w:tc>
        <w:tc>
          <w:tcPr>
            <w:tcW w:w="0" w:type="auto"/>
            <w:shd w:val="clear" w:color="auto" w:fill="FFFFFF"/>
            <w:noWrap w:val="0"/>
            <w:vAlign w:val="top"/>
          </w:tcPr>
          <w:p>
            <w:pPr>
              <w:adjustRightInd w:val="0"/>
              <w:snapToGrid w:val="0"/>
              <w:spacing w:line="360" w:lineRule="auto"/>
              <w:jc w:val="center"/>
              <w:rPr>
                <w:rFonts w:ascii="仿宋_GB2312" w:hAnsi="楷体" w:eastAsia="仿宋_GB2312" w:cs="楷体"/>
                <w:szCs w:val="21"/>
              </w:rPr>
            </w:pPr>
          </w:p>
        </w:tc>
      </w:tr>
      <w:bookmarkEnd w:id="3"/>
    </w:tbl>
    <w:p>
      <w:pPr>
        <w:widowControl/>
        <w:ind w:firstLine="420" w:firstLineChars="200"/>
        <w:rPr>
          <w:rFonts w:ascii="仿宋_GB2312" w:hAnsi="宋体" w:eastAsia="仿宋_GB2312" w:cs="宋体"/>
          <w:color w:val="000000"/>
          <w:kern w:val="0"/>
          <w:sz w:val="24"/>
        </w:rPr>
      </w:pPr>
      <w:r>
        <w:rPr>
          <w:rFonts w:hint="eastAsia" w:ascii="仿宋_GB2312" w:hAnsi="楷体" w:eastAsia="仿宋_GB2312" w:cs="楷体"/>
        </w:rPr>
        <w:t>（注1：股东如有一致行动人参照股东A进行披露，先合并计算持股</w:t>
      </w:r>
      <w:r>
        <w:rPr>
          <w:rFonts w:hint="eastAsia" w:ascii="仿宋_GB2312" w:hAnsi="楷体" w:eastAsia="仿宋_GB2312" w:cs="楷体"/>
          <w:lang w:eastAsia="zh-CN"/>
        </w:rPr>
        <w:t>列示</w:t>
      </w:r>
      <w:r>
        <w:rPr>
          <w:rFonts w:hint="eastAsia" w:ascii="仿宋_GB2312" w:hAnsi="楷体" w:eastAsia="仿宋_GB2312" w:cs="楷体"/>
        </w:rPr>
        <w:t>，后单独列示；股东如无一致行动人参照股东B进行披露</w:t>
      </w:r>
      <w:r>
        <w:rPr>
          <w:rFonts w:hint="eastAsia" w:ascii="仿宋_GB2312" w:hAnsi="宋体" w:eastAsia="仿宋_GB2312" w:cs="宋体"/>
          <w:color w:val="000000"/>
          <w:kern w:val="0"/>
          <w:sz w:val="24"/>
        </w:rPr>
        <w:t>。</w:t>
      </w:r>
    </w:p>
    <w:p>
      <w:pPr>
        <w:widowControl/>
        <w:ind w:firstLine="420" w:firstLineChars="200"/>
        <w:rPr>
          <w:rFonts w:ascii="仿宋_GB2312" w:hAnsi="宋体" w:eastAsia="仿宋_GB2312" w:cs="宋体"/>
          <w:color w:val="000000"/>
          <w:kern w:val="0"/>
          <w:sz w:val="24"/>
        </w:rPr>
      </w:pPr>
      <w:r>
        <w:rPr>
          <w:rFonts w:hint="eastAsia" w:ascii="仿宋_GB2312" w:hAnsi="楷体" w:eastAsia="仿宋_GB2312" w:cs="楷体"/>
        </w:rPr>
        <w:t>注2：上市公司发生发行股份购买资产及募集配套资金、向不特定对象募集股份、向原股东配售股份等事项时，在相关公告中参照上表信息增加披露内容。）</w:t>
      </w:r>
    </w:p>
    <w:bookmarkEnd w:id="4"/>
    <w:p>
      <w:pPr>
        <w:adjustRightInd w:val="0"/>
        <w:snapToGrid w:val="0"/>
        <w:spacing w:line="600" w:lineRule="exact"/>
        <w:ind w:firstLine="480" w:firstLineChars="200"/>
        <w:rPr>
          <w:rFonts w:ascii="宋体" w:hAnsi="宋体" w:cs="Arial Unicode MS"/>
          <w:sz w:val="24"/>
        </w:rPr>
      </w:pPr>
    </w:p>
    <w:p>
      <w:pPr>
        <w:widowControl/>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四、本次发行前后公司股本变动表</w:t>
      </w:r>
    </w:p>
    <w:p>
      <w:pPr>
        <w:ind w:firstLine="560" w:firstLineChars="200"/>
        <w:jc w:val="right"/>
        <w:rPr>
          <w:rFonts w:ascii="仿宋_GB2312" w:hAnsi="宋体" w:eastAsia="仿宋_GB2312" w:cs="宋体"/>
          <w:color w:val="000000"/>
          <w:kern w:val="0"/>
          <w:sz w:val="28"/>
          <w:szCs w:val="30"/>
        </w:rPr>
      </w:pPr>
      <w:r>
        <w:rPr>
          <w:rFonts w:hint="eastAsia" w:ascii="仿宋_GB2312" w:hAnsi="宋体" w:eastAsia="仿宋_GB2312"/>
          <w:sz w:val="28"/>
          <w:szCs w:val="30"/>
        </w:rPr>
        <w:t>单位：股</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626"/>
        <w:gridCol w:w="1963"/>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16" w:hRule="atLeast"/>
          <w:jc w:val="center"/>
        </w:trPr>
        <w:tc>
          <w:tcPr>
            <w:tcW w:w="2802" w:type="dxa"/>
            <w:noWrap w:val="0"/>
            <w:vAlign w:val="center"/>
          </w:tcPr>
          <w:p>
            <w:pPr>
              <w:adjustRightInd w:val="0"/>
              <w:snapToGrid w:val="0"/>
              <w:jc w:val="center"/>
              <w:rPr>
                <w:rFonts w:hint="eastAsia" w:ascii="仿宋_GB2312" w:hAnsi="宋体" w:eastAsia="仿宋_GB2312"/>
                <w:b/>
                <w:kern w:val="0"/>
                <w:sz w:val="28"/>
                <w:szCs w:val="30"/>
              </w:rPr>
            </w:pPr>
          </w:p>
        </w:tc>
        <w:tc>
          <w:tcPr>
            <w:tcW w:w="1626" w:type="dxa"/>
            <w:noWrap w:val="0"/>
            <w:vAlign w:val="center"/>
          </w:tcPr>
          <w:p>
            <w:pPr>
              <w:adjustRightInd w:val="0"/>
              <w:snapToGrid w:val="0"/>
              <w:jc w:val="center"/>
              <w:rPr>
                <w:rFonts w:hint="eastAsia" w:ascii="仿宋_GB2312" w:hAnsi="宋体" w:eastAsia="仿宋_GB2312"/>
                <w:b/>
                <w:kern w:val="0"/>
                <w:sz w:val="28"/>
                <w:szCs w:val="30"/>
              </w:rPr>
            </w:pPr>
            <w:r>
              <w:rPr>
                <w:rFonts w:hint="eastAsia" w:ascii="仿宋_GB2312" w:hAnsi="宋体" w:eastAsia="仿宋_GB2312"/>
                <w:b/>
                <w:kern w:val="0"/>
                <w:sz w:val="28"/>
                <w:szCs w:val="30"/>
              </w:rPr>
              <w:t>变动前</w:t>
            </w:r>
          </w:p>
        </w:tc>
        <w:tc>
          <w:tcPr>
            <w:tcW w:w="1963" w:type="dxa"/>
            <w:noWrap w:val="0"/>
            <w:vAlign w:val="center"/>
          </w:tcPr>
          <w:p>
            <w:pPr>
              <w:jc w:val="center"/>
              <w:rPr>
                <w:rFonts w:hint="eastAsia" w:ascii="仿宋_GB2312" w:hAnsi="宋体" w:eastAsia="仿宋_GB2312"/>
                <w:b/>
                <w:kern w:val="0"/>
                <w:sz w:val="28"/>
                <w:szCs w:val="30"/>
              </w:rPr>
            </w:pPr>
            <w:r>
              <w:rPr>
                <w:rFonts w:hint="eastAsia" w:ascii="仿宋_GB2312" w:hAnsi="宋体" w:eastAsia="仿宋_GB2312"/>
                <w:b/>
                <w:kern w:val="0"/>
                <w:sz w:val="28"/>
                <w:szCs w:val="30"/>
              </w:rPr>
              <w:t>本次变动</w:t>
            </w:r>
          </w:p>
        </w:tc>
        <w:tc>
          <w:tcPr>
            <w:tcW w:w="2131" w:type="dxa"/>
            <w:noWrap w:val="0"/>
            <w:vAlign w:val="center"/>
          </w:tcPr>
          <w:p>
            <w:pPr>
              <w:adjustRightInd w:val="0"/>
              <w:snapToGrid w:val="0"/>
              <w:jc w:val="center"/>
              <w:rPr>
                <w:rFonts w:hint="eastAsia" w:ascii="仿宋_GB2312" w:hAnsi="宋体" w:eastAsia="仿宋_GB2312"/>
                <w:b/>
                <w:kern w:val="0"/>
                <w:sz w:val="28"/>
                <w:szCs w:val="30"/>
              </w:rPr>
            </w:pPr>
            <w:r>
              <w:rPr>
                <w:rFonts w:hint="eastAsia" w:ascii="仿宋_GB2312" w:hAnsi="宋体" w:eastAsia="仿宋_GB2312"/>
                <w:b/>
                <w:kern w:val="0"/>
                <w:sz w:val="28"/>
                <w:szCs w:val="30"/>
              </w:rPr>
              <w:t>变动后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2802" w:type="dxa"/>
            <w:noWrap w:val="0"/>
            <w:vAlign w:val="top"/>
          </w:tcPr>
          <w:p>
            <w:pPr>
              <w:adjustRightInd w:val="0"/>
              <w:snapToGrid w:val="0"/>
              <w:jc w:val="center"/>
              <w:rPr>
                <w:rFonts w:hint="eastAsia" w:ascii="仿宋_GB2312" w:hAnsi="宋体" w:eastAsia="仿宋_GB2312"/>
                <w:b/>
                <w:kern w:val="0"/>
                <w:sz w:val="28"/>
                <w:szCs w:val="30"/>
              </w:rPr>
            </w:pPr>
            <w:r>
              <w:rPr>
                <w:rFonts w:hint="eastAsia" w:ascii="仿宋_GB2312" w:hAnsi="宋体" w:eastAsia="仿宋_GB2312"/>
                <w:b/>
                <w:kern w:val="0"/>
                <w:sz w:val="28"/>
                <w:szCs w:val="30"/>
              </w:rPr>
              <w:t>股本总数</w:t>
            </w:r>
          </w:p>
        </w:tc>
        <w:tc>
          <w:tcPr>
            <w:tcW w:w="1626" w:type="dxa"/>
            <w:noWrap w:val="0"/>
            <w:vAlign w:val="top"/>
          </w:tcPr>
          <w:p>
            <w:pPr>
              <w:adjustRightInd w:val="0"/>
              <w:snapToGrid w:val="0"/>
              <w:jc w:val="center"/>
              <w:rPr>
                <w:rFonts w:hint="eastAsia" w:ascii="仿宋_GB2312" w:hAnsi="宋体" w:eastAsia="仿宋_GB2312"/>
                <w:kern w:val="0"/>
                <w:sz w:val="28"/>
                <w:szCs w:val="30"/>
              </w:rPr>
            </w:pPr>
          </w:p>
        </w:tc>
        <w:tc>
          <w:tcPr>
            <w:tcW w:w="1963" w:type="dxa"/>
            <w:noWrap w:val="0"/>
            <w:vAlign w:val="top"/>
          </w:tcPr>
          <w:p>
            <w:pPr>
              <w:adjustRightInd w:val="0"/>
              <w:snapToGrid w:val="0"/>
              <w:jc w:val="center"/>
              <w:rPr>
                <w:rFonts w:hint="eastAsia" w:ascii="仿宋_GB2312" w:hAnsi="宋体" w:eastAsia="仿宋_GB2312"/>
                <w:kern w:val="0"/>
                <w:sz w:val="28"/>
                <w:szCs w:val="30"/>
              </w:rPr>
            </w:pPr>
          </w:p>
        </w:tc>
        <w:tc>
          <w:tcPr>
            <w:tcW w:w="2131" w:type="dxa"/>
            <w:noWrap w:val="0"/>
            <w:vAlign w:val="top"/>
          </w:tcPr>
          <w:p>
            <w:pPr>
              <w:adjustRightInd w:val="0"/>
              <w:snapToGrid w:val="0"/>
              <w:jc w:val="center"/>
              <w:rPr>
                <w:rFonts w:hint="eastAsia" w:ascii="仿宋_GB2312" w:hAnsi="宋体" w:eastAsia="仿宋_GB2312"/>
                <w:kern w:val="0"/>
                <w:sz w:val="28"/>
                <w:szCs w:val="30"/>
              </w:rPr>
            </w:pPr>
          </w:p>
        </w:tc>
      </w:tr>
    </w:tbl>
    <w:p>
      <w:pPr>
        <w:adjustRightInd w:val="0"/>
        <w:snapToGrid w:val="0"/>
        <w:spacing w:line="600" w:lineRule="exact"/>
        <w:rPr>
          <w:rFonts w:ascii="宋体" w:hAnsi="宋体" w:cs="Arial Unicode MS"/>
          <w:sz w:val="24"/>
        </w:rPr>
      </w:pPr>
    </w:p>
    <w:p>
      <w:pPr>
        <w:widowControl/>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五、管理层讨论与分析</w:t>
      </w:r>
    </w:p>
    <w:p>
      <w:pPr>
        <w:adjustRightInd w:val="0"/>
        <w:snapToGrid w:val="0"/>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公司管理层就本次发行对公司的影响进行具体的讨论与分析，包括本次发行对公司财务状况、公司治理的影响、募集资金投资项目对公司后续经营的影响等。</w:t>
      </w:r>
    </w:p>
    <w:p>
      <w:pPr>
        <w:widowControl/>
        <w:spacing w:line="600" w:lineRule="exact"/>
        <w:ind w:firstLine="643" w:firstLineChars="200"/>
        <w:rPr>
          <w:rFonts w:hint="eastAsia" w:ascii="黑体" w:hAnsi="黑体" w:eastAsia="黑体" w:cs="宋体"/>
          <w:b/>
          <w:color w:val="000000"/>
          <w:kern w:val="0"/>
          <w:sz w:val="32"/>
          <w:szCs w:val="32"/>
        </w:rPr>
      </w:pPr>
    </w:p>
    <w:p>
      <w:pPr>
        <w:widowControl/>
        <w:spacing w:line="600" w:lineRule="exact"/>
        <w:ind w:firstLine="643" w:firstLineChars="200"/>
        <w:rPr>
          <w:rFonts w:ascii="宋体" w:hAnsi="宋体" w:cs="Arial Unicode MS"/>
          <w:sz w:val="24"/>
        </w:rPr>
      </w:pPr>
      <w:r>
        <w:rPr>
          <w:rFonts w:hint="eastAsia" w:ascii="黑体" w:hAnsi="黑体" w:eastAsia="黑体" w:cs="宋体"/>
          <w:b/>
          <w:color w:val="000000"/>
          <w:kern w:val="0"/>
          <w:sz w:val="32"/>
          <w:szCs w:val="32"/>
        </w:rPr>
        <w:t>六、为本次发行股票出具专业意见的中介机构情况</w:t>
      </w:r>
    </w:p>
    <w:p>
      <w:pPr>
        <w:adjustRightInd w:val="0"/>
        <w:snapToGrid w:val="0"/>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包括保荐机构、律师事务所、验资机构的名称、地址、联系人、联系电话等。</w:t>
      </w:r>
    </w:p>
    <w:p>
      <w:pPr>
        <w:tabs>
          <w:tab w:val="left" w:pos="1440"/>
        </w:tabs>
        <w:adjustRightInd w:val="0"/>
        <w:snapToGrid w:val="0"/>
        <w:spacing w:line="600" w:lineRule="exact"/>
        <w:ind w:firstLine="480" w:firstLineChars="200"/>
        <w:rPr>
          <w:rFonts w:ascii="宋体" w:hAnsi="宋体"/>
          <w:sz w:val="24"/>
        </w:rPr>
      </w:pPr>
    </w:p>
    <w:p>
      <w:pPr>
        <w:widowControl/>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七、上网公告附件</w:t>
      </w:r>
    </w:p>
    <w:p>
      <w:pPr>
        <w:tabs>
          <w:tab w:val="left" w:pos="1440"/>
        </w:tabs>
        <w:adjustRightInd w:val="0"/>
        <w:snapToGrid w:val="0"/>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（一）会计师事务所出具的验资报告；</w:t>
      </w:r>
    </w:p>
    <w:p>
      <w:pPr>
        <w:tabs>
          <w:tab w:val="left" w:pos="1440"/>
        </w:tabs>
        <w:adjustRightInd w:val="0"/>
        <w:snapToGrid w:val="0"/>
        <w:spacing w:line="600" w:lineRule="exact"/>
        <w:ind w:firstLine="600" w:firstLineChars="200"/>
        <w:rPr>
          <w:rFonts w:hint="eastAsia" w:ascii="仿宋_GB2312" w:hAnsi="宋体" w:eastAsia="仿宋_GB2312" w:cs="宋体"/>
          <w:color w:val="000000"/>
          <w:kern w:val="0"/>
          <w:sz w:val="30"/>
          <w:szCs w:val="30"/>
          <w:lang w:eastAsia="zh-CN"/>
        </w:rPr>
      </w:pPr>
      <w:r>
        <w:rPr>
          <w:rFonts w:hint="eastAsia" w:ascii="仿宋_GB2312" w:hAnsi="宋体" w:eastAsia="仿宋_GB2312" w:cs="宋体"/>
          <w:color w:val="000000"/>
          <w:kern w:val="0"/>
          <w:sz w:val="30"/>
          <w:szCs w:val="30"/>
        </w:rPr>
        <w:t>（二）资产转移手续完成的相关证明文件及律师事务所就资产转移手续完成出具的法律意见书；</w:t>
      </w:r>
      <w:r>
        <w:rPr>
          <w:rFonts w:hint="eastAsia" w:ascii="仿宋_GB2312" w:hAnsi="宋体" w:eastAsia="仿宋_GB2312" w:cs="宋体"/>
          <w:color w:val="000000"/>
          <w:kern w:val="0"/>
          <w:sz w:val="30"/>
          <w:szCs w:val="30"/>
          <w:lang w:eastAsia="zh-CN"/>
        </w:rPr>
        <w:t>（如适用）</w:t>
      </w:r>
    </w:p>
    <w:p>
      <w:pPr>
        <w:tabs>
          <w:tab w:val="left" w:pos="1440"/>
        </w:tabs>
        <w:adjustRightInd w:val="0"/>
        <w:snapToGrid w:val="0"/>
        <w:spacing w:line="60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（三）保荐机构、律师事务所关于本次发行的合规性意见。</w:t>
      </w:r>
    </w:p>
    <w:p>
      <w:pPr>
        <w:tabs>
          <w:tab w:val="left" w:pos="1440"/>
        </w:tabs>
        <w:adjustRightInd w:val="0"/>
        <w:snapToGrid w:val="0"/>
        <w:spacing w:line="600" w:lineRule="exact"/>
        <w:ind w:firstLine="600" w:firstLineChars="200"/>
        <w:rPr>
          <w:rFonts w:hint="eastAsia" w:ascii="仿宋_GB2312" w:hAnsi="宋体" w:eastAsia="仿宋_GB2312" w:cs="宋体"/>
          <w:color w:val="000000"/>
          <w:kern w:val="0"/>
          <w:sz w:val="30"/>
          <w:szCs w:val="30"/>
        </w:rPr>
      </w:pPr>
    </w:p>
    <w:p>
      <w:pPr>
        <w:tabs>
          <w:tab w:val="left" w:pos="1440"/>
        </w:tabs>
        <w:adjustRightInd w:val="0"/>
        <w:snapToGrid w:val="0"/>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特此公告。</w:t>
      </w:r>
    </w:p>
    <w:p>
      <w:pPr>
        <w:tabs>
          <w:tab w:val="left" w:pos="1440"/>
        </w:tabs>
        <w:adjustRightInd w:val="0"/>
        <w:snapToGrid w:val="0"/>
        <w:spacing w:line="600" w:lineRule="exact"/>
        <w:ind w:firstLine="600" w:firstLineChars="200"/>
        <w:rPr>
          <w:rFonts w:ascii="仿宋_GB2312" w:hAnsi="宋体" w:eastAsia="仿宋_GB2312" w:cs="宋体"/>
          <w:color w:val="000000"/>
          <w:kern w:val="0"/>
          <w:sz w:val="30"/>
          <w:szCs w:val="30"/>
        </w:rPr>
      </w:pPr>
    </w:p>
    <w:p>
      <w:pPr>
        <w:adjustRightInd w:val="0"/>
        <w:snapToGrid w:val="0"/>
        <w:spacing w:line="600" w:lineRule="exact"/>
        <w:ind w:firstLine="600" w:firstLineChars="200"/>
        <w:jc w:val="righ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XXXX股份有限公司董事会</w:t>
      </w:r>
    </w:p>
    <w:p>
      <w:pPr>
        <w:adjustRightInd w:val="0"/>
        <w:snapToGrid w:val="0"/>
        <w:spacing w:line="600" w:lineRule="exact"/>
        <w:ind w:firstLine="5100" w:firstLineChars="1700"/>
        <w:jc w:val="righ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年  月  日</w:t>
      </w:r>
    </w:p>
    <w:p>
      <w:pPr>
        <w:adjustRightInd w:val="0"/>
        <w:snapToGrid w:val="0"/>
        <w:spacing w:line="600" w:lineRule="exact"/>
        <w:ind w:firstLine="4080" w:firstLineChars="1700"/>
        <w:jc w:val="right"/>
        <w:rPr>
          <w:rFonts w:ascii="宋体" w:hAnsi="宋体"/>
          <w:sz w:val="24"/>
        </w:rPr>
      </w:pPr>
    </w:p>
    <w:p>
      <w:pPr>
        <w:numPr>
          <w:ilvl w:val="0"/>
          <w:numId w:val="2"/>
        </w:numPr>
        <w:adjustRightInd w:val="0"/>
        <w:snapToGrid w:val="0"/>
        <w:spacing w:line="600" w:lineRule="exact"/>
        <w:ind w:left="0" w:firstLine="602" w:firstLineChars="200"/>
        <w:rPr>
          <w:rFonts w:ascii="仿宋_GB2312" w:hAnsi="宋体" w:eastAsia="仿宋_GB2312" w:cs="宋体"/>
          <w:b/>
          <w:color w:val="000000"/>
          <w:kern w:val="0"/>
          <w:sz w:val="30"/>
          <w:szCs w:val="30"/>
        </w:rPr>
      </w:pPr>
      <w:r>
        <w:rPr>
          <w:rFonts w:hint="eastAsia" w:ascii="仿宋_GB2312" w:hAnsi="宋体" w:eastAsia="仿宋_GB2312" w:cs="宋体"/>
          <w:b/>
          <w:color w:val="000000"/>
          <w:kern w:val="0"/>
          <w:sz w:val="30"/>
          <w:szCs w:val="30"/>
        </w:rPr>
        <w:t>报备文件</w:t>
      </w:r>
    </w:p>
    <w:p>
      <w:pPr>
        <w:adjustRightInd w:val="0"/>
        <w:snapToGrid w:val="0"/>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（一）中国证券登记结算有限责任公司上海分公司出具的新增股份登记托管情况的书面证明；</w:t>
      </w:r>
    </w:p>
    <w:p>
      <w:pPr>
        <w:adjustRightInd w:val="0"/>
        <w:snapToGrid w:val="0"/>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（二）向特定对象发行申报材料；</w:t>
      </w:r>
    </w:p>
    <w:p>
      <w:pPr>
        <w:adjustRightInd w:val="0"/>
        <w:snapToGrid w:val="0"/>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（三）本所要求的其他材料。</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4</w:t>
    </w:r>
    <w:r>
      <w:rPr>
        <w:sz w:val="21"/>
        <w:szCs w:val="21"/>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816D32"/>
    <w:multiLevelType w:val="multilevel"/>
    <w:tmpl w:val="47816D32"/>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61BD5E4D"/>
    <w:multiLevelType w:val="multilevel"/>
    <w:tmpl w:val="61BD5E4D"/>
    <w:lvl w:ilvl="0" w:tentative="0">
      <w:start w:val="1"/>
      <w:numFmt w:val="bullet"/>
      <w:lvlText w:val=""/>
      <w:lvlJc w:val="left"/>
      <w:pPr>
        <w:tabs>
          <w:tab w:val="left" w:pos="980"/>
        </w:tabs>
        <w:ind w:left="980" w:hanging="420"/>
      </w:pPr>
      <w:rPr>
        <w:rFonts w:hint="default" w:ascii="Wingdings" w:hAnsi="Wingdings"/>
      </w:rPr>
    </w:lvl>
    <w:lvl w:ilvl="1" w:tentative="0">
      <w:start w:val="1"/>
      <w:numFmt w:val="chineseCountingThousand"/>
      <w:lvlText w:val="(%2)"/>
      <w:lvlJc w:val="left"/>
      <w:pPr>
        <w:tabs>
          <w:tab w:val="left" w:pos="704"/>
        </w:tabs>
        <w:ind w:left="704" w:hanging="420"/>
      </w:pPr>
      <w:rPr>
        <w:rFonts w:hint="default"/>
      </w:rPr>
    </w:lvl>
    <w:lvl w:ilvl="2" w:tentative="0">
      <w:start w:val="1"/>
      <w:numFmt w:val="bullet"/>
      <w:lvlText w:val=""/>
      <w:lvlJc w:val="left"/>
      <w:pPr>
        <w:tabs>
          <w:tab w:val="left" w:pos="1820"/>
        </w:tabs>
        <w:ind w:left="1820" w:hanging="420"/>
      </w:pPr>
      <w:rPr>
        <w:rFonts w:hint="default" w:ascii="Wingdings" w:hAnsi="Wingdings"/>
      </w:rPr>
    </w:lvl>
    <w:lvl w:ilvl="3" w:tentative="0">
      <w:start w:val="1"/>
      <w:numFmt w:val="bullet"/>
      <w:lvlText w:val=""/>
      <w:lvlJc w:val="left"/>
      <w:pPr>
        <w:tabs>
          <w:tab w:val="left" w:pos="2240"/>
        </w:tabs>
        <w:ind w:left="2240" w:hanging="420"/>
      </w:pPr>
      <w:rPr>
        <w:rFonts w:hint="default" w:ascii="Wingdings" w:hAnsi="Wingdings"/>
      </w:rPr>
    </w:lvl>
    <w:lvl w:ilvl="4" w:tentative="0">
      <w:start w:val="1"/>
      <w:numFmt w:val="bullet"/>
      <w:lvlText w:val=""/>
      <w:lvlJc w:val="left"/>
      <w:pPr>
        <w:tabs>
          <w:tab w:val="left" w:pos="2660"/>
        </w:tabs>
        <w:ind w:left="2660" w:hanging="420"/>
      </w:pPr>
      <w:rPr>
        <w:rFonts w:hint="default" w:ascii="Wingdings" w:hAnsi="Wingdings"/>
      </w:rPr>
    </w:lvl>
    <w:lvl w:ilvl="5" w:tentative="0">
      <w:start w:val="1"/>
      <w:numFmt w:val="bullet"/>
      <w:lvlText w:val=""/>
      <w:lvlJc w:val="left"/>
      <w:pPr>
        <w:tabs>
          <w:tab w:val="left" w:pos="3080"/>
        </w:tabs>
        <w:ind w:left="3080" w:hanging="420"/>
      </w:pPr>
      <w:rPr>
        <w:rFonts w:hint="default" w:ascii="Wingdings" w:hAnsi="Wingdings"/>
      </w:rPr>
    </w:lvl>
    <w:lvl w:ilvl="6" w:tentative="0">
      <w:start w:val="1"/>
      <w:numFmt w:val="bullet"/>
      <w:lvlText w:val=""/>
      <w:lvlJc w:val="left"/>
      <w:pPr>
        <w:tabs>
          <w:tab w:val="left" w:pos="3500"/>
        </w:tabs>
        <w:ind w:left="3500" w:hanging="420"/>
      </w:pPr>
      <w:rPr>
        <w:rFonts w:hint="default" w:ascii="Wingdings" w:hAnsi="Wingdings"/>
      </w:rPr>
    </w:lvl>
    <w:lvl w:ilvl="7" w:tentative="0">
      <w:start w:val="1"/>
      <w:numFmt w:val="bullet"/>
      <w:lvlText w:val=""/>
      <w:lvlJc w:val="left"/>
      <w:pPr>
        <w:tabs>
          <w:tab w:val="left" w:pos="3920"/>
        </w:tabs>
        <w:ind w:left="3920" w:hanging="420"/>
      </w:pPr>
      <w:rPr>
        <w:rFonts w:hint="default" w:ascii="Wingdings" w:hAnsi="Wingdings"/>
      </w:rPr>
    </w:lvl>
    <w:lvl w:ilvl="8" w:tentative="0">
      <w:start w:val="1"/>
      <w:numFmt w:val="bullet"/>
      <w:lvlText w:val=""/>
      <w:lvlJc w:val="left"/>
      <w:pPr>
        <w:tabs>
          <w:tab w:val="left" w:pos="4340"/>
        </w:tabs>
        <w:ind w:left="434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098"/>
    <w:rsid w:val="00017967"/>
    <w:rsid w:val="0002074E"/>
    <w:rsid w:val="00072D7F"/>
    <w:rsid w:val="00086225"/>
    <w:rsid w:val="000B5656"/>
    <w:rsid w:val="000B58B6"/>
    <w:rsid w:val="000F2F71"/>
    <w:rsid w:val="000F71A1"/>
    <w:rsid w:val="001105A0"/>
    <w:rsid w:val="00124E9D"/>
    <w:rsid w:val="0013613B"/>
    <w:rsid w:val="00161680"/>
    <w:rsid w:val="001A7906"/>
    <w:rsid w:val="001C3416"/>
    <w:rsid w:val="001D50B4"/>
    <w:rsid w:val="001D7988"/>
    <w:rsid w:val="001E54B2"/>
    <w:rsid w:val="0021087E"/>
    <w:rsid w:val="00211EDA"/>
    <w:rsid w:val="00227087"/>
    <w:rsid w:val="00267A00"/>
    <w:rsid w:val="002844F5"/>
    <w:rsid w:val="00285563"/>
    <w:rsid w:val="002E062D"/>
    <w:rsid w:val="002E6E65"/>
    <w:rsid w:val="002F175E"/>
    <w:rsid w:val="002F6547"/>
    <w:rsid w:val="0035577F"/>
    <w:rsid w:val="0039531D"/>
    <w:rsid w:val="003D1363"/>
    <w:rsid w:val="00431B12"/>
    <w:rsid w:val="00476104"/>
    <w:rsid w:val="00494520"/>
    <w:rsid w:val="004F6EA6"/>
    <w:rsid w:val="00583423"/>
    <w:rsid w:val="0060063A"/>
    <w:rsid w:val="00637B00"/>
    <w:rsid w:val="006457D7"/>
    <w:rsid w:val="006463EF"/>
    <w:rsid w:val="006733F9"/>
    <w:rsid w:val="006A7D3F"/>
    <w:rsid w:val="006D48B1"/>
    <w:rsid w:val="0072081E"/>
    <w:rsid w:val="00767408"/>
    <w:rsid w:val="007971DA"/>
    <w:rsid w:val="007E6E0A"/>
    <w:rsid w:val="007F313D"/>
    <w:rsid w:val="007F4A58"/>
    <w:rsid w:val="00807C0E"/>
    <w:rsid w:val="00890367"/>
    <w:rsid w:val="008A3AE4"/>
    <w:rsid w:val="008C7C8E"/>
    <w:rsid w:val="008E294B"/>
    <w:rsid w:val="008F06B7"/>
    <w:rsid w:val="00947C9B"/>
    <w:rsid w:val="009E7CB9"/>
    <w:rsid w:val="00A676FA"/>
    <w:rsid w:val="00A83B70"/>
    <w:rsid w:val="00A87723"/>
    <w:rsid w:val="00AE4689"/>
    <w:rsid w:val="00AE65A4"/>
    <w:rsid w:val="00B144DE"/>
    <w:rsid w:val="00B45040"/>
    <w:rsid w:val="00B515C3"/>
    <w:rsid w:val="00BC1401"/>
    <w:rsid w:val="00BD6408"/>
    <w:rsid w:val="00C05951"/>
    <w:rsid w:val="00C06925"/>
    <w:rsid w:val="00C273BE"/>
    <w:rsid w:val="00C31407"/>
    <w:rsid w:val="00C46534"/>
    <w:rsid w:val="00C53E26"/>
    <w:rsid w:val="00C57167"/>
    <w:rsid w:val="00CA2525"/>
    <w:rsid w:val="00CB5975"/>
    <w:rsid w:val="00CB6848"/>
    <w:rsid w:val="00CC3457"/>
    <w:rsid w:val="00CC7FEB"/>
    <w:rsid w:val="00CE1742"/>
    <w:rsid w:val="00D0202E"/>
    <w:rsid w:val="00D1412D"/>
    <w:rsid w:val="00D21762"/>
    <w:rsid w:val="00D5204C"/>
    <w:rsid w:val="00D62E81"/>
    <w:rsid w:val="00DC0912"/>
    <w:rsid w:val="00DF78C3"/>
    <w:rsid w:val="00E049E9"/>
    <w:rsid w:val="00E06CCF"/>
    <w:rsid w:val="00E152DD"/>
    <w:rsid w:val="00E62B92"/>
    <w:rsid w:val="00E74338"/>
    <w:rsid w:val="00E93641"/>
    <w:rsid w:val="00E95412"/>
    <w:rsid w:val="00E97A50"/>
    <w:rsid w:val="00ED5C88"/>
    <w:rsid w:val="00F06081"/>
    <w:rsid w:val="00F55D0B"/>
    <w:rsid w:val="00F74C89"/>
    <w:rsid w:val="00F918EC"/>
    <w:rsid w:val="00FD3A19"/>
    <w:rsid w:val="1F2C1735"/>
    <w:rsid w:val="2746288F"/>
    <w:rsid w:val="33C40CB8"/>
    <w:rsid w:val="420D6403"/>
    <w:rsid w:val="45AC0F39"/>
    <w:rsid w:val="46F8163F"/>
    <w:rsid w:val="4ED270D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character" w:default="1" w:styleId="10">
    <w:name w:val="Default Paragraph Font"/>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3">
    <w:name w:val="Document Map"/>
    <w:basedOn w:val="1"/>
    <w:link w:val="14"/>
    <w:uiPriority w:val="0"/>
    <w:rPr>
      <w:rFonts w:ascii="宋体"/>
      <w:sz w:val="18"/>
      <w:szCs w:val="18"/>
    </w:rPr>
  </w:style>
  <w:style w:type="paragraph" w:styleId="4">
    <w:name w:val="annotation text"/>
    <w:basedOn w:val="1"/>
    <w:semiHidden/>
    <w:uiPriority w:val="0"/>
    <w:pPr>
      <w:jc w:val="left"/>
    </w:pPr>
  </w:style>
  <w:style w:type="paragraph" w:styleId="5">
    <w:name w:val="Balloon Text"/>
    <w:basedOn w:val="1"/>
    <w:semiHidden/>
    <w:uiPriority w:val="0"/>
    <w:rPr>
      <w:sz w:val="18"/>
      <w:szCs w:val="18"/>
    </w:rPr>
  </w:style>
  <w:style w:type="paragraph" w:styleId="6">
    <w:name w:val="footer"/>
    <w:basedOn w:val="1"/>
    <w:link w:val="15"/>
    <w:uiPriority w:val="99"/>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annotation subject"/>
    <w:basedOn w:val="4"/>
    <w:next w:val="4"/>
    <w:semiHidden/>
    <w:uiPriority w:val="0"/>
    <w:rPr>
      <w:b/>
      <w:bCs/>
    </w:rPr>
  </w:style>
  <w:style w:type="character" w:styleId="11">
    <w:name w:val="page number"/>
    <w:basedOn w:val="10"/>
    <w:uiPriority w:val="0"/>
  </w:style>
  <w:style w:type="character" w:styleId="12">
    <w:name w:val="annotation reference"/>
    <w:semiHidden/>
    <w:uiPriority w:val="0"/>
    <w:rPr>
      <w:sz w:val="21"/>
      <w:szCs w:val="21"/>
    </w:rPr>
  </w:style>
  <w:style w:type="character" w:customStyle="1" w:styleId="13">
    <w:name w:val="标题 1 Char"/>
    <w:link w:val="2"/>
    <w:uiPriority w:val="0"/>
    <w:rPr>
      <w:rFonts w:eastAsia="宋体"/>
      <w:b/>
      <w:bCs/>
      <w:kern w:val="44"/>
      <w:sz w:val="44"/>
      <w:szCs w:val="44"/>
      <w:lang w:val="en-US" w:eastAsia="zh-CN" w:bidi="ar-SA"/>
    </w:rPr>
  </w:style>
  <w:style w:type="character" w:customStyle="1" w:styleId="14">
    <w:name w:val="文档结构图 Char"/>
    <w:link w:val="3"/>
    <w:uiPriority w:val="0"/>
    <w:rPr>
      <w:rFonts w:ascii="宋体"/>
      <w:kern w:val="2"/>
      <w:sz w:val="18"/>
      <w:szCs w:val="18"/>
    </w:rPr>
  </w:style>
  <w:style w:type="character" w:customStyle="1" w:styleId="15">
    <w:name w:val="页脚 Char"/>
    <w:link w:val="6"/>
    <w:uiPriority w:val="99"/>
    <w:rPr>
      <w:kern w:val="2"/>
      <w:sz w:val="18"/>
    </w:rPr>
  </w:style>
  <w:style w:type="paragraph" w:styleId="16">
    <w:name w:val=""/>
    <w:semiHidden/>
    <w:uiPriority w:val="99"/>
    <w:rPr>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tan\Desktop\&#32929;&#26435;&#28608;&#21169;&#23567;&#32452;\&#32929;&#26435;&#28608;&#21169;&#25968;&#25454;&#32479;&#35745;410\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Normal.wpt</Template>
  <Pages>4</Pages>
  <Words>215</Words>
  <Characters>1231</Characters>
  <Lines>10</Lines>
  <Paragraphs>2</Paragraphs>
  <TotalTime>0</TotalTime>
  <ScaleCrop>false</ScaleCrop>
  <LinksUpToDate>false</LinksUpToDate>
  <CharactersWithSpaces>1444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2019-04-05T07:37:00Z</dcterms:created>
  <dc:creator>user</dc:creator>
  <cp:lastModifiedBy>tanshiyu</cp:lastModifiedBy>
  <cp:lastPrinted>2019-04-01T13:01:00Z</cp:lastPrinted>
  <dcterms:modified xsi:type="dcterms:W3CDTF">2025-04-21T07:49:33Z</dcterms:modified>
  <dc:title>第二十一号 上市公司非公开发行股票发行结果暨股本变动公告</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A32FB062A07E4189AB5699CEFEBB1C56</vt:lpwstr>
  </property>
</Properties>
</file>