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3327E">
      <w:pPr>
        <w:rPr>
          <w:rFonts w:hint="eastAsia" w:ascii="仿宋_GB2312" w:eastAsia="仿宋_GB2312"/>
        </w:rPr>
      </w:pPr>
      <w:bookmarkStart w:id="0" w:name="_GoBack"/>
      <w:bookmarkEnd w:id="0"/>
      <w:r>
        <w:rPr>
          <w:rFonts w:hint="eastAsia" w:ascii="仿宋_GB2312" w:eastAsia="仿宋_GB2312"/>
          <w:sz w:val="24"/>
        </w:rPr>
        <w:t>附件二:               上市公司20</w:t>
      </w:r>
      <w:r>
        <w:rPr>
          <w:rFonts w:ascii="仿宋_GB2312" w:eastAsia="仿宋_GB2312"/>
          <w:sz w:val="24"/>
        </w:rPr>
        <w:t>X</w:t>
      </w:r>
      <w:r>
        <w:rPr>
          <w:rFonts w:hint="eastAsia" w:ascii="仿宋_GB2312" w:eastAsia="仿宋_GB2312"/>
          <w:sz w:val="24"/>
        </w:rPr>
        <w:t>X年度非经营性资金占用及其他关联资金往来情况汇总表</w:t>
      </w:r>
    </w:p>
    <w:p w14:paraId="252DC13C">
      <w:pPr>
        <w:jc w:val="right"/>
        <w:rPr>
          <w:rFonts w:hint="eastAsia" w:eastAsia="仿宋_GB2312"/>
          <w:szCs w:val="21"/>
        </w:rPr>
      </w:pPr>
      <w:r>
        <w:rPr>
          <w:rFonts w:hint="eastAsia" w:eastAsia="仿宋_GB2312"/>
          <w:szCs w:val="21"/>
        </w:rPr>
        <w:t>单位：万元</w:t>
      </w:r>
    </w:p>
    <w:tbl>
      <w:tblPr>
        <w:tblStyle w:val="7"/>
        <w:tblW w:w="13335" w:type="dxa"/>
        <w:tblInd w:w="0" w:type="dxa"/>
        <w:tblLayout w:type="fixed"/>
        <w:tblCellMar>
          <w:top w:w="0" w:type="dxa"/>
          <w:left w:w="0" w:type="dxa"/>
          <w:bottom w:w="0" w:type="dxa"/>
          <w:right w:w="0" w:type="dxa"/>
        </w:tblCellMar>
      </w:tblPr>
      <w:tblGrid>
        <w:gridCol w:w="1815"/>
        <w:gridCol w:w="925"/>
        <w:gridCol w:w="1235"/>
        <w:gridCol w:w="1080"/>
        <w:gridCol w:w="1260"/>
        <w:gridCol w:w="1440"/>
        <w:gridCol w:w="1260"/>
        <w:gridCol w:w="1260"/>
        <w:gridCol w:w="900"/>
        <w:gridCol w:w="720"/>
        <w:gridCol w:w="1440"/>
      </w:tblGrid>
      <w:tr w14:paraId="13B744E6">
        <w:tblPrEx>
          <w:tblCellMar>
            <w:top w:w="0" w:type="dxa"/>
            <w:left w:w="0" w:type="dxa"/>
            <w:bottom w:w="0" w:type="dxa"/>
            <w:right w:w="0" w:type="dxa"/>
          </w:tblCellMar>
        </w:tblPrEx>
        <w:trPr>
          <w:wBefore w:w="0" w:type="dxa"/>
          <w:wAfter w:w="0" w:type="dxa"/>
          <w:trHeight w:val="855" w:hRule="atLeast"/>
        </w:trPr>
        <w:tc>
          <w:tcPr>
            <w:tcW w:w="1815" w:type="dxa"/>
            <w:tcBorders>
              <w:top w:val="single" w:color="auto" w:sz="8" w:space="0"/>
              <w:left w:val="single" w:color="auto" w:sz="8" w:space="0"/>
              <w:bottom w:val="single" w:color="auto" w:sz="4" w:space="0"/>
              <w:right w:val="single" w:color="auto" w:sz="4" w:space="0"/>
            </w:tcBorders>
            <w:noWrap w:val="0"/>
            <w:tcMar>
              <w:top w:w="15" w:type="dxa"/>
              <w:left w:w="15" w:type="dxa"/>
              <w:bottom w:w="0" w:type="dxa"/>
              <w:right w:w="15" w:type="dxa"/>
            </w:tcMar>
            <w:vAlign w:val="bottom"/>
          </w:tcPr>
          <w:p w14:paraId="4258934D">
            <w:pPr>
              <w:rPr>
                <w:rFonts w:ascii="仿宋_GB2312" w:hAnsi="宋体" w:eastAsia="仿宋_GB2312" w:cs="Arial Unicode MS"/>
                <w:b/>
                <w:szCs w:val="21"/>
              </w:rPr>
            </w:pPr>
            <w:r>
              <w:rPr>
                <w:rFonts w:hint="eastAsia" w:ascii="仿宋_GB2312" w:hAnsi="宋体" w:eastAsia="仿宋_GB2312"/>
                <w:b/>
                <w:szCs w:val="21"/>
              </w:rPr>
              <w:t>非经营性资金占用</w:t>
            </w:r>
          </w:p>
        </w:tc>
        <w:tc>
          <w:tcPr>
            <w:tcW w:w="925"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114F6E7C">
            <w:pPr>
              <w:rPr>
                <w:rFonts w:ascii="仿宋_GB2312" w:hAnsi="宋体" w:eastAsia="仿宋_GB2312" w:cs="Arial Unicode MS"/>
                <w:szCs w:val="21"/>
              </w:rPr>
            </w:pPr>
            <w:r>
              <w:rPr>
                <w:rFonts w:hint="eastAsia" w:ascii="仿宋_GB2312" w:hAnsi="宋体" w:eastAsia="仿宋_GB2312"/>
                <w:szCs w:val="21"/>
              </w:rPr>
              <w:t>资金占用方名称</w:t>
            </w:r>
          </w:p>
        </w:tc>
        <w:tc>
          <w:tcPr>
            <w:tcW w:w="1235"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2CAD4BD3">
            <w:pPr>
              <w:rPr>
                <w:rFonts w:ascii="仿宋_GB2312" w:hAnsi="宋体" w:eastAsia="仿宋_GB2312" w:cs="Arial Unicode MS"/>
                <w:szCs w:val="21"/>
              </w:rPr>
            </w:pPr>
            <w:r>
              <w:rPr>
                <w:rFonts w:hint="eastAsia" w:ascii="仿宋_GB2312" w:hAnsi="宋体" w:eastAsia="仿宋_GB2312"/>
                <w:szCs w:val="21"/>
              </w:rPr>
              <w:t>占用方与上市公司的关联关系</w:t>
            </w:r>
          </w:p>
        </w:tc>
        <w:tc>
          <w:tcPr>
            <w:tcW w:w="1080" w:type="dxa"/>
            <w:tcBorders>
              <w:top w:val="single" w:color="auto" w:sz="8" w:space="0"/>
              <w:left w:val="nil"/>
              <w:bottom w:val="single" w:color="auto" w:sz="4" w:space="0"/>
              <w:right w:val="single" w:color="auto" w:sz="4" w:space="0"/>
            </w:tcBorders>
            <w:noWrap w:val="0"/>
            <w:vAlign w:val="bottom"/>
          </w:tcPr>
          <w:p w14:paraId="3DD16854">
            <w:pPr>
              <w:rPr>
                <w:rFonts w:ascii="仿宋_GB2312" w:hAnsi="宋体" w:eastAsia="仿宋_GB2312" w:cs="Arial Unicode MS"/>
                <w:szCs w:val="21"/>
              </w:rPr>
            </w:pPr>
            <w:r>
              <w:rPr>
                <w:rFonts w:hint="eastAsia" w:ascii="仿宋_GB2312" w:hAnsi="宋体" w:eastAsia="仿宋_GB2312"/>
                <w:szCs w:val="21"/>
              </w:rPr>
              <w:t>上市公司核算的会计科目</w:t>
            </w:r>
          </w:p>
        </w:tc>
        <w:tc>
          <w:tcPr>
            <w:tcW w:w="1260" w:type="dxa"/>
            <w:tcBorders>
              <w:top w:val="single" w:color="auto" w:sz="8"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606C157">
            <w:pPr>
              <w:rPr>
                <w:rFonts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年期初占用资金余额</w:t>
            </w:r>
          </w:p>
        </w:tc>
        <w:tc>
          <w:tcPr>
            <w:tcW w:w="1440"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019093EE">
            <w:pPr>
              <w:rPr>
                <w:rFonts w:hint="eastAsia"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年度占用累计发生金额</w:t>
            </w:r>
            <w:r>
              <w:rPr>
                <w:rFonts w:hint="eastAsia" w:ascii="仿宋_GB2312" w:hAnsi="宋体" w:eastAsia="仿宋_GB2312"/>
                <w:szCs w:val="21"/>
              </w:rPr>
              <w:t>（不含利息）</w:t>
            </w:r>
          </w:p>
        </w:tc>
        <w:tc>
          <w:tcPr>
            <w:tcW w:w="1260" w:type="dxa"/>
            <w:tcBorders>
              <w:top w:val="single" w:color="auto" w:sz="8" w:space="0"/>
              <w:left w:val="nil"/>
              <w:bottom w:val="single" w:color="auto" w:sz="4" w:space="0"/>
              <w:right w:val="single" w:color="auto" w:sz="4" w:space="0"/>
            </w:tcBorders>
            <w:noWrap w:val="0"/>
            <w:vAlign w:val="bottom"/>
          </w:tcPr>
          <w:p w14:paraId="30940402">
            <w:pPr>
              <w:rPr>
                <w:rFonts w:hint="eastAsia" w:ascii="仿宋_GB2312" w:hAnsi="宋体" w:eastAsia="仿宋_GB2312"/>
                <w:szCs w:val="21"/>
              </w:rPr>
            </w:pPr>
            <w:r>
              <w:rPr>
                <w:rFonts w:hint="eastAsia" w:ascii="仿宋_GB2312" w:hAnsi="宋体" w:eastAsia="仿宋_GB2312"/>
                <w:szCs w:val="21"/>
              </w:rPr>
              <w:t>20</w:t>
            </w:r>
            <w:r>
              <w:rPr>
                <w:rFonts w:ascii="仿宋_GB2312" w:hAnsi="宋体" w:eastAsia="仿宋_GB2312"/>
                <w:szCs w:val="21"/>
              </w:rPr>
              <w:t>X</w:t>
            </w:r>
            <w:r>
              <w:rPr>
                <w:rFonts w:hint="eastAsia" w:ascii="仿宋_GB2312" w:hAnsi="宋体" w:eastAsia="仿宋_GB2312"/>
                <w:szCs w:val="21"/>
              </w:rPr>
              <w:t>X年度占用资金的利息(如有)</w:t>
            </w:r>
          </w:p>
        </w:tc>
        <w:tc>
          <w:tcPr>
            <w:tcW w:w="1260" w:type="dxa"/>
            <w:tcBorders>
              <w:top w:val="single" w:color="auto" w:sz="8"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C725EDB">
            <w:pPr>
              <w:rPr>
                <w:rFonts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年度偿还累计发生金额</w:t>
            </w:r>
          </w:p>
        </w:tc>
        <w:tc>
          <w:tcPr>
            <w:tcW w:w="900" w:type="dxa"/>
            <w:tcBorders>
              <w:top w:val="single" w:color="auto" w:sz="8"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DF7BDCF">
            <w:pPr>
              <w:rPr>
                <w:rFonts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年期末占用资金余额</w:t>
            </w:r>
          </w:p>
        </w:tc>
        <w:tc>
          <w:tcPr>
            <w:tcW w:w="720"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64193AAC">
            <w:pPr>
              <w:rPr>
                <w:rFonts w:ascii="仿宋_GB2312" w:hAnsi="宋体" w:eastAsia="仿宋_GB2312" w:cs="Arial Unicode MS"/>
                <w:szCs w:val="21"/>
              </w:rPr>
            </w:pPr>
            <w:r>
              <w:rPr>
                <w:rFonts w:hint="eastAsia" w:ascii="仿宋_GB2312" w:hAnsi="宋体" w:eastAsia="仿宋_GB2312"/>
                <w:szCs w:val="21"/>
              </w:rPr>
              <w:t>占用形成原因</w:t>
            </w:r>
          </w:p>
        </w:tc>
        <w:tc>
          <w:tcPr>
            <w:tcW w:w="1440" w:type="dxa"/>
            <w:tcBorders>
              <w:top w:val="single" w:color="auto" w:sz="8" w:space="0"/>
              <w:left w:val="nil"/>
              <w:bottom w:val="single" w:color="auto" w:sz="4" w:space="0"/>
              <w:right w:val="single" w:color="auto" w:sz="8" w:space="0"/>
            </w:tcBorders>
            <w:noWrap w:val="0"/>
            <w:tcMar>
              <w:top w:w="15" w:type="dxa"/>
              <w:left w:w="15" w:type="dxa"/>
              <w:bottom w:w="0" w:type="dxa"/>
              <w:right w:w="15" w:type="dxa"/>
            </w:tcMar>
            <w:vAlign w:val="bottom"/>
          </w:tcPr>
          <w:p w14:paraId="3B7C7385">
            <w:pPr>
              <w:rPr>
                <w:rFonts w:ascii="仿宋_GB2312" w:hAnsi="宋体" w:eastAsia="仿宋_GB2312" w:cs="Arial Unicode MS"/>
                <w:szCs w:val="21"/>
              </w:rPr>
            </w:pPr>
            <w:r>
              <w:rPr>
                <w:rFonts w:hint="eastAsia" w:ascii="仿宋_GB2312" w:hAnsi="宋体" w:eastAsia="仿宋_GB2312"/>
                <w:szCs w:val="21"/>
              </w:rPr>
              <w:t>占用性质</w:t>
            </w:r>
          </w:p>
        </w:tc>
      </w:tr>
      <w:tr w14:paraId="60225F28">
        <w:tblPrEx>
          <w:tblCellMar>
            <w:top w:w="0" w:type="dxa"/>
            <w:left w:w="0" w:type="dxa"/>
            <w:bottom w:w="0" w:type="dxa"/>
            <w:right w:w="0" w:type="dxa"/>
          </w:tblCellMar>
        </w:tblPrEx>
        <w:trPr>
          <w:wBefore w:w="0" w:type="dxa"/>
          <w:wAfter w:w="0" w:type="dxa"/>
          <w:cantSplit/>
          <w:trHeight w:val="285" w:hRule="atLeast"/>
        </w:trPr>
        <w:tc>
          <w:tcPr>
            <w:tcW w:w="1815" w:type="dxa"/>
            <w:vMerge w:val="restart"/>
            <w:tcBorders>
              <w:top w:val="nil"/>
              <w:left w:val="single" w:color="auto" w:sz="8" w:space="0"/>
              <w:right w:val="single" w:color="auto" w:sz="4" w:space="0"/>
            </w:tcBorders>
            <w:noWrap w:val="0"/>
            <w:tcMar>
              <w:top w:w="15" w:type="dxa"/>
              <w:left w:w="15" w:type="dxa"/>
              <w:bottom w:w="0" w:type="dxa"/>
              <w:right w:w="15" w:type="dxa"/>
            </w:tcMar>
            <w:vAlign w:val="top"/>
          </w:tcPr>
          <w:p w14:paraId="0C873BC5">
            <w:pPr>
              <w:rPr>
                <w:rFonts w:ascii="仿宋_GB2312" w:hAnsi="宋体" w:eastAsia="仿宋_GB2312" w:cs="Arial Unicode MS"/>
                <w:szCs w:val="21"/>
              </w:rPr>
            </w:pPr>
            <w:r>
              <w:rPr>
                <w:rFonts w:hint="eastAsia" w:ascii="仿宋_GB2312" w:hAnsi="宋体" w:eastAsia="仿宋_GB2312"/>
                <w:szCs w:val="21"/>
              </w:rPr>
              <w:t>现控股股东、实际控制人及其附属企业</w:t>
            </w:r>
          </w:p>
        </w:tc>
        <w:tc>
          <w:tcPr>
            <w:tcW w:w="92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EA0C550">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2A5565E">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2B8A607B">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0D147F1">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44E171D">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7110FC89">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E289C65">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9F40915">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C224EE0">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7F0D781A">
            <w:pPr>
              <w:rPr>
                <w:rFonts w:ascii="仿宋_GB2312" w:hAnsi="宋体" w:eastAsia="仿宋_GB2312" w:cs="Arial Unicode MS"/>
                <w:szCs w:val="21"/>
              </w:rPr>
            </w:pPr>
            <w:r>
              <w:rPr>
                <w:rFonts w:hint="eastAsia" w:ascii="仿宋_GB2312" w:hAnsi="宋体" w:eastAsia="仿宋_GB2312"/>
                <w:szCs w:val="21"/>
              </w:rPr>
              <w:t>非经营性占用</w:t>
            </w:r>
          </w:p>
        </w:tc>
      </w:tr>
      <w:tr w14:paraId="3DFCC4E2">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left w:val="single" w:color="auto" w:sz="8" w:space="0"/>
              <w:bottom w:val="single" w:color="auto" w:sz="4" w:space="0"/>
              <w:right w:val="single" w:color="auto" w:sz="4" w:space="0"/>
            </w:tcBorders>
            <w:noWrap w:val="0"/>
            <w:vAlign w:val="center"/>
          </w:tcPr>
          <w:p w14:paraId="46871F25">
            <w:pPr>
              <w:rPr>
                <w:rFonts w:ascii="仿宋_GB2312" w:hAnsi="宋体" w:eastAsia="仿宋_GB2312" w:cs="Arial Unicode MS"/>
                <w:szCs w:val="21"/>
              </w:rPr>
            </w:pPr>
          </w:p>
        </w:tc>
        <w:tc>
          <w:tcPr>
            <w:tcW w:w="92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C0AC76D">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A9A5B02">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4C03BC3A">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924FB49">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5F6838C">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54557B4E">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867622B">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59D4A4A">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254FB91">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2EAE0555">
            <w:pPr>
              <w:rPr>
                <w:rFonts w:ascii="仿宋_GB2312" w:hAnsi="宋体" w:eastAsia="仿宋_GB2312" w:cs="Arial Unicode MS"/>
                <w:szCs w:val="21"/>
              </w:rPr>
            </w:pPr>
            <w:r>
              <w:rPr>
                <w:rFonts w:hint="eastAsia" w:ascii="仿宋_GB2312" w:hAnsi="宋体" w:eastAsia="仿宋_GB2312"/>
                <w:szCs w:val="21"/>
              </w:rPr>
              <w:t>非经营性占用</w:t>
            </w:r>
          </w:p>
        </w:tc>
      </w:tr>
      <w:tr w14:paraId="6C0B47D0">
        <w:tblPrEx>
          <w:tblCellMar>
            <w:top w:w="0" w:type="dxa"/>
            <w:left w:w="0" w:type="dxa"/>
            <w:bottom w:w="0" w:type="dxa"/>
            <w:right w:w="0" w:type="dxa"/>
          </w:tblCellMar>
        </w:tblPrEx>
        <w:trPr>
          <w:wBefore w:w="0" w:type="dxa"/>
          <w:wAfter w:w="0" w:type="dxa"/>
          <w:cantSplit/>
          <w:trHeight w:val="285" w:hRule="atLeast"/>
        </w:trPr>
        <w:tc>
          <w:tcPr>
            <w:tcW w:w="1815"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1AE239CB">
            <w:pPr>
              <w:jc w:val="center"/>
              <w:rPr>
                <w:rFonts w:hint="eastAsia" w:ascii="仿宋_GB2312" w:hAnsi="宋体" w:eastAsia="仿宋_GB2312"/>
                <w:szCs w:val="21"/>
              </w:rPr>
            </w:pPr>
            <w:r>
              <w:rPr>
                <w:rFonts w:hint="eastAsia" w:ascii="仿宋_GB2312" w:hAnsi="宋体" w:eastAsia="仿宋_GB2312"/>
                <w:b/>
                <w:bCs/>
                <w:szCs w:val="21"/>
              </w:rPr>
              <w:t>小计</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A0D3AF7">
            <w:pPr>
              <w:jc w:val="center"/>
              <w:rPr>
                <w:rFonts w:ascii="仿宋_GB2312" w:hAnsi="宋体" w:eastAsia="仿宋_GB2312" w:cs="Arial Unicode MS"/>
                <w:szCs w:val="21"/>
              </w:rPr>
            </w:pPr>
            <w:r>
              <w:rPr>
                <w:rFonts w:ascii="仿宋_GB2312" w:hAnsi="宋体" w:eastAsia="仿宋_GB2312"/>
                <w:szCs w:val="21"/>
              </w:rPr>
              <w:t>-</w:t>
            </w: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9AB5E06">
            <w:pPr>
              <w:jc w:val="center"/>
              <w:rPr>
                <w:rFonts w:ascii="仿宋_GB2312" w:hAnsi="宋体" w:eastAsia="仿宋_GB2312" w:cs="Arial Unicode MS"/>
                <w:szCs w:val="21"/>
              </w:rPr>
            </w:pPr>
            <w:r>
              <w:rPr>
                <w:rFonts w:ascii="仿宋_GB2312" w:hAnsi="宋体" w:eastAsia="仿宋_GB2312"/>
                <w:szCs w:val="21"/>
              </w:rPr>
              <w:t>-</w:t>
            </w:r>
          </w:p>
        </w:tc>
        <w:tc>
          <w:tcPr>
            <w:tcW w:w="1080" w:type="dxa"/>
            <w:tcBorders>
              <w:top w:val="single" w:color="auto" w:sz="4" w:space="0"/>
              <w:left w:val="nil"/>
              <w:bottom w:val="single" w:color="auto" w:sz="4" w:space="0"/>
              <w:right w:val="single" w:color="auto" w:sz="4" w:space="0"/>
            </w:tcBorders>
            <w:noWrap w:val="0"/>
            <w:vAlign w:val="bottom"/>
          </w:tcPr>
          <w:p w14:paraId="1D4FCF36">
            <w:pPr>
              <w:jc w:val="center"/>
              <w:rPr>
                <w:rFonts w:ascii="仿宋_GB2312" w:hAnsi="宋体" w:eastAsia="仿宋_GB2312" w:cs="Arial Unicode MS"/>
                <w:szCs w:val="21"/>
              </w:rPr>
            </w:pPr>
            <w:r>
              <w:rPr>
                <w:rFonts w:ascii="仿宋_GB2312" w:hAnsi="宋体" w:eastAsia="仿宋_GB2312"/>
                <w:szCs w:val="21"/>
              </w:rPr>
              <w:t>-</w:t>
            </w: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C823E06">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F3F59E2">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4458350A">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EA4C3CC">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B33FD0D">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8AF5D40">
            <w:pPr>
              <w:jc w:val="center"/>
              <w:rPr>
                <w:rFonts w:hint="eastAsia" w:ascii="仿宋_GB2312" w:hAnsi="宋体" w:eastAsia="仿宋_GB2312"/>
                <w:szCs w:val="21"/>
              </w:rPr>
            </w:pPr>
            <w:r>
              <w:rPr>
                <w:rFonts w:ascii="仿宋_GB2312" w:hAnsi="宋体" w:eastAsia="仿宋_GB2312"/>
                <w:szCs w:val="21"/>
              </w:rPr>
              <w:t>-</w:t>
            </w: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39185629">
            <w:pPr>
              <w:jc w:val="center"/>
              <w:rPr>
                <w:rFonts w:hint="eastAsia" w:ascii="仿宋_GB2312" w:hAnsi="宋体" w:eastAsia="仿宋_GB2312"/>
                <w:szCs w:val="21"/>
              </w:rPr>
            </w:pPr>
            <w:r>
              <w:rPr>
                <w:rFonts w:ascii="仿宋_GB2312" w:hAnsi="宋体" w:eastAsia="仿宋_GB2312"/>
                <w:szCs w:val="21"/>
              </w:rPr>
              <w:t>-</w:t>
            </w:r>
          </w:p>
        </w:tc>
      </w:tr>
      <w:tr w14:paraId="0068B193">
        <w:tblPrEx>
          <w:tblCellMar>
            <w:top w:w="0" w:type="dxa"/>
            <w:left w:w="0" w:type="dxa"/>
            <w:bottom w:w="0" w:type="dxa"/>
            <w:right w:w="0" w:type="dxa"/>
          </w:tblCellMar>
        </w:tblPrEx>
        <w:trPr>
          <w:wBefore w:w="0" w:type="dxa"/>
          <w:wAfter w:w="0" w:type="dxa"/>
          <w:cantSplit/>
          <w:trHeight w:val="285" w:hRule="atLeast"/>
        </w:trPr>
        <w:tc>
          <w:tcPr>
            <w:tcW w:w="1815" w:type="dxa"/>
            <w:vMerge w:val="restart"/>
            <w:tcBorders>
              <w:top w:val="nil"/>
              <w:left w:val="single" w:color="auto" w:sz="8" w:space="0"/>
              <w:right w:val="single" w:color="auto" w:sz="4" w:space="0"/>
            </w:tcBorders>
            <w:noWrap w:val="0"/>
            <w:tcMar>
              <w:top w:w="15" w:type="dxa"/>
              <w:left w:w="15" w:type="dxa"/>
              <w:bottom w:w="0" w:type="dxa"/>
              <w:right w:w="15" w:type="dxa"/>
            </w:tcMar>
            <w:vAlign w:val="bottom"/>
          </w:tcPr>
          <w:p w14:paraId="2F969F4F">
            <w:pPr>
              <w:rPr>
                <w:rFonts w:hint="eastAsia" w:ascii="仿宋_GB2312" w:hAnsi="宋体" w:eastAsia="仿宋_GB2312"/>
                <w:b/>
                <w:bCs/>
                <w:szCs w:val="21"/>
              </w:rPr>
            </w:pPr>
            <w:r>
              <w:rPr>
                <w:rFonts w:hint="eastAsia" w:ascii="仿宋_GB2312" w:hAnsi="宋体" w:eastAsia="仿宋_GB2312"/>
                <w:szCs w:val="21"/>
              </w:rPr>
              <w:t>前控股股东、实际控制人及其附属企业</w:t>
            </w:r>
          </w:p>
        </w:tc>
        <w:tc>
          <w:tcPr>
            <w:tcW w:w="92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234D535">
            <w:pPr>
              <w:jc w:val="center"/>
              <w:rPr>
                <w:rFonts w:ascii="仿宋_GB2312" w:hAnsi="宋体" w:eastAsia="仿宋_GB2312"/>
                <w:szCs w:val="21"/>
              </w:rPr>
            </w:pPr>
          </w:p>
        </w:tc>
        <w:tc>
          <w:tcPr>
            <w:tcW w:w="123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3CC7EB9">
            <w:pPr>
              <w:jc w:val="center"/>
              <w:rPr>
                <w:rFonts w:ascii="仿宋_GB2312" w:hAnsi="宋体" w:eastAsia="仿宋_GB2312"/>
                <w:szCs w:val="21"/>
              </w:rPr>
            </w:pPr>
          </w:p>
        </w:tc>
        <w:tc>
          <w:tcPr>
            <w:tcW w:w="1080" w:type="dxa"/>
            <w:tcBorders>
              <w:top w:val="single" w:color="auto" w:sz="4" w:space="0"/>
              <w:left w:val="nil"/>
              <w:bottom w:val="single" w:color="auto" w:sz="4" w:space="0"/>
              <w:right w:val="single" w:color="auto" w:sz="4" w:space="0"/>
            </w:tcBorders>
            <w:noWrap w:val="0"/>
            <w:vAlign w:val="bottom"/>
          </w:tcPr>
          <w:p w14:paraId="15DD429F">
            <w:pPr>
              <w:jc w:val="center"/>
              <w:rPr>
                <w:rFonts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A70F7D0">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47F9B276">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62846B83">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98268BB">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A8A6639">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4F27473">
            <w:pPr>
              <w:jc w:val="center"/>
              <w:rPr>
                <w:rFonts w:hint="eastAsia" w:ascii="仿宋_GB2312" w:hAnsi="宋体" w:eastAsia="仿宋_GB2312"/>
                <w:szCs w:val="21"/>
              </w:rPr>
            </w:pPr>
          </w:p>
        </w:tc>
        <w:tc>
          <w:tcPr>
            <w:tcW w:w="1440" w:type="dxa"/>
            <w:tcBorders>
              <w:top w:val="nil"/>
              <w:left w:val="nil"/>
              <w:bottom w:val="single" w:color="auto" w:sz="4" w:space="0"/>
              <w:right w:val="single" w:color="auto" w:sz="8" w:space="0"/>
            </w:tcBorders>
            <w:noWrap w:val="0"/>
            <w:tcMar>
              <w:top w:w="15" w:type="dxa"/>
              <w:left w:w="15" w:type="dxa"/>
              <w:bottom w:w="0" w:type="dxa"/>
              <w:right w:w="15" w:type="dxa"/>
            </w:tcMar>
            <w:vAlign w:val="top"/>
          </w:tcPr>
          <w:p w14:paraId="28B49DD5">
            <w:pPr>
              <w:rPr>
                <w:szCs w:val="21"/>
              </w:rPr>
            </w:pPr>
            <w:r>
              <w:rPr>
                <w:rFonts w:hint="eastAsia" w:ascii="仿宋_GB2312" w:hAnsi="宋体" w:eastAsia="仿宋_GB2312"/>
                <w:szCs w:val="21"/>
              </w:rPr>
              <w:t>非经营性占用</w:t>
            </w:r>
          </w:p>
        </w:tc>
      </w:tr>
      <w:tr w14:paraId="2B6FDE4D">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left w:val="single" w:color="auto" w:sz="8" w:space="0"/>
              <w:bottom w:val="single" w:color="auto" w:sz="4" w:space="0"/>
              <w:right w:val="single" w:color="auto" w:sz="4" w:space="0"/>
            </w:tcBorders>
            <w:noWrap w:val="0"/>
            <w:tcMar>
              <w:top w:w="15" w:type="dxa"/>
              <w:left w:w="15" w:type="dxa"/>
              <w:bottom w:w="0" w:type="dxa"/>
              <w:right w:w="15" w:type="dxa"/>
            </w:tcMar>
            <w:vAlign w:val="bottom"/>
          </w:tcPr>
          <w:p w14:paraId="2C6C375B">
            <w:pPr>
              <w:jc w:val="center"/>
              <w:rPr>
                <w:rFonts w:hint="eastAsia" w:ascii="仿宋_GB2312" w:hAnsi="宋体" w:eastAsia="仿宋_GB2312"/>
                <w:b/>
                <w:bCs/>
                <w:szCs w:val="21"/>
              </w:rPr>
            </w:pPr>
          </w:p>
        </w:tc>
        <w:tc>
          <w:tcPr>
            <w:tcW w:w="92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3315DE0">
            <w:pPr>
              <w:jc w:val="center"/>
              <w:rPr>
                <w:rFonts w:ascii="仿宋_GB2312" w:hAnsi="宋体" w:eastAsia="仿宋_GB2312"/>
                <w:szCs w:val="21"/>
              </w:rPr>
            </w:pPr>
          </w:p>
        </w:tc>
        <w:tc>
          <w:tcPr>
            <w:tcW w:w="123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975B7BC">
            <w:pPr>
              <w:jc w:val="center"/>
              <w:rPr>
                <w:rFonts w:ascii="仿宋_GB2312" w:hAnsi="宋体" w:eastAsia="仿宋_GB2312"/>
                <w:szCs w:val="21"/>
              </w:rPr>
            </w:pPr>
          </w:p>
        </w:tc>
        <w:tc>
          <w:tcPr>
            <w:tcW w:w="1080" w:type="dxa"/>
            <w:tcBorders>
              <w:top w:val="single" w:color="auto" w:sz="4" w:space="0"/>
              <w:left w:val="nil"/>
              <w:bottom w:val="single" w:color="auto" w:sz="4" w:space="0"/>
              <w:right w:val="single" w:color="auto" w:sz="4" w:space="0"/>
            </w:tcBorders>
            <w:noWrap w:val="0"/>
            <w:vAlign w:val="bottom"/>
          </w:tcPr>
          <w:p w14:paraId="0C54D4DE">
            <w:pPr>
              <w:jc w:val="center"/>
              <w:rPr>
                <w:rFonts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6F49336">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E4147CF">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723613A0">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E2926E3">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4575287">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AC7ADD0">
            <w:pPr>
              <w:jc w:val="center"/>
              <w:rPr>
                <w:rFonts w:hint="eastAsia" w:ascii="仿宋_GB2312" w:hAnsi="宋体" w:eastAsia="仿宋_GB2312"/>
                <w:szCs w:val="21"/>
              </w:rPr>
            </w:pPr>
          </w:p>
        </w:tc>
        <w:tc>
          <w:tcPr>
            <w:tcW w:w="1440" w:type="dxa"/>
            <w:tcBorders>
              <w:top w:val="nil"/>
              <w:left w:val="nil"/>
              <w:bottom w:val="single" w:color="auto" w:sz="4" w:space="0"/>
              <w:right w:val="single" w:color="auto" w:sz="8" w:space="0"/>
            </w:tcBorders>
            <w:noWrap w:val="0"/>
            <w:tcMar>
              <w:top w:w="15" w:type="dxa"/>
              <w:left w:w="15" w:type="dxa"/>
              <w:bottom w:w="0" w:type="dxa"/>
              <w:right w:w="15" w:type="dxa"/>
            </w:tcMar>
            <w:vAlign w:val="top"/>
          </w:tcPr>
          <w:p w14:paraId="332449CE">
            <w:pPr>
              <w:rPr>
                <w:szCs w:val="21"/>
              </w:rPr>
            </w:pPr>
            <w:r>
              <w:rPr>
                <w:rFonts w:hint="eastAsia" w:ascii="仿宋_GB2312" w:hAnsi="宋体" w:eastAsia="仿宋_GB2312"/>
                <w:szCs w:val="21"/>
              </w:rPr>
              <w:t>非经营性占用</w:t>
            </w:r>
          </w:p>
        </w:tc>
      </w:tr>
      <w:tr w14:paraId="3690AB4E">
        <w:tblPrEx>
          <w:tblCellMar>
            <w:top w:w="0" w:type="dxa"/>
            <w:left w:w="0" w:type="dxa"/>
            <w:bottom w:w="0" w:type="dxa"/>
            <w:right w:w="0" w:type="dxa"/>
          </w:tblCellMar>
        </w:tblPrEx>
        <w:trPr>
          <w:wBefore w:w="0" w:type="dxa"/>
          <w:wAfter w:w="0" w:type="dxa"/>
          <w:cantSplit/>
          <w:trHeight w:val="285" w:hRule="atLeast"/>
        </w:trPr>
        <w:tc>
          <w:tcPr>
            <w:tcW w:w="1815"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29215573">
            <w:pPr>
              <w:jc w:val="center"/>
              <w:rPr>
                <w:rFonts w:hint="eastAsia" w:ascii="仿宋_GB2312" w:hAnsi="宋体" w:eastAsia="仿宋_GB2312"/>
                <w:szCs w:val="21"/>
              </w:rPr>
            </w:pPr>
            <w:r>
              <w:rPr>
                <w:rFonts w:hint="eastAsia" w:ascii="仿宋_GB2312" w:hAnsi="宋体" w:eastAsia="仿宋_GB2312"/>
                <w:b/>
                <w:bCs/>
                <w:szCs w:val="21"/>
              </w:rPr>
              <w:t>小计</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E8F9FE4">
            <w:pPr>
              <w:jc w:val="center"/>
              <w:rPr>
                <w:rFonts w:ascii="仿宋_GB2312" w:hAnsi="宋体" w:eastAsia="仿宋_GB2312" w:cs="Arial Unicode MS"/>
                <w:szCs w:val="21"/>
              </w:rPr>
            </w:pPr>
            <w:r>
              <w:rPr>
                <w:rFonts w:ascii="仿宋_GB2312" w:hAnsi="宋体" w:eastAsia="仿宋_GB2312"/>
                <w:szCs w:val="21"/>
              </w:rPr>
              <w:t>-</w:t>
            </w: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887833E">
            <w:pPr>
              <w:jc w:val="center"/>
              <w:rPr>
                <w:rFonts w:ascii="仿宋_GB2312" w:hAnsi="宋体" w:eastAsia="仿宋_GB2312" w:cs="Arial Unicode MS"/>
                <w:szCs w:val="21"/>
              </w:rPr>
            </w:pPr>
            <w:r>
              <w:rPr>
                <w:rFonts w:ascii="仿宋_GB2312" w:hAnsi="宋体" w:eastAsia="仿宋_GB2312"/>
                <w:szCs w:val="21"/>
              </w:rPr>
              <w:t>-</w:t>
            </w:r>
          </w:p>
        </w:tc>
        <w:tc>
          <w:tcPr>
            <w:tcW w:w="1080" w:type="dxa"/>
            <w:tcBorders>
              <w:top w:val="single" w:color="auto" w:sz="4" w:space="0"/>
              <w:left w:val="nil"/>
              <w:bottom w:val="single" w:color="auto" w:sz="4" w:space="0"/>
              <w:right w:val="single" w:color="auto" w:sz="4" w:space="0"/>
            </w:tcBorders>
            <w:noWrap w:val="0"/>
            <w:vAlign w:val="bottom"/>
          </w:tcPr>
          <w:p w14:paraId="1F614D18">
            <w:pPr>
              <w:jc w:val="center"/>
              <w:rPr>
                <w:rFonts w:ascii="仿宋_GB2312" w:hAnsi="宋体" w:eastAsia="仿宋_GB2312" w:cs="Arial Unicode MS"/>
                <w:szCs w:val="21"/>
              </w:rPr>
            </w:pPr>
            <w:r>
              <w:rPr>
                <w:rFonts w:ascii="仿宋_GB2312" w:hAnsi="宋体" w:eastAsia="仿宋_GB2312"/>
                <w:szCs w:val="21"/>
              </w:rPr>
              <w:t>-</w:t>
            </w: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2CB7A69">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594C4AF">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7F0FFF6C">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1CA7EDC">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EA520F2">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5359841">
            <w:pPr>
              <w:jc w:val="center"/>
              <w:rPr>
                <w:rFonts w:hint="eastAsia" w:ascii="仿宋_GB2312" w:hAnsi="宋体" w:eastAsia="仿宋_GB2312"/>
                <w:szCs w:val="21"/>
              </w:rPr>
            </w:pPr>
            <w:r>
              <w:rPr>
                <w:rFonts w:ascii="仿宋_GB2312" w:hAnsi="宋体" w:eastAsia="仿宋_GB2312"/>
                <w:szCs w:val="21"/>
              </w:rPr>
              <w:t>-</w:t>
            </w: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7BA5096D">
            <w:pPr>
              <w:jc w:val="center"/>
              <w:rPr>
                <w:rFonts w:hint="eastAsia" w:ascii="仿宋_GB2312" w:hAnsi="宋体" w:eastAsia="仿宋_GB2312"/>
                <w:szCs w:val="21"/>
              </w:rPr>
            </w:pPr>
            <w:r>
              <w:rPr>
                <w:rFonts w:ascii="仿宋_GB2312" w:hAnsi="宋体" w:eastAsia="仿宋_GB2312"/>
                <w:szCs w:val="21"/>
              </w:rPr>
              <w:t>-</w:t>
            </w:r>
          </w:p>
        </w:tc>
      </w:tr>
      <w:tr w14:paraId="5081A1C6">
        <w:tblPrEx>
          <w:tblCellMar>
            <w:top w:w="0" w:type="dxa"/>
            <w:left w:w="0" w:type="dxa"/>
            <w:bottom w:w="0" w:type="dxa"/>
            <w:right w:w="0" w:type="dxa"/>
          </w:tblCellMar>
        </w:tblPrEx>
        <w:trPr>
          <w:wBefore w:w="0" w:type="dxa"/>
          <w:wAfter w:w="0" w:type="dxa"/>
          <w:cantSplit/>
          <w:trHeight w:val="285" w:hRule="atLeast"/>
        </w:trPr>
        <w:tc>
          <w:tcPr>
            <w:tcW w:w="1815" w:type="dxa"/>
            <w:vMerge w:val="restart"/>
            <w:tcBorders>
              <w:top w:val="single" w:color="auto" w:sz="4" w:space="0"/>
              <w:left w:val="single" w:color="auto" w:sz="8" w:space="0"/>
              <w:right w:val="single" w:color="auto" w:sz="4" w:space="0"/>
            </w:tcBorders>
            <w:noWrap w:val="0"/>
            <w:tcMar>
              <w:top w:w="15" w:type="dxa"/>
              <w:left w:w="15" w:type="dxa"/>
              <w:bottom w:w="0" w:type="dxa"/>
              <w:right w:w="15" w:type="dxa"/>
            </w:tcMar>
            <w:vAlign w:val="center"/>
          </w:tcPr>
          <w:p w14:paraId="6285E79C">
            <w:pPr>
              <w:jc w:val="left"/>
              <w:rPr>
                <w:rFonts w:hint="eastAsia" w:ascii="仿宋_GB2312" w:hAnsi="宋体" w:eastAsia="仿宋_GB2312"/>
                <w:szCs w:val="21"/>
              </w:rPr>
            </w:pPr>
            <w:r>
              <w:rPr>
                <w:rFonts w:hint="eastAsia" w:ascii="仿宋_GB2312" w:hAnsi="宋体" w:eastAsia="仿宋_GB2312"/>
                <w:szCs w:val="21"/>
              </w:rPr>
              <w:t>其他关联方及其附属企业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07EE42F">
            <w:pPr>
              <w:jc w:val="center"/>
              <w:rPr>
                <w:rFonts w:ascii="仿宋_GB2312" w:hAnsi="宋体" w:eastAsia="仿宋_GB2312"/>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7A64130">
            <w:pPr>
              <w:jc w:val="center"/>
              <w:rPr>
                <w:rFonts w:ascii="仿宋_GB2312" w:hAnsi="宋体" w:eastAsia="仿宋_GB2312"/>
                <w:szCs w:val="21"/>
              </w:rPr>
            </w:pPr>
          </w:p>
        </w:tc>
        <w:tc>
          <w:tcPr>
            <w:tcW w:w="1080" w:type="dxa"/>
            <w:tcBorders>
              <w:top w:val="single" w:color="auto" w:sz="4" w:space="0"/>
              <w:left w:val="nil"/>
              <w:bottom w:val="single" w:color="auto" w:sz="4" w:space="0"/>
              <w:right w:val="single" w:color="auto" w:sz="4" w:space="0"/>
            </w:tcBorders>
            <w:noWrap w:val="0"/>
            <w:vAlign w:val="bottom"/>
          </w:tcPr>
          <w:p w14:paraId="74FB121B">
            <w:pPr>
              <w:jc w:val="center"/>
              <w:rPr>
                <w:rFonts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5CF0EC3">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CDEFBAB">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69940C92">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CCEAD93">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13C1E8C">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72725C1">
            <w:pPr>
              <w:jc w:val="center"/>
              <w:rPr>
                <w:rFonts w:ascii="仿宋_GB2312" w:hAnsi="宋体" w:eastAsia="仿宋_GB2312"/>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top"/>
          </w:tcPr>
          <w:p w14:paraId="6FFEFAEC">
            <w:pPr>
              <w:jc w:val="center"/>
              <w:rPr>
                <w:rFonts w:ascii="仿宋_GB2312" w:hAnsi="宋体" w:eastAsia="仿宋_GB2312"/>
                <w:szCs w:val="21"/>
              </w:rPr>
            </w:pPr>
            <w:r>
              <w:rPr>
                <w:rFonts w:hint="eastAsia" w:ascii="仿宋_GB2312" w:hAnsi="宋体" w:eastAsia="仿宋_GB2312"/>
                <w:szCs w:val="21"/>
              </w:rPr>
              <w:t>非经营性占用</w:t>
            </w:r>
          </w:p>
        </w:tc>
      </w:tr>
      <w:tr w14:paraId="13FBC732">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560A24D0">
            <w:pPr>
              <w:jc w:val="center"/>
              <w:rPr>
                <w:rFonts w:hint="eastAsia" w:ascii="仿宋_GB2312" w:hAnsi="宋体" w:eastAsia="仿宋_GB2312"/>
                <w:b/>
                <w:bCs/>
                <w:szCs w:val="21"/>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E1AFC67">
            <w:pPr>
              <w:jc w:val="center"/>
              <w:rPr>
                <w:rFonts w:ascii="仿宋_GB2312" w:hAnsi="宋体" w:eastAsia="仿宋_GB2312"/>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BD4047B">
            <w:pPr>
              <w:jc w:val="center"/>
              <w:rPr>
                <w:rFonts w:ascii="仿宋_GB2312" w:hAnsi="宋体" w:eastAsia="仿宋_GB2312"/>
                <w:szCs w:val="21"/>
              </w:rPr>
            </w:pPr>
          </w:p>
        </w:tc>
        <w:tc>
          <w:tcPr>
            <w:tcW w:w="1080" w:type="dxa"/>
            <w:tcBorders>
              <w:top w:val="single" w:color="auto" w:sz="4" w:space="0"/>
              <w:left w:val="nil"/>
              <w:bottom w:val="single" w:color="auto" w:sz="4" w:space="0"/>
              <w:right w:val="single" w:color="auto" w:sz="4" w:space="0"/>
            </w:tcBorders>
            <w:noWrap w:val="0"/>
            <w:vAlign w:val="bottom"/>
          </w:tcPr>
          <w:p w14:paraId="22DC2402">
            <w:pPr>
              <w:jc w:val="center"/>
              <w:rPr>
                <w:rFonts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5ADD5CA">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1DE72FC">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2FC1262C">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0964F689">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FA239EF">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C69B5F3">
            <w:pPr>
              <w:jc w:val="center"/>
              <w:rPr>
                <w:rFonts w:ascii="仿宋_GB2312" w:hAnsi="宋体" w:eastAsia="仿宋_GB2312"/>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top"/>
          </w:tcPr>
          <w:p w14:paraId="65B3CBF0">
            <w:pPr>
              <w:jc w:val="center"/>
              <w:rPr>
                <w:rFonts w:ascii="仿宋_GB2312" w:hAnsi="宋体" w:eastAsia="仿宋_GB2312"/>
                <w:szCs w:val="21"/>
              </w:rPr>
            </w:pPr>
            <w:r>
              <w:rPr>
                <w:rFonts w:hint="eastAsia" w:ascii="仿宋_GB2312" w:hAnsi="宋体" w:eastAsia="仿宋_GB2312"/>
                <w:szCs w:val="21"/>
              </w:rPr>
              <w:t>非经营性占用</w:t>
            </w:r>
          </w:p>
        </w:tc>
      </w:tr>
      <w:tr w14:paraId="4E13D534">
        <w:tblPrEx>
          <w:tblCellMar>
            <w:top w:w="0" w:type="dxa"/>
            <w:left w:w="0" w:type="dxa"/>
            <w:bottom w:w="0" w:type="dxa"/>
            <w:right w:w="0" w:type="dxa"/>
          </w:tblCellMar>
        </w:tblPrEx>
        <w:trPr>
          <w:wBefore w:w="0" w:type="dxa"/>
          <w:wAfter w:w="0" w:type="dxa"/>
          <w:cantSplit/>
          <w:trHeight w:val="285" w:hRule="atLeast"/>
        </w:trPr>
        <w:tc>
          <w:tcPr>
            <w:tcW w:w="1815"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5C5B4F6B">
            <w:pPr>
              <w:jc w:val="center"/>
              <w:rPr>
                <w:rFonts w:hint="eastAsia" w:ascii="仿宋_GB2312" w:hAnsi="宋体" w:eastAsia="仿宋_GB2312"/>
                <w:b/>
                <w:bCs/>
                <w:szCs w:val="21"/>
              </w:rPr>
            </w:pPr>
            <w:r>
              <w:rPr>
                <w:rFonts w:hint="eastAsia" w:ascii="仿宋_GB2312" w:hAnsi="宋体" w:eastAsia="仿宋_GB2312"/>
                <w:b/>
                <w:bCs/>
                <w:szCs w:val="21"/>
              </w:rPr>
              <w:t>小计</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B5CFAF7">
            <w:pPr>
              <w:jc w:val="center"/>
              <w:rPr>
                <w:rFonts w:ascii="仿宋_GB2312" w:hAnsi="宋体" w:eastAsia="仿宋_GB2312"/>
                <w:szCs w:val="21"/>
              </w:rPr>
            </w:pPr>
            <w:r>
              <w:rPr>
                <w:rFonts w:ascii="仿宋_GB2312" w:hAnsi="宋体" w:eastAsia="仿宋_GB2312"/>
                <w:szCs w:val="21"/>
              </w:rPr>
              <w:t>-</w:t>
            </w: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FADD36E">
            <w:pPr>
              <w:jc w:val="center"/>
              <w:rPr>
                <w:rFonts w:ascii="仿宋_GB2312" w:hAnsi="宋体" w:eastAsia="仿宋_GB2312"/>
                <w:szCs w:val="21"/>
              </w:rPr>
            </w:pPr>
            <w:r>
              <w:rPr>
                <w:rFonts w:ascii="仿宋_GB2312" w:hAnsi="宋体" w:eastAsia="仿宋_GB2312"/>
                <w:szCs w:val="21"/>
              </w:rPr>
              <w:t>-</w:t>
            </w:r>
          </w:p>
        </w:tc>
        <w:tc>
          <w:tcPr>
            <w:tcW w:w="1080" w:type="dxa"/>
            <w:tcBorders>
              <w:top w:val="single" w:color="auto" w:sz="4" w:space="0"/>
              <w:left w:val="nil"/>
              <w:bottom w:val="single" w:color="auto" w:sz="4" w:space="0"/>
              <w:right w:val="single" w:color="auto" w:sz="4" w:space="0"/>
            </w:tcBorders>
            <w:noWrap w:val="0"/>
            <w:vAlign w:val="bottom"/>
          </w:tcPr>
          <w:p w14:paraId="149A139E">
            <w:pPr>
              <w:jc w:val="center"/>
              <w:rPr>
                <w:rFonts w:ascii="仿宋_GB2312" w:hAnsi="宋体" w:eastAsia="仿宋_GB2312"/>
                <w:szCs w:val="21"/>
              </w:rPr>
            </w:pPr>
            <w:r>
              <w:rPr>
                <w:rFonts w:ascii="仿宋_GB2312" w:hAnsi="宋体" w:eastAsia="仿宋_GB2312"/>
                <w:szCs w:val="21"/>
              </w:rPr>
              <w:t>-</w:t>
            </w: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F6EADC3">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4335A2B">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12E215D1">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79FC56E">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5096D1D">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DE1AAEE">
            <w:pPr>
              <w:jc w:val="center"/>
              <w:rPr>
                <w:rFonts w:ascii="仿宋_GB2312" w:hAnsi="宋体" w:eastAsia="仿宋_GB2312"/>
                <w:szCs w:val="21"/>
              </w:rPr>
            </w:pPr>
            <w:r>
              <w:rPr>
                <w:rFonts w:ascii="仿宋_GB2312" w:hAnsi="宋体" w:eastAsia="仿宋_GB2312"/>
                <w:szCs w:val="21"/>
              </w:rPr>
              <w:t>-</w:t>
            </w: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0D4A0EDD">
            <w:pPr>
              <w:jc w:val="center"/>
              <w:rPr>
                <w:rFonts w:ascii="仿宋_GB2312" w:hAnsi="宋体" w:eastAsia="仿宋_GB2312"/>
                <w:szCs w:val="21"/>
              </w:rPr>
            </w:pPr>
            <w:r>
              <w:rPr>
                <w:rFonts w:ascii="仿宋_GB2312" w:hAnsi="宋体" w:eastAsia="仿宋_GB2312"/>
                <w:szCs w:val="21"/>
              </w:rPr>
              <w:t>-</w:t>
            </w:r>
          </w:p>
        </w:tc>
      </w:tr>
      <w:tr w14:paraId="6CD0F03B">
        <w:tblPrEx>
          <w:tblCellMar>
            <w:top w:w="0" w:type="dxa"/>
            <w:left w:w="0" w:type="dxa"/>
            <w:bottom w:w="0" w:type="dxa"/>
            <w:right w:w="0" w:type="dxa"/>
          </w:tblCellMar>
        </w:tblPrEx>
        <w:trPr>
          <w:wBefore w:w="0" w:type="dxa"/>
          <w:wAfter w:w="0" w:type="dxa"/>
          <w:trHeight w:val="285" w:hRule="atLeast"/>
        </w:trPr>
        <w:tc>
          <w:tcPr>
            <w:tcW w:w="1815"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bottom"/>
          </w:tcPr>
          <w:p w14:paraId="69BDFEE6">
            <w:pPr>
              <w:jc w:val="center"/>
              <w:rPr>
                <w:rFonts w:ascii="仿宋_GB2312" w:hAnsi="宋体" w:eastAsia="仿宋_GB2312" w:cs="Arial Unicode MS"/>
                <w:b/>
                <w:bCs/>
                <w:szCs w:val="21"/>
              </w:rPr>
            </w:pPr>
            <w:r>
              <w:rPr>
                <w:rFonts w:hint="eastAsia" w:ascii="仿宋_GB2312" w:hAnsi="宋体" w:eastAsia="仿宋_GB2312"/>
                <w:b/>
                <w:bCs/>
                <w:szCs w:val="21"/>
              </w:rPr>
              <w:t>总计</w:t>
            </w:r>
          </w:p>
        </w:tc>
        <w:tc>
          <w:tcPr>
            <w:tcW w:w="92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17877730">
            <w:pPr>
              <w:jc w:val="center"/>
              <w:rPr>
                <w:rFonts w:ascii="仿宋_GB2312" w:hAnsi="宋体" w:eastAsia="仿宋_GB2312" w:cs="Arial Unicode MS"/>
                <w:szCs w:val="21"/>
              </w:rPr>
            </w:pPr>
            <w:r>
              <w:rPr>
                <w:rFonts w:ascii="仿宋_GB2312" w:hAnsi="宋体" w:eastAsia="仿宋_GB2312"/>
                <w:szCs w:val="21"/>
              </w:rPr>
              <w:t>-</w:t>
            </w:r>
          </w:p>
        </w:tc>
        <w:tc>
          <w:tcPr>
            <w:tcW w:w="1235"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6B426D7">
            <w:pPr>
              <w:jc w:val="center"/>
              <w:rPr>
                <w:rFonts w:ascii="仿宋_GB2312" w:hAnsi="宋体" w:eastAsia="仿宋_GB2312" w:cs="Arial Unicode MS"/>
                <w:szCs w:val="21"/>
              </w:rPr>
            </w:pPr>
            <w:r>
              <w:rPr>
                <w:rFonts w:ascii="仿宋_GB2312" w:hAnsi="宋体" w:eastAsia="仿宋_GB2312"/>
                <w:szCs w:val="21"/>
              </w:rPr>
              <w:t>-</w:t>
            </w:r>
          </w:p>
        </w:tc>
        <w:tc>
          <w:tcPr>
            <w:tcW w:w="1080" w:type="dxa"/>
            <w:tcBorders>
              <w:top w:val="single" w:color="auto" w:sz="4" w:space="0"/>
              <w:left w:val="nil"/>
              <w:bottom w:val="single" w:color="auto" w:sz="4" w:space="0"/>
              <w:right w:val="single" w:color="auto" w:sz="4" w:space="0"/>
            </w:tcBorders>
            <w:noWrap w:val="0"/>
            <w:vAlign w:val="bottom"/>
          </w:tcPr>
          <w:p w14:paraId="0CC23B1D">
            <w:pPr>
              <w:jc w:val="center"/>
              <w:rPr>
                <w:rFonts w:ascii="仿宋_GB2312" w:hAnsi="宋体" w:eastAsia="仿宋_GB2312" w:cs="Arial Unicode MS"/>
                <w:szCs w:val="21"/>
              </w:rPr>
            </w:pPr>
            <w:r>
              <w:rPr>
                <w:rFonts w:ascii="仿宋_GB2312" w:hAnsi="宋体" w:eastAsia="仿宋_GB2312"/>
                <w:szCs w:val="21"/>
              </w:rPr>
              <w:t>-</w:t>
            </w: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44DC2E7">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E61FCA8">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24DD8490">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A017FA1">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E9ABDBD">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018B74C">
            <w:pPr>
              <w:jc w:val="center"/>
              <w:rPr>
                <w:rFonts w:ascii="仿宋_GB2312" w:hAnsi="宋体" w:eastAsia="仿宋_GB2312" w:cs="Arial Unicode MS"/>
                <w:szCs w:val="21"/>
              </w:rPr>
            </w:pPr>
            <w:r>
              <w:rPr>
                <w:rFonts w:ascii="仿宋_GB2312" w:hAnsi="宋体" w:eastAsia="仿宋_GB2312"/>
                <w:szCs w:val="21"/>
              </w:rPr>
              <w:t>-</w:t>
            </w:r>
          </w:p>
        </w:tc>
        <w:tc>
          <w:tcPr>
            <w:tcW w:w="1440" w:type="dxa"/>
            <w:tcBorders>
              <w:top w:val="nil"/>
              <w:left w:val="nil"/>
              <w:bottom w:val="single" w:color="auto" w:sz="4" w:space="0"/>
              <w:right w:val="single" w:color="auto" w:sz="8" w:space="0"/>
            </w:tcBorders>
            <w:noWrap w:val="0"/>
            <w:tcMar>
              <w:top w:w="15" w:type="dxa"/>
              <w:left w:w="15" w:type="dxa"/>
              <w:bottom w:w="0" w:type="dxa"/>
              <w:right w:w="15" w:type="dxa"/>
            </w:tcMar>
            <w:vAlign w:val="bottom"/>
          </w:tcPr>
          <w:p w14:paraId="1BAA0B9E">
            <w:pPr>
              <w:jc w:val="center"/>
              <w:rPr>
                <w:rFonts w:ascii="仿宋_GB2312" w:hAnsi="宋体" w:eastAsia="仿宋_GB2312" w:cs="Arial Unicode MS"/>
                <w:szCs w:val="21"/>
              </w:rPr>
            </w:pPr>
            <w:r>
              <w:rPr>
                <w:rFonts w:ascii="仿宋_GB2312" w:hAnsi="宋体" w:eastAsia="仿宋_GB2312"/>
                <w:szCs w:val="21"/>
              </w:rPr>
              <w:t>-</w:t>
            </w:r>
          </w:p>
        </w:tc>
      </w:tr>
      <w:tr w14:paraId="7D3A15F2">
        <w:tblPrEx>
          <w:tblCellMar>
            <w:top w:w="0" w:type="dxa"/>
            <w:left w:w="0" w:type="dxa"/>
            <w:bottom w:w="0" w:type="dxa"/>
            <w:right w:w="0" w:type="dxa"/>
          </w:tblCellMar>
        </w:tblPrEx>
        <w:trPr>
          <w:wBefore w:w="0" w:type="dxa"/>
          <w:wAfter w:w="0" w:type="dxa"/>
          <w:trHeight w:val="855" w:hRule="atLeast"/>
        </w:trPr>
        <w:tc>
          <w:tcPr>
            <w:tcW w:w="1815" w:type="dxa"/>
            <w:tcBorders>
              <w:top w:val="single" w:color="auto" w:sz="8" w:space="0"/>
              <w:left w:val="single" w:color="auto" w:sz="8" w:space="0"/>
              <w:bottom w:val="single" w:color="auto" w:sz="4" w:space="0"/>
              <w:right w:val="single" w:color="auto" w:sz="4" w:space="0"/>
            </w:tcBorders>
            <w:noWrap w:val="0"/>
            <w:tcMar>
              <w:top w:w="15" w:type="dxa"/>
              <w:left w:w="15" w:type="dxa"/>
              <w:bottom w:w="0" w:type="dxa"/>
              <w:right w:w="15" w:type="dxa"/>
            </w:tcMar>
            <w:vAlign w:val="bottom"/>
          </w:tcPr>
          <w:p w14:paraId="3E42DE7D">
            <w:pPr>
              <w:rPr>
                <w:rFonts w:ascii="仿宋_GB2312" w:hAnsi="宋体" w:eastAsia="仿宋_GB2312" w:cs="Arial Unicode MS"/>
                <w:b/>
                <w:szCs w:val="21"/>
              </w:rPr>
            </w:pPr>
            <w:r>
              <w:rPr>
                <w:rFonts w:hint="eastAsia" w:ascii="仿宋_GB2312" w:hAnsi="宋体" w:eastAsia="仿宋_GB2312"/>
                <w:b/>
                <w:szCs w:val="21"/>
              </w:rPr>
              <w:t>其它关联资金往来</w:t>
            </w:r>
          </w:p>
        </w:tc>
        <w:tc>
          <w:tcPr>
            <w:tcW w:w="925"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4395E169">
            <w:pPr>
              <w:rPr>
                <w:rFonts w:ascii="仿宋_GB2312" w:hAnsi="宋体" w:eastAsia="仿宋_GB2312" w:cs="Arial Unicode MS"/>
                <w:szCs w:val="21"/>
              </w:rPr>
            </w:pPr>
            <w:r>
              <w:rPr>
                <w:rFonts w:hint="eastAsia" w:ascii="仿宋_GB2312" w:hAnsi="宋体" w:eastAsia="仿宋_GB2312"/>
                <w:szCs w:val="21"/>
              </w:rPr>
              <w:t>资金往来方名称</w:t>
            </w:r>
          </w:p>
        </w:tc>
        <w:tc>
          <w:tcPr>
            <w:tcW w:w="1235"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2FF66AA0">
            <w:pPr>
              <w:rPr>
                <w:rFonts w:ascii="仿宋_GB2312" w:hAnsi="宋体" w:eastAsia="仿宋_GB2312" w:cs="Arial Unicode MS"/>
                <w:szCs w:val="21"/>
              </w:rPr>
            </w:pPr>
            <w:r>
              <w:rPr>
                <w:rFonts w:hint="eastAsia" w:ascii="仿宋_GB2312" w:hAnsi="宋体" w:eastAsia="仿宋_GB2312"/>
                <w:szCs w:val="21"/>
              </w:rPr>
              <w:t>往来方与上市公司的关联关系</w:t>
            </w:r>
          </w:p>
        </w:tc>
        <w:tc>
          <w:tcPr>
            <w:tcW w:w="1080" w:type="dxa"/>
            <w:tcBorders>
              <w:top w:val="single" w:color="auto" w:sz="8" w:space="0"/>
              <w:left w:val="nil"/>
              <w:bottom w:val="single" w:color="auto" w:sz="4" w:space="0"/>
              <w:right w:val="single" w:color="auto" w:sz="4" w:space="0"/>
            </w:tcBorders>
            <w:noWrap w:val="0"/>
            <w:vAlign w:val="bottom"/>
          </w:tcPr>
          <w:p w14:paraId="76CE351B">
            <w:pPr>
              <w:rPr>
                <w:rFonts w:ascii="仿宋_GB2312" w:hAnsi="宋体" w:eastAsia="仿宋_GB2312" w:cs="Arial Unicode MS"/>
                <w:szCs w:val="21"/>
              </w:rPr>
            </w:pPr>
            <w:r>
              <w:rPr>
                <w:rFonts w:hint="eastAsia" w:ascii="仿宋_GB2312" w:hAnsi="宋体" w:eastAsia="仿宋_GB2312"/>
                <w:szCs w:val="21"/>
              </w:rPr>
              <w:t>上市公司核算的会计科目</w:t>
            </w:r>
          </w:p>
        </w:tc>
        <w:tc>
          <w:tcPr>
            <w:tcW w:w="1260" w:type="dxa"/>
            <w:tcBorders>
              <w:top w:val="single" w:color="auto" w:sz="8"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9B4EA4A">
            <w:pPr>
              <w:rPr>
                <w:rFonts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年期初</w:t>
            </w:r>
            <w:r>
              <w:rPr>
                <w:rFonts w:hint="eastAsia" w:ascii="仿宋_GB2312" w:hAnsi="宋体" w:eastAsia="仿宋_GB2312"/>
                <w:szCs w:val="21"/>
              </w:rPr>
              <w:t>往来</w:t>
            </w:r>
            <w:r>
              <w:rPr>
                <w:rFonts w:ascii="仿宋_GB2312" w:hAnsi="宋体" w:eastAsia="仿宋_GB2312"/>
                <w:szCs w:val="21"/>
              </w:rPr>
              <w:t>资金余额</w:t>
            </w:r>
          </w:p>
        </w:tc>
        <w:tc>
          <w:tcPr>
            <w:tcW w:w="1440"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3DD61778">
            <w:pPr>
              <w:rPr>
                <w:rFonts w:hint="eastAsia"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年度</w:t>
            </w:r>
            <w:r>
              <w:rPr>
                <w:rFonts w:hint="eastAsia" w:ascii="仿宋_GB2312" w:hAnsi="宋体" w:eastAsia="仿宋_GB2312"/>
                <w:szCs w:val="21"/>
              </w:rPr>
              <w:t>往来</w:t>
            </w:r>
            <w:r>
              <w:rPr>
                <w:rFonts w:ascii="仿宋_GB2312" w:hAnsi="宋体" w:eastAsia="仿宋_GB2312"/>
                <w:szCs w:val="21"/>
              </w:rPr>
              <w:t>累计发生金额</w:t>
            </w:r>
            <w:r>
              <w:rPr>
                <w:rFonts w:hint="eastAsia" w:ascii="仿宋_GB2312" w:hAnsi="宋体" w:eastAsia="仿宋_GB2312"/>
                <w:szCs w:val="21"/>
              </w:rPr>
              <w:t>（不含利息）</w:t>
            </w:r>
          </w:p>
        </w:tc>
        <w:tc>
          <w:tcPr>
            <w:tcW w:w="1260" w:type="dxa"/>
            <w:tcBorders>
              <w:top w:val="single" w:color="auto" w:sz="8" w:space="0"/>
              <w:left w:val="nil"/>
              <w:bottom w:val="single" w:color="auto" w:sz="4" w:space="0"/>
              <w:right w:val="single" w:color="auto" w:sz="4" w:space="0"/>
            </w:tcBorders>
            <w:noWrap w:val="0"/>
            <w:vAlign w:val="bottom"/>
          </w:tcPr>
          <w:p w14:paraId="50625B4E">
            <w:pPr>
              <w:rPr>
                <w:rFonts w:hint="eastAsia" w:ascii="仿宋_GB2312" w:hAnsi="宋体" w:eastAsia="仿宋_GB2312"/>
                <w:szCs w:val="21"/>
              </w:rPr>
            </w:pPr>
            <w:r>
              <w:rPr>
                <w:rFonts w:hint="eastAsia" w:ascii="仿宋_GB2312" w:hAnsi="宋体" w:eastAsia="仿宋_GB2312"/>
                <w:szCs w:val="21"/>
              </w:rPr>
              <w:t>20</w:t>
            </w:r>
            <w:r>
              <w:rPr>
                <w:rFonts w:ascii="仿宋_GB2312" w:hAnsi="宋体" w:eastAsia="仿宋_GB2312"/>
                <w:szCs w:val="21"/>
              </w:rPr>
              <w:t>X</w:t>
            </w:r>
            <w:r>
              <w:rPr>
                <w:rFonts w:hint="eastAsia" w:ascii="仿宋_GB2312" w:hAnsi="宋体" w:eastAsia="仿宋_GB2312"/>
                <w:szCs w:val="21"/>
              </w:rPr>
              <w:t>X年度往来资金的利息(如有)</w:t>
            </w:r>
          </w:p>
        </w:tc>
        <w:tc>
          <w:tcPr>
            <w:tcW w:w="1260" w:type="dxa"/>
            <w:tcBorders>
              <w:top w:val="single" w:color="auto" w:sz="8"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8DE3CEB">
            <w:pPr>
              <w:rPr>
                <w:rFonts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年度偿还累计发生金额</w:t>
            </w:r>
          </w:p>
        </w:tc>
        <w:tc>
          <w:tcPr>
            <w:tcW w:w="900" w:type="dxa"/>
            <w:tcBorders>
              <w:top w:val="single" w:color="auto" w:sz="8"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2D2D257">
            <w:pPr>
              <w:rPr>
                <w:rFonts w:ascii="仿宋_GB2312" w:hAnsi="宋体" w:eastAsia="仿宋_GB2312" w:cs="Arial Unicode MS"/>
                <w:szCs w:val="21"/>
              </w:rPr>
            </w:pPr>
            <w:r>
              <w:rPr>
                <w:rFonts w:ascii="仿宋_GB2312" w:hAnsi="宋体" w:eastAsia="仿宋_GB2312"/>
                <w:szCs w:val="21"/>
              </w:rPr>
              <w:t>20X</w:t>
            </w:r>
            <w:r>
              <w:rPr>
                <w:rFonts w:hint="eastAsia" w:ascii="仿宋_GB2312" w:hAnsi="宋体" w:eastAsia="仿宋_GB2312"/>
                <w:szCs w:val="21"/>
              </w:rPr>
              <w:t>X</w:t>
            </w:r>
            <w:r>
              <w:rPr>
                <w:rFonts w:ascii="仿宋_GB2312" w:hAnsi="宋体" w:eastAsia="仿宋_GB2312"/>
                <w:szCs w:val="21"/>
              </w:rPr>
              <w:t>年期末</w:t>
            </w:r>
            <w:r>
              <w:rPr>
                <w:rFonts w:hint="eastAsia" w:ascii="仿宋_GB2312" w:hAnsi="宋体" w:eastAsia="仿宋_GB2312"/>
                <w:szCs w:val="21"/>
              </w:rPr>
              <w:t>往来</w:t>
            </w:r>
            <w:r>
              <w:rPr>
                <w:rFonts w:ascii="仿宋_GB2312" w:hAnsi="宋体" w:eastAsia="仿宋_GB2312"/>
                <w:szCs w:val="21"/>
              </w:rPr>
              <w:t>资金余额</w:t>
            </w:r>
          </w:p>
        </w:tc>
        <w:tc>
          <w:tcPr>
            <w:tcW w:w="720" w:type="dxa"/>
            <w:tcBorders>
              <w:top w:val="single" w:color="auto" w:sz="8" w:space="0"/>
              <w:left w:val="nil"/>
              <w:bottom w:val="single" w:color="auto" w:sz="4" w:space="0"/>
              <w:right w:val="single" w:color="auto" w:sz="4" w:space="0"/>
            </w:tcBorders>
            <w:noWrap w:val="0"/>
            <w:tcMar>
              <w:top w:w="15" w:type="dxa"/>
              <w:left w:w="15" w:type="dxa"/>
              <w:bottom w:w="0" w:type="dxa"/>
              <w:right w:w="15" w:type="dxa"/>
            </w:tcMar>
            <w:vAlign w:val="bottom"/>
          </w:tcPr>
          <w:p w14:paraId="3A613095">
            <w:pPr>
              <w:rPr>
                <w:rFonts w:ascii="仿宋_GB2312" w:hAnsi="宋体" w:eastAsia="仿宋_GB2312" w:cs="Arial Unicode MS"/>
                <w:szCs w:val="21"/>
              </w:rPr>
            </w:pPr>
            <w:r>
              <w:rPr>
                <w:rFonts w:hint="eastAsia" w:ascii="仿宋_GB2312" w:hAnsi="宋体" w:eastAsia="仿宋_GB2312"/>
                <w:szCs w:val="21"/>
              </w:rPr>
              <w:t>往来形成原因</w:t>
            </w:r>
          </w:p>
        </w:tc>
        <w:tc>
          <w:tcPr>
            <w:tcW w:w="1440" w:type="dxa"/>
            <w:tcBorders>
              <w:top w:val="single" w:color="auto" w:sz="8" w:space="0"/>
              <w:left w:val="nil"/>
              <w:bottom w:val="single" w:color="auto" w:sz="4" w:space="0"/>
              <w:right w:val="single" w:color="auto" w:sz="8" w:space="0"/>
            </w:tcBorders>
            <w:noWrap w:val="0"/>
            <w:tcMar>
              <w:top w:w="15" w:type="dxa"/>
              <w:left w:w="15" w:type="dxa"/>
              <w:bottom w:w="0" w:type="dxa"/>
              <w:right w:w="15" w:type="dxa"/>
            </w:tcMar>
            <w:vAlign w:val="bottom"/>
          </w:tcPr>
          <w:p w14:paraId="63E4F30A">
            <w:pPr>
              <w:rPr>
                <w:rFonts w:ascii="仿宋_GB2312" w:hAnsi="宋体" w:eastAsia="仿宋_GB2312" w:cs="Arial Unicode MS"/>
                <w:szCs w:val="21"/>
              </w:rPr>
            </w:pPr>
            <w:r>
              <w:rPr>
                <w:rFonts w:hint="eastAsia" w:ascii="仿宋_GB2312" w:hAnsi="宋体" w:eastAsia="仿宋_GB2312"/>
                <w:szCs w:val="21"/>
              </w:rPr>
              <w:t>往来性质</w:t>
            </w:r>
          </w:p>
        </w:tc>
      </w:tr>
      <w:tr w14:paraId="50CE4637">
        <w:tblPrEx>
          <w:tblCellMar>
            <w:top w:w="0" w:type="dxa"/>
            <w:left w:w="0" w:type="dxa"/>
            <w:bottom w:w="0" w:type="dxa"/>
            <w:right w:w="0" w:type="dxa"/>
          </w:tblCellMar>
        </w:tblPrEx>
        <w:trPr>
          <w:wBefore w:w="0" w:type="dxa"/>
          <w:wAfter w:w="0" w:type="dxa"/>
          <w:cantSplit/>
          <w:trHeight w:val="285" w:hRule="atLeast"/>
        </w:trPr>
        <w:tc>
          <w:tcPr>
            <w:tcW w:w="1815" w:type="dxa"/>
            <w:vMerge w:val="restart"/>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740E8C07">
            <w:pPr>
              <w:rPr>
                <w:rFonts w:hint="eastAsia" w:ascii="仿宋_GB2312" w:hAnsi="宋体" w:eastAsia="仿宋_GB2312"/>
                <w:szCs w:val="21"/>
              </w:rPr>
            </w:pPr>
            <w:r>
              <w:rPr>
                <w:rFonts w:hint="eastAsia" w:ascii="仿宋_GB2312" w:hAnsi="宋体" w:eastAsia="仿宋_GB2312"/>
                <w:szCs w:val="21"/>
              </w:rPr>
              <w:t>控股股东、实际控制人及其附属企业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EE8671A">
            <w:pPr>
              <w:rPr>
                <w:rFonts w:hint="eastAsia" w:ascii="仿宋_GB2312" w:hAnsi="宋体" w:eastAsia="仿宋_GB2312"/>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6F45255">
            <w:pPr>
              <w:rPr>
                <w:rFonts w:hint="eastAsia" w:ascii="仿宋_GB2312" w:hAnsi="宋体" w:eastAsia="仿宋_GB2312"/>
                <w:szCs w:val="21"/>
              </w:rPr>
            </w:pPr>
          </w:p>
        </w:tc>
        <w:tc>
          <w:tcPr>
            <w:tcW w:w="1080" w:type="dxa"/>
            <w:tcBorders>
              <w:top w:val="single" w:color="auto" w:sz="4" w:space="0"/>
              <w:left w:val="nil"/>
              <w:bottom w:val="single" w:color="auto" w:sz="4" w:space="0"/>
              <w:right w:val="single" w:color="auto" w:sz="4" w:space="0"/>
            </w:tcBorders>
            <w:noWrap w:val="0"/>
            <w:vAlign w:val="bottom"/>
          </w:tcPr>
          <w:p w14:paraId="5DFE5D1F">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8DA7D65">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AC50016">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404D72E9">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20CE3F9">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379CB164">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6A45C18">
            <w:pPr>
              <w:rPr>
                <w:rFonts w:hint="eastAsia" w:ascii="仿宋_GB2312" w:hAnsi="宋体" w:eastAsia="仿宋_GB2312"/>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7A894A4F">
            <w:pPr>
              <w:rPr>
                <w:rFonts w:hint="eastAsia" w:ascii="仿宋_GB2312" w:hAnsi="宋体" w:eastAsia="仿宋_GB2312"/>
                <w:szCs w:val="21"/>
              </w:rPr>
            </w:pPr>
            <w:r>
              <w:rPr>
                <w:rFonts w:hint="eastAsia" w:ascii="仿宋_GB2312" w:hAnsi="宋体" w:eastAsia="仿宋_GB2312"/>
                <w:szCs w:val="21"/>
              </w:rPr>
              <w:t>经营性往来</w:t>
            </w:r>
          </w:p>
        </w:tc>
      </w:tr>
      <w:tr w14:paraId="0AD9A16E">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60F7FC2D">
            <w:pPr>
              <w:rPr>
                <w:rFonts w:hint="eastAsia" w:ascii="仿宋_GB2312" w:hAnsi="宋体" w:eastAsia="仿宋_GB2312"/>
                <w:szCs w:val="21"/>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5C161BD">
            <w:pPr>
              <w:rPr>
                <w:rFonts w:hint="eastAsia" w:ascii="仿宋_GB2312" w:hAnsi="宋体" w:eastAsia="仿宋_GB2312"/>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082F839">
            <w:pPr>
              <w:rPr>
                <w:rFonts w:hint="eastAsia" w:ascii="仿宋_GB2312" w:hAnsi="宋体" w:eastAsia="仿宋_GB2312"/>
                <w:szCs w:val="21"/>
              </w:rPr>
            </w:pPr>
          </w:p>
        </w:tc>
        <w:tc>
          <w:tcPr>
            <w:tcW w:w="1080" w:type="dxa"/>
            <w:tcBorders>
              <w:top w:val="single" w:color="auto" w:sz="4" w:space="0"/>
              <w:left w:val="nil"/>
              <w:bottom w:val="single" w:color="auto" w:sz="4" w:space="0"/>
              <w:right w:val="single" w:color="auto" w:sz="4" w:space="0"/>
            </w:tcBorders>
            <w:noWrap w:val="0"/>
            <w:vAlign w:val="bottom"/>
          </w:tcPr>
          <w:p w14:paraId="68B4E8DA">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B3172AF">
            <w:pPr>
              <w:rPr>
                <w:rFonts w:hint="eastAsia" w:ascii="仿宋_GB2312" w:hAnsi="宋体" w:eastAsia="仿宋_GB2312"/>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CC71CC8">
            <w:pPr>
              <w:rPr>
                <w:rFonts w:hint="eastAsia" w:ascii="仿宋_GB2312" w:hAnsi="宋体" w:eastAsia="仿宋_GB2312"/>
                <w:szCs w:val="21"/>
              </w:rPr>
            </w:pPr>
          </w:p>
        </w:tc>
        <w:tc>
          <w:tcPr>
            <w:tcW w:w="1260" w:type="dxa"/>
            <w:tcBorders>
              <w:top w:val="single" w:color="auto" w:sz="4" w:space="0"/>
              <w:left w:val="nil"/>
              <w:bottom w:val="single" w:color="auto" w:sz="4" w:space="0"/>
              <w:right w:val="single" w:color="auto" w:sz="4" w:space="0"/>
            </w:tcBorders>
            <w:noWrap w:val="0"/>
            <w:vAlign w:val="top"/>
          </w:tcPr>
          <w:p w14:paraId="51633C2F">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40B2D07D">
            <w:pPr>
              <w:rPr>
                <w:rFonts w:hint="eastAsia" w:ascii="仿宋_GB2312" w:hAnsi="宋体" w:eastAsia="仿宋_GB2312"/>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193D6E2">
            <w:pPr>
              <w:rPr>
                <w:rFonts w:hint="eastAsia" w:ascii="仿宋_GB2312" w:hAnsi="宋体" w:eastAsia="仿宋_GB2312"/>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2974E3F">
            <w:pPr>
              <w:rPr>
                <w:rFonts w:hint="eastAsia" w:ascii="仿宋_GB2312" w:hAnsi="宋体" w:eastAsia="仿宋_GB2312"/>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49143C79">
            <w:pPr>
              <w:rPr>
                <w:rFonts w:hint="eastAsia" w:ascii="仿宋_GB2312" w:hAnsi="宋体" w:eastAsia="仿宋_GB2312"/>
                <w:szCs w:val="21"/>
              </w:rPr>
            </w:pPr>
            <w:r>
              <w:rPr>
                <w:rFonts w:hint="eastAsia" w:ascii="仿宋_GB2312" w:hAnsi="宋体" w:eastAsia="仿宋_GB2312"/>
                <w:szCs w:val="21"/>
              </w:rPr>
              <w:t>经营性往来</w:t>
            </w:r>
          </w:p>
        </w:tc>
      </w:tr>
      <w:tr w14:paraId="54AD387E">
        <w:tblPrEx>
          <w:tblCellMar>
            <w:top w:w="0" w:type="dxa"/>
            <w:left w:w="0" w:type="dxa"/>
            <w:bottom w:w="0" w:type="dxa"/>
            <w:right w:w="0" w:type="dxa"/>
          </w:tblCellMar>
        </w:tblPrEx>
        <w:trPr>
          <w:wBefore w:w="0" w:type="dxa"/>
          <w:wAfter w:w="0" w:type="dxa"/>
          <w:cantSplit/>
          <w:trHeight w:val="285" w:hRule="atLeast"/>
        </w:trPr>
        <w:tc>
          <w:tcPr>
            <w:tcW w:w="1815"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3A98FF9D">
            <w:pPr>
              <w:rPr>
                <w:rFonts w:ascii="仿宋_GB2312" w:hAnsi="宋体" w:eastAsia="仿宋_GB2312" w:cs="Arial Unicode MS"/>
                <w:szCs w:val="21"/>
              </w:rPr>
            </w:pPr>
            <w:r>
              <w:rPr>
                <w:rFonts w:hint="eastAsia" w:ascii="仿宋_GB2312" w:hAnsi="宋体" w:eastAsia="仿宋_GB2312"/>
                <w:szCs w:val="21"/>
              </w:rPr>
              <w:t>上市公司的子公司及其附属企业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0D2081F">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EEA8CA4">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0C76CC64">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E26D78F">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6F91290">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20B32B68">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0E762DC">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27610AA">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A785BB7">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53211FED">
            <w:pPr>
              <w:rPr>
                <w:rFonts w:ascii="仿宋_GB2312" w:hAnsi="宋体" w:eastAsia="仿宋_GB2312" w:cs="Arial Unicode MS"/>
                <w:szCs w:val="21"/>
              </w:rPr>
            </w:pPr>
            <w:r>
              <w:rPr>
                <w:rFonts w:hint="eastAsia" w:ascii="仿宋_GB2312" w:hAnsi="宋体" w:eastAsia="仿宋_GB2312"/>
                <w:szCs w:val="21"/>
              </w:rPr>
              <w:t>非经营性往来</w:t>
            </w:r>
          </w:p>
        </w:tc>
      </w:tr>
      <w:tr w14:paraId="222A0A81">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top w:val="nil"/>
              <w:left w:val="single" w:color="auto" w:sz="8" w:space="0"/>
              <w:bottom w:val="single" w:color="auto" w:sz="4" w:space="0"/>
              <w:right w:val="single" w:color="auto" w:sz="4" w:space="0"/>
            </w:tcBorders>
            <w:noWrap w:val="0"/>
            <w:vAlign w:val="center"/>
          </w:tcPr>
          <w:p w14:paraId="2B6B1A47">
            <w:pPr>
              <w:rPr>
                <w:rFonts w:ascii="仿宋_GB2312" w:hAnsi="宋体" w:eastAsia="仿宋_GB2312" w:cs="Arial Unicode MS"/>
                <w:szCs w:val="21"/>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8618A8E">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1A29FA6">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12A9A12A">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AC4DF66">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BCD2162">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37A1863F">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4A75FAEC">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29757D7">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C11E5DE">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3A4F6412">
            <w:pPr>
              <w:rPr>
                <w:rFonts w:ascii="仿宋_GB2312" w:hAnsi="宋体" w:eastAsia="仿宋_GB2312" w:cs="Arial Unicode MS"/>
                <w:szCs w:val="21"/>
              </w:rPr>
            </w:pPr>
            <w:r>
              <w:rPr>
                <w:rFonts w:hint="eastAsia" w:ascii="仿宋_GB2312" w:hAnsi="宋体" w:eastAsia="仿宋_GB2312"/>
                <w:szCs w:val="21"/>
              </w:rPr>
              <w:t>非经营性往来</w:t>
            </w:r>
          </w:p>
        </w:tc>
      </w:tr>
      <w:tr w14:paraId="1A6B717B">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top w:val="nil"/>
              <w:left w:val="single" w:color="auto" w:sz="8" w:space="0"/>
              <w:bottom w:val="single" w:color="auto" w:sz="4" w:space="0"/>
              <w:right w:val="single" w:color="auto" w:sz="4" w:space="0"/>
            </w:tcBorders>
            <w:noWrap w:val="0"/>
            <w:vAlign w:val="center"/>
          </w:tcPr>
          <w:p w14:paraId="366D6CE3">
            <w:pPr>
              <w:rPr>
                <w:rFonts w:ascii="仿宋_GB2312" w:hAnsi="宋体" w:eastAsia="仿宋_GB2312" w:cs="Arial Unicode MS"/>
                <w:szCs w:val="21"/>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C8A5954">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BBE4FD1">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39C5F740">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42478F3E">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2A5292E">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1A68E717">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AB33E5D">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3CF55A50">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B22D6AA">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4B962B82">
            <w:pPr>
              <w:rPr>
                <w:rFonts w:ascii="仿宋_GB2312" w:hAnsi="宋体" w:eastAsia="仿宋_GB2312" w:cs="Arial Unicode MS"/>
                <w:szCs w:val="21"/>
              </w:rPr>
            </w:pPr>
            <w:r>
              <w:rPr>
                <w:rFonts w:hint="eastAsia" w:ascii="仿宋_GB2312" w:hAnsi="宋体" w:eastAsia="仿宋_GB2312"/>
                <w:szCs w:val="21"/>
              </w:rPr>
              <w:t>非经营性往来</w:t>
            </w:r>
          </w:p>
        </w:tc>
      </w:tr>
      <w:tr w14:paraId="1976F62F">
        <w:tblPrEx>
          <w:tblCellMar>
            <w:top w:w="0" w:type="dxa"/>
            <w:left w:w="0" w:type="dxa"/>
            <w:bottom w:w="0" w:type="dxa"/>
            <w:right w:w="0" w:type="dxa"/>
          </w:tblCellMar>
        </w:tblPrEx>
        <w:trPr>
          <w:wBefore w:w="0" w:type="dxa"/>
          <w:wAfter w:w="0" w:type="dxa"/>
          <w:cantSplit/>
          <w:trHeight w:val="285" w:hRule="atLeast"/>
        </w:trPr>
        <w:tc>
          <w:tcPr>
            <w:tcW w:w="1815"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top"/>
          </w:tcPr>
          <w:p w14:paraId="4B16726C">
            <w:pPr>
              <w:rPr>
                <w:rFonts w:ascii="仿宋_GB2312" w:hAnsi="宋体" w:eastAsia="仿宋_GB2312" w:cs="Arial Unicode MS"/>
                <w:szCs w:val="21"/>
              </w:rPr>
            </w:pPr>
            <w:r>
              <w:rPr>
                <w:rFonts w:hint="eastAsia" w:ascii="仿宋_GB2312" w:hAnsi="宋体" w:eastAsia="仿宋_GB2312"/>
                <w:szCs w:val="21"/>
              </w:rPr>
              <w:t>关联自然人</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61BBC43">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6BF5EA7">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35396A56">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ADC242B">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246ABCB">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32B583A8">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46C3E2A8">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38892A54">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6F2E828">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73BCBA50">
            <w:pPr>
              <w:rPr>
                <w:rFonts w:ascii="仿宋_GB2312" w:hAnsi="宋体" w:eastAsia="仿宋_GB2312" w:cs="Arial Unicode MS"/>
                <w:szCs w:val="21"/>
              </w:rPr>
            </w:pPr>
            <w:r>
              <w:rPr>
                <w:rFonts w:hint="eastAsia" w:ascii="仿宋_GB2312" w:hAnsi="宋体" w:eastAsia="仿宋_GB2312"/>
                <w:szCs w:val="21"/>
              </w:rPr>
              <w:t>非经营性往来</w:t>
            </w:r>
          </w:p>
        </w:tc>
      </w:tr>
      <w:tr w14:paraId="38D68101">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top w:val="nil"/>
              <w:left w:val="single" w:color="auto" w:sz="8" w:space="0"/>
              <w:bottom w:val="single" w:color="auto" w:sz="4" w:space="0"/>
              <w:right w:val="single" w:color="auto" w:sz="4" w:space="0"/>
            </w:tcBorders>
            <w:noWrap w:val="0"/>
            <w:vAlign w:val="center"/>
          </w:tcPr>
          <w:p w14:paraId="0095266F">
            <w:pPr>
              <w:rPr>
                <w:rFonts w:ascii="仿宋_GB2312" w:hAnsi="宋体" w:eastAsia="仿宋_GB2312" w:cs="Arial Unicode MS"/>
                <w:szCs w:val="21"/>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3E333A2">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3CFB334">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78A748FE">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3FA1D5C">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E2C6450">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1BAD0302">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5DDD097">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55473A7">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F6B729D">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72F5840A">
            <w:pPr>
              <w:rPr>
                <w:rFonts w:ascii="仿宋_GB2312" w:hAnsi="宋体" w:eastAsia="仿宋_GB2312" w:cs="Arial Unicode MS"/>
                <w:szCs w:val="21"/>
              </w:rPr>
            </w:pPr>
            <w:r>
              <w:rPr>
                <w:rFonts w:hint="eastAsia" w:ascii="仿宋_GB2312" w:hAnsi="宋体" w:eastAsia="仿宋_GB2312"/>
                <w:szCs w:val="21"/>
              </w:rPr>
              <w:t>非经营性往来</w:t>
            </w:r>
          </w:p>
        </w:tc>
      </w:tr>
      <w:tr w14:paraId="3A4E457C">
        <w:tblPrEx>
          <w:tblCellMar>
            <w:top w:w="0" w:type="dxa"/>
            <w:left w:w="0" w:type="dxa"/>
            <w:bottom w:w="0" w:type="dxa"/>
            <w:right w:w="0" w:type="dxa"/>
          </w:tblCellMar>
        </w:tblPrEx>
        <w:trPr>
          <w:wBefore w:w="0" w:type="dxa"/>
          <w:wAfter w:w="0" w:type="dxa"/>
          <w:cantSplit/>
          <w:trHeight w:val="285" w:hRule="atLeast"/>
        </w:trPr>
        <w:tc>
          <w:tcPr>
            <w:tcW w:w="1815"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top"/>
          </w:tcPr>
          <w:p w14:paraId="22B8200B">
            <w:pPr>
              <w:rPr>
                <w:rFonts w:ascii="仿宋_GB2312" w:hAnsi="宋体" w:eastAsia="仿宋_GB2312" w:cs="Arial Unicode MS"/>
                <w:szCs w:val="21"/>
              </w:rPr>
            </w:pPr>
            <w:r>
              <w:rPr>
                <w:rFonts w:hint="eastAsia" w:ascii="仿宋_GB2312" w:hAnsi="宋体" w:eastAsia="仿宋_GB2312"/>
                <w:szCs w:val="21"/>
              </w:rPr>
              <w:t>其他关联方及其附属企业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0F7A908">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57BD5ED">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4AE534FD">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E3D4FF7">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17FB4A5">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1F9D4007">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EF42C38">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07BBB4B1">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029EBBA">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4A2B508F">
            <w:pPr>
              <w:rPr>
                <w:rFonts w:hint="eastAsia" w:ascii="仿宋_GB2312" w:hAnsi="宋体" w:eastAsia="仿宋_GB2312" w:cs="Arial Unicode MS"/>
                <w:szCs w:val="21"/>
              </w:rPr>
            </w:pPr>
            <w:r>
              <w:rPr>
                <w:rFonts w:hint="eastAsia" w:ascii="仿宋_GB2312" w:hAnsi="宋体" w:eastAsia="仿宋_GB2312"/>
                <w:szCs w:val="21"/>
              </w:rPr>
              <w:t>非经营性往来/非经营性往来</w:t>
            </w:r>
          </w:p>
        </w:tc>
      </w:tr>
      <w:tr w14:paraId="1F7CF8E6">
        <w:tblPrEx>
          <w:tblCellMar>
            <w:top w:w="0" w:type="dxa"/>
            <w:left w:w="0" w:type="dxa"/>
            <w:bottom w:w="0" w:type="dxa"/>
            <w:right w:w="0" w:type="dxa"/>
          </w:tblCellMar>
        </w:tblPrEx>
        <w:trPr>
          <w:wBefore w:w="0" w:type="dxa"/>
          <w:wAfter w:w="0" w:type="dxa"/>
          <w:cantSplit/>
          <w:trHeight w:val="285" w:hRule="atLeast"/>
        </w:trPr>
        <w:tc>
          <w:tcPr>
            <w:tcW w:w="1815" w:type="dxa"/>
            <w:vMerge w:val="continue"/>
            <w:tcBorders>
              <w:top w:val="nil"/>
              <w:left w:val="single" w:color="auto" w:sz="8" w:space="0"/>
              <w:bottom w:val="single" w:color="auto" w:sz="4" w:space="0"/>
              <w:right w:val="single" w:color="auto" w:sz="4" w:space="0"/>
            </w:tcBorders>
            <w:noWrap w:val="0"/>
            <w:vAlign w:val="center"/>
          </w:tcPr>
          <w:p w14:paraId="2F7588FD">
            <w:pPr>
              <w:rPr>
                <w:rFonts w:ascii="仿宋_GB2312" w:hAnsi="宋体" w:eastAsia="仿宋_GB2312" w:cs="Arial Unicode MS"/>
                <w:szCs w:val="21"/>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834D0C3">
            <w:pPr>
              <w:rPr>
                <w:rFonts w:ascii="仿宋_GB2312" w:hAnsi="宋体" w:eastAsia="仿宋_GB2312" w:cs="Arial Unicode MS"/>
                <w:szCs w:val="21"/>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25648CB">
            <w:pPr>
              <w:rPr>
                <w:rFonts w:ascii="仿宋_GB2312" w:hAnsi="宋体" w:eastAsia="仿宋_GB2312" w:cs="Arial Unicode MS"/>
                <w:szCs w:val="21"/>
              </w:rPr>
            </w:pPr>
          </w:p>
        </w:tc>
        <w:tc>
          <w:tcPr>
            <w:tcW w:w="1080" w:type="dxa"/>
            <w:tcBorders>
              <w:top w:val="single" w:color="auto" w:sz="4" w:space="0"/>
              <w:left w:val="nil"/>
              <w:bottom w:val="single" w:color="auto" w:sz="4" w:space="0"/>
              <w:right w:val="single" w:color="auto" w:sz="4" w:space="0"/>
            </w:tcBorders>
            <w:noWrap w:val="0"/>
            <w:vAlign w:val="bottom"/>
          </w:tcPr>
          <w:p w14:paraId="2F54CD81">
            <w:pPr>
              <w:rPr>
                <w:rFonts w:ascii="仿宋_GB2312" w:hAnsi="宋体" w:eastAsia="仿宋_GB2312" w:cs="Arial Unicode MS"/>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3DC1A35A">
            <w:pPr>
              <w:rPr>
                <w:rFonts w:ascii="仿宋_GB2312" w:hAnsi="宋体" w:eastAsia="仿宋_GB2312" w:cs="Arial Unicode MS"/>
                <w:szCs w:val="21"/>
              </w:rPr>
            </w:pPr>
          </w:p>
        </w:tc>
        <w:tc>
          <w:tcPr>
            <w:tcW w:w="144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F055B63">
            <w:pPr>
              <w:rPr>
                <w:rFonts w:ascii="仿宋_GB2312" w:hAnsi="宋体" w:eastAsia="仿宋_GB2312" w:cs="Arial Unicode MS"/>
                <w:szCs w:val="21"/>
              </w:rPr>
            </w:pPr>
          </w:p>
        </w:tc>
        <w:tc>
          <w:tcPr>
            <w:tcW w:w="1260" w:type="dxa"/>
            <w:tcBorders>
              <w:top w:val="single" w:color="auto" w:sz="4" w:space="0"/>
              <w:left w:val="nil"/>
              <w:bottom w:val="single" w:color="auto" w:sz="4" w:space="0"/>
              <w:right w:val="single" w:color="auto" w:sz="4" w:space="0"/>
            </w:tcBorders>
            <w:noWrap w:val="0"/>
            <w:vAlign w:val="top"/>
          </w:tcPr>
          <w:p w14:paraId="3A888E92">
            <w:pPr>
              <w:rPr>
                <w:rFonts w:hint="eastAsia" w:ascii="仿宋_GB2312" w:hAnsi="宋体" w:eastAsia="仿宋_GB2312"/>
                <w:szCs w:val="21"/>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E63DF70">
            <w:pPr>
              <w:rPr>
                <w:rFonts w:ascii="仿宋_GB2312" w:hAnsi="宋体" w:eastAsia="仿宋_GB2312" w:cs="Arial Unicode MS"/>
                <w:szCs w:val="21"/>
              </w:rPr>
            </w:pPr>
          </w:p>
        </w:tc>
        <w:tc>
          <w:tcPr>
            <w:tcW w:w="90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A72334D">
            <w:pPr>
              <w:rPr>
                <w:rFonts w:ascii="仿宋_GB2312" w:hAnsi="宋体" w:eastAsia="仿宋_GB2312" w:cs="Arial Unicode MS"/>
                <w:szCs w:val="21"/>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5618C42">
            <w:pPr>
              <w:rPr>
                <w:rFonts w:ascii="仿宋_GB2312" w:hAnsi="宋体" w:eastAsia="仿宋_GB2312" w:cs="Arial Unicode MS"/>
                <w:szCs w:val="21"/>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251C138F">
            <w:pPr>
              <w:rPr>
                <w:rFonts w:ascii="仿宋_GB2312" w:hAnsi="宋体" w:eastAsia="仿宋_GB2312" w:cs="Arial Unicode MS"/>
                <w:szCs w:val="21"/>
              </w:rPr>
            </w:pPr>
            <w:r>
              <w:rPr>
                <w:rFonts w:hint="eastAsia" w:ascii="仿宋_GB2312" w:hAnsi="宋体" w:eastAsia="仿宋_GB2312"/>
                <w:szCs w:val="21"/>
              </w:rPr>
              <w:t>非经营性往来/非经营性往来</w:t>
            </w:r>
          </w:p>
        </w:tc>
      </w:tr>
      <w:tr w14:paraId="043F0F73">
        <w:tblPrEx>
          <w:tblCellMar>
            <w:top w:w="0" w:type="dxa"/>
            <w:left w:w="0" w:type="dxa"/>
            <w:bottom w:w="0" w:type="dxa"/>
            <w:right w:w="0" w:type="dxa"/>
          </w:tblCellMar>
        </w:tblPrEx>
        <w:trPr>
          <w:wBefore w:w="0" w:type="dxa"/>
          <w:wAfter w:w="0" w:type="dxa"/>
          <w:trHeight w:val="300" w:hRule="atLeast"/>
        </w:trPr>
        <w:tc>
          <w:tcPr>
            <w:tcW w:w="1815" w:type="dxa"/>
            <w:tcBorders>
              <w:top w:val="nil"/>
              <w:left w:val="single" w:color="auto" w:sz="8" w:space="0"/>
              <w:bottom w:val="single" w:color="auto" w:sz="8" w:space="0"/>
              <w:right w:val="single" w:color="auto" w:sz="4" w:space="0"/>
            </w:tcBorders>
            <w:noWrap w:val="0"/>
            <w:tcMar>
              <w:top w:w="15" w:type="dxa"/>
              <w:left w:w="15" w:type="dxa"/>
              <w:bottom w:w="0" w:type="dxa"/>
              <w:right w:w="15" w:type="dxa"/>
            </w:tcMar>
            <w:vAlign w:val="bottom"/>
          </w:tcPr>
          <w:p w14:paraId="7BD51177">
            <w:pPr>
              <w:jc w:val="center"/>
              <w:rPr>
                <w:rFonts w:ascii="仿宋_GB2312" w:hAnsi="宋体" w:eastAsia="仿宋_GB2312" w:cs="Arial Unicode MS"/>
                <w:b/>
                <w:bCs/>
                <w:szCs w:val="21"/>
              </w:rPr>
            </w:pPr>
            <w:r>
              <w:rPr>
                <w:rFonts w:hint="eastAsia" w:ascii="仿宋_GB2312" w:hAnsi="宋体" w:eastAsia="仿宋_GB2312"/>
                <w:b/>
                <w:bCs/>
                <w:szCs w:val="21"/>
              </w:rPr>
              <w:t>总计</w:t>
            </w:r>
          </w:p>
        </w:tc>
        <w:tc>
          <w:tcPr>
            <w:tcW w:w="925" w:type="dxa"/>
            <w:tcBorders>
              <w:top w:val="nil"/>
              <w:left w:val="nil"/>
              <w:bottom w:val="single" w:color="auto" w:sz="8" w:space="0"/>
              <w:right w:val="single" w:color="auto" w:sz="4" w:space="0"/>
            </w:tcBorders>
            <w:noWrap w:val="0"/>
            <w:tcMar>
              <w:top w:w="15" w:type="dxa"/>
              <w:left w:w="15" w:type="dxa"/>
              <w:bottom w:w="0" w:type="dxa"/>
              <w:right w:w="15" w:type="dxa"/>
            </w:tcMar>
            <w:vAlign w:val="bottom"/>
          </w:tcPr>
          <w:p w14:paraId="2C685E5B">
            <w:pPr>
              <w:jc w:val="center"/>
              <w:rPr>
                <w:rFonts w:ascii="仿宋_GB2312" w:hAnsi="宋体" w:eastAsia="仿宋_GB2312" w:cs="Arial Unicode MS"/>
                <w:szCs w:val="21"/>
              </w:rPr>
            </w:pPr>
            <w:r>
              <w:rPr>
                <w:rFonts w:ascii="仿宋_GB2312" w:hAnsi="宋体" w:eastAsia="仿宋_GB2312"/>
                <w:szCs w:val="21"/>
              </w:rPr>
              <w:t>-</w:t>
            </w:r>
          </w:p>
        </w:tc>
        <w:tc>
          <w:tcPr>
            <w:tcW w:w="1235" w:type="dxa"/>
            <w:tcBorders>
              <w:top w:val="nil"/>
              <w:left w:val="nil"/>
              <w:bottom w:val="single" w:color="auto" w:sz="8" w:space="0"/>
              <w:right w:val="single" w:color="auto" w:sz="4" w:space="0"/>
            </w:tcBorders>
            <w:noWrap w:val="0"/>
            <w:tcMar>
              <w:top w:w="15" w:type="dxa"/>
              <w:left w:w="15" w:type="dxa"/>
              <w:bottom w:w="0" w:type="dxa"/>
              <w:right w:w="15" w:type="dxa"/>
            </w:tcMar>
            <w:vAlign w:val="bottom"/>
          </w:tcPr>
          <w:p w14:paraId="350C0F6D">
            <w:pPr>
              <w:jc w:val="center"/>
              <w:rPr>
                <w:rFonts w:ascii="仿宋_GB2312" w:hAnsi="宋体" w:eastAsia="仿宋_GB2312" w:cs="Arial Unicode MS"/>
                <w:szCs w:val="21"/>
              </w:rPr>
            </w:pPr>
            <w:r>
              <w:rPr>
                <w:rFonts w:ascii="仿宋_GB2312" w:hAnsi="宋体" w:eastAsia="仿宋_GB2312"/>
                <w:szCs w:val="21"/>
              </w:rPr>
              <w:t>-</w:t>
            </w:r>
          </w:p>
        </w:tc>
        <w:tc>
          <w:tcPr>
            <w:tcW w:w="1080" w:type="dxa"/>
            <w:tcBorders>
              <w:top w:val="single" w:color="auto" w:sz="4" w:space="0"/>
              <w:left w:val="nil"/>
              <w:bottom w:val="single" w:color="auto" w:sz="8" w:space="0"/>
              <w:right w:val="single" w:color="auto" w:sz="4" w:space="0"/>
            </w:tcBorders>
            <w:noWrap w:val="0"/>
            <w:vAlign w:val="bottom"/>
          </w:tcPr>
          <w:p w14:paraId="6AB584AE">
            <w:pPr>
              <w:jc w:val="center"/>
              <w:rPr>
                <w:rFonts w:ascii="仿宋_GB2312" w:hAnsi="宋体" w:eastAsia="仿宋_GB2312" w:cs="Arial Unicode MS"/>
                <w:szCs w:val="21"/>
              </w:rPr>
            </w:pPr>
            <w:r>
              <w:rPr>
                <w:rFonts w:ascii="仿宋_GB2312" w:hAnsi="宋体" w:eastAsia="仿宋_GB2312"/>
                <w:szCs w:val="21"/>
              </w:rPr>
              <w:t>-</w:t>
            </w:r>
          </w:p>
        </w:tc>
        <w:tc>
          <w:tcPr>
            <w:tcW w:w="1260" w:type="dxa"/>
            <w:tcBorders>
              <w:top w:val="nil"/>
              <w:left w:val="single" w:color="auto" w:sz="4" w:space="0"/>
              <w:bottom w:val="single" w:color="auto" w:sz="8" w:space="0"/>
              <w:right w:val="single" w:color="auto" w:sz="4" w:space="0"/>
            </w:tcBorders>
            <w:noWrap w:val="0"/>
            <w:tcMar>
              <w:top w:w="15" w:type="dxa"/>
              <w:left w:w="15" w:type="dxa"/>
              <w:bottom w:w="0" w:type="dxa"/>
              <w:right w:w="15" w:type="dxa"/>
            </w:tcMar>
            <w:vAlign w:val="bottom"/>
          </w:tcPr>
          <w:p w14:paraId="0481A82B">
            <w:pPr>
              <w:rPr>
                <w:rFonts w:ascii="仿宋_GB2312" w:hAnsi="宋体" w:eastAsia="仿宋_GB2312" w:cs="Arial Unicode MS"/>
                <w:szCs w:val="21"/>
              </w:rPr>
            </w:pPr>
          </w:p>
        </w:tc>
        <w:tc>
          <w:tcPr>
            <w:tcW w:w="1440" w:type="dxa"/>
            <w:tcBorders>
              <w:top w:val="nil"/>
              <w:left w:val="nil"/>
              <w:bottom w:val="single" w:color="auto" w:sz="8" w:space="0"/>
              <w:right w:val="single" w:color="auto" w:sz="4" w:space="0"/>
            </w:tcBorders>
            <w:noWrap w:val="0"/>
            <w:tcMar>
              <w:top w:w="15" w:type="dxa"/>
              <w:left w:w="15" w:type="dxa"/>
              <w:bottom w:w="0" w:type="dxa"/>
              <w:right w:w="15" w:type="dxa"/>
            </w:tcMar>
            <w:vAlign w:val="bottom"/>
          </w:tcPr>
          <w:p w14:paraId="073B5E74">
            <w:pPr>
              <w:rPr>
                <w:rFonts w:ascii="仿宋_GB2312" w:hAnsi="宋体" w:eastAsia="仿宋_GB2312" w:cs="Arial Unicode MS"/>
                <w:szCs w:val="21"/>
              </w:rPr>
            </w:pPr>
          </w:p>
        </w:tc>
        <w:tc>
          <w:tcPr>
            <w:tcW w:w="1260" w:type="dxa"/>
            <w:tcBorders>
              <w:top w:val="single" w:color="auto" w:sz="4" w:space="0"/>
              <w:left w:val="nil"/>
              <w:bottom w:val="single" w:color="auto" w:sz="8" w:space="0"/>
              <w:right w:val="single" w:color="auto" w:sz="4" w:space="0"/>
            </w:tcBorders>
            <w:noWrap w:val="0"/>
            <w:vAlign w:val="top"/>
          </w:tcPr>
          <w:p w14:paraId="44F0CEDB">
            <w:pPr>
              <w:rPr>
                <w:rFonts w:hint="eastAsia" w:ascii="仿宋_GB2312" w:hAnsi="宋体" w:eastAsia="仿宋_GB2312"/>
                <w:szCs w:val="21"/>
              </w:rPr>
            </w:pPr>
          </w:p>
        </w:tc>
        <w:tc>
          <w:tcPr>
            <w:tcW w:w="1260" w:type="dxa"/>
            <w:tcBorders>
              <w:top w:val="nil"/>
              <w:left w:val="single" w:color="auto" w:sz="4" w:space="0"/>
              <w:bottom w:val="single" w:color="auto" w:sz="8" w:space="0"/>
              <w:right w:val="single" w:color="auto" w:sz="4" w:space="0"/>
            </w:tcBorders>
            <w:noWrap w:val="0"/>
            <w:tcMar>
              <w:top w:w="15" w:type="dxa"/>
              <w:left w:w="15" w:type="dxa"/>
              <w:bottom w:w="0" w:type="dxa"/>
              <w:right w:w="15" w:type="dxa"/>
            </w:tcMar>
            <w:vAlign w:val="bottom"/>
          </w:tcPr>
          <w:p w14:paraId="36C62B60">
            <w:pPr>
              <w:rPr>
                <w:rFonts w:ascii="仿宋_GB2312" w:hAnsi="宋体" w:eastAsia="仿宋_GB2312" w:cs="Arial Unicode MS"/>
                <w:szCs w:val="21"/>
              </w:rPr>
            </w:pPr>
          </w:p>
        </w:tc>
        <w:tc>
          <w:tcPr>
            <w:tcW w:w="900" w:type="dxa"/>
            <w:tcBorders>
              <w:top w:val="nil"/>
              <w:left w:val="single" w:color="auto" w:sz="4" w:space="0"/>
              <w:bottom w:val="single" w:color="auto" w:sz="8" w:space="0"/>
              <w:right w:val="single" w:color="auto" w:sz="4" w:space="0"/>
            </w:tcBorders>
            <w:noWrap w:val="0"/>
            <w:tcMar>
              <w:top w:w="15" w:type="dxa"/>
              <w:left w:w="15" w:type="dxa"/>
              <w:bottom w:w="0" w:type="dxa"/>
              <w:right w:w="15" w:type="dxa"/>
            </w:tcMar>
            <w:vAlign w:val="bottom"/>
          </w:tcPr>
          <w:p w14:paraId="3041D317">
            <w:pPr>
              <w:rPr>
                <w:rFonts w:ascii="仿宋_GB2312" w:hAnsi="宋体" w:eastAsia="仿宋_GB2312" w:cs="Arial Unicode MS"/>
                <w:szCs w:val="21"/>
              </w:rPr>
            </w:pPr>
          </w:p>
        </w:tc>
        <w:tc>
          <w:tcPr>
            <w:tcW w:w="720" w:type="dxa"/>
            <w:tcBorders>
              <w:top w:val="nil"/>
              <w:left w:val="nil"/>
              <w:bottom w:val="single" w:color="auto" w:sz="8" w:space="0"/>
              <w:right w:val="single" w:color="auto" w:sz="4" w:space="0"/>
            </w:tcBorders>
            <w:noWrap w:val="0"/>
            <w:tcMar>
              <w:top w:w="15" w:type="dxa"/>
              <w:left w:w="15" w:type="dxa"/>
              <w:bottom w:w="0" w:type="dxa"/>
              <w:right w:w="15" w:type="dxa"/>
            </w:tcMar>
            <w:vAlign w:val="bottom"/>
          </w:tcPr>
          <w:p w14:paraId="56E02972">
            <w:pPr>
              <w:jc w:val="center"/>
              <w:rPr>
                <w:rFonts w:ascii="仿宋_GB2312" w:hAnsi="宋体" w:eastAsia="仿宋_GB2312" w:cs="Arial Unicode MS"/>
                <w:szCs w:val="21"/>
              </w:rPr>
            </w:pPr>
            <w:r>
              <w:rPr>
                <w:rFonts w:ascii="仿宋_GB2312" w:hAnsi="宋体" w:eastAsia="仿宋_GB2312"/>
                <w:szCs w:val="21"/>
              </w:rPr>
              <w:t>-</w:t>
            </w:r>
          </w:p>
        </w:tc>
        <w:tc>
          <w:tcPr>
            <w:tcW w:w="1440" w:type="dxa"/>
            <w:tcBorders>
              <w:top w:val="nil"/>
              <w:left w:val="nil"/>
              <w:bottom w:val="single" w:color="auto" w:sz="8" w:space="0"/>
              <w:right w:val="single" w:color="auto" w:sz="8" w:space="0"/>
            </w:tcBorders>
            <w:noWrap w:val="0"/>
            <w:tcMar>
              <w:top w:w="15" w:type="dxa"/>
              <w:left w:w="15" w:type="dxa"/>
              <w:bottom w:w="0" w:type="dxa"/>
              <w:right w:w="15" w:type="dxa"/>
            </w:tcMar>
            <w:vAlign w:val="bottom"/>
          </w:tcPr>
          <w:p w14:paraId="391AFEE5">
            <w:pPr>
              <w:jc w:val="center"/>
              <w:rPr>
                <w:rFonts w:ascii="仿宋_GB2312" w:hAnsi="宋体" w:eastAsia="仿宋_GB2312" w:cs="Arial Unicode MS"/>
                <w:szCs w:val="21"/>
              </w:rPr>
            </w:pPr>
            <w:r>
              <w:rPr>
                <w:rFonts w:ascii="仿宋_GB2312" w:hAnsi="宋体" w:eastAsia="仿宋_GB2312"/>
                <w:szCs w:val="21"/>
              </w:rPr>
              <w:t>-</w:t>
            </w:r>
          </w:p>
        </w:tc>
      </w:tr>
    </w:tbl>
    <w:p w14:paraId="316A343E">
      <w:pPr>
        <w:ind w:firstLine="600" w:firstLineChars="200"/>
        <w:rPr>
          <w:rFonts w:ascii="仿宋_GB2312" w:eastAsia="仿宋_GB2312"/>
          <w:sz w:val="30"/>
          <w:szCs w:val="30"/>
        </w:rPr>
        <w:sectPr>
          <w:footerReference r:id="rId3" w:type="default"/>
          <w:footerReference r:id="rId4" w:type="even"/>
          <w:pgSz w:w="16838" w:h="11906" w:orient="landscape"/>
          <w:pgMar w:top="1797" w:right="1440" w:bottom="1797" w:left="1440" w:header="851" w:footer="992" w:gutter="0"/>
          <w:cols w:space="425" w:num="1"/>
          <w:docGrid w:type="linesAndChars" w:linePitch="312" w:charSpace="0"/>
        </w:sectPr>
      </w:pPr>
    </w:p>
    <w:p w14:paraId="60FC1BBC">
      <w:pPr>
        <w:ind w:firstLine="480" w:firstLineChars="200"/>
        <w:rPr>
          <w:rFonts w:hint="eastAsia" w:ascii="仿宋_GB2312" w:eastAsia="仿宋_GB2312"/>
          <w:sz w:val="24"/>
        </w:rPr>
      </w:pPr>
      <w:r>
        <w:rPr>
          <w:rFonts w:hint="eastAsia" w:ascii="仿宋_GB2312" w:eastAsia="仿宋_GB2312"/>
          <w:sz w:val="24"/>
        </w:rPr>
        <w:t>填表说明：</w:t>
      </w:r>
    </w:p>
    <w:p w14:paraId="4B4DC1D3">
      <w:pPr>
        <w:ind w:firstLine="480" w:firstLineChars="200"/>
        <w:rPr>
          <w:rFonts w:hint="eastAsia" w:ascii="仿宋_GB2312" w:eastAsia="仿宋_GB2312"/>
          <w:sz w:val="24"/>
        </w:rPr>
      </w:pP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r>
        <w:rPr>
          <w:rFonts w:hint="eastAsia" w:ascii="仿宋_GB2312" w:eastAsia="仿宋_GB2312"/>
          <w:sz w:val="24"/>
        </w:rPr>
        <w:tab/>
      </w:r>
    </w:p>
    <w:p w14:paraId="71AD110E">
      <w:pPr>
        <w:ind w:firstLine="480" w:firstLineChars="200"/>
        <w:rPr>
          <w:rFonts w:hint="eastAsia" w:ascii="仿宋_GB2312" w:eastAsia="仿宋_GB2312"/>
          <w:sz w:val="24"/>
        </w:rPr>
      </w:pPr>
      <w:r>
        <w:rPr>
          <w:rFonts w:hint="eastAsia" w:ascii="仿宋_GB2312" w:eastAsia="仿宋_GB2312"/>
          <w:sz w:val="24"/>
        </w:rPr>
        <w:t>1、上市公司20</w:t>
      </w:r>
      <w:r>
        <w:rPr>
          <w:rFonts w:ascii="仿宋_GB2312" w:eastAsia="仿宋_GB2312"/>
          <w:sz w:val="24"/>
        </w:rPr>
        <w:t>X</w:t>
      </w:r>
      <w:r>
        <w:rPr>
          <w:rFonts w:hint="eastAsia" w:ascii="仿宋_GB2312" w:eastAsia="仿宋_GB2312"/>
          <w:sz w:val="24"/>
        </w:rPr>
        <w:t>X年期初存在非经营性资金占用和资金往来的（20</w:t>
      </w:r>
      <w:r>
        <w:rPr>
          <w:rFonts w:ascii="仿宋_GB2312" w:eastAsia="仿宋_GB2312"/>
          <w:sz w:val="24"/>
        </w:rPr>
        <w:t>X</w:t>
      </w:r>
      <w:r>
        <w:rPr>
          <w:rFonts w:hint="eastAsia" w:ascii="仿宋_GB2312" w:eastAsia="仿宋_GB2312"/>
          <w:sz w:val="24"/>
        </w:rPr>
        <w:t>X年期初相关会计科目存在借方余额），以及20</w:t>
      </w:r>
      <w:r>
        <w:rPr>
          <w:rFonts w:ascii="仿宋_GB2312" w:eastAsia="仿宋_GB2312"/>
          <w:sz w:val="24"/>
        </w:rPr>
        <w:t>X</w:t>
      </w:r>
      <w:r>
        <w:rPr>
          <w:rFonts w:hint="eastAsia" w:ascii="仿宋_GB2312" w:eastAsia="仿宋_GB2312"/>
          <w:sz w:val="24"/>
        </w:rPr>
        <w:t>X年度新出现非经营性资金占用和资金往来情形的（20</w:t>
      </w:r>
      <w:r>
        <w:rPr>
          <w:rFonts w:ascii="仿宋_GB2312" w:eastAsia="仿宋_GB2312"/>
          <w:sz w:val="24"/>
        </w:rPr>
        <w:t>X</w:t>
      </w:r>
      <w:r>
        <w:rPr>
          <w:rFonts w:hint="eastAsia" w:ascii="仿宋_GB2312" w:eastAsia="仿宋_GB2312"/>
          <w:sz w:val="24"/>
        </w:rPr>
        <w:t>X年度相关会计科目存在借方发生额），应当填写“汇总表”。</w:t>
      </w:r>
    </w:p>
    <w:p w14:paraId="186C12D7">
      <w:pPr>
        <w:ind w:firstLine="480" w:firstLineChars="200"/>
        <w:rPr>
          <w:rFonts w:hint="eastAsia" w:ascii="仿宋_GB2312" w:eastAsia="仿宋_GB2312"/>
          <w:sz w:val="24"/>
        </w:rPr>
      </w:pPr>
      <w:r>
        <w:rPr>
          <w:rFonts w:hint="eastAsia" w:ascii="仿宋_GB2312" w:eastAsia="仿宋_GB2312"/>
          <w:sz w:val="24"/>
        </w:rPr>
        <w:t>2、“控股股东、实际控制人及其附属企业”包括“现控股股东、实际控制人及其附属企业”和“前控股股东、实际控制人及其附属企业”。</w:t>
      </w:r>
    </w:p>
    <w:p w14:paraId="135B7D73">
      <w:pPr>
        <w:ind w:firstLine="480" w:firstLineChars="200"/>
        <w:rPr>
          <w:rFonts w:hint="eastAsia" w:ascii="仿宋_GB2312" w:eastAsia="仿宋_GB2312"/>
          <w:sz w:val="24"/>
        </w:rPr>
      </w:pPr>
      <w:r>
        <w:rPr>
          <w:rFonts w:hint="eastAsia" w:ascii="仿宋_GB2312" w:eastAsia="仿宋_GB2312"/>
          <w:sz w:val="24"/>
        </w:rPr>
        <w:t>3、“上市公司的子公司及其附属企业”包括以下几种情形：</w:t>
      </w:r>
    </w:p>
    <w:p w14:paraId="7762B208">
      <w:pPr>
        <w:ind w:firstLine="480" w:firstLineChars="200"/>
        <w:rPr>
          <w:rFonts w:hint="eastAsia" w:ascii="仿宋_GB2312" w:eastAsia="仿宋_GB2312"/>
          <w:sz w:val="24"/>
        </w:rPr>
      </w:pPr>
      <w:r>
        <w:rPr>
          <w:rFonts w:hint="eastAsia" w:ascii="仿宋_GB2312" w:eastAsia="仿宋_GB2312"/>
          <w:sz w:val="24"/>
        </w:rPr>
        <w:t>（1）子公司及其控制的法人；</w:t>
      </w:r>
    </w:p>
    <w:p w14:paraId="010840D7">
      <w:pPr>
        <w:ind w:firstLine="480" w:firstLineChars="200"/>
        <w:rPr>
          <w:rFonts w:hint="eastAsia" w:ascii="仿宋_GB2312" w:eastAsia="仿宋_GB2312"/>
          <w:sz w:val="24"/>
        </w:rPr>
      </w:pPr>
      <w:r>
        <w:rPr>
          <w:rFonts w:hint="eastAsia" w:ascii="仿宋_GB2312" w:eastAsia="仿宋_GB2312"/>
          <w:sz w:val="24"/>
        </w:rPr>
        <w:t>（2）上市公司的其他附属企业。</w:t>
      </w:r>
    </w:p>
    <w:p w14:paraId="6EC6CF8C">
      <w:pPr>
        <w:ind w:firstLine="480" w:firstLineChars="200"/>
        <w:rPr>
          <w:rFonts w:hint="eastAsia" w:ascii="仿宋_GB2312" w:eastAsia="仿宋_GB2312"/>
          <w:sz w:val="24"/>
        </w:rPr>
      </w:pPr>
      <w:r>
        <w:rPr>
          <w:rFonts w:hint="eastAsia" w:ascii="仿宋_GB2312" w:eastAsia="仿宋_GB2312"/>
          <w:sz w:val="24"/>
        </w:rPr>
        <w:t>4、“关联自然人”包括《上海证券交易所科创板股票上市规则》（以下简称《科创板上市规则》）第</w:t>
      </w:r>
      <w:r>
        <w:rPr>
          <w:rFonts w:ascii="仿宋_GB2312" w:eastAsia="仿宋_GB2312"/>
          <w:sz w:val="24"/>
        </w:rPr>
        <w:t>15.1</w:t>
      </w:r>
      <w:r>
        <w:rPr>
          <w:rFonts w:hint="eastAsia" w:ascii="仿宋_GB2312" w:eastAsia="仿宋_GB2312"/>
          <w:sz w:val="24"/>
        </w:rPr>
        <w:t>条认定的关联自然人。若关联自然人同时是上市公司控股股东或实际控制人的，相关资金占用情况应当在“控股股东、实际控制人及其附属企业”占用资金中反映。</w:t>
      </w:r>
    </w:p>
    <w:p w14:paraId="7FD33232">
      <w:pPr>
        <w:ind w:firstLine="480" w:firstLineChars="200"/>
        <w:rPr>
          <w:rFonts w:hint="eastAsia" w:ascii="仿宋_GB2312" w:eastAsia="仿宋_GB2312"/>
          <w:sz w:val="24"/>
        </w:rPr>
      </w:pPr>
      <w:r>
        <w:rPr>
          <w:rFonts w:hint="eastAsia" w:ascii="仿宋_GB2312" w:eastAsia="仿宋_GB2312"/>
          <w:sz w:val="24"/>
        </w:rPr>
        <w:t>5、“其他关联方及其附属企业”包括《科创板上市规则》第</w:t>
      </w:r>
      <w:r>
        <w:rPr>
          <w:rFonts w:ascii="仿宋_GB2312" w:eastAsia="仿宋_GB2312"/>
          <w:sz w:val="24"/>
        </w:rPr>
        <w:t>15.1</w:t>
      </w:r>
      <w:r>
        <w:rPr>
          <w:rFonts w:hint="eastAsia" w:ascii="仿宋_GB2312" w:eastAsia="仿宋_GB2312"/>
          <w:sz w:val="24"/>
        </w:rPr>
        <w:t>条认定的关联法人，包括但不限于：</w:t>
      </w:r>
    </w:p>
    <w:p w14:paraId="4EBC0A50">
      <w:pPr>
        <w:ind w:firstLine="480" w:firstLineChars="200"/>
        <w:rPr>
          <w:rFonts w:ascii="仿宋_GB2312" w:eastAsia="仿宋_GB2312"/>
          <w:sz w:val="24"/>
        </w:rPr>
      </w:pPr>
      <w:r>
        <w:rPr>
          <w:rFonts w:hint="eastAsia" w:ascii="仿宋_GB2312" w:eastAsia="仿宋_GB2312"/>
          <w:sz w:val="24"/>
        </w:rPr>
        <w:t>（1）直接或者间接持有上市公司5%以上股份的法人或其他组织；</w:t>
      </w:r>
    </w:p>
    <w:p w14:paraId="1145F334">
      <w:pPr>
        <w:ind w:firstLine="480" w:firstLineChars="200"/>
        <w:rPr>
          <w:rFonts w:ascii="仿宋_GB2312" w:eastAsia="仿宋_GB2312"/>
          <w:sz w:val="24"/>
        </w:rPr>
      </w:pPr>
      <w:r>
        <w:rPr>
          <w:rFonts w:hint="eastAsia" w:ascii="仿宋_GB2312" w:eastAsia="仿宋_GB2312"/>
          <w:sz w:val="24"/>
        </w:rPr>
        <w:t>（2）由《科创板上市规则》第</w:t>
      </w:r>
      <w:r>
        <w:rPr>
          <w:rFonts w:ascii="仿宋_GB2312" w:eastAsia="仿宋_GB2312"/>
          <w:sz w:val="24"/>
        </w:rPr>
        <w:t>15.1条第</w:t>
      </w:r>
      <w:r>
        <w:rPr>
          <w:rFonts w:hint="eastAsia" w:ascii="仿宋_GB2312" w:eastAsia="仿宋_GB2312"/>
          <w:sz w:val="24"/>
        </w:rPr>
        <w:t>（十五）项第1目至第6目所列关联法人或关联自然人直接或者间接控制的，或者由前述关联自然人（独立董事除外）担任董事、高级管理人员的法人或其他组织，但上市公司及其控股子公司除外；</w:t>
      </w:r>
    </w:p>
    <w:p w14:paraId="60B09465">
      <w:pPr>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）中国证监会、本所或者上市公司根据实质重于形式原则认定的其他与上市公司有特殊关系，可能导致上市公司利益对其倾斜的自然人、法人或其他组织；</w:t>
      </w:r>
    </w:p>
    <w:p w14:paraId="3412B7A4">
      <w:pPr>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）在交易发生之日前12个月内，或相关交易协议生效或安排实施后12个月内，具有《科创板上市规则》第</w:t>
      </w:r>
      <w:r>
        <w:rPr>
          <w:rFonts w:ascii="仿宋_GB2312" w:eastAsia="仿宋_GB2312"/>
          <w:sz w:val="24"/>
        </w:rPr>
        <w:t>15.1条第</w:t>
      </w:r>
      <w:r>
        <w:rPr>
          <w:rFonts w:hint="eastAsia" w:ascii="仿宋_GB2312" w:eastAsia="仿宋_GB2312"/>
          <w:sz w:val="24"/>
        </w:rPr>
        <w:t>（十五）项所列情形之一的法人、其他组织；</w:t>
      </w:r>
    </w:p>
    <w:p w14:paraId="338AA852">
      <w:pPr>
        <w:ind w:firstLine="480" w:firstLineChars="200"/>
        <w:rPr>
          <w:rFonts w:hint="eastAsia" w:ascii="仿宋_GB2312" w:eastAsia="仿宋_GB2312"/>
          <w:sz w:val="24"/>
        </w:rPr>
      </w:pPr>
      <w:r>
        <w:rPr>
          <w:rFonts w:hint="eastAsia" w:ascii="仿宋_GB2312" w:eastAsia="仿宋_GB2312"/>
          <w:sz w:val="24"/>
        </w:rPr>
        <w:t>6、会计科目包括但不限于：（1）应收账款；（2）其他应收款；（3）预付款项；（4）应收票据；（5）其他反映占用实质的会计科目等。在其他会计科目，如应付账款、其他应付款等科目借方核算占用资金或其他资金往来的，其借方金额应当在表格中按正数填列，并在“上市公司核算的会计科目”一栏中填列为“其他会计科目”。</w:t>
      </w:r>
    </w:p>
    <w:p w14:paraId="6FE17B68">
      <w:pPr>
        <w:ind w:firstLine="480" w:firstLineChars="200"/>
        <w:rPr>
          <w:rFonts w:hint="eastAsia" w:ascii="仿宋_GB2312" w:eastAsia="仿宋_GB2312"/>
          <w:sz w:val="24"/>
        </w:rPr>
      </w:pPr>
      <w:r>
        <w:rPr>
          <w:rFonts w:hint="eastAsia" w:ascii="仿宋_GB2312" w:eastAsia="仿宋_GB2312"/>
          <w:sz w:val="24"/>
        </w:rPr>
        <w:t>7、其他资金往来中，“控股股东、实际控制人及其附属企业”只需要填写其与上市公司之间的经营性资金往来；“上市公司的子公司及其附属企业”、“关联自然人”和“其它关联方及其附属企业”只需要填写其与上市公司之间非经营性资金往来。上市公司先向有关关联人借入资金，其后向该债权人归还资金的，不需要在汇总表中反映。</w:t>
      </w:r>
    </w:p>
    <w:p w14:paraId="45CF3029">
      <w:pPr>
        <w:ind w:firstLine="480" w:firstLineChars="200"/>
        <w:rPr>
          <w:rFonts w:hint="eastAsia" w:ascii="仿宋_GB2312" w:eastAsia="仿宋_GB2312"/>
          <w:sz w:val="24"/>
        </w:rPr>
      </w:pPr>
      <w:r>
        <w:rPr>
          <w:rFonts w:hint="eastAsia" w:ascii="仿宋_GB2312" w:eastAsia="仿宋_GB2312"/>
          <w:sz w:val="24"/>
        </w:rPr>
        <w:t>8、在上述表格中，除“上市公司的子公司及其附属企业”一项外，其他项目中的“上市公司”应包括上市公司以及上市公司控制的企业。</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3AF3">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lang/>
      </w:rPr>
      <w:t>3</w:t>
    </w:r>
    <w:r>
      <w:rPr>
        <w:rStyle w:val="9"/>
      </w:rPr>
      <w:fldChar w:fldCharType="end"/>
    </w:r>
  </w:p>
  <w:p w14:paraId="016A58D3">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8A19">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3A865122">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A2"/>
    <w:rsid w:val="0000091E"/>
    <w:rsid w:val="00064EF2"/>
    <w:rsid w:val="00071427"/>
    <w:rsid w:val="000C0470"/>
    <w:rsid w:val="00101552"/>
    <w:rsid w:val="00112DC7"/>
    <w:rsid w:val="001C45A7"/>
    <w:rsid w:val="00225546"/>
    <w:rsid w:val="00256F79"/>
    <w:rsid w:val="00285769"/>
    <w:rsid w:val="003D12B4"/>
    <w:rsid w:val="003D41B1"/>
    <w:rsid w:val="004678A9"/>
    <w:rsid w:val="00467FDD"/>
    <w:rsid w:val="004816ED"/>
    <w:rsid w:val="004B6DC0"/>
    <w:rsid w:val="004E52A5"/>
    <w:rsid w:val="00546A60"/>
    <w:rsid w:val="00557162"/>
    <w:rsid w:val="0055716F"/>
    <w:rsid w:val="00586482"/>
    <w:rsid w:val="00595691"/>
    <w:rsid w:val="005A360C"/>
    <w:rsid w:val="005F0AB4"/>
    <w:rsid w:val="00643AC2"/>
    <w:rsid w:val="00663A75"/>
    <w:rsid w:val="006A17B5"/>
    <w:rsid w:val="006B2B7C"/>
    <w:rsid w:val="006B7FF2"/>
    <w:rsid w:val="006C76C5"/>
    <w:rsid w:val="006D5DBB"/>
    <w:rsid w:val="00731FAF"/>
    <w:rsid w:val="007C05EB"/>
    <w:rsid w:val="007D4583"/>
    <w:rsid w:val="007F645F"/>
    <w:rsid w:val="008156EA"/>
    <w:rsid w:val="00831347"/>
    <w:rsid w:val="008640CD"/>
    <w:rsid w:val="008E149A"/>
    <w:rsid w:val="00910826"/>
    <w:rsid w:val="0093100A"/>
    <w:rsid w:val="009642AE"/>
    <w:rsid w:val="009C3E82"/>
    <w:rsid w:val="009C7851"/>
    <w:rsid w:val="00A0424D"/>
    <w:rsid w:val="00A41543"/>
    <w:rsid w:val="00A45E56"/>
    <w:rsid w:val="00A541DA"/>
    <w:rsid w:val="00A84A30"/>
    <w:rsid w:val="00AA20A8"/>
    <w:rsid w:val="00B2703C"/>
    <w:rsid w:val="00B67390"/>
    <w:rsid w:val="00BA2FA2"/>
    <w:rsid w:val="00BF0790"/>
    <w:rsid w:val="00C03E05"/>
    <w:rsid w:val="00C2605E"/>
    <w:rsid w:val="00C70998"/>
    <w:rsid w:val="00C760D4"/>
    <w:rsid w:val="00CE59D8"/>
    <w:rsid w:val="00D1471C"/>
    <w:rsid w:val="00D42660"/>
    <w:rsid w:val="00D51BD7"/>
    <w:rsid w:val="00D66984"/>
    <w:rsid w:val="00DB38B2"/>
    <w:rsid w:val="00E004A5"/>
    <w:rsid w:val="00E1507A"/>
    <w:rsid w:val="00E81C2E"/>
    <w:rsid w:val="00EE1744"/>
    <w:rsid w:val="00EE7AA9"/>
    <w:rsid w:val="00EF2CA0"/>
    <w:rsid w:val="00FF46DB"/>
    <w:rsid w:val="00FF4F7B"/>
    <w:rsid w:val="00FF781B"/>
    <w:rsid w:val="279136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annotation text"/>
    <w:basedOn w:val="1"/>
    <w:semiHidden/>
    <w:uiPriority w:val="0"/>
    <w:pPr>
      <w:jc w:val="left"/>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uiPriority w:val="0"/>
    <w:rPr>
      <w:b/>
      <w:bCs/>
    </w:rPr>
  </w:style>
  <w:style w:type="character" w:styleId="9">
    <w:name w:val="page number"/>
    <w:basedOn w:val="8"/>
    <w:uiPriority w:val="0"/>
  </w:style>
  <w:style w:type="character" w:styleId="10">
    <w:name w:val="annotation reference"/>
    <w:semiHidden/>
    <w:uiPriority w:val="0"/>
    <w:rPr>
      <w:sz w:val="21"/>
      <w:szCs w:val="21"/>
    </w:rPr>
  </w:style>
  <w:style w:type="character" w:customStyle="1" w:styleId="11">
    <w:name w:val="页眉 Char"/>
    <w:link w:val="5"/>
    <w:uiPriority w:val="0"/>
    <w:rPr>
      <w:kern w:val="2"/>
      <w:sz w:val="18"/>
      <w:szCs w:val="18"/>
    </w:rPr>
  </w:style>
  <w:style w:type="paragraph" w:styleId="12">
    <w:name w:val=""/>
    <w:hidden/>
    <w:semiHidden/>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918</Words>
  <Characters>955</Characters>
  <Lines>68</Lines>
  <Paragraphs>45</Paragraphs>
  <TotalTime>0</TotalTime>
  <ScaleCrop>false</ScaleCrop>
  <LinksUpToDate>false</LinksUpToDate>
  <CharactersWithSpaces>1828</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2025-04-02T03:54:00Z</dcterms:created>
  <dc:creator>zhuang</dc:creator>
  <cp:lastModifiedBy>黄文怡</cp:lastModifiedBy>
  <cp:lastPrinted>2012-01-16T06:10:00Z</cp:lastPrinted>
  <dcterms:modified xsi:type="dcterms:W3CDTF">2025-04-25T09:01:43Z</dcterms:modified>
  <dc:title>2011年年度报告工作备忘录(第X号)：上市公司非经营性资金占用及其他关联资金往来的专项说明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77C3C9BC1F1C4763AFD6BAA62BAABEFB_13</vt:lpwstr>
  </property>
</Properties>
</file>