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994AB">
      <w:pPr>
        <w:pStyle w:val="2"/>
        <w:spacing w:before="0" w:after="0" w:line="600" w:lineRule="exact"/>
        <w:jc w:val="center"/>
        <w:rPr>
          <w:rFonts w:ascii="黑体" w:hAnsi="黑体" w:eastAsia="黑体"/>
          <w:sz w:val="36"/>
          <w:szCs w:val="36"/>
        </w:rPr>
      </w:pPr>
      <w:bookmarkStart w:id="0" w:name="_GoBack"/>
      <w:bookmarkEnd w:id="0"/>
      <w:r>
        <w:rPr>
          <w:rFonts w:hint="eastAsia" w:ascii="黑体" w:hAnsi="黑体" w:eastAsia="黑体"/>
          <w:sz w:val="36"/>
          <w:szCs w:val="36"/>
        </w:rPr>
        <w:t>第七号 科创板上市公司签订战略框架协议公告</w:t>
      </w:r>
    </w:p>
    <w:p w14:paraId="5CD03A9D">
      <w:pPr>
        <w:adjustRightInd w:val="0"/>
        <w:snapToGrid w:val="0"/>
        <w:spacing w:line="600" w:lineRule="exact"/>
        <w:rPr>
          <w:rFonts w:ascii="仿宋_GB2312" w:eastAsia="仿宋_GB2312"/>
          <w:sz w:val="30"/>
          <w:szCs w:val="30"/>
        </w:rPr>
      </w:pPr>
    </w:p>
    <w:p w14:paraId="09EA6E22">
      <w:pPr>
        <w:adjustRightInd w:val="0"/>
        <w:snapToGrid w:val="0"/>
        <w:spacing w:line="600" w:lineRule="exact"/>
        <w:rPr>
          <w:rFonts w:ascii="仿宋_GB2312" w:hAnsi="宋体" w:eastAsia="仿宋_GB2312"/>
          <w:b/>
          <w:sz w:val="30"/>
          <w:szCs w:val="30"/>
        </w:rPr>
      </w:pPr>
      <w:r>
        <w:rPr>
          <w:rFonts w:hint="eastAsia" w:ascii="仿宋_GB2312" w:hAnsi="宋体" w:eastAsia="仿宋_GB2312"/>
          <w:b/>
          <w:sz w:val="30"/>
          <w:szCs w:val="30"/>
        </w:rPr>
        <w:t>适用情形：</w:t>
      </w:r>
    </w:p>
    <w:p w14:paraId="7D1C7328">
      <w:pPr>
        <w:adjustRightInd w:val="0"/>
        <w:snapToGrid w:val="0"/>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1.科创板</w:t>
      </w:r>
      <w:r>
        <w:rPr>
          <w:rFonts w:hint="eastAsia" w:ascii="仿宋_GB2312" w:hAnsi="宋体" w:eastAsia="仿宋_GB2312"/>
          <w:sz w:val="30"/>
          <w:szCs w:val="30"/>
        </w:rPr>
        <w:t>上市公司（以下简称上市公司）签订战略框架协议未达到本所业务规则披露标准，但公司自愿披露的，应当在协议签订后及时履行信息披露义务，适用本公告格式指引</w:t>
      </w:r>
      <w:r>
        <w:rPr>
          <w:rFonts w:hint="eastAsia" w:ascii="仿宋_GB2312" w:hAnsi="宋体" w:eastAsia="仿宋_GB2312"/>
          <w:bCs/>
          <w:sz w:val="30"/>
          <w:szCs w:val="30"/>
        </w:rPr>
        <w:t>。前述战略框架协议，指上市公司与协议对方经初步磋商，在对合作方式、领域达成初步意向，但未明确具体权利义务、分配方案、退出机制、违约责任等事项的情况下，签订的基础性协议、备忘录等文件。</w:t>
      </w:r>
    </w:p>
    <w:p w14:paraId="09647E0D">
      <w:pPr>
        <w:adjustRightInd w:val="0"/>
        <w:snapToGrid w:val="0"/>
        <w:spacing w:line="600" w:lineRule="exact"/>
        <w:ind w:firstLine="600" w:firstLineChars="200"/>
        <w:jc w:val="left"/>
        <w:rPr>
          <w:rFonts w:ascii="仿宋_GB2312" w:hAnsi="宋体" w:eastAsia="仿宋_GB2312"/>
          <w:sz w:val="30"/>
          <w:szCs w:val="30"/>
        </w:rPr>
      </w:pPr>
      <w:r>
        <w:rPr>
          <w:rFonts w:hint="eastAsia" w:ascii="仿宋_GB2312" w:hAnsi="宋体" w:eastAsia="仿宋_GB2312"/>
          <w:bCs/>
          <w:sz w:val="30"/>
          <w:szCs w:val="30"/>
        </w:rPr>
        <w:t>2.上市公司签订战略框架协议已达</w:t>
      </w:r>
      <w:r>
        <w:rPr>
          <w:rFonts w:hint="eastAsia" w:ascii="仿宋_GB2312" w:hAnsi="宋体" w:eastAsia="仿宋_GB2312"/>
          <w:sz w:val="30"/>
          <w:szCs w:val="30"/>
        </w:rPr>
        <w:t>到本所业务规则披露标准，但不适用其他公告类别的，</w:t>
      </w:r>
      <w:r>
        <w:rPr>
          <w:rFonts w:hint="eastAsia" w:ascii="仿宋_GB2312" w:hAnsi="宋体" w:eastAsia="仿宋_GB2312"/>
          <w:bCs/>
          <w:sz w:val="30"/>
          <w:szCs w:val="30"/>
        </w:rPr>
        <w:t>适用本公告格式指引</w:t>
      </w:r>
      <w:r>
        <w:rPr>
          <w:rFonts w:hint="eastAsia" w:ascii="仿宋_GB2312" w:hAnsi="宋体" w:eastAsia="仿宋_GB2312"/>
          <w:sz w:val="30"/>
          <w:szCs w:val="30"/>
        </w:rPr>
        <w:t>。</w:t>
      </w:r>
    </w:p>
    <w:p w14:paraId="7B6FB36B">
      <w:pPr>
        <w:adjustRightInd w:val="0"/>
        <w:snapToGri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3.上市公司签订的框架协议未达到披露标准，但有市场传闻或媒体报道，且相关传闻可能对投资决策或者公司股票交易产生较大影响的，适用本公告格式指引。</w:t>
      </w:r>
    </w:p>
    <w:p w14:paraId="65ADF3CE">
      <w:pPr>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sz w:val="30"/>
          <w:szCs w:val="30"/>
        </w:rPr>
        <w:t>4.</w:t>
      </w:r>
      <w:r>
        <w:rPr>
          <w:rFonts w:hint="eastAsia" w:ascii="仿宋_GB2312" w:hAnsi="宋体" w:eastAsia="仿宋_GB2312"/>
          <w:color w:val="000000"/>
          <w:sz w:val="30"/>
          <w:szCs w:val="30"/>
        </w:rPr>
        <w:t>如</w:t>
      </w:r>
      <w:r>
        <w:rPr>
          <w:rFonts w:hint="eastAsia" w:ascii="Calibri" w:hAnsi="Calibri" w:eastAsia="仿宋_GB2312"/>
          <w:sz w:val="30"/>
          <w:szCs w:val="30"/>
        </w:rPr>
        <w:t>签订</w:t>
      </w:r>
      <w:r>
        <w:rPr>
          <w:rFonts w:hint="eastAsia" w:ascii="仿宋_GB2312" w:hAnsi="宋体" w:eastAsia="仿宋_GB2312"/>
          <w:sz w:val="30"/>
          <w:szCs w:val="30"/>
        </w:rPr>
        <w:t>框架协议</w:t>
      </w:r>
      <w:r>
        <w:rPr>
          <w:rFonts w:hint="eastAsia" w:ascii="仿宋_GB2312" w:hAnsi="宋体" w:eastAsia="仿宋_GB2312"/>
          <w:color w:val="000000"/>
          <w:sz w:val="30"/>
          <w:szCs w:val="30"/>
        </w:rPr>
        <w:t>导致上市公司开展与主营业务行业不同的新业务或者可能导致公司业务发生重大变化的，应当同时参照适用本所</w:t>
      </w:r>
      <w:r>
        <w:rPr>
          <w:rFonts w:hint="eastAsia" w:ascii="仿宋_GB2312" w:hAnsi="宋体" w:eastAsia="仿宋_GB2312"/>
          <w:sz w:val="30"/>
          <w:szCs w:val="30"/>
        </w:rPr>
        <w:t>《科创板上市公司自律监管指南第3号——日常信息披露》所附</w:t>
      </w:r>
      <w:r>
        <w:rPr>
          <w:rFonts w:hint="eastAsia" w:ascii="仿宋_GB2312" w:hAnsi="宋体" w:eastAsia="仿宋_GB2312"/>
          <w:color w:val="000000"/>
          <w:sz w:val="30"/>
          <w:szCs w:val="30"/>
        </w:rPr>
        <w:t>《第八号 科创板上市公司开展新业务公告》格式指引。</w:t>
      </w:r>
    </w:p>
    <w:p w14:paraId="07EF60E3">
      <w:pPr>
        <w:adjustRightInd w:val="0"/>
        <w:snapToGrid w:val="0"/>
        <w:spacing w:line="600" w:lineRule="exact"/>
        <w:jc w:val="center"/>
        <w:rPr>
          <w:rFonts w:ascii="仿宋_GB2312" w:hAnsi="宋体" w:eastAsia="仿宋_GB2312"/>
          <w:sz w:val="30"/>
          <w:szCs w:val="30"/>
        </w:rPr>
      </w:pPr>
      <w:r>
        <w:rPr>
          <w:rFonts w:ascii="仿宋_GB2312" w:eastAsia="仿宋_GB2312"/>
          <w:sz w:val="30"/>
          <w:szCs w:val="30"/>
        </w:rPr>
        <w:br w:type="page"/>
      </w:r>
      <w:r>
        <w:rPr>
          <w:rFonts w:hint="eastAsia" w:ascii="仿宋_GB2312" w:hAnsi="宋体" w:eastAsia="仿宋_GB2312"/>
          <w:sz w:val="30"/>
          <w:szCs w:val="30"/>
        </w:rPr>
        <w:t>证券代码：             证券简称：            公告编号：</w:t>
      </w:r>
    </w:p>
    <w:p w14:paraId="260D6D8D">
      <w:pPr>
        <w:autoSpaceDE w:val="0"/>
        <w:autoSpaceDN w:val="0"/>
        <w:adjustRightInd w:val="0"/>
        <w:snapToGrid w:val="0"/>
        <w:spacing w:line="600" w:lineRule="exact"/>
        <w:jc w:val="center"/>
        <w:rPr>
          <w:rFonts w:ascii="仿宋_GB2312" w:hAnsi="宋体" w:eastAsia="仿宋_GB2312"/>
          <w:bCs/>
          <w:sz w:val="30"/>
          <w:szCs w:val="30"/>
        </w:rPr>
      </w:pPr>
      <w:r>
        <w:rPr>
          <w:rFonts w:hint="eastAsia" w:ascii="仿宋_GB2312" w:hAnsi="宋体" w:eastAsia="仿宋_GB2312"/>
          <w:bCs/>
          <w:sz w:val="30"/>
          <w:szCs w:val="30"/>
        </w:rPr>
        <w:t xml:space="preserve"> </w:t>
      </w:r>
    </w:p>
    <w:p w14:paraId="4C41718C">
      <w:pPr>
        <w:spacing w:line="600" w:lineRule="exact"/>
        <w:jc w:val="center"/>
        <w:rPr>
          <w:rFonts w:hint="eastAsia" w:ascii="仿宋_GB2312" w:hAnsi="宋体" w:eastAsia="仿宋_GB2312"/>
          <w:bCs/>
          <w:sz w:val="30"/>
          <w:szCs w:val="30"/>
        </w:rPr>
      </w:pPr>
      <w:r>
        <w:rPr>
          <w:rFonts w:hint="eastAsia" w:ascii="仿宋_GB2312" w:hAnsi="宋体" w:eastAsia="仿宋_GB2312"/>
          <w:bCs/>
          <w:sz w:val="30"/>
          <w:szCs w:val="30"/>
        </w:rPr>
        <w:t>XXXX股份有限公司签订战略框架协议公告</w:t>
      </w:r>
    </w:p>
    <w:p w14:paraId="271930CB">
      <w:pPr>
        <w:spacing w:line="600" w:lineRule="exact"/>
        <w:jc w:val="center"/>
        <w:rPr>
          <w:rFonts w:ascii="仿宋_GB2312" w:hAnsi="宋体" w:eastAsia="仿宋_GB2312"/>
          <w:bCs/>
          <w:sz w:val="30"/>
          <w:szCs w:val="30"/>
        </w:rPr>
      </w:pPr>
    </w:p>
    <w:p w14:paraId="4A6B0B1B">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14:paraId="08D040C5">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14A4D072">
      <w:pPr>
        <w:adjustRightInd w:val="0"/>
        <w:snapToGrid w:val="0"/>
        <w:spacing w:line="600" w:lineRule="exact"/>
        <w:ind w:firstLine="602" w:firstLineChars="200"/>
        <w:rPr>
          <w:rFonts w:hint="eastAsia" w:ascii="仿宋_GB2312" w:hAnsi="宋体" w:eastAsia="仿宋_GB2312"/>
          <w:b/>
          <w:bCs/>
          <w:sz w:val="30"/>
          <w:szCs w:val="30"/>
        </w:rPr>
      </w:pPr>
    </w:p>
    <w:p w14:paraId="5F15D9A9">
      <w:pPr>
        <w:adjustRightInd w:val="0"/>
        <w:snapToGrid w:val="0"/>
        <w:spacing w:line="60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重要内容提示:</w:t>
      </w:r>
    </w:p>
    <w:p w14:paraId="53DEB385">
      <w:pPr>
        <w:pStyle w:val="8"/>
        <w:widowControl w:val="0"/>
        <w:numPr>
          <w:ilvl w:val="0"/>
          <w:numId w:val="1"/>
        </w:numPr>
        <w:adjustRightInd w:val="0"/>
        <w:snapToGrid w:val="0"/>
        <w:spacing w:before="0" w:beforeAutospacing="0" w:after="0" w:afterAutospacing="0" w:line="600" w:lineRule="exact"/>
        <w:ind w:left="0" w:firstLine="600" w:firstLineChars="200"/>
        <w:rPr>
          <w:rFonts w:ascii="仿宋_GB2312" w:eastAsia="仿宋_GB2312"/>
          <w:sz w:val="30"/>
          <w:szCs w:val="30"/>
        </w:rPr>
      </w:pPr>
      <w:r>
        <w:rPr>
          <w:rFonts w:hint="eastAsia" w:ascii="仿宋_GB2312" w:eastAsia="仿宋_GB2312"/>
          <w:sz w:val="30"/>
          <w:szCs w:val="30"/>
        </w:rPr>
        <w:t>履约的重大风险及不确定性</w:t>
      </w:r>
    </w:p>
    <w:p w14:paraId="3CC83BFA">
      <w:pPr>
        <w:pStyle w:val="8"/>
        <w:widowControl w:val="0"/>
        <w:numPr>
          <w:ilvl w:val="0"/>
          <w:numId w:val="1"/>
        </w:numPr>
        <w:adjustRightInd w:val="0"/>
        <w:snapToGrid w:val="0"/>
        <w:spacing w:before="0" w:beforeAutospacing="0" w:after="0" w:afterAutospacing="0" w:line="600" w:lineRule="exact"/>
        <w:ind w:left="0" w:firstLine="600" w:firstLineChars="200"/>
        <w:rPr>
          <w:rFonts w:ascii="仿宋_GB2312" w:eastAsia="仿宋_GB2312"/>
          <w:sz w:val="30"/>
          <w:szCs w:val="30"/>
        </w:rPr>
      </w:pPr>
      <w:r>
        <w:rPr>
          <w:rFonts w:hint="eastAsia" w:ascii="仿宋_GB2312" w:eastAsia="仿宋_GB2312"/>
          <w:sz w:val="30"/>
          <w:szCs w:val="30"/>
        </w:rPr>
        <w:t>对上市公司当年业绩的影响</w:t>
      </w:r>
    </w:p>
    <w:p w14:paraId="372F14E0">
      <w:pPr>
        <w:adjustRightInd w:val="0"/>
        <w:snapToGrid w:val="0"/>
        <w:spacing w:line="600" w:lineRule="exact"/>
        <w:ind w:firstLine="602" w:firstLineChars="200"/>
        <w:rPr>
          <w:rFonts w:ascii="仿宋_GB2312" w:hAnsi="宋体" w:eastAsia="仿宋_GB2312"/>
          <w:b/>
          <w:bCs/>
          <w:sz w:val="30"/>
          <w:szCs w:val="30"/>
        </w:rPr>
      </w:pPr>
    </w:p>
    <w:p w14:paraId="2B89FF6B">
      <w:pPr>
        <w:adjustRightInd w:val="0"/>
        <w:snapToGrid w:val="0"/>
        <w:spacing w:line="600" w:lineRule="exact"/>
        <w:ind w:firstLine="643" w:firstLineChars="200"/>
        <w:rPr>
          <w:rFonts w:ascii="黑体" w:hAnsi="宋体" w:eastAsia="黑体"/>
          <w:b/>
          <w:bCs/>
          <w:sz w:val="32"/>
          <w:szCs w:val="32"/>
        </w:rPr>
      </w:pPr>
      <w:r>
        <w:rPr>
          <w:rFonts w:hint="eastAsia" w:ascii="黑体" w:hAnsi="宋体" w:eastAsia="黑体"/>
          <w:b/>
          <w:bCs/>
          <w:sz w:val="32"/>
          <w:szCs w:val="32"/>
        </w:rPr>
        <w:t>一、框架协议签订的基本情况</w:t>
      </w:r>
    </w:p>
    <w:p w14:paraId="7E4EF7CB">
      <w:pPr>
        <w:pStyle w:val="8"/>
        <w:tabs>
          <w:tab w:val="left" w:pos="1140"/>
        </w:tabs>
        <w:adjustRightInd w:val="0"/>
        <w:snapToGrid w:val="0"/>
        <w:spacing w:before="0" w:beforeAutospacing="0" w:after="0" w:afterAutospacing="0" w:line="600" w:lineRule="exact"/>
        <w:ind w:firstLine="600" w:firstLineChars="200"/>
        <w:rPr>
          <w:rFonts w:ascii="仿宋_GB2312" w:eastAsia="仿宋_GB2312"/>
          <w:bCs/>
          <w:sz w:val="30"/>
          <w:szCs w:val="30"/>
        </w:rPr>
      </w:pPr>
      <w:r>
        <w:rPr>
          <w:rFonts w:hint="eastAsia" w:ascii="仿宋_GB2312" w:eastAsia="仿宋_GB2312"/>
          <w:bCs/>
          <w:sz w:val="30"/>
          <w:szCs w:val="30"/>
        </w:rPr>
        <w:t>（一）协议对方的基本情况</w:t>
      </w:r>
    </w:p>
    <w:p w14:paraId="1A64C9BD">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协议对方为法人的，应当披露企业名称、性质、法定代表人、注册资本、成立日期、住所、主要办公地点、主营业务、主要股东或实际控制人、最近一个会计年度的主要财务数据（总资产、净资产、营业收入、净利润）、与上市公司之间的关系等；</w:t>
      </w:r>
    </w:p>
    <w:p w14:paraId="0DBBADD0">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协议对方为自然人的，应当披露其姓名、性别、国籍、最近三年的职业和职务，以及与上市公司之间的关系等基本情况。</w:t>
      </w:r>
    </w:p>
    <w:p w14:paraId="69F2E1D9">
      <w:pPr>
        <w:pStyle w:val="8"/>
        <w:tabs>
          <w:tab w:val="left" w:pos="1140"/>
        </w:tabs>
        <w:adjustRightInd w:val="0"/>
        <w:snapToGrid w:val="0"/>
        <w:spacing w:before="0" w:beforeAutospacing="0" w:after="0" w:afterAutospacing="0" w:line="600" w:lineRule="exact"/>
        <w:ind w:firstLine="600" w:firstLineChars="200"/>
        <w:rPr>
          <w:rFonts w:ascii="仿宋_GB2312" w:eastAsia="仿宋_GB2312"/>
          <w:bCs/>
          <w:sz w:val="30"/>
          <w:szCs w:val="30"/>
        </w:rPr>
      </w:pPr>
      <w:r>
        <w:rPr>
          <w:rFonts w:hint="eastAsia" w:ascii="仿宋_GB2312" w:eastAsia="仿宋_GB2312"/>
          <w:bCs/>
          <w:sz w:val="30"/>
          <w:szCs w:val="30"/>
        </w:rPr>
        <w:t>（二）协议签署的时间、地点、方式。</w:t>
      </w:r>
    </w:p>
    <w:p w14:paraId="7AEACA43">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bCs/>
          <w:sz w:val="30"/>
          <w:szCs w:val="30"/>
        </w:rPr>
        <w:t>（三）签订协议</w:t>
      </w:r>
      <w:r>
        <w:rPr>
          <w:rFonts w:hint="eastAsia" w:ascii="仿宋_GB2312" w:eastAsia="仿宋_GB2312"/>
          <w:sz w:val="30"/>
          <w:szCs w:val="30"/>
        </w:rPr>
        <w:t>已履行的审议决策程序和审议情况。提交董事会审议的，应当披露董事会的审议情况，董事反对或弃权的，应当披露反对或弃权理由。</w:t>
      </w:r>
    </w:p>
    <w:p w14:paraId="021424D1">
      <w:pPr>
        <w:pStyle w:val="8"/>
        <w:tabs>
          <w:tab w:val="left" w:pos="1140"/>
        </w:tabs>
        <w:adjustRightInd w:val="0"/>
        <w:snapToGrid w:val="0"/>
        <w:spacing w:before="0" w:beforeAutospacing="0" w:after="0" w:afterAutospacing="0" w:line="600" w:lineRule="exact"/>
        <w:ind w:firstLine="600" w:firstLineChars="200"/>
        <w:rPr>
          <w:rFonts w:ascii="仿宋_GB2312" w:eastAsia="仿宋_GB2312"/>
          <w:sz w:val="30"/>
          <w:szCs w:val="30"/>
        </w:rPr>
      </w:pPr>
      <w:r>
        <w:rPr>
          <w:rFonts w:hint="eastAsia" w:ascii="仿宋_GB2312" w:eastAsia="仿宋_GB2312"/>
          <w:sz w:val="30"/>
          <w:szCs w:val="30"/>
        </w:rPr>
        <w:t>（四）</w:t>
      </w:r>
      <w:r>
        <w:rPr>
          <w:rFonts w:hint="eastAsia" w:ascii="仿宋_GB2312" w:eastAsia="仿宋_GB2312"/>
          <w:bCs/>
          <w:sz w:val="30"/>
          <w:szCs w:val="30"/>
        </w:rPr>
        <w:t>签订协议</w:t>
      </w:r>
      <w:r>
        <w:rPr>
          <w:rFonts w:hint="eastAsia" w:ascii="仿宋_GB2312" w:eastAsia="仿宋_GB2312"/>
          <w:sz w:val="30"/>
          <w:szCs w:val="30"/>
        </w:rPr>
        <w:t>已履行的审批或备案程序。</w:t>
      </w:r>
    </w:p>
    <w:p w14:paraId="462071D5">
      <w:pPr>
        <w:pStyle w:val="8"/>
        <w:tabs>
          <w:tab w:val="left" w:pos="1140"/>
        </w:tabs>
        <w:adjustRightInd w:val="0"/>
        <w:snapToGrid w:val="0"/>
        <w:spacing w:before="0" w:beforeAutospacing="0" w:after="0" w:afterAutospacing="0" w:line="600" w:lineRule="exact"/>
        <w:ind w:firstLine="480" w:firstLineChars="200"/>
      </w:pPr>
    </w:p>
    <w:p w14:paraId="27D27C6E">
      <w:pPr>
        <w:adjustRightInd w:val="0"/>
        <w:snapToGrid w:val="0"/>
        <w:spacing w:line="600" w:lineRule="exact"/>
        <w:ind w:firstLine="643" w:firstLineChars="200"/>
        <w:rPr>
          <w:rFonts w:ascii="黑体" w:hAnsi="宋体" w:eastAsia="黑体"/>
          <w:b/>
          <w:bCs/>
          <w:sz w:val="32"/>
          <w:szCs w:val="32"/>
        </w:rPr>
      </w:pPr>
      <w:r>
        <w:rPr>
          <w:rFonts w:hint="eastAsia" w:ascii="黑体" w:hAnsi="宋体" w:eastAsia="黑体"/>
          <w:b/>
          <w:bCs/>
          <w:sz w:val="32"/>
          <w:szCs w:val="32"/>
        </w:rPr>
        <w:t>二、框架协议的主要内容</w:t>
      </w:r>
    </w:p>
    <w:p w14:paraId="3F0700C3">
      <w:pPr>
        <w:adjustRightInd w:val="0"/>
        <w:snapToGrid w:val="0"/>
        <w:spacing w:line="6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（一）合作的背景与目标、主要内容、合作模式、合作规模或金额。</w:t>
      </w:r>
    </w:p>
    <w:p w14:paraId="17B00A33">
      <w:pPr>
        <w:adjustRightInd w:val="0"/>
        <w:snapToGrid w:val="0"/>
        <w:spacing w:line="6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（二）协议各方的主要权利和义务。</w:t>
      </w:r>
    </w:p>
    <w:p w14:paraId="55652147">
      <w:pPr>
        <w:adjustRightInd w:val="0"/>
        <w:snapToGrid w:val="0"/>
        <w:spacing w:line="6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（三）协议的生效条件、生效时间，以及协议各方的违约责任等。</w:t>
      </w:r>
    </w:p>
    <w:p w14:paraId="1D9CCE32">
      <w:pPr>
        <w:adjustRightInd w:val="0"/>
        <w:snapToGrid w:val="0"/>
        <w:spacing w:line="6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（四）协议实际履行的</w:t>
      </w:r>
      <w:r>
        <w:rPr>
          <w:rFonts w:hint="eastAsia" w:ascii="仿宋_GB2312" w:hAnsi="宋体" w:eastAsia="仿宋_GB2312"/>
          <w:bCs/>
          <w:sz w:val="30"/>
          <w:szCs w:val="30"/>
        </w:rPr>
        <w:t>前置条件、目前已满足的条件。</w:t>
      </w:r>
    </w:p>
    <w:p w14:paraId="695FE329">
      <w:pPr>
        <w:adjustRightInd w:val="0"/>
        <w:snapToGrid w:val="0"/>
        <w:spacing w:line="6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（五）协议条款有附加或者保留条件的，应当予以特别说明。</w:t>
      </w:r>
    </w:p>
    <w:p w14:paraId="22408087">
      <w:pPr>
        <w:adjustRightInd w:val="0"/>
        <w:snapToGrid w:val="0"/>
        <w:spacing w:line="600" w:lineRule="exact"/>
        <w:ind w:firstLine="600" w:firstLineChars="200"/>
        <w:jc w:val="left"/>
        <w:rPr>
          <w:rFonts w:ascii="仿宋_GB2312" w:hAnsi="宋体" w:eastAsia="仿宋_GB2312"/>
          <w:sz w:val="30"/>
          <w:szCs w:val="30"/>
        </w:rPr>
      </w:pPr>
    </w:p>
    <w:p w14:paraId="47D451C3">
      <w:pPr>
        <w:adjustRightInd w:val="0"/>
        <w:snapToGrid w:val="0"/>
        <w:spacing w:line="600" w:lineRule="exact"/>
        <w:ind w:firstLine="643" w:firstLineChars="200"/>
        <w:rPr>
          <w:rFonts w:ascii="黑体" w:hAnsi="宋体" w:eastAsia="黑体"/>
          <w:b/>
          <w:bCs/>
          <w:sz w:val="32"/>
          <w:szCs w:val="32"/>
        </w:rPr>
      </w:pPr>
      <w:r>
        <w:rPr>
          <w:rFonts w:hint="eastAsia" w:ascii="黑体" w:hAnsi="宋体" w:eastAsia="黑体"/>
          <w:b/>
          <w:bCs/>
          <w:sz w:val="32"/>
          <w:szCs w:val="32"/>
        </w:rPr>
        <w:t>三、对上市公司的影响</w:t>
      </w:r>
    </w:p>
    <w:p w14:paraId="243608D7">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上市公司应当使用可量化或可计量的陈述性语言，客观披露框架协议对上市公司的具体影响，并说明事实依据。上市公司不得进行选择性披露，不得夸大对上市公司可能产生的影响。</w:t>
      </w:r>
    </w:p>
    <w:p w14:paraId="3680CB80">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（一）对上市公司业绩的影响。例如，对上市公司当年营业收入、净利润的影响，以及对上市公司长期收益的影响等。</w:t>
      </w:r>
    </w:p>
    <w:p w14:paraId="07DE0656">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（二）对上市公司经营的影响。例如，拟合作事项与上市公司现有业务的协同效应、对上市公司转型升级的影响等。</w:t>
      </w:r>
    </w:p>
    <w:p w14:paraId="28386D2D">
      <w:pPr>
        <w:adjustRightInd w:val="0"/>
        <w:snapToGrid w:val="0"/>
        <w:spacing w:line="600" w:lineRule="exact"/>
        <w:ind w:firstLine="600" w:firstLineChars="200"/>
        <w:jc w:val="left"/>
        <w:rPr>
          <w:rFonts w:ascii="仿宋_GB2312" w:hAnsi="宋体" w:eastAsia="仿宋_GB2312"/>
          <w:sz w:val="30"/>
          <w:szCs w:val="30"/>
        </w:rPr>
      </w:pPr>
    </w:p>
    <w:p w14:paraId="7DE57BCA">
      <w:pPr>
        <w:adjustRightInd w:val="0"/>
        <w:snapToGrid w:val="0"/>
        <w:spacing w:line="600" w:lineRule="exact"/>
        <w:ind w:firstLine="643" w:firstLineChars="200"/>
        <w:rPr>
          <w:rFonts w:ascii="黑体" w:hAnsi="宋体" w:eastAsia="黑体"/>
          <w:b/>
          <w:bCs/>
          <w:sz w:val="32"/>
          <w:szCs w:val="32"/>
        </w:rPr>
      </w:pPr>
      <w:r>
        <w:rPr>
          <w:rFonts w:hint="eastAsia" w:ascii="黑体" w:hAnsi="宋体" w:eastAsia="黑体"/>
          <w:b/>
          <w:bCs/>
          <w:sz w:val="32"/>
          <w:szCs w:val="32"/>
        </w:rPr>
        <w:t>四、重大风险提示</w:t>
      </w:r>
    </w:p>
    <w:p w14:paraId="3EA20BE2">
      <w:pPr>
        <w:adjustRightInd w:val="0"/>
        <w:snapToGrid w:val="0"/>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上市公司应当审慎披露框架协议生效以及实际履行过程中的重大不确定性，并向投资者充分揭示相关事项的风险。</w:t>
      </w:r>
    </w:p>
    <w:p w14:paraId="2AD261A2">
      <w:pPr>
        <w:adjustRightInd w:val="0"/>
        <w:snapToGrid w:val="0"/>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（一）协议履行的时间计划、合作规模或金额、双方的权利义务、分配方案、违约责任等关键条款尚未明确的，上市公司应当充分提示风险。</w:t>
      </w:r>
    </w:p>
    <w:p w14:paraId="40712085">
      <w:pPr>
        <w:adjustRightInd w:val="0"/>
        <w:snapToGrid w:val="0"/>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（二）框架协议不具有实质约束效力的，上市公司应当充分提示风险。协议</w:t>
      </w:r>
      <w:r>
        <w:rPr>
          <w:rFonts w:hint="eastAsia" w:ascii="仿宋_GB2312" w:hAnsi="宋体" w:eastAsia="仿宋_GB2312" w:cs="宋体"/>
          <w:kern w:val="0"/>
          <w:sz w:val="30"/>
          <w:szCs w:val="30"/>
        </w:rPr>
        <w:t>生效条件或履行条件</w:t>
      </w:r>
      <w:r>
        <w:rPr>
          <w:rFonts w:hint="eastAsia" w:ascii="仿宋_GB2312" w:hAnsi="宋体" w:eastAsia="仿宋_GB2312"/>
          <w:bCs/>
          <w:sz w:val="30"/>
          <w:szCs w:val="30"/>
        </w:rPr>
        <w:t>尚未成就的，上市公司应当披露协议生效或履行的前置程序，如审议决策程序、审批或备案程序等。</w:t>
      </w:r>
    </w:p>
    <w:p w14:paraId="0E724105">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bCs/>
          <w:sz w:val="30"/>
          <w:szCs w:val="30"/>
        </w:rPr>
        <w:t>（三）框架协</w:t>
      </w:r>
      <w:r>
        <w:rPr>
          <w:rFonts w:hint="eastAsia" w:ascii="仿宋_GB2312" w:hAnsi="宋体" w:eastAsia="仿宋_GB2312"/>
          <w:sz w:val="30"/>
          <w:szCs w:val="30"/>
        </w:rPr>
        <w:t>议涉及新业务、新技术、新模式、新产品的，上市公司应当披露是否已实际开展该合作事项、是否已进行可行性论证、是否已取得必需的行业准入资质或证明、是否配备相应人员等。</w:t>
      </w:r>
    </w:p>
    <w:p w14:paraId="5FC42E0D">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（四）框架协议涉及项目投资金额较大的，上市公司应当披露资金来源、支付方式、支付安排、支付能力等方面的风险。</w:t>
      </w:r>
    </w:p>
    <w:p w14:paraId="1A0C1F98">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（五）上市公司控股股东、持股5%以上股东所持限售股份未来三个月内将解除限售的，应当予以提示。</w:t>
      </w:r>
    </w:p>
    <w:p w14:paraId="13245B38">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（六）本所要求披露的其他事项。</w:t>
      </w:r>
    </w:p>
    <w:p w14:paraId="6D291357">
      <w:pPr>
        <w:adjustRightInd w:val="0"/>
        <w:snapToGrid w:val="0"/>
        <w:spacing w:line="600" w:lineRule="exact"/>
        <w:ind w:firstLine="600" w:firstLineChars="200"/>
        <w:rPr>
          <w:rFonts w:ascii="仿宋_GB2312" w:hAnsi="宋体" w:eastAsia="仿宋_GB2312"/>
          <w:sz w:val="30"/>
          <w:szCs w:val="30"/>
        </w:rPr>
      </w:pPr>
    </w:p>
    <w:p w14:paraId="34680164">
      <w:pPr>
        <w:adjustRightInd w:val="0"/>
        <w:snapToGrid w:val="0"/>
        <w:spacing w:line="600" w:lineRule="exact"/>
        <w:ind w:firstLine="643" w:firstLineChars="200"/>
        <w:rPr>
          <w:rFonts w:ascii="黑体" w:hAnsi="宋体" w:eastAsia="黑体"/>
          <w:b/>
          <w:bCs/>
          <w:sz w:val="32"/>
          <w:szCs w:val="32"/>
        </w:rPr>
      </w:pPr>
      <w:r>
        <w:rPr>
          <w:rFonts w:hint="eastAsia" w:ascii="黑体" w:hAnsi="宋体" w:eastAsia="黑体"/>
          <w:b/>
          <w:bCs/>
          <w:sz w:val="32"/>
          <w:szCs w:val="32"/>
        </w:rPr>
        <w:t>五、上网公告附件</w:t>
      </w:r>
    </w:p>
    <w:p w14:paraId="28654973">
      <w:pPr>
        <w:adjustRightInd w:val="0"/>
        <w:snapToGrid w:val="0"/>
        <w:spacing w:line="600" w:lineRule="exact"/>
        <w:ind w:firstLine="600" w:firstLineChars="200"/>
        <w:jc w:val="left"/>
        <w:rPr>
          <w:rFonts w:hint="eastAsia" w:ascii="仿宋_GB2312" w:hAnsi="宋体" w:eastAsia="仿宋_GB2312" w:cs="宋体"/>
          <w:kern w:val="0"/>
          <w:sz w:val="30"/>
          <w:szCs w:val="30"/>
        </w:rPr>
      </w:pPr>
      <w:r>
        <w:rPr>
          <w:rFonts w:hint="eastAsia" w:ascii="仿宋_GB2312" w:hAnsi="宋体" w:eastAsia="仿宋_GB2312" w:cs="宋体"/>
          <w:kern w:val="0"/>
          <w:sz w:val="30"/>
          <w:szCs w:val="30"/>
        </w:rPr>
        <w:t>证券服务机构的意见（如适用）。</w:t>
      </w:r>
    </w:p>
    <w:p w14:paraId="3B36859B">
      <w:pPr>
        <w:adjustRightInd w:val="0"/>
        <w:snapToGrid w:val="0"/>
        <w:spacing w:line="600" w:lineRule="exact"/>
        <w:ind w:firstLine="600" w:firstLineChars="200"/>
        <w:jc w:val="left"/>
        <w:rPr>
          <w:rFonts w:ascii="仿宋_GB2312" w:hAnsi="宋体" w:eastAsia="仿宋_GB2312" w:cs="宋体"/>
          <w:kern w:val="0"/>
          <w:sz w:val="30"/>
          <w:szCs w:val="30"/>
        </w:rPr>
      </w:pPr>
    </w:p>
    <w:p w14:paraId="3C1EC8B2">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特此公告。</w:t>
      </w:r>
    </w:p>
    <w:p w14:paraId="76429823">
      <w:pPr>
        <w:adjustRightInd w:val="0"/>
        <w:snapToGrid w:val="0"/>
        <w:spacing w:line="600" w:lineRule="exact"/>
        <w:jc w:val="left"/>
        <w:rPr>
          <w:rFonts w:ascii="仿宋_GB2312" w:hAnsi="宋体" w:eastAsia="仿宋_GB2312" w:cs="宋体"/>
          <w:kern w:val="0"/>
          <w:sz w:val="30"/>
          <w:szCs w:val="30"/>
        </w:rPr>
      </w:pPr>
    </w:p>
    <w:p w14:paraId="63CD1720">
      <w:pPr>
        <w:adjustRightInd w:val="0"/>
        <w:snapToGrid w:val="0"/>
        <w:spacing w:line="600" w:lineRule="exact"/>
        <w:ind w:firstLine="600" w:firstLineChars="200"/>
        <w:jc w:val="right"/>
        <w:rPr>
          <w:rFonts w:ascii="仿宋_GB2312" w:hAnsi="宋体" w:eastAsia="仿宋_GB2312"/>
          <w:sz w:val="30"/>
          <w:szCs w:val="30"/>
        </w:rPr>
      </w:pPr>
      <w:r>
        <w:rPr>
          <w:rFonts w:hint="eastAsia" w:ascii="仿宋_GB2312" w:hAnsi="宋体" w:eastAsia="仿宋_GB2312"/>
          <w:sz w:val="30"/>
          <w:szCs w:val="30"/>
        </w:rPr>
        <w:t>XXXX股份有限公司董事会</w:t>
      </w:r>
    </w:p>
    <w:p w14:paraId="1868E22F">
      <w:pPr>
        <w:adjustRightInd w:val="0"/>
        <w:snapToGrid w:val="0"/>
        <w:spacing w:line="600" w:lineRule="exact"/>
        <w:ind w:firstLine="600" w:firstLineChars="200"/>
        <w:jc w:val="right"/>
        <w:rPr>
          <w:rFonts w:hint="eastAsia" w:ascii="仿宋_GB2312" w:hAnsi="宋体" w:eastAsia="仿宋_GB2312"/>
          <w:sz w:val="30"/>
          <w:szCs w:val="30"/>
        </w:rPr>
      </w:pPr>
      <w:r>
        <w:rPr>
          <w:rFonts w:hint="eastAsia" w:ascii="仿宋_GB2312" w:hAnsi="宋体" w:eastAsia="仿宋_GB2312"/>
          <w:sz w:val="30"/>
          <w:szCs w:val="30"/>
        </w:rPr>
        <w:t xml:space="preserve">  年  月  日</w:t>
      </w:r>
    </w:p>
    <w:p w14:paraId="5AA021C4">
      <w:pPr>
        <w:adjustRightInd w:val="0"/>
        <w:snapToGrid w:val="0"/>
        <w:spacing w:line="600" w:lineRule="exact"/>
        <w:ind w:firstLine="600" w:firstLineChars="200"/>
        <w:jc w:val="right"/>
        <w:rPr>
          <w:rFonts w:ascii="仿宋_GB2312" w:hAnsi="宋体" w:eastAsia="仿宋_GB2312"/>
          <w:sz w:val="30"/>
          <w:szCs w:val="30"/>
        </w:rPr>
      </w:pPr>
    </w:p>
    <w:p w14:paraId="3DF11BD9">
      <w:pPr>
        <w:numPr>
          <w:ilvl w:val="0"/>
          <w:numId w:val="2"/>
        </w:numPr>
        <w:tabs>
          <w:tab w:val="left" w:pos="1440"/>
        </w:tabs>
        <w:adjustRightInd w:val="0"/>
        <w:snapToGrid w:val="0"/>
        <w:spacing w:line="600" w:lineRule="exact"/>
        <w:ind w:left="0" w:firstLine="602" w:firstLineChars="200"/>
        <w:rPr>
          <w:rFonts w:ascii="仿宋_GB2312" w:hAnsi="宋体" w:eastAsia="仿宋_GB2312" w:cs="宋体"/>
          <w:b/>
          <w:kern w:val="0"/>
          <w:sz w:val="30"/>
          <w:szCs w:val="30"/>
        </w:rPr>
      </w:pPr>
      <w:r>
        <w:rPr>
          <w:rFonts w:hint="eastAsia" w:ascii="仿宋_GB2312" w:hAnsi="宋体" w:eastAsia="仿宋_GB2312"/>
          <w:b/>
          <w:bCs/>
          <w:sz w:val="30"/>
          <w:szCs w:val="30"/>
        </w:rPr>
        <w:t>报备文件</w:t>
      </w:r>
    </w:p>
    <w:p w14:paraId="51EC713F">
      <w:pPr>
        <w:tabs>
          <w:tab w:val="left" w:pos="1440"/>
        </w:tabs>
        <w:adjustRightInd w:val="0"/>
        <w:snapToGrid w:val="0"/>
        <w:spacing w:line="600" w:lineRule="exact"/>
        <w:ind w:firstLine="600" w:firstLineChars="200"/>
        <w:rPr>
          <w:rFonts w:ascii="仿宋_GB2312" w:hAnsi="宋体" w:eastAsia="仿宋_GB2312" w:cs="宋体"/>
          <w:kern w:val="0"/>
          <w:sz w:val="30"/>
          <w:szCs w:val="30"/>
        </w:rPr>
      </w:pPr>
      <w:r>
        <w:rPr>
          <w:rFonts w:hint="eastAsia" w:ascii="仿宋_GB2312" w:hAnsi="宋体" w:eastAsia="仿宋_GB2312"/>
          <w:sz w:val="30"/>
          <w:szCs w:val="30"/>
        </w:rPr>
        <w:t>（一）</w:t>
      </w:r>
      <w:r>
        <w:rPr>
          <w:rFonts w:hint="eastAsia" w:ascii="仿宋_GB2312" w:hAnsi="宋体" w:eastAsia="仿宋_GB2312" w:cs="宋体"/>
          <w:kern w:val="0"/>
          <w:sz w:val="30"/>
          <w:szCs w:val="30"/>
        </w:rPr>
        <w:t>经与会董事签字确认的董事会决议（如适用）</w:t>
      </w:r>
    </w:p>
    <w:p w14:paraId="551A140E">
      <w:pPr>
        <w:tabs>
          <w:tab w:val="left" w:pos="1440"/>
        </w:tabs>
        <w:adjustRightInd w:val="0"/>
        <w:snapToGrid w:val="0"/>
        <w:spacing w:line="6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（二）股东会决议（如适用）</w:t>
      </w:r>
    </w:p>
    <w:p w14:paraId="09AA3407">
      <w:pPr>
        <w:tabs>
          <w:tab w:val="left" w:pos="1440"/>
        </w:tabs>
        <w:adjustRightInd w:val="0"/>
        <w:snapToGrid w:val="0"/>
        <w:spacing w:line="600" w:lineRule="exact"/>
        <w:ind w:firstLine="600" w:firstLineChars="200"/>
        <w:rPr>
          <w:rFonts w:ascii="仿宋_GB2312" w:hAnsi="宋体" w:eastAsia="仿宋_GB2312" w:cs="宋体"/>
          <w:kern w:val="0"/>
          <w:sz w:val="30"/>
          <w:szCs w:val="30"/>
        </w:rPr>
      </w:pPr>
      <w:r>
        <w:rPr>
          <w:rFonts w:hint="eastAsia" w:ascii="仿宋_GB2312" w:hAnsi="宋体" w:eastAsia="仿宋_GB2312"/>
          <w:sz w:val="30"/>
          <w:szCs w:val="30"/>
        </w:rPr>
        <w:t>（三）战略框架协议</w:t>
      </w:r>
    </w:p>
    <w:p w14:paraId="5307B3DC">
      <w:pPr>
        <w:tabs>
          <w:tab w:val="left" w:pos="1440"/>
        </w:tabs>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（四）</w:t>
      </w:r>
      <w:r>
        <w:rPr>
          <w:rFonts w:hint="eastAsia" w:ascii="仿宋_GB2312" w:hAnsi="宋体" w:eastAsia="仿宋_GB2312" w:cs="宋体"/>
          <w:kern w:val="0"/>
          <w:sz w:val="30"/>
          <w:szCs w:val="30"/>
        </w:rPr>
        <w:t>相关证明文件（如适用）</w:t>
      </w:r>
    </w:p>
    <w:p w14:paraId="6A3A138E">
      <w:pPr>
        <w:tabs>
          <w:tab w:val="left" w:pos="1440"/>
        </w:tabs>
        <w:adjustRightInd w:val="0"/>
        <w:snapToGrid w:val="0"/>
        <w:spacing w:line="600" w:lineRule="exact"/>
        <w:ind w:firstLine="600" w:firstLineChars="200"/>
        <w:rPr>
          <w:rFonts w:ascii="仿宋_GB2312" w:hAnsi="宋体" w:eastAsia="仿宋_GB2312" w:cs="宋体"/>
          <w:kern w:val="0"/>
          <w:sz w:val="30"/>
          <w:szCs w:val="30"/>
        </w:rPr>
      </w:pPr>
      <w:r>
        <w:rPr>
          <w:rFonts w:hint="eastAsia" w:ascii="仿宋_GB2312" w:hAnsi="宋体" w:eastAsia="仿宋_GB2312"/>
          <w:sz w:val="30"/>
          <w:szCs w:val="30"/>
        </w:rPr>
        <w:t>（五）</w:t>
      </w:r>
      <w:r>
        <w:rPr>
          <w:rFonts w:hint="eastAsia" w:ascii="仿宋_GB2312" w:hAnsi="宋体" w:eastAsia="仿宋_GB2312" w:cs="宋体"/>
          <w:kern w:val="0"/>
          <w:sz w:val="30"/>
          <w:szCs w:val="30"/>
        </w:rPr>
        <w:t>本所要求的其他文件（如适用）</w:t>
      </w:r>
    </w:p>
    <w:p w14:paraId="23107C4C">
      <w:pPr>
        <w:adjustRightInd w:val="0"/>
        <w:snapToGrid w:val="0"/>
        <w:spacing w:line="600" w:lineRule="exact"/>
        <w:ind w:firstLine="602" w:firstLineChars="200"/>
        <w:rPr>
          <w:rFonts w:ascii="仿宋_GB2312" w:hAnsi="宋体" w:eastAsia="仿宋_GB2312"/>
          <w:b/>
          <w:bCs/>
          <w:sz w:val="30"/>
          <w:szCs w:val="30"/>
        </w:rPr>
      </w:pPr>
    </w:p>
    <w:p w14:paraId="052B5DC7">
      <w:pPr>
        <w:numPr>
          <w:ilvl w:val="0"/>
          <w:numId w:val="2"/>
        </w:numPr>
        <w:tabs>
          <w:tab w:val="left" w:pos="1440"/>
        </w:tabs>
        <w:adjustRightInd w:val="0"/>
        <w:snapToGrid w:val="0"/>
        <w:spacing w:line="600" w:lineRule="exact"/>
        <w:ind w:left="0" w:firstLine="602" w:firstLineChars="200"/>
        <w:rPr>
          <w:rFonts w:ascii="仿宋_GB2312" w:hAnsi="宋体" w:eastAsia="仿宋_GB2312" w:cs="宋体"/>
          <w:b/>
          <w:kern w:val="0"/>
          <w:sz w:val="30"/>
          <w:szCs w:val="30"/>
        </w:rPr>
      </w:pPr>
      <w:r>
        <w:rPr>
          <w:rFonts w:hint="eastAsia" w:ascii="仿宋_GB2312" w:hAnsi="宋体" w:eastAsia="仿宋_GB2312"/>
          <w:b/>
          <w:bCs/>
          <w:sz w:val="30"/>
          <w:szCs w:val="30"/>
        </w:rPr>
        <w:t>注意事项</w:t>
      </w:r>
    </w:p>
    <w:p w14:paraId="64800813">
      <w:pPr>
        <w:adjustRightInd w:val="0"/>
        <w:snapToGrid w:val="0"/>
        <w:spacing w:line="6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（一）上市公司应当客观、充分披露本公告格式指引各项内容，不得选择性披露。如无法披露的，应当逐项说明原因，并进行特别风险提示。</w:t>
      </w:r>
    </w:p>
    <w:p w14:paraId="61D81847">
      <w:pPr>
        <w:adjustRightInd w:val="0"/>
        <w:snapToGrid w:val="0"/>
        <w:spacing w:line="6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二）上市公司应当审慎判断合作事项的相关进展或重大变化，并根据一致性原则，以临时公告的形式持续履行信息披露义务，包括签订后续协议、协议变更、协议中止、协议终止、协议履行出现重大障碍、协议履行完毕等。</w:t>
      </w:r>
    </w:p>
    <w:sectPr>
      <w:footerReference r:id="rId3" w:type="default"/>
      <w:footerReference r:id="rId4" w:type="even"/>
      <w:footnotePr>
        <w:numFmt w:val="decimalEnclosedCircleChinese"/>
      </w:footnote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11D17">
    <w:pPr>
      <w:pStyle w:val="6"/>
      <w:framePr w:wrap="around" w:vAnchor="text" w:hAnchor="margin" w:xAlign="center" w:y="1"/>
      <w:jc w:val="center"/>
      <w:rPr>
        <w:rStyle w:val="12"/>
      </w:rPr>
    </w:pPr>
  </w:p>
  <w:p w14:paraId="6AB68D8F">
    <w:pPr>
      <w:pStyle w:val="6"/>
      <w:jc w:val="center"/>
      <w:rPr>
        <w:sz w:val="21"/>
        <w:szCs w:val="21"/>
      </w:rPr>
    </w:pPr>
    <w:r>
      <w:rPr>
        <w:sz w:val="21"/>
        <w:szCs w:val="21"/>
      </w:rPr>
      <w:fldChar w:fldCharType="begin"/>
    </w:r>
    <w:r>
      <w:rPr>
        <w:sz w:val="21"/>
        <w:szCs w:val="21"/>
      </w:rPr>
      <w:instrText xml:space="preserve"> PAGE </w:instrText>
    </w:r>
    <w:r>
      <w:rPr>
        <w:sz w:val="21"/>
        <w:szCs w:val="21"/>
      </w:rPr>
      <w:fldChar w:fldCharType="separate"/>
    </w:r>
    <w:r>
      <w:rPr>
        <w:sz w:val="21"/>
        <w:szCs w:val="21"/>
        <w:lang/>
      </w:rPr>
      <w:t>1</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94B1">
    <w:pPr>
      <w:pStyle w:val="6"/>
      <w:framePr w:wrap="around" w:vAnchor="text" w:hAnchor="margin" w:xAlign="center" w:y="1"/>
      <w:rPr>
        <w:rStyle w:val="12"/>
      </w:rPr>
    </w:pPr>
  </w:p>
  <w:p w14:paraId="6D338666">
    <w:pPr>
      <w:pStyle w:val="6"/>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lang/>
      </w:rPr>
      <w:t>16</w:t>
    </w:r>
    <w:r>
      <w:rPr>
        <w:sz w:val="28"/>
      </w:rPr>
      <w:fldChar w:fldCharType="end"/>
    </w:r>
    <w:r>
      <w:rPr>
        <w:rFonts w:hint="eastAsia" w:ascii="仿宋_GB2312" w:eastAsia="仿宋_GB2312"/>
        <w:bCs/>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375C20"/>
    <w:multiLevelType w:val="multilevel"/>
    <w:tmpl w:val="4E375C20"/>
    <w:lvl w:ilvl="0" w:tentative="0">
      <w:start w:val="1"/>
      <w:numFmt w:val="bullet"/>
      <w:lvlText w:val=""/>
      <w:lvlJc w:val="left"/>
      <w:pPr>
        <w:tabs>
          <w:tab w:val="left" w:pos="980"/>
        </w:tabs>
        <w:ind w:left="980" w:hanging="420"/>
      </w:pPr>
      <w:rPr>
        <w:rFonts w:hint="default" w:ascii="Wingdings" w:hAnsi="Wingdings"/>
      </w:rPr>
    </w:lvl>
    <w:lvl w:ilvl="1" w:tentative="0">
      <w:start w:val="1"/>
      <w:numFmt w:val="bullet"/>
      <w:lvlText w:val=""/>
      <w:lvlJc w:val="left"/>
      <w:pPr>
        <w:tabs>
          <w:tab w:val="left" w:pos="1400"/>
        </w:tabs>
        <w:ind w:left="1400" w:hanging="420"/>
      </w:pPr>
      <w:rPr>
        <w:rFonts w:hint="default" w:ascii="Wingdings" w:hAnsi="Wingdings"/>
      </w:rPr>
    </w:lvl>
    <w:lvl w:ilvl="2" w:tentative="0">
      <w:start w:val="1"/>
      <w:numFmt w:val="bullet"/>
      <w:lvlText w:val=""/>
      <w:lvlJc w:val="left"/>
      <w:pPr>
        <w:tabs>
          <w:tab w:val="left" w:pos="1820"/>
        </w:tabs>
        <w:ind w:left="1820" w:hanging="420"/>
      </w:pPr>
      <w:rPr>
        <w:rFonts w:hint="default" w:ascii="Wingdings" w:hAnsi="Wingdings"/>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abstractNum w:abstractNumId="1">
    <w:nsid w:val="6EBF7581"/>
    <w:multiLevelType w:val="multilevel"/>
    <w:tmpl w:val="6EBF758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924"/>
    <w:rsid w:val="00000781"/>
    <w:rsid w:val="0002300F"/>
    <w:rsid w:val="00036C0A"/>
    <w:rsid w:val="0005266B"/>
    <w:rsid w:val="00057D41"/>
    <w:rsid w:val="00074761"/>
    <w:rsid w:val="000A3E24"/>
    <w:rsid w:val="000C1718"/>
    <w:rsid w:val="000E73A6"/>
    <w:rsid w:val="001013BD"/>
    <w:rsid w:val="00107F59"/>
    <w:rsid w:val="00113D9D"/>
    <w:rsid w:val="00137EA6"/>
    <w:rsid w:val="00145EF7"/>
    <w:rsid w:val="00147F91"/>
    <w:rsid w:val="00181FA8"/>
    <w:rsid w:val="00184806"/>
    <w:rsid w:val="001A25EA"/>
    <w:rsid w:val="001D2FDA"/>
    <w:rsid w:val="001F31CE"/>
    <w:rsid w:val="002434F0"/>
    <w:rsid w:val="00243BEE"/>
    <w:rsid w:val="00270553"/>
    <w:rsid w:val="0027328C"/>
    <w:rsid w:val="00274C08"/>
    <w:rsid w:val="002851FB"/>
    <w:rsid w:val="002A226A"/>
    <w:rsid w:val="002B545A"/>
    <w:rsid w:val="00301344"/>
    <w:rsid w:val="003442B2"/>
    <w:rsid w:val="00347EF1"/>
    <w:rsid w:val="00357246"/>
    <w:rsid w:val="00362231"/>
    <w:rsid w:val="00362CA0"/>
    <w:rsid w:val="00367539"/>
    <w:rsid w:val="003675C2"/>
    <w:rsid w:val="00371791"/>
    <w:rsid w:val="00372848"/>
    <w:rsid w:val="003B5601"/>
    <w:rsid w:val="003C3D46"/>
    <w:rsid w:val="003E3835"/>
    <w:rsid w:val="0040609E"/>
    <w:rsid w:val="00421C38"/>
    <w:rsid w:val="0046474C"/>
    <w:rsid w:val="00471598"/>
    <w:rsid w:val="004A0F7E"/>
    <w:rsid w:val="004A2C92"/>
    <w:rsid w:val="004C5A5B"/>
    <w:rsid w:val="004D5986"/>
    <w:rsid w:val="004E1DD5"/>
    <w:rsid w:val="00504AA2"/>
    <w:rsid w:val="0051034A"/>
    <w:rsid w:val="005225D9"/>
    <w:rsid w:val="005318D9"/>
    <w:rsid w:val="00533D67"/>
    <w:rsid w:val="00552780"/>
    <w:rsid w:val="00557EF8"/>
    <w:rsid w:val="00563BD0"/>
    <w:rsid w:val="0056635D"/>
    <w:rsid w:val="00573FC8"/>
    <w:rsid w:val="00574D64"/>
    <w:rsid w:val="0058576F"/>
    <w:rsid w:val="00592850"/>
    <w:rsid w:val="00597A08"/>
    <w:rsid w:val="005C44E5"/>
    <w:rsid w:val="005E6EC7"/>
    <w:rsid w:val="005E78AE"/>
    <w:rsid w:val="005F5712"/>
    <w:rsid w:val="0060555A"/>
    <w:rsid w:val="006156B5"/>
    <w:rsid w:val="00631887"/>
    <w:rsid w:val="00634650"/>
    <w:rsid w:val="006412BF"/>
    <w:rsid w:val="006833F3"/>
    <w:rsid w:val="00690343"/>
    <w:rsid w:val="0069296E"/>
    <w:rsid w:val="006939DD"/>
    <w:rsid w:val="00694760"/>
    <w:rsid w:val="006C0217"/>
    <w:rsid w:val="006C0F4C"/>
    <w:rsid w:val="006D7DCC"/>
    <w:rsid w:val="006F4999"/>
    <w:rsid w:val="006F6738"/>
    <w:rsid w:val="00711DA5"/>
    <w:rsid w:val="0072150D"/>
    <w:rsid w:val="007237D7"/>
    <w:rsid w:val="00730398"/>
    <w:rsid w:val="00755E25"/>
    <w:rsid w:val="00790F36"/>
    <w:rsid w:val="00793852"/>
    <w:rsid w:val="007E037F"/>
    <w:rsid w:val="007E1BF3"/>
    <w:rsid w:val="007E3D38"/>
    <w:rsid w:val="007E6D36"/>
    <w:rsid w:val="007F6D5B"/>
    <w:rsid w:val="008160BE"/>
    <w:rsid w:val="00822FFD"/>
    <w:rsid w:val="00831D09"/>
    <w:rsid w:val="00832A4D"/>
    <w:rsid w:val="00832C54"/>
    <w:rsid w:val="00834400"/>
    <w:rsid w:val="00844DEE"/>
    <w:rsid w:val="00875654"/>
    <w:rsid w:val="0089059C"/>
    <w:rsid w:val="008D2412"/>
    <w:rsid w:val="008E4C0D"/>
    <w:rsid w:val="00912CB1"/>
    <w:rsid w:val="0092631D"/>
    <w:rsid w:val="00944924"/>
    <w:rsid w:val="009572C1"/>
    <w:rsid w:val="00963BCA"/>
    <w:rsid w:val="00990C03"/>
    <w:rsid w:val="0099650F"/>
    <w:rsid w:val="009979A4"/>
    <w:rsid w:val="009A1D30"/>
    <w:rsid w:val="009A7322"/>
    <w:rsid w:val="009B2C31"/>
    <w:rsid w:val="009B5F6E"/>
    <w:rsid w:val="009D3A00"/>
    <w:rsid w:val="009D6544"/>
    <w:rsid w:val="009D73FD"/>
    <w:rsid w:val="00A05944"/>
    <w:rsid w:val="00A1414B"/>
    <w:rsid w:val="00A253B4"/>
    <w:rsid w:val="00A400E0"/>
    <w:rsid w:val="00A517BA"/>
    <w:rsid w:val="00A54EB7"/>
    <w:rsid w:val="00A638C7"/>
    <w:rsid w:val="00A67377"/>
    <w:rsid w:val="00A94F92"/>
    <w:rsid w:val="00A95D7B"/>
    <w:rsid w:val="00AC2387"/>
    <w:rsid w:val="00AD62E6"/>
    <w:rsid w:val="00AE3BF0"/>
    <w:rsid w:val="00B3180B"/>
    <w:rsid w:val="00B463B5"/>
    <w:rsid w:val="00B52421"/>
    <w:rsid w:val="00B6725B"/>
    <w:rsid w:val="00B85183"/>
    <w:rsid w:val="00B916A7"/>
    <w:rsid w:val="00B9636F"/>
    <w:rsid w:val="00BB2050"/>
    <w:rsid w:val="00BB4B6A"/>
    <w:rsid w:val="00BB75C6"/>
    <w:rsid w:val="00BD578A"/>
    <w:rsid w:val="00BE73A8"/>
    <w:rsid w:val="00C27714"/>
    <w:rsid w:val="00C30709"/>
    <w:rsid w:val="00C5196D"/>
    <w:rsid w:val="00C63069"/>
    <w:rsid w:val="00C63F66"/>
    <w:rsid w:val="00CA22CA"/>
    <w:rsid w:val="00CA39EE"/>
    <w:rsid w:val="00CA5A3B"/>
    <w:rsid w:val="00CD0E4A"/>
    <w:rsid w:val="00CE4508"/>
    <w:rsid w:val="00D025C7"/>
    <w:rsid w:val="00D06050"/>
    <w:rsid w:val="00D44F4E"/>
    <w:rsid w:val="00D968EB"/>
    <w:rsid w:val="00E050CD"/>
    <w:rsid w:val="00E31815"/>
    <w:rsid w:val="00E32C83"/>
    <w:rsid w:val="00E33487"/>
    <w:rsid w:val="00E4144E"/>
    <w:rsid w:val="00E5669E"/>
    <w:rsid w:val="00E67423"/>
    <w:rsid w:val="00E677B3"/>
    <w:rsid w:val="00E87FEF"/>
    <w:rsid w:val="00EA2F5C"/>
    <w:rsid w:val="00EA3116"/>
    <w:rsid w:val="00EC29F1"/>
    <w:rsid w:val="00F303FF"/>
    <w:rsid w:val="00F62B48"/>
    <w:rsid w:val="00F73A96"/>
    <w:rsid w:val="00F84F5D"/>
    <w:rsid w:val="00F92014"/>
    <w:rsid w:val="00FC0F81"/>
    <w:rsid w:val="00FC2984"/>
    <w:rsid w:val="00FE7DA1"/>
    <w:rsid w:val="017832E4"/>
    <w:rsid w:val="086C25D4"/>
    <w:rsid w:val="66C213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3">
    <w:name w:val="Document Map"/>
    <w:basedOn w:val="1"/>
    <w:link w:val="15"/>
    <w:unhideWhenUsed/>
    <w:uiPriority w:val="99"/>
    <w:rPr>
      <w:rFonts w:ascii="宋体"/>
      <w:sz w:val="18"/>
      <w:szCs w:val="18"/>
    </w:rPr>
  </w:style>
  <w:style w:type="paragraph" w:styleId="4">
    <w:name w:val="annotation text"/>
    <w:basedOn w:val="1"/>
    <w:link w:val="16"/>
    <w:unhideWhenUsed/>
    <w:uiPriority w:val="99"/>
    <w:pPr>
      <w:jc w:val="left"/>
    </w:pPr>
    <w:rPr>
      <w:kern w:val="0"/>
      <w:sz w:val="20"/>
    </w:rPr>
  </w:style>
  <w:style w:type="paragraph" w:styleId="5">
    <w:name w:val="Balloon Text"/>
    <w:basedOn w:val="1"/>
    <w:link w:val="17"/>
    <w:unhideWhenUsed/>
    <w:uiPriority w:val="99"/>
    <w:rPr>
      <w:kern w:val="0"/>
      <w:sz w:val="18"/>
      <w:szCs w:val="18"/>
    </w:rPr>
  </w:style>
  <w:style w:type="paragraph" w:styleId="6">
    <w:name w:val="footer"/>
    <w:basedOn w:val="1"/>
    <w:link w:val="18"/>
    <w:uiPriority w:val="0"/>
    <w:pPr>
      <w:tabs>
        <w:tab w:val="center" w:pos="4153"/>
        <w:tab w:val="right" w:pos="8306"/>
      </w:tabs>
      <w:snapToGrid w:val="0"/>
      <w:jc w:val="left"/>
    </w:pPr>
    <w:rPr>
      <w:kern w:val="0"/>
      <w:sz w:val="18"/>
      <w:szCs w:val="18"/>
    </w:rPr>
  </w:style>
  <w:style w:type="paragraph" w:styleId="7">
    <w:name w:val="header"/>
    <w:basedOn w:val="1"/>
    <w:link w:val="19"/>
    <w:unhideWhenUsed/>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9">
    <w:name w:val="annotation subject"/>
    <w:basedOn w:val="4"/>
    <w:next w:val="4"/>
    <w:link w:val="20"/>
    <w:unhideWhenUsed/>
    <w:uiPriority w:val="99"/>
    <w:rPr>
      <w:b/>
      <w:bCs/>
      <w:kern w:val="0"/>
      <w:sz w:val="20"/>
    </w:rPr>
  </w:style>
  <w:style w:type="character" w:styleId="12">
    <w:name w:val="page number"/>
    <w:basedOn w:val="11"/>
    <w:uiPriority w:val="0"/>
  </w:style>
  <w:style w:type="character" w:styleId="13">
    <w:name w:val="annotation reference"/>
    <w:unhideWhenUsed/>
    <w:uiPriority w:val="99"/>
    <w:rPr>
      <w:sz w:val="21"/>
      <w:szCs w:val="21"/>
    </w:rPr>
  </w:style>
  <w:style w:type="character" w:customStyle="1" w:styleId="14">
    <w:name w:val="标题 1 Char"/>
    <w:link w:val="2"/>
    <w:uiPriority w:val="9"/>
    <w:rPr>
      <w:rFonts w:ascii="Times New Roman" w:hAnsi="Times New Roman"/>
      <w:b/>
      <w:bCs/>
      <w:kern w:val="44"/>
      <w:sz w:val="44"/>
      <w:szCs w:val="44"/>
    </w:rPr>
  </w:style>
  <w:style w:type="character" w:customStyle="1" w:styleId="15">
    <w:name w:val="文档结构图 Char"/>
    <w:link w:val="3"/>
    <w:semiHidden/>
    <w:uiPriority w:val="99"/>
    <w:rPr>
      <w:rFonts w:ascii="宋体" w:hAnsi="Times New Roman"/>
      <w:kern w:val="2"/>
      <w:sz w:val="18"/>
      <w:szCs w:val="18"/>
    </w:rPr>
  </w:style>
  <w:style w:type="character" w:customStyle="1" w:styleId="16">
    <w:name w:val="批注文字 Char"/>
    <w:link w:val="4"/>
    <w:semiHidden/>
    <w:uiPriority w:val="99"/>
    <w:rPr>
      <w:rFonts w:ascii="Times New Roman" w:hAnsi="Times New Roman" w:eastAsia="宋体" w:cs="Times New Roman"/>
      <w:szCs w:val="20"/>
    </w:rPr>
  </w:style>
  <w:style w:type="character" w:customStyle="1" w:styleId="17">
    <w:name w:val="批注框文本 Char"/>
    <w:link w:val="5"/>
    <w:semiHidden/>
    <w:uiPriority w:val="99"/>
    <w:rPr>
      <w:rFonts w:ascii="Times New Roman" w:hAnsi="Times New Roman" w:eastAsia="宋体" w:cs="Times New Roman"/>
      <w:sz w:val="18"/>
      <w:szCs w:val="18"/>
    </w:rPr>
  </w:style>
  <w:style w:type="character" w:customStyle="1" w:styleId="18">
    <w:name w:val="页脚 Char"/>
    <w:link w:val="6"/>
    <w:uiPriority w:val="0"/>
    <w:rPr>
      <w:rFonts w:ascii="Times New Roman" w:hAnsi="Times New Roman" w:eastAsia="宋体" w:cs="Times New Roman"/>
      <w:sz w:val="18"/>
      <w:szCs w:val="18"/>
    </w:rPr>
  </w:style>
  <w:style w:type="character" w:customStyle="1" w:styleId="19">
    <w:name w:val="页眉 Char"/>
    <w:link w:val="7"/>
    <w:uiPriority w:val="99"/>
    <w:rPr>
      <w:rFonts w:ascii="Times New Roman" w:hAnsi="Times New Roman" w:eastAsia="宋体" w:cs="Times New Roman"/>
      <w:sz w:val="18"/>
      <w:szCs w:val="18"/>
    </w:rPr>
  </w:style>
  <w:style w:type="character" w:customStyle="1" w:styleId="20">
    <w:name w:val="批注主题 Char"/>
    <w:link w:val="9"/>
    <w:semiHidden/>
    <w:uiPriority w:val="99"/>
    <w:rPr>
      <w:rFonts w:ascii="Times New Roman" w:hAnsi="Times New Roman" w:eastAsia="宋体" w:cs="Times New Roman"/>
      <w:b/>
      <w:bCs/>
      <w:szCs w:val="20"/>
    </w:rPr>
  </w:style>
  <w:style w:type="paragraph" w:styleId="21">
    <w:name w:val=""/>
    <w:semiHidden/>
    <w:uiPriority w:val="99"/>
    <w:rPr>
      <w:rFonts w:ascii="Times New Roman" w:hAnsi="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301</Words>
  <Characters>1720</Characters>
  <Lines>14</Lines>
  <Paragraphs>4</Paragraphs>
  <TotalTime>0</TotalTime>
  <ScaleCrop>false</ScaleCrop>
  <LinksUpToDate>false</LinksUpToDate>
  <CharactersWithSpaces>2017</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2019-04-04T09:18:00Z</dcterms:created>
  <dc:creator>JF</dc:creator>
  <cp:lastModifiedBy>黄文怡</cp:lastModifiedBy>
  <dcterms:modified xsi:type="dcterms:W3CDTF">2025-04-25T09:39:45Z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A2EBBD38F5464A2DAE5469B02A9C89F0_13</vt:lpwstr>
  </property>
</Properties>
</file>