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E6" w:rsidRPr="00F54AE6" w:rsidRDefault="00F54AE6" w:rsidP="00F54AE6">
      <w:pPr>
        <w:keepNext/>
        <w:keepLines/>
        <w:spacing w:before="260" w:after="260" w:line="416" w:lineRule="auto"/>
        <w:jc w:val="center"/>
        <w:outlineLvl w:val="2"/>
        <w:rPr>
          <w:rFonts w:ascii="黑体" w:eastAsia="黑体" w:hAnsi="黑体" w:cs="Times New Roman"/>
          <w:b/>
          <w:bCs/>
          <w:sz w:val="32"/>
          <w:szCs w:val="32"/>
        </w:rPr>
      </w:pPr>
      <w:bookmarkStart w:id="0" w:name="_Toc352226128"/>
      <w:bookmarkStart w:id="1" w:name="_Toc356840116"/>
      <w:bookmarkStart w:id="2" w:name="_Toc50034120"/>
      <w:bookmarkStart w:id="3" w:name="_Toc108525224"/>
      <w:bookmarkStart w:id="4" w:name="_GoBack"/>
      <w:bookmarkEnd w:id="4"/>
      <w:r w:rsidRPr="00F54AE6">
        <w:rPr>
          <w:rFonts w:ascii="黑体" w:eastAsia="黑体" w:hAnsi="黑体" w:cs="Times New Roman" w:hint="eastAsia"/>
          <w:b/>
          <w:bCs/>
          <w:sz w:val="32"/>
          <w:szCs w:val="32"/>
        </w:rPr>
        <w:t>科创板上市公司可转债评级调整</w:t>
      </w:r>
      <w:bookmarkEnd w:id="0"/>
      <w:bookmarkEnd w:id="1"/>
      <w:bookmarkEnd w:id="2"/>
      <w:bookmarkEnd w:id="3"/>
    </w:p>
    <w:p w:rsidR="00F54AE6" w:rsidRPr="00F54AE6" w:rsidRDefault="00F54AE6" w:rsidP="00F54AE6">
      <w:pPr>
        <w:jc w:val="center"/>
        <w:rPr>
          <w:rFonts w:ascii="Calibri" w:eastAsia="宋体" w:hAnsi="Calibri" w:cs="Times New Roman"/>
        </w:rPr>
      </w:pPr>
      <w:r w:rsidRPr="00F54AE6">
        <w:rPr>
          <w:rFonts w:ascii="仿宋_GB2312" w:eastAsia="仿宋_GB2312" w:hAnsi="宋体" w:cs="宋体" w:hint="eastAsia"/>
          <w:color w:val="0000FF"/>
          <w:kern w:val="0"/>
          <w:sz w:val="24"/>
          <w:szCs w:val="28"/>
        </w:rPr>
        <w:t>（此公告涉及业务流程及操作，请按相关要求逐项编制公告，勿随意删改）</w:t>
      </w:r>
    </w:p>
    <w:p w:rsidR="00F54AE6" w:rsidRPr="00F54AE6" w:rsidRDefault="00F54AE6" w:rsidP="00F54AE6">
      <w:pPr>
        <w:rPr>
          <w:rFonts w:ascii="Calibri" w:eastAsia="宋体" w:hAnsi="Calibri" w:cs="Times New Roman"/>
        </w:rPr>
      </w:pPr>
    </w:p>
    <w:p w:rsidR="00F54AE6" w:rsidRPr="00F54AE6" w:rsidRDefault="00F54AE6" w:rsidP="00F54AE6">
      <w:pPr>
        <w:adjustRightInd w:val="0"/>
        <w:snapToGrid w:val="0"/>
        <w:spacing w:line="560" w:lineRule="exact"/>
        <w:jc w:val="left"/>
        <w:rPr>
          <w:rFonts w:ascii="仿宋" w:eastAsia="仿宋_GB2312" w:hAnsi="仿宋" w:cs="Times New Roman"/>
          <w:b/>
          <w:sz w:val="30"/>
          <w:szCs w:val="30"/>
        </w:rPr>
      </w:pPr>
      <w:r w:rsidRPr="00F54AE6">
        <w:rPr>
          <w:rFonts w:ascii="仿宋" w:eastAsia="仿宋_GB2312" w:hAnsi="仿宋" w:cs="Times New Roman" w:hint="eastAsia"/>
          <w:b/>
          <w:sz w:val="30"/>
          <w:szCs w:val="30"/>
        </w:rPr>
        <w:t>适用情形：</w:t>
      </w:r>
    </w:p>
    <w:p w:rsidR="00F54AE6" w:rsidRPr="00F54AE6" w:rsidRDefault="00F54AE6" w:rsidP="00F54AE6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  <w:r w:rsidRPr="00F54AE6">
        <w:rPr>
          <w:rFonts w:ascii="仿宋" w:eastAsia="仿宋_GB2312" w:hAnsi="仿宋" w:cs="Times New Roman" w:hint="eastAsia"/>
          <w:sz w:val="30"/>
          <w:szCs w:val="30"/>
        </w:rPr>
        <w:t>可转债评级调整并披露相关公告时，适用本公告格式。</w:t>
      </w:r>
    </w:p>
    <w:p w:rsidR="00F54AE6" w:rsidRPr="00F54AE6" w:rsidRDefault="00F54AE6" w:rsidP="00F54AE6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</w:p>
    <w:p w:rsidR="00F54AE6" w:rsidRPr="00F54AE6" w:rsidRDefault="00F54AE6" w:rsidP="00F54AE6">
      <w:pPr>
        <w:widowControl/>
        <w:adjustRightInd w:val="0"/>
        <w:snapToGrid w:val="0"/>
        <w:spacing w:line="560" w:lineRule="exact"/>
        <w:rPr>
          <w:rFonts w:ascii="仿宋" w:eastAsia="仿宋_GB2312" w:hAnsi="仿宋" w:cs="宋体"/>
          <w:color w:val="000000"/>
          <w:kern w:val="0"/>
          <w:sz w:val="30"/>
          <w:szCs w:val="30"/>
        </w:rPr>
      </w:pPr>
      <w:r w:rsidRPr="00F54AE6">
        <w:rPr>
          <w:rFonts w:ascii="仿宋" w:eastAsia="仿宋_GB2312" w:hAnsi="仿宋" w:cs="宋体"/>
          <w:color w:val="000000"/>
          <w:kern w:val="0"/>
          <w:sz w:val="30"/>
          <w:szCs w:val="30"/>
        </w:rPr>
        <w:t>证券代码：</w:t>
      </w:r>
      <w:r w:rsidRPr="00F54AE6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</w:t>
      </w:r>
      <w:r w:rsidRPr="00F54AE6">
        <w:rPr>
          <w:rFonts w:ascii="仿宋" w:eastAsia="仿宋_GB2312" w:hAnsi="仿宋" w:cs="宋体"/>
          <w:color w:val="000000"/>
          <w:kern w:val="0"/>
          <w:sz w:val="30"/>
          <w:szCs w:val="30"/>
        </w:rPr>
        <w:t xml:space="preserve">        </w:t>
      </w:r>
      <w:r w:rsidRPr="00F54AE6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</w:t>
      </w:r>
      <w:r w:rsidRPr="00F54AE6">
        <w:rPr>
          <w:rFonts w:ascii="仿宋" w:eastAsia="仿宋_GB2312" w:hAnsi="仿宋" w:cs="宋体"/>
          <w:color w:val="000000"/>
          <w:kern w:val="0"/>
          <w:sz w:val="30"/>
          <w:szCs w:val="30"/>
        </w:rPr>
        <w:t xml:space="preserve">  </w:t>
      </w:r>
      <w:r w:rsidRPr="00F54AE6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</w:t>
      </w:r>
      <w:r w:rsidRPr="00F54AE6">
        <w:rPr>
          <w:rFonts w:ascii="仿宋" w:eastAsia="仿宋_GB2312" w:hAnsi="仿宋" w:cs="宋体"/>
          <w:color w:val="000000"/>
          <w:kern w:val="0"/>
          <w:sz w:val="30"/>
          <w:szCs w:val="30"/>
        </w:rPr>
        <w:t>证券简称：</w:t>
      </w:r>
      <w:r w:rsidRPr="00F54AE6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    </w:t>
      </w:r>
      <w:r w:rsidRPr="00F54AE6">
        <w:rPr>
          <w:rFonts w:ascii="仿宋" w:eastAsia="仿宋_GB2312" w:hAnsi="仿宋" w:cs="宋体"/>
          <w:color w:val="000000"/>
          <w:kern w:val="0"/>
          <w:sz w:val="30"/>
          <w:szCs w:val="30"/>
        </w:rPr>
        <w:t xml:space="preserve">       </w:t>
      </w:r>
      <w:r w:rsidRPr="00F54AE6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>公告</w:t>
      </w:r>
      <w:r w:rsidRPr="00F54AE6">
        <w:rPr>
          <w:rFonts w:ascii="仿宋" w:eastAsia="仿宋_GB2312" w:hAnsi="仿宋" w:cs="宋体"/>
          <w:color w:val="000000"/>
          <w:kern w:val="0"/>
          <w:sz w:val="30"/>
          <w:szCs w:val="30"/>
        </w:rPr>
        <w:t>编号：</w:t>
      </w:r>
    </w:p>
    <w:p w:rsidR="00F54AE6" w:rsidRPr="00F54AE6" w:rsidRDefault="00F54AE6" w:rsidP="00F54AE6">
      <w:pPr>
        <w:widowControl/>
        <w:adjustRightInd w:val="0"/>
        <w:snapToGrid w:val="0"/>
        <w:spacing w:line="560" w:lineRule="exact"/>
        <w:rPr>
          <w:rFonts w:ascii="仿宋" w:eastAsia="仿宋_GB2312" w:hAnsi="仿宋" w:cs="宋体"/>
          <w:color w:val="000000"/>
          <w:kern w:val="0"/>
          <w:sz w:val="30"/>
          <w:szCs w:val="30"/>
        </w:rPr>
      </w:pPr>
      <w:r w:rsidRPr="00F54AE6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>转债代码：</w:t>
      </w:r>
      <w:r w:rsidRPr="00F54AE6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 </w:t>
      </w:r>
      <w:r w:rsidRPr="00F54AE6">
        <w:rPr>
          <w:rFonts w:ascii="仿宋" w:eastAsia="仿宋_GB2312" w:hAnsi="仿宋" w:cs="宋体"/>
          <w:color w:val="000000"/>
          <w:kern w:val="0"/>
          <w:sz w:val="30"/>
          <w:szCs w:val="30"/>
        </w:rPr>
        <w:t xml:space="preserve">         </w:t>
      </w:r>
      <w:r w:rsidRPr="00F54AE6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 </w:t>
      </w:r>
      <w:r w:rsidRPr="00F54AE6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>转债简称</w:t>
      </w:r>
      <w:r w:rsidRPr="00F54AE6">
        <w:rPr>
          <w:rFonts w:ascii="仿宋" w:eastAsia="仿宋_GB2312" w:hAnsi="仿宋" w:cs="宋体"/>
          <w:color w:val="000000"/>
          <w:kern w:val="0"/>
          <w:sz w:val="30"/>
          <w:szCs w:val="30"/>
        </w:rPr>
        <w:t>：</w:t>
      </w:r>
      <w:r w:rsidRPr="00F54AE6">
        <w:rPr>
          <w:rFonts w:ascii="仿宋" w:eastAsia="仿宋_GB2312" w:hAnsi="仿宋" w:cs="宋体" w:hint="eastAsia"/>
          <w:color w:val="000000"/>
          <w:kern w:val="0"/>
          <w:sz w:val="30"/>
          <w:szCs w:val="30"/>
        </w:rPr>
        <w:t xml:space="preserve">     </w:t>
      </w:r>
    </w:p>
    <w:p w:rsidR="00F54AE6" w:rsidRPr="00F54AE6" w:rsidRDefault="00F54AE6" w:rsidP="00F54AE6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</w:p>
    <w:p w:rsidR="00F54AE6" w:rsidRPr="00F54AE6" w:rsidRDefault="00F54AE6" w:rsidP="00F54AE6">
      <w:pPr>
        <w:adjustRightInd w:val="0"/>
        <w:snapToGrid w:val="0"/>
        <w:spacing w:line="560" w:lineRule="exact"/>
        <w:jc w:val="center"/>
        <w:rPr>
          <w:rFonts w:ascii="仿宋" w:eastAsia="仿宋_GB2312" w:hAnsi="仿宋" w:cs="Times New Roman"/>
          <w:sz w:val="30"/>
          <w:szCs w:val="30"/>
        </w:rPr>
      </w:pPr>
      <w:r w:rsidRPr="00F54AE6">
        <w:rPr>
          <w:rFonts w:ascii="仿宋" w:eastAsia="仿宋_GB2312" w:hAnsi="仿宋" w:cs="Times New Roman"/>
          <w:sz w:val="30"/>
          <w:szCs w:val="30"/>
        </w:rPr>
        <w:t>XXXX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股份有限公司关于“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转债”评级调整公告</w:t>
      </w:r>
    </w:p>
    <w:p w:rsidR="00F54AE6" w:rsidRPr="00F54AE6" w:rsidRDefault="00F54AE6" w:rsidP="00F54AE6">
      <w:pPr>
        <w:adjustRightInd w:val="0"/>
        <w:snapToGrid w:val="0"/>
        <w:spacing w:line="560" w:lineRule="exact"/>
        <w:ind w:left="360" w:firstLineChars="200" w:firstLine="600"/>
        <w:jc w:val="center"/>
        <w:rPr>
          <w:rFonts w:ascii="仿宋" w:eastAsia="仿宋_GB2312" w:hAnsi="仿宋" w:cs="Times New Roman"/>
          <w:sz w:val="30"/>
          <w:szCs w:val="30"/>
        </w:rPr>
      </w:pPr>
    </w:p>
    <w:p w:rsidR="00F54AE6" w:rsidRPr="00F54AE6" w:rsidRDefault="00F54AE6" w:rsidP="00F54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color w:val="000000"/>
          <w:sz w:val="30"/>
          <w:szCs w:val="30"/>
        </w:rPr>
      </w:pPr>
      <w:r w:rsidRPr="00F54AE6">
        <w:rPr>
          <w:rFonts w:ascii="仿宋" w:eastAsia="仿宋_GB2312" w:hAnsi="仿宋" w:cs="Times New Roman" w:hint="eastAsia"/>
          <w:color w:val="000000"/>
          <w:sz w:val="30"/>
          <w:szCs w:val="30"/>
        </w:rPr>
        <w:t>本公司董事会及全体董事保证本公告内容不存在任何虚假记载、误导性陈述或者重大遗漏，并对其内容的真实性、准确性和完整性承担法律责任。</w:t>
      </w:r>
    </w:p>
    <w:p w:rsidR="00F54AE6" w:rsidRPr="00F54AE6" w:rsidRDefault="00F54AE6" w:rsidP="00F54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color w:val="000000"/>
          <w:sz w:val="30"/>
          <w:szCs w:val="30"/>
        </w:rPr>
      </w:pPr>
      <w:r w:rsidRPr="00F54AE6">
        <w:rPr>
          <w:rFonts w:ascii="仿宋" w:eastAsia="仿宋_GB2312" w:hAnsi="仿宋" w:cs="Times New Roman" w:hint="eastAsia"/>
          <w:color w:val="000000"/>
          <w:sz w:val="30"/>
          <w:szCs w:val="30"/>
        </w:rPr>
        <w:t>如有董事对临时公告内容的真实性、准确性和完整性无法保证或存在异议的，公司应当在公告中作特别提示。</w:t>
      </w:r>
    </w:p>
    <w:p w:rsidR="00F54AE6" w:rsidRPr="00F54AE6" w:rsidRDefault="00F54AE6" w:rsidP="00F54AE6">
      <w:pPr>
        <w:adjustRightInd w:val="0"/>
        <w:snapToGrid w:val="0"/>
        <w:spacing w:line="560" w:lineRule="exact"/>
        <w:ind w:firstLineChars="200" w:firstLine="602"/>
        <w:rPr>
          <w:rFonts w:ascii="仿宋" w:eastAsia="仿宋_GB2312" w:hAnsi="仿宋" w:cs="Times New Roman"/>
          <w:b/>
          <w:color w:val="000000"/>
          <w:sz w:val="30"/>
          <w:szCs w:val="30"/>
        </w:rPr>
      </w:pPr>
    </w:p>
    <w:p w:rsidR="00F54AE6" w:rsidRPr="00F54AE6" w:rsidRDefault="00F54AE6" w:rsidP="00F54AE6">
      <w:pPr>
        <w:adjustRightInd w:val="0"/>
        <w:snapToGrid w:val="0"/>
        <w:spacing w:line="560" w:lineRule="exact"/>
        <w:ind w:firstLineChars="200" w:firstLine="602"/>
        <w:jc w:val="left"/>
        <w:rPr>
          <w:rFonts w:ascii="仿宋" w:eastAsia="仿宋_GB2312" w:hAnsi="仿宋" w:cs="Times New Roman"/>
          <w:b/>
          <w:sz w:val="30"/>
          <w:szCs w:val="30"/>
        </w:rPr>
      </w:pPr>
      <w:r w:rsidRPr="00F54AE6">
        <w:rPr>
          <w:rFonts w:ascii="仿宋" w:eastAsia="仿宋_GB2312" w:hAnsi="仿宋" w:cs="Times New Roman" w:hint="eastAsia"/>
          <w:b/>
          <w:sz w:val="30"/>
          <w:szCs w:val="30"/>
        </w:rPr>
        <w:t>重要内容提示：</w:t>
      </w:r>
    </w:p>
    <w:p w:rsidR="00F54AE6" w:rsidRPr="00F54AE6" w:rsidRDefault="00F54AE6" w:rsidP="00F54AE6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  <w:r w:rsidRPr="00F54AE6">
        <w:rPr>
          <w:rFonts w:ascii="仿宋" w:eastAsia="仿宋_GB2312" w:hAnsi="仿宋" w:cs="Times New Roman" w:hint="eastAsia"/>
          <w:sz w:val="30"/>
          <w:szCs w:val="30"/>
        </w:rPr>
        <w:t>调整前</w:t>
      </w:r>
      <w:r w:rsidRPr="00F54AE6">
        <w:rPr>
          <w:rFonts w:ascii="仿宋" w:eastAsia="仿宋_GB2312" w:hAnsi="仿宋" w:cs="Times New Roman"/>
          <w:sz w:val="30"/>
          <w:szCs w:val="30"/>
        </w:rPr>
        <w:t>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转债评级：</w:t>
      </w:r>
      <w:r w:rsidRPr="00F54AE6">
        <w:rPr>
          <w:rFonts w:ascii="仿宋" w:eastAsia="仿宋_GB2312" w:hAnsi="仿宋" w:cs="Times New Roman"/>
          <w:sz w:val="30"/>
          <w:szCs w:val="30"/>
        </w:rPr>
        <w:t xml:space="preserve">  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主体评级：</w:t>
      </w:r>
    </w:p>
    <w:p w:rsidR="00F54AE6" w:rsidRPr="00F54AE6" w:rsidRDefault="00F54AE6" w:rsidP="00F54AE6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  <w:r w:rsidRPr="00F54AE6">
        <w:rPr>
          <w:rFonts w:ascii="仿宋" w:eastAsia="仿宋_GB2312" w:hAnsi="仿宋" w:cs="Times New Roman" w:hint="eastAsia"/>
          <w:sz w:val="30"/>
          <w:szCs w:val="30"/>
        </w:rPr>
        <w:t>调整后</w:t>
      </w:r>
      <w:r w:rsidRPr="00F54AE6">
        <w:rPr>
          <w:rFonts w:ascii="仿宋" w:eastAsia="仿宋_GB2312" w:hAnsi="仿宋" w:cs="Times New Roman"/>
          <w:sz w:val="30"/>
          <w:szCs w:val="30"/>
        </w:rPr>
        <w:t>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转债评级：</w:t>
      </w:r>
      <w:r w:rsidRPr="00F54AE6">
        <w:rPr>
          <w:rFonts w:ascii="仿宋" w:eastAsia="仿宋_GB2312" w:hAnsi="仿宋" w:cs="Times New Roman"/>
          <w:sz w:val="30"/>
          <w:szCs w:val="30"/>
        </w:rPr>
        <w:t xml:space="preserve">  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主体评级：</w:t>
      </w:r>
    </w:p>
    <w:p w:rsidR="00F54AE6" w:rsidRPr="00F54AE6" w:rsidRDefault="00F54AE6" w:rsidP="00F54AE6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  <w:r w:rsidRPr="00F54AE6">
        <w:rPr>
          <w:rFonts w:ascii="仿宋" w:eastAsia="仿宋_GB2312" w:hAnsi="仿宋" w:cs="Times New Roman" w:hint="eastAsia"/>
          <w:sz w:val="30"/>
          <w:szCs w:val="30"/>
        </w:rPr>
        <w:t>调整后</w:t>
      </w:r>
      <w:r w:rsidRPr="00F54AE6">
        <w:rPr>
          <w:rFonts w:ascii="仿宋" w:eastAsia="仿宋_GB2312" w:hAnsi="仿宋" w:cs="Times New Roman"/>
          <w:sz w:val="30"/>
          <w:szCs w:val="30"/>
        </w:rPr>
        <w:t>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转债不可</w:t>
      </w:r>
      <w:r w:rsidRPr="00F54AE6">
        <w:rPr>
          <w:rFonts w:ascii="仿宋" w:eastAsia="仿宋_GB2312" w:hAnsi="仿宋" w:cs="Times New Roman"/>
          <w:sz w:val="30"/>
          <w:szCs w:val="30"/>
        </w:rPr>
        <w:t>/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仍可作为债券质押式回购交易的质押券</w:t>
      </w:r>
    </w:p>
    <w:p w:rsidR="00F54AE6" w:rsidRPr="00F54AE6" w:rsidRDefault="00F54AE6" w:rsidP="00F54AE6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</w:p>
    <w:p w:rsidR="00F54AE6" w:rsidRPr="00F54AE6" w:rsidRDefault="00F54AE6" w:rsidP="00F54AE6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  <w:r w:rsidRPr="00F54AE6">
        <w:rPr>
          <w:rFonts w:ascii="仿宋" w:eastAsia="仿宋_GB2312" w:hAnsi="仿宋" w:cs="Times New Roman" w:hint="eastAsia"/>
          <w:sz w:val="30"/>
          <w:szCs w:val="30"/>
        </w:rPr>
        <w:t>根据《科创板上市公司证券发行注册管理办法（试行）》等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lastRenderedPageBreak/>
        <w:t>有关规定，本公司委托信用评级机构</w:t>
      </w:r>
      <w:bookmarkStart w:id="5" w:name="OLE_LINK3"/>
      <w:r w:rsidRPr="00F54AE6">
        <w:rPr>
          <w:rFonts w:ascii="仿宋" w:eastAsia="仿宋_GB2312" w:hAnsi="仿宋" w:cs="Times New Roman"/>
          <w:sz w:val="30"/>
          <w:szCs w:val="30"/>
        </w:rPr>
        <w:t>XXXX</w:t>
      </w:r>
      <w:bookmarkEnd w:id="5"/>
      <w:r w:rsidRPr="00F54AE6">
        <w:rPr>
          <w:rFonts w:ascii="仿宋" w:eastAsia="仿宋_GB2312" w:hAnsi="仿宋" w:cs="Times New Roman" w:hint="eastAsia"/>
          <w:sz w:val="30"/>
          <w:szCs w:val="30"/>
        </w:rPr>
        <w:t>公司对本公司</w:t>
      </w:r>
      <w:r w:rsidRPr="00F54AE6">
        <w:rPr>
          <w:rFonts w:ascii="仿宋" w:eastAsia="仿宋_GB2312" w:hAnsi="仿宋" w:cs="Times New Roman"/>
          <w:sz w:val="30"/>
          <w:szCs w:val="30"/>
        </w:rPr>
        <w:t>XXXX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年发行的</w:t>
      </w:r>
      <w:r w:rsidRPr="00F54AE6">
        <w:rPr>
          <w:rFonts w:ascii="仿宋" w:eastAsia="仿宋_GB2312" w:hAnsi="仿宋" w:cs="Times New Roman"/>
          <w:sz w:val="30"/>
          <w:szCs w:val="30"/>
        </w:rPr>
        <w:t>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转债进行了跟踪信用评级。</w:t>
      </w:r>
    </w:p>
    <w:p w:rsidR="00F54AE6" w:rsidRPr="00F54AE6" w:rsidRDefault="00F54AE6" w:rsidP="00F54AE6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  <w:r w:rsidRPr="00F54AE6">
        <w:rPr>
          <w:rFonts w:ascii="仿宋" w:eastAsia="仿宋_GB2312" w:hAnsi="仿宋" w:cs="Times New Roman" w:hint="eastAsia"/>
          <w:sz w:val="30"/>
          <w:szCs w:val="30"/>
        </w:rPr>
        <w:t>本公司前次主体信用评级结果为</w:t>
      </w:r>
      <w:r w:rsidRPr="00F54AE6">
        <w:rPr>
          <w:rFonts w:ascii="仿宋" w:eastAsia="仿宋_GB2312" w:hAnsi="仿宋" w:cs="Times New Roman"/>
          <w:sz w:val="30"/>
          <w:szCs w:val="30"/>
        </w:rPr>
        <w:t>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；</w:t>
      </w:r>
      <w:r w:rsidRPr="00F54AE6">
        <w:rPr>
          <w:rFonts w:ascii="仿宋" w:eastAsia="仿宋_GB2312" w:hAnsi="仿宋" w:cs="Times New Roman"/>
          <w:sz w:val="30"/>
          <w:szCs w:val="30"/>
        </w:rPr>
        <w:t>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转债前次评级结果为</w:t>
      </w:r>
      <w:r w:rsidRPr="00F54AE6">
        <w:rPr>
          <w:rFonts w:ascii="仿宋" w:eastAsia="仿宋_GB2312" w:hAnsi="仿宋" w:cs="Times New Roman"/>
          <w:sz w:val="30"/>
          <w:szCs w:val="30"/>
        </w:rPr>
        <w:t>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；评级机构为</w:t>
      </w:r>
      <w:r w:rsidRPr="00F54AE6">
        <w:rPr>
          <w:rFonts w:ascii="仿宋" w:eastAsia="仿宋_GB2312" w:hAnsi="仿宋" w:cs="Times New Roman"/>
          <w:sz w:val="30"/>
          <w:szCs w:val="30"/>
        </w:rPr>
        <w:t>XXXX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公司，评级时间为</w:t>
      </w:r>
      <w:r w:rsidRPr="00F54AE6">
        <w:rPr>
          <w:rFonts w:ascii="仿宋" w:eastAsia="仿宋_GB2312" w:hAnsi="仿宋" w:cs="Times New Roman"/>
          <w:sz w:val="30"/>
          <w:szCs w:val="30"/>
        </w:rPr>
        <w:t>XXXX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年</w:t>
      </w:r>
      <w:r w:rsidRPr="00F54AE6">
        <w:rPr>
          <w:rFonts w:ascii="仿宋" w:eastAsia="仿宋_GB2312" w:hAnsi="仿宋" w:cs="Times New Roman"/>
          <w:sz w:val="30"/>
          <w:szCs w:val="30"/>
        </w:rPr>
        <w:t>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月</w:t>
      </w:r>
      <w:r w:rsidRPr="00F54AE6">
        <w:rPr>
          <w:rFonts w:ascii="仿宋" w:eastAsia="仿宋_GB2312" w:hAnsi="仿宋" w:cs="Times New Roman"/>
          <w:sz w:val="30"/>
          <w:szCs w:val="30"/>
        </w:rPr>
        <w:t>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日。</w:t>
      </w:r>
    </w:p>
    <w:p w:rsidR="00F54AE6" w:rsidRPr="00F54AE6" w:rsidRDefault="00F54AE6" w:rsidP="00F54AE6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  <w:r w:rsidRPr="00F54AE6">
        <w:rPr>
          <w:rFonts w:ascii="仿宋" w:eastAsia="仿宋_GB2312" w:hAnsi="仿宋" w:cs="Times New Roman" w:hint="eastAsia"/>
          <w:sz w:val="30"/>
          <w:szCs w:val="30"/>
        </w:rPr>
        <w:t>评级机构</w:t>
      </w:r>
      <w:r w:rsidRPr="00F54AE6">
        <w:rPr>
          <w:rFonts w:ascii="仿宋" w:eastAsia="仿宋_GB2312" w:hAnsi="仿宋" w:cs="Times New Roman"/>
          <w:sz w:val="30"/>
          <w:szCs w:val="30"/>
        </w:rPr>
        <w:t>XXXX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公司在对本公司经营状况</w:t>
      </w:r>
      <w:r w:rsidRPr="00F54AE6">
        <w:rPr>
          <w:rFonts w:ascii="仿宋" w:eastAsia="仿宋_GB2312" w:hAnsi="仿宋" w:cs="Times New Roman"/>
          <w:sz w:val="30"/>
          <w:szCs w:val="30"/>
        </w:rPr>
        <w:t>/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行业</w:t>
      </w:r>
      <w:r w:rsidRPr="00F54AE6">
        <w:rPr>
          <w:rFonts w:ascii="仿宋" w:eastAsia="仿宋_GB2312" w:hAnsi="仿宋" w:cs="Times New Roman"/>
          <w:sz w:val="30"/>
          <w:szCs w:val="30"/>
        </w:rPr>
        <w:t>/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其他情况进行综合分析与评估的基础上，于</w:t>
      </w:r>
      <w:r w:rsidRPr="00F54AE6">
        <w:rPr>
          <w:rFonts w:ascii="仿宋" w:eastAsia="仿宋_GB2312" w:hAnsi="仿宋" w:cs="Times New Roman"/>
          <w:sz w:val="30"/>
          <w:szCs w:val="30"/>
        </w:rPr>
        <w:t>XXXX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年</w:t>
      </w:r>
      <w:r w:rsidRPr="00F54AE6">
        <w:rPr>
          <w:rFonts w:ascii="仿宋" w:eastAsia="仿宋_GB2312" w:hAnsi="仿宋" w:cs="Times New Roman"/>
          <w:sz w:val="30"/>
          <w:szCs w:val="30"/>
        </w:rPr>
        <w:t>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月</w:t>
      </w:r>
      <w:r w:rsidRPr="00F54AE6">
        <w:rPr>
          <w:rFonts w:ascii="仿宋" w:eastAsia="仿宋_GB2312" w:hAnsi="仿宋" w:cs="Times New Roman"/>
          <w:sz w:val="30"/>
          <w:szCs w:val="30"/>
        </w:rPr>
        <w:t>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日出具了《</w:t>
      </w:r>
      <w:r w:rsidRPr="00F54AE6">
        <w:rPr>
          <w:rFonts w:ascii="仿宋" w:eastAsia="仿宋_GB2312" w:hAnsi="仿宋" w:cs="Times New Roman"/>
          <w:sz w:val="30"/>
          <w:szCs w:val="30"/>
        </w:rPr>
        <w:t>XXXX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评级报告》，本次公司主体信用评级结果为：</w:t>
      </w:r>
      <w:r w:rsidRPr="00F54AE6">
        <w:rPr>
          <w:rFonts w:ascii="仿宋" w:eastAsia="仿宋_GB2312" w:hAnsi="仿宋" w:cs="Times New Roman"/>
          <w:sz w:val="30"/>
          <w:szCs w:val="30"/>
        </w:rPr>
        <w:t>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；</w:t>
      </w:r>
      <w:r w:rsidRPr="00F54AE6">
        <w:rPr>
          <w:rFonts w:ascii="仿宋" w:eastAsia="仿宋_GB2312" w:hAnsi="仿宋" w:cs="Times New Roman"/>
          <w:sz w:val="30"/>
          <w:szCs w:val="30"/>
        </w:rPr>
        <w:t>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转债评级结果为：</w:t>
      </w:r>
      <w:r w:rsidRPr="00F54AE6">
        <w:rPr>
          <w:rFonts w:ascii="仿宋" w:eastAsia="仿宋_GB2312" w:hAnsi="仿宋" w:cs="Times New Roman"/>
          <w:sz w:val="30"/>
          <w:szCs w:val="30"/>
        </w:rPr>
        <w:t>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。本次评级调整后，</w:t>
      </w:r>
      <w:r w:rsidRPr="00F54AE6">
        <w:rPr>
          <w:rFonts w:ascii="仿宋" w:eastAsia="仿宋_GB2312" w:hAnsi="仿宋" w:cs="Times New Roman"/>
          <w:sz w:val="30"/>
          <w:szCs w:val="30"/>
        </w:rPr>
        <w:t>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转债不可</w:t>
      </w:r>
      <w:r w:rsidRPr="00F54AE6">
        <w:rPr>
          <w:rFonts w:ascii="仿宋" w:eastAsia="仿宋_GB2312" w:hAnsi="仿宋" w:cs="Times New Roman"/>
          <w:sz w:val="30"/>
          <w:szCs w:val="30"/>
        </w:rPr>
        <w:t>/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仍可作为债券质押式回购交易的质押券。</w:t>
      </w:r>
    </w:p>
    <w:p w:rsidR="00F54AE6" w:rsidRPr="00F54AE6" w:rsidRDefault="00F54AE6" w:rsidP="00F54AE6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 w:cs="Times New Roman"/>
          <w:sz w:val="30"/>
          <w:szCs w:val="30"/>
        </w:rPr>
      </w:pPr>
      <w:r w:rsidRPr="00F54AE6">
        <w:rPr>
          <w:rFonts w:ascii="仿宋" w:eastAsia="仿宋_GB2312" w:hAnsi="仿宋" w:cs="Times New Roman" w:hint="eastAsia"/>
          <w:sz w:val="30"/>
          <w:szCs w:val="30"/>
        </w:rPr>
        <w:t>本次信用评级报告《</w:t>
      </w:r>
      <w:r w:rsidRPr="00F54AE6">
        <w:rPr>
          <w:rFonts w:ascii="仿宋" w:eastAsia="仿宋_GB2312" w:hAnsi="仿宋" w:cs="Times New Roman"/>
          <w:sz w:val="30"/>
          <w:szCs w:val="30"/>
        </w:rPr>
        <w:t>XXXX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》详见上海证券交易所网站（</w:t>
      </w:r>
      <w:hyperlink r:id="rId6" w:history="1">
        <w:r w:rsidRPr="00F54AE6">
          <w:rPr>
            <w:rFonts w:ascii="仿宋" w:eastAsia="仿宋_GB2312" w:hAnsi="仿宋" w:cs="Times New Roman"/>
            <w:sz w:val="30"/>
            <w:szCs w:val="30"/>
          </w:rPr>
          <w:t>www.sse.com.cn</w:t>
        </w:r>
      </w:hyperlink>
      <w:r w:rsidRPr="00F54AE6">
        <w:rPr>
          <w:rFonts w:ascii="仿宋" w:eastAsia="仿宋_GB2312" w:hAnsi="仿宋" w:cs="Times New Roman" w:hint="eastAsia"/>
          <w:sz w:val="30"/>
          <w:szCs w:val="30"/>
        </w:rPr>
        <w:t>）。</w:t>
      </w:r>
    </w:p>
    <w:p w:rsidR="00F54AE6" w:rsidRPr="00F54AE6" w:rsidRDefault="00F54AE6" w:rsidP="00F54AE6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</w:p>
    <w:p w:rsidR="00F54AE6" w:rsidRPr="00F54AE6" w:rsidRDefault="00F54AE6" w:rsidP="00F54AE6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  <w:r w:rsidRPr="00F54AE6">
        <w:rPr>
          <w:rFonts w:ascii="仿宋" w:eastAsia="仿宋_GB2312" w:hAnsi="仿宋" w:cs="Times New Roman" w:hint="eastAsia"/>
          <w:sz w:val="30"/>
          <w:szCs w:val="30"/>
        </w:rPr>
        <w:t>特此公告。</w:t>
      </w:r>
      <w:r w:rsidRPr="00F54AE6">
        <w:rPr>
          <w:rFonts w:ascii="仿宋" w:eastAsia="仿宋_GB2312" w:hAnsi="仿宋" w:cs="Times New Roman"/>
          <w:sz w:val="30"/>
          <w:szCs w:val="30"/>
        </w:rPr>
        <w:t xml:space="preserve"> </w:t>
      </w:r>
    </w:p>
    <w:p w:rsidR="00F54AE6" w:rsidRPr="00F54AE6" w:rsidRDefault="00F54AE6" w:rsidP="00F54AE6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</w:p>
    <w:p w:rsidR="00F54AE6" w:rsidRPr="00F54AE6" w:rsidRDefault="00F54AE6" w:rsidP="00F54AE6">
      <w:pPr>
        <w:adjustRightInd w:val="0"/>
        <w:snapToGrid w:val="0"/>
        <w:spacing w:line="560" w:lineRule="exact"/>
        <w:ind w:firstLineChars="200" w:firstLine="600"/>
        <w:jc w:val="right"/>
        <w:rPr>
          <w:rFonts w:ascii="仿宋" w:eastAsia="仿宋_GB2312" w:hAnsi="仿宋" w:cs="Times New Roman"/>
          <w:sz w:val="30"/>
          <w:szCs w:val="30"/>
        </w:rPr>
      </w:pPr>
      <w:r w:rsidRPr="00F54AE6">
        <w:rPr>
          <w:rFonts w:ascii="仿宋" w:eastAsia="仿宋_GB2312" w:hAnsi="仿宋" w:cs="Times New Roman"/>
          <w:sz w:val="30"/>
          <w:szCs w:val="30"/>
        </w:rPr>
        <w:t>XXXX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股份有限公司董事会</w:t>
      </w:r>
    </w:p>
    <w:p w:rsidR="00F54AE6" w:rsidRPr="00F54AE6" w:rsidRDefault="00F54AE6" w:rsidP="00F54AE6">
      <w:pPr>
        <w:adjustRightInd w:val="0"/>
        <w:snapToGrid w:val="0"/>
        <w:spacing w:line="560" w:lineRule="exact"/>
        <w:ind w:firstLineChars="200" w:firstLine="600"/>
        <w:jc w:val="right"/>
        <w:rPr>
          <w:rFonts w:ascii="仿宋" w:eastAsia="仿宋_GB2312" w:hAnsi="仿宋" w:cs="Times New Roman"/>
          <w:sz w:val="30"/>
          <w:szCs w:val="30"/>
        </w:rPr>
      </w:pPr>
      <w:r w:rsidRPr="00F54AE6">
        <w:rPr>
          <w:rFonts w:ascii="仿宋" w:eastAsia="仿宋_GB2312" w:hAnsi="仿宋" w:cs="Times New Roman" w:hint="eastAsia"/>
          <w:sz w:val="30"/>
          <w:szCs w:val="30"/>
        </w:rPr>
        <w:t>年</w:t>
      </w:r>
      <w:r w:rsidRPr="00F54AE6">
        <w:rPr>
          <w:rFonts w:ascii="仿宋" w:eastAsia="仿宋_GB2312" w:hAnsi="仿宋" w:cs="Times New Roman"/>
          <w:sz w:val="30"/>
          <w:szCs w:val="30"/>
        </w:rPr>
        <w:t xml:space="preserve">  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月</w:t>
      </w:r>
      <w:r w:rsidRPr="00F54AE6">
        <w:rPr>
          <w:rFonts w:ascii="仿宋" w:eastAsia="仿宋_GB2312" w:hAnsi="仿宋" w:cs="Times New Roman"/>
          <w:sz w:val="30"/>
          <w:szCs w:val="30"/>
        </w:rPr>
        <w:t xml:space="preserve">  </w:t>
      </w:r>
      <w:r w:rsidRPr="00F54AE6">
        <w:rPr>
          <w:rFonts w:ascii="仿宋" w:eastAsia="仿宋_GB2312" w:hAnsi="仿宋" w:cs="Times New Roman" w:hint="eastAsia"/>
          <w:sz w:val="30"/>
          <w:szCs w:val="30"/>
        </w:rPr>
        <w:t>日</w:t>
      </w:r>
    </w:p>
    <w:p w:rsidR="00F54AE6" w:rsidRPr="00F54AE6" w:rsidRDefault="00F54AE6" w:rsidP="00F54AE6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</w:p>
    <w:p w:rsidR="00F54AE6" w:rsidRPr="00F54AE6" w:rsidRDefault="00F54AE6" w:rsidP="00F54AE6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" w:eastAsia="仿宋_GB2312" w:hAnsi="仿宋" w:cs="Times New Roman"/>
          <w:sz w:val="30"/>
          <w:szCs w:val="30"/>
        </w:rPr>
      </w:pPr>
    </w:p>
    <w:p w:rsidR="00F54AE6" w:rsidRPr="00F54AE6" w:rsidRDefault="00F54AE6" w:rsidP="00F54AE6">
      <w:pPr>
        <w:widowControl/>
        <w:jc w:val="left"/>
        <w:rPr>
          <w:rFonts w:ascii="仿宋" w:eastAsia="仿宋_GB2312" w:hAnsi="仿宋" w:cs="Times New Roman"/>
          <w:sz w:val="30"/>
          <w:szCs w:val="30"/>
        </w:rPr>
      </w:pPr>
    </w:p>
    <w:p w:rsidR="00217B49" w:rsidRDefault="00CC3640"/>
    <w:sectPr w:rsidR="00217B49" w:rsidSect="00A47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640" w:rsidRDefault="00CC3640" w:rsidP="00F54AE6">
      <w:r>
        <w:separator/>
      </w:r>
    </w:p>
  </w:endnote>
  <w:endnote w:type="continuationSeparator" w:id="0">
    <w:p w:rsidR="00CC3640" w:rsidRDefault="00CC3640" w:rsidP="00F5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640" w:rsidRDefault="00CC3640" w:rsidP="00F54AE6">
      <w:r>
        <w:separator/>
      </w:r>
    </w:p>
  </w:footnote>
  <w:footnote w:type="continuationSeparator" w:id="0">
    <w:p w:rsidR="00CC3640" w:rsidRDefault="00CC3640" w:rsidP="00F54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96"/>
    <w:rsid w:val="00B15388"/>
    <w:rsid w:val="00CC3640"/>
    <w:rsid w:val="00ED7796"/>
    <w:rsid w:val="00F54AE6"/>
    <w:rsid w:val="00FB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B8C96"/>
  <w15:chartTrackingRefBased/>
  <w15:docId w15:val="{B676A692-6B65-4B0C-94E6-A76DD3CE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4A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4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4A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se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2022-07-22T02:11:00Z</dcterms:created>
  <dcterms:modified xsi:type="dcterms:W3CDTF">2022-07-22T02:11:00Z</dcterms:modified>
</cp:coreProperties>
</file>