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449DA">
      <w:pPr>
        <w:pStyle w:val="2"/>
        <w:spacing w:before="0" w:after="0" w:line="600" w:lineRule="exact"/>
        <w:jc w:val="center"/>
        <w:rPr>
          <w:rFonts w:ascii="黑体" w:hAnsi="黑体" w:eastAsia="黑体"/>
          <w:sz w:val="36"/>
          <w:szCs w:val="36"/>
        </w:rPr>
      </w:pPr>
      <w:bookmarkStart w:id="0" w:name="_Toc531799899"/>
      <w:bookmarkStart w:id="1" w:name="_Toc408933486"/>
      <w:bookmarkStart w:id="2" w:name="_Toc330904162"/>
      <w:bookmarkStart w:id="3" w:name="_Toc501975009"/>
      <w:bookmarkStart w:id="4" w:name="_Toc408594494"/>
      <w:r>
        <w:rPr>
          <w:rFonts w:hint="eastAsia" w:ascii="黑体" w:hAnsi="黑体" w:eastAsia="黑体"/>
          <w:sz w:val="36"/>
          <w:szCs w:val="36"/>
        </w:rPr>
        <w:t>第十二号</w:t>
      </w:r>
      <w:r>
        <w:rPr>
          <w:rFonts w:ascii="黑体" w:hAnsi="黑体" w:eastAsia="黑体"/>
          <w:sz w:val="36"/>
          <w:szCs w:val="36"/>
        </w:rPr>
        <w:t xml:space="preserve"> </w:t>
      </w:r>
      <w:r>
        <w:rPr>
          <w:rFonts w:hint="eastAsia" w:ascii="黑体" w:hAnsi="黑体" w:eastAsia="黑体"/>
          <w:sz w:val="36"/>
          <w:szCs w:val="36"/>
        </w:rPr>
        <w:t>科创板上市公司业绩预告公告</w:t>
      </w:r>
      <w:bookmarkEnd w:id="0"/>
    </w:p>
    <w:p w14:paraId="26AFD3AF">
      <w:pPr>
        <w:widowControl/>
        <w:spacing w:line="600" w:lineRule="exact"/>
        <w:jc w:val="left"/>
        <w:rPr>
          <w:rFonts w:ascii="宋体" w:hAnsi="宋体" w:cs="宋体"/>
          <w:kern w:val="0"/>
          <w:sz w:val="24"/>
        </w:rPr>
      </w:pPr>
    </w:p>
    <w:p w14:paraId="2C6A9D40">
      <w:pPr>
        <w:adjustRightInd w:val="0"/>
        <w:snapToGrid w:val="0"/>
        <w:spacing w:line="600" w:lineRule="exact"/>
        <w:rPr>
          <w:rFonts w:ascii="仿宋_GB2312" w:hAnsi="宋体" w:eastAsia="仿宋_GB2312"/>
          <w:b/>
          <w:sz w:val="30"/>
          <w:szCs w:val="30"/>
        </w:rPr>
      </w:pPr>
      <w:r>
        <w:rPr>
          <w:rFonts w:hint="eastAsia" w:ascii="仿宋_GB2312" w:hAnsi="宋体" w:eastAsia="仿宋_GB2312"/>
          <w:b/>
          <w:sz w:val="30"/>
          <w:szCs w:val="30"/>
        </w:rPr>
        <w:t>适用情形：</w:t>
      </w:r>
    </w:p>
    <w:p w14:paraId="2DF2497C">
      <w:pPr>
        <w:adjustRightInd w:val="0"/>
        <w:snapToGrid w:val="0"/>
        <w:spacing w:line="600" w:lineRule="exact"/>
        <w:ind w:firstLine="600" w:firstLineChars="200"/>
        <w:rPr>
          <w:rFonts w:hint="eastAsia" w:ascii="仿宋_GB2312" w:hAnsi="宋体" w:eastAsia="仿宋_GB2312"/>
          <w:bCs/>
          <w:sz w:val="30"/>
          <w:szCs w:val="30"/>
        </w:rPr>
      </w:pPr>
      <w:r>
        <w:rPr>
          <w:rFonts w:hint="eastAsia" w:ascii="仿宋_GB2312" w:hAnsi="宋体" w:eastAsia="仿宋_GB2312"/>
          <w:bCs/>
          <w:sz w:val="30"/>
          <w:szCs w:val="30"/>
        </w:rPr>
        <w:t>1.科创板上市公司（以下简称上市公司）预计</w:t>
      </w:r>
      <w:r>
        <w:rPr>
          <w:rFonts w:eastAsia="仿宋_GB2312"/>
          <w:color w:val="000000"/>
          <w:kern w:val="0"/>
          <w:sz w:val="30"/>
          <w:szCs w:val="30"/>
        </w:rPr>
        <w:t>年度经营业绩及财务状况出现以下情形的</w:t>
      </w:r>
      <w:r>
        <w:rPr>
          <w:rFonts w:hint="eastAsia" w:eastAsia="仿宋_GB2312"/>
          <w:color w:val="000000"/>
          <w:kern w:val="0"/>
          <w:sz w:val="30"/>
          <w:szCs w:val="30"/>
        </w:rPr>
        <w:t>，</w:t>
      </w:r>
      <w:r>
        <w:rPr>
          <w:rFonts w:hint="eastAsia" w:ascii="仿宋_GB2312" w:hAnsi="宋体" w:eastAsia="仿宋_GB2312"/>
          <w:bCs/>
          <w:sz w:val="30"/>
          <w:szCs w:val="30"/>
        </w:rPr>
        <w:t>适用本公告格式指引：</w:t>
      </w:r>
      <w:r>
        <w:rPr>
          <w:rFonts w:eastAsia="仿宋_GB2312"/>
          <w:color w:val="000000"/>
          <w:kern w:val="0"/>
          <w:sz w:val="30"/>
          <w:szCs w:val="30"/>
        </w:rPr>
        <w:t>（一）净利润为负值；（二）净利润实现扭亏为盈；</w:t>
      </w:r>
      <w:r>
        <w:rPr>
          <w:rFonts w:hint="eastAsia" w:eastAsia="仿宋_GB2312"/>
          <w:color w:val="000000"/>
          <w:kern w:val="0"/>
          <w:sz w:val="30"/>
          <w:szCs w:val="30"/>
        </w:rPr>
        <w:t>（三）</w:t>
      </w:r>
      <w:r>
        <w:rPr>
          <w:rFonts w:hint="eastAsia" w:ascii="仿宋_GB2312" w:hAnsi="宋体" w:eastAsia="仿宋_GB2312"/>
          <w:bCs/>
          <w:sz w:val="30"/>
          <w:szCs w:val="30"/>
        </w:rPr>
        <w:t>净利润与上年同期相比将上升或下降</w:t>
      </w:r>
      <w:r>
        <w:rPr>
          <w:rFonts w:ascii="仿宋_GB2312" w:hAnsi="宋体" w:eastAsia="仿宋_GB2312"/>
          <w:bCs/>
          <w:sz w:val="30"/>
          <w:szCs w:val="30"/>
        </w:rPr>
        <w:t>50%</w:t>
      </w:r>
      <w:r>
        <w:rPr>
          <w:rFonts w:hint="eastAsia" w:ascii="仿宋_GB2312" w:hAnsi="宋体" w:eastAsia="仿宋_GB2312"/>
          <w:bCs/>
          <w:sz w:val="30"/>
          <w:szCs w:val="30"/>
        </w:rPr>
        <w:t>以上；（四）利润总额、净利润或者扣除非经常性损益后的净利润孰低者为负值，且扣除与主营业务无关的业务收入和不具备</w:t>
      </w:r>
      <w:bookmarkStart w:id="5" w:name="_GoBack"/>
      <w:bookmarkEnd w:id="5"/>
      <w:r>
        <w:rPr>
          <w:rFonts w:hint="eastAsia" w:ascii="仿宋_GB2312" w:hAnsi="宋体" w:eastAsia="仿宋_GB2312"/>
          <w:bCs/>
          <w:sz w:val="30"/>
          <w:szCs w:val="30"/>
        </w:rPr>
        <w:t>商业实质的收入后的营业收入低于1亿元；（五）期末净资产为负值；（六）公司因《</w:t>
      </w:r>
      <w:r>
        <w:rPr>
          <w:rFonts w:eastAsia="仿宋_GB2312" w:cs="Segoe UI"/>
          <w:sz w:val="30"/>
          <w:szCs w:val="30"/>
          <w:shd w:val="clear" w:color="auto" w:fill="FFFFFF"/>
        </w:rPr>
        <w:t>科创板上市规则</w:t>
      </w:r>
      <w:r>
        <w:rPr>
          <w:rFonts w:hint="eastAsia" w:ascii="仿宋_GB2312" w:hAnsi="宋体" w:eastAsia="仿宋_GB2312"/>
          <w:bCs/>
          <w:sz w:val="30"/>
          <w:szCs w:val="30"/>
        </w:rPr>
        <w:t>》第12.4.2条规定的情形，其股票已被实施退市风险警示；（七）其他情形。前期对本期业绩已进行预告的，仍需再次发布业绩预告；如需对前期预告进行更正的，则需及时发布业绩预告更正公告。</w:t>
      </w:r>
    </w:p>
    <w:p w14:paraId="1023E90C">
      <w:pPr>
        <w:adjustRightInd w:val="0"/>
        <w:snapToGrid w:val="0"/>
        <w:spacing w:line="600" w:lineRule="exact"/>
        <w:rPr>
          <w:rFonts w:ascii="仿宋_GB2312" w:hAnsi="宋体" w:eastAsia="仿宋_GB2312"/>
          <w:bCs/>
          <w:sz w:val="30"/>
          <w:szCs w:val="30"/>
        </w:rPr>
      </w:pPr>
      <w:r>
        <w:rPr>
          <w:rFonts w:hint="eastAsia" w:ascii="仿宋_GB2312" w:hAnsi="宋体" w:eastAsia="仿宋_GB2312"/>
          <w:bCs/>
          <w:sz w:val="30"/>
          <w:szCs w:val="30"/>
        </w:rPr>
        <w:t xml:space="preserve">    公司触及多种情形的，预告内容应当同时符合各情形的披露要求。</w:t>
      </w:r>
    </w:p>
    <w:p w14:paraId="26284AEA">
      <w:pPr>
        <w:adjustRightInd w:val="0"/>
        <w:snapToGrid w:val="0"/>
        <w:spacing w:line="600" w:lineRule="exact"/>
        <w:ind w:firstLine="600" w:firstLineChars="200"/>
        <w:rPr>
          <w:rFonts w:ascii="仿宋_GB2312" w:hAnsi="宋体" w:eastAsia="仿宋_GB2312"/>
          <w:bCs/>
          <w:sz w:val="30"/>
          <w:szCs w:val="30"/>
        </w:rPr>
      </w:pPr>
      <w:r>
        <w:rPr>
          <w:rFonts w:ascii="仿宋_GB2312" w:hAnsi="宋体" w:eastAsia="仿宋_GB2312"/>
          <w:bCs/>
          <w:sz w:val="30"/>
          <w:szCs w:val="30"/>
        </w:rPr>
        <w:t>2</w:t>
      </w:r>
      <w:r>
        <w:rPr>
          <w:rFonts w:hint="eastAsia" w:ascii="仿宋_GB2312" w:hAnsi="宋体" w:eastAsia="仿宋_GB2312"/>
          <w:bCs/>
          <w:sz w:val="30"/>
          <w:szCs w:val="30"/>
        </w:rPr>
        <w:t>.上市公司自愿或应本所要求披露年度、半年度或季度业绩预告的，参照适用本公告格式指引。</w:t>
      </w:r>
    </w:p>
    <w:p w14:paraId="3DD7D8D3">
      <w:pPr>
        <w:adjustRightInd w:val="0"/>
        <w:snapToGrid w:val="0"/>
        <w:spacing w:line="600" w:lineRule="exact"/>
        <w:ind w:firstLine="189" w:firstLineChars="79"/>
        <w:jc w:val="center"/>
        <w:rPr>
          <w:rFonts w:hint="eastAsia" w:ascii="宋体" w:hAnsi="宋体" w:cs="宋体"/>
          <w:kern w:val="0"/>
          <w:sz w:val="24"/>
        </w:rPr>
      </w:pPr>
    </w:p>
    <w:p w14:paraId="2539DB8C">
      <w:pPr>
        <w:adjustRightInd w:val="0"/>
        <w:snapToGrid w:val="0"/>
        <w:spacing w:line="600" w:lineRule="exact"/>
        <w:jc w:val="center"/>
        <w:rPr>
          <w:rFonts w:ascii="仿宋_GB2312" w:hAnsi="宋体" w:eastAsia="仿宋_GB2312"/>
          <w:bCs/>
          <w:sz w:val="30"/>
          <w:szCs w:val="30"/>
        </w:rPr>
      </w:pPr>
      <w:r>
        <w:rPr>
          <w:rFonts w:hint="eastAsia" w:ascii="仿宋_GB2312" w:hAnsi="宋体" w:eastAsia="仿宋_GB2312"/>
          <w:bCs/>
          <w:sz w:val="30"/>
          <w:szCs w:val="30"/>
        </w:rPr>
        <w:t>证券代码：        证券简称：        公告编号：</w:t>
      </w:r>
    </w:p>
    <w:p w14:paraId="1AF3A836">
      <w:pPr>
        <w:widowControl/>
        <w:spacing w:line="600" w:lineRule="exact"/>
        <w:ind w:firstLine="480"/>
        <w:jc w:val="left"/>
        <w:rPr>
          <w:rFonts w:ascii="宋体" w:hAnsi="宋体" w:cs="宋体"/>
          <w:kern w:val="0"/>
          <w:sz w:val="24"/>
        </w:rPr>
      </w:pPr>
    </w:p>
    <w:p w14:paraId="5927C58E">
      <w:pPr>
        <w:adjustRightInd w:val="0"/>
        <w:snapToGrid w:val="0"/>
        <w:spacing w:line="600" w:lineRule="exact"/>
        <w:jc w:val="center"/>
        <w:rPr>
          <w:rFonts w:ascii="仿宋_GB2312" w:hAnsi="宋体" w:eastAsia="仿宋_GB2312"/>
          <w:sz w:val="30"/>
          <w:szCs w:val="30"/>
        </w:rPr>
      </w:pPr>
      <w:r>
        <w:rPr>
          <w:rFonts w:ascii="仿宋_GB2312" w:hAnsi="宋体" w:eastAsia="仿宋_GB2312"/>
          <w:sz w:val="30"/>
          <w:szCs w:val="30"/>
        </w:rPr>
        <w:t>XXXX</w:t>
      </w:r>
      <w:r>
        <w:rPr>
          <w:rFonts w:hint="eastAsia" w:ascii="仿宋_GB2312" w:hAnsi="宋体" w:eastAsia="仿宋_GB2312"/>
          <w:sz w:val="30"/>
          <w:szCs w:val="30"/>
        </w:rPr>
        <w:t>股份有限公司</w:t>
      </w:r>
      <w:r>
        <w:rPr>
          <w:rFonts w:ascii="仿宋_GB2312" w:hAnsi="宋体" w:eastAsia="仿宋_GB2312"/>
          <w:sz w:val="30"/>
          <w:szCs w:val="30"/>
        </w:rPr>
        <w:t>XXXX</w:t>
      </w:r>
      <w:r>
        <w:rPr>
          <w:rFonts w:hint="eastAsia" w:ascii="仿宋_GB2312" w:hAnsi="宋体" w:eastAsia="仿宋_GB2312"/>
          <w:sz w:val="30"/>
          <w:szCs w:val="30"/>
        </w:rPr>
        <w:t>年年度业绩预盈/预亏/预增/预减公告</w:t>
      </w:r>
    </w:p>
    <w:p w14:paraId="46EA6FDD">
      <w:pPr>
        <w:widowControl/>
        <w:spacing w:line="600" w:lineRule="exact"/>
        <w:jc w:val="center"/>
        <w:rPr>
          <w:rFonts w:ascii="宋体" w:hAnsi="宋体" w:cs="宋体"/>
          <w:kern w:val="0"/>
          <w:sz w:val="24"/>
        </w:rPr>
      </w:pPr>
    </w:p>
    <w:p w14:paraId="241AF810">
      <w:pPr>
        <w:widowControl/>
        <w:pBdr>
          <w:top w:val="single" w:color="auto" w:sz="4" w:space="1"/>
          <w:left w:val="single" w:color="auto" w:sz="4" w:space="3"/>
          <w:bottom w:val="single" w:color="auto" w:sz="4" w:space="1"/>
          <w:right w:val="single" w:color="auto" w:sz="4" w:space="4"/>
        </w:pBdr>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本公司董事会及全体董事保证本公告内容不存在任何虚假记载、误导性陈述或者重大遗漏，并对其内容的真实性、准确性和完整性依法承担法律责任。</w:t>
      </w:r>
    </w:p>
    <w:p w14:paraId="32080E2F">
      <w:pPr>
        <w:widowControl/>
        <w:pBdr>
          <w:top w:val="single" w:color="auto" w:sz="4" w:space="1"/>
          <w:left w:val="single" w:color="auto" w:sz="4" w:space="3"/>
          <w:bottom w:val="single" w:color="auto" w:sz="4" w:space="1"/>
          <w:right w:val="single" w:color="auto" w:sz="4" w:space="4"/>
        </w:pBdr>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如有董事对临时公告内容的真实性、准确性和完整性无法保证或存在异议的，公司应当在公告中作特别提示。</w:t>
      </w:r>
    </w:p>
    <w:p w14:paraId="779EB6E2">
      <w:pPr>
        <w:widowControl/>
        <w:spacing w:line="600" w:lineRule="exact"/>
        <w:rPr>
          <w:rFonts w:ascii="黑体" w:hAnsi="黑体" w:eastAsia="黑体" w:cs="宋体"/>
          <w:b/>
          <w:color w:val="000000"/>
          <w:kern w:val="0"/>
          <w:sz w:val="32"/>
          <w:szCs w:val="32"/>
        </w:rPr>
      </w:pPr>
    </w:p>
    <w:p w14:paraId="41958C9F">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一、本期业绩预告情况</w:t>
      </w:r>
    </w:p>
    <w:p w14:paraId="0EC6F773">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（一）业绩预告期间</w:t>
      </w:r>
    </w:p>
    <w:p w14:paraId="204CA457">
      <w:pPr>
        <w:widowControl/>
        <w:spacing w:line="60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XXXX</w:t>
      </w:r>
      <w:r>
        <w:rPr>
          <w:rFonts w:hint="eastAsia" w:ascii="仿宋_GB2312" w:hAnsi="宋体" w:eastAsia="仿宋_GB2312" w:cs="宋体"/>
          <w:color w:val="000000"/>
          <w:kern w:val="0"/>
          <w:sz w:val="30"/>
          <w:szCs w:val="30"/>
        </w:rPr>
        <w:t>年</w:t>
      </w:r>
      <w:r>
        <w:rPr>
          <w:rFonts w:ascii="仿宋_GB2312" w:hAnsi="宋体" w:eastAsia="仿宋_GB2312" w:cs="宋体"/>
          <w:color w:val="000000"/>
          <w:kern w:val="0"/>
          <w:sz w:val="30"/>
          <w:szCs w:val="30"/>
        </w:rPr>
        <w:t>1</w:t>
      </w:r>
      <w:r>
        <w:rPr>
          <w:rFonts w:hint="eastAsia" w:ascii="仿宋_GB2312" w:hAnsi="宋体" w:eastAsia="仿宋_GB2312" w:cs="宋体"/>
          <w:color w:val="000000"/>
          <w:kern w:val="0"/>
          <w:sz w:val="30"/>
          <w:szCs w:val="30"/>
        </w:rPr>
        <w:t>月</w:t>
      </w:r>
      <w:r>
        <w:rPr>
          <w:rFonts w:ascii="仿宋_GB2312" w:hAnsi="宋体" w:eastAsia="仿宋_GB2312" w:cs="宋体"/>
          <w:color w:val="000000"/>
          <w:kern w:val="0"/>
          <w:sz w:val="30"/>
          <w:szCs w:val="30"/>
        </w:rPr>
        <w:t>1</w:t>
      </w:r>
      <w:r>
        <w:rPr>
          <w:rFonts w:hint="eastAsia" w:ascii="仿宋_GB2312" w:hAnsi="宋体" w:eastAsia="仿宋_GB2312" w:cs="宋体"/>
          <w:color w:val="000000"/>
          <w:kern w:val="0"/>
          <w:sz w:val="30"/>
          <w:szCs w:val="30"/>
        </w:rPr>
        <w:t>日至</w:t>
      </w:r>
      <w:r>
        <w:rPr>
          <w:rFonts w:ascii="仿宋_GB2312" w:hAnsi="宋体" w:eastAsia="仿宋_GB2312" w:cs="宋体"/>
          <w:color w:val="000000"/>
          <w:kern w:val="0"/>
          <w:sz w:val="30"/>
          <w:szCs w:val="30"/>
        </w:rPr>
        <w:t>XXXX</w:t>
      </w:r>
      <w:r>
        <w:rPr>
          <w:rFonts w:hint="eastAsia" w:ascii="仿宋_GB2312" w:hAnsi="宋体" w:eastAsia="仿宋_GB2312" w:cs="宋体"/>
          <w:color w:val="000000"/>
          <w:kern w:val="0"/>
          <w:sz w:val="30"/>
          <w:szCs w:val="30"/>
        </w:rPr>
        <w:t>年</w:t>
      </w:r>
      <w:r>
        <w:rPr>
          <w:rFonts w:ascii="仿宋_GB2312" w:hAnsi="宋体" w:eastAsia="仿宋_GB2312" w:cs="宋体"/>
          <w:color w:val="000000"/>
          <w:kern w:val="0"/>
          <w:sz w:val="30"/>
          <w:szCs w:val="30"/>
        </w:rPr>
        <w:t>12</w:t>
      </w:r>
      <w:r>
        <w:rPr>
          <w:rFonts w:hint="eastAsia" w:ascii="仿宋_GB2312" w:hAnsi="宋体" w:eastAsia="仿宋_GB2312" w:cs="宋体"/>
          <w:color w:val="000000"/>
          <w:kern w:val="0"/>
          <w:sz w:val="30"/>
          <w:szCs w:val="30"/>
        </w:rPr>
        <w:t>月</w:t>
      </w:r>
      <w:r>
        <w:rPr>
          <w:rFonts w:ascii="仿宋_GB2312" w:hAnsi="宋体" w:eastAsia="仿宋_GB2312" w:cs="宋体"/>
          <w:color w:val="000000"/>
          <w:kern w:val="0"/>
          <w:sz w:val="30"/>
          <w:szCs w:val="30"/>
        </w:rPr>
        <w:t>31</w:t>
      </w:r>
      <w:r>
        <w:rPr>
          <w:rFonts w:hint="eastAsia" w:ascii="仿宋_GB2312" w:hAnsi="宋体" w:eastAsia="仿宋_GB2312" w:cs="宋体"/>
          <w:color w:val="000000"/>
          <w:kern w:val="0"/>
          <w:sz w:val="30"/>
          <w:szCs w:val="30"/>
        </w:rPr>
        <w:t>日。</w:t>
      </w:r>
    </w:p>
    <w:p w14:paraId="6C2158A0">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（二）业绩预告情况</w:t>
      </w:r>
    </w:p>
    <w:p w14:paraId="2F30CA55">
      <w:pPr>
        <w:widowControl/>
        <w:spacing w:line="600" w:lineRule="exact"/>
        <w:ind w:firstLine="750" w:firstLineChars="25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公司应当根据适用的情形，选择以下应披露的具体内容。</w:t>
      </w:r>
    </w:p>
    <w:p w14:paraId="37C18493">
      <w:pPr>
        <w:widowControl/>
        <w:spacing w:line="600" w:lineRule="exact"/>
        <w:ind w:firstLine="753" w:firstLineChars="250"/>
        <w:rPr>
          <w:rFonts w:hint="eastAsia" w:ascii="仿宋_GB2312" w:hAnsi="宋体" w:eastAsia="仿宋_GB2312" w:cs="宋体"/>
          <w:b/>
          <w:bCs/>
          <w:color w:val="000000"/>
          <w:kern w:val="0"/>
          <w:sz w:val="30"/>
          <w:szCs w:val="30"/>
        </w:rPr>
      </w:pPr>
      <w:r>
        <w:rPr>
          <w:rFonts w:ascii="仿宋_GB2312" w:hAnsi="宋体" w:eastAsia="仿宋_GB2312" w:cs="宋体"/>
          <w:b/>
          <w:bCs/>
          <w:color w:val="000000"/>
          <w:kern w:val="0"/>
          <w:sz w:val="30"/>
          <w:szCs w:val="30"/>
        </w:rPr>
        <w:t>1.</w:t>
      </w:r>
      <w:r>
        <w:rPr>
          <w:rFonts w:hint="eastAsia" w:ascii="仿宋_GB2312" w:hAnsi="宋体" w:eastAsia="仿宋_GB2312" w:cs="宋体"/>
          <w:b/>
          <w:bCs/>
          <w:color w:val="000000"/>
          <w:kern w:val="0"/>
          <w:sz w:val="30"/>
          <w:szCs w:val="30"/>
        </w:rPr>
        <w:t>因适用情形第（一）（二）项披露业绩预告的：</w:t>
      </w:r>
    </w:p>
    <w:p w14:paraId="4378BC4B">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1</w:t>
      </w: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经财务部门初步测算，预计XXXX</w:t>
      </w:r>
      <w:r>
        <w:rPr>
          <w:rFonts w:hint="eastAsia" w:ascii="仿宋_GB2312" w:hAnsi="宋体" w:eastAsia="仿宋_GB2312" w:cs="宋体"/>
          <w:color w:val="000000"/>
          <w:kern w:val="0"/>
          <w:sz w:val="30"/>
          <w:szCs w:val="30"/>
        </w:rPr>
        <w:t>年年度实现归属于母公司所有者的净利润与上年同期（法定披露数据）相比，将实现扭亏为盈（或将出现亏损），实现归属于母公司所有者的净利润</w:t>
      </w:r>
      <w:r>
        <w:rPr>
          <w:rFonts w:ascii="仿宋_GB2312" w:hAnsi="宋体" w:eastAsia="仿宋_GB2312" w:cs="宋体"/>
          <w:color w:val="000000"/>
          <w:kern w:val="0"/>
          <w:sz w:val="30"/>
          <w:szCs w:val="30"/>
        </w:rPr>
        <w:t>XXXX万元（或XXXX万元到XXXX万元）</w:t>
      </w:r>
      <w:r>
        <w:rPr>
          <w:rFonts w:hint="eastAsia" w:ascii="仿宋_GB2312" w:hAnsi="宋体" w:eastAsia="仿宋_GB2312" w:cs="宋体"/>
          <w:color w:val="000000"/>
          <w:kern w:val="0"/>
          <w:sz w:val="30"/>
          <w:szCs w:val="30"/>
        </w:rPr>
        <w:t>。</w:t>
      </w:r>
    </w:p>
    <w:p w14:paraId="3A9F335B">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2</w:t>
      </w: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归属于母公司所有者扣除非经常性损益后的净利润XXXX万元（或XXXX万元到XXXX万元）</w:t>
      </w:r>
      <w:r>
        <w:rPr>
          <w:rFonts w:hint="eastAsia" w:ascii="仿宋_GB2312" w:hAnsi="宋体" w:eastAsia="仿宋_GB2312" w:cs="宋体"/>
          <w:color w:val="000000"/>
          <w:kern w:val="0"/>
          <w:sz w:val="30"/>
          <w:szCs w:val="30"/>
        </w:rPr>
        <w:t>。</w:t>
      </w:r>
    </w:p>
    <w:p w14:paraId="728023CD">
      <w:pPr>
        <w:widowControl/>
        <w:spacing w:line="600" w:lineRule="exact"/>
        <w:ind w:firstLine="753" w:firstLineChars="250"/>
        <w:rPr>
          <w:rFonts w:hint="eastAsia" w:ascii="仿宋_GB2312" w:hAnsi="宋体" w:eastAsia="仿宋_GB2312" w:cs="宋体"/>
          <w:b/>
          <w:bCs/>
          <w:color w:val="000000"/>
          <w:kern w:val="0"/>
          <w:sz w:val="30"/>
          <w:szCs w:val="30"/>
        </w:rPr>
      </w:pPr>
      <w:r>
        <w:rPr>
          <w:rFonts w:ascii="仿宋_GB2312" w:hAnsi="宋体" w:eastAsia="仿宋_GB2312" w:cs="宋体"/>
          <w:b/>
          <w:bCs/>
          <w:color w:val="000000"/>
          <w:kern w:val="0"/>
          <w:sz w:val="30"/>
          <w:szCs w:val="30"/>
        </w:rPr>
        <w:t>2.</w:t>
      </w:r>
      <w:r>
        <w:rPr>
          <w:rFonts w:hint="eastAsia" w:ascii="仿宋_GB2312" w:hAnsi="宋体" w:eastAsia="仿宋_GB2312" w:cs="宋体"/>
          <w:b/>
          <w:bCs/>
          <w:color w:val="000000"/>
          <w:kern w:val="0"/>
          <w:sz w:val="30"/>
          <w:szCs w:val="30"/>
        </w:rPr>
        <w:t>因适用情形第（三）项披露业绩预告的：</w:t>
      </w:r>
    </w:p>
    <w:p w14:paraId="42332459">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1）经财务部门初步测算，预计XXXX</w:t>
      </w:r>
      <w:r>
        <w:rPr>
          <w:rFonts w:hint="eastAsia" w:ascii="仿宋_GB2312" w:hAnsi="宋体" w:eastAsia="仿宋_GB2312" w:cs="宋体"/>
          <w:color w:val="000000"/>
          <w:kern w:val="0"/>
          <w:sz w:val="30"/>
          <w:szCs w:val="30"/>
        </w:rPr>
        <w:t>年年度实现归属于母公司所有者的净利润与上年同期（法定披露数据）相比，将增加（或减少）</w:t>
      </w:r>
      <w:r>
        <w:rPr>
          <w:rFonts w:ascii="仿宋_GB2312" w:hAnsi="宋体" w:eastAsia="仿宋_GB2312" w:cs="宋体"/>
          <w:color w:val="000000"/>
          <w:kern w:val="0"/>
          <w:sz w:val="30"/>
          <w:szCs w:val="30"/>
        </w:rPr>
        <w:t>XXXX万元（或XXXX万元到XXXX万元），同比增加（或减少）XX%</w:t>
      </w:r>
      <w:r>
        <w:rPr>
          <w:rFonts w:hint="eastAsia" w:ascii="仿宋_GB2312" w:hAnsi="宋体" w:eastAsia="仿宋_GB2312" w:cs="宋体"/>
          <w:color w:val="000000"/>
          <w:kern w:val="0"/>
          <w:sz w:val="30"/>
          <w:szCs w:val="30"/>
        </w:rPr>
        <w:t>左右（或</w:t>
      </w:r>
      <w:r>
        <w:rPr>
          <w:rFonts w:ascii="仿宋_GB2312" w:hAnsi="宋体" w:eastAsia="仿宋_GB2312" w:cs="宋体"/>
          <w:color w:val="000000"/>
          <w:kern w:val="0"/>
          <w:sz w:val="30"/>
          <w:szCs w:val="30"/>
        </w:rPr>
        <w:t>XX%</w:t>
      </w:r>
      <w:r>
        <w:rPr>
          <w:rFonts w:hint="eastAsia" w:ascii="仿宋_GB2312" w:hAnsi="宋体" w:eastAsia="仿宋_GB2312" w:cs="宋体"/>
          <w:color w:val="000000"/>
          <w:kern w:val="0"/>
          <w:sz w:val="30"/>
          <w:szCs w:val="30"/>
        </w:rPr>
        <w:t>到</w:t>
      </w:r>
      <w:r>
        <w:rPr>
          <w:rFonts w:ascii="仿宋_GB2312" w:hAnsi="宋体" w:eastAsia="仿宋_GB2312" w:cs="宋体"/>
          <w:color w:val="000000"/>
          <w:kern w:val="0"/>
          <w:sz w:val="30"/>
          <w:szCs w:val="30"/>
        </w:rPr>
        <w:t>XX%</w:t>
      </w:r>
      <w:r>
        <w:rPr>
          <w:rFonts w:hint="eastAsia" w:ascii="仿宋_GB2312" w:hAnsi="宋体" w:eastAsia="仿宋_GB2312" w:cs="宋体"/>
          <w:color w:val="000000"/>
          <w:kern w:val="0"/>
          <w:sz w:val="30"/>
          <w:szCs w:val="30"/>
        </w:rPr>
        <w:t>）。</w:t>
      </w:r>
    </w:p>
    <w:p w14:paraId="77AEDDA1">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2）</w:t>
      </w:r>
      <w:r>
        <w:rPr>
          <w:rFonts w:hint="eastAsia" w:ascii="仿宋_GB2312" w:hAnsi="宋体" w:eastAsia="仿宋_GB2312" w:cs="宋体"/>
          <w:color w:val="000000"/>
          <w:kern w:val="0"/>
          <w:sz w:val="30"/>
          <w:szCs w:val="30"/>
        </w:rPr>
        <w:t>归属于母公司所有者的扣除非经常性损益的净利润与上年同期（法定披露数据）相比，将增加（或减少）</w:t>
      </w:r>
      <w:r>
        <w:rPr>
          <w:rFonts w:ascii="仿宋_GB2312" w:hAnsi="宋体" w:eastAsia="仿宋_GB2312" w:cs="宋体"/>
          <w:color w:val="000000"/>
          <w:kern w:val="0"/>
          <w:sz w:val="30"/>
          <w:szCs w:val="30"/>
        </w:rPr>
        <w:t>XX万元（或XX万元到XX万元），同比增加（或减少）XX%</w:t>
      </w:r>
      <w:r>
        <w:rPr>
          <w:rFonts w:hint="eastAsia" w:ascii="仿宋_GB2312" w:hAnsi="宋体" w:eastAsia="仿宋_GB2312" w:cs="宋体"/>
          <w:color w:val="000000"/>
          <w:kern w:val="0"/>
          <w:sz w:val="30"/>
          <w:szCs w:val="30"/>
        </w:rPr>
        <w:t>左右（或</w:t>
      </w:r>
      <w:r>
        <w:rPr>
          <w:rFonts w:ascii="仿宋_GB2312" w:hAnsi="宋体" w:eastAsia="仿宋_GB2312" w:cs="宋体"/>
          <w:color w:val="000000"/>
          <w:kern w:val="0"/>
          <w:sz w:val="30"/>
          <w:szCs w:val="30"/>
        </w:rPr>
        <w:t>XX%</w:t>
      </w:r>
      <w:r>
        <w:rPr>
          <w:rFonts w:hint="eastAsia" w:ascii="仿宋_GB2312" w:hAnsi="宋体" w:eastAsia="仿宋_GB2312" w:cs="宋体"/>
          <w:color w:val="000000"/>
          <w:kern w:val="0"/>
          <w:sz w:val="30"/>
          <w:szCs w:val="30"/>
        </w:rPr>
        <w:t>到</w:t>
      </w:r>
      <w:r>
        <w:rPr>
          <w:rFonts w:ascii="仿宋_GB2312" w:hAnsi="宋体" w:eastAsia="仿宋_GB2312" w:cs="宋体"/>
          <w:color w:val="000000"/>
          <w:kern w:val="0"/>
          <w:sz w:val="30"/>
          <w:szCs w:val="30"/>
        </w:rPr>
        <w:t>XX%</w:t>
      </w:r>
      <w:r>
        <w:rPr>
          <w:rFonts w:hint="eastAsia" w:ascii="仿宋_GB2312" w:hAnsi="宋体" w:eastAsia="仿宋_GB2312" w:cs="宋体"/>
          <w:color w:val="000000"/>
          <w:kern w:val="0"/>
          <w:sz w:val="30"/>
          <w:szCs w:val="30"/>
        </w:rPr>
        <w:t>）。</w:t>
      </w:r>
    </w:p>
    <w:p w14:paraId="2A27A3AD">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3）如果上年同期财务报表经过重述，应同时披露与重述后的财务数据</w:t>
      </w:r>
      <w:r>
        <w:rPr>
          <w:rFonts w:hint="eastAsia" w:ascii="仿宋_GB2312" w:hAnsi="宋体" w:eastAsia="仿宋_GB2312" w:cs="宋体"/>
          <w:color w:val="000000"/>
          <w:kern w:val="0"/>
          <w:sz w:val="30"/>
          <w:szCs w:val="30"/>
        </w:rPr>
        <w:t>相比</w:t>
      </w:r>
      <w:r>
        <w:rPr>
          <w:rFonts w:ascii="仿宋_GB2312" w:hAnsi="宋体" w:eastAsia="仿宋_GB2312" w:cs="宋体"/>
          <w:color w:val="000000"/>
          <w:kern w:val="0"/>
          <w:sz w:val="30"/>
          <w:szCs w:val="30"/>
        </w:rPr>
        <w:t>的增减幅度。</w:t>
      </w:r>
    </w:p>
    <w:p w14:paraId="142AC7AA">
      <w:pPr>
        <w:widowControl/>
        <w:adjustRightInd w:val="0"/>
        <w:snapToGrid w:val="0"/>
        <w:spacing w:line="560" w:lineRule="exact"/>
        <w:ind w:firstLine="480" w:firstLineChars="200"/>
        <w:jc w:val="left"/>
        <w:rPr>
          <w:rFonts w:ascii="楷体" w:hAnsi="楷体" w:eastAsia="楷体"/>
          <w:kern w:val="0"/>
          <w:sz w:val="24"/>
        </w:rPr>
      </w:pPr>
      <w:r>
        <w:rPr>
          <w:rFonts w:ascii="楷体" w:hAnsi="楷体" w:eastAsia="楷体"/>
          <w:color w:val="000000"/>
          <w:kern w:val="0"/>
          <w:sz w:val="24"/>
        </w:rPr>
        <w:t>（编制提醒：</w:t>
      </w:r>
      <w:r>
        <w:rPr>
          <w:rFonts w:ascii="楷体" w:hAnsi="楷体" w:eastAsia="楷体"/>
          <w:kern w:val="0"/>
          <w:sz w:val="24"/>
        </w:rPr>
        <w:t>预增/预减的，应准确披露预增或预减金额和比例。如确有原因无法预告准确比例的，可披露预增或预减的金额和比例区间（XXXX万元到XXXX万元、XX%到XX%）。</w:t>
      </w:r>
      <w:r>
        <w:rPr>
          <w:rFonts w:ascii="楷体" w:hAnsi="楷体" w:eastAsia="楷体"/>
          <w:color w:val="000000"/>
          <w:kern w:val="0"/>
          <w:sz w:val="24"/>
        </w:rPr>
        <w:t>如果采用数值和比例区间进行业绩预告的，相关指标预测的区间不宜过大，以数值为标准计算，较高数值一般不得超过较低数值的20%为宜，且最大不得超过50%。</w:t>
      </w:r>
      <w:r>
        <w:rPr>
          <w:rFonts w:ascii="楷体" w:hAnsi="楷体" w:eastAsia="楷体"/>
          <w:kern w:val="0"/>
          <w:sz w:val="24"/>
        </w:rPr>
        <w:t>）</w:t>
      </w:r>
    </w:p>
    <w:p w14:paraId="49117A1F">
      <w:pPr>
        <w:widowControl/>
        <w:spacing w:line="600" w:lineRule="exact"/>
        <w:ind w:firstLine="602" w:firstLineChars="200"/>
        <w:rPr>
          <w:rFonts w:hint="eastAsia" w:ascii="仿宋_GB2312" w:hAnsi="宋体" w:eastAsia="仿宋_GB2312" w:cs="宋体"/>
          <w:b/>
          <w:bCs/>
          <w:color w:val="000000"/>
          <w:kern w:val="0"/>
          <w:sz w:val="30"/>
          <w:szCs w:val="30"/>
        </w:rPr>
      </w:pPr>
      <w:r>
        <w:rPr>
          <w:rFonts w:hint="eastAsia" w:ascii="仿宋_GB2312" w:hAnsi="宋体" w:eastAsia="仿宋_GB2312" w:cs="宋体"/>
          <w:b/>
          <w:bCs/>
          <w:color w:val="000000"/>
          <w:kern w:val="0"/>
          <w:sz w:val="30"/>
          <w:szCs w:val="30"/>
        </w:rPr>
        <w:t>3.因适用情形第（四）项披露业绩预告的：</w:t>
      </w:r>
    </w:p>
    <w:p w14:paraId="72C66D84">
      <w:pPr>
        <w:widowControl/>
        <w:spacing w:line="60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经财务部门初步测算，预计XXXX年年度实现利润总额XXXX万元（或XXXX万元到XXXX万元），预计XXXX年年度实现归属于母公司所有者的净利润XXXX万元（或XXXX万元到XXXX万元），归属于母公司所有者的扣除非经常性损益后的净利润为XXXX万元（或XXXX万元到XXXX万元）。</w:t>
      </w:r>
    </w:p>
    <w:p w14:paraId="3AA76720">
      <w:pPr>
        <w:widowControl/>
        <w:spacing w:line="60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预计XXXX年年度实现营业收入XXXX万元（或XXXX万元到XXXX万元），扣除与主营业务无关的业务收入和不具备商业实质的收入后的营业收入为XXXX万元（或XXXX万元到XXXX万元），低于1亿元。</w:t>
      </w:r>
    </w:p>
    <w:p w14:paraId="4E672B63">
      <w:pPr>
        <w:widowControl/>
        <w:spacing w:line="600" w:lineRule="exact"/>
        <w:ind w:firstLine="480" w:firstLineChars="200"/>
        <w:rPr>
          <w:rFonts w:hint="eastAsia" w:ascii="仿宋_GB2312" w:hAnsi="宋体" w:eastAsia="仿宋_GB2312" w:cs="宋体"/>
          <w:color w:val="000000"/>
          <w:kern w:val="0"/>
          <w:sz w:val="30"/>
          <w:szCs w:val="30"/>
        </w:rPr>
      </w:pPr>
      <w:r>
        <w:rPr>
          <w:rFonts w:eastAsia="楷体"/>
          <w:sz w:val="24"/>
        </w:rPr>
        <w:t>（编制提醒：</w:t>
      </w:r>
      <w:r>
        <w:rPr>
          <w:rFonts w:eastAsia="楷体"/>
          <w:color w:val="000000"/>
          <w:sz w:val="24"/>
        </w:rPr>
        <w:t>以区间方式预计年度末净资产和</w:t>
      </w:r>
      <w:r>
        <w:rPr>
          <w:rFonts w:eastAsia="楷体"/>
          <w:color w:val="000000"/>
          <w:kern w:val="0"/>
          <w:sz w:val="24"/>
        </w:rPr>
        <w:t>归属于母公司所有者的扣除非经常性损益的净利润</w:t>
      </w:r>
      <w:r>
        <w:rPr>
          <w:rFonts w:eastAsia="楷体"/>
          <w:color w:val="000000"/>
          <w:sz w:val="24"/>
        </w:rPr>
        <w:t>的，相关区间内不得同时包含正值和负值。）</w:t>
      </w:r>
    </w:p>
    <w:p w14:paraId="4F508E75">
      <w:pPr>
        <w:widowControl/>
        <w:spacing w:line="600" w:lineRule="exact"/>
        <w:ind w:firstLine="602" w:firstLineChars="200"/>
        <w:rPr>
          <w:rFonts w:hint="eastAsia" w:ascii="仿宋_GB2312" w:hAnsi="宋体" w:eastAsia="仿宋_GB2312" w:cs="宋体"/>
          <w:b/>
          <w:bCs/>
          <w:color w:val="000000"/>
          <w:kern w:val="0"/>
          <w:sz w:val="30"/>
          <w:szCs w:val="30"/>
        </w:rPr>
      </w:pPr>
      <w:r>
        <w:rPr>
          <w:rFonts w:hint="eastAsia" w:ascii="仿宋_GB2312" w:hAnsi="宋体" w:eastAsia="仿宋_GB2312" w:cs="宋体"/>
          <w:b/>
          <w:bCs/>
          <w:color w:val="000000"/>
          <w:kern w:val="0"/>
          <w:sz w:val="30"/>
          <w:szCs w:val="30"/>
        </w:rPr>
        <w:t>4.因适用情形第（五）项披露业绩预告的：</w:t>
      </w:r>
    </w:p>
    <w:p w14:paraId="245B482B">
      <w:pPr>
        <w:widowControl/>
        <w:spacing w:line="60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经财务部门初步测算，预计XXXX年末净资产为XXXX万元（或XXXX万元到XXXX万元）。</w:t>
      </w:r>
    </w:p>
    <w:p w14:paraId="1C57C746">
      <w:pPr>
        <w:widowControl/>
        <w:adjustRightInd w:val="0"/>
        <w:snapToGrid w:val="0"/>
        <w:spacing w:line="560" w:lineRule="exact"/>
        <w:ind w:firstLine="480" w:firstLineChars="200"/>
        <w:jc w:val="left"/>
        <w:rPr>
          <w:rFonts w:eastAsia="楷体"/>
          <w:sz w:val="24"/>
        </w:rPr>
      </w:pPr>
      <w:r>
        <w:rPr>
          <w:rFonts w:eastAsia="楷体"/>
          <w:sz w:val="24"/>
        </w:rPr>
        <w:t>（编制提醒：</w:t>
      </w:r>
      <w:r>
        <w:rPr>
          <w:rFonts w:eastAsia="楷体"/>
          <w:color w:val="000000"/>
          <w:sz w:val="24"/>
        </w:rPr>
        <w:t>以区间方式预计年度末净资产和</w:t>
      </w:r>
      <w:r>
        <w:rPr>
          <w:rFonts w:eastAsia="楷体"/>
          <w:color w:val="000000"/>
          <w:kern w:val="0"/>
          <w:sz w:val="24"/>
        </w:rPr>
        <w:t>归属于母公司所有者的扣除非经常性损益的净利润</w:t>
      </w:r>
      <w:r>
        <w:rPr>
          <w:rFonts w:eastAsia="楷体"/>
          <w:color w:val="000000"/>
          <w:sz w:val="24"/>
        </w:rPr>
        <w:t>的，相关区间内不得同时包含正值和负值。）</w:t>
      </w:r>
    </w:p>
    <w:p w14:paraId="39237611">
      <w:pPr>
        <w:widowControl/>
        <w:spacing w:line="600" w:lineRule="exact"/>
        <w:ind w:firstLine="602" w:firstLineChars="200"/>
        <w:rPr>
          <w:rFonts w:ascii="仿宋_GB2312" w:hAnsi="宋体" w:eastAsia="仿宋_GB2312" w:cs="宋体"/>
          <w:b/>
          <w:bCs/>
          <w:color w:val="000000"/>
          <w:kern w:val="0"/>
          <w:sz w:val="30"/>
          <w:szCs w:val="30"/>
        </w:rPr>
      </w:pPr>
      <w:r>
        <w:rPr>
          <w:rFonts w:hint="eastAsia" w:ascii="仿宋_GB2312" w:hAnsi="宋体" w:eastAsia="仿宋_GB2312" w:cs="宋体"/>
          <w:b/>
          <w:bCs/>
          <w:color w:val="000000"/>
          <w:kern w:val="0"/>
          <w:sz w:val="30"/>
          <w:szCs w:val="30"/>
        </w:rPr>
        <w:t>5</w:t>
      </w:r>
      <w:r>
        <w:rPr>
          <w:rFonts w:ascii="仿宋_GB2312" w:hAnsi="宋体" w:eastAsia="仿宋_GB2312" w:cs="宋体"/>
          <w:b/>
          <w:bCs/>
          <w:color w:val="000000"/>
          <w:kern w:val="0"/>
          <w:sz w:val="30"/>
          <w:szCs w:val="30"/>
        </w:rPr>
        <w:t>.</w:t>
      </w:r>
      <w:r>
        <w:rPr>
          <w:rFonts w:hint="eastAsia" w:ascii="仿宋_GB2312" w:hAnsi="宋体" w:eastAsia="仿宋_GB2312" w:cs="宋体"/>
          <w:b/>
          <w:bCs/>
          <w:color w:val="000000"/>
          <w:kern w:val="0"/>
          <w:sz w:val="30"/>
          <w:szCs w:val="30"/>
        </w:rPr>
        <w:t>因适用情形第（六）项披露业绩预告的：</w:t>
      </w:r>
    </w:p>
    <w:p w14:paraId="2AC2D616">
      <w:pPr>
        <w:widowControl/>
        <w:adjustRightInd w:val="0"/>
        <w:snapToGrid w:val="0"/>
        <w:spacing w:line="560" w:lineRule="exact"/>
        <w:ind w:firstLine="600" w:firstLineChars="200"/>
        <w:jc w:val="left"/>
        <w:rPr>
          <w:rFonts w:ascii="仿宋_GB2312" w:eastAsia="仿宋_GB2312"/>
          <w:color w:val="000000"/>
          <w:kern w:val="0"/>
          <w:sz w:val="30"/>
          <w:szCs w:val="30"/>
        </w:rPr>
      </w:pPr>
      <w:r>
        <w:rPr>
          <w:rFonts w:hint="eastAsia" w:ascii="仿宋_GB2312" w:eastAsia="仿宋_GB2312"/>
          <w:color w:val="000000"/>
          <w:kern w:val="0"/>
          <w:sz w:val="30"/>
          <w:szCs w:val="30"/>
        </w:rPr>
        <w:t>经财务部门初步测算，预计XXXX年年度实现利润总额XXXX万元（或XXXX万元到XXXX万元），预计XXXX年年度归属于母公司所有者的净利润为XXXX万元（或XXXX万元到XXXX万元），扣除非经常性损益后的净利润为XXXX万元（或XXXX万元到XXXX万元）。</w:t>
      </w:r>
    </w:p>
    <w:p w14:paraId="74405BBF">
      <w:pPr>
        <w:widowControl/>
        <w:adjustRightInd w:val="0"/>
        <w:snapToGrid w:val="0"/>
        <w:spacing w:line="560" w:lineRule="exact"/>
        <w:ind w:firstLine="600" w:firstLineChars="200"/>
        <w:jc w:val="left"/>
        <w:rPr>
          <w:rFonts w:ascii="仿宋_GB2312" w:eastAsia="仿宋_GB2312"/>
          <w:color w:val="000000"/>
          <w:kern w:val="0"/>
          <w:sz w:val="30"/>
          <w:szCs w:val="30"/>
        </w:rPr>
      </w:pPr>
      <w:r>
        <w:rPr>
          <w:rFonts w:hint="eastAsia" w:ascii="仿宋_GB2312" w:eastAsia="仿宋_GB2312"/>
          <w:color w:val="000000"/>
          <w:kern w:val="0"/>
          <w:sz w:val="30"/>
          <w:szCs w:val="30"/>
        </w:rPr>
        <w:t>预计XXXX年年度营业收入为XXXX万元（或XXXX万元到XXXX万元），扣除与主营业务无关的业务收入和不具备商业实质的收入后的营业收入为XXXX万元（或XXXX万元到XXXX万元）。</w:t>
      </w:r>
    </w:p>
    <w:p w14:paraId="691ACBDC">
      <w:pPr>
        <w:widowControl/>
        <w:adjustRightInd w:val="0"/>
        <w:snapToGrid w:val="0"/>
        <w:spacing w:line="560" w:lineRule="exact"/>
        <w:ind w:firstLine="600" w:firstLineChars="200"/>
        <w:jc w:val="left"/>
        <w:rPr>
          <w:rFonts w:hint="eastAsia" w:ascii="仿宋_GB2312" w:eastAsia="仿宋_GB2312"/>
          <w:color w:val="000000"/>
          <w:kern w:val="0"/>
          <w:sz w:val="30"/>
          <w:szCs w:val="30"/>
        </w:rPr>
      </w:pPr>
      <w:r>
        <w:rPr>
          <w:rFonts w:hint="eastAsia" w:ascii="仿宋_GB2312" w:eastAsia="仿宋_GB2312"/>
          <w:color w:val="000000"/>
          <w:kern w:val="0"/>
          <w:sz w:val="30"/>
          <w:szCs w:val="30"/>
        </w:rPr>
        <w:t>预计XXXX年末净资产为XXXX万元（或XXXX万元到XXXX万元）。</w:t>
      </w:r>
    </w:p>
    <w:p w14:paraId="442ACC30">
      <w:pPr>
        <w:widowControl/>
        <w:adjustRightInd w:val="0"/>
        <w:snapToGrid w:val="0"/>
        <w:spacing w:line="560" w:lineRule="exact"/>
        <w:ind w:firstLine="480" w:firstLineChars="200"/>
        <w:jc w:val="left"/>
        <w:rPr>
          <w:rFonts w:eastAsia="仿宋_GB2312"/>
          <w:color w:val="000000"/>
          <w:kern w:val="0"/>
          <w:sz w:val="30"/>
          <w:szCs w:val="30"/>
        </w:rPr>
      </w:pPr>
      <w:r>
        <w:rPr>
          <w:rFonts w:eastAsia="楷体"/>
          <w:sz w:val="24"/>
        </w:rPr>
        <w:t>（编制提醒：</w:t>
      </w:r>
      <w:r>
        <w:rPr>
          <w:rFonts w:eastAsia="楷体"/>
          <w:color w:val="000000"/>
          <w:sz w:val="24"/>
        </w:rPr>
        <w:t>以区间方式预计年度末净资产和</w:t>
      </w:r>
      <w:r>
        <w:rPr>
          <w:rFonts w:eastAsia="楷体"/>
          <w:color w:val="000000"/>
          <w:kern w:val="0"/>
          <w:sz w:val="24"/>
        </w:rPr>
        <w:t>归属于母公司所有者的扣除非经常性损益的净利润</w:t>
      </w:r>
      <w:r>
        <w:rPr>
          <w:rFonts w:eastAsia="楷体"/>
          <w:color w:val="000000"/>
          <w:sz w:val="24"/>
        </w:rPr>
        <w:t>的，相关区间内不得同时包含正值和负值。）</w:t>
      </w:r>
    </w:p>
    <w:p w14:paraId="6D2694DA">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（三）注册会计师对公司本期业绩预告是否适当和审慎的专项说明（如适用）。</w:t>
      </w:r>
    </w:p>
    <w:p w14:paraId="43853F3F">
      <w:pPr>
        <w:widowControl/>
        <w:spacing w:line="600" w:lineRule="exact"/>
        <w:ind w:firstLine="480" w:firstLineChars="200"/>
        <w:rPr>
          <w:rFonts w:ascii="宋体" w:hAnsi="宋体" w:cs="宋体"/>
          <w:kern w:val="0"/>
          <w:sz w:val="24"/>
        </w:rPr>
      </w:pPr>
    </w:p>
    <w:p w14:paraId="2AE582A0">
      <w:pPr>
        <w:widowControl/>
        <w:spacing w:line="600" w:lineRule="exact"/>
        <w:ind w:firstLine="643" w:firstLineChars="200"/>
        <w:rPr>
          <w:rFonts w:hint="eastAsia" w:ascii="黑体" w:hAnsi="黑体" w:eastAsia="黑体" w:cs="宋体"/>
          <w:b/>
          <w:color w:val="000000"/>
          <w:kern w:val="0"/>
          <w:sz w:val="32"/>
          <w:szCs w:val="32"/>
        </w:rPr>
      </w:pPr>
      <w:r>
        <w:rPr>
          <w:rFonts w:hint="eastAsia" w:ascii="黑体" w:hAnsi="黑体" w:eastAsia="黑体" w:cs="宋体"/>
          <w:b/>
          <w:color w:val="000000"/>
          <w:kern w:val="0"/>
          <w:sz w:val="32"/>
          <w:szCs w:val="32"/>
        </w:rPr>
        <w:t>二、上年同期业绩情况和财务状况</w:t>
      </w:r>
    </w:p>
    <w:p w14:paraId="2DF310A8">
      <w:pPr>
        <w:widowControl/>
        <w:adjustRightInd w:val="0"/>
        <w:snapToGrid w:val="0"/>
        <w:spacing w:line="560" w:lineRule="exact"/>
        <w:ind w:firstLine="600" w:firstLineChars="200"/>
        <w:jc w:val="left"/>
        <w:rPr>
          <w:rFonts w:ascii="仿宋_GB2312" w:eastAsia="仿宋_GB2312"/>
          <w:color w:val="000000"/>
          <w:kern w:val="0"/>
          <w:sz w:val="30"/>
          <w:szCs w:val="30"/>
        </w:rPr>
      </w:pPr>
      <w:r>
        <w:rPr>
          <w:rFonts w:hint="eastAsia" w:ascii="仿宋_GB2312" w:eastAsia="仿宋_GB2312"/>
          <w:color w:val="000000"/>
          <w:kern w:val="0"/>
          <w:sz w:val="30"/>
          <w:szCs w:val="30"/>
        </w:rPr>
        <w:t>（一）利润总额：XXXX万元。归属于母公司所有者的净利润：XXXX万元。归属于母公司所有者的扣除非经常性损益的净利润：XXXX万元。</w:t>
      </w:r>
    </w:p>
    <w:p w14:paraId="269B9C48">
      <w:pPr>
        <w:widowControl/>
        <w:adjustRightInd w:val="0"/>
        <w:snapToGrid w:val="0"/>
        <w:spacing w:line="560" w:lineRule="exact"/>
        <w:ind w:firstLine="600" w:firstLineChars="200"/>
        <w:jc w:val="left"/>
        <w:rPr>
          <w:rFonts w:ascii="仿宋_GB2312" w:eastAsia="仿宋_GB2312"/>
          <w:color w:val="000000"/>
          <w:kern w:val="0"/>
          <w:sz w:val="30"/>
          <w:szCs w:val="30"/>
        </w:rPr>
      </w:pPr>
      <w:r>
        <w:rPr>
          <w:rFonts w:hint="eastAsia" w:ascii="仿宋_GB2312" w:eastAsia="仿宋_GB2312"/>
          <w:color w:val="000000"/>
          <w:kern w:val="0"/>
          <w:sz w:val="30"/>
          <w:szCs w:val="30"/>
        </w:rPr>
        <w:t>（二）每股收益：XXXX元。</w:t>
      </w:r>
    </w:p>
    <w:p w14:paraId="16FFC127">
      <w:pPr>
        <w:widowControl/>
        <w:adjustRightInd w:val="0"/>
        <w:snapToGrid w:val="0"/>
        <w:spacing w:line="560" w:lineRule="exact"/>
        <w:ind w:firstLine="600" w:firstLineChars="200"/>
        <w:jc w:val="left"/>
        <w:rPr>
          <w:rFonts w:ascii="仿宋_GB2312" w:eastAsia="仿宋_GB2312"/>
          <w:color w:val="000000"/>
          <w:kern w:val="0"/>
          <w:sz w:val="30"/>
          <w:szCs w:val="30"/>
        </w:rPr>
      </w:pPr>
      <w:r>
        <w:rPr>
          <w:rFonts w:hint="eastAsia" w:ascii="仿宋_GB2312" w:eastAsia="仿宋_GB2312"/>
          <w:color w:val="000000"/>
          <w:kern w:val="0"/>
          <w:sz w:val="30"/>
          <w:szCs w:val="30"/>
        </w:rPr>
        <w:t>（三）营业收入：XXXX万元（因适用情形第（四）（六）项披露业绩预告的公司）。扣除与主营业务无关的业务收入和不具备商业实质的收入后的营业收入：XXXX万元（因适用情形第（六）项披露业绩预告的公司）。</w:t>
      </w:r>
    </w:p>
    <w:p w14:paraId="1B7BE6FB">
      <w:pPr>
        <w:widowControl/>
        <w:adjustRightInd w:val="0"/>
        <w:snapToGrid w:val="0"/>
        <w:spacing w:line="560" w:lineRule="exact"/>
        <w:ind w:firstLine="600" w:firstLineChars="200"/>
        <w:jc w:val="left"/>
        <w:rPr>
          <w:rFonts w:ascii="仿宋_GB2312" w:eastAsia="仿宋_GB2312"/>
          <w:color w:val="000000"/>
          <w:kern w:val="0"/>
          <w:sz w:val="30"/>
          <w:szCs w:val="30"/>
        </w:rPr>
      </w:pPr>
      <w:r>
        <w:rPr>
          <w:rFonts w:hint="eastAsia" w:ascii="仿宋_GB2312" w:eastAsia="仿宋_GB2312"/>
          <w:color w:val="000000"/>
          <w:kern w:val="0"/>
          <w:sz w:val="30"/>
          <w:szCs w:val="30"/>
        </w:rPr>
        <w:t>（四）期末净资产：XXXX万元。（因适用情形第（五）（六）项披露业绩预告的公司）。</w:t>
      </w:r>
    </w:p>
    <w:p w14:paraId="06E80609">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三、本期业绩变化的主要原因</w:t>
      </w:r>
    </w:p>
    <w:p w14:paraId="4A1CCBDD">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（一）主营业务影响。例如，国家或行业政策变化，主要客户的变化、大额资产减值损失的计提或冲回，大额汇兑损益等。</w:t>
      </w:r>
    </w:p>
    <w:p w14:paraId="5C356CAD">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（二）非经营性损益的影响。例如上期或本期收到大额政府补助，非流动资产处置损益、长期股权投资产生的大额投资收益等。</w:t>
      </w:r>
    </w:p>
    <w:p w14:paraId="27E812D9">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（三）会计处理的影响。例如，本期或上期合并报表范围变化，会计政策变更、会计估计变更或会计差错更正等。</w:t>
      </w:r>
    </w:p>
    <w:p w14:paraId="2979AB35">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（四）上年比较基数较小。</w:t>
      </w:r>
    </w:p>
    <w:p w14:paraId="730DFACF">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（五）其他影响。</w:t>
      </w:r>
    </w:p>
    <w:p w14:paraId="10E64248">
      <w:pPr>
        <w:widowControl/>
        <w:spacing w:line="600" w:lineRule="exact"/>
        <w:ind w:firstLine="600" w:firstLineChars="250"/>
        <w:jc w:val="left"/>
        <w:rPr>
          <w:rFonts w:ascii="宋体" w:hAnsi="宋体" w:cs="宋体"/>
          <w:kern w:val="0"/>
          <w:sz w:val="24"/>
        </w:rPr>
      </w:pPr>
    </w:p>
    <w:p w14:paraId="07C07DD7">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四、风险提示</w:t>
      </w:r>
    </w:p>
    <w:p w14:paraId="2BF2A5C8">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（一）公司应当说明可能存在影响本次业绩预告内容准确性的不确定因素，例如不确定的重大交易、会计处理存在争议等。</w:t>
      </w:r>
    </w:p>
    <w:p w14:paraId="73F69455">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（二）公司是否就上述不确定因素与年审会计师进行沟通及沟通情况。</w:t>
      </w:r>
    </w:p>
    <w:p w14:paraId="65F8B99E">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（三）对上述不确定因素可能造成的影响进行合理、量化分析，同时披露剔除不确定因素后的业绩变动情况。</w:t>
      </w:r>
    </w:p>
    <w:p w14:paraId="59336462">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（四）其他风险提示。</w:t>
      </w:r>
    </w:p>
    <w:p w14:paraId="5F437B5D">
      <w:pPr>
        <w:widowControl/>
        <w:spacing w:line="600" w:lineRule="exact"/>
        <w:ind w:firstLine="600" w:firstLineChars="250"/>
        <w:rPr>
          <w:rFonts w:ascii="宋体" w:hAnsi="宋体" w:cs="宋体"/>
          <w:kern w:val="0"/>
          <w:sz w:val="24"/>
        </w:rPr>
      </w:pPr>
    </w:p>
    <w:p w14:paraId="5AF42873">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五、其他说明事项</w:t>
      </w:r>
    </w:p>
    <w:p w14:paraId="4F33FEE6">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（一）以上预告数据仅为初步核算数据，具体准确的财务数据以公司正式披露的经审计后的</w:t>
      </w:r>
      <w:r>
        <w:rPr>
          <w:rFonts w:ascii="仿宋_GB2312" w:hAnsi="宋体" w:eastAsia="仿宋_GB2312" w:cs="宋体"/>
          <w:color w:val="000000"/>
          <w:kern w:val="0"/>
          <w:sz w:val="30"/>
          <w:szCs w:val="30"/>
        </w:rPr>
        <w:t>XXXX</w:t>
      </w:r>
      <w:r>
        <w:rPr>
          <w:rFonts w:hint="eastAsia" w:ascii="仿宋_GB2312" w:hAnsi="宋体" w:eastAsia="仿宋_GB2312" w:cs="宋体"/>
          <w:color w:val="000000"/>
          <w:kern w:val="0"/>
          <w:sz w:val="30"/>
          <w:szCs w:val="30"/>
        </w:rPr>
        <w:t>年年报为准，敬请广大投资者注意投资风险。</w:t>
      </w:r>
    </w:p>
    <w:p w14:paraId="36586200">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（二）本次业绩预告的有关决策程序。（如适用）</w:t>
      </w:r>
    </w:p>
    <w:p w14:paraId="19278C72">
      <w:pPr>
        <w:widowControl/>
        <w:spacing w:line="60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（三）关于公司股票可能被实施或撤销退市风险警示、终止上市的说明。（如适用）</w:t>
      </w:r>
    </w:p>
    <w:p w14:paraId="746D38A7">
      <w:pPr>
        <w:widowControl/>
        <w:spacing w:line="600" w:lineRule="exact"/>
        <w:ind w:firstLine="600" w:firstLineChars="200"/>
        <w:rPr>
          <w:rFonts w:ascii="仿宋_GB2312" w:hAnsi="宋体" w:eastAsia="仿宋_GB2312" w:cs="宋体"/>
          <w:color w:val="000000"/>
          <w:kern w:val="0"/>
          <w:sz w:val="30"/>
          <w:szCs w:val="30"/>
        </w:rPr>
      </w:pPr>
    </w:p>
    <w:p w14:paraId="0199C0A4">
      <w:pPr>
        <w:widowControl/>
        <w:spacing w:line="600" w:lineRule="exact"/>
        <w:ind w:firstLine="600" w:firstLineChars="200"/>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特此公告。</w:t>
      </w:r>
    </w:p>
    <w:p w14:paraId="149DD9B2">
      <w:pPr>
        <w:widowControl/>
        <w:spacing w:line="600" w:lineRule="exact"/>
        <w:ind w:firstLine="480"/>
        <w:jc w:val="left"/>
        <w:rPr>
          <w:rFonts w:ascii="宋体" w:hAnsi="宋体" w:cs="宋体"/>
          <w:kern w:val="0"/>
          <w:sz w:val="24"/>
        </w:rPr>
      </w:pPr>
    </w:p>
    <w:p w14:paraId="2D847221">
      <w:pPr>
        <w:widowControl/>
        <w:spacing w:line="600" w:lineRule="exact"/>
        <w:ind w:firstLine="480"/>
        <w:jc w:val="right"/>
        <w:rPr>
          <w:rFonts w:ascii="仿宋_GB2312" w:hAnsi="宋体" w:eastAsia="仿宋_GB2312" w:cs="宋体"/>
          <w:kern w:val="0"/>
          <w:sz w:val="30"/>
          <w:szCs w:val="30"/>
        </w:rPr>
      </w:pPr>
      <w:r>
        <w:rPr>
          <w:rFonts w:ascii="仿宋_GB2312" w:hAnsi="宋体" w:eastAsia="仿宋_GB2312" w:cs="宋体"/>
          <w:kern w:val="0"/>
          <w:sz w:val="30"/>
          <w:szCs w:val="30"/>
        </w:rPr>
        <w:t>XXXX股份有限公司董事会</w:t>
      </w:r>
    </w:p>
    <w:p w14:paraId="368BA11B">
      <w:pPr>
        <w:widowControl/>
        <w:spacing w:line="600" w:lineRule="exact"/>
        <w:ind w:firstLine="480"/>
        <w:jc w:val="right"/>
        <w:rPr>
          <w:rFonts w:ascii="仿宋_GB2312" w:hAnsi="宋体" w:eastAsia="仿宋_GB2312" w:cs="宋体"/>
          <w:kern w:val="0"/>
          <w:sz w:val="30"/>
          <w:szCs w:val="30"/>
        </w:rPr>
      </w:pPr>
      <w:r>
        <w:rPr>
          <w:rFonts w:hint="eastAsia" w:ascii="仿宋_GB2312" w:hAnsi="宋体" w:eastAsia="仿宋_GB2312" w:cs="宋体"/>
          <w:kern w:val="0"/>
          <w:sz w:val="30"/>
          <w:szCs w:val="30"/>
        </w:rPr>
        <w:t>年</w:t>
      </w:r>
      <w:r>
        <w:rPr>
          <w:rFonts w:hint="eastAsia" w:ascii="宋体" w:hAnsi="宋体" w:eastAsia="仿宋_GB2312" w:cs="宋体"/>
          <w:kern w:val="0"/>
          <w:sz w:val="30"/>
          <w:szCs w:val="30"/>
        </w:rPr>
        <w:t xml:space="preserve">  </w:t>
      </w:r>
      <w:r>
        <w:rPr>
          <w:rFonts w:hint="eastAsia" w:ascii="仿宋_GB2312" w:hAnsi="宋体" w:eastAsia="仿宋_GB2312" w:cs="宋体"/>
          <w:kern w:val="0"/>
          <w:sz w:val="30"/>
          <w:szCs w:val="30"/>
        </w:rPr>
        <w:t>月</w:t>
      </w:r>
      <w:r>
        <w:rPr>
          <w:rFonts w:hint="eastAsia" w:ascii="宋体" w:hAnsi="宋体" w:eastAsia="仿宋_GB2312" w:cs="宋体"/>
          <w:kern w:val="0"/>
          <w:sz w:val="30"/>
          <w:szCs w:val="30"/>
        </w:rPr>
        <w:t xml:space="preserve">  </w:t>
      </w:r>
      <w:r>
        <w:rPr>
          <w:rFonts w:hint="eastAsia" w:ascii="仿宋_GB2312" w:hAnsi="宋体" w:eastAsia="仿宋_GB2312" w:cs="宋体"/>
          <w:kern w:val="0"/>
          <w:sz w:val="30"/>
          <w:szCs w:val="30"/>
        </w:rPr>
        <w:t>日</w:t>
      </w:r>
    </w:p>
    <w:p w14:paraId="17354F5F">
      <w:pPr>
        <w:widowControl/>
        <w:spacing w:line="600" w:lineRule="exact"/>
        <w:ind w:firstLine="480"/>
        <w:jc w:val="right"/>
        <w:rPr>
          <w:rFonts w:ascii="宋体" w:hAnsi="宋体" w:cs="宋体"/>
          <w:kern w:val="0"/>
          <w:sz w:val="24"/>
        </w:rPr>
      </w:pPr>
    </w:p>
    <w:p w14:paraId="3A3D8F2B">
      <w:pPr>
        <w:pStyle w:val="21"/>
        <w:numPr>
          <w:ilvl w:val="0"/>
          <w:numId w:val="1"/>
        </w:numPr>
        <w:spacing w:line="600" w:lineRule="exact"/>
        <w:ind w:left="0" w:firstLine="602"/>
        <w:rPr>
          <w:rFonts w:ascii="仿宋_GB2312" w:hAnsi="宋体" w:eastAsia="仿宋_GB2312"/>
          <w:b/>
          <w:color w:val="000000"/>
          <w:kern w:val="0"/>
          <w:sz w:val="30"/>
          <w:szCs w:val="30"/>
        </w:rPr>
      </w:pPr>
      <w:r>
        <w:rPr>
          <w:rFonts w:hint="eastAsia" w:ascii="仿宋_GB2312" w:hAnsi="宋体" w:eastAsia="仿宋_GB2312"/>
          <w:b/>
          <w:color w:val="000000"/>
          <w:kern w:val="0"/>
          <w:sz w:val="30"/>
          <w:szCs w:val="30"/>
        </w:rPr>
        <w:t>报备文件</w:t>
      </w:r>
    </w:p>
    <w:p w14:paraId="0F0B6D9D">
      <w:pPr>
        <w:widowControl/>
        <w:spacing w:line="6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（一）董事会关于本期业绩预告的情况说明（如适用）</w:t>
      </w:r>
    </w:p>
    <w:p w14:paraId="1F9441D2">
      <w:pPr>
        <w:widowControl/>
        <w:spacing w:line="6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（二）董事长、总经理、财务负责人、董事会秘书关于本期业绩预告的情况说明</w:t>
      </w:r>
    </w:p>
    <w:p w14:paraId="3C7F47D6">
      <w:pPr>
        <w:widowControl/>
        <w:spacing w:line="6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（三）注册会计师对公司本期业绩预告是否适当和审慎的专项说明（如适用）</w:t>
      </w:r>
    </w:p>
    <w:p w14:paraId="28B95B9C">
      <w:pPr>
        <w:widowControl/>
        <w:spacing w:line="6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（四）其他文件（如适用）</w:t>
      </w:r>
    </w:p>
    <w:p w14:paraId="77FCB67B">
      <w:pPr>
        <w:widowControl/>
        <w:spacing w:line="600" w:lineRule="exact"/>
        <w:ind w:firstLine="480" w:firstLineChars="200"/>
        <w:jc w:val="left"/>
        <w:rPr>
          <w:rFonts w:ascii="宋体" w:hAnsi="宋体" w:cs="宋体"/>
          <w:kern w:val="0"/>
          <w:sz w:val="24"/>
        </w:rPr>
      </w:pPr>
    </w:p>
    <w:p w14:paraId="10E76028">
      <w:pPr>
        <w:pStyle w:val="21"/>
        <w:numPr>
          <w:ilvl w:val="0"/>
          <w:numId w:val="1"/>
        </w:numPr>
        <w:spacing w:line="600" w:lineRule="exact"/>
        <w:ind w:left="0" w:firstLine="602"/>
        <w:rPr>
          <w:rFonts w:ascii="仿宋_GB2312" w:hAnsi="宋体" w:eastAsia="仿宋_GB2312"/>
          <w:b/>
          <w:color w:val="000000"/>
          <w:kern w:val="0"/>
          <w:sz w:val="30"/>
          <w:szCs w:val="30"/>
        </w:rPr>
      </w:pPr>
      <w:r>
        <w:rPr>
          <w:rFonts w:hint="eastAsia" w:ascii="仿宋_GB2312" w:hAnsi="宋体" w:eastAsia="仿宋_GB2312"/>
          <w:b/>
          <w:color w:val="000000"/>
          <w:kern w:val="0"/>
          <w:sz w:val="30"/>
          <w:szCs w:val="30"/>
        </w:rPr>
        <w:t>注意事项</w:t>
      </w:r>
    </w:p>
    <w:p w14:paraId="20B92465">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如有董事明确提出对本公告有关内容持反对或保留意见的，应在特别提示中简单说明相关情况，并在公告的“其他说明事项”里予以详细说明。</w:t>
      </w:r>
    </w:p>
    <w:bookmarkEnd w:id="1"/>
    <w:bookmarkEnd w:id="2"/>
    <w:bookmarkEnd w:id="3"/>
    <w:bookmarkEnd w:id="4"/>
    <w:p w14:paraId="17473237">
      <w:pPr>
        <w:adjustRightInd w:val="0"/>
        <w:snapToGrid w:val="0"/>
        <w:spacing w:line="600" w:lineRule="exact"/>
        <w:ind w:firstLine="600" w:firstLineChars="200"/>
        <w:rPr>
          <w:rFonts w:ascii="仿宋_GB2312" w:hAnsi="宋体" w:eastAsia="仿宋_GB2312"/>
          <w:bCs/>
          <w:sz w:val="30"/>
          <w:szCs w:val="30"/>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7B41C">
    <w:pPr>
      <w:pStyle w:val="6"/>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w:t>
    </w:r>
    <w:r>
      <w:rPr>
        <w:sz w:val="21"/>
        <w:szCs w:val="21"/>
      </w:rPr>
      <w:fldChar w:fldCharType="end"/>
    </w:r>
  </w:p>
  <w:p w14:paraId="128AAA9A">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962B41"/>
    <w:multiLevelType w:val="multilevel"/>
    <w:tmpl w:val="30962B41"/>
    <w:lvl w:ilvl="0" w:tentative="0">
      <w:start w:val="1"/>
      <w:numFmt w:val="bullet"/>
      <w:lvlText w:val=""/>
      <w:lvlJc w:val="left"/>
      <w:pPr>
        <w:tabs>
          <w:tab w:val="left" w:pos="420"/>
        </w:tabs>
        <w:ind w:left="420" w:hanging="420"/>
      </w:pPr>
      <w:rPr>
        <w:rFonts w:hint="default" w:ascii="Wingdings" w:hAnsi="Wingdings"/>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B9D"/>
    <w:rsid w:val="0000073D"/>
    <w:rsid w:val="000009A4"/>
    <w:rsid w:val="00007321"/>
    <w:rsid w:val="00024898"/>
    <w:rsid w:val="0002757E"/>
    <w:rsid w:val="000456B5"/>
    <w:rsid w:val="000605E0"/>
    <w:rsid w:val="00060EAB"/>
    <w:rsid w:val="00065051"/>
    <w:rsid w:val="00065EB2"/>
    <w:rsid w:val="0007046B"/>
    <w:rsid w:val="00090449"/>
    <w:rsid w:val="000F072D"/>
    <w:rsid w:val="00112D4D"/>
    <w:rsid w:val="00157AA7"/>
    <w:rsid w:val="00166125"/>
    <w:rsid w:val="001705ED"/>
    <w:rsid w:val="00176675"/>
    <w:rsid w:val="0017788A"/>
    <w:rsid w:val="00183094"/>
    <w:rsid w:val="00191F49"/>
    <w:rsid w:val="0019546B"/>
    <w:rsid w:val="001A372B"/>
    <w:rsid w:val="001A6835"/>
    <w:rsid w:val="001A7F62"/>
    <w:rsid w:val="001C42ED"/>
    <w:rsid w:val="001D3355"/>
    <w:rsid w:val="001D38B4"/>
    <w:rsid w:val="001E0130"/>
    <w:rsid w:val="0021544C"/>
    <w:rsid w:val="002329E2"/>
    <w:rsid w:val="00250CEF"/>
    <w:rsid w:val="00252C23"/>
    <w:rsid w:val="002537DE"/>
    <w:rsid w:val="00263188"/>
    <w:rsid w:val="00266AF8"/>
    <w:rsid w:val="0027169F"/>
    <w:rsid w:val="0027225C"/>
    <w:rsid w:val="00273436"/>
    <w:rsid w:val="00290E7E"/>
    <w:rsid w:val="00291251"/>
    <w:rsid w:val="002A1FE7"/>
    <w:rsid w:val="002A5A11"/>
    <w:rsid w:val="002B176D"/>
    <w:rsid w:val="002B1B1C"/>
    <w:rsid w:val="002B39F1"/>
    <w:rsid w:val="002B57A8"/>
    <w:rsid w:val="002D4AA1"/>
    <w:rsid w:val="002E1C96"/>
    <w:rsid w:val="002E71BF"/>
    <w:rsid w:val="002E795B"/>
    <w:rsid w:val="00300437"/>
    <w:rsid w:val="0030627A"/>
    <w:rsid w:val="00324447"/>
    <w:rsid w:val="00353EAB"/>
    <w:rsid w:val="00357CFC"/>
    <w:rsid w:val="00367083"/>
    <w:rsid w:val="003923F5"/>
    <w:rsid w:val="003A515B"/>
    <w:rsid w:val="003B58D9"/>
    <w:rsid w:val="003C6EAC"/>
    <w:rsid w:val="003D3781"/>
    <w:rsid w:val="003E095B"/>
    <w:rsid w:val="003F4949"/>
    <w:rsid w:val="00404E04"/>
    <w:rsid w:val="00422BA8"/>
    <w:rsid w:val="004307D1"/>
    <w:rsid w:val="00466D72"/>
    <w:rsid w:val="00470396"/>
    <w:rsid w:val="00491ABE"/>
    <w:rsid w:val="004A140D"/>
    <w:rsid w:val="004A67A4"/>
    <w:rsid w:val="004B574F"/>
    <w:rsid w:val="004C5EDD"/>
    <w:rsid w:val="004D03C7"/>
    <w:rsid w:val="004D1BD1"/>
    <w:rsid w:val="004D399B"/>
    <w:rsid w:val="004D6CCA"/>
    <w:rsid w:val="004D7511"/>
    <w:rsid w:val="004E0A32"/>
    <w:rsid w:val="004E2C63"/>
    <w:rsid w:val="004F0D50"/>
    <w:rsid w:val="004F33B2"/>
    <w:rsid w:val="0051177D"/>
    <w:rsid w:val="00512671"/>
    <w:rsid w:val="00515949"/>
    <w:rsid w:val="00535B19"/>
    <w:rsid w:val="00545909"/>
    <w:rsid w:val="005764D5"/>
    <w:rsid w:val="005913EB"/>
    <w:rsid w:val="005B08F1"/>
    <w:rsid w:val="005B3953"/>
    <w:rsid w:val="005B774A"/>
    <w:rsid w:val="005E271E"/>
    <w:rsid w:val="005E6F74"/>
    <w:rsid w:val="005F1BEA"/>
    <w:rsid w:val="005F732B"/>
    <w:rsid w:val="00600C15"/>
    <w:rsid w:val="00600CAA"/>
    <w:rsid w:val="00612AA4"/>
    <w:rsid w:val="006259C9"/>
    <w:rsid w:val="006300E9"/>
    <w:rsid w:val="006301DC"/>
    <w:rsid w:val="00637B70"/>
    <w:rsid w:val="00644CE3"/>
    <w:rsid w:val="0066692D"/>
    <w:rsid w:val="00666CD6"/>
    <w:rsid w:val="00673F58"/>
    <w:rsid w:val="00694FE1"/>
    <w:rsid w:val="0069725A"/>
    <w:rsid w:val="006A07E4"/>
    <w:rsid w:val="006A3E45"/>
    <w:rsid w:val="006C6B1E"/>
    <w:rsid w:val="006E37B7"/>
    <w:rsid w:val="006E6A77"/>
    <w:rsid w:val="006F084B"/>
    <w:rsid w:val="006F25F1"/>
    <w:rsid w:val="006F57A9"/>
    <w:rsid w:val="007108BC"/>
    <w:rsid w:val="00720C15"/>
    <w:rsid w:val="00725659"/>
    <w:rsid w:val="007270C5"/>
    <w:rsid w:val="007311BB"/>
    <w:rsid w:val="00732232"/>
    <w:rsid w:val="0073246A"/>
    <w:rsid w:val="007413BE"/>
    <w:rsid w:val="0074521C"/>
    <w:rsid w:val="00767A06"/>
    <w:rsid w:val="00771E89"/>
    <w:rsid w:val="00793AED"/>
    <w:rsid w:val="0079495F"/>
    <w:rsid w:val="00794C8E"/>
    <w:rsid w:val="007976B3"/>
    <w:rsid w:val="007A1B08"/>
    <w:rsid w:val="007A360F"/>
    <w:rsid w:val="007A7E43"/>
    <w:rsid w:val="007B70FE"/>
    <w:rsid w:val="007C5010"/>
    <w:rsid w:val="007E2C95"/>
    <w:rsid w:val="007E6E69"/>
    <w:rsid w:val="007F3148"/>
    <w:rsid w:val="00805365"/>
    <w:rsid w:val="00820B8E"/>
    <w:rsid w:val="00825818"/>
    <w:rsid w:val="008320EC"/>
    <w:rsid w:val="00833064"/>
    <w:rsid w:val="008429F6"/>
    <w:rsid w:val="00865765"/>
    <w:rsid w:val="00886742"/>
    <w:rsid w:val="008A13FB"/>
    <w:rsid w:val="008A4CD0"/>
    <w:rsid w:val="008B2E9D"/>
    <w:rsid w:val="008B7EFE"/>
    <w:rsid w:val="008C0965"/>
    <w:rsid w:val="008D3EC6"/>
    <w:rsid w:val="008D570F"/>
    <w:rsid w:val="008D76CD"/>
    <w:rsid w:val="00900F2A"/>
    <w:rsid w:val="009030C3"/>
    <w:rsid w:val="00912822"/>
    <w:rsid w:val="00913038"/>
    <w:rsid w:val="00915122"/>
    <w:rsid w:val="00922B9A"/>
    <w:rsid w:val="0095398E"/>
    <w:rsid w:val="00962022"/>
    <w:rsid w:val="00976CCB"/>
    <w:rsid w:val="009850BF"/>
    <w:rsid w:val="00995411"/>
    <w:rsid w:val="009A669C"/>
    <w:rsid w:val="009B3B89"/>
    <w:rsid w:val="009C3FEF"/>
    <w:rsid w:val="009C464F"/>
    <w:rsid w:val="009C49AD"/>
    <w:rsid w:val="009D7599"/>
    <w:rsid w:val="009D7A6B"/>
    <w:rsid w:val="009E49B3"/>
    <w:rsid w:val="009E4A74"/>
    <w:rsid w:val="009E5D71"/>
    <w:rsid w:val="009E64F2"/>
    <w:rsid w:val="009F1DB4"/>
    <w:rsid w:val="009F4CE3"/>
    <w:rsid w:val="009F4D2A"/>
    <w:rsid w:val="00A139AE"/>
    <w:rsid w:val="00A200BC"/>
    <w:rsid w:val="00A31713"/>
    <w:rsid w:val="00A319C1"/>
    <w:rsid w:val="00A339EB"/>
    <w:rsid w:val="00A36FF0"/>
    <w:rsid w:val="00A41370"/>
    <w:rsid w:val="00A67B9D"/>
    <w:rsid w:val="00A70C2C"/>
    <w:rsid w:val="00A7598E"/>
    <w:rsid w:val="00AB63E8"/>
    <w:rsid w:val="00AF3F72"/>
    <w:rsid w:val="00B067B6"/>
    <w:rsid w:val="00B2737B"/>
    <w:rsid w:val="00B27A78"/>
    <w:rsid w:val="00B30B17"/>
    <w:rsid w:val="00B4359B"/>
    <w:rsid w:val="00B51BA0"/>
    <w:rsid w:val="00B66808"/>
    <w:rsid w:val="00B70EA4"/>
    <w:rsid w:val="00B724A9"/>
    <w:rsid w:val="00B83A38"/>
    <w:rsid w:val="00BA65B5"/>
    <w:rsid w:val="00BB70CD"/>
    <w:rsid w:val="00BD7177"/>
    <w:rsid w:val="00BF5E62"/>
    <w:rsid w:val="00C004E2"/>
    <w:rsid w:val="00C025EE"/>
    <w:rsid w:val="00C15822"/>
    <w:rsid w:val="00C224BE"/>
    <w:rsid w:val="00C22816"/>
    <w:rsid w:val="00C31B89"/>
    <w:rsid w:val="00C530DA"/>
    <w:rsid w:val="00C5588C"/>
    <w:rsid w:val="00C64560"/>
    <w:rsid w:val="00C712EA"/>
    <w:rsid w:val="00C76E86"/>
    <w:rsid w:val="00C86342"/>
    <w:rsid w:val="00C919DD"/>
    <w:rsid w:val="00CB5F3E"/>
    <w:rsid w:val="00CC7F22"/>
    <w:rsid w:val="00CD540C"/>
    <w:rsid w:val="00CD64A7"/>
    <w:rsid w:val="00CF0F36"/>
    <w:rsid w:val="00CF4EA0"/>
    <w:rsid w:val="00D02B5F"/>
    <w:rsid w:val="00D06D11"/>
    <w:rsid w:val="00D12465"/>
    <w:rsid w:val="00D135DD"/>
    <w:rsid w:val="00D16B15"/>
    <w:rsid w:val="00D228F3"/>
    <w:rsid w:val="00D35551"/>
    <w:rsid w:val="00D435CD"/>
    <w:rsid w:val="00D44337"/>
    <w:rsid w:val="00D53803"/>
    <w:rsid w:val="00D55388"/>
    <w:rsid w:val="00D55A5E"/>
    <w:rsid w:val="00D618D5"/>
    <w:rsid w:val="00D662FB"/>
    <w:rsid w:val="00D775A4"/>
    <w:rsid w:val="00D831BA"/>
    <w:rsid w:val="00D86993"/>
    <w:rsid w:val="00DC17D2"/>
    <w:rsid w:val="00DC72C2"/>
    <w:rsid w:val="00DC7B51"/>
    <w:rsid w:val="00DE4A6A"/>
    <w:rsid w:val="00DF0FD3"/>
    <w:rsid w:val="00DF5B35"/>
    <w:rsid w:val="00E025F2"/>
    <w:rsid w:val="00E033A1"/>
    <w:rsid w:val="00E1089E"/>
    <w:rsid w:val="00E21C97"/>
    <w:rsid w:val="00E25263"/>
    <w:rsid w:val="00E25B82"/>
    <w:rsid w:val="00E366CE"/>
    <w:rsid w:val="00E42432"/>
    <w:rsid w:val="00E70E11"/>
    <w:rsid w:val="00E75E66"/>
    <w:rsid w:val="00E76D19"/>
    <w:rsid w:val="00E812DD"/>
    <w:rsid w:val="00E914A2"/>
    <w:rsid w:val="00EB3001"/>
    <w:rsid w:val="00EC2031"/>
    <w:rsid w:val="00EE1BCC"/>
    <w:rsid w:val="00EE555F"/>
    <w:rsid w:val="00EE6EDF"/>
    <w:rsid w:val="00F0457D"/>
    <w:rsid w:val="00F04B6F"/>
    <w:rsid w:val="00F406A0"/>
    <w:rsid w:val="00F41EFD"/>
    <w:rsid w:val="00F67BFC"/>
    <w:rsid w:val="00F8299A"/>
    <w:rsid w:val="00F97EF7"/>
    <w:rsid w:val="00FA2FD6"/>
    <w:rsid w:val="00FA467A"/>
    <w:rsid w:val="00FA5FCF"/>
    <w:rsid w:val="00FA5FD8"/>
    <w:rsid w:val="00FC799C"/>
    <w:rsid w:val="00FD5FF3"/>
    <w:rsid w:val="00FD65FA"/>
    <w:rsid w:val="00FE235D"/>
    <w:rsid w:val="00FE3DC4"/>
    <w:rsid w:val="06757261"/>
    <w:rsid w:val="1571543C"/>
    <w:rsid w:val="27EC72BD"/>
    <w:rsid w:val="2EAF2C25"/>
    <w:rsid w:val="30521557"/>
    <w:rsid w:val="3A1E4181"/>
    <w:rsid w:val="454E01E9"/>
    <w:rsid w:val="4BED6AFE"/>
    <w:rsid w:val="557E28D4"/>
    <w:rsid w:val="62162292"/>
    <w:rsid w:val="654D665C"/>
    <w:rsid w:val="6D056818"/>
    <w:rsid w:val="6EAF5B84"/>
    <w:rsid w:val="74CF26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11">
    <w:name w:val="Default Paragraph Font"/>
    <w:unhideWhenUsed/>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3">
    <w:name w:val="Document Map"/>
    <w:basedOn w:val="1"/>
    <w:link w:val="14"/>
    <w:unhideWhenUsed/>
    <w:uiPriority w:val="99"/>
    <w:rPr>
      <w:rFonts w:ascii="宋体"/>
      <w:sz w:val="18"/>
      <w:szCs w:val="18"/>
    </w:rPr>
  </w:style>
  <w:style w:type="paragraph" w:styleId="4">
    <w:name w:val="annotation text"/>
    <w:basedOn w:val="1"/>
    <w:link w:val="15"/>
    <w:unhideWhenUsed/>
    <w:uiPriority w:val="99"/>
    <w:pPr>
      <w:jc w:val="left"/>
    </w:pPr>
  </w:style>
  <w:style w:type="paragraph" w:styleId="5">
    <w:name w:val="Balloon Text"/>
    <w:basedOn w:val="1"/>
    <w:link w:val="16"/>
    <w:unhideWhenUsed/>
    <w:uiPriority w:val="99"/>
    <w:rPr>
      <w:sz w:val="18"/>
      <w:szCs w:val="18"/>
    </w:rPr>
  </w:style>
  <w:style w:type="paragraph" w:styleId="6">
    <w:name w:val="footer"/>
    <w:basedOn w:val="1"/>
    <w:link w:val="17"/>
    <w:unhideWhenUsed/>
    <w:uiPriority w:val="99"/>
    <w:pPr>
      <w:tabs>
        <w:tab w:val="center" w:pos="4153"/>
        <w:tab w:val="right" w:pos="8306"/>
      </w:tabs>
      <w:snapToGrid w:val="0"/>
      <w:jc w:val="left"/>
    </w:pPr>
    <w:rPr>
      <w:sz w:val="18"/>
      <w:szCs w:val="18"/>
    </w:rPr>
  </w:style>
  <w:style w:type="paragraph" w:styleId="7">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9"/>
    <w:qFormat/>
    <w:uiPriority w:val="10"/>
    <w:pPr>
      <w:spacing w:before="240" w:after="60"/>
      <w:jc w:val="center"/>
      <w:outlineLvl w:val="0"/>
    </w:pPr>
    <w:rPr>
      <w:rFonts w:ascii="Cambria" w:hAnsi="Cambria" w:cs="Times New Roman"/>
      <w:b/>
      <w:bCs/>
      <w:sz w:val="30"/>
      <w:szCs w:val="32"/>
    </w:rPr>
  </w:style>
  <w:style w:type="paragraph" w:styleId="9">
    <w:name w:val="annotation subject"/>
    <w:basedOn w:val="4"/>
    <w:next w:val="4"/>
    <w:link w:val="20"/>
    <w:unhideWhenUsed/>
    <w:uiPriority w:val="99"/>
    <w:rPr>
      <w:b/>
      <w:bCs/>
    </w:rPr>
  </w:style>
  <w:style w:type="character" w:styleId="12">
    <w:name w:val="annotation reference"/>
    <w:unhideWhenUsed/>
    <w:uiPriority w:val="99"/>
    <w:rPr>
      <w:sz w:val="21"/>
      <w:szCs w:val="21"/>
    </w:rPr>
  </w:style>
  <w:style w:type="character" w:customStyle="1" w:styleId="13">
    <w:name w:val="标题 1 字符"/>
    <w:link w:val="2"/>
    <w:uiPriority w:val="0"/>
    <w:rPr>
      <w:rFonts w:ascii="Times New Roman" w:hAnsi="Times New Roman" w:eastAsia="宋体" w:cs="Times New Roman"/>
      <w:b/>
      <w:bCs/>
      <w:kern w:val="44"/>
      <w:sz w:val="44"/>
      <w:szCs w:val="44"/>
    </w:rPr>
  </w:style>
  <w:style w:type="character" w:customStyle="1" w:styleId="14">
    <w:name w:val="文档结构图 字符"/>
    <w:link w:val="3"/>
    <w:semiHidden/>
    <w:uiPriority w:val="99"/>
    <w:rPr>
      <w:rFonts w:ascii="宋体" w:hAnsi="Times New Roman"/>
      <w:kern w:val="2"/>
      <w:sz w:val="18"/>
      <w:szCs w:val="18"/>
    </w:rPr>
  </w:style>
  <w:style w:type="character" w:customStyle="1" w:styleId="15">
    <w:name w:val="批注文字 字符"/>
    <w:link w:val="4"/>
    <w:semiHidden/>
    <w:uiPriority w:val="99"/>
    <w:rPr>
      <w:rFonts w:ascii="Times New Roman" w:hAnsi="Times New Roman" w:eastAsia="宋体" w:cs="Times New Roman"/>
      <w:szCs w:val="24"/>
    </w:rPr>
  </w:style>
  <w:style w:type="character" w:customStyle="1" w:styleId="16">
    <w:name w:val="批注框文本 字符"/>
    <w:link w:val="5"/>
    <w:semiHidden/>
    <w:uiPriority w:val="99"/>
    <w:rPr>
      <w:rFonts w:ascii="Times New Roman" w:hAnsi="Times New Roman" w:eastAsia="宋体" w:cs="Times New Roman"/>
      <w:sz w:val="18"/>
      <w:szCs w:val="18"/>
    </w:rPr>
  </w:style>
  <w:style w:type="character" w:customStyle="1" w:styleId="17">
    <w:name w:val="页脚 字符"/>
    <w:link w:val="6"/>
    <w:uiPriority w:val="99"/>
    <w:rPr>
      <w:rFonts w:ascii="Times New Roman" w:hAnsi="Times New Roman" w:eastAsia="宋体" w:cs="Times New Roman"/>
      <w:sz w:val="18"/>
      <w:szCs w:val="18"/>
    </w:rPr>
  </w:style>
  <w:style w:type="character" w:customStyle="1" w:styleId="18">
    <w:name w:val="页眉 字符"/>
    <w:link w:val="7"/>
    <w:uiPriority w:val="99"/>
    <w:rPr>
      <w:rFonts w:ascii="Times New Roman" w:hAnsi="Times New Roman" w:eastAsia="宋体" w:cs="Times New Roman"/>
      <w:sz w:val="18"/>
      <w:szCs w:val="18"/>
    </w:rPr>
  </w:style>
  <w:style w:type="character" w:customStyle="1" w:styleId="19">
    <w:name w:val="标题 字符"/>
    <w:link w:val="8"/>
    <w:uiPriority w:val="10"/>
    <w:rPr>
      <w:rFonts w:ascii="Cambria" w:hAnsi="Cambria" w:eastAsia="宋体" w:cs="Times New Roman"/>
      <w:b/>
      <w:bCs/>
      <w:sz w:val="30"/>
      <w:szCs w:val="32"/>
    </w:rPr>
  </w:style>
  <w:style w:type="character" w:customStyle="1" w:styleId="20">
    <w:name w:val="批注主题 字符"/>
    <w:link w:val="9"/>
    <w:semiHidden/>
    <w:uiPriority w:val="99"/>
    <w:rPr>
      <w:rFonts w:ascii="Times New Roman" w:hAnsi="Times New Roman" w:eastAsia="宋体" w:cs="Times New Roman"/>
      <w:b/>
      <w:bCs/>
      <w:szCs w:val="24"/>
    </w:rPr>
  </w:style>
  <w:style w:type="paragraph" w:styleId="21">
    <w:name w:val="List Paragraph"/>
    <w:basedOn w:val="1"/>
    <w:qFormat/>
    <w:uiPriority w:val="0"/>
    <w:pPr>
      <w:ind w:firstLine="420" w:firstLineChars="200"/>
    </w:pPr>
  </w:style>
  <w:style w:type="paragraph" w:styleId="22">
    <w:name w:val=""/>
    <w:semiHidden/>
    <w:uiPriority w:val="99"/>
    <w:rPr>
      <w:rFonts w:ascii="Times New Roman" w:hAnsi="Times New Roman"/>
      <w:kern w:val="2"/>
      <w:sz w:val="21"/>
      <w:szCs w:val="24"/>
      <w:lang w:val="en-US" w:eastAsia="zh-CN" w:bidi="ar-SA"/>
    </w:rPr>
  </w:style>
  <w:style w:type="paragraph" w:customStyle="1" w:styleId="23">
    <w:name w:val="Default"/>
    <w:uiPriority w:val="0"/>
    <w:pPr>
      <w:widowControl w:val="0"/>
      <w:autoSpaceDE w:val="0"/>
      <w:autoSpaceDN w:val="0"/>
      <w:adjustRightInd w:val="0"/>
    </w:pPr>
    <w:rPr>
      <w:rFonts w:ascii="仿宋_GB2312"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454</Words>
  <Characters>2591</Characters>
  <Lines>21</Lines>
  <Paragraphs>6</Paragraphs>
  <TotalTime>0</TotalTime>
  <ScaleCrop>false</ScaleCrop>
  <LinksUpToDate>false</LinksUpToDate>
  <CharactersWithSpaces>3039</CharactersWithSpaces>
  <Application>WPS Office_12.8.2.19309_F1E327BC-269C-435d-A152-05C5408002CA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2019-04-04T10:32:00Z</dcterms:created>
  <dc:creator>wenyihuang</dc:creator>
  <cp:lastModifiedBy>黄文怡</cp:lastModifiedBy>
  <cp:lastPrinted>2019-03-28T07:04:00Z</cp:lastPrinted>
  <dcterms:modified xsi:type="dcterms:W3CDTF">2025-04-25T09:40:27Z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F4A7F4FAE0A34A598D827DAAB3581FFF_13</vt:lpwstr>
  </property>
</Properties>
</file>