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hint="eastAsia" w:ascii="黑体" w:hAnsi="黑体" w:eastAsia="黑体"/>
          <w:sz w:val="36"/>
          <w:szCs w:val="36"/>
          <w:lang w:eastAsia="zh-CN"/>
        </w:rPr>
      </w:pPr>
      <w:bookmarkStart w:id="7" w:name="_GoBack"/>
      <w:bookmarkEnd w:id="7"/>
    </w:p>
    <w:p>
      <w:pPr>
        <w:pStyle w:val="2"/>
        <w:spacing w:before="0" w:after="0" w:line="600" w:lineRule="exact"/>
        <w:jc w:val="center"/>
        <w:rPr>
          <w:rFonts w:ascii="黑体" w:hAnsi="黑体" w:eastAsia="黑体"/>
          <w:sz w:val="36"/>
          <w:szCs w:val="36"/>
        </w:rPr>
      </w:pPr>
      <w:r>
        <w:rPr>
          <w:rFonts w:hint="eastAsia" w:ascii="黑体" w:hAnsi="黑体" w:eastAsia="黑体"/>
          <w:sz w:val="36"/>
          <w:szCs w:val="36"/>
        </w:rPr>
        <w:t>科创板上市公司权益分派实施</w:t>
      </w:r>
    </w:p>
    <w:p>
      <w:pPr>
        <w:spacing w:line="600" w:lineRule="exact"/>
        <w:jc w:val="center"/>
        <w:rPr>
          <w:rFonts w:ascii="仿宋_GB2312" w:hAnsi="宋体" w:eastAsia="仿宋_GB2312" w:cs="宋体"/>
          <w:color w:val="0000FF"/>
          <w:kern w:val="0"/>
          <w:sz w:val="24"/>
        </w:rPr>
      </w:pPr>
      <w:r>
        <w:rPr>
          <w:rFonts w:hint="eastAsia" w:ascii="仿宋_GB2312" w:hAnsi="宋体" w:eastAsia="仿宋_GB2312" w:cs="宋体"/>
          <w:color w:val="0000FF"/>
          <w:kern w:val="0"/>
          <w:sz w:val="24"/>
        </w:rPr>
        <w:t>（本公告应使用本所公告编制软件编制）</w:t>
      </w:r>
    </w:p>
    <w:p>
      <w:pPr>
        <w:tabs>
          <w:tab w:val="left" w:pos="720"/>
        </w:tabs>
        <w:adjustRightInd w:val="0"/>
        <w:snapToGrid w:val="0"/>
        <w:spacing w:line="600" w:lineRule="exact"/>
        <w:rPr>
          <w:rFonts w:hint="eastAsia" w:ascii="仿宋_GB2312" w:hAnsi="宋体" w:eastAsia="仿宋_GB2312"/>
          <w:b/>
          <w:bCs/>
          <w:sz w:val="30"/>
          <w:szCs w:val="30"/>
        </w:rPr>
      </w:pPr>
    </w:p>
    <w:p>
      <w:pPr>
        <w:tabs>
          <w:tab w:val="left" w:pos="720"/>
        </w:tabs>
        <w:adjustRightInd w:val="0"/>
        <w:snapToGrid w:val="0"/>
        <w:spacing w:line="600" w:lineRule="exact"/>
        <w:rPr>
          <w:rFonts w:ascii="仿宋_GB2312" w:hAnsi="宋体" w:eastAsia="仿宋_GB2312"/>
          <w:b/>
          <w:bCs/>
          <w:sz w:val="30"/>
          <w:szCs w:val="30"/>
        </w:rPr>
      </w:pPr>
      <w:r>
        <w:rPr>
          <w:rFonts w:hint="eastAsia" w:ascii="仿宋_GB2312" w:hAnsi="宋体" w:eastAsia="仿宋_GB2312"/>
          <w:b/>
          <w:bCs/>
          <w:sz w:val="30"/>
          <w:szCs w:val="30"/>
        </w:rPr>
        <w:t>适用情形：</w:t>
      </w:r>
    </w:p>
    <w:p>
      <w:pPr>
        <w:adjustRightInd w:val="0"/>
        <w:snapToGrid w:val="0"/>
        <w:spacing w:line="600" w:lineRule="exact"/>
        <w:ind w:firstLine="588" w:firstLineChars="196"/>
        <w:rPr>
          <w:rFonts w:ascii="仿宋_GB2312" w:hAnsi="宋体" w:eastAsia="仿宋_GB2312"/>
          <w:bCs/>
          <w:sz w:val="30"/>
          <w:szCs w:val="30"/>
        </w:rPr>
      </w:pPr>
      <w:r>
        <w:rPr>
          <w:rFonts w:ascii="仿宋_GB2312" w:hAnsi="宋体" w:eastAsia="仿宋_GB2312"/>
          <w:bCs/>
          <w:sz w:val="30"/>
          <w:szCs w:val="30"/>
        </w:rPr>
        <w:t>1</w:t>
      </w:r>
      <w:r>
        <w:rPr>
          <w:rFonts w:hint="eastAsia" w:ascii="仿宋_GB2312" w:hAnsi="宋体" w:eastAsia="仿宋_GB2312"/>
          <w:bCs/>
          <w:sz w:val="30"/>
          <w:szCs w:val="30"/>
        </w:rPr>
        <w:t>. 科创板上市公司（以下简称上市公司）普通股和特别表决权股份权益分派（包括派发现金红利、送股、公积金转增股本），以及权益分派新增无限售流通股上市，需履行信息披露义务，适用本业务操作指引。</w:t>
      </w:r>
    </w:p>
    <w:p>
      <w:pPr>
        <w:adjustRightInd w:val="0"/>
        <w:snapToGrid w:val="0"/>
        <w:spacing w:line="600" w:lineRule="exact"/>
        <w:ind w:firstLine="588" w:firstLineChars="196"/>
        <w:rPr>
          <w:rFonts w:ascii="仿宋_GB2312" w:hAnsi="宋体" w:eastAsia="仿宋_GB2312"/>
          <w:bCs/>
          <w:sz w:val="30"/>
          <w:szCs w:val="30"/>
        </w:rPr>
      </w:pPr>
      <w:r>
        <w:rPr>
          <w:rFonts w:ascii="仿宋_GB2312" w:hAnsi="宋体" w:eastAsia="仿宋_GB2312"/>
          <w:bCs/>
          <w:sz w:val="30"/>
          <w:szCs w:val="30"/>
        </w:rPr>
        <w:t>2</w:t>
      </w:r>
      <w:r>
        <w:rPr>
          <w:rFonts w:hint="eastAsia" w:ascii="仿宋_GB2312" w:hAnsi="宋体" w:eastAsia="仿宋_GB2312"/>
          <w:bCs/>
          <w:sz w:val="30"/>
          <w:szCs w:val="30"/>
        </w:rPr>
        <w:t>. 上市公司优先股权益分派、可转换公司债券与公司债券付息，不适用本业务操作指引。</w:t>
      </w:r>
    </w:p>
    <w:p>
      <w:pPr>
        <w:tabs>
          <w:tab w:val="left" w:pos="720"/>
        </w:tabs>
        <w:adjustRightInd w:val="0"/>
        <w:snapToGrid w:val="0"/>
        <w:spacing w:line="600" w:lineRule="exact"/>
        <w:ind w:firstLine="480" w:firstLineChars="200"/>
        <w:rPr>
          <w:rFonts w:ascii="宋体" w:hAnsi="宋体"/>
          <w:sz w:val="24"/>
        </w:rPr>
      </w:pPr>
    </w:p>
    <w:p>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600" w:lineRule="exact"/>
        <w:jc w:val="center"/>
        <w:rPr>
          <w:rFonts w:ascii="仿宋_GB2312" w:hAnsi="宋体" w:eastAsia="仿宋_GB2312"/>
          <w:sz w:val="30"/>
          <w:szCs w:val="30"/>
        </w:rPr>
      </w:pPr>
    </w:p>
    <w:p>
      <w:pPr>
        <w:jc w:val="center"/>
        <w:rPr>
          <w:rFonts w:hint="eastAsia" w:ascii="仿宋_GB2312" w:hAnsi="宋体" w:eastAsia="仿宋_GB2312"/>
          <w:sz w:val="30"/>
          <w:szCs w:val="30"/>
        </w:rPr>
      </w:pPr>
      <w:r>
        <w:rPr>
          <w:rFonts w:hint="eastAsia" w:ascii="仿宋_GB2312" w:hAnsi="宋体" w:eastAsia="仿宋_GB2312"/>
          <w:sz w:val="30"/>
          <w:szCs w:val="30"/>
        </w:rPr>
        <w:t>XXXX股份有限公司XX年权益分派实施公告</w:t>
      </w:r>
    </w:p>
    <w:p>
      <w:pPr>
        <w:jc w:val="center"/>
        <w:rPr>
          <w:rFonts w:ascii="宋体" w:hAnsi="宋体"/>
          <w:sz w:val="24"/>
        </w:rPr>
      </w:pPr>
    </w:p>
    <w:p>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宋体" w:hAnsi="宋体"/>
          <w:color w:val="000000"/>
          <w:sz w:val="24"/>
        </w:rPr>
        <w:t xml:space="preserve">    </w:t>
      </w: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600" w:lineRule="exact"/>
        <w:rPr>
          <w:rFonts w:ascii="宋体" w:hAnsi="宋体"/>
          <w:sz w:val="24"/>
        </w:rPr>
      </w:pPr>
      <w:r>
        <w:rPr>
          <w:rFonts w:hint="eastAsia" w:ascii="宋体" w:hAnsi="宋体"/>
          <w:sz w:val="24"/>
        </w:rPr>
        <w:t xml:space="preserve">    </w:t>
      </w:r>
    </w:p>
    <w:p>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3"/>
          <w:numId w:val="1"/>
        </w:numPr>
        <w:tabs>
          <w:tab w:val="left" w:pos="1080"/>
          <w:tab w:val="clear" w:pos="2218"/>
        </w:tabs>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cs="宋体"/>
          <w:color w:val="000000"/>
          <w:kern w:val="0"/>
          <w:sz w:val="30"/>
          <w:szCs w:val="30"/>
        </w:rPr>
        <w:t>首发战略配售股份是否已全部上市流通：是或否（如为“是”，则应当披露</w:t>
      </w:r>
      <w:r>
        <w:rPr>
          <w:rFonts w:hint="eastAsia" w:ascii="仿宋_GB2312" w:hAnsi="宋体" w:eastAsia="仿宋_GB2312"/>
          <w:sz w:val="30"/>
          <w:szCs w:val="30"/>
        </w:rPr>
        <w:t>本次权益分派新增无限售条件流通股为</w:t>
      </w:r>
      <w:r>
        <w:rPr>
          <w:rFonts w:hint="eastAsia" w:ascii="宋体" w:hAnsi="宋体" w:cs="宋体"/>
          <w:color w:val="000000"/>
          <w:kern w:val="0"/>
          <w:sz w:val="30"/>
          <w:szCs w:val="30"/>
        </w:rPr>
        <w:t>____</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pPr>
        <w:numPr>
          <w:ilvl w:val="3"/>
          <w:numId w:val="1"/>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是否涉及差异化分红送转：是或否</w:t>
      </w:r>
    </w:p>
    <w:p>
      <w:pPr>
        <w:numPr>
          <w:ilvl w:val="3"/>
          <w:numId w:val="1"/>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每股分配比例，每股转增比例</w:t>
      </w:r>
    </w:p>
    <w:p>
      <w:pPr>
        <w:adjustRightInd w:val="0"/>
        <w:snapToGrid w:val="0"/>
        <w:spacing w:line="600" w:lineRule="exact"/>
        <w:ind w:left="600" w:firstLine="546" w:firstLineChars="182"/>
        <w:rPr>
          <w:rFonts w:hint="eastAsia" w:ascii="仿宋_GB2312" w:hAnsi="宋体" w:eastAsia="仿宋_GB2312"/>
          <w:sz w:val="30"/>
          <w:szCs w:val="30"/>
        </w:rPr>
      </w:pPr>
      <w:r>
        <w:rPr>
          <w:rFonts w:hint="eastAsia" w:ascii="仿宋_GB2312" w:hAnsi="宋体" w:eastAsia="仿宋_GB2312"/>
          <w:sz w:val="30"/>
          <w:szCs w:val="30"/>
        </w:rPr>
        <w:t>每股现金红利</w:t>
      </w:r>
      <w:r>
        <w:rPr>
          <w:rFonts w:hint="eastAsia" w:ascii="宋体" w:hAnsi="宋体" w:cs="宋体"/>
          <w:color w:val="000000"/>
          <w:kern w:val="0"/>
          <w:sz w:val="30"/>
          <w:szCs w:val="30"/>
        </w:rPr>
        <w:t>____</w:t>
      </w:r>
      <w:r>
        <w:rPr>
          <w:rFonts w:hint="eastAsia" w:ascii="仿宋_GB2312" w:hAnsi="宋体" w:eastAsia="仿宋_GB2312"/>
          <w:sz w:val="30"/>
          <w:szCs w:val="30"/>
        </w:rPr>
        <w:t>元</w:t>
      </w:r>
      <w:bookmarkStart w:id="0" w:name="_GoBack"/>
      <w:bookmarkEnd w:id="0"/>
    </w:p>
    <w:p>
      <w:pPr>
        <w:adjustRightInd w:val="0"/>
        <w:snapToGrid w:val="0"/>
        <w:spacing w:line="600" w:lineRule="exact"/>
        <w:ind w:left="600" w:firstLine="546" w:firstLineChars="182"/>
        <w:rPr>
          <w:rFonts w:hint="eastAsia" w:ascii="仿宋_GB2312" w:hAnsi="宋体" w:eastAsia="仿宋_GB2312"/>
          <w:sz w:val="30"/>
          <w:szCs w:val="30"/>
        </w:rPr>
      </w:pPr>
      <w:r>
        <w:rPr>
          <w:rFonts w:hint="eastAsia" w:ascii="仿宋_GB2312" w:hAnsi="宋体" w:eastAsia="仿宋_GB2312"/>
          <w:sz w:val="30"/>
          <w:szCs w:val="30"/>
        </w:rPr>
        <w:t>每股派送红股</w:t>
      </w:r>
      <w:r>
        <w:rPr>
          <w:rFonts w:hint="eastAsia" w:ascii="宋体" w:hAnsi="宋体" w:cs="宋体"/>
          <w:color w:val="000000"/>
          <w:kern w:val="0"/>
          <w:sz w:val="30"/>
          <w:szCs w:val="30"/>
        </w:rPr>
        <w:t>____</w:t>
      </w:r>
      <w:r>
        <w:rPr>
          <w:rFonts w:hint="eastAsia" w:ascii="仿宋_GB2312" w:hAnsi="宋体" w:eastAsia="仿宋_GB2312"/>
          <w:sz w:val="30"/>
          <w:szCs w:val="30"/>
        </w:rPr>
        <w:t>股</w:t>
      </w:r>
    </w:p>
    <w:p>
      <w:pPr>
        <w:adjustRightInd w:val="0"/>
        <w:snapToGrid w:val="0"/>
        <w:spacing w:line="600" w:lineRule="exact"/>
        <w:ind w:left="600" w:firstLine="546" w:firstLineChars="182"/>
        <w:rPr>
          <w:rFonts w:hint="eastAsia" w:ascii="仿宋_GB2312" w:hAnsi="宋体" w:eastAsia="仿宋_GB2312"/>
          <w:sz w:val="30"/>
          <w:szCs w:val="30"/>
        </w:rPr>
      </w:pPr>
      <w:r>
        <w:rPr>
          <w:rFonts w:hint="eastAsia" w:ascii="仿宋_GB2312" w:hAnsi="宋体" w:eastAsia="仿宋_GB2312"/>
          <w:sz w:val="30"/>
          <w:szCs w:val="30"/>
        </w:rPr>
        <w:t>每股转增</w:t>
      </w:r>
      <w:r>
        <w:rPr>
          <w:rFonts w:hint="eastAsia" w:ascii="宋体" w:hAnsi="宋体" w:cs="宋体"/>
          <w:color w:val="000000"/>
          <w:kern w:val="0"/>
          <w:sz w:val="30"/>
          <w:szCs w:val="30"/>
        </w:rPr>
        <w:t>____</w:t>
      </w:r>
      <w:r>
        <w:rPr>
          <w:rFonts w:hint="eastAsia" w:ascii="仿宋_GB2312" w:hAnsi="宋体" w:eastAsia="仿宋_GB2312"/>
          <w:sz w:val="30"/>
          <w:szCs w:val="30"/>
        </w:rPr>
        <w:t>股</w:t>
      </w:r>
    </w:p>
    <w:p>
      <w:pPr>
        <w:numPr>
          <w:ilvl w:val="3"/>
          <w:numId w:val="1"/>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相关日期</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17" w:hRule="atLeast"/>
        </w:trPr>
        <w:tc>
          <w:tcPr>
            <w:tcW w:w="1250" w:type="pc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股权登记日</w:t>
            </w:r>
          </w:p>
        </w:tc>
        <w:tc>
          <w:tcPr>
            <w:tcW w:w="1250" w:type="pct"/>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除权（息）日</w:t>
            </w:r>
          </w:p>
        </w:tc>
        <w:tc>
          <w:tcPr>
            <w:tcW w:w="1250" w:type="pct"/>
            <w:noWrap w:val="0"/>
            <w:vAlign w:val="center"/>
          </w:tcPr>
          <w:p>
            <w:pPr>
              <w:widowControl/>
              <w:jc w:val="center"/>
              <w:rPr>
                <w:rFonts w:ascii="仿宋_GB2312" w:hAnsi="宋体" w:eastAsia="仿宋_GB2312" w:cs="宋体"/>
                <w:kern w:val="0"/>
                <w:sz w:val="24"/>
              </w:rPr>
            </w:pPr>
            <w:r>
              <w:rPr>
                <w:rFonts w:hint="eastAsia" w:ascii="仿宋_GB2312" w:hAnsi="宋体" w:eastAsia="仿宋_GB2312"/>
                <w:sz w:val="24"/>
              </w:rPr>
              <w:t>新增无限售条件流通股份上市日</w:t>
            </w:r>
          </w:p>
        </w:tc>
        <w:tc>
          <w:tcPr>
            <w:tcW w:w="1250" w:type="pct"/>
            <w:noWrap w:val="0"/>
            <w:vAlign w:val="center"/>
          </w:tcPr>
          <w:p>
            <w:pPr>
              <w:widowControl/>
              <w:jc w:val="center"/>
              <w:rPr>
                <w:rFonts w:ascii="仿宋_GB2312" w:hAnsi="宋体" w:eastAsia="仿宋_GB2312" w:cs="宋体"/>
                <w:kern w:val="0"/>
                <w:sz w:val="24"/>
              </w:rPr>
            </w:pPr>
            <w:r>
              <w:rPr>
                <w:rFonts w:hint="eastAsia" w:ascii="仿宋_GB2312" w:hAnsi="宋体" w:eastAsia="仿宋_GB2312"/>
                <w:sz w:val="24"/>
              </w:rPr>
              <w:t>现金红利发放日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1250" w:type="pct"/>
            <w:noWrap w:val="0"/>
            <w:vAlign w:val="top"/>
          </w:tcPr>
          <w:p>
            <w:pPr>
              <w:jc w:val="right"/>
              <w:rPr>
                <w:rFonts w:ascii="仿宋_GB2312" w:hAnsi="宋体" w:eastAsia="仿宋_GB2312"/>
                <w:szCs w:val="21"/>
              </w:rPr>
            </w:pPr>
          </w:p>
        </w:tc>
        <w:tc>
          <w:tcPr>
            <w:tcW w:w="1250" w:type="pct"/>
            <w:noWrap w:val="0"/>
            <w:vAlign w:val="center"/>
          </w:tcPr>
          <w:p>
            <w:pPr>
              <w:jc w:val="right"/>
              <w:rPr>
                <w:rFonts w:ascii="仿宋_GB2312" w:hAnsi="宋体" w:eastAsia="仿宋_GB2312" w:cs="宋体"/>
                <w:kern w:val="0"/>
                <w:szCs w:val="21"/>
              </w:rPr>
            </w:pPr>
          </w:p>
        </w:tc>
        <w:tc>
          <w:tcPr>
            <w:tcW w:w="1250" w:type="pct"/>
            <w:noWrap w:val="0"/>
            <w:vAlign w:val="top"/>
          </w:tcPr>
          <w:p>
            <w:pPr>
              <w:jc w:val="right"/>
              <w:rPr>
                <w:rFonts w:ascii="仿宋_GB2312" w:hAnsi="宋体" w:eastAsia="仿宋_GB2312" w:cs="宋体"/>
                <w:kern w:val="0"/>
                <w:szCs w:val="21"/>
              </w:rPr>
            </w:pPr>
          </w:p>
        </w:tc>
        <w:tc>
          <w:tcPr>
            <w:tcW w:w="1250" w:type="pct"/>
            <w:noWrap w:val="0"/>
            <w:vAlign w:val="top"/>
          </w:tcPr>
          <w:p>
            <w:pPr>
              <w:jc w:val="right"/>
              <w:rPr>
                <w:rFonts w:ascii="仿宋_GB2312" w:hAnsi="宋体" w:eastAsia="仿宋_GB2312" w:cs="宋体"/>
                <w:kern w:val="0"/>
                <w:szCs w:val="21"/>
              </w:rPr>
            </w:pPr>
          </w:p>
        </w:tc>
      </w:tr>
    </w:tbl>
    <w:p>
      <w:pPr>
        <w:adjustRightInd w:val="0"/>
        <w:snapToGrid w:val="0"/>
        <w:spacing w:line="600" w:lineRule="exact"/>
        <w:ind w:left="600" w:firstLine="600"/>
        <w:rPr>
          <w:rFonts w:ascii="仿宋_GB2312" w:hAnsi="宋体" w:eastAsia="仿宋_GB2312"/>
          <w:sz w:val="30"/>
          <w:szCs w:val="30"/>
        </w:rPr>
      </w:pPr>
    </w:p>
    <w:p>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一、通过分配、转增股本方案的</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届次和日期</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本次利润分配及转增股本方案经公司****年**月**日的****年年度（第*次临时）</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审议通过。</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通过分配、转增股本方案两个月内未实施方案的，公司董事会应当说明原因并向股东致歉。）</w:t>
      </w:r>
    </w:p>
    <w:p>
      <w:pPr>
        <w:widowControl/>
        <w:spacing w:line="600" w:lineRule="exact"/>
        <w:ind w:firstLine="600" w:firstLineChars="200"/>
        <w:rPr>
          <w:rFonts w:ascii="仿宋_GB2312" w:hAnsi="宋体" w:eastAsia="仿宋_GB2312" w:cs="宋体"/>
          <w:color w:val="000000"/>
          <w:kern w:val="0"/>
          <w:sz w:val="30"/>
          <w:szCs w:val="30"/>
        </w:rPr>
      </w:pPr>
    </w:p>
    <w:p>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二、分配、转增股本方案</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1.发放年度</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****年度（中期）。</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2.分派对象</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截至股权登记日下午上海证券交易所收市后，在中国证券登记结算有限责任公司上海分公司（以下简称中国结算上海分公司）登记在册的本公司全体股东。</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3.分配方案</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本次利润分配及转增股本以方案实施前的公司总股本</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为基数，向全体股东每股派发现金红利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元（含税），每股派送红股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股，以资本公积金向全体股东每股转增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股，共计派发现金红利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股，本次分配后总股本为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4.差异化分红送转方案</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若存在差异化分红送转方案，应当就具体的分派情况和除权除息方法进行说明。</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5.特别表决权股份数量及其权益变动</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若公司存在特别表决权股份，应当就本次权益分派方案对特别表决权股份数量和其代表权益的具体影响进行说明。</w:t>
      </w:r>
    </w:p>
    <w:p>
      <w:pPr>
        <w:adjustRightInd w:val="0"/>
        <w:snapToGrid w:val="0"/>
        <w:spacing w:line="600" w:lineRule="exact"/>
        <w:ind w:firstLine="482" w:firstLineChars="200"/>
        <w:jc w:val="center"/>
        <w:rPr>
          <w:rFonts w:ascii="黑体" w:hAnsi="黑体" w:eastAsia="黑体"/>
          <w:b/>
          <w:sz w:val="24"/>
        </w:rPr>
      </w:pPr>
      <w:r>
        <w:rPr>
          <w:rFonts w:hint="eastAsia" w:ascii="黑体" w:hAnsi="黑体" w:eastAsia="黑体"/>
          <w:b/>
          <w:sz w:val="24"/>
        </w:rPr>
        <w:t>特别表决权股份数量及其权益变动情况（如适用）</w:t>
      </w:r>
    </w:p>
    <w:tbl>
      <w:tblPr>
        <w:tblStyle w:val="11"/>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7"/>
        <w:gridCol w:w="1413"/>
        <w:gridCol w:w="1419"/>
        <w:gridCol w:w="1278"/>
        <w:gridCol w:w="1415"/>
        <w:gridCol w:w="1417"/>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330" w:hRule="atLeast"/>
          <w:jc w:val="center"/>
        </w:trPr>
        <w:tc>
          <w:tcPr>
            <w:tcW w:w="681" w:type="pct"/>
            <w:vMerge w:val="restar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特别表决权股东名称</w:t>
            </w:r>
          </w:p>
        </w:tc>
        <w:tc>
          <w:tcPr>
            <w:tcW w:w="2190" w:type="pct"/>
            <w:gridSpan w:val="3"/>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变动前</w:t>
            </w:r>
          </w:p>
        </w:tc>
        <w:tc>
          <w:tcPr>
            <w:tcW w:w="2127" w:type="pct"/>
            <w:gridSpan w:val="3"/>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279" w:hRule="atLeast"/>
          <w:jc w:val="center"/>
        </w:trPr>
        <w:tc>
          <w:tcPr>
            <w:tcW w:w="681" w:type="pct"/>
            <w:vMerge w:val="continue"/>
            <w:noWrap w:val="0"/>
            <w:vAlign w:val="center"/>
          </w:tcPr>
          <w:p>
            <w:pPr>
              <w:adjustRightInd w:val="0"/>
              <w:snapToGrid w:val="0"/>
              <w:rPr>
                <w:rFonts w:ascii="仿宋_GB2312" w:hAnsi="宋体" w:eastAsia="仿宋_GB2312"/>
                <w:sz w:val="24"/>
              </w:rPr>
            </w:pPr>
          </w:p>
        </w:tc>
        <w:tc>
          <w:tcPr>
            <w:tcW w:w="753"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756"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80"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c>
          <w:tcPr>
            <w:tcW w:w="754"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755"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17" w:type="pct"/>
            <w:noWrap w:val="0"/>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229" w:hRule="atLeast"/>
          <w:jc w:val="center"/>
        </w:trPr>
        <w:tc>
          <w:tcPr>
            <w:tcW w:w="681" w:type="pct"/>
            <w:noWrap w:val="0"/>
            <w:vAlign w:val="center"/>
          </w:tcPr>
          <w:p>
            <w:pPr>
              <w:adjustRightInd w:val="0"/>
              <w:snapToGrid w:val="0"/>
              <w:rPr>
                <w:rFonts w:ascii="仿宋_GB2312" w:hAnsi="宋体" w:eastAsia="仿宋_GB2312"/>
              </w:rPr>
            </w:pPr>
          </w:p>
        </w:tc>
        <w:tc>
          <w:tcPr>
            <w:tcW w:w="753" w:type="pct"/>
            <w:noWrap w:val="0"/>
            <w:vAlign w:val="center"/>
          </w:tcPr>
          <w:p>
            <w:pPr>
              <w:adjustRightInd w:val="0"/>
              <w:snapToGrid w:val="0"/>
              <w:rPr>
                <w:rFonts w:ascii="仿宋_GB2312" w:hAnsi="宋体" w:eastAsia="仿宋_GB2312"/>
              </w:rPr>
            </w:pPr>
          </w:p>
        </w:tc>
        <w:tc>
          <w:tcPr>
            <w:tcW w:w="756" w:type="pct"/>
            <w:noWrap w:val="0"/>
            <w:vAlign w:val="center"/>
          </w:tcPr>
          <w:p>
            <w:pPr>
              <w:adjustRightInd w:val="0"/>
              <w:snapToGrid w:val="0"/>
              <w:rPr>
                <w:rFonts w:ascii="仿宋_GB2312" w:hAnsi="宋体" w:eastAsia="仿宋_GB2312"/>
              </w:rPr>
            </w:pPr>
          </w:p>
        </w:tc>
        <w:tc>
          <w:tcPr>
            <w:tcW w:w="680" w:type="pct"/>
            <w:noWrap w:val="0"/>
            <w:vAlign w:val="top"/>
          </w:tcPr>
          <w:p>
            <w:pPr>
              <w:adjustRightInd w:val="0"/>
              <w:snapToGrid w:val="0"/>
              <w:rPr>
                <w:rFonts w:ascii="仿宋_GB2312" w:hAnsi="宋体" w:eastAsia="仿宋_GB2312"/>
              </w:rPr>
            </w:pPr>
          </w:p>
        </w:tc>
        <w:tc>
          <w:tcPr>
            <w:tcW w:w="754" w:type="pct"/>
            <w:noWrap w:val="0"/>
            <w:vAlign w:val="center"/>
          </w:tcPr>
          <w:p>
            <w:pPr>
              <w:adjustRightInd w:val="0"/>
              <w:snapToGrid w:val="0"/>
              <w:rPr>
                <w:rFonts w:ascii="仿宋_GB2312" w:hAnsi="宋体" w:eastAsia="仿宋_GB2312"/>
              </w:rPr>
            </w:pPr>
          </w:p>
        </w:tc>
        <w:tc>
          <w:tcPr>
            <w:tcW w:w="755" w:type="pct"/>
            <w:noWrap w:val="0"/>
            <w:vAlign w:val="center"/>
          </w:tcPr>
          <w:p>
            <w:pPr>
              <w:adjustRightInd w:val="0"/>
              <w:snapToGrid w:val="0"/>
              <w:rPr>
                <w:rFonts w:ascii="仿宋_GB2312" w:hAnsi="宋体" w:eastAsia="仿宋_GB2312"/>
              </w:rPr>
            </w:pPr>
          </w:p>
        </w:tc>
        <w:tc>
          <w:tcPr>
            <w:tcW w:w="617" w:type="pct"/>
            <w:noWrap w:val="0"/>
            <w:vAlign w:val="top"/>
          </w:tcPr>
          <w:p>
            <w:pPr>
              <w:adjustRightInd w:val="0"/>
              <w:snapToGrid w:val="0"/>
              <w:rPr>
                <w:rFonts w:ascii="仿宋_GB2312" w:hAnsi="宋体"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jc w:val="center"/>
        </w:trPr>
        <w:tc>
          <w:tcPr>
            <w:tcW w:w="681" w:type="pct"/>
            <w:noWrap w:val="0"/>
            <w:vAlign w:val="center"/>
          </w:tcPr>
          <w:p>
            <w:pPr>
              <w:adjustRightInd w:val="0"/>
              <w:snapToGrid w:val="0"/>
              <w:rPr>
                <w:rFonts w:ascii="仿宋_GB2312" w:hAnsi="宋体" w:eastAsia="仿宋_GB2312"/>
              </w:rPr>
            </w:pPr>
          </w:p>
        </w:tc>
        <w:tc>
          <w:tcPr>
            <w:tcW w:w="753" w:type="pct"/>
            <w:noWrap w:val="0"/>
            <w:vAlign w:val="center"/>
          </w:tcPr>
          <w:p>
            <w:pPr>
              <w:adjustRightInd w:val="0"/>
              <w:snapToGrid w:val="0"/>
              <w:rPr>
                <w:rFonts w:ascii="仿宋_GB2312" w:hAnsi="宋体" w:eastAsia="仿宋_GB2312"/>
              </w:rPr>
            </w:pPr>
          </w:p>
        </w:tc>
        <w:tc>
          <w:tcPr>
            <w:tcW w:w="756" w:type="pct"/>
            <w:noWrap w:val="0"/>
            <w:vAlign w:val="center"/>
          </w:tcPr>
          <w:p>
            <w:pPr>
              <w:adjustRightInd w:val="0"/>
              <w:snapToGrid w:val="0"/>
              <w:rPr>
                <w:rFonts w:ascii="仿宋_GB2312" w:hAnsi="宋体" w:eastAsia="仿宋_GB2312"/>
              </w:rPr>
            </w:pPr>
          </w:p>
        </w:tc>
        <w:tc>
          <w:tcPr>
            <w:tcW w:w="680" w:type="pct"/>
            <w:noWrap w:val="0"/>
            <w:vAlign w:val="top"/>
          </w:tcPr>
          <w:p>
            <w:pPr>
              <w:adjustRightInd w:val="0"/>
              <w:snapToGrid w:val="0"/>
              <w:rPr>
                <w:rFonts w:ascii="仿宋_GB2312" w:hAnsi="宋体" w:eastAsia="仿宋_GB2312"/>
              </w:rPr>
            </w:pPr>
          </w:p>
        </w:tc>
        <w:tc>
          <w:tcPr>
            <w:tcW w:w="754" w:type="pct"/>
            <w:noWrap w:val="0"/>
            <w:vAlign w:val="center"/>
          </w:tcPr>
          <w:p>
            <w:pPr>
              <w:adjustRightInd w:val="0"/>
              <w:snapToGrid w:val="0"/>
              <w:rPr>
                <w:rFonts w:ascii="仿宋_GB2312" w:hAnsi="宋体" w:eastAsia="仿宋_GB2312"/>
              </w:rPr>
            </w:pPr>
          </w:p>
        </w:tc>
        <w:tc>
          <w:tcPr>
            <w:tcW w:w="755" w:type="pct"/>
            <w:noWrap w:val="0"/>
            <w:vAlign w:val="center"/>
          </w:tcPr>
          <w:p>
            <w:pPr>
              <w:adjustRightInd w:val="0"/>
              <w:snapToGrid w:val="0"/>
              <w:rPr>
                <w:rFonts w:ascii="仿宋_GB2312" w:hAnsi="宋体" w:eastAsia="仿宋_GB2312"/>
              </w:rPr>
            </w:pPr>
          </w:p>
        </w:tc>
        <w:tc>
          <w:tcPr>
            <w:tcW w:w="617" w:type="pct"/>
            <w:noWrap w:val="0"/>
            <w:vAlign w:val="top"/>
          </w:tcPr>
          <w:p>
            <w:pPr>
              <w:adjustRightInd w:val="0"/>
              <w:snapToGrid w:val="0"/>
              <w:rPr>
                <w:rFonts w:ascii="仿宋_GB2312" w:hAnsi="宋体" w:eastAsia="仿宋_GB2312"/>
              </w:rPr>
            </w:pPr>
          </w:p>
        </w:tc>
      </w:tr>
    </w:tbl>
    <w:p>
      <w:pPr>
        <w:widowControl/>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p>
      <w:pPr>
        <w:widowControl/>
        <w:spacing w:line="600" w:lineRule="exact"/>
        <w:ind w:firstLine="643"/>
        <w:rPr>
          <w:rFonts w:ascii="黑体" w:hAnsi="黑体" w:eastAsia="黑体" w:cs="宋体"/>
          <w:b/>
          <w:color w:val="000000"/>
          <w:kern w:val="0"/>
          <w:sz w:val="32"/>
          <w:szCs w:val="32"/>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三、相关日期</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1"/>
        <w:gridCol w:w="2229"/>
        <w:gridCol w:w="2228"/>
        <w:gridCol w:w="2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17" w:hRule="atLeast"/>
        </w:trPr>
        <w:tc>
          <w:tcPr>
            <w:tcW w:w="1080" w:type="pc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股权登记日</w:t>
            </w:r>
          </w:p>
        </w:tc>
        <w:tc>
          <w:tcPr>
            <w:tcW w:w="1308" w:type="pc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除权（息）日</w:t>
            </w:r>
          </w:p>
        </w:tc>
        <w:tc>
          <w:tcPr>
            <w:tcW w:w="1307" w:type="pc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sz w:val="24"/>
              </w:rPr>
              <w:t>新增无限售条件流通股份上市日</w:t>
            </w:r>
          </w:p>
        </w:tc>
        <w:tc>
          <w:tcPr>
            <w:tcW w:w="1305" w:type="pct"/>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sz w:val="24"/>
              </w:rPr>
              <w:t>现金红利发放日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1080" w:type="pct"/>
            <w:noWrap w:val="0"/>
            <w:vAlign w:val="top"/>
          </w:tcPr>
          <w:p>
            <w:pPr>
              <w:jc w:val="right"/>
              <w:rPr>
                <w:rFonts w:hint="eastAsia" w:ascii="仿宋_GB2312" w:hAnsi="宋体" w:eastAsia="仿宋_GB2312"/>
                <w:szCs w:val="21"/>
              </w:rPr>
            </w:pPr>
          </w:p>
        </w:tc>
        <w:tc>
          <w:tcPr>
            <w:tcW w:w="1308" w:type="pct"/>
            <w:noWrap w:val="0"/>
            <w:vAlign w:val="center"/>
          </w:tcPr>
          <w:p>
            <w:pPr>
              <w:jc w:val="right"/>
              <w:rPr>
                <w:rFonts w:hint="eastAsia" w:ascii="仿宋_GB2312" w:hAnsi="宋体" w:eastAsia="仿宋_GB2312" w:cs="宋体"/>
                <w:kern w:val="0"/>
                <w:szCs w:val="21"/>
              </w:rPr>
            </w:pPr>
          </w:p>
        </w:tc>
        <w:tc>
          <w:tcPr>
            <w:tcW w:w="1307" w:type="pct"/>
            <w:noWrap w:val="0"/>
            <w:vAlign w:val="top"/>
          </w:tcPr>
          <w:p>
            <w:pPr>
              <w:jc w:val="right"/>
              <w:rPr>
                <w:rFonts w:hint="eastAsia" w:ascii="仿宋_GB2312" w:hAnsi="宋体" w:eastAsia="仿宋_GB2312" w:cs="宋体"/>
                <w:kern w:val="0"/>
                <w:szCs w:val="21"/>
              </w:rPr>
            </w:pPr>
          </w:p>
        </w:tc>
        <w:tc>
          <w:tcPr>
            <w:tcW w:w="1305" w:type="pct"/>
            <w:noWrap w:val="0"/>
            <w:vAlign w:val="top"/>
          </w:tcPr>
          <w:p>
            <w:pPr>
              <w:jc w:val="right"/>
              <w:rPr>
                <w:rFonts w:hint="eastAsia" w:ascii="仿宋_GB2312" w:hAnsi="宋体" w:eastAsia="仿宋_GB2312" w:cs="宋体"/>
                <w:kern w:val="0"/>
                <w:szCs w:val="21"/>
              </w:rPr>
            </w:pPr>
          </w:p>
        </w:tc>
      </w:tr>
    </w:tbl>
    <w:p>
      <w:pPr>
        <w:adjustRightInd w:val="0"/>
        <w:snapToGrid w:val="0"/>
        <w:ind w:firstLine="480" w:firstLineChars="200"/>
        <w:rPr>
          <w:rFonts w:hint="eastAsia" w:ascii="仿宋_GB2312" w:hAnsi="宋体" w:eastAsia="仿宋_GB2312"/>
          <w:sz w:val="24"/>
        </w:rPr>
      </w:pPr>
      <w:r>
        <w:rPr>
          <w:rFonts w:hint="eastAsia" w:ascii="仿宋_GB2312" w:hAnsi="宋体" w:eastAsia="仿宋_GB2312"/>
          <w:sz w:val="24"/>
        </w:rPr>
        <w:t>注：股权登记日（R日）、除权除息日及A股现金红利发放日（R+1日）、新增无限售条件流通股份上市日（R＋1日）。</w:t>
      </w:r>
    </w:p>
    <w:p>
      <w:pPr>
        <w:adjustRightInd w:val="0"/>
        <w:snapToGrid w:val="0"/>
        <w:spacing w:line="360" w:lineRule="auto"/>
        <w:ind w:firstLine="482" w:firstLineChars="200"/>
        <w:rPr>
          <w:rFonts w:ascii="楷体_GB2312" w:hAnsi="宋体" w:eastAsia="楷体_GB2312"/>
          <w:b/>
          <w:sz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四、分配、转增股本实施办法</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1.实施办法</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派送红股或转增股本的，由中国结算上海分公司根据股权登记日上海证券交易所收市后登记在册股东持股数，按比例直接计入股东账户。</w:t>
      </w:r>
    </w:p>
    <w:p>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2.自行发放对象</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无限售流通股股东的现金红利由公司自行发放的，应在公告中列示。</w:t>
      </w:r>
    </w:p>
    <w:p>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3.扣税说明</w:t>
      </w:r>
    </w:p>
    <w:p>
      <w:pPr>
        <w:widowControl/>
        <w:spacing w:line="600" w:lineRule="exact"/>
        <w:ind w:firstLine="600" w:firstLineChars="200"/>
        <w:rPr>
          <w:rFonts w:ascii="仿宋_GB2312" w:hAnsi="宋体" w:eastAsia="仿宋_GB2312" w:cs="宋体"/>
          <w:color w:val="000000"/>
          <w:kern w:val="0"/>
          <w:sz w:val="30"/>
          <w:szCs w:val="30"/>
        </w:rPr>
      </w:pPr>
    </w:p>
    <w:p>
      <w:pPr>
        <w:adjustRightInd w:val="0"/>
        <w:snapToGrid w:val="0"/>
        <w:spacing w:line="600" w:lineRule="exact"/>
        <w:ind w:firstLine="643" w:firstLineChars="200"/>
        <w:rPr>
          <w:rFonts w:ascii="宋体" w:hAnsi="宋体"/>
          <w:sz w:val="24"/>
        </w:rPr>
      </w:pPr>
      <w:r>
        <w:rPr>
          <w:rFonts w:hint="eastAsia" w:ascii="黑体" w:hAnsi="黑体" w:eastAsia="黑体" w:cs="宋体"/>
          <w:b/>
          <w:color w:val="000000"/>
          <w:kern w:val="0"/>
          <w:sz w:val="32"/>
          <w:szCs w:val="32"/>
        </w:rPr>
        <w:t>五、股本变动表</w:t>
      </w:r>
      <w:r>
        <w:rPr>
          <w:rFonts w:hint="eastAsia" w:ascii="仿宋_GB2312" w:hAnsi="宋体" w:eastAsia="仿宋_GB2312" w:cs="宋体"/>
          <w:color w:val="000000"/>
          <w:kern w:val="0"/>
          <w:sz w:val="30"/>
          <w:szCs w:val="30"/>
        </w:rPr>
        <w:t>（</w:t>
      </w:r>
      <w:r>
        <w:rPr>
          <w:rFonts w:hint="eastAsia" w:ascii="仿宋_GB2312" w:hAnsi="宋体" w:eastAsia="仿宋_GB2312"/>
          <w:sz w:val="28"/>
          <w:szCs w:val="28"/>
        </w:rPr>
        <w:t>如权益分派仅涉及现金红利，不涉及送转股，免本项内容。</w:t>
      </w:r>
      <w:r>
        <w:rPr>
          <w:rFonts w:hint="eastAsia" w:ascii="仿宋_GB2312" w:hAnsi="宋体" w:eastAsia="仿宋_GB2312" w:cs="宋体"/>
          <w:color w:val="000000"/>
          <w:kern w:val="0"/>
          <w:sz w:val="30"/>
          <w:szCs w:val="30"/>
        </w:rPr>
        <w:t>）</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按变动前股本、本次派送红股、本次转增股本、变动后股本等项目列示股本变动表。</w:t>
      </w:r>
    </w:p>
    <w:p>
      <w:pPr>
        <w:widowControl/>
        <w:spacing w:line="600" w:lineRule="exact"/>
        <w:ind w:firstLine="480" w:firstLineChars="200"/>
        <w:jc w:val="righ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单位：股</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1416"/>
        <w:gridCol w:w="903"/>
        <w:gridCol w:w="902"/>
        <w:gridCol w:w="87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7" w:hRule="atLeast"/>
        </w:trPr>
        <w:tc>
          <w:tcPr>
            <w:tcW w:w="1767" w:type="pct"/>
            <w:vMerge w:val="restart"/>
            <w:noWrap/>
            <w:vAlign w:val="center"/>
          </w:tcPr>
          <w:p>
            <w:pPr>
              <w:widowControl/>
              <w:adjustRightInd w:val="0"/>
              <w:snapToGrid w:val="0"/>
              <w:rPr>
                <w:rFonts w:ascii="仿宋_GB2312" w:hAnsi="宋体" w:eastAsia="仿宋_GB2312"/>
                <w:sz w:val="24"/>
              </w:rPr>
            </w:pPr>
          </w:p>
        </w:tc>
        <w:tc>
          <w:tcPr>
            <w:tcW w:w="831" w:type="pct"/>
            <w:vMerge w:val="restart"/>
            <w:noWrap/>
            <w:vAlign w:val="center"/>
          </w:tcPr>
          <w:p>
            <w:pPr>
              <w:widowControl/>
              <w:adjustRightInd w:val="0"/>
              <w:snapToGrid w:val="0"/>
              <w:jc w:val="center"/>
              <w:rPr>
                <w:rFonts w:ascii="仿宋_GB2312" w:hAnsi="宋体" w:eastAsia="仿宋_GB2312"/>
                <w:sz w:val="24"/>
              </w:rPr>
            </w:pPr>
            <w:r>
              <w:rPr>
                <w:rFonts w:hint="eastAsia" w:ascii="仿宋_GB2312" w:hAnsi="宋体" w:eastAsia="仿宋_GB2312"/>
                <w:sz w:val="24"/>
              </w:rPr>
              <w:t>变动前</w:t>
            </w:r>
          </w:p>
        </w:tc>
        <w:tc>
          <w:tcPr>
            <w:tcW w:w="1571" w:type="pct"/>
            <w:gridSpan w:val="3"/>
            <w:noWrap/>
            <w:vAlign w:val="center"/>
          </w:tcPr>
          <w:p>
            <w:pPr>
              <w:widowControl/>
              <w:adjustRightInd w:val="0"/>
              <w:snapToGrid w:val="0"/>
              <w:jc w:val="center"/>
              <w:rPr>
                <w:rFonts w:ascii="仿宋_GB2312" w:hAnsi="宋体" w:eastAsia="仿宋_GB2312"/>
                <w:sz w:val="24"/>
              </w:rPr>
            </w:pPr>
            <w:r>
              <w:rPr>
                <w:rFonts w:hint="eastAsia" w:ascii="仿宋_GB2312" w:hAnsi="宋体" w:eastAsia="仿宋_GB2312"/>
                <w:sz w:val="24"/>
              </w:rPr>
              <w:t>本次变动</w:t>
            </w:r>
          </w:p>
        </w:tc>
        <w:tc>
          <w:tcPr>
            <w:tcW w:w="831" w:type="pct"/>
            <w:vMerge w:val="restart"/>
            <w:noWrap/>
            <w:vAlign w:val="center"/>
          </w:tcPr>
          <w:p>
            <w:pPr>
              <w:widowControl/>
              <w:adjustRightInd w:val="0"/>
              <w:snapToGrid w:val="0"/>
              <w:jc w:val="center"/>
              <w:rPr>
                <w:rFonts w:ascii="仿宋_GB2312" w:hAnsi="宋体" w:eastAsia="仿宋_GB2312"/>
                <w:sz w:val="24"/>
              </w:rPr>
            </w:pPr>
            <w:r>
              <w:rPr>
                <w:rFonts w:hint="eastAsia" w:ascii="仿宋_GB2312" w:hAnsi="宋体" w:eastAsia="仿宋_GB2312"/>
                <w:sz w:val="24"/>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7" w:hRule="atLeast"/>
        </w:trPr>
        <w:tc>
          <w:tcPr>
            <w:tcW w:w="1767" w:type="pct"/>
            <w:vMerge w:val="continue"/>
            <w:noWrap w:val="0"/>
            <w:vAlign w:val="center"/>
          </w:tcPr>
          <w:p>
            <w:pPr>
              <w:widowControl/>
              <w:adjustRightInd w:val="0"/>
              <w:snapToGrid w:val="0"/>
              <w:jc w:val="left"/>
              <w:rPr>
                <w:rFonts w:ascii="仿宋_GB2312" w:hAnsi="宋体" w:eastAsia="仿宋_GB2312"/>
                <w:sz w:val="24"/>
              </w:rPr>
            </w:pPr>
          </w:p>
        </w:tc>
        <w:tc>
          <w:tcPr>
            <w:tcW w:w="831" w:type="pct"/>
            <w:vMerge w:val="continue"/>
            <w:noWrap w:val="0"/>
            <w:vAlign w:val="center"/>
          </w:tcPr>
          <w:p>
            <w:pPr>
              <w:widowControl/>
              <w:adjustRightInd w:val="0"/>
              <w:snapToGrid w:val="0"/>
              <w:jc w:val="left"/>
              <w:rPr>
                <w:rFonts w:ascii="仿宋_GB2312" w:hAnsi="宋体" w:eastAsia="仿宋_GB2312"/>
                <w:sz w:val="24"/>
              </w:rPr>
            </w:pPr>
          </w:p>
        </w:tc>
        <w:tc>
          <w:tcPr>
            <w:tcW w:w="530" w:type="pct"/>
            <w:noWrap/>
            <w:vAlign w:val="center"/>
          </w:tcPr>
          <w:p>
            <w:pPr>
              <w:widowControl/>
              <w:adjustRightInd w:val="0"/>
              <w:snapToGrid w:val="0"/>
              <w:jc w:val="center"/>
              <w:rPr>
                <w:rFonts w:ascii="仿宋_GB2312" w:hAnsi="宋体" w:eastAsia="仿宋_GB2312"/>
                <w:sz w:val="24"/>
              </w:rPr>
            </w:pPr>
            <w:r>
              <w:rPr>
                <w:rFonts w:hint="eastAsia" w:ascii="仿宋_GB2312" w:hAnsi="宋体" w:eastAsia="仿宋_GB2312"/>
                <w:sz w:val="24"/>
              </w:rPr>
              <w:t>送股</w:t>
            </w:r>
          </w:p>
        </w:tc>
        <w:tc>
          <w:tcPr>
            <w:tcW w:w="529" w:type="pct"/>
            <w:noWrap/>
            <w:vAlign w:val="center"/>
          </w:tcPr>
          <w:p>
            <w:pPr>
              <w:widowControl/>
              <w:adjustRightInd w:val="0"/>
              <w:snapToGrid w:val="0"/>
              <w:jc w:val="center"/>
              <w:rPr>
                <w:rFonts w:ascii="仿宋_GB2312" w:hAnsi="宋体" w:eastAsia="仿宋_GB2312"/>
                <w:sz w:val="24"/>
              </w:rPr>
            </w:pPr>
            <w:r>
              <w:rPr>
                <w:rFonts w:hint="eastAsia" w:ascii="仿宋_GB2312" w:hAnsi="宋体" w:eastAsia="仿宋_GB2312"/>
                <w:sz w:val="24"/>
              </w:rPr>
              <w:t>转增</w:t>
            </w:r>
          </w:p>
        </w:tc>
        <w:tc>
          <w:tcPr>
            <w:tcW w:w="512" w:type="pct"/>
            <w:noWrap/>
            <w:vAlign w:val="center"/>
          </w:tcPr>
          <w:p>
            <w:pPr>
              <w:widowControl/>
              <w:adjustRightInd w:val="0"/>
              <w:snapToGrid w:val="0"/>
              <w:jc w:val="center"/>
              <w:rPr>
                <w:rFonts w:ascii="仿宋_GB2312" w:hAnsi="宋体" w:eastAsia="仿宋_GB2312"/>
                <w:sz w:val="24"/>
              </w:rPr>
            </w:pPr>
            <w:r>
              <w:rPr>
                <w:rFonts w:hint="eastAsia" w:ascii="仿宋_GB2312" w:hAnsi="宋体" w:eastAsia="仿宋_GB2312"/>
                <w:sz w:val="24"/>
              </w:rPr>
              <w:t>合计</w:t>
            </w:r>
          </w:p>
        </w:tc>
        <w:tc>
          <w:tcPr>
            <w:tcW w:w="831" w:type="pct"/>
            <w:vMerge w:val="continue"/>
            <w:noWrap w:val="0"/>
            <w:vAlign w:val="center"/>
          </w:tcPr>
          <w:p>
            <w:pPr>
              <w:widowControl/>
              <w:adjustRightInd w:val="0"/>
              <w:snapToGrid w:val="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7" w:hRule="atLeast"/>
        </w:trPr>
        <w:tc>
          <w:tcPr>
            <w:tcW w:w="1767" w:type="pct"/>
            <w:noWrap w:val="0"/>
            <w:vAlign w:val="top"/>
          </w:tcPr>
          <w:p>
            <w:pPr>
              <w:rPr>
                <w:rFonts w:ascii="仿宋_GB2312" w:hAnsi="宋体" w:eastAsia="仿宋_GB2312"/>
                <w:sz w:val="24"/>
              </w:rPr>
            </w:pPr>
            <w:r>
              <w:rPr>
                <w:rFonts w:hint="eastAsia" w:ascii="仿宋_GB2312" w:hAnsi="宋体" w:eastAsia="仿宋_GB2312"/>
                <w:sz w:val="24"/>
              </w:rPr>
              <w:t>股本总数</w:t>
            </w:r>
          </w:p>
        </w:tc>
        <w:tc>
          <w:tcPr>
            <w:tcW w:w="831" w:type="pct"/>
            <w:noWrap/>
            <w:vAlign w:val="center"/>
          </w:tcPr>
          <w:p>
            <w:pPr>
              <w:widowControl/>
              <w:adjustRightInd w:val="0"/>
              <w:snapToGrid w:val="0"/>
              <w:jc w:val="right"/>
              <w:rPr>
                <w:rFonts w:ascii="仿宋_GB2312" w:hAnsi="宋体" w:eastAsia="仿宋_GB2312"/>
                <w:sz w:val="24"/>
              </w:rPr>
            </w:pPr>
          </w:p>
        </w:tc>
        <w:tc>
          <w:tcPr>
            <w:tcW w:w="530" w:type="pct"/>
            <w:noWrap/>
            <w:vAlign w:val="center"/>
          </w:tcPr>
          <w:p>
            <w:pPr>
              <w:widowControl/>
              <w:adjustRightInd w:val="0"/>
              <w:snapToGrid w:val="0"/>
              <w:jc w:val="right"/>
              <w:rPr>
                <w:rFonts w:ascii="仿宋_GB2312" w:hAnsi="宋体" w:eastAsia="仿宋_GB2312"/>
                <w:sz w:val="24"/>
              </w:rPr>
            </w:pPr>
          </w:p>
        </w:tc>
        <w:tc>
          <w:tcPr>
            <w:tcW w:w="529" w:type="pct"/>
            <w:noWrap/>
            <w:vAlign w:val="center"/>
          </w:tcPr>
          <w:p>
            <w:pPr>
              <w:widowControl/>
              <w:adjustRightInd w:val="0"/>
              <w:snapToGrid w:val="0"/>
              <w:jc w:val="right"/>
              <w:rPr>
                <w:rFonts w:ascii="仿宋_GB2312" w:hAnsi="宋体" w:eastAsia="仿宋_GB2312"/>
                <w:sz w:val="24"/>
              </w:rPr>
            </w:pPr>
          </w:p>
        </w:tc>
        <w:tc>
          <w:tcPr>
            <w:tcW w:w="512" w:type="pct"/>
            <w:noWrap/>
            <w:vAlign w:val="center"/>
          </w:tcPr>
          <w:p>
            <w:pPr>
              <w:widowControl/>
              <w:adjustRightInd w:val="0"/>
              <w:snapToGrid w:val="0"/>
              <w:jc w:val="right"/>
              <w:rPr>
                <w:rFonts w:ascii="仿宋_GB2312" w:hAnsi="宋体" w:eastAsia="仿宋_GB2312"/>
                <w:sz w:val="24"/>
              </w:rPr>
            </w:pPr>
          </w:p>
        </w:tc>
        <w:tc>
          <w:tcPr>
            <w:tcW w:w="831" w:type="pct"/>
            <w:noWrap/>
            <w:vAlign w:val="center"/>
          </w:tcPr>
          <w:p>
            <w:pPr>
              <w:widowControl/>
              <w:adjustRightInd w:val="0"/>
              <w:snapToGrid w:val="0"/>
              <w:jc w:val="right"/>
              <w:rPr>
                <w:rFonts w:ascii="仿宋_GB2312" w:hAnsi="宋体" w:eastAsia="仿宋_GB2312"/>
                <w:sz w:val="24"/>
              </w:rPr>
            </w:pPr>
          </w:p>
        </w:tc>
      </w:tr>
    </w:tbl>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公司首发战略配售股份是否已全部上市流通，如是，本次权益分派新增无限售条件流通股为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w:t>
      </w:r>
    </w:p>
    <w:p>
      <w:pPr>
        <w:widowControl/>
        <w:spacing w:line="600" w:lineRule="exact"/>
        <w:ind w:firstLine="600" w:firstLineChars="200"/>
        <w:rPr>
          <w:rFonts w:hint="eastAsia" w:ascii="仿宋_GB2312" w:hAnsi="宋体" w:eastAsia="仿宋_GB2312" w:cs="宋体"/>
          <w:color w:val="000000"/>
          <w:kern w:val="0"/>
          <w:sz w:val="30"/>
          <w:szCs w:val="30"/>
        </w:rPr>
      </w:pPr>
    </w:p>
    <w:p>
      <w:pPr>
        <w:autoSpaceDE w:val="0"/>
        <w:autoSpaceDN w:val="0"/>
        <w:adjustRightInd w:val="0"/>
        <w:snapToGrid w:val="0"/>
        <w:spacing w:line="560" w:lineRule="exact"/>
        <w:ind w:firstLine="602" w:firstLineChars="200"/>
        <w:rPr>
          <w:rFonts w:eastAsia="黑体"/>
          <w:b/>
          <w:sz w:val="30"/>
          <w:szCs w:val="30"/>
        </w:rPr>
      </w:pPr>
      <w:r>
        <w:rPr>
          <w:rFonts w:hint="eastAsia" w:eastAsia="黑体"/>
          <w:b/>
          <w:sz w:val="30"/>
          <w:szCs w:val="30"/>
        </w:rPr>
        <w:t>六、差异化送转股导致相关股东持股变化的情况（如有）</w:t>
      </w:r>
    </w:p>
    <w:p>
      <w:pPr>
        <w:autoSpaceDE w:val="0"/>
        <w:autoSpaceDN w:val="0"/>
        <w:adjustRightInd w:val="0"/>
        <w:snapToGrid w:val="0"/>
        <w:spacing w:line="560" w:lineRule="exact"/>
        <w:ind w:firstLine="600" w:firstLineChars="200"/>
        <w:rPr>
          <w:rFonts w:ascii="Times New Roman" w:hAnsi="Times New Roman" w:eastAsia="黑体"/>
          <w:b/>
          <w:sz w:val="30"/>
          <w:szCs w:val="30"/>
        </w:rPr>
      </w:pPr>
      <w:r>
        <w:rPr>
          <w:rFonts w:hint="eastAsia" w:eastAsia="仿宋_GB2312"/>
          <w:color w:val="000000"/>
          <w:sz w:val="30"/>
          <w:szCs w:val="30"/>
        </w:rPr>
        <w:t>若存在差异化分红送转方案，并导致股东及其一致行动人拥有权益的股份比例触及或者跨越</w:t>
      </w:r>
      <w:r>
        <w:rPr>
          <w:rFonts w:eastAsia="仿宋_GB2312"/>
          <w:color w:val="000000"/>
          <w:sz w:val="30"/>
          <w:szCs w:val="30"/>
        </w:rPr>
        <w:t>5%及5%的整数倍，或者导致持股5%以上的</w:t>
      </w:r>
      <w:r>
        <w:rPr>
          <w:rFonts w:hint="eastAsia" w:eastAsia="仿宋_GB2312"/>
          <w:color w:val="000000"/>
          <w:sz w:val="30"/>
          <w:szCs w:val="30"/>
        </w:rPr>
        <w:t>股东及其一致行动人拥有权益的股份比例触及</w:t>
      </w:r>
      <w:r>
        <w:rPr>
          <w:rFonts w:eastAsia="仿宋_GB2312"/>
          <w:color w:val="000000"/>
          <w:sz w:val="30"/>
          <w:szCs w:val="30"/>
        </w:rPr>
        <w:t>1%的整数倍的</w:t>
      </w:r>
      <w:r>
        <w:rPr>
          <w:rFonts w:hint="eastAsia" w:eastAsia="仿宋_GB2312"/>
          <w:color w:val="000000"/>
          <w:sz w:val="30"/>
          <w:szCs w:val="30"/>
        </w:rPr>
        <w:t>，上市公司应当</w:t>
      </w:r>
      <w:r>
        <w:rPr>
          <w:rFonts w:hint="eastAsia" w:ascii="仿宋" w:hAnsi="仿宋" w:eastAsia="仿宋_GB2312"/>
          <w:bCs/>
          <w:sz w:val="30"/>
          <w:szCs w:val="30"/>
        </w:rPr>
        <w:t>列示差异化送转完成前后，上述股东及其一致行动人持股数量和持股比例的变动情况。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830"/>
        <w:gridCol w:w="1418"/>
        <w:gridCol w:w="1417"/>
        <w:gridCol w:w="124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4"/>
                <w:szCs w:val="24"/>
              </w:rPr>
            </w:pPr>
            <w:bookmarkStart w:id="1" w:name="_Hlk189844299"/>
            <w:bookmarkStart w:id="2" w:name="_Hlk189846806"/>
            <w:bookmarkStart w:id="3" w:name="OLE_LINK4"/>
            <w:r>
              <w:rPr>
                <w:rFonts w:hint="eastAsia" w:ascii="仿宋_GB2312" w:hAnsi="仿宋" w:eastAsia="仿宋_GB2312"/>
                <w:szCs w:val="21"/>
              </w:rPr>
              <w:t>股东名称</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4" w:name="OLE_LINK3"/>
            <w:r>
              <w:rPr>
                <w:rFonts w:hint="eastAsia" w:ascii="仿宋_GB2312" w:hAnsi="楷体" w:eastAsia="仿宋_GB2312" w:cs="楷体"/>
                <w:szCs w:val="21"/>
              </w:rPr>
              <w:t>一致行动人</w:t>
            </w:r>
            <w:bookmarkEnd w:id="4"/>
            <w:r>
              <w:rPr>
                <w:rFonts w:hint="eastAsia" w:ascii="仿宋_GB2312" w:hAnsi="楷体" w:eastAsia="仿宋_GB2312" w:cs="楷体"/>
                <w:szCs w:val="21"/>
              </w:rPr>
              <w:t>（</w:t>
            </w:r>
            <w:bookmarkStart w:id="5" w:name="OLE_LINK1"/>
            <w:r>
              <w:rPr>
                <w:rFonts w:hint="eastAsia" w:ascii="仿宋_GB2312" w:hAnsi="楷体" w:eastAsia="仿宋_GB2312" w:cs="楷体"/>
                <w:szCs w:val="21"/>
              </w:rPr>
              <w:t>合并计算</w:t>
            </w:r>
            <w:bookmarkEnd w:id="5"/>
            <w:r>
              <w:rPr>
                <w:rFonts w:hint="eastAsia" w:ascii="仿宋_GB2312" w:hAnsi="楷体" w:eastAsia="仿宋_GB2312" w:cs="楷体"/>
                <w:szCs w:val="21"/>
              </w:rPr>
              <w:t>）</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0"/>
              </w:rPr>
            </w:pPr>
          </w:p>
        </w:tc>
      </w:tr>
      <w:bookmarkEnd w:id="2"/>
    </w:tbl>
    <w:p>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bookmarkStart w:id="6" w:name="OLE_LINK9"/>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bookmarkEnd w:id="6"/>
      <w:r>
        <w:rPr>
          <w:rFonts w:hint="eastAsia" w:ascii="仿宋_GB2312" w:hAnsi="宋体" w:eastAsia="仿宋_GB2312" w:cs="宋体"/>
          <w:color w:val="000000"/>
          <w:kern w:val="0"/>
          <w:sz w:val="24"/>
        </w:rPr>
        <w:t>。</w:t>
      </w:r>
    </w:p>
    <w:bookmarkEnd w:id="3"/>
    <w:p>
      <w:pPr>
        <w:widowControl/>
        <w:spacing w:line="600" w:lineRule="exact"/>
        <w:ind w:firstLine="0" w:firstLineChars="0"/>
        <w:rPr>
          <w:rFonts w:hint="eastAsia" w:ascii="仿宋_GB2312" w:hAnsi="宋体" w:eastAsia="仿宋_GB2312" w:cs="宋体"/>
          <w:color w:val="000000"/>
          <w:kern w:val="0"/>
          <w:sz w:val="30"/>
          <w:szCs w:val="30"/>
        </w:rPr>
      </w:pPr>
    </w:p>
    <w:p>
      <w:pPr>
        <w:autoSpaceDE w:val="0"/>
        <w:autoSpaceDN w:val="0"/>
        <w:adjustRightInd w:val="0"/>
        <w:snapToGrid w:val="0"/>
        <w:spacing w:line="560" w:lineRule="exact"/>
        <w:ind w:firstLine="602" w:firstLineChars="200"/>
        <w:rPr>
          <w:rFonts w:eastAsia="黑体"/>
          <w:b/>
          <w:sz w:val="30"/>
          <w:szCs w:val="30"/>
        </w:rPr>
      </w:pPr>
      <w:r>
        <w:rPr>
          <w:rFonts w:hint="eastAsia" w:eastAsia="黑体"/>
          <w:b/>
          <w:sz w:val="30"/>
          <w:szCs w:val="30"/>
        </w:rPr>
        <w:t>七、</w:t>
      </w:r>
      <w:r>
        <w:rPr>
          <w:rFonts w:eastAsia="黑体"/>
          <w:b/>
          <w:sz w:val="30"/>
          <w:szCs w:val="30"/>
        </w:rPr>
        <w:t>相关价格和比例调整情况（如适用）</w:t>
      </w:r>
    </w:p>
    <w:p>
      <w:pPr>
        <w:adjustRightInd w:val="0"/>
        <w:snapToGrid w:val="0"/>
        <w:spacing w:line="600" w:lineRule="exact"/>
        <w:ind w:firstLine="600" w:firstLineChars="200"/>
        <w:rPr>
          <w:rFonts w:hint="eastAsia" w:eastAsia="仿宋_GB2312"/>
          <w:sz w:val="30"/>
          <w:szCs w:val="30"/>
        </w:rPr>
      </w:pPr>
      <w:r>
        <w:rPr>
          <w:rFonts w:eastAsia="仿宋_GB2312"/>
          <w:sz w:val="30"/>
          <w:szCs w:val="30"/>
        </w:rPr>
        <w:t>派发股票股利、资本公积金转增股本后，需要调整的衍生品种行权（转股）价、行权（转股）比例、承诺的最低减持价情况等（如适用）。行权（转股）价格的调整以相关实施公告为准</w:t>
      </w:r>
      <w:r>
        <w:rPr>
          <w:rFonts w:hint="eastAsia" w:eastAsia="仿宋_GB2312"/>
          <w:sz w:val="30"/>
          <w:szCs w:val="30"/>
        </w:rPr>
        <w:t>。</w:t>
      </w:r>
    </w:p>
    <w:p>
      <w:pPr>
        <w:adjustRightInd w:val="0"/>
        <w:snapToGrid w:val="0"/>
        <w:spacing w:line="600" w:lineRule="exact"/>
        <w:ind w:firstLine="643" w:firstLineChars="200"/>
        <w:rPr>
          <w:rFonts w:hint="eastAsia" w:ascii="黑体" w:hAnsi="黑体" w:eastAsia="黑体" w:cs="宋体"/>
          <w:b/>
          <w:color w:val="000000"/>
          <w:kern w:val="0"/>
          <w:sz w:val="32"/>
          <w:szCs w:val="32"/>
        </w:rPr>
      </w:pPr>
    </w:p>
    <w:p>
      <w:pPr>
        <w:adjustRightInd w:val="0"/>
        <w:snapToGrid w:val="0"/>
        <w:spacing w:line="600" w:lineRule="exact"/>
        <w:ind w:firstLine="643" w:firstLineChars="200"/>
        <w:rPr>
          <w:rFonts w:ascii="宋体" w:hAnsi="宋体"/>
          <w:sz w:val="24"/>
        </w:rPr>
      </w:pPr>
      <w:r>
        <w:rPr>
          <w:rFonts w:hint="eastAsia" w:ascii="黑体" w:hAnsi="黑体" w:eastAsia="黑体" w:cs="宋体"/>
          <w:b/>
          <w:color w:val="000000"/>
          <w:kern w:val="0"/>
          <w:sz w:val="32"/>
          <w:szCs w:val="32"/>
        </w:rPr>
        <w:t>八、摊薄每股收益说明</w:t>
      </w:r>
      <w:r>
        <w:rPr>
          <w:rFonts w:hint="eastAsia" w:ascii="仿宋_GB2312" w:hAnsi="宋体" w:eastAsia="仿宋_GB2312" w:cs="宋体"/>
          <w:color w:val="000000"/>
          <w:kern w:val="0"/>
          <w:sz w:val="30"/>
          <w:szCs w:val="30"/>
        </w:rPr>
        <w:t>（</w:t>
      </w:r>
      <w:r>
        <w:rPr>
          <w:rFonts w:hint="eastAsia" w:ascii="仿宋_GB2312" w:hAnsi="宋体" w:eastAsia="仿宋_GB2312"/>
          <w:sz w:val="28"/>
          <w:szCs w:val="28"/>
        </w:rPr>
        <w:t>如权益分派仅涉及现金红利，不涉及送转股，免本项内容。</w:t>
      </w:r>
      <w:r>
        <w:rPr>
          <w:rFonts w:hint="eastAsia" w:ascii="仿宋_GB2312" w:hAnsi="宋体" w:eastAsia="仿宋_GB2312" w:cs="宋体"/>
          <w:color w:val="000000"/>
          <w:kern w:val="0"/>
          <w:sz w:val="30"/>
          <w:szCs w:val="30"/>
        </w:rPr>
        <w:t>）</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实施送转股方案后，按新股本总额</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股摊薄计算的（上年度或本年度中期）每股收益为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w:t>
      </w:r>
    </w:p>
    <w:p>
      <w:pPr>
        <w:widowControl/>
        <w:spacing w:line="240" w:lineRule="auto"/>
        <w:ind w:firstLine="480" w:firstLineChars="200"/>
        <w:rPr>
          <w:rFonts w:hint="eastAsia" w:ascii="仿宋_GB2312" w:hAnsi="宋体" w:eastAsia="仿宋_GB2312" w:cs="宋体"/>
          <w:color w:val="000000"/>
          <w:kern w:val="0"/>
          <w:sz w:val="30"/>
          <w:szCs w:val="30"/>
        </w:rPr>
      </w:pPr>
      <w:r>
        <w:rPr>
          <w:rFonts w:hint="eastAsia" w:ascii="仿宋_GB2312" w:hAnsi="宋体" w:eastAsia="仿宋_GB2312" w:cs="宋体"/>
          <w:i/>
          <w:kern w:val="0"/>
          <w:sz w:val="24"/>
          <w:szCs w:val="24"/>
        </w:rPr>
        <w:t>[注：每股收益的计算公式参照《公开发行证券的公司信息披露编报规则第9号》的规定执行。]</w:t>
      </w:r>
    </w:p>
    <w:p>
      <w:pPr>
        <w:widowControl/>
        <w:spacing w:line="600" w:lineRule="exact"/>
        <w:ind w:firstLine="643" w:firstLineChars="200"/>
        <w:rPr>
          <w:rFonts w:hint="eastAsia" w:ascii="黑体" w:hAnsi="黑体" w:eastAsia="黑体" w:cs="宋体"/>
          <w:b/>
          <w:color w:val="000000"/>
          <w:kern w:val="0"/>
          <w:sz w:val="32"/>
          <w:szCs w:val="32"/>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九、有关咨询方法</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联系部门：</w:t>
      </w:r>
    </w:p>
    <w:p>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联系电话：</w:t>
      </w:r>
    </w:p>
    <w:p>
      <w:pPr>
        <w:widowControl/>
        <w:spacing w:line="600" w:lineRule="exact"/>
        <w:ind w:firstLine="600" w:firstLineChars="200"/>
        <w:rPr>
          <w:rFonts w:ascii="仿宋_GB2312" w:hAnsi="宋体" w:eastAsia="仿宋_GB2312" w:cs="宋体"/>
          <w:color w:val="000000"/>
          <w:kern w:val="0"/>
          <w:sz w:val="30"/>
          <w:szCs w:val="30"/>
        </w:rPr>
      </w:pP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numPr>
          <w:ilvl w:val="0"/>
          <w:numId w:val="2"/>
        </w:numPr>
        <w:adjustRightInd w:val="0"/>
        <w:snapToGrid w:val="0"/>
        <w:spacing w:line="600" w:lineRule="exact"/>
        <w:ind w:left="0" w:firstLine="602" w:firstLineChars="200"/>
        <w:rPr>
          <w:rFonts w:ascii="仿宋_GB2312" w:hAnsi="宋体" w:eastAsia="仿宋_GB2312"/>
          <w:b/>
          <w:sz w:val="30"/>
          <w:szCs w:val="30"/>
        </w:rPr>
      </w:pPr>
      <w:r>
        <w:rPr>
          <w:rFonts w:hint="eastAsia" w:ascii="仿宋_GB2312" w:hAnsi="宋体" w:eastAsia="仿宋_GB2312"/>
          <w:b/>
          <w:sz w:val="30"/>
          <w:szCs w:val="30"/>
        </w:rPr>
        <w:t>报备文件</w:t>
      </w:r>
    </w:p>
    <w:p>
      <w:pPr>
        <w:widowControl/>
        <w:spacing w:line="600" w:lineRule="exact"/>
        <w:ind w:firstLine="798" w:firstLineChars="266"/>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关于审议通过分配、转增股本方案的</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决议。</w:t>
      </w:r>
    </w:p>
    <w:p>
      <w:pPr>
        <w:widowControl/>
        <w:spacing w:line="600" w:lineRule="exact"/>
        <w:ind w:firstLine="798" w:firstLineChars="266"/>
        <w:rPr>
          <w:rFonts w:ascii="仿宋_GB2312" w:hAnsi="宋体" w:eastAsia="仿宋_GB2312" w:cs="宋体"/>
          <w:color w:val="000000"/>
          <w:kern w:val="0"/>
          <w:sz w:val="30"/>
          <w:szCs w:val="30"/>
        </w:rPr>
      </w:pPr>
    </w:p>
    <w:p>
      <w:pPr>
        <w:numPr>
          <w:ilvl w:val="0"/>
          <w:numId w:val="2"/>
        </w:numPr>
        <w:adjustRightInd w:val="0"/>
        <w:snapToGrid w:val="0"/>
        <w:spacing w:line="600" w:lineRule="exact"/>
        <w:ind w:left="0" w:firstLine="602" w:firstLineChars="200"/>
        <w:rPr>
          <w:rFonts w:hint="eastAsia" w:ascii="仿宋_GB2312" w:hAnsi="宋体" w:eastAsia="仿宋_GB2312"/>
          <w:b/>
          <w:sz w:val="30"/>
          <w:szCs w:val="30"/>
        </w:rPr>
      </w:pPr>
      <w:r>
        <w:rPr>
          <w:rFonts w:hint="eastAsia" w:ascii="仿宋_GB2312" w:hAnsi="宋体" w:eastAsia="仿宋_GB2312"/>
          <w:b/>
          <w:sz w:val="30"/>
          <w:szCs w:val="30"/>
        </w:rPr>
        <w:t>注意事项</w:t>
      </w:r>
    </w:p>
    <w:p>
      <w:pPr>
        <w:adjustRightInd w:val="0"/>
        <w:snapToGrid w:val="0"/>
        <w:spacing w:line="600" w:lineRule="exact"/>
        <w:ind w:firstLine="798" w:firstLineChars="266"/>
        <w:jc w:val="left"/>
      </w:pPr>
      <w:r>
        <w:rPr>
          <w:rFonts w:hint="eastAsia" w:ascii="仿宋_GB2312" w:hAnsi="宋体" w:eastAsia="仿宋_GB2312" w:cs="宋体"/>
          <w:color w:val="000000"/>
          <w:kern w:val="0"/>
          <w:sz w:val="30"/>
          <w:szCs w:val="30"/>
        </w:rPr>
        <w:t>公司首发战略配售股份未全部上市流通且本次权益分派涉及送转股的，除本公告外，还应当在股权登记日（R日）向本所提交并于除权除息日（R+1日）披露《科创板上市公司权益分派实施结果暨股份上市公告》。</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6B1F508A"/>
    <w:multiLevelType w:val="multilevel"/>
    <w:tmpl w:val="6B1F508A"/>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8C"/>
    <w:rsid w:val="00014746"/>
    <w:rsid w:val="0001557F"/>
    <w:rsid w:val="000175BA"/>
    <w:rsid w:val="00037ED4"/>
    <w:rsid w:val="0006264A"/>
    <w:rsid w:val="00074445"/>
    <w:rsid w:val="00076B1E"/>
    <w:rsid w:val="00092AC2"/>
    <w:rsid w:val="000A4160"/>
    <w:rsid w:val="000C5E0C"/>
    <w:rsid w:val="000E216E"/>
    <w:rsid w:val="001126CC"/>
    <w:rsid w:val="00117E4C"/>
    <w:rsid w:val="00143CCF"/>
    <w:rsid w:val="001647CE"/>
    <w:rsid w:val="00164AD3"/>
    <w:rsid w:val="001852DB"/>
    <w:rsid w:val="00186D40"/>
    <w:rsid w:val="0019295E"/>
    <w:rsid w:val="001B163B"/>
    <w:rsid w:val="001C61A5"/>
    <w:rsid w:val="001D4F72"/>
    <w:rsid w:val="001D4FE9"/>
    <w:rsid w:val="001E181E"/>
    <w:rsid w:val="001F64FF"/>
    <w:rsid w:val="0020421E"/>
    <w:rsid w:val="00204EE6"/>
    <w:rsid w:val="00245D50"/>
    <w:rsid w:val="00254290"/>
    <w:rsid w:val="00257AE3"/>
    <w:rsid w:val="00265BDA"/>
    <w:rsid w:val="002676EA"/>
    <w:rsid w:val="002719E9"/>
    <w:rsid w:val="00272808"/>
    <w:rsid w:val="002A6155"/>
    <w:rsid w:val="002B2324"/>
    <w:rsid w:val="002E2C0F"/>
    <w:rsid w:val="002F5744"/>
    <w:rsid w:val="002F6228"/>
    <w:rsid w:val="00316F09"/>
    <w:rsid w:val="0032224F"/>
    <w:rsid w:val="00336D20"/>
    <w:rsid w:val="00346D2C"/>
    <w:rsid w:val="00350893"/>
    <w:rsid w:val="00361119"/>
    <w:rsid w:val="0037711C"/>
    <w:rsid w:val="00380D79"/>
    <w:rsid w:val="00382570"/>
    <w:rsid w:val="003861E2"/>
    <w:rsid w:val="00392BA0"/>
    <w:rsid w:val="003930EB"/>
    <w:rsid w:val="00394686"/>
    <w:rsid w:val="003B47C2"/>
    <w:rsid w:val="003B7371"/>
    <w:rsid w:val="003E1D7B"/>
    <w:rsid w:val="003F2709"/>
    <w:rsid w:val="003F48B3"/>
    <w:rsid w:val="00401C82"/>
    <w:rsid w:val="00401CEF"/>
    <w:rsid w:val="00415955"/>
    <w:rsid w:val="0041791F"/>
    <w:rsid w:val="0042143F"/>
    <w:rsid w:val="0043630E"/>
    <w:rsid w:val="004410B2"/>
    <w:rsid w:val="00447576"/>
    <w:rsid w:val="00451B22"/>
    <w:rsid w:val="004576FA"/>
    <w:rsid w:val="0046574C"/>
    <w:rsid w:val="004658CB"/>
    <w:rsid w:val="00465FC4"/>
    <w:rsid w:val="0049328C"/>
    <w:rsid w:val="00494297"/>
    <w:rsid w:val="0049477A"/>
    <w:rsid w:val="00497D8E"/>
    <w:rsid w:val="004A5549"/>
    <w:rsid w:val="004B49DC"/>
    <w:rsid w:val="004C696C"/>
    <w:rsid w:val="004E2801"/>
    <w:rsid w:val="004F51D1"/>
    <w:rsid w:val="00506B11"/>
    <w:rsid w:val="00531A03"/>
    <w:rsid w:val="00537FB5"/>
    <w:rsid w:val="005411BF"/>
    <w:rsid w:val="00567C1D"/>
    <w:rsid w:val="0057023A"/>
    <w:rsid w:val="00583509"/>
    <w:rsid w:val="005849A6"/>
    <w:rsid w:val="00587BFB"/>
    <w:rsid w:val="005938AA"/>
    <w:rsid w:val="005A4966"/>
    <w:rsid w:val="005B0711"/>
    <w:rsid w:val="005C37E7"/>
    <w:rsid w:val="005D3AB7"/>
    <w:rsid w:val="005D79FC"/>
    <w:rsid w:val="005E2003"/>
    <w:rsid w:val="005F0618"/>
    <w:rsid w:val="005F603F"/>
    <w:rsid w:val="0060521C"/>
    <w:rsid w:val="006069B2"/>
    <w:rsid w:val="00610635"/>
    <w:rsid w:val="0061510F"/>
    <w:rsid w:val="006200EF"/>
    <w:rsid w:val="00626E13"/>
    <w:rsid w:val="00632C63"/>
    <w:rsid w:val="00634AA7"/>
    <w:rsid w:val="00634E52"/>
    <w:rsid w:val="00665138"/>
    <w:rsid w:val="00677DE4"/>
    <w:rsid w:val="00685361"/>
    <w:rsid w:val="00690FF3"/>
    <w:rsid w:val="00691746"/>
    <w:rsid w:val="006A3213"/>
    <w:rsid w:val="006A3EA4"/>
    <w:rsid w:val="006C6F90"/>
    <w:rsid w:val="006E46EB"/>
    <w:rsid w:val="006F669E"/>
    <w:rsid w:val="007075ED"/>
    <w:rsid w:val="007164DB"/>
    <w:rsid w:val="00724E7F"/>
    <w:rsid w:val="007320D8"/>
    <w:rsid w:val="00734063"/>
    <w:rsid w:val="00736415"/>
    <w:rsid w:val="00736EA2"/>
    <w:rsid w:val="007503BE"/>
    <w:rsid w:val="00750E75"/>
    <w:rsid w:val="00757357"/>
    <w:rsid w:val="0076774F"/>
    <w:rsid w:val="007810F9"/>
    <w:rsid w:val="007A51C8"/>
    <w:rsid w:val="007B3B0C"/>
    <w:rsid w:val="007B4A8A"/>
    <w:rsid w:val="007B4EB1"/>
    <w:rsid w:val="007B5C45"/>
    <w:rsid w:val="007C15A5"/>
    <w:rsid w:val="007C4C5A"/>
    <w:rsid w:val="007C6963"/>
    <w:rsid w:val="007E5D81"/>
    <w:rsid w:val="007F3C49"/>
    <w:rsid w:val="007F4C24"/>
    <w:rsid w:val="007F6CAB"/>
    <w:rsid w:val="008103F6"/>
    <w:rsid w:val="00810A01"/>
    <w:rsid w:val="00831EEC"/>
    <w:rsid w:val="00834629"/>
    <w:rsid w:val="00836FB8"/>
    <w:rsid w:val="008503CB"/>
    <w:rsid w:val="00873B72"/>
    <w:rsid w:val="00882717"/>
    <w:rsid w:val="008849F3"/>
    <w:rsid w:val="00884A88"/>
    <w:rsid w:val="008B6702"/>
    <w:rsid w:val="008D4534"/>
    <w:rsid w:val="008E6AE2"/>
    <w:rsid w:val="008F321B"/>
    <w:rsid w:val="00900957"/>
    <w:rsid w:val="00902D03"/>
    <w:rsid w:val="009046FA"/>
    <w:rsid w:val="00905C31"/>
    <w:rsid w:val="009127E2"/>
    <w:rsid w:val="0091624D"/>
    <w:rsid w:val="00937D92"/>
    <w:rsid w:val="00945C73"/>
    <w:rsid w:val="009616B1"/>
    <w:rsid w:val="00963A8D"/>
    <w:rsid w:val="00963D82"/>
    <w:rsid w:val="009741E8"/>
    <w:rsid w:val="00983BD5"/>
    <w:rsid w:val="009F0F0B"/>
    <w:rsid w:val="00A00FB7"/>
    <w:rsid w:val="00A07004"/>
    <w:rsid w:val="00A07374"/>
    <w:rsid w:val="00A074B7"/>
    <w:rsid w:val="00A169A3"/>
    <w:rsid w:val="00A37BF8"/>
    <w:rsid w:val="00A51476"/>
    <w:rsid w:val="00A65F04"/>
    <w:rsid w:val="00A665A7"/>
    <w:rsid w:val="00A66803"/>
    <w:rsid w:val="00A76B41"/>
    <w:rsid w:val="00A81BE8"/>
    <w:rsid w:val="00AA5D16"/>
    <w:rsid w:val="00AB42A9"/>
    <w:rsid w:val="00AB7BA8"/>
    <w:rsid w:val="00AC2FBE"/>
    <w:rsid w:val="00AD1A1B"/>
    <w:rsid w:val="00AD5AA2"/>
    <w:rsid w:val="00AE5228"/>
    <w:rsid w:val="00AF1465"/>
    <w:rsid w:val="00AF2C56"/>
    <w:rsid w:val="00AF3E61"/>
    <w:rsid w:val="00AF5CA2"/>
    <w:rsid w:val="00B02283"/>
    <w:rsid w:val="00B0275D"/>
    <w:rsid w:val="00B1453A"/>
    <w:rsid w:val="00B31FA5"/>
    <w:rsid w:val="00B373AE"/>
    <w:rsid w:val="00B53E63"/>
    <w:rsid w:val="00B56DCB"/>
    <w:rsid w:val="00B612EE"/>
    <w:rsid w:val="00B62E00"/>
    <w:rsid w:val="00B64FB8"/>
    <w:rsid w:val="00B678DF"/>
    <w:rsid w:val="00B728EC"/>
    <w:rsid w:val="00B75B1E"/>
    <w:rsid w:val="00B861B9"/>
    <w:rsid w:val="00B92A60"/>
    <w:rsid w:val="00B93BBC"/>
    <w:rsid w:val="00B97651"/>
    <w:rsid w:val="00BA72D2"/>
    <w:rsid w:val="00BA7592"/>
    <w:rsid w:val="00BB0C36"/>
    <w:rsid w:val="00BB4770"/>
    <w:rsid w:val="00BC5508"/>
    <w:rsid w:val="00BD4377"/>
    <w:rsid w:val="00BE3CC0"/>
    <w:rsid w:val="00BE74BD"/>
    <w:rsid w:val="00BF665A"/>
    <w:rsid w:val="00C0246C"/>
    <w:rsid w:val="00C059C1"/>
    <w:rsid w:val="00C127EE"/>
    <w:rsid w:val="00C144EB"/>
    <w:rsid w:val="00C14C27"/>
    <w:rsid w:val="00C2037A"/>
    <w:rsid w:val="00C21496"/>
    <w:rsid w:val="00C21638"/>
    <w:rsid w:val="00C328F8"/>
    <w:rsid w:val="00C32CDD"/>
    <w:rsid w:val="00C373CC"/>
    <w:rsid w:val="00C42BDD"/>
    <w:rsid w:val="00C50FB0"/>
    <w:rsid w:val="00C56736"/>
    <w:rsid w:val="00C6129F"/>
    <w:rsid w:val="00C91BEF"/>
    <w:rsid w:val="00C97088"/>
    <w:rsid w:val="00CA65AF"/>
    <w:rsid w:val="00CA74FD"/>
    <w:rsid w:val="00CC20D6"/>
    <w:rsid w:val="00CE17C6"/>
    <w:rsid w:val="00CF5A9C"/>
    <w:rsid w:val="00D014C3"/>
    <w:rsid w:val="00D0376A"/>
    <w:rsid w:val="00D12BCF"/>
    <w:rsid w:val="00D25E36"/>
    <w:rsid w:val="00D3645C"/>
    <w:rsid w:val="00D51196"/>
    <w:rsid w:val="00D51457"/>
    <w:rsid w:val="00D57323"/>
    <w:rsid w:val="00D579CB"/>
    <w:rsid w:val="00D6251C"/>
    <w:rsid w:val="00D766ED"/>
    <w:rsid w:val="00D8249B"/>
    <w:rsid w:val="00D9132F"/>
    <w:rsid w:val="00DA6A1C"/>
    <w:rsid w:val="00DE11A6"/>
    <w:rsid w:val="00DE2B4B"/>
    <w:rsid w:val="00DF61A1"/>
    <w:rsid w:val="00E00D5D"/>
    <w:rsid w:val="00E05154"/>
    <w:rsid w:val="00E057D0"/>
    <w:rsid w:val="00E05C4D"/>
    <w:rsid w:val="00E12AA4"/>
    <w:rsid w:val="00E13919"/>
    <w:rsid w:val="00E25130"/>
    <w:rsid w:val="00E331D3"/>
    <w:rsid w:val="00E34DEB"/>
    <w:rsid w:val="00E51576"/>
    <w:rsid w:val="00E570E9"/>
    <w:rsid w:val="00E610E1"/>
    <w:rsid w:val="00E704ED"/>
    <w:rsid w:val="00E808AB"/>
    <w:rsid w:val="00E8619F"/>
    <w:rsid w:val="00E973A4"/>
    <w:rsid w:val="00EB1610"/>
    <w:rsid w:val="00EB2715"/>
    <w:rsid w:val="00EC4BBD"/>
    <w:rsid w:val="00ED42EA"/>
    <w:rsid w:val="00F15FD9"/>
    <w:rsid w:val="00F35B2C"/>
    <w:rsid w:val="00F36EE3"/>
    <w:rsid w:val="00F41262"/>
    <w:rsid w:val="00F44F45"/>
    <w:rsid w:val="00F46118"/>
    <w:rsid w:val="00F6758A"/>
    <w:rsid w:val="00F72993"/>
    <w:rsid w:val="00F76026"/>
    <w:rsid w:val="00F87F41"/>
    <w:rsid w:val="00FC451B"/>
    <w:rsid w:val="00FD1E1C"/>
    <w:rsid w:val="00FD6CAB"/>
    <w:rsid w:val="00FD7558"/>
    <w:rsid w:val="00FF4BB9"/>
    <w:rsid w:val="00FF4C89"/>
    <w:rsid w:val="037D0ADA"/>
    <w:rsid w:val="20EF68CF"/>
    <w:rsid w:val="54C209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3">
    <w:name w:val="Document Map"/>
    <w:basedOn w:val="1"/>
    <w:link w:val="16"/>
    <w:unhideWhenUsed/>
    <w:uiPriority w:val="99"/>
    <w:rPr>
      <w:rFonts w:ascii="宋体"/>
      <w:sz w:val="18"/>
      <w:szCs w:val="18"/>
    </w:rPr>
  </w:style>
  <w:style w:type="paragraph" w:styleId="4">
    <w:name w:val="annotation text"/>
    <w:basedOn w:val="1"/>
    <w:link w:val="17"/>
    <w:unhideWhenUsed/>
    <w:uiPriority w:val="99"/>
    <w:pPr>
      <w:jc w:val="left"/>
    </w:pPr>
    <w:rPr>
      <w:kern w:val="0"/>
      <w:sz w:val="20"/>
    </w:rPr>
  </w:style>
  <w:style w:type="paragraph" w:styleId="5">
    <w:name w:val="Salutation"/>
    <w:basedOn w:val="1"/>
    <w:next w:val="1"/>
    <w:link w:val="18"/>
    <w:uiPriority w:val="99"/>
    <w:rPr>
      <w:kern w:val="0"/>
      <w:sz w:val="20"/>
      <w:szCs w:val="21"/>
    </w:rPr>
  </w:style>
  <w:style w:type="paragraph" w:styleId="6">
    <w:name w:val="Body Text Indent 2"/>
    <w:basedOn w:val="1"/>
    <w:link w:val="19"/>
    <w:uiPriority w:val="0"/>
    <w:pPr>
      <w:spacing w:line="600" w:lineRule="exact"/>
      <w:ind w:firstLine="600" w:firstLineChars="200"/>
    </w:pPr>
    <w:rPr>
      <w:rFonts w:ascii="仿宋_GB2312" w:hAnsi="宋体" w:eastAsia="仿宋_GB2312"/>
      <w:kern w:val="0"/>
      <w:sz w:val="30"/>
      <w:szCs w:val="30"/>
    </w:rPr>
  </w:style>
  <w:style w:type="paragraph" w:styleId="7">
    <w:name w:val="Balloon Text"/>
    <w:basedOn w:val="1"/>
    <w:link w:val="20"/>
    <w:unhideWhenUsed/>
    <w:uiPriority w:val="99"/>
    <w:rPr>
      <w:kern w:val="0"/>
      <w:sz w:val="18"/>
      <w:szCs w:val="18"/>
    </w:rPr>
  </w:style>
  <w:style w:type="paragraph" w:styleId="8">
    <w:name w:val="footer"/>
    <w:basedOn w:val="1"/>
    <w:link w:val="21"/>
    <w:unhideWhenUsed/>
    <w:uiPriority w:val="99"/>
    <w:pPr>
      <w:tabs>
        <w:tab w:val="center" w:pos="4153"/>
        <w:tab w:val="right" w:pos="8306"/>
      </w:tabs>
      <w:snapToGrid w:val="0"/>
      <w:jc w:val="left"/>
    </w:pPr>
    <w:rPr>
      <w:kern w:val="0"/>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4"/>
    <w:next w:val="4"/>
    <w:link w:val="23"/>
    <w:unhideWhenUsed/>
    <w:uiPriority w:val="99"/>
    <w:rPr>
      <w:b/>
      <w:bCs/>
    </w:rPr>
  </w:style>
  <w:style w:type="table" w:styleId="12">
    <w:name w:val="Table Grid"/>
    <w:basedOn w:val="11"/>
    <w:uiPriority w:val="59"/>
    <w:tblPr>
      <w:tblStyle w:val="1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unhideWhenUsed/>
    <w:uiPriority w:val="99"/>
    <w:rPr>
      <w:sz w:val="21"/>
      <w:szCs w:val="21"/>
    </w:rPr>
  </w:style>
  <w:style w:type="character" w:customStyle="1" w:styleId="15">
    <w:name w:val="标题 1 Char"/>
    <w:link w:val="2"/>
    <w:uiPriority w:val="0"/>
    <w:rPr>
      <w:rFonts w:ascii="Times New Roman" w:hAnsi="Times New Roman" w:eastAsia="宋体" w:cs="Times New Roman"/>
      <w:b/>
      <w:bCs/>
      <w:kern w:val="44"/>
      <w:sz w:val="44"/>
      <w:szCs w:val="44"/>
    </w:rPr>
  </w:style>
  <w:style w:type="character" w:customStyle="1" w:styleId="16">
    <w:name w:val="文档结构图 Char"/>
    <w:link w:val="3"/>
    <w:semiHidden/>
    <w:uiPriority w:val="99"/>
    <w:rPr>
      <w:rFonts w:ascii="宋体" w:hAnsi="Times New Roman"/>
      <w:kern w:val="2"/>
      <w:sz w:val="18"/>
      <w:szCs w:val="18"/>
    </w:rPr>
  </w:style>
  <w:style w:type="character" w:customStyle="1" w:styleId="17">
    <w:name w:val="批注文字 Char"/>
    <w:link w:val="4"/>
    <w:semiHidden/>
    <w:uiPriority w:val="99"/>
    <w:rPr>
      <w:rFonts w:ascii="Times New Roman" w:hAnsi="Times New Roman" w:eastAsia="宋体" w:cs="Times New Roman"/>
      <w:szCs w:val="24"/>
    </w:rPr>
  </w:style>
  <w:style w:type="character" w:customStyle="1" w:styleId="18">
    <w:name w:val="称呼 Char"/>
    <w:link w:val="5"/>
    <w:uiPriority w:val="99"/>
    <w:rPr>
      <w:rFonts w:ascii="Times New Roman" w:hAnsi="Times New Roman" w:eastAsia="宋体" w:cs="Times New Roman"/>
      <w:szCs w:val="21"/>
    </w:rPr>
  </w:style>
  <w:style w:type="character" w:customStyle="1" w:styleId="19">
    <w:name w:val="正文文本缩进 2 Char"/>
    <w:link w:val="6"/>
    <w:uiPriority w:val="0"/>
    <w:rPr>
      <w:rFonts w:ascii="仿宋_GB2312" w:hAnsi="宋体" w:eastAsia="仿宋_GB2312" w:cs="Times New Roman"/>
      <w:sz w:val="30"/>
      <w:szCs w:val="30"/>
    </w:rPr>
  </w:style>
  <w:style w:type="character" w:customStyle="1" w:styleId="20">
    <w:name w:val="批注框文本 Char"/>
    <w:link w:val="7"/>
    <w:semiHidden/>
    <w:uiPriority w:val="99"/>
    <w:rPr>
      <w:rFonts w:ascii="Times New Roman" w:hAnsi="Times New Roman" w:eastAsia="宋体" w:cs="Times New Roman"/>
      <w:sz w:val="18"/>
      <w:szCs w:val="18"/>
    </w:rPr>
  </w:style>
  <w:style w:type="character" w:customStyle="1" w:styleId="21">
    <w:name w:val="页脚 Char"/>
    <w:link w:val="8"/>
    <w:uiPriority w:val="99"/>
    <w:rPr>
      <w:rFonts w:ascii="Times New Roman" w:hAnsi="Times New Roman" w:eastAsia="宋体" w:cs="Times New Roman"/>
      <w:sz w:val="18"/>
      <w:szCs w:val="18"/>
    </w:rPr>
  </w:style>
  <w:style w:type="character" w:customStyle="1" w:styleId="22">
    <w:name w:val="页眉 Char"/>
    <w:link w:val="9"/>
    <w:uiPriority w:val="99"/>
    <w:rPr>
      <w:rFonts w:ascii="Times New Roman" w:hAnsi="Times New Roman" w:eastAsia="宋体" w:cs="Times New Roman"/>
      <w:sz w:val="18"/>
      <w:szCs w:val="18"/>
    </w:rPr>
  </w:style>
  <w:style w:type="character" w:customStyle="1" w:styleId="23">
    <w:name w:val="批注主题 Char"/>
    <w:link w:val="10"/>
    <w:semiHidden/>
    <w:uiPriority w:val="99"/>
    <w:rPr>
      <w:rFonts w:ascii="Times New Roman" w:hAnsi="Times New Roman" w:eastAsia="宋体" w:cs="Times New Roman"/>
      <w:b/>
      <w:bCs/>
      <w:szCs w:val="24"/>
    </w:rPr>
  </w:style>
  <w:style w:type="character" w:styleId="24">
    <w:name w:val="Placeholder Text"/>
    <w:semiHidden/>
    <w:uiPriority w:val="99"/>
    <w:rPr>
      <w:color w:val="808080"/>
    </w:rPr>
  </w:style>
  <w:style w:type="paragraph" w:customStyle="1" w:styleId="25">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26">
    <w:name w:val="List Paragraph"/>
    <w:basedOn w:val="1"/>
    <w:qFormat/>
    <w:uiPriority w:val="34"/>
    <w:pPr>
      <w:ind w:firstLine="420" w:firstLineChars="200"/>
    </w:pPr>
  </w:style>
  <w:style w:type="paragraph" w:styleId="27">
    <w:name w:val=""/>
    <w:semiHidden/>
    <w:uiPriority w:val="99"/>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357</Words>
  <Characters>2040</Characters>
  <Lines>17</Lines>
  <Paragraphs>4</Paragraphs>
  <TotalTime>9</TotalTime>
  <ScaleCrop>false</ScaleCrop>
  <LinksUpToDate>false</LinksUpToDate>
  <CharactersWithSpaces>2393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2019-04-05T03:06:00Z</dcterms:created>
  <dc:creator>user</dc:creator>
  <cp:lastModifiedBy>tanshiyu</cp:lastModifiedBy>
  <cp:lastPrinted>2019-05-18T04:36:00Z</cp:lastPrinted>
  <dcterms:modified xsi:type="dcterms:W3CDTF">2025-04-21T07:48:34Z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00A9C3AAAE9E4A3E8C8C8F0C1F47310F</vt:lpwstr>
  </property>
</Properties>
</file>