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2756">
      <w:pPr>
        <w:spacing w:line="560" w:lineRule="exact"/>
        <w:jc w:val="center"/>
        <w:rPr>
          <w:rFonts w:ascii="黑体" w:hAnsi="黑体" w:eastAsia="黑体"/>
          <w:b/>
          <w:sz w:val="36"/>
          <w:szCs w:val="36"/>
        </w:rPr>
      </w:pPr>
      <w:r>
        <w:rPr>
          <w:rFonts w:hint="eastAsia" w:ascii="黑体" w:hAnsi="黑体" w:eastAsia="黑体"/>
          <w:b/>
          <w:sz w:val="36"/>
          <w:szCs w:val="36"/>
        </w:rPr>
        <w:t>第二十五号 科创板上市公司利润分配、公积金转增股本方案公告</w:t>
      </w:r>
    </w:p>
    <w:p w14:paraId="5C2E2F66">
      <w:pPr>
        <w:adjustRightInd w:val="0"/>
        <w:snapToGrid w:val="0"/>
        <w:spacing w:line="560" w:lineRule="exact"/>
        <w:rPr>
          <w:rFonts w:ascii="仿宋_GB2312" w:hAnsi="宋体" w:eastAsia="仿宋_GB2312"/>
          <w:b/>
          <w:sz w:val="30"/>
          <w:szCs w:val="30"/>
        </w:rPr>
      </w:pPr>
    </w:p>
    <w:p w14:paraId="7CBEB581">
      <w:pPr>
        <w:adjustRightInd w:val="0"/>
        <w:snapToGrid w:val="0"/>
        <w:spacing w:line="560" w:lineRule="exact"/>
        <w:ind w:firstLine="590" w:firstLineChars="196"/>
        <w:rPr>
          <w:rFonts w:ascii="仿宋_GB2312" w:hAnsi="宋体" w:eastAsia="仿宋_GB2312"/>
          <w:b/>
          <w:sz w:val="30"/>
          <w:szCs w:val="30"/>
        </w:rPr>
      </w:pPr>
      <w:r>
        <w:rPr>
          <w:rFonts w:hint="eastAsia" w:ascii="仿宋_GB2312" w:hAnsi="宋体" w:eastAsia="仿宋_GB2312"/>
          <w:b/>
          <w:sz w:val="30"/>
          <w:szCs w:val="30"/>
        </w:rPr>
        <w:t>适用范围：</w:t>
      </w:r>
    </w:p>
    <w:p w14:paraId="4F35E11D">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w:t>
      </w:r>
      <w:r>
        <w:rPr>
          <w:rFonts w:hint="eastAsia"/>
        </w:rPr>
        <w:t xml:space="preserve"> </w:t>
      </w:r>
      <w:r>
        <w:rPr>
          <w:rFonts w:hint="eastAsia" w:ascii="仿宋_GB2312" w:hAnsi="宋体" w:eastAsia="仿宋_GB2312"/>
          <w:bCs/>
          <w:sz w:val="30"/>
          <w:szCs w:val="30"/>
        </w:rPr>
        <w:t>科创板上市公司（以下简称上市公司）编制披露利润分配、公积金转增股本方案，包括派送现金红利、送红股、以盈余公积金、资本公积金转增股本等，适用本指引。上市公司年度拟不实施利润分配、公积金转增股本的，参照适用本公告格式披露相关内容。</w:t>
      </w:r>
    </w:p>
    <w:p w14:paraId="762F4EAD">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2.送转比例构成高送转的，上市公司应当同时参照适用本所</w:t>
      </w:r>
      <w:r>
        <w:rPr>
          <w:rFonts w:hint="eastAsia" w:ascii="仿宋_GB2312" w:hAnsi="宋体" w:eastAsia="仿宋_GB2312"/>
          <w:sz w:val="30"/>
          <w:szCs w:val="30"/>
        </w:rPr>
        <w:t>《科创板上市公司自律监管指南第3号——日常信息披露》</w:t>
      </w:r>
      <w:r>
        <w:rPr>
          <w:rFonts w:hint="eastAsia" w:ascii="仿宋_GB2312" w:hAnsi="宋体" w:eastAsia="仿宋_GB2312"/>
          <w:bCs/>
          <w:sz w:val="30"/>
          <w:szCs w:val="30"/>
        </w:rPr>
        <w:t>所附《第十七号 科创板上市公司董事会审议高送转公告》格式指引，披露相关内容。</w:t>
      </w:r>
    </w:p>
    <w:p w14:paraId="4F0E7F8B">
      <w:pPr>
        <w:adjustRightInd w:val="0"/>
        <w:snapToGrid w:val="0"/>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3.上市公司应当综合考虑未分配利润、当期业绩等因素确定分红频次，并在具备条件的情况下增加分红频次，稳定投资者分红预期。上市公司可在年度</w:t>
      </w:r>
      <w:r>
        <w:rPr>
          <w:rFonts w:hint="eastAsia" w:ascii="仿宋_GB2312" w:hAnsi="宋体" w:eastAsia="仿宋_GB2312"/>
          <w:bCs/>
          <w:sz w:val="30"/>
          <w:szCs w:val="30"/>
          <w:lang w:eastAsia="zh-CN"/>
        </w:rPr>
        <w:t>股东会</w:t>
      </w:r>
      <w:r>
        <w:rPr>
          <w:rFonts w:hint="eastAsia" w:ascii="仿宋_GB2312" w:hAnsi="宋体" w:eastAsia="仿宋_GB2312"/>
          <w:bCs/>
          <w:sz w:val="30"/>
          <w:szCs w:val="30"/>
        </w:rPr>
        <w:t>增加关于次年中期分红安排的议案，授权董事会根据具体情况制定中期分红方案，简化分红程序。上市公司拟实施中期现金分红，且不送红股、不以公积金转增股本的，半年报、季度报告可以不经审计。</w:t>
      </w:r>
    </w:p>
    <w:p w14:paraId="1D11952E">
      <w:pPr>
        <w:adjustRightInd w:val="0"/>
        <w:snapToGrid w:val="0"/>
        <w:spacing w:line="560" w:lineRule="exact"/>
        <w:rPr>
          <w:rFonts w:ascii="仿宋_GB2312" w:hAnsi="宋体" w:eastAsia="仿宋_GB2312"/>
          <w:bCs/>
          <w:sz w:val="30"/>
          <w:szCs w:val="30"/>
        </w:rPr>
      </w:pPr>
    </w:p>
    <w:p w14:paraId="51F7DBC4">
      <w:pPr>
        <w:adjustRightInd w:val="0"/>
        <w:snapToGrid w:val="0"/>
        <w:spacing w:line="560" w:lineRule="exact"/>
        <w:rPr>
          <w:rFonts w:ascii="仿宋_GB2312" w:hAnsi="宋体" w:eastAsia="仿宋_GB2312"/>
          <w:bCs/>
          <w:sz w:val="30"/>
          <w:szCs w:val="30"/>
        </w:rPr>
      </w:pPr>
    </w:p>
    <w:p w14:paraId="18C75B12">
      <w:pPr>
        <w:adjustRightInd w:val="0"/>
        <w:snapToGrid w:val="0"/>
        <w:spacing w:line="560" w:lineRule="exact"/>
        <w:rPr>
          <w:rFonts w:ascii="仿宋_GB2312" w:hAnsi="宋体" w:eastAsia="仿宋_GB2312"/>
          <w:bCs/>
          <w:sz w:val="30"/>
          <w:szCs w:val="30"/>
        </w:rPr>
      </w:pPr>
    </w:p>
    <w:p w14:paraId="28FC4250">
      <w:pPr>
        <w:adjustRightInd w:val="0"/>
        <w:snapToGrid w:val="0"/>
        <w:spacing w:line="560" w:lineRule="exact"/>
        <w:rPr>
          <w:rFonts w:ascii="仿宋_GB2312" w:hAnsi="宋体" w:eastAsia="仿宋_GB2312"/>
          <w:bCs/>
          <w:sz w:val="30"/>
          <w:szCs w:val="30"/>
        </w:rPr>
      </w:pPr>
    </w:p>
    <w:p w14:paraId="404FA37E">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64DEB264">
      <w:pPr>
        <w:adjustRightInd w:val="0"/>
        <w:snapToGrid w:val="0"/>
        <w:spacing w:line="560" w:lineRule="exact"/>
        <w:jc w:val="center"/>
        <w:rPr>
          <w:rFonts w:ascii="宋体" w:hAnsi="宋体"/>
          <w:sz w:val="24"/>
        </w:rPr>
      </w:pPr>
    </w:p>
    <w:p w14:paraId="79B514BE">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XX股份有限公司XX年年度（一季度/半年度/三季度）</w:t>
      </w:r>
    </w:p>
    <w:p w14:paraId="64C163B0">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利润分配（及公积金转增股本）方案公告</w:t>
      </w:r>
    </w:p>
    <w:p w14:paraId="456C065B">
      <w:pPr>
        <w:widowControl/>
        <w:spacing w:line="560" w:lineRule="exact"/>
        <w:ind w:firstLine="480" w:firstLineChars="200"/>
        <w:rPr>
          <w:rFonts w:ascii="楷体" w:hAnsi="楷体" w:eastAsia="楷体"/>
          <w:sz w:val="24"/>
        </w:rPr>
      </w:pPr>
    </w:p>
    <w:p w14:paraId="39650758">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14:paraId="46900577">
      <w:pPr>
        <w:widowControl/>
        <w:spacing w:line="560" w:lineRule="exact"/>
        <w:ind w:firstLine="480" w:firstLineChars="200"/>
        <w:rPr>
          <w:rFonts w:ascii="楷体" w:hAnsi="楷体" w:eastAsia="楷体"/>
          <w:sz w:val="24"/>
        </w:rPr>
      </w:pPr>
      <w:r>
        <w:rPr>
          <w:rFonts w:hint="eastAsia" w:ascii="楷体" w:hAnsi="楷体" w:eastAsia="楷体"/>
          <w:sz w:val="24"/>
        </w:rPr>
        <w:t>1</w:t>
      </w:r>
      <w:r>
        <w:rPr>
          <w:rFonts w:ascii="楷体" w:hAnsi="楷体" w:eastAsia="楷体"/>
          <w:sz w:val="24"/>
        </w:rPr>
        <w:t>.</w:t>
      </w:r>
      <w:r>
        <w:rPr>
          <w:rFonts w:hint="eastAsia" w:ascii="楷体" w:hAnsi="楷体" w:eastAsia="楷体"/>
          <w:sz w:val="24"/>
        </w:rPr>
        <w:t>上市公司披露定期报告时，如涉及利润分配、转增股本事项，包括派送现金红利、送红股、以盈余公积金、资本公积金转增股本等，应当同时按照本指引披露利润分配、转增股本方案。</w:t>
      </w:r>
    </w:p>
    <w:p w14:paraId="4A42A329">
      <w:pPr>
        <w:widowControl/>
        <w:spacing w:line="560" w:lineRule="exact"/>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根据《证券发行与承销管理办法》第三十三条，上市公司发行证券，存在利润分配方案、公积金转增股本方案尚未提交</w:t>
      </w:r>
      <w:r>
        <w:rPr>
          <w:rFonts w:hint="eastAsia" w:ascii="楷体" w:hAnsi="楷体" w:eastAsia="楷体"/>
          <w:sz w:val="24"/>
          <w:lang w:eastAsia="zh-CN"/>
        </w:rPr>
        <w:t>股东会</w:t>
      </w:r>
      <w:r>
        <w:rPr>
          <w:rFonts w:hint="eastAsia" w:ascii="楷体" w:hAnsi="楷体" w:eastAsia="楷体"/>
          <w:sz w:val="24"/>
        </w:rPr>
        <w:t>表决或者虽经</w:t>
      </w:r>
      <w:r>
        <w:rPr>
          <w:rFonts w:hint="eastAsia" w:ascii="楷体" w:hAnsi="楷体" w:eastAsia="楷体"/>
          <w:sz w:val="24"/>
          <w:lang w:eastAsia="zh-CN"/>
        </w:rPr>
        <w:t>股东会</w:t>
      </w:r>
      <w:r>
        <w:rPr>
          <w:rFonts w:hint="eastAsia" w:ascii="楷体" w:hAnsi="楷体" w:eastAsia="楷体"/>
          <w:sz w:val="24"/>
        </w:rPr>
        <w:t>表决通过但未实施的，应当在方案实施后发行。相关方案实施前，主承销商不得承销上市公司发行的证券。上市公司应当做好证券发行、利润分配工作相关安排，避免产生冲突。</w:t>
      </w:r>
    </w:p>
    <w:p w14:paraId="29CF95B8">
      <w:pPr>
        <w:widowControl/>
        <w:spacing w:line="560" w:lineRule="exact"/>
        <w:ind w:firstLine="480" w:firstLineChars="200"/>
        <w:rPr>
          <w:rFonts w:ascii="楷体" w:hAnsi="楷体" w:eastAsia="楷体"/>
          <w:sz w:val="24"/>
        </w:rPr>
      </w:pPr>
      <w:r>
        <w:rPr>
          <w:rFonts w:hint="eastAsia" w:ascii="楷体" w:hAnsi="楷体" w:eastAsia="楷体"/>
          <w:sz w:val="24"/>
        </w:rPr>
        <w:t>3.上市公司拟依据半年度、季度财务数据派发股票股利或者以公积金转增股本的，半年报、季度报告应当审计。</w:t>
      </w:r>
    </w:p>
    <w:p w14:paraId="7EF7B5EC">
      <w:pPr>
        <w:widowControl/>
        <w:spacing w:line="560" w:lineRule="exact"/>
        <w:ind w:firstLine="480" w:firstLineChars="200"/>
        <w:rPr>
          <w:rFonts w:ascii="楷体" w:hAnsi="楷体" w:eastAsia="楷体"/>
          <w:sz w:val="24"/>
        </w:rPr>
      </w:pPr>
      <w:r>
        <w:rPr>
          <w:rFonts w:hint="eastAsia" w:ascii="楷体" w:hAnsi="楷体" w:eastAsia="楷体"/>
          <w:sz w:val="24"/>
        </w:rPr>
        <w:t>4.利润分配、转增股本方案经</w:t>
      </w:r>
      <w:r>
        <w:rPr>
          <w:rFonts w:hint="eastAsia" w:ascii="楷体" w:hAnsi="楷体" w:eastAsia="楷体"/>
          <w:sz w:val="24"/>
          <w:lang w:eastAsia="zh-CN"/>
        </w:rPr>
        <w:t>股东会</w:t>
      </w:r>
      <w:r>
        <w:rPr>
          <w:rFonts w:hint="eastAsia" w:ascii="楷体" w:hAnsi="楷体" w:eastAsia="楷体"/>
          <w:sz w:val="24"/>
        </w:rPr>
        <w:t>审议通过后实施时，应当按照本所《科创板上市公司自律监管指南第6号——业务操作事项》所附《9</w:t>
      </w:r>
      <w:r>
        <w:rPr>
          <w:rFonts w:ascii="楷体" w:hAnsi="楷体" w:eastAsia="楷体"/>
          <w:sz w:val="24"/>
        </w:rPr>
        <w:t>.</w:t>
      </w:r>
      <w:r>
        <w:rPr>
          <w:rFonts w:hint="eastAsia"/>
        </w:rPr>
        <w:t xml:space="preserve"> </w:t>
      </w:r>
      <w:r>
        <w:rPr>
          <w:rFonts w:hint="eastAsia" w:ascii="楷体" w:hAnsi="楷体" w:eastAsia="楷体"/>
          <w:sz w:val="24"/>
        </w:rPr>
        <w:t>科创板上市公司权益分派实施》格式指引披露实施安排。）</w:t>
      </w:r>
    </w:p>
    <w:p w14:paraId="5C7E0D9F">
      <w:pPr>
        <w:adjustRightInd w:val="0"/>
        <w:snapToGrid w:val="0"/>
        <w:spacing w:line="560" w:lineRule="exact"/>
        <w:ind w:firstLine="480" w:firstLineChars="200"/>
        <w:rPr>
          <w:rFonts w:ascii="宋体" w:hAnsi="宋体"/>
          <w:sz w:val="24"/>
        </w:rPr>
      </w:pPr>
    </w:p>
    <w:p w14:paraId="6201573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36D369B0">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425041F">
      <w:pPr>
        <w:adjustRightInd w:val="0"/>
        <w:snapToGrid w:val="0"/>
        <w:spacing w:line="560" w:lineRule="exact"/>
        <w:ind w:firstLine="600" w:firstLineChars="200"/>
        <w:rPr>
          <w:rFonts w:ascii="仿宋_GB2312" w:hAnsi="宋体" w:eastAsia="仿宋_GB2312"/>
          <w:bCs/>
          <w:sz w:val="30"/>
          <w:szCs w:val="30"/>
        </w:rPr>
      </w:pPr>
    </w:p>
    <w:p w14:paraId="5590C9DE">
      <w:pPr>
        <w:adjustRightInd w:val="0"/>
        <w:snapToGrid w:val="0"/>
        <w:spacing w:line="56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4C337E60">
      <w:pPr>
        <w:numPr>
          <w:ilvl w:val="3"/>
          <w:numId w:val="1"/>
        </w:numPr>
        <w:tabs>
          <w:tab w:val="left" w:pos="1080"/>
          <w:tab w:val="clear" w:pos="2218"/>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每股分配比例，每股转增比例</w:t>
      </w:r>
    </w:p>
    <w:p w14:paraId="1AB066B9">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A股每股派发现金红利XX元</w:t>
      </w:r>
    </w:p>
    <w:p w14:paraId="486980B1">
      <w:pPr>
        <w:widowControl/>
        <w:spacing w:line="560" w:lineRule="exact"/>
        <w:ind w:firstLine="600" w:firstLineChars="200"/>
        <w:jc w:val="left"/>
        <w:rPr>
          <w:rFonts w:ascii="楷体" w:hAnsi="楷体" w:eastAsia="楷体"/>
          <w:sz w:val="24"/>
        </w:rPr>
      </w:pPr>
      <w:r>
        <w:rPr>
          <w:rFonts w:hint="eastAsia" w:ascii="仿宋_GB2312" w:hAnsi="宋体" w:eastAsia="仿宋_GB2312" w:cs="宋体"/>
          <w:color w:val="000000"/>
          <w:kern w:val="0"/>
          <w:sz w:val="30"/>
          <w:szCs w:val="30"/>
        </w:rPr>
        <w:t>每股派送红股XX股，每股转增XX股</w:t>
      </w:r>
    </w:p>
    <w:p w14:paraId="2952B15D">
      <w:pPr>
        <w:numPr>
          <w:ilvl w:val="3"/>
          <w:numId w:val="1"/>
        </w:numPr>
        <w:tabs>
          <w:tab w:val="left" w:pos="1080"/>
          <w:tab w:val="clear" w:pos="2218"/>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利润分配/公积金转增股本以实施权益分派股权登记日登记的总股本为基数，具体日期将在权益分派实施公告中明确。在实施权益分派的股权登记日前公司总股本发生变动的，拟维持分配（转增）总额/每股分配（转增）比例不变，相应调整每股分配（转增）比例/分配（转增）总额，并将另行公告具体调整情况。</w:t>
      </w:r>
    </w:p>
    <w:p w14:paraId="7766BB7F">
      <w:pPr>
        <w:widowControl/>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bCs/>
          <w:color w:val="000000"/>
          <w:sz w:val="30"/>
          <w:szCs w:val="30"/>
        </w:rPr>
      </w:pPr>
      <w:r>
        <w:rPr>
          <w:rFonts w:hint="eastAsia" w:ascii="仿宋_GB2312" w:hAnsi="Times New Roman" w:eastAsia="仿宋_GB2312"/>
          <w:color w:val="000000"/>
          <w:sz w:val="30"/>
          <w:szCs w:val="30"/>
        </w:rPr>
        <w:t>是否可能触及《上海证券交易所科创板股票上市规则》（以下简称《科创板股票上市规则》）第12.9.1条第一款第（八）项规定的可能被实施其他风险警示的情形</w:t>
      </w:r>
      <w:r>
        <w:rPr>
          <w:rFonts w:hint="eastAsia" w:ascii="Times New Roman" w:hAnsi="Times New Roman" w:eastAsia="仿宋_GB2312"/>
          <w:bCs/>
          <w:color w:val="000000"/>
          <w:kern w:val="0"/>
          <w:sz w:val="30"/>
          <w:szCs w:val="30"/>
        </w:rPr>
        <w:t>（适用于年度分红方案）。</w:t>
      </w:r>
    </w:p>
    <w:p w14:paraId="6861CF6F">
      <w:pPr>
        <w:numPr>
          <w:ilvl w:val="255"/>
          <w:numId w:val="0"/>
        </w:numPr>
        <w:tabs>
          <w:tab w:val="left" w:pos="1080"/>
        </w:tabs>
        <w:adjustRightInd w:val="0"/>
        <w:snapToGrid w:val="0"/>
        <w:spacing w:line="560" w:lineRule="exact"/>
        <w:ind w:left="420" w:leftChars="200"/>
        <w:rPr>
          <w:rFonts w:ascii="仿宋_GB2312" w:hAnsi="宋体" w:eastAsia="仿宋_GB2312"/>
          <w:sz w:val="30"/>
          <w:szCs w:val="30"/>
        </w:rPr>
      </w:pPr>
    </w:p>
    <w:p w14:paraId="206E908C">
      <w:pPr>
        <w:widowControl/>
        <w:spacing w:line="560" w:lineRule="exact"/>
        <w:ind w:firstLine="643" w:firstLineChars="200"/>
        <w:rPr>
          <w:rFonts w:ascii="黑体" w:hAnsi="黑体" w:eastAsia="黑体" w:cs="宋体"/>
          <w:b/>
          <w:color w:val="000000"/>
          <w:kern w:val="0"/>
          <w:sz w:val="32"/>
          <w:szCs w:val="32"/>
        </w:rPr>
      </w:pPr>
    </w:p>
    <w:p w14:paraId="517D1D26">
      <w:pPr>
        <w:pStyle w:val="16"/>
        <w:widowControl/>
        <w:numPr>
          <w:ilvl w:val="0"/>
          <w:numId w:val="2"/>
        </w:numPr>
        <w:spacing w:line="560" w:lineRule="exact"/>
        <w:ind w:firstLineChars="0"/>
        <w:outlineLvl w:val="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利润分配方案内容</w:t>
      </w:r>
    </w:p>
    <w:p w14:paraId="4196B5B1">
      <w:pPr>
        <w:autoSpaceDE w:val="0"/>
        <w:autoSpaceDN w:val="0"/>
        <w:adjustRightInd w:val="0"/>
        <w:snapToGrid w:val="0"/>
        <w:spacing w:line="560" w:lineRule="exact"/>
        <w:ind w:firstLine="602" w:firstLineChars="2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（一）利润分配方案的具体内容</w:t>
      </w:r>
    </w:p>
    <w:p w14:paraId="16DD37FF">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14:paraId="0AC34E6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1.上市公司拟向全体股东每1</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14:paraId="21A825D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2.上市公司拟向全体股东每1</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股送红股XX股、以公积金转增X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股。截至XX年XX月XX日，公司总股本XX股，本次送转股后，公司的总股本为X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w:t>
      </w:r>
    </w:p>
    <w:p w14:paraId="3397A215">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上市公司通过回购专用账户所持有本公司股份X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股（如有），不参与本次利润分配及资本公积金转增股本。</w:t>
      </w:r>
    </w:p>
    <w:p w14:paraId="55812742">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14:paraId="3D73AE7B">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说明本次利润分配、公积金转增股本方案是否尚需提交</w:t>
      </w:r>
      <w:r>
        <w:rPr>
          <w:rFonts w:hint="eastAsia" w:ascii="仿宋_GB2312" w:hAnsi="宋体" w:eastAsia="仿宋_GB2312" w:cs="宋体"/>
          <w:color w:val="000000"/>
          <w:kern w:val="0"/>
          <w:sz w:val="30"/>
          <w:szCs w:val="30"/>
          <w:lang w:eastAsia="zh-CN"/>
        </w:rPr>
        <w:t>股东会</w:t>
      </w:r>
      <w:r>
        <w:rPr>
          <w:rFonts w:hint="eastAsia" w:ascii="仿宋_GB2312" w:hAnsi="宋体" w:eastAsia="仿宋_GB2312" w:cs="宋体"/>
          <w:color w:val="000000"/>
          <w:kern w:val="0"/>
          <w:sz w:val="30"/>
          <w:szCs w:val="30"/>
        </w:rPr>
        <w:t>审议。</w:t>
      </w:r>
    </w:p>
    <w:p w14:paraId="34275472">
      <w:pPr>
        <w:widowControl/>
        <w:spacing w:line="560" w:lineRule="exact"/>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（二）是否可能触及其他风险警示情形（适用于年度分红方案）</w:t>
      </w:r>
    </w:p>
    <w:p w14:paraId="3C1362E6">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1459"/>
        <w:gridCol w:w="1541"/>
        <w:gridCol w:w="1474"/>
      </w:tblGrid>
      <w:tr w14:paraId="3E6A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09AD3252">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项目</w:t>
            </w:r>
          </w:p>
        </w:tc>
        <w:tc>
          <w:tcPr>
            <w:tcW w:w="1459" w:type="dxa"/>
          </w:tcPr>
          <w:p w14:paraId="180411E6">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本年度</w:t>
            </w:r>
          </w:p>
        </w:tc>
        <w:tc>
          <w:tcPr>
            <w:tcW w:w="1541" w:type="dxa"/>
          </w:tcPr>
          <w:p w14:paraId="211F86FF">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上年度</w:t>
            </w:r>
          </w:p>
        </w:tc>
        <w:tc>
          <w:tcPr>
            <w:tcW w:w="1474" w:type="dxa"/>
          </w:tcPr>
          <w:p w14:paraId="609FEC9B">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上上年度</w:t>
            </w:r>
          </w:p>
        </w:tc>
      </w:tr>
      <w:tr w14:paraId="2CC2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1F0212A5">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现金分红总额（元）</w:t>
            </w:r>
          </w:p>
        </w:tc>
        <w:tc>
          <w:tcPr>
            <w:tcW w:w="1459" w:type="dxa"/>
          </w:tcPr>
          <w:p w14:paraId="2861C659">
            <w:pPr>
              <w:autoSpaceDE w:val="0"/>
              <w:autoSpaceDN w:val="0"/>
              <w:adjustRightInd w:val="0"/>
              <w:snapToGrid w:val="0"/>
              <w:spacing w:line="560" w:lineRule="exact"/>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（预计数）</w:t>
            </w:r>
          </w:p>
        </w:tc>
        <w:tc>
          <w:tcPr>
            <w:tcW w:w="1541" w:type="dxa"/>
          </w:tcPr>
          <w:p w14:paraId="0A476618">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（实施数）</w:t>
            </w:r>
          </w:p>
        </w:tc>
        <w:tc>
          <w:tcPr>
            <w:tcW w:w="1474" w:type="dxa"/>
          </w:tcPr>
          <w:p w14:paraId="760E7267">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（实施数）</w:t>
            </w:r>
          </w:p>
        </w:tc>
      </w:tr>
      <w:tr w14:paraId="2B23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780133D4">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回购注销总额（元）</w:t>
            </w:r>
          </w:p>
        </w:tc>
        <w:tc>
          <w:tcPr>
            <w:tcW w:w="1459" w:type="dxa"/>
          </w:tcPr>
          <w:p w14:paraId="4C4B2A22">
            <w:pPr>
              <w:autoSpaceDE w:val="0"/>
              <w:autoSpaceDN w:val="0"/>
              <w:adjustRightInd w:val="0"/>
              <w:snapToGrid w:val="0"/>
              <w:spacing w:line="560" w:lineRule="exact"/>
              <w:jc w:val="center"/>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1</w:t>
            </w:r>
          </w:p>
        </w:tc>
        <w:tc>
          <w:tcPr>
            <w:tcW w:w="1541" w:type="dxa"/>
          </w:tcPr>
          <w:p w14:paraId="146A851E">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2</w:t>
            </w:r>
          </w:p>
        </w:tc>
        <w:tc>
          <w:tcPr>
            <w:tcW w:w="1474" w:type="dxa"/>
          </w:tcPr>
          <w:p w14:paraId="6B329A52">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3</w:t>
            </w:r>
          </w:p>
        </w:tc>
      </w:tr>
      <w:tr w14:paraId="38C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43881546">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归属于上市公司股东的净利润（元）</w:t>
            </w:r>
          </w:p>
        </w:tc>
        <w:tc>
          <w:tcPr>
            <w:tcW w:w="1459" w:type="dxa"/>
          </w:tcPr>
          <w:p w14:paraId="428EDA7F">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p>
        </w:tc>
        <w:tc>
          <w:tcPr>
            <w:tcW w:w="1541" w:type="dxa"/>
          </w:tcPr>
          <w:p w14:paraId="525AA404">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2</w:t>
            </w:r>
          </w:p>
        </w:tc>
        <w:tc>
          <w:tcPr>
            <w:tcW w:w="1474" w:type="dxa"/>
          </w:tcPr>
          <w:p w14:paraId="0319DC42">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3</w:t>
            </w:r>
          </w:p>
        </w:tc>
      </w:tr>
      <w:tr w14:paraId="13C0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7E6BD77C">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母公司报表本年度末累计未分配利润（元）</w:t>
            </w:r>
          </w:p>
        </w:tc>
        <w:tc>
          <w:tcPr>
            <w:tcW w:w="4474" w:type="dxa"/>
            <w:gridSpan w:val="3"/>
          </w:tcPr>
          <w:p w14:paraId="23CB0A1C">
            <w:pPr>
              <w:autoSpaceDE w:val="0"/>
              <w:autoSpaceDN w:val="0"/>
              <w:adjustRightInd w:val="0"/>
              <w:snapToGrid w:val="0"/>
              <w:spacing w:line="560" w:lineRule="exact"/>
              <w:rPr>
                <w:rFonts w:ascii="Times New Roman" w:hAnsi="Times New Roman" w:eastAsia="仿宋_GB2312"/>
                <w:color w:val="000000"/>
                <w:kern w:val="0"/>
                <w:szCs w:val="21"/>
              </w:rPr>
            </w:pPr>
          </w:p>
        </w:tc>
      </w:tr>
      <w:tr w14:paraId="2D33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6624580A">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最近三个会计年度累计现金分红总额（元）</w:t>
            </w:r>
          </w:p>
        </w:tc>
        <w:tc>
          <w:tcPr>
            <w:tcW w:w="4474" w:type="dxa"/>
            <w:gridSpan w:val="3"/>
          </w:tcPr>
          <w:p w14:paraId="355A4FBF">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 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3</w:t>
            </w:r>
          </w:p>
        </w:tc>
      </w:tr>
      <w:tr w14:paraId="14B1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24D417E5">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最近三个会计年度累计回购注销总额（元）</w:t>
            </w:r>
          </w:p>
        </w:tc>
        <w:tc>
          <w:tcPr>
            <w:tcW w:w="4474" w:type="dxa"/>
            <w:gridSpan w:val="3"/>
          </w:tcPr>
          <w:p w14:paraId="4DD6749E">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 b</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3</w:t>
            </w:r>
          </w:p>
        </w:tc>
      </w:tr>
      <w:tr w14:paraId="2391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72D7BEEA">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最近三个会计年度平均净利润（元）</w:t>
            </w:r>
          </w:p>
        </w:tc>
        <w:tc>
          <w:tcPr>
            <w:tcW w:w="4474" w:type="dxa"/>
            <w:gridSpan w:val="3"/>
          </w:tcPr>
          <w:p w14:paraId="382F782B">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C</w:t>
            </w: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）/3</w:t>
            </w:r>
          </w:p>
        </w:tc>
      </w:tr>
      <w:tr w14:paraId="25B9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7C16507E">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最近三个会计年度累计现金分红及回购注销总额（元）</w:t>
            </w:r>
          </w:p>
        </w:tc>
        <w:tc>
          <w:tcPr>
            <w:tcW w:w="4474" w:type="dxa"/>
            <w:gridSpan w:val="3"/>
          </w:tcPr>
          <w:p w14:paraId="33C0C8B7">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D=A+B</w:t>
            </w:r>
          </w:p>
        </w:tc>
      </w:tr>
      <w:tr w14:paraId="5C8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10714714">
            <w:pPr>
              <w:autoSpaceDE w:val="0"/>
              <w:autoSpaceDN w:val="0"/>
              <w:adjustRightInd w:val="0"/>
              <w:snapToGrid w:val="0"/>
              <w:spacing w:line="560" w:lineRule="exact"/>
              <w:rPr>
                <w:rFonts w:hint="eastAsia" w:ascii="Times New Roman" w:hAnsi="Times New Roman" w:eastAsia="仿宋_GB2312"/>
                <w:color w:val="000000" w:themeColor="text1"/>
                <w:kern w:val="0"/>
                <w:szCs w:val="21"/>
              </w:rPr>
            </w:pPr>
            <w:r>
              <w:rPr>
                <w:rFonts w:hint="eastAsia" w:ascii="Times New Roman" w:hAnsi="Times New Roman" w:eastAsia="仿宋_GB2312"/>
                <w:color w:val="000000" w:themeColor="text1"/>
                <w:kern w:val="0"/>
                <w:szCs w:val="21"/>
              </w:rPr>
              <w:t>最近三个会计年度累计现金分红及回购注销总额（D）是否低于3000万元</w:t>
            </w:r>
          </w:p>
        </w:tc>
        <w:tc>
          <w:tcPr>
            <w:tcW w:w="4474" w:type="dxa"/>
            <w:gridSpan w:val="3"/>
          </w:tcPr>
          <w:p w14:paraId="0F71D986">
            <w:pPr>
              <w:autoSpaceDE w:val="0"/>
              <w:autoSpaceDN w:val="0"/>
              <w:adjustRightInd w:val="0"/>
              <w:snapToGrid w:val="0"/>
              <w:spacing w:line="560" w:lineRule="exact"/>
              <w:rPr>
                <w:rFonts w:hint="eastAsia" w:ascii="Times New Roman" w:hAnsi="Times New Roman" w:eastAsia="仿宋_GB2312"/>
                <w:color w:val="000000" w:themeColor="text1"/>
                <w:kern w:val="0"/>
                <w:szCs w:val="21"/>
              </w:rPr>
            </w:pPr>
            <w:r>
              <w:rPr>
                <w:rFonts w:hint="eastAsia" w:ascii="Times New Roman" w:hAnsi="Times New Roman" w:eastAsia="仿宋_GB2312"/>
                <w:bCs/>
                <w:color w:val="000000" w:themeColor="text1"/>
                <w:kern w:val="0"/>
                <w:szCs w:val="21"/>
              </w:rPr>
              <w:t>是/否</w:t>
            </w:r>
          </w:p>
        </w:tc>
      </w:tr>
      <w:tr w14:paraId="649A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2280BB62">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w:t>
            </w:r>
          </w:p>
        </w:tc>
        <w:tc>
          <w:tcPr>
            <w:tcW w:w="4474" w:type="dxa"/>
            <w:gridSpan w:val="3"/>
          </w:tcPr>
          <w:p w14:paraId="34ED0035">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E=D/C</w:t>
            </w:r>
          </w:p>
        </w:tc>
      </w:tr>
      <w:tr w14:paraId="6B0B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3EE9E61A">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现金分红比例（E）是否低于30%</w:t>
            </w:r>
          </w:p>
        </w:tc>
        <w:tc>
          <w:tcPr>
            <w:tcW w:w="4474" w:type="dxa"/>
            <w:gridSpan w:val="3"/>
          </w:tcPr>
          <w:p w14:paraId="7F9BB718">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r w14:paraId="07D9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226451E6">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最近三个会计年度累计研发投入金额（元）</w:t>
            </w:r>
          </w:p>
        </w:tc>
        <w:tc>
          <w:tcPr>
            <w:tcW w:w="4474" w:type="dxa"/>
            <w:gridSpan w:val="3"/>
            <w:vAlign w:val="center"/>
          </w:tcPr>
          <w:p w14:paraId="54DE4A6A">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F</w:t>
            </w:r>
          </w:p>
        </w:tc>
      </w:tr>
      <w:tr w14:paraId="41BF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39532584">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最近三个会计年度累计研发投入金额是否在3亿元以上</w:t>
            </w:r>
          </w:p>
        </w:tc>
        <w:tc>
          <w:tcPr>
            <w:tcW w:w="4474" w:type="dxa"/>
            <w:gridSpan w:val="3"/>
          </w:tcPr>
          <w:p w14:paraId="7A491C9E">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r w14:paraId="3DC7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5F777EA3">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最近三个会计年度累计营业收入（元）</w:t>
            </w:r>
          </w:p>
        </w:tc>
        <w:tc>
          <w:tcPr>
            <w:tcW w:w="4474" w:type="dxa"/>
            <w:gridSpan w:val="3"/>
          </w:tcPr>
          <w:p w14:paraId="59707C20">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G</w:t>
            </w:r>
          </w:p>
        </w:tc>
      </w:tr>
      <w:tr w14:paraId="2801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28C5DEB6">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最近三个会计年度累计研发投入占累计营业收入比例</w:t>
            </w:r>
            <w:r>
              <w:rPr>
                <w:rFonts w:hint="eastAsia" w:ascii="Times New Roman" w:hAnsi="Times New Roman" w:eastAsia="仿宋_GB2312"/>
                <w:color w:val="000000"/>
                <w:kern w:val="0"/>
                <w:szCs w:val="21"/>
              </w:rPr>
              <w:t>（%）</w:t>
            </w:r>
          </w:p>
        </w:tc>
        <w:tc>
          <w:tcPr>
            <w:tcW w:w="4474" w:type="dxa"/>
            <w:gridSpan w:val="3"/>
          </w:tcPr>
          <w:p w14:paraId="03E2DCC9">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H=F/G</w:t>
            </w:r>
          </w:p>
        </w:tc>
      </w:tr>
      <w:tr w14:paraId="3ECE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65BA5582">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最近三个会计年度累计研发投入占累计营业收入比例</w:t>
            </w:r>
            <w:r>
              <w:rPr>
                <w:rFonts w:hint="eastAsia" w:ascii="Times New Roman" w:hAnsi="Times New Roman" w:eastAsia="仿宋_GB2312"/>
                <w:color w:val="000000"/>
                <w:kern w:val="0"/>
                <w:szCs w:val="21"/>
              </w:rPr>
              <w:t>（H）是否</w:t>
            </w:r>
            <w:r>
              <w:rPr>
                <w:rFonts w:ascii="Times New Roman" w:hAnsi="Times New Roman" w:eastAsia="仿宋_GB2312"/>
                <w:color w:val="000000"/>
                <w:kern w:val="0"/>
                <w:szCs w:val="21"/>
              </w:rPr>
              <w:t>在15%以上</w:t>
            </w:r>
          </w:p>
        </w:tc>
        <w:tc>
          <w:tcPr>
            <w:tcW w:w="4474" w:type="dxa"/>
            <w:gridSpan w:val="3"/>
          </w:tcPr>
          <w:p w14:paraId="4D65C2ED">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r w14:paraId="68F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5BC41C55">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是否触及《科创板股票上市规则》第12.9.1条第一款第（八）项规定的可能被实施其他风险警示的情形</w:t>
            </w:r>
          </w:p>
        </w:tc>
        <w:tc>
          <w:tcPr>
            <w:tcW w:w="4474" w:type="dxa"/>
            <w:gridSpan w:val="3"/>
          </w:tcPr>
          <w:p w14:paraId="1FDDAFA5">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bl>
    <w:p w14:paraId="322A59F8">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注：</w:t>
      </w:r>
    </w:p>
    <w:p w14:paraId="688F33F4">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1.填报上述指标时，净利润为负值的年份包括在内。如公司上市未满三个完整会计年度，仅需填报上市后数据。</w:t>
      </w:r>
    </w:p>
    <w:p w14:paraId="396498F6">
      <w:pPr>
        <w:autoSpaceDE w:val="0"/>
        <w:autoSpaceDN w:val="0"/>
        <w:adjustRightInd w:val="0"/>
        <w:snapToGrid w:val="0"/>
        <w:spacing w:line="560" w:lineRule="exact"/>
        <w:ind w:firstLine="42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Cs w:val="21"/>
        </w:rPr>
        <w:t>2.回购注销是指上市公司采用集中竞价、要约方式实施回购股份并完成注销的金额。</w:t>
      </w:r>
      <w:r>
        <w:rPr>
          <w:rFonts w:hint="eastAsia" w:ascii="仿宋_GB2312" w:eastAsia="仿宋_GB2312"/>
          <w:szCs w:val="21"/>
        </w:rPr>
        <w:t>公司已明确用于回购并注销金额的，需提供相关确认依据；公司未明确用于回购并注销金额的，</w:t>
      </w:r>
      <w:r>
        <w:rPr>
          <w:rFonts w:hint="eastAsia" w:ascii="Times New Roman" w:hAnsi="Times New Roman" w:eastAsia="仿宋_GB2312"/>
          <w:color w:val="000000"/>
          <w:kern w:val="0"/>
          <w:szCs w:val="21"/>
        </w:rPr>
        <w:t>回购并注销金额计算方式为：已回购资金总额</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已回购股份数量×本会计年度内注销股数；回购注销完成时点，以公司公告披露的股份注销日期为准。</w:t>
      </w:r>
    </w:p>
    <w:p w14:paraId="372F68B7">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14:paraId="5C6B5736">
      <w:pPr>
        <w:widowControl/>
        <w:spacing w:line="560" w:lineRule="exact"/>
        <w:ind w:firstLine="480" w:firstLineChars="200"/>
        <w:rPr>
          <w:rFonts w:ascii="楷体" w:hAnsi="楷体" w:eastAsia="楷体"/>
          <w:sz w:val="24"/>
        </w:rPr>
      </w:pPr>
      <w:r>
        <w:rPr>
          <w:rFonts w:hint="eastAsia" w:ascii="楷体" w:hAnsi="楷体" w:eastAsia="楷体"/>
          <w:sz w:val="24"/>
        </w:rPr>
        <w:t>1.涉及可转债、股份回购、股权激励、重大资产重组的上市公司，如因股本变动导致利润分配（转增）总额或者每股分配（转增）比例发生变化的，应当根据实际情况及时披露相关进展。</w:t>
      </w:r>
    </w:p>
    <w:p w14:paraId="14CAB128">
      <w:pPr>
        <w:widowControl/>
        <w:spacing w:line="560" w:lineRule="exact"/>
        <w:ind w:firstLine="480" w:firstLineChars="200"/>
        <w:rPr>
          <w:rFonts w:ascii="楷体" w:hAnsi="楷体" w:eastAsia="楷体"/>
          <w:sz w:val="24"/>
        </w:rPr>
      </w:pPr>
      <w:r>
        <w:rPr>
          <w:rFonts w:hint="eastAsia" w:ascii="楷体" w:hAnsi="楷体" w:eastAsia="楷体"/>
          <w:sz w:val="24"/>
        </w:rPr>
        <w:t>2.上市公司本次利润分配及公积金转增股本方案未以总股本为基数实施或存在其他差异化安排的，应当在公告做出特别提示和说明。</w:t>
      </w:r>
    </w:p>
    <w:p w14:paraId="14588FD1">
      <w:pPr>
        <w:widowControl/>
        <w:spacing w:line="560" w:lineRule="exact"/>
        <w:ind w:firstLine="480" w:firstLineChars="200"/>
        <w:rPr>
          <w:rFonts w:ascii="楷体" w:hAnsi="楷体" w:eastAsia="楷体"/>
          <w:sz w:val="24"/>
        </w:rPr>
      </w:pPr>
      <w:r>
        <w:rPr>
          <w:rFonts w:hint="eastAsia" w:ascii="楷体" w:hAnsi="楷体" w:eastAsia="楷体"/>
          <w:sz w:val="24"/>
        </w:rPr>
        <w:t>3.本所鼓励上市公司在总股本发生变动时，选择以每股分配（转增）比例不变，调整拟分配的利润总额或拟转增的公积金总额。</w:t>
      </w:r>
    </w:p>
    <w:p w14:paraId="0B5B3D5E">
      <w:pPr>
        <w:widowControl/>
        <w:spacing w:line="560" w:lineRule="exact"/>
        <w:ind w:firstLine="480" w:firstLineChars="200"/>
        <w:rPr>
          <w:rFonts w:ascii="楷体" w:hAnsi="楷体" w:eastAsia="楷体"/>
          <w:sz w:val="24"/>
        </w:rPr>
      </w:pPr>
      <w:r>
        <w:rPr>
          <w:rFonts w:hint="eastAsia" w:ascii="楷体" w:hAnsi="楷体" w:eastAsia="楷体"/>
          <w:sz w:val="24"/>
        </w:rPr>
        <w:t>4.</w:t>
      </w:r>
      <w:r>
        <w:rPr>
          <w:rFonts w:ascii="Times New Roman" w:hAnsi="Times New Roman" w:eastAsia="楷体"/>
          <w:color w:val="000000"/>
          <w:kern w:val="0"/>
          <w:sz w:val="24"/>
          <w:szCs w:val="24"/>
        </w:rPr>
        <w:t>上市公司在确定</w:t>
      </w:r>
      <w:r>
        <w:rPr>
          <w:rFonts w:hint="eastAsia" w:ascii="Times New Roman" w:hAnsi="Times New Roman" w:eastAsia="楷体"/>
          <w:color w:val="000000"/>
          <w:kern w:val="0"/>
          <w:sz w:val="24"/>
          <w:szCs w:val="24"/>
        </w:rPr>
        <w:t>能否实施利润分配</w:t>
      </w:r>
      <w:r>
        <w:rPr>
          <w:rFonts w:ascii="Times New Roman" w:hAnsi="Times New Roman" w:eastAsia="楷体"/>
          <w:color w:val="000000"/>
          <w:kern w:val="0"/>
          <w:sz w:val="24"/>
          <w:szCs w:val="24"/>
        </w:rPr>
        <w:t>时应当以母公司报表</w:t>
      </w:r>
      <w:r>
        <w:rPr>
          <w:rFonts w:hint="eastAsia" w:ascii="Times New Roman" w:hAnsi="Times New Roman" w:eastAsia="楷体"/>
          <w:color w:val="000000"/>
          <w:kern w:val="0"/>
          <w:sz w:val="24"/>
          <w:szCs w:val="24"/>
        </w:rPr>
        <w:t>期末未分配利润</w:t>
      </w:r>
      <w:r>
        <w:rPr>
          <w:rFonts w:ascii="Times New Roman" w:hAnsi="Times New Roman" w:eastAsia="楷体"/>
          <w:color w:val="000000"/>
          <w:kern w:val="0"/>
          <w:sz w:val="24"/>
          <w:szCs w:val="24"/>
        </w:rPr>
        <w:t>为基础，计算所涉及的分红比例时应当以合并报表</w:t>
      </w:r>
      <w:r>
        <w:rPr>
          <w:rFonts w:hint="eastAsia" w:ascii="Times New Roman" w:hAnsi="Times New Roman" w:eastAsia="楷体"/>
          <w:color w:val="000000"/>
          <w:kern w:val="0"/>
          <w:sz w:val="24"/>
          <w:szCs w:val="24"/>
        </w:rPr>
        <w:t>归属于上市公司股东净利润</w:t>
      </w:r>
      <w:r>
        <w:rPr>
          <w:rFonts w:ascii="Times New Roman" w:hAnsi="Times New Roman" w:eastAsia="楷体"/>
          <w:color w:val="000000"/>
          <w:kern w:val="0"/>
          <w:sz w:val="24"/>
          <w:szCs w:val="24"/>
        </w:rPr>
        <w:t>为基础。</w:t>
      </w:r>
    </w:p>
    <w:p w14:paraId="1C4F24EB">
      <w:pPr>
        <w:widowControl/>
        <w:spacing w:line="560" w:lineRule="exact"/>
        <w:ind w:firstLine="480" w:firstLineChars="200"/>
        <w:rPr>
          <w:rFonts w:ascii="楷体" w:hAnsi="楷体" w:eastAsia="楷体"/>
          <w:sz w:val="24"/>
        </w:rPr>
      </w:pPr>
      <w:r>
        <w:rPr>
          <w:rFonts w:hint="eastAsia" w:ascii="楷体" w:hAnsi="楷体" w:eastAsia="楷体"/>
          <w:sz w:val="24"/>
        </w:rPr>
        <w:t>5.上市公司最近一个会计年度净利润为正值且母公司报表年度末未分配利润为正值的公司，其最近三个会计年度累计现金分红总额低于最近三个会计年度年均净利润的30%，且最近三个会计年度累计现金分红金额低于3000万元，本所对其股票实施其他风险警示。但最近三个会计年度累计研发投入占累计营业收入比例在15%以上或最近三个会计年度累计研发投入金额在3亿元以上的除外。</w:t>
      </w:r>
    </w:p>
    <w:p w14:paraId="09ADA1F1">
      <w:pPr>
        <w:widowControl/>
        <w:spacing w:line="560" w:lineRule="exact"/>
        <w:ind w:firstLine="480" w:firstLineChars="200"/>
        <w:rPr>
          <w:rFonts w:ascii="楷体" w:hAnsi="楷体" w:eastAsia="楷体"/>
          <w:sz w:val="24"/>
        </w:rPr>
      </w:pPr>
      <w:r>
        <w:rPr>
          <w:rFonts w:hint="eastAsia" w:ascii="楷体" w:hAnsi="楷体" w:eastAsia="楷体"/>
          <w:sz w:val="24"/>
        </w:rPr>
        <w:t>公司上市不满三个完整会计年度的，前款所称最近三个会计年度以公司上市后的首个完整会计年度作为首个起算年度。</w:t>
      </w:r>
    </w:p>
    <w:p w14:paraId="4D667EC4">
      <w:pPr>
        <w:widowControl/>
        <w:spacing w:line="560" w:lineRule="exact"/>
        <w:ind w:firstLine="480" w:firstLineChars="200"/>
        <w:rPr>
          <w:rFonts w:ascii="楷体" w:hAnsi="楷体" w:eastAsia="楷体"/>
          <w:sz w:val="24"/>
        </w:rPr>
      </w:pPr>
      <w:r>
        <w:rPr>
          <w:rFonts w:hint="eastAsia" w:ascii="楷体" w:hAnsi="楷体" w:eastAsia="楷体"/>
          <w:sz w:val="24"/>
        </w:rPr>
        <w:t>公司将最近一个会计年度母公司报表未分配利润全部分配后，仍出现第一款所述情形的，本所不对其公司股票实施其他风险警示。</w:t>
      </w:r>
    </w:p>
    <w:p w14:paraId="4697C7C3">
      <w:pPr>
        <w:widowControl/>
        <w:spacing w:line="560" w:lineRule="exact"/>
        <w:ind w:firstLine="480" w:firstLineChars="200"/>
        <w:rPr>
          <w:rFonts w:ascii="楷体" w:hAnsi="楷体" w:eastAsia="楷体"/>
          <w:sz w:val="24"/>
        </w:rPr>
      </w:pPr>
      <w:r>
        <w:rPr>
          <w:rFonts w:hint="eastAsia" w:ascii="楷体" w:hAnsi="楷体" w:eastAsia="楷体"/>
          <w:sz w:val="24"/>
        </w:rPr>
        <w:t>上市公司以现金为对价，采用要约方式、集中竞价方式回购股份并注销的，纳入本条第一款所称现金分红金额。</w:t>
      </w:r>
    </w:p>
    <w:p w14:paraId="44AF7A41">
      <w:pPr>
        <w:widowControl/>
        <w:spacing w:line="560" w:lineRule="exact"/>
        <w:ind w:firstLine="480" w:firstLineChars="200"/>
        <w:rPr>
          <w:rFonts w:ascii="楷体" w:hAnsi="楷体" w:eastAsia="楷体"/>
          <w:sz w:val="24"/>
        </w:rPr>
      </w:pPr>
      <w:r>
        <w:rPr>
          <w:rFonts w:hint="eastAsia" w:ascii="楷体" w:hAnsi="楷体" w:eastAsia="楷体"/>
          <w:sz w:val="24"/>
        </w:rPr>
        <w:t>6.</w:t>
      </w:r>
      <w:r>
        <w:rPr>
          <w:rFonts w:hint="eastAsia" w:ascii="Times New Roman" w:hAnsi="Times New Roman" w:eastAsia="楷体"/>
          <w:color w:val="000000"/>
          <w:kern w:val="0"/>
          <w:sz w:val="24"/>
          <w:szCs w:val="24"/>
        </w:rPr>
        <w:t>上市公司董事会审议通过的年度利润分配方案实施后，公司可能出现上述第5点规定情形的，应当在年度利润分配方案披露的同时，披露公司股票可能被实施其他风险警示的风险提示公告，并在相应</w:t>
      </w:r>
      <w:r>
        <w:rPr>
          <w:rFonts w:hint="eastAsia" w:ascii="Times New Roman" w:hAnsi="Times New Roman" w:eastAsia="楷体"/>
          <w:color w:val="000000"/>
          <w:kern w:val="0"/>
          <w:sz w:val="24"/>
          <w:szCs w:val="24"/>
          <w:lang w:eastAsia="zh-CN"/>
        </w:rPr>
        <w:t>股东会</w:t>
      </w:r>
      <w:r>
        <w:rPr>
          <w:rFonts w:hint="eastAsia" w:ascii="Times New Roman" w:hAnsi="Times New Roman" w:eastAsia="楷体"/>
          <w:color w:val="000000"/>
          <w:kern w:val="0"/>
          <w:sz w:val="24"/>
          <w:szCs w:val="24"/>
        </w:rPr>
        <w:t>审议通过年度利润分配方案之日，披露公司股票交易被实施其他风险警示公告。公司</w:t>
      </w:r>
      <w:r>
        <w:rPr>
          <w:rFonts w:hint="eastAsia" w:ascii="Times New Roman" w:hAnsi="Times New Roman" w:eastAsia="楷体"/>
          <w:color w:val="000000"/>
          <w:kern w:val="0"/>
          <w:sz w:val="24"/>
          <w:szCs w:val="24"/>
          <w:lang w:eastAsia="zh-CN"/>
        </w:rPr>
        <w:t>股东会</w:t>
      </w:r>
      <w:r>
        <w:rPr>
          <w:rFonts w:hint="eastAsia" w:ascii="Times New Roman" w:hAnsi="Times New Roman" w:eastAsia="楷体"/>
          <w:color w:val="000000"/>
          <w:kern w:val="0"/>
          <w:sz w:val="24"/>
          <w:szCs w:val="24"/>
        </w:rPr>
        <w:t>如未及时审议通过有效的年度利润分配方案，导致公司直至当年6月30日仍触及《科创板股票上市规则》第12.9.1条第一款第（八）项规定情形的</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公司应当及时披露相关公告</w:t>
      </w:r>
      <w:r>
        <w:rPr>
          <w:rFonts w:hint="eastAsia" w:ascii="Times New Roman" w:hAnsi="Times New Roman" w:eastAsia="楷体"/>
          <w:color w:val="000000"/>
          <w:kern w:val="0"/>
          <w:sz w:val="24"/>
          <w:szCs w:val="24"/>
          <w:lang w:eastAsia="zh-CN"/>
        </w:rPr>
        <w:t>，</w:t>
      </w:r>
      <w:r>
        <w:rPr>
          <w:rFonts w:hint="eastAsia" w:ascii="Times New Roman" w:hAnsi="Times New Roman" w:eastAsia="楷体"/>
          <w:color w:val="000000"/>
          <w:kern w:val="0"/>
          <w:sz w:val="24"/>
          <w:szCs w:val="24"/>
        </w:rPr>
        <w:t>本所将根据实际情况对公司股票实施其他风险警示。</w:t>
      </w:r>
      <w:r>
        <w:rPr>
          <w:rFonts w:hint="eastAsia" w:ascii="楷体" w:hAnsi="楷体" w:eastAsia="楷体"/>
          <w:sz w:val="24"/>
        </w:rPr>
        <w:t>）</w:t>
      </w:r>
    </w:p>
    <w:p w14:paraId="034F19B9">
      <w:pPr>
        <w:widowControl/>
        <w:spacing w:line="560" w:lineRule="exact"/>
        <w:ind w:firstLine="480" w:firstLineChars="200"/>
        <w:rPr>
          <w:rFonts w:ascii="楷体" w:hAnsi="楷体" w:eastAsia="楷体"/>
          <w:sz w:val="24"/>
        </w:rPr>
      </w:pPr>
    </w:p>
    <w:p w14:paraId="4285CA06">
      <w:pPr>
        <w:widowControl/>
        <w:spacing w:line="560" w:lineRule="exact"/>
        <w:ind w:firstLine="643" w:firstLineChars="200"/>
        <w:outlineLvl w:val="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二、本年度现金分红比例低于30%的情况说明（如适用）</w:t>
      </w:r>
    </w:p>
    <w:p w14:paraId="1B921F1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报告期内，上市公司实现归属于上市公司股东的净利润X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元，拟分配的现金红利总额（包括中期已分配的现金红利，以及</w:t>
      </w:r>
      <w:r>
        <w:rPr>
          <w:rFonts w:hint="eastAsia" w:ascii="仿宋_GB2312" w:hAnsi="微软雅黑" w:eastAsia="仿宋_GB2312"/>
          <w:sz w:val="30"/>
          <w:szCs w:val="30"/>
        </w:rPr>
        <w:t>以现金为对价，</w:t>
      </w:r>
      <w:r>
        <w:rPr>
          <w:rFonts w:hint="eastAsia" w:ascii="仿宋_GB2312" w:hAnsi="宋体" w:eastAsia="仿宋_GB2312" w:cs="宋体"/>
          <w:color w:val="000000"/>
          <w:kern w:val="0"/>
          <w:sz w:val="30"/>
          <w:szCs w:val="30"/>
        </w:rPr>
        <w:t>当年</w:t>
      </w:r>
      <w:r>
        <w:rPr>
          <w:rFonts w:hint="eastAsia" w:ascii="仿宋_GB2312" w:hAnsi="微软雅黑" w:eastAsia="仿宋_GB2312"/>
          <w:sz w:val="30"/>
          <w:szCs w:val="30"/>
        </w:rPr>
        <w:t>采用集中竞价方式、要约方式当年已实施的股份回购金额</w:t>
      </w:r>
      <w:r>
        <w:rPr>
          <w:rFonts w:hint="eastAsia" w:ascii="仿宋_GB2312" w:hAnsi="宋体" w:eastAsia="仿宋_GB2312" w:cs="宋体"/>
          <w:color w:val="000000"/>
          <w:kern w:val="0"/>
          <w:sz w:val="30"/>
          <w:szCs w:val="30"/>
        </w:rPr>
        <w:t>）为X</w:t>
      </w:r>
      <w:r>
        <w:rPr>
          <w:rFonts w:ascii="仿宋_GB2312" w:hAnsi="宋体" w:eastAsia="仿宋_GB2312" w:cs="宋体"/>
          <w:color w:val="000000"/>
          <w:kern w:val="0"/>
          <w:sz w:val="30"/>
          <w:szCs w:val="30"/>
        </w:rPr>
        <w:t>X</w:t>
      </w:r>
      <w:r>
        <w:rPr>
          <w:rFonts w:hint="eastAsia" w:ascii="仿宋_GB2312" w:hAnsi="宋体" w:eastAsia="仿宋_GB2312" w:cs="宋体"/>
          <w:color w:val="000000"/>
          <w:kern w:val="0"/>
          <w:sz w:val="30"/>
          <w:szCs w:val="30"/>
        </w:rPr>
        <w:t>元，占本年度归属于上市公司股东的净利润比例低于30%，具体原因分项说明如下。</w:t>
      </w:r>
    </w:p>
    <w:p w14:paraId="0B932BB0">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（一）上市公司所处行业及其特点、发展阶段、自身经营模式、盈利水平、偿债能力及资金需求；</w:t>
      </w:r>
    </w:p>
    <w:p w14:paraId="6782D87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（二）上市公司留存未分配利润的预计用途以及收益情况；</w:t>
      </w:r>
    </w:p>
    <w:p w14:paraId="37DCD03C">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（三）公司是否按照中国证监会相关规定为中小股东参与现金分红决策提供了便利；</w:t>
      </w:r>
    </w:p>
    <w:p w14:paraId="0C60FAF9">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宋体" w:eastAsia="仿宋_GB2312" w:cs="宋体"/>
          <w:color w:val="000000"/>
          <w:kern w:val="0"/>
          <w:sz w:val="30"/>
          <w:szCs w:val="30"/>
        </w:rPr>
        <w:t>（四）</w:t>
      </w:r>
      <w:r>
        <w:rPr>
          <w:rFonts w:hint="eastAsia" w:ascii="仿宋_GB2312" w:hAnsi="Times New Roman" w:eastAsia="仿宋_GB2312"/>
          <w:color w:val="000000"/>
          <w:kern w:val="0"/>
          <w:sz w:val="30"/>
          <w:szCs w:val="30"/>
        </w:rPr>
        <w:t>公司为增强投资者回报水平拟采取的措施。</w:t>
      </w:r>
    </w:p>
    <w:p w14:paraId="46ECD43C">
      <w:pPr>
        <w:widowControl/>
        <w:spacing w:line="560" w:lineRule="exact"/>
        <w:ind w:firstLine="480" w:firstLineChars="200"/>
        <w:rPr>
          <w:rFonts w:ascii="楷体" w:hAnsi="楷体" w:eastAsia="楷体"/>
          <w:sz w:val="24"/>
        </w:rPr>
      </w:pPr>
      <w:r>
        <w:rPr>
          <w:rFonts w:hint="eastAsia" w:ascii="楷体" w:hAnsi="楷体" w:eastAsia="楷体"/>
          <w:sz w:val="24"/>
        </w:rPr>
        <w:t>（编制提醒：</w:t>
      </w:r>
    </w:p>
    <w:p w14:paraId="3FA0FB7A">
      <w:pPr>
        <w:widowControl/>
        <w:spacing w:line="560" w:lineRule="exact"/>
        <w:ind w:firstLine="480" w:firstLineChars="200"/>
        <w:rPr>
          <w:rFonts w:ascii="楷体" w:hAnsi="楷体" w:eastAsia="楷体"/>
          <w:sz w:val="24"/>
        </w:rPr>
      </w:pPr>
      <w:r>
        <w:rPr>
          <w:rFonts w:hint="eastAsia" w:ascii="楷体" w:hAnsi="楷体" w:eastAsia="楷体"/>
          <w:sz w:val="24"/>
        </w:rPr>
        <w:t>1.上市公司年度报告期内盈利且</w:t>
      </w:r>
      <w:r>
        <w:rPr>
          <w:rFonts w:hint="eastAsia" w:ascii="Times New Roman" w:hAnsi="Times New Roman" w:eastAsia="楷体"/>
          <w:color w:val="000000"/>
          <w:kern w:val="0"/>
          <w:sz w:val="24"/>
          <w:szCs w:val="24"/>
        </w:rPr>
        <w:t>母公司报表中</w:t>
      </w:r>
      <w:r>
        <w:rPr>
          <w:rFonts w:hint="eastAsia" w:ascii="楷体" w:hAnsi="楷体" w:eastAsia="楷体"/>
          <w:sz w:val="24"/>
        </w:rPr>
        <w:t>未分配利润为正，未进行现金分红或拟分配的现金红利总额（包括中期已分配的现金红利）与当年归属于上市公司股东的净利润之比低于30%的，公司董事会应当就有关情况进行针对性说明。</w:t>
      </w:r>
    </w:p>
    <w:p w14:paraId="6DFDF851">
      <w:pPr>
        <w:widowControl/>
        <w:spacing w:line="560" w:lineRule="exact"/>
        <w:ind w:firstLine="480" w:firstLineChars="200"/>
        <w:rPr>
          <w:rFonts w:ascii="楷体" w:hAnsi="楷体" w:eastAsia="楷体"/>
          <w:sz w:val="24"/>
        </w:rPr>
      </w:pPr>
      <w:r>
        <w:rPr>
          <w:rFonts w:hint="eastAsia" w:ascii="楷体" w:hAnsi="楷体" w:eastAsia="楷体"/>
          <w:sz w:val="24"/>
        </w:rPr>
        <w:t>2.上市公司以现金为对价，采用集中竞价方式、要约方式回购股份的，当年已实施的股份回购金额视同现金分红，纳入该年度现金分红的相关比例计算。</w:t>
      </w:r>
    </w:p>
    <w:p w14:paraId="0C9EEAB1">
      <w:pPr>
        <w:widowControl/>
        <w:spacing w:line="560" w:lineRule="exact"/>
        <w:ind w:firstLine="360" w:firstLineChars="150"/>
        <w:rPr>
          <w:rFonts w:ascii="楷体" w:hAnsi="楷体" w:eastAsia="楷体"/>
          <w:sz w:val="24"/>
        </w:rPr>
      </w:pPr>
      <w:r>
        <w:rPr>
          <w:rFonts w:hint="eastAsia" w:ascii="楷体" w:hAnsi="楷体" w:eastAsia="楷体"/>
          <w:sz w:val="24"/>
        </w:rPr>
        <w:t>3.现金分红比例低于30%，上市公司应当在年度报告披露之后、年度</w:t>
      </w:r>
      <w:r>
        <w:rPr>
          <w:rFonts w:hint="eastAsia" w:ascii="楷体" w:hAnsi="楷体" w:eastAsia="楷体"/>
          <w:sz w:val="24"/>
          <w:lang w:eastAsia="zh-CN"/>
        </w:rPr>
        <w:t>股东会</w:t>
      </w:r>
      <w:r>
        <w:rPr>
          <w:rFonts w:hint="eastAsia" w:ascii="楷体" w:hAnsi="楷体" w:eastAsia="楷体"/>
          <w:sz w:val="24"/>
        </w:rPr>
        <w:t>股权登记日之前，召开上市公司业绩说明会，就相关事项与媒体、股东特别是持有上市公司股份的机构投资者、中小股东进行沟通和交流，及时答复媒体和股东关心的问题。）</w:t>
      </w:r>
    </w:p>
    <w:p w14:paraId="61DDA543">
      <w:pPr>
        <w:widowControl/>
        <w:spacing w:line="560" w:lineRule="exact"/>
        <w:ind w:firstLine="450" w:firstLineChars="150"/>
        <w:rPr>
          <w:rFonts w:ascii="仿宋_GB2312" w:hAnsi="Times New Roman" w:eastAsia="仿宋_GB2312"/>
          <w:color w:val="000000"/>
          <w:kern w:val="0"/>
          <w:sz w:val="30"/>
          <w:szCs w:val="30"/>
        </w:rPr>
      </w:pPr>
    </w:p>
    <w:p w14:paraId="22F7E64B">
      <w:pPr>
        <w:autoSpaceDE w:val="0"/>
        <w:autoSpaceDN w:val="0"/>
        <w:adjustRightInd w:val="0"/>
        <w:snapToGrid w:val="0"/>
        <w:spacing w:line="560" w:lineRule="exact"/>
        <w:ind w:firstLine="602" w:firstLineChars="200"/>
        <w:rPr>
          <w:rFonts w:ascii="黑体" w:hAnsi="黑体" w:eastAsia="黑体"/>
          <w:color w:val="000000"/>
          <w:kern w:val="0"/>
          <w:sz w:val="30"/>
          <w:szCs w:val="30"/>
        </w:rPr>
      </w:pPr>
      <w:r>
        <w:rPr>
          <w:rFonts w:hint="eastAsia" w:ascii="黑体" w:hAnsi="黑体" w:eastAsia="黑体"/>
          <w:b/>
          <w:color w:val="000000"/>
          <w:kern w:val="0"/>
          <w:sz w:val="30"/>
          <w:szCs w:val="30"/>
        </w:rPr>
        <w:t>三、</w:t>
      </w:r>
      <w:r>
        <w:rPr>
          <w:rFonts w:hint="eastAsia" w:ascii="黑体" w:hAnsi="黑体" w:eastAsia="黑体"/>
          <w:b/>
          <w:sz w:val="30"/>
          <w:szCs w:val="30"/>
        </w:rPr>
        <w:t>上市公司母公司报表未分配利润为负但合并报表未分配利润为正的情况（适用于年度分红方案）</w:t>
      </w:r>
    </w:p>
    <w:p w14:paraId="509B4E72">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上市公司母公司报表中期末未分配利润为X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元，合并报表中期末未分配利润为X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元，报告期内，上市公司控股子公司向上市公司母公司实施利润分配XX元。说明母公司未分配利润为负但合并报表未分配利润为正的原因，及公司为增强投资者回报水平拟采取的措施。</w:t>
      </w:r>
    </w:p>
    <w:p w14:paraId="77DC585D">
      <w:pPr>
        <w:widowControl/>
        <w:spacing w:line="560" w:lineRule="exact"/>
        <w:ind w:firstLine="480" w:firstLineChars="200"/>
        <w:rPr>
          <w:rFonts w:ascii="楷体" w:hAnsi="楷体" w:eastAsia="楷体"/>
          <w:sz w:val="24"/>
        </w:rPr>
      </w:pPr>
      <w:r>
        <w:rPr>
          <w:rFonts w:hint="eastAsia" w:ascii="楷体" w:hAnsi="楷体" w:eastAsia="楷体"/>
          <w:sz w:val="24"/>
        </w:rPr>
        <w:t>（编制提醒：</w:t>
      </w:r>
      <w:r>
        <w:rPr>
          <w:rFonts w:hint="eastAsia" w:ascii="Times New Roman" w:hAnsi="Times New Roman" w:eastAsia="楷体"/>
          <w:color w:val="000000"/>
          <w:kern w:val="0"/>
          <w:sz w:val="24"/>
          <w:szCs w:val="24"/>
        </w:rPr>
        <w:t>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r>
        <w:rPr>
          <w:rFonts w:hint="eastAsia" w:ascii="楷体" w:hAnsi="楷体" w:eastAsia="楷体"/>
          <w:sz w:val="24"/>
        </w:rPr>
        <w:t>）</w:t>
      </w:r>
    </w:p>
    <w:p w14:paraId="01C7221D">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14:paraId="0E46C8DC">
      <w:pPr>
        <w:numPr>
          <w:ilvl w:val="0"/>
          <w:numId w:val="3"/>
        </w:num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最近连续两个会计年度交易性金融资产等科目金额合计占总资产的</w:t>
      </w:r>
      <w:r>
        <w:rPr>
          <w:rFonts w:ascii="Times New Roman" w:hAnsi="Times New Roman" w:eastAsia="黑体"/>
          <w:b/>
          <w:sz w:val="30"/>
          <w:szCs w:val="30"/>
        </w:rPr>
        <w:t>50%</w:t>
      </w:r>
      <w:r>
        <w:rPr>
          <w:rFonts w:hint="eastAsia" w:ascii="Times New Roman" w:hAnsi="Times New Roman" w:eastAsia="黑体"/>
          <w:b/>
          <w:sz w:val="30"/>
          <w:szCs w:val="30"/>
        </w:rPr>
        <w:t>以上但分红比例低于</w:t>
      </w:r>
      <w:r>
        <w:rPr>
          <w:rFonts w:ascii="Times New Roman" w:hAnsi="Times New Roman" w:eastAsia="黑体"/>
          <w:b/>
          <w:sz w:val="30"/>
          <w:szCs w:val="30"/>
        </w:rPr>
        <w:t>50%</w:t>
      </w:r>
      <w:r>
        <w:rPr>
          <w:rFonts w:hint="eastAsia" w:ascii="Times New Roman" w:hAnsi="Times New Roman" w:eastAsia="黑体"/>
          <w:b/>
          <w:sz w:val="30"/>
          <w:szCs w:val="30"/>
        </w:rPr>
        <w:t>的情况说明（适用于年度分红方案）</w:t>
      </w:r>
    </w:p>
    <w:p w14:paraId="6CDCCB7A">
      <w:pPr>
        <w:numPr>
          <w:ilvl w:val="255"/>
          <w:numId w:val="0"/>
        </w:num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公司报告期内</w:t>
      </w:r>
      <w:r>
        <w:rPr>
          <w:rFonts w:hint="eastAsia" w:ascii="仿宋_GB2312" w:hAnsi="Times New Roman" w:eastAsia="仿宋_GB2312"/>
          <w:color w:val="000000"/>
          <w:kern w:val="0"/>
          <w:sz w:val="30"/>
          <w:szCs w:val="30"/>
        </w:rPr>
        <w:t>实现归属于上市公司股东的净利润XX元，母公司期末未分配利润XX元</w:t>
      </w:r>
      <w:r>
        <w:rPr>
          <w:rFonts w:hint="eastAsia" w:ascii="Times New Roman" w:hAnsi="Times New Roman" w:eastAsia="仿宋_GB2312"/>
          <w:color w:val="000000"/>
          <w:kern w:val="0"/>
          <w:sz w:val="30"/>
          <w:szCs w:val="30"/>
        </w:rPr>
        <w:t>，</w:t>
      </w:r>
      <w:r>
        <w:rPr>
          <w:rFonts w:hint="eastAsia" w:ascii="仿宋_GB2312" w:hAnsi="Times New Roman" w:eastAsia="仿宋_GB2312"/>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%，均达到5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原因如下。</w:t>
      </w:r>
    </w:p>
    <w:p w14:paraId="0C2DA69D">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（一）现金分红比例确定的依据；</w:t>
      </w:r>
    </w:p>
    <w:p w14:paraId="11EA2B22">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（二）</w:t>
      </w:r>
      <w:r>
        <w:rPr>
          <w:rFonts w:ascii="仿宋_GB2312" w:hAnsi="Times New Roman" w:eastAsia="仿宋_GB2312"/>
          <w:color w:val="000000"/>
          <w:kern w:val="0"/>
          <w:sz w:val="30"/>
          <w:szCs w:val="30"/>
        </w:rPr>
        <w:t>未来增强投资者回报的规划</w:t>
      </w:r>
      <w:r>
        <w:rPr>
          <w:rFonts w:hint="eastAsia" w:ascii="仿宋_GB2312" w:hAnsi="Times New Roman" w:eastAsia="仿宋_GB2312"/>
          <w:color w:val="000000"/>
          <w:kern w:val="0"/>
          <w:sz w:val="30"/>
          <w:szCs w:val="30"/>
        </w:rPr>
        <w:t>。</w:t>
      </w:r>
    </w:p>
    <w:p w14:paraId="7B376649">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14:paraId="44D42164">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五、现金分红方案合理性的情况说明（如适用）</w:t>
      </w:r>
    </w:p>
    <w:p w14:paraId="79D36FE3">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情形一：</w:t>
      </w:r>
    </w:p>
    <w:p w14:paraId="51E7BD69">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报告期内，公司现金分红总额X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元，占当期归属于上市公司股东净利润的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，达到1</w:t>
      </w:r>
      <w:r>
        <w:rPr>
          <w:rFonts w:ascii="仿宋_GB2312" w:hAnsi="Times New Roman" w:eastAsia="仿宋_GB2312"/>
          <w:color w:val="000000"/>
          <w:kern w:val="0"/>
          <w:sz w:val="30"/>
          <w:szCs w:val="30"/>
        </w:rPr>
        <w:t>00%</w:t>
      </w:r>
      <w:r>
        <w:rPr>
          <w:rFonts w:hint="eastAsia" w:ascii="仿宋_GB2312" w:hAnsi="Times New Roman" w:eastAsia="仿宋_GB2312"/>
          <w:color w:val="000000"/>
          <w:kern w:val="0"/>
          <w:sz w:val="30"/>
          <w:szCs w:val="30"/>
        </w:rPr>
        <w:t>以上；占期末母公司报表中未分配利润的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%以上。说明如下：利润分配是否影响公司偿债能力，过去十二个月内是否使用过募集资金补充流动资金以及未来十二个月是否计划使用募集资金补充流动资金。</w:t>
      </w:r>
    </w:p>
    <w:p w14:paraId="46F786E9">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上市公司利润分配方案中现金分红的金额达到或者超过当期归属于上市公司股东净利润的</w:t>
      </w:r>
      <w:r>
        <w:rPr>
          <w:rFonts w:ascii="Times New Roman" w:hAnsi="Times New Roman" w:eastAsia="楷体"/>
          <w:color w:val="000000"/>
          <w:kern w:val="0"/>
          <w:sz w:val="24"/>
          <w:szCs w:val="24"/>
        </w:rPr>
        <w:t>100%</w:t>
      </w:r>
      <w:r>
        <w:rPr>
          <w:rFonts w:hint="eastAsia" w:ascii="Times New Roman" w:hAnsi="Times New Roman" w:eastAsia="楷体"/>
          <w:color w:val="000000"/>
          <w:kern w:val="0"/>
          <w:sz w:val="24"/>
          <w:szCs w:val="24"/>
        </w:rPr>
        <w:t>，且达到或者超过当期末母公司报表中未分配利润的</w:t>
      </w:r>
      <w:r>
        <w:rPr>
          <w:rFonts w:ascii="Times New Roman" w:hAnsi="Times New Roman" w:eastAsia="楷体"/>
          <w:color w:val="000000"/>
          <w:kern w:val="0"/>
          <w:sz w:val="24"/>
          <w:szCs w:val="24"/>
        </w:rPr>
        <w:t>50%</w:t>
      </w:r>
      <w:r>
        <w:rPr>
          <w:rFonts w:hint="eastAsia" w:ascii="Times New Roman" w:hAnsi="Times New Roman" w:eastAsia="楷体"/>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14:paraId="40A732D5">
      <w:pPr>
        <w:autoSpaceDE w:val="0"/>
        <w:autoSpaceDN w:val="0"/>
        <w:adjustRightInd w:val="0"/>
        <w:snapToGrid w:val="0"/>
        <w:spacing w:line="560" w:lineRule="exact"/>
        <w:ind w:firstLine="750" w:firstLineChars="25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情形二：</w:t>
      </w:r>
    </w:p>
    <w:p w14:paraId="75613F61">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报告期末，公司资产负债率</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%，一年内到期的债务X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元，账面货币资金X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元，一年内融资总额XX元，融资成本XX元，经营活动产生现金流净额XX元，公司本期利润分配预案的确定依据，会/不会导致公司营运资金不足或者影响公司正常经营。</w:t>
      </w:r>
    </w:p>
    <w:p w14:paraId="0B77E33F">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769DDBE0">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（一）最近一个会计年度的财务会计报告被出具非无保留意见的审计报告或者带与持续经营相关的重大不确定性段落的无保留意见的审计报告，且实施现金分红的；</w:t>
      </w:r>
    </w:p>
    <w:p w14:paraId="6B1D665B">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（二）报告期末资产负债率超过80%且当期经营活动产生的现金流量净额为负，现金分红金额超过当期归属于上市公司股东净利润50%的。）</w:t>
      </w:r>
    </w:p>
    <w:p w14:paraId="4D0FEF96">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14:paraId="659DE4EC">
      <w:pPr>
        <w:widowControl/>
        <w:spacing w:line="56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六、公司履行的决策程序</w:t>
      </w:r>
    </w:p>
    <w:p w14:paraId="5219AF9E">
      <w:pPr>
        <w:widowControl/>
        <w:autoSpaceDE/>
        <w:autoSpaceDN/>
        <w:adjustRightInd/>
        <w:snapToGrid/>
        <w:spacing w:line="560" w:lineRule="exact"/>
        <w:ind w:firstLine="600" w:firstLineChars="200"/>
        <w:rPr>
          <w:rFonts w:ascii="仿宋_GB2312" w:hAnsi="Times New Roman" w:eastAsia="仿宋_GB2312"/>
          <w:color w:val="000000"/>
          <w:kern w:val="0"/>
          <w:sz w:val="30"/>
          <w:szCs w:val="30"/>
        </w:rPr>
      </w:pPr>
      <w:bookmarkStart w:id="0" w:name="_GoBack"/>
      <w:bookmarkEnd w:id="0"/>
      <w:r>
        <w:rPr>
          <w:rFonts w:hint="eastAsia" w:ascii="仿宋_GB2312" w:hAnsi="Times New Roman" w:eastAsia="仿宋_GB2312"/>
          <w:color w:val="000000"/>
          <w:kern w:val="0"/>
          <w:sz w:val="30"/>
          <w:szCs w:val="30"/>
        </w:rPr>
        <w:t>公司于XX年XX月XX日召开XX年XX届XX次董事会审议通过本利润分配方案，本方案符合公司章程规定的利润分配政策和公司已披露的股东回报规划。（如不符合，披露具体原因及相关保护投资者措施）。</w:t>
      </w:r>
    </w:p>
    <w:p w14:paraId="24638A71">
      <w:pPr>
        <w:widowControl/>
        <w:autoSpaceDE/>
        <w:autoSpaceDN/>
        <w:adjustRightInd/>
        <w:snapToGrid/>
        <w:spacing w:line="560" w:lineRule="exact"/>
        <w:ind w:firstLine="480" w:firstLineChars="200"/>
        <w:rPr>
          <w:rFonts w:ascii="Times New Roman" w:hAnsi="Times New Roman" w:eastAsia="楷体"/>
          <w:color w:val="000000"/>
          <w:kern w:val="0"/>
          <w:sz w:val="24"/>
          <w:szCs w:val="24"/>
        </w:rPr>
      </w:pPr>
      <w:r>
        <w:rPr>
          <w:rFonts w:ascii="楷体" w:hAnsi="楷体" w:eastAsia="楷体"/>
          <w:sz w:val="24"/>
        </w:rPr>
        <w:t>（</w:t>
      </w:r>
      <w:r>
        <w:rPr>
          <w:rFonts w:hint="eastAsia" w:ascii="楷体" w:hAnsi="楷体" w:eastAsia="楷体"/>
          <w:sz w:val="24"/>
        </w:rPr>
        <w:t>编制提醒：</w:t>
      </w:r>
      <w:r>
        <w:rPr>
          <w:rFonts w:hint="eastAsia" w:ascii="Times New Roman" w:hAnsi="Times New Roman" w:eastAsia="楷体"/>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46A436D3">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14:paraId="1854E8D0">
      <w:pPr>
        <w:widowControl/>
        <w:spacing w:line="56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七、相关风险提示</w:t>
      </w:r>
    </w:p>
    <w:p w14:paraId="38617A40">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（一）现金分红对上市公司每股收益、现金流状况、生产经营的影响分析</w:t>
      </w:r>
    </w:p>
    <w:p w14:paraId="7BB5DC73">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（二）其他风险说明</w:t>
      </w:r>
    </w:p>
    <w:p w14:paraId="2400A7E4">
      <w:pPr>
        <w:widowControl/>
        <w:spacing w:line="560" w:lineRule="exact"/>
        <w:ind w:firstLine="600" w:firstLineChars="200"/>
        <w:rPr>
          <w:rFonts w:ascii="仿宋_GB2312" w:hAnsi="宋体" w:eastAsia="仿宋_GB2312" w:cs="宋体"/>
          <w:color w:val="000000"/>
          <w:kern w:val="0"/>
          <w:sz w:val="30"/>
          <w:szCs w:val="30"/>
        </w:rPr>
      </w:pPr>
    </w:p>
    <w:p w14:paraId="7EB05B3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49C21C97">
      <w:pPr>
        <w:adjustRightInd w:val="0"/>
        <w:snapToGrid w:val="0"/>
        <w:spacing w:line="560" w:lineRule="exact"/>
        <w:ind w:firstLine="480" w:firstLineChars="200"/>
        <w:rPr>
          <w:rFonts w:ascii="宋体" w:hAnsi="宋体"/>
          <w:sz w:val="24"/>
        </w:rPr>
      </w:pPr>
    </w:p>
    <w:p w14:paraId="1D3D395D">
      <w:pPr>
        <w:widowControl/>
        <w:spacing w:line="560" w:lineRule="exact"/>
        <w:ind w:firstLine="600" w:firstLineChars="200"/>
        <w:jc w:val="right"/>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134E5F91">
      <w:pPr>
        <w:pStyle w:val="6"/>
        <w:spacing w:line="560" w:lineRule="exact"/>
        <w:ind w:firstLine="750"/>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年  月  日</w:t>
      </w:r>
    </w:p>
    <w:p w14:paraId="5BE822DE">
      <w:pPr>
        <w:pStyle w:val="6"/>
        <w:spacing w:line="560" w:lineRule="exact"/>
        <w:ind w:firstLine="750"/>
        <w:jc w:val="right"/>
        <w:rPr>
          <w:rFonts w:ascii="仿宋_GB2312" w:hAnsi="宋体" w:eastAsia="仿宋_GB2312" w:cs="宋体"/>
          <w:color w:val="000000"/>
          <w:sz w:val="30"/>
          <w:szCs w:val="30"/>
        </w:rPr>
      </w:pPr>
    </w:p>
    <w:p w14:paraId="0728A8A1">
      <w:pPr>
        <w:pStyle w:val="16"/>
        <w:numPr>
          <w:ilvl w:val="0"/>
          <w:numId w:val="4"/>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rPr>
      </w:pPr>
      <w:r>
        <w:rPr>
          <w:rFonts w:hint="eastAsia" w:ascii="Times New Roman" w:hAnsi="Times New Roman" w:eastAsia="仿宋_GB2312"/>
          <w:b/>
          <w:color w:val="000000"/>
          <w:sz w:val="30"/>
          <w:szCs w:val="30"/>
        </w:rPr>
        <w:t>报备文件</w:t>
      </w:r>
    </w:p>
    <w:p w14:paraId="1B308224">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1.独立董事异议意见（如适用）</w:t>
      </w:r>
    </w:p>
    <w:p w14:paraId="3A61B753">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2.回购注销金额的相关证明文件（如适用）</w:t>
      </w:r>
    </w:p>
    <w:p w14:paraId="28BD2E60">
      <w:pPr>
        <w:pStyle w:val="6"/>
        <w:spacing w:line="560" w:lineRule="exact"/>
        <w:ind w:firstLine="750"/>
        <w:rPr>
          <w:rFonts w:ascii="仿宋_GB2312" w:hAnsi="宋体" w:eastAsia="仿宋_GB2312" w:cs="宋体"/>
          <w:color w:val="000000"/>
          <w:sz w:val="30"/>
          <w:szCs w:val="30"/>
        </w:rPr>
      </w:pPr>
    </w:p>
    <w:p w14:paraId="5377FB7E">
      <w:pPr>
        <w:pStyle w:val="6"/>
        <w:spacing w:line="560" w:lineRule="exact"/>
        <w:ind w:right="600" w:firstLine="750"/>
        <w:jc w:val="right"/>
        <w:rPr>
          <w:rFonts w:ascii="仿宋_GB2312" w:hAnsi="宋体" w:eastAsia="仿宋_GB2312" w:cs="宋体"/>
          <w:color w:val="000000"/>
          <w:sz w:val="30"/>
          <w:szCs w:val="30"/>
        </w:rPr>
      </w:pPr>
    </w:p>
    <w:p w14:paraId="3EE2C043">
      <w:pPr>
        <w:pStyle w:val="6"/>
        <w:spacing w:line="560" w:lineRule="exact"/>
        <w:ind w:firstLine="750"/>
        <w:jc w:val="right"/>
        <w:rPr>
          <w:rFonts w:ascii="仿宋_GB2312" w:hAnsi="宋体" w:eastAsia="仿宋_GB2312" w:cs="宋体"/>
          <w:color w:val="000000"/>
          <w:sz w:val="30"/>
          <w:szCs w:val="30"/>
        </w:rPr>
      </w:pPr>
    </w:p>
    <w:sectPr>
      <w:headerReference r:id="rId3" w:type="default"/>
      <w:footerReference r:id="rId4" w:type="default"/>
      <w:type w:val="continuous"/>
      <w:pgSz w:w="11906" w:h="16838"/>
      <w:pgMar w:top="1440" w:right="1800" w:bottom="1440" w:left="180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1490">
    <w:pPr>
      <w:pStyle w:val="6"/>
      <w:jc w:val="right"/>
      <w:rPr>
        <w:rFonts w:ascii="仿宋_GB2312" w:eastAsia="仿宋_GB2312"/>
        <w:bCs/>
        <w:kern w:val="2"/>
        <w:sz w:val="28"/>
      </w:rPr>
    </w:pPr>
    <w:r>
      <w:rPr>
        <w:rFonts w:hint="eastAsia" w:ascii="仿宋_GB2312" w:eastAsia="仿宋_GB2312"/>
        <w:bCs/>
        <w:kern w:val="2"/>
        <w:sz w:val="28"/>
      </w:rPr>
      <w:t>－</w:t>
    </w:r>
    <w:r>
      <w:rPr>
        <w:rFonts w:ascii="仿宋_GB2312" w:eastAsia="仿宋_GB2312"/>
        <w:bCs/>
        <w:kern w:val="2"/>
        <w:sz w:val="28"/>
      </w:rPr>
      <w:fldChar w:fldCharType="begin"/>
    </w:r>
    <w:r>
      <w:rPr>
        <w:rFonts w:ascii="仿宋_GB2312" w:eastAsia="仿宋_GB2312"/>
        <w:bCs/>
        <w:kern w:val="2"/>
        <w:sz w:val="28"/>
      </w:rPr>
      <w:instrText xml:space="preserve">PAGE   \* MERGEFORMAT</w:instrText>
    </w:r>
    <w:r>
      <w:rPr>
        <w:rFonts w:ascii="仿宋_GB2312" w:eastAsia="仿宋_GB2312"/>
        <w:bCs/>
        <w:kern w:val="2"/>
        <w:sz w:val="28"/>
      </w:rPr>
      <w:fldChar w:fldCharType="separate"/>
    </w:r>
    <w:r>
      <w:rPr>
        <w:rFonts w:ascii="仿宋_GB2312" w:eastAsia="仿宋_GB2312"/>
        <w:bCs/>
        <w:kern w:val="2"/>
        <w:sz w:val="28"/>
      </w:rPr>
      <w:t>5</w:t>
    </w:r>
    <w:r>
      <w:rPr>
        <w:rFonts w:ascii="仿宋_GB2312" w:eastAsia="仿宋_GB2312"/>
        <w:bCs/>
        <w:kern w:val="2"/>
        <w:sz w:val="28"/>
      </w:rPr>
      <w:fldChar w:fldCharType="end"/>
    </w:r>
    <w:r>
      <w:rPr>
        <w:rFonts w:hint="eastAsia" w:ascii="仿宋_GB2312" w:eastAsia="仿宋_GB2312"/>
        <w:bCs/>
        <w:kern w:val="2"/>
        <w:sz w:val="28"/>
      </w:rPr>
      <w:t>－</w:t>
    </w:r>
  </w:p>
  <w:p w14:paraId="67BCA5E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B84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A722"/>
    <w:multiLevelType w:val="singleLevel"/>
    <w:tmpl w:val="B3EFA722"/>
    <w:lvl w:ilvl="0" w:tentative="0">
      <w:start w:val="4"/>
      <w:numFmt w:val="chineseCounting"/>
      <w:suff w:val="nothing"/>
      <w:lvlText w:val="%1、"/>
      <w:lvlJc w:val="left"/>
      <w:rPr>
        <w:rFonts w:hint="eastAsia"/>
      </w:rPr>
    </w:lvl>
  </w:abstractNum>
  <w:abstractNum w:abstractNumId="1">
    <w:nsid w:val="136C48CB"/>
    <w:multiLevelType w:val="multilevel"/>
    <w:tmpl w:val="136C48C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3">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20FF"/>
    <w:rsid w:val="000121F2"/>
    <w:rsid w:val="00013615"/>
    <w:rsid w:val="000210EA"/>
    <w:rsid w:val="00022D1A"/>
    <w:rsid w:val="00024A36"/>
    <w:rsid w:val="00031A7E"/>
    <w:rsid w:val="00033C39"/>
    <w:rsid w:val="00034298"/>
    <w:rsid w:val="00035E18"/>
    <w:rsid w:val="00041A82"/>
    <w:rsid w:val="000454E7"/>
    <w:rsid w:val="0004572D"/>
    <w:rsid w:val="00046727"/>
    <w:rsid w:val="00051754"/>
    <w:rsid w:val="00051DBB"/>
    <w:rsid w:val="00052DA6"/>
    <w:rsid w:val="00057BFD"/>
    <w:rsid w:val="00062618"/>
    <w:rsid w:val="00062D4E"/>
    <w:rsid w:val="000640D6"/>
    <w:rsid w:val="00085113"/>
    <w:rsid w:val="00085BE2"/>
    <w:rsid w:val="0009061F"/>
    <w:rsid w:val="0009171C"/>
    <w:rsid w:val="000942F3"/>
    <w:rsid w:val="0009560A"/>
    <w:rsid w:val="000A3012"/>
    <w:rsid w:val="000A31AF"/>
    <w:rsid w:val="000A3CBE"/>
    <w:rsid w:val="000A70D4"/>
    <w:rsid w:val="000B1EC7"/>
    <w:rsid w:val="000B3ACE"/>
    <w:rsid w:val="000B60B1"/>
    <w:rsid w:val="000B648A"/>
    <w:rsid w:val="000B69C8"/>
    <w:rsid w:val="000B6FBA"/>
    <w:rsid w:val="000C47A6"/>
    <w:rsid w:val="000C602A"/>
    <w:rsid w:val="000C66A4"/>
    <w:rsid w:val="000C6A20"/>
    <w:rsid w:val="000D0E7E"/>
    <w:rsid w:val="000D2E62"/>
    <w:rsid w:val="000D7048"/>
    <w:rsid w:val="000D7793"/>
    <w:rsid w:val="000E18EC"/>
    <w:rsid w:val="000E1C84"/>
    <w:rsid w:val="000E413D"/>
    <w:rsid w:val="000E459E"/>
    <w:rsid w:val="000E6340"/>
    <w:rsid w:val="000E69C2"/>
    <w:rsid w:val="001026C4"/>
    <w:rsid w:val="00105CFD"/>
    <w:rsid w:val="0010688F"/>
    <w:rsid w:val="00107D25"/>
    <w:rsid w:val="0011125A"/>
    <w:rsid w:val="00121366"/>
    <w:rsid w:val="001239DD"/>
    <w:rsid w:val="00123EA8"/>
    <w:rsid w:val="00124129"/>
    <w:rsid w:val="00132067"/>
    <w:rsid w:val="0013279E"/>
    <w:rsid w:val="00132CBC"/>
    <w:rsid w:val="00135102"/>
    <w:rsid w:val="00135155"/>
    <w:rsid w:val="001429E4"/>
    <w:rsid w:val="0015442B"/>
    <w:rsid w:val="0016255E"/>
    <w:rsid w:val="00173EE0"/>
    <w:rsid w:val="00175784"/>
    <w:rsid w:val="001773A8"/>
    <w:rsid w:val="001774DC"/>
    <w:rsid w:val="0017765E"/>
    <w:rsid w:val="00181105"/>
    <w:rsid w:val="00194D89"/>
    <w:rsid w:val="001952CD"/>
    <w:rsid w:val="0019657A"/>
    <w:rsid w:val="001A0A47"/>
    <w:rsid w:val="001A2686"/>
    <w:rsid w:val="001B304E"/>
    <w:rsid w:val="001B7891"/>
    <w:rsid w:val="001C5EE0"/>
    <w:rsid w:val="001C602C"/>
    <w:rsid w:val="001D5B0F"/>
    <w:rsid w:val="001E478D"/>
    <w:rsid w:val="001E669E"/>
    <w:rsid w:val="001E72F9"/>
    <w:rsid w:val="001E793C"/>
    <w:rsid w:val="001F3585"/>
    <w:rsid w:val="001F419F"/>
    <w:rsid w:val="00204C1C"/>
    <w:rsid w:val="002061A1"/>
    <w:rsid w:val="002121CE"/>
    <w:rsid w:val="002175E6"/>
    <w:rsid w:val="00221061"/>
    <w:rsid w:val="00222FA1"/>
    <w:rsid w:val="00223CA3"/>
    <w:rsid w:val="002250F0"/>
    <w:rsid w:val="002272A2"/>
    <w:rsid w:val="00227666"/>
    <w:rsid w:val="00233727"/>
    <w:rsid w:val="00236433"/>
    <w:rsid w:val="00236B36"/>
    <w:rsid w:val="00240DEF"/>
    <w:rsid w:val="00240FFB"/>
    <w:rsid w:val="00245D55"/>
    <w:rsid w:val="0025766F"/>
    <w:rsid w:val="00261480"/>
    <w:rsid w:val="002618EA"/>
    <w:rsid w:val="002707CD"/>
    <w:rsid w:val="00274313"/>
    <w:rsid w:val="00274824"/>
    <w:rsid w:val="00284DB3"/>
    <w:rsid w:val="00285D17"/>
    <w:rsid w:val="0029121A"/>
    <w:rsid w:val="00293BFC"/>
    <w:rsid w:val="00294BEB"/>
    <w:rsid w:val="00296009"/>
    <w:rsid w:val="002A2BC1"/>
    <w:rsid w:val="002A7765"/>
    <w:rsid w:val="002B3986"/>
    <w:rsid w:val="002B425A"/>
    <w:rsid w:val="002C0BC9"/>
    <w:rsid w:val="002C2032"/>
    <w:rsid w:val="002C6CA5"/>
    <w:rsid w:val="002C730B"/>
    <w:rsid w:val="002E137E"/>
    <w:rsid w:val="002E2441"/>
    <w:rsid w:val="002E3695"/>
    <w:rsid w:val="002E51A8"/>
    <w:rsid w:val="002E51BB"/>
    <w:rsid w:val="002F27E2"/>
    <w:rsid w:val="002F3362"/>
    <w:rsid w:val="002F3E42"/>
    <w:rsid w:val="002F445C"/>
    <w:rsid w:val="002F6A1E"/>
    <w:rsid w:val="002F6CCA"/>
    <w:rsid w:val="0030464B"/>
    <w:rsid w:val="00306F8C"/>
    <w:rsid w:val="00313253"/>
    <w:rsid w:val="003140CC"/>
    <w:rsid w:val="00314D3D"/>
    <w:rsid w:val="003152F8"/>
    <w:rsid w:val="00320A44"/>
    <w:rsid w:val="00326A87"/>
    <w:rsid w:val="00326B11"/>
    <w:rsid w:val="00334456"/>
    <w:rsid w:val="00335574"/>
    <w:rsid w:val="003379E6"/>
    <w:rsid w:val="00342B35"/>
    <w:rsid w:val="0036009C"/>
    <w:rsid w:val="00363AD9"/>
    <w:rsid w:val="00370DBF"/>
    <w:rsid w:val="00372375"/>
    <w:rsid w:val="003725DA"/>
    <w:rsid w:val="003738AF"/>
    <w:rsid w:val="00375C97"/>
    <w:rsid w:val="00376977"/>
    <w:rsid w:val="003848F6"/>
    <w:rsid w:val="00385A72"/>
    <w:rsid w:val="00386819"/>
    <w:rsid w:val="003874A4"/>
    <w:rsid w:val="003A196F"/>
    <w:rsid w:val="003B1F49"/>
    <w:rsid w:val="003C7546"/>
    <w:rsid w:val="003D515C"/>
    <w:rsid w:val="003D521D"/>
    <w:rsid w:val="003E4702"/>
    <w:rsid w:val="00400B18"/>
    <w:rsid w:val="00402B13"/>
    <w:rsid w:val="00406C0D"/>
    <w:rsid w:val="00414C2C"/>
    <w:rsid w:val="00414E61"/>
    <w:rsid w:val="00416846"/>
    <w:rsid w:val="0042010B"/>
    <w:rsid w:val="00427CDE"/>
    <w:rsid w:val="00432B0C"/>
    <w:rsid w:val="004375D2"/>
    <w:rsid w:val="0044641A"/>
    <w:rsid w:val="00452FC7"/>
    <w:rsid w:val="00453D38"/>
    <w:rsid w:val="0045457F"/>
    <w:rsid w:val="0045616A"/>
    <w:rsid w:val="00456D9D"/>
    <w:rsid w:val="00457CDB"/>
    <w:rsid w:val="00463D11"/>
    <w:rsid w:val="00467C33"/>
    <w:rsid w:val="00475AB1"/>
    <w:rsid w:val="00475E7A"/>
    <w:rsid w:val="00475FF8"/>
    <w:rsid w:val="00487731"/>
    <w:rsid w:val="00487EDB"/>
    <w:rsid w:val="004901D9"/>
    <w:rsid w:val="00490245"/>
    <w:rsid w:val="0049046F"/>
    <w:rsid w:val="00491C88"/>
    <w:rsid w:val="004A1E1E"/>
    <w:rsid w:val="004A23A4"/>
    <w:rsid w:val="004A3A95"/>
    <w:rsid w:val="004A5F21"/>
    <w:rsid w:val="004A6DA2"/>
    <w:rsid w:val="004A7EE7"/>
    <w:rsid w:val="004B0AD5"/>
    <w:rsid w:val="004B1AA9"/>
    <w:rsid w:val="004B67A1"/>
    <w:rsid w:val="004C0788"/>
    <w:rsid w:val="004C2959"/>
    <w:rsid w:val="004C2CCB"/>
    <w:rsid w:val="004C51D3"/>
    <w:rsid w:val="004C6113"/>
    <w:rsid w:val="004C7688"/>
    <w:rsid w:val="004D02D3"/>
    <w:rsid w:val="004D6808"/>
    <w:rsid w:val="004E0900"/>
    <w:rsid w:val="004E27DD"/>
    <w:rsid w:val="004E5EAA"/>
    <w:rsid w:val="004F46DA"/>
    <w:rsid w:val="005008AC"/>
    <w:rsid w:val="0050540D"/>
    <w:rsid w:val="00506D1B"/>
    <w:rsid w:val="00511467"/>
    <w:rsid w:val="00520616"/>
    <w:rsid w:val="00520869"/>
    <w:rsid w:val="00523C04"/>
    <w:rsid w:val="00525B2D"/>
    <w:rsid w:val="005311A0"/>
    <w:rsid w:val="0053405F"/>
    <w:rsid w:val="00535684"/>
    <w:rsid w:val="00542729"/>
    <w:rsid w:val="005437F3"/>
    <w:rsid w:val="00550967"/>
    <w:rsid w:val="00560FA1"/>
    <w:rsid w:val="00564FDE"/>
    <w:rsid w:val="0056629E"/>
    <w:rsid w:val="005674A6"/>
    <w:rsid w:val="00572894"/>
    <w:rsid w:val="00572A21"/>
    <w:rsid w:val="00572CD2"/>
    <w:rsid w:val="00585C65"/>
    <w:rsid w:val="00587437"/>
    <w:rsid w:val="00590510"/>
    <w:rsid w:val="0059051C"/>
    <w:rsid w:val="005927B4"/>
    <w:rsid w:val="00594648"/>
    <w:rsid w:val="00595012"/>
    <w:rsid w:val="00596FCA"/>
    <w:rsid w:val="00597D76"/>
    <w:rsid w:val="005A0FB9"/>
    <w:rsid w:val="005A3972"/>
    <w:rsid w:val="005A6B70"/>
    <w:rsid w:val="005A6D71"/>
    <w:rsid w:val="005B0AF7"/>
    <w:rsid w:val="005B171A"/>
    <w:rsid w:val="005B1BCD"/>
    <w:rsid w:val="005B2D60"/>
    <w:rsid w:val="005B48F0"/>
    <w:rsid w:val="005C058C"/>
    <w:rsid w:val="005C05CE"/>
    <w:rsid w:val="005C416B"/>
    <w:rsid w:val="005C41F9"/>
    <w:rsid w:val="005C78FA"/>
    <w:rsid w:val="005D7B1E"/>
    <w:rsid w:val="005E5C56"/>
    <w:rsid w:val="005E7845"/>
    <w:rsid w:val="005F29C3"/>
    <w:rsid w:val="006041E4"/>
    <w:rsid w:val="00605FAF"/>
    <w:rsid w:val="00613A7B"/>
    <w:rsid w:val="0061591D"/>
    <w:rsid w:val="00630E89"/>
    <w:rsid w:val="0063183B"/>
    <w:rsid w:val="00632C04"/>
    <w:rsid w:val="00632CDA"/>
    <w:rsid w:val="0064288C"/>
    <w:rsid w:val="00642C9C"/>
    <w:rsid w:val="00650B0A"/>
    <w:rsid w:val="00655E57"/>
    <w:rsid w:val="00657BA5"/>
    <w:rsid w:val="0066224C"/>
    <w:rsid w:val="00663192"/>
    <w:rsid w:val="0066465B"/>
    <w:rsid w:val="00666361"/>
    <w:rsid w:val="00675A2D"/>
    <w:rsid w:val="00677431"/>
    <w:rsid w:val="00677F62"/>
    <w:rsid w:val="006834E7"/>
    <w:rsid w:val="00687996"/>
    <w:rsid w:val="006A45BF"/>
    <w:rsid w:val="006A5840"/>
    <w:rsid w:val="006A781B"/>
    <w:rsid w:val="006B3541"/>
    <w:rsid w:val="006C055F"/>
    <w:rsid w:val="006C61E1"/>
    <w:rsid w:val="006D0141"/>
    <w:rsid w:val="006D09A3"/>
    <w:rsid w:val="006D21A3"/>
    <w:rsid w:val="006D33A5"/>
    <w:rsid w:val="006D6081"/>
    <w:rsid w:val="006D6231"/>
    <w:rsid w:val="006E1E54"/>
    <w:rsid w:val="006E2F0C"/>
    <w:rsid w:val="006F06D8"/>
    <w:rsid w:val="006F191E"/>
    <w:rsid w:val="006F2851"/>
    <w:rsid w:val="006F2D96"/>
    <w:rsid w:val="00711A96"/>
    <w:rsid w:val="00712E61"/>
    <w:rsid w:val="00713018"/>
    <w:rsid w:val="00713A54"/>
    <w:rsid w:val="007154DC"/>
    <w:rsid w:val="00715F10"/>
    <w:rsid w:val="00717211"/>
    <w:rsid w:val="007215CF"/>
    <w:rsid w:val="007225B7"/>
    <w:rsid w:val="00733683"/>
    <w:rsid w:val="007342A0"/>
    <w:rsid w:val="00736C29"/>
    <w:rsid w:val="00744139"/>
    <w:rsid w:val="00755F6E"/>
    <w:rsid w:val="0076201E"/>
    <w:rsid w:val="007625D4"/>
    <w:rsid w:val="007659BD"/>
    <w:rsid w:val="00765F64"/>
    <w:rsid w:val="00771088"/>
    <w:rsid w:val="00772E00"/>
    <w:rsid w:val="0077363D"/>
    <w:rsid w:val="00773A20"/>
    <w:rsid w:val="00774903"/>
    <w:rsid w:val="00780892"/>
    <w:rsid w:val="007813DC"/>
    <w:rsid w:val="00782BB8"/>
    <w:rsid w:val="007846F7"/>
    <w:rsid w:val="00785250"/>
    <w:rsid w:val="00785712"/>
    <w:rsid w:val="00786851"/>
    <w:rsid w:val="007967D2"/>
    <w:rsid w:val="007A4CEF"/>
    <w:rsid w:val="007A78E0"/>
    <w:rsid w:val="007B26D0"/>
    <w:rsid w:val="007B2AD7"/>
    <w:rsid w:val="007C2795"/>
    <w:rsid w:val="007C3EB1"/>
    <w:rsid w:val="007C62C8"/>
    <w:rsid w:val="007C7FC0"/>
    <w:rsid w:val="007D1E5C"/>
    <w:rsid w:val="007D427A"/>
    <w:rsid w:val="007D5569"/>
    <w:rsid w:val="007D7B04"/>
    <w:rsid w:val="007E1239"/>
    <w:rsid w:val="007E5033"/>
    <w:rsid w:val="007E509E"/>
    <w:rsid w:val="007F1A9D"/>
    <w:rsid w:val="007F5A22"/>
    <w:rsid w:val="008056C9"/>
    <w:rsid w:val="0080582A"/>
    <w:rsid w:val="0081281A"/>
    <w:rsid w:val="00814D65"/>
    <w:rsid w:val="00817BE8"/>
    <w:rsid w:val="00817C42"/>
    <w:rsid w:val="00817DDC"/>
    <w:rsid w:val="008217CC"/>
    <w:rsid w:val="008255B7"/>
    <w:rsid w:val="00825885"/>
    <w:rsid w:val="00831A68"/>
    <w:rsid w:val="00831B41"/>
    <w:rsid w:val="00835F5A"/>
    <w:rsid w:val="00837DC7"/>
    <w:rsid w:val="00843765"/>
    <w:rsid w:val="00852F6A"/>
    <w:rsid w:val="00853E99"/>
    <w:rsid w:val="00855F7B"/>
    <w:rsid w:val="00856880"/>
    <w:rsid w:val="00857958"/>
    <w:rsid w:val="00863730"/>
    <w:rsid w:val="00865B33"/>
    <w:rsid w:val="008713FE"/>
    <w:rsid w:val="00873F01"/>
    <w:rsid w:val="00874B60"/>
    <w:rsid w:val="008772D9"/>
    <w:rsid w:val="00884A6B"/>
    <w:rsid w:val="00890415"/>
    <w:rsid w:val="008923ED"/>
    <w:rsid w:val="008959A7"/>
    <w:rsid w:val="00897BB2"/>
    <w:rsid w:val="008A0C06"/>
    <w:rsid w:val="008A37F6"/>
    <w:rsid w:val="008A486A"/>
    <w:rsid w:val="008B3F98"/>
    <w:rsid w:val="008B509D"/>
    <w:rsid w:val="008B6614"/>
    <w:rsid w:val="008B74CE"/>
    <w:rsid w:val="008C5512"/>
    <w:rsid w:val="008C59B7"/>
    <w:rsid w:val="008D0D6B"/>
    <w:rsid w:val="008D12FE"/>
    <w:rsid w:val="008D4365"/>
    <w:rsid w:val="008D61FF"/>
    <w:rsid w:val="008F273E"/>
    <w:rsid w:val="009034FA"/>
    <w:rsid w:val="009213AE"/>
    <w:rsid w:val="0092288A"/>
    <w:rsid w:val="009246A4"/>
    <w:rsid w:val="00931FFE"/>
    <w:rsid w:val="00933591"/>
    <w:rsid w:val="0093714B"/>
    <w:rsid w:val="0094356E"/>
    <w:rsid w:val="009440A5"/>
    <w:rsid w:val="0094550F"/>
    <w:rsid w:val="00947DF2"/>
    <w:rsid w:val="0095079F"/>
    <w:rsid w:val="00952BBB"/>
    <w:rsid w:val="00955AAA"/>
    <w:rsid w:val="009570EE"/>
    <w:rsid w:val="00972BF4"/>
    <w:rsid w:val="00975156"/>
    <w:rsid w:val="00976314"/>
    <w:rsid w:val="00977AAA"/>
    <w:rsid w:val="00980819"/>
    <w:rsid w:val="00981FA2"/>
    <w:rsid w:val="00984340"/>
    <w:rsid w:val="0098556E"/>
    <w:rsid w:val="009A1CA0"/>
    <w:rsid w:val="009A4244"/>
    <w:rsid w:val="009A7E88"/>
    <w:rsid w:val="009B0E3B"/>
    <w:rsid w:val="009B1035"/>
    <w:rsid w:val="009B74F0"/>
    <w:rsid w:val="009C0B8A"/>
    <w:rsid w:val="009C3247"/>
    <w:rsid w:val="009C53DB"/>
    <w:rsid w:val="009D0EC1"/>
    <w:rsid w:val="009D1824"/>
    <w:rsid w:val="009D3EDB"/>
    <w:rsid w:val="009D5F36"/>
    <w:rsid w:val="009D69D5"/>
    <w:rsid w:val="009E4E8B"/>
    <w:rsid w:val="009E6822"/>
    <w:rsid w:val="009F0132"/>
    <w:rsid w:val="009F2EF8"/>
    <w:rsid w:val="009F4F23"/>
    <w:rsid w:val="009F7977"/>
    <w:rsid w:val="00A00417"/>
    <w:rsid w:val="00A01848"/>
    <w:rsid w:val="00A07229"/>
    <w:rsid w:val="00A0781E"/>
    <w:rsid w:val="00A12D49"/>
    <w:rsid w:val="00A141C5"/>
    <w:rsid w:val="00A15040"/>
    <w:rsid w:val="00A21CD9"/>
    <w:rsid w:val="00A22548"/>
    <w:rsid w:val="00A31DAE"/>
    <w:rsid w:val="00A477A3"/>
    <w:rsid w:val="00A53057"/>
    <w:rsid w:val="00A732BB"/>
    <w:rsid w:val="00A76E6E"/>
    <w:rsid w:val="00A776E1"/>
    <w:rsid w:val="00A80575"/>
    <w:rsid w:val="00A821BC"/>
    <w:rsid w:val="00A94401"/>
    <w:rsid w:val="00A97240"/>
    <w:rsid w:val="00AA513B"/>
    <w:rsid w:val="00AB5ACE"/>
    <w:rsid w:val="00AB75D4"/>
    <w:rsid w:val="00AC08AD"/>
    <w:rsid w:val="00AC4327"/>
    <w:rsid w:val="00AC6633"/>
    <w:rsid w:val="00AD2C51"/>
    <w:rsid w:val="00AD5E33"/>
    <w:rsid w:val="00AE775B"/>
    <w:rsid w:val="00AF1419"/>
    <w:rsid w:val="00AF418B"/>
    <w:rsid w:val="00AF4412"/>
    <w:rsid w:val="00AF4D6B"/>
    <w:rsid w:val="00AF5A1A"/>
    <w:rsid w:val="00AF6F95"/>
    <w:rsid w:val="00B02CC3"/>
    <w:rsid w:val="00B054AF"/>
    <w:rsid w:val="00B060D7"/>
    <w:rsid w:val="00B066E5"/>
    <w:rsid w:val="00B11286"/>
    <w:rsid w:val="00B11289"/>
    <w:rsid w:val="00B11EFF"/>
    <w:rsid w:val="00B1272A"/>
    <w:rsid w:val="00B17185"/>
    <w:rsid w:val="00B1744C"/>
    <w:rsid w:val="00B23376"/>
    <w:rsid w:val="00B233CA"/>
    <w:rsid w:val="00B257A4"/>
    <w:rsid w:val="00B27C69"/>
    <w:rsid w:val="00B33085"/>
    <w:rsid w:val="00B34A13"/>
    <w:rsid w:val="00B40C6E"/>
    <w:rsid w:val="00B412A1"/>
    <w:rsid w:val="00B41857"/>
    <w:rsid w:val="00B420BE"/>
    <w:rsid w:val="00B52D80"/>
    <w:rsid w:val="00B62042"/>
    <w:rsid w:val="00B6211C"/>
    <w:rsid w:val="00B63CB1"/>
    <w:rsid w:val="00B64EEE"/>
    <w:rsid w:val="00B65FD4"/>
    <w:rsid w:val="00B7027B"/>
    <w:rsid w:val="00B70C0E"/>
    <w:rsid w:val="00B72913"/>
    <w:rsid w:val="00B738CE"/>
    <w:rsid w:val="00B81E0C"/>
    <w:rsid w:val="00B83146"/>
    <w:rsid w:val="00B8623F"/>
    <w:rsid w:val="00B8766E"/>
    <w:rsid w:val="00B87D9F"/>
    <w:rsid w:val="00B87E5C"/>
    <w:rsid w:val="00B91AD3"/>
    <w:rsid w:val="00B95111"/>
    <w:rsid w:val="00B9643B"/>
    <w:rsid w:val="00B96E08"/>
    <w:rsid w:val="00B97150"/>
    <w:rsid w:val="00B97BFC"/>
    <w:rsid w:val="00BA5645"/>
    <w:rsid w:val="00BA58DB"/>
    <w:rsid w:val="00BA60B2"/>
    <w:rsid w:val="00BA7CA0"/>
    <w:rsid w:val="00BB1DCB"/>
    <w:rsid w:val="00BB26A5"/>
    <w:rsid w:val="00BB29AB"/>
    <w:rsid w:val="00BB37F1"/>
    <w:rsid w:val="00BD0899"/>
    <w:rsid w:val="00BD3D80"/>
    <w:rsid w:val="00BD6AD1"/>
    <w:rsid w:val="00BE087A"/>
    <w:rsid w:val="00BF05FC"/>
    <w:rsid w:val="00BF170B"/>
    <w:rsid w:val="00BF2715"/>
    <w:rsid w:val="00BF5C2A"/>
    <w:rsid w:val="00BF6913"/>
    <w:rsid w:val="00C06714"/>
    <w:rsid w:val="00C142F7"/>
    <w:rsid w:val="00C15389"/>
    <w:rsid w:val="00C1572F"/>
    <w:rsid w:val="00C16F9F"/>
    <w:rsid w:val="00C22606"/>
    <w:rsid w:val="00C2527B"/>
    <w:rsid w:val="00C25890"/>
    <w:rsid w:val="00C26AFC"/>
    <w:rsid w:val="00C316B0"/>
    <w:rsid w:val="00C32D58"/>
    <w:rsid w:val="00C33CFD"/>
    <w:rsid w:val="00C34CA7"/>
    <w:rsid w:val="00C4633C"/>
    <w:rsid w:val="00C50B6A"/>
    <w:rsid w:val="00C51048"/>
    <w:rsid w:val="00C51123"/>
    <w:rsid w:val="00C524A1"/>
    <w:rsid w:val="00C55505"/>
    <w:rsid w:val="00C564ED"/>
    <w:rsid w:val="00C57261"/>
    <w:rsid w:val="00C60DAF"/>
    <w:rsid w:val="00C6138B"/>
    <w:rsid w:val="00C617D1"/>
    <w:rsid w:val="00C63E92"/>
    <w:rsid w:val="00C71E2D"/>
    <w:rsid w:val="00C72306"/>
    <w:rsid w:val="00C747BF"/>
    <w:rsid w:val="00C76B9D"/>
    <w:rsid w:val="00C76C61"/>
    <w:rsid w:val="00C82E02"/>
    <w:rsid w:val="00C86581"/>
    <w:rsid w:val="00C91D73"/>
    <w:rsid w:val="00CB04E6"/>
    <w:rsid w:val="00CC5FD6"/>
    <w:rsid w:val="00CD33F4"/>
    <w:rsid w:val="00CD55C8"/>
    <w:rsid w:val="00CD6C9E"/>
    <w:rsid w:val="00CE0FF9"/>
    <w:rsid w:val="00CE2571"/>
    <w:rsid w:val="00CE54BD"/>
    <w:rsid w:val="00CF1916"/>
    <w:rsid w:val="00CF3837"/>
    <w:rsid w:val="00CF48C4"/>
    <w:rsid w:val="00CF7762"/>
    <w:rsid w:val="00D0207B"/>
    <w:rsid w:val="00D063C1"/>
    <w:rsid w:val="00D06D4C"/>
    <w:rsid w:val="00D11A6C"/>
    <w:rsid w:val="00D151CB"/>
    <w:rsid w:val="00D16820"/>
    <w:rsid w:val="00D16B69"/>
    <w:rsid w:val="00D178D8"/>
    <w:rsid w:val="00D20513"/>
    <w:rsid w:val="00D219DE"/>
    <w:rsid w:val="00D23076"/>
    <w:rsid w:val="00D260F5"/>
    <w:rsid w:val="00D2695C"/>
    <w:rsid w:val="00D31EBE"/>
    <w:rsid w:val="00D37B9C"/>
    <w:rsid w:val="00D40998"/>
    <w:rsid w:val="00D455B4"/>
    <w:rsid w:val="00D45BDE"/>
    <w:rsid w:val="00D51C9C"/>
    <w:rsid w:val="00D54BCD"/>
    <w:rsid w:val="00D60679"/>
    <w:rsid w:val="00D67277"/>
    <w:rsid w:val="00D74790"/>
    <w:rsid w:val="00D84D76"/>
    <w:rsid w:val="00D87A6F"/>
    <w:rsid w:val="00D91C28"/>
    <w:rsid w:val="00D9397D"/>
    <w:rsid w:val="00D97687"/>
    <w:rsid w:val="00DA4429"/>
    <w:rsid w:val="00DB1C34"/>
    <w:rsid w:val="00DB39A2"/>
    <w:rsid w:val="00DC5495"/>
    <w:rsid w:val="00DC5862"/>
    <w:rsid w:val="00DD0090"/>
    <w:rsid w:val="00DD1AC0"/>
    <w:rsid w:val="00DD42EA"/>
    <w:rsid w:val="00DE1CD3"/>
    <w:rsid w:val="00DF17B2"/>
    <w:rsid w:val="00DF232F"/>
    <w:rsid w:val="00DF3BE4"/>
    <w:rsid w:val="00DF573A"/>
    <w:rsid w:val="00DF69AA"/>
    <w:rsid w:val="00E0193F"/>
    <w:rsid w:val="00E02831"/>
    <w:rsid w:val="00E04970"/>
    <w:rsid w:val="00E0720C"/>
    <w:rsid w:val="00E11DFA"/>
    <w:rsid w:val="00E13A58"/>
    <w:rsid w:val="00E13C41"/>
    <w:rsid w:val="00E1654C"/>
    <w:rsid w:val="00E16C84"/>
    <w:rsid w:val="00E21E0B"/>
    <w:rsid w:val="00E46026"/>
    <w:rsid w:val="00E50801"/>
    <w:rsid w:val="00E51883"/>
    <w:rsid w:val="00E5227B"/>
    <w:rsid w:val="00E620FF"/>
    <w:rsid w:val="00E67C49"/>
    <w:rsid w:val="00E718FF"/>
    <w:rsid w:val="00E74312"/>
    <w:rsid w:val="00E77335"/>
    <w:rsid w:val="00E8729C"/>
    <w:rsid w:val="00E90617"/>
    <w:rsid w:val="00E95CCD"/>
    <w:rsid w:val="00E9665C"/>
    <w:rsid w:val="00E96FF0"/>
    <w:rsid w:val="00EA11FB"/>
    <w:rsid w:val="00EA15BC"/>
    <w:rsid w:val="00EA2932"/>
    <w:rsid w:val="00EB3F96"/>
    <w:rsid w:val="00EB537C"/>
    <w:rsid w:val="00EC273C"/>
    <w:rsid w:val="00EC3002"/>
    <w:rsid w:val="00EC3354"/>
    <w:rsid w:val="00ED0FC9"/>
    <w:rsid w:val="00ED38AE"/>
    <w:rsid w:val="00EE430A"/>
    <w:rsid w:val="00EE70BC"/>
    <w:rsid w:val="00EE760B"/>
    <w:rsid w:val="00EF1CBE"/>
    <w:rsid w:val="00EF793E"/>
    <w:rsid w:val="00F07A3F"/>
    <w:rsid w:val="00F1098A"/>
    <w:rsid w:val="00F11053"/>
    <w:rsid w:val="00F11ADE"/>
    <w:rsid w:val="00F170B5"/>
    <w:rsid w:val="00F24DE4"/>
    <w:rsid w:val="00F31F74"/>
    <w:rsid w:val="00F33025"/>
    <w:rsid w:val="00F45D9F"/>
    <w:rsid w:val="00F54196"/>
    <w:rsid w:val="00F55096"/>
    <w:rsid w:val="00F61624"/>
    <w:rsid w:val="00F61950"/>
    <w:rsid w:val="00F61C3C"/>
    <w:rsid w:val="00F638B5"/>
    <w:rsid w:val="00F70C0C"/>
    <w:rsid w:val="00F7694B"/>
    <w:rsid w:val="00F7758B"/>
    <w:rsid w:val="00F8710C"/>
    <w:rsid w:val="00F91166"/>
    <w:rsid w:val="00F95593"/>
    <w:rsid w:val="00FA0311"/>
    <w:rsid w:val="00FA045B"/>
    <w:rsid w:val="00FA5BC8"/>
    <w:rsid w:val="00FB186F"/>
    <w:rsid w:val="00FB49F0"/>
    <w:rsid w:val="00FC2476"/>
    <w:rsid w:val="00FC3B83"/>
    <w:rsid w:val="00FC643C"/>
    <w:rsid w:val="00FD0667"/>
    <w:rsid w:val="00FD0CC4"/>
    <w:rsid w:val="00FD0F89"/>
    <w:rsid w:val="00FE478F"/>
    <w:rsid w:val="00FE4CD4"/>
    <w:rsid w:val="00FE6D40"/>
    <w:rsid w:val="00FF0D08"/>
    <w:rsid w:val="00FF3AB1"/>
    <w:rsid w:val="00FF4266"/>
    <w:rsid w:val="00FF5B87"/>
    <w:rsid w:val="00FF68DE"/>
    <w:rsid w:val="08D956FC"/>
    <w:rsid w:val="097B1496"/>
    <w:rsid w:val="09C90306"/>
    <w:rsid w:val="139F5206"/>
    <w:rsid w:val="14B8020C"/>
    <w:rsid w:val="14CD6438"/>
    <w:rsid w:val="154624B8"/>
    <w:rsid w:val="160D7893"/>
    <w:rsid w:val="1D2101BF"/>
    <w:rsid w:val="271572C7"/>
    <w:rsid w:val="27451B87"/>
    <w:rsid w:val="2AF46F08"/>
    <w:rsid w:val="2D2F6832"/>
    <w:rsid w:val="33BBEED3"/>
    <w:rsid w:val="35717CBC"/>
    <w:rsid w:val="36280C33"/>
    <w:rsid w:val="3A3C4CAD"/>
    <w:rsid w:val="3BEA8BB0"/>
    <w:rsid w:val="4250605B"/>
    <w:rsid w:val="474F4A54"/>
    <w:rsid w:val="48437C01"/>
    <w:rsid w:val="5657725D"/>
    <w:rsid w:val="667FD745"/>
    <w:rsid w:val="6DFB42FF"/>
    <w:rsid w:val="6FDFF5EF"/>
    <w:rsid w:val="7A263AF5"/>
    <w:rsid w:val="7E7C81C8"/>
    <w:rsid w:val="7FB790F1"/>
    <w:rsid w:val="9FFC5F54"/>
    <w:rsid w:val="BCFBF08C"/>
    <w:rsid w:val="BE03EE82"/>
    <w:rsid w:val="CFBB9979"/>
    <w:rsid w:val="DFEFC800"/>
    <w:rsid w:val="F3DF3628"/>
    <w:rsid w:val="F4DF4664"/>
    <w:rsid w:val="F5EBAA2A"/>
    <w:rsid w:val="F7FF83F6"/>
    <w:rsid w:val="FB7F0190"/>
    <w:rsid w:val="FBAF91C8"/>
    <w:rsid w:val="FBDEC4C4"/>
    <w:rsid w:val="FBEF22CB"/>
    <w:rsid w:val="FD8D9D22"/>
    <w:rsid w:val="FDDFEBA5"/>
    <w:rsid w:val="FF957FAF"/>
    <w:rsid w:val="FFDB37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unhideWhenUsed/>
    <w:qFormat/>
    <w:uiPriority w:val="99"/>
    <w:rPr>
      <w:rFonts w:ascii="宋体"/>
      <w:sz w:val="18"/>
      <w:szCs w:val="18"/>
    </w:rPr>
  </w:style>
  <w:style w:type="paragraph" w:styleId="4">
    <w:name w:val="annotation text"/>
    <w:basedOn w:val="1"/>
    <w:link w:val="21"/>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kern w:val="0"/>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styleId="12">
    <w:name w:val="annotation reference"/>
    <w:semiHidden/>
    <w:unhideWhenUsed/>
    <w:qFormat/>
    <w:uiPriority w:val="99"/>
    <w:rPr>
      <w:sz w:val="21"/>
      <w:szCs w:val="21"/>
    </w:rPr>
  </w:style>
  <w:style w:type="character" w:customStyle="1" w:styleId="13">
    <w:name w:val="页眉 Char"/>
    <w:link w:val="7"/>
    <w:qFormat/>
    <w:uiPriority w:val="99"/>
    <w:rPr>
      <w:sz w:val="18"/>
      <w:szCs w:val="18"/>
    </w:rPr>
  </w:style>
  <w:style w:type="character" w:customStyle="1" w:styleId="14">
    <w:name w:val="页脚 Char"/>
    <w:link w:val="6"/>
    <w:qFormat/>
    <w:uiPriority w:val="99"/>
    <w:rPr>
      <w:sz w:val="18"/>
      <w:szCs w:val="18"/>
    </w:rPr>
  </w:style>
  <w:style w:type="character" w:customStyle="1" w:styleId="15">
    <w:name w:val="标题 1 Char"/>
    <w:link w:val="2"/>
    <w:qFormat/>
    <w:uiPriority w:val="0"/>
    <w:rPr>
      <w:rFonts w:ascii="Times New Roman" w:hAnsi="Times New Roman" w:eastAsia="宋体" w:cs="Times New Roman"/>
      <w:b/>
      <w:bCs/>
      <w:kern w:val="44"/>
      <w:sz w:val="44"/>
      <w:szCs w:val="44"/>
    </w:rPr>
  </w:style>
  <w:style w:type="paragraph" w:styleId="16">
    <w:name w:val="List Paragraph"/>
    <w:basedOn w:val="1"/>
    <w:link w:val="18"/>
    <w:qFormat/>
    <w:uiPriority w:val="0"/>
    <w:pPr>
      <w:ind w:firstLine="420" w:firstLineChars="200"/>
    </w:pPr>
  </w:style>
  <w:style w:type="character" w:customStyle="1" w:styleId="17">
    <w:name w:val="批注框文本 Char"/>
    <w:link w:val="5"/>
    <w:semiHidden/>
    <w:qFormat/>
    <w:uiPriority w:val="99"/>
    <w:rPr>
      <w:kern w:val="2"/>
      <w:sz w:val="18"/>
      <w:szCs w:val="18"/>
    </w:rPr>
  </w:style>
  <w:style w:type="character" w:customStyle="1" w:styleId="18">
    <w:name w:val="列出段落 Char"/>
    <w:link w:val="16"/>
    <w:qFormat/>
    <w:locked/>
    <w:uiPriority w:val="0"/>
    <w:rPr>
      <w:kern w:val="2"/>
      <w:sz w:val="21"/>
      <w:szCs w:val="22"/>
    </w:rPr>
  </w:style>
  <w:style w:type="character" w:customStyle="1" w:styleId="19">
    <w:name w:val="页脚 字符"/>
    <w:qFormat/>
    <w:uiPriority w:val="99"/>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批注文字 Char"/>
    <w:basedOn w:val="10"/>
    <w:link w:val="4"/>
    <w:qFormat/>
    <w:uiPriority w:val="99"/>
    <w:rPr>
      <w:kern w:val="2"/>
      <w:sz w:val="21"/>
      <w:szCs w:val="22"/>
    </w:rPr>
  </w:style>
  <w:style w:type="character" w:customStyle="1" w:styleId="22">
    <w:name w:val="文档结构图 Char"/>
    <w:basedOn w:val="10"/>
    <w:link w:val="3"/>
    <w:semiHidden/>
    <w:qFormat/>
    <w:uiPriority w:val="99"/>
    <w:rPr>
      <w:rFonts w:ascii="宋体"/>
      <w:kern w:val="2"/>
      <w:sz w:val="18"/>
      <w:szCs w:val="18"/>
    </w:r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5672</Words>
  <Characters>5868</Characters>
  <Lines>43</Lines>
  <Paragraphs>12</Paragraphs>
  <TotalTime>108</TotalTime>
  <ScaleCrop>false</ScaleCrop>
  <LinksUpToDate>false</LinksUpToDate>
  <CharactersWithSpaces>5910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2024-11-28T21:11:00Z</dcterms:created>
  <dc:creator>shytan</dc:creator>
  <cp:lastModifiedBy>黄文怡</cp:lastModifiedBy>
  <cp:lastPrinted>2024-12-09T18:40:00Z</cp:lastPrinted>
  <dcterms:modified xsi:type="dcterms:W3CDTF">2025-04-01T06:31:05Z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38B296602F96477F668C4967A81ECCEE_43</vt:lpwstr>
  </property>
</Properties>
</file>