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1FF9">
      <w:pPr>
        <w:pStyle w:val="2"/>
        <w:spacing w:before="0" w:after="0" w:line="600" w:lineRule="exact"/>
        <w:jc w:val="center"/>
        <w:rPr>
          <w:rFonts w:ascii="黑体" w:hAnsi="黑体" w:eastAsia="黑体"/>
          <w:sz w:val="36"/>
          <w:szCs w:val="36"/>
        </w:rPr>
      </w:pPr>
      <w:r>
        <w:rPr>
          <w:rFonts w:hint="eastAsia" w:ascii="黑体" w:hAnsi="黑体" w:eastAsia="黑体"/>
          <w:sz w:val="36"/>
          <w:szCs w:val="36"/>
        </w:rPr>
        <w:t>第二十一号 科创板上市公司股东及</w:t>
      </w:r>
      <w:r>
        <w:rPr>
          <w:rFonts w:hint="eastAsia" w:ascii="黑体" w:hAnsi="黑体" w:eastAsia="黑体"/>
          <w:sz w:val="36"/>
          <w:szCs w:val="36"/>
          <w:lang w:eastAsia="zh-CN"/>
        </w:rPr>
        <w:t>董事、高管</w:t>
      </w:r>
      <w:r>
        <w:rPr>
          <w:rFonts w:hint="eastAsia" w:ascii="黑体" w:hAnsi="黑体" w:eastAsia="黑体"/>
          <w:sz w:val="36"/>
          <w:szCs w:val="36"/>
        </w:rPr>
        <w:t>减持股份计划</w:t>
      </w:r>
      <w:r>
        <w:rPr>
          <w:rFonts w:hint="eastAsia" w:ascii="黑体" w:hAnsi="黑体" w:eastAsia="黑体"/>
          <w:sz w:val="36"/>
          <w:szCs w:val="36"/>
          <w:lang w:eastAsia="zh-CN"/>
        </w:rPr>
        <w:t>、</w:t>
      </w:r>
      <w:r>
        <w:rPr>
          <w:rFonts w:hint="eastAsia" w:ascii="黑体" w:hAnsi="黑体" w:eastAsia="黑体"/>
          <w:sz w:val="36"/>
          <w:szCs w:val="36"/>
        </w:rPr>
        <w:t>进展</w:t>
      </w:r>
      <w:r>
        <w:rPr>
          <w:rFonts w:hint="eastAsia" w:ascii="黑体" w:hAnsi="黑体" w:eastAsia="黑体"/>
          <w:sz w:val="36"/>
          <w:szCs w:val="36"/>
          <w:lang w:eastAsia="zh-CN"/>
        </w:rPr>
        <w:t>、</w:t>
      </w:r>
      <w:r>
        <w:rPr>
          <w:rFonts w:hint="eastAsia" w:ascii="黑体" w:hAnsi="黑体" w:eastAsia="黑体"/>
          <w:sz w:val="36"/>
          <w:szCs w:val="36"/>
        </w:rPr>
        <w:t>结果公告</w:t>
      </w:r>
    </w:p>
    <w:p w14:paraId="4608FAC3">
      <w:pPr>
        <w:spacing w:line="600" w:lineRule="exact"/>
        <w:jc w:val="center"/>
        <w:rPr>
          <w:rFonts w:hint="eastAsia" w:ascii="仿宋_GB2312" w:hAnsi="宋体" w:eastAsia="仿宋_GB2312"/>
          <w:color w:val="0000FF"/>
          <w:sz w:val="24"/>
          <w:szCs w:val="24"/>
        </w:rPr>
      </w:pPr>
      <w:r>
        <w:rPr>
          <w:rFonts w:hint="eastAsia" w:ascii="仿宋_GB2312" w:hAnsi="宋体" w:eastAsia="仿宋_GB2312" w:cs="宋体"/>
          <w:color w:val="0000FF"/>
          <w:kern w:val="0"/>
          <w:sz w:val="24"/>
          <w:szCs w:val="24"/>
        </w:rPr>
        <w:t>（本公告应使用本所公告编制软件编制）</w:t>
      </w:r>
    </w:p>
    <w:p w14:paraId="7686DAE4">
      <w:pPr>
        <w:autoSpaceDE w:val="0"/>
        <w:autoSpaceDN w:val="0"/>
        <w:adjustRightInd w:val="0"/>
        <w:spacing w:line="600" w:lineRule="exact"/>
        <w:jc w:val="center"/>
        <w:rPr>
          <w:rFonts w:ascii="仿宋_GB2312" w:hAnsi="宋体" w:eastAsia="仿宋_GB2312"/>
          <w:color w:val="000000"/>
          <w:sz w:val="30"/>
          <w:szCs w:val="30"/>
        </w:rPr>
      </w:pPr>
    </w:p>
    <w:p w14:paraId="26C1EA27">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bookmarkStart w:id="0" w:name="_GoBack"/>
      <w:bookmarkEnd w:id="0"/>
      <w:r>
        <w:rPr>
          <w:rFonts w:hint="eastAsia" w:ascii="仿宋_GB2312" w:hAnsi="宋体" w:eastAsia="仿宋_GB2312"/>
          <w:b/>
          <w:sz w:val="30"/>
          <w:szCs w:val="30"/>
        </w:rPr>
        <w:t>：</w:t>
      </w:r>
    </w:p>
    <w:p w14:paraId="5E35804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1.科创板上市公司（以下简称上市公司）控股股东、实际控制人、合计持有5%以上股份的股东及其一致行动人（以下简称大股东）、董事、高级管理人员（以下简称</w:t>
      </w:r>
      <w:r>
        <w:rPr>
          <w:rFonts w:hint="eastAsia" w:ascii="仿宋_GB2312" w:hAnsi="宋体" w:eastAsia="仿宋_GB2312"/>
          <w:sz w:val="30"/>
          <w:szCs w:val="30"/>
          <w:lang w:eastAsia="zh-CN"/>
        </w:rPr>
        <w:t>高管</w:t>
      </w:r>
      <w:r>
        <w:rPr>
          <w:rFonts w:hint="eastAsia" w:ascii="仿宋_GB2312" w:hAnsi="宋体" w:eastAsia="仿宋_GB2312"/>
          <w:sz w:val="30"/>
          <w:szCs w:val="30"/>
        </w:rPr>
        <w:t>）通过本所证券交易系统以集中竞价交易、大宗交易方式减持股份，根据中国证监会《上市公司股东减持股份管理暂行办法》《上市公司董事和高级管理人员所持本公司股份及其变动管理规则》、本所《科创板股票上市规则》《上市公司自律监管指引第15号——股东及董事、高级管理人员减持股份》等规定及其相关承诺，披露减持计划、进展、结果公告的，适用本公告格式指引。</w:t>
      </w:r>
    </w:p>
    <w:p w14:paraId="3872080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2.大股东及</w:t>
      </w:r>
      <w:r>
        <w:rPr>
          <w:rFonts w:hint="eastAsia" w:ascii="仿宋_GB2312" w:hAnsi="宋体" w:eastAsia="仿宋_GB2312"/>
          <w:sz w:val="30"/>
          <w:szCs w:val="30"/>
          <w:lang w:eastAsia="zh-CN"/>
        </w:rPr>
        <w:t>董事、高管</w:t>
      </w:r>
      <w:r>
        <w:rPr>
          <w:rFonts w:hint="eastAsia" w:ascii="仿宋_GB2312" w:hAnsi="宋体" w:eastAsia="仿宋_GB2312"/>
          <w:sz w:val="30"/>
          <w:szCs w:val="30"/>
        </w:rPr>
        <w:t>同时采用集中竞价、大宗交易、协议转让等多种方式减持的，仅需披露采用集中竞价交易、大宗交易方式减持的计划、进展、结果。对于采取集中竞价交易、大宗交易方式以外的其他方式减持的，上市公司的大股东、</w:t>
      </w:r>
      <w:r>
        <w:rPr>
          <w:rFonts w:hint="eastAsia" w:ascii="仿宋_GB2312" w:hAnsi="宋体" w:eastAsia="仿宋_GB2312"/>
          <w:sz w:val="30"/>
          <w:szCs w:val="30"/>
          <w:lang w:eastAsia="zh-CN"/>
        </w:rPr>
        <w:t>董事、高管</w:t>
      </w:r>
      <w:r>
        <w:rPr>
          <w:rFonts w:hint="eastAsia" w:ascii="仿宋_GB2312" w:hAnsi="宋体" w:eastAsia="仿宋_GB2312"/>
          <w:sz w:val="30"/>
          <w:szCs w:val="30"/>
        </w:rPr>
        <w:t>按照自愿原则决定披露的，可以参照本公告格式。</w:t>
      </w:r>
    </w:p>
    <w:p w14:paraId="7687693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3.股东在上市公司股份发行及上市等文件中作出减持股份预披露等承诺的，应当按照承诺，参照本公告格式履行披露义务。</w:t>
      </w:r>
    </w:p>
    <w:p w14:paraId="1CE4D3C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4.股东根据其他相关规定或承诺披露减持计划、进展或结果公告的，参照适用本公告格式。</w:t>
      </w:r>
    </w:p>
    <w:p w14:paraId="4C1EE04D">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C721809">
      <w:pPr>
        <w:adjustRightInd w:val="0"/>
        <w:snapToGrid w:val="0"/>
        <w:spacing w:line="600" w:lineRule="exact"/>
        <w:jc w:val="center"/>
        <w:rPr>
          <w:rFonts w:ascii="仿宋_GB2312" w:hAnsi="宋体" w:eastAsia="仿宋_GB2312"/>
          <w:sz w:val="30"/>
          <w:szCs w:val="30"/>
        </w:rPr>
      </w:pPr>
    </w:p>
    <w:p w14:paraId="3D471704">
      <w:pPr>
        <w:spacing w:line="600" w:lineRule="exact"/>
        <w:jc w:val="center"/>
        <w:rPr>
          <w:rFonts w:ascii="仿宋_GB2312" w:hAnsi="宋体" w:eastAsia="仿宋_GB2312"/>
          <w:sz w:val="30"/>
          <w:szCs w:val="30"/>
        </w:rPr>
      </w:pPr>
      <w:r>
        <w:rPr>
          <w:rFonts w:hint="eastAsia" w:ascii="仿宋_GB2312" w:hAnsi="宋体" w:eastAsia="仿宋_GB2312"/>
          <w:sz w:val="30"/>
          <w:szCs w:val="30"/>
        </w:rPr>
        <w:t>XXXX股份有限公司股东及</w:t>
      </w:r>
      <w:r>
        <w:rPr>
          <w:rFonts w:hint="eastAsia" w:ascii="仿宋_GB2312" w:hAnsi="宋体" w:eastAsia="仿宋_GB2312"/>
          <w:sz w:val="30"/>
          <w:szCs w:val="30"/>
          <w:lang w:eastAsia="zh-CN"/>
        </w:rPr>
        <w:t>董事、高管</w:t>
      </w:r>
      <w:r>
        <w:rPr>
          <w:rFonts w:hint="eastAsia" w:ascii="仿宋_GB2312" w:hAnsi="宋体" w:eastAsia="仿宋_GB2312"/>
          <w:sz w:val="30"/>
          <w:szCs w:val="30"/>
        </w:rPr>
        <w:t>减持股份计划/进展/结果公告</w:t>
      </w:r>
    </w:p>
    <w:p w14:paraId="52076E6B">
      <w:pPr>
        <w:snapToGrid w:val="0"/>
        <w:spacing w:line="600" w:lineRule="exact"/>
        <w:jc w:val="center"/>
        <w:rPr>
          <w:rFonts w:ascii="仿宋_GB2312" w:hAnsi="宋体" w:eastAsia="仿宋_GB2312"/>
          <w:color w:val="000000"/>
          <w:sz w:val="30"/>
          <w:szCs w:val="30"/>
        </w:rPr>
      </w:pPr>
    </w:p>
    <w:p w14:paraId="6B03F0EC">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ascii="仿宋_GB2312"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全体董事及相关股东保证本公告内容不存在任何虚假记载、误导性陈述或者重大遗漏，并对其内容的真实性、准确性和完整性依法承担法律责任。</w:t>
      </w:r>
    </w:p>
    <w:p w14:paraId="332994D5">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5D625570">
      <w:pPr>
        <w:autoSpaceDE w:val="0"/>
        <w:autoSpaceDN w:val="0"/>
        <w:adjustRightInd w:val="0"/>
        <w:spacing w:line="600" w:lineRule="exact"/>
        <w:rPr>
          <w:rFonts w:ascii="仿宋_GB2312" w:hAnsi="宋体" w:eastAsia="仿宋_GB2312" w:cs="宋体"/>
          <w:b/>
          <w:color w:val="000000"/>
          <w:kern w:val="0"/>
          <w:sz w:val="30"/>
          <w:szCs w:val="30"/>
        </w:rPr>
      </w:pPr>
    </w:p>
    <w:p w14:paraId="6C1ED595">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2A9C4B04">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大股东及</w:t>
      </w:r>
      <w:r>
        <w:rPr>
          <w:rFonts w:hint="eastAsia" w:ascii="仿宋_GB2312" w:hAnsi="宋体" w:eastAsia="仿宋_GB2312"/>
          <w:bCs/>
          <w:sz w:val="30"/>
          <w:szCs w:val="30"/>
          <w:lang w:eastAsia="zh-CN"/>
        </w:rPr>
        <w:t>董事、高管</w:t>
      </w:r>
      <w:r>
        <w:rPr>
          <w:rFonts w:hint="eastAsia" w:ascii="仿宋_GB2312" w:hAnsi="宋体" w:eastAsia="仿宋_GB2312"/>
          <w:bCs/>
          <w:sz w:val="30"/>
          <w:szCs w:val="30"/>
        </w:rPr>
        <w:t>持股的基本情况</w:t>
      </w:r>
    </w:p>
    <w:p w14:paraId="35A13D58">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减持计划的主要内容</w:t>
      </w:r>
    </w:p>
    <w:p w14:paraId="20CF3D7E">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减持计划的实施情况（如适用）</w:t>
      </w:r>
    </w:p>
    <w:p w14:paraId="1DDCA637">
      <w:pPr>
        <w:widowControl/>
        <w:spacing w:line="600" w:lineRule="exact"/>
        <w:ind w:firstLine="600" w:firstLineChars="200"/>
        <w:jc w:val="left"/>
        <w:rPr>
          <w:rFonts w:ascii="仿宋_GB2312" w:hAnsi="宋体" w:eastAsia="仿宋_GB2312" w:cs="宋体"/>
          <w:color w:val="000000"/>
          <w:kern w:val="0"/>
          <w:sz w:val="30"/>
          <w:szCs w:val="30"/>
        </w:rPr>
      </w:pPr>
    </w:p>
    <w:p w14:paraId="35654D22">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一、减持主体的基本情况</w:t>
      </w:r>
    </w:p>
    <w:p w14:paraId="57BA1F9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w:t>
      </w:r>
      <w:r>
        <w:rPr>
          <w:rFonts w:hint="eastAsia" w:ascii="仿宋_GB2312" w:hAnsi="宋体" w:eastAsia="仿宋_GB2312" w:cs="宋体"/>
          <w:color w:val="000000"/>
          <w:kern w:val="0"/>
          <w:sz w:val="30"/>
          <w:szCs w:val="30"/>
          <w:lang w:eastAsia="zh-CN"/>
        </w:rPr>
        <w:t>董事、高管</w:t>
      </w:r>
      <w:r>
        <w:rPr>
          <w:rFonts w:hint="eastAsia" w:ascii="仿宋_GB2312" w:hAnsi="宋体" w:eastAsia="仿宋_GB2312" w:cs="宋体"/>
          <w:color w:val="000000"/>
          <w:kern w:val="0"/>
          <w:sz w:val="30"/>
          <w:szCs w:val="30"/>
        </w:rPr>
        <w:t>的名称。</w:t>
      </w:r>
    </w:p>
    <w:p w14:paraId="18E8C534">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（二）大股东、</w:t>
      </w:r>
      <w:r>
        <w:rPr>
          <w:rFonts w:hint="eastAsia" w:ascii="仿宋_GB2312" w:hAnsi="宋体" w:eastAsia="仿宋_GB2312" w:cs="宋体"/>
          <w:color w:val="000000"/>
          <w:kern w:val="0"/>
          <w:sz w:val="30"/>
          <w:szCs w:val="30"/>
          <w:lang w:eastAsia="zh-CN"/>
        </w:rPr>
        <w:t>董事、高管</w:t>
      </w:r>
      <w:r>
        <w:rPr>
          <w:rFonts w:hint="eastAsia" w:ascii="仿宋_GB2312" w:hAnsi="宋体" w:eastAsia="仿宋_GB2312" w:cs="宋体"/>
          <w:color w:val="000000"/>
          <w:kern w:val="0"/>
          <w:sz w:val="30"/>
          <w:szCs w:val="30"/>
        </w:rPr>
        <w:t>持股数量、持股比例、所持股份来源。</w:t>
      </w:r>
    </w:p>
    <w:p w14:paraId="43E05385">
      <w:pPr>
        <w:widowControl/>
        <w:spacing w:line="600" w:lineRule="exact"/>
        <w:ind w:firstLine="600" w:firstLineChars="200"/>
        <w:jc w:val="left"/>
        <w:rPr>
          <w:rFonts w:ascii="仿宋_GB2312" w:hAnsi="宋体" w:eastAsia="仿宋_GB2312" w:cs="宋体"/>
          <w:color w:val="000000"/>
          <w:kern w:val="0"/>
          <w:sz w:val="30"/>
          <w:szCs w:val="30"/>
        </w:rPr>
      </w:pPr>
    </w:p>
    <w:p w14:paraId="5BEB0664">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二、减持计划的主要内容</w:t>
      </w:r>
    </w:p>
    <w:p w14:paraId="6BFAFB5D">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（一）本次拟减持的股份来源、数量、减持比例、减持时间区间</w:t>
      </w:r>
      <w:r>
        <w:rPr>
          <w:rFonts w:hint="eastAsia" w:ascii="仿宋_GB2312" w:eastAsia="仿宋_GB2312" w:cs="宋体"/>
          <w:color w:val="000000"/>
          <w:kern w:val="0"/>
          <w:sz w:val="30"/>
          <w:szCs w:val="30"/>
        </w:rPr>
        <w:t>（不超过3个月）</w:t>
      </w:r>
      <w:r>
        <w:rPr>
          <w:rFonts w:hint="eastAsia" w:ascii="仿宋_GB2312" w:hAnsi="宋体" w:eastAsia="仿宋_GB2312" w:cs="宋体"/>
          <w:color w:val="000000"/>
          <w:kern w:val="0"/>
          <w:sz w:val="30"/>
          <w:szCs w:val="30"/>
        </w:rPr>
        <w:t xml:space="preserve">、减持方式及合理价格区间等具体安排。 </w:t>
      </w:r>
    </w:p>
    <w:p w14:paraId="44581C6C">
      <w:pPr>
        <w:widowControl/>
        <w:spacing w:line="6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（二）不存在《上市公司自律监管指引第15号——股东及董事、高级管理人员减持股份》第五条至第九条规定情形的说明。</w:t>
      </w:r>
    </w:p>
    <w:p w14:paraId="29639ED8">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（三）大股东及</w:t>
      </w:r>
      <w:r>
        <w:rPr>
          <w:rFonts w:hint="eastAsia" w:ascii="仿宋_GB2312" w:hAnsi="宋体" w:eastAsia="仿宋_GB2312" w:cs="宋体"/>
          <w:color w:val="000000"/>
          <w:kern w:val="0"/>
          <w:sz w:val="30"/>
          <w:szCs w:val="30"/>
          <w:lang w:eastAsia="zh-CN"/>
        </w:rPr>
        <w:t>董事、高管</w:t>
      </w:r>
      <w:r>
        <w:rPr>
          <w:rFonts w:hint="eastAsia" w:ascii="仿宋_GB2312" w:hAnsi="宋体" w:eastAsia="仿宋_GB2312" w:cs="宋体"/>
          <w:color w:val="000000"/>
          <w:kern w:val="0"/>
          <w:sz w:val="30"/>
          <w:szCs w:val="30"/>
        </w:rPr>
        <w:t>此前</w:t>
      </w:r>
      <w:r>
        <w:rPr>
          <w:rFonts w:hint="eastAsia" w:ascii="仿宋_GB2312" w:eastAsia="仿宋_GB2312"/>
          <w:sz w:val="30"/>
          <w:szCs w:val="30"/>
        </w:rPr>
        <w:t>对持股比例、持股数量、持股期限、减持方式、减持数量、减持价格等作出承诺的情况，并说明</w:t>
      </w:r>
      <w:r>
        <w:rPr>
          <w:rFonts w:hint="eastAsia" w:ascii="仿宋_GB2312" w:hAnsi="宋体" w:eastAsia="仿宋_GB2312" w:cs="宋体"/>
          <w:color w:val="000000"/>
          <w:kern w:val="0"/>
          <w:sz w:val="30"/>
          <w:szCs w:val="30"/>
        </w:rPr>
        <w:t>本次拟减持事项是否与此前已披露的承诺一致。</w:t>
      </w:r>
    </w:p>
    <w:p w14:paraId="10207D2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（四）拟减持的具体原因。</w:t>
      </w:r>
    </w:p>
    <w:p w14:paraId="28BDA5B8">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（五）上市时未盈利的公司，其控股股东、实际控制人、董事、高级管理人员拟减持首发前股份的，还应当披露达到减持条件的情形。</w:t>
      </w:r>
    </w:p>
    <w:p w14:paraId="315804C3">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（六）本所要求的其他事项。</w:t>
      </w:r>
    </w:p>
    <w:p w14:paraId="1E552DAE">
      <w:pPr>
        <w:widowControl/>
        <w:spacing w:line="600" w:lineRule="exact"/>
        <w:ind w:firstLine="602" w:firstLineChars="200"/>
        <w:jc w:val="left"/>
        <w:rPr>
          <w:rFonts w:ascii="仿宋_GB2312" w:hAnsi="黑体" w:eastAsia="仿宋_GB2312" w:cs="宋体"/>
          <w:b/>
          <w:color w:val="000000"/>
          <w:kern w:val="0"/>
          <w:sz w:val="30"/>
          <w:szCs w:val="30"/>
        </w:rPr>
      </w:pPr>
    </w:p>
    <w:p w14:paraId="086E2F90">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三、控股股东或者实际控制人减持首发前股份（如适用）</w:t>
      </w:r>
    </w:p>
    <w:p w14:paraId="4EF9386A">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控股股东或者实际控制人拟减持首发前股份的，还应当披露下列事项：</w:t>
      </w:r>
    </w:p>
    <w:p w14:paraId="05A1CFB9">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（一）明确并披露公司的控制权安排，保证上市公司持续稳定经营；</w:t>
      </w:r>
    </w:p>
    <w:p w14:paraId="741FA307">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（二）上市公司是否存在重大负面事项、重大风险；</w:t>
      </w:r>
    </w:p>
    <w:p w14:paraId="4B15A62D">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（三）控股股东或者实际控制人认为应当说明的事项。</w:t>
      </w:r>
    </w:p>
    <w:p w14:paraId="1CA87572">
      <w:pPr>
        <w:widowControl/>
        <w:spacing w:line="600" w:lineRule="exact"/>
        <w:ind w:firstLine="600" w:firstLineChars="200"/>
        <w:jc w:val="left"/>
        <w:rPr>
          <w:rFonts w:ascii="仿宋_GB2312" w:hAnsi="宋体" w:eastAsia="仿宋_GB2312" w:cs="宋体"/>
          <w:color w:val="000000"/>
          <w:kern w:val="0"/>
          <w:sz w:val="30"/>
          <w:szCs w:val="30"/>
        </w:rPr>
      </w:pPr>
    </w:p>
    <w:p w14:paraId="612E655A">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四、相关风险提示</w:t>
      </w:r>
    </w:p>
    <w:p w14:paraId="7E8EA9E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（一）减持计划实施的不确定性风险，如计划实施的前提条件、限制性条件以及相关条件成就或者消除的具体情形等。</w:t>
      </w:r>
    </w:p>
    <w:p w14:paraId="6D45FE31">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（二）减持计划实施可能导致上市公司控制权发生变更的风险（如适用）。</w:t>
      </w:r>
    </w:p>
    <w:p w14:paraId="011863A4">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（三）其他风险。</w:t>
      </w:r>
    </w:p>
    <w:p w14:paraId="1B5A1BF5">
      <w:pPr>
        <w:widowControl/>
        <w:spacing w:line="600" w:lineRule="exact"/>
        <w:ind w:firstLine="600" w:firstLineChars="200"/>
        <w:jc w:val="left"/>
        <w:rPr>
          <w:rFonts w:ascii="仿宋_GB2312" w:hAnsi="宋体" w:eastAsia="仿宋_GB2312" w:cs="宋体"/>
          <w:color w:val="000000"/>
          <w:kern w:val="0"/>
          <w:sz w:val="30"/>
          <w:szCs w:val="30"/>
        </w:rPr>
      </w:pPr>
    </w:p>
    <w:p w14:paraId="3C08396D">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五、减持计划的实施进展（如适用）</w:t>
      </w:r>
    </w:p>
    <w:p w14:paraId="07C4ECAA">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（一）在减持时间区间内，上市公司披露高送转或筹划并购重组等重大事项的，大股东、</w:t>
      </w:r>
      <w:r>
        <w:rPr>
          <w:rFonts w:hint="eastAsia" w:ascii="仿宋_GB2312" w:hAnsi="宋体" w:eastAsia="仿宋_GB2312" w:cs="宋体"/>
          <w:color w:val="000000"/>
          <w:kern w:val="0"/>
          <w:sz w:val="30"/>
          <w:szCs w:val="30"/>
          <w:lang w:eastAsia="zh-CN"/>
        </w:rPr>
        <w:t>董事、高管</w:t>
      </w:r>
      <w:r>
        <w:rPr>
          <w:rFonts w:hint="eastAsia" w:ascii="仿宋_GB2312" w:hAnsi="宋体" w:eastAsia="仿宋_GB2312" w:cs="宋体"/>
          <w:color w:val="000000"/>
          <w:kern w:val="0"/>
          <w:sz w:val="30"/>
          <w:szCs w:val="30"/>
        </w:rPr>
        <w:t>应当立即披露减持进展情况。说明</w:t>
      </w:r>
      <w:r>
        <w:rPr>
          <w:rFonts w:hint="eastAsia" w:ascii="仿宋_GB2312" w:eastAsia="仿宋_GB2312"/>
          <w:sz w:val="30"/>
          <w:szCs w:val="30"/>
        </w:rPr>
        <w:t>本次减持事项与上市公司披露的高送转或筹划并购重组等重大事项是否有关（如适用）。</w:t>
      </w:r>
    </w:p>
    <w:p w14:paraId="702997CE">
      <w:pPr>
        <w:widowControl/>
        <w:spacing w:line="6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（二）本所要求的其他事项。</w:t>
      </w:r>
    </w:p>
    <w:p w14:paraId="37D49218">
      <w:pPr>
        <w:adjustRightInd w:val="0"/>
        <w:snapToGrid w:val="0"/>
        <w:spacing w:line="560" w:lineRule="exact"/>
        <w:ind w:firstLine="480" w:firstLineChars="200"/>
        <w:rPr>
          <w:rFonts w:hint="eastAsia" w:ascii="楷体" w:hAnsi="楷体" w:eastAsia="楷体" w:cs="宋体"/>
          <w:color w:val="000000"/>
          <w:kern w:val="0"/>
          <w:sz w:val="24"/>
          <w:szCs w:val="24"/>
        </w:rPr>
      </w:pPr>
      <w:r>
        <w:rPr>
          <w:rFonts w:hint="eastAsia" w:ascii="楷体" w:hAnsi="楷体" w:eastAsia="楷体" w:cs="宋体"/>
          <w:color w:val="000000"/>
          <w:kern w:val="0"/>
          <w:sz w:val="24"/>
          <w:szCs w:val="24"/>
        </w:rPr>
        <w:t>（编制提醒：1.大股东及</w:t>
      </w:r>
      <w:r>
        <w:rPr>
          <w:rFonts w:hint="eastAsia" w:ascii="楷体" w:hAnsi="楷体" w:eastAsia="楷体" w:cs="宋体"/>
          <w:color w:val="000000"/>
          <w:kern w:val="0"/>
          <w:sz w:val="24"/>
          <w:szCs w:val="24"/>
          <w:lang w:eastAsia="zh-CN"/>
        </w:rPr>
        <w:t>董事、高管</w:t>
      </w:r>
      <w:r>
        <w:rPr>
          <w:rFonts w:hint="eastAsia" w:ascii="楷体" w:hAnsi="楷体" w:eastAsia="楷体" w:cs="宋体"/>
          <w:color w:val="000000"/>
          <w:kern w:val="0"/>
          <w:sz w:val="24"/>
          <w:szCs w:val="24"/>
        </w:rPr>
        <w:t>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4D8EA326">
      <w:pPr>
        <w:adjustRightInd w:val="0"/>
        <w:snapToGrid w:val="0"/>
        <w:spacing w:line="560" w:lineRule="exact"/>
        <w:ind w:firstLine="480" w:firstLineChars="200"/>
        <w:rPr>
          <w:rFonts w:hint="eastAsia"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hint="eastAsia" w:ascii="楷体" w:hAnsi="楷体" w:eastAsia="楷体"/>
          <w:bCs/>
          <w:color w:val="000000"/>
          <w:sz w:val="24"/>
          <w:szCs w:val="24"/>
        </w:rPr>
        <w:t>在减持计划实施期间发生派发红利、送红股、转增股本、增发新股或配股等股本变动股本除权、除息事项的，减持主体可以对减持计划进行相应调整，并在相关公告中予以说明。</w:t>
      </w:r>
      <w:r>
        <w:rPr>
          <w:rFonts w:hint="eastAsia" w:ascii="楷体" w:hAnsi="楷体" w:eastAsia="楷体" w:cs="宋体"/>
          <w:color w:val="000000"/>
          <w:kern w:val="0"/>
          <w:sz w:val="24"/>
          <w:szCs w:val="24"/>
        </w:rPr>
        <w:t>）</w:t>
      </w:r>
    </w:p>
    <w:p w14:paraId="7A62865E">
      <w:pPr>
        <w:widowControl/>
        <w:spacing w:line="600" w:lineRule="exact"/>
        <w:ind w:firstLine="602" w:firstLineChars="200"/>
        <w:jc w:val="left"/>
        <w:rPr>
          <w:rFonts w:ascii="仿宋_GB2312" w:hAnsi="黑体" w:eastAsia="仿宋_GB2312" w:cs="宋体"/>
          <w:b/>
          <w:color w:val="000000"/>
          <w:kern w:val="0"/>
          <w:sz w:val="30"/>
          <w:szCs w:val="30"/>
        </w:rPr>
      </w:pPr>
    </w:p>
    <w:p w14:paraId="428B1789">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六、减持计划的实施结果</w:t>
      </w:r>
    </w:p>
    <w:p w14:paraId="75C15C3F">
      <w:pPr>
        <w:widowControl/>
        <w:spacing w:line="6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（一）本次减持计划的实施结果情况，包括但不限于股东名称、股东身份、减持期间、减持价格区间、减持方式、减持数量、减持比例以及本次减持后的实际持股情况等。</w:t>
      </w:r>
    </w:p>
    <w:p w14:paraId="3367C27C">
      <w:pPr>
        <w:widowControl/>
        <w:spacing w:line="6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（二）明确说明本次减持是否遵守相关法律法规、本所业务规则的规定。若发现存在违规情况，应当说明违规的具体情况、整改措施（如适用）。</w:t>
      </w:r>
    </w:p>
    <w:p w14:paraId="348E63D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本次实际减持情况与此前披露的减持计划、作出的最低减持价格、最高减持数量等其他承诺是否一致，以及存在差异的原因（如适用）。若发现存在违反减持计划、其他承诺情况的，应当说明违反减持计划、其他承诺的具体情况、整改措施（如适用）。</w:t>
      </w:r>
    </w:p>
    <w:p w14:paraId="59264DDE">
      <w:pPr>
        <w:widowControl/>
        <w:spacing w:line="6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（四）减持时间区间届满但未实施减持，或实际减持未达到计划最低减持数量（比例）的，应当说明原因。</w:t>
      </w:r>
    </w:p>
    <w:p w14:paraId="76866351">
      <w:pPr>
        <w:adjustRightInd w:val="0"/>
        <w:snapToGrid w:val="0"/>
        <w:spacing w:line="560" w:lineRule="exact"/>
        <w:ind w:firstLine="480" w:firstLineChars="200"/>
        <w:rPr>
          <w:rFonts w:hint="eastAsia" w:ascii="楷体" w:hAnsi="楷体" w:eastAsia="楷体" w:cs="宋体"/>
          <w:color w:val="000000"/>
          <w:kern w:val="0"/>
          <w:sz w:val="24"/>
          <w:szCs w:val="24"/>
        </w:rPr>
      </w:pPr>
      <w:r>
        <w:rPr>
          <w:rFonts w:hint="eastAsia" w:ascii="楷体" w:hAnsi="楷体" w:eastAsia="楷体" w:cs="宋体"/>
          <w:color w:val="000000"/>
          <w:kern w:val="0"/>
          <w:sz w:val="24"/>
          <w:szCs w:val="24"/>
        </w:rPr>
        <w:t>（编制提醒：1.减持计划实施完毕后，上市公司大股东、</w:t>
      </w:r>
      <w:r>
        <w:rPr>
          <w:rFonts w:hint="eastAsia" w:ascii="楷体" w:hAnsi="楷体" w:eastAsia="楷体" w:cs="宋体"/>
          <w:color w:val="000000"/>
          <w:kern w:val="0"/>
          <w:sz w:val="24"/>
          <w:szCs w:val="24"/>
          <w:lang w:eastAsia="zh-CN"/>
        </w:rPr>
        <w:t>董事、高管</w:t>
      </w:r>
      <w:r>
        <w:rPr>
          <w:rFonts w:hint="eastAsia" w:ascii="楷体" w:hAnsi="楷体" w:eastAsia="楷体" w:cs="宋体"/>
          <w:color w:val="000000"/>
          <w:kern w:val="0"/>
          <w:sz w:val="24"/>
          <w:szCs w:val="24"/>
        </w:rPr>
        <w:t>应当在2个交易日内向本所报告，并予公告；在预先披露的减持时间区间内，未实施减持或者减持计划未实施完毕的，应当在减持时间区间届满后的2个交易日内向本所报告，并予公告。</w:t>
      </w:r>
    </w:p>
    <w:p w14:paraId="00101839">
      <w:pPr>
        <w:adjustRightInd w:val="0"/>
        <w:snapToGrid w:val="0"/>
        <w:spacing w:line="560" w:lineRule="exact"/>
        <w:ind w:firstLine="480" w:firstLineChars="200"/>
        <w:rPr>
          <w:rFonts w:hint="eastAsia" w:ascii="楷体" w:hAnsi="楷体" w:eastAsia="楷体" w:cs="宋体"/>
          <w:color w:val="000000"/>
          <w:kern w:val="0"/>
          <w:sz w:val="24"/>
          <w:szCs w:val="24"/>
        </w:rPr>
      </w:pPr>
      <w:r>
        <w:rPr>
          <w:rFonts w:hint="eastAsia" w:ascii="楷体" w:hAnsi="楷体" w:eastAsia="楷体" w:cs="宋体"/>
          <w:color w:val="000000"/>
          <w:kern w:val="0"/>
          <w:sz w:val="24"/>
          <w:szCs w:val="24"/>
        </w:rPr>
        <w:t>2.大股东及</w:t>
      </w:r>
      <w:r>
        <w:rPr>
          <w:rFonts w:hint="eastAsia" w:ascii="楷体" w:hAnsi="楷体" w:eastAsia="楷体" w:cs="宋体"/>
          <w:color w:val="000000"/>
          <w:kern w:val="0"/>
          <w:sz w:val="24"/>
          <w:szCs w:val="24"/>
          <w:lang w:eastAsia="zh-CN"/>
        </w:rPr>
        <w:t>董事、高管</w:t>
      </w:r>
      <w:r>
        <w:rPr>
          <w:rFonts w:hint="eastAsia" w:ascii="楷体" w:hAnsi="楷体" w:eastAsia="楷体" w:cs="宋体"/>
          <w:color w:val="000000"/>
          <w:kern w:val="0"/>
          <w:sz w:val="24"/>
          <w:szCs w:val="24"/>
        </w:rPr>
        <w:t>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78C4A0E8">
      <w:pPr>
        <w:widowControl/>
        <w:spacing w:line="600" w:lineRule="exact"/>
        <w:ind w:firstLine="600" w:firstLineChars="200"/>
        <w:jc w:val="left"/>
        <w:rPr>
          <w:rFonts w:ascii="仿宋_GB2312" w:hAnsi="宋体" w:eastAsia="仿宋_GB2312" w:cs="宋体"/>
          <w:color w:val="000000"/>
          <w:kern w:val="0"/>
          <w:sz w:val="30"/>
          <w:szCs w:val="30"/>
        </w:rPr>
      </w:pPr>
    </w:p>
    <w:p w14:paraId="0B772B38">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6648CEE8">
      <w:pPr>
        <w:widowControl/>
        <w:spacing w:line="600" w:lineRule="exact"/>
        <w:ind w:firstLine="600" w:firstLineChars="200"/>
        <w:jc w:val="right"/>
        <w:rPr>
          <w:rFonts w:ascii="仿宋_GB2312" w:hAnsi="宋体" w:eastAsia="仿宋_GB2312" w:cs="宋体"/>
          <w:color w:val="000000"/>
          <w:kern w:val="0"/>
          <w:sz w:val="30"/>
          <w:szCs w:val="30"/>
        </w:rPr>
      </w:pPr>
    </w:p>
    <w:p w14:paraId="71448D88">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634A06A0">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5787CD01">
      <w:pPr>
        <w:widowControl/>
        <w:spacing w:line="600" w:lineRule="exact"/>
        <w:ind w:firstLine="600" w:firstLineChars="200"/>
        <w:jc w:val="right"/>
        <w:rPr>
          <w:rFonts w:ascii="仿宋_GB2312" w:hAnsi="宋体" w:eastAsia="仿宋_GB2312" w:cs="宋体"/>
          <w:color w:val="000000"/>
          <w:kern w:val="0"/>
          <w:sz w:val="30"/>
          <w:szCs w:val="30"/>
        </w:rPr>
      </w:pPr>
    </w:p>
    <w:p w14:paraId="50DC6F69">
      <w:pPr>
        <w:pStyle w:val="19"/>
        <w:spacing w:before="0" w:beforeAutospacing="0" w:after="0" w:afterAutospacing="0" w:line="600" w:lineRule="exact"/>
        <w:ind w:firstLine="600" w:firstLineChars="200"/>
        <w:rPr>
          <w:rFonts w:ascii="仿宋_GB2312" w:eastAsia="仿宋_GB2312" w:cs="宋体"/>
          <w:color w:val="000000"/>
          <w:sz w:val="30"/>
          <w:szCs w:val="30"/>
        </w:rPr>
      </w:pPr>
    </w:p>
    <w:p w14:paraId="672B6BD3">
      <w:pPr>
        <w:pStyle w:val="19"/>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报备文件（如适用）</w:t>
      </w:r>
    </w:p>
    <w:p w14:paraId="5094F462">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（一）股东及</w:t>
      </w:r>
      <w:r>
        <w:rPr>
          <w:rFonts w:hint="eastAsia" w:ascii="仿宋_GB2312" w:hAnsi="宋体" w:eastAsia="仿宋_GB2312"/>
          <w:color w:val="000000"/>
          <w:sz w:val="30"/>
          <w:szCs w:val="30"/>
          <w:lang w:eastAsia="zh-CN"/>
        </w:rPr>
        <w:t>董事、高管</w:t>
      </w:r>
      <w:r>
        <w:rPr>
          <w:rFonts w:hint="eastAsia" w:ascii="仿宋_GB2312" w:hAnsi="宋体" w:eastAsia="仿宋_GB2312"/>
          <w:color w:val="000000"/>
          <w:sz w:val="30"/>
          <w:szCs w:val="30"/>
        </w:rPr>
        <w:t>关于减持计划的书面文件</w:t>
      </w:r>
    </w:p>
    <w:p w14:paraId="2EC9F4E4">
      <w:pPr>
        <w:adjustRightInd w:val="0"/>
        <w:snapToGrid w:val="0"/>
        <w:spacing w:line="600" w:lineRule="exact"/>
        <w:ind w:firstLine="600" w:firstLineChars="200"/>
        <w:rPr>
          <w:rFonts w:ascii="仿宋_GB2312" w:hAnsi="宋体" w:eastAsia="仿宋_GB2312"/>
          <w:b/>
          <w:color w:val="000000"/>
          <w:sz w:val="30"/>
          <w:szCs w:val="30"/>
        </w:rPr>
      </w:pPr>
      <w:r>
        <w:rPr>
          <w:rFonts w:hint="eastAsia" w:ascii="仿宋_GB2312" w:hAnsi="宋体" w:eastAsia="仿宋_GB2312"/>
          <w:color w:val="000000"/>
          <w:sz w:val="30"/>
          <w:szCs w:val="30"/>
        </w:rPr>
        <w:t>（二）股东及</w:t>
      </w:r>
      <w:r>
        <w:rPr>
          <w:rFonts w:hint="eastAsia" w:ascii="仿宋_GB2312" w:hAnsi="宋体" w:eastAsia="仿宋_GB2312"/>
          <w:color w:val="000000"/>
          <w:sz w:val="30"/>
          <w:szCs w:val="30"/>
          <w:lang w:eastAsia="zh-CN"/>
        </w:rPr>
        <w:t>董事、高管</w:t>
      </w:r>
      <w:r>
        <w:rPr>
          <w:rFonts w:hint="eastAsia" w:ascii="仿宋_GB2312" w:hAnsi="宋体" w:eastAsia="仿宋_GB2312"/>
          <w:color w:val="000000"/>
          <w:sz w:val="30"/>
          <w:szCs w:val="30"/>
        </w:rPr>
        <w:t>关于减持计划实施情况的说明文件</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AA98">
    <w:pPr>
      <w:pStyle w:val="6"/>
      <w:jc w:val="center"/>
    </w:pPr>
    <w:r>
      <w:rPr>
        <w:sz w:val="21"/>
      </w:rPr>
      <w:fldChar w:fldCharType="begin"/>
    </w:r>
    <w:r>
      <w:rPr>
        <w:sz w:val="21"/>
      </w:rPr>
      <w:instrText xml:space="preserve"> PAGE   \* MERGEFORMAT </w:instrText>
    </w:r>
    <w:r>
      <w:rPr>
        <w:sz w:val="21"/>
      </w:rPr>
      <w:fldChar w:fldCharType="separate"/>
    </w:r>
    <w:r>
      <w:rPr>
        <w:sz w:val="21"/>
        <w:lang w:val="zh-CN"/>
      </w:rPr>
      <w:t>2</w:t>
    </w:r>
    <w:r>
      <w:rPr>
        <w:sz w:val="21"/>
      </w:rPr>
      <w:fldChar w:fldCharType="end"/>
    </w:r>
  </w:p>
  <w:p w14:paraId="52CA4DD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F5"/>
    <w:rsid w:val="00011CF5"/>
    <w:rsid w:val="00012EDE"/>
    <w:rsid w:val="00022226"/>
    <w:rsid w:val="000228C7"/>
    <w:rsid w:val="00034CAF"/>
    <w:rsid w:val="000451D5"/>
    <w:rsid w:val="00053826"/>
    <w:rsid w:val="0005662C"/>
    <w:rsid w:val="00072390"/>
    <w:rsid w:val="00076837"/>
    <w:rsid w:val="00082C33"/>
    <w:rsid w:val="00097B58"/>
    <w:rsid w:val="000A35AA"/>
    <w:rsid w:val="000C31F3"/>
    <w:rsid w:val="000E387E"/>
    <w:rsid w:val="000E7EA4"/>
    <w:rsid w:val="001066CB"/>
    <w:rsid w:val="00133FDD"/>
    <w:rsid w:val="001459ED"/>
    <w:rsid w:val="00151D5F"/>
    <w:rsid w:val="00155283"/>
    <w:rsid w:val="001561DF"/>
    <w:rsid w:val="0015755F"/>
    <w:rsid w:val="00162742"/>
    <w:rsid w:val="001707B8"/>
    <w:rsid w:val="00180950"/>
    <w:rsid w:val="001B4EE9"/>
    <w:rsid w:val="001E146F"/>
    <w:rsid w:val="001F18F1"/>
    <w:rsid w:val="001F77D5"/>
    <w:rsid w:val="00225B4E"/>
    <w:rsid w:val="00262050"/>
    <w:rsid w:val="00287B4B"/>
    <w:rsid w:val="002917F2"/>
    <w:rsid w:val="002978D4"/>
    <w:rsid w:val="002A2566"/>
    <w:rsid w:val="002C7A26"/>
    <w:rsid w:val="002D429A"/>
    <w:rsid w:val="002F01AB"/>
    <w:rsid w:val="002F356D"/>
    <w:rsid w:val="00312ED4"/>
    <w:rsid w:val="0032337F"/>
    <w:rsid w:val="00327BE4"/>
    <w:rsid w:val="003423D5"/>
    <w:rsid w:val="00345F66"/>
    <w:rsid w:val="003607B5"/>
    <w:rsid w:val="003A6081"/>
    <w:rsid w:val="003B5674"/>
    <w:rsid w:val="003D5351"/>
    <w:rsid w:val="003F6157"/>
    <w:rsid w:val="00415F29"/>
    <w:rsid w:val="00430921"/>
    <w:rsid w:val="00452AC9"/>
    <w:rsid w:val="004651A0"/>
    <w:rsid w:val="004814C3"/>
    <w:rsid w:val="004953BD"/>
    <w:rsid w:val="0049678E"/>
    <w:rsid w:val="004A0262"/>
    <w:rsid w:val="004A0ABB"/>
    <w:rsid w:val="004A35C7"/>
    <w:rsid w:val="004B1335"/>
    <w:rsid w:val="004B3E0B"/>
    <w:rsid w:val="004B7823"/>
    <w:rsid w:val="004C76D6"/>
    <w:rsid w:val="00541DDF"/>
    <w:rsid w:val="005441BE"/>
    <w:rsid w:val="00570C05"/>
    <w:rsid w:val="005929AC"/>
    <w:rsid w:val="00597330"/>
    <w:rsid w:val="005C28CA"/>
    <w:rsid w:val="005F3796"/>
    <w:rsid w:val="005F5796"/>
    <w:rsid w:val="006209BB"/>
    <w:rsid w:val="0062373C"/>
    <w:rsid w:val="00626844"/>
    <w:rsid w:val="00627695"/>
    <w:rsid w:val="006447C5"/>
    <w:rsid w:val="00686D32"/>
    <w:rsid w:val="00692995"/>
    <w:rsid w:val="006B4DA6"/>
    <w:rsid w:val="006C3828"/>
    <w:rsid w:val="006D559B"/>
    <w:rsid w:val="006D5B89"/>
    <w:rsid w:val="006E5AF7"/>
    <w:rsid w:val="006F2E7D"/>
    <w:rsid w:val="006F7F5F"/>
    <w:rsid w:val="007049D0"/>
    <w:rsid w:val="00711265"/>
    <w:rsid w:val="0072304D"/>
    <w:rsid w:val="00741785"/>
    <w:rsid w:val="007714C4"/>
    <w:rsid w:val="007C2EC6"/>
    <w:rsid w:val="007D03AB"/>
    <w:rsid w:val="007D2C71"/>
    <w:rsid w:val="00802805"/>
    <w:rsid w:val="00814717"/>
    <w:rsid w:val="00816DAD"/>
    <w:rsid w:val="008431AF"/>
    <w:rsid w:val="00845BFC"/>
    <w:rsid w:val="008526C1"/>
    <w:rsid w:val="00855515"/>
    <w:rsid w:val="00880A4A"/>
    <w:rsid w:val="0089165A"/>
    <w:rsid w:val="00895B15"/>
    <w:rsid w:val="00896D09"/>
    <w:rsid w:val="008A15D8"/>
    <w:rsid w:val="008A5B90"/>
    <w:rsid w:val="008C1766"/>
    <w:rsid w:val="008E02E6"/>
    <w:rsid w:val="008F3BD8"/>
    <w:rsid w:val="008F50D2"/>
    <w:rsid w:val="008F5EBE"/>
    <w:rsid w:val="00932D1F"/>
    <w:rsid w:val="00944F57"/>
    <w:rsid w:val="00951C47"/>
    <w:rsid w:val="009653FF"/>
    <w:rsid w:val="009803FD"/>
    <w:rsid w:val="009828C2"/>
    <w:rsid w:val="009900D7"/>
    <w:rsid w:val="009A7099"/>
    <w:rsid w:val="009B487D"/>
    <w:rsid w:val="009D552E"/>
    <w:rsid w:val="009D69C2"/>
    <w:rsid w:val="009E0B3D"/>
    <w:rsid w:val="00A03860"/>
    <w:rsid w:val="00A13181"/>
    <w:rsid w:val="00A23950"/>
    <w:rsid w:val="00A26371"/>
    <w:rsid w:val="00A35982"/>
    <w:rsid w:val="00A5222A"/>
    <w:rsid w:val="00A526CD"/>
    <w:rsid w:val="00A81D87"/>
    <w:rsid w:val="00A84534"/>
    <w:rsid w:val="00A911BE"/>
    <w:rsid w:val="00A9267E"/>
    <w:rsid w:val="00A97FAD"/>
    <w:rsid w:val="00AB17EF"/>
    <w:rsid w:val="00AB692B"/>
    <w:rsid w:val="00AD5234"/>
    <w:rsid w:val="00AE1E22"/>
    <w:rsid w:val="00AE7116"/>
    <w:rsid w:val="00B24679"/>
    <w:rsid w:val="00B554A0"/>
    <w:rsid w:val="00B77288"/>
    <w:rsid w:val="00B7769D"/>
    <w:rsid w:val="00B82488"/>
    <w:rsid w:val="00B83A02"/>
    <w:rsid w:val="00B87F58"/>
    <w:rsid w:val="00B9065B"/>
    <w:rsid w:val="00BA31FF"/>
    <w:rsid w:val="00BB567A"/>
    <w:rsid w:val="00BB7FC4"/>
    <w:rsid w:val="00BC30AD"/>
    <w:rsid w:val="00BD5BC1"/>
    <w:rsid w:val="00BF12AC"/>
    <w:rsid w:val="00BF6C45"/>
    <w:rsid w:val="00C4199A"/>
    <w:rsid w:val="00C513D2"/>
    <w:rsid w:val="00C52E2F"/>
    <w:rsid w:val="00C707C0"/>
    <w:rsid w:val="00CC2D18"/>
    <w:rsid w:val="00CE6BC2"/>
    <w:rsid w:val="00D17DA7"/>
    <w:rsid w:val="00D378B0"/>
    <w:rsid w:val="00D42085"/>
    <w:rsid w:val="00D43AB7"/>
    <w:rsid w:val="00D63728"/>
    <w:rsid w:val="00D95244"/>
    <w:rsid w:val="00DA1443"/>
    <w:rsid w:val="00DB7CB9"/>
    <w:rsid w:val="00DC381D"/>
    <w:rsid w:val="00DE1150"/>
    <w:rsid w:val="00DE69D2"/>
    <w:rsid w:val="00DF23A0"/>
    <w:rsid w:val="00E12CF2"/>
    <w:rsid w:val="00E13E35"/>
    <w:rsid w:val="00E24665"/>
    <w:rsid w:val="00E26A9F"/>
    <w:rsid w:val="00E27842"/>
    <w:rsid w:val="00E31CA9"/>
    <w:rsid w:val="00E35CC4"/>
    <w:rsid w:val="00E37279"/>
    <w:rsid w:val="00E50279"/>
    <w:rsid w:val="00E63E76"/>
    <w:rsid w:val="00E65072"/>
    <w:rsid w:val="00E65B78"/>
    <w:rsid w:val="00E66648"/>
    <w:rsid w:val="00E8568B"/>
    <w:rsid w:val="00E943EF"/>
    <w:rsid w:val="00EB0A42"/>
    <w:rsid w:val="00EB2637"/>
    <w:rsid w:val="00EB5F36"/>
    <w:rsid w:val="00EC01A7"/>
    <w:rsid w:val="00EC2D5C"/>
    <w:rsid w:val="00EC44F8"/>
    <w:rsid w:val="00ED114C"/>
    <w:rsid w:val="00EF407C"/>
    <w:rsid w:val="00F00B0D"/>
    <w:rsid w:val="00F0344C"/>
    <w:rsid w:val="00F0720C"/>
    <w:rsid w:val="00F13D71"/>
    <w:rsid w:val="00F52A82"/>
    <w:rsid w:val="00F621C4"/>
    <w:rsid w:val="00F66C42"/>
    <w:rsid w:val="00F731EA"/>
    <w:rsid w:val="00FB3294"/>
    <w:rsid w:val="00FC508F"/>
    <w:rsid w:val="00FF238E"/>
    <w:rsid w:val="0A464040"/>
    <w:rsid w:val="3BE253E0"/>
    <w:rsid w:val="43C92463"/>
    <w:rsid w:val="4BA05F23"/>
    <w:rsid w:val="57DB419E"/>
    <w:rsid w:val="6103746F"/>
    <w:rsid w:val="62261710"/>
    <w:rsid w:val="7CDF2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Document Map"/>
    <w:basedOn w:val="1"/>
    <w:link w:val="13"/>
    <w:unhideWhenUsed/>
    <w:uiPriority w:val="99"/>
    <w:rPr>
      <w:rFonts w:ascii="宋体"/>
      <w:sz w:val="18"/>
      <w:szCs w:val="18"/>
    </w:rPr>
  </w:style>
  <w:style w:type="paragraph" w:styleId="4">
    <w:name w:val="annotation text"/>
    <w:basedOn w:val="1"/>
    <w:link w:val="14"/>
    <w:unhideWhenUsed/>
    <w:uiPriority w:val="99"/>
    <w:pPr>
      <w:jc w:val="left"/>
    </w:pPr>
  </w:style>
  <w:style w:type="paragraph" w:styleId="5">
    <w:name w:val="Balloon Text"/>
    <w:basedOn w:val="1"/>
    <w:link w:val="15"/>
    <w:unhideWhenUsed/>
    <w:uiPriority w:val="99"/>
    <w:rPr>
      <w:kern w:val="0"/>
      <w:sz w:val="18"/>
      <w:szCs w:val="18"/>
    </w:rPr>
  </w:style>
  <w:style w:type="paragraph" w:styleId="6">
    <w:name w:val="footer"/>
    <w:basedOn w:val="1"/>
    <w:link w:val="16"/>
    <w:unhideWhenUsed/>
    <w:uiPriority w:val="99"/>
    <w:pPr>
      <w:tabs>
        <w:tab w:val="center" w:pos="4153"/>
        <w:tab w:val="right" w:pos="8306"/>
      </w:tabs>
      <w:snapToGrid w:val="0"/>
      <w:jc w:val="left"/>
    </w:pPr>
    <w:rPr>
      <w:kern w:val="0"/>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18"/>
    <w:unhideWhenUsed/>
    <w:uiPriority w:val="99"/>
    <w:rPr>
      <w:b/>
      <w:bCs/>
      <w:kern w:val="0"/>
      <w:sz w:val="20"/>
      <w:szCs w:val="20"/>
    </w:rPr>
  </w:style>
  <w:style w:type="character" w:styleId="11">
    <w:name w:val="annotation reference"/>
    <w:unhideWhenUsed/>
    <w:uiPriority w:val="99"/>
    <w:rPr>
      <w:sz w:val="21"/>
      <w:szCs w:val="21"/>
    </w:rPr>
  </w:style>
  <w:style w:type="character" w:customStyle="1" w:styleId="12">
    <w:name w:val="标题 1 字符"/>
    <w:link w:val="2"/>
    <w:uiPriority w:val="9"/>
    <w:rPr>
      <w:b/>
      <w:bCs/>
      <w:kern w:val="44"/>
      <w:sz w:val="44"/>
      <w:szCs w:val="44"/>
    </w:rPr>
  </w:style>
  <w:style w:type="character" w:customStyle="1" w:styleId="13">
    <w:name w:val="文档结构图 字符"/>
    <w:link w:val="3"/>
    <w:semiHidden/>
    <w:uiPriority w:val="99"/>
    <w:rPr>
      <w:rFonts w:ascii="宋体"/>
      <w:kern w:val="2"/>
      <w:sz w:val="18"/>
      <w:szCs w:val="18"/>
    </w:rPr>
  </w:style>
  <w:style w:type="character" w:customStyle="1" w:styleId="14">
    <w:name w:val="批注文字 字符"/>
    <w:link w:val="4"/>
    <w:uiPriority w:val="99"/>
  </w:style>
  <w:style w:type="character" w:customStyle="1" w:styleId="15">
    <w:name w:val="批注框文本 字符"/>
    <w:link w:val="5"/>
    <w:semiHidden/>
    <w:uiPriority w:val="99"/>
    <w:rPr>
      <w:sz w:val="18"/>
      <w:szCs w:val="18"/>
    </w:rPr>
  </w:style>
  <w:style w:type="character" w:customStyle="1" w:styleId="16">
    <w:name w:val="页脚 字符"/>
    <w:link w:val="6"/>
    <w:uiPriority w:val="99"/>
    <w:rPr>
      <w:sz w:val="18"/>
      <w:szCs w:val="18"/>
    </w:rPr>
  </w:style>
  <w:style w:type="character" w:customStyle="1" w:styleId="17">
    <w:name w:val="页眉 字符"/>
    <w:link w:val="7"/>
    <w:semiHidden/>
    <w:uiPriority w:val="99"/>
    <w:rPr>
      <w:sz w:val="18"/>
      <w:szCs w:val="18"/>
    </w:rPr>
  </w:style>
  <w:style w:type="character" w:customStyle="1" w:styleId="18">
    <w:name w:val="批注主题 字符"/>
    <w:link w:val="8"/>
    <w:semiHidden/>
    <w:uiPriority w:val="99"/>
    <w:rPr>
      <w:b/>
      <w:bCs/>
    </w:rPr>
  </w:style>
  <w:style w:type="paragraph" w:styleId="19">
    <w:name w:val="List Paragraph"/>
    <w:basedOn w:val="1"/>
    <w:link w:val="20"/>
    <w:qFormat/>
    <w:uiPriority w:val="0"/>
    <w:pPr>
      <w:widowControl/>
      <w:spacing w:before="100" w:beforeAutospacing="1" w:after="100" w:afterAutospacing="1"/>
      <w:jc w:val="left"/>
    </w:pPr>
    <w:rPr>
      <w:rFonts w:ascii="宋体" w:hAnsi="宋体"/>
      <w:kern w:val="0"/>
      <w:sz w:val="24"/>
      <w:szCs w:val="24"/>
    </w:rPr>
  </w:style>
  <w:style w:type="character" w:customStyle="1" w:styleId="20">
    <w:name w:val="列出段落 字符"/>
    <w:link w:val="19"/>
    <w:locked/>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349</Words>
  <Characters>1992</Characters>
  <Lines>16</Lines>
  <Paragraphs>4</Paragraphs>
  <TotalTime>0</TotalTime>
  <ScaleCrop>false</ScaleCrop>
  <LinksUpToDate>false</LinksUpToDate>
  <CharactersWithSpaces>2337</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2019-04-05T05:57:00Z</dcterms:created>
  <dc:creator>sysun</dc:creator>
  <cp:lastModifiedBy>黄文怡</cp:lastModifiedBy>
  <dcterms:modified xsi:type="dcterms:W3CDTF">2025-04-25T09:38:52Z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BABDF3B297A04CDF9885DED709C59F09_13</vt:lpwstr>
  </property>
</Properties>
</file>