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3741E">
      <w:pPr>
        <w:adjustRightInd w:val="0"/>
        <w:snapToGrid w:val="0"/>
        <w:spacing w:line="560" w:lineRule="exact"/>
        <w:jc w:val="center"/>
        <w:rPr>
          <w:rFonts w:hint="eastAsia" w:ascii="黑体" w:hAnsi="黑体" w:eastAsia="黑体"/>
          <w:b/>
          <w:bCs/>
          <w:sz w:val="36"/>
          <w:szCs w:val="36"/>
        </w:rPr>
      </w:pPr>
      <w:bookmarkStart w:id="0" w:name="_GoBack"/>
      <w:r>
        <w:rPr>
          <w:rFonts w:hint="eastAsia" w:ascii="黑体" w:hAnsi="黑体" w:eastAsia="黑体"/>
          <w:b/>
          <w:bCs/>
          <w:sz w:val="36"/>
          <w:szCs w:val="36"/>
        </w:rPr>
        <w:t>第二十六号 科创板上市公司续聘</w:t>
      </w:r>
      <w:r>
        <w:rPr>
          <w:rFonts w:hint="eastAsia" w:ascii="黑体" w:hAnsi="黑体" w:eastAsia="黑体"/>
          <w:b/>
          <w:bCs/>
          <w:sz w:val="36"/>
          <w:szCs w:val="36"/>
          <w:lang w:eastAsia="zh-CN"/>
        </w:rPr>
        <w:t>、</w:t>
      </w:r>
      <w:r>
        <w:rPr>
          <w:rFonts w:hint="eastAsia" w:ascii="黑体" w:hAnsi="黑体" w:eastAsia="黑体"/>
          <w:b/>
          <w:bCs/>
          <w:sz w:val="36"/>
          <w:szCs w:val="36"/>
        </w:rPr>
        <w:t>变更</w:t>
      </w:r>
    </w:p>
    <w:p w14:paraId="58584744">
      <w:pPr>
        <w:adjustRightInd w:val="0"/>
        <w:snapToGrid w:val="0"/>
        <w:spacing w:line="560" w:lineRule="exact"/>
        <w:jc w:val="center"/>
        <w:rPr>
          <w:rFonts w:hint="eastAsia" w:ascii="黑体" w:hAnsi="黑体" w:eastAsia="黑体"/>
          <w:b/>
          <w:bCs/>
          <w:sz w:val="36"/>
          <w:szCs w:val="36"/>
        </w:rPr>
      </w:pPr>
      <w:r>
        <w:rPr>
          <w:rFonts w:hint="eastAsia" w:ascii="黑体" w:hAnsi="黑体" w:eastAsia="黑体"/>
          <w:b/>
          <w:bCs/>
          <w:sz w:val="36"/>
          <w:szCs w:val="36"/>
        </w:rPr>
        <w:t>会计师事务所公告</w:t>
      </w:r>
    </w:p>
    <w:bookmarkEnd w:id="0"/>
    <w:p w14:paraId="4A7CB336">
      <w:pPr>
        <w:autoSpaceDE w:val="0"/>
        <w:autoSpaceDN w:val="0"/>
        <w:adjustRightInd w:val="0"/>
        <w:spacing w:line="560" w:lineRule="exact"/>
        <w:jc w:val="center"/>
        <w:rPr>
          <w:rFonts w:ascii="仿宋_GB2312" w:eastAsia="仿宋_GB2312"/>
          <w:color w:val="000000"/>
          <w:sz w:val="30"/>
          <w:szCs w:val="30"/>
        </w:rPr>
      </w:pPr>
    </w:p>
    <w:p w14:paraId="3481C402">
      <w:pPr>
        <w:adjustRightInd w:val="0"/>
        <w:snapToGrid w:val="0"/>
        <w:spacing w:line="360" w:lineRule="auto"/>
        <w:jc w:val="left"/>
        <w:rPr>
          <w:rFonts w:hint="eastAsia" w:ascii="仿宋_GB2312" w:hAnsi="宋体" w:eastAsia="仿宋_GB2312"/>
          <w:b/>
          <w:sz w:val="30"/>
          <w:szCs w:val="30"/>
        </w:rPr>
      </w:pPr>
      <w:r>
        <w:rPr>
          <w:rFonts w:hint="eastAsia" w:ascii="仿宋_GB2312" w:hAnsi="宋体" w:eastAsia="仿宋_GB2312"/>
          <w:b/>
          <w:sz w:val="30"/>
          <w:szCs w:val="30"/>
        </w:rPr>
        <w:t>适用情形：</w:t>
      </w:r>
    </w:p>
    <w:p w14:paraId="66C28591">
      <w:pPr>
        <w:adjustRightInd w:val="0"/>
        <w:snapToGrid w:val="0"/>
        <w:spacing w:line="360" w:lineRule="auto"/>
        <w:ind w:firstLine="600" w:firstLineChars="200"/>
        <w:jc w:val="left"/>
        <w:rPr>
          <w:rFonts w:hint="eastAsia" w:ascii="仿宋_GB2312" w:hAnsi="宋体" w:eastAsia="仿宋_GB2312"/>
          <w:sz w:val="30"/>
          <w:szCs w:val="30"/>
        </w:rPr>
      </w:pPr>
      <w:r>
        <w:rPr>
          <w:rFonts w:hint="eastAsia" w:ascii="仿宋_GB2312" w:hAnsi="宋体" w:eastAsia="仿宋_GB2312"/>
          <w:sz w:val="30"/>
          <w:szCs w:val="30"/>
        </w:rPr>
        <w:t>科创板上市公司拟续聘、变更（含新聘、解聘）为其提供财务报告或内部控制审计相关服务的会计师事务所的，应当适用本指引披露公告。</w:t>
      </w:r>
    </w:p>
    <w:p w14:paraId="1DDBC741">
      <w:pPr>
        <w:adjustRightInd w:val="0"/>
        <w:snapToGrid w:val="0"/>
        <w:spacing w:line="360" w:lineRule="auto"/>
        <w:rPr>
          <w:rFonts w:hint="eastAsia" w:ascii="仿宋_GB2312" w:hAnsi="宋体" w:eastAsia="仿宋_GB2312"/>
          <w:sz w:val="30"/>
          <w:szCs w:val="30"/>
        </w:rPr>
      </w:pPr>
    </w:p>
    <w:p w14:paraId="1E1369FC">
      <w:pPr>
        <w:adjustRightInd w:val="0"/>
        <w:snapToGrid w:val="0"/>
        <w:spacing w:line="360" w:lineRule="auto"/>
        <w:rPr>
          <w:rFonts w:hint="eastAsia" w:ascii="仿宋_GB2312" w:hAnsi="宋体" w:eastAsia="仿宋_GB2312"/>
          <w:sz w:val="30"/>
          <w:szCs w:val="30"/>
        </w:rPr>
      </w:pPr>
      <w:r>
        <w:rPr>
          <w:rFonts w:hint="eastAsia" w:ascii="仿宋_GB2312" w:hAnsi="宋体" w:eastAsia="仿宋_GB2312"/>
          <w:sz w:val="30"/>
          <w:szCs w:val="30"/>
        </w:rPr>
        <w:t>证券代码：        证券简称：          公告编号：</w:t>
      </w:r>
    </w:p>
    <w:p w14:paraId="1E7B974F">
      <w:pPr>
        <w:adjustRightInd w:val="0"/>
        <w:snapToGrid w:val="0"/>
        <w:spacing w:line="360" w:lineRule="auto"/>
        <w:jc w:val="left"/>
        <w:rPr>
          <w:rFonts w:hint="eastAsia" w:ascii="仿宋_GB2312" w:hAnsi="宋体" w:eastAsia="仿宋_GB2312"/>
          <w:sz w:val="30"/>
          <w:szCs w:val="30"/>
        </w:rPr>
      </w:pPr>
    </w:p>
    <w:p w14:paraId="2461C095">
      <w:pPr>
        <w:adjustRightInd w:val="0"/>
        <w:snapToGrid w:val="0"/>
        <w:spacing w:line="360" w:lineRule="auto"/>
        <w:jc w:val="center"/>
        <w:rPr>
          <w:rFonts w:hint="eastAsia" w:ascii="仿宋_GB2312" w:hAnsi="宋体" w:eastAsia="仿宋_GB2312"/>
          <w:sz w:val="30"/>
          <w:szCs w:val="30"/>
        </w:rPr>
      </w:pPr>
      <w:r>
        <w:rPr>
          <w:rFonts w:hint="eastAsia" w:ascii="仿宋_GB2312" w:hAnsi="宋体" w:eastAsia="仿宋_GB2312"/>
          <w:sz w:val="30"/>
          <w:szCs w:val="30"/>
        </w:rPr>
        <w:t>XXXXXX股份有限公司续聘/变更会计师事务所公告</w:t>
      </w:r>
    </w:p>
    <w:p w14:paraId="13C7629A">
      <w:pPr>
        <w:pBdr>
          <w:top w:val="single" w:color="auto" w:sz="4" w:space="1"/>
          <w:left w:val="single" w:color="auto" w:sz="4" w:space="4"/>
          <w:bottom w:val="single" w:color="auto" w:sz="4" w:space="1"/>
          <w:right w:val="single" w:color="auto" w:sz="4" w:space="4"/>
        </w:pBdr>
        <w:adjustRightInd w:val="0"/>
        <w:snapToGrid w:val="0"/>
        <w:spacing w:line="360" w:lineRule="auto"/>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本公司董事会及全体董事保证本公告内容不存在任何虚假记载、误导性陈述或者重大遗漏，并对其内容的真实性、准确性和完整性承担个别及连带责任。</w:t>
      </w:r>
    </w:p>
    <w:p w14:paraId="62C2E1C6">
      <w:pPr>
        <w:pBdr>
          <w:top w:val="single" w:color="auto" w:sz="4" w:space="1"/>
          <w:left w:val="single" w:color="auto" w:sz="4" w:space="4"/>
          <w:bottom w:val="single" w:color="auto" w:sz="4" w:space="1"/>
          <w:right w:val="single" w:color="auto" w:sz="4" w:space="4"/>
        </w:pBdr>
        <w:adjustRightInd w:val="0"/>
        <w:snapToGrid w:val="0"/>
        <w:spacing w:line="360" w:lineRule="auto"/>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111900AF">
      <w:pPr>
        <w:adjustRightInd w:val="0"/>
        <w:snapToGrid w:val="0"/>
        <w:spacing w:line="360" w:lineRule="auto"/>
        <w:rPr>
          <w:rFonts w:hint="eastAsia" w:ascii="仿宋_GB2312" w:hAnsi="宋体" w:eastAsia="仿宋_GB2312"/>
          <w:sz w:val="30"/>
          <w:szCs w:val="30"/>
        </w:rPr>
      </w:pPr>
    </w:p>
    <w:p w14:paraId="7BE2624A">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重要内容提示：</w:t>
      </w:r>
    </w:p>
    <w:p w14:paraId="37CA510A">
      <w:pPr>
        <w:numPr>
          <w:ilvl w:val="0"/>
          <w:numId w:val="1"/>
        </w:numPr>
        <w:adjustRightInd w:val="0"/>
        <w:snapToGrid w:val="0"/>
        <w:spacing w:line="360" w:lineRule="auto"/>
        <w:ind w:left="0" w:firstLine="600" w:firstLineChars="200"/>
        <w:rPr>
          <w:rFonts w:hint="eastAsia" w:ascii="仿宋_GB2312" w:hAnsi="宋体" w:eastAsia="仿宋_GB2312"/>
          <w:sz w:val="30"/>
          <w:szCs w:val="30"/>
        </w:rPr>
      </w:pPr>
      <w:r>
        <w:rPr>
          <w:rFonts w:hint="eastAsia" w:ascii="仿宋_GB2312" w:hAnsi="宋体" w:eastAsia="仿宋_GB2312"/>
          <w:sz w:val="30"/>
          <w:szCs w:val="30"/>
        </w:rPr>
        <w:t>拟聘任的会计师事务所名称</w:t>
      </w:r>
    </w:p>
    <w:p w14:paraId="43D512D4">
      <w:pPr>
        <w:numPr>
          <w:ilvl w:val="0"/>
          <w:numId w:val="1"/>
        </w:numPr>
        <w:adjustRightInd w:val="0"/>
        <w:snapToGrid w:val="0"/>
        <w:spacing w:line="360" w:lineRule="auto"/>
        <w:ind w:left="0" w:firstLine="600" w:firstLineChars="200"/>
        <w:rPr>
          <w:rFonts w:hint="eastAsia" w:ascii="仿宋_GB2312" w:hAnsi="宋体" w:eastAsia="仿宋_GB2312"/>
          <w:sz w:val="30"/>
          <w:szCs w:val="30"/>
        </w:rPr>
      </w:pPr>
      <w:r>
        <w:rPr>
          <w:rFonts w:hint="eastAsia" w:ascii="仿宋_GB2312" w:hAnsi="宋体" w:eastAsia="仿宋_GB2312"/>
          <w:sz w:val="30"/>
          <w:szCs w:val="30"/>
        </w:rPr>
        <w:t>原聘任的会计师事务所名称（如适用）</w:t>
      </w:r>
    </w:p>
    <w:p w14:paraId="4FEA01FF">
      <w:pPr>
        <w:numPr>
          <w:ilvl w:val="0"/>
          <w:numId w:val="1"/>
        </w:numPr>
        <w:adjustRightInd w:val="0"/>
        <w:snapToGrid w:val="0"/>
        <w:spacing w:line="360" w:lineRule="auto"/>
        <w:ind w:left="0" w:firstLine="600" w:firstLineChars="200"/>
        <w:rPr>
          <w:rFonts w:hint="eastAsia" w:ascii="仿宋_GB2312" w:hAnsi="宋体" w:eastAsia="仿宋_GB2312"/>
          <w:sz w:val="30"/>
          <w:szCs w:val="30"/>
        </w:rPr>
      </w:pPr>
      <w:r>
        <w:rPr>
          <w:rFonts w:hint="eastAsia" w:ascii="仿宋_GB2312" w:hAnsi="宋体" w:eastAsia="仿宋_GB2312"/>
          <w:sz w:val="30"/>
          <w:szCs w:val="30"/>
        </w:rPr>
        <w:t>变更会计师事务所的简要原因及前任会计师的异议情况（如适用）</w:t>
      </w:r>
    </w:p>
    <w:p w14:paraId="4ED765A3">
      <w:pPr>
        <w:adjustRightInd w:val="0"/>
        <w:snapToGrid w:val="0"/>
        <w:spacing w:line="360" w:lineRule="auto"/>
        <w:ind w:firstLine="600" w:firstLineChars="200"/>
        <w:rPr>
          <w:rFonts w:hint="eastAsia" w:ascii="仿宋_GB2312" w:hAnsi="宋体" w:eastAsia="仿宋_GB2312"/>
          <w:sz w:val="30"/>
          <w:szCs w:val="30"/>
        </w:rPr>
      </w:pPr>
    </w:p>
    <w:p w14:paraId="675AD001">
      <w:pPr>
        <w:adjustRightInd w:val="0"/>
        <w:snapToGrid w:val="0"/>
        <w:spacing w:line="360" w:lineRule="auto"/>
        <w:rPr>
          <w:rFonts w:hint="eastAsia" w:ascii="仿宋_GB2312" w:hAnsi="宋体" w:eastAsia="仿宋_GB2312"/>
          <w:b/>
          <w:sz w:val="30"/>
          <w:szCs w:val="30"/>
        </w:rPr>
      </w:pPr>
      <w:r>
        <w:rPr>
          <w:rFonts w:hint="eastAsia" w:ascii="仿宋_GB2312" w:hAnsi="宋体" w:eastAsia="仿宋_GB2312"/>
          <w:sz w:val="30"/>
          <w:szCs w:val="30"/>
        </w:rPr>
        <w:t xml:space="preserve">    </w:t>
      </w:r>
      <w:r>
        <w:rPr>
          <w:rFonts w:hint="eastAsia" w:ascii="仿宋_GB2312" w:hAnsi="宋体" w:eastAsia="仿宋_GB2312"/>
          <w:b/>
          <w:sz w:val="30"/>
          <w:szCs w:val="30"/>
        </w:rPr>
        <w:t>一、拟聘任会计师事务所的基本情况</w:t>
      </w:r>
    </w:p>
    <w:p w14:paraId="67F947E5">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（一）机构信息</w:t>
      </w:r>
    </w:p>
    <w:p w14:paraId="3904FD50">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基本信息。成立日期、组织形式、注册地址、首席合伙人；上年度末合伙人数量、注册会计师人数、签署过证券服务业务审计报告的注册会计师人数等；最近一年经审计的收入总额、审计业务收入，证券业务收入；上年度上市公司审计客户家数、主要行业</w:t>
      </w:r>
      <w:r>
        <w:rPr>
          <w:rStyle w:val="9"/>
          <w:rFonts w:ascii="仿宋_GB2312" w:hAnsi="宋体" w:eastAsia="仿宋_GB2312"/>
          <w:sz w:val="30"/>
          <w:szCs w:val="30"/>
        </w:rPr>
        <w:footnoteReference w:id="0"/>
      </w:r>
      <w:r>
        <w:rPr>
          <w:rFonts w:hint="eastAsia" w:ascii="仿宋_GB2312" w:hAnsi="宋体" w:eastAsia="仿宋_GB2312"/>
          <w:sz w:val="30"/>
          <w:szCs w:val="30"/>
        </w:rPr>
        <w:t>，审计收费总额，本公司同行业上市公司审计客户家数。</w:t>
      </w:r>
    </w:p>
    <w:p w14:paraId="7CC82E68">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2.投资者保护能力。计提职业风险基金、购买的职业保险累计赔偿限额（可披露区间数），说明职业风险基金计提或职业保险购买是否符合相关规定；近三年</w:t>
      </w:r>
      <w:r>
        <w:rPr>
          <w:rStyle w:val="9"/>
          <w:rFonts w:ascii="仿宋_GB2312" w:hAnsi="宋体" w:eastAsia="仿宋_GB2312"/>
          <w:sz w:val="30"/>
          <w:szCs w:val="30"/>
        </w:rPr>
        <w:footnoteReference w:id="1"/>
      </w:r>
      <w:r>
        <w:rPr>
          <w:rFonts w:hint="eastAsia" w:ascii="仿宋_GB2312" w:hAnsi="宋体" w:eastAsia="仿宋_GB2312"/>
          <w:sz w:val="30"/>
          <w:szCs w:val="30"/>
        </w:rPr>
        <w:t>因在执业行为相关民事诉讼中承担民事责任的情况，如诉讼主体、目前进展等。</w:t>
      </w:r>
    </w:p>
    <w:p w14:paraId="644D8E90">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诚信记录。会计师事务所及其从业人员近三年因执业行为受到刑事处罚，受到证监会及其派出机构、行业主管部门等的行政处罚、监督管理措施，受到证券交易所、行业协会等自律组织的自律监管措施、纪律处分的总体情况等。</w:t>
      </w:r>
    </w:p>
    <w:p w14:paraId="4685F645">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示例：XX会计师事务所近三年因执业行为受到刑事处罚XX次、行政处罚XX次、监督管理措施XX次、自律监管措施XX次和纪律处分XX次。XX名从业人员近三年因执业行为受到刑事处罚XX次、行政处罚XX次、监督管理措施XX次和自律监管措施XX次。</w:t>
      </w:r>
    </w:p>
    <w:p w14:paraId="1112B59F">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（二）项目信息</w:t>
      </w:r>
    </w:p>
    <w:p w14:paraId="7E6F863F">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基本信息。项目合伙人、签字注册会计师、项目质量控制复核人何时成为注册会计师、何时开始从事上市公司审计、何时开始在本所执业、何时开始为本公司提供审计服务；近三年签署或复核上市公司审计报告情况。</w:t>
      </w:r>
    </w:p>
    <w:p w14:paraId="4AC94F8F">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诚信记录。项目合伙人、签字注册会计师、项目质量控制复核人近三年因执业行为受到刑事处罚，受到证监会及其派出机构、行业主管部门等的行政处罚、监督管理措施，受到证券交易所、行业协会等自律组织的自律监管措施、纪律处分的具体情况，详见下表。</w:t>
      </w:r>
    </w:p>
    <w:tbl>
      <w:tblPr>
        <w:tblStyle w:val="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851"/>
        <w:gridCol w:w="1701"/>
        <w:gridCol w:w="1701"/>
        <w:gridCol w:w="1275"/>
        <w:gridCol w:w="2410"/>
      </w:tblGrid>
      <w:tr w14:paraId="6892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39357A68">
            <w:pPr>
              <w:adjustRightInd w:val="0"/>
              <w:snapToGrid w:val="0"/>
              <w:spacing w:line="360" w:lineRule="auto"/>
              <w:rPr>
                <w:rFonts w:hint="eastAsia" w:ascii="仿宋_GB2312" w:hAnsi="宋体" w:eastAsia="仿宋_GB2312"/>
                <w:sz w:val="24"/>
              </w:rPr>
            </w:pPr>
            <w:r>
              <w:rPr>
                <w:rFonts w:hint="eastAsia" w:ascii="仿宋_GB2312" w:hAnsi="宋体" w:eastAsia="仿宋_GB2312"/>
                <w:sz w:val="24"/>
              </w:rPr>
              <w:t>序号</w:t>
            </w:r>
          </w:p>
        </w:tc>
        <w:tc>
          <w:tcPr>
            <w:tcW w:w="851" w:type="dxa"/>
            <w:tcBorders>
              <w:top w:val="single" w:color="auto" w:sz="4" w:space="0"/>
              <w:left w:val="single" w:color="auto" w:sz="4" w:space="0"/>
              <w:bottom w:val="single" w:color="auto" w:sz="4" w:space="0"/>
              <w:right w:val="single" w:color="auto" w:sz="4" w:space="0"/>
            </w:tcBorders>
          </w:tcPr>
          <w:p w14:paraId="29061416">
            <w:pPr>
              <w:adjustRightInd w:val="0"/>
              <w:snapToGrid w:val="0"/>
              <w:spacing w:line="360" w:lineRule="auto"/>
              <w:rPr>
                <w:rFonts w:hint="eastAsia" w:ascii="仿宋_GB2312" w:hAnsi="宋体" w:eastAsia="仿宋_GB2312"/>
                <w:sz w:val="24"/>
              </w:rPr>
            </w:pPr>
            <w:r>
              <w:rPr>
                <w:rFonts w:hint="eastAsia" w:ascii="仿宋_GB2312" w:hAnsi="宋体" w:eastAsia="仿宋_GB2312"/>
                <w:sz w:val="24"/>
              </w:rPr>
              <w:t>姓名</w:t>
            </w:r>
          </w:p>
        </w:tc>
        <w:tc>
          <w:tcPr>
            <w:tcW w:w="1701" w:type="dxa"/>
            <w:tcBorders>
              <w:top w:val="single" w:color="auto" w:sz="4" w:space="0"/>
              <w:left w:val="single" w:color="auto" w:sz="4" w:space="0"/>
              <w:bottom w:val="single" w:color="auto" w:sz="4" w:space="0"/>
              <w:right w:val="single" w:color="auto" w:sz="4" w:space="0"/>
            </w:tcBorders>
          </w:tcPr>
          <w:p w14:paraId="073B63A9">
            <w:pPr>
              <w:adjustRightInd w:val="0"/>
              <w:snapToGrid w:val="0"/>
              <w:spacing w:line="360" w:lineRule="auto"/>
              <w:rPr>
                <w:rFonts w:hint="eastAsia" w:ascii="仿宋_GB2312" w:hAnsi="宋体" w:eastAsia="仿宋_GB2312"/>
                <w:sz w:val="24"/>
              </w:rPr>
            </w:pPr>
            <w:r>
              <w:rPr>
                <w:rFonts w:hint="eastAsia" w:ascii="仿宋_GB2312" w:hAnsi="宋体" w:eastAsia="仿宋_GB2312"/>
                <w:sz w:val="24"/>
              </w:rPr>
              <w:t>处理处罚日期</w:t>
            </w:r>
          </w:p>
        </w:tc>
        <w:tc>
          <w:tcPr>
            <w:tcW w:w="1701" w:type="dxa"/>
            <w:tcBorders>
              <w:top w:val="single" w:color="auto" w:sz="4" w:space="0"/>
              <w:left w:val="single" w:color="auto" w:sz="4" w:space="0"/>
              <w:bottom w:val="single" w:color="auto" w:sz="4" w:space="0"/>
              <w:right w:val="single" w:color="auto" w:sz="4" w:space="0"/>
            </w:tcBorders>
          </w:tcPr>
          <w:p w14:paraId="3BBBA13C">
            <w:pPr>
              <w:adjustRightInd w:val="0"/>
              <w:snapToGrid w:val="0"/>
              <w:spacing w:line="360" w:lineRule="auto"/>
              <w:rPr>
                <w:rFonts w:hint="eastAsia" w:ascii="仿宋_GB2312" w:hAnsi="宋体" w:eastAsia="仿宋_GB2312"/>
                <w:sz w:val="24"/>
              </w:rPr>
            </w:pPr>
            <w:r>
              <w:rPr>
                <w:rFonts w:hint="eastAsia" w:ascii="仿宋_GB2312" w:hAnsi="宋体" w:eastAsia="仿宋_GB2312"/>
                <w:sz w:val="24"/>
              </w:rPr>
              <w:t>处理处罚类型</w:t>
            </w:r>
          </w:p>
        </w:tc>
        <w:tc>
          <w:tcPr>
            <w:tcW w:w="1275" w:type="dxa"/>
            <w:tcBorders>
              <w:top w:val="single" w:color="auto" w:sz="4" w:space="0"/>
              <w:left w:val="single" w:color="auto" w:sz="4" w:space="0"/>
              <w:bottom w:val="single" w:color="auto" w:sz="4" w:space="0"/>
              <w:right w:val="single" w:color="auto" w:sz="4" w:space="0"/>
            </w:tcBorders>
          </w:tcPr>
          <w:p w14:paraId="022DF1A4">
            <w:pPr>
              <w:adjustRightInd w:val="0"/>
              <w:snapToGrid w:val="0"/>
              <w:spacing w:line="360" w:lineRule="auto"/>
              <w:rPr>
                <w:rFonts w:hint="eastAsia" w:ascii="仿宋_GB2312" w:hAnsi="宋体" w:eastAsia="仿宋_GB2312"/>
                <w:sz w:val="24"/>
              </w:rPr>
            </w:pPr>
            <w:r>
              <w:rPr>
                <w:rFonts w:hint="eastAsia" w:ascii="仿宋_GB2312" w:hAnsi="宋体" w:eastAsia="仿宋_GB2312"/>
                <w:sz w:val="24"/>
              </w:rPr>
              <w:t>实施单位</w:t>
            </w:r>
          </w:p>
        </w:tc>
        <w:tc>
          <w:tcPr>
            <w:tcW w:w="2410" w:type="dxa"/>
            <w:tcBorders>
              <w:top w:val="single" w:color="auto" w:sz="4" w:space="0"/>
              <w:left w:val="single" w:color="auto" w:sz="4" w:space="0"/>
              <w:bottom w:val="single" w:color="auto" w:sz="4" w:space="0"/>
              <w:right w:val="single" w:color="auto" w:sz="4" w:space="0"/>
            </w:tcBorders>
          </w:tcPr>
          <w:p w14:paraId="4F039EF4">
            <w:pPr>
              <w:adjustRightInd w:val="0"/>
              <w:snapToGrid w:val="0"/>
              <w:spacing w:line="360" w:lineRule="auto"/>
              <w:rPr>
                <w:rFonts w:hint="eastAsia" w:ascii="仿宋_GB2312" w:hAnsi="宋体" w:eastAsia="仿宋_GB2312"/>
                <w:sz w:val="24"/>
              </w:rPr>
            </w:pPr>
            <w:r>
              <w:rPr>
                <w:rFonts w:hint="eastAsia" w:ascii="仿宋_GB2312" w:hAnsi="宋体" w:eastAsia="仿宋_GB2312"/>
                <w:sz w:val="24"/>
              </w:rPr>
              <w:t>事由及处理处罚情况</w:t>
            </w:r>
          </w:p>
        </w:tc>
      </w:tr>
      <w:tr w14:paraId="70C7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7CDF0CEC">
            <w:pPr>
              <w:adjustRightInd w:val="0"/>
              <w:snapToGrid w:val="0"/>
              <w:spacing w:line="360" w:lineRule="auto"/>
              <w:rPr>
                <w:rFonts w:hint="eastAsia" w:ascii="仿宋_GB2312" w:hAnsi="宋体" w:eastAsia="仿宋_GB2312"/>
                <w:sz w:val="30"/>
                <w:szCs w:val="30"/>
              </w:rPr>
            </w:pPr>
          </w:p>
        </w:tc>
        <w:tc>
          <w:tcPr>
            <w:tcW w:w="851" w:type="dxa"/>
            <w:tcBorders>
              <w:top w:val="single" w:color="auto" w:sz="4" w:space="0"/>
              <w:left w:val="single" w:color="auto" w:sz="4" w:space="0"/>
              <w:bottom w:val="single" w:color="auto" w:sz="4" w:space="0"/>
              <w:right w:val="single" w:color="auto" w:sz="4" w:space="0"/>
            </w:tcBorders>
          </w:tcPr>
          <w:p w14:paraId="23F4E11F">
            <w:pPr>
              <w:adjustRightInd w:val="0"/>
              <w:snapToGrid w:val="0"/>
              <w:spacing w:line="360" w:lineRule="auto"/>
              <w:rPr>
                <w:rFonts w:hint="eastAsia" w:ascii="仿宋_GB2312" w:hAnsi="宋体" w:eastAsia="仿宋_GB2312"/>
                <w:sz w:val="30"/>
                <w:szCs w:val="30"/>
              </w:rPr>
            </w:pPr>
          </w:p>
        </w:tc>
        <w:tc>
          <w:tcPr>
            <w:tcW w:w="1701" w:type="dxa"/>
            <w:tcBorders>
              <w:top w:val="single" w:color="auto" w:sz="4" w:space="0"/>
              <w:left w:val="single" w:color="auto" w:sz="4" w:space="0"/>
              <w:bottom w:val="single" w:color="auto" w:sz="4" w:space="0"/>
              <w:right w:val="single" w:color="auto" w:sz="4" w:space="0"/>
            </w:tcBorders>
          </w:tcPr>
          <w:p w14:paraId="1DADF24C">
            <w:pPr>
              <w:adjustRightInd w:val="0"/>
              <w:snapToGrid w:val="0"/>
              <w:spacing w:line="360" w:lineRule="auto"/>
              <w:rPr>
                <w:rFonts w:hint="eastAsia" w:ascii="仿宋_GB2312" w:hAnsi="宋体" w:eastAsia="仿宋_GB2312"/>
                <w:sz w:val="30"/>
                <w:szCs w:val="30"/>
              </w:rPr>
            </w:pPr>
          </w:p>
        </w:tc>
        <w:tc>
          <w:tcPr>
            <w:tcW w:w="1701" w:type="dxa"/>
            <w:tcBorders>
              <w:top w:val="single" w:color="auto" w:sz="4" w:space="0"/>
              <w:left w:val="single" w:color="auto" w:sz="4" w:space="0"/>
              <w:bottom w:val="single" w:color="auto" w:sz="4" w:space="0"/>
              <w:right w:val="single" w:color="auto" w:sz="4" w:space="0"/>
            </w:tcBorders>
          </w:tcPr>
          <w:p w14:paraId="0E831327">
            <w:pPr>
              <w:adjustRightInd w:val="0"/>
              <w:snapToGrid w:val="0"/>
              <w:spacing w:line="360" w:lineRule="auto"/>
              <w:rPr>
                <w:rFonts w:hint="eastAsia" w:ascii="仿宋_GB2312" w:hAnsi="宋体" w:eastAsia="仿宋_GB2312"/>
                <w:sz w:val="30"/>
                <w:szCs w:val="30"/>
              </w:rPr>
            </w:pPr>
          </w:p>
        </w:tc>
        <w:tc>
          <w:tcPr>
            <w:tcW w:w="1275" w:type="dxa"/>
            <w:tcBorders>
              <w:top w:val="single" w:color="auto" w:sz="4" w:space="0"/>
              <w:left w:val="single" w:color="auto" w:sz="4" w:space="0"/>
              <w:bottom w:val="single" w:color="auto" w:sz="4" w:space="0"/>
              <w:right w:val="single" w:color="auto" w:sz="4" w:space="0"/>
            </w:tcBorders>
          </w:tcPr>
          <w:p w14:paraId="744BDAAC">
            <w:pPr>
              <w:adjustRightInd w:val="0"/>
              <w:snapToGrid w:val="0"/>
              <w:spacing w:line="360" w:lineRule="auto"/>
              <w:rPr>
                <w:rFonts w:hint="eastAsia" w:ascii="仿宋_GB2312" w:hAnsi="宋体" w:eastAsia="仿宋_GB2312"/>
                <w:sz w:val="30"/>
                <w:szCs w:val="30"/>
              </w:rPr>
            </w:pPr>
          </w:p>
        </w:tc>
        <w:tc>
          <w:tcPr>
            <w:tcW w:w="2410" w:type="dxa"/>
            <w:tcBorders>
              <w:top w:val="single" w:color="auto" w:sz="4" w:space="0"/>
              <w:left w:val="single" w:color="auto" w:sz="4" w:space="0"/>
              <w:bottom w:val="single" w:color="auto" w:sz="4" w:space="0"/>
              <w:right w:val="single" w:color="auto" w:sz="4" w:space="0"/>
            </w:tcBorders>
          </w:tcPr>
          <w:p w14:paraId="2DD45C86">
            <w:pPr>
              <w:adjustRightInd w:val="0"/>
              <w:snapToGrid w:val="0"/>
              <w:spacing w:line="360" w:lineRule="auto"/>
              <w:rPr>
                <w:rFonts w:hint="eastAsia" w:ascii="仿宋_GB2312" w:hAnsi="宋体" w:eastAsia="仿宋_GB2312"/>
                <w:sz w:val="30"/>
                <w:szCs w:val="30"/>
              </w:rPr>
            </w:pPr>
          </w:p>
        </w:tc>
      </w:tr>
    </w:tbl>
    <w:p w14:paraId="4FBB8FA9">
      <w:pPr>
        <w:adjustRightInd w:val="0"/>
        <w:snapToGrid w:val="0"/>
        <w:spacing w:line="360" w:lineRule="auto"/>
        <w:ind w:firstLine="600" w:firstLineChars="200"/>
        <w:rPr>
          <w:rFonts w:hint="eastAsia" w:ascii="仿宋_GB2312" w:hAnsi="宋体" w:eastAsia="仿宋_GB2312"/>
          <w:sz w:val="30"/>
          <w:szCs w:val="30"/>
        </w:rPr>
      </w:pPr>
    </w:p>
    <w:p w14:paraId="553F628E">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3.独立性。说明拟聘任会计师事务所及项目合伙人、签字注册会计师、项目质量控制复核人等是否存在可能影响独立性的情形及采取的防范措施。</w:t>
      </w:r>
    </w:p>
    <w:p w14:paraId="41AA4520">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4.审计收费。说明本期审计费用及定价原则，较上一期审计费用的变化情况；如审计费用变化超过20%的，应当说明原因。若审计费用包括内控审计费用，应当区分年报审计费用和内控审计费用进行说明。</w:t>
      </w:r>
    </w:p>
    <w:p w14:paraId="3F98B678">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（三）本所认定应予以披露的其他信息</w:t>
      </w:r>
    </w:p>
    <w:p w14:paraId="0F912163">
      <w:pPr>
        <w:adjustRightInd w:val="0"/>
        <w:snapToGrid w:val="0"/>
        <w:spacing w:line="360" w:lineRule="auto"/>
        <w:ind w:firstLine="602" w:firstLineChars="200"/>
        <w:rPr>
          <w:rFonts w:hint="eastAsia" w:ascii="仿宋_GB2312" w:hAnsi="宋体" w:eastAsia="仿宋_GB2312"/>
          <w:b/>
          <w:sz w:val="30"/>
          <w:szCs w:val="30"/>
        </w:rPr>
      </w:pPr>
      <w:r>
        <w:rPr>
          <w:rFonts w:hint="eastAsia" w:ascii="仿宋_GB2312" w:hAnsi="宋体" w:eastAsia="仿宋_GB2312"/>
          <w:b/>
          <w:sz w:val="30"/>
          <w:szCs w:val="30"/>
        </w:rPr>
        <w:t>二、拟变更会计师事务所的情况说明（如适用）</w:t>
      </w:r>
    </w:p>
    <w:p w14:paraId="112CACCE">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（一）前任会计师事务所情况及上年度审计意见</w:t>
      </w:r>
    </w:p>
    <w:p w14:paraId="185B2D23">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说明前任会计师事务所相关情况，包括名称、已提供审计服务年限、上年度审计意见类型等。是否存在已委托前任会计师事务所开展部分审计工作后解聘前任会计师事务所的情况。</w:t>
      </w:r>
    </w:p>
    <w:p w14:paraId="0E8BCCDE">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（二）拟变更会计师事务所的原因</w:t>
      </w:r>
    </w:p>
    <w:p w14:paraId="7FED3FAC">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说明上市公司拟变更会计师事务所的具体原因，包括但不限于以下情形：前任会计师事务所被立案调查；前任会计师事务所主动辞任；前任会计师事务所审计团队加入拟变更的会计师事务所；实际控制人、股东或董事提议或自身发展需要；满足主管部门对会计师事务所轮换的有关规定；与前任会计师事务所在工作安排、收费、意见等方面存在分歧。请详细说明有关情况。</w:t>
      </w:r>
    </w:p>
    <w:p w14:paraId="39C1E65D">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（三）上市公司与前后任会计师事务所的沟通情况</w:t>
      </w:r>
    </w:p>
    <w:p w14:paraId="22A6967A">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说明上市公司与前任会计师事务所的沟通情况，前任会计师事务所如有书面陈述意见应当进行披露。说明上市公司是否已允许拟聘任的会计师事务所与前任会计师事务所进行沟通，前后任会计师事务所目前的沟通进展等。</w:t>
      </w:r>
    </w:p>
    <w:p w14:paraId="51D46805">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（四）本所认定应予以披露的其他信息</w:t>
      </w:r>
    </w:p>
    <w:p w14:paraId="4E56DDC1">
      <w:pPr>
        <w:adjustRightInd w:val="0"/>
        <w:snapToGrid w:val="0"/>
        <w:spacing w:line="360" w:lineRule="auto"/>
        <w:ind w:firstLine="602" w:firstLineChars="200"/>
        <w:rPr>
          <w:rFonts w:hint="eastAsia" w:ascii="仿宋_GB2312" w:hAnsi="宋体" w:eastAsia="仿宋_GB2312"/>
          <w:b/>
          <w:sz w:val="30"/>
          <w:szCs w:val="30"/>
        </w:rPr>
      </w:pPr>
      <w:r>
        <w:rPr>
          <w:rFonts w:hint="eastAsia" w:ascii="仿宋_GB2312" w:hAnsi="宋体" w:eastAsia="仿宋_GB2312"/>
          <w:b/>
          <w:sz w:val="30"/>
          <w:szCs w:val="30"/>
        </w:rPr>
        <w:t>三、拟续聘/变更会计师事务所履行的程序</w:t>
      </w:r>
    </w:p>
    <w:p w14:paraId="33660126">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（一）审计委员会的审议意见</w:t>
      </w:r>
    </w:p>
    <w:p w14:paraId="2EE24255">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说明上市公司审计委员会在选聘、监督与评价会计师事务所过程中的履职情况及审查意见，包括为评价拟</w:t>
      </w:r>
      <w:r>
        <w:rPr>
          <w:rFonts w:hint="eastAsia" w:ascii="仿宋_GB2312" w:eastAsia="仿宋_GB2312"/>
          <w:sz w:val="30"/>
          <w:szCs w:val="30"/>
        </w:rPr>
        <w:t>聘任</w:t>
      </w:r>
      <w:r>
        <w:rPr>
          <w:rFonts w:hint="eastAsia" w:ascii="仿宋_GB2312" w:hAnsi="宋体" w:eastAsia="仿宋_GB2312"/>
          <w:sz w:val="30"/>
          <w:szCs w:val="30"/>
        </w:rPr>
        <w:t>会计师事务所的专业胜任能力、投资者保护能力、诚信状况、独立性、</w:t>
      </w:r>
      <w:r>
        <w:rPr>
          <w:rFonts w:hint="eastAsia" w:ascii="仿宋_GB2312" w:eastAsia="仿宋_GB2312"/>
          <w:sz w:val="30"/>
          <w:szCs w:val="30"/>
        </w:rPr>
        <w:t>变更会计师事务所理由的恰当性（如适用）</w:t>
      </w:r>
      <w:r>
        <w:rPr>
          <w:rFonts w:hint="eastAsia" w:ascii="仿宋_GB2312" w:hAnsi="宋体" w:eastAsia="仿宋_GB2312"/>
          <w:sz w:val="30"/>
          <w:szCs w:val="30"/>
        </w:rPr>
        <w:t>等进行的具体工作和结论。</w:t>
      </w:r>
    </w:p>
    <w:p w14:paraId="489F9E75">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（二）董事会的审议和表决情况</w:t>
      </w:r>
    </w:p>
    <w:p w14:paraId="4EB107F2">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说明上市公司董事会对本次聘任会计师事务所相关议案的审议和表决情况。</w:t>
      </w:r>
    </w:p>
    <w:p w14:paraId="428E2EA1">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（三）生效日期</w:t>
      </w:r>
    </w:p>
    <w:p w14:paraId="6782C0A2">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说明本次聘任会计师事务所事项尚需提交公司股东会审议，并自公司股东会审议通过之日起生效。</w:t>
      </w:r>
    </w:p>
    <w:p w14:paraId="4545BE82">
      <w:pPr>
        <w:adjustRightInd w:val="0"/>
        <w:snapToGrid w:val="0"/>
        <w:spacing w:line="360" w:lineRule="auto"/>
        <w:ind w:firstLine="600" w:firstLineChars="200"/>
        <w:rPr>
          <w:rFonts w:hint="eastAsia" w:ascii="仿宋_GB2312" w:hAnsi="宋体" w:eastAsia="仿宋_GB2312"/>
          <w:sz w:val="30"/>
          <w:szCs w:val="30"/>
        </w:rPr>
      </w:pPr>
    </w:p>
    <w:p w14:paraId="193B039E">
      <w:pPr>
        <w:adjustRightInd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特此公告。</w:t>
      </w:r>
    </w:p>
    <w:p w14:paraId="6A3E6885">
      <w:pPr>
        <w:adjustRightInd w:val="0"/>
        <w:snapToGrid w:val="0"/>
        <w:spacing w:line="360" w:lineRule="auto"/>
        <w:ind w:firstLine="600" w:firstLineChars="200"/>
        <w:jc w:val="right"/>
        <w:rPr>
          <w:rFonts w:hint="eastAsia" w:ascii="仿宋_GB2312" w:hAnsi="宋体" w:eastAsia="仿宋_GB2312"/>
          <w:sz w:val="30"/>
          <w:szCs w:val="30"/>
        </w:rPr>
      </w:pPr>
    </w:p>
    <w:p w14:paraId="5FC761C0">
      <w:pPr>
        <w:adjustRightInd w:val="0"/>
        <w:snapToGrid w:val="0"/>
        <w:spacing w:line="360" w:lineRule="auto"/>
        <w:ind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 xml:space="preserve">   XXXX股份有限公司董事会</w:t>
      </w:r>
    </w:p>
    <w:p w14:paraId="4A5AEF02">
      <w:pPr>
        <w:adjustRightInd w:val="0"/>
        <w:snapToGrid w:val="0"/>
        <w:spacing w:line="360" w:lineRule="auto"/>
        <w:ind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年  月  日</w:t>
      </w:r>
    </w:p>
    <w:p w14:paraId="2F619EAE">
      <w:pPr>
        <w:adjustRightInd w:val="0"/>
        <w:snapToGrid w:val="0"/>
        <w:spacing w:line="560" w:lineRule="exact"/>
        <w:ind w:firstLine="600" w:firstLineChars="200"/>
        <w:jc w:val="right"/>
        <w:rPr>
          <w:rFonts w:hint="eastAsia" w:ascii="宋体" w:hAnsi="宋体"/>
          <w:color w:val="000000"/>
          <w:sz w:val="30"/>
          <w:szCs w:val="30"/>
        </w:rPr>
      </w:pPr>
    </w:p>
    <w:p w14:paraId="3B6B0AE5">
      <w:pPr>
        <w:adjustRightInd w:val="0"/>
        <w:snapToGrid w:val="0"/>
        <w:spacing w:line="560" w:lineRule="exact"/>
        <w:ind w:firstLine="600" w:firstLineChars="200"/>
        <w:jc w:val="right"/>
        <w:rPr>
          <w:rFonts w:hint="eastAsia" w:ascii="宋体" w:hAnsi="宋体"/>
          <w:color w:val="000000"/>
          <w:sz w:val="30"/>
          <w:szCs w:val="30"/>
        </w:rPr>
      </w:pPr>
    </w:p>
    <w:p w14:paraId="3E69190E">
      <w:pPr>
        <w:numPr>
          <w:ilvl w:val="0"/>
          <w:numId w:val="2"/>
        </w:numPr>
        <w:adjustRightInd w:val="0"/>
        <w:snapToGrid w:val="0"/>
        <w:spacing w:line="560" w:lineRule="exact"/>
        <w:rPr>
          <w:rFonts w:hint="eastAsia" w:ascii="宋体" w:hAnsi="宋体"/>
          <w:b/>
          <w:sz w:val="30"/>
          <w:szCs w:val="30"/>
        </w:rPr>
      </w:pPr>
      <w:r>
        <w:rPr>
          <w:rFonts w:hint="eastAsia" w:ascii="黑体" w:hAnsi="宋体" w:eastAsia="黑体"/>
          <w:b/>
          <w:sz w:val="30"/>
          <w:szCs w:val="30"/>
        </w:rPr>
        <w:t>报备文件</w:t>
      </w:r>
    </w:p>
    <w:p w14:paraId="7FDE92ED">
      <w:pPr>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（一）董事会决议</w:t>
      </w:r>
    </w:p>
    <w:p w14:paraId="4C0B4CC8">
      <w:pPr>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（二）拟聘任会计师事务所关于其基本情况的说明</w:t>
      </w:r>
    </w:p>
    <w:p w14:paraId="288CE089">
      <w:pPr>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（三）前任会计师事务所书面陈述意见（如适用）</w:t>
      </w:r>
    </w:p>
    <w:p w14:paraId="64FC5F6A">
      <w:pPr>
        <w:adjustRightInd w:val="0"/>
        <w:snapToGrid w:val="0"/>
        <w:spacing w:line="560" w:lineRule="exact"/>
        <w:ind w:firstLine="600" w:firstLineChars="200"/>
        <w:rPr>
          <w:rFonts w:eastAsia="仿宋_GB2312"/>
          <w:sz w:val="30"/>
          <w:szCs w:val="30"/>
        </w:rPr>
      </w:pPr>
      <w:r>
        <w:rPr>
          <w:rFonts w:hint="eastAsia" w:ascii="仿宋_GB2312" w:hAnsi="宋体" w:eastAsia="仿宋_GB2312"/>
          <w:sz w:val="30"/>
          <w:szCs w:val="30"/>
        </w:rPr>
        <w:t>（四）</w:t>
      </w:r>
      <w:r>
        <w:rPr>
          <w:rFonts w:eastAsia="仿宋_GB2312"/>
          <w:sz w:val="30"/>
          <w:szCs w:val="30"/>
        </w:rPr>
        <w:t>审计委员会</w:t>
      </w:r>
      <w:r>
        <w:rPr>
          <w:rFonts w:hint="eastAsia" w:eastAsia="仿宋_GB2312"/>
          <w:sz w:val="30"/>
          <w:szCs w:val="30"/>
        </w:rPr>
        <w:t>审议</w:t>
      </w:r>
      <w:r>
        <w:rPr>
          <w:rFonts w:eastAsia="仿宋_GB2312"/>
          <w:sz w:val="30"/>
          <w:szCs w:val="30"/>
        </w:rPr>
        <w:t>情况的</w:t>
      </w:r>
      <w:r>
        <w:rPr>
          <w:rFonts w:hint="eastAsia" w:eastAsia="仿宋_GB2312"/>
          <w:sz w:val="30"/>
          <w:szCs w:val="30"/>
        </w:rPr>
        <w:t>书面</w:t>
      </w:r>
      <w:r>
        <w:rPr>
          <w:rFonts w:eastAsia="仿宋_GB2312"/>
          <w:sz w:val="30"/>
          <w:szCs w:val="30"/>
        </w:rPr>
        <w:t>文件</w:t>
      </w:r>
    </w:p>
    <w:p w14:paraId="3FDA032E">
      <w:pPr>
        <w:adjustRightInd w:val="0"/>
        <w:snapToGrid w:val="0"/>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（五）本所要求报备的其他文件</w:t>
      </w:r>
    </w:p>
    <w:p w14:paraId="0F4D8059">
      <w:pPr>
        <w:adjustRightInd w:val="0"/>
        <w:snapToGrid w:val="0"/>
        <w:spacing w:line="560" w:lineRule="exact"/>
        <w:ind w:firstLine="600" w:firstLineChars="200"/>
        <w:rPr>
          <w:rFonts w:hint="eastAsia" w:ascii="仿宋_GB2312" w:hAnsi="宋体" w:eastAsia="仿宋_GB2312"/>
          <w:sz w:val="30"/>
          <w:szCs w:val="30"/>
        </w:rPr>
      </w:pPr>
    </w:p>
    <w:p w14:paraId="1901B1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3A4D880">
      <w:pPr>
        <w:pStyle w:val="5"/>
        <w:rPr>
          <w:rFonts w:hint="eastAsia" w:ascii="仿宋" w:hAnsi="仿宋" w:eastAsia="仿宋"/>
        </w:rPr>
      </w:pPr>
      <w:r>
        <w:rPr>
          <w:rStyle w:val="9"/>
          <w:rFonts w:ascii="仿宋" w:hAnsi="仿宋" w:eastAsia="仿宋"/>
        </w:rPr>
        <w:footnoteRef/>
      </w:r>
      <w:r>
        <w:rPr>
          <w:rFonts w:hint="eastAsia" w:ascii="仿宋" w:hAnsi="仿宋" w:eastAsia="仿宋"/>
        </w:rPr>
        <w:t xml:space="preserve"> 按照证监会行业分类，下同。</w:t>
      </w:r>
    </w:p>
  </w:footnote>
  <w:footnote w:id="1">
    <w:p w14:paraId="153B1767">
      <w:pPr>
        <w:pStyle w:val="5"/>
      </w:pPr>
      <w:r>
        <w:rPr>
          <w:rStyle w:val="9"/>
          <w:rFonts w:ascii="仿宋" w:hAnsi="仿宋" w:eastAsia="仿宋"/>
        </w:rPr>
        <w:footnoteRef/>
      </w:r>
      <w:r>
        <w:rPr>
          <w:rFonts w:hint="eastAsia" w:ascii="仿宋" w:hAnsi="仿宋" w:eastAsia="仿宋"/>
        </w:rPr>
        <w:t xml:space="preserve"> 最近三个完整自然年度及当年，下同。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D0067"/>
    <w:multiLevelType w:val="singleLevel"/>
    <w:tmpl w:val="127D0067"/>
    <w:lvl w:ilvl="0" w:tentative="0">
      <w:start w:val="1"/>
      <w:numFmt w:val="bullet"/>
      <w:lvlText w:val=""/>
      <w:lvlJc w:val="left"/>
      <w:pPr>
        <w:tabs>
          <w:tab w:val="left" w:pos="420"/>
        </w:tabs>
        <w:ind w:left="420" w:hanging="420"/>
      </w:pPr>
      <w:rPr>
        <w:rFonts w:hint="default" w:ascii="Wingdings" w:hAnsi="Wingdings"/>
      </w:rPr>
    </w:lvl>
  </w:abstractNum>
  <w:abstractNum w:abstractNumId="1">
    <w:nsid w:val="53180056"/>
    <w:multiLevelType w:val="multilevel"/>
    <w:tmpl w:val="53180056"/>
    <w:lvl w:ilvl="0" w:tentative="0">
      <w:start w:val="1"/>
      <w:numFmt w:val="bullet"/>
      <w:lvlText w:val=""/>
      <w:lvlJc w:val="left"/>
      <w:pPr>
        <w:ind w:left="102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26"/>
    <w:rsid w:val="000201C3"/>
    <w:rsid w:val="001400E1"/>
    <w:rsid w:val="00184B26"/>
    <w:rsid w:val="001A6C0B"/>
    <w:rsid w:val="00254172"/>
    <w:rsid w:val="002F3542"/>
    <w:rsid w:val="0038621B"/>
    <w:rsid w:val="0040627B"/>
    <w:rsid w:val="00445103"/>
    <w:rsid w:val="00471244"/>
    <w:rsid w:val="0050736D"/>
    <w:rsid w:val="00527B8A"/>
    <w:rsid w:val="00541498"/>
    <w:rsid w:val="005E1474"/>
    <w:rsid w:val="006563CA"/>
    <w:rsid w:val="006A0158"/>
    <w:rsid w:val="007517E1"/>
    <w:rsid w:val="00810C4C"/>
    <w:rsid w:val="008D48C2"/>
    <w:rsid w:val="00964C31"/>
    <w:rsid w:val="00B17010"/>
    <w:rsid w:val="00C52461"/>
    <w:rsid w:val="00ED09A6"/>
    <w:rsid w:val="00F540B0"/>
    <w:rsid w:val="00F6716F"/>
    <w:rsid w:val="0A393625"/>
    <w:rsid w:val="10472229"/>
    <w:rsid w:val="18BE61CB"/>
    <w:rsid w:val="4D213C41"/>
    <w:rsid w:val="6A1F369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footnote text"/>
    <w:basedOn w:val="1"/>
    <w:link w:val="10"/>
    <w:semiHidden/>
    <w:unhideWhenUsed/>
    <w:qFormat/>
    <w:uiPriority w:val="99"/>
    <w:pPr>
      <w:snapToGrid w:val="0"/>
      <w:jc w:val="left"/>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otnote reference"/>
    <w:basedOn w:val="8"/>
    <w:semiHidden/>
    <w:unhideWhenUsed/>
    <w:qFormat/>
    <w:uiPriority w:val="99"/>
    <w:rPr>
      <w:vertAlign w:val="superscript"/>
    </w:rPr>
  </w:style>
  <w:style w:type="character" w:customStyle="1" w:styleId="10">
    <w:name w:val="脚注文本 字符"/>
    <w:basedOn w:val="8"/>
    <w:link w:val="5"/>
    <w:semiHidden/>
    <w:qFormat/>
    <w:uiPriority w:val="99"/>
    <w:rPr>
      <w:rFonts w:ascii="Times New Roman" w:hAnsi="Times New Roman" w:eastAsia="宋体" w:cs="Times New Roman"/>
      <w:sz w:val="18"/>
      <w:szCs w:val="18"/>
    </w:rPr>
  </w:style>
  <w:style w:type="character" w:customStyle="1" w:styleId="11">
    <w:name w:val="页眉 字符"/>
    <w:basedOn w:val="8"/>
    <w:link w:val="4"/>
    <w:qFormat/>
    <w:uiPriority w:val="99"/>
    <w:rPr>
      <w:rFonts w:ascii="Times New Roman" w:hAnsi="Times New Roman" w:eastAsia="宋体" w:cs="Times New Roman"/>
      <w:sz w:val="18"/>
      <w:szCs w:val="18"/>
    </w:rPr>
  </w:style>
  <w:style w:type="character" w:customStyle="1" w:styleId="12">
    <w:name w:val="页脚 字符"/>
    <w:basedOn w:val="8"/>
    <w:link w:val="3"/>
    <w:qFormat/>
    <w:uiPriority w:val="99"/>
    <w:rPr>
      <w:rFonts w:ascii="Times New Roman" w:hAnsi="Times New Roman" w:eastAsia="宋体" w:cs="Times New Roman"/>
      <w:sz w:val="18"/>
      <w:szCs w:val="18"/>
    </w:rPr>
  </w:style>
  <w:style w:type="paragraph" w:customStyle="1" w:styleId="13">
    <w:name w:val="修订1"/>
    <w:hidden/>
    <w:semiHidden/>
    <w:qFormat/>
    <w:uiPriority w:val="99"/>
    <w:rPr>
      <w:rFonts w:ascii="Times New Roman" w:hAnsi="Times New Roman" w:eastAsia="宋体" w:cs="Times New Roman"/>
      <w:kern w:val="2"/>
      <w:sz w:val="21"/>
      <w:szCs w:val="24"/>
      <w:lang w:val="en-US" w:eastAsia="zh-CN" w:bidi="ar-SA"/>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框文本 字符"/>
    <w:basedOn w:val="8"/>
    <w:link w:val="2"/>
    <w:semiHidden/>
    <w:qFormat/>
    <w:uiPriority w:val="99"/>
    <w:rPr>
      <w:rFonts w:ascii="Times New Roman" w:hAnsi="Times New Roman" w:eastAsia="宋体" w:cs="Times New Roman"/>
      <w:sz w:val="18"/>
      <w:szCs w:val="18"/>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316</Words>
  <Characters>1803</Characters>
  <Lines>15</Lines>
  <Paragraphs>4</Paragraphs>
  <TotalTime>9</TotalTime>
  <ScaleCrop>false</ScaleCrop>
  <LinksUpToDate>false</LinksUpToDate>
  <CharactersWithSpaces>2115</CharactersWithSpaces>
  <Application>WPS Office_12.8.2.19309_F1E327BC-269C-435d-A152-05C5408002CA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2023-06-21T08:14:00Z</dcterms:created>
  <dc:creator>shytan</dc:creator>
  <cp:lastModifiedBy>黄文怡</cp:lastModifiedBy>
  <dcterms:modified xsi:type="dcterms:W3CDTF">2025-04-01T00:39:05Z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2052-12.8.2.19309</vt:lpwstr>
  </property>
  <property fmtid="{D5CDD505-2E9C-101B-9397-08002B2CF9AE}" pid="3" name="ICV">
    <vt:lpwstr>BA64B97FFEF6464F8320B3A4471A109E</vt:lpwstr>
  </property>
</Properties>
</file>