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B91BE">
      <w:pPr>
        <w:pStyle w:val="2"/>
        <w:adjustRightInd w:val="0"/>
        <w:snapToGrid w:val="0"/>
        <w:spacing w:before="0" w:after="0" w:line="600" w:lineRule="exact"/>
        <w:jc w:val="center"/>
        <w:rPr>
          <w:rFonts w:hint="eastAsia" w:ascii="黑体" w:hAnsi="黑体" w:eastAsia="黑体"/>
          <w:sz w:val="36"/>
          <w:szCs w:val="36"/>
        </w:rPr>
      </w:pPr>
      <w:bookmarkStart w:id="2" w:name="_GoBack"/>
      <w:bookmarkEnd w:id="2"/>
      <w:bookmarkStart w:id="0" w:name="_Toc330904132"/>
      <w:bookmarkStart w:id="1" w:name="_Toc340839617"/>
      <w:r>
        <w:rPr>
          <w:rFonts w:hint="eastAsia" w:ascii="黑体" w:hAnsi="黑体" w:eastAsia="黑体"/>
          <w:sz w:val="36"/>
          <w:szCs w:val="36"/>
        </w:rPr>
        <w:t>第一号 科创板上市公司收购、出售资产公告</w:t>
      </w:r>
      <w:bookmarkEnd w:id="0"/>
      <w:bookmarkEnd w:id="1"/>
    </w:p>
    <w:p w14:paraId="2CB16BCD">
      <w:pPr>
        <w:spacing w:line="600" w:lineRule="exact"/>
      </w:pPr>
    </w:p>
    <w:p w14:paraId="39DC1C03">
      <w:pPr>
        <w:adjustRightInd w:val="0"/>
        <w:snapToGrid w:val="0"/>
        <w:spacing w:line="600" w:lineRule="exact"/>
        <w:rPr>
          <w:rFonts w:hint="eastAsia" w:ascii="仿宋_GB2312" w:hAnsi="宋体" w:eastAsia="仿宋_GB2312"/>
          <w:b/>
          <w:sz w:val="30"/>
          <w:szCs w:val="30"/>
        </w:rPr>
      </w:pPr>
      <w:r>
        <w:rPr>
          <w:rFonts w:hint="eastAsia" w:ascii="仿宋_GB2312" w:hAnsi="宋体" w:eastAsia="仿宋_GB2312"/>
          <w:b/>
          <w:sz w:val="30"/>
          <w:szCs w:val="30"/>
        </w:rPr>
        <w:t>适用情形：</w:t>
      </w:r>
    </w:p>
    <w:p w14:paraId="52C3C21E">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科创板上市公司（以下简称上市公司）开展的交易事项达到《上海证券交易所科创板股票上市规则》（以下简称《科创板上市规则》）规定的收购、出售资产标准，但未达到中国证监会、本所关于上市公司重大资产重组相关规定标准的，适用本公告格式指引。上市公司开展的交易事项达到相关规定的重大资产重组标准的交易事项，应按照中国证监会及本所相关要求履行信息披露义务。</w:t>
      </w:r>
    </w:p>
    <w:p w14:paraId="2DC08C12">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2.上市公司发生债权债务重组事项，达到《科创板上市规则》规定标准的，适用本公告格式指引。</w:t>
      </w:r>
    </w:p>
    <w:p w14:paraId="7C728E10">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3.如收购、出售资产构成《科创板上市规则》规定的关联交易，上市公司应当适用本所《科创板上市公司自律监管指南第3号——日常信息披露》所附《第五号 科创板上市公司关联交易公告》格式指引，并同时参照适用本公告格式指引。</w:t>
      </w:r>
    </w:p>
    <w:p w14:paraId="061D35A7">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4.如收购、出售资产导致上市公司开展与主营业务行业不同的新业务或者可能导致上市公司业务发生重大变化的，应当同时参照适用本所《科创板上市公司自律监管指南第3号——日常信息披露》所附《第八号 科创板上市公司开展新业务公告》格式指引。</w:t>
      </w:r>
    </w:p>
    <w:p w14:paraId="614D8491">
      <w:pPr>
        <w:adjustRightInd w:val="0"/>
        <w:snapToGrid w:val="0"/>
        <w:spacing w:line="600" w:lineRule="exact"/>
        <w:rPr>
          <w:rFonts w:hint="eastAsia" w:ascii="仿宋_GB2312" w:hAnsi="宋体" w:eastAsia="仿宋_GB2312"/>
          <w:sz w:val="30"/>
          <w:szCs w:val="30"/>
        </w:rPr>
      </w:pPr>
      <w:r>
        <w:rPr>
          <w:rFonts w:ascii="仿宋_GB2312" w:hAnsi="宋体" w:eastAsia="仿宋_GB2312"/>
          <w:sz w:val="30"/>
          <w:szCs w:val="30"/>
        </w:rPr>
        <w:br w:type="page"/>
      </w:r>
      <w:r>
        <w:rPr>
          <w:rFonts w:hint="eastAsia" w:ascii="仿宋_GB2312" w:hAnsi="宋体" w:eastAsia="仿宋_GB2312"/>
          <w:sz w:val="30"/>
          <w:szCs w:val="30"/>
        </w:rPr>
        <w:t>证券代码：             证券简称：            公告编号：</w:t>
      </w:r>
    </w:p>
    <w:p w14:paraId="374A2DC0">
      <w:pPr>
        <w:adjustRightInd w:val="0"/>
        <w:snapToGrid w:val="0"/>
        <w:spacing w:line="600" w:lineRule="exact"/>
        <w:rPr>
          <w:rFonts w:hint="eastAsia" w:ascii="仿宋_GB2312" w:hAnsi="宋体" w:eastAsia="仿宋_GB2312"/>
          <w:sz w:val="30"/>
          <w:szCs w:val="30"/>
        </w:rPr>
      </w:pPr>
    </w:p>
    <w:p w14:paraId="6EE42DBF">
      <w:pPr>
        <w:adjustRightInd w:val="0"/>
        <w:snapToGrid w:val="0"/>
        <w:spacing w:line="600" w:lineRule="exact"/>
        <w:jc w:val="center"/>
        <w:rPr>
          <w:rFonts w:hint="eastAsia" w:ascii="仿宋_GB2312" w:hAnsi="宋体" w:eastAsia="仿宋_GB2312"/>
          <w:sz w:val="30"/>
          <w:szCs w:val="30"/>
        </w:rPr>
      </w:pPr>
      <w:r>
        <w:rPr>
          <w:rFonts w:hint="eastAsia" w:ascii="仿宋_GB2312" w:hAnsi="宋体" w:eastAsia="仿宋_GB2312"/>
          <w:sz w:val="30"/>
          <w:szCs w:val="30"/>
        </w:rPr>
        <w:t>XXXX股份有限公司收购、出售资产公告</w:t>
      </w:r>
    </w:p>
    <w:p w14:paraId="072B1C10">
      <w:pPr>
        <w:adjustRightInd w:val="0"/>
        <w:snapToGrid w:val="0"/>
        <w:spacing w:line="600" w:lineRule="exact"/>
        <w:jc w:val="center"/>
        <w:rPr>
          <w:rFonts w:hint="eastAsia" w:ascii="仿宋_GB2312" w:hAnsi="宋体" w:eastAsia="仿宋_GB2312"/>
          <w:sz w:val="30"/>
          <w:szCs w:val="30"/>
        </w:rPr>
      </w:pPr>
    </w:p>
    <w:p w14:paraId="29E06D9A">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47BF4443">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43623802">
      <w:pPr>
        <w:adjustRightInd w:val="0"/>
        <w:snapToGrid w:val="0"/>
        <w:spacing w:line="600" w:lineRule="exact"/>
        <w:ind w:firstLine="600" w:firstLineChars="200"/>
        <w:rPr>
          <w:rFonts w:hint="eastAsia" w:ascii="仿宋_GB2312" w:hAnsi="宋体" w:eastAsia="仿宋_GB2312"/>
          <w:sz w:val="30"/>
          <w:szCs w:val="30"/>
        </w:rPr>
      </w:pPr>
    </w:p>
    <w:p w14:paraId="6457418F">
      <w:pPr>
        <w:adjustRightInd w:val="0"/>
        <w:snapToGrid w:val="0"/>
        <w:spacing w:line="600" w:lineRule="exact"/>
        <w:ind w:firstLine="602" w:firstLineChars="200"/>
        <w:rPr>
          <w:rFonts w:hint="eastAsia" w:ascii="仿宋_GB2312" w:hAnsi="宋体" w:eastAsia="仿宋_GB2312"/>
          <w:b/>
          <w:sz w:val="30"/>
          <w:szCs w:val="30"/>
        </w:rPr>
      </w:pPr>
      <w:r>
        <w:rPr>
          <w:rFonts w:hint="eastAsia" w:ascii="仿宋_GB2312" w:hAnsi="宋体" w:eastAsia="仿宋_GB2312"/>
          <w:b/>
          <w:sz w:val="30"/>
          <w:szCs w:val="30"/>
        </w:rPr>
        <w:t>重要内容提示：</w:t>
      </w:r>
    </w:p>
    <w:p w14:paraId="1B81814F">
      <w:pPr>
        <w:numPr>
          <w:ilvl w:val="0"/>
          <w:numId w:val="1"/>
        </w:numPr>
        <w:adjustRightInd w:val="0"/>
        <w:snapToGrid w:val="0"/>
        <w:spacing w:line="600" w:lineRule="exact"/>
        <w:ind w:left="0" w:firstLine="600" w:firstLineChars="200"/>
        <w:rPr>
          <w:rFonts w:hint="eastAsia" w:ascii="仿宋_GB2312" w:hAnsi="宋体" w:eastAsia="仿宋_GB2312"/>
          <w:sz w:val="30"/>
          <w:szCs w:val="30"/>
        </w:rPr>
      </w:pPr>
      <w:r>
        <w:rPr>
          <w:rFonts w:hint="eastAsia" w:ascii="仿宋_GB2312" w:hAnsi="宋体" w:eastAsia="仿宋_GB2312"/>
          <w:sz w:val="30"/>
          <w:szCs w:val="30"/>
        </w:rPr>
        <w:t>需要提醒投资者重点关注的风险事项</w:t>
      </w:r>
    </w:p>
    <w:p w14:paraId="5B4D8473">
      <w:pPr>
        <w:adjustRightInd w:val="0"/>
        <w:snapToGrid w:val="0"/>
        <w:spacing w:line="600" w:lineRule="exact"/>
        <w:rPr>
          <w:rFonts w:hint="eastAsia" w:ascii="仿宋_GB2312" w:hAnsi="宋体" w:eastAsia="仿宋_GB2312"/>
          <w:sz w:val="30"/>
          <w:szCs w:val="30"/>
        </w:rPr>
      </w:pPr>
    </w:p>
    <w:p w14:paraId="7586A5C0">
      <w:pPr>
        <w:adjustRightInd w:val="0"/>
        <w:snapToGrid w:val="0"/>
        <w:spacing w:line="600" w:lineRule="exact"/>
        <w:ind w:firstLine="643" w:firstLineChars="200"/>
        <w:rPr>
          <w:rFonts w:hint="eastAsia" w:ascii="黑体" w:hAnsi="黑体" w:eastAsia="黑体"/>
          <w:b/>
          <w:sz w:val="32"/>
          <w:szCs w:val="32"/>
        </w:rPr>
      </w:pPr>
      <w:r>
        <w:rPr>
          <w:rFonts w:hint="eastAsia" w:ascii="黑体" w:hAnsi="黑体" w:eastAsia="黑体"/>
          <w:b/>
          <w:sz w:val="32"/>
          <w:szCs w:val="32"/>
        </w:rPr>
        <w:t>一、交易概述</w:t>
      </w:r>
    </w:p>
    <w:p w14:paraId="5458C3F1">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介绍本次交易的基本情况，包括本次交易目的、交易各方当事人名称、交易标的名称（股权类资产的，需说明股权比例）、交易内容（收购或出售、债权债务转移）、收购资产的资金来源、交易价格及与账面值相比的溢价情况、是否构成《上市公司重大资产重组管理办法》规定的重大资产重组、协议签署日期（如适用）等。</w:t>
      </w:r>
    </w:p>
    <w:p w14:paraId="024CC254">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（二）简要说明上市公司董事会审议本次交易相关议案的表决情况，董事反对或弃权的，应当披露反对或弃权理由（如适用）。</w:t>
      </w:r>
    </w:p>
    <w:p w14:paraId="1CDCA3F4">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（三）本次交易生效尚需履行的审批及其他程序（如是否需经过股东会或政府有关部门批准、是否需征得债权人同意、是否需征得其他第三方同意等）以及上市公司履行程序的情况。</w:t>
      </w:r>
    </w:p>
    <w:p w14:paraId="27D80DB2">
      <w:pPr>
        <w:adjustRightInd w:val="0"/>
        <w:snapToGrid w:val="0"/>
        <w:spacing w:line="600" w:lineRule="exact"/>
        <w:ind w:firstLine="600" w:firstLineChars="200"/>
        <w:rPr>
          <w:rFonts w:hint="eastAsia" w:ascii="仿宋_GB2312" w:hAnsi="宋体" w:eastAsia="仿宋_GB2312"/>
          <w:sz w:val="30"/>
          <w:szCs w:val="30"/>
        </w:rPr>
      </w:pPr>
    </w:p>
    <w:p w14:paraId="43E166C4">
      <w:pPr>
        <w:adjustRightInd w:val="0"/>
        <w:snapToGrid w:val="0"/>
        <w:spacing w:line="600" w:lineRule="exact"/>
        <w:ind w:firstLine="643" w:firstLineChars="200"/>
        <w:rPr>
          <w:rFonts w:hint="eastAsia" w:ascii="黑体" w:hAnsi="黑体" w:eastAsia="黑体"/>
          <w:b/>
          <w:sz w:val="32"/>
          <w:szCs w:val="32"/>
        </w:rPr>
      </w:pPr>
      <w:r>
        <w:rPr>
          <w:rFonts w:hint="eastAsia" w:ascii="黑体" w:hAnsi="黑体" w:eastAsia="黑体"/>
          <w:b/>
          <w:sz w:val="32"/>
          <w:szCs w:val="32"/>
        </w:rPr>
        <w:t>二、交易对方</w:t>
      </w:r>
      <w:r>
        <w:rPr>
          <w:rFonts w:ascii="黑体" w:hAnsi="黑体" w:eastAsia="黑体"/>
          <w:b/>
          <w:sz w:val="32"/>
          <w:szCs w:val="32"/>
        </w:rPr>
        <w:t>的基本情况</w:t>
      </w:r>
    </w:p>
    <w:p w14:paraId="74237FE9">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交易对方为法人的，应当披露企业名称、性质、法定代表人、注册资本、成立日期、住所、主要办公地点、主营业务、主要股东或实际控制人。上市公司出售资产的，应当结合交易对方的主要财务数据和资信情况，说明其是否具备履约能力；如果交易对方成立时间不足一年或是专为本次交易而设立的，则应当结合交易对方的实际控制人或者控股方的财务资料，说明其是否具备履约能力。</w:t>
      </w:r>
    </w:p>
    <w:p w14:paraId="4A39EC2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交易对方为自然人的，应当披露其姓名和就职单位等基本情况。</w:t>
      </w:r>
    </w:p>
    <w:p w14:paraId="7D05F2E1">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（二）交易对方是否为失信被执行人，如是，应进一步披露其失信情况、受到的惩戒措施、对本次交易的影响，以及公司所采取的应对措施等。</w:t>
      </w:r>
    </w:p>
    <w:p w14:paraId="0D072C8B">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（三）交易对方与上市公司之间存在产权、业务、资产、债权债务、人员等方面的其他关系的说明。</w:t>
      </w:r>
    </w:p>
    <w:p w14:paraId="1C7AE45D">
      <w:pPr>
        <w:adjustRightInd w:val="0"/>
        <w:snapToGrid w:val="0"/>
        <w:spacing w:line="600" w:lineRule="exact"/>
        <w:ind w:firstLine="600" w:firstLineChars="200"/>
        <w:rPr>
          <w:rFonts w:hint="eastAsia" w:ascii="仿宋_GB2312" w:hAnsi="宋体" w:eastAsia="仿宋_GB2312"/>
          <w:sz w:val="30"/>
          <w:szCs w:val="30"/>
        </w:rPr>
      </w:pPr>
    </w:p>
    <w:p w14:paraId="45E1968A">
      <w:pPr>
        <w:adjustRightInd w:val="0"/>
        <w:snapToGrid w:val="0"/>
        <w:spacing w:line="600" w:lineRule="exact"/>
        <w:ind w:firstLine="643" w:firstLineChars="200"/>
        <w:rPr>
          <w:rFonts w:hint="eastAsia" w:ascii="黑体" w:hAnsi="黑体" w:eastAsia="黑体"/>
          <w:b/>
          <w:sz w:val="32"/>
          <w:szCs w:val="32"/>
        </w:rPr>
      </w:pPr>
      <w:r>
        <w:rPr>
          <w:rFonts w:hint="eastAsia" w:ascii="黑体" w:hAnsi="黑体" w:eastAsia="黑体"/>
          <w:b/>
          <w:sz w:val="32"/>
          <w:szCs w:val="32"/>
        </w:rPr>
        <w:t>三、交易标的基本情况</w:t>
      </w:r>
    </w:p>
    <w:p w14:paraId="1471C6A9">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（一）交易标的的名称和类别</w:t>
      </w:r>
    </w:p>
    <w:p w14:paraId="2216A69E">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说明该交易属于《科创板上市规则》中的何种交易类型，交易标的的名称和类别。</w:t>
      </w:r>
    </w:p>
    <w:p w14:paraId="632AF4BA">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（二）交易标的如为资产，需要披露以下内容</w:t>
      </w:r>
    </w:p>
    <w:p w14:paraId="47A17436">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相关资产运营情况，例如该资产的用途或功能、出让方经营该项资产的时间或者获得该资产的时间、方式和价格、该项资产投入使用的时间、目前是否具备正常生产的条件、最近一年运作状况及其他需要特别说明的事项。</w:t>
      </w:r>
    </w:p>
    <w:p w14:paraId="4729A543">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2.权属状况说明，包括交易标的产权是否清晰，是否存在抵押、质押及其他任何限制转让的情况，是否涉及诉讼、仲裁事项或查封、冻结等司法措施，以及是否存在妨碍权属转移的其他情况。</w:t>
      </w:r>
    </w:p>
    <w:p w14:paraId="0264225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交易标的最近一年又一期财务报表的账面价值，包括账面原值、已计提的折旧、摊销或减值准备、账面净值等，并注明是否经过审计、审计机构名称。审计报告为非标准无保留意见的，应在公告中详细披露非标意见所涉事项的具体影响。</w:t>
      </w:r>
    </w:p>
    <w:p w14:paraId="7429FD6D">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（三）交易标的如为公司股权，需要披露以下内容</w:t>
      </w:r>
    </w:p>
    <w:p w14:paraId="3CA52F48">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1.该公司主要股东及各自持股比例、主营业务、注册资本、成立时间、住所等基本情况。</w:t>
      </w:r>
    </w:p>
    <w:p w14:paraId="4FB04C2C">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2.有优先受让权的其他股东是否放弃优先受让权。</w:t>
      </w:r>
    </w:p>
    <w:p w14:paraId="0F5E4073">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3.权属状况说明，包括交易标的产权是否清晰，是否存在抵押、质押及其他任何限制转让的情况，是否涉及诉讼、仲裁事项或查封、冻结等司法措施，以及是否存在妨碍权属转移的其他情况。</w:t>
      </w:r>
    </w:p>
    <w:p w14:paraId="39C34379">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4.标的公司是否为失信被执行人，如是，应进一步披露其失信情况、受到的惩戒措施、对本次交易的影响，以及公司所采取的应对措施等。</w:t>
      </w:r>
    </w:p>
    <w:p w14:paraId="5CCCAF86">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5.该公司最近一年又一期的主要财务数据，包括但不限于资产总额、负债总额、资产净额、营业收入、净利润、扣除非经常性损益后的净利润等，并注明是否经过审计、审计机构名称。审计报告为非标准无保留意见的，应在公告中详细披露非标意见所涉事项的具体影响。</w:t>
      </w:r>
    </w:p>
    <w:p w14:paraId="03F08B3A">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（四）如交易标的所属地在境外，还需披露相关权属证明文件、当地法律法规及政策的适用风险、交接过户、外汇支付等情况。</w:t>
      </w:r>
    </w:p>
    <w:p w14:paraId="1F64DB6F">
      <w:pPr>
        <w:adjustRightInd w:val="0"/>
        <w:snapToGrid w:val="0"/>
        <w:spacing w:line="600" w:lineRule="exact"/>
        <w:ind w:firstLine="600" w:firstLineChars="200"/>
        <w:rPr>
          <w:rFonts w:hint="eastAsia" w:ascii="仿宋_GB2312" w:hAnsi="宋体" w:eastAsia="仿宋_GB2312"/>
          <w:sz w:val="30"/>
          <w:szCs w:val="30"/>
        </w:rPr>
      </w:pPr>
    </w:p>
    <w:p w14:paraId="05AE707F">
      <w:pPr>
        <w:adjustRightInd w:val="0"/>
        <w:snapToGrid w:val="0"/>
        <w:spacing w:line="600" w:lineRule="exact"/>
        <w:ind w:firstLine="643" w:firstLineChars="200"/>
        <w:rPr>
          <w:rFonts w:hint="eastAsia" w:ascii="黑体" w:hAnsi="黑体" w:eastAsia="黑体"/>
          <w:b/>
          <w:sz w:val="32"/>
          <w:szCs w:val="32"/>
        </w:rPr>
      </w:pPr>
      <w:r>
        <w:rPr>
          <w:rFonts w:hint="eastAsia" w:ascii="黑体" w:hAnsi="黑体" w:eastAsia="黑体"/>
          <w:b/>
          <w:sz w:val="32"/>
          <w:szCs w:val="32"/>
        </w:rPr>
        <w:t>四、交易标的定价情况</w:t>
      </w:r>
    </w:p>
    <w:p w14:paraId="1FF0DE7B">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披露本次交易的定价依据。如以评估结果为依据确定交易价格的，应披露为其提供评估服务的评估机构名称、评估基准日、评估方法、重要假设和参数；如最近12个月内有关机构出具评估报告或估值报告的，应披露与本次定价的差异情况及原因；如成交价格与账面值、评估值（如有）、公开市场价格（如有）差异较大的，董事会应当说明原因。</w:t>
      </w:r>
    </w:p>
    <w:p w14:paraId="0EBBD245">
      <w:pPr>
        <w:adjustRightInd w:val="0"/>
        <w:snapToGrid w:val="0"/>
        <w:spacing w:line="600" w:lineRule="exact"/>
        <w:ind w:firstLine="602" w:firstLineChars="200"/>
        <w:rPr>
          <w:rFonts w:hint="eastAsia" w:ascii="仿宋_GB2312" w:hAnsi="宋体" w:eastAsia="仿宋_GB2312"/>
          <w:b/>
          <w:sz w:val="30"/>
          <w:szCs w:val="30"/>
        </w:rPr>
      </w:pPr>
    </w:p>
    <w:p w14:paraId="3CE02ECE">
      <w:pPr>
        <w:adjustRightInd w:val="0"/>
        <w:snapToGrid w:val="0"/>
        <w:spacing w:line="600" w:lineRule="exact"/>
        <w:ind w:firstLine="643" w:firstLineChars="200"/>
        <w:rPr>
          <w:rFonts w:hint="eastAsia" w:ascii="黑体" w:hAnsi="黑体" w:eastAsia="黑体"/>
          <w:b/>
          <w:sz w:val="32"/>
          <w:szCs w:val="32"/>
        </w:rPr>
      </w:pPr>
      <w:r>
        <w:rPr>
          <w:rFonts w:hint="eastAsia" w:ascii="黑体" w:hAnsi="黑体" w:eastAsia="黑体"/>
          <w:b/>
          <w:sz w:val="32"/>
          <w:szCs w:val="32"/>
        </w:rPr>
        <w:t>五、交易合同或协议的主要内容</w:t>
      </w:r>
    </w:p>
    <w:p w14:paraId="2C9DDD2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披露收购、出售资产协议的主要条款，例如协议主体、交易价格、支付方式、支付期限、交付或过户时间安排、过渡期间损益安排、协议的生效条件、生效时间、违约责任等。如该协议附带有任何形式的附加或保留条款的，应予以特别说明。</w:t>
      </w:r>
    </w:p>
    <w:p w14:paraId="3321E38A">
      <w:pPr>
        <w:adjustRightInd w:val="0"/>
        <w:snapToGrid w:val="0"/>
        <w:spacing w:line="600" w:lineRule="exact"/>
        <w:ind w:firstLine="600" w:firstLineChars="200"/>
        <w:rPr>
          <w:rFonts w:hint="eastAsia" w:ascii="仿宋_GB2312" w:hAnsi="宋体" w:eastAsia="仿宋_GB2312"/>
          <w:sz w:val="30"/>
          <w:szCs w:val="30"/>
        </w:rPr>
      </w:pPr>
    </w:p>
    <w:p w14:paraId="4342C97A">
      <w:pPr>
        <w:adjustRightInd w:val="0"/>
        <w:snapToGrid w:val="0"/>
        <w:spacing w:line="600" w:lineRule="exact"/>
        <w:ind w:firstLine="643" w:firstLineChars="200"/>
        <w:rPr>
          <w:rFonts w:hint="eastAsia" w:ascii="黑体" w:hAnsi="黑体" w:eastAsia="黑体"/>
          <w:b/>
          <w:sz w:val="32"/>
          <w:szCs w:val="32"/>
        </w:rPr>
      </w:pPr>
      <w:r>
        <w:rPr>
          <w:rFonts w:hint="eastAsia" w:ascii="黑体" w:hAnsi="黑体" w:eastAsia="黑体"/>
          <w:b/>
          <w:sz w:val="32"/>
          <w:szCs w:val="32"/>
        </w:rPr>
        <w:t>六、涉及收购、出售资产的其他安排</w:t>
      </w:r>
    </w:p>
    <w:p w14:paraId="6057E54A">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披露交易完成后是否可能产生关联交易的说明；是否与关联人产生同业竞争的说明以及解决措施；如本次交易形成上市公司及其下属公司对外担保、非经营性资金占用的，应当披露前述事项的形成原因、金额以及解决措施，并说明对交易作价的影响。</w:t>
      </w:r>
    </w:p>
    <w:p w14:paraId="22DA2DD4">
      <w:pPr>
        <w:adjustRightInd w:val="0"/>
        <w:snapToGrid w:val="0"/>
        <w:spacing w:line="600" w:lineRule="exact"/>
        <w:ind w:firstLine="600" w:firstLineChars="200"/>
        <w:rPr>
          <w:rFonts w:hint="eastAsia" w:ascii="仿宋_GB2312" w:hAnsi="宋体" w:eastAsia="仿宋_GB2312"/>
          <w:sz w:val="30"/>
          <w:szCs w:val="30"/>
        </w:rPr>
      </w:pPr>
    </w:p>
    <w:p w14:paraId="6C44D1CB">
      <w:pPr>
        <w:adjustRightInd w:val="0"/>
        <w:snapToGrid w:val="0"/>
        <w:spacing w:line="600" w:lineRule="exact"/>
        <w:ind w:firstLine="643" w:firstLineChars="200"/>
        <w:rPr>
          <w:rFonts w:hint="eastAsia" w:ascii="黑体" w:hAnsi="黑体" w:eastAsia="黑体"/>
          <w:b/>
          <w:sz w:val="32"/>
          <w:szCs w:val="32"/>
        </w:rPr>
      </w:pPr>
      <w:r>
        <w:rPr>
          <w:rFonts w:hint="eastAsia" w:ascii="黑体" w:hAnsi="黑体" w:eastAsia="黑体"/>
          <w:b/>
          <w:sz w:val="32"/>
          <w:szCs w:val="32"/>
        </w:rPr>
        <w:t>七、收购、出售资产对上市公司的影响</w:t>
      </w:r>
    </w:p>
    <w:p w14:paraId="3A90D9FA">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1.收购资产的，披露该项交易对上市公司未来财务状况、经营成果和科技创新能力的影响。例如可以结合标的资产核心技术、知识产权、科研人才等情况，说明收购对公司科技创新能力的影响。 </w:t>
      </w:r>
    </w:p>
    <w:p w14:paraId="659544C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2.出售资产的，披露出售资产的原因、该项交易本身预计获得的损益及对上市公司财务状况和经营成果的影响。</w:t>
      </w:r>
    </w:p>
    <w:p w14:paraId="25BD3932">
      <w:pPr>
        <w:adjustRightInd w:val="0"/>
        <w:snapToGrid w:val="0"/>
        <w:spacing w:line="600" w:lineRule="exact"/>
        <w:rPr>
          <w:rFonts w:hint="eastAsia" w:ascii="仿宋_GB2312" w:hAnsi="宋体" w:eastAsia="仿宋_GB2312"/>
          <w:sz w:val="30"/>
          <w:szCs w:val="30"/>
        </w:rPr>
      </w:pPr>
    </w:p>
    <w:p w14:paraId="6F7F01DC">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八、风险提示</w:t>
      </w:r>
    </w:p>
    <w:p w14:paraId="45953CF3">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披露本次交易存在的重大交易风险，或交易完成后对上市公司产生的较大风险。</w:t>
      </w:r>
    </w:p>
    <w:p w14:paraId="000FE969">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1.交易风险。例如标的资产估值风险、标的资产盈利能力波动风险、盈利预测的风险、审批风险、本次交易价格与历史交易价格存在较大差异的风险、标的资产权属风险等。</w:t>
      </w:r>
    </w:p>
    <w:p w14:paraId="7714DABB">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2.交易完成后对上市公司的风险。例如市场风险、经营风险、技术风险、汇率风险、政策风险、公司治理与内部控制风险等。</w:t>
      </w:r>
    </w:p>
    <w:p w14:paraId="0654ACCC">
      <w:pPr>
        <w:adjustRightInd w:val="0"/>
        <w:snapToGrid w:val="0"/>
        <w:spacing w:line="600" w:lineRule="exact"/>
        <w:ind w:firstLine="643" w:firstLineChars="200"/>
        <w:rPr>
          <w:rFonts w:ascii="黑体" w:hAnsi="黑体" w:eastAsia="黑体"/>
          <w:b/>
          <w:sz w:val="32"/>
          <w:szCs w:val="32"/>
        </w:rPr>
      </w:pPr>
    </w:p>
    <w:p w14:paraId="1C005DBC">
      <w:pPr>
        <w:adjustRightInd w:val="0"/>
        <w:snapToGrid w:val="0"/>
        <w:spacing w:line="600" w:lineRule="exact"/>
        <w:ind w:firstLine="643" w:firstLineChars="200"/>
        <w:rPr>
          <w:rFonts w:hint="eastAsia" w:ascii="黑体" w:hAnsi="黑体" w:eastAsia="黑体"/>
          <w:b/>
          <w:sz w:val="32"/>
          <w:szCs w:val="32"/>
        </w:rPr>
      </w:pPr>
      <w:r>
        <w:rPr>
          <w:rFonts w:hint="eastAsia" w:ascii="黑体" w:hAnsi="黑体" w:eastAsia="黑体"/>
          <w:b/>
          <w:sz w:val="32"/>
          <w:szCs w:val="32"/>
        </w:rPr>
        <w:t>九</w:t>
      </w:r>
      <w:r>
        <w:rPr>
          <w:rFonts w:ascii="黑体" w:hAnsi="黑体" w:eastAsia="黑体"/>
          <w:b/>
          <w:sz w:val="32"/>
          <w:szCs w:val="32"/>
        </w:rPr>
        <w:t>、</w:t>
      </w:r>
      <w:r>
        <w:rPr>
          <w:rFonts w:hint="eastAsia" w:ascii="黑体" w:hAnsi="黑体" w:eastAsia="黑体"/>
          <w:b/>
          <w:sz w:val="32"/>
          <w:szCs w:val="32"/>
        </w:rPr>
        <w:t>中介机构对本次收购、出售资产交易的意见（如适用）</w:t>
      </w:r>
    </w:p>
    <w:p w14:paraId="747E61C3">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若上市公司就本次交易聘请独立财务顾问、法律顾问的，应明确披露其对本次交易的结论性意见。</w:t>
      </w:r>
    </w:p>
    <w:p w14:paraId="1A1C381A">
      <w:pPr>
        <w:adjustRightInd w:val="0"/>
        <w:snapToGrid w:val="0"/>
        <w:spacing w:line="600" w:lineRule="exact"/>
        <w:ind w:firstLine="600" w:firstLineChars="200"/>
        <w:rPr>
          <w:rFonts w:hint="eastAsia" w:ascii="仿宋_GB2312" w:hAnsi="宋体" w:eastAsia="仿宋_GB2312"/>
          <w:sz w:val="30"/>
          <w:szCs w:val="30"/>
        </w:rPr>
      </w:pPr>
    </w:p>
    <w:p w14:paraId="1668B595">
      <w:pPr>
        <w:adjustRightInd w:val="0"/>
        <w:snapToGrid w:val="0"/>
        <w:spacing w:line="600" w:lineRule="exact"/>
        <w:ind w:firstLine="643" w:firstLineChars="200"/>
        <w:rPr>
          <w:rFonts w:hint="eastAsia" w:ascii="黑体" w:hAnsi="黑体" w:eastAsia="黑体"/>
          <w:b/>
          <w:sz w:val="32"/>
          <w:szCs w:val="32"/>
        </w:rPr>
      </w:pPr>
      <w:r>
        <w:rPr>
          <w:rFonts w:hint="eastAsia" w:ascii="黑体" w:hAnsi="黑体" w:eastAsia="黑体"/>
          <w:b/>
          <w:sz w:val="32"/>
          <w:szCs w:val="32"/>
        </w:rPr>
        <w:t>十、上网公告附件（如适用）</w:t>
      </w:r>
    </w:p>
    <w:p w14:paraId="45CBFA66">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（一）财务报表或审计报告</w:t>
      </w:r>
    </w:p>
    <w:p w14:paraId="51C5D272">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（二）评估报告</w:t>
      </w:r>
    </w:p>
    <w:p w14:paraId="31D97674">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（三）法律意见书</w:t>
      </w:r>
    </w:p>
    <w:p w14:paraId="761C2206">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（四）独立财务顾问报告</w:t>
      </w:r>
    </w:p>
    <w:p w14:paraId="256CC873">
      <w:pPr>
        <w:adjustRightInd w:val="0"/>
        <w:snapToGrid w:val="0"/>
        <w:spacing w:line="600" w:lineRule="exact"/>
        <w:ind w:firstLine="600" w:firstLineChars="200"/>
        <w:rPr>
          <w:rFonts w:hint="eastAsia" w:ascii="仿宋_GB2312" w:hAnsi="宋体" w:eastAsia="仿宋_GB2312"/>
          <w:sz w:val="30"/>
          <w:szCs w:val="30"/>
        </w:rPr>
      </w:pPr>
    </w:p>
    <w:p w14:paraId="77E5BB5F">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特此公告。</w:t>
      </w:r>
    </w:p>
    <w:p w14:paraId="5A72798E">
      <w:pPr>
        <w:adjustRightInd w:val="0"/>
        <w:snapToGrid w:val="0"/>
        <w:spacing w:line="600" w:lineRule="exact"/>
        <w:ind w:firstLine="450" w:firstLineChars="150"/>
        <w:jc w:val="right"/>
        <w:rPr>
          <w:rFonts w:hint="eastAsia" w:ascii="仿宋_GB2312" w:hAnsi="宋体" w:eastAsia="仿宋_GB2312"/>
          <w:sz w:val="30"/>
          <w:szCs w:val="30"/>
        </w:rPr>
      </w:pPr>
      <w:r>
        <w:rPr>
          <w:rFonts w:hint="eastAsia" w:ascii="仿宋_GB2312" w:hAnsi="宋体" w:eastAsia="仿宋_GB2312"/>
          <w:sz w:val="30"/>
          <w:szCs w:val="30"/>
        </w:rPr>
        <w:t>XXXX股份有限公司董事会</w:t>
      </w:r>
    </w:p>
    <w:p w14:paraId="0009891D">
      <w:pPr>
        <w:adjustRightInd w:val="0"/>
        <w:snapToGrid w:val="0"/>
        <w:spacing w:line="600" w:lineRule="exact"/>
        <w:ind w:left="6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4ECABF1E">
      <w:pPr>
        <w:numPr>
          <w:ilvl w:val="1"/>
          <w:numId w:val="2"/>
        </w:numPr>
        <w:adjustRightInd w:val="0"/>
        <w:snapToGrid w:val="0"/>
        <w:spacing w:line="600" w:lineRule="exact"/>
        <w:ind w:left="0" w:firstLine="602" w:firstLineChars="200"/>
        <w:rPr>
          <w:rFonts w:hint="eastAsia" w:ascii="仿宋_GB2312" w:hAnsi="宋体" w:eastAsia="仿宋_GB2312"/>
          <w:b/>
          <w:sz w:val="30"/>
          <w:szCs w:val="30"/>
        </w:rPr>
      </w:pPr>
      <w:r>
        <w:rPr>
          <w:rFonts w:hint="eastAsia" w:ascii="仿宋_GB2312" w:hAnsi="宋体" w:eastAsia="仿宋_GB2312"/>
          <w:b/>
          <w:sz w:val="30"/>
          <w:szCs w:val="30"/>
        </w:rPr>
        <w:t>报备文件（如适用）</w:t>
      </w:r>
    </w:p>
    <w:p w14:paraId="1BA64C94">
      <w:pPr>
        <w:adjustRightInd w:val="0"/>
        <w:snapToGrid w:val="0"/>
        <w:spacing w:line="600" w:lineRule="exact"/>
        <w:ind w:firstLine="450" w:firstLineChars="150"/>
        <w:rPr>
          <w:rFonts w:hint="eastAsia" w:ascii="仿宋_GB2312" w:hAnsi="宋体" w:eastAsia="仿宋_GB2312"/>
          <w:color w:val="000000"/>
          <w:sz w:val="30"/>
          <w:szCs w:val="30"/>
        </w:rPr>
      </w:pPr>
      <w:r>
        <w:rPr>
          <w:rFonts w:hint="eastAsia" w:ascii="仿宋_GB2312" w:hAnsi="宋体" w:eastAsia="仿宋_GB2312"/>
          <w:sz w:val="30"/>
          <w:szCs w:val="30"/>
        </w:rPr>
        <w:t>（一）</w:t>
      </w:r>
      <w:r>
        <w:rPr>
          <w:rFonts w:hint="eastAsia" w:ascii="仿宋_GB2312" w:hAnsi="宋体" w:eastAsia="仿宋_GB2312"/>
          <w:color w:val="000000"/>
          <w:sz w:val="30"/>
          <w:szCs w:val="30"/>
        </w:rPr>
        <w:t>经与会董事签字确认的董事会决议</w:t>
      </w:r>
    </w:p>
    <w:p w14:paraId="34C6E9FA">
      <w:pPr>
        <w:adjustRightInd w:val="0"/>
        <w:snapToGrid w:val="0"/>
        <w:spacing w:line="600" w:lineRule="exact"/>
        <w:ind w:firstLine="450" w:firstLineChars="150"/>
        <w:rPr>
          <w:rFonts w:hint="eastAsia" w:ascii="仿宋_GB2312" w:hAnsi="宋体" w:eastAsia="仿宋_GB2312"/>
          <w:sz w:val="30"/>
          <w:szCs w:val="30"/>
        </w:rPr>
      </w:pPr>
      <w:r>
        <w:rPr>
          <w:rFonts w:hint="eastAsia" w:ascii="仿宋_GB2312" w:hAnsi="宋体" w:eastAsia="仿宋_GB2312"/>
          <w:sz w:val="30"/>
          <w:szCs w:val="30"/>
        </w:rPr>
        <w:t>（二）与交易有关的意向书、协议或合同</w:t>
      </w:r>
    </w:p>
    <w:p w14:paraId="2CA17761">
      <w:pPr>
        <w:adjustRightInd w:val="0"/>
        <w:snapToGrid w:val="0"/>
        <w:spacing w:line="600" w:lineRule="exact"/>
        <w:ind w:firstLine="450" w:firstLineChars="150"/>
        <w:rPr>
          <w:rFonts w:hint="eastAsia" w:ascii="仿宋_GB2312" w:hAnsi="宋体" w:eastAsia="仿宋_GB2312"/>
          <w:sz w:val="30"/>
          <w:szCs w:val="30"/>
        </w:rPr>
      </w:pPr>
      <w:r>
        <w:rPr>
          <w:rFonts w:hint="eastAsia" w:ascii="仿宋_GB2312" w:hAnsi="宋体" w:eastAsia="仿宋_GB2312"/>
          <w:sz w:val="30"/>
          <w:szCs w:val="30"/>
        </w:rPr>
        <w:t>（三）交易涉及的有权机关的批文</w:t>
      </w:r>
    </w:p>
    <w:p w14:paraId="2D025D19">
      <w:pPr>
        <w:adjustRightInd w:val="0"/>
        <w:snapToGrid w:val="0"/>
        <w:spacing w:line="600" w:lineRule="exact"/>
        <w:ind w:firstLine="450" w:firstLineChars="150"/>
        <w:rPr>
          <w:rFonts w:hint="eastAsia" w:ascii="仿宋_GB2312" w:hAnsi="宋体" w:eastAsia="仿宋_GB2312"/>
          <w:sz w:val="30"/>
          <w:szCs w:val="30"/>
        </w:rPr>
      </w:pPr>
      <w:r>
        <w:rPr>
          <w:rFonts w:hint="eastAsia" w:ascii="仿宋_GB2312" w:hAnsi="宋体" w:eastAsia="仿宋_GB2312"/>
          <w:sz w:val="30"/>
          <w:szCs w:val="30"/>
        </w:rPr>
        <w:t>（四）本所要求的其它文件</w:t>
      </w:r>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C999">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r>
      <w:rPr>
        <w:vanish/>
        <w:sz w:val="21"/>
        <w:szCs w:val="21"/>
        <w:highlight w:val="yellow"/>
      </w:rPr>
      <w:t>&gt;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133E0"/>
    <w:multiLevelType w:val="multilevel"/>
    <w:tmpl w:val="13A133E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32605794"/>
    <w:multiLevelType w:val="multilevel"/>
    <w:tmpl w:val="32605794"/>
    <w:lvl w:ilvl="0" w:tentative="0">
      <w:start w:val="1"/>
      <w:numFmt w:val="bullet"/>
      <w:lvlText w:val=""/>
      <w:lvlJc w:val="left"/>
      <w:pPr>
        <w:ind w:left="113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92"/>
    <w:rsid w:val="00001768"/>
    <w:rsid w:val="00001CA8"/>
    <w:rsid w:val="0000724A"/>
    <w:rsid w:val="000077C9"/>
    <w:rsid w:val="00007992"/>
    <w:rsid w:val="0001279C"/>
    <w:rsid w:val="0001448D"/>
    <w:rsid w:val="00014B81"/>
    <w:rsid w:val="000171B0"/>
    <w:rsid w:val="00020A7E"/>
    <w:rsid w:val="00021484"/>
    <w:rsid w:val="000244DA"/>
    <w:rsid w:val="00027C30"/>
    <w:rsid w:val="00030660"/>
    <w:rsid w:val="00031024"/>
    <w:rsid w:val="0003129F"/>
    <w:rsid w:val="00031BD0"/>
    <w:rsid w:val="000355A3"/>
    <w:rsid w:val="00041FC8"/>
    <w:rsid w:val="00043983"/>
    <w:rsid w:val="000441C1"/>
    <w:rsid w:val="000445B6"/>
    <w:rsid w:val="00045916"/>
    <w:rsid w:val="00045B5D"/>
    <w:rsid w:val="00045DBB"/>
    <w:rsid w:val="00046958"/>
    <w:rsid w:val="000544EC"/>
    <w:rsid w:val="00060CDA"/>
    <w:rsid w:val="0006120A"/>
    <w:rsid w:val="00061896"/>
    <w:rsid w:val="000620F5"/>
    <w:rsid w:val="00064D46"/>
    <w:rsid w:val="00065985"/>
    <w:rsid w:val="000663E8"/>
    <w:rsid w:val="0007084E"/>
    <w:rsid w:val="000721A0"/>
    <w:rsid w:val="00072FE4"/>
    <w:rsid w:val="00073008"/>
    <w:rsid w:val="0007424F"/>
    <w:rsid w:val="00082F1E"/>
    <w:rsid w:val="00083240"/>
    <w:rsid w:val="00083633"/>
    <w:rsid w:val="00084008"/>
    <w:rsid w:val="0008470C"/>
    <w:rsid w:val="00085B51"/>
    <w:rsid w:val="00090E6A"/>
    <w:rsid w:val="0009154C"/>
    <w:rsid w:val="00092A3B"/>
    <w:rsid w:val="00092FBB"/>
    <w:rsid w:val="00093B2B"/>
    <w:rsid w:val="00095C61"/>
    <w:rsid w:val="00095D9C"/>
    <w:rsid w:val="000A092F"/>
    <w:rsid w:val="000A0E13"/>
    <w:rsid w:val="000A2E48"/>
    <w:rsid w:val="000A59B8"/>
    <w:rsid w:val="000A7084"/>
    <w:rsid w:val="000B4970"/>
    <w:rsid w:val="000B69C8"/>
    <w:rsid w:val="000C0C4A"/>
    <w:rsid w:val="000C3FB3"/>
    <w:rsid w:val="000C479C"/>
    <w:rsid w:val="000C5C89"/>
    <w:rsid w:val="000D2233"/>
    <w:rsid w:val="000D274F"/>
    <w:rsid w:val="000D3B3B"/>
    <w:rsid w:val="000E159B"/>
    <w:rsid w:val="000E3AA3"/>
    <w:rsid w:val="000E451E"/>
    <w:rsid w:val="000E5366"/>
    <w:rsid w:val="000E7105"/>
    <w:rsid w:val="000F33C4"/>
    <w:rsid w:val="000F4148"/>
    <w:rsid w:val="001002E6"/>
    <w:rsid w:val="001007F1"/>
    <w:rsid w:val="00102775"/>
    <w:rsid w:val="00103A23"/>
    <w:rsid w:val="00110B19"/>
    <w:rsid w:val="00111297"/>
    <w:rsid w:val="001136BA"/>
    <w:rsid w:val="00114305"/>
    <w:rsid w:val="0011791E"/>
    <w:rsid w:val="0012008C"/>
    <w:rsid w:val="00133476"/>
    <w:rsid w:val="0013649E"/>
    <w:rsid w:val="0014003A"/>
    <w:rsid w:val="001419AB"/>
    <w:rsid w:val="00143E81"/>
    <w:rsid w:val="0014447D"/>
    <w:rsid w:val="00145AF4"/>
    <w:rsid w:val="00146E6F"/>
    <w:rsid w:val="001472DF"/>
    <w:rsid w:val="00151630"/>
    <w:rsid w:val="00152DA3"/>
    <w:rsid w:val="0015424B"/>
    <w:rsid w:val="00154627"/>
    <w:rsid w:val="00154AC7"/>
    <w:rsid w:val="00154BD8"/>
    <w:rsid w:val="00155FAF"/>
    <w:rsid w:val="00160F3D"/>
    <w:rsid w:val="00162C17"/>
    <w:rsid w:val="00165A80"/>
    <w:rsid w:val="00166C2D"/>
    <w:rsid w:val="001712ED"/>
    <w:rsid w:val="00174518"/>
    <w:rsid w:val="00177566"/>
    <w:rsid w:val="00180CFE"/>
    <w:rsid w:val="00180D1A"/>
    <w:rsid w:val="001835D1"/>
    <w:rsid w:val="00183D96"/>
    <w:rsid w:val="00183F83"/>
    <w:rsid w:val="001847F2"/>
    <w:rsid w:val="00184B52"/>
    <w:rsid w:val="001857F8"/>
    <w:rsid w:val="0018728F"/>
    <w:rsid w:val="00187487"/>
    <w:rsid w:val="0019482C"/>
    <w:rsid w:val="001A059C"/>
    <w:rsid w:val="001A2298"/>
    <w:rsid w:val="001A5001"/>
    <w:rsid w:val="001A595C"/>
    <w:rsid w:val="001A6D15"/>
    <w:rsid w:val="001A761A"/>
    <w:rsid w:val="001A791A"/>
    <w:rsid w:val="001A7E9D"/>
    <w:rsid w:val="001B0C38"/>
    <w:rsid w:val="001B0EDA"/>
    <w:rsid w:val="001B1EC8"/>
    <w:rsid w:val="001B5E73"/>
    <w:rsid w:val="001B6211"/>
    <w:rsid w:val="001B6DDC"/>
    <w:rsid w:val="001C1B24"/>
    <w:rsid w:val="001C1F9B"/>
    <w:rsid w:val="001C26FB"/>
    <w:rsid w:val="001C41C0"/>
    <w:rsid w:val="001C52C4"/>
    <w:rsid w:val="001C6A68"/>
    <w:rsid w:val="001C700B"/>
    <w:rsid w:val="001D160D"/>
    <w:rsid w:val="001D250E"/>
    <w:rsid w:val="001D3A5D"/>
    <w:rsid w:val="001D4295"/>
    <w:rsid w:val="001D6593"/>
    <w:rsid w:val="001E334A"/>
    <w:rsid w:val="001E4D90"/>
    <w:rsid w:val="001F0FA1"/>
    <w:rsid w:val="001F43B1"/>
    <w:rsid w:val="001F5E83"/>
    <w:rsid w:val="0020038C"/>
    <w:rsid w:val="0020157B"/>
    <w:rsid w:val="002028C9"/>
    <w:rsid w:val="00210097"/>
    <w:rsid w:val="00216198"/>
    <w:rsid w:val="002211E5"/>
    <w:rsid w:val="00223D14"/>
    <w:rsid w:val="00224715"/>
    <w:rsid w:val="002248B6"/>
    <w:rsid w:val="00224C2B"/>
    <w:rsid w:val="002253D7"/>
    <w:rsid w:val="002265B3"/>
    <w:rsid w:val="00226ACE"/>
    <w:rsid w:val="0022763B"/>
    <w:rsid w:val="00233892"/>
    <w:rsid w:val="00236A2B"/>
    <w:rsid w:val="0024233B"/>
    <w:rsid w:val="002458B2"/>
    <w:rsid w:val="00250BCB"/>
    <w:rsid w:val="00251F78"/>
    <w:rsid w:val="002551ED"/>
    <w:rsid w:val="002564DA"/>
    <w:rsid w:val="00257D5A"/>
    <w:rsid w:val="002601FD"/>
    <w:rsid w:val="0026139D"/>
    <w:rsid w:val="002617D2"/>
    <w:rsid w:val="0026455E"/>
    <w:rsid w:val="00266CC9"/>
    <w:rsid w:val="00266D1D"/>
    <w:rsid w:val="00267D75"/>
    <w:rsid w:val="00270F13"/>
    <w:rsid w:val="0027321F"/>
    <w:rsid w:val="0027459F"/>
    <w:rsid w:val="002755E4"/>
    <w:rsid w:val="002805BB"/>
    <w:rsid w:val="0028183E"/>
    <w:rsid w:val="002924E7"/>
    <w:rsid w:val="00292A8F"/>
    <w:rsid w:val="002937FF"/>
    <w:rsid w:val="002A2328"/>
    <w:rsid w:val="002A2C45"/>
    <w:rsid w:val="002A7868"/>
    <w:rsid w:val="002B4196"/>
    <w:rsid w:val="002B43BC"/>
    <w:rsid w:val="002B5E3B"/>
    <w:rsid w:val="002C0628"/>
    <w:rsid w:val="002C21AC"/>
    <w:rsid w:val="002C27BC"/>
    <w:rsid w:val="002C39E4"/>
    <w:rsid w:val="002C49AA"/>
    <w:rsid w:val="002C4DE8"/>
    <w:rsid w:val="002C7672"/>
    <w:rsid w:val="002C7BAF"/>
    <w:rsid w:val="002D38FC"/>
    <w:rsid w:val="002D3EE0"/>
    <w:rsid w:val="002D4670"/>
    <w:rsid w:val="002D4D8B"/>
    <w:rsid w:val="002E17E3"/>
    <w:rsid w:val="002E2B71"/>
    <w:rsid w:val="002E3102"/>
    <w:rsid w:val="002E45E2"/>
    <w:rsid w:val="002F1A1D"/>
    <w:rsid w:val="002F346F"/>
    <w:rsid w:val="002F4877"/>
    <w:rsid w:val="002F4DA2"/>
    <w:rsid w:val="002F687B"/>
    <w:rsid w:val="00301DF0"/>
    <w:rsid w:val="00304269"/>
    <w:rsid w:val="00304576"/>
    <w:rsid w:val="00304C4E"/>
    <w:rsid w:val="00305E51"/>
    <w:rsid w:val="0030603A"/>
    <w:rsid w:val="00306380"/>
    <w:rsid w:val="003116E9"/>
    <w:rsid w:val="00311744"/>
    <w:rsid w:val="00312F2D"/>
    <w:rsid w:val="00313090"/>
    <w:rsid w:val="003130B1"/>
    <w:rsid w:val="0031559E"/>
    <w:rsid w:val="00330518"/>
    <w:rsid w:val="00332336"/>
    <w:rsid w:val="00332C93"/>
    <w:rsid w:val="00333083"/>
    <w:rsid w:val="003365F4"/>
    <w:rsid w:val="00336BAB"/>
    <w:rsid w:val="00337F5D"/>
    <w:rsid w:val="003451AB"/>
    <w:rsid w:val="00350BA0"/>
    <w:rsid w:val="00355F2A"/>
    <w:rsid w:val="00357ACF"/>
    <w:rsid w:val="003618B3"/>
    <w:rsid w:val="00365DCD"/>
    <w:rsid w:val="00366EDC"/>
    <w:rsid w:val="00370BEF"/>
    <w:rsid w:val="00371D61"/>
    <w:rsid w:val="00372162"/>
    <w:rsid w:val="0037339D"/>
    <w:rsid w:val="003744B3"/>
    <w:rsid w:val="003750A3"/>
    <w:rsid w:val="003774C8"/>
    <w:rsid w:val="00381381"/>
    <w:rsid w:val="00385E63"/>
    <w:rsid w:val="0038691F"/>
    <w:rsid w:val="00387D19"/>
    <w:rsid w:val="00392793"/>
    <w:rsid w:val="00393C41"/>
    <w:rsid w:val="0039479A"/>
    <w:rsid w:val="003A1AC7"/>
    <w:rsid w:val="003A4CF0"/>
    <w:rsid w:val="003A70F4"/>
    <w:rsid w:val="003A7A89"/>
    <w:rsid w:val="003B0A2A"/>
    <w:rsid w:val="003B27BA"/>
    <w:rsid w:val="003C146F"/>
    <w:rsid w:val="003C525E"/>
    <w:rsid w:val="003C6347"/>
    <w:rsid w:val="003D1444"/>
    <w:rsid w:val="003D61FF"/>
    <w:rsid w:val="003E0273"/>
    <w:rsid w:val="003E09F2"/>
    <w:rsid w:val="003E33C1"/>
    <w:rsid w:val="003E36B4"/>
    <w:rsid w:val="003E3CBF"/>
    <w:rsid w:val="003E45C9"/>
    <w:rsid w:val="003E4E31"/>
    <w:rsid w:val="003E6E9A"/>
    <w:rsid w:val="003E7B0E"/>
    <w:rsid w:val="003F1311"/>
    <w:rsid w:val="003F173C"/>
    <w:rsid w:val="003F256B"/>
    <w:rsid w:val="003F2651"/>
    <w:rsid w:val="003F2730"/>
    <w:rsid w:val="003F42FB"/>
    <w:rsid w:val="003F478E"/>
    <w:rsid w:val="00400F02"/>
    <w:rsid w:val="004057AE"/>
    <w:rsid w:val="00410EFF"/>
    <w:rsid w:val="004111C9"/>
    <w:rsid w:val="0041224B"/>
    <w:rsid w:val="004123F3"/>
    <w:rsid w:val="00414A65"/>
    <w:rsid w:val="00415022"/>
    <w:rsid w:val="00416A81"/>
    <w:rsid w:val="00416ABF"/>
    <w:rsid w:val="00423C0D"/>
    <w:rsid w:val="004248B7"/>
    <w:rsid w:val="004308A8"/>
    <w:rsid w:val="00435031"/>
    <w:rsid w:val="004356E9"/>
    <w:rsid w:val="00440AEB"/>
    <w:rsid w:val="004420DE"/>
    <w:rsid w:val="004441BB"/>
    <w:rsid w:val="00444834"/>
    <w:rsid w:val="00444982"/>
    <w:rsid w:val="00454769"/>
    <w:rsid w:val="00455AD3"/>
    <w:rsid w:val="00456A12"/>
    <w:rsid w:val="00457859"/>
    <w:rsid w:val="004639AC"/>
    <w:rsid w:val="004645A4"/>
    <w:rsid w:val="00465DA9"/>
    <w:rsid w:val="004669B8"/>
    <w:rsid w:val="004739DF"/>
    <w:rsid w:val="004760B6"/>
    <w:rsid w:val="004765E0"/>
    <w:rsid w:val="00477F7A"/>
    <w:rsid w:val="00480B3E"/>
    <w:rsid w:val="00481445"/>
    <w:rsid w:val="00483A3D"/>
    <w:rsid w:val="0048665C"/>
    <w:rsid w:val="00490F8C"/>
    <w:rsid w:val="004938E7"/>
    <w:rsid w:val="00494C95"/>
    <w:rsid w:val="00494D37"/>
    <w:rsid w:val="00497877"/>
    <w:rsid w:val="004A01BD"/>
    <w:rsid w:val="004A33FA"/>
    <w:rsid w:val="004A4D92"/>
    <w:rsid w:val="004B546B"/>
    <w:rsid w:val="004C1F3D"/>
    <w:rsid w:val="004D4592"/>
    <w:rsid w:val="004E22E0"/>
    <w:rsid w:val="004E293D"/>
    <w:rsid w:val="004E4FF7"/>
    <w:rsid w:val="004E77EC"/>
    <w:rsid w:val="004F0D28"/>
    <w:rsid w:val="004F31AC"/>
    <w:rsid w:val="004F3E9D"/>
    <w:rsid w:val="004F466A"/>
    <w:rsid w:val="0050134C"/>
    <w:rsid w:val="0050225E"/>
    <w:rsid w:val="00502775"/>
    <w:rsid w:val="00505C1A"/>
    <w:rsid w:val="00505F76"/>
    <w:rsid w:val="0050692B"/>
    <w:rsid w:val="00507B58"/>
    <w:rsid w:val="005108CF"/>
    <w:rsid w:val="005133D4"/>
    <w:rsid w:val="005138B0"/>
    <w:rsid w:val="005138B7"/>
    <w:rsid w:val="005161A0"/>
    <w:rsid w:val="00517526"/>
    <w:rsid w:val="00521589"/>
    <w:rsid w:val="0052165E"/>
    <w:rsid w:val="0052229E"/>
    <w:rsid w:val="00522490"/>
    <w:rsid w:val="0052272C"/>
    <w:rsid w:val="005230FF"/>
    <w:rsid w:val="00523806"/>
    <w:rsid w:val="005246F9"/>
    <w:rsid w:val="00527FE9"/>
    <w:rsid w:val="00531740"/>
    <w:rsid w:val="0053327B"/>
    <w:rsid w:val="00537A5C"/>
    <w:rsid w:val="00542097"/>
    <w:rsid w:val="00542D72"/>
    <w:rsid w:val="005450E1"/>
    <w:rsid w:val="0054680E"/>
    <w:rsid w:val="00547DF1"/>
    <w:rsid w:val="00555E5E"/>
    <w:rsid w:val="005573EB"/>
    <w:rsid w:val="0056108E"/>
    <w:rsid w:val="005625B3"/>
    <w:rsid w:val="00563313"/>
    <w:rsid w:val="00563A67"/>
    <w:rsid w:val="00563D53"/>
    <w:rsid w:val="00563D82"/>
    <w:rsid w:val="00570DE0"/>
    <w:rsid w:val="0057329D"/>
    <w:rsid w:val="00576CCF"/>
    <w:rsid w:val="0057779E"/>
    <w:rsid w:val="005810CE"/>
    <w:rsid w:val="00590220"/>
    <w:rsid w:val="005919CF"/>
    <w:rsid w:val="0059351A"/>
    <w:rsid w:val="0059389B"/>
    <w:rsid w:val="00596F66"/>
    <w:rsid w:val="005B1403"/>
    <w:rsid w:val="005B26FE"/>
    <w:rsid w:val="005B574B"/>
    <w:rsid w:val="005C0454"/>
    <w:rsid w:val="005C4BFA"/>
    <w:rsid w:val="005C645F"/>
    <w:rsid w:val="005C7570"/>
    <w:rsid w:val="005D1361"/>
    <w:rsid w:val="005D4D58"/>
    <w:rsid w:val="005E6589"/>
    <w:rsid w:val="005E6C70"/>
    <w:rsid w:val="005F0021"/>
    <w:rsid w:val="005F24CD"/>
    <w:rsid w:val="005F6D32"/>
    <w:rsid w:val="005F7370"/>
    <w:rsid w:val="0060214E"/>
    <w:rsid w:val="006026E7"/>
    <w:rsid w:val="00602F10"/>
    <w:rsid w:val="006038DC"/>
    <w:rsid w:val="00611760"/>
    <w:rsid w:val="00612D5E"/>
    <w:rsid w:val="00613DCC"/>
    <w:rsid w:val="00614880"/>
    <w:rsid w:val="00617997"/>
    <w:rsid w:val="0062012B"/>
    <w:rsid w:val="00621280"/>
    <w:rsid w:val="00623821"/>
    <w:rsid w:val="00626C03"/>
    <w:rsid w:val="006272E0"/>
    <w:rsid w:val="00630CDB"/>
    <w:rsid w:val="00634F18"/>
    <w:rsid w:val="006362CB"/>
    <w:rsid w:val="006368FF"/>
    <w:rsid w:val="00640450"/>
    <w:rsid w:val="00641600"/>
    <w:rsid w:val="00646194"/>
    <w:rsid w:val="006471C6"/>
    <w:rsid w:val="00647A67"/>
    <w:rsid w:val="00650294"/>
    <w:rsid w:val="00651B14"/>
    <w:rsid w:val="0065345F"/>
    <w:rsid w:val="00654FA2"/>
    <w:rsid w:val="00655EB2"/>
    <w:rsid w:val="006571FE"/>
    <w:rsid w:val="00660136"/>
    <w:rsid w:val="00660697"/>
    <w:rsid w:val="006615DA"/>
    <w:rsid w:val="0066315E"/>
    <w:rsid w:val="00663185"/>
    <w:rsid w:val="00663331"/>
    <w:rsid w:val="00665D7A"/>
    <w:rsid w:val="00665F05"/>
    <w:rsid w:val="00665F2B"/>
    <w:rsid w:val="00667DAA"/>
    <w:rsid w:val="00670D5F"/>
    <w:rsid w:val="00672445"/>
    <w:rsid w:val="0067393D"/>
    <w:rsid w:val="006810D0"/>
    <w:rsid w:val="00690985"/>
    <w:rsid w:val="00692AC5"/>
    <w:rsid w:val="00693DE0"/>
    <w:rsid w:val="0069523F"/>
    <w:rsid w:val="006A24CE"/>
    <w:rsid w:val="006B289E"/>
    <w:rsid w:val="006B4C26"/>
    <w:rsid w:val="006B5985"/>
    <w:rsid w:val="006C09F3"/>
    <w:rsid w:val="006C32AC"/>
    <w:rsid w:val="006C347B"/>
    <w:rsid w:val="006C4163"/>
    <w:rsid w:val="006C520E"/>
    <w:rsid w:val="006D2131"/>
    <w:rsid w:val="006D6B1D"/>
    <w:rsid w:val="006D6F39"/>
    <w:rsid w:val="006D784B"/>
    <w:rsid w:val="006E1A84"/>
    <w:rsid w:val="006E23E4"/>
    <w:rsid w:val="006E72D4"/>
    <w:rsid w:val="006F616C"/>
    <w:rsid w:val="006F61B7"/>
    <w:rsid w:val="007033CE"/>
    <w:rsid w:val="0070502E"/>
    <w:rsid w:val="00705B9C"/>
    <w:rsid w:val="00710543"/>
    <w:rsid w:val="00711372"/>
    <w:rsid w:val="00716D3D"/>
    <w:rsid w:val="0071784A"/>
    <w:rsid w:val="0072139A"/>
    <w:rsid w:val="0072255C"/>
    <w:rsid w:val="00723842"/>
    <w:rsid w:val="007240BC"/>
    <w:rsid w:val="00724E12"/>
    <w:rsid w:val="00726A5A"/>
    <w:rsid w:val="0073076B"/>
    <w:rsid w:val="00730ACA"/>
    <w:rsid w:val="00731271"/>
    <w:rsid w:val="00737D41"/>
    <w:rsid w:val="00737D66"/>
    <w:rsid w:val="0074041C"/>
    <w:rsid w:val="00740B60"/>
    <w:rsid w:val="007411C7"/>
    <w:rsid w:val="00742C79"/>
    <w:rsid w:val="00743E44"/>
    <w:rsid w:val="007449F0"/>
    <w:rsid w:val="007471DB"/>
    <w:rsid w:val="00747F58"/>
    <w:rsid w:val="00750BB2"/>
    <w:rsid w:val="00750E78"/>
    <w:rsid w:val="00751C4A"/>
    <w:rsid w:val="00752FB5"/>
    <w:rsid w:val="00754790"/>
    <w:rsid w:val="007566F7"/>
    <w:rsid w:val="00756924"/>
    <w:rsid w:val="0075764F"/>
    <w:rsid w:val="007601AB"/>
    <w:rsid w:val="007608D6"/>
    <w:rsid w:val="007612C9"/>
    <w:rsid w:val="00761AAB"/>
    <w:rsid w:val="00764E8A"/>
    <w:rsid w:val="0076736B"/>
    <w:rsid w:val="00772FE5"/>
    <w:rsid w:val="00773635"/>
    <w:rsid w:val="007813E1"/>
    <w:rsid w:val="007819C4"/>
    <w:rsid w:val="00782A83"/>
    <w:rsid w:val="00783479"/>
    <w:rsid w:val="00786652"/>
    <w:rsid w:val="007959D2"/>
    <w:rsid w:val="007A0BC6"/>
    <w:rsid w:val="007A124A"/>
    <w:rsid w:val="007A1D49"/>
    <w:rsid w:val="007A4333"/>
    <w:rsid w:val="007B5DE8"/>
    <w:rsid w:val="007C03B7"/>
    <w:rsid w:val="007C2AD4"/>
    <w:rsid w:val="007C3402"/>
    <w:rsid w:val="007D07FC"/>
    <w:rsid w:val="007D45DE"/>
    <w:rsid w:val="007D62DE"/>
    <w:rsid w:val="007E017B"/>
    <w:rsid w:val="007E399D"/>
    <w:rsid w:val="007E5EAC"/>
    <w:rsid w:val="007F1B62"/>
    <w:rsid w:val="007F1D5F"/>
    <w:rsid w:val="007F7459"/>
    <w:rsid w:val="007F7751"/>
    <w:rsid w:val="008012B7"/>
    <w:rsid w:val="00801D4B"/>
    <w:rsid w:val="00802E6E"/>
    <w:rsid w:val="008055A2"/>
    <w:rsid w:val="00805D09"/>
    <w:rsid w:val="008072CD"/>
    <w:rsid w:val="008141E7"/>
    <w:rsid w:val="0081466A"/>
    <w:rsid w:val="00815671"/>
    <w:rsid w:val="00816630"/>
    <w:rsid w:val="0081674A"/>
    <w:rsid w:val="00816750"/>
    <w:rsid w:val="008168BD"/>
    <w:rsid w:val="00820A16"/>
    <w:rsid w:val="00822D9D"/>
    <w:rsid w:val="00824A02"/>
    <w:rsid w:val="0082547F"/>
    <w:rsid w:val="00825CE1"/>
    <w:rsid w:val="008274FC"/>
    <w:rsid w:val="00830A19"/>
    <w:rsid w:val="00833C6A"/>
    <w:rsid w:val="00835F7B"/>
    <w:rsid w:val="008365B2"/>
    <w:rsid w:val="00837AC6"/>
    <w:rsid w:val="008404A9"/>
    <w:rsid w:val="0084787F"/>
    <w:rsid w:val="0085060F"/>
    <w:rsid w:val="00855048"/>
    <w:rsid w:val="008550EF"/>
    <w:rsid w:val="008564F7"/>
    <w:rsid w:val="00857126"/>
    <w:rsid w:val="0086024A"/>
    <w:rsid w:val="00860CA9"/>
    <w:rsid w:val="00863E78"/>
    <w:rsid w:val="008643DC"/>
    <w:rsid w:val="00865A79"/>
    <w:rsid w:val="00880960"/>
    <w:rsid w:val="00880C56"/>
    <w:rsid w:val="008826A7"/>
    <w:rsid w:val="00882995"/>
    <w:rsid w:val="00882FA9"/>
    <w:rsid w:val="008850EE"/>
    <w:rsid w:val="00890B64"/>
    <w:rsid w:val="008A063B"/>
    <w:rsid w:val="008A1687"/>
    <w:rsid w:val="008A3F0E"/>
    <w:rsid w:val="008A42D2"/>
    <w:rsid w:val="008A55C3"/>
    <w:rsid w:val="008B1BBD"/>
    <w:rsid w:val="008B66AD"/>
    <w:rsid w:val="008C048C"/>
    <w:rsid w:val="008C094D"/>
    <w:rsid w:val="008C1648"/>
    <w:rsid w:val="008C4225"/>
    <w:rsid w:val="008D385A"/>
    <w:rsid w:val="008D47D6"/>
    <w:rsid w:val="008D6F55"/>
    <w:rsid w:val="008D7ABC"/>
    <w:rsid w:val="008E027B"/>
    <w:rsid w:val="008E0B21"/>
    <w:rsid w:val="008E22E7"/>
    <w:rsid w:val="008E3A11"/>
    <w:rsid w:val="008E7C71"/>
    <w:rsid w:val="008F01E4"/>
    <w:rsid w:val="00903BF9"/>
    <w:rsid w:val="00907D09"/>
    <w:rsid w:val="009128CF"/>
    <w:rsid w:val="00912BC8"/>
    <w:rsid w:val="009171DE"/>
    <w:rsid w:val="00917B5B"/>
    <w:rsid w:val="00920CA1"/>
    <w:rsid w:val="00921513"/>
    <w:rsid w:val="00921679"/>
    <w:rsid w:val="0092445B"/>
    <w:rsid w:val="00926D77"/>
    <w:rsid w:val="009278EB"/>
    <w:rsid w:val="00930FB1"/>
    <w:rsid w:val="00931440"/>
    <w:rsid w:val="009315A7"/>
    <w:rsid w:val="00934502"/>
    <w:rsid w:val="00934891"/>
    <w:rsid w:val="00935547"/>
    <w:rsid w:val="00941D28"/>
    <w:rsid w:val="00941F25"/>
    <w:rsid w:val="00942BA1"/>
    <w:rsid w:val="00946CCC"/>
    <w:rsid w:val="00951590"/>
    <w:rsid w:val="00952E7F"/>
    <w:rsid w:val="00954985"/>
    <w:rsid w:val="009556A8"/>
    <w:rsid w:val="00957470"/>
    <w:rsid w:val="009606AE"/>
    <w:rsid w:val="0096202A"/>
    <w:rsid w:val="009634A3"/>
    <w:rsid w:val="00964482"/>
    <w:rsid w:val="00964675"/>
    <w:rsid w:val="00966A9E"/>
    <w:rsid w:val="00966E20"/>
    <w:rsid w:val="00967A65"/>
    <w:rsid w:val="0097280C"/>
    <w:rsid w:val="00976994"/>
    <w:rsid w:val="00976F6F"/>
    <w:rsid w:val="00980486"/>
    <w:rsid w:val="00980B44"/>
    <w:rsid w:val="00983391"/>
    <w:rsid w:val="00991B82"/>
    <w:rsid w:val="00991F40"/>
    <w:rsid w:val="00994030"/>
    <w:rsid w:val="00994DB3"/>
    <w:rsid w:val="0099723A"/>
    <w:rsid w:val="00997447"/>
    <w:rsid w:val="009975DB"/>
    <w:rsid w:val="00997A34"/>
    <w:rsid w:val="009A1B09"/>
    <w:rsid w:val="009A2662"/>
    <w:rsid w:val="009A3342"/>
    <w:rsid w:val="009A4D6D"/>
    <w:rsid w:val="009A4E77"/>
    <w:rsid w:val="009A760A"/>
    <w:rsid w:val="009C03BE"/>
    <w:rsid w:val="009C1EC5"/>
    <w:rsid w:val="009C2790"/>
    <w:rsid w:val="009C44E5"/>
    <w:rsid w:val="009C79F9"/>
    <w:rsid w:val="009C7F7F"/>
    <w:rsid w:val="009D34D1"/>
    <w:rsid w:val="009D4AAF"/>
    <w:rsid w:val="009D4FD2"/>
    <w:rsid w:val="009D650D"/>
    <w:rsid w:val="009D7BBB"/>
    <w:rsid w:val="009E00B5"/>
    <w:rsid w:val="009E381E"/>
    <w:rsid w:val="009E79E4"/>
    <w:rsid w:val="009F1B41"/>
    <w:rsid w:val="009F1F24"/>
    <w:rsid w:val="009F33C4"/>
    <w:rsid w:val="009F6BC5"/>
    <w:rsid w:val="009F760C"/>
    <w:rsid w:val="00A03D5F"/>
    <w:rsid w:val="00A045AA"/>
    <w:rsid w:val="00A050BD"/>
    <w:rsid w:val="00A06425"/>
    <w:rsid w:val="00A07B0C"/>
    <w:rsid w:val="00A07CB3"/>
    <w:rsid w:val="00A12423"/>
    <w:rsid w:val="00A13332"/>
    <w:rsid w:val="00A148D0"/>
    <w:rsid w:val="00A14D7C"/>
    <w:rsid w:val="00A154F5"/>
    <w:rsid w:val="00A208F4"/>
    <w:rsid w:val="00A20A52"/>
    <w:rsid w:val="00A23099"/>
    <w:rsid w:val="00A249FD"/>
    <w:rsid w:val="00A24E2F"/>
    <w:rsid w:val="00A26D5C"/>
    <w:rsid w:val="00A30555"/>
    <w:rsid w:val="00A3072A"/>
    <w:rsid w:val="00A34FB1"/>
    <w:rsid w:val="00A41DF7"/>
    <w:rsid w:val="00A435A7"/>
    <w:rsid w:val="00A44A7E"/>
    <w:rsid w:val="00A47113"/>
    <w:rsid w:val="00A47305"/>
    <w:rsid w:val="00A50019"/>
    <w:rsid w:val="00A524D3"/>
    <w:rsid w:val="00A5271E"/>
    <w:rsid w:val="00A549F1"/>
    <w:rsid w:val="00A54F24"/>
    <w:rsid w:val="00A60388"/>
    <w:rsid w:val="00A61D40"/>
    <w:rsid w:val="00A6319C"/>
    <w:rsid w:val="00A636BA"/>
    <w:rsid w:val="00A63DD9"/>
    <w:rsid w:val="00A64640"/>
    <w:rsid w:val="00A64789"/>
    <w:rsid w:val="00A6483F"/>
    <w:rsid w:val="00A65076"/>
    <w:rsid w:val="00A66105"/>
    <w:rsid w:val="00A70608"/>
    <w:rsid w:val="00A71A20"/>
    <w:rsid w:val="00A72B46"/>
    <w:rsid w:val="00A84E16"/>
    <w:rsid w:val="00A878CA"/>
    <w:rsid w:val="00A90773"/>
    <w:rsid w:val="00A9541A"/>
    <w:rsid w:val="00AA06B3"/>
    <w:rsid w:val="00AA4568"/>
    <w:rsid w:val="00AA6345"/>
    <w:rsid w:val="00AB09EE"/>
    <w:rsid w:val="00AB3B42"/>
    <w:rsid w:val="00AB4A64"/>
    <w:rsid w:val="00AB53A9"/>
    <w:rsid w:val="00AC00A2"/>
    <w:rsid w:val="00AC658E"/>
    <w:rsid w:val="00AD3A03"/>
    <w:rsid w:val="00AD3F3F"/>
    <w:rsid w:val="00AD7478"/>
    <w:rsid w:val="00AE1E72"/>
    <w:rsid w:val="00AE2A25"/>
    <w:rsid w:val="00AE3D87"/>
    <w:rsid w:val="00AE471F"/>
    <w:rsid w:val="00AE75B9"/>
    <w:rsid w:val="00AF5CF2"/>
    <w:rsid w:val="00AF7DB7"/>
    <w:rsid w:val="00B038CF"/>
    <w:rsid w:val="00B04013"/>
    <w:rsid w:val="00B06770"/>
    <w:rsid w:val="00B0732C"/>
    <w:rsid w:val="00B11711"/>
    <w:rsid w:val="00B12ECE"/>
    <w:rsid w:val="00B158A7"/>
    <w:rsid w:val="00B17897"/>
    <w:rsid w:val="00B216C1"/>
    <w:rsid w:val="00B243DB"/>
    <w:rsid w:val="00B24A30"/>
    <w:rsid w:val="00B26E40"/>
    <w:rsid w:val="00B32B4B"/>
    <w:rsid w:val="00B346CA"/>
    <w:rsid w:val="00B45AA0"/>
    <w:rsid w:val="00B47EBE"/>
    <w:rsid w:val="00B517B3"/>
    <w:rsid w:val="00B528EF"/>
    <w:rsid w:val="00B52D1A"/>
    <w:rsid w:val="00B54C5B"/>
    <w:rsid w:val="00B6117B"/>
    <w:rsid w:val="00B6236F"/>
    <w:rsid w:val="00B636FC"/>
    <w:rsid w:val="00B641C8"/>
    <w:rsid w:val="00B648C0"/>
    <w:rsid w:val="00B7439A"/>
    <w:rsid w:val="00B753E2"/>
    <w:rsid w:val="00B80C1F"/>
    <w:rsid w:val="00B80CBD"/>
    <w:rsid w:val="00B90B34"/>
    <w:rsid w:val="00B90BBA"/>
    <w:rsid w:val="00B9215E"/>
    <w:rsid w:val="00B95117"/>
    <w:rsid w:val="00B969F4"/>
    <w:rsid w:val="00BA1909"/>
    <w:rsid w:val="00BA1E2D"/>
    <w:rsid w:val="00BB181D"/>
    <w:rsid w:val="00BB300A"/>
    <w:rsid w:val="00BB3ED7"/>
    <w:rsid w:val="00BB513F"/>
    <w:rsid w:val="00BB6AF0"/>
    <w:rsid w:val="00BC7E52"/>
    <w:rsid w:val="00BD0AA3"/>
    <w:rsid w:val="00BD3D6E"/>
    <w:rsid w:val="00BE0C3B"/>
    <w:rsid w:val="00BE0D3D"/>
    <w:rsid w:val="00BE592A"/>
    <w:rsid w:val="00BE5B6B"/>
    <w:rsid w:val="00BE6245"/>
    <w:rsid w:val="00BE6EA8"/>
    <w:rsid w:val="00BF0D2C"/>
    <w:rsid w:val="00BF2EA5"/>
    <w:rsid w:val="00BF4118"/>
    <w:rsid w:val="00BF44C3"/>
    <w:rsid w:val="00BF76A5"/>
    <w:rsid w:val="00C023C5"/>
    <w:rsid w:val="00C03C0F"/>
    <w:rsid w:val="00C06B82"/>
    <w:rsid w:val="00C06D0E"/>
    <w:rsid w:val="00C07673"/>
    <w:rsid w:val="00C10747"/>
    <w:rsid w:val="00C11CB6"/>
    <w:rsid w:val="00C15716"/>
    <w:rsid w:val="00C15954"/>
    <w:rsid w:val="00C24723"/>
    <w:rsid w:val="00C24C24"/>
    <w:rsid w:val="00C253FB"/>
    <w:rsid w:val="00C256E4"/>
    <w:rsid w:val="00C2632E"/>
    <w:rsid w:val="00C31B9D"/>
    <w:rsid w:val="00C4065C"/>
    <w:rsid w:val="00C40FC2"/>
    <w:rsid w:val="00C41807"/>
    <w:rsid w:val="00C423F5"/>
    <w:rsid w:val="00C5441F"/>
    <w:rsid w:val="00C605AC"/>
    <w:rsid w:val="00C607C7"/>
    <w:rsid w:val="00C60C27"/>
    <w:rsid w:val="00C62995"/>
    <w:rsid w:val="00C64556"/>
    <w:rsid w:val="00C67129"/>
    <w:rsid w:val="00C67A63"/>
    <w:rsid w:val="00C70C50"/>
    <w:rsid w:val="00C71397"/>
    <w:rsid w:val="00C71632"/>
    <w:rsid w:val="00C82462"/>
    <w:rsid w:val="00C85785"/>
    <w:rsid w:val="00C87B52"/>
    <w:rsid w:val="00C90163"/>
    <w:rsid w:val="00C911D2"/>
    <w:rsid w:val="00C9220C"/>
    <w:rsid w:val="00C9383C"/>
    <w:rsid w:val="00C94B38"/>
    <w:rsid w:val="00C956DE"/>
    <w:rsid w:val="00C97C72"/>
    <w:rsid w:val="00C97F81"/>
    <w:rsid w:val="00CA1957"/>
    <w:rsid w:val="00CA2897"/>
    <w:rsid w:val="00CA36E2"/>
    <w:rsid w:val="00CB143F"/>
    <w:rsid w:val="00CB4BE6"/>
    <w:rsid w:val="00CB5E24"/>
    <w:rsid w:val="00CB6A44"/>
    <w:rsid w:val="00CB6DA9"/>
    <w:rsid w:val="00CB7C52"/>
    <w:rsid w:val="00CC1F6C"/>
    <w:rsid w:val="00CC2ED3"/>
    <w:rsid w:val="00CC6558"/>
    <w:rsid w:val="00CD02AF"/>
    <w:rsid w:val="00CD5431"/>
    <w:rsid w:val="00CD78A3"/>
    <w:rsid w:val="00CD7C44"/>
    <w:rsid w:val="00CE01FC"/>
    <w:rsid w:val="00CE06CD"/>
    <w:rsid w:val="00CE3A42"/>
    <w:rsid w:val="00CE3D42"/>
    <w:rsid w:val="00CE4322"/>
    <w:rsid w:val="00CE51DA"/>
    <w:rsid w:val="00CF12B1"/>
    <w:rsid w:val="00CF2613"/>
    <w:rsid w:val="00CF30D8"/>
    <w:rsid w:val="00CF34E0"/>
    <w:rsid w:val="00CF4021"/>
    <w:rsid w:val="00CF4690"/>
    <w:rsid w:val="00CF5427"/>
    <w:rsid w:val="00CF6046"/>
    <w:rsid w:val="00CF67B8"/>
    <w:rsid w:val="00CF75C4"/>
    <w:rsid w:val="00D037A7"/>
    <w:rsid w:val="00D04C78"/>
    <w:rsid w:val="00D05B8A"/>
    <w:rsid w:val="00D06A15"/>
    <w:rsid w:val="00D06B60"/>
    <w:rsid w:val="00D076C1"/>
    <w:rsid w:val="00D1077B"/>
    <w:rsid w:val="00D10DBD"/>
    <w:rsid w:val="00D20B22"/>
    <w:rsid w:val="00D306B1"/>
    <w:rsid w:val="00D330F1"/>
    <w:rsid w:val="00D34E71"/>
    <w:rsid w:val="00D35A9B"/>
    <w:rsid w:val="00D3651F"/>
    <w:rsid w:val="00D366B5"/>
    <w:rsid w:val="00D43C51"/>
    <w:rsid w:val="00D463EE"/>
    <w:rsid w:val="00D5559A"/>
    <w:rsid w:val="00D558D4"/>
    <w:rsid w:val="00D57B98"/>
    <w:rsid w:val="00D57BA2"/>
    <w:rsid w:val="00D6594B"/>
    <w:rsid w:val="00D70DD1"/>
    <w:rsid w:val="00D71A22"/>
    <w:rsid w:val="00D749C2"/>
    <w:rsid w:val="00D751AF"/>
    <w:rsid w:val="00D77157"/>
    <w:rsid w:val="00D77AFF"/>
    <w:rsid w:val="00D80659"/>
    <w:rsid w:val="00D829B0"/>
    <w:rsid w:val="00D8361B"/>
    <w:rsid w:val="00D852F1"/>
    <w:rsid w:val="00D859EF"/>
    <w:rsid w:val="00D874AB"/>
    <w:rsid w:val="00D91777"/>
    <w:rsid w:val="00D927F6"/>
    <w:rsid w:val="00D96CAC"/>
    <w:rsid w:val="00DA281C"/>
    <w:rsid w:val="00DA561B"/>
    <w:rsid w:val="00DB104B"/>
    <w:rsid w:val="00DB3397"/>
    <w:rsid w:val="00DB670A"/>
    <w:rsid w:val="00DB6B74"/>
    <w:rsid w:val="00DC19B0"/>
    <w:rsid w:val="00DC63F9"/>
    <w:rsid w:val="00DD017F"/>
    <w:rsid w:val="00DD46D0"/>
    <w:rsid w:val="00DD4F3C"/>
    <w:rsid w:val="00DD5F68"/>
    <w:rsid w:val="00DE02C6"/>
    <w:rsid w:val="00DE076D"/>
    <w:rsid w:val="00DE0B43"/>
    <w:rsid w:val="00DE0E89"/>
    <w:rsid w:val="00DE16E9"/>
    <w:rsid w:val="00DE3157"/>
    <w:rsid w:val="00DE430D"/>
    <w:rsid w:val="00DF0CD2"/>
    <w:rsid w:val="00DF4C26"/>
    <w:rsid w:val="00DF57A8"/>
    <w:rsid w:val="00DF5F39"/>
    <w:rsid w:val="00DF6A8E"/>
    <w:rsid w:val="00E00058"/>
    <w:rsid w:val="00E05035"/>
    <w:rsid w:val="00E070E1"/>
    <w:rsid w:val="00E12029"/>
    <w:rsid w:val="00E15722"/>
    <w:rsid w:val="00E1580A"/>
    <w:rsid w:val="00E211FC"/>
    <w:rsid w:val="00E241FE"/>
    <w:rsid w:val="00E2502A"/>
    <w:rsid w:val="00E25B65"/>
    <w:rsid w:val="00E31D70"/>
    <w:rsid w:val="00E320C9"/>
    <w:rsid w:val="00E32220"/>
    <w:rsid w:val="00E3393E"/>
    <w:rsid w:val="00E358B1"/>
    <w:rsid w:val="00E364A0"/>
    <w:rsid w:val="00E3717D"/>
    <w:rsid w:val="00E40C11"/>
    <w:rsid w:val="00E43D09"/>
    <w:rsid w:val="00E44DDB"/>
    <w:rsid w:val="00E47C39"/>
    <w:rsid w:val="00E50484"/>
    <w:rsid w:val="00E525FB"/>
    <w:rsid w:val="00E52EB1"/>
    <w:rsid w:val="00E5332F"/>
    <w:rsid w:val="00E535F2"/>
    <w:rsid w:val="00E551D2"/>
    <w:rsid w:val="00E5780C"/>
    <w:rsid w:val="00E60475"/>
    <w:rsid w:val="00E619AE"/>
    <w:rsid w:val="00E62EDE"/>
    <w:rsid w:val="00E64C44"/>
    <w:rsid w:val="00E66359"/>
    <w:rsid w:val="00E66656"/>
    <w:rsid w:val="00E71753"/>
    <w:rsid w:val="00E71795"/>
    <w:rsid w:val="00E721B0"/>
    <w:rsid w:val="00E7276F"/>
    <w:rsid w:val="00E73306"/>
    <w:rsid w:val="00E73FD0"/>
    <w:rsid w:val="00E7408E"/>
    <w:rsid w:val="00E75E92"/>
    <w:rsid w:val="00E76F2F"/>
    <w:rsid w:val="00E80452"/>
    <w:rsid w:val="00E80700"/>
    <w:rsid w:val="00E82AFE"/>
    <w:rsid w:val="00E8577C"/>
    <w:rsid w:val="00E875FC"/>
    <w:rsid w:val="00E87C7C"/>
    <w:rsid w:val="00E91D2D"/>
    <w:rsid w:val="00E9599E"/>
    <w:rsid w:val="00E95D24"/>
    <w:rsid w:val="00E97ACB"/>
    <w:rsid w:val="00EA4D22"/>
    <w:rsid w:val="00EA6C54"/>
    <w:rsid w:val="00EA79B2"/>
    <w:rsid w:val="00EB0181"/>
    <w:rsid w:val="00EC0057"/>
    <w:rsid w:val="00EC41B2"/>
    <w:rsid w:val="00EC722E"/>
    <w:rsid w:val="00EC77CD"/>
    <w:rsid w:val="00ED28DF"/>
    <w:rsid w:val="00ED3E80"/>
    <w:rsid w:val="00ED76B2"/>
    <w:rsid w:val="00ED7D6D"/>
    <w:rsid w:val="00EE0B11"/>
    <w:rsid w:val="00EE17DB"/>
    <w:rsid w:val="00EE2D22"/>
    <w:rsid w:val="00EE3D5F"/>
    <w:rsid w:val="00EF0EC1"/>
    <w:rsid w:val="00EF7CAC"/>
    <w:rsid w:val="00EF7D12"/>
    <w:rsid w:val="00F00F3C"/>
    <w:rsid w:val="00F06C01"/>
    <w:rsid w:val="00F07394"/>
    <w:rsid w:val="00F10940"/>
    <w:rsid w:val="00F11C7A"/>
    <w:rsid w:val="00F13C6F"/>
    <w:rsid w:val="00F251E8"/>
    <w:rsid w:val="00F25458"/>
    <w:rsid w:val="00F27A39"/>
    <w:rsid w:val="00F30F25"/>
    <w:rsid w:val="00F35FD4"/>
    <w:rsid w:val="00F41592"/>
    <w:rsid w:val="00F43D25"/>
    <w:rsid w:val="00F46ADE"/>
    <w:rsid w:val="00F473BA"/>
    <w:rsid w:val="00F55484"/>
    <w:rsid w:val="00F60A62"/>
    <w:rsid w:val="00F61386"/>
    <w:rsid w:val="00F61593"/>
    <w:rsid w:val="00F6334A"/>
    <w:rsid w:val="00F63C75"/>
    <w:rsid w:val="00F64E0D"/>
    <w:rsid w:val="00F66102"/>
    <w:rsid w:val="00F6769B"/>
    <w:rsid w:val="00F7029F"/>
    <w:rsid w:val="00F72203"/>
    <w:rsid w:val="00F811BA"/>
    <w:rsid w:val="00F8480A"/>
    <w:rsid w:val="00F86DBF"/>
    <w:rsid w:val="00F91509"/>
    <w:rsid w:val="00F91E6B"/>
    <w:rsid w:val="00F9338C"/>
    <w:rsid w:val="00F97268"/>
    <w:rsid w:val="00FA624D"/>
    <w:rsid w:val="00FA69ED"/>
    <w:rsid w:val="00FA6EAD"/>
    <w:rsid w:val="00FA7C39"/>
    <w:rsid w:val="00FB1957"/>
    <w:rsid w:val="00FB2300"/>
    <w:rsid w:val="00FB7696"/>
    <w:rsid w:val="00FC20DA"/>
    <w:rsid w:val="00FC2292"/>
    <w:rsid w:val="00FC63A5"/>
    <w:rsid w:val="00FD59AE"/>
    <w:rsid w:val="00FE31EE"/>
    <w:rsid w:val="00FE331C"/>
    <w:rsid w:val="00FE64E3"/>
    <w:rsid w:val="00FF0349"/>
    <w:rsid w:val="00FF26B4"/>
    <w:rsid w:val="00FF3E1F"/>
    <w:rsid w:val="00FF56EA"/>
    <w:rsid w:val="00FF66F0"/>
    <w:rsid w:val="00FF6C24"/>
    <w:rsid w:val="328B5C1C"/>
    <w:rsid w:val="7A6B31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semiHidden="0"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8"/>
    <w:qFormat/>
    <w:uiPriority w:val="0"/>
    <w:pPr>
      <w:keepNext/>
      <w:keepLines/>
      <w:spacing w:before="260" w:after="260" w:line="416" w:lineRule="auto"/>
      <w:outlineLvl w:val="2"/>
    </w:pPr>
    <w:rPr>
      <w:b/>
      <w:bCs/>
      <w:kern w:val="0"/>
      <w:sz w:val="32"/>
      <w:szCs w:val="32"/>
    </w:rPr>
  </w:style>
  <w:style w:type="character" w:default="1" w:styleId="21">
    <w:name w:val="Default Paragraph Font"/>
    <w:unhideWhenUsed/>
    <w:uiPriority w:val="1"/>
  </w:style>
  <w:style w:type="table" w:default="1" w:styleId="19">
    <w:name w:val="Normal Table"/>
    <w:unhideWhenUsed/>
    <w:qFormat/>
    <w:uiPriority w:val="99"/>
    <w:tblPr>
      <w:tblStyle w:val="19"/>
      <w:tblCellMar>
        <w:top w:w="0" w:type="dxa"/>
        <w:left w:w="108" w:type="dxa"/>
        <w:bottom w:w="0" w:type="dxa"/>
        <w:right w:w="108" w:type="dxa"/>
      </w:tblCellMar>
    </w:tblPr>
  </w:style>
  <w:style w:type="paragraph" w:styleId="4">
    <w:name w:val="Document Map"/>
    <w:basedOn w:val="1"/>
    <w:link w:val="29"/>
    <w:unhideWhenUsed/>
    <w:uiPriority w:val="99"/>
    <w:rPr>
      <w:rFonts w:ascii="宋体"/>
      <w:sz w:val="18"/>
      <w:szCs w:val="18"/>
    </w:rPr>
  </w:style>
  <w:style w:type="paragraph" w:styleId="5">
    <w:name w:val="annotation text"/>
    <w:basedOn w:val="1"/>
    <w:semiHidden/>
    <w:uiPriority w:val="0"/>
    <w:pPr>
      <w:jc w:val="left"/>
    </w:pPr>
  </w:style>
  <w:style w:type="paragraph" w:styleId="6">
    <w:name w:val="Body Text"/>
    <w:basedOn w:val="1"/>
    <w:uiPriority w:val="0"/>
    <w:pPr>
      <w:spacing w:after="120"/>
    </w:pPr>
  </w:style>
  <w:style w:type="paragraph" w:styleId="7">
    <w:name w:val="Body Text Indent"/>
    <w:basedOn w:val="1"/>
    <w:link w:val="30"/>
    <w:unhideWhenUsed/>
    <w:uiPriority w:val="0"/>
    <w:pPr>
      <w:spacing w:after="120"/>
      <w:ind w:left="420" w:leftChars="200"/>
    </w:pPr>
    <w:rPr>
      <w:kern w:val="0"/>
      <w:sz w:val="20"/>
    </w:rPr>
  </w:style>
  <w:style w:type="paragraph" w:styleId="8">
    <w:name w:val="toc 3"/>
    <w:basedOn w:val="1"/>
    <w:next w:val="1"/>
    <w:unhideWhenUsed/>
    <w:uiPriority w:val="39"/>
    <w:pPr>
      <w:ind w:left="840" w:leftChars="400"/>
    </w:pPr>
  </w:style>
  <w:style w:type="paragraph" w:styleId="9">
    <w:name w:val="Date"/>
    <w:basedOn w:val="1"/>
    <w:next w:val="1"/>
    <w:link w:val="31"/>
    <w:unhideWhenUsed/>
    <w:uiPriority w:val="0"/>
    <w:pPr>
      <w:ind w:left="100" w:leftChars="2500"/>
    </w:pPr>
    <w:rPr>
      <w:kern w:val="0"/>
      <w:sz w:val="20"/>
    </w:rPr>
  </w:style>
  <w:style w:type="paragraph" w:styleId="10">
    <w:name w:val="Body Text Indent 2"/>
    <w:basedOn w:val="1"/>
    <w:link w:val="32"/>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33"/>
    <w:semiHidden/>
    <w:uiPriority w:val="0"/>
    <w:rPr>
      <w:kern w:val="0"/>
      <w:sz w:val="18"/>
      <w:szCs w:val="18"/>
    </w:rPr>
  </w:style>
  <w:style w:type="paragraph" w:styleId="12">
    <w:name w:val="footer"/>
    <w:basedOn w:val="1"/>
    <w:link w:val="34"/>
    <w:uiPriority w:val="99"/>
    <w:pPr>
      <w:tabs>
        <w:tab w:val="center" w:pos="4153"/>
        <w:tab w:val="right" w:pos="8306"/>
      </w:tabs>
      <w:snapToGrid w:val="0"/>
      <w:jc w:val="left"/>
    </w:pPr>
    <w:rPr>
      <w:kern w:val="0"/>
      <w:sz w:val="18"/>
      <w:szCs w:val="18"/>
    </w:rPr>
  </w:style>
  <w:style w:type="paragraph" w:styleId="13">
    <w:name w:val="header"/>
    <w:basedOn w:val="1"/>
    <w:link w:val="35"/>
    <w:unhideWhenUsed/>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uiPriority w:val="39"/>
    <w:pPr>
      <w:tabs>
        <w:tab w:val="right" w:leader="dot" w:pos="8302"/>
      </w:tabs>
      <w:spacing w:line="360" w:lineRule="auto"/>
    </w:pPr>
  </w:style>
  <w:style w:type="paragraph" w:styleId="15">
    <w:name w:val="Body Text Indent 3"/>
    <w:basedOn w:val="1"/>
    <w:link w:val="36"/>
    <w:unhideWhenUsed/>
    <w:uiPriority w:val="0"/>
    <w:pPr>
      <w:spacing w:after="120"/>
      <w:ind w:left="420" w:leftChars="200"/>
    </w:pPr>
    <w:rPr>
      <w:kern w:val="0"/>
      <w:sz w:val="16"/>
      <w:szCs w:val="16"/>
    </w:rPr>
  </w:style>
  <w:style w:type="paragraph" w:styleId="16">
    <w:name w:val="HTML Preformatted"/>
    <w:basedOn w:val="1"/>
    <w:link w:val="3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uiPriority w:val="0"/>
    <w:rPr>
      <w:b/>
      <w:bCs/>
    </w:rPr>
  </w:style>
  <w:style w:type="table" w:styleId="20">
    <w:name w:val="Table Grid"/>
    <w:basedOn w:val="19"/>
    <w:uiPriority w:val="0"/>
    <w:pPr>
      <w:widowControl w:val="0"/>
      <w:jc w:val="both"/>
    </w:pPr>
    <w:rPr>
      <w:rFonts w:ascii="Times New Roman" w:hAnsi="Times New Roman" w:eastAsia="宋体" w:cs="Times New Roman"/>
      <w:kern w:val="0"/>
      <w:sz w:val="20"/>
      <w:szCs w:val="20"/>
    </w:r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uiPriority w:val="0"/>
  </w:style>
  <w:style w:type="character" w:styleId="24">
    <w:name w:val="FollowedHyperlink"/>
    <w:uiPriority w:val="0"/>
    <w:rPr>
      <w:color w:val="800080"/>
      <w:u w:val="single"/>
    </w:rPr>
  </w:style>
  <w:style w:type="character" w:styleId="25">
    <w:name w:val="Hyperlink"/>
    <w:uiPriority w:val="99"/>
    <w:rPr>
      <w:color w:val="0000FF"/>
      <w:u w:val="single"/>
    </w:rPr>
  </w:style>
  <w:style w:type="character" w:styleId="26">
    <w:name w:val="annotation reference"/>
    <w:semiHidden/>
    <w:uiPriority w:val="0"/>
    <w:rPr>
      <w:sz w:val="21"/>
      <w:szCs w:val="21"/>
    </w:rPr>
  </w:style>
  <w:style w:type="character" w:customStyle="1" w:styleId="27">
    <w:name w:val="标题 1 Char"/>
    <w:link w:val="2"/>
    <w:uiPriority w:val="0"/>
    <w:rPr>
      <w:rFonts w:ascii="Times New Roman" w:hAnsi="Times New Roman" w:eastAsia="宋体" w:cs="Times New Roman"/>
      <w:b/>
      <w:bCs/>
      <w:kern w:val="44"/>
      <w:sz w:val="44"/>
      <w:szCs w:val="44"/>
    </w:rPr>
  </w:style>
  <w:style w:type="character" w:customStyle="1" w:styleId="28">
    <w:name w:val="标题 3 Char"/>
    <w:link w:val="3"/>
    <w:uiPriority w:val="0"/>
    <w:rPr>
      <w:rFonts w:ascii="Times New Roman" w:hAnsi="Times New Roman" w:eastAsia="宋体" w:cs="Times New Roman"/>
      <w:b/>
      <w:bCs/>
      <w:sz w:val="32"/>
      <w:szCs w:val="32"/>
    </w:rPr>
  </w:style>
  <w:style w:type="character" w:customStyle="1" w:styleId="29">
    <w:name w:val="文档结构图 Char"/>
    <w:link w:val="4"/>
    <w:semiHidden/>
    <w:uiPriority w:val="99"/>
    <w:rPr>
      <w:rFonts w:ascii="宋体" w:hAnsi="Times New Roman"/>
      <w:kern w:val="2"/>
      <w:sz w:val="18"/>
      <w:szCs w:val="18"/>
    </w:rPr>
  </w:style>
  <w:style w:type="character" w:customStyle="1" w:styleId="30">
    <w:name w:val="正文文本缩进 Char"/>
    <w:link w:val="7"/>
    <w:uiPriority w:val="0"/>
    <w:rPr>
      <w:rFonts w:ascii="Times New Roman" w:hAnsi="Times New Roman" w:eastAsia="宋体" w:cs="Times New Roman"/>
      <w:szCs w:val="24"/>
    </w:rPr>
  </w:style>
  <w:style w:type="character" w:customStyle="1" w:styleId="31">
    <w:name w:val="日期 Char"/>
    <w:link w:val="9"/>
    <w:uiPriority w:val="0"/>
    <w:rPr>
      <w:rFonts w:ascii="Times New Roman" w:hAnsi="Times New Roman" w:eastAsia="宋体" w:cs="Times New Roman"/>
      <w:szCs w:val="24"/>
    </w:rPr>
  </w:style>
  <w:style w:type="character" w:customStyle="1" w:styleId="32">
    <w:name w:val="正文文本缩进 2 Char"/>
    <w:link w:val="10"/>
    <w:uiPriority w:val="0"/>
    <w:rPr>
      <w:rFonts w:ascii="仿宋_GB2312" w:hAnsi="宋体" w:eastAsia="仿宋_GB2312" w:cs="Times New Roman"/>
      <w:sz w:val="30"/>
      <w:szCs w:val="30"/>
    </w:rPr>
  </w:style>
  <w:style w:type="character" w:customStyle="1" w:styleId="33">
    <w:name w:val="批注框文本 Char"/>
    <w:link w:val="11"/>
    <w:semiHidden/>
    <w:uiPriority w:val="0"/>
    <w:rPr>
      <w:rFonts w:ascii="Times New Roman" w:hAnsi="Times New Roman" w:eastAsia="宋体" w:cs="Times New Roman"/>
      <w:sz w:val="18"/>
      <w:szCs w:val="18"/>
    </w:rPr>
  </w:style>
  <w:style w:type="character" w:customStyle="1" w:styleId="34">
    <w:name w:val="页脚 Char"/>
    <w:link w:val="12"/>
    <w:uiPriority w:val="99"/>
    <w:rPr>
      <w:rFonts w:ascii="Times New Roman" w:hAnsi="Times New Roman" w:eastAsia="宋体" w:cs="Times New Roman"/>
      <w:sz w:val="18"/>
      <w:szCs w:val="18"/>
    </w:rPr>
  </w:style>
  <w:style w:type="character" w:customStyle="1" w:styleId="35">
    <w:name w:val="页眉 Char"/>
    <w:link w:val="13"/>
    <w:uiPriority w:val="99"/>
    <w:rPr>
      <w:rFonts w:ascii="Times New Roman" w:hAnsi="Times New Roman" w:eastAsia="宋体" w:cs="Times New Roman"/>
      <w:sz w:val="18"/>
      <w:szCs w:val="18"/>
    </w:rPr>
  </w:style>
  <w:style w:type="character" w:customStyle="1" w:styleId="36">
    <w:name w:val="正文文本缩进 3 Char"/>
    <w:link w:val="15"/>
    <w:uiPriority w:val="0"/>
    <w:rPr>
      <w:rFonts w:ascii="Times New Roman" w:hAnsi="Times New Roman" w:eastAsia="宋体" w:cs="Times New Roman"/>
      <w:sz w:val="16"/>
      <w:szCs w:val="16"/>
    </w:rPr>
  </w:style>
  <w:style w:type="character" w:customStyle="1" w:styleId="37">
    <w:name w:val="HTML 预设格式 Char"/>
    <w:link w:val="16"/>
    <w:uiPriority w:val="0"/>
    <w:rPr>
      <w:rFonts w:ascii="宋体" w:hAnsi="宋体" w:eastAsia="宋体" w:cs="宋体"/>
      <w:kern w:val="0"/>
      <w:sz w:val="24"/>
      <w:szCs w:val="24"/>
    </w:rPr>
  </w:style>
  <w:style w:type="paragraph" w:styleId="38">
    <w:name w:val="List Paragraph"/>
    <w:basedOn w:val="1"/>
    <w:qFormat/>
    <w:uiPriority w:val="34"/>
    <w:pPr>
      <w:ind w:firstLine="420" w:firstLineChars="200"/>
    </w:pPr>
  </w:style>
  <w:style w:type="paragraph" w:styleId="39">
    <w:name w:val=""/>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character" w:customStyle="1" w:styleId="40">
    <w:name w:val="apple-style-span"/>
    <w:basedOn w:val="21"/>
    <w:uiPriority w:val="0"/>
  </w:style>
  <w:style w:type="paragraph" w:styleId="41">
    <w:name w:val=""/>
    <w:semiHidden/>
    <w:uiPriority w:val="99"/>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462</Words>
  <Characters>2636</Characters>
  <Lines>21</Lines>
  <Paragraphs>6</Paragraphs>
  <TotalTime>0</TotalTime>
  <ScaleCrop>false</ScaleCrop>
  <LinksUpToDate>false</LinksUpToDate>
  <CharactersWithSpaces>3092</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2023-06-21T06:37:00Z</dcterms:created>
  <dc:creator>user</dc:creator>
  <cp:lastModifiedBy>黄文怡</cp:lastModifiedBy>
  <cp:lastPrinted>2012-11-19T01:56:00Z</cp:lastPrinted>
  <dcterms:modified xsi:type="dcterms:W3CDTF">2025-04-25T09:42:16Z</dcterms:modified>
  <dc:title>上海证券交易所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EC7A97C7CF5B4755A9F23C65C1244A5B_13</vt:lpwstr>
  </property>
</Properties>
</file>