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B51D8" w14:textId="77777777" w:rsidR="00F94F8C" w:rsidRDefault="00000000">
      <w:pPr>
        <w:pStyle w:val="a8"/>
        <w:spacing w:before="0" w:after="0" w:line="600" w:lineRule="exact"/>
        <w:rPr>
          <w:rFonts w:ascii="黑体" w:eastAsia="黑体" w:hAnsi="黑体" w:hint="eastAsia"/>
          <w:sz w:val="36"/>
          <w:szCs w:val="36"/>
        </w:rPr>
      </w:pPr>
      <w:bookmarkStart w:id="0" w:name="_Toc356840110"/>
      <w:bookmarkStart w:id="1" w:name="_Toc352226124"/>
      <w:r>
        <w:rPr>
          <w:rFonts w:ascii="黑体" w:eastAsia="黑体" w:hAnsi="黑体" w:hint="eastAsia"/>
          <w:sz w:val="36"/>
          <w:szCs w:val="36"/>
        </w:rPr>
        <w:t xml:space="preserve">第四号 </w:t>
      </w:r>
      <w:proofErr w:type="gramStart"/>
      <w:r>
        <w:rPr>
          <w:rFonts w:ascii="黑体" w:eastAsia="黑体" w:hAnsi="黑体" w:hint="eastAsia"/>
          <w:sz w:val="36"/>
          <w:szCs w:val="36"/>
        </w:rPr>
        <w:t>科创板</w:t>
      </w:r>
      <w:proofErr w:type="gramEnd"/>
      <w:r>
        <w:rPr>
          <w:rFonts w:ascii="黑体" w:eastAsia="黑体" w:hAnsi="黑体" w:hint="eastAsia"/>
          <w:sz w:val="36"/>
          <w:szCs w:val="36"/>
        </w:rPr>
        <w:t>上市公司股权激励计划限制性股票</w:t>
      </w:r>
      <w:bookmarkStart w:id="2" w:name="_Toc356840111"/>
      <w:bookmarkStart w:id="3" w:name="_Toc356834964"/>
      <w:bookmarkStart w:id="4" w:name="_Toc356839279"/>
      <w:bookmarkEnd w:id="0"/>
      <w:r>
        <w:rPr>
          <w:rFonts w:ascii="黑体" w:eastAsia="黑体" w:hAnsi="黑体" w:hint="eastAsia"/>
          <w:sz w:val="36"/>
          <w:szCs w:val="36"/>
        </w:rPr>
        <w:t>解除限售</w:t>
      </w:r>
      <w:proofErr w:type="gramStart"/>
      <w:r>
        <w:rPr>
          <w:rFonts w:ascii="黑体" w:eastAsia="黑体" w:hAnsi="黑体" w:hint="eastAsia"/>
          <w:sz w:val="36"/>
          <w:szCs w:val="36"/>
        </w:rPr>
        <w:t>暨上市</w:t>
      </w:r>
      <w:proofErr w:type="gramEnd"/>
      <w:r>
        <w:rPr>
          <w:rFonts w:ascii="黑体" w:eastAsia="黑体" w:hAnsi="黑体" w:hint="eastAsia"/>
          <w:sz w:val="36"/>
          <w:szCs w:val="36"/>
        </w:rPr>
        <w:t>公告</w:t>
      </w:r>
      <w:bookmarkEnd w:id="1"/>
      <w:bookmarkEnd w:id="2"/>
      <w:bookmarkEnd w:id="3"/>
      <w:bookmarkEnd w:id="4"/>
    </w:p>
    <w:p w14:paraId="630F7C3F" w14:textId="77777777" w:rsidR="00F94F8C" w:rsidRDefault="00F94F8C">
      <w:pPr>
        <w:snapToGrid w:val="0"/>
        <w:spacing w:line="600" w:lineRule="exact"/>
        <w:ind w:firstLineChars="200" w:firstLine="422"/>
        <w:rPr>
          <w:rFonts w:ascii="宋体" w:hAnsi="宋体" w:hint="eastAsia"/>
          <w:b/>
        </w:rPr>
      </w:pPr>
    </w:p>
    <w:p w14:paraId="641E603D" w14:textId="77777777" w:rsidR="00F94F8C" w:rsidRDefault="00000000">
      <w:pPr>
        <w:snapToGrid w:val="0"/>
        <w:spacing w:line="600" w:lineRule="exact"/>
        <w:rPr>
          <w:rFonts w:ascii="仿宋_GB2312" w:eastAsia="仿宋_GB2312" w:hAnsi="宋体" w:hint="eastAsia"/>
          <w:b/>
          <w:sz w:val="30"/>
          <w:szCs w:val="30"/>
        </w:rPr>
      </w:pPr>
      <w:r>
        <w:rPr>
          <w:rFonts w:ascii="仿宋_GB2312" w:eastAsia="仿宋_GB2312" w:hAnsi="宋体" w:hint="eastAsia"/>
          <w:b/>
          <w:sz w:val="30"/>
          <w:szCs w:val="30"/>
        </w:rPr>
        <w:t>适用情形：</w:t>
      </w:r>
    </w:p>
    <w:p w14:paraId="7C5EFED0" w14:textId="77777777" w:rsidR="00F94F8C" w:rsidRDefault="00000000">
      <w:pPr>
        <w:snapToGrid w:val="0"/>
        <w:spacing w:line="600" w:lineRule="exact"/>
        <w:ind w:firstLineChars="200" w:firstLine="600"/>
        <w:rPr>
          <w:rFonts w:ascii="仿宋_GB2312" w:eastAsia="仿宋_GB2312" w:hAnsi="Arial" w:cs="Arial"/>
          <w:color w:val="000000"/>
          <w:kern w:val="0"/>
          <w:sz w:val="30"/>
          <w:szCs w:val="30"/>
        </w:rPr>
      </w:pPr>
      <w:r>
        <w:rPr>
          <w:rFonts w:ascii="仿宋_GB2312" w:eastAsia="仿宋_GB2312" w:hint="eastAsia"/>
          <w:sz w:val="30"/>
          <w:szCs w:val="30"/>
        </w:rPr>
        <w:t>1.</w:t>
      </w:r>
      <w:proofErr w:type="gramStart"/>
      <w:r>
        <w:rPr>
          <w:rFonts w:ascii="仿宋_GB2312" w:eastAsia="仿宋_GB2312" w:hint="eastAsia"/>
          <w:sz w:val="30"/>
          <w:szCs w:val="30"/>
        </w:rPr>
        <w:t>科创板</w:t>
      </w:r>
      <w:proofErr w:type="gramEnd"/>
      <w:r>
        <w:rPr>
          <w:rFonts w:ascii="仿宋_GB2312" w:eastAsia="仿宋_GB2312" w:hAnsi="Arial" w:cs="Arial" w:hint="eastAsia"/>
          <w:color w:val="000000"/>
          <w:kern w:val="0"/>
          <w:sz w:val="30"/>
          <w:szCs w:val="30"/>
        </w:rPr>
        <w:t>上市公司（以下简称上市公司）</w:t>
      </w:r>
      <w:r>
        <w:rPr>
          <w:rFonts w:ascii="仿宋_GB2312" w:eastAsia="仿宋_GB2312" w:hAnsi="宋体" w:hint="eastAsia"/>
          <w:sz w:val="30"/>
          <w:szCs w:val="30"/>
        </w:rPr>
        <w:t>授予激励对象《上海证券交易所科创板股票上市规则》（以下简称《科创板上市规则》）第10.5条规定的第一类限制性股票（以下简称限制性股票），符合解除限售条件，</w:t>
      </w:r>
      <w:r>
        <w:rPr>
          <w:rFonts w:ascii="仿宋_GB2312" w:eastAsia="仿宋_GB2312" w:hAnsi="Arial" w:cs="Arial" w:hint="eastAsia"/>
          <w:color w:val="000000"/>
          <w:kern w:val="0"/>
          <w:sz w:val="30"/>
          <w:szCs w:val="30"/>
        </w:rPr>
        <w:t>申请股份解除限售的，</w:t>
      </w:r>
      <w:r>
        <w:rPr>
          <w:rFonts w:ascii="仿宋_GB2312" w:eastAsia="仿宋_GB2312" w:hAnsi="宋体" w:hint="eastAsia"/>
          <w:sz w:val="30"/>
          <w:szCs w:val="30"/>
        </w:rPr>
        <w:t>需履行信息披露义务，适用本公告格式指引</w:t>
      </w:r>
      <w:r>
        <w:rPr>
          <w:rFonts w:ascii="仿宋_GB2312" w:eastAsia="仿宋_GB2312" w:hAnsi="Arial" w:cs="Arial" w:hint="eastAsia"/>
          <w:color w:val="000000"/>
          <w:kern w:val="0"/>
          <w:sz w:val="30"/>
          <w:szCs w:val="30"/>
        </w:rPr>
        <w:t>。</w:t>
      </w:r>
    </w:p>
    <w:p w14:paraId="63627F06" w14:textId="77777777" w:rsidR="00F94F8C" w:rsidRDefault="00000000">
      <w:pPr>
        <w:snapToGrid w:val="0"/>
        <w:spacing w:line="600" w:lineRule="exact"/>
        <w:ind w:firstLineChars="200" w:firstLine="600"/>
        <w:rPr>
          <w:rFonts w:ascii="仿宋_GB2312" w:eastAsia="仿宋_GB2312" w:hAnsi="Arial" w:cs="Arial"/>
          <w:color w:val="000000"/>
          <w:kern w:val="0"/>
          <w:sz w:val="30"/>
          <w:szCs w:val="30"/>
        </w:rPr>
      </w:pPr>
      <w:r>
        <w:rPr>
          <w:rFonts w:ascii="仿宋_GB2312" w:eastAsia="仿宋_GB2312" w:hAnsi="Arial" w:cs="Arial" w:hint="eastAsia"/>
          <w:color w:val="000000"/>
          <w:kern w:val="0"/>
          <w:sz w:val="30"/>
          <w:szCs w:val="30"/>
        </w:rPr>
        <w:t>2.上市公司</w:t>
      </w:r>
      <w:r>
        <w:rPr>
          <w:rFonts w:ascii="仿宋_GB2312" w:eastAsia="仿宋_GB2312" w:hAnsi="宋体" w:hint="eastAsia"/>
          <w:sz w:val="30"/>
          <w:szCs w:val="30"/>
        </w:rPr>
        <w:t>授予激励对象《科创板上市规则》第10.5条规定的第二类限制性股票，若股票归属后设有限售期限的，符合解除限售条件后，上市公司</w:t>
      </w:r>
      <w:r>
        <w:rPr>
          <w:rFonts w:ascii="仿宋_GB2312" w:eastAsia="仿宋_GB2312" w:hAnsi="Arial" w:cs="Arial" w:hint="eastAsia"/>
          <w:color w:val="000000"/>
          <w:kern w:val="0"/>
          <w:sz w:val="30"/>
          <w:szCs w:val="30"/>
        </w:rPr>
        <w:t>申请股份解除限售的，</w:t>
      </w:r>
      <w:r>
        <w:rPr>
          <w:rFonts w:ascii="仿宋_GB2312" w:eastAsia="仿宋_GB2312" w:hAnsi="宋体" w:hint="eastAsia"/>
          <w:sz w:val="30"/>
          <w:szCs w:val="30"/>
        </w:rPr>
        <w:t>需履行信息披露义务，参照适用本公告格式指引</w:t>
      </w:r>
      <w:r>
        <w:rPr>
          <w:rFonts w:ascii="仿宋_GB2312" w:eastAsia="仿宋_GB2312" w:hAnsi="Arial" w:cs="Arial" w:hint="eastAsia"/>
          <w:color w:val="000000"/>
          <w:kern w:val="0"/>
          <w:sz w:val="30"/>
          <w:szCs w:val="30"/>
        </w:rPr>
        <w:t>。</w:t>
      </w:r>
    </w:p>
    <w:p w14:paraId="54B006FC" w14:textId="77777777" w:rsidR="00F94F8C" w:rsidRDefault="00F94F8C">
      <w:pPr>
        <w:snapToGrid w:val="0"/>
        <w:spacing w:line="600" w:lineRule="exact"/>
        <w:ind w:firstLineChars="200" w:firstLine="600"/>
        <w:rPr>
          <w:rFonts w:ascii="仿宋_GB2312" w:eastAsia="仿宋_GB2312" w:hAnsi="宋体" w:hint="eastAsia"/>
          <w:sz w:val="30"/>
          <w:szCs w:val="30"/>
        </w:rPr>
      </w:pPr>
    </w:p>
    <w:p w14:paraId="0008CA6B" w14:textId="77777777" w:rsidR="00F94F8C" w:rsidRDefault="00000000">
      <w:pPr>
        <w:adjustRightInd w:val="0"/>
        <w:snapToGrid w:val="0"/>
        <w:spacing w:line="600" w:lineRule="exact"/>
        <w:jc w:val="left"/>
        <w:rPr>
          <w:rFonts w:ascii="仿宋_GB2312" w:eastAsia="仿宋_GB2312" w:hAnsi="宋体" w:hint="eastAsia"/>
          <w:sz w:val="30"/>
          <w:szCs w:val="30"/>
        </w:rPr>
      </w:pPr>
      <w:r>
        <w:rPr>
          <w:rFonts w:ascii="仿宋_GB2312" w:eastAsia="仿宋_GB2312" w:hAnsi="宋体" w:hint="eastAsia"/>
          <w:sz w:val="30"/>
          <w:szCs w:val="30"/>
        </w:rPr>
        <w:t>证券代码：             证券简称：            公告编号：</w:t>
      </w:r>
    </w:p>
    <w:p w14:paraId="6C4A0851" w14:textId="77777777" w:rsidR="00F94F8C" w:rsidRDefault="00F94F8C">
      <w:pPr>
        <w:adjustRightInd w:val="0"/>
        <w:snapToGrid w:val="0"/>
        <w:spacing w:line="600" w:lineRule="exact"/>
        <w:ind w:firstLineChars="200" w:firstLine="600"/>
        <w:jc w:val="left"/>
        <w:rPr>
          <w:rFonts w:ascii="仿宋_GB2312" w:eastAsia="仿宋_GB2312" w:hAnsi="宋体" w:hint="eastAsia"/>
          <w:sz w:val="30"/>
          <w:szCs w:val="30"/>
        </w:rPr>
      </w:pPr>
    </w:p>
    <w:p w14:paraId="6F2DF406" w14:textId="77777777" w:rsidR="00F94F8C" w:rsidRDefault="00000000">
      <w:pPr>
        <w:pStyle w:val="p0"/>
        <w:spacing w:line="600" w:lineRule="exact"/>
        <w:jc w:val="center"/>
        <w:rPr>
          <w:rFonts w:ascii="仿宋_GB2312" w:eastAsia="仿宋_GB2312"/>
          <w:color w:val="000000"/>
          <w:sz w:val="30"/>
          <w:szCs w:val="30"/>
        </w:rPr>
      </w:pPr>
      <w:r>
        <w:rPr>
          <w:rFonts w:ascii="仿宋_GB2312" w:eastAsia="仿宋_GB2312" w:hAnsi="宋体" w:hint="eastAsia"/>
          <w:color w:val="000000"/>
          <w:sz w:val="30"/>
          <w:szCs w:val="30"/>
        </w:rPr>
        <w:t>XXXX股份有限公司股权激励计划限制性股票解除限售</w:t>
      </w:r>
      <w:proofErr w:type="gramStart"/>
      <w:r>
        <w:rPr>
          <w:rFonts w:ascii="仿宋_GB2312" w:eastAsia="仿宋_GB2312" w:hAnsi="宋体" w:hint="eastAsia"/>
          <w:color w:val="000000"/>
          <w:sz w:val="30"/>
          <w:szCs w:val="30"/>
        </w:rPr>
        <w:t>暨上市</w:t>
      </w:r>
      <w:proofErr w:type="gramEnd"/>
      <w:r>
        <w:rPr>
          <w:rFonts w:ascii="仿宋_GB2312" w:eastAsia="仿宋_GB2312" w:hAnsi="宋体" w:hint="eastAsia"/>
          <w:color w:val="000000"/>
          <w:sz w:val="30"/>
          <w:szCs w:val="30"/>
        </w:rPr>
        <w:t>公告</w:t>
      </w:r>
    </w:p>
    <w:p w14:paraId="50F787AF" w14:textId="77777777" w:rsidR="00F94F8C" w:rsidRDefault="00F94F8C">
      <w:pPr>
        <w:pStyle w:val="p0"/>
        <w:spacing w:line="600" w:lineRule="exact"/>
        <w:jc w:val="center"/>
        <w:rPr>
          <w:rFonts w:ascii="仿宋_GB2312" w:eastAsia="仿宋_GB2312"/>
          <w:color w:val="000000"/>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F94F8C" w14:paraId="6D70A21A" w14:textId="77777777">
        <w:tc>
          <w:tcPr>
            <w:tcW w:w="8522" w:type="dxa"/>
          </w:tcPr>
          <w:p w14:paraId="431D2801" w14:textId="77777777" w:rsidR="00F94F8C" w:rsidRDefault="00000000">
            <w:pPr>
              <w:snapToGrid w:val="0"/>
              <w:spacing w:line="600" w:lineRule="exact"/>
              <w:ind w:firstLineChars="200" w:firstLine="600"/>
              <w:rPr>
                <w:rFonts w:ascii="仿宋_GB2312" w:eastAsia="仿宋_GB2312" w:hAnsi="宋体" w:hint="eastAsia"/>
                <w:color w:val="000000"/>
                <w:sz w:val="30"/>
                <w:szCs w:val="30"/>
              </w:rPr>
            </w:pPr>
            <w:r>
              <w:rPr>
                <w:rFonts w:ascii="仿宋_GB2312" w:eastAsia="仿宋_GB2312" w:hAnsi="宋体" w:hint="eastAsia"/>
                <w:color w:val="000000"/>
                <w:sz w:val="30"/>
                <w:szCs w:val="30"/>
              </w:rPr>
              <w:t>本公司董事会及全体董事保证本公告内容不存在任何虚假记载、误导性陈述或者重大遗漏，并对其内容的真实性、准确性和完整性依法承担法律责任。</w:t>
            </w:r>
          </w:p>
          <w:p w14:paraId="509489A0" w14:textId="77777777" w:rsidR="00F94F8C" w:rsidRDefault="00000000">
            <w:pPr>
              <w:snapToGrid w:val="0"/>
              <w:spacing w:line="600" w:lineRule="exact"/>
              <w:ind w:firstLineChars="200" w:firstLine="600"/>
              <w:rPr>
                <w:rFonts w:ascii="仿宋_GB2312" w:eastAsia="仿宋_GB2312" w:hAnsi="宋体" w:hint="eastAsia"/>
                <w:color w:val="000000"/>
                <w:sz w:val="30"/>
                <w:szCs w:val="30"/>
              </w:rPr>
            </w:pPr>
            <w:r>
              <w:rPr>
                <w:rFonts w:ascii="仿宋_GB2312" w:eastAsia="仿宋_GB2312" w:hAnsi="宋体" w:hint="eastAsia"/>
                <w:color w:val="000000"/>
                <w:sz w:val="30"/>
                <w:szCs w:val="30"/>
              </w:rPr>
              <w:t>如有董事对临时公告内容的真实性、准确性和完整性无法保</w:t>
            </w:r>
            <w:r>
              <w:rPr>
                <w:rFonts w:ascii="仿宋_GB2312" w:eastAsia="仿宋_GB2312" w:hAnsi="宋体" w:hint="eastAsia"/>
                <w:color w:val="000000"/>
                <w:sz w:val="30"/>
                <w:szCs w:val="30"/>
              </w:rPr>
              <w:lastRenderedPageBreak/>
              <w:t>证或存在异议的，公司应当在公告中作特别提示。</w:t>
            </w:r>
          </w:p>
        </w:tc>
      </w:tr>
    </w:tbl>
    <w:p w14:paraId="1507BDA1" w14:textId="77777777" w:rsidR="00F94F8C" w:rsidRDefault="00F94F8C">
      <w:pPr>
        <w:spacing w:line="600" w:lineRule="exact"/>
        <w:rPr>
          <w:rFonts w:ascii="仿宋_GB2312" w:eastAsia="仿宋_GB2312" w:hAnsi="宋体" w:hint="eastAsia"/>
          <w:sz w:val="30"/>
          <w:szCs w:val="30"/>
        </w:rPr>
      </w:pPr>
    </w:p>
    <w:p w14:paraId="65027877" w14:textId="77777777" w:rsidR="00F94F8C" w:rsidRDefault="00000000">
      <w:pPr>
        <w:spacing w:line="600" w:lineRule="exact"/>
        <w:ind w:firstLineChars="200" w:firstLine="602"/>
        <w:rPr>
          <w:rFonts w:ascii="仿宋_GB2312" w:eastAsia="仿宋_GB2312" w:hAnsi="宋体" w:hint="eastAsia"/>
          <w:b/>
          <w:sz w:val="30"/>
          <w:szCs w:val="30"/>
        </w:rPr>
      </w:pPr>
      <w:r>
        <w:rPr>
          <w:rFonts w:ascii="仿宋_GB2312" w:eastAsia="仿宋_GB2312" w:hAnsi="宋体" w:hint="eastAsia"/>
          <w:b/>
          <w:sz w:val="30"/>
          <w:szCs w:val="30"/>
        </w:rPr>
        <w:t>重要内容提示：</w:t>
      </w:r>
    </w:p>
    <w:p w14:paraId="2AD4692A" w14:textId="77777777" w:rsidR="00F94F8C" w:rsidRDefault="00000000">
      <w:pPr>
        <w:widowControl/>
        <w:numPr>
          <w:ilvl w:val="0"/>
          <w:numId w:val="6"/>
        </w:numPr>
        <w:spacing w:line="600" w:lineRule="exact"/>
        <w:ind w:left="0" w:firstLineChars="200" w:firstLine="600"/>
        <w:jc w:val="left"/>
        <w:rPr>
          <w:rFonts w:ascii="仿宋_GB2312" w:eastAsia="仿宋_GB2312" w:hAnsi="Arial" w:cs="Arial"/>
          <w:color w:val="000000"/>
          <w:kern w:val="0"/>
          <w:sz w:val="30"/>
          <w:szCs w:val="30"/>
        </w:rPr>
      </w:pPr>
      <w:r>
        <w:rPr>
          <w:rFonts w:ascii="仿宋_GB2312" w:eastAsia="仿宋_GB2312" w:hAnsi="Arial" w:cs="Arial" w:hint="eastAsia"/>
          <w:color w:val="000000"/>
          <w:kern w:val="0"/>
          <w:sz w:val="30"/>
          <w:szCs w:val="30"/>
        </w:rPr>
        <w:t>本次解除限售股票数量</w:t>
      </w:r>
    </w:p>
    <w:p w14:paraId="31D3345E" w14:textId="77777777" w:rsidR="00F94F8C" w:rsidRDefault="00000000">
      <w:pPr>
        <w:widowControl/>
        <w:numPr>
          <w:ilvl w:val="0"/>
          <w:numId w:val="6"/>
        </w:numPr>
        <w:spacing w:line="600" w:lineRule="exact"/>
        <w:ind w:left="0" w:firstLineChars="200" w:firstLine="600"/>
        <w:jc w:val="left"/>
        <w:rPr>
          <w:rFonts w:ascii="仿宋_GB2312" w:eastAsia="仿宋_GB2312" w:hAnsi="Arial" w:cs="Arial"/>
          <w:color w:val="000000"/>
          <w:kern w:val="0"/>
          <w:sz w:val="30"/>
          <w:szCs w:val="30"/>
        </w:rPr>
      </w:pPr>
      <w:r>
        <w:rPr>
          <w:rFonts w:ascii="仿宋_GB2312" w:eastAsia="仿宋_GB2312" w:hAnsi="Arial" w:cs="Arial" w:hint="eastAsia"/>
          <w:bCs/>
          <w:color w:val="000000"/>
          <w:kern w:val="0"/>
          <w:sz w:val="30"/>
          <w:szCs w:val="30"/>
        </w:rPr>
        <w:t>本次解除限售股票上市流通时间</w:t>
      </w:r>
    </w:p>
    <w:p w14:paraId="0E8CD843" w14:textId="77777777" w:rsidR="00F94F8C" w:rsidRDefault="00F94F8C">
      <w:pPr>
        <w:widowControl/>
        <w:spacing w:line="600" w:lineRule="exact"/>
        <w:jc w:val="left"/>
        <w:rPr>
          <w:rFonts w:ascii="仿宋_GB2312" w:eastAsia="仿宋_GB2312" w:hAnsi="Arial" w:cs="Arial"/>
          <w:color w:val="000000"/>
          <w:kern w:val="0"/>
          <w:sz w:val="30"/>
          <w:szCs w:val="30"/>
        </w:rPr>
      </w:pPr>
    </w:p>
    <w:p w14:paraId="4C513B36" w14:textId="77777777" w:rsidR="00F94F8C" w:rsidRDefault="00000000">
      <w:pPr>
        <w:spacing w:line="600" w:lineRule="exact"/>
        <w:ind w:firstLineChars="200" w:firstLine="643"/>
        <w:rPr>
          <w:rFonts w:ascii="黑体" w:eastAsia="黑体" w:hAnsi="黑体" w:hint="eastAsia"/>
          <w:b/>
          <w:sz w:val="32"/>
          <w:szCs w:val="32"/>
        </w:rPr>
      </w:pPr>
      <w:r>
        <w:rPr>
          <w:rFonts w:ascii="黑体" w:eastAsia="黑体" w:hAnsi="黑体" w:hint="eastAsia"/>
          <w:b/>
          <w:sz w:val="32"/>
          <w:szCs w:val="32"/>
        </w:rPr>
        <w:t>一、股权激励计划批准及实施情况</w:t>
      </w:r>
    </w:p>
    <w:p w14:paraId="63595B49" w14:textId="55B4B512" w:rsidR="00F94F8C" w:rsidRDefault="00000000">
      <w:pPr>
        <w:spacing w:line="60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（一）公司应当简要说明股权激励计划方案及履行的程序。包括但不限于：股权激励计划主要内容，公司董事会、股东会审议通过的时间。</w:t>
      </w:r>
    </w:p>
    <w:p w14:paraId="760FE319" w14:textId="77777777" w:rsidR="00F94F8C" w:rsidRDefault="00000000">
      <w:pPr>
        <w:spacing w:line="60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（二）公司应列表披露历次限制性股票授予情况。包括但不限于：授予日期、授予价格、授予数量、授予人数、授予后限制性股票剩余数量。</w:t>
      </w:r>
    </w:p>
    <w:p w14:paraId="5A881F48" w14:textId="77777777" w:rsidR="00F94F8C" w:rsidRDefault="00000000">
      <w:pPr>
        <w:spacing w:line="60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（三）公司应列表披露各期限制性股票解除限售情况。包括但不限于：股票解除限售日期、股票解除限售数量、剩余未解除限售股票数量、取消解除限售股票数量及原因、因分红送</w:t>
      </w:r>
      <w:proofErr w:type="gramStart"/>
      <w:r>
        <w:rPr>
          <w:rFonts w:ascii="仿宋_GB2312" w:eastAsia="仿宋_GB2312" w:hAnsi="宋体" w:hint="eastAsia"/>
          <w:sz w:val="30"/>
          <w:szCs w:val="30"/>
        </w:rPr>
        <w:t>转导致</w:t>
      </w:r>
      <w:proofErr w:type="gramEnd"/>
      <w:r>
        <w:rPr>
          <w:rFonts w:ascii="仿宋_GB2312" w:eastAsia="仿宋_GB2312" w:hAnsi="宋体" w:hint="eastAsia"/>
          <w:sz w:val="30"/>
          <w:szCs w:val="30"/>
        </w:rPr>
        <w:t>解除限售股票数量变化。</w:t>
      </w:r>
    </w:p>
    <w:p w14:paraId="3324E7E5" w14:textId="77777777" w:rsidR="00F94F8C" w:rsidRDefault="00F94F8C">
      <w:pPr>
        <w:spacing w:line="600" w:lineRule="exact"/>
        <w:ind w:firstLineChars="200" w:firstLine="600"/>
        <w:rPr>
          <w:rFonts w:ascii="仿宋_GB2312" w:eastAsia="仿宋_GB2312" w:hAnsi="宋体" w:hint="eastAsia"/>
          <w:sz w:val="30"/>
          <w:szCs w:val="30"/>
        </w:rPr>
      </w:pPr>
    </w:p>
    <w:p w14:paraId="29E114C2" w14:textId="77777777" w:rsidR="00F94F8C" w:rsidRDefault="00000000">
      <w:pPr>
        <w:spacing w:line="600" w:lineRule="exact"/>
        <w:ind w:firstLineChars="200" w:firstLine="643"/>
        <w:rPr>
          <w:rFonts w:ascii="黑体" w:eastAsia="黑体" w:hAnsi="黑体" w:hint="eastAsia"/>
          <w:b/>
          <w:sz w:val="32"/>
          <w:szCs w:val="32"/>
        </w:rPr>
      </w:pPr>
      <w:r>
        <w:rPr>
          <w:rFonts w:ascii="黑体" w:eastAsia="黑体" w:hAnsi="黑体" w:hint="eastAsia"/>
          <w:b/>
          <w:sz w:val="32"/>
          <w:szCs w:val="32"/>
        </w:rPr>
        <w:t>二、限制性股票解除限售条件的说明</w:t>
      </w:r>
    </w:p>
    <w:p w14:paraId="3AE624C7" w14:textId="77777777" w:rsidR="00F94F8C" w:rsidRDefault="00000000">
      <w:pPr>
        <w:spacing w:line="60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（一）董事会就股权激励计划设定的限制性股票解除限售条件是否成就的审议情况</w:t>
      </w:r>
      <w:r w:rsidRPr="005C706D">
        <w:rPr>
          <w:rFonts w:ascii="仿宋_GB2312" w:eastAsia="仿宋_GB2312" w:hAnsi="宋体" w:hint="eastAsia"/>
          <w:sz w:val="30"/>
          <w:szCs w:val="30"/>
        </w:rPr>
        <w:t>、薪酬与考核委员会意见；</w:t>
      </w:r>
      <w:r>
        <w:rPr>
          <w:rFonts w:ascii="仿宋_GB2312" w:eastAsia="仿宋_GB2312" w:hAnsi="宋体" w:hint="eastAsia"/>
          <w:sz w:val="30"/>
          <w:szCs w:val="30"/>
        </w:rPr>
        <w:t>董事反对或弃权的，应当披露反对或弃权理由。</w:t>
      </w:r>
    </w:p>
    <w:p w14:paraId="2A1DB904" w14:textId="77777777" w:rsidR="00F94F8C" w:rsidRDefault="00000000">
      <w:pPr>
        <w:spacing w:line="60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（二）用列表方式说明本次激励对象限制性股票解除限售是</w:t>
      </w:r>
      <w:r>
        <w:rPr>
          <w:rFonts w:ascii="仿宋_GB2312" w:eastAsia="仿宋_GB2312" w:hAnsi="宋体" w:hint="eastAsia"/>
          <w:sz w:val="30"/>
          <w:szCs w:val="30"/>
        </w:rPr>
        <w:lastRenderedPageBreak/>
        <w:t>否符合股权激励计划规定的各项解除限售条件。</w:t>
      </w:r>
    </w:p>
    <w:p w14:paraId="514F964F" w14:textId="77777777" w:rsidR="00F94F8C" w:rsidRDefault="00000000">
      <w:pPr>
        <w:spacing w:line="60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（三）对部分或全部不符合解除限售条件的，需说明股票注销处理方法。此外，如果有解除限售比例条款的，需说明本次解除限售比例。</w:t>
      </w:r>
    </w:p>
    <w:p w14:paraId="2190C901" w14:textId="77777777" w:rsidR="00F94F8C" w:rsidRDefault="00000000">
      <w:pPr>
        <w:spacing w:line="60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 xml:space="preserve"> </w:t>
      </w:r>
    </w:p>
    <w:p w14:paraId="4A7BEC7A" w14:textId="77777777" w:rsidR="00F94F8C" w:rsidRDefault="00000000">
      <w:pPr>
        <w:spacing w:line="600" w:lineRule="exact"/>
        <w:ind w:firstLineChars="200" w:firstLine="643"/>
        <w:rPr>
          <w:rFonts w:ascii="黑体" w:eastAsia="黑体" w:hAnsi="黑体" w:hint="eastAsia"/>
          <w:b/>
          <w:sz w:val="32"/>
          <w:szCs w:val="32"/>
        </w:rPr>
      </w:pPr>
      <w:r>
        <w:rPr>
          <w:rFonts w:ascii="黑体" w:eastAsia="黑体" w:hAnsi="黑体" w:hint="eastAsia"/>
          <w:b/>
          <w:sz w:val="32"/>
          <w:szCs w:val="32"/>
        </w:rPr>
        <w:t>三、限制性股票解除限售的基本情况</w:t>
      </w:r>
    </w:p>
    <w:p w14:paraId="0F2BD83E" w14:textId="77777777" w:rsidR="00F94F8C" w:rsidRDefault="00000000">
      <w:pPr>
        <w:spacing w:line="60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用列表方式说明激励对象股票解除限售情况，包括但不限于：姓名、职务、已获授予的限制性股票数量、本次可解除限售的限制性股票数量以及本次解除限售数量占总股本比例。董事、高级管理人员、核心技术人员及核心业务人员需逐个披露，其他激励对象可汇总披露。</w:t>
      </w:r>
    </w:p>
    <w:tbl>
      <w:tblPr>
        <w:tblW w:w="8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823"/>
        <w:gridCol w:w="26"/>
        <w:gridCol w:w="1054"/>
        <w:gridCol w:w="26"/>
        <w:gridCol w:w="1054"/>
        <w:gridCol w:w="1620"/>
        <w:gridCol w:w="1620"/>
        <w:gridCol w:w="1980"/>
      </w:tblGrid>
      <w:tr w:rsidR="00F94F8C" w14:paraId="1DC1B0D9" w14:textId="77777777">
        <w:trPr>
          <w:jc w:val="center"/>
        </w:trPr>
        <w:tc>
          <w:tcPr>
            <w:tcW w:w="823" w:type="dxa"/>
            <w:shd w:val="clear" w:color="auto" w:fill="FFFFFF"/>
            <w:vAlign w:val="center"/>
          </w:tcPr>
          <w:p w14:paraId="201386C9" w14:textId="77777777" w:rsidR="00F94F8C" w:rsidRDefault="00000000">
            <w:pPr>
              <w:autoSpaceDE w:val="0"/>
              <w:autoSpaceDN w:val="0"/>
              <w:adjustRightInd w:val="0"/>
              <w:jc w:val="center"/>
              <w:rPr>
                <w:rFonts w:ascii="仿宋_GB2312" w:eastAsia="仿宋_GB2312" w:cs="黑体"/>
                <w:b/>
                <w:color w:val="000000"/>
                <w:kern w:val="0"/>
                <w:sz w:val="24"/>
                <w:szCs w:val="30"/>
              </w:rPr>
            </w:pPr>
            <w:r>
              <w:rPr>
                <w:rFonts w:ascii="仿宋_GB2312" w:eastAsia="仿宋_GB2312" w:cs="黑体" w:hint="eastAsia"/>
                <w:b/>
                <w:color w:val="000000"/>
                <w:kern w:val="0"/>
                <w:sz w:val="24"/>
                <w:szCs w:val="30"/>
              </w:rPr>
              <w:t>序号</w:t>
            </w:r>
          </w:p>
        </w:tc>
        <w:tc>
          <w:tcPr>
            <w:tcW w:w="1080" w:type="dxa"/>
            <w:gridSpan w:val="2"/>
            <w:shd w:val="clear" w:color="auto" w:fill="FFFFFF"/>
            <w:vAlign w:val="center"/>
          </w:tcPr>
          <w:p w14:paraId="282692B4" w14:textId="77777777" w:rsidR="00F94F8C" w:rsidRDefault="00000000">
            <w:pPr>
              <w:autoSpaceDE w:val="0"/>
              <w:autoSpaceDN w:val="0"/>
              <w:adjustRightInd w:val="0"/>
              <w:jc w:val="center"/>
              <w:rPr>
                <w:rFonts w:ascii="仿宋_GB2312" w:eastAsia="仿宋_GB2312" w:cs="黑体"/>
                <w:b/>
                <w:color w:val="000000"/>
                <w:kern w:val="0"/>
                <w:sz w:val="24"/>
                <w:szCs w:val="30"/>
              </w:rPr>
            </w:pPr>
            <w:r>
              <w:rPr>
                <w:rFonts w:ascii="仿宋_GB2312" w:eastAsia="仿宋_GB2312" w:cs="黑体" w:hint="eastAsia"/>
                <w:b/>
                <w:color w:val="000000"/>
                <w:kern w:val="0"/>
                <w:sz w:val="24"/>
                <w:szCs w:val="30"/>
              </w:rPr>
              <w:t>姓名</w:t>
            </w:r>
          </w:p>
        </w:tc>
        <w:tc>
          <w:tcPr>
            <w:tcW w:w="1080" w:type="dxa"/>
            <w:gridSpan w:val="2"/>
            <w:shd w:val="clear" w:color="auto" w:fill="FFFFFF"/>
            <w:vAlign w:val="center"/>
          </w:tcPr>
          <w:p w14:paraId="6AD6DA61" w14:textId="77777777" w:rsidR="00F94F8C" w:rsidRDefault="00000000">
            <w:pPr>
              <w:jc w:val="center"/>
              <w:rPr>
                <w:rFonts w:ascii="仿宋_GB2312" w:eastAsia="仿宋_GB2312"/>
                <w:b/>
                <w:color w:val="000000"/>
                <w:sz w:val="24"/>
                <w:szCs w:val="30"/>
              </w:rPr>
            </w:pPr>
            <w:r>
              <w:rPr>
                <w:rFonts w:ascii="仿宋_GB2312" w:eastAsia="仿宋_GB2312" w:cs="黑体" w:hint="eastAsia"/>
                <w:b/>
                <w:color w:val="000000"/>
                <w:kern w:val="0"/>
                <w:sz w:val="24"/>
                <w:szCs w:val="30"/>
              </w:rPr>
              <w:t>职务</w:t>
            </w:r>
          </w:p>
        </w:tc>
        <w:tc>
          <w:tcPr>
            <w:tcW w:w="1620" w:type="dxa"/>
            <w:shd w:val="clear" w:color="auto" w:fill="FFFFFF"/>
            <w:vAlign w:val="center"/>
          </w:tcPr>
          <w:p w14:paraId="4F84B705" w14:textId="77777777" w:rsidR="00F94F8C" w:rsidRDefault="00000000">
            <w:pPr>
              <w:autoSpaceDE w:val="0"/>
              <w:autoSpaceDN w:val="0"/>
              <w:adjustRightInd w:val="0"/>
              <w:jc w:val="center"/>
              <w:rPr>
                <w:rFonts w:ascii="仿宋_GB2312" w:eastAsia="仿宋_GB2312"/>
                <w:b/>
                <w:color w:val="000000"/>
                <w:sz w:val="24"/>
                <w:szCs w:val="30"/>
              </w:rPr>
            </w:pPr>
            <w:r>
              <w:rPr>
                <w:rFonts w:ascii="仿宋_GB2312" w:eastAsia="仿宋_GB2312" w:hint="eastAsia"/>
                <w:b/>
                <w:color w:val="000000"/>
                <w:sz w:val="24"/>
                <w:szCs w:val="30"/>
              </w:rPr>
              <w:t>已获授予限制性股票数量</w:t>
            </w:r>
          </w:p>
        </w:tc>
        <w:tc>
          <w:tcPr>
            <w:tcW w:w="1620" w:type="dxa"/>
            <w:shd w:val="clear" w:color="auto" w:fill="FFFFFF"/>
            <w:vAlign w:val="center"/>
          </w:tcPr>
          <w:p w14:paraId="316E175B" w14:textId="77777777" w:rsidR="00F94F8C" w:rsidRDefault="00000000">
            <w:pPr>
              <w:autoSpaceDE w:val="0"/>
              <w:autoSpaceDN w:val="0"/>
              <w:adjustRightInd w:val="0"/>
              <w:jc w:val="center"/>
              <w:rPr>
                <w:rFonts w:ascii="仿宋_GB2312" w:eastAsia="仿宋_GB2312"/>
                <w:b/>
                <w:color w:val="000000"/>
                <w:sz w:val="24"/>
                <w:szCs w:val="30"/>
              </w:rPr>
            </w:pPr>
            <w:r>
              <w:rPr>
                <w:rFonts w:ascii="仿宋_GB2312" w:eastAsia="仿宋_GB2312" w:hint="eastAsia"/>
                <w:b/>
                <w:color w:val="000000"/>
                <w:sz w:val="24"/>
                <w:szCs w:val="30"/>
              </w:rPr>
              <w:t>本次解除限售限制性股票数量</w:t>
            </w:r>
          </w:p>
        </w:tc>
        <w:tc>
          <w:tcPr>
            <w:tcW w:w="1980" w:type="dxa"/>
            <w:shd w:val="clear" w:color="auto" w:fill="FFFFFF"/>
            <w:vAlign w:val="center"/>
          </w:tcPr>
          <w:p w14:paraId="6782BE0C" w14:textId="77777777" w:rsidR="00F94F8C" w:rsidRDefault="00000000">
            <w:pPr>
              <w:autoSpaceDE w:val="0"/>
              <w:autoSpaceDN w:val="0"/>
              <w:adjustRightInd w:val="0"/>
              <w:jc w:val="center"/>
              <w:rPr>
                <w:rFonts w:ascii="仿宋_GB2312" w:eastAsia="仿宋_GB2312"/>
                <w:b/>
                <w:color w:val="000000"/>
                <w:sz w:val="24"/>
                <w:szCs w:val="30"/>
              </w:rPr>
            </w:pPr>
            <w:r>
              <w:rPr>
                <w:rFonts w:ascii="仿宋_GB2312" w:eastAsia="仿宋_GB2312" w:hint="eastAsia"/>
                <w:b/>
                <w:color w:val="000000"/>
                <w:sz w:val="24"/>
                <w:szCs w:val="30"/>
              </w:rPr>
              <w:t>本次解除限售数量占已获授予限制性股票数量的比例</w:t>
            </w:r>
          </w:p>
        </w:tc>
      </w:tr>
      <w:tr w:rsidR="00F94F8C" w14:paraId="5D210D23" w14:textId="77777777">
        <w:trPr>
          <w:jc w:val="center"/>
        </w:trPr>
        <w:tc>
          <w:tcPr>
            <w:tcW w:w="8203" w:type="dxa"/>
            <w:gridSpan w:val="8"/>
            <w:shd w:val="clear" w:color="auto" w:fill="FFFFFF"/>
            <w:vAlign w:val="center"/>
          </w:tcPr>
          <w:p w14:paraId="2AAA2A2F" w14:textId="77777777" w:rsidR="00F94F8C" w:rsidRDefault="00000000">
            <w:pPr>
              <w:spacing w:line="360" w:lineRule="auto"/>
              <w:rPr>
                <w:rFonts w:ascii="仿宋_GB2312" w:eastAsia="仿宋_GB2312"/>
                <w:color w:val="000000"/>
                <w:sz w:val="24"/>
                <w:szCs w:val="30"/>
              </w:rPr>
            </w:pPr>
            <w:r>
              <w:rPr>
                <w:rFonts w:ascii="仿宋_GB2312" w:eastAsia="仿宋_GB2312" w:cs="宋体" w:hint="eastAsia"/>
                <w:b/>
                <w:color w:val="000000"/>
                <w:kern w:val="0"/>
                <w:sz w:val="24"/>
                <w:szCs w:val="30"/>
              </w:rPr>
              <w:t>一、董事、高级管理人员、核心技术人员及核心业务人员</w:t>
            </w:r>
          </w:p>
        </w:tc>
      </w:tr>
      <w:tr w:rsidR="00F94F8C" w14:paraId="4A9A370E" w14:textId="77777777">
        <w:trPr>
          <w:jc w:val="center"/>
        </w:trPr>
        <w:tc>
          <w:tcPr>
            <w:tcW w:w="823" w:type="dxa"/>
            <w:shd w:val="clear" w:color="auto" w:fill="FFFFFF"/>
            <w:vAlign w:val="center"/>
          </w:tcPr>
          <w:p w14:paraId="5801DD2B" w14:textId="77777777" w:rsidR="00F94F8C" w:rsidRDefault="00000000">
            <w:pPr>
              <w:spacing w:line="360" w:lineRule="auto"/>
              <w:jc w:val="center"/>
              <w:rPr>
                <w:rFonts w:ascii="仿宋_GB2312" w:eastAsia="仿宋_GB2312"/>
                <w:color w:val="000000"/>
                <w:sz w:val="24"/>
                <w:szCs w:val="30"/>
              </w:rPr>
            </w:pPr>
            <w:r>
              <w:rPr>
                <w:rFonts w:ascii="仿宋_GB2312" w:eastAsia="仿宋_GB2312" w:hint="eastAsia"/>
                <w:color w:val="000000"/>
                <w:sz w:val="24"/>
                <w:szCs w:val="30"/>
              </w:rPr>
              <w:t>1</w:t>
            </w:r>
          </w:p>
        </w:tc>
        <w:tc>
          <w:tcPr>
            <w:tcW w:w="1080" w:type="dxa"/>
            <w:gridSpan w:val="2"/>
            <w:shd w:val="clear" w:color="auto" w:fill="FFFFFF"/>
            <w:vAlign w:val="center"/>
          </w:tcPr>
          <w:p w14:paraId="5A8E9236" w14:textId="77777777" w:rsidR="00F94F8C" w:rsidRDefault="00F94F8C">
            <w:pPr>
              <w:autoSpaceDE w:val="0"/>
              <w:autoSpaceDN w:val="0"/>
              <w:adjustRightInd w:val="0"/>
              <w:spacing w:line="360" w:lineRule="auto"/>
              <w:rPr>
                <w:rFonts w:ascii="仿宋_GB2312" w:eastAsia="仿宋_GB2312"/>
                <w:color w:val="000000"/>
                <w:kern w:val="0"/>
                <w:sz w:val="24"/>
                <w:szCs w:val="30"/>
              </w:rPr>
            </w:pPr>
          </w:p>
        </w:tc>
        <w:tc>
          <w:tcPr>
            <w:tcW w:w="1080" w:type="dxa"/>
            <w:gridSpan w:val="2"/>
            <w:shd w:val="clear" w:color="auto" w:fill="FFFFFF"/>
            <w:vAlign w:val="center"/>
          </w:tcPr>
          <w:p w14:paraId="2A8C086C" w14:textId="77777777" w:rsidR="00F94F8C" w:rsidRDefault="00F94F8C">
            <w:pPr>
              <w:autoSpaceDE w:val="0"/>
              <w:autoSpaceDN w:val="0"/>
              <w:adjustRightInd w:val="0"/>
              <w:spacing w:line="360" w:lineRule="auto"/>
              <w:rPr>
                <w:rFonts w:ascii="仿宋_GB2312" w:eastAsia="仿宋_GB2312"/>
                <w:color w:val="000000"/>
                <w:kern w:val="0"/>
                <w:sz w:val="24"/>
                <w:szCs w:val="30"/>
              </w:rPr>
            </w:pPr>
          </w:p>
        </w:tc>
        <w:tc>
          <w:tcPr>
            <w:tcW w:w="1620" w:type="dxa"/>
            <w:shd w:val="clear" w:color="auto" w:fill="FFFFFF"/>
            <w:vAlign w:val="center"/>
          </w:tcPr>
          <w:p w14:paraId="592BD2CD" w14:textId="77777777" w:rsidR="00F94F8C" w:rsidRDefault="00F94F8C">
            <w:pPr>
              <w:spacing w:line="360" w:lineRule="auto"/>
              <w:jc w:val="center"/>
              <w:rPr>
                <w:rFonts w:ascii="仿宋_GB2312" w:eastAsia="仿宋_GB2312"/>
                <w:color w:val="000000"/>
                <w:sz w:val="24"/>
                <w:szCs w:val="30"/>
              </w:rPr>
            </w:pPr>
          </w:p>
        </w:tc>
        <w:tc>
          <w:tcPr>
            <w:tcW w:w="1620" w:type="dxa"/>
            <w:shd w:val="clear" w:color="auto" w:fill="FFFFFF"/>
            <w:vAlign w:val="center"/>
          </w:tcPr>
          <w:p w14:paraId="0142EBD3" w14:textId="77777777" w:rsidR="00F94F8C" w:rsidRDefault="00F94F8C">
            <w:pPr>
              <w:spacing w:line="360" w:lineRule="auto"/>
              <w:jc w:val="center"/>
              <w:rPr>
                <w:rFonts w:ascii="仿宋_GB2312" w:eastAsia="仿宋_GB2312"/>
                <w:color w:val="000000"/>
                <w:sz w:val="24"/>
                <w:szCs w:val="30"/>
              </w:rPr>
            </w:pPr>
          </w:p>
        </w:tc>
        <w:tc>
          <w:tcPr>
            <w:tcW w:w="1980" w:type="dxa"/>
            <w:shd w:val="clear" w:color="auto" w:fill="FFFFFF"/>
            <w:vAlign w:val="center"/>
          </w:tcPr>
          <w:p w14:paraId="7F5DBFF6" w14:textId="77777777" w:rsidR="00F94F8C" w:rsidRDefault="00F94F8C">
            <w:pPr>
              <w:spacing w:line="360" w:lineRule="auto"/>
              <w:jc w:val="center"/>
              <w:rPr>
                <w:rFonts w:ascii="仿宋_GB2312" w:eastAsia="仿宋_GB2312"/>
                <w:color w:val="000000"/>
                <w:sz w:val="24"/>
                <w:szCs w:val="30"/>
              </w:rPr>
            </w:pPr>
          </w:p>
        </w:tc>
      </w:tr>
      <w:tr w:rsidR="00F94F8C" w14:paraId="0B3955F0" w14:textId="77777777">
        <w:trPr>
          <w:jc w:val="center"/>
        </w:trPr>
        <w:tc>
          <w:tcPr>
            <w:tcW w:w="823" w:type="dxa"/>
            <w:shd w:val="clear" w:color="auto" w:fill="FFFFFF"/>
            <w:vAlign w:val="center"/>
          </w:tcPr>
          <w:p w14:paraId="193EEEAD" w14:textId="77777777" w:rsidR="00F94F8C" w:rsidRDefault="00000000">
            <w:pPr>
              <w:spacing w:line="360" w:lineRule="auto"/>
              <w:jc w:val="center"/>
              <w:rPr>
                <w:rFonts w:ascii="仿宋_GB2312" w:eastAsia="仿宋_GB2312"/>
                <w:color w:val="000000"/>
                <w:sz w:val="24"/>
                <w:szCs w:val="30"/>
              </w:rPr>
            </w:pPr>
            <w:r>
              <w:rPr>
                <w:rFonts w:ascii="仿宋_GB2312" w:eastAsia="仿宋_GB2312" w:hint="eastAsia"/>
                <w:color w:val="000000"/>
                <w:sz w:val="24"/>
                <w:szCs w:val="30"/>
              </w:rPr>
              <w:t>2</w:t>
            </w:r>
          </w:p>
        </w:tc>
        <w:tc>
          <w:tcPr>
            <w:tcW w:w="1080" w:type="dxa"/>
            <w:gridSpan w:val="2"/>
            <w:shd w:val="clear" w:color="auto" w:fill="FFFFFF"/>
            <w:vAlign w:val="center"/>
          </w:tcPr>
          <w:p w14:paraId="1E572D7B" w14:textId="77777777" w:rsidR="00F94F8C" w:rsidRDefault="00F94F8C">
            <w:pPr>
              <w:autoSpaceDE w:val="0"/>
              <w:autoSpaceDN w:val="0"/>
              <w:adjustRightInd w:val="0"/>
              <w:spacing w:line="360" w:lineRule="auto"/>
              <w:rPr>
                <w:rFonts w:ascii="仿宋_GB2312" w:eastAsia="仿宋_GB2312"/>
                <w:color w:val="000000"/>
                <w:kern w:val="0"/>
                <w:sz w:val="24"/>
                <w:szCs w:val="30"/>
              </w:rPr>
            </w:pPr>
          </w:p>
        </w:tc>
        <w:tc>
          <w:tcPr>
            <w:tcW w:w="1080" w:type="dxa"/>
            <w:gridSpan w:val="2"/>
            <w:shd w:val="clear" w:color="auto" w:fill="FFFFFF"/>
            <w:vAlign w:val="center"/>
          </w:tcPr>
          <w:p w14:paraId="117877DE" w14:textId="77777777" w:rsidR="00F94F8C" w:rsidRDefault="00F94F8C">
            <w:pPr>
              <w:autoSpaceDE w:val="0"/>
              <w:autoSpaceDN w:val="0"/>
              <w:adjustRightInd w:val="0"/>
              <w:spacing w:line="360" w:lineRule="auto"/>
              <w:rPr>
                <w:rFonts w:ascii="仿宋_GB2312" w:eastAsia="仿宋_GB2312"/>
                <w:color w:val="000000"/>
                <w:kern w:val="0"/>
                <w:sz w:val="24"/>
                <w:szCs w:val="30"/>
              </w:rPr>
            </w:pPr>
          </w:p>
        </w:tc>
        <w:tc>
          <w:tcPr>
            <w:tcW w:w="1620" w:type="dxa"/>
            <w:shd w:val="clear" w:color="auto" w:fill="FFFFFF"/>
            <w:vAlign w:val="center"/>
          </w:tcPr>
          <w:p w14:paraId="559B2B41" w14:textId="77777777" w:rsidR="00F94F8C" w:rsidRDefault="00F94F8C">
            <w:pPr>
              <w:spacing w:line="360" w:lineRule="auto"/>
              <w:jc w:val="center"/>
              <w:rPr>
                <w:rFonts w:ascii="仿宋_GB2312" w:eastAsia="仿宋_GB2312"/>
                <w:color w:val="000000"/>
                <w:sz w:val="24"/>
                <w:szCs w:val="30"/>
              </w:rPr>
            </w:pPr>
          </w:p>
        </w:tc>
        <w:tc>
          <w:tcPr>
            <w:tcW w:w="1620" w:type="dxa"/>
            <w:shd w:val="clear" w:color="auto" w:fill="FFFFFF"/>
            <w:vAlign w:val="center"/>
          </w:tcPr>
          <w:p w14:paraId="3CD751E0" w14:textId="77777777" w:rsidR="00F94F8C" w:rsidRDefault="00F94F8C">
            <w:pPr>
              <w:spacing w:line="360" w:lineRule="auto"/>
              <w:jc w:val="center"/>
              <w:rPr>
                <w:rFonts w:ascii="仿宋_GB2312" w:eastAsia="仿宋_GB2312"/>
                <w:color w:val="000000"/>
                <w:sz w:val="24"/>
                <w:szCs w:val="30"/>
              </w:rPr>
            </w:pPr>
          </w:p>
        </w:tc>
        <w:tc>
          <w:tcPr>
            <w:tcW w:w="1980" w:type="dxa"/>
            <w:shd w:val="clear" w:color="auto" w:fill="FFFFFF"/>
            <w:vAlign w:val="center"/>
          </w:tcPr>
          <w:p w14:paraId="2B6CE27B" w14:textId="77777777" w:rsidR="00F94F8C" w:rsidRDefault="00F94F8C">
            <w:pPr>
              <w:spacing w:line="360" w:lineRule="auto"/>
              <w:jc w:val="center"/>
              <w:rPr>
                <w:rFonts w:ascii="仿宋_GB2312" w:eastAsia="仿宋_GB2312"/>
                <w:color w:val="000000"/>
                <w:sz w:val="24"/>
                <w:szCs w:val="30"/>
              </w:rPr>
            </w:pPr>
          </w:p>
        </w:tc>
      </w:tr>
      <w:tr w:rsidR="00F94F8C" w14:paraId="71C32150" w14:textId="77777777">
        <w:trPr>
          <w:jc w:val="center"/>
        </w:trPr>
        <w:tc>
          <w:tcPr>
            <w:tcW w:w="823" w:type="dxa"/>
            <w:shd w:val="clear" w:color="auto" w:fill="FFFFFF"/>
            <w:vAlign w:val="center"/>
          </w:tcPr>
          <w:p w14:paraId="31A29614" w14:textId="77777777" w:rsidR="00F94F8C" w:rsidRDefault="00000000">
            <w:pPr>
              <w:spacing w:line="360" w:lineRule="auto"/>
              <w:jc w:val="center"/>
              <w:rPr>
                <w:rFonts w:ascii="仿宋_GB2312" w:eastAsia="仿宋_GB2312"/>
                <w:color w:val="000000"/>
                <w:sz w:val="24"/>
                <w:szCs w:val="30"/>
              </w:rPr>
            </w:pPr>
            <w:r>
              <w:rPr>
                <w:rFonts w:ascii="仿宋_GB2312" w:eastAsia="仿宋_GB2312" w:hint="eastAsia"/>
                <w:color w:val="000000"/>
                <w:sz w:val="24"/>
                <w:szCs w:val="30"/>
              </w:rPr>
              <w:t>…</w:t>
            </w:r>
          </w:p>
        </w:tc>
        <w:tc>
          <w:tcPr>
            <w:tcW w:w="1080" w:type="dxa"/>
            <w:gridSpan w:val="2"/>
            <w:shd w:val="clear" w:color="auto" w:fill="FFFFFF"/>
            <w:vAlign w:val="center"/>
          </w:tcPr>
          <w:p w14:paraId="45645874" w14:textId="77777777" w:rsidR="00F94F8C" w:rsidRDefault="00F94F8C">
            <w:pPr>
              <w:autoSpaceDE w:val="0"/>
              <w:autoSpaceDN w:val="0"/>
              <w:adjustRightInd w:val="0"/>
              <w:spacing w:line="360" w:lineRule="auto"/>
              <w:rPr>
                <w:rFonts w:ascii="仿宋_GB2312" w:eastAsia="仿宋_GB2312"/>
                <w:color w:val="000000"/>
                <w:kern w:val="0"/>
                <w:sz w:val="24"/>
                <w:szCs w:val="30"/>
              </w:rPr>
            </w:pPr>
          </w:p>
        </w:tc>
        <w:tc>
          <w:tcPr>
            <w:tcW w:w="1080" w:type="dxa"/>
            <w:gridSpan w:val="2"/>
            <w:shd w:val="clear" w:color="auto" w:fill="FFFFFF"/>
            <w:vAlign w:val="center"/>
          </w:tcPr>
          <w:p w14:paraId="35A23627" w14:textId="77777777" w:rsidR="00F94F8C" w:rsidRDefault="00F94F8C">
            <w:pPr>
              <w:spacing w:line="360" w:lineRule="auto"/>
              <w:rPr>
                <w:rFonts w:ascii="仿宋_GB2312" w:eastAsia="仿宋_GB2312"/>
                <w:color w:val="000000"/>
                <w:sz w:val="24"/>
                <w:szCs w:val="30"/>
              </w:rPr>
            </w:pPr>
          </w:p>
        </w:tc>
        <w:tc>
          <w:tcPr>
            <w:tcW w:w="1620" w:type="dxa"/>
            <w:shd w:val="clear" w:color="auto" w:fill="FFFFFF"/>
            <w:vAlign w:val="center"/>
          </w:tcPr>
          <w:p w14:paraId="2B04521B" w14:textId="77777777" w:rsidR="00F94F8C" w:rsidRDefault="00F94F8C">
            <w:pPr>
              <w:spacing w:line="360" w:lineRule="auto"/>
              <w:jc w:val="center"/>
              <w:rPr>
                <w:rFonts w:ascii="仿宋_GB2312" w:eastAsia="仿宋_GB2312"/>
                <w:color w:val="000000"/>
                <w:sz w:val="24"/>
                <w:szCs w:val="30"/>
              </w:rPr>
            </w:pPr>
          </w:p>
        </w:tc>
        <w:tc>
          <w:tcPr>
            <w:tcW w:w="1620" w:type="dxa"/>
            <w:shd w:val="clear" w:color="auto" w:fill="FFFFFF"/>
            <w:vAlign w:val="center"/>
          </w:tcPr>
          <w:p w14:paraId="5FCEAAC7" w14:textId="77777777" w:rsidR="00F94F8C" w:rsidRDefault="00F94F8C">
            <w:pPr>
              <w:spacing w:line="360" w:lineRule="auto"/>
              <w:jc w:val="center"/>
              <w:rPr>
                <w:rFonts w:ascii="仿宋_GB2312" w:eastAsia="仿宋_GB2312"/>
                <w:color w:val="000000"/>
                <w:sz w:val="24"/>
                <w:szCs w:val="30"/>
              </w:rPr>
            </w:pPr>
          </w:p>
        </w:tc>
        <w:tc>
          <w:tcPr>
            <w:tcW w:w="1980" w:type="dxa"/>
            <w:shd w:val="clear" w:color="auto" w:fill="FFFFFF"/>
            <w:vAlign w:val="center"/>
          </w:tcPr>
          <w:p w14:paraId="167A6D63" w14:textId="77777777" w:rsidR="00F94F8C" w:rsidRDefault="00F94F8C">
            <w:pPr>
              <w:spacing w:line="360" w:lineRule="auto"/>
              <w:jc w:val="center"/>
              <w:rPr>
                <w:rFonts w:ascii="仿宋_GB2312" w:eastAsia="仿宋_GB2312"/>
                <w:color w:val="000000"/>
                <w:sz w:val="24"/>
                <w:szCs w:val="30"/>
              </w:rPr>
            </w:pPr>
          </w:p>
        </w:tc>
      </w:tr>
      <w:tr w:rsidR="00F94F8C" w14:paraId="5B6A384C" w14:textId="77777777">
        <w:trPr>
          <w:jc w:val="center"/>
        </w:trPr>
        <w:tc>
          <w:tcPr>
            <w:tcW w:w="2983" w:type="dxa"/>
            <w:gridSpan w:val="5"/>
            <w:shd w:val="clear" w:color="auto" w:fill="FFFFFF"/>
            <w:vAlign w:val="center"/>
          </w:tcPr>
          <w:p w14:paraId="65E1FCA9" w14:textId="77777777" w:rsidR="00F94F8C" w:rsidRDefault="00000000">
            <w:pPr>
              <w:rPr>
                <w:rFonts w:ascii="仿宋_GB2312" w:eastAsia="仿宋_GB2312" w:cs="宋体"/>
                <w:b/>
                <w:color w:val="000000"/>
                <w:kern w:val="0"/>
                <w:sz w:val="24"/>
                <w:szCs w:val="30"/>
              </w:rPr>
            </w:pPr>
            <w:r>
              <w:rPr>
                <w:rFonts w:ascii="仿宋_GB2312" w:eastAsia="仿宋_GB2312" w:cs="宋体" w:hint="eastAsia"/>
                <w:b/>
                <w:color w:val="000000"/>
                <w:kern w:val="0"/>
                <w:sz w:val="24"/>
                <w:szCs w:val="30"/>
              </w:rPr>
              <w:t>小计</w:t>
            </w:r>
          </w:p>
        </w:tc>
        <w:tc>
          <w:tcPr>
            <w:tcW w:w="1620" w:type="dxa"/>
            <w:shd w:val="clear" w:color="auto" w:fill="FFFFFF"/>
            <w:vAlign w:val="center"/>
          </w:tcPr>
          <w:p w14:paraId="29A6D050" w14:textId="77777777" w:rsidR="00F94F8C" w:rsidRDefault="00F94F8C">
            <w:pPr>
              <w:spacing w:line="360" w:lineRule="auto"/>
              <w:jc w:val="center"/>
              <w:rPr>
                <w:rFonts w:ascii="仿宋_GB2312" w:eastAsia="仿宋_GB2312"/>
                <w:color w:val="000000"/>
                <w:sz w:val="24"/>
                <w:szCs w:val="30"/>
              </w:rPr>
            </w:pPr>
          </w:p>
        </w:tc>
        <w:tc>
          <w:tcPr>
            <w:tcW w:w="1620" w:type="dxa"/>
            <w:shd w:val="clear" w:color="auto" w:fill="FFFFFF"/>
            <w:vAlign w:val="center"/>
          </w:tcPr>
          <w:p w14:paraId="7F925CA2" w14:textId="77777777" w:rsidR="00F94F8C" w:rsidRDefault="00F94F8C">
            <w:pPr>
              <w:spacing w:line="360" w:lineRule="auto"/>
              <w:jc w:val="center"/>
              <w:rPr>
                <w:rFonts w:ascii="仿宋_GB2312" w:eastAsia="仿宋_GB2312"/>
                <w:color w:val="000000"/>
                <w:sz w:val="24"/>
                <w:szCs w:val="30"/>
              </w:rPr>
            </w:pPr>
          </w:p>
        </w:tc>
        <w:tc>
          <w:tcPr>
            <w:tcW w:w="1980" w:type="dxa"/>
            <w:shd w:val="clear" w:color="auto" w:fill="FFFFFF"/>
            <w:vAlign w:val="center"/>
          </w:tcPr>
          <w:p w14:paraId="2CF8AF4F" w14:textId="77777777" w:rsidR="00F94F8C" w:rsidRDefault="00F94F8C">
            <w:pPr>
              <w:spacing w:line="360" w:lineRule="auto"/>
              <w:jc w:val="center"/>
              <w:rPr>
                <w:rFonts w:ascii="仿宋_GB2312" w:eastAsia="仿宋_GB2312"/>
                <w:color w:val="000000"/>
                <w:sz w:val="24"/>
                <w:szCs w:val="30"/>
              </w:rPr>
            </w:pPr>
          </w:p>
        </w:tc>
      </w:tr>
      <w:tr w:rsidR="00F94F8C" w14:paraId="08D46AA1" w14:textId="77777777">
        <w:trPr>
          <w:jc w:val="center"/>
        </w:trPr>
        <w:tc>
          <w:tcPr>
            <w:tcW w:w="8203" w:type="dxa"/>
            <w:gridSpan w:val="8"/>
            <w:shd w:val="clear" w:color="auto" w:fill="FFFFFF"/>
            <w:vAlign w:val="center"/>
          </w:tcPr>
          <w:p w14:paraId="14FEAA35" w14:textId="77777777" w:rsidR="00F94F8C" w:rsidRDefault="00000000">
            <w:pPr>
              <w:spacing w:line="360" w:lineRule="auto"/>
              <w:rPr>
                <w:rFonts w:ascii="仿宋_GB2312" w:eastAsia="仿宋_GB2312"/>
                <w:color w:val="000000"/>
                <w:sz w:val="24"/>
                <w:szCs w:val="30"/>
              </w:rPr>
            </w:pPr>
            <w:r>
              <w:rPr>
                <w:rFonts w:ascii="仿宋_GB2312" w:eastAsia="仿宋_GB2312" w:cs="宋体" w:hint="eastAsia"/>
                <w:b/>
                <w:color w:val="000000"/>
                <w:kern w:val="0"/>
                <w:sz w:val="24"/>
                <w:szCs w:val="30"/>
              </w:rPr>
              <w:t>二、其他激励对象</w:t>
            </w:r>
          </w:p>
        </w:tc>
      </w:tr>
      <w:tr w:rsidR="00F94F8C" w14:paraId="2EBF6FC0" w14:textId="77777777">
        <w:trPr>
          <w:jc w:val="center"/>
        </w:trPr>
        <w:tc>
          <w:tcPr>
            <w:tcW w:w="849" w:type="dxa"/>
            <w:gridSpan w:val="2"/>
            <w:shd w:val="clear" w:color="auto" w:fill="FFFFFF"/>
            <w:vAlign w:val="center"/>
          </w:tcPr>
          <w:p w14:paraId="580B5EE1" w14:textId="77777777" w:rsidR="00F94F8C" w:rsidRDefault="00000000">
            <w:pPr>
              <w:spacing w:line="360" w:lineRule="auto"/>
              <w:jc w:val="center"/>
              <w:rPr>
                <w:rFonts w:ascii="仿宋_GB2312" w:eastAsia="仿宋_GB2312"/>
                <w:color w:val="000000"/>
                <w:sz w:val="24"/>
                <w:szCs w:val="30"/>
              </w:rPr>
            </w:pPr>
            <w:r>
              <w:rPr>
                <w:rFonts w:ascii="仿宋_GB2312" w:eastAsia="仿宋_GB2312" w:hint="eastAsia"/>
                <w:color w:val="000000"/>
                <w:sz w:val="24"/>
                <w:szCs w:val="30"/>
              </w:rPr>
              <w:t>1</w:t>
            </w:r>
          </w:p>
        </w:tc>
        <w:tc>
          <w:tcPr>
            <w:tcW w:w="1080" w:type="dxa"/>
            <w:gridSpan w:val="2"/>
            <w:shd w:val="clear" w:color="auto" w:fill="FFFFFF"/>
            <w:vAlign w:val="center"/>
          </w:tcPr>
          <w:p w14:paraId="4743C703" w14:textId="77777777" w:rsidR="00F94F8C" w:rsidRDefault="00F94F8C">
            <w:pPr>
              <w:rPr>
                <w:rFonts w:ascii="仿宋_GB2312" w:eastAsia="仿宋_GB2312" w:cs="宋体,Bold"/>
                <w:b/>
                <w:bCs/>
                <w:color w:val="000000"/>
                <w:kern w:val="0"/>
                <w:sz w:val="24"/>
                <w:szCs w:val="30"/>
              </w:rPr>
            </w:pPr>
          </w:p>
        </w:tc>
        <w:tc>
          <w:tcPr>
            <w:tcW w:w="1054" w:type="dxa"/>
            <w:shd w:val="clear" w:color="auto" w:fill="FFFFFF"/>
            <w:vAlign w:val="center"/>
          </w:tcPr>
          <w:p w14:paraId="0E369FCD" w14:textId="77777777" w:rsidR="00F94F8C" w:rsidRDefault="00F94F8C">
            <w:pPr>
              <w:rPr>
                <w:rFonts w:ascii="仿宋_GB2312" w:eastAsia="仿宋_GB2312" w:cs="宋体,Bold"/>
                <w:b/>
                <w:bCs/>
                <w:color w:val="000000"/>
                <w:kern w:val="0"/>
                <w:sz w:val="24"/>
                <w:szCs w:val="30"/>
              </w:rPr>
            </w:pPr>
          </w:p>
        </w:tc>
        <w:tc>
          <w:tcPr>
            <w:tcW w:w="1620" w:type="dxa"/>
            <w:shd w:val="clear" w:color="auto" w:fill="FFFFFF"/>
            <w:vAlign w:val="center"/>
          </w:tcPr>
          <w:p w14:paraId="609D298D" w14:textId="77777777" w:rsidR="00F94F8C" w:rsidRDefault="00F94F8C">
            <w:pPr>
              <w:spacing w:line="360" w:lineRule="auto"/>
              <w:jc w:val="center"/>
              <w:rPr>
                <w:rFonts w:ascii="仿宋_GB2312" w:eastAsia="仿宋_GB2312"/>
                <w:color w:val="000000"/>
                <w:sz w:val="24"/>
                <w:szCs w:val="30"/>
              </w:rPr>
            </w:pPr>
          </w:p>
        </w:tc>
        <w:tc>
          <w:tcPr>
            <w:tcW w:w="1620" w:type="dxa"/>
            <w:shd w:val="clear" w:color="auto" w:fill="FFFFFF"/>
            <w:vAlign w:val="center"/>
          </w:tcPr>
          <w:p w14:paraId="084FFB44" w14:textId="77777777" w:rsidR="00F94F8C" w:rsidRDefault="00F94F8C">
            <w:pPr>
              <w:spacing w:line="360" w:lineRule="auto"/>
              <w:jc w:val="center"/>
              <w:rPr>
                <w:rFonts w:ascii="仿宋_GB2312" w:eastAsia="仿宋_GB2312"/>
                <w:color w:val="000000"/>
                <w:sz w:val="24"/>
                <w:szCs w:val="30"/>
              </w:rPr>
            </w:pPr>
          </w:p>
        </w:tc>
        <w:tc>
          <w:tcPr>
            <w:tcW w:w="1980" w:type="dxa"/>
            <w:shd w:val="clear" w:color="auto" w:fill="FFFFFF"/>
            <w:vAlign w:val="center"/>
          </w:tcPr>
          <w:p w14:paraId="7F670889" w14:textId="77777777" w:rsidR="00F94F8C" w:rsidRDefault="00F94F8C">
            <w:pPr>
              <w:spacing w:line="360" w:lineRule="auto"/>
              <w:jc w:val="center"/>
              <w:rPr>
                <w:rFonts w:ascii="仿宋_GB2312" w:eastAsia="仿宋_GB2312"/>
                <w:color w:val="000000"/>
                <w:sz w:val="24"/>
                <w:szCs w:val="30"/>
              </w:rPr>
            </w:pPr>
          </w:p>
        </w:tc>
      </w:tr>
      <w:tr w:rsidR="00F94F8C" w14:paraId="3EB7BC7E" w14:textId="77777777">
        <w:trPr>
          <w:jc w:val="center"/>
        </w:trPr>
        <w:tc>
          <w:tcPr>
            <w:tcW w:w="849" w:type="dxa"/>
            <w:gridSpan w:val="2"/>
            <w:shd w:val="clear" w:color="auto" w:fill="FFFFFF"/>
            <w:vAlign w:val="center"/>
          </w:tcPr>
          <w:p w14:paraId="012ED585" w14:textId="77777777" w:rsidR="00F94F8C" w:rsidRDefault="00000000">
            <w:pPr>
              <w:spacing w:line="360" w:lineRule="auto"/>
              <w:jc w:val="center"/>
              <w:rPr>
                <w:rFonts w:ascii="仿宋_GB2312" w:eastAsia="仿宋_GB2312"/>
                <w:color w:val="000000"/>
                <w:sz w:val="24"/>
                <w:szCs w:val="30"/>
              </w:rPr>
            </w:pPr>
            <w:r>
              <w:rPr>
                <w:rFonts w:ascii="仿宋_GB2312" w:eastAsia="仿宋_GB2312" w:hint="eastAsia"/>
                <w:color w:val="000000"/>
                <w:sz w:val="24"/>
                <w:szCs w:val="30"/>
              </w:rPr>
              <w:t>2</w:t>
            </w:r>
          </w:p>
        </w:tc>
        <w:tc>
          <w:tcPr>
            <w:tcW w:w="1080" w:type="dxa"/>
            <w:gridSpan w:val="2"/>
            <w:shd w:val="clear" w:color="auto" w:fill="FFFFFF"/>
            <w:vAlign w:val="center"/>
          </w:tcPr>
          <w:p w14:paraId="7CC20EB4" w14:textId="77777777" w:rsidR="00F94F8C" w:rsidRDefault="00F94F8C">
            <w:pPr>
              <w:rPr>
                <w:rFonts w:ascii="仿宋_GB2312" w:eastAsia="仿宋_GB2312" w:cs="宋体,Bold"/>
                <w:b/>
                <w:bCs/>
                <w:color w:val="000000"/>
                <w:kern w:val="0"/>
                <w:sz w:val="24"/>
                <w:szCs w:val="30"/>
              </w:rPr>
            </w:pPr>
          </w:p>
        </w:tc>
        <w:tc>
          <w:tcPr>
            <w:tcW w:w="1054" w:type="dxa"/>
            <w:shd w:val="clear" w:color="auto" w:fill="FFFFFF"/>
            <w:vAlign w:val="center"/>
          </w:tcPr>
          <w:p w14:paraId="3BBB02DB" w14:textId="77777777" w:rsidR="00F94F8C" w:rsidRDefault="00F94F8C">
            <w:pPr>
              <w:rPr>
                <w:rFonts w:ascii="仿宋_GB2312" w:eastAsia="仿宋_GB2312" w:cs="宋体,Bold"/>
                <w:b/>
                <w:bCs/>
                <w:color w:val="000000"/>
                <w:kern w:val="0"/>
                <w:sz w:val="24"/>
                <w:szCs w:val="30"/>
              </w:rPr>
            </w:pPr>
          </w:p>
        </w:tc>
        <w:tc>
          <w:tcPr>
            <w:tcW w:w="1620" w:type="dxa"/>
            <w:shd w:val="clear" w:color="auto" w:fill="FFFFFF"/>
            <w:vAlign w:val="center"/>
          </w:tcPr>
          <w:p w14:paraId="10696D7E" w14:textId="77777777" w:rsidR="00F94F8C" w:rsidRDefault="00F94F8C">
            <w:pPr>
              <w:spacing w:line="360" w:lineRule="auto"/>
              <w:jc w:val="center"/>
              <w:rPr>
                <w:rFonts w:ascii="仿宋_GB2312" w:eastAsia="仿宋_GB2312"/>
                <w:color w:val="000000"/>
                <w:sz w:val="24"/>
                <w:szCs w:val="30"/>
              </w:rPr>
            </w:pPr>
          </w:p>
        </w:tc>
        <w:tc>
          <w:tcPr>
            <w:tcW w:w="1620" w:type="dxa"/>
            <w:shd w:val="clear" w:color="auto" w:fill="FFFFFF"/>
            <w:vAlign w:val="center"/>
          </w:tcPr>
          <w:p w14:paraId="379A3DC3" w14:textId="77777777" w:rsidR="00F94F8C" w:rsidRDefault="00F94F8C">
            <w:pPr>
              <w:spacing w:line="360" w:lineRule="auto"/>
              <w:jc w:val="center"/>
              <w:rPr>
                <w:rFonts w:ascii="仿宋_GB2312" w:eastAsia="仿宋_GB2312"/>
                <w:color w:val="000000"/>
                <w:sz w:val="24"/>
                <w:szCs w:val="30"/>
              </w:rPr>
            </w:pPr>
          </w:p>
        </w:tc>
        <w:tc>
          <w:tcPr>
            <w:tcW w:w="1980" w:type="dxa"/>
            <w:shd w:val="clear" w:color="auto" w:fill="FFFFFF"/>
            <w:vAlign w:val="center"/>
          </w:tcPr>
          <w:p w14:paraId="33402427" w14:textId="77777777" w:rsidR="00F94F8C" w:rsidRDefault="00F94F8C">
            <w:pPr>
              <w:spacing w:line="360" w:lineRule="auto"/>
              <w:jc w:val="center"/>
              <w:rPr>
                <w:rFonts w:ascii="仿宋_GB2312" w:eastAsia="仿宋_GB2312"/>
                <w:color w:val="000000"/>
                <w:sz w:val="24"/>
                <w:szCs w:val="30"/>
              </w:rPr>
            </w:pPr>
          </w:p>
        </w:tc>
      </w:tr>
      <w:tr w:rsidR="00F94F8C" w14:paraId="4B5A2035" w14:textId="77777777">
        <w:trPr>
          <w:jc w:val="center"/>
        </w:trPr>
        <w:tc>
          <w:tcPr>
            <w:tcW w:w="849" w:type="dxa"/>
            <w:gridSpan w:val="2"/>
            <w:shd w:val="clear" w:color="auto" w:fill="FFFFFF"/>
            <w:vAlign w:val="center"/>
          </w:tcPr>
          <w:p w14:paraId="29C6FCD3" w14:textId="77777777" w:rsidR="00F94F8C" w:rsidRDefault="00000000">
            <w:pPr>
              <w:spacing w:line="360" w:lineRule="auto"/>
              <w:jc w:val="center"/>
              <w:rPr>
                <w:rFonts w:ascii="仿宋_GB2312" w:eastAsia="仿宋_GB2312"/>
                <w:color w:val="000000"/>
                <w:sz w:val="24"/>
                <w:szCs w:val="30"/>
              </w:rPr>
            </w:pPr>
            <w:r>
              <w:rPr>
                <w:rFonts w:ascii="仿宋_GB2312" w:eastAsia="仿宋_GB2312" w:hint="eastAsia"/>
                <w:color w:val="000000"/>
                <w:sz w:val="24"/>
                <w:szCs w:val="30"/>
              </w:rPr>
              <w:t>…</w:t>
            </w:r>
          </w:p>
        </w:tc>
        <w:tc>
          <w:tcPr>
            <w:tcW w:w="1080" w:type="dxa"/>
            <w:gridSpan w:val="2"/>
            <w:shd w:val="clear" w:color="auto" w:fill="FFFFFF"/>
            <w:vAlign w:val="center"/>
          </w:tcPr>
          <w:p w14:paraId="51DDF654" w14:textId="77777777" w:rsidR="00F94F8C" w:rsidRDefault="00F94F8C">
            <w:pPr>
              <w:rPr>
                <w:rFonts w:ascii="仿宋_GB2312" w:eastAsia="仿宋_GB2312" w:cs="宋体,Bold"/>
                <w:b/>
                <w:bCs/>
                <w:color w:val="000000"/>
                <w:kern w:val="0"/>
                <w:sz w:val="24"/>
                <w:szCs w:val="30"/>
              </w:rPr>
            </w:pPr>
          </w:p>
        </w:tc>
        <w:tc>
          <w:tcPr>
            <w:tcW w:w="1054" w:type="dxa"/>
            <w:shd w:val="clear" w:color="auto" w:fill="FFFFFF"/>
            <w:vAlign w:val="center"/>
          </w:tcPr>
          <w:p w14:paraId="4B3FDFE3" w14:textId="77777777" w:rsidR="00F94F8C" w:rsidRDefault="00F94F8C">
            <w:pPr>
              <w:rPr>
                <w:rFonts w:ascii="仿宋_GB2312" w:eastAsia="仿宋_GB2312" w:cs="宋体,Bold"/>
                <w:b/>
                <w:bCs/>
                <w:color w:val="000000"/>
                <w:kern w:val="0"/>
                <w:sz w:val="24"/>
                <w:szCs w:val="30"/>
              </w:rPr>
            </w:pPr>
          </w:p>
        </w:tc>
        <w:tc>
          <w:tcPr>
            <w:tcW w:w="1620" w:type="dxa"/>
            <w:shd w:val="clear" w:color="auto" w:fill="FFFFFF"/>
            <w:vAlign w:val="center"/>
          </w:tcPr>
          <w:p w14:paraId="6C7CEC77" w14:textId="77777777" w:rsidR="00F94F8C" w:rsidRDefault="00F94F8C">
            <w:pPr>
              <w:spacing w:line="360" w:lineRule="auto"/>
              <w:jc w:val="center"/>
              <w:rPr>
                <w:rFonts w:ascii="仿宋_GB2312" w:eastAsia="仿宋_GB2312"/>
                <w:color w:val="000000"/>
                <w:sz w:val="24"/>
                <w:szCs w:val="30"/>
              </w:rPr>
            </w:pPr>
          </w:p>
        </w:tc>
        <w:tc>
          <w:tcPr>
            <w:tcW w:w="1620" w:type="dxa"/>
            <w:shd w:val="clear" w:color="auto" w:fill="FFFFFF"/>
            <w:vAlign w:val="center"/>
          </w:tcPr>
          <w:p w14:paraId="0F888BBE" w14:textId="77777777" w:rsidR="00F94F8C" w:rsidRDefault="00F94F8C">
            <w:pPr>
              <w:spacing w:line="360" w:lineRule="auto"/>
              <w:jc w:val="center"/>
              <w:rPr>
                <w:rFonts w:ascii="仿宋_GB2312" w:eastAsia="仿宋_GB2312"/>
                <w:color w:val="000000"/>
                <w:sz w:val="24"/>
                <w:szCs w:val="30"/>
              </w:rPr>
            </w:pPr>
          </w:p>
        </w:tc>
        <w:tc>
          <w:tcPr>
            <w:tcW w:w="1980" w:type="dxa"/>
            <w:shd w:val="clear" w:color="auto" w:fill="FFFFFF"/>
            <w:vAlign w:val="center"/>
          </w:tcPr>
          <w:p w14:paraId="0465AAE7" w14:textId="77777777" w:rsidR="00F94F8C" w:rsidRDefault="00F94F8C">
            <w:pPr>
              <w:spacing w:line="360" w:lineRule="auto"/>
              <w:jc w:val="center"/>
              <w:rPr>
                <w:rFonts w:ascii="仿宋_GB2312" w:eastAsia="仿宋_GB2312"/>
                <w:color w:val="000000"/>
                <w:sz w:val="24"/>
                <w:szCs w:val="30"/>
              </w:rPr>
            </w:pPr>
          </w:p>
        </w:tc>
      </w:tr>
      <w:tr w:rsidR="00F94F8C" w14:paraId="75F2C682" w14:textId="77777777">
        <w:trPr>
          <w:jc w:val="center"/>
        </w:trPr>
        <w:tc>
          <w:tcPr>
            <w:tcW w:w="2983" w:type="dxa"/>
            <w:gridSpan w:val="5"/>
            <w:shd w:val="clear" w:color="auto" w:fill="FFFFFF"/>
            <w:vAlign w:val="center"/>
          </w:tcPr>
          <w:p w14:paraId="5B92653F" w14:textId="77777777" w:rsidR="00F94F8C" w:rsidRDefault="00000000">
            <w:pPr>
              <w:rPr>
                <w:rFonts w:ascii="仿宋_GB2312" w:eastAsia="仿宋_GB2312" w:cs="宋体,Bold"/>
                <w:b/>
                <w:bCs/>
                <w:color w:val="000000"/>
                <w:kern w:val="0"/>
                <w:sz w:val="24"/>
                <w:szCs w:val="30"/>
              </w:rPr>
            </w:pPr>
            <w:r>
              <w:rPr>
                <w:rFonts w:ascii="仿宋_GB2312" w:eastAsia="仿宋_GB2312" w:cs="宋体,Bold" w:hint="eastAsia"/>
                <w:b/>
                <w:bCs/>
                <w:color w:val="000000"/>
                <w:kern w:val="0"/>
                <w:sz w:val="24"/>
                <w:szCs w:val="30"/>
              </w:rPr>
              <w:t>小计</w:t>
            </w:r>
          </w:p>
        </w:tc>
        <w:tc>
          <w:tcPr>
            <w:tcW w:w="1620" w:type="dxa"/>
            <w:shd w:val="clear" w:color="auto" w:fill="FFFFFF"/>
            <w:vAlign w:val="center"/>
          </w:tcPr>
          <w:p w14:paraId="1A43137B" w14:textId="77777777" w:rsidR="00F94F8C" w:rsidRDefault="00F94F8C">
            <w:pPr>
              <w:spacing w:line="360" w:lineRule="auto"/>
              <w:jc w:val="center"/>
              <w:rPr>
                <w:rFonts w:ascii="仿宋_GB2312" w:eastAsia="仿宋_GB2312"/>
                <w:color w:val="000000"/>
                <w:sz w:val="24"/>
                <w:szCs w:val="30"/>
              </w:rPr>
            </w:pPr>
          </w:p>
        </w:tc>
        <w:tc>
          <w:tcPr>
            <w:tcW w:w="1620" w:type="dxa"/>
            <w:shd w:val="clear" w:color="auto" w:fill="FFFFFF"/>
            <w:vAlign w:val="center"/>
          </w:tcPr>
          <w:p w14:paraId="1A4F1740" w14:textId="77777777" w:rsidR="00F94F8C" w:rsidRDefault="00F94F8C">
            <w:pPr>
              <w:spacing w:line="360" w:lineRule="auto"/>
              <w:jc w:val="center"/>
              <w:rPr>
                <w:rFonts w:ascii="仿宋_GB2312" w:eastAsia="仿宋_GB2312"/>
                <w:color w:val="000000"/>
                <w:sz w:val="24"/>
                <w:szCs w:val="30"/>
              </w:rPr>
            </w:pPr>
          </w:p>
        </w:tc>
        <w:tc>
          <w:tcPr>
            <w:tcW w:w="1980" w:type="dxa"/>
            <w:shd w:val="clear" w:color="auto" w:fill="FFFFFF"/>
            <w:vAlign w:val="center"/>
          </w:tcPr>
          <w:p w14:paraId="673BA340" w14:textId="77777777" w:rsidR="00F94F8C" w:rsidRDefault="00F94F8C">
            <w:pPr>
              <w:spacing w:line="360" w:lineRule="auto"/>
              <w:jc w:val="center"/>
              <w:rPr>
                <w:rFonts w:ascii="仿宋_GB2312" w:eastAsia="仿宋_GB2312"/>
                <w:color w:val="000000"/>
                <w:sz w:val="24"/>
                <w:szCs w:val="30"/>
              </w:rPr>
            </w:pPr>
          </w:p>
        </w:tc>
      </w:tr>
      <w:tr w:rsidR="00F94F8C" w14:paraId="1988FC35" w14:textId="77777777">
        <w:trPr>
          <w:jc w:val="center"/>
        </w:trPr>
        <w:tc>
          <w:tcPr>
            <w:tcW w:w="2983" w:type="dxa"/>
            <w:gridSpan w:val="5"/>
            <w:shd w:val="clear" w:color="auto" w:fill="FFFFFF"/>
            <w:vAlign w:val="center"/>
          </w:tcPr>
          <w:p w14:paraId="7DB65784" w14:textId="77777777" w:rsidR="00F94F8C" w:rsidRDefault="00000000">
            <w:pPr>
              <w:rPr>
                <w:rFonts w:ascii="仿宋_GB2312" w:eastAsia="仿宋_GB2312" w:cs="宋体,Bold"/>
                <w:b/>
                <w:bCs/>
                <w:color w:val="000000"/>
                <w:kern w:val="0"/>
                <w:sz w:val="24"/>
                <w:szCs w:val="30"/>
              </w:rPr>
            </w:pPr>
            <w:r>
              <w:rPr>
                <w:rFonts w:ascii="仿宋_GB2312" w:eastAsia="仿宋_GB2312" w:cs="宋体" w:hint="eastAsia"/>
                <w:b/>
                <w:color w:val="000000"/>
                <w:kern w:val="0"/>
                <w:sz w:val="24"/>
                <w:szCs w:val="30"/>
              </w:rPr>
              <w:t>合计</w:t>
            </w:r>
          </w:p>
        </w:tc>
        <w:tc>
          <w:tcPr>
            <w:tcW w:w="1620" w:type="dxa"/>
            <w:shd w:val="clear" w:color="auto" w:fill="FFFFFF"/>
            <w:vAlign w:val="center"/>
          </w:tcPr>
          <w:p w14:paraId="5748718A" w14:textId="77777777" w:rsidR="00F94F8C" w:rsidRDefault="00F94F8C">
            <w:pPr>
              <w:spacing w:line="360" w:lineRule="auto"/>
              <w:jc w:val="center"/>
              <w:rPr>
                <w:rFonts w:ascii="仿宋_GB2312" w:eastAsia="仿宋_GB2312"/>
                <w:color w:val="000000"/>
                <w:sz w:val="24"/>
                <w:szCs w:val="30"/>
              </w:rPr>
            </w:pPr>
          </w:p>
        </w:tc>
        <w:tc>
          <w:tcPr>
            <w:tcW w:w="1620" w:type="dxa"/>
            <w:shd w:val="clear" w:color="auto" w:fill="FFFFFF"/>
            <w:vAlign w:val="center"/>
          </w:tcPr>
          <w:p w14:paraId="1138AE73" w14:textId="77777777" w:rsidR="00F94F8C" w:rsidRDefault="00F94F8C">
            <w:pPr>
              <w:spacing w:line="360" w:lineRule="auto"/>
              <w:jc w:val="center"/>
              <w:rPr>
                <w:rFonts w:ascii="仿宋_GB2312" w:eastAsia="仿宋_GB2312"/>
                <w:color w:val="000000"/>
                <w:sz w:val="24"/>
                <w:szCs w:val="30"/>
              </w:rPr>
            </w:pPr>
          </w:p>
        </w:tc>
        <w:tc>
          <w:tcPr>
            <w:tcW w:w="1980" w:type="dxa"/>
            <w:shd w:val="clear" w:color="auto" w:fill="FFFFFF"/>
            <w:vAlign w:val="center"/>
          </w:tcPr>
          <w:p w14:paraId="46893A28" w14:textId="77777777" w:rsidR="00F94F8C" w:rsidRDefault="00F94F8C">
            <w:pPr>
              <w:spacing w:line="360" w:lineRule="auto"/>
              <w:jc w:val="center"/>
              <w:rPr>
                <w:rFonts w:ascii="仿宋_GB2312" w:eastAsia="仿宋_GB2312"/>
                <w:color w:val="000000"/>
                <w:sz w:val="24"/>
                <w:szCs w:val="30"/>
              </w:rPr>
            </w:pPr>
          </w:p>
        </w:tc>
      </w:tr>
    </w:tbl>
    <w:p w14:paraId="37403168" w14:textId="77777777" w:rsidR="00F94F8C" w:rsidRDefault="00F94F8C">
      <w:pPr>
        <w:widowControl/>
        <w:spacing w:line="600" w:lineRule="exact"/>
        <w:ind w:firstLineChars="200" w:firstLine="643"/>
        <w:rPr>
          <w:rFonts w:ascii="黑体" w:eastAsia="黑体" w:hAnsi="黑体" w:cs="Arial" w:hint="eastAsia"/>
          <w:b/>
          <w:color w:val="000000"/>
          <w:kern w:val="0"/>
          <w:sz w:val="32"/>
          <w:szCs w:val="32"/>
        </w:rPr>
      </w:pPr>
    </w:p>
    <w:p w14:paraId="34B42671" w14:textId="77777777" w:rsidR="00F94F8C" w:rsidRDefault="00000000" w:rsidP="005C706D">
      <w:pPr>
        <w:widowControl/>
        <w:spacing w:line="600" w:lineRule="exact"/>
        <w:ind w:firstLineChars="200" w:firstLine="643"/>
        <w:rPr>
          <w:rFonts w:ascii="黑体" w:eastAsia="黑体" w:hAnsi="黑体" w:cs="Times New Roman" w:hint="eastAsia"/>
          <w:b/>
          <w:sz w:val="30"/>
          <w:szCs w:val="30"/>
        </w:rPr>
      </w:pPr>
      <w:r>
        <w:rPr>
          <w:rFonts w:ascii="黑体" w:eastAsia="黑体" w:hAnsi="黑体" w:cs="Arial" w:hint="eastAsia"/>
          <w:b/>
          <w:color w:val="000000"/>
          <w:kern w:val="0"/>
          <w:sz w:val="32"/>
          <w:szCs w:val="32"/>
        </w:rPr>
        <w:lastRenderedPageBreak/>
        <w:t>四、本次解除限售的限制性股票上市流通安排</w:t>
      </w:r>
      <w:r>
        <w:rPr>
          <w:rFonts w:ascii="黑体" w:eastAsia="黑体" w:hAnsi="黑体" w:cs="Times New Roman" w:hint="eastAsia"/>
          <w:b/>
          <w:sz w:val="30"/>
          <w:szCs w:val="30"/>
        </w:rPr>
        <w:t>及股本结构变动情况</w:t>
      </w:r>
    </w:p>
    <w:p w14:paraId="7E3397B6" w14:textId="77777777" w:rsidR="00F94F8C" w:rsidRDefault="00F94F8C">
      <w:pPr>
        <w:widowControl/>
        <w:spacing w:line="600" w:lineRule="exact"/>
        <w:ind w:firstLineChars="200" w:firstLine="643"/>
        <w:rPr>
          <w:rFonts w:ascii="黑体" w:eastAsia="黑体" w:hAnsi="黑体" w:cs="Arial" w:hint="eastAsia"/>
          <w:b/>
          <w:color w:val="000000"/>
          <w:kern w:val="0"/>
          <w:sz w:val="32"/>
          <w:szCs w:val="32"/>
        </w:rPr>
      </w:pPr>
    </w:p>
    <w:p w14:paraId="1C501914" w14:textId="77777777" w:rsidR="00F94F8C" w:rsidRDefault="00000000">
      <w:pPr>
        <w:widowControl/>
        <w:spacing w:line="600" w:lineRule="exact"/>
        <w:ind w:firstLineChars="200" w:firstLine="600"/>
        <w:rPr>
          <w:rFonts w:ascii="仿宋_GB2312" w:eastAsia="仿宋_GB2312" w:hAnsi="Arial" w:cs="Arial"/>
          <w:color w:val="000000"/>
          <w:kern w:val="0"/>
          <w:sz w:val="30"/>
          <w:szCs w:val="30"/>
        </w:rPr>
      </w:pPr>
      <w:r>
        <w:rPr>
          <w:rFonts w:ascii="仿宋_GB2312" w:eastAsia="仿宋_GB2312" w:hAnsi="Arial" w:cs="Arial" w:hint="eastAsia"/>
          <w:color w:val="000000"/>
          <w:kern w:val="0"/>
          <w:sz w:val="30"/>
          <w:szCs w:val="30"/>
        </w:rPr>
        <w:t>（一）本次解除限售的股票上市流通日。</w:t>
      </w:r>
    </w:p>
    <w:p w14:paraId="47DEE6C3" w14:textId="77777777" w:rsidR="00F94F8C" w:rsidRDefault="00000000">
      <w:pPr>
        <w:widowControl/>
        <w:spacing w:line="600" w:lineRule="exact"/>
        <w:ind w:firstLineChars="200" w:firstLine="600"/>
        <w:rPr>
          <w:rFonts w:ascii="仿宋_GB2312" w:eastAsia="仿宋_GB2312" w:hAnsi="Arial" w:cs="Arial"/>
          <w:color w:val="000000"/>
          <w:kern w:val="0"/>
          <w:sz w:val="30"/>
          <w:szCs w:val="30"/>
        </w:rPr>
      </w:pPr>
      <w:r>
        <w:rPr>
          <w:rFonts w:ascii="仿宋_GB2312" w:eastAsia="仿宋_GB2312" w:hAnsi="Arial" w:cs="Arial" w:hint="eastAsia"/>
          <w:color w:val="000000"/>
          <w:kern w:val="0"/>
          <w:sz w:val="30"/>
          <w:szCs w:val="30"/>
        </w:rPr>
        <w:t>（二）本次解除限售的股票上市流通数量。</w:t>
      </w:r>
    </w:p>
    <w:p w14:paraId="4D47A027" w14:textId="77777777" w:rsidR="00F94F8C" w:rsidRDefault="00000000">
      <w:pPr>
        <w:widowControl/>
        <w:spacing w:line="600" w:lineRule="exact"/>
        <w:ind w:firstLineChars="200" w:firstLine="600"/>
        <w:rPr>
          <w:rFonts w:ascii="仿宋_GB2312" w:eastAsia="仿宋_GB2312" w:hAnsi="Arial" w:cs="Arial"/>
          <w:color w:val="000000"/>
          <w:kern w:val="0"/>
          <w:sz w:val="30"/>
          <w:szCs w:val="30"/>
        </w:rPr>
      </w:pPr>
      <w:r>
        <w:rPr>
          <w:rFonts w:ascii="仿宋_GB2312" w:eastAsia="仿宋_GB2312" w:hAnsi="Arial" w:cs="Arial" w:hint="eastAsia"/>
          <w:color w:val="000000"/>
          <w:kern w:val="0"/>
          <w:sz w:val="30"/>
          <w:szCs w:val="30"/>
        </w:rPr>
        <w:t>（三）说明董事、高级管理人员、核心技术人员及核心业务人员本次解除限售的股票锁定和转让限制。</w:t>
      </w:r>
    </w:p>
    <w:p w14:paraId="4FD7E5CA" w14:textId="77777777" w:rsidR="00F94F8C" w:rsidRDefault="00000000">
      <w:pPr>
        <w:widowControl/>
        <w:spacing w:line="560" w:lineRule="exact"/>
        <w:ind w:firstLineChars="200" w:firstLine="600"/>
        <w:jc w:val="left"/>
        <w:rPr>
          <w:rFonts w:ascii="仿宋_GB2312" w:eastAsia="仿宋_GB2312" w:hAnsi="Arial" w:cs="Arial"/>
          <w:color w:val="000000"/>
          <w:kern w:val="0"/>
          <w:sz w:val="30"/>
          <w:szCs w:val="30"/>
        </w:rPr>
      </w:pPr>
      <w:r>
        <w:rPr>
          <w:rFonts w:ascii="仿宋_GB2312" w:eastAsia="仿宋_GB2312" w:hAnsi="Arial" w:cs="Arial" w:hint="eastAsia"/>
          <w:color w:val="000000"/>
          <w:kern w:val="0"/>
          <w:sz w:val="30"/>
          <w:szCs w:val="30"/>
        </w:rPr>
        <w:t>（四）本次限制性股票解锁后公司股本结构变动情况</w:t>
      </w:r>
    </w:p>
    <w:p w14:paraId="28974642" w14:textId="77777777" w:rsidR="00F94F8C" w:rsidRDefault="00F94F8C">
      <w:pPr>
        <w:widowControl/>
        <w:spacing w:line="560" w:lineRule="exact"/>
        <w:ind w:firstLineChars="200" w:firstLine="600"/>
        <w:jc w:val="left"/>
        <w:rPr>
          <w:rFonts w:ascii="仿宋_GB2312" w:eastAsia="仿宋_GB2312" w:hAnsi="Arial" w:cs="Arial"/>
          <w:color w:val="000000"/>
          <w:kern w:val="0"/>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2130"/>
        <w:gridCol w:w="2131"/>
        <w:gridCol w:w="2131"/>
      </w:tblGrid>
      <w:tr w:rsidR="00F94F8C" w14:paraId="72F8535D" w14:textId="77777777">
        <w:tc>
          <w:tcPr>
            <w:tcW w:w="2130" w:type="dxa"/>
          </w:tcPr>
          <w:p w14:paraId="4E6F1D94" w14:textId="77777777" w:rsidR="00F94F8C" w:rsidRDefault="00000000">
            <w:pPr>
              <w:widowControl/>
              <w:spacing w:line="560" w:lineRule="exact"/>
              <w:jc w:val="center"/>
              <w:rPr>
                <w:rFonts w:ascii="仿宋_GB2312" w:eastAsia="仿宋_GB2312" w:hAnsi="Arial" w:cs="Arial"/>
                <w:color w:val="000000"/>
                <w:kern w:val="0"/>
                <w:sz w:val="24"/>
              </w:rPr>
            </w:pPr>
            <w:r>
              <w:rPr>
                <w:rFonts w:ascii="仿宋_GB2312" w:eastAsia="仿宋_GB2312" w:hAnsi="Arial" w:cs="Arial" w:hint="eastAsia"/>
                <w:color w:val="000000"/>
                <w:kern w:val="0"/>
                <w:sz w:val="24"/>
              </w:rPr>
              <w:t>类别</w:t>
            </w:r>
          </w:p>
        </w:tc>
        <w:tc>
          <w:tcPr>
            <w:tcW w:w="2130" w:type="dxa"/>
          </w:tcPr>
          <w:p w14:paraId="17CE9B2C" w14:textId="77777777" w:rsidR="00F94F8C" w:rsidRDefault="00000000">
            <w:pPr>
              <w:widowControl/>
              <w:spacing w:line="560" w:lineRule="exact"/>
              <w:jc w:val="center"/>
              <w:rPr>
                <w:rFonts w:ascii="仿宋_GB2312" w:eastAsia="仿宋_GB2312" w:hAnsi="Arial" w:cs="Arial"/>
                <w:color w:val="000000"/>
                <w:kern w:val="0"/>
                <w:sz w:val="24"/>
              </w:rPr>
            </w:pPr>
            <w:r>
              <w:rPr>
                <w:rFonts w:ascii="仿宋_GB2312" w:eastAsia="仿宋_GB2312" w:hAnsi="Arial" w:cs="Arial" w:hint="eastAsia"/>
                <w:color w:val="000000"/>
                <w:kern w:val="0"/>
                <w:sz w:val="24"/>
              </w:rPr>
              <w:t>本次变动前</w:t>
            </w:r>
          </w:p>
        </w:tc>
        <w:tc>
          <w:tcPr>
            <w:tcW w:w="2131" w:type="dxa"/>
          </w:tcPr>
          <w:p w14:paraId="6C23A9BE" w14:textId="77777777" w:rsidR="00F94F8C" w:rsidRDefault="00000000">
            <w:pPr>
              <w:widowControl/>
              <w:spacing w:line="560" w:lineRule="exact"/>
              <w:jc w:val="center"/>
              <w:rPr>
                <w:rFonts w:ascii="仿宋_GB2312" w:eastAsia="仿宋_GB2312" w:hAnsi="Arial" w:cs="Arial"/>
                <w:color w:val="000000"/>
                <w:kern w:val="0"/>
                <w:sz w:val="24"/>
              </w:rPr>
            </w:pPr>
            <w:r>
              <w:rPr>
                <w:rFonts w:ascii="仿宋_GB2312" w:eastAsia="仿宋_GB2312" w:hAnsi="Arial" w:cs="Arial" w:hint="eastAsia"/>
                <w:color w:val="000000"/>
                <w:kern w:val="0"/>
                <w:sz w:val="24"/>
              </w:rPr>
              <w:t>本次变动数</w:t>
            </w:r>
          </w:p>
        </w:tc>
        <w:tc>
          <w:tcPr>
            <w:tcW w:w="2131" w:type="dxa"/>
          </w:tcPr>
          <w:p w14:paraId="2F33D828" w14:textId="77777777" w:rsidR="00F94F8C" w:rsidRDefault="00000000">
            <w:pPr>
              <w:widowControl/>
              <w:spacing w:line="560" w:lineRule="exact"/>
              <w:jc w:val="center"/>
              <w:rPr>
                <w:rFonts w:ascii="仿宋_GB2312" w:eastAsia="仿宋_GB2312" w:hAnsi="Arial" w:cs="Arial"/>
                <w:color w:val="000000"/>
                <w:kern w:val="0"/>
                <w:sz w:val="24"/>
              </w:rPr>
            </w:pPr>
            <w:r>
              <w:rPr>
                <w:rFonts w:ascii="仿宋_GB2312" w:eastAsia="仿宋_GB2312" w:hAnsi="Arial" w:cs="Arial" w:hint="eastAsia"/>
                <w:color w:val="000000"/>
                <w:kern w:val="0"/>
                <w:sz w:val="24"/>
              </w:rPr>
              <w:t>本次变动后</w:t>
            </w:r>
          </w:p>
        </w:tc>
      </w:tr>
      <w:tr w:rsidR="00F94F8C" w14:paraId="3E6EF55C" w14:textId="77777777">
        <w:tc>
          <w:tcPr>
            <w:tcW w:w="2130" w:type="dxa"/>
          </w:tcPr>
          <w:p w14:paraId="3BA31903" w14:textId="77777777" w:rsidR="00F94F8C" w:rsidRDefault="00000000">
            <w:pPr>
              <w:widowControl/>
              <w:spacing w:line="560" w:lineRule="exact"/>
              <w:rPr>
                <w:rFonts w:ascii="仿宋_GB2312" w:eastAsia="仿宋_GB2312" w:hAnsi="Arial" w:cs="Arial"/>
                <w:color w:val="000000"/>
                <w:kern w:val="0"/>
                <w:sz w:val="24"/>
              </w:rPr>
            </w:pPr>
            <w:r>
              <w:rPr>
                <w:rFonts w:ascii="仿宋_GB2312" w:eastAsia="仿宋_GB2312" w:hAnsi="Arial" w:cs="Arial" w:hint="eastAsia"/>
                <w:color w:val="000000"/>
                <w:kern w:val="0"/>
                <w:sz w:val="24"/>
              </w:rPr>
              <w:t>有限</w:t>
            </w:r>
            <w:proofErr w:type="gramStart"/>
            <w:r>
              <w:rPr>
                <w:rFonts w:ascii="仿宋_GB2312" w:eastAsia="仿宋_GB2312" w:hAnsi="Arial" w:cs="Arial" w:hint="eastAsia"/>
                <w:color w:val="000000"/>
                <w:kern w:val="0"/>
                <w:sz w:val="24"/>
              </w:rPr>
              <w:t>售条件</w:t>
            </w:r>
            <w:proofErr w:type="gramEnd"/>
            <w:r>
              <w:rPr>
                <w:rFonts w:ascii="仿宋_GB2312" w:eastAsia="仿宋_GB2312" w:hAnsi="Arial" w:cs="Arial" w:hint="eastAsia"/>
                <w:color w:val="000000"/>
                <w:kern w:val="0"/>
                <w:sz w:val="24"/>
              </w:rPr>
              <w:t>股份</w:t>
            </w:r>
          </w:p>
        </w:tc>
        <w:tc>
          <w:tcPr>
            <w:tcW w:w="2130" w:type="dxa"/>
          </w:tcPr>
          <w:p w14:paraId="7B03563D" w14:textId="77777777" w:rsidR="00F94F8C" w:rsidRDefault="00F94F8C">
            <w:pPr>
              <w:widowControl/>
              <w:spacing w:line="560" w:lineRule="exact"/>
              <w:rPr>
                <w:rFonts w:ascii="仿宋_GB2312" w:eastAsia="仿宋_GB2312" w:hAnsi="Arial" w:cs="Arial"/>
                <w:color w:val="000000"/>
                <w:kern w:val="0"/>
                <w:sz w:val="24"/>
              </w:rPr>
            </w:pPr>
          </w:p>
        </w:tc>
        <w:tc>
          <w:tcPr>
            <w:tcW w:w="2131" w:type="dxa"/>
          </w:tcPr>
          <w:p w14:paraId="4A104D4F" w14:textId="77777777" w:rsidR="00F94F8C" w:rsidRDefault="00F94F8C">
            <w:pPr>
              <w:widowControl/>
              <w:spacing w:line="560" w:lineRule="exact"/>
              <w:rPr>
                <w:rFonts w:ascii="仿宋_GB2312" w:eastAsia="仿宋_GB2312" w:hAnsi="Arial" w:cs="Arial"/>
                <w:color w:val="000000"/>
                <w:kern w:val="0"/>
                <w:sz w:val="24"/>
              </w:rPr>
            </w:pPr>
          </w:p>
        </w:tc>
        <w:tc>
          <w:tcPr>
            <w:tcW w:w="2131" w:type="dxa"/>
          </w:tcPr>
          <w:p w14:paraId="6E729FF2" w14:textId="77777777" w:rsidR="00F94F8C" w:rsidRDefault="00F94F8C">
            <w:pPr>
              <w:widowControl/>
              <w:spacing w:line="560" w:lineRule="exact"/>
              <w:rPr>
                <w:rFonts w:ascii="仿宋_GB2312" w:eastAsia="仿宋_GB2312" w:hAnsi="Arial" w:cs="Arial"/>
                <w:color w:val="000000"/>
                <w:kern w:val="0"/>
                <w:sz w:val="24"/>
              </w:rPr>
            </w:pPr>
          </w:p>
        </w:tc>
      </w:tr>
      <w:tr w:rsidR="00F94F8C" w14:paraId="2E5951B1" w14:textId="77777777">
        <w:tc>
          <w:tcPr>
            <w:tcW w:w="2130" w:type="dxa"/>
          </w:tcPr>
          <w:p w14:paraId="41C79A5F" w14:textId="77777777" w:rsidR="00F94F8C" w:rsidRDefault="00000000">
            <w:pPr>
              <w:widowControl/>
              <w:spacing w:line="560" w:lineRule="exact"/>
              <w:rPr>
                <w:rFonts w:ascii="仿宋_GB2312" w:eastAsia="仿宋_GB2312" w:hAnsi="Arial" w:cs="Arial"/>
                <w:color w:val="000000"/>
                <w:kern w:val="0"/>
                <w:sz w:val="24"/>
              </w:rPr>
            </w:pPr>
            <w:r>
              <w:rPr>
                <w:rFonts w:ascii="仿宋_GB2312" w:eastAsia="仿宋_GB2312" w:hAnsi="Arial" w:cs="Arial" w:hint="eastAsia"/>
                <w:color w:val="000000"/>
                <w:kern w:val="0"/>
                <w:sz w:val="24"/>
              </w:rPr>
              <w:t>无限</w:t>
            </w:r>
            <w:proofErr w:type="gramStart"/>
            <w:r>
              <w:rPr>
                <w:rFonts w:ascii="仿宋_GB2312" w:eastAsia="仿宋_GB2312" w:hAnsi="Arial" w:cs="Arial" w:hint="eastAsia"/>
                <w:color w:val="000000"/>
                <w:kern w:val="0"/>
                <w:sz w:val="24"/>
              </w:rPr>
              <w:t>售条件</w:t>
            </w:r>
            <w:proofErr w:type="gramEnd"/>
            <w:r>
              <w:rPr>
                <w:rFonts w:ascii="仿宋_GB2312" w:eastAsia="仿宋_GB2312" w:hAnsi="Arial" w:cs="Arial" w:hint="eastAsia"/>
                <w:color w:val="000000"/>
                <w:kern w:val="0"/>
                <w:sz w:val="24"/>
              </w:rPr>
              <w:t>股份</w:t>
            </w:r>
          </w:p>
        </w:tc>
        <w:tc>
          <w:tcPr>
            <w:tcW w:w="2130" w:type="dxa"/>
          </w:tcPr>
          <w:p w14:paraId="217A0116" w14:textId="77777777" w:rsidR="00F94F8C" w:rsidRDefault="00F94F8C">
            <w:pPr>
              <w:widowControl/>
              <w:spacing w:line="560" w:lineRule="exact"/>
              <w:rPr>
                <w:rFonts w:ascii="仿宋_GB2312" w:eastAsia="仿宋_GB2312" w:hAnsi="Arial" w:cs="Arial"/>
                <w:color w:val="000000"/>
                <w:kern w:val="0"/>
                <w:sz w:val="24"/>
              </w:rPr>
            </w:pPr>
          </w:p>
        </w:tc>
        <w:tc>
          <w:tcPr>
            <w:tcW w:w="2131" w:type="dxa"/>
          </w:tcPr>
          <w:p w14:paraId="608862E9" w14:textId="77777777" w:rsidR="00F94F8C" w:rsidRDefault="00F94F8C">
            <w:pPr>
              <w:widowControl/>
              <w:spacing w:line="560" w:lineRule="exact"/>
              <w:rPr>
                <w:rFonts w:ascii="仿宋_GB2312" w:eastAsia="仿宋_GB2312" w:hAnsi="Arial" w:cs="Arial"/>
                <w:color w:val="000000"/>
                <w:kern w:val="0"/>
                <w:sz w:val="24"/>
              </w:rPr>
            </w:pPr>
          </w:p>
        </w:tc>
        <w:tc>
          <w:tcPr>
            <w:tcW w:w="2131" w:type="dxa"/>
          </w:tcPr>
          <w:p w14:paraId="6B476E24" w14:textId="77777777" w:rsidR="00F94F8C" w:rsidRDefault="00F94F8C">
            <w:pPr>
              <w:widowControl/>
              <w:spacing w:line="560" w:lineRule="exact"/>
              <w:rPr>
                <w:rFonts w:ascii="仿宋_GB2312" w:eastAsia="仿宋_GB2312" w:hAnsi="Arial" w:cs="Arial"/>
                <w:color w:val="000000"/>
                <w:kern w:val="0"/>
                <w:sz w:val="24"/>
              </w:rPr>
            </w:pPr>
          </w:p>
        </w:tc>
      </w:tr>
      <w:tr w:rsidR="00F94F8C" w14:paraId="0B8DBA02" w14:textId="77777777">
        <w:tc>
          <w:tcPr>
            <w:tcW w:w="2130" w:type="dxa"/>
          </w:tcPr>
          <w:p w14:paraId="339FBB75" w14:textId="77777777" w:rsidR="00F94F8C" w:rsidRDefault="00000000">
            <w:pPr>
              <w:widowControl/>
              <w:spacing w:line="560" w:lineRule="exact"/>
              <w:rPr>
                <w:rFonts w:ascii="仿宋_GB2312" w:eastAsia="仿宋_GB2312" w:hAnsi="Arial" w:cs="Arial"/>
                <w:color w:val="000000"/>
                <w:kern w:val="0"/>
                <w:sz w:val="24"/>
              </w:rPr>
            </w:pPr>
            <w:r>
              <w:rPr>
                <w:rFonts w:ascii="仿宋_GB2312" w:eastAsia="仿宋_GB2312" w:hAnsi="Arial" w:cs="Arial" w:hint="eastAsia"/>
                <w:color w:val="000000"/>
                <w:kern w:val="0"/>
                <w:sz w:val="24"/>
              </w:rPr>
              <w:t>总计</w:t>
            </w:r>
          </w:p>
        </w:tc>
        <w:tc>
          <w:tcPr>
            <w:tcW w:w="2130" w:type="dxa"/>
          </w:tcPr>
          <w:p w14:paraId="11E74E46" w14:textId="77777777" w:rsidR="00F94F8C" w:rsidRDefault="00F94F8C">
            <w:pPr>
              <w:widowControl/>
              <w:spacing w:line="560" w:lineRule="exact"/>
              <w:rPr>
                <w:rFonts w:ascii="仿宋_GB2312" w:eastAsia="仿宋_GB2312" w:hAnsi="Arial" w:cs="Arial"/>
                <w:color w:val="000000"/>
                <w:kern w:val="0"/>
                <w:sz w:val="24"/>
              </w:rPr>
            </w:pPr>
          </w:p>
        </w:tc>
        <w:tc>
          <w:tcPr>
            <w:tcW w:w="2131" w:type="dxa"/>
          </w:tcPr>
          <w:p w14:paraId="71B293F1" w14:textId="77777777" w:rsidR="00F94F8C" w:rsidRDefault="00F94F8C">
            <w:pPr>
              <w:widowControl/>
              <w:spacing w:line="560" w:lineRule="exact"/>
              <w:rPr>
                <w:rFonts w:ascii="仿宋_GB2312" w:eastAsia="仿宋_GB2312" w:hAnsi="Arial" w:cs="Arial"/>
                <w:color w:val="000000"/>
                <w:kern w:val="0"/>
                <w:sz w:val="24"/>
              </w:rPr>
            </w:pPr>
          </w:p>
        </w:tc>
        <w:tc>
          <w:tcPr>
            <w:tcW w:w="2131" w:type="dxa"/>
          </w:tcPr>
          <w:p w14:paraId="6AE26D73" w14:textId="77777777" w:rsidR="00F94F8C" w:rsidRDefault="00F94F8C">
            <w:pPr>
              <w:widowControl/>
              <w:spacing w:line="560" w:lineRule="exact"/>
              <w:rPr>
                <w:rFonts w:ascii="仿宋_GB2312" w:eastAsia="仿宋_GB2312" w:hAnsi="Arial" w:cs="Arial"/>
                <w:color w:val="000000"/>
                <w:kern w:val="0"/>
                <w:sz w:val="24"/>
              </w:rPr>
            </w:pPr>
          </w:p>
        </w:tc>
      </w:tr>
    </w:tbl>
    <w:p w14:paraId="59B10C2E" w14:textId="77777777" w:rsidR="00F94F8C" w:rsidRDefault="00F94F8C" w:rsidP="005C706D">
      <w:pPr>
        <w:widowControl/>
        <w:spacing w:line="600" w:lineRule="exact"/>
        <w:rPr>
          <w:rFonts w:ascii="黑体" w:eastAsia="黑体" w:hAnsi="黑体" w:cs="Arial" w:hint="eastAsia"/>
          <w:b/>
          <w:color w:val="000000"/>
          <w:kern w:val="0"/>
          <w:sz w:val="32"/>
          <w:szCs w:val="32"/>
        </w:rPr>
      </w:pPr>
    </w:p>
    <w:p w14:paraId="782D1D65" w14:textId="77777777" w:rsidR="00F94F8C" w:rsidRDefault="00000000">
      <w:pPr>
        <w:widowControl/>
        <w:spacing w:line="600" w:lineRule="exact"/>
        <w:ind w:firstLineChars="200" w:firstLine="643"/>
        <w:rPr>
          <w:rFonts w:ascii="黑体" w:eastAsia="黑体" w:hAnsi="黑体" w:cs="Arial" w:hint="eastAsia"/>
          <w:b/>
          <w:color w:val="000000"/>
          <w:kern w:val="0"/>
          <w:sz w:val="32"/>
          <w:szCs w:val="32"/>
        </w:rPr>
      </w:pPr>
      <w:r>
        <w:rPr>
          <w:rFonts w:ascii="黑体" w:eastAsia="黑体" w:hAnsi="黑体" w:cs="Arial" w:hint="eastAsia"/>
          <w:b/>
          <w:color w:val="000000"/>
          <w:kern w:val="0"/>
          <w:sz w:val="32"/>
          <w:szCs w:val="32"/>
        </w:rPr>
        <w:t>五、法律意见书的结论性意见</w:t>
      </w:r>
    </w:p>
    <w:p w14:paraId="75CD9FFA" w14:textId="77777777" w:rsidR="00F94F8C" w:rsidRDefault="00000000">
      <w:pPr>
        <w:snapToGrid w:val="0"/>
        <w:spacing w:line="60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律师事务所就本次</w:t>
      </w:r>
      <w:r>
        <w:rPr>
          <w:rFonts w:ascii="仿宋_GB2312" w:eastAsia="仿宋_GB2312" w:hAnsi="Arial" w:cs="Arial" w:hint="eastAsia"/>
          <w:color w:val="000000"/>
          <w:kern w:val="0"/>
          <w:sz w:val="30"/>
          <w:szCs w:val="30"/>
        </w:rPr>
        <w:t>限制性股票解除限售</w:t>
      </w:r>
      <w:r>
        <w:rPr>
          <w:rFonts w:ascii="仿宋_GB2312" w:eastAsia="仿宋_GB2312" w:hAnsi="宋体" w:hint="eastAsia"/>
          <w:sz w:val="30"/>
          <w:szCs w:val="30"/>
        </w:rPr>
        <w:t>出具的法律意见书的结论性意见。</w:t>
      </w:r>
    </w:p>
    <w:p w14:paraId="6C7F366C" w14:textId="77777777" w:rsidR="00F94F8C" w:rsidRDefault="00F94F8C">
      <w:pPr>
        <w:widowControl/>
        <w:spacing w:line="600" w:lineRule="exact"/>
        <w:ind w:firstLineChars="200" w:firstLine="643"/>
        <w:rPr>
          <w:rFonts w:ascii="黑体" w:eastAsia="黑体" w:hAnsi="黑体" w:cs="Arial" w:hint="eastAsia"/>
          <w:b/>
          <w:color w:val="000000"/>
          <w:kern w:val="0"/>
          <w:sz w:val="32"/>
          <w:szCs w:val="32"/>
        </w:rPr>
      </w:pPr>
    </w:p>
    <w:p w14:paraId="6757D022" w14:textId="77777777" w:rsidR="00F94F8C" w:rsidRDefault="00000000">
      <w:pPr>
        <w:widowControl/>
        <w:spacing w:line="600" w:lineRule="exact"/>
        <w:ind w:firstLineChars="200" w:firstLine="643"/>
        <w:rPr>
          <w:rFonts w:ascii="黑体" w:eastAsia="黑体" w:hAnsi="黑体" w:cs="Arial" w:hint="eastAsia"/>
          <w:b/>
          <w:color w:val="000000"/>
          <w:kern w:val="0"/>
          <w:sz w:val="32"/>
          <w:szCs w:val="32"/>
        </w:rPr>
      </w:pPr>
      <w:r>
        <w:rPr>
          <w:rFonts w:ascii="黑体" w:eastAsia="黑体" w:hAnsi="黑体" w:cs="Arial" w:hint="eastAsia"/>
          <w:b/>
          <w:color w:val="000000"/>
          <w:kern w:val="0"/>
          <w:sz w:val="32"/>
          <w:szCs w:val="32"/>
        </w:rPr>
        <w:t>六、上网公告附件</w:t>
      </w:r>
    </w:p>
    <w:p w14:paraId="44EA4DBF" w14:textId="23B9DE28" w:rsidR="00F94F8C" w:rsidRDefault="00000000">
      <w:pPr>
        <w:widowControl/>
        <w:spacing w:line="600" w:lineRule="exact"/>
        <w:ind w:firstLineChars="200" w:firstLine="600"/>
        <w:rPr>
          <w:rFonts w:ascii="仿宋_GB2312" w:eastAsia="仿宋_GB2312" w:hAnsi="Arial" w:cs="Arial"/>
          <w:color w:val="000000"/>
          <w:kern w:val="0"/>
          <w:sz w:val="30"/>
          <w:szCs w:val="30"/>
        </w:rPr>
      </w:pPr>
      <w:r>
        <w:rPr>
          <w:rFonts w:ascii="仿宋_GB2312" w:eastAsia="仿宋_GB2312" w:hAnsi="Arial" w:cs="Arial" w:hint="eastAsia"/>
          <w:color w:val="000000"/>
          <w:kern w:val="0"/>
          <w:sz w:val="30"/>
          <w:szCs w:val="30"/>
        </w:rPr>
        <w:t>（一）法律意见书；</w:t>
      </w:r>
    </w:p>
    <w:p w14:paraId="6BB56FFA" w14:textId="2C8C772E" w:rsidR="00F94F8C" w:rsidRDefault="00000000">
      <w:pPr>
        <w:snapToGrid w:val="0"/>
        <w:spacing w:line="60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（二）独立财务顾问意见（如适用）。</w:t>
      </w:r>
    </w:p>
    <w:p w14:paraId="2A95B0A0" w14:textId="77777777" w:rsidR="00F94F8C" w:rsidRDefault="00F94F8C">
      <w:pPr>
        <w:widowControl/>
        <w:spacing w:line="600" w:lineRule="exact"/>
        <w:ind w:firstLineChars="200" w:firstLine="600"/>
        <w:rPr>
          <w:rFonts w:ascii="仿宋_GB2312" w:eastAsia="仿宋_GB2312" w:hAnsi="Arial" w:cs="Arial"/>
          <w:color w:val="000000"/>
          <w:kern w:val="0"/>
          <w:sz w:val="30"/>
          <w:szCs w:val="30"/>
        </w:rPr>
      </w:pPr>
    </w:p>
    <w:p w14:paraId="4BA5A5B1" w14:textId="77777777" w:rsidR="00F94F8C" w:rsidRDefault="00000000">
      <w:pPr>
        <w:adjustRightInd w:val="0"/>
        <w:snapToGrid w:val="0"/>
        <w:spacing w:line="600" w:lineRule="exact"/>
        <w:ind w:firstLineChars="200" w:firstLine="600"/>
        <w:rPr>
          <w:rFonts w:ascii="仿宋_GB2312" w:eastAsia="仿宋_GB2312" w:hAnsi="宋体" w:hint="eastAsia"/>
          <w:sz w:val="30"/>
          <w:szCs w:val="30"/>
        </w:rPr>
      </w:pPr>
      <w:r>
        <w:rPr>
          <w:rFonts w:ascii="仿宋_GB2312" w:eastAsia="仿宋_GB2312" w:hAnsi="宋体" w:hint="eastAsia"/>
          <w:color w:val="000000"/>
          <w:sz w:val="30"/>
          <w:szCs w:val="30"/>
        </w:rPr>
        <w:t>特此公告。</w:t>
      </w:r>
    </w:p>
    <w:p w14:paraId="2CD260A7" w14:textId="77777777" w:rsidR="00F94F8C" w:rsidRDefault="00F94F8C">
      <w:pPr>
        <w:adjustRightInd w:val="0"/>
        <w:snapToGrid w:val="0"/>
        <w:spacing w:line="600" w:lineRule="exact"/>
        <w:jc w:val="right"/>
        <w:rPr>
          <w:rFonts w:ascii="仿宋_GB2312" w:eastAsia="仿宋_GB2312" w:hAnsi="宋体" w:hint="eastAsia"/>
          <w:color w:val="000000"/>
          <w:sz w:val="30"/>
          <w:szCs w:val="30"/>
        </w:rPr>
      </w:pPr>
    </w:p>
    <w:p w14:paraId="1DD2A8FB" w14:textId="77777777" w:rsidR="00F94F8C" w:rsidRDefault="00000000">
      <w:pPr>
        <w:adjustRightInd w:val="0"/>
        <w:snapToGrid w:val="0"/>
        <w:spacing w:line="600" w:lineRule="exact"/>
        <w:ind w:firstLineChars="200" w:firstLine="600"/>
        <w:jc w:val="right"/>
        <w:rPr>
          <w:rFonts w:ascii="仿宋_GB2312" w:eastAsia="仿宋_GB2312" w:hAnsi="宋体" w:hint="eastAsia"/>
          <w:color w:val="000000"/>
          <w:sz w:val="30"/>
          <w:szCs w:val="30"/>
        </w:rPr>
      </w:pPr>
      <w:r>
        <w:rPr>
          <w:rFonts w:ascii="仿宋_GB2312" w:eastAsia="仿宋_GB2312" w:hAnsi="宋体" w:hint="eastAsia"/>
          <w:color w:val="000000"/>
          <w:sz w:val="30"/>
          <w:szCs w:val="30"/>
        </w:rPr>
        <w:t>XXXX股份有限公司董事会</w:t>
      </w:r>
    </w:p>
    <w:p w14:paraId="35A97582" w14:textId="77777777" w:rsidR="00F94F8C" w:rsidRDefault="00000000">
      <w:pPr>
        <w:adjustRightInd w:val="0"/>
        <w:snapToGrid w:val="0"/>
        <w:spacing w:line="600" w:lineRule="exact"/>
        <w:ind w:firstLineChars="200" w:firstLine="600"/>
        <w:jc w:val="right"/>
        <w:rPr>
          <w:rFonts w:ascii="仿宋_GB2312" w:eastAsia="仿宋_GB2312" w:hAnsi="宋体" w:hint="eastAsia"/>
          <w:color w:val="000000"/>
          <w:sz w:val="30"/>
          <w:szCs w:val="30"/>
        </w:rPr>
      </w:pPr>
      <w:r>
        <w:rPr>
          <w:rFonts w:ascii="仿宋_GB2312" w:eastAsia="仿宋_GB2312" w:hAnsi="宋体" w:hint="eastAsia"/>
          <w:color w:val="000000"/>
          <w:sz w:val="30"/>
          <w:szCs w:val="30"/>
        </w:rPr>
        <w:t>年  月  日</w:t>
      </w:r>
    </w:p>
    <w:p w14:paraId="410DCB47" w14:textId="77777777" w:rsidR="00F94F8C" w:rsidRDefault="00F94F8C">
      <w:pPr>
        <w:adjustRightInd w:val="0"/>
        <w:snapToGrid w:val="0"/>
        <w:spacing w:line="600" w:lineRule="exact"/>
        <w:rPr>
          <w:rFonts w:ascii="仿宋_GB2312" w:eastAsia="仿宋_GB2312" w:hAnsi="宋体" w:hint="eastAsia"/>
          <w:color w:val="000000"/>
          <w:sz w:val="30"/>
          <w:szCs w:val="30"/>
        </w:rPr>
      </w:pPr>
    </w:p>
    <w:p w14:paraId="493C2E78" w14:textId="77777777" w:rsidR="00F94F8C" w:rsidRDefault="00000000">
      <w:pPr>
        <w:numPr>
          <w:ilvl w:val="0"/>
          <w:numId w:val="7"/>
        </w:numPr>
        <w:adjustRightInd w:val="0"/>
        <w:snapToGrid w:val="0"/>
        <w:spacing w:line="600" w:lineRule="exact"/>
        <w:ind w:left="0" w:firstLineChars="200" w:firstLine="602"/>
        <w:rPr>
          <w:rFonts w:ascii="仿宋_GB2312" w:eastAsia="仿宋_GB2312" w:hAnsi="宋体" w:hint="eastAsia"/>
          <w:b/>
          <w:color w:val="000000"/>
          <w:sz w:val="30"/>
          <w:szCs w:val="30"/>
        </w:rPr>
      </w:pPr>
      <w:r>
        <w:rPr>
          <w:rFonts w:ascii="仿宋_GB2312" w:eastAsia="仿宋_GB2312" w:hAnsi="宋体" w:hint="eastAsia"/>
          <w:b/>
          <w:color w:val="000000"/>
          <w:sz w:val="30"/>
          <w:szCs w:val="30"/>
        </w:rPr>
        <w:t>报备文件</w:t>
      </w:r>
    </w:p>
    <w:p w14:paraId="24CF9CF8" w14:textId="77777777" w:rsidR="00F94F8C" w:rsidRDefault="00000000">
      <w:pPr>
        <w:adjustRightInd w:val="0"/>
        <w:snapToGrid w:val="0"/>
        <w:spacing w:line="600" w:lineRule="exact"/>
        <w:ind w:firstLineChars="200" w:firstLine="600"/>
        <w:rPr>
          <w:rFonts w:ascii="仿宋_GB2312" w:eastAsia="仿宋_GB2312" w:hAnsi="宋体" w:hint="eastAsia"/>
          <w:color w:val="000000"/>
          <w:sz w:val="30"/>
          <w:szCs w:val="30"/>
        </w:rPr>
      </w:pPr>
      <w:r>
        <w:rPr>
          <w:rFonts w:ascii="仿宋_GB2312" w:eastAsia="仿宋_GB2312" w:hAnsi="宋体" w:hint="eastAsia"/>
          <w:color w:val="000000"/>
          <w:sz w:val="30"/>
          <w:szCs w:val="30"/>
        </w:rPr>
        <w:t>（一）经与会董事签字确认的董事会决议；</w:t>
      </w:r>
    </w:p>
    <w:p w14:paraId="361F2126" w14:textId="23C4EC1A" w:rsidR="00F94F8C" w:rsidRPr="0042447E" w:rsidRDefault="00000000" w:rsidP="0042447E">
      <w:pPr>
        <w:widowControl/>
        <w:spacing w:line="560" w:lineRule="exact"/>
        <w:ind w:firstLineChars="200" w:firstLine="600"/>
        <w:rPr>
          <w:rFonts w:ascii="仿宋_GB2312" w:eastAsia="仿宋_GB2312" w:hAnsi="宋体" w:hint="eastAsia"/>
          <w:color w:val="000000"/>
          <w:sz w:val="30"/>
          <w:szCs w:val="30"/>
        </w:rPr>
      </w:pPr>
      <w:r>
        <w:rPr>
          <w:rFonts w:ascii="仿宋_GB2312" w:eastAsia="仿宋_GB2312" w:hAnsi="Arial" w:cs="Arial" w:hint="eastAsia"/>
          <w:color w:val="000000"/>
          <w:kern w:val="0"/>
          <w:sz w:val="30"/>
          <w:szCs w:val="30"/>
        </w:rPr>
        <w:t>（二）</w:t>
      </w:r>
      <w:r>
        <w:rPr>
          <w:rFonts w:ascii="Times New Roman" w:eastAsia="仿宋_GB2312" w:hAnsi="Times New Roman" w:cs="仿宋_GB2312" w:hint="eastAsia"/>
          <w:sz w:val="30"/>
          <w:szCs w:val="30"/>
        </w:rPr>
        <w:t>薪酬与考核委员会书面核查意见</w:t>
      </w:r>
      <w:r>
        <w:rPr>
          <w:rFonts w:ascii="仿宋_GB2312" w:eastAsia="仿宋_GB2312" w:hAnsi="Arial" w:cs="Arial" w:hint="eastAsia"/>
          <w:color w:val="000000"/>
          <w:kern w:val="0"/>
          <w:sz w:val="30"/>
          <w:szCs w:val="30"/>
        </w:rPr>
        <w:t>。</w:t>
      </w:r>
    </w:p>
    <w:sectPr w:rsidR="00F94F8C" w:rsidRPr="0042447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52428" w14:textId="77777777" w:rsidR="00463076" w:rsidRDefault="00463076" w:rsidP="00336244">
      <w:r>
        <w:separator/>
      </w:r>
    </w:p>
  </w:endnote>
  <w:endnote w:type="continuationSeparator" w:id="0">
    <w:p w14:paraId="6F6C49AA" w14:textId="77777777" w:rsidR="00463076" w:rsidRDefault="00463076" w:rsidP="00336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宋体,Bold">
    <w:altName w:val="宋体"/>
    <w:charset w:val="86"/>
    <w:family w:val="auto"/>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199DD" w14:textId="77777777" w:rsidR="00463076" w:rsidRDefault="00463076" w:rsidP="00336244">
      <w:r>
        <w:separator/>
      </w:r>
    </w:p>
  </w:footnote>
  <w:footnote w:type="continuationSeparator" w:id="0">
    <w:p w14:paraId="4252BD77" w14:textId="77777777" w:rsidR="00463076" w:rsidRDefault="00463076" w:rsidP="003362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67F30"/>
    <w:multiLevelType w:val="multilevel"/>
    <w:tmpl w:val="0AC67F30"/>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15B871D8"/>
    <w:multiLevelType w:val="multilevel"/>
    <w:tmpl w:val="15B871D8"/>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27023DEC"/>
    <w:multiLevelType w:val="multilevel"/>
    <w:tmpl w:val="27023DEC"/>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2939233B"/>
    <w:multiLevelType w:val="multilevel"/>
    <w:tmpl w:val="2939233B"/>
    <w:lvl w:ilvl="0">
      <w:start w:val="1"/>
      <w:numFmt w:val="bullet"/>
      <w:lvlText w:val=""/>
      <w:lvlJc w:val="left"/>
      <w:pPr>
        <w:ind w:left="0" w:hanging="480"/>
      </w:pPr>
      <w:rPr>
        <w:rFonts w:ascii="Wingdings" w:hAnsi="Wingdings" w:hint="default"/>
      </w:rPr>
    </w:lvl>
    <w:lvl w:ilvl="1">
      <w:numFmt w:val="bullet"/>
      <w:lvlText w:val="●"/>
      <w:lvlJc w:val="left"/>
      <w:pPr>
        <w:ind w:left="420" w:hanging="480"/>
      </w:pPr>
      <w:rPr>
        <w:rFonts w:ascii="宋体" w:eastAsia="宋体" w:hAnsi="宋体" w:cs="Times New Roman" w:hint="eastAsia"/>
      </w:rPr>
    </w:lvl>
    <w:lvl w:ilvl="2">
      <w:start w:val="1"/>
      <w:numFmt w:val="bullet"/>
      <w:lvlText w:val=""/>
      <w:lvlJc w:val="left"/>
      <w:pPr>
        <w:ind w:left="780" w:hanging="420"/>
      </w:pPr>
      <w:rPr>
        <w:rFonts w:ascii="Wingdings" w:hAnsi="Wingdings" w:hint="default"/>
      </w:rPr>
    </w:lvl>
    <w:lvl w:ilvl="3">
      <w:start w:val="1"/>
      <w:numFmt w:val="bullet"/>
      <w:lvlText w:val=""/>
      <w:lvlJc w:val="left"/>
      <w:pPr>
        <w:ind w:left="1200" w:hanging="420"/>
      </w:pPr>
      <w:rPr>
        <w:rFonts w:ascii="Wingdings" w:hAnsi="Wingdings" w:hint="default"/>
      </w:rPr>
    </w:lvl>
    <w:lvl w:ilvl="4">
      <w:start w:val="1"/>
      <w:numFmt w:val="bullet"/>
      <w:lvlText w:val=""/>
      <w:lvlJc w:val="left"/>
      <w:pPr>
        <w:ind w:left="1620" w:hanging="420"/>
      </w:pPr>
      <w:rPr>
        <w:rFonts w:ascii="Wingdings" w:hAnsi="Wingdings" w:hint="default"/>
      </w:rPr>
    </w:lvl>
    <w:lvl w:ilvl="5">
      <w:start w:val="1"/>
      <w:numFmt w:val="bullet"/>
      <w:lvlText w:val=""/>
      <w:lvlJc w:val="left"/>
      <w:pPr>
        <w:ind w:left="2040" w:hanging="420"/>
      </w:pPr>
      <w:rPr>
        <w:rFonts w:ascii="Wingdings" w:hAnsi="Wingdings" w:hint="default"/>
      </w:rPr>
    </w:lvl>
    <w:lvl w:ilvl="6">
      <w:start w:val="1"/>
      <w:numFmt w:val="bullet"/>
      <w:lvlText w:val=""/>
      <w:lvlJc w:val="left"/>
      <w:pPr>
        <w:ind w:left="2460" w:hanging="420"/>
      </w:pPr>
      <w:rPr>
        <w:rFonts w:ascii="Wingdings" w:hAnsi="Wingdings" w:hint="default"/>
      </w:rPr>
    </w:lvl>
    <w:lvl w:ilvl="7">
      <w:start w:val="1"/>
      <w:numFmt w:val="bullet"/>
      <w:lvlText w:val=""/>
      <w:lvlJc w:val="left"/>
      <w:pPr>
        <w:ind w:left="2880" w:hanging="420"/>
      </w:pPr>
      <w:rPr>
        <w:rFonts w:ascii="Wingdings" w:hAnsi="Wingdings" w:hint="default"/>
      </w:rPr>
    </w:lvl>
    <w:lvl w:ilvl="8">
      <w:start w:val="1"/>
      <w:numFmt w:val="bullet"/>
      <w:lvlText w:val=""/>
      <w:lvlJc w:val="left"/>
      <w:pPr>
        <w:ind w:left="3300" w:hanging="420"/>
      </w:pPr>
      <w:rPr>
        <w:rFonts w:ascii="Wingdings" w:hAnsi="Wingdings" w:hint="default"/>
      </w:rPr>
    </w:lvl>
  </w:abstractNum>
  <w:abstractNum w:abstractNumId="4" w15:restartNumberingAfterBreak="0">
    <w:nsid w:val="3B4A4061"/>
    <w:multiLevelType w:val="multilevel"/>
    <w:tmpl w:val="3B4A4061"/>
    <w:lvl w:ilvl="0">
      <w:start w:val="1"/>
      <w:numFmt w:val="bullet"/>
      <w:lvlText w:val=""/>
      <w:lvlJc w:val="left"/>
      <w:pPr>
        <w:ind w:left="1020" w:hanging="420"/>
      </w:pPr>
      <w:rPr>
        <w:rFonts w:ascii="Wingdings" w:hAnsi="Wingdings" w:hint="default"/>
      </w:rPr>
    </w:lvl>
    <w:lvl w:ilvl="1">
      <w:start w:val="1"/>
      <w:numFmt w:val="bullet"/>
      <w:lvlText w:val=""/>
      <w:lvlJc w:val="left"/>
      <w:pPr>
        <w:ind w:left="1440" w:hanging="420"/>
      </w:pPr>
      <w:rPr>
        <w:rFonts w:ascii="Wingdings" w:hAnsi="Wingdings" w:hint="default"/>
      </w:rPr>
    </w:lvl>
    <w:lvl w:ilvl="2">
      <w:start w:val="1"/>
      <w:numFmt w:val="bullet"/>
      <w:lvlText w:val=""/>
      <w:lvlJc w:val="left"/>
      <w:pPr>
        <w:ind w:left="1860" w:hanging="420"/>
      </w:pPr>
      <w:rPr>
        <w:rFonts w:ascii="Wingdings" w:hAnsi="Wingdings" w:hint="default"/>
      </w:rPr>
    </w:lvl>
    <w:lvl w:ilvl="3">
      <w:start w:val="1"/>
      <w:numFmt w:val="bullet"/>
      <w:lvlText w:val=""/>
      <w:lvlJc w:val="left"/>
      <w:pPr>
        <w:ind w:left="2280" w:hanging="420"/>
      </w:pPr>
      <w:rPr>
        <w:rFonts w:ascii="Wingdings" w:hAnsi="Wingdings" w:hint="default"/>
      </w:rPr>
    </w:lvl>
    <w:lvl w:ilvl="4">
      <w:start w:val="1"/>
      <w:numFmt w:val="bullet"/>
      <w:lvlText w:val=""/>
      <w:lvlJc w:val="left"/>
      <w:pPr>
        <w:ind w:left="2700" w:hanging="420"/>
      </w:pPr>
      <w:rPr>
        <w:rFonts w:ascii="Wingdings" w:hAnsi="Wingdings" w:hint="default"/>
      </w:rPr>
    </w:lvl>
    <w:lvl w:ilvl="5">
      <w:start w:val="1"/>
      <w:numFmt w:val="bullet"/>
      <w:lvlText w:val=""/>
      <w:lvlJc w:val="left"/>
      <w:pPr>
        <w:ind w:left="3120" w:hanging="420"/>
      </w:pPr>
      <w:rPr>
        <w:rFonts w:ascii="Wingdings" w:hAnsi="Wingdings" w:hint="default"/>
      </w:rPr>
    </w:lvl>
    <w:lvl w:ilvl="6">
      <w:start w:val="1"/>
      <w:numFmt w:val="bullet"/>
      <w:lvlText w:val=""/>
      <w:lvlJc w:val="left"/>
      <w:pPr>
        <w:ind w:left="3540" w:hanging="420"/>
      </w:pPr>
      <w:rPr>
        <w:rFonts w:ascii="Wingdings" w:hAnsi="Wingdings" w:hint="default"/>
      </w:rPr>
    </w:lvl>
    <w:lvl w:ilvl="7">
      <w:start w:val="1"/>
      <w:numFmt w:val="bullet"/>
      <w:lvlText w:val=""/>
      <w:lvlJc w:val="left"/>
      <w:pPr>
        <w:ind w:left="3960" w:hanging="420"/>
      </w:pPr>
      <w:rPr>
        <w:rFonts w:ascii="Wingdings" w:hAnsi="Wingdings" w:hint="default"/>
      </w:rPr>
    </w:lvl>
    <w:lvl w:ilvl="8">
      <w:start w:val="1"/>
      <w:numFmt w:val="bullet"/>
      <w:lvlText w:val=""/>
      <w:lvlJc w:val="left"/>
      <w:pPr>
        <w:ind w:left="4380" w:hanging="420"/>
      </w:pPr>
      <w:rPr>
        <w:rFonts w:ascii="Wingdings" w:hAnsi="Wingdings" w:hint="default"/>
      </w:rPr>
    </w:lvl>
  </w:abstractNum>
  <w:abstractNum w:abstractNumId="5" w15:restartNumberingAfterBreak="0">
    <w:nsid w:val="44A07233"/>
    <w:multiLevelType w:val="multilevel"/>
    <w:tmpl w:val="44A07233"/>
    <w:lvl w:ilvl="0">
      <w:start w:val="1"/>
      <w:numFmt w:val="bullet"/>
      <w:lvlText w:val=""/>
      <w:lvlJc w:val="left"/>
      <w:pPr>
        <w:ind w:left="1022" w:hanging="420"/>
      </w:pPr>
      <w:rPr>
        <w:rFonts w:ascii="Wingdings" w:hAnsi="Wingdings" w:hint="default"/>
      </w:rPr>
    </w:lvl>
    <w:lvl w:ilvl="1">
      <w:start w:val="1"/>
      <w:numFmt w:val="bullet"/>
      <w:lvlText w:val=""/>
      <w:lvlJc w:val="left"/>
      <w:pPr>
        <w:ind w:left="1442" w:hanging="420"/>
      </w:pPr>
      <w:rPr>
        <w:rFonts w:ascii="Wingdings" w:hAnsi="Wingdings" w:hint="default"/>
      </w:rPr>
    </w:lvl>
    <w:lvl w:ilvl="2">
      <w:start w:val="1"/>
      <w:numFmt w:val="bullet"/>
      <w:lvlText w:val=""/>
      <w:lvlJc w:val="left"/>
      <w:pPr>
        <w:ind w:left="1862" w:hanging="420"/>
      </w:pPr>
      <w:rPr>
        <w:rFonts w:ascii="Wingdings" w:hAnsi="Wingdings" w:hint="default"/>
      </w:rPr>
    </w:lvl>
    <w:lvl w:ilvl="3">
      <w:start w:val="1"/>
      <w:numFmt w:val="bullet"/>
      <w:lvlText w:val=""/>
      <w:lvlJc w:val="left"/>
      <w:pPr>
        <w:ind w:left="2282" w:hanging="420"/>
      </w:pPr>
      <w:rPr>
        <w:rFonts w:ascii="Wingdings" w:hAnsi="Wingdings" w:hint="default"/>
      </w:rPr>
    </w:lvl>
    <w:lvl w:ilvl="4">
      <w:start w:val="1"/>
      <w:numFmt w:val="bullet"/>
      <w:lvlText w:val=""/>
      <w:lvlJc w:val="left"/>
      <w:pPr>
        <w:ind w:left="2702" w:hanging="420"/>
      </w:pPr>
      <w:rPr>
        <w:rFonts w:ascii="Wingdings" w:hAnsi="Wingdings" w:hint="default"/>
      </w:rPr>
    </w:lvl>
    <w:lvl w:ilvl="5">
      <w:start w:val="1"/>
      <w:numFmt w:val="bullet"/>
      <w:lvlText w:val=""/>
      <w:lvlJc w:val="left"/>
      <w:pPr>
        <w:ind w:left="3122" w:hanging="420"/>
      </w:pPr>
      <w:rPr>
        <w:rFonts w:ascii="Wingdings" w:hAnsi="Wingdings" w:hint="default"/>
      </w:rPr>
    </w:lvl>
    <w:lvl w:ilvl="6">
      <w:start w:val="1"/>
      <w:numFmt w:val="bullet"/>
      <w:lvlText w:val=""/>
      <w:lvlJc w:val="left"/>
      <w:pPr>
        <w:ind w:left="3542" w:hanging="420"/>
      </w:pPr>
      <w:rPr>
        <w:rFonts w:ascii="Wingdings" w:hAnsi="Wingdings" w:hint="default"/>
      </w:rPr>
    </w:lvl>
    <w:lvl w:ilvl="7">
      <w:start w:val="1"/>
      <w:numFmt w:val="bullet"/>
      <w:lvlText w:val=""/>
      <w:lvlJc w:val="left"/>
      <w:pPr>
        <w:ind w:left="3962" w:hanging="420"/>
      </w:pPr>
      <w:rPr>
        <w:rFonts w:ascii="Wingdings" w:hAnsi="Wingdings" w:hint="default"/>
      </w:rPr>
    </w:lvl>
    <w:lvl w:ilvl="8">
      <w:start w:val="1"/>
      <w:numFmt w:val="bullet"/>
      <w:lvlText w:val=""/>
      <w:lvlJc w:val="left"/>
      <w:pPr>
        <w:ind w:left="4382" w:hanging="420"/>
      </w:pPr>
      <w:rPr>
        <w:rFonts w:ascii="Wingdings" w:hAnsi="Wingdings" w:hint="default"/>
      </w:rPr>
    </w:lvl>
  </w:abstractNum>
  <w:abstractNum w:abstractNumId="6" w15:restartNumberingAfterBreak="0">
    <w:nsid w:val="55E87B0B"/>
    <w:multiLevelType w:val="multilevel"/>
    <w:tmpl w:val="55E87B0B"/>
    <w:lvl w:ilvl="0">
      <w:start w:val="1"/>
      <w:numFmt w:val="bullet"/>
      <w:lvlText w:val=""/>
      <w:lvlJc w:val="left"/>
      <w:pPr>
        <w:ind w:left="1020" w:hanging="420"/>
      </w:pPr>
      <w:rPr>
        <w:rFonts w:ascii="Wingdings" w:hAnsi="Wingdings" w:hint="default"/>
      </w:rPr>
    </w:lvl>
    <w:lvl w:ilvl="1">
      <w:start w:val="1"/>
      <w:numFmt w:val="bullet"/>
      <w:lvlText w:val=""/>
      <w:lvlJc w:val="left"/>
      <w:pPr>
        <w:ind w:left="1440" w:hanging="420"/>
      </w:pPr>
      <w:rPr>
        <w:rFonts w:ascii="Wingdings" w:hAnsi="Wingdings" w:hint="default"/>
      </w:rPr>
    </w:lvl>
    <w:lvl w:ilvl="2">
      <w:start w:val="1"/>
      <w:numFmt w:val="bullet"/>
      <w:lvlText w:val=""/>
      <w:lvlJc w:val="left"/>
      <w:pPr>
        <w:ind w:left="1860" w:hanging="420"/>
      </w:pPr>
      <w:rPr>
        <w:rFonts w:ascii="Wingdings" w:hAnsi="Wingdings" w:hint="default"/>
      </w:rPr>
    </w:lvl>
    <w:lvl w:ilvl="3">
      <w:start w:val="1"/>
      <w:numFmt w:val="bullet"/>
      <w:lvlText w:val=""/>
      <w:lvlJc w:val="left"/>
      <w:pPr>
        <w:ind w:left="2280" w:hanging="420"/>
      </w:pPr>
      <w:rPr>
        <w:rFonts w:ascii="Wingdings" w:hAnsi="Wingdings" w:hint="default"/>
      </w:rPr>
    </w:lvl>
    <w:lvl w:ilvl="4">
      <w:start w:val="1"/>
      <w:numFmt w:val="bullet"/>
      <w:lvlText w:val=""/>
      <w:lvlJc w:val="left"/>
      <w:pPr>
        <w:ind w:left="2700" w:hanging="420"/>
      </w:pPr>
      <w:rPr>
        <w:rFonts w:ascii="Wingdings" w:hAnsi="Wingdings" w:hint="default"/>
      </w:rPr>
    </w:lvl>
    <w:lvl w:ilvl="5">
      <w:start w:val="1"/>
      <w:numFmt w:val="bullet"/>
      <w:lvlText w:val=""/>
      <w:lvlJc w:val="left"/>
      <w:pPr>
        <w:ind w:left="3120" w:hanging="420"/>
      </w:pPr>
      <w:rPr>
        <w:rFonts w:ascii="Wingdings" w:hAnsi="Wingdings" w:hint="default"/>
      </w:rPr>
    </w:lvl>
    <w:lvl w:ilvl="6">
      <w:start w:val="1"/>
      <w:numFmt w:val="bullet"/>
      <w:lvlText w:val=""/>
      <w:lvlJc w:val="left"/>
      <w:pPr>
        <w:ind w:left="3540" w:hanging="420"/>
      </w:pPr>
      <w:rPr>
        <w:rFonts w:ascii="Wingdings" w:hAnsi="Wingdings" w:hint="default"/>
      </w:rPr>
    </w:lvl>
    <w:lvl w:ilvl="7">
      <w:start w:val="1"/>
      <w:numFmt w:val="bullet"/>
      <w:lvlText w:val=""/>
      <w:lvlJc w:val="left"/>
      <w:pPr>
        <w:ind w:left="3960" w:hanging="420"/>
      </w:pPr>
      <w:rPr>
        <w:rFonts w:ascii="Wingdings" w:hAnsi="Wingdings" w:hint="default"/>
      </w:rPr>
    </w:lvl>
    <w:lvl w:ilvl="8">
      <w:start w:val="1"/>
      <w:numFmt w:val="bullet"/>
      <w:lvlText w:val=""/>
      <w:lvlJc w:val="left"/>
      <w:pPr>
        <w:ind w:left="4380" w:hanging="420"/>
      </w:pPr>
      <w:rPr>
        <w:rFonts w:ascii="Wingdings" w:hAnsi="Wingdings" w:hint="default"/>
      </w:rPr>
    </w:lvl>
  </w:abstractNum>
  <w:abstractNum w:abstractNumId="7" w15:restartNumberingAfterBreak="0">
    <w:nsid w:val="5D2478A0"/>
    <w:multiLevelType w:val="multilevel"/>
    <w:tmpl w:val="5D2478A0"/>
    <w:lvl w:ilvl="0">
      <w:start w:val="1"/>
      <w:numFmt w:val="bullet"/>
      <w:lvlText w:val=""/>
      <w:lvlJc w:val="left"/>
      <w:pPr>
        <w:tabs>
          <w:tab w:val="left" w:pos="900"/>
        </w:tabs>
        <w:ind w:left="900" w:hanging="420"/>
      </w:pPr>
      <w:rPr>
        <w:rFonts w:ascii="Wingdings" w:hAnsi="Wingdings" w:hint="default"/>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8" w15:restartNumberingAfterBreak="0">
    <w:nsid w:val="684148F5"/>
    <w:multiLevelType w:val="multilevel"/>
    <w:tmpl w:val="684148F5"/>
    <w:lvl w:ilvl="0">
      <w:start w:val="1"/>
      <w:numFmt w:val="bullet"/>
      <w:lvlText w:val=""/>
      <w:lvlJc w:val="left"/>
      <w:pPr>
        <w:tabs>
          <w:tab w:val="left" w:pos="900"/>
        </w:tabs>
        <w:ind w:left="900" w:hanging="420"/>
      </w:pPr>
      <w:rPr>
        <w:rFonts w:ascii="Wingdings" w:hAnsi="Wingdings" w:hint="default"/>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9" w15:restartNumberingAfterBreak="0">
    <w:nsid w:val="70275A66"/>
    <w:multiLevelType w:val="multilevel"/>
    <w:tmpl w:val="70275A6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79DC44E1"/>
    <w:multiLevelType w:val="multilevel"/>
    <w:tmpl w:val="79DC44E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7D3C42D0"/>
    <w:multiLevelType w:val="multilevel"/>
    <w:tmpl w:val="7D3C42D0"/>
    <w:lvl w:ilvl="0">
      <w:start w:val="1"/>
      <w:numFmt w:val="bullet"/>
      <w:lvlText w:val=""/>
      <w:lvlJc w:val="left"/>
      <w:pPr>
        <w:ind w:left="1020" w:hanging="420"/>
      </w:pPr>
      <w:rPr>
        <w:rFonts w:ascii="Wingdings" w:hAnsi="Wingdings" w:hint="default"/>
      </w:rPr>
    </w:lvl>
    <w:lvl w:ilvl="1">
      <w:start w:val="1"/>
      <w:numFmt w:val="bullet"/>
      <w:lvlText w:val=""/>
      <w:lvlJc w:val="left"/>
      <w:pPr>
        <w:ind w:left="1440" w:hanging="420"/>
      </w:pPr>
      <w:rPr>
        <w:rFonts w:ascii="Wingdings" w:hAnsi="Wingdings" w:hint="default"/>
      </w:rPr>
    </w:lvl>
    <w:lvl w:ilvl="2">
      <w:start w:val="1"/>
      <w:numFmt w:val="bullet"/>
      <w:lvlText w:val=""/>
      <w:lvlJc w:val="left"/>
      <w:pPr>
        <w:ind w:left="1860" w:hanging="420"/>
      </w:pPr>
      <w:rPr>
        <w:rFonts w:ascii="Wingdings" w:hAnsi="Wingdings" w:hint="default"/>
      </w:rPr>
    </w:lvl>
    <w:lvl w:ilvl="3">
      <w:start w:val="1"/>
      <w:numFmt w:val="bullet"/>
      <w:lvlText w:val=""/>
      <w:lvlJc w:val="left"/>
      <w:pPr>
        <w:ind w:left="2280" w:hanging="420"/>
      </w:pPr>
      <w:rPr>
        <w:rFonts w:ascii="Wingdings" w:hAnsi="Wingdings" w:hint="default"/>
      </w:rPr>
    </w:lvl>
    <w:lvl w:ilvl="4">
      <w:start w:val="1"/>
      <w:numFmt w:val="bullet"/>
      <w:lvlText w:val=""/>
      <w:lvlJc w:val="left"/>
      <w:pPr>
        <w:ind w:left="2700" w:hanging="420"/>
      </w:pPr>
      <w:rPr>
        <w:rFonts w:ascii="Wingdings" w:hAnsi="Wingdings" w:hint="default"/>
      </w:rPr>
    </w:lvl>
    <w:lvl w:ilvl="5">
      <w:start w:val="1"/>
      <w:numFmt w:val="bullet"/>
      <w:lvlText w:val=""/>
      <w:lvlJc w:val="left"/>
      <w:pPr>
        <w:ind w:left="3120" w:hanging="420"/>
      </w:pPr>
      <w:rPr>
        <w:rFonts w:ascii="Wingdings" w:hAnsi="Wingdings" w:hint="default"/>
      </w:rPr>
    </w:lvl>
    <w:lvl w:ilvl="6">
      <w:start w:val="1"/>
      <w:numFmt w:val="bullet"/>
      <w:lvlText w:val=""/>
      <w:lvlJc w:val="left"/>
      <w:pPr>
        <w:ind w:left="3540" w:hanging="420"/>
      </w:pPr>
      <w:rPr>
        <w:rFonts w:ascii="Wingdings" w:hAnsi="Wingdings" w:hint="default"/>
      </w:rPr>
    </w:lvl>
    <w:lvl w:ilvl="7">
      <w:start w:val="1"/>
      <w:numFmt w:val="bullet"/>
      <w:lvlText w:val=""/>
      <w:lvlJc w:val="left"/>
      <w:pPr>
        <w:ind w:left="3960" w:hanging="420"/>
      </w:pPr>
      <w:rPr>
        <w:rFonts w:ascii="Wingdings" w:hAnsi="Wingdings" w:hint="default"/>
      </w:rPr>
    </w:lvl>
    <w:lvl w:ilvl="8">
      <w:start w:val="1"/>
      <w:numFmt w:val="bullet"/>
      <w:lvlText w:val=""/>
      <w:lvlJc w:val="left"/>
      <w:pPr>
        <w:ind w:left="4380" w:hanging="420"/>
      </w:pPr>
      <w:rPr>
        <w:rFonts w:ascii="Wingdings" w:hAnsi="Wingdings" w:hint="default"/>
      </w:rPr>
    </w:lvl>
  </w:abstractNum>
  <w:num w:numId="1" w16cid:durableId="996152130">
    <w:abstractNumId w:val="7"/>
  </w:num>
  <w:num w:numId="2" w16cid:durableId="556936004">
    <w:abstractNumId w:val="8"/>
  </w:num>
  <w:num w:numId="3" w16cid:durableId="1823306410">
    <w:abstractNumId w:val="10"/>
  </w:num>
  <w:num w:numId="4" w16cid:durableId="1145779196">
    <w:abstractNumId w:val="4"/>
  </w:num>
  <w:num w:numId="5" w16cid:durableId="1139031496">
    <w:abstractNumId w:val="9"/>
  </w:num>
  <w:num w:numId="6" w16cid:durableId="1291326858">
    <w:abstractNumId w:val="1"/>
  </w:num>
  <w:num w:numId="7" w16cid:durableId="919632843">
    <w:abstractNumId w:val="0"/>
  </w:num>
  <w:num w:numId="8" w16cid:durableId="1039668302">
    <w:abstractNumId w:val="6"/>
  </w:num>
  <w:num w:numId="9" w16cid:durableId="162669135">
    <w:abstractNumId w:val="2"/>
  </w:num>
  <w:num w:numId="10" w16cid:durableId="1874003302">
    <w:abstractNumId w:val="11"/>
  </w:num>
  <w:num w:numId="11" w16cid:durableId="252784940">
    <w:abstractNumId w:val="5"/>
  </w:num>
  <w:num w:numId="12" w16cid:durableId="12169396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3343399"/>
    <w:rsid w:val="000B16B0"/>
    <w:rsid w:val="00156493"/>
    <w:rsid w:val="001A30B0"/>
    <w:rsid w:val="00336244"/>
    <w:rsid w:val="00400D80"/>
    <w:rsid w:val="0042447E"/>
    <w:rsid w:val="00463076"/>
    <w:rsid w:val="00566281"/>
    <w:rsid w:val="005A3581"/>
    <w:rsid w:val="005C706D"/>
    <w:rsid w:val="007721D3"/>
    <w:rsid w:val="00785049"/>
    <w:rsid w:val="00917525"/>
    <w:rsid w:val="00992C04"/>
    <w:rsid w:val="009C3C9B"/>
    <w:rsid w:val="00A46C4F"/>
    <w:rsid w:val="00BC6C41"/>
    <w:rsid w:val="00D27629"/>
    <w:rsid w:val="00DD4DA9"/>
    <w:rsid w:val="00F25704"/>
    <w:rsid w:val="00F94F8C"/>
    <w:rsid w:val="00FA312D"/>
    <w:rsid w:val="02E226C9"/>
    <w:rsid w:val="36AF4603"/>
    <w:rsid w:val="38DE31DB"/>
    <w:rsid w:val="3FD71BE2"/>
    <w:rsid w:val="505828CE"/>
    <w:rsid w:val="513E52AA"/>
    <w:rsid w:val="58234401"/>
    <w:rsid w:val="58E35C71"/>
    <w:rsid w:val="599A6232"/>
    <w:rsid w:val="63343399"/>
    <w:rsid w:val="63825CDF"/>
    <w:rsid w:val="6A61676C"/>
    <w:rsid w:val="6D060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A46783"/>
  <w15:docId w15:val="{C1BAA9E5-19E3-4C94-A069-75AEDFF93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alutation" w:uiPriority="99"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uiPriority w:val="99"/>
    <w:qFormat/>
    <w:rPr>
      <w:rFonts w:ascii="Times New Roman" w:eastAsia="宋体" w:hAnsi="Times New Roman" w:cs="Times New Roman"/>
      <w:szCs w:val="21"/>
    </w:rPr>
  </w:style>
  <w:style w:type="paragraph" w:styleId="a4">
    <w:name w:val="footer"/>
    <w:basedOn w:val="a"/>
    <w:uiPriority w:val="99"/>
    <w:qFormat/>
    <w:pPr>
      <w:tabs>
        <w:tab w:val="center" w:pos="4153"/>
        <w:tab w:val="right" w:pos="8306"/>
      </w:tabs>
      <w:snapToGrid w:val="0"/>
      <w:jc w:val="left"/>
    </w:pPr>
    <w:rPr>
      <w:sz w:val="18"/>
    </w:rPr>
  </w:style>
  <w:style w:type="paragraph" w:styleId="a5">
    <w:name w:val="header"/>
    <w:basedOn w:val="a"/>
    <w:link w:val="a6"/>
    <w:qFormat/>
    <w:pPr>
      <w:tabs>
        <w:tab w:val="center" w:pos="4153"/>
        <w:tab w:val="right" w:pos="8306"/>
      </w:tabs>
      <w:snapToGrid w:val="0"/>
      <w:jc w:val="center"/>
    </w:pPr>
    <w:rPr>
      <w:sz w:val="18"/>
      <w:szCs w:val="18"/>
    </w:rPr>
  </w:style>
  <w:style w:type="paragraph" w:styleId="a7">
    <w:name w:val="Normal (Web)"/>
    <w:basedOn w:val="a"/>
    <w:qFormat/>
    <w:pPr>
      <w:spacing w:beforeAutospacing="1" w:afterAutospacing="1"/>
      <w:jc w:val="left"/>
    </w:pPr>
    <w:rPr>
      <w:rFonts w:cs="Times New Roman"/>
      <w:kern w:val="0"/>
      <w:sz w:val="24"/>
    </w:rPr>
  </w:style>
  <w:style w:type="paragraph" w:styleId="a8">
    <w:name w:val="Title"/>
    <w:basedOn w:val="a"/>
    <w:next w:val="a"/>
    <w:qFormat/>
    <w:pPr>
      <w:spacing w:before="240" w:after="60"/>
      <w:jc w:val="center"/>
      <w:outlineLvl w:val="0"/>
    </w:pPr>
    <w:rPr>
      <w:rFonts w:ascii="Cambria" w:hAnsi="Cambria"/>
      <w:b/>
      <w:bCs/>
      <w:sz w:val="32"/>
      <w:szCs w:val="32"/>
    </w:rPr>
  </w:style>
  <w:style w:type="table" w:styleId="a9">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a">
    <w:name w:val="Strong"/>
    <w:basedOn w:val="a0"/>
    <w:qFormat/>
    <w:rPr>
      <w:b/>
    </w:rPr>
  </w:style>
  <w:style w:type="character" w:styleId="ab">
    <w:name w:val="Hyperlink"/>
    <w:basedOn w:val="a0"/>
    <w:uiPriority w:val="99"/>
    <w:unhideWhenUsed/>
    <w:qFormat/>
    <w:rPr>
      <w:color w:val="0563C1" w:themeColor="hyperlink"/>
      <w:u w:val="single"/>
    </w:rPr>
  </w:style>
  <w:style w:type="paragraph" w:customStyle="1" w:styleId="p0">
    <w:name w:val="p0"/>
    <w:basedOn w:val="a"/>
    <w:qFormat/>
    <w:pPr>
      <w:widowControl/>
    </w:pPr>
    <w:rPr>
      <w:rFonts w:ascii="Book Antiqua" w:hAnsi="Book Antiqua" w:cs="宋体"/>
      <w:kern w:val="0"/>
      <w:sz w:val="24"/>
    </w:rPr>
  </w:style>
  <w:style w:type="paragraph" w:customStyle="1" w:styleId="10">
    <w:name w:val="列出段落1"/>
    <w:basedOn w:val="a"/>
    <w:uiPriority w:val="34"/>
    <w:qFormat/>
    <w:pPr>
      <w:ind w:firstLineChars="200" w:firstLine="420"/>
    </w:pPr>
    <w:rPr>
      <w:rFonts w:ascii="Calibri" w:eastAsia="宋体" w:hAnsi="Calibri" w:cs="Times New Roman"/>
    </w:rPr>
  </w:style>
  <w:style w:type="paragraph" w:customStyle="1" w:styleId="11">
    <w:name w:val="修订1"/>
    <w:hidden/>
    <w:uiPriority w:val="99"/>
    <w:unhideWhenUsed/>
    <w:qFormat/>
    <w:rPr>
      <w:rFonts w:asciiTheme="minorHAnsi" w:eastAsiaTheme="minorEastAsia" w:hAnsiTheme="minorHAnsi" w:cstheme="minorBidi"/>
      <w:kern w:val="2"/>
      <w:sz w:val="21"/>
      <w:szCs w:val="24"/>
    </w:rPr>
  </w:style>
  <w:style w:type="character" w:customStyle="1" w:styleId="a6">
    <w:name w:val="页眉 字符"/>
    <w:basedOn w:val="a0"/>
    <w:link w:val="a5"/>
    <w:qFormat/>
    <w:rPr>
      <w:rFonts w:asciiTheme="minorHAnsi" w:eastAsiaTheme="minorEastAsia" w:hAnsiTheme="minorHAnsi" w:cstheme="minorBidi"/>
      <w:kern w:val="2"/>
      <w:sz w:val="18"/>
      <w:szCs w:val="18"/>
    </w:rPr>
  </w:style>
  <w:style w:type="paragraph" w:styleId="ac">
    <w:name w:val="Revision"/>
    <w:hidden/>
    <w:uiPriority w:val="99"/>
    <w:unhideWhenUsed/>
    <w:rsid w:val="00336244"/>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793</Words>
  <Characters>794</Characters>
  <Application>Microsoft Office Word</Application>
  <DocSecurity>0</DocSecurity>
  <Lines>99</Lines>
  <Paragraphs>68</Paragraphs>
  <ScaleCrop>false</ScaleCrop>
  <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ylteng</dc:creator>
  <cp:lastModifiedBy>潘子路</cp:lastModifiedBy>
  <cp:revision>3</cp:revision>
  <dcterms:created xsi:type="dcterms:W3CDTF">2025-04-02T01:48:00Z</dcterms:created>
  <dcterms:modified xsi:type="dcterms:W3CDTF">2025-04-02T02:07:00Z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E172A3B1A821460D9F919638DE0CB3B7</vt:lpwstr>
  </property>
</Properties>
</file>