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68468">
      <w:pPr>
        <w:widowControl/>
        <w:jc w:val="center"/>
        <w:outlineLvl w:val="0"/>
        <w:rPr>
          <w:rFonts w:ascii="黑体" w:hAnsi="黑体" w:eastAsia="黑体"/>
          <w:b/>
          <w:bCs/>
          <w:kern w:val="44"/>
          <w:sz w:val="36"/>
          <w:szCs w:val="32"/>
        </w:rPr>
      </w:pPr>
      <w:bookmarkStart w:id="0" w:name="_Toc18463"/>
      <w:r>
        <w:rPr>
          <w:rFonts w:hint="eastAsia" w:ascii="黑体" w:hAnsi="黑体" w:eastAsia="黑体"/>
          <w:b/>
          <w:bCs/>
          <w:kern w:val="44"/>
          <w:sz w:val="36"/>
          <w:szCs w:val="32"/>
        </w:rPr>
        <w:t>第三十号  科创板上</w:t>
      </w:r>
      <w:bookmarkStart w:id="1" w:name="_Toc3999"/>
      <w:bookmarkStart w:id="2" w:name="_Toc15475"/>
      <w:r>
        <w:rPr>
          <w:rFonts w:hint="eastAsia" w:ascii="黑体" w:hAnsi="黑体" w:eastAsia="黑体"/>
          <w:b/>
          <w:bCs/>
          <w:kern w:val="44"/>
          <w:sz w:val="36"/>
          <w:szCs w:val="32"/>
        </w:rPr>
        <w:t>市公司开展期货和衍生品交易公告</w:t>
      </w:r>
      <w:bookmarkEnd w:id="0"/>
      <w:bookmarkEnd w:id="1"/>
      <w:bookmarkEnd w:id="2"/>
    </w:p>
    <w:p w14:paraId="507CC62C">
      <w:pPr>
        <w:widowControl/>
        <w:jc w:val="center"/>
        <w:outlineLvl w:val="0"/>
        <w:rPr>
          <w:rFonts w:ascii="黑体" w:hAnsi="黑体" w:eastAsia="黑体"/>
          <w:b/>
          <w:bCs/>
          <w:kern w:val="44"/>
          <w:sz w:val="32"/>
          <w:szCs w:val="32"/>
        </w:rPr>
      </w:pPr>
    </w:p>
    <w:p w14:paraId="70341C3E">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4EC1656A">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rPr>
          <w:rFonts w:ascii="仿宋_GB2312" w:eastAsia="仿宋_GB2312"/>
          <w:color w:val="000000"/>
          <w:sz w:val="30"/>
          <w:szCs w:val="30"/>
        </w:rPr>
        <w:t>.科创板</w:t>
      </w:r>
      <w:r>
        <w:rPr>
          <w:rFonts w:hint="eastAsia" w:ascii="仿宋_GB2312" w:eastAsia="仿宋_GB2312"/>
          <w:color w:val="000000"/>
          <w:sz w:val="30"/>
          <w:szCs w:val="30"/>
        </w:rPr>
        <w:t>上市公司（以下简称上市公司）开展《上海证券交易所上市公司自律监管指引第5号——交易与关联交易》中规定的期货和衍生品交易的，适用本公告格式指引。</w:t>
      </w:r>
    </w:p>
    <w:p w14:paraId="3175D765">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t>.</w:t>
      </w:r>
      <w:r>
        <w:rPr>
          <w:rFonts w:hint="eastAsia" w:ascii="仿宋_GB2312" w:eastAsia="仿宋_GB2312"/>
          <w:color w:val="000000"/>
          <w:sz w:val="30"/>
          <w:szCs w:val="30"/>
        </w:rPr>
        <w:t>上市公司进行期货和</w:t>
      </w:r>
      <w:r>
        <w:rPr>
          <w:rFonts w:ascii="仿宋_GB2312" w:eastAsia="仿宋_GB2312"/>
          <w:color w:val="000000"/>
          <w:sz w:val="30"/>
          <w:szCs w:val="30"/>
        </w:rPr>
        <w:t>衍生品交易，发生</w:t>
      </w:r>
      <w:r>
        <w:rPr>
          <w:rFonts w:hint="eastAsia" w:ascii="仿宋_GB2312" w:eastAsia="仿宋_GB2312"/>
          <w:color w:val="000000"/>
          <w:sz w:val="30"/>
          <w:szCs w:val="30"/>
        </w:rPr>
        <w:t>本公告格式指引</w:t>
      </w:r>
      <w:r>
        <w:rPr>
          <w:rFonts w:ascii="仿宋_GB2312" w:eastAsia="仿宋_GB2312"/>
          <w:color w:val="000000"/>
          <w:sz w:val="30"/>
          <w:szCs w:val="30"/>
        </w:rPr>
        <w:t>规定的特定情形的，应</w:t>
      </w:r>
      <w:r>
        <w:rPr>
          <w:rFonts w:hint="eastAsia" w:ascii="仿宋_GB2312" w:eastAsia="仿宋_GB2312"/>
          <w:color w:val="000000"/>
          <w:sz w:val="30"/>
          <w:szCs w:val="30"/>
        </w:rPr>
        <w:t>当</w:t>
      </w:r>
      <w:r>
        <w:rPr>
          <w:rFonts w:ascii="仿宋_GB2312" w:eastAsia="仿宋_GB2312"/>
          <w:color w:val="000000"/>
          <w:sz w:val="30"/>
          <w:szCs w:val="30"/>
        </w:rPr>
        <w:t>及时披露相关进展情况和拟采取的应对措施。</w:t>
      </w:r>
    </w:p>
    <w:p w14:paraId="60ECBF24">
      <w:pPr>
        <w:spacing w:line="560" w:lineRule="exact"/>
        <w:ind w:firstLine="600" w:firstLineChars="200"/>
        <w:rPr>
          <w:rFonts w:ascii="仿宋_GB2312" w:hAnsi="宋体" w:eastAsia="仿宋_GB2312" w:cs="宋体"/>
          <w:sz w:val="30"/>
          <w:szCs w:val="30"/>
        </w:rPr>
      </w:pPr>
    </w:p>
    <w:p w14:paraId="57BA81DE">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5B32A3D2">
      <w:pPr>
        <w:adjustRightInd w:val="0"/>
        <w:snapToGrid w:val="0"/>
        <w:spacing w:line="560" w:lineRule="exact"/>
        <w:jc w:val="center"/>
        <w:rPr>
          <w:rFonts w:ascii="仿宋_GB2312" w:hAnsi="宋体" w:eastAsia="仿宋_GB2312"/>
          <w:color w:val="000000"/>
          <w:sz w:val="30"/>
          <w:szCs w:val="30"/>
        </w:rPr>
      </w:pPr>
    </w:p>
    <w:p w14:paraId="440200CD">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股份有限公司开展期货和</w:t>
      </w:r>
      <w:r>
        <w:rPr>
          <w:rFonts w:ascii="仿宋_GB2312" w:hAnsi="宋体" w:eastAsia="仿宋_GB2312"/>
          <w:color w:val="000000"/>
          <w:sz w:val="30"/>
          <w:szCs w:val="30"/>
        </w:rPr>
        <w:t>衍生品交易</w:t>
      </w:r>
      <w:r>
        <w:rPr>
          <w:rFonts w:hint="eastAsia" w:ascii="仿宋_GB2312" w:hAnsi="宋体" w:eastAsia="仿宋_GB2312" w:cs="黑体-WinCharSetFFFF-H"/>
          <w:kern w:val="0"/>
          <w:sz w:val="30"/>
          <w:szCs w:val="30"/>
        </w:rPr>
        <w:t>公告</w:t>
      </w:r>
    </w:p>
    <w:p w14:paraId="5207D2E2">
      <w:pPr>
        <w:snapToGrid w:val="0"/>
        <w:spacing w:line="560" w:lineRule="exact"/>
        <w:jc w:val="center"/>
        <w:rPr>
          <w:rFonts w:ascii="楷体" w:hAnsi="楷体" w:eastAsia="楷体" w:cs="宋体-WinCharSetFFFF-H"/>
          <w:color w:val="000000"/>
          <w:kern w:val="0"/>
          <w:sz w:val="24"/>
        </w:rPr>
      </w:pPr>
    </w:p>
    <w:p w14:paraId="6765B3C4">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14:paraId="3A62619B">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7E7B6175">
      <w:pPr>
        <w:adjustRightInd w:val="0"/>
        <w:snapToGrid w:val="0"/>
        <w:spacing w:line="560" w:lineRule="exact"/>
        <w:rPr>
          <w:rFonts w:ascii="仿宋_GB2312" w:hAnsi="宋体" w:eastAsia="仿宋_GB2312"/>
          <w:sz w:val="30"/>
          <w:szCs w:val="30"/>
        </w:rPr>
      </w:pPr>
    </w:p>
    <w:p w14:paraId="0C6A448E">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4DAB8ED0">
      <w:pPr>
        <w:numPr>
          <w:ilvl w:val="0"/>
          <w:numId w:val="1"/>
        </w:numPr>
        <w:adjustRightInd w:val="0"/>
        <w:snapToGrid w:val="0"/>
        <w:spacing w:line="560" w:lineRule="exact"/>
        <w:ind w:left="1020"/>
        <w:rPr>
          <w:rFonts w:ascii="仿宋_GB2312" w:hAnsi="宋体" w:eastAsia="仿宋_GB2312"/>
          <w:bCs/>
          <w:sz w:val="30"/>
          <w:szCs w:val="30"/>
        </w:rPr>
      </w:pPr>
      <w:r>
        <w:rPr>
          <w:rFonts w:hint="eastAsia" w:ascii="仿宋_GB2312" w:hAnsi="宋体" w:eastAsia="仿宋_GB2312"/>
          <w:bCs/>
          <w:sz w:val="30"/>
          <w:szCs w:val="30"/>
        </w:rPr>
        <w:t>交易目的、交易品种、交易工具、交易场所和交易金额</w:t>
      </w:r>
    </w:p>
    <w:p w14:paraId="3B1F69DE">
      <w:pPr>
        <w:pStyle w:val="12"/>
        <w:numPr>
          <w:ilvl w:val="0"/>
          <w:numId w:val="2"/>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bCs/>
          <w:sz w:val="30"/>
          <w:szCs w:val="30"/>
        </w:rPr>
        <w:t>已履行及拟履行的审议程序</w:t>
      </w:r>
    </w:p>
    <w:p w14:paraId="720C29F8">
      <w:pPr>
        <w:pStyle w:val="12"/>
        <w:numPr>
          <w:ilvl w:val="0"/>
          <w:numId w:val="2"/>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bCs/>
          <w:sz w:val="30"/>
          <w:szCs w:val="30"/>
        </w:rPr>
        <w:t>特别</w:t>
      </w:r>
      <w:r>
        <w:rPr>
          <w:rFonts w:ascii="仿宋_GB2312" w:hAnsi="宋体" w:eastAsia="仿宋_GB2312"/>
          <w:bCs/>
          <w:sz w:val="30"/>
          <w:szCs w:val="30"/>
        </w:rPr>
        <w:t>风险提示</w:t>
      </w:r>
    </w:p>
    <w:p w14:paraId="7F9E34C0">
      <w:pPr>
        <w:autoSpaceDE w:val="0"/>
        <w:autoSpaceDN w:val="0"/>
        <w:adjustRightInd w:val="0"/>
        <w:spacing w:line="560" w:lineRule="exact"/>
        <w:ind w:firstLine="578"/>
        <w:jc w:val="left"/>
        <w:rPr>
          <w:rFonts w:ascii="仿宋_GB2312" w:hAnsi="宋体" w:eastAsia="仿宋_GB2312" w:cs="黑体-WinCharSetFFFF-H"/>
          <w:kern w:val="0"/>
          <w:sz w:val="30"/>
          <w:szCs w:val="30"/>
        </w:rPr>
      </w:pPr>
    </w:p>
    <w:p w14:paraId="78E303F3">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一、交易情况概述</w:t>
      </w:r>
    </w:p>
    <w:p w14:paraId="6C1572EC">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（一）交易目的</w:t>
      </w:r>
    </w:p>
    <w:p w14:paraId="4FC3FB59">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准确披露</w:t>
      </w:r>
      <w:r>
        <w:rPr>
          <w:rFonts w:ascii="仿宋_GB2312" w:hAnsi="宋体" w:eastAsia="仿宋_GB2312" w:cs="宋体"/>
          <w:color w:val="000000"/>
          <w:kern w:val="0"/>
          <w:sz w:val="30"/>
          <w:szCs w:val="30"/>
        </w:rPr>
        <w:t>本次</w:t>
      </w:r>
      <w:r>
        <w:rPr>
          <w:rFonts w:hint="eastAsia" w:ascii="仿宋_GB2312" w:hAnsi="宋体" w:eastAsia="仿宋_GB2312" w:cs="宋体"/>
          <w:color w:val="000000"/>
          <w:kern w:val="0"/>
          <w:sz w:val="30"/>
          <w:szCs w:val="30"/>
        </w:rPr>
        <w:t>期货和</w:t>
      </w:r>
      <w:r>
        <w:rPr>
          <w:rFonts w:ascii="仿宋_GB2312" w:hAnsi="宋体" w:eastAsia="仿宋_GB2312" w:cs="宋体"/>
          <w:color w:val="000000"/>
          <w:kern w:val="0"/>
          <w:sz w:val="30"/>
          <w:szCs w:val="30"/>
        </w:rPr>
        <w:t>衍生品交易的目的</w:t>
      </w:r>
      <w:r>
        <w:rPr>
          <w:rFonts w:hint="eastAsia" w:ascii="仿宋_GB2312" w:hAnsi="宋体" w:eastAsia="仿宋_GB2312" w:cs="宋体"/>
          <w:color w:val="000000"/>
          <w:kern w:val="0"/>
          <w:sz w:val="30"/>
          <w:szCs w:val="30"/>
        </w:rPr>
        <w:t>（获取投资收益、套期保值）</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结合公司主营业务说明交易的必要性、可行性、与公司日常经营需求的相关程度</w:t>
      </w:r>
      <w:r>
        <w:rPr>
          <w:rFonts w:ascii="仿宋_GB2312" w:hAnsi="宋体" w:eastAsia="仿宋_GB2312" w:cs="宋体"/>
          <w:color w:val="000000"/>
          <w:kern w:val="0"/>
          <w:sz w:val="30"/>
          <w:szCs w:val="30"/>
        </w:rPr>
        <w:t>，公司资金使用安排是否合理等情况。</w:t>
      </w:r>
    </w:p>
    <w:p w14:paraId="0AE33C60">
      <w:pPr>
        <w:widowControl/>
        <w:spacing w:line="560" w:lineRule="exact"/>
        <w:ind w:firstLine="600" w:firstLineChars="200"/>
        <w:rPr>
          <w:rFonts w:ascii="仿宋_GB2312" w:eastAsia="仿宋_GB2312" w:hAnsiTheme="minorEastAsia"/>
          <w:color w:val="000000" w:themeColor="text1"/>
          <w:kern w:val="0"/>
          <w:sz w:val="30"/>
          <w:szCs w:val="30"/>
        </w:rPr>
      </w:pPr>
      <w:r>
        <w:rPr>
          <w:rFonts w:hint="eastAsia" w:ascii="仿宋_GB2312" w:eastAsia="仿宋_GB2312" w:hAnsiTheme="minorEastAsia"/>
          <w:color w:val="000000" w:themeColor="text1"/>
          <w:kern w:val="0"/>
          <w:sz w:val="30"/>
          <w:szCs w:val="30"/>
        </w:rPr>
        <w:t>公司以套期保值为目的开展期货和衍生品交易的，应当说明期货和衍生品合约类别、预期管理的风险敞口，明确两者是否存在风险相互对冲的经济关系，以及如何运用期货和衍生品合约对相关风险敞口进行套期保值，并说明套期保值预计可实现的效果。</w:t>
      </w:r>
    </w:p>
    <w:p w14:paraId="0E4656EC">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交易金额</w:t>
      </w:r>
    </w:p>
    <w:p w14:paraId="4DF8789A">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说明预计动用的交易保证金和权利金上限（包括为交易而提供的担保物价值、预计占用的金融机构授信额度、为应急措施所预留的保证金等），预计任一交易日持有的最高合约价值。</w:t>
      </w:r>
    </w:p>
    <w:p w14:paraId="48F94170">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上市公司对未来12个月内期货和衍生品交易的范围、额度及期限等进行合理预计的，应明确期限内任一</w:t>
      </w:r>
      <w:r>
        <w:rPr>
          <w:rFonts w:ascii="仿宋_GB2312" w:eastAsia="仿宋_GB2312"/>
          <w:color w:val="000000"/>
          <w:sz w:val="30"/>
          <w:szCs w:val="30"/>
        </w:rPr>
        <w:t>时点的</w:t>
      </w:r>
      <w:r>
        <w:rPr>
          <w:rFonts w:hint="eastAsia" w:ascii="仿宋_GB2312" w:eastAsia="仿宋_GB2312"/>
          <w:color w:val="000000"/>
          <w:sz w:val="30"/>
          <w:szCs w:val="30"/>
        </w:rPr>
        <w:t>交易金额（含前述交易的收益进行再交易的相关金额）不超过已审议额度。</w:t>
      </w:r>
    </w:p>
    <w:p w14:paraId="5711234D">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（三）资金来源</w:t>
      </w:r>
    </w:p>
    <w:p w14:paraId="5C33F059">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说明本次交易的资金来源，如自有资金、借贷资金等，明确是否涉及募集资金。</w:t>
      </w:r>
    </w:p>
    <w:p w14:paraId="01EFCE37">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交易方式</w:t>
      </w:r>
    </w:p>
    <w:p w14:paraId="1BB84595">
      <w:pPr>
        <w:widowControl/>
        <w:spacing w:line="56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说明具体</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品种、</w:t>
      </w:r>
      <w:r>
        <w:rPr>
          <w:rFonts w:hint="eastAsia" w:ascii="仿宋_GB2312" w:hAnsi="宋体" w:eastAsia="仿宋_GB2312" w:cs="宋体"/>
          <w:color w:val="000000"/>
          <w:kern w:val="0"/>
          <w:sz w:val="30"/>
          <w:szCs w:val="30"/>
        </w:rPr>
        <w:t>交易工具及交易场所。以套期保值为目的开展期货和衍生品交易的，说明属于何种交易类型。如拟在境外开展期货和衍生品交易的，应当说明交易的必要性。拟开展场外衍生品交易的，应当说明交易必要性、产品结构复杂程度，交易对手方的基本情况、履约能力介绍、交易合同生效条件、附加条件以及争议处理方式等主要条款。</w:t>
      </w:r>
    </w:p>
    <w:p w14:paraId="7DB1F707">
      <w:pPr>
        <w:autoSpaceDE w:val="0"/>
        <w:autoSpaceDN w:val="0"/>
        <w:adjustRightInd w:val="0"/>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期限</w:t>
      </w:r>
    </w:p>
    <w:p w14:paraId="05F5C1CE">
      <w:pPr>
        <w:autoSpaceDE w:val="0"/>
        <w:autoSpaceDN w:val="0"/>
        <w:adjustRightInd w:val="0"/>
        <w:spacing w:line="560" w:lineRule="exact"/>
        <w:ind w:firstLine="600" w:firstLineChars="200"/>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说明本次授权在</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额度范围内进行</w:t>
      </w:r>
      <w:r>
        <w:rPr>
          <w:rFonts w:hint="eastAsia" w:ascii="仿宋_GB2312" w:hAnsi="宋体" w:eastAsia="仿宋_GB2312" w:cs="宋体"/>
          <w:color w:val="000000"/>
          <w:kern w:val="0"/>
          <w:sz w:val="30"/>
          <w:szCs w:val="30"/>
        </w:rPr>
        <w:t>期货和</w:t>
      </w:r>
      <w:r>
        <w:rPr>
          <w:rFonts w:ascii="仿宋_GB2312" w:hAnsi="宋体" w:eastAsia="仿宋_GB2312" w:cs="宋体"/>
          <w:color w:val="000000"/>
          <w:kern w:val="0"/>
          <w:sz w:val="30"/>
          <w:szCs w:val="30"/>
        </w:rPr>
        <w:t>衍生品交易的期限</w:t>
      </w:r>
      <w:r>
        <w:rPr>
          <w:rFonts w:hint="eastAsia" w:ascii="仿宋_GB2312" w:hAnsi="宋体" w:eastAsia="仿宋_GB2312" w:cs="宋体"/>
          <w:color w:val="000000"/>
          <w:kern w:val="0"/>
          <w:sz w:val="30"/>
          <w:szCs w:val="30"/>
        </w:rPr>
        <w:t>，</w:t>
      </w:r>
      <w:r>
        <w:rPr>
          <w:rFonts w:hint="eastAsia" w:ascii="仿宋_GB2312" w:eastAsia="仿宋_GB2312" w:hAnsiTheme="minorEastAsia"/>
          <w:color w:val="000000" w:themeColor="text1"/>
          <w:kern w:val="0"/>
          <w:sz w:val="30"/>
          <w:szCs w:val="30"/>
        </w:rPr>
        <w:t>相关额度的使用期限不应超过12个月。</w:t>
      </w:r>
    </w:p>
    <w:p w14:paraId="68F938D0">
      <w:pPr>
        <w:widowControl/>
        <w:spacing w:line="560" w:lineRule="exact"/>
        <w:ind w:firstLine="602" w:firstLineChars="200"/>
        <w:rPr>
          <w:rFonts w:ascii="黑体" w:hAnsi="黑体" w:eastAsia="黑体" w:cs="宋体"/>
          <w:b/>
          <w:color w:val="000000"/>
          <w:kern w:val="0"/>
          <w:sz w:val="30"/>
          <w:szCs w:val="30"/>
        </w:rPr>
      </w:pPr>
    </w:p>
    <w:p w14:paraId="73B49DC3">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二</w:t>
      </w:r>
      <w:r>
        <w:rPr>
          <w:rFonts w:ascii="黑体" w:hAnsi="黑体" w:eastAsia="黑体" w:cs="宋体"/>
          <w:b/>
          <w:color w:val="000000"/>
          <w:kern w:val="0"/>
          <w:sz w:val="30"/>
          <w:szCs w:val="30"/>
        </w:rPr>
        <w:t>、</w:t>
      </w:r>
      <w:r>
        <w:rPr>
          <w:rFonts w:hint="eastAsia" w:ascii="黑体" w:hAnsi="黑体" w:eastAsia="黑体" w:cs="宋体"/>
          <w:b/>
          <w:color w:val="000000"/>
          <w:kern w:val="0"/>
          <w:sz w:val="30"/>
          <w:szCs w:val="30"/>
        </w:rPr>
        <w:t>审议程序</w:t>
      </w:r>
    </w:p>
    <w:p w14:paraId="4E96E078">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w:t>
      </w:r>
      <w:r>
        <w:rPr>
          <w:rFonts w:ascii="仿宋_GB2312" w:hAnsi="宋体" w:eastAsia="仿宋_GB2312" w:cs="宋体"/>
          <w:color w:val="000000"/>
          <w:kern w:val="0"/>
          <w:sz w:val="30"/>
          <w:szCs w:val="30"/>
        </w:rPr>
        <w:t>本次</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需要履行的程序，是否已获得公司董事会或者</w:t>
      </w:r>
      <w:r>
        <w:rPr>
          <w:rFonts w:hint="eastAsia" w:ascii="仿宋_GB2312" w:hAnsi="宋体" w:eastAsia="仿宋_GB2312" w:cs="宋体"/>
          <w:color w:val="000000"/>
          <w:kern w:val="0"/>
          <w:sz w:val="30"/>
          <w:szCs w:val="30"/>
          <w:lang w:eastAsia="zh-CN"/>
        </w:rPr>
        <w:t>股东会</w:t>
      </w:r>
      <w:r>
        <w:rPr>
          <w:rFonts w:ascii="仿宋_GB2312" w:hAnsi="宋体" w:eastAsia="仿宋_GB2312" w:cs="宋体"/>
          <w:color w:val="000000"/>
          <w:kern w:val="0"/>
          <w:sz w:val="30"/>
          <w:szCs w:val="30"/>
        </w:rPr>
        <w:t>审议通过；涉及关联</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的，说明是否需要履行或已履行</w:t>
      </w:r>
      <w:r>
        <w:rPr>
          <w:rFonts w:hint="eastAsia" w:ascii="仿宋_GB2312" w:hAnsi="宋体" w:eastAsia="仿宋_GB2312" w:cs="宋体"/>
          <w:color w:val="000000"/>
          <w:kern w:val="0"/>
          <w:sz w:val="30"/>
          <w:szCs w:val="30"/>
        </w:rPr>
        <w:t>的</w:t>
      </w:r>
      <w:r>
        <w:rPr>
          <w:rFonts w:ascii="仿宋_GB2312" w:hAnsi="宋体" w:eastAsia="仿宋_GB2312" w:cs="宋体"/>
          <w:color w:val="000000"/>
          <w:kern w:val="0"/>
          <w:sz w:val="30"/>
          <w:szCs w:val="30"/>
        </w:rPr>
        <w:t>关联交易</w:t>
      </w:r>
      <w:r>
        <w:rPr>
          <w:rFonts w:hint="eastAsia" w:ascii="仿宋_GB2312" w:hAnsi="宋体" w:eastAsia="仿宋_GB2312" w:cs="宋体"/>
          <w:color w:val="000000"/>
          <w:kern w:val="0"/>
          <w:sz w:val="30"/>
          <w:szCs w:val="30"/>
        </w:rPr>
        <w:t>审议</w:t>
      </w:r>
      <w:r>
        <w:rPr>
          <w:rFonts w:ascii="仿宋_GB2312" w:hAnsi="宋体" w:eastAsia="仿宋_GB2312" w:cs="宋体"/>
          <w:color w:val="000000"/>
          <w:kern w:val="0"/>
          <w:sz w:val="30"/>
          <w:szCs w:val="30"/>
        </w:rPr>
        <w:t>程序，以及相关的表决情况等。</w:t>
      </w:r>
    </w:p>
    <w:p w14:paraId="7D029DD2">
      <w:pPr>
        <w:widowControl/>
        <w:spacing w:line="560" w:lineRule="exact"/>
        <w:ind w:firstLine="602" w:firstLineChars="200"/>
        <w:rPr>
          <w:rFonts w:ascii="黑体" w:hAnsi="黑体" w:eastAsia="黑体" w:cs="宋体"/>
          <w:b/>
          <w:color w:val="000000"/>
          <w:kern w:val="0"/>
          <w:sz w:val="30"/>
          <w:szCs w:val="30"/>
        </w:rPr>
      </w:pPr>
    </w:p>
    <w:p w14:paraId="78DFD5AC">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三</w:t>
      </w:r>
      <w:r>
        <w:rPr>
          <w:rFonts w:ascii="黑体" w:hAnsi="黑体" w:eastAsia="黑体" w:cs="宋体"/>
          <w:b/>
          <w:color w:val="000000"/>
          <w:kern w:val="0"/>
          <w:sz w:val="30"/>
          <w:szCs w:val="30"/>
        </w:rPr>
        <w:t>、</w:t>
      </w:r>
      <w:r>
        <w:rPr>
          <w:rFonts w:hint="eastAsia" w:ascii="黑体" w:hAnsi="黑体" w:eastAsia="黑体" w:cs="宋体"/>
          <w:b/>
          <w:color w:val="000000"/>
          <w:kern w:val="0"/>
          <w:sz w:val="30"/>
          <w:szCs w:val="30"/>
        </w:rPr>
        <w:t>交易</w:t>
      </w:r>
      <w:r>
        <w:rPr>
          <w:rFonts w:ascii="黑体" w:hAnsi="黑体" w:eastAsia="黑体" w:cs="宋体"/>
          <w:b/>
          <w:color w:val="000000"/>
          <w:kern w:val="0"/>
          <w:sz w:val="30"/>
          <w:szCs w:val="30"/>
        </w:rPr>
        <w:t>风险分析及风控措施</w:t>
      </w:r>
    </w:p>
    <w:p w14:paraId="181C7774">
      <w:pPr>
        <w:widowControl/>
        <w:spacing w:line="560" w:lineRule="exact"/>
        <w:ind w:firstLine="600" w:firstLineChars="2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评估本次</w:t>
      </w:r>
      <w:r>
        <w:rPr>
          <w:rFonts w:hint="eastAsia" w:ascii="仿宋_GB2312" w:hAnsi="仿宋_GB2312" w:eastAsia="仿宋_GB2312" w:cs="宋体"/>
          <w:color w:val="000000"/>
          <w:kern w:val="0"/>
          <w:sz w:val="30"/>
          <w:szCs w:val="30"/>
        </w:rPr>
        <w:t>交易</w:t>
      </w:r>
      <w:r>
        <w:rPr>
          <w:rFonts w:ascii="仿宋_GB2312" w:hAnsi="仿宋_GB2312" w:eastAsia="仿宋_GB2312" w:cs="宋体"/>
          <w:color w:val="000000"/>
          <w:kern w:val="0"/>
          <w:sz w:val="30"/>
          <w:szCs w:val="30"/>
        </w:rPr>
        <w:t>的风险，说明</w:t>
      </w:r>
      <w:r>
        <w:rPr>
          <w:rFonts w:hint="eastAsia" w:ascii="仿宋_GB2312" w:hAnsi="仿宋_GB2312" w:eastAsia="仿宋_GB2312" w:cs="宋体"/>
          <w:color w:val="000000"/>
          <w:kern w:val="0"/>
          <w:sz w:val="30"/>
          <w:szCs w:val="30"/>
        </w:rPr>
        <w:t>上市</w:t>
      </w:r>
      <w:r>
        <w:rPr>
          <w:rFonts w:ascii="仿宋_GB2312" w:hAnsi="仿宋_GB2312" w:eastAsia="仿宋_GB2312" w:cs="宋体"/>
          <w:color w:val="000000"/>
          <w:kern w:val="0"/>
          <w:sz w:val="30"/>
          <w:szCs w:val="30"/>
        </w:rPr>
        <w:t>公司关于</w:t>
      </w:r>
      <w:r>
        <w:rPr>
          <w:rFonts w:hint="eastAsia" w:ascii="仿宋_GB2312" w:hAnsi="仿宋_GB2312" w:eastAsia="仿宋_GB2312" w:cs="宋体"/>
          <w:color w:val="000000"/>
          <w:kern w:val="0"/>
          <w:sz w:val="30"/>
          <w:szCs w:val="30"/>
        </w:rPr>
        <w:t>期货和</w:t>
      </w:r>
      <w:r>
        <w:rPr>
          <w:rFonts w:ascii="仿宋_GB2312" w:hAnsi="仿宋_GB2312" w:eastAsia="仿宋_GB2312" w:cs="宋体"/>
          <w:color w:val="000000"/>
          <w:kern w:val="0"/>
          <w:sz w:val="30"/>
          <w:szCs w:val="30"/>
        </w:rPr>
        <w:t>衍生品交易的</w:t>
      </w:r>
      <w:r>
        <w:rPr>
          <w:rFonts w:hint="eastAsia" w:ascii="仿宋_GB2312" w:hAnsi="仿宋_GB2312" w:eastAsia="仿宋_GB2312" w:cs="宋体"/>
          <w:color w:val="000000"/>
          <w:kern w:val="0"/>
          <w:sz w:val="30"/>
          <w:szCs w:val="30"/>
        </w:rPr>
        <w:t>专业</w:t>
      </w:r>
      <w:r>
        <w:rPr>
          <w:rFonts w:ascii="仿宋_GB2312" w:hAnsi="仿宋_GB2312" w:eastAsia="仿宋_GB2312" w:cs="宋体"/>
          <w:color w:val="000000"/>
          <w:kern w:val="0"/>
          <w:sz w:val="30"/>
          <w:szCs w:val="30"/>
        </w:rPr>
        <w:t>人员配备、账户及资金管理制度、决策程序、报告制度</w:t>
      </w:r>
      <w:r>
        <w:rPr>
          <w:rFonts w:hint="eastAsia" w:ascii="仿宋_GB2312" w:hAnsi="仿宋_GB2312" w:eastAsia="仿宋_GB2312" w:cs="宋体"/>
          <w:color w:val="000000"/>
          <w:kern w:val="0"/>
          <w:sz w:val="30"/>
          <w:szCs w:val="30"/>
        </w:rPr>
        <w:t>和风险监控措施</w:t>
      </w:r>
      <w:r>
        <w:rPr>
          <w:rFonts w:ascii="仿宋_GB2312" w:hAnsi="仿宋_GB2312" w:eastAsia="仿宋_GB2312" w:cs="宋体"/>
          <w:color w:val="000000"/>
          <w:kern w:val="0"/>
          <w:sz w:val="30"/>
          <w:szCs w:val="30"/>
        </w:rPr>
        <w:t>。</w:t>
      </w:r>
    </w:p>
    <w:p w14:paraId="597EE4EC">
      <w:pPr>
        <w:widowControl/>
        <w:spacing w:line="560" w:lineRule="exact"/>
        <w:ind w:firstLine="600" w:firstLineChars="200"/>
        <w:rPr>
          <w:rFonts w:ascii="仿宋_GB2312" w:hAnsi="仿宋_GB2312" w:eastAsia="仿宋_GB2312" w:cs="宋体"/>
          <w:color w:val="000000"/>
          <w:kern w:val="0"/>
          <w:sz w:val="30"/>
          <w:szCs w:val="30"/>
        </w:rPr>
      </w:pPr>
      <w:r>
        <w:rPr>
          <w:rFonts w:hint="eastAsia" w:ascii="仿宋_GB2312" w:hAnsi="仿宋_GB2312" w:eastAsia="仿宋_GB2312" w:cs="宋体"/>
          <w:color w:val="000000"/>
          <w:kern w:val="0"/>
          <w:sz w:val="30"/>
          <w:szCs w:val="30"/>
        </w:rPr>
        <w:t>公司拟在境外开展期货和衍生品交易的，应当披露在相关国家和地区开展交易的政治、经济和法律等风险，是否已充分考虑结算便捷性、交易流动性、汇率波动性等因素。拟开展场外衍生品交易的，应当披露产品结构复杂程度、流动性风险及交易对手信用风险。</w:t>
      </w:r>
    </w:p>
    <w:p w14:paraId="2D334CF3">
      <w:pPr>
        <w:widowControl/>
        <w:spacing w:line="560" w:lineRule="exact"/>
        <w:ind w:firstLine="600" w:firstLineChars="200"/>
        <w:rPr>
          <w:rFonts w:ascii="仿宋_GB2312" w:hAnsi="仿宋_GB2312" w:eastAsia="仿宋_GB2312" w:cs="宋体"/>
          <w:color w:val="000000"/>
          <w:kern w:val="0"/>
          <w:sz w:val="30"/>
          <w:szCs w:val="30"/>
        </w:rPr>
      </w:pPr>
      <w:r>
        <w:rPr>
          <w:rFonts w:hint="eastAsia" w:ascii="仿宋_GB2312" w:hAnsi="仿宋_GB2312" w:eastAsia="仿宋_GB2312" w:cs="宋体"/>
          <w:color w:val="000000"/>
          <w:kern w:val="0"/>
          <w:sz w:val="30"/>
          <w:szCs w:val="30"/>
        </w:rPr>
        <w:t>公司以获取投资收益为目的开展期货和衍生品交易的，应当分项披露交易各类期货和衍生品的风险，包括但不限于市场风险、流动性风险、信用风险、操作风险、法律风险、针对各类期货和衍生品设定的止损限额等风险管理措施。</w:t>
      </w:r>
    </w:p>
    <w:p w14:paraId="3388D78B">
      <w:pPr>
        <w:widowControl/>
        <w:spacing w:line="560" w:lineRule="exact"/>
        <w:ind w:firstLine="600" w:firstLineChars="200"/>
        <w:rPr>
          <w:rFonts w:ascii="仿宋_GB2312" w:hAnsi="仿宋_GB2312" w:eastAsia="仿宋_GB2312" w:cs="宋体"/>
          <w:color w:val="000000"/>
          <w:kern w:val="0"/>
          <w:sz w:val="30"/>
          <w:szCs w:val="30"/>
        </w:rPr>
      </w:pPr>
    </w:p>
    <w:p w14:paraId="40C35D99">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四、交易对公司的影响及相关会计处理</w:t>
      </w:r>
    </w:p>
    <w:p w14:paraId="31DA33FD">
      <w:pPr>
        <w:widowControl/>
        <w:spacing w:line="560" w:lineRule="exact"/>
        <w:ind w:firstLine="600" w:firstLineChars="200"/>
        <w:rPr>
          <w:rFonts w:ascii="仿宋_GB2312" w:eastAsia="仿宋_GB2312" w:hAnsiTheme="minorEastAsia"/>
          <w:color w:val="000000" w:themeColor="text1"/>
          <w:kern w:val="0"/>
          <w:sz w:val="30"/>
          <w:szCs w:val="30"/>
        </w:rPr>
      </w:pPr>
      <w:r>
        <w:rPr>
          <w:rFonts w:ascii="仿宋_GB2312" w:hAnsi="宋体" w:eastAsia="仿宋_GB2312" w:cs="宋体"/>
          <w:color w:val="000000"/>
          <w:kern w:val="0"/>
          <w:sz w:val="30"/>
          <w:szCs w:val="30"/>
        </w:rPr>
        <w:t>说明本次</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对公司可能带来的影响，公司拟采用的会计政策及核算原则。</w:t>
      </w:r>
      <w:r>
        <w:rPr>
          <w:rFonts w:hint="eastAsia" w:ascii="仿宋_GB2312" w:eastAsia="仿宋_GB2312" w:hAnsiTheme="minorEastAsia"/>
          <w:color w:val="000000" w:themeColor="text1"/>
          <w:kern w:val="0"/>
          <w:sz w:val="30"/>
          <w:szCs w:val="30"/>
        </w:rPr>
        <w:t>公司以套期保值为目的开展期货和衍生品交易的，应当说明套期保值业务是否符合《企业会计准则第24号——套期会计》适用条件，是否拟采取套期会计进行确认和计量。</w:t>
      </w:r>
    </w:p>
    <w:p w14:paraId="61ABC95C">
      <w:pPr>
        <w:widowControl/>
        <w:spacing w:line="560" w:lineRule="exact"/>
        <w:ind w:firstLine="602" w:firstLineChars="200"/>
        <w:rPr>
          <w:rFonts w:ascii="黑体" w:hAnsi="黑体" w:eastAsia="黑体" w:cs="宋体"/>
          <w:b/>
          <w:color w:val="000000"/>
          <w:kern w:val="0"/>
          <w:sz w:val="30"/>
          <w:szCs w:val="30"/>
        </w:rPr>
      </w:pPr>
    </w:p>
    <w:p w14:paraId="0D79158A">
      <w:pPr>
        <w:widowControl/>
        <w:spacing w:line="560" w:lineRule="exact"/>
        <w:ind w:firstLine="602" w:firstLineChars="200"/>
        <w:rPr>
          <w:rFonts w:ascii="仿宋_GB2312" w:hAnsi="宋体" w:eastAsia="仿宋_GB2312" w:cs="宋体"/>
          <w:color w:val="000000"/>
          <w:kern w:val="0"/>
          <w:sz w:val="30"/>
          <w:szCs w:val="30"/>
        </w:rPr>
      </w:pPr>
      <w:r>
        <w:rPr>
          <w:rFonts w:hint="eastAsia" w:ascii="黑体" w:hAnsi="黑体" w:eastAsia="黑体" w:cs="宋体"/>
          <w:b/>
          <w:color w:val="000000"/>
          <w:kern w:val="0"/>
          <w:sz w:val="30"/>
          <w:szCs w:val="30"/>
        </w:rPr>
        <w:t>五、中介机构意见（如适用）</w:t>
      </w:r>
    </w:p>
    <w:p w14:paraId="702F4355">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保荐人</w:t>
      </w:r>
      <w:r>
        <w:rPr>
          <w:rFonts w:ascii="仿宋_GB2312" w:hAnsi="宋体" w:eastAsia="仿宋_GB2312" w:cs="宋体"/>
          <w:color w:val="000000"/>
          <w:kern w:val="0"/>
          <w:sz w:val="30"/>
          <w:szCs w:val="30"/>
        </w:rPr>
        <w:t>应就公司</w:t>
      </w:r>
      <w:r>
        <w:rPr>
          <w:rFonts w:hint="eastAsia" w:ascii="仿宋_GB2312" w:hAnsi="宋体" w:eastAsia="仿宋_GB2312" w:cs="宋体"/>
          <w:color w:val="000000"/>
          <w:kern w:val="0"/>
          <w:sz w:val="30"/>
          <w:szCs w:val="30"/>
        </w:rPr>
        <w:t>期货和</w:t>
      </w:r>
      <w:r>
        <w:rPr>
          <w:rFonts w:ascii="仿宋_GB2312" w:hAnsi="宋体" w:eastAsia="仿宋_GB2312" w:cs="宋体"/>
          <w:color w:val="000000"/>
          <w:kern w:val="0"/>
          <w:sz w:val="30"/>
          <w:szCs w:val="30"/>
        </w:rPr>
        <w:t>衍生品交易的合规性、对公司的影响、可能存在的风险、公司采取的风险控制措施是否充分有效等事项进行核查，并出具明确同意的意见（如适用）。</w:t>
      </w:r>
    </w:p>
    <w:p w14:paraId="33CE5605">
      <w:pPr>
        <w:spacing w:line="560" w:lineRule="exact"/>
        <w:ind w:firstLine="480" w:firstLineChars="200"/>
        <w:rPr>
          <w:rFonts w:ascii="楷体" w:hAnsi="楷体" w:eastAsia="楷体" w:cs="宋体-WinCharSetFFFF-H"/>
          <w:color w:val="000000"/>
          <w:kern w:val="0"/>
          <w:sz w:val="24"/>
        </w:rPr>
      </w:pPr>
    </w:p>
    <w:p w14:paraId="0146426F">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六</w:t>
      </w:r>
      <w:r>
        <w:rPr>
          <w:rFonts w:ascii="黑体" w:hAnsi="黑体" w:eastAsia="黑体" w:cs="宋体"/>
          <w:b/>
          <w:color w:val="000000"/>
          <w:kern w:val="0"/>
          <w:sz w:val="30"/>
          <w:szCs w:val="30"/>
        </w:rPr>
        <w:t>、进展披露（如有）</w:t>
      </w:r>
    </w:p>
    <w:p w14:paraId="4808F91E">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上市公司期货和</w:t>
      </w:r>
      <w:r>
        <w:rPr>
          <w:rFonts w:ascii="仿宋_GB2312" w:hAnsi="宋体" w:eastAsia="仿宋_GB2312" w:cs="宋体"/>
          <w:color w:val="000000"/>
          <w:kern w:val="0"/>
          <w:sz w:val="30"/>
          <w:szCs w:val="30"/>
        </w:rPr>
        <w:t>衍生品交易发生《上海证券交易所科创板股票上市规则》</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上海证券交易所</w:t>
      </w:r>
      <w:r>
        <w:rPr>
          <w:rFonts w:hint="eastAsia" w:ascii="仿宋_GB2312" w:hAnsi="宋体" w:eastAsia="仿宋_GB2312" w:cs="宋体"/>
          <w:color w:val="000000"/>
          <w:kern w:val="0"/>
          <w:sz w:val="30"/>
          <w:szCs w:val="30"/>
        </w:rPr>
        <w:t>上市公司</w:t>
      </w:r>
      <w:r>
        <w:rPr>
          <w:rFonts w:ascii="仿宋_GB2312" w:hAnsi="宋体" w:eastAsia="仿宋_GB2312" w:cs="宋体"/>
          <w:color w:val="000000"/>
          <w:kern w:val="0"/>
          <w:sz w:val="30"/>
          <w:szCs w:val="30"/>
        </w:rPr>
        <w:t>自律监管指引第5号——交易与关联交易》等</w:t>
      </w:r>
      <w:r>
        <w:rPr>
          <w:rFonts w:hint="eastAsia" w:ascii="仿宋_GB2312" w:hAnsi="宋体" w:eastAsia="仿宋_GB2312" w:cs="宋体"/>
          <w:color w:val="000000"/>
          <w:kern w:val="0"/>
          <w:sz w:val="30"/>
          <w:szCs w:val="30"/>
        </w:rPr>
        <w:t>规定</w:t>
      </w:r>
      <w:r>
        <w:rPr>
          <w:rFonts w:ascii="仿宋_GB2312" w:hAnsi="宋体" w:eastAsia="仿宋_GB2312" w:cs="宋体"/>
          <w:color w:val="000000"/>
          <w:kern w:val="0"/>
          <w:sz w:val="30"/>
          <w:szCs w:val="30"/>
        </w:rPr>
        <w:t>的特定情形的，公司应当及时披露相关进展情况，和公司拟采取的</w:t>
      </w:r>
      <w:r>
        <w:rPr>
          <w:rFonts w:hint="eastAsia" w:ascii="仿宋_GB2312" w:hAnsi="宋体" w:eastAsia="仿宋_GB2312" w:cs="宋体"/>
          <w:color w:val="000000"/>
          <w:kern w:val="0"/>
          <w:sz w:val="30"/>
          <w:szCs w:val="30"/>
        </w:rPr>
        <w:t>应对措施</w:t>
      </w:r>
      <w:r>
        <w:rPr>
          <w:rFonts w:ascii="仿宋_GB2312" w:hAnsi="宋体" w:eastAsia="仿宋_GB2312" w:cs="宋体"/>
          <w:color w:val="000000"/>
          <w:kern w:val="0"/>
          <w:sz w:val="30"/>
          <w:szCs w:val="30"/>
        </w:rPr>
        <w:t>。</w:t>
      </w:r>
    </w:p>
    <w:p w14:paraId="4F7EAB5D">
      <w:pPr>
        <w:widowControl/>
        <w:spacing w:line="560" w:lineRule="exact"/>
        <w:ind w:firstLine="480" w:firstLineChars="200"/>
        <w:rPr>
          <w:rFonts w:ascii="楷体" w:hAnsi="楷体" w:eastAsia="楷体" w:cs="宋体-WinCharSetFFFF-H"/>
          <w:color w:val="000000"/>
          <w:kern w:val="0"/>
          <w:sz w:val="24"/>
        </w:rPr>
      </w:pPr>
    </w:p>
    <w:p w14:paraId="77928792">
      <w:pPr>
        <w:widowControl/>
        <w:spacing w:line="560" w:lineRule="exact"/>
        <w:ind w:firstLine="602" w:firstLineChars="200"/>
        <w:rPr>
          <w:rFonts w:ascii="黑体" w:hAnsi="黑体" w:eastAsia="黑体" w:cs="宋体"/>
          <w:b/>
          <w:color w:val="000000"/>
          <w:kern w:val="0"/>
          <w:sz w:val="30"/>
          <w:szCs w:val="30"/>
        </w:rPr>
      </w:pPr>
    </w:p>
    <w:p w14:paraId="38A8589A">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4231E1DB">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7C46350E">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X</w:t>
      </w:r>
      <w:r>
        <w:rPr>
          <w:rFonts w:ascii="仿宋_GB2312" w:hAnsi="宋体" w:eastAsia="仿宋_GB2312" w:cs="宋体"/>
          <w:color w:val="000000"/>
          <w:kern w:val="0"/>
          <w:sz w:val="30"/>
          <w:szCs w:val="30"/>
        </w:rPr>
        <w:t>XXX</w:t>
      </w:r>
      <w:r>
        <w:rPr>
          <w:rFonts w:hint="eastAsia" w:ascii="仿宋_GB2312" w:hAnsi="宋体" w:eastAsia="仿宋_GB2312" w:cs="宋体"/>
          <w:color w:val="000000"/>
          <w:kern w:val="0"/>
          <w:sz w:val="30"/>
          <w:szCs w:val="30"/>
        </w:rPr>
        <w:t>股份</w:t>
      </w:r>
      <w:r>
        <w:rPr>
          <w:rFonts w:hint="eastAsia" w:ascii="仿宋_GB2312" w:hAnsi="宋体" w:eastAsia="仿宋_GB2312" w:cs="宋体-WinCharSetFFFF-H"/>
          <w:color w:val="000000"/>
          <w:kern w:val="0"/>
          <w:sz w:val="30"/>
          <w:szCs w:val="30"/>
        </w:rPr>
        <w:t>有限公司董事会</w:t>
      </w:r>
    </w:p>
    <w:p w14:paraId="65A2019E">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34C8CEE7">
      <w:pPr>
        <w:spacing w:line="560" w:lineRule="exact"/>
        <w:ind w:right="600"/>
        <w:jc w:val="left"/>
        <w:rPr>
          <w:rFonts w:ascii="仿宋_GB2312" w:hAnsi="宋体" w:eastAsia="仿宋_GB2312" w:cs="宋体-WinCharSetFFFF-H"/>
          <w:color w:val="000000"/>
          <w:kern w:val="0"/>
          <w:sz w:val="30"/>
          <w:szCs w:val="30"/>
        </w:rPr>
      </w:pPr>
    </w:p>
    <w:p w14:paraId="4D7AA2F2">
      <w:pPr>
        <w:pStyle w:val="12"/>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14:paraId="30494600">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中介机构</w:t>
      </w:r>
      <w:r>
        <w:rPr>
          <w:rFonts w:ascii="仿宋_GB2312" w:eastAsia="仿宋_GB2312"/>
          <w:color w:val="000000"/>
          <w:sz w:val="30"/>
          <w:szCs w:val="30"/>
        </w:rPr>
        <w:t>意见（如适用）</w:t>
      </w:r>
    </w:p>
    <w:p w14:paraId="1FF22CE1">
      <w:pPr>
        <w:spacing w:line="560" w:lineRule="exact"/>
        <w:ind w:right="600"/>
        <w:jc w:val="left"/>
        <w:rPr>
          <w:rFonts w:ascii="仿宋_GB2312" w:hAnsi="宋体" w:eastAsia="仿宋_GB2312" w:cs="宋体-WinCharSetFFFF-H"/>
          <w:color w:val="000000"/>
          <w:kern w:val="0"/>
          <w:sz w:val="30"/>
          <w:szCs w:val="30"/>
        </w:rPr>
      </w:pPr>
    </w:p>
    <w:p w14:paraId="0DA75458">
      <w:pPr>
        <w:pStyle w:val="12"/>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07940DE1">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期货和衍生品交易相关的内控制度</w:t>
      </w:r>
      <w:r>
        <w:rPr>
          <w:rFonts w:ascii="仿宋_GB2312" w:eastAsia="仿宋_GB2312"/>
          <w:color w:val="000000"/>
          <w:sz w:val="30"/>
          <w:szCs w:val="30"/>
        </w:rPr>
        <w:t>（如</w:t>
      </w:r>
      <w:r>
        <w:rPr>
          <w:rFonts w:hint="eastAsia" w:ascii="仿宋_GB2312" w:eastAsia="仿宋_GB2312"/>
          <w:color w:val="000000"/>
          <w:sz w:val="30"/>
          <w:szCs w:val="30"/>
          <w:lang w:eastAsia="zh-CN"/>
        </w:rPr>
        <w:t>有</w:t>
      </w:r>
      <w:bookmarkStart w:id="3" w:name="_GoBack"/>
      <w:bookmarkEnd w:id="3"/>
      <w:r>
        <w:rPr>
          <w:rFonts w:ascii="仿宋_GB2312" w:eastAsia="仿宋_GB2312"/>
          <w:color w:val="000000"/>
          <w:sz w:val="30"/>
          <w:szCs w:val="30"/>
        </w:rPr>
        <w:t>）</w:t>
      </w:r>
    </w:p>
    <w:p w14:paraId="3A221576">
      <w:pPr>
        <w:autoSpaceDE w:val="0"/>
        <w:autoSpaceDN w:val="0"/>
        <w:adjustRightInd w:val="0"/>
        <w:snapToGrid w:val="0"/>
        <w:spacing w:line="560" w:lineRule="exact"/>
        <w:ind w:firstLine="0" w:firstLineChars="0"/>
        <w:rPr>
          <w:rFonts w:ascii="仿宋_GB2312" w:eastAsia="仿宋_GB2312"/>
          <w:color w:val="000000"/>
          <w:sz w:val="30"/>
          <w:szCs w:val="30"/>
        </w:rPr>
      </w:pPr>
    </w:p>
    <w:p w14:paraId="3397DFC8">
      <w:pPr>
        <w:pStyle w:val="12"/>
        <w:numPr>
          <w:ilvl w:val="0"/>
          <w:numId w:val="4"/>
        </w:numPr>
        <w:autoSpaceDE w:val="0"/>
        <w:autoSpaceDN w:val="0"/>
        <w:adjustRightInd w:val="0"/>
        <w:snapToGrid w:val="0"/>
        <w:spacing w:line="560" w:lineRule="exact"/>
        <w:ind w:left="567" w:firstLine="0" w:firstLineChars="0"/>
        <w:rPr>
          <w:rFonts w:ascii="仿宋_GB2312" w:eastAsia="仿宋_GB2312"/>
          <w:color w:val="000000"/>
          <w:sz w:val="30"/>
          <w:szCs w:val="30"/>
        </w:rPr>
      </w:pPr>
      <w:r>
        <w:rPr>
          <w:rFonts w:hint="eastAsia" w:ascii="仿宋_GB2312" w:eastAsia="仿宋_GB2312"/>
          <w:b/>
          <w:color w:val="000000"/>
          <w:sz w:val="30"/>
          <w:szCs w:val="30"/>
        </w:rPr>
        <w:t xml:space="preserve"> 注意事项</w:t>
      </w:r>
    </w:p>
    <w:p w14:paraId="7F163B0E">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1.以获取投资收益为目的开展期货和衍生品交易的，不得在公告标题中使用“套期保值”“风险管理”等可能使投资者对交易目的产生误解的词语。</w:t>
      </w:r>
    </w:p>
    <w:p w14:paraId="37B9DD66">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2.根据《</w:t>
      </w:r>
      <w:r>
        <w:rPr>
          <w:rFonts w:ascii="仿宋_GB2312" w:hAnsi="宋体" w:eastAsia="仿宋_GB2312" w:cs="宋体"/>
          <w:color w:val="000000"/>
          <w:kern w:val="0"/>
          <w:sz w:val="30"/>
          <w:szCs w:val="30"/>
        </w:rPr>
        <w:t>上海证券交易所</w:t>
      </w:r>
      <w:r>
        <w:rPr>
          <w:rFonts w:hint="eastAsia" w:ascii="仿宋_GB2312" w:eastAsia="仿宋_GB2312"/>
          <w:color w:val="000000"/>
          <w:sz w:val="30"/>
          <w:szCs w:val="30"/>
        </w:rPr>
        <w:t>上市公司自律监管指引第5号——交易与关联交易》</w:t>
      </w:r>
      <w:r>
        <w:rPr>
          <w:rFonts w:hint="eastAsia" w:ascii="仿宋_GB2312" w:eastAsia="仿宋_GB2312"/>
          <w:color w:val="000000"/>
          <w:sz w:val="30"/>
          <w:szCs w:val="30"/>
          <w:lang w:eastAsia="zh-CN"/>
        </w:rPr>
        <w:t>相关规定</w:t>
      </w:r>
      <w:r>
        <w:rPr>
          <w:rFonts w:hint="eastAsia" w:ascii="仿宋_GB2312" w:eastAsia="仿宋_GB2312"/>
          <w:color w:val="000000"/>
          <w:sz w:val="30"/>
          <w:szCs w:val="30"/>
        </w:rPr>
        <w:t>，上市公司期货和衍生品交易已确认损益及浮动亏损金额每达到公司最近一年经审计的归属于上市公司股东净利润的10%且绝对金额超过1000万元人民币的，应当及时披露。公司开展套期保值业务的，可以将套期工具与被套期项目价值变动加总后适用前述规定。</w:t>
      </w:r>
    </w:p>
    <w:p w14:paraId="465BC165">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开展套期保值业务出现前款规定的亏损情形时，还应当重新评估套期关系的有效性，披露套期工具和被套期项目的公允价值或者现金流量变动未按预期抵销的原因，并分别披露套期工具和被套期项目价值变动情况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黑体-WinCharSetFFFF-H">
    <w:altName w:val="方正舒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宋体-WinCharSetFFFF-H">
    <w:altName w:val="宋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69766133">
        <w:pPr>
          <w:pStyle w:val="4"/>
          <w:jc w:val="center"/>
        </w:pPr>
        <w:r>
          <w:fldChar w:fldCharType="begin"/>
        </w:r>
        <w:r>
          <w:instrText xml:space="preserve"> PAGE   \* MERGEFORMAT </w:instrText>
        </w:r>
        <w:r>
          <w:fldChar w:fldCharType="separate"/>
        </w:r>
        <w:r>
          <w:rPr>
            <w:lang w:val="zh-CN"/>
          </w:rPr>
          <w:t>1</w:t>
        </w:r>
        <w:r>
          <w:fldChar w:fldCharType="end"/>
        </w:r>
      </w:p>
    </w:sdtContent>
  </w:sdt>
  <w:p w14:paraId="6F792D6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2">
    <w:nsid w:val="6BB83C4B"/>
    <w:multiLevelType w:val="multilevel"/>
    <w:tmpl w:val="6BB83C4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3">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NkOWYxNDdkZWJmMTllYzhkNWUwYmJkNmYxNGRmMjIifQ=="/>
  </w:docVars>
  <w:rsids>
    <w:rsidRoot w:val="00BF2ECD"/>
    <w:rsid w:val="00000558"/>
    <w:rsid w:val="00023A81"/>
    <w:rsid w:val="00042BFF"/>
    <w:rsid w:val="00044C7A"/>
    <w:rsid w:val="00066A9B"/>
    <w:rsid w:val="000677A3"/>
    <w:rsid w:val="0007109D"/>
    <w:rsid w:val="00076890"/>
    <w:rsid w:val="000A303A"/>
    <w:rsid w:val="000B1501"/>
    <w:rsid w:val="000B4D07"/>
    <w:rsid w:val="000B749E"/>
    <w:rsid w:val="000C0ED4"/>
    <w:rsid w:val="001106DC"/>
    <w:rsid w:val="001131C8"/>
    <w:rsid w:val="00115784"/>
    <w:rsid w:val="0011587C"/>
    <w:rsid w:val="00116206"/>
    <w:rsid w:val="001234CD"/>
    <w:rsid w:val="00126188"/>
    <w:rsid w:val="001338F8"/>
    <w:rsid w:val="00136732"/>
    <w:rsid w:val="001368F4"/>
    <w:rsid w:val="001542ED"/>
    <w:rsid w:val="001736D2"/>
    <w:rsid w:val="00185083"/>
    <w:rsid w:val="001A4FF9"/>
    <w:rsid w:val="001C4748"/>
    <w:rsid w:val="001D0B3B"/>
    <w:rsid w:val="001F39E2"/>
    <w:rsid w:val="001F6E1B"/>
    <w:rsid w:val="00200A4E"/>
    <w:rsid w:val="00217E0A"/>
    <w:rsid w:val="002248B6"/>
    <w:rsid w:val="00236BC5"/>
    <w:rsid w:val="00236C62"/>
    <w:rsid w:val="002403D1"/>
    <w:rsid w:val="00244CB4"/>
    <w:rsid w:val="0025203A"/>
    <w:rsid w:val="00256D90"/>
    <w:rsid w:val="00260AEC"/>
    <w:rsid w:val="002656E6"/>
    <w:rsid w:val="00280D65"/>
    <w:rsid w:val="00282074"/>
    <w:rsid w:val="002829FC"/>
    <w:rsid w:val="00293FD7"/>
    <w:rsid w:val="00297220"/>
    <w:rsid w:val="002A204A"/>
    <w:rsid w:val="002B10C0"/>
    <w:rsid w:val="002B1AAA"/>
    <w:rsid w:val="002B1D51"/>
    <w:rsid w:val="002B272A"/>
    <w:rsid w:val="002C38B4"/>
    <w:rsid w:val="002D50A1"/>
    <w:rsid w:val="002D7209"/>
    <w:rsid w:val="002F1362"/>
    <w:rsid w:val="002F71BA"/>
    <w:rsid w:val="00310B5F"/>
    <w:rsid w:val="00312751"/>
    <w:rsid w:val="00313A26"/>
    <w:rsid w:val="00323F0C"/>
    <w:rsid w:val="00335947"/>
    <w:rsid w:val="003518F4"/>
    <w:rsid w:val="00352E42"/>
    <w:rsid w:val="003618CE"/>
    <w:rsid w:val="00371D99"/>
    <w:rsid w:val="00373260"/>
    <w:rsid w:val="003B1937"/>
    <w:rsid w:val="003B4C94"/>
    <w:rsid w:val="003B6574"/>
    <w:rsid w:val="003C79FD"/>
    <w:rsid w:val="003D316E"/>
    <w:rsid w:val="003D568F"/>
    <w:rsid w:val="003D5F47"/>
    <w:rsid w:val="003E6D07"/>
    <w:rsid w:val="003E780F"/>
    <w:rsid w:val="0040046B"/>
    <w:rsid w:val="00401F64"/>
    <w:rsid w:val="00410B10"/>
    <w:rsid w:val="0041138F"/>
    <w:rsid w:val="00412966"/>
    <w:rsid w:val="004258D9"/>
    <w:rsid w:val="00453167"/>
    <w:rsid w:val="00464EE4"/>
    <w:rsid w:val="00476CC5"/>
    <w:rsid w:val="00493947"/>
    <w:rsid w:val="004A1B28"/>
    <w:rsid w:val="004A7E13"/>
    <w:rsid w:val="004D1F87"/>
    <w:rsid w:val="004D3B4A"/>
    <w:rsid w:val="00506BF2"/>
    <w:rsid w:val="00513C5D"/>
    <w:rsid w:val="005359F9"/>
    <w:rsid w:val="005372F3"/>
    <w:rsid w:val="00553D72"/>
    <w:rsid w:val="00556D82"/>
    <w:rsid w:val="00557379"/>
    <w:rsid w:val="00573CBD"/>
    <w:rsid w:val="00590F58"/>
    <w:rsid w:val="00596FAF"/>
    <w:rsid w:val="00597369"/>
    <w:rsid w:val="005A0180"/>
    <w:rsid w:val="005B39CA"/>
    <w:rsid w:val="005C09E7"/>
    <w:rsid w:val="005C4172"/>
    <w:rsid w:val="005C682E"/>
    <w:rsid w:val="005D2835"/>
    <w:rsid w:val="005E3CF0"/>
    <w:rsid w:val="005F4FF5"/>
    <w:rsid w:val="0061326B"/>
    <w:rsid w:val="00620B43"/>
    <w:rsid w:val="00620EC5"/>
    <w:rsid w:val="0062549D"/>
    <w:rsid w:val="00631267"/>
    <w:rsid w:val="006354CD"/>
    <w:rsid w:val="006504D4"/>
    <w:rsid w:val="00651AA4"/>
    <w:rsid w:val="00661053"/>
    <w:rsid w:val="00667AB7"/>
    <w:rsid w:val="00671FBA"/>
    <w:rsid w:val="006754DD"/>
    <w:rsid w:val="0067715C"/>
    <w:rsid w:val="00695BFD"/>
    <w:rsid w:val="006A2F1E"/>
    <w:rsid w:val="006B45CE"/>
    <w:rsid w:val="006C17EA"/>
    <w:rsid w:val="006C776A"/>
    <w:rsid w:val="006D0157"/>
    <w:rsid w:val="006D4126"/>
    <w:rsid w:val="006D43CB"/>
    <w:rsid w:val="006D5F6F"/>
    <w:rsid w:val="006F4AE8"/>
    <w:rsid w:val="00700B89"/>
    <w:rsid w:val="007013C7"/>
    <w:rsid w:val="0070209D"/>
    <w:rsid w:val="00712199"/>
    <w:rsid w:val="007234C6"/>
    <w:rsid w:val="0072400B"/>
    <w:rsid w:val="007327DA"/>
    <w:rsid w:val="00735DEB"/>
    <w:rsid w:val="00735F0E"/>
    <w:rsid w:val="007402F5"/>
    <w:rsid w:val="00743BE3"/>
    <w:rsid w:val="00755357"/>
    <w:rsid w:val="007750BF"/>
    <w:rsid w:val="00777CF0"/>
    <w:rsid w:val="00790DDB"/>
    <w:rsid w:val="00797591"/>
    <w:rsid w:val="007A1818"/>
    <w:rsid w:val="007C024B"/>
    <w:rsid w:val="007C7B16"/>
    <w:rsid w:val="007D094E"/>
    <w:rsid w:val="007D4EB1"/>
    <w:rsid w:val="007D78FA"/>
    <w:rsid w:val="007E16BB"/>
    <w:rsid w:val="007E38B2"/>
    <w:rsid w:val="007F3C72"/>
    <w:rsid w:val="007F6E92"/>
    <w:rsid w:val="008025F1"/>
    <w:rsid w:val="00804125"/>
    <w:rsid w:val="00811905"/>
    <w:rsid w:val="0081337D"/>
    <w:rsid w:val="008153D5"/>
    <w:rsid w:val="00816BA0"/>
    <w:rsid w:val="008303FC"/>
    <w:rsid w:val="00844DAD"/>
    <w:rsid w:val="00852A08"/>
    <w:rsid w:val="008857F3"/>
    <w:rsid w:val="00895647"/>
    <w:rsid w:val="008A1785"/>
    <w:rsid w:val="008A4264"/>
    <w:rsid w:val="008B262B"/>
    <w:rsid w:val="008C1D3B"/>
    <w:rsid w:val="008C63A3"/>
    <w:rsid w:val="008C72AF"/>
    <w:rsid w:val="008E0969"/>
    <w:rsid w:val="008E2FF0"/>
    <w:rsid w:val="008F2413"/>
    <w:rsid w:val="00920744"/>
    <w:rsid w:val="00921EFC"/>
    <w:rsid w:val="00923C4A"/>
    <w:rsid w:val="009424BD"/>
    <w:rsid w:val="00942D16"/>
    <w:rsid w:val="00943543"/>
    <w:rsid w:val="00977116"/>
    <w:rsid w:val="0098079C"/>
    <w:rsid w:val="0099256D"/>
    <w:rsid w:val="0099288B"/>
    <w:rsid w:val="009A7A4E"/>
    <w:rsid w:val="009B26FA"/>
    <w:rsid w:val="009C0D81"/>
    <w:rsid w:val="009E2EA7"/>
    <w:rsid w:val="009E4310"/>
    <w:rsid w:val="009E5995"/>
    <w:rsid w:val="009F1314"/>
    <w:rsid w:val="009F3871"/>
    <w:rsid w:val="00A01863"/>
    <w:rsid w:val="00A01970"/>
    <w:rsid w:val="00A11379"/>
    <w:rsid w:val="00A15199"/>
    <w:rsid w:val="00A213A6"/>
    <w:rsid w:val="00A317FA"/>
    <w:rsid w:val="00A36175"/>
    <w:rsid w:val="00A37804"/>
    <w:rsid w:val="00A41756"/>
    <w:rsid w:val="00A42EA9"/>
    <w:rsid w:val="00A434E5"/>
    <w:rsid w:val="00A6419A"/>
    <w:rsid w:val="00A65322"/>
    <w:rsid w:val="00A84644"/>
    <w:rsid w:val="00A859DD"/>
    <w:rsid w:val="00A87B9E"/>
    <w:rsid w:val="00AA1DF6"/>
    <w:rsid w:val="00AA29BA"/>
    <w:rsid w:val="00AA71F3"/>
    <w:rsid w:val="00AC6182"/>
    <w:rsid w:val="00AE0A07"/>
    <w:rsid w:val="00AF14E0"/>
    <w:rsid w:val="00AF679E"/>
    <w:rsid w:val="00AF6CBC"/>
    <w:rsid w:val="00B03C3F"/>
    <w:rsid w:val="00B05D30"/>
    <w:rsid w:val="00B13CF1"/>
    <w:rsid w:val="00B17E55"/>
    <w:rsid w:val="00B22503"/>
    <w:rsid w:val="00B22C3F"/>
    <w:rsid w:val="00B3338B"/>
    <w:rsid w:val="00B3792A"/>
    <w:rsid w:val="00B701B0"/>
    <w:rsid w:val="00B7072A"/>
    <w:rsid w:val="00B876F3"/>
    <w:rsid w:val="00B925FB"/>
    <w:rsid w:val="00B94464"/>
    <w:rsid w:val="00B952CF"/>
    <w:rsid w:val="00B96186"/>
    <w:rsid w:val="00BA10CE"/>
    <w:rsid w:val="00BB1CDF"/>
    <w:rsid w:val="00BB2C6B"/>
    <w:rsid w:val="00BB5BE6"/>
    <w:rsid w:val="00BC0FA4"/>
    <w:rsid w:val="00BC4906"/>
    <w:rsid w:val="00BD39D5"/>
    <w:rsid w:val="00BD73A5"/>
    <w:rsid w:val="00BE1443"/>
    <w:rsid w:val="00BE1872"/>
    <w:rsid w:val="00BF2ECD"/>
    <w:rsid w:val="00C127A1"/>
    <w:rsid w:val="00C24B0C"/>
    <w:rsid w:val="00C32543"/>
    <w:rsid w:val="00C33D9B"/>
    <w:rsid w:val="00C350AC"/>
    <w:rsid w:val="00C5311C"/>
    <w:rsid w:val="00C55DD3"/>
    <w:rsid w:val="00C578DC"/>
    <w:rsid w:val="00C62566"/>
    <w:rsid w:val="00C65234"/>
    <w:rsid w:val="00C77DE7"/>
    <w:rsid w:val="00C95541"/>
    <w:rsid w:val="00CD0630"/>
    <w:rsid w:val="00CD1019"/>
    <w:rsid w:val="00CE14BC"/>
    <w:rsid w:val="00CE40EB"/>
    <w:rsid w:val="00CE4AF8"/>
    <w:rsid w:val="00CF0C42"/>
    <w:rsid w:val="00CF7440"/>
    <w:rsid w:val="00D14999"/>
    <w:rsid w:val="00D22E8F"/>
    <w:rsid w:val="00D361B4"/>
    <w:rsid w:val="00D369AC"/>
    <w:rsid w:val="00D37438"/>
    <w:rsid w:val="00D467FA"/>
    <w:rsid w:val="00D510D0"/>
    <w:rsid w:val="00D55B04"/>
    <w:rsid w:val="00D65F63"/>
    <w:rsid w:val="00D6714D"/>
    <w:rsid w:val="00D86053"/>
    <w:rsid w:val="00DA619E"/>
    <w:rsid w:val="00DD5D73"/>
    <w:rsid w:val="00DF01A6"/>
    <w:rsid w:val="00E07AE5"/>
    <w:rsid w:val="00E11AE1"/>
    <w:rsid w:val="00E12D0A"/>
    <w:rsid w:val="00E266AC"/>
    <w:rsid w:val="00E26D37"/>
    <w:rsid w:val="00E3611A"/>
    <w:rsid w:val="00E472A4"/>
    <w:rsid w:val="00E5613E"/>
    <w:rsid w:val="00E64695"/>
    <w:rsid w:val="00E75646"/>
    <w:rsid w:val="00E77DAE"/>
    <w:rsid w:val="00E849A6"/>
    <w:rsid w:val="00E85DCB"/>
    <w:rsid w:val="00E91ED4"/>
    <w:rsid w:val="00EB1BF6"/>
    <w:rsid w:val="00EB6E87"/>
    <w:rsid w:val="00EE2F85"/>
    <w:rsid w:val="00EE76FD"/>
    <w:rsid w:val="00EF1CA7"/>
    <w:rsid w:val="00F034B1"/>
    <w:rsid w:val="00F12638"/>
    <w:rsid w:val="00F14B37"/>
    <w:rsid w:val="00F16BA6"/>
    <w:rsid w:val="00F24536"/>
    <w:rsid w:val="00F37ED3"/>
    <w:rsid w:val="00F40CC9"/>
    <w:rsid w:val="00F64510"/>
    <w:rsid w:val="00F73F5B"/>
    <w:rsid w:val="00F976C4"/>
    <w:rsid w:val="00FA7101"/>
    <w:rsid w:val="00FB1090"/>
    <w:rsid w:val="00FB5BD8"/>
    <w:rsid w:val="00FB66C9"/>
    <w:rsid w:val="00FF73E7"/>
    <w:rsid w:val="035A6646"/>
    <w:rsid w:val="03EB2CFA"/>
    <w:rsid w:val="05957D83"/>
    <w:rsid w:val="0D4A48FD"/>
    <w:rsid w:val="0E1D53EF"/>
    <w:rsid w:val="1057106E"/>
    <w:rsid w:val="106E29B8"/>
    <w:rsid w:val="117D1D4B"/>
    <w:rsid w:val="11ED013B"/>
    <w:rsid w:val="15E75F42"/>
    <w:rsid w:val="162D636F"/>
    <w:rsid w:val="1A7A3C00"/>
    <w:rsid w:val="1FA522C9"/>
    <w:rsid w:val="20711CD8"/>
    <w:rsid w:val="240F5B5F"/>
    <w:rsid w:val="249E0AA2"/>
    <w:rsid w:val="2590132F"/>
    <w:rsid w:val="25E863C9"/>
    <w:rsid w:val="28CC03F4"/>
    <w:rsid w:val="2A157B78"/>
    <w:rsid w:val="2B276CEE"/>
    <w:rsid w:val="2C781282"/>
    <w:rsid w:val="2EFA5C41"/>
    <w:rsid w:val="2FE463EC"/>
    <w:rsid w:val="31B252B1"/>
    <w:rsid w:val="31BE2252"/>
    <w:rsid w:val="32FD5B11"/>
    <w:rsid w:val="353B17D2"/>
    <w:rsid w:val="37F0752F"/>
    <w:rsid w:val="39C52500"/>
    <w:rsid w:val="3C73403C"/>
    <w:rsid w:val="3EA36BF5"/>
    <w:rsid w:val="3EF5367D"/>
    <w:rsid w:val="428C0DFC"/>
    <w:rsid w:val="43162B45"/>
    <w:rsid w:val="4A04467A"/>
    <w:rsid w:val="4ADF17E2"/>
    <w:rsid w:val="4C31118F"/>
    <w:rsid w:val="4C4332C5"/>
    <w:rsid w:val="4E953FA2"/>
    <w:rsid w:val="4F773D5F"/>
    <w:rsid w:val="51611D91"/>
    <w:rsid w:val="573434A1"/>
    <w:rsid w:val="5A1B46D2"/>
    <w:rsid w:val="5C35439C"/>
    <w:rsid w:val="6071095D"/>
    <w:rsid w:val="64D50AFB"/>
    <w:rsid w:val="683776B8"/>
    <w:rsid w:val="6883289A"/>
    <w:rsid w:val="68B0214B"/>
    <w:rsid w:val="694C2FB7"/>
    <w:rsid w:val="695533C3"/>
    <w:rsid w:val="6B166CD1"/>
    <w:rsid w:val="6BDA6B6B"/>
    <w:rsid w:val="71C70D25"/>
    <w:rsid w:val="73430E75"/>
    <w:rsid w:val="74754417"/>
    <w:rsid w:val="75B17106"/>
    <w:rsid w:val="7742360C"/>
    <w:rsid w:val="786762CD"/>
    <w:rsid w:val="795266C3"/>
    <w:rsid w:val="7AAA62CC"/>
    <w:rsid w:val="7E6D4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semiHidden/>
    <w:unhideWhenUsed/>
    <w:qFormat/>
    <w:uiPriority w:val="39"/>
    <w:pPr>
      <w:ind w:left="420" w:leftChars="200"/>
    </w:pPr>
  </w:style>
  <w:style w:type="paragraph" w:styleId="7">
    <w:name w:val="annotation subject"/>
    <w:basedOn w:val="2"/>
    <w:next w:val="2"/>
    <w:link w:val="18"/>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字符"/>
    <w:basedOn w:val="9"/>
    <w:link w:val="4"/>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页眉 字符"/>
    <w:basedOn w:val="9"/>
    <w:link w:val="5"/>
    <w:qFormat/>
    <w:uiPriority w:val="99"/>
    <w:rPr>
      <w:rFonts w:ascii="Calibri" w:hAnsi="Calibri" w:eastAsia="宋体" w:cs="Times New Roman"/>
      <w:sz w:val="18"/>
      <w:szCs w:val="18"/>
    </w:rPr>
  </w:style>
  <w:style w:type="character" w:customStyle="1" w:styleId="14">
    <w:name w:val="批注框文本 字符"/>
    <w:basedOn w:val="9"/>
    <w:link w:val="3"/>
    <w:semiHidden/>
    <w:qFormat/>
    <w:uiPriority w:val="99"/>
    <w:rPr>
      <w:rFonts w:ascii="Calibri" w:hAnsi="Calibri" w:eastAsia="宋体" w:cs="Times New Roman"/>
      <w:sz w:val="18"/>
      <w:szCs w:val="18"/>
    </w:rPr>
  </w:style>
  <w:style w:type="paragraph" w:customStyle="1" w:styleId="15">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6">
    <w:name w:val="修订1"/>
    <w:hidden/>
    <w:semiHidden/>
    <w:qFormat/>
    <w:uiPriority w:val="99"/>
    <w:rPr>
      <w:rFonts w:ascii="Calibri" w:hAnsi="Calibri" w:eastAsia="宋体" w:cs="Times New Roman"/>
      <w:kern w:val="2"/>
      <w:sz w:val="21"/>
      <w:szCs w:val="22"/>
      <w:lang w:val="en-US" w:eastAsia="zh-CN" w:bidi="ar-SA"/>
    </w:rPr>
  </w:style>
  <w:style w:type="character" w:customStyle="1" w:styleId="17">
    <w:name w:val="批注文字 字符"/>
    <w:basedOn w:val="9"/>
    <w:link w:val="2"/>
    <w:qFormat/>
    <w:uiPriority w:val="99"/>
    <w:rPr>
      <w:rFonts w:ascii="Calibri" w:hAnsi="Calibri" w:eastAsia="宋体" w:cs="Times New Roman"/>
      <w:kern w:val="2"/>
      <w:sz w:val="21"/>
      <w:szCs w:val="22"/>
    </w:rPr>
  </w:style>
  <w:style w:type="character" w:customStyle="1" w:styleId="18">
    <w:name w:val="批注主题 字符"/>
    <w:basedOn w:val="17"/>
    <w:link w:val="7"/>
    <w:qFormat/>
    <w:uiPriority w:val="0"/>
    <w:rPr>
      <w:rFonts w:ascii="Calibri" w:hAnsi="Calibri" w:eastAsia="宋体" w:cs="Times New Roman"/>
      <w:kern w:val="2"/>
      <w:sz w:val="21"/>
      <w:szCs w:val="22"/>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327</Words>
  <Characters>1867</Characters>
  <Lines>15</Lines>
  <Paragraphs>4</Paragraphs>
  <TotalTime>0</TotalTime>
  <ScaleCrop>false</ScaleCrop>
  <LinksUpToDate>false</LinksUpToDate>
  <CharactersWithSpaces>2190</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2023-06-21T08:20:00Z</dcterms:created>
  <dc:creator>shytan</dc:creator>
  <cp:lastModifiedBy>黄文怡</cp:lastModifiedBy>
  <cp:lastPrinted>2022-09-26T02:35:00Z</cp:lastPrinted>
  <dcterms:modified xsi:type="dcterms:W3CDTF">2025-04-01T08:42:37Z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18FFA792316147009FE73337D98D1E0F</vt:lpwstr>
  </property>
</Properties>
</file>