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05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Style w:val="6"/>
          <w:rFonts w:hint="default" w:ascii="Times New Roman" w:hAnsi="Times New Roman" w:eastAsia="方正黑体_GBK" w:cs="Times New Roman"/>
          <w:sz w:val="32"/>
          <w:szCs w:val="32"/>
          <w:u w:val="none"/>
          <w:lang w:val="en-US"/>
        </w:rPr>
      </w:pPr>
      <w:r>
        <w:rPr>
          <w:rStyle w:val="6"/>
          <w:rFonts w:hint="default" w:ascii="Times New Roman" w:hAnsi="Times New Roman" w:eastAsia="方正黑体_GBK" w:cs="Times New Roman"/>
          <w:sz w:val="32"/>
          <w:szCs w:val="32"/>
          <w:u w:val="none"/>
        </w:rPr>
        <w:t>附件</w:t>
      </w:r>
      <w:r>
        <w:rPr>
          <w:rStyle w:val="6"/>
          <w:rFonts w:hint="default" w:ascii="Times New Roman" w:hAnsi="Times New Roman" w:eastAsia="方正黑体_GBK" w:cs="Times New Roman"/>
          <w:sz w:val="32"/>
          <w:szCs w:val="32"/>
          <w:u w:val="none"/>
          <w:lang w:val="en-US"/>
        </w:rPr>
        <w:t>1</w:t>
      </w:r>
    </w:p>
    <w:p w14:paraId="7F81364B">
      <w:pPr>
        <w:spacing w:line="59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24656DC0">
      <w:pPr>
        <w:spacing w:line="59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打造通用人工智能产业创新和应用高地</w:t>
      </w:r>
    </w:p>
    <w:p w14:paraId="1930A269">
      <w:pPr>
        <w:spacing w:line="59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若干政策（2.0版）</w:t>
      </w:r>
    </w:p>
    <w:p w14:paraId="346DFE79">
      <w:pPr>
        <w:spacing w:line="59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5FE4F01">
      <w:pPr>
        <w:spacing w:line="59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为深入贯彻落实《安徽省加快推动“人工智能+”行动方案》，加速大模型等人工智能技术赋能千行百业，推动我省率先进入通用人工智能时代，制定如下政策。</w:t>
      </w:r>
    </w:p>
    <w:p w14:paraId="546DCF55">
      <w:pPr>
        <w:spacing w:line="59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1.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强化重大应用场景供给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设立人工智能场景创新项目，支持面向“人工智能+”科技创新、产业升级、公共服务、社会民生等开放场景机会，鼓励围绕优势细分行业创设典型场景，每年发布一批应用场景创新重点任务并组织“揭榜挂帅”，对揭榜成功的项目给予不超过场景开发投入的20%、最高1000万元支持。（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牵头单位：省科技厅；配合单位：省有关部门，各市人民政府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）支持建设科学研究领域人工智能应用基地，按不超过项目主体当年研发投入的30%，给予最高1000万元支持。（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牵头单位：省科技厅；配合单位：省财政厅，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有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关市人民政府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</w:t>
      </w:r>
    </w:p>
    <w:p w14:paraId="1CEEC520">
      <w:pPr>
        <w:spacing w:line="590" w:lineRule="exact"/>
        <w:ind w:firstLine="640" w:firstLineChars="200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2.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促进垂类模型应用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。开展省级通用人工智能场景应用标杆评比，对评选优秀的案例给予场景开发投入的20%、最高100万元支持。本条款与第1条中应用场景揭榜项目政策不重复资金支持。（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牵头单位：省科技厅；配合单位：省有关部门，各市人民政府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）支持通用人工智能创新产品申报省“三首”产品。依法依规在招投标和政府采购中采用首购、订购等方式采购，促进产品研发和示范应用。（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牵头单位：省工业和信息化厅、省科技厅、省财政厅）</w:t>
      </w:r>
    </w:p>
    <w:p w14:paraId="289F106F">
      <w:pPr>
        <w:spacing w:line="59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3.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降低算力使用成本。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升级完善省级智能算力统筹调度平台。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（牵头单位：省数据资源局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）鼓励企业、高校院所利用智能算力资源开展科技创新，省级根据调度平台中算力实际使用量，对企业、高校院所等算力使用方（自建自用除外）给予不超过算力总支出20%的支持。（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牵头单位：省科技厅；配合单位：省发展改革委、省财政厅、省数据资源局，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有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关市人民政府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</w:t>
      </w:r>
    </w:p>
    <w:p w14:paraId="59B616F1">
      <w:pPr>
        <w:spacing w:line="59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4.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强化关键核心技术攻关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。通过“揭榜挂帅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”“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赛马”等方式，在省级科技计划项目中支持通用大模型、垂类模型、数据标注创新、安全可控技术以及通用人工智能其他路径探索的应用研究。（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牵头单位：省科技厅；配合单位：省发展改革委、省工业和信息化厅、省财政厅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、省数据资源局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在省自然科学基金中设立人工智能赋能科学研究项目指南，重点支持青年人才使用AI科研工具开展基础研究。在省科技计划项目中设立AI青年科学家项目指南，支持青年科学家开展垂类模型研发、工程化创新和非共识项目等攻关。（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牵头单位：省科技厅；配合单位：省财政厅，各市人民政府）</w:t>
      </w:r>
    </w:p>
    <w:p w14:paraId="25CFFA37">
      <w:pPr>
        <w:spacing w:line="590" w:lineRule="exact"/>
        <w:ind w:firstLine="640" w:firstLineChars="200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5.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举办创新应用活动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举办通用人工智能创新应用全国大赛，努力打造成为全国性著名赛事，对创新能力强、市场前景广、应用成效显著并在皖转化的获奖项目，省市统筹相关基金资金，给予股权投资、债权投入、人才奖励、大赛奖金等创新创业政策支持，最高支持3000万元。（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牵头单位：省科技厅；配合单位：省财政厅，各市人民政府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）鼓励国家级学会在皖举办人工智能领域高水平、高规格学术研讨、产学研对接等活动，根据活动规模影响予以支持。（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牵头单位：省科技厅；配合单位：省财政厅，各市人民政府）</w:t>
      </w:r>
    </w:p>
    <w:p w14:paraId="116E5B66">
      <w:pPr>
        <w:spacing w:line="590" w:lineRule="exact"/>
        <w:ind w:firstLine="640" w:firstLineChars="200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6.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支持产业集聚发展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。支持各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地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政府和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经营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主体争创省级通用人工智能产业创新园区。适时开展园区绩效评价并分类予以奖励，最高500万元，用于企业培育、平台建设、服务能力提升等。对获得《安徽省支持未来产业发展若干措施》支持且所属领域为“通用智能”的省级未来产业先导区不重复资金支持。（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牵头单位：省科技厅；配合单位：各市人民政府）</w:t>
      </w:r>
    </w:p>
    <w:p w14:paraId="56F65450">
      <w:pPr>
        <w:spacing w:line="590" w:lineRule="exact"/>
        <w:ind w:firstLine="640" w:firstLineChars="200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7.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强化人才保障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。对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符合条件的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通用人工智能领域企业创始人、核心骨干，开辟人才认定绿色通道。（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牵头单位：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有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关市人民政府；配合单位：省委人才工作局、省人力资源社会保障厅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）完善人工智能领域人才支持政策，加大对青年人才和创新创业团队支持。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（牵头单位：省委人才工作局；配合单位：省科技厅）</w:t>
      </w:r>
    </w:p>
    <w:p w14:paraId="7FC8E608">
      <w:pPr>
        <w:spacing w:line="590" w:lineRule="exact"/>
        <w:ind w:firstLine="640" w:firstLineChars="200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8.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构建金融支撑体系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。充分发挥财政资金等引导作用，撬动保险、信贷、基金等社会资本投向通用人工智能产业。（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牵头单位：省地方金融管理局、省财政厅、省科技厅）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加快运营总规模不低于200亿元的省人工智能产业主题基金，以参股方式支持市国资平台、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经营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主体等设立通用人工智能领域子基金，满足企业和项目资金需求。（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牵头单位：省科技厅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）建立健全保护改革、鼓励探索、宽容失误、纠正偏差的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基金管理有关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实施细则。（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牵头单位：省地方金融管理局、省科技厅、省国资委）</w:t>
      </w:r>
    </w:p>
    <w:p w14:paraId="2DED26C5">
      <w:pPr>
        <w:spacing w:line="590" w:lineRule="exact"/>
        <w:ind w:firstLine="640" w:firstLineChars="200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9.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加大宣传培训力度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。以政府购买服务方式组织开展通用人工智能领域培训活动、推介活动、战略咨询研究等，提升全社会认知水平。（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牵头单位：省科技厅；配合单位：省财政厅、省人力资源社会保障厅）</w:t>
      </w:r>
    </w:p>
    <w:p w14:paraId="61025219">
      <w:pPr>
        <w:spacing w:line="59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本政策自发布之日起实施，有效期至2027年12月31日；省科技厅会同省财政厅等部门制定具体实施细则，对皖北地区符合条件的项目，支持资金可上浮20%。2023年10月印发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《打造通用人工智能产业创新和应用高地若干政策》同时废止，对已享受政策并分期执行的，按原政策规定实施。</w:t>
      </w:r>
    </w:p>
    <w:p w14:paraId="20B79515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77DCC64">
      <w:pPr>
        <w:keepNext/>
        <w:keepLines/>
        <w:suppressAutoHyphens/>
        <w:spacing w:line="600" w:lineRule="exact"/>
        <w:outlineLvl w:val="0"/>
        <w:rPr>
          <w:rFonts w:hint="default" w:ascii="Times New Roman" w:hAnsi="Times New Roman" w:eastAsia="方正黑体_GBK" w:cs="Times New Roman"/>
          <w:kern w:val="44"/>
          <w:sz w:val="32"/>
          <w:szCs w:val="32"/>
        </w:rPr>
        <w:sectPr>
          <w:footerReference r:id="rId3" w:type="default"/>
          <w:pgSz w:w="11906" w:h="16838"/>
          <w:pgMar w:top="1871" w:right="1474" w:bottom="1587" w:left="1474" w:header="851" w:footer="992" w:gutter="0"/>
          <w:pgNumType w:fmt="numberInDash"/>
          <w:cols w:space="425" w:num="1"/>
          <w:docGrid w:type="lines" w:linePitch="312" w:charSpace="0"/>
        </w:sectPr>
      </w:pPr>
    </w:p>
    <w:p w14:paraId="4DE9B5C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82AC4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7AE243"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7AE243"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EE3B68"/>
    <w:rsid w:val="5DEE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rFonts w:ascii="Times New Roman" w:hAnsi="Times New Roman" w:eastAsia="宋体" w:cs="Times New Roman"/>
      <w:kern w:val="2"/>
      <w:sz w:val="18"/>
      <w:szCs w:val="21"/>
      <w:lang w:val="en-US" w:eastAsia="zh-CN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21"/>
      <w:lang w:val="en-US" w:eastAsia="zh-CN" w:bidi="ar-SA"/>
    </w:rPr>
  </w:style>
  <w:style w:type="character" w:customStyle="1" w:styleId="6">
    <w:name w:val=" Char Char1"/>
    <w:qFormat/>
    <w:uiPriority w:val="0"/>
    <w:rPr>
      <w:rFonts w:eastAsia="仿宋_GB2312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2025-08-20T09:05:00Z</dcterms:created>
  <dc:creator>何玉清</dc:creator>
  <cp:lastModifiedBy>何玉清</cp:lastModifiedBy>
  <dcterms:modified xsi:type="dcterms:W3CDTF">2025-08-20T09:05:38Z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174B0BA24C6C4ED29093FD0FC54DF71C_11</vt:lpwstr>
  </property>
  <property fmtid="{D5CDD505-2E9C-101B-9397-08002B2CF9AE}" pid="4" name="KSOTemplateDocerSaveRecord">
    <vt:lpwstr>eyJoZGlkIjoiMjViNmRhNmE0NmEzNDMxMTIyOGUyMTY0MWE5MDhhMWEiLCJ1c2VySWQiOiI1NzEwNzY0NDEifQ==</vt:lpwstr>
  </property>
</Properties>
</file>