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textAlignment w:val="center"/>
        <w:rPr>
          <w:rFonts w:hint="eastAsia" w:ascii="仿宋_GB2312" w:hAnsi="仿宋_GB2312" w:eastAsia="仿宋_GB2312" w:cs="仿宋_GB2312"/>
          <w:b/>
          <w:bCs/>
          <w:i w:val="0"/>
          <w:iCs w:val="0"/>
          <w:caps w:val="0"/>
          <w:color w:val="000000" w:themeColor="text1"/>
          <w:spacing w:val="0"/>
          <w:sz w:val="44"/>
          <w:szCs w:val="4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44"/>
          <w:szCs w:val="44"/>
          <w:shd w:val="clear" w:fill="FFFFFF"/>
          <w:lang w:val="en-US" w:eastAsia="zh-CN" w:bidi="ar"/>
          <w14:textFill>
            <w14:solidFill>
              <w14:schemeClr w14:val="tx1"/>
            </w14:solidFill>
          </w14:textFill>
        </w:rPr>
        <w:t>财政部 税务总局关于完善增值税期末留抵退税政策的公告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textAlignment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财政部 税务总局公告2025年第7号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现将完善增值税期末留抵退税政策有关事项公告如下：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一、自2025年9月增值税纳税申报期起，符合条件的增值税一般纳税人（以下简称纳税人）可以按照以下规定向主管税务机关申请退还期末留抵税额。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（一）“制造业”、“科学研究和技术服务业”、“软件和信息技术服务业”、“生态保护和环境治理业”（以下简称制造业等4个行业）纳税人，可以按月向主管税务机关申请退还期末留抵税额。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房地产开发经营业纳税人，与2019年3月31日期末留抵税额相比，申请退税前连续六个月（按季纳税的，连续两个季度，下同）期末新增加留抵税额均大于零，且第六个月（按季纳税的，第二季度，下同）期末新增加留抵税额不低于50万元的，可以向主管税务机关申请退还第六个月期末新增加留抵税额的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除制造业等4个行业和房地产开发经营业纳税人以外的其他纳税人，申请退税前连续六个月期末留抵税额均大于零，且第六个月期末留抵税额与申请退税前一税款所属期上一年度12月31日期末留抵税额相比新增加留抵税额不低于50万元的，可以向主管税务机关申请按比例退还新增加留抵税额。新增加留抵税额不超过1亿元的部分（含1亿元），退税比例为60%；超过1亿元的部分，退税比例为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房地产开发经营业纳税人不符合本条第二项规定的，可以按照本条第三项规定申请退还期末留抵税额。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二、适用本公告政策的纳税人需同时符合以下条件：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（一）纳税缴费信用级别为A级或者B级。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（二）申请退税前36个月未发生骗取留抵退税、骗取出口退税或者虚开增值税专用发票情形。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（三）申请退税前36个月未因偷税被税务机关处罚两次及以上。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（四）2019年4月1日起未享受增值税即征即退、先征后返（退）政策，本公告另有规定的除外。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本公告所称制造业等4个行业纳税人，是指从事《国民经济行业分类》中“制造业”、“科学研究和技术服务业”、“软件和信息技术服务业”、“生态保护和环境治理业”业务相应发生的增值税销售额占其全部增值税销售额的比重超过50%的纳税人。销售额比重根据纳税人申请退税前连续12个月的销售额计算确定；申请退税前经营期不满12个月但满3个月的，按照实际经营期的销售额计算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四、本公告所称房地产开发经营业纳税人，是指从事《国民经济行业分类》中“房地产开发经营”业务相应发生的增值税销售额及预收款占其全部增值税销售额及预收款的比重超过50%的纳税人。销售额及预收款比重根据纳税人申请退税前连续12个月的销售额及预收款计算确定；申请退税前经营期不满12个月但满3个月的，按照实际经营期的销售额及预收款计算确定。同一计算期间内已经参与比重计算的预收款，不得重复参与增值税销售额的计算。预收款是指采取预售方式销售自行开发的房地产项目收到的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同一计算期间内既取得房地产开发经营业务增值税销售额或预收款，又取得其他业务增值税销售额，且符合本条第一款增值税销售额及预收款比重规定的纳税人，申请退还期末留抵税额时，应当按照本公告第一条第二项、第三项第二款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五、本公告第三条和第四条所称增值税销售额，包括纳税申报销售额、稽查查补销售额、纳税评估调整销售额等；适用增值税差额征税政策的，以差额前的金额确定。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六、税务机关核准纳税人留抵退税申请后，纳税人再次满足本公告规定的退税条件，可以继续向主管税务机关申请退还期末留抵税额，但本公告第一条第二项、第三项规定的连续六个月计算期间，与已核准留抵退税申请不得重复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七、适用本公告政策的纳税人，按照以下公式计算允许退还的留抵税额：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（一）适用本公告第一条第一项政策的，允许退还的留抵税额=当期期末留抵税额×进项构成比例×100%；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（二）适用本公告第一条第二项政策的，允许退还的留抵税额=当期期末留抵税额与2019年3月31日期末留抵税额相比新增加留抵税额×进项构成比例×60%；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适用本公告第一条第三项政策的，允许退还的留抵税额=当期期末留抵税额与申请退税前一税款所属期上一年度12月31日期末留抵税额相比新增加留抵税额不超过1亿元的部分×进项构成比例×60%+超过1亿元的部分×进项构成比例×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条第一项和第二项的进项构成比例，为2019年4月至申请退税前一税款所属期已抵扣的增值税专用发票、海关进口增值税专用缴款书、完税凭证、机动车销售统一发票、收费公路通行费增值税电子普通发票、电子发票（航空运输电子客票行程单）、电子发票（铁路电子客票）等增值税扣税凭证（以下简称七类增值税扣税凭证）注明的增值税额占同期全部已抵扣进项税额的比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本条第三项的进项构成比例，为申请退税前一税款所属期当年1月至申请退税前一税款所属期已抵扣的七类增值税扣税凭证注明的增值税额占同期全部已抵扣进项税额的比重。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八、纳税人出口货物或者跨境销售服务、无形资产，适用免抵退税办法的，应当先办理免抵退税，免抵退税办理完毕后，仍符合本公告规定条件的，可以按规定办理留抵退税；适用免退税办法的，对应进项税额不得用于退还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九、纳税人自2019年4月1日起已取得留抵退税款的，不得再申请享受增值税即征即退、先征后返（退）政策。纳税人一次性将已取得的留抵退税款全部缴回后，可以就缴回当月起发生的增值税应税交易按照规定申请享受增值税即征即退、先征后返（退）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纳税人自2019年4月1日起已享受增值税即征即退、先征后返（退）政策的，一次性将已退还的增值税即征即退、先征后返（退）税款全部缴回后，可以自全部缴回次月起按照规定申请退还期末留抵税额。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纳税人按照上述规定全部缴回已退税款后适用留抵退税或者即征即退、先征后返（退）政策的，自全部缴回次月起36个月内不得变更。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十、纳税人可以选择将期末留抵税额结转下期继续抵扣，也可以按照本公告的规定，在符合留抵退税条件的次月增值税纳税申报期内，完成本期增值税纳税申报后，向主管税务机关申请退还期末留抵税额。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税务机关核准纳税人留抵退税申请后，纳税人应当按照核准的留抵退税款相应调减当期留抵税额。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纳税人取得退还的留抵退税款后，如果发现纳税人存在留抵退税政策适用有误的情形，纳税人应当在下个增值税纳税申报期结束前缴回相关留抵退税款。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纳税人以隐匿收入、虚增进项税额、虚假申报或其他欺骗手段骗取留抵退税款的，由税务机关追缴其骗取的退税款，并按照《中华人民共和国税收征收管理法》等有关规定处理。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十一、本公告自2025年9月1日起施行。《财政部 税务总局 海关总署关于深化增值税改革有关政策的公告》（财政部 税务总局 海关总署公告2019年第39号）第八条、《财政部 税务总局关于进一步加大增值税期末留抵退税政策实施力度的公告》（财政部 税务总局公告2022年第14号）、《财政部 税务总局关于进一步加快增值税期末留抵退税政策实施进度的公告》（财政部 税务总局公告2022年第17号）、《财政部 税务总局关于进一步持续加快增值税期末留抵退税政策实施进度的公告》（财政部 税务总局公告2022年第19号）、《财政部 税务总局关于扩大全额退还增值税留抵税额政策行业范围的公告》（财政部 税务总局公告2022年第21号）同时废止。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本公告施行前税务机关已受理但尚未办理完毕的留抵退税申请，仍按原规定办理。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财政部 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2025年8月22日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textAlignment w:val="center"/>
        <w:rPr>
          <w:rFonts w:hint="eastAsia" w:ascii="仿宋_GB2312" w:hAnsi="仿宋_GB2312" w:eastAsia="仿宋_GB2312" w:cs="仿宋_GB2312"/>
          <w:b/>
          <w:bCs/>
          <w:i w:val="0"/>
          <w:iCs w:val="0"/>
          <w:caps w:val="0"/>
          <w:color w:val="000000" w:themeColor="text1"/>
          <w:spacing w:val="0"/>
          <w:sz w:val="44"/>
          <w:szCs w:val="4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44"/>
          <w:szCs w:val="44"/>
          <w:bdr w:val="none" w:color="auto" w:sz="0" w:space="0"/>
          <w:shd w:val="clear" w:fill="FFFFFF"/>
          <w:lang w:val="en-US" w:eastAsia="zh-CN" w:bidi="ar"/>
          <w14:textFill>
            <w14:solidFill>
              <w14:schemeClr w14:val="tx1"/>
            </w14:solidFill>
          </w14:textFill>
        </w:rPr>
        <w:t>国家税务总局关于办理增值税期末留抵退税有关征管事项的公告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textAlignment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bdr w:val="none" w:color="auto" w:sz="0" w:space="0"/>
          <w:shd w:val="clear" w:fill="FFFFFF"/>
          <w:lang w:val="en-US" w:eastAsia="zh-CN" w:bidi="ar"/>
          <w14:textFill>
            <w14:solidFill>
              <w14:schemeClr w14:val="tx1"/>
            </w14:solidFill>
          </w14:textFill>
        </w:rPr>
        <w:t>国家税务总局公告2025年第20号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按照《财政部 税务总局关于完善增值税期末留抵退税政策的公告》（2025年第7号，以下简称7号公告）的规定，为规范办理增值税期末留抵退税（以下简称留抵退税）业务，现将有关征管事项公告如下：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一、增值税一般纳税人（以下简称纳税人）按照7号公告申请办理留抵退税，应当于符合留抵退税条件的次月，在增值税纳税申报期（以下简称申报期）内，完成本期增值税纳税申报后，通过电子税务局或办税服务厅向主管税务机关提交《退（抵）税申请表》（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二、纳税人出口货物或者跨境销售服务、无形资产，适用免抵退税办法的，可以在同一申报期内，既申报免抵退税又申请办理留抵退税。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申请办理留抵退税的纳税人出口货物或者跨境销售服务、无形资产，适用免抵退税办法的，应当按期申报免抵退税。当期可申报免抵退税的出口销售额为零的，应当办理免抵退税零申报。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三、纳税人适用7号公告规定的留抵退税政策，有纳税缴费信用级别条件要求的，以纳税人向主管税务机关申请办理留抵退税提交《退（抵）税申请表》时的纳税缴费信用级别确定。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四、在计算允许退还的留抵税额的进项构成比例时，参与计算所属期内按照规定转出的进项税额，无需从已抵扣的增值税专用发票、海关进口增值税专用缴款书、完税凭证、机动车销售统一发票、收费公路通行费增值税电子普通发票、电子发票（航空运输电子客票行程单）、电子发票（铁路电子客票）等增值税扣税凭证注明的增值税额中扣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五、税务机关应当按照规定程序和时限受理、审核纳税人的留抵退税申请，并将审核结果告知纳税人。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六、纳税人不存在本公告第七条所列情形的，税务机关应当自受理留抵退税申请之日起（含当日，下同）10个工作日内完成审核，并向纳税人出具《税务事项通知书》。经审核，纳税人符合留抵退税条件的，准予留抵退税，并向纳税人出具准予留抵退税的《税务事项通知书》；纳税人不符合留抵退税条件的，不予留抵退税，并向纳税人出具不予留抵退税的《税务事项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纳税人既申报免抵退税又申请办理留抵退税的，税务机关应当先办理免抵退税。办理免抵退税后，纳税人仍符合留抵退税条件的，再办理留抵退税。上述10个工作日，自免抵退税应退税额核准之日起计算。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七、税务机关在办理留抵退税期间，发现纳税人存在以下情形的，暂停为其办理留抵退税：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（一）存在增值税涉税风险疑点的；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（二）被税务稽查立案且未结案的；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（三）增值税申报比对异常未处理的；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（四）取得增值税异常扣税凭证未处理的；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（五）国家税务总局规定的其他情形。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八、本公告第七条列举的增值税涉税风险疑点等情形已排除，且相关事项处理完毕后，按照以下规定办理：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一）纳税人仍符合留抵退税条件的，税务机关继续为其办理留抵退税，并自增值税涉税风险疑点等情形排除且相关事项处理完毕之日起5个工作日内完成审核，向纳税人出具准予留抵退税的《税务事项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（二）纳税人不再符合留抵退税条件的，不予留抵退税。税务机关应当自增值税涉税风险疑点等情形排除且相关事项处理完毕之日起5个工作日内完成审核，并向纳税人出具不予留抵退税的《税务事项通知书》。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九、纳税人存在以下情形的，税务机关应当终止为其办理留抵退税，并自作出终止办理留抵退税决定之日起5个工作日内，向纳税人出具终止办理留抵退税的 《税务事项通知书》：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（一）税务机关对增值税涉税风险疑点进行排查时，发现纳税人涉嫌骗取出口退税、虚开增值税专用发票等增值税重大税收违法行为的；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（二）国家税务总局规定的其他情形。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上述情形处理完毕后，纳税人仍符合留抵退税条件的，可以按照规定重新申请办理留抵退税。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十、纳税人在办理留抵退税期间发生下列情形的，按照以下规定确定允许退还的留抵税额：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（一）因纳税申报、稽查查补和评估调整等原因，造成期末留抵税额发生变化的，按照最近一期增值税及附加税费申报表“期末留抵税额”确定允许退还的留抵税额。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二）纳税人在同一申报期既申报免抵退税又申请办理留抵退税的，或者在纳税人申请办理留抵退税时存在尚未经税务机关核准的免抵退税应退税额的，应当待税务机关核准免抵退税应退税额后，按照最近一期增值税及附加税费申报表“期末留抵税额”，扣减税务机关核准的免抵退税应退税额后的余额确定允许退还的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税务机关核准的免抵退税应退税额，是指税务机关当期已核准，但纳税人尚未在增值税及附加税费申报表相关栏次中填报的免抵退税应退税额。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（三）纳税人既有增值税欠税，又有期末留抵税额的，按照最近一期增值税及附加税费申报表“期末留抵税额”，抵减增值税欠税后的余额确定允许退还的留抵税额。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十一、在纳税人办理增值税纳税申报和免抵退税申报后、税务机关核准其免抵退税应退税额前，税务机关核准纳税人前期留抵退税的，以最近一期增值税及附加税费申报表“期末留抵税额”，扣减税务机关核准的留抵退税额后的余额，计算当期免抵退税应退税额和免抵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税务机关核准的留抵退税额，是指税务机关当期已核准，但纳税人尚未在增值税及附加税费申报表相关栏次中填报的留抵退税额。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十二、纳税人应当在收到税务机关准予留抵退税的《税务事项通知书》当期，以税务机关核准的允许退还的留抵税额冲减期末留抵税额，并在办理增值税纳税申报时，相应填写增值税及附加税费申报表相关栏次，按照规定作进项税额转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十三、纳税人按照7号公告第九条规定，需要申请缴回已退还的全部留抵退税款的，可以通过电子税务局或办税服务厅提交《缴回留抵退税申请表》（见附件2）。税务机关应当自受理之日起5个工作日内，依申请向纳税人出具留抵退税款缴回的《税务事项通知书》。纳税人在缴回已退还的全部留抵退税款后，办理增值税纳税申报时，将缴回的全部退税款按照规定填写在增值税及附加税费申报表相关栏次，并可以继续按照规定抵扣进项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十四、本公告自2025年9月1日起施行。《国家税务总局关于办理增值税期末留抵税额退税有关事项的公告》（2019年第20号）、《国家税务总局关于取消增值税扣税凭证认证确认期限等增值税征管问题的公告》（2019年第45号）第二条第二款、《国家税务总局关于进一步加大增值税期末留抵退税政策实施力度有关征管事项的公告》（2022年第4号）、《国家税务总局关于扩大全额退还增值税留抵税额政策行业范围有关征管事项的公告》（2022年第11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instrText xml:space="preserve"> HYPERLINK "http://xiamen.chinatax.gov.cn/xmswcms/upload/file/20250825/1756087733240006766.pdf" \t "http://xiamen.chinatax.gov.cn/xmswcms/fgk/_blank" </w:instrText>
      </w:r>
      <w:r>
        <w:rPr>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fldChar w:fldCharType="separate"/>
      </w:r>
      <w:r>
        <w:rPr>
          <w:rStyle w:val="5"/>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t>1.退（抵）税申请表.pdf</w:t>
      </w:r>
      <w:r>
        <w:rPr>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instrText xml:space="preserve"> HYPERLINK "http://xiamen.chinatax.gov.cn/xmswcms/upload/file/20250825/1756087739339085381.pdf" \t "http://xiamen.chinatax.gov.cn/xmswcms/fgk/_blank" </w:instrText>
      </w:r>
      <w:r>
        <w:rPr>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fldChar w:fldCharType="separate"/>
      </w:r>
      <w:r>
        <w:rPr>
          <w:rStyle w:val="5"/>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t>2.缴回留抵退税申请表.pdf</w:t>
      </w:r>
      <w:r>
        <w:rPr>
          <w:rFonts w:hint="eastAsia" w:ascii="仿宋_GB2312" w:hAnsi="仿宋_GB2312" w:eastAsia="仿宋_GB2312" w:cs="仿宋_GB2312"/>
          <w:i w:val="0"/>
          <w:iCs w:val="0"/>
          <w:caps w:val="0"/>
          <w:color w:val="000000" w:themeColor="text1"/>
          <w:spacing w:val="0"/>
          <w:sz w:val="28"/>
          <w:szCs w:val="28"/>
          <w:u w:val="single"/>
          <w:bdr w:val="none" w:color="auto" w:sz="0" w:space="0"/>
          <w:shd w:val="clear" w:fill="FFFFFF"/>
          <w14:textFill>
            <w14:solidFill>
              <w14:schemeClr w14:val="tx1"/>
            </w14:solidFill>
          </w14:textFill>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国家税务总局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2025年8月22日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textAlignment w:val="center"/>
        <w:rPr>
          <w:rFonts w:hint="eastAsia" w:ascii="仿宋_GB2312" w:hAnsi="仿宋_GB2312" w:eastAsia="仿宋_GB2312" w:cs="仿宋_GB2312"/>
          <w:b/>
          <w:bCs/>
          <w:i w:val="0"/>
          <w:iCs w:val="0"/>
          <w:caps w:val="0"/>
          <w:color w:val="000000" w:themeColor="text1"/>
          <w:spacing w:val="0"/>
          <w:sz w:val="44"/>
          <w:szCs w:val="4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44"/>
          <w:szCs w:val="44"/>
          <w:bdr w:val="none" w:color="auto" w:sz="0" w:space="0"/>
          <w:shd w:val="clear" w:fill="FFFFFF"/>
          <w:lang w:val="en-US" w:eastAsia="zh-CN" w:bidi="ar"/>
          <w14:textFill>
            <w14:solidFill>
              <w14:schemeClr w14:val="tx1"/>
            </w14:solidFill>
          </w14:textFill>
        </w:rPr>
        <w:t>人力资源社会保障部 财政部 国家税务总局 金融监管总局 中国证监会关于领取个人养老金有关问题的通知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textAlignment w:val="center"/>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bdr w:val="none" w:color="auto" w:sz="0" w:space="0"/>
          <w:shd w:val="clear" w:fill="FFFFFF"/>
          <w:lang w:val="en-US" w:eastAsia="zh-CN" w:bidi="ar"/>
          <w14:textFill>
            <w14:solidFill>
              <w14:schemeClr w14:val="tx1"/>
            </w14:solidFill>
          </w14:textFill>
        </w:rPr>
        <w:t>人社部发〔2025〕39号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各省、自治区、直辖市及新疆生产建设兵团人力资源社会保障厅（局）、财政厅（局），国家税务总局各省、自治区、直辖市、计划单列市税务局，各金融监管局、证监局：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为贯彻落实</w:t>
      </w:r>
      <w:r>
        <w:rPr>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fldChar w:fldCharType="begin"/>
      </w:r>
      <w:r>
        <w:rPr>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instrText xml:space="preserve"> HYPERLINK "http://xiamen.chinatax.gov.cn/fgk/L6349.html" \t "http://xiamen.chinatax.gov.cn/fgk/_blank" </w:instrText>
      </w:r>
      <w:r>
        <w:rPr>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fldChar w:fldCharType="separate"/>
      </w:r>
      <w:r>
        <w:rPr>
          <w:rStyle w:val="5"/>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t>《国务院办公厅关于推动个人养老金发展的意见》（国办发〔2022〕7号）</w:t>
      </w:r>
      <w:r>
        <w:rPr>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fldChar w:fldCharType="end"/>
      </w: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和</w:t>
      </w:r>
      <w:r>
        <w:rPr>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fldChar w:fldCharType="begin"/>
      </w:r>
      <w:r>
        <w:rPr>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instrText xml:space="preserve"> HYPERLINK "http://xiamen.chinatax.gov.cn/fgk/L6030.html" \t "http://xiamen.chinatax.gov.cn/fgk/_blank" </w:instrText>
      </w:r>
      <w:r>
        <w:rPr>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fldChar w:fldCharType="separate"/>
      </w:r>
      <w:r>
        <w:rPr>
          <w:rStyle w:val="5"/>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t>《人力资源社会保障部 财政部 国家税务总局 金融监管总局 中国证监会关于全面实施个人养老金制度的通知》（人社部发〔2024〕87号）</w:t>
      </w:r>
      <w:r>
        <w:rPr>
          <w:rFonts w:hint="eastAsia" w:ascii="仿宋_GB2312" w:hAnsi="仿宋_GB2312" w:eastAsia="仿宋_GB2312" w:cs="仿宋_GB2312"/>
          <w:color w:val="000000" w:themeColor="text1"/>
          <w:sz w:val="28"/>
          <w:szCs w:val="28"/>
          <w:u w:val="single"/>
          <w:bdr w:val="none" w:color="auto" w:sz="0" w:space="0"/>
          <w14:textFill>
            <w14:solidFill>
              <w14:schemeClr w14:val="tx1"/>
            </w14:solidFill>
          </w14:textFill>
        </w:rPr>
        <w:fldChar w:fldCharType="end"/>
      </w: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，丰富个人养老金领取条件，满足参加人多样化领取需求，现就领取个人养老金有关事项通知如下：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一、参加人达到下列条件之一的，可以领取个人养老金：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（一）达到领取基本养老金年龄；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（二）完全丧失劳动能力；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（三）出国（境）定居；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四）申请领取个人养老金之日前12个月内，本人或配偶、未成年子女发生的与基本医保相关的医药费用支出，扣除医保报销后个人负担（指医保目录范围内的自付部分）累计超过本省（自治区、直辖市）上一年度居民人均可支配收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（五）申请领取个人养老金之日前2年内，领取失业保险金累计达到12个月的；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（六）正在领取城乡最低生活保障金的。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参加人死亡的，其个人养老金资金账户中的资产可以继承。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二、参加人可以按月、分次或者一次性领取个人养老金，并根据需要变更领取方式。个人养老金资金账户内的资金已购买个人养老金产品的，按照个人养老金产品相关规定执行。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三、符合领取条件的参加人，可以通过国家社会保险公共服务平台等全国统一线上服务入口、个人养老金资金账户开户银行等渠道提出申请，也可以向当前基本养老保险关系所在地社会保险经办机构（以下简称社保经办机构）提出申请。社保经办机构负责核实参加人领取申请，并将核实结果及时上传个人养老金信息管理服务平台（以下简称信息平台），由信息平台通过申请渠道反馈给参加人。对于暂时无法通过信息共享核实的，社保经办机构要求参加人提供相关材料予以核实。参加人不得通过提供虚假材料等方式领取个人养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核实通过的，信息平台将个人养老金账户变更为领取状态，开立个人养老金资金账户所在市的商业银行机构根据参加人选定的方式，按照个人养老金有关个人所得税政策规定代扣代缴税款后，将其个人养老金资金账户内的资金划转至本人社会保障卡银行账户。核实不通过的，信息平台将原因通过申请渠道反馈参加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四、参加人因达到领取基本养老金年龄领取个人养老金的，个人养老金账户领取状态不再变更。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其他情形下领取个人养老金的，参加人如果再次向本人个人养老金资金账户缴费，信息平台将其个人养老金账户重新变更为缴存状态，参加人需重新达到领取条件才能再次领取。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五、开立个人养老金资金账户所在市的商业银行机构应依法对领取个人养老金的参加人的纳税情况进行全员全额明细申报。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六、各地人力资源社会保障部门要按照本通知要求，完成与信息平台的对接，做好领取个人养老金的管理工作。要加强与医保、民政等部门的信息共享，充分利用可获取的跨业务、跨层级数据，优化经办系统功能，为参加人领取个人养老金提供便捷服务，确保个人养老金制度规范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七、本通知自2025年9月1日起实施。各地在实施领取个人养老金工作中遇到的新情况新问题，要及时向主管部门报告。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人力资源社会保障部 财政部 国家税务总局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金融监管总局 中国证监会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2025年7月13日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color w:val="000000" w:themeColor="text1"/>
          <w:sz w:val="28"/>
          <w:szCs w:val="28"/>
          <w:bdr w:val="none" w:color="auto" w:sz="0" w:space="0"/>
          <w:lang w:val="en-US" w:eastAsia="zh-CN"/>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textAlignment w:val="center"/>
        <w:rPr>
          <w:rFonts w:hint="eastAsia" w:ascii="仿宋_GB2312" w:hAnsi="仿宋_GB2312" w:eastAsia="仿宋_GB2312" w:cs="仿宋_GB2312"/>
          <w:b/>
          <w:bCs/>
          <w:i w:val="0"/>
          <w:iCs w:val="0"/>
          <w:caps w:val="0"/>
          <w:color w:val="000000" w:themeColor="text1"/>
          <w:spacing w:val="0"/>
          <w:sz w:val="44"/>
          <w:szCs w:val="4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44"/>
          <w:szCs w:val="44"/>
          <w:shd w:val="clear" w:fill="FFFFFF"/>
          <w:lang w:val="en-US" w:eastAsia="zh-CN" w:bidi="ar"/>
          <w14:textFill>
            <w14:solidFill>
              <w14:schemeClr w14:val="tx1"/>
            </w14:solidFill>
          </w14:textFill>
        </w:rPr>
        <w:t>财政部 税务总局关于育儿补贴有关个人所得税政策的公告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textAlignment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财政部 税务总局公告2025年第6号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为贯彻落实中央办公厅、国务院办公厅印发的《育儿补贴制度实施方案》有关规定，现就育儿补贴有关个人所得税政策公告如下：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一、对按照育儿补贴制度规定发放的育儿补贴免征个人所得税。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二、卫生健康部门与财政部门、税务部门建立信息共享机制。县级卫生健康部门按规定为申领补贴的人员办理个人所得税免税申报。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三、本公告自2025年1月1日起施行。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财政部 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2025年8月18日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p>
      <w:pPr>
        <w:widowControl/>
        <w:shd w:val="clear" w:color="auto" w:fill="FFFFFF"/>
        <w:spacing w:line="240" w:lineRule="auto"/>
        <w:ind w:firstLine="0"/>
        <w:jc w:val="center"/>
        <w:textAlignment w:val="center"/>
        <w:rPr>
          <w:rFonts w:hint="eastAsia" w:ascii="仿宋_GB2312" w:hAnsi="仿宋_GB2312" w:eastAsia="仿宋_GB2312" w:cs="仿宋_GB2312"/>
          <w:b/>
          <w:bCs/>
          <w:color w:val="000000" w:themeColor="text1"/>
          <w:kern w:val="0"/>
          <w:sz w:val="44"/>
          <w:szCs w:val="44"/>
          <w14:textFill>
            <w14:solidFill>
              <w14:schemeClr w14:val="tx1"/>
            </w14:solidFill>
          </w14:textFill>
        </w:rPr>
      </w:pPr>
      <w:r>
        <w:rPr>
          <w:rFonts w:hint="eastAsia" w:ascii="仿宋_GB2312" w:hAnsi="仿宋_GB2312" w:eastAsia="仿宋_GB2312" w:cs="仿宋_GB2312"/>
          <w:b/>
          <w:bCs/>
          <w:color w:val="000000" w:themeColor="text1"/>
          <w:kern w:val="0"/>
          <w:sz w:val="44"/>
          <w:szCs w:val="44"/>
          <w14:textFill>
            <w14:solidFill>
              <w14:schemeClr w14:val="tx1"/>
            </w14:solidFill>
          </w14:textFill>
        </w:rPr>
        <w:t>工业和信息化部 财政部 税务总局关于开展2025年度享受增值税加计抵减政策的工业母机企业清单制定工作的通知</w:t>
      </w:r>
    </w:p>
    <w:p>
      <w:pPr>
        <w:widowControl/>
        <w:shd w:val="clear" w:color="auto" w:fill="FFFFFF"/>
        <w:spacing w:line="240" w:lineRule="auto"/>
        <w:ind w:firstLine="0"/>
        <w:jc w:val="right"/>
        <w:textAlignment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工信部联通装函〔2025〕198号</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根据《财政部 税务总局关于工业母机企业增值税加计抵减政策的通知》（财税〔2023〕25号）要求，为做好2025年度享受加计抵减政策的工业母机企业清单制定工作，现就相关事项通知如下：</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一、本通知所称清单是指财税〔2023〕25号文中提及的享受增值税加计抵减政策的先进工业母机主机、关键功能部件、数控系统企业清单。</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申请列入清单的企业（含所属的非法人分支机构）应于2025年8月31日前在信息填报系统（www.gymjtax.com）中提交申请，并生成纸质文件加盖企业公章，连同必要佐证材料（电子版、纸质版）报各省、自治区、直辖市及计划单列市、新疆生产建设兵团工业和信息化主管部门（以下称地方工信部门）。已列入2024年清单的企业，拟继续申请进入2025年清单的，须重新提交《享受增值税加计抵减政策的工业母机企业提交证明材料清单》（附件1）中第2、3、6、8、9项。</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三、地方工信部门根据企业条件（见财税〔2023〕25号文第一条、第二条及附件《先进工业母机产品基本标准》），对企业申报信息进行初核推荐后，于9月15日前将初核通过名单报送至工业和信息化部。</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工业和信息化部组织第三方机构根据企业申报信息开展资格复核。根据第三方机构复核意见，综合考虑工业母机产业链重点领域企业情况及诚信纳税记录，工业和信息化部、财政部、税务总局进行联审并确认最终清单。</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企业可于10月31日后，从信息填报系统中查询是否被列入清单。清单印发后，企业可在当期一并计提前期可计提但未计提的加计抵减额。列入2025年清单的企业，于2025年1月1日起享受政策；已列入2024年清单但未列入2025年清单的企业，于2025年10月31日停止享受政策。</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清单有效期内，如企业发生更名、分立、合并、重组以及主营业务重大变化等情况，应于完成变更登记之日起45日内向地方工信部门报告，地方工信部门于企业完成变更登记之日起60日内，将核实后的企业重大变化情况表（附件2）和相关材料报送工业和信息化部，工业和信息化部会同相关部门确定发生变更情形后是否继续符合享受优惠政策的企业条件。企业超过本条前述时间报送变更情况说明的，地方工信部门不予受理，该企业自变更登记之日起停止享受2025年度相关政策。</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地方工信部门会同财政、税务部门对清单内企业加强日常监管。在监管过程中，如发现企业存在以虚假信息获得减免税资格，应及时联合核查，并联合报送工业和信息化部进行复核。工业和信息化部会同相关部门复核后对确不符合条件的企业，函告财政部、税务总局按相关规定处理。</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八、企业对所提供材料和数据的真实性负责。申报企业应签署承诺书，承诺如申报出现失信行为，接受有关部门按照法律、法规和国家有关规定处理。</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九、本通知自印发之日起实施。工业和信息化部会同相关部门，根据产业发展、技术进步等情况，适时对符合政策的企业条件进行调整。</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"http://xiamen.chinatax.gov.cn/xmswcms/upload/file/20250818/1755503488882031599.wps" \o "1.享受增值税加计抵减政策的工业母机企业提交证明材料清单.wps"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5"/>
          <w:rFonts w:hint="eastAsia" w:ascii="仿宋_GB2312" w:hAnsi="仿宋_GB2312" w:eastAsia="仿宋_GB2312" w:cs="仿宋_GB2312"/>
          <w:color w:val="000000" w:themeColor="text1"/>
          <w:sz w:val="28"/>
          <w:szCs w:val="28"/>
          <w:u w:val="none"/>
          <w14:textFill>
            <w14:solidFill>
              <w14:schemeClr w14:val="tx1"/>
            </w14:solidFill>
          </w14:textFill>
        </w:rPr>
        <w:t>1.享受增值税加计抵减政策的工业母机企业提交证明材料清单.wps</w:t>
      </w:r>
      <w:r>
        <w:rPr>
          <w:rStyle w:val="5"/>
          <w:rFonts w:hint="eastAsia" w:ascii="仿宋_GB2312" w:hAnsi="仿宋_GB2312" w:eastAsia="仿宋_GB2312" w:cs="仿宋_GB2312"/>
          <w:color w:val="000000" w:themeColor="text1"/>
          <w:sz w:val="28"/>
          <w:szCs w:val="28"/>
          <w:u w:val="none"/>
          <w14:textFill>
            <w14:solidFill>
              <w14:schemeClr w14:val="tx1"/>
            </w14:solidFill>
          </w14:textFill>
        </w:rPr>
        <w:fldChar w:fldCharType="end"/>
      </w:r>
    </w:p>
    <w:p>
      <w:pPr>
        <w:pStyle w:val="2"/>
        <w:shd w:val="clear" w:color="auto" w:fill="FFFFFF"/>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"http://xiamen.chinatax.gov.cn/xmswcms/upload/file/20250818/1755503497659000818.wps" \o "2.企业重大变化情况表.wps"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5"/>
          <w:rFonts w:hint="eastAsia" w:ascii="仿宋_GB2312" w:hAnsi="仿宋_GB2312" w:eastAsia="仿宋_GB2312" w:cs="仿宋_GB2312"/>
          <w:color w:val="000000" w:themeColor="text1"/>
          <w:sz w:val="28"/>
          <w:szCs w:val="28"/>
          <w:u w:val="none"/>
          <w14:textFill>
            <w14:solidFill>
              <w14:schemeClr w14:val="tx1"/>
            </w14:solidFill>
          </w14:textFill>
        </w:rPr>
        <w:t>2.企业重大变化情况表.wps</w:t>
      </w:r>
      <w:r>
        <w:rPr>
          <w:rStyle w:val="5"/>
          <w:rFonts w:hint="eastAsia" w:ascii="仿宋_GB2312" w:hAnsi="仿宋_GB2312" w:eastAsia="仿宋_GB2312" w:cs="仿宋_GB2312"/>
          <w:color w:val="000000" w:themeColor="text1"/>
          <w:sz w:val="28"/>
          <w:szCs w:val="28"/>
          <w:u w:val="none"/>
          <w14:textFill>
            <w14:solidFill>
              <w14:schemeClr w14:val="tx1"/>
            </w14:solidFill>
          </w14:textFill>
        </w:rPr>
        <w:fldChar w:fldCharType="end"/>
      </w:r>
    </w:p>
    <w:p>
      <w:pPr>
        <w:pStyle w:val="2"/>
        <w:shd w:val="clear" w:color="auto" w:fill="FFFFFF"/>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工业和信息化部</w:t>
      </w:r>
    </w:p>
    <w:p>
      <w:pPr>
        <w:pStyle w:val="2"/>
        <w:shd w:val="clear" w:color="auto" w:fill="FFFFFF"/>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财政部</w:t>
      </w:r>
    </w:p>
    <w:p>
      <w:pPr>
        <w:pStyle w:val="2"/>
        <w:shd w:val="clear" w:color="auto" w:fill="FFFFFF"/>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国家税务总局</w:t>
      </w:r>
    </w:p>
    <w:p>
      <w:pPr>
        <w:pStyle w:val="2"/>
        <w:shd w:val="clear" w:color="auto" w:fill="FFFFFF"/>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2025年8月11日</w:t>
      </w:r>
    </w:p>
    <w:p>
      <w:pPr>
        <w:pStyle w:val="2"/>
        <w:shd w:val="clear" w:color="auto" w:fill="FFFFFF"/>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p>
    <w:p>
      <w:pPr>
        <w:pStyle w:val="2"/>
        <w:shd w:val="clear" w:color="auto" w:fill="FFFFFF"/>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p>
    <w:p>
      <w:pPr>
        <w:widowControl/>
        <w:shd w:val="clear" w:color="auto" w:fill="FFFFFF"/>
        <w:spacing w:line="240" w:lineRule="auto"/>
        <w:ind w:firstLine="0"/>
        <w:jc w:val="center"/>
        <w:textAlignment w:val="center"/>
        <w:rPr>
          <w:rFonts w:hint="eastAsia" w:ascii="仿宋_GB2312" w:hAnsi="仿宋_GB2312" w:eastAsia="仿宋_GB2312" w:cs="仿宋_GB2312"/>
          <w:b/>
          <w:bCs/>
          <w:color w:val="000000" w:themeColor="text1"/>
          <w:kern w:val="0"/>
          <w:sz w:val="44"/>
          <w:szCs w:val="44"/>
          <w14:textFill>
            <w14:solidFill>
              <w14:schemeClr w14:val="tx1"/>
            </w14:solidFill>
          </w14:textFill>
        </w:rPr>
      </w:pPr>
      <w:r>
        <w:rPr>
          <w:rFonts w:hint="eastAsia" w:ascii="仿宋_GB2312" w:hAnsi="仿宋_GB2312" w:eastAsia="仿宋_GB2312" w:cs="仿宋_GB2312"/>
          <w:b/>
          <w:bCs/>
          <w:color w:val="000000" w:themeColor="text1"/>
          <w:kern w:val="0"/>
          <w:sz w:val="44"/>
          <w:szCs w:val="44"/>
          <w14:textFill>
            <w14:solidFill>
              <w14:schemeClr w14:val="tx1"/>
            </w14:solidFill>
          </w14:textFill>
        </w:rPr>
        <w:t>财政部 税务总局关于明确快递服务等增值税政策的公告</w:t>
      </w:r>
    </w:p>
    <w:p>
      <w:pPr>
        <w:widowControl/>
        <w:shd w:val="clear" w:color="auto" w:fill="FFFFFF"/>
        <w:spacing w:line="240" w:lineRule="auto"/>
        <w:ind w:firstLine="0"/>
        <w:jc w:val="right"/>
        <w:textAlignment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财政部 税务总局公告2025年第5号</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现将快递服务等增值税政策公告如下：</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一、快递企业提供快递服务取得的收入，按照“收派服务”缴纳增值税。</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公告所称快递企业，是指在境内从事快递业务经营并依法取得快递业务经营许可的企业，上述企业向邮政管理部门备案的分支机构，以及上述企业或者上述分支机构向邮政管理部门备案的快递末端网点。快递末端网点，是指提供快递末端服务的经营网点。</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公告所称快递服务，是指在承诺的时限内完成快件的收寄、分拣、运输、投递服务的业务活动，不包括快递企业仅提供运输服务的业务活动。快递末端服务是指上述收寄、投递服务。快件，是指快递企业递送的信件、包裹、印刷品等物品。收寄服务，是指快递企业接受寄件人委托，完成快件下单、验视、包装、封装等服务的业务活动。分拣服务，是指快递企业对快件进行归类、封发的业务活动。投递服务，是指快递企业将快件按约定方式投交到约定的地址或收件人的业务活动。</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具有网络平台道路货物运输（以下简称网络货运）经营资质的纳税人，从事网络货运经营，自行采购并交付给实际承运人使用的成品油、天然气、电力、氢能、二甲醚、甲醇以及其他各类车辆燃料（能源）和支付的道路、桥、闸通行费，同时符合下列条件的，其进项税额准予从销项税额中抵扣：</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（一）成品油、天然气、电力、氢能、二甲醚、甲醇以及其他各类车辆燃料（能源）和支付的道路、桥、闸通行费，应用于从事网络货运经营纳税人委托实际承运人完成的运输服务。</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（二）取得的增值税扣税凭证符合现行规定。</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公告所称网络货运经营，是指纳税人依托互联网平台整合配置运输资源，以承运人身份与托运人签订运输合同，委托实际承运人完成道路货物运输，承担承运人责任的道路货物运输经营活动，不包括为托运人和实际承运人提供信息中介和交易撮合等服务的行为。实际承运人，是指接受网络货运经营者委托，实际从事道路货物运输的经营者。</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三、本公告自发布之日起施行，此前已发生未处理的事项，按照本公告规定执行，已处理的事项不再调整。</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特此公告。</w:t>
      </w:r>
    </w:p>
    <w:p>
      <w:pPr>
        <w:pStyle w:val="2"/>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财政部 税务总局</w:t>
      </w:r>
    </w:p>
    <w:p>
      <w:pPr>
        <w:pStyle w:val="2"/>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2025年8月11日</w:t>
      </w:r>
    </w:p>
    <w:p>
      <w:pPr>
        <w:pStyle w:val="2"/>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p>
    <w:p>
      <w:pPr>
        <w:pStyle w:val="2"/>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textAlignment w:val="center"/>
        <w:rPr>
          <w:rFonts w:hint="eastAsia" w:ascii="仿宋_GB2312" w:hAnsi="仿宋_GB2312" w:eastAsia="仿宋_GB2312" w:cs="仿宋_GB2312"/>
          <w:b/>
          <w:bCs/>
          <w:i w:val="0"/>
          <w:iCs w:val="0"/>
          <w:caps w:val="0"/>
          <w:color w:val="000000" w:themeColor="text1"/>
          <w:spacing w:val="0"/>
          <w:sz w:val="44"/>
          <w:szCs w:val="4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44"/>
          <w:szCs w:val="44"/>
          <w:bdr w:val="none" w:color="auto" w:sz="0" w:space="0"/>
          <w:shd w:val="clear" w:fill="FFFFFF"/>
          <w:lang w:val="en-US" w:eastAsia="zh-CN" w:bidi="ar"/>
          <w14:textFill>
            <w14:solidFill>
              <w14:schemeClr w14:val="tx1"/>
            </w14:solidFill>
          </w14:textFill>
        </w:rPr>
        <w:t>国家税务总局关于中国与喀麦隆税收协定以及中国与巴西税收协定议定书生效执行的公告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textAlignment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bdr w:val="none" w:color="auto" w:sz="0" w:space="0"/>
          <w:shd w:val="clear" w:fill="FFFFFF"/>
          <w:lang w:val="en-US" w:eastAsia="zh-CN" w:bidi="ar"/>
          <w14:textFill>
            <w14:solidFill>
              <w14:schemeClr w14:val="tx1"/>
            </w14:solidFill>
          </w14:textFill>
        </w:rPr>
        <w:t>国家税务总局公告2025年第19号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中华人民共和国政府和喀麦隆共和国政府对所得消除双重征税和防止逃避税的协定》（以下简称《中喀协定》）于2023年10月17日在北京正式签署。中喀双方已完成《中喀协定》生效所必需的各自国内法律程序。《中喀协定》于2025年7月26日生效，适用于2026年1月1日或以后开始的纳税年度取得的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关于修订1991年8月5日在北京签署的〈中华人民共和国政府和巴西联邦共和国政府关于对所得避免双重征税和防止偷漏税的协定〉及议定书的议定书》（以下简称《中巴协定议定书》）于2022年5月23日在北京、巴西利亚正式签署。中巴双方已完成《中巴协定议定书》生效所必需的各自国内法律程序。《中巴协定议定书》于2025年6月14日生效，适用于2026年1月1日或以后对已支付或计入的款项源泉扣缴的税收，以及2026年1月1日或以后开始的纳税年度中征收的，属于经《中巴协定议定书》修订后的《中华人民共和国政府和巴西联邦共和国政府关于对所得避免双重征税和防止偷漏税的协定》税种范围的其他税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《中喀协定》及《中巴协定议定书》文本已在国家税务总局网站发布。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国家税务总局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bdr w:val="none" w:color="auto" w:sz="0" w:space="0"/>
          <w:shd w:val="clear" w:fill="FFFFFF"/>
          <w14:textFill>
            <w14:solidFill>
              <w14:schemeClr w14:val="tx1"/>
            </w14:solidFill>
          </w14:textFill>
        </w:rPr>
        <w:t>2025年8月11日</w:t>
      </w: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textAlignment w:val="center"/>
        <w:rPr>
          <w:rFonts w:hint="eastAsia" w:ascii="仿宋_GB2312" w:hAnsi="仿宋_GB2312" w:eastAsia="仿宋_GB2312" w:cs="仿宋_GB2312"/>
          <w:b/>
          <w:bCs/>
          <w:i w:val="0"/>
          <w:iCs w:val="0"/>
          <w:caps w:val="0"/>
          <w:color w:val="000000" w:themeColor="text1"/>
          <w:spacing w:val="0"/>
          <w:sz w:val="44"/>
          <w:szCs w:val="44"/>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44"/>
          <w:szCs w:val="44"/>
          <w:bdr w:val="none" w:color="auto" w:sz="0" w:space="0"/>
          <w:shd w:val="clear" w:fill="FFFFFF"/>
          <w:lang w:val="en-US" w:eastAsia="zh-CN" w:bidi="ar"/>
          <w14:textFill>
            <w14:solidFill>
              <w14:schemeClr w14:val="tx1"/>
            </w14:solidFill>
          </w14:textFill>
        </w:rPr>
        <w:t>国家税务总局关于境外投资者以分配利润直接投资税收抵免政策有关事项的公告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right"/>
        <w:textAlignment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bdr w:val="none" w:color="auto" w:sz="0" w:space="0"/>
          <w:shd w:val="clear" w:fill="FFFFFF"/>
          <w:lang w:val="en-US" w:eastAsia="zh-CN" w:bidi="ar"/>
          <w14:textFill>
            <w14:solidFill>
              <w14:schemeClr w14:val="tx1"/>
            </w14:solidFill>
          </w14:textFill>
        </w:rPr>
        <w:t>国家税务总局公告2025年第18号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为贯彻落实《财政部 税务总局 商务部关于境外投资者以分配利润直接投资税收抵免政策的公告》（2025年第2号），现就有关事项公告如下：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一、境外投资者以分得的利润用于补缴其在境内居民企业已经认缴的注册资本，增加实收资本或资本公积的，属于“新增或转增中国境内居民企业实收资本或者资本公积”情形。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二、境外投资者按照商务主管部门出具的《利润再投资情况表》中列明的再投资时间当月，确认开始计算其持有该再投资的时间。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三、境外投资者享受再投资税收抵免政策后，从被投资企业减资、撤资，或者转让被投资企业股权的，以被投资企业完成股权变更或注销登记手续当月，确认停止计算其持有该再投资被收回部分的时间。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境外投资者在被投资企业完成股权变更或注销登记手续前，从被投资企业取得资产或从股权受让方取得股权支付对价的，以取得上述资产或者股权支付对价当月，确认停止计算其持有该再投资被收回部分的时间。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四、境外投资者在确定税收抵免额度时，可选择按再投资额的10%或者可适用的税收协定（或安排）规定的低于10%的股息征税比例计算。相关比例一经选定，在持有投资满5年（60个月）后收回投资并申报补缴递延的税款时，不得再适用税收协定（或安排）规定的更低的股息征税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五、同一境外投资者从多个境内居民企业取得利润进行再投资，均符合税收抵免政策的，按利润分配企业分别归集计算税收抵免额度。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六、境外投资者以人民币以外的货币进行再投资的，按实际支付相关款项之日的汇率中间价折合成人民币，计算该再投资利润递延的股息所得企业所得税税额和税收抵免额度。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七、境外投资者按照规定享受税收抵免政策的，应当填写《境外投资者再投资税收抵免信息报告表》（附件），连同商务主管部门出具的《利润再投资情况表》，提交给利润分配企业。利润分配企业申报抵减境外投资者应缴纳的企业所得税时，向主管税务机关提交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（一）利润分配企业填写的《中华人民共和国扣缴企业所得税报告表》；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（二）《境外投资者再投资税收抵免信息报告表》；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（三）《利润再投资情况表》。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八、境外投资者收回投资，申报补缴递延税款，并享受税收抵免政策的，应向利润分配企业主管税务机关提交以下资料：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（一）境外投资者填写的《中华人民共和国扣缴企业所得税报告表》；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（二）《境外投资者再投资税收抵免信息报告表》。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九、境外投资者按照规定补缴超出税收抵免额度部分税款的，应当填写《中华人民共和国扣缴企业所得税报告表》，并提交给利润分配企业主管税务机关。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十、利润分配企业主管税务机关应建立境外投资者抵免企业所得税台账，完整记录境外投资者享受税收抵免政策信息，并利用税务机关内部共享数据和外部门交换信息开展跟踪管理，发现境外投资者不符合税收抵免政策条件导致少缴税款的，依照规定追缴境外投资者少缴的税款，自其实际抵减应纳税额之日起加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十一、被投资企业所在地省（自治区、直辖市、计划单列市）税务机关收到同级商务主管部门共享的信息后，应及时提供给利润分配企业所在地省（自治区、直辖市、计划单列市）税务机关。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十二、主管税务机关在税务管理中可以依法要求境外投资者、利润分配企业、被投资企业、股权转让方等相关单位或个人限期提供与境外投资者享受税收抵免政策相关的资料和信息。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十三、境外投资者收回的直接投资中既包含符合税收抵免政策条件并已实际享受的，又包含符合税收抵免政策条件但未实际享受的，还包含不符合税收抵免政策条件的，收回投资顺序为先处置已享受税收抵免政策的投资，再处置符合条件但未实际享受税收抵免政策的投资，最后处置不符合税收抵免政策的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境外投资者多次再投资同一家中国境内居民企业，并享受税收抵免政策的，在收回部分直接投资时，按再投资的时间先后顺序依次确定其收回享受税收抵免政策的投资金额。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十四、境外投资者、利润分配企业可以委托代理人办理本公告规定的相关事项，但应当向主管税务机关提供书面委托证明。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十五、本公告自2025年1月1日起施行。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附件：</w:t>
      </w:r>
      <w:r>
        <w:rPr>
          <w:rFonts w:hint="eastAsia" w:ascii="仿宋_GB2312" w:hAnsi="仿宋_GB2312" w:eastAsia="仿宋_GB2312" w:cs="仿宋_GB2312"/>
          <w:color w:val="000000" w:themeColor="text1"/>
          <w:sz w:val="28"/>
          <w:szCs w:val="28"/>
          <w:u w:val="none"/>
          <w:bdr w:val="none" w:color="auto" w:sz="0" w:space="0"/>
          <w14:textFill>
            <w14:solidFill>
              <w14:schemeClr w14:val="tx1"/>
            </w14:solidFill>
          </w14:textFill>
        </w:rPr>
        <w:fldChar w:fldCharType="begin"/>
      </w:r>
      <w:r>
        <w:rPr>
          <w:rFonts w:hint="eastAsia" w:ascii="仿宋_GB2312" w:hAnsi="仿宋_GB2312" w:eastAsia="仿宋_GB2312" w:cs="仿宋_GB2312"/>
          <w:color w:val="000000" w:themeColor="text1"/>
          <w:sz w:val="28"/>
          <w:szCs w:val="28"/>
          <w:u w:val="none"/>
          <w:bdr w:val="none" w:color="auto" w:sz="0" w:space="0"/>
          <w14:textFill>
            <w14:solidFill>
              <w14:schemeClr w14:val="tx1"/>
            </w14:solidFill>
          </w14:textFill>
        </w:rPr>
        <w:instrText xml:space="preserve"> HYPERLINK "http://xiamen.chinatax.gov.cn/xmswcms/upload/file/20250801/1754016262189000705.xls?n=%E5%A2%83%E5%A4%96%E6%8A%95%E8%B5%84%E8%80%85%E5%86%8D%E6%8A%95%E8%B5%84%E7%A8%8E%E6%94%B6%E6%8A%B5%E5%85%8D%E4%BF%A1%E6%81%AF%E6%8A%A5%E5%91%8A%E8%A1%A8.xls" \o "境外投资者再投资税收抵免信息报告表.xls" </w:instrText>
      </w:r>
      <w:r>
        <w:rPr>
          <w:rFonts w:hint="eastAsia" w:ascii="仿宋_GB2312" w:hAnsi="仿宋_GB2312" w:eastAsia="仿宋_GB2312" w:cs="仿宋_GB2312"/>
          <w:color w:val="000000" w:themeColor="text1"/>
          <w:sz w:val="28"/>
          <w:szCs w:val="28"/>
          <w:u w:val="none"/>
          <w:bdr w:val="none" w:color="auto" w:sz="0" w:space="0"/>
          <w14:textFill>
            <w14:solidFill>
              <w14:schemeClr w14:val="tx1"/>
            </w14:solidFill>
          </w14:textFill>
        </w:rPr>
        <w:fldChar w:fldCharType="separate"/>
      </w:r>
      <w:r>
        <w:rPr>
          <w:rStyle w:val="5"/>
          <w:rFonts w:hint="eastAsia" w:ascii="仿宋_GB2312" w:hAnsi="仿宋_GB2312" w:eastAsia="仿宋_GB2312" w:cs="仿宋_GB2312"/>
          <w:color w:val="000000" w:themeColor="text1"/>
          <w:sz w:val="28"/>
          <w:szCs w:val="28"/>
          <w:u w:val="none"/>
          <w:bdr w:val="none" w:color="auto" w:sz="0" w:space="0"/>
          <w14:textFill>
            <w14:solidFill>
              <w14:schemeClr w14:val="tx1"/>
            </w14:solidFill>
          </w14:textFill>
        </w:rPr>
        <w:t>境外投资者再投资税收抵免信息报告表.xls</w:t>
      </w:r>
      <w:r>
        <w:rPr>
          <w:rFonts w:hint="eastAsia" w:ascii="仿宋_GB2312" w:hAnsi="仿宋_GB2312" w:eastAsia="仿宋_GB2312" w:cs="仿宋_GB2312"/>
          <w:color w:val="000000" w:themeColor="text1"/>
          <w:sz w:val="28"/>
          <w:szCs w:val="28"/>
          <w:u w:val="none"/>
          <w:bdr w:val="none" w:color="auto" w:sz="0" w:space="0"/>
          <w14:textFill>
            <w14:solidFill>
              <w14:schemeClr w14:val="tx1"/>
            </w14:solidFill>
          </w14:textFill>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国家税务总局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bdr w:val="none" w:color="auto" w:sz="0" w:space="0"/>
          <w14:textFill>
            <w14:solidFill>
              <w14:schemeClr w14:val="tx1"/>
            </w14:solidFill>
          </w14:textFill>
        </w:rPr>
        <w:t>2025年7月31日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widowControl/>
        <w:shd w:val="clear" w:color="auto" w:fill="FFFFFF"/>
        <w:spacing w:line="240" w:lineRule="auto"/>
        <w:ind w:firstLine="0"/>
        <w:jc w:val="center"/>
        <w:textAlignment w:val="center"/>
        <w:rPr>
          <w:rFonts w:hint="eastAsia" w:ascii="仿宋_GB2312" w:hAnsi="仿宋_GB2312" w:eastAsia="仿宋_GB2312" w:cs="仿宋_GB2312"/>
          <w:b/>
          <w:bCs/>
          <w:color w:val="000000" w:themeColor="text1"/>
          <w:kern w:val="0"/>
          <w:sz w:val="44"/>
          <w:szCs w:val="44"/>
          <w14:textFill>
            <w14:solidFill>
              <w14:schemeClr w14:val="tx1"/>
            </w14:solidFill>
          </w14:textFill>
        </w:rPr>
      </w:pPr>
      <w:r>
        <w:rPr>
          <w:rFonts w:hint="eastAsia" w:ascii="仿宋_GB2312" w:hAnsi="仿宋_GB2312" w:eastAsia="仿宋_GB2312" w:cs="仿宋_GB2312"/>
          <w:b/>
          <w:bCs/>
          <w:color w:val="000000" w:themeColor="text1"/>
          <w:kern w:val="0"/>
          <w:sz w:val="44"/>
          <w:szCs w:val="44"/>
          <w14:textFill>
            <w14:solidFill>
              <w14:schemeClr w14:val="tx1"/>
            </w14:solidFill>
          </w14:textFill>
        </w:rPr>
        <w:t>财政部 税务总局关于国债等债券利息收入增值税政策的公告</w:t>
      </w:r>
    </w:p>
    <w:p>
      <w:pPr>
        <w:widowControl/>
        <w:shd w:val="clear" w:color="auto" w:fill="FFFFFF"/>
        <w:spacing w:line="240" w:lineRule="auto"/>
        <w:ind w:firstLine="0"/>
        <w:jc w:val="right"/>
        <w:textAlignment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财政部 税务总局公告2025年第4号</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现就国债、地方政府债券、金融债券利息收入增值税政策有关事项公告如下：</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自2025年8月8日起，对在该日期之后（含当日）新发行的国债、地方政府债券、金融债券的利息收入，恢复征收增值税。对在该日期之前已发行的国债、地方政府债券、金融债券（包含在2025年8月8日之后续发行的部分）的利息收入，继续免征增值税直至债券到期。</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二、上述金融债券，是指依法在中华人民共和国境内设立的金融机构法人在全国银行间和交易所债券市场发行的、按约定还本付息并由金融机构持有的有价证券。</w:t>
      </w:r>
    </w:p>
    <w:p>
      <w:pPr>
        <w:pStyle w:val="2"/>
        <w:spacing w:before="0" w:beforeAutospacing="0" w:after="0" w:afterAutospacing="0"/>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特此公告。</w:t>
      </w:r>
    </w:p>
    <w:p>
      <w:pPr>
        <w:pStyle w:val="2"/>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28"/>
          <w:szCs w:val="28"/>
          <w14:textFill>
            <w14:solidFill>
              <w14:schemeClr w14:val="tx1"/>
            </w14:solidFill>
          </w14:textFill>
        </w:rPr>
        <w:t>财政部 税务总局</w:t>
      </w:r>
    </w:p>
    <w:p>
      <w:pPr>
        <w:pStyle w:val="2"/>
        <w:spacing w:before="0" w:beforeAutospacing="0" w:after="0" w:afterAutospacing="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2025年7月31日</w:t>
      </w: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44E8C"/>
    <w:rsid w:val="642A3C10"/>
    <w:rsid w:val="7958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ind w:firstLine="482"/>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2025-08-25T07:29:00Z</dcterms:created>
  <dc:creator>Administrator</dc:creator>
  <cp:lastModifiedBy>Administrator</cp:lastModifiedBy>
  <dcterms:modified xsi:type="dcterms:W3CDTF">2025-08-27T03:44:09Z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