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beforeAutospacing="0" w:afterAutospacing="0" w:line="360" w:lineRule="auto"/>
        <w:jc w:val="center"/>
        <w:rPr>
          <w:rFonts w:hint="eastAsia" w:ascii="仿宋_GB2312" w:hAnsi="仿宋_GB2312" w:eastAsia="仿宋_GB2312" w:cs="仿宋_GB2312"/>
          <w:b/>
          <w:bCs/>
          <w:color w:val="000000" w:themeColor="text1"/>
          <w:sz w:val="44"/>
          <w:szCs w:val="44"/>
          <w14:textFill>
            <w14:solidFill>
              <w14:schemeClr w14:val="tx1"/>
            </w14:solidFill>
          </w14:textFill>
        </w:rPr>
      </w:pPr>
      <w:r>
        <w:rPr>
          <w:rFonts w:hint="eastAsia" w:ascii="仿宋_GB2312" w:hAnsi="仿宋_GB2312" w:eastAsia="仿宋_GB2312" w:cs="仿宋_GB2312"/>
          <w:b/>
          <w:bCs/>
          <w:color w:val="000000" w:themeColor="text1"/>
          <w:sz w:val="44"/>
          <w:szCs w:val="44"/>
          <w14:textFill>
            <w14:solidFill>
              <w14:schemeClr w14:val="tx1"/>
            </w14:solidFill>
          </w14:textFill>
        </w:rPr>
        <w:t>202</w:t>
      </w:r>
      <w:r>
        <w:rPr>
          <w:rFonts w:hint="eastAsia" w:ascii="仿宋_GB2312" w:hAnsi="仿宋_GB2312" w:eastAsia="仿宋_GB2312" w:cs="仿宋_GB2312"/>
          <w:b/>
          <w:bCs/>
          <w:color w:val="000000" w:themeColor="text1"/>
          <w:sz w:val="44"/>
          <w:szCs w:val="44"/>
          <w:lang w:val="en-US" w:eastAsia="zh-CN"/>
          <w14:textFill>
            <w14:solidFill>
              <w14:schemeClr w14:val="tx1"/>
            </w14:solidFill>
          </w14:textFill>
        </w:rPr>
        <w:t>5</w:t>
      </w:r>
      <w:r>
        <w:rPr>
          <w:rFonts w:hint="eastAsia" w:ascii="仿宋_GB2312" w:hAnsi="仿宋_GB2312" w:eastAsia="仿宋_GB2312" w:cs="仿宋_GB2312"/>
          <w:b/>
          <w:bCs/>
          <w:color w:val="000000" w:themeColor="text1"/>
          <w:sz w:val="44"/>
          <w:szCs w:val="44"/>
          <w14:textFill>
            <w14:solidFill>
              <w14:schemeClr w14:val="tx1"/>
            </w14:solidFill>
          </w14:textFill>
        </w:rPr>
        <w:t>年</w:t>
      </w:r>
      <w:r>
        <w:rPr>
          <w:rFonts w:hint="eastAsia" w:ascii="仿宋_GB2312" w:hAnsi="仿宋_GB2312" w:eastAsia="仿宋_GB2312" w:cs="仿宋_GB2312"/>
          <w:b/>
          <w:bCs/>
          <w:color w:val="000000" w:themeColor="text1"/>
          <w:sz w:val="44"/>
          <w:szCs w:val="44"/>
          <w:lang w:val="en-US" w:eastAsia="zh-CN"/>
          <w14:textFill>
            <w14:solidFill>
              <w14:schemeClr w14:val="tx1"/>
            </w14:solidFill>
          </w14:textFill>
        </w:rPr>
        <w:t>9</w:t>
      </w:r>
      <w:r>
        <w:rPr>
          <w:rFonts w:hint="eastAsia" w:ascii="仿宋_GB2312" w:hAnsi="仿宋_GB2312" w:eastAsia="仿宋_GB2312" w:cs="仿宋_GB2312"/>
          <w:b/>
          <w:bCs/>
          <w:color w:val="000000" w:themeColor="text1"/>
          <w:sz w:val="44"/>
          <w:szCs w:val="44"/>
          <w14:textFill>
            <w14:solidFill>
              <w14:schemeClr w14:val="tx1"/>
            </w14:solidFill>
          </w14:textFill>
        </w:rPr>
        <w:t>月涉税新政</w:t>
      </w:r>
    </w:p>
    <w:p>
      <w:pPr>
        <w:keepNext w:val="0"/>
        <w:keepLines w:val="0"/>
        <w:pageBreakBefore w:val="0"/>
        <w:numPr>
          <w:numId w:val="0"/>
        </w:numPr>
        <w:kinsoku/>
        <w:wordWrap/>
        <w:overflowPunct/>
        <w:topLinePunct w:val="0"/>
        <w:autoSpaceDE/>
        <w:autoSpaceDN/>
        <w:bidi w:val="0"/>
        <w:adjustRightInd w:val="0"/>
        <w:snapToGrid w:val="0"/>
        <w:spacing w:beforeAutospacing="0" w:afterAutospacing="0" w:line="360" w:lineRule="auto"/>
        <w:jc w:val="left"/>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一、关于完善增值税期末留抵退税政策的公告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一是符合条件的“制造业”“科学研究和技术服务业”“软件和信息技术服务业”“生态保护和环境治理业”（以下简称制造业等4个行业）增值税一般纳税人（以下简称纳税人），可以按月向主管税务机关申请退还期末留抵税额。二是符合条件的房地产开发经营业纳税人，可以向主管税务机关申请退还与2019年3月31日期末留抵税额相比新增加留抵税额的60%。三是符合条件的其他纳税人，可以向主管税务机关申请按比例退还与申请退税前一税款所属期上一年度12月31日期末留抵税额相比新增加的留抵税额。</w:t>
      </w:r>
    </w:p>
    <w:p>
      <w:pPr>
        <w:keepNext w:val="0"/>
        <w:keepLines w:val="0"/>
        <w:pageBreakBefore w:val="0"/>
        <w:numPr>
          <w:numId w:val="0"/>
        </w:numPr>
        <w:kinsoku/>
        <w:wordWrap/>
        <w:overflowPunct/>
        <w:topLinePunct w:val="0"/>
        <w:autoSpaceDE/>
        <w:autoSpaceDN/>
        <w:bidi w:val="0"/>
        <w:adjustRightInd w:val="0"/>
        <w:snapToGrid w:val="0"/>
        <w:spacing w:beforeAutospacing="0" w:afterAutospacing="0" w:line="360" w:lineRule="auto"/>
        <w:jc w:val="left"/>
        <w:rPr>
          <w:rFonts w:hint="eastAsia" w:ascii="仿宋_GB2312" w:hAnsi="仿宋_GB2312" w:eastAsia="仿宋_GB2312" w:cs="仿宋_GB2312"/>
          <w:b/>
          <w:bCs/>
          <w:i w:val="0"/>
          <w:iCs w:val="0"/>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pageBreakBefore w:val="0"/>
        <w:numPr>
          <w:numId w:val="0"/>
        </w:numPr>
        <w:kinsoku/>
        <w:wordWrap/>
        <w:overflowPunct/>
        <w:topLinePunct w:val="0"/>
        <w:autoSpaceDE/>
        <w:autoSpaceDN/>
        <w:bidi w:val="0"/>
        <w:adjustRightInd w:val="0"/>
        <w:snapToGrid w:val="0"/>
        <w:spacing w:beforeAutospacing="0" w:afterAutospacing="0" w:line="360" w:lineRule="auto"/>
        <w:jc w:val="left"/>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二、关于办理增值税期末留抵退税有关征管事项的公告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一、增值税一般纳税人（以下简称纳税人）按照7号公告申请办理留抵退税，应当于符合留抵退税条件的次月，在增值税纳税申报期（以下简称申报期）内，完成本期增值税纳税申报后，通过电子税务局或办税服务厅向主管税务机关提交《退（抵）税申请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二、纳税人出口货物或者跨境销售服务、无形资产，适用免抵退税办法的，可以在同一申报期内，既申报免抵退税又申请办理留抵退税。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申请办理留抵退税的纳税人出口货物或者跨境销售服务、无形资产，适用免抵退税办法的，应当按期申报免抵退税。当期可申报免抵退税的出口销售额为零的，应当办理免抵退税零申报。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三、纳税人适用7号公告规定的留抵退税政策，有纳税缴费信用级别条件要求的，以纳税人向主管税务机关申请办理留抵退税提交《退（抵）税申请表》时的纳税缴费信用级别确定。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四、在计算允许退还的留抵税额的进项构成比例时，参与计算所属期内按照规定转出的进项税额，无需从已抵扣的增值税专用发票、海关进口增值税专用缴款书、完税凭证、机动车销售统一发票、收费公路通行费增值税电子普通发票、电子发票（航空运输电子客票行程单）、电子发票（铁路电子客票）等增值税扣税凭证注明的增值税额中扣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五、税务机关应当按照规定程序和时限受理、审核纳税人的留抵退税申请，并将审核结果告知纳税人。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六、纳税人不存在本公告第七条所列情形的，税务机关应当自受理留抵退税申请之日起（含当日，下同）10个工作日内完成审核，并向纳税人出具《税务事项通知书》。经审核，纳税人符合留抵退税条件的，准予留抵退税，并向纳税人出具准予留抵退税的《税务事项通知书》；纳税人不符合留抵退税条件的，不予留抵退税，并向纳税人出具不予留抵退税的《税务事项通知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纳税人既申报免抵退税又申请办理留抵退税的，税务机关应当先办理免抵退税。办理免抵退税后，纳税人仍符合留抵退税条件的，再办理留抵退税。上述10个工作日，自免抵退税应退税额核准之日起计算。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七、税务机关在办理留抵退税期间，发现纳税人存在以下情形的，暂停为其办理留抵退税：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（一）存在增值税涉税风险疑点的；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（二）被税务稽查立案且未结案的；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（三）增值税申报比对异常未处理的；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（四）取得增值税异常扣税凭证未处理的；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（五）国家税务总局规定的其他情形。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八、本公告第七条列举的增值税涉税风险疑点等情形已排除，且相关事项处理完毕后，按照以下规定办理：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一）纳税人仍符合留抵退税条件的，税务机关继续为其办理留抵退税，并自增值税涉税风险疑点等情形排除且相关事项处理完毕之日起5个工作日内完成审核，向纳税人出具准予留抵退税的《税务事项通知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（二）纳税人不再符合留抵退税条件的，不予留抵退税。税务机关应当自增值税涉税风险疑点等情形排除且相关事项处理完毕之日起5个工作日内完成审核，并向纳税人出具不予留抵退税的《税务事项通知书》。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九、纳税人存在以下情形的，税务机关应当终止为其办理留抵退税，并自作出终止办理留抵退税决定之日起5个工作日内，向纳税人出具终止办理留抵退税的 《税务事项通知书》：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（一）税务机关对增值税涉税风险疑点进行排查时，发现纳税人涉嫌骗取出口退税、虚开增值税专用发票等增值税重大税收违法行为的；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（二）国家税务总局规定的其他情形。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上述情形处理完毕后，纳税人仍符合留抵退税条件的，可以按照规定重新申请办理留抵退税。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十、纳税人在办理留抵退税期间发生下列情形的，按照以下规定确定允许退还的留抵税额：</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（一）因纳税申报、稽查查补和评估调整等原因，造成期末留抵税额发生变化的，按照最近一期增值税及附加税费申报表“期末留抵税额”确定允许退还的留抵税额。</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二）纳税人在同一申报期既申报免抵退税又申请办理留抵退税的，或者在纳税人申请办理留抵退税时存在尚未经税务机关核准的免抵退税应退税额的，应当待税务机关核准免抵退税应退税额后，按照最近一期增值税及附加税费申报表“期末留抵税额”，扣减税务机关核准的免抵退税应退税额后的余额确定允许退还的留抵税额。</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税务机关核准的免抵退税应退税额，是指税务机关当期已核准，但纳税人尚未在增值税及附加税费申报表相关栏次中填报的免抵退税应退税额。</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（三）纳税人既有增值税欠税，又有期末留抵税额的，按照最近一期增值税及附加税费申报表“期末留抵税额”，抵减增值税欠税后的余额确定允许退还的留抵税额。</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十一、在纳税人办理增值税纳税申报和免抵退税申报后、税务机关核准其免抵退税应退税额前，税务机关核准纳税人前期留抵退税的，以最近一期增值税及附加税费申报表“期末留抵税额”，扣减税务机关核准的留抵退税额后的余额，计算当期免抵退税应退税额和免抵税额。</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税务机关核准的留抵退税额，是指税务机关当期已核准，但纳税人尚未在增值税及附加税费申报表相关栏次中填报的留抵退税额。</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十二、纳税人应当在收到税务机关准予留抵退税的《税务事项通知书》当期，以税务机关核准的允许退还的留抵税额冲减期末留抵税额，并在办理增值税纳税申报时，相应填写增值税及附加税费申报表相关栏次，按照规定作进项税额转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十三、纳税人按照7号公告第九条规定，需要申请缴回已退还的全部留抵退税款的，可以通过电子税务局或办税服务厅提交《缴回留抵退税申请表》。税务机关应当自受理之日起5个工作日内，依申请向纳税人出具留抵退税款缴回的《税务事项通知书》。纳税人在缴回已退还的全部留抵退税款后，办理增值税纳税申报时，将缴回的全部退税款按照规定填写在增值税及附加税费申报表相关栏次，并可以继续按照规定抵扣进项税额。</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三、关于领取个人养老金有关问题的通知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开立个人养老金资金账户所在市的商业银行机构应依法对领取个人养老金的参加人的纳税情况进行全员全额明细申报。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Chars="0" w:right="0" w:rightChars="0"/>
        <w:jc w:val="both"/>
        <w:textAlignment w:val="cente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四、</w:t>
      </w:r>
      <w: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关于育儿补贴有关个人所得税政策的公告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一、对按照育儿补贴制度规定发放的育儿补贴免征个人所得税。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二、县级卫生健康部门按规定为申领补贴的人员办理个人所得税免税申报。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20"/>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ind w:firstLine="0"/>
        <w:jc w:val="left"/>
        <w:textAlignment w:val="center"/>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shd w:val="clear" w:fill="FFFFFF"/>
          <w:lang w:eastAsia="zh-CN"/>
          <w14:textFill>
            <w14:solidFill>
              <w14:schemeClr w14:val="tx1"/>
            </w14:solidFill>
          </w14:textFill>
        </w:rPr>
        <w:t>五、</w:t>
      </w:r>
      <w:bookmarkStart w:id="0" w:name="_GoBack"/>
      <w:bookmarkEnd w:id="0"/>
      <w:r>
        <w:rPr>
          <w:rFonts w:hint="eastAsia" w:ascii="仿宋_GB2312" w:hAnsi="仿宋_GB2312" w:eastAsia="仿宋_GB2312" w:cs="仿宋_GB2312"/>
          <w:b/>
          <w:bCs/>
          <w:color w:val="000000" w:themeColor="text1"/>
          <w:kern w:val="0"/>
          <w:sz w:val="32"/>
          <w:szCs w:val="32"/>
          <w14:textFill>
            <w14:solidFill>
              <w14:schemeClr w14:val="tx1"/>
            </w14:solidFill>
          </w14:textFill>
        </w:rPr>
        <w:t>关于开展2025年度享受增值税加计抵减政策的工业母机企业清单制定工作的通知</w:t>
      </w:r>
    </w:p>
    <w:p>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一、本通知所称清单是指财税〔2023〕25号文中提及的享受增值税加计抵减政策的先进工业母机主机、关键功能部件、数控系统企业清单。</w:t>
      </w:r>
    </w:p>
    <w:p>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申请列入清单的企业（含所属的非法人分支机构）应于2025年8月31日前在信息填报系统（www.gymjtax.com）中提交申请，并生成纸质文件加盖企业公章，连同必要佐证材料（电子版、纸质版）报各省、自治区、直辖市及计划单列市、新疆生产建设兵团工业和信息化主管部门（以下称地方工信部门）。已列入2024年清单的企业，拟继续申请进入2025年清单的，须重新提交《享受增值税加计抵减政策的工业母机企业提交证明材料清单》中第2、3、6、8、9项。</w:t>
      </w:r>
    </w:p>
    <w:p>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企业可于10月31日后，从信息填报系统中查询是否被列入清单。清单印发后，企业可在当期一并计提前期可计提但未计提的加计抵减额。列入2025年清单的企业，于2025年1月1日起享受政策；已列入2024年清单但未列入2025年清单的企业，于2025年10月31日停止享受政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20"/>
        <w:rPr>
          <w:rFonts w:hint="eastAsia" w:ascii="仿宋_GB2312" w:hAnsi="仿宋_GB2312" w:eastAsia="仿宋_GB2312" w:cs="仿宋_GB2312"/>
          <w:i w:val="0"/>
          <w:iCs w:val="0"/>
          <w:caps w:val="0"/>
          <w:color w:val="000000" w:themeColor="text1"/>
          <w:spacing w:val="0"/>
          <w:sz w:val="28"/>
          <w:szCs w:val="28"/>
          <w:shd w:val="clear" w:fill="FFFFFF"/>
          <w:lang w:eastAsia="zh-CN"/>
          <w14:textFill>
            <w14:solidFill>
              <w14:schemeClr w14:val="tx1"/>
            </w14:solidFill>
          </w14:textFill>
        </w:rPr>
      </w:pP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right="0" w:rightChars="0"/>
        <w:jc w:val="both"/>
        <w:textAlignment w:val="center"/>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六、</w:t>
      </w:r>
      <w:r>
        <w:rPr>
          <w:rFonts w:hint="eastAsia" w:ascii="仿宋_GB2312" w:hAnsi="仿宋_GB2312" w:eastAsia="仿宋_GB2312" w:cs="仿宋_GB2312"/>
          <w:b/>
          <w:bCs/>
          <w:color w:val="000000" w:themeColor="text1"/>
          <w:kern w:val="0"/>
          <w:sz w:val="32"/>
          <w:szCs w:val="32"/>
          <w14:textFill>
            <w14:solidFill>
              <w14:schemeClr w14:val="tx1"/>
            </w14:solidFill>
          </w14:textFill>
        </w:rPr>
        <w:t>关于明确快递服务等增值税政策的公告</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right="0" w:rightChars="0" w:firstLine="560" w:firstLineChars="200"/>
        <w:jc w:val="both"/>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一、</w:t>
      </w:r>
      <w:r>
        <w:rPr>
          <w:rFonts w:hint="eastAsia" w:ascii="仿宋_GB2312" w:hAnsi="仿宋_GB2312" w:eastAsia="仿宋_GB2312" w:cs="仿宋_GB2312"/>
          <w:color w:val="000000" w:themeColor="text1"/>
          <w:sz w:val="28"/>
          <w:szCs w:val="28"/>
          <w14:textFill>
            <w14:solidFill>
              <w14:schemeClr w14:val="tx1"/>
            </w14:solidFill>
          </w14:textFill>
        </w:rPr>
        <w:t>快递企业提供快递服务取得的收入，按照“收派服务”缴纳增值税。</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具有网络平台道路货物运输（以下简称网络货运）经营资质的纳税人，从事网络货运经营，自行采购并交付给实际承运人使用的成品油、天然气、电力、氢能、二甲醚、甲醇以及其他各类车辆燃料（能源）和支付的道路、桥、闸通行费，同时符合下列条件的，其进项税额准予从销项税额中抵扣：</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（一）成品油、天然气、电力、氢能、二甲醚、甲醇以及其他各类车辆燃料（能源）和支付的道路、桥、闸通行费，应用于从事网络货运经营纳税人委托实际承运人完成的运输服务。</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（二）取得的增值税扣税凭证符合现行规定。</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right="0" w:rightChars="0" w:firstLine="560" w:firstLineChars="200"/>
        <w:jc w:val="both"/>
        <w:textAlignment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right="0" w:rightChars="0"/>
        <w:jc w:val="both"/>
        <w:textAlignment w:val="cente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七、关于中国与喀麦隆税收协定以及中国与巴西税收协定议定书生效执行的公告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中华人民共和国政府和喀麦隆共和国政府对所得消除双重征税和防止逃避税的协定》（以下简称《中喀协定》）于2023年10月17日在北京正式签署。中喀双方已完成《中喀协定》生效所必需的各自国内法律程序。《中喀协定》于2025年7月26日生效，适用于2026年1月1日或以后开始的纳税年度取得的所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000000" w:themeColor="text1"/>
          <w:spacing w:val="0"/>
          <w:sz w:val="28"/>
          <w:szCs w:val="28"/>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关于修订1991年8月5日在北京签署的〈中华人民共和国政府和巴西联邦共和国政府关于对所得避免双重征税和防止偷漏税的协定〉及议定书的议定书》（以下简称《中巴协定议定书》）于2022年5月23日在北京、巴西利亚正式签署。中巴双方已完成《中巴协定议定书》生效所必需的各自国内法律程序。《中巴协定议定书》于2025年6月14日生效，适用于2026年1月1日或以后对已支付或计入的款项源泉扣缴的税收，以及2026年1月1日或以后开始的纳税年度中征收的，属于经《中巴协定议定书》修订后的《中华人民共和国政府和巴西联邦共和国政府关于对所得避免双重征税和防止偷漏税的协定》税种范围的其他税收。</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right="0" w:rightChars="0"/>
        <w:jc w:val="both"/>
        <w:textAlignment w:val="center"/>
        <w:rPr>
          <w:rFonts w:hint="eastAsia" w:ascii="仿宋_GB2312" w:hAnsi="仿宋_GB2312" w:eastAsia="仿宋_GB2312" w:cs="仿宋_GB2312"/>
          <w:b/>
          <w:bCs/>
          <w:i w:val="0"/>
          <w:iCs w:val="0"/>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Chars="0" w:right="0" w:rightChars="0"/>
        <w:jc w:val="both"/>
        <w:textAlignment w:val="cente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八、关于境外投资者以分配利润直接投资税收抵免政策有关事项的公告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一、境外投资者以分得的利润用于补缴其在境内居民企业已经认缴的注册资本，增加实收资本或资本公积的，属于“新增或转增中国境内居民企业实收资本或者资本公积”情形。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二</w:t>
      </w:r>
      <w:r>
        <w:rPr>
          <w:rFonts w:hint="eastAsia" w:ascii="仿宋_GB2312" w:hAnsi="仿宋_GB2312" w:eastAsia="仿宋_GB2312" w:cs="仿宋_GB2312"/>
          <w:color w:val="000000" w:themeColor="text1"/>
          <w:sz w:val="28"/>
          <w:szCs w:val="28"/>
          <w14:textFill>
            <w14:solidFill>
              <w14:schemeClr w14:val="tx1"/>
            </w14:solidFill>
          </w14:textFill>
        </w:rPr>
        <w:t>、境外投资者在确定税收抵免额度时，可选择按再投资额的10%或者可适用的税收协定（或安排）规定的低于10%的股息征税比例计算。相关比例一经选定，在持有投资满5年（60个月）后收回投资并申报补缴递延的税款时，不得再适用税收协定（或安排）规定的更低的股息征税比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、同一境外投资者从多个境内居民企业取得利润进行再投资，均符合税收抵免政策的，按利润分配企业分别归集计算税收抵免额度。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四</w:t>
      </w:r>
      <w:r>
        <w:rPr>
          <w:rFonts w:hint="eastAsia" w:ascii="仿宋_GB2312" w:hAnsi="仿宋_GB2312" w:eastAsia="仿宋_GB2312" w:cs="仿宋_GB2312"/>
          <w:color w:val="000000" w:themeColor="text1"/>
          <w:sz w:val="28"/>
          <w:szCs w:val="28"/>
          <w14:textFill>
            <w14:solidFill>
              <w14:schemeClr w14:val="tx1"/>
            </w14:solidFill>
          </w14:textFill>
        </w:rPr>
        <w:t>、境外投资者收回的直接投资中既包含符合税收抵免政策条件并已实际享受的，又包含符合税收抵免政策条件但未实际享受的，还包含不符合税收抵免政策条件的，收回投资顺序为先处置已享受税收抵免政策的投资，再处置符合条件但未实际享受税收抵免政策的投资，最后处置不符合税收抵免政策的投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境外投资者多次再投资同一家中国境内居民企业，并享受税收抵免政策的，在收回部分直接投资时，按再投资的时间先后顺序依次确定其收回享受税收抵免政策的投资金额。</w:t>
      </w:r>
    </w:p>
    <w:p>
      <w:pPr>
        <w:pStyle w:val="6"/>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rPr>
          <w:rFonts w:hint="eastAsia" w:ascii="仿宋_GB2312" w:hAnsi="仿宋_GB2312" w:eastAsia="仿宋_GB2312" w:cs="仿宋_GB2312"/>
          <w:color w:val="000000" w:themeColor="text1"/>
          <w:sz w:val="28"/>
          <w:szCs w:val="28"/>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ind w:firstLine="0"/>
        <w:jc w:val="both"/>
        <w:textAlignment w:val="center"/>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shd w:val="clear" w:fill="FFFFFF"/>
          <w:lang w:val="en-US" w:eastAsia="zh-CN" w:bidi="ar"/>
          <w14:textFill>
            <w14:solidFill>
              <w14:schemeClr w14:val="tx1"/>
            </w14:solidFill>
          </w14:textFill>
        </w:rPr>
        <w:t>九、</w:t>
      </w:r>
      <w:r>
        <w:rPr>
          <w:rFonts w:hint="eastAsia" w:ascii="仿宋_GB2312" w:hAnsi="仿宋_GB2312" w:eastAsia="仿宋_GB2312" w:cs="仿宋_GB2312"/>
          <w:b/>
          <w:bCs/>
          <w:color w:val="000000" w:themeColor="text1"/>
          <w:kern w:val="0"/>
          <w:sz w:val="32"/>
          <w:szCs w:val="32"/>
          <w14:textFill>
            <w14:solidFill>
              <w14:schemeClr w14:val="tx1"/>
            </w14:solidFill>
          </w14:textFill>
        </w:rPr>
        <w:t>关于国债等债券利息收入增值税政策的公告</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560" w:firstLineChars="200"/>
        <w:rPr>
          <w:rFonts w:hint="eastAsia" w:ascii="仿宋_GB2312" w:hAnsi="仿宋_GB2312" w:eastAsia="仿宋_GB2312" w:cs="仿宋_GB2312"/>
          <w:b/>
          <w:bCs/>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自2025年8月8日起，对在该日期之后（含当日）新发行的国债、地方政府债券、金融债券的利息收入，恢复征收增值税。对在该日期之前已发行的国债、地方政府债券、金融债券（包含在2025年8月8日之后续发行的部分）的利息收入，继续免征增值税直至债券到期。</w:t>
      </w:r>
    </w:p>
    <w:p>
      <w:pPr>
        <w:keepNext w:val="0"/>
        <w:keepLines w:val="0"/>
        <w:pageBreakBefore w:val="0"/>
        <w:numPr>
          <w:numId w:val="0"/>
        </w:numPr>
        <w:kinsoku/>
        <w:wordWrap/>
        <w:overflowPunct/>
        <w:topLinePunct w:val="0"/>
        <w:autoSpaceDE/>
        <w:autoSpaceDN/>
        <w:bidi w:val="0"/>
        <w:adjustRightInd w:val="0"/>
        <w:snapToGrid w:val="0"/>
        <w:spacing w:beforeAutospacing="0" w:afterAutospacing="0" w:line="360" w:lineRule="auto"/>
        <w:jc w:val="left"/>
        <w:rPr>
          <w:rFonts w:hint="default" w:ascii="仿宋_GB2312" w:hAnsi="仿宋_GB2312" w:eastAsia="仿宋_GB2312" w:cs="仿宋_GB2312"/>
          <w:b/>
          <w:bCs/>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60" w:lineRule="auto"/>
        <w:jc w:val="left"/>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相关文件：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cente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财政部 税务总局关于完善增值税期末留抵退税政策的公告》（财政部 税务总局公告2025年第7号）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cente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国家税务总局关于办理增值税期末留抵退税有关征管事项的公告</w:t>
      </w:r>
      <w: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国家税务总局公告2025年第20号</w:t>
      </w:r>
      <w: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cente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3.《</w:t>
      </w:r>
      <w: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人力资源社会保障部 财政部 国家税务总局 金融监管总局 中国证监会关于领取个人养老金有关问题的通知》（人社部发〔2025〕39号</w:t>
      </w:r>
      <w: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cente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4.《财政部 税务总局关于育儿补贴有关个人所得税政策的公告</w:t>
      </w:r>
      <w: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》（财政部 税务总局公告2025年第6号</w:t>
      </w:r>
      <w: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ind w:firstLine="0"/>
        <w:jc w:val="left"/>
        <w:textAlignment w:val="cente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5.《</w:t>
      </w:r>
      <w:r>
        <w:rPr>
          <w:rFonts w:hint="eastAsia" w:ascii="仿宋_GB2312" w:hAnsi="仿宋_GB2312" w:eastAsia="仿宋_GB2312" w:cs="仿宋_GB2312"/>
          <w:b w:val="0"/>
          <w:bCs w:val="0"/>
          <w:color w:val="000000" w:themeColor="text1"/>
          <w:kern w:val="0"/>
          <w:sz w:val="28"/>
          <w:szCs w:val="28"/>
          <w14:textFill>
            <w14:solidFill>
              <w14:schemeClr w14:val="tx1"/>
            </w14:solidFill>
          </w14:textFill>
        </w:rPr>
        <w:t>工业和信息化部 财政部 税务总局关于开展2025年度享受增值税加计抵减政策的工业母机企业清单制定工作的通知</w:t>
      </w:r>
      <w: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w:t>
      </w:r>
      <w:r>
        <w:rPr>
          <w:rFonts w:hint="eastAsia" w:ascii="仿宋_GB2312" w:hAnsi="仿宋_GB2312" w:eastAsia="仿宋_GB2312" w:cs="仿宋_GB2312"/>
          <w:b w:val="0"/>
          <w:bCs w:val="0"/>
          <w:color w:val="000000" w:themeColor="text1"/>
          <w:kern w:val="0"/>
          <w:sz w:val="28"/>
          <w:szCs w:val="28"/>
          <w14:textFill>
            <w14:solidFill>
              <w14:schemeClr w14:val="tx1"/>
            </w14:solidFill>
          </w14:textFill>
        </w:rPr>
        <w:t>工信部联通装函〔2025〕198号</w:t>
      </w:r>
      <w: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ind w:firstLine="0"/>
        <w:jc w:val="left"/>
        <w:textAlignment w:val="center"/>
        <w:rPr>
          <w:rFonts w:hint="eastAsia" w:ascii="仿宋_GB2312" w:hAnsi="仿宋_GB2312" w:eastAsia="仿宋_GB2312" w:cs="仿宋_GB2312"/>
          <w:b w:val="0"/>
          <w:bCs w:val="0"/>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6.《</w:t>
      </w:r>
      <w:r>
        <w:rPr>
          <w:rFonts w:hint="eastAsia" w:ascii="仿宋_GB2312" w:hAnsi="仿宋_GB2312" w:eastAsia="仿宋_GB2312" w:cs="仿宋_GB2312"/>
          <w:b w:val="0"/>
          <w:bCs w:val="0"/>
          <w:color w:val="000000" w:themeColor="text1"/>
          <w:kern w:val="0"/>
          <w:sz w:val="28"/>
          <w:szCs w:val="28"/>
          <w14:textFill>
            <w14:solidFill>
              <w14:schemeClr w14:val="tx1"/>
            </w14:solidFill>
          </w14:textFill>
        </w:rPr>
        <w:t>财政部 税务总局关于明确快递服务等增值税政策的公告</w:t>
      </w:r>
      <w:r>
        <w:rPr>
          <w:rFonts w:hint="eastAsia" w:ascii="仿宋_GB2312" w:hAnsi="仿宋_GB2312" w:eastAsia="仿宋_GB2312" w:cs="仿宋_GB2312"/>
          <w:b w:val="0"/>
          <w:bCs w:val="0"/>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28"/>
          <w:szCs w:val="28"/>
          <w14:textFill>
            <w14:solidFill>
              <w14:schemeClr w14:val="tx1"/>
            </w14:solidFill>
          </w14:textFill>
        </w:rPr>
        <w:t>财政部 税务总局公告2025年第5号</w:t>
      </w:r>
      <w:r>
        <w:rPr>
          <w:rFonts w:hint="eastAsia" w:ascii="仿宋_GB2312" w:hAnsi="仿宋_GB2312" w:eastAsia="仿宋_GB2312" w:cs="仿宋_GB2312"/>
          <w:b w:val="0"/>
          <w:bCs w:val="0"/>
          <w:color w:val="000000" w:themeColor="text1"/>
          <w:kern w:val="0"/>
          <w:sz w:val="28"/>
          <w:szCs w:val="28"/>
          <w:lang w:eastAsia="zh-CN"/>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cente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7.《</w:t>
      </w:r>
      <w: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国家税务总局关于中国与喀麦隆税收协定以及中国与巴西税收协定议定书生效执行的公告》（国家税务总局公告2025年第19号）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cente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8.《国家税务总局关于境外投资者以分配利润直接投资税收抵免政策有关事项的公告》（国家税务总局公告2025年第18号）</w:t>
      </w:r>
    </w:p>
    <w:p>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360" w:lineRule="auto"/>
        <w:ind w:firstLine="0"/>
        <w:jc w:val="left"/>
        <w:textAlignment w:val="cente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28"/>
          <w:szCs w:val="28"/>
          <w:shd w:val="clear" w:fill="FFFFFF"/>
          <w:lang w:val="en-US" w:eastAsia="zh-CN" w:bidi="ar"/>
          <w14:textFill>
            <w14:solidFill>
              <w14:schemeClr w14:val="tx1"/>
            </w14:solidFill>
          </w14:textFill>
        </w:rPr>
        <w:t>9.《</w:t>
      </w:r>
      <w:r>
        <w:rPr>
          <w:rFonts w:hint="eastAsia" w:ascii="仿宋_GB2312" w:hAnsi="仿宋_GB2312" w:eastAsia="仿宋_GB2312" w:cs="仿宋_GB2312"/>
          <w:b w:val="0"/>
          <w:bCs w:val="0"/>
          <w:color w:val="000000" w:themeColor="text1"/>
          <w:kern w:val="0"/>
          <w:sz w:val="28"/>
          <w:szCs w:val="28"/>
          <w14:textFill>
            <w14:solidFill>
              <w14:schemeClr w14:val="tx1"/>
            </w14:solidFill>
          </w14:textFill>
        </w:rPr>
        <w:t>财政部 税务总局关于国债等债券利息收入增值税政策的公告</w:t>
      </w:r>
      <w:r>
        <w:rPr>
          <w:rFonts w:hint="eastAsia" w:ascii="仿宋_GB2312" w:hAnsi="仿宋_GB2312" w:eastAsia="仿宋_GB2312" w:cs="仿宋_GB2312"/>
          <w:b w:val="0"/>
          <w:bCs w:val="0"/>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28"/>
          <w:szCs w:val="28"/>
          <w14:textFill>
            <w14:solidFill>
              <w14:schemeClr w14:val="tx1"/>
            </w14:solidFill>
          </w14:textFill>
        </w:rPr>
        <w:t>财政部 税务总局公告2025年第4号</w:t>
      </w:r>
      <w:r>
        <w:rPr>
          <w:rFonts w:hint="eastAsia" w:ascii="仿宋_GB2312" w:hAnsi="仿宋_GB2312" w:eastAsia="仿宋_GB2312" w:cs="仿宋_GB2312"/>
          <w:b w:val="0"/>
          <w:bCs w:val="0"/>
          <w:color w:val="000000" w:themeColor="text1"/>
          <w:kern w:val="0"/>
          <w:sz w:val="28"/>
          <w:szCs w:val="28"/>
          <w:lang w:eastAsia="zh-CN"/>
          <w14:textFill>
            <w14:solidFill>
              <w14:schemeClr w14:val="tx1"/>
            </w14:solidFill>
          </w14:textFill>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F2F4B"/>
    <w:rsid w:val="00016400"/>
    <w:rsid w:val="00031235"/>
    <w:rsid w:val="00065B63"/>
    <w:rsid w:val="000F748B"/>
    <w:rsid w:val="00104B57"/>
    <w:rsid w:val="001614F4"/>
    <w:rsid w:val="00231C4E"/>
    <w:rsid w:val="00232FFF"/>
    <w:rsid w:val="002C4803"/>
    <w:rsid w:val="002C5F6F"/>
    <w:rsid w:val="002F2F4B"/>
    <w:rsid w:val="00361A9E"/>
    <w:rsid w:val="00404160"/>
    <w:rsid w:val="00422E2E"/>
    <w:rsid w:val="004239FC"/>
    <w:rsid w:val="0049145B"/>
    <w:rsid w:val="00506E3C"/>
    <w:rsid w:val="005621C0"/>
    <w:rsid w:val="005B5B5F"/>
    <w:rsid w:val="005D3E34"/>
    <w:rsid w:val="005F3765"/>
    <w:rsid w:val="006A067E"/>
    <w:rsid w:val="006A3734"/>
    <w:rsid w:val="006F4FAB"/>
    <w:rsid w:val="007078E7"/>
    <w:rsid w:val="00714609"/>
    <w:rsid w:val="007353ED"/>
    <w:rsid w:val="00796ACD"/>
    <w:rsid w:val="007A48C0"/>
    <w:rsid w:val="007F0B55"/>
    <w:rsid w:val="0085296F"/>
    <w:rsid w:val="008A69DC"/>
    <w:rsid w:val="009332A6"/>
    <w:rsid w:val="009D5745"/>
    <w:rsid w:val="00A40F4D"/>
    <w:rsid w:val="00A91845"/>
    <w:rsid w:val="00B857B6"/>
    <w:rsid w:val="00C7387F"/>
    <w:rsid w:val="00D01EF5"/>
    <w:rsid w:val="00D2485D"/>
    <w:rsid w:val="00D65628"/>
    <w:rsid w:val="00D9262A"/>
    <w:rsid w:val="00DB7A89"/>
    <w:rsid w:val="00DC2179"/>
    <w:rsid w:val="00E022B1"/>
    <w:rsid w:val="00E71595"/>
    <w:rsid w:val="00E74EED"/>
    <w:rsid w:val="00F822CA"/>
    <w:rsid w:val="00FA6658"/>
    <w:rsid w:val="01232F3B"/>
    <w:rsid w:val="018C2FE6"/>
    <w:rsid w:val="02216B23"/>
    <w:rsid w:val="02763E66"/>
    <w:rsid w:val="02F90F58"/>
    <w:rsid w:val="06A15CDA"/>
    <w:rsid w:val="07A129F0"/>
    <w:rsid w:val="080A185B"/>
    <w:rsid w:val="08F90A99"/>
    <w:rsid w:val="09BD1D60"/>
    <w:rsid w:val="0A5F48A1"/>
    <w:rsid w:val="0A8A07EC"/>
    <w:rsid w:val="0EC96E18"/>
    <w:rsid w:val="0F9855B9"/>
    <w:rsid w:val="1175250C"/>
    <w:rsid w:val="11F658DB"/>
    <w:rsid w:val="14861F9A"/>
    <w:rsid w:val="1533097F"/>
    <w:rsid w:val="16354AC9"/>
    <w:rsid w:val="198D7A30"/>
    <w:rsid w:val="1A5E33E2"/>
    <w:rsid w:val="1CD3264B"/>
    <w:rsid w:val="1D4109C3"/>
    <w:rsid w:val="1E821085"/>
    <w:rsid w:val="1F7F7BE7"/>
    <w:rsid w:val="26AD1A62"/>
    <w:rsid w:val="26C0501D"/>
    <w:rsid w:val="2822174E"/>
    <w:rsid w:val="289821DB"/>
    <w:rsid w:val="29B25B93"/>
    <w:rsid w:val="2A2F22FE"/>
    <w:rsid w:val="2B6F3733"/>
    <w:rsid w:val="2BBA59A6"/>
    <w:rsid w:val="2C4D0925"/>
    <w:rsid w:val="2DE10473"/>
    <w:rsid w:val="2E3C132C"/>
    <w:rsid w:val="2E477AFF"/>
    <w:rsid w:val="2ECC2F2A"/>
    <w:rsid w:val="307E3AA8"/>
    <w:rsid w:val="309B0549"/>
    <w:rsid w:val="30A30C9D"/>
    <w:rsid w:val="31885447"/>
    <w:rsid w:val="32785176"/>
    <w:rsid w:val="34842A19"/>
    <w:rsid w:val="36E9351D"/>
    <w:rsid w:val="38541DC9"/>
    <w:rsid w:val="387E4E52"/>
    <w:rsid w:val="38A36219"/>
    <w:rsid w:val="38A42DD8"/>
    <w:rsid w:val="38B41E55"/>
    <w:rsid w:val="38C13696"/>
    <w:rsid w:val="38E017DD"/>
    <w:rsid w:val="3A327F70"/>
    <w:rsid w:val="3A7230D6"/>
    <w:rsid w:val="3BBE54D4"/>
    <w:rsid w:val="3DCF1616"/>
    <w:rsid w:val="3E102A65"/>
    <w:rsid w:val="3E124DD3"/>
    <w:rsid w:val="3E9F4869"/>
    <w:rsid w:val="40B06B48"/>
    <w:rsid w:val="419F26C1"/>
    <w:rsid w:val="44210087"/>
    <w:rsid w:val="44E87631"/>
    <w:rsid w:val="469A69C7"/>
    <w:rsid w:val="48213517"/>
    <w:rsid w:val="48EE28B4"/>
    <w:rsid w:val="4A5E1CFB"/>
    <w:rsid w:val="504B2303"/>
    <w:rsid w:val="50515726"/>
    <w:rsid w:val="505307C0"/>
    <w:rsid w:val="51E055AD"/>
    <w:rsid w:val="53A32423"/>
    <w:rsid w:val="54BA3CE7"/>
    <w:rsid w:val="55970874"/>
    <w:rsid w:val="592C30C1"/>
    <w:rsid w:val="59CD220F"/>
    <w:rsid w:val="5A0E6F9C"/>
    <w:rsid w:val="5ADD0FC4"/>
    <w:rsid w:val="60BC6E7C"/>
    <w:rsid w:val="62670537"/>
    <w:rsid w:val="63B32B5F"/>
    <w:rsid w:val="65312DED"/>
    <w:rsid w:val="65326D29"/>
    <w:rsid w:val="6686483C"/>
    <w:rsid w:val="670D6932"/>
    <w:rsid w:val="6831355B"/>
    <w:rsid w:val="68993289"/>
    <w:rsid w:val="6A054615"/>
    <w:rsid w:val="6D0379BE"/>
    <w:rsid w:val="6DD142A1"/>
    <w:rsid w:val="71D84FC0"/>
    <w:rsid w:val="72897AAE"/>
    <w:rsid w:val="72955331"/>
    <w:rsid w:val="73440C83"/>
    <w:rsid w:val="757829FB"/>
    <w:rsid w:val="768805CB"/>
    <w:rsid w:val="76BD31FC"/>
    <w:rsid w:val="77F228BF"/>
    <w:rsid w:val="7937784F"/>
    <w:rsid w:val="79EB5BA0"/>
    <w:rsid w:val="7A376C23"/>
    <w:rsid w:val="7A9316E7"/>
    <w:rsid w:val="7B2F4E77"/>
    <w:rsid w:val="7BFF7B41"/>
    <w:rsid w:val="7C4055DF"/>
    <w:rsid w:val="7DBE7FD6"/>
    <w:rsid w:val="7E6B717D"/>
    <w:rsid w:val="7F925DB8"/>
    <w:rsid w:val="7FDA07B7"/>
    <w:rsid w:val="7FDB1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490</Words>
  <Characters>2796</Characters>
  <Lines>23</Lines>
  <Paragraphs>6</Paragraphs>
  <TotalTime>55</TotalTime>
  <ScaleCrop>false</ScaleCrop>
  <LinksUpToDate>false</LinksUpToDate>
  <CharactersWithSpaces>3280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2024-02-26T07:24:00Z</dcterms:created>
  <dc:creator>Windows 用户</dc:creator>
  <cp:lastModifiedBy>Administrator</cp:lastModifiedBy>
  <dcterms:modified xsi:type="dcterms:W3CDTF">2025-08-27T04:39:36Z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