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60" w:lineRule="exact"/>
        <w:rPr>
          <w:rFonts w:hint="eastAsia" w:ascii="方正黑体简体" w:hAnsi="方正黑体简体" w:eastAsia="方正黑体简体" w:cs="方正黑体简体"/>
          <w:sz w:val="36"/>
          <w:szCs w:val="36"/>
          <w:lang w:val="en-US" w:eastAsia="zh-CN"/>
        </w:rPr>
      </w:pPr>
    </w:p>
    <w:p>
      <w:pPr>
        <w:keepNext w:val="0"/>
        <w:keepLines w:val="0"/>
        <w:pageBreakBefore w:val="0"/>
        <w:widowControl w:val="0"/>
        <w:suppressAutoHyphens/>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方正楷体简体" w:cs="Times New Roman"/>
          <w:b/>
          <w:bCs/>
          <w:snapToGrid w:val="0"/>
          <w:color w:val="auto"/>
          <w:spacing w:val="11"/>
          <w:kern w:val="0"/>
          <w:sz w:val="36"/>
          <w:szCs w:val="36"/>
          <w:u w:val="none"/>
          <w:lang w:val="en-US" w:eastAsia="zh-CN"/>
        </w:rPr>
      </w:pPr>
      <w:r>
        <w:rPr>
          <w:rFonts w:hint="default" w:ascii="Times New Roman" w:hAnsi="Times New Roman" w:eastAsia="方正小标宋简体" w:cs="Times New Roman"/>
          <w:snapToGrid w:val="0"/>
          <w:color w:val="auto"/>
          <w:spacing w:val="0"/>
          <w:kern w:val="0"/>
          <w:sz w:val="44"/>
          <w:szCs w:val="44"/>
          <w:u w:val="none"/>
          <w:lang w:val="en-US" w:eastAsia="zh-CN"/>
        </w:rPr>
        <w:t>关于深入推进财政支持发展方式改革实施方案</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方正楷体简体" w:cs="Times New Roman"/>
          <w:b w:val="0"/>
          <w:bCs w:val="0"/>
          <w:snapToGrid w:val="0"/>
          <w:color w:val="auto"/>
          <w:spacing w:val="11"/>
          <w:kern w:val="0"/>
          <w:sz w:val="36"/>
          <w:szCs w:val="36"/>
          <w:highlight w:val="none"/>
          <w:lang w:val="en-US" w:eastAsia="zh-CN"/>
        </w:rPr>
      </w:pPr>
      <w:r>
        <w:rPr>
          <w:rFonts w:hint="eastAsia" w:ascii="Times New Roman" w:hAnsi="Times New Roman" w:eastAsia="方正楷体简体" w:cs="Times New Roman"/>
          <w:b w:val="0"/>
          <w:bCs w:val="0"/>
          <w:snapToGrid w:val="0"/>
          <w:color w:val="auto"/>
          <w:spacing w:val="11"/>
          <w:kern w:val="0"/>
          <w:sz w:val="36"/>
          <w:szCs w:val="36"/>
          <w:highlight w:val="none"/>
          <w:lang w:val="en-US" w:eastAsia="zh-CN"/>
        </w:rPr>
        <w:t>（征求意见稿）</w:t>
      </w:r>
    </w:p>
    <w:p>
      <w:pPr>
        <w:keepNext w:val="0"/>
        <w:keepLines w:val="0"/>
        <w:pageBreakBefore w:val="0"/>
        <w:widowControl w:val="0"/>
        <w:kinsoku/>
        <w:wordWrap/>
        <w:overflowPunct/>
        <w:topLinePunct w:val="0"/>
        <w:autoSpaceDE/>
        <w:autoSpaceDN/>
        <w:bidi w:val="0"/>
        <w:spacing w:line="660" w:lineRule="exact"/>
        <w:ind w:firstLine="464" w:firstLineChars="200"/>
        <w:jc w:val="both"/>
        <w:textAlignment w:val="baseline"/>
        <w:rPr>
          <w:rFonts w:hint="default" w:ascii="Times New Roman" w:hAnsi="Times New Roman" w:eastAsia="宋体" w:cs="Times New Roman"/>
          <w:snapToGrid w:val="0"/>
          <w:color w:val="auto"/>
          <w:spacing w:val="11"/>
          <w:kern w:val="2"/>
          <w:sz w:val="21"/>
          <w:szCs w:val="24"/>
          <w:lang w:val="en-US" w:eastAsia="zh-CN" w:bidi="ar-SA"/>
        </w:rPr>
      </w:pP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4" w:firstLineChars="200"/>
        <w:jc w:val="both"/>
        <w:textAlignment w:val="auto"/>
        <w:rPr>
          <w:rFonts w:hint="default" w:ascii="Times New Roman" w:hAnsi="Times New Roman" w:eastAsia="方正仿宋简体" w:cs="Times New Roman"/>
          <w:b w:val="0"/>
          <w:bCs/>
          <w:snapToGrid w:val="0"/>
          <w:color w:val="auto"/>
          <w:spacing w:val="11"/>
          <w:kern w:val="0"/>
          <w:sz w:val="36"/>
          <w:szCs w:val="36"/>
          <w:lang w:eastAsia="zh-CN"/>
        </w:rPr>
      </w:pPr>
      <w:r>
        <w:rPr>
          <w:rFonts w:hint="default" w:ascii="Times New Roman" w:hAnsi="Times New Roman" w:eastAsia="方正仿宋简体" w:cs="Times New Roman"/>
          <w:snapToGrid w:val="0"/>
          <w:color w:val="auto"/>
          <w:spacing w:val="11"/>
          <w:kern w:val="0"/>
          <w:sz w:val="36"/>
          <w:szCs w:val="36"/>
          <w:u w:val="none"/>
          <w:lang w:val="en-US" w:eastAsia="zh-CN"/>
        </w:rPr>
        <w:t>为</w:t>
      </w:r>
      <w:r>
        <w:rPr>
          <w:rFonts w:hint="default" w:ascii="Times New Roman" w:hAnsi="Times New Roman" w:eastAsia="方正仿宋简体" w:cs="Times New Roman"/>
          <w:b w:val="0"/>
          <w:bCs/>
          <w:snapToGrid w:val="0"/>
          <w:color w:val="auto"/>
          <w:spacing w:val="11"/>
          <w:kern w:val="0"/>
          <w:sz w:val="36"/>
          <w:szCs w:val="36"/>
        </w:rPr>
        <w:t>全面贯彻党的</w:t>
      </w:r>
      <w:r>
        <w:rPr>
          <w:rFonts w:hint="default" w:ascii="Times New Roman" w:hAnsi="Times New Roman" w:eastAsia="方正仿宋简体" w:cs="Times New Roman"/>
          <w:b w:val="0"/>
          <w:bCs/>
          <w:snapToGrid w:val="0"/>
          <w:color w:val="auto"/>
          <w:spacing w:val="11"/>
          <w:kern w:val="0"/>
          <w:sz w:val="36"/>
          <w:szCs w:val="36"/>
          <w:lang w:eastAsia="zh-CN"/>
        </w:rPr>
        <w:t>二十届三中</w:t>
      </w:r>
      <w:r>
        <w:rPr>
          <w:rFonts w:hint="eastAsia" w:ascii="Times New Roman" w:hAnsi="Times New Roman" w:eastAsia="方正仿宋简体" w:cs="Times New Roman"/>
          <w:b w:val="0"/>
          <w:bCs/>
          <w:snapToGrid w:val="0"/>
          <w:color w:val="auto"/>
          <w:spacing w:val="11"/>
          <w:kern w:val="0"/>
          <w:sz w:val="36"/>
          <w:szCs w:val="36"/>
          <w:lang w:eastAsia="zh-CN"/>
        </w:rPr>
        <w:t>、</w:t>
      </w:r>
      <w:r>
        <w:rPr>
          <w:rFonts w:hint="eastAsia" w:ascii="Times New Roman" w:hAnsi="Times New Roman" w:eastAsia="方正仿宋简体" w:cs="Times New Roman"/>
          <w:b w:val="0"/>
          <w:bCs/>
          <w:snapToGrid w:val="0"/>
          <w:color w:val="auto"/>
          <w:spacing w:val="11"/>
          <w:kern w:val="0"/>
          <w:sz w:val="36"/>
          <w:szCs w:val="36"/>
          <w:lang w:val="en-US" w:eastAsia="zh-CN"/>
        </w:rPr>
        <w:t>四中</w:t>
      </w:r>
      <w:r>
        <w:rPr>
          <w:rFonts w:hint="default" w:ascii="Times New Roman" w:hAnsi="Times New Roman" w:eastAsia="方正仿宋简体" w:cs="Times New Roman"/>
          <w:b w:val="0"/>
          <w:bCs/>
          <w:snapToGrid w:val="0"/>
          <w:color w:val="auto"/>
          <w:spacing w:val="11"/>
          <w:kern w:val="0"/>
          <w:sz w:val="36"/>
          <w:szCs w:val="36"/>
          <w:lang w:eastAsia="zh-CN"/>
        </w:rPr>
        <w:t>全会和省委十二届六次全会精神，</w:t>
      </w:r>
      <w:r>
        <w:rPr>
          <w:rFonts w:hint="default" w:ascii="Times New Roman" w:hAnsi="Times New Roman" w:eastAsia="方正仿宋简体" w:cs="Times New Roman"/>
          <w:snapToGrid w:val="0"/>
          <w:color w:val="auto"/>
          <w:spacing w:val="11"/>
          <w:kern w:val="0"/>
          <w:sz w:val="36"/>
          <w:szCs w:val="36"/>
          <w:u w:val="none"/>
          <w:lang w:val="en-US" w:eastAsia="zh-CN"/>
        </w:rPr>
        <w:t>纵深推进财政支持发展方式改革，按照《四川省全面深化财税体制改革总体方案》（川府发〔2025〕11号）要求，制定本实施方案。</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4" w:firstLineChars="200"/>
        <w:jc w:val="both"/>
        <w:textAlignment w:val="auto"/>
        <w:rPr>
          <w:rFonts w:hint="default" w:ascii="Times New Roman" w:hAnsi="Times New Roman" w:eastAsia="方正黑体简体" w:cs="Times New Roman"/>
          <w:snapToGrid w:val="0"/>
          <w:color w:val="auto"/>
          <w:spacing w:val="11"/>
          <w:kern w:val="0"/>
          <w:sz w:val="36"/>
          <w:szCs w:val="36"/>
          <w:u w:val="none"/>
          <w:lang w:val="en-US" w:eastAsia="zh-CN"/>
        </w:rPr>
      </w:pPr>
      <w:r>
        <w:rPr>
          <w:rFonts w:hint="default" w:ascii="Times New Roman" w:hAnsi="Times New Roman" w:eastAsia="方正黑体简体" w:cs="Times New Roman"/>
          <w:snapToGrid w:val="0"/>
          <w:color w:val="auto"/>
          <w:spacing w:val="11"/>
          <w:kern w:val="0"/>
          <w:sz w:val="36"/>
          <w:szCs w:val="36"/>
          <w:u w:val="none"/>
          <w:lang w:val="en-US" w:eastAsia="zh-CN"/>
        </w:rPr>
        <w:t>一、重构政府产业投资引导基金体系</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default" w:ascii="Times New Roman" w:hAnsi="Times New Roman" w:eastAsia="方正仿宋简体" w:cs="Times New Roman"/>
          <w:snapToGrid w:val="0"/>
          <w:color w:val="auto"/>
          <w:spacing w:val="11"/>
          <w:kern w:val="0"/>
          <w:sz w:val="36"/>
          <w:szCs w:val="36"/>
          <w:highlight w:val="none"/>
          <w:lang w:eastAsia="zh-CN"/>
        </w:rPr>
      </w:pPr>
      <w:r>
        <w:rPr>
          <w:rFonts w:hint="default" w:ascii="Times New Roman" w:hAnsi="Times New Roman" w:eastAsia="方正楷体简体" w:cs="Times New Roman"/>
          <w:b/>
          <w:bCs/>
          <w:snapToGrid w:val="0"/>
          <w:color w:val="auto"/>
          <w:spacing w:val="11"/>
          <w:kern w:val="0"/>
          <w:sz w:val="36"/>
          <w:szCs w:val="36"/>
          <w:highlight w:val="none"/>
        </w:rPr>
        <w:t>（一）</w:t>
      </w:r>
      <w:r>
        <w:rPr>
          <w:rFonts w:hint="default" w:ascii="Times New Roman" w:hAnsi="Times New Roman" w:eastAsia="方正楷体简体" w:cs="Times New Roman"/>
          <w:b/>
          <w:bCs/>
          <w:snapToGrid w:val="0"/>
          <w:color w:val="auto"/>
          <w:spacing w:val="11"/>
          <w:kern w:val="0"/>
          <w:sz w:val="36"/>
          <w:szCs w:val="36"/>
          <w:highlight w:val="none"/>
          <w:lang w:eastAsia="zh-CN"/>
        </w:rPr>
        <w:t>建立</w:t>
      </w:r>
      <w:r>
        <w:rPr>
          <w:rFonts w:hint="default" w:ascii="Times New Roman" w:hAnsi="Times New Roman" w:eastAsia="方正楷体简体" w:cs="Times New Roman"/>
          <w:b/>
          <w:bCs/>
          <w:snapToGrid w:val="0"/>
          <w:color w:val="auto"/>
          <w:spacing w:val="11"/>
          <w:kern w:val="0"/>
          <w:sz w:val="36"/>
          <w:szCs w:val="36"/>
          <w:highlight w:val="none"/>
        </w:rPr>
        <w:t>长效</w:t>
      </w:r>
      <w:r>
        <w:rPr>
          <w:rFonts w:hint="default" w:ascii="Times New Roman" w:hAnsi="Times New Roman" w:eastAsia="方正楷体简体" w:cs="Times New Roman"/>
          <w:b/>
          <w:bCs/>
          <w:snapToGrid w:val="0"/>
          <w:color w:val="auto"/>
          <w:spacing w:val="11"/>
          <w:kern w:val="0"/>
          <w:sz w:val="36"/>
          <w:szCs w:val="36"/>
          <w:highlight w:val="none"/>
          <w:lang w:eastAsia="zh-CN"/>
        </w:rPr>
        <w:t>投入</w:t>
      </w:r>
      <w:r>
        <w:rPr>
          <w:rFonts w:hint="default" w:ascii="Times New Roman" w:hAnsi="Times New Roman" w:eastAsia="方正楷体简体" w:cs="Times New Roman"/>
          <w:b/>
          <w:bCs/>
          <w:snapToGrid w:val="0"/>
          <w:color w:val="auto"/>
          <w:spacing w:val="11"/>
          <w:kern w:val="0"/>
          <w:sz w:val="36"/>
          <w:szCs w:val="36"/>
          <w:highlight w:val="none"/>
        </w:rPr>
        <w:t>机制。</w:t>
      </w:r>
      <w:r>
        <w:rPr>
          <w:rFonts w:hint="default" w:ascii="Times New Roman" w:hAnsi="Times New Roman" w:eastAsia="方正仿宋简体" w:cs="Times New Roman"/>
          <w:snapToGrid w:val="0"/>
          <w:color w:val="auto"/>
          <w:spacing w:val="11"/>
          <w:kern w:val="0"/>
          <w:sz w:val="36"/>
          <w:szCs w:val="36"/>
          <w:highlight w:val="none"/>
        </w:rPr>
        <w:t>坚持“政府主导、市场运作</w:t>
      </w:r>
      <w:r>
        <w:rPr>
          <w:rFonts w:hint="default" w:ascii="Times New Roman" w:hAnsi="Times New Roman" w:eastAsia="方正仿宋简体" w:cs="Times New Roman"/>
          <w:snapToGrid w:val="0"/>
          <w:color w:val="auto"/>
          <w:spacing w:val="11"/>
          <w:kern w:val="0"/>
          <w:sz w:val="36"/>
          <w:szCs w:val="36"/>
          <w:highlight w:val="none"/>
          <w:lang w:eastAsia="zh-CN"/>
        </w:rPr>
        <w:t>、</w:t>
      </w:r>
      <w:r>
        <w:rPr>
          <w:rFonts w:hint="default" w:ascii="Times New Roman" w:hAnsi="Times New Roman" w:eastAsia="方正仿宋简体" w:cs="Times New Roman"/>
          <w:snapToGrid w:val="0"/>
          <w:color w:val="auto"/>
          <w:spacing w:val="11"/>
          <w:kern w:val="0"/>
          <w:sz w:val="36"/>
          <w:szCs w:val="36"/>
          <w:highlight w:val="none"/>
          <w:lang w:val="en-US" w:eastAsia="zh-CN"/>
        </w:rPr>
        <w:t>科学决策、防范风险</w:t>
      </w:r>
      <w:r>
        <w:rPr>
          <w:rFonts w:hint="default" w:ascii="Times New Roman" w:hAnsi="Times New Roman" w:eastAsia="方正仿宋简体" w:cs="Times New Roman"/>
          <w:snapToGrid w:val="0"/>
          <w:color w:val="auto"/>
          <w:spacing w:val="11"/>
          <w:kern w:val="0"/>
          <w:sz w:val="36"/>
          <w:szCs w:val="36"/>
          <w:highlight w:val="none"/>
        </w:rPr>
        <w:t>”原则，更好发挥政府</w:t>
      </w:r>
      <w:r>
        <w:rPr>
          <w:rFonts w:hint="default" w:ascii="Times New Roman" w:hAnsi="Times New Roman" w:eastAsia="方正仿宋简体" w:cs="Times New Roman"/>
          <w:snapToGrid w:val="0"/>
          <w:color w:val="auto"/>
          <w:spacing w:val="11"/>
          <w:kern w:val="0"/>
          <w:sz w:val="36"/>
          <w:szCs w:val="36"/>
          <w:highlight w:val="none"/>
          <w:lang w:eastAsia="zh-CN"/>
        </w:rPr>
        <w:t>资金作用，引导撬动各类资本</w:t>
      </w:r>
      <w:r>
        <w:rPr>
          <w:rFonts w:hint="eastAsia" w:ascii="Times New Roman" w:hAnsi="Times New Roman" w:eastAsia="方正仿宋简体" w:cs="Times New Roman"/>
          <w:snapToGrid w:val="0"/>
          <w:color w:val="auto"/>
          <w:spacing w:val="11"/>
          <w:kern w:val="0"/>
          <w:sz w:val="36"/>
          <w:szCs w:val="36"/>
          <w:highlight w:val="none"/>
          <w:lang w:eastAsia="zh-CN"/>
        </w:rPr>
        <w:t>，</w:t>
      </w:r>
      <w:r>
        <w:rPr>
          <w:rFonts w:hint="default" w:ascii="Times New Roman" w:hAnsi="Times New Roman" w:eastAsia="方正仿宋简体" w:cs="Times New Roman"/>
          <w:snapToGrid w:val="0"/>
          <w:color w:val="auto"/>
          <w:spacing w:val="11"/>
          <w:kern w:val="0"/>
          <w:sz w:val="36"/>
          <w:szCs w:val="36"/>
          <w:highlight w:val="none"/>
        </w:rPr>
        <w:t>发展壮大耐心资本</w:t>
      </w:r>
      <w:r>
        <w:rPr>
          <w:rFonts w:hint="default" w:ascii="Times New Roman" w:hAnsi="Times New Roman" w:eastAsia="方正仿宋简体" w:cs="Times New Roman"/>
          <w:snapToGrid w:val="0"/>
          <w:color w:val="auto"/>
          <w:spacing w:val="11"/>
          <w:kern w:val="0"/>
          <w:sz w:val="36"/>
          <w:szCs w:val="36"/>
          <w:highlight w:val="none"/>
          <w:lang w:eastAsia="zh-CN"/>
        </w:rPr>
        <w:t>。创新</w:t>
      </w:r>
      <w:r>
        <w:rPr>
          <w:rFonts w:hint="default" w:ascii="Times New Roman" w:hAnsi="Times New Roman" w:eastAsia="方正仿宋简体" w:cs="Times New Roman"/>
          <w:snapToGrid w:val="0"/>
          <w:color w:val="auto"/>
          <w:spacing w:val="11"/>
          <w:kern w:val="0"/>
          <w:sz w:val="36"/>
          <w:szCs w:val="36"/>
          <w:highlight w:val="none"/>
          <w:lang w:val="en-US" w:eastAsia="zh-CN"/>
        </w:rPr>
        <w:t>运用“拨改投”“补改投”方式，</w:t>
      </w:r>
      <w:r>
        <w:rPr>
          <w:rFonts w:hint="default" w:ascii="Times New Roman" w:hAnsi="Times New Roman" w:eastAsia="方正仿宋简体" w:cs="Times New Roman"/>
          <w:snapToGrid w:val="0"/>
          <w:color w:val="auto"/>
          <w:spacing w:val="11"/>
          <w:kern w:val="0"/>
          <w:sz w:val="36"/>
          <w:szCs w:val="36"/>
          <w:highlight w:val="none"/>
        </w:rPr>
        <w:t>实施财政资金股权投资</w:t>
      </w:r>
      <w:r>
        <w:rPr>
          <w:rFonts w:hint="default" w:ascii="Times New Roman" w:hAnsi="Times New Roman" w:eastAsia="方正仿宋简体" w:cs="Times New Roman"/>
          <w:snapToGrid w:val="0"/>
          <w:color w:val="auto"/>
          <w:spacing w:val="11"/>
          <w:kern w:val="0"/>
          <w:sz w:val="36"/>
          <w:szCs w:val="36"/>
          <w:highlight w:val="none"/>
          <w:lang w:eastAsia="zh-CN"/>
        </w:rPr>
        <w:t>，</w:t>
      </w:r>
      <w:r>
        <w:rPr>
          <w:rFonts w:hint="default" w:ascii="Times New Roman" w:hAnsi="Times New Roman" w:eastAsia="方正仿宋简体" w:cs="Times New Roman"/>
          <w:snapToGrid w:val="0"/>
          <w:color w:val="auto"/>
          <w:spacing w:val="11"/>
          <w:kern w:val="0"/>
          <w:sz w:val="36"/>
          <w:szCs w:val="36"/>
          <w:highlight w:val="none"/>
        </w:rPr>
        <w:t>推动各级财政</w:t>
      </w:r>
      <w:r>
        <w:rPr>
          <w:rFonts w:hint="default" w:ascii="Times New Roman" w:hAnsi="Times New Roman" w:eastAsia="方正仿宋简体" w:cs="Times New Roman"/>
          <w:snapToGrid w:val="0"/>
          <w:color w:val="auto"/>
          <w:spacing w:val="11"/>
          <w:kern w:val="0"/>
          <w:sz w:val="36"/>
          <w:szCs w:val="36"/>
          <w:highlight w:val="none"/>
          <w:lang w:eastAsia="zh-CN"/>
        </w:rPr>
        <w:t>在产业发展、科技创新类</w:t>
      </w:r>
      <w:r>
        <w:rPr>
          <w:rFonts w:hint="default" w:ascii="Times New Roman" w:hAnsi="Times New Roman" w:eastAsia="方正仿宋简体" w:cs="Times New Roman"/>
          <w:snapToGrid w:val="0"/>
          <w:color w:val="auto"/>
          <w:spacing w:val="11"/>
          <w:kern w:val="0"/>
          <w:sz w:val="36"/>
          <w:szCs w:val="36"/>
          <w:highlight w:val="none"/>
        </w:rPr>
        <w:t>专项资金</w:t>
      </w:r>
      <w:r>
        <w:rPr>
          <w:rFonts w:hint="eastAsia" w:ascii="Times New Roman" w:hAnsi="Times New Roman" w:eastAsia="方正仿宋简体" w:cs="Times New Roman"/>
          <w:snapToGrid w:val="0"/>
          <w:color w:val="auto"/>
          <w:spacing w:val="11"/>
          <w:kern w:val="0"/>
          <w:sz w:val="36"/>
          <w:szCs w:val="36"/>
          <w:highlight w:val="none"/>
          <w:lang w:eastAsia="zh-CN"/>
        </w:rPr>
        <w:t>中</w:t>
      </w:r>
      <w:r>
        <w:rPr>
          <w:rFonts w:hint="default" w:ascii="Times New Roman" w:hAnsi="Times New Roman" w:eastAsia="方正仿宋简体" w:cs="Times New Roman"/>
          <w:snapToGrid w:val="0"/>
          <w:color w:val="auto"/>
          <w:spacing w:val="11"/>
          <w:kern w:val="0"/>
          <w:sz w:val="36"/>
          <w:szCs w:val="36"/>
          <w:highlight w:val="none"/>
        </w:rPr>
        <w:t>，安排一定比例用于实施股权投资</w:t>
      </w:r>
      <w:r>
        <w:rPr>
          <w:rFonts w:hint="default" w:ascii="Times New Roman" w:hAnsi="Times New Roman" w:eastAsia="方正仿宋简体" w:cs="Times New Roman"/>
          <w:snapToGrid w:val="0"/>
          <w:color w:val="auto"/>
          <w:spacing w:val="11"/>
          <w:kern w:val="0"/>
          <w:sz w:val="36"/>
          <w:szCs w:val="36"/>
          <w:highlight w:val="none"/>
          <w:lang w:eastAsia="zh-CN"/>
        </w:rPr>
        <w:t>。</w:t>
      </w:r>
    </w:p>
    <w:p>
      <w:pPr>
        <w:suppressAutoHyphens/>
        <w:bidi w:val="0"/>
        <w:adjustRightInd w:val="0"/>
        <w:snapToGrid w:val="0"/>
        <w:spacing w:line="660" w:lineRule="exact"/>
        <w:ind w:firstLine="766" w:firstLineChars="200"/>
        <w:rPr>
          <w:rFonts w:hint="default" w:ascii="Times New Roman" w:hAnsi="Times New Roman" w:eastAsia="方正仿宋简体" w:cs="Times New Roman"/>
          <w:snapToGrid w:val="0"/>
          <w:color w:val="auto"/>
          <w:spacing w:val="11"/>
          <w:kern w:val="0"/>
          <w:sz w:val="36"/>
          <w:szCs w:val="36"/>
          <w:highlight w:val="none"/>
        </w:rPr>
      </w:pPr>
      <w:r>
        <w:rPr>
          <w:rFonts w:hint="default" w:ascii="Times New Roman" w:hAnsi="Times New Roman" w:eastAsia="方正楷体简体" w:cs="Times New Roman"/>
          <w:b/>
          <w:bCs/>
          <w:snapToGrid w:val="0"/>
          <w:color w:val="auto"/>
          <w:spacing w:val="11"/>
          <w:kern w:val="0"/>
          <w:sz w:val="36"/>
          <w:szCs w:val="36"/>
          <w:highlight w:val="none"/>
        </w:rPr>
        <w:t>（二</w:t>
      </w:r>
      <w:r>
        <w:rPr>
          <w:rFonts w:hint="default" w:ascii="Times New Roman" w:hAnsi="Times New Roman" w:eastAsia="方正楷体简体" w:cs="Times New Roman"/>
          <w:b/>
          <w:bCs/>
          <w:snapToGrid w:val="0"/>
          <w:color w:val="auto"/>
          <w:spacing w:val="11"/>
          <w:kern w:val="0"/>
          <w:sz w:val="36"/>
          <w:szCs w:val="36"/>
          <w:highlight w:val="none"/>
          <w:lang w:eastAsia="zh-CN"/>
        </w:rPr>
        <w:t>）优化基金</w:t>
      </w:r>
      <w:r>
        <w:rPr>
          <w:rFonts w:hint="default" w:ascii="Times New Roman" w:hAnsi="Times New Roman" w:eastAsia="方正楷体简体" w:cs="Times New Roman"/>
          <w:b/>
          <w:bCs/>
          <w:snapToGrid w:val="0"/>
          <w:color w:val="auto"/>
          <w:spacing w:val="11"/>
          <w:kern w:val="0"/>
          <w:sz w:val="36"/>
          <w:szCs w:val="36"/>
          <w:highlight w:val="none"/>
        </w:rPr>
        <w:t>功能定位。</w:t>
      </w:r>
      <w:r>
        <w:rPr>
          <w:rFonts w:hint="default" w:ascii="Times New Roman" w:hAnsi="Times New Roman" w:eastAsia="方正仿宋简体" w:cs="Times New Roman"/>
          <w:snapToGrid w:val="0"/>
          <w:color w:val="auto"/>
          <w:spacing w:val="11"/>
          <w:kern w:val="0"/>
          <w:sz w:val="36"/>
          <w:szCs w:val="36"/>
          <w:highlight w:val="none"/>
        </w:rPr>
        <w:t>坚持政策性功能属性，聚焦重大战略、重点领域和市场不能充分发挥作用</w:t>
      </w:r>
      <w:r>
        <w:rPr>
          <w:rFonts w:hint="eastAsia" w:ascii="Times New Roman" w:hAnsi="Times New Roman" w:eastAsia="方正仿宋简体" w:cs="Times New Roman"/>
          <w:snapToGrid w:val="0"/>
          <w:color w:val="auto"/>
          <w:spacing w:val="11"/>
          <w:kern w:val="0"/>
          <w:sz w:val="36"/>
          <w:szCs w:val="36"/>
          <w:highlight w:val="none"/>
          <w:lang w:eastAsia="zh-CN"/>
        </w:rPr>
        <w:t>的</w:t>
      </w:r>
      <w:r>
        <w:rPr>
          <w:rFonts w:hint="default" w:ascii="Times New Roman" w:hAnsi="Times New Roman" w:eastAsia="方正仿宋简体" w:cs="Times New Roman"/>
          <w:snapToGrid w:val="0"/>
          <w:color w:val="auto"/>
          <w:spacing w:val="11"/>
          <w:kern w:val="0"/>
          <w:sz w:val="36"/>
          <w:szCs w:val="36"/>
          <w:highlight w:val="none"/>
        </w:rPr>
        <w:t>薄弱环节，吸引带动更多社会资本，加快打造“产投＋创投”引导基金体系。产投类基金重点投资产业链关键环节和延链补链强链项目，支持</w:t>
      </w:r>
      <w:bookmarkStart w:id="0" w:name="_GoBack"/>
      <w:bookmarkEnd w:id="0"/>
      <w:r>
        <w:rPr>
          <w:rFonts w:hint="default" w:ascii="Times New Roman" w:hAnsi="Times New Roman" w:eastAsia="方正仿宋简体" w:cs="Times New Roman"/>
          <w:snapToGrid w:val="0"/>
          <w:color w:val="auto"/>
          <w:spacing w:val="11"/>
          <w:kern w:val="0"/>
          <w:sz w:val="36"/>
          <w:szCs w:val="36"/>
          <w:highlight w:val="none"/>
        </w:rPr>
        <w:t>改造提升传统产业、培育新兴产业、布局未来产业；创投类基金着力投早、投小、投长期、投硬科技，促进成果转化</w:t>
      </w:r>
      <w:r>
        <w:rPr>
          <w:rFonts w:hint="default" w:ascii="Times New Roman" w:hAnsi="Times New Roman" w:eastAsia="方正仿宋简体" w:cs="Times New Roman"/>
          <w:snapToGrid w:val="0"/>
          <w:color w:val="auto"/>
          <w:spacing w:val="11"/>
          <w:kern w:val="0"/>
          <w:sz w:val="36"/>
          <w:szCs w:val="36"/>
          <w:highlight w:val="none"/>
          <w:lang w:eastAsia="zh-CN"/>
        </w:rPr>
        <w:t>落地</w:t>
      </w:r>
      <w:r>
        <w:rPr>
          <w:rFonts w:hint="default" w:ascii="Times New Roman" w:hAnsi="Times New Roman" w:eastAsia="方正仿宋简体" w:cs="Times New Roman"/>
          <w:snapToGrid w:val="0"/>
          <w:color w:val="auto"/>
          <w:spacing w:val="11"/>
          <w:kern w:val="0"/>
          <w:sz w:val="36"/>
          <w:szCs w:val="36"/>
          <w:highlight w:val="none"/>
        </w:rPr>
        <w:t>。</w:t>
      </w:r>
    </w:p>
    <w:p>
      <w:pPr>
        <w:suppressAutoHyphens/>
        <w:bidi w:val="0"/>
        <w:adjustRightInd w:val="0"/>
        <w:snapToGrid w:val="0"/>
        <w:spacing w:line="660" w:lineRule="exact"/>
        <w:ind w:firstLine="766" w:firstLineChars="200"/>
        <w:rPr>
          <w:rFonts w:hint="default" w:ascii="Times New Roman" w:hAnsi="Times New Roman" w:eastAsia="方正仿宋简体" w:cs="Times New Roman"/>
          <w:snapToGrid w:val="0"/>
          <w:color w:val="auto"/>
          <w:spacing w:val="11"/>
          <w:kern w:val="0"/>
          <w:sz w:val="36"/>
          <w:szCs w:val="36"/>
          <w:highlight w:val="none"/>
        </w:rPr>
      </w:pPr>
      <w:r>
        <w:rPr>
          <w:rFonts w:hint="default" w:ascii="Times New Roman" w:hAnsi="Times New Roman" w:eastAsia="方正楷体简体" w:cs="Times New Roman"/>
          <w:b/>
          <w:bCs/>
          <w:snapToGrid w:val="0"/>
          <w:color w:val="auto"/>
          <w:spacing w:val="11"/>
          <w:kern w:val="0"/>
          <w:sz w:val="36"/>
          <w:szCs w:val="36"/>
          <w:highlight w:val="none"/>
        </w:rPr>
        <w:t>（三）</w:t>
      </w:r>
      <w:r>
        <w:rPr>
          <w:rFonts w:hint="default" w:ascii="Times New Roman" w:hAnsi="Times New Roman" w:eastAsia="方正楷体简体" w:cs="Times New Roman"/>
          <w:b/>
          <w:bCs/>
          <w:snapToGrid w:val="0"/>
          <w:color w:val="auto"/>
          <w:spacing w:val="11"/>
          <w:kern w:val="0"/>
          <w:sz w:val="36"/>
          <w:szCs w:val="36"/>
          <w:highlight w:val="none"/>
          <w:lang w:eastAsia="zh-CN"/>
        </w:rPr>
        <w:t>加强分级管理力度。</w:t>
      </w:r>
      <w:r>
        <w:rPr>
          <w:rFonts w:hint="default" w:ascii="Times New Roman" w:hAnsi="Times New Roman" w:eastAsia="方正仿宋简体" w:cs="Times New Roman"/>
          <w:snapToGrid w:val="0"/>
          <w:color w:val="auto"/>
          <w:spacing w:val="11"/>
          <w:kern w:val="0"/>
          <w:sz w:val="36"/>
          <w:szCs w:val="36"/>
          <w:highlight w:val="none"/>
        </w:rPr>
        <w:t>政府出资设立基金要充分评估论证</w:t>
      </w:r>
      <w:r>
        <w:rPr>
          <w:rFonts w:hint="eastAsia" w:ascii="Times New Roman" w:hAnsi="Times New Roman" w:eastAsia="方正仿宋简体" w:cs="Times New Roman"/>
          <w:snapToGrid w:val="0"/>
          <w:color w:val="auto"/>
          <w:spacing w:val="11"/>
          <w:kern w:val="0"/>
          <w:sz w:val="36"/>
          <w:szCs w:val="36"/>
          <w:highlight w:val="none"/>
          <w:lang w:eastAsia="zh-CN"/>
        </w:rPr>
        <w:t>并履行报批程序。</w:t>
      </w:r>
      <w:r>
        <w:rPr>
          <w:rFonts w:hint="default" w:ascii="Times New Roman" w:hAnsi="Times New Roman" w:eastAsia="方正仿宋简体" w:cs="Times New Roman"/>
          <w:snapToGrid w:val="0"/>
          <w:color w:val="auto"/>
          <w:spacing w:val="11"/>
          <w:kern w:val="0"/>
          <w:sz w:val="36"/>
          <w:szCs w:val="36"/>
          <w:highlight w:val="none"/>
        </w:rPr>
        <w:t>设立省级或地市级基金应报同级政府审批</w:t>
      </w:r>
      <w:r>
        <w:rPr>
          <w:rFonts w:hint="eastAsia" w:ascii="Times New Roman" w:hAnsi="Times New Roman" w:eastAsia="方正仿宋简体" w:cs="Times New Roman"/>
          <w:snapToGrid w:val="0"/>
          <w:color w:val="auto"/>
          <w:spacing w:val="11"/>
          <w:kern w:val="0"/>
          <w:sz w:val="36"/>
          <w:szCs w:val="36"/>
          <w:highlight w:val="none"/>
          <w:lang w:eastAsia="zh-CN"/>
        </w:rPr>
        <w:t>；</w:t>
      </w:r>
      <w:r>
        <w:rPr>
          <w:rFonts w:hint="default" w:ascii="Times New Roman" w:hAnsi="Times New Roman" w:eastAsia="方正仿宋简体" w:cs="Times New Roman"/>
          <w:snapToGrid w:val="0"/>
          <w:color w:val="auto"/>
          <w:spacing w:val="11"/>
          <w:kern w:val="0"/>
          <w:sz w:val="36"/>
          <w:szCs w:val="36"/>
          <w:highlight w:val="none"/>
        </w:rPr>
        <w:t>财力较好、具备资源禀赋的县</w:t>
      </w:r>
      <w:r>
        <w:rPr>
          <w:rFonts w:hint="eastAsia" w:ascii="Times New Roman" w:hAnsi="Times New Roman" w:eastAsia="方正仿宋简体" w:cs="Times New Roman"/>
          <w:snapToGrid w:val="0"/>
          <w:color w:val="auto"/>
          <w:spacing w:val="11"/>
          <w:kern w:val="0"/>
          <w:sz w:val="36"/>
          <w:szCs w:val="36"/>
          <w:highlight w:val="none"/>
          <w:lang w:val="en-US" w:eastAsia="zh-CN"/>
        </w:rPr>
        <w:t>级政府</w:t>
      </w:r>
      <w:r>
        <w:rPr>
          <w:rFonts w:hint="default" w:ascii="Times New Roman" w:hAnsi="Times New Roman" w:eastAsia="方正仿宋简体" w:cs="Times New Roman"/>
          <w:snapToGrid w:val="0"/>
          <w:color w:val="auto"/>
          <w:spacing w:val="11"/>
          <w:kern w:val="0"/>
          <w:sz w:val="36"/>
          <w:szCs w:val="36"/>
          <w:highlight w:val="none"/>
        </w:rPr>
        <w:t>如确需发起设立基金，提级报上级政府审批。根据全省产业布局，按照“省级牵头、地方参与、集中资源、协同发力”的原则，引导市（州）围绕当地产业发展实际调整政府投资基金布局，省级政府引导基金会同市（州）共同组建细分领域政府产业投资引导基金，整合引导基金、链主企业、金融资本等各方力量，协同投资一批产业链关键项目，支持重点区域重点产业成链集群发展。</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default" w:ascii="Times New Roman" w:hAnsi="Times New Roman" w:eastAsia="方正仿宋简体" w:cs="Times New Roman"/>
          <w:snapToGrid w:val="0"/>
          <w:color w:val="auto"/>
          <w:spacing w:val="11"/>
          <w:kern w:val="0"/>
          <w:sz w:val="36"/>
          <w:szCs w:val="36"/>
          <w:u w:val="none"/>
          <w:lang w:val="en-US" w:eastAsia="zh-CN"/>
        </w:rPr>
      </w:pPr>
      <w:r>
        <w:rPr>
          <w:rFonts w:hint="default" w:ascii="Times New Roman" w:hAnsi="Times New Roman" w:eastAsia="方正楷体简体" w:cs="Times New Roman"/>
          <w:b/>
          <w:bCs/>
          <w:snapToGrid w:val="0"/>
          <w:color w:val="auto"/>
          <w:spacing w:val="11"/>
          <w:kern w:val="0"/>
          <w:sz w:val="36"/>
          <w:szCs w:val="36"/>
          <w:highlight w:val="none"/>
        </w:rPr>
        <w:t>（四）完善制度</w:t>
      </w:r>
      <w:r>
        <w:rPr>
          <w:rFonts w:hint="default" w:ascii="Times New Roman" w:hAnsi="Times New Roman" w:eastAsia="方正楷体简体" w:cs="Times New Roman"/>
          <w:b/>
          <w:bCs/>
          <w:snapToGrid w:val="0"/>
          <w:color w:val="auto"/>
          <w:spacing w:val="11"/>
          <w:kern w:val="0"/>
          <w:sz w:val="36"/>
          <w:szCs w:val="36"/>
          <w:highlight w:val="none"/>
          <w:lang w:eastAsia="zh-CN"/>
        </w:rPr>
        <w:t>机制建设。</w:t>
      </w:r>
      <w:r>
        <w:rPr>
          <w:rFonts w:hint="default" w:ascii="Times New Roman" w:hAnsi="Times New Roman" w:eastAsia="方正仿宋简体" w:cs="Times New Roman"/>
          <w:snapToGrid w:val="0"/>
          <w:color w:val="auto"/>
          <w:spacing w:val="11"/>
          <w:kern w:val="0"/>
          <w:sz w:val="36"/>
          <w:szCs w:val="36"/>
          <w:highlight w:val="none"/>
          <w:u w:val="none"/>
          <w:lang w:val="en-US" w:eastAsia="zh-CN"/>
        </w:rPr>
        <w:t>出台省政府产业投资引导基金加快投资的若干措施，提升基金运营效能，实现政府投资基金功能目标</w:t>
      </w:r>
      <w:r>
        <w:rPr>
          <w:rFonts w:hint="default" w:ascii="Times New Roman" w:hAnsi="Times New Roman" w:eastAsia="方正仿宋简体" w:cs="Times New Roman"/>
          <w:snapToGrid w:val="0"/>
          <w:color w:val="auto"/>
          <w:spacing w:val="11"/>
          <w:kern w:val="0"/>
          <w:sz w:val="36"/>
          <w:szCs w:val="36"/>
          <w:highlight w:val="none"/>
          <w:lang w:eastAsia="zh-CN"/>
        </w:rPr>
        <w:t>。</w:t>
      </w:r>
      <w:r>
        <w:rPr>
          <w:rFonts w:hint="default" w:ascii="Times New Roman" w:hAnsi="Times New Roman" w:eastAsia="方正仿宋简体" w:cs="Times New Roman"/>
          <w:snapToGrid w:val="0"/>
          <w:color w:val="auto"/>
          <w:spacing w:val="11"/>
          <w:kern w:val="0"/>
          <w:sz w:val="36"/>
          <w:szCs w:val="36"/>
          <w:highlight w:val="none"/>
        </w:rPr>
        <w:t>完善</w:t>
      </w:r>
      <w:r>
        <w:rPr>
          <w:rFonts w:hint="eastAsia" w:ascii="Times New Roman" w:hAnsi="Times New Roman" w:eastAsia="方正仿宋简体" w:cs="Times New Roman"/>
          <w:snapToGrid w:val="0"/>
          <w:color w:val="auto"/>
          <w:spacing w:val="11"/>
          <w:kern w:val="0"/>
          <w:sz w:val="36"/>
          <w:szCs w:val="36"/>
          <w:highlight w:val="none"/>
          <w:lang w:eastAsia="zh-CN"/>
        </w:rPr>
        <w:t>省级</w:t>
      </w:r>
      <w:r>
        <w:rPr>
          <w:rFonts w:hint="default" w:ascii="Times New Roman" w:hAnsi="Times New Roman" w:eastAsia="方正仿宋简体" w:cs="Times New Roman"/>
          <w:snapToGrid w:val="0"/>
          <w:color w:val="auto"/>
          <w:spacing w:val="11"/>
          <w:kern w:val="0"/>
          <w:sz w:val="36"/>
          <w:szCs w:val="36"/>
          <w:highlight w:val="none"/>
        </w:rPr>
        <w:t>政府产业投资引导基金跟投制度、绩效评价、项目退出等相关制度措施。加强基金“募投管退”过程管控，鼓励通过采取委派投委或观察员、跟踪投资进度等方式加强过程监督，促进基金合规运作，防止偏离政策目标</w:t>
      </w:r>
      <w:r>
        <w:rPr>
          <w:rFonts w:hint="default" w:ascii="Times New Roman" w:hAnsi="Times New Roman" w:eastAsia="方正仿宋简体" w:cs="Times New Roman"/>
          <w:snapToGrid w:val="0"/>
          <w:color w:val="auto"/>
          <w:spacing w:val="11"/>
          <w:kern w:val="0"/>
          <w:sz w:val="36"/>
          <w:szCs w:val="36"/>
          <w:highlight w:val="none"/>
          <w:lang w:eastAsia="zh-CN"/>
        </w:rPr>
        <w:t>；完善</w:t>
      </w:r>
      <w:r>
        <w:rPr>
          <w:rFonts w:hint="default" w:ascii="Times New Roman" w:hAnsi="Times New Roman" w:eastAsia="方正仿宋简体" w:cs="Times New Roman"/>
          <w:snapToGrid w:val="0"/>
          <w:color w:val="auto"/>
          <w:spacing w:val="11"/>
          <w:kern w:val="0"/>
          <w:sz w:val="36"/>
          <w:szCs w:val="36"/>
          <w:highlight w:val="none"/>
        </w:rPr>
        <w:t>容错机制，</w:t>
      </w:r>
      <w:r>
        <w:rPr>
          <w:rFonts w:hint="default" w:ascii="Times New Roman" w:hAnsi="Times New Roman" w:eastAsia="方正仿宋简体" w:cs="Times New Roman"/>
          <w:snapToGrid w:val="0"/>
          <w:color w:val="auto"/>
          <w:spacing w:val="11"/>
          <w:kern w:val="0"/>
          <w:sz w:val="36"/>
          <w:szCs w:val="36"/>
          <w:highlight w:val="none"/>
          <w:lang w:eastAsia="zh-CN"/>
        </w:rPr>
        <w:t>规范</w:t>
      </w:r>
      <w:r>
        <w:rPr>
          <w:rFonts w:hint="default" w:ascii="Times New Roman" w:hAnsi="Times New Roman" w:eastAsia="方正仿宋简体" w:cs="Times New Roman"/>
          <w:snapToGrid w:val="0"/>
          <w:color w:val="auto"/>
          <w:spacing w:val="11"/>
          <w:kern w:val="0"/>
          <w:sz w:val="36"/>
          <w:szCs w:val="36"/>
          <w:highlight w:val="none"/>
        </w:rPr>
        <w:t>免责认定标准和流程</w:t>
      </w:r>
      <w:r>
        <w:rPr>
          <w:rFonts w:hint="default" w:ascii="Times New Roman" w:hAnsi="Times New Roman" w:eastAsia="方正仿宋简体" w:cs="Times New Roman"/>
          <w:snapToGrid w:val="0"/>
          <w:color w:val="auto"/>
          <w:spacing w:val="11"/>
          <w:kern w:val="0"/>
          <w:sz w:val="36"/>
          <w:szCs w:val="36"/>
          <w:highlight w:val="none"/>
          <w:lang w:eastAsia="zh-CN"/>
        </w:rPr>
        <w:t>；</w:t>
      </w:r>
      <w:r>
        <w:rPr>
          <w:rFonts w:hint="default" w:ascii="Times New Roman" w:hAnsi="Times New Roman" w:eastAsia="方正仿宋简体" w:cs="Times New Roman"/>
          <w:snapToGrid w:val="0"/>
          <w:color w:val="auto"/>
          <w:spacing w:val="11"/>
          <w:kern w:val="0"/>
          <w:sz w:val="36"/>
          <w:szCs w:val="36"/>
          <w:highlight w:val="none"/>
        </w:rPr>
        <w:t>简化项目退出流程，优化政府投资基金份额转让业务流程和定价机制，完善政府投资基金评估体系，构建更加畅通的退出机制。</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4" w:firstLineChars="200"/>
        <w:jc w:val="both"/>
        <w:textAlignment w:val="auto"/>
        <w:rPr>
          <w:rFonts w:hint="default" w:ascii="Times New Roman" w:hAnsi="Times New Roman" w:eastAsia="方正黑体简体" w:cs="Times New Roman"/>
          <w:snapToGrid w:val="0"/>
          <w:color w:val="auto"/>
          <w:spacing w:val="11"/>
          <w:kern w:val="0"/>
          <w:sz w:val="36"/>
          <w:szCs w:val="36"/>
          <w:u w:val="none"/>
          <w:lang w:val="en-US" w:eastAsia="zh-CN"/>
        </w:rPr>
      </w:pPr>
      <w:r>
        <w:rPr>
          <w:rFonts w:hint="default" w:ascii="Times New Roman" w:hAnsi="Times New Roman" w:eastAsia="方正黑体简体" w:cs="Times New Roman"/>
          <w:snapToGrid w:val="0"/>
          <w:color w:val="auto"/>
          <w:spacing w:val="11"/>
          <w:kern w:val="0"/>
          <w:sz w:val="36"/>
          <w:szCs w:val="36"/>
          <w:u w:val="none"/>
          <w:lang w:val="en-US" w:eastAsia="zh-CN"/>
        </w:rPr>
        <w:t>二、建立财政金融互动政策体系</w:t>
      </w:r>
    </w:p>
    <w:p>
      <w:pPr>
        <w:keepNext w:val="0"/>
        <w:keepLines w:val="0"/>
        <w:pageBreakBefore w:val="0"/>
        <w:widowControl w:val="0"/>
        <w:suppressAutoHyphens/>
        <w:kinsoku/>
        <w:wordWrap/>
        <w:overflowPunct/>
        <w:topLinePunct w:val="0"/>
        <w:autoSpaceDE/>
        <w:autoSpaceDN/>
        <w:bidi w:val="0"/>
        <w:adjustRightInd w:val="0"/>
        <w:snapToGrid w:val="0"/>
        <w:spacing w:after="0" w:line="660" w:lineRule="exact"/>
        <w:ind w:firstLine="766" w:firstLineChars="200"/>
        <w:rPr>
          <w:rFonts w:hint="default" w:ascii="Times New Roman" w:hAnsi="Times New Roman" w:eastAsia="方正仿宋简体" w:cs="Times New Roman"/>
          <w:snapToGrid w:val="0"/>
          <w:color w:val="auto"/>
          <w:spacing w:val="11"/>
          <w:kern w:val="0"/>
          <w:sz w:val="36"/>
          <w:szCs w:val="36"/>
          <w:lang w:val="en-US" w:eastAsia="zh-CN" w:bidi="ar-SA"/>
        </w:rPr>
      </w:pPr>
      <w:r>
        <w:rPr>
          <w:rFonts w:hint="default" w:ascii="Times New Roman" w:hAnsi="Times New Roman" w:eastAsia="方正楷体简体" w:cs="Times New Roman"/>
          <w:b/>
          <w:bCs/>
          <w:snapToGrid w:val="0"/>
          <w:color w:val="auto"/>
          <w:spacing w:val="11"/>
          <w:kern w:val="0"/>
          <w:sz w:val="36"/>
          <w:szCs w:val="36"/>
        </w:rPr>
        <w:t>（</w:t>
      </w:r>
      <w:r>
        <w:rPr>
          <w:rFonts w:hint="default" w:ascii="Times New Roman" w:hAnsi="Times New Roman" w:eastAsia="方正楷体简体" w:cs="Times New Roman"/>
          <w:b/>
          <w:bCs/>
          <w:snapToGrid w:val="0"/>
          <w:color w:val="auto"/>
          <w:spacing w:val="11"/>
          <w:kern w:val="0"/>
          <w:sz w:val="36"/>
          <w:szCs w:val="36"/>
          <w:lang w:eastAsia="zh-CN"/>
        </w:rPr>
        <w:t>五</w:t>
      </w:r>
      <w:r>
        <w:rPr>
          <w:rFonts w:hint="default" w:ascii="Times New Roman" w:hAnsi="Times New Roman" w:eastAsia="方正楷体简体" w:cs="Times New Roman"/>
          <w:b/>
          <w:bCs/>
          <w:snapToGrid w:val="0"/>
          <w:color w:val="auto"/>
          <w:spacing w:val="11"/>
          <w:kern w:val="0"/>
          <w:sz w:val="36"/>
          <w:szCs w:val="36"/>
          <w:lang w:val="en-US" w:eastAsia="zh-CN" w:bidi="ar-SA"/>
        </w:rPr>
        <w:t>）支持建设更高水平“天府粮仓”。</w:t>
      </w:r>
      <w:r>
        <w:rPr>
          <w:rFonts w:hint="default" w:ascii="Times New Roman" w:hAnsi="Times New Roman" w:eastAsia="方正仿宋简体" w:cs="Times New Roman"/>
          <w:snapToGrid w:val="0"/>
          <w:color w:val="auto"/>
          <w:spacing w:val="11"/>
          <w:kern w:val="0"/>
          <w:sz w:val="36"/>
          <w:szCs w:val="36"/>
          <w:lang w:val="en-US" w:eastAsia="zh-CN" w:bidi="ar-SA"/>
        </w:rPr>
        <w:t>发挥农业信贷担保体系作用，省级财政对</w:t>
      </w:r>
      <w:r>
        <w:rPr>
          <w:rFonts w:hint="eastAsia" w:ascii="Times New Roman" w:hAnsi="Times New Roman" w:eastAsia="方正仿宋简体" w:cs="Times New Roman"/>
          <w:snapToGrid w:val="0"/>
          <w:color w:val="auto"/>
          <w:spacing w:val="11"/>
          <w:kern w:val="0"/>
          <w:sz w:val="36"/>
          <w:szCs w:val="36"/>
          <w:lang w:val="en-US" w:eastAsia="zh-CN" w:bidi="ar-SA"/>
        </w:rPr>
        <w:t>符合条件的</w:t>
      </w:r>
      <w:r>
        <w:rPr>
          <w:rFonts w:hint="default" w:ascii="Times New Roman" w:hAnsi="Times New Roman" w:eastAsia="方正仿宋简体" w:cs="Times New Roman"/>
          <w:snapToGrid w:val="0"/>
          <w:color w:val="auto"/>
          <w:spacing w:val="11"/>
          <w:kern w:val="0"/>
          <w:sz w:val="36"/>
          <w:szCs w:val="36"/>
          <w:lang w:val="en-US" w:eastAsia="zh-CN" w:bidi="ar-SA"/>
        </w:rPr>
        <w:t>政策性农业担保机构开展的粮食生产经营贷款和现代农业发展贷款担保、联保和再担保业务给予</w:t>
      </w:r>
      <w:r>
        <w:rPr>
          <w:rFonts w:hint="default" w:ascii="Times New Roman" w:hAnsi="Times New Roman" w:eastAsia="方正仿宋简体" w:cs="Times New Roman"/>
          <w:snapToGrid w:val="0"/>
          <w:color w:val="auto"/>
          <w:spacing w:val="11"/>
          <w:kern w:val="0"/>
          <w:sz w:val="36"/>
          <w:szCs w:val="36"/>
          <w:lang w:val="en-US" w:eastAsia="zh-CN"/>
        </w:rPr>
        <w:t>综合补助，激励农业担保机构更好发挥增信作用。</w:t>
      </w:r>
      <w:r>
        <w:rPr>
          <w:rFonts w:hint="default" w:ascii="Times New Roman" w:hAnsi="Times New Roman" w:eastAsia="方正仿宋简体" w:cs="Times New Roman"/>
          <w:snapToGrid w:val="0"/>
          <w:color w:val="auto"/>
          <w:spacing w:val="11"/>
          <w:kern w:val="0"/>
          <w:sz w:val="36"/>
          <w:szCs w:val="36"/>
          <w:lang w:val="en-US" w:eastAsia="zh-CN" w:bidi="ar-SA"/>
        </w:rPr>
        <w:t>完善乡村振兴农业产业发展贷款风险补偿金制度，通过优化完善分担机制、强化风险防范、</w:t>
      </w:r>
      <w:r>
        <w:rPr>
          <w:rFonts w:hint="eastAsia" w:ascii="Times New Roman" w:hAnsi="Times New Roman" w:eastAsia="方正仿宋简体" w:cs="Times New Roman"/>
          <w:snapToGrid w:val="0"/>
          <w:color w:val="auto"/>
          <w:spacing w:val="11"/>
          <w:kern w:val="0"/>
          <w:sz w:val="36"/>
          <w:szCs w:val="36"/>
          <w:lang w:val="en-US" w:eastAsia="zh-CN" w:bidi="ar-SA"/>
        </w:rPr>
        <w:t>严格</w:t>
      </w:r>
      <w:r>
        <w:rPr>
          <w:rFonts w:hint="default" w:ascii="Times New Roman" w:hAnsi="Times New Roman" w:eastAsia="方正仿宋简体" w:cs="Times New Roman"/>
          <w:snapToGrid w:val="0"/>
          <w:color w:val="auto"/>
          <w:spacing w:val="11"/>
          <w:kern w:val="0"/>
          <w:sz w:val="36"/>
          <w:szCs w:val="36"/>
          <w:lang w:val="en-US" w:eastAsia="zh-CN" w:bidi="ar-SA"/>
        </w:rPr>
        <w:t>绩效评价，推动风险补偿金规范运行、高效使用。加大农业领域贷款贴息支持力度，开展设施农业、农业产业化银行贷款贴息等，降低农业经营主体的融资成本，引导金融资源向农业重点领域倾斜。</w:t>
      </w:r>
    </w:p>
    <w:p>
      <w:pPr>
        <w:widowControl w:val="0"/>
        <w:numPr>
          <w:ilvl w:val="255"/>
          <w:numId w:val="0"/>
        </w:numPr>
        <w:spacing w:after="0" w:line="660" w:lineRule="exact"/>
        <w:ind w:firstLine="766" w:firstLineChars="200"/>
        <w:jc w:val="both"/>
        <w:textAlignment w:val="baseline"/>
        <w:rPr>
          <w:rFonts w:hint="default" w:ascii="Times New Roman" w:hAnsi="Times New Roman" w:eastAsia="方正仿宋简体" w:cs="Times New Roman"/>
          <w:snapToGrid w:val="0"/>
          <w:color w:val="auto"/>
          <w:spacing w:val="11"/>
          <w:kern w:val="0"/>
          <w:sz w:val="36"/>
          <w:szCs w:val="36"/>
          <w:lang w:val="en-US" w:eastAsia="zh-CN" w:bidi="ar-SA"/>
        </w:rPr>
      </w:pPr>
      <w:r>
        <w:rPr>
          <w:rFonts w:hint="default" w:ascii="Times New Roman" w:hAnsi="Times New Roman" w:eastAsia="方正楷体简体" w:cs="Times New Roman"/>
          <w:b/>
          <w:bCs/>
          <w:snapToGrid w:val="0"/>
          <w:color w:val="auto"/>
          <w:spacing w:val="11"/>
          <w:kern w:val="0"/>
          <w:sz w:val="36"/>
          <w:szCs w:val="36"/>
          <w:lang w:val="en-US" w:eastAsia="zh-CN" w:bidi="ar-SA"/>
        </w:rPr>
        <w:t>（六）</w:t>
      </w:r>
      <w:r>
        <w:rPr>
          <w:rFonts w:hint="default" w:ascii="Times New Roman" w:hAnsi="Times New Roman" w:eastAsia="楷体_GB2312" w:cs="Times New Roman"/>
          <w:b/>
          <w:bCs/>
          <w:snapToGrid w:val="0"/>
          <w:color w:val="auto"/>
          <w:spacing w:val="11"/>
          <w:kern w:val="0"/>
          <w:sz w:val="36"/>
          <w:szCs w:val="36"/>
          <w:highlight w:val="none"/>
          <w:u w:val="none"/>
          <w:shd w:val="clear" w:color="auto" w:fill="auto"/>
          <w:lang w:val="en-US" w:eastAsia="zh-CN" w:bidi="ar-SA"/>
        </w:rPr>
        <w:t>推动新型工业化和现代服务业融资发展。</w:t>
      </w:r>
      <w:r>
        <w:rPr>
          <w:rFonts w:hint="default" w:ascii="Times New Roman" w:hAnsi="Times New Roman" w:eastAsia="方正仿宋简体" w:cs="Times New Roman"/>
          <w:snapToGrid w:val="0"/>
          <w:color w:val="auto"/>
          <w:spacing w:val="11"/>
          <w:kern w:val="0"/>
          <w:sz w:val="36"/>
          <w:szCs w:val="36"/>
          <w:lang w:val="en-US" w:eastAsia="zh-CN" w:bidi="ar-SA"/>
        </w:rPr>
        <w:t>创新整合存量政策性贷款产品，设立四川省现代化产业发展融资风险补偿资金池，强化模式、标准、管理“三统一”，搭建信息化服务平台，高效推动资金池全流程、系统性、数智化运作。动态优化工业和服务业领域融资分险产品矩阵，围绕新型工业化和现代服务业发展主线，突出政策导向，在资金池下分层分类设立“天府产业贷”系列子产品，加快释放产品效能，缓解市场主体融资难、融资贵。</w:t>
      </w:r>
    </w:p>
    <w:p>
      <w:pPr>
        <w:keepNext w:val="0"/>
        <w:keepLines w:val="0"/>
        <w:pageBreakBefore w:val="0"/>
        <w:widowControl w:val="0"/>
        <w:numPr>
          <w:ilvl w:val="255"/>
          <w:numId w:val="0"/>
        </w:numPr>
        <w:kinsoku/>
        <w:wordWrap/>
        <w:overflowPunct/>
        <w:topLinePunct w:val="0"/>
        <w:autoSpaceDE/>
        <w:autoSpaceDN/>
        <w:bidi w:val="0"/>
        <w:adjustRightInd w:val="0"/>
        <w:snapToGrid w:val="0"/>
        <w:spacing w:after="0" w:line="660" w:lineRule="exact"/>
        <w:ind w:firstLine="766" w:firstLineChars="200"/>
        <w:jc w:val="both"/>
        <w:textAlignment w:val="baseline"/>
        <w:rPr>
          <w:rFonts w:hint="default" w:ascii="Times New Roman" w:hAnsi="Times New Roman" w:eastAsia="方正仿宋简体" w:cs="Times New Roman"/>
          <w:snapToGrid w:val="0"/>
          <w:color w:val="auto"/>
          <w:spacing w:val="11"/>
          <w:kern w:val="0"/>
          <w:sz w:val="36"/>
          <w:szCs w:val="36"/>
          <w:lang w:val="en-US" w:eastAsia="zh-CN" w:bidi="ar-SA"/>
        </w:rPr>
      </w:pPr>
      <w:r>
        <w:rPr>
          <w:rFonts w:hint="default" w:ascii="Times New Roman" w:hAnsi="Times New Roman" w:eastAsia="楷体_GB2312" w:cs="Times New Roman"/>
          <w:b/>
          <w:bCs/>
          <w:snapToGrid w:val="0"/>
          <w:color w:val="auto"/>
          <w:spacing w:val="11"/>
          <w:kern w:val="0"/>
          <w:sz w:val="36"/>
          <w:szCs w:val="36"/>
          <w:lang w:val="en-US" w:eastAsia="zh-CN" w:bidi="ar-SA"/>
        </w:rPr>
        <w:t>（七）做好</w:t>
      </w:r>
      <w:r>
        <w:rPr>
          <w:rFonts w:hint="default" w:ascii="Times New Roman" w:hAnsi="Times New Roman" w:eastAsia="方正楷体简体" w:cs="Times New Roman"/>
          <w:b/>
          <w:bCs/>
          <w:snapToGrid w:val="0"/>
          <w:color w:val="auto"/>
          <w:spacing w:val="11"/>
          <w:kern w:val="0"/>
          <w:sz w:val="36"/>
          <w:szCs w:val="36"/>
          <w:lang w:val="en-US" w:eastAsia="zh-CN" w:bidi="ar-SA"/>
        </w:rPr>
        <w:t>金融五篇大文章</w:t>
      </w:r>
      <w:r>
        <w:rPr>
          <w:rFonts w:hint="default" w:ascii="Times New Roman" w:hAnsi="Times New Roman" w:eastAsia="方正楷体简体" w:cs="Times New Roman"/>
          <w:b/>
          <w:bCs/>
          <w:snapToGrid w:val="0"/>
          <w:color w:val="auto"/>
          <w:spacing w:val="11"/>
          <w:kern w:val="2"/>
          <w:sz w:val="36"/>
          <w:szCs w:val="36"/>
          <w:lang w:val="en-US" w:eastAsia="zh-CN" w:bidi="ar-SA"/>
        </w:rPr>
        <w:t>。</w:t>
      </w:r>
      <w:r>
        <w:rPr>
          <w:rFonts w:hint="default" w:ascii="Times New Roman" w:hAnsi="Times New Roman" w:eastAsia="方正仿宋简体" w:cs="Times New Roman"/>
          <w:snapToGrid w:val="0"/>
          <w:color w:val="auto"/>
          <w:spacing w:val="11"/>
          <w:kern w:val="0"/>
          <w:sz w:val="36"/>
          <w:szCs w:val="36"/>
          <w:lang w:val="en-US" w:eastAsia="zh-CN" w:bidi="ar-SA"/>
        </w:rPr>
        <w:t>精准锚定科技金融、绿色</w:t>
      </w:r>
      <w:r>
        <w:rPr>
          <w:rFonts w:hint="eastAsia" w:ascii="Times New Roman" w:hAnsi="Times New Roman" w:eastAsia="方正仿宋简体" w:cs="Times New Roman"/>
          <w:snapToGrid w:val="0"/>
          <w:color w:val="auto"/>
          <w:spacing w:val="11"/>
          <w:kern w:val="0"/>
          <w:sz w:val="36"/>
          <w:szCs w:val="36"/>
          <w:lang w:val="en-US" w:eastAsia="zh-CN" w:bidi="ar-SA"/>
        </w:rPr>
        <w:t>金融</w:t>
      </w:r>
      <w:r>
        <w:rPr>
          <w:rFonts w:hint="default" w:ascii="Times New Roman" w:hAnsi="Times New Roman" w:eastAsia="方正仿宋简体" w:cs="Times New Roman"/>
          <w:snapToGrid w:val="0"/>
          <w:color w:val="auto"/>
          <w:spacing w:val="11"/>
          <w:kern w:val="0"/>
          <w:sz w:val="36"/>
          <w:szCs w:val="36"/>
          <w:lang w:val="en-US" w:eastAsia="zh-CN" w:bidi="ar-SA"/>
        </w:rPr>
        <w:t>、普惠</w:t>
      </w:r>
      <w:r>
        <w:rPr>
          <w:rFonts w:hint="eastAsia" w:ascii="Times New Roman" w:hAnsi="Times New Roman" w:eastAsia="方正仿宋简体" w:cs="Times New Roman"/>
          <w:snapToGrid w:val="0"/>
          <w:color w:val="auto"/>
          <w:spacing w:val="11"/>
          <w:kern w:val="0"/>
          <w:sz w:val="36"/>
          <w:szCs w:val="36"/>
          <w:lang w:val="en-US" w:eastAsia="zh-CN" w:bidi="ar-SA"/>
        </w:rPr>
        <w:t>金融</w:t>
      </w:r>
      <w:r>
        <w:rPr>
          <w:rFonts w:hint="default" w:ascii="Times New Roman" w:hAnsi="Times New Roman" w:eastAsia="方正仿宋简体" w:cs="Times New Roman"/>
          <w:snapToGrid w:val="0"/>
          <w:color w:val="auto"/>
          <w:spacing w:val="11"/>
          <w:kern w:val="0"/>
          <w:sz w:val="36"/>
          <w:szCs w:val="36"/>
          <w:lang w:val="en-US" w:eastAsia="zh-CN" w:bidi="ar-SA"/>
        </w:rPr>
        <w:t>、养老</w:t>
      </w:r>
      <w:r>
        <w:rPr>
          <w:rFonts w:hint="eastAsia" w:ascii="Times New Roman" w:hAnsi="Times New Roman" w:eastAsia="方正仿宋简体" w:cs="Times New Roman"/>
          <w:snapToGrid w:val="0"/>
          <w:color w:val="auto"/>
          <w:spacing w:val="11"/>
          <w:kern w:val="0"/>
          <w:sz w:val="36"/>
          <w:szCs w:val="36"/>
          <w:lang w:val="en-US" w:eastAsia="zh-CN" w:bidi="ar-SA"/>
        </w:rPr>
        <w:t>金融</w:t>
      </w:r>
      <w:r>
        <w:rPr>
          <w:rFonts w:hint="default" w:ascii="Times New Roman" w:hAnsi="Times New Roman" w:eastAsia="方正仿宋简体" w:cs="Times New Roman"/>
          <w:snapToGrid w:val="0"/>
          <w:color w:val="auto"/>
          <w:spacing w:val="11"/>
          <w:kern w:val="0"/>
          <w:sz w:val="36"/>
          <w:szCs w:val="36"/>
          <w:lang w:val="en-US" w:eastAsia="zh-CN" w:bidi="ar-SA"/>
        </w:rPr>
        <w:t>、数字</w:t>
      </w:r>
      <w:r>
        <w:rPr>
          <w:rFonts w:hint="eastAsia" w:ascii="Times New Roman" w:hAnsi="Times New Roman" w:eastAsia="方正仿宋简体" w:cs="Times New Roman"/>
          <w:snapToGrid w:val="0"/>
          <w:color w:val="auto"/>
          <w:spacing w:val="11"/>
          <w:kern w:val="0"/>
          <w:sz w:val="36"/>
          <w:szCs w:val="36"/>
          <w:lang w:val="en-US" w:eastAsia="zh-CN" w:bidi="ar-SA"/>
        </w:rPr>
        <w:t>金融</w:t>
      </w:r>
      <w:r>
        <w:rPr>
          <w:rFonts w:hint="default" w:ascii="Times New Roman" w:hAnsi="Times New Roman" w:eastAsia="方正仿宋简体" w:cs="Times New Roman"/>
          <w:snapToGrid w:val="0"/>
          <w:color w:val="auto"/>
          <w:spacing w:val="11"/>
          <w:kern w:val="0"/>
          <w:sz w:val="36"/>
          <w:szCs w:val="36"/>
          <w:lang w:val="en-US" w:eastAsia="zh-CN" w:bidi="ar-SA"/>
        </w:rPr>
        <w:t>，</w:t>
      </w:r>
      <w:r>
        <w:rPr>
          <w:rFonts w:hint="default" w:ascii="Times New Roman" w:hAnsi="Times New Roman" w:eastAsia="方正仿宋简体" w:cs="Times New Roman"/>
          <w:b w:val="0"/>
          <w:bCs w:val="0"/>
          <w:snapToGrid w:val="0"/>
          <w:color w:val="auto"/>
          <w:spacing w:val="11"/>
          <w:kern w:val="0"/>
          <w:sz w:val="36"/>
          <w:szCs w:val="36"/>
          <w:lang w:val="en-US" w:eastAsia="zh-CN" w:bidi="ar-SA"/>
        </w:rPr>
        <w:t>创新制定并落地实施激励奖补、保费补贴等专项政策，探索建立金融机构、</w:t>
      </w:r>
      <w:r>
        <w:rPr>
          <w:rFonts w:hint="default" w:ascii="Times New Roman" w:hAnsi="Times New Roman" w:eastAsia="方正仿宋简体" w:cs="Times New Roman"/>
          <w:snapToGrid w:val="0"/>
          <w:color w:val="auto"/>
          <w:spacing w:val="11"/>
          <w:kern w:val="0"/>
          <w:sz w:val="36"/>
          <w:szCs w:val="36"/>
          <w:lang w:val="en-US" w:eastAsia="zh-CN" w:bidi="ar-SA"/>
        </w:rPr>
        <w:t>实体</w:t>
      </w:r>
      <w:r>
        <w:rPr>
          <w:rFonts w:hint="default" w:ascii="Times New Roman" w:hAnsi="Times New Roman" w:eastAsia="方正仿宋简体" w:cs="Times New Roman"/>
          <w:b w:val="0"/>
          <w:bCs w:val="0"/>
          <w:snapToGrid w:val="0"/>
          <w:color w:val="auto"/>
          <w:spacing w:val="11"/>
          <w:kern w:val="0"/>
          <w:sz w:val="36"/>
          <w:szCs w:val="36"/>
          <w:lang w:val="en-US" w:eastAsia="zh-CN" w:bidi="ar-SA"/>
        </w:rPr>
        <w:t>企业双维度差异化施策机制，靶向聚焦重大战略、重点领域及薄弱环节</w:t>
      </w:r>
      <w:r>
        <w:rPr>
          <w:rFonts w:hint="default" w:ascii="Times New Roman" w:hAnsi="Times New Roman" w:eastAsia="方正仿宋简体" w:cs="Times New Roman"/>
          <w:snapToGrid w:val="0"/>
          <w:color w:val="auto"/>
          <w:spacing w:val="11"/>
          <w:kern w:val="0"/>
          <w:sz w:val="36"/>
          <w:szCs w:val="36"/>
          <w:lang w:val="en-US" w:eastAsia="zh-CN" w:bidi="ar-SA"/>
        </w:rPr>
        <w:t>增加</w:t>
      </w:r>
      <w:r>
        <w:rPr>
          <w:rFonts w:hint="default" w:ascii="Times New Roman" w:hAnsi="Times New Roman" w:eastAsia="方正仿宋简体" w:cs="Times New Roman"/>
          <w:b w:val="0"/>
          <w:bCs w:val="0"/>
          <w:snapToGrid w:val="0"/>
          <w:color w:val="auto"/>
          <w:spacing w:val="11"/>
          <w:kern w:val="0"/>
          <w:sz w:val="36"/>
          <w:szCs w:val="36"/>
          <w:lang w:val="en-US" w:eastAsia="zh-CN" w:bidi="ar-SA"/>
        </w:rPr>
        <w:t>优质金融服务供给。</w:t>
      </w:r>
    </w:p>
    <w:p>
      <w:pPr>
        <w:keepNext w:val="0"/>
        <w:keepLines w:val="0"/>
        <w:pageBreakBefore w:val="0"/>
        <w:widowControl w:val="0"/>
        <w:suppressAutoHyphens/>
        <w:kinsoku/>
        <w:wordWrap/>
        <w:overflowPunct/>
        <w:topLinePunct w:val="0"/>
        <w:autoSpaceDE/>
        <w:autoSpaceDN/>
        <w:bidi w:val="0"/>
        <w:adjustRightInd w:val="0"/>
        <w:snapToGrid w:val="0"/>
        <w:spacing w:after="0" w:line="660" w:lineRule="exact"/>
        <w:ind w:firstLine="764" w:firstLineChars="200"/>
        <w:rPr>
          <w:rFonts w:hint="default" w:ascii="Times New Roman" w:hAnsi="Times New Roman" w:eastAsia="方正黑体简体" w:cs="Times New Roman"/>
          <w:snapToGrid w:val="0"/>
          <w:color w:val="auto"/>
          <w:spacing w:val="11"/>
          <w:kern w:val="0"/>
          <w:sz w:val="36"/>
          <w:szCs w:val="36"/>
        </w:rPr>
      </w:pPr>
      <w:r>
        <w:rPr>
          <w:rFonts w:hint="default" w:ascii="Times New Roman" w:hAnsi="Times New Roman" w:eastAsia="方正黑体简体" w:cs="Times New Roman"/>
          <w:snapToGrid w:val="0"/>
          <w:color w:val="auto"/>
          <w:spacing w:val="11"/>
          <w:kern w:val="0"/>
          <w:sz w:val="36"/>
          <w:szCs w:val="36"/>
          <w:lang w:eastAsia="zh-CN"/>
        </w:rPr>
        <w:t>三</w:t>
      </w:r>
      <w:r>
        <w:rPr>
          <w:rFonts w:hint="default" w:ascii="Times New Roman" w:hAnsi="Times New Roman" w:eastAsia="方正黑体简体" w:cs="Times New Roman"/>
          <w:snapToGrid w:val="0"/>
          <w:color w:val="auto"/>
          <w:spacing w:val="11"/>
          <w:kern w:val="0"/>
          <w:sz w:val="36"/>
          <w:szCs w:val="36"/>
        </w:rPr>
        <w:t>、健全政府性融资担保体系</w:t>
      </w:r>
    </w:p>
    <w:p>
      <w:pPr>
        <w:keepNext w:val="0"/>
        <w:keepLines w:val="0"/>
        <w:pageBreakBefore w:val="0"/>
        <w:widowControl w:val="0"/>
        <w:suppressAutoHyphens/>
        <w:kinsoku/>
        <w:wordWrap/>
        <w:overflowPunct/>
        <w:topLinePunct w:val="0"/>
        <w:autoSpaceDE/>
        <w:autoSpaceDN/>
        <w:bidi w:val="0"/>
        <w:spacing w:after="0" w:line="660" w:lineRule="exact"/>
        <w:ind w:firstLine="643"/>
        <w:rPr>
          <w:rFonts w:hint="default" w:ascii="Times New Roman" w:hAnsi="Times New Roman" w:eastAsia="方正仿宋简体" w:cs="Times New Roman"/>
          <w:snapToGrid w:val="0"/>
          <w:color w:val="auto"/>
          <w:spacing w:val="11"/>
          <w:kern w:val="0"/>
          <w:sz w:val="36"/>
          <w:szCs w:val="36"/>
        </w:rPr>
      </w:pPr>
      <w:r>
        <w:rPr>
          <w:rFonts w:hint="default" w:ascii="Times New Roman" w:hAnsi="Times New Roman" w:eastAsia="方正楷体简体" w:cs="Times New Roman"/>
          <w:b/>
          <w:bCs/>
          <w:snapToGrid w:val="0"/>
          <w:color w:val="auto"/>
          <w:spacing w:val="11"/>
          <w:kern w:val="0"/>
          <w:sz w:val="36"/>
          <w:szCs w:val="36"/>
        </w:rPr>
        <w:t>（</w:t>
      </w:r>
      <w:r>
        <w:rPr>
          <w:rFonts w:hint="default" w:ascii="Times New Roman" w:hAnsi="Times New Roman" w:eastAsia="方正楷体简体" w:cs="Times New Roman"/>
          <w:b/>
          <w:bCs/>
          <w:snapToGrid w:val="0"/>
          <w:color w:val="auto"/>
          <w:spacing w:val="11"/>
          <w:kern w:val="0"/>
          <w:sz w:val="36"/>
          <w:szCs w:val="36"/>
          <w:lang w:eastAsia="zh-CN"/>
        </w:rPr>
        <w:t>八</w:t>
      </w:r>
      <w:r>
        <w:rPr>
          <w:rFonts w:hint="default" w:ascii="Times New Roman" w:hAnsi="Times New Roman" w:eastAsia="方正楷体简体" w:cs="Times New Roman"/>
          <w:b/>
          <w:bCs/>
          <w:snapToGrid w:val="0"/>
          <w:color w:val="auto"/>
          <w:spacing w:val="11"/>
          <w:kern w:val="0"/>
          <w:sz w:val="36"/>
          <w:szCs w:val="36"/>
        </w:rPr>
        <w:t>）</w:t>
      </w:r>
      <w:r>
        <w:rPr>
          <w:rFonts w:hint="default" w:ascii="Times New Roman" w:hAnsi="Times New Roman" w:eastAsia="方正楷体简体" w:cs="Times New Roman"/>
          <w:b/>
          <w:bCs/>
          <w:snapToGrid w:val="0"/>
          <w:color w:val="auto"/>
          <w:spacing w:val="11"/>
          <w:kern w:val="0"/>
          <w:sz w:val="36"/>
          <w:szCs w:val="36"/>
          <w:lang w:eastAsia="zh-CN"/>
        </w:rPr>
        <w:t>做大做强融资担保机构</w:t>
      </w:r>
      <w:r>
        <w:rPr>
          <w:rFonts w:hint="default" w:ascii="Times New Roman" w:hAnsi="Times New Roman" w:eastAsia="方正楷体简体" w:cs="Times New Roman"/>
          <w:b/>
          <w:bCs/>
          <w:snapToGrid w:val="0"/>
          <w:color w:val="auto"/>
          <w:spacing w:val="11"/>
          <w:kern w:val="0"/>
          <w:sz w:val="36"/>
          <w:szCs w:val="36"/>
        </w:rPr>
        <w:t>。</w:t>
      </w:r>
      <w:r>
        <w:rPr>
          <w:rFonts w:hint="default" w:ascii="Times New Roman" w:hAnsi="Times New Roman" w:eastAsia="方正仿宋简体" w:cs="Times New Roman"/>
          <w:snapToGrid w:val="0"/>
          <w:color w:val="auto"/>
          <w:spacing w:val="11"/>
          <w:kern w:val="0"/>
          <w:sz w:val="36"/>
          <w:szCs w:val="36"/>
          <w:lang w:eastAsia="zh-CN"/>
        </w:rPr>
        <w:t>发挥省级机构龙头作用，完善再担保、科创担保、中小担保等业务板块布局，引领带动全省政府性融资担保机构更好发挥政策传导、信用增进、风险分担功能作用。做优做强市级机构，通过吸收合并、增资扩股、资产重组等方式，培养一批主业突出、经营规范、实力较强、信誉较好的市（州）级政府性融资担保机构。优化政府性融资担保机构名单制管理，定期更新、动态调整并公开，发挥名单制管理激励约束作用，推动机构规范高效运营。</w:t>
      </w:r>
    </w:p>
    <w:p>
      <w:pPr>
        <w:keepNext w:val="0"/>
        <w:keepLines w:val="0"/>
        <w:pageBreakBefore w:val="0"/>
        <w:widowControl w:val="0"/>
        <w:suppressAutoHyphens/>
        <w:kinsoku/>
        <w:wordWrap/>
        <w:overflowPunct/>
        <w:topLinePunct w:val="0"/>
        <w:autoSpaceDE/>
        <w:autoSpaceDN/>
        <w:bidi w:val="0"/>
        <w:spacing w:after="0" w:line="660" w:lineRule="exact"/>
        <w:ind w:firstLine="643"/>
        <w:rPr>
          <w:rFonts w:hint="default" w:ascii="Times New Roman" w:hAnsi="Times New Roman" w:eastAsia="方正楷体简体" w:cs="Times New Roman"/>
          <w:b/>
          <w:bCs/>
          <w:snapToGrid w:val="0"/>
          <w:color w:val="auto"/>
          <w:spacing w:val="11"/>
          <w:kern w:val="0"/>
          <w:sz w:val="36"/>
          <w:szCs w:val="36"/>
        </w:rPr>
      </w:pPr>
      <w:r>
        <w:rPr>
          <w:rFonts w:hint="default" w:ascii="Times New Roman" w:hAnsi="Times New Roman" w:eastAsia="方正楷体简体" w:cs="Times New Roman"/>
          <w:b/>
          <w:bCs/>
          <w:snapToGrid w:val="0"/>
          <w:color w:val="auto"/>
          <w:spacing w:val="11"/>
          <w:kern w:val="0"/>
          <w:sz w:val="36"/>
          <w:szCs w:val="36"/>
          <w:lang w:eastAsia="zh-CN"/>
        </w:rPr>
        <w:t>（九）创新打造合作服务体系。</w:t>
      </w:r>
      <w:r>
        <w:rPr>
          <w:rFonts w:hint="default" w:ascii="Times New Roman" w:hAnsi="Times New Roman" w:eastAsia="方正仿宋简体" w:cs="Times New Roman"/>
          <w:snapToGrid w:val="0"/>
          <w:color w:val="auto"/>
          <w:spacing w:val="11"/>
          <w:kern w:val="0"/>
          <w:sz w:val="36"/>
          <w:szCs w:val="36"/>
          <w:lang w:eastAsia="zh-CN"/>
        </w:rPr>
        <w:t>推动政府性融资担保机构坚守支小支农功能定位，充分发挥小微企业融资协调工作机制作用，开展集中担保增信，</w:t>
      </w:r>
      <w:r>
        <w:rPr>
          <w:rFonts w:hint="eastAsia" w:ascii="Times New Roman" w:hAnsi="Times New Roman" w:eastAsia="方正仿宋简体" w:cs="Times New Roman"/>
          <w:snapToGrid w:val="0"/>
          <w:color w:val="auto"/>
          <w:spacing w:val="11"/>
          <w:kern w:val="0"/>
          <w:sz w:val="36"/>
          <w:szCs w:val="36"/>
          <w:lang w:val="en-US" w:eastAsia="zh-CN"/>
        </w:rPr>
        <w:t>加大对</w:t>
      </w:r>
      <w:r>
        <w:rPr>
          <w:rFonts w:hint="default" w:ascii="Times New Roman" w:hAnsi="Times New Roman" w:eastAsia="方正仿宋简体" w:cs="Times New Roman"/>
          <w:snapToGrid w:val="0"/>
          <w:color w:val="auto"/>
          <w:spacing w:val="11"/>
          <w:kern w:val="0"/>
          <w:sz w:val="36"/>
          <w:szCs w:val="36"/>
          <w:lang w:eastAsia="zh-CN"/>
        </w:rPr>
        <w:t>符合条件的小微企业融资</w:t>
      </w:r>
      <w:r>
        <w:rPr>
          <w:rFonts w:hint="eastAsia" w:ascii="Times New Roman" w:hAnsi="Times New Roman" w:eastAsia="方正仿宋简体" w:cs="Times New Roman"/>
          <w:snapToGrid w:val="0"/>
          <w:color w:val="auto"/>
          <w:spacing w:val="11"/>
          <w:kern w:val="0"/>
          <w:sz w:val="36"/>
          <w:szCs w:val="36"/>
          <w:lang w:val="en-US" w:eastAsia="zh-CN"/>
        </w:rPr>
        <w:t>支持力度</w:t>
      </w:r>
      <w:r>
        <w:rPr>
          <w:rFonts w:hint="default" w:ascii="Times New Roman" w:hAnsi="Times New Roman" w:eastAsia="方正仿宋简体" w:cs="Times New Roman"/>
          <w:snapToGrid w:val="0"/>
          <w:color w:val="auto"/>
          <w:spacing w:val="11"/>
          <w:kern w:val="0"/>
          <w:sz w:val="36"/>
          <w:szCs w:val="36"/>
          <w:lang w:eastAsia="zh-CN"/>
        </w:rPr>
        <w:t>。优化融资担保服务，针对不同领域，探索“天府创担贷”“小微融担贷”“助农快贷”等政策性贷款产品落地路径。依托省融资信用服务平台持续强化数字赋能，稳步推进政府性融资担保机构数字化转型。</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4" w:firstLineChars="200"/>
        <w:jc w:val="both"/>
        <w:textAlignment w:val="auto"/>
        <w:rPr>
          <w:rFonts w:hint="default" w:ascii="Times New Roman" w:hAnsi="Times New Roman" w:eastAsia="方正黑体简体" w:cs="Times New Roman"/>
          <w:snapToGrid w:val="0"/>
          <w:color w:val="auto"/>
          <w:spacing w:val="11"/>
          <w:kern w:val="0"/>
          <w:sz w:val="36"/>
          <w:szCs w:val="36"/>
          <w:u w:val="none"/>
          <w:lang w:val="en-US" w:eastAsia="zh-CN"/>
        </w:rPr>
      </w:pPr>
      <w:r>
        <w:rPr>
          <w:rFonts w:hint="default" w:ascii="Times New Roman" w:hAnsi="Times New Roman" w:eastAsia="方正黑体简体" w:cs="Times New Roman"/>
          <w:snapToGrid w:val="0"/>
          <w:color w:val="auto"/>
          <w:spacing w:val="11"/>
          <w:kern w:val="0"/>
          <w:sz w:val="36"/>
          <w:szCs w:val="36"/>
          <w:u w:val="none"/>
          <w:lang w:val="en-US" w:eastAsia="zh-CN"/>
        </w:rPr>
        <w:t>四、完善支持产业发展财政政策体系</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default" w:ascii="Times New Roman" w:hAnsi="Times New Roman" w:eastAsia="方正仿宋简体" w:cs="Times New Roman"/>
          <w:snapToGrid w:val="0"/>
          <w:color w:val="auto"/>
          <w:spacing w:val="11"/>
          <w:kern w:val="0"/>
          <w:sz w:val="36"/>
          <w:szCs w:val="36"/>
          <w:highlight w:val="none"/>
          <w:u w:val="single"/>
          <w:shd w:val="clear" w:color="auto" w:fill="auto"/>
          <w:lang w:val="en-US" w:eastAsia="zh-CN"/>
        </w:rPr>
      </w:pPr>
      <w:r>
        <w:rPr>
          <w:rFonts w:hint="default" w:ascii="Times New Roman" w:hAnsi="Times New Roman" w:eastAsia="方正楷体简体" w:cs="Times New Roman"/>
          <w:b/>
          <w:bCs/>
          <w:snapToGrid w:val="0"/>
          <w:color w:val="auto"/>
          <w:spacing w:val="11"/>
          <w:kern w:val="0"/>
          <w:sz w:val="36"/>
          <w:szCs w:val="36"/>
          <w:highlight w:val="none"/>
          <w:u w:val="none"/>
          <w:lang w:val="en-US" w:eastAsia="zh-CN"/>
        </w:rPr>
        <w:t>（十）完善产业提能增效政策。</w:t>
      </w:r>
      <w:r>
        <w:rPr>
          <w:rFonts w:hint="default" w:ascii="Times New Roman" w:hAnsi="Times New Roman" w:eastAsia="方正仿宋简体" w:cs="Times New Roman"/>
          <w:snapToGrid w:val="0"/>
          <w:spacing w:val="11"/>
          <w:kern w:val="0"/>
          <w:sz w:val="36"/>
          <w:szCs w:val="36"/>
          <w:highlight w:val="none"/>
          <w:u w:val="none"/>
          <w:shd w:val="clear" w:color="auto" w:fill="auto"/>
          <w:lang w:val="en-US" w:eastAsia="zh-CN"/>
        </w:rPr>
        <w:t>立足行业、区域、项目三个维度精准施策，推动重点产业建圈强链。加强优势产业培育，强化政策错位配置、协同发力，健全重点产业链资金平衡机制，精准支持产业链关键环节，持续锻长补短建新。加力区域整体激励，持续推动跨部门跨领域跨级次资金整合，强化对资金和项目的全流程、全周期、全要素监管，增强市县自主调控能力。加大重点项目扶持，探索建立省级重大产业项目投资保障机制，推动更多战略性、引领性产业项目落地实施。注重企业梯度培育，构建大中小企业融通发展政策体系，推动更多企业上规上市上云上榜。加速惠企资金“直达快享”，按照“免申即享”“即申即享”“快申快享”3种模式分类管理，推动惠企政策精准直达、高效兑现。优化招商引资项目政策，围绕产业园区激励奖补、优势特色资源开发及产业链补链强链延链等，推动创新招商引资模式。</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default" w:ascii="Times New Roman" w:hAnsi="Times New Roman" w:eastAsia="方正黑体简体" w:cs="Times New Roman"/>
          <w:snapToGrid w:val="0"/>
          <w:color w:val="auto"/>
          <w:spacing w:val="11"/>
          <w:kern w:val="0"/>
          <w:sz w:val="36"/>
          <w:szCs w:val="36"/>
          <w:u w:val="none"/>
          <w:lang w:val="en-US" w:eastAsia="zh-CN"/>
        </w:rPr>
      </w:pPr>
      <w:r>
        <w:rPr>
          <w:rFonts w:hint="default" w:ascii="Times New Roman" w:hAnsi="Times New Roman" w:eastAsia="方正楷体简体" w:cs="Times New Roman"/>
          <w:b/>
          <w:bCs/>
          <w:snapToGrid w:val="0"/>
          <w:color w:val="auto"/>
          <w:spacing w:val="11"/>
          <w:kern w:val="0"/>
          <w:sz w:val="36"/>
          <w:szCs w:val="36"/>
          <w:u w:val="none"/>
          <w:lang w:val="en-US" w:eastAsia="zh-CN"/>
        </w:rPr>
        <w:t>（十一）健全科技成果就地转化政策。</w:t>
      </w:r>
      <w:r>
        <w:rPr>
          <w:rFonts w:hint="default" w:ascii="Times New Roman" w:hAnsi="Times New Roman" w:eastAsia="方正仿宋简体" w:cs="Times New Roman"/>
          <w:snapToGrid w:val="0"/>
          <w:color w:val="auto"/>
          <w:spacing w:val="11"/>
          <w:kern w:val="0"/>
          <w:sz w:val="36"/>
          <w:szCs w:val="36"/>
          <w:highlight w:val="none"/>
          <w:u w:val="none"/>
          <w:shd w:val="clear" w:color="auto" w:fill="auto"/>
          <w:lang w:val="en-US" w:eastAsia="zh-CN"/>
        </w:rPr>
        <w:t>完善企业研发创新支持体系，创新实施企业研发投入后补助政策，激励企业加大原始创新力度。健全省市县共同投入机制，聚焦重点产业需求，实施企业找技术、成果找市场“双向揭榜挂帅”项目。打通成果转化中试链条，发挥“1+N”省级中试研发平台体系作用，坚持市场化原则构建“共同出资、共担风险、共享利益”合作机制，支持科技成果所有人、中试平台、属地政府等采取费用分担或股权投资方式，共同推进科技成果概念验证和中试熟化。</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4" w:firstLineChars="200"/>
        <w:jc w:val="both"/>
        <w:textAlignment w:val="auto"/>
        <w:rPr>
          <w:rFonts w:hint="default" w:ascii="Times New Roman" w:hAnsi="Times New Roman" w:eastAsia="方正黑体简体" w:cs="Times New Roman"/>
          <w:snapToGrid w:val="0"/>
          <w:color w:val="auto"/>
          <w:spacing w:val="11"/>
          <w:kern w:val="0"/>
          <w:sz w:val="36"/>
          <w:szCs w:val="36"/>
          <w:u w:val="none"/>
          <w:lang w:val="en-US" w:eastAsia="zh-CN"/>
        </w:rPr>
      </w:pPr>
      <w:r>
        <w:rPr>
          <w:rFonts w:hint="default" w:ascii="Times New Roman" w:hAnsi="Times New Roman" w:eastAsia="方正黑体简体" w:cs="Times New Roman"/>
          <w:snapToGrid w:val="0"/>
          <w:color w:val="auto"/>
          <w:spacing w:val="11"/>
          <w:kern w:val="0"/>
          <w:sz w:val="36"/>
          <w:szCs w:val="36"/>
          <w:u w:val="none"/>
          <w:lang w:val="en-US" w:eastAsia="zh-CN"/>
        </w:rPr>
        <w:t>五、完善基础设施建设投融资体制</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default" w:ascii="Times New Roman" w:hAnsi="Times New Roman" w:eastAsia="方正仿宋简体" w:cs="Times New Roman"/>
          <w:snapToGrid w:val="0"/>
          <w:color w:val="auto"/>
          <w:spacing w:val="11"/>
          <w:kern w:val="0"/>
          <w:sz w:val="36"/>
          <w:szCs w:val="36"/>
          <w:u w:val="none"/>
          <w:lang w:val="en-US" w:eastAsia="zh-CN"/>
        </w:rPr>
      </w:pPr>
      <w:r>
        <w:rPr>
          <w:rFonts w:hint="default" w:ascii="Times New Roman" w:hAnsi="Times New Roman" w:eastAsia="方正楷体简体" w:cs="Times New Roman"/>
          <w:b/>
          <w:bCs/>
          <w:snapToGrid w:val="0"/>
          <w:color w:val="auto"/>
          <w:spacing w:val="11"/>
          <w:kern w:val="0"/>
          <w:sz w:val="36"/>
          <w:szCs w:val="36"/>
          <w:u w:val="none"/>
          <w:lang w:val="en-US" w:eastAsia="zh-CN"/>
        </w:rPr>
        <w:t>（十二）加强建设资金统筹保障。</w:t>
      </w:r>
      <w:r>
        <w:rPr>
          <w:rFonts w:hint="default" w:ascii="Times New Roman" w:hAnsi="Times New Roman" w:eastAsia="方正仿宋简体" w:cs="Times New Roman"/>
          <w:snapToGrid w:val="0"/>
          <w:color w:val="auto"/>
          <w:spacing w:val="11"/>
          <w:kern w:val="0"/>
          <w:sz w:val="36"/>
          <w:szCs w:val="36"/>
          <w:u w:val="none"/>
          <w:lang w:val="en-US" w:eastAsia="zh-CN"/>
        </w:rPr>
        <w:t>完善基础设施建设领域省与市县</w:t>
      </w:r>
      <w:r>
        <w:rPr>
          <w:rFonts w:hint="eastAsia" w:ascii="Times New Roman" w:hAnsi="Times New Roman" w:eastAsia="方正仿宋简体" w:cs="Times New Roman"/>
          <w:snapToGrid w:val="0"/>
          <w:color w:val="auto"/>
          <w:spacing w:val="11"/>
          <w:kern w:val="0"/>
          <w:sz w:val="36"/>
          <w:szCs w:val="36"/>
          <w:u w:val="none"/>
          <w:lang w:val="en-US" w:eastAsia="zh-CN"/>
        </w:rPr>
        <w:t>财政</w:t>
      </w:r>
      <w:r>
        <w:rPr>
          <w:rFonts w:hint="default" w:ascii="Times New Roman" w:hAnsi="Times New Roman" w:eastAsia="方正仿宋简体" w:cs="Times New Roman"/>
          <w:snapToGrid w:val="0"/>
          <w:color w:val="auto"/>
          <w:spacing w:val="11"/>
          <w:kern w:val="0"/>
          <w:sz w:val="36"/>
          <w:szCs w:val="36"/>
          <w:u w:val="none"/>
          <w:lang w:val="en-US" w:eastAsia="zh-CN"/>
        </w:rPr>
        <w:t>事权和支出责任，逐步规范机场、铁路、高速公路、水利等重点领域项目省与市县的分担比例，细化明确支持方式和补助标准。健全基础设施建设领域财政支出统筹机制，对专项资金、超长期特别国债、地方政府专项债券</w:t>
      </w:r>
      <w:r>
        <w:rPr>
          <w:rFonts w:hint="default" w:ascii="Times New Roman" w:hAnsi="Times New Roman" w:eastAsia="方正仿宋简体" w:cs="Times New Roman"/>
          <w:snapToGrid w:val="0"/>
          <w:color w:val="auto"/>
          <w:spacing w:val="11"/>
          <w:kern w:val="0"/>
          <w:sz w:val="36"/>
          <w:szCs w:val="36"/>
          <w:highlight w:val="none"/>
          <w:lang w:val="en-US" w:eastAsia="zh-CN"/>
        </w:rPr>
        <w:t>实行错位安排、合理比配，做好重点领域项目出资保障</w:t>
      </w:r>
      <w:r>
        <w:rPr>
          <w:rFonts w:hint="default" w:ascii="Times New Roman" w:hAnsi="Times New Roman" w:eastAsia="方正仿宋简体" w:cs="Times New Roman"/>
          <w:snapToGrid w:val="0"/>
          <w:color w:val="auto"/>
          <w:spacing w:val="11"/>
          <w:kern w:val="0"/>
          <w:sz w:val="36"/>
          <w:szCs w:val="36"/>
          <w:u w:val="none"/>
          <w:lang w:val="en-US" w:eastAsia="zh-CN"/>
        </w:rPr>
        <w:t>。</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default" w:ascii="Times New Roman" w:hAnsi="Times New Roman" w:eastAsia="方正楷体简体" w:cs="Times New Roman"/>
          <w:b/>
          <w:bCs/>
          <w:snapToGrid w:val="0"/>
          <w:color w:val="auto"/>
          <w:spacing w:val="11"/>
          <w:kern w:val="0"/>
          <w:sz w:val="36"/>
          <w:szCs w:val="36"/>
          <w:u w:val="none"/>
          <w:lang w:val="en-US" w:eastAsia="zh-CN"/>
        </w:rPr>
      </w:pPr>
      <w:r>
        <w:rPr>
          <w:rFonts w:hint="default" w:ascii="Times New Roman" w:hAnsi="Times New Roman" w:eastAsia="方正楷体简体" w:cs="Times New Roman"/>
          <w:b/>
          <w:bCs/>
          <w:snapToGrid w:val="0"/>
          <w:color w:val="auto"/>
          <w:spacing w:val="11"/>
          <w:kern w:val="0"/>
          <w:sz w:val="36"/>
          <w:szCs w:val="36"/>
          <w:u w:val="none"/>
          <w:lang w:val="en-US" w:eastAsia="zh-CN"/>
        </w:rPr>
        <w:t>（十三）优化建设资金分配使用。</w:t>
      </w:r>
      <w:r>
        <w:rPr>
          <w:rFonts w:hint="default" w:ascii="Times New Roman" w:hAnsi="Times New Roman" w:eastAsia="方正仿宋简体" w:cs="Times New Roman"/>
          <w:snapToGrid w:val="0"/>
          <w:color w:val="auto"/>
          <w:spacing w:val="11"/>
          <w:kern w:val="0"/>
          <w:sz w:val="36"/>
          <w:szCs w:val="36"/>
          <w:u w:val="none"/>
          <w:lang w:val="en-US" w:eastAsia="zh-CN"/>
        </w:rPr>
        <w:t>优化财政资金分配管理制度，厘清省预算内基本建设与各类专项资金支出责任和边界，推动建立资金分配与项目进度挂钩、沉淀资金动态调整机制。创新财政支持方式，推进组合运用资本金注入、专项补助、贷款贴息、投资基金、以奖代补等多种方式，支持重点基础设施项目建设。</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default" w:ascii="Times New Roman" w:hAnsi="Times New Roman" w:eastAsia="方正仿宋简体" w:cs="Times New Roman"/>
          <w:snapToGrid w:val="0"/>
          <w:color w:val="auto"/>
          <w:spacing w:val="11"/>
          <w:kern w:val="0"/>
          <w:sz w:val="36"/>
          <w:szCs w:val="36"/>
          <w:u w:val="none"/>
          <w:lang w:val="en-US" w:eastAsia="zh-CN"/>
        </w:rPr>
      </w:pPr>
      <w:r>
        <w:rPr>
          <w:rFonts w:hint="default" w:ascii="Times New Roman" w:hAnsi="Times New Roman" w:eastAsia="方正楷体简体" w:cs="Times New Roman"/>
          <w:b/>
          <w:bCs/>
          <w:snapToGrid w:val="0"/>
          <w:color w:val="auto"/>
          <w:spacing w:val="11"/>
          <w:kern w:val="0"/>
          <w:sz w:val="36"/>
          <w:szCs w:val="36"/>
          <w:u w:val="none"/>
          <w:lang w:val="en-US" w:eastAsia="zh-CN"/>
        </w:rPr>
        <w:t>（十四）完善重大项目筹资机制。</w:t>
      </w:r>
      <w:r>
        <w:rPr>
          <w:rFonts w:hint="default" w:ascii="Times New Roman" w:hAnsi="Times New Roman" w:eastAsia="方正仿宋简体" w:cs="Times New Roman"/>
          <w:snapToGrid w:val="0"/>
          <w:color w:val="auto"/>
          <w:spacing w:val="11"/>
          <w:kern w:val="0"/>
          <w:sz w:val="36"/>
          <w:szCs w:val="36"/>
          <w:u w:val="none"/>
          <w:lang w:val="en-US" w:eastAsia="zh-CN"/>
        </w:rPr>
        <w:t>对省级牵头推动且需要各级财政出资的重大项目，统一制定项目筹资方案，组建项目法人负责实施，合理确定省级与市县的出资比例；省级财政出资原则上采取资本金注入方式，由相关省属国有企业按照一定比例放大出资，充分发挥财政资金放大效益。</w:t>
      </w:r>
    </w:p>
    <w:p>
      <w:pPr>
        <w:keepNext w:val="0"/>
        <w:keepLines w:val="0"/>
        <w:pageBreakBefore w:val="0"/>
        <w:widowControl w:val="0"/>
        <w:suppressAutoHyphens/>
        <w:kinsoku/>
        <w:wordWrap/>
        <w:overflowPunct/>
        <w:topLinePunct w:val="0"/>
        <w:autoSpaceDE/>
        <w:autoSpaceDN/>
        <w:bidi w:val="0"/>
        <w:adjustRightInd w:val="0"/>
        <w:snapToGrid w:val="0"/>
        <w:spacing w:line="660" w:lineRule="exact"/>
        <w:ind w:firstLine="766" w:firstLineChars="200"/>
        <w:jc w:val="both"/>
        <w:textAlignment w:val="auto"/>
        <w:rPr>
          <w:rFonts w:hint="eastAsia"/>
          <w:lang w:val="en-US" w:eastAsia="zh-CN"/>
        </w:rPr>
      </w:pPr>
      <w:r>
        <w:rPr>
          <w:rFonts w:hint="default" w:ascii="Times New Roman" w:hAnsi="Times New Roman" w:eastAsia="方正楷体简体" w:cs="Times New Roman"/>
          <w:b/>
          <w:bCs/>
          <w:snapToGrid w:val="0"/>
          <w:color w:val="auto"/>
          <w:spacing w:val="11"/>
          <w:kern w:val="0"/>
          <w:sz w:val="36"/>
          <w:szCs w:val="36"/>
          <w:u w:val="none"/>
          <w:lang w:val="en-US" w:eastAsia="zh-CN"/>
        </w:rPr>
        <w:t>（十五）拓宽多元化投融资渠道。</w:t>
      </w:r>
      <w:r>
        <w:rPr>
          <w:rFonts w:hint="default" w:ascii="Times New Roman" w:hAnsi="Times New Roman" w:eastAsia="方正仿宋简体" w:cs="Times New Roman"/>
          <w:snapToGrid w:val="0"/>
          <w:color w:val="auto"/>
          <w:spacing w:val="11"/>
          <w:kern w:val="0"/>
          <w:sz w:val="36"/>
          <w:szCs w:val="36"/>
          <w:u w:val="none"/>
          <w:lang w:val="en-US" w:eastAsia="zh-CN"/>
        </w:rPr>
        <w:t>探索推进基础设施竞争性领域向各类经营主体公平开放，对符合条件的政府投资项目，按市场化方式引入多元化的社会资本，优先支持民营资本参与，逐步完善政府投资有效带动社会投资制度机制。鼓励符合条件的项目将专项债券用作项目资本金，有序推动基础设施REIT</w:t>
      </w:r>
      <w:r>
        <w:rPr>
          <w:rFonts w:hint="default" w:ascii="Times New Roman" w:hAnsi="Times New Roman" w:eastAsia="方正仿宋简体" w:cs="Times New Roman"/>
          <w:snapToGrid w:val="0"/>
          <w:color w:val="auto"/>
          <w:spacing w:val="11"/>
          <w:kern w:val="0"/>
          <w:sz w:val="36"/>
          <w:szCs w:val="36"/>
          <w:u w:val="none"/>
          <w:lang w:val="en" w:eastAsia="zh-CN"/>
        </w:rPr>
        <w:t>s（不动产投资信托基金）发行，规范实施政府和社会资本合作新机制。</w:t>
      </w:r>
    </w:p>
    <w:sectPr>
      <w:footerReference r:id="rId3" w:type="default"/>
      <w:pgSz w:w="11906" w:h="16838"/>
      <w:pgMar w:top="1757" w:right="1474" w:bottom="1871" w:left="1587" w:header="720" w:footer="72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黑体简体">
    <w:altName w:val="方正黑体_GBK"/>
    <w:panose1 w:val="03000509000000000000"/>
    <w:charset w:val="86"/>
    <w:family w:val="auto"/>
    <w:pitch w:val="default"/>
    <w:sig w:usb0="00000000" w:usb1="00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2581275</wp:posOffset>
              </wp:positionH>
              <wp:positionV relativeFrom="paragraph">
                <wp:posOffset>-119380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203.25pt;margin-top:-9.4pt;height:144pt;width:144pt;mso-position-horizontal-relative:margin;mso-wrap-style:none;z-index:251659264;mso-width-relative:page;mso-height-relative:page;" filled="f" stroked="f" coordsize="21600,21600" o:gfxdata="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4ovQ&#10;t9gAAAALAQAADwAAAAAAAAABACAAAAA4AAAAZHJzL2Rvd25yZXYueG1sUEsBAhQAFAAAAAgAh07i&#10;QJ0ojEnTAQAAhAMAAA4AAAAAAAAAAQAgAAAAPQEAAGRycy9lMm9Eb2MueG1sUEsFBgAAAAAGAAYA&#10;WQEAAIIFAAAAAA==&#10;">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5E7A"/>
    <w:rsid w:val="1BE7219C"/>
    <w:rsid w:val="254C6870"/>
    <w:rsid w:val="25B05051"/>
    <w:rsid w:val="25D44FDE"/>
    <w:rsid w:val="263A2B6C"/>
    <w:rsid w:val="26FF45AB"/>
    <w:rsid w:val="279C3C41"/>
    <w:rsid w:val="2BBFD374"/>
    <w:rsid w:val="2E782484"/>
    <w:rsid w:val="30071D11"/>
    <w:rsid w:val="32FFA486"/>
    <w:rsid w:val="377D7EE4"/>
    <w:rsid w:val="3AFFD6E2"/>
    <w:rsid w:val="3F3F37E1"/>
    <w:rsid w:val="4031051E"/>
    <w:rsid w:val="4CBBD1FA"/>
    <w:rsid w:val="4D7D3757"/>
    <w:rsid w:val="56FE7669"/>
    <w:rsid w:val="57B819BF"/>
    <w:rsid w:val="57ED0C74"/>
    <w:rsid w:val="58825B29"/>
    <w:rsid w:val="5A8AB803"/>
    <w:rsid w:val="5B5FC58A"/>
    <w:rsid w:val="5BBEE937"/>
    <w:rsid w:val="5DB538AF"/>
    <w:rsid w:val="5EE906B0"/>
    <w:rsid w:val="5EF7DF24"/>
    <w:rsid w:val="5F63300D"/>
    <w:rsid w:val="5F8D1984"/>
    <w:rsid w:val="5FBC0E50"/>
    <w:rsid w:val="5FBF26DC"/>
    <w:rsid w:val="5FDEE2A8"/>
    <w:rsid w:val="5FFF470A"/>
    <w:rsid w:val="62B1A3BC"/>
    <w:rsid w:val="65530F79"/>
    <w:rsid w:val="65F9467C"/>
    <w:rsid w:val="66EE6F0A"/>
    <w:rsid w:val="66FFC387"/>
    <w:rsid w:val="67BEE624"/>
    <w:rsid w:val="6BDFC14E"/>
    <w:rsid w:val="6D7F6D07"/>
    <w:rsid w:val="6DB716C2"/>
    <w:rsid w:val="6ECFD257"/>
    <w:rsid w:val="6FFE6D97"/>
    <w:rsid w:val="6FFF9E1E"/>
    <w:rsid w:val="71E73303"/>
    <w:rsid w:val="75474BA5"/>
    <w:rsid w:val="75E67955"/>
    <w:rsid w:val="75F7AF4A"/>
    <w:rsid w:val="75FF2D4D"/>
    <w:rsid w:val="779D1312"/>
    <w:rsid w:val="779FCA30"/>
    <w:rsid w:val="7AA463FE"/>
    <w:rsid w:val="7B3F3769"/>
    <w:rsid w:val="7B7A2964"/>
    <w:rsid w:val="7BDBA214"/>
    <w:rsid w:val="7BF4BF59"/>
    <w:rsid w:val="7BFFEA64"/>
    <w:rsid w:val="7CDE6B7F"/>
    <w:rsid w:val="7CF70F59"/>
    <w:rsid w:val="7D355A8A"/>
    <w:rsid w:val="7D6A3999"/>
    <w:rsid w:val="7DCD2D57"/>
    <w:rsid w:val="7E39E54E"/>
    <w:rsid w:val="7E5F5E41"/>
    <w:rsid w:val="7F1A3CC1"/>
    <w:rsid w:val="7F4C00EB"/>
    <w:rsid w:val="7F9F94AA"/>
    <w:rsid w:val="7FDDB67D"/>
    <w:rsid w:val="7FDF48D0"/>
    <w:rsid w:val="8F6A82F1"/>
    <w:rsid w:val="97FD1219"/>
    <w:rsid w:val="9EE5C687"/>
    <w:rsid w:val="9EFF9F8A"/>
    <w:rsid w:val="AB7F4EBC"/>
    <w:rsid w:val="AE73F6F2"/>
    <w:rsid w:val="AFABA086"/>
    <w:rsid w:val="B56FF228"/>
    <w:rsid w:val="B7637D61"/>
    <w:rsid w:val="B9BF6795"/>
    <w:rsid w:val="B9FDC9D9"/>
    <w:rsid w:val="BA9A0FE8"/>
    <w:rsid w:val="BCCBC1D8"/>
    <w:rsid w:val="BCFBEB38"/>
    <w:rsid w:val="BEFD7C6A"/>
    <w:rsid w:val="BFC76402"/>
    <w:rsid w:val="BFF6C3F6"/>
    <w:rsid w:val="BFFA22CB"/>
    <w:rsid w:val="CCFEB8BB"/>
    <w:rsid w:val="CDBB94E6"/>
    <w:rsid w:val="CEADB4F2"/>
    <w:rsid w:val="CEDFE491"/>
    <w:rsid w:val="CFB7CB76"/>
    <w:rsid w:val="CFBFED3E"/>
    <w:rsid w:val="D37F7646"/>
    <w:rsid w:val="D79BCF99"/>
    <w:rsid w:val="D7DF9CCF"/>
    <w:rsid w:val="D9FFD254"/>
    <w:rsid w:val="DDF221E6"/>
    <w:rsid w:val="E3455A46"/>
    <w:rsid w:val="E3FFA43A"/>
    <w:rsid w:val="E7DB0CBE"/>
    <w:rsid w:val="E7DE7ABD"/>
    <w:rsid w:val="EB619578"/>
    <w:rsid w:val="EE7AA81D"/>
    <w:rsid w:val="EF2FD652"/>
    <w:rsid w:val="EFFE9A2C"/>
    <w:rsid w:val="F3FF1387"/>
    <w:rsid w:val="F4B72F89"/>
    <w:rsid w:val="F4F63E15"/>
    <w:rsid w:val="F577F126"/>
    <w:rsid w:val="F5F72665"/>
    <w:rsid w:val="F6FA141E"/>
    <w:rsid w:val="F77FA957"/>
    <w:rsid w:val="F7BEA69A"/>
    <w:rsid w:val="F9FA7F5A"/>
    <w:rsid w:val="FBDEB47B"/>
    <w:rsid w:val="FBFFFCE5"/>
    <w:rsid w:val="FDAD4A35"/>
    <w:rsid w:val="FDDFAD90"/>
    <w:rsid w:val="FDF14D66"/>
    <w:rsid w:val="FE72D4FE"/>
    <w:rsid w:val="FE9C49E0"/>
    <w:rsid w:val="FF8B6E1D"/>
    <w:rsid w:val="FFD6D094"/>
    <w:rsid w:val="FFDF0E4C"/>
    <w:rsid w:val="FFF5C39C"/>
    <w:rsid w:val="FFF7F4A1"/>
    <w:rsid w:val="FFFDAA2D"/>
    <w:rsid w:val="FFFF15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200" w:firstLineChars="200"/>
      <w:jc w:val="both"/>
      <w:textAlignment w:val="baseline"/>
    </w:pPr>
    <w:rPr>
      <w:rFonts w:ascii="Times New Roman" w:hAnsi="Times New Roman" w:eastAsia="宋体"/>
      <w:kern w:val="2"/>
      <w:sz w:val="21"/>
      <w:szCs w:val="24"/>
      <w:lang w:val="en-US" w:eastAsia="zh-CN" w:bidi="ar-SA"/>
    </w:rPr>
  </w:style>
  <w:style w:type="paragraph" w:styleId="3">
    <w:name w:val="Normal Indent"/>
    <w:basedOn w:val="1"/>
    <w:next w:val="1"/>
    <w:qFormat/>
    <w:uiPriority w:val="0"/>
    <w:pPr>
      <w:ind w:firstLine="420"/>
    </w:pPr>
    <w:rPr>
      <w:rFonts w:eastAsia="仿宋"/>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next w:val="6"/>
    <w:qFormat/>
    <w:uiPriority w:val="0"/>
    <w:pPr>
      <w:spacing w:before="0" w:after="140" w:line="276" w:lineRule="auto"/>
    </w:pPr>
  </w:style>
  <w:style w:type="paragraph" w:styleId="6">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7">
    <w:name w:val="Body Text Indent"/>
    <w:basedOn w:val="1"/>
    <w:qFormat/>
    <w:uiPriority w:val="0"/>
    <w:pPr>
      <w:ind w:firstLine="600" w:firstLineChars="200"/>
    </w:pPr>
    <w:rPr>
      <w:sz w:val="30"/>
      <w:szCs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5"/>
    <w:qFormat/>
    <w:uiPriority w:val="0"/>
  </w:style>
  <w:style w:type="paragraph" w:styleId="11">
    <w:name w:val="Body Text 2"/>
    <w:basedOn w:val="1"/>
    <w:unhideWhenUsed/>
    <w:qFormat/>
    <w:uiPriority w:val="99"/>
    <w:pPr>
      <w:spacing w:after="120" w:line="480" w:lineRule="auto"/>
    </w:pPr>
    <w:rPr>
      <w:rFonts w:eastAsia="等线"/>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next w:val="1"/>
    <w:qFormat/>
    <w:uiPriority w:val="0"/>
    <w:pPr>
      <w:spacing w:after="120"/>
      <w:ind w:left="420" w:leftChars="200" w:firstLine="420"/>
    </w:pPr>
  </w:style>
  <w:style w:type="character" w:customStyle="1" w:styleId="16">
    <w:name w:val="默认段落字体1"/>
    <w:qFormat/>
    <w:uiPriority w:val="0"/>
  </w:style>
  <w:style w:type="paragraph" w:customStyle="1" w:styleId="17">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3045</Words>
  <Characters>3063</Characters>
  <TotalTime>0</TotalTime>
  <ScaleCrop>false</ScaleCrop>
  <LinksUpToDate>false</LinksUpToDate>
  <CharactersWithSpaces>3063</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user</dc:creator>
  <cp:lastModifiedBy>向俊宇</cp:lastModifiedBy>
  <cp:lastPrinted>2025-10-21T19:39:00Z</cp:lastPrinted>
  <dcterms:modified xsi:type="dcterms:W3CDTF">2025-11-18T10:20:17Z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eyJoZGlkIjoiNDVkOTcxYWIzYzA2MjI5ODJjMmUxMTZmYzUyMDdjMDEiLCJ1c2VySWQiOiIxNjY1Njc5NTg1In0=</vt:lpwstr>
  </property>
  <property fmtid="{D5CDD505-2E9C-101B-9397-08002B2CF9AE}" pid="4" name="ICV">
    <vt:lpwstr>524F3F553DFC4323B006320D04A88D64_12</vt:lpwstr>
  </property>
</Properties>
</file>