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contextualSpacing/>
        <w:jc w:val="left"/>
        <w:rPr>
          <w:rFonts w:hint="eastAsia" w:ascii="仿宋_GB2312" w:hAnsi="黑体" w:eastAsia="仿宋_GB2312"/>
          <w:b/>
          <w:sz w:val="32"/>
          <w:szCs w:val="32"/>
        </w:rPr>
      </w:pPr>
      <w:bookmarkStart w:id="0" w:name="_GoBack"/>
      <w:bookmarkEnd w:id="0"/>
      <w:r>
        <w:rPr>
          <w:rFonts w:hint="eastAsia" w:ascii="仿宋_GB2312" w:hAnsi="黑体" w:eastAsia="仿宋_GB2312"/>
          <w:b/>
          <w:sz w:val="32"/>
          <w:szCs w:val="32"/>
        </w:rPr>
        <w:t>附件</w:t>
      </w:r>
      <w:r>
        <w:rPr>
          <w:rFonts w:hint="eastAsia" w:ascii="仿宋_GB2312" w:hAnsi="黑体" w:eastAsia="仿宋_GB2312"/>
          <w:b/>
          <w:sz w:val="32"/>
          <w:szCs w:val="32"/>
          <w:lang w:val="en-US" w:eastAsia="zh-CN"/>
        </w:rPr>
        <w:t>4</w:t>
      </w:r>
      <w:r>
        <w:rPr>
          <w:rFonts w:hint="eastAsia" w:ascii="仿宋_GB2312" w:hAnsi="黑体" w:eastAsia="仿宋_GB2312"/>
          <w:b/>
          <w:sz w:val="32"/>
          <w:szCs w:val="32"/>
        </w:rPr>
        <w:t>：</w:t>
      </w:r>
    </w:p>
    <w:p>
      <w:pPr>
        <w:rPr>
          <w:rFonts w:hint="eastAsia"/>
        </w:rPr>
      </w:pPr>
    </w:p>
    <w:p>
      <w:pPr>
        <w:spacing w:line="420" w:lineRule="exact"/>
        <w:contextualSpacing/>
        <w:jc w:val="center"/>
        <w:rPr>
          <w:rFonts w:hint="eastAsia" w:ascii="仿宋_GB2312" w:hAnsi="黑体" w:eastAsia="仿宋_GB2312" w:cs="Times New Roman"/>
          <w:b/>
          <w:sz w:val="32"/>
          <w:szCs w:val="32"/>
        </w:rPr>
      </w:pPr>
      <w:r>
        <w:rPr>
          <w:rFonts w:hint="eastAsia" w:ascii="仿宋_GB2312" w:hAnsi="黑体" w:eastAsia="仿宋_GB2312" w:cs="Times New Roman"/>
          <w:b/>
          <w:sz w:val="32"/>
          <w:szCs w:val="32"/>
        </w:rPr>
        <w:t>中央金融企业境外资产情况统计表</w:t>
      </w:r>
    </w:p>
    <w:p>
      <w:pPr>
        <w:spacing w:line="420" w:lineRule="exact"/>
        <w:contextualSpacing/>
        <w:jc w:val="center"/>
        <w:rPr>
          <w:rFonts w:hint="eastAsia" w:ascii="仿宋_GB2312" w:hAnsi="黑体" w:eastAsia="仿宋_GB2312" w:cs="Times New Roman"/>
          <w:b/>
          <w:sz w:val="32"/>
          <w:szCs w:val="32"/>
        </w:rPr>
      </w:pPr>
      <w:r>
        <w:rPr>
          <w:rFonts w:hint="eastAsia" w:ascii="仿宋_GB2312" w:hAnsi="黑体" w:eastAsia="仿宋_GB2312" w:cs="Times New Roman"/>
          <w:b/>
          <w:sz w:val="32"/>
          <w:szCs w:val="32"/>
        </w:rPr>
        <w:t>编报说明</w:t>
      </w:r>
    </w:p>
    <w:p>
      <w:pPr>
        <w:rPr>
          <w:rFonts w:hint="eastAsia"/>
        </w:rPr>
      </w:pPr>
    </w:p>
    <w:p>
      <w:pPr>
        <w:spacing w:before="100" w:beforeAutospacing="1" w:after="100" w:afterAutospacing="1" w:line="390" w:lineRule="exact"/>
        <w:ind w:firstLine="480" w:firstLineChars="200"/>
        <w:contextualSpacing/>
        <w:outlineLvl w:val="0"/>
        <w:rPr>
          <w:rFonts w:hint="eastAsia" w:ascii="仿宋_GB2312" w:hAnsi="黑体" w:eastAsia="仿宋_GB2312" w:cs="Times New Roman"/>
          <w:bCs/>
          <w:sz w:val="24"/>
          <w:szCs w:val="24"/>
        </w:rPr>
      </w:pPr>
      <w:r>
        <w:rPr>
          <w:rFonts w:hint="eastAsia" w:ascii="仿宋_GB2312" w:hAnsi="黑体" w:eastAsia="仿宋_GB2312" w:cs="Times New Roman"/>
          <w:bCs/>
          <w:sz w:val="24"/>
          <w:szCs w:val="24"/>
        </w:rPr>
        <w:t>一、金融资产。指中央金融企业总部</w:t>
      </w:r>
      <w:r>
        <w:rPr>
          <w:rFonts w:hint="eastAsia" w:ascii="仿宋_GB2312" w:hAnsi="黑体" w:eastAsia="仿宋_GB2312" w:cs="Times New Roman"/>
          <w:bCs/>
          <w:sz w:val="24"/>
          <w:szCs w:val="24"/>
          <w:lang w:eastAsia="zh-CN"/>
        </w:rPr>
        <w:t>（</w:t>
      </w:r>
      <w:r>
        <w:rPr>
          <w:rFonts w:hint="eastAsia" w:ascii="仿宋_GB2312" w:hAnsi="黑体" w:eastAsia="仿宋_GB2312" w:cs="Times New Roman"/>
          <w:bCs/>
          <w:sz w:val="24"/>
          <w:szCs w:val="24"/>
        </w:rPr>
        <w:t>包括分支机构</w:t>
      </w:r>
      <w:r>
        <w:rPr>
          <w:rFonts w:hint="eastAsia" w:ascii="仿宋_GB2312" w:hAnsi="黑体" w:eastAsia="仿宋_GB2312" w:cs="Times New Roman"/>
          <w:bCs/>
          <w:sz w:val="24"/>
          <w:szCs w:val="24"/>
          <w:lang w:eastAsia="zh-CN"/>
        </w:rPr>
        <w:t>）</w:t>
      </w:r>
      <w:r>
        <w:rPr>
          <w:rFonts w:hint="eastAsia" w:ascii="仿宋_GB2312" w:hAnsi="黑体" w:eastAsia="仿宋_GB2312" w:cs="Times New Roman"/>
          <w:bCs/>
          <w:sz w:val="24"/>
          <w:szCs w:val="24"/>
        </w:rPr>
        <w:t>投向境外，以及境外分支机构持有的金融资产，主要包括直接投资、证券投资、金融衍生品、其他投资等。</w:t>
      </w:r>
    </w:p>
    <w:p>
      <w:pPr>
        <w:spacing w:before="100" w:beforeAutospacing="1" w:after="100" w:afterAutospacing="1" w:line="390" w:lineRule="exact"/>
        <w:ind w:firstLine="480" w:firstLineChars="200"/>
        <w:contextualSpacing/>
        <w:outlineLvl w:val="0"/>
        <w:rPr>
          <w:rFonts w:hint="eastAsia" w:ascii="仿宋_GB2312" w:hAnsi="黑体" w:eastAsia="仿宋_GB2312" w:cs="Times New Roman"/>
          <w:bCs/>
          <w:sz w:val="24"/>
          <w:szCs w:val="24"/>
        </w:rPr>
      </w:pPr>
      <w:r>
        <w:rPr>
          <w:rFonts w:hint="eastAsia" w:ascii="仿宋_GB2312" w:hAnsi="黑体" w:eastAsia="仿宋_GB2312" w:cs="Times New Roman"/>
          <w:bCs/>
          <w:sz w:val="24"/>
          <w:szCs w:val="24"/>
        </w:rPr>
        <w:t>二、实物资产。指中央金融企业总部</w:t>
      </w:r>
      <w:r>
        <w:rPr>
          <w:rFonts w:hint="eastAsia" w:ascii="仿宋_GB2312" w:hAnsi="黑体" w:eastAsia="仿宋_GB2312" w:cs="Times New Roman"/>
          <w:bCs/>
          <w:sz w:val="24"/>
          <w:szCs w:val="24"/>
          <w:lang w:eastAsia="zh-CN"/>
        </w:rPr>
        <w:t>（</w:t>
      </w:r>
      <w:r>
        <w:rPr>
          <w:rFonts w:hint="eastAsia" w:ascii="仿宋_GB2312" w:hAnsi="黑体" w:eastAsia="仿宋_GB2312" w:cs="Times New Roman"/>
          <w:bCs/>
          <w:sz w:val="24"/>
          <w:szCs w:val="24"/>
        </w:rPr>
        <w:t>包括分支机构</w:t>
      </w:r>
      <w:r>
        <w:rPr>
          <w:rFonts w:hint="eastAsia" w:ascii="仿宋_GB2312" w:hAnsi="黑体" w:eastAsia="仿宋_GB2312" w:cs="Times New Roman"/>
          <w:bCs/>
          <w:sz w:val="24"/>
          <w:szCs w:val="24"/>
          <w:lang w:eastAsia="zh-CN"/>
        </w:rPr>
        <w:t>）</w:t>
      </w:r>
      <w:r>
        <w:rPr>
          <w:rFonts w:hint="eastAsia" w:ascii="仿宋_GB2312" w:hAnsi="黑体" w:eastAsia="仿宋_GB2312" w:cs="Times New Roman"/>
          <w:bCs/>
          <w:sz w:val="24"/>
          <w:szCs w:val="24"/>
        </w:rPr>
        <w:t>投向境外，以及境外分支机构持有的实物资产，主要包括基础设施、物流仓储、房地产、自然资源、大宗商品和其他实物资产。</w:t>
      </w:r>
    </w:p>
    <w:p>
      <w:pPr>
        <w:spacing w:before="100" w:beforeAutospacing="1" w:after="100" w:afterAutospacing="1" w:line="390" w:lineRule="exact"/>
        <w:ind w:firstLine="480" w:firstLineChars="200"/>
        <w:contextualSpacing/>
        <w:outlineLvl w:val="0"/>
        <w:rPr>
          <w:rFonts w:hint="eastAsia" w:ascii="仿宋_GB2312" w:hAnsi="黑体" w:eastAsia="仿宋_GB2312" w:cs="Times New Roman"/>
          <w:bCs/>
          <w:sz w:val="24"/>
          <w:szCs w:val="24"/>
        </w:rPr>
      </w:pPr>
      <w:r>
        <w:rPr>
          <w:rFonts w:hint="eastAsia" w:ascii="仿宋_GB2312" w:hAnsi="黑体" w:eastAsia="仿宋_GB2312" w:cs="Times New Roman"/>
          <w:bCs/>
          <w:sz w:val="24"/>
          <w:szCs w:val="24"/>
        </w:rPr>
        <w:t>三、其他资产。指中央金融企业总部</w:t>
      </w:r>
      <w:r>
        <w:rPr>
          <w:rFonts w:hint="eastAsia" w:ascii="仿宋_GB2312" w:hAnsi="黑体" w:eastAsia="仿宋_GB2312" w:cs="Times New Roman"/>
          <w:bCs/>
          <w:sz w:val="24"/>
          <w:szCs w:val="24"/>
          <w:lang w:eastAsia="zh-CN"/>
        </w:rPr>
        <w:t>（</w:t>
      </w:r>
      <w:r>
        <w:rPr>
          <w:rFonts w:hint="eastAsia" w:ascii="仿宋_GB2312" w:hAnsi="黑体" w:eastAsia="仿宋_GB2312" w:cs="Times New Roman"/>
          <w:bCs/>
          <w:sz w:val="24"/>
          <w:szCs w:val="24"/>
        </w:rPr>
        <w:t>包括分支机构</w:t>
      </w:r>
      <w:r>
        <w:rPr>
          <w:rFonts w:hint="eastAsia" w:ascii="仿宋_GB2312" w:hAnsi="黑体" w:eastAsia="仿宋_GB2312" w:cs="Times New Roman"/>
          <w:bCs/>
          <w:sz w:val="24"/>
          <w:szCs w:val="24"/>
          <w:lang w:eastAsia="zh-CN"/>
        </w:rPr>
        <w:t>）</w:t>
      </w:r>
      <w:r>
        <w:rPr>
          <w:rFonts w:hint="eastAsia" w:ascii="仿宋_GB2312" w:hAnsi="黑体" w:eastAsia="仿宋_GB2312" w:cs="Times New Roman"/>
          <w:bCs/>
          <w:sz w:val="24"/>
          <w:szCs w:val="24"/>
        </w:rPr>
        <w:t>投向境外，以及境外分支机构持有的无法明确归为金融资产或实物资产的其他资产，其中涉及数额较大的资产请备注填写资产类型。</w:t>
      </w:r>
    </w:p>
    <w:p>
      <w:pPr>
        <w:spacing w:before="100" w:beforeAutospacing="1" w:after="100" w:afterAutospacing="1" w:line="390" w:lineRule="exact"/>
        <w:ind w:firstLine="480" w:firstLineChars="200"/>
        <w:contextualSpacing/>
        <w:outlineLvl w:val="0"/>
        <w:rPr>
          <w:rFonts w:hint="eastAsia" w:ascii="仿宋_GB2312" w:hAnsi="黑体" w:eastAsia="仿宋_GB2312" w:cs="Times New Roman"/>
          <w:bCs/>
          <w:sz w:val="24"/>
          <w:szCs w:val="24"/>
        </w:rPr>
      </w:pPr>
      <w:r>
        <w:rPr>
          <w:rFonts w:hint="eastAsia" w:ascii="仿宋_GB2312" w:hAnsi="黑体" w:eastAsia="仿宋_GB2312" w:cs="Times New Roman"/>
          <w:bCs/>
          <w:sz w:val="24"/>
          <w:szCs w:val="24"/>
        </w:rPr>
        <w:t>注：境外包括香港、澳门、台湾地区。</w:t>
      </w:r>
    </w:p>
    <w:sectPr>
      <w:footerReference r:id="rId3" w:type="default"/>
      <w:pgSz w:w="11906" w:h="16838"/>
      <w:pgMar w:top="1440" w:right="1800" w:bottom="1440" w:left="1800" w:header="851" w:footer="992" w:gutter="0"/>
      <w:pgNumType w:start="4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Theme="minorEastAsia"/>
        <w:lang w:eastAsia="zh-CN"/>
      </w:rPr>
    </w:pPr>
    <w:r>
      <w:rPr>
        <w:rFonts w:hint="eastAsia"/>
      </w:rPr>
      <w:t>4</w:t>
    </w:r>
    <w:r>
      <w:rPr>
        <w:rFonts w:hint="default"/>
        <w:lang w:val="en-US"/>
      </w:rPr>
      <w:t>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84"/>
    <w:rsid w:val="00027248"/>
    <w:rsid w:val="00105CCC"/>
    <w:rsid w:val="00150795"/>
    <w:rsid w:val="005508E6"/>
    <w:rsid w:val="005F2ECE"/>
    <w:rsid w:val="006218CF"/>
    <w:rsid w:val="007E7AF1"/>
    <w:rsid w:val="009D6FE8"/>
    <w:rsid w:val="009E63A5"/>
    <w:rsid w:val="009F0AF9"/>
    <w:rsid w:val="00CC66B6"/>
    <w:rsid w:val="00D64584"/>
    <w:rsid w:val="00DD7620"/>
    <w:rsid w:val="00DE68BC"/>
    <w:rsid w:val="00E11B0A"/>
    <w:rsid w:val="00E244DF"/>
    <w:rsid w:val="00E66DC1"/>
    <w:rsid w:val="00ED0232"/>
    <w:rsid w:val="00F6202D"/>
    <w:rsid w:val="00F72AAF"/>
    <w:rsid w:val="3B9EF188"/>
    <w:rsid w:val="57F13798"/>
    <w:rsid w:val="5FF62924"/>
    <w:rsid w:val="7C2A25AF"/>
    <w:rsid w:val="7F69B597"/>
    <w:rsid w:val="7F7F77CE"/>
    <w:rsid w:val="FFFD9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273</Words>
  <Characters>273</Characters>
  <Lines>1</Lines>
  <Paragraphs>1</Paragraphs>
  <TotalTime>2</TotalTime>
  <ScaleCrop>false</ScaleCrop>
  <LinksUpToDate>false</LinksUpToDate>
  <CharactersWithSpaces>273</CharactersWithSpaces>
  <Application>WPS Office_11.8.2.10977_F1E327BC-269C-435d-A152-05C5408002CA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2024-11-06T23:12:00Z</dcterms:created>
  <dc:creator>chenzhiyi2000</dc:creator>
  <cp:lastModifiedBy>suicheng</cp:lastModifiedBy>
  <cp:lastPrinted>2025-11-24T17:26:11Z</cp:lastPrinted>
  <dcterms:modified xsi:type="dcterms:W3CDTF">2025-11-24T17:29:17Z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2052-11.8.2.10977</vt:lpwstr>
  </property>
  <property fmtid="{D5CDD505-2E9C-101B-9397-08002B2CF9AE}" pid="3" name="KSOTemplateDocerSaveRecord">
    <vt:lpwstr>eyJoZGlkIjoiNDc1NGViYTUxNmRlY2Y3NjBjODRmMzdmMGRkMWQ0MTEiLCJ1c2VySWQiOiIzMTUxMzU4ODgifQ==</vt:lpwstr>
  </property>
  <property fmtid="{D5CDD505-2E9C-101B-9397-08002B2CF9AE}" pid="4" name="ICV">
    <vt:lpwstr>2D1F01A67B3E4E8C807BC85DF7F024A3_12</vt:lpwstr>
  </property>
</Properties>
</file>