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C51E1">
      <w:pPr>
        <w:snapToGrid w:val="0"/>
        <w:spacing w:line="560" w:lineRule="exact"/>
        <w:ind w:firstLine="600"/>
        <w:rPr>
          <w:rFonts w:eastAsia="方正仿宋简体"/>
          <w:sz w:val="30"/>
        </w:rPr>
      </w:pPr>
    </w:p>
    <w:p w14:paraId="551E0DF0">
      <w:pPr>
        <w:snapToGrid w:val="0"/>
        <w:spacing w:line="560" w:lineRule="exact"/>
        <w:jc w:val="center"/>
        <w:rPr>
          <w:rFonts w:eastAsia="方正大标宋简体"/>
          <w:sz w:val="42"/>
          <w:szCs w:val="42"/>
        </w:rPr>
      </w:pPr>
      <w:r>
        <w:rPr>
          <w:rFonts w:eastAsia="方正大标宋简体"/>
          <w:sz w:val="42"/>
          <w:szCs w:val="42"/>
        </w:rPr>
        <w:t>《</w:t>
      </w:r>
      <w:r>
        <w:rPr>
          <w:rFonts w:hint="eastAsia" w:eastAsia="方正大标宋简体"/>
          <w:sz w:val="42"/>
          <w:szCs w:val="42"/>
        </w:rPr>
        <w:t>上海证券交易所公开募集不动产投资信托基金（REITs）规则适用指引第2号——发售业务（试行）</w:t>
      </w:r>
      <w:r>
        <w:rPr>
          <w:rFonts w:eastAsia="方正大标宋简体"/>
          <w:sz w:val="42"/>
          <w:szCs w:val="42"/>
        </w:rPr>
        <w:t>》</w:t>
      </w:r>
      <w:r>
        <w:rPr>
          <w:rFonts w:hint="eastAsia" w:eastAsia="方正大标宋简体"/>
          <w:sz w:val="42"/>
          <w:szCs w:val="42"/>
        </w:rPr>
        <w:t>修订</w:t>
      </w:r>
      <w:r>
        <w:rPr>
          <w:rFonts w:eastAsia="方正大标宋简体"/>
          <w:sz w:val="42"/>
          <w:szCs w:val="42"/>
        </w:rPr>
        <w:t>说明</w:t>
      </w:r>
    </w:p>
    <w:p w14:paraId="7D098AEC">
      <w:pPr>
        <w:snapToGrid w:val="0"/>
        <w:spacing w:line="560" w:lineRule="exact"/>
        <w:ind w:firstLine="600"/>
        <w:rPr>
          <w:rFonts w:eastAsia="方正仿宋简体"/>
          <w:sz w:val="30"/>
        </w:rPr>
      </w:pPr>
    </w:p>
    <w:p w14:paraId="70E5FC6F">
      <w:pPr>
        <w:spacing w:line="560" w:lineRule="exact"/>
        <w:ind w:firstLine="640" w:firstLineChars="200"/>
        <w:rPr>
          <w:rFonts w:ascii="仿宋_GB2312" w:eastAsia="仿宋_GB2312"/>
          <w:sz w:val="32"/>
          <w:szCs w:val="32"/>
        </w:rPr>
      </w:pPr>
      <w:r>
        <w:rPr>
          <w:rFonts w:eastAsia="仿宋_GB2312"/>
          <w:sz w:val="32"/>
          <w:szCs w:val="32"/>
        </w:rPr>
        <w:t>为贯彻落实</w:t>
      </w:r>
      <w:r>
        <w:rPr>
          <w:rFonts w:hint="eastAsia" w:eastAsia="仿宋_GB2312"/>
          <w:sz w:val="32"/>
          <w:szCs w:val="32"/>
        </w:rPr>
        <w:t>《国务院关于加强监管防范风险推动资本市场高质量发展的若干意见》（国发〔2024〕10号）部署和</w:t>
      </w:r>
      <w:r>
        <w:rPr>
          <w:rFonts w:hint="eastAsia" w:ascii="仿宋_GB2312" w:eastAsia="仿宋_GB2312"/>
          <w:sz w:val="32"/>
          <w:szCs w:val="32"/>
        </w:rPr>
        <w:t>《中国证监会关于推出商业不动产投</w:t>
      </w:r>
      <w:bookmarkStart w:id="0" w:name="_GoBack"/>
      <w:bookmarkEnd w:id="0"/>
      <w:r>
        <w:rPr>
          <w:rFonts w:hint="eastAsia" w:ascii="仿宋_GB2312" w:eastAsia="仿宋_GB2312"/>
          <w:sz w:val="32"/>
          <w:szCs w:val="32"/>
        </w:rPr>
        <w:t>资信托基金试点的公告》（以下简称《公告》）的工作要求，本所</w:t>
      </w:r>
      <w:r>
        <w:rPr>
          <w:rFonts w:hint="eastAsia" w:eastAsia="仿宋_GB2312"/>
          <w:sz w:val="32"/>
          <w:szCs w:val="32"/>
        </w:rPr>
        <w:t>在中国证监会的统筹部署下，</w:t>
      </w:r>
      <w:r>
        <w:rPr>
          <w:rFonts w:hint="eastAsia" w:ascii="仿宋_GB2312" w:eastAsia="仿宋_GB2312"/>
          <w:sz w:val="32"/>
          <w:szCs w:val="32"/>
        </w:rPr>
        <w:t>修订形成了《上海证券交易所公开募集不动产投资信托基金</w:t>
      </w:r>
      <w:r>
        <w:rPr>
          <w:rFonts w:hint="eastAsia" w:eastAsia="仿宋_GB2312"/>
          <w:sz w:val="32"/>
          <w:szCs w:val="32"/>
        </w:rPr>
        <w:t>（</w:t>
      </w:r>
      <w:r>
        <w:rPr>
          <w:rFonts w:eastAsia="仿宋_GB2312"/>
          <w:sz w:val="32"/>
          <w:szCs w:val="32"/>
        </w:rPr>
        <w:t>REITs</w:t>
      </w:r>
      <w:r>
        <w:rPr>
          <w:rFonts w:hint="eastAsia" w:eastAsia="仿宋_GB2312"/>
          <w:sz w:val="32"/>
          <w:szCs w:val="32"/>
        </w:rPr>
        <w:t>）</w:t>
      </w:r>
      <w:r>
        <w:rPr>
          <w:rFonts w:hint="eastAsia" w:ascii="仿宋_GB2312" w:eastAsia="仿宋_GB2312"/>
          <w:sz w:val="32"/>
          <w:szCs w:val="32"/>
        </w:rPr>
        <w:t>规则适用指引第</w:t>
      </w:r>
      <w:r>
        <w:rPr>
          <w:rFonts w:eastAsia="仿宋_GB2312"/>
          <w:sz w:val="32"/>
          <w:szCs w:val="32"/>
        </w:rPr>
        <w:t>2</w:t>
      </w:r>
      <w:r>
        <w:rPr>
          <w:rFonts w:hint="eastAsia" w:eastAsia="仿宋_GB2312"/>
          <w:sz w:val="32"/>
          <w:szCs w:val="32"/>
        </w:rPr>
        <w:t>号</w:t>
      </w:r>
      <w:r>
        <w:rPr>
          <w:rFonts w:hint="eastAsia" w:ascii="仿宋_GB2312" w:eastAsia="仿宋_GB2312"/>
          <w:sz w:val="32"/>
          <w:szCs w:val="32"/>
        </w:rPr>
        <w:t>——发售业务（试行）》（以下简称</w:t>
      </w:r>
      <w:r>
        <w:rPr>
          <w:rFonts w:hint="eastAsia" w:ascii="仿宋_GB2312" w:eastAsia="仿宋_GB2312"/>
          <w:color w:val="000000"/>
          <w:sz w:val="32"/>
          <w:szCs w:val="32"/>
          <w:shd w:val="clear" w:color="auto" w:fill="FFFFFF"/>
        </w:rPr>
        <w:t>《发售业务指引》</w:t>
      </w:r>
      <w:r>
        <w:rPr>
          <w:rFonts w:hint="eastAsia" w:ascii="仿宋_GB2312" w:eastAsia="仿宋_GB2312"/>
          <w:sz w:val="32"/>
          <w:szCs w:val="32"/>
        </w:rPr>
        <w:t>），现将相关情况说明如下</w:t>
      </w:r>
      <w:r>
        <w:rPr>
          <w:rFonts w:hint="eastAsia" w:ascii="仿宋_GB2312" w:hAnsi="仿宋" w:eastAsia="仿宋_GB2312"/>
          <w:sz w:val="32"/>
          <w:szCs w:val="32"/>
        </w:rPr>
        <w:t>：</w:t>
      </w:r>
    </w:p>
    <w:p w14:paraId="72237EA9">
      <w:pPr>
        <w:spacing w:line="560" w:lineRule="exact"/>
        <w:ind w:firstLine="640" w:firstLineChars="200"/>
        <w:outlineLvl w:val="0"/>
        <w:rPr>
          <w:rFonts w:eastAsia="黑体"/>
          <w:bCs/>
          <w:sz w:val="32"/>
          <w:szCs w:val="32"/>
        </w:rPr>
      </w:pPr>
      <w:r>
        <w:rPr>
          <w:rFonts w:eastAsia="黑体"/>
          <w:bCs/>
          <w:sz w:val="32"/>
          <w:szCs w:val="32"/>
        </w:rPr>
        <w:t>一、修订背景</w:t>
      </w:r>
    </w:p>
    <w:p w14:paraId="2B9CF141">
      <w:pPr>
        <w:pStyle w:val="19"/>
        <w:widowControl w:val="0"/>
        <w:ind w:firstLine="640" w:firstLineChars="200"/>
        <w:rPr>
          <w:rFonts w:ascii="Times New Roman" w:hAnsi="Times New Roman" w:eastAsia="仿宋_GB2312"/>
          <w:szCs w:val="32"/>
          <w:lang w:eastAsia="zh-CN"/>
        </w:rPr>
      </w:pPr>
      <w:r>
        <w:rPr>
          <w:rFonts w:hint="eastAsia" w:ascii="Times New Roman" w:hAnsi="Times New Roman" w:eastAsia="仿宋_GB2312"/>
          <w:szCs w:val="32"/>
          <w:lang w:eastAsia="zh-CN"/>
        </w:rPr>
        <w:t>2025年12月31日，</w:t>
      </w:r>
      <w:r>
        <w:rPr>
          <w:rFonts w:ascii="Times New Roman" w:hAnsi="Times New Roman" w:eastAsia="仿宋_GB2312"/>
          <w:szCs w:val="32"/>
          <w:lang w:eastAsia="zh-CN"/>
        </w:rPr>
        <w:t>中国证监会</w:t>
      </w:r>
      <w:r>
        <w:rPr>
          <w:rFonts w:hint="eastAsia" w:ascii="Times New Roman" w:hAnsi="Times New Roman" w:eastAsia="仿宋_GB2312"/>
          <w:szCs w:val="32"/>
          <w:lang w:eastAsia="zh-CN"/>
        </w:rPr>
        <w:t>发布</w:t>
      </w:r>
      <w:r>
        <w:rPr>
          <w:rFonts w:ascii="Times New Roman" w:hAnsi="Times New Roman" w:eastAsia="仿宋_GB2312"/>
          <w:szCs w:val="32"/>
          <w:lang w:eastAsia="zh-CN"/>
        </w:rPr>
        <w:t>《公告》，明确</w:t>
      </w:r>
      <w:r>
        <w:rPr>
          <w:rFonts w:hint="eastAsia" w:ascii="Times New Roman" w:hAnsi="Times New Roman" w:eastAsia="仿宋_GB2312"/>
          <w:szCs w:val="32"/>
          <w:lang w:eastAsia="zh-CN"/>
        </w:rPr>
        <w:t>了</w:t>
      </w:r>
      <w:r>
        <w:rPr>
          <w:rFonts w:ascii="Times New Roman" w:hAnsi="Times New Roman" w:eastAsia="仿宋_GB2312"/>
          <w:szCs w:val="32"/>
          <w:lang w:eastAsia="zh-CN"/>
        </w:rPr>
        <w:t>商业不动产投资信托基金</w:t>
      </w:r>
      <w:r>
        <w:rPr>
          <w:rFonts w:hint="eastAsia" w:ascii="Times New Roman" w:hAnsi="Times New Roman" w:eastAsia="仿宋_GB2312"/>
          <w:szCs w:val="32"/>
          <w:lang w:eastAsia="zh-CN"/>
        </w:rPr>
        <w:t>（以下简称商业不动产REITs）产品定义，提出了基金注册及运营管理、发挥基金管理人和专业机构作用、强化监管责任等方面的要求</w:t>
      </w:r>
      <w:r>
        <w:rPr>
          <w:rFonts w:ascii="Times New Roman" w:hAnsi="Times New Roman" w:eastAsia="仿宋_GB2312"/>
          <w:szCs w:val="32"/>
          <w:lang w:eastAsia="zh-CN"/>
        </w:rPr>
        <w:t>。</w:t>
      </w:r>
    </w:p>
    <w:p w14:paraId="7A90E7FC">
      <w:pPr>
        <w:pStyle w:val="19"/>
        <w:ind w:firstLine="640" w:firstLineChars="200"/>
        <w:rPr>
          <w:rFonts w:ascii="Times New Roman" w:hAnsi="Times New Roman" w:eastAsia="仿宋_GB2312"/>
          <w:szCs w:val="32"/>
          <w:lang w:eastAsia="zh-CN"/>
        </w:rPr>
      </w:pPr>
      <w:r>
        <w:rPr>
          <w:rFonts w:hint="eastAsia" w:ascii="Times New Roman" w:hAnsi="Times New Roman" w:eastAsia="仿宋_GB2312"/>
          <w:szCs w:val="32"/>
          <w:lang w:eastAsia="zh-CN"/>
        </w:rPr>
        <w:t>本所结合前期实践经验和市场实际情况，</w:t>
      </w:r>
      <w:r>
        <w:rPr>
          <w:rFonts w:hint="eastAsia" w:ascii="仿宋_GB2312" w:eastAsia="仿宋_GB2312"/>
          <w:szCs w:val="32"/>
          <w:lang w:eastAsia="zh-CN"/>
        </w:rPr>
        <w:t>修订形成了</w:t>
      </w:r>
      <w:r>
        <w:rPr>
          <w:rFonts w:ascii="Times New Roman" w:hAnsi="Times New Roman" w:eastAsia="仿宋_GB2312"/>
          <w:szCs w:val="32"/>
          <w:lang w:eastAsia="zh-CN"/>
        </w:rPr>
        <w:t>《</w:t>
      </w:r>
      <w:r>
        <w:rPr>
          <w:rFonts w:hint="eastAsia" w:ascii="仿宋_GB2312" w:eastAsia="仿宋_GB2312"/>
          <w:color w:val="000000"/>
          <w:szCs w:val="32"/>
          <w:shd w:val="clear" w:color="auto" w:fill="FFFFFF"/>
          <w:lang w:eastAsia="zh-CN"/>
        </w:rPr>
        <w:t>发售业务指引</w:t>
      </w:r>
      <w:r>
        <w:rPr>
          <w:rFonts w:ascii="Times New Roman" w:hAnsi="Times New Roman" w:eastAsia="仿宋_GB2312"/>
          <w:szCs w:val="32"/>
          <w:lang w:eastAsia="zh-CN"/>
        </w:rPr>
        <w:t>》，</w:t>
      </w:r>
      <w:r>
        <w:rPr>
          <w:rFonts w:hint="eastAsia" w:ascii="Times New Roman" w:hAnsi="Times New Roman" w:eastAsia="仿宋_GB2312"/>
          <w:szCs w:val="32"/>
          <w:lang w:eastAsia="zh-CN"/>
        </w:rPr>
        <w:t>对发售过程中询价定价、战略配售、网下配售等环节予以进一步规范</w:t>
      </w:r>
      <w:r>
        <w:rPr>
          <w:rFonts w:hint="eastAsia" w:ascii="仿宋_GB2312" w:eastAsia="仿宋_GB2312"/>
          <w:szCs w:val="32"/>
          <w:lang w:eastAsia="zh-CN"/>
        </w:rPr>
        <w:t>，提升发行定价效率，稳定市场预期，促进市场健康发展</w:t>
      </w:r>
      <w:r>
        <w:rPr>
          <w:rFonts w:ascii="Times New Roman" w:hAnsi="Times New Roman" w:eastAsia="仿宋_GB2312"/>
          <w:szCs w:val="32"/>
          <w:lang w:eastAsia="zh-CN"/>
        </w:rPr>
        <w:t>。</w:t>
      </w:r>
    </w:p>
    <w:p w14:paraId="24209B7F">
      <w:pPr>
        <w:spacing w:line="560" w:lineRule="exact"/>
        <w:ind w:firstLine="640" w:firstLineChars="200"/>
        <w:outlineLvl w:val="0"/>
        <w:rPr>
          <w:rFonts w:eastAsia="黑体"/>
          <w:bCs/>
          <w:sz w:val="32"/>
          <w:szCs w:val="32"/>
        </w:rPr>
      </w:pPr>
      <w:r>
        <w:rPr>
          <w:rFonts w:eastAsia="黑体"/>
          <w:bCs/>
          <w:sz w:val="32"/>
          <w:szCs w:val="32"/>
        </w:rPr>
        <w:t>二、主要修订内容</w:t>
      </w:r>
    </w:p>
    <w:p w14:paraId="11FA0ED0">
      <w:pPr>
        <w:spacing w:line="560" w:lineRule="exact"/>
        <w:ind w:firstLine="640" w:firstLineChars="200"/>
        <w:jc w:val="left"/>
        <w:rPr>
          <w:rFonts w:eastAsia="仿宋_GB2312"/>
          <w:sz w:val="32"/>
          <w:szCs w:val="32"/>
        </w:rPr>
      </w:pPr>
      <w:r>
        <w:rPr>
          <w:rFonts w:eastAsia="仿宋_GB2312"/>
          <w:sz w:val="32"/>
          <w:szCs w:val="32"/>
        </w:rPr>
        <w:t>本次修订主要包括以下几方面内容：</w:t>
      </w:r>
    </w:p>
    <w:p w14:paraId="28342D9D">
      <w:pPr>
        <w:pStyle w:val="19"/>
        <w:widowControl w:val="0"/>
        <w:snapToGrid w:val="0"/>
        <w:ind w:firstLine="640" w:firstLineChars="200"/>
        <w:rPr>
          <w:rFonts w:ascii="Times New Roman" w:hAnsi="Times New Roman" w:eastAsia="仿宋_GB2312"/>
          <w:szCs w:val="32"/>
          <w:lang w:eastAsia="zh-CN"/>
        </w:rPr>
      </w:pPr>
      <w:r>
        <w:rPr>
          <w:rFonts w:hint="eastAsia" w:ascii="Times New Roman" w:hAnsi="Times New Roman" w:eastAsia="仿宋_GB2312"/>
          <w:szCs w:val="32"/>
          <w:lang w:eastAsia="zh-CN"/>
        </w:rPr>
        <w:t>一是扩充指引适用范围。根据《公告》，将商业不动产REITs纳入《发售业务指引》适用范围，相应调整全文相关表述。</w:t>
      </w:r>
    </w:p>
    <w:p w14:paraId="5FA17446">
      <w:pPr>
        <w:pStyle w:val="19"/>
        <w:widowControl w:val="0"/>
        <w:snapToGrid w:val="0"/>
        <w:ind w:firstLine="640" w:firstLineChars="200"/>
        <w:rPr>
          <w:rFonts w:ascii="Times New Roman" w:hAnsi="Times New Roman" w:eastAsia="仿宋_GB2312"/>
          <w:szCs w:val="32"/>
          <w:lang w:eastAsia="zh-CN"/>
        </w:rPr>
      </w:pPr>
      <w:r>
        <w:rPr>
          <w:rFonts w:hint="eastAsia" w:ascii="Times New Roman" w:hAnsi="Times New Roman" w:eastAsia="仿宋_GB2312"/>
          <w:szCs w:val="32"/>
          <w:lang w:eastAsia="zh-CN"/>
        </w:rPr>
        <w:t>二是完善询价定价机制。要求基金管理人等主体建立与投资者的沟通机制，推动投资者充分了解项目情况后参与询价。允许约定一定比例的高价剔除机制，提高REITs发行的科学性和市场化水平。要求网下投资者建立投资决策机制，独立、客观、理性报价。</w:t>
      </w:r>
    </w:p>
    <w:p w14:paraId="1419EED4">
      <w:pPr>
        <w:pStyle w:val="19"/>
        <w:widowControl w:val="0"/>
        <w:snapToGrid w:val="0"/>
        <w:ind w:firstLine="640" w:firstLineChars="200"/>
        <w:rPr>
          <w:rFonts w:ascii="Times New Roman" w:hAnsi="Times New Roman" w:eastAsia="仿宋_GB2312"/>
          <w:szCs w:val="32"/>
          <w:lang w:eastAsia="zh-CN"/>
        </w:rPr>
      </w:pPr>
      <w:r>
        <w:rPr>
          <w:rFonts w:hint="eastAsia" w:ascii="Times New Roman" w:hAnsi="Times New Roman" w:eastAsia="仿宋_GB2312"/>
          <w:szCs w:val="32"/>
          <w:lang w:eastAsia="zh-CN"/>
        </w:rPr>
        <w:t>三是完善发售机制。优化配售机制，要求基金管理人、财务顾问应当优先向认可不动产基金长期投资价值的网下投资者配售。</w:t>
      </w:r>
    </w:p>
    <w:p w14:paraId="0710731F">
      <w:pPr>
        <w:pStyle w:val="19"/>
        <w:widowControl w:val="0"/>
        <w:snapToGrid w:val="0"/>
        <w:ind w:firstLine="640" w:firstLineChars="200"/>
        <w:rPr>
          <w:rFonts w:ascii="Times New Roman" w:hAnsi="Times New Roman" w:eastAsia="仿宋_GB2312"/>
          <w:szCs w:val="32"/>
          <w:lang w:eastAsia="zh-CN"/>
        </w:rPr>
      </w:pPr>
      <w:r>
        <w:rPr>
          <w:rFonts w:hint="eastAsia" w:ascii="Times New Roman" w:hAnsi="Times New Roman" w:eastAsia="仿宋_GB2312"/>
          <w:szCs w:val="32"/>
          <w:lang w:eastAsia="zh-CN"/>
        </w:rPr>
        <w:t>四是优化战略配售与流动性管理安排。要求基金管理人、财务顾问结合实际情况合理确定战略配售规模，保障基金上市后流通份额合理充裕。允许前述主体合理约定上市特定期限内网下投资者可交易的份额比例，增强二级市场稳定性。</w:t>
      </w:r>
    </w:p>
    <w:p w14:paraId="2044A783">
      <w:pPr>
        <w:pStyle w:val="19"/>
        <w:widowControl w:val="0"/>
        <w:snapToGrid w:val="0"/>
        <w:ind w:firstLine="640" w:firstLineChars="200"/>
        <w:rPr>
          <w:rFonts w:ascii="Times New Roman" w:hAnsi="Times New Roman" w:eastAsia="仿宋_GB2312"/>
          <w:szCs w:val="32"/>
          <w:lang w:eastAsia="zh-CN"/>
        </w:rPr>
      </w:pPr>
      <w:r>
        <w:rPr>
          <w:rFonts w:hint="eastAsia" w:ascii="Times New Roman" w:hAnsi="Times New Roman" w:eastAsia="仿宋_GB2312"/>
          <w:szCs w:val="32"/>
          <w:lang w:eastAsia="zh-CN"/>
        </w:rPr>
        <w:t>五是精简冗余条款内容。删除网下投资者资质等相关内容，统一适用中国证券业协会相关规定。精简扩募方案披露事项，删除原战略投资者份额持有比例变化、新增战略投资者名称及认购方式的披露要求，聚焦核心要素。</w:t>
      </w:r>
    </w:p>
    <w:p w14:paraId="04DB1A72">
      <w:pPr>
        <w:spacing w:line="560" w:lineRule="exact"/>
        <w:rPr>
          <w:rFonts w:eastAsia="仿宋_GB2312"/>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仿宋">
    <w:altName w:val="宋体"/>
    <w:panose1 w:val="02010609060101010101"/>
    <w:charset w:val="86"/>
    <w:family w:val="modern"/>
    <w:pitch w:val="default"/>
    <w:sig w:usb0="00000000" w:usb1="00000000" w:usb2="00000016" w:usb3="00000000" w:csb0="00040001" w:csb1="00000000"/>
  </w:font>
  <w:font w:name="方正仿宋简体">
    <w:panose1 w:val="02000500000000000000"/>
    <w:charset w:val="86"/>
    <w:family w:val="auto"/>
    <w:pitch w:val="default"/>
    <w:sig w:usb0="A00002BF" w:usb1="584F6CFA" w:usb2="00000012" w:usb3="00000000" w:csb0="00040001" w:csb1="0000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8"/>
        <w:szCs w:val="28"/>
      </w:rPr>
      <w:id w:val="-1"/>
    </w:sdtPr>
    <w:sdtEndPr>
      <w:rPr>
        <w:rFonts w:ascii="宋体" w:hAnsi="宋体"/>
        <w:sz w:val="28"/>
        <w:szCs w:val="28"/>
      </w:rPr>
    </w:sdtEndPr>
    <w:sdtContent>
      <w:p w14:paraId="59F678E0">
        <w:pPr>
          <w:pStyle w:val="14"/>
          <w:jc w:val="right"/>
          <w:rPr>
            <w:rFonts w:hint="eastAsia"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8"/>
        <w:szCs w:val="28"/>
      </w:rPr>
      <w:id w:val="1926528031"/>
    </w:sdtPr>
    <w:sdtEndPr>
      <w:rPr>
        <w:rFonts w:ascii="宋体" w:hAnsi="宋体"/>
        <w:sz w:val="28"/>
        <w:szCs w:val="28"/>
      </w:rPr>
    </w:sdtEndPr>
    <w:sdtContent>
      <w:p w14:paraId="607A85B5">
        <w:pPr>
          <w:pStyle w:val="14"/>
          <w:rPr>
            <w:rFonts w:hint="eastAsia"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BC4"/>
    <w:rsid w:val="000274F5"/>
    <w:rsid w:val="000967AD"/>
    <w:rsid w:val="000B0397"/>
    <w:rsid w:val="000C0B47"/>
    <w:rsid w:val="000C0CF2"/>
    <w:rsid w:val="000D3ED8"/>
    <w:rsid w:val="000E4DF2"/>
    <w:rsid w:val="0018513E"/>
    <w:rsid w:val="00185FF6"/>
    <w:rsid w:val="00192178"/>
    <w:rsid w:val="001F241C"/>
    <w:rsid w:val="002429E9"/>
    <w:rsid w:val="002F4786"/>
    <w:rsid w:val="00311D4C"/>
    <w:rsid w:val="0036233C"/>
    <w:rsid w:val="003A68BE"/>
    <w:rsid w:val="003B752D"/>
    <w:rsid w:val="003E075E"/>
    <w:rsid w:val="004A680B"/>
    <w:rsid w:val="004B7F49"/>
    <w:rsid w:val="004D452E"/>
    <w:rsid w:val="004F5C1F"/>
    <w:rsid w:val="00501279"/>
    <w:rsid w:val="0052239C"/>
    <w:rsid w:val="006004E8"/>
    <w:rsid w:val="00635546"/>
    <w:rsid w:val="006821C9"/>
    <w:rsid w:val="006F7A35"/>
    <w:rsid w:val="007432F4"/>
    <w:rsid w:val="00743969"/>
    <w:rsid w:val="007558C9"/>
    <w:rsid w:val="00757E04"/>
    <w:rsid w:val="007C6D72"/>
    <w:rsid w:val="007D041D"/>
    <w:rsid w:val="00822C34"/>
    <w:rsid w:val="00845EA5"/>
    <w:rsid w:val="0093196F"/>
    <w:rsid w:val="00984C1F"/>
    <w:rsid w:val="009C0E33"/>
    <w:rsid w:val="009F4693"/>
    <w:rsid w:val="009F6557"/>
    <w:rsid w:val="00A41E5D"/>
    <w:rsid w:val="00A834E3"/>
    <w:rsid w:val="00AC4C1A"/>
    <w:rsid w:val="00AC50F0"/>
    <w:rsid w:val="00AD06CD"/>
    <w:rsid w:val="00B15FD4"/>
    <w:rsid w:val="00B23373"/>
    <w:rsid w:val="00B51E2C"/>
    <w:rsid w:val="00B94590"/>
    <w:rsid w:val="00C70BCE"/>
    <w:rsid w:val="00C72FEB"/>
    <w:rsid w:val="00CB6809"/>
    <w:rsid w:val="00D16911"/>
    <w:rsid w:val="00D25637"/>
    <w:rsid w:val="00D27AD3"/>
    <w:rsid w:val="00D41085"/>
    <w:rsid w:val="00D65070"/>
    <w:rsid w:val="00D80F1F"/>
    <w:rsid w:val="00D81617"/>
    <w:rsid w:val="00DF448E"/>
    <w:rsid w:val="00E16BC4"/>
    <w:rsid w:val="00E343B1"/>
    <w:rsid w:val="00E768E5"/>
    <w:rsid w:val="00EC50CD"/>
    <w:rsid w:val="00EE14C3"/>
    <w:rsid w:val="00EF604E"/>
    <w:rsid w:val="00FF7359"/>
    <w:rsid w:val="02554A98"/>
    <w:rsid w:val="03541703"/>
    <w:rsid w:val="1F996766"/>
    <w:rsid w:val="22E36792"/>
    <w:rsid w:val="30910540"/>
    <w:rsid w:val="359B0108"/>
    <w:rsid w:val="3AC00231"/>
    <w:rsid w:val="3EDFE7A6"/>
    <w:rsid w:val="4C013661"/>
    <w:rsid w:val="4FFFD739"/>
    <w:rsid w:val="51694182"/>
    <w:rsid w:val="5D53A92C"/>
    <w:rsid w:val="67FD49D5"/>
    <w:rsid w:val="7F7D6029"/>
    <w:rsid w:val="7FF60E31"/>
    <w:rsid w:val="BEBFABA2"/>
    <w:rsid w:val="CDFBC47E"/>
    <w:rsid w:val="E9FDD65D"/>
    <w:rsid w:val="ED8FF7A9"/>
    <w:rsid w:val="EFD7A96E"/>
    <w:rsid w:val="FADFE573"/>
    <w:rsid w:val="FDF1D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5"/>
    <w:qFormat/>
    <w:uiPriority w:val="9"/>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3">
    <w:name w:val="heading 2"/>
    <w:basedOn w:val="1"/>
    <w:next w:val="1"/>
    <w:link w:val="27"/>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4">
    <w:name w:val="heading 3"/>
    <w:basedOn w:val="1"/>
    <w:next w:val="1"/>
    <w:link w:val="28"/>
    <w:semiHidden/>
    <w:unhideWhenUsed/>
    <w:qFormat/>
    <w:uiPriority w:val="9"/>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5">
    <w:name w:val="heading 4"/>
    <w:basedOn w:val="1"/>
    <w:next w:val="1"/>
    <w:link w:val="29"/>
    <w:semiHidden/>
    <w:unhideWhenUsed/>
    <w:qFormat/>
    <w:uiPriority w:val="9"/>
    <w:pPr>
      <w:keepNext/>
      <w:keepLines/>
      <w:spacing w:before="80" w:after="40"/>
      <w:outlineLvl w:val="3"/>
    </w:pPr>
    <w:rPr>
      <w:rFonts w:cstheme="majorBidi"/>
      <w:color w:val="376092" w:themeColor="accent1" w:themeShade="BF"/>
      <w:sz w:val="28"/>
      <w:szCs w:val="28"/>
    </w:rPr>
  </w:style>
  <w:style w:type="paragraph" w:styleId="6">
    <w:name w:val="heading 5"/>
    <w:basedOn w:val="1"/>
    <w:next w:val="1"/>
    <w:link w:val="30"/>
    <w:semiHidden/>
    <w:unhideWhenUsed/>
    <w:qFormat/>
    <w:uiPriority w:val="9"/>
    <w:pPr>
      <w:keepNext/>
      <w:keepLines/>
      <w:spacing w:before="80" w:after="40"/>
      <w:outlineLvl w:val="4"/>
    </w:pPr>
    <w:rPr>
      <w:rFonts w:cstheme="majorBidi"/>
      <w:color w:val="376092" w:themeColor="accent1" w:themeShade="BF"/>
      <w:sz w:val="24"/>
      <w:szCs w:val="24"/>
    </w:rPr>
  </w:style>
  <w:style w:type="paragraph" w:styleId="7">
    <w:name w:val="heading 6"/>
    <w:basedOn w:val="1"/>
    <w:next w:val="1"/>
    <w:link w:val="31"/>
    <w:semiHidden/>
    <w:unhideWhenUsed/>
    <w:qFormat/>
    <w:uiPriority w:val="9"/>
    <w:pPr>
      <w:keepNext/>
      <w:keepLines/>
      <w:spacing w:before="40"/>
      <w:outlineLvl w:val="5"/>
    </w:pPr>
    <w:rPr>
      <w:rFonts w:cstheme="majorBidi"/>
      <w:b/>
      <w:bCs/>
      <w:color w:val="376092" w:themeColor="accent1" w:themeShade="BF"/>
    </w:rPr>
  </w:style>
  <w:style w:type="paragraph" w:styleId="8">
    <w:name w:val="heading 7"/>
    <w:basedOn w:val="1"/>
    <w:next w:val="1"/>
    <w:link w:val="3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2"/>
    <w:semiHidden/>
    <w:unhideWhenUsed/>
    <w:qFormat/>
    <w:uiPriority w:val="99"/>
    <w:pPr>
      <w:jc w:val="left"/>
    </w:pPr>
  </w:style>
  <w:style w:type="paragraph" w:styleId="12">
    <w:name w:val="Body Text"/>
    <w:basedOn w:val="1"/>
    <w:link w:val="47"/>
    <w:semiHidden/>
    <w:unhideWhenUsed/>
    <w:qFormat/>
    <w:uiPriority w:val="99"/>
    <w:pPr>
      <w:spacing w:after="120"/>
    </w:pPr>
  </w:style>
  <w:style w:type="paragraph" w:styleId="13">
    <w:name w:val="Body Text Indent"/>
    <w:basedOn w:val="1"/>
    <w:link w:val="45"/>
    <w:semiHidden/>
    <w:unhideWhenUsed/>
    <w:qFormat/>
    <w:uiPriority w:val="99"/>
    <w:pPr>
      <w:spacing w:after="120"/>
      <w:ind w:left="420" w:leftChars="200"/>
    </w:pPr>
  </w:style>
  <w:style w:type="paragraph" w:styleId="14">
    <w:name w:val="footer"/>
    <w:basedOn w:val="1"/>
    <w:link w:val="44"/>
    <w:unhideWhenUsed/>
    <w:qFormat/>
    <w:uiPriority w:val="99"/>
    <w:pPr>
      <w:tabs>
        <w:tab w:val="center" w:pos="4153"/>
        <w:tab w:val="right" w:pos="8306"/>
      </w:tabs>
      <w:snapToGrid w:val="0"/>
    </w:pPr>
    <w:rPr>
      <w:sz w:val="18"/>
      <w:szCs w:val="18"/>
    </w:rPr>
  </w:style>
  <w:style w:type="paragraph" w:styleId="15">
    <w:name w:val="header"/>
    <w:basedOn w:val="1"/>
    <w:link w:val="43"/>
    <w:unhideWhenUsed/>
    <w:qFormat/>
    <w:uiPriority w:val="99"/>
    <w:pPr>
      <w:tabs>
        <w:tab w:val="center" w:pos="4153"/>
        <w:tab w:val="right" w:pos="8306"/>
      </w:tabs>
      <w:snapToGrid w:val="0"/>
      <w:jc w:val="center"/>
    </w:pPr>
    <w:rPr>
      <w:sz w:val="18"/>
      <w:szCs w:val="18"/>
    </w:rPr>
  </w:style>
  <w:style w:type="paragraph" w:styleId="16">
    <w:name w:val="Subtitle"/>
    <w:basedOn w:val="1"/>
    <w:next w:val="1"/>
    <w:link w:val="3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8">
    <w:name w:val="annotation subject"/>
    <w:basedOn w:val="11"/>
    <w:next w:val="11"/>
    <w:link w:val="53"/>
    <w:semiHidden/>
    <w:unhideWhenUsed/>
    <w:qFormat/>
    <w:uiPriority w:val="99"/>
    <w:rPr>
      <w:b/>
      <w:bCs/>
    </w:rPr>
  </w:style>
  <w:style w:type="paragraph" w:styleId="19">
    <w:name w:val="Body Text First Indent"/>
    <w:basedOn w:val="12"/>
    <w:link w:val="48"/>
    <w:qFormat/>
    <w:uiPriority w:val="0"/>
    <w:pPr>
      <w:widowControl/>
      <w:spacing w:after="0" w:line="560" w:lineRule="exact"/>
      <w:ind w:firstLine="420" w:firstLineChars="100"/>
    </w:pPr>
    <w:rPr>
      <w:rFonts w:ascii="宋体" w:hAnsi="宋体" w:eastAsia="仿宋"/>
      <w:sz w:val="32"/>
      <w:szCs w:val="24"/>
      <w:lang w:eastAsia="en-US"/>
    </w:rPr>
  </w:style>
  <w:style w:type="paragraph" w:styleId="20">
    <w:name w:val="Body Text First Indent 2"/>
    <w:basedOn w:val="13"/>
    <w:link w:val="46"/>
    <w:qFormat/>
    <w:uiPriority w:val="0"/>
    <w:pPr>
      <w:spacing w:after="0" w:line="560" w:lineRule="exact"/>
      <w:ind w:left="0" w:leftChars="0" w:firstLine="420" w:firstLineChars="200"/>
    </w:pPr>
    <w:rPr>
      <w:rFonts w:ascii="Calibri" w:hAnsi="Calibri"/>
      <w:sz w:val="28"/>
    </w:rPr>
  </w:style>
  <w:style w:type="character" w:styleId="23">
    <w:name w:val="Hyperlink"/>
    <w:basedOn w:val="22"/>
    <w:unhideWhenUsed/>
    <w:qFormat/>
    <w:uiPriority w:val="99"/>
    <w:rPr>
      <w:color w:val="0000FF" w:themeColor="hyperlink"/>
      <w:u w:val="single"/>
      <w14:textFill>
        <w14:solidFill>
          <w14:schemeClr w14:val="hlink"/>
        </w14:solidFill>
      </w14:textFill>
    </w:rPr>
  </w:style>
  <w:style w:type="character" w:styleId="24">
    <w:name w:val="annotation reference"/>
    <w:basedOn w:val="22"/>
    <w:semiHidden/>
    <w:unhideWhenUsed/>
    <w:qFormat/>
    <w:uiPriority w:val="99"/>
    <w:rPr>
      <w:sz w:val="21"/>
      <w:szCs w:val="21"/>
    </w:rPr>
  </w:style>
  <w:style w:type="character" w:customStyle="1" w:styleId="25">
    <w:name w:val="标题 1 字符"/>
    <w:basedOn w:val="22"/>
    <w:link w:val="2"/>
    <w:qFormat/>
    <w:uiPriority w:val="9"/>
    <w:rPr>
      <w:rFonts w:asciiTheme="majorHAnsi" w:hAnsiTheme="majorHAnsi" w:eastAsiaTheme="majorEastAsia" w:cstheme="majorBidi"/>
      <w:color w:val="376092" w:themeColor="accent1" w:themeShade="BF"/>
      <w:sz w:val="48"/>
      <w:szCs w:val="48"/>
    </w:rPr>
  </w:style>
  <w:style w:type="character" w:customStyle="1" w:styleId="26">
    <w:name w:val="标题 字符"/>
    <w:basedOn w:val="22"/>
    <w:link w:val="17"/>
    <w:qFormat/>
    <w:uiPriority w:val="10"/>
    <w:rPr>
      <w:rFonts w:asciiTheme="majorHAnsi" w:hAnsiTheme="majorHAnsi" w:eastAsiaTheme="majorEastAsia" w:cstheme="majorBidi"/>
      <w:spacing w:val="-10"/>
      <w:kern w:val="28"/>
      <w:sz w:val="56"/>
      <w:szCs w:val="56"/>
    </w:rPr>
  </w:style>
  <w:style w:type="character" w:customStyle="1" w:styleId="27">
    <w:name w:val="标题 2 字符"/>
    <w:basedOn w:val="22"/>
    <w:link w:val="3"/>
    <w:semiHidden/>
    <w:qFormat/>
    <w:uiPriority w:val="9"/>
    <w:rPr>
      <w:rFonts w:asciiTheme="majorHAnsi" w:hAnsiTheme="majorHAnsi" w:eastAsiaTheme="majorEastAsia" w:cstheme="majorBidi"/>
      <w:color w:val="376092" w:themeColor="accent1" w:themeShade="BF"/>
      <w:sz w:val="40"/>
      <w:szCs w:val="40"/>
    </w:rPr>
  </w:style>
  <w:style w:type="character" w:customStyle="1" w:styleId="28">
    <w:name w:val="标题 3 字符"/>
    <w:basedOn w:val="22"/>
    <w:link w:val="4"/>
    <w:semiHidden/>
    <w:qFormat/>
    <w:uiPriority w:val="9"/>
    <w:rPr>
      <w:rFonts w:asciiTheme="majorHAnsi" w:hAnsiTheme="majorHAnsi" w:eastAsiaTheme="majorEastAsia" w:cstheme="majorBidi"/>
      <w:color w:val="376092" w:themeColor="accent1" w:themeShade="BF"/>
      <w:sz w:val="32"/>
      <w:szCs w:val="32"/>
    </w:rPr>
  </w:style>
  <w:style w:type="character" w:customStyle="1" w:styleId="29">
    <w:name w:val="标题 4 字符"/>
    <w:basedOn w:val="22"/>
    <w:link w:val="5"/>
    <w:semiHidden/>
    <w:qFormat/>
    <w:uiPriority w:val="9"/>
    <w:rPr>
      <w:rFonts w:cstheme="majorBidi"/>
      <w:color w:val="376092" w:themeColor="accent1" w:themeShade="BF"/>
      <w:sz w:val="28"/>
      <w:szCs w:val="28"/>
    </w:rPr>
  </w:style>
  <w:style w:type="character" w:customStyle="1" w:styleId="30">
    <w:name w:val="标题 5 字符"/>
    <w:basedOn w:val="22"/>
    <w:link w:val="6"/>
    <w:semiHidden/>
    <w:qFormat/>
    <w:uiPriority w:val="9"/>
    <w:rPr>
      <w:rFonts w:cstheme="majorBidi"/>
      <w:color w:val="376092" w:themeColor="accent1" w:themeShade="BF"/>
      <w:sz w:val="24"/>
      <w:szCs w:val="24"/>
    </w:rPr>
  </w:style>
  <w:style w:type="character" w:customStyle="1" w:styleId="31">
    <w:name w:val="标题 6 字符"/>
    <w:basedOn w:val="22"/>
    <w:link w:val="7"/>
    <w:semiHidden/>
    <w:qFormat/>
    <w:uiPriority w:val="9"/>
    <w:rPr>
      <w:rFonts w:cstheme="majorBidi"/>
      <w:b/>
      <w:bCs/>
      <w:color w:val="376092" w:themeColor="accent1" w:themeShade="BF"/>
    </w:rPr>
  </w:style>
  <w:style w:type="character" w:customStyle="1" w:styleId="32">
    <w:name w:val="标题 7 字符"/>
    <w:basedOn w:val="22"/>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3">
    <w:name w:val="标题 8 字符"/>
    <w:basedOn w:val="22"/>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4">
    <w:name w:val="标题 9 字符"/>
    <w:basedOn w:val="22"/>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5">
    <w:name w:val="副标题 字符"/>
    <w:basedOn w:val="22"/>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引用 字符"/>
    <w:basedOn w:val="22"/>
    <w:link w:val="36"/>
    <w:qFormat/>
    <w:uiPriority w:val="29"/>
    <w:rPr>
      <w:i/>
      <w:iCs/>
      <w:color w:val="404040" w:themeColor="text1" w:themeTint="BF"/>
      <w14:textFill>
        <w14:solidFill>
          <w14:schemeClr w14:val="tx1">
            <w14:lumMod w14:val="75000"/>
            <w14:lumOff w14:val="25000"/>
          </w14:schemeClr>
        </w14:solidFill>
      </w14:textFill>
    </w:rPr>
  </w:style>
  <w:style w:type="paragraph" w:styleId="38">
    <w:name w:val="List Paragraph"/>
    <w:basedOn w:val="1"/>
    <w:qFormat/>
    <w:uiPriority w:val="34"/>
    <w:pPr>
      <w:ind w:left="720"/>
      <w:contextualSpacing/>
    </w:pPr>
  </w:style>
  <w:style w:type="character" w:customStyle="1" w:styleId="39">
    <w:name w:val="明显强调1"/>
    <w:basedOn w:val="22"/>
    <w:qFormat/>
    <w:uiPriority w:val="21"/>
    <w:rPr>
      <w:i/>
      <w:iCs/>
      <w:color w:val="376092" w:themeColor="accent1" w:themeShade="BF"/>
    </w:rPr>
  </w:style>
  <w:style w:type="paragraph" w:styleId="40">
    <w:name w:val="Intense Quote"/>
    <w:basedOn w:val="1"/>
    <w:next w:val="1"/>
    <w:link w:val="41"/>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41">
    <w:name w:val="明显引用 字符"/>
    <w:basedOn w:val="22"/>
    <w:link w:val="40"/>
    <w:qFormat/>
    <w:uiPriority w:val="30"/>
    <w:rPr>
      <w:i/>
      <w:iCs/>
      <w:color w:val="376092" w:themeColor="accent1" w:themeShade="BF"/>
    </w:rPr>
  </w:style>
  <w:style w:type="character" w:customStyle="1" w:styleId="42">
    <w:name w:val="明显参考1"/>
    <w:basedOn w:val="22"/>
    <w:qFormat/>
    <w:uiPriority w:val="32"/>
    <w:rPr>
      <w:b/>
      <w:bCs/>
      <w:smallCaps/>
      <w:color w:val="376092" w:themeColor="accent1" w:themeShade="BF"/>
      <w:spacing w:val="5"/>
    </w:rPr>
  </w:style>
  <w:style w:type="character" w:customStyle="1" w:styleId="43">
    <w:name w:val="页眉 字符"/>
    <w:basedOn w:val="22"/>
    <w:link w:val="15"/>
    <w:qFormat/>
    <w:uiPriority w:val="99"/>
    <w:rPr>
      <w:sz w:val="18"/>
      <w:szCs w:val="18"/>
    </w:rPr>
  </w:style>
  <w:style w:type="character" w:customStyle="1" w:styleId="44">
    <w:name w:val="页脚 字符"/>
    <w:basedOn w:val="22"/>
    <w:link w:val="14"/>
    <w:qFormat/>
    <w:uiPriority w:val="99"/>
    <w:rPr>
      <w:sz w:val="18"/>
      <w:szCs w:val="18"/>
    </w:rPr>
  </w:style>
  <w:style w:type="character" w:customStyle="1" w:styleId="45">
    <w:name w:val="正文文本缩进 字符"/>
    <w:basedOn w:val="22"/>
    <w:link w:val="13"/>
    <w:semiHidden/>
    <w:qFormat/>
    <w:uiPriority w:val="99"/>
    <w:rPr>
      <w:rFonts w:ascii="Times New Roman" w:hAnsi="Times New Roman" w:eastAsia="宋体" w:cs="Times New Roman"/>
      <w:sz w:val="21"/>
      <w:szCs w:val="20"/>
    </w:rPr>
  </w:style>
  <w:style w:type="character" w:customStyle="1" w:styleId="46">
    <w:name w:val="正文文本首行缩进 2 字符"/>
    <w:basedOn w:val="45"/>
    <w:link w:val="20"/>
    <w:qFormat/>
    <w:uiPriority w:val="0"/>
    <w:rPr>
      <w:rFonts w:ascii="Calibri" w:hAnsi="Calibri" w:eastAsia="宋体" w:cs="Times New Roman"/>
      <w:sz w:val="28"/>
      <w:szCs w:val="20"/>
    </w:rPr>
  </w:style>
  <w:style w:type="character" w:customStyle="1" w:styleId="47">
    <w:name w:val="正文文本 字符"/>
    <w:basedOn w:val="22"/>
    <w:link w:val="12"/>
    <w:semiHidden/>
    <w:qFormat/>
    <w:uiPriority w:val="99"/>
    <w:rPr>
      <w:rFonts w:ascii="Times New Roman" w:hAnsi="Times New Roman" w:eastAsia="宋体" w:cs="Times New Roman"/>
      <w:sz w:val="21"/>
      <w:szCs w:val="20"/>
    </w:rPr>
  </w:style>
  <w:style w:type="character" w:customStyle="1" w:styleId="48">
    <w:name w:val="正文文本首行缩进 字符"/>
    <w:basedOn w:val="47"/>
    <w:link w:val="19"/>
    <w:qFormat/>
    <w:uiPriority w:val="0"/>
    <w:rPr>
      <w:rFonts w:ascii="宋体" w:hAnsi="宋体" w:eastAsia="仿宋" w:cs="Times New Roman"/>
      <w:sz w:val="32"/>
      <w:szCs w:val="24"/>
      <w:lang w:eastAsia="en-US"/>
    </w:rPr>
  </w:style>
  <w:style w:type="character" w:customStyle="1" w:styleId="49">
    <w:name w:val="样式3"/>
    <w:basedOn w:val="22"/>
    <w:qFormat/>
    <w:uiPriority w:val="1"/>
    <w:rPr>
      <w:rFonts w:eastAsia="宋体"/>
      <w:b/>
      <w:color w:val="FF0000"/>
      <w:sz w:val="21"/>
    </w:rPr>
  </w:style>
  <w:style w:type="character" w:customStyle="1" w:styleId="50">
    <w:name w:val="未处理的提及1"/>
    <w:basedOn w:val="22"/>
    <w:semiHidden/>
    <w:unhideWhenUsed/>
    <w:qFormat/>
    <w:uiPriority w:val="99"/>
    <w:rPr>
      <w:color w:val="605E5C"/>
      <w:shd w:val="clear" w:color="auto" w:fill="E1DFDD"/>
    </w:rPr>
  </w:style>
  <w:style w:type="paragraph" w:customStyle="1" w:styleId="51">
    <w:name w:val="修订1"/>
    <w:hidden/>
    <w:semiHidden/>
    <w:qFormat/>
    <w:uiPriority w:val="99"/>
    <w:rPr>
      <w:rFonts w:ascii="Times New Roman" w:hAnsi="Times New Roman" w:eastAsia="宋体" w:cs="Times New Roman"/>
      <w:kern w:val="2"/>
      <w:sz w:val="21"/>
      <w:lang w:val="en-US" w:eastAsia="zh-CN" w:bidi="ar-SA"/>
    </w:rPr>
  </w:style>
  <w:style w:type="character" w:customStyle="1" w:styleId="52">
    <w:name w:val="批注文字 字符"/>
    <w:basedOn w:val="22"/>
    <w:link w:val="11"/>
    <w:semiHidden/>
    <w:qFormat/>
    <w:uiPriority w:val="99"/>
    <w:rPr>
      <w:rFonts w:ascii="Times New Roman" w:hAnsi="Times New Roman" w:eastAsia="宋体" w:cs="Times New Roman"/>
      <w:sz w:val="21"/>
      <w:szCs w:val="20"/>
    </w:rPr>
  </w:style>
  <w:style w:type="character" w:customStyle="1" w:styleId="53">
    <w:name w:val="批注主题 字符"/>
    <w:basedOn w:val="52"/>
    <w:link w:val="18"/>
    <w:semiHidden/>
    <w:qFormat/>
    <w:uiPriority w:val="99"/>
    <w:rPr>
      <w:rFonts w:ascii="Times New Roman" w:hAnsi="Times New Roman" w:eastAsia="宋体" w:cs="Times New Roman"/>
      <w:b/>
      <w:bCs/>
      <w:sz w:val="21"/>
      <w:szCs w:val="20"/>
    </w:rPr>
  </w:style>
  <w:style w:type="paragraph" w:customStyle="1" w:styleId="54">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55">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855</Words>
  <Characters>884</Characters>
  <Lines>6</Lines>
  <Paragraphs>1</Paragraphs>
  <TotalTime>1</TotalTime>
  <ScaleCrop>false</ScaleCrop>
  <LinksUpToDate>false</LinksUpToDate>
  <CharactersWithSpaces>884</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2025-12-31T10:17:00Z</dcterms:created>
  <dc:creator>sse</dc:creator>
  <cp:lastModifiedBy>whxu</cp:lastModifiedBy>
  <dcterms:modified xsi:type="dcterms:W3CDTF">2025-12-31T14:55:15Z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20D88DED53B54138994BD1BEF59B08E4_13</vt:lpwstr>
  </property>
  <property fmtid="{D5CDD505-2E9C-101B-9397-08002B2CF9AE}" pid="4" name="KSOTemplateDocerSaveRecord">
    <vt:lpwstr>eyJoZGlkIjoiN2YzNjBkOTgyNWQ1YTMxYzM3MzMwNWFiODNmOWIzYWMiLCJ1c2VySWQiOiIzMDE3OTU1NTEifQ==</vt:lpwstr>
  </property>
</Properties>
</file>