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B710" w14:textId="77777777" w:rsidR="005C45E9" w:rsidRDefault="005C45E9">
      <w:pPr>
        <w:adjustRightInd w:val="0"/>
        <w:snapToGrid w:val="0"/>
        <w:spacing w:line="560" w:lineRule="exact"/>
        <w:jc w:val="left"/>
        <w:rPr>
          <w:rFonts w:eastAsia="方正大标宋简体"/>
          <w:bCs/>
          <w:sz w:val="32"/>
          <w:szCs w:val="32"/>
          <w:lang w:eastAsia="zh"/>
        </w:rPr>
      </w:pPr>
    </w:p>
    <w:p w14:paraId="390C9FE7" w14:textId="77777777" w:rsidR="005C45E9" w:rsidRDefault="00000000">
      <w:pPr>
        <w:spacing w:line="560" w:lineRule="exact"/>
        <w:jc w:val="center"/>
        <w:rPr>
          <w:rFonts w:eastAsia="方正大标宋简体"/>
          <w:bCs/>
          <w:sz w:val="44"/>
          <w:szCs w:val="44"/>
        </w:rPr>
      </w:pPr>
      <w:r>
        <w:rPr>
          <w:rFonts w:eastAsia="方正大标宋简体"/>
          <w:bCs/>
          <w:sz w:val="44"/>
          <w:szCs w:val="44"/>
        </w:rPr>
        <w:t>上海证券交易所公开募集</w:t>
      </w:r>
      <w:r>
        <w:rPr>
          <w:rFonts w:eastAsia="方正大标宋简体" w:hint="eastAsia"/>
          <w:bCs/>
          <w:sz w:val="44"/>
          <w:szCs w:val="44"/>
        </w:rPr>
        <w:t>不动产</w:t>
      </w:r>
      <w:r>
        <w:rPr>
          <w:rFonts w:eastAsia="方正大标宋简体"/>
          <w:bCs/>
          <w:sz w:val="44"/>
          <w:szCs w:val="44"/>
        </w:rPr>
        <w:t>投资</w:t>
      </w:r>
      <w:r>
        <w:rPr>
          <w:rFonts w:eastAsia="方正大标宋简体" w:hint="eastAsia"/>
          <w:bCs/>
          <w:sz w:val="44"/>
          <w:szCs w:val="44"/>
        </w:rPr>
        <w:t>信托</w:t>
      </w:r>
      <w:r>
        <w:rPr>
          <w:rFonts w:eastAsia="方正大标宋简体"/>
          <w:bCs/>
          <w:sz w:val="44"/>
          <w:szCs w:val="44"/>
        </w:rPr>
        <w:t>基金（</w:t>
      </w:r>
      <w:r>
        <w:rPr>
          <w:rFonts w:eastAsia="方正大标宋简体"/>
          <w:bCs/>
          <w:sz w:val="44"/>
          <w:szCs w:val="44"/>
        </w:rPr>
        <w:t>REITs</w:t>
      </w:r>
      <w:r>
        <w:rPr>
          <w:rFonts w:eastAsia="方正大标宋简体"/>
          <w:bCs/>
          <w:sz w:val="44"/>
          <w:szCs w:val="44"/>
        </w:rPr>
        <w:t>）规则适用指引第</w:t>
      </w:r>
      <w:r>
        <w:rPr>
          <w:rFonts w:eastAsia="方正大标宋简体"/>
          <w:bCs/>
          <w:sz w:val="44"/>
          <w:szCs w:val="44"/>
        </w:rPr>
        <w:t>1</w:t>
      </w:r>
      <w:r>
        <w:rPr>
          <w:rFonts w:eastAsia="方正大标宋简体"/>
          <w:bCs/>
          <w:sz w:val="44"/>
          <w:szCs w:val="44"/>
        </w:rPr>
        <w:t>号</w:t>
      </w:r>
      <w:r>
        <w:rPr>
          <w:rFonts w:eastAsia="方正大标宋简体"/>
          <w:bCs/>
          <w:sz w:val="44"/>
          <w:szCs w:val="44"/>
        </w:rPr>
        <w:t>——</w:t>
      </w:r>
    </w:p>
    <w:p w14:paraId="345F3883" w14:textId="77777777" w:rsidR="005C45E9" w:rsidRDefault="00000000">
      <w:pPr>
        <w:adjustRightInd w:val="0"/>
        <w:snapToGrid w:val="0"/>
        <w:spacing w:line="560" w:lineRule="exact"/>
        <w:jc w:val="center"/>
      </w:pPr>
      <w:r>
        <w:rPr>
          <w:rFonts w:eastAsia="方正大标宋简体"/>
          <w:bCs/>
          <w:sz w:val="44"/>
          <w:szCs w:val="44"/>
        </w:rPr>
        <w:t>审核关注事项（试行）</w:t>
      </w:r>
    </w:p>
    <w:p w14:paraId="4407BA07" w14:textId="77777777" w:rsidR="005C45E9" w:rsidRDefault="005C45E9">
      <w:pPr>
        <w:adjustRightInd w:val="0"/>
        <w:snapToGrid w:val="0"/>
        <w:spacing w:line="560" w:lineRule="exact"/>
        <w:jc w:val="center"/>
        <w:rPr>
          <w:rFonts w:eastAsia="黑体"/>
          <w:sz w:val="32"/>
          <w:szCs w:val="32"/>
          <w:shd w:val="clear" w:color="auto" w:fill="FFFFFF"/>
        </w:rPr>
      </w:pPr>
    </w:p>
    <w:p w14:paraId="77788079"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shd w:val="clear" w:color="auto" w:fill="FFFFFF"/>
        </w:rPr>
      </w:pPr>
      <w:r>
        <w:rPr>
          <w:rFonts w:ascii="黑体" w:eastAsia="黑体" w:hAnsi="黑体"/>
          <w:b w:val="0"/>
          <w:bCs w:val="0"/>
          <w:sz w:val="32"/>
          <w:szCs w:val="32"/>
          <w:lang w:val="zh-CN"/>
        </w:rPr>
        <w:t>第一章</w:t>
      </w:r>
      <w:r>
        <w:rPr>
          <w:rFonts w:ascii="黑体" w:eastAsia="黑体" w:hAnsi="黑体" w:hint="eastAsia"/>
          <w:b w:val="0"/>
          <w:bCs w:val="0"/>
          <w:sz w:val="32"/>
          <w:szCs w:val="32"/>
        </w:rPr>
        <w:t xml:space="preserve">  </w:t>
      </w:r>
      <w:r>
        <w:rPr>
          <w:rFonts w:ascii="黑体" w:eastAsia="黑体" w:hAnsi="黑体"/>
          <w:b w:val="0"/>
          <w:bCs w:val="0"/>
          <w:sz w:val="32"/>
          <w:szCs w:val="32"/>
        </w:rPr>
        <w:t>总 则</w:t>
      </w:r>
    </w:p>
    <w:p w14:paraId="64E58B4E"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为了规范公开募集</w:t>
      </w:r>
      <w:r>
        <w:rPr>
          <w:rFonts w:eastAsia="仿宋_GB2312" w:hint="eastAsia"/>
          <w:bCs/>
          <w:sz w:val="32"/>
          <w:szCs w:val="32"/>
        </w:rPr>
        <w:t>不动产</w:t>
      </w:r>
      <w:r>
        <w:rPr>
          <w:rFonts w:eastAsia="仿宋_GB2312"/>
          <w:bCs/>
          <w:sz w:val="32"/>
          <w:szCs w:val="32"/>
        </w:rPr>
        <w:t>投资</w:t>
      </w:r>
      <w:r>
        <w:rPr>
          <w:rFonts w:eastAsia="仿宋_GB2312" w:hint="eastAsia"/>
          <w:bCs/>
          <w:sz w:val="32"/>
          <w:szCs w:val="32"/>
        </w:rPr>
        <w:t>信托</w:t>
      </w:r>
      <w:r>
        <w:rPr>
          <w:rFonts w:eastAsia="仿宋_GB2312"/>
          <w:bCs/>
          <w:sz w:val="32"/>
          <w:szCs w:val="32"/>
        </w:rPr>
        <w:t>基金（以下简称</w:t>
      </w:r>
      <w:r>
        <w:rPr>
          <w:rFonts w:eastAsia="仿宋_GB2312" w:hint="eastAsia"/>
          <w:bCs/>
          <w:sz w:val="32"/>
          <w:szCs w:val="32"/>
        </w:rPr>
        <w:t>不动产基</w:t>
      </w:r>
      <w:r>
        <w:rPr>
          <w:rFonts w:eastAsia="仿宋_GB2312"/>
          <w:bCs/>
          <w:sz w:val="32"/>
          <w:szCs w:val="32"/>
        </w:rPr>
        <w:t>金）上市申请</w:t>
      </w:r>
      <w:r>
        <w:rPr>
          <w:rFonts w:eastAsia="仿宋_GB2312" w:hint="eastAsia"/>
          <w:bCs/>
          <w:sz w:val="32"/>
          <w:szCs w:val="32"/>
        </w:rPr>
        <w:t>以及不动产</w:t>
      </w:r>
      <w:r>
        <w:rPr>
          <w:rFonts w:eastAsia="仿宋_GB2312"/>
          <w:bCs/>
          <w:sz w:val="32"/>
          <w:szCs w:val="32"/>
        </w:rPr>
        <w:t>资产支持证券挂牌条件确认业务，提高申请文件质量，保护投资者合法权益，根据《上海证券交易所公开募集</w:t>
      </w:r>
      <w:r>
        <w:rPr>
          <w:rFonts w:eastAsia="仿宋_GB2312" w:hint="eastAsia"/>
          <w:bCs/>
          <w:sz w:val="32"/>
          <w:szCs w:val="32"/>
        </w:rPr>
        <w:t>不动产</w:t>
      </w:r>
      <w:r>
        <w:rPr>
          <w:rFonts w:eastAsia="仿宋_GB2312"/>
          <w:bCs/>
          <w:sz w:val="32"/>
          <w:szCs w:val="32"/>
        </w:rPr>
        <w:t>投资</w:t>
      </w:r>
      <w:r>
        <w:rPr>
          <w:rFonts w:eastAsia="仿宋_GB2312" w:hint="eastAsia"/>
          <w:bCs/>
          <w:sz w:val="32"/>
          <w:szCs w:val="32"/>
        </w:rPr>
        <w:t>信托</w:t>
      </w:r>
      <w:r>
        <w:rPr>
          <w:rFonts w:eastAsia="仿宋_GB2312"/>
          <w:bCs/>
          <w:sz w:val="32"/>
          <w:szCs w:val="32"/>
        </w:rPr>
        <w:t>基金（</w:t>
      </w:r>
      <w:r>
        <w:rPr>
          <w:rFonts w:eastAsia="仿宋_GB2312"/>
          <w:bCs/>
          <w:sz w:val="32"/>
          <w:szCs w:val="32"/>
        </w:rPr>
        <w:t>REITs</w:t>
      </w:r>
      <w:r>
        <w:rPr>
          <w:rFonts w:eastAsia="仿宋_GB2312"/>
          <w:bCs/>
          <w:sz w:val="32"/>
          <w:szCs w:val="32"/>
        </w:rPr>
        <w:t>）业务办法</w:t>
      </w:r>
      <w:r>
        <w:rPr>
          <w:rFonts w:eastAsia="仿宋_GB2312" w:hint="eastAsia"/>
          <w:bCs/>
          <w:sz w:val="32"/>
          <w:szCs w:val="32"/>
        </w:rPr>
        <w:t>（试行）</w:t>
      </w:r>
      <w:r>
        <w:rPr>
          <w:rFonts w:eastAsia="仿宋_GB2312"/>
          <w:bCs/>
          <w:sz w:val="32"/>
          <w:szCs w:val="32"/>
        </w:rPr>
        <w:t>》等规定，制定本指引。</w:t>
      </w:r>
    </w:p>
    <w:p w14:paraId="551E1829"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基金管理人向上海证券交易所（以下简称本所）申请</w:t>
      </w:r>
      <w:r>
        <w:rPr>
          <w:rFonts w:eastAsia="仿宋_GB2312" w:hint="eastAsia"/>
          <w:bCs/>
          <w:sz w:val="32"/>
          <w:szCs w:val="32"/>
        </w:rPr>
        <w:t>不动产</w:t>
      </w:r>
      <w:r>
        <w:rPr>
          <w:rFonts w:eastAsia="仿宋_GB2312"/>
          <w:bCs/>
          <w:sz w:val="32"/>
          <w:szCs w:val="32"/>
        </w:rPr>
        <w:t>基金上市的审核、资产支持证券管理人向本所申请</w:t>
      </w:r>
      <w:r>
        <w:rPr>
          <w:rFonts w:eastAsia="仿宋_GB2312" w:hint="eastAsia"/>
          <w:bCs/>
          <w:sz w:val="32"/>
          <w:szCs w:val="32"/>
        </w:rPr>
        <w:t>不动产</w:t>
      </w:r>
      <w:r>
        <w:rPr>
          <w:rFonts w:eastAsia="仿宋_GB2312"/>
          <w:bCs/>
          <w:sz w:val="32"/>
          <w:szCs w:val="32"/>
        </w:rPr>
        <w:t>资产支持证券挂牌条件的确认事宜，适用本指引。</w:t>
      </w:r>
    </w:p>
    <w:p w14:paraId="7E91BB2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除特别规定外，本指引所称管理人指基金管理人和资产支持证券管理人。</w:t>
      </w:r>
    </w:p>
    <w:p w14:paraId="37C5B457"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为不动产基金、不动产资产支持证券提供服务的</w:t>
      </w:r>
      <w:r>
        <w:rPr>
          <w:rFonts w:eastAsia="仿宋_GB2312"/>
          <w:bCs/>
          <w:sz w:val="32"/>
          <w:szCs w:val="32"/>
        </w:rPr>
        <w:t>管理人、财务顾问、会计师事务所、律师事务所、资产评估机构等专业机构</w:t>
      </w:r>
      <w:r>
        <w:rPr>
          <w:rFonts w:eastAsia="仿宋_GB2312" w:hint="eastAsia"/>
          <w:bCs/>
          <w:sz w:val="32"/>
          <w:szCs w:val="32"/>
        </w:rPr>
        <w:t>及其人员，</w:t>
      </w:r>
      <w:r>
        <w:rPr>
          <w:rFonts w:eastAsia="仿宋_GB2312"/>
          <w:bCs/>
          <w:sz w:val="32"/>
          <w:szCs w:val="32"/>
        </w:rPr>
        <w:t>应当勤勉尽责，严格遵守</w:t>
      </w:r>
      <w:r>
        <w:rPr>
          <w:rFonts w:eastAsia="仿宋_GB2312" w:hint="eastAsia"/>
          <w:bCs/>
          <w:sz w:val="32"/>
          <w:szCs w:val="32"/>
        </w:rPr>
        <w:t>执业规范和监管规则</w:t>
      </w:r>
      <w:bookmarkStart w:id="0" w:name="OLE_LINK1"/>
      <w:r>
        <w:rPr>
          <w:rFonts w:eastAsia="仿宋_GB2312"/>
          <w:bCs/>
          <w:sz w:val="32"/>
          <w:szCs w:val="32"/>
        </w:rPr>
        <w:t>，按照规定和约定履行义务，</w:t>
      </w:r>
      <w:bookmarkEnd w:id="0"/>
      <w:r>
        <w:rPr>
          <w:rFonts w:eastAsia="仿宋_GB2312" w:hint="eastAsia"/>
          <w:bCs/>
          <w:sz w:val="32"/>
          <w:szCs w:val="32"/>
        </w:rPr>
        <w:t>保证其</w:t>
      </w:r>
      <w:r>
        <w:rPr>
          <w:rFonts w:eastAsia="仿宋_GB2312"/>
          <w:bCs/>
          <w:sz w:val="32"/>
          <w:szCs w:val="32"/>
        </w:rPr>
        <w:t>出具的文件和专业意见真实、准确、完整，不存在虚假记载、误导性陈述或者重大遗漏。</w:t>
      </w:r>
    </w:p>
    <w:p w14:paraId="36A43A1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招募说明书等信息披露文件应当真实、准确、完整，简明清晰，通俗易懂，具有可读性和可理解性。本指引的</w:t>
      </w:r>
      <w:r>
        <w:rPr>
          <w:rFonts w:eastAsia="仿宋_GB2312"/>
          <w:bCs/>
          <w:sz w:val="32"/>
          <w:szCs w:val="32"/>
        </w:rPr>
        <w:lastRenderedPageBreak/>
        <w:t>规定是对申请文件信息披露以及核查的基本要求，本指引未作规定，但对投资者</w:t>
      </w:r>
      <w:proofErr w:type="gramStart"/>
      <w:r>
        <w:rPr>
          <w:rFonts w:eastAsia="仿宋_GB2312"/>
          <w:bCs/>
          <w:sz w:val="32"/>
          <w:szCs w:val="32"/>
        </w:rPr>
        <w:t>作出</w:t>
      </w:r>
      <w:proofErr w:type="gramEnd"/>
      <w:r>
        <w:rPr>
          <w:rFonts w:eastAsia="仿宋_GB2312"/>
          <w:bCs/>
          <w:sz w:val="32"/>
          <w:szCs w:val="32"/>
        </w:rPr>
        <w:t>价值判断和投资决策所必需的信息，均</w:t>
      </w:r>
      <w:r>
        <w:rPr>
          <w:rFonts w:eastAsia="仿宋_GB2312" w:hint="eastAsia"/>
          <w:bCs/>
          <w:sz w:val="32"/>
          <w:szCs w:val="32"/>
        </w:rPr>
        <w:t>应当</w:t>
      </w:r>
      <w:r>
        <w:rPr>
          <w:rFonts w:eastAsia="仿宋_GB2312"/>
          <w:bCs/>
          <w:sz w:val="32"/>
          <w:szCs w:val="32"/>
        </w:rPr>
        <w:t>披露</w:t>
      </w:r>
      <w:r>
        <w:rPr>
          <w:rFonts w:eastAsia="仿宋_GB2312" w:hint="eastAsia"/>
          <w:bCs/>
          <w:sz w:val="32"/>
          <w:szCs w:val="32"/>
        </w:rPr>
        <w:t>。本指引某些具体要求确实不适用的，管理人可以根据实际情况，在不影响相关内容完整性前提下作适当调整，并</w:t>
      </w:r>
      <w:proofErr w:type="gramStart"/>
      <w:r>
        <w:rPr>
          <w:rFonts w:eastAsia="仿宋_GB2312" w:hint="eastAsia"/>
          <w:bCs/>
          <w:sz w:val="32"/>
          <w:szCs w:val="32"/>
        </w:rPr>
        <w:t>作出</w:t>
      </w:r>
      <w:proofErr w:type="gramEnd"/>
      <w:r>
        <w:rPr>
          <w:rFonts w:eastAsia="仿宋_GB2312" w:hint="eastAsia"/>
          <w:bCs/>
          <w:sz w:val="32"/>
          <w:szCs w:val="32"/>
        </w:rPr>
        <w:t>说明</w:t>
      </w:r>
      <w:r>
        <w:rPr>
          <w:rFonts w:eastAsia="仿宋_GB2312"/>
          <w:bCs/>
          <w:sz w:val="32"/>
          <w:szCs w:val="32"/>
        </w:rPr>
        <w:t>。</w:t>
      </w:r>
    </w:p>
    <w:p w14:paraId="5556091B"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基金托管人等信息披露义务人拟披露的信息被依法认定为国家秘密等，及时披露或者履行相关义务可能导致违反法律法规、危害国家安全、损害信息披露义务人或者相关方合法权益的，可以免于按照本所有关规定披露或者履行相关义务。</w:t>
      </w:r>
    </w:p>
    <w:p w14:paraId="60A82ED8" w14:textId="77777777" w:rsidR="005C45E9" w:rsidRDefault="00000000">
      <w:pPr>
        <w:pStyle w:val="Style3"/>
        <w:adjustRightInd w:val="0"/>
        <w:snapToGrid w:val="0"/>
        <w:spacing w:line="560" w:lineRule="exact"/>
        <w:ind w:firstLine="707"/>
        <w:rPr>
          <w:rFonts w:eastAsia="仿宋_GB2312"/>
          <w:bCs/>
          <w:sz w:val="32"/>
          <w:szCs w:val="32"/>
        </w:rPr>
      </w:pPr>
      <w:r>
        <w:rPr>
          <w:rFonts w:eastAsia="仿宋_GB2312"/>
          <w:bCs/>
          <w:sz w:val="32"/>
          <w:szCs w:val="32"/>
        </w:rPr>
        <w:t>信息披露义务人拟披露的信息存在不确定性、属于商业秘密等，及时披露或者履行相关义务可能导致违反法律法规、引致不正当竞争、损害信息披露义务人或者相关方合法权益的，可以暂缓或者免于按照本所有关规定披露或者履行相关义务。</w:t>
      </w:r>
    </w:p>
    <w:p w14:paraId="2F19ECBC"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本所对</w:t>
      </w:r>
      <w:r>
        <w:rPr>
          <w:rFonts w:eastAsia="仿宋_GB2312" w:hint="eastAsia"/>
          <w:bCs/>
          <w:sz w:val="32"/>
          <w:szCs w:val="32"/>
        </w:rPr>
        <w:t>不动产基金上市和不动产</w:t>
      </w:r>
      <w:r>
        <w:rPr>
          <w:rFonts w:eastAsia="仿宋_GB2312"/>
          <w:bCs/>
          <w:sz w:val="32"/>
          <w:szCs w:val="32"/>
        </w:rPr>
        <w:t>资产支持证券挂牌出具的意见，不表明本所对</w:t>
      </w:r>
      <w:r>
        <w:rPr>
          <w:rFonts w:eastAsia="仿宋_GB2312" w:hint="eastAsia"/>
          <w:bCs/>
          <w:sz w:val="32"/>
          <w:szCs w:val="32"/>
        </w:rPr>
        <w:t>该产品</w:t>
      </w:r>
      <w:r>
        <w:rPr>
          <w:rFonts w:eastAsia="仿宋_GB2312"/>
          <w:bCs/>
          <w:sz w:val="32"/>
          <w:szCs w:val="32"/>
        </w:rPr>
        <w:t>的投资风险或者收益等</w:t>
      </w:r>
      <w:proofErr w:type="gramStart"/>
      <w:r>
        <w:rPr>
          <w:rFonts w:eastAsia="仿宋_GB2312"/>
          <w:bCs/>
          <w:sz w:val="32"/>
          <w:szCs w:val="32"/>
        </w:rPr>
        <w:t>作出</w:t>
      </w:r>
      <w:proofErr w:type="gramEnd"/>
      <w:r>
        <w:rPr>
          <w:rFonts w:eastAsia="仿宋_GB2312"/>
          <w:bCs/>
          <w:sz w:val="32"/>
          <w:szCs w:val="32"/>
        </w:rPr>
        <w:t>判断或者保证。</w:t>
      </w:r>
      <w:r>
        <w:rPr>
          <w:rFonts w:eastAsia="仿宋_GB2312" w:hint="eastAsia"/>
          <w:bCs/>
          <w:sz w:val="32"/>
          <w:szCs w:val="32"/>
        </w:rPr>
        <w:t>不动产基金、不动产资产支持证券的投资风险，由投资者自行判断和承担。</w:t>
      </w:r>
    </w:p>
    <w:p w14:paraId="109BC117"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lang w:val="zh-CN"/>
        </w:rPr>
      </w:pPr>
      <w:r>
        <w:rPr>
          <w:rFonts w:ascii="黑体" w:eastAsia="黑体" w:hAnsi="黑体"/>
          <w:b w:val="0"/>
          <w:bCs w:val="0"/>
          <w:sz w:val="32"/>
          <w:szCs w:val="32"/>
          <w:lang w:val="zh-CN"/>
        </w:rPr>
        <w:t>第二章 业务参与人</w:t>
      </w:r>
    </w:p>
    <w:p w14:paraId="424B4C33" w14:textId="77777777" w:rsidR="005C45E9" w:rsidRDefault="00000000">
      <w:pPr>
        <w:pStyle w:val="Style3"/>
        <w:numPr>
          <w:ilvl w:val="0"/>
          <w:numId w:val="2"/>
        </w:numPr>
        <w:adjustRightInd w:val="0"/>
        <w:snapToGrid w:val="0"/>
        <w:spacing w:line="560" w:lineRule="exact"/>
        <w:rPr>
          <w:rFonts w:eastAsia="仿宋_GB2312"/>
          <w:sz w:val="32"/>
          <w:szCs w:val="21"/>
        </w:rPr>
      </w:pPr>
      <w:r>
        <w:rPr>
          <w:rFonts w:eastAsia="仿宋_GB2312" w:hint="eastAsia"/>
          <w:sz w:val="32"/>
          <w:szCs w:val="21"/>
        </w:rPr>
        <w:t>拟任基金管理人、基金托管人应当符合</w:t>
      </w:r>
      <w:r>
        <w:rPr>
          <w:rFonts w:eastAsia="仿宋_GB2312" w:hint="eastAsia"/>
          <w:bCs/>
          <w:sz w:val="32"/>
          <w:szCs w:val="32"/>
        </w:rPr>
        <w:t>有关法律法规</w:t>
      </w:r>
      <w:r>
        <w:rPr>
          <w:rFonts w:eastAsia="仿宋_GB2312" w:hint="eastAsia"/>
          <w:sz w:val="32"/>
          <w:szCs w:val="21"/>
        </w:rPr>
        <w:t>规定的条件和要求。拟任资产支持证券管理人、资产支持证券托管人应当符合《</w:t>
      </w:r>
      <w:r>
        <w:rPr>
          <w:rFonts w:eastAsia="仿宋_GB2312" w:hint="eastAsia"/>
          <w:bCs/>
          <w:sz w:val="32"/>
          <w:szCs w:val="32"/>
        </w:rPr>
        <w:t>证券公司及基金管理公司子公司</w:t>
      </w:r>
      <w:r>
        <w:rPr>
          <w:rFonts w:eastAsia="仿宋_GB2312" w:hint="eastAsia"/>
          <w:sz w:val="32"/>
          <w:szCs w:val="21"/>
        </w:rPr>
        <w:t>资产证券化业务管理规定》以及本所资产支持证券有关业务规则规定的条件和要求。</w:t>
      </w:r>
    </w:p>
    <w:p w14:paraId="5DB706E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拟任基金管理人与资产支持证券管理人应当具有实际控制关系或者受同</w:t>
      </w:r>
      <w:proofErr w:type="gramStart"/>
      <w:r>
        <w:rPr>
          <w:rFonts w:eastAsia="仿宋_GB2312"/>
          <w:bCs/>
          <w:sz w:val="32"/>
          <w:szCs w:val="32"/>
        </w:rPr>
        <w:t>一控制</w:t>
      </w:r>
      <w:proofErr w:type="gramEnd"/>
      <w:r>
        <w:rPr>
          <w:rFonts w:eastAsia="仿宋_GB2312"/>
          <w:bCs/>
          <w:sz w:val="32"/>
          <w:szCs w:val="32"/>
        </w:rPr>
        <w:t>人控制。拟任基金托管人与资产支持证券托管人应当为同一主体。</w:t>
      </w:r>
    </w:p>
    <w:p w14:paraId="518FFB72"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原始权益人应当符合下列条件：</w:t>
      </w:r>
    </w:p>
    <w:p w14:paraId="1BAE1B1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（一）依法设立且</w:t>
      </w:r>
      <w:r>
        <w:rPr>
          <w:rFonts w:eastAsia="仿宋_GB2312" w:hint="eastAsia"/>
          <w:bCs/>
          <w:sz w:val="32"/>
          <w:szCs w:val="32"/>
        </w:rPr>
        <w:t>合法</w:t>
      </w:r>
      <w:r>
        <w:rPr>
          <w:rFonts w:eastAsia="仿宋_GB2312"/>
          <w:bCs/>
          <w:sz w:val="32"/>
          <w:szCs w:val="32"/>
        </w:rPr>
        <w:t>存续；</w:t>
      </w:r>
    </w:p>
    <w:p w14:paraId="0152BAB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w:t>
      </w:r>
      <w:r>
        <w:rPr>
          <w:rFonts w:eastAsia="仿宋_GB2312" w:hint="eastAsia"/>
          <w:bCs/>
          <w:sz w:val="32"/>
          <w:szCs w:val="32"/>
        </w:rPr>
        <w:t>享有不动产</w:t>
      </w:r>
      <w:r>
        <w:rPr>
          <w:rFonts w:eastAsia="仿宋_GB2312"/>
          <w:bCs/>
          <w:sz w:val="32"/>
          <w:szCs w:val="32"/>
        </w:rPr>
        <w:t>项目完全所有权或者经营权利，不存在重大权属纠纷或者争议；</w:t>
      </w:r>
    </w:p>
    <w:p w14:paraId="5DD1EB8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（三）主要原始权益人信用稳健</w:t>
      </w:r>
      <w:r>
        <w:rPr>
          <w:rFonts w:eastAsia="仿宋_GB2312" w:hint="eastAsia"/>
          <w:bCs/>
          <w:sz w:val="32"/>
          <w:szCs w:val="32"/>
        </w:rPr>
        <w:t>、</w:t>
      </w:r>
      <w:r>
        <w:rPr>
          <w:rFonts w:eastAsia="仿宋_GB2312"/>
          <w:bCs/>
          <w:sz w:val="32"/>
          <w:szCs w:val="32"/>
        </w:rPr>
        <w:t>控制权稳定</w:t>
      </w:r>
      <w:r>
        <w:rPr>
          <w:rFonts w:eastAsia="仿宋_GB2312" w:hint="eastAsia"/>
          <w:bCs/>
          <w:sz w:val="32"/>
          <w:szCs w:val="32"/>
        </w:rPr>
        <w:t>、</w:t>
      </w:r>
      <w:r>
        <w:rPr>
          <w:rFonts w:eastAsia="仿宋_GB2312"/>
          <w:bCs/>
          <w:sz w:val="32"/>
          <w:szCs w:val="32"/>
        </w:rPr>
        <w:t>内部</w:t>
      </w:r>
      <w:r>
        <w:rPr>
          <w:rFonts w:eastAsia="仿宋_GB2312" w:hint="eastAsia"/>
          <w:bCs/>
          <w:sz w:val="32"/>
          <w:szCs w:val="32"/>
        </w:rPr>
        <w:t>治理机制</w:t>
      </w:r>
      <w:r>
        <w:rPr>
          <w:rFonts w:eastAsia="仿宋_GB2312"/>
          <w:bCs/>
          <w:sz w:val="32"/>
          <w:szCs w:val="32"/>
        </w:rPr>
        <w:t>健全</w:t>
      </w:r>
      <w:r>
        <w:rPr>
          <w:rFonts w:eastAsia="仿宋_GB2312" w:hint="eastAsia"/>
          <w:bCs/>
          <w:sz w:val="32"/>
          <w:szCs w:val="32"/>
        </w:rPr>
        <w:t>、</w:t>
      </w:r>
      <w:r>
        <w:rPr>
          <w:rFonts w:eastAsia="仿宋_GB2312"/>
          <w:bCs/>
          <w:sz w:val="32"/>
          <w:szCs w:val="32"/>
        </w:rPr>
        <w:t>具有持续经营能力</w:t>
      </w:r>
      <w:r>
        <w:rPr>
          <w:rFonts w:eastAsia="仿宋_GB2312" w:hint="eastAsia"/>
          <w:bCs/>
          <w:sz w:val="32"/>
          <w:szCs w:val="32"/>
        </w:rPr>
        <w:t>、</w:t>
      </w:r>
      <w:r>
        <w:rPr>
          <w:rFonts w:eastAsia="仿宋_GB2312"/>
          <w:bCs/>
          <w:sz w:val="32"/>
          <w:szCs w:val="32"/>
        </w:rPr>
        <w:t>最近</w:t>
      </w:r>
      <w:r>
        <w:rPr>
          <w:rFonts w:eastAsia="仿宋_GB2312" w:hint="eastAsia"/>
          <w:bCs/>
          <w:sz w:val="32"/>
          <w:szCs w:val="32"/>
        </w:rPr>
        <w:t>3</w:t>
      </w:r>
      <w:r>
        <w:rPr>
          <w:rFonts w:eastAsia="仿宋_GB2312"/>
          <w:bCs/>
          <w:sz w:val="32"/>
          <w:szCs w:val="32"/>
        </w:rPr>
        <w:t>年（未满</w:t>
      </w:r>
      <w:r>
        <w:rPr>
          <w:rFonts w:eastAsia="仿宋_GB2312" w:hint="eastAsia"/>
          <w:bCs/>
          <w:sz w:val="32"/>
          <w:szCs w:val="32"/>
        </w:rPr>
        <w:t>3</w:t>
      </w:r>
      <w:r>
        <w:rPr>
          <w:rFonts w:eastAsia="仿宋_GB2312"/>
          <w:bCs/>
          <w:sz w:val="32"/>
          <w:szCs w:val="32"/>
        </w:rPr>
        <w:t>年的自成立之日起，下同）不存在重大违法违规记录；</w:t>
      </w:r>
    </w:p>
    <w:p w14:paraId="5944725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（四）最近</w:t>
      </w:r>
      <w:r>
        <w:rPr>
          <w:rFonts w:eastAsia="仿宋_GB2312" w:hint="eastAsia"/>
          <w:bCs/>
          <w:sz w:val="32"/>
          <w:szCs w:val="32"/>
        </w:rPr>
        <w:t>3</w:t>
      </w:r>
      <w:r>
        <w:rPr>
          <w:rFonts w:eastAsia="仿宋_GB2312"/>
          <w:bCs/>
          <w:sz w:val="32"/>
          <w:szCs w:val="32"/>
        </w:rPr>
        <w:t>年不存在因严重违法失信行为被有权部门认定为失信被执行人、失信生产经营单位或者其他失信单位，被暂停或者限制融资的情形；</w:t>
      </w:r>
    </w:p>
    <w:p w14:paraId="31E3DEB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0DE48554"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主要原始权益人及其控股股东、实际控制人应当承诺，提供的文件资料存在隐瞒重要事实或者编造重大虚假内容等重大违法违规行为的，将购回全部基金份额或者</w:t>
      </w:r>
      <w:r>
        <w:rPr>
          <w:rFonts w:eastAsia="仿宋_GB2312" w:hint="eastAsia"/>
          <w:bCs/>
          <w:sz w:val="32"/>
          <w:szCs w:val="32"/>
        </w:rPr>
        <w:t>不动产项目</w:t>
      </w:r>
      <w:r>
        <w:rPr>
          <w:rFonts w:eastAsia="仿宋_GB2312"/>
          <w:bCs/>
          <w:sz w:val="32"/>
          <w:szCs w:val="32"/>
        </w:rPr>
        <w:t>权益。</w:t>
      </w:r>
    </w:p>
    <w:p w14:paraId="12DB8F6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原始权益人向</w:t>
      </w:r>
      <w:r>
        <w:rPr>
          <w:rFonts w:eastAsia="仿宋_GB2312" w:hint="eastAsia"/>
          <w:bCs/>
          <w:sz w:val="32"/>
          <w:szCs w:val="32"/>
        </w:rPr>
        <w:t>不动产</w:t>
      </w:r>
      <w:r>
        <w:rPr>
          <w:rFonts w:eastAsia="仿宋_GB2312"/>
          <w:bCs/>
          <w:sz w:val="32"/>
          <w:szCs w:val="32"/>
        </w:rPr>
        <w:t>基金转让项目公司股权，应当符合地方政府性债务管理规定，不得新增地方政府隐性债务。</w:t>
      </w:r>
    </w:p>
    <w:p w14:paraId="0C1847FF"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基金管理人委托</w:t>
      </w:r>
      <w:r>
        <w:rPr>
          <w:rFonts w:eastAsia="仿宋_GB2312" w:hint="eastAsia"/>
          <w:bCs/>
          <w:sz w:val="32"/>
          <w:szCs w:val="32"/>
        </w:rPr>
        <w:t>运营</w:t>
      </w:r>
      <w:r>
        <w:rPr>
          <w:rFonts w:eastAsia="仿宋_GB2312"/>
          <w:bCs/>
          <w:sz w:val="32"/>
          <w:szCs w:val="32"/>
        </w:rPr>
        <w:t>管理机构运营管理</w:t>
      </w:r>
      <w:r>
        <w:rPr>
          <w:rFonts w:eastAsia="仿宋_GB2312" w:hint="eastAsia"/>
          <w:bCs/>
          <w:sz w:val="32"/>
          <w:szCs w:val="32"/>
        </w:rPr>
        <w:t>不动产</w:t>
      </w:r>
      <w:r>
        <w:rPr>
          <w:rFonts w:eastAsia="仿宋_GB2312"/>
          <w:bCs/>
          <w:sz w:val="32"/>
          <w:szCs w:val="32"/>
        </w:rPr>
        <w:t>项目的，</w:t>
      </w:r>
      <w:r>
        <w:rPr>
          <w:rFonts w:eastAsia="仿宋_GB2312" w:hint="eastAsia"/>
          <w:bCs/>
          <w:sz w:val="32"/>
          <w:szCs w:val="32"/>
        </w:rPr>
        <w:t>运营</w:t>
      </w:r>
      <w:r>
        <w:rPr>
          <w:rFonts w:eastAsia="仿宋_GB2312"/>
          <w:bCs/>
          <w:sz w:val="32"/>
          <w:szCs w:val="32"/>
        </w:rPr>
        <w:t>管理机构应当符合</w:t>
      </w:r>
      <w:r>
        <w:rPr>
          <w:rFonts w:eastAsia="仿宋_GB2312" w:hint="eastAsia"/>
          <w:bCs/>
          <w:sz w:val="32"/>
          <w:szCs w:val="32"/>
        </w:rPr>
        <w:t>有关法律法规</w:t>
      </w:r>
      <w:r>
        <w:rPr>
          <w:rFonts w:eastAsia="仿宋_GB2312"/>
          <w:bCs/>
          <w:sz w:val="32"/>
          <w:szCs w:val="32"/>
        </w:rPr>
        <w:t>规定以及下列条件：</w:t>
      </w:r>
    </w:p>
    <w:p w14:paraId="1A8EA74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（一）具有持续经营能力；</w:t>
      </w:r>
    </w:p>
    <w:p w14:paraId="6DB3232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（二）最近</w:t>
      </w:r>
      <w:r>
        <w:rPr>
          <w:rFonts w:eastAsia="仿宋_GB2312" w:hint="eastAsia"/>
          <w:bCs/>
          <w:sz w:val="32"/>
          <w:szCs w:val="32"/>
        </w:rPr>
        <w:t>3</w:t>
      </w:r>
      <w:r>
        <w:rPr>
          <w:rFonts w:eastAsia="仿宋_GB2312"/>
          <w:bCs/>
          <w:sz w:val="32"/>
          <w:szCs w:val="32"/>
        </w:rPr>
        <w:t>年不存在重大违法违规记录；</w:t>
      </w:r>
    </w:p>
    <w:p w14:paraId="0C57A3E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（三）最近</w:t>
      </w:r>
      <w:r>
        <w:rPr>
          <w:rFonts w:eastAsia="仿宋_GB2312" w:hint="eastAsia"/>
          <w:bCs/>
          <w:sz w:val="32"/>
          <w:szCs w:val="32"/>
        </w:rPr>
        <w:t>1</w:t>
      </w:r>
      <w:r>
        <w:rPr>
          <w:rFonts w:eastAsia="仿宋_GB2312"/>
          <w:bCs/>
          <w:sz w:val="32"/>
          <w:szCs w:val="32"/>
        </w:rPr>
        <w:t>年不存在因严重违法失信行为被有权部门认定为失信被执行人、失信生产经营单位或者其他失信单位</w:t>
      </w:r>
      <w:r>
        <w:rPr>
          <w:rFonts w:eastAsia="仿宋_GB2312"/>
          <w:bCs/>
          <w:sz w:val="32"/>
          <w:szCs w:val="32"/>
          <w:lang w:eastAsia="zh"/>
        </w:rPr>
        <w:t>的情形</w:t>
      </w:r>
      <w:r>
        <w:rPr>
          <w:rFonts w:eastAsia="仿宋_GB2312"/>
          <w:bCs/>
          <w:sz w:val="32"/>
          <w:szCs w:val="32"/>
        </w:rPr>
        <w:t>；</w:t>
      </w:r>
    </w:p>
    <w:p w14:paraId="193677A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（四）中国证监会和本所规定的其他条件。</w:t>
      </w:r>
    </w:p>
    <w:p w14:paraId="5999331C"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基金管理人聘请的专业机构，应当符合</w:t>
      </w:r>
      <w:r>
        <w:rPr>
          <w:rFonts w:eastAsia="仿宋_GB2312" w:hint="eastAsia"/>
          <w:bCs/>
          <w:sz w:val="32"/>
          <w:szCs w:val="32"/>
        </w:rPr>
        <w:t>有关法律法规</w:t>
      </w:r>
      <w:r>
        <w:rPr>
          <w:rFonts w:eastAsia="仿宋_GB2312"/>
          <w:bCs/>
          <w:sz w:val="32"/>
          <w:szCs w:val="32"/>
        </w:rPr>
        <w:t>规定的条件和要求。资产支持证券管理人可以聘请相同的专业机构。</w:t>
      </w:r>
    </w:p>
    <w:p w14:paraId="654A932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管理人聘请专业机构应当遵循最少必需原则，精简产品结构，降低运营成本，提高运营效率。</w:t>
      </w:r>
    </w:p>
    <w:p w14:paraId="78FC6B80"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原始权益人使用回收资金应当符合宏观政策导向，严格遵循国家产业政策、外汇管理和有关法律法规规定。回收资金可以用于与主营业务相关的存量资产收购、新增投资，以及偿还债务、补充流动资金等，不得用于购置商品住宅用地。</w:t>
      </w:r>
    </w:p>
    <w:p w14:paraId="06B50504" w14:textId="77777777" w:rsidR="005C45E9" w:rsidRDefault="00000000">
      <w:pPr>
        <w:pStyle w:val="Style3"/>
        <w:numPr>
          <w:ilvl w:val="255"/>
          <w:numId w:val="0"/>
        </w:numPr>
        <w:adjustRightInd w:val="0"/>
        <w:snapToGrid w:val="0"/>
        <w:spacing w:line="560" w:lineRule="exact"/>
        <w:ind w:firstLineChars="200" w:firstLine="640"/>
        <w:rPr>
          <w:rFonts w:eastAsia="仿宋_GB2312"/>
          <w:bCs/>
          <w:sz w:val="32"/>
          <w:szCs w:val="32"/>
        </w:rPr>
      </w:pPr>
      <w:r>
        <w:rPr>
          <w:rFonts w:eastAsia="仿宋_GB2312" w:hint="eastAsia"/>
          <w:bCs/>
          <w:sz w:val="32"/>
          <w:szCs w:val="32"/>
        </w:rPr>
        <w:t>基金</w:t>
      </w:r>
      <w:r>
        <w:rPr>
          <w:rFonts w:eastAsia="仿宋_GB2312"/>
          <w:bCs/>
          <w:sz w:val="32"/>
          <w:szCs w:val="32"/>
        </w:rPr>
        <w:t>管理人应当披露</w:t>
      </w:r>
      <w:r>
        <w:rPr>
          <w:rFonts w:eastAsia="仿宋_GB2312" w:hint="eastAsia"/>
          <w:bCs/>
          <w:sz w:val="32"/>
          <w:szCs w:val="32"/>
        </w:rPr>
        <w:t>主要</w:t>
      </w:r>
      <w:r>
        <w:rPr>
          <w:rFonts w:eastAsia="仿宋_GB2312"/>
          <w:bCs/>
          <w:sz w:val="32"/>
          <w:szCs w:val="32"/>
        </w:rPr>
        <w:t>原始权益人对</w:t>
      </w:r>
      <w:r>
        <w:rPr>
          <w:rFonts w:eastAsia="仿宋_GB2312" w:hint="eastAsia"/>
          <w:bCs/>
          <w:sz w:val="32"/>
          <w:szCs w:val="32"/>
        </w:rPr>
        <w:t>不动产项目</w:t>
      </w:r>
      <w:r>
        <w:rPr>
          <w:rFonts w:eastAsia="仿宋_GB2312"/>
          <w:bCs/>
          <w:sz w:val="32"/>
          <w:szCs w:val="32"/>
        </w:rPr>
        <w:t>回收资金用途</w:t>
      </w:r>
      <w:proofErr w:type="gramStart"/>
      <w:r>
        <w:rPr>
          <w:rFonts w:eastAsia="仿宋_GB2312"/>
          <w:bCs/>
          <w:sz w:val="32"/>
          <w:szCs w:val="32"/>
        </w:rPr>
        <w:t>作出</w:t>
      </w:r>
      <w:proofErr w:type="gramEnd"/>
      <w:r>
        <w:rPr>
          <w:rFonts w:eastAsia="仿宋_GB2312"/>
          <w:bCs/>
          <w:sz w:val="32"/>
          <w:szCs w:val="32"/>
        </w:rPr>
        <w:t>的承诺、回收资金管理制度等。</w:t>
      </w:r>
    </w:p>
    <w:p w14:paraId="698E1323"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管理人应当披露业务参与机构之间及其与原始权益人之间是否存在关联关系或者潜在利益冲突。存在潜在利益冲突的，管理人应当设置有效的风险缓释措施。</w:t>
      </w:r>
    </w:p>
    <w:p w14:paraId="0A8117C2"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lang w:val="zh-CN"/>
        </w:rPr>
      </w:pPr>
      <w:r>
        <w:rPr>
          <w:rFonts w:ascii="黑体" w:eastAsia="黑体" w:hAnsi="黑体"/>
          <w:b w:val="0"/>
          <w:bCs w:val="0"/>
          <w:sz w:val="32"/>
          <w:szCs w:val="32"/>
          <w:lang w:val="zh-CN"/>
        </w:rPr>
        <w:t>第三章</w:t>
      </w:r>
      <w:r>
        <w:rPr>
          <w:rFonts w:ascii="黑体" w:eastAsia="黑体" w:hAnsi="黑体" w:hint="eastAsia"/>
          <w:b w:val="0"/>
          <w:bCs w:val="0"/>
          <w:sz w:val="32"/>
          <w:szCs w:val="32"/>
          <w:lang w:val="zh-CN"/>
        </w:rPr>
        <w:t xml:space="preserve"> 不动产项目</w:t>
      </w:r>
      <w:r>
        <w:rPr>
          <w:rFonts w:ascii="黑体" w:eastAsia="黑体" w:hAnsi="黑体"/>
          <w:b w:val="0"/>
          <w:bCs w:val="0"/>
          <w:sz w:val="32"/>
          <w:szCs w:val="32"/>
          <w:lang w:val="zh-CN"/>
        </w:rPr>
        <w:t>一般规定</w:t>
      </w:r>
    </w:p>
    <w:p w14:paraId="1579327D" w14:textId="77777777" w:rsidR="005C45E9" w:rsidRDefault="00000000">
      <w:pPr>
        <w:pStyle w:val="2"/>
        <w:adjustRightInd w:val="0"/>
        <w:snapToGrid w:val="0"/>
        <w:ind w:firstLine="640"/>
        <w:jc w:val="center"/>
        <w:rPr>
          <w:rFonts w:cs="楷体_GB2312" w:hint="eastAsia"/>
          <w:sz w:val="32"/>
          <w:szCs w:val="32"/>
          <w:shd w:val="clear" w:color="auto" w:fill="FFFFFF"/>
        </w:rPr>
      </w:pPr>
      <w:r>
        <w:rPr>
          <w:rFonts w:cs="楷体_GB2312" w:hint="eastAsia"/>
          <w:sz w:val="32"/>
          <w:szCs w:val="32"/>
          <w:shd w:val="clear" w:color="auto" w:fill="FFFFFF"/>
        </w:rPr>
        <w:t>第一节 准入要求</w:t>
      </w:r>
    </w:p>
    <w:p w14:paraId="6592A40C" w14:textId="77777777" w:rsidR="005C45E9" w:rsidRDefault="00000000">
      <w:pPr>
        <w:pStyle w:val="Style3"/>
        <w:numPr>
          <w:ilvl w:val="0"/>
          <w:numId w:val="2"/>
        </w:numPr>
        <w:adjustRightInd w:val="0"/>
        <w:snapToGrid w:val="0"/>
        <w:spacing w:line="560" w:lineRule="exact"/>
        <w:rPr>
          <w:rFonts w:eastAsia="仿宋_GB2312"/>
          <w:sz w:val="32"/>
          <w:szCs w:val="21"/>
        </w:rPr>
      </w:pPr>
      <w:r>
        <w:rPr>
          <w:rFonts w:eastAsia="仿宋_GB2312" w:hint="eastAsia"/>
          <w:bCs/>
          <w:sz w:val="32"/>
          <w:szCs w:val="32"/>
        </w:rPr>
        <w:t>不动产</w:t>
      </w:r>
      <w:r>
        <w:rPr>
          <w:rFonts w:eastAsia="仿宋_GB2312" w:hint="eastAsia"/>
          <w:sz w:val="32"/>
          <w:szCs w:val="21"/>
        </w:rPr>
        <w:t>项目合</w:t>
      </w:r>
      <w:proofErr w:type="gramStart"/>
      <w:r>
        <w:rPr>
          <w:rFonts w:eastAsia="仿宋_GB2312" w:hint="eastAsia"/>
          <w:sz w:val="32"/>
          <w:szCs w:val="21"/>
        </w:rPr>
        <w:t>规</w:t>
      </w:r>
      <w:proofErr w:type="gramEnd"/>
      <w:r>
        <w:rPr>
          <w:rFonts w:eastAsia="仿宋_GB2312" w:hint="eastAsia"/>
          <w:sz w:val="32"/>
          <w:szCs w:val="21"/>
        </w:rPr>
        <w:t>方面应当符合下列条件：</w:t>
      </w:r>
    </w:p>
    <w:p w14:paraId="45AC5AD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sz w:val="32"/>
          <w:szCs w:val="32"/>
        </w:rPr>
        <w:t>（一</w:t>
      </w:r>
      <w:r>
        <w:rPr>
          <w:rFonts w:eastAsia="仿宋_GB2312" w:hint="eastAsia"/>
          <w:bCs/>
          <w:sz w:val="32"/>
          <w:szCs w:val="32"/>
        </w:rPr>
        <w:t>）符合国家战略、发展规划、产业政策；</w:t>
      </w:r>
    </w:p>
    <w:p w14:paraId="0026CFD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（二</w:t>
      </w:r>
      <w:r>
        <w:rPr>
          <w:rFonts w:eastAsia="仿宋_GB2312"/>
          <w:sz w:val="32"/>
          <w:szCs w:val="32"/>
        </w:rPr>
        <w:t>）权属清晰</w:t>
      </w:r>
      <w:r>
        <w:rPr>
          <w:rFonts w:eastAsia="仿宋_GB2312" w:hint="eastAsia"/>
          <w:bCs/>
          <w:sz w:val="32"/>
          <w:szCs w:val="32"/>
        </w:rPr>
        <w:t>并取得相关权属证明文件；</w:t>
      </w:r>
    </w:p>
    <w:p w14:paraId="6BFF3E3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（三）</w:t>
      </w:r>
      <w:r>
        <w:rPr>
          <w:rFonts w:eastAsia="仿宋_GB2312"/>
          <w:sz w:val="32"/>
          <w:szCs w:val="32"/>
        </w:rPr>
        <w:t>资产完整，资产范围明确</w:t>
      </w:r>
      <w:r>
        <w:rPr>
          <w:rFonts w:eastAsia="仿宋_GB2312"/>
          <w:bCs/>
          <w:sz w:val="32"/>
          <w:szCs w:val="32"/>
        </w:rPr>
        <w:t>，原则上应当包括与</w:t>
      </w:r>
      <w:r>
        <w:rPr>
          <w:rFonts w:eastAsia="仿宋_GB2312" w:hint="eastAsia"/>
          <w:bCs/>
          <w:sz w:val="32"/>
          <w:szCs w:val="32"/>
        </w:rPr>
        <w:t>不动产</w:t>
      </w:r>
      <w:r>
        <w:rPr>
          <w:rFonts w:eastAsia="仿宋_GB2312"/>
          <w:bCs/>
          <w:sz w:val="32"/>
          <w:szCs w:val="32"/>
        </w:rPr>
        <w:t>项目运营有关的主要土地、房屋、机器设备、特许经营权、经营收益权等资产的所有权或者使用权</w:t>
      </w:r>
      <w:r>
        <w:rPr>
          <w:rFonts w:eastAsia="仿宋_GB2312" w:hint="eastAsia"/>
          <w:bCs/>
          <w:sz w:val="32"/>
          <w:szCs w:val="32"/>
        </w:rPr>
        <w:t>；</w:t>
      </w:r>
    </w:p>
    <w:p w14:paraId="3A03CF0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不动产项目主要依托租赁收入的，原则上产生租赁收入的单体建筑应当整体全部纳入资产范围，</w:t>
      </w:r>
      <w:r>
        <w:rPr>
          <w:rFonts w:eastAsia="仿宋_GB2312" w:hint="eastAsia"/>
          <w:kern w:val="2"/>
          <w:sz w:val="32"/>
          <w:szCs w:val="32"/>
        </w:rPr>
        <w:t>特殊情况下未全部纳入的，</w:t>
      </w:r>
      <w:r>
        <w:rPr>
          <w:rFonts w:eastAsia="仿宋_GB2312" w:hint="eastAsia"/>
          <w:bCs/>
          <w:sz w:val="32"/>
          <w:szCs w:val="32"/>
        </w:rPr>
        <w:t>未纳入部分资产占单体建筑的面积原则上不得超过</w:t>
      </w:r>
      <w:r>
        <w:rPr>
          <w:rFonts w:eastAsia="仿宋_GB2312" w:hint="eastAsia"/>
          <w:bCs/>
          <w:sz w:val="32"/>
          <w:szCs w:val="32"/>
        </w:rPr>
        <w:t>50</w:t>
      </w:r>
      <w:r>
        <w:rPr>
          <w:rFonts w:eastAsia="仿宋_GB2312"/>
          <w:bCs/>
          <w:sz w:val="32"/>
          <w:szCs w:val="32"/>
        </w:rPr>
        <w:t>%</w:t>
      </w:r>
      <w:r>
        <w:rPr>
          <w:rFonts w:eastAsia="仿宋_GB2312" w:hint="eastAsia"/>
          <w:bCs/>
          <w:sz w:val="32"/>
          <w:szCs w:val="32"/>
        </w:rPr>
        <w:t>；纳入资产范围部分应当取得独立的不动产权证书；</w:t>
      </w:r>
      <w:r>
        <w:rPr>
          <w:rFonts w:eastAsia="仿宋_GB2312" w:hint="eastAsia"/>
          <w:kern w:val="2"/>
          <w:sz w:val="32"/>
          <w:szCs w:val="32"/>
        </w:rPr>
        <w:t>项目公司应当取得单体建筑内符合有关法律法规规定比例的业主出具的就不动产项目后续物业运营维护等事宜与项目公司保持一致行动的同意函，确保项目公司在公共空间改造、公用设施维修维护以及</w:t>
      </w:r>
      <w:r>
        <w:rPr>
          <w:rFonts w:eastAsia="仿宋_GB2312" w:hint="eastAsia"/>
          <w:bCs/>
          <w:sz w:val="32"/>
          <w:szCs w:val="32"/>
        </w:rPr>
        <w:t>不动产项目</w:t>
      </w:r>
      <w:r>
        <w:rPr>
          <w:rFonts w:eastAsia="仿宋_GB2312" w:hint="eastAsia"/>
          <w:kern w:val="2"/>
          <w:sz w:val="32"/>
          <w:szCs w:val="32"/>
        </w:rPr>
        <w:t>提</w:t>
      </w:r>
      <w:proofErr w:type="gramStart"/>
      <w:r>
        <w:rPr>
          <w:rFonts w:eastAsia="仿宋_GB2312" w:hint="eastAsia"/>
          <w:kern w:val="2"/>
          <w:sz w:val="32"/>
          <w:szCs w:val="32"/>
        </w:rPr>
        <w:t>标改造</w:t>
      </w:r>
      <w:proofErr w:type="gramEnd"/>
      <w:r>
        <w:rPr>
          <w:rFonts w:eastAsia="仿宋_GB2312" w:hint="eastAsia"/>
          <w:kern w:val="2"/>
          <w:sz w:val="32"/>
          <w:szCs w:val="32"/>
        </w:rPr>
        <w:t>等方面具有决定权；</w:t>
      </w:r>
    </w:p>
    <w:p w14:paraId="3F29329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（四）不动产项目涉及的有关法律法规、</w:t>
      </w:r>
      <w:r>
        <w:rPr>
          <w:rFonts w:eastAsia="仿宋_GB2312"/>
          <w:bCs/>
          <w:sz w:val="32"/>
          <w:szCs w:val="32"/>
        </w:rPr>
        <w:t>不动产权证书、土地使用权出让等有偿使用合同、土地使用权划拨批准文件</w:t>
      </w:r>
      <w:r>
        <w:rPr>
          <w:rFonts w:eastAsia="仿宋_GB2312" w:hint="eastAsia"/>
          <w:bCs/>
          <w:sz w:val="32"/>
          <w:szCs w:val="32"/>
        </w:rPr>
        <w:t>、特许经营权或者经营收益权协议、投资协议、融资合同等，不得存在对不动产</w:t>
      </w:r>
      <w:r>
        <w:rPr>
          <w:rFonts w:eastAsia="仿宋_GB2312"/>
          <w:bCs/>
          <w:sz w:val="32"/>
          <w:szCs w:val="32"/>
        </w:rPr>
        <w:t>土地使用权、资产、项目公司股权、特许经营权、经营收益权的转让限制，但主管部门或者相关权利</w:t>
      </w:r>
      <w:proofErr w:type="gramStart"/>
      <w:r>
        <w:rPr>
          <w:rFonts w:eastAsia="仿宋_GB2312"/>
          <w:bCs/>
          <w:sz w:val="32"/>
          <w:szCs w:val="32"/>
        </w:rPr>
        <w:t>方明确</w:t>
      </w:r>
      <w:proofErr w:type="gramEnd"/>
      <w:r>
        <w:rPr>
          <w:rFonts w:eastAsia="仿宋_GB2312"/>
          <w:bCs/>
          <w:sz w:val="32"/>
          <w:szCs w:val="32"/>
        </w:rPr>
        <w:t>同意转让的除外；</w:t>
      </w:r>
    </w:p>
    <w:p w14:paraId="2A87249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五</w:t>
      </w:r>
      <w:r>
        <w:rPr>
          <w:rFonts w:eastAsia="仿宋_GB2312"/>
          <w:bCs/>
          <w:sz w:val="32"/>
          <w:szCs w:val="32"/>
        </w:rPr>
        <w:t>）不存在抵押、质押等担保负担或者其他权利限制（以下简称权利负担），</w:t>
      </w:r>
      <w:r>
        <w:rPr>
          <w:rFonts w:eastAsia="仿宋_GB2312" w:hint="eastAsia"/>
          <w:bCs/>
          <w:sz w:val="32"/>
          <w:szCs w:val="32"/>
        </w:rPr>
        <w:t>不动产</w:t>
      </w:r>
      <w:r>
        <w:rPr>
          <w:rFonts w:eastAsia="仿宋_GB2312"/>
          <w:bCs/>
          <w:sz w:val="32"/>
          <w:szCs w:val="32"/>
        </w:rPr>
        <w:t>基金成立后能够解除的除外；</w:t>
      </w:r>
    </w:p>
    <w:p w14:paraId="1D93D594" w14:textId="21585902"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六）保障不动产项目</w:t>
      </w:r>
      <w:r w:rsidR="00CF7BA7">
        <w:rPr>
          <w:rFonts w:eastAsia="仿宋_GB2312" w:hint="eastAsia"/>
          <w:bCs/>
          <w:sz w:val="32"/>
          <w:szCs w:val="32"/>
        </w:rPr>
        <w:t>持续</w:t>
      </w:r>
      <w:r>
        <w:rPr>
          <w:rFonts w:eastAsia="仿宋_GB2312" w:hint="eastAsia"/>
          <w:bCs/>
          <w:sz w:val="32"/>
          <w:szCs w:val="32"/>
        </w:rPr>
        <w:t>稳定运营的关键合</w:t>
      </w:r>
      <w:proofErr w:type="gramStart"/>
      <w:r>
        <w:rPr>
          <w:rFonts w:eastAsia="仿宋_GB2312" w:hint="eastAsia"/>
          <w:bCs/>
          <w:sz w:val="32"/>
          <w:szCs w:val="32"/>
        </w:rPr>
        <w:t>规</w:t>
      </w:r>
      <w:proofErr w:type="gramEnd"/>
      <w:r>
        <w:rPr>
          <w:rFonts w:eastAsia="仿宋_GB2312"/>
          <w:bCs/>
          <w:sz w:val="32"/>
          <w:szCs w:val="32"/>
        </w:rPr>
        <w:t>手续</w:t>
      </w:r>
      <w:r>
        <w:rPr>
          <w:rFonts w:eastAsia="仿宋_GB2312" w:hint="eastAsia"/>
          <w:bCs/>
          <w:sz w:val="32"/>
          <w:szCs w:val="32"/>
        </w:rPr>
        <w:t>齐备，包括但不限于建设用地规划许可证、建设工程规划许可证、竣工验收备案证明、环保验收以及消防验收文件等；因特殊原因未取得的，应当提供有关主管部门出具的合</w:t>
      </w:r>
      <w:proofErr w:type="gramStart"/>
      <w:r>
        <w:rPr>
          <w:rFonts w:eastAsia="仿宋_GB2312" w:hint="eastAsia"/>
          <w:bCs/>
          <w:sz w:val="32"/>
          <w:szCs w:val="32"/>
        </w:rPr>
        <w:t>规</w:t>
      </w:r>
      <w:proofErr w:type="gramEnd"/>
      <w:r>
        <w:rPr>
          <w:rFonts w:eastAsia="仿宋_GB2312" w:hint="eastAsia"/>
          <w:bCs/>
          <w:sz w:val="32"/>
          <w:szCs w:val="32"/>
        </w:rPr>
        <w:t>说明</w:t>
      </w:r>
      <w:r>
        <w:rPr>
          <w:rFonts w:eastAsia="仿宋_GB2312"/>
          <w:bCs/>
          <w:sz w:val="32"/>
          <w:szCs w:val="32"/>
        </w:rPr>
        <w:t>；</w:t>
      </w:r>
    </w:p>
    <w:p w14:paraId="4B7559F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七）不动产</w:t>
      </w:r>
      <w:r>
        <w:rPr>
          <w:rFonts w:eastAsia="仿宋_GB2312"/>
          <w:bCs/>
          <w:sz w:val="32"/>
          <w:szCs w:val="32"/>
        </w:rPr>
        <w:t>项目的土地实际用途原则上应当与其规划用途、权证所载用途相符</w:t>
      </w:r>
      <w:r>
        <w:rPr>
          <w:rFonts w:eastAsia="仿宋_GB2312" w:hint="eastAsia"/>
          <w:bCs/>
          <w:sz w:val="32"/>
          <w:szCs w:val="32"/>
        </w:rPr>
        <w:t>；</w:t>
      </w:r>
      <w:r>
        <w:rPr>
          <w:rFonts w:eastAsia="仿宋_GB2312"/>
          <w:bCs/>
          <w:sz w:val="32"/>
          <w:szCs w:val="32"/>
        </w:rPr>
        <w:t>存在差异的，管理人和律师应当披露存在差异的原因以及</w:t>
      </w:r>
      <w:r>
        <w:rPr>
          <w:rFonts w:eastAsia="仿宋_GB2312" w:hint="eastAsia"/>
          <w:bCs/>
          <w:sz w:val="32"/>
          <w:szCs w:val="32"/>
        </w:rPr>
        <w:t>有关</w:t>
      </w:r>
      <w:r>
        <w:rPr>
          <w:rFonts w:eastAsia="仿宋_GB2312"/>
          <w:bCs/>
          <w:sz w:val="32"/>
          <w:szCs w:val="32"/>
        </w:rPr>
        <w:t>法规政策依据（如有），管理人应当充分揭示风险，并设置风险缓释措施；</w:t>
      </w:r>
    </w:p>
    <w:p w14:paraId="700A4D3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八）不动产</w:t>
      </w:r>
      <w:r>
        <w:rPr>
          <w:rFonts w:eastAsia="仿宋_GB2312"/>
          <w:bCs/>
          <w:sz w:val="32"/>
          <w:szCs w:val="32"/>
        </w:rPr>
        <w:t>项目经营涉及特定资质的，相关经营资质应当合法、有效</w:t>
      </w:r>
      <w:r>
        <w:rPr>
          <w:rFonts w:eastAsia="仿宋_GB2312" w:hint="eastAsia"/>
          <w:bCs/>
          <w:sz w:val="32"/>
          <w:szCs w:val="32"/>
        </w:rPr>
        <w:t>；</w:t>
      </w:r>
      <w:r>
        <w:rPr>
          <w:rFonts w:eastAsia="仿宋_GB2312"/>
          <w:bCs/>
          <w:sz w:val="32"/>
          <w:szCs w:val="32"/>
        </w:rPr>
        <w:t>经营资质在</w:t>
      </w:r>
      <w:r>
        <w:rPr>
          <w:rFonts w:eastAsia="仿宋_GB2312" w:hint="eastAsia"/>
          <w:bCs/>
          <w:sz w:val="32"/>
          <w:szCs w:val="32"/>
        </w:rPr>
        <w:t>不动产</w:t>
      </w:r>
      <w:r>
        <w:rPr>
          <w:rFonts w:eastAsia="仿宋_GB2312"/>
          <w:bCs/>
          <w:sz w:val="32"/>
          <w:szCs w:val="32"/>
        </w:rPr>
        <w:t>基金存续期</w:t>
      </w:r>
      <w:r>
        <w:rPr>
          <w:rFonts w:eastAsia="仿宋_GB2312" w:hint="eastAsia"/>
          <w:bCs/>
          <w:sz w:val="32"/>
          <w:szCs w:val="32"/>
        </w:rPr>
        <w:t>间</w:t>
      </w:r>
      <w:r>
        <w:rPr>
          <w:rFonts w:eastAsia="仿宋_GB2312"/>
          <w:bCs/>
          <w:sz w:val="32"/>
          <w:szCs w:val="32"/>
        </w:rPr>
        <w:t>存在展期安排的，管理人应当披露具体安排，充分揭示风险，并设置风险缓释措施；</w:t>
      </w:r>
    </w:p>
    <w:p w14:paraId="2EEE2B0E" w14:textId="77777777" w:rsidR="00CF7BA7" w:rsidRDefault="00000000" w:rsidP="00CF7BA7">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九</w:t>
      </w:r>
      <w:r>
        <w:rPr>
          <w:rFonts w:eastAsia="仿宋_GB2312"/>
          <w:bCs/>
          <w:sz w:val="32"/>
          <w:szCs w:val="32"/>
        </w:rPr>
        <w:t>）</w:t>
      </w:r>
      <w:r w:rsidR="00CF7BA7" w:rsidRPr="00CF7BA7">
        <w:rPr>
          <w:rFonts w:eastAsia="仿宋_GB2312" w:hint="eastAsia"/>
          <w:bCs/>
          <w:sz w:val="32"/>
          <w:szCs w:val="32"/>
        </w:rPr>
        <w:t>应当已取得能够实现权属合法有效转移、保障不动产项目持续稳定运营的其他合</w:t>
      </w:r>
      <w:proofErr w:type="gramStart"/>
      <w:r w:rsidR="00CF7BA7" w:rsidRPr="00CF7BA7">
        <w:rPr>
          <w:rFonts w:eastAsia="仿宋_GB2312" w:hint="eastAsia"/>
          <w:bCs/>
          <w:sz w:val="32"/>
          <w:szCs w:val="32"/>
        </w:rPr>
        <w:t>规</w:t>
      </w:r>
      <w:proofErr w:type="gramEnd"/>
      <w:r w:rsidR="00CF7BA7" w:rsidRPr="00CF7BA7">
        <w:rPr>
          <w:rFonts w:eastAsia="仿宋_GB2312" w:hint="eastAsia"/>
          <w:bCs/>
          <w:sz w:val="32"/>
          <w:szCs w:val="32"/>
        </w:rPr>
        <w:t>文件；</w:t>
      </w:r>
    </w:p>
    <w:p w14:paraId="564074E5" w14:textId="6F30EB6E" w:rsidR="005C45E9" w:rsidRDefault="00CF7BA7" w:rsidP="00CF7BA7">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（十）</w:t>
      </w:r>
      <w:r>
        <w:rPr>
          <w:rFonts w:eastAsia="仿宋_GB2312"/>
          <w:bCs/>
          <w:sz w:val="32"/>
          <w:szCs w:val="32"/>
        </w:rPr>
        <w:t>中国证监会和本所规定的其他条件。</w:t>
      </w:r>
    </w:p>
    <w:p w14:paraId="01D1473E"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项目运营情况应当符合下列条件：</w:t>
      </w:r>
    </w:p>
    <w:p w14:paraId="54A6C50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（一）具备成熟稳定的运营模式；</w:t>
      </w:r>
    </w:p>
    <w:p w14:paraId="1CE17D8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（二）能够独立运营，不依赖原始权益人及其关联方；</w:t>
      </w:r>
    </w:p>
    <w:p w14:paraId="119988A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（三）原则上持续运营</w:t>
      </w:r>
      <w:r>
        <w:rPr>
          <w:rFonts w:eastAsia="仿宋_GB2312" w:hint="eastAsia"/>
          <w:bCs/>
          <w:sz w:val="32"/>
          <w:szCs w:val="32"/>
        </w:rPr>
        <w:t>3</w:t>
      </w:r>
      <w:r>
        <w:rPr>
          <w:rFonts w:eastAsia="仿宋_GB2312"/>
          <w:bCs/>
          <w:sz w:val="32"/>
          <w:szCs w:val="32"/>
        </w:rPr>
        <w:t>年以上，投资回报良好；</w:t>
      </w:r>
    </w:p>
    <w:p w14:paraId="4A1D062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（四）最近</w:t>
      </w:r>
      <w:r>
        <w:rPr>
          <w:rFonts w:eastAsia="仿宋_GB2312" w:hint="eastAsia"/>
          <w:bCs/>
          <w:sz w:val="32"/>
          <w:szCs w:val="32"/>
        </w:rPr>
        <w:t>3</w:t>
      </w:r>
      <w:r>
        <w:rPr>
          <w:rFonts w:eastAsia="仿宋_GB2312"/>
          <w:bCs/>
          <w:sz w:val="32"/>
          <w:szCs w:val="32"/>
        </w:rPr>
        <w:t>年平均净利润或者经营性净现金流为正；</w:t>
      </w:r>
    </w:p>
    <w:p w14:paraId="5681CD9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（五）主要依托租赁收入的，</w:t>
      </w:r>
      <w:bookmarkStart w:id="1" w:name="OLE_LINK2"/>
      <w:r>
        <w:rPr>
          <w:rFonts w:eastAsia="仿宋_GB2312"/>
          <w:bCs/>
          <w:sz w:val="32"/>
          <w:szCs w:val="32"/>
        </w:rPr>
        <w:t>最近</w:t>
      </w:r>
      <w:r>
        <w:rPr>
          <w:rFonts w:eastAsia="仿宋_GB2312" w:hint="eastAsia"/>
          <w:bCs/>
          <w:sz w:val="32"/>
          <w:szCs w:val="32"/>
        </w:rPr>
        <w:t>3</w:t>
      </w:r>
      <w:r>
        <w:rPr>
          <w:rFonts w:eastAsia="仿宋_GB2312"/>
          <w:bCs/>
          <w:sz w:val="32"/>
          <w:szCs w:val="32"/>
        </w:rPr>
        <w:t>年出租率较高</w:t>
      </w:r>
      <w:bookmarkEnd w:id="1"/>
      <w:r>
        <w:rPr>
          <w:rFonts w:eastAsia="仿宋_GB2312"/>
          <w:bCs/>
          <w:sz w:val="32"/>
          <w:szCs w:val="32"/>
        </w:rPr>
        <w:t>，租金收缴情况良好，</w:t>
      </w:r>
      <w:r>
        <w:rPr>
          <w:rFonts w:eastAsia="仿宋_GB2312" w:hint="eastAsia"/>
          <w:bCs/>
          <w:sz w:val="32"/>
          <w:szCs w:val="32"/>
        </w:rPr>
        <w:t>重要现金</w:t>
      </w:r>
      <w:proofErr w:type="gramStart"/>
      <w:r>
        <w:rPr>
          <w:rFonts w:eastAsia="仿宋_GB2312" w:hint="eastAsia"/>
          <w:bCs/>
          <w:sz w:val="32"/>
          <w:szCs w:val="32"/>
        </w:rPr>
        <w:t>流提供</w:t>
      </w:r>
      <w:proofErr w:type="gramEnd"/>
      <w:r>
        <w:rPr>
          <w:rFonts w:eastAsia="仿宋_GB2312" w:hint="eastAsia"/>
          <w:bCs/>
          <w:sz w:val="32"/>
          <w:szCs w:val="32"/>
        </w:rPr>
        <w:t>方（如有）</w:t>
      </w:r>
      <w:r>
        <w:rPr>
          <w:rFonts w:eastAsia="仿宋_GB2312"/>
          <w:bCs/>
          <w:sz w:val="32"/>
          <w:szCs w:val="32"/>
        </w:rPr>
        <w:t>资信状况良好、租约稳定；主要依托收费收入的，最近</w:t>
      </w:r>
      <w:r>
        <w:rPr>
          <w:rFonts w:eastAsia="仿宋_GB2312" w:hint="eastAsia"/>
          <w:bCs/>
          <w:sz w:val="32"/>
          <w:szCs w:val="32"/>
        </w:rPr>
        <w:t>3</w:t>
      </w:r>
      <w:r>
        <w:rPr>
          <w:rFonts w:eastAsia="仿宋_GB2312"/>
          <w:bCs/>
          <w:sz w:val="32"/>
          <w:szCs w:val="32"/>
        </w:rPr>
        <w:t>年产能利用率、使用率较高，或者使用需求充足稳定；</w:t>
      </w:r>
    </w:p>
    <w:p w14:paraId="4CB85E3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（六）中国证监会和本所规定的其他条件。</w:t>
      </w:r>
    </w:p>
    <w:p w14:paraId="58032757"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项目现金</w:t>
      </w:r>
      <w:proofErr w:type="gramStart"/>
      <w:r>
        <w:rPr>
          <w:rFonts w:eastAsia="仿宋_GB2312"/>
          <w:bCs/>
          <w:sz w:val="32"/>
          <w:szCs w:val="32"/>
        </w:rPr>
        <w:t>流应当</w:t>
      </w:r>
      <w:proofErr w:type="gramEnd"/>
      <w:r>
        <w:rPr>
          <w:rFonts w:eastAsia="仿宋_GB2312"/>
          <w:bCs/>
          <w:sz w:val="32"/>
          <w:szCs w:val="32"/>
        </w:rPr>
        <w:t>符合下列条件：</w:t>
      </w:r>
    </w:p>
    <w:p w14:paraId="0C0919C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（一）基于真实、合法的经营活动产生，形成现金流的法律协议或者文件（如有）合法、有效，价格或者收费标准符合</w:t>
      </w:r>
      <w:r>
        <w:rPr>
          <w:rFonts w:eastAsia="仿宋_GB2312" w:hint="eastAsia"/>
          <w:bCs/>
          <w:sz w:val="32"/>
          <w:szCs w:val="32"/>
        </w:rPr>
        <w:t>有关</w:t>
      </w:r>
      <w:r>
        <w:rPr>
          <w:rFonts w:eastAsia="仿宋_GB2312"/>
          <w:bCs/>
          <w:sz w:val="32"/>
          <w:szCs w:val="32"/>
        </w:rPr>
        <w:t>法律法规规定（如有）；</w:t>
      </w:r>
    </w:p>
    <w:p w14:paraId="542E098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（二）符合市场化原则，原则上不依赖第三方补贴等非经常性收入；</w:t>
      </w:r>
    </w:p>
    <w:p w14:paraId="053183E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（三）具有独立性</w:t>
      </w:r>
      <w:r>
        <w:rPr>
          <w:rFonts w:eastAsia="仿宋_GB2312" w:hint="eastAsia"/>
          <w:bCs/>
          <w:sz w:val="32"/>
          <w:szCs w:val="32"/>
        </w:rPr>
        <w:t>，已产生持续、稳定的现金流</w:t>
      </w:r>
      <w:r>
        <w:rPr>
          <w:rFonts w:eastAsia="仿宋_GB2312"/>
          <w:bCs/>
          <w:sz w:val="32"/>
          <w:szCs w:val="32"/>
        </w:rPr>
        <w:t>；</w:t>
      </w:r>
    </w:p>
    <w:p w14:paraId="579CE27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w:t>
      </w:r>
      <w:r>
        <w:rPr>
          <w:rFonts w:eastAsia="仿宋_GB2312" w:hint="eastAsia"/>
          <w:bCs/>
          <w:sz w:val="32"/>
          <w:szCs w:val="32"/>
        </w:rPr>
        <w:t>原则上应当</w:t>
      </w:r>
      <w:r>
        <w:rPr>
          <w:rFonts w:eastAsia="仿宋_GB2312"/>
          <w:bCs/>
          <w:sz w:val="32"/>
          <w:szCs w:val="32"/>
        </w:rPr>
        <w:t>来源合理分散，直接或者穿透后来源于多个现金</w:t>
      </w:r>
      <w:proofErr w:type="gramStart"/>
      <w:r>
        <w:rPr>
          <w:rFonts w:eastAsia="仿宋_GB2312"/>
          <w:bCs/>
          <w:sz w:val="32"/>
          <w:szCs w:val="32"/>
        </w:rPr>
        <w:t>流提供</w:t>
      </w:r>
      <w:proofErr w:type="gramEnd"/>
      <w:r>
        <w:rPr>
          <w:rFonts w:eastAsia="仿宋_GB2312"/>
          <w:bCs/>
          <w:sz w:val="32"/>
          <w:szCs w:val="32"/>
        </w:rPr>
        <w:t>方；因商业模式或者经营业态等原因，现金</w:t>
      </w:r>
      <w:proofErr w:type="gramStart"/>
      <w:r>
        <w:rPr>
          <w:rFonts w:eastAsia="仿宋_GB2312"/>
          <w:bCs/>
          <w:sz w:val="32"/>
          <w:szCs w:val="32"/>
        </w:rPr>
        <w:t>流提供</w:t>
      </w:r>
      <w:proofErr w:type="gramEnd"/>
      <w:r>
        <w:rPr>
          <w:rFonts w:eastAsia="仿宋_GB2312"/>
          <w:bCs/>
          <w:sz w:val="32"/>
          <w:szCs w:val="32"/>
        </w:rPr>
        <w:t>方较少或者现金流来源较集中的，管理人应当说明原因以及合理性，充分揭示风险，并设置风险缓释措施；</w:t>
      </w:r>
    </w:p>
    <w:p w14:paraId="38A8007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2027836B"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实现</w:t>
      </w:r>
      <w:r>
        <w:rPr>
          <w:rFonts w:eastAsia="仿宋_GB2312" w:hint="eastAsia"/>
          <w:bCs/>
          <w:sz w:val="32"/>
          <w:szCs w:val="32"/>
        </w:rPr>
        <w:t>不动产</w:t>
      </w:r>
      <w:r>
        <w:rPr>
          <w:rFonts w:eastAsia="仿宋_GB2312"/>
          <w:bCs/>
          <w:sz w:val="32"/>
          <w:szCs w:val="32"/>
        </w:rPr>
        <w:t>项目功能所必需的、不可分割的相关附属设施、配套设施原则上应当纳入资产范围。</w:t>
      </w:r>
      <w:r>
        <w:rPr>
          <w:rFonts w:eastAsia="仿宋_GB2312" w:hint="eastAsia"/>
          <w:bCs/>
          <w:sz w:val="32"/>
          <w:szCs w:val="32"/>
        </w:rPr>
        <w:t>因特殊原因</w:t>
      </w:r>
      <w:r>
        <w:rPr>
          <w:rFonts w:eastAsia="仿宋_GB2312"/>
          <w:bCs/>
          <w:sz w:val="32"/>
          <w:szCs w:val="32"/>
        </w:rPr>
        <w:t>未纳入的，</w:t>
      </w:r>
      <w:r>
        <w:rPr>
          <w:rFonts w:eastAsia="仿宋_GB2312" w:hint="eastAsia"/>
          <w:bCs/>
          <w:sz w:val="32"/>
          <w:szCs w:val="32"/>
        </w:rPr>
        <w:t>不得</w:t>
      </w:r>
      <w:r>
        <w:rPr>
          <w:rFonts w:eastAsia="仿宋_GB2312"/>
          <w:bCs/>
          <w:sz w:val="32"/>
          <w:szCs w:val="32"/>
        </w:rPr>
        <w:t>对</w:t>
      </w:r>
      <w:r>
        <w:rPr>
          <w:rFonts w:eastAsia="仿宋_GB2312" w:hint="eastAsia"/>
          <w:bCs/>
          <w:sz w:val="32"/>
          <w:szCs w:val="32"/>
        </w:rPr>
        <w:t>不动产</w:t>
      </w:r>
      <w:r>
        <w:rPr>
          <w:rFonts w:eastAsia="仿宋_GB2312"/>
          <w:bCs/>
          <w:sz w:val="32"/>
          <w:szCs w:val="32"/>
        </w:rPr>
        <w:t>项目运营稳定性、现金流和估值</w:t>
      </w:r>
      <w:r>
        <w:rPr>
          <w:rFonts w:eastAsia="仿宋_GB2312" w:hint="eastAsia"/>
          <w:bCs/>
          <w:sz w:val="32"/>
          <w:szCs w:val="32"/>
        </w:rPr>
        <w:t>产生</w:t>
      </w:r>
      <w:r>
        <w:rPr>
          <w:rFonts w:eastAsia="仿宋_GB2312"/>
          <w:bCs/>
          <w:sz w:val="32"/>
          <w:szCs w:val="32"/>
        </w:rPr>
        <w:t>重大影响</w:t>
      </w:r>
      <w:r>
        <w:rPr>
          <w:rFonts w:eastAsia="仿宋_GB2312" w:hint="eastAsia"/>
          <w:bCs/>
          <w:sz w:val="32"/>
          <w:szCs w:val="32"/>
        </w:rPr>
        <w:t>；</w:t>
      </w:r>
      <w:r>
        <w:rPr>
          <w:rFonts w:eastAsia="仿宋_GB2312"/>
          <w:bCs/>
          <w:sz w:val="32"/>
          <w:szCs w:val="32"/>
        </w:rPr>
        <w:t>管理人应当披露未纳入资产范围的原因以及后续相关安排，充分揭示风险，并设置风险缓释措施。</w:t>
      </w:r>
    </w:p>
    <w:p w14:paraId="26E968B4"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项目公司应当符合下列条件：</w:t>
      </w:r>
    </w:p>
    <w:p w14:paraId="63628A2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（一）依法设立且</w:t>
      </w:r>
      <w:r>
        <w:rPr>
          <w:rFonts w:eastAsia="仿宋_GB2312" w:hint="eastAsia"/>
          <w:bCs/>
          <w:sz w:val="32"/>
          <w:szCs w:val="32"/>
        </w:rPr>
        <w:t>合法</w:t>
      </w:r>
      <w:r>
        <w:rPr>
          <w:rFonts w:eastAsia="仿宋_GB2312"/>
          <w:bCs/>
          <w:sz w:val="32"/>
          <w:szCs w:val="32"/>
        </w:rPr>
        <w:t>存续；</w:t>
      </w:r>
    </w:p>
    <w:p w14:paraId="565A959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（二）财务会计制度和财务管理制度规范；</w:t>
      </w:r>
    </w:p>
    <w:p w14:paraId="6C29AE2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（三）合法且完全持有</w:t>
      </w:r>
      <w:r>
        <w:rPr>
          <w:rFonts w:eastAsia="仿宋_GB2312" w:hint="eastAsia"/>
          <w:bCs/>
          <w:sz w:val="32"/>
          <w:szCs w:val="32"/>
        </w:rPr>
        <w:t>不动</w:t>
      </w:r>
      <w:r>
        <w:rPr>
          <w:rFonts w:eastAsia="仿宋_GB2312"/>
          <w:bCs/>
          <w:sz w:val="32"/>
          <w:szCs w:val="32"/>
        </w:rPr>
        <w:t>产的所有权或者经营权利；</w:t>
      </w:r>
    </w:p>
    <w:p w14:paraId="1609ED8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（四）中国证监会和本所规定的其他条件。</w:t>
      </w:r>
    </w:p>
    <w:p w14:paraId="15E9F6BD"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存在项目公司与其他方共用</w:t>
      </w:r>
      <w:r>
        <w:rPr>
          <w:rFonts w:eastAsia="仿宋_GB2312" w:hint="eastAsia"/>
          <w:bCs/>
          <w:sz w:val="32"/>
          <w:szCs w:val="32"/>
        </w:rPr>
        <w:t>、共有</w:t>
      </w:r>
      <w:r>
        <w:rPr>
          <w:rFonts w:eastAsia="仿宋_GB2312"/>
          <w:bCs/>
          <w:sz w:val="32"/>
          <w:szCs w:val="32"/>
        </w:rPr>
        <w:t>资产情形的，共用</w:t>
      </w:r>
      <w:r>
        <w:rPr>
          <w:rFonts w:eastAsia="仿宋_GB2312" w:hint="eastAsia"/>
          <w:bCs/>
          <w:sz w:val="32"/>
          <w:szCs w:val="32"/>
        </w:rPr>
        <w:t>、共有</w:t>
      </w:r>
      <w:r>
        <w:rPr>
          <w:rFonts w:eastAsia="仿宋_GB2312"/>
          <w:bCs/>
          <w:sz w:val="32"/>
          <w:szCs w:val="32"/>
        </w:rPr>
        <w:t>资产情形应当不影响</w:t>
      </w:r>
      <w:r>
        <w:rPr>
          <w:rFonts w:eastAsia="仿宋_GB2312" w:hint="eastAsia"/>
          <w:bCs/>
          <w:sz w:val="32"/>
          <w:szCs w:val="32"/>
        </w:rPr>
        <w:t>不动产</w:t>
      </w:r>
      <w:r>
        <w:rPr>
          <w:rFonts w:eastAsia="仿宋_GB2312"/>
          <w:bCs/>
          <w:sz w:val="32"/>
          <w:szCs w:val="32"/>
        </w:rPr>
        <w:t>项目的稳定运营，共用</w:t>
      </w:r>
      <w:r>
        <w:rPr>
          <w:rFonts w:eastAsia="仿宋_GB2312" w:hint="eastAsia"/>
          <w:bCs/>
          <w:sz w:val="32"/>
          <w:szCs w:val="32"/>
        </w:rPr>
        <w:t>、共有</w:t>
      </w:r>
      <w:r>
        <w:rPr>
          <w:rFonts w:eastAsia="仿宋_GB2312"/>
          <w:bCs/>
          <w:sz w:val="32"/>
          <w:szCs w:val="32"/>
        </w:rPr>
        <w:t>资产权利人、其他方与项目公司的权责划分应当清晰。</w:t>
      </w:r>
    </w:p>
    <w:p w14:paraId="4BAB67F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管理人应当披露资产共用</w:t>
      </w:r>
      <w:r>
        <w:rPr>
          <w:rFonts w:eastAsia="仿宋_GB2312" w:hint="eastAsia"/>
          <w:bCs/>
          <w:sz w:val="32"/>
          <w:szCs w:val="32"/>
        </w:rPr>
        <w:t>、共有</w:t>
      </w:r>
      <w:r>
        <w:rPr>
          <w:rFonts w:eastAsia="仿宋_GB2312"/>
          <w:bCs/>
          <w:sz w:val="32"/>
          <w:szCs w:val="32"/>
        </w:rPr>
        <w:t>情况</w:t>
      </w:r>
      <w:r>
        <w:rPr>
          <w:rFonts w:eastAsia="仿宋_GB2312" w:hint="eastAsia"/>
          <w:bCs/>
          <w:sz w:val="32"/>
          <w:szCs w:val="32"/>
        </w:rPr>
        <w:t>，</w:t>
      </w:r>
      <w:r>
        <w:rPr>
          <w:rFonts w:eastAsia="仿宋_GB2312"/>
          <w:bCs/>
          <w:sz w:val="32"/>
          <w:szCs w:val="32"/>
        </w:rPr>
        <w:t>共用</w:t>
      </w:r>
      <w:r>
        <w:rPr>
          <w:rFonts w:eastAsia="仿宋_GB2312" w:hint="eastAsia"/>
          <w:bCs/>
          <w:sz w:val="32"/>
          <w:szCs w:val="32"/>
        </w:rPr>
        <w:t>、共有</w:t>
      </w:r>
      <w:r>
        <w:rPr>
          <w:rFonts w:eastAsia="仿宋_GB2312"/>
          <w:bCs/>
          <w:sz w:val="32"/>
          <w:szCs w:val="32"/>
        </w:rPr>
        <w:t>原因</w:t>
      </w:r>
      <w:r>
        <w:rPr>
          <w:rFonts w:eastAsia="仿宋_GB2312" w:hint="eastAsia"/>
          <w:bCs/>
          <w:sz w:val="32"/>
          <w:szCs w:val="32"/>
        </w:rPr>
        <w:t>，不动产基</w:t>
      </w:r>
      <w:r>
        <w:rPr>
          <w:rFonts w:eastAsia="仿宋_GB2312"/>
          <w:bCs/>
          <w:sz w:val="32"/>
          <w:szCs w:val="32"/>
        </w:rPr>
        <w:t>金存续期间的运营管理安排等，审慎评估资产共用</w:t>
      </w:r>
      <w:r>
        <w:rPr>
          <w:rFonts w:eastAsia="仿宋_GB2312" w:hint="eastAsia"/>
          <w:bCs/>
          <w:sz w:val="32"/>
          <w:szCs w:val="32"/>
        </w:rPr>
        <w:t>、共有</w:t>
      </w:r>
      <w:r>
        <w:rPr>
          <w:rFonts w:eastAsia="仿宋_GB2312"/>
          <w:bCs/>
          <w:sz w:val="32"/>
          <w:szCs w:val="32"/>
        </w:rPr>
        <w:t>情形对</w:t>
      </w:r>
      <w:r>
        <w:rPr>
          <w:rFonts w:eastAsia="仿宋_GB2312" w:hint="eastAsia"/>
          <w:bCs/>
          <w:sz w:val="32"/>
          <w:szCs w:val="32"/>
        </w:rPr>
        <w:t>不动产</w:t>
      </w:r>
      <w:r>
        <w:rPr>
          <w:rFonts w:eastAsia="仿宋_GB2312"/>
          <w:bCs/>
          <w:sz w:val="32"/>
          <w:szCs w:val="32"/>
        </w:rPr>
        <w:t>项目稳定性、现金流和估值的影响，充分揭示风险，并设置风险缓释措施。</w:t>
      </w:r>
    </w:p>
    <w:p w14:paraId="09BFFDC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共用</w:t>
      </w:r>
      <w:r>
        <w:rPr>
          <w:rFonts w:eastAsia="仿宋_GB2312" w:hint="eastAsia"/>
          <w:bCs/>
          <w:sz w:val="32"/>
          <w:szCs w:val="32"/>
        </w:rPr>
        <w:t>、共有</w:t>
      </w:r>
      <w:r>
        <w:rPr>
          <w:rFonts w:eastAsia="仿宋_GB2312"/>
          <w:bCs/>
          <w:sz w:val="32"/>
          <w:szCs w:val="32"/>
        </w:rPr>
        <w:t>资产不纳入资产范围的，管理人应当披露原因和对</w:t>
      </w:r>
      <w:r>
        <w:rPr>
          <w:rFonts w:eastAsia="仿宋_GB2312" w:hint="eastAsia"/>
          <w:bCs/>
          <w:sz w:val="32"/>
          <w:szCs w:val="32"/>
        </w:rPr>
        <w:t>不动产</w:t>
      </w:r>
      <w:r>
        <w:rPr>
          <w:rFonts w:eastAsia="仿宋_GB2312"/>
          <w:bCs/>
          <w:sz w:val="32"/>
          <w:szCs w:val="32"/>
        </w:rPr>
        <w:t>项目稳定运营的影响，充分揭示风险，并设置风险缓释措施。</w:t>
      </w:r>
    </w:p>
    <w:p w14:paraId="25781BC8"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资产支持证券的基础资产应当符合下列条件：</w:t>
      </w:r>
    </w:p>
    <w:p w14:paraId="0BCE82A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（一）资产范围和权利内容界定清晰，具有法律法规依据，</w:t>
      </w:r>
      <w:r>
        <w:rPr>
          <w:rFonts w:eastAsia="仿宋_GB2312" w:hint="eastAsia"/>
          <w:bCs/>
          <w:sz w:val="32"/>
          <w:szCs w:val="32"/>
        </w:rPr>
        <w:t>附属权益</w:t>
      </w:r>
      <w:r>
        <w:rPr>
          <w:rFonts w:eastAsia="仿宋_GB2312"/>
          <w:bCs/>
          <w:sz w:val="32"/>
          <w:szCs w:val="32"/>
        </w:rPr>
        <w:t>的具体内容应当明确；</w:t>
      </w:r>
    </w:p>
    <w:p w14:paraId="0C760C1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（二）基础资产和相关资产（如有）的权属应当清晰明确，原始权益人应当合法拥有基础资产，基础资产涉及的法律协议或者文件应当真实、合法、有效</w:t>
      </w:r>
      <w:r>
        <w:rPr>
          <w:rFonts w:eastAsia="仿宋_GB2312" w:hint="eastAsia"/>
          <w:bCs/>
          <w:sz w:val="32"/>
          <w:szCs w:val="32"/>
        </w:rPr>
        <w:t>；</w:t>
      </w:r>
      <w:r>
        <w:rPr>
          <w:rFonts w:eastAsia="仿宋_GB2312"/>
          <w:bCs/>
          <w:sz w:val="32"/>
          <w:szCs w:val="32"/>
        </w:rPr>
        <w:t>基础资产从第三方受让所得的，原始权益人应当已经支付转让对价或者明确转让对</w:t>
      </w:r>
      <w:proofErr w:type="gramStart"/>
      <w:r>
        <w:rPr>
          <w:rFonts w:eastAsia="仿宋_GB2312"/>
          <w:bCs/>
          <w:sz w:val="32"/>
          <w:szCs w:val="32"/>
        </w:rPr>
        <w:t>价支付</w:t>
      </w:r>
      <w:proofErr w:type="gramEnd"/>
      <w:r>
        <w:rPr>
          <w:rFonts w:eastAsia="仿宋_GB2312"/>
          <w:bCs/>
          <w:sz w:val="32"/>
          <w:szCs w:val="32"/>
        </w:rPr>
        <w:t>安排，且转让对价公允，涉及的登记、批准、备案等手续已完成；</w:t>
      </w:r>
    </w:p>
    <w:p w14:paraId="27BAB1A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（三）不得附带权利负担，专项计划成立后使用募集资金偿还债务等能够解除相关限制的除外；</w:t>
      </w:r>
    </w:p>
    <w:p w14:paraId="403D878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w:t>
      </w:r>
      <w:r>
        <w:rPr>
          <w:rFonts w:eastAsia="仿宋_GB2312" w:hint="eastAsia"/>
          <w:bCs/>
          <w:sz w:val="32"/>
          <w:szCs w:val="32"/>
        </w:rPr>
        <w:t>可以依法转让，</w:t>
      </w:r>
      <w:r>
        <w:rPr>
          <w:rFonts w:eastAsia="仿宋_GB2312"/>
          <w:bCs/>
          <w:sz w:val="32"/>
          <w:szCs w:val="32"/>
        </w:rPr>
        <w:t>不存在法定或者约定的</w:t>
      </w:r>
      <w:r>
        <w:rPr>
          <w:rFonts w:eastAsia="仿宋_GB2312" w:hint="eastAsia"/>
          <w:bCs/>
          <w:sz w:val="32"/>
          <w:szCs w:val="32"/>
        </w:rPr>
        <w:t>转让</w:t>
      </w:r>
      <w:r>
        <w:rPr>
          <w:rFonts w:eastAsia="仿宋_GB2312"/>
          <w:bCs/>
          <w:sz w:val="32"/>
          <w:szCs w:val="32"/>
        </w:rPr>
        <w:t>限制，但通过相关安排能够解除</w:t>
      </w:r>
      <w:r>
        <w:rPr>
          <w:rFonts w:eastAsia="仿宋_GB2312" w:hint="eastAsia"/>
          <w:bCs/>
          <w:sz w:val="32"/>
          <w:szCs w:val="32"/>
        </w:rPr>
        <w:t>该等</w:t>
      </w:r>
      <w:r>
        <w:rPr>
          <w:rFonts w:eastAsia="仿宋_GB2312"/>
          <w:bCs/>
          <w:sz w:val="32"/>
          <w:szCs w:val="32"/>
        </w:rPr>
        <w:t>限制的除外；</w:t>
      </w:r>
    </w:p>
    <w:p w14:paraId="1385A45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（五）中国证监会和本所规定的其他条件。</w:t>
      </w:r>
    </w:p>
    <w:p w14:paraId="08FF0E21"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资产支持证券基础资产的转让应当符合下列条件：</w:t>
      </w:r>
    </w:p>
    <w:p w14:paraId="3BCDBE03" w14:textId="77777777" w:rsidR="005C45E9" w:rsidRDefault="00000000">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（一）按照法律法规的规定完成转让涉及的审批、核准、备案、登记等手续；</w:t>
      </w:r>
    </w:p>
    <w:p w14:paraId="5EFF5181" w14:textId="77777777" w:rsidR="005C45E9" w:rsidRDefault="00000000">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（二）基础资产转让的</w:t>
      </w:r>
      <w:r>
        <w:rPr>
          <w:rFonts w:eastAsia="仿宋_GB2312" w:hint="eastAsia"/>
          <w:bCs/>
          <w:kern w:val="0"/>
          <w:sz w:val="32"/>
          <w:szCs w:val="32"/>
        </w:rPr>
        <w:t>有关</w:t>
      </w:r>
      <w:r>
        <w:rPr>
          <w:rFonts w:eastAsia="仿宋_GB2312"/>
          <w:bCs/>
          <w:kern w:val="0"/>
          <w:sz w:val="32"/>
          <w:szCs w:val="32"/>
        </w:rPr>
        <w:t>协议应当合法、有效；</w:t>
      </w:r>
    </w:p>
    <w:p w14:paraId="03E6A898" w14:textId="77777777" w:rsidR="005C45E9" w:rsidRDefault="00000000">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（三）基础资产附属权益（如有）一并转让；</w:t>
      </w:r>
    </w:p>
    <w:p w14:paraId="42DE83D2" w14:textId="77777777" w:rsidR="005C45E9" w:rsidRDefault="00000000">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（四）涉及债权转让的，应当依法依规履行债权转让通知程序，通知债务人、附属权益义务人（如有）；</w:t>
      </w:r>
    </w:p>
    <w:p w14:paraId="6D73D665" w14:textId="77777777" w:rsidR="005C45E9" w:rsidRDefault="00000000">
      <w:pPr>
        <w:tabs>
          <w:tab w:val="left" w:pos="0"/>
          <w:tab w:val="left" w:pos="709"/>
          <w:tab w:val="left" w:pos="1260"/>
        </w:tabs>
        <w:adjustRightInd w:val="0"/>
        <w:snapToGrid w:val="0"/>
        <w:spacing w:line="560" w:lineRule="exact"/>
        <w:ind w:firstLine="640"/>
        <w:rPr>
          <w:rFonts w:eastAsia="仿宋_GB2312"/>
          <w:bCs/>
          <w:kern w:val="0"/>
          <w:sz w:val="32"/>
          <w:szCs w:val="32"/>
        </w:rPr>
      </w:pPr>
      <w:r>
        <w:rPr>
          <w:rFonts w:eastAsia="仿宋_GB2312"/>
          <w:bCs/>
          <w:kern w:val="0"/>
          <w:sz w:val="32"/>
          <w:szCs w:val="32"/>
        </w:rPr>
        <w:t>（五）</w:t>
      </w:r>
      <w:r>
        <w:rPr>
          <w:rFonts w:eastAsia="仿宋_GB2312" w:hint="eastAsia"/>
          <w:bCs/>
          <w:kern w:val="0"/>
          <w:sz w:val="32"/>
          <w:szCs w:val="32"/>
        </w:rPr>
        <w:t>资产转让安排合理，</w:t>
      </w:r>
      <w:r>
        <w:rPr>
          <w:rFonts w:eastAsia="仿宋_GB2312"/>
          <w:bCs/>
          <w:kern w:val="0"/>
          <w:sz w:val="32"/>
          <w:szCs w:val="32"/>
        </w:rPr>
        <w:t>转让对价公允；</w:t>
      </w:r>
    </w:p>
    <w:p w14:paraId="0FF4C8FF" w14:textId="77777777" w:rsidR="005C45E9" w:rsidRDefault="00000000">
      <w:pPr>
        <w:adjustRightInd w:val="0"/>
        <w:snapToGrid w:val="0"/>
        <w:spacing w:line="560" w:lineRule="exact"/>
        <w:ind w:firstLine="640"/>
        <w:rPr>
          <w:rFonts w:eastAsia="仿宋_GB2312"/>
          <w:bCs/>
          <w:sz w:val="32"/>
          <w:szCs w:val="32"/>
        </w:rPr>
      </w:pPr>
      <w:r>
        <w:rPr>
          <w:rFonts w:eastAsia="仿宋_GB2312"/>
          <w:bCs/>
          <w:kern w:val="0"/>
          <w:sz w:val="32"/>
          <w:szCs w:val="32"/>
        </w:rPr>
        <w:t>（六）中国证监会和本所规定的其他条件。</w:t>
      </w:r>
    </w:p>
    <w:p w14:paraId="3CCF8C1E"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不动产项目主要依托租赁收入的，预计未来</w:t>
      </w:r>
      <w:r>
        <w:rPr>
          <w:rFonts w:eastAsia="仿宋_GB2312" w:hint="eastAsia"/>
          <w:bCs/>
          <w:sz w:val="32"/>
          <w:szCs w:val="32"/>
        </w:rPr>
        <w:t>2</w:t>
      </w:r>
      <w:r>
        <w:rPr>
          <w:rFonts w:eastAsia="仿宋_GB2312" w:hint="eastAsia"/>
          <w:bCs/>
          <w:sz w:val="32"/>
          <w:szCs w:val="32"/>
        </w:rPr>
        <w:t>年每年净现金流分派率原则上不低于评估基准日</w:t>
      </w:r>
      <w:r>
        <w:rPr>
          <w:rFonts w:eastAsia="仿宋_GB2312" w:hint="eastAsia"/>
          <w:bCs/>
          <w:sz w:val="32"/>
          <w:szCs w:val="32"/>
        </w:rPr>
        <w:t>10</w:t>
      </w:r>
      <w:r>
        <w:rPr>
          <w:rFonts w:eastAsia="仿宋_GB2312" w:hint="eastAsia"/>
          <w:bCs/>
          <w:sz w:val="32"/>
          <w:szCs w:val="32"/>
        </w:rPr>
        <w:t>年期国债收益率上浮</w:t>
      </w:r>
      <w:r>
        <w:rPr>
          <w:rFonts w:eastAsia="仿宋_GB2312"/>
          <w:bCs/>
          <w:sz w:val="32"/>
          <w:szCs w:val="32"/>
        </w:rPr>
        <w:t>150</w:t>
      </w:r>
      <w:r>
        <w:rPr>
          <w:rFonts w:eastAsia="仿宋_GB2312" w:hint="eastAsia"/>
          <w:bCs/>
          <w:sz w:val="32"/>
          <w:szCs w:val="32"/>
        </w:rPr>
        <w:t>个基点；不动产项目主要依托收费收入的，基金存续期内部收益率（</w:t>
      </w:r>
      <w:r>
        <w:rPr>
          <w:rFonts w:eastAsia="仿宋_GB2312"/>
          <w:bCs/>
          <w:sz w:val="32"/>
          <w:szCs w:val="32"/>
        </w:rPr>
        <w:t>IRR</w:t>
      </w:r>
      <w:r>
        <w:rPr>
          <w:rFonts w:eastAsia="仿宋_GB2312" w:hint="eastAsia"/>
          <w:bCs/>
          <w:sz w:val="32"/>
          <w:szCs w:val="32"/>
        </w:rPr>
        <w:t>）原则上不低于评估基准日</w:t>
      </w:r>
      <w:r>
        <w:rPr>
          <w:rFonts w:eastAsia="仿宋_GB2312" w:hint="eastAsia"/>
          <w:bCs/>
          <w:sz w:val="32"/>
          <w:szCs w:val="32"/>
        </w:rPr>
        <w:t>10</w:t>
      </w:r>
      <w:r>
        <w:rPr>
          <w:rFonts w:eastAsia="仿宋_GB2312" w:hint="eastAsia"/>
          <w:bCs/>
          <w:sz w:val="32"/>
          <w:szCs w:val="32"/>
        </w:rPr>
        <w:t>年期国债收益率上浮</w:t>
      </w:r>
      <w:r>
        <w:rPr>
          <w:rFonts w:eastAsia="仿宋_GB2312"/>
          <w:bCs/>
          <w:sz w:val="32"/>
          <w:szCs w:val="32"/>
        </w:rPr>
        <w:t>300</w:t>
      </w:r>
      <w:r>
        <w:rPr>
          <w:rFonts w:eastAsia="仿宋_GB2312" w:hint="eastAsia"/>
          <w:bCs/>
          <w:sz w:val="32"/>
          <w:szCs w:val="32"/>
        </w:rPr>
        <w:t>个基点。管理人应当披露评估基准日</w:t>
      </w:r>
      <w:r>
        <w:rPr>
          <w:rFonts w:eastAsia="仿宋_GB2312" w:hint="eastAsia"/>
          <w:bCs/>
          <w:sz w:val="32"/>
          <w:szCs w:val="32"/>
        </w:rPr>
        <w:t>10</w:t>
      </w:r>
      <w:r>
        <w:rPr>
          <w:rFonts w:eastAsia="仿宋_GB2312" w:hint="eastAsia"/>
          <w:bCs/>
          <w:sz w:val="32"/>
          <w:szCs w:val="32"/>
        </w:rPr>
        <w:t>年期国债收益率等数据具体情况。</w:t>
      </w:r>
    </w:p>
    <w:p w14:paraId="013F3E8F"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首次申报</w:t>
      </w:r>
      <w:r>
        <w:rPr>
          <w:rFonts w:eastAsia="仿宋_GB2312" w:hint="eastAsia"/>
          <w:bCs/>
          <w:sz w:val="32"/>
          <w:szCs w:val="32"/>
        </w:rPr>
        <w:t>不动产基金上市的，不动产</w:t>
      </w:r>
      <w:r>
        <w:rPr>
          <w:rFonts w:eastAsia="仿宋_GB2312"/>
          <w:bCs/>
          <w:sz w:val="32"/>
          <w:szCs w:val="32"/>
        </w:rPr>
        <w:t>项目评估价值原则上不低于</w:t>
      </w:r>
      <w:r>
        <w:rPr>
          <w:rFonts w:eastAsia="仿宋_GB2312"/>
          <w:bCs/>
          <w:sz w:val="32"/>
          <w:szCs w:val="32"/>
        </w:rPr>
        <w:t>10</w:t>
      </w:r>
      <w:r>
        <w:rPr>
          <w:rFonts w:eastAsia="仿宋_GB2312"/>
          <w:bCs/>
          <w:sz w:val="32"/>
          <w:szCs w:val="32"/>
        </w:rPr>
        <w:t>亿元（租赁住房</w:t>
      </w:r>
      <w:r>
        <w:rPr>
          <w:rFonts w:eastAsia="仿宋_GB2312" w:hint="eastAsia"/>
          <w:bCs/>
          <w:sz w:val="32"/>
          <w:szCs w:val="32"/>
        </w:rPr>
        <w:t>不动产项目</w:t>
      </w:r>
      <w:r>
        <w:rPr>
          <w:rFonts w:eastAsia="仿宋_GB2312"/>
          <w:bCs/>
          <w:sz w:val="32"/>
          <w:szCs w:val="32"/>
        </w:rPr>
        <w:t>和养老设施</w:t>
      </w:r>
      <w:r>
        <w:rPr>
          <w:rFonts w:eastAsia="仿宋_GB2312" w:hint="eastAsia"/>
          <w:bCs/>
          <w:sz w:val="32"/>
          <w:szCs w:val="32"/>
        </w:rPr>
        <w:t>不动产项目</w:t>
      </w:r>
      <w:r>
        <w:rPr>
          <w:rFonts w:eastAsia="仿宋_GB2312"/>
          <w:bCs/>
          <w:sz w:val="32"/>
          <w:szCs w:val="32"/>
        </w:rPr>
        <w:t>不低于</w:t>
      </w:r>
      <w:r>
        <w:rPr>
          <w:rFonts w:eastAsia="仿宋_GB2312"/>
          <w:bCs/>
          <w:sz w:val="32"/>
          <w:szCs w:val="32"/>
        </w:rPr>
        <w:t>8</w:t>
      </w:r>
      <w:r>
        <w:rPr>
          <w:rFonts w:eastAsia="仿宋_GB2312"/>
          <w:bCs/>
          <w:sz w:val="32"/>
          <w:szCs w:val="32"/>
        </w:rPr>
        <w:t>亿元）。</w:t>
      </w:r>
    </w:p>
    <w:p w14:paraId="724F976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已上市</w:t>
      </w:r>
      <w:r>
        <w:rPr>
          <w:rFonts w:eastAsia="仿宋_GB2312" w:hint="eastAsia"/>
          <w:bCs/>
          <w:sz w:val="32"/>
          <w:szCs w:val="32"/>
        </w:rPr>
        <w:t>不动产基金拟购入的不动产</w:t>
      </w:r>
      <w:r>
        <w:rPr>
          <w:rFonts w:eastAsia="仿宋_GB2312"/>
          <w:bCs/>
          <w:sz w:val="32"/>
          <w:szCs w:val="32"/>
        </w:rPr>
        <w:t>项目，不受前款限制。</w:t>
      </w:r>
    </w:p>
    <w:p w14:paraId="726FADF2" w14:textId="77777777" w:rsidR="005C45E9" w:rsidRDefault="00000000">
      <w:pPr>
        <w:pStyle w:val="2"/>
        <w:adjustRightInd w:val="0"/>
        <w:snapToGrid w:val="0"/>
        <w:ind w:firstLine="640"/>
        <w:jc w:val="center"/>
        <w:rPr>
          <w:rFonts w:ascii="仿宋_GB2312" w:eastAsia="仿宋_GB2312" w:cs="楷体_GB2312" w:hint="eastAsia"/>
          <w:b/>
          <w:bCs/>
          <w:sz w:val="32"/>
          <w:szCs w:val="32"/>
          <w:shd w:val="clear" w:color="auto" w:fill="FFFFFF"/>
        </w:rPr>
      </w:pPr>
      <w:r>
        <w:rPr>
          <w:rFonts w:cs="楷体_GB2312" w:hint="eastAsia"/>
          <w:sz w:val="32"/>
          <w:szCs w:val="32"/>
          <w:shd w:val="clear" w:color="auto" w:fill="FFFFFF"/>
        </w:rPr>
        <w:t>第二节 不动产项目经营与财务情况</w:t>
      </w:r>
    </w:p>
    <w:p w14:paraId="41710165" w14:textId="77777777" w:rsidR="005C45E9" w:rsidRDefault="00000000">
      <w:pPr>
        <w:pStyle w:val="Style3"/>
        <w:numPr>
          <w:ilvl w:val="0"/>
          <w:numId w:val="2"/>
        </w:numPr>
        <w:adjustRightInd w:val="0"/>
        <w:snapToGrid w:val="0"/>
        <w:spacing w:line="560" w:lineRule="exact"/>
        <w:rPr>
          <w:rFonts w:eastAsia="仿宋_GB2312"/>
          <w:sz w:val="32"/>
          <w:szCs w:val="21"/>
        </w:rPr>
      </w:pPr>
      <w:r>
        <w:rPr>
          <w:rFonts w:eastAsia="仿宋_GB2312" w:hint="eastAsia"/>
          <w:sz w:val="32"/>
          <w:szCs w:val="21"/>
        </w:rPr>
        <w:t>管理人应当披露下列</w:t>
      </w:r>
      <w:r>
        <w:rPr>
          <w:rFonts w:eastAsia="仿宋_GB2312" w:hint="eastAsia"/>
          <w:bCs/>
          <w:sz w:val="32"/>
          <w:szCs w:val="32"/>
        </w:rPr>
        <w:t>不动产项目</w:t>
      </w:r>
      <w:r>
        <w:rPr>
          <w:rFonts w:eastAsia="仿宋_GB2312" w:hint="eastAsia"/>
          <w:sz w:val="32"/>
          <w:szCs w:val="21"/>
        </w:rPr>
        <w:t>所属行业情况：</w:t>
      </w:r>
    </w:p>
    <w:p w14:paraId="274F497F" w14:textId="77777777" w:rsidR="005C45E9" w:rsidRDefault="00000000">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（一）</w:t>
      </w:r>
      <w:r>
        <w:rPr>
          <w:rFonts w:eastAsia="仿宋_GB2312"/>
          <w:kern w:val="0"/>
          <w:sz w:val="32"/>
          <w:szCs w:val="32"/>
        </w:rPr>
        <w:t>所属行业的</w:t>
      </w:r>
      <w:r>
        <w:rPr>
          <w:rFonts w:eastAsia="仿宋_GB2312"/>
          <w:bCs/>
          <w:kern w:val="0"/>
          <w:sz w:val="32"/>
          <w:szCs w:val="32"/>
        </w:rPr>
        <w:t>供求状况、历史发展情况和未来变化趋势情况，以及对行业发展前景的有利和不利因素；</w:t>
      </w:r>
    </w:p>
    <w:p w14:paraId="27C363C1" w14:textId="77777777" w:rsidR="005C45E9" w:rsidRDefault="00000000">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（二）所属行业的周期性、区域性或者季节性特征（如有）；</w:t>
      </w:r>
    </w:p>
    <w:p w14:paraId="0DD6BC0E" w14:textId="77777777" w:rsidR="005C45E9" w:rsidRDefault="00000000">
      <w:pPr>
        <w:tabs>
          <w:tab w:val="left" w:pos="0"/>
        </w:tabs>
        <w:adjustRightInd w:val="0"/>
        <w:snapToGrid w:val="0"/>
        <w:spacing w:line="560" w:lineRule="exact"/>
        <w:ind w:firstLine="640"/>
        <w:rPr>
          <w:rFonts w:eastAsia="仿宋_GB2312"/>
          <w:bCs/>
          <w:kern w:val="0"/>
          <w:sz w:val="32"/>
          <w:szCs w:val="32"/>
        </w:rPr>
      </w:pPr>
      <w:r>
        <w:rPr>
          <w:rFonts w:eastAsia="仿宋_GB2312"/>
          <w:bCs/>
          <w:kern w:val="0"/>
          <w:sz w:val="32"/>
          <w:szCs w:val="32"/>
        </w:rPr>
        <w:t>（三）所属行业特有的经营模式，结合</w:t>
      </w:r>
      <w:r>
        <w:rPr>
          <w:rFonts w:eastAsia="仿宋_GB2312" w:hint="eastAsia"/>
          <w:bCs/>
          <w:kern w:val="0"/>
          <w:sz w:val="32"/>
          <w:szCs w:val="32"/>
        </w:rPr>
        <w:t>不动产项目以及可比</w:t>
      </w:r>
      <w:r>
        <w:rPr>
          <w:rFonts w:eastAsia="仿宋_GB2312"/>
          <w:bCs/>
          <w:kern w:val="0"/>
          <w:sz w:val="32"/>
          <w:szCs w:val="32"/>
          <w:lang w:eastAsia="zh"/>
        </w:rPr>
        <w:t>项目</w:t>
      </w:r>
      <w:r>
        <w:rPr>
          <w:rFonts w:eastAsia="仿宋_GB2312"/>
          <w:bCs/>
          <w:kern w:val="0"/>
          <w:sz w:val="32"/>
          <w:szCs w:val="32"/>
        </w:rPr>
        <w:t>采用的主要商业模式、盈利模式</w:t>
      </w:r>
      <w:proofErr w:type="gramStart"/>
      <w:r>
        <w:rPr>
          <w:rFonts w:eastAsia="仿宋_GB2312"/>
          <w:bCs/>
          <w:kern w:val="0"/>
          <w:sz w:val="32"/>
          <w:szCs w:val="32"/>
          <w:lang w:eastAsia="zh"/>
        </w:rPr>
        <w:t>等</w:t>
      </w:r>
      <w:r>
        <w:rPr>
          <w:rFonts w:eastAsia="仿宋_GB2312" w:hint="eastAsia"/>
          <w:bCs/>
          <w:kern w:val="0"/>
          <w:sz w:val="32"/>
          <w:szCs w:val="32"/>
        </w:rPr>
        <w:t>判断</w:t>
      </w:r>
      <w:proofErr w:type="gramEnd"/>
      <w:r>
        <w:rPr>
          <w:rFonts w:eastAsia="仿宋_GB2312" w:hint="eastAsia"/>
          <w:bCs/>
          <w:kern w:val="0"/>
          <w:sz w:val="32"/>
          <w:szCs w:val="32"/>
        </w:rPr>
        <w:t>不动产</w:t>
      </w:r>
      <w:r>
        <w:rPr>
          <w:rFonts w:eastAsia="仿宋_GB2312"/>
          <w:bCs/>
          <w:kern w:val="0"/>
          <w:sz w:val="32"/>
          <w:szCs w:val="32"/>
        </w:rPr>
        <w:t>项目主要经营风险。</w:t>
      </w:r>
    </w:p>
    <w:p w14:paraId="01F92FDE"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管理人原则上应当披露</w:t>
      </w:r>
      <w:r>
        <w:rPr>
          <w:rFonts w:eastAsia="仿宋_GB2312" w:hint="eastAsia"/>
          <w:bCs/>
          <w:sz w:val="32"/>
          <w:szCs w:val="32"/>
        </w:rPr>
        <w:t>不动产</w:t>
      </w:r>
      <w:r>
        <w:rPr>
          <w:rFonts w:eastAsia="仿宋_GB2312"/>
          <w:bCs/>
          <w:sz w:val="32"/>
          <w:szCs w:val="32"/>
        </w:rPr>
        <w:t>项目最近</w:t>
      </w:r>
      <w:r>
        <w:rPr>
          <w:rFonts w:eastAsia="仿宋_GB2312" w:hint="eastAsia"/>
          <w:bCs/>
          <w:sz w:val="32"/>
          <w:szCs w:val="32"/>
        </w:rPr>
        <w:t>3</w:t>
      </w:r>
      <w:r>
        <w:rPr>
          <w:rFonts w:eastAsia="仿宋_GB2312"/>
          <w:bCs/>
          <w:sz w:val="32"/>
          <w:szCs w:val="32"/>
        </w:rPr>
        <w:t>年及一期的财务报告和审计报告。</w:t>
      </w:r>
    </w:p>
    <w:p w14:paraId="4FAE15C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因特殊原因</w:t>
      </w:r>
      <w:r>
        <w:rPr>
          <w:rFonts w:eastAsia="仿宋_GB2312"/>
          <w:bCs/>
          <w:sz w:val="32"/>
          <w:szCs w:val="32"/>
        </w:rPr>
        <w:t>无法提供的，应当充分说明理由，并披露最近</w:t>
      </w:r>
      <w:r>
        <w:rPr>
          <w:rFonts w:eastAsia="仿宋_GB2312" w:hint="eastAsia"/>
          <w:bCs/>
          <w:sz w:val="32"/>
          <w:szCs w:val="32"/>
        </w:rPr>
        <w:t>1</w:t>
      </w:r>
      <w:r>
        <w:rPr>
          <w:rFonts w:eastAsia="仿宋_GB2312"/>
          <w:bCs/>
          <w:sz w:val="32"/>
          <w:szCs w:val="32"/>
        </w:rPr>
        <w:t>年及一期的财务报告和审计报告</w:t>
      </w:r>
      <w:r>
        <w:rPr>
          <w:rFonts w:eastAsia="仿宋_GB2312" w:hint="eastAsia"/>
          <w:bCs/>
          <w:sz w:val="32"/>
          <w:szCs w:val="32"/>
        </w:rPr>
        <w:t>，或者</w:t>
      </w:r>
      <w:r>
        <w:rPr>
          <w:rFonts w:eastAsia="仿宋_GB2312"/>
          <w:bCs/>
          <w:sz w:val="32"/>
          <w:szCs w:val="32"/>
        </w:rPr>
        <w:t>提供基于过往运营经验和合理假设编制的最近</w:t>
      </w:r>
      <w:r>
        <w:rPr>
          <w:rFonts w:eastAsia="仿宋_GB2312" w:hint="eastAsia"/>
          <w:bCs/>
          <w:sz w:val="32"/>
          <w:szCs w:val="32"/>
        </w:rPr>
        <w:t>3</w:t>
      </w:r>
      <w:r>
        <w:rPr>
          <w:rFonts w:eastAsia="仿宋_GB2312"/>
          <w:bCs/>
          <w:sz w:val="32"/>
          <w:szCs w:val="32"/>
        </w:rPr>
        <w:t>年及一期经审计的备考财务报表。</w:t>
      </w:r>
    </w:p>
    <w:p w14:paraId="6485C9EF"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bCs/>
          <w:kern w:val="0"/>
          <w:sz w:val="32"/>
          <w:szCs w:val="32"/>
        </w:rPr>
        <w:t>管理人应当披露报告期内</w:t>
      </w:r>
      <w:r>
        <w:rPr>
          <w:rFonts w:eastAsia="仿宋_GB2312" w:hint="eastAsia"/>
          <w:bCs/>
          <w:kern w:val="0"/>
          <w:sz w:val="32"/>
          <w:szCs w:val="32"/>
        </w:rPr>
        <w:t>不动产</w:t>
      </w:r>
      <w:r>
        <w:rPr>
          <w:rFonts w:eastAsia="仿宋_GB2312"/>
          <w:bCs/>
          <w:kern w:val="0"/>
          <w:sz w:val="32"/>
          <w:szCs w:val="32"/>
        </w:rPr>
        <w:t>项目的经营情况，包括各类业务收入及其占比、各类成本支出及其占比、相关税金和费用、运营净收益等情况。</w:t>
      </w:r>
      <w:r>
        <w:rPr>
          <w:rFonts w:eastAsia="仿宋_GB2312"/>
          <w:bCs/>
          <w:sz w:val="32"/>
          <w:szCs w:val="32"/>
        </w:rPr>
        <w:t>收入、成本支出波动较大的，管理人应当说明波动原因和合理性，并充分揭示风险。</w:t>
      </w:r>
    </w:p>
    <w:p w14:paraId="7BA0BC7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项目主要依托租赁收入的，管理人应当按照本指引第二十五条至第三十一条</w:t>
      </w:r>
      <w:r>
        <w:rPr>
          <w:rFonts w:eastAsia="仿宋_GB2312" w:hint="eastAsia"/>
          <w:bCs/>
          <w:sz w:val="32"/>
          <w:szCs w:val="32"/>
        </w:rPr>
        <w:t>有关</w:t>
      </w:r>
      <w:r>
        <w:rPr>
          <w:rFonts w:eastAsia="仿宋_GB2312"/>
          <w:bCs/>
          <w:sz w:val="32"/>
          <w:szCs w:val="32"/>
        </w:rPr>
        <w:t>规定进行</w:t>
      </w:r>
      <w:bookmarkStart w:id="2" w:name="_Hlk178176600"/>
      <w:r>
        <w:rPr>
          <w:rFonts w:eastAsia="仿宋_GB2312"/>
          <w:bCs/>
          <w:sz w:val="32"/>
          <w:szCs w:val="32"/>
        </w:rPr>
        <w:t>信息披露和核查</w:t>
      </w:r>
      <w:bookmarkEnd w:id="2"/>
      <w:r>
        <w:rPr>
          <w:rFonts w:eastAsia="仿宋_GB2312"/>
          <w:bCs/>
          <w:sz w:val="32"/>
          <w:szCs w:val="32"/>
        </w:rPr>
        <w:t>；</w:t>
      </w:r>
      <w:r>
        <w:rPr>
          <w:rFonts w:eastAsia="仿宋_GB2312" w:hint="eastAsia"/>
          <w:bCs/>
          <w:sz w:val="32"/>
          <w:szCs w:val="32"/>
        </w:rPr>
        <w:t>不动产</w:t>
      </w:r>
      <w:r>
        <w:rPr>
          <w:rFonts w:eastAsia="仿宋_GB2312"/>
          <w:bCs/>
          <w:sz w:val="32"/>
          <w:szCs w:val="32"/>
        </w:rPr>
        <w:t>项目主要依托收费收入的，管理人应当按照本指引第三十二条和第三十三条</w:t>
      </w:r>
      <w:r>
        <w:rPr>
          <w:rFonts w:eastAsia="仿宋_GB2312" w:hint="eastAsia"/>
          <w:bCs/>
          <w:sz w:val="32"/>
          <w:szCs w:val="32"/>
        </w:rPr>
        <w:t>有关</w:t>
      </w:r>
      <w:r>
        <w:rPr>
          <w:rFonts w:eastAsia="仿宋_GB2312"/>
          <w:bCs/>
          <w:sz w:val="32"/>
          <w:szCs w:val="32"/>
        </w:rPr>
        <w:t>规定进行信息披露和核查。</w:t>
      </w:r>
    </w:p>
    <w:p w14:paraId="606B6850" w14:textId="77777777" w:rsidR="005C45E9" w:rsidRDefault="00000000">
      <w:pPr>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项目的租户情况，包括租户数量、租户行业分布和集中度、关联方租户、租赁合同期限以及到期时间分布、加权平均剩余租期、免租期协定（如有）、平均免租期时长（如有）、享受补贴情况等。</w:t>
      </w:r>
    </w:p>
    <w:p w14:paraId="138DB6BB" w14:textId="77777777" w:rsidR="005C45E9" w:rsidRDefault="00000000">
      <w:pPr>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项目存在政府类租户的，管理人应当披露其租金价格、支付安排等方面与其他租户的差异情况，并对其是否符合市场化原则进行核查。管理人应当结合</w:t>
      </w:r>
      <w:r>
        <w:rPr>
          <w:rFonts w:eastAsia="仿宋_GB2312" w:hint="eastAsia"/>
          <w:bCs/>
          <w:sz w:val="32"/>
          <w:szCs w:val="32"/>
        </w:rPr>
        <w:t>有关</w:t>
      </w:r>
      <w:r>
        <w:rPr>
          <w:rFonts w:eastAsia="仿宋_GB2312"/>
          <w:bCs/>
          <w:sz w:val="32"/>
          <w:szCs w:val="32"/>
        </w:rPr>
        <w:t>情况对</w:t>
      </w:r>
      <w:r>
        <w:rPr>
          <w:rFonts w:eastAsia="仿宋_GB2312" w:hint="eastAsia"/>
          <w:bCs/>
          <w:sz w:val="32"/>
          <w:szCs w:val="32"/>
        </w:rPr>
        <w:t>不动产</w:t>
      </w:r>
      <w:r>
        <w:rPr>
          <w:rFonts w:eastAsia="仿宋_GB2312"/>
          <w:bCs/>
          <w:sz w:val="32"/>
          <w:szCs w:val="32"/>
        </w:rPr>
        <w:t>项目运营稳定性进行分析，并发表明确意见。</w:t>
      </w:r>
    </w:p>
    <w:p w14:paraId="3EA7EC77" w14:textId="77777777" w:rsidR="005C45E9" w:rsidRDefault="00000000">
      <w:pPr>
        <w:adjustRightInd w:val="0"/>
        <w:snapToGrid w:val="0"/>
        <w:spacing w:line="560" w:lineRule="exact"/>
        <w:ind w:firstLine="640"/>
        <w:rPr>
          <w:rFonts w:eastAsia="仿宋_GB2312"/>
          <w:bCs/>
          <w:sz w:val="32"/>
          <w:szCs w:val="32"/>
        </w:rPr>
      </w:pPr>
      <w:r>
        <w:rPr>
          <w:rFonts w:eastAsia="仿宋_GB2312"/>
          <w:bCs/>
          <w:sz w:val="32"/>
          <w:szCs w:val="32"/>
        </w:rPr>
        <w:t>租户行业集中度较高的，管理人应当</w:t>
      </w:r>
      <w:r>
        <w:rPr>
          <w:rFonts w:eastAsia="仿宋_GB2312" w:hint="eastAsia"/>
          <w:bCs/>
          <w:sz w:val="32"/>
          <w:szCs w:val="32"/>
        </w:rPr>
        <w:t>结合行业发展情况，分析租户租约稳定性，并充分揭示风险</w:t>
      </w:r>
      <w:bookmarkStart w:id="3" w:name="_Hlk177410809"/>
      <w:r>
        <w:rPr>
          <w:rFonts w:eastAsia="仿宋_GB2312"/>
          <w:bCs/>
          <w:sz w:val="32"/>
          <w:szCs w:val="32"/>
        </w:rPr>
        <w:t>。</w:t>
      </w:r>
      <w:bookmarkEnd w:id="3"/>
    </w:p>
    <w:p w14:paraId="4B27647A" w14:textId="0BB21E4C" w:rsidR="005C45E9" w:rsidRDefault="00000000">
      <w:pPr>
        <w:adjustRightInd w:val="0"/>
        <w:snapToGrid w:val="0"/>
        <w:spacing w:line="560" w:lineRule="exact"/>
        <w:ind w:firstLine="640"/>
        <w:rPr>
          <w:rFonts w:eastAsia="仿宋_GB2312"/>
          <w:bCs/>
          <w:sz w:val="32"/>
          <w:szCs w:val="32"/>
        </w:rPr>
      </w:pPr>
      <w:r>
        <w:rPr>
          <w:rFonts w:eastAsia="仿宋_GB2312"/>
          <w:bCs/>
          <w:sz w:val="32"/>
          <w:szCs w:val="32"/>
        </w:rPr>
        <w:t>租赁合同到期时间分布集中度较高或者租赁合同期限较短的，管理人应当披露保障</w:t>
      </w:r>
      <w:r>
        <w:rPr>
          <w:rFonts w:eastAsia="仿宋_GB2312" w:hint="eastAsia"/>
          <w:bCs/>
          <w:sz w:val="32"/>
          <w:szCs w:val="32"/>
        </w:rPr>
        <w:t>不动产</w:t>
      </w:r>
      <w:r>
        <w:rPr>
          <w:rFonts w:eastAsia="仿宋_GB2312"/>
          <w:bCs/>
          <w:sz w:val="32"/>
          <w:szCs w:val="32"/>
        </w:rPr>
        <w:t>项目稳定运营的措施，并充分揭示风险。</w:t>
      </w:r>
    </w:p>
    <w:p w14:paraId="41466E98"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hint="eastAsia"/>
          <w:bCs/>
          <w:kern w:val="0"/>
          <w:sz w:val="32"/>
          <w:szCs w:val="32"/>
        </w:rPr>
        <w:t>不动产项目</w:t>
      </w:r>
      <w:r>
        <w:rPr>
          <w:rFonts w:eastAsia="仿宋_GB2312" w:hint="eastAsia"/>
          <w:bCs/>
          <w:sz w:val="32"/>
          <w:szCs w:val="32"/>
        </w:rPr>
        <w:t>中现金</w:t>
      </w:r>
      <w:proofErr w:type="gramStart"/>
      <w:r>
        <w:rPr>
          <w:rFonts w:eastAsia="仿宋_GB2312" w:hint="eastAsia"/>
          <w:bCs/>
          <w:sz w:val="32"/>
          <w:szCs w:val="32"/>
        </w:rPr>
        <w:t>流贡献</w:t>
      </w:r>
      <w:proofErr w:type="gramEnd"/>
      <w:r>
        <w:rPr>
          <w:rFonts w:eastAsia="仿宋_GB2312" w:hint="eastAsia"/>
          <w:bCs/>
          <w:sz w:val="32"/>
          <w:szCs w:val="32"/>
        </w:rPr>
        <w:t>占比超过</w:t>
      </w:r>
      <w:r>
        <w:rPr>
          <w:rFonts w:eastAsia="仿宋_GB2312" w:hint="eastAsia"/>
          <w:bCs/>
          <w:sz w:val="32"/>
          <w:szCs w:val="32"/>
        </w:rPr>
        <w:t>10%</w:t>
      </w:r>
      <w:r>
        <w:rPr>
          <w:rFonts w:eastAsia="仿宋_GB2312" w:hint="eastAsia"/>
          <w:bCs/>
          <w:sz w:val="32"/>
          <w:szCs w:val="32"/>
        </w:rPr>
        <w:t>的任一</w:t>
      </w:r>
      <w:r>
        <w:rPr>
          <w:rFonts w:eastAsia="仿宋_GB2312"/>
          <w:bCs/>
          <w:sz w:val="32"/>
          <w:szCs w:val="32"/>
        </w:rPr>
        <w:t>资产</w:t>
      </w:r>
      <w:r>
        <w:rPr>
          <w:rFonts w:eastAsia="仿宋_GB2312"/>
          <w:bCs/>
          <w:kern w:val="0"/>
          <w:sz w:val="32"/>
          <w:szCs w:val="32"/>
        </w:rPr>
        <w:t>存在</w:t>
      </w:r>
      <w:proofErr w:type="gramStart"/>
      <w:r>
        <w:rPr>
          <w:rFonts w:eastAsia="仿宋_GB2312"/>
          <w:bCs/>
          <w:kern w:val="0"/>
          <w:sz w:val="32"/>
          <w:szCs w:val="32"/>
        </w:rPr>
        <w:t>整租安排</w:t>
      </w:r>
      <w:proofErr w:type="gramEnd"/>
      <w:r>
        <w:rPr>
          <w:rFonts w:eastAsia="仿宋_GB2312"/>
          <w:bCs/>
          <w:kern w:val="0"/>
          <w:sz w:val="32"/>
          <w:szCs w:val="32"/>
        </w:rPr>
        <w:t>的，管理人应当披露整租方有关情况以及</w:t>
      </w:r>
      <w:proofErr w:type="gramStart"/>
      <w:r>
        <w:rPr>
          <w:rFonts w:eastAsia="仿宋_GB2312"/>
          <w:bCs/>
          <w:kern w:val="0"/>
          <w:sz w:val="32"/>
          <w:szCs w:val="32"/>
        </w:rPr>
        <w:t>整租安排</w:t>
      </w:r>
      <w:proofErr w:type="gramEnd"/>
      <w:r>
        <w:rPr>
          <w:rFonts w:eastAsia="仿宋_GB2312"/>
          <w:bCs/>
          <w:kern w:val="0"/>
          <w:sz w:val="32"/>
          <w:szCs w:val="32"/>
        </w:rPr>
        <w:t>商业合理性、租金定价公允性，充分揭示风险，并设置风险缓释措施。</w:t>
      </w:r>
    </w:p>
    <w:p w14:paraId="460D81A1" w14:textId="77777777" w:rsidR="005C45E9" w:rsidRDefault="00000000">
      <w:pPr>
        <w:adjustRightInd w:val="0"/>
        <w:snapToGrid w:val="0"/>
        <w:spacing w:line="560" w:lineRule="exact"/>
        <w:ind w:firstLine="640"/>
        <w:rPr>
          <w:rFonts w:eastAsia="仿宋_GB2312"/>
          <w:bCs/>
          <w:kern w:val="0"/>
          <w:sz w:val="32"/>
          <w:szCs w:val="32"/>
        </w:rPr>
      </w:pPr>
      <w:r>
        <w:rPr>
          <w:rFonts w:eastAsia="仿宋_GB2312"/>
          <w:bCs/>
          <w:kern w:val="0"/>
          <w:sz w:val="32"/>
          <w:szCs w:val="32"/>
        </w:rPr>
        <w:t>对于</w:t>
      </w:r>
      <w:r>
        <w:rPr>
          <w:rFonts w:eastAsia="仿宋_GB2312" w:hint="eastAsia"/>
          <w:bCs/>
          <w:kern w:val="0"/>
          <w:sz w:val="32"/>
          <w:szCs w:val="32"/>
        </w:rPr>
        <w:t>不动产项目的各</w:t>
      </w:r>
      <w:r>
        <w:rPr>
          <w:rFonts w:eastAsia="仿宋_GB2312"/>
          <w:bCs/>
          <w:kern w:val="0"/>
          <w:sz w:val="32"/>
          <w:szCs w:val="32"/>
        </w:rPr>
        <w:t>单一资产整租后分租的，管理人应当穿透披露</w:t>
      </w:r>
      <w:r>
        <w:rPr>
          <w:rFonts w:eastAsia="仿宋_GB2312" w:hint="eastAsia"/>
          <w:bCs/>
          <w:sz w:val="32"/>
          <w:szCs w:val="32"/>
        </w:rPr>
        <w:t>不动产</w:t>
      </w:r>
      <w:r>
        <w:rPr>
          <w:rFonts w:eastAsia="仿宋_GB2312"/>
          <w:bCs/>
          <w:kern w:val="0"/>
          <w:sz w:val="32"/>
          <w:szCs w:val="32"/>
        </w:rPr>
        <w:t>项目分租后</w:t>
      </w:r>
      <w:r>
        <w:rPr>
          <w:rFonts w:eastAsia="仿宋_GB2312" w:hint="eastAsia"/>
          <w:bCs/>
          <w:kern w:val="0"/>
          <w:sz w:val="32"/>
          <w:szCs w:val="32"/>
        </w:rPr>
        <w:t>经营</w:t>
      </w:r>
      <w:r>
        <w:rPr>
          <w:rFonts w:eastAsia="仿宋_GB2312"/>
          <w:bCs/>
          <w:kern w:val="0"/>
          <w:sz w:val="32"/>
          <w:szCs w:val="32"/>
        </w:rPr>
        <w:t>情况，充分揭示风险，并设置风险缓释措施。</w:t>
      </w:r>
    </w:p>
    <w:p w14:paraId="0F32D11D"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bCs/>
          <w:kern w:val="0"/>
          <w:sz w:val="32"/>
          <w:szCs w:val="32"/>
        </w:rPr>
        <w:t>管理人应当对</w:t>
      </w:r>
      <w:r>
        <w:rPr>
          <w:rFonts w:eastAsia="仿宋_GB2312" w:hint="eastAsia"/>
          <w:bCs/>
          <w:kern w:val="0"/>
          <w:sz w:val="32"/>
          <w:szCs w:val="32"/>
        </w:rPr>
        <w:t>不动产基金存续期间不动产</w:t>
      </w:r>
      <w:r>
        <w:rPr>
          <w:rFonts w:eastAsia="仿宋_GB2312"/>
          <w:bCs/>
          <w:kern w:val="0"/>
          <w:sz w:val="32"/>
          <w:szCs w:val="32"/>
        </w:rPr>
        <w:t>项目是否存在重要租户换租、集中</w:t>
      </w:r>
      <w:proofErr w:type="gramStart"/>
      <w:r>
        <w:rPr>
          <w:rFonts w:eastAsia="仿宋_GB2312"/>
          <w:bCs/>
          <w:kern w:val="0"/>
          <w:sz w:val="32"/>
          <w:szCs w:val="32"/>
        </w:rPr>
        <w:t>换租风险</w:t>
      </w:r>
      <w:proofErr w:type="gramEnd"/>
      <w:r>
        <w:rPr>
          <w:rFonts w:eastAsia="仿宋_GB2312"/>
          <w:bCs/>
          <w:kern w:val="0"/>
          <w:sz w:val="32"/>
          <w:szCs w:val="32"/>
        </w:rPr>
        <w:t>进行核查，充分揭示风险，并设置风险缓释措施。</w:t>
      </w:r>
    </w:p>
    <w:p w14:paraId="2B8CEDEC" w14:textId="77777777" w:rsidR="005C45E9" w:rsidRDefault="00000000">
      <w:pPr>
        <w:adjustRightInd w:val="0"/>
        <w:snapToGrid w:val="0"/>
        <w:spacing w:line="560" w:lineRule="exact"/>
        <w:ind w:firstLine="640"/>
        <w:rPr>
          <w:rFonts w:eastAsia="仿宋_GB2312"/>
          <w:bCs/>
          <w:kern w:val="0"/>
          <w:sz w:val="32"/>
          <w:szCs w:val="32"/>
        </w:rPr>
      </w:pPr>
      <w:r>
        <w:rPr>
          <w:rFonts w:eastAsia="仿宋_GB2312"/>
          <w:bCs/>
          <w:kern w:val="0"/>
          <w:sz w:val="32"/>
          <w:szCs w:val="32"/>
        </w:rPr>
        <w:t>管理人应当披露</w:t>
      </w:r>
      <w:r>
        <w:rPr>
          <w:rFonts w:eastAsia="仿宋_GB2312" w:hint="eastAsia"/>
          <w:bCs/>
          <w:kern w:val="0"/>
          <w:sz w:val="32"/>
          <w:szCs w:val="32"/>
        </w:rPr>
        <w:t>不动产</w:t>
      </w:r>
      <w:r>
        <w:rPr>
          <w:rFonts w:eastAsia="仿宋_GB2312"/>
          <w:bCs/>
          <w:kern w:val="0"/>
          <w:sz w:val="32"/>
          <w:szCs w:val="32"/>
        </w:rPr>
        <w:t>项目已明确的租约调整计划，包括调整范围、调整时间以及对收入的影响等，并充分揭示风险。</w:t>
      </w:r>
    </w:p>
    <w:p w14:paraId="58904CE7"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bCs/>
          <w:kern w:val="0"/>
          <w:sz w:val="32"/>
          <w:szCs w:val="32"/>
        </w:rPr>
        <w:t>管理人应当披露报告期内</w:t>
      </w:r>
      <w:r>
        <w:rPr>
          <w:rFonts w:eastAsia="仿宋_GB2312" w:hint="eastAsia"/>
          <w:bCs/>
          <w:kern w:val="0"/>
          <w:sz w:val="32"/>
          <w:szCs w:val="32"/>
        </w:rPr>
        <w:t>不动产</w:t>
      </w:r>
      <w:r>
        <w:rPr>
          <w:rFonts w:eastAsia="仿宋_GB2312"/>
          <w:bCs/>
          <w:kern w:val="0"/>
          <w:sz w:val="32"/>
          <w:szCs w:val="32"/>
        </w:rPr>
        <w:t>项目出租率情况，包括年末</w:t>
      </w:r>
      <w:r>
        <w:rPr>
          <w:rFonts w:eastAsia="仿宋_GB2312"/>
          <w:bCs/>
          <w:kern w:val="0"/>
          <w:sz w:val="32"/>
          <w:szCs w:val="32"/>
        </w:rPr>
        <w:t>/</w:t>
      </w:r>
      <w:r>
        <w:rPr>
          <w:rFonts w:eastAsia="仿宋_GB2312"/>
          <w:bCs/>
          <w:kern w:val="0"/>
          <w:sz w:val="32"/>
          <w:szCs w:val="32"/>
        </w:rPr>
        <w:t>期末出租率、年度加权平均出租率、续租率（如有）、</w:t>
      </w:r>
      <w:r>
        <w:rPr>
          <w:rFonts w:eastAsia="仿宋_GB2312" w:hint="eastAsia"/>
          <w:bCs/>
          <w:kern w:val="0"/>
          <w:sz w:val="32"/>
          <w:szCs w:val="32"/>
        </w:rPr>
        <w:t>不动产</w:t>
      </w:r>
      <w:r>
        <w:rPr>
          <w:rFonts w:eastAsia="仿宋_GB2312"/>
          <w:bCs/>
          <w:kern w:val="0"/>
          <w:sz w:val="32"/>
          <w:szCs w:val="32"/>
        </w:rPr>
        <w:t>项目以及同区域可比项目退租后去化时间（如有）等。如</w:t>
      </w:r>
      <w:r>
        <w:rPr>
          <w:rFonts w:eastAsia="仿宋_GB2312" w:hint="eastAsia"/>
          <w:bCs/>
          <w:kern w:val="0"/>
          <w:sz w:val="32"/>
          <w:szCs w:val="32"/>
        </w:rPr>
        <w:t>果</w:t>
      </w:r>
      <w:r>
        <w:rPr>
          <w:rFonts w:eastAsia="仿宋_GB2312"/>
          <w:bCs/>
          <w:kern w:val="0"/>
          <w:sz w:val="32"/>
          <w:szCs w:val="32"/>
        </w:rPr>
        <w:t>前述指标难以获取，采用其他指标进行</w:t>
      </w:r>
      <w:r>
        <w:rPr>
          <w:rFonts w:eastAsia="仿宋_GB2312"/>
          <w:bCs/>
          <w:sz w:val="32"/>
          <w:szCs w:val="32"/>
        </w:rPr>
        <w:t>披露的，应当披露相关指标计算方式。</w:t>
      </w:r>
    </w:p>
    <w:p w14:paraId="32E30F6A" w14:textId="77777777" w:rsidR="005C45E9" w:rsidRDefault="00000000">
      <w:pPr>
        <w:adjustRightInd w:val="0"/>
        <w:snapToGrid w:val="0"/>
        <w:spacing w:line="560" w:lineRule="exact"/>
        <w:ind w:firstLine="640"/>
        <w:rPr>
          <w:rFonts w:eastAsia="仿宋_GB2312"/>
          <w:bCs/>
          <w:kern w:val="0"/>
          <w:sz w:val="32"/>
          <w:szCs w:val="32"/>
        </w:rPr>
      </w:pPr>
      <w:r>
        <w:rPr>
          <w:rFonts w:eastAsia="仿宋_GB2312"/>
          <w:bCs/>
          <w:sz w:val="32"/>
          <w:szCs w:val="32"/>
        </w:rPr>
        <w:t>年末</w:t>
      </w:r>
      <w:r>
        <w:rPr>
          <w:rFonts w:eastAsia="仿宋_GB2312"/>
          <w:bCs/>
          <w:sz w:val="32"/>
          <w:szCs w:val="32"/>
        </w:rPr>
        <w:t>/</w:t>
      </w:r>
      <w:r>
        <w:rPr>
          <w:rFonts w:eastAsia="仿宋_GB2312"/>
          <w:bCs/>
          <w:sz w:val="32"/>
          <w:szCs w:val="32"/>
        </w:rPr>
        <w:t>期末出租率和年度加权平均出租</w:t>
      </w:r>
      <w:proofErr w:type="gramStart"/>
      <w:r>
        <w:rPr>
          <w:rFonts w:eastAsia="仿宋_GB2312"/>
          <w:bCs/>
          <w:sz w:val="32"/>
          <w:szCs w:val="32"/>
        </w:rPr>
        <w:t>率存在</w:t>
      </w:r>
      <w:proofErr w:type="gramEnd"/>
      <w:r>
        <w:rPr>
          <w:rFonts w:eastAsia="仿宋_GB2312"/>
          <w:bCs/>
          <w:sz w:val="32"/>
          <w:szCs w:val="32"/>
        </w:rPr>
        <w:t>较大差异的，管理人应当披露具体原因。</w:t>
      </w:r>
    </w:p>
    <w:p w14:paraId="4BD312A6"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bCs/>
          <w:kern w:val="0"/>
          <w:sz w:val="32"/>
          <w:szCs w:val="32"/>
        </w:rPr>
        <w:t>管理人应当披露</w:t>
      </w:r>
      <w:r>
        <w:rPr>
          <w:rFonts w:eastAsia="仿宋_GB2312" w:hint="eastAsia"/>
          <w:bCs/>
          <w:kern w:val="0"/>
          <w:sz w:val="32"/>
          <w:szCs w:val="32"/>
        </w:rPr>
        <w:t>不动产</w:t>
      </w:r>
      <w:r>
        <w:rPr>
          <w:rFonts w:eastAsia="仿宋_GB2312"/>
          <w:bCs/>
          <w:kern w:val="0"/>
          <w:sz w:val="32"/>
          <w:szCs w:val="32"/>
        </w:rPr>
        <w:t>项目报告期各期年末</w:t>
      </w:r>
      <w:r>
        <w:rPr>
          <w:rFonts w:eastAsia="仿宋_GB2312"/>
          <w:bCs/>
          <w:kern w:val="0"/>
          <w:sz w:val="32"/>
          <w:szCs w:val="32"/>
        </w:rPr>
        <w:t>/</w:t>
      </w:r>
      <w:r>
        <w:rPr>
          <w:rFonts w:eastAsia="仿宋_GB2312"/>
          <w:bCs/>
          <w:kern w:val="0"/>
          <w:sz w:val="32"/>
          <w:szCs w:val="32"/>
        </w:rPr>
        <w:t>期末合同租金单价、有效租金单价、最近一期新签合同实际租金单价（如有）、与可比项目租金</w:t>
      </w:r>
      <w:r>
        <w:rPr>
          <w:rFonts w:eastAsia="仿宋_GB2312" w:hint="eastAsia"/>
          <w:bCs/>
          <w:kern w:val="0"/>
          <w:sz w:val="32"/>
          <w:szCs w:val="32"/>
        </w:rPr>
        <w:t>单价</w:t>
      </w:r>
      <w:r>
        <w:rPr>
          <w:rFonts w:eastAsia="仿宋_GB2312"/>
          <w:bCs/>
          <w:kern w:val="0"/>
          <w:sz w:val="32"/>
          <w:szCs w:val="32"/>
        </w:rPr>
        <w:t>对比情况、租金增长率、租金收缴率、</w:t>
      </w:r>
      <w:r>
        <w:rPr>
          <w:rFonts w:eastAsia="仿宋_GB2312"/>
          <w:bCs/>
          <w:sz w:val="32"/>
          <w:szCs w:val="32"/>
        </w:rPr>
        <w:t>租金支付结算方式</w:t>
      </w:r>
      <w:r>
        <w:rPr>
          <w:rFonts w:eastAsia="仿宋_GB2312"/>
          <w:bCs/>
          <w:kern w:val="0"/>
          <w:sz w:val="32"/>
          <w:szCs w:val="32"/>
        </w:rPr>
        <w:t>等。</w:t>
      </w:r>
      <w:r>
        <w:rPr>
          <w:rFonts w:eastAsia="仿宋_GB2312"/>
          <w:bCs/>
          <w:sz w:val="32"/>
          <w:szCs w:val="32"/>
        </w:rPr>
        <w:t>披露其他指标的，应当披露相关</w:t>
      </w:r>
      <w:r>
        <w:rPr>
          <w:rFonts w:eastAsia="仿宋_GB2312" w:hint="eastAsia"/>
          <w:bCs/>
          <w:sz w:val="32"/>
          <w:szCs w:val="32"/>
        </w:rPr>
        <w:t>指标</w:t>
      </w:r>
      <w:r>
        <w:rPr>
          <w:rFonts w:eastAsia="仿宋_GB2312"/>
          <w:bCs/>
          <w:sz w:val="32"/>
          <w:szCs w:val="32"/>
        </w:rPr>
        <w:t>计算方式。</w:t>
      </w:r>
    </w:p>
    <w:p w14:paraId="7B7F4C88" w14:textId="77777777" w:rsidR="005C45E9" w:rsidRDefault="00000000">
      <w:pPr>
        <w:adjustRightInd w:val="0"/>
        <w:snapToGrid w:val="0"/>
        <w:spacing w:line="560" w:lineRule="exact"/>
        <w:ind w:firstLine="640"/>
        <w:rPr>
          <w:rFonts w:eastAsia="仿宋_GB2312"/>
          <w:bCs/>
          <w:kern w:val="0"/>
          <w:sz w:val="32"/>
          <w:szCs w:val="32"/>
        </w:rPr>
      </w:pPr>
      <w:r>
        <w:rPr>
          <w:rFonts w:eastAsia="仿宋_GB2312"/>
          <w:bCs/>
          <w:kern w:val="0"/>
          <w:sz w:val="32"/>
          <w:szCs w:val="32"/>
        </w:rPr>
        <w:t>报告期内租金</w:t>
      </w:r>
      <w:r>
        <w:rPr>
          <w:rFonts w:eastAsia="仿宋_GB2312" w:hint="eastAsia"/>
          <w:bCs/>
          <w:kern w:val="0"/>
          <w:sz w:val="32"/>
          <w:szCs w:val="32"/>
        </w:rPr>
        <w:t>单价</w:t>
      </w:r>
      <w:r>
        <w:rPr>
          <w:rFonts w:eastAsia="仿宋_GB2312"/>
          <w:bCs/>
          <w:kern w:val="0"/>
          <w:sz w:val="32"/>
          <w:szCs w:val="32"/>
        </w:rPr>
        <w:t>、租金增长率、租金收缴率明显变化的，管理人应当说明原因，并对其变化的合理性以及可持续性发表明确意见。</w:t>
      </w:r>
    </w:p>
    <w:p w14:paraId="5DA802A1"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管理人和律师应当对尽职调查基准日租赁合同是否存在特殊条款进行核查，包括租赁期限限制、转租限制、优先购买安排、提前退租、租金优惠减免等。</w:t>
      </w:r>
      <w:r>
        <w:rPr>
          <w:rFonts w:eastAsia="仿宋_GB2312" w:hint="eastAsia"/>
          <w:bCs/>
          <w:sz w:val="32"/>
          <w:szCs w:val="32"/>
        </w:rPr>
        <w:t>依据当地行业政策规定设置限制性条款的，管理人应当披露相应政策规定具体内容。</w:t>
      </w:r>
    </w:p>
    <w:p w14:paraId="1179B2D5" w14:textId="77777777" w:rsidR="005C45E9" w:rsidRDefault="00000000">
      <w:pPr>
        <w:adjustRightInd w:val="0"/>
        <w:snapToGrid w:val="0"/>
        <w:spacing w:line="560" w:lineRule="exact"/>
        <w:ind w:firstLineChars="200" w:firstLine="640"/>
        <w:rPr>
          <w:rStyle w:val="13"/>
          <w:rFonts w:eastAsia="仿宋_GB2312"/>
          <w:bCs/>
          <w:kern w:val="0"/>
          <w:sz w:val="32"/>
          <w:szCs w:val="32"/>
        </w:rPr>
      </w:pPr>
      <w:r>
        <w:rPr>
          <w:rFonts w:eastAsia="仿宋_GB2312"/>
          <w:bCs/>
          <w:kern w:val="0"/>
          <w:sz w:val="32"/>
          <w:szCs w:val="32"/>
        </w:rPr>
        <w:t>存在特殊条款的，管理人应当披露相关条款对</w:t>
      </w:r>
      <w:r>
        <w:rPr>
          <w:rFonts w:eastAsia="仿宋_GB2312" w:hint="eastAsia"/>
          <w:bCs/>
          <w:kern w:val="0"/>
          <w:sz w:val="32"/>
          <w:szCs w:val="32"/>
        </w:rPr>
        <w:t>不动产</w:t>
      </w:r>
      <w:r>
        <w:rPr>
          <w:rFonts w:eastAsia="仿宋_GB2312"/>
          <w:bCs/>
          <w:kern w:val="0"/>
          <w:sz w:val="32"/>
          <w:szCs w:val="32"/>
        </w:rPr>
        <w:t>项目运营以及处置产生的影响，充分揭示风险，并设置风险缓释措施。</w:t>
      </w:r>
    </w:p>
    <w:p w14:paraId="04CE4EC7"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hint="eastAsia"/>
          <w:bCs/>
          <w:kern w:val="0"/>
          <w:sz w:val="32"/>
          <w:szCs w:val="32"/>
        </w:rPr>
        <w:t>不动产</w:t>
      </w:r>
      <w:r>
        <w:rPr>
          <w:rFonts w:eastAsia="仿宋_GB2312"/>
          <w:bCs/>
          <w:kern w:val="0"/>
          <w:sz w:val="32"/>
          <w:szCs w:val="32"/>
        </w:rPr>
        <w:t>项目涉及的租赁合同应当符合</w:t>
      </w:r>
      <w:r>
        <w:rPr>
          <w:rFonts w:eastAsia="仿宋_GB2312" w:hint="eastAsia"/>
          <w:bCs/>
          <w:kern w:val="0"/>
          <w:sz w:val="32"/>
          <w:szCs w:val="32"/>
        </w:rPr>
        <w:t>有关</w:t>
      </w:r>
      <w:r>
        <w:rPr>
          <w:rFonts w:eastAsia="仿宋_GB2312"/>
          <w:bCs/>
          <w:kern w:val="0"/>
          <w:sz w:val="32"/>
          <w:szCs w:val="32"/>
        </w:rPr>
        <w:t>登记备案的管理规定。未</w:t>
      </w:r>
      <w:r>
        <w:rPr>
          <w:rFonts w:eastAsia="仿宋_GB2312" w:hint="eastAsia"/>
          <w:bCs/>
          <w:kern w:val="0"/>
          <w:sz w:val="32"/>
          <w:szCs w:val="32"/>
        </w:rPr>
        <w:t>按照</w:t>
      </w:r>
      <w:r>
        <w:rPr>
          <w:rFonts w:eastAsia="仿宋_GB2312"/>
          <w:bCs/>
          <w:kern w:val="0"/>
          <w:sz w:val="32"/>
          <w:szCs w:val="32"/>
        </w:rPr>
        <w:t>规定办理登记备案的，管理人应当说明原因，充分揭示风险，并设置风险缓释措施。</w:t>
      </w:r>
    </w:p>
    <w:p w14:paraId="79B0E103"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项目收费权或者经营权取得依据、收费标准、经营期限的法律法规规定或者合同约定。</w:t>
      </w:r>
    </w:p>
    <w:p w14:paraId="11B51D30"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项目收费减免或者优惠情况，包括减免或者优惠政策情况、政策延续性、减免或者优惠金额占收入的比重，并说明减免或者优惠安排对历史现金流的影响。</w:t>
      </w:r>
    </w:p>
    <w:p w14:paraId="6C2D7FE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预计</w:t>
      </w:r>
      <w:r>
        <w:rPr>
          <w:rFonts w:eastAsia="仿宋_GB2312" w:hint="eastAsia"/>
          <w:bCs/>
          <w:sz w:val="32"/>
          <w:szCs w:val="32"/>
        </w:rPr>
        <w:t>不动产项目在不动产</w:t>
      </w:r>
      <w:r>
        <w:rPr>
          <w:rFonts w:eastAsia="仿宋_GB2312"/>
          <w:bCs/>
          <w:sz w:val="32"/>
          <w:szCs w:val="32"/>
        </w:rPr>
        <w:t>基金存续期</w:t>
      </w:r>
      <w:r>
        <w:rPr>
          <w:rFonts w:eastAsia="仿宋_GB2312" w:hint="eastAsia"/>
          <w:bCs/>
          <w:sz w:val="32"/>
          <w:szCs w:val="32"/>
        </w:rPr>
        <w:t>间</w:t>
      </w:r>
      <w:r>
        <w:rPr>
          <w:rFonts w:eastAsia="仿宋_GB2312"/>
          <w:bCs/>
          <w:sz w:val="32"/>
          <w:szCs w:val="32"/>
        </w:rPr>
        <w:t>存在收费减免或者优惠情形的，管理人应当充分揭示风险，并设置风险缓释措施。</w:t>
      </w:r>
    </w:p>
    <w:p w14:paraId="28905CA5" w14:textId="77777777" w:rsidR="005C45E9" w:rsidRDefault="00000000">
      <w:pPr>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项目存在重要现金</w:t>
      </w:r>
      <w:proofErr w:type="gramStart"/>
      <w:r>
        <w:rPr>
          <w:rFonts w:eastAsia="仿宋_GB2312"/>
          <w:bCs/>
          <w:sz w:val="32"/>
          <w:szCs w:val="32"/>
        </w:rPr>
        <w:t>流提供</w:t>
      </w:r>
      <w:proofErr w:type="gramEnd"/>
      <w:r>
        <w:rPr>
          <w:rFonts w:eastAsia="仿宋_GB2312"/>
          <w:bCs/>
          <w:sz w:val="32"/>
          <w:szCs w:val="32"/>
        </w:rPr>
        <w:t>方的，重要现金</w:t>
      </w:r>
      <w:proofErr w:type="gramStart"/>
      <w:r>
        <w:rPr>
          <w:rFonts w:eastAsia="仿宋_GB2312"/>
          <w:bCs/>
          <w:sz w:val="32"/>
          <w:szCs w:val="32"/>
        </w:rPr>
        <w:t>流提供</w:t>
      </w:r>
      <w:proofErr w:type="gramEnd"/>
      <w:r>
        <w:rPr>
          <w:rFonts w:eastAsia="仿宋_GB2312"/>
          <w:bCs/>
          <w:sz w:val="32"/>
          <w:szCs w:val="32"/>
        </w:rPr>
        <w:t>方应当资信情况良好，经营以及财务状况稳健。</w:t>
      </w:r>
    </w:p>
    <w:p w14:paraId="453EE182" w14:textId="77777777" w:rsidR="005C45E9" w:rsidRDefault="00000000">
      <w:pPr>
        <w:adjustRightInd w:val="0"/>
        <w:snapToGrid w:val="0"/>
        <w:spacing w:line="560" w:lineRule="exact"/>
        <w:ind w:firstLine="640"/>
        <w:rPr>
          <w:rFonts w:eastAsia="仿宋_GB2312"/>
          <w:bCs/>
          <w:sz w:val="32"/>
          <w:szCs w:val="32"/>
        </w:rPr>
      </w:pPr>
      <w:r>
        <w:rPr>
          <w:rFonts w:eastAsia="仿宋_GB2312"/>
          <w:bCs/>
          <w:sz w:val="32"/>
          <w:szCs w:val="32"/>
        </w:rPr>
        <w:t>管理人应当披露重要现金</w:t>
      </w:r>
      <w:proofErr w:type="gramStart"/>
      <w:r>
        <w:rPr>
          <w:rFonts w:eastAsia="仿宋_GB2312"/>
          <w:bCs/>
          <w:sz w:val="32"/>
          <w:szCs w:val="32"/>
        </w:rPr>
        <w:t>流提供</w:t>
      </w:r>
      <w:proofErr w:type="gramEnd"/>
      <w:r>
        <w:rPr>
          <w:rFonts w:eastAsia="仿宋_GB2312"/>
          <w:bCs/>
          <w:sz w:val="32"/>
          <w:szCs w:val="32"/>
        </w:rPr>
        <w:t>方的基本情况</w:t>
      </w:r>
      <w:r>
        <w:rPr>
          <w:rFonts w:eastAsia="仿宋_GB2312" w:hint="eastAsia"/>
          <w:bCs/>
          <w:sz w:val="32"/>
          <w:szCs w:val="32"/>
        </w:rPr>
        <w:t>、</w:t>
      </w:r>
      <w:r>
        <w:rPr>
          <w:rFonts w:eastAsia="仿宋_GB2312"/>
          <w:bCs/>
          <w:sz w:val="32"/>
          <w:szCs w:val="32"/>
        </w:rPr>
        <w:t>主营业务情况</w:t>
      </w:r>
      <w:r>
        <w:rPr>
          <w:rFonts w:eastAsia="仿宋_GB2312" w:hint="eastAsia"/>
          <w:bCs/>
          <w:sz w:val="32"/>
          <w:szCs w:val="32"/>
        </w:rPr>
        <w:t>、</w:t>
      </w:r>
      <w:r>
        <w:rPr>
          <w:rFonts w:eastAsia="仿宋_GB2312"/>
          <w:bCs/>
          <w:sz w:val="32"/>
          <w:szCs w:val="32"/>
        </w:rPr>
        <w:t>经营情况</w:t>
      </w:r>
      <w:r>
        <w:rPr>
          <w:rFonts w:eastAsia="仿宋_GB2312" w:hint="eastAsia"/>
          <w:bCs/>
          <w:sz w:val="32"/>
          <w:szCs w:val="32"/>
        </w:rPr>
        <w:t>、财务状况（如有）、</w:t>
      </w:r>
      <w:r>
        <w:rPr>
          <w:rFonts w:eastAsia="仿宋_GB2312"/>
          <w:bCs/>
          <w:sz w:val="32"/>
          <w:szCs w:val="32"/>
        </w:rPr>
        <w:t>公司主体评级情况（如有）</w:t>
      </w:r>
      <w:r>
        <w:rPr>
          <w:rFonts w:eastAsia="仿宋_GB2312" w:hint="eastAsia"/>
          <w:bCs/>
          <w:sz w:val="32"/>
          <w:szCs w:val="32"/>
        </w:rPr>
        <w:t>、</w:t>
      </w:r>
      <w:r>
        <w:rPr>
          <w:rFonts w:eastAsia="仿宋_GB2312"/>
          <w:bCs/>
          <w:sz w:val="32"/>
          <w:szCs w:val="32"/>
        </w:rPr>
        <w:t>与原始权益人的关联关系和过往业务合作情况</w:t>
      </w:r>
      <w:r>
        <w:rPr>
          <w:rFonts w:eastAsia="仿宋_GB2312" w:hint="eastAsia"/>
          <w:bCs/>
          <w:sz w:val="32"/>
          <w:szCs w:val="32"/>
        </w:rPr>
        <w:t>、</w:t>
      </w:r>
      <w:r>
        <w:rPr>
          <w:rFonts w:eastAsia="仿宋_GB2312"/>
          <w:bCs/>
          <w:sz w:val="32"/>
          <w:szCs w:val="32"/>
        </w:rPr>
        <w:t>历史租金支付情况（如有），以及最近</w:t>
      </w:r>
      <w:r>
        <w:rPr>
          <w:rFonts w:eastAsia="仿宋_GB2312" w:hint="eastAsia"/>
          <w:bCs/>
          <w:sz w:val="32"/>
          <w:szCs w:val="32"/>
        </w:rPr>
        <w:t>3</w:t>
      </w:r>
      <w:r>
        <w:rPr>
          <w:rFonts w:eastAsia="仿宋_GB2312"/>
          <w:bCs/>
          <w:sz w:val="32"/>
          <w:szCs w:val="32"/>
        </w:rPr>
        <w:t>年是否存在因严重违法失信行为被有权部门认定为失信被执行人、重大税收违法案件当事人或者涉及金融严重失信人等情形。</w:t>
      </w:r>
    </w:p>
    <w:p w14:paraId="185E2194" w14:textId="77777777" w:rsidR="005C45E9" w:rsidRDefault="00000000">
      <w:pPr>
        <w:adjustRightInd w:val="0"/>
        <w:snapToGrid w:val="0"/>
        <w:spacing w:line="560" w:lineRule="exact"/>
        <w:ind w:firstLine="640"/>
        <w:rPr>
          <w:rFonts w:eastAsia="仿宋_GB2312"/>
          <w:bCs/>
          <w:sz w:val="32"/>
          <w:szCs w:val="32"/>
        </w:rPr>
      </w:pPr>
      <w:r>
        <w:rPr>
          <w:rFonts w:eastAsia="仿宋_GB2312"/>
          <w:bCs/>
          <w:sz w:val="32"/>
          <w:szCs w:val="32"/>
        </w:rPr>
        <w:t>管理人应当披露重要现金</w:t>
      </w:r>
      <w:proofErr w:type="gramStart"/>
      <w:r>
        <w:rPr>
          <w:rFonts w:eastAsia="仿宋_GB2312"/>
          <w:bCs/>
          <w:sz w:val="32"/>
          <w:szCs w:val="32"/>
        </w:rPr>
        <w:t>流提供</w:t>
      </w:r>
      <w:proofErr w:type="gramEnd"/>
      <w:r>
        <w:rPr>
          <w:rFonts w:eastAsia="仿宋_GB2312"/>
          <w:bCs/>
          <w:sz w:val="32"/>
          <w:szCs w:val="32"/>
        </w:rPr>
        <w:t>方的</w:t>
      </w:r>
      <w:proofErr w:type="gramStart"/>
      <w:r>
        <w:rPr>
          <w:rFonts w:eastAsia="仿宋_GB2312"/>
          <w:bCs/>
          <w:sz w:val="32"/>
          <w:szCs w:val="32"/>
        </w:rPr>
        <w:t>现金流占比</w:t>
      </w:r>
      <w:proofErr w:type="gramEnd"/>
      <w:r>
        <w:rPr>
          <w:rFonts w:eastAsia="仿宋_GB2312" w:hint="eastAsia"/>
          <w:bCs/>
          <w:sz w:val="32"/>
          <w:szCs w:val="32"/>
        </w:rPr>
        <w:t>、</w:t>
      </w:r>
      <w:r>
        <w:rPr>
          <w:rFonts w:eastAsia="仿宋_GB2312"/>
          <w:bCs/>
          <w:sz w:val="32"/>
          <w:szCs w:val="32"/>
        </w:rPr>
        <w:t>租赁面积占比（如有）</w:t>
      </w:r>
      <w:r>
        <w:rPr>
          <w:rFonts w:eastAsia="仿宋_GB2312" w:hint="eastAsia"/>
          <w:bCs/>
          <w:sz w:val="32"/>
          <w:szCs w:val="32"/>
        </w:rPr>
        <w:t>、有关</w:t>
      </w:r>
      <w:r>
        <w:rPr>
          <w:rFonts w:eastAsia="仿宋_GB2312"/>
          <w:bCs/>
          <w:sz w:val="32"/>
          <w:szCs w:val="32"/>
        </w:rPr>
        <w:t>协议期限</w:t>
      </w:r>
      <w:r>
        <w:rPr>
          <w:rFonts w:eastAsia="仿宋_GB2312" w:hint="eastAsia"/>
          <w:bCs/>
          <w:sz w:val="32"/>
          <w:szCs w:val="32"/>
        </w:rPr>
        <w:t>、</w:t>
      </w:r>
      <w:r>
        <w:rPr>
          <w:rFonts w:eastAsia="仿宋_GB2312"/>
          <w:bCs/>
          <w:sz w:val="32"/>
          <w:szCs w:val="32"/>
        </w:rPr>
        <w:t>续约安排（如有）</w:t>
      </w:r>
      <w:r>
        <w:rPr>
          <w:rFonts w:eastAsia="仿宋_GB2312" w:hint="eastAsia"/>
          <w:bCs/>
          <w:sz w:val="32"/>
          <w:szCs w:val="32"/>
        </w:rPr>
        <w:t>、</w:t>
      </w:r>
      <w:r>
        <w:rPr>
          <w:rFonts w:eastAsia="仿宋_GB2312"/>
          <w:bCs/>
          <w:sz w:val="32"/>
          <w:szCs w:val="32"/>
        </w:rPr>
        <w:t>租金收缴率（如有）</w:t>
      </w:r>
      <w:r>
        <w:rPr>
          <w:rFonts w:eastAsia="仿宋_GB2312" w:hint="eastAsia"/>
          <w:bCs/>
          <w:sz w:val="32"/>
          <w:szCs w:val="32"/>
        </w:rPr>
        <w:t>、</w:t>
      </w:r>
      <w:r>
        <w:rPr>
          <w:rFonts w:eastAsia="仿宋_GB2312"/>
          <w:bCs/>
          <w:sz w:val="32"/>
          <w:szCs w:val="32"/>
        </w:rPr>
        <w:t>定制化服务等情况，</w:t>
      </w:r>
      <w:bookmarkStart w:id="4" w:name="_Hlk179385904"/>
      <w:r>
        <w:rPr>
          <w:rFonts w:eastAsia="仿宋_GB2312"/>
          <w:bCs/>
          <w:sz w:val="32"/>
          <w:szCs w:val="32"/>
        </w:rPr>
        <w:t>结合重要现金</w:t>
      </w:r>
      <w:proofErr w:type="gramStart"/>
      <w:r>
        <w:rPr>
          <w:rFonts w:eastAsia="仿宋_GB2312"/>
          <w:bCs/>
          <w:sz w:val="32"/>
          <w:szCs w:val="32"/>
        </w:rPr>
        <w:t>流提供</w:t>
      </w:r>
      <w:proofErr w:type="gramEnd"/>
      <w:r>
        <w:rPr>
          <w:rFonts w:eastAsia="仿宋_GB2312"/>
          <w:bCs/>
          <w:sz w:val="32"/>
          <w:szCs w:val="32"/>
        </w:rPr>
        <w:t>方的可替代性等情况，说明</w:t>
      </w:r>
      <w:r>
        <w:rPr>
          <w:rFonts w:eastAsia="仿宋_GB2312" w:hint="eastAsia"/>
          <w:bCs/>
          <w:sz w:val="32"/>
          <w:szCs w:val="32"/>
        </w:rPr>
        <w:t>不动产</w:t>
      </w:r>
      <w:r>
        <w:rPr>
          <w:rFonts w:eastAsia="仿宋_GB2312"/>
          <w:bCs/>
          <w:sz w:val="32"/>
          <w:szCs w:val="32"/>
        </w:rPr>
        <w:t>项目运营的稳定性</w:t>
      </w:r>
      <w:bookmarkEnd w:id="4"/>
      <w:r>
        <w:rPr>
          <w:rFonts w:eastAsia="仿宋_GB2312"/>
          <w:bCs/>
          <w:sz w:val="32"/>
          <w:szCs w:val="32"/>
        </w:rPr>
        <w:t>，充分揭示风险，并设置风险缓释措施。</w:t>
      </w:r>
    </w:p>
    <w:p w14:paraId="6E3AED13"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管理人应当披露报告期内不动产</w:t>
      </w:r>
      <w:r>
        <w:rPr>
          <w:rFonts w:eastAsia="仿宋_GB2312"/>
          <w:bCs/>
          <w:sz w:val="32"/>
          <w:szCs w:val="32"/>
        </w:rPr>
        <w:t>项目的主要成本构成，包括人工成本、运营管理成本、维修改造成本、资本性支出（如有）、销售成本（如有）、折旧摊销</w:t>
      </w:r>
      <w:r>
        <w:rPr>
          <w:rFonts w:eastAsia="仿宋_GB2312" w:hint="eastAsia"/>
          <w:bCs/>
          <w:sz w:val="32"/>
          <w:szCs w:val="32"/>
        </w:rPr>
        <w:t>（如有）</w:t>
      </w:r>
      <w:r>
        <w:rPr>
          <w:rFonts w:eastAsia="仿宋_GB2312"/>
          <w:bCs/>
          <w:sz w:val="32"/>
          <w:szCs w:val="32"/>
        </w:rPr>
        <w:t>、利息支出（如有）、养护成本（如有）、相关税金和费用等，以及各类成本占营业收入的比重和变化情况。</w:t>
      </w:r>
    </w:p>
    <w:p w14:paraId="65A5E896"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项目收入来源</w:t>
      </w:r>
      <w:r>
        <w:rPr>
          <w:rFonts w:eastAsia="仿宋_GB2312" w:hint="eastAsia"/>
          <w:bCs/>
          <w:sz w:val="32"/>
          <w:szCs w:val="32"/>
        </w:rPr>
        <w:t>包括</w:t>
      </w:r>
      <w:r>
        <w:rPr>
          <w:rFonts w:eastAsia="仿宋_GB2312"/>
          <w:bCs/>
          <w:sz w:val="32"/>
          <w:szCs w:val="32"/>
        </w:rPr>
        <w:t>政府补贴的，该政府补贴应当属于根据政策文件提供的行业性、区域性的补贴，不属于针对特定</w:t>
      </w:r>
      <w:r>
        <w:rPr>
          <w:rFonts w:eastAsia="仿宋_GB2312" w:hint="eastAsia"/>
          <w:bCs/>
          <w:sz w:val="32"/>
          <w:szCs w:val="32"/>
        </w:rPr>
        <w:t>不动产</w:t>
      </w:r>
      <w:r>
        <w:rPr>
          <w:rFonts w:eastAsia="仿宋_GB2312"/>
          <w:bCs/>
          <w:sz w:val="32"/>
          <w:szCs w:val="32"/>
        </w:rPr>
        <w:t>项目的专</w:t>
      </w:r>
      <w:r>
        <w:rPr>
          <w:rFonts w:eastAsia="仿宋_GB2312" w:hint="eastAsia"/>
          <w:bCs/>
          <w:sz w:val="32"/>
          <w:szCs w:val="32"/>
        </w:rPr>
        <w:t>项</w:t>
      </w:r>
      <w:r>
        <w:rPr>
          <w:rFonts w:eastAsia="仿宋_GB2312"/>
          <w:bCs/>
          <w:sz w:val="32"/>
          <w:szCs w:val="32"/>
        </w:rPr>
        <w:t>补贴。</w:t>
      </w:r>
    </w:p>
    <w:p w14:paraId="28D8B7E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管理人应当披露补贴政策依据、补贴形式、补贴标准、补贴年限、补贴金额</w:t>
      </w:r>
      <w:r>
        <w:rPr>
          <w:rFonts w:eastAsia="仿宋_GB2312" w:hint="eastAsia"/>
          <w:bCs/>
          <w:sz w:val="32"/>
          <w:szCs w:val="32"/>
        </w:rPr>
        <w:t>及其</w:t>
      </w:r>
      <w:r>
        <w:rPr>
          <w:rFonts w:eastAsia="仿宋_GB2312"/>
          <w:bCs/>
          <w:sz w:val="32"/>
          <w:szCs w:val="32"/>
        </w:rPr>
        <w:t>占营业收入比例、补贴资金历史到账情况以及可持续性、稳定性等情况，充分揭示风险，并设置风险缓释措施。</w:t>
      </w:r>
    </w:p>
    <w:p w14:paraId="1D140AF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项目租户租金涉及政府补贴的，管理人还应当披露享受政府补贴租户的租金价格、租约期限、租赁面积及其占比、租金收入及其占比、租约的稳定性、续租率、补贴与租金支付的对应关系（如有）、租户的持续经营情况等，并充分揭示风险。</w:t>
      </w:r>
    </w:p>
    <w:p w14:paraId="24F54461"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项目当前运营所适用的税收政策，以及相关税收优惠政策情况（如有）。未来税收政策变动可能导致</w:t>
      </w:r>
      <w:r>
        <w:rPr>
          <w:rFonts w:eastAsia="仿宋_GB2312" w:hint="eastAsia"/>
          <w:bCs/>
          <w:sz w:val="32"/>
          <w:szCs w:val="32"/>
        </w:rPr>
        <w:t>不动产</w:t>
      </w:r>
      <w:r>
        <w:rPr>
          <w:rFonts w:eastAsia="仿宋_GB2312"/>
          <w:bCs/>
          <w:sz w:val="32"/>
          <w:szCs w:val="32"/>
        </w:rPr>
        <w:t>项目现金</w:t>
      </w:r>
      <w:proofErr w:type="gramStart"/>
      <w:r>
        <w:rPr>
          <w:rFonts w:eastAsia="仿宋_GB2312"/>
          <w:bCs/>
          <w:sz w:val="32"/>
          <w:szCs w:val="32"/>
        </w:rPr>
        <w:t>流出现</w:t>
      </w:r>
      <w:proofErr w:type="gramEnd"/>
      <w:r>
        <w:rPr>
          <w:rFonts w:eastAsia="仿宋_GB2312"/>
          <w:bCs/>
          <w:sz w:val="32"/>
          <w:szCs w:val="32"/>
        </w:rPr>
        <w:t>较大波动的，管理人应当充分揭示风险。</w:t>
      </w:r>
    </w:p>
    <w:p w14:paraId="704CFBE0"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项目的投保情况，包括投保险种、投保金额、投保期限等。</w:t>
      </w:r>
      <w:r>
        <w:rPr>
          <w:rFonts w:eastAsia="仿宋_GB2312" w:hint="eastAsia"/>
          <w:bCs/>
          <w:sz w:val="32"/>
          <w:szCs w:val="32"/>
        </w:rPr>
        <w:t>不动产</w:t>
      </w:r>
      <w:r>
        <w:rPr>
          <w:rFonts w:eastAsia="仿宋_GB2312"/>
          <w:bCs/>
          <w:sz w:val="32"/>
          <w:szCs w:val="32"/>
        </w:rPr>
        <w:t>基金存续期间，投保金额原则上应当覆盖</w:t>
      </w:r>
      <w:r>
        <w:rPr>
          <w:rFonts w:eastAsia="仿宋_GB2312" w:hint="eastAsia"/>
          <w:bCs/>
          <w:sz w:val="32"/>
          <w:szCs w:val="32"/>
        </w:rPr>
        <w:t>不动产</w:t>
      </w:r>
      <w:r>
        <w:rPr>
          <w:rFonts w:eastAsia="仿宋_GB2312"/>
          <w:bCs/>
          <w:sz w:val="32"/>
          <w:szCs w:val="32"/>
        </w:rPr>
        <w:t>项目评估价值。</w:t>
      </w:r>
    </w:p>
    <w:p w14:paraId="5467BAE2"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管理人应当披露主要原始权益人及其控股股东、实际控制人持有的其他同类资产情况，对</w:t>
      </w:r>
      <w:r>
        <w:rPr>
          <w:rFonts w:eastAsia="仿宋_GB2312" w:hint="eastAsia"/>
          <w:bCs/>
          <w:sz w:val="32"/>
          <w:szCs w:val="32"/>
        </w:rPr>
        <w:t>不动产</w:t>
      </w:r>
      <w:r>
        <w:rPr>
          <w:rFonts w:eastAsia="仿宋_GB2312"/>
          <w:bCs/>
          <w:sz w:val="32"/>
          <w:szCs w:val="32"/>
        </w:rPr>
        <w:t>项目和其他同类资产的区域分布、盈利能力等情况进行比较，说明以本项目作为</w:t>
      </w:r>
      <w:r>
        <w:rPr>
          <w:rFonts w:eastAsia="仿宋_GB2312" w:hint="eastAsia"/>
          <w:bCs/>
          <w:sz w:val="32"/>
          <w:szCs w:val="32"/>
        </w:rPr>
        <w:t>不动产</w:t>
      </w:r>
      <w:r>
        <w:rPr>
          <w:rFonts w:eastAsia="仿宋_GB2312"/>
          <w:bCs/>
          <w:sz w:val="32"/>
          <w:szCs w:val="32"/>
        </w:rPr>
        <w:t>基金资产的主要考虑。</w:t>
      </w:r>
    </w:p>
    <w:p w14:paraId="2A79495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sz w:val="32"/>
          <w:szCs w:val="32"/>
        </w:rPr>
        <w:t>管理人应当披露同区域主要原始权益人以及其他主体运营或者在建的同类</w:t>
      </w:r>
      <w:r>
        <w:rPr>
          <w:rFonts w:eastAsia="仿宋_GB2312" w:hint="eastAsia"/>
          <w:sz w:val="32"/>
          <w:szCs w:val="32"/>
        </w:rPr>
        <w:t>资产</w:t>
      </w:r>
      <w:r>
        <w:rPr>
          <w:rFonts w:eastAsia="仿宋_GB2312"/>
          <w:sz w:val="32"/>
          <w:szCs w:val="32"/>
        </w:rPr>
        <w:t>情况，包括主要运营主体、经营情况等，并说明</w:t>
      </w:r>
      <w:r>
        <w:rPr>
          <w:rFonts w:eastAsia="仿宋_GB2312" w:hint="eastAsia"/>
          <w:sz w:val="32"/>
          <w:szCs w:val="32"/>
        </w:rPr>
        <w:t>与不动产</w:t>
      </w:r>
      <w:r>
        <w:rPr>
          <w:rFonts w:eastAsia="仿宋_GB2312"/>
          <w:sz w:val="32"/>
          <w:szCs w:val="32"/>
        </w:rPr>
        <w:t>项目的竞争关系，以及拟采取的减少利益冲突的措施</w:t>
      </w:r>
      <w:r>
        <w:rPr>
          <w:rFonts w:eastAsia="仿宋_GB2312" w:hint="eastAsia"/>
          <w:sz w:val="32"/>
          <w:szCs w:val="32"/>
        </w:rPr>
        <w:t>安排</w:t>
      </w:r>
      <w:r>
        <w:rPr>
          <w:rFonts w:eastAsia="仿宋_GB2312"/>
          <w:sz w:val="32"/>
          <w:szCs w:val="32"/>
        </w:rPr>
        <w:t>，并充分揭示风险</w:t>
      </w:r>
      <w:r>
        <w:rPr>
          <w:rFonts w:eastAsia="仿宋_GB2312"/>
          <w:bCs/>
          <w:sz w:val="32"/>
          <w:szCs w:val="32"/>
        </w:rPr>
        <w:t>。</w:t>
      </w:r>
    </w:p>
    <w:p w14:paraId="09FF7543"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项目关联交易情况，包括定价依据是否充分、价</w:t>
      </w:r>
      <w:r>
        <w:rPr>
          <w:rFonts w:eastAsia="仿宋_GB2312" w:hint="eastAsia"/>
          <w:bCs/>
          <w:sz w:val="32"/>
          <w:szCs w:val="32"/>
        </w:rPr>
        <w:t>格</w:t>
      </w:r>
      <w:r>
        <w:rPr>
          <w:rFonts w:eastAsia="仿宋_GB2312"/>
          <w:bCs/>
          <w:sz w:val="32"/>
          <w:szCs w:val="32"/>
        </w:rPr>
        <w:t>是否公允、与市场交易价格或者</w:t>
      </w:r>
      <w:proofErr w:type="gramStart"/>
      <w:r>
        <w:rPr>
          <w:rFonts w:eastAsia="仿宋_GB2312"/>
          <w:bCs/>
          <w:sz w:val="32"/>
          <w:szCs w:val="32"/>
        </w:rPr>
        <w:t>独立第三方价格</w:t>
      </w:r>
      <w:proofErr w:type="gramEnd"/>
      <w:r>
        <w:rPr>
          <w:rFonts w:eastAsia="仿宋_GB2312"/>
          <w:bCs/>
          <w:sz w:val="32"/>
          <w:szCs w:val="32"/>
        </w:rPr>
        <w:t>是否存在较大差异及其原因、</w:t>
      </w:r>
      <w:r>
        <w:rPr>
          <w:rFonts w:eastAsia="仿宋_GB2312" w:hint="eastAsia"/>
          <w:bCs/>
          <w:sz w:val="32"/>
          <w:szCs w:val="32"/>
        </w:rPr>
        <w:t>不动产</w:t>
      </w:r>
      <w:r>
        <w:rPr>
          <w:rFonts w:eastAsia="仿宋_GB2312"/>
          <w:bCs/>
          <w:sz w:val="32"/>
          <w:szCs w:val="32"/>
        </w:rPr>
        <w:t>项目现金流来源于关联方的比例、是否影响</w:t>
      </w:r>
      <w:r>
        <w:rPr>
          <w:rFonts w:eastAsia="仿宋_GB2312" w:hint="eastAsia"/>
          <w:bCs/>
          <w:sz w:val="32"/>
          <w:szCs w:val="32"/>
        </w:rPr>
        <w:t>不动产</w:t>
      </w:r>
      <w:r>
        <w:rPr>
          <w:rFonts w:eastAsia="仿宋_GB2312"/>
          <w:bCs/>
          <w:sz w:val="32"/>
          <w:szCs w:val="32"/>
        </w:rPr>
        <w:t>项目的市场化运营等。</w:t>
      </w:r>
    </w:p>
    <w:p w14:paraId="284238F9" w14:textId="77777777" w:rsidR="005C45E9" w:rsidRDefault="00000000">
      <w:pPr>
        <w:adjustRightInd w:val="0"/>
        <w:snapToGrid w:val="0"/>
        <w:spacing w:line="560" w:lineRule="exact"/>
        <w:ind w:firstLine="640"/>
        <w:rPr>
          <w:rFonts w:eastAsia="仿宋_GB2312"/>
          <w:bCs/>
          <w:sz w:val="32"/>
          <w:szCs w:val="32"/>
        </w:rPr>
      </w:pPr>
      <w:r>
        <w:rPr>
          <w:rFonts w:eastAsia="仿宋_GB2312"/>
          <w:bCs/>
          <w:sz w:val="32"/>
          <w:szCs w:val="32"/>
        </w:rPr>
        <w:t>关联方为重要现金</w:t>
      </w:r>
      <w:proofErr w:type="gramStart"/>
      <w:r>
        <w:rPr>
          <w:rFonts w:eastAsia="仿宋_GB2312"/>
          <w:bCs/>
          <w:sz w:val="32"/>
          <w:szCs w:val="32"/>
        </w:rPr>
        <w:t>流提供</w:t>
      </w:r>
      <w:proofErr w:type="gramEnd"/>
      <w:r>
        <w:rPr>
          <w:rFonts w:eastAsia="仿宋_GB2312"/>
          <w:bCs/>
          <w:sz w:val="32"/>
          <w:szCs w:val="32"/>
        </w:rPr>
        <w:t>方的，管理人应当结合</w:t>
      </w:r>
      <w:r>
        <w:rPr>
          <w:rFonts w:eastAsia="仿宋_GB2312" w:hint="eastAsia"/>
          <w:bCs/>
          <w:sz w:val="32"/>
          <w:szCs w:val="32"/>
        </w:rPr>
        <w:t>有关</w:t>
      </w:r>
      <w:r>
        <w:rPr>
          <w:rFonts w:eastAsia="仿宋_GB2312"/>
          <w:bCs/>
          <w:sz w:val="32"/>
          <w:szCs w:val="32"/>
        </w:rPr>
        <w:t>协议期限和续约安排、交易价格调整、定制化服务、独占排他合作关系等情况，披露保障现金流稳定性的具体措施。</w:t>
      </w:r>
    </w:p>
    <w:p w14:paraId="0F9073B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关联交易延续至</w:t>
      </w:r>
      <w:r>
        <w:rPr>
          <w:rFonts w:eastAsia="仿宋_GB2312" w:hint="eastAsia"/>
          <w:bCs/>
          <w:sz w:val="32"/>
          <w:szCs w:val="32"/>
        </w:rPr>
        <w:t>不动产基</w:t>
      </w:r>
      <w:r>
        <w:rPr>
          <w:rFonts w:eastAsia="仿宋_GB2312"/>
          <w:bCs/>
          <w:sz w:val="32"/>
          <w:szCs w:val="32"/>
        </w:rPr>
        <w:t>金存续期间的，管理人应当说明关联交易的必要性和潜在风险，充分揭示风险，并设置风险缓释措施。</w:t>
      </w:r>
    </w:p>
    <w:p w14:paraId="33B2E880"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报告期内项目公司采用的会计政策和会计估计方法，包括投资性房地产的计量模式（如有）、收费公路等资产的折旧摊销方法（如有）等。报告期内发生会计政策或者会计估计变更的，应当说明原因和合理性，以及不同会计政策或者会计估计方法对</w:t>
      </w:r>
      <w:r>
        <w:rPr>
          <w:rFonts w:eastAsia="仿宋_GB2312" w:hint="eastAsia"/>
          <w:bCs/>
          <w:sz w:val="32"/>
          <w:szCs w:val="32"/>
        </w:rPr>
        <w:t>不动产</w:t>
      </w:r>
      <w:r>
        <w:rPr>
          <w:rFonts w:eastAsia="仿宋_GB2312"/>
          <w:bCs/>
          <w:sz w:val="32"/>
          <w:szCs w:val="32"/>
        </w:rPr>
        <w:t>项目财务数据的影响。</w:t>
      </w:r>
    </w:p>
    <w:p w14:paraId="718E4DDD" w14:textId="77777777" w:rsidR="005C45E9" w:rsidRDefault="00000000">
      <w:pPr>
        <w:pStyle w:val="Style3"/>
        <w:numPr>
          <w:ilvl w:val="0"/>
          <w:numId w:val="2"/>
        </w:numPr>
        <w:adjustRightInd w:val="0"/>
        <w:snapToGrid w:val="0"/>
        <w:spacing w:line="560" w:lineRule="exact"/>
        <w:rPr>
          <w:rFonts w:eastAsia="仿宋_GB2312"/>
          <w:sz w:val="32"/>
          <w:szCs w:val="32"/>
          <w:shd w:val="clear" w:color="auto" w:fill="FFFFFF"/>
        </w:rPr>
      </w:pPr>
      <w:r>
        <w:rPr>
          <w:rFonts w:eastAsia="仿宋_GB2312"/>
          <w:sz w:val="32"/>
          <w:szCs w:val="32"/>
        </w:rPr>
        <w:t>报告期内，因不可抗力或者产业政策等原因导致</w:t>
      </w:r>
      <w:r>
        <w:rPr>
          <w:rFonts w:eastAsia="仿宋_GB2312" w:hint="eastAsia"/>
          <w:sz w:val="32"/>
          <w:szCs w:val="32"/>
        </w:rPr>
        <w:t>不动产</w:t>
      </w:r>
      <w:r>
        <w:rPr>
          <w:rFonts w:eastAsia="仿宋_GB2312"/>
          <w:sz w:val="32"/>
          <w:szCs w:val="32"/>
        </w:rPr>
        <w:t>项目收入存在较大波动的，管理人可以延长历史运营数据的披露时间区间。</w:t>
      </w:r>
    </w:p>
    <w:p w14:paraId="7B4E0F8B" w14:textId="77777777" w:rsidR="005C45E9" w:rsidRDefault="00000000">
      <w:pPr>
        <w:pStyle w:val="2"/>
        <w:adjustRightInd w:val="0"/>
        <w:snapToGrid w:val="0"/>
        <w:ind w:firstLine="640"/>
        <w:jc w:val="center"/>
        <w:rPr>
          <w:rFonts w:cs="楷体_GB2312" w:hint="eastAsia"/>
          <w:sz w:val="32"/>
          <w:szCs w:val="32"/>
          <w:shd w:val="clear" w:color="auto" w:fill="FFFFFF"/>
        </w:rPr>
      </w:pPr>
      <w:r>
        <w:rPr>
          <w:rFonts w:cs="楷体_GB2312" w:hint="eastAsia"/>
          <w:sz w:val="32"/>
          <w:szCs w:val="32"/>
          <w:shd w:val="clear" w:color="auto" w:fill="FFFFFF"/>
        </w:rPr>
        <w:t>第三节 不动产评估</w:t>
      </w:r>
    </w:p>
    <w:p w14:paraId="7CB735DD" w14:textId="77777777" w:rsidR="005C45E9" w:rsidRDefault="00000000">
      <w:pPr>
        <w:pStyle w:val="Style3"/>
        <w:numPr>
          <w:ilvl w:val="0"/>
          <w:numId w:val="2"/>
        </w:numPr>
        <w:adjustRightInd w:val="0"/>
        <w:snapToGrid w:val="0"/>
        <w:spacing w:line="560" w:lineRule="exact"/>
        <w:rPr>
          <w:rFonts w:eastAsia="仿宋_GB2312"/>
          <w:sz w:val="32"/>
          <w:szCs w:val="21"/>
          <w:shd w:val="clear" w:color="auto" w:fill="FFFFFF"/>
        </w:rPr>
      </w:pPr>
      <w:r>
        <w:rPr>
          <w:rFonts w:eastAsia="仿宋_GB2312" w:hint="eastAsia"/>
          <w:sz w:val="32"/>
          <w:szCs w:val="21"/>
          <w:shd w:val="clear" w:color="auto" w:fill="FFFFFF"/>
        </w:rPr>
        <w:t>评估机构和管理人聘请的其他机构（如有）应当在充分考虑市场环境和</w:t>
      </w:r>
      <w:r>
        <w:rPr>
          <w:rFonts w:eastAsia="仿宋_GB2312" w:hint="eastAsia"/>
          <w:bCs/>
          <w:sz w:val="32"/>
          <w:szCs w:val="32"/>
        </w:rPr>
        <w:t>不动产</w:t>
      </w:r>
      <w:r>
        <w:rPr>
          <w:rFonts w:eastAsia="仿宋_GB2312" w:hint="eastAsia"/>
          <w:sz w:val="32"/>
          <w:szCs w:val="21"/>
          <w:shd w:val="clear" w:color="auto" w:fill="FFFFFF"/>
        </w:rPr>
        <w:t>项目特征的基础上，合理确定估值参数，审慎预测</w:t>
      </w:r>
      <w:r>
        <w:rPr>
          <w:rFonts w:eastAsia="仿宋_GB2312" w:hint="eastAsia"/>
          <w:bCs/>
          <w:sz w:val="32"/>
          <w:szCs w:val="32"/>
        </w:rPr>
        <w:t>不动产</w:t>
      </w:r>
      <w:r>
        <w:rPr>
          <w:rFonts w:eastAsia="仿宋_GB2312" w:hint="eastAsia"/>
          <w:sz w:val="32"/>
          <w:szCs w:val="21"/>
          <w:shd w:val="clear" w:color="auto" w:fill="FFFFFF"/>
        </w:rPr>
        <w:t>项目评估价值。</w:t>
      </w:r>
    </w:p>
    <w:p w14:paraId="1B9A4E8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sz w:val="32"/>
          <w:szCs w:val="32"/>
        </w:rPr>
        <w:t>管理人应当审慎核查评估方法、评估参数选取以及评估价值确定的依据以及合理性，对评估参数和评估方法的选取进行独立判断和专业分析</w:t>
      </w:r>
      <w:r>
        <w:rPr>
          <w:rFonts w:eastAsia="仿宋_GB2312"/>
          <w:bCs/>
          <w:sz w:val="32"/>
          <w:szCs w:val="32"/>
        </w:rPr>
        <w:t>，并发表明确意见。</w:t>
      </w:r>
    </w:p>
    <w:p w14:paraId="09C46D63" w14:textId="3A879323"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评估机构原则上应当以收益法作为</w:t>
      </w:r>
      <w:r>
        <w:rPr>
          <w:rFonts w:eastAsia="仿宋_GB2312" w:hint="eastAsia"/>
          <w:bCs/>
          <w:sz w:val="32"/>
          <w:szCs w:val="32"/>
        </w:rPr>
        <w:t>不动产</w:t>
      </w:r>
      <w:r>
        <w:rPr>
          <w:rFonts w:eastAsia="仿宋_GB2312"/>
          <w:bCs/>
          <w:sz w:val="32"/>
          <w:szCs w:val="32"/>
        </w:rPr>
        <w:t>项目的主要</w:t>
      </w:r>
      <w:r w:rsidR="00654E0F">
        <w:rPr>
          <w:rFonts w:eastAsia="仿宋_GB2312" w:hint="eastAsia"/>
          <w:bCs/>
          <w:sz w:val="32"/>
          <w:szCs w:val="32"/>
        </w:rPr>
        <w:t>评估</w:t>
      </w:r>
      <w:r>
        <w:rPr>
          <w:rFonts w:eastAsia="仿宋_GB2312"/>
          <w:bCs/>
          <w:sz w:val="32"/>
          <w:szCs w:val="32"/>
        </w:rPr>
        <w:t>方法，并在评估报告以及附属文件中披露评估假设、评估过程、评估价值和下列影响评估结果的重要参数：</w:t>
      </w:r>
    </w:p>
    <w:p w14:paraId="4FA5339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（一）土地使用权或者经营权的剩余期限；</w:t>
      </w:r>
    </w:p>
    <w:p w14:paraId="0FB95D1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（二）主要固定资产的使用寿命；</w:t>
      </w:r>
    </w:p>
    <w:p w14:paraId="5535BD8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（三）运营收入；</w:t>
      </w:r>
    </w:p>
    <w:p w14:paraId="09B5EE3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（四）运营成本；</w:t>
      </w:r>
    </w:p>
    <w:p w14:paraId="23818B74"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（五）运营净收益；</w:t>
      </w:r>
    </w:p>
    <w:p w14:paraId="3BCFAD3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（六）资本性支出；</w:t>
      </w:r>
    </w:p>
    <w:p w14:paraId="293418A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（七）折现率；</w:t>
      </w:r>
    </w:p>
    <w:p w14:paraId="4EA28F1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（八）其他应当披露的重要参数。</w:t>
      </w:r>
    </w:p>
    <w:p w14:paraId="4D57553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评估机构应当结合</w:t>
      </w:r>
      <w:r>
        <w:rPr>
          <w:rFonts w:eastAsia="仿宋_GB2312" w:hint="eastAsia"/>
          <w:bCs/>
          <w:sz w:val="32"/>
          <w:szCs w:val="32"/>
        </w:rPr>
        <w:t>不动产</w:t>
      </w:r>
      <w:r>
        <w:rPr>
          <w:rFonts w:eastAsia="仿宋_GB2312"/>
          <w:bCs/>
          <w:sz w:val="32"/>
          <w:szCs w:val="32"/>
        </w:rPr>
        <w:t>项目所处城市以及区域的经济指标、行业收益风险特征、</w:t>
      </w:r>
      <w:r>
        <w:rPr>
          <w:rFonts w:eastAsia="仿宋_GB2312" w:hint="eastAsia"/>
          <w:bCs/>
          <w:sz w:val="32"/>
          <w:szCs w:val="32"/>
        </w:rPr>
        <w:t>不动产</w:t>
      </w:r>
      <w:r>
        <w:rPr>
          <w:rFonts w:eastAsia="仿宋_GB2312"/>
          <w:bCs/>
          <w:sz w:val="32"/>
          <w:szCs w:val="32"/>
        </w:rPr>
        <w:t>项目</w:t>
      </w:r>
      <w:r>
        <w:rPr>
          <w:rFonts w:eastAsia="仿宋_GB2312" w:hint="eastAsia"/>
          <w:bCs/>
          <w:sz w:val="32"/>
          <w:szCs w:val="32"/>
        </w:rPr>
        <w:t>经营</w:t>
      </w:r>
      <w:r>
        <w:rPr>
          <w:rFonts w:eastAsia="仿宋_GB2312"/>
          <w:bCs/>
          <w:sz w:val="32"/>
          <w:szCs w:val="32"/>
        </w:rPr>
        <w:t>特点、项目公司资本结构等情况，说明折现率选取依据和计算逻辑</w:t>
      </w:r>
      <w:r>
        <w:rPr>
          <w:rFonts w:eastAsia="仿宋_GB2312" w:hint="eastAsia"/>
          <w:bCs/>
          <w:sz w:val="32"/>
          <w:szCs w:val="32"/>
        </w:rPr>
        <w:t>。</w:t>
      </w:r>
    </w:p>
    <w:p w14:paraId="2A6C26B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评估机构应当对评估参数的选取进行独立判断，不得完全依赖第三方意见，同时应当充分说明关键核心参数的预测依据和合理性，并对重要评估参数进行敏感性分析，对不利情形进行压力测试。</w:t>
      </w:r>
    </w:p>
    <w:p w14:paraId="12164C98" w14:textId="24226E73"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评估机构应当选择其他不同</w:t>
      </w:r>
      <w:r w:rsidR="00654E0F">
        <w:rPr>
          <w:rFonts w:eastAsia="仿宋_GB2312" w:hint="eastAsia"/>
          <w:bCs/>
          <w:sz w:val="32"/>
          <w:szCs w:val="32"/>
        </w:rPr>
        <w:t>评估</w:t>
      </w:r>
      <w:r w:rsidR="00654E0F">
        <w:rPr>
          <w:rFonts w:eastAsia="仿宋_GB2312"/>
          <w:bCs/>
          <w:sz w:val="32"/>
          <w:szCs w:val="32"/>
        </w:rPr>
        <w:t>方法</w:t>
      </w:r>
      <w:r>
        <w:rPr>
          <w:rFonts w:eastAsia="仿宋_GB2312" w:hint="eastAsia"/>
          <w:bCs/>
          <w:sz w:val="32"/>
          <w:szCs w:val="32"/>
        </w:rPr>
        <w:t>进行校验，并披露</w:t>
      </w:r>
      <w:r>
        <w:rPr>
          <w:rFonts w:eastAsia="仿宋_GB2312"/>
          <w:bCs/>
          <w:sz w:val="32"/>
          <w:szCs w:val="32"/>
        </w:rPr>
        <w:t>评估假设、评估过程</w:t>
      </w:r>
      <w:r>
        <w:rPr>
          <w:rFonts w:eastAsia="仿宋_GB2312" w:hint="eastAsia"/>
          <w:bCs/>
          <w:sz w:val="32"/>
          <w:szCs w:val="32"/>
        </w:rPr>
        <w:t>和</w:t>
      </w:r>
      <w:r>
        <w:rPr>
          <w:rFonts w:eastAsia="仿宋_GB2312"/>
          <w:bCs/>
          <w:sz w:val="32"/>
          <w:szCs w:val="32"/>
        </w:rPr>
        <w:t>评估价值</w:t>
      </w:r>
      <w:r>
        <w:rPr>
          <w:rFonts w:eastAsia="仿宋_GB2312" w:hint="eastAsia"/>
          <w:bCs/>
          <w:sz w:val="32"/>
          <w:szCs w:val="32"/>
        </w:rPr>
        <w:t>等。</w:t>
      </w:r>
    </w:p>
    <w:p w14:paraId="7C851E55" w14:textId="4B40F9A3"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项目的评估情况，包括评估假设条件、评估方法、评估过程、评估参数设置依据、评估价值等，以及账面价值与评估价值的差异情况、存续期内部收益率（</w:t>
      </w:r>
      <w:r>
        <w:rPr>
          <w:rFonts w:eastAsia="仿宋_GB2312"/>
          <w:bCs/>
          <w:sz w:val="32"/>
          <w:szCs w:val="32"/>
        </w:rPr>
        <w:t>IRR</w:t>
      </w:r>
      <w:r>
        <w:rPr>
          <w:rFonts w:eastAsia="仿宋_GB2312"/>
          <w:bCs/>
          <w:sz w:val="32"/>
          <w:szCs w:val="32"/>
        </w:rPr>
        <w:t>）或者资本化率（</w:t>
      </w:r>
      <w:r>
        <w:rPr>
          <w:rFonts w:eastAsia="仿宋_GB2312"/>
          <w:bCs/>
          <w:sz w:val="32"/>
          <w:szCs w:val="32"/>
        </w:rPr>
        <w:t>Cap Rate</w:t>
      </w:r>
      <w:r>
        <w:rPr>
          <w:rFonts w:eastAsia="仿宋_GB2312"/>
          <w:bCs/>
          <w:sz w:val="32"/>
          <w:szCs w:val="32"/>
        </w:rPr>
        <w:t>）等。</w:t>
      </w:r>
    </w:p>
    <w:p w14:paraId="19E9AF2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管理人、财务顾问（如有）应当结合</w:t>
      </w:r>
      <w:r>
        <w:rPr>
          <w:rFonts w:eastAsia="仿宋_GB2312" w:hint="eastAsia"/>
          <w:bCs/>
          <w:sz w:val="32"/>
          <w:szCs w:val="32"/>
        </w:rPr>
        <w:t>不动产</w:t>
      </w:r>
      <w:r>
        <w:rPr>
          <w:rFonts w:eastAsia="仿宋_GB2312"/>
          <w:bCs/>
          <w:sz w:val="32"/>
          <w:szCs w:val="32"/>
        </w:rPr>
        <w:t>项目历史运营情况、收入和成本情况、客群分析、区域内现有在运营和未来</w:t>
      </w:r>
      <w:r>
        <w:rPr>
          <w:rFonts w:eastAsia="仿宋_GB2312" w:hint="eastAsia"/>
          <w:bCs/>
          <w:sz w:val="32"/>
          <w:szCs w:val="32"/>
        </w:rPr>
        <w:t>3</w:t>
      </w:r>
      <w:r>
        <w:rPr>
          <w:rFonts w:eastAsia="仿宋_GB2312"/>
          <w:bCs/>
          <w:sz w:val="32"/>
          <w:szCs w:val="32"/>
        </w:rPr>
        <w:t>年已</w:t>
      </w:r>
      <w:proofErr w:type="gramStart"/>
      <w:r>
        <w:rPr>
          <w:rFonts w:eastAsia="仿宋_GB2312"/>
          <w:bCs/>
          <w:sz w:val="32"/>
          <w:szCs w:val="32"/>
        </w:rPr>
        <w:t>规划竞品分析</w:t>
      </w:r>
      <w:proofErr w:type="gramEnd"/>
      <w:r>
        <w:rPr>
          <w:rFonts w:eastAsia="仿宋_GB2312"/>
          <w:bCs/>
          <w:sz w:val="32"/>
          <w:szCs w:val="32"/>
        </w:rPr>
        <w:t>、所属行业发展情况、所属区域经济发展情况、宏观经济情况、项目公司资本结构、同</w:t>
      </w:r>
      <w:r>
        <w:rPr>
          <w:rFonts w:eastAsia="仿宋_GB2312" w:hint="eastAsia"/>
          <w:bCs/>
          <w:sz w:val="32"/>
          <w:szCs w:val="32"/>
        </w:rPr>
        <w:t>行业已上市不动产</w:t>
      </w:r>
      <w:r>
        <w:rPr>
          <w:rFonts w:eastAsia="仿宋_GB2312"/>
          <w:bCs/>
          <w:sz w:val="32"/>
          <w:szCs w:val="32"/>
        </w:rPr>
        <w:t>基金可比项目情况、同行业上市公司重大资产重组和大宗交易情况（如有）等，对收入、成本、折现率等估值参数取值的合理性发表明确意见。</w:t>
      </w:r>
    </w:p>
    <w:p w14:paraId="34F0F97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不动产项目涉及多业态融合的，管理人、评估机构应当结合</w:t>
      </w:r>
      <w:proofErr w:type="gramStart"/>
      <w:r>
        <w:rPr>
          <w:rFonts w:eastAsia="仿宋_GB2312" w:hint="eastAsia"/>
          <w:bCs/>
          <w:sz w:val="32"/>
          <w:szCs w:val="32"/>
        </w:rPr>
        <w:t>不</w:t>
      </w:r>
      <w:proofErr w:type="gramEnd"/>
      <w:r>
        <w:rPr>
          <w:rFonts w:eastAsia="仿宋_GB2312" w:hint="eastAsia"/>
          <w:bCs/>
          <w:sz w:val="32"/>
          <w:szCs w:val="32"/>
        </w:rPr>
        <w:t>同业态的具体特点，充分说明主要估值参数的设置依据，所进行的差异</w:t>
      </w:r>
      <w:proofErr w:type="gramStart"/>
      <w:r>
        <w:rPr>
          <w:rFonts w:eastAsia="仿宋_GB2312" w:hint="eastAsia"/>
          <w:bCs/>
          <w:sz w:val="32"/>
          <w:szCs w:val="32"/>
        </w:rPr>
        <w:t>化调整</w:t>
      </w:r>
      <w:proofErr w:type="gramEnd"/>
      <w:r>
        <w:rPr>
          <w:rFonts w:eastAsia="仿宋_GB2312" w:hint="eastAsia"/>
          <w:bCs/>
          <w:sz w:val="32"/>
          <w:szCs w:val="32"/>
        </w:rPr>
        <w:t>情况以及合理性。</w:t>
      </w:r>
    </w:p>
    <w:p w14:paraId="1B9FB1C3"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管理人应当披露不动产</w:t>
      </w:r>
      <w:r>
        <w:rPr>
          <w:rFonts w:eastAsia="仿宋_GB2312"/>
          <w:bCs/>
          <w:sz w:val="32"/>
          <w:szCs w:val="32"/>
        </w:rPr>
        <w:t>项目未来资本性支出安排和合理性，以及资本性支出对</w:t>
      </w:r>
      <w:r>
        <w:rPr>
          <w:rFonts w:eastAsia="仿宋_GB2312" w:hint="eastAsia"/>
          <w:bCs/>
          <w:sz w:val="32"/>
          <w:szCs w:val="32"/>
        </w:rPr>
        <w:t>不动产</w:t>
      </w:r>
      <w:r>
        <w:rPr>
          <w:rFonts w:eastAsia="仿宋_GB2312"/>
          <w:bCs/>
          <w:sz w:val="32"/>
          <w:szCs w:val="32"/>
        </w:rPr>
        <w:t>基金存续期</w:t>
      </w:r>
      <w:r>
        <w:rPr>
          <w:rFonts w:eastAsia="仿宋_GB2312" w:hint="eastAsia"/>
          <w:bCs/>
          <w:sz w:val="32"/>
          <w:szCs w:val="32"/>
        </w:rPr>
        <w:t>间</w:t>
      </w:r>
      <w:r>
        <w:rPr>
          <w:rFonts w:eastAsia="仿宋_GB2312"/>
          <w:bCs/>
          <w:sz w:val="32"/>
          <w:szCs w:val="32"/>
        </w:rPr>
        <w:t>可供分配金额的影响，并重点说明</w:t>
      </w:r>
      <w:r>
        <w:rPr>
          <w:rFonts w:eastAsia="仿宋_GB2312" w:hint="eastAsia"/>
          <w:bCs/>
          <w:sz w:val="32"/>
          <w:szCs w:val="32"/>
        </w:rPr>
        <w:t>不动产</w:t>
      </w:r>
      <w:r>
        <w:rPr>
          <w:rFonts w:eastAsia="仿宋_GB2312"/>
          <w:bCs/>
          <w:sz w:val="32"/>
          <w:szCs w:val="32"/>
        </w:rPr>
        <w:t>项目未来</w:t>
      </w:r>
      <w:r>
        <w:rPr>
          <w:rFonts w:eastAsia="仿宋_GB2312" w:hint="eastAsia"/>
          <w:bCs/>
          <w:sz w:val="32"/>
          <w:szCs w:val="32"/>
        </w:rPr>
        <w:t>资本性</w:t>
      </w:r>
      <w:r>
        <w:rPr>
          <w:rFonts w:eastAsia="仿宋_GB2312"/>
          <w:bCs/>
          <w:sz w:val="32"/>
          <w:szCs w:val="32"/>
        </w:rPr>
        <w:t>支出与历史水平（如有）相比是否具有延续性、与</w:t>
      </w:r>
      <w:r>
        <w:rPr>
          <w:rFonts w:eastAsia="仿宋_GB2312" w:hint="eastAsia"/>
          <w:bCs/>
          <w:sz w:val="32"/>
          <w:szCs w:val="32"/>
        </w:rPr>
        <w:t>不动产</w:t>
      </w:r>
      <w:r>
        <w:rPr>
          <w:rFonts w:eastAsia="仿宋_GB2312"/>
          <w:bCs/>
          <w:sz w:val="32"/>
          <w:szCs w:val="32"/>
        </w:rPr>
        <w:t>项目运营年限是否匹配等。</w:t>
      </w:r>
    </w:p>
    <w:p w14:paraId="587343A8"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管理人应当披露经会计师事务所审阅的基金可供分配金额测算报告，测算期限不超过</w:t>
      </w:r>
      <w:r>
        <w:rPr>
          <w:rFonts w:eastAsia="仿宋_GB2312" w:hint="eastAsia"/>
          <w:bCs/>
          <w:sz w:val="32"/>
          <w:szCs w:val="32"/>
        </w:rPr>
        <w:t>2</w:t>
      </w:r>
      <w:r>
        <w:rPr>
          <w:rFonts w:eastAsia="仿宋_GB2312"/>
          <w:bCs/>
          <w:sz w:val="32"/>
          <w:szCs w:val="32"/>
        </w:rPr>
        <w:t>年且不晚于第二年年度最后一日，预测和分析</w:t>
      </w:r>
      <w:r>
        <w:rPr>
          <w:rFonts w:eastAsia="仿宋_GB2312" w:hint="eastAsia"/>
          <w:bCs/>
          <w:sz w:val="32"/>
          <w:szCs w:val="32"/>
        </w:rPr>
        <w:t>不动产</w:t>
      </w:r>
      <w:r>
        <w:rPr>
          <w:rFonts w:eastAsia="仿宋_GB2312"/>
          <w:bCs/>
          <w:sz w:val="32"/>
          <w:szCs w:val="32"/>
        </w:rPr>
        <w:t>项目未来</w:t>
      </w:r>
      <w:r>
        <w:rPr>
          <w:rFonts w:eastAsia="仿宋_GB2312" w:hint="eastAsia"/>
          <w:bCs/>
          <w:sz w:val="32"/>
          <w:szCs w:val="32"/>
        </w:rPr>
        <w:t>2</w:t>
      </w:r>
      <w:r>
        <w:rPr>
          <w:rFonts w:eastAsia="仿宋_GB2312"/>
          <w:bCs/>
          <w:sz w:val="32"/>
          <w:szCs w:val="32"/>
        </w:rPr>
        <w:t>年净现金流分派率及其增长潜力情况，并逐项说明收入、成本、支出各项预测参数和调整项的设置依据和合理性。</w:t>
      </w:r>
      <w:r>
        <w:rPr>
          <w:rFonts w:eastAsia="仿宋_GB2312" w:hint="eastAsia"/>
          <w:bCs/>
          <w:sz w:val="32"/>
          <w:szCs w:val="32"/>
        </w:rPr>
        <w:t>可供分配金额测算报告测算基准日原则上应当与评估报告评估基准日保持一致。</w:t>
      </w:r>
    </w:p>
    <w:p w14:paraId="58F7584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管理人应当披露期初现金余额的具体构成</w:t>
      </w:r>
      <w:r>
        <w:rPr>
          <w:rFonts w:eastAsia="仿宋_GB2312" w:hint="eastAsia"/>
          <w:bCs/>
          <w:sz w:val="32"/>
          <w:szCs w:val="32"/>
        </w:rPr>
        <w:t>以及原因</w:t>
      </w:r>
      <w:r>
        <w:rPr>
          <w:rFonts w:eastAsia="仿宋_GB2312"/>
          <w:bCs/>
          <w:sz w:val="32"/>
          <w:szCs w:val="32"/>
        </w:rPr>
        <w:t>，期初现金余额占当期可供分配金额比例较高的，管理人应当在信息披露文件中作重要提示。</w:t>
      </w:r>
    </w:p>
    <w:p w14:paraId="24016F6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管理人应当披露评估报告与可供分配金额测算报告对</w:t>
      </w:r>
      <w:r>
        <w:rPr>
          <w:rFonts w:eastAsia="仿宋_GB2312" w:hint="eastAsia"/>
          <w:bCs/>
          <w:sz w:val="32"/>
          <w:szCs w:val="32"/>
        </w:rPr>
        <w:t>不动产</w:t>
      </w:r>
      <w:r>
        <w:rPr>
          <w:rFonts w:eastAsia="仿宋_GB2312"/>
          <w:bCs/>
          <w:sz w:val="32"/>
          <w:szCs w:val="32"/>
        </w:rPr>
        <w:t>项目现金</w:t>
      </w:r>
      <w:proofErr w:type="gramStart"/>
      <w:r>
        <w:rPr>
          <w:rFonts w:eastAsia="仿宋_GB2312"/>
          <w:bCs/>
          <w:sz w:val="32"/>
          <w:szCs w:val="32"/>
        </w:rPr>
        <w:t>流预测</w:t>
      </w:r>
      <w:proofErr w:type="gramEnd"/>
      <w:r>
        <w:rPr>
          <w:rFonts w:eastAsia="仿宋_GB2312"/>
          <w:bCs/>
          <w:sz w:val="32"/>
          <w:szCs w:val="32"/>
        </w:rPr>
        <w:t>结果的差异情况。评估报告现金流与可供分配金额差异比例超过</w:t>
      </w:r>
      <w:r>
        <w:rPr>
          <w:rFonts w:eastAsia="仿宋_GB2312"/>
          <w:bCs/>
          <w:sz w:val="32"/>
          <w:szCs w:val="32"/>
        </w:rPr>
        <w:t>5%</w:t>
      </w:r>
      <w:r>
        <w:rPr>
          <w:rFonts w:eastAsia="仿宋_GB2312"/>
          <w:bCs/>
          <w:sz w:val="32"/>
          <w:szCs w:val="32"/>
        </w:rPr>
        <w:t>的，管理人应当说明差异原因及其合理性。</w:t>
      </w:r>
    </w:p>
    <w:p w14:paraId="661ADE29"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评估机构可以引用其他机构为</w:t>
      </w:r>
      <w:r>
        <w:rPr>
          <w:rFonts w:eastAsia="仿宋_GB2312" w:hint="eastAsia"/>
          <w:bCs/>
          <w:sz w:val="32"/>
          <w:szCs w:val="32"/>
        </w:rPr>
        <w:t>不动产</w:t>
      </w:r>
      <w:r>
        <w:rPr>
          <w:rFonts w:eastAsia="仿宋_GB2312"/>
          <w:bCs/>
          <w:sz w:val="32"/>
          <w:szCs w:val="32"/>
        </w:rPr>
        <w:t>项目出具的专项报告，但应当对引用的估值参数进行独立判断，保持合理信赖和职业怀疑，采取必要核查手段进行印证。评估机构对评估结论的责任不因引用其他机构的报告而免除。</w:t>
      </w:r>
    </w:p>
    <w:p w14:paraId="2FC9C9C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前款规定的其他机构应当具备开展相关预测业务的能力和专职研究人员，预测假设和依据应当合理、审慎，符合行业惯例和业务实践。</w:t>
      </w:r>
    </w:p>
    <w:p w14:paraId="6B4D9214" w14:textId="5E987C88"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评估基准日后</w:t>
      </w:r>
      <w:r>
        <w:rPr>
          <w:rFonts w:eastAsia="仿宋_GB2312" w:hint="eastAsia"/>
          <w:bCs/>
          <w:sz w:val="32"/>
          <w:szCs w:val="32"/>
        </w:rPr>
        <w:t>不动产</w:t>
      </w:r>
      <w:r>
        <w:rPr>
          <w:rFonts w:eastAsia="仿宋_GB2312"/>
          <w:bCs/>
          <w:sz w:val="32"/>
          <w:szCs w:val="32"/>
        </w:rPr>
        <w:t>项目发生可能导致收入</w:t>
      </w:r>
      <w:r>
        <w:rPr>
          <w:rFonts w:eastAsia="仿宋_GB2312" w:hint="eastAsia"/>
          <w:bCs/>
          <w:sz w:val="32"/>
          <w:szCs w:val="32"/>
        </w:rPr>
        <w:t>或者</w:t>
      </w:r>
      <w:r>
        <w:rPr>
          <w:rFonts w:eastAsia="仿宋_GB2312"/>
          <w:bCs/>
          <w:sz w:val="32"/>
          <w:szCs w:val="32"/>
        </w:rPr>
        <w:t>成本重大变化，或者对评估价值、现金流产生重大影响的事项</w:t>
      </w:r>
      <w:r w:rsidR="00C74859">
        <w:rPr>
          <w:rFonts w:eastAsia="仿宋_GB2312" w:hint="eastAsia"/>
          <w:bCs/>
          <w:sz w:val="32"/>
          <w:szCs w:val="32"/>
        </w:rPr>
        <w:t>的</w:t>
      </w:r>
      <w:r>
        <w:rPr>
          <w:rFonts w:eastAsia="仿宋_GB2312"/>
          <w:bCs/>
          <w:sz w:val="32"/>
          <w:szCs w:val="32"/>
        </w:rPr>
        <w:t>，管理人应当披露</w:t>
      </w:r>
      <w:r>
        <w:rPr>
          <w:rFonts w:eastAsia="仿宋_GB2312" w:hint="eastAsia"/>
          <w:bCs/>
          <w:sz w:val="32"/>
          <w:szCs w:val="32"/>
        </w:rPr>
        <w:t>有关</w:t>
      </w:r>
      <w:r>
        <w:rPr>
          <w:rFonts w:eastAsia="仿宋_GB2312"/>
          <w:bCs/>
          <w:sz w:val="32"/>
          <w:szCs w:val="32"/>
        </w:rPr>
        <w:t>事项的具体情况，并及时报告本所。管理人应当与</w:t>
      </w:r>
      <w:r>
        <w:rPr>
          <w:rFonts w:eastAsia="仿宋_GB2312" w:hint="eastAsia"/>
          <w:bCs/>
          <w:sz w:val="32"/>
          <w:szCs w:val="32"/>
        </w:rPr>
        <w:t>有关</w:t>
      </w:r>
      <w:r>
        <w:rPr>
          <w:rFonts w:eastAsia="仿宋_GB2312"/>
          <w:bCs/>
          <w:sz w:val="32"/>
          <w:szCs w:val="32"/>
        </w:rPr>
        <w:t>机构结合因素影响，评估是否重新出具评估报告、可供分配金额测算报告，认为无需重新出具的，应当充分说明理由。</w:t>
      </w:r>
    </w:p>
    <w:p w14:paraId="19EA0679"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lang w:val="zh-CN"/>
        </w:rPr>
      </w:pPr>
      <w:r>
        <w:rPr>
          <w:rFonts w:ascii="黑体" w:eastAsia="黑体" w:hAnsi="黑体"/>
          <w:b w:val="0"/>
          <w:bCs w:val="0"/>
          <w:sz w:val="32"/>
          <w:szCs w:val="32"/>
          <w:lang w:val="zh-CN"/>
        </w:rPr>
        <w:t>第四章</w:t>
      </w:r>
      <w:r>
        <w:rPr>
          <w:rFonts w:ascii="黑体" w:eastAsia="黑体" w:hAnsi="黑体" w:hint="eastAsia"/>
          <w:b w:val="0"/>
          <w:bCs w:val="0"/>
          <w:sz w:val="32"/>
          <w:szCs w:val="32"/>
          <w:lang w:val="zh-CN"/>
        </w:rPr>
        <w:t xml:space="preserve">  </w:t>
      </w:r>
      <w:r>
        <w:rPr>
          <w:rFonts w:ascii="黑体" w:eastAsia="黑体" w:hAnsi="黑体"/>
          <w:b w:val="0"/>
          <w:bCs w:val="0"/>
          <w:sz w:val="32"/>
          <w:szCs w:val="32"/>
          <w:lang w:val="zh-CN"/>
        </w:rPr>
        <w:t>基金的设立、运作、终止</w:t>
      </w:r>
    </w:p>
    <w:p w14:paraId="42071784" w14:textId="77777777" w:rsidR="005C45E9" w:rsidRDefault="00000000">
      <w:pPr>
        <w:pStyle w:val="Style3"/>
        <w:numPr>
          <w:ilvl w:val="0"/>
          <w:numId w:val="2"/>
        </w:numPr>
        <w:adjustRightInd w:val="0"/>
        <w:snapToGrid w:val="0"/>
        <w:spacing w:line="560" w:lineRule="exact"/>
        <w:rPr>
          <w:rFonts w:eastAsia="仿宋_GB2312"/>
          <w:sz w:val="32"/>
          <w:szCs w:val="21"/>
        </w:rPr>
      </w:pPr>
      <w:r>
        <w:rPr>
          <w:rFonts w:eastAsia="仿宋_GB2312" w:hint="eastAsia"/>
          <w:bCs/>
          <w:sz w:val="32"/>
          <w:szCs w:val="32"/>
        </w:rPr>
        <w:t>不动产基金名称与不动产</w:t>
      </w:r>
      <w:r>
        <w:rPr>
          <w:rFonts w:eastAsia="仿宋_GB2312" w:hint="eastAsia"/>
          <w:sz w:val="32"/>
          <w:szCs w:val="21"/>
        </w:rPr>
        <w:t>资产支持证券名称应当规范、简洁、清晰，表明基金的类别和投资特征，不得存在损害国家利益、社会公共利益，欺诈、误导投资者，或者其他侵犯他人合法权益的内容。</w:t>
      </w:r>
    </w:p>
    <w:p w14:paraId="251DE857"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不动产基金应当持有不动产</w:t>
      </w:r>
      <w:r>
        <w:rPr>
          <w:rFonts w:eastAsia="仿宋_GB2312"/>
          <w:bCs/>
          <w:sz w:val="32"/>
          <w:szCs w:val="32"/>
        </w:rPr>
        <w:t>资产支持证券全部份额，</w:t>
      </w:r>
      <w:r>
        <w:rPr>
          <w:rFonts w:eastAsia="仿宋_GB2312" w:hint="eastAsia"/>
          <w:bCs/>
          <w:sz w:val="32"/>
          <w:szCs w:val="32"/>
        </w:rPr>
        <w:t>不动产</w:t>
      </w:r>
      <w:r>
        <w:rPr>
          <w:rFonts w:eastAsia="仿宋_GB2312"/>
          <w:bCs/>
          <w:sz w:val="32"/>
          <w:szCs w:val="32"/>
        </w:rPr>
        <w:t>资产支持证券应当持有项目公司全部股权。</w:t>
      </w:r>
      <w:r>
        <w:rPr>
          <w:rFonts w:eastAsia="仿宋_GB2312" w:hint="eastAsia"/>
          <w:bCs/>
          <w:sz w:val="32"/>
          <w:szCs w:val="32"/>
        </w:rPr>
        <w:t>不动产</w:t>
      </w:r>
      <w:r>
        <w:rPr>
          <w:rFonts w:eastAsia="仿宋_GB2312"/>
          <w:bCs/>
          <w:sz w:val="32"/>
          <w:szCs w:val="32"/>
        </w:rPr>
        <w:t>基金通过</w:t>
      </w:r>
      <w:r>
        <w:rPr>
          <w:rFonts w:eastAsia="仿宋_GB2312" w:hint="eastAsia"/>
          <w:bCs/>
          <w:sz w:val="32"/>
          <w:szCs w:val="32"/>
        </w:rPr>
        <w:t>不动产</w:t>
      </w:r>
      <w:r>
        <w:rPr>
          <w:rFonts w:eastAsia="仿宋_GB2312"/>
          <w:bCs/>
          <w:sz w:val="32"/>
          <w:szCs w:val="32"/>
        </w:rPr>
        <w:t>资产支持证券和项目公司等载体取得</w:t>
      </w:r>
      <w:r>
        <w:rPr>
          <w:rFonts w:eastAsia="仿宋_GB2312" w:hint="eastAsia"/>
          <w:bCs/>
          <w:sz w:val="32"/>
          <w:szCs w:val="32"/>
        </w:rPr>
        <w:t>不动产项目</w:t>
      </w:r>
      <w:r>
        <w:rPr>
          <w:rFonts w:eastAsia="仿宋_GB2312"/>
          <w:bCs/>
          <w:sz w:val="32"/>
          <w:szCs w:val="32"/>
        </w:rPr>
        <w:t>所有权或者经营权利。</w:t>
      </w:r>
    </w:p>
    <w:p w14:paraId="07670CBA"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管理人应当合理确定</w:t>
      </w:r>
      <w:r>
        <w:rPr>
          <w:rFonts w:eastAsia="仿宋_GB2312" w:hint="eastAsia"/>
          <w:bCs/>
          <w:sz w:val="32"/>
          <w:szCs w:val="32"/>
        </w:rPr>
        <w:t>不动产基金与不动产资产支持证券的期限。不动产基金期限、不动产</w:t>
      </w:r>
      <w:r>
        <w:rPr>
          <w:rFonts w:eastAsia="仿宋_GB2312"/>
          <w:bCs/>
          <w:sz w:val="32"/>
          <w:szCs w:val="32"/>
        </w:rPr>
        <w:t>资产支持证券期限应当与</w:t>
      </w:r>
      <w:r>
        <w:rPr>
          <w:rFonts w:eastAsia="仿宋_GB2312" w:hint="eastAsia"/>
          <w:bCs/>
          <w:sz w:val="32"/>
          <w:szCs w:val="32"/>
        </w:rPr>
        <w:t>不动产</w:t>
      </w:r>
      <w:r>
        <w:rPr>
          <w:rFonts w:eastAsia="仿宋_GB2312"/>
          <w:bCs/>
          <w:sz w:val="32"/>
          <w:szCs w:val="32"/>
        </w:rPr>
        <w:t>土地使用权或者经营权的剩余期限、主要固定资产的剩余使用寿命等相匹配。</w:t>
      </w:r>
      <w:r>
        <w:rPr>
          <w:rFonts w:eastAsia="仿宋_GB2312" w:hint="eastAsia"/>
          <w:bCs/>
          <w:sz w:val="32"/>
          <w:szCs w:val="32"/>
        </w:rPr>
        <w:t>不动产</w:t>
      </w:r>
      <w:r>
        <w:rPr>
          <w:rFonts w:eastAsia="仿宋_GB2312"/>
          <w:bCs/>
          <w:sz w:val="32"/>
          <w:szCs w:val="32"/>
        </w:rPr>
        <w:t>基金期限不得短于</w:t>
      </w:r>
      <w:r>
        <w:rPr>
          <w:rFonts w:eastAsia="仿宋_GB2312" w:hint="eastAsia"/>
          <w:bCs/>
          <w:sz w:val="32"/>
          <w:szCs w:val="32"/>
        </w:rPr>
        <w:t>不动产</w:t>
      </w:r>
      <w:r>
        <w:rPr>
          <w:rFonts w:eastAsia="仿宋_GB2312"/>
          <w:bCs/>
          <w:sz w:val="32"/>
          <w:szCs w:val="32"/>
        </w:rPr>
        <w:t>资产支持证券期限。</w:t>
      </w:r>
    </w:p>
    <w:p w14:paraId="175FFB1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基金延长期限的，基金管理人应当披露期限调整相关安排和决策机制。</w:t>
      </w:r>
    </w:p>
    <w:p w14:paraId="58313C35"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基金管理人应当在</w:t>
      </w:r>
      <w:r>
        <w:rPr>
          <w:rFonts w:eastAsia="仿宋_GB2312" w:hint="eastAsia"/>
          <w:bCs/>
          <w:sz w:val="32"/>
          <w:szCs w:val="32"/>
        </w:rPr>
        <w:t>不动产</w:t>
      </w:r>
      <w:r>
        <w:rPr>
          <w:rFonts w:eastAsia="仿宋_GB2312"/>
          <w:bCs/>
          <w:sz w:val="32"/>
          <w:szCs w:val="32"/>
        </w:rPr>
        <w:t>基金</w:t>
      </w:r>
      <w:r>
        <w:rPr>
          <w:rFonts w:eastAsia="仿宋_GB2312" w:hint="eastAsia"/>
          <w:bCs/>
          <w:sz w:val="32"/>
          <w:szCs w:val="32"/>
        </w:rPr>
        <w:t>有关</w:t>
      </w:r>
      <w:r>
        <w:rPr>
          <w:rFonts w:eastAsia="仿宋_GB2312"/>
          <w:bCs/>
          <w:sz w:val="32"/>
          <w:szCs w:val="32"/>
        </w:rPr>
        <w:t>法律文件中约定收益分配</w:t>
      </w:r>
      <w:r>
        <w:rPr>
          <w:rFonts w:eastAsia="仿宋_GB2312" w:hint="eastAsia"/>
          <w:bCs/>
          <w:sz w:val="32"/>
          <w:szCs w:val="32"/>
        </w:rPr>
        <w:t>有关</w:t>
      </w:r>
      <w:r>
        <w:rPr>
          <w:rFonts w:eastAsia="仿宋_GB2312"/>
          <w:bCs/>
          <w:sz w:val="32"/>
          <w:szCs w:val="32"/>
        </w:rPr>
        <w:t>事项，并向投资者充分揭示</w:t>
      </w:r>
      <w:r>
        <w:rPr>
          <w:rFonts w:eastAsia="仿宋_GB2312" w:hint="eastAsia"/>
          <w:bCs/>
          <w:sz w:val="32"/>
          <w:szCs w:val="32"/>
        </w:rPr>
        <w:t>未按照规定进行收益分配可能导致基金终止上市的</w:t>
      </w:r>
      <w:r>
        <w:rPr>
          <w:rFonts w:eastAsia="仿宋_GB2312"/>
          <w:bCs/>
          <w:sz w:val="32"/>
          <w:szCs w:val="32"/>
        </w:rPr>
        <w:t>风险，做好相关信息披露。</w:t>
      </w:r>
    </w:p>
    <w:p w14:paraId="73DFB1B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基金管理人应当综合考虑</w:t>
      </w:r>
      <w:r>
        <w:rPr>
          <w:rFonts w:eastAsia="仿宋_GB2312" w:hint="eastAsia"/>
          <w:bCs/>
          <w:sz w:val="32"/>
          <w:szCs w:val="32"/>
        </w:rPr>
        <w:t>不动产</w:t>
      </w:r>
      <w:r>
        <w:rPr>
          <w:rFonts w:eastAsia="仿宋_GB2312"/>
          <w:bCs/>
          <w:sz w:val="32"/>
          <w:szCs w:val="32"/>
        </w:rPr>
        <w:t>项目所属行业特点、经营模式以及是否存在重大资本性支出安排等因素，合理制定</w:t>
      </w:r>
      <w:r>
        <w:rPr>
          <w:rFonts w:eastAsia="仿宋_GB2312" w:hint="eastAsia"/>
          <w:bCs/>
          <w:sz w:val="32"/>
          <w:szCs w:val="32"/>
        </w:rPr>
        <w:t>不动产基</w:t>
      </w:r>
      <w:r>
        <w:rPr>
          <w:rFonts w:eastAsia="仿宋_GB2312"/>
          <w:bCs/>
          <w:sz w:val="32"/>
          <w:szCs w:val="32"/>
        </w:rPr>
        <w:t>金的收益分配方案，增强收益分配稳定性、持续性和</w:t>
      </w:r>
      <w:proofErr w:type="gramStart"/>
      <w:r>
        <w:rPr>
          <w:rFonts w:eastAsia="仿宋_GB2312"/>
          <w:bCs/>
          <w:sz w:val="32"/>
          <w:szCs w:val="32"/>
        </w:rPr>
        <w:t>可</w:t>
      </w:r>
      <w:proofErr w:type="gramEnd"/>
      <w:r>
        <w:rPr>
          <w:rFonts w:eastAsia="仿宋_GB2312"/>
          <w:bCs/>
          <w:sz w:val="32"/>
          <w:szCs w:val="32"/>
        </w:rPr>
        <w:t>预期性。鼓励符合条件的</w:t>
      </w:r>
      <w:r>
        <w:rPr>
          <w:rFonts w:eastAsia="仿宋_GB2312" w:hint="eastAsia"/>
          <w:bCs/>
          <w:sz w:val="32"/>
          <w:szCs w:val="32"/>
        </w:rPr>
        <w:t>不动产</w:t>
      </w:r>
      <w:r>
        <w:rPr>
          <w:rFonts w:eastAsia="仿宋_GB2312"/>
          <w:bCs/>
          <w:sz w:val="32"/>
          <w:szCs w:val="32"/>
        </w:rPr>
        <w:t>基金增加收益分配频次，增加投资者获得感，提升投资者信心。</w:t>
      </w:r>
    </w:p>
    <w:p w14:paraId="67B0B77A"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基金管理人应当在</w:t>
      </w:r>
      <w:r>
        <w:rPr>
          <w:rFonts w:eastAsia="仿宋_GB2312" w:hint="eastAsia"/>
          <w:bCs/>
          <w:sz w:val="32"/>
          <w:szCs w:val="32"/>
        </w:rPr>
        <w:t>不动产</w:t>
      </w:r>
      <w:r>
        <w:rPr>
          <w:rFonts w:eastAsia="仿宋_GB2312"/>
          <w:bCs/>
          <w:sz w:val="32"/>
          <w:szCs w:val="32"/>
        </w:rPr>
        <w:t>基金</w:t>
      </w:r>
      <w:r>
        <w:rPr>
          <w:rFonts w:eastAsia="仿宋_GB2312" w:hint="eastAsia"/>
          <w:bCs/>
          <w:sz w:val="32"/>
          <w:szCs w:val="32"/>
        </w:rPr>
        <w:t>有关</w:t>
      </w:r>
      <w:r>
        <w:rPr>
          <w:rFonts w:eastAsia="仿宋_GB2312"/>
          <w:bCs/>
          <w:sz w:val="32"/>
          <w:szCs w:val="32"/>
        </w:rPr>
        <w:t>法律文件中明确并披露</w:t>
      </w:r>
      <w:r>
        <w:rPr>
          <w:rFonts w:eastAsia="仿宋_GB2312" w:hint="eastAsia"/>
          <w:bCs/>
          <w:sz w:val="32"/>
          <w:szCs w:val="32"/>
        </w:rPr>
        <w:t>不动产</w:t>
      </w:r>
      <w:r>
        <w:rPr>
          <w:rFonts w:eastAsia="仿宋_GB2312"/>
          <w:bCs/>
          <w:sz w:val="32"/>
          <w:szCs w:val="32"/>
        </w:rPr>
        <w:t>项目交割安排，原则上应当约定评估基准日至交割</w:t>
      </w:r>
      <w:proofErr w:type="gramStart"/>
      <w:r>
        <w:rPr>
          <w:rFonts w:eastAsia="仿宋_GB2312"/>
          <w:bCs/>
          <w:sz w:val="32"/>
          <w:szCs w:val="32"/>
        </w:rPr>
        <w:t>日相关</w:t>
      </w:r>
      <w:proofErr w:type="gramEnd"/>
      <w:r>
        <w:rPr>
          <w:rFonts w:eastAsia="仿宋_GB2312"/>
          <w:bCs/>
          <w:sz w:val="32"/>
          <w:szCs w:val="32"/>
        </w:rPr>
        <w:t>成本收益</w:t>
      </w:r>
      <w:r>
        <w:rPr>
          <w:rFonts w:eastAsia="仿宋_GB2312" w:hint="eastAsia"/>
          <w:bCs/>
          <w:sz w:val="32"/>
          <w:szCs w:val="32"/>
        </w:rPr>
        <w:t>均</w:t>
      </w:r>
      <w:r>
        <w:rPr>
          <w:rFonts w:eastAsia="仿宋_GB2312"/>
          <w:bCs/>
          <w:sz w:val="32"/>
          <w:szCs w:val="32"/>
        </w:rPr>
        <w:t>归属于</w:t>
      </w:r>
      <w:r>
        <w:rPr>
          <w:rFonts w:eastAsia="仿宋_GB2312" w:hint="eastAsia"/>
          <w:bCs/>
          <w:sz w:val="32"/>
          <w:szCs w:val="32"/>
        </w:rPr>
        <w:t>不动产基金。存在其他约定</w:t>
      </w:r>
      <w:r>
        <w:rPr>
          <w:rFonts w:eastAsia="仿宋_GB2312"/>
          <w:bCs/>
          <w:sz w:val="32"/>
          <w:szCs w:val="32"/>
        </w:rPr>
        <w:t>的，基金管理人应当在</w:t>
      </w:r>
      <w:r>
        <w:rPr>
          <w:rFonts w:eastAsia="仿宋_GB2312" w:hint="eastAsia"/>
          <w:bCs/>
          <w:sz w:val="32"/>
          <w:szCs w:val="32"/>
        </w:rPr>
        <w:t>不动产</w:t>
      </w:r>
      <w:r>
        <w:rPr>
          <w:rFonts w:eastAsia="仿宋_GB2312"/>
          <w:bCs/>
          <w:sz w:val="32"/>
          <w:szCs w:val="32"/>
        </w:rPr>
        <w:t>基金发售</w:t>
      </w:r>
      <w:r>
        <w:rPr>
          <w:rFonts w:eastAsia="仿宋_GB2312" w:hint="eastAsia"/>
          <w:bCs/>
          <w:sz w:val="32"/>
          <w:szCs w:val="32"/>
        </w:rPr>
        <w:t>有关</w:t>
      </w:r>
      <w:r>
        <w:rPr>
          <w:rFonts w:eastAsia="仿宋_GB2312"/>
          <w:bCs/>
          <w:sz w:val="32"/>
          <w:szCs w:val="32"/>
        </w:rPr>
        <w:t>文件中说明原因和合理性。</w:t>
      </w:r>
    </w:p>
    <w:p w14:paraId="017BBDFB"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基金管理人应当结合基金规模、原始权益人参与战略配售比例等情况合理确定战略配售比例。</w:t>
      </w:r>
    </w:p>
    <w:p w14:paraId="033406ED"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基金管理人应当在</w:t>
      </w:r>
      <w:r>
        <w:rPr>
          <w:rFonts w:eastAsia="仿宋_GB2312" w:hint="eastAsia"/>
          <w:bCs/>
          <w:sz w:val="32"/>
          <w:szCs w:val="32"/>
        </w:rPr>
        <w:t>不动产</w:t>
      </w:r>
      <w:r>
        <w:rPr>
          <w:rFonts w:eastAsia="仿宋_GB2312"/>
          <w:bCs/>
          <w:sz w:val="32"/>
          <w:szCs w:val="32"/>
        </w:rPr>
        <w:t>基金</w:t>
      </w:r>
      <w:r>
        <w:rPr>
          <w:rFonts w:eastAsia="仿宋_GB2312" w:hint="eastAsia"/>
          <w:bCs/>
          <w:sz w:val="32"/>
          <w:szCs w:val="32"/>
        </w:rPr>
        <w:t>有关</w:t>
      </w:r>
      <w:r>
        <w:rPr>
          <w:rFonts w:eastAsia="仿宋_GB2312"/>
          <w:bCs/>
          <w:sz w:val="32"/>
          <w:szCs w:val="32"/>
        </w:rPr>
        <w:t>法律文件中明确约定基金产品上市后流动性管理的相关安排，缓释</w:t>
      </w:r>
      <w:r>
        <w:rPr>
          <w:rFonts w:eastAsia="仿宋_GB2312" w:hint="eastAsia"/>
          <w:bCs/>
          <w:sz w:val="32"/>
          <w:szCs w:val="32"/>
        </w:rPr>
        <w:t>不动产</w:t>
      </w:r>
      <w:r>
        <w:rPr>
          <w:rFonts w:eastAsia="仿宋_GB2312"/>
          <w:bCs/>
          <w:sz w:val="32"/>
          <w:szCs w:val="32"/>
        </w:rPr>
        <w:t>基金存续期间流动性不足风险。</w:t>
      </w:r>
    </w:p>
    <w:p w14:paraId="7DFA632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基金管理人应当充分做好二级市场异常波动和解除禁售等情形的风险提示，设置二级市场异常波动风险防控措施。</w:t>
      </w:r>
    </w:p>
    <w:p w14:paraId="09BB99B7"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基金存续期间预计存在对外借款安排的，管理人应当核查并在</w:t>
      </w:r>
      <w:r>
        <w:rPr>
          <w:rFonts w:eastAsia="仿宋_GB2312" w:hint="eastAsia"/>
          <w:bCs/>
          <w:sz w:val="32"/>
          <w:szCs w:val="32"/>
        </w:rPr>
        <w:t>不动产</w:t>
      </w:r>
      <w:r>
        <w:rPr>
          <w:rFonts w:eastAsia="仿宋_GB2312"/>
          <w:bCs/>
          <w:sz w:val="32"/>
          <w:szCs w:val="32"/>
        </w:rPr>
        <w:t>基金</w:t>
      </w:r>
      <w:r>
        <w:rPr>
          <w:rFonts w:eastAsia="仿宋_GB2312" w:hint="eastAsia"/>
          <w:bCs/>
          <w:sz w:val="32"/>
          <w:szCs w:val="32"/>
        </w:rPr>
        <w:t>有关</w:t>
      </w:r>
      <w:r>
        <w:rPr>
          <w:rFonts w:eastAsia="仿宋_GB2312"/>
          <w:bCs/>
          <w:sz w:val="32"/>
          <w:szCs w:val="32"/>
        </w:rPr>
        <w:t>法律文件中披露下列事项：</w:t>
      </w:r>
    </w:p>
    <w:p w14:paraId="7D04BD0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（一）借款类型、金额、预计占基金净资产的比例、融资成本、用途、增信方式、必要性等；</w:t>
      </w:r>
    </w:p>
    <w:p w14:paraId="39D55EB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（二）借款偿还安排，借款对</w:t>
      </w:r>
      <w:r>
        <w:rPr>
          <w:rFonts w:eastAsia="仿宋_GB2312" w:hint="eastAsia"/>
          <w:bCs/>
          <w:sz w:val="32"/>
          <w:szCs w:val="32"/>
        </w:rPr>
        <w:t>不动产</w:t>
      </w:r>
      <w:r>
        <w:rPr>
          <w:rFonts w:eastAsia="仿宋_GB2312"/>
          <w:bCs/>
          <w:sz w:val="32"/>
          <w:szCs w:val="32"/>
        </w:rPr>
        <w:t>项目持续稳定运营，以及</w:t>
      </w:r>
      <w:r>
        <w:rPr>
          <w:rFonts w:eastAsia="仿宋_GB2312" w:hint="eastAsia"/>
          <w:bCs/>
          <w:sz w:val="32"/>
          <w:szCs w:val="32"/>
        </w:rPr>
        <w:t>不动产基</w:t>
      </w:r>
      <w:r>
        <w:rPr>
          <w:rFonts w:eastAsia="仿宋_GB2312"/>
          <w:bCs/>
          <w:sz w:val="32"/>
          <w:szCs w:val="32"/>
        </w:rPr>
        <w:t>金可供分配现金流的影响。</w:t>
      </w:r>
    </w:p>
    <w:p w14:paraId="499F2E94"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基金经理应当具备专业胜任能力。一只</w:t>
      </w:r>
      <w:r>
        <w:rPr>
          <w:rFonts w:eastAsia="仿宋_GB2312" w:hint="eastAsia"/>
          <w:bCs/>
          <w:sz w:val="32"/>
          <w:szCs w:val="32"/>
        </w:rPr>
        <w:t>不动产</w:t>
      </w:r>
      <w:r>
        <w:rPr>
          <w:rFonts w:eastAsia="仿宋_GB2312"/>
          <w:bCs/>
          <w:sz w:val="32"/>
          <w:szCs w:val="32"/>
        </w:rPr>
        <w:t>基金应当至少由</w:t>
      </w:r>
      <w:r>
        <w:rPr>
          <w:rFonts w:eastAsia="仿宋_GB2312" w:hint="eastAsia"/>
          <w:bCs/>
          <w:sz w:val="32"/>
          <w:szCs w:val="32"/>
        </w:rPr>
        <w:t>2</w:t>
      </w:r>
      <w:r>
        <w:rPr>
          <w:rFonts w:eastAsia="仿宋_GB2312"/>
          <w:bCs/>
          <w:sz w:val="32"/>
          <w:szCs w:val="32"/>
        </w:rPr>
        <w:t>名运营管理基金经理和</w:t>
      </w:r>
      <w:r>
        <w:rPr>
          <w:rFonts w:eastAsia="仿宋_GB2312" w:hint="eastAsia"/>
          <w:bCs/>
          <w:sz w:val="32"/>
          <w:szCs w:val="32"/>
        </w:rPr>
        <w:t>1</w:t>
      </w:r>
      <w:r>
        <w:rPr>
          <w:rFonts w:eastAsia="仿宋_GB2312"/>
          <w:bCs/>
          <w:sz w:val="32"/>
          <w:szCs w:val="32"/>
        </w:rPr>
        <w:t>名投资管理基金经理管理。存在基金经理兼任情形的，应当同时符合</w:t>
      </w:r>
      <w:r>
        <w:rPr>
          <w:rFonts w:eastAsia="仿宋_GB2312" w:hint="eastAsia"/>
          <w:bCs/>
          <w:sz w:val="32"/>
          <w:szCs w:val="32"/>
        </w:rPr>
        <w:t>下列</w:t>
      </w:r>
      <w:r>
        <w:rPr>
          <w:rFonts w:eastAsia="仿宋_GB2312"/>
          <w:bCs/>
          <w:sz w:val="32"/>
          <w:szCs w:val="32"/>
        </w:rPr>
        <w:t>条件：</w:t>
      </w:r>
    </w:p>
    <w:p w14:paraId="7ACAC206" w14:textId="77777777" w:rsidR="005C45E9" w:rsidRDefault="00000000">
      <w:pPr>
        <w:adjustRightInd w:val="0"/>
        <w:snapToGrid w:val="0"/>
        <w:spacing w:line="560" w:lineRule="exact"/>
        <w:ind w:firstLine="640"/>
        <w:rPr>
          <w:rFonts w:eastAsia="仿宋_GB2312"/>
          <w:sz w:val="32"/>
          <w:szCs w:val="32"/>
        </w:rPr>
      </w:pPr>
      <w:r>
        <w:rPr>
          <w:rFonts w:eastAsia="仿宋_GB2312"/>
          <w:sz w:val="32"/>
          <w:szCs w:val="32"/>
        </w:rPr>
        <w:t>（一）基金管理人在管的已上市</w:t>
      </w:r>
      <w:r>
        <w:rPr>
          <w:rFonts w:eastAsia="仿宋_GB2312" w:hint="eastAsia"/>
          <w:sz w:val="32"/>
          <w:szCs w:val="32"/>
        </w:rPr>
        <w:t>不动产</w:t>
      </w:r>
      <w:r>
        <w:rPr>
          <w:rFonts w:eastAsia="仿宋_GB2312"/>
          <w:sz w:val="32"/>
          <w:szCs w:val="32"/>
        </w:rPr>
        <w:t>基金不少于</w:t>
      </w:r>
      <w:r>
        <w:rPr>
          <w:rFonts w:eastAsia="仿宋_GB2312" w:hint="eastAsia"/>
          <w:sz w:val="32"/>
          <w:szCs w:val="32"/>
        </w:rPr>
        <w:t>3</w:t>
      </w:r>
      <w:r>
        <w:rPr>
          <w:rFonts w:eastAsia="仿宋_GB2312"/>
          <w:sz w:val="32"/>
          <w:szCs w:val="32"/>
        </w:rPr>
        <w:t>只，且同一资产</w:t>
      </w:r>
      <w:r>
        <w:rPr>
          <w:rFonts w:eastAsia="仿宋_GB2312" w:hint="eastAsia"/>
          <w:sz w:val="32"/>
          <w:szCs w:val="32"/>
        </w:rPr>
        <w:t>业态</w:t>
      </w:r>
      <w:r>
        <w:rPr>
          <w:rFonts w:eastAsia="仿宋_GB2312"/>
          <w:sz w:val="32"/>
          <w:szCs w:val="32"/>
        </w:rPr>
        <w:t>的运营管理基金经理岗位</w:t>
      </w:r>
      <w:proofErr w:type="gramStart"/>
      <w:r>
        <w:rPr>
          <w:rFonts w:eastAsia="仿宋_GB2312"/>
          <w:sz w:val="32"/>
          <w:szCs w:val="32"/>
        </w:rPr>
        <w:t>适格人员</w:t>
      </w:r>
      <w:proofErr w:type="gramEnd"/>
      <w:r>
        <w:rPr>
          <w:rFonts w:eastAsia="仿宋_GB2312"/>
          <w:sz w:val="32"/>
          <w:szCs w:val="32"/>
        </w:rPr>
        <w:t>不少于</w:t>
      </w:r>
      <w:r>
        <w:rPr>
          <w:rFonts w:eastAsia="仿宋_GB2312" w:hint="eastAsia"/>
          <w:sz w:val="32"/>
          <w:szCs w:val="32"/>
        </w:rPr>
        <w:t>2</w:t>
      </w:r>
      <w:r>
        <w:rPr>
          <w:rFonts w:eastAsia="仿宋_GB2312"/>
          <w:sz w:val="32"/>
          <w:szCs w:val="32"/>
        </w:rPr>
        <w:t>人；</w:t>
      </w:r>
    </w:p>
    <w:p w14:paraId="4F824D59" w14:textId="77777777" w:rsidR="005C45E9" w:rsidRDefault="00000000">
      <w:pPr>
        <w:adjustRightInd w:val="0"/>
        <w:snapToGrid w:val="0"/>
        <w:spacing w:line="560" w:lineRule="exact"/>
        <w:ind w:firstLine="640"/>
        <w:rPr>
          <w:rFonts w:eastAsia="仿宋_GB2312"/>
          <w:sz w:val="32"/>
          <w:szCs w:val="32"/>
        </w:rPr>
      </w:pPr>
      <w:r>
        <w:rPr>
          <w:rFonts w:eastAsia="仿宋_GB2312"/>
          <w:sz w:val="32"/>
          <w:szCs w:val="32"/>
        </w:rPr>
        <w:t>（二）同一基金经理原则上兼任不超过</w:t>
      </w:r>
      <w:r>
        <w:rPr>
          <w:rFonts w:eastAsia="仿宋_GB2312" w:hint="eastAsia"/>
          <w:sz w:val="32"/>
          <w:szCs w:val="32"/>
        </w:rPr>
        <w:t>3</w:t>
      </w:r>
      <w:r>
        <w:rPr>
          <w:rFonts w:eastAsia="仿宋_GB2312"/>
          <w:sz w:val="32"/>
          <w:szCs w:val="32"/>
        </w:rPr>
        <w:t>只，且具备</w:t>
      </w:r>
      <w:r>
        <w:rPr>
          <w:rFonts w:eastAsia="仿宋_GB2312" w:hint="eastAsia"/>
          <w:sz w:val="32"/>
          <w:szCs w:val="32"/>
        </w:rPr>
        <w:t>6</w:t>
      </w:r>
      <w:r>
        <w:rPr>
          <w:rFonts w:eastAsia="仿宋_GB2312"/>
          <w:sz w:val="32"/>
          <w:szCs w:val="32"/>
        </w:rPr>
        <w:t>个月以上的</w:t>
      </w:r>
      <w:r>
        <w:rPr>
          <w:rFonts w:eastAsia="仿宋_GB2312" w:hint="eastAsia"/>
          <w:sz w:val="32"/>
          <w:szCs w:val="32"/>
        </w:rPr>
        <w:t>不动产基</w:t>
      </w:r>
      <w:r>
        <w:rPr>
          <w:rFonts w:eastAsia="仿宋_GB2312"/>
          <w:sz w:val="32"/>
          <w:szCs w:val="32"/>
        </w:rPr>
        <w:t>金管理经验。</w:t>
      </w:r>
    </w:p>
    <w:p w14:paraId="54DE423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sz w:val="32"/>
          <w:szCs w:val="32"/>
        </w:rPr>
        <w:t>基金管理人应当审慎评估基金经理兼任安排，建立完善内</w:t>
      </w:r>
      <w:r>
        <w:rPr>
          <w:rFonts w:eastAsia="仿宋_GB2312" w:hint="eastAsia"/>
          <w:sz w:val="32"/>
          <w:szCs w:val="32"/>
        </w:rPr>
        <w:t>部</w:t>
      </w:r>
      <w:r>
        <w:rPr>
          <w:rFonts w:eastAsia="仿宋_GB2312"/>
          <w:sz w:val="32"/>
          <w:szCs w:val="32"/>
        </w:rPr>
        <w:t>控</w:t>
      </w:r>
      <w:r>
        <w:rPr>
          <w:rFonts w:eastAsia="仿宋_GB2312" w:hint="eastAsia"/>
          <w:sz w:val="32"/>
          <w:szCs w:val="32"/>
        </w:rPr>
        <w:t>制</w:t>
      </w:r>
      <w:r>
        <w:rPr>
          <w:rFonts w:eastAsia="仿宋_GB2312"/>
          <w:sz w:val="32"/>
          <w:szCs w:val="32"/>
        </w:rPr>
        <w:t>机制、考核安排、相关信息披露和内部监察稽核安排，并就基金经理是否符合兼任要求出具专项说明</w:t>
      </w:r>
      <w:r>
        <w:rPr>
          <w:rFonts w:eastAsia="仿宋_GB2312"/>
          <w:bCs/>
          <w:sz w:val="32"/>
          <w:szCs w:val="32"/>
        </w:rPr>
        <w:t>。</w:t>
      </w:r>
    </w:p>
    <w:p w14:paraId="6D9E6375"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在基金合同、专项计划说明书等文件中约定费用具体构成、支付标准和支付路径。基金管理费、专项计划管理费以及财务顾问费（如有）应当合理，能够覆盖展业成本，不得以明显低于行业定价水平等不正当竞争方式招揽业务。</w:t>
      </w:r>
    </w:p>
    <w:p w14:paraId="705A83E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基金管理费可以</w:t>
      </w:r>
      <w:r>
        <w:rPr>
          <w:rFonts w:eastAsia="仿宋_GB2312" w:hint="eastAsia"/>
          <w:bCs/>
          <w:sz w:val="32"/>
          <w:szCs w:val="32"/>
        </w:rPr>
        <w:t>包括</w:t>
      </w:r>
      <w:r>
        <w:rPr>
          <w:rFonts w:eastAsia="仿宋_GB2312"/>
          <w:bCs/>
          <w:sz w:val="32"/>
          <w:szCs w:val="32"/>
        </w:rPr>
        <w:t>基础管理费以及浮动管理费，浮动管理费应当与</w:t>
      </w:r>
      <w:r>
        <w:rPr>
          <w:rFonts w:eastAsia="仿宋_GB2312" w:hint="eastAsia"/>
          <w:bCs/>
          <w:sz w:val="32"/>
          <w:szCs w:val="32"/>
        </w:rPr>
        <w:t>不动产基</w:t>
      </w:r>
      <w:r>
        <w:rPr>
          <w:rFonts w:eastAsia="仿宋_GB2312"/>
          <w:bCs/>
          <w:sz w:val="32"/>
          <w:szCs w:val="32"/>
        </w:rPr>
        <w:t>金业绩表现挂钩，能够有效体现对等的激励与约束。</w:t>
      </w:r>
    </w:p>
    <w:p w14:paraId="5B830D42"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基金管理人应当简要披露</w:t>
      </w:r>
      <w:r>
        <w:rPr>
          <w:rFonts w:eastAsia="仿宋_GB2312" w:hint="eastAsia"/>
          <w:bCs/>
          <w:sz w:val="32"/>
          <w:szCs w:val="32"/>
        </w:rPr>
        <w:t>不动产基金存续期间可供购入不动产</w:t>
      </w:r>
      <w:r>
        <w:rPr>
          <w:rFonts w:eastAsia="仿宋_GB2312"/>
          <w:bCs/>
          <w:sz w:val="32"/>
          <w:szCs w:val="32"/>
        </w:rPr>
        <w:t>项目基本情况，包括</w:t>
      </w:r>
      <w:r>
        <w:rPr>
          <w:rFonts w:eastAsia="仿宋_GB2312" w:hint="eastAsia"/>
          <w:bCs/>
          <w:sz w:val="32"/>
          <w:szCs w:val="32"/>
        </w:rPr>
        <w:t>不动产</w:t>
      </w:r>
      <w:r>
        <w:rPr>
          <w:rFonts w:eastAsia="仿宋_GB2312"/>
          <w:bCs/>
          <w:sz w:val="32"/>
          <w:szCs w:val="32"/>
        </w:rPr>
        <w:t>项目名称、所在区位、经营情况等。</w:t>
      </w:r>
    </w:p>
    <w:p w14:paraId="4DA07CC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可供购入不动产</w:t>
      </w:r>
      <w:r>
        <w:rPr>
          <w:rFonts w:eastAsia="仿宋_GB2312"/>
          <w:bCs/>
          <w:sz w:val="32"/>
          <w:szCs w:val="32"/>
        </w:rPr>
        <w:t>项目原则上应当为原始权益人及其关联方持有的符合条件的项目。</w:t>
      </w:r>
    </w:p>
    <w:p w14:paraId="20E0F741"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管理人应当在</w:t>
      </w:r>
      <w:r>
        <w:rPr>
          <w:rFonts w:eastAsia="仿宋_GB2312" w:hint="eastAsia"/>
          <w:bCs/>
          <w:sz w:val="32"/>
          <w:szCs w:val="32"/>
        </w:rPr>
        <w:t>不动产基</w:t>
      </w:r>
      <w:r>
        <w:rPr>
          <w:rFonts w:eastAsia="仿宋_GB2312"/>
          <w:bCs/>
          <w:sz w:val="32"/>
          <w:szCs w:val="32"/>
        </w:rPr>
        <w:t>金</w:t>
      </w:r>
      <w:r>
        <w:rPr>
          <w:rFonts w:eastAsia="仿宋_GB2312" w:hint="eastAsia"/>
          <w:bCs/>
          <w:sz w:val="32"/>
          <w:szCs w:val="32"/>
        </w:rPr>
        <w:t>有关</w:t>
      </w:r>
      <w:r>
        <w:rPr>
          <w:rFonts w:eastAsia="仿宋_GB2312"/>
          <w:bCs/>
          <w:sz w:val="32"/>
          <w:szCs w:val="32"/>
        </w:rPr>
        <w:t>法律文件中披露</w:t>
      </w:r>
      <w:r>
        <w:rPr>
          <w:rFonts w:eastAsia="仿宋_GB2312" w:hint="eastAsia"/>
          <w:bCs/>
          <w:sz w:val="32"/>
          <w:szCs w:val="32"/>
        </w:rPr>
        <w:t>不动产基</w:t>
      </w:r>
      <w:r>
        <w:rPr>
          <w:rFonts w:eastAsia="仿宋_GB2312"/>
          <w:bCs/>
          <w:sz w:val="32"/>
          <w:szCs w:val="32"/>
        </w:rPr>
        <w:t>金存续期间以及清算时，</w:t>
      </w:r>
      <w:r>
        <w:rPr>
          <w:rFonts w:eastAsia="仿宋_GB2312" w:hint="eastAsia"/>
          <w:bCs/>
          <w:sz w:val="32"/>
          <w:szCs w:val="32"/>
        </w:rPr>
        <w:t>不动产</w:t>
      </w:r>
      <w:r>
        <w:rPr>
          <w:rFonts w:eastAsia="仿宋_GB2312"/>
          <w:bCs/>
          <w:sz w:val="32"/>
          <w:szCs w:val="32"/>
        </w:rPr>
        <w:t>项目可能面临的限制转让情形，充分揭示风险，并设置风险缓释措施。</w:t>
      </w:r>
    </w:p>
    <w:p w14:paraId="717A3B39" w14:textId="77777777" w:rsidR="005C45E9" w:rsidRDefault="00000000">
      <w:pPr>
        <w:numPr>
          <w:ilvl w:val="0"/>
          <w:numId w:val="2"/>
        </w:numPr>
        <w:adjustRightInd w:val="0"/>
        <w:snapToGrid w:val="0"/>
        <w:spacing w:line="560" w:lineRule="exact"/>
        <w:rPr>
          <w:rFonts w:eastAsia="仿宋_GB2312"/>
          <w:bCs/>
          <w:kern w:val="0"/>
          <w:sz w:val="32"/>
          <w:szCs w:val="32"/>
        </w:rPr>
      </w:pPr>
      <w:r>
        <w:rPr>
          <w:rFonts w:eastAsia="仿宋_GB2312"/>
          <w:bCs/>
          <w:kern w:val="0"/>
          <w:sz w:val="32"/>
          <w:szCs w:val="32"/>
        </w:rPr>
        <w:t>基金管理人应当按照资产转让协议、有关主管部门规定等，在</w:t>
      </w:r>
      <w:r>
        <w:rPr>
          <w:rFonts w:eastAsia="仿宋_GB2312" w:hint="eastAsia"/>
          <w:bCs/>
          <w:kern w:val="0"/>
          <w:sz w:val="32"/>
          <w:szCs w:val="32"/>
        </w:rPr>
        <w:t>不动产</w:t>
      </w:r>
      <w:r>
        <w:rPr>
          <w:rFonts w:eastAsia="仿宋_GB2312"/>
          <w:bCs/>
          <w:kern w:val="0"/>
          <w:sz w:val="32"/>
          <w:szCs w:val="32"/>
        </w:rPr>
        <w:t>基金</w:t>
      </w:r>
      <w:r>
        <w:rPr>
          <w:rFonts w:eastAsia="仿宋_GB2312" w:hint="eastAsia"/>
          <w:bCs/>
          <w:kern w:val="0"/>
          <w:sz w:val="32"/>
          <w:szCs w:val="32"/>
        </w:rPr>
        <w:t>有关</w:t>
      </w:r>
      <w:r>
        <w:rPr>
          <w:rFonts w:eastAsia="仿宋_GB2312"/>
          <w:bCs/>
          <w:kern w:val="0"/>
          <w:sz w:val="32"/>
          <w:szCs w:val="32"/>
        </w:rPr>
        <w:t>法律文件中披露</w:t>
      </w:r>
      <w:r>
        <w:rPr>
          <w:rFonts w:eastAsia="仿宋_GB2312" w:hint="eastAsia"/>
          <w:bCs/>
          <w:kern w:val="0"/>
          <w:sz w:val="32"/>
          <w:szCs w:val="32"/>
        </w:rPr>
        <w:t>不动产基</w:t>
      </w:r>
      <w:r>
        <w:rPr>
          <w:rFonts w:eastAsia="仿宋_GB2312"/>
          <w:bCs/>
          <w:kern w:val="0"/>
          <w:sz w:val="32"/>
          <w:szCs w:val="32"/>
        </w:rPr>
        <w:t>金到期后相关资产移交和处置安排，充分揭示风险，并设置风险缓释措施。</w:t>
      </w:r>
    </w:p>
    <w:p w14:paraId="793EE5E6" w14:textId="77777777" w:rsidR="005C45E9" w:rsidRDefault="00000000">
      <w:pPr>
        <w:adjustRightInd w:val="0"/>
        <w:snapToGrid w:val="0"/>
        <w:spacing w:line="560" w:lineRule="exact"/>
        <w:ind w:firstLine="640"/>
        <w:rPr>
          <w:rFonts w:eastAsia="仿宋_GB2312"/>
          <w:bCs/>
          <w:kern w:val="0"/>
          <w:sz w:val="32"/>
          <w:szCs w:val="32"/>
        </w:rPr>
      </w:pPr>
      <w:r>
        <w:rPr>
          <w:rFonts w:eastAsia="仿宋_GB2312"/>
          <w:bCs/>
          <w:kern w:val="0"/>
          <w:sz w:val="32"/>
          <w:szCs w:val="32"/>
        </w:rPr>
        <w:t>基金管理人应当评估</w:t>
      </w:r>
      <w:r>
        <w:rPr>
          <w:rFonts w:eastAsia="仿宋_GB2312" w:hint="eastAsia"/>
          <w:bCs/>
          <w:kern w:val="0"/>
          <w:sz w:val="32"/>
          <w:szCs w:val="32"/>
        </w:rPr>
        <w:t>不动产</w:t>
      </w:r>
      <w:r>
        <w:rPr>
          <w:rFonts w:eastAsia="仿宋_GB2312"/>
          <w:bCs/>
          <w:kern w:val="0"/>
          <w:sz w:val="32"/>
          <w:szCs w:val="32"/>
        </w:rPr>
        <w:t>项目相关资产或者经营权是否存在被主管部门提前收回的风险。存在相关风险的，基金管理人应当披露相关的投资者利益保护机制，包括回</w:t>
      </w:r>
      <w:proofErr w:type="gramStart"/>
      <w:r>
        <w:rPr>
          <w:rFonts w:eastAsia="仿宋_GB2312"/>
          <w:bCs/>
          <w:kern w:val="0"/>
          <w:sz w:val="32"/>
          <w:szCs w:val="32"/>
        </w:rPr>
        <w:t>购价款</w:t>
      </w:r>
      <w:proofErr w:type="gramEnd"/>
      <w:r>
        <w:rPr>
          <w:rFonts w:eastAsia="仿宋_GB2312"/>
          <w:bCs/>
          <w:kern w:val="0"/>
          <w:sz w:val="32"/>
          <w:szCs w:val="32"/>
        </w:rPr>
        <w:t>的支付条件、回</w:t>
      </w:r>
      <w:proofErr w:type="gramStart"/>
      <w:r>
        <w:rPr>
          <w:rFonts w:eastAsia="仿宋_GB2312"/>
          <w:bCs/>
          <w:kern w:val="0"/>
          <w:sz w:val="32"/>
          <w:szCs w:val="32"/>
        </w:rPr>
        <w:t>购价款</w:t>
      </w:r>
      <w:proofErr w:type="gramEnd"/>
      <w:r>
        <w:rPr>
          <w:rFonts w:eastAsia="仿宋_GB2312"/>
          <w:bCs/>
          <w:kern w:val="0"/>
          <w:sz w:val="32"/>
          <w:szCs w:val="32"/>
        </w:rPr>
        <w:t>与</w:t>
      </w:r>
      <w:r>
        <w:rPr>
          <w:rFonts w:eastAsia="仿宋_GB2312" w:hint="eastAsia"/>
          <w:bCs/>
          <w:kern w:val="0"/>
          <w:sz w:val="32"/>
          <w:szCs w:val="32"/>
        </w:rPr>
        <w:t>不动产</w:t>
      </w:r>
      <w:r>
        <w:rPr>
          <w:rFonts w:eastAsia="仿宋_GB2312"/>
          <w:bCs/>
          <w:kern w:val="0"/>
          <w:sz w:val="32"/>
          <w:szCs w:val="32"/>
        </w:rPr>
        <w:t>项目估值之间的关联性、对投资者收益的影响等。</w:t>
      </w:r>
    </w:p>
    <w:p w14:paraId="7D06B3D8" w14:textId="77777777" w:rsidR="005C45E9" w:rsidRDefault="00000000">
      <w:pPr>
        <w:pStyle w:val="Style3"/>
        <w:numPr>
          <w:ilvl w:val="0"/>
          <w:numId w:val="2"/>
        </w:numPr>
        <w:adjustRightInd w:val="0"/>
        <w:snapToGrid w:val="0"/>
        <w:spacing w:line="560" w:lineRule="exact"/>
        <w:rPr>
          <w:rFonts w:eastAsia="仿宋_GB2312"/>
          <w:sz w:val="32"/>
          <w:szCs w:val="32"/>
          <w:shd w:val="clear" w:color="auto" w:fill="FFFFFF"/>
        </w:rPr>
      </w:pPr>
      <w:r>
        <w:rPr>
          <w:rFonts w:eastAsia="仿宋_GB2312"/>
          <w:bCs/>
          <w:sz w:val="32"/>
          <w:szCs w:val="32"/>
        </w:rPr>
        <w:t>基金管理人应当在基金合同中明确基金合同终止的情形。基金合同终止或者基金清算涉及</w:t>
      </w:r>
      <w:r>
        <w:rPr>
          <w:rFonts w:eastAsia="仿宋_GB2312" w:hint="eastAsia"/>
          <w:bCs/>
          <w:sz w:val="32"/>
          <w:szCs w:val="32"/>
        </w:rPr>
        <w:t>不动产</w:t>
      </w:r>
      <w:r>
        <w:rPr>
          <w:rFonts w:eastAsia="仿宋_GB2312"/>
          <w:bCs/>
          <w:sz w:val="32"/>
          <w:szCs w:val="32"/>
        </w:rPr>
        <w:t>项目处置的，基金管理人应当披露</w:t>
      </w:r>
      <w:r>
        <w:rPr>
          <w:rFonts w:eastAsia="仿宋_GB2312" w:hint="eastAsia"/>
          <w:bCs/>
          <w:sz w:val="32"/>
          <w:szCs w:val="32"/>
        </w:rPr>
        <w:t>不动产</w:t>
      </w:r>
      <w:r>
        <w:rPr>
          <w:rFonts w:eastAsia="仿宋_GB2312"/>
          <w:bCs/>
          <w:sz w:val="32"/>
          <w:szCs w:val="32"/>
        </w:rPr>
        <w:t>项目处置的触发情形、决策程序、处置方式和流程</w:t>
      </w:r>
      <w:r>
        <w:rPr>
          <w:rFonts w:eastAsia="仿宋_GB2312" w:hint="eastAsia"/>
          <w:bCs/>
          <w:sz w:val="32"/>
          <w:szCs w:val="32"/>
        </w:rPr>
        <w:t>，</w:t>
      </w:r>
      <w:r>
        <w:rPr>
          <w:rFonts w:eastAsia="仿宋_GB2312"/>
          <w:bCs/>
          <w:sz w:val="32"/>
          <w:szCs w:val="32"/>
        </w:rPr>
        <w:t>以及相关信息披露安排等。</w:t>
      </w:r>
    </w:p>
    <w:p w14:paraId="052E5916"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lang w:val="zh-CN"/>
        </w:rPr>
      </w:pPr>
      <w:r>
        <w:rPr>
          <w:rFonts w:ascii="黑体" w:eastAsia="黑体" w:hAnsi="黑体"/>
          <w:b w:val="0"/>
          <w:bCs w:val="0"/>
          <w:sz w:val="32"/>
          <w:szCs w:val="32"/>
          <w:lang w:val="zh-CN"/>
        </w:rPr>
        <w:t>第五章</w:t>
      </w:r>
      <w:r>
        <w:rPr>
          <w:rFonts w:ascii="黑体" w:eastAsia="黑体" w:hAnsi="黑体" w:hint="eastAsia"/>
          <w:b w:val="0"/>
          <w:bCs w:val="0"/>
          <w:sz w:val="32"/>
          <w:szCs w:val="32"/>
          <w:lang w:val="zh-CN"/>
        </w:rPr>
        <w:t xml:space="preserve"> 不动产项目</w:t>
      </w:r>
      <w:r>
        <w:rPr>
          <w:rFonts w:ascii="黑体" w:eastAsia="黑体" w:hAnsi="黑体"/>
          <w:b w:val="0"/>
          <w:bCs w:val="0"/>
          <w:sz w:val="32"/>
          <w:szCs w:val="32"/>
          <w:lang w:val="zh-CN"/>
        </w:rPr>
        <w:t>运营管理安排</w:t>
      </w:r>
    </w:p>
    <w:p w14:paraId="5E1C5EF5" w14:textId="77777777" w:rsidR="005C45E9" w:rsidRDefault="00000000">
      <w:pPr>
        <w:pStyle w:val="Style3"/>
        <w:numPr>
          <w:ilvl w:val="0"/>
          <w:numId w:val="2"/>
        </w:numPr>
        <w:adjustRightInd w:val="0"/>
        <w:snapToGrid w:val="0"/>
        <w:spacing w:line="560" w:lineRule="exact"/>
        <w:rPr>
          <w:rFonts w:eastAsia="仿宋_GB2312"/>
          <w:sz w:val="32"/>
          <w:szCs w:val="21"/>
          <w:shd w:val="clear" w:color="auto" w:fill="FFFFFF"/>
        </w:rPr>
      </w:pPr>
      <w:r>
        <w:rPr>
          <w:rFonts w:eastAsia="仿宋_GB2312" w:hint="eastAsia"/>
          <w:bCs/>
          <w:sz w:val="32"/>
          <w:szCs w:val="32"/>
        </w:rPr>
        <w:t>不动产</w:t>
      </w:r>
      <w:r>
        <w:rPr>
          <w:rFonts w:eastAsia="仿宋_GB2312" w:hint="eastAsia"/>
          <w:sz w:val="32"/>
          <w:szCs w:val="21"/>
          <w:shd w:val="clear" w:color="auto" w:fill="FFFFFF"/>
        </w:rPr>
        <w:t>基金应当设置有效分层决策机制，充分发挥</w:t>
      </w:r>
      <w:r>
        <w:rPr>
          <w:rFonts w:eastAsia="仿宋_GB2312" w:hint="eastAsia"/>
          <w:bCs/>
          <w:sz w:val="32"/>
          <w:szCs w:val="32"/>
        </w:rPr>
        <w:t>运营</w:t>
      </w:r>
      <w:r>
        <w:rPr>
          <w:rFonts w:eastAsia="仿宋_GB2312" w:hint="eastAsia"/>
          <w:sz w:val="32"/>
          <w:szCs w:val="21"/>
          <w:shd w:val="clear" w:color="auto" w:fill="FFFFFF"/>
        </w:rPr>
        <w:t>管理机构以及相关方参与</w:t>
      </w:r>
      <w:r>
        <w:rPr>
          <w:rFonts w:eastAsia="仿宋_GB2312" w:hint="eastAsia"/>
          <w:bCs/>
          <w:sz w:val="32"/>
          <w:szCs w:val="32"/>
        </w:rPr>
        <w:t>不动产</w:t>
      </w:r>
      <w:r>
        <w:rPr>
          <w:rFonts w:eastAsia="仿宋_GB2312" w:hint="eastAsia"/>
          <w:sz w:val="32"/>
          <w:szCs w:val="21"/>
          <w:shd w:val="clear" w:color="auto" w:fill="FFFFFF"/>
        </w:rPr>
        <w:t>项目运营管理的作用。</w:t>
      </w:r>
    </w:p>
    <w:p w14:paraId="0173BF2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sz w:val="32"/>
          <w:szCs w:val="32"/>
        </w:rPr>
        <w:t>基金管理人可以从提高决策质量和效率出发，按照项目公司、基金管理人、基金份额持有人大会日常机构（如有）、基金份额持有人大会等不同层面，明确</w:t>
      </w:r>
      <w:r>
        <w:rPr>
          <w:rFonts w:eastAsia="仿宋_GB2312" w:hint="eastAsia"/>
          <w:bCs/>
          <w:sz w:val="32"/>
          <w:szCs w:val="32"/>
        </w:rPr>
        <w:t>不动产</w:t>
      </w:r>
      <w:r>
        <w:rPr>
          <w:rFonts w:eastAsia="仿宋_GB2312"/>
          <w:sz w:val="32"/>
          <w:szCs w:val="32"/>
        </w:rPr>
        <w:t>项目运营过程中重要事项</w:t>
      </w:r>
      <w:r>
        <w:rPr>
          <w:rFonts w:eastAsia="仿宋_GB2312"/>
          <w:bCs/>
          <w:sz w:val="32"/>
          <w:szCs w:val="32"/>
        </w:rPr>
        <w:t>的分层决策机制。</w:t>
      </w:r>
    </w:p>
    <w:p w14:paraId="50795FC9"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基金管理人应当披露基金份额持有人大会规则，基金份额持有人权利、行使程序，基金份额持有人</w:t>
      </w:r>
      <w:r>
        <w:rPr>
          <w:rFonts w:eastAsia="仿宋_GB2312" w:hint="eastAsia"/>
          <w:bCs/>
          <w:sz w:val="32"/>
          <w:szCs w:val="32"/>
        </w:rPr>
        <w:t>大会</w:t>
      </w:r>
      <w:r>
        <w:rPr>
          <w:rFonts w:eastAsia="仿宋_GB2312"/>
          <w:bCs/>
          <w:sz w:val="32"/>
          <w:szCs w:val="32"/>
        </w:rPr>
        <w:t>的召集、通知、决策机制和信息披露等重要事项。</w:t>
      </w:r>
    </w:p>
    <w:p w14:paraId="5B5C7E55"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基金管理人应当明确约定并披露其按照有关规定履行</w:t>
      </w:r>
      <w:r>
        <w:rPr>
          <w:rFonts w:eastAsia="仿宋_GB2312" w:hint="eastAsia"/>
          <w:bCs/>
          <w:sz w:val="32"/>
          <w:szCs w:val="32"/>
        </w:rPr>
        <w:t>不动产</w:t>
      </w:r>
      <w:r>
        <w:rPr>
          <w:rFonts w:eastAsia="仿宋_GB2312"/>
          <w:bCs/>
          <w:sz w:val="32"/>
          <w:szCs w:val="32"/>
        </w:rPr>
        <w:t>项目运营管理职责的相关安排和机制。</w:t>
      </w:r>
    </w:p>
    <w:p w14:paraId="06675FCB"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基金管理人委托</w:t>
      </w:r>
      <w:r>
        <w:rPr>
          <w:rFonts w:eastAsia="仿宋_GB2312" w:hint="eastAsia"/>
          <w:bCs/>
          <w:sz w:val="32"/>
          <w:szCs w:val="32"/>
        </w:rPr>
        <w:t>运营</w:t>
      </w:r>
      <w:r>
        <w:rPr>
          <w:rFonts w:eastAsia="仿宋_GB2312"/>
          <w:bCs/>
          <w:sz w:val="32"/>
          <w:szCs w:val="32"/>
        </w:rPr>
        <w:t>管理机构运营管理</w:t>
      </w:r>
      <w:r>
        <w:rPr>
          <w:rFonts w:eastAsia="仿宋_GB2312" w:hint="eastAsia"/>
          <w:bCs/>
          <w:sz w:val="32"/>
          <w:szCs w:val="32"/>
        </w:rPr>
        <w:t>不动产</w:t>
      </w:r>
      <w:r>
        <w:rPr>
          <w:rFonts w:eastAsia="仿宋_GB2312"/>
          <w:bCs/>
          <w:sz w:val="32"/>
          <w:szCs w:val="32"/>
        </w:rPr>
        <w:t>项目的，应当符合</w:t>
      </w:r>
      <w:r>
        <w:rPr>
          <w:rFonts w:eastAsia="仿宋_GB2312" w:hint="eastAsia"/>
          <w:bCs/>
          <w:sz w:val="32"/>
          <w:szCs w:val="32"/>
        </w:rPr>
        <w:t>有关法律法规的规</w:t>
      </w:r>
      <w:r>
        <w:rPr>
          <w:rFonts w:eastAsia="仿宋_GB2312"/>
          <w:bCs/>
          <w:sz w:val="32"/>
          <w:szCs w:val="32"/>
        </w:rPr>
        <w:t>定，签署运营管理协议，明确约定</w:t>
      </w:r>
      <w:r>
        <w:rPr>
          <w:rFonts w:eastAsia="仿宋_GB2312" w:hint="eastAsia"/>
          <w:bCs/>
          <w:sz w:val="32"/>
          <w:szCs w:val="32"/>
        </w:rPr>
        <w:t>运营</w:t>
      </w:r>
      <w:r>
        <w:rPr>
          <w:rFonts w:eastAsia="仿宋_GB2312"/>
          <w:bCs/>
          <w:sz w:val="32"/>
          <w:szCs w:val="32"/>
        </w:rPr>
        <w:t>管理机构的具体服务内容，费用情况，解聘、更换条件和流程，履职情况评估等安排，相关内容应当明确、具体、可执行。</w:t>
      </w:r>
    </w:p>
    <w:p w14:paraId="46D2AB3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运营</w:t>
      </w:r>
      <w:r>
        <w:rPr>
          <w:rFonts w:eastAsia="仿宋_GB2312"/>
          <w:bCs/>
          <w:sz w:val="32"/>
          <w:szCs w:val="32"/>
        </w:rPr>
        <w:t>管理机构应当具备</w:t>
      </w:r>
      <w:r>
        <w:rPr>
          <w:rFonts w:eastAsia="仿宋_GB2312" w:hint="eastAsia"/>
          <w:bCs/>
          <w:sz w:val="32"/>
          <w:szCs w:val="32"/>
        </w:rPr>
        <w:t>不动产</w:t>
      </w:r>
      <w:r>
        <w:rPr>
          <w:rFonts w:eastAsia="仿宋_GB2312"/>
          <w:bCs/>
          <w:sz w:val="32"/>
          <w:szCs w:val="32"/>
        </w:rPr>
        <w:t>项目相关的成熟运营管理经验和良好的市场定位能力、收益管理能力、运营成本管控能力，应当制定适宜的运营管理机制，稳定提升资产收益水平。</w:t>
      </w:r>
    </w:p>
    <w:p w14:paraId="1AFF26DD"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管理人应当披露运营管理机构为管理不动产项目配备的主要负责人员情况、运营管理安排、运营管理资质（如有）以及管理的同类资产历史运营表现等有关事项。</w:t>
      </w:r>
    </w:p>
    <w:p w14:paraId="4982A382" w14:textId="77777777" w:rsidR="005C45E9" w:rsidRDefault="00000000">
      <w:pPr>
        <w:pStyle w:val="Style3"/>
        <w:adjustRightInd w:val="0"/>
        <w:snapToGrid w:val="0"/>
        <w:spacing w:line="560" w:lineRule="exact"/>
        <w:ind w:firstLineChars="200" w:firstLine="640"/>
        <w:rPr>
          <w:rFonts w:eastAsia="仿宋_GB2312"/>
          <w:bCs/>
          <w:sz w:val="32"/>
          <w:szCs w:val="32"/>
        </w:rPr>
      </w:pPr>
      <w:r>
        <w:rPr>
          <w:rFonts w:eastAsia="仿宋_GB2312"/>
          <w:bCs/>
          <w:sz w:val="32"/>
          <w:szCs w:val="32"/>
        </w:rPr>
        <w:t>基金管理人管理多个同类</w:t>
      </w:r>
      <w:r>
        <w:rPr>
          <w:rFonts w:eastAsia="仿宋_GB2312" w:hint="eastAsia"/>
          <w:bCs/>
          <w:sz w:val="32"/>
          <w:szCs w:val="32"/>
        </w:rPr>
        <w:t>不动产</w:t>
      </w:r>
      <w:r>
        <w:rPr>
          <w:rFonts w:eastAsia="仿宋_GB2312"/>
          <w:bCs/>
          <w:sz w:val="32"/>
          <w:szCs w:val="32"/>
        </w:rPr>
        <w:t>基金的，应当披露在同类项目运营管理、</w:t>
      </w:r>
      <w:r>
        <w:rPr>
          <w:rFonts w:eastAsia="仿宋_GB2312" w:hint="eastAsia"/>
          <w:bCs/>
          <w:sz w:val="32"/>
          <w:szCs w:val="32"/>
        </w:rPr>
        <w:t>拟购入不动产项目</w:t>
      </w:r>
      <w:r>
        <w:rPr>
          <w:rFonts w:eastAsia="仿宋_GB2312"/>
          <w:bCs/>
          <w:sz w:val="32"/>
          <w:szCs w:val="32"/>
        </w:rPr>
        <w:t>安排、决策机制等方面的利益冲突防范机制，并充分揭示风险。</w:t>
      </w:r>
    </w:p>
    <w:p w14:paraId="33C7870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运营</w:t>
      </w:r>
      <w:r>
        <w:rPr>
          <w:rFonts w:eastAsia="仿宋_GB2312"/>
          <w:bCs/>
          <w:sz w:val="32"/>
          <w:szCs w:val="32"/>
        </w:rPr>
        <w:t>管理机构同时向</w:t>
      </w:r>
      <w:r>
        <w:rPr>
          <w:rFonts w:eastAsia="仿宋_GB2312" w:hint="eastAsia"/>
          <w:bCs/>
          <w:sz w:val="32"/>
          <w:szCs w:val="32"/>
        </w:rPr>
        <w:t>不动产基</w:t>
      </w:r>
      <w:r>
        <w:rPr>
          <w:rFonts w:eastAsia="仿宋_GB2312"/>
          <w:bCs/>
          <w:sz w:val="32"/>
          <w:szCs w:val="32"/>
        </w:rPr>
        <w:t>金以外的其他机构提供同类项目运营管理服务的，应当设立独立机构或者独立部门负责</w:t>
      </w:r>
      <w:r>
        <w:rPr>
          <w:rFonts w:eastAsia="仿宋_GB2312" w:hint="eastAsia"/>
          <w:bCs/>
          <w:sz w:val="32"/>
          <w:szCs w:val="32"/>
        </w:rPr>
        <w:t>不动产</w:t>
      </w:r>
      <w:r>
        <w:rPr>
          <w:rFonts w:eastAsia="仿宋_GB2312"/>
          <w:bCs/>
          <w:sz w:val="32"/>
          <w:szCs w:val="32"/>
        </w:rPr>
        <w:t>项目的运营管理，并采取充分、适当的措施缓释利益冲突风险。基金管理人应当核查相关业务是否与项目公司存在同业竞争，并对相关利益冲突缓释措施的合理性、充分性和可行性发表明确意见。</w:t>
      </w:r>
    </w:p>
    <w:p w14:paraId="0894A284"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运营管理协议应当明确约定运营管理费用的构成、收取基准、计算方式、调整安排、支付主体、支付方式和支付频次等。</w:t>
      </w:r>
    </w:p>
    <w:p w14:paraId="492B5C8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运营管理费用设置应当合理、公允、符合交易习惯。运营管理费应当</w:t>
      </w:r>
      <w:bookmarkStart w:id="5" w:name="_Hlk175848861"/>
      <w:r>
        <w:rPr>
          <w:rFonts w:eastAsia="仿宋_GB2312" w:hint="eastAsia"/>
          <w:bCs/>
          <w:sz w:val="32"/>
          <w:szCs w:val="32"/>
        </w:rPr>
        <w:t>包括</w:t>
      </w:r>
      <w:r>
        <w:rPr>
          <w:rFonts w:eastAsia="仿宋_GB2312"/>
          <w:bCs/>
          <w:sz w:val="32"/>
          <w:szCs w:val="32"/>
        </w:rPr>
        <w:t>基础管理费以及浮动管理费</w:t>
      </w:r>
      <w:bookmarkEnd w:id="5"/>
      <w:r>
        <w:rPr>
          <w:rFonts w:eastAsia="仿宋_GB2312"/>
          <w:bCs/>
          <w:sz w:val="32"/>
          <w:szCs w:val="32"/>
        </w:rPr>
        <w:t>。基础管理费可以结合</w:t>
      </w:r>
      <w:r>
        <w:rPr>
          <w:rFonts w:eastAsia="仿宋_GB2312" w:hint="eastAsia"/>
          <w:bCs/>
          <w:sz w:val="32"/>
          <w:szCs w:val="32"/>
        </w:rPr>
        <w:t>不动产</w:t>
      </w:r>
      <w:r>
        <w:rPr>
          <w:rFonts w:eastAsia="仿宋_GB2312"/>
          <w:bCs/>
          <w:sz w:val="32"/>
          <w:szCs w:val="32"/>
        </w:rPr>
        <w:t>项目历史运营管理成本费用支出情况确定，保障</w:t>
      </w:r>
      <w:r>
        <w:rPr>
          <w:rFonts w:eastAsia="仿宋_GB2312" w:hint="eastAsia"/>
          <w:bCs/>
          <w:sz w:val="32"/>
          <w:szCs w:val="32"/>
        </w:rPr>
        <w:t>不动产</w:t>
      </w:r>
      <w:r>
        <w:rPr>
          <w:rFonts w:eastAsia="仿宋_GB2312"/>
          <w:bCs/>
          <w:sz w:val="32"/>
          <w:szCs w:val="32"/>
        </w:rPr>
        <w:t>项目稳定运营。浮动管理费应当有利于提高</w:t>
      </w:r>
      <w:r>
        <w:rPr>
          <w:rFonts w:eastAsia="仿宋_GB2312" w:hint="eastAsia"/>
          <w:bCs/>
          <w:sz w:val="32"/>
          <w:szCs w:val="32"/>
        </w:rPr>
        <w:t>不动产</w:t>
      </w:r>
      <w:r>
        <w:rPr>
          <w:rFonts w:eastAsia="仿宋_GB2312"/>
          <w:bCs/>
          <w:sz w:val="32"/>
          <w:szCs w:val="32"/>
        </w:rPr>
        <w:t>项目运营管理效率、强化资产维护运营，能够有效体现对等的激励与约束。</w:t>
      </w:r>
    </w:p>
    <w:p w14:paraId="1F8A4259"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eastAsia="仿宋_GB2312" w:hint="eastAsia"/>
          <w:bCs/>
          <w:sz w:val="32"/>
          <w:szCs w:val="32"/>
        </w:rPr>
        <w:t>运营</w:t>
      </w:r>
      <w:r>
        <w:rPr>
          <w:rFonts w:eastAsia="仿宋_GB2312"/>
          <w:bCs/>
          <w:sz w:val="32"/>
          <w:szCs w:val="32"/>
        </w:rPr>
        <w:t>管理机构的聘任、解聘以及监督机制，浮动管理费用设置，运营管理团队的绩效评价与收入分配激励机制，对运营管理机制能否有效实现激励约束目标发表明确意见。</w:t>
      </w:r>
    </w:p>
    <w:p w14:paraId="162021DB"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基金管理人应当加强对</w:t>
      </w:r>
      <w:r>
        <w:rPr>
          <w:rFonts w:eastAsia="仿宋_GB2312" w:hint="eastAsia"/>
          <w:bCs/>
          <w:sz w:val="32"/>
          <w:szCs w:val="32"/>
        </w:rPr>
        <w:t>运营</w:t>
      </w:r>
      <w:r>
        <w:rPr>
          <w:rFonts w:eastAsia="仿宋_GB2312"/>
          <w:bCs/>
          <w:sz w:val="32"/>
          <w:szCs w:val="32"/>
        </w:rPr>
        <w:t>管理机构履职情况的监督，建立履职监督</w:t>
      </w:r>
      <w:r>
        <w:rPr>
          <w:rFonts w:eastAsia="仿宋_GB2312" w:hint="eastAsia"/>
          <w:bCs/>
          <w:sz w:val="32"/>
          <w:szCs w:val="32"/>
        </w:rPr>
        <w:t>有关</w:t>
      </w:r>
      <w:r>
        <w:rPr>
          <w:rFonts w:eastAsia="仿宋_GB2312"/>
          <w:bCs/>
          <w:sz w:val="32"/>
          <w:szCs w:val="32"/>
        </w:rPr>
        <w:t>制度机制，至少每年对其履职情况、财务预算执行情况评估一次，确保其勤勉尽责，积极履行运营管理职责。</w:t>
      </w:r>
    </w:p>
    <w:p w14:paraId="69BF9A0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基金管理人发现</w:t>
      </w:r>
      <w:r>
        <w:rPr>
          <w:rFonts w:eastAsia="仿宋_GB2312" w:hint="eastAsia"/>
          <w:bCs/>
          <w:sz w:val="32"/>
          <w:szCs w:val="32"/>
        </w:rPr>
        <w:t>运营</w:t>
      </w:r>
      <w:r>
        <w:rPr>
          <w:rFonts w:eastAsia="仿宋_GB2312"/>
          <w:bCs/>
          <w:sz w:val="32"/>
          <w:szCs w:val="32"/>
        </w:rPr>
        <w:t>管理机构存在信息报送不及时，或者内幕信息管理机制、关联交易管理机制不完善等情形的，应当及时向属地证监局和本所报告。</w:t>
      </w:r>
    </w:p>
    <w:p w14:paraId="76843B8E"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项目现金流回款以及分配路径应当清晰明确，管理人应当披露账户设置和现金流自产生至当期分配给</w:t>
      </w:r>
      <w:r>
        <w:rPr>
          <w:rFonts w:eastAsia="仿宋_GB2312" w:hint="eastAsia"/>
          <w:bCs/>
          <w:sz w:val="32"/>
          <w:szCs w:val="32"/>
        </w:rPr>
        <w:t>不动产</w:t>
      </w:r>
      <w:r>
        <w:rPr>
          <w:rFonts w:eastAsia="仿宋_GB2312"/>
          <w:bCs/>
          <w:sz w:val="32"/>
          <w:szCs w:val="32"/>
        </w:rPr>
        <w:t>基金期间在各账户间的划转安排等。</w:t>
      </w:r>
    </w:p>
    <w:p w14:paraId="49EDA7F4"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项目公司基本户、运营收支账户等银行账户原则上应当在基金托管人处开立。在其他商业银行开立的，管理人应当充分说明原因，加强账户监管，提高资金归集频率，防范现金流的混同和挪用等风险。</w:t>
      </w:r>
    </w:p>
    <w:p w14:paraId="3D510EBD"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基金管理人、</w:t>
      </w:r>
      <w:r>
        <w:rPr>
          <w:rFonts w:eastAsia="仿宋_GB2312" w:hint="eastAsia"/>
          <w:bCs/>
          <w:sz w:val="32"/>
          <w:szCs w:val="32"/>
        </w:rPr>
        <w:t>运营</w:t>
      </w:r>
      <w:r>
        <w:rPr>
          <w:rFonts w:eastAsia="仿宋_GB2312"/>
          <w:bCs/>
          <w:sz w:val="32"/>
          <w:szCs w:val="32"/>
        </w:rPr>
        <w:t>管理机构应当设置突发事件及时响应处置披露机制。</w:t>
      </w:r>
    </w:p>
    <w:p w14:paraId="69AF2CF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突发事件发生后，基金管理人、</w:t>
      </w:r>
      <w:r>
        <w:rPr>
          <w:rFonts w:eastAsia="仿宋_GB2312" w:hint="eastAsia"/>
          <w:bCs/>
          <w:sz w:val="32"/>
          <w:szCs w:val="32"/>
        </w:rPr>
        <w:t>运营</w:t>
      </w:r>
      <w:r>
        <w:rPr>
          <w:rFonts w:eastAsia="仿宋_GB2312"/>
          <w:bCs/>
          <w:sz w:val="32"/>
          <w:szCs w:val="32"/>
        </w:rPr>
        <w:t>管理机构应当及时披露突发事件情况以及对</w:t>
      </w:r>
      <w:r>
        <w:rPr>
          <w:rFonts w:eastAsia="仿宋_GB2312" w:hint="eastAsia"/>
          <w:bCs/>
          <w:sz w:val="32"/>
          <w:szCs w:val="32"/>
        </w:rPr>
        <w:t>不动产</w:t>
      </w:r>
      <w:r>
        <w:rPr>
          <w:rFonts w:eastAsia="仿宋_GB2312"/>
          <w:bCs/>
          <w:sz w:val="32"/>
          <w:szCs w:val="32"/>
        </w:rPr>
        <w:t>项目运营稳定性的影响，以及后续应对措施，做好投资者关系管理工作，必要时采取发布临时公告、召开情况说明会等措施防范化解相关负面影响。</w:t>
      </w:r>
    </w:p>
    <w:p w14:paraId="005DFF4B" w14:textId="77777777" w:rsidR="005C45E9" w:rsidRDefault="00000000">
      <w:pPr>
        <w:pStyle w:val="1"/>
        <w:adjustRightInd w:val="0"/>
        <w:snapToGrid w:val="0"/>
        <w:spacing w:before="0" w:after="0" w:line="560" w:lineRule="exact"/>
        <w:jc w:val="center"/>
        <w:rPr>
          <w:rFonts w:ascii="黑体" w:eastAsia="黑体" w:hAnsi="黑体" w:hint="eastAsia"/>
          <w:b w:val="0"/>
          <w:bCs w:val="0"/>
          <w:sz w:val="32"/>
          <w:szCs w:val="32"/>
          <w:lang w:val="zh-CN"/>
        </w:rPr>
      </w:pPr>
      <w:r>
        <w:rPr>
          <w:rFonts w:ascii="黑体" w:eastAsia="黑体" w:hAnsi="黑体"/>
          <w:b w:val="0"/>
          <w:bCs w:val="0"/>
          <w:sz w:val="32"/>
          <w:szCs w:val="32"/>
          <w:lang w:val="zh-CN"/>
        </w:rPr>
        <w:t>第六章</w:t>
      </w:r>
      <w:r>
        <w:rPr>
          <w:rFonts w:ascii="黑体" w:eastAsia="黑体" w:hAnsi="黑体" w:hint="eastAsia"/>
          <w:b w:val="0"/>
          <w:bCs w:val="0"/>
          <w:sz w:val="32"/>
          <w:szCs w:val="32"/>
          <w:lang w:val="zh-CN"/>
        </w:rPr>
        <w:t xml:space="preserve">  </w:t>
      </w:r>
      <w:r>
        <w:rPr>
          <w:rFonts w:ascii="黑体" w:eastAsia="黑体" w:hAnsi="黑体"/>
          <w:b w:val="0"/>
          <w:bCs w:val="0"/>
          <w:sz w:val="32"/>
          <w:szCs w:val="32"/>
          <w:lang w:val="zh-CN"/>
        </w:rPr>
        <w:t>附 则</w:t>
      </w:r>
    </w:p>
    <w:p w14:paraId="31178CC1" w14:textId="77777777" w:rsidR="005C45E9" w:rsidRDefault="00000000">
      <w:pPr>
        <w:pStyle w:val="Style3"/>
        <w:numPr>
          <w:ilvl w:val="0"/>
          <w:numId w:val="2"/>
        </w:numPr>
        <w:adjustRightInd w:val="0"/>
        <w:snapToGrid w:val="0"/>
        <w:spacing w:line="560" w:lineRule="exact"/>
        <w:rPr>
          <w:rFonts w:eastAsia="仿宋_GB2312"/>
          <w:sz w:val="32"/>
          <w:szCs w:val="21"/>
        </w:rPr>
      </w:pPr>
      <w:r>
        <w:rPr>
          <w:rFonts w:eastAsia="仿宋_GB2312" w:hint="eastAsia"/>
          <w:sz w:val="32"/>
          <w:szCs w:val="21"/>
        </w:rPr>
        <w:t>原始权益人及其控股股东、实际控制人与关联方，管理人、托管人、财务顾问（如有）、会计师事务所、律师事务所、资产评估机构、</w:t>
      </w:r>
      <w:r>
        <w:rPr>
          <w:rFonts w:eastAsia="仿宋_GB2312" w:hint="eastAsia"/>
          <w:bCs/>
          <w:sz w:val="32"/>
          <w:szCs w:val="32"/>
        </w:rPr>
        <w:t>运营</w:t>
      </w:r>
      <w:r>
        <w:rPr>
          <w:rFonts w:eastAsia="仿宋_GB2312" w:hint="eastAsia"/>
          <w:sz w:val="32"/>
          <w:szCs w:val="21"/>
        </w:rPr>
        <w:t>管理机构等有关主体及其人员违反本指引的规定或者其所出具承诺的，本所将按照有关规定对其采取自律监管措施或者纪律处分。</w:t>
      </w:r>
      <w:r>
        <w:rPr>
          <w:rFonts w:eastAsia="仿宋_GB2312" w:hint="eastAsia"/>
          <w:bCs/>
          <w:sz w:val="32"/>
          <w:szCs w:val="32"/>
        </w:rPr>
        <w:t>涉嫌违反法律、行政法规、部门规章和规范性文件的，本所将及时报中国证监会处理。</w:t>
      </w:r>
    </w:p>
    <w:p w14:paraId="6F7F9DE8"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评估机构和管理人未按照勤勉尽责原则切实履行相应职责，导致</w:t>
      </w:r>
      <w:r>
        <w:rPr>
          <w:rFonts w:eastAsia="仿宋_GB2312" w:hint="eastAsia"/>
          <w:bCs/>
          <w:sz w:val="32"/>
          <w:szCs w:val="32"/>
        </w:rPr>
        <w:t>不动产项目在不动产</w:t>
      </w:r>
      <w:r>
        <w:rPr>
          <w:rFonts w:eastAsia="仿宋_GB2312"/>
          <w:bCs/>
          <w:sz w:val="32"/>
          <w:szCs w:val="32"/>
        </w:rPr>
        <w:t>基金存续期间运营实际值与预测值偏差较大，或者发生较大幅度资产减值的，本所可以视情节轻重对其采取自律监管措施或者纪律处分。涉嫌</w:t>
      </w:r>
      <w:r>
        <w:rPr>
          <w:rFonts w:eastAsia="仿宋_GB2312" w:hint="eastAsia"/>
          <w:bCs/>
          <w:sz w:val="32"/>
          <w:szCs w:val="32"/>
        </w:rPr>
        <w:t>违反法律、行政法规、部门规章和规范性文件</w:t>
      </w:r>
      <w:r>
        <w:rPr>
          <w:rFonts w:eastAsia="仿宋_GB2312"/>
          <w:bCs/>
          <w:sz w:val="32"/>
          <w:szCs w:val="32"/>
        </w:rPr>
        <w:t>的，本所将</w:t>
      </w:r>
      <w:r>
        <w:rPr>
          <w:rFonts w:eastAsia="仿宋_GB2312" w:hint="eastAsia"/>
          <w:bCs/>
          <w:sz w:val="32"/>
          <w:szCs w:val="32"/>
        </w:rPr>
        <w:t>及时报中国证监会处理</w:t>
      </w:r>
      <w:r>
        <w:rPr>
          <w:rFonts w:eastAsia="仿宋_GB2312"/>
          <w:bCs/>
          <w:sz w:val="32"/>
          <w:szCs w:val="32"/>
        </w:rPr>
        <w:t>。</w:t>
      </w:r>
    </w:p>
    <w:p w14:paraId="0DD9B4B0"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管理人应当根据不动产项目的具体情况，明确</w:t>
      </w:r>
      <w:proofErr w:type="gramStart"/>
      <w:r>
        <w:rPr>
          <w:rFonts w:eastAsia="仿宋_GB2312" w:hint="eastAsia"/>
          <w:bCs/>
          <w:sz w:val="32"/>
          <w:szCs w:val="32"/>
        </w:rPr>
        <w:t>界定业态或者</w:t>
      </w:r>
      <w:proofErr w:type="gramEnd"/>
      <w:r>
        <w:rPr>
          <w:rFonts w:eastAsia="仿宋_GB2312" w:hint="eastAsia"/>
          <w:bCs/>
          <w:sz w:val="32"/>
          <w:szCs w:val="32"/>
        </w:rPr>
        <w:t>行业，按照本指引以及相应附件规定进行核查和信息披露。</w:t>
      </w:r>
    </w:p>
    <w:p w14:paraId="73F56A86"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hint="eastAsia"/>
          <w:bCs/>
          <w:sz w:val="32"/>
          <w:szCs w:val="32"/>
        </w:rPr>
        <w:t>不动产基金存续期间拟购入不动产</w:t>
      </w:r>
      <w:r>
        <w:rPr>
          <w:rFonts w:eastAsia="仿宋_GB2312"/>
          <w:bCs/>
          <w:sz w:val="32"/>
          <w:szCs w:val="32"/>
        </w:rPr>
        <w:t>项目的，管理人向本所提交的基金产品变更申请和</w:t>
      </w:r>
      <w:r>
        <w:rPr>
          <w:rFonts w:eastAsia="仿宋_GB2312" w:hint="eastAsia"/>
          <w:bCs/>
          <w:sz w:val="32"/>
          <w:szCs w:val="32"/>
        </w:rPr>
        <w:t>不动产</w:t>
      </w:r>
      <w:r>
        <w:rPr>
          <w:rFonts w:eastAsia="仿宋_GB2312"/>
          <w:bCs/>
          <w:sz w:val="32"/>
          <w:szCs w:val="32"/>
        </w:rPr>
        <w:t>资产支持证券相关申请业务参照适用本指引。</w:t>
      </w:r>
    </w:p>
    <w:p w14:paraId="2904856D"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本指引</w:t>
      </w:r>
      <w:r>
        <w:rPr>
          <w:rFonts w:eastAsia="仿宋_GB2312" w:hint="eastAsia"/>
          <w:bCs/>
          <w:sz w:val="32"/>
          <w:szCs w:val="32"/>
        </w:rPr>
        <w:t>相关用语的含义如下</w:t>
      </w:r>
      <w:r>
        <w:rPr>
          <w:rFonts w:eastAsia="仿宋_GB2312"/>
          <w:bCs/>
          <w:sz w:val="32"/>
          <w:szCs w:val="32"/>
        </w:rPr>
        <w:t>：</w:t>
      </w:r>
    </w:p>
    <w:p w14:paraId="2D7F6C0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（一）重要现金</w:t>
      </w:r>
      <w:proofErr w:type="gramStart"/>
      <w:r>
        <w:rPr>
          <w:rFonts w:eastAsia="仿宋_GB2312"/>
          <w:bCs/>
          <w:sz w:val="32"/>
          <w:szCs w:val="32"/>
        </w:rPr>
        <w:t>流提供</w:t>
      </w:r>
      <w:proofErr w:type="gramEnd"/>
      <w:r>
        <w:rPr>
          <w:rFonts w:eastAsia="仿宋_GB2312"/>
          <w:bCs/>
          <w:sz w:val="32"/>
          <w:szCs w:val="32"/>
        </w:rPr>
        <w:t>方，是指在尽职调查基准日前的一个完整自然年度中，</w:t>
      </w:r>
      <w:r>
        <w:rPr>
          <w:rFonts w:eastAsia="仿宋_GB2312" w:hint="eastAsia"/>
          <w:bCs/>
          <w:sz w:val="32"/>
          <w:szCs w:val="32"/>
        </w:rPr>
        <w:t>不动产项目中任一资产的单一现金</w:t>
      </w:r>
      <w:proofErr w:type="gramStart"/>
      <w:r>
        <w:rPr>
          <w:rFonts w:eastAsia="仿宋_GB2312" w:hint="eastAsia"/>
          <w:bCs/>
          <w:sz w:val="32"/>
          <w:szCs w:val="32"/>
        </w:rPr>
        <w:t>流提供</w:t>
      </w:r>
      <w:proofErr w:type="gramEnd"/>
      <w:r>
        <w:rPr>
          <w:rFonts w:eastAsia="仿宋_GB2312" w:hint="eastAsia"/>
          <w:bCs/>
          <w:sz w:val="32"/>
          <w:szCs w:val="32"/>
        </w:rPr>
        <w:t>方及其关联方合计提供的现金</w:t>
      </w:r>
      <w:proofErr w:type="gramStart"/>
      <w:r>
        <w:rPr>
          <w:rFonts w:eastAsia="仿宋_GB2312" w:hint="eastAsia"/>
          <w:bCs/>
          <w:sz w:val="32"/>
          <w:szCs w:val="32"/>
        </w:rPr>
        <w:t>流超过</w:t>
      </w:r>
      <w:proofErr w:type="gramEnd"/>
      <w:r>
        <w:rPr>
          <w:rFonts w:eastAsia="仿宋_GB2312" w:hint="eastAsia"/>
          <w:bCs/>
          <w:sz w:val="32"/>
          <w:szCs w:val="32"/>
        </w:rPr>
        <w:t>该资产同一时期现金流总额的</w:t>
      </w:r>
      <w:r>
        <w:rPr>
          <w:rFonts w:eastAsia="仿宋_GB2312"/>
          <w:bCs/>
          <w:sz w:val="32"/>
          <w:szCs w:val="32"/>
        </w:rPr>
        <w:t>10%</w:t>
      </w:r>
      <w:r>
        <w:rPr>
          <w:rFonts w:eastAsia="仿宋_GB2312" w:hint="eastAsia"/>
          <w:bCs/>
          <w:sz w:val="32"/>
          <w:szCs w:val="32"/>
        </w:rPr>
        <w:t>的现金</w:t>
      </w:r>
      <w:proofErr w:type="gramStart"/>
      <w:r>
        <w:rPr>
          <w:rFonts w:eastAsia="仿宋_GB2312" w:hint="eastAsia"/>
          <w:bCs/>
          <w:sz w:val="32"/>
          <w:szCs w:val="32"/>
        </w:rPr>
        <w:t>流提供</w:t>
      </w:r>
      <w:proofErr w:type="gramEnd"/>
      <w:r>
        <w:rPr>
          <w:rFonts w:eastAsia="仿宋_GB2312" w:hint="eastAsia"/>
          <w:bCs/>
          <w:sz w:val="32"/>
          <w:szCs w:val="32"/>
        </w:rPr>
        <w:t>方</w:t>
      </w:r>
      <w:r>
        <w:rPr>
          <w:rFonts w:eastAsia="仿宋_GB2312"/>
          <w:bCs/>
          <w:sz w:val="32"/>
          <w:szCs w:val="32"/>
        </w:rPr>
        <w:t>；</w:t>
      </w:r>
    </w:p>
    <w:p w14:paraId="0C613D8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w:t>
      </w:r>
      <w:r>
        <w:rPr>
          <w:rFonts w:eastAsia="仿宋_GB2312"/>
          <w:bCs/>
          <w:sz w:val="32"/>
          <w:szCs w:val="32"/>
        </w:rPr>
        <w:t>二</w:t>
      </w:r>
      <w:r>
        <w:rPr>
          <w:rFonts w:eastAsia="仿宋_GB2312" w:hint="eastAsia"/>
          <w:bCs/>
          <w:sz w:val="32"/>
          <w:szCs w:val="32"/>
        </w:rPr>
        <w:t>）</w:t>
      </w:r>
      <w:r>
        <w:rPr>
          <w:rFonts w:eastAsia="仿宋_GB2312" w:hint="eastAsia"/>
          <w:bCs/>
          <w:sz w:val="32"/>
          <w:szCs w:val="32"/>
        </w:rPr>
        <w:t>10</w:t>
      </w:r>
      <w:r>
        <w:rPr>
          <w:rFonts w:eastAsia="仿宋_GB2312" w:hint="eastAsia"/>
          <w:bCs/>
          <w:sz w:val="32"/>
          <w:szCs w:val="32"/>
        </w:rPr>
        <w:t>年期国债收益率，是指经中国债券信息网发布的</w:t>
      </w:r>
      <w:r>
        <w:rPr>
          <w:rFonts w:eastAsia="仿宋_GB2312" w:hint="eastAsia"/>
          <w:bCs/>
          <w:sz w:val="32"/>
          <w:szCs w:val="32"/>
        </w:rPr>
        <w:t>10</w:t>
      </w:r>
      <w:r>
        <w:rPr>
          <w:rFonts w:eastAsia="仿宋_GB2312" w:hint="eastAsia"/>
          <w:bCs/>
          <w:sz w:val="32"/>
          <w:szCs w:val="32"/>
        </w:rPr>
        <w:t>年期中债国债（到期）收益率；</w:t>
      </w:r>
    </w:p>
    <w:p w14:paraId="0982928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（三）主要原始权益人，是指不动产项目权属转移至不动产基</w:t>
      </w:r>
      <w:r>
        <w:rPr>
          <w:rFonts w:eastAsia="仿宋_GB2312"/>
          <w:bCs/>
          <w:sz w:val="32"/>
          <w:szCs w:val="32"/>
        </w:rPr>
        <w:t>金前，履行或者决定</w:t>
      </w:r>
      <w:r>
        <w:rPr>
          <w:rFonts w:eastAsia="仿宋_GB2312" w:hint="eastAsia"/>
          <w:bCs/>
          <w:sz w:val="32"/>
          <w:szCs w:val="32"/>
        </w:rPr>
        <w:t>不动产</w:t>
      </w:r>
      <w:r>
        <w:rPr>
          <w:rFonts w:eastAsia="仿宋_GB2312"/>
          <w:bCs/>
          <w:sz w:val="32"/>
          <w:szCs w:val="32"/>
        </w:rPr>
        <w:t>项目运营管理权限的原始权益人；</w:t>
      </w:r>
    </w:p>
    <w:p w14:paraId="713D06A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四</w:t>
      </w:r>
      <w:r>
        <w:rPr>
          <w:rFonts w:eastAsia="仿宋_GB2312"/>
          <w:bCs/>
          <w:sz w:val="32"/>
          <w:szCs w:val="32"/>
        </w:rPr>
        <w:t>）年末</w:t>
      </w:r>
      <w:r>
        <w:rPr>
          <w:rFonts w:eastAsia="仿宋_GB2312"/>
          <w:bCs/>
          <w:sz w:val="32"/>
          <w:szCs w:val="32"/>
        </w:rPr>
        <w:t>/</w:t>
      </w:r>
      <w:r>
        <w:rPr>
          <w:rFonts w:eastAsia="仿宋_GB2312"/>
          <w:bCs/>
          <w:sz w:val="32"/>
          <w:szCs w:val="32"/>
        </w:rPr>
        <w:t>期末出租率，是指报告期内各年末</w:t>
      </w:r>
      <w:r>
        <w:rPr>
          <w:rFonts w:eastAsia="仿宋_GB2312"/>
          <w:bCs/>
          <w:sz w:val="32"/>
          <w:szCs w:val="32"/>
        </w:rPr>
        <w:t>/</w:t>
      </w:r>
      <w:r>
        <w:rPr>
          <w:rFonts w:eastAsia="仿宋_GB2312"/>
          <w:bCs/>
          <w:sz w:val="32"/>
          <w:szCs w:val="32"/>
        </w:rPr>
        <w:t>各期末实际已租面积（</w:t>
      </w:r>
      <w:r>
        <w:rPr>
          <w:rFonts w:eastAsia="仿宋_GB2312" w:hint="eastAsia"/>
          <w:bCs/>
          <w:sz w:val="32"/>
          <w:szCs w:val="32"/>
        </w:rPr>
        <w:t>按照</w:t>
      </w:r>
      <w:r>
        <w:rPr>
          <w:rFonts w:eastAsia="仿宋_GB2312"/>
          <w:bCs/>
          <w:sz w:val="32"/>
          <w:szCs w:val="32"/>
        </w:rPr>
        <w:t>起租口径）占可供出租面积比率；</w:t>
      </w:r>
    </w:p>
    <w:p w14:paraId="4D3465C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五</w:t>
      </w:r>
      <w:r>
        <w:rPr>
          <w:rFonts w:eastAsia="仿宋_GB2312"/>
          <w:bCs/>
          <w:sz w:val="32"/>
          <w:szCs w:val="32"/>
        </w:rPr>
        <w:t>）年度加权平均出租率，是指报告期内各年度有效租约面积占可供出租面积的加权平均比率；</w:t>
      </w:r>
    </w:p>
    <w:p w14:paraId="6E31063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六</w:t>
      </w:r>
      <w:r>
        <w:rPr>
          <w:rFonts w:eastAsia="仿宋_GB2312"/>
          <w:bCs/>
          <w:sz w:val="32"/>
          <w:szCs w:val="32"/>
        </w:rPr>
        <w:t>）年末</w:t>
      </w:r>
      <w:r>
        <w:rPr>
          <w:rFonts w:eastAsia="仿宋_GB2312" w:hint="eastAsia"/>
          <w:bCs/>
          <w:sz w:val="32"/>
          <w:szCs w:val="32"/>
        </w:rPr>
        <w:t>/</w:t>
      </w:r>
      <w:r>
        <w:rPr>
          <w:rFonts w:eastAsia="仿宋_GB2312"/>
          <w:bCs/>
          <w:sz w:val="32"/>
          <w:szCs w:val="32"/>
        </w:rPr>
        <w:t>期末有效租金单价，是指报告期内各年末</w:t>
      </w:r>
      <w:r>
        <w:rPr>
          <w:rFonts w:eastAsia="仿宋_GB2312" w:hint="eastAsia"/>
          <w:bCs/>
          <w:sz w:val="32"/>
          <w:szCs w:val="32"/>
        </w:rPr>
        <w:t>/</w:t>
      </w:r>
      <w:r>
        <w:rPr>
          <w:rFonts w:eastAsia="仿宋_GB2312" w:hint="eastAsia"/>
          <w:bCs/>
          <w:sz w:val="32"/>
          <w:szCs w:val="32"/>
        </w:rPr>
        <w:t>各</w:t>
      </w:r>
      <w:r>
        <w:rPr>
          <w:rFonts w:eastAsia="仿宋_GB2312"/>
          <w:bCs/>
          <w:sz w:val="32"/>
          <w:szCs w:val="32"/>
        </w:rPr>
        <w:t>期末摊销了租约折扣、优惠因素的每单位面积、每单位租期的租金金额；</w:t>
      </w:r>
    </w:p>
    <w:p w14:paraId="69C8490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七</w:t>
      </w:r>
      <w:r>
        <w:rPr>
          <w:rFonts w:eastAsia="仿宋_GB2312"/>
          <w:bCs/>
          <w:sz w:val="32"/>
          <w:szCs w:val="32"/>
        </w:rPr>
        <w:t>）加权平均剩余租期，是指</w:t>
      </w:r>
      <w:r>
        <w:rPr>
          <w:rFonts w:eastAsia="Times New Roman"/>
          <w:bCs/>
          <w:sz w:val="32"/>
          <w:szCs w:val="32"/>
        </w:rPr>
        <w:t>∑</w:t>
      </w:r>
      <w:r>
        <w:rPr>
          <w:rFonts w:eastAsia="仿宋_GB2312"/>
          <w:bCs/>
          <w:sz w:val="32"/>
          <w:szCs w:val="32"/>
        </w:rPr>
        <w:t>（租约剩余天数</w:t>
      </w:r>
      <w:r>
        <w:rPr>
          <w:rFonts w:eastAsia="仿宋_GB2312"/>
          <w:bCs/>
          <w:sz w:val="32"/>
          <w:szCs w:val="32"/>
        </w:rPr>
        <w:t>×</w:t>
      </w:r>
      <w:r>
        <w:rPr>
          <w:rFonts w:eastAsia="仿宋_GB2312"/>
          <w:bCs/>
          <w:sz w:val="32"/>
          <w:szCs w:val="32"/>
        </w:rPr>
        <w:t>租赁面积）</w:t>
      </w:r>
      <w:r>
        <w:rPr>
          <w:rFonts w:eastAsia="仿宋_GB2312"/>
          <w:bCs/>
          <w:sz w:val="32"/>
          <w:szCs w:val="32"/>
        </w:rPr>
        <w:t>/</w:t>
      </w:r>
      <w:r>
        <w:rPr>
          <w:rFonts w:eastAsia="仿宋_GB2312" w:hint="eastAsia"/>
          <w:bCs/>
          <w:sz w:val="32"/>
          <w:szCs w:val="32"/>
        </w:rPr>
        <w:t>不动产</w:t>
      </w:r>
      <w:r>
        <w:rPr>
          <w:rFonts w:eastAsia="仿宋_GB2312"/>
          <w:bCs/>
          <w:sz w:val="32"/>
          <w:szCs w:val="32"/>
        </w:rPr>
        <w:t>项目已租赁面积，或者</w:t>
      </w:r>
      <w:r>
        <w:rPr>
          <w:rFonts w:eastAsia="Times New Roman"/>
          <w:bCs/>
          <w:sz w:val="32"/>
          <w:szCs w:val="32"/>
        </w:rPr>
        <w:t>∑</w:t>
      </w:r>
      <w:r>
        <w:rPr>
          <w:rFonts w:eastAsia="仿宋_GB2312"/>
          <w:bCs/>
          <w:sz w:val="32"/>
          <w:szCs w:val="32"/>
        </w:rPr>
        <w:t>（租约剩余天数</w:t>
      </w:r>
      <w:r>
        <w:rPr>
          <w:rFonts w:eastAsia="仿宋_GB2312"/>
          <w:bCs/>
          <w:sz w:val="32"/>
          <w:szCs w:val="32"/>
        </w:rPr>
        <w:t>×</w:t>
      </w:r>
      <w:r>
        <w:rPr>
          <w:rFonts w:eastAsia="仿宋_GB2312"/>
          <w:bCs/>
          <w:sz w:val="32"/>
          <w:szCs w:val="32"/>
        </w:rPr>
        <w:t>租约当前租金）</w:t>
      </w:r>
      <w:r>
        <w:rPr>
          <w:rFonts w:eastAsia="仿宋_GB2312"/>
          <w:bCs/>
          <w:sz w:val="32"/>
          <w:szCs w:val="32"/>
        </w:rPr>
        <w:t>/</w:t>
      </w:r>
      <w:r>
        <w:rPr>
          <w:rFonts w:eastAsia="仿宋_GB2312" w:hint="eastAsia"/>
          <w:bCs/>
          <w:sz w:val="32"/>
          <w:szCs w:val="32"/>
        </w:rPr>
        <w:t>不动产</w:t>
      </w:r>
      <w:r>
        <w:rPr>
          <w:rFonts w:eastAsia="仿宋_GB2312"/>
          <w:bCs/>
          <w:sz w:val="32"/>
          <w:szCs w:val="32"/>
        </w:rPr>
        <w:t>项目租金总收入；</w:t>
      </w:r>
    </w:p>
    <w:p w14:paraId="43A6F58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八）</w:t>
      </w:r>
      <w:r>
        <w:rPr>
          <w:rFonts w:eastAsia="仿宋_GB2312"/>
          <w:bCs/>
          <w:sz w:val="32"/>
          <w:szCs w:val="32"/>
        </w:rPr>
        <w:t>租售比，是指</w:t>
      </w:r>
      <w:r>
        <w:rPr>
          <w:rFonts w:eastAsia="仿宋_GB2312" w:hint="eastAsia"/>
          <w:bCs/>
          <w:sz w:val="32"/>
          <w:szCs w:val="32"/>
        </w:rPr>
        <w:t>不动产</w:t>
      </w:r>
      <w:r>
        <w:rPr>
          <w:rFonts w:eastAsia="仿宋_GB2312"/>
          <w:bCs/>
          <w:sz w:val="32"/>
          <w:szCs w:val="32"/>
        </w:rPr>
        <w:t>项目各类租金收入、物业管理费以及固定推广费占销售总额的比例；</w:t>
      </w:r>
    </w:p>
    <w:p w14:paraId="7726F1C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w:t>
      </w:r>
      <w:r>
        <w:rPr>
          <w:rFonts w:eastAsia="仿宋_GB2312" w:hint="eastAsia"/>
          <w:bCs/>
          <w:sz w:val="32"/>
          <w:szCs w:val="32"/>
        </w:rPr>
        <w:t>九</w:t>
      </w:r>
      <w:r>
        <w:rPr>
          <w:rFonts w:eastAsia="仿宋_GB2312"/>
          <w:bCs/>
          <w:sz w:val="32"/>
          <w:szCs w:val="32"/>
        </w:rPr>
        <w:t>）月租金坪效，是指年度月均租金收入与可供出租面积的比值；</w:t>
      </w:r>
    </w:p>
    <w:p w14:paraId="2C16F534" w14:textId="77777777" w:rsidR="005C45E9" w:rsidRDefault="00000000">
      <w:pPr>
        <w:pStyle w:val="Style3"/>
        <w:adjustRightInd w:val="0"/>
        <w:snapToGrid w:val="0"/>
        <w:spacing w:line="560" w:lineRule="exact"/>
        <w:ind w:firstLine="640"/>
        <w:rPr>
          <w:rFonts w:eastAsia="仿宋_GB2312"/>
          <w:sz w:val="32"/>
          <w:szCs w:val="32"/>
        </w:rPr>
      </w:pPr>
      <w:r>
        <w:rPr>
          <w:rFonts w:eastAsia="仿宋_GB2312"/>
          <w:bCs/>
          <w:sz w:val="32"/>
          <w:szCs w:val="32"/>
        </w:rPr>
        <w:t>（</w:t>
      </w:r>
      <w:r>
        <w:rPr>
          <w:rFonts w:eastAsia="仿宋_GB2312" w:hint="eastAsia"/>
          <w:bCs/>
          <w:sz w:val="32"/>
          <w:szCs w:val="32"/>
        </w:rPr>
        <w:t>十</w:t>
      </w:r>
      <w:r>
        <w:rPr>
          <w:rFonts w:eastAsia="仿宋_GB2312"/>
          <w:bCs/>
          <w:sz w:val="32"/>
          <w:szCs w:val="32"/>
        </w:rPr>
        <w:t>）</w:t>
      </w:r>
      <w:r>
        <w:rPr>
          <w:rFonts w:eastAsia="仿宋_GB2312"/>
          <w:sz w:val="32"/>
          <w:szCs w:val="32"/>
        </w:rPr>
        <w:t>月销售坪效，是指年度月均商品销售总额与可</w:t>
      </w:r>
      <w:r>
        <w:rPr>
          <w:rFonts w:eastAsia="仿宋_GB2312" w:hint="eastAsia"/>
          <w:sz w:val="32"/>
          <w:szCs w:val="32"/>
        </w:rPr>
        <w:t>供出租面积的比值。</w:t>
      </w:r>
    </w:p>
    <w:p w14:paraId="07C99A7F"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本指引由本所负责解释。</w:t>
      </w:r>
    </w:p>
    <w:p w14:paraId="5C389C01"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本指引未尽事宜，依照中国证监会有关规定和本所业务规则执行。</w:t>
      </w:r>
    </w:p>
    <w:p w14:paraId="02C5B01A" w14:textId="77777777" w:rsidR="005C45E9" w:rsidRDefault="00000000">
      <w:pPr>
        <w:pStyle w:val="Style3"/>
        <w:numPr>
          <w:ilvl w:val="0"/>
          <w:numId w:val="2"/>
        </w:numPr>
        <w:adjustRightInd w:val="0"/>
        <w:snapToGrid w:val="0"/>
        <w:spacing w:line="560" w:lineRule="exact"/>
        <w:rPr>
          <w:rFonts w:eastAsia="仿宋_GB2312"/>
          <w:bCs/>
          <w:sz w:val="32"/>
          <w:szCs w:val="32"/>
        </w:rPr>
      </w:pPr>
      <w:r>
        <w:rPr>
          <w:rFonts w:eastAsia="仿宋_GB2312"/>
          <w:bCs/>
          <w:sz w:val="32"/>
          <w:szCs w:val="32"/>
        </w:rPr>
        <w:t>本指引自发布之日起施行。本所于</w:t>
      </w:r>
      <w:r>
        <w:rPr>
          <w:rFonts w:eastAsia="仿宋_GB2312" w:hint="eastAsia"/>
          <w:bCs/>
          <w:sz w:val="32"/>
          <w:szCs w:val="32"/>
        </w:rPr>
        <w:t>2024</w:t>
      </w:r>
      <w:r>
        <w:rPr>
          <w:rFonts w:eastAsia="仿宋_GB2312" w:hint="eastAsia"/>
          <w:bCs/>
          <w:sz w:val="32"/>
          <w:szCs w:val="32"/>
        </w:rPr>
        <w:t>年</w:t>
      </w:r>
      <w:r>
        <w:rPr>
          <w:rFonts w:eastAsia="仿宋_GB2312" w:hint="eastAsia"/>
          <w:bCs/>
          <w:sz w:val="32"/>
          <w:szCs w:val="32"/>
        </w:rPr>
        <w:t>12</w:t>
      </w:r>
      <w:r>
        <w:rPr>
          <w:rFonts w:eastAsia="仿宋_GB2312" w:hint="eastAsia"/>
          <w:bCs/>
          <w:sz w:val="32"/>
          <w:szCs w:val="32"/>
        </w:rPr>
        <w:t>月</w:t>
      </w:r>
      <w:r>
        <w:rPr>
          <w:rFonts w:eastAsia="仿宋_GB2312" w:hint="eastAsia"/>
          <w:bCs/>
          <w:sz w:val="32"/>
          <w:szCs w:val="32"/>
        </w:rPr>
        <w:t>27</w:t>
      </w:r>
      <w:r>
        <w:rPr>
          <w:rFonts w:eastAsia="仿宋_GB2312" w:hint="eastAsia"/>
          <w:bCs/>
          <w:sz w:val="32"/>
          <w:szCs w:val="32"/>
        </w:rPr>
        <w:t>日发布的</w:t>
      </w:r>
      <w:r>
        <w:rPr>
          <w:rFonts w:eastAsia="仿宋_GB2312"/>
          <w:bCs/>
          <w:sz w:val="32"/>
          <w:szCs w:val="32"/>
        </w:rPr>
        <w:t>《上海证券交易所公开募集基础设施证券投资基金（</w:t>
      </w:r>
      <w:r>
        <w:rPr>
          <w:rFonts w:eastAsia="仿宋_GB2312"/>
          <w:bCs/>
          <w:sz w:val="32"/>
          <w:szCs w:val="32"/>
        </w:rPr>
        <w:t>REITs</w:t>
      </w:r>
      <w:r>
        <w:rPr>
          <w:rFonts w:eastAsia="仿宋_GB2312"/>
          <w:bCs/>
          <w:sz w:val="32"/>
          <w:szCs w:val="32"/>
        </w:rPr>
        <w:t>）规则适用指引第</w:t>
      </w:r>
      <w:r>
        <w:rPr>
          <w:rFonts w:eastAsia="仿宋_GB2312"/>
          <w:bCs/>
          <w:sz w:val="32"/>
          <w:szCs w:val="32"/>
        </w:rPr>
        <w:t>1</w:t>
      </w:r>
      <w:r>
        <w:rPr>
          <w:rFonts w:eastAsia="仿宋_GB2312"/>
          <w:bCs/>
          <w:sz w:val="32"/>
          <w:szCs w:val="32"/>
        </w:rPr>
        <w:t>号</w:t>
      </w:r>
      <w:r>
        <w:rPr>
          <w:rFonts w:eastAsia="Times New Roman"/>
          <w:bCs/>
          <w:sz w:val="32"/>
          <w:szCs w:val="32"/>
        </w:rPr>
        <w:t>——</w:t>
      </w:r>
      <w:r>
        <w:rPr>
          <w:rFonts w:eastAsia="仿宋_GB2312"/>
          <w:bCs/>
          <w:sz w:val="32"/>
          <w:szCs w:val="32"/>
        </w:rPr>
        <w:t>审核关注事项（试行）（</w:t>
      </w:r>
      <w:r>
        <w:rPr>
          <w:rFonts w:eastAsia="仿宋_GB2312"/>
          <w:bCs/>
          <w:sz w:val="32"/>
          <w:szCs w:val="32"/>
        </w:rPr>
        <w:t>2024</w:t>
      </w:r>
      <w:r>
        <w:rPr>
          <w:rFonts w:eastAsia="仿宋_GB2312"/>
          <w:bCs/>
          <w:sz w:val="32"/>
          <w:szCs w:val="32"/>
        </w:rPr>
        <w:t>年修订）》（上证发〔</w:t>
      </w:r>
      <w:r>
        <w:rPr>
          <w:rFonts w:eastAsia="仿宋_GB2312"/>
          <w:bCs/>
          <w:sz w:val="32"/>
          <w:szCs w:val="32"/>
        </w:rPr>
        <w:t>2024</w:t>
      </w:r>
      <w:r>
        <w:rPr>
          <w:rFonts w:eastAsia="仿宋_GB2312" w:hint="eastAsia"/>
          <w:bCs/>
          <w:sz w:val="32"/>
          <w:szCs w:val="32"/>
        </w:rPr>
        <w:t>〕</w:t>
      </w:r>
      <w:r>
        <w:rPr>
          <w:rFonts w:eastAsia="仿宋_GB2312"/>
          <w:bCs/>
          <w:sz w:val="32"/>
          <w:szCs w:val="32"/>
        </w:rPr>
        <w:t>161</w:t>
      </w:r>
      <w:r>
        <w:rPr>
          <w:rFonts w:eastAsia="仿宋_GB2312"/>
          <w:bCs/>
          <w:sz w:val="32"/>
          <w:szCs w:val="32"/>
        </w:rPr>
        <w:t>号）同时废止。</w:t>
      </w:r>
    </w:p>
    <w:p w14:paraId="750191D6" w14:textId="77777777" w:rsidR="005C45E9" w:rsidRDefault="005C45E9">
      <w:pPr>
        <w:pStyle w:val="Style3"/>
        <w:adjustRightInd w:val="0"/>
        <w:snapToGrid w:val="0"/>
        <w:spacing w:line="560" w:lineRule="exact"/>
        <w:ind w:firstLine="0"/>
        <w:rPr>
          <w:rFonts w:eastAsia="仿宋_GB2312"/>
          <w:bCs/>
          <w:sz w:val="32"/>
          <w:szCs w:val="32"/>
        </w:rPr>
      </w:pPr>
    </w:p>
    <w:p w14:paraId="5844A805" w14:textId="77777777" w:rsidR="005C45E9" w:rsidRDefault="00000000">
      <w:pPr>
        <w:pStyle w:val="Style3"/>
        <w:adjustRightInd w:val="0"/>
        <w:snapToGrid w:val="0"/>
        <w:spacing w:line="560" w:lineRule="exact"/>
        <w:ind w:left="707" w:firstLine="0"/>
        <w:rPr>
          <w:rFonts w:eastAsia="仿宋_GB2312"/>
          <w:bCs/>
          <w:sz w:val="32"/>
          <w:szCs w:val="32"/>
        </w:rPr>
      </w:pPr>
      <w:r>
        <w:rPr>
          <w:rFonts w:eastAsia="仿宋_GB2312"/>
          <w:bCs/>
          <w:sz w:val="32"/>
          <w:szCs w:val="32"/>
        </w:rPr>
        <w:t>附件：第一号</w:t>
      </w:r>
      <w:r>
        <w:rPr>
          <w:rFonts w:eastAsia="Times New Roman"/>
          <w:bCs/>
          <w:sz w:val="32"/>
          <w:szCs w:val="32"/>
        </w:rPr>
        <w:t>——</w:t>
      </w:r>
      <w:r>
        <w:rPr>
          <w:rFonts w:eastAsia="仿宋_GB2312" w:hint="eastAsia"/>
          <w:bCs/>
          <w:sz w:val="32"/>
          <w:szCs w:val="32"/>
        </w:rPr>
        <w:t>商业不动产</w:t>
      </w:r>
    </w:p>
    <w:p w14:paraId="5CEE9A29" w14:textId="77777777" w:rsidR="005C45E9" w:rsidRDefault="00000000">
      <w:pPr>
        <w:pStyle w:val="Style3"/>
        <w:adjustRightInd w:val="0"/>
        <w:snapToGrid w:val="0"/>
        <w:spacing w:line="560" w:lineRule="exact"/>
        <w:ind w:left="1680" w:firstLine="0"/>
        <w:rPr>
          <w:rFonts w:eastAsia="仿宋_GB2312"/>
          <w:bCs/>
          <w:sz w:val="32"/>
          <w:szCs w:val="32"/>
        </w:rPr>
      </w:pPr>
      <w:r>
        <w:rPr>
          <w:rFonts w:eastAsia="仿宋_GB2312"/>
          <w:bCs/>
          <w:sz w:val="32"/>
          <w:szCs w:val="32"/>
        </w:rPr>
        <w:t>第二号</w:t>
      </w:r>
      <w:r>
        <w:rPr>
          <w:rFonts w:eastAsia="Times New Roman"/>
          <w:bCs/>
          <w:sz w:val="32"/>
          <w:szCs w:val="32"/>
        </w:rPr>
        <w:t>——</w:t>
      </w:r>
      <w:r>
        <w:rPr>
          <w:rFonts w:eastAsia="仿宋_GB2312" w:hint="eastAsia"/>
          <w:bCs/>
          <w:sz w:val="32"/>
          <w:szCs w:val="32"/>
        </w:rPr>
        <w:t>租赁住房</w:t>
      </w:r>
    </w:p>
    <w:p w14:paraId="489D08A3" w14:textId="77777777" w:rsidR="005C45E9" w:rsidRDefault="00000000">
      <w:pPr>
        <w:pStyle w:val="Style3"/>
        <w:adjustRightInd w:val="0"/>
        <w:snapToGrid w:val="0"/>
        <w:spacing w:line="560" w:lineRule="exact"/>
        <w:ind w:left="1680" w:firstLine="0"/>
        <w:rPr>
          <w:rFonts w:eastAsia="仿宋_GB2312"/>
          <w:bCs/>
          <w:sz w:val="32"/>
          <w:szCs w:val="32"/>
        </w:rPr>
      </w:pPr>
      <w:r>
        <w:rPr>
          <w:rFonts w:eastAsia="仿宋_GB2312"/>
          <w:bCs/>
          <w:sz w:val="32"/>
          <w:szCs w:val="32"/>
        </w:rPr>
        <w:t>第三号</w:t>
      </w:r>
      <w:r>
        <w:rPr>
          <w:rFonts w:eastAsia="Times New Roman"/>
          <w:bCs/>
          <w:sz w:val="32"/>
          <w:szCs w:val="32"/>
        </w:rPr>
        <w:t>——</w:t>
      </w:r>
      <w:r>
        <w:rPr>
          <w:rFonts w:eastAsia="仿宋_GB2312" w:hint="eastAsia"/>
          <w:bCs/>
          <w:sz w:val="32"/>
          <w:szCs w:val="32"/>
        </w:rPr>
        <w:t>产业园区</w:t>
      </w:r>
    </w:p>
    <w:p w14:paraId="4B6124B7" w14:textId="77777777" w:rsidR="005C45E9" w:rsidRDefault="00000000">
      <w:pPr>
        <w:pStyle w:val="Style3"/>
        <w:adjustRightInd w:val="0"/>
        <w:snapToGrid w:val="0"/>
        <w:spacing w:line="560" w:lineRule="exact"/>
        <w:ind w:left="1680" w:firstLine="0"/>
        <w:rPr>
          <w:rFonts w:eastAsia="仿宋_GB2312"/>
          <w:bCs/>
          <w:sz w:val="32"/>
          <w:szCs w:val="32"/>
        </w:rPr>
      </w:pPr>
      <w:r>
        <w:rPr>
          <w:rFonts w:eastAsia="仿宋_GB2312"/>
          <w:bCs/>
          <w:sz w:val="32"/>
          <w:szCs w:val="32"/>
        </w:rPr>
        <w:t>第四号</w:t>
      </w:r>
      <w:r>
        <w:rPr>
          <w:rFonts w:eastAsia="Times New Roman"/>
          <w:bCs/>
          <w:sz w:val="32"/>
          <w:szCs w:val="32"/>
        </w:rPr>
        <w:t>——</w:t>
      </w:r>
      <w:r>
        <w:rPr>
          <w:rFonts w:eastAsia="仿宋_GB2312"/>
          <w:bCs/>
          <w:sz w:val="32"/>
          <w:szCs w:val="32"/>
        </w:rPr>
        <w:t>仓储物流</w:t>
      </w:r>
    </w:p>
    <w:p w14:paraId="68CA4F9A" w14:textId="77777777" w:rsidR="005C45E9" w:rsidRDefault="00000000">
      <w:pPr>
        <w:pStyle w:val="Style3"/>
        <w:adjustRightInd w:val="0"/>
        <w:snapToGrid w:val="0"/>
        <w:spacing w:line="560" w:lineRule="exact"/>
        <w:ind w:leftChars="800" w:left="1680" w:firstLine="0"/>
        <w:rPr>
          <w:rFonts w:eastAsia="仿宋_GB2312"/>
          <w:bCs/>
          <w:sz w:val="32"/>
          <w:szCs w:val="32"/>
        </w:rPr>
      </w:pPr>
      <w:r>
        <w:rPr>
          <w:rFonts w:eastAsia="仿宋_GB2312"/>
          <w:bCs/>
          <w:sz w:val="32"/>
          <w:szCs w:val="32"/>
        </w:rPr>
        <w:t>第五号</w:t>
      </w:r>
      <w:r>
        <w:rPr>
          <w:rFonts w:eastAsia="Times New Roman"/>
          <w:bCs/>
          <w:sz w:val="32"/>
          <w:szCs w:val="32"/>
        </w:rPr>
        <w:t>——</w:t>
      </w:r>
      <w:r>
        <w:rPr>
          <w:rFonts w:eastAsia="仿宋_GB2312" w:hint="eastAsia"/>
          <w:bCs/>
          <w:sz w:val="32"/>
          <w:szCs w:val="32"/>
        </w:rPr>
        <w:t>收费公路</w:t>
      </w:r>
    </w:p>
    <w:p w14:paraId="345CBFF5" w14:textId="77777777" w:rsidR="005C45E9" w:rsidRDefault="00000000">
      <w:pPr>
        <w:adjustRightInd w:val="0"/>
        <w:snapToGrid w:val="0"/>
        <w:spacing w:line="560" w:lineRule="exact"/>
        <w:ind w:firstLine="640"/>
        <w:jc w:val="left"/>
        <w:rPr>
          <w:rFonts w:eastAsia="仿宋_GB2312"/>
          <w:bCs/>
          <w:sz w:val="32"/>
          <w:szCs w:val="32"/>
        </w:rPr>
      </w:pPr>
      <w:r>
        <w:rPr>
          <w:rFonts w:eastAsia="仿宋_GB2312"/>
          <w:bCs/>
          <w:sz w:val="32"/>
          <w:szCs w:val="32"/>
        </w:rPr>
        <w:br w:type="page"/>
      </w:r>
    </w:p>
    <w:p w14:paraId="653CDAE4" w14:textId="77777777" w:rsidR="005C45E9" w:rsidRDefault="00000000">
      <w:pPr>
        <w:adjustRightInd w:val="0"/>
        <w:rPr>
          <w:rFonts w:eastAsia="仿宋_GB2312"/>
          <w:b/>
          <w:sz w:val="32"/>
          <w:szCs w:val="32"/>
        </w:rPr>
      </w:pPr>
      <w:r>
        <w:rPr>
          <w:rFonts w:eastAsia="仿宋_GB2312" w:hint="eastAsia"/>
          <w:b/>
          <w:sz w:val="32"/>
          <w:szCs w:val="32"/>
        </w:rPr>
        <w:t>附件：第一号</w:t>
      </w:r>
      <w:r>
        <w:rPr>
          <w:rFonts w:eastAsia="仿宋_GB2312"/>
          <w:b/>
          <w:sz w:val="32"/>
          <w:szCs w:val="32"/>
        </w:rPr>
        <w:t>——</w:t>
      </w:r>
      <w:r>
        <w:rPr>
          <w:rFonts w:eastAsia="仿宋_GB2312" w:hint="eastAsia"/>
          <w:b/>
          <w:sz w:val="32"/>
          <w:szCs w:val="32"/>
        </w:rPr>
        <w:t>商业不动产</w:t>
      </w:r>
    </w:p>
    <w:p w14:paraId="6AA64234" w14:textId="77777777" w:rsidR="005C45E9" w:rsidRDefault="00000000">
      <w:pPr>
        <w:adjustRightInd w:val="0"/>
        <w:snapToGrid w:val="0"/>
        <w:spacing w:beforeLines="50" w:before="156" w:afterLines="50" w:after="156" w:line="600" w:lineRule="exact"/>
        <w:jc w:val="center"/>
        <w:outlineLvl w:val="1"/>
        <w:rPr>
          <w:rFonts w:eastAsia="方正大标宋简体"/>
          <w:bCs/>
          <w:sz w:val="44"/>
          <w:szCs w:val="44"/>
        </w:rPr>
      </w:pPr>
      <w:r>
        <w:rPr>
          <w:rFonts w:eastAsia="方正大标宋简体" w:hint="eastAsia"/>
          <w:bCs/>
          <w:sz w:val="44"/>
          <w:szCs w:val="44"/>
        </w:rPr>
        <w:t>第一号——商业不动产</w:t>
      </w:r>
    </w:p>
    <w:p w14:paraId="0746BBE1"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hint="eastAsia"/>
          <w:bCs/>
          <w:sz w:val="32"/>
          <w:szCs w:val="32"/>
        </w:rPr>
        <w:t>基金管理人向本所申请商业综合体、商业零售、办公、酒店等商业不动产基金上市的审核、资产支持证券管理人向本所申请不动产资产支持证券挂牌条件的确认事宜，适用本附件的规定。</w:t>
      </w:r>
    </w:p>
    <w:p w14:paraId="3FA26B4C"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hint="eastAsia"/>
          <w:bCs/>
          <w:sz w:val="32"/>
          <w:szCs w:val="32"/>
        </w:rPr>
        <w:t>在适用本附件时，还应当同时遵守本指引正文的各项规定。</w:t>
      </w:r>
    </w:p>
    <w:p w14:paraId="54FB242A"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第一节</w:t>
      </w:r>
      <w:r>
        <w:rPr>
          <w:rFonts w:ascii="Times New Roman" w:hAnsi="Times New Roman" w:hint="eastAsia"/>
          <w:b w:val="0"/>
          <w:bCs w:val="0"/>
          <w:color w:val="auto"/>
          <w:szCs w:val="32"/>
        </w:rPr>
        <w:t xml:space="preserve"> </w:t>
      </w:r>
      <w:r>
        <w:rPr>
          <w:rFonts w:ascii="Times New Roman" w:hAnsi="Times New Roman" w:hint="eastAsia"/>
          <w:b w:val="0"/>
          <w:bCs w:val="0"/>
          <w:color w:val="auto"/>
          <w:szCs w:val="32"/>
        </w:rPr>
        <w:t>不动产项目基本情况</w:t>
      </w:r>
    </w:p>
    <w:p w14:paraId="41A74C21"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管理人应当按照本指引第三章第二节的规定披露不动产项目基本情况，并披露下列情况：</w:t>
      </w:r>
    </w:p>
    <w:p w14:paraId="4A2064E8" w14:textId="77777777" w:rsidR="005C45E9" w:rsidRDefault="00000000">
      <w:pPr>
        <w:pStyle w:val="Style3"/>
        <w:numPr>
          <w:ilvl w:val="0"/>
          <w:numId w:val="4"/>
        </w:numPr>
        <w:spacing w:line="560" w:lineRule="exact"/>
        <w:ind w:firstLine="640"/>
        <w:rPr>
          <w:rFonts w:eastAsia="仿宋_GB2312"/>
          <w:bCs/>
          <w:sz w:val="32"/>
          <w:szCs w:val="32"/>
        </w:rPr>
      </w:pPr>
      <w:r>
        <w:rPr>
          <w:rFonts w:eastAsia="仿宋_GB2312" w:hint="eastAsia"/>
          <w:bCs/>
          <w:sz w:val="32"/>
          <w:szCs w:val="32"/>
        </w:rPr>
        <w:t>项目基本信息，包括名称、业态、所在区域、运营起始时间等；</w:t>
      </w:r>
    </w:p>
    <w:p w14:paraId="57CBE6BB" w14:textId="77777777" w:rsidR="005C45E9" w:rsidRDefault="00000000">
      <w:pPr>
        <w:pStyle w:val="Style3"/>
        <w:numPr>
          <w:ilvl w:val="0"/>
          <w:numId w:val="4"/>
        </w:numPr>
        <w:spacing w:line="560" w:lineRule="exact"/>
        <w:ind w:firstLine="640"/>
        <w:rPr>
          <w:rFonts w:eastAsia="仿宋_GB2312"/>
          <w:bCs/>
          <w:sz w:val="32"/>
          <w:szCs w:val="32"/>
        </w:rPr>
      </w:pPr>
      <w:r>
        <w:rPr>
          <w:rFonts w:eastAsia="仿宋_GB2312" w:hint="eastAsia"/>
          <w:bCs/>
          <w:sz w:val="32"/>
          <w:szCs w:val="32"/>
        </w:rPr>
        <w:t>建筑物情况，包括竣工时间、建造标准（如有）、定制化安排（如有）、</w:t>
      </w:r>
      <w:r>
        <w:rPr>
          <w:rFonts w:eastAsia="仿宋_GB2312" w:hint="eastAsia"/>
          <w:sz w:val="32"/>
          <w:szCs w:val="32"/>
        </w:rPr>
        <w:t>建筑面积与可供出租或者经营使用面积等；</w:t>
      </w:r>
    </w:p>
    <w:p w14:paraId="445F7497" w14:textId="77777777" w:rsidR="005C45E9" w:rsidRDefault="00000000">
      <w:pPr>
        <w:pStyle w:val="Style3"/>
        <w:numPr>
          <w:ilvl w:val="0"/>
          <w:numId w:val="4"/>
        </w:numPr>
        <w:spacing w:line="560" w:lineRule="exact"/>
        <w:ind w:firstLine="640"/>
        <w:rPr>
          <w:rFonts w:eastAsia="仿宋_GB2312"/>
          <w:bCs/>
          <w:sz w:val="32"/>
          <w:szCs w:val="32"/>
        </w:rPr>
      </w:pPr>
      <w:r>
        <w:rPr>
          <w:rFonts w:eastAsia="仿宋_GB2312" w:hint="eastAsia"/>
          <w:bCs/>
          <w:sz w:val="32"/>
          <w:szCs w:val="32"/>
        </w:rPr>
        <w:t>资产范围，包括不动产项目相关建筑物的不动产所有权以及对应的土地使用权，</w:t>
      </w:r>
      <w:r>
        <w:rPr>
          <w:rFonts w:eastAsia="仿宋_GB2312" w:hint="eastAsia"/>
          <w:sz w:val="32"/>
          <w:szCs w:val="32"/>
        </w:rPr>
        <w:t>配套服务设施（如有），</w:t>
      </w:r>
      <w:r>
        <w:rPr>
          <w:rFonts w:eastAsia="仿宋_GB2312" w:hint="eastAsia"/>
          <w:bCs/>
          <w:sz w:val="32"/>
          <w:szCs w:val="32"/>
        </w:rPr>
        <w:t>共用、共有资产（如有）等，</w:t>
      </w:r>
      <w:r>
        <w:rPr>
          <w:rFonts w:eastAsia="仿宋_GB2312" w:hint="eastAsia"/>
          <w:sz w:val="32"/>
          <w:szCs w:val="32"/>
        </w:rPr>
        <w:t>资产范围包括人防空间和配套停车场等附属设施的，还应当做好信息披露，充分揭示风险；</w:t>
      </w:r>
    </w:p>
    <w:p w14:paraId="1D08AAD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sz w:val="32"/>
          <w:szCs w:val="32"/>
        </w:rPr>
        <w:t>（四）交通通达情况，包括公交线路、地铁线路、主要干道的可达性，四至道路以及邻近道路是否有扩宽、改造、封闭等计划，以及是否有新设地铁线路和地铁出站口（包括是否直通）等</w:t>
      </w:r>
      <w:r>
        <w:rPr>
          <w:rFonts w:eastAsia="仿宋_GB2312" w:hint="eastAsia"/>
          <w:bCs/>
          <w:sz w:val="32"/>
          <w:szCs w:val="32"/>
        </w:rPr>
        <w:t>；</w:t>
      </w:r>
    </w:p>
    <w:p w14:paraId="708E8F6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（五）不动产项目所在区域经济发展情况、定位、区域竞争物业情况，以及上述情况对不动产项目的影响；</w:t>
      </w:r>
    </w:p>
    <w:p w14:paraId="281F92EC"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hint="eastAsia"/>
          <w:bCs/>
          <w:sz w:val="32"/>
          <w:szCs w:val="32"/>
        </w:rPr>
        <w:t>（六）其他对</w:t>
      </w:r>
      <w:proofErr w:type="gramStart"/>
      <w:r>
        <w:rPr>
          <w:rFonts w:eastAsia="仿宋_GB2312" w:hint="eastAsia"/>
          <w:bCs/>
          <w:sz w:val="32"/>
          <w:szCs w:val="32"/>
        </w:rPr>
        <w:t>作出</w:t>
      </w:r>
      <w:proofErr w:type="gramEnd"/>
      <w:r>
        <w:rPr>
          <w:rFonts w:eastAsia="仿宋_GB2312" w:hint="eastAsia"/>
          <w:bCs/>
          <w:sz w:val="32"/>
          <w:szCs w:val="32"/>
        </w:rPr>
        <w:t>投资决策有重大影响的信息。</w:t>
      </w:r>
    </w:p>
    <w:p w14:paraId="5E542600" w14:textId="77777777" w:rsidR="005C45E9" w:rsidRDefault="00000000">
      <w:pPr>
        <w:pStyle w:val="Style3"/>
        <w:numPr>
          <w:ilvl w:val="0"/>
          <w:numId w:val="3"/>
        </w:numPr>
        <w:spacing w:line="560" w:lineRule="exact"/>
        <w:rPr>
          <w:rFonts w:eastAsia="仿宋_GB2312"/>
          <w:bCs/>
          <w:sz w:val="32"/>
          <w:szCs w:val="32"/>
        </w:rPr>
      </w:pPr>
      <w:bookmarkStart w:id="6" w:name="_Hlk209520274"/>
      <w:r>
        <w:rPr>
          <w:rFonts w:eastAsia="仿宋_GB2312"/>
          <w:bCs/>
          <w:sz w:val="32"/>
          <w:szCs w:val="32"/>
        </w:rPr>
        <w:t>不动产</w:t>
      </w:r>
      <w:r>
        <w:rPr>
          <w:rFonts w:eastAsia="仿宋_GB2312" w:hint="eastAsia"/>
          <w:bCs/>
          <w:sz w:val="32"/>
          <w:szCs w:val="32"/>
        </w:rPr>
        <w:t>项目</w:t>
      </w:r>
      <w:r>
        <w:rPr>
          <w:rFonts w:eastAsia="仿宋_GB2312"/>
          <w:bCs/>
          <w:sz w:val="32"/>
          <w:szCs w:val="32"/>
        </w:rPr>
        <w:t>涉及商业综合体</w:t>
      </w:r>
      <w:r>
        <w:rPr>
          <w:rFonts w:eastAsia="仿宋_GB2312" w:hint="eastAsia"/>
          <w:bCs/>
          <w:sz w:val="32"/>
          <w:szCs w:val="32"/>
        </w:rPr>
        <w:t>等多业态</w:t>
      </w:r>
      <w:r>
        <w:rPr>
          <w:rFonts w:eastAsia="仿宋_GB2312"/>
          <w:bCs/>
          <w:sz w:val="32"/>
          <w:szCs w:val="32"/>
        </w:rPr>
        <w:t>的</w:t>
      </w:r>
      <w:r>
        <w:rPr>
          <w:rFonts w:eastAsia="仿宋_GB2312" w:hint="eastAsia"/>
          <w:bCs/>
          <w:sz w:val="32"/>
          <w:szCs w:val="32"/>
        </w:rPr>
        <w:t>，管理人应当披露入池资产范围内各</w:t>
      </w:r>
      <w:bookmarkStart w:id="7" w:name="_Hlk209527883"/>
      <w:r>
        <w:rPr>
          <w:rFonts w:eastAsia="仿宋_GB2312" w:hint="eastAsia"/>
          <w:bCs/>
          <w:sz w:val="32"/>
          <w:szCs w:val="32"/>
        </w:rPr>
        <w:t>业态构成</w:t>
      </w:r>
      <w:bookmarkEnd w:id="7"/>
      <w:r>
        <w:rPr>
          <w:rFonts w:eastAsia="仿宋_GB2312" w:hint="eastAsia"/>
          <w:bCs/>
          <w:sz w:val="32"/>
          <w:szCs w:val="32"/>
        </w:rPr>
        <w:t>（商业零售、办公、酒店等）和空间分布情况，以及各业态之间的协同关系。</w:t>
      </w:r>
      <w:bookmarkEnd w:id="6"/>
    </w:p>
    <w:p w14:paraId="5D42A5AA"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不动产项目涉及办公相关业态的，管理人应当披露建筑物等级和认证标准、办公相关配套服务设施设备等</w:t>
      </w:r>
      <w:proofErr w:type="gramStart"/>
      <w:r>
        <w:rPr>
          <w:rFonts w:eastAsia="仿宋_GB2312" w:hint="eastAsia"/>
          <w:bCs/>
          <w:sz w:val="32"/>
          <w:szCs w:val="32"/>
        </w:rPr>
        <w:t>体现业态特征</w:t>
      </w:r>
      <w:proofErr w:type="gramEnd"/>
      <w:r>
        <w:rPr>
          <w:rFonts w:eastAsia="仿宋_GB2312" w:hint="eastAsia"/>
          <w:bCs/>
          <w:sz w:val="32"/>
          <w:szCs w:val="32"/>
        </w:rPr>
        <w:t>的信息。</w:t>
      </w:r>
    </w:p>
    <w:p w14:paraId="60DA5887"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不动产项目涉及酒店相关业态的，管理人应当披露合作品牌方基本信息、等级和评定标准、客房数量、房</w:t>
      </w:r>
      <w:proofErr w:type="gramStart"/>
      <w:r>
        <w:rPr>
          <w:rFonts w:eastAsia="仿宋_GB2312" w:hint="eastAsia"/>
          <w:bCs/>
          <w:sz w:val="32"/>
          <w:szCs w:val="32"/>
        </w:rPr>
        <w:t>型构成和对应占</w:t>
      </w:r>
      <w:proofErr w:type="gramEnd"/>
      <w:r>
        <w:rPr>
          <w:rFonts w:eastAsia="仿宋_GB2312" w:hint="eastAsia"/>
          <w:bCs/>
          <w:sz w:val="32"/>
          <w:szCs w:val="32"/>
        </w:rPr>
        <w:t>比、房价体系等</w:t>
      </w:r>
      <w:proofErr w:type="gramStart"/>
      <w:r>
        <w:rPr>
          <w:rFonts w:eastAsia="仿宋_GB2312" w:hint="eastAsia"/>
          <w:bCs/>
          <w:sz w:val="32"/>
          <w:szCs w:val="32"/>
        </w:rPr>
        <w:t>体现业态特征</w:t>
      </w:r>
      <w:proofErr w:type="gramEnd"/>
      <w:r>
        <w:rPr>
          <w:rFonts w:eastAsia="仿宋_GB2312" w:hint="eastAsia"/>
          <w:bCs/>
          <w:sz w:val="32"/>
          <w:szCs w:val="32"/>
        </w:rPr>
        <w:t>的信息。</w:t>
      </w:r>
    </w:p>
    <w:p w14:paraId="338310DB"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不动产项目原则上应当将连廊、广告牌、停车场等实现资产功能作用所必需的、不可分割的各组成部分完整纳入资产范围。</w:t>
      </w:r>
    </w:p>
    <w:p w14:paraId="462A64EB" w14:textId="77777777" w:rsidR="005C45E9" w:rsidRDefault="00000000">
      <w:pPr>
        <w:pStyle w:val="Style3"/>
        <w:spacing w:line="560" w:lineRule="exact"/>
        <w:ind w:firstLine="640"/>
        <w:rPr>
          <w:rFonts w:eastAsia="仿宋_GB2312"/>
          <w:bCs/>
          <w:sz w:val="32"/>
          <w:szCs w:val="32"/>
        </w:rPr>
      </w:pPr>
      <w:r>
        <w:rPr>
          <w:rFonts w:ascii="仿宋_GB2312" w:eastAsia="仿宋_GB2312" w:hAnsi="仿宋_GB2312" w:hint="eastAsia"/>
          <w:sz w:val="32"/>
        </w:rPr>
        <w:t>无法完整纳入资产范围的，或者资产范围未包括与其他方共用</w:t>
      </w:r>
      <w:r>
        <w:rPr>
          <w:rFonts w:eastAsia="仿宋_GB2312" w:hint="eastAsia"/>
          <w:bCs/>
          <w:sz w:val="32"/>
          <w:szCs w:val="32"/>
        </w:rPr>
        <w:t>、共有</w:t>
      </w:r>
      <w:r>
        <w:rPr>
          <w:rFonts w:ascii="仿宋_GB2312" w:eastAsia="仿宋_GB2312" w:hAnsi="仿宋_GB2312" w:hint="eastAsia"/>
          <w:sz w:val="32"/>
        </w:rPr>
        <w:t>的资产或者设备设施，且共用</w:t>
      </w:r>
      <w:r>
        <w:rPr>
          <w:rFonts w:eastAsia="仿宋_GB2312" w:hint="eastAsia"/>
          <w:bCs/>
          <w:sz w:val="32"/>
          <w:szCs w:val="32"/>
        </w:rPr>
        <w:t>、共有</w:t>
      </w:r>
      <w:r>
        <w:rPr>
          <w:rFonts w:ascii="仿宋_GB2312" w:eastAsia="仿宋_GB2312" w:hAnsi="仿宋_GB2312" w:hint="eastAsia"/>
          <w:sz w:val="32"/>
        </w:rPr>
        <w:t>资产或者设备设施对不动产项目持续稳定运行存在影响的，管理人应当披露上述资产未纳入资产范围的原因和合理性，充分揭示风险，并应当与</w:t>
      </w:r>
      <w:r>
        <w:rPr>
          <w:rFonts w:eastAsia="仿宋_GB2312" w:hint="eastAsia"/>
          <w:bCs/>
          <w:sz w:val="32"/>
          <w:szCs w:val="32"/>
        </w:rPr>
        <w:t>运营</w:t>
      </w:r>
      <w:r>
        <w:rPr>
          <w:rFonts w:ascii="仿宋_GB2312" w:eastAsia="仿宋_GB2312" w:hAnsi="仿宋_GB2312" w:hint="eastAsia"/>
          <w:sz w:val="32"/>
        </w:rPr>
        <w:t>管理机构安排有效措施，保障不动产项目后续稳定运行。主要原始权益人应当出具承诺函，已采取有效措施，确保上述资产未纳入资产范围不影响</w:t>
      </w:r>
      <w:r>
        <w:rPr>
          <w:rFonts w:eastAsia="仿宋_GB2312" w:hint="eastAsia"/>
          <w:bCs/>
          <w:sz w:val="32"/>
          <w:szCs w:val="32"/>
        </w:rPr>
        <w:t>不动产项目稳定运营。</w:t>
      </w:r>
    </w:p>
    <w:p w14:paraId="636E7086"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管理人应当披露不动产项目的土地性质、土地使用权取得方式、剩余期限及其确定依据。律师应当对不动产土地使用权取得方式的合法合</w:t>
      </w:r>
      <w:proofErr w:type="gramStart"/>
      <w:r>
        <w:rPr>
          <w:rFonts w:eastAsia="仿宋_GB2312" w:hint="eastAsia"/>
          <w:bCs/>
          <w:sz w:val="32"/>
          <w:szCs w:val="32"/>
        </w:rPr>
        <w:t>规性发表</w:t>
      </w:r>
      <w:proofErr w:type="gramEnd"/>
      <w:r>
        <w:rPr>
          <w:rFonts w:eastAsia="仿宋_GB2312" w:hint="eastAsia"/>
          <w:bCs/>
          <w:sz w:val="32"/>
          <w:szCs w:val="32"/>
        </w:rPr>
        <w:t>明确法律意见。</w:t>
      </w:r>
    </w:p>
    <w:p w14:paraId="1EDFA6C3"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不动产土地使用权应当以出让等有偿使用方式取得，土地用途应当符合土地管理有关法律法规的规定。</w:t>
      </w:r>
    </w:p>
    <w:p w14:paraId="050D57C4"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第二节</w:t>
      </w:r>
      <w:r>
        <w:rPr>
          <w:rFonts w:ascii="Times New Roman" w:hAnsi="Times New Roman" w:hint="eastAsia"/>
          <w:b w:val="0"/>
          <w:bCs w:val="0"/>
          <w:color w:val="auto"/>
          <w:szCs w:val="32"/>
        </w:rPr>
        <w:t xml:space="preserve"> </w:t>
      </w:r>
      <w:r>
        <w:rPr>
          <w:rFonts w:ascii="Times New Roman" w:hAnsi="Times New Roman" w:hint="eastAsia"/>
          <w:b w:val="0"/>
          <w:bCs w:val="0"/>
          <w:color w:val="auto"/>
          <w:szCs w:val="32"/>
        </w:rPr>
        <w:t>不动产项目经营与财务情况</w:t>
      </w:r>
    </w:p>
    <w:p w14:paraId="6BECB445"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管理人应当按照本附件第八条至第十条规定，分业态披露</w:t>
      </w:r>
      <w:r>
        <w:rPr>
          <w:rFonts w:eastAsia="仿宋_GB2312" w:hint="eastAsia"/>
          <w:sz w:val="32"/>
          <w:szCs w:val="32"/>
        </w:rPr>
        <w:t>不动产项目</w:t>
      </w:r>
      <w:r>
        <w:rPr>
          <w:rFonts w:eastAsia="仿宋_GB2312" w:hint="eastAsia"/>
          <w:bCs/>
          <w:sz w:val="32"/>
          <w:szCs w:val="32"/>
        </w:rPr>
        <w:t>报告期内的经营情况。</w:t>
      </w:r>
    </w:p>
    <w:p w14:paraId="72CCB280"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sz w:val="32"/>
          <w:szCs w:val="32"/>
        </w:rPr>
        <w:t>不动产项目</w:t>
      </w:r>
      <w:r>
        <w:rPr>
          <w:rFonts w:eastAsia="仿宋_GB2312" w:hint="eastAsia"/>
          <w:bCs/>
          <w:sz w:val="32"/>
          <w:szCs w:val="32"/>
        </w:rPr>
        <w:t>涉及商业零售相关业态的，管理人应当披露报告期内的下列经营情况：</w:t>
      </w:r>
    </w:p>
    <w:p w14:paraId="31E8C705"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（一）运营模式，包括出租、联营等；</w:t>
      </w:r>
    </w:p>
    <w:p w14:paraId="4A27E1A8"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二）收入情况，包括商品销售总额（如有）、客流量（如有）、月销售坪效（如有）、经营模式和租赁业态组合及其按照收入和租赁面积两个口径的占比情况、运营收入、收入构成及其占比、租售比（如有）、运营净收益率（</w:t>
      </w:r>
      <w:r>
        <w:rPr>
          <w:rFonts w:eastAsia="仿宋_GB2312"/>
          <w:bCs/>
          <w:sz w:val="32"/>
          <w:szCs w:val="32"/>
        </w:rPr>
        <w:t>NOI Margin</w:t>
      </w:r>
      <w:r>
        <w:rPr>
          <w:rFonts w:eastAsia="仿宋_GB2312" w:hint="eastAsia"/>
          <w:bCs/>
          <w:sz w:val="32"/>
          <w:szCs w:val="32"/>
        </w:rPr>
        <w:t>）等；</w:t>
      </w:r>
    </w:p>
    <w:p w14:paraId="7708D7E0"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（三）租户情况，包括历史出租率变化情况、续约率、平均免租期、租赁合同期限按照收入和租赁面积两个口径的分布情况、加权平均剩余租期、租约到期分布情况等；</w:t>
      </w:r>
    </w:p>
    <w:p w14:paraId="294E9128"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（四）租约类型，包括固定租金、固定</w:t>
      </w:r>
      <w:r>
        <w:rPr>
          <w:rFonts w:eastAsia="仿宋_GB2312"/>
          <w:bCs/>
          <w:sz w:val="32"/>
          <w:szCs w:val="32"/>
        </w:rPr>
        <w:t>/</w:t>
      </w:r>
      <w:r>
        <w:rPr>
          <w:rFonts w:eastAsia="仿宋_GB2312" w:hint="eastAsia"/>
          <w:bCs/>
          <w:sz w:val="32"/>
          <w:szCs w:val="32"/>
        </w:rPr>
        <w:t>提成租金取高、纯提成租金、固定租金</w:t>
      </w:r>
      <w:r>
        <w:rPr>
          <w:rFonts w:eastAsia="仿宋_GB2312"/>
          <w:bCs/>
          <w:sz w:val="32"/>
          <w:szCs w:val="32"/>
        </w:rPr>
        <w:t>+</w:t>
      </w:r>
      <w:r>
        <w:rPr>
          <w:rFonts w:eastAsia="仿宋_GB2312" w:hint="eastAsia"/>
          <w:bCs/>
          <w:sz w:val="32"/>
          <w:szCs w:val="32"/>
        </w:rPr>
        <w:t>提成租金等，以及按照收入和租赁面积两个口径的租约类型占比情况；</w:t>
      </w:r>
    </w:p>
    <w:p w14:paraId="46236AD8"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（五）租金情况，包括月租金坪效、分类（例如按照主力店、专门店等）对比与周边可比物业租金单价差异情况、租金增长率、租金收缴率和支付结算方式等。</w:t>
      </w:r>
    </w:p>
    <w:p w14:paraId="57C6CCF7"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上述经营情况指标波动较大的，管理人应当披露变动原因，充分揭示风险，并设置风险缓释措施。</w:t>
      </w:r>
    </w:p>
    <w:p w14:paraId="00B1FA2C"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sz w:val="32"/>
          <w:szCs w:val="32"/>
        </w:rPr>
        <w:t>不动产项目</w:t>
      </w:r>
      <w:r>
        <w:rPr>
          <w:rFonts w:eastAsia="仿宋_GB2312" w:hint="eastAsia"/>
          <w:bCs/>
          <w:sz w:val="32"/>
          <w:szCs w:val="32"/>
        </w:rPr>
        <w:t>涉及办公相关业态的，管理人应当披露报告期内的下列经营情况：</w:t>
      </w:r>
    </w:p>
    <w:p w14:paraId="46D726AD"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（一）收入情况，包括运营收入、收入构成（固定租金收入、物业管理费、停车场收入、广告收入、其他附加服务收入等）及其占比、运营净收益率（</w:t>
      </w:r>
      <w:r>
        <w:rPr>
          <w:rFonts w:eastAsia="仿宋_GB2312"/>
          <w:bCs/>
          <w:sz w:val="32"/>
          <w:szCs w:val="32"/>
        </w:rPr>
        <w:t>NOI Margin</w:t>
      </w:r>
      <w:r>
        <w:rPr>
          <w:rFonts w:eastAsia="仿宋_GB2312" w:hint="eastAsia"/>
          <w:bCs/>
          <w:sz w:val="32"/>
          <w:szCs w:val="32"/>
        </w:rPr>
        <w:t>）等；</w:t>
      </w:r>
    </w:p>
    <w:p w14:paraId="46F399A2"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（二）租户情况，包括历史出租率变化情况、续租率、平均免租期、租赁合同期限按照收入和租赁面积两个口径的分布情况、加权平均剩余租期、租约到期分布情况等；</w:t>
      </w:r>
    </w:p>
    <w:p w14:paraId="0A59B88B"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（三）租金情况，包括月租金单价、与周边可比物业租金单价差异情况、租金增长率、租金收缴率和支付结算方式等。</w:t>
      </w:r>
    </w:p>
    <w:p w14:paraId="2F09540F"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上述经营情况指标波动较大的，管理人应当披露变动原因，充分揭示风险，并设置风险缓释措施。</w:t>
      </w:r>
    </w:p>
    <w:p w14:paraId="13EA99B2"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sz w:val="32"/>
          <w:szCs w:val="32"/>
        </w:rPr>
        <w:t>不动产项目</w:t>
      </w:r>
      <w:r>
        <w:rPr>
          <w:rFonts w:eastAsia="仿宋_GB2312" w:hint="eastAsia"/>
          <w:bCs/>
          <w:sz w:val="32"/>
          <w:szCs w:val="32"/>
        </w:rPr>
        <w:t>涉及酒店业态的，管理人应当披露报告期内的下列经营情况：</w:t>
      </w:r>
    </w:p>
    <w:p w14:paraId="2A16F7C4" w14:textId="77777777" w:rsidR="005C45E9" w:rsidRDefault="00000000">
      <w:pPr>
        <w:pStyle w:val="Style3"/>
        <w:numPr>
          <w:ilvl w:val="0"/>
          <w:numId w:val="5"/>
        </w:numPr>
        <w:adjustRightInd w:val="0"/>
        <w:snapToGrid w:val="0"/>
        <w:spacing w:line="560" w:lineRule="exact"/>
        <w:ind w:firstLine="640"/>
        <w:rPr>
          <w:rFonts w:eastAsia="仿宋_GB2312"/>
          <w:bCs/>
          <w:sz w:val="32"/>
          <w:szCs w:val="32"/>
        </w:rPr>
      </w:pPr>
      <w:r>
        <w:rPr>
          <w:rFonts w:eastAsia="仿宋_GB2312" w:hint="eastAsia"/>
          <w:bCs/>
          <w:sz w:val="32"/>
          <w:szCs w:val="32"/>
        </w:rPr>
        <w:t>运营管理模式，包括运营管理方式（例如业主自管、委托管理、特许经营管理、租赁模式等）、品牌合作期限等；</w:t>
      </w:r>
    </w:p>
    <w:p w14:paraId="4E2BD339" w14:textId="77777777" w:rsidR="005C45E9" w:rsidRDefault="00000000">
      <w:pPr>
        <w:pStyle w:val="Style3"/>
        <w:numPr>
          <w:ilvl w:val="0"/>
          <w:numId w:val="5"/>
        </w:numPr>
        <w:adjustRightInd w:val="0"/>
        <w:snapToGrid w:val="0"/>
        <w:spacing w:line="560" w:lineRule="exact"/>
        <w:ind w:firstLine="640"/>
        <w:rPr>
          <w:rFonts w:eastAsia="仿宋_GB2312"/>
          <w:bCs/>
          <w:sz w:val="32"/>
          <w:szCs w:val="32"/>
        </w:rPr>
      </w:pPr>
      <w:r>
        <w:rPr>
          <w:rFonts w:eastAsia="仿宋_GB2312" w:hint="eastAsia"/>
          <w:bCs/>
          <w:sz w:val="32"/>
          <w:szCs w:val="32"/>
        </w:rPr>
        <w:t>核心运营指标，包括平均房价（</w:t>
      </w:r>
      <w:r>
        <w:rPr>
          <w:rFonts w:eastAsia="仿宋_GB2312"/>
          <w:bCs/>
          <w:sz w:val="32"/>
          <w:szCs w:val="32"/>
        </w:rPr>
        <w:t>ADR</w:t>
      </w:r>
      <w:r>
        <w:rPr>
          <w:rFonts w:eastAsia="仿宋_GB2312" w:hint="eastAsia"/>
          <w:bCs/>
          <w:sz w:val="32"/>
          <w:szCs w:val="32"/>
        </w:rPr>
        <w:t>）、平均入住率（</w:t>
      </w:r>
      <w:r>
        <w:rPr>
          <w:rFonts w:eastAsia="仿宋_GB2312"/>
          <w:bCs/>
          <w:sz w:val="32"/>
          <w:szCs w:val="32"/>
        </w:rPr>
        <w:t>OCC</w:t>
      </w:r>
      <w:r>
        <w:rPr>
          <w:rFonts w:eastAsia="仿宋_GB2312" w:hint="eastAsia"/>
          <w:bCs/>
          <w:sz w:val="32"/>
          <w:szCs w:val="32"/>
        </w:rPr>
        <w:t>）、入住率及其增长率、每间可售房收入（</w:t>
      </w:r>
      <w:bookmarkStart w:id="8" w:name="OLE_LINK4"/>
      <w:r>
        <w:rPr>
          <w:rFonts w:eastAsia="仿宋_GB2312"/>
          <w:bCs/>
          <w:sz w:val="32"/>
          <w:szCs w:val="32"/>
        </w:rPr>
        <w:t>RevPAR</w:t>
      </w:r>
      <w:bookmarkEnd w:id="8"/>
      <w:r>
        <w:rPr>
          <w:rFonts w:eastAsia="仿宋_GB2312" w:hint="eastAsia"/>
          <w:bCs/>
          <w:sz w:val="32"/>
          <w:szCs w:val="32"/>
        </w:rPr>
        <w:t>）及其增长率等；</w:t>
      </w:r>
    </w:p>
    <w:p w14:paraId="02531451" w14:textId="77777777" w:rsidR="005C45E9" w:rsidRDefault="00000000">
      <w:pPr>
        <w:pStyle w:val="Style3"/>
        <w:numPr>
          <w:ilvl w:val="0"/>
          <w:numId w:val="5"/>
        </w:numPr>
        <w:adjustRightInd w:val="0"/>
        <w:snapToGrid w:val="0"/>
        <w:spacing w:line="560" w:lineRule="exact"/>
        <w:ind w:firstLine="640"/>
        <w:rPr>
          <w:rFonts w:eastAsia="仿宋_GB2312"/>
          <w:bCs/>
          <w:sz w:val="32"/>
          <w:szCs w:val="32"/>
        </w:rPr>
      </w:pPr>
      <w:r>
        <w:rPr>
          <w:rFonts w:eastAsia="仿宋_GB2312" w:hint="eastAsia"/>
          <w:bCs/>
          <w:sz w:val="32"/>
          <w:szCs w:val="32"/>
        </w:rPr>
        <w:t>收入情况，包括收入构成（客房、餐饮、会议等）及其占比、不动产项目</w:t>
      </w:r>
      <w:bookmarkStart w:id="9" w:name="OLE_LINK5"/>
      <w:r>
        <w:rPr>
          <w:rFonts w:eastAsia="仿宋_GB2312" w:hint="eastAsia"/>
          <w:bCs/>
          <w:sz w:val="32"/>
          <w:szCs w:val="32"/>
        </w:rPr>
        <w:t>经营毛利率（</w:t>
      </w:r>
      <w:r>
        <w:rPr>
          <w:rFonts w:eastAsia="仿宋_GB2312"/>
          <w:bCs/>
          <w:sz w:val="32"/>
          <w:szCs w:val="32"/>
        </w:rPr>
        <w:t>GOP Margin</w:t>
      </w:r>
      <w:bookmarkEnd w:id="9"/>
      <w:r>
        <w:rPr>
          <w:rFonts w:eastAsia="仿宋_GB2312" w:hint="eastAsia"/>
          <w:bCs/>
          <w:sz w:val="32"/>
          <w:szCs w:val="32"/>
        </w:rPr>
        <w:t>）和运营净收益率（</w:t>
      </w:r>
      <w:r>
        <w:rPr>
          <w:rFonts w:eastAsia="仿宋_GB2312"/>
          <w:bCs/>
          <w:sz w:val="32"/>
          <w:szCs w:val="32"/>
        </w:rPr>
        <w:t>NOI Margin</w:t>
      </w:r>
      <w:r>
        <w:rPr>
          <w:rFonts w:eastAsia="仿宋_GB2312" w:hint="eastAsia"/>
          <w:bCs/>
          <w:sz w:val="32"/>
          <w:szCs w:val="32"/>
        </w:rPr>
        <w:t>）等；</w:t>
      </w:r>
    </w:p>
    <w:p w14:paraId="483F1C66" w14:textId="77777777" w:rsidR="005C45E9" w:rsidRDefault="00000000">
      <w:pPr>
        <w:pStyle w:val="Style3"/>
        <w:numPr>
          <w:ilvl w:val="0"/>
          <w:numId w:val="5"/>
        </w:numPr>
        <w:adjustRightInd w:val="0"/>
        <w:snapToGrid w:val="0"/>
        <w:spacing w:line="560" w:lineRule="exact"/>
        <w:ind w:firstLine="640"/>
        <w:rPr>
          <w:rFonts w:eastAsia="仿宋_GB2312"/>
          <w:bCs/>
          <w:sz w:val="32"/>
          <w:szCs w:val="32"/>
        </w:rPr>
      </w:pPr>
      <w:r>
        <w:rPr>
          <w:rFonts w:eastAsia="仿宋_GB2312" w:hint="eastAsia"/>
          <w:bCs/>
          <w:sz w:val="32"/>
          <w:szCs w:val="32"/>
        </w:rPr>
        <w:t>成本费用情况，包括部门成本（客房、餐饮等）、未分配经营开支（行政、推广、能源、物业等）、固定成本（管理费、税费等），以及各类成本占营业收入的比重和变化情况；</w:t>
      </w:r>
    </w:p>
    <w:p w14:paraId="38315F02" w14:textId="77777777" w:rsidR="005C45E9" w:rsidRDefault="00000000">
      <w:pPr>
        <w:pStyle w:val="Style3"/>
        <w:numPr>
          <w:ilvl w:val="0"/>
          <w:numId w:val="5"/>
        </w:numPr>
        <w:adjustRightInd w:val="0"/>
        <w:snapToGrid w:val="0"/>
        <w:spacing w:line="560" w:lineRule="exact"/>
        <w:ind w:firstLine="640"/>
        <w:rPr>
          <w:rFonts w:eastAsia="仿宋_GB2312"/>
          <w:bCs/>
          <w:sz w:val="32"/>
          <w:szCs w:val="32"/>
        </w:rPr>
      </w:pPr>
      <w:r>
        <w:rPr>
          <w:rFonts w:eastAsia="仿宋_GB2312" w:hint="eastAsia"/>
          <w:bCs/>
          <w:sz w:val="32"/>
          <w:szCs w:val="32"/>
        </w:rPr>
        <w:t>季节性或者周期性波动特征。</w:t>
      </w:r>
    </w:p>
    <w:p w14:paraId="5916940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上述经营情况指标波动较大的，管理人应当披露变动原因，充分揭示风险，并设置风险缓释措施。</w:t>
      </w:r>
    </w:p>
    <w:p w14:paraId="523AF677"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管理人应当披露不动产项目重要现金</w:t>
      </w:r>
      <w:proofErr w:type="gramStart"/>
      <w:r>
        <w:rPr>
          <w:rFonts w:eastAsia="仿宋_GB2312" w:hint="eastAsia"/>
          <w:bCs/>
          <w:sz w:val="32"/>
          <w:szCs w:val="32"/>
        </w:rPr>
        <w:t>流提供</w:t>
      </w:r>
      <w:proofErr w:type="gramEnd"/>
      <w:r>
        <w:rPr>
          <w:rFonts w:eastAsia="仿宋_GB2312" w:hint="eastAsia"/>
          <w:bCs/>
          <w:sz w:val="32"/>
          <w:szCs w:val="32"/>
        </w:rPr>
        <w:t>方、前十大租户以及商业零售业态的主力店名称、所属行业、报告期内承租面积与收入占比等情况。</w:t>
      </w:r>
    </w:p>
    <w:p w14:paraId="3B0E061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涉及商业零售、办公等业态的，管理人应当对前款所述租户是否存在换租、集中</w:t>
      </w:r>
      <w:proofErr w:type="gramStart"/>
      <w:r>
        <w:rPr>
          <w:rFonts w:eastAsia="仿宋_GB2312" w:hint="eastAsia"/>
          <w:bCs/>
          <w:sz w:val="32"/>
          <w:szCs w:val="32"/>
        </w:rPr>
        <w:t>换租风险</w:t>
      </w:r>
      <w:proofErr w:type="gramEnd"/>
      <w:r>
        <w:rPr>
          <w:rFonts w:eastAsia="仿宋_GB2312" w:hint="eastAsia"/>
          <w:bCs/>
          <w:sz w:val="32"/>
          <w:szCs w:val="32"/>
        </w:rPr>
        <w:t>进行核查，充分揭示风险，并设置风险缓释措施。</w:t>
      </w:r>
    </w:p>
    <w:p w14:paraId="240CE93E"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不动产项目存在免租期约定、租金或者房费折扣等优惠安排的，管理人应当披露对现金流有重要影响的优惠安排具体内容、执行情况等，并分别披露合同约定价格以及实际执行价格，充分说明二者之间的差异。存在较长免租期安排的，管理人还应当说明原因和合理性，并充分揭示风险。</w:t>
      </w:r>
    </w:p>
    <w:p w14:paraId="1E5CA22D"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第三节</w:t>
      </w:r>
      <w:r>
        <w:rPr>
          <w:rFonts w:ascii="Times New Roman" w:hAnsi="Times New Roman" w:hint="eastAsia"/>
          <w:b w:val="0"/>
          <w:bCs w:val="0"/>
          <w:color w:val="auto"/>
          <w:szCs w:val="32"/>
        </w:rPr>
        <w:t xml:space="preserve"> </w:t>
      </w:r>
      <w:r>
        <w:rPr>
          <w:rFonts w:ascii="Times New Roman" w:hAnsi="Times New Roman" w:hint="eastAsia"/>
          <w:b w:val="0"/>
          <w:bCs w:val="0"/>
          <w:color w:val="auto"/>
          <w:szCs w:val="32"/>
        </w:rPr>
        <w:t>不动产评估</w:t>
      </w:r>
    </w:p>
    <w:p w14:paraId="62C66A18"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评估机构应当结合不动产项目基本情况和历史运营情况，充分考虑宏观经济情况、周边可比项目、资产竞争力、资产运营管理能力等内外部因素对不动产项目估值的影响，合理确定收益年限、出租率、租金单价、租金增长率、收缴率、成本、费用、折现率、资本性支出等核心估值参数，并按照下列要求审慎进行不动产项目估值：</w:t>
      </w:r>
    </w:p>
    <w:p w14:paraId="70E0FB13"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（一）收益年限参数选取应当充分考虑区域总体规划是否存在重大调整，以及不动产项目建筑设计功能、使用期限、土地使用权期限等；</w:t>
      </w:r>
    </w:p>
    <w:p w14:paraId="020CF860"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（二）出租率选取应当充分考虑不动产项目所在城市以及区域宏观经济发展情况、居民消费水平、现有租赁合同期限以及到期时间分布、历史年末</w:t>
      </w:r>
      <w:r>
        <w:rPr>
          <w:rFonts w:eastAsia="仿宋_GB2312" w:hint="eastAsia"/>
          <w:bCs/>
          <w:sz w:val="32"/>
          <w:szCs w:val="32"/>
        </w:rPr>
        <w:t>/</w:t>
      </w:r>
      <w:r>
        <w:rPr>
          <w:rFonts w:eastAsia="仿宋_GB2312" w:hint="eastAsia"/>
          <w:bCs/>
          <w:sz w:val="32"/>
          <w:szCs w:val="32"/>
        </w:rPr>
        <w:t>期末出租率、历史年度加权平均出租率、租户结构、续租率、退租后去化时间、区域可比项目出租率、区域同类资产的市场供需情况、资产竞争力等因素的影响；</w:t>
      </w:r>
    </w:p>
    <w:p w14:paraId="46A120B7"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（三）租金单价和租金增长率参数选取应当充分考虑不动产项目所在城市以及区域宏观经济发展情况、居民消费水平、不动产项目区位、配套设施、租约中设定的优惠政策、历史年末</w:t>
      </w:r>
      <w:r>
        <w:rPr>
          <w:rFonts w:eastAsia="仿宋_GB2312" w:hint="eastAsia"/>
          <w:bCs/>
          <w:sz w:val="32"/>
          <w:szCs w:val="32"/>
        </w:rPr>
        <w:t>/</w:t>
      </w:r>
      <w:r>
        <w:rPr>
          <w:rFonts w:eastAsia="仿宋_GB2312" w:hint="eastAsia"/>
          <w:bCs/>
          <w:sz w:val="32"/>
          <w:szCs w:val="32"/>
        </w:rPr>
        <w:t>期末有效租金单价、租户结构、区域可比项目租金单价、区域同类资产的市场供需情况、资产竞争力等因素的影响；</w:t>
      </w:r>
    </w:p>
    <w:p w14:paraId="2E70DBE8" w14:textId="77777777" w:rsidR="005C45E9" w:rsidRDefault="00000000">
      <w:pPr>
        <w:pStyle w:val="Style3"/>
        <w:spacing w:line="560" w:lineRule="exact"/>
        <w:ind w:firstLine="640"/>
        <w:rPr>
          <w:bCs/>
          <w:sz w:val="32"/>
          <w:szCs w:val="32"/>
        </w:rPr>
      </w:pPr>
      <w:r>
        <w:rPr>
          <w:rFonts w:eastAsia="仿宋_GB2312" w:hint="eastAsia"/>
          <w:bCs/>
          <w:sz w:val="32"/>
          <w:szCs w:val="32"/>
        </w:rPr>
        <w:t>（四）收缴率参数选取应当充分考虑不动产项目租户经营情况、历史收缴率、竞争力等因素的影响</w:t>
      </w:r>
      <w:r>
        <w:rPr>
          <w:rFonts w:eastAsia="仿宋_GB2312"/>
          <w:bCs/>
          <w:sz w:val="32"/>
          <w:szCs w:val="32"/>
        </w:rPr>
        <w:t>；</w:t>
      </w:r>
    </w:p>
    <w:p w14:paraId="3AB13271"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五）各类收入、各类成本费用、资本性支出等参数选取应当充分考虑不动产项目运营时间、运营模式、物业管理模式、行业特征、历史各类收入、收入占比及其增长率、历史各类成本费用、成本费用占比及其增长率、历史资本性支出、维修计划等因素；</w:t>
      </w:r>
    </w:p>
    <w:p w14:paraId="3AE8E6C1"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（六）资本性支出参数选取应当充分考虑历史资本性支出、建筑物以及设备现状、改造升级安排、行业特征等因素。</w:t>
      </w:r>
    </w:p>
    <w:p w14:paraId="13E93B74"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评估机构应当结合周边可比项目区位、定位、所处运营阶段、平均空置率、租金单价等情况，说明可比项目选取的合理性。</w:t>
      </w:r>
    </w:p>
    <w:p w14:paraId="759A9399"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不动产项目涉及酒店业态的，评估机构除参考本附件第十三条有关估值参数的要求审慎进行不动产项目估值外，还应当充分考虑酒店定位、品牌级次、历史年度加权平均入住率、客房单价以及房价增长情况、区域可比项目运营指标、区域同类资产的市场供需情况等因素的影响，合理确定入住率、客房单价和房价增长率等业</w:t>
      </w:r>
      <w:proofErr w:type="gramStart"/>
      <w:r>
        <w:rPr>
          <w:rFonts w:eastAsia="仿宋_GB2312" w:hint="eastAsia"/>
          <w:bCs/>
          <w:sz w:val="32"/>
          <w:szCs w:val="32"/>
        </w:rPr>
        <w:t>态核心</w:t>
      </w:r>
      <w:proofErr w:type="gramEnd"/>
      <w:r>
        <w:rPr>
          <w:rFonts w:eastAsia="仿宋_GB2312" w:hint="eastAsia"/>
          <w:bCs/>
          <w:sz w:val="32"/>
          <w:szCs w:val="32"/>
        </w:rPr>
        <w:t>估值参数。</w:t>
      </w:r>
    </w:p>
    <w:p w14:paraId="461D5934"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管理人、财务顾问（如有）应当按照本指引第四十五条的规定披露不动产项目的评估情况，按照本附件第十三条的要求就估值参数取值的合理性发表明确意见，并结合单位面积价格、首个完整会计年度的资本化率（</w:t>
      </w:r>
      <w:r>
        <w:rPr>
          <w:rFonts w:eastAsia="仿宋_GB2312"/>
          <w:bCs/>
          <w:sz w:val="32"/>
          <w:szCs w:val="32"/>
        </w:rPr>
        <w:t>Cap Rate</w:t>
      </w:r>
      <w:r>
        <w:rPr>
          <w:rFonts w:eastAsia="仿宋_GB2312" w:hint="eastAsia"/>
          <w:bCs/>
          <w:sz w:val="32"/>
          <w:szCs w:val="32"/>
        </w:rPr>
        <w:t>），以及同行业已上市不动产基金、同行业上市公司重大资产重组和大宗交易（如有）的估值参数选取情况，对评估参数和评估方法的选取进行独立核查，对评估结果的合理性发表明确意见。</w:t>
      </w:r>
    </w:p>
    <w:p w14:paraId="6EF40D35"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第四节</w:t>
      </w:r>
      <w:r>
        <w:rPr>
          <w:rFonts w:ascii="Times New Roman" w:hAnsi="Times New Roman" w:hint="eastAsia"/>
          <w:b w:val="0"/>
          <w:bCs w:val="0"/>
          <w:color w:val="auto"/>
          <w:szCs w:val="32"/>
        </w:rPr>
        <w:t xml:space="preserve"> </w:t>
      </w:r>
      <w:r>
        <w:rPr>
          <w:rFonts w:ascii="Times New Roman" w:hAnsi="Times New Roman" w:hint="eastAsia"/>
          <w:b w:val="0"/>
          <w:bCs w:val="0"/>
          <w:color w:val="auto"/>
          <w:szCs w:val="32"/>
        </w:rPr>
        <w:t>运营管理安排</w:t>
      </w:r>
    </w:p>
    <w:p w14:paraId="23ABAAFC"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基金管理人应当结合不动产项目运营模式特点，明确分层决策机制中各决策层面对涉及不动产项目运营的重要事项的决策安排，包括</w:t>
      </w:r>
      <w:r>
        <w:rPr>
          <w:rFonts w:eastAsia="仿宋_GB2312" w:hint="eastAsia"/>
          <w:sz w:val="32"/>
          <w:szCs w:val="32"/>
        </w:rPr>
        <w:t>提升改造、招商策略、</w:t>
      </w:r>
      <w:r>
        <w:rPr>
          <w:rFonts w:eastAsia="仿宋_GB2312" w:hint="eastAsia"/>
          <w:bCs/>
          <w:sz w:val="32"/>
          <w:szCs w:val="32"/>
        </w:rPr>
        <w:t>租金调整、免租安排、租金优惠、租户结构调整、关联方协议签署、委托物业管理、运营成本调整、核心人员调整、突发事件响应安排等。</w:t>
      </w:r>
    </w:p>
    <w:p w14:paraId="0BCB3B6D"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基金管理人应当披露运营管理机构对不动产项目未来的管理策略、经营方向、重大改造计划，以及对市场风险的应对措施。</w:t>
      </w:r>
    </w:p>
    <w:p w14:paraId="0EB368B7" w14:textId="77777777" w:rsidR="005C45E9" w:rsidRDefault="00000000">
      <w:pPr>
        <w:pStyle w:val="Style3"/>
        <w:spacing w:line="560" w:lineRule="exact"/>
        <w:ind w:firstLine="640"/>
        <w:rPr>
          <w:rFonts w:eastAsia="仿宋_GB2312"/>
          <w:bCs/>
          <w:sz w:val="32"/>
          <w:szCs w:val="32"/>
        </w:rPr>
      </w:pPr>
      <w:r>
        <w:rPr>
          <w:rFonts w:eastAsia="仿宋_GB2312" w:hint="eastAsia"/>
          <w:bCs/>
          <w:sz w:val="32"/>
          <w:szCs w:val="32"/>
        </w:rPr>
        <w:t>基金管理人应当披露运营管理机构以及运营团队人员构成、管理规模、运营稳定性、历史和在管商业不动产项目情况，以及运营管理机构历史业绩等运营表现情况，充分说明运营管理机构的管理能力。</w:t>
      </w:r>
    </w:p>
    <w:p w14:paraId="13C4FD17" w14:textId="77777777" w:rsidR="005C45E9" w:rsidRDefault="00000000">
      <w:pPr>
        <w:pStyle w:val="Style3"/>
        <w:numPr>
          <w:ilvl w:val="0"/>
          <w:numId w:val="3"/>
        </w:numPr>
        <w:adjustRightInd w:val="0"/>
        <w:snapToGrid w:val="0"/>
        <w:spacing w:line="560" w:lineRule="exact"/>
        <w:rPr>
          <w:rFonts w:eastAsia="仿宋_GB2312"/>
          <w:bCs/>
          <w:sz w:val="32"/>
          <w:szCs w:val="32"/>
        </w:rPr>
      </w:pPr>
      <w:r>
        <w:rPr>
          <w:rFonts w:eastAsia="仿宋_GB2312" w:hint="eastAsia"/>
          <w:bCs/>
          <w:sz w:val="32"/>
          <w:szCs w:val="32"/>
        </w:rPr>
        <w:t>不动产项目涉及委托管理、特许经营等经营模式的，合作品牌方应当具备良好的声誉与履职能力，在相关领域具备丰富的运营管理经验和竞争优势，原则上合作已满</w:t>
      </w:r>
      <w:r>
        <w:rPr>
          <w:rFonts w:eastAsia="仿宋_GB2312" w:hint="eastAsia"/>
          <w:bCs/>
          <w:sz w:val="32"/>
          <w:szCs w:val="32"/>
        </w:rPr>
        <w:t>2</w:t>
      </w:r>
      <w:r>
        <w:rPr>
          <w:rFonts w:eastAsia="仿宋_GB2312" w:hint="eastAsia"/>
          <w:bCs/>
          <w:sz w:val="32"/>
          <w:szCs w:val="32"/>
        </w:rPr>
        <w:t>年。</w:t>
      </w:r>
    </w:p>
    <w:p w14:paraId="072E0F3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管理人应当披露不动产项目与品牌方的历史合作情况、协议期限、运营策略、运营管理分工安排、计费方式、业绩考核与激励机制等情况。存在协议剩余期限低于</w:t>
      </w:r>
      <w:r>
        <w:rPr>
          <w:rFonts w:eastAsia="仿宋_GB2312" w:hint="eastAsia"/>
          <w:bCs/>
          <w:sz w:val="32"/>
          <w:szCs w:val="32"/>
        </w:rPr>
        <w:t>3</w:t>
      </w:r>
      <w:r>
        <w:rPr>
          <w:rFonts w:eastAsia="仿宋_GB2312" w:hint="eastAsia"/>
          <w:bCs/>
          <w:sz w:val="32"/>
          <w:szCs w:val="32"/>
        </w:rPr>
        <w:t>年、合作模式曾发生较大变化等可能影响不动产项目稳定运营因素的，管理人应当说明原因和合理性，充分揭示风险，并设置风险缓释措施。</w:t>
      </w:r>
    </w:p>
    <w:p w14:paraId="0D0A3268"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基金管理人应当披露不动产项目运营管理费用收取情况，说明与运营业绩挂钩的激励约束机制及其合理性。</w:t>
      </w:r>
    </w:p>
    <w:p w14:paraId="5B3C8490"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不动产项目存在提升改造计划且对其运营可能产生影响的，管理人应当进一步披露涉及改造的资产范围、改造时间、改造成本，以及提升改造计划对收入的影响等。管理人应当结合不动产项目历史改造支出、建筑物和设备现状、提升改造目标等披露改造成本预算的合理性，并说明相关成本是否在估值以及现金</w:t>
      </w:r>
      <w:proofErr w:type="gramStart"/>
      <w:r>
        <w:rPr>
          <w:rFonts w:eastAsia="仿宋_GB2312" w:hint="eastAsia"/>
          <w:bCs/>
          <w:sz w:val="32"/>
          <w:szCs w:val="32"/>
        </w:rPr>
        <w:t>流预测</w:t>
      </w:r>
      <w:proofErr w:type="gramEnd"/>
      <w:r>
        <w:rPr>
          <w:rFonts w:eastAsia="仿宋_GB2312" w:hint="eastAsia"/>
          <w:bCs/>
          <w:sz w:val="32"/>
          <w:szCs w:val="32"/>
        </w:rPr>
        <w:t>中予以充分考虑。</w:t>
      </w:r>
    </w:p>
    <w:p w14:paraId="3BB67EC6" w14:textId="75B9C4DC" w:rsidR="005C45E9" w:rsidRDefault="00000000" w:rsidP="00324C76">
      <w:pPr>
        <w:tabs>
          <w:tab w:val="left" w:pos="709"/>
          <w:tab w:val="left" w:pos="993"/>
        </w:tabs>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改造成本由不动产基金以外的其他方承担的，管理人应当说明必要性、合理性。</w:t>
      </w:r>
    </w:p>
    <w:p w14:paraId="632A526F" w14:textId="77777777" w:rsidR="005C45E9" w:rsidRDefault="00000000">
      <w:pPr>
        <w:pStyle w:val="Style3"/>
        <w:numPr>
          <w:ilvl w:val="0"/>
          <w:numId w:val="3"/>
        </w:numPr>
        <w:spacing w:line="560" w:lineRule="exact"/>
        <w:rPr>
          <w:rFonts w:eastAsia="仿宋_GB2312"/>
          <w:bCs/>
          <w:sz w:val="32"/>
          <w:szCs w:val="32"/>
        </w:rPr>
      </w:pPr>
      <w:r>
        <w:rPr>
          <w:rFonts w:eastAsia="仿宋_GB2312" w:hint="eastAsia"/>
          <w:bCs/>
          <w:sz w:val="32"/>
          <w:szCs w:val="32"/>
        </w:rPr>
        <w:t>运营管理机构存在同业竞争情况的，基金管理人应当通过运营管理协议明确对运营管理机构的约束机制，防范同业竞争和利益冲突，保障投资者合法权益。</w:t>
      </w:r>
    </w:p>
    <w:p w14:paraId="69A96ABA" w14:textId="77777777" w:rsidR="005C45E9" w:rsidRDefault="00000000">
      <w:pPr>
        <w:rPr>
          <w:rFonts w:eastAsia="仿宋_GB2312"/>
          <w:b/>
          <w:sz w:val="32"/>
          <w:szCs w:val="32"/>
        </w:rPr>
      </w:pPr>
      <w:r>
        <w:rPr>
          <w:rFonts w:eastAsia="仿宋_GB2312"/>
          <w:b/>
          <w:sz w:val="32"/>
          <w:szCs w:val="32"/>
        </w:rPr>
        <w:br w:type="page"/>
      </w:r>
    </w:p>
    <w:p w14:paraId="23704BD2" w14:textId="77777777" w:rsidR="005C45E9" w:rsidRDefault="00000000">
      <w:pPr>
        <w:pStyle w:val="Style3"/>
        <w:adjustRightInd w:val="0"/>
        <w:snapToGrid w:val="0"/>
        <w:spacing w:line="560" w:lineRule="exact"/>
        <w:ind w:firstLine="0"/>
        <w:jc w:val="left"/>
        <w:rPr>
          <w:rFonts w:eastAsia="仿宋_GB2312"/>
          <w:b/>
          <w:sz w:val="32"/>
          <w:szCs w:val="32"/>
        </w:rPr>
      </w:pPr>
      <w:r>
        <w:rPr>
          <w:rFonts w:eastAsia="仿宋_GB2312"/>
          <w:b/>
          <w:sz w:val="32"/>
          <w:szCs w:val="32"/>
        </w:rPr>
        <w:t>附件：第</w:t>
      </w:r>
      <w:r>
        <w:rPr>
          <w:rFonts w:eastAsia="仿宋_GB2312" w:hint="eastAsia"/>
          <w:b/>
          <w:sz w:val="32"/>
          <w:szCs w:val="32"/>
        </w:rPr>
        <w:t>二</w:t>
      </w:r>
      <w:r>
        <w:rPr>
          <w:rFonts w:eastAsia="仿宋_GB2312"/>
          <w:b/>
          <w:sz w:val="32"/>
          <w:szCs w:val="32"/>
        </w:rPr>
        <w:t>号</w:t>
      </w:r>
      <w:r>
        <w:rPr>
          <w:rFonts w:eastAsia="仿宋_GB2312"/>
          <w:b/>
          <w:sz w:val="32"/>
          <w:szCs w:val="32"/>
        </w:rPr>
        <w:t>——</w:t>
      </w:r>
      <w:r>
        <w:rPr>
          <w:rFonts w:eastAsia="仿宋_GB2312"/>
          <w:b/>
          <w:sz w:val="32"/>
          <w:szCs w:val="32"/>
        </w:rPr>
        <w:t>租赁住房</w:t>
      </w:r>
    </w:p>
    <w:p w14:paraId="2619807F" w14:textId="77777777" w:rsidR="005C45E9" w:rsidRDefault="00000000">
      <w:pPr>
        <w:numPr>
          <w:ilvl w:val="255"/>
          <w:numId w:val="0"/>
        </w:numPr>
        <w:adjustRightInd w:val="0"/>
        <w:snapToGrid w:val="0"/>
        <w:spacing w:beforeLines="50" w:before="156" w:afterLines="50" w:after="156" w:line="600" w:lineRule="exact"/>
        <w:jc w:val="center"/>
        <w:outlineLvl w:val="1"/>
        <w:rPr>
          <w:rFonts w:eastAsia="方正大标宋简体"/>
          <w:bCs/>
          <w:sz w:val="44"/>
          <w:szCs w:val="44"/>
        </w:rPr>
      </w:pPr>
      <w:r>
        <w:rPr>
          <w:rFonts w:eastAsia="方正大标宋简体" w:hint="eastAsia"/>
          <w:bCs/>
          <w:sz w:val="44"/>
          <w:szCs w:val="44"/>
        </w:rPr>
        <w:t>第二号——租赁住房</w:t>
      </w:r>
    </w:p>
    <w:p w14:paraId="3B634D5F"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w:t>
      </w:r>
      <w:r>
        <w:rPr>
          <w:rFonts w:eastAsia="仿宋_GB2312" w:hint="eastAsia"/>
          <w:bCs/>
          <w:sz w:val="32"/>
          <w:szCs w:val="32"/>
        </w:rPr>
        <w:t>保障性</w:t>
      </w:r>
      <w:r>
        <w:rPr>
          <w:rFonts w:eastAsia="仿宋_GB2312"/>
          <w:bCs/>
          <w:sz w:val="32"/>
          <w:szCs w:val="32"/>
        </w:rPr>
        <w:t>租赁住房</w:t>
      </w:r>
      <w:r>
        <w:rPr>
          <w:rFonts w:eastAsia="仿宋_GB2312" w:hint="eastAsia"/>
          <w:bCs/>
          <w:sz w:val="32"/>
          <w:szCs w:val="32"/>
        </w:rPr>
        <w:t>、市场化租赁住房等租赁住房类不动产</w:t>
      </w:r>
      <w:r>
        <w:rPr>
          <w:rFonts w:eastAsia="仿宋_GB2312"/>
          <w:bCs/>
          <w:sz w:val="32"/>
          <w:szCs w:val="32"/>
        </w:rPr>
        <w:t>基金上市的审核、资产支持证券管理人向本所申请</w:t>
      </w:r>
      <w:r>
        <w:rPr>
          <w:rFonts w:eastAsia="仿宋_GB2312" w:hint="eastAsia"/>
          <w:bCs/>
          <w:sz w:val="32"/>
          <w:szCs w:val="32"/>
        </w:rPr>
        <w:t>不动产</w:t>
      </w:r>
      <w:r>
        <w:rPr>
          <w:rFonts w:eastAsia="仿宋_GB2312"/>
          <w:bCs/>
          <w:sz w:val="32"/>
          <w:szCs w:val="32"/>
        </w:rPr>
        <w:t>资产支持证券挂牌条件的确认事宜，适用本附件的规定。</w:t>
      </w:r>
    </w:p>
    <w:p w14:paraId="6B9C090E"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5C144C3B"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第一节</w:t>
      </w:r>
      <w:r>
        <w:rPr>
          <w:rFonts w:ascii="Times New Roman" w:hAnsi="Times New Roman"/>
          <w:b w:val="0"/>
          <w:bCs w:val="0"/>
          <w:color w:val="auto"/>
          <w:szCs w:val="32"/>
        </w:rPr>
        <w:t xml:space="preserve"> </w:t>
      </w:r>
      <w:r>
        <w:rPr>
          <w:rFonts w:ascii="Times New Roman" w:hAnsi="Times New Roman" w:hint="eastAsia"/>
          <w:b w:val="0"/>
          <w:bCs w:val="0"/>
          <w:color w:val="auto"/>
          <w:szCs w:val="32"/>
        </w:rPr>
        <w:t>不动产项目基本情况</w:t>
      </w:r>
    </w:p>
    <w:p w14:paraId="11BD4DE0"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管理人应当按照本指引第三章第二节的规定披露</w:t>
      </w:r>
      <w:r>
        <w:rPr>
          <w:rFonts w:eastAsia="仿宋_GB2312" w:hint="eastAsia"/>
          <w:bCs/>
          <w:sz w:val="32"/>
          <w:szCs w:val="32"/>
        </w:rPr>
        <w:t>不动产</w:t>
      </w:r>
      <w:r>
        <w:rPr>
          <w:rFonts w:eastAsia="仿宋_GB2312"/>
          <w:bCs/>
          <w:sz w:val="32"/>
          <w:szCs w:val="32"/>
        </w:rPr>
        <w:t>项目经营与财务情况，并披露下列基本情况：</w:t>
      </w:r>
    </w:p>
    <w:p w14:paraId="26614712"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hint="eastAsia"/>
          <w:bCs/>
          <w:sz w:val="32"/>
          <w:szCs w:val="32"/>
        </w:rPr>
        <w:t>（一）项目名称、业态、所在区域、运营起始时间等</w:t>
      </w:r>
      <w:r>
        <w:rPr>
          <w:rFonts w:eastAsia="仿宋_GB2312"/>
          <w:bCs/>
          <w:sz w:val="32"/>
          <w:szCs w:val="32"/>
        </w:rPr>
        <w:t>；</w:t>
      </w:r>
    </w:p>
    <w:p w14:paraId="7CF035F5"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hint="eastAsia"/>
          <w:bCs/>
          <w:sz w:val="32"/>
          <w:szCs w:val="32"/>
        </w:rPr>
        <w:t>（二）</w:t>
      </w:r>
      <w:r>
        <w:rPr>
          <w:rFonts w:eastAsia="仿宋_GB2312"/>
          <w:bCs/>
          <w:sz w:val="32"/>
          <w:szCs w:val="32"/>
        </w:rPr>
        <w:t>资产范围，包括不动产</w:t>
      </w:r>
      <w:r>
        <w:rPr>
          <w:rFonts w:eastAsia="仿宋_GB2312" w:hint="eastAsia"/>
          <w:bCs/>
          <w:sz w:val="32"/>
          <w:szCs w:val="32"/>
        </w:rPr>
        <w:t>项目相关建筑物的不动产</w:t>
      </w:r>
      <w:r>
        <w:rPr>
          <w:rFonts w:eastAsia="仿宋_GB2312"/>
          <w:bCs/>
          <w:sz w:val="32"/>
          <w:szCs w:val="32"/>
        </w:rPr>
        <w:t>所有权以及</w:t>
      </w:r>
      <w:r>
        <w:rPr>
          <w:rFonts w:eastAsia="仿宋_GB2312" w:hint="eastAsia"/>
          <w:bCs/>
          <w:sz w:val="32"/>
          <w:szCs w:val="32"/>
        </w:rPr>
        <w:t>对应</w:t>
      </w:r>
      <w:r>
        <w:rPr>
          <w:rFonts w:eastAsia="仿宋_GB2312"/>
          <w:bCs/>
          <w:sz w:val="32"/>
          <w:szCs w:val="32"/>
        </w:rPr>
        <w:t>的土地使用权，配套商业、配套停车场等附属设施</w:t>
      </w:r>
      <w:r>
        <w:rPr>
          <w:rFonts w:eastAsia="仿宋_GB2312" w:hint="eastAsia"/>
          <w:bCs/>
          <w:sz w:val="32"/>
          <w:szCs w:val="32"/>
        </w:rPr>
        <w:t>（如有），共用、</w:t>
      </w:r>
      <w:r>
        <w:rPr>
          <w:rFonts w:eastAsia="仿宋_GB2312"/>
          <w:bCs/>
          <w:sz w:val="32"/>
          <w:szCs w:val="32"/>
        </w:rPr>
        <w:t>共有资产</w:t>
      </w:r>
      <w:r>
        <w:rPr>
          <w:rFonts w:eastAsia="仿宋_GB2312" w:hint="eastAsia"/>
          <w:bCs/>
          <w:sz w:val="32"/>
          <w:szCs w:val="32"/>
        </w:rPr>
        <w:t>（如有）</w:t>
      </w:r>
      <w:r>
        <w:rPr>
          <w:rFonts w:eastAsia="仿宋_GB2312"/>
          <w:bCs/>
          <w:sz w:val="32"/>
          <w:szCs w:val="32"/>
        </w:rPr>
        <w:t>等；</w:t>
      </w:r>
    </w:p>
    <w:p w14:paraId="2652EF97"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hint="eastAsia"/>
          <w:bCs/>
          <w:sz w:val="32"/>
          <w:szCs w:val="32"/>
        </w:rPr>
        <w:t>（三）</w:t>
      </w:r>
      <w:r>
        <w:rPr>
          <w:rFonts w:eastAsia="仿宋_GB2312"/>
          <w:bCs/>
          <w:sz w:val="32"/>
          <w:szCs w:val="32"/>
        </w:rPr>
        <w:t>区域基本情况，包括与租赁住房行业相关的核心经济指标、区域人口流入情况、区域租赁住房市场供需情况、当地</w:t>
      </w:r>
      <w:r>
        <w:rPr>
          <w:rFonts w:eastAsia="仿宋_GB2312" w:hint="eastAsia"/>
          <w:bCs/>
          <w:sz w:val="32"/>
          <w:szCs w:val="32"/>
        </w:rPr>
        <w:t>有关</w:t>
      </w:r>
      <w:r>
        <w:rPr>
          <w:rFonts w:eastAsia="仿宋_GB2312"/>
          <w:bCs/>
          <w:sz w:val="32"/>
          <w:szCs w:val="32"/>
        </w:rPr>
        <w:t>政策规定以及主要内容（如有）等；</w:t>
      </w:r>
    </w:p>
    <w:p w14:paraId="56BE49CC"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hint="eastAsia"/>
          <w:bCs/>
          <w:sz w:val="32"/>
          <w:szCs w:val="32"/>
        </w:rPr>
        <w:t>（四）</w:t>
      </w:r>
      <w:r>
        <w:rPr>
          <w:rFonts w:eastAsia="仿宋_GB2312"/>
          <w:bCs/>
          <w:sz w:val="32"/>
          <w:szCs w:val="32"/>
        </w:rPr>
        <w:t>区域发展情况，包括</w:t>
      </w:r>
      <w:r>
        <w:rPr>
          <w:rFonts w:eastAsia="仿宋_GB2312" w:hint="eastAsia"/>
          <w:bCs/>
          <w:sz w:val="32"/>
          <w:szCs w:val="32"/>
        </w:rPr>
        <w:t>周边</w:t>
      </w:r>
      <w:r>
        <w:rPr>
          <w:rFonts w:eastAsia="仿宋_GB2312"/>
          <w:bCs/>
          <w:sz w:val="32"/>
          <w:szCs w:val="32"/>
        </w:rPr>
        <w:t>交通通达情况、与租户</w:t>
      </w:r>
      <w:r>
        <w:rPr>
          <w:rFonts w:eastAsia="仿宋_GB2312" w:hint="eastAsia"/>
          <w:bCs/>
          <w:sz w:val="32"/>
          <w:szCs w:val="32"/>
        </w:rPr>
        <w:t>特征</w:t>
      </w:r>
      <w:r>
        <w:rPr>
          <w:rFonts w:eastAsia="仿宋_GB2312"/>
          <w:bCs/>
          <w:sz w:val="32"/>
          <w:szCs w:val="32"/>
        </w:rPr>
        <w:t>匹配的周边产业情况、商业配套等经营性设施情况、公共服务设施情况、周边租赁住房价格、配售</w:t>
      </w:r>
      <w:proofErr w:type="gramStart"/>
      <w:r>
        <w:rPr>
          <w:rFonts w:eastAsia="仿宋_GB2312"/>
          <w:bCs/>
          <w:sz w:val="32"/>
          <w:szCs w:val="32"/>
        </w:rPr>
        <w:t>型保障</w:t>
      </w:r>
      <w:proofErr w:type="gramEnd"/>
      <w:r>
        <w:rPr>
          <w:rFonts w:eastAsia="仿宋_GB2312"/>
          <w:bCs/>
          <w:sz w:val="32"/>
          <w:szCs w:val="32"/>
        </w:rPr>
        <w:t>性住房建设情况等；</w:t>
      </w:r>
    </w:p>
    <w:p w14:paraId="5D21FE0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w:t>
      </w:r>
      <w:r>
        <w:rPr>
          <w:rFonts w:eastAsia="仿宋_GB2312" w:hint="eastAsia"/>
          <w:bCs/>
          <w:sz w:val="32"/>
          <w:szCs w:val="32"/>
        </w:rPr>
        <w:t>不动产</w:t>
      </w:r>
      <w:r>
        <w:rPr>
          <w:rFonts w:eastAsia="仿宋_GB2312"/>
          <w:bCs/>
          <w:sz w:val="32"/>
          <w:szCs w:val="32"/>
        </w:rPr>
        <w:t>项目所处区域规划中、拟建、在建、拟开业与已开业的同类</w:t>
      </w:r>
      <w:r>
        <w:rPr>
          <w:rFonts w:eastAsia="仿宋_GB2312" w:hint="eastAsia"/>
          <w:bCs/>
          <w:sz w:val="32"/>
          <w:szCs w:val="32"/>
        </w:rPr>
        <w:t>不动产</w:t>
      </w:r>
      <w:r>
        <w:rPr>
          <w:rFonts w:eastAsia="仿宋_GB2312"/>
          <w:bCs/>
          <w:sz w:val="32"/>
          <w:szCs w:val="32"/>
        </w:rPr>
        <w:t>项目情况，以及对本</w:t>
      </w:r>
      <w:r>
        <w:rPr>
          <w:rFonts w:eastAsia="仿宋_GB2312" w:hint="eastAsia"/>
          <w:bCs/>
          <w:sz w:val="32"/>
          <w:szCs w:val="32"/>
        </w:rPr>
        <w:t>不动产项目</w:t>
      </w:r>
      <w:r>
        <w:rPr>
          <w:rFonts w:eastAsia="仿宋_GB2312"/>
          <w:bCs/>
          <w:sz w:val="32"/>
          <w:szCs w:val="32"/>
        </w:rPr>
        <w:t>的影响；</w:t>
      </w:r>
    </w:p>
    <w:p w14:paraId="7C1C755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（六）其他对</w:t>
      </w:r>
      <w:proofErr w:type="gramStart"/>
      <w:r>
        <w:rPr>
          <w:rFonts w:eastAsia="仿宋_GB2312"/>
          <w:bCs/>
          <w:sz w:val="32"/>
          <w:szCs w:val="32"/>
        </w:rPr>
        <w:t>作出</w:t>
      </w:r>
      <w:proofErr w:type="gramEnd"/>
      <w:r>
        <w:rPr>
          <w:rFonts w:eastAsia="仿宋_GB2312"/>
          <w:bCs/>
          <w:sz w:val="32"/>
          <w:szCs w:val="32"/>
        </w:rPr>
        <w:t>投资决策有重大影响的事项。</w:t>
      </w:r>
    </w:p>
    <w:p w14:paraId="6ACD8588"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w:t>
      </w:r>
      <w:r>
        <w:rPr>
          <w:rFonts w:eastAsia="仿宋_GB2312" w:hint="eastAsia"/>
          <w:bCs/>
          <w:sz w:val="32"/>
          <w:szCs w:val="32"/>
        </w:rPr>
        <w:t>的</w:t>
      </w:r>
      <w:r>
        <w:rPr>
          <w:rFonts w:eastAsia="仿宋_GB2312"/>
          <w:bCs/>
          <w:sz w:val="32"/>
          <w:szCs w:val="32"/>
        </w:rPr>
        <w:t>土地性质、土地使用权取得方式、剩余期限及其确定依据。律师应当对</w:t>
      </w:r>
      <w:r>
        <w:rPr>
          <w:rFonts w:eastAsia="仿宋_GB2312" w:hint="eastAsia"/>
          <w:bCs/>
          <w:sz w:val="32"/>
          <w:szCs w:val="32"/>
        </w:rPr>
        <w:t>不动产</w:t>
      </w:r>
      <w:r>
        <w:rPr>
          <w:rFonts w:eastAsia="仿宋_GB2312"/>
          <w:bCs/>
          <w:sz w:val="32"/>
          <w:szCs w:val="32"/>
        </w:rPr>
        <w:t>土地使用权取得方式的合法合</w:t>
      </w:r>
      <w:proofErr w:type="gramStart"/>
      <w:r>
        <w:rPr>
          <w:rFonts w:eastAsia="仿宋_GB2312"/>
          <w:bCs/>
          <w:sz w:val="32"/>
          <w:szCs w:val="32"/>
        </w:rPr>
        <w:t>规性发表</w:t>
      </w:r>
      <w:proofErr w:type="gramEnd"/>
      <w:r>
        <w:rPr>
          <w:rFonts w:eastAsia="仿宋_GB2312"/>
          <w:bCs/>
          <w:sz w:val="32"/>
          <w:szCs w:val="32"/>
        </w:rPr>
        <w:t>明确法律意见。</w:t>
      </w:r>
    </w:p>
    <w:p w14:paraId="69889BD4"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项目涉及由商品房、商业办公用房、工业用房等非租赁住房改造为租赁住房，或者存在</w:t>
      </w:r>
      <w:r>
        <w:rPr>
          <w:rFonts w:eastAsia="仿宋_GB2312" w:hint="eastAsia"/>
          <w:bCs/>
          <w:sz w:val="32"/>
          <w:szCs w:val="32"/>
        </w:rPr>
        <w:t>不动产</w:t>
      </w:r>
      <w:r>
        <w:rPr>
          <w:rFonts w:eastAsia="仿宋_GB2312"/>
          <w:bCs/>
          <w:sz w:val="32"/>
          <w:szCs w:val="32"/>
        </w:rPr>
        <w:t>土地实际用途与建设规划文件、土地使用权出让等有偿使用合同所载土地用途不一致情形的，管理人和律师应当核查土地实际用途是否符合主管部门</w:t>
      </w:r>
      <w:r>
        <w:rPr>
          <w:rFonts w:eastAsia="仿宋_GB2312" w:hint="eastAsia"/>
          <w:bCs/>
          <w:sz w:val="32"/>
          <w:szCs w:val="32"/>
        </w:rPr>
        <w:t>有关</w:t>
      </w:r>
      <w:r>
        <w:rPr>
          <w:rFonts w:eastAsia="仿宋_GB2312"/>
          <w:bCs/>
          <w:sz w:val="32"/>
          <w:szCs w:val="32"/>
        </w:rPr>
        <w:t>用地规划、行业政策等要求，并发表明确意见。管理人应当充分揭示</w:t>
      </w:r>
      <w:r>
        <w:rPr>
          <w:rFonts w:eastAsia="仿宋_GB2312" w:hint="eastAsia"/>
          <w:bCs/>
          <w:sz w:val="32"/>
          <w:szCs w:val="32"/>
        </w:rPr>
        <w:t>不动产</w:t>
      </w:r>
      <w:r>
        <w:rPr>
          <w:rFonts w:eastAsia="仿宋_GB2312"/>
          <w:bCs/>
          <w:sz w:val="32"/>
          <w:szCs w:val="32"/>
        </w:rPr>
        <w:t>土地实际用途与规划用途不一致所产生的风险，并设置风险缓释措施。涉及需要补签或者重新签订土地使用权出让等有偿使用合同、补缴土地出让金等事项的，应当在</w:t>
      </w:r>
      <w:r>
        <w:rPr>
          <w:rFonts w:eastAsia="仿宋_GB2312" w:hint="eastAsia"/>
          <w:bCs/>
          <w:sz w:val="32"/>
          <w:szCs w:val="32"/>
        </w:rPr>
        <w:t>不动产</w:t>
      </w:r>
      <w:r>
        <w:rPr>
          <w:rFonts w:eastAsia="仿宋_GB2312"/>
          <w:bCs/>
          <w:sz w:val="32"/>
          <w:szCs w:val="32"/>
        </w:rPr>
        <w:t>基金注册前完成</w:t>
      </w:r>
      <w:r>
        <w:rPr>
          <w:rFonts w:eastAsia="仿宋_GB2312" w:hint="eastAsia"/>
          <w:bCs/>
          <w:sz w:val="32"/>
          <w:szCs w:val="32"/>
        </w:rPr>
        <w:t>或者</w:t>
      </w:r>
      <w:proofErr w:type="gramStart"/>
      <w:r>
        <w:rPr>
          <w:rFonts w:eastAsia="仿宋_GB2312" w:hint="eastAsia"/>
          <w:bCs/>
          <w:sz w:val="32"/>
          <w:szCs w:val="32"/>
        </w:rPr>
        <w:t>作出</w:t>
      </w:r>
      <w:proofErr w:type="gramEnd"/>
      <w:r>
        <w:rPr>
          <w:rFonts w:eastAsia="仿宋_GB2312" w:hint="eastAsia"/>
          <w:bCs/>
          <w:sz w:val="32"/>
          <w:szCs w:val="32"/>
        </w:rPr>
        <w:t>相关安排</w:t>
      </w:r>
      <w:r>
        <w:rPr>
          <w:rFonts w:eastAsia="仿宋_GB2312"/>
          <w:bCs/>
          <w:sz w:val="32"/>
          <w:szCs w:val="32"/>
        </w:rPr>
        <w:t>。</w:t>
      </w:r>
    </w:p>
    <w:p w14:paraId="38CF03BC"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项目的转让应当符合租赁住房有关法律法规和政策文件的要求。</w:t>
      </w:r>
    </w:p>
    <w:p w14:paraId="78CF1677"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不动产项目</w:t>
      </w:r>
      <w:r>
        <w:rPr>
          <w:rFonts w:eastAsia="仿宋_GB2312"/>
          <w:bCs/>
          <w:sz w:val="32"/>
          <w:szCs w:val="32"/>
        </w:rPr>
        <w:t>涉及保障性租赁住房</w:t>
      </w:r>
      <w:r>
        <w:rPr>
          <w:rFonts w:eastAsia="仿宋_GB2312" w:hint="eastAsia"/>
          <w:bCs/>
          <w:sz w:val="32"/>
          <w:szCs w:val="32"/>
        </w:rPr>
        <w:t>业态</w:t>
      </w:r>
      <w:r>
        <w:rPr>
          <w:rFonts w:eastAsia="仿宋_GB2312"/>
          <w:bCs/>
          <w:sz w:val="32"/>
          <w:szCs w:val="32"/>
        </w:rPr>
        <w:t>，以及竞</w:t>
      </w:r>
      <w:proofErr w:type="gramStart"/>
      <w:r>
        <w:rPr>
          <w:rFonts w:eastAsia="仿宋_GB2312"/>
          <w:bCs/>
          <w:sz w:val="32"/>
          <w:szCs w:val="32"/>
        </w:rPr>
        <w:t>自持</w:t>
      </w:r>
      <w:proofErr w:type="gramEnd"/>
      <w:r>
        <w:rPr>
          <w:rFonts w:eastAsia="仿宋_GB2312"/>
          <w:bCs/>
          <w:sz w:val="32"/>
          <w:szCs w:val="32"/>
        </w:rPr>
        <w:t>、竞配建的租赁住房等情形的，管理人和律师应当核查</w:t>
      </w:r>
      <w:r>
        <w:rPr>
          <w:rFonts w:eastAsia="仿宋_GB2312" w:hint="eastAsia"/>
          <w:bCs/>
          <w:sz w:val="32"/>
          <w:szCs w:val="32"/>
        </w:rPr>
        <w:t>不动产项目</w:t>
      </w:r>
      <w:r>
        <w:rPr>
          <w:rFonts w:eastAsia="仿宋_GB2312"/>
          <w:bCs/>
          <w:sz w:val="32"/>
          <w:szCs w:val="32"/>
        </w:rPr>
        <w:t>转让是否符合</w:t>
      </w:r>
      <w:r>
        <w:rPr>
          <w:rFonts w:eastAsia="仿宋_GB2312" w:hint="eastAsia"/>
          <w:bCs/>
          <w:sz w:val="32"/>
          <w:szCs w:val="32"/>
        </w:rPr>
        <w:t>有关</w:t>
      </w:r>
      <w:r>
        <w:rPr>
          <w:rFonts w:eastAsia="仿宋_GB2312"/>
          <w:bCs/>
          <w:sz w:val="32"/>
          <w:szCs w:val="32"/>
        </w:rPr>
        <w:t>规定或者约定。</w:t>
      </w:r>
    </w:p>
    <w:p w14:paraId="3B9DC4E6"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hint="eastAsia"/>
          <w:bCs/>
          <w:sz w:val="32"/>
          <w:szCs w:val="32"/>
        </w:rPr>
        <w:t>管理人应当</w:t>
      </w:r>
      <w:r>
        <w:rPr>
          <w:rFonts w:eastAsia="仿宋_GB2312"/>
          <w:bCs/>
          <w:sz w:val="32"/>
          <w:szCs w:val="32"/>
        </w:rPr>
        <w:t>区分资产</w:t>
      </w:r>
      <w:r>
        <w:rPr>
          <w:rFonts w:eastAsia="仿宋_GB2312" w:hint="eastAsia"/>
          <w:bCs/>
          <w:sz w:val="32"/>
          <w:szCs w:val="32"/>
        </w:rPr>
        <w:t>业态</w:t>
      </w:r>
      <w:r>
        <w:rPr>
          <w:rFonts w:eastAsia="仿宋_GB2312"/>
          <w:bCs/>
          <w:sz w:val="32"/>
          <w:szCs w:val="32"/>
        </w:rPr>
        <w:t>披露</w:t>
      </w:r>
      <w:r>
        <w:rPr>
          <w:rFonts w:eastAsia="仿宋_GB2312" w:hint="eastAsia"/>
          <w:bCs/>
          <w:sz w:val="32"/>
          <w:szCs w:val="32"/>
        </w:rPr>
        <w:t>不动产</w:t>
      </w:r>
      <w:r>
        <w:rPr>
          <w:rFonts w:eastAsia="仿宋_GB2312"/>
          <w:bCs/>
          <w:sz w:val="32"/>
          <w:szCs w:val="32"/>
        </w:rPr>
        <w:t>项目下列基本情况：</w:t>
      </w:r>
    </w:p>
    <w:p w14:paraId="2E97742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w:t>
      </w:r>
      <w:r>
        <w:rPr>
          <w:rFonts w:eastAsia="仿宋_GB2312" w:hint="eastAsia"/>
          <w:bCs/>
          <w:sz w:val="32"/>
          <w:szCs w:val="32"/>
        </w:rPr>
        <w:t>不动产项目</w:t>
      </w:r>
      <w:r>
        <w:rPr>
          <w:rFonts w:eastAsia="仿宋_GB2312"/>
          <w:bCs/>
          <w:sz w:val="32"/>
          <w:szCs w:val="32"/>
        </w:rPr>
        <w:t>涉及保障性租赁住房</w:t>
      </w:r>
      <w:r>
        <w:rPr>
          <w:rFonts w:eastAsia="仿宋_GB2312" w:hint="eastAsia"/>
          <w:bCs/>
          <w:sz w:val="32"/>
          <w:szCs w:val="32"/>
        </w:rPr>
        <w:t>业态</w:t>
      </w:r>
      <w:r>
        <w:rPr>
          <w:rFonts w:eastAsia="仿宋_GB2312"/>
          <w:bCs/>
          <w:sz w:val="32"/>
          <w:szCs w:val="32"/>
        </w:rPr>
        <w:t>的，管理人应当披露认定依据</w:t>
      </w:r>
      <w:r>
        <w:rPr>
          <w:rFonts w:eastAsia="仿宋_GB2312"/>
          <w:bCs/>
          <w:sz w:val="32"/>
          <w:szCs w:val="32"/>
          <w:lang w:eastAsia="zh"/>
        </w:rPr>
        <w:t>，</w:t>
      </w:r>
      <w:r>
        <w:rPr>
          <w:rFonts w:eastAsia="仿宋_GB2312"/>
          <w:bCs/>
          <w:sz w:val="32"/>
          <w:szCs w:val="32"/>
        </w:rPr>
        <w:t>管理人和律师应当说明配</w:t>
      </w:r>
      <w:proofErr w:type="gramStart"/>
      <w:r>
        <w:rPr>
          <w:rFonts w:eastAsia="仿宋_GB2312"/>
          <w:bCs/>
          <w:sz w:val="32"/>
          <w:szCs w:val="32"/>
        </w:rPr>
        <w:t>租或者</w:t>
      </w:r>
      <w:proofErr w:type="gramEnd"/>
      <w:r>
        <w:rPr>
          <w:rFonts w:eastAsia="仿宋_GB2312"/>
          <w:bCs/>
          <w:sz w:val="32"/>
          <w:szCs w:val="32"/>
        </w:rPr>
        <w:t>招租对象、建筑面积等是否符合国家以及</w:t>
      </w:r>
      <w:r>
        <w:rPr>
          <w:rFonts w:eastAsia="仿宋_GB2312" w:hint="eastAsia"/>
          <w:bCs/>
          <w:sz w:val="32"/>
          <w:szCs w:val="32"/>
        </w:rPr>
        <w:t>不动产</w:t>
      </w:r>
      <w:r>
        <w:rPr>
          <w:rFonts w:eastAsia="仿宋_GB2312"/>
          <w:bCs/>
          <w:sz w:val="32"/>
          <w:szCs w:val="32"/>
        </w:rPr>
        <w:t>所在地</w:t>
      </w:r>
      <w:r>
        <w:rPr>
          <w:rFonts w:eastAsia="仿宋_GB2312" w:hint="eastAsia"/>
          <w:bCs/>
          <w:sz w:val="32"/>
          <w:szCs w:val="32"/>
        </w:rPr>
        <w:t>有关</w:t>
      </w:r>
      <w:r>
        <w:rPr>
          <w:rFonts w:eastAsia="仿宋_GB2312"/>
          <w:bCs/>
          <w:sz w:val="32"/>
          <w:szCs w:val="32"/>
        </w:rPr>
        <w:t>政策规定；</w:t>
      </w:r>
    </w:p>
    <w:p w14:paraId="0350231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w:t>
      </w:r>
      <w:r>
        <w:rPr>
          <w:rFonts w:eastAsia="仿宋_GB2312" w:hint="eastAsia"/>
          <w:bCs/>
          <w:sz w:val="32"/>
          <w:szCs w:val="32"/>
        </w:rPr>
        <w:t>不动产项目</w:t>
      </w:r>
      <w:r>
        <w:rPr>
          <w:rFonts w:eastAsia="仿宋_GB2312"/>
          <w:bCs/>
          <w:sz w:val="32"/>
          <w:szCs w:val="32"/>
        </w:rPr>
        <w:t>涉及市场化租赁住房、以市场化方式招租的保障性租赁住房</w:t>
      </w:r>
      <w:r>
        <w:rPr>
          <w:rFonts w:eastAsia="仿宋_GB2312" w:hint="eastAsia"/>
          <w:bCs/>
          <w:sz w:val="32"/>
          <w:szCs w:val="32"/>
        </w:rPr>
        <w:t>业态</w:t>
      </w:r>
      <w:r>
        <w:rPr>
          <w:rFonts w:eastAsia="仿宋_GB2312"/>
          <w:bCs/>
          <w:sz w:val="32"/>
          <w:szCs w:val="32"/>
        </w:rPr>
        <w:t>的，管理人应当披露产品定位</w:t>
      </w:r>
      <w:r>
        <w:rPr>
          <w:rFonts w:eastAsia="仿宋_GB2312" w:hint="eastAsia"/>
          <w:bCs/>
          <w:sz w:val="32"/>
          <w:szCs w:val="32"/>
        </w:rPr>
        <w:t>，</w:t>
      </w:r>
      <w:r>
        <w:rPr>
          <w:rFonts w:eastAsia="仿宋_GB2312"/>
          <w:bCs/>
          <w:sz w:val="32"/>
          <w:szCs w:val="32"/>
        </w:rPr>
        <w:t>原始权益人以及运营主体</w:t>
      </w:r>
      <w:r>
        <w:rPr>
          <w:rFonts w:eastAsia="仿宋_GB2312" w:hint="eastAsia"/>
          <w:bCs/>
          <w:sz w:val="32"/>
          <w:szCs w:val="32"/>
        </w:rPr>
        <w:t>的</w:t>
      </w:r>
      <w:r>
        <w:rPr>
          <w:rFonts w:eastAsia="仿宋_GB2312"/>
          <w:bCs/>
          <w:sz w:val="32"/>
          <w:szCs w:val="32"/>
        </w:rPr>
        <w:t>行业背景和地位、租赁管理能力、在管房源规模等情况</w:t>
      </w:r>
      <w:r>
        <w:rPr>
          <w:rFonts w:eastAsia="仿宋_GB2312" w:hint="eastAsia"/>
          <w:bCs/>
          <w:sz w:val="32"/>
          <w:szCs w:val="32"/>
        </w:rPr>
        <w:t>。</w:t>
      </w:r>
    </w:p>
    <w:p w14:paraId="345FB75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主要原始权益人控股股东或者其关联</w:t>
      </w:r>
      <w:proofErr w:type="gramStart"/>
      <w:r>
        <w:rPr>
          <w:rFonts w:eastAsia="仿宋_GB2312" w:hint="eastAsia"/>
          <w:bCs/>
          <w:sz w:val="32"/>
          <w:szCs w:val="32"/>
        </w:rPr>
        <w:t>方业务</w:t>
      </w:r>
      <w:proofErr w:type="gramEnd"/>
      <w:r>
        <w:rPr>
          <w:rFonts w:eastAsia="仿宋_GB2312" w:hint="eastAsia"/>
          <w:bCs/>
          <w:sz w:val="32"/>
          <w:szCs w:val="32"/>
        </w:rPr>
        <w:t>范围涉及商品住宅和商业地产开发的，主要原始权益人应当在资产、业务、财务、人员和机构等方面与商品住宅和商业地产开发业务有效隔离，保持相对独立。主要原始权益人和管理人应当采取有效措施，切实防范回收资金流入商品住宅或者商业地产开发领域。前述商业地产开发领域不包括商业不动产、租赁住房等中国证监会认为可以发行不动产基金的行业范围</w:t>
      </w:r>
      <w:r>
        <w:rPr>
          <w:rFonts w:eastAsia="仿宋_GB2312"/>
          <w:bCs/>
          <w:sz w:val="32"/>
          <w:szCs w:val="32"/>
        </w:rPr>
        <w:t>。</w:t>
      </w:r>
    </w:p>
    <w:p w14:paraId="5708AFF0"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第二节</w:t>
      </w:r>
      <w:r>
        <w:rPr>
          <w:rFonts w:ascii="Times New Roman" w:hAnsi="Times New Roman"/>
          <w:b w:val="0"/>
          <w:bCs w:val="0"/>
          <w:color w:val="auto"/>
          <w:szCs w:val="32"/>
        </w:rPr>
        <w:t xml:space="preserve"> </w:t>
      </w:r>
      <w:r>
        <w:rPr>
          <w:rFonts w:ascii="Times New Roman" w:hAnsi="Times New Roman" w:hint="eastAsia"/>
          <w:b w:val="0"/>
          <w:bCs w:val="0"/>
          <w:color w:val="auto"/>
          <w:szCs w:val="32"/>
        </w:rPr>
        <w:t>不动产项目经营与财务情况</w:t>
      </w:r>
    </w:p>
    <w:p w14:paraId="0352714B"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项目的下列经营情况：</w:t>
      </w:r>
    </w:p>
    <w:p w14:paraId="0CD0FB54"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（一）运营模式，包括招租或者配租方式</w:t>
      </w:r>
      <w:r>
        <w:rPr>
          <w:rFonts w:eastAsia="仿宋_GB2312" w:hint="eastAsia"/>
          <w:bCs/>
          <w:sz w:val="32"/>
          <w:szCs w:val="32"/>
        </w:rPr>
        <w:t>，</w:t>
      </w:r>
      <w:r>
        <w:rPr>
          <w:rFonts w:eastAsia="仿宋_GB2312"/>
          <w:bCs/>
          <w:sz w:val="32"/>
          <w:szCs w:val="32"/>
        </w:rPr>
        <w:t>租金管理、租约管理以及相应工作流程，趸租（如有）、企业和个人租户租金收入占比和面积占比</w:t>
      </w:r>
      <w:r>
        <w:rPr>
          <w:rFonts w:eastAsia="仿宋_GB2312" w:hint="eastAsia"/>
          <w:bCs/>
          <w:sz w:val="32"/>
          <w:szCs w:val="32"/>
        </w:rPr>
        <w:t>，</w:t>
      </w:r>
      <w:r>
        <w:rPr>
          <w:rFonts w:eastAsia="仿宋_GB2312"/>
          <w:bCs/>
          <w:sz w:val="32"/>
          <w:szCs w:val="32"/>
        </w:rPr>
        <w:t>以及对应签约租金单价情况，租赁业务以及商业、停车等非租赁业务（如有）的情况</w:t>
      </w:r>
      <w:r>
        <w:rPr>
          <w:rFonts w:eastAsia="仿宋_GB2312" w:hint="eastAsia"/>
          <w:bCs/>
          <w:sz w:val="32"/>
          <w:szCs w:val="32"/>
        </w:rPr>
        <w:t>；</w:t>
      </w:r>
      <w:r>
        <w:rPr>
          <w:rFonts w:eastAsia="仿宋_GB2312"/>
          <w:bCs/>
          <w:sz w:val="32"/>
          <w:szCs w:val="32"/>
        </w:rPr>
        <w:t>涉及摇号或者轮候配租的，应当披露相关工作开展频次和工作程序，以及</w:t>
      </w:r>
      <w:proofErr w:type="gramStart"/>
      <w:r>
        <w:rPr>
          <w:rFonts w:eastAsia="仿宋_GB2312"/>
          <w:bCs/>
          <w:sz w:val="32"/>
          <w:szCs w:val="32"/>
        </w:rPr>
        <w:t>截至尽调基准</w:t>
      </w:r>
      <w:proofErr w:type="gramEnd"/>
      <w:r>
        <w:rPr>
          <w:rFonts w:eastAsia="仿宋_GB2312"/>
          <w:bCs/>
          <w:sz w:val="32"/>
          <w:szCs w:val="32"/>
        </w:rPr>
        <w:t>日意向租户摇号或者轮</w:t>
      </w:r>
      <w:proofErr w:type="gramStart"/>
      <w:r>
        <w:rPr>
          <w:rFonts w:eastAsia="仿宋_GB2312"/>
          <w:bCs/>
          <w:sz w:val="32"/>
          <w:szCs w:val="32"/>
        </w:rPr>
        <w:t>候情况</w:t>
      </w:r>
      <w:proofErr w:type="gramEnd"/>
      <w:r>
        <w:rPr>
          <w:rFonts w:eastAsia="仿宋_GB2312"/>
          <w:bCs/>
          <w:sz w:val="32"/>
          <w:szCs w:val="32"/>
        </w:rPr>
        <w:t>等；</w:t>
      </w:r>
    </w:p>
    <w:p w14:paraId="48467805"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（二）运营收入情况，包括租金收入、物业管理收入、个性化增值服务收入（如有）以及其他配套收入等及其占比情况</w:t>
      </w:r>
      <w:r>
        <w:rPr>
          <w:rFonts w:eastAsia="仿宋_GB2312"/>
          <w:bCs/>
          <w:sz w:val="32"/>
          <w:szCs w:val="32"/>
          <w:lang w:eastAsia="zh"/>
        </w:rPr>
        <w:t>；</w:t>
      </w:r>
      <w:r>
        <w:rPr>
          <w:rFonts w:eastAsia="仿宋_GB2312"/>
          <w:bCs/>
          <w:sz w:val="32"/>
          <w:szCs w:val="32"/>
        </w:rPr>
        <w:t>存在非租金收入的，管理人应当核查相关收入水平是否符合行业交易习惯；</w:t>
      </w:r>
    </w:p>
    <w:p w14:paraId="5277329F"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（三）成本构成情况，包括人工成本、运营管理成本、维修改造成本、销售成本（如有）、租赁住房住宅专项维修基金（如有）、相关税金和费用等，以及各类成本占营业收入的比重和变化情况；</w:t>
      </w:r>
    </w:p>
    <w:p w14:paraId="41DDCE03"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（四）优惠政策情况，包括</w:t>
      </w:r>
      <w:r>
        <w:rPr>
          <w:rFonts w:eastAsia="仿宋_GB2312" w:hint="eastAsia"/>
          <w:bCs/>
          <w:sz w:val="32"/>
          <w:szCs w:val="32"/>
        </w:rPr>
        <w:t>不动产项目</w:t>
      </w:r>
      <w:r>
        <w:rPr>
          <w:rFonts w:eastAsia="仿宋_GB2312"/>
          <w:bCs/>
          <w:sz w:val="32"/>
          <w:szCs w:val="32"/>
        </w:rPr>
        <w:t>享受的税收以及用水、用电、用气等方面的优惠政策；未来优惠政策变动可能导致现金</w:t>
      </w:r>
      <w:proofErr w:type="gramStart"/>
      <w:r>
        <w:rPr>
          <w:rFonts w:eastAsia="仿宋_GB2312"/>
          <w:bCs/>
          <w:sz w:val="32"/>
          <w:szCs w:val="32"/>
        </w:rPr>
        <w:t>流出现</w:t>
      </w:r>
      <w:proofErr w:type="gramEnd"/>
      <w:r>
        <w:rPr>
          <w:rFonts w:eastAsia="仿宋_GB2312"/>
          <w:bCs/>
          <w:sz w:val="32"/>
          <w:szCs w:val="32"/>
        </w:rPr>
        <w:t>较大波动情形的，管理人应当充分揭示风险；</w:t>
      </w:r>
    </w:p>
    <w:p w14:paraId="7535112B"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（五）政府补贴（如有）等其他对</w:t>
      </w:r>
      <w:proofErr w:type="gramStart"/>
      <w:r>
        <w:rPr>
          <w:rFonts w:eastAsia="仿宋_GB2312"/>
          <w:bCs/>
          <w:sz w:val="32"/>
          <w:szCs w:val="32"/>
        </w:rPr>
        <w:t>作出</w:t>
      </w:r>
      <w:proofErr w:type="gramEnd"/>
      <w:r>
        <w:rPr>
          <w:rFonts w:eastAsia="仿宋_GB2312"/>
          <w:bCs/>
          <w:sz w:val="32"/>
          <w:szCs w:val="32"/>
        </w:rPr>
        <w:t>投资决策有重大影响的事项。</w:t>
      </w:r>
    </w:p>
    <w:p w14:paraId="0FE094C9"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项目租金调整需经报备或者审批的，管理人应当披露租金调整程序以及报告期内租金调整的频率、租金定价要求等。</w:t>
      </w:r>
    </w:p>
    <w:p w14:paraId="35B8A7BB"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管理人应当结合</w:t>
      </w:r>
      <w:r>
        <w:rPr>
          <w:rFonts w:eastAsia="仿宋_GB2312" w:hint="eastAsia"/>
          <w:bCs/>
          <w:sz w:val="32"/>
          <w:szCs w:val="32"/>
        </w:rPr>
        <w:t>不动产</w:t>
      </w:r>
      <w:r>
        <w:rPr>
          <w:rFonts w:eastAsia="仿宋_GB2312"/>
          <w:bCs/>
          <w:sz w:val="32"/>
          <w:szCs w:val="32"/>
        </w:rPr>
        <w:t>项目所在区域租赁住房发展情况、配</w:t>
      </w:r>
      <w:proofErr w:type="gramStart"/>
      <w:r>
        <w:rPr>
          <w:rFonts w:eastAsia="仿宋_GB2312"/>
          <w:bCs/>
          <w:sz w:val="32"/>
          <w:szCs w:val="32"/>
        </w:rPr>
        <w:t>租或者</w:t>
      </w:r>
      <w:proofErr w:type="gramEnd"/>
      <w:r>
        <w:rPr>
          <w:rFonts w:eastAsia="仿宋_GB2312"/>
          <w:bCs/>
          <w:sz w:val="32"/>
          <w:szCs w:val="32"/>
        </w:rPr>
        <w:t>招租对象、房型面积、租金</w:t>
      </w:r>
      <w:r>
        <w:rPr>
          <w:rFonts w:eastAsia="仿宋_GB2312" w:hint="eastAsia"/>
          <w:bCs/>
          <w:sz w:val="32"/>
          <w:szCs w:val="32"/>
        </w:rPr>
        <w:t>单价</w:t>
      </w:r>
      <w:r>
        <w:rPr>
          <w:rFonts w:eastAsia="仿宋_GB2312"/>
          <w:bCs/>
          <w:sz w:val="32"/>
          <w:szCs w:val="32"/>
        </w:rPr>
        <w:t>、配套设施等基本情况，充分论证</w:t>
      </w:r>
      <w:r>
        <w:rPr>
          <w:rFonts w:eastAsia="仿宋_GB2312" w:hint="eastAsia"/>
          <w:bCs/>
          <w:sz w:val="32"/>
          <w:szCs w:val="32"/>
        </w:rPr>
        <w:t>不动产</w:t>
      </w:r>
      <w:r>
        <w:rPr>
          <w:rFonts w:eastAsia="仿宋_GB2312"/>
          <w:bCs/>
          <w:sz w:val="32"/>
          <w:szCs w:val="32"/>
        </w:rPr>
        <w:t>项目的竞争力。</w:t>
      </w:r>
    </w:p>
    <w:p w14:paraId="08077A11"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第三节</w:t>
      </w:r>
      <w:r>
        <w:rPr>
          <w:rFonts w:ascii="Times New Roman" w:hAnsi="Times New Roman"/>
          <w:b w:val="0"/>
          <w:bCs w:val="0"/>
          <w:color w:val="auto"/>
          <w:szCs w:val="32"/>
        </w:rPr>
        <w:t xml:space="preserve"> </w:t>
      </w:r>
      <w:r>
        <w:rPr>
          <w:rFonts w:ascii="Times New Roman" w:hAnsi="Times New Roman" w:hint="eastAsia"/>
          <w:b w:val="0"/>
          <w:bCs w:val="0"/>
          <w:color w:val="auto"/>
          <w:szCs w:val="32"/>
        </w:rPr>
        <w:t>不动产评估</w:t>
      </w:r>
    </w:p>
    <w:p w14:paraId="21E29C71"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评估机构应当结合</w:t>
      </w:r>
      <w:r>
        <w:rPr>
          <w:rFonts w:eastAsia="仿宋_GB2312" w:hint="eastAsia"/>
          <w:bCs/>
          <w:sz w:val="32"/>
          <w:szCs w:val="32"/>
        </w:rPr>
        <w:t>不动产</w:t>
      </w:r>
      <w:r>
        <w:rPr>
          <w:rFonts w:eastAsia="仿宋_GB2312"/>
          <w:bCs/>
          <w:sz w:val="32"/>
          <w:szCs w:val="32"/>
        </w:rPr>
        <w:t>项目基本情况和历史运营情况，充分考虑宏观经济情况、</w:t>
      </w:r>
      <w:r>
        <w:rPr>
          <w:rFonts w:eastAsia="仿宋_GB2312" w:hint="eastAsia"/>
          <w:bCs/>
          <w:sz w:val="32"/>
          <w:szCs w:val="32"/>
        </w:rPr>
        <w:t>资产</w:t>
      </w:r>
      <w:r>
        <w:rPr>
          <w:rFonts w:eastAsia="仿宋_GB2312"/>
          <w:bCs/>
          <w:sz w:val="32"/>
          <w:szCs w:val="32"/>
        </w:rPr>
        <w:t>竞争力、资产运营管理能力等内外部因素</w:t>
      </w:r>
      <w:r>
        <w:rPr>
          <w:rFonts w:eastAsia="仿宋_GB2312" w:hint="eastAsia"/>
          <w:bCs/>
          <w:sz w:val="32"/>
          <w:szCs w:val="32"/>
        </w:rPr>
        <w:t>对不动产项目估值</w:t>
      </w:r>
      <w:r>
        <w:rPr>
          <w:rFonts w:eastAsia="仿宋_GB2312"/>
          <w:bCs/>
          <w:sz w:val="32"/>
          <w:szCs w:val="32"/>
        </w:rPr>
        <w:t>的影响，合理确定收益年限、出租率、租金</w:t>
      </w:r>
      <w:r>
        <w:rPr>
          <w:rFonts w:eastAsia="仿宋_GB2312" w:hint="eastAsia"/>
          <w:bCs/>
          <w:sz w:val="32"/>
          <w:szCs w:val="32"/>
        </w:rPr>
        <w:t>单价</w:t>
      </w:r>
      <w:r>
        <w:rPr>
          <w:rFonts w:eastAsia="仿宋_GB2312"/>
          <w:bCs/>
          <w:sz w:val="32"/>
          <w:szCs w:val="32"/>
        </w:rPr>
        <w:t>、租金增长率、租金收缴率、成本、费用、折现率、资本性支出等核心估值参数，</w:t>
      </w:r>
      <w:r>
        <w:rPr>
          <w:rFonts w:eastAsia="仿宋_GB2312" w:hint="eastAsia"/>
          <w:bCs/>
          <w:sz w:val="32"/>
          <w:szCs w:val="32"/>
        </w:rPr>
        <w:t>并</w:t>
      </w:r>
      <w:r>
        <w:rPr>
          <w:rFonts w:eastAsia="仿宋_GB2312"/>
          <w:bCs/>
          <w:sz w:val="32"/>
          <w:szCs w:val="32"/>
        </w:rPr>
        <w:t>按照下列要求审慎进行</w:t>
      </w:r>
      <w:r>
        <w:rPr>
          <w:rFonts w:eastAsia="仿宋_GB2312" w:hint="eastAsia"/>
          <w:bCs/>
          <w:sz w:val="32"/>
          <w:szCs w:val="32"/>
        </w:rPr>
        <w:t>不动产</w:t>
      </w:r>
      <w:r>
        <w:rPr>
          <w:rFonts w:eastAsia="仿宋_GB2312"/>
          <w:bCs/>
          <w:sz w:val="32"/>
          <w:szCs w:val="32"/>
        </w:rPr>
        <w:t>项目估值：</w:t>
      </w:r>
    </w:p>
    <w:p w14:paraId="0D9872B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（一）收益年限参数取值应当充分考虑租赁住房政策规定、用地性质、建筑设计功能使用期限等因素；</w:t>
      </w:r>
    </w:p>
    <w:p w14:paraId="2C75C440" w14:textId="16B5CC9E"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（二）出租率参数取值应当充分考虑租赁住房项目所在城市以及区域宏观经济发展情况、区域人口净流入情况、现有租赁合同期限以及到期时间分布、历史年末</w:t>
      </w:r>
      <w:r>
        <w:rPr>
          <w:rFonts w:eastAsia="仿宋_GB2312" w:hint="eastAsia"/>
          <w:bCs/>
          <w:sz w:val="32"/>
          <w:szCs w:val="32"/>
        </w:rPr>
        <w:t>/</w:t>
      </w:r>
      <w:r>
        <w:rPr>
          <w:rFonts w:eastAsia="仿宋_GB2312"/>
          <w:bCs/>
          <w:sz w:val="32"/>
          <w:szCs w:val="32"/>
        </w:rPr>
        <w:t>期末出租率、历史年度加权平均出租率、租户结构、续租率、退租后去化时间、区域可比项目出租率、区域同类租赁住房市场供需情况、</w:t>
      </w:r>
      <w:r>
        <w:rPr>
          <w:rFonts w:eastAsia="仿宋_GB2312" w:hint="eastAsia"/>
          <w:bCs/>
          <w:sz w:val="32"/>
          <w:szCs w:val="32"/>
        </w:rPr>
        <w:t>资产</w:t>
      </w:r>
      <w:r>
        <w:rPr>
          <w:rFonts w:eastAsia="仿宋_GB2312"/>
          <w:bCs/>
          <w:sz w:val="32"/>
          <w:szCs w:val="32"/>
        </w:rPr>
        <w:t>竞争力等因素的影响；</w:t>
      </w:r>
    </w:p>
    <w:p w14:paraId="3CF6A91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（三）租金单价和租金增长率的参数取值应当充分考虑租赁住房项目所在城市以及区域宏观经济发展情况、居民消费水平、</w:t>
      </w:r>
      <w:r>
        <w:rPr>
          <w:rFonts w:eastAsia="仿宋_GB2312" w:hint="eastAsia"/>
          <w:bCs/>
          <w:sz w:val="32"/>
          <w:szCs w:val="32"/>
        </w:rPr>
        <w:t>不动产</w:t>
      </w:r>
      <w:r>
        <w:rPr>
          <w:rFonts w:eastAsia="仿宋_GB2312"/>
          <w:bCs/>
          <w:sz w:val="32"/>
          <w:szCs w:val="32"/>
        </w:rPr>
        <w:t>区位、配套设施、房型、历史年末</w:t>
      </w:r>
      <w:r>
        <w:rPr>
          <w:rFonts w:eastAsia="仿宋_GB2312" w:hint="eastAsia"/>
          <w:bCs/>
          <w:sz w:val="32"/>
          <w:szCs w:val="32"/>
        </w:rPr>
        <w:t>/</w:t>
      </w:r>
      <w:r>
        <w:rPr>
          <w:rFonts w:eastAsia="仿宋_GB2312"/>
          <w:bCs/>
          <w:sz w:val="32"/>
          <w:szCs w:val="32"/>
        </w:rPr>
        <w:t>期末有效租金单价、区域可比项目租金</w:t>
      </w:r>
      <w:r>
        <w:rPr>
          <w:rFonts w:eastAsia="仿宋_GB2312" w:hint="eastAsia"/>
          <w:bCs/>
          <w:sz w:val="32"/>
          <w:szCs w:val="32"/>
        </w:rPr>
        <w:t>单价</w:t>
      </w:r>
      <w:r>
        <w:rPr>
          <w:rFonts w:eastAsia="仿宋_GB2312"/>
          <w:bCs/>
          <w:sz w:val="32"/>
          <w:szCs w:val="32"/>
        </w:rPr>
        <w:t>、租户结构、运营成本、区域性租金政策（如有）、同区域同类资产市场供需、</w:t>
      </w:r>
      <w:r>
        <w:rPr>
          <w:rFonts w:eastAsia="仿宋_GB2312" w:hint="eastAsia"/>
          <w:bCs/>
          <w:sz w:val="32"/>
          <w:szCs w:val="32"/>
        </w:rPr>
        <w:t>资产</w:t>
      </w:r>
      <w:r>
        <w:rPr>
          <w:rFonts w:eastAsia="仿宋_GB2312"/>
          <w:bCs/>
          <w:sz w:val="32"/>
          <w:szCs w:val="32"/>
        </w:rPr>
        <w:t>竞争力等因素的影响；</w:t>
      </w:r>
    </w:p>
    <w:p w14:paraId="5DC08E2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（四）人力成本、市场营销费用、物业管理费用、空置管理费用等参数取值应当充分考虑</w:t>
      </w:r>
      <w:r>
        <w:rPr>
          <w:rFonts w:eastAsia="仿宋_GB2312" w:hint="eastAsia"/>
          <w:bCs/>
          <w:sz w:val="32"/>
          <w:szCs w:val="32"/>
        </w:rPr>
        <w:t>不动产</w:t>
      </w:r>
      <w:r>
        <w:rPr>
          <w:rFonts w:eastAsia="仿宋_GB2312"/>
          <w:bCs/>
          <w:sz w:val="32"/>
          <w:szCs w:val="32"/>
        </w:rPr>
        <w:t>项目运营时间、历史成本支出情况、维修养护安排、招租模式、物业管理模式、行业特征等因素；</w:t>
      </w:r>
    </w:p>
    <w:p w14:paraId="3F1B1323"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（五）资本性支出参数选取应当充分考虑历史资本性支出、建筑物以及设备现状、改造升级安排、行业特征等因素。</w:t>
      </w:r>
    </w:p>
    <w:p w14:paraId="0CBA07C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评估机构应当结合周边可比项目区位、定位、运营招租模式等，说明可比项目选取的合理性。</w:t>
      </w:r>
    </w:p>
    <w:p w14:paraId="57C9EE08"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管理人、财务顾问（如有）应当按照本指引第四十五条的规定披露</w:t>
      </w:r>
      <w:r>
        <w:rPr>
          <w:rFonts w:eastAsia="仿宋_GB2312" w:hint="eastAsia"/>
          <w:bCs/>
          <w:sz w:val="32"/>
          <w:szCs w:val="32"/>
        </w:rPr>
        <w:t>不动产</w:t>
      </w:r>
      <w:r>
        <w:rPr>
          <w:rFonts w:eastAsia="仿宋_GB2312"/>
          <w:bCs/>
          <w:sz w:val="32"/>
          <w:szCs w:val="32"/>
        </w:rPr>
        <w:t>项目的评估情况，按照本附件</w:t>
      </w:r>
      <w:r>
        <w:rPr>
          <w:rFonts w:eastAsia="仿宋_GB2312" w:hint="eastAsia"/>
          <w:bCs/>
          <w:sz w:val="32"/>
          <w:szCs w:val="32"/>
        </w:rPr>
        <w:t>第九条</w:t>
      </w:r>
      <w:r>
        <w:rPr>
          <w:rFonts w:eastAsia="仿宋_GB2312"/>
          <w:bCs/>
          <w:sz w:val="32"/>
          <w:szCs w:val="32"/>
        </w:rPr>
        <w:t>的要求就估值参数取值的合理性发表明确意见，并结合单位面积价格、首个完整会计年度的资本化率（</w:t>
      </w:r>
      <w:r>
        <w:rPr>
          <w:rFonts w:eastAsia="仿宋_GB2312"/>
          <w:bCs/>
          <w:sz w:val="32"/>
          <w:szCs w:val="32"/>
        </w:rPr>
        <w:t>Cap Rate</w:t>
      </w:r>
      <w:r>
        <w:rPr>
          <w:rFonts w:eastAsia="仿宋_GB2312"/>
          <w:bCs/>
          <w:sz w:val="32"/>
          <w:szCs w:val="32"/>
        </w:rPr>
        <w:t>），以及同</w:t>
      </w:r>
      <w:r>
        <w:rPr>
          <w:rFonts w:eastAsia="仿宋_GB2312" w:hint="eastAsia"/>
          <w:bCs/>
          <w:sz w:val="32"/>
          <w:szCs w:val="32"/>
        </w:rPr>
        <w:t>行业已上市不动产</w:t>
      </w:r>
      <w:r>
        <w:rPr>
          <w:rFonts w:eastAsia="仿宋_GB2312"/>
          <w:bCs/>
          <w:sz w:val="32"/>
          <w:szCs w:val="32"/>
        </w:rPr>
        <w:t>基金、同行业上市公司重大资产重组和大宗交易（如有）的估值参数选取情况，对评估参数和评估方法的选取进行独立核查，对评估结果的合理性发表明确意见。</w:t>
      </w:r>
    </w:p>
    <w:p w14:paraId="78BD8956" w14:textId="77777777" w:rsidR="005C45E9" w:rsidRDefault="00000000">
      <w:pPr>
        <w:pStyle w:val="afa"/>
        <w:tabs>
          <w:tab w:val="left" w:pos="0"/>
        </w:tabs>
        <w:outlineLvl w:val="9"/>
        <w:rPr>
          <w:rFonts w:ascii="Times New Roman" w:hAnsi="Times New Roman"/>
          <w:b w:val="0"/>
          <w:bCs w:val="0"/>
          <w:color w:val="auto"/>
          <w:szCs w:val="32"/>
        </w:rPr>
      </w:pPr>
      <w:r>
        <w:rPr>
          <w:rFonts w:ascii="Times New Roman" w:hAnsi="Times New Roman" w:hint="eastAsia"/>
          <w:b w:val="0"/>
          <w:bCs w:val="0"/>
          <w:color w:val="auto"/>
          <w:szCs w:val="32"/>
        </w:rPr>
        <w:t>第四节</w:t>
      </w:r>
      <w:r>
        <w:rPr>
          <w:rFonts w:ascii="Times New Roman" w:hAnsi="Times New Roman" w:hint="eastAsia"/>
          <w:b w:val="0"/>
          <w:bCs w:val="0"/>
          <w:color w:val="auto"/>
          <w:szCs w:val="32"/>
        </w:rPr>
        <w:t xml:space="preserve"> </w:t>
      </w:r>
      <w:r>
        <w:rPr>
          <w:rFonts w:ascii="Times New Roman" w:hAnsi="Times New Roman" w:hint="eastAsia"/>
          <w:b w:val="0"/>
          <w:bCs w:val="0"/>
          <w:color w:val="auto"/>
          <w:szCs w:val="32"/>
        </w:rPr>
        <w:t>运营管理安排</w:t>
      </w:r>
    </w:p>
    <w:p w14:paraId="1A4A9FAE"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eastAsia="仿宋_GB2312" w:hint="eastAsia"/>
          <w:bCs/>
          <w:sz w:val="32"/>
          <w:szCs w:val="32"/>
        </w:rPr>
        <w:t>不动产</w:t>
      </w:r>
      <w:r>
        <w:rPr>
          <w:rFonts w:eastAsia="仿宋_GB2312"/>
          <w:bCs/>
          <w:sz w:val="32"/>
          <w:szCs w:val="32"/>
        </w:rPr>
        <w:t>项目运营模式特点，明确分层决策机制中各决策层面对涉及</w:t>
      </w:r>
      <w:r>
        <w:rPr>
          <w:rFonts w:eastAsia="仿宋_GB2312" w:hint="eastAsia"/>
          <w:bCs/>
          <w:sz w:val="32"/>
          <w:szCs w:val="32"/>
        </w:rPr>
        <w:t>不动产</w:t>
      </w:r>
      <w:r>
        <w:rPr>
          <w:rFonts w:eastAsia="仿宋_GB2312"/>
          <w:bCs/>
          <w:sz w:val="32"/>
          <w:szCs w:val="32"/>
        </w:rPr>
        <w:t>项目运营的重要事项的</w:t>
      </w:r>
      <w:r>
        <w:rPr>
          <w:rFonts w:eastAsia="仿宋_GB2312" w:hint="eastAsia"/>
          <w:bCs/>
          <w:sz w:val="32"/>
          <w:szCs w:val="32"/>
        </w:rPr>
        <w:t>决策安排</w:t>
      </w:r>
      <w:r>
        <w:rPr>
          <w:rFonts w:eastAsia="仿宋_GB2312"/>
          <w:bCs/>
          <w:sz w:val="32"/>
          <w:szCs w:val="32"/>
        </w:rPr>
        <w:t>，包括租金调整、免租安排、租金优惠、委托物业管理、租户结构调整、运营成本调整、</w:t>
      </w:r>
      <w:r>
        <w:rPr>
          <w:rFonts w:eastAsia="仿宋_GB2312" w:hint="eastAsia"/>
          <w:bCs/>
          <w:sz w:val="32"/>
          <w:szCs w:val="32"/>
        </w:rPr>
        <w:t>核心</w:t>
      </w:r>
      <w:r>
        <w:rPr>
          <w:rFonts w:eastAsia="仿宋_GB2312"/>
          <w:bCs/>
          <w:sz w:val="32"/>
          <w:szCs w:val="32"/>
        </w:rPr>
        <w:t>人员调整、突发事件响应安排等。</w:t>
      </w:r>
    </w:p>
    <w:p w14:paraId="3BDC9E5E" w14:textId="77777777" w:rsidR="005C45E9" w:rsidRDefault="00000000">
      <w:pPr>
        <w:pStyle w:val="Style3"/>
        <w:numPr>
          <w:ilvl w:val="0"/>
          <w:numId w:val="6"/>
        </w:numPr>
        <w:adjustRightInd w:val="0"/>
        <w:snapToGrid w:val="0"/>
        <w:spacing w:line="560" w:lineRule="exact"/>
        <w:rPr>
          <w:rFonts w:eastAsia="仿宋_GB2312"/>
          <w:bCs/>
          <w:sz w:val="32"/>
          <w:szCs w:val="32"/>
        </w:rPr>
      </w:pPr>
      <w:r>
        <w:rPr>
          <w:rFonts w:eastAsia="仿宋_GB2312"/>
          <w:bCs/>
          <w:sz w:val="32"/>
          <w:szCs w:val="32"/>
        </w:rPr>
        <w:t>基金管理人委托</w:t>
      </w:r>
      <w:r>
        <w:rPr>
          <w:rFonts w:eastAsia="仿宋_GB2312" w:hint="eastAsia"/>
          <w:bCs/>
          <w:sz w:val="32"/>
          <w:szCs w:val="32"/>
        </w:rPr>
        <w:t>运营</w:t>
      </w:r>
      <w:r>
        <w:rPr>
          <w:rFonts w:eastAsia="仿宋_GB2312"/>
          <w:bCs/>
          <w:sz w:val="32"/>
          <w:szCs w:val="32"/>
        </w:rPr>
        <w:t>管理机构运营</w:t>
      </w:r>
      <w:r>
        <w:rPr>
          <w:rFonts w:eastAsia="仿宋_GB2312" w:hint="eastAsia"/>
          <w:bCs/>
          <w:sz w:val="32"/>
          <w:szCs w:val="32"/>
        </w:rPr>
        <w:t>不动产</w:t>
      </w:r>
      <w:r>
        <w:rPr>
          <w:rFonts w:eastAsia="仿宋_GB2312"/>
          <w:bCs/>
          <w:sz w:val="32"/>
          <w:szCs w:val="32"/>
        </w:rPr>
        <w:t>项目的，基金管理人应当结合</w:t>
      </w:r>
      <w:r>
        <w:rPr>
          <w:rFonts w:eastAsia="仿宋_GB2312" w:hint="eastAsia"/>
          <w:bCs/>
          <w:sz w:val="32"/>
          <w:szCs w:val="32"/>
        </w:rPr>
        <w:t>不动产业态</w:t>
      </w:r>
      <w:r>
        <w:rPr>
          <w:rFonts w:eastAsia="仿宋_GB2312"/>
          <w:bCs/>
          <w:sz w:val="32"/>
          <w:szCs w:val="32"/>
        </w:rPr>
        <w:t>披露</w:t>
      </w:r>
      <w:r>
        <w:rPr>
          <w:rFonts w:eastAsia="仿宋_GB2312" w:hint="eastAsia"/>
          <w:bCs/>
          <w:sz w:val="32"/>
          <w:szCs w:val="32"/>
        </w:rPr>
        <w:t>运营</w:t>
      </w:r>
      <w:r>
        <w:rPr>
          <w:rFonts w:eastAsia="仿宋_GB2312"/>
          <w:bCs/>
          <w:sz w:val="32"/>
          <w:szCs w:val="32"/>
        </w:rPr>
        <w:t>管理机构在该领域的运营管理能力，包括租赁住房领域运营管理经验以及运营同类</w:t>
      </w:r>
      <w:r>
        <w:rPr>
          <w:rFonts w:eastAsia="仿宋_GB2312" w:hint="eastAsia"/>
          <w:bCs/>
          <w:sz w:val="32"/>
          <w:szCs w:val="32"/>
        </w:rPr>
        <w:t>不动产</w:t>
      </w:r>
      <w:r>
        <w:rPr>
          <w:rFonts w:eastAsia="仿宋_GB2312"/>
          <w:bCs/>
          <w:sz w:val="32"/>
          <w:szCs w:val="32"/>
        </w:rPr>
        <w:t>项目业绩表现情况、公司治理和财务状况、行业竞争优势等，确保其具有良好的履职能力。基金管理人应当披露运营策略，包括市场定位、收益管理和成本管控等。</w:t>
      </w:r>
    </w:p>
    <w:p w14:paraId="19B452EB" w14:textId="77777777" w:rsidR="005C45E9" w:rsidRDefault="00000000">
      <w:pPr>
        <w:rPr>
          <w:rFonts w:eastAsia="仿宋_GB2312"/>
          <w:b/>
          <w:sz w:val="32"/>
          <w:szCs w:val="32"/>
        </w:rPr>
      </w:pPr>
      <w:r>
        <w:rPr>
          <w:rFonts w:eastAsia="仿宋_GB2312"/>
          <w:b/>
          <w:sz w:val="32"/>
          <w:szCs w:val="32"/>
        </w:rPr>
        <w:br w:type="page"/>
      </w:r>
    </w:p>
    <w:p w14:paraId="35DDC1E3" w14:textId="77777777" w:rsidR="005C45E9" w:rsidRDefault="00000000">
      <w:pPr>
        <w:pStyle w:val="Style3"/>
        <w:adjustRightInd w:val="0"/>
        <w:snapToGrid w:val="0"/>
        <w:spacing w:line="560" w:lineRule="exact"/>
        <w:ind w:firstLine="0"/>
        <w:rPr>
          <w:rFonts w:eastAsia="仿宋_GB2312"/>
          <w:b/>
          <w:sz w:val="32"/>
          <w:szCs w:val="32"/>
        </w:rPr>
      </w:pPr>
      <w:r>
        <w:rPr>
          <w:rFonts w:eastAsia="仿宋_GB2312"/>
          <w:b/>
          <w:sz w:val="32"/>
          <w:szCs w:val="32"/>
        </w:rPr>
        <w:t>附件：第</w:t>
      </w:r>
      <w:r>
        <w:rPr>
          <w:rFonts w:eastAsia="仿宋_GB2312" w:hint="eastAsia"/>
          <w:b/>
          <w:sz w:val="32"/>
          <w:szCs w:val="32"/>
        </w:rPr>
        <w:t>三</w:t>
      </w:r>
      <w:r>
        <w:rPr>
          <w:rFonts w:eastAsia="仿宋_GB2312"/>
          <w:b/>
          <w:sz w:val="32"/>
          <w:szCs w:val="32"/>
        </w:rPr>
        <w:t>号</w:t>
      </w:r>
      <w:r>
        <w:rPr>
          <w:rFonts w:eastAsia="仿宋_GB2312"/>
          <w:b/>
          <w:sz w:val="32"/>
          <w:szCs w:val="32"/>
        </w:rPr>
        <w:t>——</w:t>
      </w:r>
      <w:r>
        <w:rPr>
          <w:rFonts w:eastAsia="仿宋_GB2312"/>
          <w:b/>
          <w:sz w:val="32"/>
          <w:szCs w:val="32"/>
        </w:rPr>
        <w:t>产业园区</w:t>
      </w:r>
    </w:p>
    <w:p w14:paraId="1763E401" w14:textId="77777777" w:rsidR="005C45E9" w:rsidRDefault="00000000">
      <w:pPr>
        <w:numPr>
          <w:ilvl w:val="255"/>
          <w:numId w:val="0"/>
        </w:numPr>
        <w:adjustRightInd w:val="0"/>
        <w:snapToGrid w:val="0"/>
        <w:spacing w:beforeLines="50" w:before="156" w:afterLines="50" w:after="156" w:line="600" w:lineRule="exact"/>
        <w:jc w:val="center"/>
        <w:outlineLvl w:val="1"/>
        <w:rPr>
          <w:rFonts w:eastAsia="方正大标宋简体"/>
          <w:bCs/>
          <w:sz w:val="44"/>
          <w:szCs w:val="44"/>
        </w:rPr>
      </w:pPr>
      <w:bookmarkStart w:id="10" w:name="_Hlk171525039"/>
      <w:r>
        <w:rPr>
          <w:rFonts w:eastAsia="方正大标宋简体" w:hint="eastAsia"/>
          <w:bCs/>
          <w:sz w:val="44"/>
          <w:szCs w:val="44"/>
        </w:rPr>
        <w:t>第三号——</w:t>
      </w:r>
      <w:bookmarkEnd w:id="10"/>
      <w:r>
        <w:rPr>
          <w:rFonts w:eastAsia="方正大标宋简体" w:hint="eastAsia"/>
          <w:bCs/>
          <w:sz w:val="44"/>
          <w:szCs w:val="44"/>
        </w:rPr>
        <w:t>产业园区</w:t>
      </w:r>
    </w:p>
    <w:p w14:paraId="6E2EB93A"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bookmarkStart w:id="11" w:name="_Hlk185932639"/>
      <w:r>
        <w:rPr>
          <w:rFonts w:eastAsia="仿宋_GB2312"/>
          <w:bCs/>
          <w:sz w:val="32"/>
          <w:szCs w:val="32"/>
        </w:rPr>
        <w:t>基金管理人向本所申请</w:t>
      </w:r>
      <w:bookmarkEnd w:id="11"/>
      <w:r>
        <w:rPr>
          <w:rFonts w:eastAsia="仿宋_GB2312"/>
          <w:bCs/>
          <w:sz w:val="32"/>
          <w:szCs w:val="32"/>
        </w:rPr>
        <w:t>产业园区</w:t>
      </w:r>
      <w:r>
        <w:rPr>
          <w:rFonts w:eastAsia="仿宋_GB2312" w:hint="eastAsia"/>
          <w:bCs/>
          <w:sz w:val="32"/>
          <w:szCs w:val="32"/>
        </w:rPr>
        <w:t>类不动产基</w:t>
      </w:r>
      <w:r>
        <w:rPr>
          <w:rFonts w:eastAsia="仿宋_GB2312"/>
          <w:bCs/>
          <w:sz w:val="32"/>
          <w:szCs w:val="32"/>
        </w:rPr>
        <w:t>金上市的审核</w:t>
      </w:r>
      <w:bookmarkStart w:id="12" w:name="_Hlk185932649"/>
      <w:r>
        <w:rPr>
          <w:rFonts w:eastAsia="仿宋_GB2312"/>
          <w:bCs/>
          <w:sz w:val="32"/>
          <w:szCs w:val="32"/>
        </w:rPr>
        <w:t>、资产支持证券管理人向本所申请</w:t>
      </w:r>
      <w:bookmarkEnd w:id="12"/>
      <w:r>
        <w:rPr>
          <w:rFonts w:eastAsia="仿宋_GB2312" w:hint="eastAsia"/>
          <w:bCs/>
          <w:sz w:val="32"/>
          <w:szCs w:val="32"/>
        </w:rPr>
        <w:t>不动产</w:t>
      </w:r>
      <w:r>
        <w:rPr>
          <w:rFonts w:eastAsia="仿宋_GB2312"/>
          <w:bCs/>
          <w:sz w:val="32"/>
          <w:szCs w:val="32"/>
        </w:rPr>
        <w:t>资产支持证券挂牌条件的确认事宜，适用本附件的规定。</w:t>
      </w:r>
    </w:p>
    <w:p w14:paraId="1184CF1F"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2F0AA537"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第一节</w:t>
      </w:r>
      <w:r>
        <w:rPr>
          <w:rFonts w:ascii="Times New Roman" w:hAnsi="Times New Roman"/>
          <w:b w:val="0"/>
          <w:bCs w:val="0"/>
          <w:szCs w:val="32"/>
        </w:rPr>
        <w:t xml:space="preserve"> </w:t>
      </w:r>
      <w:r>
        <w:rPr>
          <w:rFonts w:ascii="Times New Roman" w:hAnsi="Times New Roman" w:hint="eastAsia"/>
          <w:b w:val="0"/>
          <w:bCs w:val="0"/>
          <w:szCs w:val="32"/>
        </w:rPr>
        <w:t>不动产项目</w:t>
      </w:r>
      <w:r>
        <w:rPr>
          <w:rFonts w:ascii="Times New Roman" w:hAnsi="Times New Roman"/>
          <w:b w:val="0"/>
          <w:bCs w:val="0"/>
          <w:color w:val="auto"/>
        </w:rPr>
        <w:t>基</w:t>
      </w:r>
      <w:r>
        <w:rPr>
          <w:rFonts w:ascii="Times New Roman" w:hAnsi="Times New Roman"/>
          <w:b w:val="0"/>
          <w:bCs w:val="0"/>
          <w:szCs w:val="32"/>
        </w:rPr>
        <w:t>本情况</w:t>
      </w:r>
    </w:p>
    <w:p w14:paraId="4670F75C"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管理人应当按照本指引第三章第二节的规定披露</w:t>
      </w:r>
      <w:r>
        <w:rPr>
          <w:rFonts w:eastAsia="仿宋_GB2312" w:hint="eastAsia"/>
          <w:bCs/>
          <w:sz w:val="32"/>
          <w:szCs w:val="32"/>
        </w:rPr>
        <w:t>不动产</w:t>
      </w:r>
      <w:r>
        <w:rPr>
          <w:rFonts w:eastAsia="仿宋_GB2312"/>
          <w:bCs/>
          <w:sz w:val="32"/>
          <w:szCs w:val="32"/>
        </w:rPr>
        <w:t>项目经营与财务情况，并披露下列基本情况：</w:t>
      </w:r>
    </w:p>
    <w:p w14:paraId="76CE7017"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（一）资产范围，包括</w:t>
      </w:r>
      <w:r>
        <w:rPr>
          <w:rFonts w:eastAsia="仿宋_GB2312" w:hint="eastAsia"/>
          <w:bCs/>
          <w:sz w:val="32"/>
          <w:szCs w:val="32"/>
        </w:rPr>
        <w:t>不动产</w:t>
      </w:r>
      <w:r>
        <w:rPr>
          <w:rFonts w:eastAsia="仿宋_GB2312"/>
          <w:bCs/>
          <w:sz w:val="32"/>
          <w:szCs w:val="32"/>
        </w:rPr>
        <w:t>项目相关建筑物的不动产所有权以及</w:t>
      </w:r>
      <w:r>
        <w:rPr>
          <w:rFonts w:eastAsia="仿宋_GB2312" w:hint="eastAsia"/>
          <w:bCs/>
          <w:sz w:val="32"/>
          <w:szCs w:val="32"/>
        </w:rPr>
        <w:t>对应</w:t>
      </w:r>
      <w:r>
        <w:rPr>
          <w:rFonts w:eastAsia="仿宋_GB2312"/>
          <w:bCs/>
          <w:sz w:val="32"/>
          <w:szCs w:val="32"/>
        </w:rPr>
        <w:t>的土地使用权</w:t>
      </w:r>
      <w:r>
        <w:rPr>
          <w:rFonts w:eastAsia="仿宋_GB2312" w:hint="eastAsia"/>
          <w:bCs/>
          <w:sz w:val="32"/>
          <w:szCs w:val="32"/>
        </w:rPr>
        <w:t>，</w:t>
      </w:r>
      <w:r>
        <w:rPr>
          <w:rFonts w:eastAsia="仿宋_GB2312"/>
          <w:bCs/>
          <w:sz w:val="32"/>
          <w:szCs w:val="32"/>
        </w:rPr>
        <w:t>共用</w:t>
      </w:r>
      <w:r>
        <w:rPr>
          <w:rFonts w:eastAsia="仿宋_GB2312" w:hint="eastAsia"/>
          <w:bCs/>
          <w:sz w:val="32"/>
          <w:szCs w:val="32"/>
        </w:rPr>
        <w:t>、共有</w:t>
      </w:r>
      <w:r>
        <w:rPr>
          <w:rFonts w:eastAsia="仿宋_GB2312"/>
          <w:bCs/>
          <w:sz w:val="32"/>
          <w:szCs w:val="32"/>
        </w:rPr>
        <w:t>资产（如有）等；</w:t>
      </w:r>
    </w:p>
    <w:p w14:paraId="68AF233B"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（二）园区类型和定位、运营起始时间、运营模式、定制</w:t>
      </w:r>
      <w:proofErr w:type="gramStart"/>
      <w:r>
        <w:rPr>
          <w:rFonts w:eastAsia="仿宋_GB2312"/>
          <w:bCs/>
          <w:sz w:val="32"/>
          <w:szCs w:val="32"/>
        </w:rPr>
        <w:t>化安排</w:t>
      </w:r>
      <w:proofErr w:type="gramEnd"/>
      <w:r>
        <w:rPr>
          <w:rFonts w:eastAsia="仿宋_GB2312"/>
          <w:bCs/>
          <w:sz w:val="32"/>
          <w:szCs w:val="32"/>
        </w:rPr>
        <w:t>等；</w:t>
      </w:r>
    </w:p>
    <w:p w14:paraId="21E77876"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（三）</w:t>
      </w:r>
      <w:r>
        <w:rPr>
          <w:rFonts w:eastAsia="仿宋_GB2312"/>
          <w:sz w:val="32"/>
          <w:szCs w:val="32"/>
        </w:rPr>
        <w:t>建筑面积与可供出租或者经营使用面积、</w:t>
      </w:r>
      <w:r>
        <w:rPr>
          <w:rFonts w:eastAsia="仿宋_GB2312"/>
          <w:bCs/>
          <w:sz w:val="32"/>
          <w:szCs w:val="32"/>
        </w:rPr>
        <w:t>建筑层数、竣工时间等，可供出租或者经营使用面积与建筑面积存在较大差异的，还应当披露差异原因和合理性；</w:t>
      </w:r>
    </w:p>
    <w:p w14:paraId="4804FB2B"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（四）</w:t>
      </w:r>
      <w:r>
        <w:rPr>
          <w:rFonts w:eastAsia="仿宋_GB2312" w:hint="eastAsia"/>
          <w:bCs/>
          <w:sz w:val="32"/>
          <w:szCs w:val="32"/>
        </w:rPr>
        <w:t>不动产</w:t>
      </w:r>
      <w:r>
        <w:rPr>
          <w:rFonts w:eastAsia="仿宋_GB2312"/>
          <w:bCs/>
          <w:sz w:val="32"/>
          <w:szCs w:val="32"/>
        </w:rPr>
        <w:t>项目所处区域规划中、拟建、在建、拟开业与已开业的同类</w:t>
      </w:r>
      <w:r>
        <w:rPr>
          <w:rFonts w:eastAsia="仿宋_GB2312" w:hint="eastAsia"/>
          <w:bCs/>
          <w:sz w:val="32"/>
          <w:szCs w:val="32"/>
        </w:rPr>
        <w:t>不动产项目</w:t>
      </w:r>
      <w:r>
        <w:rPr>
          <w:rFonts w:eastAsia="仿宋_GB2312"/>
          <w:bCs/>
          <w:sz w:val="32"/>
          <w:szCs w:val="32"/>
        </w:rPr>
        <w:t>情况，以及对本</w:t>
      </w:r>
      <w:r>
        <w:rPr>
          <w:rFonts w:eastAsia="仿宋_GB2312" w:hint="eastAsia"/>
          <w:bCs/>
          <w:sz w:val="32"/>
          <w:szCs w:val="32"/>
        </w:rPr>
        <w:t>不动产</w:t>
      </w:r>
      <w:r>
        <w:rPr>
          <w:rFonts w:eastAsia="仿宋_GB2312"/>
          <w:bCs/>
          <w:sz w:val="32"/>
          <w:szCs w:val="32"/>
        </w:rPr>
        <w:t>项目的影响；</w:t>
      </w:r>
    </w:p>
    <w:p w14:paraId="02247239"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（五）其他对</w:t>
      </w:r>
      <w:proofErr w:type="gramStart"/>
      <w:r>
        <w:rPr>
          <w:rFonts w:eastAsia="仿宋_GB2312"/>
          <w:bCs/>
          <w:sz w:val="32"/>
          <w:szCs w:val="32"/>
        </w:rPr>
        <w:t>作出</w:t>
      </w:r>
      <w:proofErr w:type="gramEnd"/>
      <w:r>
        <w:rPr>
          <w:rFonts w:eastAsia="仿宋_GB2312"/>
          <w:bCs/>
          <w:sz w:val="32"/>
          <w:szCs w:val="32"/>
        </w:rPr>
        <w:t>投资决策有重大影响的信息。</w:t>
      </w:r>
    </w:p>
    <w:p w14:paraId="4B3EA0C4"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hint="eastAsia"/>
          <w:bCs/>
          <w:sz w:val="32"/>
          <w:szCs w:val="32"/>
        </w:rPr>
        <w:t>单体建筑</w:t>
      </w:r>
      <w:r>
        <w:rPr>
          <w:rFonts w:eastAsia="仿宋_GB2312"/>
          <w:bCs/>
          <w:sz w:val="32"/>
          <w:szCs w:val="32"/>
        </w:rPr>
        <w:t>存在向原始权益人及其关联方之外的主体出售</w:t>
      </w:r>
      <w:r>
        <w:rPr>
          <w:rFonts w:eastAsia="仿宋_GB2312" w:hint="eastAsia"/>
          <w:bCs/>
          <w:sz w:val="32"/>
          <w:szCs w:val="32"/>
        </w:rPr>
        <w:t>部分资产</w:t>
      </w:r>
      <w:r>
        <w:rPr>
          <w:rFonts w:eastAsia="仿宋_GB2312"/>
          <w:bCs/>
          <w:sz w:val="32"/>
          <w:szCs w:val="32"/>
        </w:rPr>
        <w:t>情形的，将该单体建筑纳入</w:t>
      </w:r>
      <w:r>
        <w:rPr>
          <w:rFonts w:eastAsia="仿宋_GB2312" w:hint="eastAsia"/>
          <w:bCs/>
          <w:sz w:val="32"/>
          <w:szCs w:val="32"/>
        </w:rPr>
        <w:t>不动产</w:t>
      </w:r>
      <w:r>
        <w:rPr>
          <w:rFonts w:eastAsia="仿宋_GB2312"/>
          <w:bCs/>
          <w:sz w:val="32"/>
          <w:szCs w:val="32"/>
        </w:rPr>
        <w:t>项目资产范围应当符合下列条件：</w:t>
      </w:r>
    </w:p>
    <w:p w14:paraId="3CAA518D"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（一）原始权益人或者其控股股东应当具备区域资源优势以及竞争优势；</w:t>
      </w:r>
    </w:p>
    <w:p w14:paraId="6D07709A"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（二）</w:t>
      </w:r>
      <w:r>
        <w:rPr>
          <w:rFonts w:eastAsia="仿宋_GB2312" w:hint="eastAsia"/>
          <w:bCs/>
          <w:sz w:val="32"/>
          <w:szCs w:val="32"/>
        </w:rPr>
        <w:t>不动产</w:t>
      </w:r>
      <w:r>
        <w:rPr>
          <w:rFonts w:eastAsia="仿宋_GB2312"/>
          <w:bCs/>
          <w:sz w:val="32"/>
          <w:szCs w:val="32"/>
        </w:rPr>
        <w:t>项目出租率长期保持稳定；</w:t>
      </w:r>
    </w:p>
    <w:p w14:paraId="5177B0BE"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（三）单体建筑公共空间以及设施设备对全体业主开放。</w:t>
      </w:r>
    </w:p>
    <w:p w14:paraId="77C438F8"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运营</w:t>
      </w:r>
      <w:r>
        <w:rPr>
          <w:rFonts w:eastAsia="仿宋_GB2312"/>
          <w:bCs/>
          <w:sz w:val="32"/>
          <w:szCs w:val="32"/>
        </w:rPr>
        <w:t>管理机构同时运营管理本</w:t>
      </w:r>
      <w:r>
        <w:rPr>
          <w:rFonts w:eastAsia="仿宋_GB2312" w:hint="eastAsia"/>
          <w:bCs/>
          <w:sz w:val="32"/>
          <w:szCs w:val="32"/>
        </w:rPr>
        <w:t>不动产项目</w:t>
      </w:r>
      <w:r>
        <w:rPr>
          <w:rFonts w:eastAsia="仿宋_GB2312"/>
          <w:bCs/>
          <w:sz w:val="32"/>
          <w:szCs w:val="32"/>
        </w:rPr>
        <w:t>资产和资产范围内单体建筑对外出售部分资产的，</w:t>
      </w:r>
      <w:r>
        <w:rPr>
          <w:rFonts w:eastAsia="仿宋_GB2312" w:hint="eastAsia"/>
          <w:bCs/>
          <w:sz w:val="32"/>
          <w:szCs w:val="32"/>
        </w:rPr>
        <w:t>运营</w:t>
      </w:r>
      <w:r>
        <w:rPr>
          <w:rFonts w:eastAsia="仿宋_GB2312"/>
          <w:bCs/>
          <w:sz w:val="32"/>
          <w:szCs w:val="32"/>
        </w:rPr>
        <w:t>管理机构应当采取有效措施，公平对待本</w:t>
      </w:r>
      <w:r>
        <w:rPr>
          <w:rFonts w:eastAsia="仿宋_GB2312" w:hint="eastAsia"/>
          <w:bCs/>
          <w:sz w:val="32"/>
          <w:szCs w:val="32"/>
        </w:rPr>
        <w:t>不动产项目</w:t>
      </w:r>
      <w:r>
        <w:rPr>
          <w:rFonts w:eastAsia="仿宋_GB2312"/>
          <w:bCs/>
          <w:sz w:val="32"/>
          <w:szCs w:val="32"/>
        </w:rPr>
        <w:t>资产和对外出售资产。</w:t>
      </w:r>
    </w:p>
    <w:p w14:paraId="3DCA7B07"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土地使用权应当以出让等有偿使用方式取得，土地用途应当符合土地管理</w:t>
      </w:r>
      <w:r>
        <w:rPr>
          <w:rFonts w:eastAsia="仿宋_GB2312" w:hint="eastAsia"/>
          <w:bCs/>
          <w:sz w:val="32"/>
          <w:szCs w:val="32"/>
        </w:rPr>
        <w:t>有关</w:t>
      </w:r>
      <w:r>
        <w:rPr>
          <w:rFonts w:eastAsia="仿宋_GB2312"/>
          <w:bCs/>
          <w:sz w:val="32"/>
          <w:szCs w:val="32"/>
        </w:rPr>
        <w:t>法律法规的规定。</w:t>
      </w:r>
    </w:p>
    <w:p w14:paraId="1BDE9BFA"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第二节</w:t>
      </w:r>
      <w:r>
        <w:rPr>
          <w:rFonts w:ascii="Times New Roman" w:hAnsi="Times New Roman"/>
          <w:b w:val="0"/>
          <w:bCs w:val="0"/>
          <w:szCs w:val="32"/>
        </w:rPr>
        <w:t xml:space="preserve"> </w:t>
      </w:r>
      <w:r>
        <w:rPr>
          <w:rFonts w:ascii="Times New Roman" w:hAnsi="Times New Roman" w:hint="eastAsia"/>
          <w:b w:val="0"/>
          <w:bCs w:val="0"/>
          <w:szCs w:val="32"/>
        </w:rPr>
        <w:t>不动产</w:t>
      </w:r>
      <w:r>
        <w:rPr>
          <w:rFonts w:ascii="Times New Roman" w:hAnsi="Times New Roman"/>
          <w:b w:val="0"/>
          <w:bCs w:val="0"/>
          <w:szCs w:val="32"/>
        </w:rPr>
        <w:t>经营与财务情况</w:t>
      </w:r>
    </w:p>
    <w:p w14:paraId="461296E5"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项目租户行业分布情况，重要现金</w:t>
      </w:r>
      <w:proofErr w:type="gramStart"/>
      <w:r>
        <w:rPr>
          <w:rFonts w:eastAsia="仿宋_GB2312"/>
          <w:bCs/>
          <w:sz w:val="32"/>
          <w:szCs w:val="32"/>
        </w:rPr>
        <w:t>流提供</w:t>
      </w:r>
      <w:proofErr w:type="gramEnd"/>
      <w:r>
        <w:rPr>
          <w:rFonts w:eastAsia="仿宋_GB2312"/>
          <w:bCs/>
          <w:sz w:val="32"/>
          <w:szCs w:val="32"/>
        </w:rPr>
        <w:t>方所属行业原则上应当与园区规划相符。不相符的，管理人应当结合</w:t>
      </w:r>
      <w:r>
        <w:rPr>
          <w:rFonts w:eastAsia="仿宋_GB2312" w:hint="eastAsia"/>
          <w:bCs/>
          <w:sz w:val="32"/>
          <w:szCs w:val="32"/>
        </w:rPr>
        <w:t>有关</w:t>
      </w:r>
      <w:r>
        <w:rPr>
          <w:rFonts w:eastAsia="仿宋_GB2312"/>
          <w:bCs/>
          <w:sz w:val="32"/>
          <w:szCs w:val="32"/>
        </w:rPr>
        <w:t>产业政策文件、主管机关意见等披露下列内容：</w:t>
      </w:r>
    </w:p>
    <w:p w14:paraId="5233973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（一）重要现金</w:t>
      </w:r>
      <w:proofErr w:type="gramStart"/>
      <w:r>
        <w:rPr>
          <w:rFonts w:eastAsia="仿宋_GB2312"/>
          <w:bCs/>
          <w:sz w:val="32"/>
          <w:szCs w:val="32"/>
        </w:rPr>
        <w:t>流提供</w:t>
      </w:r>
      <w:proofErr w:type="gramEnd"/>
      <w:r>
        <w:rPr>
          <w:rFonts w:eastAsia="仿宋_GB2312"/>
          <w:bCs/>
          <w:sz w:val="32"/>
          <w:szCs w:val="32"/>
        </w:rPr>
        <w:t>方所属行业与园区规划不相符的原因以及是否符合</w:t>
      </w:r>
      <w:r>
        <w:rPr>
          <w:rFonts w:eastAsia="仿宋_GB2312" w:hint="eastAsia"/>
          <w:bCs/>
          <w:sz w:val="32"/>
          <w:szCs w:val="32"/>
        </w:rPr>
        <w:t>有关</w:t>
      </w:r>
      <w:r>
        <w:rPr>
          <w:rFonts w:eastAsia="仿宋_GB2312"/>
          <w:bCs/>
          <w:sz w:val="32"/>
          <w:szCs w:val="32"/>
        </w:rPr>
        <w:t>法律法规和政策文件的要求；</w:t>
      </w:r>
    </w:p>
    <w:p w14:paraId="203C485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（二）所属行业与园区规划不相符的租户提供的收入占比以及租赁面积占比；</w:t>
      </w:r>
    </w:p>
    <w:p w14:paraId="43B0BA2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（三）对</w:t>
      </w:r>
      <w:r>
        <w:rPr>
          <w:rFonts w:eastAsia="仿宋_GB2312" w:hint="eastAsia"/>
          <w:bCs/>
          <w:sz w:val="32"/>
          <w:szCs w:val="32"/>
        </w:rPr>
        <w:t>不动产</w:t>
      </w:r>
      <w:r>
        <w:rPr>
          <w:rFonts w:eastAsia="仿宋_GB2312"/>
          <w:bCs/>
          <w:sz w:val="32"/>
          <w:szCs w:val="32"/>
        </w:rPr>
        <w:t>项目运营合法合</w:t>
      </w:r>
      <w:proofErr w:type="gramStart"/>
      <w:r>
        <w:rPr>
          <w:rFonts w:eastAsia="仿宋_GB2312"/>
          <w:bCs/>
          <w:sz w:val="32"/>
          <w:szCs w:val="32"/>
        </w:rPr>
        <w:t>规</w:t>
      </w:r>
      <w:proofErr w:type="gramEnd"/>
      <w:r>
        <w:rPr>
          <w:rFonts w:eastAsia="仿宋_GB2312"/>
          <w:bCs/>
          <w:sz w:val="32"/>
          <w:szCs w:val="32"/>
        </w:rPr>
        <w:t>性、相关税收优惠可持续性（如有）等影响，充分揭示风险，并设置风险缓释措施。</w:t>
      </w:r>
    </w:p>
    <w:p w14:paraId="6DE3387F"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原始权益人应当说明</w:t>
      </w:r>
      <w:r>
        <w:rPr>
          <w:rFonts w:eastAsia="仿宋_GB2312" w:hint="eastAsia"/>
          <w:bCs/>
          <w:sz w:val="32"/>
          <w:szCs w:val="32"/>
        </w:rPr>
        <w:t>不动产</w:t>
      </w:r>
      <w:r>
        <w:rPr>
          <w:rFonts w:eastAsia="仿宋_GB2312"/>
          <w:bCs/>
          <w:sz w:val="32"/>
          <w:szCs w:val="32"/>
        </w:rPr>
        <w:t>项目所涉及的投资协议等</w:t>
      </w:r>
      <w:r>
        <w:rPr>
          <w:rFonts w:eastAsia="仿宋_GB2312" w:hint="eastAsia"/>
          <w:bCs/>
          <w:sz w:val="32"/>
          <w:szCs w:val="32"/>
        </w:rPr>
        <w:t>有关</w:t>
      </w:r>
      <w:r>
        <w:rPr>
          <w:rFonts w:eastAsia="仿宋_GB2312"/>
          <w:bCs/>
          <w:sz w:val="32"/>
          <w:szCs w:val="32"/>
        </w:rPr>
        <w:t>法律文件是否存在关于</w:t>
      </w:r>
      <w:r>
        <w:rPr>
          <w:rFonts w:eastAsia="仿宋_GB2312" w:hint="eastAsia"/>
          <w:bCs/>
          <w:sz w:val="32"/>
          <w:szCs w:val="32"/>
        </w:rPr>
        <w:t>不动产</w:t>
      </w:r>
      <w:r>
        <w:rPr>
          <w:rFonts w:eastAsia="仿宋_GB2312"/>
          <w:bCs/>
          <w:sz w:val="32"/>
          <w:szCs w:val="32"/>
        </w:rPr>
        <w:t>项目运营的投资强度、产出强度和税收强度等经济指标约束和相关承诺，以及违约责任。</w:t>
      </w:r>
    </w:p>
    <w:p w14:paraId="40FB4C69"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管理人应当对经济指标约束、相关承诺和违约责任进行核查，并发表明确意见。存在经济指标约束和相关承诺的，管理人应当披露可能存在的违约风险，并设置风险缓释措施。</w:t>
      </w:r>
    </w:p>
    <w:p w14:paraId="03AF1DC2"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项目涉及孵化器运营模式的，管理人应当披露孵化器的业务模式、经营情况、运营管理安排、孵化器经营的产业集群和赋能情况等（如有），对孵化器运营模式的现金流稳定性进行核查并发表明确意见。</w:t>
      </w:r>
    </w:p>
    <w:p w14:paraId="70154522" w14:textId="77777777" w:rsidR="005C45E9" w:rsidRDefault="00000000">
      <w:pPr>
        <w:numPr>
          <w:ilvl w:val="0"/>
          <w:numId w:val="7"/>
        </w:numPr>
        <w:adjustRightInd w:val="0"/>
        <w:snapToGrid w:val="0"/>
        <w:spacing w:line="560" w:lineRule="exact"/>
        <w:rPr>
          <w:rFonts w:eastAsia="仿宋_GB2312"/>
          <w:bCs/>
          <w:kern w:val="0"/>
          <w:sz w:val="32"/>
          <w:szCs w:val="32"/>
        </w:rPr>
      </w:pPr>
      <w:r>
        <w:rPr>
          <w:rFonts w:eastAsia="仿宋_GB2312" w:hint="eastAsia"/>
          <w:bCs/>
          <w:kern w:val="0"/>
          <w:sz w:val="32"/>
          <w:szCs w:val="32"/>
        </w:rPr>
        <w:t>不动产</w:t>
      </w:r>
      <w:r>
        <w:rPr>
          <w:rFonts w:eastAsia="仿宋_GB2312"/>
          <w:bCs/>
          <w:kern w:val="0"/>
          <w:sz w:val="32"/>
          <w:szCs w:val="32"/>
        </w:rPr>
        <w:t>项目根据租户定制</w:t>
      </w:r>
      <w:proofErr w:type="gramStart"/>
      <w:r>
        <w:rPr>
          <w:rFonts w:eastAsia="仿宋_GB2312"/>
          <w:bCs/>
          <w:kern w:val="0"/>
          <w:sz w:val="32"/>
          <w:szCs w:val="32"/>
        </w:rPr>
        <w:t>化需求</w:t>
      </w:r>
      <w:proofErr w:type="gramEnd"/>
      <w:r>
        <w:rPr>
          <w:rFonts w:eastAsia="仿宋_GB2312"/>
          <w:bCs/>
          <w:kern w:val="0"/>
          <w:sz w:val="32"/>
          <w:szCs w:val="32"/>
        </w:rPr>
        <w:t>建设的，管理人应当审慎评估相关租户</w:t>
      </w:r>
      <w:proofErr w:type="gramStart"/>
      <w:r>
        <w:rPr>
          <w:rFonts w:eastAsia="仿宋_GB2312"/>
          <w:bCs/>
          <w:kern w:val="0"/>
          <w:sz w:val="32"/>
          <w:szCs w:val="32"/>
        </w:rPr>
        <w:t>换租对</w:t>
      </w:r>
      <w:proofErr w:type="gramEnd"/>
      <w:r>
        <w:rPr>
          <w:rFonts w:eastAsia="仿宋_GB2312" w:hint="eastAsia"/>
          <w:bCs/>
          <w:sz w:val="32"/>
          <w:szCs w:val="32"/>
        </w:rPr>
        <w:t>不动产</w:t>
      </w:r>
      <w:r>
        <w:rPr>
          <w:rFonts w:eastAsia="仿宋_GB2312"/>
          <w:bCs/>
          <w:kern w:val="0"/>
          <w:sz w:val="32"/>
          <w:szCs w:val="32"/>
        </w:rPr>
        <w:t>项目运营、空置率、大额费用支出等的影响，充分揭示风险，并设置风险缓释措施。</w:t>
      </w:r>
    </w:p>
    <w:p w14:paraId="7B0A2940"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项目存在免租期约定、租金折扣等优惠安排的，管理人应当披露优惠安排具体内容、执行</w:t>
      </w:r>
      <w:r>
        <w:rPr>
          <w:rFonts w:eastAsia="仿宋_GB2312" w:hint="eastAsia"/>
          <w:bCs/>
          <w:sz w:val="32"/>
          <w:szCs w:val="32"/>
        </w:rPr>
        <w:t>情况</w:t>
      </w:r>
      <w:r>
        <w:rPr>
          <w:rFonts w:eastAsia="仿宋_GB2312"/>
          <w:bCs/>
          <w:sz w:val="32"/>
          <w:szCs w:val="32"/>
        </w:rPr>
        <w:t>等，并分别披露合同租金</w:t>
      </w:r>
      <w:r>
        <w:rPr>
          <w:rFonts w:eastAsia="仿宋_GB2312" w:hint="eastAsia"/>
          <w:bCs/>
          <w:sz w:val="32"/>
          <w:szCs w:val="32"/>
        </w:rPr>
        <w:t>单价</w:t>
      </w:r>
      <w:r>
        <w:rPr>
          <w:rFonts w:eastAsia="仿宋_GB2312"/>
          <w:bCs/>
          <w:sz w:val="32"/>
          <w:szCs w:val="32"/>
        </w:rPr>
        <w:t>以及实际租金</w:t>
      </w:r>
      <w:r>
        <w:rPr>
          <w:rFonts w:eastAsia="仿宋_GB2312" w:hint="eastAsia"/>
          <w:bCs/>
          <w:sz w:val="32"/>
          <w:szCs w:val="32"/>
        </w:rPr>
        <w:t>单价</w:t>
      </w:r>
      <w:r>
        <w:rPr>
          <w:rFonts w:eastAsia="仿宋_GB2312"/>
          <w:bCs/>
          <w:sz w:val="32"/>
          <w:szCs w:val="32"/>
        </w:rPr>
        <w:t>，充分说明二者之间的差异。存在较长免租期安排的，管理人还应当说明原因和合理性，并充分揭示风险。</w:t>
      </w:r>
    </w:p>
    <w:p w14:paraId="4FDD7ED9"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第三节</w:t>
      </w:r>
      <w:r>
        <w:rPr>
          <w:rFonts w:ascii="Times New Roman" w:hAnsi="Times New Roman"/>
          <w:b w:val="0"/>
          <w:bCs w:val="0"/>
          <w:szCs w:val="32"/>
        </w:rPr>
        <w:t xml:space="preserve"> </w:t>
      </w:r>
      <w:r>
        <w:rPr>
          <w:rFonts w:ascii="Times New Roman" w:hAnsi="Times New Roman" w:hint="eastAsia"/>
          <w:b w:val="0"/>
          <w:bCs w:val="0"/>
          <w:szCs w:val="32"/>
        </w:rPr>
        <w:t>不动</w:t>
      </w:r>
      <w:r>
        <w:rPr>
          <w:rFonts w:ascii="Times New Roman" w:hAnsi="Times New Roman"/>
          <w:b w:val="0"/>
          <w:bCs w:val="0"/>
          <w:szCs w:val="32"/>
        </w:rPr>
        <w:t>产评估</w:t>
      </w:r>
    </w:p>
    <w:p w14:paraId="7F583BBF"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评估机构应当结合</w:t>
      </w:r>
      <w:r>
        <w:rPr>
          <w:rFonts w:eastAsia="仿宋_GB2312" w:hint="eastAsia"/>
          <w:bCs/>
          <w:sz w:val="32"/>
          <w:szCs w:val="32"/>
        </w:rPr>
        <w:t>不动产</w:t>
      </w:r>
      <w:r>
        <w:rPr>
          <w:rFonts w:eastAsia="仿宋_GB2312"/>
          <w:bCs/>
          <w:sz w:val="32"/>
          <w:szCs w:val="32"/>
        </w:rPr>
        <w:t>项目基本情况和历史运营情况</w:t>
      </w:r>
      <w:r>
        <w:rPr>
          <w:rFonts w:eastAsia="仿宋_GB2312" w:hint="eastAsia"/>
          <w:bCs/>
          <w:sz w:val="32"/>
          <w:szCs w:val="32"/>
        </w:rPr>
        <w:t>，充分考虑宏观经济情况、</w:t>
      </w:r>
      <w:r>
        <w:rPr>
          <w:rFonts w:eastAsia="仿宋_GB2312"/>
          <w:bCs/>
          <w:sz w:val="32"/>
          <w:szCs w:val="32"/>
        </w:rPr>
        <w:t>租户所属行业发展情况、周边可比项目、</w:t>
      </w:r>
      <w:r>
        <w:rPr>
          <w:rFonts w:eastAsia="仿宋_GB2312" w:hint="eastAsia"/>
          <w:bCs/>
          <w:sz w:val="32"/>
          <w:szCs w:val="32"/>
        </w:rPr>
        <w:t>资产</w:t>
      </w:r>
      <w:r>
        <w:rPr>
          <w:rFonts w:eastAsia="仿宋_GB2312"/>
          <w:bCs/>
          <w:sz w:val="32"/>
          <w:szCs w:val="32"/>
        </w:rPr>
        <w:t>竞争力、资产运营管理能力等内外部因素对</w:t>
      </w:r>
      <w:r>
        <w:rPr>
          <w:rFonts w:eastAsia="仿宋_GB2312" w:hint="eastAsia"/>
          <w:bCs/>
          <w:sz w:val="32"/>
          <w:szCs w:val="32"/>
        </w:rPr>
        <w:t>不动产</w:t>
      </w:r>
      <w:r>
        <w:rPr>
          <w:rFonts w:eastAsia="仿宋_GB2312"/>
          <w:bCs/>
          <w:sz w:val="32"/>
          <w:szCs w:val="32"/>
        </w:rPr>
        <w:t>项目估值的影响，合理确定收益年限、</w:t>
      </w:r>
      <w:r>
        <w:rPr>
          <w:rFonts w:eastAsia="仿宋_GB2312" w:hint="eastAsia"/>
          <w:bCs/>
          <w:sz w:val="32"/>
          <w:szCs w:val="32"/>
        </w:rPr>
        <w:t>出租率、</w:t>
      </w:r>
      <w:r>
        <w:rPr>
          <w:rFonts w:eastAsia="仿宋_GB2312"/>
          <w:bCs/>
          <w:sz w:val="32"/>
          <w:szCs w:val="32"/>
        </w:rPr>
        <w:t>租金单价、租金增长率、租金收缴率</w:t>
      </w:r>
      <w:r>
        <w:rPr>
          <w:rFonts w:eastAsia="仿宋_GB2312" w:hint="eastAsia"/>
          <w:bCs/>
          <w:sz w:val="32"/>
          <w:szCs w:val="32"/>
        </w:rPr>
        <w:t>、成本、费用</w:t>
      </w:r>
      <w:r>
        <w:rPr>
          <w:rFonts w:eastAsia="仿宋_GB2312"/>
          <w:bCs/>
          <w:sz w:val="32"/>
          <w:szCs w:val="32"/>
        </w:rPr>
        <w:t>、折现率</w:t>
      </w:r>
      <w:r>
        <w:rPr>
          <w:rFonts w:eastAsia="仿宋_GB2312" w:hint="eastAsia"/>
          <w:bCs/>
          <w:sz w:val="32"/>
          <w:szCs w:val="32"/>
        </w:rPr>
        <w:t>、资本性支出</w:t>
      </w:r>
      <w:r>
        <w:rPr>
          <w:rFonts w:eastAsia="仿宋_GB2312"/>
          <w:bCs/>
          <w:sz w:val="32"/>
          <w:szCs w:val="32"/>
        </w:rPr>
        <w:t>等核心估值参数，并按照下列要求审慎进行</w:t>
      </w:r>
      <w:r>
        <w:rPr>
          <w:rFonts w:eastAsia="仿宋_GB2312" w:hint="eastAsia"/>
          <w:bCs/>
          <w:sz w:val="32"/>
          <w:szCs w:val="32"/>
        </w:rPr>
        <w:t>不动产</w:t>
      </w:r>
      <w:r>
        <w:rPr>
          <w:rFonts w:eastAsia="仿宋_GB2312"/>
          <w:bCs/>
          <w:sz w:val="32"/>
          <w:szCs w:val="32"/>
        </w:rPr>
        <w:t>项目估值：</w:t>
      </w:r>
    </w:p>
    <w:p w14:paraId="76F9045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（一）收益年限参数取值应当充分考虑区域总体规划是否存在重大调整，以及</w:t>
      </w:r>
      <w:r>
        <w:rPr>
          <w:rFonts w:eastAsia="仿宋_GB2312" w:hint="eastAsia"/>
          <w:bCs/>
          <w:sz w:val="32"/>
          <w:szCs w:val="32"/>
        </w:rPr>
        <w:t>不动产</w:t>
      </w:r>
      <w:r>
        <w:rPr>
          <w:rFonts w:eastAsia="仿宋_GB2312"/>
          <w:bCs/>
          <w:sz w:val="32"/>
          <w:szCs w:val="32"/>
        </w:rPr>
        <w:t>项目建筑设计功能、使用期限、土地使用权期限等；</w:t>
      </w:r>
    </w:p>
    <w:p w14:paraId="4A27BA6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（二）出租率和租金收缴率参数取值应当充分考虑</w:t>
      </w:r>
      <w:r>
        <w:rPr>
          <w:rFonts w:eastAsia="仿宋_GB2312" w:hint="eastAsia"/>
          <w:bCs/>
          <w:sz w:val="32"/>
          <w:szCs w:val="32"/>
        </w:rPr>
        <w:t>不动产</w:t>
      </w:r>
      <w:r>
        <w:rPr>
          <w:rFonts w:eastAsia="仿宋_GB2312"/>
          <w:bCs/>
          <w:sz w:val="32"/>
          <w:szCs w:val="32"/>
        </w:rPr>
        <w:t>项目租户所属行业发展情况、现有租赁合同期限以及到期时间分布、历史年末</w:t>
      </w:r>
      <w:r>
        <w:rPr>
          <w:rFonts w:eastAsia="仿宋_GB2312" w:hint="eastAsia"/>
          <w:bCs/>
          <w:sz w:val="32"/>
          <w:szCs w:val="32"/>
        </w:rPr>
        <w:t>/</w:t>
      </w:r>
      <w:r>
        <w:rPr>
          <w:rFonts w:eastAsia="仿宋_GB2312"/>
          <w:bCs/>
          <w:sz w:val="32"/>
          <w:szCs w:val="32"/>
        </w:rPr>
        <w:t>期末出租率、</w:t>
      </w:r>
      <w:bookmarkStart w:id="13" w:name="_Hlk177833139"/>
      <w:r>
        <w:rPr>
          <w:rFonts w:eastAsia="仿宋_GB2312"/>
          <w:bCs/>
          <w:sz w:val="32"/>
          <w:szCs w:val="32"/>
        </w:rPr>
        <w:t>历史年度加权平均出租率、</w:t>
      </w:r>
      <w:bookmarkEnd w:id="13"/>
      <w:r>
        <w:rPr>
          <w:rFonts w:eastAsia="仿宋_GB2312"/>
          <w:bCs/>
          <w:sz w:val="32"/>
          <w:szCs w:val="32"/>
        </w:rPr>
        <w:t>租户结构、续租率</w:t>
      </w:r>
      <w:bookmarkStart w:id="14" w:name="_Hlk177833285"/>
      <w:r>
        <w:rPr>
          <w:rFonts w:eastAsia="仿宋_GB2312"/>
          <w:bCs/>
          <w:sz w:val="32"/>
          <w:szCs w:val="32"/>
        </w:rPr>
        <w:t>、历史租金收缴率、退租后去化时间、</w:t>
      </w:r>
      <w:bookmarkEnd w:id="14"/>
      <w:r>
        <w:rPr>
          <w:rFonts w:eastAsia="仿宋_GB2312"/>
          <w:bCs/>
          <w:sz w:val="32"/>
          <w:szCs w:val="32"/>
        </w:rPr>
        <w:t>区域可比项目出租率、区域同类资产的市场供需情况等因素的影响；</w:t>
      </w:r>
    </w:p>
    <w:p w14:paraId="7126913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（三）租金单价以及租金增长率参数取值应当充分考虑</w:t>
      </w:r>
      <w:r>
        <w:rPr>
          <w:rFonts w:eastAsia="仿宋_GB2312" w:hint="eastAsia"/>
          <w:bCs/>
          <w:sz w:val="32"/>
          <w:szCs w:val="32"/>
        </w:rPr>
        <w:t>不动产</w:t>
      </w:r>
      <w:r>
        <w:rPr>
          <w:rFonts w:eastAsia="仿宋_GB2312"/>
          <w:bCs/>
          <w:sz w:val="32"/>
          <w:szCs w:val="32"/>
        </w:rPr>
        <w:t>项目所在城市以及区域宏观经济发展情况、</w:t>
      </w:r>
      <w:r>
        <w:rPr>
          <w:rFonts w:eastAsia="仿宋_GB2312" w:hint="eastAsia"/>
          <w:bCs/>
          <w:sz w:val="32"/>
          <w:szCs w:val="32"/>
        </w:rPr>
        <w:t>不动产</w:t>
      </w:r>
      <w:r>
        <w:rPr>
          <w:rFonts w:eastAsia="仿宋_GB2312"/>
          <w:bCs/>
          <w:sz w:val="32"/>
          <w:szCs w:val="32"/>
        </w:rPr>
        <w:t>项目区位、园区定位、配套设施、租约中设定的优惠政策、历史年末</w:t>
      </w:r>
      <w:r>
        <w:rPr>
          <w:rFonts w:eastAsia="仿宋_GB2312" w:hint="eastAsia"/>
          <w:bCs/>
          <w:sz w:val="32"/>
          <w:szCs w:val="32"/>
        </w:rPr>
        <w:t>/</w:t>
      </w:r>
      <w:r>
        <w:rPr>
          <w:rFonts w:eastAsia="仿宋_GB2312"/>
          <w:bCs/>
          <w:sz w:val="32"/>
          <w:szCs w:val="32"/>
        </w:rPr>
        <w:t>期末有效租金单价、租户结构、区域可比项目租金</w:t>
      </w:r>
      <w:r>
        <w:rPr>
          <w:rFonts w:eastAsia="仿宋_GB2312" w:hint="eastAsia"/>
          <w:bCs/>
          <w:sz w:val="32"/>
          <w:szCs w:val="32"/>
        </w:rPr>
        <w:t>单价</w:t>
      </w:r>
      <w:r>
        <w:rPr>
          <w:rFonts w:eastAsia="仿宋_GB2312"/>
          <w:bCs/>
          <w:sz w:val="32"/>
          <w:szCs w:val="32"/>
        </w:rPr>
        <w:t>、区域性租金政策（如有）、区域同类资产的市场供需情况等因素的影响</w:t>
      </w:r>
      <w:r>
        <w:rPr>
          <w:rFonts w:eastAsia="仿宋_GB2312" w:hint="eastAsia"/>
          <w:bCs/>
          <w:sz w:val="32"/>
          <w:szCs w:val="32"/>
        </w:rPr>
        <w:t>；</w:t>
      </w:r>
      <w:r>
        <w:rPr>
          <w:rFonts w:eastAsia="仿宋_GB2312"/>
          <w:bCs/>
          <w:sz w:val="32"/>
          <w:szCs w:val="32"/>
        </w:rPr>
        <w:t>评估机构采用市场价格预测</w:t>
      </w:r>
      <w:r>
        <w:rPr>
          <w:rFonts w:eastAsia="仿宋_GB2312" w:hint="eastAsia"/>
          <w:bCs/>
          <w:sz w:val="32"/>
          <w:szCs w:val="32"/>
        </w:rPr>
        <w:t>不动产</w:t>
      </w:r>
      <w:r>
        <w:rPr>
          <w:rFonts w:eastAsia="仿宋_GB2312"/>
          <w:bCs/>
          <w:sz w:val="32"/>
          <w:szCs w:val="32"/>
        </w:rPr>
        <w:t>项目租约期外租金</w:t>
      </w:r>
      <w:r>
        <w:rPr>
          <w:rFonts w:eastAsia="仿宋_GB2312" w:hint="eastAsia"/>
          <w:bCs/>
          <w:sz w:val="32"/>
          <w:szCs w:val="32"/>
        </w:rPr>
        <w:t>单价</w:t>
      </w:r>
      <w:r>
        <w:rPr>
          <w:rFonts w:eastAsia="仿宋_GB2312"/>
          <w:bCs/>
          <w:sz w:val="32"/>
          <w:szCs w:val="32"/>
        </w:rPr>
        <w:t>的，应当充分考虑</w:t>
      </w:r>
      <w:r>
        <w:rPr>
          <w:rFonts w:eastAsia="仿宋_GB2312" w:hint="eastAsia"/>
          <w:bCs/>
          <w:sz w:val="32"/>
          <w:szCs w:val="32"/>
        </w:rPr>
        <w:t>不动产</w:t>
      </w:r>
      <w:r>
        <w:rPr>
          <w:rFonts w:eastAsia="仿宋_GB2312"/>
          <w:bCs/>
          <w:sz w:val="32"/>
          <w:szCs w:val="32"/>
        </w:rPr>
        <w:t>项目年末</w:t>
      </w:r>
      <w:r>
        <w:rPr>
          <w:rFonts w:eastAsia="仿宋_GB2312" w:hint="eastAsia"/>
          <w:bCs/>
          <w:sz w:val="32"/>
          <w:szCs w:val="32"/>
        </w:rPr>
        <w:t>/</w:t>
      </w:r>
      <w:r>
        <w:rPr>
          <w:rFonts w:eastAsia="仿宋_GB2312"/>
          <w:bCs/>
          <w:sz w:val="32"/>
          <w:szCs w:val="32"/>
        </w:rPr>
        <w:t>期末有效租金单价、出租率与周边可比项目的差异等情况；</w:t>
      </w:r>
    </w:p>
    <w:p w14:paraId="6F9E446B"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（四）各类收入、各类成本、资本性支出等参数选取应当充分考虑</w:t>
      </w:r>
      <w:r>
        <w:rPr>
          <w:rFonts w:eastAsia="仿宋_GB2312" w:hint="eastAsia"/>
          <w:bCs/>
          <w:sz w:val="32"/>
          <w:szCs w:val="32"/>
        </w:rPr>
        <w:t>不动产</w:t>
      </w:r>
      <w:r>
        <w:rPr>
          <w:rFonts w:eastAsia="仿宋_GB2312"/>
          <w:bCs/>
          <w:sz w:val="32"/>
          <w:szCs w:val="32"/>
        </w:rPr>
        <w:t>项目运营时间、招租模式、物业管理模式、行业特征、历史各类收入、收入占比及其增长率、历史各类成本费用、成本费用占比及其增长率、历史资本性支出等情况。</w:t>
      </w:r>
    </w:p>
    <w:p w14:paraId="25B3C1D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评估机构应当结合周边区域产业园区平均空置率、租金</w:t>
      </w:r>
      <w:r>
        <w:rPr>
          <w:rFonts w:eastAsia="仿宋_GB2312" w:hint="eastAsia"/>
          <w:bCs/>
          <w:sz w:val="32"/>
          <w:szCs w:val="32"/>
        </w:rPr>
        <w:t>单价</w:t>
      </w:r>
      <w:r>
        <w:rPr>
          <w:rFonts w:eastAsia="仿宋_GB2312"/>
          <w:bCs/>
          <w:sz w:val="32"/>
          <w:szCs w:val="32"/>
        </w:rPr>
        <w:t>等情况，说明可比项目选取的合理性。</w:t>
      </w:r>
    </w:p>
    <w:p w14:paraId="7C214B5E"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管理人、财务顾问（如有）应当按照本指引第四十五条的规定披露</w:t>
      </w:r>
      <w:r>
        <w:rPr>
          <w:rFonts w:eastAsia="仿宋_GB2312" w:hint="eastAsia"/>
          <w:bCs/>
          <w:sz w:val="32"/>
          <w:szCs w:val="32"/>
        </w:rPr>
        <w:t>不动产</w:t>
      </w:r>
      <w:r>
        <w:rPr>
          <w:rFonts w:eastAsia="仿宋_GB2312"/>
          <w:bCs/>
          <w:sz w:val="32"/>
          <w:szCs w:val="32"/>
        </w:rPr>
        <w:t>项目的评估情况，按照本附件</w:t>
      </w:r>
      <w:r>
        <w:rPr>
          <w:rFonts w:eastAsia="仿宋_GB2312" w:hint="eastAsia"/>
          <w:bCs/>
          <w:sz w:val="32"/>
          <w:szCs w:val="32"/>
        </w:rPr>
        <w:t>第九条</w:t>
      </w:r>
      <w:r>
        <w:rPr>
          <w:rFonts w:eastAsia="仿宋_GB2312"/>
          <w:bCs/>
          <w:sz w:val="32"/>
          <w:szCs w:val="32"/>
        </w:rPr>
        <w:t>的要求就估值参数取值的合理性发表明确意见，并结合单位面积价格、首个完整会计年度的资本化率（</w:t>
      </w:r>
      <w:r>
        <w:rPr>
          <w:rFonts w:eastAsia="仿宋_GB2312"/>
          <w:bCs/>
          <w:sz w:val="32"/>
          <w:szCs w:val="32"/>
        </w:rPr>
        <w:t>Cap Rate</w:t>
      </w:r>
      <w:r>
        <w:rPr>
          <w:rFonts w:eastAsia="仿宋_GB2312"/>
          <w:bCs/>
          <w:sz w:val="32"/>
          <w:szCs w:val="32"/>
        </w:rPr>
        <w:t>），以及同</w:t>
      </w:r>
      <w:r>
        <w:rPr>
          <w:rFonts w:eastAsia="仿宋_GB2312" w:hint="eastAsia"/>
          <w:bCs/>
          <w:sz w:val="32"/>
          <w:szCs w:val="32"/>
        </w:rPr>
        <w:t>行业已上市不动产基</w:t>
      </w:r>
      <w:r>
        <w:rPr>
          <w:rFonts w:eastAsia="仿宋_GB2312"/>
          <w:bCs/>
          <w:sz w:val="32"/>
          <w:szCs w:val="32"/>
        </w:rPr>
        <w:t>金、同行业上市公司重大资产重组和大宗交易（如有）的估值参数选取情况，对评估参数和评估方法的选取进行独立核查，对评估结果的合理性发表明确意见。</w:t>
      </w:r>
    </w:p>
    <w:p w14:paraId="245560AB"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w:t>
      </w:r>
      <w:r>
        <w:rPr>
          <w:rFonts w:ascii="Times New Roman" w:hAnsi="Times New Roman"/>
          <w:b w:val="0"/>
          <w:bCs w:val="0"/>
          <w:szCs w:val="32"/>
        </w:rPr>
        <w:t xml:space="preserve"> </w:t>
      </w:r>
      <w:r>
        <w:rPr>
          <w:rFonts w:ascii="Times New Roman" w:hAnsi="Times New Roman"/>
          <w:b w:val="0"/>
          <w:bCs w:val="0"/>
          <w:szCs w:val="32"/>
        </w:rPr>
        <w:t>运营管理安排</w:t>
      </w:r>
    </w:p>
    <w:p w14:paraId="7A6A3BFC"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eastAsia="仿宋_GB2312" w:hint="eastAsia"/>
          <w:bCs/>
          <w:sz w:val="32"/>
          <w:szCs w:val="32"/>
        </w:rPr>
        <w:t>不动产</w:t>
      </w:r>
      <w:r>
        <w:rPr>
          <w:rFonts w:eastAsia="仿宋_GB2312"/>
          <w:bCs/>
          <w:sz w:val="32"/>
          <w:szCs w:val="32"/>
        </w:rPr>
        <w:t>项目运营模式特点，明确分层决策机制中各决策层面对涉及</w:t>
      </w:r>
      <w:r>
        <w:rPr>
          <w:rFonts w:eastAsia="仿宋_GB2312" w:hint="eastAsia"/>
          <w:bCs/>
          <w:sz w:val="32"/>
          <w:szCs w:val="32"/>
        </w:rPr>
        <w:t>不动产</w:t>
      </w:r>
      <w:r>
        <w:rPr>
          <w:rFonts w:eastAsia="仿宋_GB2312"/>
          <w:bCs/>
          <w:sz w:val="32"/>
          <w:szCs w:val="32"/>
        </w:rPr>
        <w:t>项目运营的重要事项的决策安排，包括园区规划、租金调整、免租安排、租金优惠、租户结构调整、关联方协议签署、委托物业管理、运营成本调整、</w:t>
      </w:r>
      <w:r>
        <w:rPr>
          <w:rFonts w:eastAsia="仿宋_GB2312" w:hint="eastAsia"/>
          <w:bCs/>
          <w:sz w:val="32"/>
          <w:szCs w:val="32"/>
        </w:rPr>
        <w:t>核心</w:t>
      </w:r>
      <w:r>
        <w:rPr>
          <w:rFonts w:eastAsia="仿宋_GB2312"/>
          <w:bCs/>
          <w:sz w:val="32"/>
          <w:szCs w:val="32"/>
        </w:rPr>
        <w:t>人员调整、突发事件响应安排等。</w:t>
      </w:r>
    </w:p>
    <w:p w14:paraId="588C37C5"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bCs/>
          <w:sz w:val="32"/>
          <w:szCs w:val="32"/>
        </w:rPr>
        <w:t>基金管理人应当披露</w:t>
      </w:r>
      <w:r>
        <w:rPr>
          <w:rFonts w:eastAsia="仿宋_GB2312" w:hint="eastAsia"/>
          <w:bCs/>
          <w:sz w:val="32"/>
          <w:szCs w:val="32"/>
        </w:rPr>
        <w:t>运营</w:t>
      </w:r>
      <w:r>
        <w:rPr>
          <w:rFonts w:eastAsia="仿宋_GB2312"/>
          <w:bCs/>
          <w:sz w:val="32"/>
          <w:szCs w:val="32"/>
        </w:rPr>
        <w:t>管理机构历史以及在</w:t>
      </w:r>
      <w:proofErr w:type="gramStart"/>
      <w:r>
        <w:rPr>
          <w:rFonts w:eastAsia="仿宋_GB2312"/>
          <w:bCs/>
          <w:sz w:val="32"/>
          <w:szCs w:val="32"/>
        </w:rPr>
        <w:t>管产业</w:t>
      </w:r>
      <w:proofErr w:type="gramEnd"/>
      <w:r>
        <w:rPr>
          <w:rFonts w:eastAsia="仿宋_GB2312"/>
          <w:bCs/>
          <w:sz w:val="32"/>
          <w:szCs w:val="32"/>
        </w:rPr>
        <w:t>园区情况、人员设置、未来管理计划等，充分说明</w:t>
      </w:r>
      <w:r>
        <w:rPr>
          <w:rFonts w:eastAsia="仿宋_GB2312" w:hint="eastAsia"/>
          <w:bCs/>
          <w:sz w:val="32"/>
          <w:szCs w:val="32"/>
        </w:rPr>
        <w:t>运营</w:t>
      </w:r>
      <w:r>
        <w:rPr>
          <w:rFonts w:eastAsia="仿宋_GB2312"/>
          <w:bCs/>
          <w:sz w:val="32"/>
          <w:szCs w:val="32"/>
        </w:rPr>
        <w:t>管理机构的管理能力。</w:t>
      </w:r>
    </w:p>
    <w:p w14:paraId="164458E9" w14:textId="77777777" w:rsidR="005C45E9" w:rsidRDefault="00000000">
      <w:pPr>
        <w:pStyle w:val="Style3"/>
        <w:numPr>
          <w:ilvl w:val="0"/>
          <w:numId w:val="7"/>
        </w:numPr>
        <w:adjustRightInd w:val="0"/>
        <w:snapToGrid w:val="0"/>
        <w:spacing w:line="560" w:lineRule="exact"/>
        <w:rPr>
          <w:rFonts w:eastAsia="仿宋_GB2312"/>
          <w:bCs/>
          <w:sz w:val="32"/>
          <w:szCs w:val="32"/>
        </w:rPr>
      </w:pPr>
      <w:r>
        <w:rPr>
          <w:rFonts w:eastAsia="仿宋_GB2312" w:hint="eastAsia"/>
          <w:bCs/>
          <w:sz w:val="32"/>
          <w:szCs w:val="32"/>
        </w:rPr>
        <w:t>运营</w:t>
      </w:r>
      <w:r>
        <w:rPr>
          <w:rFonts w:eastAsia="仿宋_GB2312"/>
          <w:bCs/>
          <w:sz w:val="32"/>
          <w:szCs w:val="32"/>
        </w:rPr>
        <w:t>管理机构存在同业竞争情况的，基金管理人应当通过运营管理协议明确对</w:t>
      </w:r>
      <w:r>
        <w:rPr>
          <w:rFonts w:eastAsia="仿宋_GB2312" w:hint="eastAsia"/>
          <w:bCs/>
          <w:sz w:val="32"/>
          <w:szCs w:val="32"/>
        </w:rPr>
        <w:t>运营</w:t>
      </w:r>
      <w:r>
        <w:rPr>
          <w:rFonts w:eastAsia="仿宋_GB2312"/>
          <w:bCs/>
          <w:sz w:val="32"/>
          <w:szCs w:val="32"/>
        </w:rPr>
        <w:t>管理机构的约束机制，防范同业竞争和利益冲突，保障投资者合法权益。</w:t>
      </w:r>
    </w:p>
    <w:p w14:paraId="57139C0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基金管理人可以约定</w:t>
      </w:r>
      <w:r>
        <w:rPr>
          <w:rFonts w:eastAsia="仿宋_GB2312" w:hint="eastAsia"/>
          <w:bCs/>
          <w:sz w:val="32"/>
          <w:szCs w:val="32"/>
        </w:rPr>
        <w:t>不动产</w:t>
      </w:r>
      <w:r>
        <w:rPr>
          <w:rFonts w:eastAsia="仿宋_GB2312"/>
          <w:bCs/>
          <w:sz w:val="32"/>
          <w:szCs w:val="32"/>
        </w:rPr>
        <w:t>项目具有优先租赁权。具有优先租赁权的，运营管理协议应当约定</w:t>
      </w:r>
      <w:r>
        <w:rPr>
          <w:rFonts w:eastAsia="仿宋_GB2312" w:hint="eastAsia"/>
          <w:bCs/>
          <w:sz w:val="32"/>
          <w:szCs w:val="32"/>
        </w:rPr>
        <w:t>运营</w:t>
      </w:r>
      <w:r>
        <w:rPr>
          <w:rFonts w:eastAsia="仿宋_GB2312"/>
          <w:bCs/>
          <w:sz w:val="32"/>
          <w:szCs w:val="32"/>
        </w:rPr>
        <w:t>管理机构对损害优先租赁权的补偿安排等救济措施。</w:t>
      </w:r>
    </w:p>
    <w:p w14:paraId="26560AB8" w14:textId="77777777" w:rsidR="005C45E9" w:rsidRDefault="005C45E9">
      <w:pPr>
        <w:pStyle w:val="Style3"/>
        <w:adjustRightInd w:val="0"/>
        <w:snapToGrid w:val="0"/>
        <w:spacing w:line="560" w:lineRule="exact"/>
        <w:rPr>
          <w:rFonts w:eastAsia="仿宋_GB2312"/>
          <w:bCs/>
          <w:sz w:val="32"/>
          <w:szCs w:val="32"/>
        </w:rPr>
      </w:pPr>
    </w:p>
    <w:p w14:paraId="4DE5FB93" w14:textId="77777777" w:rsidR="005C45E9" w:rsidRDefault="00000000">
      <w:pPr>
        <w:rPr>
          <w:rFonts w:eastAsia="仿宋_GB2312"/>
          <w:b/>
          <w:sz w:val="32"/>
          <w:szCs w:val="32"/>
        </w:rPr>
      </w:pPr>
      <w:r>
        <w:rPr>
          <w:rFonts w:eastAsia="仿宋_GB2312"/>
          <w:b/>
          <w:sz w:val="32"/>
          <w:szCs w:val="32"/>
        </w:rPr>
        <w:br w:type="page"/>
      </w:r>
    </w:p>
    <w:p w14:paraId="0AF1223A" w14:textId="77777777" w:rsidR="005C45E9" w:rsidRDefault="00000000">
      <w:pPr>
        <w:pStyle w:val="Style3"/>
        <w:adjustRightInd w:val="0"/>
        <w:snapToGrid w:val="0"/>
        <w:spacing w:line="560" w:lineRule="exact"/>
        <w:ind w:firstLine="0"/>
        <w:jc w:val="left"/>
        <w:rPr>
          <w:rFonts w:eastAsia="仿宋_GB2312"/>
          <w:b/>
          <w:sz w:val="32"/>
          <w:szCs w:val="32"/>
        </w:rPr>
      </w:pPr>
      <w:r>
        <w:rPr>
          <w:rFonts w:eastAsia="仿宋_GB2312"/>
          <w:b/>
          <w:sz w:val="32"/>
          <w:szCs w:val="32"/>
        </w:rPr>
        <w:t>附件：第四号</w:t>
      </w:r>
      <w:r>
        <w:rPr>
          <w:rFonts w:eastAsia="仿宋_GB2312"/>
          <w:b/>
          <w:sz w:val="32"/>
          <w:szCs w:val="32"/>
        </w:rPr>
        <w:t>——</w:t>
      </w:r>
      <w:r>
        <w:rPr>
          <w:rFonts w:eastAsia="仿宋_GB2312"/>
          <w:b/>
          <w:sz w:val="32"/>
          <w:szCs w:val="32"/>
        </w:rPr>
        <w:t>仓储物流</w:t>
      </w:r>
    </w:p>
    <w:p w14:paraId="5FBACD28" w14:textId="77777777" w:rsidR="005C45E9" w:rsidRDefault="00000000">
      <w:pPr>
        <w:numPr>
          <w:ilvl w:val="255"/>
          <w:numId w:val="0"/>
        </w:numPr>
        <w:adjustRightInd w:val="0"/>
        <w:snapToGrid w:val="0"/>
        <w:spacing w:beforeLines="50" w:before="156" w:afterLines="50" w:after="156" w:line="600" w:lineRule="exact"/>
        <w:jc w:val="center"/>
        <w:outlineLvl w:val="1"/>
        <w:rPr>
          <w:rFonts w:eastAsia="方正大标宋简体"/>
          <w:bCs/>
          <w:sz w:val="44"/>
          <w:szCs w:val="44"/>
        </w:rPr>
      </w:pPr>
      <w:r>
        <w:rPr>
          <w:rFonts w:eastAsia="方正大标宋简体" w:hint="eastAsia"/>
          <w:bCs/>
          <w:sz w:val="44"/>
          <w:szCs w:val="44"/>
        </w:rPr>
        <w:t>第四号——仓储物流</w:t>
      </w:r>
    </w:p>
    <w:p w14:paraId="1C5D5951"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基金管理人向本所申请仓储物流类不动产基金上市的审核、资产支持证券管理人向本所申请不动产资产支持证券挂牌条件的确认事宜，适用本附件的规定。</w:t>
      </w:r>
    </w:p>
    <w:p w14:paraId="44382D7A"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3A356BE0"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第一节</w:t>
      </w:r>
      <w:r>
        <w:rPr>
          <w:rFonts w:ascii="Times New Roman" w:hAnsi="Times New Roman"/>
          <w:b w:val="0"/>
          <w:bCs w:val="0"/>
          <w:szCs w:val="32"/>
        </w:rPr>
        <w:t xml:space="preserve"> </w:t>
      </w:r>
      <w:r>
        <w:rPr>
          <w:rFonts w:ascii="Times New Roman" w:hAnsi="Times New Roman" w:hint="eastAsia"/>
          <w:b w:val="0"/>
          <w:bCs w:val="0"/>
          <w:szCs w:val="32"/>
        </w:rPr>
        <w:t>不动产项目</w:t>
      </w:r>
      <w:r>
        <w:rPr>
          <w:rFonts w:ascii="Times New Roman" w:hAnsi="Times New Roman"/>
          <w:b w:val="0"/>
          <w:bCs w:val="0"/>
          <w:szCs w:val="32"/>
        </w:rPr>
        <w:t>基本情况</w:t>
      </w:r>
    </w:p>
    <w:p w14:paraId="2E783FF3" w14:textId="77777777" w:rsidR="005C45E9" w:rsidRDefault="00000000">
      <w:pPr>
        <w:pStyle w:val="Style3"/>
        <w:numPr>
          <w:ilvl w:val="0"/>
          <w:numId w:val="8"/>
        </w:numPr>
        <w:adjustRightInd w:val="0"/>
        <w:snapToGrid w:val="0"/>
        <w:spacing w:line="560" w:lineRule="exact"/>
        <w:rPr>
          <w:rFonts w:eastAsia="仿宋_GB2312"/>
          <w:sz w:val="32"/>
          <w:szCs w:val="32"/>
        </w:rPr>
      </w:pPr>
      <w:r>
        <w:rPr>
          <w:rFonts w:eastAsia="仿宋_GB2312"/>
          <w:bCs/>
          <w:sz w:val="32"/>
          <w:szCs w:val="32"/>
        </w:rPr>
        <w:t>管理人应当按照本指引第三章第二节的规定披露</w:t>
      </w:r>
      <w:r>
        <w:rPr>
          <w:rFonts w:eastAsia="仿宋_GB2312" w:hint="eastAsia"/>
          <w:bCs/>
          <w:sz w:val="32"/>
          <w:szCs w:val="32"/>
        </w:rPr>
        <w:t>不动产</w:t>
      </w:r>
      <w:r>
        <w:rPr>
          <w:rFonts w:eastAsia="仿宋_GB2312"/>
          <w:bCs/>
          <w:sz w:val="32"/>
          <w:szCs w:val="32"/>
        </w:rPr>
        <w:t>项目经营与财务情况，并披露下列基本情况：</w:t>
      </w:r>
    </w:p>
    <w:p w14:paraId="563A235E"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（一）不动产项目基本信息，包括不动产项目名称、所在区域、</w:t>
      </w:r>
      <w:r>
        <w:rPr>
          <w:rFonts w:eastAsia="仿宋_GB2312"/>
          <w:sz w:val="32"/>
          <w:szCs w:val="32"/>
        </w:rPr>
        <w:t>建筑结构、运营年限</w:t>
      </w:r>
      <w:r>
        <w:rPr>
          <w:rFonts w:eastAsia="仿宋_GB2312"/>
          <w:bCs/>
          <w:sz w:val="32"/>
          <w:szCs w:val="32"/>
        </w:rPr>
        <w:t>等；</w:t>
      </w:r>
    </w:p>
    <w:p w14:paraId="0F6BC20A"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（二）资产范围，包括</w:t>
      </w:r>
      <w:r>
        <w:rPr>
          <w:rFonts w:eastAsia="仿宋_GB2312" w:hint="eastAsia"/>
          <w:sz w:val="32"/>
          <w:szCs w:val="32"/>
        </w:rPr>
        <w:t>不动产项目</w:t>
      </w:r>
      <w:r>
        <w:rPr>
          <w:rFonts w:eastAsia="仿宋_GB2312"/>
          <w:sz w:val="32"/>
          <w:szCs w:val="32"/>
        </w:rPr>
        <w:t>相关建筑物的不动产所有权以及</w:t>
      </w:r>
      <w:r>
        <w:rPr>
          <w:rFonts w:eastAsia="仿宋_GB2312"/>
          <w:bCs/>
          <w:sz w:val="32"/>
          <w:szCs w:val="32"/>
        </w:rPr>
        <w:t>对应</w:t>
      </w:r>
      <w:r>
        <w:rPr>
          <w:rFonts w:eastAsia="仿宋_GB2312"/>
          <w:sz w:val="32"/>
          <w:szCs w:val="32"/>
        </w:rPr>
        <w:t>的土地使用权</w:t>
      </w:r>
      <w:r>
        <w:rPr>
          <w:rFonts w:eastAsia="仿宋_GB2312" w:hint="eastAsia"/>
          <w:sz w:val="32"/>
          <w:szCs w:val="32"/>
        </w:rPr>
        <w:t>，</w:t>
      </w:r>
      <w:r>
        <w:rPr>
          <w:rFonts w:eastAsia="仿宋_GB2312"/>
          <w:sz w:val="32"/>
          <w:szCs w:val="32"/>
        </w:rPr>
        <w:t>配套服务设施（如有）</w:t>
      </w:r>
      <w:r>
        <w:rPr>
          <w:rFonts w:eastAsia="仿宋_GB2312" w:hint="eastAsia"/>
          <w:sz w:val="32"/>
          <w:szCs w:val="32"/>
        </w:rPr>
        <w:t>，</w:t>
      </w:r>
      <w:r>
        <w:rPr>
          <w:rFonts w:eastAsia="仿宋_GB2312"/>
          <w:sz w:val="32"/>
          <w:szCs w:val="32"/>
        </w:rPr>
        <w:t>共用</w:t>
      </w:r>
      <w:r>
        <w:rPr>
          <w:rFonts w:eastAsia="仿宋_GB2312" w:hint="eastAsia"/>
          <w:bCs/>
          <w:sz w:val="32"/>
          <w:szCs w:val="32"/>
        </w:rPr>
        <w:t>、共有</w:t>
      </w:r>
      <w:r>
        <w:rPr>
          <w:rFonts w:eastAsia="仿宋_GB2312"/>
          <w:sz w:val="32"/>
          <w:szCs w:val="32"/>
        </w:rPr>
        <w:t>资产（如有）；</w:t>
      </w:r>
    </w:p>
    <w:p w14:paraId="33FFBAE5"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（三）区位情况，包括所在区位</w:t>
      </w:r>
      <w:r>
        <w:rPr>
          <w:rFonts w:eastAsia="仿宋_GB2312" w:hint="eastAsia"/>
          <w:sz w:val="32"/>
          <w:szCs w:val="32"/>
        </w:rPr>
        <w:t>，</w:t>
      </w:r>
      <w:r>
        <w:rPr>
          <w:rFonts w:eastAsia="仿宋_GB2312"/>
          <w:sz w:val="32"/>
          <w:szCs w:val="32"/>
        </w:rPr>
        <w:t>交通、业务辐射范围</w:t>
      </w:r>
      <w:r>
        <w:rPr>
          <w:rFonts w:eastAsia="仿宋_GB2312" w:hint="eastAsia"/>
          <w:sz w:val="32"/>
          <w:szCs w:val="32"/>
        </w:rPr>
        <w:t>，</w:t>
      </w:r>
      <w:r>
        <w:rPr>
          <w:rFonts w:eastAsia="仿宋_GB2312"/>
          <w:sz w:val="32"/>
          <w:szCs w:val="32"/>
        </w:rPr>
        <w:t>区域租金变动以及市场供需情况等；</w:t>
      </w:r>
    </w:p>
    <w:p w14:paraId="74B1C50B"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（四）设施类型，包括高标准仓库、非高标准仓库或者其他类型等</w:t>
      </w:r>
      <w:r>
        <w:rPr>
          <w:rFonts w:eastAsia="仿宋_GB2312"/>
          <w:sz w:val="32"/>
          <w:szCs w:val="32"/>
          <w:lang w:eastAsia="zh"/>
        </w:rPr>
        <w:t>；</w:t>
      </w:r>
      <w:r>
        <w:rPr>
          <w:rFonts w:eastAsia="仿宋_GB2312"/>
          <w:sz w:val="32"/>
          <w:szCs w:val="32"/>
        </w:rPr>
        <w:t>不属于高标准仓库的，应当说明现有租户以及潜在租户所属主要行业、未来发展情况及其对</w:t>
      </w:r>
      <w:r>
        <w:rPr>
          <w:rFonts w:eastAsia="仿宋_GB2312"/>
          <w:bCs/>
          <w:sz w:val="32"/>
          <w:szCs w:val="32"/>
        </w:rPr>
        <w:t>不动产</w:t>
      </w:r>
      <w:r>
        <w:rPr>
          <w:rFonts w:eastAsia="仿宋_GB2312"/>
          <w:sz w:val="32"/>
          <w:szCs w:val="32"/>
        </w:rPr>
        <w:t>项目运营稳定性的影响；</w:t>
      </w:r>
    </w:p>
    <w:p w14:paraId="62E13FBD"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（五）主要用途，包括通用仓储、特种仓储等；</w:t>
      </w:r>
    </w:p>
    <w:p w14:paraId="76572287"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（六）运营模式，包括自营模式、第三方物流模式等；</w:t>
      </w:r>
    </w:p>
    <w:p w14:paraId="07D49254"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（七）</w:t>
      </w:r>
      <w:r>
        <w:rPr>
          <w:rFonts w:eastAsia="仿宋_GB2312"/>
          <w:bCs/>
          <w:sz w:val="32"/>
          <w:szCs w:val="32"/>
        </w:rPr>
        <w:t>不动产</w:t>
      </w:r>
      <w:r>
        <w:rPr>
          <w:rFonts w:eastAsia="仿宋_GB2312"/>
          <w:sz w:val="32"/>
          <w:szCs w:val="32"/>
        </w:rPr>
        <w:t>项目所处区域规划中、拟建、在建、拟开业与已开业的同类不动产项目情况，以及对本不动产项目的影响；</w:t>
      </w:r>
    </w:p>
    <w:p w14:paraId="00FE489B" w14:textId="77777777" w:rsidR="005C45E9" w:rsidRDefault="00000000">
      <w:pPr>
        <w:pStyle w:val="Style3"/>
        <w:tabs>
          <w:tab w:val="left" w:pos="0"/>
        </w:tabs>
        <w:adjustRightInd w:val="0"/>
        <w:snapToGrid w:val="0"/>
        <w:spacing w:line="560" w:lineRule="exact"/>
        <w:ind w:firstLine="640"/>
        <w:rPr>
          <w:rFonts w:eastAsia="仿宋_GB2312"/>
          <w:sz w:val="32"/>
          <w:szCs w:val="32"/>
        </w:rPr>
      </w:pPr>
      <w:r>
        <w:rPr>
          <w:rFonts w:eastAsia="仿宋_GB2312"/>
          <w:sz w:val="32"/>
          <w:szCs w:val="32"/>
        </w:rPr>
        <w:t>（八）其他对</w:t>
      </w:r>
      <w:proofErr w:type="gramStart"/>
      <w:r>
        <w:rPr>
          <w:rFonts w:eastAsia="仿宋_GB2312"/>
          <w:sz w:val="32"/>
          <w:szCs w:val="32"/>
        </w:rPr>
        <w:t>作出</w:t>
      </w:r>
      <w:proofErr w:type="gramEnd"/>
      <w:r>
        <w:rPr>
          <w:rFonts w:eastAsia="仿宋_GB2312"/>
          <w:sz w:val="32"/>
          <w:szCs w:val="32"/>
        </w:rPr>
        <w:t>投资决策有重大影响的信息。</w:t>
      </w:r>
    </w:p>
    <w:p w14:paraId="36341C9B"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项目主要用途为危险品、冷链、医药等相关的特种仓储或者进出口相关的保税仓储的，管理人应当披露主要租户情况、租户所属行业的发展情况、不动产项目的定制化安排，并说明上述事项对</w:t>
      </w:r>
      <w:r>
        <w:rPr>
          <w:rFonts w:eastAsia="仿宋_GB2312" w:hint="eastAsia"/>
          <w:bCs/>
          <w:sz w:val="32"/>
          <w:szCs w:val="32"/>
        </w:rPr>
        <w:t>不动产</w:t>
      </w:r>
      <w:r>
        <w:rPr>
          <w:rFonts w:eastAsia="仿宋_GB2312"/>
          <w:bCs/>
          <w:sz w:val="32"/>
          <w:szCs w:val="32"/>
        </w:rPr>
        <w:t>项目运营稳定性的影响。管理人和律师应当核查不动产项目所涉经营资质是否合法、有效，管理人应当披露经营资质的有效期及其在不动产基金存续期</w:t>
      </w:r>
      <w:r>
        <w:rPr>
          <w:rFonts w:eastAsia="仿宋_GB2312" w:hint="eastAsia"/>
          <w:bCs/>
          <w:sz w:val="32"/>
          <w:szCs w:val="32"/>
        </w:rPr>
        <w:t>间</w:t>
      </w:r>
      <w:r>
        <w:rPr>
          <w:rFonts w:eastAsia="仿宋_GB2312"/>
          <w:bCs/>
          <w:sz w:val="32"/>
          <w:szCs w:val="32"/>
        </w:rPr>
        <w:t>的展期安排（如有）。</w:t>
      </w:r>
    </w:p>
    <w:p w14:paraId="083A25ED"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不动产土地使用权应当以出让等有偿使用方式取得，土地用途应当符合土地管理</w:t>
      </w:r>
      <w:r>
        <w:rPr>
          <w:rFonts w:eastAsia="仿宋_GB2312" w:hint="eastAsia"/>
          <w:bCs/>
          <w:sz w:val="32"/>
          <w:szCs w:val="32"/>
        </w:rPr>
        <w:t>有关法律法规的</w:t>
      </w:r>
      <w:r>
        <w:rPr>
          <w:rFonts w:eastAsia="仿宋_GB2312"/>
          <w:bCs/>
          <w:sz w:val="32"/>
          <w:szCs w:val="32"/>
        </w:rPr>
        <w:t>规定。</w:t>
      </w:r>
    </w:p>
    <w:p w14:paraId="39CDBC35"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项目涉及的土地用途为工业用地等非物流仓储用地的，或者存在不动产项目土地实际用途与建设规划文件、土地</w:t>
      </w:r>
      <w:r>
        <w:rPr>
          <w:rFonts w:eastAsia="仿宋_GB2312"/>
          <w:bCs/>
          <w:sz w:val="32"/>
          <w:szCs w:val="32"/>
          <w:lang w:eastAsia="zh"/>
        </w:rPr>
        <w:t>使用权</w:t>
      </w:r>
      <w:r>
        <w:rPr>
          <w:rFonts w:eastAsia="仿宋_GB2312"/>
          <w:bCs/>
          <w:sz w:val="32"/>
          <w:szCs w:val="32"/>
        </w:rPr>
        <w:t>出让等有偿使用合同所载土地用途不一致</w:t>
      </w:r>
      <w:r>
        <w:rPr>
          <w:rFonts w:eastAsia="仿宋_GB2312" w:hint="eastAsia"/>
          <w:bCs/>
          <w:sz w:val="32"/>
          <w:szCs w:val="32"/>
        </w:rPr>
        <w:t>情形</w:t>
      </w:r>
      <w:r>
        <w:rPr>
          <w:rFonts w:eastAsia="仿宋_GB2312"/>
          <w:bCs/>
          <w:sz w:val="32"/>
          <w:szCs w:val="32"/>
        </w:rPr>
        <w:t>的，管理人和律师应当核查土地实际用途是否符合主管部门</w:t>
      </w:r>
      <w:r>
        <w:rPr>
          <w:rFonts w:eastAsia="仿宋_GB2312" w:hint="eastAsia"/>
          <w:bCs/>
          <w:sz w:val="32"/>
          <w:szCs w:val="32"/>
        </w:rPr>
        <w:t>有关</w:t>
      </w:r>
      <w:r>
        <w:rPr>
          <w:rFonts w:eastAsia="仿宋_GB2312"/>
          <w:bCs/>
          <w:sz w:val="32"/>
          <w:szCs w:val="32"/>
        </w:rPr>
        <w:t>用地规划、行业政策等要求，并发表明确意见。管理人应当充分揭示不动产实际用途与规划用途不一致所产生的风险，并设置风险缓释措施。</w:t>
      </w:r>
    </w:p>
    <w:p w14:paraId="24B9FF31"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项目智能化水平，包括智能化投入及</w:t>
      </w:r>
      <w:r>
        <w:rPr>
          <w:rFonts w:eastAsia="仿宋_GB2312"/>
          <w:bCs/>
          <w:sz w:val="32"/>
          <w:szCs w:val="32"/>
          <w:lang w:eastAsia="zh"/>
        </w:rPr>
        <w:t>其</w:t>
      </w:r>
      <w:r>
        <w:rPr>
          <w:rFonts w:eastAsia="仿宋_GB2312"/>
          <w:bCs/>
          <w:sz w:val="32"/>
          <w:szCs w:val="32"/>
        </w:rPr>
        <w:t>占投资总额的比例，</w:t>
      </w:r>
      <w:r>
        <w:rPr>
          <w:rFonts w:eastAsia="仿宋_GB2312"/>
          <w:bCs/>
          <w:sz w:val="32"/>
          <w:szCs w:val="32"/>
          <w:lang w:eastAsia="zh"/>
        </w:rPr>
        <w:t>以及</w:t>
      </w:r>
      <w:r>
        <w:rPr>
          <w:rFonts w:eastAsia="仿宋_GB2312"/>
          <w:bCs/>
          <w:sz w:val="32"/>
          <w:szCs w:val="32"/>
        </w:rPr>
        <w:t>出入库、存储、输送、生产、分拣等物流过程的自动化、信息化和智能化程度等，并结合行业发展趋势，说明</w:t>
      </w:r>
      <w:r>
        <w:rPr>
          <w:rFonts w:eastAsia="仿宋_GB2312" w:hint="eastAsia"/>
          <w:bCs/>
          <w:sz w:val="32"/>
          <w:szCs w:val="32"/>
        </w:rPr>
        <w:t>不动产</w:t>
      </w:r>
      <w:r>
        <w:rPr>
          <w:rFonts w:eastAsia="仿宋_GB2312"/>
          <w:bCs/>
          <w:sz w:val="32"/>
          <w:szCs w:val="32"/>
        </w:rPr>
        <w:t>项目未来更新改造安排（如有）及</w:t>
      </w:r>
      <w:r>
        <w:rPr>
          <w:rFonts w:eastAsia="仿宋_GB2312"/>
          <w:bCs/>
          <w:sz w:val="32"/>
          <w:szCs w:val="32"/>
          <w:lang w:eastAsia="zh"/>
        </w:rPr>
        <w:t>其</w:t>
      </w:r>
      <w:r>
        <w:rPr>
          <w:rFonts w:eastAsia="仿宋_GB2312"/>
          <w:bCs/>
          <w:sz w:val="32"/>
          <w:szCs w:val="32"/>
        </w:rPr>
        <w:t>对不动产项目运营稳定性的影响。</w:t>
      </w:r>
    </w:p>
    <w:p w14:paraId="0E7FCEA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前款所称智能化投入包括用于</w:t>
      </w:r>
      <w:r>
        <w:rPr>
          <w:rFonts w:eastAsia="仿宋_GB2312" w:hint="eastAsia"/>
          <w:bCs/>
          <w:sz w:val="32"/>
          <w:szCs w:val="32"/>
        </w:rPr>
        <w:t>不动产</w:t>
      </w:r>
      <w:r>
        <w:rPr>
          <w:rFonts w:eastAsia="仿宋_GB2312"/>
          <w:bCs/>
          <w:sz w:val="32"/>
          <w:szCs w:val="32"/>
        </w:rPr>
        <w:t>项目的综合信息服务平台、信息化软件</w:t>
      </w:r>
      <w:r>
        <w:rPr>
          <w:rFonts w:eastAsia="仿宋_GB2312" w:hint="eastAsia"/>
          <w:bCs/>
          <w:sz w:val="32"/>
          <w:szCs w:val="32"/>
        </w:rPr>
        <w:t>和</w:t>
      </w:r>
      <w:r>
        <w:rPr>
          <w:rFonts w:eastAsia="仿宋_GB2312"/>
          <w:bCs/>
          <w:sz w:val="32"/>
          <w:szCs w:val="32"/>
        </w:rPr>
        <w:t>设备、智能物流装备和技术等方面的累计投入额。</w:t>
      </w:r>
    </w:p>
    <w:p w14:paraId="58277398"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第二节</w:t>
      </w:r>
      <w:r>
        <w:rPr>
          <w:rFonts w:ascii="Times New Roman" w:hAnsi="Times New Roman"/>
          <w:b w:val="0"/>
          <w:bCs w:val="0"/>
          <w:szCs w:val="32"/>
        </w:rPr>
        <w:t xml:space="preserve"> </w:t>
      </w:r>
      <w:r>
        <w:rPr>
          <w:rFonts w:ascii="Times New Roman" w:hAnsi="Times New Roman"/>
          <w:b w:val="0"/>
          <w:bCs w:val="0"/>
          <w:szCs w:val="32"/>
        </w:rPr>
        <w:t>不动产</w:t>
      </w:r>
      <w:r>
        <w:rPr>
          <w:rFonts w:ascii="Times New Roman" w:hAnsi="Times New Roman" w:hint="eastAsia"/>
          <w:b w:val="0"/>
          <w:bCs w:val="0"/>
          <w:szCs w:val="32"/>
        </w:rPr>
        <w:t>项目</w:t>
      </w:r>
      <w:r>
        <w:rPr>
          <w:rFonts w:ascii="Times New Roman" w:hAnsi="Times New Roman"/>
          <w:b w:val="0"/>
          <w:bCs w:val="0"/>
          <w:szCs w:val="32"/>
        </w:rPr>
        <w:t>经营与财务情况</w:t>
      </w:r>
    </w:p>
    <w:p w14:paraId="7C8A7E62"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项目的经营情况，包括运营模式、租户情况、出租率、租金单价、租约期限、租金收缴率、网点布局（如有）、收入成本构成、经济指标约束等。</w:t>
      </w:r>
    </w:p>
    <w:p w14:paraId="681F7294"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项目主要提供的服务类型，包括存储、保管、转运等。</w:t>
      </w:r>
    </w:p>
    <w:p w14:paraId="197B971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原始权益人及其关联</w:t>
      </w:r>
      <w:proofErr w:type="gramStart"/>
      <w:r>
        <w:rPr>
          <w:rFonts w:eastAsia="仿宋_GB2312"/>
          <w:bCs/>
          <w:sz w:val="32"/>
          <w:szCs w:val="32"/>
        </w:rPr>
        <w:t>方从事</w:t>
      </w:r>
      <w:proofErr w:type="gramEnd"/>
      <w:r>
        <w:rPr>
          <w:rFonts w:eastAsia="仿宋_GB2312"/>
          <w:bCs/>
          <w:sz w:val="32"/>
          <w:szCs w:val="32"/>
        </w:rPr>
        <w:t>与</w:t>
      </w:r>
      <w:r>
        <w:rPr>
          <w:rFonts w:eastAsia="仿宋_GB2312" w:hint="eastAsia"/>
          <w:bCs/>
          <w:sz w:val="32"/>
          <w:szCs w:val="32"/>
        </w:rPr>
        <w:t>不动产</w:t>
      </w:r>
      <w:r>
        <w:rPr>
          <w:rFonts w:eastAsia="仿宋_GB2312"/>
          <w:bCs/>
          <w:sz w:val="32"/>
          <w:szCs w:val="32"/>
        </w:rPr>
        <w:t>项目相关的加工、组装、包装、分拣、配送、物流保险、融资、信息分析、产品报关等相关业务的，管理人应当说明原始权益人及其关联</w:t>
      </w:r>
      <w:proofErr w:type="gramStart"/>
      <w:r>
        <w:rPr>
          <w:rFonts w:eastAsia="仿宋_GB2312"/>
          <w:bCs/>
          <w:sz w:val="32"/>
          <w:szCs w:val="32"/>
        </w:rPr>
        <w:t>方相关</w:t>
      </w:r>
      <w:proofErr w:type="gramEnd"/>
      <w:r>
        <w:rPr>
          <w:rFonts w:eastAsia="仿宋_GB2312"/>
          <w:bCs/>
          <w:sz w:val="32"/>
          <w:szCs w:val="32"/>
        </w:rPr>
        <w:t>业务开展情况以及对</w:t>
      </w:r>
      <w:r>
        <w:rPr>
          <w:rFonts w:eastAsia="仿宋_GB2312" w:hint="eastAsia"/>
          <w:bCs/>
          <w:sz w:val="32"/>
          <w:szCs w:val="32"/>
        </w:rPr>
        <w:t>不动产</w:t>
      </w:r>
      <w:r>
        <w:rPr>
          <w:rFonts w:eastAsia="仿宋_GB2312"/>
          <w:bCs/>
          <w:sz w:val="32"/>
          <w:szCs w:val="32"/>
        </w:rPr>
        <w:t>项目运营稳定性的影响。相关业务与</w:t>
      </w:r>
      <w:r>
        <w:rPr>
          <w:rFonts w:eastAsia="仿宋_GB2312" w:hint="eastAsia"/>
          <w:bCs/>
          <w:sz w:val="32"/>
          <w:szCs w:val="32"/>
        </w:rPr>
        <w:t>不动产</w:t>
      </w:r>
      <w:r>
        <w:rPr>
          <w:rFonts w:eastAsia="仿宋_GB2312"/>
          <w:bCs/>
          <w:sz w:val="32"/>
          <w:szCs w:val="32"/>
        </w:rPr>
        <w:t>项目运营关联度较高的，管理人应当结合相关业务所需资质情况、资质取得情况以及相关合同期限等，对相关业务的运营稳定性进行核查，充分揭示风险，并设置风险缓释</w:t>
      </w:r>
      <w:bookmarkStart w:id="15" w:name="_Hlk176858642"/>
      <w:r>
        <w:rPr>
          <w:rFonts w:eastAsia="仿宋_GB2312"/>
          <w:bCs/>
          <w:sz w:val="32"/>
          <w:szCs w:val="32"/>
        </w:rPr>
        <w:t>措施。</w:t>
      </w:r>
    </w:p>
    <w:p w14:paraId="355F5852"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项目为零售行业自建物流，或者主要为原始权益人的关联</w:t>
      </w:r>
      <w:proofErr w:type="gramStart"/>
      <w:r>
        <w:rPr>
          <w:rFonts w:eastAsia="仿宋_GB2312"/>
          <w:bCs/>
          <w:sz w:val="32"/>
          <w:szCs w:val="32"/>
        </w:rPr>
        <w:t>方服务</w:t>
      </w:r>
      <w:proofErr w:type="gramEnd"/>
      <w:r>
        <w:rPr>
          <w:rFonts w:eastAsia="仿宋_GB2312"/>
          <w:bCs/>
          <w:sz w:val="32"/>
          <w:szCs w:val="32"/>
        </w:rPr>
        <w:t>的，管理人应当披露原始权益人及其关联方在一定区域内的网点布局安排、不动产项目在网点布局中的重要性，并结合协议期限、租金价格公允性、租户的可替代性等方面对</w:t>
      </w:r>
      <w:r>
        <w:rPr>
          <w:rFonts w:eastAsia="仿宋_GB2312" w:hint="eastAsia"/>
          <w:bCs/>
          <w:sz w:val="32"/>
          <w:szCs w:val="32"/>
        </w:rPr>
        <w:t>不动产</w:t>
      </w:r>
      <w:r>
        <w:rPr>
          <w:rFonts w:eastAsia="仿宋_GB2312"/>
          <w:bCs/>
          <w:sz w:val="32"/>
          <w:szCs w:val="32"/>
        </w:rPr>
        <w:t>项目能否持续稳定运营进行核查并发表明确意见。</w:t>
      </w:r>
    </w:p>
    <w:p w14:paraId="25CBFFE8"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项目的收入构成情况以及各项收入对应的税率情况。管理费等非租赁收入</w:t>
      </w:r>
      <w:proofErr w:type="gramStart"/>
      <w:r>
        <w:rPr>
          <w:rFonts w:eastAsia="仿宋_GB2312"/>
          <w:bCs/>
          <w:sz w:val="32"/>
          <w:szCs w:val="32"/>
        </w:rPr>
        <w:t>占比较</w:t>
      </w:r>
      <w:proofErr w:type="gramEnd"/>
      <w:r>
        <w:rPr>
          <w:rFonts w:eastAsia="仿宋_GB2312"/>
          <w:bCs/>
          <w:sz w:val="32"/>
          <w:szCs w:val="32"/>
        </w:rPr>
        <w:t>高的，管理人应当披露非租赁收入的明细情况，并说明相关收入的合理性。</w:t>
      </w:r>
    </w:p>
    <w:bookmarkEnd w:id="15"/>
    <w:p w14:paraId="1E253103"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原始权益人应当说明</w:t>
      </w:r>
      <w:r>
        <w:rPr>
          <w:rFonts w:eastAsia="仿宋_GB2312" w:hint="eastAsia"/>
          <w:bCs/>
          <w:sz w:val="32"/>
          <w:szCs w:val="32"/>
        </w:rPr>
        <w:t>不动产</w:t>
      </w:r>
      <w:r>
        <w:rPr>
          <w:rFonts w:eastAsia="仿宋_GB2312"/>
          <w:bCs/>
          <w:sz w:val="32"/>
          <w:szCs w:val="32"/>
        </w:rPr>
        <w:t>项目所涉及的投资协议等</w:t>
      </w:r>
      <w:r>
        <w:rPr>
          <w:rFonts w:eastAsia="仿宋_GB2312" w:hint="eastAsia"/>
          <w:bCs/>
          <w:sz w:val="32"/>
          <w:szCs w:val="32"/>
        </w:rPr>
        <w:t>有关</w:t>
      </w:r>
      <w:r>
        <w:rPr>
          <w:rFonts w:eastAsia="仿宋_GB2312"/>
          <w:bCs/>
          <w:sz w:val="32"/>
          <w:szCs w:val="32"/>
        </w:rPr>
        <w:t>法律文件是否存在关于不动产项目运营的投资强度、产出强度和税收强度等经济指标约束和相关承诺，以及违约责任。</w:t>
      </w:r>
    </w:p>
    <w:p w14:paraId="13D60FB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管理人应当对经济指标约束、相关承诺和违约责任进行核查，并发表明确意见。存在经济指标约束和相关承诺的，管理人应当披露可能存在的违约风险，并设置风险缓释措施。</w:t>
      </w:r>
    </w:p>
    <w:p w14:paraId="1626A2B9"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第三节</w:t>
      </w:r>
      <w:r>
        <w:rPr>
          <w:rFonts w:ascii="Times New Roman" w:hAnsi="Times New Roman"/>
          <w:b w:val="0"/>
          <w:bCs w:val="0"/>
          <w:szCs w:val="32"/>
        </w:rPr>
        <w:t xml:space="preserve"> </w:t>
      </w:r>
      <w:r>
        <w:rPr>
          <w:rFonts w:ascii="Times New Roman" w:hAnsi="Times New Roman"/>
          <w:b w:val="0"/>
          <w:bCs w:val="0"/>
          <w:szCs w:val="32"/>
        </w:rPr>
        <w:t>不动产评估</w:t>
      </w:r>
    </w:p>
    <w:p w14:paraId="633D5D9C"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评估机构应当结合</w:t>
      </w:r>
      <w:r>
        <w:rPr>
          <w:rFonts w:eastAsia="仿宋_GB2312" w:hint="eastAsia"/>
          <w:bCs/>
          <w:sz w:val="32"/>
          <w:szCs w:val="32"/>
        </w:rPr>
        <w:t>不动产</w:t>
      </w:r>
      <w:r>
        <w:rPr>
          <w:rFonts w:eastAsia="仿宋_GB2312"/>
          <w:bCs/>
          <w:sz w:val="32"/>
          <w:szCs w:val="32"/>
        </w:rPr>
        <w:t>项目基本情况和历史运营情况，充分考虑宏观经济情况、资产竞争力、资产运营管理能力等内外部因素对不动产项目估值的影响，合理确定</w:t>
      </w:r>
      <w:r>
        <w:rPr>
          <w:rFonts w:eastAsia="仿宋_GB2312" w:hint="eastAsia"/>
          <w:bCs/>
          <w:sz w:val="32"/>
          <w:szCs w:val="32"/>
        </w:rPr>
        <w:t>收益年限、</w:t>
      </w:r>
      <w:r>
        <w:rPr>
          <w:rFonts w:eastAsia="仿宋_GB2312"/>
          <w:bCs/>
          <w:sz w:val="32"/>
          <w:szCs w:val="32"/>
        </w:rPr>
        <w:t>出租率、租金</w:t>
      </w:r>
      <w:r>
        <w:rPr>
          <w:rFonts w:eastAsia="仿宋_GB2312" w:hint="eastAsia"/>
          <w:bCs/>
          <w:sz w:val="32"/>
          <w:szCs w:val="32"/>
        </w:rPr>
        <w:t>单价</w:t>
      </w:r>
      <w:r>
        <w:rPr>
          <w:rFonts w:eastAsia="仿宋_GB2312"/>
          <w:bCs/>
          <w:sz w:val="32"/>
          <w:szCs w:val="32"/>
        </w:rPr>
        <w:t>、租金增长率、成本</w:t>
      </w:r>
      <w:r>
        <w:rPr>
          <w:rFonts w:eastAsia="仿宋_GB2312" w:hint="eastAsia"/>
          <w:bCs/>
          <w:sz w:val="32"/>
          <w:szCs w:val="32"/>
        </w:rPr>
        <w:t>、</w:t>
      </w:r>
      <w:r>
        <w:rPr>
          <w:rFonts w:eastAsia="仿宋_GB2312"/>
          <w:bCs/>
          <w:sz w:val="32"/>
          <w:szCs w:val="32"/>
        </w:rPr>
        <w:t>费用、折现率、资本性支出等核心估值参数，</w:t>
      </w:r>
      <w:r>
        <w:rPr>
          <w:rFonts w:eastAsia="仿宋_GB2312" w:hint="eastAsia"/>
          <w:bCs/>
          <w:sz w:val="32"/>
          <w:szCs w:val="32"/>
        </w:rPr>
        <w:t>并</w:t>
      </w:r>
      <w:r>
        <w:rPr>
          <w:rFonts w:eastAsia="仿宋_GB2312"/>
          <w:bCs/>
          <w:sz w:val="32"/>
          <w:szCs w:val="32"/>
        </w:rPr>
        <w:t>按照下列要求审慎进行不动产项目估值：</w:t>
      </w:r>
    </w:p>
    <w:p w14:paraId="443D11A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（一）收益年限参数选取应当充分考虑区域总体规划是否存在重大调整，以及不动产项目建筑设计功能使用期限、土地使用权期限等因素的影响；</w:t>
      </w:r>
    </w:p>
    <w:p w14:paraId="75DBD1D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（二）出租率参数选取应当充分考虑</w:t>
      </w:r>
      <w:bookmarkStart w:id="16" w:name="_Hlk177833116"/>
      <w:r>
        <w:rPr>
          <w:rFonts w:eastAsia="仿宋_GB2312" w:hint="eastAsia"/>
          <w:bCs/>
          <w:sz w:val="32"/>
          <w:szCs w:val="32"/>
        </w:rPr>
        <w:t>不动产</w:t>
      </w:r>
      <w:r>
        <w:rPr>
          <w:rFonts w:eastAsia="仿宋_GB2312"/>
          <w:bCs/>
          <w:sz w:val="32"/>
          <w:szCs w:val="32"/>
        </w:rPr>
        <w:t>项目现有租赁合同期限</w:t>
      </w:r>
      <w:r>
        <w:rPr>
          <w:rFonts w:eastAsia="仿宋_GB2312" w:hint="eastAsia"/>
          <w:bCs/>
          <w:sz w:val="32"/>
          <w:szCs w:val="32"/>
        </w:rPr>
        <w:t>和</w:t>
      </w:r>
      <w:r>
        <w:rPr>
          <w:rFonts w:eastAsia="仿宋_GB2312"/>
          <w:bCs/>
          <w:sz w:val="32"/>
          <w:szCs w:val="32"/>
        </w:rPr>
        <w:t>到期时间分布、</w:t>
      </w:r>
      <w:bookmarkEnd w:id="16"/>
      <w:r>
        <w:rPr>
          <w:rFonts w:eastAsia="仿宋_GB2312"/>
          <w:bCs/>
          <w:sz w:val="32"/>
          <w:szCs w:val="32"/>
        </w:rPr>
        <w:t>历史年末</w:t>
      </w:r>
      <w:r>
        <w:rPr>
          <w:rFonts w:eastAsia="仿宋_GB2312" w:hint="eastAsia"/>
          <w:bCs/>
          <w:sz w:val="32"/>
          <w:szCs w:val="32"/>
        </w:rPr>
        <w:t>/</w:t>
      </w:r>
      <w:r>
        <w:rPr>
          <w:rFonts w:eastAsia="仿宋_GB2312"/>
          <w:bCs/>
          <w:sz w:val="32"/>
          <w:szCs w:val="32"/>
        </w:rPr>
        <w:t>期末出租率、历史年度加权平均出租率、租户结构、续租率、退租后去化时间、区域可比项目出租率、区域同类资产的市场供需情况等因素的影响；</w:t>
      </w:r>
    </w:p>
    <w:p w14:paraId="0D0D331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（三）租金单价和租金增长率的参数选取应当充分考虑不动产项目所在城市</w:t>
      </w:r>
      <w:r>
        <w:rPr>
          <w:rFonts w:eastAsia="仿宋_GB2312" w:hint="eastAsia"/>
          <w:bCs/>
          <w:sz w:val="32"/>
          <w:szCs w:val="32"/>
        </w:rPr>
        <w:t>和</w:t>
      </w:r>
      <w:r>
        <w:rPr>
          <w:rFonts w:eastAsia="仿宋_GB2312"/>
          <w:bCs/>
          <w:sz w:val="32"/>
          <w:szCs w:val="32"/>
        </w:rPr>
        <w:t>区域宏观经济发展情况、不动产项目区位、仓库类型、配套设施、历史年末</w:t>
      </w:r>
      <w:r>
        <w:rPr>
          <w:rFonts w:eastAsia="仿宋_GB2312" w:hint="eastAsia"/>
          <w:bCs/>
          <w:sz w:val="32"/>
          <w:szCs w:val="32"/>
        </w:rPr>
        <w:t>/</w:t>
      </w:r>
      <w:r>
        <w:rPr>
          <w:rFonts w:eastAsia="仿宋_GB2312"/>
          <w:bCs/>
          <w:sz w:val="32"/>
          <w:szCs w:val="32"/>
        </w:rPr>
        <w:t>期末有效租金单价、租户结构、区域可比项目租金</w:t>
      </w:r>
      <w:r>
        <w:rPr>
          <w:rFonts w:eastAsia="仿宋_GB2312" w:hint="eastAsia"/>
          <w:bCs/>
          <w:sz w:val="32"/>
          <w:szCs w:val="32"/>
        </w:rPr>
        <w:t>单价</w:t>
      </w:r>
      <w:r>
        <w:rPr>
          <w:rFonts w:eastAsia="仿宋_GB2312"/>
          <w:bCs/>
          <w:sz w:val="32"/>
          <w:szCs w:val="32"/>
        </w:rPr>
        <w:t>、运营成本、区域性租金政策（如有）、区域同类资产的市场供需、资产竞争力等因素的影响</w:t>
      </w:r>
      <w:r>
        <w:rPr>
          <w:rFonts w:eastAsia="仿宋_GB2312" w:hint="eastAsia"/>
          <w:bCs/>
          <w:sz w:val="32"/>
          <w:szCs w:val="32"/>
        </w:rPr>
        <w:t>；</w:t>
      </w:r>
      <w:r>
        <w:rPr>
          <w:rFonts w:eastAsia="仿宋_GB2312"/>
          <w:bCs/>
          <w:sz w:val="32"/>
          <w:szCs w:val="32"/>
        </w:rPr>
        <w:t>评估机构采用市场价格预测</w:t>
      </w:r>
      <w:r>
        <w:rPr>
          <w:rFonts w:eastAsia="仿宋_GB2312" w:hint="eastAsia"/>
          <w:bCs/>
          <w:sz w:val="32"/>
          <w:szCs w:val="32"/>
        </w:rPr>
        <w:t>不动产</w:t>
      </w:r>
      <w:r>
        <w:rPr>
          <w:rFonts w:eastAsia="仿宋_GB2312"/>
          <w:bCs/>
          <w:sz w:val="32"/>
          <w:szCs w:val="32"/>
        </w:rPr>
        <w:t>项目租约期外租金</w:t>
      </w:r>
      <w:r>
        <w:rPr>
          <w:rFonts w:eastAsia="仿宋_GB2312" w:hint="eastAsia"/>
          <w:bCs/>
          <w:sz w:val="32"/>
          <w:szCs w:val="32"/>
        </w:rPr>
        <w:t>单价</w:t>
      </w:r>
      <w:r>
        <w:rPr>
          <w:rFonts w:eastAsia="仿宋_GB2312"/>
          <w:bCs/>
          <w:sz w:val="32"/>
          <w:szCs w:val="32"/>
        </w:rPr>
        <w:t>的，应当充分考虑不动产项目年末</w:t>
      </w:r>
      <w:r>
        <w:rPr>
          <w:rFonts w:eastAsia="仿宋_GB2312" w:hint="eastAsia"/>
          <w:bCs/>
          <w:sz w:val="32"/>
          <w:szCs w:val="32"/>
        </w:rPr>
        <w:t>/</w:t>
      </w:r>
      <w:r>
        <w:rPr>
          <w:rFonts w:eastAsia="仿宋_GB2312"/>
          <w:bCs/>
          <w:sz w:val="32"/>
          <w:szCs w:val="32"/>
        </w:rPr>
        <w:t>期末有效租金单价、出租率与周边可比项目的差异等情况；</w:t>
      </w:r>
    </w:p>
    <w:p w14:paraId="4E6CDBA2"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（四）人力成本、市场营销费用、物业管理费用、空置管理费用等参数选取应当充分考虑不动产项目运营时间、历史成本支出情况、维修养护安排、招租模式、物业管理模式、行业特征等因素的影响；</w:t>
      </w:r>
    </w:p>
    <w:p w14:paraId="4132A22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（五）资本性支出参数选取应当充分考虑历史资本性支出、建筑物以及设备现状、改造升级安排、行业特征等因素的影响。</w:t>
      </w:r>
    </w:p>
    <w:p w14:paraId="4E82A261"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评估机构应当结合周边可比项目区位、定位、运营模式、平均空置率、租金</w:t>
      </w:r>
      <w:r>
        <w:rPr>
          <w:rFonts w:eastAsia="仿宋_GB2312" w:hint="eastAsia"/>
          <w:bCs/>
          <w:sz w:val="32"/>
          <w:szCs w:val="32"/>
        </w:rPr>
        <w:t>单价</w:t>
      </w:r>
      <w:r>
        <w:rPr>
          <w:rFonts w:eastAsia="仿宋_GB2312"/>
          <w:bCs/>
          <w:sz w:val="32"/>
          <w:szCs w:val="32"/>
        </w:rPr>
        <w:t>等情况，说明可比项目选取的合理性。</w:t>
      </w:r>
    </w:p>
    <w:p w14:paraId="049C4DA4"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管理人、财务顾问（如有）应当按照本指引第四十五条的规定披露</w:t>
      </w:r>
      <w:r>
        <w:rPr>
          <w:rFonts w:eastAsia="仿宋_GB2312" w:hint="eastAsia"/>
          <w:bCs/>
          <w:sz w:val="32"/>
          <w:szCs w:val="32"/>
        </w:rPr>
        <w:t>不动产</w:t>
      </w:r>
      <w:r>
        <w:rPr>
          <w:rFonts w:eastAsia="仿宋_GB2312"/>
          <w:bCs/>
          <w:sz w:val="32"/>
          <w:szCs w:val="32"/>
        </w:rPr>
        <w:t>项目的评估情况，按照本附件第十一条的要求就估值参数取值的合理性发表明确意见，并结合单位面积价格、首个完整会计年度的资本化率（</w:t>
      </w:r>
      <w:r>
        <w:rPr>
          <w:rFonts w:eastAsia="仿宋_GB2312"/>
          <w:bCs/>
          <w:sz w:val="32"/>
          <w:szCs w:val="32"/>
        </w:rPr>
        <w:t>Cap Rate</w:t>
      </w:r>
      <w:r>
        <w:rPr>
          <w:rFonts w:eastAsia="仿宋_GB2312"/>
          <w:bCs/>
          <w:sz w:val="32"/>
          <w:szCs w:val="32"/>
        </w:rPr>
        <w:t>），以及同行业已上市不动产基金、同行业上市公司重大资产重组和大宗交易（如有）的估值参数选取情况，对评估参数和评估方法的选取进行独立核查，对评估结果的合理性发表明确意见。</w:t>
      </w:r>
    </w:p>
    <w:p w14:paraId="7B5B3D5A"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w:t>
      </w:r>
      <w:r>
        <w:rPr>
          <w:rFonts w:ascii="Times New Roman" w:hAnsi="Times New Roman"/>
          <w:b w:val="0"/>
          <w:bCs w:val="0"/>
          <w:szCs w:val="32"/>
        </w:rPr>
        <w:t xml:space="preserve"> </w:t>
      </w:r>
      <w:r>
        <w:rPr>
          <w:rFonts w:ascii="Times New Roman" w:hAnsi="Times New Roman"/>
          <w:b w:val="0"/>
          <w:bCs w:val="0"/>
          <w:szCs w:val="32"/>
        </w:rPr>
        <w:t>运营管理安排</w:t>
      </w:r>
    </w:p>
    <w:p w14:paraId="764DAF69"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eastAsia="仿宋_GB2312" w:hint="eastAsia"/>
          <w:bCs/>
          <w:sz w:val="32"/>
          <w:szCs w:val="32"/>
        </w:rPr>
        <w:t>不动产</w:t>
      </w:r>
      <w:r>
        <w:rPr>
          <w:rFonts w:eastAsia="仿宋_GB2312"/>
          <w:bCs/>
          <w:sz w:val="32"/>
          <w:szCs w:val="32"/>
        </w:rPr>
        <w:t>项目运营模式特点，明确分层决策机制中各决策层面对涉及</w:t>
      </w:r>
      <w:r>
        <w:rPr>
          <w:rFonts w:eastAsia="仿宋_GB2312" w:hint="eastAsia"/>
          <w:bCs/>
          <w:sz w:val="32"/>
          <w:szCs w:val="32"/>
        </w:rPr>
        <w:t>不动产</w:t>
      </w:r>
      <w:r>
        <w:rPr>
          <w:rFonts w:eastAsia="仿宋_GB2312"/>
          <w:bCs/>
          <w:sz w:val="32"/>
          <w:szCs w:val="32"/>
        </w:rPr>
        <w:t>项目运营的重要事项的</w:t>
      </w:r>
      <w:r>
        <w:rPr>
          <w:rFonts w:eastAsia="仿宋_GB2312" w:hint="eastAsia"/>
          <w:bCs/>
          <w:sz w:val="32"/>
          <w:szCs w:val="32"/>
        </w:rPr>
        <w:t>决策安排</w:t>
      </w:r>
      <w:r>
        <w:rPr>
          <w:rFonts w:eastAsia="仿宋_GB2312"/>
          <w:bCs/>
          <w:sz w:val="32"/>
          <w:szCs w:val="32"/>
        </w:rPr>
        <w:t>，包括租金调整、免租安排、租金优惠、租户结构调整、重大维修改造、关联方协议签署、委托物业管理、运营成本调整、</w:t>
      </w:r>
      <w:r>
        <w:rPr>
          <w:rFonts w:eastAsia="仿宋_GB2312" w:hint="eastAsia"/>
          <w:bCs/>
          <w:sz w:val="32"/>
          <w:szCs w:val="32"/>
        </w:rPr>
        <w:t>核心</w:t>
      </w:r>
      <w:r>
        <w:rPr>
          <w:rFonts w:eastAsia="仿宋_GB2312"/>
          <w:bCs/>
          <w:sz w:val="32"/>
          <w:szCs w:val="32"/>
        </w:rPr>
        <w:t>人员调整、突发事件响应安排等。</w:t>
      </w:r>
    </w:p>
    <w:p w14:paraId="1D4F49F4" w14:textId="77777777" w:rsidR="005C45E9" w:rsidRDefault="00000000">
      <w:pPr>
        <w:pStyle w:val="Style3"/>
        <w:numPr>
          <w:ilvl w:val="0"/>
          <w:numId w:val="8"/>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运营</w:t>
      </w:r>
      <w:r>
        <w:rPr>
          <w:rFonts w:eastAsia="仿宋_GB2312"/>
          <w:bCs/>
          <w:sz w:val="32"/>
          <w:szCs w:val="32"/>
        </w:rPr>
        <w:t>管理机构的运营管理能力，包括运营管理经验、合作客户、潜在客户资源质量等。</w:t>
      </w:r>
      <w:r>
        <w:rPr>
          <w:rFonts w:eastAsia="仿宋_GB2312" w:hint="eastAsia"/>
          <w:bCs/>
          <w:sz w:val="32"/>
          <w:szCs w:val="32"/>
        </w:rPr>
        <w:t>运营</w:t>
      </w:r>
      <w:r>
        <w:rPr>
          <w:rFonts w:eastAsia="仿宋_GB2312"/>
          <w:bCs/>
          <w:sz w:val="32"/>
          <w:szCs w:val="32"/>
        </w:rPr>
        <w:t>管理机构已通过书信、函件、邮件、协议等书面形式储备</w:t>
      </w:r>
      <w:r>
        <w:rPr>
          <w:rFonts w:eastAsia="仿宋_GB2312" w:hint="eastAsia"/>
          <w:bCs/>
          <w:sz w:val="32"/>
          <w:szCs w:val="32"/>
        </w:rPr>
        <w:t>不动产</w:t>
      </w:r>
      <w:r>
        <w:rPr>
          <w:rFonts w:eastAsia="仿宋_GB2312"/>
          <w:bCs/>
          <w:sz w:val="32"/>
          <w:szCs w:val="32"/>
        </w:rPr>
        <w:t>项目未来租户的，管理人可以披露储备租户所属行业、拟租赁面积等。</w:t>
      </w:r>
    </w:p>
    <w:p w14:paraId="05D4E465" w14:textId="77777777" w:rsidR="005C45E9" w:rsidRDefault="00000000">
      <w:pPr>
        <w:rPr>
          <w:rFonts w:eastAsia="仿宋_GB2312"/>
          <w:b/>
          <w:sz w:val="32"/>
          <w:szCs w:val="32"/>
        </w:rPr>
      </w:pPr>
      <w:r>
        <w:rPr>
          <w:rFonts w:eastAsia="仿宋_GB2312"/>
          <w:b/>
          <w:sz w:val="32"/>
          <w:szCs w:val="32"/>
        </w:rPr>
        <w:br w:type="page"/>
      </w:r>
    </w:p>
    <w:p w14:paraId="534AA67F" w14:textId="77777777" w:rsidR="005C45E9" w:rsidRDefault="00000000">
      <w:pPr>
        <w:pStyle w:val="Style3"/>
        <w:adjustRightInd w:val="0"/>
        <w:snapToGrid w:val="0"/>
        <w:spacing w:line="560" w:lineRule="exact"/>
        <w:ind w:firstLine="0"/>
        <w:jc w:val="left"/>
        <w:rPr>
          <w:rFonts w:eastAsia="仿宋_GB2312"/>
          <w:b/>
          <w:sz w:val="32"/>
          <w:szCs w:val="32"/>
        </w:rPr>
      </w:pPr>
      <w:r>
        <w:rPr>
          <w:rFonts w:eastAsia="仿宋_GB2312"/>
          <w:b/>
          <w:sz w:val="32"/>
          <w:szCs w:val="32"/>
        </w:rPr>
        <w:t>附件：第</w:t>
      </w:r>
      <w:r>
        <w:rPr>
          <w:rFonts w:eastAsia="仿宋_GB2312" w:hint="eastAsia"/>
          <w:b/>
          <w:sz w:val="32"/>
          <w:szCs w:val="32"/>
        </w:rPr>
        <w:t>五</w:t>
      </w:r>
      <w:r>
        <w:rPr>
          <w:rFonts w:eastAsia="仿宋_GB2312"/>
          <w:b/>
          <w:sz w:val="32"/>
          <w:szCs w:val="32"/>
        </w:rPr>
        <w:t>号</w:t>
      </w:r>
      <w:r>
        <w:rPr>
          <w:rFonts w:eastAsia="仿宋_GB2312"/>
          <w:b/>
          <w:sz w:val="32"/>
          <w:szCs w:val="32"/>
        </w:rPr>
        <w:t>——</w:t>
      </w:r>
      <w:r>
        <w:rPr>
          <w:rFonts w:eastAsia="仿宋_GB2312"/>
          <w:b/>
          <w:sz w:val="32"/>
          <w:szCs w:val="32"/>
        </w:rPr>
        <w:t>收费公路</w:t>
      </w:r>
    </w:p>
    <w:p w14:paraId="71E22BA1" w14:textId="77777777" w:rsidR="005C45E9" w:rsidRDefault="00000000">
      <w:pPr>
        <w:numPr>
          <w:ilvl w:val="255"/>
          <w:numId w:val="0"/>
        </w:numPr>
        <w:adjustRightInd w:val="0"/>
        <w:snapToGrid w:val="0"/>
        <w:spacing w:beforeLines="50" w:before="156" w:afterLines="50" w:after="156" w:line="600" w:lineRule="exact"/>
        <w:jc w:val="center"/>
        <w:outlineLvl w:val="1"/>
        <w:rPr>
          <w:rFonts w:eastAsia="方正大标宋简体"/>
          <w:bCs/>
          <w:sz w:val="44"/>
          <w:szCs w:val="44"/>
        </w:rPr>
      </w:pPr>
      <w:r>
        <w:rPr>
          <w:rFonts w:eastAsia="方正大标宋简体" w:hint="eastAsia"/>
          <w:bCs/>
          <w:sz w:val="44"/>
          <w:szCs w:val="44"/>
        </w:rPr>
        <w:t>第五号——收费公路</w:t>
      </w:r>
    </w:p>
    <w:p w14:paraId="0CB0A2FF"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基金管理人向本所申请收费公路</w:t>
      </w:r>
      <w:r>
        <w:rPr>
          <w:rFonts w:eastAsia="仿宋_GB2312" w:hint="eastAsia"/>
          <w:bCs/>
          <w:sz w:val="32"/>
          <w:szCs w:val="32"/>
        </w:rPr>
        <w:t>类不动产基</w:t>
      </w:r>
      <w:r>
        <w:rPr>
          <w:rFonts w:eastAsia="仿宋_GB2312"/>
          <w:bCs/>
          <w:sz w:val="32"/>
          <w:szCs w:val="32"/>
        </w:rPr>
        <w:t>金上市的审核、资产支持证券管理人向本所申请</w:t>
      </w:r>
      <w:r>
        <w:rPr>
          <w:rFonts w:eastAsia="仿宋_GB2312" w:hint="eastAsia"/>
          <w:bCs/>
          <w:sz w:val="32"/>
          <w:szCs w:val="32"/>
        </w:rPr>
        <w:t>不动产</w:t>
      </w:r>
      <w:r>
        <w:rPr>
          <w:rFonts w:eastAsia="仿宋_GB2312"/>
          <w:bCs/>
          <w:sz w:val="32"/>
          <w:szCs w:val="32"/>
        </w:rPr>
        <w:t>资产支持证券挂牌条件的确认事宜，适用本附件的规定。</w:t>
      </w:r>
    </w:p>
    <w:p w14:paraId="6F69CC80" w14:textId="77777777" w:rsidR="005C45E9" w:rsidRDefault="00000000">
      <w:pPr>
        <w:pStyle w:val="Style3"/>
        <w:tabs>
          <w:tab w:val="left" w:pos="709"/>
          <w:tab w:val="left" w:pos="993"/>
        </w:tabs>
        <w:adjustRightInd w:val="0"/>
        <w:snapToGrid w:val="0"/>
        <w:spacing w:line="560" w:lineRule="exact"/>
        <w:ind w:firstLine="640"/>
        <w:rPr>
          <w:rFonts w:eastAsia="仿宋_GB2312"/>
          <w:bCs/>
          <w:sz w:val="32"/>
          <w:szCs w:val="32"/>
        </w:rPr>
      </w:pPr>
      <w:r>
        <w:rPr>
          <w:rFonts w:eastAsia="仿宋_GB2312"/>
          <w:bCs/>
          <w:sz w:val="32"/>
          <w:szCs w:val="32"/>
        </w:rPr>
        <w:t>在适用本附件时，还应当同时遵守本指引正文的各项规定。</w:t>
      </w:r>
    </w:p>
    <w:p w14:paraId="48D74FB9" w14:textId="77777777" w:rsidR="005C45E9" w:rsidRDefault="00000000">
      <w:pPr>
        <w:pStyle w:val="afa"/>
        <w:tabs>
          <w:tab w:val="left" w:pos="0"/>
        </w:tabs>
        <w:adjustRightInd w:val="0"/>
        <w:outlineLvl w:val="9"/>
        <w:rPr>
          <w:rFonts w:ascii="Times New Roman" w:hAnsi="Times New Roman"/>
          <w:b w:val="0"/>
          <w:bCs w:val="0"/>
          <w:szCs w:val="32"/>
        </w:rPr>
      </w:pPr>
      <w:bookmarkStart w:id="17" w:name="_Hlk171525681"/>
      <w:r>
        <w:rPr>
          <w:rFonts w:ascii="Times New Roman" w:hAnsi="Times New Roman"/>
          <w:b w:val="0"/>
          <w:bCs w:val="0"/>
          <w:szCs w:val="32"/>
        </w:rPr>
        <w:t>第一节</w:t>
      </w:r>
      <w:r>
        <w:rPr>
          <w:rFonts w:ascii="Times New Roman" w:hAnsi="Times New Roman"/>
          <w:b w:val="0"/>
          <w:bCs w:val="0"/>
          <w:szCs w:val="32"/>
        </w:rPr>
        <w:t xml:space="preserve"> </w:t>
      </w:r>
      <w:r>
        <w:rPr>
          <w:rFonts w:ascii="Times New Roman" w:hAnsi="Times New Roman" w:hint="eastAsia"/>
          <w:b w:val="0"/>
          <w:bCs w:val="0"/>
          <w:szCs w:val="32"/>
        </w:rPr>
        <w:t>不动产项目</w:t>
      </w:r>
      <w:r>
        <w:rPr>
          <w:rFonts w:ascii="Times New Roman" w:hAnsi="Times New Roman"/>
          <w:b w:val="0"/>
          <w:bCs w:val="0"/>
          <w:szCs w:val="32"/>
        </w:rPr>
        <w:t>基本</w:t>
      </w:r>
      <w:bookmarkEnd w:id="17"/>
      <w:r>
        <w:rPr>
          <w:rFonts w:ascii="Times New Roman" w:hAnsi="Times New Roman"/>
          <w:b w:val="0"/>
          <w:bCs w:val="0"/>
          <w:szCs w:val="32"/>
        </w:rPr>
        <w:t>情况</w:t>
      </w:r>
    </w:p>
    <w:p w14:paraId="071A448D"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管理人应当按照本指引第三章第二节的规定披露</w:t>
      </w:r>
      <w:r>
        <w:rPr>
          <w:rFonts w:eastAsia="仿宋_GB2312" w:hint="eastAsia"/>
          <w:bCs/>
          <w:sz w:val="32"/>
          <w:szCs w:val="32"/>
        </w:rPr>
        <w:t>不动产</w:t>
      </w:r>
      <w:r>
        <w:rPr>
          <w:rFonts w:eastAsia="仿宋_GB2312"/>
          <w:bCs/>
          <w:sz w:val="32"/>
          <w:szCs w:val="32"/>
        </w:rPr>
        <w:t>项目经营与财务情况，并披露下列基本情况：</w:t>
      </w:r>
    </w:p>
    <w:p w14:paraId="15C48E9F"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w:t>
      </w:r>
      <w:r>
        <w:rPr>
          <w:rFonts w:eastAsia="仿宋_GB2312" w:hint="eastAsia"/>
          <w:bCs/>
          <w:sz w:val="32"/>
          <w:szCs w:val="32"/>
        </w:rPr>
        <w:t>不动产</w:t>
      </w:r>
      <w:r>
        <w:rPr>
          <w:rFonts w:eastAsia="仿宋_GB2312"/>
          <w:bCs/>
          <w:sz w:val="32"/>
          <w:szCs w:val="32"/>
        </w:rPr>
        <w:t>项目基本信息，包括</w:t>
      </w:r>
      <w:r>
        <w:rPr>
          <w:rFonts w:eastAsia="仿宋_GB2312" w:hint="eastAsia"/>
          <w:bCs/>
          <w:sz w:val="32"/>
          <w:szCs w:val="32"/>
        </w:rPr>
        <w:t>不动产</w:t>
      </w:r>
      <w:r>
        <w:rPr>
          <w:rFonts w:eastAsia="仿宋_GB2312"/>
          <w:bCs/>
          <w:sz w:val="32"/>
          <w:szCs w:val="32"/>
        </w:rPr>
        <w:t>项目名称、所在区域、资产范围、运营起止时间、运营模式等；</w:t>
      </w:r>
    </w:p>
    <w:p w14:paraId="30A0227C"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（二）区域发展情况，包括区域经济增长水平、常住人口增长率、机动车保有量以及增长率、影响道路通行量的产业经济情况等；</w:t>
      </w:r>
    </w:p>
    <w:p w14:paraId="0A57B5C8"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（三）路网情况，包括公路运输量、</w:t>
      </w:r>
      <w:proofErr w:type="gramStart"/>
      <w:r>
        <w:rPr>
          <w:rFonts w:eastAsia="仿宋_GB2312"/>
          <w:bCs/>
          <w:sz w:val="32"/>
          <w:szCs w:val="32"/>
        </w:rPr>
        <w:t>道路竞品情况</w:t>
      </w:r>
      <w:proofErr w:type="gramEnd"/>
      <w:r>
        <w:rPr>
          <w:rFonts w:eastAsia="仿宋_GB2312"/>
          <w:bCs/>
          <w:sz w:val="32"/>
          <w:szCs w:val="32"/>
        </w:rPr>
        <w:t>、区域交通规划等；</w:t>
      </w:r>
    </w:p>
    <w:p w14:paraId="61E57F1D"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（四）公路设计以及功能定位，包括收费公路的主要功能定位、技术等级、设计速度、设计服务水平、车道数等；</w:t>
      </w:r>
    </w:p>
    <w:p w14:paraId="3C4A63FC"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（五）其他对</w:t>
      </w:r>
      <w:proofErr w:type="gramStart"/>
      <w:r>
        <w:rPr>
          <w:rFonts w:eastAsia="仿宋_GB2312"/>
          <w:bCs/>
          <w:sz w:val="32"/>
          <w:szCs w:val="32"/>
        </w:rPr>
        <w:t>作出</w:t>
      </w:r>
      <w:proofErr w:type="gramEnd"/>
      <w:r>
        <w:rPr>
          <w:rFonts w:eastAsia="仿宋_GB2312"/>
          <w:bCs/>
          <w:sz w:val="32"/>
          <w:szCs w:val="32"/>
        </w:rPr>
        <w:t>投资决策有重大影响的信息。</w:t>
      </w:r>
    </w:p>
    <w:p w14:paraId="0CEA9C55"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项目资产范围，包括收费公路收费权和归属于原始权益人及其关联方的</w:t>
      </w:r>
      <w:r>
        <w:rPr>
          <w:rFonts w:eastAsia="仿宋_GB2312" w:hint="eastAsia"/>
          <w:bCs/>
          <w:sz w:val="32"/>
          <w:szCs w:val="32"/>
        </w:rPr>
        <w:t>不动产</w:t>
      </w:r>
      <w:r>
        <w:rPr>
          <w:rFonts w:eastAsia="仿宋_GB2312"/>
          <w:bCs/>
          <w:sz w:val="32"/>
          <w:szCs w:val="32"/>
        </w:rPr>
        <w:t>项目正常经营所必需的相关资产。</w:t>
      </w:r>
    </w:p>
    <w:p w14:paraId="1F7C1DEE"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前款所称相关资产应当包括土地使用权，原则上应当包括收费站所有权、广告经营权、服务区以及其他保障收费公路独立、稳定运营的相关附属设施所有权等。服务区以及其他相关资产未纳入资产范围的，管理人应当披露原因，充分揭示风险，并采取风险缓释措施，保障</w:t>
      </w:r>
      <w:r>
        <w:rPr>
          <w:rFonts w:eastAsia="仿宋_GB2312" w:hint="eastAsia"/>
          <w:bCs/>
          <w:sz w:val="32"/>
          <w:szCs w:val="32"/>
        </w:rPr>
        <w:t>不动产</w:t>
      </w:r>
      <w:r>
        <w:rPr>
          <w:rFonts w:eastAsia="仿宋_GB2312"/>
          <w:bCs/>
          <w:sz w:val="32"/>
          <w:szCs w:val="32"/>
        </w:rPr>
        <w:t>项目稳定运营。</w:t>
      </w:r>
    </w:p>
    <w:p w14:paraId="7794FE03"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管理人和律师应当核查</w:t>
      </w:r>
      <w:r>
        <w:rPr>
          <w:rFonts w:eastAsia="仿宋_GB2312" w:hint="eastAsia"/>
          <w:bCs/>
          <w:sz w:val="32"/>
          <w:szCs w:val="32"/>
        </w:rPr>
        <w:t>不动产</w:t>
      </w:r>
      <w:r>
        <w:rPr>
          <w:rFonts w:eastAsia="仿宋_GB2312"/>
          <w:bCs/>
          <w:sz w:val="32"/>
          <w:szCs w:val="32"/>
        </w:rPr>
        <w:t>项目的转让是否符合《收费公路管理条例》等有关法律法规、政策文件</w:t>
      </w:r>
      <w:r>
        <w:rPr>
          <w:rFonts w:eastAsia="仿宋_GB2312" w:hint="eastAsia"/>
          <w:bCs/>
          <w:sz w:val="32"/>
          <w:szCs w:val="32"/>
        </w:rPr>
        <w:t>有关</w:t>
      </w:r>
      <w:r>
        <w:rPr>
          <w:rFonts w:eastAsia="仿宋_GB2312"/>
          <w:bCs/>
          <w:sz w:val="32"/>
          <w:szCs w:val="32"/>
        </w:rPr>
        <w:t>要求和经营权协议等</w:t>
      </w:r>
      <w:r>
        <w:rPr>
          <w:rFonts w:eastAsia="仿宋_GB2312" w:hint="eastAsia"/>
          <w:bCs/>
          <w:sz w:val="32"/>
          <w:szCs w:val="32"/>
        </w:rPr>
        <w:t>有关</w:t>
      </w:r>
      <w:r>
        <w:rPr>
          <w:rFonts w:eastAsia="仿宋_GB2312"/>
          <w:bCs/>
          <w:sz w:val="32"/>
          <w:szCs w:val="32"/>
        </w:rPr>
        <w:t>约定。</w:t>
      </w:r>
    </w:p>
    <w:p w14:paraId="29E1AF07"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hint="eastAsia"/>
          <w:bCs/>
          <w:sz w:val="32"/>
          <w:szCs w:val="32"/>
        </w:rPr>
        <w:t>不动产</w:t>
      </w:r>
      <w:r>
        <w:rPr>
          <w:rFonts w:eastAsia="仿宋_GB2312"/>
          <w:bCs/>
          <w:sz w:val="32"/>
          <w:szCs w:val="32"/>
        </w:rPr>
        <w:t>项目历史上存在改扩建或者由政府还贷公路变更为经营性公路等情况的，管理人应当披露</w:t>
      </w:r>
      <w:r>
        <w:rPr>
          <w:rFonts w:eastAsia="仿宋_GB2312" w:hint="eastAsia"/>
          <w:bCs/>
          <w:sz w:val="32"/>
          <w:szCs w:val="32"/>
        </w:rPr>
        <w:t>不动产</w:t>
      </w:r>
      <w:r>
        <w:rPr>
          <w:rFonts w:eastAsia="仿宋_GB2312"/>
          <w:bCs/>
          <w:sz w:val="32"/>
          <w:szCs w:val="32"/>
        </w:rPr>
        <w:t>项目改扩建或者变更为经营性公路的背景以及所履行的审批程序。管理人和律师应当对</w:t>
      </w:r>
      <w:r>
        <w:rPr>
          <w:rFonts w:eastAsia="仿宋_GB2312" w:hint="eastAsia"/>
          <w:bCs/>
          <w:sz w:val="32"/>
          <w:szCs w:val="32"/>
        </w:rPr>
        <w:t>不动产项目</w:t>
      </w:r>
      <w:r>
        <w:rPr>
          <w:rFonts w:eastAsia="仿宋_GB2312"/>
          <w:bCs/>
          <w:sz w:val="32"/>
          <w:szCs w:val="32"/>
        </w:rPr>
        <w:t>改扩建、性质变更的合法合</w:t>
      </w:r>
      <w:proofErr w:type="gramStart"/>
      <w:r>
        <w:rPr>
          <w:rFonts w:eastAsia="仿宋_GB2312"/>
          <w:bCs/>
          <w:sz w:val="32"/>
          <w:szCs w:val="32"/>
        </w:rPr>
        <w:t>规性发表</w:t>
      </w:r>
      <w:proofErr w:type="gramEnd"/>
      <w:r>
        <w:rPr>
          <w:rFonts w:eastAsia="仿宋_GB2312"/>
          <w:bCs/>
          <w:sz w:val="32"/>
          <w:szCs w:val="32"/>
        </w:rPr>
        <w:t>明确意见，管理人应当充分揭示可能存在的法律风险，并设置风险缓释措施。</w:t>
      </w:r>
    </w:p>
    <w:p w14:paraId="520475C9"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管理人应当核查</w:t>
      </w:r>
      <w:r>
        <w:rPr>
          <w:rFonts w:eastAsia="仿宋_GB2312" w:hint="eastAsia"/>
          <w:bCs/>
          <w:sz w:val="32"/>
          <w:szCs w:val="32"/>
        </w:rPr>
        <w:t>不动产</w:t>
      </w:r>
      <w:r>
        <w:rPr>
          <w:rFonts w:eastAsia="仿宋_GB2312"/>
          <w:bCs/>
          <w:sz w:val="32"/>
          <w:szCs w:val="32"/>
        </w:rPr>
        <w:t>项目最近一期的路桥隧、交通安全设施技术状况评定报告，充分披露</w:t>
      </w:r>
      <w:r>
        <w:rPr>
          <w:rFonts w:eastAsia="仿宋_GB2312" w:hint="eastAsia"/>
          <w:bCs/>
          <w:sz w:val="32"/>
          <w:szCs w:val="32"/>
        </w:rPr>
        <w:t>不动产</w:t>
      </w:r>
      <w:r>
        <w:rPr>
          <w:rFonts w:eastAsia="仿宋_GB2312"/>
          <w:bCs/>
          <w:sz w:val="32"/>
          <w:szCs w:val="32"/>
        </w:rPr>
        <w:t>项目路基路面、桥涵隧道等可能存在的隐性质量问题，充分揭示风险，并设置风险缓释措施。</w:t>
      </w:r>
    </w:p>
    <w:p w14:paraId="10277C7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主要原始权益人应当承诺向管理人等提供的质量安全相关资料真实、准确、完整，不存在虚假记载、误导性陈述或者重大遗漏。</w:t>
      </w:r>
    </w:p>
    <w:p w14:paraId="55DF5A11"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第二节</w:t>
      </w:r>
      <w:r>
        <w:rPr>
          <w:rFonts w:ascii="Times New Roman" w:hAnsi="Times New Roman"/>
          <w:b w:val="0"/>
          <w:bCs w:val="0"/>
          <w:szCs w:val="32"/>
        </w:rPr>
        <w:t xml:space="preserve"> </w:t>
      </w:r>
      <w:r>
        <w:rPr>
          <w:rFonts w:ascii="Times New Roman" w:hAnsi="Times New Roman" w:hint="eastAsia"/>
          <w:b w:val="0"/>
          <w:bCs w:val="0"/>
          <w:szCs w:val="32"/>
        </w:rPr>
        <w:t>不动产项目</w:t>
      </w:r>
      <w:r>
        <w:rPr>
          <w:rFonts w:ascii="Times New Roman" w:hAnsi="Times New Roman"/>
          <w:b w:val="0"/>
          <w:bCs w:val="0"/>
          <w:szCs w:val="32"/>
        </w:rPr>
        <w:t>经营与财务情况</w:t>
      </w:r>
    </w:p>
    <w:p w14:paraId="748F20C7"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项目经营情况，包括各年度车型结构占比、车流量和收费标准、通行费收入、其他业务收入、收费减免、经营成本情况等。经营收入或者成本波动较大的，管理人应当披露变动原因。</w:t>
      </w:r>
    </w:p>
    <w:p w14:paraId="31E973FF"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不动产项目</w:t>
      </w:r>
      <w:r>
        <w:rPr>
          <w:rFonts w:eastAsia="仿宋_GB2312"/>
          <w:bCs/>
          <w:sz w:val="32"/>
          <w:szCs w:val="32"/>
        </w:rPr>
        <w:t>的车流情况，包括断面车流量以及车型结构、标准车流量、自然车流量</w:t>
      </w:r>
      <w:r>
        <w:rPr>
          <w:rFonts w:eastAsia="仿宋_GB2312" w:hint="eastAsia"/>
          <w:bCs/>
          <w:sz w:val="32"/>
          <w:szCs w:val="32"/>
        </w:rPr>
        <w:t>、</w:t>
      </w:r>
      <w:r>
        <w:rPr>
          <w:rFonts w:eastAsia="仿宋_GB2312"/>
          <w:bCs/>
          <w:sz w:val="32"/>
          <w:szCs w:val="32"/>
        </w:rPr>
        <w:t>年度断面车流量增长率、复合增长率等。</w:t>
      </w:r>
    </w:p>
    <w:p w14:paraId="6413C14C"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项目收费权分路段到期的，管理人应当分路段披露上述情况。</w:t>
      </w:r>
    </w:p>
    <w:p w14:paraId="64EB5B4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管理人应当披露历史实际车流量与</w:t>
      </w:r>
      <w:r>
        <w:rPr>
          <w:rFonts w:eastAsia="仿宋_GB2312" w:hint="eastAsia"/>
          <w:bCs/>
          <w:sz w:val="32"/>
          <w:szCs w:val="32"/>
        </w:rPr>
        <w:t>不动产</w:t>
      </w:r>
      <w:r>
        <w:rPr>
          <w:rFonts w:eastAsia="仿宋_GB2312"/>
          <w:bCs/>
          <w:sz w:val="32"/>
          <w:szCs w:val="32"/>
        </w:rPr>
        <w:t>项目工程可行性研究报告等立项报告预测数据的差异情况。年度实际车流量与预测数据差异超过</w:t>
      </w:r>
      <w:r>
        <w:rPr>
          <w:rFonts w:eastAsia="仿宋_GB2312"/>
          <w:bCs/>
          <w:sz w:val="32"/>
          <w:szCs w:val="32"/>
        </w:rPr>
        <w:t>5%</w:t>
      </w:r>
      <w:r>
        <w:rPr>
          <w:rFonts w:eastAsia="仿宋_GB2312"/>
          <w:bCs/>
          <w:sz w:val="32"/>
          <w:szCs w:val="32"/>
        </w:rPr>
        <w:t>的，应当说明该差异产生的原因及其合理性。</w:t>
      </w:r>
    </w:p>
    <w:p w14:paraId="34195E07"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管理人应当披露报告期内</w:t>
      </w:r>
      <w:r>
        <w:rPr>
          <w:rFonts w:eastAsia="仿宋_GB2312" w:hint="eastAsia"/>
          <w:bCs/>
          <w:sz w:val="32"/>
          <w:szCs w:val="32"/>
        </w:rPr>
        <w:t>不动产</w:t>
      </w:r>
      <w:r>
        <w:rPr>
          <w:rFonts w:eastAsia="仿宋_GB2312"/>
          <w:bCs/>
          <w:sz w:val="32"/>
          <w:szCs w:val="32"/>
        </w:rPr>
        <w:t>项目的下列通行费收入情况：</w:t>
      </w:r>
    </w:p>
    <w:p w14:paraId="4C3904F7"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（一）公路通行费收费标准、单公里通行费收入、年度通行费收入增长情况；</w:t>
      </w:r>
    </w:p>
    <w:p w14:paraId="42804A14"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（二）收入构成情况，包括月均收入、各路段收入等；</w:t>
      </w:r>
    </w:p>
    <w:p w14:paraId="4EA6ACA5" w14:textId="77777777" w:rsidR="005C45E9" w:rsidRDefault="00000000">
      <w:pPr>
        <w:pStyle w:val="Style3"/>
        <w:tabs>
          <w:tab w:val="left" w:pos="0"/>
        </w:tabs>
        <w:adjustRightInd w:val="0"/>
        <w:snapToGrid w:val="0"/>
        <w:spacing w:line="560" w:lineRule="exact"/>
        <w:ind w:firstLine="640"/>
        <w:rPr>
          <w:rFonts w:eastAsia="仿宋_GB2312"/>
          <w:bCs/>
          <w:sz w:val="32"/>
          <w:szCs w:val="32"/>
        </w:rPr>
      </w:pPr>
      <w:r>
        <w:rPr>
          <w:rFonts w:eastAsia="仿宋_GB2312"/>
          <w:bCs/>
          <w:sz w:val="32"/>
          <w:szCs w:val="32"/>
        </w:rPr>
        <w:t>（三）各</w:t>
      </w:r>
      <w:proofErr w:type="gramStart"/>
      <w:r>
        <w:rPr>
          <w:rFonts w:eastAsia="仿宋_GB2312"/>
          <w:bCs/>
          <w:sz w:val="32"/>
          <w:szCs w:val="32"/>
        </w:rPr>
        <w:t>类支付</w:t>
      </w:r>
      <w:proofErr w:type="gramEnd"/>
      <w:r>
        <w:rPr>
          <w:rFonts w:eastAsia="仿宋_GB2312"/>
          <w:bCs/>
          <w:sz w:val="32"/>
          <w:szCs w:val="32"/>
        </w:rPr>
        <w:t>方式占比，包括现金、电子不停车收费系统（</w:t>
      </w:r>
      <w:r>
        <w:rPr>
          <w:rFonts w:eastAsia="仿宋_GB2312"/>
          <w:bCs/>
          <w:sz w:val="32"/>
          <w:szCs w:val="32"/>
        </w:rPr>
        <w:t>ETC</w:t>
      </w:r>
      <w:r>
        <w:rPr>
          <w:rFonts w:eastAsia="仿宋_GB2312"/>
          <w:bCs/>
          <w:sz w:val="32"/>
          <w:szCs w:val="32"/>
        </w:rPr>
        <w:t>）、移动支付收费等。</w:t>
      </w:r>
    </w:p>
    <w:p w14:paraId="6B3A0570"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hint="eastAsia"/>
          <w:bCs/>
          <w:sz w:val="32"/>
          <w:szCs w:val="32"/>
        </w:rPr>
        <w:t>不动产</w:t>
      </w:r>
      <w:r>
        <w:rPr>
          <w:rFonts w:eastAsia="仿宋_GB2312"/>
          <w:bCs/>
          <w:sz w:val="32"/>
          <w:szCs w:val="32"/>
        </w:rPr>
        <w:t>项目的通行费或者其他费用的收费标准应当符合主管部门和</w:t>
      </w:r>
      <w:r>
        <w:rPr>
          <w:rFonts w:eastAsia="仿宋_GB2312" w:hint="eastAsia"/>
          <w:bCs/>
          <w:sz w:val="32"/>
          <w:szCs w:val="32"/>
        </w:rPr>
        <w:t>有关</w:t>
      </w:r>
      <w:r>
        <w:rPr>
          <w:rFonts w:eastAsia="仿宋_GB2312"/>
          <w:bCs/>
          <w:sz w:val="32"/>
          <w:szCs w:val="32"/>
        </w:rPr>
        <w:t>合同的规定。存在分路段、分车型、分时段、分出入口、分方向、</w:t>
      </w:r>
      <w:proofErr w:type="gramStart"/>
      <w:r>
        <w:rPr>
          <w:rFonts w:eastAsia="仿宋_GB2312"/>
          <w:bCs/>
          <w:sz w:val="32"/>
          <w:szCs w:val="32"/>
        </w:rPr>
        <w:t>分支付</w:t>
      </w:r>
      <w:proofErr w:type="gramEnd"/>
      <w:r>
        <w:rPr>
          <w:rFonts w:eastAsia="仿宋_GB2312"/>
          <w:bCs/>
          <w:sz w:val="32"/>
          <w:szCs w:val="32"/>
        </w:rPr>
        <w:t>方式等差异性收费标准的，管理人应当披露差异性收费对历史现金流的影响。</w:t>
      </w:r>
    </w:p>
    <w:p w14:paraId="2BEF8F2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年度通行费收入增长率与车流量增长率差异超过</w:t>
      </w:r>
      <w:r>
        <w:rPr>
          <w:rFonts w:eastAsia="仿宋_GB2312"/>
          <w:bCs/>
          <w:sz w:val="32"/>
          <w:szCs w:val="32"/>
        </w:rPr>
        <w:t>5%</w:t>
      </w:r>
      <w:r>
        <w:rPr>
          <w:rFonts w:eastAsia="仿宋_GB2312"/>
          <w:bCs/>
          <w:sz w:val="32"/>
          <w:szCs w:val="32"/>
        </w:rPr>
        <w:t>的，管理人应当说明差异原因及其合理性。</w:t>
      </w:r>
    </w:p>
    <w:p w14:paraId="205483FF"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管理人应当披露其他收费公路、铁路、国省县公路干道等竞争性交通设施对</w:t>
      </w:r>
      <w:r>
        <w:rPr>
          <w:rFonts w:eastAsia="仿宋_GB2312" w:hint="eastAsia"/>
          <w:bCs/>
          <w:sz w:val="32"/>
          <w:szCs w:val="32"/>
        </w:rPr>
        <w:t>不动产</w:t>
      </w:r>
      <w:r>
        <w:rPr>
          <w:rFonts w:eastAsia="仿宋_GB2312"/>
          <w:bCs/>
          <w:sz w:val="32"/>
          <w:szCs w:val="32"/>
        </w:rPr>
        <w:t>项目运营的影响，充分揭示风险。</w:t>
      </w:r>
    </w:p>
    <w:p w14:paraId="65588E86"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第三节</w:t>
      </w:r>
      <w:r>
        <w:rPr>
          <w:rFonts w:ascii="Times New Roman" w:hAnsi="Times New Roman"/>
          <w:b w:val="0"/>
          <w:bCs w:val="0"/>
          <w:szCs w:val="32"/>
        </w:rPr>
        <w:t xml:space="preserve"> </w:t>
      </w:r>
      <w:r>
        <w:rPr>
          <w:rFonts w:ascii="Times New Roman" w:hAnsi="Times New Roman" w:hint="eastAsia"/>
          <w:b w:val="0"/>
          <w:bCs w:val="0"/>
          <w:szCs w:val="32"/>
        </w:rPr>
        <w:t>不动</w:t>
      </w:r>
      <w:r>
        <w:rPr>
          <w:rFonts w:ascii="Times New Roman" w:hAnsi="Times New Roman"/>
          <w:b w:val="0"/>
          <w:bCs w:val="0"/>
          <w:szCs w:val="32"/>
        </w:rPr>
        <w:t>产评估</w:t>
      </w:r>
    </w:p>
    <w:p w14:paraId="11609010"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评估机构、车流量预测机构（如有）应当结合</w:t>
      </w:r>
      <w:r>
        <w:rPr>
          <w:rFonts w:eastAsia="仿宋_GB2312" w:hint="eastAsia"/>
          <w:bCs/>
          <w:sz w:val="32"/>
          <w:szCs w:val="32"/>
        </w:rPr>
        <w:t>不动产</w:t>
      </w:r>
      <w:r>
        <w:rPr>
          <w:rFonts w:eastAsia="仿宋_GB2312"/>
          <w:bCs/>
          <w:sz w:val="32"/>
          <w:szCs w:val="32"/>
        </w:rPr>
        <w:t>项目历史运营时间、历史经营收入、区位情况、区域经济增长水平、未来路网规划、机动车保有量增长率、与货运汽车相匹配的产业经济发展情况、服务水平等级、未来</w:t>
      </w:r>
      <w:proofErr w:type="gramStart"/>
      <w:r>
        <w:rPr>
          <w:rFonts w:eastAsia="仿宋_GB2312"/>
          <w:bCs/>
          <w:sz w:val="32"/>
          <w:szCs w:val="32"/>
        </w:rPr>
        <w:t>竞品</w:t>
      </w:r>
      <w:r>
        <w:rPr>
          <w:rFonts w:eastAsia="仿宋_GB2312" w:hint="eastAsia"/>
          <w:bCs/>
          <w:sz w:val="32"/>
          <w:szCs w:val="32"/>
        </w:rPr>
        <w:t>资产</w:t>
      </w:r>
      <w:proofErr w:type="gramEnd"/>
      <w:r>
        <w:rPr>
          <w:rFonts w:eastAsia="仿宋_GB2312"/>
          <w:bCs/>
          <w:sz w:val="32"/>
          <w:szCs w:val="32"/>
        </w:rPr>
        <w:t>的修建情况、收费减免政策、差异性收费等因素，合理确定弹性系数、诱增交通量、转移交通量等，审慎预测车流量增长率相关评估参数。</w:t>
      </w:r>
    </w:p>
    <w:p w14:paraId="40836013"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评估机构应当结合</w:t>
      </w:r>
      <w:r>
        <w:rPr>
          <w:rFonts w:eastAsia="仿宋_GB2312" w:hint="eastAsia"/>
          <w:bCs/>
          <w:sz w:val="32"/>
          <w:szCs w:val="32"/>
        </w:rPr>
        <w:t>不动产</w:t>
      </w:r>
      <w:r>
        <w:rPr>
          <w:rFonts w:eastAsia="仿宋_GB2312"/>
          <w:bCs/>
          <w:sz w:val="32"/>
          <w:szCs w:val="32"/>
        </w:rPr>
        <w:t>项目运营时间、历史成本支出情况、</w:t>
      </w:r>
      <w:r>
        <w:rPr>
          <w:rFonts w:eastAsia="仿宋_GB2312" w:hint="eastAsia"/>
          <w:bCs/>
          <w:sz w:val="32"/>
          <w:szCs w:val="32"/>
        </w:rPr>
        <w:t>资本性</w:t>
      </w:r>
      <w:r>
        <w:rPr>
          <w:rFonts w:eastAsia="仿宋_GB2312"/>
          <w:bCs/>
          <w:sz w:val="32"/>
          <w:szCs w:val="32"/>
        </w:rPr>
        <w:t>支出安排、扩能改造、养护安排、同行业可比项目情况等，审慎预测各项成本支出。</w:t>
      </w:r>
    </w:p>
    <w:p w14:paraId="0B097D77"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管理人、财务顾问（如有）应当按照本指引第四十五条的规定披露</w:t>
      </w:r>
      <w:r>
        <w:rPr>
          <w:rFonts w:eastAsia="仿宋_GB2312" w:hint="eastAsia"/>
          <w:bCs/>
          <w:sz w:val="32"/>
          <w:szCs w:val="32"/>
        </w:rPr>
        <w:t>不动产</w:t>
      </w:r>
      <w:r>
        <w:rPr>
          <w:rFonts w:eastAsia="仿宋_GB2312"/>
          <w:bCs/>
          <w:sz w:val="32"/>
          <w:szCs w:val="32"/>
        </w:rPr>
        <w:t>项目的评估情况，并按照下列要求说明估值参数取值的合理性：</w:t>
      </w:r>
    </w:p>
    <w:p w14:paraId="061EF96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（一）结合</w:t>
      </w:r>
      <w:r>
        <w:rPr>
          <w:rFonts w:eastAsia="仿宋_GB2312" w:hint="eastAsia"/>
          <w:bCs/>
          <w:sz w:val="32"/>
          <w:szCs w:val="32"/>
        </w:rPr>
        <w:t>不动产</w:t>
      </w:r>
      <w:r>
        <w:rPr>
          <w:rFonts w:eastAsia="仿宋_GB2312"/>
          <w:bCs/>
          <w:sz w:val="32"/>
          <w:szCs w:val="32"/>
        </w:rPr>
        <w:t>项目历史经营情况，同行业上市公司和已上市可比区域公路资产的单公里收入、成本（如有）</w:t>
      </w:r>
      <w:r>
        <w:rPr>
          <w:rFonts w:eastAsia="仿宋_GB2312" w:hint="eastAsia"/>
          <w:bCs/>
          <w:sz w:val="32"/>
          <w:szCs w:val="32"/>
        </w:rPr>
        <w:t>，</w:t>
      </w:r>
      <w:r>
        <w:rPr>
          <w:rFonts w:eastAsia="仿宋_GB2312"/>
          <w:bCs/>
          <w:sz w:val="32"/>
          <w:szCs w:val="32"/>
        </w:rPr>
        <w:t>各项成本支出占营业收入比重</w:t>
      </w:r>
      <w:r>
        <w:rPr>
          <w:rFonts w:eastAsia="仿宋_GB2312" w:hint="eastAsia"/>
          <w:bCs/>
          <w:sz w:val="32"/>
          <w:szCs w:val="32"/>
        </w:rPr>
        <w:t>，不动产</w:t>
      </w:r>
      <w:r>
        <w:rPr>
          <w:rFonts w:eastAsia="仿宋_GB2312"/>
          <w:bCs/>
          <w:sz w:val="32"/>
          <w:szCs w:val="32"/>
        </w:rPr>
        <w:t>项目定位</w:t>
      </w:r>
      <w:r>
        <w:rPr>
          <w:rFonts w:eastAsia="仿宋_GB2312" w:hint="eastAsia"/>
          <w:bCs/>
          <w:sz w:val="32"/>
          <w:szCs w:val="32"/>
        </w:rPr>
        <w:t>，</w:t>
      </w:r>
      <w:r>
        <w:rPr>
          <w:rFonts w:eastAsia="仿宋_GB2312"/>
          <w:bCs/>
          <w:sz w:val="32"/>
          <w:szCs w:val="32"/>
        </w:rPr>
        <w:t>货客车占比情况</w:t>
      </w:r>
      <w:r>
        <w:rPr>
          <w:rFonts w:eastAsia="仿宋_GB2312" w:hint="eastAsia"/>
          <w:bCs/>
          <w:sz w:val="32"/>
          <w:szCs w:val="32"/>
        </w:rPr>
        <w:t>，</w:t>
      </w:r>
      <w:r>
        <w:rPr>
          <w:rFonts w:eastAsia="仿宋_GB2312"/>
          <w:bCs/>
          <w:sz w:val="32"/>
          <w:szCs w:val="32"/>
        </w:rPr>
        <w:t>主要服务地区的产业结构变化趋势等，说明收入、成本等相关参数取值的合理性；</w:t>
      </w:r>
    </w:p>
    <w:p w14:paraId="6D53911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（二）结合项目公司资本结构，同类资产大宗交易（如有）、同行业上市公司并购重组（如有）、同</w:t>
      </w:r>
      <w:r>
        <w:rPr>
          <w:rFonts w:eastAsia="仿宋_GB2312" w:hint="eastAsia"/>
          <w:bCs/>
          <w:sz w:val="32"/>
          <w:szCs w:val="32"/>
        </w:rPr>
        <w:t>行业已上市不动产</w:t>
      </w:r>
      <w:r>
        <w:rPr>
          <w:rFonts w:eastAsia="仿宋_GB2312"/>
          <w:bCs/>
          <w:sz w:val="32"/>
          <w:szCs w:val="32"/>
        </w:rPr>
        <w:t>基金关于折现率的取值等，说明折现率取值的合理性；</w:t>
      </w:r>
    </w:p>
    <w:p w14:paraId="39F28FBA"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（三）结合收费公路的运营年限、养护支出、资本性支出情况，说明养护支出、</w:t>
      </w:r>
      <w:r>
        <w:rPr>
          <w:rFonts w:eastAsia="仿宋_GB2312" w:hint="eastAsia"/>
          <w:bCs/>
          <w:sz w:val="32"/>
          <w:szCs w:val="32"/>
        </w:rPr>
        <w:t>资本性</w:t>
      </w:r>
      <w:r>
        <w:rPr>
          <w:rFonts w:eastAsia="仿宋_GB2312"/>
          <w:bCs/>
          <w:sz w:val="32"/>
          <w:szCs w:val="32"/>
        </w:rPr>
        <w:t>支出等参数取值的合理性。</w:t>
      </w:r>
    </w:p>
    <w:p w14:paraId="2980A106"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管理人、财务顾问（如有）应当结合单公里价格（如有），以及同</w:t>
      </w:r>
      <w:r>
        <w:rPr>
          <w:rFonts w:eastAsia="仿宋_GB2312" w:hint="eastAsia"/>
          <w:bCs/>
          <w:sz w:val="32"/>
          <w:szCs w:val="32"/>
        </w:rPr>
        <w:t>行业已上市不动产</w:t>
      </w:r>
      <w:r>
        <w:rPr>
          <w:rFonts w:eastAsia="仿宋_GB2312"/>
          <w:bCs/>
          <w:sz w:val="32"/>
          <w:szCs w:val="32"/>
        </w:rPr>
        <w:t>基金、同行业上市公司重大资产重组</w:t>
      </w:r>
      <w:r>
        <w:rPr>
          <w:rFonts w:eastAsia="仿宋_GB2312" w:hint="eastAsia"/>
          <w:bCs/>
          <w:sz w:val="32"/>
          <w:szCs w:val="32"/>
        </w:rPr>
        <w:t>和</w:t>
      </w:r>
      <w:r>
        <w:rPr>
          <w:rFonts w:eastAsia="仿宋_GB2312"/>
          <w:bCs/>
          <w:sz w:val="32"/>
          <w:szCs w:val="32"/>
        </w:rPr>
        <w:t>大宗交易（如有）的估值参数选取情况，对评估参数和评估方法的选取进行独立核查，对评估结果的合理性发表明确意见。</w:t>
      </w:r>
    </w:p>
    <w:p w14:paraId="46AE1D79" w14:textId="77777777" w:rsidR="005C45E9" w:rsidRDefault="00000000">
      <w:pPr>
        <w:pStyle w:val="afa"/>
        <w:tabs>
          <w:tab w:val="left" w:pos="0"/>
        </w:tabs>
        <w:adjustRightInd w:val="0"/>
        <w:outlineLvl w:val="9"/>
        <w:rPr>
          <w:rFonts w:ascii="Times New Roman" w:hAnsi="Times New Roman"/>
          <w:b w:val="0"/>
          <w:bCs w:val="0"/>
          <w:szCs w:val="32"/>
        </w:rPr>
      </w:pPr>
      <w:r>
        <w:rPr>
          <w:rFonts w:ascii="Times New Roman" w:hAnsi="Times New Roman"/>
          <w:b w:val="0"/>
          <w:bCs w:val="0"/>
          <w:szCs w:val="32"/>
        </w:rPr>
        <w:t>第四节</w:t>
      </w:r>
      <w:r>
        <w:rPr>
          <w:rFonts w:ascii="Times New Roman" w:hAnsi="Times New Roman"/>
          <w:b w:val="0"/>
          <w:bCs w:val="0"/>
          <w:szCs w:val="32"/>
        </w:rPr>
        <w:t xml:space="preserve"> </w:t>
      </w:r>
      <w:r>
        <w:rPr>
          <w:rFonts w:ascii="Times New Roman" w:hAnsi="Times New Roman"/>
          <w:b w:val="0"/>
          <w:bCs w:val="0"/>
          <w:szCs w:val="32"/>
        </w:rPr>
        <w:t>运营管理安排</w:t>
      </w:r>
    </w:p>
    <w:p w14:paraId="20AD90F0"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基金管理人应当结合</w:t>
      </w:r>
      <w:r>
        <w:rPr>
          <w:rFonts w:eastAsia="仿宋_GB2312" w:hint="eastAsia"/>
          <w:bCs/>
          <w:sz w:val="32"/>
          <w:szCs w:val="32"/>
        </w:rPr>
        <w:t>不动产</w:t>
      </w:r>
      <w:r>
        <w:rPr>
          <w:rFonts w:eastAsia="仿宋_GB2312"/>
          <w:bCs/>
          <w:sz w:val="32"/>
          <w:szCs w:val="32"/>
        </w:rPr>
        <w:t>项目运营模式特点，明确分层决策机制中各决策层面对涉及</w:t>
      </w:r>
      <w:r>
        <w:rPr>
          <w:rFonts w:eastAsia="仿宋_GB2312" w:hint="eastAsia"/>
          <w:bCs/>
          <w:sz w:val="32"/>
          <w:szCs w:val="32"/>
        </w:rPr>
        <w:t>不动产</w:t>
      </w:r>
      <w:r>
        <w:rPr>
          <w:rFonts w:eastAsia="仿宋_GB2312"/>
          <w:bCs/>
          <w:sz w:val="32"/>
          <w:szCs w:val="32"/>
        </w:rPr>
        <w:t>项目运营的重要事项的</w:t>
      </w:r>
      <w:r>
        <w:rPr>
          <w:rFonts w:eastAsia="仿宋_GB2312" w:hint="eastAsia"/>
          <w:bCs/>
          <w:sz w:val="32"/>
          <w:szCs w:val="32"/>
        </w:rPr>
        <w:t>决策</w:t>
      </w:r>
      <w:r>
        <w:rPr>
          <w:rFonts w:eastAsia="仿宋_GB2312"/>
          <w:bCs/>
          <w:sz w:val="32"/>
          <w:szCs w:val="32"/>
        </w:rPr>
        <w:t>安排，包括收费减免、公路养护、资金管理、突发事件响应安排等。分层决策机制应当有利于保障道路交通运输安全和畅通。</w:t>
      </w:r>
    </w:p>
    <w:p w14:paraId="3D9E02D5"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管理人应当披露运营管理协议约定的</w:t>
      </w:r>
      <w:r>
        <w:rPr>
          <w:rFonts w:eastAsia="仿宋_GB2312" w:hint="eastAsia"/>
          <w:bCs/>
          <w:sz w:val="32"/>
          <w:szCs w:val="32"/>
        </w:rPr>
        <w:t>不动产</w:t>
      </w:r>
      <w:r>
        <w:rPr>
          <w:rFonts w:eastAsia="仿宋_GB2312"/>
          <w:bCs/>
          <w:sz w:val="32"/>
          <w:szCs w:val="32"/>
        </w:rPr>
        <w:t>项目道路运营管理方案，包括资金闭环管理、公路养护、扩能改造、大修计划、到期移交、突发事件响应安排等。</w:t>
      </w:r>
    </w:p>
    <w:p w14:paraId="71DF6F55"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收费公路的养护质量、联网收费设施、联网收费服务、服务区服务、收费站服务以及路段通行服务等管理、技术指标应当符合国家和</w:t>
      </w:r>
      <w:r>
        <w:rPr>
          <w:rFonts w:eastAsia="仿宋_GB2312" w:hint="eastAsia"/>
          <w:bCs/>
          <w:sz w:val="32"/>
          <w:szCs w:val="32"/>
        </w:rPr>
        <w:t>不动产项目</w:t>
      </w:r>
      <w:r>
        <w:rPr>
          <w:rFonts w:eastAsia="仿宋_GB2312"/>
          <w:bCs/>
          <w:sz w:val="32"/>
          <w:szCs w:val="32"/>
        </w:rPr>
        <w:t>所在地区要求。</w:t>
      </w:r>
    </w:p>
    <w:p w14:paraId="23BEF46F"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运营管理方案相关安排应当有利于提高运营效率、压降运营成本，可以有效提升道路通行能力</w:t>
      </w:r>
      <w:r>
        <w:rPr>
          <w:rFonts w:eastAsia="仿宋_GB2312" w:hint="eastAsia"/>
          <w:bCs/>
          <w:sz w:val="32"/>
          <w:szCs w:val="32"/>
        </w:rPr>
        <w:t>、</w:t>
      </w:r>
      <w:r>
        <w:rPr>
          <w:rFonts w:eastAsia="仿宋_GB2312"/>
          <w:bCs/>
          <w:sz w:val="32"/>
          <w:szCs w:val="32"/>
        </w:rPr>
        <w:t>道路运输安全水平、附属资产运营能力。</w:t>
      </w:r>
    </w:p>
    <w:p w14:paraId="6FB4172B"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项目未来的养护安排，包括公路养护工程的质量控制制度</w:t>
      </w:r>
      <w:r>
        <w:rPr>
          <w:rFonts w:eastAsia="仿宋_GB2312" w:hint="eastAsia"/>
          <w:bCs/>
          <w:sz w:val="32"/>
          <w:szCs w:val="32"/>
        </w:rPr>
        <w:t>、</w:t>
      </w:r>
      <w:r>
        <w:rPr>
          <w:rFonts w:eastAsia="仿宋_GB2312"/>
          <w:bCs/>
          <w:sz w:val="32"/>
          <w:szCs w:val="32"/>
        </w:rPr>
        <w:t>质量检验频率、养护支出的预决算程序等。</w:t>
      </w:r>
    </w:p>
    <w:p w14:paraId="6AE9CC72"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管理人应当结合路况、主管部门交通规划等情况，披露</w:t>
      </w:r>
      <w:r>
        <w:rPr>
          <w:rFonts w:eastAsia="仿宋_GB2312" w:hint="eastAsia"/>
          <w:bCs/>
          <w:sz w:val="32"/>
          <w:szCs w:val="32"/>
        </w:rPr>
        <w:t>不动产</w:t>
      </w:r>
      <w:r>
        <w:rPr>
          <w:rFonts w:eastAsia="仿宋_GB2312"/>
          <w:bCs/>
          <w:sz w:val="32"/>
          <w:szCs w:val="32"/>
        </w:rPr>
        <w:t>项目未来的大修安排、</w:t>
      </w:r>
      <w:r>
        <w:rPr>
          <w:rFonts w:eastAsia="仿宋_GB2312" w:hint="eastAsia"/>
          <w:bCs/>
          <w:sz w:val="32"/>
          <w:szCs w:val="32"/>
        </w:rPr>
        <w:t>资本性支出</w:t>
      </w:r>
      <w:r>
        <w:rPr>
          <w:rFonts w:eastAsia="仿宋_GB2312"/>
          <w:bCs/>
          <w:sz w:val="32"/>
          <w:szCs w:val="32"/>
        </w:rPr>
        <w:t>费用计提和预计支出情况，以及对</w:t>
      </w:r>
      <w:r>
        <w:rPr>
          <w:rFonts w:eastAsia="仿宋_GB2312" w:hint="eastAsia"/>
          <w:bCs/>
          <w:sz w:val="32"/>
          <w:szCs w:val="32"/>
        </w:rPr>
        <w:t>不动产基</w:t>
      </w:r>
      <w:r>
        <w:rPr>
          <w:rFonts w:eastAsia="仿宋_GB2312"/>
          <w:bCs/>
          <w:sz w:val="32"/>
          <w:szCs w:val="32"/>
        </w:rPr>
        <w:t>金存续期</w:t>
      </w:r>
      <w:r>
        <w:rPr>
          <w:rFonts w:eastAsia="仿宋_GB2312" w:hint="eastAsia"/>
          <w:bCs/>
          <w:sz w:val="32"/>
          <w:szCs w:val="32"/>
        </w:rPr>
        <w:t>间</w:t>
      </w:r>
      <w:r>
        <w:rPr>
          <w:rFonts w:eastAsia="仿宋_GB2312"/>
          <w:bCs/>
          <w:sz w:val="32"/>
          <w:szCs w:val="32"/>
        </w:rPr>
        <w:t>可供分配金额的影响。</w:t>
      </w:r>
    </w:p>
    <w:p w14:paraId="26552D1F"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管理人应当结合实际运营车流量占最大交通服务量比例情况、道路服务水平、区域经济发展、未来车流量增长情况、运营期限、未来路网规划等，披露</w:t>
      </w:r>
      <w:r>
        <w:rPr>
          <w:rFonts w:eastAsia="仿宋_GB2312" w:hint="eastAsia"/>
          <w:bCs/>
          <w:sz w:val="32"/>
          <w:szCs w:val="32"/>
        </w:rPr>
        <w:t>不动产</w:t>
      </w:r>
      <w:r>
        <w:rPr>
          <w:rFonts w:eastAsia="仿宋_GB2312"/>
          <w:bCs/>
          <w:sz w:val="32"/>
          <w:szCs w:val="32"/>
        </w:rPr>
        <w:t>项目未来是否存在通过扩能改造等形式延续或者提升道路通行能力的安排。若存在上述情形的，管理人应当披露相关规划、计划方案、风险因素、投资者保护措施等。</w:t>
      </w:r>
    </w:p>
    <w:p w14:paraId="2CB0D3E8" w14:textId="77777777" w:rsidR="005C45E9" w:rsidRDefault="00000000">
      <w:pPr>
        <w:pStyle w:val="Style3"/>
        <w:numPr>
          <w:ilvl w:val="0"/>
          <w:numId w:val="9"/>
        </w:numPr>
        <w:adjustRightInd w:val="0"/>
        <w:snapToGrid w:val="0"/>
        <w:spacing w:line="560" w:lineRule="exact"/>
        <w:rPr>
          <w:rFonts w:eastAsia="仿宋_GB2312"/>
          <w:bCs/>
          <w:sz w:val="32"/>
          <w:szCs w:val="32"/>
        </w:rPr>
      </w:pPr>
      <w:r>
        <w:rPr>
          <w:rFonts w:eastAsia="仿宋_GB2312"/>
          <w:bCs/>
          <w:sz w:val="32"/>
          <w:szCs w:val="32"/>
        </w:rPr>
        <w:t>管理人应当披露</w:t>
      </w:r>
      <w:r>
        <w:rPr>
          <w:rFonts w:eastAsia="仿宋_GB2312" w:hint="eastAsia"/>
          <w:bCs/>
          <w:sz w:val="32"/>
          <w:szCs w:val="32"/>
        </w:rPr>
        <w:t>不动产</w:t>
      </w:r>
      <w:r>
        <w:rPr>
          <w:rFonts w:eastAsia="仿宋_GB2312"/>
          <w:bCs/>
          <w:sz w:val="32"/>
          <w:szCs w:val="32"/>
        </w:rPr>
        <w:t>项目运营收支账户、电子不停车收费系统（</w:t>
      </w:r>
      <w:r>
        <w:rPr>
          <w:rFonts w:eastAsia="仿宋_GB2312"/>
          <w:bCs/>
          <w:sz w:val="32"/>
          <w:szCs w:val="32"/>
        </w:rPr>
        <w:t>ETC</w:t>
      </w:r>
      <w:r>
        <w:rPr>
          <w:rFonts w:eastAsia="仿宋_GB2312"/>
          <w:bCs/>
          <w:sz w:val="32"/>
          <w:szCs w:val="32"/>
        </w:rPr>
        <w:t>）、移动支付、现金收款账户等资金归集情况。</w:t>
      </w:r>
    </w:p>
    <w:p w14:paraId="16BE365D" w14:textId="77777777" w:rsidR="005C45E9" w:rsidRDefault="00000000">
      <w:pPr>
        <w:pStyle w:val="Style3"/>
        <w:adjustRightInd w:val="0"/>
        <w:snapToGrid w:val="0"/>
        <w:spacing w:line="560" w:lineRule="exact"/>
        <w:ind w:firstLine="640"/>
        <w:rPr>
          <w:rFonts w:eastAsia="仿宋_GB2312"/>
          <w:bCs/>
          <w:sz w:val="32"/>
          <w:szCs w:val="32"/>
        </w:rPr>
      </w:pPr>
      <w:r>
        <w:rPr>
          <w:rFonts w:eastAsia="仿宋_GB2312"/>
          <w:bCs/>
          <w:sz w:val="32"/>
          <w:szCs w:val="32"/>
        </w:rPr>
        <w:t>项目公司因为公路收费联网清分结算管理等因素，需要在托管人以外的其他商业银行开立基本</w:t>
      </w:r>
      <w:proofErr w:type="gramStart"/>
      <w:r>
        <w:rPr>
          <w:rFonts w:eastAsia="仿宋_GB2312"/>
          <w:bCs/>
          <w:sz w:val="32"/>
          <w:szCs w:val="32"/>
        </w:rPr>
        <w:t>户或者</w:t>
      </w:r>
      <w:proofErr w:type="gramEnd"/>
      <w:r>
        <w:rPr>
          <w:rFonts w:eastAsia="仿宋_GB2312"/>
          <w:bCs/>
          <w:sz w:val="32"/>
          <w:szCs w:val="32"/>
        </w:rPr>
        <w:t>运营收支账户的，管理人应当披露现金流归集和划转安排以及定期核查安排，防范现金流的混同和挪用等风险。</w:t>
      </w:r>
    </w:p>
    <w:sectPr w:rsidR="005C45E9">
      <w:headerReference w:type="even" r:id="rId8"/>
      <w:headerReference w:type="default" r:id="rId9"/>
      <w:footerReference w:type="even" r:id="rId10"/>
      <w:footerReference w:type="default" r:id="rId11"/>
      <w:pgSz w:w="11906" w:h="16838"/>
      <w:pgMar w:top="907" w:right="1800" w:bottom="1048" w:left="1800" w:header="851"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A694" w14:textId="77777777" w:rsidR="00454B99" w:rsidRDefault="00454B99">
      <w:r>
        <w:separator/>
      </w:r>
    </w:p>
  </w:endnote>
  <w:endnote w:type="continuationSeparator" w:id="0">
    <w:p w14:paraId="731D729D" w14:textId="77777777" w:rsidR="00454B99" w:rsidRDefault="0045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4E0434A-7988-40AC-864F-F7D20293DB7B}"/>
    <w:embedBold r:id="rId2" w:subsetted="1" w:fontKey="{13445D0B-E69E-4D57-8B58-6E89C3C5B952}"/>
  </w:font>
  <w:font w:name="Liberation Serif">
    <w:altName w:val="Times New Roman"/>
    <w:charset w:val="01"/>
    <w:family w:val="roman"/>
    <w:pitch w:val="default"/>
  </w:font>
  <w:font w:name="华文宋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3" w:subsetted="1" w:fontKey="{D68E30B3-D6C0-4383-89E6-4724475316DC}"/>
  </w:font>
  <w:font w:name="Calibri;DejaVu Sans">
    <w:altName w:val="阿里巴巴普惠体 R"/>
    <w:charset w:val="00"/>
    <w:family w:val="auto"/>
    <w:pitch w:val="default"/>
  </w:font>
  <w:font w:name="Arial Narrow;Times New Roman">
    <w:altName w:val="Times New Roman"/>
    <w:charset w:val="00"/>
    <w:family w:val="auto"/>
    <w:pitch w:val="default"/>
  </w:font>
  <w:font w:name="Liberation Sans">
    <w:altName w:val="阿里巴巴普惠体 R"/>
    <w:charset w:val="01"/>
    <w:family w:val="swiss"/>
    <w:pitch w:val="default"/>
  </w:font>
  <w:font w:name="Cambria;Noto Sans Syriac Easter">
    <w:altName w:val="阿里巴巴普惠体 R"/>
    <w:charset w:val="00"/>
    <w:family w:val="auto"/>
    <w:pitch w:val="default"/>
  </w:font>
  <w:font w:name="黑体">
    <w:altName w:val="SimHei"/>
    <w:panose1 w:val="02010609060101010101"/>
    <w:charset w:val="86"/>
    <w:family w:val="modern"/>
    <w:pitch w:val="fixed"/>
    <w:sig w:usb0="800002BF" w:usb1="38CF7CFA" w:usb2="00000016" w:usb3="00000000" w:csb0="00040001" w:csb1="00000000"/>
    <w:embedRegular r:id="rId4" w:subsetted="1" w:fontKey="{994EB7B2-68BE-461F-B763-84DEE3624308}"/>
  </w:font>
  <w:font w:name="方正大标宋简体">
    <w:panose1 w:val="03000509000000000000"/>
    <w:charset w:val="86"/>
    <w:family w:val="script"/>
    <w:pitch w:val="fixed"/>
    <w:sig w:usb0="00000001" w:usb1="080E0000" w:usb2="00000010" w:usb3="00000000" w:csb0="00040000" w:csb1="00000000"/>
    <w:embedRegular r:id="rId5" w:subsetted="1" w:fontKey="{0479DA58-E1A6-459C-8B75-DB635E413B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83D1" w14:textId="77777777" w:rsidR="005C45E9" w:rsidRDefault="00000000">
    <w:pPr>
      <w:pStyle w:val="a7"/>
    </w:pPr>
    <w:r>
      <w:rPr>
        <w:rFonts w:ascii="仿宋_GB2312" w:eastAsia="仿宋_GB2312" w:hAnsi="仿宋_GB2312"/>
        <w:bCs/>
        <w:sz w:val="28"/>
      </w:rPr>
      <w:t>－</w:t>
    </w:r>
    <w:r>
      <w:rPr>
        <w:sz w:val="28"/>
      </w:rPr>
      <w:fldChar w:fldCharType="begin"/>
    </w:r>
    <w:r>
      <w:rPr>
        <w:sz w:val="28"/>
      </w:rPr>
      <w:instrText xml:space="preserve"> PAGE </w:instrText>
    </w:r>
    <w:r>
      <w:rPr>
        <w:sz w:val="28"/>
      </w:rPr>
      <w:fldChar w:fldCharType="separate"/>
    </w:r>
    <w:r>
      <w:rPr>
        <w:sz w:val="28"/>
      </w:rPr>
      <w:t>60</w:t>
    </w:r>
    <w:r>
      <w:rPr>
        <w:sz w:val="28"/>
      </w:rPr>
      <w:fldChar w:fldCharType="end"/>
    </w:r>
    <w:r>
      <w:rPr>
        <w:rFonts w:ascii="仿宋_GB2312" w:eastAsia="仿宋_GB2312" w:hAnsi="仿宋_GB2312"/>
        <w:bCs/>
        <w:sz w:val="28"/>
      </w:rPr>
      <w:t>－</w:t>
    </w:r>
    <w:r>
      <w:rPr>
        <w:noProof/>
      </w:rPr>
      <mc:AlternateContent>
        <mc:Choice Requires="wps">
          <w:drawing>
            <wp:anchor distT="0" distB="0" distL="0" distR="0" simplePos="0" relativeHeight="251659264" behindDoc="0" locked="0" layoutInCell="0" allowOverlap="1" wp14:anchorId="047BB44E" wp14:editId="18C0C7D0">
              <wp:simplePos x="0" y="0"/>
              <wp:positionH relativeFrom="margin">
                <wp:align>center</wp:align>
              </wp:positionH>
              <wp:positionV relativeFrom="paragraph">
                <wp:posOffset>635</wp:posOffset>
              </wp:positionV>
              <wp:extent cx="14605" cy="131445"/>
              <wp:effectExtent l="0" t="0" r="0" b="0"/>
              <wp:wrapSquare wrapText="bothSides"/>
              <wp:docPr id="664202361" name="文本框 3"/>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36BE483C" w14:textId="77777777" w:rsidR="005C45E9" w:rsidRDefault="005C45E9">
                          <w:pPr>
                            <w:pStyle w:val="a7"/>
                            <w:rPr>
                              <w:rStyle w:val="ab"/>
                            </w:rPr>
                          </w:pPr>
                        </w:p>
                      </w:txbxContent>
                    </wps:txbx>
                    <wps:bodyPr lIns="0" tIns="0" rIns="0" bIns="0" anchor="t">
                      <a:noAutofit/>
                    </wps:bodyPr>
                  </wps:wsp>
                </a:graphicData>
              </a:graphic>
            </wp:anchor>
          </w:drawing>
        </mc:Choice>
        <mc:Fallback>
          <w:pict>
            <v:shapetype w14:anchorId="047BB44E" id="_x0000_t202" coordsize="21600,21600" o:spt="202" path="m,l,21600r21600,l21600,xe">
              <v:stroke joinstyle="miter"/>
              <v:path gradientshapeok="t" o:connecttype="rect"/>
            </v:shapetype>
            <v:shape id="文本框 3" o:spid="_x0000_s1026" type="#_x0000_t202" style="position:absolute;margin-left:0;margin-top:.05pt;width:1.1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" o:allowincell="f" stroked="f">
              <v:fill opacity="0"/>
              <v:textbox inset="0,0,0,0">
                <w:txbxContent>
                  <w:p w14:paraId="36BE483C" w14:textId="77777777" w:rsidR="005C45E9" w:rsidRDefault="005C45E9">
                    <w:pPr>
                      <w:pStyle w:val="a7"/>
                      <w:rPr>
                        <w:rStyle w:val="ab"/>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hAnsi="宋体"/>
        <w:sz w:val="28"/>
        <w:szCs w:val="28"/>
      </w:rPr>
      <w:id w:val="-1"/>
    </w:sdtPr>
    <w:sdtContent>
      <w:p w14:paraId="1D92D99B" w14:textId="77777777" w:rsidR="005C45E9" w:rsidRDefault="00000000">
        <w:pPr>
          <w:pStyle w:val="a7"/>
          <w:jc w:val="right"/>
          <w:rPr>
            <w:rFonts w:ascii="宋体" w:hAnsi="宋体" w:hint="eastAsia"/>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5341" w14:textId="77777777" w:rsidR="00454B99" w:rsidRDefault="00454B99">
      <w:r>
        <w:separator/>
      </w:r>
    </w:p>
  </w:footnote>
  <w:footnote w:type="continuationSeparator" w:id="0">
    <w:p w14:paraId="0F38EF44" w14:textId="77777777" w:rsidR="00454B99" w:rsidRDefault="0045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537F" w14:textId="77777777" w:rsidR="005C45E9" w:rsidRDefault="005C45E9">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1377" w14:textId="77777777" w:rsidR="005C45E9" w:rsidRDefault="005C45E9">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6C3AB4"/>
    <w:multiLevelType w:val="multilevel"/>
    <w:tmpl w:val="8A6C3AB4"/>
    <w:lvl w:ilvl="0">
      <w:start w:val="1"/>
      <w:numFmt w:val="chineseCountingThousand"/>
      <w:suff w:val="space"/>
      <w:lvlText w:val="第%1条"/>
      <w:lvlJc w:val="left"/>
      <w:pPr>
        <w:ind w:left="0" w:firstLine="680"/>
      </w:pPr>
      <w:rPr>
        <w:rFonts w:ascii="Times New Roman" w:eastAsia="仿宋_GB2312" w:hAnsi="Times New Roman" w:cs="Times New Roman" w:hint="eastAsia"/>
        <w:b/>
        <w:bCs/>
        <w:sz w:val="32"/>
        <w:szCs w:val="21"/>
        <w:lang w:val="en-US"/>
      </w:rPr>
    </w:lvl>
    <w:lvl w:ilvl="1">
      <w:start w:val="1"/>
      <w:numFmt w:val="lowerLetter"/>
      <w:lvlText w:val="%2)"/>
      <w:lvlJc w:val="left"/>
      <w:pPr>
        <w:ind w:left="-157" w:hanging="420"/>
      </w:pPr>
      <w:rPr>
        <w:rFonts w:hint="eastAsia"/>
      </w:rPr>
    </w:lvl>
    <w:lvl w:ilvl="2">
      <w:start w:val="1"/>
      <w:numFmt w:val="lowerRoman"/>
      <w:lvlText w:val="%3."/>
      <w:lvlJc w:val="right"/>
      <w:pPr>
        <w:ind w:left="263" w:hanging="420"/>
      </w:pPr>
      <w:rPr>
        <w:rFonts w:hint="eastAsia"/>
      </w:rPr>
    </w:lvl>
    <w:lvl w:ilvl="3">
      <w:start w:val="1"/>
      <w:numFmt w:val="decimal"/>
      <w:lvlText w:val="%4."/>
      <w:lvlJc w:val="left"/>
      <w:pPr>
        <w:ind w:left="683" w:hanging="420"/>
      </w:pPr>
      <w:rPr>
        <w:rFonts w:hint="eastAsia"/>
      </w:rPr>
    </w:lvl>
    <w:lvl w:ilvl="4">
      <w:start w:val="1"/>
      <w:numFmt w:val="lowerLetter"/>
      <w:lvlText w:val="%5)"/>
      <w:lvlJc w:val="left"/>
      <w:pPr>
        <w:ind w:left="1103" w:hanging="420"/>
      </w:pPr>
      <w:rPr>
        <w:rFonts w:hint="eastAsia"/>
      </w:rPr>
    </w:lvl>
    <w:lvl w:ilvl="5">
      <w:start w:val="1"/>
      <w:numFmt w:val="lowerRoman"/>
      <w:lvlText w:val="%6."/>
      <w:lvlJc w:val="right"/>
      <w:pPr>
        <w:ind w:left="1523" w:hanging="420"/>
      </w:pPr>
      <w:rPr>
        <w:rFonts w:hint="eastAsia"/>
      </w:rPr>
    </w:lvl>
    <w:lvl w:ilvl="6">
      <w:start w:val="1"/>
      <w:numFmt w:val="decimal"/>
      <w:lvlText w:val="%7."/>
      <w:lvlJc w:val="left"/>
      <w:pPr>
        <w:ind w:left="1943" w:hanging="420"/>
      </w:pPr>
      <w:rPr>
        <w:rFonts w:hint="eastAsia"/>
      </w:rPr>
    </w:lvl>
    <w:lvl w:ilvl="7">
      <w:start w:val="1"/>
      <w:numFmt w:val="lowerLetter"/>
      <w:lvlText w:val="%8)"/>
      <w:lvlJc w:val="left"/>
      <w:pPr>
        <w:ind w:left="2363" w:hanging="420"/>
      </w:pPr>
      <w:rPr>
        <w:rFonts w:hint="eastAsia"/>
      </w:rPr>
    </w:lvl>
    <w:lvl w:ilvl="8">
      <w:start w:val="1"/>
      <w:numFmt w:val="lowerRoman"/>
      <w:lvlText w:val="%9."/>
      <w:lvlJc w:val="right"/>
      <w:pPr>
        <w:ind w:left="2783" w:hanging="420"/>
      </w:pPr>
      <w:rPr>
        <w:rFonts w:hint="eastAsia"/>
      </w:rPr>
    </w:lvl>
  </w:abstractNum>
  <w:abstractNum w:abstractNumId="1" w15:restartNumberingAfterBreak="0">
    <w:nsid w:val="8CE1F047"/>
    <w:multiLevelType w:val="singleLevel"/>
    <w:tmpl w:val="8CE1F047"/>
    <w:lvl w:ilvl="0">
      <w:start w:val="1"/>
      <w:numFmt w:val="chineseCounting"/>
      <w:suff w:val="nothing"/>
      <w:lvlText w:val="（%1）"/>
      <w:lvlJc w:val="left"/>
      <w:rPr>
        <w:rFonts w:hint="eastAsia"/>
      </w:rPr>
    </w:lvl>
  </w:abstractNum>
  <w:abstractNum w:abstractNumId="2" w15:restartNumberingAfterBreak="0">
    <w:nsid w:val="9C7EDE4E"/>
    <w:multiLevelType w:val="singleLevel"/>
    <w:tmpl w:val="9C7EDE4E"/>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abstractNum w:abstractNumId="3" w15:restartNumberingAfterBreak="0">
    <w:nsid w:val="C59A7BBE"/>
    <w:multiLevelType w:val="singleLevel"/>
    <w:tmpl w:val="C59A7BBE"/>
    <w:lvl w:ilvl="0">
      <w:start w:val="1"/>
      <w:numFmt w:val="chineseCounting"/>
      <w:suff w:val="nothing"/>
      <w:lvlText w:val="（%1）"/>
      <w:lvlJc w:val="left"/>
      <w:rPr>
        <w:rFonts w:hint="eastAsia"/>
      </w:rPr>
    </w:lvl>
  </w:abstractNum>
  <w:abstractNum w:abstractNumId="4" w15:restartNumberingAfterBreak="0">
    <w:nsid w:val="EA97CECD"/>
    <w:multiLevelType w:val="singleLevel"/>
    <w:tmpl w:val="EA97CECD"/>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abstractNum w:abstractNumId="5" w15:restartNumberingAfterBreak="0">
    <w:nsid w:val="0053208E"/>
    <w:multiLevelType w:val="multilevel"/>
    <w:tmpl w:val="0053208E"/>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288A29DC"/>
    <w:multiLevelType w:val="singleLevel"/>
    <w:tmpl w:val="288A29DC"/>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abstractNum w:abstractNumId="7" w15:restartNumberingAfterBreak="0">
    <w:nsid w:val="2E9F6973"/>
    <w:multiLevelType w:val="singleLevel"/>
    <w:tmpl w:val="2E9F6973"/>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abstractNum w:abstractNumId="8" w15:restartNumberingAfterBreak="0">
    <w:nsid w:val="60CA5297"/>
    <w:multiLevelType w:val="singleLevel"/>
    <w:tmpl w:val="60CA5297"/>
    <w:lvl w:ilvl="0">
      <w:start w:val="1"/>
      <w:numFmt w:val="chineseCounting"/>
      <w:suff w:val="space"/>
      <w:lvlText w:val="第%1条"/>
      <w:lvlJc w:val="left"/>
      <w:pPr>
        <w:ind w:left="0" w:firstLine="652"/>
      </w:pPr>
      <w:rPr>
        <w:rFonts w:ascii="仿宋_GB2312" w:eastAsia="仿宋_GB2312" w:hAnsi="仿宋_GB2312" w:cs="仿宋_GB2312" w:hint="eastAsia"/>
        <w:b/>
        <w:bCs/>
        <w:sz w:val="32"/>
      </w:rPr>
    </w:lvl>
  </w:abstractNum>
  <w:num w:numId="1" w16cid:durableId="1669016415">
    <w:abstractNumId w:val="5"/>
  </w:num>
  <w:num w:numId="2" w16cid:durableId="602030381">
    <w:abstractNumId w:val="7"/>
  </w:num>
  <w:num w:numId="3" w16cid:durableId="1267693855">
    <w:abstractNumId w:val="0"/>
  </w:num>
  <w:num w:numId="4" w16cid:durableId="815337134">
    <w:abstractNumId w:val="1"/>
  </w:num>
  <w:num w:numId="5" w16cid:durableId="842166319">
    <w:abstractNumId w:val="3"/>
  </w:num>
  <w:num w:numId="6" w16cid:durableId="949506496">
    <w:abstractNumId w:val="4"/>
  </w:num>
  <w:num w:numId="7" w16cid:durableId="1075013530">
    <w:abstractNumId w:val="8"/>
  </w:num>
  <w:num w:numId="8" w16cid:durableId="1908883419">
    <w:abstractNumId w:val="6"/>
  </w:num>
  <w:num w:numId="9" w16cid:durableId="181498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bordersDoNotSurroundHeader/>
  <w:bordersDoNotSurroundFooter/>
  <w:proofState w:spelling="clean" w:grammar="clean"/>
  <w:defaultTabStop w:val="420"/>
  <w:autoHyphenation/>
  <w:hyphenationZone w:val="0"/>
  <w:evenAndOddHeaders/>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iMmJmZDg0NTZlNzc2ZjEwODlhY2Y0MGZkYzJiYTgifQ=="/>
  </w:docVars>
  <w:rsids>
    <w:rsidRoot w:val="00B27E85"/>
    <w:rsid w:val="00024535"/>
    <w:rsid w:val="000875A1"/>
    <w:rsid w:val="00087D58"/>
    <w:rsid w:val="00111CEE"/>
    <w:rsid w:val="00132FC7"/>
    <w:rsid w:val="001406EE"/>
    <w:rsid w:val="00162362"/>
    <w:rsid w:val="001F09E3"/>
    <w:rsid w:val="00214BDB"/>
    <w:rsid w:val="002A3993"/>
    <w:rsid w:val="002A4C59"/>
    <w:rsid w:val="002D2033"/>
    <w:rsid w:val="00324C76"/>
    <w:rsid w:val="00371725"/>
    <w:rsid w:val="003B731A"/>
    <w:rsid w:val="00454B99"/>
    <w:rsid w:val="004B6C75"/>
    <w:rsid w:val="00516B5E"/>
    <w:rsid w:val="00551F7A"/>
    <w:rsid w:val="005C45E9"/>
    <w:rsid w:val="00654E0F"/>
    <w:rsid w:val="006A6EA9"/>
    <w:rsid w:val="006A75BE"/>
    <w:rsid w:val="007044EB"/>
    <w:rsid w:val="007302C5"/>
    <w:rsid w:val="00770424"/>
    <w:rsid w:val="00775FCD"/>
    <w:rsid w:val="007B57AC"/>
    <w:rsid w:val="00852C00"/>
    <w:rsid w:val="00857CF9"/>
    <w:rsid w:val="008721D5"/>
    <w:rsid w:val="008A4BAB"/>
    <w:rsid w:val="008C49ED"/>
    <w:rsid w:val="00914C84"/>
    <w:rsid w:val="0099451B"/>
    <w:rsid w:val="009A36B3"/>
    <w:rsid w:val="009C58CB"/>
    <w:rsid w:val="009E107F"/>
    <w:rsid w:val="009F1EFA"/>
    <w:rsid w:val="00B27E85"/>
    <w:rsid w:val="00BB0FCA"/>
    <w:rsid w:val="00C74859"/>
    <w:rsid w:val="00C9674A"/>
    <w:rsid w:val="00CE72AE"/>
    <w:rsid w:val="00CF7BA7"/>
    <w:rsid w:val="00D031F3"/>
    <w:rsid w:val="00D47A56"/>
    <w:rsid w:val="00D5499F"/>
    <w:rsid w:val="00D83367"/>
    <w:rsid w:val="00DC69EB"/>
    <w:rsid w:val="00E43985"/>
    <w:rsid w:val="00E82884"/>
    <w:rsid w:val="00E95E04"/>
    <w:rsid w:val="00EA0A38"/>
    <w:rsid w:val="00EC4EFE"/>
    <w:rsid w:val="00F55785"/>
    <w:rsid w:val="00F9233A"/>
    <w:rsid w:val="0143625C"/>
    <w:rsid w:val="01DC2BC3"/>
    <w:rsid w:val="01E925F2"/>
    <w:rsid w:val="02036538"/>
    <w:rsid w:val="03100052"/>
    <w:rsid w:val="0324162C"/>
    <w:rsid w:val="03C43707"/>
    <w:rsid w:val="03EC7C9F"/>
    <w:rsid w:val="052459A1"/>
    <w:rsid w:val="05627961"/>
    <w:rsid w:val="059FE6E1"/>
    <w:rsid w:val="05C869C2"/>
    <w:rsid w:val="06007F0A"/>
    <w:rsid w:val="06426774"/>
    <w:rsid w:val="06676870"/>
    <w:rsid w:val="06A53802"/>
    <w:rsid w:val="06E6206A"/>
    <w:rsid w:val="071F7D76"/>
    <w:rsid w:val="077B5E33"/>
    <w:rsid w:val="077FAB7E"/>
    <w:rsid w:val="07DC6755"/>
    <w:rsid w:val="07DE071F"/>
    <w:rsid w:val="09780438"/>
    <w:rsid w:val="09E66C8B"/>
    <w:rsid w:val="0A7315F2"/>
    <w:rsid w:val="0A786C09"/>
    <w:rsid w:val="0ACE6829"/>
    <w:rsid w:val="0B5207A2"/>
    <w:rsid w:val="0B666A61"/>
    <w:rsid w:val="0BE1433A"/>
    <w:rsid w:val="0CB47CA0"/>
    <w:rsid w:val="0CD8573D"/>
    <w:rsid w:val="0D314E4D"/>
    <w:rsid w:val="0DA32324"/>
    <w:rsid w:val="0DB76A9F"/>
    <w:rsid w:val="0DC911D8"/>
    <w:rsid w:val="0DF26CD2"/>
    <w:rsid w:val="0E0C4982"/>
    <w:rsid w:val="0EE31559"/>
    <w:rsid w:val="0F566DED"/>
    <w:rsid w:val="0F9E1CC2"/>
    <w:rsid w:val="0FB740F9"/>
    <w:rsid w:val="0FFA0555"/>
    <w:rsid w:val="10C201D6"/>
    <w:rsid w:val="10CD7582"/>
    <w:rsid w:val="1173012A"/>
    <w:rsid w:val="11967974"/>
    <w:rsid w:val="123F625E"/>
    <w:rsid w:val="129E4209"/>
    <w:rsid w:val="12AD6760"/>
    <w:rsid w:val="12CF5147"/>
    <w:rsid w:val="12F31522"/>
    <w:rsid w:val="130A100F"/>
    <w:rsid w:val="137B66D6"/>
    <w:rsid w:val="13FCB110"/>
    <w:rsid w:val="144B2C98"/>
    <w:rsid w:val="146401FE"/>
    <w:rsid w:val="14ABC39C"/>
    <w:rsid w:val="14DB60FF"/>
    <w:rsid w:val="157ED471"/>
    <w:rsid w:val="15E60E10"/>
    <w:rsid w:val="15E769F0"/>
    <w:rsid w:val="15F21F4A"/>
    <w:rsid w:val="16201F02"/>
    <w:rsid w:val="16C60CFC"/>
    <w:rsid w:val="16DF442C"/>
    <w:rsid w:val="16F577B0"/>
    <w:rsid w:val="170F61FF"/>
    <w:rsid w:val="173C0FBE"/>
    <w:rsid w:val="174F2638"/>
    <w:rsid w:val="17884203"/>
    <w:rsid w:val="178A289D"/>
    <w:rsid w:val="17D9680D"/>
    <w:rsid w:val="17F5343B"/>
    <w:rsid w:val="17FB84AE"/>
    <w:rsid w:val="17FD0277"/>
    <w:rsid w:val="19B92944"/>
    <w:rsid w:val="19F33BB6"/>
    <w:rsid w:val="1A3626EE"/>
    <w:rsid w:val="1A633C8B"/>
    <w:rsid w:val="1A8A3DEE"/>
    <w:rsid w:val="1ADFF569"/>
    <w:rsid w:val="1B402311"/>
    <w:rsid w:val="1B822020"/>
    <w:rsid w:val="1BB729A8"/>
    <w:rsid w:val="1BFA51AA"/>
    <w:rsid w:val="1BFF599D"/>
    <w:rsid w:val="1BFFE334"/>
    <w:rsid w:val="1C1658A2"/>
    <w:rsid w:val="1C35495A"/>
    <w:rsid w:val="1C4A5F2B"/>
    <w:rsid w:val="1C5B2AD1"/>
    <w:rsid w:val="1C6A092B"/>
    <w:rsid w:val="1CF814E3"/>
    <w:rsid w:val="1D2D4C5B"/>
    <w:rsid w:val="1D7F1C04"/>
    <w:rsid w:val="1E0D7210"/>
    <w:rsid w:val="1E1061D0"/>
    <w:rsid w:val="1E1E766F"/>
    <w:rsid w:val="1E3B5B2B"/>
    <w:rsid w:val="1E74728F"/>
    <w:rsid w:val="1EA272B7"/>
    <w:rsid w:val="1F792DAF"/>
    <w:rsid w:val="1F7E7A0A"/>
    <w:rsid w:val="1F7FD8F5"/>
    <w:rsid w:val="1FB262C1"/>
    <w:rsid w:val="1FBFC4E4"/>
    <w:rsid w:val="1FFB30F5"/>
    <w:rsid w:val="1FFD8D7B"/>
    <w:rsid w:val="1FFDE92E"/>
    <w:rsid w:val="2058178A"/>
    <w:rsid w:val="20667D64"/>
    <w:rsid w:val="208F03B0"/>
    <w:rsid w:val="20AE1417"/>
    <w:rsid w:val="215DBEF7"/>
    <w:rsid w:val="21853837"/>
    <w:rsid w:val="218912A4"/>
    <w:rsid w:val="21B06830"/>
    <w:rsid w:val="21BB1ECD"/>
    <w:rsid w:val="21E23CDF"/>
    <w:rsid w:val="2201708C"/>
    <w:rsid w:val="224F429B"/>
    <w:rsid w:val="22680EB9"/>
    <w:rsid w:val="22CE738C"/>
    <w:rsid w:val="23474F72"/>
    <w:rsid w:val="234B4A63"/>
    <w:rsid w:val="23580F2E"/>
    <w:rsid w:val="23C62A96"/>
    <w:rsid w:val="23DBB5ED"/>
    <w:rsid w:val="245636BF"/>
    <w:rsid w:val="249917FE"/>
    <w:rsid w:val="24D97E4C"/>
    <w:rsid w:val="24FC884E"/>
    <w:rsid w:val="25513E86"/>
    <w:rsid w:val="256730E9"/>
    <w:rsid w:val="256736AA"/>
    <w:rsid w:val="25A930DB"/>
    <w:rsid w:val="25B368EF"/>
    <w:rsid w:val="26CD39E1"/>
    <w:rsid w:val="270F3FF9"/>
    <w:rsid w:val="273C3BEC"/>
    <w:rsid w:val="276E2ACE"/>
    <w:rsid w:val="27B8295B"/>
    <w:rsid w:val="28155CD7"/>
    <w:rsid w:val="28616AD6"/>
    <w:rsid w:val="28902F18"/>
    <w:rsid w:val="28AFD798"/>
    <w:rsid w:val="28BC3D0D"/>
    <w:rsid w:val="28DE6283"/>
    <w:rsid w:val="28EA2628"/>
    <w:rsid w:val="28F72F97"/>
    <w:rsid w:val="28FBB854"/>
    <w:rsid w:val="293D6BFB"/>
    <w:rsid w:val="29773938"/>
    <w:rsid w:val="29A900FB"/>
    <w:rsid w:val="29BC8C4E"/>
    <w:rsid w:val="29BF3AB4"/>
    <w:rsid w:val="29CC68C8"/>
    <w:rsid w:val="2A3873C3"/>
    <w:rsid w:val="2AB7264C"/>
    <w:rsid w:val="2AFC6642"/>
    <w:rsid w:val="2B0F6376"/>
    <w:rsid w:val="2BE315B0"/>
    <w:rsid w:val="2C387E60"/>
    <w:rsid w:val="2CB8C2DB"/>
    <w:rsid w:val="2CDA6E57"/>
    <w:rsid w:val="2CFB4C81"/>
    <w:rsid w:val="2D0D0FDB"/>
    <w:rsid w:val="2D7D016D"/>
    <w:rsid w:val="2D7FC2EB"/>
    <w:rsid w:val="2D9214E0"/>
    <w:rsid w:val="2DAE423B"/>
    <w:rsid w:val="2DDA3DD8"/>
    <w:rsid w:val="2DF14458"/>
    <w:rsid w:val="2DFF8A02"/>
    <w:rsid w:val="2DFFAE0F"/>
    <w:rsid w:val="2E37586F"/>
    <w:rsid w:val="2EF7348A"/>
    <w:rsid w:val="2F1FB443"/>
    <w:rsid w:val="2F2C126C"/>
    <w:rsid w:val="2FA026BE"/>
    <w:rsid w:val="2FF6BDCF"/>
    <w:rsid w:val="2FFD6718"/>
    <w:rsid w:val="2FFF1184"/>
    <w:rsid w:val="30051882"/>
    <w:rsid w:val="31197F4E"/>
    <w:rsid w:val="31572824"/>
    <w:rsid w:val="31684A32"/>
    <w:rsid w:val="319C292D"/>
    <w:rsid w:val="31A713DF"/>
    <w:rsid w:val="31FDDFA8"/>
    <w:rsid w:val="3222B42A"/>
    <w:rsid w:val="323C45F1"/>
    <w:rsid w:val="328C4750"/>
    <w:rsid w:val="32C43EEA"/>
    <w:rsid w:val="32FE389F"/>
    <w:rsid w:val="334C217F"/>
    <w:rsid w:val="33661445"/>
    <w:rsid w:val="33791178"/>
    <w:rsid w:val="337B419B"/>
    <w:rsid w:val="339FBF16"/>
    <w:rsid w:val="33B201E6"/>
    <w:rsid w:val="33BF0429"/>
    <w:rsid w:val="33FDFA58"/>
    <w:rsid w:val="33FF61DC"/>
    <w:rsid w:val="34525525"/>
    <w:rsid w:val="34557417"/>
    <w:rsid w:val="345968B4"/>
    <w:rsid w:val="346911EC"/>
    <w:rsid w:val="347831DE"/>
    <w:rsid w:val="34D50630"/>
    <w:rsid w:val="34F654DE"/>
    <w:rsid w:val="34FEF9B2"/>
    <w:rsid w:val="353D2F9D"/>
    <w:rsid w:val="357C0AAC"/>
    <w:rsid w:val="358B5193"/>
    <w:rsid w:val="359978AF"/>
    <w:rsid w:val="35BD0D23"/>
    <w:rsid w:val="35F5260C"/>
    <w:rsid w:val="35F875DA"/>
    <w:rsid w:val="35FFDCE7"/>
    <w:rsid w:val="36A24542"/>
    <w:rsid w:val="36EB9325"/>
    <w:rsid w:val="36F310DC"/>
    <w:rsid w:val="377F3A6E"/>
    <w:rsid w:val="37A4078E"/>
    <w:rsid w:val="37E6BEDF"/>
    <w:rsid w:val="37F30566"/>
    <w:rsid w:val="37FF70DA"/>
    <w:rsid w:val="38080D1C"/>
    <w:rsid w:val="380B4369"/>
    <w:rsid w:val="384B29B7"/>
    <w:rsid w:val="38593326"/>
    <w:rsid w:val="38C416DA"/>
    <w:rsid w:val="390B0AC4"/>
    <w:rsid w:val="39497A20"/>
    <w:rsid w:val="3A100A82"/>
    <w:rsid w:val="3A6366DE"/>
    <w:rsid w:val="3A9E3272"/>
    <w:rsid w:val="3AB413D1"/>
    <w:rsid w:val="3ABC6B55"/>
    <w:rsid w:val="3AEA5A4D"/>
    <w:rsid w:val="3AF8AD1C"/>
    <w:rsid w:val="3AFFEECB"/>
    <w:rsid w:val="3B082DE1"/>
    <w:rsid w:val="3B3F2CA7"/>
    <w:rsid w:val="3B47390A"/>
    <w:rsid w:val="3B527AB1"/>
    <w:rsid w:val="3B6F4C0F"/>
    <w:rsid w:val="3B862684"/>
    <w:rsid w:val="3BD32474"/>
    <w:rsid w:val="3BD3F45F"/>
    <w:rsid w:val="3BF72248"/>
    <w:rsid w:val="3CE533DA"/>
    <w:rsid w:val="3CEF24AB"/>
    <w:rsid w:val="3CEFEB1A"/>
    <w:rsid w:val="3CF509F9"/>
    <w:rsid w:val="3D281519"/>
    <w:rsid w:val="3D533C89"/>
    <w:rsid w:val="3D695DB9"/>
    <w:rsid w:val="3DB1150E"/>
    <w:rsid w:val="3DBB6237"/>
    <w:rsid w:val="3DC079A3"/>
    <w:rsid w:val="3DCFCEC0"/>
    <w:rsid w:val="3DFE7384"/>
    <w:rsid w:val="3DFF3062"/>
    <w:rsid w:val="3E2F51ED"/>
    <w:rsid w:val="3E832EAB"/>
    <w:rsid w:val="3ED7857C"/>
    <w:rsid w:val="3EEFFC3B"/>
    <w:rsid w:val="3EF94E57"/>
    <w:rsid w:val="3F03223E"/>
    <w:rsid w:val="3F43E6F2"/>
    <w:rsid w:val="3F595C80"/>
    <w:rsid w:val="3F7465D7"/>
    <w:rsid w:val="3F7B3517"/>
    <w:rsid w:val="3FCEFEAC"/>
    <w:rsid w:val="3FDBFA2D"/>
    <w:rsid w:val="3FDFD36E"/>
    <w:rsid w:val="3FEF1147"/>
    <w:rsid w:val="3FEF51D0"/>
    <w:rsid w:val="3FF25130"/>
    <w:rsid w:val="3FF9D699"/>
    <w:rsid w:val="3FF9F66E"/>
    <w:rsid w:val="3FFADA5B"/>
    <w:rsid w:val="3FFB4D8D"/>
    <w:rsid w:val="3FFBEB1C"/>
    <w:rsid w:val="3FFDC93C"/>
    <w:rsid w:val="3FFEA931"/>
    <w:rsid w:val="3FFF88D7"/>
    <w:rsid w:val="3FFFCE34"/>
    <w:rsid w:val="3FFFD932"/>
    <w:rsid w:val="3FFFDAF4"/>
    <w:rsid w:val="401D2E8B"/>
    <w:rsid w:val="409316FF"/>
    <w:rsid w:val="40AE7F87"/>
    <w:rsid w:val="40CA3013"/>
    <w:rsid w:val="417C49F6"/>
    <w:rsid w:val="41E719A3"/>
    <w:rsid w:val="420822F7"/>
    <w:rsid w:val="42935686"/>
    <w:rsid w:val="432602A9"/>
    <w:rsid w:val="43324E9F"/>
    <w:rsid w:val="437F9186"/>
    <w:rsid w:val="43F52A5D"/>
    <w:rsid w:val="44082746"/>
    <w:rsid w:val="445676C1"/>
    <w:rsid w:val="44630793"/>
    <w:rsid w:val="45FBB261"/>
    <w:rsid w:val="460837AC"/>
    <w:rsid w:val="4654337F"/>
    <w:rsid w:val="4675358A"/>
    <w:rsid w:val="469B2D5C"/>
    <w:rsid w:val="46DD071F"/>
    <w:rsid w:val="470D5A07"/>
    <w:rsid w:val="47255961"/>
    <w:rsid w:val="475573AE"/>
    <w:rsid w:val="475E3653"/>
    <w:rsid w:val="476F0470"/>
    <w:rsid w:val="4770243A"/>
    <w:rsid w:val="477FF381"/>
    <w:rsid w:val="47CB122D"/>
    <w:rsid w:val="47DC187E"/>
    <w:rsid w:val="47E98E0C"/>
    <w:rsid w:val="4851401A"/>
    <w:rsid w:val="48735ADA"/>
    <w:rsid w:val="48FA1FBB"/>
    <w:rsid w:val="491B090B"/>
    <w:rsid w:val="494E0559"/>
    <w:rsid w:val="49DE680C"/>
    <w:rsid w:val="49F44C5D"/>
    <w:rsid w:val="4A286FFC"/>
    <w:rsid w:val="4ABC522A"/>
    <w:rsid w:val="4AC07235"/>
    <w:rsid w:val="4AF018C8"/>
    <w:rsid w:val="4B014A4C"/>
    <w:rsid w:val="4B322CEE"/>
    <w:rsid w:val="4B5E4FC8"/>
    <w:rsid w:val="4BD9235C"/>
    <w:rsid w:val="4D1F46E6"/>
    <w:rsid w:val="4D2873E2"/>
    <w:rsid w:val="4D3F9E9C"/>
    <w:rsid w:val="4D5A127B"/>
    <w:rsid w:val="4DC957E6"/>
    <w:rsid w:val="4EABD91C"/>
    <w:rsid w:val="4F1A33B7"/>
    <w:rsid w:val="4F244236"/>
    <w:rsid w:val="4F376DC8"/>
    <w:rsid w:val="4F3F4BCC"/>
    <w:rsid w:val="4F473A81"/>
    <w:rsid w:val="4F4EDCCB"/>
    <w:rsid w:val="4FFB5624"/>
    <w:rsid w:val="4FFEC121"/>
    <w:rsid w:val="5006393C"/>
    <w:rsid w:val="50575F4B"/>
    <w:rsid w:val="50B60EBE"/>
    <w:rsid w:val="50DE6667"/>
    <w:rsid w:val="510F0458"/>
    <w:rsid w:val="51823496"/>
    <w:rsid w:val="519204F1"/>
    <w:rsid w:val="51B82A14"/>
    <w:rsid w:val="51BF3DA2"/>
    <w:rsid w:val="51C67325"/>
    <w:rsid w:val="52166647"/>
    <w:rsid w:val="52505342"/>
    <w:rsid w:val="52A64F62"/>
    <w:rsid w:val="532F31A9"/>
    <w:rsid w:val="53DE5CE8"/>
    <w:rsid w:val="53FAD408"/>
    <w:rsid w:val="542645AC"/>
    <w:rsid w:val="54293073"/>
    <w:rsid w:val="54501629"/>
    <w:rsid w:val="54877909"/>
    <w:rsid w:val="54A656ED"/>
    <w:rsid w:val="557D756A"/>
    <w:rsid w:val="558275C0"/>
    <w:rsid w:val="5587B1EA"/>
    <w:rsid w:val="55B81234"/>
    <w:rsid w:val="55CA71B9"/>
    <w:rsid w:val="55F3C80E"/>
    <w:rsid w:val="55FB1A43"/>
    <w:rsid w:val="567535C9"/>
    <w:rsid w:val="567F16ED"/>
    <w:rsid w:val="56A83889"/>
    <w:rsid w:val="56B0716F"/>
    <w:rsid w:val="56B85597"/>
    <w:rsid w:val="56F4F909"/>
    <w:rsid w:val="5703357A"/>
    <w:rsid w:val="573A5A2F"/>
    <w:rsid w:val="57715B3F"/>
    <w:rsid w:val="57767CCD"/>
    <w:rsid w:val="57AC4DC9"/>
    <w:rsid w:val="57B9C422"/>
    <w:rsid w:val="57F69722"/>
    <w:rsid w:val="581279CC"/>
    <w:rsid w:val="583B7EFB"/>
    <w:rsid w:val="586109A0"/>
    <w:rsid w:val="58D7324C"/>
    <w:rsid w:val="58DB58C6"/>
    <w:rsid w:val="592F2653"/>
    <w:rsid w:val="59311176"/>
    <w:rsid w:val="593212FE"/>
    <w:rsid w:val="597DD752"/>
    <w:rsid w:val="59883613"/>
    <w:rsid w:val="5A45526D"/>
    <w:rsid w:val="5A7FFC07"/>
    <w:rsid w:val="5A8C2C8F"/>
    <w:rsid w:val="5AE78EFA"/>
    <w:rsid w:val="5AE8648A"/>
    <w:rsid w:val="5B046CCA"/>
    <w:rsid w:val="5B4F62F2"/>
    <w:rsid w:val="5B6B6933"/>
    <w:rsid w:val="5BB12A33"/>
    <w:rsid w:val="5BC7D224"/>
    <w:rsid w:val="5BFABB97"/>
    <w:rsid w:val="5BFEF7D6"/>
    <w:rsid w:val="5BFFB1CC"/>
    <w:rsid w:val="5C4B7407"/>
    <w:rsid w:val="5CBE4980"/>
    <w:rsid w:val="5CDCB175"/>
    <w:rsid w:val="5CF7E78B"/>
    <w:rsid w:val="5D027239"/>
    <w:rsid w:val="5D5595F0"/>
    <w:rsid w:val="5D5F6439"/>
    <w:rsid w:val="5D6D0B6C"/>
    <w:rsid w:val="5DA6514B"/>
    <w:rsid w:val="5DBF96A7"/>
    <w:rsid w:val="5DE52DE2"/>
    <w:rsid w:val="5DE73A91"/>
    <w:rsid w:val="5E225DE5"/>
    <w:rsid w:val="5E48511F"/>
    <w:rsid w:val="5E5636EE"/>
    <w:rsid w:val="5E7F97B9"/>
    <w:rsid w:val="5E8A5EC2"/>
    <w:rsid w:val="5EC21376"/>
    <w:rsid w:val="5ECFCB46"/>
    <w:rsid w:val="5EDCFF3D"/>
    <w:rsid w:val="5EFD9E2E"/>
    <w:rsid w:val="5F2E61FB"/>
    <w:rsid w:val="5F57C6A4"/>
    <w:rsid w:val="5F645F89"/>
    <w:rsid w:val="5F677F88"/>
    <w:rsid w:val="5F6B1B59"/>
    <w:rsid w:val="5F73C9DE"/>
    <w:rsid w:val="5F9DC8A6"/>
    <w:rsid w:val="5FB79297"/>
    <w:rsid w:val="5FBBC08D"/>
    <w:rsid w:val="5FCC26FB"/>
    <w:rsid w:val="5FDAB7D7"/>
    <w:rsid w:val="5FDD90AC"/>
    <w:rsid w:val="5FDD9B50"/>
    <w:rsid w:val="5FE315A4"/>
    <w:rsid w:val="5FEF5B2A"/>
    <w:rsid w:val="5FF7FC73"/>
    <w:rsid w:val="5FFB372D"/>
    <w:rsid w:val="5FFB5054"/>
    <w:rsid w:val="5FFD5461"/>
    <w:rsid w:val="5FFDC654"/>
    <w:rsid w:val="5FFDE4CB"/>
    <w:rsid w:val="5FFEC97C"/>
    <w:rsid w:val="5FFF3459"/>
    <w:rsid w:val="5FFFF5C3"/>
    <w:rsid w:val="60121E89"/>
    <w:rsid w:val="60216FED"/>
    <w:rsid w:val="60602BF4"/>
    <w:rsid w:val="608A5EC3"/>
    <w:rsid w:val="60DB04CD"/>
    <w:rsid w:val="613A1697"/>
    <w:rsid w:val="61502C69"/>
    <w:rsid w:val="615838CB"/>
    <w:rsid w:val="615BEC5A"/>
    <w:rsid w:val="61BF1193"/>
    <w:rsid w:val="61CB5F64"/>
    <w:rsid w:val="61E5574C"/>
    <w:rsid w:val="61ED6709"/>
    <w:rsid w:val="620A72BB"/>
    <w:rsid w:val="620F5C38"/>
    <w:rsid w:val="622B0FE0"/>
    <w:rsid w:val="62F87114"/>
    <w:rsid w:val="63023B61"/>
    <w:rsid w:val="63051B4E"/>
    <w:rsid w:val="6366109A"/>
    <w:rsid w:val="637A8190"/>
    <w:rsid w:val="63950E07"/>
    <w:rsid w:val="639808F7"/>
    <w:rsid w:val="639F09E0"/>
    <w:rsid w:val="63A159FD"/>
    <w:rsid w:val="642B3519"/>
    <w:rsid w:val="64504D2E"/>
    <w:rsid w:val="646C600B"/>
    <w:rsid w:val="647E102C"/>
    <w:rsid w:val="64B053A7"/>
    <w:rsid w:val="64CF0348"/>
    <w:rsid w:val="64E35BA2"/>
    <w:rsid w:val="6545060B"/>
    <w:rsid w:val="65DF9006"/>
    <w:rsid w:val="66417024"/>
    <w:rsid w:val="667B2536"/>
    <w:rsid w:val="66903B07"/>
    <w:rsid w:val="66CD7ECC"/>
    <w:rsid w:val="675B4115"/>
    <w:rsid w:val="675E2DBD"/>
    <w:rsid w:val="676DA449"/>
    <w:rsid w:val="67765DE7"/>
    <w:rsid w:val="6777D082"/>
    <w:rsid w:val="677FAACA"/>
    <w:rsid w:val="67A930D3"/>
    <w:rsid w:val="67BB552B"/>
    <w:rsid w:val="67CFBA44"/>
    <w:rsid w:val="67DBB2CE"/>
    <w:rsid w:val="67DD04F9"/>
    <w:rsid w:val="67E7A838"/>
    <w:rsid w:val="67FFE9E9"/>
    <w:rsid w:val="681F5143"/>
    <w:rsid w:val="686B65DA"/>
    <w:rsid w:val="68894617"/>
    <w:rsid w:val="689F5EDB"/>
    <w:rsid w:val="68A13DAA"/>
    <w:rsid w:val="696FAA9F"/>
    <w:rsid w:val="69DFDD56"/>
    <w:rsid w:val="69F6D844"/>
    <w:rsid w:val="6A445335"/>
    <w:rsid w:val="6AFD2C2C"/>
    <w:rsid w:val="6B6F6C40"/>
    <w:rsid w:val="6BAE4D12"/>
    <w:rsid w:val="6BE26BB3"/>
    <w:rsid w:val="6BEFA179"/>
    <w:rsid w:val="6BF9BB58"/>
    <w:rsid w:val="6C467142"/>
    <w:rsid w:val="6C613F7C"/>
    <w:rsid w:val="6C66AA53"/>
    <w:rsid w:val="6CA36342"/>
    <w:rsid w:val="6D3EC79F"/>
    <w:rsid w:val="6D513FF0"/>
    <w:rsid w:val="6D54588F"/>
    <w:rsid w:val="6D63F130"/>
    <w:rsid w:val="6D7C4662"/>
    <w:rsid w:val="6D7FC88F"/>
    <w:rsid w:val="6DC04CD2"/>
    <w:rsid w:val="6DD58BD9"/>
    <w:rsid w:val="6DFB8AC7"/>
    <w:rsid w:val="6DFD5021"/>
    <w:rsid w:val="6DFD87E5"/>
    <w:rsid w:val="6E032E11"/>
    <w:rsid w:val="6E24261A"/>
    <w:rsid w:val="6E4476B1"/>
    <w:rsid w:val="6E6935BC"/>
    <w:rsid w:val="6E7BC735"/>
    <w:rsid w:val="6EB6CCF2"/>
    <w:rsid w:val="6EC42B5A"/>
    <w:rsid w:val="6EEE3F46"/>
    <w:rsid w:val="6EF47329"/>
    <w:rsid w:val="6F23B191"/>
    <w:rsid w:val="6F3E4796"/>
    <w:rsid w:val="6F6124E5"/>
    <w:rsid w:val="6F79162B"/>
    <w:rsid w:val="6F7D2727"/>
    <w:rsid w:val="6F9B3CFB"/>
    <w:rsid w:val="6F9D0B89"/>
    <w:rsid w:val="6FAF1025"/>
    <w:rsid w:val="6FBD59CD"/>
    <w:rsid w:val="6FD66A2F"/>
    <w:rsid w:val="6FDB8434"/>
    <w:rsid w:val="6FDD697A"/>
    <w:rsid w:val="6FE6E83E"/>
    <w:rsid w:val="6FE72440"/>
    <w:rsid w:val="6FEF7730"/>
    <w:rsid w:val="6FF32BFC"/>
    <w:rsid w:val="6FF692E0"/>
    <w:rsid w:val="6FFF48BA"/>
    <w:rsid w:val="6FFF6349"/>
    <w:rsid w:val="6FFF975D"/>
    <w:rsid w:val="6FFFF06F"/>
    <w:rsid w:val="70115CB9"/>
    <w:rsid w:val="703C7710"/>
    <w:rsid w:val="707C234E"/>
    <w:rsid w:val="708A15C7"/>
    <w:rsid w:val="70F742B6"/>
    <w:rsid w:val="71267542"/>
    <w:rsid w:val="71864D87"/>
    <w:rsid w:val="71ABF028"/>
    <w:rsid w:val="71AE0148"/>
    <w:rsid w:val="71C32B44"/>
    <w:rsid w:val="71FB277D"/>
    <w:rsid w:val="71FE7B1F"/>
    <w:rsid w:val="720C6738"/>
    <w:rsid w:val="72376613"/>
    <w:rsid w:val="724834E8"/>
    <w:rsid w:val="7278765C"/>
    <w:rsid w:val="727B64ED"/>
    <w:rsid w:val="727C759B"/>
    <w:rsid w:val="7289452A"/>
    <w:rsid w:val="72D4094B"/>
    <w:rsid w:val="72D635FF"/>
    <w:rsid w:val="72EDF92F"/>
    <w:rsid w:val="72F32CEF"/>
    <w:rsid w:val="72F42E4A"/>
    <w:rsid w:val="72FC67AC"/>
    <w:rsid w:val="72FD42D3"/>
    <w:rsid w:val="733F1431"/>
    <w:rsid w:val="734DEF1F"/>
    <w:rsid w:val="736F281E"/>
    <w:rsid w:val="73A62BBC"/>
    <w:rsid w:val="73C658BC"/>
    <w:rsid w:val="740F66E4"/>
    <w:rsid w:val="746FB3B4"/>
    <w:rsid w:val="747A7666"/>
    <w:rsid w:val="74E25E76"/>
    <w:rsid w:val="74E52C9C"/>
    <w:rsid w:val="74E77346"/>
    <w:rsid w:val="74FE3545"/>
    <w:rsid w:val="75124CA1"/>
    <w:rsid w:val="753F8474"/>
    <w:rsid w:val="757A1B40"/>
    <w:rsid w:val="757E794D"/>
    <w:rsid w:val="757E8E9F"/>
    <w:rsid w:val="75A849CA"/>
    <w:rsid w:val="75B63FB7"/>
    <w:rsid w:val="75BB0449"/>
    <w:rsid w:val="75BB341D"/>
    <w:rsid w:val="75C7D814"/>
    <w:rsid w:val="75DE03EB"/>
    <w:rsid w:val="75FCE587"/>
    <w:rsid w:val="75FF849B"/>
    <w:rsid w:val="76084B2A"/>
    <w:rsid w:val="76197675"/>
    <w:rsid w:val="7637B42A"/>
    <w:rsid w:val="76426BCC"/>
    <w:rsid w:val="76615A45"/>
    <w:rsid w:val="767F8FA0"/>
    <w:rsid w:val="76A5715B"/>
    <w:rsid w:val="76C68FE8"/>
    <w:rsid w:val="76D35C33"/>
    <w:rsid w:val="76E52536"/>
    <w:rsid w:val="76ED9B75"/>
    <w:rsid w:val="76EF6FBA"/>
    <w:rsid w:val="76FCEBC2"/>
    <w:rsid w:val="76FDC8D6"/>
    <w:rsid w:val="76FEEBB5"/>
    <w:rsid w:val="76FF4C90"/>
    <w:rsid w:val="77244524"/>
    <w:rsid w:val="77277B70"/>
    <w:rsid w:val="773D3837"/>
    <w:rsid w:val="7750530B"/>
    <w:rsid w:val="775604AE"/>
    <w:rsid w:val="777499EE"/>
    <w:rsid w:val="7774A43D"/>
    <w:rsid w:val="777746B5"/>
    <w:rsid w:val="777FBC34"/>
    <w:rsid w:val="77AE7F3E"/>
    <w:rsid w:val="77B68E2A"/>
    <w:rsid w:val="77BB21EF"/>
    <w:rsid w:val="77BFAD44"/>
    <w:rsid w:val="77C7E844"/>
    <w:rsid w:val="77DE0667"/>
    <w:rsid w:val="77DE8550"/>
    <w:rsid w:val="77E7D6E8"/>
    <w:rsid w:val="77F5628F"/>
    <w:rsid w:val="77F66D25"/>
    <w:rsid w:val="77FC21E6"/>
    <w:rsid w:val="77FD6B89"/>
    <w:rsid w:val="77FECC6B"/>
    <w:rsid w:val="780D320A"/>
    <w:rsid w:val="78197E01"/>
    <w:rsid w:val="78551AAA"/>
    <w:rsid w:val="78A23952"/>
    <w:rsid w:val="78CA10FB"/>
    <w:rsid w:val="78D43E55"/>
    <w:rsid w:val="78EF159C"/>
    <w:rsid w:val="797BE2A0"/>
    <w:rsid w:val="79AB74EC"/>
    <w:rsid w:val="79AE6327"/>
    <w:rsid w:val="79D57D57"/>
    <w:rsid w:val="79EE65C7"/>
    <w:rsid w:val="79FA1FA0"/>
    <w:rsid w:val="7A1A6A15"/>
    <w:rsid w:val="7AA17C39"/>
    <w:rsid w:val="7AA339B1"/>
    <w:rsid w:val="7B0F54EB"/>
    <w:rsid w:val="7B136D89"/>
    <w:rsid w:val="7B205002"/>
    <w:rsid w:val="7B7F1E9A"/>
    <w:rsid w:val="7B8A691F"/>
    <w:rsid w:val="7B8F51E2"/>
    <w:rsid w:val="7B8FAECA"/>
    <w:rsid w:val="7B9BED6C"/>
    <w:rsid w:val="7B9F061D"/>
    <w:rsid w:val="7BAD8BAF"/>
    <w:rsid w:val="7BB78A83"/>
    <w:rsid w:val="7BB7F93B"/>
    <w:rsid w:val="7BBDADC4"/>
    <w:rsid w:val="7BD6770B"/>
    <w:rsid w:val="7BDFE388"/>
    <w:rsid w:val="7BE928B8"/>
    <w:rsid w:val="7BF4CD57"/>
    <w:rsid w:val="7BF7D045"/>
    <w:rsid w:val="7BFF12F9"/>
    <w:rsid w:val="7BFF3501"/>
    <w:rsid w:val="7BFF49AE"/>
    <w:rsid w:val="7BFFED89"/>
    <w:rsid w:val="7C1A4147"/>
    <w:rsid w:val="7C9712F4"/>
    <w:rsid w:val="7CBE4AD3"/>
    <w:rsid w:val="7CBF6968"/>
    <w:rsid w:val="7CE275FC"/>
    <w:rsid w:val="7CFA5F4A"/>
    <w:rsid w:val="7CFDAC77"/>
    <w:rsid w:val="7D5F53EE"/>
    <w:rsid w:val="7D6D1E28"/>
    <w:rsid w:val="7D756632"/>
    <w:rsid w:val="7D784332"/>
    <w:rsid w:val="7D7FF9B6"/>
    <w:rsid w:val="7D9C62F5"/>
    <w:rsid w:val="7DB36601"/>
    <w:rsid w:val="7DB52379"/>
    <w:rsid w:val="7DB70354"/>
    <w:rsid w:val="7DB7CC17"/>
    <w:rsid w:val="7DBB2D23"/>
    <w:rsid w:val="7DBD6FAB"/>
    <w:rsid w:val="7DBE32B3"/>
    <w:rsid w:val="7DBF3128"/>
    <w:rsid w:val="7DCE21CB"/>
    <w:rsid w:val="7DDE3BA9"/>
    <w:rsid w:val="7DDFB4E9"/>
    <w:rsid w:val="7DED8148"/>
    <w:rsid w:val="7DEF51CC"/>
    <w:rsid w:val="7DFF036B"/>
    <w:rsid w:val="7DFF0553"/>
    <w:rsid w:val="7DFF6F6C"/>
    <w:rsid w:val="7E17098E"/>
    <w:rsid w:val="7E4D56E7"/>
    <w:rsid w:val="7E4E2526"/>
    <w:rsid w:val="7E7C2E97"/>
    <w:rsid w:val="7EA321D2"/>
    <w:rsid w:val="7EBFE108"/>
    <w:rsid w:val="7ECD724F"/>
    <w:rsid w:val="7EDA1F10"/>
    <w:rsid w:val="7EEBD51F"/>
    <w:rsid w:val="7EF267EC"/>
    <w:rsid w:val="7EF7929D"/>
    <w:rsid w:val="7EFB6E95"/>
    <w:rsid w:val="7EFBAD7A"/>
    <w:rsid w:val="7EFF57BE"/>
    <w:rsid w:val="7EFF7BFC"/>
    <w:rsid w:val="7EFFB134"/>
    <w:rsid w:val="7EFFE4DA"/>
    <w:rsid w:val="7F127358"/>
    <w:rsid w:val="7F1B6CE1"/>
    <w:rsid w:val="7F387D46"/>
    <w:rsid w:val="7F5F3EC8"/>
    <w:rsid w:val="7F67A8EF"/>
    <w:rsid w:val="7F6BFDCC"/>
    <w:rsid w:val="7F7EC574"/>
    <w:rsid w:val="7F7FA47D"/>
    <w:rsid w:val="7F7FCC91"/>
    <w:rsid w:val="7F7FE5FC"/>
    <w:rsid w:val="7F7FF9B2"/>
    <w:rsid w:val="7F863192"/>
    <w:rsid w:val="7F8C2C66"/>
    <w:rsid w:val="7F8FF2E3"/>
    <w:rsid w:val="7FABCBCD"/>
    <w:rsid w:val="7FACD99B"/>
    <w:rsid w:val="7FBBA365"/>
    <w:rsid w:val="7FBBF847"/>
    <w:rsid w:val="7FBD2153"/>
    <w:rsid w:val="7FBEA648"/>
    <w:rsid w:val="7FBEEF95"/>
    <w:rsid w:val="7FBF05F3"/>
    <w:rsid w:val="7FD60A4B"/>
    <w:rsid w:val="7FD7FEC4"/>
    <w:rsid w:val="7FDE2B83"/>
    <w:rsid w:val="7FDF89E0"/>
    <w:rsid w:val="7FE72AA7"/>
    <w:rsid w:val="7FE7AC45"/>
    <w:rsid w:val="7FE97631"/>
    <w:rsid w:val="7FEA221D"/>
    <w:rsid w:val="7FED3BA2"/>
    <w:rsid w:val="7FEDC7AE"/>
    <w:rsid w:val="7FEE57E5"/>
    <w:rsid w:val="7FEF7923"/>
    <w:rsid w:val="7FF309B1"/>
    <w:rsid w:val="7FF63599"/>
    <w:rsid w:val="7FF67266"/>
    <w:rsid w:val="7FF95996"/>
    <w:rsid w:val="7FFA7081"/>
    <w:rsid w:val="7FFB01BD"/>
    <w:rsid w:val="7FFB31FC"/>
    <w:rsid w:val="7FFB8390"/>
    <w:rsid w:val="7FFDB5A8"/>
    <w:rsid w:val="7FFE82A4"/>
    <w:rsid w:val="7FFE90D2"/>
    <w:rsid w:val="7FFECB3F"/>
    <w:rsid w:val="7FFF2B26"/>
    <w:rsid w:val="7FFF5279"/>
    <w:rsid w:val="7FFFF9A7"/>
    <w:rsid w:val="87595793"/>
    <w:rsid w:val="8BF71273"/>
    <w:rsid w:val="8F3D8D11"/>
    <w:rsid w:val="8F5BC3E1"/>
    <w:rsid w:val="8FBF2918"/>
    <w:rsid w:val="93FF4CBD"/>
    <w:rsid w:val="94B335B1"/>
    <w:rsid w:val="95CDBD38"/>
    <w:rsid w:val="95DB31DB"/>
    <w:rsid w:val="95DE7E3E"/>
    <w:rsid w:val="95EFF229"/>
    <w:rsid w:val="973B5C3F"/>
    <w:rsid w:val="9797B30B"/>
    <w:rsid w:val="9B59442B"/>
    <w:rsid w:val="9B612483"/>
    <w:rsid w:val="9BC79C9F"/>
    <w:rsid w:val="9BEFDBB9"/>
    <w:rsid w:val="9EFFEFCF"/>
    <w:rsid w:val="9FBD92E9"/>
    <w:rsid w:val="9FD389B0"/>
    <w:rsid w:val="9FDB0571"/>
    <w:rsid w:val="9FFB56C4"/>
    <w:rsid w:val="A1E3B366"/>
    <w:rsid w:val="A2DD793C"/>
    <w:rsid w:val="A5FD7EE2"/>
    <w:rsid w:val="A7F86997"/>
    <w:rsid w:val="ABFEE606"/>
    <w:rsid w:val="AE7534E0"/>
    <w:rsid w:val="AEDB66F0"/>
    <w:rsid w:val="AFAF209B"/>
    <w:rsid w:val="AFCF8193"/>
    <w:rsid w:val="AFD1B721"/>
    <w:rsid w:val="AFD2DA45"/>
    <w:rsid w:val="AFEF8491"/>
    <w:rsid w:val="AFF7BFAC"/>
    <w:rsid w:val="B1F75BE4"/>
    <w:rsid w:val="B3EFF6D2"/>
    <w:rsid w:val="B47E5615"/>
    <w:rsid w:val="B4D7CB56"/>
    <w:rsid w:val="B56D729D"/>
    <w:rsid w:val="B5D7B99F"/>
    <w:rsid w:val="B6A7F65D"/>
    <w:rsid w:val="B6FC665B"/>
    <w:rsid w:val="B6FE000B"/>
    <w:rsid w:val="B77BCAE7"/>
    <w:rsid w:val="B78F7835"/>
    <w:rsid w:val="B7DC667B"/>
    <w:rsid w:val="BAFFED9B"/>
    <w:rsid w:val="BB17F7AA"/>
    <w:rsid w:val="BB7DC85E"/>
    <w:rsid w:val="BBF870FD"/>
    <w:rsid w:val="BD686AED"/>
    <w:rsid w:val="BDBC1155"/>
    <w:rsid w:val="BDDB9A2F"/>
    <w:rsid w:val="BDFA4DDE"/>
    <w:rsid w:val="BDFB8960"/>
    <w:rsid w:val="BE140E41"/>
    <w:rsid w:val="BE84E995"/>
    <w:rsid w:val="BEA78338"/>
    <w:rsid w:val="BEB208F1"/>
    <w:rsid w:val="BEB54D49"/>
    <w:rsid w:val="BEE737E3"/>
    <w:rsid w:val="BEF56A84"/>
    <w:rsid w:val="BEFB58CF"/>
    <w:rsid w:val="BF70FCFF"/>
    <w:rsid w:val="BF776C45"/>
    <w:rsid w:val="BFAB3A83"/>
    <w:rsid w:val="BFB7A8EB"/>
    <w:rsid w:val="BFBD5B91"/>
    <w:rsid w:val="BFD8129C"/>
    <w:rsid w:val="BFDED19E"/>
    <w:rsid w:val="BFEB560B"/>
    <w:rsid w:val="BFEC671F"/>
    <w:rsid w:val="BFFA47FD"/>
    <w:rsid w:val="BFFBA3F1"/>
    <w:rsid w:val="BFFBCDE2"/>
    <w:rsid w:val="C43F1AFD"/>
    <w:rsid w:val="C6F31D30"/>
    <w:rsid w:val="C733B8AE"/>
    <w:rsid w:val="C7DB4ABC"/>
    <w:rsid w:val="C7ED6FD4"/>
    <w:rsid w:val="C7F40E60"/>
    <w:rsid w:val="C7F765AC"/>
    <w:rsid w:val="C9DBC681"/>
    <w:rsid w:val="CA4F9740"/>
    <w:rsid w:val="CCCE5CC5"/>
    <w:rsid w:val="CEFD8B10"/>
    <w:rsid w:val="CF7B6E53"/>
    <w:rsid w:val="CF971530"/>
    <w:rsid w:val="CFB51231"/>
    <w:rsid w:val="CFBF0BD5"/>
    <w:rsid w:val="CFD3B251"/>
    <w:rsid w:val="CFDA1981"/>
    <w:rsid w:val="CFF5CEDB"/>
    <w:rsid w:val="CFFED957"/>
    <w:rsid w:val="D165B5AE"/>
    <w:rsid w:val="D3BB8D08"/>
    <w:rsid w:val="D57FA061"/>
    <w:rsid w:val="D77E6978"/>
    <w:rsid w:val="D7A3063E"/>
    <w:rsid w:val="D7AB2E8F"/>
    <w:rsid w:val="D7DBD823"/>
    <w:rsid w:val="D7DECE96"/>
    <w:rsid w:val="D7F376DF"/>
    <w:rsid w:val="D97EC41D"/>
    <w:rsid w:val="D9DE71D2"/>
    <w:rsid w:val="D9F7DE35"/>
    <w:rsid w:val="D9FE37B7"/>
    <w:rsid w:val="DA3FD6FA"/>
    <w:rsid w:val="DB3BAA86"/>
    <w:rsid w:val="DB5B2A37"/>
    <w:rsid w:val="DB642652"/>
    <w:rsid w:val="DB7E4AB4"/>
    <w:rsid w:val="DB9C0EF9"/>
    <w:rsid w:val="DBCF05DC"/>
    <w:rsid w:val="DBDBD1EF"/>
    <w:rsid w:val="DBEF354C"/>
    <w:rsid w:val="DC57290F"/>
    <w:rsid w:val="DCB545FE"/>
    <w:rsid w:val="DCB83BE5"/>
    <w:rsid w:val="DD9F3D7D"/>
    <w:rsid w:val="DDD2572C"/>
    <w:rsid w:val="DDE4968A"/>
    <w:rsid w:val="DDF2AC84"/>
    <w:rsid w:val="DEDFC168"/>
    <w:rsid w:val="DEF3220E"/>
    <w:rsid w:val="DEF9FE4D"/>
    <w:rsid w:val="DF3F273E"/>
    <w:rsid w:val="DF67A651"/>
    <w:rsid w:val="DF7F7FBC"/>
    <w:rsid w:val="DF9FFE5C"/>
    <w:rsid w:val="DFD70556"/>
    <w:rsid w:val="DFDFC342"/>
    <w:rsid w:val="DFEF6226"/>
    <w:rsid w:val="DFEFE56A"/>
    <w:rsid w:val="DFFAB7A2"/>
    <w:rsid w:val="DFFBA457"/>
    <w:rsid w:val="DFFDB809"/>
    <w:rsid w:val="DFFF676E"/>
    <w:rsid w:val="E0671B59"/>
    <w:rsid w:val="E36D1777"/>
    <w:rsid w:val="E3CE32D0"/>
    <w:rsid w:val="E3DDCBBA"/>
    <w:rsid w:val="E3FAC956"/>
    <w:rsid w:val="E6278D4F"/>
    <w:rsid w:val="E63F3CE5"/>
    <w:rsid w:val="E69F869D"/>
    <w:rsid w:val="E6FD4CF0"/>
    <w:rsid w:val="E74F85E4"/>
    <w:rsid w:val="E7538A36"/>
    <w:rsid w:val="E77ED739"/>
    <w:rsid w:val="E7B5F8E4"/>
    <w:rsid w:val="E7F3D9B0"/>
    <w:rsid w:val="EB7E3714"/>
    <w:rsid w:val="EBDFD432"/>
    <w:rsid w:val="EBE7B58E"/>
    <w:rsid w:val="EBEBC8D5"/>
    <w:rsid w:val="EBFDFC79"/>
    <w:rsid w:val="ED7385FE"/>
    <w:rsid w:val="EDAF0438"/>
    <w:rsid w:val="EDBFE67C"/>
    <w:rsid w:val="EDFFB032"/>
    <w:rsid w:val="EE14E4BA"/>
    <w:rsid w:val="EE3D4DE7"/>
    <w:rsid w:val="EEDFE524"/>
    <w:rsid w:val="EEEBE78D"/>
    <w:rsid w:val="EEFB17A4"/>
    <w:rsid w:val="EF1490C3"/>
    <w:rsid w:val="EF6B9B11"/>
    <w:rsid w:val="EF7FA17B"/>
    <w:rsid w:val="EFBF0A9F"/>
    <w:rsid w:val="EFBF5C05"/>
    <w:rsid w:val="EFD7E254"/>
    <w:rsid w:val="EFD8F75A"/>
    <w:rsid w:val="EFDB50DA"/>
    <w:rsid w:val="EFDEE63B"/>
    <w:rsid w:val="EFDF7681"/>
    <w:rsid w:val="EFF7BFE0"/>
    <w:rsid w:val="EFFD2EA1"/>
    <w:rsid w:val="EFFE7B4E"/>
    <w:rsid w:val="EFFEB892"/>
    <w:rsid w:val="EFFF7687"/>
    <w:rsid w:val="EFFFA32B"/>
    <w:rsid w:val="EFFFA5A3"/>
    <w:rsid w:val="EFFFF112"/>
    <w:rsid w:val="EFFFF13E"/>
    <w:rsid w:val="F1FBEDA9"/>
    <w:rsid w:val="F1FDBCDE"/>
    <w:rsid w:val="F2C7036C"/>
    <w:rsid w:val="F2F6DE31"/>
    <w:rsid w:val="F2FA6B80"/>
    <w:rsid w:val="F32734B9"/>
    <w:rsid w:val="F37F27CE"/>
    <w:rsid w:val="F3AFBBED"/>
    <w:rsid w:val="F3BF3B5C"/>
    <w:rsid w:val="F3C6B03B"/>
    <w:rsid w:val="F3C722AA"/>
    <w:rsid w:val="F3EF3FE6"/>
    <w:rsid w:val="F3FD3556"/>
    <w:rsid w:val="F3FFF673"/>
    <w:rsid w:val="F4E7F92B"/>
    <w:rsid w:val="F51F5C6E"/>
    <w:rsid w:val="F534BDA3"/>
    <w:rsid w:val="F57F96B0"/>
    <w:rsid w:val="F57FE143"/>
    <w:rsid w:val="F5D5C3E2"/>
    <w:rsid w:val="F5DB839F"/>
    <w:rsid w:val="F5EF2907"/>
    <w:rsid w:val="F6559C86"/>
    <w:rsid w:val="F67F689E"/>
    <w:rsid w:val="F6F91B0E"/>
    <w:rsid w:val="F6FB74B0"/>
    <w:rsid w:val="F6FDFD94"/>
    <w:rsid w:val="F6FE4F0B"/>
    <w:rsid w:val="F6FEE2AB"/>
    <w:rsid w:val="F777F33A"/>
    <w:rsid w:val="F79BD54C"/>
    <w:rsid w:val="F7B194B4"/>
    <w:rsid w:val="F7EB8E98"/>
    <w:rsid w:val="F7EF3CBE"/>
    <w:rsid w:val="F7F623E5"/>
    <w:rsid w:val="F7F6B3A6"/>
    <w:rsid w:val="F7FDB439"/>
    <w:rsid w:val="F9351285"/>
    <w:rsid w:val="F99FE194"/>
    <w:rsid w:val="F9A79B4E"/>
    <w:rsid w:val="F9BE9397"/>
    <w:rsid w:val="F9DF0B1D"/>
    <w:rsid w:val="FA3DB6F2"/>
    <w:rsid w:val="FA3F001F"/>
    <w:rsid w:val="FA69234B"/>
    <w:rsid w:val="FAAFCE58"/>
    <w:rsid w:val="FAB9F6B8"/>
    <w:rsid w:val="FAF3D8C5"/>
    <w:rsid w:val="FB768A37"/>
    <w:rsid w:val="FB7B9EDD"/>
    <w:rsid w:val="FB7D1497"/>
    <w:rsid w:val="FB7F3333"/>
    <w:rsid w:val="FB7FBEA1"/>
    <w:rsid w:val="FB8B8ACE"/>
    <w:rsid w:val="FBB63A90"/>
    <w:rsid w:val="FBB6E4FF"/>
    <w:rsid w:val="FBB78A29"/>
    <w:rsid w:val="FBBC11DC"/>
    <w:rsid w:val="FBBF41DB"/>
    <w:rsid w:val="FBC94939"/>
    <w:rsid w:val="FBE76C54"/>
    <w:rsid w:val="FBEC4FC9"/>
    <w:rsid w:val="FBEE4748"/>
    <w:rsid w:val="FBEF114F"/>
    <w:rsid w:val="FBEF27AD"/>
    <w:rsid w:val="FBF5A3ED"/>
    <w:rsid w:val="FBF7C352"/>
    <w:rsid w:val="FBFABAA5"/>
    <w:rsid w:val="FBFAD4CD"/>
    <w:rsid w:val="FBFD00EC"/>
    <w:rsid w:val="FBFD0330"/>
    <w:rsid w:val="FBFE36A8"/>
    <w:rsid w:val="FBFF37F3"/>
    <w:rsid w:val="FBFF4649"/>
    <w:rsid w:val="FC33F945"/>
    <w:rsid w:val="FC7FC496"/>
    <w:rsid w:val="FCBF8FBB"/>
    <w:rsid w:val="FCDDEDF2"/>
    <w:rsid w:val="FCF3028D"/>
    <w:rsid w:val="FCF7EC44"/>
    <w:rsid w:val="FD1E075E"/>
    <w:rsid w:val="FD3EBF38"/>
    <w:rsid w:val="FD474D9C"/>
    <w:rsid w:val="FD62B481"/>
    <w:rsid w:val="FD75D4E1"/>
    <w:rsid w:val="FD7B96CB"/>
    <w:rsid w:val="FD9FC14C"/>
    <w:rsid w:val="FDAFB232"/>
    <w:rsid w:val="FDB6E107"/>
    <w:rsid w:val="FDCD3498"/>
    <w:rsid w:val="FDDB5166"/>
    <w:rsid w:val="FDDD2CAB"/>
    <w:rsid w:val="FDEBBA8D"/>
    <w:rsid w:val="FDF60AAE"/>
    <w:rsid w:val="FDF65826"/>
    <w:rsid w:val="FDF7668E"/>
    <w:rsid w:val="FDFD7763"/>
    <w:rsid w:val="FDFDA0E4"/>
    <w:rsid w:val="FE6E9B24"/>
    <w:rsid w:val="FEDD611C"/>
    <w:rsid w:val="FEDFB815"/>
    <w:rsid w:val="FEEE43AA"/>
    <w:rsid w:val="FEEEBF40"/>
    <w:rsid w:val="FEFB28EA"/>
    <w:rsid w:val="FEFD5FF6"/>
    <w:rsid w:val="FEFD9DFD"/>
    <w:rsid w:val="FEFE40EA"/>
    <w:rsid w:val="FEFF835D"/>
    <w:rsid w:val="FEFFBA57"/>
    <w:rsid w:val="FF2E7F19"/>
    <w:rsid w:val="FF3E000D"/>
    <w:rsid w:val="FF3E6E29"/>
    <w:rsid w:val="FF548EB0"/>
    <w:rsid w:val="FF550121"/>
    <w:rsid w:val="FF5CA308"/>
    <w:rsid w:val="FF6D6498"/>
    <w:rsid w:val="FF6FA977"/>
    <w:rsid w:val="FF6FB5B0"/>
    <w:rsid w:val="FF6FD1D1"/>
    <w:rsid w:val="FF762478"/>
    <w:rsid w:val="FF77DB46"/>
    <w:rsid w:val="FF77F09B"/>
    <w:rsid w:val="FF7BED88"/>
    <w:rsid w:val="FF8F6D5E"/>
    <w:rsid w:val="FF9641DD"/>
    <w:rsid w:val="FF97083B"/>
    <w:rsid w:val="FF9E0480"/>
    <w:rsid w:val="FFA55722"/>
    <w:rsid w:val="FFAD5498"/>
    <w:rsid w:val="FFB0B786"/>
    <w:rsid w:val="FFBB5284"/>
    <w:rsid w:val="FFBB80C8"/>
    <w:rsid w:val="FFCB32D7"/>
    <w:rsid w:val="FFD5BAF4"/>
    <w:rsid w:val="FFD79719"/>
    <w:rsid w:val="FFDB53F0"/>
    <w:rsid w:val="FFDBC81C"/>
    <w:rsid w:val="FFDC090A"/>
    <w:rsid w:val="FFDDE1B7"/>
    <w:rsid w:val="FFE5BA84"/>
    <w:rsid w:val="FFE7D1CF"/>
    <w:rsid w:val="FFEDE4A0"/>
    <w:rsid w:val="FFEF260F"/>
    <w:rsid w:val="FFF7218C"/>
    <w:rsid w:val="FFF72E0C"/>
    <w:rsid w:val="FFF7532E"/>
    <w:rsid w:val="FFF76419"/>
    <w:rsid w:val="FFF79BD1"/>
    <w:rsid w:val="FFF9D7B1"/>
    <w:rsid w:val="FFFBD88A"/>
    <w:rsid w:val="FFFDB0F2"/>
    <w:rsid w:val="FFFE2BCF"/>
    <w:rsid w:val="FFFEA282"/>
    <w:rsid w:val="FFFF0986"/>
    <w:rsid w:val="FFFF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1B090"/>
  <w15:docId w15:val="{3CE7C3C3-BD9A-4FB1-847D-A5531F49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华文宋体" w:hAnsi="Liberation Serif" w:cs="Arial Unicode M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Times New Roman" w:eastAsia="宋体" w:hAnsi="Times New Roman" w:cs="Times New Roman"/>
      <w:kern w:val="2"/>
      <w:sz w:val="21"/>
    </w:rPr>
  </w:style>
  <w:style w:type="paragraph" w:styleId="1">
    <w:name w:val="heading 1"/>
    <w:basedOn w:val="a"/>
    <w:next w:val="a"/>
    <w:qFormat/>
    <w:pPr>
      <w:keepNext/>
      <w:keepLines/>
      <w:numPr>
        <w:numId w:val="1"/>
      </w:numPr>
      <w:spacing w:before="340" w:after="330" w:line="576" w:lineRule="auto"/>
      <w:outlineLvl w:val="0"/>
    </w:pPr>
    <w:rPr>
      <w:b/>
      <w:bCs/>
      <w:sz w:val="44"/>
      <w:szCs w:val="44"/>
    </w:rPr>
  </w:style>
  <w:style w:type="paragraph" w:styleId="2">
    <w:name w:val="heading 2"/>
    <w:basedOn w:val="a"/>
    <w:next w:val="a"/>
    <w:qFormat/>
    <w:pPr>
      <w:numPr>
        <w:ilvl w:val="1"/>
        <w:numId w:val="1"/>
      </w:numPr>
      <w:spacing w:line="560" w:lineRule="exact"/>
      <w:outlineLvl w:val="1"/>
    </w:pPr>
    <w:rPr>
      <w:rFonts w:ascii="楷体_GB2312" w:eastAsia="楷体_GB2312" w:hAnsi="楷体_GB2312" w:cs="Calibri;DejaVu San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Arial Unicode MS"/>
      <w:i/>
      <w:iCs/>
      <w:sz w:val="24"/>
      <w:szCs w:val="24"/>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ody Text Indent"/>
    <w:basedOn w:val="a"/>
    <w:qFormat/>
    <w:pPr>
      <w:tabs>
        <w:tab w:val="left" w:pos="7020"/>
      </w:tabs>
      <w:spacing w:line="600" w:lineRule="exact"/>
      <w:ind w:firstLine="600"/>
    </w:pPr>
    <w:rPr>
      <w:rFonts w:ascii="仿宋_GB2312" w:eastAsia="仿宋_GB2312" w:hAnsi="仿宋_GB2312"/>
      <w:kern w:val="0"/>
      <w:sz w:val="30"/>
      <w:szCs w:val="24"/>
    </w:rPr>
  </w:style>
  <w:style w:type="paragraph" w:styleId="TOC3">
    <w:name w:val="toc 3"/>
    <w:basedOn w:val="a"/>
    <w:next w:val="a"/>
    <w:qFormat/>
    <w:pPr>
      <w:ind w:left="840"/>
    </w:pPr>
  </w:style>
  <w:style w:type="paragraph" w:styleId="a7">
    <w:name w:val="footer"/>
    <w:basedOn w:val="a"/>
    <w:uiPriority w:val="99"/>
    <w:qFormat/>
    <w:pPr>
      <w:tabs>
        <w:tab w:val="center" w:pos="4153"/>
        <w:tab w:val="right" w:pos="8306"/>
      </w:tabs>
      <w:snapToGrid w:val="0"/>
      <w:jc w:val="left"/>
    </w:pPr>
    <w:rPr>
      <w:kern w:val="0"/>
      <w:sz w:val="18"/>
      <w:szCs w:val="18"/>
    </w:rPr>
  </w:style>
  <w:style w:type="paragraph" w:styleId="a8">
    <w:name w:val="header"/>
    <w:basedOn w:val="a"/>
    <w:qFormat/>
    <w:pPr>
      <w:pBdr>
        <w:bottom w:val="single" w:sz="6" w:space="1" w:color="000000"/>
      </w:pBdr>
      <w:tabs>
        <w:tab w:val="center" w:pos="4153"/>
        <w:tab w:val="right" w:pos="8306"/>
      </w:tabs>
      <w:snapToGrid w:val="0"/>
      <w:jc w:val="center"/>
    </w:pPr>
    <w:rPr>
      <w:kern w:val="0"/>
      <w:sz w:val="18"/>
      <w:szCs w:val="18"/>
    </w:rPr>
  </w:style>
  <w:style w:type="paragraph" w:styleId="TOC1">
    <w:name w:val="toc 1"/>
    <w:basedOn w:val="a"/>
    <w:next w:val="a"/>
    <w:qFormat/>
  </w:style>
  <w:style w:type="paragraph" w:styleId="a9">
    <w:name w:val="List"/>
    <w:basedOn w:val="a5"/>
    <w:qFormat/>
    <w:rPr>
      <w:rFonts w:cs="Arial Unicode MS"/>
    </w:rPr>
  </w:style>
  <w:style w:type="paragraph" w:styleId="aa">
    <w:name w:val="footnote text"/>
    <w:basedOn w:val="a"/>
    <w:qFormat/>
    <w:pPr>
      <w:snapToGrid w:val="0"/>
      <w:jc w:val="left"/>
    </w:pPr>
    <w:rPr>
      <w:rFonts w:ascii="Calibri;DejaVu Sans" w:hAnsi="Calibri;DejaVu Sans" w:cs="Calibri;DejaVu Sans"/>
      <w:sz w:val="18"/>
      <w:szCs w:val="18"/>
    </w:rPr>
  </w:style>
  <w:style w:type="paragraph" w:styleId="TOC2">
    <w:name w:val="toc 2"/>
    <w:basedOn w:val="a"/>
    <w:next w:val="a"/>
    <w:qFormat/>
    <w:pPr>
      <w:ind w:left="420"/>
    </w:pPr>
  </w:style>
  <w:style w:type="character" w:styleId="ab">
    <w:name w:val="page number"/>
    <w:qFormat/>
  </w:style>
  <w:style w:type="character" w:styleId="ac">
    <w:name w:val="Hyperlink"/>
    <w:qFormat/>
    <w:rPr>
      <w:color w:val="000000"/>
      <w:u w:val="single"/>
    </w:rPr>
  </w:style>
  <w:style w:type="character" w:styleId="ad">
    <w:name w:val="annotation reference"/>
    <w:qFormat/>
    <w:rPr>
      <w:sz w:val="21"/>
      <w:szCs w:val="21"/>
    </w:rPr>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仿宋_GB2312" w:hAnsi="Times New Roman" w:cs="Times New Roman"/>
      <w:b/>
      <w:bCs/>
      <w:sz w:val="32"/>
      <w:szCs w:val="21"/>
      <w:lang w:val="en-US"/>
    </w:rPr>
  </w:style>
  <w:style w:type="character" w:customStyle="1" w:styleId="WW8Num9z0">
    <w:name w:val="WW8Num9z0"/>
    <w:qFormat/>
    <w:rPr>
      <w:rFonts w:ascii="Times New Roman" w:eastAsia="仿宋_GB2312" w:hAnsi="Times New Roman" w:cs="Times New Roman"/>
      <w:b/>
      <w:bCs/>
      <w:sz w:val="32"/>
      <w:szCs w:val="21"/>
      <w:lang w:val="en-US"/>
    </w:rPr>
  </w:style>
  <w:style w:type="character" w:customStyle="1" w:styleId="WW8Num10z0">
    <w:name w:val="WW8Num10z0"/>
    <w:qFormat/>
  </w:style>
  <w:style w:type="character" w:customStyle="1" w:styleId="WW8Num11z0">
    <w:name w:val="WW8Num11z0"/>
    <w:qFormat/>
    <w:rPr>
      <w:rFonts w:ascii="Times New Roman" w:eastAsia="仿宋_GB2312" w:hAnsi="Times New Roman" w:cs="Times New Roman"/>
      <w:b/>
      <w:bCs/>
      <w:sz w:val="32"/>
      <w:szCs w:val="21"/>
      <w:lang w:val="en-US"/>
    </w:rPr>
  </w:style>
  <w:style w:type="character" w:customStyle="1" w:styleId="WW8Num12z0">
    <w:name w:val="WW8Num12z0"/>
    <w:qFormat/>
    <w:rPr>
      <w:rFonts w:ascii="Times New Roman" w:eastAsia="仿宋_GB2312" w:hAnsi="Times New Roman" w:cs="Times New Roman"/>
      <w:b/>
      <w:bCs/>
      <w:sz w:val="32"/>
      <w:szCs w:val="21"/>
      <w:lang w:val="en-US"/>
    </w:rPr>
  </w:style>
  <w:style w:type="character" w:customStyle="1" w:styleId="WW8Num13z0">
    <w:name w:val="WW8Num13z0"/>
    <w:qFormat/>
  </w:style>
  <w:style w:type="character" w:customStyle="1" w:styleId="WW8Num14z0">
    <w:name w:val="WW8Num14z0"/>
    <w:qFormat/>
    <w:rPr>
      <w:rFonts w:ascii="Times New Roman" w:eastAsia="仿宋_GB2312" w:hAnsi="Times New Roman" w:cs="Times New Roman"/>
      <w:b/>
      <w:bCs/>
      <w:sz w:val="32"/>
      <w:szCs w:val="21"/>
      <w:lang w:val="en-US"/>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ascii="Times New Roman" w:eastAsia="仿宋_GB2312" w:hAnsi="Times New Roman" w:cs="Times New Roman"/>
      <w:b/>
      <w:bCs/>
      <w:sz w:val="32"/>
      <w:szCs w:val="21"/>
      <w:lang w:val="en-US"/>
    </w:rPr>
  </w:style>
  <w:style w:type="character" w:customStyle="1" w:styleId="10">
    <w:name w:val="默认段落字体1"/>
    <w:qFormat/>
  </w:style>
  <w:style w:type="character" w:customStyle="1" w:styleId="11">
    <w:name w:val="标题 1 字符"/>
    <w:qFormat/>
    <w:rPr>
      <w:rFonts w:ascii="Times New Roman" w:hAnsi="Times New Roman" w:cs="Times New Roman"/>
      <w:b/>
      <w:bCs/>
      <w:kern w:val="2"/>
      <w:sz w:val="44"/>
      <w:szCs w:val="44"/>
    </w:rPr>
  </w:style>
  <w:style w:type="character" w:customStyle="1" w:styleId="20">
    <w:name w:val="标题 2 字符"/>
    <w:qFormat/>
    <w:rPr>
      <w:rFonts w:ascii="楷体_GB2312" w:eastAsia="楷体_GB2312" w:hAnsi="楷体_GB2312" w:cs="Times New Roman"/>
      <w:kern w:val="2"/>
      <w:sz w:val="30"/>
      <w:szCs w:val="30"/>
    </w:rPr>
  </w:style>
  <w:style w:type="character" w:customStyle="1" w:styleId="ae">
    <w:name w:val="文档结构图 字符"/>
    <w:qFormat/>
    <w:rPr>
      <w:rFonts w:ascii="宋体" w:hAnsi="宋体" w:cs="Times New Roman"/>
      <w:kern w:val="2"/>
      <w:sz w:val="18"/>
      <w:szCs w:val="18"/>
    </w:rPr>
  </w:style>
  <w:style w:type="character" w:customStyle="1" w:styleId="12">
    <w:name w:val="批注文字 字符1"/>
    <w:qFormat/>
    <w:rPr>
      <w:rFonts w:ascii="Times New Roman" w:hAnsi="Times New Roman" w:cs="Times New Roman"/>
      <w:kern w:val="2"/>
      <w:sz w:val="21"/>
      <w:szCs w:val="24"/>
    </w:rPr>
  </w:style>
  <w:style w:type="character" w:customStyle="1" w:styleId="af">
    <w:name w:val="正文文本 字符"/>
    <w:qFormat/>
    <w:rPr>
      <w:rFonts w:ascii="Times New Roman" w:hAnsi="Times New Roman" w:cs="Times New Roman"/>
      <w:kern w:val="2"/>
      <w:sz w:val="21"/>
    </w:rPr>
  </w:style>
  <w:style w:type="character" w:customStyle="1" w:styleId="af0">
    <w:name w:val="正文文本缩进 字符"/>
    <w:qFormat/>
    <w:rPr>
      <w:rFonts w:ascii="仿宋_GB2312" w:eastAsia="仿宋_GB2312" w:hAnsi="仿宋_GB2312" w:cs="Times New Roman"/>
      <w:sz w:val="30"/>
      <w:szCs w:val="24"/>
    </w:rPr>
  </w:style>
  <w:style w:type="character" w:customStyle="1" w:styleId="af1">
    <w:name w:val="日期 字符"/>
    <w:qFormat/>
    <w:rPr>
      <w:rFonts w:ascii="楷体_GB2312" w:eastAsia="楷体_GB2312" w:hAnsi="楷体_GB2312" w:cs="Times New Roman"/>
      <w:sz w:val="32"/>
      <w:szCs w:val="20"/>
    </w:rPr>
  </w:style>
  <w:style w:type="character" w:customStyle="1" w:styleId="af2">
    <w:name w:val="批注框文本 字符"/>
    <w:qFormat/>
    <w:rPr>
      <w:rFonts w:ascii="Times New Roman" w:hAnsi="Times New Roman" w:cs="Times New Roman"/>
      <w:kern w:val="2"/>
      <w:sz w:val="18"/>
      <w:szCs w:val="18"/>
    </w:rPr>
  </w:style>
  <w:style w:type="character" w:customStyle="1" w:styleId="af3">
    <w:name w:val="页脚 字符"/>
    <w:uiPriority w:val="99"/>
    <w:qFormat/>
    <w:rPr>
      <w:rFonts w:ascii="Times New Roman" w:eastAsia="宋体" w:hAnsi="Times New Roman" w:cs="Times New Roman"/>
      <w:sz w:val="18"/>
      <w:szCs w:val="18"/>
    </w:rPr>
  </w:style>
  <w:style w:type="character" w:customStyle="1" w:styleId="af4">
    <w:name w:val="页眉 字符"/>
    <w:qFormat/>
    <w:rPr>
      <w:rFonts w:ascii="Times New Roman" w:eastAsia="宋体" w:hAnsi="Times New Roman" w:cs="Times New Roman"/>
      <w:sz w:val="18"/>
      <w:szCs w:val="18"/>
    </w:rPr>
  </w:style>
  <w:style w:type="character" w:customStyle="1" w:styleId="af5">
    <w:name w:val="脚注文本 字符"/>
    <w:qFormat/>
    <w:rPr>
      <w:kern w:val="2"/>
      <w:sz w:val="18"/>
      <w:szCs w:val="18"/>
    </w:rPr>
  </w:style>
  <w:style w:type="character" w:customStyle="1" w:styleId="HTML">
    <w:name w:val="HTML 预设格式 字符"/>
    <w:qFormat/>
    <w:rPr>
      <w:rFonts w:ascii="宋体" w:hAnsi="宋体" w:cs="宋体"/>
      <w:sz w:val="24"/>
      <w:szCs w:val="24"/>
    </w:rPr>
  </w:style>
  <w:style w:type="character" w:customStyle="1" w:styleId="af6">
    <w:name w:val="普通(网站) 字符"/>
    <w:qFormat/>
    <w:rPr>
      <w:rFonts w:ascii="宋体" w:hAnsi="宋体" w:cs="宋体"/>
      <w:sz w:val="24"/>
      <w:szCs w:val="24"/>
    </w:rPr>
  </w:style>
  <w:style w:type="character" w:customStyle="1" w:styleId="af7">
    <w:name w:val="批注主题 字符"/>
    <w:qFormat/>
    <w:rPr>
      <w:rFonts w:ascii="Times New Roman" w:hAnsi="Times New Roman" w:cs="Times New Roman"/>
      <w:b/>
      <w:bCs/>
      <w:kern w:val="2"/>
      <w:sz w:val="21"/>
      <w:szCs w:val="24"/>
    </w:rPr>
  </w:style>
  <w:style w:type="character" w:customStyle="1" w:styleId="21">
    <w:name w:val="正文文本首行缩进 2 字符"/>
    <w:qFormat/>
    <w:rPr>
      <w:rFonts w:ascii="Times New Roman" w:eastAsia="仿宋_GB2312" w:hAnsi="Times New Roman" w:cs="Times New Roman"/>
      <w:kern w:val="2"/>
      <w:sz w:val="21"/>
      <w:szCs w:val="24"/>
    </w:rPr>
  </w:style>
  <w:style w:type="character" w:customStyle="1" w:styleId="13">
    <w:name w:val="批注引用1"/>
    <w:qFormat/>
    <w:rPr>
      <w:sz w:val="21"/>
      <w:szCs w:val="21"/>
    </w:rPr>
  </w:style>
  <w:style w:type="character" w:customStyle="1" w:styleId="FootnoteCharacters">
    <w:name w:val="Footnote Characters"/>
    <w:qFormat/>
    <w:rPr>
      <w:vertAlign w:val="superscript"/>
    </w:rPr>
  </w:style>
  <w:style w:type="character" w:customStyle="1" w:styleId="NormalCharacter">
    <w:name w:val="NormalCharacter"/>
    <w:qFormat/>
  </w:style>
  <w:style w:type="character" w:customStyle="1" w:styleId="af8">
    <w:name w:val="列表段落 字符"/>
    <w:qFormat/>
    <w:rPr>
      <w:kern w:val="2"/>
      <w:sz w:val="21"/>
      <w:szCs w:val="22"/>
    </w:rPr>
  </w:style>
  <w:style w:type="character" w:customStyle="1" w:styleId="afont1">
    <w:name w:val="afont1"/>
    <w:qFormat/>
    <w:rPr>
      <w:rFonts w:ascii="Arial Narrow;Times New Roman" w:hAnsi="Arial Narrow;Times New Roman" w:cs="Arial Narrow;Times New Roman"/>
      <w:sz w:val="26"/>
      <w:szCs w:val="26"/>
    </w:rPr>
  </w:style>
  <w:style w:type="character" w:customStyle="1" w:styleId="af9">
    <w:name w:val="批注文字 字符"/>
    <w:qFormat/>
    <w:rPr>
      <w:rFonts w:ascii="Times New Roman" w:hAnsi="Times New Roman" w:cs="Times New Roman"/>
      <w:kern w:val="2"/>
      <w:sz w:val="21"/>
      <w:szCs w:val="24"/>
    </w:rPr>
  </w:style>
  <w:style w:type="character" w:customStyle="1" w:styleId="Char">
    <w:name w:val="列出段落 Char"/>
    <w:qFormat/>
    <w:rPr>
      <w:kern w:val="2"/>
      <w:sz w:val="21"/>
      <w:szCs w:val="22"/>
    </w:rPr>
  </w:style>
  <w:style w:type="paragraph" w:customStyle="1" w:styleId="Heading">
    <w:name w:val="Heading"/>
    <w:basedOn w:val="a"/>
    <w:next w:val="a5"/>
    <w:qFormat/>
    <w:pPr>
      <w:keepNext/>
      <w:spacing w:before="240" w:after="120"/>
    </w:pPr>
    <w:rPr>
      <w:rFonts w:ascii="Liberation Sans" w:eastAsia="Arial Unicode MS" w:hAnsi="Liberation Sans" w:cs="Arial Unicode MS"/>
      <w:sz w:val="28"/>
      <w:szCs w:val="28"/>
    </w:rPr>
  </w:style>
  <w:style w:type="paragraph" w:customStyle="1" w:styleId="Index">
    <w:name w:val="Index"/>
    <w:basedOn w:val="a"/>
    <w:qFormat/>
    <w:pPr>
      <w:suppressLineNumbers/>
    </w:pPr>
    <w:rPr>
      <w:rFonts w:cs="Arial Unicode MS"/>
    </w:rPr>
  </w:style>
  <w:style w:type="paragraph" w:customStyle="1" w:styleId="14">
    <w:name w:val="正文缩进1"/>
    <w:basedOn w:val="a"/>
    <w:qFormat/>
    <w:pPr>
      <w:ind w:firstLine="420"/>
    </w:pPr>
  </w:style>
  <w:style w:type="paragraph" w:customStyle="1" w:styleId="15">
    <w:name w:val="题注1"/>
    <w:basedOn w:val="a"/>
    <w:qFormat/>
    <w:pPr>
      <w:widowControl/>
    </w:pPr>
    <w:rPr>
      <w:rFonts w:ascii="Cambria;Noto Sans Syriac Easter" w:hAnsi="Cambria;Noto Sans Syriac Easter" w:cs="宋体"/>
      <w:kern w:val="0"/>
      <w:sz w:val="20"/>
    </w:rPr>
  </w:style>
  <w:style w:type="paragraph" w:customStyle="1" w:styleId="16">
    <w:name w:val="文档结构图1"/>
    <w:basedOn w:val="a"/>
    <w:qFormat/>
    <w:rPr>
      <w:rFonts w:ascii="宋体" w:hAnsi="宋体"/>
      <w:sz w:val="18"/>
      <w:szCs w:val="18"/>
    </w:rPr>
  </w:style>
  <w:style w:type="paragraph" w:customStyle="1" w:styleId="17">
    <w:name w:val="批注文字1"/>
    <w:basedOn w:val="a"/>
    <w:qFormat/>
    <w:pPr>
      <w:jc w:val="left"/>
    </w:pPr>
    <w:rPr>
      <w:szCs w:val="24"/>
    </w:rPr>
  </w:style>
  <w:style w:type="paragraph" w:customStyle="1" w:styleId="18">
    <w:name w:val="日期1"/>
    <w:basedOn w:val="a"/>
    <w:next w:val="a"/>
    <w:qFormat/>
    <w:rPr>
      <w:rFonts w:ascii="楷体_GB2312" w:eastAsia="楷体_GB2312" w:hAnsi="楷体_GB2312"/>
      <w:kern w:val="0"/>
      <w:sz w:val="32"/>
    </w:rPr>
  </w:style>
  <w:style w:type="paragraph" w:customStyle="1" w:styleId="19">
    <w:name w:val="批注框文本1"/>
    <w:basedOn w:val="a"/>
    <w:qFormat/>
    <w:rPr>
      <w:sz w:val="18"/>
      <w:szCs w:val="18"/>
    </w:rPr>
  </w:style>
  <w:style w:type="paragraph" w:customStyle="1" w:styleId="HeaderandFooter">
    <w:name w:val="Header and Footer"/>
    <w:basedOn w:val="a"/>
    <w:qFormat/>
    <w:pPr>
      <w:suppressLineNumbers/>
      <w:tabs>
        <w:tab w:val="center" w:pos="4819"/>
        <w:tab w:val="right" w:pos="9638"/>
      </w:tabs>
    </w:pPr>
  </w:style>
  <w:style w:type="paragraph" w:customStyle="1" w:styleId="HTML1">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a">
    <w:name w:val="普通(网站)1"/>
    <w:basedOn w:val="a"/>
    <w:qFormat/>
    <w:pPr>
      <w:widowControl/>
      <w:spacing w:before="100" w:after="100"/>
      <w:jc w:val="left"/>
    </w:pPr>
    <w:rPr>
      <w:rFonts w:ascii="宋体" w:hAnsi="宋体" w:cs="宋体"/>
      <w:kern w:val="0"/>
      <w:sz w:val="24"/>
      <w:szCs w:val="24"/>
    </w:rPr>
  </w:style>
  <w:style w:type="paragraph" w:customStyle="1" w:styleId="1b">
    <w:name w:val="批注主题1"/>
    <w:basedOn w:val="17"/>
    <w:next w:val="17"/>
    <w:qFormat/>
    <w:rPr>
      <w:b/>
      <w:bCs/>
    </w:rPr>
  </w:style>
  <w:style w:type="paragraph" w:customStyle="1" w:styleId="210">
    <w:name w:val="正文首行缩进 21"/>
    <w:basedOn w:val="a6"/>
    <w:qFormat/>
    <w:pPr>
      <w:tabs>
        <w:tab w:val="clear" w:pos="7020"/>
      </w:tabs>
      <w:spacing w:after="120" w:line="240" w:lineRule="auto"/>
      <w:ind w:left="420" w:firstLine="420"/>
    </w:pPr>
    <w:rPr>
      <w:rFonts w:ascii="Times New Roman" w:hAnsi="Times New Roman"/>
      <w:sz w:val="21"/>
    </w:rPr>
  </w:style>
  <w:style w:type="paragraph" w:customStyle="1" w:styleId="1c">
    <w:name w:val="列表段落1"/>
    <w:basedOn w:val="a"/>
    <w:qFormat/>
    <w:pPr>
      <w:ind w:firstLine="420"/>
    </w:pPr>
    <w:rPr>
      <w:rFonts w:ascii="Calibri;DejaVu Sans" w:hAnsi="Calibri;DejaVu Sans" w:cs="Calibri;DejaVu Sans"/>
      <w:szCs w:val="22"/>
    </w:rPr>
  </w:style>
  <w:style w:type="paragraph" w:customStyle="1" w:styleId="22">
    <w:name w:val="列出段落2"/>
    <w:basedOn w:val="a"/>
    <w:qFormat/>
    <w:pPr>
      <w:ind w:firstLine="420"/>
    </w:pPr>
    <w:rPr>
      <w:rFonts w:ascii="Calibri;DejaVu Sans" w:hAnsi="Calibri;DejaVu Sans" w:cs="Calibri;DejaVu Sans"/>
      <w:szCs w:val="22"/>
    </w:rPr>
  </w:style>
  <w:style w:type="paragraph" w:customStyle="1" w:styleId="Style3">
    <w:name w:val="_Style 3"/>
    <w:basedOn w:val="a"/>
    <w:qFormat/>
    <w:pPr>
      <w:ind w:firstLine="420"/>
    </w:pPr>
    <w:rPr>
      <w:kern w:val="0"/>
      <w:sz w:val="20"/>
    </w:rPr>
  </w:style>
  <w:style w:type="paragraph" w:customStyle="1" w:styleId="1d">
    <w:name w:val="修订1"/>
    <w:qFormat/>
    <w:pPr>
      <w:suppressAutoHyphens/>
    </w:pPr>
    <w:rPr>
      <w:rFonts w:ascii="Times New Roman" w:eastAsia="宋体" w:hAnsi="Times New Roman" w:cs="Times New Roman"/>
      <w:kern w:val="2"/>
      <w:sz w:val="21"/>
    </w:rPr>
  </w:style>
  <w:style w:type="paragraph" w:customStyle="1" w:styleId="Style57">
    <w:name w:val="_Style 57"/>
    <w:basedOn w:val="a"/>
    <w:next w:val="1c"/>
    <w:qFormat/>
    <w:pPr>
      <w:ind w:firstLine="420"/>
    </w:pPr>
    <w:rPr>
      <w:rFonts w:ascii="Calibri;DejaVu Sans" w:hAnsi="Calibri;DejaVu Sans" w:cs="Calibri;DejaVu Sans"/>
      <w:szCs w:val="22"/>
    </w:rPr>
  </w:style>
  <w:style w:type="paragraph" w:customStyle="1" w:styleId="afa">
    <w:name w:val="章标题"/>
    <w:basedOn w:val="a"/>
    <w:qFormat/>
    <w:pPr>
      <w:keepNext/>
      <w:snapToGrid w:val="0"/>
      <w:spacing w:line="560" w:lineRule="exact"/>
      <w:jc w:val="center"/>
      <w:outlineLvl w:val="1"/>
    </w:pPr>
    <w:rPr>
      <w:rFonts w:ascii="Calibri;DejaVu Sans" w:eastAsia="黑体" w:hAnsi="Calibri;DejaVu Sans"/>
      <w:b/>
      <w:bCs/>
      <w:color w:val="000000"/>
      <w:kern w:val="0"/>
      <w:sz w:val="32"/>
      <w:szCs w:val="30"/>
    </w:rPr>
  </w:style>
  <w:style w:type="paragraph" w:customStyle="1" w:styleId="FrameContents">
    <w:name w:val="Frame Contents"/>
    <w:basedOn w:val="a"/>
    <w:qFormat/>
  </w:style>
  <w:style w:type="paragraph" w:customStyle="1" w:styleId="23">
    <w:name w:val="修订2"/>
    <w:hidden/>
    <w:uiPriority w:val="99"/>
    <w:unhideWhenUsed/>
    <w:qFormat/>
    <w:rPr>
      <w:rFonts w:ascii="Times New Roman" w:eastAsia="宋体" w:hAnsi="Times New Roman" w:cs="Times New Roman"/>
      <w:kern w:val="2"/>
      <w:sz w:val="21"/>
    </w:rPr>
  </w:style>
  <w:style w:type="paragraph" w:customStyle="1" w:styleId="3">
    <w:name w:val="修订3"/>
    <w:hidden/>
    <w:uiPriority w:val="99"/>
    <w:unhideWhenUsed/>
    <w:qFormat/>
    <w:rPr>
      <w:rFonts w:ascii="Times New Roman" w:eastAsia="宋体" w:hAnsi="Times New Roman" w:cs="Times New Roman"/>
      <w:kern w:val="2"/>
      <w:sz w:val="21"/>
    </w:rPr>
  </w:style>
  <w:style w:type="paragraph" w:styleId="afb">
    <w:name w:val="Revision"/>
    <w:hidden/>
    <w:uiPriority w:val="99"/>
    <w:unhideWhenUsed/>
    <w:rsid w:val="00C7485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60</Pages>
  <Words>4403</Words>
  <Characters>25098</Characters>
  <Application>Microsoft Office Word</Application>
  <DocSecurity>0</DocSecurity>
  <Lines>209</Lines>
  <Paragraphs>58</Paragraphs>
  <ScaleCrop>false</ScaleCrop>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zwf</cp:lastModifiedBy>
  <cp:revision>10</cp:revision>
  <dcterms:created xsi:type="dcterms:W3CDTF">2025-12-18T19:47:00Z</dcterms:created>
  <dcterms:modified xsi:type="dcterms:W3CDTF">2025-12-30T07:29:00Z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3BF688AC13BC4C45BEBC565044762755_13</vt:lpwstr>
  </property>
  <property fmtid="{D5CDD505-2E9C-101B-9397-08002B2CF9AE}" pid="3" name="KSOProductBuildVer">
    <vt:lpwstr>2052-12.8.2.21234</vt:lpwstr>
  </property>
  <property fmtid="{D5CDD505-2E9C-101B-9397-08002B2CF9AE}" pid="4" name="KSOTemplateDocerSaveRecord">
    <vt:lpwstr>eyJoZGlkIjoiODc5ODBhYTQxYTMxOGM2YWEwN2NiNmQzNTRjMzMyNGQiLCJ1c2VySWQiOiIxMjQ3MzIyOTMzIn0=</vt:lpwstr>
  </property>
</Properties>
</file>