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B839">
      <w:pPr>
        <w:snapToGrid w:val="0"/>
        <w:spacing w:line="560" w:lineRule="exact"/>
        <w:ind w:firstLine="600"/>
        <w:rPr>
          <w:rFonts w:eastAsia="方正仿宋简体"/>
          <w:sz w:val="30"/>
        </w:rPr>
      </w:pPr>
      <w:bookmarkStart w:id="0" w:name="_GoBack"/>
      <w:bookmarkEnd w:id="0"/>
    </w:p>
    <w:p w14:paraId="5A7ECA90">
      <w:pPr>
        <w:snapToGrid w:val="0"/>
        <w:spacing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《上海证券交易所公开募集不动产投资信托基金（REITs）规则适用指引第3号</w:t>
      </w:r>
    </w:p>
    <w:p w14:paraId="2C33956D">
      <w:pPr>
        <w:snapToGrid w:val="0"/>
        <w:spacing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——扩募及新购入不动产（试行）》</w:t>
      </w:r>
    </w:p>
    <w:p w14:paraId="4D2DD3BF">
      <w:pPr>
        <w:snapToGrid w:val="0"/>
        <w:spacing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修订说明</w:t>
      </w:r>
    </w:p>
    <w:p w14:paraId="0DC59B87">
      <w:pPr>
        <w:snapToGrid w:val="0"/>
        <w:spacing w:line="560" w:lineRule="exact"/>
        <w:ind w:firstLine="600"/>
        <w:rPr>
          <w:rFonts w:eastAsia="方正仿宋简体"/>
          <w:sz w:val="30"/>
        </w:rPr>
      </w:pPr>
    </w:p>
    <w:p w14:paraId="70E5FC6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为贯彻落实</w:t>
      </w:r>
      <w:r>
        <w:rPr>
          <w:rFonts w:hint="eastAsia" w:eastAsia="仿宋_GB2312"/>
          <w:sz w:val="32"/>
          <w:szCs w:val="32"/>
        </w:rPr>
        <w:t>《国务院关于加强监管防范风险推动资本市场高质量发展的若干意见》（国发〔2024〕10号）部署和</w:t>
      </w:r>
      <w:r>
        <w:rPr>
          <w:rFonts w:hint="eastAsia" w:ascii="仿宋_GB2312" w:eastAsia="仿宋_GB2312"/>
          <w:sz w:val="32"/>
          <w:szCs w:val="32"/>
        </w:rPr>
        <w:t>《中国证监会关于推出商业不动产投资信托基金试点的公告》（以下简称《公告》）的工作要求，本所</w:t>
      </w:r>
      <w:r>
        <w:rPr>
          <w:rFonts w:hint="eastAsia" w:eastAsia="仿宋_GB2312"/>
          <w:sz w:val="32"/>
          <w:szCs w:val="32"/>
        </w:rPr>
        <w:t>在中国证监会的统筹</w:t>
      </w:r>
      <w:r>
        <w:rPr>
          <w:rFonts w:eastAsia="仿宋_GB2312"/>
          <w:sz w:val="32"/>
          <w:szCs w:val="32"/>
        </w:rPr>
        <w:t>部署下，修订形成了《上海证券交易所公开募集不动产投资信托基金（REITs）规则适用指引第3号——扩募及新购入不动产（试行）》（以下简称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《扩募指引》</w:t>
      </w:r>
      <w:r>
        <w:rPr>
          <w:rFonts w:eastAsia="仿宋_GB2312"/>
          <w:sz w:val="32"/>
          <w:szCs w:val="32"/>
        </w:rPr>
        <w:t>），现将相</w:t>
      </w:r>
      <w:r>
        <w:rPr>
          <w:rFonts w:hint="eastAsia" w:ascii="仿宋_GB2312" w:eastAsia="仿宋_GB2312"/>
          <w:sz w:val="32"/>
          <w:szCs w:val="32"/>
        </w:rPr>
        <w:t>关情况说明如下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0EC2F6E">
      <w:pPr>
        <w:spacing w:line="560" w:lineRule="exact"/>
        <w:ind w:firstLine="640" w:firstLineChars="200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一、修订背景</w:t>
      </w:r>
    </w:p>
    <w:p w14:paraId="2B9CF141">
      <w:pPr>
        <w:pStyle w:val="19"/>
        <w:widowControl w:val="0"/>
        <w:ind w:firstLine="640" w:firstLineChars="200"/>
        <w:rPr>
          <w:rFonts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 w:eastAsia="仿宋_GB2312"/>
          <w:szCs w:val="32"/>
          <w:lang w:eastAsia="zh-CN"/>
        </w:rPr>
        <w:t>2025年12月31日，</w:t>
      </w:r>
      <w:r>
        <w:rPr>
          <w:rFonts w:ascii="Times New Roman" w:hAnsi="Times New Roman" w:eastAsia="仿宋_GB2312"/>
          <w:szCs w:val="32"/>
          <w:lang w:eastAsia="zh-CN"/>
        </w:rPr>
        <w:t>中国证监会</w:t>
      </w:r>
      <w:r>
        <w:rPr>
          <w:rFonts w:hint="eastAsia" w:ascii="Times New Roman" w:hAnsi="Times New Roman" w:eastAsia="仿宋_GB2312"/>
          <w:szCs w:val="32"/>
          <w:lang w:eastAsia="zh-CN"/>
        </w:rPr>
        <w:t>发布</w:t>
      </w:r>
      <w:r>
        <w:rPr>
          <w:rFonts w:ascii="Times New Roman" w:hAnsi="Times New Roman" w:eastAsia="仿宋_GB2312"/>
          <w:szCs w:val="32"/>
          <w:lang w:eastAsia="zh-CN"/>
        </w:rPr>
        <w:t>《公告》，明确</w:t>
      </w:r>
      <w:r>
        <w:rPr>
          <w:rFonts w:hint="eastAsia" w:ascii="Times New Roman" w:hAnsi="Times New Roman" w:eastAsia="仿宋_GB2312"/>
          <w:szCs w:val="32"/>
          <w:lang w:eastAsia="zh-CN"/>
        </w:rPr>
        <w:t>了</w:t>
      </w:r>
      <w:r>
        <w:rPr>
          <w:rFonts w:ascii="Times New Roman" w:hAnsi="Times New Roman" w:eastAsia="仿宋_GB2312"/>
          <w:szCs w:val="32"/>
          <w:lang w:eastAsia="zh-CN"/>
        </w:rPr>
        <w:t>商业不动产投资信托基金</w:t>
      </w:r>
      <w:r>
        <w:rPr>
          <w:rFonts w:hint="eastAsia" w:ascii="Times New Roman" w:hAnsi="Times New Roman" w:eastAsia="仿宋_GB2312"/>
          <w:szCs w:val="32"/>
          <w:lang w:eastAsia="zh-CN"/>
        </w:rPr>
        <w:t>（以下简称商业不动产REITs）产品定义，提出了基金注册及运营管理、发挥基金管理人和专业机构作用、强化监管责任等方面要求</w:t>
      </w:r>
      <w:r>
        <w:rPr>
          <w:rFonts w:ascii="Times New Roman" w:hAnsi="Times New Roman" w:eastAsia="仿宋_GB2312"/>
          <w:szCs w:val="32"/>
          <w:lang w:eastAsia="zh-CN"/>
        </w:rPr>
        <w:t>。</w:t>
      </w:r>
    </w:p>
    <w:p w14:paraId="7A90E7FC">
      <w:pPr>
        <w:pStyle w:val="19"/>
        <w:ind w:firstLine="640" w:firstLineChars="200"/>
        <w:rPr>
          <w:rFonts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 w:eastAsia="仿宋_GB2312"/>
          <w:szCs w:val="32"/>
          <w:lang w:eastAsia="zh-CN"/>
        </w:rPr>
        <w:t>本所结合前期实践经验和市场实际情况，修订形成了</w:t>
      </w:r>
      <w:r>
        <w:rPr>
          <w:rFonts w:ascii="Times New Roman" w:hAnsi="Times New Roman" w:eastAsia="仿宋_GB231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Cs w:val="32"/>
          <w:shd w:val="clear" w:color="auto" w:fill="FFFFFF"/>
          <w:lang w:eastAsia="zh-CN"/>
        </w:rPr>
        <w:t>扩募指引》</w:t>
      </w:r>
      <w:r>
        <w:rPr>
          <w:rFonts w:ascii="Times New Roman" w:hAnsi="Times New Roman" w:eastAsia="仿宋_GB231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Cs w:val="32"/>
          <w:lang w:eastAsia="zh-CN"/>
        </w:rPr>
        <w:t>旨在扩充指引适用范围至不动产投资信托基金，</w:t>
      </w:r>
      <w:r>
        <w:rPr>
          <w:rFonts w:hint="eastAsia" w:ascii="仿宋_GB2312" w:eastAsia="仿宋_GB2312"/>
          <w:szCs w:val="32"/>
          <w:lang w:eastAsia="zh-CN"/>
        </w:rPr>
        <w:t>进一步规范</w:t>
      </w:r>
      <w:r>
        <w:rPr>
          <w:rFonts w:hint="eastAsia" w:ascii="Times New Roman" w:hAnsi="Times New Roman" w:eastAsia="仿宋_GB2312"/>
          <w:szCs w:val="32"/>
          <w:lang w:eastAsia="zh-CN"/>
        </w:rPr>
        <w:t>扩募及</w:t>
      </w:r>
      <w:r>
        <w:rPr>
          <w:rFonts w:hint="eastAsia" w:ascii="仿宋_GB2312" w:eastAsia="仿宋_GB2312"/>
          <w:szCs w:val="32"/>
          <w:lang w:eastAsia="zh-CN"/>
        </w:rPr>
        <w:t>新购入不动产安排，提高</w:t>
      </w:r>
      <w:r>
        <w:rPr>
          <w:rFonts w:hint="eastAsia" w:ascii="Times New Roman" w:hAnsi="Times New Roman" w:eastAsia="仿宋_GB2312"/>
          <w:szCs w:val="32"/>
          <w:lang w:eastAsia="zh-CN"/>
        </w:rPr>
        <w:t>不动产投资信托基金</w:t>
      </w:r>
      <w:r>
        <w:rPr>
          <w:rFonts w:hint="eastAsia" w:ascii="仿宋_GB2312" w:eastAsia="仿宋_GB2312"/>
          <w:szCs w:val="32"/>
          <w:lang w:eastAsia="zh-CN"/>
        </w:rPr>
        <w:t>市场的内生动力</w:t>
      </w:r>
      <w:r>
        <w:rPr>
          <w:rFonts w:ascii="Times New Roman" w:hAnsi="Times New Roman" w:eastAsia="仿宋_GB2312"/>
          <w:szCs w:val="32"/>
          <w:lang w:eastAsia="zh-CN"/>
        </w:rPr>
        <w:t>。</w:t>
      </w:r>
    </w:p>
    <w:p w14:paraId="1F7430D2">
      <w:pPr>
        <w:spacing w:line="560" w:lineRule="exact"/>
        <w:ind w:firstLine="640" w:firstLineChars="200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二、主要修订内容</w:t>
      </w:r>
    </w:p>
    <w:p w14:paraId="4781B5D7"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本次修订主要包括以下几方面内容：</w:t>
      </w:r>
    </w:p>
    <w:p w14:paraId="3A6FFED3"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一是扩充业务指引适用范围。</w:t>
      </w:r>
      <w:r>
        <w:rPr>
          <w:rFonts w:eastAsia="仿宋_GB2312"/>
          <w:sz w:val="32"/>
          <w:szCs w:val="32"/>
        </w:rPr>
        <w:t>根据《公告》，将商业不动产REITs纳入《</w:t>
      </w:r>
      <w:r>
        <w:rPr>
          <w:rFonts w:hint="eastAsia" w:eastAsia="仿宋_GB2312"/>
          <w:sz w:val="32"/>
          <w:szCs w:val="32"/>
        </w:rPr>
        <w:t>扩募</w:t>
      </w:r>
      <w:r>
        <w:rPr>
          <w:rFonts w:eastAsia="仿宋_GB2312"/>
          <w:sz w:val="32"/>
          <w:szCs w:val="32"/>
        </w:rPr>
        <w:t>指引》适用范围，</w:t>
      </w:r>
      <w:r>
        <w:rPr>
          <w:rFonts w:hint="eastAsia" w:eastAsia="仿宋_GB2312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全文相关表述</w:t>
      </w:r>
      <w:r>
        <w:rPr>
          <w:rFonts w:hint="eastAsia" w:eastAsia="仿宋_GB2312"/>
          <w:sz w:val="32"/>
          <w:szCs w:val="32"/>
        </w:rPr>
        <w:t>进行适应性调整</w:t>
      </w:r>
      <w:r>
        <w:rPr>
          <w:rFonts w:eastAsia="仿宋_GB2312"/>
          <w:sz w:val="32"/>
          <w:szCs w:val="32"/>
        </w:rPr>
        <w:t>，包括将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基础设施基金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基础设施资产支持证券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基础设施项目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分别调整为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不动产基金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不动产资产支持证券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不动产项目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等。</w:t>
      </w:r>
    </w:p>
    <w:p w14:paraId="1D8B7FB8"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二是调整购入不动产部分条件。</w:t>
      </w:r>
      <w:r>
        <w:rPr>
          <w:rFonts w:eastAsia="仿宋_GB2312"/>
          <w:sz w:val="32"/>
          <w:szCs w:val="32"/>
        </w:rPr>
        <w:t>结合前期REITs业务实践经验，提高购入不动产项目的灵活性，拟购入的不动产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原则上与不动产基金当前持有的不动产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为同一业态、相近业态</w:t>
      </w:r>
      <w:r>
        <w:rPr>
          <w:rFonts w:hint="eastAsia" w:eastAsia="仿宋_GB2312"/>
          <w:sz w:val="32"/>
          <w:szCs w:val="32"/>
        </w:rPr>
        <w:t>，互补或者</w:t>
      </w:r>
      <w:r>
        <w:rPr>
          <w:rFonts w:eastAsia="仿宋_GB2312"/>
          <w:sz w:val="32"/>
          <w:szCs w:val="32"/>
        </w:rPr>
        <w:t>具有</w:t>
      </w:r>
      <w:r>
        <w:rPr>
          <w:rFonts w:hint="eastAsia" w:eastAsia="仿宋_GB2312"/>
          <w:sz w:val="32"/>
          <w:szCs w:val="32"/>
        </w:rPr>
        <w:t>运营</w:t>
      </w:r>
      <w:r>
        <w:rPr>
          <w:rFonts w:eastAsia="仿宋_GB2312"/>
          <w:sz w:val="32"/>
          <w:szCs w:val="32"/>
        </w:rPr>
        <w:t>协同效应。对不动产基金运营业绩不作限制性要求，缩短申请新购入不动产项目的时限要求，原则上从上市之日至提交基金变更注册申请之日满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12个月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调整为满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6个月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14:paraId="0BAF6CFF">
      <w:pPr>
        <w:pStyle w:val="20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三是调整扩募发售阶段战略</w:t>
      </w:r>
      <w:r>
        <w:rPr>
          <w:rFonts w:hint="eastAsia" w:ascii="Times New Roman" w:hAnsi="Times New Roman" w:eastAsia="仿宋_GB2312"/>
          <w:bCs/>
          <w:sz w:val="32"/>
          <w:szCs w:val="32"/>
        </w:rPr>
        <w:t>配售对象</w:t>
      </w:r>
      <w:r>
        <w:rPr>
          <w:rFonts w:ascii="Times New Roman" w:hAnsi="Times New Roman" w:eastAsia="仿宋_GB2312"/>
          <w:bCs/>
          <w:sz w:val="32"/>
          <w:szCs w:val="32"/>
        </w:rPr>
        <w:t>范围。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扩募发售阶段战略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配售对象原则上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限于拟购入项目的原始权益人及其同一控制下的关联方，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战略配售对象参与战略配售的基金份额、占本次扩募发售比例及持有期限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等要求与首次发售时一致。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明确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定向扩募在发售阶段可通过基金份额持有人大会表决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提前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引入专业机构投资者。</w:t>
      </w:r>
    </w:p>
    <w:p w14:paraId="63F51A1F">
      <w:pPr>
        <w:pStyle w:val="19"/>
        <w:widowControl w:val="0"/>
        <w:snapToGrid w:val="0"/>
        <w:ind w:firstLine="640" w:firstLineChars="200"/>
        <w:rPr>
          <w:rFonts w:ascii="Times New Roman" w:hAnsi="Times New Roman" w:eastAsia="仿宋_GB2312"/>
          <w:szCs w:val="32"/>
          <w:highlight w:val="yellow"/>
          <w:lang w:eastAsia="zh-CN"/>
        </w:rPr>
      </w:pPr>
      <w:r>
        <w:rPr>
          <w:rFonts w:ascii="Times New Roman" w:hAnsi="Times New Roman" w:eastAsia="仿宋_GB2312"/>
          <w:bCs/>
          <w:szCs w:val="32"/>
          <w:lang w:eastAsia="zh-CN"/>
        </w:rPr>
        <w:t>四是简化业务指引章节设置。</w:t>
      </w:r>
      <w:r>
        <w:rPr>
          <w:rFonts w:ascii="Times New Roman" w:hAnsi="Times New Roman" w:eastAsia="仿宋_GB2312"/>
          <w:szCs w:val="32"/>
          <w:lang w:eastAsia="zh-CN"/>
        </w:rPr>
        <w:t>简化对相关业务主体及其人员的自律监管条款表述</w:t>
      </w:r>
      <w:r>
        <w:rPr>
          <w:rFonts w:hint="eastAsia" w:ascii="Times New Roman" w:hAnsi="Times New Roman" w:eastAsia="仿宋_GB2312"/>
          <w:szCs w:val="32"/>
          <w:lang w:eastAsia="zh-CN"/>
        </w:rPr>
        <w:t>，</w:t>
      </w:r>
      <w:r>
        <w:rPr>
          <w:rFonts w:ascii="Times New Roman" w:hAnsi="Times New Roman" w:eastAsia="仿宋_GB2312"/>
          <w:szCs w:val="32"/>
          <w:lang w:eastAsia="zh-CN"/>
        </w:rPr>
        <w:t>具体措施以《</w:t>
      </w:r>
      <w:r>
        <w:rPr>
          <w:rFonts w:hint="eastAsia" w:ascii="Times New Roman" w:hAnsi="Times New Roman" w:eastAsia="仿宋_GB2312"/>
          <w:szCs w:val="32"/>
          <w:lang w:eastAsia="zh-CN"/>
        </w:rPr>
        <w:t>上海证券交易所公开募集不动产投资信托基金（REITs）业务办法（试行）</w:t>
      </w:r>
      <w:r>
        <w:rPr>
          <w:rFonts w:ascii="Times New Roman" w:hAnsi="Times New Roman" w:eastAsia="仿宋_GB2312"/>
          <w:szCs w:val="32"/>
          <w:lang w:eastAsia="zh-CN"/>
        </w:rPr>
        <w:t>》等规则约定为准。</w:t>
      </w:r>
    </w:p>
    <w:p w14:paraId="1F4D487A">
      <w:pPr>
        <w:spacing w:line="560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500000000000000"/>
    <w:charset w:val="86"/>
    <w:family w:val="auto"/>
    <w:pitch w:val="default"/>
    <w:sig w:usb0="A00002BF" w:usb1="5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"/>
    </w:sdtPr>
    <w:sdtEndPr>
      <w:rPr>
        <w:rFonts w:ascii="宋体" w:hAnsi="宋体"/>
        <w:sz w:val="28"/>
        <w:szCs w:val="28"/>
      </w:rPr>
    </w:sdtEndPr>
    <w:sdtContent>
      <w:p w14:paraId="6616CE48">
        <w:pPr>
          <w:pStyle w:val="14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-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1926528031"/>
    </w:sdtPr>
    <w:sdtEndPr>
      <w:rPr>
        <w:rFonts w:ascii="宋体" w:hAnsi="宋体"/>
        <w:sz w:val="28"/>
        <w:szCs w:val="28"/>
      </w:rPr>
    </w:sdtEndPr>
    <w:sdtContent>
      <w:p w14:paraId="4C5E4370">
        <w:pPr>
          <w:pStyle w:val="14"/>
          <w:rPr>
            <w:rFonts w:hint="eastAsia"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-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C4"/>
    <w:rsid w:val="000274F5"/>
    <w:rsid w:val="000727BC"/>
    <w:rsid w:val="000B0397"/>
    <w:rsid w:val="000C0B47"/>
    <w:rsid w:val="000C0CF2"/>
    <w:rsid w:val="000D3ED8"/>
    <w:rsid w:val="000E4DF2"/>
    <w:rsid w:val="00116FA1"/>
    <w:rsid w:val="0018513E"/>
    <w:rsid w:val="00197004"/>
    <w:rsid w:val="001F241C"/>
    <w:rsid w:val="00227673"/>
    <w:rsid w:val="002429E9"/>
    <w:rsid w:val="00250CFB"/>
    <w:rsid w:val="002971C9"/>
    <w:rsid w:val="002F4786"/>
    <w:rsid w:val="00311D4C"/>
    <w:rsid w:val="0036233C"/>
    <w:rsid w:val="003B752D"/>
    <w:rsid w:val="004A680B"/>
    <w:rsid w:val="004B7F49"/>
    <w:rsid w:val="004D452E"/>
    <w:rsid w:val="004F5C1F"/>
    <w:rsid w:val="00501279"/>
    <w:rsid w:val="005D19CD"/>
    <w:rsid w:val="005E674C"/>
    <w:rsid w:val="00635546"/>
    <w:rsid w:val="006821C9"/>
    <w:rsid w:val="006A6292"/>
    <w:rsid w:val="006C142D"/>
    <w:rsid w:val="00702E09"/>
    <w:rsid w:val="007373FB"/>
    <w:rsid w:val="007412DC"/>
    <w:rsid w:val="007432F4"/>
    <w:rsid w:val="007558C9"/>
    <w:rsid w:val="00757E04"/>
    <w:rsid w:val="007D041D"/>
    <w:rsid w:val="00834127"/>
    <w:rsid w:val="00871439"/>
    <w:rsid w:val="00917550"/>
    <w:rsid w:val="00923EAA"/>
    <w:rsid w:val="00944CF6"/>
    <w:rsid w:val="00977B9F"/>
    <w:rsid w:val="00984C1F"/>
    <w:rsid w:val="009A7190"/>
    <w:rsid w:val="009C0E33"/>
    <w:rsid w:val="00A1473C"/>
    <w:rsid w:val="00A36407"/>
    <w:rsid w:val="00A41E5D"/>
    <w:rsid w:val="00A57CA0"/>
    <w:rsid w:val="00A834E3"/>
    <w:rsid w:val="00A83851"/>
    <w:rsid w:val="00AC4C1A"/>
    <w:rsid w:val="00AC50F0"/>
    <w:rsid w:val="00AD06CD"/>
    <w:rsid w:val="00AE786F"/>
    <w:rsid w:val="00B15FD4"/>
    <w:rsid w:val="00B23373"/>
    <w:rsid w:val="00B51E2C"/>
    <w:rsid w:val="00B561C8"/>
    <w:rsid w:val="00B65D3F"/>
    <w:rsid w:val="00BF5B24"/>
    <w:rsid w:val="00C72FEB"/>
    <w:rsid w:val="00CB6809"/>
    <w:rsid w:val="00D16911"/>
    <w:rsid w:val="00D25637"/>
    <w:rsid w:val="00D27AD3"/>
    <w:rsid w:val="00D41085"/>
    <w:rsid w:val="00D50949"/>
    <w:rsid w:val="00D75E83"/>
    <w:rsid w:val="00D81617"/>
    <w:rsid w:val="00DB354D"/>
    <w:rsid w:val="00DF448E"/>
    <w:rsid w:val="00E16BC4"/>
    <w:rsid w:val="00E343B1"/>
    <w:rsid w:val="00E768E5"/>
    <w:rsid w:val="00EC50CD"/>
    <w:rsid w:val="00EE14C3"/>
    <w:rsid w:val="00EF604E"/>
    <w:rsid w:val="00F56331"/>
    <w:rsid w:val="00FF7359"/>
    <w:rsid w:val="37D7A28A"/>
    <w:rsid w:val="68FF49D5"/>
    <w:rsid w:val="6B7AE20B"/>
    <w:rsid w:val="7BFC7CFE"/>
    <w:rsid w:val="7DFFA549"/>
    <w:rsid w:val="7F6F0B52"/>
    <w:rsid w:val="7FF91C4C"/>
    <w:rsid w:val="9FAF974B"/>
    <w:rsid w:val="A3ED6BB6"/>
    <w:rsid w:val="A4FECE71"/>
    <w:rsid w:val="B7EF1A64"/>
    <w:rsid w:val="BF3DC5F2"/>
    <w:rsid w:val="BFDEB9DD"/>
    <w:rsid w:val="D3FF9C50"/>
    <w:rsid w:val="DEFDB98D"/>
    <w:rsid w:val="E7FFAE26"/>
    <w:rsid w:val="F7785F94"/>
    <w:rsid w:val="F7CDDCD1"/>
    <w:rsid w:val="F7FF4127"/>
    <w:rsid w:val="FE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2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7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link w:val="45"/>
    <w:semiHidden/>
    <w:unhideWhenUsed/>
    <w:qFormat/>
    <w:uiPriority w:val="99"/>
    <w:pPr>
      <w:spacing w:after="120"/>
      <w:ind w:left="420" w:leftChars="200"/>
    </w:p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3"/>
    <w:semiHidden/>
    <w:unhideWhenUsed/>
    <w:qFormat/>
    <w:uiPriority w:val="99"/>
    <w:rPr>
      <w:b/>
      <w:bCs/>
    </w:rPr>
  </w:style>
  <w:style w:type="paragraph" w:styleId="19">
    <w:name w:val="Body Text First Indent"/>
    <w:basedOn w:val="12"/>
    <w:link w:val="48"/>
    <w:qFormat/>
    <w:uiPriority w:val="0"/>
    <w:pPr>
      <w:widowControl/>
      <w:spacing w:after="0" w:line="560" w:lineRule="exact"/>
      <w:ind w:firstLine="420" w:firstLineChars="100"/>
    </w:pPr>
    <w:rPr>
      <w:rFonts w:ascii="宋体" w:hAnsi="宋体" w:eastAsia="仿宋"/>
      <w:sz w:val="32"/>
      <w:szCs w:val="24"/>
      <w:lang w:eastAsia="en-US"/>
    </w:rPr>
  </w:style>
  <w:style w:type="paragraph" w:styleId="20">
    <w:name w:val="Body Text First Indent 2"/>
    <w:basedOn w:val="13"/>
    <w:link w:val="46"/>
    <w:qFormat/>
    <w:uiPriority w:val="0"/>
    <w:pPr>
      <w:spacing w:after="0" w:line="560" w:lineRule="exact"/>
      <w:ind w:left="0" w:leftChars="0" w:firstLine="420" w:firstLineChars="200"/>
    </w:pPr>
    <w:rPr>
      <w:rFonts w:ascii="Calibri" w:hAnsi="Calibri"/>
      <w:sz w:val="28"/>
    </w:r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6">
    <w:name w:val="标题 字符"/>
    <w:basedOn w:val="22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8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9">
    <w:name w:val="标题 4 字符"/>
    <w:basedOn w:val="22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30">
    <w:name w:val="标题 5 字符"/>
    <w:basedOn w:val="22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31">
    <w:name w:val="标题 6 字符"/>
    <w:basedOn w:val="22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32">
    <w:name w:val="标题 7 字符"/>
    <w:basedOn w:val="22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2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2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副标题 字符"/>
    <w:basedOn w:val="22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2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22"/>
    <w:qFormat/>
    <w:uiPriority w:val="21"/>
    <w:rPr>
      <w:i/>
      <w:iCs/>
      <w:color w:val="37609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1">
    <w:name w:val="明显引用 字符"/>
    <w:basedOn w:val="22"/>
    <w:link w:val="40"/>
    <w:qFormat/>
    <w:uiPriority w:val="30"/>
    <w:rPr>
      <w:i/>
      <w:iCs/>
      <w:color w:val="376092" w:themeColor="accent1" w:themeShade="BF"/>
    </w:rPr>
  </w:style>
  <w:style w:type="character" w:customStyle="1" w:styleId="42">
    <w:name w:val="明显参考1"/>
    <w:basedOn w:val="22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3">
    <w:name w:val="页眉 字符"/>
    <w:basedOn w:val="22"/>
    <w:link w:val="15"/>
    <w:qFormat/>
    <w:uiPriority w:val="99"/>
    <w:rPr>
      <w:sz w:val="18"/>
      <w:szCs w:val="18"/>
    </w:rPr>
  </w:style>
  <w:style w:type="character" w:customStyle="1" w:styleId="44">
    <w:name w:val="页脚 字符"/>
    <w:basedOn w:val="22"/>
    <w:link w:val="14"/>
    <w:qFormat/>
    <w:uiPriority w:val="99"/>
    <w:rPr>
      <w:sz w:val="18"/>
      <w:szCs w:val="18"/>
    </w:rPr>
  </w:style>
  <w:style w:type="character" w:customStyle="1" w:styleId="45">
    <w:name w:val="正文文本缩进 字符"/>
    <w:basedOn w:val="22"/>
    <w:link w:val="13"/>
    <w:semiHidden/>
    <w:qFormat/>
    <w:uiPriority w:val="99"/>
    <w:rPr>
      <w:rFonts w:ascii="Times New Roman" w:hAnsi="Times New Roman" w:eastAsia="宋体" w:cs="Times New Roman"/>
      <w:sz w:val="21"/>
      <w:szCs w:val="20"/>
    </w:rPr>
  </w:style>
  <w:style w:type="character" w:customStyle="1" w:styleId="46">
    <w:name w:val="正文文本首行缩进 2 字符"/>
    <w:basedOn w:val="45"/>
    <w:link w:val="20"/>
    <w:qFormat/>
    <w:uiPriority w:val="0"/>
    <w:rPr>
      <w:rFonts w:ascii="Calibri" w:hAnsi="Calibri" w:eastAsia="宋体" w:cs="Times New Roman"/>
      <w:sz w:val="28"/>
      <w:szCs w:val="20"/>
    </w:rPr>
  </w:style>
  <w:style w:type="character" w:customStyle="1" w:styleId="47">
    <w:name w:val="正文文本 字符"/>
    <w:basedOn w:val="22"/>
    <w:link w:val="12"/>
    <w:semiHidden/>
    <w:qFormat/>
    <w:uiPriority w:val="99"/>
    <w:rPr>
      <w:rFonts w:ascii="Times New Roman" w:hAnsi="Times New Roman" w:eastAsia="宋体" w:cs="Times New Roman"/>
      <w:sz w:val="21"/>
      <w:szCs w:val="20"/>
    </w:rPr>
  </w:style>
  <w:style w:type="character" w:customStyle="1" w:styleId="48">
    <w:name w:val="正文文本首行缩进 字符"/>
    <w:basedOn w:val="47"/>
    <w:link w:val="19"/>
    <w:qFormat/>
    <w:uiPriority w:val="0"/>
    <w:rPr>
      <w:rFonts w:ascii="宋体" w:hAnsi="宋体" w:eastAsia="仿宋" w:cs="Times New Roman"/>
      <w:sz w:val="32"/>
      <w:szCs w:val="24"/>
      <w:lang w:eastAsia="en-US"/>
    </w:rPr>
  </w:style>
  <w:style w:type="character" w:customStyle="1" w:styleId="49">
    <w:name w:val="样式3"/>
    <w:basedOn w:val="22"/>
    <w:qFormat/>
    <w:uiPriority w:val="1"/>
    <w:rPr>
      <w:rFonts w:eastAsia="宋体"/>
      <w:b/>
      <w:color w:val="FF0000"/>
      <w:sz w:val="21"/>
    </w:rPr>
  </w:style>
  <w:style w:type="character" w:customStyle="1" w:styleId="50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2">
    <w:name w:val="批注文字 字符"/>
    <w:basedOn w:val="22"/>
    <w:link w:val="11"/>
    <w:semiHidden/>
    <w:qFormat/>
    <w:uiPriority w:val="99"/>
    <w:rPr>
      <w:rFonts w:ascii="Times New Roman" w:hAnsi="Times New Roman" w:eastAsia="宋体" w:cs="Times New Roman"/>
      <w:sz w:val="21"/>
      <w:szCs w:val="20"/>
    </w:rPr>
  </w:style>
  <w:style w:type="character" w:customStyle="1" w:styleId="53">
    <w:name w:val="批注主题 字符"/>
    <w:basedOn w:val="52"/>
    <w:link w:val="18"/>
    <w:semiHidden/>
    <w:qFormat/>
    <w:uiPriority w:val="99"/>
    <w:rPr>
      <w:rFonts w:ascii="Times New Roman" w:hAnsi="Times New Roman" w:eastAsia="宋体" w:cs="Times New Roman"/>
      <w:b/>
      <w:bCs/>
      <w:sz w:val="21"/>
      <w:szCs w:val="20"/>
    </w:rPr>
  </w:style>
  <w:style w:type="paragraph" w:customStyle="1" w:styleId="54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948</Words>
  <Characters>983</Characters>
  <Lines>7</Lines>
  <Paragraphs>1</Paragraphs>
  <TotalTime>9</TotalTime>
  <ScaleCrop>false</ScaleCrop>
  <LinksUpToDate>false</LinksUpToDate>
  <CharactersWithSpaces>983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2025-12-12T09:23:00Z</dcterms:created>
  <dc:creator>sse</dc:creator>
  <cp:lastModifiedBy>whxu</cp:lastModifiedBy>
  <dcterms:modified xsi:type="dcterms:W3CDTF">2025-12-31T14:54:23Z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D497876F0A141CA28B613969C9303A64_42</vt:lpwstr>
  </property>
</Properties>
</file>