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24B6E">
      <w:pPr>
        <w:spacing w:line="560" w:lineRule="exact"/>
        <w:rPr>
          <w:rFonts w:eastAsia="黑体"/>
          <w:sz w:val="32"/>
          <w:szCs w:val="32"/>
        </w:rPr>
      </w:pPr>
      <w:bookmarkStart w:id="2" w:name="_GoBack"/>
      <w:bookmarkEnd w:id="2"/>
    </w:p>
    <w:p w14:paraId="5A448CDB">
      <w:pPr>
        <w:spacing w:line="560" w:lineRule="exact"/>
        <w:jc w:val="center"/>
        <w:rPr>
          <w:rFonts w:eastAsia="方正大标宋简体"/>
          <w:sz w:val="44"/>
          <w:szCs w:val="44"/>
        </w:rPr>
      </w:pPr>
      <w:r>
        <w:rPr>
          <w:rFonts w:eastAsia="方正大标宋简体"/>
          <w:sz w:val="44"/>
          <w:szCs w:val="44"/>
        </w:rPr>
        <w:t>《</w:t>
      </w:r>
      <w:r>
        <w:rPr>
          <w:rFonts w:hint="eastAsia" w:eastAsia="方正大标宋简体"/>
          <w:sz w:val="44"/>
          <w:szCs w:val="44"/>
        </w:rPr>
        <w:t>上海证券交易所公开募集不动产投资信托基金（REITs）规则适用指引第1号——审核关注事项（试行）</w:t>
      </w:r>
      <w:r>
        <w:rPr>
          <w:rFonts w:eastAsia="方正大标宋简体"/>
          <w:sz w:val="44"/>
          <w:szCs w:val="44"/>
        </w:rPr>
        <w:t>》修订说明</w:t>
      </w:r>
    </w:p>
    <w:p w14:paraId="12DC9BDB">
      <w:pPr>
        <w:snapToGrid w:val="0"/>
        <w:spacing w:line="560" w:lineRule="exact"/>
        <w:ind w:firstLine="640"/>
        <w:contextualSpacing/>
        <w:rPr>
          <w:rFonts w:eastAsia="仿宋_GB2312"/>
          <w:sz w:val="32"/>
          <w:szCs w:val="32"/>
        </w:rPr>
      </w:pPr>
    </w:p>
    <w:p w14:paraId="3453E26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为贯彻落实</w:t>
      </w:r>
      <w:r>
        <w:rPr>
          <w:rFonts w:hint="eastAsia" w:eastAsia="仿宋_GB2312"/>
          <w:sz w:val="32"/>
          <w:szCs w:val="32"/>
        </w:rPr>
        <w:t>《</w:t>
      </w:r>
      <w:bookmarkStart w:id="0" w:name="OLE_LINK6"/>
      <w:r>
        <w:rPr>
          <w:rFonts w:hint="eastAsia" w:eastAsia="仿宋_GB2312"/>
          <w:sz w:val="32"/>
          <w:szCs w:val="32"/>
        </w:rPr>
        <w:t>国务院关于加强监管防范风险推动资本市场高质量发展的若干意见</w:t>
      </w:r>
      <w:bookmarkEnd w:id="0"/>
      <w:r>
        <w:rPr>
          <w:rFonts w:hint="eastAsia" w:eastAsia="仿宋_GB2312"/>
          <w:sz w:val="32"/>
          <w:szCs w:val="32"/>
        </w:rPr>
        <w:t>》（国发〔2024〕10号）部署和</w:t>
      </w:r>
      <w:r>
        <w:rPr>
          <w:rFonts w:hint="eastAsia" w:ascii="仿宋_GB2312" w:eastAsia="仿宋_GB2312"/>
          <w:sz w:val="32"/>
          <w:szCs w:val="32"/>
        </w:rPr>
        <w:t>《中国证监会关于推出商业不动产投资信托基金试点的公告》（以下简称《公告》）的工作要求，进一步规范不动产投资信托基金（</w:t>
      </w:r>
      <w:r>
        <w:rPr>
          <w:rFonts w:eastAsia="仿宋_GB2312"/>
          <w:sz w:val="32"/>
          <w:szCs w:val="32"/>
        </w:rPr>
        <w:t>REITs</w:t>
      </w:r>
      <w:r>
        <w:rPr>
          <w:rFonts w:hint="eastAsia" w:ascii="仿宋_GB2312" w:eastAsia="仿宋_GB2312"/>
          <w:sz w:val="32"/>
          <w:szCs w:val="32"/>
        </w:rPr>
        <w:t>）信息披露和核查要求，本所</w:t>
      </w:r>
      <w:r>
        <w:rPr>
          <w:rFonts w:hint="eastAsia" w:eastAsia="仿宋_GB2312"/>
          <w:sz w:val="32"/>
          <w:szCs w:val="32"/>
        </w:rPr>
        <w:t>在中国证监会的统筹部署下，</w:t>
      </w:r>
      <w:r>
        <w:rPr>
          <w:rFonts w:hint="eastAsia" w:ascii="仿宋_GB2312" w:eastAsia="仿宋_GB2312"/>
          <w:sz w:val="32"/>
          <w:szCs w:val="32"/>
        </w:rPr>
        <w:t>对《上海证券交易所公开募集基础设施证券投资基金（</w:t>
      </w:r>
      <w:r>
        <w:rPr>
          <w:rFonts w:hint="eastAsia" w:eastAsia="仿宋_GB2312"/>
          <w:sz w:val="32"/>
          <w:szCs w:val="32"/>
        </w:rPr>
        <w:t>REITs</w:t>
      </w:r>
      <w:r>
        <w:rPr>
          <w:rFonts w:hint="eastAsia" w:ascii="仿宋_GB2312" w:eastAsia="仿宋_GB2312"/>
          <w:sz w:val="32"/>
          <w:szCs w:val="32"/>
        </w:rPr>
        <w:t>）规则适用指引第</w:t>
      </w:r>
      <w:r>
        <w:rPr>
          <w:rFonts w:hint="eastAsia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——</w:t>
      </w:r>
      <w:r>
        <w:rPr>
          <w:rFonts w:hint="eastAsia" w:ascii="仿宋_GB2312" w:eastAsia="仿宋_GB2312"/>
          <w:sz w:val="32"/>
          <w:szCs w:val="32"/>
        </w:rPr>
        <w:t>审核关注事项（试行）（</w:t>
      </w:r>
      <w:r>
        <w:rPr>
          <w:rFonts w:hint="eastAsia" w:eastAsia="仿宋_GB2312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</w:rPr>
        <w:t>年修订）》（以下简称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《审核关注事项指引》</w:t>
      </w:r>
      <w:r>
        <w:rPr>
          <w:rFonts w:hint="eastAsia" w:ascii="仿宋_GB2312" w:eastAsia="仿宋_GB2312"/>
          <w:sz w:val="32"/>
          <w:szCs w:val="32"/>
        </w:rPr>
        <w:t>）进行了修订，现将相关情况说明如下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1122161D">
      <w:pPr>
        <w:spacing w:line="560" w:lineRule="exact"/>
        <w:ind w:firstLine="640"/>
        <w:outlineLvl w:val="0"/>
        <w:rPr>
          <w:rFonts w:hint="eastAsia" w:asciiTheme="majorEastAsia" w:hAnsiTheme="majorEastAsia" w:eastAsia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Cs/>
          <w:sz w:val="32"/>
          <w:szCs w:val="32"/>
        </w:rPr>
        <w:t>一、修订背景</w:t>
      </w:r>
    </w:p>
    <w:p w14:paraId="63B717F2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2025年12月31日，</w:t>
      </w:r>
      <w:r>
        <w:rPr>
          <w:rFonts w:eastAsia="仿宋_GB2312"/>
          <w:sz w:val="32"/>
          <w:szCs w:val="32"/>
        </w:rPr>
        <w:t>中国证监会</w:t>
      </w:r>
      <w:r>
        <w:rPr>
          <w:rFonts w:hint="eastAsia" w:eastAsia="仿宋_GB2312"/>
          <w:sz w:val="32"/>
          <w:szCs w:val="32"/>
        </w:rPr>
        <w:t>发布</w:t>
      </w:r>
      <w:r>
        <w:rPr>
          <w:rFonts w:eastAsia="仿宋_GB2312"/>
          <w:sz w:val="32"/>
          <w:szCs w:val="32"/>
        </w:rPr>
        <w:t>《公告》，明确</w:t>
      </w:r>
      <w:r>
        <w:rPr>
          <w:rFonts w:hint="eastAsia" w:eastAsia="仿宋_GB2312"/>
          <w:sz w:val="32"/>
          <w:szCs w:val="32"/>
        </w:rPr>
        <w:t>了</w:t>
      </w:r>
      <w:r>
        <w:rPr>
          <w:rFonts w:eastAsia="仿宋_GB2312"/>
          <w:sz w:val="32"/>
          <w:szCs w:val="32"/>
        </w:rPr>
        <w:t>商业不动产投资信托基金（以下简称商业不动产REITs）</w:t>
      </w:r>
      <w:r>
        <w:rPr>
          <w:rFonts w:hint="eastAsia" w:eastAsia="仿宋_GB2312"/>
          <w:sz w:val="32"/>
          <w:szCs w:val="32"/>
        </w:rPr>
        <w:t>产品定义，提出了基金注册及运营管理、发挥基金管理人和专业机构作用、强化监管责任等方面要求，商业不动产REITs其他有关事宜，参照《公开募集基础设施证券投资基金指引（试行）》有关规定执行</w:t>
      </w:r>
      <w:r>
        <w:rPr>
          <w:rFonts w:eastAsia="仿宋_GB2312"/>
          <w:sz w:val="32"/>
          <w:szCs w:val="32"/>
        </w:rPr>
        <w:t>。</w:t>
      </w:r>
    </w:p>
    <w:p w14:paraId="021E8EB6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本所结合前期审核实践经验和市场实际情况，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《审核关注事项指引》</w:t>
      </w:r>
      <w:r>
        <w:rPr>
          <w:rFonts w:hint="eastAsia" w:ascii="仿宋_GB2312" w:eastAsia="仿宋_GB2312"/>
          <w:sz w:val="32"/>
          <w:szCs w:val="32"/>
        </w:rPr>
        <w:t>进行了修订，</w:t>
      </w:r>
      <w:r>
        <w:rPr>
          <w:rFonts w:hint="eastAsia" w:eastAsia="仿宋_GB2312"/>
          <w:bCs/>
          <w:sz w:val="32"/>
          <w:szCs w:val="32"/>
        </w:rPr>
        <w:t>总体上延续了原来规则框架，</w:t>
      </w:r>
      <w:r>
        <w:rPr>
          <w:rFonts w:hint="eastAsia" w:ascii="仿宋_GB2312" w:eastAsia="仿宋_GB2312"/>
          <w:sz w:val="32"/>
          <w:szCs w:val="32"/>
        </w:rPr>
        <w:t>对合规性、回收资金用途、收益率等规定作了优化调整，同时</w:t>
      </w:r>
      <w:r>
        <w:rPr>
          <w:rFonts w:hint="eastAsia" w:eastAsia="仿宋_GB2312"/>
          <w:bCs/>
          <w:sz w:val="32"/>
          <w:szCs w:val="32"/>
        </w:rPr>
        <w:t>针对商业不动产的特点，</w:t>
      </w:r>
      <w:r>
        <w:rPr>
          <w:rFonts w:hint="eastAsia" w:ascii="仿宋_GB2312" w:eastAsia="仿宋_GB2312"/>
          <w:sz w:val="32"/>
          <w:szCs w:val="32"/>
        </w:rPr>
        <w:t>增设了差异化要求</w:t>
      </w:r>
      <w:r>
        <w:rPr>
          <w:rFonts w:hint="eastAsia" w:eastAsia="仿宋_GB2312"/>
          <w:bCs/>
          <w:sz w:val="32"/>
          <w:szCs w:val="32"/>
        </w:rPr>
        <w:t>，进一步增强规则对各类不动产的适用性，提升审核质效，规范信息披露与中介机构核查行为。</w:t>
      </w:r>
    </w:p>
    <w:p w14:paraId="69558FE4">
      <w:pPr>
        <w:spacing w:line="560" w:lineRule="exact"/>
        <w:ind w:firstLine="640"/>
        <w:rPr>
          <w:rFonts w:hint="eastAsia" w:asciiTheme="majorEastAsia" w:hAnsiTheme="majorEastAsia" w:eastAsia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Cs/>
          <w:sz w:val="32"/>
          <w:szCs w:val="32"/>
        </w:rPr>
        <w:t>二、主要修订内容</w:t>
      </w:r>
    </w:p>
    <w:p w14:paraId="127E0B61">
      <w:pPr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本次修订主要包括以下几方面内容：</w:t>
      </w:r>
    </w:p>
    <w:p w14:paraId="088741C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一是扩充业务指引适用范围。将商业不动产纳入适用范围，并对</w:t>
      </w:r>
      <w:r>
        <w:rPr>
          <w:rFonts w:hint="eastAsia" w:ascii="仿宋_GB2312" w:hAnsi="仿宋" w:eastAsia="仿宋_GB2312"/>
          <w:sz w:val="32"/>
          <w:szCs w:val="32"/>
        </w:rPr>
        <w:t>相关表述进行了适应性修改</w:t>
      </w:r>
      <w:r>
        <w:rPr>
          <w:rFonts w:hint="eastAsia" w:ascii="仿宋_GB2312" w:eastAsia="仿宋_GB2312"/>
          <w:sz w:val="32"/>
          <w:szCs w:val="32"/>
        </w:rPr>
        <w:t>。</w:t>
      </w:r>
      <w:bookmarkStart w:id="1" w:name="_Hlk216097146"/>
      <w:r>
        <w:rPr>
          <w:rFonts w:hint="eastAsia" w:ascii="仿宋_GB2312" w:eastAsia="仿宋_GB2312"/>
          <w:sz w:val="32"/>
          <w:szCs w:val="32"/>
        </w:rPr>
        <w:t>明确要求管理人根据不动产项目的具体情况，界定业态或行业，按照指引及相应附件规定进行核查及信息披露。</w:t>
      </w:r>
    </w:p>
    <w:bookmarkEnd w:id="1"/>
    <w:p w14:paraId="47F382AD">
      <w:pPr>
        <w:pStyle w:val="17"/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二是新增商业不动</w:t>
      </w:r>
      <w:r>
        <w:rPr>
          <w:rFonts w:hint="eastAsia" w:eastAsia="仿宋_GB2312"/>
          <w:sz w:val="32"/>
          <w:szCs w:val="32"/>
        </w:rPr>
        <w:t>产</w:t>
      </w:r>
      <w:r>
        <w:rPr>
          <w:rFonts w:eastAsia="仿宋_GB2312"/>
          <w:sz w:val="32"/>
          <w:szCs w:val="32"/>
        </w:rPr>
        <w:t>REIT</w:t>
      </w:r>
      <w:r>
        <w:rPr>
          <w:rFonts w:hint="eastAsia" w:eastAsia="仿宋_GB2312"/>
          <w:sz w:val="32"/>
          <w:szCs w:val="32"/>
        </w:rPr>
        <w:t>分则。明确了商业不动产</w:t>
      </w:r>
      <w:r>
        <w:rPr>
          <w:rFonts w:eastAsia="仿宋_GB2312"/>
          <w:sz w:val="32"/>
          <w:szCs w:val="32"/>
        </w:rPr>
        <w:t>REITs</w:t>
      </w:r>
      <w:r>
        <w:rPr>
          <w:rFonts w:hint="eastAsia" w:eastAsia="仿宋_GB2312"/>
          <w:sz w:val="32"/>
          <w:szCs w:val="32"/>
        </w:rPr>
        <w:t>经营与财务情况</w:t>
      </w:r>
      <w:r>
        <w:rPr>
          <w:rFonts w:hint="eastAsia" w:ascii="仿宋_GB2312" w:eastAsia="仿宋_GB2312"/>
          <w:sz w:val="32"/>
          <w:szCs w:val="32"/>
        </w:rPr>
        <w:t>、资产评估、运营管理安排等方面差异化的核查和信息披露要求。针对</w:t>
      </w:r>
      <w:r>
        <w:rPr>
          <w:rFonts w:hint="eastAsia" w:ascii="仿宋_GB2312" w:eastAsia="仿宋_GB2312"/>
          <w:bCs/>
          <w:sz w:val="32"/>
          <w:szCs w:val="32"/>
        </w:rPr>
        <w:t>涉及多业态融合的资产，要求中介机构结合不同业态特点，说明估值参数取值的合理性等，</w:t>
      </w:r>
      <w:r>
        <w:rPr>
          <w:rFonts w:hint="eastAsia" w:ascii="仿宋_GB2312" w:eastAsia="仿宋_GB2312"/>
          <w:sz w:val="32"/>
          <w:szCs w:val="32"/>
        </w:rPr>
        <w:t>准确地反映其内在价值与风险特征。</w:t>
      </w:r>
    </w:p>
    <w:p w14:paraId="7E72BE98">
      <w:pPr>
        <w:pStyle w:val="17"/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三是优化准入和披露要求。</w:t>
      </w:r>
      <w:r>
        <w:rPr>
          <w:rFonts w:hint="eastAsia" w:ascii="仿宋_GB2312" w:eastAsia="仿宋_GB2312"/>
          <w:bCs/>
          <w:sz w:val="32"/>
          <w:szCs w:val="32"/>
        </w:rPr>
        <w:t>合规性方面，</w:t>
      </w:r>
      <w:r>
        <w:rPr>
          <w:rFonts w:hint="eastAsia" w:ascii="仿宋_GB2312" w:eastAsia="仿宋_GB2312"/>
          <w:sz w:val="32"/>
          <w:szCs w:val="32"/>
        </w:rPr>
        <w:t>聚焦重大性、关键性，要求符合国家战略、发展规划、产业政策，权属清晰、范围明确，关键合规手续齐备。回收资金用途方面，明确回收资金可以用于与主营业务相关的存量资产收购、新增投资，以及偿还债务、补充流动资金等</w:t>
      </w:r>
      <w:r>
        <w:rPr>
          <w:rFonts w:hint="eastAsia" w:ascii="仿宋_GB2312" w:eastAsia="仿宋_GB2312"/>
          <w:bCs/>
          <w:sz w:val="32"/>
          <w:szCs w:val="32"/>
        </w:rPr>
        <w:t>，不得用于购置商品住宅用地。</w:t>
      </w:r>
      <w:r>
        <w:rPr>
          <w:rFonts w:hint="eastAsia" w:ascii="仿宋_GB2312" w:eastAsia="仿宋_GB2312"/>
          <w:sz w:val="32"/>
          <w:szCs w:val="32"/>
        </w:rPr>
        <w:t>收益率方面，</w:t>
      </w:r>
      <w:r>
        <w:rPr>
          <w:rFonts w:hint="eastAsia" w:ascii="仿宋_GB2312" w:eastAsia="仿宋_GB2312"/>
          <w:bCs/>
          <w:sz w:val="32"/>
          <w:szCs w:val="32"/>
        </w:rPr>
        <w:t>未来</w:t>
      </w:r>
      <w:r>
        <w:rPr>
          <w:rFonts w:eastAsia="仿宋_GB2312"/>
          <w:bCs/>
          <w:sz w:val="32"/>
          <w:szCs w:val="32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年每年净现金流分派率以</w:t>
      </w:r>
      <w:r>
        <w:rPr>
          <w:rFonts w:eastAsia="仿宋_GB2312"/>
          <w:bCs/>
          <w:sz w:val="32"/>
          <w:szCs w:val="32"/>
        </w:rPr>
        <w:t>10</w:t>
      </w:r>
      <w:r>
        <w:rPr>
          <w:rFonts w:hint="eastAsia" w:ascii="仿宋_GB2312" w:eastAsia="仿宋_GB2312"/>
          <w:bCs/>
          <w:sz w:val="32"/>
          <w:szCs w:val="32"/>
        </w:rPr>
        <w:t>年期国债收益率为锚定基准，区分租赁型和收费型项目设定不同要求</w:t>
      </w:r>
      <w:r>
        <w:rPr>
          <w:rFonts w:hint="eastAsia" w:ascii="仿宋_GB2312" w:eastAsia="仿宋_GB2312"/>
          <w:sz w:val="32"/>
          <w:szCs w:val="32"/>
        </w:rPr>
        <w:t>。信息披露方面，强化对整租安排、重要现金流提供方、运营管理机构运营能力等方面的穿透披露和风险揭示要求。结合市场发展实际，对基金经理兼任要求予以相应调整，并将部分原有条款进行整合或删除，提升规则体系的协调性与可操作性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Liberation Sans">
    <w:altName w:val="阿里巴巴普惠体 R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11D01">
    <w:pPr>
      <w:pStyle w:val="5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46E6E">
    <w:pPr>
      <w:pStyle w:val="5"/>
    </w:pPr>
    <w:r>
      <w:rPr>
        <w:rFonts w:ascii="仿宋_GB2312" w:hAnsi="仿宋_GB2312" w:eastAsia="仿宋_GB2312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4</w:t>
    </w:r>
    <w:r>
      <w:rPr>
        <w:sz w:val="28"/>
      </w:rPr>
      <w:fldChar w:fldCharType="end"/>
    </w:r>
    <w:r>
      <w:rPr>
        <w:rFonts w:ascii="仿宋_GB2312" w:hAnsi="仿宋_GB2312" w:eastAsia="仿宋_GB2312"/>
        <w:bCs/>
        <w:sz w:val="28"/>
      </w:rPr>
      <w:t>－</w:t>
    </w: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31445"/>
              <wp:effectExtent l="0" t="0" r="0" b="0"/>
              <wp:wrapSquare wrapText="bothSides"/>
              <wp:docPr id="1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17BC124">
                          <w:pPr>
                            <w:pStyle w:val="5"/>
                            <w:rPr>
                              <w:rStyle w:val="1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ame2" o:spid="_x0000_s1026" o:spt="202" type="#_x0000_t202" style="position:absolute;left:0pt;margin-top:0.05pt;height:10.35pt;width:1.15pt;mso-position-horizontal:center;mso-position-horizontal-relative:margin;mso-wrap-distance-bottom:0pt;mso-wrap-distance-left:0pt;mso-wrap-distance-right:0pt;mso-wrap-distance-top:0pt;z-index:251659264;mso-width-relative:page;mso-height-relative:page;" fillcolor="#FFFFFF" filled="t" stroked="f" coordsize="21600,21600" o:allowincell="f" o:gfxdata="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iZkn+0QAAAAIBAAAPAAAAAAAAAAEAIAAAACIAAABkcnMvZG93bnJldi54&#10;bWxQSwECFAAUAAAACACHTuJArX6aRsgBAACyAwAADgAAAAAAAAABACAAAAAgAQAAZHJzL2Uyb0Rv&#10;Yy54bWxQSwUGAAAAAAYABgBZAQAAWgUA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 w14:paraId="717BC124">
                    <w:pPr>
                      <w:pStyle w:val="5"/>
                      <w:rPr>
                        <w:rStyle w:val="1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hyphenationZone w:val="0"/>
  <w:evenAndOddHeaders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1E"/>
    <w:rsid w:val="0001205A"/>
    <w:rsid w:val="00043CA1"/>
    <w:rsid w:val="00080005"/>
    <w:rsid w:val="00080B17"/>
    <w:rsid w:val="000A4B24"/>
    <w:rsid w:val="000D730C"/>
    <w:rsid w:val="00113753"/>
    <w:rsid w:val="00124444"/>
    <w:rsid w:val="0014238D"/>
    <w:rsid w:val="00170EEF"/>
    <w:rsid w:val="001738CE"/>
    <w:rsid w:val="00181E6D"/>
    <w:rsid w:val="00194539"/>
    <w:rsid w:val="001A2B58"/>
    <w:rsid w:val="001D5D08"/>
    <w:rsid w:val="001E3DD5"/>
    <w:rsid w:val="001F09D1"/>
    <w:rsid w:val="00211B4D"/>
    <w:rsid w:val="00214D7E"/>
    <w:rsid w:val="00235989"/>
    <w:rsid w:val="0025517F"/>
    <w:rsid w:val="00277574"/>
    <w:rsid w:val="002971C9"/>
    <w:rsid w:val="002C4260"/>
    <w:rsid w:val="002F1717"/>
    <w:rsid w:val="002F75B0"/>
    <w:rsid w:val="00351B4D"/>
    <w:rsid w:val="003742E9"/>
    <w:rsid w:val="00374973"/>
    <w:rsid w:val="00422557"/>
    <w:rsid w:val="0046258D"/>
    <w:rsid w:val="00477062"/>
    <w:rsid w:val="00486B30"/>
    <w:rsid w:val="004A1F44"/>
    <w:rsid w:val="004D711E"/>
    <w:rsid w:val="004F6A58"/>
    <w:rsid w:val="00543FC6"/>
    <w:rsid w:val="0056587D"/>
    <w:rsid w:val="0056732F"/>
    <w:rsid w:val="005C4B7B"/>
    <w:rsid w:val="005F2BB9"/>
    <w:rsid w:val="006A6292"/>
    <w:rsid w:val="006D5877"/>
    <w:rsid w:val="007063D7"/>
    <w:rsid w:val="00737880"/>
    <w:rsid w:val="007558C9"/>
    <w:rsid w:val="007625BA"/>
    <w:rsid w:val="007A0D69"/>
    <w:rsid w:val="007B0867"/>
    <w:rsid w:val="007D1830"/>
    <w:rsid w:val="00817F21"/>
    <w:rsid w:val="008367D8"/>
    <w:rsid w:val="00852C00"/>
    <w:rsid w:val="0087037B"/>
    <w:rsid w:val="008771F2"/>
    <w:rsid w:val="008F35C2"/>
    <w:rsid w:val="00901E17"/>
    <w:rsid w:val="00911CA0"/>
    <w:rsid w:val="009277CB"/>
    <w:rsid w:val="009B453A"/>
    <w:rsid w:val="009D43D6"/>
    <w:rsid w:val="00A355B7"/>
    <w:rsid w:val="00AD125D"/>
    <w:rsid w:val="00B25A1B"/>
    <w:rsid w:val="00B614FF"/>
    <w:rsid w:val="00BB316E"/>
    <w:rsid w:val="00C07BE1"/>
    <w:rsid w:val="00C3709C"/>
    <w:rsid w:val="00CB46FE"/>
    <w:rsid w:val="00CC0188"/>
    <w:rsid w:val="00CD237B"/>
    <w:rsid w:val="00CD27E2"/>
    <w:rsid w:val="00CF7518"/>
    <w:rsid w:val="00D33C33"/>
    <w:rsid w:val="00D47A56"/>
    <w:rsid w:val="00DA0842"/>
    <w:rsid w:val="00E1459B"/>
    <w:rsid w:val="00E4771E"/>
    <w:rsid w:val="00E50FD2"/>
    <w:rsid w:val="00EF604E"/>
    <w:rsid w:val="00F82105"/>
    <w:rsid w:val="00FA526E"/>
    <w:rsid w:val="00FE3E1E"/>
    <w:rsid w:val="00FE6C7A"/>
    <w:rsid w:val="0AD9962E"/>
    <w:rsid w:val="0B980BE5"/>
    <w:rsid w:val="0E016238"/>
    <w:rsid w:val="13FFCA45"/>
    <w:rsid w:val="2CFF1709"/>
    <w:rsid w:val="2D3376D9"/>
    <w:rsid w:val="345D045F"/>
    <w:rsid w:val="36FF999D"/>
    <w:rsid w:val="376FDEF3"/>
    <w:rsid w:val="37D90C39"/>
    <w:rsid w:val="39FD8639"/>
    <w:rsid w:val="3D7FB4E5"/>
    <w:rsid w:val="3FAE449C"/>
    <w:rsid w:val="3FFF1580"/>
    <w:rsid w:val="55F6293A"/>
    <w:rsid w:val="5DF3271C"/>
    <w:rsid w:val="5E9F6EEB"/>
    <w:rsid w:val="5FBF413C"/>
    <w:rsid w:val="65AF28DD"/>
    <w:rsid w:val="69EDE573"/>
    <w:rsid w:val="6CD5EFF0"/>
    <w:rsid w:val="6DF72C71"/>
    <w:rsid w:val="6EA445F4"/>
    <w:rsid w:val="6FDFDD17"/>
    <w:rsid w:val="6FF6858C"/>
    <w:rsid w:val="6FFD4FAF"/>
    <w:rsid w:val="73DFB679"/>
    <w:rsid w:val="7476273E"/>
    <w:rsid w:val="775B814E"/>
    <w:rsid w:val="77EFF55A"/>
    <w:rsid w:val="797F481E"/>
    <w:rsid w:val="79FFB0A2"/>
    <w:rsid w:val="7AFF0CFE"/>
    <w:rsid w:val="7B7CF7B2"/>
    <w:rsid w:val="7BA7082C"/>
    <w:rsid w:val="7BD293BB"/>
    <w:rsid w:val="7DAF2B91"/>
    <w:rsid w:val="7FDF3BCD"/>
    <w:rsid w:val="7FDF9A66"/>
    <w:rsid w:val="7FEBB754"/>
    <w:rsid w:val="7FEF2CA9"/>
    <w:rsid w:val="9FFC83CF"/>
    <w:rsid w:val="AF7FA824"/>
    <w:rsid w:val="AFFF23A5"/>
    <w:rsid w:val="B57B2890"/>
    <w:rsid w:val="B7FF6A9F"/>
    <w:rsid w:val="BA7D2AAE"/>
    <w:rsid w:val="BD8887B2"/>
    <w:rsid w:val="BDFC615B"/>
    <w:rsid w:val="BEBF3C9D"/>
    <w:rsid w:val="BEDF29E8"/>
    <w:rsid w:val="BEFB5F96"/>
    <w:rsid w:val="BEFDFA38"/>
    <w:rsid w:val="BFF634CD"/>
    <w:rsid w:val="BFFD7325"/>
    <w:rsid w:val="BFFEC864"/>
    <w:rsid w:val="BFFFB947"/>
    <w:rsid w:val="BFFFE535"/>
    <w:rsid w:val="CFF9E307"/>
    <w:rsid w:val="D7BBA718"/>
    <w:rsid w:val="DBBF2A7E"/>
    <w:rsid w:val="DFD8F69D"/>
    <w:rsid w:val="DFFE169A"/>
    <w:rsid w:val="E7FAA18B"/>
    <w:rsid w:val="E9BBC0C7"/>
    <w:rsid w:val="ECF330AF"/>
    <w:rsid w:val="ECF6D4BB"/>
    <w:rsid w:val="EF69F7AF"/>
    <w:rsid w:val="EF96BF21"/>
    <w:rsid w:val="F2EBBB22"/>
    <w:rsid w:val="F5BFF03B"/>
    <w:rsid w:val="F5CB6AE6"/>
    <w:rsid w:val="F7AB52F7"/>
    <w:rsid w:val="F7FF23D3"/>
    <w:rsid w:val="FCF6E85D"/>
    <w:rsid w:val="FD77A3C2"/>
    <w:rsid w:val="FE99DE39"/>
    <w:rsid w:val="FEBB602F"/>
    <w:rsid w:val="FEFBA0A9"/>
    <w:rsid w:val="FF3B2B65"/>
    <w:rsid w:val="FF53EC4D"/>
    <w:rsid w:val="FF77038E"/>
    <w:rsid w:val="FFB6B7DA"/>
    <w:rsid w:val="FFBB764F"/>
    <w:rsid w:val="FFBF231F"/>
    <w:rsid w:val="FFDFBF2B"/>
    <w:rsid w:val="FFF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华文宋体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3">
    <w:name w:val="annotation text"/>
    <w:basedOn w:val="1"/>
    <w:link w:val="16"/>
    <w:unhideWhenUsed/>
    <w:qFormat/>
    <w:uiPriority w:val="99"/>
    <w:pPr>
      <w:suppressAutoHyphens w:val="0"/>
      <w:jc w:val="left"/>
    </w:pPr>
    <w:rPr>
      <w:szCs w:val="24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"/>
    <w:basedOn w:val="4"/>
    <w:qFormat/>
    <w:uiPriority w:val="0"/>
    <w:rPr>
      <w:rFonts w:cs="Arial Unicode MS"/>
    </w:rPr>
  </w:style>
  <w:style w:type="character" w:styleId="10">
    <w:name w:val="page number"/>
    <w:qFormat/>
    <w:uiPriority w:val="0"/>
  </w:style>
  <w:style w:type="paragraph" w:customStyle="1" w:styleId="11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customStyle="1" w:styleId="12">
    <w:name w:val="Index"/>
    <w:basedOn w:val="1"/>
    <w:qFormat/>
    <w:uiPriority w:val="0"/>
    <w:pPr>
      <w:suppressLineNumbers/>
    </w:pPr>
    <w:rPr>
      <w:rFonts w:cs="Arial Unicode MS"/>
    </w:rPr>
  </w:style>
  <w:style w:type="paragraph" w:customStyle="1" w:styleId="13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4">
    <w:name w:val="Frame Contents"/>
    <w:basedOn w:val="1"/>
    <w:qFormat/>
    <w:uiPriority w:val="0"/>
  </w:style>
  <w:style w:type="character" w:customStyle="1" w:styleId="15">
    <w:name w:val="批注文字 字符"/>
    <w:basedOn w:val="9"/>
    <w:semiHidden/>
    <w:qFormat/>
    <w:uiPriority w:val="99"/>
    <w:rPr>
      <w:rFonts w:ascii="Times New Roman" w:hAnsi="Times New Roman" w:eastAsia="宋体" w:cs="Times New Roman"/>
      <w:kern w:val="2"/>
      <w:sz w:val="21"/>
      <w:szCs w:val="20"/>
      <w:lang w:bidi="ar-SA"/>
    </w:rPr>
  </w:style>
  <w:style w:type="character" w:customStyle="1" w:styleId="16">
    <w:name w:val="批注文字 字符1"/>
    <w:link w:val="3"/>
    <w:qFormat/>
    <w:uiPriority w:val="0"/>
    <w:rPr>
      <w:rFonts w:ascii="Times New Roman" w:hAnsi="Times New Roman" w:eastAsia="宋体" w:cs="Times New Roman"/>
      <w:kern w:val="2"/>
      <w:sz w:val="21"/>
      <w:lang w:bidi="ar-SA"/>
    </w:rPr>
  </w:style>
  <w:style w:type="paragraph" w:customStyle="1" w:styleId="17">
    <w:name w:val="_Style 3"/>
    <w:basedOn w:val="1"/>
    <w:qFormat/>
    <w:uiPriority w:val="0"/>
    <w:pPr>
      <w:suppressAutoHyphens w:val="0"/>
      <w:ind w:firstLine="420" w:firstLineChars="200"/>
    </w:pPr>
    <w:rPr>
      <w:kern w:val="0"/>
      <w:sz w:val="20"/>
    </w:rPr>
  </w:style>
  <w:style w:type="character" w:customStyle="1" w:styleId="18">
    <w:name w:val="页脚 字符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20"/>
      <w:lang w:bidi="ar-SA"/>
    </w:rPr>
  </w:style>
  <w:style w:type="paragraph" w:customStyle="1" w:styleId="19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黑体"/>
        <a:cs typeface="DejaVu Sans"/>
      </a:majorFont>
      <a:minorFont>
        <a:latin typeface="Arial"/>
        <a:ea typeface="宋体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1069</Words>
  <Characters>1110</Characters>
  <Lines>7</Lines>
  <Paragraphs>2</Paragraphs>
  <TotalTime>10</TotalTime>
  <ScaleCrop>false</ScaleCrop>
  <LinksUpToDate>false</LinksUpToDate>
  <CharactersWithSpaces>1110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2025-12-18T08:12:00Z</dcterms:created>
  <dc:creator>sse</dc:creator>
  <cp:lastModifiedBy>whxu</cp:lastModifiedBy>
  <dcterms:modified xsi:type="dcterms:W3CDTF">2025-12-31T14:48:01Z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7F500C4B9C6541BFA0F108A100C947A8_13</vt:lpwstr>
  </property>
  <property fmtid="{D5CDD505-2E9C-101B-9397-08002B2CF9AE}" pid="3" name="KSOProductBuildVer">
    <vt:lpwstr>2052-12.8.2.19313</vt:lpwstr>
  </property>
  <property fmtid="{D5CDD505-2E9C-101B-9397-08002B2CF9AE}" pid="4" name="KSOTemplateDocerSaveRecord">
    <vt:lpwstr>eyJoZGlkIjoiOGI0YzM0ZWQzYTI1NTA2NGViMmYzZjRkOTc4Y2FiODciLCJ1c2VySWQiOiI5MTk3NjQ3NjcifQ==</vt:lpwstr>
  </property>
</Properties>
</file>