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82823">
      <w:pPr>
        <w:spacing w:line="540" w:lineRule="exact"/>
        <w:jc w:val="center"/>
        <w:rPr>
          <w:rFonts w:eastAsia="仿宋_GB2312"/>
          <w:sz w:val="32"/>
          <w:szCs w:val="32"/>
        </w:rPr>
      </w:pPr>
      <w:bookmarkStart w:id="0" w:name="_GoBack"/>
      <w:bookmarkEnd w:id="0"/>
    </w:p>
    <w:p w14:paraId="4FE30AEE">
      <w:pPr>
        <w:spacing w:line="560" w:lineRule="exact"/>
        <w:jc w:val="center"/>
        <w:rPr>
          <w:rFonts w:hint="eastAsia" w:ascii="方正大标宋简体" w:hAnsi="黑体" w:eastAsia="方正大标宋简体"/>
          <w:sz w:val="44"/>
          <w:szCs w:val="44"/>
        </w:rPr>
      </w:pPr>
      <w:r>
        <w:rPr>
          <w:rFonts w:hint="eastAsia" w:ascii="方正大标宋简体" w:hAnsi="黑体" w:eastAsia="方正大标宋简体"/>
          <w:sz w:val="44"/>
          <w:szCs w:val="44"/>
        </w:rPr>
        <w:t>上海证券交易所公开募集不动产投资信托基金</w:t>
      </w:r>
      <w:r>
        <w:rPr>
          <w:rFonts w:eastAsia="方正大标宋简体"/>
          <w:sz w:val="44"/>
          <w:szCs w:val="44"/>
        </w:rPr>
        <w:t>（REITs）</w:t>
      </w:r>
      <w:r>
        <w:rPr>
          <w:rFonts w:hint="eastAsia" w:ascii="方正大标宋简体" w:hAnsi="黑体" w:eastAsia="方正大标宋简体"/>
          <w:sz w:val="44"/>
          <w:szCs w:val="44"/>
        </w:rPr>
        <w:t>规则适用指引第</w:t>
      </w:r>
      <w:r>
        <w:rPr>
          <w:rFonts w:eastAsia="方正大标宋简体"/>
          <w:sz w:val="44"/>
          <w:szCs w:val="44"/>
        </w:rPr>
        <w:t>3</w:t>
      </w:r>
      <w:r>
        <w:rPr>
          <w:rFonts w:hint="eastAsia" w:ascii="方正大标宋简体" w:hAnsi="黑体" w:eastAsia="方正大标宋简体"/>
          <w:sz w:val="44"/>
          <w:szCs w:val="44"/>
        </w:rPr>
        <w:t>号</w:t>
      </w:r>
    </w:p>
    <w:p w14:paraId="7D7BE621">
      <w:pPr>
        <w:spacing w:line="560" w:lineRule="exact"/>
        <w:jc w:val="center"/>
        <w:rPr>
          <w:rFonts w:hint="eastAsia" w:ascii="方正大标宋简体" w:hAnsi="黑体" w:eastAsia="方正大标宋简体"/>
          <w:sz w:val="44"/>
          <w:szCs w:val="44"/>
        </w:rPr>
      </w:pPr>
      <w:r>
        <w:rPr>
          <w:rFonts w:hint="eastAsia" w:ascii="方正大标宋简体" w:hAnsi="黑体" w:eastAsia="方正大标宋简体"/>
          <w:sz w:val="44"/>
          <w:szCs w:val="44"/>
        </w:rPr>
        <w:t>——扩募及新购入不动产（试行）</w:t>
      </w:r>
    </w:p>
    <w:p w14:paraId="5F51D6EF">
      <w:pPr>
        <w:spacing w:line="540" w:lineRule="exact"/>
        <w:rPr>
          <w:rFonts w:hint="eastAsia" w:eastAsia="仿宋_GB2312"/>
          <w:sz w:val="32"/>
          <w:szCs w:val="32"/>
        </w:rPr>
      </w:pPr>
    </w:p>
    <w:p w14:paraId="3E9CA8E3">
      <w:pPr>
        <w:spacing w:line="540" w:lineRule="exact"/>
        <w:jc w:val="center"/>
        <w:rPr>
          <w:rFonts w:hint="eastAsia" w:ascii="黑体" w:hAnsi="黑体" w:eastAsia="黑体" w:cs="黑体"/>
          <w:bCs/>
          <w:sz w:val="32"/>
          <w:szCs w:val="32"/>
        </w:rPr>
      </w:pPr>
      <w:r>
        <w:rPr>
          <w:rFonts w:hint="eastAsia" w:ascii="黑体" w:hAnsi="黑体" w:eastAsia="黑体" w:cs="黑体"/>
          <w:bCs/>
          <w:sz w:val="32"/>
          <w:szCs w:val="32"/>
        </w:rPr>
        <w:t>第一章  总  则</w:t>
      </w:r>
    </w:p>
    <w:p w14:paraId="5593B312">
      <w:pPr>
        <w:pStyle w:val="64"/>
        <w:tabs>
          <w:tab w:val="left" w:pos="1701"/>
        </w:tabs>
        <w:spacing w:line="540" w:lineRule="exact"/>
        <w:ind w:firstLine="643"/>
        <w:rPr>
          <w:rFonts w:eastAsia="仿宋_GB2312"/>
          <w:sz w:val="32"/>
          <w:szCs w:val="32"/>
        </w:rPr>
      </w:pPr>
      <w:r>
        <w:rPr>
          <w:rFonts w:eastAsia="仿宋_GB2312"/>
          <w:b/>
          <w:bCs/>
          <w:sz w:val="32"/>
          <w:szCs w:val="32"/>
        </w:rPr>
        <w:t>第一条</w:t>
      </w:r>
      <w:r>
        <w:rPr>
          <w:rFonts w:eastAsia="仿宋_GB2312"/>
          <w:sz w:val="32"/>
          <w:szCs w:val="32"/>
        </w:rPr>
        <w:t xml:space="preserve"> 为了规范公开募集不动产投资信托基金（以下简称不动产基金）</w:t>
      </w:r>
      <w:r>
        <w:rPr>
          <w:rFonts w:hint="eastAsia" w:eastAsia="仿宋_GB2312"/>
          <w:sz w:val="32"/>
          <w:szCs w:val="32"/>
        </w:rPr>
        <w:t>扩募以及</w:t>
      </w:r>
      <w:r>
        <w:rPr>
          <w:rFonts w:eastAsia="仿宋_GB2312"/>
          <w:sz w:val="32"/>
          <w:szCs w:val="32"/>
        </w:rPr>
        <w:t>新购入不动产</w:t>
      </w:r>
      <w:r>
        <w:rPr>
          <w:rFonts w:hint="eastAsia" w:eastAsia="仿宋_GB2312"/>
          <w:sz w:val="32"/>
          <w:szCs w:val="32"/>
        </w:rPr>
        <w:t>项目</w:t>
      </w:r>
      <w:r>
        <w:rPr>
          <w:rFonts w:eastAsia="仿宋_GB2312"/>
          <w:sz w:val="32"/>
          <w:szCs w:val="32"/>
        </w:rPr>
        <w:t>业务，保护投资者合法权益，根据《上海证券交易所公开募集不动产投资信托基金（REITs）业务办法</w:t>
      </w:r>
      <w:r>
        <w:rPr>
          <w:rFonts w:hint="eastAsia" w:eastAsia="仿宋_GB2312"/>
          <w:sz w:val="32"/>
          <w:szCs w:val="32"/>
        </w:rPr>
        <w:t>（试行）</w:t>
      </w:r>
      <w:r>
        <w:rPr>
          <w:rFonts w:eastAsia="仿宋_GB2312"/>
          <w:sz w:val="32"/>
          <w:szCs w:val="32"/>
        </w:rPr>
        <w:t>》（以下简称《不动产基金业务办法》）等规定，制定本指引。</w:t>
      </w:r>
    </w:p>
    <w:p w14:paraId="1E11EFA7">
      <w:pPr>
        <w:pStyle w:val="64"/>
        <w:tabs>
          <w:tab w:val="left" w:pos="1701"/>
        </w:tabs>
        <w:spacing w:line="540" w:lineRule="exact"/>
        <w:ind w:firstLine="643"/>
        <w:rPr>
          <w:rFonts w:eastAsia="仿宋_GB2312"/>
          <w:sz w:val="32"/>
          <w:szCs w:val="32"/>
        </w:rPr>
      </w:pPr>
      <w:r>
        <w:rPr>
          <w:rFonts w:eastAsia="仿宋_GB2312"/>
          <w:b/>
          <w:bCs/>
          <w:sz w:val="32"/>
          <w:szCs w:val="32"/>
        </w:rPr>
        <w:t xml:space="preserve">第二条 </w:t>
      </w:r>
      <w:r>
        <w:rPr>
          <w:rFonts w:eastAsia="仿宋_GB2312"/>
          <w:sz w:val="32"/>
          <w:szCs w:val="32"/>
        </w:rPr>
        <w:t>在上海证券交易所（以下简称本所）上市的不动产基金存续期</w:t>
      </w:r>
      <w:r>
        <w:rPr>
          <w:rFonts w:hint="eastAsia" w:eastAsia="仿宋_GB2312"/>
          <w:sz w:val="32"/>
          <w:szCs w:val="32"/>
        </w:rPr>
        <w:t>间</w:t>
      </w:r>
      <w:r>
        <w:rPr>
          <w:rFonts w:eastAsia="仿宋_GB2312"/>
          <w:sz w:val="32"/>
          <w:szCs w:val="32"/>
        </w:rPr>
        <w:t>新购入不动产项目以及</w:t>
      </w:r>
      <w:r>
        <w:rPr>
          <w:rFonts w:hint="eastAsia" w:eastAsia="仿宋_GB2312"/>
          <w:sz w:val="32"/>
          <w:szCs w:val="32"/>
        </w:rPr>
        <w:t>有</w:t>
      </w:r>
      <w:r>
        <w:rPr>
          <w:rFonts w:eastAsia="仿宋_GB2312"/>
          <w:sz w:val="32"/>
          <w:szCs w:val="32"/>
        </w:rPr>
        <w:t>关的扩募、信息披露等事项，适用本指引。</w:t>
      </w:r>
    </w:p>
    <w:p w14:paraId="0B17B8E8">
      <w:pPr>
        <w:pStyle w:val="64"/>
        <w:tabs>
          <w:tab w:val="left" w:pos="1701"/>
        </w:tabs>
        <w:spacing w:line="540" w:lineRule="exact"/>
        <w:ind w:firstLine="643"/>
        <w:rPr>
          <w:rFonts w:eastAsia="仿宋_GB2312"/>
          <w:sz w:val="32"/>
          <w:szCs w:val="32"/>
        </w:rPr>
      </w:pPr>
      <w:r>
        <w:rPr>
          <w:rFonts w:eastAsia="仿宋_GB2312"/>
          <w:b/>
          <w:bCs/>
          <w:sz w:val="32"/>
          <w:szCs w:val="32"/>
        </w:rPr>
        <w:t xml:space="preserve">第三条 </w:t>
      </w:r>
      <w:r>
        <w:rPr>
          <w:rFonts w:eastAsia="仿宋_GB2312"/>
          <w:sz w:val="32"/>
          <w:szCs w:val="32"/>
        </w:rPr>
        <w:t>任何单位和个人不得利用</w:t>
      </w:r>
      <w:r>
        <w:rPr>
          <w:rFonts w:hint="eastAsia" w:eastAsia="仿宋_GB2312"/>
          <w:sz w:val="32"/>
          <w:szCs w:val="32"/>
        </w:rPr>
        <w:t>新</w:t>
      </w:r>
      <w:r>
        <w:rPr>
          <w:rFonts w:eastAsia="仿宋_GB2312"/>
          <w:sz w:val="32"/>
          <w:szCs w:val="32"/>
        </w:rPr>
        <w:t>购入不动产项目损害不动产基金财产或者基金份额持有人的合法权益。</w:t>
      </w:r>
    </w:p>
    <w:p w14:paraId="62FA9EF4">
      <w:pPr>
        <w:pStyle w:val="64"/>
        <w:tabs>
          <w:tab w:val="left" w:pos="1701"/>
        </w:tabs>
        <w:spacing w:line="540" w:lineRule="exact"/>
        <w:ind w:firstLine="643"/>
        <w:rPr>
          <w:rFonts w:eastAsia="仿宋_GB2312"/>
          <w:sz w:val="32"/>
          <w:szCs w:val="32"/>
        </w:rPr>
      </w:pPr>
      <w:r>
        <w:rPr>
          <w:rFonts w:eastAsia="仿宋_GB2312"/>
          <w:b/>
          <w:bCs/>
          <w:sz w:val="32"/>
          <w:szCs w:val="32"/>
        </w:rPr>
        <w:t xml:space="preserve">第四条 </w:t>
      </w:r>
      <w:r>
        <w:rPr>
          <w:rFonts w:eastAsia="仿宋_GB2312"/>
          <w:sz w:val="32"/>
          <w:szCs w:val="32"/>
        </w:rPr>
        <w:t>本所对不动产基金新购入不动产项目出具的不动产基金产品变更以及不动产资产支持证券</w:t>
      </w:r>
      <w:r>
        <w:rPr>
          <w:rFonts w:hint="eastAsia" w:eastAsia="仿宋_GB2312"/>
          <w:sz w:val="32"/>
          <w:szCs w:val="32"/>
        </w:rPr>
        <w:t>有</w:t>
      </w:r>
      <w:r>
        <w:rPr>
          <w:rFonts w:eastAsia="仿宋_GB2312"/>
          <w:sz w:val="32"/>
          <w:szCs w:val="32"/>
        </w:rPr>
        <w:t>关申请符合本所</w:t>
      </w:r>
      <w:r>
        <w:rPr>
          <w:rFonts w:hint="eastAsia" w:eastAsia="仿宋_GB2312"/>
          <w:sz w:val="32"/>
          <w:szCs w:val="32"/>
        </w:rPr>
        <w:t>有</w:t>
      </w:r>
      <w:r>
        <w:rPr>
          <w:rFonts w:eastAsia="仿宋_GB2312"/>
          <w:sz w:val="32"/>
          <w:szCs w:val="32"/>
        </w:rPr>
        <w:t>关要求的无异议函，不表明本所对该</w:t>
      </w:r>
      <w:r>
        <w:rPr>
          <w:rFonts w:hint="eastAsia" w:eastAsia="仿宋_GB2312"/>
          <w:sz w:val="32"/>
          <w:szCs w:val="32"/>
        </w:rPr>
        <w:t>产品</w:t>
      </w:r>
      <w:r>
        <w:rPr>
          <w:rFonts w:eastAsia="仿宋_GB2312"/>
          <w:sz w:val="32"/>
          <w:szCs w:val="32"/>
        </w:rPr>
        <w:t>的投资</w:t>
      </w:r>
      <w:r>
        <w:rPr>
          <w:rFonts w:hint="eastAsia" w:eastAsia="仿宋_GB2312"/>
          <w:sz w:val="32"/>
          <w:szCs w:val="32"/>
        </w:rPr>
        <w:t>风险</w:t>
      </w:r>
      <w:r>
        <w:rPr>
          <w:rFonts w:eastAsia="仿宋_GB2312"/>
          <w:sz w:val="32"/>
          <w:szCs w:val="32"/>
        </w:rPr>
        <w:t>或者收益</w:t>
      </w:r>
      <w:r>
        <w:rPr>
          <w:rFonts w:hint="eastAsia" w:eastAsia="仿宋_GB2312"/>
          <w:sz w:val="32"/>
          <w:szCs w:val="32"/>
        </w:rPr>
        <w:t>等</w:t>
      </w:r>
      <w:r>
        <w:rPr>
          <w:rFonts w:eastAsia="仿宋_GB2312"/>
          <w:sz w:val="32"/>
          <w:szCs w:val="32"/>
        </w:rPr>
        <w:t>作出判断或者保证。因不动产基金新购入不动产项目带来的投资风险，由投资者自行承担。</w:t>
      </w:r>
    </w:p>
    <w:p w14:paraId="68B97790">
      <w:pPr>
        <w:spacing w:line="540" w:lineRule="exact"/>
        <w:jc w:val="center"/>
        <w:rPr>
          <w:rFonts w:eastAsia="黑体"/>
          <w:bCs/>
          <w:sz w:val="32"/>
          <w:szCs w:val="32"/>
        </w:rPr>
      </w:pPr>
      <w:r>
        <w:rPr>
          <w:rFonts w:eastAsia="黑体"/>
          <w:bCs/>
          <w:sz w:val="32"/>
          <w:szCs w:val="32"/>
        </w:rPr>
        <w:t>第二章</w:t>
      </w:r>
      <w:r>
        <w:rPr>
          <w:rFonts w:eastAsia="黑体"/>
          <w:bCs/>
          <w:sz w:val="32"/>
          <w:szCs w:val="32"/>
        </w:rPr>
        <w:tab/>
      </w:r>
      <w:r>
        <w:rPr>
          <w:rFonts w:eastAsia="黑体"/>
          <w:bCs/>
          <w:sz w:val="32"/>
          <w:szCs w:val="32"/>
        </w:rPr>
        <w:t>新购入不动产</w:t>
      </w:r>
      <w:r>
        <w:rPr>
          <w:rFonts w:hint="eastAsia" w:eastAsia="黑体"/>
          <w:bCs/>
          <w:sz w:val="32"/>
          <w:szCs w:val="32"/>
        </w:rPr>
        <w:t>项目</w:t>
      </w:r>
      <w:r>
        <w:rPr>
          <w:rFonts w:eastAsia="黑体"/>
          <w:bCs/>
          <w:sz w:val="32"/>
          <w:szCs w:val="32"/>
        </w:rPr>
        <w:t>的原则和条件</w:t>
      </w:r>
    </w:p>
    <w:p w14:paraId="12911C9D">
      <w:pPr>
        <w:pStyle w:val="64"/>
        <w:tabs>
          <w:tab w:val="left" w:pos="1701"/>
        </w:tabs>
        <w:spacing w:line="540" w:lineRule="exact"/>
        <w:ind w:firstLine="643"/>
        <w:rPr>
          <w:rFonts w:eastAsia="仿宋_GB2312"/>
          <w:sz w:val="32"/>
          <w:szCs w:val="32"/>
        </w:rPr>
      </w:pPr>
      <w:r>
        <w:rPr>
          <w:rFonts w:eastAsia="仿宋_GB2312"/>
          <w:b/>
          <w:bCs/>
          <w:sz w:val="32"/>
          <w:szCs w:val="32"/>
        </w:rPr>
        <w:t xml:space="preserve">第五条 </w:t>
      </w:r>
      <w:r>
        <w:rPr>
          <w:rFonts w:eastAsia="仿宋_GB2312"/>
          <w:sz w:val="32"/>
          <w:szCs w:val="32"/>
        </w:rPr>
        <w:t>不动产基金存续期间新购入不动产项目，应当满足下列要求：</w:t>
      </w:r>
    </w:p>
    <w:p w14:paraId="1B79E456">
      <w:pPr>
        <w:pStyle w:val="64"/>
        <w:tabs>
          <w:tab w:val="left" w:pos="1701"/>
        </w:tabs>
        <w:spacing w:line="540" w:lineRule="exact"/>
        <w:ind w:firstLine="640"/>
        <w:rPr>
          <w:rFonts w:eastAsia="仿宋_GB2312"/>
          <w:sz w:val="32"/>
          <w:szCs w:val="32"/>
        </w:rPr>
      </w:pPr>
      <w:r>
        <w:rPr>
          <w:rFonts w:eastAsia="仿宋_GB2312"/>
          <w:sz w:val="32"/>
          <w:szCs w:val="32"/>
        </w:rPr>
        <w:t>（一）不会导致不动产基金不符合基金上市条件；</w:t>
      </w:r>
    </w:p>
    <w:p w14:paraId="72E3ABF0">
      <w:pPr>
        <w:pStyle w:val="64"/>
        <w:tabs>
          <w:tab w:val="left" w:pos="1701"/>
        </w:tabs>
        <w:spacing w:line="540" w:lineRule="exact"/>
        <w:ind w:firstLine="640"/>
        <w:rPr>
          <w:rFonts w:eastAsia="仿宋_GB2312"/>
          <w:sz w:val="32"/>
          <w:szCs w:val="32"/>
        </w:rPr>
      </w:pPr>
      <w:r>
        <w:rPr>
          <w:rFonts w:eastAsia="仿宋_GB2312"/>
          <w:sz w:val="32"/>
          <w:szCs w:val="32"/>
        </w:rPr>
        <w:t>（二）</w:t>
      </w:r>
      <w:r>
        <w:rPr>
          <w:rFonts w:hint="eastAsia" w:eastAsia="仿宋_GB2312"/>
          <w:sz w:val="32"/>
          <w:szCs w:val="32"/>
        </w:rPr>
        <w:t>拟购入的不动产项目原则上与不动产基金当前持有的不动产项目为同一业态、相近业态，互补或者具有运营协同效应；</w:t>
      </w:r>
    </w:p>
    <w:p w14:paraId="4D01DDFE">
      <w:pPr>
        <w:pStyle w:val="64"/>
        <w:tabs>
          <w:tab w:val="left" w:pos="1701"/>
        </w:tabs>
        <w:spacing w:line="540" w:lineRule="exact"/>
        <w:ind w:firstLine="640"/>
        <w:rPr>
          <w:rFonts w:eastAsia="仿宋_GB2312"/>
          <w:sz w:val="32"/>
          <w:szCs w:val="32"/>
        </w:rPr>
      </w:pPr>
      <w:r>
        <w:rPr>
          <w:rFonts w:eastAsia="仿宋_GB2312"/>
          <w:sz w:val="32"/>
          <w:szCs w:val="32"/>
        </w:rPr>
        <w:t>（三）有利于不动产基金形成或者保持良好的不动产投资组合，不损害基金份额持有人合法权益；</w:t>
      </w:r>
    </w:p>
    <w:p w14:paraId="3EC3CE77">
      <w:pPr>
        <w:pStyle w:val="64"/>
        <w:tabs>
          <w:tab w:val="left" w:pos="1701"/>
        </w:tabs>
        <w:spacing w:line="540" w:lineRule="exact"/>
        <w:ind w:firstLine="640"/>
        <w:rPr>
          <w:rFonts w:eastAsia="仿宋_GB2312"/>
          <w:sz w:val="32"/>
          <w:szCs w:val="32"/>
        </w:rPr>
      </w:pPr>
      <w:r>
        <w:rPr>
          <w:rFonts w:eastAsia="仿宋_GB2312"/>
          <w:sz w:val="32"/>
          <w:szCs w:val="32"/>
        </w:rPr>
        <w:t>（四）有利于不动产基金增强持续运作水平，提升综合竞争力和吸引力；</w:t>
      </w:r>
    </w:p>
    <w:p w14:paraId="18A4768B">
      <w:pPr>
        <w:pStyle w:val="64"/>
        <w:tabs>
          <w:tab w:val="left" w:pos="1701"/>
        </w:tabs>
        <w:spacing w:line="540" w:lineRule="exact"/>
        <w:ind w:firstLine="640"/>
        <w:rPr>
          <w:rFonts w:eastAsia="仿宋_GB2312"/>
          <w:sz w:val="32"/>
          <w:szCs w:val="32"/>
        </w:rPr>
      </w:pPr>
      <w:r>
        <w:rPr>
          <w:rFonts w:eastAsia="仿宋_GB2312"/>
          <w:sz w:val="32"/>
          <w:szCs w:val="32"/>
        </w:rPr>
        <w:t>（五）拟购入不动产项目涉及扩募份额导致不动产基金持有人结构发生重大变化的，相关变化不影响基金保持健全有效的治理结构；</w:t>
      </w:r>
    </w:p>
    <w:p w14:paraId="6357C8B0">
      <w:pPr>
        <w:pStyle w:val="64"/>
        <w:tabs>
          <w:tab w:val="left" w:pos="1701"/>
        </w:tabs>
        <w:spacing w:line="540" w:lineRule="exact"/>
        <w:ind w:firstLine="640"/>
        <w:rPr>
          <w:rFonts w:eastAsia="仿宋_GB2312"/>
          <w:sz w:val="32"/>
          <w:szCs w:val="32"/>
        </w:rPr>
      </w:pPr>
      <w:r>
        <w:rPr>
          <w:rFonts w:eastAsia="仿宋_GB2312"/>
          <w:sz w:val="32"/>
          <w:szCs w:val="32"/>
        </w:rPr>
        <w:t>（六）拟购入不动产项目涉及主要参与机构发生变化的，相关变化不会对不动产基金当前持有的不动产</w:t>
      </w:r>
      <w:r>
        <w:rPr>
          <w:rFonts w:hint="eastAsia" w:eastAsia="仿宋_GB2312"/>
          <w:sz w:val="32"/>
          <w:szCs w:val="32"/>
        </w:rPr>
        <w:t>项目</w:t>
      </w:r>
      <w:r>
        <w:rPr>
          <w:rFonts w:eastAsia="仿宋_GB2312"/>
          <w:sz w:val="32"/>
          <w:szCs w:val="32"/>
        </w:rPr>
        <w:t>运营产生不利影响。</w:t>
      </w:r>
    </w:p>
    <w:p w14:paraId="4AE3D566">
      <w:pPr>
        <w:pStyle w:val="64"/>
        <w:tabs>
          <w:tab w:val="left" w:pos="1701"/>
        </w:tabs>
        <w:spacing w:line="540" w:lineRule="exact"/>
        <w:ind w:firstLine="643"/>
        <w:rPr>
          <w:rFonts w:eastAsia="仿宋_GB2312"/>
          <w:sz w:val="32"/>
          <w:szCs w:val="32"/>
        </w:rPr>
      </w:pPr>
      <w:r>
        <w:rPr>
          <w:rFonts w:eastAsia="仿宋_GB2312"/>
          <w:b/>
          <w:bCs/>
          <w:sz w:val="32"/>
          <w:szCs w:val="32"/>
        </w:rPr>
        <w:t xml:space="preserve">第六条 </w:t>
      </w:r>
      <w:r>
        <w:rPr>
          <w:rFonts w:eastAsia="仿宋_GB2312"/>
          <w:sz w:val="32"/>
          <w:szCs w:val="32"/>
        </w:rPr>
        <w:t>申请购入不动产项目的，不动产基金应当符合下列条件：</w:t>
      </w:r>
    </w:p>
    <w:p w14:paraId="034A4B80">
      <w:pPr>
        <w:pStyle w:val="64"/>
        <w:tabs>
          <w:tab w:val="left" w:pos="1701"/>
        </w:tabs>
        <w:spacing w:line="540" w:lineRule="exact"/>
        <w:ind w:firstLine="640"/>
        <w:rPr>
          <w:rFonts w:eastAsia="仿宋_GB2312"/>
          <w:sz w:val="32"/>
          <w:szCs w:val="32"/>
        </w:rPr>
      </w:pPr>
      <w:r>
        <w:rPr>
          <w:rFonts w:eastAsia="仿宋_GB2312"/>
          <w:sz w:val="32"/>
          <w:szCs w:val="32"/>
        </w:rPr>
        <w:t>（一）符合法律、行政法规、部门规章、规范性文件（以下统称法律法规）</w:t>
      </w:r>
      <w:r>
        <w:rPr>
          <w:rFonts w:hint="eastAsia" w:eastAsia="仿宋_GB2312"/>
          <w:sz w:val="32"/>
          <w:szCs w:val="32"/>
        </w:rPr>
        <w:t>以</w:t>
      </w:r>
      <w:r>
        <w:rPr>
          <w:rFonts w:eastAsia="仿宋_GB2312"/>
          <w:sz w:val="32"/>
          <w:szCs w:val="32"/>
        </w:rPr>
        <w:t>及</w:t>
      </w:r>
      <w:r>
        <w:rPr>
          <w:rFonts w:hint="eastAsia" w:eastAsia="仿宋_GB2312"/>
          <w:sz w:val="32"/>
          <w:szCs w:val="32"/>
        </w:rPr>
        <w:t>有</w:t>
      </w:r>
      <w:r>
        <w:rPr>
          <w:rFonts w:eastAsia="仿宋_GB2312"/>
          <w:sz w:val="32"/>
          <w:szCs w:val="32"/>
        </w:rPr>
        <w:t>关规定的要求；</w:t>
      </w:r>
    </w:p>
    <w:p w14:paraId="606B7D0D">
      <w:pPr>
        <w:pStyle w:val="64"/>
        <w:tabs>
          <w:tab w:val="left" w:pos="1701"/>
        </w:tabs>
        <w:spacing w:line="540" w:lineRule="exact"/>
        <w:ind w:firstLine="640"/>
        <w:rPr>
          <w:rFonts w:eastAsia="仿宋_GB2312"/>
          <w:sz w:val="32"/>
          <w:szCs w:val="32"/>
        </w:rPr>
      </w:pPr>
      <w:r>
        <w:rPr>
          <w:rFonts w:eastAsia="仿宋_GB2312"/>
          <w:sz w:val="32"/>
          <w:szCs w:val="32"/>
        </w:rPr>
        <w:t>（二）不动产基金投资运作稳健，上市之日至提交基金变更注册申请之日原则上满6个月，治理结构健全，不存在运营管理混乱、内部控制和风险管理制度无法得到有效执行、财务状况恶化等重大经营风险；</w:t>
      </w:r>
    </w:p>
    <w:p w14:paraId="72F9E697">
      <w:pPr>
        <w:pStyle w:val="64"/>
        <w:tabs>
          <w:tab w:val="left" w:pos="1701"/>
        </w:tabs>
        <w:spacing w:line="540" w:lineRule="exact"/>
        <w:ind w:firstLine="640"/>
        <w:rPr>
          <w:rFonts w:eastAsia="仿宋_GB2312"/>
          <w:sz w:val="32"/>
          <w:szCs w:val="32"/>
        </w:rPr>
      </w:pPr>
      <w:r>
        <w:rPr>
          <w:rFonts w:eastAsia="仿宋_GB2312"/>
          <w:sz w:val="32"/>
          <w:szCs w:val="32"/>
        </w:rPr>
        <w:t>（三）会计基础工作规范，最近1年财务报表</w:t>
      </w:r>
      <w:r>
        <w:rPr>
          <w:rFonts w:hint="eastAsia" w:eastAsia="仿宋_GB2312"/>
          <w:sz w:val="32"/>
          <w:szCs w:val="32"/>
        </w:rPr>
        <w:t>（如有）</w:t>
      </w:r>
      <w:r>
        <w:rPr>
          <w:rFonts w:eastAsia="仿宋_GB2312"/>
          <w:sz w:val="32"/>
          <w:szCs w:val="32"/>
        </w:rPr>
        <w:t>的编制和披露符合企业会计准则或者</w:t>
      </w:r>
      <w:r>
        <w:rPr>
          <w:rFonts w:hint="eastAsia" w:eastAsia="仿宋_GB2312"/>
          <w:sz w:val="32"/>
          <w:szCs w:val="32"/>
        </w:rPr>
        <w:t>有</w:t>
      </w:r>
      <w:r>
        <w:rPr>
          <w:rFonts w:eastAsia="仿宋_GB2312"/>
          <w:sz w:val="32"/>
          <w:szCs w:val="32"/>
        </w:rPr>
        <w:t>关信息披露规则的规定，最近1年财务会计报告</w:t>
      </w:r>
      <w:r>
        <w:rPr>
          <w:rFonts w:hint="eastAsia" w:eastAsia="仿宋_GB2312"/>
          <w:sz w:val="32"/>
          <w:szCs w:val="32"/>
        </w:rPr>
        <w:t>（如有）</w:t>
      </w:r>
      <w:r>
        <w:rPr>
          <w:rFonts w:eastAsia="仿宋_GB2312"/>
          <w:sz w:val="32"/>
          <w:szCs w:val="32"/>
        </w:rPr>
        <w:t>未被出具否定意见或者无法表示意见的审计报告；最近1年财务会计报告</w:t>
      </w:r>
      <w:r>
        <w:rPr>
          <w:rFonts w:hint="eastAsia" w:eastAsia="仿宋_GB2312"/>
          <w:sz w:val="32"/>
          <w:szCs w:val="32"/>
        </w:rPr>
        <w:t>（如有）</w:t>
      </w:r>
      <w:r>
        <w:rPr>
          <w:rFonts w:eastAsia="仿宋_GB2312"/>
          <w:sz w:val="32"/>
          <w:szCs w:val="32"/>
        </w:rPr>
        <w:t>被出具保留意见审计报告的，保留意见所涉及事项对基金的重大不利影响已经消除；</w:t>
      </w:r>
    </w:p>
    <w:p w14:paraId="2D5EF7C6">
      <w:pPr>
        <w:pStyle w:val="64"/>
        <w:tabs>
          <w:tab w:val="left" w:pos="1701"/>
        </w:tabs>
        <w:spacing w:line="540" w:lineRule="exact"/>
        <w:ind w:firstLine="640"/>
        <w:rPr>
          <w:rFonts w:eastAsia="仿宋_GB2312"/>
          <w:sz w:val="32"/>
          <w:szCs w:val="32"/>
        </w:rPr>
      </w:pPr>
      <w:r>
        <w:rPr>
          <w:rFonts w:eastAsia="仿宋_GB2312"/>
          <w:sz w:val="32"/>
          <w:szCs w:val="32"/>
        </w:rPr>
        <w:t>（四）中国证券监督管理委员会（以下简称中国证监会）和本所规定的其他条件。</w:t>
      </w:r>
    </w:p>
    <w:p w14:paraId="1D4D63AA">
      <w:pPr>
        <w:pStyle w:val="64"/>
        <w:tabs>
          <w:tab w:val="left" w:pos="1701"/>
        </w:tabs>
        <w:spacing w:line="540" w:lineRule="exact"/>
        <w:ind w:firstLine="643"/>
        <w:rPr>
          <w:rFonts w:eastAsia="仿宋_GB2312"/>
          <w:sz w:val="32"/>
          <w:szCs w:val="32"/>
        </w:rPr>
      </w:pPr>
      <w:r>
        <w:rPr>
          <w:rFonts w:eastAsia="仿宋_GB2312"/>
          <w:b/>
          <w:bCs/>
          <w:sz w:val="32"/>
          <w:szCs w:val="32"/>
        </w:rPr>
        <w:t xml:space="preserve">第七条 </w:t>
      </w:r>
      <w:r>
        <w:rPr>
          <w:rFonts w:eastAsia="仿宋_GB2312"/>
          <w:sz w:val="32"/>
          <w:szCs w:val="32"/>
        </w:rPr>
        <w:t>申请购入不动产项目的，基金管理人、基金托管人、持有份额不低于20%的第一大不动产基金持有人等主体除应当符合法律法规外，还应当符合下列条件：</w:t>
      </w:r>
    </w:p>
    <w:p w14:paraId="7E0035AE">
      <w:pPr>
        <w:pStyle w:val="64"/>
        <w:tabs>
          <w:tab w:val="left" w:pos="1701"/>
        </w:tabs>
        <w:spacing w:line="540" w:lineRule="exact"/>
        <w:ind w:firstLine="640"/>
        <w:rPr>
          <w:rFonts w:eastAsia="仿宋_GB2312"/>
          <w:sz w:val="32"/>
          <w:szCs w:val="32"/>
        </w:rPr>
      </w:pPr>
      <w:r>
        <w:rPr>
          <w:rFonts w:eastAsia="仿宋_GB2312"/>
          <w:sz w:val="32"/>
          <w:szCs w:val="32"/>
        </w:rPr>
        <w:t>（一）基金管理人具备与拟购入不动产项目相适应的专业胜任能力与风险控制安排；</w:t>
      </w:r>
    </w:p>
    <w:p w14:paraId="392E440A">
      <w:pPr>
        <w:pStyle w:val="64"/>
        <w:tabs>
          <w:tab w:val="left" w:pos="1701"/>
        </w:tabs>
        <w:spacing w:line="540" w:lineRule="exact"/>
        <w:ind w:firstLine="640"/>
        <w:rPr>
          <w:rFonts w:eastAsia="仿宋_GB2312"/>
          <w:sz w:val="32"/>
          <w:szCs w:val="32"/>
        </w:rPr>
      </w:pPr>
      <w:r>
        <w:rPr>
          <w:rFonts w:eastAsia="仿宋_GB2312"/>
          <w:sz w:val="32"/>
          <w:szCs w:val="32"/>
        </w:rPr>
        <w:t>（二）基金管理人</w:t>
      </w:r>
      <w:r>
        <w:rPr>
          <w:rFonts w:hint="eastAsia" w:eastAsia="仿宋_GB2312"/>
          <w:sz w:val="32"/>
          <w:szCs w:val="32"/>
        </w:rPr>
        <w:t>最近2年未因重大违法违规行为而受到处罚；最近1年未被采取重大监管措施，不存在因涉嫌重大违法违规正受到有关机关或者行业自律组织调查的情形</w:t>
      </w:r>
      <w:r>
        <w:rPr>
          <w:rFonts w:eastAsia="仿宋_GB2312"/>
          <w:sz w:val="32"/>
          <w:szCs w:val="32"/>
        </w:rPr>
        <w:t>；</w:t>
      </w:r>
    </w:p>
    <w:p w14:paraId="0C3D9211">
      <w:pPr>
        <w:pStyle w:val="64"/>
        <w:tabs>
          <w:tab w:val="left" w:pos="1701"/>
        </w:tabs>
        <w:spacing w:line="540" w:lineRule="exact"/>
        <w:ind w:firstLine="64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）基金管理人现任</w:t>
      </w:r>
      <w:r>
        <w:rPr>
          <w:rFonts w:hint="eastAsia" w:eastAsia="仿宋_GB2312"/>
          <w:sz w:val="32"/>
          <w:szCs w:val="32"/>
        </w:rPr>
        <w:t>有</w:t>
      </w:r>
      <w:r>
        <w:rPr>
          <w:rFonts w:eastAsia="仿宋_GB2312"/>
          <w:sz w:val="32"/>
          <w:szCs w:val="32"/>
        </w:rPr>
        <w:t>关主要负责人员</w:t>
      </w:r>
      <w:r>
        <w:rPr>
          <w:rFonts w:hint="eastAsia" w:eastAsia="仿宋_GB2312"/>
          <w:sz w:val="32"/>
          <w:szCs w:val="32"/>
        </w:rPr>
        <w:t>最近36个月内未受到中国证监会的行政处罚</w:t>
      </w:r>
      <w:r>
        <w:rPr>
          <w:rFonts w:eastAsia="仿宋_GB2312"/>
          <w:sz w:val="32"/>
          <w:szCs w:val="32"/>
        </w:rPr>
        <w:t>；</w:t>
      </w:r>
      <w:r>
        <w:rPr>
          <w:rFonts w:hint="eastAsia" w:eastAsia="仿宋_GB2312"/>
          <w:sz w:val="32"/>
          <w:szCs w:val="32"/>
        </w:rPr>
        <w:t>最近12个月内未受到证券交易所等自律组织的重大纪律处分或者中国证监会的重大监管措施；</w:t>
      </w:r>
    </w:p>
    <w:p w14:paraId="34933155">
      <w:pPr>
        <w:pStyle w:val="64"/>
        <w:tabs>
          <w:tab w:val="left" w:pos="1701"/>
        </w:tabs>
        <w:spacing w:line="540" w:lineRule="exact"/>
        <w:ind w:firstLine="64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）基金管理人不存在擅自改变不动产基金前次募集资金用途未作纠正的情形；</w:t>
      </w:r>
    </w:p>
    <w:p w14:paraId="2FFCA8A5">
      <w:pPr>
        <w:pStyle w:val="64"/>
        <w:tabs>
          <w:tab w:val="left" w:pos="1701"/>
        </w:tabs>
        <w:spacing w:line="540" w:lineRule="exact"/>
        <w:ind w:firstLine="64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）基金管理人、持有份额不低于20%的第一大不动产基金持有人最近1年不存在未履行向本基金投资者作出的公开承诺的情形；</w:t>
      </w:r>
    </w:p>
    <w:p w14:paraId="3B789C66">
      <w:pPr>
        <w:pStyle w:val="64"/>
        <w:tabs>
          <w:tab w:val="left" w:pos="1701"/>
        </w:tabs>
        <w:spacing w:line="540" w:lineRule="exact"/>
        <w:ind w:firstLine="64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）基金管理人、持有份额不低于20%的第一大不动产基金持有人最近3年不存在严重损害不动产基金利益、投资者合法权益、社会公共利益的重大违法行为；</w:t>
      </w:r>
    </w:p>
    <w:p w14:paraId="423C0708">
      <w:pPr>
        <w:pStyle w:val="64"/>
        <w:tabs>
          <w:tab w:val="left" w:pos="1701"/>
        </w:tabs>
        <w:spacing w:line="540" w:lineRule="exact"/>
        <w:ind w:firstLine="640"/>
        <w:rPr>
          <w:rFonts w:eastAsia="仿宋_GB2312"/>
          <w:sz w:val="32"/>
          <w:szCs w:val="32"/>
        </w:rPr>
      </w:pPr>
      <w:r>
        <w:rPr>
          <w:rFonts w:eastAsia="仿宋_GB2312"/>
          <w:sz w:val="32"/>
          <w:szCs w:val="32"/>
        </w:rPr>
        <w:t>（</w:t>
      </w:r>
      <w:r>
        <w:rPr>
          <w:rFonts w:hint="eastAsia" w:eastAsia="仿宋_GB2312"/>
          <w:sz w:val="32"/>
          <w:szCs w:val="32"/>
        </w:rPr>
        <w:t>七</w:t>
      </w:r>
      <w:r>
        <w:rPr>
          <w:rFonts w:eastAsia="仿宋_GB2312"/>
          <w:sz w:val="32"/>
          <w:szCs w:val="32"/>
        </w:rPr>
        <w:t>）中国证监会和本所规定的其他条件。</w:t>
      </w:r>
    </w:p>
    <w:p w14:paraId="01972658">
      <w:pPr>
        <w:pStyle w:val="64"/>
        <w:tabs>
          <w:tab w:val="left" w:pos="1701"/>
        </w:tabs>
        <w:spacing w:line="540" w:lineRule="exact"/>
        <w:ind w:firstLine="643"/>
        <w:rPr>
          <w:rFonts w:eastAsia="仿宋_GB2312"/>
          <w:sz w:val="32"/>
          <w:szCs w:val="32"/>
        </w:rPr>
      </w:pPr>
      <w:r>
        <w:rPr>
          <w:rFonts w:eastAsia="仿宋_GB2312"/>
          <w:b/>
          <w:bCs/>
          <w:sz w:val="32"/>
          <w:szCs w:val="32"/>
        </w:rPr>
        <w:t xml:space="preserve">第八条 </w:t>
      </w:r>
      <w:r>
        <w:rPr>
          <w:rFonts w:eastAsia="仿宋_GB2312"/>
          <w:sz w:val="32"/>
          <w:szCs w:val="32"/>
        </w:rPr>
        <w:t>基金管理人应当综合考虑现有不动产基金规模、自身管理能力、持有人结构、二级市场流动性等因素，合理确定拟购入不动产项目业态、规模、融资方式和结构等。</w:t>
      </w:r>
    </w:p>
    <w:p w14:paraId="0E47D176">
      <w:pPr>
        <w:pStyle w:val="64"/>
        <w:tabs>
          <w:tab w:val="left" w:pos="1701"/>
        </w:tabs>
        <w:spacing w:line="540" w:lineRule="exact"/>
        <w:ind w:firstLine="640"/>
        <w:rPr>
          <w:rFonts w:eastAsia="仿宋_GB2312"/>
          <w:sz w:val="32"/>
          <w:szCs w:val="32"/>
        </w:rPr>
      </w:pPr>
      <w:r>
        <w:rPr>
          <w:rFonts w:eastAsia="仿宋_GB2312"/>
          <w:sz w:val="32"/>
          <w:szCs w:val="32"/>
        </w:rPr>
        <w:t>不动产基金存续期间拟购入不动产项目的标准和要求与不动产基金首次发售一致，中国证监会认定的情形除外。</w:t>
      </w:r>
    </w:p>
    <w:p w14:paraId="432B11CA">
      <w:pPr>
        <w:pStyle w:val="64"/>
        <w:tabs>
          <w:tab w:val="left" w:pos="1701"/>
        </w:tabs>
        <w:spacing w:line="540" w:lineRule="exact"/>
        <w:ind w:firstLine="640"/>
        <w:rPr>
          <w:rFonts w:eastAsia="仿宋_GB2312"/>
          <w:sz w:val="32"/>
          <w:szCs w:val="32"/>
        </w:rPr>
      </w:pPr>
      <w:r>
        <w:rPr>
          <w:rFonts w:eastAsia="仿宋_GB2312"/>
          <w:sz w:val="32"/>
          <w:szCs w:val="32"/>
        </w:rPr>
        <w:t>基金管理人应当遵循基金份额持有人利益优先的原则，根据拟购入不动产</w:t>
      </w:r>
      <w:r>
        <w:rPr>
          <w:rFonts w:hint="eastAsia" w:eastAsia="仿宋_GB2312"/>
          <w:sz w:val="32"/>
          <w:szCs w:val="32"/>
        </w:rPr>
        <w:t>项目</w:t>
      </w:r>
      <w:r>
        <w:rPr>
          <w:rFonts w:eastAsia="仿宋_GB2312"/>
          <w:sz w:val="32"/>
          <w:szCs w:val="32"/>
        </w:rPr>
        <w:t>评估值及其市场公允价值等有关因素，合理确定拟购入不动产项目的交易价格或</w:t>
      </w:r>
      <w:r>
        <w:rPr>
          <w:rFonts w:hint="eastAsia" w:eastAsia="仿宋_GB2312"/>
          <w:sz w:val="32"/>
          <w:szCs w:val="32"/>
        </w:rPr>
        <w:t>者</w:t>
      </w:r>
      <w:r>
        <w:rPr>
          <w:rFonts w:eastAsia="仿宋_GB2312"/>
          <w:sz w:val="32"/>
          <w:szCs w:val="32"/>
        </w:rPr>
        <w:t>价格区间，按照规定履行必要决策程序。交易价格应当公允，不存在损害基金份额持有人合法权益的情形。</w:t>
      </w:r>
    </w:p>
    <w:p w14:paraId="55CBEB01">
      <w:pPr>
        <w:pStyle w:val="64"/>
        <w:tabs>
          <w:tab w:val="left" w:pos="1701"/>
        </w:tabs>
        <w:spacing w:line="540" w:lineRule="exact"/>
        <w:ind w:firstLine="643"/>
        <w:rPr>
          <w:rFonts w:eastAsia="仿宋_GB2312"/>
          <w:sz w:val="32"/>
          <w:szCs w:val="32"/>
        </w:rPr>
      </w:pPr>
      <w:r>
        <w:rPr>
          <w:rFonts w:eastAsia="仿宋_GB2312"/>
          <w:b/>
          <w:bCs/>
          <w:sz w:val="32"/>
          <w:szCs w:val="32"/>
        </w:rPr>
        <w:t xml:space="preserve">第九条 </w:t>
      </w:r>
      <w:r>
        <w:rPr>
          <w:rFonts w:eastAsia="仿宋_GB2312"/>
          <w:sz w:val="32"/>
          <w:szCs w:val="32"/>
        </w:rPr>
        <w:t>不动产基金新购入不动产项目的，可以单独或</w:t>
      </w:r>
      <w:r>
        <w:rPr>
          <w:rFonts w:hint="eastAsia" w:eastAsia="仿宋_GB2312"/>
          <w:sz w:val="32"/>
          <w:szCs w:val="32"/>
        </w:rPr>
        <w:t>者</w:t>
      </w:r>
      <w:r>
        <w:rPr>
          <w:rFonts w:eastAsia="仿宋_GB2312"/>
          <w:sz w:val="32"/>
          <w:szCs w:val="32"/>
        </w:rPr>
        <w:t>同时以留存资金、对外借款或者扩募资金等作为资金来源。</w:t>
      </w:r>
    </w:p>
    <w:p w14:paraId="088C5764">
      <w:pPr>
        <w:pStyle w:val="64"/>
        <w:tabs>
          <w:tab w:val="left" w:pos="1701"/>
        </w:tabs>
        <w:spacing w:line="540" w:lineRule="exact"/>
        <w:ind w:firstLine="640"/>
        <w:rPr>
          <w:rFonts w:eastAsia="仿宋_GB2312"/>
          <w:sz w:val="32"/>
          <w:szCs w:val="32"/>
        </w:rPr>
      </w:pPr>
      <w:r>
        <w:rPr>
          <w:rFonts w:eastAsia="仿宋_GB2312"/>
          <w:sz w:val="32"/>
          <w:szCs w:val="32"/>
        </w:rPr>
        <w:t>基金管理人应当遵循公平、公正、基金份额持有人利益优先的原则，在有效保障不动产基金可供分配现金流充裕性</w:t>
      </w:r>
      <w:r>
        <w:rPr>
          <w:rFonts w:hint="eastAsia" w:eastAsia="仿宋_GB2312"/>
          <w:sz w:val="32"/>
          <w:szCs w:val="32"/>
        </w:rPr>
        <w:t>以</w:t>
      </w:r>
      <w:r>
        <w:rPr>
          <w:rFonts w:eastAsia="仿宋_GB2312"/>
          <w:sz w:val="32"/>
          <w:szCs w:val="32"/>
        </w:rPr>
        <w:t>及分红稳定性前提下，合理确定拟购入不动产项目的资金来源，按照规定履行必要决策程序。</w:t>
      </w:r>
    </w:p>
    <w:p w14:paraId="750CC8C6">
      <w:pPr>
        <w:pStyle w:val="64"/>
        <w:tabs>
          <w:tab w:val="left" w:pos="1701"/>
        </w:tabs>
        <w:spacing w:line="540" w:lineRule="exact"/>
        <w:ind w:firstLine="643"/>
        <w:rPr>
          <w:rFonts w:eastAsia="仿宋_GB2312"/>
          <w:sz w:val="32"/>
          <w:szCs w:val="32"/>
        </w:rPr>
      </w:pPr>
      <w:r>
        <w:rPr>
          <w:rFonts w:eastAsia="仿宋_GB2312"/>
          <w:b/>
          <w:bCs/>
          <w:sz w:val="32"/>
          <w:szCs w:val="32"/>
        </w:rPr>
        <w:t xml:space="preserve">第十条 </w:t>
      </w:r>
      <w:r>
        <w:rPr>
          <w:rFonts w:hint="eastAsia" w:eastAsia="仿宋_GB2312"/>
          <w:sz w:val="32"/>
          <w:szCs w:val="32"/>
        </w:rPr>
        <w:t>对</w:t>
      </w:r>
      <w:r>
        <w:rPr>
          <w:rFonts w:eastAsia="仿宋_GB2312"/>
          <w:sz w:val="32"/>
          <w:szCs w:val="32"/>
        </w:rPr>
        <w:t>拟购入不动产项目的原始权益人</w:t>
      </w:r>
      <w:r>
        <w:rPr>
          <w:rFonts w:hint="eastAsia" w:eastAsia="仿宋_GB2312"/>
          <w:sz w:val="32"/>
          <w:szCs w:val="32"/>
        </w:rPr>
        <w:t>及其应当</w:t>
      </w:r>
      <w:r>
        <w:rPr>
          <w:rFonts w:eastAsia="仿宋_GB2312"/>
          <w:sz w:val="32"/>
          <w:szCs w:val="32"/>
        </w:rPr>
        <w:t>履行义务</w:t>
      </w:r>
      <w:r>
        <w:rPr>
          <w:rFonts w:hint="eastAsia" w:eastAsia="仿宋_GB2312"/>
          <w:sz w:val="32"/>
          <w:szCs w:val="32"/>
        </w:rPr>
        <w:t>的要求</w:t>
      </w:r>
      <w:r>
        <w:rPr>
          <w:rFonts w:eastAsia="仿宋_GB2312"/>
          <w:sz w:val="32"/>
          <w:szCs w:val="32"/>
        </w:rPr>
        <w:t>与不动产基金首次发售一致，中国证监会认定的情形除外。</w:t>
      </w:r>
    </w:p>
    <w:p w14:paraId="66C2C6EB">
      <w:pPr>
        <w:spacing w:line="540" w:lineRule="exact"/>
        <w:jc w:val="center"/>
        <w:rPr>
          <w:rFonts w:eastAsia="黑体"/>
          <w:bCs/>
          <w:sz w:val="32"/>
          <w:szCs w:val="32"/>
        </w:rPr>
      </w:pPr>
      <w:r>
        <w:rPr>
          <w:rFonts w:eastAsia="黑体"/>
          <w:bCs/>
          <w:sz w:val="32"/>
          <w:szCs w:val="32"/>
        </w:rPr>
        <w:t>第三章  新购入不动产</w:t>
      </w:r>
      <w:r>
        <w:rPr>
          <w:rFonts w:hint="eastAsia" w:eastAsia="黑体"/>
          <w:bCs/>
          <w:sz w:val="32"/>
          <w:szCs w:val="32"/>
        </w:rPr>
        <w:t>项目</w:t>
      </w:r>
      <w:r>
        <w:rPr>
          <w:rFonts w:eastAsia="黑体"/>
          <w:bCs/>
          <w:sz w:val="32"/>
          <w:szCs w:val="32"/>
        </w:rPr>
        <w:t>的程序</w:t>
      </w:r>
    </w:p>
    <w:p w14:paraId="2B437D85">
      <w:pPr>
        <w:pStyle w:val="64"/>
        <w:tabs>
          <w:tab w:val="left" w:pos="1701"/>
        </w:tabs>
        <w:spacing w:line="540" w:lineRule="exact"/>
        <w:ind w:firstLine="643"/>
        <w:rPr>
          <w:rFonts w:eastAsia="仿宋_GB2312"/>
          <w:sz w:val="32"/>
          <w:szCs w:val="32"/>
        </w:rPr>
      </w:pPr>
      <w:r>
        <w:rPr>
          <w:rFonts w:eastAsia="仿宋_GB2312"/>
          <w:b/>
          <w:bCs/>
          <w:sz w:val="32"/>
          <w:szCs w:val="32"/>
        </w:rPr>
        <w:t xml:space="preserve">第十一条 </w:t>
      </w:r>
      <w:r>
        <w:rPr>
          <w:rFonts w:eastAsia="仿宋_GB2312"/>
          <w:sz w:val="32"/>
          <w:szCs w:val="32"/>
        </w:rPr>
        <w:t>基金管理人与交易对方就不动产</w:t>
      </w:r>
      <w:r>
        <w:rPr>
          <w:rFonts w:hint="eastAsia" w:eastAsia="仿宋_GB2312"/>
          <w:sz w:val="32"/>
          <w:szCs w:val="32"/>
        </w:rPr>
        <w:t>项目</w:t>
      </w:r>
      <w:r>
        <w:rPr>
          <w:rFonts w:eastAsia="仿宋_GB2312"/>
          <w:sz w:val="32"/>
          <w:szCs w:val="32"/>
        </w:rPr>
        <w:t>购入进行初步磋商时，应当立即采取必要且充分的保密措施，制定严格有效的保密制度，限定相关敏感信息的知悉范围。基金管理人</w:t>
      </w:r>
      <w:r>
        <w:rPr>
          <w:rFonts w:hint="eastAsia" w:eastAsia="仿宋_GB2312"/>
          <w:sz w:val="32"/>
          <w:szCs w:val="32"/>
        </w:rPr>
        <w:t>和</w:t>
      </w:r>
      <w:r>
        <w:rPr>
          <w:rFonts w:eastAsia="仿宋_GB2312"/>
          <w:sz w:val="32"/>
          <w:szCs w:val="32"/>
        </w:rPr>
        <w:t>交易对方聘请专业机构的，应当立即与所聘请专业机构签署保密协议。</w:t>
      </w:r>
    </w:p>
    <w:p w14:paraId="0BDE6726">
      <w:pPr>
        <w:pStyle w:val="64"/>
        <w:tabs>
          <w:tab w:val="left" w:pos="1701"/>
        </w:tabs>
        <w:spacing w:line="540" w:lineRule="exact"/>
        <w:ind w:firstLine="640"/>
        <w:rPr>
          <w:rFonts w:eastAsia="仿宋_GB2312"/>
          <w:sz w:val="32"/>
          <w:szCs w:val="32"/>
        </w:rPr>
      </w:pPr>
      <w:r>
        <w:rPr>
          <w:rFonts w:eastAsia="仿宋_GB2312"/>
          <w:sz w:val="32"/>
          <w:szCs w:val="32"/>
        </w:rPr>
        <w:t>基金管理人披露拟购入不动产项目的决定前，相关信息已在媒体上传播或者不动产基金交易出现异常波动的，基金管理人应当立即将有关计划、方案或者事项的现状</w:t>
      </w:r>
      <w:r>
        <w:rPr>
          <w:rFonts w:hint="eastAsia" w:eastAsia="仿宋_GB2312"/>
          <w:sz w:val="32"/>
          <w:szCs w:val="32"/>
        </w:rPr>
        <w:t>，</w:t>
      </w:r>
      <w:r>
        <w:rPr>
          <w:rFonts w:eastAsia="仿宋_GB2312"/>
          <w:sz w:val="32"/>
          <w:szCs w:val="32"/>
        </w:rPr>
        <w:t>以及进展情况和风险因素等予以公告，并按照有关信息披露规则办理其他相关事宜。</w:t>
      </w:r>
    </w:p>
    <w:p w14:paraId="69EEEC37">
      <w:pPr>
        <w:pStyle w:val="64"/>
        <w:tabs>
          <w:tab w:val="left" w:pos="1701"/>
        </w:tabs>
        <w:spacing w:line="540" w:lineRule="exact"/>
        <w:ind w:firstLine="643"/>
        <w:rPr>
          <w:rFonts w:eastAsia="仿宋_GB2312"/>
          <w:sz w:val="32"/>
          <w:szCs w:val="32"/>
        </w:rPr>
      </w:pPr>
      <w:r>
        <w:rPr>
          <w:rFonts w:eastAsia="仿宋_GB2312"/>
          <w:b/>
          <w:bCs/>
          <w:sz w:val="32"/>
          <w:szCs w:val="32"/>
        </w:rPr>
        <w:t xml:space="preserve">第十二条 </w:t>
      </w:r>
      <w:r>
        <w:rPr>
          <w:rFonts w:eastAsia="仿宋_GB2312"/>
          <w:sz w:val="32"/>
          <w:szCs w:val="32"/>
        </w:rPr>
        <w:t>基金管理人应当按照规定对拟购入的不动产</w:t>
      </w:r>
      <w:r>
        <w:rPr>
          <w:rFonts w:hint="eastAsia" w:eastAsia="仿宋_GB2312"/>
          <w:sz w:val="32"/>
          <w:szCs w:val="32"/>
        </w:rPr>
        <w:t>项目</w:t>
      </w:r>
      <w:r>
        <w:rPr>
          <w:rFonts w:eastAsia="仿宋_GB2312"/>
          <w:sz w:val="32"/>
          <w:szCs w:val="32"/>
        </w:rPr>
        <w:t>进行全面尽职调查，</w:t>
      </w:r>
      <w:r>
        <w:rPr>
          <w:rFonts w:hint="eastAsia" w:eastAsia="仿宋_GB2312"/>
          <w:sz w:val="32"/>
          <w:szCs w:val="32"/>
        </w:rPr>
        <w:t>必要时可以聘请财务顾问开展尽职调查，也</w:t>
      </w:r>
      <w:r>
        <w:rPr>
          <w:rFonts w:eastAsia="仿宋_GB2312"/>
          <w:sz w:val="32"/>
          <w:szCs w:val="32"/>
        </w:rPr>
        <w:t>可以与资产支持证券管理人联合开展尽职调查，尽职调查要求与不动产基金首次发售要求一致。</w:t>
      </w:r>
    </w:p>
    <w:p w14:paraId="35BA4768">
      <w:pPr>
        <w:pStyle w:val="64"/>
        <w:tabs>
          <w:tab w:val="left" w:pos="1701"/>
        </w:tabs>
        <w:spacing w:line="540" w:lineRule="exact"/>
        <w:ind w:firstLine="640"/>
        <w:rPr>
          <w:rFonts w:eastAsia="仿宋_GB2312"/>
          <w:sz w:val="32"/>
          <w:szCs w:val="32"/>
        </w:rPr>
      </w:pPr>
      <w:r>
        <w:rPr>
          <w:rFonts w:eastAsia="仿宋_GB2312"/>
          <w:sz w:val="32"/>
          <w:szCs w:val="32"/>
        </w:rPr>
        <w:t>基金管理人或其关联方与拟购入不动产项目原始权益人存在关联关系，或</w:t>
      </w:r>
      <w:r>
        <w:rPr>
          <w:rFonts w:hint="eastAsia" w:eastAsia="仿宋_GB2312"/>
          <w:sz w:val="32"/>
          <w:szCs w:val="32"/>
        </w:rPr>
        <w:t>者</w:t>
      </w:r>
      <w:r>
        <w:rPr>
          <w:rFonts w:eastAsia="仿宋_GB2312"/>
          <w:sz w:val="32"/>
          <w:szCs w:val="32"/>
        </w:rPr>
        <w:t>享有不动产权益</w:t>
      </w:r>
      <w:r>
        <w:rPr>
          <w:rFonts w:hint="eastAsia" w:eastAsia="仿宋_GB2312"/>
          <w:sz w:val="32"/>
          <w:szCs w:val="32"/>
        </w:rPr>
        <w:t>时</w:t>
      </w:r>
      <w:r>
        <w:rPr>
          <w:rFonts w:eastAsia="仿宋_GB2312"/>
          <w:sz w:val="32"/>
          <w:szCs w:val="32"/>
        </w:rPr>
        <w:t>，应当聘请第三方财务顾问独立开展尽职调查，并出具财务顾问报告。</w:t>
      </w:r>
    </w:p>
    <w:p w14:paraId="60563700">
      <w:pPr>
        <w:pStyle w:val="64"/>
        <w:tabs>
          <w:tab w:val="left" w:pos="1701"/>
        </w:tabs>
        <w:spacing w:line="540" w:lineRule="exact"/>
        <w:ind w:firstLine="640"/>
        <w:rPr>
          <w:rFonts w:eastAsia="仿宋_GB2312"/>
          <w:sz w:val="32"/>
          <w:szCs w:val="32"/>
        </w:rPr>
      </w:pPr>
      <w:r>
        <w:rPr>
          <w:rFonts w:eastAsia="仿宋_GB2312"/>
          <w:sz w:val="32"/>
          <w:szCs w:val="32"/>
        </w:rPr>
        <w:t>涉及新设不动产资产支持证券的，基金管理人应当与资产支持证券管理人协商确定不动产资产支持证券设立、发行等相关事宜，确保基金变更注册、扩募（如有）、投资运作与资产支持证券设立、发行之间有效衔接。</w:t>
      </w:r>
    </w:p>
    <w:p w14:paraId="0764F6DF">
      <w:pPr>
        <w:pStyle w:val="64"/>
        <w:tabs>
          <w:tab w:val="left" w:pos="1701"/>
        </w:tabs>
        <w:spacing w:line="540" w:lineRule="exact"/>
        <w:ind w:firstLine="643"/>
        <w:rPr>
          <w:rFonts w:eastAsia="仿宋_GB2312"/>
          <w:sz w:val="32"/>
          <w:szCs w:val="32"/>
        </w:rPr>
      </w:pPr>
      <w:r>
        <w:rPr>
          <w:rFonts w:eastAsia="仿宋_GB2312"/>
          <w:b/>
          <w:bCs/>
          <w:sz w:val="32"/>
          <w:szCs w:val="32"/>
        </w:rPr>
        <w:t xml:space="preserve">第十三条 </w:t>
      </w:r>
      <w:r>
        <w:rPr>
          <w:rFonts w:eastAsia="仿宋_GB2312"/>
          <w:sz w:val="32"/>
          <w:szCs w:val="32"/>
        </w:rPr>
        <w:t>基金管理人应当聘请符合法律法规规定的</w:t>
      </w:r>
      <w:r>
        <w:rPr>
          <w:rFonts w:hint="eastAsia" w:eastAsia="仿宋_GB2312"/>
          <w:sz w:val="32"/>
          <w:szCs w:val="32"/>
        </w:rPr>
        <w:t>会计师事务所、</w:t>
      </w:r>
      <w:r>
        <w:rPr>
          <w:rFonts w:eastAsia="仿宋_GB2312"/>
          <w:sz w:val="32"/>
          <w:szCs w:val="32"/>
        </w:rPr>
        <w:t>律师事务所、</w:t>
      </w:r>
      <w:r>
        <w:rPr>
          <w:rFonts w:hint="eastAsia" w:eastAsia="仿宋_GB2312"/>
          <w:sz w:val="32"/>
          <w:szCs w:val="32"/>
        </w:rPr>
        <w:t>资产</w:t>
      </w:r>
      <w:r>
        <w:rPr>
          <w:rFonts w:eastAsia="仿宋_GB2312"/>
          <w:sz w:val="32"/>
          <w:szCs w:val="32"/>
        </w:rPr>
        <w:t>评估机构等专业机构就拟购入不动产项目出具意见。</w:t>
      </w:r>
    </w:p>
    <w:p w14:paraId="09D5BB29">
      <w:pPr>
        <w:pStyle w:val="64"/>
        <w:tabs>
          <w:tab w:val="left" w:pos="1701"/>
        </w:tabs>
        <w:spacing w:line="540" w:lineRule="exact"/>
        <w:ind w:firstLine="640"/>
        <w:rPr>
          <w:rFonts w:eastAsia="仿宋_GB2312"/>
          <w:sz w:val="32"/>
          <w:szCs w:val="32"/>
        </w:rPr>
      </w:pPr>
      <w:r>
        <w:rPr>
          <w:rFonts w:hint="eastAsia" w:eastAsia="仿宋_GB2312"/>
          <w:sz w:val="32"/>
          <w:szCs w:val="32"/>
        </w:rPr>
        <w:t>会计师事务所对拟购入不动产项目财务情况进行审计，并出具报告。</w:t>
      </w:r>
      <w:r>
        <w:rPr>
          <w:rFonts w:eastAsia="仿宋_GB2312"/>
          <w:sz w:val="32"/>
          <w:szCs w:val="32"/>
        </w:rPr>
        <w:t>律师事务所就拟购入不动产项目合法合规性、转让行为合法性、主要参与机构资质等出具法律意见书。</w:t>
      </w:r>
      <w:r>
        <w:rPr>
          <w:rFonts w:hint="eastAsia" w:eastAsia="仿宋_GB2312"/>
          <w:sz w:val="32"/>
          <w:szCs w:val="32"/>
        </w:rPr>
        <w:t>资产</w:t>
      </w:r>
      <w:r>
        <w:rPr>
          <w:rFonts w:eastAsia="仿宋_GB2312"/>
          <w:sz w:val="32"/>
          <w:szCs w:val="32"/>
        </w:rPr>
        <w:t>评估机构对拟购入不动产</w:t>
      </w:r>
      <w:r>
        <w:rPr>
          <w:rFonts w:hint="eastAsia" w:eastAsia="仿宋_GB2312"/>
          <w:sz w:val="32"/>
          <w:szCs w:val="32"/>
        </w:rPr>
        <w:t>项目</w:t>
      </w:r>
      <w:r>
        <w:rPr>
          <w:rFonts w:eastAsia="仿宋_GB2312"/>
          <w:sz w:val="32"/>
          <w:szCs w:val="32"/>
        </w:rPr>
        <w:t>进行评估，并出具评估报告。</w:t>
      </w:r>
    </w:p>
    <w:p w14:paraId="36053842">
      <w:pPr>
        <w:pStyle w:val="64"/>
        <w:tabs>
          <w:tab w:val="left" w:pos="1701"/>
        </w:tabs>
        <w:spacing w:line="540" w:lineRule="exact"/>
        <w:ind w:firstLine="643"/>
        <w:rPr>
          <w:rFonts w:eastAsia="仿宋_GB2312"/>
          <w:sz w:val="32"/>
          <w:szCs w:val="32"/>
        </w:rPr>
      </w:pPr>
      <w:r>
        <w:rPr>
          <w:rFonts w:eastAsia="仿宋_GB2312"/>
          <w:b/>
          <w:bCs/>
          <w:sz w:val="32"/>
          <w:szCs w:val="32"/>
        </w:rPr>
        <w:t>第十四条</w:t>
      </w:r>
      <w:r>
        <w:rPr>
          <w:rFonts w:eastAsia="仿宋_GB2312"/>
          <w:sz w:val="32"/>
          <w:szCs w:val="32"/>
        </w:rPr>
        <w:t xml:space="preserve"> 拟购入的不动产</w:t>
      </w:r>
      <w:r>
        <w:rPr>
          <w:rFonts w:hint="eastAsia" w:eastAsia="仿宋_GB2312"/>
          <w:sz w:val="32"/>
          <w:szCs w:val="32"/>
        </w:rPr>
        <w:t>项目</w:t>
      </w:r>
      <w:r>
        <w:rPr>
          <w:rFonts w:eastAsia="仿宋_GB2312"/>
          <w:sz w:val="32"/>
          <w:szCs w:val="32"/>
        </w:rPr>
        <w:t>以资产评估结果作为定价依据或</w:t>
      </w:r>
      <w:r>
        <w:rPr>
          <w:rFonts w:hint="eastAsia" w:eastAsia="仿宋_GB2312"/>
          <w:sz w:val="32"/>
          <w:szCs w:val="32"/>
        </w:rPr>
        <w:t>者</w:t>
      </w:r>
      <w:r>
        <w:rPr>
          <w:rFonts w:eastAsia="仿宋_GB2312"/>
          <w:sz w:val="32"/>
          <w:szCs w:val="32"/>
        </w:rPr>
        <w:t>参考的，评估机构应当按照资产评估</w:t>
      </w:r>
      <w:r>
        <w:rPr>
          <w:rFonts w:hint="eastAsia" w:eastAsia="仿宋_GB2312"/>
          <w:sz w:val="32"/>
          <w:szCs w:val="32"/>
        </w:rPr>
        <w:t>有</w:t>
      </w:r>
      <w:r>
        <w:rPr>
          <w:rFonts w:eastAsia="仿宋_GB2312"/>
          <w:sz w:val="32"/>
          <w:szCs w:val="32"/>
        </w:rPr>
        <w:t>关准则和规范开展执业活动。基金管理人、财务顾问（如有）应当对评估机构的独立性、评估假设前提的合理性、评估方法与评估目的的相关性</w:t>
      </w:r>
      <w:r>
        <w:rPr>
          <w:rFonts w:hint="eastAsia" w:eastAsia="仿宋_GB2312"/>
          <w:sz w:val="32"/>
          <w:szCs w:val="32"/>
        </w:rPr>
        <w:t>，以及</w:t>
      </w:r>
      <w:r>
        <w:rPr>
          <w:rFonts w:eastAsia="仿宋_GB2312"/>
          <w:sz w:val="32"/>
          <w:szCs w:val="32"/>
        </w:rPr>
        <w:t>交易价格的公允性发表意见，在招募说明书等文件中披露。</w:t>
      </w:r>
    </w:p>
    <w:p w14:paraId="26ADB5FA">
      <w:pPr>
        <w:pStyle w:val="64"/>
        <w:tabs>
          <w:tab w:val="left" w:pos="1701"/>
        </w:tabs>
        <w:spacing w:line="540" w:lineRule="exact"/>
        <w:ind w:firstLine="640"/>
        <w:rPr>
          <w:rFonts w:eastAsia="仿宋_GB2312"/>
          <w:sz w:val="32"/>
          <w:szCs w:val="32"/>
        </w:rPr>
      </w:pPr>
      <w:r>
        <w:rPr>
          <w:rFonts w:eastAsia="仿宋_GB2312"/>
          <w:sz w:val="32"/>
          <w:szCs w:val="32"/>
        </w:rPr>
        <w:t>采取收益法等基于未来收益预期的方法对拟购入不动产项目进行评估并作为定价参考依据的，不动产基金应当在购入不动产项目后2年内的年度报告中单独披露相关项目可供分配金额的实际数与预测数的差异情况，并由会计师事务所对此出具专项审核意见。</w:t>
      </w:r>
    </w:p>
    <w:p w14:paraId="2F9D9C04">
      <w:pPr>
        <w:pStyle w:val="64"/>
        <w:tabs>
          <w:tab w:val="left" w:pos="1701"/>
        </w:tabs>
        <w:spacing w:line="540" w:lineRule="exact"/>
        <w:ind w:firstLine="643"/>
        <w:rPr>
          <w:rFonts w:eastAsia="仿宋_GB2312"/>
          <w:sz w:val="32"/>
          <w:szCs w:val="32"/>
        </w:rPr>
      </w:pPr>
      <w:r>
        <w:rPr>
          <w:rFonts w:eastAsia="仿宋_GB2312"/>
          <w:b/>
          <w:bCs/>
          <w:sz w:val="32"/>
          <w:szCs w:val="32"/>
        </w:rPr>
        <w:t xml:space="preserve">第十五条 </w:t>
      </w:r>
      <w:r>
        <w:rPr>
          <w:rFonts w:eastAsia="仿宋_GB2312"/>
          <w:sz w:val="32"/>
          <w:szCs w:val="32"/>
        </w:rPr>
        <w:t>基金管理人应当在作出拟购入不动产项目决定前履行必要内部决策程序，并于作出拟购入不动产项目决定后2日内披露临时公告，同时至少披露</w:t>
      </w:r>
      <w:r>
        <w:rPr>
          <w:rFonts w:hint="eastAsia" w:eastAsia="仿宋_GB2312"/>
          <w:sz w:val="32"/>
          <w:szCs w:val="32"/>
        </w:rPr>
        <w:t>下列</w:t>
      </w:r>
      <w:r>
        <w:rPr>
          <w:rFonts w:eastAsia="仿宋_GB2312"/>
          <w:sz w:val="32"/>
          <w:szCs w:val="32"/>
        </w:rPr>
        <w:t>文件：</w:t>
      </w:r>
    </w:p>
    <w:p w14:paraId="034F9712">
      <w:pPr>
        <w:pStyle w:val="64"/>
        <w:tabs>
          <w:tab w:val="left" w:pos="1701"/>
        </w:tabs>
        <w:spacing w:line="540" w:lineRule="exact"/>
        <w:ind w:firstLine="640"/>
        <w:rPr>
          <w:rFonts w:eastAsia="仿宋_GB2312"/>
          <w:sz w:val="32"/>
          <w:szCs w:val="32"/>
        </w:rPr>
      </w:pPr>
      <w:r>
        <w:rPr>
          <w:rFonts w:eastAsia="仿宋_GB2312"/>
          <w:sz w:val="32"/>
          <w:szCs w:val="32"/>
        </w:rPr>
        <w:t>（一）拟购入不动产项目的决定；</w:t>
      </w:r>
    </w:p>
    <w:p w14:paraId="018FBE57">
      <w:pPr>
        <w:pStyle w:val="64"/>
        <w:tabs>
          <w:tab w:val="left" w:pos="1701"/>
        </w:tabs>
        <w:spacing w:line="540" w:lineRule="exact"/>
        <w:ind w:firstLine="640"/>
        <w:rPr>
          <w:rFonts w:eastAsia="仿宋_GB2312"/>
          <w:sz w:val="32"/>
          <w:szCs w:val="32"/>
        </w:rPr>
      </w:pPr>
      <w:r>
        <w:rPr>
          <w:rFonts w:eastAsia="仿宋_GB2312"/>
          <w:sz w:val="32"/>
          <w:szCs w:val="32"/>
        </w:rPr>
        <w:t>（二）产品变更草案，内容包括交易概况、拟购入不动产项目</w:t>
      </w:r>
      <w:r>
        <w:rPr>
          <w:rFonts w:hint="eastAsia" w:eastAsia="仿宋_GB2312"/>
          <w:sz w:val="32"/>
          <w:szCs w:val="32"/>
        </w:rPr>
        <w:t>和</w:t>
      </w:r>
      <w:r>
        <w:rPr>
          <w:rFonts w:eastAsia="仿宋_GB2312"/>
          <w:sz w:val="32"/>
          <w:szCs w:val="32"/>
        </w:rPr>
        <w:t>交易对方的基本情况、拟购入不动产项目定价方式和定价依据、资金来源、交易主要风险、交易各方声明与承诺，以及本次交易存在的其他重大因素等；</w:t>
      </w:r>
    </w:p>
    <w:p w14:paraId="0DE5AA04">
      <w:pPr>
        <w:pStyle w:val="64"/>
        <w:tabs>
          <w:tab w:val="left" w:pos="1701"/>
        </w:tabs>
        <w:spacing w:line="540" w:lineRule="exact"/>
        <w:ind w:firstLine="640"/>
        <w:rPr>
          <w:rFonts w:eastAsia="仿宋_GB2312"/>
          <w:sz w:val="32"/>
          <w:szCs w:val="32"/>
        </w:rPr>
      </w:pPr>
      <w:r>
        <w:rPr>
          <w:rFonts w:eastAsia="仿宋_GB2312"/>
          <w:sz w:val="32"/>
          <w:szCs w:val="32"/>
        </w:rPr>
        <w:t>（三）扩募方案（如有），内容包括发</w:t>
      </w:r>
      <w:r>
        <w:rPr>
          <w:rFonts w:hint="eastAsia" w:eastAsia="仿宋_GB2312"/>
          <w:sz w:val="32"/>
          <w:szCs w:val="32"/>
        </w:rPr>
        <w:t>售</w:t>
      </w:r>
      <w:r>
        <w:rPr>
          <w:rFonts w:eastAsia="仿宋_GB2312"/>
          <w:sz w:val="32"/>
          <w:szCs w:val="32"/>
        </w:rPr>
        <w:t>方式、发</w:t>
      </w:r>
      <w:r>
        <w:rPr>
          <w:rFonts w:hint="eastAsia" w:eastAsia="仿宋_GB2312"/>
          <w:sz w:val="32"/>
          <w:szCs w:val="32"/>
        </w:rPr>
        <w:t>售</w:t>
      </w:r>
      <w:r>
        <w:rPr>
          <w:rFonts w:eastAsia="仿宋_GB2312"/>
          <w:sz w:val="32"/>
          <w:szCs w:val="32"/>
        </w:rPr>
        <w:t>对象、定价方式、募集资金用途、对原基金份额持有人的影响</w:t>
      </w:r>
      <w:r>
        <w:rPr>
          <w:rFonts w:hint="eastAsia" w:eastAsia="仿宋_GB2312"/>
          <w:sz w:val="32"/>
          <w:szCs w:val="32"/>
        </w:rPr>
        <w:t>，以及</w:t>
      </w:r>
      <w:r>
        <w:rPr>
          <w:rFonts w:eastAsia="仿宋_GB2312"/>
          <w:sz w:val="32"/>
          <w:szCs w:val="32"/>
        </w:rPr>
        <w:t>发</w:t>
      </w:r>
      <w:r>
        <w:rPr>
          <w:rFonts w:hint="eastAsia" w:eastAsia="仿宋_GB2312"/>
          <w:sz w:val="32"/>
          <w:szCs w:val="32"/>
        </w:rPr>
        <w:t>售</w:t>
      </w:r>
      <w:r>
        <w:rPr>
          <w:rFonts w:eastAsia="仿宋_GB2312"/>
          <w:sz w:val="32"/>
          <w:szCs w:val="32"/>
        </w:rPr>
        <w:t>前累计收益的分配方案（如有）等。</w:t>
      </w:r>
    </w:p>
    <w:p w14:paraId="15521CC9">
      <w:pPr>
        <w:pStyle w:val="64"/>
        <w:tabs>
          <w:tab w:val="left" w:pos="1701"/>
        </w:tabs>
        <w:spacing w:line="540" w:lineRule="exact"/>
        <w:ind w:firstLine="643"/>
        <w:rPr>
          <w:rFonts w:eastAsia="仿宋_GB2312"/>
          <w:sz w:val="32"/>
          <w:szCs w:val="32"/>
        </w:rPr>
      </w:pPr>
      <w:r>
        <w:rPr>
          <w:rFonts w:eastAsia="仿宋_GB2312"/>
          <w:b/>
          <w:bCs/>
          <w:sz w:val="32"/>
          <w:szCs w:val="32"/>
        </w:rPr>
        <w:t xml:space="preserve">第十六条 </w:t>
      </w:r>
      <w:r>
        <w:rPr>
          <w:rFonts w:eastAsia="仿宋_GB2312"/>
          <w:sz w:val="32"/>
          <w:szCs w:val="32"/>
        </w:rPr>
        <w:t>基金管理人依法作出拟购入不动产项目决定的，应当履行中国证监会变更注册、本所不动产基金产品变更和不动产资产支持证券</w:t>
      </w:r>
      <w:r>
        <w:rPr>
          <w:rFonts w:hint="eastAsia" w:eastAsia="仿宋_GB2312"/>
          <w:sz w:val="32"/>
          <w:szCs w:val="32"/>
        </w:rPr>
        <w:t>有</w:t>
      </w:r>
      <w:r>
        <w:rPr>
          <w:rFonts w:eastAsia="仿宋_GB2312"/>
          <w:sz w:val="32"/>
          <w:szCs w:val="32"/>
        </w:rPr>
        <w:t>关申请程序（以下简称变更注册程序）。</w:t>
      </w:r>
    </w:p>
    <w:p w14:paraId="29B7D198">
      <w:pPr>
        <w:pStyle w:val="64"/>
        <w:tabs>
          <w:tab w:val="left" w:pos="1701"/>
        </w:tabs>
        <w:spacing w:line="540" w:lineRule="exact"/>
        <w:ind w:firstLine="640"/>
        <w:rPr>
          <w:rFonts w:eastAsia="仿宋_GB2312"/>
          <w:sz w:val="32"/>
          <w:szCs w:val="32"/>
        </w:rPr>
      </w:pPr>
      <w:r>
        <w:rPr>
          <w:rFonts w:eastAsia="仿宋_GB2312"/>
          <w:sz w:val="32"/>
          <w:szCs w:val="32"/>
        </w:rPr>
        <w:t>对于不动产</w:t>
      </w:r>
      <w:r>
        <w:rPr>
          <w:rFonts w:hint="eastAsia" w:eastAsia="仿宋_GB2312"/>
          <w:sz w:val="32"/>
          <w:szCs w:val="32"/>
        </w:rPr>
        <w:t>项目</w:t>
      </w:r>
      <w:r>
        <w:rPr>
          <w:rFonts w:eastAsia="仿宋_GB2312"/>
          <w:sz w:val="32"/>
          <w:szCs w:val="32"/>
        </w:rPr>
        <w:t>交易金额超过基金净资产20%或者涉及扩募安排的，基金管理人应当在履行变更注册程序后提交基金份额持有人大会批准。</w:t>
      </w:r>
    </w:p>
    <w:p w14:paraId="66190625">
      <w:pPr>
        <w:pStyle w:val="64"/>
        <w:tabs>
          <w:tab w:val="left" w:pos="1701"/>
        </w:tabs>
        <w:spacing w:line="540" w:lineRule="exact"/>
        <w:ind w:firstLine="643"/>
        <w:rPr>
          <w:rFonts w:eastAsia="仿宋_GB2312"/>
          <w:sz w:val="32"/>
          <w:szCs w:val="32"/>
        </w:rPr>
      </w:pPr>
      <w:r>
        <w:rPr>
          <w:rFonts w:eastAsia="仿宋_GB2312"/>
          <w:b/>
          <w:bCs/>
          <w:sz w:val="32"/>
          <w:szCs w:val="32"/>
        </w:rPr>
        <w:t xml:space="preserve">第十七条 </w:t>
      </w:r>
      <w:r>
        <w:rPr>
          <w:rFonts w:eastAsia="仿宋_GB2312"/>
          <w:sz w:val="32"/>
          <w:szCs w:val="32"/>
        </w:rPr>
        <w:t>基金管理人首次发布拟购入不动产项目</w:t>
      </w:r>
      <w:r>
        <w:rPr>
          <w:rFonts w:hint="eastAsia" w:eastAsia="仿宋_GB2312"/>
          <w:sz w:val="32"/>
          <w:szCs w:val="32"/>
        </w:rPr>
        <w:t>决议</w:t>
      </w:r>
      <w:r>
        <w:rPr>
          <w:rFonts w:eastAsia="仿宋_GB2312"/>
          <w:sz w:val="32"/>
          <w:szCs w:val="32"/>
        </w:rPr>
        <w:t>公告至提交基金变更注册申请之前，应当</w:t>
      </w:r>
      <w:r>
        <w:rPr>
          <w:rFonts w:hint="eastAsia" w:eastAsia="仿宋_GB2312"/>
          <w:sz w:val="32"/>
          <w:szCs w:val="32"/>
        </w:rPr>
        <w:t>及时披露</w:t>
      </w:r>
      <w:r>
        <w:rPr>
          <w:rFonts w:eastAsia="仿宋_GB2312"/>
          <w:sz w:val="32"/>
          <w:szCs w:val="32"/>
        </w:rPr>
        <w:t>重大进展或者重大变化，</w:t>
      </w:r>
      <w:r>
        <w:rPr>
          <w:rFonts w:hint="eastAsia" w:eastAsia="仿宋_GB2312"/>
          <w:sz w:val="32"/>
          <w:szCs w:val="32"/>
        </w:rPr>
        <w:t>并在定期报告中</w:t>
      </w:r>
      <w:r>
        <w:rPr>
          <w:rFonts w:eastAsia="仿宋_GB2312"/>
          <w:sz w:val="32"/>
          <w:szCs w:val="32"/>
        </w:rPr>
        <w:t>披露</w:t>
      </w:r>
      <w:r>
        <w:rPr>
          <w:rFonts w:hint="eastAsia" w:eastAsia="仿宋_GB2312"/>
          <w:sz w:val="32"/>
          <w:szCs w:val="32"/>
        </w:rPr>
        <w:t>进展情况</w:t>
      </w:r>
      <w:r>
        <w:rPr>
          <w:rFonts w:eastAsia="仿宋_GB2312"/>
          <w:sz w:val="32"/>
          <w:szCs w:val="32"/>
        </w:rPr>
        <w:t>。</w:t>
      </w:r>
    </w:p>
    <w:p w14:paraId="12AEA925">
      <w:pPr>
        <w:pStyle w:val="64"/>
        <w:tabs>
          <w:tab w:val="left" w:pos="1701"/>
        </w:tabs>
        <w:spacing w:line="540" w:lineRule="exact"/>
        <w:ind w:firstLine="643"/>
        <w:rPr>
          <w:rFonts w:eastAsia="仿宋_GB2312"/>
          <w:sz w:val="32"/>
          <w:szCs w:val="32"/>
        </w:rPr>
      </w:pPr>
      <w:r>
        <w:rPr>
          <w:rFonts w:eastAsia="仿宋_GB2312"/>
          <w:b/>
          <w:bCs/>
          <w:sz w:val="32"/>
          <w:szCs w:val="32"/>
        </w:rPr>
        <w:t xml:space="preserve">第十八条 </w:t>
      </w:r>
      <w:r>
        <w:rPr>
          <w:rFonts w:eastAsia="仿宋_GB2312"/>
          <w:sz w:val="32"/>
          <w:szCs w:val="32"/>
        </w:rPr>
        <w:t>基金管理人向中国证监会申请不动产基金产品变更注册的，基金管理人和资产支持证券管理人应当同时向本所提交不动产基金产品变更申请</w:t>
      </w:r>
      <w:r>
        <w:rPr>
          <w:rFonts w:hint="eastAsia" w:eastAsia="仿宋_GB2312"/>
          <w:sz w:val="32"/>
          <w:szCs w:val="32"/>
        </w:rPr>
        <w:t>、</w:t>
      </w:r>
      <w:r>
        <w:rPr>
          <w:rFonts w:eastAsia="仿宋_GB2312"/>
          <w:sz w:val="32"/>
          <w:szCs w:val="32"/>
        </w:rPr>
        <w:t>不动产资产支持证券</w:t>
      </w:r>
      <w:r>
        <w:rPr>
          <w:rFonts w:hint="eastAsia" w:eastAsia="仿宋_GB2312"/>
          <w:sz w:val="32"/>
          <w:szCs w:val="32"/>
        </w:rPr>
        <w:t>有</w:t>
      </w:r>
      <w:r>
        <w:rPr>
          <w:rFonts w:eastAsia="仿宋_GB2312"/>
          <w:sz w:val="32"/>
          <w:szCs w:val="32"/>
        </w:rPr>
        <w:t>关申请，以及《不动产基金业务办法》规定的申请文件，本所认可的情形除外。基金管理人应当同时披露提交基金产品变更申请的公告</w:t>
      </w:r>
      <w:r>
        <w:rPr>
          <w:rFonts w:hint="eastAsia" w:eastAsia="仿宋_GB2312"/>
          <w:sz w:val="32"/>
          <w:szCs w:val="32"/>
        </w:rPr>
        <w:t>和有</w:t>
      </w:r>
      <w:r>
        <w:rPr>
          <w:rFonts w:eastAsia="仿宋_GB2312"/>
          <w:sz w:val="32"/>
          <w:szCs w:val="32"/>
        </w:rPr>
        <w:t>关申请文件。</w:t>
      </w:r>
    </w:p>
    <w:p w14:paraId="36C825B2">
      <w:pPr>
        <w:pStyle w:val="64"/>
        <w:tabs>
          <w:tab w:val="left" w:pos="1701"/>
        </w:tabs>
        <w:spacing w:line="540" w:lineRule="exact"/>
        <w:ind w:firstLine="643"/>
        <w:rPr>
          <w:rFonts w:eastAsia="仿宋_GB2312"/>
          <w:sz w:val="32"/>
          <w:szCs w:val="32"/>
        </w:rPr>
      </w:pPr>
      <w:r>
        <w:rPr>
          <w:rFonts w:eastAsia="仿宋_GB2312"/>
          <w:b/>
          <w:bCs/>
          <w:sz w:val="32"/>
          <w:szCs w:val="32"/>
        </w:rPr>
        <w:t xml:space="preserve">第十九条 </w:t>
      </w:r>
      <w:r>
        <w:rPr>
          <w:rFonts w:eastAsia="仿宋_GB2312"/>
          <w:sz w:val="32"/>
          <w:szCs w:val="32"/>
        </w:rPr>
        <w:t>本所参照不动产基金产品首次发售的</w:t>
      </w:r>
      <w:r>
        <w:rPr>
          <w:rFonts w:hint="eastAsia" w:eastAsia="仿宋_GB2312"/>
          <w:sz w:val="32"/>
          <w:szCs w:val="32"/>
        </w:rPr>
        <w:t>有</w:t>
      </w:r>
      <w:r>
        <w:rPr>
          <w:rFonts w:eastAsia="仿宋_GB2312"/>
          <w:sz w:val="32"/>
          <w:szCs w:val="32"/>
        </w:rPr>
        <w:t>关程序，对不动产基金产品变更和不动产资产支持证券</w:t>
      </w:r>
      <w:r>
        <w:rPr>
          <w:rFonts w:hint="eastAsia" w:eastAsia="仿宋_GB2312"/>
          <w:sz w:val="32"/>
          <w:szCs w:val="32"/>
        </w:rPr>
        <w:t>有</w:t>
      </w:r>
      <w:r>
        <w:rPr>
          <w:rFonts w:eastAsia="仿宋_GB2312"/>
          <w:sz w:val="32"/>
          <w:szCs w:val="32"/>
        </w:rPr>
        <w:t>关申请是否符合条件进行审核，出具不动产基金产品变更</w:t>
      </w:r>
      <w:r>
        <w:rPr>
          <w:rFonts w:hint="eastAsia" w:eastAsia="仿宋_GB2312"/>
          <w:sz w:val="32"/>
          <w:szCs w:val="32"/>
        </w:rPr>
        <w:t>和</w:t>
      </w:r>
      <w:r>
        <w:rPr>
          <w:rFonts w:eastAsia="仿宋_GB2312"/>
          <w:sz w:val="32"/>
          <w:szCs w:val="32"/>
        </w:rPr>
        <w:t>不动产资产支持证券</w:t>
      </w:r>
      <w:r>
        <w:rPr>
          <w:rFonts w:hint="eastAsia" w:eastAsia="仿宋_GB2312"/>
          <w:sz w:val="32"/>
          <w:szCs w:val="32"/>
        </w:rPr>
        <w:t>有</w:t>
      </w:r>
      <w:r>
        <w:rPr>
          <w:rFonts w:eastAsia="仿宋_GB2312"/>
          <w:sz w:val="32"/>
          <w:szCs w:val="32"/>
        </w:rPr>
        <w:t>关申请符合本所</w:t>
      </w:r>
      <w:r>
        <w:rPr>
          <w:rFonts w:hint="eastAsia" w:eastAsia="仿宋_GB2312"/>
          <w:sz w:val="32"/>
          <w:szCs w:val="32"/>
        </w:rPr>
        <w:t>有</w:t>
      </w:r>
      <w:r>
        <w:rPr>
          <w:rFonts w:eastAsia="仿宋_GB2312"/>
          <w:sz w:val="32"/>
          <w:szCs w:val="32"/>
        </w:rPr>
        <w:t>关要求的无异议函或者作出终止审核的决定，并通知基金管理人、资产支持证券管理人。</w:t>
      </w:r>
    </w:p>
    <w:p w14:paraId="054BB550">
      <w:pPr>
        <w:pStyle w:val="64"/>
        <w:tabs>
          <w:tab w:val="left" w:pos="1701"/>
        </w:tabs>
        <w:spacing w:line="540" w:lineRule="exact"/>
        <w:ind w:firstLine="643"/>
        <w:rPr>
          <w:rFonts w:eastAsia="仿宋_GB2312"/>
          <w:sz w:val="32"/>
          <w:szCs w:val="32"/>
        </w:rPr>
      </w:pPr>
      <w:r>
        <w:rPr>
          <w:rFonts w:eastAsia="仿宋_GB2312"/>
          <w:b/>
          <w:bCs/>
          <w:sz w:val="32"/>
          <w:szCs w:val="32"/>
        </w:rPr>
        <w:t xml:space="preserve">第二十条 </w:t>
      </w:r>
      <w:r>
        <w:rPr>
          <w:rFonts w:eastAsia="仿宋_GB2312"/>
          <w:sz w:val="32"/>
          <w:szCs w:val="32"/>
        </w:rPr>
        <w:t>基金管理人履行变更注册程序期间，发生</w:t>
      </w:r>
      <w:r>
        <w:rPr>
          <w:rFonts w:hint="eastAsia" w:eastAsia="仿宋_GB2312"/>
          <w:sz w:val="32"/>
          <w:szCs w:val="32"/>
        </w:rPr>
        <w:t>下列</w:t>
      </w:r>
      <w:r>
        <w:rPr>
          <w:rFonts w:eastAsia="仿宋_GB2312"/>
          <w:sz w:val="32"/>
          <w:szCs w:val="32"/>
        </w:rPr>
        <w:t>情形时，应当在2日内予以公告：</w:t>
      </w:r>
    </w:p>
    <w:p w14:paraId="590E9BD7">
      <w:pPr>
        <w:pStyle w:val="64"/>
        <w:tabs>
          <w:tab w:val="left" w:pos="1701"/>
        </w:tabs>
        <w:spacing w:line="540" w:lineRule="exact"/>
        <w:ind w:firstLine="640"/>
        <w:rPr>
          <w:rFonts w:eastAsia="仿宋_GB2312"/>
          <w:sz w:val="32"/>
          <w:szCs w:val="32"/>
        </w:rPr>
      </w:pPr>
      <w:r>
        <w:rPr>
          <w:rFonts w:eastAsia="仿宋_GB2312"/>
          <w:sz w:val="32"/>
          <w:szCs w:val="32"/>
        </w:rPr>
        <w:t>（一）收到中国证监会或者本所的受理通知书；</w:t>
      </w:r>
    </w:p>
    <w:p w14:paraId="22020F18">
      <w:pPr>
        <w:pStyle w:val="64"/>
        <w:tabs>
          <w:tab w:val="left" w:pos="1701"/>
        </w:tabs>
        <w:spacing w:line="540" w:lineRule="exact"/>
        <w:ind w:firstLine="640"/>
        <w:rPr>
          <w:rFonts w:eastAsia="仿宋_GB2312"/>
          <w:sz w:val="32"/>
          <w:szCs w:val="32"/>
        </w:rPr>
      </w:pPr>
      <w:r>
        <w:rPr>
          <w:rFonts w:eastAsia="仿宋_GB2312"/>
          <w:sz w:val="32"/>
          <w:szCs w:val="32"/>
        </w:rPr>
        <w:t>（二）收到本所问询；</w:t>
      </w:r>
    </w:p>
    <w:p w14:paraId="29C49B91">
      <w:pPr>
        <w:pStyle w:val="64"/>
        <w:tabs>
          <w:tab w:val="left" w:pos="1701"/>
        </w:tabs>
        <w:spacing w:line="540" w:lineRule="exact"/>
        <w:ind w:firstLine="640"/>
        <w:rPr>
          <w:rFonts w:eastAsia="仿宋_GB2312"/>
          <w:sz w:val="32"/>
          <w:szCs w:val="32"/>
        </w:rPr>
      </w:pPr>
      <w:r>
        <w:rPr>
          <w:rFonts w:eastAsia="仿宋_GB2312"/>
          <w:sz w:val="32"/>
          <w:szCs w:val="32"/>
        </w:rPr>
        <w:t>（三）提交问询答复</w:t>
      </w:r>
      <w:r>
        <w:rPr>
          <w:rFonts w:hint="eastAsia" w:eastAsia="仿宋_GB2312"/>
          <w:sz w:val="32"/>
          <w:szCs w:val="32"/>
        </w:rPr>
        <w:t>以</w:t>
      </w:r>
      <w:r>
        <w:rPr>
          <w:rFonts w:eastAsia="仿宋_GB2312"/>
          <w:sz w:val="32"/>
          <w:szCs w:val="32"/>
        </w:rPr>
        <w:t>及</w:t>
      </w:r>
      <w:r>
        <w:rPr>
          <w:rFonts w:hint="eastAsia" w:eastAsia="仿宋_GB2312"/>
          <w:sz w:val="32"/>
          <w:szCs w:val="32"/>
        </w:rPr>
        <w:t>有</w:t>
      </w:r>
      <w:r>
        <w:rPr>
          <w:rFonts w:eastAsia="仿宋_GB2312"/>
          <w:sz w:val="32"/>
          <w:szCs w:val="32"/>
        </w:rPr>
        <w:t>关文件；</w:t>
      </w:r>
    </w:p>
    <w:p w14:paraId="43967D18">
      <w:pPr>
        <w:pStyle w:val="64"/>
        <w:tabs>
          <w:tab w:val="left" w:pos="1701"/>
        </w:tabs>
        <w:spacing w:line="540" w:lineRule="exact"/>
        <w:ind w:firstLine="640"/>
        <w:rPr>
          <w:rFonts w:eastAsia="仿宋_GB2312"/>
          <w:sz w:val="32"/>
          <w:szCs w:val="32"/>
        </w:rPr>
      </w:pPr>
      <w:r>
        <w:rPr>
          <w:rFonts w:eastAsia="仿宋_GB2312"/>
          <w:sz w:val="32"/>
          <w:szCs w:val="32"/>
        </w:rPr>
        <w:t>（四）收到本所关于变更申请的无异议函或者终止审核通知；</w:t>
      </w:r>
    </w:p>
    <w:p w14:paraId="305C4D31">
      <w:pPr>
        <w:pStyle w:val="64"/>
        <w:tabs>
          <w:tab w:val="left" w:pos="1701"/>
        </w:tabs>
        <w:spacing w:line="540" w:lineRule="exact"/>
        <w:ind w:firstLine="640"/>
        <w:rPr>
          <w:rFonts w:eastAsia="仿宋_GB2312"/>
          <w:sz w:val="32"/>
          <w:szCs w:val="32"/>
        </w:rPr>
      </w:pPr>
      <w:r>
        <w:rPr>
          <w:rFonts w:eastAsia="仿宋_GB2312"/>
          <w:sz w:val="32"/>
          <w:szCs w:val="32"/>
        </w:rPr>
        <w:t>（五）收到中国证监会关于基金变更注册或者不予注册的批复。</w:t>
      </w:r>
    </w:p>
    <w:p w14:paraId="3C93E957">
      <w:pPr>
        <w:pStyle w:val="64"/>
        <w:tabs>
          <w:tab w:val="left" w:pos="1701"/>
        </w:tabs>
        <w:spacing w:line="540" w:lineRule="exact"/>
        <w:ind w:firstLine="640"/>
        <w:rPr>
          <w:rFonts w:eastAsia="仿宋_GB2312"/>
          <w:sz w:val="32"/>
          <w:szCs w:val="32"/>
        </w:rPr>
      </w:pPr>
      <w:r>
        <w:rPr>
          <w:rFonts w:eastAsia="仿宋_GB2312"/>
          <w:sz w:val="32"/>
          <w:szCs w:val="32"/>
        </w:rPr>
        <w:t>履行变更注册程序期间，基金管理人决定撤回申请的，应当说明原因，并予以公告。</w:t>
      </w:r>
    </w:p>
    <w:p w14:paraId="7B30F6A1">
      <w:pPr>
        <w:pStyle w:val="64"/>
        <w:tabs>
          <w:tab w:val="left" w:pos="1701"/>
        </w:tabs>
        <w:spacing w:line="540" w:lineRule="exact"/>
        <w:ind w:firstLine="643"/>
        <w:rPr>
          <w:rFonts w:eastAsia="仿宋_GB2312"/>
          <w:sz w:val="32"/>
          <w:szCs w:val="32"/>
        </w:rPr>
      </w:pPr>
      <w:r>
        <w:rPr>
          <w:rFonts w:eastAsia="仿宋_GB2312"/>
          <w:b/>
          <w:bCs/>
          <w:sz w:val="32"/>
          <w:szCs w:val="32"/>
        </w:rPr>
        <w:t xml:space="preserve">第二十一条 </w:t>
      </w:r>
      <w:r>
        <w:rPr>
          <w:rFonts w:eastAsia="仿宋_GB2312"/>
          <w:sz w:val="32"/>
          <w:szCs w:val="32"/>
        </w:rPr>
        <w:t>不动产</w:t>
      </w:r>
      <w:r>
        <w:rPr>
          <w:rFonts w:hint="eastAsia" w:eastAsia="仿宋_GB2312"/>
          <w:sz w:val="32"/>
          <w:szCs w:val="32"/>
        </w:rPr>
        <w:t>项目</w:t>
      </w:r>
      <w:r>
        <w:rPr>
          <w:rFonts w:eastAsia="仿宋_GB2312"/>
          <w:sz w:val="32"/>
          <w:szCs w:val="32"/>
        </w:rPr>
        <w:t>交易需提交基金份额持有人大会投票表决的，基金管理人应当在履行完毕基金变更注册程序后，至少提前30日发布召开基金份额持有人大会的通知</w:t>
      </w:r>
      <w:r>
        <w:rPr>
          <w:rFonts w:hint="eastAsia" w:eastAsia="仿宋_GB2312"/>
          <w:sz w:val="32"/>
          <w:szCs w:val="32"/>
        </w:rPr>
        <w:t>公告</w:t>
      </w:r>
      <w:r>
        <w:rPr>
          <w:rFonts w:eastAsia="仿宋_GB2312"/>
          <w:sz w:val="32"/>
          <w:szCs w:val="32"/>
        </w:rPr>
        <w:t>并附</w:t>
      </w:r>
      <w:r>
        <w:rPr>
          <w:rFonts w:hint="eastAsia" w:eastAsia="仿宋_GB2312"/>
          <w:sz w:val="32"/>
          <w:szCs w:val="32"/>
        </w:rPr>
        <w:t>有</w:t>
      </w:r>
      <w:r>
        <w:rPr>
          <w:rFonts w:eastAsia="仿宋_GB2312"/>
          <w:sz w:val="32"/>
          <w:szCs w:val="32"/>
        </w:rPr>
        <w:t>相关表决议案。</w:t>
      </w:r>
    </w:p>
    <w:p w14:paraId="0BD5A7D2">
      <w:pPr>
        <w:pStyle w:val="64"/>
        <w:tabs>
          <w:tab w:val="left" w:pos="1701"/>
        </w:tabs>
        <w:spacing w:line="540" w:lineRule="exact"/>
        <w:ind w:firstLine="640"/>
        <w:rPr>
          <w:rFonts w:eastAsia="仿宋_GB2312"/>
          <w:sz w:val="32"/>
          <w:szCs w:val="32"/>
        </w:rPr>
      </w:pPr>
      <w:r>
        <w:rPr>
          <w:rFonts w:eastAsia="仿宋_GB2312"/>
          <w:sz w:val="32"/>
          <w:szCs w:val="32"/>
        </w:rPr>
        <w:t>招募说明书、基金合同、托管协议和法律意见书等文件</w:t>
      </w:r>
      <w:r>
        <w:rPr>
          <w:rFonts w:hint="eastAsia" w:eastAsia="仿宋_GB2312"/>
          <w:sz w:val="32"/>
          <w:szCs w:val="32"/>
        </w:rPr>
        <w:t>及其</w:t>
      </w:r>
      <w:r>
        <w:rPr>
          <w:rFonts w:eastAsia="仿宋_GB2312"/>
          <w:sz w:val="32"/>
          <w:szCs w:val="32"/>
        </w:rPr>
        <w:t>修订情况（如有）应当与基金份额持有人大会通知公告同时披露。</w:t>
      </w:r>
    </w:p>
    <w:p w14:paraId="6A39A9F3">
      <w:pPr>
        <w:pStyle w:val="64"/>
        <w:tabs>
          <w:tab w:val="left" w:pos="1701"/>
        </w:tabs>
        <w:spacing w:line="540" w:lineRule="exact"/>
        <w:ind w:firstLine="643"/>
        <w:rPr>
          <w:rFonts w:eastAsia="仿宋_GB2312"/>
          <w:sz w:val="32"/>
          <w:szCs w:val="32"/>
        </w:rPr>
      </w:pPr>
      <w:r>
        <w:rPr>
          <w:rFonts w:eastAsia="仿宋_GB2312"/>
          <w:b/>
          <w:bCs/>
          <w:sz w:val="32"/>
          <w:szCs w:val="32"/>
        </w:rPr>
        <w:t xml:space="preserve">第二十二条 </w:t>
      </w:r>
      <w:r>
        <w:rPr>
          <w:rFonts w:eastAsia="仿宋_GB2312"/>
          <w:sz w:val="32"/>
          <w:szCs w:val="32"/>
        </w:rPr>
        <w:t>基金份额持有人大会应当按照</w:t>
      </w:r>
      <w:r>
        <w:rPr>
          <w:rFonts w:hint="eastAsia" w:eastAsia="仿宋_GB2312"/>
          <w:sz w:val="32"/>
          <w:szCs w:val="32"/>
        </w:rPr>
        <w:t>有</w:t>
      </w:r>
      <w:r>
        <w:rPr>
          <w:rFonts w:eastAsia="仿宋_GB2312"/>
          <w:sz w:val="32"/>
          <w:szCs w:val="32"/>
        </w:rPr>
        <w:t>关规定就拟购入不动产项目、扩募（如有）进行表决。</w:t>
      </w:r>
    </w:p>
    <w:p w14:paraId="70040C0E">
      <w:pPr>
        <w:pStyle w:val="64"/>
        <w:tabs>
          <w:tab w:val="left" w:pos="1701"/>
        </w:tabs>
        <w:spacing w:line="540" w:lineRule="exact"/>
        <w:ind w:firstLine="640"/>
        <w:rPr>
          <w:rFonts w:eastAsia="仿宋_GB2312"/>
          <w:sz w:val="32"/>
          <w:szCs w:val="32"/>
        </w:rPr>
      </w:pPr>
      <w:r>
        <w:rPr>
          <w:rFonts w:eastAsia="仿宋_GB2312"/>
          <w:sz w:val="32"/>
          <w:szCs w:val="32"/>
        </w:rPr>
        <w:t>基金份额持有人大会就拟购入不动产项目作出的决议，至少应当包括下列内容：</w:t>
      </w:r>
    </w:p>
    <w:p w14:paraId="7E789F87">
      <w:pPr>
        <w:pStyle w:val="64"/>
        <w:tabs>
          <w:tab w:val="left" w:pos="1701"/>
        </w:tabs>
        <w:spacing w:line="540" w:lineRule="exact"/>
        <w:ind w:firstLine="640"/>
        <w:rPr>
          <w:rFonts w:eastAsia="仿宋_GB2312"/>
          <w:sz w:val="32"/>
          <w:szCs w:val="32"/>
        </w:rPr>
      </w:pPr>
      <w:r>
        <w:rPr>
          <w:rFonts w:eastAsia="仿宋_GB2312"/>
          <w:sz w:val="32"/>
          <w:szCs w:val="32"/>
        </w:rPr>
        <w:t>（一）拟购入不动产项目和交易对方；</w:t>
      </w:r>
    </w:p>
    <w:p w14:paraId="6B02F8AB">
      <w:pPr>
        <w:pStyle w:val="64"/>
        <w:tabs>
          <w:tab w:val="left" w:pos="1701"/>
        </w:tabs>
        <w:spacing w:line="540" w:lineRule="exact"/>
        <w:ind w:firstLine="640"/>
        <w:rPr>
          <w:rFonts w:eastAsia="仿宋_GB2312"/>
          <w:sz w:val="32"/>
          <w:szCs w:val="32"/>
        </w:rPr>
      </w:pPr>
      <w:r>
        <w:rPr>
          <w:rFonts w:eastAsia="仿宋_GB2312"/>
          <w:sz w:val="32"/>
          <w:szCs w:val="32"/>
        </w:rPr>
        <w:t>（二）交易价格或者价格区间；</w:t>
      </w:r>
    </w:p>
    <w:p w14:paraId="729A761E">
      <w:pPr>
        <w:pStyle w:val="64"/>
        <w:tabs>
          <w:tab w:val="left" w:pos="1701"/>
        </w:tabs>
        <w:spacing w:line="540" w:lineRule="exact"/>
        <w:ind w:firstLine="640"/>
        <w:rPr>
          <w:rFonts w:eastAsia="仿宋_GB2312"/>
          <w:sz w:val="32"/>
          <w:szCs w:val="32"/>
        </w:rPr>
      </w:pPr>
      <w:r>
        <w:rPr>
          <w:rFonts w:eastAsia="仿宋_GB2312"/>
          <w:sz w:val="32"/>
          <w:szCs w:val="32"/>
        </w:rPr>
        <w:t>（三）定价方式或者定价依据；</w:t>
      </w:r>
    </w:p>
    <w:p w14:paraId="4639F8D9">
      <w:pPr>
        <w:pStyle w:val="64"/>
        <w:tabs>
          <w:tab w:val="left" w:pos="1701"/>
        </w:tabs>
        <w:spacing w:line="540" w:lineRule="exact"/>
        <w:ind w:firstLine="640"/>
        <w:rPr>
          <w:rFonts w:eastAsia="仿宋_GB2312"/>
          <w:sz w:val="32"/>
          <w:szCs w:val="32"/>
        </w:rPr>
      </w:pPr>
      <w:r>
        <w:rPr>
          <w:rFonts w:eastAsia="仿宋_GB2312"/>
          <w:sz w:val="32"/>
          <w:szCs w:val="32"/>
        </w:rPr>
        <w:t>（四）不动产</w:t>
      </w:r>
      <w:r>
        <w:rPr>
          <w:rFonts w:hint="eastAsia" w:eastAsia="仿宋_GB2312"/>
          <w:sz w:val="32"/>
          <w:szCs w:val="32"/>
        </w:rPr>
        <w:t>项目</w:t>
      </w:r>
      <w:r>
        <w:rPr>
          <w:rFonts w:eastAsia="仿宋_GB2312"/>
          <w:sz w:val="32"/>
          <w:szCs w:val="32"/>
        </w:rPr>
        <w:t>自定价基准日至交割日期间损益的归属；</w:t>
      </w:r>
    </w:p>
    <w:p w14:paraId="2F0935C1">
      <w:pPr>
        <w:pStyle w:val="64"/>
        <w:tabs>
          <w:tab w:val="left" w:pos="1701"/>
        </w:tabs>
        <w:spacing w:line="540" w:lineRule="exact"/>
        <w:ind w:firstLine="640"/>
        <w:rPr>
          <w:rFonts w:eastAsia="仿宋_GB2312"/>
          <w:sz w:val="32"/>
          <w:szCs w:val="32"/>
        </w:rPr>
      </w:pPr>
      <w:r>
        <w:rPr>
          <w:rFonts w:eastAsia="仿宋_GB2312"/>
          <w:sz w:val="32"/>
          <w:szCs w:val="32"/>
        </w:rPr>
        <w:t>（五）不动产</w:t>
      </w:r>
      <w:r>
        <w:rPr>
          <w:rFonts w:hint="eastAsia" w:eastAsia="仿宋_GB2312"/>
          <w:sz w:val="32"/>
          <w:szCs w:val="32"/>
        </w:rPr>
        <w:t>项目</w:t>
      </w:r>
      <w:r>
        <w:rPr>
          <w:rFonts w:eastAsia="仿宋_GB2312"/>
          <w:sz w:val="32"/>
          <w:szCs w:val="32"/>
        </w:rPr>
        <w:t>办理权属转移的合同义务和违约责任；</w:t>
      </w:r>
    </w:p>
    <w:p w14:paraId="3591645C">
      <w:pPr>
        <w:pStyle w:val="64"/>
        <w:tabs>
          <w:tab w:val="left" w:pos="1701"/>
        </w:tabs>
        <w:spacing w:line="540" w:lineRule="exact"/>
        <w:ind w:firstLine="640"/>
        <w:rPr>
          <w:rFonts w:eastAsia="仿宋_GB2312"/>
          <w:sz w:val="32"/>
          <w:szCs w:val="32"/>
        </w:rPr>
      </w:pPr>
      <w:r>
        <w:rPr>
          <w:rFonts w:eastAsia="仿宋_GB2312"/>
          <w:sz w:val="32"/>
          <w:szCs w:val="32"/>
        </w:rPr>
        <w:t>（六）扩募方案（如有）；</w:t>
      </w:r>
    </w:p>
    <w:p w14:paraId="6DF6F589">
      <w:pPr>
        <w:pStyle w:val="64"/>
        <w:tabs>
          <w:tab w:val="left" w:pos="1701"/>
        </w:tabs>
        <w:spacing w:line="540" w:lineRule="exact"/>
        <w:ind w:firstLine="640"/>
        <w:rPr>
          <w:rFonts w:eastAsia="仿宋_GB2312"/>
          <w:sz w:val="32"/>
          <w:szCs w:val="32"/>
        </w:rPr>
      </w:pPr>
      <w:r>
        <w:rPr>
          <w:rFonts w:eastAsia="仿宋_GB2312"/>
          <w:sz w:val="32"/>
          <w:szCs w:val="32"/>
        </w:rPr>
        <w:t>（七）决议有效期；</w:t>
      </w:r>
    </w:p>
    <w:p w14:paraId="3DBACDAD">
      <w:pPr>
        <w:pStyle w:val="64"/>
        <w:tabs>
          <w:tab w:val="left" w:pos="1701"/>
        </w:tabs>
        <w:spacing w:line="540" w:lineRule="exact"/>
        <w:ind w:firstLine="640"/>
        <w:rPr>
          <w:rFonts w:eastAsia="仿宋_GB2312"/>
          <w:sz w:val="32"/>
          <w:szCs w:val="32"/>
        </w:rPr>
      </w:pPr>
      <w:r>
        <w:rPr>
          <w:rFonts w:eastAsia="仿宋_GB2312"/>
          <w:sz w:val="32"/>
          <w:szCs w:val="32"/>
        </w:rPr>
        <w:t>（八）对基金管理人办理本次不动产</w:t>
      </w:r>
      <w:r>
        <w:rPr>
          <w:rFonts w:hint="eastAsia" w:eastAsia="仿宋_GB2312"/>
          <w:sz w:val="32"/>
          <w:szCs w:val="32"/>
        </w:rPr>
        <w:t>项目</w:t>
      </w:r>
      <w:r>
        <w:rPr>
          <w:rFonts w:eastAsia="仿宋_GB2312"/>
          <w:sz w:val="32"/>
          <w:szCs w:val="32"/>
        </w:rPr>
        <w:t>交易</w:t>
      </w:r>
      <w:r>
        <w:rPr>
          <w:rFonts w:hint="eastAsia" w:eastAsia="仿宋_GB2312"/>
          <w:sz w:val="32"/>
          <w:szCs w:val="32"/>
        </w:rPr>
        <w:t>和</w:t>
      </w:r>
      <w:r>
        <w:rPr>
          <w:rFonts w:eastAsia="仿宋_GB2312"/>
          <w:sz w:val="32"/>
          <w:szCs w:val="32"/>
        </w:rPr>
        <w:t>扩募（如有）的具体授权；</w:t>
      </w:r>
    </w:p>
    <w:p w14:paraId="35F41FA7">
      <w:pPr>
        <w:pStyle w:val="64"/>
        <w:tabs>
          <w:tab w:val="left" w:pos="1701"/>
        </w:tabs>
        <w:spacing w:line="540" w:lineRule="exact"/>
        <w:ind w:firstLine="640"/>
        <w:rPr>
          <w:rFonts w:eastAsia="仿宋_GB2312"/>
          <w:sz w:val="32"/>
          <w:szCs w:val="32"/>
        </w:rPr>
      </w:pPr>
      <w:r>
        <w:rPr>
          <w:rFonts w:eastAsia="仿宋_GB2312"/>
          <w:sz w:val="32"/>
          <w:szCs w:val="32"/>
        </w:rPr>
        <w:t>（九）招募说明书、基金合同、托管协议等文件针对本次不动产</w:t>
      </w:r>
      <w:r>
        <w:rPr>
          <w:rFonts w:hint="eastAsia" w:eastAsia="仿宋_GB2312"/>
          <w:sz w:val="32"/>
          <w:szCs w:val="32"/>
        </w:rPr>
        <w:t>项目</w:t>
      </w:r>
      <w:r>
        <w:rPr>
          <w:rFonts w:eastAsia="仿宋_GB2312"/>
          <w:sz w:val="32"/>
          <w:szCs w:val="32"/>
        </w:rPr>
        <w:t>购入事项的相关修订；</w:t>
      </w:r>
    </w:p>
    <w:p w14:paraId="2A7FC334">
      <w:pPr>
        <w:pStyle w:val="64"/>
        <w:tabs>
          <w:tab w:val="left" w:pos="1701"/>
        </w:tabs>
        <w:spacing w:line="540" w:lineRule="exact"/>
        <w:ind w:firstLine="640"/>
        <w:rPr>
          <w:rFonts w:eastAsia="仿宋_GB2312"/>
          <w:sz w:val="32"/>
          <w:szCs w:val="32"/>
        </w:rPr>
      </w:pPr>
      <w:r>
        <w:rPr>
          <w:rFonts w:eastAsia="仿宋_GB2312"/>
          <w:sz w:val="32"/>
          <w:szCs w:val="32"/>
        </w:rPr>
        <w:t>（十）其他需要明确的事项。</w:t>
      </w:r>
    </w:p>
    <w:p w14:paraId="2D1DABB4">
      <w:pPr>
        <w:pStyle w:val="64"/>
        <w:tabs>
          <w:tab w:val="left" w:pos="1701"/>
        </w:tabs>
        <w:spacing w:line="540" w:lineRule="exact"/>
        <w:ind w:firstLine="643"/>
        <w:rPr>
          <w:rFonts w:eastAsia="仿宋_GB2312"/>
          <w:sz w:val="32"/>
          <w:szCs w:val="32"/>
        </w:rPr>
      </w:pPr>
      <w:r>
        <w:rPr>
          <w:rFonts w:eastAsia="仿宋_GB2312"/>
          <w:b/>
          <w:bCs/>
          <w:sz w:val="32"/>
          <w:szCs w:val="32"/>
        </w:rPr>
        <w:t xml:space="preserve">第二十三条 </w:t>
      </w:r>
      <w:r>
        <w:rPr>
          <w:rFonts w:eastAsia="仿宋_GB2312"/>
          <w:sz w:val="32"/>
          <w:szCs w:val="32"/>
        </w:rPr>
        <w:t>基金管理人就拟购入不动产项目召开基金份额持有人大会的，不动产基金应当自基金份额持有人大会召开之日（以现场方式召开的）或者基金份额持有人大会计票之日（以通讯方式召开的）开市起停牌，至基金份额持有人大会决议生效公告日复牌（如公告日为非交易日，公告后第一个交易日复牌）。</w:t>
      </w:r>
    </w:p>
    <w:p w14:paraId="6A69C743">
      <w:pPr>
        <w:pStyle w:val="64"/>
        <w:tabs>
          <w:tab w:val="left" w:pos="1701"/>
        </w:tabs>
        <w:spacing w:line="540" w:lineRule="exact"/>
        <w:ind w:firstLine="643"/>
        <w:rPr>
          <w:rFonts w:eastAsia="仿宋_GB2312"/>
          <w:sz w:val="32"/>
          <w:szCs w:val="32"/>
        </w:rPr>
      </w:pPr>
      <w:r>
        <w:rPr>
          <w:rFonts w:eastAsia="仿宋_GB2312"/>
          <w:b/>
          <w:bCs/>
          <w:sz w:val="32"/>
          <w:szCs w:val="32"/>
        </w:rPr>
        <w:t xml:space="preserve">第二十四条 </w:t>
      </w:r>
      <w:r>
        <w:rPr>
          <w:rFonts w:eastAsia="仿宋_GB2312"/>
          <w:sz w:val="32"/>
          <w:szCs w:val="32"/>
        </w:rPr>
        <w:t>基金管理人应当在基金份额持有人大会作出购入不动产项目决议后公告该决议，以及律师事务所对本次会议的召集程序、召集人和出席人员的资格、表决程序、表决结果等事项出具的法律意见书。</w:t>
      </w:r>
    </w:p>
    <w:p w14:paraId="38A3BBB7">
      <w:pPr>
        <w:pStyle w:val="64"/>
        <w:tabs>
          <w:tab w:val="left" w:pos="1701"/>
        </w:tabs>
        <w:spacing w:line="540" w:lineRule="exact"/>
        <w:ind w:firstLine="643"/>
        <w:rPr>
          <w:rFonts w:eastAsia="仿宋_GB2312"/>
          <w:sz w:val="32"/>
          <w:szCs w:val="32"/>
        </w:rPr>
      </w:pPr>
      <w:r>
        <w:rPr>
          <w:rFonts w:eastAsia="仿宋_GB2312"/>
          <w:b/>
          <w:bCs/>
          <w:sz w:val="32"/>
          <w:szCs w:val="32"/>
        </w:rPr>
        <w:t xml:space="preserve">第二十五条 </w:t>
      </w:r>
      <w:r>
        <w:rPr>
          <w:rFonts w:eastAsia="仿宋_GB2312"/>
          <w:sz w:val="32"/>
          <w:szCs w:val="32"/>
        </w:rPr>
        <w:t>不动产基金履行完毕变更注册程序后，基金管理人拟对交易对方、拟购入的不动产</w:t>
      </w:r>
      <w:r>
        <w:rPr>
          <w:rFonts w:hint="eastAsia" w:eastAsia="仿宋_GB2312"/>
          <w:sz w:val="32"/>
          <w:szCs w:val="32"/>
        </w:rPr>
        <w:t>项目</w:t>
      </w:r>
      <w:r>
        <w:rPr>
          <w:rFonts w:eastAsia="仿宋_GB2312"/>
          <w:sz w:val="32"/>
          <w:szCs w:val="32"/>
        </w:rPr>
        <w:t>、交易价格、资金来源等作出变更，构成对原交易方案重大调整的，应当重新履行变更注册程序并及时公告</w:t>
      </w:r>
      <w:r>
        <w:rPr>
          <w:rFonts w:hint="eastAsia" w:eastAsia="仿宋_GB2312"/>
          <w:sz w:val="32"/>
          <w:szCs w:val="32"/>
        </w:rPr>
        <w:t>有</w:t>
      </w:r>
      <w:r>
        <w:rPr>
          <w:rFonts w:eastAsia="仿宋_GB2312"/>
          <w:sz w:val="32"/>
          <w:szCs w:val="32"/>
        </w:rPr>
        <w:t>关文件。需提交基金份额持有人大会投票表决的，应当在重新履行完毕变更注册程序后再次召开基金份额持有人大会进行表决。</w:t>
      </w:r>
    </w:p>
    <w:p w14:paraId="5745B932">
      <w:pPr>
        <w:pStyle w:val="64"/>
        <w:tabs>
          <w:tab w:val="left" w:pos="1701"/>
        </w:tabs>
        <w:spacing w:line="540" w:lineRule="exact"/>
        <w:ind w:firstLine="640"/>
        <w:rPr>
          <w:rFonts w:eastAsia="仿宋_GB2312"/>
          <w:sz w:val="32"/>
          <w:szCs w:val="32"/>
        </w:rPr>
      </w:pPr>
      <w:r>
        <w:rPr>
          <w:rFonts w:eastAsia="仿宋_GB2312"/>
          <w:sz w:val="32"/>
          <w:szCs w:val="32"/>
        </w:rPr>
        <w:t>履行交易方案变更程序期间，基金管理人决定撤回申请的，应当说明原因，并予以公告。</w:t>
      </w:r>
    </w:p>
    <w:p w14:paraId="7272C349">
      <w:pPr>
        <w:pStyle w:val="64"/>
        <w:tabs>
          <w:tab w:val="left" w:pos="1701"/>
        </w:tabs>
        <w:spacing w:line="540" w:lineRule="exact"/>
        <w:ind w:firstLine="643"/>
        <w:rPr>
          <w:rFonts w:eastAsia="仿宋_GB2312"/>
          <w:sz w:val="32"/>
          <w:szCs w:val="32"/>
        </w:rPr>
      </w:pPr>
      <w:r>
        <w:rPr>
          <w:rFonts w:eastAsia="仿宋_GB2312"/>
          <w:b/>
          <w:bCs/>
          <w:sz w:val="32"/>
          <w:szCs w:val="32"/>
        </w:rPr>
        <w:t xml:space="preserve">第二十六条 </w:t>
      </w:r>
      <w:r>
        <w:rPr>
          <w:rFonts w:eastAsia="仿宋_GB2312"/>
          <w:sz w:val="32"/>
          <w:szCs w:val="32"/>
        </w:rPr>
        <w:t>不动产基金新购入不动产项目完成</w:t>
      </w:r>
      <w:r>
        <w:rPr>
          <w:rFonts w:hint="eastAsia" w:eastAsia="仿宋_GB2312"/>
          <w:sz w:val="32"/>
          <w:szCs w:val="32"/>
        </w:rPr>
        <w:t>有</w:t>
      </w:r>
      <w:r>
        <w:rPr>
          <w:rFonts w:eastAsia="仿宋_GB2312"/>
          <w:sz w:val="32"/>
          <w:szCs w:val="32"/>
        </w:rPr>
        <w:t>关变更注册程序并经基金份额持有人大会表决通过（如需）后，应当及时实施交易方案，于实施完毕之日起3个工作日内编制交易实施情况报告书</w:t>
      </w:r>
      <w:r>
        <w:rPr>
          <w:rFonts w:hint="eastAsia" w:eastAsia="仿宋_GB2312"/>
          <w:sz w:val="32"/>
          <w:szCs w:val="32"/>
        </w:rPr>
        <w:t>并</w:t>
      </w:r>
      <w:r>
        <w:rPr>
          <w:rFonts w:eastAsia="仿宋_GB2312"/>
          <w:sz w:val="32"/>
          <w:szCs w:val="32"/>
        </w:rPr>
        <w:t>予以公告。涉及扩募的，应当按照本指引的要求披露扩募程序相关公告。</w:t>
      </w:r>
    </w:p>
    <w:p w14:paraId="02FE8F20">
      <w:pPr>
        <w:pStyle w:val="64"/>
        <w:tabs>
          <w:tab w:val="left" w:pos="1701"/>
        </w:tabs>
        <w:spacing w:line="540" w:lineRule="exact"/>
        <w:ind w:firstLine="640"/>
        <w:rPr>
          <w:rFonts w:eastAsia="仿宋_GB2312"/>
          <w:sz w:val="32"/>
          <w:szCs w:val="32"/>
        </w:rPr>
      </w:pPr>
      <w:r>
        <w:rPr>
          <w:rFonts w:eastAsia="仿宋_GB2312"/>
          <w:sz w:val="32"/>
          <w:szCs w:val="32"/>
        </w:rPr>
        <w:t>不动产基金在实施不动产</w:t>
      </w:r>
      <w:r>
        <w:rPr>
          <w:rFonts w:hint="eastAsia" w:eastAsia="仿宋_GB2312"/>
          <w:sz w:val="32"/>
          <w:szCs w:val="32"/>
        </w:rPr>
        <w:t>项目</w:t>
      </w:r>
      <w:r>
        <w:rPr>
          <w:rFonts w:eastAsia="仿宋_GB2312"/>
          <w:sz w:val="32"/>
          <w:szCs w:val="32"/>
        </w:rPr>
        <w:t>交易的过程中，发生法律法规要求披露的重大事项的，应当及时作出公告。重大事项导致本次交易发生实质性变动的，须重新履行变更注册程序并提交基金份额持有人大会审议。</w:t>
      </w:r>
    </w:p>
    <w:p w14:paraId="39D072F7">
      <w:pPr>
        <w:pStyle w:val="64"/>
        <w:tabs>
          <w:tab w:val="left" w:pos="1701"/>
        </w:tabs>
        <w:spacing w:line="540" w:lineRule="exact"/>
        <w:ind w:firstLine="640"/>
        <w:rPr>
          <w:rFonts w:eastAsia="仿宋_GB2312"/>
          <w:sz w:val="32"/>
          <w:szCs w:val="32"/>
        </w:rPr>
      </w:pPr>
      <w:r>
        <w:rPr>
          <w:rFonts w:eastAsia="仿宋_GB2312"/>
          <w:sz w:val="32"/>
          <w:szCs w:val="32"/>
        </w:rPr>
        <w:t>不动产基金拟终止购入不动产项目的，应当及时作出公告并召开基金份额持有人大会审议终止事项，基金份额持有人大会已授权基金管理人在必要情况下办理终止购入不动产项目相关事宜的除外。</w:t>
      </w:r>
    </w:p>
    <w:p w14:paraId="14C93BCF">
      <w:pPr>
        <w:pStyle w:val="64"/>
        <w:tabs>
          <w:tab w:val="left" w:pos="1701"/>
        </w:tabs>
        <w:spacing w:line="540" w:lineRule="exact"/>
        <w:ind w:firstLine="643"/>
        <w:rPr>
          <w:rFonts w:eastAsia="仿宋_GB2312"/>
          <w:sz w:val="32"/>
          <w:szCs w:val="32"/>
        </w:rPr>
      </w:pPr>
      <w:r>
        <w:rPr>
          <w:rFonts w:eastAsia="仿宋_GB2312"/>
          <w:b/>
          <w:bCs/>
          <w:sz w:val="32"/>
          <w:szCs w:val="32"/>
        </w:rPr>
        <w:t>第二十七条</w:t>
      </w:r>
      <w:r>
        <w:rPr>
          <w:rFonts w:eastAsia="仿宋_GB2312"/>
          <w:sz w:val="32"/>
          <w:szCs w:val="32"/>
        </w:rPr>
        <w:t xml:space="preserve"> 新购入不动产项目实施过程涉及扩募且向不特定对象发售的，基金管理人应当在发售首日的3日前将招募说明书等刊登在本所网站和符合中国证监会规定条件的网站</w:t>
      </w:r>
      <w:r>
        <w:rPr>
          <w:rFonts w:hint="eastAsia" w:eastAsia="仿宋_GB2312"/>
          <w:sz w:val="32"/>
          <w:szCs w:val="32"/>
        </w:rPr>
        <w:t>上</w:t>
      </w:r>
      <w:r>
        <w:rPr>
          <w:rFonts w:eastAsia="仿宋_GB2312"/>
          <w:sz w:val="32"/>
          <w:szCs w:val="32"/>
        </w:rPr>
        <w:t>，供公众查阅。</w:t>
      </w:r>
    </w:p>
    <w:p w14:paraId="0FF49E80">
      <w:pPr>
        <w:pStyle w:val="64"/>
        <w:tabs>
          <w:tab w:val="left" w:pos="1701"/>
        </w:tabs>
        <w:spacing w:line="540" w:lineRule="exact"/>
        <w:ind w:firstLine="640"/>
        <w:rPr>
          <w:rFonts w:eastAsia="仿宋_GB2312"/>
          <w:sz w:val="32"/>
          <w:szCs w:val="32"/>
        </w:rPr>
      </w:pPr>
      <w:r>
        <w:rPr>
          <w:rFonts w:eastAsia="仿宋_GB2312"/>
          <w:sz w:val="32"/>
          <w:szCs w:val="32"/>
        </w:rPr>
        <w:t>新购入不动产项目实施过程涉及扩募且向特定对象发售的，基金管理人应当在发售前将招募说明书等刊登在本所网站和符合中国证监会规定条件的网站</w:t>
      </w:r>
      <w:r>
        <w:rPr>
          <w:rFonts w:hint="eastAsia" w:eastAsia="仿宋_GB2312"/>
          <w:sz w:val="32"/>
          <w:szCs w:val="32"/>
        </w:rPr>
        <w:t>上</w:t>
      </w:r>
      <w:r>
        <w:rPr>
          <w:rFonts w:eastAsia="仿宋_GB2312"/>
          <w:sz w:val="32"/>
          <w:szCs w:val="32"/>
        </w:rPr>
        <w:t>，供公众查阅；在发售验资完成后的2个工作日内，将发行情况报告书刊登在本所网站和符合中国证监会规定条件的网站</w:t>
      </w:r>
      <w:r>
        <w:rPr>
          <w:rFonts w:hint="eastAsia" w:eastAsia="仿宋_GB2312"/>
          <w:sz w:val="32"/>
          <w:szCs w:val="32"/>
        </w:rPr>
        <w:t>上</w:t>
      </w:r>
      <w:r>
        <w:rPr>
          <w:rFonts w:eastAsia="仿宋_GB2312"/>
          <w:sz w:val="32"/>
          <w:szCs w:val="32"/>
        </w:rPr>
        <w:t>，供公众查阅。</w:t>
      </w:r>
    </w:p>
    <w:p w14:paraId="0ED1C8FA">
      <w:pPr>
        <w:pStyle w:val="64"/>
        <w:tabs>
          <w:tab w:val="left" w:pos="1701"/>
        </w:tabs>
        <w:spacing w:line="540" w:lineRule="exact"/>
        <w:ind w:firstLine="643"/>
        <w:rPr>
          <w:rFonts w:eastAsia="仿宋_GB2312"/>
          <w:sz w:val="32"/>
          <w:szCs w:val="32"/>
        </w:rPr>
      </w:pPr>
      <w:r>
        <w:rPr>
          <w:rFonts w:eastAsia="仿宋_GB2312"/>
          <w:b/>
          <w:bCs/>
          <w:sz w:val="32"/>
          <w:szCs w:val="32"/>
        </w:rPr>
        <w:t>第二十八条</w:t>
      </w:r>
      <w:r>
        <w:rPr>
          <w:rFonts w:eastAsia="仿宋_GB2312"/>
          <w:sz w:val="32"/>
          <w:szCs w:val="32"/>
        </w:rPr>
        <w:t xml:space="preserve"> 扩募发售完成后基金管理人应当向本所申请扩募份额上市，并提交下列文件：</w:t>
      </w:r>
    </w:p>
    <w:p w14:paraId="5F589896">
      <w:pPr>
        <w:pStyle w:val="64"/>
        <w:tabs>
          <w:tab w:val="left" w:pos="1701"/>
        </w:tabs>
        <w:spacing w:line="540" w:lineRule="exact"/>
        <w:ind w:firstLine="640"/>
        <w:rPr>
          <w:rFonts w:eastAsia="仿宋_GB2312"/>
          <w:sz w:val="32"/>
          <w:szCs w:val="32"/>
        </w:rPr>
      </w:pPr>
      <w:r>
        <w:rPr>
          <w:rFonts w:eastAsia="仿宋_GB2312"/>
          <w:sz w:val="32"/>
          <w:szCs w:val="32"/>
        </w:rPr>
        <w:t>（一）基金上市申请文件；</w:t>
      </w:r>
    </w:p>
    <w:p w14:paraId="30D5811D">
      <w:pPr>
        <w:pStyle w:val="64"/>
        <w:tabs>
          <w:tab w:val="left" w:pos="1701"/>
        </w:tabs>
        <w:spacing w:line="540" w:lineRule="exact"/>
        <w:ind w:firstLine="640"/>
        <w:rPr>
          <w:rFonts w:eastAsia="仿宋_GB2312"/>
          <w:sz w:val="32"/>
          <w:szCs w:val="32"/>
        </w:rPr>
      </w:pPr>
      <w:r>
        <w:rPr>
          <w:rFonts w:eastAsia="仿宋_GB2312"/>
          <w:sz w:val="32"/>
          <w:szCs w:val="32"/>
        </w:rPr>
        <w:t>（二）已生效的不动产基金认购不动产资产支持证券的认购协议（如有）；</w:t>
      </w:r>
    </w:p>
    <w:p w14:paraId="1F44B39E">
      <w:pPr>
        <w:pStyle w:val="64"/>
        <w:tabs>
          <w:tab w:val="left" w:pos="1701"/>
        </w:tabs>
        <w:spacing w:line="540" w:lineRule="exact"/>
        <w:ind w:firstLine="640"/>
        <w:rPr>
          <w:rFonts w:eastAsia="仿宋_GB2312"/>
          <w:sz w:val="32"/>
          <w:szCs w:val="32"/>
        </w:rPr>
      </w:pPr>
      <w:r>
        <w:rPr>
          <w:rFonts w:eastAsia="仿宋_GB2312"/>
          <w:sz w:val="32"/>
          <w:szCs w:val="32"/>
        </w:rPr>
        <w:t>（三）不动产基金所投资专项计划的成立公告（如有）；</w:t>
      </w:r>
    </w:p>
    <w:p w14:paraId="388F1591">
      <w:pPr>
        <w:pStyle w:val="64"/>
        <w:tabs>
          <w:tab w:val="left" w:pos="1701"/>
        </w:tabs>
        <w:spacing w:line="540" w:lineRule="exact"/>
        <w:ind w:firstLine="640"/>
        <w:rPr>
          <w:rFonts w:eastAsia="仿宋_GB2312"/>
          <w:sz w:val="32"/>
          <w:szCs w:val="32"/>
        </w:rPr>
      </w:pPr>
      <w:r>
        <w:rPr>
          <w:rFonts w:eastAsia="仿宋_GB2312"/>
          <w:sz w:val="32"/>
          <w:szCs w:val="32"/>
        </w:rPr>
        <w:t>（四）不动产基金所投资专项计划的已生效的基础资产买卖协议（如有）；</w:t>
      </w:r>
    </w:p>
    <w:p w14:paraId="38C3CC93">
      <w:pPr>
        <w:pStyle w:val="64"/>
        <w:tabs>
          <w:tab w:val="left" w:pos="1701"/>
        </w:tabs>
        <w:spacing w:line="540" w:lineRule="exact"/>
        <w:ind w:firstLine="640"/>
        <w:rPr>
          <w:rFonts w:eastAsia="仿宋_GB2312"/>
          <w:sz w:val="32"/>
          <w:szCs w:val="32"/>
        </w:rPr>
      </w:pPr>
      <w:r>
        <w:rPr>
          <w:rFonts w:eastAsia="仿宋_GB2312"/>
          <w:sz w:val="32"/>
          <w:szCs w:val="32"/>
        </w:rPr>
        <w:t>（五）本所要求的其他文件。</w:t>
      </w:r>
    </w:p>
    <w:p w14:paraId="0BF330F8">
      <w:pPr>
        <w:pStyle w:val="64"/>
        <w:tabs>
          <w:tab w:val="left" w:pos="1701"/>
        </w:tabs>
        <w:spacing w:line="540" w:lineRule="exact"/>
        <w:ind w:firstLine="643"/>
        <w:rPr>
          <w:rFonts w:eastAsia="仿宋_GB2312"/>
          <w:sz w:val="32"/>
          <w:szCs w:val="32"/>
        </w:rPr>
      </w:pPr>
      <w:r>
        <w:rPr>
          <w:rFonts w:eastAsia="仿宋_GB2312"/>
          <w:b/>
          <w:bCs/>
          <w:sz w:val="32"/>
          <w:szCs w:val="32"/>
        </w:rPr>
        <w:t>第二十九条</w:t>
      </w:r>
      <w:r>
        <w:rPr>
          <w:rFonts w:eastAsia="仿宋_GB2312"/>
          <w:sz w:val="32"/>
          <w:szCs w:val="32"/>
        </w:rPr>
        <w:t xml:space="preserve"> 基金管理人应当在基金扩募份额上市交易的3个工作日前，公告上市交易公告书。上市交易公告书至少应当披露下列内容：</w:t>
      </w:r>
    </w:p>
    <w:p w14:paraId="6A768703">
      <w:pPr>
        <w:pStyle w:val="64"/>
        <w:tabs>
          <w:tab w:val="left" w:pos="1701"/>
        </w:tabs>
        <w:spacing w:line="540" w:lineRule="exact"/>
        <w:ind w:firstLine="640"/>
        <w:rPr>
          <w:rFonts w:eastAsia="仿宋_GB2312"/>
          <w:sz w:val="32"/>
          <w:szCs w:val="32"/>
        </w:rPr>
      </w:pPr>
      <w:r>
        <w:rPr>
          <w:rFonts w:eastAsia="仿宋_GB2312"/>
          <w:sz w:val="32"/>
          <w:szCs w:val="32"/>
        </w:rPr>
        <w:t>（一）不动产基金扩募情况；</w:t>
      </w:r>
    </w:p>
    <w:p w14:paraId="3804A01C">
      <w:pPr>
        <w:pStyle w:val="64"/>
        <w:tabs>
          <w:tab w:val="left" w:pos="1701"/>
        </w:tabs>
        <w:spacing w:line="540" w:lineRule="exact"/>
        <w:ind w:firstLine="640"/>
        <w:rPr>
          <w:rFonts w:eastAsia="仿宋_GB2312"/>
          <w:sz w:val="32"/>
          <w:szCs w:val="32"/>
        </w:rPr>
      </w:pPr>
      <w:r>
        <w:rPr>
          <w:rFonts w:eastAsia="仿宋_GB2312"/>
          <w:sz w:val="32"/>
          <w:szCs w:val="32"/>
        </w:rPr>
        <w:t>（二）拟购入不动产项目原始权益人或者其同一控制下的关联方参与本次基金战略配售的具体情况</w:t>
      </w:r>
      <w:r>
        <w:rPr>
          <w:rFonts w:hint="eastAsia" w:eastAsia="仿宋_GB2312"/>
          <w:sz w:val="32"/>
          <w:szCs w:val="32"/>
        </w:rPr>
        <w:t>和</w:t>
      </w:r>
      <w:r>
        <w:rPr>
          <w:rFonts w:eastAsia="仿宋_GB2312"/>
          <w:sz w:val="32"/>
          <w:szCs w:val="32"/>
        </w:rPr>
        <w:t>限售安排；</w:t>
      </w:r>
    </w:p>
    <w:p w14:paraId="7E5D4D16">
      <w:pPr>
        <w:pStyle w:val="64"/>
        <w:tabs>
          <w:tab w:val="left" w:pos="1701"/>
        </w:tabs>
        <w:spacing w:line="540" w:lineRule="exact"/>
        <w:ind w:firstLine="640"/>
        <w:rPr>
          <w:rFonts w:eastAsia="仿宋_GB2312"/>
          <w:sz w:val="32"/>
          <w:szCs w:val="32"/>
        </w:rPr>
      </w:pPr>
      <w:r>
        <w:rPr>
          <w:rFonts w:eastAsia="仿宋_GB2312"/>
          <w:sz w:val="32"/>
          <w:szCs w:val="32"/>
        </w:rPr>
        <w:t>（三）不动产基金投资运作、交易等环节的主要风险</w:t>
      </w:r>
      <w:r>
        <w:rPr>
          <w:rFonts w:hint="eastAsia" w:eastAsia="仿宋_GB2312"/>
          <w:sz w:val="32"/>
          <w:szCs w:val="32"/>
        </w:rPr>
        <w:t>和</w:t>
      </w:r>
      <w:r>
        <w:rPr>
          <w:rFonts w:eastAsia="仿宋_GB2312"/>
          <w:sz w:val="32"/>
          <w:szCs w:val="32"/>
        </w:rPr>
        <w:t>变化；</w:t>
      </w:r>
    </w:p>
    <w:p w14:paraId="185D9A2C">
      <w:pPr>
        <w:pStyle w:val="64"/>
        <w:tabs>
          <w:tab w:val="left" w:pos="1701"/>
        </w:tabs>
        <w:spacing w:line="540" w:lineRule="exact"/>
        <w:ind w:firstLine="640"/>
        <w:rPr>
          <w:rFonts w:eastAsia="仿宋_GB2312"/>
          <w:sz w:val="32"/>
          <w:szCs w:val="32"/>
        </w:rPr>
      </w:pPr>
      <w:r>
        <w:rPr>
          <w:rFonts w:eastAsia="仿宋_GB2312"/>
          <w:sz w:val="32"/>
          <w:szCs w:val="32"/>
        </w:rPr>
        <w:t>（四）不动产基金认购不动产资产支持证券以及不动产基金所投资的专项计划持有的基础资产情况（如有）；</w:t>
      </w:r>
    </w:p>
    <w:p w14:paraId="23C76FF8">
      <w:pPr>
        <w:pStyle w:val="64"/>
        <w:tabs>
          <w:tab w:val="left" w:pos="1701"/>
        </w:tabs>
        <w:spacing w:line="540" w:lineRule="exact"/>
        <w:ind w:firstLine="640"/>
        <w:rPr>
          <w:rFonts w:eastAsia="仿宋_GB2312"/>
          <w:sz w:val="32"/>
          <w:szCs w:val="32"/>
        </w:rPr>
      </w:pPr>
      <w:r>
        <w:rPr>
          <w:rFonts w:eastAsia="仿宋_GB2312"/>
          <w:sz w:val="32"/>
          <w:szCs w:val="32"/>
        </w:rPr>
        <w:t>（五）本所要求的其他内容。</w:t>
      </w:r>
    </w:p>
    <w:p w14:paraId="5003F5A4">
      <w:pPr>
        <w:spacing w:line="540" w:lineRule="exact"/>
        <w:jc w:val="center"/>
        <w:rPr>
          <w:rFonts w:eastAsia="黑体"/>
          <w:bCs/>
          <w:sz w:val="32"/>
          <w:szCs w:val="32"/>
        </w:rPr>
      </w:pPr>
      <w:r>
        <w:rPr>
          <w:rFonts w:eastAsia="黑体"/>
          <w:bCs/>
          <w:sz w:val="32"/>
          <w:szCs w:val="32"/>
        </w:rPr>
        <w:t>第四章</w:t>
      </w:r>
      <w:r>
        <w:rPr>
          <w:rFonts w:eastAsia="黑体"/>
          <w:bCs/>
          <w:sz w:val="32"/>
          <w:szCs w:val="32"/>
        </w:rPr>
        <w:tab/>
      </w:r>
      <w:r>
        <w:rPr>
          <w:rFonts w:eastAsia="黑体"/>
          <w:bCs/>
          <w:sz w:val="32"/>
          <w:szCs w:val="32"/>
        </w:rPr>
        <w:t>信息管理与停复牌</w:t>
      </w:r>
    </w:p>
    <w:p w14:paraId="567F8FC8">
      <w:pPr>
        <w:pStyle w:val="64"/>
        <w:tabs>
          <w:tab w:val="left" w:pos="1701"/>
        </w:tabs>
        <w:spacing w:line="540" w:lineRule="exact"/>
        <w:ind w:firstLine="643"/>
        <w:rPr>
          <w:rFonts w:eastAsia="仿宋_GB2312"/>
          <w:sz w:val="32"/>
          <w:szCs w:val="32"/>
        </w:rPr>
      </w:pPr>
      <w:r>
        <w:rPr>
          <w:rFonts w:eastAsia="仿宋_GB2312"/>
          <w:b/>
          <w:bCs/>
          <w:sz w:val="32"/>
          <w:szCs w:val="32"/>
        </w:rPr>
        <w:t>第三十条</w:t>
      </w:r>
      <w:r>
        <w:rPr>
          <w:rFonts w:eastAsia="仿宋_GB2312"/>
          <w:sz w:val="32"/>
          <w:szCs w:val="32"/>
        </w:rPr>
        <w:t xml:space="preserve"> 基金管理人筹划、实施不动产交易，</w:t>
      </w:r>
      <w:r>
        <w:rPr>
          <w:rFonts w:hint="eastAsia" w:eastAsia="仿宋_GB2312"/>
          <w:sz w:val="32"/>
          <w:szCs w:val="32"/>
        </w:rPr>
        <w:t>有</w:t>
      </w:r>
      <w:r>
        <w:rPr>
          <w:rFonts w:eastAsia="仿宋_GB2312"/>
          <w:sz w:val="32"/>
          <w:szCs w:val="32"/>
        </w:rPr>
        <w:t>关信息披露义务人应当公平地向所有投资者披露可能对不动产基金交易价格产生较大影响的相关信息（以下简称价格敏感信息），不得有选择性地向特定对象提前泄露。</w:t>
      </w:r>
    </w:p>
    <w:p w14:paraId="2FB6D893">
      <w:pPr>
        <w:pStyle w:val="64"/>
        <w:tabs>
          <w:tab w:val="left" w:pos="1701"/>
        </w:tabs>
        <w:spacing w:line="540" w:lineRule="exact"/>
        <w:ind w:firstLine="643"/>
        <w:rPr>
          <w:rFonts w:eastAsia="仿宋_GB2312"/>
          <w:sz w:val="32"/>
          <w:szCs w:val="32"/>
        </w:rPr>
      </w:pPr>
      <w:r>
        <w:rPr>
          <w:rFonts w:eastAsia="仿宋_GB2312"/>
          <w:b/>
          <w:bCs/>
          <w:sz w:val="32"/>
          <w:szCs w:val="32"/>
        </w:rPr>
        <w:t>第三十一条</w:t>
      </w:r>
      <w:r>
        <w:rPr>
          <w:rFonts w:eastAsia="仿宋_GB2312"/>
          <w:sz w:val="32"/>
          <w:szCs w:val="32"/>
        </w:rPr>
        <w:t xml:space="preserve"> 不动产基金份额持有人以及参与不动产交易筹划、论证、决策等环节的其他</w:t>
      </w:r>
      <w:r>
        <w:rPr>
          <w:rFonts w:hint="eastAsia" w:eastAsia="仿宋_GB2312"/>
          <w:sz w:val="32"/>
          <w:szCs w:val="32"/>
        </w:rPr>
        <w:t>有</w:t>
      </w:r>
      <w:r>
        <w:rPr>
          <w:rFonts w:eastAsia="仿宋_GB2312"/>
          <w:sz w:val="32"/>
          <w:szCs w:val="32"/>
        </w:rPr>
        <w:t>关机构和人员，应当及时、准确地向基金管理人通报</w:t>
      </w:r>
      <w:r>
        <w:rPr>
          <w:rFonts w:hint="eastAsia" w:eastAsia="仿宋_GB2312"/>
          <w:sz w:val="32"/>
          <w:szCs w:val="32"/>
        </w:rPr>
        <w:t>相</w:t>
      </w:r>
      <w:r>
        <w:rPr>
          <w:rFonts w:eastAsia="仿宋_GB2312"/>
          <w:sz w:val="32"/>
          <w:szCs w:val="32"/>
        </w:rPr>
        <w:t>关信息，并配合基金管理人及时、准确、完整地进行披露。</w:t>
      </w:r>
    </w:p>
    <w:p w14:paraId="4118771F">
      <w:pPr>
        <w:pStyle w:val="64"/>
        <w:tabs>
          <w:tab w:val="left" w:pos="1701"/>
        </w:tabs>
        <w:spacing w:line="540" w:lineRule="exact"/>
        <w:ind w:firstLine="643"/>
        <w:rPr>
          <w:rFonts w:eastAsia="仿宋_GB2312"/>
          <w:sz w:val="32"/>
          <w:szCs w:val="32"/>
        </w:rPr>
      </w:pPr>
      <w:r>
        <w:rPr>
          <w:rFonts w:eastAsia="仿宋_GB2312"/>
          <w:b/>
          <w:bCs/>
          <w:sz w:val="32"/>
          <w:szCs w:val="32"/>
        </w:rPr>
        <w:t>第三十二条</w:t>
      </w:r>
      <w:r>
        <w:rPr>
          <w:rFonts w:eastAsia="仿宋_GB2312"/>
          <w:sz w:val="32"/>
          <w:szCs w:val="32"/>
        </w:rPr>
        <w:t xml:space="preserve"> 基金管理人，不动产</w:t>
      </w:r>
      <w:r>
        <w:rPr>
          <w:rFonts w:hint="eastAsia" w:eastAsia="仿宋_GB2312"/>
          <w:sz w:val="32"/>
          <w:szCs w:val="32"/>
        </w:rPr>
        <w:t>项目</w:t>
      </w:r>
      <w:r>
        <w:rPr>
          <w:rFonts w:eastAsia="仿宋_GB2312"/>
          <w:sz w:val="32"/>
          <w:szCs w:val="32"/>
        </w:rPr>
        <w:t>交易的交易对方及其关联方，交易各方聘请的证券服务机构及其从业人员，参与不动产</w:t>
      </w:r>
      <w:r>
        <w:rPr>
          <w:rFonts w:hint="eastAsia" w:eastAsia="仿宋_GB2312"/>
          <w:sz w:val="32"/>
          <w:szCs w:val="32"/>
        </w:rPr>
        <w:t>项目</w:t>
      </w:r>
      <w:r>
        <w:rPr>
          <w:rFonts w:eastAsia="仿宋_GB2312"/>
          <w:sz w:val="32"/>
          <w:szCs w:val="32"/>
        </w:rPr>
        <w:t>交易筹划、论证、决策、审批等环节的</w:t>
      </w:r>
      <w:r>
        <w:rPr>
          <w:rFonts w:hint="eastAsia" w:eastAsia="仿宋_GB2312"/>
          <w:sz w:val="32"/>
          <w:szCs w:val="32"/>
        </w:rPr>
        <w:t>有</w:t>
      </w:r>
      <w:r>
        <w:rPr>
          <w:rFonts w:eastAsia="仿宋_GB2312"/>
          <w:sz w:val="32"/>
          <w:szCs w:val="32"/>
        </w:rPr>
        <w:t>关机构和人员，以及因直系亲属关系、提供服务和业务往来等知悉或者可能知悉价格敏感信息的其他</w:t>
      </w:r>
      <w:r>
        <w:rPr>
          <w:rFonts w:hint="eastAsia" w:eastAsia="仿宋_GB2312"/>
          <w:sz w:val="32"/>
          <w:szCs w:val="32"/>
        </w:rPr>
        <w:t>有</w:t>
      </w:r>
      <w:r>
        <w:rPr>
          <w:rFonts w:eastAsia="仿宋_GB2312"/>
          <w:sz w:val="32"/>
          <w:szCs w:val="32"/>
        </w:rPr>
        <w:t>关机构和人员，在不动产</w:t>
      </w:r>
      <w:r>
        <w:rPr>
          <w:rFonts w:hint="eastAsia" w:eastAsia="仿宋_GB2312"/>
          <w:sz w:val="32"/>
          <w:szCs w:val="32"/>
        </w:rPr>
        <w:t>项目</w:t>
      </w:r>
      <w:r>
        <w:rPr>
          <w:rFonts w:eastAsia="仿宋_GB2312"/>
          <w:sz w:val="32"/>
          <w:szCs w:val="32"/>
        </w:rPr>
        <w:t>交易的价格敏感信息依法披露前负有保密义务，禁止利用该信息进行内幕交易。</w:t>
      </w:r>
    </w:p>
    <w:p w14:paraId="20112B2B">
      <w:pPr>
        <w:pStyle w:val="64"/>
        <w:tabs>
          <w:tab w:val="left" w:pos="1701"/>
        </w:tabs>
        <w:spacing w:line="540" w:lineRule="exact"/>
        <w:ind w:firstLine="643"/>
        <w:rPr>
          <w:rFonts w:eastAsia="仿宋_GB2312"/>
          <w:sz w:val="32"/>
          <w:szCs w:val="32"/>
        </w:rPr>
      </w:pPr>
      <w:r>
        <w:rPr>
          <w:rFonts w:eastAsia="仿宋_GB2312"/>
          <w:b/>
          <w:bCs/>
          <w:sz w:val="32"/>
          <w:szCs w:val="32"/>
        </w:rPr>
        <w:t xml:space="preserve">第三十三条 </w:t>
      </w:r>
      <w:r>
        <w:rPr>
          <w:rFonts w:eastAsia="仿宋_GB2312"/>
          <w:sz w:val="32"/>
          <w:szCs w:val="32"/>
        </w:rPr>
        <w:t>基金管理人筹划不动产</w:t>
      </w:r>
      <w:r>
        <w:rPr>
          <w:rFonts w:hint="eastAsia" w:eastAsia="仿宋_GB2312"/>
          <w:sz w:val="32"/>
          <w:szCs w:val="32"/>
        </w:rPr>
        <w:t>项目</w:t>
      </w:r>
      <w:r>
        <w:rPr>
          <w:rFonts w:eastAsia="仿宋_GB2312"/>
          <w:sz w:val="32"/>
          <w:szCs w:val="32"/>
        </w:rPr>
        <w:t>交易事项，应当详细记载筹划过程中每一具体环节的进展情况，包括商议相关方案</w:t>
      </w:r>
      <w:r>
        <w:rPr>
          <w:rFonts w:hint="eastAsia" w:eastAsia="仿宋_GB2312"/>
          <w:sz w:val="32"/>
          <w:szCs w:val="32"/>
        </w:rPr>
        <w:t>，</w:t>
      </w:r>
      <w:r>
        <w:rPr>
          <w:rFonts w:eastAsia="仿宋_GB2312"/>
          <w:sz w:val="32"/>
          <w:szCs w:val="32"/>
        </w:rPr>
        <w:t>形成相关意向</w:t>
      </w:r>
      <w:r>
        <w:rPr>
          <w:rFonts w:hint="eastAsia" w:eastAsia="仿宋_GB2312"/>
          <w:sz w:val="32"/>
          <w:szCs w:val="32"/>
        </w:rPr>
        <w:t>，</w:t>
      </w:r>
      <w:r>
        <w:rPr>
          <w:rFonts w:eastAsia="仿宋_GB2312"/>
          <w:sz w:val="32"/>
          <w:szCs w:val="32"/>
        </w:rPr>
        <w:t>签署</w:t>
      </w:r>
      <w:r>
        <w:rPr>
          <w:rFonts w:hint="eastAsia" w:eastAsia="仿宋_GB2312"/>
          <w:sz w:val="32"/>
          <w:szCs w:val="32"/>
        </w:rPr>
        <w:t>有</w:t>
      </w:r>
      <w:r>
        <w:rPr>
          <w:rFonts w:eastAsia="仿宋_GB2312"/>
          <w:sz w:val="32"/>
          <w:szCs w:val="32"/>
        </w:rPr>
        <w:t>关协议或者意向书的具体时间、地点、参与机构和人员</w:t>
      </w:r>
      <w:r>
        <w:rPr>
          <w:rFonts w:hint="eastAsia" w:eastAsia="仿宋_GB2312"/>
          <w:sz w:val="32"/>
          <w:szCs w:val="32"/>
        </w:rPr>
        <w:t>，</w:t>
      </w:r>
      <w:r>
        <w:rPr>
          <w:rFonts w:eastAsia="仿宋_GB2312"/>
          <w:sz w:val="32"/>
          <w:szCs w:val="32"/>
        </w:rPr>
        <w:t>商议和决议内容等，制作书面的交易进程备忘录并予以妥当保存。参与每一具体环节的所有人员应当即时在备忘录上签名确认。</w:t>
      </w:r>
    </w:p>
    <w:p w14:paraId="3F021226">
      <w:pPr>
        <w:pStyle w:val="64"/>
        <w:tabs>
          <w:tab w:val="left" w:pos="1701"/>
        </w:tabs>
        <w:spacing w:line="540" w:lineRule="exact"/>
        <w:ind w:firstLine="643"/>
        <w:rPr>
          <w:rFonts w:eastAsia="仿宋_GB2312"/>
          <w:sz w:val="32"/>
          <w:szCs w:val="32"/>
        </w:rPr>
      </w:pPr>
      <w:r>
        <w:rPr>
          <w:rFonts w:eastAsia="仿宋_GB2312"/>
          <w:b/>
          <w:bCs/>
          <w:sz w:val="32"/>
          <w:szCs w:val="32"/>
        </w:rPr>
        <w:t>第三十四条</w:t>
      </w:r>
      <w:r>
        <w:rPr>
          <w:rFonts w:eastAsia="仿宋_GB2312"/>
          <w:sz w:val="32"/>
          <w:szCs w:val="32"/>
        </w:rPr>
        <w:t xml:space="preserve"> 基金管理人筹划不动产</w:t>
      </w:r>
      <w:r>
        <w:rPr>
          <w:rFonts w:hint="eastAsia" w:eastAsia="仿宋_GB2312"/>
          <w:sz w:val="32"/>
          <w:szCs w:val="32"/>
        </w:rPr>
        <w:t>项目</w:t>
      </w:r>
      <w:r>
        <w:rPr>
          <w:rFonts w:eastAsia="仿宋_GB2312"/>
          <w:sz w:val="32"/>
          <w:szCs w:val="32"/>
        </w:rPr>
        <w:t>购入事项，应当在不动产基金不停牌的情况下分阶段披露所筹划事项的具体情况，不得以</w:t>
      </w:r>
      <w:r>
        <w:rPr>
          <w:rFonts w:hint="eastAsia" w:eastAsia="仿宋_GB2312"/>
          <w:sz w:val="32"/>
          <w:szCs w:val="32"/>
        </w:rPr>
        <w:t>有</w:t>
      </w:r>
      <w:r>
        <w:rPr>
          <w:rFonts w:eastAsia="仿宋_GB2312"/>
          <w:sz w:val="32"/>
          <w:szCs w:val="32"/>
        </w:rPr>
        <w:t>关事项结果尚不确定为由随意申请停牌。</w:t>
      </w:r>
    </w:p>
    <w:p w14:paraId="54AEA359">
      <w:pPr>
        <w:pStyle w:val="64"/>
        <w:tabs>
          <w:tab w:val="left" w:pos="1701"/>
        </w:tabs>
        <w:spacing w:line="540" w:lineRule="exact"/>
        <w:ind w:firstLine="640"/>
        <w:rPr>
          <w:rFonts w:eastAsia="仿宋_GB2312"/>
          <w:sz w:val="32"/>
          <w:szCs w:val="32"/>
        </w:rPr>
      </w:pPr>
      <w:r>
        <w:rPr>
          <w:rFonts w:eastAsia="仿宋_GB2312"/>
          <w:sz w:val="32"/>
          <w:szCs w:val="32"/>
        </w:rPr>
        <w:t>难以按照前款规定分阶段披露，确有</w:t>
      </w:r>
      <w:r>
        <w:rPr>
          <w:rFonts w:hint="eastAsia" w:eastAsia="仿宋_GB2312"/>
          <w:sz w:val="32"/>
          <w:szCs w:val="32"/>
        </w:rPr>
        <w:t>必</w:t>
      </w:r>
      <w:r>
        <w:rPr>
          <w:rFonts w:eastAsia="仿宋_GB2312"/>
          <w:sz w:val="32"/>
          <w:szCs w:val="32"/>
        </w:rPr>
        <w:t>要申请停牌的，基金管理人可以申请停牌，停牌时间不得超过5个交易日。基金管理人应当在停牌期限届满前披露产品变更草案和扩募方案（如有），并申请复牌；未能按期披露产品变更草案和扩募方案（如有）的，应当终止筹划本次不动产</w:t>
      </w:r>
      <w:r>
        <w:rPr>
          <w:rFonts w:hint="eastAsia" w:eastAsia="仿宋_GB2312"/>
          <w:sz w:val="32"/>
          <w:szCs w:val="32"/>
        </w:rPr>
        <w:t>项目</w:t>
      </w:r>
      <w:r>
        <w:rPr>
          <w:rFonts w:eastAsia="仿宋_GB2312"/>
          <w:sz w:val="32"/>
          <w:szCs w:val="32"/>
        </w:rPr>
        <w:t>购入事项并申请复牌。</w:t>
      </w:r>
    </w:p>
    <w:p w14:paraId="72C5A570">
      <w:pPr>
        <w:pStyle w:val="64"/>
        <w:tabs>
          <w:tab w:val="left" w:pos="1701"/>
        </w:tabs>
        <w:spacing w:line="540" w:lineRule="exact"/>
        <w:ind w:firstLine="640"/>
        <w:rPr>
          <w:rFonts w:eastAsia="仿宋_GB2312"/>
          <w:sz w:val="32"/>
          <w:szCs w:val="32"/>
        </w:rPr>
      </w:pPr>
      <w:r>
        <w:rPr>
          <w:rFonts w:eastAsia="仿宋_GB2312"/>
          <w:sz w:val="32"/>
          <w:szCs w:val="32"/>
        </w:rPr>
        <w:t>不停牌筹划不动产</w:t>
      </w:r>
      <w:r>
        <w:rPr>
          <w:rFonts w:hint="eastAsia" w:eastAsia="仿宋_GB2312"/>
          <w:sz w:val="32"/>
          <w:szCs w:val="32"/>
        </w:rPr>
        <w:t>项目</w:t>
      </w:r>
      <w:r>
        <w:rPr>
          <w:rFonts w:eastAsia="仿宋_GB2312"/>
          <w:sz w:val="32"/>
          <w:szCs w:val="32"/>
        </w:rPr>
        <w:t>购入事项的，应当做好信息保密工作，在产品变更草案和扩募方案（如有）披露前，不得披露所筹划的相关信息。相关信息发生泄露的，基金管理人应当及时申请停牌。</w:t>
      </w:r>
    </w:p>
    <w:p w14:paraId="69549958">
      <w:pPr>
        <w:pStyle w:val="64"/>
        <w:tabs>
          <w:tab w:val="left" w:pos="1701"/>
        </w:tabs>
        <w:spacing w:line="540" w:lineRule="exact"/>
        <w:ind w:firstLine="643"/>
        <w:rPr>
          <w:rFonts w:eastAsia="仿宋_GB2312"/>
          <w:sz w:val="32"/>
          <w:szCs w:val="32"/>
        </w:rPr>
      </w:pPr>
      <w:r>
        <w:rPr>
          <w:rFonts w:eastAsia="仿宋_GB2312"/>
          <w:b/>
          <w:bCs/>
          <w:sz w:val="32"/>
          <w:szCs w:val="32"/>
        </w:rPr>
        <w:t xml:space="preserve">第三十五条 </w:t>
      </w:r>
      <w:r>
        <w:rPr>
          <w:rFonts w:eastAsia="仿宋_GB2312"/>
          <w:sz w:val="32"/>
          <w:szCs w:val="32"/>
        </w:rPr>
        <w:t>基金管理人无法在停牌期限届满前完成</w:t>
      </w:r>
      <w:r>
        <w:rPr>
          <w:rFonts w:hint="eastAsia" w:eastAsia="仿宋_GB2312"/>
          <w:sz w:val="32"/>
          <w:szCs w:val="32"/>
        </w:rPr>
        <w:t>有</w:t>
      </w:r>
      <w:r>
        <w:rPr>
          <w:rFonts w:eastAsia="仿宋_GB2312"/>
          <w:sz w:val="32"/>
          <w:szCs w:val="32"/>
        </w:rPr>
        <w:t>关事项筹划，但国家有关部门对于</w:t>
      </w:r>
      <w:r>
        <w:rPr>
          <w:rFonts w:hint="eastAsia" w:eastAsia="仿宋_GB2312"/>
          <w:sz w:val="32"/>
          <w:szCs w:val="32"/>
        </w:rPr>
        <w:t>有</w:t>
      </w:r>
      <w:r>
        <w:rPr>
          <w:rFonts w:eastAsia="仿宋_GB2312"/>
          <w:sz w:val="32"/>
          <w:szCs w:val="32"/>
        </w:rPr>
        <w:t>关事项的停复牌时间另有要求的，基金管理人可以在充分披露筹划事项的进展、继续停牌的原因和预计复牌的时间后向本所申请继续停牌，但连续停牌时间原则上不得超过25个交易日。涉及国家重大战略项目、国家军工秘密等事项，对停复牌时间另有要求的</w:t>
      </w:r>
      <w:r>
        <w:rPr>
          <w:rFonts w:hint="eastAsia" w:eastAsia="仿宋_GB2312"/>
          <w:sz w:val="32"/>
          <w:szCs w:val="32"/>
        </w:rPr>
        <w:t>，</w:t>
      </w:r>
      <w:r>
        <w:rPr>
          <w:rFonts w:eastAsia="仿宋_GB2312"/>
          <w:sz w:val="32"/>
          <w:szCs w:val="32"/>
        </w:rPr>
        <w:t>从其要求。</w:t>
      </w:r>
    </w:p>
    <w:p w14:paraId="23EFF28F">
      <w:pPr>
        <w:spacing w:line="540" w:lineRule="exact"/>
        <w:jc w:val="center"/>
        <w:rPr>
          <w:rFonts w:eastAsia="黑体"/>
          <w:bCs/>
          <w:sz w:val="32"/>
          <w:szCs w:val="32"/>
        </w:rPr>
      </w:pPr>
      <w:r>
        <w:rPr>
          <w:rFonts w:eastAsia="黑体"/>
          <w:bCs/>
          <w:sz w:val="32"/>
          <w:szCs w:val="32"/>
        </w:rPr>
        <w:t>第五章</w:t>
      </w:r>
      <w:r>
        <w:rPr>
          <w:rFonts w:eastAsia="黑体"/>
          <w:bCs/>
          <w:sz w:val="32"/>
          <w:szCs w:val="32"/>
        </w:rPr>
        <w:tab/>
      </w:r>
      <w:r>
        <w:rPr>
          <w:rFonts w:eastAsia="黑体"/>
          <w:bCs/>
          <w:sz w:val="32"/>
          <w:szCs w:val="32"/>
        </w:rPr>
        <w:t>不动产基金扩募发售</w:t>
      </w:r>
    </w:p>
    <w:p w14:paraId="1835D179">
      <w:pPr>
        <w:spacing w:line="54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第一节 一般要求</w:t>
      </w:r>
    </w:p>
    <w:p w14:paraId="576E8633">
      <w:pPr>
        <w:pStyle w:val="64"/>
        <w:tabs>
          <w:tab w:val="left" w:pos="1701"/>
        </w:tabs>
        <w:spacing w:line="540" w:lineRule="exact"/>
        <w:ind w:firstLine="643"/>
        <w:rPr>
          <w:rFonts w:eastAsia="仿宋_GB2312"/>
          <w:sz w:val="32"/>
          <w:szCs w:val="32"/>
        </w:rPr>
      </w:pPr>
      <w:r>
        <w:rPr>
          <w:rFonts w:eastAsia="仿宋_GB2312"/>
          <w:b/>
          <w:bCs/>
          <w:sz w:val="32"/>
          <w:szCs w:val="32"/>
        </w:rPr>
        <w:t xml:space="preserve">第三十六条 </w:t>
      </w:r>
      <w:r>
        <w:rPr>
          <w:rFonts w:eastAsia="仿宋_GB2312"/>
          <w:sz w:val="32"/>
          <w:szCs w:val="32"/>
        </w:rPr>
        <w:t>不动产基金扩募的，可以向不特定对象发售，也可以向特定对象发售（以下简称定向扩募）。向不特定对象发售包括向不动产基金</w:t>
      </w:r>
      <w:r>
        <w:rPr>
          <w:rFonts w:hint="eastAsia" w:eastAsia="仿宋_GB2312"/>
          <w:sz w:val="32"/>
          <w:szCs w:val="32"/>
        </w:rPr>
        <w:t>原</w:t>
      </w:r>
      <w:r>
        <w:rPr>
          <w:rFonts w:eastAsia="仿宋_GB2312"/>
          <w:sz w:val="32"/>
          <w:szCs w:val="32"/>
        </w:rPr>
        <w:t>持有人配售份额（以下简称向原持有人配售）和向不特定对象募集（以下简称公开扩募）。</w:t>
      </w:r>
    </w:p>
    <w:p w14:paraId="73C22CB7">
      <w:pPr>
        <w:pStyle w:val="64"/>
        <w:tabs>
          <w:tab w:val="left" w:pos="1701"/>
        </w:tabs>
        <w:spacing w:line="540" w:lineRule="exact"/>
        <w:ind w:firstLine="643"/>
        <w:rPr>
          <w:rFonts w:eastAsia="仿宋_GB2312"/>
          <w:sz w:val="32"/>
          <w:szCs w:val="32"/>
        </w:rPr>
      </w:pPr>
      <w:r>
        <w:rPr>
          <w:rFonts w:eastAsia="仿宋_GB2312"/>
          <w:b/>
          <w:bCs/>
          <w:sz w:val="32"/>
          <w:szCs w:val="32"/>
        </w:rPr>
        <w:t xml:space="preserve">第三十七条 </w:t>
      </w:r>
      <w:r>
        <w:rPr>
          <w:rFonts w:eastAsia="仿宋_GB2312"/>
          <w:sz w:val="32"/>
          <w:szCs w:val="32"/>
        </w:rPr>
        <w:t>不动产基金扩募的，其战略配售对象</w:t>
      </w:r>
      <w:r>
        <w:rPr>
          <w:rFonts w:hint="eastAsia" w:eastAsia="仿宋_GB2312"/>
          <w:sz w:val="32"/>
          <w:szCs w:val="32"/>
        </w:rPr>
        <w:t>原则上</w:t>
      </w:r>
      <w:r>
        <w:rPr>
          <w:rFonts w:eastAsia="仿宋_GB2312"/>
          <w:sz w:val="32"/>
          <w:szCs w:val="32"/>
        </w:rPr>
        <w:t>限于拟购入</w:t>
      </w:r>
      <w:r>
        <w:rPr>
          <w:rFonts w:hint="eastAsia" w:eastAsia="仿宋_GB2312"/>
          <w:sz w:val="32"/>
          <w:szCs w:val="32"/>
        </w:rPr>
        <w:t>不动产</w:t>
      </w:r>
      <w:r>
        <w:rPr>
          <w:rFonts w:eastAsia="仿宋_GB2312"/>
          <w:sz w:val="32"/>
          <w:szCs w:val="32"/>
        </w:rPr>
        <w:t>项目的原始权益人及其同一控制下的关联方。上述战略配售对象参与战略配售的基金份额、占本次扩募发售比例</w:t>
      </w:r>
      <w:r>
        <w:rPr>
          <w:rFonts w:hint="eastAsia" w:eastAsia="仿宋_GB2312"/>
          <w:sz w:val="32"/>
          <w:szCs w:val="32"/>
        </w:rPr>
        <w:t>以</w:t>
      </w:r>
      <w:r>
        <w:rPr>
          <w:rFonts w:eastAsia="仿宋_GB2312"/>
          <w:sz w:val="32"/>
          <w:szCs w:val="32"/>
        </w:rPr>
        <w:t>及持有期限</w:t>
      </w:r>
      <w:r>
        <w:rPr>
          <w:rFonts w:hint="eastAsia" w:eastAsia="仿宋_GB2312"/>
          <w:sz w:val="32"/>
          <w:szCs w:val="32"/>
        </w:rPr>
        <w:t>等应当符合</w:t>
      </w:r>
      <w:r>
        <w:rPr>
          <w:rFonts w:eastAsia="仿宋_GB2312"/>
          <w:sz w:val="32"/>
          <w:szCs w:val="32"/>
        </w:rPr>
        <w:t>首次发售</w:t>
      </w:r>
      <w:r>
        <w:rPr>
          <w:rFonts w:hint="eastAsia" w:eastAsia="仿宋_GB2312"/>
          <w:sz w:val="32"/>
          <w:szCs w:val="32"/>
        </w:rPr>
        <w:t>的有</w:t>
      </w:r>
      <w:r>
        <w:rPr>
          <w:rFonts w:eastAsia="仿宋_GB2312"/>
          <w:sz w:val="32"/>
          <w:szCs w:val="32"/>
        </w:rPr>
        <w:t>关要求，中国证监会认定的情形除外。</w:t>
      </w:r>
    </w:p>
    <w:p w14:paraId="77ED8802">
      <w:pPr>
        <w:pStyle w:val="64"/>
        <w:tabs>
          <w:tab w:val="left" w:pos="1701"/>
        </w:tabs>
        <w:spacing w:line="540" w:lineRule="exact"/>
        <w:ind w:firstLine="640"/>
        <w:rPr>
          <w:rFonts w:eastAsia="仿宋_GB2312"/>
          <w:sz w:val="32"/>
          <w:szCs w:val="32"/>
        </w:rPr>
      </w:pPr>
      <w:r>
        <w:rPr>
          <w:rFonts w:eastAsia="仿宋_GB2312"/>
          <w:sz w:val="32"/>
          <w:szCs w:val="32"/>
        </w:rPr>
        <w:t>采用向原持有人配售方式</w:t>
      </w:r>
      <w:r>
        <w:rPr>
          <w:rFonts w:hint="eastAsia" w:eastAsia="仿宋_GB2312"/>
          <w:sz w:val="32"/>
          <w:szCs w:val="32"/>
        </w:rPr>
        <w:t>发售</w:t>
      </w:r>
      <w:r>
        <w:rPr>
          <w:rFonts w:eastAsia="仿宋_GB2312"/>
          <w:sz w:val="32"/>
          <w:szCs w:val="32"/>
        </w:rPr>
        <w:t>，上述战略配售对象为原</w:t>
      </w:r>
      <w:r>
        <w:rPr>
          <w:rFonts w:hint="eastAsia" w:eastAsia="仿宋_GB2312"/>
          <w:sz w:val="32"/>
          <w:szCs w:val="32"/>
        </w:rPr>
        <w:t>份额</w:t>
      </w:r>
      <w:r>
        <w:rPr>
          <w:rFonts w:eastAsia="仿宋_GB2312"/>
          <w:sz w:val="32"/>
          <w:szCs w:val="32"/>
        </w:rPr>
        <w:t>持有人的，其认购战略配售份额可</w:t>
      </w:r>
      <w:r>
        <w:rPr>
          <w:rFonts w:hint="eastAsia" w:eastAsia="仿宋_GB2312"/>
          <w:sz w:val="32"/>
          <w:szCs w:val="32"/>
        </w:rPr>
        <w:t>以</w:t>
      </w:r>
      <w:r>
        <w:rPr>
          <w:rFonts w:eastAsia="仿宋_GB2312"/>
          <w:sz w:val="32"/>
          <w:szCs w:val="32"/>
        </w:rPr>
        <w:t>视为参与向原持有人配售。</w:t>
      </w:r>
    </w:p>
    <w:p w14:paraId="7850DE7C">
      <w:pPr>
        <w:pStyle w:val="64"/>
        <w:tabs>
          <w:tab w:val="left" w:pos="1701"/>
        </w:tabs>
        <w:spacing w:line="540" w:lineRule="exact"/>
        <w:ind w:firstLine="643"/>
        <w:rPr>
          <w:rFonts w:eastAsia="仿宋_GB2312"/>
          <w:sz w:val="32"/>
          <w:szCs w:val="32"/>
        </w:rPr>
      </w:pPr>
      <w:r>
        <w:rPr>
          <w:rFonts w:eastAsia="仿宋_GB2312"/>
          <w:b/>
          <w:bCs/>
          <w:sz w:val="32"/>
          <w:szCs w:val="32"/>
        </w:rPr>
        <w:t>第三十八条</w:t>
      </w:r>
      <w:r>
        <w:rPr>
          <w:rFonts w:eastAsia="仿宋_GB2312"/>
          <w:sz w:val="32"/>
          <w:szCs w:val="32"/>
        </w:rPr>
        <w:t xml:space="preserve"> 新购入不动产项目涉及向原持有人配售和公开扩募的，基金管理人应当向本所申请停牌并披露停复牌安排。</w:t>
      </w:r>
    </w:p>
    <w:p w14:paraId="48A84583">
      <w:pPr>
        <w:pStyle w:val="64"/>
        <w:tabs>
          <w:tab w:val="left" w:pos="1701"/>
        </w:tabs>
        <w:spacing w:line="540" w:lineRule="exact"/>
        <w:ind w:firstLine="643"/>
        <w:rPr>
          <w:rFonts w:eastAsia="仿宋_GB2312"/>
          <w:sz w:val="32"/>
          <w:szCs w:val="32"/>
        </w:rPr>
      </w:pPr>
      <w:r>
        <w:rPr>
          <w:rFonts w:eastAsia="仿宋_GB2312"/>
          <w:b/>
          <w:bCs/>
          <w:sz w:val="32"/>
          <w:szCs w:val="32"/>
        </w:rPr>
        <w:t xml:space="preserve">第三十九条 </w:t>
      </w:r>
      <w:r>
        <w:rPr>
          <w:rFonts w:eastAsia="仿宋_GB2312"/>
          <w:sz w:val="32"/>
          <w:szCs w:val="32"/>
        </w:rPr>
        <w:t>因不动产基金扩募，投资者及其一致行动人拥有权益的基金份额比例达到《不动产基金业务办法》规定的</w:t>
      </w:r>
      <w:r>
        <w:rPr>
          <w:rFonts w:hint="eastAsia" w:eastAsia="仿宋_GB2312"/>
          <w:sz w:val="32"/>
          <w:szCs w:val="32"/>
        </w:rPr>
        <w:t>合并、</w:t>
      </w:r>
      <w:r>
        <w:rPr>
          <w:rFonts w:eastAsia="仿宋_GB2312"/>
          <w:sz w:val="32"/>
          <w:szCs w:val="32"/>
        </w:rPr>
        <w:t>收购</w:t>
      </w:r>
      <w:r>
        <w:rPr>
          <w:rFonts w:hint="eastAsia" w:eastAsia="仿宋_GB2312"/>
          <w:sz w:val="32"/>
          <w:szCs w:val="32"/>
        </w:rPr>
        <w:t>以</w:t>
      </w:r>
      <w:r>
        <w:rPr>
          <w:rFonts w:eastAsia="仿宋_GB2312"/>
          <w:sz w:val="32"/>
          <w:szCs w:val="32"/>
        </w:rPr>
        <w:t>及权益变动标准的，应当按照《不动产基金业务办法》</w:t>
      </w:r>
      <w:r>
        <w:rPr>
          <w:rFonts w:hint="eastAsia" w:eastAsia="仿宋_GB2312"/>
          <w:sz w:val="32"/>
          <w:szCs w:val="32"/>
        </w:rPr>
        <w:t>有</w:t>
      </w:r>
      <w:r>
        <w:rPr>
          <w:rFonts w:eastAsia="仿宋_GB2312"/>
          <w:sz w:val="32"/>
          <w:szCs w:val="32"/>
        </w:rPr>
        <w:t>关规定履行相应的程序和义务。</w:t>
      </w:r>
    </w:p>
    <w:p w14:paraId="26E90AF3">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第四十条 </w:t>
      </w:r>
      <w:r>
        <w:rPr>
          <w:rFonts w:eastAsia="仿宋_GB2312"/>
          <w:sz w:val="32"/>
          <w:szCs w:val="32"/>
        </w:rPr>
        <w:t>基金扩募发售期限届满，出现下列情形之一的，不动产基金扩募发售失败：</w:t>
      </w:r>
    </w:p>
    <w:p w14:paraId="5BE43440">
      <w:pPr>
        <w:pStyle w:val="64"/>
        <w:tabs>
          <w:tab w:val="left" w:pos="1701"/>
        </w:tabs>
        <w:spacing w:line="540" w:lineRule="exact"/>
        <w:ind w:firstLine="640"/>
        <w:rPr>
          <w:rFonts w:eastAsia="仿宋_GB2312"/>
          <w:sz w:val="32"/>
          <w:szCs w:val="32"/>
        </w:rPr>
      </w:pPr>
      <w:r>
        <w:rPr>
          <w:rFonts w:eastAsia="仿宋_GB2312"/>
          <w:sz w:val="32"/>
          <w:szCs w:val="32"/>
        </w:rPr>
        <w:t>（一）基金扩募份额总额未达到基金份额持有人大会表决通过规模的80%；</w:t>
      </w:r>
    </w:p>
    <w:p w14:paraId="5EEAF5A5">
      <w:pPr>
        <w:pStyle w:val="64"/>
        <w:tabs>
          <w:tab w:val="left" w:pos="1701"/>
        </w:tabs>
        <w:spacing w:line="540" w:lineRule="exact"/>
        <w:ind w:firstLine="640"/>
        <w:rPr>
          <w:rFonts w:eastAsia="仿宋_GB2312"/>
          <w:sz w:val="32"/>
          <w:szCs w:val="32"/>
        </w:rPr>
      </w:pPr>
      <w:r>
        <w:rPr>
          <w:rFonts w:eastAsia="仿宋_GB2312"/>
          <w:sz w:val="32"/>
          <w:szCs w:val="32"/>
        </w:rPr>
        <w:t>（二）拟购入不动产项目的原始权益人或者其同一控制下的关联方等未按</w:t>
      </w:r>
      <w:r>
        <w:rPr>
          <w:rFonts w:hint="eastAsia" w:eastAsia="仿宋_GB2312"/>
          <w:sz w:val="32"/>
          <w:szCs w:val="32"/>
        </w:rPr>
        <w:t>照</w:t>
      </w:r>
      <w:r>
        <w:rPr>
          <w:rFonts w:eastAsia="仿宋_GB2312"/>
          <w:sz w:val="32"/>
          <w:szCs w:val="32"/>
        </w:rPr>
        <w:t>规定参与战略配售；</w:t>
      </w:r>
    </w:p>
    <w:p w14:paraId="33B46083">
      <w:pPr>
        <w:pStyle w:val="64"/>
        <w:tabs>
          <w:tab w:val="left" w:pos="1701"/>
        </w:tabs>
        <w:spacing w:line="540" w:lineRule="exact"/>
        <w:ind w:firstLine="640"/>
        <w:rPr>
          <w:rFonts w:eastAsia="仿宋_GB2312"/>
          <w:sz w:val="32"/>
          <w:szCs w:val="32"/>
        </w:rPr>
      </w:pPr>
      <w:r>
        <w:rPr>
          <w:rFonts w:eastAsia="仿宋_GB2312"/>
          <w:sz w:val="32"/>
          <w:szCs w:val="32"/>
        </w:rPr>
        <w:t>（三）导致基金扩募发售失败的其他情形。</w:t>
      </w:r>
    </w:p>
    <w:p w14:paraId="1677BDEC">
      <w:pPr>
        <w:pStyle w:val="64"/>
        <w:tabs>
          <w:tab w:val="left" w:pos="1701"/>
        </w:tabs>
        <w:spacing w:line="540" w:lineRule="exact"/>
        <w:ind w:firstLine="640"/>
        <w:rPr>
          <w:rFonts w:eastAsia="仿宋_GB2312"/>
          <w:sz w:val="32"/>
          <w:szCs w:val="32"/>
        </w:rPr>
      </w:pPr>
      <w:r>
        <w:rPr>
          <w:rFonts w:eastAsia="仿宋_GB2312"/>
          <w:sz w:val="32"/>
          <w:szCs w:val="32"/>
        </w:rPr>
        <w:t>基金扩募发售失败的，基金管理人应当在募集期限届满后30日内返还投资</w:t>
      </w:r>
      <w:r>
        <w:rPr>
          <w:rFonts w:hint="eastAsia" w:eastAsia="仿宋_GB2312"/>
          <w:sz w:val="32"/>
          <w:szCs w:val="32"/>
        </w:rPr>
        <w:t>者</w:t>
      </w:r>
      <w:r>
        <w:rPr>
          <w:rFonts w:eastAsia="仿宋_GB2312"/>
          <w:sz w:val="32"/>
          <w:szCs w:val="32"/>
        </w:rPr>
        <w:t>已交</w:t>
      </w:r>
      <w:r>
        <w:rPr>
          <w:rFonts w:hint="eastAsia" w:eastAsia="仿宋_GB2312"/>
          <w:sz w:val="32"/>
          <w:szCs w:val="32"/>
        </w:rPr>
        <w:t>付</w:t>
      </w:r>
      <w:r>
        <w:rPr>
          <w:rFonts w:eastAsia="仿宋_GB2312"/>
          <w:sz w:val="32"/>
          <w:szCs w:val="32"/>
        </w:rPr>
        <w:t>的款项，并加计银行同期存款利息。</w:t>
      </w:r>
    </w:p>
    <w:p w14:paraId="7DCB84DF">
      <w:pPr>
        <w:spacing w:line="54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第二节 向原持有人配售</w:t>
      </w:r>
    </w:p>
    <w:p w14:paraId="7BB4F719">
      <w:pPr>
        <w:pStyle w:val="64"/>
        <w:tabs>
          <w:tab w:val="left" w:pos="1701"/>
        </w:tabs>
        <w:spacing w:line="540" w:lineRule="exact"/>
        <w:ind w:firstLine="643"/>
        <w:rPr>
          <w:rFonts w:eastAsia="仿宋_GB2312"/>
          <w:sz w:val="32"/>
          <w:szCs w:val="32"/>
        </w:rPr>
      </w:pPr>
      <w:r>
        <w:rPr>
          <w:rFonts w:eastAsia="仿宋_GB2312"/>
          <w:b/>
          <w:bCs/>
          <w:sz w:val="32"/>
          <w:szCs w:val="32"/>
        </w:rPr>
        <w:t>第四十一条</w:t>
      </w:r>
      <w:r>
        <w:rPr>
          <w:rFonts w:eastAsia="仿宋_GB2312"/>
          <w:sz w:val="32"/>
          <w:szCs w:val="32"/>
        </w:rPr>
        <w:t xml:space="preserve"> 向原持有人配售的，基金管理人应当在提交变更注册申请的招募说明书中披露持有份额不低于20%的第一大不动产基金持有人、拟购入不动产项目的原始权益人或者其同一控制下的关联方认购基金份额数量的承诺文件。持有份额不低于20%的第一大不动产基金持有人、拟购入不动产项目的原始权益人或者其同一控制下的关联方不履行认购基金份额的承诺，或者募集期限届满后原不动产基金持有人认购的数量未达到拟配售数量80%的，基金管理人应当在募集期届满后30日内返还已认购投资者缴纳的款项，并加计银行同期存款利息。</w:t>
      </w:r>
    </w:p>
    <w:p w14:paraId="55BB397E">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第四十二条 </w:t>
      </w:r>
      <w:r>
        <w:rPr>
          <w:rFonts w:eastAsia="仿宋_GB2312"/>
          <w:sz w:val="32"/>
          <w:szCs w:val="32"/>
        </w:rPr>
        <w:t>向原持有人配售的，应当向权益登记日登记在册的持有人配售，且配售比例应当相同。</w:t>
      </w:r>
    </w:p>
    <w:p w14:paraId="3797BA67">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第四十三条 </w:t>
      </w:r>
      <w:r>
        <w:rPr>
          <w:rFonts w:eastAsia="仿宋_GB2312"/>
          <w:sz w:val="32"/>
          <w:szCs w:val="32"/>
        </w:rPr>
        <w:t>基金管理人、财务顾问（如有）应当遵循基金份额持有人利益优先的原则，根据不动产基金二级市场交易价格和拟购入不动产项目的市场价值等有关因素，合理确定配售价格。</w:t>
      </w:r>
    </w:p>
    <w:p w14:paraId="191696AB">
      <w:pPr>
        <w:spacing w:line="54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第三节 公开扩募</w:t>
      </w:r>
    </w:p>
    <w:p w14:paraId="4BDCD103">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第四十四条 </w:t>
      </w:r>
      <w:r>
        <w:rPr>
          <w:rFonts w:eastAsia="仿宋_GB2312"/>
          <w:sz w:val="32"/>
          <w:szCs w:val="32"/>
        </w:rPr>
        <w:t>不动产基金公开扩募的，可以全部或者部分向权益登记日登记在册的原不动产基金份额持有人优先配售，优先配售比例应当在发售公告中披露。</w:t>
      </w:r>
    </w:p>
    <w:p w14:paraId="26FCC48D">
      <w:pPr>
        <w:pStyle w:val="64"/>
        <w:tabs>
          <w:tab w:val="left" w:pos="1701"/>
        </w:tabs>
        <w:spacing w:line="540" w:lineRule="exact"/>
        <w:ind w:firstLine="640"/>
        <w:rPr>
          <w:rFonts w:eastAsia="仿宋_GB2312"/>
          <w:sz w:val="32"/>
          <w:szCs w:val="32"/>
        </w:rPr>
      </w:pPr>
      <w:r>
        <w:rPr>
          <w:rFonts w:eastAsia="仿宋_GB2312"/>
          <w:sz w:val="32"/>
          <w:szCs w:val="32"/>
        </w:rPr>
        <w:t>参与优先配售的原不动产基金份额持有人以及其他投资者，可以参与优先配售后的余额认购。</w:t>
      </w:r>
    </w:p>
    <w:p w14:paraId="2308F74D">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第四十五条 </w:t>
      </w:r>
      <w:r>
        <w:rPr>
          <w:rFonts w:eastAsia="仿宋_GB2312"/>
          <w:sz w:val="32"/>
          <w:szCs w:val="32"/>
        </w:rPr>
        <w:t>基金管理人、财务顾问（如有）应当遵循基金份额持有人利益优先的原则，根据不动产基金二级市场交易价格和拟购入不动产项目的市场价值等有关因素，合理确定公开扩募的发售价格。</w:t>
      </w:r>
    </w:p>
    <w:p w14:paraId="447CF265">
      <w:pPr>
        <w:pStyle w:val="64"/>
        <w:tabs>
          <w:tab w:val="left" w:pos="1701"/>
        </w:tabs>
        <w:spacing w:line="540" w:lineRule="exact"/>
        <w:ind w:firstLine="640"/>
        <w:rPr>
          <w:rFonts w:eastAsia="仿宋_GB2312"/>
          <w:sz w:val="32"/>
          <w:szCs w:val="32"/>
        </w:rPr>
      </w:pPr>
      <w:r>
        <w:rPr>
          <w:rFonts w:eastAsia="仿宋_GB2312"/>
          <w:sz w:val="32"/>
          <w:szCs w:val="32"/>
        </w:rPr>
        <w:t>公开扩募的发售价格应当不低于发售阶段公告招募说明书前20个交易日或者前1个交易日的不动产基金交易均价。</w:t>
      </w:r>
    </w:p>
    <w:p w14:paraId="4ED41AE7">
      <w:pPr>
        <w:spacing w:line="54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第四节 定向扩募</w:t>
      </w:r>
    </w:p>
    <w:p w14:paraId="5C4CCA38">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第四十六条 </w:t>
      </w:r>
      <w:r>
        <w:rPr>
          <w:rFonts w:eastAsia="仿宋_GB2312"/>
          <w:sz w:val="32"/>
          <w:szCs w:val="32"/>
        </w:rPr>
        <w:t>不动产基金定向扩募的，发售对象应当符合基金份额持有人大会决议规定的条件，且每次发售对象不超过35名。</w:t>
      </w:r>
    </w:p>
    <w:p w14:paraId="07BB425B">
      <w:pPr>
        <w:pStyle w:val="64"/>
        <w:tabs>
          <w:tab w:val="left" w:pos="1701"/>
        </w:tabs>
        <w:spacing w:line="540" w:lineRule="exact"/>
        <w:ind w:firstLine="640"/>
        <w:rPr>
          <w:rFonts w:eastAsia="仿宋_GB2312"/>
          <w:sz w:val="32"/>
          <w:szCs w:val="32"/>
        </w:rPr>
      </w:pPr>
      <w:r>
        <w:rPr>
          <w:rFonts w:eastAsia="仿宋_GB2312"/>
          <w:sz w:val="32"/>
          <w:szCs w:val="32"/>
        </w:rPr>
        <w:t>前款所称</w:t>
      </w:r>
      <w:r>
        <w:rPr>
          <w:rFonts w:hint="eastAsia" w:eastAsia="仿宋_GB2312"/>
          <w:sz w:val="32"/>
          <w:szCs w:val="32"/>
        </w:rPr>
        <w:t>“</w:t>
      </w:r>
      <w:r>
        <w:rPr>
          <w:rFonts w:eastAsia="仿宋_GB2312"/>
          <w:sz w:val="32"/>
          <w:szCs w:val="32"/>
        </w:rPr>
        <w:t>发售对象不超过35名</w:t>
      </w:r>
      <w:r>
        <w:rPr>
          <w:rFonts w:hint="eastAsia" w:eastAsia="仿宋_GB2312"/>
          <w:sz w:val="32"/>
          <w:szCs w:val="32"/>
        </w:rPr>
        <w:t>”</w:t>
      </w:r>
      <w:r>
        <w:rPr>
          <w:rFonts w:eastAsia="仿宋_GB2312"/>
          <w:sz w:val="32"/>
          <w:szCs w:val="32"/>
        </w:rPr>
        <w:t>，是指认购并获得本次向特定对象发售基金的法人、自然人或者其他合法投资组织不超过35名。</w:t>
      </w:r>
    </w:p>
    <w:p w14:paraId="5A905D3C">
      <w:pPr>
        <w:pStyle w:val="64"/>
        <w:tabs>
          <w:tab w:val="left" w:pos="1701"/>
        </w:tabs>
        <w:spacing w:line="540" w:lineRule="exact"/>
        <w:ind w:firstLine="640"/>
        <w:rPr>
          <w:rFonts w:eastAsia="仿宋_GB2312"/>
          <w:sz w:val="32"/>
          <w:szCs w:val="32"/>
        </w:rPr>
      </w:pPr>
      <w:r>
        <w:rPr>
          <w:rFonts w:eastAsia="仿宋_GB2312"/>
          <w:sz w:val="32"/>
          <w:szCs w:val="32"/>
        </w:rPr>
        <w:t>证券投资基金管理公司、证券公司、银行理财子公司、保险资产管理公司、合格境外机构投资者、人民币合格境外机构投资者以其管理的2只以上产品认购的，视为一个发售对象。</w:t>
      </w:r>
    </w:p>
    <w:p w14:paraId="44D8D169">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第四十七条 </w:t>
      </w:r>
      <w:r>
        <w:rPr>
          <w:rFonts w:eastAsia="仿宋_GB2312"/>
          <w:sz w:val="32"/>
          <w:szCs w:val="32"/>
        </w:rPr>
        <w:t>定向扩募的发售价格应当不低于定价基准日前20个交易日不动产基金交易均价的90%。</w:t>
      </w:r>
    </w:p>
    <w:p w14:paraId="64A2F5CF">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第四十八条 </w:t>
      </w:r>
      <w:r>
        <w:rPr>
          <w:rFonts w:eastAsia="仿宋_GB2312"/>
          <w:sz w:val="32"/>
          <w:szCs w:val="32"/>
        </w:rPr>
        <w:t>定向扩募的定价基准日为基金发售期首日。</w:t>
      </w:r>
    </w:p>
    <w:p w14:paraId="410664C6">
      <w:pPr>
        <w:pStyle w:val="64"/>
        <w:tabs>
          <w:tab w:val="left" w:pos="1701"/>
        </w:tabs>
        <w:spacing w:line="540" w:lineRule="exact"/>
        <w:ind w:firstLine="640"/>
        <w:rPr>
          <w:rFonts w:eastAsia="仿宋_GB2312"/>
          <w:sz w:val="32"/>
          <w:szCs w:val="32"/>
        </w:rPr>
      </w:pPr>
      <w:r>
        <w:rPr>
          <w:rFonts w:eastAsia="仿宋_GB2312"/>
          <w:sz w:val="32"/>
          <w:szCs w:val="32"/>
        </w:rPr>
        <w:t>基金份额持有人大会决议提前确定全部发售对象，且发售对象属于下列情形之一的，定价基准日可以为本次扩募的基金产品变更草案公告日、基金份额持有人大会决议公告日或者发售期首日：</w:t>
      </w:r>
    </w:p>
    <w:p w14:paraId="44BBF76D">
      <w:pPr>
        <w:pStyle w:val="64"/>
        <w:tabs>
          <w:tab w:val="left" w:pos="1701"/>
        </w:tabs>
        <w:spacing w:line="540" w:lineRule="exact"/>
        <w:ind w:firstLine="640"/>
        <w:rPr>
          <w:rFonts w:eastAsia="仿宋_GB2312"/>
          <w:sz w:val="32"/>
          <w:szCs w:val="32"/>
        </w:rPr>
      </w:pPr>
      <w:r>
        <w:rPr>
          <w:rFonts w:eastAsia="仿宋_GB2312"/>
          <w:sz w:val="32"/>
          <w:szCs w:val="32"/>
        </w:rPr>
        <w:t>（一）持有份额超过20%的第一大不动产基金持有人或者通过认购本次发售份额成为持有份额超过20%的第一大不动产基金持有人的投资者；</w:t>
      </w:r>
    </w:p>
    <w:p w14:paraId="40E1217A">
      <w:pPr>
        <w:pStyle w:val="64"/>
        <w:tabs>
          <w:tab w:val="left" w:pos="1701"/>
        </w:tabs>
        <w:spacing w:line="540" w:lineRule="exact"/>
        <w:ind w:firstLine="640"/>
        <w:rPr>
          <w:rFonts w:eastAsia="仿宋_GB2312"/>
          <w:sz w:val="32"/>
          <w:szCs w:val="32"/>
        </w:rPr>
      </w:pPr>
      <w:r>
        <w:rPr>
          <w:rFonts w:eastAsia="仿宋_GB2312"/>
          <w:sz w:val="32"/>
          <w:szCs w:val="32"/>
        </w:rPr>
        <w:t>（二）拟购入不动产项目的原始权益人或者其同一控制下的关联方；</w:t>
      </w:r>
    </w:p>
    <w:p w14:paraId="6009B635">
      <w:pPr>
        <w:pStyle w:val="64"/>
        <w:tabs>
          <w:tab w:val="left" w:pos="1701"/>
        </w:tabs>
        <w:spacing w:line="540" w:lineRule="exact"/>
        <w:ind w:firstLine="640"/>
        <w:rPr>
          <w:rFonts w:eastAsia="仿宋_GB2312"/>
          <w:sz w:val="32"/>
          <w:szCs w:val="32"/>
        </w:rPr>
      </w:pPr>
      <w:r>
        <w:rPr>
          <w:rFonts w:eastAsia="仿宋_GB2312"/>
          <w:sz w:val="32"/>
          <w:szCs w:val="32"/>
        </w:rPr>
        <w:t>（三）通过本次扩募拟引入的专业机构投资者。</w:t>
      </w:r>
    </w:p>
    <w:p w14:paraId="069C86B5">
      <w:pPr>
        <w:pStyle w:val="64"/>
        <w:tabs>
          <w:tab w:val="left" w:pos="1701"/>
        </w:tabs>
        <w:spacing w:line="540" w:lineRule="exact"/>
        <w:ind w:firstLine="643"/>
        <w:rPr>
          <w:rFonts w:eastAsia="仿宋_GB2312"/>
          <w:sz w:val="32"/>
          <w:szCs w:val="32"/>
        </w:rPr>
      </w:pPr>
      <w:r>
        <w:rPr>
          <w:rFonts w:eastAsia="仿宋_GB2312"/>
          <w:b/>
          <w:bCs/>
          <w:sz w:val="32"/>
          <w:szCs w:val="32"/>
        </w:rPr>
        <w:t xml:space="preserve">第四十九条 </w:t>
      </w:r>
      <w:r>
        <w:rPr>
          <w:rFonts w:eastAsia="仿宋_GB2312"/>
          <w:sz w:val="32"/>
          <w:szCs w:val="32"/>
        </w:rPr>
        <w:t>定向扩募的发售对象属于本指引第四十八条第二款规定以外的情形的，基金管理人、财务顾问（如有）应当以竞价方式确定发售价格和发售对象。</w:t>
      </w:r>
    </w:p>
    <w:p w14:paraId="37921EB1">
      <w:pPr>
        <w:pStyle w:val="64"/>
        <w:tabs>
          <w:tab w:val="left" w:pos="1701"/>
        </w:tabs>
        <w:spacing w:line="540" w:lineRule="exact"/>
        <w:ind w:firstLine="640"/>
        <w:rPr>
          <w:rFonts w:eastAsia="仿宋_GB2312"/>
          <w:sz w:val="32"/>
          <w:szCs w:val="32"/>
        </w:rPr>
      </w:pPr>
      <w:r>
        <w:rPr>
          <w:rFonts w:eastAsia="仿宋_GB2312"/>
          <w:sz w:val="32"/>
          <w:szCs w:val="32"/>
        </w:rPr>
        <w:t>基金份额持有人大会决议确定部分发售对象的，确定的发售对象不得参与竞价，应当接受竞价结果，并明确在通过竞价方式未能产生发售价格的情况下是否继续参与认购、价格确定原则</w:t>
      </w:r>
      <w:r>
        <w:rPr>
          <w:rFonts w:hint="eastAsia" w:eastAsia="仿宋_GB2312"/>
          <w:sz w:val="32"/>
          <w:szCs w:val="32"/>
        </w:rPr>
        <w:t>和</w:t>
      </w:r>
      <w:r>
        <w:rPr>
          <w:rFonts w:eastAsia="仿宋_GB2312"/>
          <w:sz w:val="32"/>
          <w:szCs w:val="32"/>
        </w:rPr>
        <w:t>认购数量。</w:t>
      </w:r>
    </w:p>
    <w:p w14:paraId="123ECFE9">
      <w:pPr>
        <w:pStyle w:val="64"/>
        <w:tabs>
          <w:tab w:val="left" w:pos="1701"/>
        </w:tabs>
        <w:spacing w:line="540" w:lineRule="exact"/>
        <w:ind w:firstLine="643"/>
        <w:rPr>
          <w:rFonts w:eastAsia="仿宋_GB2312"/>
          <w:sz w:val="32"/>
          <w:szCs w:val="32"/>
        </w:rPr>
      </w:pPr>
      <w:r>
        <w:rPr>
          <w:rFonts w:eastAsia="仿宋_GB2312"/>
          <w:b/>
          <w:bCs/>
          <w:sz w:val="32"/>
          <w:szCs w:val="32"/>
        </w:rPr>
        <w:t xml:space="preserve">第五十条 </w:t>
      </w:r>
      <w:r>
        <w:rPr>
          <w:rFonts w:eastAsia="仿宋_GB2312"/>
          <w:sz w:val="32"/>
          <w:szCs w:val="32"/>
        </w:rPr>
        <w:t>定向扩募的基金份额，自上市之日起6个月内不得转让；发售对象属于本指引第四十八条第二款规定情形的，其认购的基金份额自上市之日起18个月内不得转让。</w:t>
      </w:r>
    </w:p>
    <w:p w14:paraId="5E6A1735">
      <w:pPr>
        <w:spacing w:line="540" w:lineRule="exact"/>
        <w:jc w:val="center"/>
        <w:rPr>
          <w:rFonts w:eastAsia="黑体"/>
          <w:bCs/>
          <w:sz w:val="32"/>
          <w:szCs w:val="32"/>
        </w:rPr>
      </w:pPr>
      <w:r>
        <w:rPr>
          <w:rFonts w:eastAsia="黑体"/>
          <w:bCs/>
          <w:sz w:val="32"/>
          <w:szCs w:val="32"/>
        </w:rPr>
        <w:t>第六章</w:t>
      </w:r>
      <w:r>
        <w:rPr>
          <w:rFonts w:eastAsia="黑体"/>
          <w:bCs/>
          <w:sz w:val="32"/>
          <w:szCs w:val="32"/>
        </w:rPr>
        <w:tab/>
      </w:r>
      <w:r>
        <w:rPr>
          <w:rFonts w:eastAsia="黑体"/>
          <w:bCs/>
          <w:sz w:val="32"/>
          <w:szCs w:val="32"/>
        </w:rPr>
        <w:t>附</w:t>
      </w:r>
      <w:r>
        <w:rPr>
          <w:rFonts w:hint="eastAsia" w:eastAsia="黑体"/>
          <w:bCs/>
          <w:sz w:val="32"/>
          <w:szCs w:val="32"/>
        </w:rPr>
        <w:t xml:space="preserve">  </w:t>
      </w:r>
      <w:r>
        <w:rPr>
          <w:rFonts w:eastAsia="黑体"/>
          <w:bCs/>
          <w:sz w:val="32"/>
          <w:szCs w:val="32"/>
        </w:rPr>
        <w:t>则</w:t>
      </w:r>
    </w:p>
    <w:p w14:paraId="7FF36D2D">
      <w:pPr>
        <w:pStyle w:val="64"/>
        <w:tabs>
          <w:tab w:val="left" w:pos="1701"/>
        </w:tabs>
        <w:spacing w:line="540" w:lineRule="exact"/>
        <w:ind w:firstLine="643"/>
        <w:rPr>
          <w:rFonts w:eastAsia="仿宋_GB2312"/>
          <w:sz w:val="32"/>
          <w:szCs w:val="32"/>
        </w:rPr>
      </w:pPr>
      <w:r>
        <w:rPr>
          <w:rFonts w:eastAsia="仿宋_GB2312"/>
          <w:b/>
          <w:bCs/>
          <w:sz w:val="32"/>
          <w:szCs w:val="32"/>
        </w:rPr>
        <w:t xml:space="preserve">第五十一条 </w:t>
      </w:r>
      <w:r>
        <w:rPr>
          <w:rFonts w:eastAsia="仿宋_GB2312"/>
          <w:sz w:val="32"/>
          <w:szCs w:val="32"/>
        </w:rPr>
        <w:t>不动产基金业务参与机构及</w:t>
      </w:r>
      <w:r>
        <w:rPr>
          <w:rFonts w:hint="eastAsia" w:eastAsia="仿宋_GB2312"/>
          <w:sz w:val="32"/>
          <w:szCs w:val="32"/>
        </w:rPr>
        <w:t>其有</w:t>
      </w:r>
      <w:r>
        <w:rPr>
          <w:rFonts w:eastAsia="仿宋_GB2312"/>
          <w:sz w:val="32"/>
          <w:szCs w:val="32"/>
        </w:rPr>
        <w:t>关人员、购入不动产项目交易有关主体及</w:t>
      </w:r>
      <w:r>
        <w:rPr>
          <w:rFonts w:hint="eastAsia" w:eastAsia="仿宋_GB2312"/>
          <w:sz w:val="32"/>
          <w:szCs w:val="32"/>
        </w:rPr>
        <w:t>其有</w:t>
      </w:r>
      <w:r>
        <w:rPr>
          <w:rFonts w:eastAsia="仿宋_GB2312"/>
          <w:sz w:val="32"/>
          <w:szCs w:val="32"/>
        </w:rPr>
        <w:t>关人员、投资者及</w:t>
      </w:r>
      <w:r>
        <w:rPr>
          <w:rFonts w:hint="eastAsia" w:eastAsia="仿宋_GB2312"/>
          <w:sz w:val="32"/>
          <w:szCs w:val="32"/>
        </w:rPr>
        <w:t>其有</w:t>
      </w:r>
      <w:r>
        <w:rPr>
          <w:rFonts w:eastAsia="仿宋_GB2312"/>
          <w:sz w:val="32"/>
          <w:szCs w:val="32"/>
        </w:rPr>
        <w:t>关人员违反本指引</w:t>
      </w:r>
      <w:r>
        <w:rPr>
          <w:rFonts w:hint="eastAsia" w:eastAsia="仿宋_GB2312"/>
          <w:sz w:val="32"/>
          <w:szCs w:val="32"/>
        </w:rPr>
        <w:t>，</w:t>
      </w:r>
      <w:r>
        <w:rPr>
          <w:rFonts w:eastAsia="仿宋_GB2312"/>
          <w:sz w:val="32"/>
          <w:szCs w:val="32"/>
        </w:rPr>
        <w:t>本所其他业务规则规定，不动产基金合同、招募说明书等基金法律文件约定或者其作出的承诺的，本所可以按照</w:t>
      </w:r>
      <w:r>
        <w:rPr>
          <w:rFonts w:hint="eastAsia" w:eastAsia="仿宋_GB2312"/>
          <w:sz w:val="32"/>
          <w:szCs w:val="32"/>
        </w:rPr>
        <w:t>有关</w:t>
      </w:r>
      <w:r>
        <w:rPr>
          <w:rFonts w:eastAsia="仿宋_GB2312"/>
          <w:sz w:val="32"/>
          <w:szCs w:val="32"/>
        </w:rPr>
        <w:t>规定对其采取自律监管措施或者纪律处分。</w:t>
      </w:r>
    </w:p>
    <w:p w14:paraId="1B5738B6">
      <w:pPr>
        <w:pStyle w:val="64"/>
        <w:tabs>
          <w:tab w:val="left" w:pos="1701"/>
        </w:tabs>
        <w:spacing w:line="540" w:lineRule="exact"/>
        <w:ind w:firstLine="640"/>
        <w:rPr>
          <w:rFonts w:eastAsia="仿宋_GB2312"/>
          <w:sz w:val="32"/>
          <w:szCs w:val="32"/>
        </w:rPr>
      </w:pPr>
      <w:r>
        <w:rPr>
          <w:rFonts w:eastAsia="仿宋_GB2312"/>
          <w:sz w:val="32"/>
          <w:szCs w:val="32"/>
        </w:rPr>
        <w:t>涉嫌违反法律</w:t>
      </w:r>
      <w:r>
        <w:rPr>
          <w:rFonts w:hint="eastAsia" w:eastAsia="仿宋_GB2312"/>
          <w:sz w:val="32"/>
          <w:szCs w:val="32"/>
        </w:rPr>
        <w:t>、行政</w:t>
      </w:r>
      <w:r>
        <w:rPr>
          <w:rFonts w:eastAsia="仿宋_GB2312"/>
          <w:sz w:val="32"/>
          <w:szCs w:val="32"/>
        </w:rPr>
        <w:t>法规</w:t>
      </w:r>
      <w:r>
        <w:rPr>
          <w:rFonts w:hint="eastAsia" w:eastAsia="仿宋_GB2312"/>
          <w:sz w:val="32"/>
          <w:szCs w:val="32"/>
        </w:rPr>
        <w:t>、部门规章和规范性文件</w:t>
      </w:r>
      <w:r>
        <w:rPr>
          <w:rFonts w:eastAsia="仿宋_GB2312"/>
          <w:sz w:val="32"/>
          <w:szCs w:val="32"/>
        </w:rPr>
        <w:t>的，本所将及时报中国证监会处理。</w:t>
      </w:r>
    </w:p>
    <w:p w14:paraId="40B516FC">
      <w:pPr>
        <w:pStyle w:val="64"/>
        <w:tabs>
          <w:tab w:val="left" w:pos="1701"/>
        </w:tabs>
        <w:spacing w:line="540" w:lineRule="exact"/>
        <w:ind w:firstLine="643"/>
        <w:rPr>
          <w:rFonts w:eastAsia="仿宋_GB2312"/>
          <w:sz w:val="32"/>
          <w:szCs w:val="32"/>
        </w:rPr>
      </w:pPr>
      <w:r>
        <w:rPr>
          <w:rFonts w:eastAsia="仿宋_GB2312"/>
          <w:b/>
          <w:bCs/>
          <w:sz w:val="32"/>
          <w:szCs w:val="32"/>
        </w:rPr>
        <w:t>第五十</w:t>
      </w:r>
      <w:r>
        <w:rPr>
          <w:rFonts w:eastAsia="仿宋_GB2312"/>
          <w:sz w:val="32"/>
          <w:szCs w:val="32"/>
        </w:rPr>
        <w:t>二</w:t>
      </w:r>
      <w:r>
        <w:rPr>
          <w:rFonts w:eastAsia="仿宋_GB2312"/>
          <w:b/>
          <w:bCs/>
          <w:sz w:val="32"/>
          <w:szCs w:val="32"/>
        </w:rPr>
        <w:t xml:space="preserve">条 </w:t>
      </w:r>
      <w:r>
        <w:rPr>
          <w:rFonts w:eastAsia="仿宋_GB2312"/>
          <w:sz w:val="32"/>
          <w:szCs w:val="32"/>
        </w:rPr>
        <w:t>不动产基金</w:t>
      </w:r>
      <w:r>
        <w:rPr>
          <w:rFonts w:hint="eastAsia" w:eastAsia="仿宋_GB2312"/>
          <w:sz w:val="32"/>
          <w:szCs w:val="32"/>
        </w:rPr>
        <w:t>新</w:t>
      </w:r>
      <w:r>
        <w:rPr>
          <w:rFonts w:eastAsia="仿宋_GB2312"/>
          <w:sz w:val="32"/>
          <w:szCs w:val="32"/>
        </w:rPr>
        <w:t>购入不动产项目产生的评估费、财务顾问费（如有）、会计师费、律师费等各项费用不得从基金财产中列支。</w:t>
      </w:r>
    </w:p>
    <w:p w14:paraId="6B405AD8">
      <w:pPr>
        <w:pStyle w:val="64"/>
        <w:tabs>
          <w:tab w:val="left" w:pos="1701"/>
        </w:tabs>
        <w:spacing w:line="540" w:lineRule="exact"/>
        <w:ind w:firstLine="643"/>
        <w:rPr>
          <w:rFonts w:eastAsia="仿宋_GB2312"/>
          <w:sz w:val="32"/>
          <w:szCs w:val="32"/>
        </w:rPr>
      </w:pPr>
      <w:r>
        <w:rPr>
          <w:rFonts w:eastAsia="仿宋_GB2312"/>
          <w:b/>
          <w:bCs/>
          <w:sz w:val="32"/>
          <w:szCs w:val="32"/>
        </w:rPr>
        <w:t>第五十</w:t>
      </w:r>
      <w:r>
        <w:rPr>
          <w:rFonts w:hint="eastAsia" w:eastAsia="仿宋_GB2312"/>
          <w:sz w:val="32"/>
          <w:szCs w:val="32"/>
        </w:rPr>
        <w:t>三</w:t>
      </w:r>
      <w:r>
        <w:rPr>
          <w:rFonts w:eastAsia="仿宋_GB2312"/>
          <w:b/>
          <w:bCs/>
          <w:sz w:val="32"/>
          <w:szCs w:val="32"/>
        </w:rPr>
        <w:t xml:space="preserve">条 </w:t>
      </w:r>
      <w:r>
        <w:rPr>
          <w:rFonts w:eastAsia="仿宋_GB2312"/>
          <w:sz w:val="32"/>
          <w:szCs w:val="32"/>
        </w:rPr>
        <w:t>不动产基金存续期间扩募用于不动产</w:t>
      </w:r>
      <w:r>
        <w:rPr>
          <w:rFonts w:hint="eastAsia" w:eastAsia="仿宋_GB2312"/>
          <w:sz w:val="32"/>
          <w:szCs w:val="32"/>
        </w:rPr>
        <w:t>项目</w:t>
      </w:r>
      <w:r>
        <w:rPr>
          <w:rFonts w:eastAsia="仿宋_GB2312"/>
          <w:sz w:val="32"/>
          <w:szCs w:val="32"/>
        </w:rPr>
        <w:t>重大改造等非购入不动产项目</w:t>
      </w:r>
      <w:r>
        <w:rPr>
          <w:rFonts w:hint="eastAsia" w:eastAsia="仿宋_GB2312"/>
          <w:sz w:val="32"/>
          <w:szCs w:val="32"/>
        </w:rPr>
        <w:t>用途</w:t>
      </w:r>
      <w:r>
        <w:rPr>
          <w:rFonts w:eastAsia="仿宋_GB2312"/>
          <w:sz w:val="32"/>
          <w:szCs w:val="32"/>
        </w:rPr>
        <w:t>的，参照本指引第三章</w:t>
      </w:r>
      <w:r>
        <w:rPr>
          <w:rFonts w:hint="eastAsia" w:eastAsia="仿宋_GB2312"/>
          <w:sz w:val="32"/>
          <w:szCs w:val="32"/>
        </w:rPr>
        <w:t>有</w:t>
      </w:r>
      <w:r>
        <w:rPr>
          <w:rFonts w:eastAsia="仿宋_GB2312"/>
          <w:sz w:val="32"/>
          <w:szCs w:val="32"/>
        </w:rPr>
        <w:t>关要求履行本所不动产基金产品变更、不动产资产支持证券</w:t>
      </w:r>
      <w:r>
        <w:rPr>
          <w:rFonts w:hint="eastAsia" w:eastAsia="仿宋_GB2312"/>
          <w:sz w:val="32"/>
          <w:szCs w:val="32"/>
        </w:rPr>
        <w:t>有</w:t>
      </w:r>
      <w:r>
        <w:rPr>
          <w:rFonts w:eastAsia="仿宋_GB2312"/>
          <w:sz w:val="32"/>
          <w:szCs w:val="32"/>
        </w:rPr>
        <w:t>关申请确认程序，并参照适用本指引第五章</w:t>
      </w:r>
      <w:r>
        <w:rPr>
          <w:rFonts w:hint="eastAsia" w:eastAsia="仿宋_GB2312"/>
          <w:sz w:val="32"/>
          <w:szCs w:val="32"/>
        </w:rPr>
        <w:t>有</w:t>
      </w:r>
      <w:r>
        <w:rPr>
          <w:rFonts w:eastAsia="仿宋_GB2312"/>
          <w:sz w:val="32"/>
          <w:szCs w:val="32"/>
        </w:rPr>
        <w:t>关规定。</w:t>
      </w:r>
    </w:p>
    <w:p w14:paraId="33A86F6D">
      <w:pPr>
        <w:pStyle w:val="64"/>
        <w:tabs>
          <w:tab w:val="left" w:pos="1701"/>
        </w:tabs>
        <w:spacing w:line="540" w:lineRule="exact"/>
        <w:ind w:firstLine="643"/>
        <w:rPr>
          <w:rFonts w:eastAsia="仿宋_GB2312"/>
          <w:sz w:val="32"/>
          <w:szCs w:val="32"/>
        </w:rPr>
      </w:pPr>
      <w:r>
        <w:rPr>
          <w:rFonts w:eastAsia="仿宋_GB2312"/>
          <w:b/>
          <w:bCs/>
          <w:sz w:val="32"/>
          <w:szCs w:val="32"/>
        </w:rPr>
        <w:t>第五十</w:t>
      </w:r>
      <w:r>
        <w:rPr>
          <w:rFonts w:hint="eastAsia" w:eastAsia="仿宋_GB2312"/>
          <w:b/>
          <w:bCs/>
          <w:sz w:val="32"/>
          <w:szCs w:val="32"/>
        </w:rPr>
        <w:t>四</w:t>
      </w:r>
      <w:r>
        <w:rPr>
          <w:rFonts w:eastAsia="仿宋_GB2312"/>
          <w:b/>
          <w:bCs/>
          <w:sz w:val="32"/>
          <w:szCs w:val="32"/>
        </w:rPr>
        <w:t xml:space="preserve">条 </w:t>
      </w:r>
      <w:r>
        <w:rPr>
          <w:rFonts w:eastAsia="仿宋_GB2312"/>
          <w:sz w:val="32"/>
          <w:szCs w:val="32"/>
        </w:rPr>
        <w:t>本指引相关用语的含义如下：</w:t>
      </w:r>
    </w:p>
    <w:p w14:paraId="350FF32B">
      <w:pPr>
        <w:pStyle w:val="64"/>
        <w:tabs>
          <w:tab w:val="left" w:pos="1701"/>
        </w:tabs>
        <w:spacing w:line="540" w:lineRule="exact"/>
        <w:ind w:firstLine="640"/>
        <w:rPr>
          <w:rFonts w:eastAsia="仿宋_GB2312"/>
          <w:sz w:val="32"/>
          <w:szCs w:val="32"/>
        </w:rPr>
      </w:pPr>
      <w:r>
        <w:rPr>
          <w:rFonts w:eastAsia="仿宋_GB2312"/>
          <w:sz w:val="32"/>
          <w:szCs w:val="32"/>
        </w:rPr>
        <w:t>（一）持有份额不低于20%的第一大不动产基金持有人是指不动产基金持有人及其关联方、一致行动人合计持有不动产基金份额比例不低于20%且持有份额最多的基金份额持有人；</w:t>
      </w:r>
    </w:p>
    <w:p w14:paraId="62464650">
      <w:pPr>
        <w:pStyle w:val="64"/>
        <w:tabs>
          <w:tab w:val="left" w:pos="1701"/>
        </w:tabs>
        <w:spacing w:line="540" w:lineRule="exact"/>
        <w:ind w:firstLine="640"/>
        <w:rPr>
          <w:rFonts w:eastAsia="仿宋_GB2312"/>
          <w:sz w:val="32"/>
          <w:szCs w:val="32"/>
        </w:rPr>
      </w:pPr>
      <w:r>
        <w:rPr>
          <w:rFonts w:eastAsia="仿宋_GB2312"/>
          <w:sz w:val="32"/>
          <w:szCs w:val="32"/>
        </w:rPr>
        <w:t>（二）本指引第十六条所述相关金额是指连续12个月内累计发生金额；</w:t>
      </w:r>
    </w:p>
    <w:p w14:paraId="227B7F3F">
      <w:pPr>
        <w:pStyle w:val="64"/>
        <w:tabs>
          <w:tab w:val="left" w:pos="1701"/>
        </w:tabs>
        <w:spacing w:line="540" w:lineRule="exact"/>
        <w:ind w:firstLine="640"/>
        <w:rPr>
          <w:rFonts w:eastAsia="仿宋_GB2312"/>
          <w:sz w:val="32"/>
          <w:szCs w:val="32"/>
        </w:rPr>
      </w:pPr>
      <w:r>
        <w:rPr>
          <w:rFonts w:eastAsia="仿宋_GB2312"/>
          <w:sz w:val="32"/>
          <w:szCs w:val="32"/>
        </w:rPr>
        <w:t>（三）本指引所称不动产基金交易均价的计算公式为：定价基准日前特定交易日不动产基金交易均价=定价基准日前特定交易日不动产基金交易总金额/定价基准日前特定交易日不动产基金交易总份额。</w:t>
      </w:r>
    </w:p>
    <w:p w14:paraId="197FE878">
      <w:pPr>
        <w:pStyle w:val="64"/>
        <w:tabs>
          <w:tab w:val="left" w:pos="1701"/>
        </w:tabs>
        <w:spacing w:line="540" w:lineRule="exact"/>
        <w:ind w:firstLine="643"/>
        <w:rPr>
          <w:rFonts w:eastAsia="仿宋_GB2312"/>
          <w:sz w:val="32"/>
          <w:szCs w:val="32"/>
        </w:rPr>
      </w:pPr>
      <w:r>
        <w:rPr>
          <w:rFonts w:eastAsia="仿宋_GB2312"/>
          <w:b/>
          <w:bCs/>
          <w:sz w:val="32"/>
          <w:szCs w:val="32"/>
        </w:rPr>
        <w:t xml:space="preserve">第五十五条 </w:t>
      </w:r>
      <w:r>
        <w:rPr>
          <w:rFonts w:eastAsia="仿宋_GB2312"/>
          <w:sz w:val="32"/>
          <w:szCs w:val="32"/>
        </w:rPr>
        <w:t>本指引由本所负责解释。</w:t>
      </w:r>
    </w:p>
    <w:p w14:paraId="28DD876B">
      <w:pPr>
        <w:pStyle w:val="64"/>
        <w:tabs>
          <w:tab w:val="left" w:pos="1701"/>
        </w:tabs>
        <w:spacing w:line="540" w:lineRule="exact"/>
        <w:ind w:firstLine="643"/>
        <w:rPr>
          <w:rFonts w:eastAsia="仿宋_GB2312"/>
          <w:sz w:val="32"/>
          <w:szCs w:val="32"/>
        </w:rPr>
      </w:pPr>
      <w:r>
        <w:rPr>
          <w:rFonts w:eastAsia="仿宋_GB2312"/>
          <w:b/>
          <w:bCs/>
          <w:sz w:val="32"/>
          <w:szCs w:val="32"/>
        </w:rPr>
        <w:t xml:space="preserve">第五十六条 </w:t>
      </w:r>
      <w:r>
        <w:rPr>
          <w:rFonts w:eastAsia="仿宋_GB2312"/>
          <w:sz w:val="32"/>
          <w:szCs w:val="32"/>
        </w:rPr>
        <w:t>本指引自发布之日起施行。</w:t>
      </w:r>
      <w:r>
        <w:rPr>
          <w:rFonts w:hint="eastAsia" w:eastAsia="仿宋_GB2312"/>
          <w:sz w:val="32"/>
          <w:szCs w:val="32"/>
        </w:rPr>
        <w:t>本所于2022年5月31日发布的</w:t>
      </w:r>
      <w:r>
        <w:rPr>
          <w:rFonts w:eastAsia="仿宋_GB2312"/>
          <w:sz w:val="32"/>
          <w:szCs w:val="32"/>
        </w:rPr>
        <w:t>《上海证券交易所公开募集基础设施证券投资基金（REITs）规则适用指引第3号——新购入基础设施项目（试行）》（上证发〔2022〕83号）同时废止。</w:t>
      </w:r>
    </w:p>
    <w:sectPr>
      <w:headerReference r:id="rId3" w:type="default"/>
      <w:footerReference r:id="rId5" w:type="default"/>
      <w:headerReference r:id="rId4" w:type="even"/>
      <w:footerReference r:id="rId6" w:type="even"/>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w:altName w:val="Times New Roman"/>
    <w:panose1 w:val="020B0604020202020204"/>
    <w:charset w:val="00"/>
    <w:family w:val="swiss"/>
    <w:pitch w:val="default"/>
    <w:sig w:usb0="E0002EFF" w:usb1="C000785B" w:usb2="00000009" w:usb3="00000000" w:csb0="000001FF" w:csb1="00000000"/>
  </w:font>
  <w:font w:name="Cambria">
    <w:altName w:val="阿里巴巴普惠体 R"/>
    <w:panose1 w:val="00000000000000000000"/>
    <w:charset w:val="00"/>
    <w:family w:val="roman"/>
    <w:pitch w:val="default"/>
    <w:sig w:usb0="E00006FF" w:usb1="420024FF" w:usb2="02000000" w:usb3="00000000" w:csb0="0000019F" w:csb1="00000000"/>
  </w:font>
  <w:font w:name="阿里巴巴普惠体 R">
    <w:panose1 w:val="00020600040101010101"/>
    <w:charset w:val="86"/>
    <w:family w:val="auto"/>
    <w:pitch w:val="default"/>
    <w:sig w:usb0="A00002FF" w:usb1="7ACF7CFB" w:usb2="0000001E" w:usb3="00000000" w:csb0="0004009F" w:csb1="00000000"/>
  </w:font>
  <w:font w:name="Courier New">
    <w:altName w:val="DejaVu Sans"/>
    <w:panose1 w:val="02070309020205020404"/>
    <w:charset w:val="00"/>
    <w:family w:val="modern"/>
    <w:pitch w:val="default"/>
    <w:sig w:usb0="E0002EFF" w:usb1="C0007843"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panose1 w:val="02010600000101010101"/>
    <w:charset w:val="86"/>
    <w:family w:val="auto"/>
    <w:pitch w:val="default"/>
    <w:sig w:usb0="00000001" w:usb1="080E0800" w:usb2="00000002" w:usb3="00000000" w:csb0="00040000" w:csb1="00000000"/>
  </w:font>
  <w:font w:name="微软雅黑">
    <w:altName w:val="黑体"/>
    <w:panose1 w:val="020B0503020204020204"/>
    <w:charset w:val="00"/>
    <w:family w:val="swiss"/>
    <w:pitch w:val="default"/>
    <w:sig w:usb0="80000287" w:usb1="2ACF3C50" w:usb2="00000016" w:usb3="00000000" w:csb0="0004001F" w:csb1="00000000"/>
  </w:font>
  <w:font w:name="Arial Unicode MS">
    <w:altName w:val="Times New Roman"/>
    <w:panose1 w:val="020B0604020202020204"/>
    <w:charset w:val="00"/>
    <w:family w:val="swiss"/>
    <w:pitch w:val="default"/>
    <w:sig w:usb0="F7FFAFFF" w:usb1="E9DFFFFF" w:usb2="0000003F" w:usb3="00000000" w:csb0="003F01FF" w:csb1="00000000"/>
  </w:font>
  <w:font w:name="Helvetica">
    <w:altName w:val="Noto Naskh Arabic"/>
    <w:panose1 w:val="020B0504020202020204"/>
    <w:charset w:val="00"/>
    <w:family w:val="swiss"/>
    <w:pitch w:val="default"/>
    <w:sig w:usb0="E0002EFF" w:usb1="C000785B"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Frutiger 45 Light">
    <w:altName w:val="阿里巴巴普惠体 R"/>
    <w:panose1 w:val="00000000000000000000"/>
    <w:charset w:val="00"/>
    <w:family w:val="auto"/>
    <w:pitch w:val="default"/>
    <w:sig w:usb0="00000000" w:usb1="00000000" w:usb2="00000000" w:usb3="00000000" w:csb0="00000193" w:csb1="00000000"/>
  </w:font>
  <w:font w:name="华文楷体">
    <w:altName w:val="方正楷体_GBK"/>
    <w:panose1 w:val="02010600040101010101"/>
    <w:charset w:val="00"/>
    <w:family w:val="auto"/>
    <w:pitch w:val="default"/>
    <w:sig w:usb0="00000287" w:usb1="080F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Univers">
    <w:altName w:val="阿里巴巴普惠体 R"/>
    <w:panose1 w:val="00000000000000000000"/>
    <w:charset w:val="00"/>
    <w:family w:val="swiss"/>
    <w:pitch w:val="default"/>
    <w:sig w:usb0="80000287" w:usb1="00000000" w:usb2="00000000" w:usb3="00000000" w:csb0="0000000F" w:csb1="00000000"/>
  </w:font>
  <w:font w:name="等线">
    <w:altName w:val="宋体"/>
    <w:panose1 w:val="02010600030101010101"/>
    <w:charset w:val="00"/>
    <w:family w:val="auto"/>
    <w:pitch w:val="default"/>
    <w:sig w:usb0="A00002BF" w:usb1="38CF7CFA" w:usb2="00000016"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2998">
    <w:pPr>
      <w:pStyle w:val="18"/>
      <w:framePr w:wrap="around" w:vAnchor="text" w:hAnchor="margin" w:xAlign="center" w:y="1"/>
      <w:jc w:val="center"/>
      <w:rPr>
        <w:rStyle w:val="32"/>
        <w:rFonts w:hint="eastAsia"/>
      </w:rPr>
    </w:pPr>
  </w:p>
  <w:p w14:paraId="3CE06061">
    <w:pPr>
      <w:pStyle w:val="18"/>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lang/>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DA672">
    <w:pPr>
      <w:pStyle w:val="18"/>
      <w:framePr w:wrap="around" w:vAnchor="text" w:hAnchor="margin" w:xAlign="center" w:y="1"/>
      <w:rPr>
        <w:rStyle w:val="32"/>
      </w:rPr>
    </w:pPr>
  </w:p>
  <w:p w14:paraId="65C98059">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lang/>
      </w:rPr>
      <w:t>2</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A75E">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E9A0">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EF"/>
    <w:rsid w:val="00001B4B"/>
    <w:rsid w:val="00001C7D"/>
    <w:rsid w:val="00004247"/>
    <w:rsid w:val="000045DA"/>
    <w:rsid w:val="00007153"/>
    <w:rsid w:val="000123C7"/>
    <w:rsid w:val="00015CF8"/>
    <w:rsid w:val="00020051"/>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9713A"/>
    <w:rsid w:val="000A2AE9"/>
    <w:rsid w:val="000A36F5"/>
    <w:rsid w:val="000A3859"/>
    <w:rsid w:val="000A4874"/>
    <w:rsid w:val="000A4E05"/>
    <w:rsid w:val="000A5BC9"/>
    <w:rsid w:val="000A5CA0"/>
    <w:rsid w:val="000A78EC"/>
    <w:rsid w:val="000B132A"/>
    <w:rsid w:val="000B135F"/>
    <w:rsid w:val="000B19DE"/>
    <w:rsid w:val="000B1C87"/>
    <w:rsid w:val="000B1CA3"/>
    <w:rsid w:val="000B2003"/>
    <w:rsid w:val="000B233F"/>
    <w:rsid w:val="000B52E8"/>
    <w:rsid w:val="000B5A96"/>
    <w:rsid w:val="000C1296"/>
    <w:rsid w:val="000C2734"/>
    <w:rsid w:val="000D3E58"/>
    <w:rsid w:val="000D5BE4"/>
    <w:rsid w:val="000D5E80"/>
    <w:rsid w:val="000D6713"/>
    <w:rsid w:val="000D6920"/>
    <w:rsid w:val="000E0C54"/>
    <w:rsid w:val="000E0F35"/>
    <w:rsid w:val="000E1D7A"/>
    <w:rsid w:val="000E28C6"/>
    <w:rsid w:val="000E3BF1"/>
    <w:rsid w:val="000E4C1A"/>
    <w:rsid w:val="000E520C"/>
    <w:rsid w:val="000E75BE"/>
    <w:rsid w:val="000E766A"/>
    <w:rsid w:val="000E7A26"/>
    <w:rsid w:val="000E7A4C"/>
    <w:rsid w:val="000F1729"/>
    <w:rsid w:val="000F1A93"/>
    <w:rsid w:val="000F234A"/>
    <w:rsid w:val="000F3A20"/>
    <w:rsid w:val="000F3DDE"/>
    <w:rsid w:val="000F52A2"/>
    <w:rsid w:val="000F7690"/>
    <w:rsid w:val="00103077"/>
    <w:rsid w:val="00104481"/>
    <w:rsid w:val="0010553A"/>
    <w:rsid w:val="00106537"/>
    <w:rsid w:val="00106E5E"/>
    <w:rsid w:val="0011076A"/>
    <w:rsid w:val="001113D7"/>
    <w:rsid w:val="00112324"/>
    <w:rsid w:val="0011790D"/>
    <w:rsid w:val="00120EA1"/>
    <w:rsid w:val="00121D8C"/>
    <w:rsid w:val="00126898"/>
    <w:rsid w:val="00127BB8"/>
    <w:rsid w:val="001303BE"/>
    <w:rsid w:val="001313FC"/>
    <w:rsid w:val="001320F9"/>
    <w:rsid w:val="0013265E"/>
    <w:rsid w:val="00132F87"/>
    <w:rsid w:val="00135048"/>
    <w:rsid w:val="00135676"/>
    <w:rsid w:val="00136D79"/>
    <w:rsid w:val="00136E1D"/>
    <w:rsid w:val="001401F3"/>
    <w:rsid w:val="00141A5B"/>
    <w:rsid w:val="00143741"/>
    <w:rsid w:val="00144741"/>
    <w:rsid w:val="00145463"/>
    <w:rsid w:val="00145E5C"/>
    <w:rsid w:val="00146E00"/>
    <w:rsid w:val="00152423"/>
    <w:rsid w:val="00156E9B"/>
    <w:rsid w:val="001607D9"/>
    <w:rsid w:val="00160C0B"/>
    <w:rsid w:val="0016249D"/>
    <w:rsid w:val="001628DD"/>
    <w:rsid w:val="00162B2D"/>
    <w:rsid w:val="001636A4"/>
    <w:rsid w:val="00163F0D"/>
    <w:rsid w:val="00165363"/>
    <w:rsid w:val="001675AF"/>
    <w:rsid w:val="00167718"/>
    <w:rsid w:val="0017015E"/>
    <w:rsid w:val="00170F51"/>
    <w:rsid w:val="0017731B"/>
    <w:rsid w:val="00177844"/>
    <w:rsid w:val="00185194"/>
    <w:rsid w:val="00186386"/>
    <w:rsid w:val="00191A1F"/>
    <w:rsid w:val="0019316F"/>
    <w:rsid w:val="001945AE"/>
    <w:rsid w:val="00195F7F"/>
    <w:rsid w:val="00197495"/>
    <w:rsid w:val="00197504"/>
    <w:rsid w:val="001A27B8"/>
    <w:rsid w:val="001A306E"/>
    <w:rsid w:val="001A4038"/>
    <w:rsid w:val="001A5E3D"/>
    <w:rsid w:val="001B0CC8"/>
    <w:rsid w:val="001B0E13"/>
    <w:rsid w:val="001B2E0F"/>
    <w:rsid w:val="001B412F"/>
    <w:rsid w:val="001B57D7"/>
    <w:rsid w:val="001B76C0"/>
    <w:rsid w:val="001C0319"/>
    <w:rsid w:val="001C078A"/>
    <w:rsid w:val="001C1D39"/>
    <w:rsid w:val="001C248C"/>
    <w:rsid w:val="001C265D"/>
    <w:rsid w:val="001C3676"/>
    <w:rsid w:val="001C5A32"/>
    <w:rsid w:val="001C5E9A"/>
    <w:rsid w:val="001C7595"/>
    <w:rsid w:val="001C7E7D"/>
    <w:rsid w:val="001D29C8"/>
    <w:rsid w:val="001D5CF2"/>
    <w:rsid w:val="001D6097"/>
    <w:rsid w:val="001D6B24"/>
    <w:rsid w:val="001D71C5"/>
    <w:rsid w:val="001E03DB"/>
    <w:rsid w:val="001E1D78"/>
    <w:rsid w:val="001E27F0"/>
    <w:rsid w:val="001E2BC7"/>
    <w:rsid w:val="001E2F7B"/>
    <w:rsid w:val="001E52DC"/>
    <w:rsid w:val="001E53A2"/>
    <w:rsid w:val="001E55F0"/>
    <w:rsid w:val="001E594A"/>
    <w:rsid w:val="001E7729"/>
    <w:rsid w:val="001F31C1"/>
    <w:rsid w:val="001F3DCC"/>
    <w:rsid w:val="001F5291"/>
    <w:rsid w:val="001F658F"/>
    <w:rsid w:val="001F6A6E"/>
    <w:rsid w:val="001F6B47"/>
    <w:rsid w:val="00201124"/>
    <w:rsid w:val="00204177"/>
    <w:rsid w:val="0021054A"/>
    <w:rsid w:val="002106B0"/>
    <w:rsid w:val="00210AB6"/>
    <w:rsid w:val="00211106"/>
    <w:rsid w:val="0021196D"/>
    <w:rsid w:val="00212492"/>
    <w:rsid w:val="002141CC"/>
    <w:rsid w:val="0021537B"/>
    <w:rsid w:val="00217BFF"/>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29F4"/>
    <w:rsid w:val="002436E6"/>
    <w:rsid w:val="00243E11"/>
    <w:rsid w:val="002441E9"/>
    <w:rsid w:val="00244718"/>
    <w:rsid w:val="00245FED"/>
    <w:rsid w:val="00247A8F"/>
    <w:rsid w:val="002549B0"/>
    <w:rsid w:val="00256A60"/>
    <w:rsid w:val="00260422"/>
    <w:rsid w:val="00260879"/>
    <w:rsid w:val="00260FCD"/>
    <w:rsid w:val="002616D1"/>
    <w:rsid w:val="002618E8"/>
    <w:rsid w:val="00261C52"/>
    <w:rsid w:val="0026217A"/>
    <w:rsid w:val="002635C2"/>
    <w:rsid w:val="00263787"/>
    <w:rsid w:val="002649A0"/>
    <w:rsid w:val="00266DD8"/>
    <w:rsid w:val="002679E4"/>
    <w:rsid w:val="00267A4F"/>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104F"/>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1CB8"/>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2535"/>
    <w:rsid w:val="002F3D59"/>
    <w:rsid w:val="002F6B5E"/>
    <w:rsid w:val="00301B8F"/>
    <w:rsid w:val="0030332C"/>
    <w:rsid w:val="00304446"/>
    <w:rsid w:val="00304524"/>
    <w:rsid w:val="00304AB8"/>
    <w:rsid w:val="00306DDB"/>
    <w:rsid w:val="00306F9F"/>
    <w:rsid w:val="003103D2"/>
    <w:rsid w:val="00310AA0"/>
    <w:rsid w:val="003128D1"/>
    <w:rsid w:val="0031389B"/>
    <w:rsid w:val="00314881"/>
    <w:rsid w:val="00315A37"/>
    <w:rsid w:val="003203A2"/>
    <w:rsid w:val="00320E81"/>
    <w:rsid w:val="00322808"/>
    <w:rsid w:val="00323793"/>
    <w:rsid w:val="0032399D"/>
    <w:rsid w:val="00326C6B"/>
    <w:rsid w:val="00327E4E"/>
    <w:rsid w:val="003317AD"/>
    <w:rsid w:val="00333B5A"/>
    <w:rsid w:val="003369A0"/>
    <w:rsid w:val="00336AB4"/>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6830"/>
    <w:rsid w:val="003671CC"/>
    <w:rsid w:val="003674EB"/>
    <w:rsid w:val="00370147"/>
    <w:rsid w:val="00370A37"/>
    <w:rsid w:val="00370F08"/>
    <w:rsid w:val="00371056"/>
    <w:rsid w:val="003712BD"/>
    <w:rsid w:val="003714B3"/>
    <w:rsid w:val="003721BA"/>
    <w:rsid w:val="0037348E"/>
    <w:rsid w:val="00373B90"/>
    <w:rsid w:val="00375CB8"/>
    <w:rsid w:val="003762DB"/>
    <w:rsid w:val="00377891"/>
    <w:rsid w:val="003825B7"/>
    <w:rsid w:val="003844D8"/>
    <w:rsid w:val="0038457C"/>
    <w:rsid w:val="00386372"/>
    <w:rsid w:val="00386A61"/>
    <w:rsid w:val="0038722F"/>
    <w:rsid w:val="00387B66"/>
    <w:rsid w:val="0039017A"/>
    <w:rsid w:val="003935C7"/>
    <w:rsid w:val="00393AC8"/>
    <w:rsid w:val="00397420"/>
    <w:rsid w:val="003979FD"/>
    <w:rsid w:val="00397D54"/>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5E90"/>
    <w:rsid w:val="003C66B8"/>
    <w:rsid w:val="003C7171"/>
    <w:rsid w:val="003D24C9"/>
    <w:rsid w:val="003D3027"/>
    <w:rsid w:val="003D4181"/>
    <w:rsid w:val="003D4890"/>
    <w:rsid w:val="003D5445"/>
    <w:rsid w:val="003D5A8D"/>
    <w:rsid w:val="003D73C7"/>
    <w:rsid w:val="003D7920"/>
    <w:rsid w:val="003E06D1"/>
    <w:rsid w:val="003E100F"/>
    <w:rsid w:val="003E1D04"/>
    <w:rsid w:val="003E75F6"/>
    <w:rsid w:val="003E785F"/>
    <w:rsid w:val="003F318F"/>
    <w:rsid w:val="003F5CAE"/>
    <w:rsid w:val="003F6CCE"/>
    <w:rsid w:val="003F78E1"/>
    <w:rsid w:val="0040193F"/>
    <w:rsid w:val="00401D7B"/>
    <w:rsid w:val="00401ED0"/>
    <w:rsid w:val="004050CB"/>
    <w:rsid w:val="0040559C"/>
    <w:rsid w:val="004064FF"/>
    <w:rsid w:val="00412C9B"/>
    <w:rsid w:val="0041372A"/>
    <w:rsid w:val="00413BDA"/>
    <w:rsid w:val="00414DA6"/>
    <w:rsid w:val="004156A9"/>
    <w:rsid w:val="00415ABF"/>
    <w:rsid w:val="004161E0"/>
    <w:rsid w:val="0041714A"/>
    <w:rsid w:val="00421833"/>
    <w:rsid w:val="004221B0"/>
    <w:rsid w:val="004223D9"/>
    <w:rsid w:val="004235D3"/>
    <w:rsid w:val="0042579A"/>
    <w:rsid w:val="00425B16"/>
    <w:rsid w:val="0042799E"/>
    <w:rsid w:val="004312AC"/>
    <w:rsid w:val="004318A5"/>
    <w:rsid w:val="00433D0E"/>
    <w:rsid w:val="004342BF"/>
    <w:rsid w:val="004347DB"/>
    <w:rsid w:val="0043610F"/>
    <w:rsid w:val="00436F3C"/>
    <w:rsid w:val="00440411"/>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7D0"/>
    <w:rsid w:val="00482808"/>
    <w:rsid w:val="0048367A"/>
    <w:rsid w:val="004838F1"/>
    <w:rsid w:val="00483F26"/>
    <w:rsid w:val="00484D99"/>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D37"/>
    <w:rsid w:val="004D3EE9"/>
    <w:rsid w:val="004D47EE"/>
    <w:rsid w:val="004D56FB"/>
    <w:rsid w:val="004D5968"/>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3A61"/>
    <w:rsid w:val="00524254"/>
    <w:rsid w:val="00524516"/>
    <w:rsid w:val="0052596B"/>
    <w:rsid w:val="005267E3"/>
    <w:rsid w:val="005269DB"/>
    <w:rsid w:val="00526EC7"/>
    <w:rsid w:val="00530BB1"/>
    <w:rsid w:val="0053123E"/>
    <w:rsid w:val="0053175B"/>
    <w:rsid w:val="00531853"/>
    <w:rsid w:val="00532C03"/>
    <w:rsid w:val="0053321A"/>
    <w:rsid w:val="005338B0"/>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279"/>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AF3"/>
    <w:rsid w:val="005B1EF7"/>
    <w:rsid w:val="005B3346"/>
    <w:rsid w:val="005B4A0C"/>
    <w:rsid w:val="005B73E7"/>
    <w:rsid w:val="005B740A"/>
    <w:rsid w:val="005C0AA5"/>
    <w:rsid w:val="005C1D93"/>
    <w:rsid w:val="005C2403"/>
    <w:rsid w:val="005C533A"/>
    <w:rsid w:val="005C7940"/>
    <w:rsid w:val="005D1E77"/>
    <w:rsid w:val="005D3025"/>
    <w:rsid w:val="005D34F3"/>
    <w:rsid w:val="005D655A"/>
    <w:rsid w:val="005E4BD1"/>
    <w:rsid w:val="005E6B96"/>
    <w:rsid w:val="005E6D26"/>
    <w:rsid w:val="005F0B5C"/>
    <w:rsid w:val="005F1000"/>
    <w:rsid w:val="005F5CEB"/>
    <w:rsid w:val="006012ED"/>
    <w:rsid w:val="00601860"/>
    <w:rsid w:val="00604249"/>
    <w:rsid w:val="006046F4"/>
    <w:rsid w:val="00604D58"/>
    <w:rsid w:val="00607B22"/>
    <w:rsid w:val="00612558"/>
    <w:rsid w:val="00613446"/>
    <w:rsid w:val="006160EB"/>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1BC"/>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558C"/>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7AD3"/>
    <w:rsid w:val="00687B1F"/>
    <w:rsid w:val="00692897"/>
    <w:rsid w:val="006942A0"/>
    <w:rsid w:val="006950E9"/>
    <w:rsid w:val="00695BE1"/>
    <w:rsid w:val="006A0837"/>
    <w:rsid w:val="006A1C89"/>
    <w:rsid w:val="006A2EFC"/>
    <w:rsid w:val="006A51C3"/>
    <w:rsid w:val="006A5E0F"/>
    <w:rsid w:val="006B12E3"/>
    <w:rsid w:val="006B1CB8"/>
    <w:rsid w:val="006B212A"/>
    <w:rsid w:val="006B309B"/>
    <w:rsid w:val="006B36BD"/>
    <w:rsid w:val="006B3B78"/>
    <w:rsid w:val="006B3EFA"/>
    <w:rsid w:val="006B42DD"/>
    <w:rsid w:val="006B5FA3"/>
    <w:rsid w:val="006B71BA"/>
    <w:rsid w:val="006B7AD2"/>
    <w:rsid w:val="006C271C"/>
    <w:rsid w:val="006C4D4D"/>
    <w:rsid w:val="006C4F79"/>
    <w:rsid w:val="006C7059"/>
    <w:rsid w:val="006D070F"/>
    <w:rsid w:val="006D46CE"/>
    <w:rsid w:val="006D5D36"/>
    <w:rsid w:val="006D77DA"/>
    <w:rsid w:val="006E1373"/>
    <w:rsid w:val="006E1852"/>
    <w:rsid w:val="006E2493"/>
    <w:rsid w:val="006E2945"/>
    <w:rsid w:val="006E3C7D"/>
    <w:rsid w:val="006E3D07"/>
    <w:rsid w:val="006E43AF"/>
    <w:rsid w:val="006E53B6"/>
    <w:rsid w:val="006E5931"/>
    <w:rsid w:val="006F0596"/>
    <w:rsid w:val="006F0FD0"/>
    <w:rsid w:val="006F1AC8"/>
    <w:rsid w:val="006F2772"/>
    <w:rsid w:val="006F2A84"/>
    <w:rsid w:val="006F3EC4"/>
    <w:rsid w:val="006F4002"/>
    <w:rsid w:val="006F4BC0"/>
    <w:rsid w:val="006F76EC"/>
    <w:rsid w:val="00700E2A"/>
    <w:rsid w:val="00700EDE"/>
    <w:rsid w:val="00701434"/>
    <w:rsid w:val="00701995"/>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1E87"/>
    <w:rsid w:val="00772ABE"/>
    <w:rsid w:val="00772D4D"/>
    <w:rsid w:val="00772E38"/>
    <w:rsid w:val="00773E8A"/>
    <w:rsid w:val="0077613F"/>
    <w:rsid w:val="0077623D"/>
    <w:rsid w:val="007763AD"/>
    <w:rsid w:val="00776939"/>
    <w:rsid w:val="00777ADF"/>
    <w:rsid w:val="007808CE"/>
    <w:rsid w:val="007825D2"/>
    <w:rsid w:val="007830C3"/>
    <w:rsid w:val="00784B4B"/>
    <w:rsid w:val="00784FDA"/>
    <w:rsid w:val="00790888"/>
    <w:rsid w:val="00790B83"/>
    <w:rsid w:val="007971B8"/>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16"/>
    <w:rsid w:val="007C435B"/>
    <w:rsid w:val="007C5711"/>
    <w:rsid w:val="007C59A1"/>
    <w:rsid w:val="007C728C"/>
    <w:rsid w:val="007D0941"/>
    <w:rsid w:val="007D16C1"/>
    <w:rsid w:val="007D3C28"/>
    <w:rsid w:val="007D3DD0"/>
    <w:rsid w:val="007D54E4"/>
    <w:rsid w:val="007D5C87"/>
    <w:rsid w:val="007D70E3"/>
    <w:rsid w:val="007E3363"/>
    <w:rsid w:val="007E39BE"/>
    <w:rsid w:val="007F1724"/>
    <w:rsid w:val="007F247C"/>
    <w:rsid w:val="007F5F95"/>
    <w:rsid w:val="007F6781"/>
    <w:rsid w:val="007F6C5F"/>
    <w:rsid w:val="00801517"/>
    <w:rsid w:val="00802449"/>
    <w:rsid w:val="00803306"/>
    <w:rsid w:val="0080331D"/>
    <w:rsid w:val="00803482"/>
    <w:rsid w:val="00803C9B"/>
    <w:rsid w:val="00805390"/>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1D5"/>
    <w:rsid w:val="00844BD0"/>
    <w:rsid w:val="00844F9D"/>
    <w:rsid w:val="00845590"/>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66E03"/>
    <w:rsid w:val="00870D86"/>
    <w:rsid w:val="00871824"/>
    <w:rsid w:val="00872F14"/>
    <w:rsid w:val="00874B93"/>
    <w:rsid w:val="00875DE0"/>
    <w:rsid w:val="0087655F"/>
    <w:rsid w:val="00876B78"/>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A72B9"/>
    <w:rsid w:val="008B2795"/>
    <w:rsid w:val="008B27D1"/>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49D"/>
    <w:rsid w:val="009267B5"/>
    <w:rsid w:val="0092681A"/>
    <w:rsid w:val="009274DB"/>
    <w:rsid w:val="00930A5A"/>
    <w:rsid w:val="00931828"/>
    <w:rsid w:val="009329BE"/>
    <w:rsid w:val="00932D6A"/>
    <w:rsid w:val="0093659D"/>
    <w:rsid w:val="00937FA6"/>
    <w:rsid w:val="0094135E"/>
    <w:rsid w:val="00941EA3"/>
    <w:rsid w:val="00942841"/>
    <w:rsid w:val="0094344B"/>
    <w:rsid w:val="00944CA6"/>
    <w:rsid w:val="009469CA"/>
    <w:rsid w:val="00946AF3"/>
    <w:rsid w:val="00946E57"/>
    <w:rsid w:val="00947BF3"/>
    <w:rsid w:val="00950B78"/>
    <w:rsid w:val="00956996"/>
    <w:rsid w:val="00956D22"/>
    <w:rsid w:val="00956DE5"/>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4F35"/>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9E4"/>
    <w:rsid w:val="009D5BDA"/>
    <w:rsid w:val="009D5CD7"/>
    <w:rsid w:val="009D6E0C"/>
    <w:rsid w:val="009D7092"/>
    <w:rsid w:val="009E1613"/>
    <w:rsid w:val="009E3CA9"/>
    <w:rsid w:val="009E4AFF"/>
    <w:rsid w:val="009E4F2A"/>
    <w:rsid w:val="009E66D3"/>
    <w:rsid w:val="009E76CC"/>
    <w:rsid w:val="009F0D46"/>
    <w:rsid w:val="009F0DE7"/>
    <w:rsid w:val="009F1563"/>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4468"/>
    <w:rsid w:val="00A67700"/>
    <w:rsid w:val="00A67A4C"/>
    <w:rsid w:val="00A715FB"/>
    <w:rsid w:val="00A74481"/>
    <w:rsid w:val="00A76668"/>
    <w:rsid w:val="00A81A50"/>
    <w:rsid w:val="00A839F1"/>
    <w:rsid w:val="00A83B31"/>
    <w:rsid w:val="00A843AB"/>
    <w:rsid w:val="00A84DF7"/>
    <w:rsid w:val="00A852EF"/>
    <w:rsid w:val="00A8789D"/>
    <w:rsid w:val="00A87BB6"/>
    <w:rsid w:val="00A90F75"/>
    <w:rsid w:val="00A91F70"/>
    <w:rsid w:val="00A924DE"/>
    <w:rsid w:val="00A93CE5"/>
    <w:rsid w:val="00A9403B"/>
    <w:rsid w:val="00A9416E"/>
    <w:rsid w:val="00A94B78"/>
    <w:rsid w:val="00A95030"/>
    <w:rsid w:val="00A95046"/>
    <w:rsid w:val="00A9543E"/>
    <w:rsid w:val="00A969AB"/>
    <w:rsid w:val="00A9709A"/>
    <w:rsid w:val="00A97815"/>
    <w:rsid w:val="00A978E6"/>
    <w:rsid w:val="00A97ED5"/>
    <w:rsid w:val="00A97F01"/>
    <w:rsid w:val="00AA0541"/>
    <w:rsid w:val="00AA197E"/>
    <w:rsid w:val="00AA1A8B"/>
    <w:rsid w:val="00AA238C"/>
    <w:rsid w:val="00AA2777"/>
    <w:rsid w:val="00AA3D7C"/>
    <w:rsid w:val="00AB1C92"/>
    <w:rsid w:val="00AB21CF"/>
    <w:rsid w:val="00AB2B60"/>
    <w:rsid w:val="00AB2F83"/>
    <w:rsid w:val="00AB331D"/>
    <w:rsid w:val="00AB38FC"/>
    <w:rsid w:val="00AB3AB3"/>
    <w:rsid w:val="00AB6F38"/>
    <w:rsid w:val="00AB749B"/>
    <w:rsid w:val="00AB7CE1"/>
    <w:rsid w:val="00AC12AE"/>
    <w:rsid w:val="00AC153E"/>
    <w:rsid w:val="00AC1905"/>
    <w:rsid w:val="00AC3767"/>
    <w:rsid w:val="00AC38E7"/>
    <w:rsid w:val="00AC40E8"/>
    <w:rsid w:val="00AC495F"/>
    <w:rsid w:val="00AC58A3"/>
    <w:rsid w:val="00AC7176"/>
    <w:rsid w:val="00AC7D37"/>
    <w:rsid w:val="00AD27F5"/>
    <w:rsid w:val="00AD3D98"/>
    <w:rsid w:val="00AD407F"/>
    <w:rsid w:val="00AD66B6"/>
    <w:rsid w:val="00AD74AE"/>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1EFF"/>
    <w:rsid w:val="00B222D3"/>
    <w:rsid w:val="00B24DED"/>
    <w:rsid w:val="00B26D60"/>
    <w:rsid w:val="00B274D6"/>
    <w:rsid w:val="00B27721"/>
    <w:rsid w:val="00B27751"/>
    <w:rsid w:val="00B3095A"/>
    <w:rsid w:val="00B310D5"/>
    <w:rsid w:val="00B318A4"/>
    <w:rsid w:val="00B33921"/>
    <w:rsid w:val="00B3428E"/>
    <w:rsid w:val="00B352BC"/>
    <w:rsid w:val="00B417B5"/>
    <w:rsid w:val="00B41CF9"/>
    <w:rsid w:val="00B42677"/>
    <w:rsid w:val="00B46694"/>
    <w:rsid w:val="00B50CED"/>
    <w:rsid w:val="00B5283F"/>
    <w:rsid w:val="00B57B90"/>
    <w:rsid w:val="00B62790"/>
    <w:rsid w:val="00B62F7C"/>
    <w:rsid w:val="00B6567C"/>
    <w:rsid w:val="00B661EC"/>
    <w:rsid w:val="00B6696B"/>
    <w:rsid w:val="00B671AF"/>
    <w:rsid w:val="00B67E73"/>
    <w:rsid w:val="00B70B73"/>
    <w:rsid w:val="00B72763"/>
    <w:rsid w:val="00B72D35"/>
    <w:rsid w:val="00B73134"/>
    <w:rsid w:val="00B73B59"/>
    <w:rsid w:val="00B74CFF"/>
    <w:rsid w:val="00B76E7F"/>
    <w:rsid w:val="00B777DC"/>
    <w:rsid w:val="00B81C86"/>
    <w:rsid w:val="00B8482E"/>
    <w:rsid w:val="00B84D0F"/>
    <w:rsid w:val="00B85CB9"/>
    <w:rsid w:val="00B86ACD"/>
    <w:rsid w:val="00B86C6A"/>
    <w:rsid w:val="00B9008D"/>
    <w:rsid w:val="00B91F88"/>
    <w:rsid w:val="00B93A26"/>
    <w:rsid w:val="00B95AC1"/>
    <w:rsid w:val="00B972D5"/>
    <w:rsid w:val="00BA08DC"/>
    <w:rsid w:val="00BA0A6D"/>
    <w:rsid w:val="00BA71DE"/>
    <w:rsid w:val="00BA798F"/>
    <w:rsid w:val="00BB0484"/>
    <w:rsid w:val="00BB196F"/>
    <w:rsid w:val="00BB2744"/>
    <w:rsid w:val="00BB491B"/>
    <w:rsid w:val="00BB4EBB"/>
    <w:rsid w:val="00BB711D"/>
    <w:rsid w:val="00BB7B84"/>
    <w:rsid w:val="00BC060B"/>
    <w:rsid w:val="00BC4132"/>
    <w:rsid w:val="00BC5AE5"/>
    <w:rsid w:val="00BC66F7"/>
    <w:rsid w:val="00BC6FE3"/>
    <w:rsid w:val="00BD0694"/>
    <w:rsid w:val="00BD0B83"/>
    <w:rsid w:val="00BD0CEB"/>
    <w:rsid w:val="00BD27FF"/>
    <w:rsid w:val="00BD329E"/>
    <w:rsid w:val="00BD45F8"/>
    <w:rsid w:val="00BD53BB"/>
    <w:rsid w:val="00BE1E28"/>
    <w:rsid w:val="00BE2432"/>
    <w:rsid w:val="00BE315A"/>
    <w:rsid w:val="00BE3C9B"/>
    <w:rsid w:val="00BE458C"/>
    <w:rsid w:val="00BE5DEB"/>
    <w:rsid w:val="00BE6418"/>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461"/>
    <w:rsid w:val="00C13D1E"/>
    <w:rsid w:val="00C13F1A"/>
    <w:rsid w:val="00C13FFE"/>
    <w:rsid w:val="00C141BA"/>
    <w:rsid w:val="00C167D3"/>
    <w:rsid w:val="00C177C8"/>
    <w:rsid w:val="00C21861"/>
    <w:rsid w:val="00C22077"/>
    <w:rsid w:val="00C23FA9"/>
    <w:rsid w:val="00C24220"/>
    <w:rsid w:val="00C3069F"/>
    <w:rsid w:val="00C314A7"/>
    <w:rsid w:val="00C31E39"/>
    <w:rsid w:val="00C32C09"/>
    <w:rsid w:val="00C34157"/>
    <w:rsid w:val="00C34AC1"/>
    <w:rsid w:val="00C3601F"/>
    <w:rsid w:val="00C36242"/>
    <w:rsid w:val="00C36676"/>
    <w:rsid w:val="00C36F56"/>
    <w:rsid w:val="00C379BA"/>
    <w:rsid w:val="00C37FDA"/>
    <w:rsid w:val="00C4130D"/>
    <w:rsid w:val="00C42C11"/>
    <w:rsid w:val="00C42E98"/>
    <w:rsid w:val="00C43757"/>
    <w:rsid w:val="00C448E0"/>
    <w:rsid w:val="00C46276"/>
    <w:rsid w:val="00C52770"/>
    <w:rsid w:val="00C549B9"/>
    <w:rsid w:val="00C554A3"/>
    <w:rsid w:val="00C55F9C"/>
    <w:rsid w:val="00C57EE8"/>
    <w:rsid w:val="00C656A0"/>
    <w:rsid w:val="00C659B1"/>
    <w:rsid w:val="00C66584"/>
    <w:rsid w:val="00C665B3"/>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44B8"/>
    <w:rsid w:val="00C95850"/>
    <w:rsid w:val="00C95982"/>
    <w:rsid w:val="00C959C2"/>
    <w:rsid w:val="00C95C29"/>
    <w:rsid w:val="00C962A7"/>
    <w:rsid w:val="00CA08D1"/>
    <w:rsid w:val="00CA1284"/>
    <w:rsid w:val="00CA1ABB"/>
    <w:rsid w:val="00CA394C"/>
    <w:rsid w:val="00CA5E67"/>
    <w:rsid w:val="00CB019A"/>
    <w:rsid w:val="00CB132D"/>
    <w:rsid w:val="00CB5201"/>
    <w:rsid w:val="00CB5610"/>
    <w:rsid w:val="00CB5AE1"/>
    <w:rsid w:val="00CB64F4"/>
    <w:rsid w:val="00CC093D"/>
    <w:rsid w:val="00CC234F"/>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41CA"/>
    <w:rsid w:val="00D0552B"/>
    <w:rsid w:val="00D0588A"/>
    <w:rsid w:val="00D05D21"/>
    <w:rsid w:val="00D0686C"/>
    <w:rsid w:val="00D06FE9"/>
    <w:rsid w:val="00D07D94"/>
    <w:rsid w:val="00D07DD8"/>
    <w:rsid w:val="00D07E97"/>
    <w:rsid w:val="00D109A6"/>
    <w:rsid w:val="00D12BCF"/>
    <w:rsid w:val="00D12C00"/>
    <w:rsid w:val="00D13A35"/>
    <w:rsid w:val="00D13BFC"/>
    <w:rsid w:val="00D15A21"/>
    <w:rsid w:val="00D16F07"/>
    <w:rsid w:val="00D20661"/>
    <w:rsid w:val="00D208D8"/>
    <w:rsid w:val="00D2253E"/>
    <w:rsid w:val="00D23733"/>
    <w:rsid w:val="00D23E03"/>
    <w:rsid w:val="00D24329"/>
    <w:rsid w:val="00D253D9"/>
    <w:rsid w:val="00D26514"/>
    <w:rsid w:val="00D30F64"/>
    <w:rsid w:val="00D4152E"/>
    <w:rsid w:val="00D41B5C"/>
    <w:rsid w:val="00D41D37"/>
    <w:rsid w:val="00D4284A"/>
    <w:rsid w:val="00D42EEE"/>
    <w:rsid w:val="00D44F1A"/>
    <w:rsid w:val="00D45DBE"/>
    <w:rsid w:val="00D4657B"/>
    <w:rsid w:val="00D46CDD"/>
    <w:rsid w:val="00D47D2F"/>
    <w:rsid w:val="00D51D8C"/>
    <w:rsid w:val="00D542BF"/>
    <w:rsid w:val="00D5706F"/>
    <w:rsid w:val="00D61499"/>
    <w:rsid w:val="00D614DC"/>
    <w:rsid w:val="00D61798"/>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5E7"/>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001B"/>
    <w:rsid w:val="00DD1F3D"/>
    <w:rsid w:val="00DD2DF5"/>
    <w:rsid w:val="00DD561A"/>
    <w:rsid w:val="00DE03CE"/>
    <w:rsid w:val="00DE0BF3"/>
    <w:rsid w:val="00DE1505"/>
    <w:rsid w:val="00DE18C5"/>
    <w:rsid w:val="00DE2072"/>
    <w:rsid w:val="00DE301F"/>
    <w:rsid w:val="00DE37DF"/>
    <w:rsid w:val="00DE38BC"/>
    <w:rsid w:val="00DE421D"/>
    <w:rsid w:val="00DE4905"/>
    <w:rsid w:val="00DE4F52"/>
    <w:rsid w:val="00DE7FCC"/>
    <w:rsid w:val="00DF1725"/>
    <w:rsid w:val="00DF200B"/>
    <w:rsid w:val="00DF21E2"/>
    <w:rsid w:val="00DF2A0D"/>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23056"/>
    <w:rsid w:val="00E2329A"/>
    <w:rsid w:val="00E23711"/>
    <w:rsid w:val="00E24818"/>
    <w:rsid w:val="00E25992"/>
    <w:rsid w:val="00E265C8"/>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06C"/>
    <w:rsid w:val="00E44550"/>
    <w:rsid w:val="00E449BA"/>
    <w:rsid w:val="00E44F23"/>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2D86"/>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436"/>
    <w:rsid w:val="00EC3A09"/>
    <w:rsid w:val="00EC6FF1"/>
    <w:rsid w:val="00EC74A0"/>
    <w:rsid w:val="00EC778B"/>
    <w:rsid w:val="00ED1009"/>
    <w:rsid w:val="00ED240E"/>
    <w:rsid w:val="00ED3827"/>
    <w:rsid w:val="00ED42EC"/>
    <w:rsid w:val="00ED6233"/>
    <w:rsid w:val="00ED703B"/>
    <w:rsid w:val="00EE1FC7"/>
    <w:rsid w:val="00EE54EF"/>
    <w:rsid w:val="00EE6733"/>
    <w:rsid w:val="00EF0F9B"/>
    <w:rsid w:val="00EF130A"/>
    <w:rsid w:val="00EF1F4E"/>
    <w:rsid w:val="00EF5671"/>
    <w:rsid w:val="00EF61D8"/>
    <w:rsid w:val="00EF64EB"/>
    <w:rsid w:val="00EF6944"/>
    <w:rsid w:val="00F0077C"/>
    <w:rsid w:val="00F009F8"/>
    <w:rsid w:val="00F019A7"/>
    <w:rsid w:val="00F01D8C"/>
    <w:rsid w:val="00F026C1"/>
    <w:rsid w:val="00F02E46"/>
    <w:rsid w:val="00F0311C"/>
    <w:rsid w:val="00F03516"/>
    <w:rsid w:val="00F12172"/>
    <w:rsid w:val="00F1244D"/>
    <w:rsid w:val="00F1655A"/>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03F5"/>
    <w:rsid w:val="00F51D5A"/>
    <w:rsid w:val="00F53D54"/>
    <w:rsid w:val="00F56915"/>
    <w:rsid w:val="00F60167"/>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394E"/>
    <w:rsid w:val="00FB46E4"/>
    <w:rsid w:val="00FB4AB8"/>
    <w:rsid w:val="00FB723D"/>
    <w:rsid w:val="00FC36BC"/>
    <w:rsid w:val="00FC60FB"/>
    <w:rsid w:val="00FC7A1C"/>
    <w:rsid w:val="00FC7E87"/>
    <w:rsid w:val="00FD08F7"/>
    <w:rsid w:val="00FD1AFA"/>
    <w:rsid w:val="00FD285C"/>
    <w:rsid w:val="00FD305F"/>
    <w:rsid w:val="00FD32EF"/>
    <w:rsid w:val="00FD4291"/>
    <w:rsid w:val="00FD468A"/>
    <w:rsid w:val="00FD4BE8"/>
    <w:rsid w:val="00FD5A59"/>
    <w:rsid w:val="00FE10FC"/>
    <w:rsid w:val="00FE1872"/>
    <w:rsid w:val="00FE1AD3"/>
    <w:rsid w:val="00FE1C97"/>
    <w:rsid w:val="00FE2137"/>
    <w:rsid w:val="00FE5EB6"/>
    <w:rsid w:val="00FE7B4A"/>
    <w:rsid w:val="00FE7B50"/>
    <w:rsid w:val="00FF15AB"/>
    <w:rsid w:val="00FF1D6C"/>
    <w:rsid w:val="00FF20FC"/>
    <w:rsid w:val="00FF2685"/>
    <w:rsid w:val="00FF3412"/>
    <w:rsid w:val="00FF5017"/>
    <w:rsid w:val="00FF56C0"/>
    <w:rsid w:val="00FF57A6"/>
    <w:rsid w:val="00FF60C8"/>
    <w:rsid w:val="02A00385"/>
    <w:rsid w:val="03D746CC"/>
    <w:rsid w:val="08C6368D"/>
    <w:rsid w:val="08FA50E4"/>
    <w:rsid w:val="0AFD0F28"/>
    <w:rsid w:val="0E4A4418"/>
    <w:rsid w:val="115832F0"/>
    <w:rsid w:val="170040C8"/>
    <w:rsid w:val="19302240"/>
    <w:rsid w:val="1CB25231"/>
    <w:rsid w:val="2138197A"/>
    <w:rsid w:val="2A8A2314"/>
    <w:rsid w:val="2C5A7AC4"/>
    <w:rsid w:val="2FBB0BEA"/>
    <w:rsid w:val="39290F4A"/>
    <w:rsid w:val="410822E6"/>
    <w:rsid w:val="430E558B"/>
    <w:rsid w:val="46A95479"/>
    <w:rsid w:val="47AD0F98"/>
    <w:rsid w:val="4DBCB752"/>
    <w:rsid w:val="4E0655E0"/>
    <w:rsid w:val="537204C8"/>
    <w:rsid w:val="53C12435"/>
    <w:rsid w:val="57F50110"/>
    <w:rsid w:val="639130C5"/>
    <w:rsid w:val="63A83C7C"/>
    <w:rsid w:val="643C2941"/>
    <w:rsid w:val="64FA64DF"/>
    <w:rsid w:val="65841133"/>
    <w:rsid w:val="6BEE37AA"/>
    <w:rsid w:val="6C8756F8"/>
    <w:rsid w:val="6DB445C7"/>
    <w:rsid w:val="70C32096"/>
    <w:rsid w:val="72D92147"/>
    <w:rsid w:val="746A1E3C"/>
    <w:rsid w:val="7B7D1FBC"/>
    <w:rsid w:val="7B8C6B3B"/>
    <w:rsid w:val="7BDFCFD8"/>
    <w:rsid w:val="7E9F33CA"/>
    <w:rsid w:val="7FE65A75"/>
    <w:rsid w:val="A6BBEFDB"/>
    <w:rsid w:val="AFEF39B3"/>
    <w:rsid w:val="AFFE76A8"/>
    <w:rsid w:val="BBFE89AD"/>
    <w:rsid w:val="BFDEDA36"/>
    <w:rsid w:val="E6E67010"/>
    <w:rsid w:val="FFFF26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41"/>
    <w:qFormat/>
    <w:uiPriority w:val="0"/>
    <w:pPr>
      <w:keepNext/>
      <w:keepLines/>
      <w:spacing w:before="280" w:after="290" w:line="376" w:lineRule="auto"/>
      <w:outlineLvl w:val="4"/>
    </w:pPr>
    <w:rPr>
      <w:b/>
      <w:bCs/>
      <w:sz w:val="28"/>
      <w:szCs w:val="28"/>
    </w:rPr>
  </w:style>
  <w:style w:type="paragraph" w:styleId="7">
    <w:name w:val="heading 6"/>
    <w:basedOn w:val="1"/>
    <w:next w:val="1"/>
    <w:link w:val="42"/>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iPriority w:val="0"/>
  </w:style>
  <w:style w:type="table" w:default="1" w:styleId="27">
    <w:name w:val="Normal Table"/>
    <w:semiHidden/>
    <w:uiPriority w:val="0"/>
    <w:tblPr>
      <w:tblStyle w:val="27"/>
      <w:tblCellMar>
        <w:top w:w="0" w:type="dxa"/>
        <w:left w:w="108" w:type="dxa"/>
        <w:bottom w:w="0" w:type="dxa"/>
        <w:right w:w="108" w:type="dxa"/>
      </w:tblCellMar>
    </w:tblPr>
  </w:style>
  <w:style w:type="paragraph" w:styleId="8">
    <w:name w:val="annotation text"/>
    <w:basedOn w:val="1"/>
    <w:link w:val="43"/>
    <w:uiPriority w:val="0"/>
    <w:pPr>
      <w:jc w:val="left"/>
    </w:pPr>
    <w:rPr>
      <w:kern w:val="0"/>
      <w:sz w:val="24"/>
      <w:szCs w:val="24"/>
    </w:rPr>
  </w:style>
  <w:style w:type="paragraph" w:styleId="9">
    <w:name w:val="Body Text 3"/>
    <w:basedOn w:val="1"/>
    <w:link w:val="44"/>
    <w:uiPriority w:val="0"/>
    <w:pPr>
      <w:spacing w:line="840" w:lineRule="exact"/>
      <w:jc w:val="center"/>
    </w:pPr>
    <w:rPr>
      <w:rFonts w:ascii="方正大标宋简体" w:hAnsi="宋体" w:eastAsia="方正大标宋简体"/>
      <w:bCs/>
      <w:sz w:val="42"/>
      <w:szCs w:val="42"/>
      <w:lang/>
    </w:rPr>
  </w:style>
  <w:style w:type="paragraph" w:styleId="10">
    <w:name w:val="Body Text"/>
    <w:basedOn w:val="1"/>
    <w:link w:val="45"/>
    <w:uiPriority w:val="0"/>
    <w:pPr>
      <w:spacing w:after="120"/>
    </w:pPr>
    <w:rPr>
      <w:rFonts w:eastAsia="Times New Roman"/>
      <w:szCs w:val="24"/>
      <w:lang/>
    </w:rPr>
  </w:style>
  <w:style w:type="paragraph" w:styleId="11">
    <w:name w:val="Body Text Indent"/>
    <w:basedOn w:val="1"/>
    <w:link w:val="46"/>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uiPriority w:val="99"/>
    <w:pPr>
      <w:widowControl/>
      <w:spacing w:after="240"/>
      <w:jc w:val="left"/>
    </w:pPr>
    <w:rPr>
      <w:kern w:val="0"/>
      <w:sz w:val="24"/>
      <w:lang w:eastAsia="en-US"/>
    </w:rPr>
  </w:style>
  <w:style w:type="paragraph" w:styleId="13">
    <w:name w:val="Plain Text"/>
    <w:basedOn w:val="1"/>
    <w:link w:val="47"/>
    <w:uiPriority w:val="0"/>
    <w:rPr>
      <w:rFonts w:ascii="宋体" w:hAnsi="Courier New" w:cs="Courier New"/>
      <w:szCs w:val="21"/>
    </w:rPr>
  </w:style>
  <w:style w:type="paragraph" w:styleId="14">
    <w:name w:val="Date"/>
    <w:basedOn w:val="1"/>
    <w:next w:val="1"/>
    <w:link w:val="48"/>
    <w:uiPriority w:val="0"/>
    <w:rPr>
      <w:rFonts w:ascii="楷体_GB2312" w:eastAsia="楷体_GB2312"/>
      <w:sz w:val="32"/>
    </w:rPr>
  </w:style>
  <w:style w:type="paragraph" w:styleId="15">
    <w:name w:val="Body Text Indent 2"/>
    <w:basedOn w:val="1"/>
    <w:link w:val="49"/>
    <w:uiPriority w:val="0"/>
    <w:pPr>
      <w:spacing w:line="600" w:lineRule="exact"/>
      <w:ind w:firstLine="600" w:firstLineChars="200"/>
    </w:pPr>
    <w:rPr>
      <w:rFonts w:ascii="仿宋_GB2312" w:hAnsi="宋体" w:eastAsia="仿宋_GB2312"/>
      <w:sz w:val="30"/>
      <w:szCs w:val="30"/>
      <w:lang/>
    </w:rPr>
  </w:style>
  <w:style w:type="paragraph" w:styleId="16">
    <w:name w:val="endnote text"/>
    <w:basedOn w:val="1"/>
    <w:link w:val="50"/>
    <w:uiPriority w:val="0"/>
    <w:pPr>
      <w:snapToGrid w:val="0"/>
      <w:jc w:val="left"/>
    </w:pPr>
    <w:rPr>
      <w:kern w:val="0"/>
      <w:sz w:val="24"/>
      <w:szCs w:val="24"/>
    </w:rPr>
  </w:style>
  <w:style w:type="paragraph" w:styleId="17">
    <w:name w:val="Balloon Text"/>
    <w:basedOn w:val="1"/>
    <w:link w:val="51"/>
    <w:uiPriority w:val="0"/>
    <w:rPr>
      <w:sz w:val="18"/>
      <w:szCs w:val="18"/>
    </w:rPr>
  </w:style>
  <w:style w:type="paragraph" w:styleId="18">
    <w:name w:val="footer"/>
    <w:basedOn w:val="1"/>
    <w:link w:val="52"/>
    <w:uiPriority w:val="99"/>
    <w:pPr>
      <w:tabs>
        <w:tab w:val="center" w:pos="4153"/>
        <w:tab w:val="right" w:pos="8306"/>
      </w:tabs>
      <w:snapToGrid w:val="0"/>
      <w:jc w:val="left"/>
    </w:pPr>
    <w:rPr>
      <w:sz w:val="18"/>
      <w:szCs w:val="18"/>
    </w:rPr>
  </w:style>
  <w:style w:type="paragraph" w:styleId="19">
    <w:name w:val="header"/>
    <w:basedOn w:val="1"/>
    <w:link w:val="53"/>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cs="Times New Roman"/>
      <w:b/>
      <w:bCs/>
      <w:kern w:val="28"/>
      <w:sz w:val="32"/>
      <w:szCs w:val="32"/>
    </w:rPr>
  </w:style>
  <w:style w:type="paragraph" w:styleId="21">
    <w:name w:val="footnote text"/>
    <w:basedOn w:val="1"/>
    <w:link w:val="55"/>
    <w:uiPriority w:val="0"/>
    <w:pPr>
      <w:snapToGrid w:val="0"/>
      <w:jc w:val="left"/>
    </w:pPr>
    <w:rPr>
      <w:rFonts w:eastAsia="Times New Roman"/>
      <w:sz w:val="18"/>
      <w:szCs w:val="18"/>
      <w:lang/>
    </w:rPr>
  </w:style>
  <w:style w:type="paragraph" w:styleId="22">
    <w:name w:val="Body Text Indent 3"/>
    <w:basedOn w:val="1"/>
    <w:link w:val="56"/>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uiPriority w:val="0"/>
    <w:pPr>
      <w:spacing w:line="840" w:lineRule="exact"/>
      <w:jc w:val="center"/>
    </w:pPr>
    <w:rPr>
      <w:rFonts w:ascii="宋体" w:hAnsi="Courier New"/>
      <w:kern w:val="0"/>
      <w:szCs w:val="21"/>
    </w:rPr>
  </w:style>
  <w:style w:type="paragraph" w:styleId="24">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eastAsia="宋体" w:cs="ClassGarmnd BT"/>
      <w:b/>
      <w:kern w:val="1"/>
      <w:sz w:val="32"/>
      <w:lang w:val="en-AU" w:eastAsia="ar-SA"/>
    </w:rPr>
  </w:style>
  <w:style w:type="paragraph" w:styleId="26">
    <w:name w:val="annotation subject"/>
    <w:basedOn w:val="8"/>
    <w:next w:val="8"/>
    <w:link w:val="59"/>
    <w:uiPriority w:val="0"/>
    <w:rPr>
      <w:b/>
      <w:bCs/>
      <w:kern w:val="2"/>
      <w:sz w:val="21"/>
      <w:lang w:val="en-US" w:eastAsia="zh-CN"/>
    </w:rPr>
  </w:style>
  <w:style w:type="table" w:styleId="28">
    <w:name w:val="Table Grid"/>
    <w:basedOn w:val="27"/>
    <w:uiPriority w:val="59"/>
    <w:rPr>
      <w:rFonts w:ascii="Calibri" w:hAnsi="Calibri" w:eastAsia="宋体" w:cs="Times New Roman"/>
      <w:kern w:val="2"/>
      <w:sz w:val="21"/>
      <w:szCs w:val="22"/>
    </w:r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iPriority w:val="0"/>
    <w:rPr>
      <w:rFonts w:cs="Times New Roman"/>
      <w:vertAlign w:val="superscript"/>
    </w:rPr>
  </w:style>
  <w:style w:type="character" w:styleId="32">
    <w:name w:val="page number"/>
    <w:uiPriority w:val="0"/>
  </w:style>
  <w:style w:type="character" w:styleId="33">
    <w:name w:val="FollowedHyperlink"/>
    <w:uiPriority w:val="99"/>
    <w:rPr>
      <w:color w:val="800080"/>
      <w:u w:val="single"/>
    </w:rPr>
  </w:style>
  <w:style w:type="character" w:styleId="34">
    <w:name w:val="Hyperlink"/>
    <w:uiPriority w:val="99"/>
    <w:rPr>
      <w:rFonts w:cs="Times New Roman"/>
      <w:color w:val="0000FF"/>
      <w:u w:val="single"/>
    </w:rPr>
  </w:style>
  <w:style w:type="character" w:styleId="35">
    <w:name w:val="annotation reference"/>
    <w:uiPriority w:val="99"/>
    <w:rPr>
      <w:rFonts w:cs="Times New Roman"/>
      <w:sz w:val="21"/>
      <w:szCs w:val="21"/>
    </w:rPr>
  </w:style>
  <w:style w:type="character" w:styleId="36">
    <w:name w:val="footnote reference"/>
    <w:unhideWhenUsed/>
    <w:uiPriority w:val="0"/>
    <w:rPr>
      <w:vertAlign w:val="superscript"/>
    </w:rPr>
  </w:style>
  <w:style w:type="character" w:customStyle="1" w:styleId="37">
    <w:name w:val="标题 2 字符1"/>
    <w:link w:val="2"/>
    <w:locked/>
    <w:uiPriority w:val="0"/>
    <w:rPr>
      <w:rFonts w:ascii="Arial" w:hAnsi="Arial" w:eastAsia="黑体"/>
      <w:b/>
      <w:bCs/>
      <w:sz w:val="32"/>
      <w:szCs w:val="32"/>
      <w:lang w:bidi="ar-SA"/>
    </w:rPr>
  </w:style>
  <w:style w:type="character" w:customStyle="1" w:styleId="38">
    <w:name w:val="标题 1 字符1"/>
    <w:link w:val="3"/>
    <w:locked/>
    <w:uiPriority w:val="0"/>
    <w:rPr>
      <w:rFonts w:eastAsia="宋体"/>
      <w:b/>
      <w:bCs/>
      <w:kern w:val="44"/>
      <w:sz w:val="44"/>
      <w:szCs w:val="44"/>
      <w:lang w:bidi="ar-SA"/>
    </w:rPr>
  </w:style>
  <w:style w:type="character" w:customStyle="1" w:styleId="39">
    <w:name w:val="标题 3 字符1"/>
    <w:link w:val="4"/>
    <w:semiHidden/>
    <w:locked/>
    <w:uiPriority w:val="0"/>
    <w:rPr>
      <w:rFonts w:eastAsia="宋体"/>
      <w:b/>
      <w:bCs/>
      <w:sz w:val="32"/>
      <w:szCs w:val="32"/>
      <w:lang w:bidi="ar-SA"/>
    </w:rPr>
  </w:style>
  <w:style w:type="character" w:customStyle="1" w:styleId="40">
    <w:name w:val="标题 4 字符1"/>
    <w:link w:val="5"/>
    <w:semiHidden/>
    <w:uiPriority w:val="0"/>
    <w:rPr>
      <w:rFonts w:ascii="Cambria" w:hAnsi="Cambria" w:eastAsia="宋体" w:cs="Times New Roman"/>
      <w:b/>
      <w:bCs/>
      <w:kern w:val="2"/>
      <w:sz w:val="28"/>
      <w:szCs w:val="28"/>
    </w:rPr>
  </w:style>
  <w:style w:type="character" w:customStyle="1" w:styleId="41">
    <w:name w:val="标题 5 字符"/>
    <w:link w:val="6"/>
    <w:semiHidden/>
    <w:uiPriority w:val="0"/>
    <w:rPr>
      <w:b/>
      <w:bCs/>
      <w:kern w:val="2"/>
      <w:sz w:val="28"/>
      <w:szCs w:val="28"/>
    </w:rPr>
  </w:style>
  <w:style w:type="character" w:customStyle="1" w:styleId="42">
    <w:name w:val="标题 6 字符1"/>
    <w:link w:val="7"/>
    <w:semiHidden/>
    <w:uiPriority w:val="0"/>
    <w:rPr>
      <w:rFonts w:ascii="Arial" w:hAnsi="Arial" w:eastAsia="黑体"/>
      <w:b/>
      <w:bCs/>
      <w:kern w:val="2"/>
      <w:sz w:val="24"/>
      <w:szCs w:val="24"/>
    </w:rPr>
  </w:style>
  <w:style w:type="character" w:customStyle="1" w:styleId="43">
    <w:name w:val="批注文字 字符1"/>
    <w:link w:val="8"/>
    <w:locked/>
    <w:uiPriority w:val="0"/>
    <w:rPr>
      <w:rFonts w:eastAsia="宋体"/>
      <w:sz w:val="24"/>
      <w:szCs w:val="24"/>
      <w:lang w:bidi="ar-SA"/>
    </w:rPr>
  </w:style>
  <w:style w:type="character" w:customStyle="1" w:styleId="44">
    <w:name w:val="正文文本 3 字符1"/>
    <w:link w:val="9"/>
    <w:uiPriority w:val="0"/>
    <w:rPr>
      <w:rFonts w:ascii="方正大标宋简体" w:hAnsi="宋体" w:eastAsia="方正大标宋简体"/>
      <w:bCs/>
      <w:kern w:val="2"/>
      <w:sz w:val="42"/>
      <w:szCs w:val="42"/>
      <w:lang/>
    </w:rPr>
  </w:style>
  <w:style w:type="character" w:customStyle="1" w:styleId="45">
    <w:name w:val="正文文本 字符1"/>
    <w:link w:val="10"/>
    <w:uiPriority w:val="0"/>
    <w:rPr>
      <w:rFonts w:eastAsia="Times New Roman"/>
      <w:kern w:val="2"/>
      <w:sz w:val="21"/>
      <w:szCs w:val="24"/>
      <w:lang/>
    </w:rPr>
  </w:style>
  <w:style w:type="character" w:customStyle="1" w:styleId="46">
    <w:name w:val="正文文本缩进 字符1"/>
    <w:link w:val="11"/>
    <w:uiPriority w:val="0"/>
    <w:rPr>
      <w:rFonts w:ascii="仿宋_GB2312" w:eastAsia="仿宋_GB2312"/>
      <w:kern w:val="2"/>
      <w:sz w:val="30"/>
      <w:szCs w:val="24"/>
      <w:lang w:val="en-US" w:eastAsia="zh-CN" w:bidi="ar-SA"/>
    </w:rPr>
  </w:style>
  <w:style w:type="character" w:customStyle="1" w:styleId="47">
    <w:name w:val="纯文本 字符1"/>
    <w:link w:val="13"/>
    <w:uiPriority w:val="0"/>
    <w:rPr>
      <w:rFonts w:ascii="宋体" w:hAnsi="Courier New" w:eastAsia="宋体" w:cs="Courier New"/>
      <w:kern w:val="2"/>
      <w:sz w:val="21"/>
      <w:szCs w:val="21"/>
      <w:lang w:val="en-US" w:eastAsia="zh-CN" w:bidi="ar-SA"/>
    </w:rPr>
  </w:style>
  <w:style w:type="character" w:customStyle="1" w:styleId="48">
    <w:name w:val="日期 字符1"/>
    <w:link w:val="14"/>
    <w:uiPriority w:val="0"/>
    <w:rPr>
      <w:rFonts w:ascii="楷体_GB2312" w:eastAsia="楷体_GB2312"/>
      <w:kern w:val="2"/>
      <w:sz w:val="32"/>
      <w:lang w:val="en-US" w:eastAsia="zh-CN" w:bidi="ar-SA"/>
    </w:rPr>
  </w:style>
  <w:style w:type="character" w:customStyle="1" w:styleId="49">
    <w:name w:val="正文文本缩进 2 字符1"/>
    <w:link w:val="15"/>
    <w:uiPriority w:val="0"/>
    <w:rPr>
      <w:rFonts w:ascii="仿宋_GB2312" w:hAnsi="宋体" w:eastAsia="仿宋_GB2312"/>
      <w:kern w:val="2"/>
      <w:sz w:val="30"/>
      <w:szCs w:val="30"/>
      <w:lang/>
    </w:rPr>
  </w:style>
  <w:style w:type="character" w:customStyle="1" w:styleId="50">
    <w:name w:val="尾注文本 字符1"/>
    <w:link w:val="16"/>
    <w:locked/>
    <w:uiPriority w:val="0"/>
    <w:rPr>
      <w:rFonts w:eastAsia="宋体"/>
      <w:sz w:val="24"/>
      <w:szCs w:val="24"/>
      <w:lang w:bidi="ar-SA"/>
    </w:rPr>
  </w:style>
  <w:style w:type="character" w:customStyle="1" w:styleId="51">
    <w:name w:val="批注框文本 字符1"/>
    <w:link w:val="17"/>
    <w:locked/>
    <w:uiPriority w:val="0"/>
    <w:rPr>
      <w:rFonts w:eastAsia="宋体"/>
      <w:kern w:val="2"/>
      <w:sz w:val="18"/>
      <w:szCs w:val="18"/>
      <w:lang w:val="en-US" w:eastAsia="zh-CN" w:bidi="ar-SA"/>
    </w:rPr>
  </w:style>
  <w:style w:type="character" w:customStyle="1" w:styleId="52">
    <w:name w:val="页脚 字符1"/>
    <w:link w:val="18"/>
    <w:locked/>
    <w:uiPriority w:val="99"/>
    <w:rPr>
      <w:rFonts w:eastAsia="宋体"/>
      <w:kern w:val="2"/>
      <w:sz w:val="18"/>
      <w:szCs w:val="18"/>
      <w:lang w:val="en-US" w:eastAsia="zh-CN" w:bidi="ar-SA"/>
    </w:rPr>
  </w:style>
  <w:style w:type="character" w:customStyle="1" w:styleId="53">
    <w:name w:val="页眉 字符1"/>
    <w:link w:val="19"/>
    <w:locked/>
    <w:uiPriority w:val="0"/>
    <w:rPr>
      <w:rFonts w:eastAsia="宋体"/>
      <w:kern w:val="2"/>
      <w:sz w:val="18"/>
      <w:szCs w:val="18"/>
      <w:lang w:val="en-US" w:eastAsia="zh-CN" w:bidi="ar-SA"/>
    </w:rPr>
  </w:style>
  <w:style w:type="character" w:customStyle="1" w:styleId="54">
    <w:name w:val="副标题 字符"/>
    <w:link w:val="20"/>
    <w:uiPriority w:val="0"/>
    <w:rPr>
      <w:rFonts w:ascii="Cambria" w:hAnsi="Cambria" w:cs="Times New Roman"/>
      <w:b/>
      <w:bCs/>
      <w:kern w:val="28"/>
      <w:sz w:val="32"/>
      <w:szCs w:val="32"/>
    </w:rPr>
  </w:style>
  <w:style w:type="character" w:customStyle="1" w:styleId="55">
    <w:name w:val="脚注文本 字符1"/>
    <w:link w:val="21"/>
    <w:uiPriority w:val="0"/>
    <w:rPr>
      <w:rFonts w:eastAsia="Times New Roman"/>
      <w:kern w:val="2"/>
      <w:sz w:val="18"/>
      <w:szCs w:val="18"/>
      <w:lang/>
    </w:rPr>
  </w:style>
  <w:style w:type="character" w:customStyle="1" w:styleId="56">
    <w:name w:val="正文文本缩进 3 字符1"/>
    <w:link w:val="22"/>
    <w:uiPriority w:val="0"/>
    <w:rPr>
      <w:rFonts w:ascii="仿宋_GB2312" w:eastAsia="仿宋_GB2312"/>
      <w:sz w:val="30"/>
      <w:szCs w:val="28"/>
      <w:lang w:val="zh-CN"/>
    </w:rPr>
  </w:style>
  <w:style w:type="character" w:customStyle="1" w:styleId="57">
    <w:name w:val="正文文本 2 字符1"/>
    <w:link w:val="23"/>
    <w:locked/>
    <w:uiPriority w:val="0"/>
    <w:rPr>
      <w:rFonts w:ascii="宋体" w:hAnsi="Courier New" w:eastAsia="宋体"/>
      <w:sz w:val="21"/>
      <w:szCs w:val="21"/>
      <w:lang w:bidi="ar-SA"/>
    </w:rPr>
  </w:style>
  <w:style w:type="character" w:customStyle="1" w:styleId="58">
    <w:name w:val="标题 字符1"/>
    <w:link w:val="25"/>
    <w:uiPriority w:val="0"/>
    <w:rPr>
      <w:rFonts w:ascii="ClassGarmnd BT" w:hAnsi="ClassGarmnd BT" w:eastAsia="宋体" w:cs="ClassGarmnd BT"/>
      <w:b/>
      <w:kern w:val="1"/>
      <w:sz w:val="32"/>
      <w:lang w:val="en-AU" w:eastAsia="ar-SA"/>
    </w:rPr>
  </w:style>
  <w:style w:type="character" w:customStyle="1" w:styleId="59">
    <w:name w:val="批注主题 字符1"/>
    <w:link w:val="26"/>
    <w:uiPriority w:val="0"/>
    <w:rPr>
      <w:rFonts w:eastAsia="宋体"/>
      <w:b/>
      <w:bCs/>
      <w:kern w:val="2"/>
      <w:sz w:val="21"/>
      <w:szCs w:val="24"/>
      <w:lang w:bidi="ar-SA"/>
    </w:rPr>
  </w:style>
  <w:style w:type="paragraph" w:customStyle="1" w:styleId="60">
    <w:name w:val="dash6b63_6587"/>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uiPriority w:val="0"/>
  </w:style>
  <w:style w:type="character" w:customStyle="1" w:styleId="62">
    <w:name w:val="dash6b63_005f6587_005f_005fchar__char"/>
    <w:uiPriority w:val="0"/>
  </w:style>
  <w:style w:type="paragraph" w:customStyle="1" w:styleId="63">
    <w:name w:val="p0"/>
    <w:basedOn w:val="1"/>
    <w:uiPriority w:val="0"/>
    <w:pPr>
      <w:widowControl/>
    </w:pPr>
    <w:rPr>
      <w:kern w:val="0"/>
      <w:szCs w:val="21"/>
    </w:rPr>
  </w:style>
  <w:style w:type="paragraph" w:styleId="64">
    <w:name w:val="List Paragraph"/>
    <w:basedOn w:val="1"/>
    <w:link w:val="65"/>
    <w:qFormat/>
    <w:uiPriority w:val="34"/>
    <w:pPr>
      <w:ind w:firstLine="420" w:firstLineChars="200"/>
    </w:pPr>
    <w:rPr>
      <w:szCs w:val="24"/>
    </w:rPr>
  </w:style>
  <w:style w:type="character" w:customStyle="1" w:styleId="65">
    <w:name w:val="列表段落 字符"/>
    <w:link w:val="64"/>
    <w:qFormat/>
    <w:uiPriority w:val="34"/>
    <w:rPr>
      <w:kern w:val="2"/>
      <w:sz w:val="21"/>
      <w:szCs w:val="24"/>
    </w:rPr>
  </w:style>
  <w:style w:type="paragraph" w:customStyle="1" w:styleId="66">
    <w:name w:val="列出段落1"/>
    <w:basedOn w:val="1"/>
    <w:qFormat/>
    <w:uiPriority w:val="99"/>
    <w:pPr>
      <w:ind w:firstLine="420" w:firstLineChars="200"/>
    </w:pPr>
    <w:rPr>
      <w:rFonts w:ascii="Calibri" w:hAnsi="Calibri"/>
      <w:szCs w:val="22"/>
    </w:rPr>
  </w:style>
  <w:style w:type="paragraph" w:customStyle="1" w:styleId="67">
    <w:name w:val="00正文"/>
    <w:basedOn w:val="1"/>
    <w:uiPriority w:val="0"/>
    <w:pPr>
      <w:snapToGrid w:val="0"/>
      <w:spacing w:beforeLines="50" w:afterLines="50" w:line="360" w:lineRule="auto"/>
      <w:ind w:firstLine="200" w:firstLineChars="200"/>
    </w:pPr>
    <w:rPr>
      <w:rFonts w:ascii="宋体" w:hAnsi="宋体"/>
      <w:sz w:val="24"/>
      <w:szCs w:val="24"/>
    </w:rPr>
  </w:style>
  <w:style w:type="paragraph" w:customStyle="1" w:styleId="68">
    <w:name w:val="List Paragraph"/>
    <w:basedOn w:val="1"/>
    <w:uiPriority w:val="0"/>
    <w:pPr>
      <w:ind w:firstLine="420" w:firstLineChars="200"/>
    </w:pPr>
    <w:rPr>
      <w:rFonts w:ascii="Calibri" w:hAnsi="Calibri"/>
      <w:szCs w:val="22"/>
    </w:rPr>
  </w:style>
  <w:style w:type="paragraph" w:customStyle="1" w:styleId="69">
    <w:name w:val="内页正文"/>
    <w:link w:val="70"/>
    <w:locked/>
    <w:uiPriority w:val="0"/>
    <w:pPr>
      <w:suppressAutoHyphens/>
      <w:spacing w:after="120"/>
      <w:jc w:val="both"/>
    </w:pPr>
    <w:rPr>
      <w:rFonts w:ascii="Arial" w:hAnsi="Arial" w:eastAsia="汉仪中等线简"/>
      <w:color w:val="000000"/>
      <w:sz w:val="18"/>
      <w:szCs w:val="18"/>
      <w:lang w:val="en-US" w:eastAsia="zh-CN" w:bidi="ar-SA"/>
    </w:rPr>
  </w:style>
  <w:style w:type="character" w:customStyle="1" w:styleId="70">
    <w:name w:val="内页正文 Char"/>
    <w:link w:val="69"/>
    <w:uiPriority w:val="0"/>
    <w:rPr>
      <w:rFonts w:ascii="Arial" w:hAnsi="Arial" w:eastAsia="汉仪中等线简"/>
      <w:color w:val="000000"/>
      <w:sz w:val="18"/>
      <w:szCs w:val="18"/>
      <w:lang w:bidi="ar-SA"/>
    </w:rPr>
  </w:style>
  <w:style w:type="paragraph" w:customStyle="1" w:styleId="7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No Spacing"/>
    <w:uiPriority w:val="0"/>
    <w:pPr>
      <w:widowControl w:val="0"/>
      <w:jc w:val="both"/>
    </w:pPr>
    <w:rPr>
      <w:rFonts w:ascii="Calibri" w:hAnsi="Calibri"/>
      <w:kern w:val="2"/>
      <w:sz w:val="21"/>
      <w:szCs w:val="22"/>
      <w:lang w:val="en-US" w:eastAsia="zh-CN" w:bidi="ar-SA"/>
    </w:rPr>
  </w:style>
  <w:style w:type="character" w:customStyle="1" w:styleId="73">
    <w:name w:val=" Char Char15"/>
    <w:uiPriority w:val="0"/>
    <w:rPr>
      <w:rFonts w:eastAsia="宋体"/>
      <w:b/>
      <w:bCs/>
      <w:kern w:val="44"/>
      <w:sz w:val="44"/>
      <w:szCs w:val="44"/>
      <w:lang w:val="en-US" w:eastAsia="zh-CN" w:bidi="ar-SA"/>
    </w:rPr>
  </w:style>
  <w:style w:type="character" w:customStyle="1" w:styleId="74">
    <w:name w:val=" Char Char14"/>
    <w:uiPriority w:val="0"/>
    <w:rPr>
      <w:rFonts w:eastAsia="宋体"/>
      <w:b/>
      <w:bCs/>
      <w:kern w:val="2"/>
      <w:sz w:val="32"/>
      <w:szCs w:val="32"/>
      <w:lang w:val="en-US" w:eastAsia="zh-CN" w:bidi="ar-SA"/>
    </w:rPr>
  </w:style>
  <w:style w:type="character" w:customStyle="1" w:styleId="75">
    <w:name w:val=" Char Char13"/>
    <w:uiPriority w:val="0"/>
    <w:rPr>
      <w:rFonts w:eastAsia="宋体"/>
      <w:kern w:val="2"/>
      <w:sz w:val="18"/>
      <w:szCs w:val="18"/>
      <w:lang w:val="en-US" w:eastAsia="zh-CN" w:bidi="ar-SA"/>
    </w:rPr>
  </w:style>
  <w:style w:type="character" w:customStyle="1" w:styleId="76">
    <w:name w:val=" Char Char12"/>
    <w:uiPriority w:val="0"/>
    <w:rPr>
      <w:rFonts w:eastAsia="宋体"/>
      <w:kern w:val="2"/>
      <w:sz w:val="18"/>
      <w:szCs w:val="18"/>
      <w:lang w:val="en-US" w:eastAsia="zh-CN" w:bidi="ar-SA"/>
    </w:rPr>
  </w:style>
  <w:style w:type="character" w:customStyle="1" w:styleId="77">
    <w:name w:val="正文文本缩进 Char1"/>
    <w:uiPriority w:val="0"/>
    <w:rPr>
      <w:kern w:val="2"/>
      <w:sz w:val="21"/>
      <w:szCs w:val="24"/>
    </w:rPr>
  </w:style>
  <w:style w:type="character" w:customStyle="1" w:styleId="78">
    <w:name w:val="日期 Char1"/>
    <w:uiPriority w:val="0"/>
    <w:rPr>
      <w:kern w:val="2"/>
      <w:sz w:val="21"/>
      <w:szCs w:val="24"/>
    </w:rPr>
  </w:style>
  <w:style w:type="character" w:customStyle="1" w:styleId="79">
    <w:name w:val="正文文本 Char1"/>
    <w:uiPriority w:val="0"/>
    <w:rPr>
      <w:kern w:val="2"/>
      <w:sz w:val="21"/>
      <w:szCs w:val="24"/>
    </w:rPr>
  </w:style>
  <w:style w:type="character" w:customStyle="1" w:styleId="80">
    <w:name w:val="批注框文本 Char1"/>
    <w:uiPriority w:val="0"/>
    <w:rPr>
      <w:kern w:val="2"/>
      <w:sz w:val="18"/>
      <w:szCs w:val="18"/>
    </w:rPr>
  </w:style>
  <w:style w:type="character" w:customStyle="1" w:styleId="81">
    <w:name w:val="正文文本缩进 2 Char1"/>
    <w:uiPriority w:val="0"/>
    <w:rPr>
      <w:kern w:val="2"/>
      <w:sz w:val="21"/>
      <w:szCs w:val="24"/>
    </w:rPr>
  </w:style>
  <w:style w:type="character" w:customStyle="1" w:styleId="82">
    <w:name w:val="正文文本 2 Char1"/>
    <w:uiPriority w:val="0"/>
    <w:rPr>
      <w:kern w:val="2"/>
      <w:sz w:val="21"/>
      <w:szCs w:val="24"/>
    </w:rPr>
  </w:style>
  <w:style w:type="character" w:customStyle="1" w:styleId="83">
    <w:name w:val="正文文本缩进 3 Char1"/>
    <w:uiPriority w:val="0"/>
    <w:rPr>
      <w:kern w:val="2"/>
      <w:sz w:val="16"/>
      <w:szCs w:val="16"/>
    </w:rPr>
  </w:style>
  <w:style w:type="character" w:customStyle="1" w:styleId="84">
    <w:name w:val="正文文本 3 Char1"/>
    <w:uiPriority w:val="0"/>
    <w:rPr>
      <w:kern w:val="2"/>
      <w:sz w:val="16"/>
      <w:szCs w:val="16"/>
    </w:rPr>
  </w:style>
  <w:style w:type="character" w:customStyle="1" w:styleId="85">
    <w:name w:val="纯文本 Char1"/>
    <w:uiPriority w:val="0"/>
    <w:rPr>
      <w:rFonts w:ascii="宋体" w:hAnsi="Courier New" w:cs="Courier New"/>
      <w:kern w:val="2"/>
      <w:sz w:val="21"/>
      <w:szCs w:val="21"/>
    </w:rPr>
  </w:style>
  <w:style w:type="character" w:customStyle="1" w:styleId="86">
    <w:name w:val="条款 Char"/>
    <w:link w:val="87"/>
    <w:uiPriority w:val="0"/>
    <w:rPr>
      <w:rFonts w:ascii="仿宋_GB2312" w:hAnsi="Calibri" w:eastAsia="仿宋_GB2312"/>
      <w:color w:val="000000"/>
      <w:sz w:val="28"/>
      <w:lang w:bidi="ar-SA"/>
    </w:rPr>
  </w:style>
  <w:style w:type="paragraph" w:customStyle="1" w:styleId="87">
    <w:name w:val="条款"/>
    <w:basedOn w:val="1"/>
    <w:link w:val="86"/>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uiPriority w:val="0"/>
    <w:rPr>
      <w:kern w:val="2"/>
      <w:sz w:val="18"/>
      <w:szCs w:val="18"/>
    </w:rPr>
  </w:style>
  <w:style w:type="paragraph" w:customStyle="1" w:styleId="89">
    <w:name w:val="Char3"/>
    <w:basedOn w:val="1"/>
    <w:uiPriority w:val="0"/>
    <w:rPr>
      <w:szCs w:val="21"/>
    </w:rPr>
  </w:style>
  <w:style w:type="paragraph" w:customStyle="1" w:styleId="90">
    <w:name w:val="doc-a2"/>
    <w:basedOn w:val="1"/>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link w:val="93"/>
    <w:uiPriority w:val="0"/>
    <w:rPr>
      <w:rFonts w:eastAsia="仿宋_GB2312"/>
      <w:kern w:val="2"/>
      <w:sz w:val="28"/>
      <w:szCs w:val="28"/>
    </w:rPr>
  </w:style>
  <w:style w:type="paragraph" w:customStyle="1" w:styleId="95">
    <w:name w:val="默认"/>
    <w:uiPriority w:val="0"/>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3"/>
    <w:link w:val="98"/>
    <w:qFormat/>
    <w:uiPriority w:val="0"/>
    <w:pPr>
      <w:spacing w:before="0" w:after="120" w:line="240" w:lineRule="auto"/>
      <w:ind w:left="1232" w:hanging="630"/>
    </w:pPr>
    <w:rPr>
      <w:rFonts w:eastAsia="黑体"/>
      <w:sz w:val="30"/>
      <w:szCs w:val="30"/>
      <w:lang w:val="en-US" w:eastAsia="zh-CN"/>
    </w:rPr>
  </w:style>
  <w:style w:type="character" w:customStyle="1" w:styleId="98">
    <w:name w:val="SSE标题1 Char"/>
    <w:link w:val="97"/>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link w:val="99"/>
    <w:uiPriority w:val="0"/>
    <w:rPr>
      <w:rFonts w:eastAsia="华文中宋"/>
      <w:b/>
      <w:kern w:val="2"/>
      <w:sz w:val="44"/>
      <w:szCs w:val="44"/>
    </w:rPr>
  </w:style>
  <w:style w:type="paragraph" w:customStyle="1" w:styleId="101">
    <w:name w:val="Стандартный HTML"/>
    <w:basedOn w:val="1"/>
    <w:uiPriority w:val="0"/>
    <w:pPr>
      <w:widowControl/>
      <w:suppressAutoHyphens/>
      <w:jc w:val="left"/>
    </w:pPr>
    <w:rPr>
      <w:rFonts w:ascii="Courier New" w:hAnsi="Courier New" w:eastAsia="宋体" w:cs="Courier New"/>
      <w:kern w:val="1"/>
      <w:sz w:val="20"/>
      <w:lang w:eastAsia="ar-SA"/>
    </w:rPr>
  </w:style>
  <w:style w:type="paragraph" w:customStyle="1" w:styleId="102">
    <w:name w:val="Основной текст 2"/>
    <w:basedOn w:val="1"/>
    <w:uiPriority w:val="0"/>
    <w:pPr>
      <w:widowControl/>
      <w:suppressAutoHyphens/>
      <w:overflowPunct w:val="0"/>
      <w:autoSpaceDE w:val="0"/>
    </w:pPr>
    <w:rPr>
      <w:rFonts w:ascii="ClassGarmnd BT" w:hAnsi="ClassGarmnd BT" w:eastAsia="宋体" w:cs="ClassGarmnd BT"/>
      <w:color w:val="000000"/>
      <w:kern w:val="1"/>
      <w:sz w:val="20"/>
      <w:lang w:val="en-AU" w:eastAsia="ar-SA"/>
    </w:rPr>
  </w:style>
  <w:style w:type="paragraph" w:customStyle="1" w:styleId="103">
    <w:name w:val="List Paragraph1"/>
    <w:basedOn w:val="1"/>
    <w:uiPriority w:val="0"/>
    <w:pPr>
      <w:suppressAutoHyphens/>
      <w:ind w:left="720"/>
    </w:pPr>
    <w:rPr>
      <w:rFonts w:eastAsia="宋体"/>
      <w:kern w:val="1"/>
      <w:sz w:val="32"/>
      <w:szCs w:val="24"/>
      <w:lang w:eastAsia="ar-SA"/>
    </w:rPr>
  </w:style>
  <w:style w:type="paragraph" w:customStyle="1" w:styleId="104">
    <w:name w:val="Style1"/>
    <w:basedOn w:val="1"/>
    <w:uiPriority w:val="0"/>
    <w:pPr>
      <w:numPr>
        <w:ilvl w:val="0"/>
        <w:numId w:val="2"/>
      </w:numPr>
      <w:suppressAutoHyphens/>
    </w:pPr>
    <w:rPr>
      <w:rFonts w:eastAsia="宋体"/>
      <w:kern w:val="1"/>
      <w:szCs w:val="24"/>
      <w:lang w:eastAsia="ar-SA"/>
    </w:rPr>
  </w:style>
  <w:style w:type="character" w:customStyle="1" w:styleId="105">
    <w:name w:val="语句 Char"/>
    <w:link w:val="106"/>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locked/>
    <w:uiPriority w:val="0"/>
    <w:rPr>
      <w:rFonts w:ascii="仿宋_GB2312" w:eastAsia="仿宋_GB2312"/>
      <w:sz w:val="28"/>
    </w:rPr>
  </w:style>
  <w:style w:type="paragraph" w:customStyle="1" w:styleId="114">
    <w:name w:val="SSE内容提要正文"/>
    <w:basedOn w:val="1"/>
    <w:link w:val="113"/>
    <w:uiPriority w:val="0"/>
    <w:pPr>
      <w:ind w:firstLine="560" w:firstLineChars="200"/>
    </w:pPr>
    <w:rPr>
      <w:rFonts w:ascii="仿宋_GB2312" w:eastAsia="仿宋_GB2312"/>
      <w:kern w:val="0"/>
      <w:sz w:val="28"/>
    </w:rPr>
  </w:style>
  <w:style w:type="character" w:customStyle="1" w:styleId="115">
    <w:name w:val="SSE资料来源 Char"/>
    <w:link w:val="116"/>
    <w:locked/>
    <w:uiPriority w:val="0"/>
    <w:rPr>
      <w:rFonts w:ascii="仿宋_GB2312" w:eastAsia="仿宋_GB2312"/>
      <w:color w:val="000000"/>
    </w:rPr>
  </w:style>
  <w:style w:type="paragraph" w:customStyle="1" w:styleId="116">
    <w:name w:val="SSE资料来源"/>
    <w:basedOn w:val="1"/>
    <w:link w:val="115"/>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locked/>
    <w:uiPriority w:val="0"/>
    <w:rPr>
      <w:rFonts w:ascii="仿宋_GB2312" w:eastAsia="仿宋_GB2312"/>
      <w:b/>
      <w:bCs/>
      <w:sz w:val="28"/>
      <w:szCs w:val="28"/>
    </w:rPr>
  </w:style>
  <w:style w:type="paragraph" w:customStyle="1" w:styleId="118">
    <w:name w:val="SSE标题2"/>
    <w:basedOn w:val="2"/>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locked/>
    <w:uiPriority w:val="0"/>
    <w:rPr>
      <w:rFonts w:ascii="仿宋_GB2312" w:eastAsia="仿宋_GB2312"/>
      <w:color w:val="000000"/>
      <w:sz w:val="24"/>
      <w:szCs w:val="24"/>
    </w:rPr>
  </w:style>
  <w:style w:type="paragraph" w:customStyle="1" w:styleId="120">
    <w:name w:val="SSE表格文字"/>
    <w:basedOn w:val="1"/>
    <w:link w:val="119"/>
    <w:uiPriority w:val="0"/>
    <w:pPr>
      <w:widowControl/>
      <w:jc w:val="center"/>
    </w:pPr>
    <w:rPr>
      <w:rFonts w:ascii="仿宋_GB2312" w:eastAsia="仿宋_GB2312"/>
      <w:color w:val="000000"/>
      <w:kern w:val="0"/>
      <w:sz w:val="24"/>
      <w:szCs w:val="24"/>
    </w:rPr>
  </w:style>
  <w:style w:type="character" w:customStyle="1" w:styleId="121">
    <w:name w:val="SSE图表标题 Char"/>
    <w:link w:val="122"/>
    <w:locked/>
    <w:uiPriority w:val="0"/>
    <w:rPr>
      <w:rFonts w:ascii="仿宋_GB2312" w:eastAsia="仿宋_GB2312"/>
      <w:b/>
      <w:bCs/>
      <w:color w:val="000000"/>
      <w:sz w:val="24"/>
      <w:szCs w:val="24"/>
    </w:rPr>
  </w:style>
  <w:style w:type="paragraph" w:customStyle="1" w:styleId="122">
    <w:name w:val="SSE图表标题"/>
    <w:basedOn w:val="7"/>
    <w:link w:val="121"/>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uiPriority w:val="9"/>
    <w:rPr>
      <w:rFonts w:hint="default" w:ascii="Calibri" w:hAnsi="Calibri" w:eastAsia="宋体" w:cs="Times New Roman"/>
      <w:b/>
      <w:bCs/>
      <w:kern w:val="44"/>
      <w:sz w:val="44"/>
      <w:szCs w:val="44"/>
    </w:rPr>
  </w:style>
  <w:style w:type="character" w:customStyle="1" w:styleId="124">
    <w:name w:val="标题 2 字符"/>
    <w:semiHidden/>
    <w:uiPriority w:val="9"/>
    <w:rPr>
      <w:rFonts w:hint="default" w:ascii="Cambria" w:hAnsi="Cambria" w:eastAsia="宋体" w:cs="Times New Roman"/>
      <w:b/>
      <w:bCs/>
      <w:sz w:val="32"/>
      <w:szCs w:val="32"/>
    </w:rPr>
  </w:style>
  <w:style w:type="character" w:customStyle="1" w:styleId="125">
    <w:name w:val="标题 3 字符"/>
    <w:semiHidden/>
    <w:uiPriority w:val="9"/>
    <w:rPr>
      <w:rFonts w:hint="default" w:ascii="Calibri" w:hAnsi="Calibri" w:eastAsia="宋体" w:cs="Times New Roman"/>
      <w:b/>
      <w:bCs/>
      <w:sz w:val="32"/>
      <w:szCs w:val="32"/>
    </w:rPr>
  </w:style>
  <w:style w:type="character" w:customStyle="1" w:styleId="126">
    <w:name w:val="标题 4 字符"/>
    <w:semiHidden/>
    <w:uiPriority w:val="9"/>
    <w:rPr>
      <w:rFonts w:hint="default" w:ascii="Cambria" w:hAnsi="Cambria" w:eastAsia="宋体" w:cs="Times New Roman"/>
      <w:b/>
      <w:bCs/>
      <w:sz w:val="28"/>
      <w:szCs w:val="28"/>
    </w:rPr>
  </w:style>
  <w:style w:type="character" w:customStyle="1" w:styleId="127">
    <w:name w:val="标题 6 字符"/>
    <w:semiHidden/>
    <w:uiPriority w:val="9"/>
    <w:rPr>
      <w:rFonts w:hint="default" w:ascii="Cambria" w:hAnsi="Cambria" w:eastAsia="宋体" w:cs="Times New Roman"/>
      <w:b/>
      <w:bCs/>
      <w:sz w:val="24"/>
      <w:szCs w:val="24"/>
    </w:rPr>
  </w:style>
  <w:style w:type="character" w:customStyle="1" w:styleId="128">
    <w:name w:val="页眉 字符"/>
    <w:semiHidden/>
    <w:uiPriority w:val="99"/>
    <w:rPr>
      <w:rFonts w:hint="default" w:ascii="Calibri" w:hAnsi="Calibri" w:eastAsia="宋体" w:cs="Times New Roman"/>
      <w:sz w:val="18"/>
      <w:szCs w:val="18"/>
    </w:rPr>
  </w:style>
  <w:style w:type="character" w:customStyle="1" w:styleId="129">
    <w:name w:val="页脚 字符"/>
    <w:semiHidden/>
    <w:uiPriority w:val="99"/>
    <w:rPr>
      <w:rFonts w:hint="default" w:ascii="Calibri" w:hAnsi="Calibri" w:eastAsia="宋体" w:cs="Times New Roman"/>
      <w:sz w:val="18"/>
      <w:szCs w:val="18"/>
    </w:rPr>
  </w:style>
  <w:style w:type="character" w:customStyle="1" w:styleId="130">
    <w:name w:val="正文文本缩进 字符"/>
    <w:semiHidden/>
    <w:uiPriority w:val="99"/>
    <w:rPr>
      <w:rFonts w:hint="default" w:ascii="Calibri" w:hAnsi="Calibri" w:eastAsia="宋体" w:cs="Times New Roman"/>
    </w:rPr>
  </w:style>
  <w:style w:type="character" w:customStyle="1" w:styleId="131">
    <w:name w:val="批注框文本 字符"/>
    <w:semiHidden/>
    <w:uiPriority w:val="99"/>
    <w:rPr>
      <w:rFonts w:hint="default" w:ascii="Calibri" w:hAnsi="Calibri" w:eastAsia="宋体" w:cs="Times New Roman"/>
      <w:sz w:val="18"/>
      <w:szCs w:val="18"/>
    </w:rPr>
  </w:style>
  <w:style w:type="character" w:customStyle="1" w:styleId="132">
    <w:name w:val="日期 字符"/>
    <w:semiHidden/>
    <w:uiPriority w:val="99"/>
    <w:rPr>
      <w:rFonts w:hint="default" w:ascii="Calibri" w:hAnsi="Calibri" w:eastAsia="宋体" w:cs="Times New Roman"/>
    </w:rPr>
  </w:style>
  <w:style w:type="character" w:customStyle="1" w:styleId="133">
    <w:name w:val="纯文本 字符"/>
    <w:semiHidden/>
    <w:uiPriority w:val="99"/>
    <w:rPr>
      <w:rFonts w:hint="eastAsia" w:ascii="宋体" w:hAnsi="Courier New" w:eastAsia="宋体" w:cs="Courier New"/>
    </w:rPr>
  </w:style>
  <w:style w:type="character" w:customStyle="1" w:styleId="134">
    <w:name w:val="正文文本 2 字符"/>
    <w:semiHidden/>
    <w:uiPriority w:val="99"/>
    <w:rPr>
      <w:rFonts w:hint="default" w:ascii="Calibri" w:hAnsi="Calibri" w:eastAsia="宋体" w:cs="Times New Roman"/>
    </w:rPr>
  </w:style>
  <w:style w:type="character" w:customStyle="1" w:styleId="135">
    <w:name w:val="尾注文本 Char1"/>
    <w:locked/>
    <w:uiPriority w:val="0"/>
    <w:rPr>
      <w:rFonts w:ascii="Times New Roman" w:hAnsi="Times New Roman" w:eastAsia="宋体" w:cs="Times New Roman"/>
      <w:kern w:val="0"/>
      <w:sz w:val="24"/>
      <w:szCs w:val="24"/>
    </w:rPr>
  </w:style>
  <w:style w:type="character" w:customStyle="1" w:styleId="136">
    <w:name w:val="尾注文本 字符"/>
    <w:semiHidden/>
    <w:uiPriority w:val="99"/>
    <w:rPr>
      <w:rFonts w:hint="default" w:ascii="Calibri" w:hAnsi="Calibri" w:eastAsia="宋体" w:cs="Times New Roman"/>
    </w:rPr>
  </w:style>
  <w:style w:type="character" w:customStyle="1" w:styleId="137">
    <w:name w:val="批注文字 Char1"/>
    <w:locked/>
    <w:uiPriority w:val="0"/>
    <w:rPr>
      <w:rFonts w:ascii="Times New Roman" w:hAnsi="Times New Roman" w:eastAsia="宋体" w:cs="Times New Roman"/>
      <w:kern w:val="0"/>
      <w:sz w:val="24"/>
      <w:szCs w:val="24"/>
    </w:rPr>
  </w:style>
  <w:style w:type="character" w:customStyle="1" w:styleId="138">
    <w:name w:val="批注文字 字符"/>
    <w:semiHidden/>
    <w:uiPriority w:val="99"/>
    <w:rPr>
      <w:rFonts w:hint="default" w:ascii="Calibri" w:hAnsi="Calibri" w:eastAsia="宋体" w:cs="Times New Roman"/>
    </w:rPr>
  </w:style>
  <w:style w:type="character" w:customStyle="1" w:styleId="139">
    <w:name w:val="正文文本 字符"/>
    <w:semiHidden/>
    <w:uiPriority w:val="99"/>
    <w:rPr>
      <w:rFonts w:hint="default" w:ascii="Calibri" w:hAnsi="Calibri" w:eastAsia="宋体" w:cs="Times New Roman"/>
    </w:rPr>
  </w:style>
  <w:style w:type="character" w:customStyle="1" w:styleId="140">
    <w:name w:val="正文文本缩进 2 字符"/>
    <w:semiHidden/>
    <w:uiPriority w:val="99"/>
    <w:rPr>
      <w:rFonts w:hint="default" w:ascii="Calibri" w:hAnsi="Calibri" w:eastAsia="宋体" w:cs="Times New Roman"/>
    </w:rPr>
  </w:style>
  <w:style w:type="character" w:customStyle="1" w:styleId="141">
    <w:name w:val="正文文本缩进 3 字符"/>
    <w:semiHidden/>
    <w:uiPriority w:val="99"/>
    <w:rPr>
      <w:rFonts w:hint="default" w:ascii="Calibri" w:hAnsi="Calibri" w:eastAsia="宋体" w:cs="Times New Roman"/>
      <w:sz w:val="16"/>
      <w:szCs w:val="16"/>
    </w:rPr>
  </w:style>
  <w:style w:type="character" w:customStyle="1" w:styleId="142">
    <w:name w:val="正文文本 3 字符"/>
    <w:semiHidden/>
    <w:uiPriority w:val="99"/>
    <w:rPr>
      <w:rFonts w:hint="default" w:ascii="Calibri" w:hAnsi="Calibri" w:eastAsia="宋体" w:cs="Times New Roman"/>
      <w:sz w:val="16"/>
      <w:szCs w:val="16"/>
    </w:rPr>
  </w:style>
  <w:style w:type="character" w:customStyle="1" w:styleId="143">
    <w:name w:val="脚注文本 字符"/>
    <w:semiHidden/>
    <w:uiPriority w:val="99"/>
    <w:rPr>
      <w:rFonts w:hint="default" w:ascii="Calibri" w:hAnsi="Calibri" w:eastAsia="宋体" w:cs="Times New Roman"/>
      <w:sz w:val="18"/>
      <w:szCs w:val="18"/>
    </w:rPr>
  </w:style>
  <w:style w:type="character" w:customStyle="1" w:styleId="144">
    <w:name w:val="批注主题 Char1"/>
    <w:locked/>
    <w:uiPriority w:val="0"/>
    <w:rPr>
      <w:rFonts w:ascii="Times New Roman" w:hAnsi="Times New Roman" w:eastAsia="宋体" w:cs="Times New Roman"/>
      <w:b/>
      <w:bCs/>
      <w:kern w:val="0"/>
      <w:sz w:val="24"/>
      <w:szCs w:val="24"/>
    </w:rPr>
  </w:style>
  <w:style w:type="character" w:customStyle="1" w:styleId="145">
    <w:name w:val="批注主题 字符"/>
    <w:semiHidden/>
    <w:uiPriority w:val="99"/>
    <w:rPr>
      <w:rFonts w:hint="default" w:ascii="Calibri" w:hAnsi="Calibri" w:eastAsia="宋体" w:cs="Times New Roman"/>
      <w:b/>
      <w:bCs/>
    </w:rPr>
  </w:style>
  <w:style w:type="character" w:customStyle="1" w:styleId="146">
    <w:name w:val="标题 Char1"/>
    <w:locked/>
    <w:uiPriority w:val="0"/>
    <w:rPr>
      <w:rFonts w:ascii="Arial" w:hAnsi="Arial" w:eastAsia="宋体" w:cs="Times New Roman"/>
      <w:b/>
      <w:bCs/>
      <w:kern w:val="0"/>
      <w:sz w:val="32"/>
      <w:szCs w:val="32"/>
    </w:rPr>
  </w:style>
  <w:style w:type="character" w:customStyle="1" w:styleId="147">
    <w:name w:val="标题 字符"/>
    <w:uiPriority w:val="10"/>
    <w:rPr>
      <w:rFonts w:hint="default" w:ascii="Cambria" w:hAnsi="Cambria" w:eastAsia="宋体" w:cs="Times New Roman"/>
      <w:b/>
      <w:bCs/>
      <w:sz w:val="32"/>
      <w:szCs w:val="32"/>
    </w:rPr>
  </w:style>
  <w:style w:type="paragraph" w:customStyle="1" w:styleId="148">
    <w:name w:val="a4"/>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styleId="152">
    <w:name w:val=""/>
    <w:semiHidden/>
    <w:uiPriority w:val="99"/>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hxu/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18</Pages>
  <Words>9005</Words>
  <Characters>9065</Characters>
  <Lines>65</Lines>
  <Paragraphs>18</Paragraphs>
  <TotalTime>0</TotalTime>
  <ScaleCrop>false</ScaleCrop>
  <LinksUpToDate>false</LinksUpToDate>
  <CharactersWithSpaces>9137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2025-12-21T19:06:00Z</dcterms:created>
  <dc:creator>sse</dc:creator>
  <cp:lastModifiedBy>whxu</cp:lastModifiedBy>
  <cp:lastPrinted>2025-12-25T00:48:00Z</cp:lastPrinted>
  <dcterms:modified xsi:type="dcterms:W3CDTF">2025-12-31T15:05:42Z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D81F1356A6F1157546CB5469B9B2AE62_43</vt:lpwstr>
  </property>
  <property fmtid="{D5CDD505-2E9C-101B-9397-08002B2CF9AE}" pid="4" name="KSOTemplateDocerSaveRecord">
    <vt:lpwstr>eyJoZGlkIjoiZTFlYTM5YTBiZGVkMTI3MDFlYzUyNmZmY2Y2ZjZjNDMiLCJ1c2VySWQiOiIxNDg2Njk5OTc5In0=</vt:lpwstr>
  </property>
</Properties>
</file>